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513" w:rsidRDefault="00212513">
      <w:pPr>
        <w:pStyle w:val="ConsPlusTitlePage"/>
      </w:pPr>
      <w:r>
        <w:t xml:space="preserve">Документ предоставлен </w:t>
      </w:r>
      <w:hyperlink r:id="rId5">
        <w:r>
          <w:rPr>
            <w:color w:val="0000FF"/>
          </w:rPr>
          <w:t>КонсультантПлюс</w:t>
        </w:r>
      </w:hyperlink>
      <w:r>
        <w:br/>
      </w:r>
    </w:p>
    <w:p w:rsidR="00212513" w:rsidRDefault="00212513">
      <w:pPr>
        <w:pStyle w:val="ConsPlusNormal"/>
        <w:jc w:val="both"/>
        <w:outlineLvl w:val="0"/>
      </w:pPr>
    </w:p>
    <w:p w:rsidR="00212513" w:rsidRDefault="00212513">
      <w:pPr>
        <w:pStyle w:val="ConsPlusNormal"/>
        <w:jc w:val="right"/>
        <w:outlineLvl w:val="0"/>
      </w:pPr>
      <w:r>
        <w:t>Утвержден</w:t>
      </w:r>
    </w:p>
    <w:p w:rsidR="00212513" w:rsidRDefault="00212513">
      <w:pPr>
        <w:pStyle w:val="ConsPlusNormal"/>
        <w:jc w:val="right"/>
      </w:pPr>
      <w:hyperlink r:id="rId6">
        <w:r>
          <w:rPr>
            <w:color w:val="0000FF"/>
          </w:rPr>
          <w:t>Приказом</w:t>
        </w:r>
      </w:hyperlink>
      <w:r>
        <w:t xml:space="preserve"> Минрегиона РФ</w:t>
      </w:r>
    </w:p>
    <w:p w:rsidR="00212513" w:rsidRDefault="00212513">
      <w:pPr>
        <w:pStyle w:val="ConsPlusNormal"/>
        <w:jc w:val="right"/>
      </w:pPr>
      <w:r>
        <w:t>от 28 декабря 2010 г. N 822</w:t>
      </w:r>
    </w:p>
    <w:p w:rsidR="00212513" w:rsidRDefault="00212513">
      <w:pPr>
        <w:pStyle w:val="ConsPlusNormal"/>
        <w:jc w:val="center"/>
      </w:pPr>
    </w:p>
    <w:p w:rsidR="00212513" w:rsidRDefault="00212513">
      <w:pPr>
        <w:pStyle w:val="ConsPlusTitle"/>
        <w:jc w:val="center"/>
      </w:pPr>
      <w:r>
        <w:t>СВОД ПРАВИЛ</w:t>
      </w:r>
    </w:p>
    <w:p w:rsidR="00212513" w:rsidRDefault="00212513">
      <w:pPr>
        <w:pStyle w:val="ConsPlusTitle"/>
        <w:jc w:val="center"/>
      </w:pPr>
    </w:p>
    <w:p w:rsidR="00212513" w:rsidRDefault="00212513">
      <w:pPr>
        <w:pStyle w:val="ConsPlusTitle"/>
        <w:jc w:val="center"/>
      </w:pPr>
      <w:r>
        <w:t>МОСТЫ И ТРУБЫ</w:t>
      </w:r>
    </w:p>
    <w:p w:rsidR="00212513" w:rsidRDefault="00212513">
      <w:pPr>
        <w:pStyle w:val="ConsPlusTitle"/>
        <w:jc w:val="center"/>
      </w:pPr>
    </w:p>
    <w:p w:rsidR="00212513" w:rsidRDefault="00212513">
      <w:pPr>
        <w:pStyle w:val="ConsPlusTitle"/>
        <w:jc w:val="center"/>
      </w:pPr>
      <w:r>
        <w:t xml:space="preserve">АКТУАЛИЗИРОВАННАЯ РЕДАКЦИЯ </w:t>
      </w:r>
      <w:hyperlink r:id="rId7">
        <w:r>
          <w:rPr>
            <w:color w:val="0000FF"/>
          </w:rPr>
          <w:t>СНиП 2.05.03-84*</w:t>
        </w:r>
      </w:hyperlink>
    </w:p>
    <w:p w:rsidR="00212513" w:rsidRDefault="00212513">
      <w:pPr>
        <w:pStyle w:val="ConsPlusTitle"/>
        <w:jc w:val="center"/>
      </w:pPr>
    </w:p>
    <w:p w:rsidR="00212513" w:rsidRDefault="00212513">
      <w:pPr>
        <w:pStyle w:val="ConsPlusTitle"/>
        <w:jc w:val="center"/>
      </w:pPr>
      <w:r>
        <w:t>Bridges and culverts</w:t>
      </w:r>
    </w:p>
    <w:p w:rsidR="00212513" w:rsidRDefault="00212513">
      <w:pPr>
        <w:pStyle w:val="ConsPlusTitle"/>
        <w:jc w:val="center"/>
      </w:pPr>
    </w:p>
    <w:p w:rsidR="00212513" w:rsidRDefault="00212513">
      <w:pPr>
        <w:pStyle w:val="ConsPlusTitle"/>
        <w:jc w:val="center"/>
      </w:pPr>
      <w:r>
        <w:t>СП 35.13330.2011</w:t>
      </w:r>
    </w:p>
    <w:p w:rsidR="00212513" w:rsidRDefault="0021251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21251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12513" w:rsidRDefault="0021251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12513" w:rsidRDefault="0021251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12513" w:rsidRDefault="00212513">
            <w:pPr>
              <w:pStyle w:val="ConsPlusNormal"/>
              <w:jc w:val="center"/>
            </w:pPr>
            <w:r>
              <w:rPr>
                <w:color w:val="392C69"/>
              </w:rPr>
              <w:t>Список изменяющих документов</w:t>
            </w:r>
          </w:p>
          <w:p w:rsidR="00212513" w:rsidRDefault="00212513">
            <w:pPr>
              <w:pStyle w:val="ConsPlusNormal"/>
              <w:jc w:val="center"/>
            </w:pPr>
            <w:r>
              <w:rPr>
                <w:color w:val="392C69"/>
              </w:rPr>
              <w:t xml:space="preserve">(в ред. </w:t>
            </w:r>
            <w:hyperlink r:id="rId8">
              <w:r>
                <w:rPr>
                  <w:color w:val="0000FF"/>
                </w:rPr>
                <w:t>Изменения N 1</w:t>
              </w:r>
            </w:hyperlink>
            <w:r>
              <w:rPr>
                <w:color w:val="392C69"/>
              </w:rPr>
              <w:t xml:space="preserve">, утв. </w:t>
            </w:r>
            <w:hyperlink r:id="rId9">
              <w:r>
                <w:rPr>
                  <w:color w:val="0000FF"/>
                </w:rPr>
                <w:t>Приказом</w:t>
              </w:r>
            </w:hyperlink>
          </w:p>
          <w:p w:rsidR="00212513" w:rsidRDefault="00212513">
            <w:pPr>
              <w:pStyle w:val="ConsPlusNormal"/>
              <w:jc w:val="center"/>
            </w:pPr>
            <w:r>
              <w:rPr>
                <w:color w:val="392C69"/>
              </w:rPr>
              <w:t>Минстроя России от 03.12.2016 N 879/пр,</w:t>
            </w:r>
          </w:p>
          <w:p w:rsidR="00212513" w:rsidRDefault="00212513">
            <w:pPr>
              <w:pStyle w:val="ConsPlusNormal"/>
              <w:jc w:val="center"/>
            </w:pPr>
            <w:hyperlink r:id="rId10">
              <w:r>
                <w:rPr>
                  <w:color w:val="0000FF"/>
                </w:rPr>
                <w:t>Изменения N 2</w:t>
              </w:r>
            </w:hyperlink>
            <w:r>
              <w:rPr>
                <w:color w:val="392C69"/>
              </w:rPr>
              <w:t xml:space="preserve">, утв. </w:t>
            </w:r>
            <w:hyperlink r:id="rId11">
              <w:r>
                <w:rPr>
                  <w:color w:val="0000FF"/>
                </w:rPr>
                <w:t>Приказом</w:t>
              </w:r>
            </w:hyperlink>
          </w:p>
          <w:p w:rsidR="00212513" w:rsidRDefault="00212513">
            <w:pPr>
              <w:pStyle w:val="ConsPlusNormal"/>
              <w:jc w:val="center"/>
            </w:pPr>
            <w:r>
              <w:rPr>
                <w:color w:val="392C69"/>
              </w:rPr>
              <w:t>Минстроя России от 11.11.2019 N 681/пр,</w:t>
            </w:r>
          </w:p>
          <w:p w:rsidR="00212513" w:rsidRDefault="00212513">
            <w:pPr>
              <w:pStyle w:val="ConsPlusNormal"/>
              <w:jc w:val="center"/>
            </w:pPr>
            <w:hyperlink r:id="rId12">
              <w:r>
                <w:rPr>
                  <w:color w:val="0000FF"/>
                </w:rPr>
                <w:t>Изменения N 3</w:t>
              </w:r>
            </w:hyperlink>
            <w:r>
              <w:rPr>
                <w:color w:val="392C69"/>
              </w:rPr>
              <w:t xml:space="preserve">, утв. </w:t>
            </w:r>
            <w:hyperlink r:id="rId13">
              <w:r>
                <w:rPr>
                  <w:color w:val="0000FF"/>
                </w:rPr>
                <w:t>Приказом</w:t>
              </w:r>
            </w:hyperlink>
          </w:p>
          <w:p w:rsidR="00212513" w:rsidRDefault="00212513">
            <w:pPr>
              <w:pStyle w:val="ConsPlusNormal"/>
              <w:jc w:val="center"/>
            </w:pPr>
            <w:r>
              <w:rPr>
                <w:color w:val="392C69"/>
              </w:rPr>
              <w:t>Минстроя России от 29.12.2020 N 891/пр,</w:t>
            </w:r>
          </w:p>
          <w:p w:rsidR="00212513" w:rsidRDefault="00212513">
            <w:pPr>
              <w:pStyle w:val="ConsPlusNormal"/>
              <w:jc w:val="center"/>
            </w:pPr>
            <w:hyperlink r:id="rId14">
              <w:r>
                <w:rPr>
                  <w:color w:val="0000FF"/>
                </w:rPr>
                <w:t>Изменения N 4</w:t>
              </w:r>
            </w:hyperlink>
            <w:r>
              <w:rPr>
                <w:color w:val="392C69"/>
              </w:rPr>
              <w:t xml:space="preserve">, утв. </w:t>
            </w:r>
            <w:hyperlink r:id="rId15">
              <w:r>
                <w:rPr>
                  <w:color w:val="0000FF"/>
                </w:rPr>
                <w:t>Приказом</w:t>
              </w:r>
            </w:hyperlink>
          </w:p>
          <w:p w:rsidR="00212513" w:rsidRDefault="00212513">
            <w:pPr>
              <w:pStyle w:val="ConsPlusNormal"/>
              <w:jc w:val="center"/>
            </w:pPr>
            <w:r>
              <w:rPr>
                <w:color w:val="392C69"/>
              </w:rPr>
              <w:t>Минстроя России от 30.05.2024 N 361/пр,</w:t>
            </w:r>
          </w:p>
          <w:p w:rsidR="00212513" w:rsidRDefault="00212513">
            <w:pPr>
              <w:pStyle w:val="ConsPlusNormal"/>
              <w:jc w:val="center"/>
            </w:pPr>
            <w:hyperlink r:id="rId16">
              <w:r>
                <w:rPr>
                  <w:color w:val="0000FF"/>
                </w:rPr>
                <w:t>Изменения N 5</w:t>
              </w:r>
            </w:hyperlink>
            <w:r>
              <w:rPr>
                <w:color w:val="392C69"/>
              </w:rPr>
              <w:t xml:space="preserve">, утв. </w:t>
            </w:r>
            <w:hyperlink r:id="rId17">
              <w:r>
                <w:rPr>
                  <w:color w:val="0000FF"/>
                </w:rPr>
                <w:t>Приказом</w:t>
              </w:r>
            </w:hyperlink>
          </w:p>
          <w:p w:rsidR="00212513" w:rsidRDefault="00212513">
            <w:pPr>
              <w:pStyle w:val="ConsPlusNormal"/>
              <w:jc w:val="center"/>
            </w:pPr>
            <w:r>
              <w:rPr>
                <w:color w:val="392C69"/>
              </w:rPr>
              <w:t>Минстроя России от 20.09.2024 N 636/пр)</w:t>
            </w:r>
          </w:p>
        </w:tc>
        <w:tc>
          <w:tcPr>
            <w:tcW w:w="113" w:type="dxa"/>
            <w:tcBorders>
              <w:top w:val="nil"/>
              <w:left w:val="nil"/>
              <w:bottom w:val="nil"/>
              <w:right w:val="nil"/>
            </w:tcBorders>
            <w:shd w:val="clear" w:color="auto" w:fill="F4F3F8"/>
            <w:tcMar>
              <w:top w:w="0" w:type="dxa"/>
              <w:left w:w="0" w:type="dxa"/>
              <w:bottom w:w="0" w:type="dxa"/>
              <w:right w:w="0" w:type="dxa"/>
            </w:tcMar>
          </w:tcPr>
          <w:p w:rsidR="00212513" w:rsidRDefault="00212513">
            <w:pPr>
              <w:pStyle w:val="ConsPlusNormal"/>
            </w:pPr>
          </w:p>
        </w:tc>
      </w:tr>
    </w:tbl>
    <w:p w:rsidR="00212513" w:rsidRDefault="00212513">
      <w:pPr>
        <w:pStyle w:val="ConsPlusNormal"/>
        <w:jc w:val="center"/>
      </w:pPr>
    </w:p>
    <w:p w:rsidR="00212513" w:rsidRDefault="00212513">
      <w:pPr>
        <w:pStyle w:val="ConsPlusNormal"/>
        <w:jc w:val="right"/>
      </w:pPr>
      <w:r>
        <w:rPr>
          <w:b/>
        </w:rPr>
        <w:t>Дата введения</w:t>
      </w:r>
    </w:p>
    <w:p w:rsidR="00212513" w:rsidRDefault="00212513">
      <w:pPr>
        <w:pStyle w:val="ConsPlusNormal"/>
        <w:jc w:val="right"/>
      </w:pPr>
      <w:r>
        <w:rPr>
          <w:b/>
        </w:rPr>
        <w:t>20 мая 2011 года</w:t>
      </w:r>
    </w:p>
    <w:p w:rsidR="00212513" w:rsidRDefault="00212513">
      <w:pPr>
        <w:pStyle w:val="ConsPlusNormal"/>
        <w:jc w:val="center"/>
      </w:pPr>
    </w:p>
    <w:p w:rsidR="00212513" w:rsidRDefault="00212513">
      <w:pPr>
        <w:pStyle w:val="ConsPlusTitle"/>
        <w:jc w:val="center"/>
        <w:outlineLvl w:val="1"/>
      </w:pPr>
      <w:r>
        <w:t>Предисловие</w:t>
      </w:r>
    </w:p>
    <w:p w:rsidR="00212513" w:rsidRDefault="00212513">
      <w:pPr>
        <w:pStyle w:val="ConsPlusNormal"/>
        <w:jc w:val="center"/>
      </w:pPr>
    </w:p>
    <w:p w:rsidR="00212513" w:rsidRDefault="00212513">
      <w:pPr>
        <w:pStyle w:val="ConsPlusNormal"/>
        <w:ind w:firstLine="540"/>
        <w:jc w:val="both"/>
      </w:pPr>
      <w:r>
        <w:t xml:space="preserve">Цели и принципы стандартизации в Российской Федерации установлены Федеральным </w:t>
      </w:r>
      <w:hyperlink r:id="rId18">
        <w:r>
          <w:rPr>
            <w:color w:val="0000FF"/>
          </w:rPr>
          <w:t>законом</w:t>
        </w:r>
      </w:hyperlink>
      <w:r>
        <w:t xml:space="preserve"> от 27 декабря 2002 г. N 184-ФЗ "О техническом регулировании", а правила разработки - </w:t>
      </w:r>
      <w:hyperlink r:id="rId19">
        <w:r>
          <w:rPr>
            <w:color w:val="0000FF"/>
          </w:rPr>
          <w:t>Постановлением</w:t>
        </w:r>
      </w:hyperlink>
      <w:r>
        <w:t xml:space="preserve"> Правительства Российской Федерации от 19 ноября 2008 г. N 858 "О порядке разработки и утверждения сводов правил".</w:t>
      </w:r>
    </w:p>
    <w:p w:rsidR="00212513" w:rsidRDefault="00212513">
      <w:pPr>
        <w:pStyle w:val="ConsPlusNormal"/>
        <w:ind w:firstLine="540"/>
        <w:jc w:val="both"/>
      </w:pPr>
    </w:p>
    <w:p w:rsidR="00212513" w:rsidRDefault="00212513">
      <w:pPr>
        <w:pStyle w:val="ConsPlusTitle"/>
        <w:ind w:firstLine="540"/>
        <w:jc w:val="both"/>
        <w:outlineLvl w:val="1"/>
      </w:pPr>
      <w:r>
        <w:t>Сведения о своде правил</w:t>
      </w:r>
    </w:p>
    <w:p w:rsidR="00212513" w:rsidRDefault="00212513">
      <w:pPr>
        <w:pStyle w:val="ConsPlusNormal"/>
        <w:ind w:firstLine="540"/>
        <w:jc w:val="both"/>
      </w:pPr>
    </w:p>
    <w:p w:rsidR="00212513" w:rsidRDefault="00212513">
      <w:pPr>
        <w:pStyle w:val="ConsPlusNormal"/>
        <w:ind w:firstLine="540"/>
        <w:jc w:val="both"/>
      </w:pPr>
      <w:r>
        <w:t>1 ИСПОЛНИТЕЛЬ - ОАО "ЦНИИС"</w:t>
      </w:r>
    </w:p>
    <w:p w:rsidR="00212513" w:rsidRDefault="00212513">
      <w:pPr>
        <w:pStyle w:val="ConsPlusNormal"/>
        <w:spacing w:before="220"/>
        <w:ind w:firstLine="540"/>
        <w:jc w:val="both"/>
      </w:pPr>
      <w:r>
        <w:t>2 ВНЕСЕН Техническим комитетом по стандартизации ТК 465 "Строительство"</w:t>
      </w:r>
    </w:p>
    <w:p w:rsidR="00212513" w:rsidRDefault="00212513">
      <w:pPr>
        <w:pStyle w:val="ConsPlusNormal"/>
        <w:spacing w:before="220"/>
        <w:ind w:firstLine="540"/>
        <w:jc w:val="both"/>
      </w:pPr>
      <w:r>
        <w:t>3 ПОДГОТОВЛЕН к утверждению Департаментом архитектуры, строительства и градостроительной политики</w:t>
      </w:r>
    </w:p>
    <w:p w:rsidR="00212513" w:rsidRDefault="00212513">
      <w:pPr>
        <w:pStyle w:val="ConsPlusNormal"/>
        <w:spacing w:before="220"/>
        <w:ind w:firstLine="540"/>
        <w:jc w:val="both"/>
      </w:pPr>
      <w:r>
        <w:t xml:space="preserve">4 УТВЕРЖДЕН </w:t>
      </w:r>
      <w:hyperlink r:id="rId20">
        <w:r>
          <w:rPr>
            <w:color w:val="0000FF"/>
          </w:rPr>
          <w:t>Приказом</w:t>
        </w:r>
      </w:hyperlink>
      <w:r>
        <w:t xml:space="preserve"> Министерства регионального развития Российской Федерации (Минрегион России) от 28 декабря 2010 г. N 822 и введен в действие с 20 мая 2011 г.</w:t>
      </w:r>
    </w:p>
    <w:p w:rsidR="00212513" w:rsidRDefault="00212513">
      <w:pPr>
        <w:pStyle w:val="ConsPlusNormal"/>
        <w:spacing w:before="220"/>
        <w:ind w:firstLine="540"/>
        <w:jc w:val="both"/>
      </w:pPr>
      <w:r>
        <w:t>5 ЗАРЕГИСТРИРОВАН Федеральным агентством по техническому регулированию и метрологии (Росстандарт). Пересмотр СП 35.13330.2010</w:t>
      </w:r>
    </w:p>
    <w:p w:rsidR="00212513" w:rsidRDefault="00212513">
      <w:pPr>
        <w:pStyle w:val="ConsPlusNormal"/>
        <w:ind w:firstLine="540"/>
        <w:jc w:val="both"/>
      </w:pPr>
    </w:p>
    <w:p w:rsidR="00212513" w:rsidRDefault="00212513">
      <w:pPr>
        <w:pStyle w:val="ConsPlusNormal"/>
        <w:ind w:firstLine="540"/>
        <w:jc w:val="both"/>
      </w:pPr>
      <w:r>
        <w:rPr>
          <w:i/>
        </w:rPr>
        <w:lastRenderedPageBreak/>
        <w:t>Информация об изменениях к настоящему своду правил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свода правил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(Минрегион России) в сети Интернет</w:t>
      </w:r>
    </w:p>
    <w:p w:rsidR="00212513" w:rsidRDefault="00212513">
      <w:pPr>
        <w:pStyle w:val="ConsPlusNormal"/>
        <w:ind w:firstLine="540"/>
        <w:jc w:val="both"/>
      </w:pPr>
    </w:p>
    <w:p w:rsidR="00212513" w:rsidRDefault="00212513">
      <w:pPr>
        <w:pStyle w:val="ConsPlusTitle"/>
        <w:jc w:val="center"/>
        <w:outlineLvl w:val="1"/>
      </w:pPr>
      <w:r>
        <w:t>Введение</w:t>
      </w:r>
    </w:p>
    <w:p w:rsidR="00212513" w:rsidRDefault="00212513">
      <w:pPr>
        <w:pStyle w:val="ConsPlusNormal"/>
        <w:ind w:firstLine="540"/>
        <w:jc w:val="both"/>
      </w:pPr>
    </w:p>
    <w:p w:rsidR="00212513" w:rsidRDefault="00212513">
      <w:pPr>
        <w:pStyle w:val="ConsPlusNormal"/>
        <w:ind w:firstLine="540"/>
        <w:jc w:val="both"/>
      </w:pPr>
      <w:r>
        <w:t xml:space="preserve">Настоящий свод правил составлен с целью повышения уровня безопасности людей в зданиях и сооружениях и сохранности материальных ценностей в соответствии с Федеральным </w:t>
      </w:r>
      <w:hyperlink r:id="rId21">
        <w:r>
          <w:rPr>
            <w:color w:val="0000FF"/>
          </w:rPr>
          <w:t>законом</w:t>
        </w:r>
      </w:hyperlink>
      <w:r>
        <w:t xml:space="preserve"> от 30 декабря 2009 г. N 384-ФЗ "Технический регламент о безопасности зданий и сооружений", повышения уровня гармонизации нормативных требований с европейскими и международными нормативными документами, применения единых методов определения и оценки эксплуатационных характеристик. Учитывались также требования Федерального </w:t>
      </w:r>
      <w:hyperlink r:id="rId22">
        <w:r>
          <w:rPr>
            <w:color w:val="0000FF"/>
          </w:rPr>
          <w:t>закона</w:t>
        </w:r>
      </w:hyperlink>
      <w:r>
        <w:t xml:space="preserve"> от 22 июля 2008 г. N 123-ФЗ "Технический регламент о требованиях пожарной безопасности" и сводов правил системы противопожарной защиты.</w:t>
      </w:r>
    </w:p>
    <w:p w:rsidR="00212513" w:rsidRDefault="00212513">
      <w:pPr>
        <w:pStyle w:val="ConsPlusNormal"/>
        <w:jc w:val="both"/>
      </w:pPr>
      <w:r>
        <w:t xml:space="preserve">(в ред. </w:t>
      </w:r>
      <w:hyperlink r:id="rId23">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Свод правил содержит нормы по проектированию новых реконструируемых и подлежащих капитальному ремонту мостовых сооружений и труб под насыпями.</w:t>
      </w:r>
    </w:p>
    <w:p w:rsidR="00212513" w:rsidRDefault="00212513">
      <w:pPr>
        <w:pStyle w:val="ConsPlusNormal"/>
        <w:jc w:val="both"/>
      </w:pPr>
      <w:r>
        <w:t xml:space="preserve">(в ред. </w:t>
      </w:r>
      <w:hyperlink r:id="rId24">
        <w:r>
          <w:rPr>
            <w:color w:val="0000FF"/>
          </w:rPr>
          <w:t>Изменения N 3</w:t>
        </w:r>
      </w:hyperlink>
      <w:r>
        <w:t xml:space="preserve">, утв. Приказом Минстроя России от 29.12.2020 N 891/пр, </w:t>
      </w:r>
      <w:hyperlink r:id="rId25">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 xml:space="preserve">Работа выполнена авторским коллективом: ОАО "ЦНИИС" (д-р техн. наук </w:t>
      </w:r>
      <w:r>
        <w:rPr>
          <w:i/>
        </w:rPr>
        <w:t>А.А. Цернант</w:t>
      </w:r>
      <w:r>
        <w:t xml:space="preserve">; кандидаты техн. наук </w:t>
      </w:r>
      <w:r>
        <w:rPr>
          <w:i/>
        </w:rPr>
        <w:t>Ю.В. Новак</w:t>
      </w:r>
      <w:r>
        <w:t xml:space="preserve">, </w:t>
      </w:r>
      <w:r>
        <w:rPr>
          <w:i/>
        </w:rPr>
        <w:t>Ю.М. Егорушкин</w:t>
      </w:r>
      <w:r>
        <w:t xml:space="preserve">, </w:t>
      </w:r>
      <w:r>
        <w:rPr>
          <w:i/>
        </w:rPr>
        <w:t>Э.А. Балючик</w:t>
      </w:r>
      <w:r>
        <w:t xml:space="preserve">, </w:t>
      </w:r>
      <w:r>
        <w:rPr>
          <w:i/>
        </w:rPr>
        <w:t>В.Г. Гребенчук</w:t>
      </w:r>
      <w:r>
        <w:t xml:space="preserve">, </w:t>
      </w:r>
      <w:r>
        <w:rPr>
          <w:i/>
        </w:rPr>
        <w:t>А.Д. Соколов</w:t>
      </w:r>
      <w:r>
        <w:t xml:space="preserve">; д-р техн. наук </w:t>
      </w:r>
      <w:r>
        <w:rPr>
          <w:i/>
        </w:rPr>
        <w:t>А.С. Платонов</w:t>
      </w:r>
      <w:r>
        <w:t xml:space="preserve">; инженеры </w:t>
      </w:r>
      <w:r>
        <w:rPr>
          <w:i/>
        </w:rPr>
        <w:t>Ю.М. Жуков</w:t>
      </w:r>
      <w:r>
        <w:t xml:space="preserve">, </w:t>
      </w:r>
      <w:r>
        <w:rPr>
          <w:i/>
        </w:rPr>
        <w:t>Р.И. Рубинчик</w:t>
      </w:r>
      <w:r>
        <w:t xml:space="preserve">, </w:t>
      </w:r>
      <w:r>
        <w:rPr>
          <w:i/>
        </w:rPr>
        <w:t>А.В. Кручинкин</w:t>
      </w:r>
      <w:r>
        <w:t xml:space="preserve">) при участии: МАДИ (д-р техн. наук </w:t>
      </w:r>
      <w:r>
        <w:rPr>
          <w:i/>
        </w:rPr>
        <w:t>А.И. Васильев</w:t>
      </w:r>
      <w:r>
        <w:t xml:space="preserve">), ООО "НПП СК МОСТ" (канд. техн. наук </w:t>
      </w:r>
      <w:r>
        <w:rPr>
          <w:i/>
        </w:rPr>
        <w:t>И.Д. Сахарова</w:t>
      </w:r>
      <w:r>
        <w:t xml:space="preserve">), ООО "Союздорпроект" (инженер </w:t>
      </w:r>
      <w:r>
        <w:rPr>
          <w:i/>
        </w:rPr>
        <w:t>Ф.В. Винокур</w:t>
      </w:r>
      <w:r>
        <w:t xml:space="preserve">), ФГУП "РОСДОРНИИ" (д-р техн. наук </w:t>
      </w:r>
      <w:r>
        <w:rPr>
          <w:i/>
        </w:rPr>
        <w:t>В.И. Шестериков</w:t>
      </w:r>
      <w:r>
        <w:t xml:space="preserve">), ЗАО НПКТБ "Оптимизация" (д-р техн. наук </w:t>
      </w:r>
      <w:r>
        <w:rPr>
          <w:i/>
        </w:rPr>
        <w:t>М.Б. Краковский</w:t>
      </w:r>
      <w:r>
        <w:t xml:space="preserve">), ОАО "ВНИИЖТ" (канд. техн. наук </w:t>
      </w:r>
      <w:r>
        <w:rPr>
          <w:i/>
        </w:rPr>
        <w:t>А.А. Дорошкевич</w:t>
      </w:r>
      <w:r>
        <w:t>).</w:t>
      </w:r>
    </w:p>
    <w:p w:rsidR="00212513" w:rsidRDefault="00212513">
      <w:pPr>
        <w:pStyle w:val="ConsPlusNormal"/>
        <w:spacing w:before="220"/>
        <w:ind w:firstLine="540"/>
        <w:jc w:val="both"/>
      </w:pPr>
      <w:r>
        <w:t xml:space="preserve">Изменение N 1 подготовлено: АО "ЦНИИС" (кандидаты техн. наук </w:t>
      </w:r>
      <w:r>
        <w:rPr>
          <w:i/>
        </w:rPr>
        <w:t>Ю.М. Егорушкин</w:t>
      </w:r>
      <w:r>
        <w:t xml:space="preserve"> - ответственный исполнитель, </w:t>
      </w:r>
      <w:r>
        <w:rPr>
          <w:i/>
        </w:rPr>
        <w:t>Н.В. Илюшин</w:t>
      </w:r>
      <w:r>
        <w:t xml:space="preserve">, </w:t>
      </w:r>
      <w:r>
        <w:rPr>
          <w:i/>
        </w:rPr>
        <w:t>Ю.В. Новак</w:t>
      </w:r>
      <w:r>
        <w:t xml:space="preserve">, </w:t>
      </w:r>
      <w:r>
        <w:rPr>
          <w:i/>
        </w:rPr>
        <w:t>В.Г. Гребенчук</w:t>
      </w:r>
      <w:r>
        <w:t xml:space="preserve">, </w:t>
      </w:r>
      <w:r>
        <w:rPr>
          <w:i/>
        </w:rPr>
        <w:t>А.Д. Соколов</w:t>
      </w:r>
      <w:r>
        <w:t xml:space="preserve">; инженеры </w:t>
      </w:r>
      <w:r>
        <w:rPr>
          <w:i/>
        </w:rPr>
        <w:t>В.В. Одинцов</w:t>
      </w:r>
      <w:r>
        <w:t xml:space="preserve">, </w:t>
      </w:r>
      <w:r>
        <w:rPr>
          <w:i/>
        </w:rPr>
        <w:t>В.И. Звирь</w:t>
      </w:r>
      <w:r>
        <w:t xml:space="preserve">, </w:t>
      </w:r>
      <w:r>
        <w:rPr>
          <w:i/>
        </w:rPr>
        <w:t>Р.И. Рубинчик</w:t>
      </w:r>
      <w:r>
        <w:t xml:space="preserve">, </w:t>
      </w:r>
      <w:r>
        <w:rPr>
          <w:i/>
        </w:rPr>
        <w:t>Н.Ю. Новак</w:t>
      </w:r>
      <w:r>
        <w:t xml:space="preserve">, </w:t>
      </w:r>
      <w:r>
        <w:rPr>
          <w:i/>
        </w:rPr>
        <w:t>А.А. Гладков</w:t>
      </w:r>
      <w:r>
        <w:t xml:space="preserve">); ООО "ИЦ "МиТ" (инженер </w:t>
      </w:r>
      <w:r>
        <w:rPr>
          <w:i/>
        </w:rPr>
        <w:t>Ф.В. Винокур</w:t>
      </w:r>
      <w:r>
        <w:t xml:space="preserve">); "НПП СК МОСТ" (канд. техн. наук </w:t>
      </w:r>
      <w:r>
        <w:rPr>
          <w:i/>
        </w:rPr>
        <w:t>И.Д. Сахарова</w:t>
      </w:r>
      <w:r>
        <w:t xml:space="preserve">); ЗАО "Институт ИМИДИС" (д-р техн. наук </w:t>
      </w:r>
      <w:r>
        <w:rPr>
          <w:i/>
        </w:rPr>
        <w:t>А.И. Васильев</w:t>
      </w:r>
      <w:r>
        <w:t xml:space="preserve">, канд. техн. наук </w:t>
      </w:r>
      <w:r>
        <w:rPr>
          <w:i/>
        </w:rPr>
        <w:t>А.С. Бейвель</w:t>
      </w:r>
      <w:r>
        <w:t xml:space="preserve">); ОАО "Институт Гипростроймост" (инженер </w:t>
      </w:r>
      <w:r>
        <w:rPr>
          <w:i/>
        </w:rPr>
        <w:t>Э.М. Гитман</w:t>
      </w:r>
      <w:r>
        <w:t xml:space="preserve">); ЗАО "НИЦ "Мосты" (канд. техн. наук </w:t>
      </w:r>
      <w:r>
        <w:rPr>
          <w:i/>
        </w:rPr>
        <w:t>Э.А. Балючик</w:t>
      </w:r>
      <w:r>
        <w:t xml:space="preserve">); АО "ВНИИЖТ" (канд. техн. наук </w:t>
      </w:r>
      <w:r>
        <w:rPr>
          <w:i/>
        </w:rPr>
        <w:t>А.А. Дорошкевич</w:t>
      </w:r>
      <w:r>
        <w:t>).</w:t>
      </w:r>
    </w:p>
    <w:p w:rsidR="00212513" w:rsidRDefault="00212513">
      <w:pPr>
        <w:pStyle w:val="ConsPlusNormal"/>
        <w:jc w:val="both"/>
      </w:pPr>
      <w:r>
        <w:t xml:space="preserve">(абзац введен </w:t>
      </w:r>
      <w:hyperlink r:id="rId26">
        <w:r>
          <w:rPr>
            <w:color w:val="0000FF"/>
          </w:rPr>
          <w:t>Изменением N 1</w:t>
        </w:r>
      </w:hyperlink>
      <w:r>
        <w:t>, утв. Приказом Минстроя России от 03.12.2016 N 879/пр)</w:t>
      </w:r>
    </w:p>
    <w:p w:rsidR="00212513" w:rsidRDefault="00212513">
      <w:pPr>
        <w:pStyle w:val="ConsPlusNormal"/>
        <w:spacing w:before="220"/>
        <w:ind w:firstLine="540"/>
        <w:jc w:val="both"/>
      </w:pPr>
      <w:r>
        <w:t xml:space="preserve">Изменение N 2 к настоящему своду правил разработано авторским коллективом: "ЗАО "Институт "ИМИДИС" (канд. техн. наук </w:t>
      </w:r>
      <w:r>
        <w:rPr>
          <w:i/>
        </w:rPr>
        <w:t>А.С. Бейвель</w:t>
      </w:r>
      <w:r>
        <w:t xml:space="preserve">), ФГУП "ЦАГИ" (канд. техн. наук </w:t>
      </w:r>
      <w:r>
        <w:rPr>
          <w:i/>
        </w:rPr>
        <w:t>А.В. Панков</w:t>
      </w:r>
      <w:r>
        <w:t xml:space="preserve">), АО "НПО "Стеклопластик" (канд. техн. наук </w:t>
      </w:r>
      <w:r>
        <w:rPr>
          <w:i/>
        </w:rPr>
        <w:t>А.Ф. Косолапов</w:t>
      </w:r>
      <w:r>
        <w:t>), Союзкомпозит (</w:t>
      </w:r>
      <w:r>
        <w:rPr>
          <w:i/>
        </w:rPr>
        <w:t>С.Ю. Ветохин</w:t>
      </w:r>
      <w:r>
        <w:t xml:space="preserve">, </w:t>
      </w:r>
      <w:r>
        <w:rPr>
          <w:i/>
        </w:rPr>
        <w:t>А.В. Гералтовский</w:t>
      </w:r>
      <w:r>
        <w:t xml:space="preserve">), ОАО "Композит Сольюшен" (канд. техн. наук </w:t>
      </w:r>
      <w:r>
        <w:rPr>
          <w:i/>
        </w:rPr>
        <w:t>В.П. Полиновский</w:t>
      </w:r>
      <w:r>
        <w:t>).</w:t>
      </w:r>
    </w:p>
    <w:p w:rsidR="00212513" w:rsidRDefault="00212513">
      <w:pPr>
        <w:pStyle w:val="ConsPlusNormal"/>
        <w:jc w:val="both"/>
      </w:pPr>
      <w:r>
        <w:t xml:space="preserve">(абзац введен </w:t>
      </w:r>
      <w:hyperlink r:id="rId27">
        <w:r>
          <w:rPr>
            <w:color w:val="0000FF"/>
          </w:rPr>
          <w:t>Изменением N 2</w:t>
        </w:r>
      </w:hyperlink>
      <w:r>
        <w:t>, утв. Приказом Минстроя России от 11.11.2019 N 681/пр)</w:t>
      </w:r>
    </w:p>
    <w:p w:rsidR="00212513" w:rsidRDefault="00212513">
      <w:pPr>
        <w:pStyle w:val="ConsPlusNormal"/>
        <w:spacing w:before="220"/>
        <w:ind w:firstLine="540"/>
        <w:jc w:val="both"/>
      </w:pPr>
      <w:r>
        <w:t xml:space="preserve">Изменение N 3 подготовлено авторским коллективом АО "ЦНИИТС" (канд. техн. наук </w:t>
      </w:r>
      <w:r>
        <w:rPr>
          <w:i/>
        </w:rPr>
        <w:t>Ю.М. Егорушкин</w:t>
      </w:r>
      <w:r>
        <w:t xml:space="preserve">, канд. техн. наук </w:t>
      </w:r>
      <w:r>
        <w:rPr>
          <w:i/>
        </w:rPr>
        <w:t>Ю.В. Новак</w:t>
      </w:r>
      <w:r>
        <w:t xml:space="preserve">, канд. техн. наук </w:t>
      </w:r>
      <w:r>
        <w:rPr>
          <w:i/>
        </w:rPr>
        <w:t>И.С. Сухов</w:t>
      </w:r>
      <w:r>
        <w:t xml:space="preserve">, канд. техн. наук </w:t>
      </w:r>
      <w:r>
        <w:rPr>
          <w:i/>
        </w:rPr>
        <w:t>А.А. Назаров</w:t>
      </w:r>
      <w:r>
        <w:t xml:space="preserve">, канд. техн. наук </w:t>
      </w:r>
      <w:r>
        <w:rPr>
          <w:i/>
        </w:rPr>
        <w:t>М.С. Наумов</w:t>
      </w:r>
      <w:r>
        <w:t>); ООО "ИЦ "МиТ" (</w:t>
      </w:r>
      <w:r>
        <w:rPr>
          <w:i/>
        </w:rPr>
        <w:t>Ф.В. Винокур</w:t>
      </w:r>
      <w:r>
        <w:t xml:space="preserve">); "НПП СК МОСТ" (канд. техн. наук </w:t>
      </w:r>
      <w:r>
        <w:rPr>
          <w:i/>
        </w:rPr>
        <w:t>И.Д. Сахарова</w:t>
      </w:r>
      <w:r>
        <w:t xml:space="preserve">); МАДИ (д-р техн. наук </w:t>
      </w:r>
      <w:r>
        <w:rPr>
          <w:i/>
        </w:rPr>
        <w:t>А.И. Васильев</w:t>
      </w:r>
      <w:r>
        <w:t xml:space="preserve">); ООО "НИЦ "Мосты" (канд. техн. наук </w:t>
      </w:r>
      <w:r>
        <w:rPr>
          <w:i/>
        </w:rPr>
        <w:t>Э.А. Балючик</w:t>
      </w:r>
      <w:r>
        <w:t xml:space="preserve">, </w:t>
      </w:r>
      <w:r>
        <w:rPr>
          <w:i/>
        </w:rPr>
        <w:t>А.А. Сергеев</w:t>
      </w:r>
      <w:r>
        <w:t xml:space="preserve">, </w:t>
      </w:r>
      <w:r>
        <w:rPr>
          <w:i/>
        </w:rPr>
        <w:t>В.С. Мыцик);</w:t>
      </w:r>
      <w:r>
        <w:t xml:space="preserve"> ООО "Мастерская мостов" (канд. техн. наук </w:t>
      </w:r>
      <w:r>
        <w:rPr>
          <w:i/>
        </w:rPr>
        <w:t>Н.В. Илюшин, Н.Ю. Новак);</w:t>
      </w:r>
      <w:r>
        <w:t xml:space="preserve"> ООО "ЦСП Мосты" (канд. техн. наук </w:t>
      </w:r>
      <w:r>
        <w:rPr>
          <w:i/>
        </w:rPr>
        <w:t>В.Г. Гребенчук</w:t>
      </w:r>
      <w:r>
        <w:t>).</w:t>
      </w:r>
    </w:p>
    <w:p w:rsidR="00212513" w:rsidRDefault="00212513">
      <w:pPr>
        <w:pStyle w:val="ConsPlusNormal"/>
        <w:jc w:val="both"/>
      </w:pPr>
      <w:r>
        <w:lastRenderedPageBreak/>
        <w:t xml:space="preserve">(абзац введен </w:t>
      </w:r>
      <w:hyperlink r:id="rId28">
        <w:r>
          <w:rPr>
            <w:color w:val="0000FF"/>
          </w:rPr>
          <w:t>Изменением N 3</w:t>
        </w:r>
      </w:hyperlink>
      <w:r>
        <w:t>, утв. Приказом Минстроя России от 29.12.2020 N 891/пр)</w:t>
      </w:r>
    </w:p>
    <w:p w:rsidR="00212513" w:rsidRDefault="00212513">
      <w:pPr>
        <w:pStyle w:val="ConsPlusNormal"/>
        <w:spacing w:before="220"/>
        <w:ind w:firstLine="540"/>
        <w:jc w:val="both"/>
      </w:pPr>
      <w:r>
        <w:t xml:space="preserve">Изменение N 4 подготовлено авторским коллективом ООО "Мастерская Мостов" (канд. техн. наук </w:t>
      </w:r>
      <w:r>
        <w:rPr>
          <w:i/>
        </w:rPr>
        <w:t>Н.В. Илюшин</w:t>
      </w:r>
      <w:r>
        <w:t xml:space="preserve">, </w:t>
      </w:r>
      <w:r>
        <w:rPr>
          <w:i/>
        </w:rPr>
        <w:t>Н.Ю. Новак</w:t>
      </w:r>
      <w:r>
        <w:t xml:space="preserve">, </w:t>
      </w:r>
      <w:r>
        <w:rPr>
          <w:i/>
        </w:rPr>
        <w:t>А.А. Гладков</w:t>
      </w:r>
      <w:r>
        <w:t xml:space="preserve">, </w:t>
      </w:r>
      <w:r>
        <w:rPr>
          <w:i/>
        </w:rPr>
        <w:t>А.Г. Никифорова</w:t>
      </w:r>
      <w:r>
        <w:t xml:space="preserve">); АО "ЦНИИТС" (канд. техн. наук </w:t>
      </w:r>
      <w:r>
        <w:rPr>
          <w:i/>
        </w:rPr>
        <w:t>Ю.М. Егорушкин</w:t>
      </w:r>
      <w:r>
        <w:t xml:space="preserve">, канд. техн. наук </w:t>
      </w:r>
      <w:r>
        <w:rPr>
          <w:i/>
        </w:rPr>
        <w:t>Ю.В. Новак</w:t>
      </w:r>
      <w:r>
        <w:t>); ООО "ИЦ "МиТ" (</w:t>
      </w:r>
      <w:r>
        <w:rPr>
          <w:i/>
        </w:rPr>
        <w:t>Ф.В. Винокур</w:t>
      </w:r>
      <w:r>
        <w:t xml:space="preserve">); ООО "ЦСП Мосты" (канд. техн. наук </w:t>
      </w:r>
      <w:r>
        <w:rPr>
          <w:i/>
        </w:rPr>
        <w:t>В.Г. Гребенчук</w:t>
      </w:r>
      <w:r>
        <w:t>); Союзкомпозит (</w:t>
      </w:r>
      <w:r>
        <w:rPr>
          <w:i/>
        </w:rPr>
        <w:t>С.Ю. Ветохин</w:t>
      </w:r>
      <w:r>
        <w:t>).</w:t>
      </w:r>
    </w:p>
    <w:p w:rsidR="00212513" w:rsidRDefault="00212513">
      <w:pPr>
        <w:pStyle w:val="ConsPlusNormal"/>
        <w:jc w:val="both"/>
      </w:pPr>
      <w:r>
        <w:t xml:space="preserve">(абзац введен </w:t>
      </w:r>
      <w:hyperlink r:id="rId29">
        <w:r>
          <w:rPr>
            <w:color w:val="0000FF"/>
          </w:rPr>
          <w:t>Изменением N 4</w:t>
        </w:r>
      </w:hyperlink>
      <w:r>
        <w:t>, утв. Приказом Минстроя России от 30.05.2024 N 361/пр)</w:t>
      </w:r>
    </w:p>
    <w:p w:rsidR="00212513" w:rsidRDefault="00212513">
      <w:pPr>
        <w:pStyle w:val="ConsPlusNormal"/>
        <w:ind w:firstLine="540"/>
        <w:jc w:val="both"/>
      </w:pPr>
    </w:p>
    <w:p w:rsidR="00212513" w:rsidRDefault="00212513">
      <w:pPr>
        <w:pStyle w:val="ConsPlusTitle"/>
        <w:ind w:firstLine="540"/>
        <w:jc w:val="both"/>
        <w:outlineLvl w:val="1"/>
      </w:pPr>
      <w:r>
        <w:t>1 Область применения</w:t>
      </w:r>
    </w:p>
    <w:p w:rsidR="00212513" w:rsidRDefault="00212513">
      <w:pPr>
        <w:pStyle w:val="ConsPlusNormal"/>
        <w:ind w:firstLine="540"/>
        <w:jc w:val="both"/>
      </w:pPr>
    </w:p>
    <w:p w:rsidR="00212513" w:rsidRDefault="00212513">
      <w:pPr>
        <w:pStyle w:val="ConsPlusNormal"/>
        <w:ind w:firstLine="540"/>
        <w:jc w:val="both"/>
      </w:pPr>
      <w:r>
        <w:t>Настоящий свод правил распространяется на проектирование новых, реконструируемых и подлежащих капитальному ремонту постоянных мостовых сооружений (далее - мостов) и труб:</w:t>
      </w:r>
    </w:p>
    <w:p w:rsidR="00212513" w:rsidRDefault="00212513">
      <w:pPr>
        <w:pStyle w:val="ConsPlusNormal"/>
        <w:jc w:val="both"/>
      </w:pPr>
      <w:r>
        <w:t xml:space="preserve">(в ред. </w:t>
      </w:r>
      <w:hyperlink r:id="rId30">
        <w:r>
          <w:rPr>
            <w:color w:val="0000FF"/>
          </w:rPr>
          <w:t>Изменения N 1</w:t>
        </w:r>
      </w:hyperlink>
      <w:r>
        <w:t xml:space="preserve">, утв. Приказом Минстроя России от 03.12.2016 N 879/пр, </w:t>
      </w:r>
      <w:hyperlink r:id="rId31">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на автомобильных дорогах, включая внутрихозяйственные дороги сельскохозяйственных и промышленных предприятий, на улицах и дорогах населенных пунктов;</w:t>
      </w:r>
    </w:p>
    <w:p w:rsidR="00212513" w:rsidRDefault="00212513">
      <w:pPr>
        <w:pStyle w:val="ConsPlusNormal"/>
        <w:spacing w:before="220"/>
        <w:ind w:firstLine="540"/>
        <w:jc w:val="both"/>
      </w:pPr>
      <w:r>
        <w:t>на железных дорогах колеи 1520 мм при движении пассажирских поездов со скоростями до 200 км/ч, линиях метрополитена и трамвая;</w:t>
      </w:r>
    </w:p>
    <w:p w:rsidR="00212513" w:rsidRDefault="00212513">
      <w:pPr>
        <w:pStyle w:val="ConsPlusNormal"/>
        <w:spacing w:before="220"/>
        <w:ind w:firstLine="540"/>
        <w:jc w:val="both"/>
      </w:pPr>
      <w:r>
        <w:t>на дорогах под совмещенное движение транспортных средств - автомобильных и поездов железных дорог, трамваев и метрополитена;</w:t>
      </w:r>
    </w:p>
    <w:p w:rsidR="00212513" w:rsidRDefault="00212513">
      <w:pPr>
        <w:pStyle w:val="ConsPlusNormal"/>
        <w:spacing w:before="220"/>
        <w:ind w:firstLine="540"/>
        <w:jc w:val="both"/>
      </w:pPr>
      <w:r>
        <w:t>на пешеходных дорогах.</w:t>
      </w:r>
    </w:p>
    <w:p w:rsidR="00212513" w:rsidRDefault="00212513">
      <w:pPr>
        <w:pStyle w:val="ConsPlusNormal"/>
        <w:spacing w:before="220"/>
        <w:ind w:firstLine="540"/>
        <w:jc w:val="both"/>
      </w:pPr>
      <w:r>
        <w:t>Настоящий свод правил не распространяется на проектирование:</w:t>
      </w:r>
    </w:p>
    <w:p w:rsidR="00212513" w:rsidRDefault="00212513">
      <w:pPr>
        <w:pStyle w:val="ConsPlusNormal"/>
        <w:spacing w:before="220"/>
        <w:ind w:firstLine="540"/>
        <w:jc w:val="both"/>
      </w:pPr>
      <w:r>
        <w:t>механизмов разводных пролетов мостов;</w:t>
      </w:r>
    </w:p>
    <w:p w:rsidR="00212513" w:rsidRDefault="00212513">
      <w:pPr>
        <w:pStyle w:val="ConsPlusNormal"/>
        <w:spacing w:before="220"/>
        <w:ind w:firstLine="540"/>
        <w:jc w:val="both"/>
      </w:pPr>
      <w:r>
        <w:t>мостов и труб на автомобильных дорогах лесозаготовительных и лесохозяйственных организаций, не выходящих на сеть дорог общего пользования и к водным путям;</w:t>
      </w:r>
    </w:p>
    <w:p w:rsidR="00212513" w:rsidRDefault="00212513">
      <w:pPr>
        <w:pStyle w:val="ConsPlusNormal"/>
        <w:spacing w:before="220"/>
        <w:ind w:firstLine="540"/>
        <w:jc w:val="both"/>
      </w:pPr>
      <w:r>
        <w:t>технологических эстакад и мостов на внутриплощадочных дорогах;</w:t>
      </w:r>
    </w:p>
    <w:p w:rsidR="00212513" w:rsidRDefault="00212513">
      <w:pPr>
        <w:pStyle w:val="ConsPlusNormal"/>
        <w:spacing w:before="220"/>
        <w:ind w:firstLine="540"/>
        <w:jc w:val="both"/>
      </w:pPr>
      <w:r>
        <w:t>экодуков для миграции диких животных;</w:t>
      </w:r>
    </w:p>
    <w:p w:rsidR="00212513" w:rsidRDefault="00212513">
      <w:pPr>
        <w:pStyle w:val="ConsPlusNormal"/>
        <w:spacing w:before="220"/>
        <w:ind w:firstLine="540"/>
        <w:jc w:val="both"/>
      </w:pPr>
      <w:r>
        <w:t>галерей, конструкций для пропуска селей;</w:t>
      </w:r>
    </w:p>
    <w:p w:rsidR="00212513" w:rsidRDefault="00212513">
      <w:pPr>
        <w:pStyle w:val="ConsPlusNormal"/>
        <w:spacing w:before="220"/>
        <w:ind w:firstLine="540"/>
        <w:jc w:val="both"/>
      </w:pPr>
      <w:r>
        <w:t>коммуникационных мостов, не предназначенных для пропуска транспортных средств и пешеходов;</w:t>
      </w:r>
    </w:p>
    <w:p w:rsidR="00212513" w:rsidRDefault="00212513">
      <w:pPr>
        <w:pStyle w:val="ConsPlusNormal"/>
        <w:spacing w:before="220"/>
        <w:ind w:firstLine="540"/>
        <w:jc w:val="both"/>
      </w:pPr>
      <w:r>
        <w:t xml:space="preserve">пешеходных мостов из алюминиевых сплавов, которые следует проектировать по </w:t>
      </w:r>
      <w:hyperlink r:id="rId32">
        <w:r>
          <w:rPr>
            <w:color w:val="0000FF"/>
          </w:rPr>
          <w:t>СП 443.1325800</w:t>
        </w:r>
      </w:hyperlink>
      <w:r>
        <w:t>.</w:t>
      </w:r>
    </w:p>
    <w:p w:rsidR="00212513" w:rsidRDefault="00212513">
      <w:pPr>
        <w:pStyle w:val="ConsPlusNormal"/>
        <w:jc w:val="both"/>
      </w:pPr>
      <w:r>
        <w:t xml:space="preserve">(в ред. </w:t>
      </w:r>
      <w:hyperlink r:id="rId33">
        <w:r>
          <w:rPr>
            <w:color w:val="0000FF"/>
          </w:rPr>
          <w:t>Изменения N 4</w:t>
        </w:r>
      </w:hyperlink>
      <w:r>
        <w:t>, утв. Приказом Минстроя России от 30.05.2024 N 361/пр)</w:t>
      </w:r>
    </w:p>
    <w:p w:rsidR="00212513" w:rsidRDefault="00212513">
      <w:pPr>
        <w:pStyle w:val="ConsPlusNormal"/>
        <w:ind w:firstLine="540"/>
        <w:jc w:val="both"/>
      </w:pPr>
    </w:p>
    <w:p w:rsidR="00212513" w:rsidRDefault="00212513">
      <w:pPr>
        <w:pStyle w:val="ConsPlusTitle"/>
        <w:ind w:firstLine="540"/>
        <w:jc w:val="both"/>
        <w:outlineLvl w:val="1"/>
      </w:pPr>
      <w:r>
        <w:t>2 Нормативные ссылки</w:t>
      </w:r>
    </w:p>
    <w:p w:rsidR="00212513" w:rsidRDefault="00212513">
      <w:pPr>
        <w:pStyle w:val="ConsPlusNormal"/>
        <w:ind w:firstLine="540"/>
        <w:jc w:val="both"/>
      </w:pPr>
    </w:p>
    <w:p w:rsidR="00212513" w:rsidRDefault="00212513">
      <w:pPr>
        <w:pStyle w:val="ConsPlusNormal"/>
        <w:ind w:firstLine="540"/>
        <w:jc w:val="both"/>
      </w:pPr>
      <w:r>
        <w:t xml:space="preserve">В настоящем своде правил использованы ссылки на нормативные документы, приведенные в </w:t>
      </w:r>
      <w:hyperlink w:anchor="P11287">
        <w:r>
          <w:rPr>
            <w:color w:val="0000FF"/>
          </w:rPr>
          <w:t>приложении А</w:t>
        </w:r>
      </w:hyperlink>
      <w:r>
        <w:t>.</w:t>
      </w:r>
    </w:p>
    <w:p w:rsidR="00212513" w:rsidRDefault="00212513">
      <w:pPr>
        <w:pStyle w:val="ConsPlusNormal"/>
        <w:spacing w:before="220"/>
        <w:ind w:firstLine="540"/>
        <w:jc w:val="both"/>
      </w:pPr>
      <w:r>
        <w:t xml:space="preserve">Примечание - При пользовании настоящим сводом правил целесообразно проверить действие ссылочных стандартов и классификаторов в информационной системе общего пользования - на официальном сайте национального органа Российской Федерации по стандартизации в сети Интернет или по ежегодно издаваемому указателю "Национальные стандарты", который опубликован по состоянию на 1 января текущего года, и по соответствующим </w:t>
      </w:r>
      <w:r>
        <w:lastRenderedPageBreak/>
        <w:t>ежемесячно издаваемым информационным указателям, опубликованным в текущем году. Если ссылочный документ заменен (изменен), то при пользовании настоящим сводом правил следует руководствоваться замененным (измененным) документом. Если ссылочный документ отменен без замены, то положение, в котором дана ссылка на него, применяется в части, не затрагивающей эту ссылку.</w:t>
      </w:r>
    </w:p>
    <w:p w:rsidR="00212513" w:rsidRDefault="00212513">
      <w:pPr>
        <w:pStyle w:val="ConsPlusNormal"/>
        <w:ind w:firstLine="540"/>
        <w:jc w:val="both"/>
      </w:pPr>
    </w:p>
    <w:p w:rsidR="00212513" w:rsidRDefault="00212513">
      <w:pPr>
        <w:pStyle w:val="ConsPlusTitle"/>
        <w:ind w:firstLine="540"/>
        <w:jc w:val="both"/>
        <w:outlineLvl w:val="1"/>
      </w:pPr>
      <w:r>
        <w:t>3 Термины и определения</w:t>
      </w:r>
    </w:p>
    <w:p w:rsidR="00212513" w:rsidRDefault="00212513">
      <w:pPr>
        <w:pStyle w:val="ConsPlusNormal"/>
        <w:jc w:val="center"/>
      </w:pPr>
    </w:p>
    <w:p w:rsidR="00212513" w:rsidRDefault="00212513">
      <w:pPr>
        <w:pStyle w:val="ConsPlusNormal"/>
        <w:ind w:firstLine="540"/>
        <w:jc w:val="both"/>
      </w:pPr>
      <w:r>
        <w:t xml:space="preserve">В настоящем нормативном документе применены термины и соответствующие определения, приведенные в </w:t>
      </w:r>
      <w:hyperlink w:anchor="P11566">
        <w:r>
          <w:rPr>
            <w:color w:val="0000FF"/>
          </w:rPr>
          <w:t>приложении Б</w:t>
        </w:r>
      </w:hyperlink>
      <w:r>
        <w:t>.</w:t>
      </w:r>
    </w:p>
    <w:p w:rsidR="00212513" w:rsidRDefault="00212513">
      <w:pPr>
        <w:pStyle w:val="ConsPlusNormal"/>
        <w:ind w:firstLine="540"/>
        <w:jc w:val="both"/>
      </w:pPr>
    </w:p>
    <w:p w:rsidR="00212513" w:rsidRDefault="00212513">
      <w:pPr>
        <w:pStyle w:val="ConsPlusTitle"/>
        <w:ind w:firstLine="540"/>
        <w:jc w:val="both"/>
        <w:outlineLvl w:val="1"/>
      </w:pPr>
      <w:r>
        <w:t>4 Обозначения</w:t>
      </w:r>
    </w:p>
    <w:p w:rsidR="00212513" w:rsidRDefault="00212513">
      <w:pPr>
        <w:pStyle w:val="ConsPlusNormal"/>
        <w:jc w:val="center"/>
      </w:pPr>
    </w:p>
    <w:p w:rsidR="00212513" w:rsidRDefault="00212513">
      <w:pPr>
        <w:pStyle w:val="ConsPlusNormal"/>
        <w:ind w:firstLine="540"/>
        <w:jc w:val="both"/>
      </w:pPr>
      <w:r>
        <w:t xml:space="preserve">Основные буквенные обозначения, принятые в настоящем документе, приведены в </w:t>
      </w:r>
      <w:hyperlink w:anchor="P11696">
        <w:r>
          <w:rPr>
            <w:color w:val="0000FF"/>
          </w:rPr>
          <w:t>приложении В</w:t>
        </w:r>
      </w:hyperlink>
      <w:r>
        <w:t>.</w:t>
      </w:r>
    </w:p>
    <w:p w:rsidR="00212513" w:rsidRDefault="00212513">
      <w:pPr>
        <w:pStyle w:val="ConsPlusNormal"/>
        <w:ind w:firstLine="540"/>
        <w:jc w:val="both"/>
      </w:pPr>
    </w:p>
    <w:p w:rsidR="00212513" w:rsidRDefault="00212513">
      <w:pPr>
        <w:pStyle w:val="ConsPlusTitle"/>
        <w:ind w:firstLine="540"/>
        <w:jc w:val="both"/>
        <w:outlineLvl w:val="1"/>
      </w:pPr>
      <w:bookmarkStart w:id="0" w:name="P90"/>
      <w:bookmarkEnd w:id="0"/>
      <w:r>
        <w:t>5 Основные положения</w:t>
      </w:r>
    </w:p>
    <w:p w:rsidR="00212513" w:rsidRDefault="00212513">
      <w:pPr>
        <w:pStyle w:val="ConsPlusNormal"/>
        <w:jc w:val="center"/>
      </w:pPr>
    </w:p>
    <w:p w:rsidR="00212513" w:rsidRDefault="00212513">
      <w:pPr>
        <w:pStyle w:val="ConsPlusTitle"/>
        <w:ind w:firstLine="540"/>
        <w:jc w:val="both"/>
        <w:outlineLvl w:val="2"/>
      </w:pPr>
      <w:r>
        <w:t>Общие указания</w:t>
      </w:r>
    </w:p>
    <w:p w:rsidR="00212513" w:rsidRDefault="00212513">
      <w:pPr>
        <w:pStyle w:val="ConsPlusNormal"/>
        <w:ind w:firstLine="540"/>
        <w:jc w:val="both"/>
      </w:pPr>
    </w:p>
    <w:p w:rsidR="00212513" w:rsidRDefault="00212513">
      <w:pPr>
        <w:pStyle w:val="ConsPlusNormal"/>
        <w:ind w:firstLine="540"/>
        <w:jc w:val="both"/>
      </w:pPr>
      <w:r>
        <w:t>5.1 Мосты и трубы следует проектировать капитального типа. При проектировании новых, реконструируемых и подлежащих капитальному ремонту мостов и труб следует:</w:t>
      </w:r>
    </w:p>
    <w:p w:rsidR="00212513" w:rsidRDefault="00212513">
      <w:pPr>
        <w:pStyle w:val="ConsPlusNormal"/>
        <w:jc w:val="both"/>
      </w:pPr>
      <w:r>
        <w:t xml:space="preserve">(в ред. </w:t>
      </w:r>
      <w:hyperlink r:id="rId34">
        <w:r>
          <w:rPr>
            <w:color w:val="0000FF"/>
          </w:rPr>
          <w:t>Изменения N 1</w:t>
        </w:r>
      </w:hyperlink>
      <w:r>
        <w:t xml:space="preserve">, утв. Приказом Минстроя России от 03.12.2016 N 879/пр, </w:t>
      </w:r>
      <w:hyperlink r:id="rId35">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выполнять требования по обеспечению надежности, долговечности сооружений, а также безопасности и плавности движения транспортных средств, безопасности для пешеходов и охране труда в процессе строительства и эксплуатации;</w:t>
      </w:r>
    </w:p>
    <w:p w:rsidR="00212513" w:rsidRDefault="00212513">
      <w:pPr>
        <w:pStyle w:val="ConsPlusNormal"/>
        <w:jc w:val="both"/>
      </w:pPr>
      <w:r>
        <w:t xml:space="preserve">(в ред. </w:t>
      </w:r>
      <w:hyperlink r:id="rId36">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предусматривать доступность для маломобильных групп населения тротуаров городских и пешеходных мостов, если это предусмотрено заданием на проектирование;</w:t>
      </w:r>
    </w:p>
    <w:p w:rsidR="00212513" w:rsidRDefault="00212513">
      <w:pPr>
        <w:pStyle w:val="ConsPlusNormal"/>
        <w:jc w:val="both"/>
      </w:pPr>
      <w:r>
        <w:t xml:space="preserve">(в ред. </w:t>
      </w:r>
      <w:hyperlink r:id="rId37">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 xml:space="preserve">предусматривать безопасный пропуск расчетных (согласно </w:t>
      </w:r>
      <w:hyperlink w:anchor="P330">
        <w:r>
          <w:rPr>
            <w:color w:val="0000FF"/>
          </w:rPr>
          <w:t>таблице 5.3</w:t>
        </w:r>
      </w:hyperlink>
      <w:r>
        <w:t>) паводков и ледохода на водотоках, а также на водных путях - выполнение требований судоходства и лесосплава. В целях обеспечения безопасного пропуска паводков при разработке проектной документации на строительство или реконструкцию мостов, расположенных с верховой стороны течения на расстоянии до 200 м от существующего моста, необходимо выполнять гидрологический расчет всех сооружений в зоне влияния;</w:t>
      </w:r>
    </w:p>
    <w:p w:rsidR="00212513" w:rsidRDefault="00212513">
      <w:pPr>
        <w:pStyle w:val="ConsPlusNormal"/>
        <w:jc w:val="both"/>
      </w:pPr>
      <w:r>
        <w:t xml:space="preserve">(в ред. </w:t>
      </w:r>
      <w:hyperlink r:id="rId38">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принимать проектные решения, обеспечивающие экономное расходование материалов, экономию топливных и энергетических ресурсов, снижение стоимости и трудоемкости строительства и эксплуатации;</w:t>
      </w:r>
    </w:p>
    <w:p w:rsidR="00212513" w:rsidRDefault="00212513">
      <w:pPr>
        <w:pStyle w:val="ConsPlusNormal"/>
        <w:spacing w:before="220"/>
        <w:ind w:firstLine="540"/>
        <w:jc w:val="both"/>
      </w:pPr>
      <w:r>
        <w:t>стремиться к применению новых строительных материалов и технологий;</w:t>
      </w:r>
    </w:p>
    <w:p w:rsidR="00212513" w:rsidRDefault="00212513">
      <w:pPr>
        <w:pStyle w:val="ConsPlusNormal"/>
        <w:jc w:val="both"/>
      </w:pPr>
      <w:r>
        <w:t xml:space="preserve">(абзац введен </w:t>
      </w:r>
      <w:hyperlink r:id="rId39">
        <w:r>
          <w:rPr>
            <w:color w:val="0000FF"/>
          </w:rPr>
          <w:t>Изменением N 1</w:t>
        </w:r>
      </w:hyperlink>
      <w:r>
        <w:t>, утв. Приказом Минстроя России от 03.12.2016 N 879/пр)</w:t>
      </w:r>
    </w:p>
    <w:p w:rsidR="00212513" w:rsidRDefault="00212513">
      <w:pPr>
        <w:pStyle w:val="ConsPlusNormal"/>
        <w:spacing w:before="220"/>
        <w:ind w:firstLine="540"/>
        <w:jc w:val="both"/>
      </w:pPr>
      <w:r>
        <w:t>предусматривать использование деталей, изделий и материалов, отвечающих требованиям стандартов;</w:t>
      </w:r>
    </w:p>
    <w:p w:rsidR="00212513" w:rsidRDefault="00212513">
      <w:pPr>
        <w:pStyle w:val="ConsPlusNormal"/>
        <w:jc w:val="both"/>
      </w:pPr>
      <w:r>
        <w:t xml:space="preserve">(в ред. </w:t>
      </w:r>
      <w:hyperlink r:id="rId40">
        <w:r>
          <w:rPr>
            <w:color w:val="0000FF"/>
          </w:rPr>
          <w:t>Изменения N 1</w:t>
        </w:r>
      </w:hyperlink>
      <w:r>
        <w:t xml:space="preserve">, утв. Приказом Минстроя России от 03.12.2016 N 879/пр, </w:t>
      </w:r>
      <w:hyperlink r:id="rId41">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 xml:space="preserve">учитывать перспективы развития транспортных средств и дорожной сети, реконструкции </w:t>
      </w:r>
      <w:r>
        <w:lastRenderedPageBreak/>
        <w:t>имеющихся и строительства новых подземных и наземных коммуникаций, благоустройства и планировки населенных пунктов, освоения земель в сельскохозяйственных целях, в случае наличия перечисленной информации в утвержденной документации по планировке территории или задании на проектирование;</w:t>
      </w:r>
    </w:p>
    <w:p w:rsidR="00212513" w:rsidRDefault="00212513">
      <w:pPr>
        <w:pStyle w:val="ConsPlusNormal"/>
        <w:jc w:val="both"/>
      </w:pPr>
      <w:r>
        <w:t xml:space="preserve">(в ред. </w:t>
      </w:r>
      <w:hyperlink r:id="rId42">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предусматривать меры по охране окружающей среды (в том числе по предотвращению заболачивания, проявления термокарстовых, эрозионных, наледных и других опасных процессов), по поддержанию экологического равновесия и охране рыбных запасов;</w:t>
      </w:r>
    </w:p>
    <w:p w:rsidR="00212513" w:rsidRDefault="00212513">
      <w:pPr>
        <w:pStyle w:val="ConsPlusNormal"/>
        <w:spacing w:before="220"/>
        <w:ind w:firstLine="540"/>
        <w:jc w:val="both"/>
      </w:pPr>
      <w:r>
        <w:t>учитывать технологию реализации принятых решений.</w:t>
      </w:r>
    </w:p>
    <w:p w:rsidR="00212513" w:rsidRDefault="00212513">
      <w:pPr>
        <w:pStyle w:val="ConsPlusNormal"/>
        <w:jc w:val="both"/>
      </w:pPr>
      <w:r>
        <w:t xml:space="preserve">(в ред. </w:t>
      </w:r>
      <w:hyperlink r:id="rId43">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Основные технические решения, принимаемые в проектной документации новых и реконструируемых мостов и труб, следует обосновывать путем сравнения технико-экономических показателей конкурентоспособных вариантов.</w:t>
      </w:r>
    </w:p>
    <w:p w:rsidR="00212513" w:rsidRDefault="00212513">
      <w:pPr>
        <w:pStyle w:val="ConsPlusNormal"/>
        <w:jc w:val="both"/>
      </w:pPr>
      <w:r>
        <w:t xml:space="preserve">(абзац введен </w:t>
      </w:r>
      <w:hyperlink r:id="rId44">
        <w:r>
          <w:rPr>
            <w:color w:val="0000FF"/>
          </w:rPr>
          <w:t>Изменением N 1</w:t>
        </w:r>
      </w:hyperlink>
      <w:r>
        <w:t>, утв. Приказом Минстроя России от 03.12.2016 N 879/пр)</w:t>
      </w:r>
    </w:p>
    <w:p w:rsidR="00212513" w:rsidRDefault="00212513">
      <w:pPr>
        <w:pStyle w:val="ConsPlusNormal"/>
        <w:spacing w:before="220"/>
        <w:ind w:firstLine="540"/>
        <w:jc w:val="both"/>
      </w:pPr>
      <w:r>
        <w:t>При отсутствии соответствующих указаний следует относить:</w:t>
      </w:r>
    </w:p>
    <w:p w:rsidR="00212513" w:rsidRDefault="00212513">
      <w:pPr>
        <w:pStyle w:val="ConsPlusNormal"/>
        <w:spacing w:before="220"/>
        <w:ind w:firstLine="540"/>
        <w:jc w:val="both"/>
      </w:pPr>
      <w:r>
        <w:t>мосты для пропуска путей метрополитена - к железнодорожным мостам;</w:t>
      </w:r>
    </w:p>
    <w:p w:rsidR="00212513" w:rsidRDefault="00212513">
      <w:pPr>
        <w:pStyle w:val="ConsPlusNormal"/>
        <w:spacing w:before="220"/>
        <w:ind w:firstLine="540"/>
        <w:jc w:val="both"/>
      </w:pPr>
      <w:r>
        <w:t>мосты и путепроводы, на которых расположены трамвайные пути, - к городским мостам.</w:t>
      </w:r>
    </w:p>
    <w:p w:rsidR="00212513" w:rsidRDefault="00212513">
      <w:pPr>
        <w:pStyle w:val="ConsPlusNormal"/>
        <w:jc w:val="both"/>
      </w:pPr>
      <w:r>
        <w:t xml:space="preserve">(в ред. </w:t>
      </w:r>
      <w:hyperlink r:id="rId45">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К городским мостам предъявляются требования, как к автодорожным.</w:t>
      </w:r>
    </w:p>
    <w:p w:rsidR="00212513" w:rsidRDefault="00212513">
      <w:pPr>
        <w:pStyle w:val="ConsPlusNormal"/>
        <w:jc w:val="both"/>
      </w:pPr>
      <w:r>
        <w:t xml:space="preserve">(абзац введен </w:t>
      </w:r>
      <w:hyperlink r:id="rId46">
        <w:r>
          <w:rPr>
            <w:color w:val="0000FF"/>
          </w:rPr>
          <w:t>Изменением N 3</w:t>
        </w:r>
      </w:hyperlink>
      <w:r>
        <w:t>, утв. Приказом Минстроя России от 29.12.2020 N 891/пр)</w:t>
      </w:r>
    </w:p>
    <w:p w:rsidR="00212513" w:rsidRDefault="00212513">
      <w:pPr>
        <w:pStyle w:val="ConsPlusNormal"/>
        <w:spacing w:before="220"/>
        <w:ind w:firstLine="540"/>
        <w:jc w:val="both"/>
      </w:pPr>
      <w:r>
        <w:t>5.2 Основания и фундаменты, опоры, пролетные строения, опорные части, элементы мостового полотна, эксплуатационные обустройства, а также водопропускные трубы должны удовлетворять требованиям проектной долговечности.</w:t>
      </w:r>
    </w:p>
    <w:p w:rsidR="00212513" w:rsidRDefault="00212513">
      <w:pPr>
        <w:pStyle w:val="ConsPlusNormal"/>
        <w:jc w:val="both"/>
      </w:pPr>
      <w:r>
        <w:t xml:space="preserve">(в ред. </w:t>
      </w:r>
      <w:hyperlink r:id="rId47">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t xml:space="preserve">Минимальные рекомендуемые проектные сроки службы и сроки до первого ремонта мостов и водопропускных труб приведены в </w:t>
      </w:r>
      <w:hyperlink w:anchor="P18479">
        <w:r>
          <w:rPr>
            <w:color w:val="0000FF"/>
          </w:rPr>
          <w:t>приложении 6</w:t>
        </w:r>
      </w:hyperlink>
      <w:r>
        <w:t>.</w:t>
      </w:r>
    </w:p>
    <w:p w:rsidR="00212513" w:rsidRDefault="00212513">
      <w:pPr>
        <w:pStyle w:val="ConsPlusNormal"/>
        <w:jc w:val="both"/>
      </w:pPr>
      <w:r>
        <w:t xml:space="preserve">(в ред. </w:t>
      </w:r>
      <w:hyperlink r:id="rId48">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Срок службы несущих конструкций сооружения после реконструкции следует определять в техническом задании, но он не может быть меньше 25 лет.</w:t>
      </w:r>
    </w:p>
    <w:p w:rsidR="00212513" w:rsidRDefault="00212513">
      <w:pPr>
        <w:pStyle w:val="ConsPlusNormal"/>
        <w:spacing w:before="220"/>
        <w:ind w:firstLine="540"/>
        <w:jc w:val="both"/>
      </w:pPr>
      <w:r>
        <w:t>Сроки службы при соответствующем технико-экономическом обосновании могут быть изменены в процессе эксплуатации в случаях:</w:t>
      </w:r>
    </w:p>
    <w:p w:rsidR="00212513" w:rsidRDefault="00212513">
      <w:pPr>
        <w:pStyle w:val="ConsPlusNormal"/>
        <w:spacing w:before="220"/>
        <w:ind w:firstLine="540"/>
        <w:jc w:val="both"/>
      </w:pPr>
      <w:r>
        <w:t>- замены конструкций при кардинальном изменении архитектурно-планировочных решений в районе мостового перехода, связанных в том числе с возрастанием интенсивности движения транспортных средств и пешеходов;</w:t>
      </w:r>
    </w:p>
    <w:p w:rsidR="00212513" w:rsidRDefault="00212513">
      <w:pPr>
        <w:pStyle w:val="ConsPlusNormal"/>
        <w:spacing w:before="220"/>
        <w:ind w:firstLine="540"/>
        <w:jc w:val="both"/>
      </w:pPr>
      <w:r>
        <w:t>- замены конструкций вследствие непредвиденных катастрофических повреждений и разрушений;</w:t>
      </w:r>
    </w:p>
    <w:p w:rsidR="00212513" w:rsidRDefault="00212513">
      <w:pPr>
        <w:pStyle w:val="ConsPlusNormal"/>
        <w:spacing w:before="220"/>
        <w:ind w:firstLine="540"/>
        <w:jc w:val="both"/>
      </w:pPr>
      <w:r>
        <w:t>- выполнения мероприятий по усилению и защите несущих конструкций.</w:t>
      </w:r>
    </w:p>
    <w:p w:rsidR="00212513" w:rsidRDefault="00212513">
      <w:pPr>
        <w:pStyle w:val="ConsPlusNormal"/>
        <w:jc w:val="both"/>
      </w:pPr>
      <w:r>
        <w:t xml:space="preserve">(п. 5.2 в ред. </w:t>
      </w:r>
      <w:hyperlink r:id="rId49">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5.3 При реконструкции и капитальном ремонте мостов и труб следует учитывать результаты оценки их технического состояния, грузоподъемность конструкций, продолжительность и режим эксплуатации сооружений после реконструкции и капитального ремонта.</w:t>
      </w:r>
    </w:p>
    <w:p w:rsidR="00212513" w:rsidRDefault="00212513">
      <w:pPr>
        <w:pStyle w:val="ConsPlusNormal"/>
        <w:jc w:val="both"/>
      </w:pPr>
      <w:r>
        <w:lastRenderedPageBreak/>
        <w:t xml:space="preserve">(в ред. </w:t>
      </w:r>
      <w:hyperlink r:id="rId50">
        <w:r>
          <w:rPr>
            <w:color w:val="0000FF"/>
          </w:rPr>
          <w:t>Изменения N 3</w:t>
        </w:r>
      </w:hyperlink>
      <w:r>
        <w:t xml:space="preserve">, утв. Приказом Минстроя России от 29.12.2020 N 891/пр, </w:t>
      </w:r>
      <w:hyperlink r:id="rId51">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При строительстве вторых путей следует учитывать конструктивные особенности и опыт эксплуатации сооружений на действующем пути.</w:t>
      </w:r>
    </w:p>
    <w:p w:rsidR="00212513" w:rsidRDefault="00212513">
      <w:pPr>
        <w:pStyle w:val="ConsPlusNormal"/>
        <w:spacing w:before="220"/>
        <w:ind w:firstLine="540"/>
        <w:jc w:val="both"/>
      </w:pPr>
      <w:r>
        <w:t>При проектировании капитального ремонта требования настоящего свода правил не могут служить основанием для усиления или замены элементов конструкций, если их текущее состояние удовлетворяет требованиям норм, по которым они были запроектированы. В противном случае, когда усиление или замена элементов вызвана их неудовлетворительным состоянием либо окончанием срока службы, продлевать который нецелесообразно, при проектировании должны выполняться требования настоящего свода правил, но лишь в тех случаях, когда не происходит ухудшения работы остальных элементов подвергаемого ремонту сооружения. Отказ от соблюдения конкретных требований настоящего свода правил должен быть обоснован, в том числе проведением компенсационных мероприятий.</w:t>
      </w:r>
    </w:p>
    <w:p w:rsidR="00212513" w:rsidRDefault="00212513">
      <w:pPr>
        <w:pStyle w:val="ConsPlusNormal"/>
        <w:jc w:val="both"/>
      </w:pPr>
      <w:r>
        <w:t xml:space="preserve">(абзац введен </w:t>
      </w:r>
      <w:hyperlink r:id="rId52">
        <w:r>
          <w:rPr>
            <w:color w:val="0000FF"/>
          </w:rPr>
          <w:t>Изменением N 3</w:t>
        </w:r>
      </w:hyperlink>
      <w:r>
        <w:t>, утв. Приказом Минстроя России от 29.12.2020 N 891/пр)</w:t>
      </w:r>
    </w:p>
    <w:p w:rsidR="00212513" w:rsidRDefault="00212513">
      <w:pPr>
        <w:pStyle w:val="ConsPlusNormal"/>
        <w:spacing w:before="220"/>
        <w:ind w:firstLine="540"/>
        <w:jc w:val="both"/>
      </w:pPr>
      <w:r>
        <w:t>5.4 При проектировании новых, реконструкции и капитальном ремонте существующих пешеходных мостов могут применяться полимерные композитные материалы (далее - полимерные композиты), в том числе в пролетных строениях пешеходных мостов.</w:t>
      </w:r>
    </w:p>
    <w:p w:rsidR="00212513" w:rsidRDefault="00212513">
      <w:pPr>
        <w:pStyle w:val="ConsPlusNormal"/>
        <w:spacing w:before="220"/>
        <w:ind w:firstLine="540"/>
        <w:jc w:val="both"/>
      </w:pPr>
      <w:r>
        <w:t>Допускается применение полимерных композитов в настилах (плитах) проезжей и прохожей части, пандусах, перилах, лестничных сходах, водоотводных лотках, элементах аэродинамических обтекателей пролетных строений и вспомогательных устройствах пешеходных и автодорожных мостов, ограждающих конструкциях пешеходных мостов, а также безбалластных плитах железнодорожных мостов.</w:t>
      </w:r>
    </w:p>
    <w:p w:rsidR="00212513" w:rsidRDefault="00212513">
      <w:pPr>
        <w:pStyle w:val="ConsPlusNormal"/>
        <w:jc w:val="both"/>
      </w:pPr>
      <w:r>
        <w:t xml:space="preserve">(в ред. </w:t>
      </w:r>
      <w:hyperlink r:id="rId53">
        <w:r>
          <w:rPr>
            <w:color w:val="0000FF"/>
          </w:rPr>
          <w:t>Изменения N 3</w:t>
        </w:r>
      </w:hyperlink>
      <w:r>
        <w:t xml:space="preserve">, утв. Приказом Минстроя России от 29.12.2020 N 891/пр, </w:t>
      </w:r>
      <w:hyperlink r:id="rId54">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 xml:space="preserve">Водопропускные трубы из полимерных композитов по </w:t>
      </w:r>
      <w:hyperlink r:id="rId55">
        <w:r>
          <w:rPr>
            <w:color w:val="0000FF"/>
          </w:rPr>
          <w:t>ГОСТ 33123</w:t>
        </w:r>
      </w:hyperlink>
      <w:r>
        <w:t xml:space="preserve"> или </w:t>
      </w:r>
      <w:hyperlink r:id="rId56">
        <w:r>
          <w:rPr>
            <w:color w:val="0000FF"/>
          </w:rPr>
          <w:t>ГОСТ 32871</w:t>
        </w:r>
      </w:hyperlink>
      <w:r>
        <w:t xml:space="preserve"> допускается применять на периодических и постоянных водотоках, а также при реконструкции всех типов труб.</w:t>
      </w:r>
    </w:p>
    <w:p w:rsidR="00212513" w:rsidRDefault="00212513">
      <w:pPr>
        <w:pStyle w:val="ConsPlusNormal"/>
        <w:jc w:val="both"/>
      </w:pPr>
      <w:r>
        <w:t xml:space="preserve">(в ред. </w:t>
      </w:r>
      <w:hyperlink r:id="rId57">
        <w:r>
          <w:rPr>
            <w:color w:val="0000FF"/>
          </w:rPr>
          <w:t>Изменения N 2</w:t>
        </w:r>
      </w:hyperlink>
      <w:r>
        <w:t xml:space="preserve">, утв. Приказом Минстроя России от 11.11.2019 N 681/пр, </w:t>
      </w:r>
      <w:hyperlink r:id="rId58">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При проектировании пешеходных мостов, а также при реконструкции и усилении мостов (кроме железнодорожных) допускается применять полимерные композиты.</w:t>
      </w:r>
    </w:p>
    <w:p w:rsidR="00212513" w:rsidRDefault="00212513">
      <w:pPr>
        <w:pStyle w:val="ConsPlusNormal"/>
        <w:jc w:val="both"/>
      </w:pPr>
      <w:r>
        <w:t xml:space="preserve">(в ред. </w:t>
      </w:r>
      <w:hyperlink r:id="rId59">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 xml:space="preserve">Трубы под насыпями и засыпные мосты допускается проектировать с использованием металлических гофрированных элементов согласно </w:t>
      </w:r>
      <w:hyperlink r:id="rId60">
        <w:r>
          <w:rPr>
            <w:color w:val="0000FF"/>
          </w:rPr>
          <w:t>ГОСТ 32871</w:t>
        </w:r>
      </w:hyperlink>
      <w:r>
        <w:t xml:space="preserve">, </w:t>
      </w:r>
      <w:hyperlink r:id="rId61">
        <w:r>
          <w:rPr>
            <w:color w:val="0000FF"/>
          </w:rPr>
          <w:t>ГОСТ Р 58654</w:t>
        </w:r>
      </w:hyperlink>
      <w:r>
        <w:t xml:space="preserve"> и </w:t>
      </w:r>
      <w:hyperlink r:id="rId62">
        <w:r>
          <w:rPr>
            <w:color w:val="0000FF"/>
          </w:rPr>
          <w:t>ГОСТ Р 59621</w:t>
        </w:r>
      </w:hyperlink>
      <w:r>
        <w:t>.</w:t>
      </w:r>
    </w:p>
    <w:p w:rsidR="00212513" w:rsidRDefault="00212513">
      <w:pPr>
        <w:pStyle w:val="ConsPlusNormal"/>
        <w:jc w:val="both"/>
      </w:pPr>
      <w:r>
        <w:t xml:space="preserve">(абзац введен </w:t>
      </w:r>
      <w:hyperlink r:id="rId63">
        <w:r>
          <w:rPr>
            <w:color w:val="0000FF"/>
          </w:rPr>
          <w:t>Изменением N 1</w:t>
        </w:r>
      </w:hyperlink>
      <w:r>
        <w:t xml:space="preserve">, утв. Приказом Минстроя России от 03.12.2016 N 879/пр; в ред. </w:t>
      </w:r>
      <w:hyperlink r:id="rId64">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 xml:space="preserve">Шестой, седьмой абзацы исключены с 01.07.2024. - </w:t>
      </w:r>
      <w:hyperlink r:id="rId65">
        <w:r>
          <w:rPr>
            <w:color w:val="0000FF"/>
          </w:rPr>
          <w:t>Изменение N 4</w:t>
        </w:r>
      </w:hyperlink>
      <w:r>
        <w:t>, утв. Приказом Минстроя России от 30.05.2024 N 361/пр.</w:t>
      </w:r>
    </w:p>
    <w:p w:rsidR="00212513" w:rsidRDefault="00212513">
      <w:pPr>
        <w:pStyle w:val="ConsPlusNormal"/>
        <w:spacing w:before="220"/>
        <w:ind w:firstLine="540"/>
        <w:jc w:val="both"/>
      </w:pPr>
      <w:r>
        <w:t xml:space="preserve">Абзац исключен с 30.06.2021. - </w:t>
      </w:r>
      <w:hyperlink r:id="rId66">
        <w:r>
          <w:rPr>
            <w:color w:val="0000FF"/>
          </w:rPr>
          <w:t>Изменение N 3</w:t>
        </w:r>
      </w:hyperlink>
      <w:r>
        <w:t>, утв. Приказом Минстроя России от 29.12.2020 N 891/пр.</w:t>
      </w:r>
    </w:p>
    <w:p w:rsidR="00212513" w:rsidRDefault="00212513">
      <w:pPr>
        <w:pStyle w:val="ConsPlusNormal"/>
        <w:ind w:firstLine="540"/>
        <w:jc w:val="both"/>
      </w:pPr>
    </w:p>
    <w:p w:rsidR="00212513" w:rsidRDefault="00212513">
      <w:pPr>
        <w:pStyle w:val="ConsPlusTitle"/>
        <w:ind w:firstLine="540"/>
        <w:jc w:val="both"/>
        <w:outlineLvl w:val="2"/>
      </w:pPr>
      <w:r>
        <w:t>Расположение мостов и труб</w:t>
      </w:r>
    </w:p>
    <w:p w:rsidR="00212513" w:rsidRDefault="00212513">
      <w:pPr>
        <w:pStyle w:val="ConsPlusNormal"/>
        <w:ind w:firstLine="540"/>
        <w:jc w:val="both"/>
      </w:pPr>
    </w:p>
    <w:p w:rsidR="00212513" w:rsidRDefault="00212513">
      <w:pPr>
        <w:pStyle w:val="ConsPlusNormal"/>
        <w:ind w:firstLine="540"/>
        <w:jc w:val="both"/>
      </w:pPr>
      <w:r>
        <w:t xml:space="preserve">5.5 Выбор места перехода, положение сооружения в плане и профиле, разбивку мостов на пролеты следует производить с учетом условий трассирования дороги, принятых градостроительно-планировочных решений, а также опасных геологических процессов, русловых, </w:t>
      </w:r>
      <w:r>
        <w:lastRenderedPageBreak/>
        <w:t>гидрогеологических, экологических, ландшафтных и других местных условий, влияющих на технико-экономические и эксплуатационные показатели соответствующего участка дороги (линии).</w:t>
      </w:r>
    </w:p>
    <w:p w:rsidR="00212513" w:rsidRDefault="00212513">
      <w:pPr>
        <w:pStyle w:val="ConsPlusNormal"/>
        <w:spacing w:before="220"/>
        <w:ind w:firstLine="540"/>
        <w:jc w:val="both"/>
      </w:pPr>
      <w:r>
        <w:t>При выборе места мостового перехода через судоходные реки по возможности следует:</w:t>
      </w:r>
    </w:p>
    <w:p w:rsidR="00212513" w:rsidRDefault="00212513">
      <w:pPr>
        <w:pStyle w:val="ConsPlusNormal"/>
        <w:spacing w:before="220"/>
        <w:ind w:firstLine="540"/>
        <w:jc w:val="both"/>
      </w:pPr>
      <w:r>
        <w:t>мост располагать перпендикулярно течению воды (с косиной не более 10°) на прямолинейном участке с устойчивым руслом, в месте с неширокой (малозатопляемой) поймой, удаленном от перекатов на расстоянии не менее 1,5 длины расчетного судового или плотового состава;</w:t>
      </w:r>
    </w:p>
    <w:p w:rsidR="00212513" w:rsidRDefault="00212513">
      <w:pPr>
        <w:pStyle w:val="ConsPlusNormal"/>
        <w:spacing w:before="220"/>
        <w:ind w:firstLine="540"/>
        <w:jc w:val="both"/>
      </w:pPr>
      <w:r>
        <w:t>середину судоходных пролетов совмещать с осью соответствующего судового хода, учитывая возможные русловые переформирования и смещения за расчетный период службы моста;</w:t>
      </w:r>
    </w:p>
    <w:p w:rsidR="00212513" w:rsidRDefault="00212513">
      <w:pPr>
        <w:pStyle w:val="ConsPlusNormal"/>
        <w:spacing w:before="220"/>
        <w:ind w:firstLine="540"/>
        <w:jc w:val="both"/>
      </w:pPr>
      <w:r>
        <w:t>обеспечивать взаимопараллельность оси судового хода, направления течения воды и плоскостей опор, обращенных в сторону судоходных пролетов;</w:t>
      </w:r>
    </w:p>
    <w:p w:rsidR="00212513" w:rsidRDefault="00212513">
      <w:pPr>
        <w:pStyle w:val="ConsPlusNormal"/>
        <w:spacing w:before="220"/>
        <w:ind w:firstLine="540"/>
        <w:jc w:val="both"/>
      </w:pPr>
      <w:r>
        <w:t>отклонение от параллельности судового хода и направления течения реки принимать не более 10°;</w:t>
      </w:r>
    </w:p>
    <w:p w:rsidR="00212513" w:rsidRDefault="00212513">
      <w:pPr>
        <w:pStyle w:val="ConsPlusNormal"/>
        <w:spacing w:before="220"/>
        <w:ind w:firstLine="540"/>
        <w:jc w:val="both"/>
      </w:pPr>
      <w:r>
        <w:t>не допускать увеличения скорости течения воды в русле при расчетном судоходном уровне, вызванного строительством мостового перехода, свыше 20% при скорости течения воды в естественных условиях до 2 м/с и 10% - при скорости свыше 2,4 м/с (при скорости течения воды в естественных условиях выше 2 м/с до 2,4 м/с процент допускаемого увеличения средней скорости следует определять по интерполяции);</w:t>
      </w:r>
    </w:p>
    <w:p w:rsidR="00212513" w:rsidRDefault="00212513">
      <w:pPr>
        <w:pStyle w:val="ConsPlusNormal"/>
        <w:spacing w:before="220"/>
        <w:ind w:firstLine="540"/>
        <w:jc w:val="both"/>
      </w:pPr>
      <w:r>
        <w:t>поперечное сечение опор моста в пределах затопления до отметки уровня воды (с учетом влияния подпора и волны) при максимальном расходе наибольшего паводка, как правило, предусматривать обтекаемым.</w:t>
      </w:r>
    </w:p>
    <w:p w:rsidR="00212513" w:rsidRDefault="00212513">
      <w:pPr>
        <w:pStyle w:val="ConsPlusNormal"/>
        <w:spacing w:before="220"/>
        <w:ind w:firstLine="540"/>
        <w:jc w:val="both"/>
      </w:pPr>
      <w:r>
        <w:t>5.6 Число и размеры водопропускных сооружений на пересечении водотока следует определять на основе гидравлических расчетов, при этом необходимо учитывать последующее влияние сооружения на окружающую среду.</w:t>
      </w:r>
    </w:p>
    <w:p w:rsidR="00212513" w:rsidRDefault="00212513">
      <w:pPr>
        <w:pStyle w:val="ConsPlusNormal"/>
        <w:spacing w:before="220"/>
        <w:ind w:firstLine="540"/>
        <w:jc w:val="both"/>
      </w:pPr>
      <w:r>
        <w:t>Пропуск вод нескольких водотоков через одно сооружение должен быть обоснован, а при наличии вечномерзлых грунтов, селевого стока, лессовых грунтов и возможности образования наледи - не допускается.</w:t>
      </w:r>
    </w:p>
    <w:p w:rsidR="00212513" w:rsidRDefault="00212513">
      <w:pPr>
        <w:pStyle w:val="ConsPlusNormal"/>
        <w:spacing w:before="220"/>
        <w:ind w:firstLine="540"/>
        <w:jc w:val="both"/>
      </w:pPr>
      <w:r>
        <w:t>5.7 Железнодорожные мосты с устройством рельсового пути на балласте, автодорожные и городские мосты, а также трубы следует располагать в плане и с профилем, принятыми для проектируемой дороги (улицы).</w:t>
      </w:r>
    </w:p>
    <w:p w:rsidR="00212513" w:rsidRDefault="00212513">
      <w:pPr>
        <w:pStyle w:val="ConsPlusNormal"/>
        <w:jc w:val="both"/>
      </w:pPr>
      <w:r>
        <w:t xml:space="preserve">(в ред. </w:t>
      </w:r>
      <w:hyperlink r:id="rId67">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t xml:space="preserve">Железнодорожные мосты с безбалластной проезжей частью следует располагать на прямых участках пути, горизонтальных площадках или уклонах не круче </w:t>
      </w:r>
      <w:r>
        <w:rPr>
          <w:noProof/>
          <w:position w:val="-7"/>
        </w:rPr>
        <w:drawing>
          <wp:inline distT="0" distB="0" distL="0" distR="0">
            <wp:extent cx="314960" cy="2305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4960" cy="230505"/>
                    </a:xfrm>
                    <a:prstGeom prst="rect">
                      <a:avLst/>
                    </a:prstGeom>
                    <a:noFill/>
                    <a:ln>
                      <a:noFill/>
                    </a:ln>
                  </pic:spPr>
                </pic:pic>
              </a:graphicData>
            </a:graphic>
          </wp:inline>
        </w:drawing>
      </w:r>
      <w:r>
        <w:t xml:space="preserve">. Расположение таких мостов на уклонах круче </w:t>
      </w:r>
      <w:r>
        <w:rPr>
          <w:noProof/>
          <w:position w:val="-7"/>
        </w:rPr>
        <w:drawing>
          <wp:inline distT="0" distB="0" distL="0" distR="0">
            <wp:extent cx="314960" cy="23050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4960" cy="230505"/>
                    </a:xfrm>
                    <a:prstGeom prst="rect">
                      <a:avLst/>
                    </a:prstGeom>
                    <a:noFill/>
                    <a:ln>
                      <a:noFill/>
                    </a:ln>
                  </pic:spPr>
                </pic:pic>
              </a:graphicData>
            </a:graphic>
          </wp:inline>
        </w:drawing>
      </w:r>
      <w:r>
        <w:t>, а на железных дорогах предприятий - также на кривых в плане допускается только при технико-экономическом обосновании.</w:t>
      </w:r>
    </w:p>
    <w:p w:rsidR="00212513" w:rsidRDefault="00212513">
      <w:pPr>
        <w:pStyle w:val="ConsPlusNormal"/>
        <w:spacing w:before="220"/>
        <w:ind w:firstLine="540"/>
        <w:jc w:val="both"/>
      </w:pPr>
      <w:r>
        <w:t xml:space="preserve">Абзац исключен с 30.06.2021. - </w:t>
      </w:r>
      <w:hyperlink r:id="rId69">
        <w:r>
          <w:rPr>
            <w:color w:val="0000FF"/>
          </w:rPr>
          <w:t>Изменение N 3</w:t>
        </w:r>
      </w:hyperlink>
      <w:r>
        <w:t>, утв. Приказом Минстроя России от 29.12.2020 N 891/пр.</w:t>
      </w:r>
    </w:p>
    <w:p w:rsidR="00212513" w:rsidRDefault="00212513">
      <w:pPr>
        <w:pStyle w:val="ConsPlusNormal"/>
        <w:spacing w:before="220"/>
        <w:ind w:firstLine="540"/>
        <w:jc w:val="both"/>
      </w:pPr>
      <w:r>
        <w:t xml:space="preserve">При необходимости расположения мостового сооружения на уклонах более </w:t>
      </w:r>
      <w:r>
        <w:rPr>
          <w:noProof/>
          <w:position w:val="-7"/>
        </w:rPr>
        <w:drawing>
          <wp:inline distT="0" distB="0" distL="0" distR="0">
            <wp:extent cx="396875" cy="23050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96875" cy="230505"/>
                    </a:xfrm>
                    <a:prstGeom prst="rect">
                      <a:avLst/>
                    </a:prstGeom>
                    <a:noFill/>
                    <a:ln>
                      <a:noFill/>
                    </a:ln>
                  </pic:spPr>
                </pic:pic>
              </a:graphicData>
            </a:graphic>
          </wp:inline>
        </w:drawing>
      </w:r>
      <w:r>
        <w:t xml:space="preserve"> следует применять покрытия проезжей части, обеспечивающие значение коэффициента сцепления в соответствии с </w:t>
      </w:r>
      <w:hyperlink r:id="rId71">
        <w:r>
          <w:rPr>
            <w:color w:val="0000FF"/>
          </w:rPr>
          <w:t>ГОСТ Р 50597</w:t>
        </w:r>
      </w:hyperlink>
      <w:r>
        <w:t xml:space="preserve"> с учетом положений </w:t>
      </w:r>
      <w:hyperlink r:id="rId72">
        <w:r>
          <w:rPr>
            <w:color w:val="0000FF"/>
          </w:rPr>
          <w:t>СП 34.13330</w:t>
        </w:r>
      </w:hyperlink>
      <w:r>
        <w:t xml:space="preserve">, и ограждения с повышенной </w:t>
      </w:r>
      <w:r>
        <w:lastRenderedPageBreak/>
        <w:t>удерживающей способностью.</w:t>
      </w:r>
    </w:p>
    <w:p w:rsidR="00212513" w:rsidRDefault="00212513">
      <w:pPr>
        <w:pStyle w:val="ConsPlusNormal"/>
        <w:jc w:val="both"/>
      </w:pPr>
      <w:r>
        <w:t xml:space="preserve">(в ред. </w:t>
      </w:r>
      <w:hyperlink r:id="rId73">
        <w:r>
          <w:rPr>
            <w:color w:val="0000FF"/>
          </w:rPr>
          <w:t>Изменения N 3</w:t>
        </w:r>
      </w:hyperlink>
      <w:r>
        <w:t xml:space="preserve">, утв. Приказом Минстроя России от 29.12.2020 N 891/пр, </w:t>
      </w:r>
      <w:hyperlink r:id="rId74">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Примечание - Здесь и далее принято: малые мосты - длиной до 25 м включительно, средние мосты - длиной свыше 25 м до 100 м включительно, большие мосты - длиной свыше 100 м. Автодорожные, в том числе городские, мосты длиной менее 100 м, но пролетами свыше 60 м также относятся к большим мостам.</w:t>
      </w:r>
    </w:p>
    <w:p w:rsidR="00212513" w:rsidRDefault="00212513">
      <w:pPr>
        <w:pStyle w:val="ConsPlusNormal"/>
        <w:ind w:firstLine="540"/>
        <w:jc w:val="both"/>
      </w:pPr>
    </w:p>
    <w:p w:rsidR="00212513" w:rsidRDefault="00212513">
      <w:pPr>
        <w:pStyle w:val="ConsPlusNormal"/>
        <w:ind w:firstLine="540"/>
        <w:jc w:val="both"/>
      </w:pPr>
      <w:r>
        <w:t>5.8 Толщину засыпки над звеньями или плитами перекрытия труб (включая пешеходные тоннели), а также над сводами мостов следует принимать не менее указанной в таблице 5.1.</w:t>
      </w:r>
    </w:p>
    <w:p w:rsidR="00212513" w:rsidRDefault="00212513">
      <w:pPr>
        <w:pStyle w:val="ConsPlusNormal"/>
        <w:ind w:firstLine="540"/>
        <w:jc w:val="both"/>
      </w:pPr>
    </w:p>
    <w:p w:rsidR="00212513" w:rsidRDefault="00212513">
      <w:pPr>
        <w:pStyle w:val="ConsPlusNormal"/>
        <w:jc w:val="right"/>
      </w:pPr>
      <w:r>
        <w:t>Таблица 5.1</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98"/>
        <w:gridCol w:w="2098"/>
        <w:gridCol w:w="2098"/>
        <w:gridCol w:w="1077"/>
      </w:tblGrid>
      <w:tr w:rsidR="00212513">
        <w:tc>
          <w:tcPr>
            <w:tcW w:w="3798" w:type="dxa"/>
            <w:vMerge w:val="restart"/>
            <w:tcBorders>
              <w:top w:val="single" w:sz="4" w:space="0" w:color="auto"/>
              <w:bottom w:val="single" w:sz="4" w:space="0" w:color="auto"/>
            </w:tcBorders>
            <w:vAlign w:val="center"/>
          </w:tcPr>
          <w:p w:rsidR="00212513" w:rsidRDefault="00212513">
            <w:pPr>
              <w:pStyle w:val="ConsPlusNormal"/>
              <w:jc w:val="center"/>
            </w:pPr>
            <w:r>
              <w:t>Дороги</w:t>
            </w:r>
          </w:p>
        </w:tc>
        <w:tc>
          <w:tcPr>
            <w:tcW w:w="5273" w:type="dxa"/>
            <w:gridSpan w:val="3"/>
            <w:tcBorders>
              <w:top w:val="single" w:sz="4" w:space="0" w:color="auto"/>
              <w:bottom w:val="single" w:sz="4" w:space="0" w:color="auto"/>
            </w:tcBorders>
            <w:vAlign w:val="center"/>
          </w:tcPr>
          <w:p w:rsidR="00212513" w:rsidRDefault="00212513">
            <w:pPr>
              <w:pStyle w:val="ConsPlusNormal"/>
              <w:jc w:val="center"/>
            </w:pPr>
            <w:r>
              <w:t xml:space="preserve">Толщина засыпки </w:t>
            </w:r>
            <w:hyperlink w:anchor="P196">
              <w:r>
                <w:rPr>
                  <w:color w:val="0000FF"/>
                </w:rPr>
                <w:t>&lt;*&gt;</w:t>
              </w:r>
            </w:hyperlink>
            <w:r>
              <w:t>, м, над</w:t>
            </w:r>
          </w:p>
        </w:tc>
      </w:tr>
      <w:tr w:rsidR="00212513">
        <w:tc>
          <w:tcPr>
            <w:tcW w:w="3798" w:type="dxa"/>
            <w:vMerge/>
            <w:tcBorders>
              <w:top w:val="single" w:sz="4" w:space="0" w:color="auto"/>
              <w:bottom w:val="single" w:sz="4" w:space="0" w:color="auto"/>
            </w:tcBorders>
          </w:tcPr>
          <w:p w:rsidR="00212513" w:rsidRDefault="00212513">
            <w:pPr>
              <w:pStyle w:val="ConsPlusNormal"/>
            </w:pPr>
          </w:p>
        </w:tc>
        <w:tc>
          <w:tcPr>
            <w:tcW w:w="2098" w:type="dxa"/>
            <w:tcBorders>
              <w:top w:val="single" w:sz="4" w:space="0" w:color="auto"/>
              <w:bottom w:val="single" w:sz="4" w:space="0" w:color="auto"/>
            </w:tcBorders>
            <w:vAlign w:val="center"/>
          </w:tcPr>
          <w:p w:rsidR="00212513" w:rsidRDefault="00212513">
            <w:pPr>
              <w:pStyle w:val="ConsPlusNormal"/>
              <w:jc w:val="center"/>
            </w:pPr>
            <w:r>
              <w:t>железобетонными трубами</w:t>
            </w:r>
          </w:p>
        </w:tc>
        <w:tc>
          <w:tcPr>
            <w:tcW w:w="2098" w:type="dxa"/>
            <w:tcBorders>
              <w:top w:val="single" w:sz="4" w:space="0" w:color="auto"/>
              <w:bottom w:val="single" w:sz="4" w:space="0" w:color="auto"/>
            </w:tcBorders>
            <w:vAlign w:val="center"/>
          </w:tcPr>
          <w:p w:rsidR="00212513" w:rsidRDefault="00212513">
            <w:pPr>
              <w:pStyle w:val="ConsPlusNormal"/>
              <w:jc w:val="center"/>
            </w:pPr>
            <w:r>
              <w:t>трубами и мостами из металлических гофрированных элементов</w:t>
            </w:r>
          </w:p>
        </w:tc>
        <w:tc>
          <w:tcPr>
            <w:tcW w:w="1077" w:type="dxa"/>
            <w:tcBorders>
              <w:top w:val="single" w:sz="4" w:space="0" w:color="auto"/>
              <w:bottom w:val="single" w:sz="4" w:space="0" w:color="auto"/>
            </w:tcBorders>
            <w:vAlign w:val="center"/>
          </w:tcPr>
          <w:p w:rsidR="00212513" w:rsidRDefault="00212513">
            <w:pPr>
              <w:pStyle w:val="ConsPlusNormal"/>
              <w:jc w:val="center"/>
            </w:pPr>
            <w:r>
              <w:t>сводами мостов</w:t>
            </w:r>
          </w:p>
        </w:tc>
      </w:tr>
      <w:tr w:rsidR="00212513">
        <w:tblPrEx>
          <w:tblBorders>
            <w:insideH w:val="none" w:sz="0" w:space="0" w:color="auto"/>
          </w:tblBorders>
        </w:tblPrEx>
        <w:tc>
          <w:tcPr>
            <w:tcW w:w="3798" w:type="dxa"/>
            <w:tcBorders>
              <w:top w:val="single" w:sz="4" w:space="0" w:color="auto"/>
              <w:bottom w:val="nil"/>
            </w:tcBorders>
          </w:tcPr>
          <w:p w:rsidR="00212513" w:rsidRDefault="00212513">
            <w:pPr>
              <w:pStyle w:val="ConsPlusNormal"/>
            </w:pPr>
            <w:r>
              <w:t>Железные дороги:</w:t>
            </w:r>
          </w:p>
        </w:tc>
        <w:tc>
          <w:tcPr>
            <w:tcW w:w="2098" w:type="dxa"/>
            <w:tcBorders>
              <w:top w:val="single" w:sz="4" w:space="0" w:color="auto"/>
              <w:bottom w:val="nil"/>
            </w:tcBorders>
          </w:tcPr>
          <w:p w:rsidR="00212513" w:rsidRDefault="00212513">
            <w:pPr>
              <w:pStyle w:val="ConsPlusNormal"/>
              <w:jc w:val="both"/>
            </w:pPr>
          </w:p>
        </w:tc>
        <w:tc>
          <w:tcPr>
            <w:tcW w:w="2098" w:type="dxa"/>
            <w:tcBorders>
              <w:top w:val="single" w:sz="4" w:space="0" w:color="auto"/>
              <w:bottom w:val="nil"/>
            </w:tcBorders>
          </w:tcPr>
          <w:p w:rsidR="00212513" w:rsidRDefault="00212513">
            <w:pPr>
              <w:pStyle w:val="ConsPlusNormal"/>
              <w:jc w:val="both"/>
            </w:pPr>
          </w:p>
        </w:tc>
        <w:tc>
          <w:tcPr>
            <w:tcW w:w="1077" w:type="dxa"/>
            <w:tcBorders>
              <w:top w:val="single" w:sz="4" w:space="0" w:color="auto"/>
              <w:bottom w:val="nil"/>
            </w:tcBorders>
          </w:tcPr>
          <w:p w:rsidR="00212513" w:rsidRDefault="00212513">
            <w:pPr>
              <w:pStyle w:val="ConsPlusNormal"/>
              <w:jc w:val="both"/>
            </w:pPr>
          </w:p>
        </w:tc>
      </w:tr>
      <w:tr w:rsidR="00212513">
        <w:tblPrEx>
          <w:tblBorders>
            <w:insideH w:val="none" w:sz="0" w:space="0" w:color="auto"/>
          </w:tblBorders>
        </w:tblPrEx>
        <w:tc>
          <w:tcPr>
            <w:tcW w:w="3798" w:type="dxa"/>
            <w:tcBorders>
              <w:top w:val="nil"/>
              <w:bottom w:val="nil"/>
            </w:tcBorders>
          </w:tcPr>
          <w:p w:rsidR="00212513" w:rsidRDefault="00212513">
            <w:pPr>
              <w:pStyle w:val="ConsPlusNormal"/>
              <w:ind w:left="283"/>
            </w:pPr>
            <w:r>
              <w:t>общей сети и подъездные пути предприятий</w:t>
            </w:r>
          </w:p>
        </w:tc>
        <w:tc>
          <w:tcPr>
            <w:tcW w:w="2098" w:type="dxa"/>
            <w:tcBorders>
              <w:top w:val="nil"/>
              <w:bottom w:val="nil"/>
            </w:tcBorders>
          </w:tcPr>
          <w:p w:rsidR="00212513" w:rsidRDefault="00212513">
            <w:pPr>
              <w:pStyle w:val="ConsPlusNormal"/>
              <w:jc w:val="center"/>
            </w:pPr>
            <w:r>
              <w:t>1,0</w:t>
            </w:r>
          </w:p>
        </w:tc>
        <w:tc>
          <w:tcPr>
            <w:tcW w:w="2098" w:type="dxa"/>
            <w:tcBorders>
              <w:top w:val="nil"/>
              <w:bottom w:val="nil"/>
            </w:tcBorders>
          </w:tcPr>
          <w:p w:rsidR="00212513" w:rsidRDefault="00212513">
            <w:pPr>
              <w:pStyle w:val="ConsPlusNormal"/>
              <w:jc w:val="center"/>
            </w:pPr>
            <w:r>
              <w:t>1,2</w:t>
            </w:r>
          </w:p>
        </w:tc>
        <w:tc>
          <w:tcPr>
            <w:tcW w:w="1077" w:type="dxa"/>
            <w:tcBorders>
              <w:top w:val="nil"/>
              <w:bottom w:val="nil"/>
            </w:tcBorders>
          </w:tcPr>
          <w:p w:rsidR="00212513" w:rsidRDefault="00212513">
            <w:pPr>
              <w:pStyle w:val="ConsPlusNormal"/>
              <w:jc w:val="center"/>
            </w:pPr>
            <w:r>
              <w:t>0,7</w:t>
            </w:r>
          </w:p>
        </w:tc>
      </w:tr>
      <w:tr w:rsidR="00212513">
        <w:tblPrEx>
          <w:tblBorders>
            <w:insideH w:val="none" w:sz="0" w:space="0" w:color="auto"/>
          </w:tblBorders>
        </w:tblPrEx>
        <w:tc>
          <w:tcPr>
            <w:tcW w:w="3798" w:type="dxa"/>
            <w:tcBorders>
              <w:top w:val="nil"/>
              <w:bottom w:val="nil"/>
            </w:tcBorders>
          </w:tcPr>
          <w:p w:rsidR="00212513" w:rsidRDefault="00212513">
            <w:pPr>
              <w:pStyle w:val="ConsPlusNormal"/>
              <w:ind w:left="283"/>
            </w:pPr>
            <w:r>
              <w:t>внутренние пути предприятий</w:t>
            </w:r>
          </w:p>
        </w:tc>
        <w:tc>
          <w:tcPr>
            <w:tcW w:w="2098" w:type="dxa"/>
            <w:tcBorders>
              <w:top w:val="nil"/>
              <w:bottom w:val="nil"/>
            </w:tcBorders>
          </w:tcPr>
          <w:p w:rsidR="00212513" w:rsidRDefault="00212513">
            <w:pPr>
              <w:pStyle w:val="ConsPlusNormal"/>
              <w:jc w:val="center"/>
            </w:pPr>
            <w:r>
              <w:t>0,4</w:t>
            </w:r>
          </w:p>
        </w:tc>
        <w:tc>
          <w:tcPr>
            <w:tcW w:w="2098" w:type="dxa"/>
            <w:tcBorders>
              <w:top w:val="nil"/>
              <w:bottom w:val="nil"/>
            </w:tcBorders>
          </w:tcPr>
          <w:p w:rsidR="00212513" w:rsidRDefault="00212513">
            <w:pPr>
              <w:pStyle w:val="ConsPlusNormal"/>
              <w:jc w:val="center"/>
            </w:pPr>
            <w:r>
              <w:t>1,0</w:t>
            </w:r>
          </w:p>
        </w:tc>
        <w:tc>
          <w:tcPr>
            <w:tcW w:w="1077" w:type="dxa"/>
            <w:tcBorders>
              <w:top w:val="nil"/>
              <w:bottom w:val="nil"/>
            </w:tcBorders>
          </w:tcPr>
          <w:p w:rsidR="00212513" w:rsidRDefault="00212513">
            <w:pPr>
              <w:pStyle w:val="ConsPlusNormal"/>
              <w:jc w:val="center"/>
            </w:pPr>
            <w:r>
              <w:t>0,7</w:t>
            </w:r>
          </w:p>
        </w:tc>
      </w:tr>
      <w:tr w:rsidR="00212513">
        <w:tblPrEx>
          <w:tblBorders>
            <w:insideH w:val="none" w:sz="0" w:space="0" w:color="auto"/>
          </w:tblBorders>
        </w:tblPrEx>
        <w:tc>
          <w:tcPr>
            <w:tcW w:w="3798" w:type="dxa"/>
            <w:tcBorders>
              <w:top w:val="nil"/>
              <w:bottom w:val="nil"/>
            </w:tcBorders>
          </w:tcPr>
          <w:p w:rsidR="00212513" w:rsidRDefault="00212513">
            <w:pPr>
              <w:pStyle w:val="ConsPlusNormal"/>
            </w:pPr>
            <w:r>
              <w:t>Автомобильные дороги общего пользования, дороги и улицы в городах, поселках и сельских населенных пунктах, а также промышленных предприятий</w:t>
            </w:r>
          </w:p>
        </w:tc>
        <w:tc>
          <w:tcPr>
            <w:tcW w:w="2098" w:type="dxa"/>
            <w:tcBorders>
              <w:top w:val="nil"/>
              <w:bottom w:val="nil"/>
            </w:tcBorders>
          </w:tcPr>
          <w:p w:rsidR="00212513" w:rsidRDefault="00212513">
            <w:pPr>
              <w:pStyle w:val="ConsPlusNormal"/>
              <w:jc w:val="center"/>
            </w:pPr>
            <w:r>
              <w:t>0,5</w:t>
            </w:r>
          </w:p>
        </w:tc>
        <w:tc>
          <w:tcPr>
            <w:tcW w:w="2098" w:type="dxa"/>
            <w:tcBorders>
              <w:top w:val="nil"/>
              <w:bottom w:val="nil"/>
            </w:tcBorders>
          </w:tcPr>
          <w:p w:rsidR="00212513" w:rsidRDefault="00212513">
            <w:pPr>
              <w:pStyle w:val="ConsPlusNormal"/>
              <w:jc w:val="center"/>
            </w:pPr>
            <w:r>
              <w:t xml:space="preserve">0,5 </w:t>
            </w:r>
            <w:hyperlink w:anchor="P198">
              <w:r>
                <w:rPr>
                  <w:color w:val="0000FF"/>
                </w:rPr>
                <w:t>&lt;**&gt;</w:t>
              </w:r>
            </w:hyperlink>
          </w:p>
        </w:tc>
        <w:tc>
          <w:tcPr>
            <w:tcW w:w="1077" w:type="dxa"/>
            <w:tcBorders>
              <w:top w:val="nil"/>
              <w:bottom w:val="nil"/>
            </w:tcBorders>
          </w:tcPr>
          <w:p w:rsidR="00212513" w:rsidRDefault="00212513">
            <w:pPr>
              <w:pStyle w:val="ConsPlusNormal"/>
              <w:jc w:val="center"/>
            </w:pPr>
            <w:r>
              <w:t>0,5</w:t>
            </w:r>
          </w:p>
        </w:tc>
      </w:tr>
      <w:tr w:rsidR="00212513">
        <w:tblPrEx>
          <w:tblBorders>
            <w:insideH w:val="none" w:sz="0" w:space="0" w:color="auto"/>
          </w:tblBorders>
        </w:tblPrEx>
        <w:tc>
          <w:tcPr>
            <w:tcW w:w="3798" w:type="dxa"/>
            <w:tcBorders>
              <w:top w:val="nil"/>
              <w:bottom w:val="single" w:sz="4" w:space="0" w:color="auto"/>
            </w:tcBorders>
          </w:tcPr>
          <w:p w:rsidR="00212513" w:rsidRDefault="00212513">
            <w:pPr>
              <w:pStyle w:val="ConsPlusNormal"/>
            </w:pPr>
            <w:r>
              <w:t>Внутрихозяйственные автомобильные в сельскохозяйственных предприятиях и организациях, дороги местного значения</w:t>
            </w:r>
          </w:p>
        </w:tc>
        <w:tc>
          <w:tcPr>
            <w:tcW w:w="2098" w:type="dxa"/>
            <w:tcBorders>
              <w:top w:val="nil"/>
              <w:bottom w:val="single" w:sz="4" w:space="0" w:color="auto"/>
            </w:tcBorders>
          </w:tcPr>
          <w:p w:rsidR="00212513" w:rsidRDefault="00212513">
            <w:pPr>
              <w:pStyle w:val="ConsPlusNormal"/>
              <w:jc w:val="center"/>
            </w:pPr>
            <w:r>
              <w:t xml:space="preserve">0,2 </w:t>
            </w:r>
            <w:hyperlink w:anchor="P199">
              <w:r>
                <w:rPr>
                  <w:color w:val="0000FF"/>
                </w:rPr>
                <w:t>&lt;***&gt;</w:t>
              </w:r>
            </w:hyperlink>
          </w:p>
        </w:tc>
        <w:tc>
          <w:tcPr>
            <w:tcW w:w="2098" w:type="dxa"/>
            <w:tcBorders>
              <w:top w:val="nil"/>
              <w:bottom w:val="single" w:sz="4" w:space="0" w:color="auto"/>
            </w:tcBorders>
          </w:tcPr>
          <w:p w:rsidR="00212513" w:rsidRDefault="00212513">
            <w:pPr>
              <w:pStyle w:val="ConsPlusNormal"/>
              <w:jc w:val="center"/>
            </w:pPr>
            <w:r>
              <w:t>-</w:t>
            </w:r>
          </w:p>
        </w:tc>
        <w:tc>
          <w:tcPr>
            <w:tcW w:w="1077" w:type="dxa"/>
            <w:tcBorders>
              <w:top w:val="nil"/>
              <w:bottom w:val="single" w:sz="4" w:space="0" w:color="auto"/>
            </w:tcBorders>
          </w:tcPr>
          <w:p w:rsidR="00212513" w:rsidRDefault="00212513">
            <w:pPr>
              <w:pStyle w:val="ConsPlusNormal"/>
              <w:jc w:val="center"/>
            </w:pPr>
            <w:r>
              <w:t>-</w:t>
            </w:r>
          </w:p>
        </w:tc>
      </w:tr>
      <w:tr w:rsidR="00212513">
        <w:tblPrEx>
          <w:tblBorders>
            <w:insideH w:val="none" w:sz="0" w:space="0" w:color="auto"/>
          </w:tblBorders>
        </w:tblPrEx>
        <w:tc>
          <w:tcPr>
            <w:tcW w:w="9071" w:type="dxa"/>
            <w:gridSpan w:val="4"/>
            <w:tcBorders>
              <w:top w:val="single" w:sz="4" w:space="0" w:color="auto"/>
              <w:bottom w:val="nil"/>
            </w:tcBorders>
          </w:tcPr>
          <w:p w:rsidR="00212513" w:rsidRDefault="00212513">
            <w:pPr>
              <w:pStyle w:val="ConsPlusNormal"/>
              <w:ind w:firstLine="283"/>
              <w:jc w:val="both"/>
            </w:pPr>
            <w:bookmarkStart w:id="1" w:name="P196"/>
            <w:bookmarkEnd w:id="1"/>
            <w:r>
              <w:t>&lt;*&gt; Считая от верха звена (плиты перекрытия) трубы или от верхней точки свода до подошвы рельсов - на железных дорогах и до низа монолитных слоев или сборных плит дорожной одежды - на автомобильных дорогах.</w:t>
            </w:r>
          </w:p>
        </w:tc>
      </w:tr>
      <w:tr w:rsidR="00212513">
        <w:tblPrEx>
          <w:tblBorders>
            <w:insideH w:val="none" w:sz="0" w:space="0" w:color="auto"/>
          </w:tblBorders>
        </w:tblPrEx>
        <w:tc>
          <w:tcPr>
            <w:tcW w:w="9071" w:type="dxa"/>
            <w:gridSpan w:val="4"/>
            <w:tcBorders>
              <w:top w:val="nil"/>
              <w:bottom w:val="nil"/>
            </w:tcBorders>
          </w:tcPr>
          <w:p w:rsidR="00212513" w:rsidRDefault="00212513">
            <w:pPr>
              <w:pStyle w:val="ConsPlusNormal"/>
              <w:jc w:val="both"/>
            </w:pPr>
            <w:r>
              <w:t xml:space="preserve">(в ред. </w:t>
            </w:r>
            <w:hyperlink r:id="rId75">
              <w:r>
                <w:rPr>
                  <w:color w:val="0000FF"/>
                </w:rPr>
                <w:t>Изменения N 1</w:t>
              </w:r>
            </w:hyperlink>
            <w:r>
              <w:t>, утв. Приказом Минстроя России от 03.12.2016 N 879/пр)</w:t>
            </w:r>
          </w:p>
        </w:tc>
      </w:tr>
      <w:tr w:rsidR="00212513">
        <w:tblPrEx>
          <w:tblBorders>
            <w:insideH w:val="none" w:sz="0" w:space="0" w:color="auto"/>
          </w:tblBorders>
        </w:tblPrEx>
        <w:tc>
          <w:tcPr>
            <w:tcW w:w="9071" w:type="dxa"/>
            <w:gridSpan w:val="4"/>
            <w:tcBorders>
              <w:top w:val="nil"/>
              <w:bottom w:val="nil"/>
            </w:tcBorders>
          </w:tcPr>
          <w:p w:rsidR="00212513" w:rsidRDefault="00212513">
            <w:pPr>
              <w:pStyle w:val="ConsPlusNormal"/>
              <w:ind w:firstLine="283"/>
              <w:jc w:val="both"/>
            </w:pPr>
            <w:bookmarkStart w:id="2" w:name="P198"/>
            <w:bookmarkEnd w:id="2"/>
            <w:r>
              <w:t>&lt;**&gt; Но не менее 0,8 м от верха звена трубы до поверхности дорожного покрытия.</w:t>
            </w:r>
          </w:p>
          <w:p w:rsidR="00212513" w:rsidRDefault="00212513">
            <w:pPr>
              <w:pStyle w:val="ConsPlusNormal"/>
              <w:ind w:firstLine="283"/>
              <w:jc w:val="both"/>
            </w:pPr>
            <w:bookmarkStart w:id="3" w:name="P199"/>
            <w:bookmarkEnd w:id="3"/>
            <w:r>
              <w:t>&lt;***&gt; Но не менее 0,5 м до уровня бровки земляного полотна.</w:t>
            </w:r>
          </w:p>
        </w:tc>
      </w:tr>
      <w:tr w:rsidR="00212513">
        <w:tblPrEx>
          <w:tblBorders>
            <w:insideH w:val="none" w:sz="0" w:space="0" w:color="auto"/>
          </w:tblBorders>
        </w:tblPrEx>
        <w:tc>
          <w:tcPr>
            <w:tcW w:w="9071" w:type="dxa"/>
            <w:gridSpan w:val="4"/>
            <w:tcBorders>
              <w:top w:val="nil"/>
              <w:bottom w:val="single" w:sz="4" w:space="0" w:color="auto"/>
            </w:tcBorders>
          </w:tcPr>
          <w:p w:rsidR="00212513" w:rsidRDefault="00212513">
            <w:pPr>
              <w:pStyle w:val="ConsPlusNormal"/>
              <w:ind w:firstLine="283"/>
              <w:jc w:val="both"/>
            </w:pPr>
            <w:r>
              <w:t>Примечание - Толщину засыпки над железобетонными трубами и пешеходными тоннелями, расположенными в пределах железнодорожных станций, допускается принимать менее 1,0 м.</w:t>
            </w:r>
          </w:p>
          <w:p w:rsidR="00212513" w:rsidRDefault="00212513">
            <w:pPr>
              <w:pStyle w:val="ConsPlusNormal"/>
              <w:ind w:firstLine="283"/>
              <w:jc w:val="both"/>
            </w:pPr>
            <w:r>
              <w:t xml:space="preserve">В обоснованных случаях на улицах и автомобильных дорогах толщину засыпки над трубами и закрытыми лотками допускается принимать менее 0,5 м. Во всех случаях при уменьшенной толщине засыпки должны выполняться содержащиеся в </w:t>
            </w:r>
            <w:hyperlink w:anchor="P1497">
              <w:r>
                <w:rPr>
                  <w:color w:val="0000FF"/>
                </w:rPr>
                <w:t>6.22</w:t>
              </w:r>
            </w:hyperlink>
            <w:r>
              <w:t xml:space="preserve"> указания по учету динамического воздействия временных нагрузок.</w:t>
            </w:r>
          </w:p>
        </w:tc>
      </w:tr>
    </w:tbl>
    <w:p w:rsidR="00212513" w:rsidRDefault="00212513">
      <w:pPr>
        <w:pStyle w:val="ConsPlusNormal"/>
        <w:ind w:firstLine="540"/>
        <w:jc w:val="both"/>
      </w:pPr>
    </w:p>
    <w:p w:rsidR="00212513" w:rsidRDefault="00212513">
      <w:pPr>
        <w:pStyle w:val="ConsPlusNormal"/>
        <w:jc w:val="both"/>
      </w:pPr>
      <w:r>
        <w:t xml:space="preserve">(в ред. </w:t>
      </w:r>
      <w:hyperlink r:id="rId76">
        <w:r>
          <w:rPr>
            <w:color w:val="0000FF"/>
          </w:rPr>
          <w:t>Изменения N 1</w:t>
        </w:r>
      </w:hyperlink>
      <w:r>
        <w:t>, утв. Приказом Минстроя России от 03.12.2016 N 879/пр)</w:t>
      </w:r>
    </w:p>
    <w:p w:rsidR="00212513" w:rsidRDefault="00212513">
      <w:pPr>
        <w:pStyle w:val="ConsPlusNormal"/>
        <w:ind w:firstLine="540"/>
        <w:jc w:val="both"/>
      </w:pPr>
    </w:p>
    <w:p w:rsidR="00212513" w:rsidRDefault="00212513">
      <w:pPr>
        <w:pStyle w:val="ConsPlusTitle"/>
        <w:ind w:firstLine="540"/>
        <w:jc w:val="both"/>
        <w:outlineLvl w:val="2"/>
      </w:pPr>
      <w:r>
        <w:t>Основные требования к конструкциям</w:t>
      </w:r>
    </w:p>
    <w:p w:rsidR="00212513" w:rsidRDefault="00212513">
      <w:pPr>
        <w:pStyle w:val="ConsPlusNormal"/>
        <w:ind w:firstLine="540"/>
        <w:jc w:val="both"/>
      </w:pPr>
    </w:p>
    <w:p w:rsidR="00212513" w:rsidRDefault="00212513">
      <w:pPr>
        <w:pStyle w:val="ConsPlusNormal"/>
        <w:ind w:firstLine="540"/>
        <w:jc w:val="both"/>
      </w:pPr>
      <w:r>
        <w:t>5.9 Конструктивные, архитектурные и объемно-планировочные решения мостовых сооружений и труб, применяемые материалы и изделия должны быть технологически целесообразными и исполнимыми при строительстве, текущем содержании в период эксплуатации, при ремонтах и реконструкции.</w:t>
      </w:r>
    </w:p>
    <w:p w:rsidR="00212513" w:rsidRDefault="00212513">
      <w:pPr>
        <w:pStyle w:val="ConsPlusNormal"/>
        <w:spacing w:before="220"/>
        <w:ind w:firstLine="540"/>
        <w:jc w:val="both"/>
      </w:pPr>
      <w:r>
        <w:t>В проектах железнодорожных мостов и труб следует предусматривать возможность использования их при строительстве вторых путей и замене пролетных строений на эксплуатируемой сети.</w:t>
      </w:r>
    </w:p>
    <w:p w:rsidR="00212513" w:rsidRDefault="00212513">
      <w:pPr>
        <w:pStyle w:val="ConsPlusNormal"/>
        <w:spacing w:before="220"/>
        <w:ind w:firstLine="540"/>
        <w:jc w:val="both"/>
      </w:pPr>
      <w:r>
        <w:t xml:space="preserve">При применении в конструкциях сооружений типовых элементов или стандартных деталей необходимо учитывать установленные для них допустимые отклонения формы и геометрических размеров согласно </w:t>
      </w:r>
      <w:hyperlink r:id="rId77">
        <w:r>
          <w:rPr>
            <w:color w:val="0000FF"/>
          </w:rPr>
          <w:t>ГОСТ Р 58944</w:t>
        </w:r>
      </w:hyperlink>
      <w:r>
        <w:t>. Для нетиповых элементов и нестандартных изделий при соответствующем обосновании могут быть установлены свои значения допустимых отклонений.</w:t>
      </w:r>
    </w:p>
    <w:p w:rsidR="00212513" w:rsidRDefault="00212513">
      <w:pPr>
        <w:pStyle w:val="ConsPlusNormal"/>
        <w:jc w:val="both"/>
      </w:pPr>
      <w:r>
        <w:t xml:space="preserve">(в ред. </w:t>
      </w:r>
      <w:hyperlink r:id="rId78">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5.10 Основные размеры пролетных строений и опор новых мостовых сооружений, а также массу и размеры элементов сборных конструкций следует назначать с учетом условий изготовления и возможности использования при монтаже и перевозке общестроительных и специализированных кранов и транспортных средств серийного производства.</w:t>
      </w:r>
    </w:p>
    <w:p w:rsidR="00212513" w:rsidRDefault="00212513">
      <w:pPr>
        <w:pStyle w:val="ConsPlusNormal"/>
        <w:spacing w:before="220"/>
        <w:ind w:firstLine="540"/>
        <w:jc w:val="both"/>
      </w:pPr>
      <w:r>
        <w:t>5.11 Конструкции деформационных устройств (опорных частей, шарниров, деформационных швов, уравнительных приборов, сезонных уравнительных рельсов) и их расположение должны обеспечивать необходимую свободу предусматриваемых взаимных перемещений (линейных, угловых) отдельных частей (элементов) сооружения.</w:t>
      </w:r>
    </w:p>
    <w:p w:rsidR="00212513" w:rsidRDefault="00212513">
      <w:pPr>
        <w:pStyle w:val="ConsPlusNormal"/>
        <w:spacing w:before="220"/>
        <w:ind w:firstLine="540"/>
        <w:jc w:val="both"/>
      </w:pPr>
      <w:r>
        <w:t xml:space="preserve">Проектная и рабочая документация должны содержать указания по установке деформационных устройств с учетом степени готовности сооружения и температуры воздуха (конструкции) во время замыкания конструкции согласно требованиям </w:t>
      </w:r>
      <w:hyperlink w:anchor="P1758">
        <w:r>
          <w:rPr>
            <w:color w:val="0000FF"/>
          </w:rPr>
          <w:t>6.27</w:t>
        </w:r>
      </w:hyperlink>
      <w:r>
        <w:t>.</w:t>
      </w:r>
    </w:p>
    <w:p w:rsidR="00212513" w:rsidRDefault="00212513">
      <w:pPr>
        <w:pStyle w:val="ConsPlusNormal"/>
        <w:jc w:val="both"/>
      </w:pPr>
      <w:r>
        <w:t xml:space="preserve">(в ред. </w:t>
      </w:r>
      <w:hyperlink r:id="rId79">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5.12 На мостовых переходах при необходимости регулирования направления потока и предотвращения подмывов (размывов) следует предусматривать струенаправляющие и берегоукрепительные сооружения.</w:t>
      </w:r>
    </w:p>
    <w:p w:rsidR="00212513" w:rsidRDefault="00212513">
      <w:pPr>
        <w:pStyle w:val="ConsPlusNormal"/>
        <w:spacing w:before="220"/>
        <w:ind w:firstLine="540"/>
        <w:jc w:val="both"/>
      </w:pPr>
      <w:r>
        <w:t>Струенаправляющие дамбы следует предусматривать при пойменном расходе воды не менее 15% расчетного расхода или при средних расчетных скоростях течения воды под мостом до размыва свыше 1 м/с, а также при соответствующих ситуационных особенностях перехода (прижимных течениях, перекрытиях протоков и т.п.).</w:t>
      </w:r>
    </w:p>
    <w:p w:rsidR="00212513" w:rsidRDefault="00212513">
      <w:pPr>
        <w:pStyle w:val="ConsPlusNormal"/>
        <w:spacing w:before="220"/>
        <w:ind w:firstLine="540"/>
        <w:jc w:val="both"/>
      </w:pPr>
      <w:r>
        <w:t>Для труб и мостов на основании гидравлических расчетов следует предусматривать углубление, планировку и укрепление русел, устройства, препятствующие накоплению наносов, а также устройства для гашения скоростей протекающей воды на входе и выходе.</w:t>
      </w:r>
    </w:p>
    <w:p w:rsidR="00212513" w:rsidRDefault="00212513">
      <w:pPr>
        <w:pStyle w:val="ConsPlusNormal"/>
        <w:spacing w:before="220"/>
        <w:ind w:firstLine="540"/>
        <w:jc w:val="both"/>
      </w:pPr>
      <w:r>
        <w:t>При использовании принципа строительства с сохранением вечной мерзлоты возведение струенаправляющих и берегоукрепительных сооружений не должно вызывать изменений бытового режима водотока состояния вечномерзлых грунтов в основании, нарушений условий протекания грунтовых вод, местных застоев воды.</w:t>
      </w:r>
    </w:p>
    <w:p w:rsidR="00212513" w:rsidRDefault="00212513">
      <w:pPr>
        <w:pStyle w:val="ConsPlusNormal"/>
        <w:jc w:val="both"/>
      </w:pPr>
      <w:r>
        <w:t xml:space="preserve">(в ред. </w:t>
      </w:r>
      <w:hyperlink r:id="rId80">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5.13 Отверстие (и высоту в свету) труб следует определять расчетом, м, не менее:</w:t>
      </w:r>
    </w:p>
    <w:p w:rsidR="00212513" w:rsidRDefault="00212513">
      <w:pPr>
        <w:pStyle w:val="ConsPlusNormal"/>
        <w:spacing w:before="220"/>
        <w:ind w:firstLine="540"/>
        <w:jc w:val="both"/>
      </w:pPr>
      <w:r>
        <w:lastRenderedPageBreak/>
        <w:t>1,5 - при длине трубы (или при расстоянии между смотровыми колодцами в междупутье на станциях) более 30 м;</w:t>
      </w:r>
    </w:p>
    <w:p w:rsidR="00212513" w:rsidRDefault="00212513">
      <w:pPr>
        <w:pStyle w:val="ConsPlusNormal"/>
        <w:spacing w:before="220"/>
        <w:ind w:firstLine="540"/>
        <w:jc w:val="both"/>
      </w:pPr>
      <w:r>
        <w:t>1,25 - при длине трубы от 20 до 30 м;</w:t>
      </w:r>
    </w:p>
    <w:p w:rsidR="00212513" w:rsidRDefault="00212513">
      <w:pPr>
        <w:pStyle w:val="ConsPlusNormal"/>
        <w:spacing w:before="220"/>
        <w:ind w:firstLine="540"/>
        <w:jc w:val="both"/>
      </w:pPr>
      <w:r>
        <w:t>1,0 - при длине трубы не более 20 м;</w:t>
      </w:r>
    </w:p>
    <w:p w:rsidR="00212513" w:rsidRDefault="00212513">
      <w:pPr>
        <w:pStyle w:val="ConsPlusNormal"/>
        <w:spacing w:before="220"/>
        <w:ind w:firstLine="540"/>
        <w:jc w:val="both"/>
      </w:pPr>
      <w:r>
        <w:t xml:space="preserve">0,5 - на съездах при устройстве в пределах трубы уклона </w:t>
      </w:r>
      <w:r>
        <w:rPr>
          <w:noProof/>
          <w:position w:val="-3"/>
        </w:rPr>
        <w:drawing>
          <wp:inline distT="0" distB="0" distL="0" distR="0">
            <wp:extent cx="377190" cy="18923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77190" cy="189230"/>
                    </a:xfrm>
                    <a:prstGeom prst="rect">
                      <a:avLst/>
                    </a:prstGeom>
                    <a:noFill/>
                    <a:ln>
                      <a:noFill/>
                    </a:ln>
                  </pic:spPr>
                </pic:pic>
              </a:graphicData>
            </a:graphic>
          </wp:inline>
        </w:drawing>
      </w:r>
      <w:r>
        <w:t xml:space="preserve"> и более и ограждений на входе, а также на дорогах IV и V категорий при длине трубы не более 10 м.</w:t>
      </w:r>
    </w:p>
    <w:p w:rsidR="00212513" w:rsidRDefault="00212513">
      <w:pPr>
        <w:pStyle w:val="ConsPlusNormal"/>
        <w:spacing w:before="220"/>
        <w:ind w:firstLine="540"/>
        <w:jc w:val="both"/>
      </w:pPr>
      <w:r>
        <w:t xml:space="preserve">Отверстия труб на железных дорогах общей сети и автомобильных дорогах общего пользования в районах со средней температурой наружного воздуха наиболее холодной пятидневки ниже минус 40 °C (с обеспеченностью 0,92 по </w:t>
      </w:r>
      <w:hyperlink r:id="rId82">
        <w:r>
          <w:rPr>
            <w:color w:val="0000FF"/>
          </w:rPr>
          <w:t>СП 131.13330</w:t>
        </w:r>
      </w:hyperlink>
      <w:r>
        <w:t>) следует назначать не менее 1,5 м.</w:t>
      </w:r>
    </w:p>
    <w:p w:rsidR="00212513" w:rsidRDefault="00212513">
      <w:pPr>
        <w:pStyle w:val="ConsPlusNormal"/>
        <w:spacing w:before="220"/>
        <w:ind w:firstLine="540"/>
        <w:jc w:val="both"/>
      </w:pPr>
      <w:r>
        <w:t>Отверстия малых мостов допускается увеличивать для использования их в качестве пешеходных переходов, скотопрогонов и для пропуска сельскохозяйственных машин с обеспечением соответствующих габаритов.</w:t>
      </w:r>
    </w:p>
    <w:p w:rsidR="00212513" w:rsidRDefault="00212513">
      <w:pPr>
        <w:pStyle w:val="ConsPlusNormal"/>
        <w:jc w:val="both"/>
      </w:pPr>
      <w:r>
        <w:t xml:space="preserve">(п. 5.13 в ред. </w:t>
      </w:r>
      <w:hyperlink r:id="rId83">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bookmarkStart w:id="4" w:name="P228"/>
      <w:bookmarkEnd w:id="4"/>
      <w:r>
        <w:t xml:space="preserve">5.14 Для водопропускных труб следует, как правило, предусматривать безнапорный режим работы. Допускается предусматривать полунапорный и напорный режимы работы водопропускных труб, располагаемых на железных дорогах общей сети, для пропуска только наибольшего расхода, на всех остальных дорогах - расчетного расхода по </w:t>
      </w:r>
      <w:hyperlink w:anchor="P393">
        <w:r>
          <w:rPr>
            <w:color w:val="0000FF"/>
          </w:rPr>
          <w:t>5.25</w:t>
        </w:r>
      </w:hyperlink>
      <w:r>
        <w:t>. При этом под оголовками и звеньями следует предусматривать фундаменты, а при необходимости - также противофильтрационные экраны. При напорном режиме следует предусматривать специальные входные оголовки и обеспечивать водонепроницаемость швов между торцами звеньев и секциями фундаментов, надежное укрепление русла, устойчивость насыпи против напора и фильтрации воды.</w:t>
      </w:r>
    </w:p>
    <w:p w:rsidR="00212513" w:rsidRDefault="00212513">
      <w:pPr>
        <w:pStyle w:val="ConsPlusNormal"/>
        <w:spacing w:before="220"/>
        <w:ind w:firstLine="540"/>
        <w:jc w:val="both"/>
      </w:pPr>
      <w:r>
        <w:t>Для труб, расположенных в районах со средней температурой наружного воздуха наиболее холодной пятидневки ниже минус 40 °C, не допускается предусматривать полунапорный и напорный режимы работы, за исключением случаев расположения труб на скальных грунтах.</w:t>
      </w:r>
    </w:p>
    <w:p w:rsidR="00212513" w:rsidRDefault="00212513">
      <w:pPr>
        <w:pStyle w:val="ConsPlusNormal"/>
        <w:spacing w:before="220"/>
        <w:ind w:firstLine="540"/>
        <w:jc w:val="both"/>
      </w:pPr>
      <w:r>
        <w:t>5.15 Водопропускные трубы следует проектировать с входными и выходными оголовками, форма и размеры которых обеспечивают принятые в расчетах условия протекания воды и устойчивость насыпи, окружающей трубу.</w:t>
      </w:r>
    </w:p>
    <w:p w:rsidR="00212513" w:rsidRDefault="00212513">
      <w:pPr>
        <w:pStyle w:val="ConsPlusNormal"/>
        <w:jc w:val="both"/>
      </w:pPr>
      <w:r>
        <w:t xml:space="preserve">(в ред. </w:t>
      </w:r>
      <w:hyperlink r:id="rId84">
        <w:r>
          <w:rPr>
            <w:color w:val="0000FF"/>
          </w:rPr>
          <w:t>Изменения N 1</w:t>
        </w:r>
      </w:hyperlink>
      <w:r>
        <w:t xml:space="preserve">, утв. Приказом Минстроя России от 03.12.2016 N 879/пр, </w:t>
      </w:r>
      <w:hyperlink r:id="rId85">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Металлические гофрированные трубы и трубы из полимерных композитов допускается проектировать без устройства оголовков. При этом нижняя часть несрезаемой трубы должна выступать из насыпи на уровне ее подошвы не менее чем на 0,2 м, а сечение трубы со срезанным концом должно выступать из тела насыпи не менее чем на 0,5 м.</w:t>
      </w:r>
    </w:p>
    <w:p w:rsidR="00212513" w:rsidRDefault="00212513">
      <w:pPr>
        <w:pStyle w:val="ConsPlusNormal"/>
        <w:jc w:val="both"/>
      </w:pPr>
      <w:r>
        <w:t xml:space="preserve">(в ред. </w:t>
      </w:r>
      <w:hyperlink r:id="rId86">
        <w:r>
          <w:rPr>
            <w:color w:val="0000FF"/>
          </w:rPr>
          <w:t>Изменения N 3</w:t>
        </w:r>
      </w:hyperlink>
      <w:r>
        <w:t xml:space="preserve">, утв. Приказом Минстроя России от 29.12.2020 N 891/пр, </w:t>
      </w:r>
      <w:hyperlink r:id="rId87">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5.16 Применять трубы не допускается при наличии ледохода и карчехода, а также, как правило, в местах возможного возникновения селей и образования наледи.</w:t>
      </w:r>
    </w:p>
    <w:p w:rsidR="00212513" w:rsidRDefault="00212513">
      <w:pPr>
        <w:pStyle w:val="ConsPlusNormal"/>
        <w:spacing w:before="220"/>
        <w:ind w:firstLine="540"/>
        <w:jc w:val="both"/>
      </w:pPr>
      <w:r>
        <w:t>В местах возможного образования наледи в виде исключения допускается применение прямоугольных железобетонных труб (шириной не менее 3 м и высотой не менее 2 м) в комплексе с постоянными противоналедными сооружениями.</w:t>
      </w:r>
    </w:p>
    <w:p w:rsidR="00212513" w:rsidRDefault="00212513">
      <w:pPr>
        <w:pStyle w:val="ConsPlusNormal"/>
        <w:jc w:val="both"/>
      </w:pPr>
      <w:r>
        <w:t xml:space="preserve">(в ред. </w:t>
      </w:r>
      <w:hyperlink r:id="rId88">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t>При этом боковые стенки трубы должны быть массивными бетонными.</w:t>
      </w:r>
    </w:p>
    <w:p w:rsidR="00212513" w:rsidRDefault="00212513">
      <w:pPr>
        <w:pStyle w:val="ConsPlusNormal"/>
        <w:spacing w:before="220"/>
        <w:ind w:firstLine="540"/>
        <w:jc w:val="both"/>
      </w:pPr>
      <w:r>
        <w:lastRenderedPageBreak/>
        <w:t>Для пропуска селевых потоков следует предусматривать однопролетные мосты отверстиями не менее 4 м или селеспуски с минимальным стеснением потока.</w:t>
      </w:r>
    </w:p>
    <w:p w:rsidR="00212513" w:rsidRDefault="00212513">
      <w:pPr>
        <w:pStyle w:val="ConsPlusNormal"/>
        <w:spacing w:before="220"/>
        <w:ind w:firstLine="540"/>
        <w:jc w:val="both"/>
      </w:pPr>
      <w:r>
        <w:t>5.17 В проектной и рабочей документации должны быть предусмотрены мероприятия по защите элементов и частей мостов и труб от повреждений при отсыпке насыпи и укреплении откосов, от засорения и загрязнения, вредных воздействий агрессивных сред, высоких температур и блуждающих токов.</w:t>
      </w:r>
    </w:p>
    <w:p w:rsidR="00212513" w:rsidRDefault="00212513">
      <w:pPr>
        <w:pStyle w:val="ConsPlusNormal"/>
        <w:jc w:val="both"/>
      </w:pPr>
      <w:r>
        <w:t xml:space="preserve">(в ред. </w:t>
      </w:r>
      <w:hyperlink r:id="rId89">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5.18 Для вновь проектируемых мостов расстояния между соседними главными фермами (балками) следует назначать из условий обеспечения осмотра, текущего содержания.</w:t>
      </w:r>
    </w:p>
    <w:p w:rsidR="00212513" w:rsidRDefault="00212513">
      <w:pPr>
        <w:pStyle w:val="ConsPlusNormal"/>
        <w:spacing w:before="220"/>
        <w:ind w:firstLine="540"/>
        <w:jc w:val="both"/>
      </w:pPr>
      <w:r>
        <w:t>При раздельных пролетных строениях (под каждый путь или проезжую часть одного направления движения транспортных средств) расстояние в свету следует назначать не менее, м: 1,0 - между смежными главными фермами (балками) и 0,20 - между гранями плит проезжей части.</w:t>
      </w:r>
    </w:p>
    <w:p w:rsidR="00212513" w:rsidRDefault="00212513">
      <w:pPr>
        <w:pStyle w:val="ConsPlusNormal"/>
        <w:spacing w:before="220"/>
        <w:ind w:firstLine="540"/>
        <w:jc w:val="both"/>
      </w:pPr>
      <w:r>
        <w:t>5.19 В конструктивных решениях, принимаемых для малых железнодорожных мостов с ездой на балласте, должна быть предусмотрена возможность подъема пути при его капитальном ремонте.</w:t>
      </w:r>
    </w:p>
    <w:p w:rsidR="00212513" w:rsidRDefault="00212513">
      <w:pPr>
        <w:pStyle w:val="ConsPlusNormal"/>
        <w:ind w:firstLine="540"/>
        <w:jc w:val="both"/>
      </w:pPr>
    </w:p>
    <w:p w:rsidR="00212513" w:rsidRDefault="00212513">
      <w:pPr>
        <w:pStyle w:val="ConsPlusTitle"/>
        <w:ind w:firstLine="540"/>
        <w:jc w:val="both"/>
        <w:outlineLvl w:val="2"/>
      </w:pPr>
      <w:r>
        <w:t>Габариты</w:t>
      </w:r>
    </w:p>
    <w:p w:rsidR="00212513" w:rsidRDefault="00212513">
      <w:pPr>
        <w:pStyle w:val="ConsPlusNormal"/>
        <w:ind w:firstLine="540"/>
        <w:jc w:val="both"/>
      </w:pPr>
    </w:p>
    <w:p w:rsidR="00212513" w:rsidRDefault="00212513">
      <w:pPr>
        <w:pStyle w:val="ConsPlusNormal"/>
        <w:ind w:firstLine="540"/>
        <w:jc w:val="both"/>
      </w:pPr>
      <w:r>
        <w:t>5.20 Габариты приближения конструкций проектируемых сооружений должны удовлетворять требованиям:</w:t>
      </w:r>
    </w:p>
    <w:p w:rsidR="00212513" w:rsidRDefault="00212513">
      <w:pPr>
        <w:pStyle w:val="ConsPlusNormal"/>
        <w:spacing w:before="220"/>
        <w:ind w:firstLine="540"/>
        <w:jc w:val="both"/>
      </w:pPr>
      <w:r>
        <w:t xml:space="preserve">на железных дорогах - </w:t>
      </w:r>
      <w:hyperlink r:id="rId90">
        <w:r>
          <w:rPr>
            <w:color w:val="0000FF"/>
          </w:rPr>
          <w:t>ГОСТ 9238</w:t>
        </w:r>
      </w:hyperlink>
      <w:r>
        <w:t>;</w:t>
      </w:r>
    </w:p>
    <w:p w:rsidR="00212513" w:rsidRDefault="00212513">
      <w:pPr>
        <w:pStyle w:val="ConsPlusNormal"/>
        <w:spacing w:before="220"/>
        <w:ind w:firstLine="540"/>
        <w:jc w:val="both"/>
      </w:pPr>
      <w:r>
        <w:t xml:space="preserve">на линиях метрополитена - </w:t>
      </w:r>
      <w:hyperlink r:id="rId91">
        <w:r>
          <w:rPr>
            <w:color w:val="0000FF"/>
          </w:rPr>
          <w:t>ГОСТ 23961</w:t>
        </w:r>
      </w:hyperlink>
      <w:r>
        <w:t>;</w:t>
      </w:r>
    </w:p>
    <w:p w:rsidR="00212513" w:rsidRDefault="00212513">
      <w:pPr>
        <w:pStyle w:val="ConsPlusNormal"/>
        <w:spacing w:before="220"/>
        <w:ind w:firstLine="540"/>
        <w:jc w:val="both"/>
      </w:pPr>
      <w:r>
        <w:t xml:space="preserve">на автомобильных дорогах общего пользования, внутрихозяйственных дорогах, на дорогах промышленных предприятий, а также на улицах и дорогах в населенных пунктах - по </w:t>
      </w:r>
      <w:hyperlink w:anchor="P12092">
        <w:r>
          <w:rPr>
            <w:color w:val="0000FF"/>
          </w:rPr>
          <w:t>приложению Г</w:t>
        </w:r>
      </w:hyperlink>
      <w:r>
        <w:t xml:space="preserve">, для автомобильных дорог общего пользования - с учетом дополнительных требований </w:t>
      </w:r>
      <w:hyperlink r:id="rId92">
        <w:r>
          <w:rPr>
            <w:color w:val="0000FF"/>
          </w:rPr>
          <w:t>ГОСТ 33391</w:t>
        </w:r>
      </w:hyperlink>
      <w:r>
        <w:t>.</w:t>
      </w:r>
    </w:p>
    <w:p w:rsidR="00212513" w:rsidRDefault="00212513">
      <w:pPr>
        <w:pStyle w:val="ConsPlusNormal"/>
        <w:jc w:val="both"/>
      </w:pPr>
      <w:r>
        <w:t xml:space="preserve">(в ред. </w:t>
      </w:r>
      <w:hyperlink r:id="rId93">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Если в утвержденном проекте планировки территории или в техническом задании на проектирование предусматривается перевод дороги в более высокую категорию, габариты приближения конструкций проектируемых сооружений, а также их грузоподъемность должны соответствовать требованиям, предусмотренным для сооружений на дорогах более высокой категории.</w:t>
      </w:r>
    </w:p>
    <w:p w:rsidR="00212513" w:rsidRDefault="00212513">
      <w:pPr>
        <w:pStyle w:val="ConsPlusNormal"/>
        <w:jc w:val="both"/>
      </w:pPr>
      <w:r>
        <w:t xml:space="preserve">(в ред. </w:t>
      </w:r>
      <w:hyperlink r:id="rId94">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5.21 Ширину пешеходных мостов и сооружений тоннельного типа следует определять в зависимости от расчетной перспективной интенсивности движения пешеходов в час пик и принимать не менее, м: 2,25 - для мостов и 3,0 - для тоннелей (в городских условиях соответственно - 3,0 и 4,0).</w:t>
      </w:r>
    </w:p>
    <w:p w:rsidR="00212513" w:rsidRDefault="00212513">
      <w:pPr>
        <w:pStyle w:val="ConsPlusNormal"/>
        <w:spacing w:before="220"/>
        <w:ind w:firstLine="540"/>
        <w:jc w:val="both"/>
      </w:pPr>
      <w:r>
        <w:t>Высота пешеходных тоннелей и надземных закрытых переходов должна быть не менее 2,30 м в свету.</w:t>
      </w:r>
    </w:p>
    <w:p w:rsidR="00212513" w:rsidRDefault="00212513">
      <w:pPr>
        <w:pStyle w:val="ConsPlusNormal"/>
        <w:spacing w:before="220"/>
        <w:ind w:firstLine="540"/>
        <w:jc w:val="both"/>
      </w:pPr>
      <w:r>
        <w:t>Среднюю расчетную пропускную способность 1 м ширины следует принимать для пешеходных мостов и тоннелей - 2000 чел./ч, для лестниц - 1500 чел./ч.</w:t>
      </w:r>
    </w:p>
    <w:p w:rsidR="00212513" w:rsidRDefault="00212513">
      <w:pPr>
        <w:pStyle w:val="ConsPlusNormal"/>
        <w:spacing w:before="220"/>
        <w:ind w:firstLine="540"/>
        <w:jc w:val="both"/>
      </w:pPr>
      <w:r>
        <w:t>Габариты сооружений для пропуска полевых дорог и прогона скота (миграции диких животных) при отсутствии специальных требований следует принимать, м:</w:t>
      </w:r>
    </w:p>
    <w:p w:rsidR="00212513" w:rsidRDefault="00212513">
      <w:pPr>
        <w:pStyle w:val="ConsPlusNormal"/>
        <w:spacing w:before="220"/>
        <w:ind w:firstLine="540"/>
        <w:jc w:val="both"/>
      </w:pPr>
      <w:r>
        <w:lastRenderedPageBreak/>
        <w:t>а) для полевых дорог: высоту не менее 4,5, ширину - 6,0, но не менее максимальной ширины, увеличенной на 1,0 м, сельскохозяйственных машин, движение которых возможно на дороге;</w:t>
      </w:r>
    </w:p>
    <w:p w:rsidR="00212513" w:rsidRDefault="00212513">
      <w:pPr>
        <w:pStyle w:val="ConsPlusNormal"/>
        <w:spacing w:before="220"/>
        <w:ind w:firstLine="540"/>
        <w:jc w:val="both"/>
      </w:pPr>
      <w:r>
        <w:t xml:space="preserve">б) для прогона скота: высоту не менее 3,0, ширину - по формуле </w:t>
      </w:r>
      <w:r>
        <w:rPr>
          <w:noProof/>
          <w:position w:val="-3"/>
        </w:rPr>
        <w:drawing>
          <wp:inline distT="0" distB="0" distL="0" distR="0">
            <wp:extent cx="566420" cy="18923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66420" cy="189230"/>
                    </a:xfrm>
                    <a:prstGeom prst="rect">
                      <a:avLst/>
                    </a:prstGeom>
                    <a:noFill/>
                    <a:ln>
                      <a:noFill/>
                    </a:ln>
                  </pic:spPr>
                </pic:pic>
              </a:graphicData>
            </a:graphic>
          </wp:inline>
        </w:drawing>
      </w:r>
      <w:r>
        <w:t xml:space="preserve">, где </w:t>
      </w:r>
      <w:r>
        <w:rPr>
          <w:noProof/>
          <w:position w:val="-3"/>
        </w:rPr>
        <w:drawing>
          <wp:inline distT="0" distB="0" distL="0" distR="0">
            <wp:extent cx="146050" cy="18923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6050" cy="189230"/>
                    </a:xfrm>
                    <a:prstGeom prst="rect">
                      <a:avLst/>
                    </a:prstGeom>
                    <a:noFill/>
                    <a:ln>
                      <a:noFill/>
                    </a:ln>
                  </pic:spPr>
                </pic:pic>
              </a:graphicData>
            </a:graphic>
          </wp:inline>
        </w:drawing>
      </w:r>
      <w:r>
        <w:t xml:space="preserve"> - длина скотопрогона, но не менее 4,0 для автомобильных дорог, для железных дорог - по </w:t>
      </w:r>
      <w:hyperlink r:id="rId97">
        <w:r>
          <w:rPr>
            <w:color w:val="0000FF"/>
          </w:rPr>
          <w:t>СП 119.13330</w:t>
        </w:r>
      </w:hyperlink>
      <w:r>
        <w:t>.</w:t>
      </w:r>
    </w:p>
    <w:p w:rsidR="00212513" w:rsidRDefault="00212513">
      <w:pPr>
        <w:pStyle w:val="ConsPlusNormal"/>
        <w:jc w:val="both"/>
      </w:pPr>
      <w:r>
        <w:t xml:space="preserve">(в ред. </w:t>
      </w:r>
      <w:hyperlink r:id="rId98">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 xml:space="preserve">Габариты сооружений для пропуска мигрирующих диких животных следует принимать в соответствии с требованиями </w:t>
      </w:r>
      <w:hyperlink r:id="rId99">
        <w:r>
          <w:rPr>
            <w:color w:val="0000FF"/>
          </w:rPr>
          <w:t>СП 461.1325800</w:t>
        </w:r>
      </w:hyperlink>
      <w:r>
        <w:t xml:space="preserve"> для железных дорог и </w:t>
      </w:r>
      <w:hyperlink r:id="rId100">
        <w:r>
          <w:rPr>
            <w:color w:val="0000FF"/>
          </w:rPr>
          <w:t>ГОСТ Р 58947</w:t>
        </w:r>
      </w:hyperlink>
      <w:r>
        <w:t xml:space="preserve"> для автомобильных дорог.</w:t>
      </w:r>
    </w:p>
    <w:p w:rsidR="00212513" w:rsidRDefault="00212513">
      <w:pPr>
        <w:pStyle w:val="ConsPlusNormal"/>
        <w:jc w:val="both"/>
      </w:pPr>
      <w:r>
        <w:t xml:space="preserve">(абзац введен </w:t>
      </w:r>
      <w:hyperlink r:id="rId101">
        <w:r>
          <w:rPr>
            <w:color w:val="0000FF"/>
          </w:rPr>
          <w:t>Изменением N 3</w:t>
        </w:r>
      </w:hyperlink>
      <w:r>
        <w:t>, утв. Приказом Минстроя России от 29.12.2020 N 891/пр)</w:t>
      </w:r>
    </w:p>
    <w:p w:rsidR="00212513" w:rsidRDefault="00212513">
      <w:pPr>
        <w:pStyle w:val="ConsPlusNormal"/>
        <w:spacing w:before="220"/>
        <w:ind w:firstLine="540"/>
        <w:jc w:val="both"/>
      </w:pPr>
      <w:r>
        <w:t>Полевая дорога или дорога для прогона скота, проходящая под пролетом моста или в трубе под насыпью, должна быть укреплена по всей ее ширине и на участках длиной не менее 10,0 м в каждую сторону от сооружения. При необходимости у сооружений устраивают направляющие ограждения.</w:t>
      </w:r>
    </w:p>
    <w:p w:rsidR="00212513" w:rsidRDefault="00212513">
      <w:pPr>
        <w:pStyle w:val="ConsPlusNormal"/>
        <w:spacing w:before="220"/>
        <w:ind w:firstLine="540"/>
        <w:jc w:val="both"/>
      </w:pPr>
      <w:r>
        <w:t>Минимальную ширину лестничного схода (с учетом ширины прохожей части устраиваемых эскалаторных спусков) для пешеходных тоннелей и пешеходных мостов и путепроводов следует принимать в чистоте не менее 2,25 м, а при наличии спуска для колясок - не менее 3,30 м.</w:t>
      </w:r>
    </w:p>
    <w:p w:rsidR="00212513" w:rsidRDefault="00212513">
      <w:pPr>
        <w:pStyle w:val="ConsPlusNormal"/>
        <w:jc w:val="both"/>
      </w:pPr>
      <w:r>
        <w:t xml:space="preserve">(в ред. </w:t>
      </w:r>
      <w:hyperlink r:id="rId102">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 xml:space="preserve">5.22 Габариты подмостовых судоходных пролетов на внутренних водных путях следует принимать в соответствии с </w:t>
      </w:r>
      <w:hyperlink r:id="rId103">
        <w:r>
          <w:rPr>
            <w:color w:val="0000FF"/>
          </w:rPr>
          <w:t>ГОСТ 26775</w:t>
        </w:r>
      </w:hyperlink>
      <w:r>
        <w:t>. Допускается при технико-экономическом обосновании размещение двух судовых ходов в одном пролете. При строительстве мостов под второй путь или дополнительные полосы движения автотранспорта (при расширении существующих мостовых переходов) подмостовые габариты следует принимать на основании технико-экономических расчетов с учетом подмостовых габаритов существующих мостов.</w:t>
      </w:r>
    </w:p>
    <w:p w:rsidR="00212513" w:rsidRDefault="00212513">
      <w:pPr>
        <w:pStyle w:val="ConsPlusNormal"/>
        <w:jc w:val="both"/>
      </w:pPr>
      <w:r>
        <w:t xml:space="preserve">(в ред. </w:t>
      </w:r>
      <w:hyperlink r:id="rId104">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bookmarkStart w:id="5" w:name="P268"/>
      <w:bookmarkEnd w:id="5"/>
      <w:r>
        <w:t>5.23 Положение элементов моста над уровнями воды и ледохода на несудоходных и несплавных водотоках, а также в несудоходных пролетах мостов на судоходных водных путях следует определять в зависимости от местных условий и принятой схемы моста. Размеры возвышений отдельных элементов моста над соответствующими уровнями воды и ледохода во всех случаях не должны быть менее величин, указанных в таблице 5.2.</w:t>
      </w:r>
    </w:p>
    <w:p w:rsidR="00212513" w:rsidRDefault="00212513">
      <w:pPr>
        <w:pStyle w:val="ConsPlusNormal"/>
        <w:ind w:firstLine="540"/>
        <w:jc w:val="both"/>
      </w:pPr>
    </w:p>
    <w:p w:rsidR="00212513" w:rsidRDefault="00212513">
      <w:pPr>
        <w:pStyle w:val="ConsPlusNormal"/>
        <w:jc w:val="right"/>
      </w:pPr>
      <w:bookmarkStart w:id="6" w:name="P270"/>
      <w:bookmarkEnd w:id="6"/>
      <w:r>
        <w:t>Таблица 5.2</w:t>
      </w:r>
    </w:p>
    <w:p w:rsidR="00212513" w:rsidRDefault="00212513">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1531"/>
        <w:gridCol w:w="1871"/>
        <w:gridCol w:w="1474"/>
        <w:gridCol w:w="1417"/>
      </w:tblGrid>
      <w:tr w:rsidR="00212513">
        <w:tc>
          <w:tcPr>
            <w:tcW w:w="2778" w:type="dxa"/>
            <w:vMerge w:val="restart"/>
            <w:tcBorders>
              <w:top w:val="single" w:sz="4" w:space="0" w:color="auto"/>
              <w:bottom w:val="single" w:sz="4" w:space="0" w:color="auto"/>
            </w:tcBorders>
            <w:vAlign w:val="center"/>
          </w:tcPr>
          <w:p w:rsidR="00212513" w:rsidRDefault="00212513">
            <w:pPr>
              <w:pStyle w:val="ConsPlusNormal"/>
              <w:jc w:val="center"/>
            </w:pPr>
            <w:r>
              <w:t>Часть или элемент моста</w:t>
            </w:r>
          </w:p>
        </w:tc>
        <w:tc>
          <w:tcPr>
            <w:tcW w:w="6293" w:type="dxa"/>
            <w:gridSpan w:val="4"/>
            <w:tcBorders>
              <w:top w:val="single" w:sz="4" w:space="0" w:color="auto"/>
              <w:bottom w:val="single" w:sz="4" w:space="0" w:color="auto"/>
            </w:tcBorders>
            <w:vAlign w:val="center"/>
          </w:tcPr>
          <w:p w:rsidR="00212513" w:rsidRDefault="00212513">
            <w:pPr>
              <w:pStyle w:val="ConsPlusNormal"/>
              <w:jc w:val="center"/>
            </w:pPr>
            <w:r>
              <w:t>Возвышение частей или элементов, м</w:t>
            </w:r>
          </w:p>
        </w:tc>
      </w:tr>
      <w:tr w:rsidR="00212513">
        <w:tc>
          <w:tcPr>
            <w:tcW w:w="2778" w:type="dxa"/>
            <w:vMerge/>
            <w:tcBorders>
              <w:top w:val="single" w:sz="4" w:space="0" w:color="auto"/>
              <w:bottom w:val="single" w:sz="4" w:space="0" w:color="auto"/>
            </w:tcBorders>
          </w:tcPr>
          <w:p w:rsidR="00212513" w:rsidRDefault="00212513">
            <w:pPr>
              <w:pStyle w:val="ConsPlusNormal"/>
            </w:pPr>
          </w:p>
        </w:tc>
        <w:tc>
          <w:tcPr>
            <w:tcW w:w="4876" w:type="dxa"/>
            <w:gridSpan w:val="3"/>
            <w:tcBorders>
              <w:top w:val="single" w:sz="4" w:space="0" w:color="auto"/>
              <w:bottom w:val="single" w:sz="4" w:space="0" w:color="auto"/>
            </w:tcBorders>
            <w:vAlign w:val="center"/>
          </w:tcPr>
          <w:p w:rsidR="00212513" w:rsidRDefault="00212513">
            <w:pPr>
              <w:pStyle w:val="ConsPlusNormal"/>
              <w:jc w:val="center"/>
            </w:pPr>
            <w:r>
              <w:t>над уровнем воды (с учетом влияния подпора и волны) при максимальных расходах паводков</w:t>
            </w:r>
          </w:p>
        </w:tc>
        <w:tc>
          <w:tcPr>
            <w:tcW w:w="1417" w:type="dxa"/>
            <w:vMerge w:val="restart"/>
            <w:tcBorders>
              <w:top w:val="single" w:sz="4" w:space="0" w:color="auto"/>
              <w:bottom w:val="single" w:sz="4" w:space="0" w:color="auto"/>
            </w:tcBorders>
            <w:vAlign w:val="center"/>
          </w:tcPr>
          <w:p w:rsidR="00212513" w:rsidRDefault="00212513">
            <w:pPr>
              <w:pStyle w:val="ConsPlusNormal"/>
              <w:jc w:val="center"/>
            </w:pPr>
            <w:r>
              <w:t>над наивысшим уровнем ледохода</w:t>
            </w:r>
          </w:p>
        </w:tc>
      </w:tr>
      <w:tr w:rsidR="00212513">
        <w:tc>
          <w:tcPr>
            <w:tcW w:w="2778" w:type="dxa"/>
            <w:vMerge/>
            <w:tcBorders>
              <w:top w:val="single" w:sz="4" w:space="0" w:color="auto"/>
              <w:bottom w:val="single" w:sz="4" w:space="0" w:color="auto"/>
            </w:tcBorders>
          </w:tcPr>
          <w:p w:rsidR="00212513" w:rsidRDefault="00212513">
            <w:pPr>
              <w:pStyle w:val="ConsPlusNormal"/>
            </w:pPr>
          </w:p>
        </w:tc>
        <w:tc>
          <w:tcPr>
            <w:tcW w:w="3402" w:type="dxa"/>
            <w:gridSpan w:val="2"/>
            <w:tcBorders>
              <w:top w:val="single" w:sz="4" w:space="0" w:color="auto"/>
              <w:bottom w:val="single" w:sz="4" w:space="0" w:color="auto"/>
            </w:tcBorders>
            <w:vAlign w:val="center"/>
          </w:tcPr>
          <w:p w:rsidR="00212513" w:rsidRDefault="00212513">
            <w:pPr>
              <w:pStyle w:val="ConsPlusNormal"/>
              <w:jc w:val="center"/>
            </w:pPr>
            <w:r>
              <w:t>расчетных для мостов</w:t>
            </w:r>
          </w:p>
        </w:tc>
        <w:tc>
          <w:tcPr>
            <w:tcW w:w="1474" w:type="dxa"/>
            <w:vMerge w:val="restart"/>
            <w:tcBorders>
              <w:top w:val="single" w:sz="4" w:space="0" w:color="auto"/>
              <w:bottom w:val="single" w:sz="4" w:space="0" w:color="auto"/>
            </w:tcBorders>
            <w:vAlign w:val="center"/>
          </w:tcPr>
          <w:p w:rsidR="00212513" w:rsidRDefault="00212513">
            <w:pPr>
              <w:pStyle w:val="ConsPlusNormal"/>
              <w:jc w:val="center"/>
            </w:pPr>
            <w:r>
              <w:t>наибольших</w:t>
            </w:r>
          </w:p>
        </w:tc>
        <w:tc>
          <w:tcPr>
            <w:tcW w:w="1417" w:type="dxa"/>
            <w:vMerge/>
            <w:tcBorders>
              <w:top w:val="single" w:sz="4" w:space="0" w:color="auto"/>
              <w:bottom w:val="single" w:sz="4" w:space="0" w:color="auto"/>
            </w:tcBorders>
          </w:tcPr>
          <w:p w:rsidR="00212513" w:rsidRDefault="00212513">
            <w:pPr>
              <w:pStyle w:val="ConsPlusNormal"/>
            </w:pPr>
          </w:p>
        </w:tc>
      </w:tr>
      <w:tr w:rsidR="00212513">
        <w:tc>
          <w:tcPr>
            <w:tcW w:w="2778" w:type="dxa"/>
            <w:vMerge/>
            <w:tcBorders>
              <w:top w:val="single" w:sz="4" w:space="0" w:color="auto"/>
              <w:bottom w:val="single" w:sz="4" w:space="0" w:color="auto"/>
            </w:tcBorders>
          </w:tcPr>
          <w:p w:rsidR="00212513" w:rsidRDefault="00212513">
            <w:pPr>
              <w:pStyle w:val="ConsPlusNormal"/>
            </w:pPr>
          </w:p>
        </w:tc>
        <w:tc>
          <w:tcPr>
            <w:tcW w:w="1531" w:type="dxa"/>
            <w:tcBorders>
              <w:top w:val="single" w:sz="4" w:space="0" w:color="auto"/>
              <w:bottom w:val="single" w:sz="4" w:space="0" w:color="auto"/>
            </w:tcBorders>
            <w:vAlign w:val="center"/>
          </w:tcPr>
          <w:p w:rsidR="00212513" w:rsidRDefault="00212513">
            <w:pPr>
              <w:pStyle w:val="ConsPlusNormal"/>
              <w:jc w:val="center"/>
            </w:pPr>
            <w:r>
              <w:t>на железных дорогах общей сети</w:t>
            </w:r>
          </w:p>
        </w:tc>
        <w:tc>
          <w:tcPr>
            <w:tcW w:w="1871" w:type="dxa"/>
            <w:tcBorders>
              <w:top w:val="single" w:sz="4" w:space="0" w:color="auto"/>
              <w:bottom w:val="single" w:sz="4" w:space="0" w:color="auto"/>
            </w:tcBorders>
            <w:vAlign w:val="center"/>
          </w:tcPr>
          <w:p w:rsidR="00212513" w:rsidRDefault="00212513">
            <w:pPr>
              <w:pStyle w:val="ConsPlusNormal"/>
              <w:jc w:val="center"/>
            </w:pPr>
            <w:r>
              <w:t>на остальных железных дорогах и на всех автомобильных дорогах</w:t>
            </w:r>
          </w:p>
        </w:tc>
        <w:tc>
          <w:tcPr>
            <w:tcW w:w="1474" w:type="dxa"/>
            <w:vMerge/>
            <w:tcBorders>
              <w:top w:val="single" w:sz="4" w:space="0" w:color="auto"/>
              <w:bottom w:val="single" w:sz="4" w:space="0" w:color="auto"/>
            </w:tcBorders>
          </w:tcPr>
          <w:p w:rsidR="00212513" w:rsidRDefault="00212513">
            <w:pPr>
              <w:pStyle w:val="ConsPlusNormal"/>
            </w:pPr>
          </w:p>
        </w:tc>
        <w:tc>
          <w:tcPr>
            <w:tcW w:w="1417" w:type="dxa"/>
            <w:vMerge/>
            <w:tcBorders>
              <w:top w:val="single" w:sz="4" w:space="0" w:color="auto"/>
              <w:bottom w:val="single" w:sz="4" w:space="0" w:color="auto"/>
            </w:tcBorders>
          </w:tcPr>
          <w:p w:rsidR="00212513" w:rsidRDefault="00212513">
            <w:pPr>
              <w:pStyle w:val="ConsPlusNormal"/>
            </w:pPr>
          </w:p>
        </w:tc>
      </w:tr>
      <w:tr w:rsidR="00212513">
        <w:tblPrEx>
          <w:tblBorders>
            <w:insideH w:val="none" w:sz="0" w:space="0" w:color="auto"/>
          </w:tblBorders>
        </w:tblPrEx>
        <w:tc>
          <w:tcPr>
            <w:tcW w:w="2778" w:type="dxa"/>
            <w:tcBorders>
              <w:top w:val="single" w:sz="4" w:space="0" w:color="auto"/>
              <w:bottom w:val="nil"/>
            </w:tcBorders>
          </w:tcPr>
          <w:p w:rsidR="00212513" w:rsidRDefault="00212513">
            <w:pPr>
              <w:pStyle w:val="ConsPlusNormal"/>
            </w:pPr>
            <w:r>
              <w:t>Низ пролетных строений:</w:t>
            </w:r>
          </w:p>
        </w:tc>
        <w:tc>
          <w:tcPr>
            <w:tcW w:w="1531" w:type="dxa"/>
            <w:tcBorders>
              <w:top w:val="single" w:sz="4" w:space="0" w:color="auto"/>
              <w:bottom w:val="nil"/>
            </w:tcBorders>
          </w:tcPr>
          <w:p w:rsidR="00212513" w:rsidRDefault="00212513">
            <w:pPr>
              <w:pStyle w:val="ConsPlusNormal"/>
              <w:jc w:val="both"/>
            </w:pPr>
          </w:p>
        </w:tc>
        <w:tc>
          <w:tcPr>
            <w:tcW w:w="1871" w:type="dxa"/>
            <w:tcBorders>
              <w:top w:val="single" w:sz="4" w:space="0" w:color="auto"/>
              <w:bottom w:val="nil"/>
            </w:tcBorders>
          </w:tcPr>
          <w:p w:rsidR="00212513" w:rsidRDefault="00212513">
            <w:pPr>
              <w:pStyle w:val="ConsPlusNormal"/>
              <w:jc w:val="both"/>
            </w:pPr>
          </w:p>
        </w:tc>
        <w:tc>
          <w:tcPr>
            <w:tcW w:w="1474" w:type="dxa"/>
            <w:tcBorders>
              <w:top w:val="single" w:sz="4" w:space="0" w:color="auto"/>
              <w:bottom w:val="nil"/>
            </w:tcBorders>
          </w:tcPr>
          <w:p w:rsidR="00212513" w:rsidRDefault="00212513">
            <w:pPr>
              <w:pStyle w:val="ConsPlusNormal"/>
              <w:jc w:val="both"/>
            </w:pPr>
          </w:p>
        </w:tc>
        <w:tc>
          <w:tcPr>
            <w:tcW w:w="1417" w:type="dxa"/>
            <w:tcBorders>
              <w:top w:val="single" w:sz="4" w:space="0" w:color="auto"/>
              <w:bottom w:val="nil"/>
            </w:tcBorders>
          </w:tcPr>
          <w:p w:rsidR="00212513" w:rsidRDefault="00212513">
            <w:pPr>
              <w:pStyle w:val="ConsPlusNormal"/>
              <w:jc w:val="both"/>
            </w:pPr>
          </w:p>
        </w:tc>
      </w:tr>
      <w:tr w:rsidR="00212513">
        <w:tblPrEx>
          <w:tblBorders>
            <w:insideH w:val="none" w:sz="0" w:space="0" w:color="auto"/>
          </w:tblBorders>
        </w:tblPrEx>
        <w:tc>
          <w:tcPr>
            <w:tcW w:w="2778" w:type="dxa"/>
            <w:tcBorders>
              <w:top w:val="nil"/>
              <w:bottom w:val="nil"/>
            </w:tcBorders>
          </w:tcPr>
          <w:p w:rsidR="00212513" w:rsidRDefault="00212513">
            <w:pPr>
              <w:pStyle w:val="ConsPlusNormal"/>
              <w:ind w:left="283"/>
            </w:pPr>
            <w:r>
              <w:t xml:space="preserve">а) при глубине </w:t>
            </w:r>
            <w:r>
              <w:lastRenderedPageBreak/>
              <w:t>подпертой воды 1 м и менее</w:t>
            </w:r>
          </w:p>
        </w:tc>
        <w:tc>
          <w:tcPr>
            <w:tcW w:w="1531" w:type="dxa"/>
            <w:tcBorders>
              <w:top w:val="nil"/>
              <w:bottom w:val="nil"/>
            </w:tcBorders>
          </w:tcPr>
          <w:p w:rsidR="00212513" w:rsidRDefault="00212513">
            <w:pPr>
              <w:pStyle w:val="ConsPlusNormal"/>
              <w:jc w:val="center"/>
            </w:pPr>
            <w:r>
              <w:lastRenderedPageBreak/>
              <w:t>0,50</w:t>
            </w:r>
          </w:p>
        </w:tc>
        <w:tc>
          <w:tcPr>
            <w:tcW w:w="1871" w:type="dxa"/>
            <w:tcBorders>
              <w:top w:val="nil"/>
              <w:bottom w:val="nil"/>
            </w:tcBorders>
          </w:tcPr>
          <w:p w:rsidR="00212513" w:rsidRDefault="00212513">
            <w:pPr>
              <w:pStyle w:val="ConsPlusNormal"/>
              <w:jc w:val="center"/>
            </w:pPr>
            <w:r>
              <w:t>0,50</w:t>
            </w:r>
          </w:p>
        </w:tc>
        <w:tc>
          <w:tcPr>
            <w:tcW w:w="1474" w:type="dxa"/>
            <w:tcBorders>
              <w:top w:val="nil"/>
              <w:bottom w:val="nil"/>
            </w:tcBorders>
          </w:tcPr>
          <w:p w:rsidR="00212513" w:rsidRDefault="00212513">
            <w:pPr>
              <w:pStyle w:val="ConsPlusNormal"/>
              <w:jc w:val="center"/>
            </w:pPr>
            <w:r>
              <w:t>0,25</w:t>
            </w:r>
          </w:p>
        </w:tc>
        <w:tc>
          <w:tcPr>
            <w:tcW w:w="1417" w:type="dxa"/>
            <w:tcBorders>
              <w:top w:val="nil"/>
              <w:bottom w:val="nil"/>
            </w:tcBorders>
          </w:tcPr>
          <w:p w:rsidR="00212513" w:rsidRDefault="00212513">
            <w:pPr>
              <w:pStyle w:val="ConsPlusNormal"/>
              <w:jc w:val="center"/>
            </w:pPr>
            <w:r>
              <w:t>-</w:t>
            </w:r>
          </w:p>
        </w:tc>
      </w:tr>
      <w:tr w:rsidR="00212513">
        <w:tblPrEx>
          <w:tblBorders>
            <w:insideH w:val="none" w:sz="0" w:space="0" w:color="auto"/>
          </w:tblBorders>
        </w:tblPrEx>
        <w:tc>
          <w:tcPr>
            <w:tcW w:w="2778" w:type="dxa"/>
            <w:tcBorders>
              <w:top w:val="nil"/>
              <w:bottom w:val="nil"/>
            </w:tcBorders>
          </w:tcPr>
          <w:p w:rsidR="00212513" w:rsidRDefault="00212513">
            <w:pPr>
              <w:pStyle w:val="ConsPlusNormal"/>
              <w:ind w:left="283"/>
            </w:pPr>
            <w:r>
              <w:lastRenderedPageBreak/>
              <w:t>б) то же, свыше 1 м</w:t>
            </w:r>
          </w:p>
        </w:tc>
        <w:tc>
          <w:tcPr>
            <w:tcW w:w="1531" w:type="dxa"/>
            <w:tcBorders>
              <w:top w:val="nil"/>
              <w:bottom w:val="nil"/>
            </w:tcBorders>
          </w:tcPr>
          <w:p w:rsidR="00212513" w:rsidRDefault="00212513">
            <w:pPr>
              <w:pStyle w:val="ConsPlusNormal"/>
              <w:jc w:val="center"/>
            </w:pPr>
            <w:r>
              <w:t>0,75</w:t>
            </w:r>
          </w:p>
        </w:tc>
        <w:tc>
          <w:tcPr>
            <w:tcW w:w="1871" w:type="dxa"/>
            <w:tcBorders>
              <w:top w:val="nil"/>
              <w:bottom w:val="nil"/>
            </w:tcBorders>
          </w:tcPr>
          <w:p w:rsidR="00212513" w:rsidRDefault="00212513">
            <w:pPr>
              <w:pStyle w:val="ConsPlusNormal"/>
              <w:jc w:val="center"/>
            </w:pPr>
            <w:r>
              <w:t>0,50</w:t>
            </w:r>
          </w:p>
        </w:tc>
        <w:tc>
          <w:tcPr>
            <w:tcW w:w="1474" w:type="dxa"/>
            <w:tcBorders>
              <w:top w:val="nil"/>
              <w:bottom w:val="nil"/>
            </w:tcBorders>
          </w:tcPr>
          <w:p w:rsidR="00212513" w:rsidRDefault="00212513">
            <w:pPr>
              <w:pStyle w:val="ConsPlusNormal"/>
              <w:jc w:val="center"/>
            </w:pPr>
            <w:r>
              <w:t>0,25</w:t>
            </w:r>
          </w:p>
        </w:tc>
        <w:tc>
          <w:tcPr>
            <w:tcW w:w="1417" w:type="dxa"/>
            <w:tcBorders>
              <w:top w:val="nil"/>
              <w:bottom w:val="nil"/>
            </w:tcBorders>
          </w:tcPr>
          <w:p w:rsidR="00212513" w:rsidRDefault="00212513">
            <w:pPr>
              <w:pStyle w:val="ConsPlusNormal"/>
              <w:jc w:val="center"/>
            </w:pPr>
            <w:r>
              <w:t>0,75</w:t>
            </w:r>
          </w:p>
        </w:tc>
      </w:tr>
      <w:tr w:rsidR="00212513">
        <w:tblPrEx>
          <w:tblBorders>
            <w:insideH w:val="none" w:sz="0" w:space="0" w:color="auto"/>
          </w:tblBorders>
        </w:tblPrEx>
        <w:tc>
          <w:tcPr>
            <w:tcW w:w="2778" w:type="dxa"/>
            <w:tcBorders>
              <w:top w:val="nil"/>
              <w:bottom w:val="nil"/>
            </w:tcBorders>
          </w:tcPr>
          <w:p w:rsidR="00212513" w:rsidRDefault="00212513">
            <w:pPr>
              <w:pStyle w:val="ConsPlusNormal"/>
              <w:ind w:left="283"/>
            </w:pPr>
            <w:r>
              <w:t>в) при наличии на реке заторов льда</w:t>
            </w:r>
          </w:p>
        </w:tc>
        <w:tc>
          <w:tcPr>
            <w:tcW w:w="1531" w:type="dxa"/>
            <w:tcBorders>
              <w:top w:val="nil"/>
              <w:bottom w:val="nil"/>
            </w:tcBorders>
          </w:tcPr>
          <w:p w:rsidR="00212513" w:rsidRDefault="00212513">
            <w:pPr>
              <w:pStyle w:val="ConsPlusNormal"/>
              <w:jc w:val="center"/>
            </w:pPr>
            <w:r>
              <w:t>1,00</w:t>
            </w:r>
          </w:p>
        </w:tc>
        <w:tc>
          <w:tcPr>
            <w:tcW w:w="1871" w:type="dxa"/>
            <w:tcBorders>
              <w:top w:val="nil"/>
              <w:bottom w:val="nil"/>
            </w:tcBorders>
          </w:tcPr>
          <w:p w:rsidR="00212513" w:rsidRDefault="00212513">
            <w:pPr>
              <w:pStyle w:val="ConsPlusNormal"/>
              <w:jc w:val="center"/>
            </w:pPr>
            <w:r>
              <w:t>0,75</w:t>
            </w:r>
          </w:p>
        </w:tc>
        <w:tc>
          <w:tcPr>
            <w:tcW w:w="1474" w:type="dxa"/>
            <w:tcBorders>
              <w:top w:val="nil"/>
              <w:bottom w:val="nil"/>
            </w:tcBorders>
          </w:tcPr>
          <w:p w:rsidR="00212513" w:rsidRDefault="00212513">
            <w:pPr>
              <w:pStyle w:val="ConsPlusNormal"/>
              <w:jc w:val="center"/>
            </w:pPr>
            <w:r>
              <w:t>0,75</w:t>
            </w:r>
          </w:p>
        </w:tc>
        <w:tc>
          <w:tcPr>
            <w:tcW w:w="1417" w:type="dxa"/>
            <w:tcBorders>
              <w:top w:val="nil"/>
              <w:bottom w:val="nil"/>
            </w:tcBorders>
          </w:tcPr>
          <w:p w:rsidR="00212513" w:rsidRDefault="00212513">
            <w:pPr>
              <w:pStyle w:val="ConsPlusNormal"/>
              <w:jc w:val="center"/>
            </w:pPr>
            <w:r>
              <w:t>1,00</w:t>
            </w:r>
          </w:p>
        </w:tc>
      </w:tr>
      <w:tr w:rsidR="00212513">
        <w:tblPrEx>
          <w:tblBorders>
            <w:insideH w:val="none" w:sz="0" w:space="0" w:color="auto"/>
          </w:tblBorders>
        </w:tblPrEx>
        <w:tc>
          <w:tcPr>
            <w:tcW w:w="2778" w:type="dxa"/>
            <w:tcBorders>
              <w:top w:val="nil"/>
              <w:bottom w:val="nil"/>
            </w:tcBorders>
          </w:tcPr>
          <w:p w:rsidR="00212513" w:rsidRDefault="00212513">
            <w:pPr>
              <w:pStyle w:val="ConsPlusNormal"/>
              <w:ind w:left="283"/>
            </w:pPr>
            <w:r>
              <w:t>г) при наличии карчехода</w:t>
            </w:r>
          </w:p>
        </w:tc>
        <w:tc>
          <w:tcPr>
            <w:tcW w:w="1531" w:type="dxa"/>
            <w:tcBorders>
              <w:top w:val="nil"/>
              <w:bottom w:val="nil"/>
            </w:tcBorders>
          </w:tcPr>
          <w:p w:rsidR="00212513" w:rsidRDefault="00212513">
            <w:pPr>
              <w:pStyle w:val="ConsPlusNormal"/>
              <w:jc w:val="center"/>
            </w:pPr>
            <w:r>
              <w:t>1,50</w:t>
            </w:r>
          </w:p>
        </w:tc>
        <w:tc>
          <w:tcPr>
            <w:tcW w:w="1871" w:type="dxa"/>
            <w:tcBorders>
              <w:top w:val="nil"/>
              <w:bottom w:val="nil"/>
            </w:tcBorders>
          </w:tcPr>
          <w:p w:rsidR="00212513" w:rsidRDefault="00212513">
            <w:pPr>
              <w:pStyle w:val="ConsPlusNormal"/>
              <w:jc w:val="center"/>
            </w:pPr>
            <w:r>
              <w:t>1,00</w:t>
            </w:r>
          </w:p>
        </w:tc>
        <w:tc>
          <w:tcPr>
            <w:tcW w:w="1474" w:type="dxa"/>
            <w:tcBorders>
              <w:top w:val="nil"/>
              <w:bottom w:val="nil"/>
            </w:tcBorders>
          </w:tcPr>
          <w:p w:rsidR="00212513" w:rsidRDefault="00212513">
            <w:pPr>
              <w:pStyle w:val="ConsPlusNormal"/>
              <w:jc w:val="center"/>
            </w:pPr>
            <w:r>
              <w:t>1,00</w:t>
            </w:r>
          </w:p>
        </w:tc>
        <w:tc>
          <w:tcPr>
            <w:tcW w:w="1417" w:type="dxa"/>
            <w:tcBorders>
              <w:top w:val="nil"/>
              <w:bottom w:val="nil"/>
            </w:tcBorders>
          </w:tcPr>
          <w:p w:rsidR="00212513" w:rsidRDefault="00212513">
            <w:pPr>
              <w:pStyle w:val="ConsPlusNormal"/>
              <w:jc w:val="center"/>
            </w:pPr>
            <w:r>
              <w:t>-</w:t>
            </w:r>
          </w:p>
        </w:tc>
      </w:tr>
      <w:tr w:rsidR="00212513">
        <w:tblPrEx>
          <w:tblBorders>
            <w:insideH w:val="none" w:sz="0" w:space="0" w:color="auto"/>
          </w:tblBorders>
        </w:tblPrEx>
        <w:tc>
          <w:tcPr>
            <w:tcW w:w="2778" w:type="dxa"/>
            <w:tcBorders>
              <w:top w:val="nil"/>
              <w:bottom w:val="nil"/>
            </w:tcBorders>
          </w:tcPr>
          <w:p w:rsidR="00212513" w:rsidRDefault="00212513">
            <w:pPr>
              <w:pStyle w:val="ConsPlusNormal"/>
              <w:ind w:left="283"/>
            </w:pPr>
            <w:r>
              <w:t>д) при селевых потоках</w:t>
            </w:r>
          </w:p>
        </w:tc>
        <w:tc>
          <w:tcPr>
            <w:tcW w:w="1531" w:type="dxa"/>
            <w:tcBorders>
              <w:top w:val="nil"/>
              <w:bottom w:val="nil"/>
            </w:tcBorders>
          </w:tcPr>
          <w:p w:rsidR="00212513" w:rsidRDefault="00212513">
            <w:pPr>
              <w:pStyle w:val="ConsPlusNormal"/>
              <w:jc w:val="center"/>
            </w:pPr>
            <w:r>
              <w:t>-</w:t>
            </w:r>
          </w:p>
        </w:tc>
        <w:tc>
          <w:tcPr>
            <w:tcW w:w="1871" w:type="dxa"/>
            <w:tcBorders>
              <w:top w:val="nil"/>
              <w:bottom w:val="nil"/>
            </w:tcBorders>
          </w:tcPr>
          <w:p w:rsidR="00212513" w:rsidRDefault="00212513">
            <w:pPr>
              <w:pStyle w:val="ConsPlusNormal"/>
              <w:jc w:val="center"/>
            </w:pPr>
            <w:r>
              <w:t>1,00</w:t>
            </w:r>
          </w:p>
        </w:tc>
        <w:tc>
          <w:tcPr>
            <w:tcW w:w="1474" w:type="dxa"/>
            <w:tcBorders>
              <w:top w:val="nil"/>
              <w:bottom w:val="nil"/>
            </w:tcBorders>
          </w:tcPr>
          <w:p w:rsidR="00212513" w:rsidRDefault="00212513">
            <w:pPr>
              <w:pStyle w:val="ConsPlusNormal"/>
              <w:jc w:val="center"/>
            </w:pPr>
            <w:r>
              <w:t>1,00</w:t>
            </w:r>
          </w:p>
        </w:tc>
        <w:tc>
          <w:tcPr>
            <w:tcW w:w="1417" w:type="dxa"/>
            <w:tcBorders>
              <w:top w:val="nil"/>
              <w:bottom w:val="nil"/>
            </w:tcBorders>
          </w:tcPr>
          <w:p w:rsidR="00212513" w:rsidRDefault="00212513">
            <w:pPr>
              <w:pStyle w:val="ConsPlusNormal"/>
              <w:jc w:val="center"/>
            </w:pPr>
            <w:r>
              <w:t>-</w:t>
            </w:r>
          </w:p>
        </w:tc>
      </w:tr>
      <w:tr w:rsidR="00212513">
        <w:tblPrEx>
          <w:tblBorders>
            <w:insideH w:val="none" w:sz="0" w:space="0" w:color="auto"/>
          </w:tblBorders>
        </w:tblPrEx>
        <w:tc>
          <w:tcPr>
            <w:tcW w:w="2778" w:type="dxa"/>
            <w:tcBorders>
              <w:top w:val="nil"/>
              <w:bottom w:val="nil"/>
            </w:tcBorders>
          </w:tcPr>
          <w:p w:rsidR="00212513" w:rsidRDefault="00212513">
            <w:pPr>
              <w:pStyle w:val="ConsPlusNormal"/>
            </w:pPr>
            <w:r>
              <w:t>Верх площадки для установки опорных частей</w:t>
            </w:r>
          </w:p>
        </w:tc>
        <w:tc>
          <w:tcPr>
            <w:tcW w:w="1531" w:type="dxa"/>
            <w:tcBorders>
              <w:top w:val="nil"/>
              <w:bottom w:val="nil"/>
            </w:tcBorders>
          </w:tcPr>
          <w:p w:rsidR="00212513" w:rsidRDefault="00212513">
            <w:pPr>
              <w:pStyle w:val="ConsPlusNormal"/>
              <w:jc w:val="center"/>
            </w:pPr>
            <w:r>
              <w:t>0,25</w:t>
            </w:r>
          </w:p>
        </w:tc>
        <w:tc>
          <w:tcPr>
            <w:tcW w:w="1871" w:type="dxa"/>
            <w:tcBorders>
              <w:top w:val="nil"/>
              <w:bottom w:val="nil"/>
            </w:tcBorders>
          </w:tcPr>
          <w:p w:rsidR="00212513" w:rsidRDefault="00212513">
            <w:pPr>
              <w:pStyle w:val="ConsPlusNormal"/>
              <w:jc w:val="center"/>
            </w:pPr>
            <w:r>
              <w:t>0,25</w:t>
            </w:r>
          </w:p>
        </w:tc>
        <w:tc>
          <w:tcPr>
            <w:tcW w:w="1474" w:type="dxa"/>
            <w:tcBorders>
              <w:top w:val="nil"/>
              <w:bottom w:val="nil"/>
            </w:tcBorders>
          </w:tcPr>
          <w:p w:rsidR="00212513" w:rsidRDefault="00212513">
            <w:pPr>
              <w:pStyle w:val="ConsPlusNormal"/>
              <w:jc w:val="center"/>
            </w:pPr>
            <w:r>
              <w:t>-</w:t>
            </w:r>
          </w:p>
        </w:tc>
        <w:tc>
          <w:tcPr>
            <w:tcW w:w="1417" w:type="dxa"/>
            <w:tcBorders>
              <w:top w:val="nil"/>
              <w:bottom w:val="nil"/>
            </w:tcBorders>
          </w:tcPr>
          <w:p w:rsidR="00212513" w:rsidRDefault="00212513">
            <w:pPr>
              <w:pStyle w:val="ConsPlusNormal"/>
              <w:jc w:val="center"/>
            </w:pPr>
            <w:r>
              <w:t>0,50</w:t>
            </w:r>
          </w:p>
        </w:tc>
      </w:tr>
      <w:tr w:rsidR="00212513">
        <w:tblPrEx>
          <w:tblBorders>
            <w:insideH w:val="none" w:sz="0" w:space="0" w:color="auto"/>
          </w:tblBorders>
        </w:tblPrEx>
        <w:tc>
          <w:tcPr>
            <w:tcW w:w="2778" w:type="dxa"/>
            <w:tcBorders>
              <w:top w:val="nil"/>
              <w:bottom w:val="nil"/>
            </w:tcBorders>
          </w:tcPr>
          <w:p w:rsidR="00212513" w:rsidRDefault="00212513">
            <w:pPr>
              <w:pStyle w:val="ConsPlusNormal"/>
            </w:pPr>
            <w:r>
              <w:t>Низ пят арок и сводов</w:t>
            </w:r>
          </w:p>
        </w:tc>
        <w:tc>
          <w:tcPr>
            <w:tcW w:w="1531" w:type="dxa"/>
            <w:tcBorders>
              <w:top w:val="nil"/>
              <w:bottom w:val="nil"/>
            </w:tcBorders>
          </w:tcPr>
          <w:p w:rsidR="00212513" w:rsidRDefault="00212513">
            <w:pPr>
              <w:pStyle w:val="ConsPlusNormal"/>
              <w:jc w:val="center"/>
            </w:pPr>
            <w:r>
              <w:t>0,25</w:t>
            </w:r>
          </w:p>
        </w:tc>
        <w:tc>
          <w:tcPr>
            <w:tcW w:w="1871" w:type="dxa"/>
            <w:tcBorders>
              <w:top w:val="nil"/>
              <w:bottom w:val="nil"/>
            </w:tcBorders>
          </w:tcPr>
          <w:p w:rsidR="00212513" w:rsidRDefault="00212513">
            <w:pPr>
              <w:pStyle w:val="ConsPlusNormal"/>
              <w:jc w:val="center"/>
            </w:pPr>
            <w:r>
              <w:t>-</w:t>
            </w:r>
          </w:p>
        </w:tc>
        <w:tc>
          <w:tcPr>
            <w:tcW w:w="1474" w:type="dxa"/>
            <w:tcBorders>
              <w:top w:val="nil"/>
              <w:bottom w:val="nil"/>
            </w:tcBorders>
          </w:tcPr>
          <w:p w:rsidR="00212513" w:rsidRDefault="00212513">
            <w:pPr>
              <w:pStyle w:val="ConsPlusNormal"/>
              <w:jc w:val="center"/>
            </w:pPr>
            <w:r>
              <w:t>-</w:t>
            </w:r>
          </w:p>
        </w:tc>
        <w:tc>
          <w:tcPr>
            <w:tcW w:w="1417" w:type="dxa"/>
            <w:tcBorders>
              <w:top w:val="nil"/>
              <w:bottom w:val="nil"/>
            </w:tcBorders>
          </w:tcPr>
          <w:p w:rsidR="00212513" w:rsidRDefault="00212513">
            <w:pPr>
              <w:pStyle w:val="ConsPlusNormal"/>
              <w:jc w:val="center"/>
            </w:pPr>
            <w:r>
              <w:t>0,25</w:t>
            </w:r>
          </w:p>
        </w:tc>
      </w:tr>
      <w:tr w:rsidR="00212513">
        <w:tblPrEx>
          <w:tblBorders>
            <w:insideH w:val="none" w:sz="0" w:space="0" w:color="auto"/>
          </w:tblBorders>
        </w:tblPrEx>
        <w:tc>
          <w:tcPr>
            <w:tcW w:w="2778" w:type="dxa"/>
            <w:tcBorders>
              <w:top w:val="nil"/>
              <w:bottom w:val="single" w:sz="4" w:space="0" w:color="auto"/>
            </w:tcBorders>
          </w:tcPr>
          <w:p w:rsidR="00212513" w:rsidRDefault="00212513">
            <w:pPr>
              <w:pStyle w:val="ConsPlusNormal"/>
            </w:pPr>
            <w:r>
              <w:t>Низ продольных схваток и выступающих элементов конструкций в пролетах деревянных мостов</w:t>
            </w:r>
          </w:p>
        </w:tc>
        <w:tc>
          <w:tcPr>
            <w:tcW w:w="1531" w:type="dxa"/>
            <w:tcBorders>
              <w:top w:val="nil"/>
              <w:bottom w:val="single" w:sz="4" w:space="0" w:color="auto"/>
            </w:tcBorders>
          </w:tcPr>
          <w:p w:rsidR="00212513" w:rsidRDefault="00212513">
            <w:pPr>
              <w:pStyle w:val="ConsPlusNormal"/>
              <w:jc w:val="center"/>
            </w:pPr>
            <w:r>
              <w:t>0,25</w:t>
            </w:r>
          </w:p>
        </w:tc>
        <w:tc>
          <w:tcPr>
            <w:tcW w:w="1871" w:type="dxa"/>
            <w:tcBorders>
              <w:top w:val="nil"/>
              <w:bottom w:val="single" w:sz="4" w:space="0" w:color="auto"/>
            </w:tcBorders>
          </w:tcPr>
          <w:p w:rsidR="00212513" w:rsidRDefault="00212513">
            <w:pPr>
              <w:pStyle w:val="ConsPlusNormal"/>
              <w:jc w:val="center"/>
            </w:pPr>
            <w:r>
              <w:t>0,25</w:t>
            </w:r>
          </w:p>
        </w:tc>
        <w:tc>
          <w:tcPr>
            <w:tcW w:w="1474" w:type="dxa"/>
            <w:tcBorders>
              <w:top w:val="nil"/>
              <w:bottom w:val="single" w:sz="4" w:space="0" w:color="auto"/>
            </w:tcBorders>
          </w:tcPr>
          <w:p w:rsidR="00212513" w:rsidRDefault="00212513">
            <w:pPr>
              <w:pStyle w:val="ConsPlusNormal"/>
              <w:jc w:val="center"/>
            </w:pPr>
            <w:r>
              <w:t>-</w:t>
            </w:r>
          </w:p>
        </w:tc>
        <w:tc>
          <w:tcPr>
            <w:tcW w:w="1417" w:type="dxa"/>
            <w:tcBorders>
              <w:top w:val="nil"/>
              <w:bottom w:val="single" w:sz="4" w:space="0" w:color="auto"/>
            </w:tcBorders>
          </w:tcPr>
          <w:p w:rsidR="00212513" w:rsidRDefault="00212513">
            <w:pPr>
              <w:pStyle w:val="ConsPlusNormal"/>
              <w:jc w:val="center"/>
            </w:pPr>
            <w:r>
              <w:t>0,75</w:t>
            </w:r>
          </w:p>
        </w:tc>
      </w:tr>
      <w:tr w:rsidR="00212513">
        <w:tc>
          <w:tcPr>
            <w:tcW w:w="9071" w:type="dxa"/>
            <w:gridSpan w:val="5"/>
            <w:tcBorders>
              <w:top w:val="single" w:sz="4" w:space="0" w:color="auto"/>
              <w:bottom w:val="single" w:sz="4" w:space="0" w:color="auto"/>
            </w:tcBorders>
          </w:tcPr>
          <w:p w:rsidR="00212513" w:rsidRDefault="00212513">
            <w:pPr>
              <w:pStyle w:val="ConsPlusNormal"/>
              <w:ind w:firstLine="283"/>
              <w:jc w:val="both"/>
            </w:pPr>
            <w:r>
              <w:t>Примечания</w:t>
            </w:r>
          </w:p>
          <w:p w:rsidR="00212513" w:rsidRDefault="00212513">
            <w:pPr>
              <w:pStyle w:val="ConsPlusNormal"/>
              <w:ind w:firstLine="283"/>
              <w:jc w:val="both"/>
            </w:pPr>
            <w:r>
              <w:t>1 Для малых мостов наименьшее возвышение низа пролетных строений допускается определять без учета высоты ветровой волны.</w:t>
            </w:r>
          </w:p>
          <w:p w:rsidR="00212513" w:rsidRDefault="00212513">
            <w:pPr>
              <w:pStyle w:val="ConsPlusNormal"/>
              <w:ind w:firstLine="283"/>
              <w:jc w:val="both"/>
            </w:pPr>
            <w:r>
              <w:t xml:space="preserve">2 При наличии явлений, вызывающих более высокие уровни воды вследствие подпора от нижележащих рек, озер или водохранилищ, нагона воды ветром, образования заторов или прохождения паводков по руслам, покрытым льдом, и др., указанные в таблице возвышения следует отсчитывать от этого уровня, вероятность превышения которого устанавливается в соответствии с </w:t>
            </w:r>
            <w:hyperlink w:anchor="P330">
              <w:r>
                <w:rPr>
                  <w:color w:val="0000FF"/>
                </w:rPr>
                <w:t>таблицей 5.3</w:t>
              </w:r>
            </w:hyperlink>
            <w:r>
              <w:t>.</w:t>
            </w:r>
          </w:p>
          <w:p w:rsidR="00212513" w:rsidRDefault="00212513">
            <w:pPr>
              <w:pStyle w:val="ConsPlusNormal"/>
              <w:ind w:firstLine="283"/>
              <w:jc w:val="both"/>
            </w:pPr>
            <w:r>
              <w:t>3 При определении возвышения верха площадки для установки опорных частей уровень воды необходимо определять с учетом набега потока на опору моста.</w:t>
            </w:r>
          </w:p>
        </w:tc>
      </w:tr>
    </w:tbl>
    <w:p w:rsidR="00212513" w:rsidRDefault="00212513">
      <w:pPr>
        <w:pStyle w:val="ConsPlusNormal"/>
        <w:ind w:firstLine="540"/>
        <w:jc w:val="both"/>
      </w:pPr>
    </w:p>
    <w:p w:rsidR="00212513" w:rsidRDefault="00212513">
      <w:pPr>
        <w:pStyle w:val="ConsPlusNormal"/>
        <w:jc w:val="right"/>
      </w:pPr>
      <w:bookmarkStart w:id="7" w:name="P330"/>
      <w:bookmarkEnd w:id="7"/>
      <w:r>
        <w:t>Таблица 5.3</w:t>
      </w:r>
    </w:p>
    <w:p w:rsidR="00212513" w:rsidRDefault="00212513">
      <w:pPr>
        <w:pStyle w:val="ConsPlusNormal"/>
        <w:jc w:val="center"/>
      </w:pPr>
    </w:p>
    <w:p w:rsidR="00212513" w:rsidRDefault="00212513">
      <w:pPr>
        <w:pStyle w:val="ConsPlusNormal"/>
        <w:jc w:val="center"/>
      </w:pPr>
      <w:r>
        <w:t xml:space="preserve">(таблица 5.3 в ред. </w:t>
      </w:r>
      <w:hyperlink r:id="rId105">
        <w:r>
          <w:rPr>
            <w:color w:val="0000FF"/>
          </w:rPr>
          <w:t>Изменения N 4</w:t>
        </w:r>
      </w:hyperlink>
      <w:r>
        <w:t>, утв. Приказом</w:t>
      </w:r>
    </w:p>
    <w:p w:rsidR="00212513" w:rsidRDefault="00212513">
      <w:pPr>
        <w:pStyle w:val="ConsPlusNormal"/>
        <w:jc w:val="center"/>
      </w:pPr>
      <w:r>
        <w:t>Минстроя России от 30.05.2024 N 361/пр)</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20"/>
        <w:gridCol w:w="1814"/>
        <w:gridCol w:w="907"/>
        <w:gridCol w:w="907"/>
        <w:gridCol w:w="1191"/>
        <w:gridCol w:w="1757"/>
        <w:gridCol w:w="1474"/>
      </w:tblGrid>
      <w:tr w:rsidR="00212513">
        <w:tc>
          <w:tcPr>
            <w:tcW w:w="4648" w:type="dxa"/>
            <w:gridSpan w:val="4"/>
            <w:tcBorders>
              <w:top w:val="single" w:sz="4" w:space="0" w:color="auto"/>
              <w:bottom w:val="single" w:sz="4" w:space="0" w:color="auto"/>
            </w:tcBorders>
            <w:vAlign w:val="center"/>
          </w:tcPr>
          <w:p w:rsidR="00212513" w:rsidRDefault="00212513">
            <w:pPr>
              <w:pStyle w:val="ConsPlusNormal"/>
              <w:jc w:val="center"/>
            </w:pPr>
            <w:r>
              <w:t>Железные дороги</w:t>
            </w:r>
          </w:p>
        </w:tc>
        <w:tc>
          <w:tcPr>
            <w:tcW w:w="4422" w:type="dxa"/>
            <w:gridSpan w:val="3"/>
            <w:tcBorders>
              <w:top w:val="single" w:sz="4" w:space="0" w:color="auto"/>
              <w:bottom w:val="single" w:sz="4" w:space="0" w:color="auto"/>
            </w:tcBorders>
            <w:vAlign w:val="center"/>
          </w:tcPr>
          <w:p w:rsidR="00212513" w:rsidRDefault="00212513">
            <w:pPr>
              <w:pStyle w:val="ConsPlusNormal"/>
              <w:jc w:val="center"/>
            </w:pPr>
            <w:r>
              <w:t>Автомобильные дороги, городские улицы и дороги</w:t>
            </w:r>
          </w:p>
        </w:tc>
      </w:tr>
      <w:tr w:rsidR="00212513">
        <w:tc>
          <w:tcPr>
            <w:tcW w:w="1020" w:type="dxa"/>
            <w:vMerge w:val="restart"/>
            <w:tcBorders>
              <w:top w:val="single" w:sz="4" w:space="0" w:color="auto"/>
              <w:bottom w:val="single" w:sz="4" w:space="0" w:color="auto"/>
            </w:tcBorders>
            <w:vAlign w:val="center"/>
          </w:tcPr>
          <w:p w:rsidR="00212513" w:rsidRDefault="00212513">
            <w:pPr>
              <w:pStyle w:val="ConsPlusNormal"/>
              <w:jc w:val="center"/>
            </w:pPr>
            <w:r>
              <w:t>Сооружения</w:t>
            </w:r>
          </w:p>
        </w:tc>
        <w:tc>
          <w:tcPr>
            <w:tcW w:w="1814" w:type="dxa"/>
            <w:vMerge w:val="restart"/>
            <w:tcBorders>
              <w:top w:val="single" w:sz="4" w:space="0" w:color="auto"/>
              <w:bottom w:val="single" w:sz="4" w:space="0" w:color="auto"/>
            </w:tcBorders>
            <w:vAlign w:val="center"/>
          </w:tcPr>
          <w:p w:rsidR="00212513" w:rsidRDefault="00212513">
            <w:pPr>
              <w:pStyle w:val="ConsPlusNormal"/>
              <w:jc w:val="center"/>
            </w:pPr>
            <w:r>
              <w:t>Категория дороги</w:t>
            </w:r>
          </w:p>
        </w:tc>
        <w:tc>
          <w:tcPr>
            <w:tcW w:w="1814" w:type="dxa"/>
            <w:gridSpan w:val="2"/>
            <w:tcBorders>
              <w:top w:val="single" w:sz="4" w:space="0" w:color="auto"/>
              <w:bottom w:val="single" w:sz="4" w:space="0" w:color="auto"/>
            </w:tcBorders>
            <w:vAlign w:val="center"/>
          </w:tcPr>
          <w:p w:rsidR="00212513" w:rsidRDefault="00212513">
            <w:pPr>
              <w:pStyle w:val="ConsPlusNormal"/>
              <w:jc w:val="center"/>
            </w:pPr>
            <w:r>
              <w:t>Вероятность превышения максимальных расходов паводков, %</w:t>
            </w:r>
          </w:p>
        </w:tc>
        <w:tc>
          <w:tcPr>
            <w:tcW w:w="1191" w:type="dxa"/>
            <w:vMerge w:val="restart"/>
            <w:tcBorders>
              <w:top w:val="single" w:sz="4" w:space="0" w:color="auto"/>
              <w:bottom w:val="single" w:sz="4" w:space="0" w:color="auto"/>
            </w:tcBorders>
            <w:vAlign w:val="center"/>
          </w:tcPr>
          <w:p w:rsidR="00212513" w:rsidRDefault="00212513">
            <w:pPr>
              <w:pStyle w:val="ConsPlusNormal"/>
              <w:jc w:val="center"/>
            </w:pPr>
            <w:r>
              <w:t>Сооружения</w:t>
            </w:r>
          </w:p>
        </w:tc>
        <w:tc>
          <w:tcPr>
            <w:tcW w:w="1757" w:type="dxa"/>
            <w:vMerge w:val="restart"/>
            <w:tcBorders>
              <w:top w:val="single" w:sz="4" w:space="0" w:color="auto"/>
              <w:bottom w:val="single" w:sz="4" w:space="0" w:color="auto"/>
            </w:tcBorders>
            <w:vAlign w:val="center"/>
          </w:tcPr>
          <w:p w:rsidR="00212513" w:rsidRDefault="00212513">
            <w:pPr>
              <w:pStyle w:val="ConsPlusNormal"/>
              <w:jc w:val="center"/>
            </w:pPr>
            <w:r>
              <w:t>Категория дороги</w:t>
            </w:r>
          </w:p>
        </w:tc>
        <w:tc>
          <w:tcPr>
            <w:tcW w:w="1474" w:type="dxa"/>
            <w:vMerge w:val="restart"/>
            <w:tcBorders>
              <w:top w:val="single" w:sz="4" w:space="0" w:color="auto"/>
              <w:bottom w:val="single" w:sz="4" w:space="0" w:color="auto"/>
            </w:tcBorders>
            <w:vAlign w:val="center"/>
          </w:tcPr>
          <w:p w:rsidR="00212513" w:rsidRDefault="00212513">
            <w:pPr>
              <w:pStyle w:val="ConsPlusNormal"/>
              <w:jc w:val="center"/>
            </w:pPr>
            <w:r>
              <w:t>Вероятность превышения максимальных расходов паводков, %</w:t>
            </w:r>
          </w:p>
        </w:tc>
      </w:tr>
      <w:tr w:rsidR="00212513">
        <w:tc>
          <w:tcPr>
            <w:tcW w:w="1020" w:type="dxa"/>
            <w:vMerge/>
            <w:tcBorders>
              <w:top w:val="single" w:sz="4" w:space="0" w:color="auto"/>
              <w:bottom w:val="single" w:sz="4" w:space="0" w:color="auto"/>
            </w:tcBorders>
          </w:tcPr>
          <w:p w:rsidR="00212513" w:rsidRDefault="00212513">
            <w:pPr>
              <w:pStyle w:val="ConsPlusNormal"/>
            </w:pPr>
          </w:p>
        </w:tc>
        <w:tc>
          <w:tcPr>
            <w:tcW w:w="1814" w:type="dxa"/>
            <w:vMerge/>
            <w:tcBorders>
              <w:top w:val="single" w:sz="4" w:space="0" w:color="auto"/>
              <w:bottom w:val="single" w:sz="4" w:space="0" w:color="auto"/>
            </w:tcBorders>
          </w:tcPr>
          <w:p w:rsidR="00212513" w:rsidRDefault="00212513">
            <w:pPr>
              <w:pStyle w:val="ConsPlusNormal"/>
            </w:pPr>
          </w:p>
        </w:tc>
        <w:tc>
          <w:tcPr>
            <w:tcW w:w="907" w:type="dxa"/>
            <w:tcBorders>
              <w:top w:val="single" w:sz="4" w:space="0" w:color="auto"/>
              <w:bottom w:val="single" w:sz="4" w:space="0" w:color="auto"/>
            </w:tcBorders>
            <w:vAlign w:val="center"/>
          </w:tcPr>
          <w:p w:rsidR="00212513" w:rsidRDefault="00212513">
            <w:pPr>
              <w:pStyle w:val="ConsPlusNormal"/>
              <w:jc w:val="center"/>
            </w:pPr>
            <w:r>
              <w:t>расчетных</w:t>
            </w:r>
          </w:p>
        </w:tc>
        <w:tc>
          <w:tcPr>
            <w:tcW w:w="907" w:type="dxa"/>
            <w:tcBorders>
              <w:top w:val="single" w:sz="4" w:space="0" w:color="auto"/>
              <w:bottom w:val="single" w:sz="4" w:space="0" w:color="auto"/>
            </w:tcBorders>
            <w:vAlign w:val="center"/>
          </w:tcPr>
          <w:p w:rsidR="00212513" w:rsidRDefault="00212513">
            <w:pPr>
              <w:pStyle w:val="ConsPlusNormal"/>
              <w:jc w:val="center"/>
            </w:pPr>
            <w:r>
              <w:t>наибольших</w:t>
            </w:r>
          </w:p>
        </w:tc>
        <w:tc>
          <w:tcPr>
            <w:tcW w:w="1191" w:type="dxa"/>
            <w:vMerge/>
            <w:tcBorders>
              <w:top w:val="single" w:sz="4" w:space="0" w:color="auto"/>
              <w:bottom w:val="single" w:sz="4" w:space="0" w:color="auto"/>
            </w:tcBorders>
          </w:tcPr>
          <w:p w:rsidR="00212513" w:rsidRDefault="00212513">
            <w:pPr>
              <w:pStyle w:val="ConsPlusNormal"/>
            </w:pPr>
          </w:p>
        </w:tc>
        <w:tc>
          <w:tcPr>
            <w:tcW w:w="1757" w:type="dxa"/>
            <w:vMerge/>
            <w:tcBorders>
              <w:top w:val="single" w:sz="4" w:space="0" w:color="auto"/>
              <w:bottom w:val="single" w:sz="4" w:space="0" w:color="auto"/>
            </w:tcBorders>
          </w:tcPr>
          <w:p w:rsidR="00212513" w:rsidRDefault="00212513">
            <w:pPr>
              <w:pStyle w:val="ConsPlusNormal"/>
            </w:pPr>
          </w:p>
        </w:tc>
        <w:tc>
          <w:tcPr>
            <w:tcW w:w="1474" w:type="dxa"/>
            <w:vMerge/>
            <w:tcBorders>
              <w:top w:val="single" w:sz="4" w:space="0" w:color="auto"/>
              <w:bottom w:val="single" w:sz="4" w:space="0" w:color="auto"/>
            </w:tcBorders>
          </w:tcPr>
          <w:p w:rsidR="00212513" w:rsidRDefault="00212513">
            <w:pPr>
              <w:pStyle w:val="ConsPlusNormal"/>
            </w:pPr>
          </w:p>
        </w:tc>
      </w:tr>
      <w:tr w:rsidR="00212513">
        <w:tblPrEx>
          <w:tblBorders>
            <w:insideH w:val="none" w:sz="0" w:space="0" w:color="auto"/>
          </w:tblBorders>
        </w:tblPrEx>
        <w:tc>
          <w:tcPr>
            <w:tcW w:w="1020" w:type="dxa"/>
            <w:tcBorders>
              <w:top w:val="single" w:sz="4" w:space="0" w:color="auto"/>
              <w:bottom w:val="nil"/>
            </w:tcBorders>
          </w:tcPr>
          <w:p w:rsidR="00212513" w:rsidRDefault="00212513">
            <w:pPr>
              <w:pStyle w:val="ConsPlusNormal"/>
            </w:pPr>
            <w:r>
              <w:t>Мосты и трубы</w:t>
            </w:r>
          </w:p>
        </w:tc>
        <w:tc>
          <w:tcPr>
            <w:tcW w:w="1814" w:type="dxa"/>
            <w:tcBorders>
              <w:top w:val="single" w:sz="4" w:space="0" w:color="auto"/>
              <w:bottom w:val="nil"/>
            </w:tcBorders>
          </w:tcPr>
          <w:p w:rsidR="00212513" w:rsidRDefault="00212513">
            <w:pPr>
              <w:pStyle w:val="ConsPlusNormal"/>
            </w:pPr>
            <w:r>
              <w:t>I и II (общей сети)</w:t>
            </w:r>
          </w:p>
        </w:tc>
        <w:tc>
          <w:tcPr>
            <w:tcW w:w="907" w:type="dxa"/>
            <w:tcBorders>
              <w:top w:val="single" w:sz="4" w:space="0" w:color="auto"/>
              <w:bottom w:val="nil"/>
            </w:tcBorders>
          </w:tcPr>
          <w:p w:rsidR="00212513" w:rsidRDefault="00212513">
            <w:pPr>
              <w:pStyle w:val="ConsPlusNormal"/>
              <w:jc w:val="center"/>
            </w:pPr>
            <w:r>
              <w:t>1</w:t>
            </w:r>
          </w:p>
        </w:tc>
        <w:tc>
          <w:tcPr>
            <w:tcW w:w="907" w:type="dxa"/>
            <w:tcBorders>
              <w:top w:val="single" w:sz="4" w:space="0" w:color="auto"/>
              <w:bottom w:val="nil"/>
            </w:tcBorders>
          </w:tcPr>
          <w:p w:rsidR="00212513" w:rsidRDefault="00212513">
            <w:pPr>
              <w:pStyle w:val="ConsPlusNormal"/>
              <w:jc w:val="center"/>
            </w:pPr>
            <w:r>
              <w:t>0,33</w:t>
            </w:r>
          </w:p>
        </w:tc>
        <w:tc>
          <w:tcPr>
            <w:tcW w:w="1191" w:type="dxa"/>
            <w:tcBorders>
              <w:top w:val="single" w:sz="4" w:space="0" w:color="auto"/>
              <w:bottom w:val="nil"/>
            </w:tcBorders>
          </w:tcPr>
          <w:p w:rsidR="00212513" w:rsidRDefault="00212513">
            <w:pPr>
              <w:pStyle w:val="ConsPlusNormal"/>
              <w:jc w:val="center"/>
            </w:pPr>
            <w:r>
              <w:t>Большие и средние мосты</w:t>
            </w:r>
          </w:p>
        </w:tc>
        <w:tc>
          <w:tcPr>
            <w:tcW w:w="1757" w:type="dxa"/>
            <w:tcBorders>
              <w:top w:val="single" w:sz="4" w:space="0" w:color="auto"/>
              <w:bottom w:val="nil"/>
            </w:tcBorders>
          </w:tcPr>
          <w:p w:rsidR="00212513" w:rsidRDefault="00212513">
            <w:pPr>
              <w:pStyle w:val="ConsPlusNormal"/>
              <w:jc w:val="center"/>
            </w:pPr>
            <w:r>
              <w:t>I - III, I-в, I-к, II-к и городские улицы и дороги</w:t>
            </w:r>
          </w:p>
        </w:tc>
        <w:tc>
          <w:tcPr>
            <w:tcW w:w="1474" w:type="dxa"/>
            <w:tcBorders>
              <w:top w:val="single" w:sz="4" w:space="0" w:color="auto"/>
              <w:bottom w:val="nil"/>
            </w:tcBorders>
          </w:tcPr>
          <w:p w:rsidR="00212513" w:rsidRDefault="00212513">
            <w:pPr>
              <w:pStyle w:val="ConsPlusNormal"/>
              <w:jc w:val="center"/>
            </w:pPr>
            <w:r>
              <w:t xml:space="preserve">1 </w:t>
            </w:r>
            <w:hyperlink w:anchor="P378">
              <w:r>
                <w:rPr>
                  <w:color w:val="0000FF"/>
                </w:rPr>
                <w:t>&lt;***&gt;</w:t>
              </w:r>
            </w:hyperlink>
          </w:p>
        </w:tc>
      </w:tr>
      <w:tr w:rsidR="00212513">
        <w:tblPrEx>
          <w:tblBorders>
            <w:insideH w:val="none" w:sz="0" w:space="0" w:color="auto"/>
          </w:tblBorders>
        </w:tblPrEx>
        <w:tc>
          <w:tcPr>
            <w:tcW w:w="1020" w:type="dxa"/>
            <w:tcBorders>
              <w:top w:val="nil"/>
              <w:bottom w:val="nil"/>
            </w:tcBorders>
          </w:tcPr>
          <w:p w:rsidR="00212513" w:rsidRDefault="00212513">
            <w:pPr>
              <w:pStyle w:val="ConsPlusNormal"/>
            </w:pPr>
            <w:r>
              <w:lastRenderedPageBreak/>
              <w:t>То же</w:t>
            </w:r>
          </w:p>
        </w:tc>
        <w:tc>
          <w:tcPr>
            <w:tcW w:w="1814" w:type="dxa"/>
            <w:tcBorders>
              <w:top w:val="nil"/>
              <w:bottom w:val="nil"/>
            </w:tcBorders>
          </w:tcPr>
          <w:p w:rsidR="00212513" w:rsidRDefault="00212513">
            <w:pPr>
              <w:pStyle w:val="ConsPlusNormal"/>
            </w:pPr>
            <w:r>
              <w:t>III и IV (общей сети)</w:t>
            </w:r>
          </w:p>
        </w:tc>
        <w:tc>
          <w:tcPr>
            <w:tcW w:w="907" w:type="dxa"/>
            <w:tcBorders>
              <w:top w:val="nil"/>
              <w:bottom w:val="nil"/>
            </w:tcBorders>
          </w:tcPr>
          <w:p w:rsidR="00212513" w:rsidRDefault="00212513">
            <w:pPr>
              <w:pStyle w:val="ConsPlusNormal"/>
              <w:jc w:val="center"/>
            </w:pPr>
            <w:r>
              <w:t>2</w:t>
            </w:r>
          </w:p>
        </w:tc>
        <w:tc>
          <w:tcPr>
            <w:tcW w:w="907" w:type="dxa"/>
            <w:tcBorders>
              <w:top w:val="nil"/>
              <w:bottom w:val="nil"/>
            </w:tcBorders>
          </w:tcPr>
          <w:p w:rsidR="00212513" w:rsidRDefault="00212513">
            <w:pPr>
              <w:pStyle w:val="ConsPlusNormal"/>
              <w:jc w:val="center"/>
            </w:pPr>
            <w:r>
              <w:t xml:space="preserve">1 </w:t>
            </w:r>
            <w:hyperlink w:anchor="P376">
              <w:r>
                <w:rPr>
                  <w:color w:val="0000FF"/>
                </w:rPr>
                <w:t>&lt;*&gt;</w:t>
              </w:r>
            </w:hyperlink>
          </w:p>
        </w:tc>
        <w:tc>
          <w:tcPr>
            <w:tcW w:w="1191" w:type="dxa"/>
            <w:tcBorders>
              <w:top w:val="nil"/>
              <w:bottom w:val="nil"/>
            </w:tcBorders>
          </w:tcPr>
          <w:p w:rsidR="00212513" w:rsidRDefault="00212513">
            <w:pPr>
              <w:pStyle w:val="ConsPlusNormal"/>
              <w:jc w:val="center"/>
            </w:pPr>
            <w:r>
              <w:t>То же</w:t>
            </w:r>
          </w:p>
        </w:tc>
        <w:tc>
          <w:tcPr>
            <w:tcW w:w="1757" w:type="dxa"/>
            <w:tcBorders>
              <w:top w:val="nil"/>
              <w:bottom w:val="nil"/>
            </w:tcBorders>
          </w:tcPr>
          <w:p w:rsidR="00212513" w:rsidRDefault="00212513">
            <w:pPr>
              <w:pStyle w:val="ConsPlusNormal"/>
              <w:jc w:val="center"/>
            </w:pPr>
            <w:r>
              <w:t>IV, II-в, III-в, IV-в, III-к, IV-к, IVА-р, IVБ-р, I-с, II-с</w:t>
            </w:r>
          </w:p>
        </w:tc>
        <w:tc>
          <w:tcPr>
            <w:tcW w:w="1474" w:type="dxa"/>
            <w:tcBorders>
              <w:top w:val="nil"/>
              <w:bottom w:val="nil"/>
            </w:tcBorders>
          </w:tcPr>
          <w:p w:rsidR="00212513" w:rsidRDefault="00212513">
            <w:pPr>
              <w:pStyle w:val="ConsPlusNormal"/>
              <w:jc w:val="center"/>
            </w:pPr>
            <w:r>
              <w:t xml:space="preserve">2 </w:t>
            </w:r>
            <w:hyperlink w:anchor="P378">
              <w:r>
                <w:rPr>
                  <w:color w:val="0000FF"/>
                </w:rPr>
                <w:t>&lt;***&gt;</w:t>
              </w:r>
            </w:hyperlink>
          </w:p>
        </w:tc>
      </w:tr>
      <w:tr w:rsidR="00212513">
        <w:tblPrEx>
          <w:tblBorders>
            <w:insideH w:val="none" w:sz="0" w:space="0" w:color="auto"/>
          </w:tblBorders>
        </w:tblPrEx>
        <w:tc>
          <w:tcPr>
            <w:tcW w:w="1020" w:type="dxa"/>
            <w:tcBorders>
              <w:top w:val="nil"/>
              <w:bottom w:val="nil"/>
            </w:tcBorders>
          </w:tcPr>
          <w:p w:rsidR="00212513" w:rsidRDefault="00212513">
            <w:pPr>
              <w:pStyle w:val="ConsPlusNormal"/>
              <w:jc w:val="center"/>
            </w:pPr>
            <w:r>
              <w:t>"</w:t>
            </w:r>
          </w:p>
        </w:tc>
        <w:tc>
          <w:tcPr>
            <w:tcW w:w="1814" w:type="dxa"/>
            <w:tcBorders>
              <w:top w:val="nil"/>
              <w:bottom w:val="nil"/>
            </w:tcBorders>
          </w:tcPr>
          <w:p w:rsidR="00212513" w:rsidRDefault="00212513">
            <w:pPr>
              <w:pStyle w:val="ConsPlusNormal"/>
            </w:pPr>
            <w:r>
              <w:t>IV и V (подъездные пути)</w:t>
            </w:r>
          </w:p>
        </w:tc>
        <w:tc>
          <w:tcPr>
            <w:tcW w:w="907" w:type="dxa"/>
            <w:tcBorders>
              <w:top w:val="nil"/>
              <w:bottom w:val="nil"/>
            </w:tcBorders>
          </w:tcPr>
          <w:p w:rsidR="00212513" w:rsidRDefault="00212513">
            <w:pPr>
              <w:pStyle w:val="ConsPlusNormal"/>
              <w:jc w:val="center"/>
            </w:pPr>
            <w:r>
              <w:t xml:space="preserve">2 </w:t>
            </w:r>
            <w:hyperlink w:anchor="P377">
              <w:r>
                <w:rPr>
                  <w:color w:val="0000FF"/>
                </w:rPr>
                <w:t>&lt;**&gt;</w:t>
              </w:r>
            </w:hyperlink>
          </w:p>
        </w:tc>
        <w:tc>
          <w:tcPr>
            <w:tcW w:w="907" w:type="dxa"/>
            <w:tcBorders>
              <w:top w:val="nil"/>
              <w:bottom w:val="nil"/>
            </w:tcBorders>
          </w:tcPr>
          <w:p w:rsidR="00212513" w:rsidRDefault="00212513">
            <w:pPr>
              <w:pStyle w:val="ConsPlusNormal"/>
              <w:jc w:val="center"/>
            </w:pPr>
            <w:r>
              <w:t>-</w:t>
            </w:r>
          </w:p>
        </w:tc>
        <w:tc>
          <w:tcPr>
            <w:tcW w:w="1191" w:type="dxa"/>
            <w:tcBorders>
              <w:top w:val="nil"/>
              <w:bottom w:val="nil"/>
            </w:tcBorders>
          </w:tcPr>
          <w:p w:rsidR="00212513" w:rsidRDefault="00212513">
            <w:pPr>
              <w:pStyle w:val="ConsPlusNormal"/>
              <w:jc w:val="center"/>
            </w:pPr>
            <w:r>
              <w:t>Малые мосты и трубы</w:t>
            </w:r>
          </w:p>
        </w:tc>
        <w:tc>
          <w:tcPr>
            <w:tcW w:w="1757" w:type="dxa"/>
            <w:tcBorders>
              <w:top w:val="nil"/>
              <w:bottom w:val="nil"/>
            </w:tcBorders>
          </w:tcPr>
          <w:p w:rsidR="00212513" w:rsidRDefault="00212513">
            <w:pPr>
              <w:pStyle w:val="ConsPlusNormal"/>
              <w:jc w:val="center"/>
            </w:pPr>
            <w:r>
              <w:t>I</w:t>
            </w:r>
          </w:p>
        </w:tc>
        <w:tc>
          <w:tcPr>
            <w:tcW w:w="1474" w:type="dxa"/>
            <w:tcBorders>
              <w:top w:val="nil"/>
              <w:bottom w:val="nil"/>
            </w:tcBorders>
          </w:tcPr>
          <w:p w:rsidR="00212513" w:rsidRDefault="00212513">
            <w:pPr>
              <w:pStyle w:val="ConsPlusNormal"/>
              <w:jc w:val="center"/>
            </w:pPr>
            <w:r>
              <w:t xml:space="preserve">1 </w:t>
            </w:r>
            <w:hyperlink w:anchor="P379">
              <w:r>
                <w:rPr>
                  <w:color w:val="0000FF"/>
                </w:rPr>
                <w:t>&lt;*4&gt;</w:t>
              </w:r>
            </w:hyperlink>
          </w:p>
        </w:tc>
      </w:tr>
      <w:tr w:rsidR="00212513">
        <w:tblPrEx>
          <w:tblBorders>
            <w:insideH w:val="none" w:sz="0" w:space="0" w:color="auto"/>
          </w:tblBorders>
        </w:tblPrEx>
        <w:tc>
          <w:tcPr>
            <w:tcW w:w="1020" w:type="dxa"/>
            <w:vMerge w:val="restart"/>
            <w:tcBorders>
              <w:top w:val="nil"/>
              <w:bottom w:val="single" w:sz="4" w:space="0" w:color="auto"/>
            </w:tcBorders>
          </w:tcPr>
          <w:p w:rsidR="00212513" w:rsidRDefault="00212513">
            <w:pPr>
              <w:pStyle w:val="ConsPlusNormal"/>
              <w:jc w:val="center"/>
            </w:pPr>
            <w:r>
              <w:t>"</w:t>
            </w:r>
          </w:p>
        </w:tc>
        <w:tc>
          <w:tcPr>
            <w:tcW w:w="1814" w:type="dxa"/>
            <w:vMerge w:val="restart"/>
            <w:tcBorders>
              <w:top w:val="nil"/>
              <w:bottom w:val="single" w:sz="4" w:space="0" w:color="auto"/>
            </w:tcBorders>
          </w:tcPr>
          <w:p w:rsidR="00212513" w:rsidRDefault="00212513">
            <w:pPr>
              <w:pStyle w:val="ConsPlusNormal"/>
            </w:pPr>
            <w:r>
              <w:t>Внутренние пути промышленных предприятий</w:t>
            </w:r>
          </w:p>
        </w:tc>
        <w:tc>
          <w:tcPr>
            <w:tcW w:w="907" w:type="dxa"/>
            <w:vMerge w:val="restart"/>
            <w:tcBorders>
              <w:top w:val="nil"/>
              <w:bottom w:val="single" w:sz="4" w:space="0" w:color="auto"/>
            </w:tcBorders>
          </w:tcPr>
          <w:p w:rsidR="00212513" w:rsidRDefault="00212513">
            <w:pPr>
              <w:pStyle w:val="ConsPlusNormal"/>
              <w:jc w:val="center"/>
            </w:pPr>
            <w:r>
              <w:t>2</w:t>
            </w:r>
          </w:p>
        </w:tc>
        <w:tc>
          <w:tcPr>
            <w:tcW w:w="907" w:type="dxa"/>
            <w:vMerge w:val="restart"/>
            <w:tcBorders>
              <w:top w:val="nil"/>
              <w:bottom w:val="single" w:sz="4" w:space="0" w:color="auto"/>
            </w:tcBorders>
          </w:tcPr>
          <w:p w:rsidR="00212513" w:rsidRDefault="00212513">
            <w:pPr>
              <w:pStyle w:val="ConsPlusNormal"/>
              <w:jc w:val="center"/>
            </w:pPr>
            <w:r>
              <w:t>-</w:t>
            </w:r>
          </w:p>
        </w:tc>
        <w:tc>
          <w:tcPr>
            <w:tcW w:w="1191" w:type="dxa"/>
            <w:tcBorders>
              <w:top w:val="nil"/>
              <w:bottom w:val="nil"/>
            </w:tcBorders>
          </w:tcPr>
          <w:p w:rsidR="00212513" w:rsidRDefault="00212513">
            <w:pPr>
              <w:pStyle w:val="ConsPlusNormal"/>
              <w:jc w:val="center"/>
            </w:pPr>
            <w:r>
              <w:t>То же</w:t>
            </w:r>
          </w:p>
        </w:tc>
        <w:tc>
          <w:tcPr>
            <w:tcW w:w="1757" w:type="dxa"/>
            <w:tcBorders>
              <w:top w:val="nil"/>
              <w:bottom w:val="nil"/>
            </w:tcBorders>
          </w:tcPr>
          <w:p w:rsidR="00212513" w:rsidRDefault="00212513">
            <w:pPr>
              <w:pStyle w:val="ConsPlusNormal"/>
              <w:jc w:val="center"/>
            </w:pPr>
            <w:r>
              <w:t>II, III, III-п, III-с и городские дороги</w:t>
            </w:r>
          </w:p>
        </w:tc>
        <w:tc>
          <w:tcPr>
            <w:tcW w:w="1474" w:type="dxa"/>
            <w:tcBorders>
              <w:top w:val="nil"/>
              <w:bottom w:val="nil"/>
            </w:tcBorders>
          </w:tcPr>
          <w:p w:rsidR="00212513" w:rsidRDefault="00212513">
            <w:pPr>
              <w:pStyle w:val="ConsPlusNormal"/>
              <w:jc w:val="center"/>
            </w:pPr>
            <w:r>
              <w:t xml:space="preserve">2 </w:t>
            </w:r>
            <w:hyperlink w:anchor="P379">
              <w:r>
                <w:rPr>
                  <w:color w:val="0000FF"/>
                </w:rPr>
                <w:t>&lt;*4&gt;</w:t>
              </w:r>
            </w:hyperlink>
          </w:p>
        </w:tc>
      </w:tr>
      <w:tr w:rsidR="00212513">
        <w:tc>
          <w:tcPr>
            <w:tcW w:w="1020" w:type="dxa"/>
            <w:vMerge/>
            <w:tcBorders>
              <w:top w:val="nil"/>
              <w:bottom w:val="single" w:sz="4" w:space="0" w:color="auto"/>
            </w:tcBorders>
          </w:tcPr>
          <w:p w:rsidR="00212513" w:rsidRDefault="00212513">
            <w:pPr>
              <w:pStyle w:val="ConsPlusNormal"/>
            </w:pPr>
          </w:p>
        </w:tc>
        <w:tc>
          <w:tcPr>
            <w:tcW w:w="1814" w:type="dxa"/>
            <w:vMerge/>
            <w:tcBorders>
              <w:top w:val="nil"/>
              <w:bottom w:val="single" w:sz="4" w:space="0" w:color="auto"/>
            </w:tcBorders>
          </w:tcPr>
          <w:p w:rsidR="00212513" w:rsidRDefault="00212513">
            <w:pPr>
              <w:pStyle w:val="ConsPlusNormal"/>
            </w:pPr>
          </w:p>
        </w:tc>
        <w:tc>
          <w:tcPr>
            <w:tcW w:w="907" w:type="dxa"/>
            <w:vMerge/>
            <w:tcBorders>
              <w:top w:val="nil"/>
              <w:bottom w:val="single" w:sz="4" w:space="0" w:color="auto"/>
            </w:tcBorders>
          </w:tcPr>
          <w:p w:rsidR="00212513" w:rsidRDefault="00212513">
            <w:pPr>
              <w:pStyle w:val="ConsPlusNormal"/>
            </w:pPr>
          </w:p>
        </w:tc>
        <w:tc>
          <w:tcPr>
            <w:tcW w:w="907" w:type="dxa"/>
            <w:vMerge/>
            <w:tcBorders>
              <w:top w:val="nil"/>
              <w:bottom w:val="single" w:sz="4" w:space="0" w:color="auto"/>
            </w:tcBorders>
          </w:tcPr>
          <w:p w:rsidR="00212513" w:rsidRDefault="00212513">
            <w:pPr>
              <w:pStyle w:val="ConsPlusNormal"/>
            </w:pPr>
          </w:p>
        </w:tc>
        <w:tc>
          <w:tcPr>
            <w:tcW w:w="1191" w:type="dxa"/>
            <w:tcBorders>
              <w:top w:val="nil"/>
              <w:bottom w:val="single" w:sz="4" w:space="0" w:color="auto"/>
            </w:tcBorders>
          </w:tcPr>
          <w:p w:rsidR="00212513" w:rsidRDefault="00212513">
            <w:pPr>
              <w:pStyle w:val="ConsPlusNormal"/>
              <w:jc w:val="center"/>
            </w:pPr>
            <w:r>
              <w:t>"</w:t>
            </w:r>
          </w:p>
        </w:tc>
        <w:tc>
          <w:tcPr>
            <w:tcW w:w="1757" w:type="dxa"/>
            <w:tcBorders>
              <w:top w:val="nil"/>
              <w:bottom w:val="single" w:sz="4" w:space="0" w:color="auto"/>
            </w:tcBorders>
          </w:tcPr>
          <w:p w:rsidR="00212513" w:rsidRDefault="00212513">
            <w:pPr>
              <w:pStyle w:val="ConsPlusNormal"/>
              <w:jc w:val="center"/>
            </w:pPr>
            <w:r>
              <w:t>IV, IV-п, IVА-п, IVБ-п, VА, VБ и внутренние хозяйственные дороги и пути промышленных предприятий</w:t>
            </w:r>
          </w:p>
        </w:tc>
        <w:tc>
          <w:tcPr>
            <w:tcW w:w="1474" w:type="dxa"/>
            <w:tcBorders>
              <w:top w:val="nil"/>
              <w:bottom w:val="single" w:sz="4" w:space="0" w:color="auto"/>
            </w:tcBorders>
          </w:tcPr>
          <w:p w:rsidR="00212513" w:rsidRDefault="00212513">
            <w:pPr>
              <w:pStyle w:val="ConsPlusNormal"/>
              <w:jc w:val="center"/>
            </w:pPr>
            <w:r>
              <w:t xml:space="preserve">3 </w:t>
            </w:r>
            <w:hyperlink w:anchor="P379">
              <w:r>
                <w:rPr>
                  <w:color w:val="0000FF"/>
                </w:rPr>
                <w:t>&lt;*4&gt;</w:t>
              </w:r>
            </w:hyperlink>
          </w:p>
        </w:tc>
      </w:tr>
      <w:tr w:rsidR="00212513">
        <w:tc>
          <w:tcPr>
            <w:tcW w:w="9070" w:type="dxa"/>
            <w:gridSpan w:val="7"/>
            <w:tcBorders>
              <w:top w:val="single" w:sz="4" w:space="0" w:color="auto"/>
              <w:bottom w:val="single" w:sz="4" w:space="0" w:color="auto"/>
            </w:tcBorders>
          </w:tcPr>
          <w:p w:rsidR="00212513" w:rsidRDefault="00212513">
            <w:pPr>
              <w:pStyle w:val="ConsPlusNormal"/>
              <w:ind w:firstLine="283"/>
              <w:jc w:val="both"/>
            </w:pPr>
            <w:bookmarkStart w:id="8" w:name="P376"/>
            <w:bookmarkEnd w:id="8"/>
            <w:r>
              <w:t>&lt;*&gt; При расчетах отметок бровок земляного полотна, незатопляемых регуляционных сооружений и оградительных дамб русел блуждающих рек для железных дорог III категории вероятность превышения максимального расхода при наибольшем паводке следует принимать 0,33%.</w:t>
            </w:r>
          </w:p>
          <w:p w:rsidR="00212513" w:rsidRDefault="00212513">
            <w:pPr>
              <w:pStyle w:val="ConsPlusNormal"/>
              <w:ind w:firstLine="283"/>
              <w:jc w:val="both"/>
            </w:pPr>
            <w:bookmarkStart w:id="9" w:name="P377"/>
            <w:bookmarkEnd w:id="9"/>
            <w:r>
              <w:t>&lt;**&gt; Если по технологическим условиям предприятий перерыв в движении не допускается, вероятность превышения следует принимать равной 1%.</w:t>
            </w:r>
          </w:p>
          <w:p w:rsidR="00212513" w:rsidRDefault="00212513">
            <w:pPr>
              <w:pStyle w:val="ConsPlusNormal"/>
              <w:ind w:firstLine="283"/>
              <w:jc w:val="both"/>
            </w:pPr>
            <w:bookmarkStart w:id="10" w:name="P378"/>
            <w:bookmarkEnd w:id="10"/>
            <w:r>
              <w:t>&lt;***&gt; В районах с малоразвитой сетью автомобильных дорог для сооружений, имеющих особо важное значение, при технико-экономическом обосновании вероятность превышения допускается принимать 0,33% вместо 1% и 1% вместо 2%.</w:t>
            </w:r>
          </w:p>
          <w:p w:rsidR="00212513" w:rsidRDefault="00212513">
            <w:pPr>
              <w:pStyle w:val="ConsPlusNormal"/>
              <w:ind w:firstLine="283"/>
              <w:jc w:val="both"/>
            </w:pPr>
            <w:bookmarkStart w:id="11" w:name="P379"/>
            <w:bookmarkEnd w:id="11"/>
            <w:r>
              <w:t>&lt;*4&gt; В районах с развитой сетью автомобильных дорог для автодорожных малых мостов и труб при технико-экономическом обосновании вероятность превышения допускается принимать 2% вместо 1%, 3% вместо 2%, 5% вместо 3%, а для труб на дорогах II-с и III-с категорий - 10%.</w:t>
            </w:r>
          </w:p>
          <w:p w:rsidR="00212513" w:rsidRDefault="00212513">
            <w:pPr>
              <w:pStyle w:val="ConsPlusNormal"/>
            </w:pPr>
          </w:p>
          <w:p w:rsidR="00212513" w:rsidRDefault="00212513">
            <w:pPr>
              <w:pStyle w:val="ConsPlusNormal"/>
              <w:ind w:firstLine="283"/>
              <w:jc w:val="both"/>
            </w:pPr>
            <w:r>
              <w:t>Примечания</w:t>
            </w:r>
          </w:p>
          <w:p w:rsidR="00212513" w:rsidRDefault="00212513">
            <w:pPr>
              <w:pStyle w:val="ConsPlusNormal"/>
              <w:ind w:firstLine="283"/>
              <w:jc w:val="both"/>
            </w:pPr>
            <w:r>
              <w:t>1 Степень развития сети автомобильных дорог в районе строительства и значение проектируемых сооружений устанавливаются в задании на проектирование.</w:t>
            </w:r>
          </w:p>
          <w:p w:rsidR="00212513" w:rsidRDefault="00212513">
            <w:pPr>
              <w:pStyle w:val="ConsPlusNormal"/>
              <w:ind w:firstLine="283"/>
              <w:jc w:val="both"/>
            </w:pPr>
            <w:r>
              <w:t xml:space="preserve">2 Классификация дорог вне населенных пунктов принята по </w:t>
            </w:r>
            <w:hyperlink r:id="rId106">
              <w:r>
                <w:rPr>
                  <w:color w:val="0000FF"/>
                </w:rPr>
                <w:t>СП 34.13330</w:t>
              </w:r>
            </w:hyperlink>
            <w:r>
              <w:t xml:space="preserve">, классификация улиц и дорог в населенных пунктах - по </w:t>
            </w:r>
            <w:hyperlink r:id="rId107">
              <w:r>
                <w:rPr>
                  <w:color w:val="0000FF"/>
                </w:rPr>
                <w:t>СП 42.13330</w:t>
              </w:r>
            </w:hyperlink>
            <w:r>
              <w:t xml:space="preserve">, а для сельскохозяйственных дорог - согласно </w:t>
            </w:r>
            <w:hyperlink r:id="rId108">
              <w:r>
                <w:rPr>
                  <w:color w:val="0000FF"/>
                </w:rPr>
                <w:t>СП 99.13330</w:t>
              </w:r>
            </w:hyperlink>
            <w:r>
              <w:t>.</w:t>
            </w:r>
          </w:p>
        </w:tc>
      </w:tr>
    </w:tbl>
    <w:p w:rsidR="00212513" w:rsidRDefault="00212513">
      <w:pPr>
        <w:pStyle w:val="ConsPlusNormal"/>
        <w:ind w:firstLine="540"/>
        <w:jc w:val="both"/>
      </w:pPr>
    </w:p>
    <w:p w:rsidR="00212513" w:rsidRDefault="00212513">
      <w:pPr>
        <w:pStyle w:val="ConsPlusNormal"/>
        <w:ind w:firstLine="540"/>
        <w:jc w:val="both"/>
      </w:pPr>
      <w:r>
        <w:t>Возвышение низа пролетных строений над наивысшим уровнем водохранилища у мостов, расположенных в несудоходных и несплавных зонах водохранилища, должно быть не менее 0,75 высоты расчетной ветровой волны с увеличением на 0,25 м.</w:t>
      </w:r>
    </w:p>
    <w:p w:rsidR="00212513" w:rsidRDefault="00212513">
      <w:pPr>
        <w:pStyle w:val="ConsPlusNormal"/>
        <w:spacing w:before="220"/>
        <w:ind w:firstLine="540"/>
        <w:jc w:val="both"/>
      </w:pPr>
      <w:r>
        <w:t>Наименьшее возвышение низа пролетных строений при наличии наледи необходимо назначать с учетом их высоты.</w:t>
      </w:r>
    </w:p>
    <w:p w:rsidR="00212513" w:rsidRDefault="00212513">
      <w:pPr>
        <w:pStyle w:val="ConsPlusNormal"/>
        <w:spacing w:before="220"/>
        <w:ind w:firstLine="540"/>
        <w:jc w:val="both"/>
      </w:pPr>
      <w:r>
        <w:t xml:space="preserve">При одновременном наличии карчехода и наледных явлений возвышения, приведенные в </w:t>
      </w:r>
      <w:hyperlink w:anchor="P270">
        <w:r>
          <w:rPr>
            <w:color w:val="0000FF"/>
          </w:rPr>
          <w:t>таблице 5.2</w:t>
        </w:r>
      </w:hyperlink>
      <w:r>
        <w:t>, следует увеличивать не менее чем на 0,50 м.</w:t>
      </w:r>
    </w:p>
    <w:p w:rsidR="00212513" w:rsidRDefault="00212513">
      <w:pPr>
        <w:pStyle w:val="ConsPlusNormal"/>
        <w:spacing w:before="220"/>
        <w:ind w:firstLine="540"/>
        <w:jc w:val="both"/>
      </w:pPr>
      <w:r>
        <w:t>Расстояние между промежуточными опорами в свету при наличии карчехода следует назначать с учетом размеров карчей, но не менее 15,0 м, за исключением береговых пролетов мостов с отсыпными устоями.</w:t>
      </w:r>
    </w:p>
    <w:p w:rsidR="00212513" w:rsidRDefault="00212513">
      <w:pPr>
        <w:pStyle w:val="ConsPlusNormal"/>
        <w:spacing w:before="220"/>
        <w:ind w:firstLine="540"/>
        <w:jc w:val="both"/>
      </w:pPr>
      <w:bookmarkStart w:id="12" w:name="P389"/>
      <w:bookmarkEnd w:id="12"/>
      <w:r>
        <w:lastRenderedPageBreak/>
        <w:t>5.24 Возвышение высшей точки внутренней поверхности трубы в любом поперечном сечении над поверхностью воды в трубе при максимальном расходе расчетного паводка и безнапорном режиме работы должно быть в свету: в круглых и сводчатых трубах высотой до 3,0 м - не менее 1/4 высоты трубы, свыше 3,0 м - не менее 0,75 м, в прямоугольных трубах высотой до 3,0 м - не менее 1/6 высоты трубы, выше 3,0 м - не менее 0,50 м.</w:t>
      </w:r>
    </w:p>
    <w:p w:rsidR="00212513" w:rsidRDefault="00212513">
      <w:pPr>
        <w:pStyle w:val="ConsPlusNormal"/>
        <w:ind w:firstLine="540"/>
        <w:jc w:val="both"/>
      </w:pPr>
    </w:p>
    <w:p w:rsidR="00212513" w:rsidRDefault="00212513">
      <w:pPr>
        <w:pStyle w:val="ConsPlusTitle"/>
        <w:ind w:firstLine="540"/>
        <w:jc w:val="both"/>
        <w:outlineLvl w:val="2"/>
      </w:pPr>
      <w:r>
        <w:t>Расчет мостов и труб на воздействие водного потока</w:t>
      </w:r>
    </w:p>
    <w:p w:rsidR="00212513" w:rsidRDefault="00212513">
      <w:pPr>
        <w:pStyle w:val="ConsPlusNormal"/>
        <w:ind w:firstLine="540"/>
        <w:jc w:val="both"/>
      </w:pPr>
    </w:p>
    <w:p w:rsidR="00212513" w:rsidRDefault="00212513">
      <w:pPr>
        <w:pStyle w:val="ConsPlusNormal"/>
        <w:ind w:firstLine="540"/>
        <w:jc w:val="both"/>
      </w:pPr>
      <w:bookmarkStart w:id="13" w:name="P393"/>
      <w:bookmarkEnd w:id="13"/>
      <w:r>
        <w:t xml:space="preserve">5.25 Расчет мостов, труб и пойменных насыпей на воздействие водного потока следует производить, как правило, по гидрографам и водомерным графикам расчетных паводков. Кроме того, мосты, трубы и пойменные насыпи на железных дорогах общей сети необходимо рассчитывать по гидрографам и водомерным графикам паводков, условно именуемым наибольшими. При этом вероятности превышения расчетных и наибольших паводков следует принимать одинаковыми с указанными в </w:t>
      </w:r>
      <w:hyperlink w:anchor="P330">
        <w:r>
          <w:rPr>
            <w:color w:val="0000FF"/>
          </w:rPr>
          <w:t>таблице 5.3</w:t>
        </w:r>
      </w:hyperlink>
      <w:r>
        <w:t xml:space="preserve"> вероятностями превышения максимальных расходов соответствующих паводков.</w:t>
      </w:r>
    </w:p>
    <w:p w:rsidR="00212513" w:rsidRDefault="00212513">
      <w:pPr>
        <w:pStyle w:val="ConsPlusNormal"/>
        <w:spacing w:before="220"/>
        <w:ind w:firstLine="540"/>
        <w:jc w:val="both"/>
      </w:pPr>
      <w:r>
        <w:t>При отсутствии гидрографов и водомерных графиков паводков, а также в других обоснованных случаях расчет сооружений на воздействие водного потока допускается производить по максимальным расходам и соответствующим им уровням расчетных и наибольших паводков.</w:t>
      </w:r>
    </w:p>
    <w:p w:rsidR="00212513" w:rsidRDefault="00212513">
      <w:pPr>
        <w:pStyle w:val="ConsPlusNormal"/>
        <w:spacing w:before="220"/>
        <w:ind w:firstLine="540"/>
        <w:jc w:val="both"/>
      </w:pPr>
      <w:r>
        <w:t>В расчетах следует учитывать опыт водопропускной работы близкорасположенных сооружений на том же водотоке, взаимное влияние водопропускных сооружений, а также влияние на проектируемые водопропускные сооружения существующих или намечаемых к строительству гидротехнических и других речных сооружений.</w:t>
      </w:r>
    </w:p>
    <w:p w:rsidR="00212513" w:rsidRDefault="00212513">
      <w:pPr>
        <w:pStyle w:val="ConsPlusNormal"/>
        <w:spacing w:before="220"/>
        <w:ind w:firstLine="540"/>
        <w:jc w:val="both"/>
      </w:pPr>
      <w:r>
        <w:t>При наличии вблизи мостов и труб инженерных сооружений, зданий и сельскохозяйственных угодий необходимо проверить их безопасность от подтопления вследствие подпора воды перед сооружением.</w:t>
      </w:r>
    </w:p>
    <w:p w:rsidR="00212513" w:rsidRDefault="00212513">
      <w:pPr>
        <w:pStyle w:val="ConsPlusNormal"/>
        <w:spacing w:before="220"/>
        <w:ind w:firstLine="540"/>
        <w:jc w:val="both"/>
      </w:pPr>
      <w:r>
        <w:t>Для водопропускных сооружений, расположенных вблизи некапитальных плотин, необходимо учитывать возможность прорыва этих плотин. Вопрос об усилении таких плотин или увеличении отверстий сооружений необходимо решать комплексно путем сравнения технико-экономических показателей возможных решений.</w:t>
      </w:r>
    </w:p>
    <w:p w:rsidR="00212513" w:rsidRDefault="00212513">
      <w:pPr>
        <w:pStyle w:val="ConsPlusNormal"/>
        <w:spacing w:before="220"/>
        <w:ind w:firstLine="540"/>
        <w:jc w:val="both"/>
      </w:pPr>
      <w:r>
        <w:t>5.26 В расчетах следует принимать максимальные расходы паводков того происхождения, при которых для заданного значения вероятности превышения создаются наиболее неблагоприятные условия работы сооружения.</w:t>
      </w:r>
    </w:p>
    <w:p w:rsidR="00212513" w:rsidRDefault="00212513">
      <w:pPr>
        <w:pStyle w:val="ConsPlusNormal"/>
        <w:spacing w:before="220"/>
        <w:ind w:firstLine="540"/>
        <w:jc w:val="both"/>
      </w:pPr>
      <w:r>
        <w:t xml:space="preserve">Построение гидрографов и водомерных графиков, определение максимальных расходов при разных паводках и соответствующих им уровней воды рекомендуется производить согласно </w:t>
      </w:r>
      <w:hyperlink w:anchor="P19094">
        <w:r>
          <w:rPr>
            <w:color w:val="0000FF"/>
          </w:rPr>
          <w:t>[17]</w:t>
        </w:r>
      </w:hyperlink>
      <w:r>
        <w:t>.</w:t>
      </w:r>
    </w:p>
    <w:p w:rsidR="00212513" w:rsidRDefault="00212513">
      <w:pPr>
        <w:pStyle w:val="ConsPlusNormal"/>
        <w:jc w:val="both"/>
      </w:pPr>
      <w:r>
        <w:t xml:space="preserve">(в ред. </w:t>
      </w:r>
      <w:hyperlink r:id="rId109">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 xml:space="preserve">5.27 Размеры отверстий малых мостов и труб, укрепление подмостовых русел и конусов следует определять по средним скоростям течения воды, допустимым для грунта русла (в том числе на входе и выходе из сооружения), при этом необходимо соблюдать требования, приведенные в </w:t>
      </w:r>
      <w:hyperlink w:anchor="P268">
        <w:r>
          <w:rPr>
            <w:color w:val="0000FF"/>
          </w:rPr>
          <w:t>5.23</w:t>
        </w:r>
      </w:hyperlink>
      <w:r>
        <w:t xml:space="preserve">, </w:t>
      </w:r>
      <w:hyperlink w:anchor="P389">
        <w:r>
          <w:rPr>
            <w:color w:val="0000FF"/>
          </w:rPr>
          <w:t>5.24</w:t>
        </w:r>
      </w:hyperlink>
      <w:r>
        <w:t xml:space="preserve"> и </w:t>
      </w:r>
      <w:hyperlink w:anchor="P418">
        <w:r>
          <w:rPr>
            <w:color w:val="0000FF"/>
          </w:rPr>
          <w:t>5.34</w:t>
        </w:r>
      </w:hyperlink>
      <w:r>
        <w:t>.</w:t>
      </w:r>
    </w:p>
    <w:p w:rsidR="00212513" w:rsidRDefault="00212513">
      <w:pPr>
        <w:pStyle w:val="ConsPlusNormal"/>
        <w:spacing w:before="220"/>
        <w:ind w:firstLine="540"/>
        <w:jc w:val="both"/>
      </w:pPr>
      <w:r>
        <w:t xml:space="preserve">Отверстия малых мостов и труб допускается назначать с учетом аккумуляции воды у сооружения. Уменьшение расходов воды в сооружениях вследствие учета аккумуляции возможно не более чем: в 3 раза, если размеры отверстия назначают по ливневому стоку; в 2 раза, если размеры отверстия назначают по снеговому стоку и отсутствуют ледовые и другие явления, уменьшающие размеры отверстия. При этом независимо от вида расчетного стока для труб должны, в зависимости от характера их работы в условиях аккумуляции, выполняться указания, </w:t>
      </w:r>
      <w:r>
        <w:lastRenderedPageBreak/>
        <w:t xml:space="preserve">содержащиеся в </w:t>
      </w:r>
      <w:hyperlink w:anchor="P228">
        <w:r>
          <w:rPr>
            <w:color w:val="0000FF"/>
          </w:rPr>
          <w:t>5.14</w:t>
        </w:r>
      </w:hyperlink>
      <w:r>
        <w:t xml:space="preserve"> или </w:t>
      </w:r>
      <w:hyperlink w:anchor="P389">
        <w:r>
          <w:rPr>
            <w:color w:val="0000FF"/>
          </w:rPr>
          <w:t>5.24</w:t>
        </w:r>
      </w:hyperlink>
      <w:r>
        <w:t xml:space="preserve">, а для малых мостов - требования по положению низа конструкций, содержащиеся в </w:t>
      </w:r>
      <w:hyperlink w:anchor="P268">
        <w:r>
          <w:rPr>
            <w:color w:val="0000FF"/>
          </w:rPr>
          <w:t>5.23</w:t>
        </w:r>
      </w:hyperlink>
      <w:r>
        <w:t>.</w:t>
      </w:r>
    </w:p>
    <w:p w:rsidR="00212513" w:rsidRDefault="00212513">
      <w:pPr>
        <w:pStyle w:val="ConsPlusNormal"/>
        <w:spacing w:before="220"/>
        <w:ind w:firstLine="540"/>
        <w:jc w:val="both"/>
      </w:pPr>
      <w:r>
        <w:t>При наличии вечномерзлых грунтов аккумуляция воды у сооружений не допускается.</w:t>
      </w:r>
    </w:p>
    <w:p w:rsidR="00212513" w:rsidRDefault="00212513">
      <w:pPr>
        <w:pStyle w:val="ConsPlusNormal"/>
        <w:spacing w:before="220"/>
        <w:ind w:firstLine="540"/>
        <w:jc w:val="both"/>
      </w:pPr>
      <w:r>
        <w:t>5.28 Размеры отверстий больших и средних мостов следует определять с учетом подпора, естественной деформации русла, устойчивого уширения подмостового русла (срезки), общего и местного размывов у опор, конусов и регуляционных сооружений. Отверстие моста в свету не должно быть меньше устойчивой ширины русла.</w:t>
      </w:r>
    </w:p>
    <w:p w:rsidR="00212513" w:rsidRDefault="00212513">
      <w:pPr>
        <w:pStyle w:val="ConsPlusNormal"/>
        <w:spacing w:before="220"/>
        <w:ind w:firstLine="540"/>
        <w:jc w:val="both"/>
      </w:pPr>
      <w:r>
        <w:t>Размеры отверстий городских мостов следует назначать с учетом намечаемого регулирования реки и требований планировки набережных.</w:t>
      </w:r>
    </w:p>
    <w:p w:rsidR="00212513" w:rsidRDefault="00212513">
      <w:pPr>
        <w:pStyle w:val="ConsPlusNormal"/>
        <w:spacing w:before="220"/>
        <w:ind w:firstLine="540"/>
        <w:jc w:val="both"/>
      </w:pPr>
      <w:r>
        <w:t xml:space="preserve">5.29 Расчет общего размыва под мостами следует производить на основе решения уравнения баланса наносов на участках русел рек у мостовых переходов при паводках, указанных в </w:t>
      </w:r>
      <w:hyperlink w:anchor="P393">
        <w:r>
          <w:rPr>
            <w:color w:val="0000FF"/>
          </w:rPr>
          <w:t>5.25</w:t>
        </w:r>
      </w:hyperlink>
      <w:r>
        <w:t>.</w:t>
      </w:r>
    </w:p>
    <w:p w:rsidR="00212513" w:rsidRDefault="00212513">
      <w:pPr>
        <w:pStyle w:val="ConsPlusNormal"/>
        <w:spacing w:before="220"/>
        <w:ind w:firstLine="540"/>
        <w:jc w:val="both"/>
      </w:pPr>
      <w:r>
        <w:t>Если проход паводков, меньших по величине, чем расчетные (наибольшие), вызывает необратимые изменения в подмостовом русле (что возможно при стеснении потока более чем в 2 раза, на мостовых переходах в условиях подпора, в нижних бьефах плотин, деформации русел в пойменных отверстиях и т.п.), определение общего размыва следует выполнять из условий прохода расчетного (наибольшего) паводка после серии натурных наблюденных паводков одного из многоводных периодов.</w:t>
      </w:r>
    </w:p>
    <w:p w:rsidR="00212513" w:rsidRDefault="00212513">
      <w:pPr>
        <w:pStyle w:val="ConsPlusNormal"/>
        <w:spacing w:before="220"/>
        <w:ind w:firstLine="540"/>
        <w:jc w:val="both"/>
      </w:pPr>
      <w:r>
        <w:t>Для предварительных расчетов, а также при отсутствии необходимых данных о режиме водотока общий размыв допускается определять по скорости течения, соответствующей балансу наносов.</w:t>
      </w:r>
    </w:p>
    <w:p w:rsidR="00212513" w:rsidRDefault="00212513">
      <w:pPr>
        <w:pStyle w:val="ConsPlusNormal"/>
        <w:spacing w:before="220"/>
        <w:ind w:firstLine="540"/>
        <w:jc w:val="both"/>
      </w:pPr>
      <w:r>
        <w:t>При морфометрической основе расчета вычисленные максимальные глубины общего размыва следует увеличивать на 15%.</w:t>
      </w:r>
    </w:p>
    <w:p w:rsidR="00212513" w:rsidRDefault="00212513">
      <w:pPr>
        <w:pStyle w:val="ConsPlusNormal"/>
        <w:spacing w:before="220"/>
        <w:ind w:firstLine="540"/>
        <w:jc w:val="both"/>
      </w:pPr>
      <w:r>
        <w:t>Расчеты мостов на воздействие сейсмических нагрузок следует производить без учета местного размыва русла у опор.</w:t>
      </w:r>
    </w:p>
    <w:p w:rsidR="00212513" w:rsidRDefault="00212513">
      <w:pPr>
        <w:pStyle w:val="ConsPlusNormal"/>
        <w:spacing w:before="220"/>
        <w:ind w:firstLine="540"/>
        <w:jc w:val="both"/>
      </w:pPr>
      <w:bookmarkStart w:id="14" w:name="P411"/>
      <w:bookmarkEnd w:id="14"/>
      <w:r>
        <w:t>5.30 При построении линии наибольших размывов надлежит учитывать кроме общего размыва местные размывы у опор, влияние регуляционных сооружений и других элементов мостового перехода, возможные естественные переформирования русла и особенности его геологического строения.</w:t>
      </w:r>
    </w:p>
    <w:p w:rsidR="00212513" w:rsidRDefault="00212513">
      <w:pPr>
        <w:pStyle w:val="ConsPlusNormal"/>
        <w:spacing w:before="220"/>
        <w:ind w:firstLine="540"/>
        <w:jc w:val="both"/>
      </w:pPr>
      <w:r>
        <w:t>5.31 Значение коэффициента общего размыва под мостом следует обосновать технико-экономическим расчетом. При этом надлежит учитывать вид грунтов русла, конструкцию фундаментов опор моста и глубину их заложения, разбивку моста на пролеты, величины подпоров, возможное уширение русла, скорости течения, допустимые для судоходства и миграции рыбы, а также другие местные условия. Величину коэффициента размыва, как правило, следует принимать не более 2.</w:t>
      </w:r>
    </w:p>
    <w:p w:rsidR="00212513" w:rsidRDefault="00212513">
      <w:pPr>
        <w:pStyle w:val="ConsPlusNormal"/>
        <w:spacing w:before="220"/>
        <w:ind w:firstLine="540"/>
        <w:jc w:val="both"/>
      </w:pPr>
      <w:r>
        <w:t>Для мостов через неглубокие реки и водотоки при соответствующем обосновании можно принимать коэффициенты общего размыва более указанного значения.</w:t>
      </w:r>
    </w:p>
    <w:p w:rsidR="00212513" w:rsidRDefault="00212513">
      <w:pPr>
        <w:pStyle w:val="ConsPlusNormal"/>
        <w:spacing w:before="220"/>
        <w:ind w:firstLine="540"/>
        <w:jc w:val="both"/>
      </w:pPr>
      <w:r>
        <w:t>5.32 Срезку грунта в пойменной части отверстия моста допускается предусматривать только на равнинных реках. Размеры и конфигурацию срезки следует определять расчетом исходя из условий ее незаносимости в зависимости от частоты затопления поймы и степени стеснения потока мостовым переходом при расчетном уровне высокой воды.</w:t>
      </w:r>
    </w:p>
    <w:p w:rsidR="00212513" w:rsidRDefault="00212513">
      <w:pPr>
        <w:pStyle w:val="ConsPlusNormal"/>
        <w:spacing w:before="220"/>
        <w:ind w:firstLine="540"/>
        <w:jc w:val="both"/>
      </w:pPr>
      <w:r>
        <w:t>Срезка в русле побочней, отмелей при расчете площади живого сечения под мостом не учитывается.</w:t>
      </w:r>
    </w:p>
    <w:p w:rsidR="00212513" w:rsidRDefault="00212513">
      <w:pPr>
        <w:pStyle w:val="ConsPlusNormal"/>
        <w:spacing w:before="220"/>
        <w:ind w:firstLine="540"/>
        <w:jc w:val="both"/>
      </w:pPr>
      <w:r>
        <w:lastRenderedPageBreak/>
        <w:t>5.33 Уширение под мостом срезкой грунта следует плавно сопрягать с неуширенными частями русла для обеспечения благоприятных условий подвода потока воды и руслоформирующих наносов в подмостовое сечение. Общая длина срезки (в верховую и низовую стороны от оси перехода) должна быть в 4 - 6 раз больше ее ширины в створе моста. Следует избегать наибольшей ширины в створах голов регуляционных сооружений.</w:t>
      </w:r>
    </w:p>
    <w:p w:rsidR="00212513" w:rsidRDefault="00212513">
      <w:pPr>
        <w:pStyle w:val="ConsPlusNormal"/>
        <w:spacing w:before="220"/>
        <w:ind w:firstLine="540"/>
        <w:jc w:val="both"/>
      </w:pPr>
      <w:r>
        <w:t>При срезке грунта на пойме необходимо предусматривать удаление пойменного наилка до обнажения несвязных аллювиальных грунтов на всей площади срезки.</w:t>
      </w:r>
    </w:p>
    <w:p w:rsidR="00212513" w:rsidRDefault="00212513">
      <w:pPr>
        <w:pStyle w:val="ConsPlusNormal"/>
        <w:spacing w:before="220"/>
        <w:ind w:firstLine="540"/>
        <w:jc w:val="both"/>
      </w:pPr>
      <w:bookmarkStart w:id="15" w:name="P418"/>
      <w:bookmarkEnd w:id="15"/>
      <w:r>
        <w:t xml:space="preserve">5.34 Возвышение бровок земляных сооружений на подходах к большим и средним мостам над уровнями воды при паводках согласно </w:t>
      </w:r>
      <w:hyperlink w:anchor="P393">
        <w:r>
          <w:rPr>
            <w:color w:val="0000FF"/>
          </w:rPr>
          <w:t>5.25</w:t>
        </w:r>
      </w:hyperlink>
      <w:r>
        <w:t xml:space="preserve"> (с учетом набега волны на откосы и возможного подпора) следует принимать не менее, м: 0,5 - для земляного полотна, водоразделительных и ограждающих дамб, а также струенаправляющих дамб на реках с блуждающими руслами, 0,25 - для регуляционных сооружений и берм насыпей.</w:t>
      </w:r>
    </w:p>
    <w:p w:rsidR="00212513" w:rsidRDefault="00212513">
      <w:pPr>
        <w:pStyle w:val="ConsPlusNormal"/>
        <w:spacing w:before="220"/>
        <w:ind w:firstLine="540"/>
        <w:jc w:val="both"/>
      </w:pPr>
      <w:r>
        <w:t xml:space="preserve">Возвышение бровки земляного полотна на подходах к малым мостам и трубам над уровнями воды при паводках по </w:t>
      </w:r>
      <w:hyperlink w:anchor="P393">
        <w:r>
          <w:rPr>
            <w:color w:val="0000FF"/>
          </w:rPr>
          <w:t>5.25</w:t>
        </w:r>
      </w:hyperlink>
      <w:r>
        <w:t xml:space="preserve"> (с учетом подпора и аккумуляции) следует принимать не менее 0,5 м, а для труб при напорном или полунапорном режиме работы - не менее 1,0 м. Кроме того, на автомобильных дорогах при назначении возвышения бровки земляного полотна на подходах к указанным сооружениям следует соблюдать требования по возвышению низа дорожной одежды над уровнем грунтовых и поверхностных вод, установленные </w:t>
      </w:r>
      <w:hyperlink r:id="rId110">
        <w:r>
          <w:rPr>
            <w:color w:val="0000FF"/>
          </w:rPr>
          <w:t>СП 34.13330</w:t>
        </w:r>
      </w:hyperlink>
      <w:r>
        <w:t>.</w:t>
      </w:r>
    </w:p>
    <w:p w:rsidR="00212513" w:rsidRDefault="00212513">
      <w:pPr>
        <w:pStyle w:val="ConsPlusNormal"/>
        <w:spacing w:before="220"/>
        <w:ind w:firstLine="540"/>
        <w:jc w:val="both"/>
      </w:pPr>
      <w:r>
        <w:t>В пределах воздействия льда на пойменную насыпь отметка ее бровки должна быть не ниже отметок верха навала льда, а также отметок наивысшего заторного или зажорного льда с учетом полуторной толщины льда.</w:t>
      </w:r>
    </w:p>
    <w:p w:rsidR="00212513" w:rsidRDefault="00212513">
      <w:pPr>
        <w:pStyle w:val="ConsPlusNormal"/>
        <w:ind w:firstLine="540"/>
        <w:jc w:val="both"/>
      </w:pPr>
    </w:p>
    <w:p w:rsidR="00212513" w:rsidRDefault="00212513">
      <w:pPr>
        <w:pStyle w:val="ConsPlusTitle"/>
        <w:ind w:firstLine="540"/>
        <w:jc w:val="both"/>
        <w:outlineLvl w:val="2"/>
      </w:pPr>
      <w:r>
        <w:t>Расчет несущих конструкций и оснований мостов и труб</w:t>
      </w:r>
    </w:p>
    <w:p w:rsidR="00212513" w:rsidRDefault="00212513">
      <w:pPr>
        <w:pStyle w:val="ConsPlusNormal"/>
        <w:ind w:firstLine="540"/>
        <w:jc w:val="both"/>
      </w:pPr>
    </w:p>
    <w:p w:rsidR="00212513" w:rsidRDefault="00212513">
      <w:pPr>
        <w:pStyle w:val="ConsPlusNormal"/>
        <w:ind w:firstLine="540"/>
        <w:jc w:val="both"/>
      </w:pPr>
      <w:r>
        <w:t>5.35 Расчетные схемы и основные предпосылки расчета должны отражать действительные условия работы конструкций мостов и труб при их эксплуатации и строительстве.</w:t>
      </w:r>
    </w:p>
    <w:p w:rsidR="00212513" w:rsidRDefault="00212513">
      <w:pPr>
        <w:pStyle w:val="ConsPlusNormal"/>
        <w:spacing w:before="220"/>
        <w:ind w:firstLine="540"/>
        <w:jc w:val="both"/>
      </w:pPr>
      <w:r>
        <w:t xml:space="preserve">Несущие конструкции и основания мостов и труб необходимо рассчитывать на действие постоянных нагрузок и неблагоприятных сочетаний временных нагрузок, указанных в </w:t>
      </w:r>
      <w:hyperlink w:anchor="P878">
        <w:r>
          <w:rPr>
            <w:color w:val="0000FF"/>
          </w:rPr>
          <w:t>разделе 6</w:t>
        </w:r>
      </w:hyperlink>
      <w:r>
        <w:t xml:space="preserve">. Расчеты следует выполнять по предельным состояниям с учетом нормативных и расчетных значений физико-механических характеристик материалов, принимаемых согласно соответствующим разделам настоящего свода правил. При этом интерпретацию предельных состояний следует принимать согласно </w:t>
      </w:r>
      <w:hyperlink r:id="rId111">
        <w:r>
          <w:rPr>
            <w:color w:val="0000FF"/>
          </w:rPr>
          <w:t>ГОСТ 27751</w:t>
        </w:r>
      </w:hyperlink>
      <w:r>
        <w:t>.</w:t>
      </w:r>
    </w:p>
    <w:p w:rsidR="00212513" w:rsidRDefault="00212513">
      <w:pPr>
        <w:pStyle w:val="ConsPlusNormal"/>
        <w:jc w:val="both"/>
      </w:pPr>
      <w:r>
        <w:t xml:space="preserve">(абзац введен </w:t>
      </w:r>
      <w:hyperlink r:id="rId112">
        <w:r>
          <w:rPr>
            <w:color w:val="0000FF"/>
          </w:rPr>
          <w:t>Изменением N 3</w:t>
        </w:r>
      </w:hyperlink>
      <w:r>
        <w:t xml:space="preserve">, утв. Приказом Минстроя России от 29.12.2020 N 891/пр; в ред. </w:t>
      </w:r>
      <w:hyperlink r:id="rId113">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 xml:space="preserve">При этом для сооружений по категории КС-3 согласно </w:t>
      </w:r>
      <w:hyperlink r:id="rId114">
        <w:r>
          <w:rPr>
            <w:color w:val="0000FF"/>
          </w:rPr>
          <w:t>ГОСТ 27751</w:t>
        </w:r>
      </w:hyperlink>
      <w:r>
        <w:t xml:space="preserve"> должна быть предусмотрена конструктивная схема мостового сооружения, не допускающая возможности прогрессирующего обрушения. Соответствующие проверки следует проводить при учете только постоянных нагрузок и воздействий (при коэффициентах надежности по нагрузке </w:t>
      </w:r>
      <w:r>
        <w:rPr>
          <w:noProof/>
          <w:position w:val="-10"/>
        </w:rPr>
        <w:drawing>
          <wp:inline distT="0" distB="0" distL="0" distR="0">
            <wp:extent cx="442595" cy="26797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42595" cy="267970"/>
                    </a:xfrm>
                    <a:prstGeom prst="rect">
                      <a:avLst/>
                    </a:prstGeom>
                    <a:noFill/>
                    <a:ln>
                      <a:noFill/>
                    </a:ln>
                  </pic:spPr>
                </pic:pic>
              </a:graphicData>
            </a:graphic>
          </wp:inline>
        </w:drawing>
      </w:r>
      <w:r>
        <w:t xml:space="preserve">). Расчетные прочностные и деформационные характеристики материалов следует принимать с учетом коэффициента надежности по материалу, равного 1. Для металлических мостов в качестве расчетных прочностных характеристик материала следует принимать временные сопротивления </w:t>
      </w:r>
      <w:r>
        <w:rPr>
          <w:i/>
        </w:rPr>
        <w:t>R</w:t>
      </w:r>
      <w:r>
        <w:rPr>
          <w:i/>
          <w:vertAlign w:val="subscript"/>
        </w:rPr>
        <w:t>a</w:t>
      </w:r>
      <w:r>
        <w:t xml:space="preserve"> </w:t>
      </w:r>
      <w:hyperlink w:anchor="P6412">
        <w:r>
          <w:rPr>
            <w:color w:val="0000FF"/>
          </w:rPr>
          <w:t>(таблица 8.5)</w:t>
        </w:r>
      </w:hyperlink>
      <w:r>
        <w:t xml:space="preserve">. Необходимость учета временных нагрузок и воздействий в этих случаях следует предусматривать в задании на проектирование согласно требованиям </w:t>
      </w:r>
      <w:hyperlink w:anchor="P18626">
        <w:r>
          <w:rPr>
            <w:color w:val="0000FF"/>
          </w:rPr>
          <w:t>приложения 7</w:t>
        </w:r>
      </w:hyperlink>
      <w:r>
        <w:t>.</w:t>
      </w:r>
    </w:p>
    <w:p w:rsidR="00212513" w:rsidRDefault="00212513">
      <w:pPr>
        <w:pStyle w:val="ConsPlusNormal"/>
        <w:jc w:val="both"/>
      </w:pPr>
      <w:r>
        <w:t xml:space="preserve">(в ред. </w:t>
      </w:r>
      <w:hyperlink r:id="rId116">
        <w:r>
          <w:rPr>
            <w:color w:val="0000FF"/>
          </w:rPr>
          <w:t>Изменения N 1</w:t>
        </w:r>
      </w:hyperlink>
      <w:r>
        <w:t xml:space="preserve">, утв. Приказом Минстроя России от 03.12.2016 N 879/пр, </w:t>
      </w:r>
      <w:hyperlink r:id="rId117">
        <w:r>
          <w:rPr>
            <w:color w:val="0000FF"/>
          </w:rPr>
          <w:t>Изменения N 3</w:t>
        </w:r>
      </w:hyperlink>
      <w:r>
        <w:t xml:space="preserve">, утв. Приказом Минстроя России от 29.12.2020 N 891/пр, </w:t>
      </w:r>
      <w:hyperlink r:id="rId118">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 xml:space="preserve">При расчете труб под насыпями и мостов из металлических гофрированных элементов </w:t>
      </w:r>
      <w:r>
        <w:lastRenderedPageBreak/>
        <w:t>следует учитывать их совместную работу с грунтовой обоймой, в том числе выполненной в виде армогрунтовой системы.</w:t>
      </w:r>
    </w:p>
    <w:p w:rsidR="00212513" w:rsidRDefault="00212513">
      <w:pPr>
        <w:pStyle w:val="ConsPlusNormal"/>
        <w:jc w:val="both"/>
      </w:pPr>
      <w:r>
        <w:t xml:space="preserve">(в ред. </w:t>
      </w:r>
      <w:hyperlink r:id="rId119">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 xml:space="preserve">Абзац исключен с 30.06.2021. - </w:t>
      </w:r>
      <w:hyperlink r:id="rId120">
        <w:r>
          <w:rPr>
            <w:color w:val="0000FF"/>
          </w:rPr>
          <w:t>Изменение N 3</w:t>
        </w:r>
      </w:hyperlink>
      <w:r>
        <w:t>, утв. Приказом Минстроя России от 29.12.2020 N 891/пр.</w:t>
      </w:r>
    </w:p>
    <w:p w:rsidR="00212513" w:rsidRDefault="00212513">
      <w:pPr>
        <w:pStyle w:val="ConsPlusNormal"/>
        <w:spacing w:before="220"/>
        <w:ind w:firstLine="540"/>
        <w:jc w:val="both"/>
      </w:pPr>
      <w:r>
        <w:t>5.36 В расчетах по предельным состояниям первой группы для сооружений повышенного уровня ответственности на стадии эксплуатации следует учитывать коэффициент надежности по ответственности, равный 1,1.</w:t>
      </w:r>
    </w:p>
    <w:p w:rsidR="00212513" w:rsidRDefault="00212513">
      <w:pPr>
        <w:pStyle w:val="ConsPlusNormal"/>
        <w:jc w:val="both"/>
      </w:pPr>
      <w:r>
        <w:t xml:space="preserve">(в ред. </w:t>
      </w:r>
      <w:hyperlink r:id="rId121">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t xml:space="preserve">Абзац исключен с 01.07.2024. - </w:t>
      </w:r>
      <w:hyperlink r:id="rId122">
        <w:r>
          <w:rPr>
            <w:color w:val="0000FF"/>
          </w:rPr>
          <w:t>Изменение N 4</w:t>
        </w:r>
      </w:hyperlink>
      <w:r>
        <w:t>, утв. Приказом Минстроя России от 30.05.2024 N 361/пр.</w:t>
      </w:r>
    </w:p>
    <w:p w:rsidR="00212513" w:rsidRDefault="00212513">
      <w:pPr>
        <w:pStyle w:val="ConsPlusNormal"/>
        <w:spacing w:before="220"/>
        <w:ind w:firstLine="540"/>
        <w:jc w:val="both"/>
      </w:pPr>
      <w:r>
        <w:t>5.37 Временные нагрузки от подвижного состава (транспортных средств) железных и автомобильных дорог в случаях, предусмотренных настоящим СП, следует вводить в расчет с соответствующими динамическими коэффициентами.</w:t>
      </w:r>
    </w:p>
    <w:p w:rsidR="00212513" w:rsidRDefault="00212513">
      <w:pPr>
        <w:pStyle w:val="ConsPlusNormal"/>
        <w:spacing w:before="220"/>
        <w:ind w:firstLine="540"/>
        <w:jc w:val="both"/>
      </w:pPr>
      <w:r>
        <w:t>При одновременном учете действия на сооружение двух или более временных нагрузок расчетные значения этих нагрузок следует умножать на коэффициенты сочетаний, меньше или равные единице.</w:t>
      </w:r>
    </w:p>
    <w:p w:rsidR="00212513" w:rsidRDefault="00212513">
      <w:pPr>
        <w:pStyle w:val="ConsPlusNormal"/>
        <w:spacing w:before="220"/>
        <w:ind w:firstLine="540"/>
        <w:jc w:val="both"/>
      </w:pPr>
      <w:r>
        <w:t>5.38 Величины напряжений (деформаций), определяемые в элементах конструкций при расчетах сооружений в стадии эксплуатации и при строительстве, а также величины напряжений (деформаций), определяемые расчетами в монтажных элементах или блоках при их изготовлении, транспортировании и монтаже, не должны превышать расчетных сопротивлений (предельных деформаций), установленных в нормах на проектирование соответствующих конструкций мостов и труб.</w:t>
      </w:r>
    </w:p>
    <w:p w:rsidR="00212513" w:rsidRDefault="00212513">
      <w:pPr>
        <w:pStyle w:val="ConsPlusNormal"/>
        <w:spacing w:before="220"/>
        <w:ind w:firstLine="540"/>
        <w:jc w:val="both"/>
      </w:pPr>
      <w:bookmarkStart w:id="16" w:name="P438"/>
      <w:bookmarkEnd w:id="16"/>
      <w:r>
        <w:t xml:space="preserve">5.39 За расчетную минимальную температуру следует принимать среднюю температуру наружного воздуха наиболее холодной пятидневки в районе строительства в соответствии с требованиями </w:t>
      </w:r>
      <w:hyperlink r:id="rId123">
        <w:r>
          <w:rPr>
            <w:color w:val="0000FF"/>
          </w:rPr>
          <w:t>СП 131.13330</w:t>
        </w:r>
      </w:hyperlink>
      <w:r>
        <w:t xml:space="preserve"> с обеспеченностью:</w:t>
      </w:r>
    </w:p>
    <w:p w:rsidR="00212513" w:rsidRDefault="00212513">
      <w:pPr>
        <w:pStyle w:val="ConsPlusNormal"/>
        <w:jc w:val="both"/>
      </w:pPr>
      <w:r>
        <w:t xml:space="preserve">(в ред. </w:t>
      </w:r>
      <w:hyperlink r:id="rId124">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0,92 - для бетонных и железобетонных конструкций;</w:t>
      </w:r>
    </w:p>
    <w:p w:rsidR="00212513" w:rsidRDefault="00212513">
      <w:pPr>
        <w:pStyle w:val="ConsPlusNormal"/>
        <w:spacing w:before="220"/>
        <w:ind w:firstLine="540"/>
        <w:jc w:val="both"/>
      </w:pPr>
      <w:r>
        <w:t>0,98 - для стальных конструкций, стальных частей сталежелезобетонных конструкций и элементов из полимерных композитов.</w:t>
      </w:r>
    </w:p>
    <w:p w:rsidR="00212513" w:rsidRDefault="00212513">
      <w:pPr>
        <w:pStyle w:val="ConsPlusNormal"/>
        <w:jc w:val="both"/>
      </w:pPr>
      <w:r>
        <w:t xml:space="preserve">(в ред. </w:t>
      </w:r>
      <w:hyperlink r:id="rId125">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bookmarkStart w:id="17" w:name="P443"/>
      <w:bookmarkEnd w:id="17"/>
      <w:r>
        <w:t>5.40 Устойчивость положения конструкций против опрокидывания следует рассчитывать по формуле</w:t>
      </w:r>
    </w:p>
    <w:p w:rsidR="00212513" w:rsidRDefault="00212513">
      <w:pPr>
        <w:pStyle w:val="ConsPlusNormal"/>
        <w:ind w:firstLine="540"/>
        <w:jc w:val="both"/>
      </w:pPr>
    </w:p>
    <w:p w:rsidR="00212513" w:rsidRDefault="00212513">
      <w:pPr>
        <w:pStyle w:val="ConsPlusNormal"/>
        <w:jc w:val="center"/>
      </w:pPr>
      <w:r>
        <w:rPr>
          <w:noProof/>
          <w:position w:val="-27"/>
        </w:rPr>
        <w:drawing>
          <wp:inline distT="0" distB="0" distL="0" distR="0">
            <wp:extent cx="859790" cy="48450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859790" cy="484505"/>
                    </a:xfrm>
                    <a:prstGeom prst="rect">
                      <a:avLst/>
                    </a:prstGeom>
                    <a:noFill/>
                    <a:ln>
                      <a:noFill/>
                    </a:ln>
                  </pic:spPr>
                </pic:pic>
              </a:graphicData>
            </a:graphic>
          </wp:inline>
        </w:drawing>
      </w:r>
      <w:r>
        <w:t>, (5.1)</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8"/>
        </w:rPr>
        <w:drawing>
          <wp:inline distT="0" distB="0" distL="0" distR="0">
            <wp:extent cx="273685" cy="25146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73685" cy="251460"/>
                    </a:xfrm>
                    <a:prstGeom prst="rect">
                      <a:avLst/>
                    </a:prstGeom>
                    <a:noFill/>
                    <a:ln>
                      <a:noFill/>
                    </a:ln>
                  </pic:spPr>
                </pic:pic>
              </a:graphicData>
            </a:graphic>
          </wp:inline>
        </w:drawing>
      </w:r>
      <w:r>
        <w:t xml:space="preserve"> - момент опрокидывающих сил относительно оси возможного поворота (опрокидывания) конструкции, проходящей по крайним точкам опирания;</w:t>
      </w:r>
    </w:p>
    <w:p w:rsidR="00212513" w:rsidRDefault="00212513">
      <w:pPr>
        <w:pStyle w:val="ConsPlusNormal"/>
        <w:spacing w:before="220"/>
        <w:ind w:firstLine="540"/>
        <w:jc w:val="both"/>
      </w:pPr>
      <w:r>
        <w:rPr>
          <w:noProof/>
          <w:position w:val="-8"/>
        </w:rPr>
        <w:drawing>
          <wp:inline distT="0" distB="0" distL="0" distR="0">
            <wp:extent cx="273685" cy="25146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3685" cy="251460"/>
                    </a:xfrm>
                    <a:prstGeom prst="rect">
                      <a:avLst/>
                    </a:prstGeom>
                    <a:noFill/>
                    <a:ln>
                      <a:noFill/>
                    </a:ln>
                  </pic:spPr>
                </pic:pic>
              </a:graphicData>
            </a:graphic>
          </wp:inline>
        </w:drawing>
      </w:r>
      <w:r>
        <w:t xml:space="preserve"> - момент удерживающих сил относительно той же оси;</w:t>
      </w:r>
    </w:p>
    <w:p w:rsidR="00212513" w:rsidRDefault="00212513">
      <w:pPr>
        <w:pStyle w:val="ConsPlusNormal"/>
        <w:spacing w:before="220"/>
        <w:ind w:firstLine="540"/>
        <w:jc w:val="both"/>
      </w:pPr>
      <w:r>
        <w:rPr>
          <w:i/>
        </w:rPr>
        <w:t>m</w:t>
      </w:r>
      <w:r>
        <w:t xml:space="preserve"> - коэффициент условий работы, принимаемый равным:</w:t>
      </w:r>
    </w:p>
    <w:p w:rsidR="00212513" w:rsidRDefault="00212513">
      <w:pPr>
        <w:pStyle w:val="ConsPlusNormal"/>
        <w:spacing w:before="220"/>
        <w:ind w:firstLine="540"/>
        <w:jc w:val="both"/>
      </w:pPr>
      <w:r>
        <w:rPr>
          <w:i/>
        </w:rPr>
        <w:lastRenderedPageBreak/>
        <w:t>при проверке конструкций, опирающихся на отдельные опоры:</w:t>
      </w:r>
    </w:p>
    <w:p w:rsidR="00212513" w:rsidRDefault="00212513">
      <w:pPr>
        <w:pStyle w:val="ConsPlusNormal"/>
        <w:spacing w:before="220"/>
        <w:ind w:firstLine="540"/>
        <w:jc w:val="both"/>
      </w:pPr>
      <w:r>
        <w:t>в стадии строительства - 0,95;</w:t>
      </w:r>
    </w:p>
    <w:p w:rsidR="00212513" w:rsidRDefault="00212513">
      <w:pPr>
        <w:pStyle w:val="ConsPlusNormal"/>
        <w:spacing w:before="220"/>
        <w:ind w:firstLine="540"/>
        <w:jc w:val="both"/>
      </w:pPr>
      <w:r>
        <w:t>в стадии постоянной эксплуатации - 1,0;</w:t>
      </w:r>
    </w:p>
    <w:p w:rsidR="00212513" w:rsidRDefault="00212513">
      <w:pPr>
        <w:pStyle w:val="ConsPlusNormal"/>
        <w:spacing w:before="220"/>
        <w:ind w:firstLine="540"/>
        <w:jc w:val="both"/>
      </w:pPr>
      <w:r>
        <w:rPr>
          <w:i/>
        </w:rPr>
        <w:t>при проверке сечений бетонных конструкций и фундаментов:</w:t>
      </w:r>
    </w:p>
    <w:p w:rsidR="00212513" w:rsidRDefault="00212513">
      <w:pPr>
        <w:pStyle w:val="ConsPlusNormal"/>
        <w:spacing w:before="220"/>
        <w:ind w:firstLine="540"/>
        <w:jc w:val="both"/>
      </w:pPr>
      <w:r>
        <w:t>на скальных основаниях - 0,9;</w:t>
      </w:r>
    </w:p>
    <w:p w:rsidR="00212513" w:rsidRDefault="00212513">
      <w:pPr>
        <w:pStyle w:val="ConsPlusNormal"/>
        <w:spacing w:before="220"/>
        <w:ind w:firstLine="540"/>
        <w:jc w:val="both"/>
      </w:pPr>
      <w:r>
        <w:t>на нескальных основаниях - 0,8;</w:t>
      </w:r>
    </w:p>
    <w:p w:rsidR="00212513" w:rsidRDefault="00212513">
      <w:pPr>
        <w:pStyle w:val="ConsPlusNormal"/>
        <w:spacing w:before="220"/>
        <w:ind w:firstLine="540"/>
        <w:jc w:val="both"/>
      </w:pPr>
      <w:r>
        <w:rPr>
          <w:noProof/>
          <w:position w:val="-8"/>
        </w:rPr>
        <w:drawing>
          <wp:inline distT="0" distB="0" distL="0" distR="0">
            <wp:extent cx="189230" cy="25082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89230" cy="250825"/>
                    </a:xfrm>
                    <a:prstGeom prst="rect">
                      <a:avLst/>
                    </a:prstGeom>
                    <a:noFill/>
                    <a:ln>
                      <a:noFill/>
                    </a:ln>
                  </pic:spPr>
                </pic:pic>
              </a:graphicData>
            </a:graphic>
          </wp:inline>
        </w:drawing>
      </w:r>
      <w:r>
        <w:t xml:space="preserve"> - коэффициент надежности по назначению, принимаемый равным при расчетах:</w:t>
      </w:r>
    </w:p>
    <w:p w:rsidR="00212513" w:rsidRDefault="00212513">
      <w:pPr>
        <w:pStyle w:val="ConsPlusNormal"/>
        <w:spacing w:before="220"/>
        <w:ind w:firstLine="540"/>
        <w:jc w:val="both"/>
      </w:pPr>
      <w:r>
        <w:t>в стадии строительства - 1,0;</w:t>
      </w:r>
    </w:p>
    <w:p w:rsidR="00212513" w:rsidRDefault="00212513">
      <w:pPr>
        <w:pStyle w:val="ConsPlusNormal"/>
        <w:spacing w:before="220"/>
        <w:ind w:firstLine="540"/>
        <w:jc w:val="both"/>
      </w:pPr>
      <w:r>
        <w:t>в стадии постоянной эксплуатации - 1,1.</w:t>
      </w:r>
    </w:p>
    <w:p w:rsidR="00212513" w:rsidRDefault="00212513">
      <w:pPr>
        <w:pStyle w:val="ConsPlusNormal"/>
        <w:spacing w:before="220"/>
        <w:ind w:firstLine="540"/>
        <w:jc w:val="both"/>
      </w:pPr>
      <w:r>
        <w:t xml:space="preserve">Опрокидывающие силы следует принимать с коэффициентом надежности по нагрузке, </w:t>
      </w:r>
      <w:r>
        <w:rPr>
          <w:noProof/>
          <w:position w:val="-3"/>
        </w:rPr>
        <w:drawing>
          <wp:inline distT="0" distB="0" distL="0" distR="0">
            <wp:extent cx="586105" cy="18923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86105" cy="189230"/>
                    </a:xfrm>
                    <a:prstGeom prst="rect">
                      <a:avLst/>
                    </a:prstGeom>
                    <a:noFill/>
                    <a:ln>
                      <a:noFill/>
                    </a:ln>
                  </pic:spPr>
                </pic:pic>
              </a:graphicData>
            </a:graphic>
          </wp:inline>
        </w:drawing>
      </w:r>
      <w:r>
        <w:t xml:space="preserve"> единицы.</w:t>
      </w:r>
    </w:p>
    <w:p w:rsidR="00212513" w:rsidRDefault="00212513">
      <w:pPr>
        <w:pStyle w:val="ConsPlusNormal"/>
        <w:spacing w:before="220"/>
        <w:ind w:firstLine="540"/>
        <w:jc w:val="both"/>
      </w:pPr>
      <w:r>
        <w:t>Удерживающие силы следует принимать с коэффициентом надежности по нагрузке:</w:t>
      </w:r>
    </w:p>
    <w:p w:rsidR="00212513" w:rsidRDefault="00212513">
      <w:pPr>
        <w:pStyle w:val="ConsPlusNormal"/>
        <w:spacing w:before="220"/>
        <w:ind w:firstLine="540"/>
        <w:jc w:val="both"/>
      </w:pPr>
      <w:r>
        <w:t xml:space="preserve">для постоянных нагрузок - </w:t>
      </w:r>
      <w:r>
        <w:rPr>
          <w:noProof/>
          <w:position w:val="-10"/>
        </w:rPr>
        <w:drawing>
          <wp:inline distT="0" distB="0" distL="0" distR="0">
            <wp:extent cx="441960" cy="27368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41960" cy="273685"/>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для временной вертикальной подвижной нагрузки от порожнего состава железных дорог, метрополитена и трамвая - </w:t>
      </w:r>
      <w:r>
        <w:rPr>
          <w:noProof/>
          <w:position w:val="-10"/>
        </w:rPr>
        <w:drawing>
          <wp:inline distT="0" distB="0" distL="0" distR="0">
            <wp:extent cx="441960" cy="27368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41960" cy="273685"/>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В соответствующих случаях, руководствуясь указаниями </w:t>
      </w:r>
      <w:hyperlink w:anchor="P10981">
        <w:r>
          <w:rPr>
            <w:color w:val="0000FF"/>
          </w:rPr>
          <w:t>11.6</w:t>
        </w:r>
      </w:hyperlink>
      <w:r>
        <w:t>, необходимо учитывать уменьшение веса конструкции вследствие взвешивающего действия воды.</w:t>
      </w:r>
    </w:p>
    <w:p w:rsidR="00212513" w:rsidRDefault="00212513">
      <w:pPr>
        <w:pStyle w:val="ConsPlusNormal"/>
        <w:spacing w:before="220"/>
        <w:ind w:firstLine="540"/>
        <w:jc w:val="both"/>
      </w:pPr>
      <w:bookmarkStart w:id="18" w:name="P464"/>
      <w:bookmarkEnd w:id="18"/>
      <w:r>
        <w:t>5.41 Устойчивость положения конструкций против сдвига (скольжения) следует рассчитывать по формуле</w:t>
      </w:r>
    </w:p>
    <w:p w:rsidR="00212513" w:rsidRDefault="00212513">
      <w:pPr>
        <w:pStyle w:val="ConsPlusNormal"/>
        <w:ind w:firstLine="540"/>
        <w:jc w:val="both"/>
      </w:pPr>
    </w:p>
    <w:p w:rsidR="00212513" w:rsidRDefault="00212513">
      <w:pPr>
        <w:pStyle w:val="ConsPlusNormal"/>
        <w:jc w:val="center"/>
      </w:pPr>
      <w:r>
        <w:rPr>
          <w:noProof/>
          <w:position w:val="-27"/>
        </w:rPr>
        <w:drawing>
          <wp:inline distT="0" distB="0" distL="0" distR="0">
            <wp:extent cx="754380" cy="48450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754380" cy="484505"/>
                    </a:xfrm>
                    <a:prstGeom prst="rect">
                      <a:avLst/>
                    </a:prstGeom>
                    <a:noFill/>
                    <a:ln>
                      <a:noFill/>
                    </a:ln>
                  </pic:spPr>
                </pic:pic>
              </a:graphicData>
            </a:graphic>
          </wp:inline>
        </w:drawing>
      </w:r>
      <w:r>
        <w:t>, (5.2)</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8"/>
        </w:rPr>
        <w:drawing>
          <wp:inline distT="0" distB="0" distL="0" distR="0">
            <wp:extent cx="209550" cy="25146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сдвигающая сила, равная сумме проекций сдвигающих сил на направление возможного сдвига;</w:t>
      </w:r>
    </w:p>
    <w:p w:rsidR="00212513" w:rsidRDefault="00212513">
      <w:pPr>
        <w:pStyle w:val="ConsPlusNormal"/>
        <w:spacing w:before="220"/>
        <w:ind w:firstLine="540"/>
        <w:jc w:val="both"/>
      </w:pPr>
      <w:r>
        <w:rPr>
          <w:noProof/>
          <w:position w:val="-8"/>
        </w:rPr>
        <w:drawing>
          <wp:inline distT="0" distB="0" distL="0" distR="0">
            <wp:extent cx="209550" cy="25146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удерживающая сила, равная сумме проекций удерживающих сил на направление возможного сдвига;</w:t>
      </w:r>
    </w:p>
    <w:p w:rsidR="00212513" w:rsidRDefault="00212513">
      <w:pPr>
        <w:pStyle w:val="ConsPlusNormal"/>
        <w:spacing w:before="220"/>
        <w:ind w:firstLine="540"/>
        <w:jc w:val="both"/>
      </w:pPr>
      <w:r>
        <w:rPr>
          <w:i/>
        </w:rPr>
        <w:t>m</w:t>
      </w:r>
      <w:r>
        <w:t xml:space="preserve"> - коэффициент условий работы, принимаемый равным 0,9;</w:t>
      </w:r>
    </w:p>
    <w:p w:rsidR="00212513" w:rsidRDefault="00212513">
      <w:pPr>
        <w:pStyle w:val="ConsPlusNormal"/>
        <w:spacing w:before="220"/>
        <w:ind w:firstLine="540"/>
        <w:jc w:val="both"/>
      </w:pPr>
      <w:r>
        <w:rPr>
          <w:noProof/>
          <w:position w:val="-8"/>
        </w:rPr>
        <w:drawing>
          <wp:inline distT="0" distB="0" distL="0" distR="0">
            <wp:extent cx="189230" cy="25082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89230" cy="250825"/>
                    </a:xfrm>
                    <a:prstGeom prst="rect">
                      <a:avLst/>
                    </a:prstGeom>
                    <a:noFill/>
                    <a:ln>
                      <a:noFill/>
                    </a:ln>
                  </pic:spPr>
                </pic:pic>
              </a:graphicData>
            </a:graphic>
          </wp:inline>
        </w:drawing>
      </w:r>
      <w:r>
        <w:t xml:space="preserve"> - см. </w:t>
      </w:r>
      <w:hyperlink w:anchor="P443">
        <w:r>
          <w:rPr>
            <w:color w:val="0000FF"/>
          </w:rPr>
          <w:t>5.40</w:t>
        </w:r>
      </w:hyperlink>
      <w:r>
        <w:t>.</w:t>
      </w:r>
    </w:p>
    <w:p w:rsidR="00212513" w:rsidRDefault="00212513">
      <w:pPr>
        <w:pStyle w:val="ConsPlusNormal"/>
        <w:spacing w:before="220"/>
        <w:ind w:firstLine="540"/>
        <w:jc w:val="both"/>
      </w:pPr>
      <w:r>
        <w:t xml:space="preserve">Сдвигающие силы следует принимать с коэффициентами надежности по нагрузке, </w:t>
      </w:r>
      <w:r>
        <w:rPr>
          <w:noProof/>
          <w:position w:val="-3"/>
        </w:rPr>
        <w:drawing>
          <wp:inline distT="0" distB="0" distL="0" distR="0">
            <wp:extent cx="670560" cy="18796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70560" cy="187960"/>
                    </a:xfrm>
                    <a:prstGeom prst="rect">
                      <a:avLst/>
                    </a:prstGeom>
                    <a:noFill/>
                    <a:ln>
                      <a:noFill/>
                    </a:ln>
                  </pic:spPr>
                </pic:pic>
              </a:graphicData>
            </a:graphic>
          </wp:inline>
        </w:drawing>
      </w:r>
      <w:r>
        <w:t xml:space="preserve"> единицы, а удерживающие силы - с коэффициентами надежности по нагрузке, меньшими единицы.</w:t>
      </w:r>
    </w:p>
    <w:p w:rsidR="00212513" w:rsidRDefault="00212513">
      <w:pPr>
        <w:pStyle w:val="ConsPlusNormal"/>
        <w:spacing w:before="220"/>
        <w:ind w:firstLine="540"/>
        <w:jc w:val="both"/>
      </w:pPr>
      <w:r>
        <w:t>Примечания</w:t>
      </w:r>
    </w:p>
    <w:p w:rsidR="00212513" w:rsidRDefault="00212513">
      <w:pPr>
        <w:pStyle w:val="ConsPlusNormal"/>
        <w:spacing w:before="220"/>
        <w:ind w:firstLine="540"/>
        <w:jc w:val="both"/>
      </w:pPr>
      <w:r>
        <w:lastRenderedPageBreak/>
        <w:t>1 В качестве удерживающей горизонтальной силы, создаваемой грунтом, можно принимать силу, величина которой не превышает активного давления грунта.</w:t>
      </w:r>
    </w:p>
    <w:p w:rsidR="00212513" w:rsidRDefault="00212513">
      <w:pPr>
        <w:pStyle w:val="ConsPlusNormal"/>
        <w:spacing w:before="220"/>
        <w:ind w:firstLine="540"/>
        <w:jc w:val="both"/>
      </w:pPr>
      <w:r>
        <w:t xml:space="preserve">2 Силы трения в основании определяют по коэффициентам трения, указанным в </w:t>
      </w:r>
      <w:hyperlink w:anchor="P11048">
        <w:r>
          <w:rPr>
            <w:color w:val="0000FF"/>
          </w:rPr>
          <w:t>11.14</w:t>
        </w:r>
      </w:hyperlink>
      <w:r>
        <w:t>. Коэффициент трения бетонной кладки по кладке следует принимать равным 0,55.</w:t>
      </w:r>
    </w:p>
    <w:p w:rsidR="00212513" w:rsidRDefault="00212513">
      <w:pPr>
        <w:pStyle w:val="ConsPlusNormal"/>
        <w:ind w:firstLine="540"/>
        <w:jc w:val="both"/>
      </w:pPr>
    </w:p>
    <w:p w:rsidR="00212513" w:rsidRDefault="00212513">
      <w:pPr>
        <w:pStyle w:val="ConsPlusTitle"/>
        <w:ind w:firstLine="540"/>
        <w:jc w:val="both"/>
        <w:outlineLvl w:val="2"/>
      </w:pPr>
      <w:r>
        <w:t>Деформации, перемещения, продольный профиль конструкций</w:t>
      </w:r>
    </w:p>
    <w:p w:rsidR="00212513" w:rsidRDefault="00212513">
      <w:pPr>
        <w:pStyle w:val="ConsPlusNormal"/>
        <w:ind w:firstLine="540"/>
        <w:jc w:val="both"/>
      </w:pPr>
    </w:p>
    <w:p w:rsidR="00212513" w:rsidRDefault="00212513">
      <w:pPr>
        <w:pStyle w:val="ConsPlusNormal"/>
        <w:ind w:firstLine="540"/>
        <w:jc w:val="both"/>
      </w:pPr>
      <w:r>
        <w:t>5.42 Для мостов следует обеспечивать плавность движения транспортных средств путем ограничения упругих прогибов пролетных строений от подвижной временной вертикальной нагрузки и назначения для продольного профиля пути или проезжей части соответствующего очертания.</w:t>
      </w:r>
    </w:p>
    <w:p w:rsidR="00212513" w:rsidRDefault="00212513">
      <w:pPr>
        <w:pStyle w:val="ConsPlusNormal"/>
        <w:spacing w:before="220"/>
        <w:ind w:firstLine="540"/>
        <w:jc w:val="both"/>
      </w:pPr>
      <w:r>
        <w:t xml:space="preserve">5.43 Вертикальные упругие прогибы пролетных строений, вычисленные при действии подвижной временной вертикальной нагрузки (при </w:t>
      </w:r>
      <w:r>
        <w:rPr>
          <w:noProof/>
          <w:position w:val="-10"/>
        </w:rPr>
        <w:drawing>
          <wp:inline distT="0" distB="0" distL="0" distR="0">
            <wp:extent cx="441960" cy="27368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41960" cy="273685"/>
                    </a:xfrm>
                    <a:prstGeom prst="rect">
                      <a:avLst/>
                    </a:prstGeom>
                    <a:noFill/>
                    <a:ln>
                      <a:noFill/>
                    </a:ln>
                  </pic:spPr>
                </pic:pic>
              </a:graphicData>
            </a:graphic>
          </wp:inline>
        </w:drawing>
      </w:r>
      <w:r>
        <w:t xml:space="preserve"> и </w:t>
      </w:r>
      <w:r>
        <w:rPr>
          <w:noProof/>
          <w:position w:val="-3"/>
        </w:rPr>
        <w:drawing>
          <wp:inline distT="0" distB="0" distL="0" distR="0">
            <wp:extent cx="502285" cy="18796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02285" cy="187960"/>
                    </a:xfrm>
                    <a:prstGeom prst="rect">
                      <a:avLst/>
                    </a:prstGeom>
                    <a:noFill/>
                    <a:ln>
                      <a:noFill/>
                    </a:ln>
                  </pic:spPr>
                </pic:pic>
              </a:graphicData>
            </a:graphic>
          </wp:inline>
        </w:drawing>
      </w:r>
      <w:r>
        <w:t>), не должны превышать значений, м:</w:t>
      </w:r>
    </w:p>
    <w:p w:rsidR="00212513" w:rsidRDefault="00212513">
      <w:pPr>
        <w:pStyle w:val="ConsPlusNormal"/>
        <w:spacing w:before="220"/>
        <w:ind w:firstLine="540"/>
        <w:jc w:val="both"/>
      </w:pPr>
      <w:r>
        <w:t xml:space="preserve">для железнодорожных мостов, определяемых по формуле </w:t>
      </w:r>
      <w:r>
        <w:rPr>
          <w:noProof/>
          <w:position w:val="-20"/>
        </w:rPr>
        <w:drawing>
          <wp:inline distT="0" distB="0" distL="0" distR="0">
            <wp:extent cx="691515" cy="39878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91515" cy="398780"/>
                    </a:xfrm>
                    <a:prstGeom prst="rect">
                      <a:avLst/>
                    </a:prstGeom>
                    <a:noFill/>
                    <a:ln>
                      <a:noFill/>
                    </a:ln>
                  </pic:spPr>
                </pic:pic>
              </a:graphicData>
            </a:graphic>
          </wp:inline>
        </w:drawing>
      </w:r>
      <w:r>
        <w:t xml:space="preserve">, но не более </w:t>
      </w:r>
      <w:r>
        <w:rPr>
          <w:noProof/>
          <w:position w:val="-17"/>
        </w:rPr>
        <w:drawing>
          <wp:inline distT="0" distB="0" distL="0" distR="0">
            <wp:extent cx="356235" cy="35623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для городских и автодорожных мостов (включая мосты на внутрихозяйственных дорогах и дорогах промышленных предприятий), а также для пешеходных мостов с балочными пролетными строениями - </w:t>
      </w:r>
      <w:r>
        <w:rPr>
          <w:noProof/>
          <w:position w:val="-17"/>
        </w:rPr>
        <w:drawing>
          <wp:inline distT="0" distB="0" distL="0" distR="0">
            <wp:extent cx="356235" cy="35623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inline>
        </w:drawing>
      </w:r>
      <w:r>
        <w:t xml:space="preserve">, где </w:t>
      </w:r>
      <w:r>
        <w:rPr>
          <w:i/>
        </w:rPr>
        <w:t>l</w:t>
      </w:r>
      <w:r>
        <w:t xml:space="preserve"> - расчетная длина пролета, м.</w:t>
      </w:r>
    </w:p>
    <w:p w:rsidR="00212513" w:rsidRDefault="00212513">
      <w:pPr>
        <w:pStyle w:val="ConsPlusNormal"/>
        <w:spacing w:before="220"/>
        <w:ind w:firstLine="540"/>
        <w:jc w:val="both"/>
      </w:pPr>
      <w:r>
        <w:t>Указанные значения прогибов допускается увеличивать для балочных деревянных пролетных строений мостов (кроме пешеходных) на 50%.</w:t>
      </w:r>
    </w:p>
    <w:p w:rsidR="00212513" w:rsidRDefault="00212513">
      <w:pPr>
        <w:pStyle w:val="ConsPlusNormal"/>
        <w:spacing w:before="220"/>
        <w:ind w:firstLine="540"/>
        <w:jc w:val="both"/>
      </w:pPr>
      <w:r>
        <w:t>5.44 Необходимое очертание рельсовому пути и покрытию проезжей части на пролетных строениях мостов следует придавать за счет: строительного подъема пролетных строений; изменения толщины балластного слоя; рабочей высоты мостовых брусьев или высоты прокладного слоя плит безбалластного мостового полотна для железнодорожных мостов; изменения толщины выравнивающего слоя, цементобетонного защитного слоя или нижнего слоя покрытия проезжей части.</w:t>
      </w:r>
    </w:p>
    <w:p w:rsidR="00212513" w:rsidRDefault="00212513">
      <w:pPr>
        <w:pStyle w:val="ConsPlusNormal"/>
        <w:jc w:val="both"/>
      </w:pPr>
      <w:r>
        <w:t xml:space="preserve">(в ред. </w:t>
      </w:r>
      <w:hyperlink r:id="rId142">
        <w:r>
          <w:rPr>
            <w:color w:val="0000FF"/>
          </w:rPr>
          <w:t>Изменения N 3</w:t>
        </w:r>
      </w:hyperlink>
      <w:r>
        <w:t xml:space="preserve">, утв. Приказом Минстроя России от 29.12.2020 N 891/пр, </w:t>
      </w:r>
      <w:hyperlink r:id="rId143">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 xml:space="preserve">Строительный подъем балочных пролетных строений и пролетных строений металлических ферм с ездой поверху и понизу железнодорожных мостов, а также стальных, сталежелезобетонных и деревянных балочных пролетных строений автодорожных и городских мостов рекомендуется предусматривать по плавной кривой, стрела которой после учета деформаций от постоянной нагрузки с учетом требований </w:t>
      </w:r>
      <w:hyperlink w:anchor="P495">
        <w:r>
          <w:rPr>
            <w:color w:val="0000FF"/>
          </w:rPr>
          <w:t>5.45</w:t>
        </w:r>
      </w:hyperlink>
      <w:r>
        <w:t xml:space="preserve"> равна не менее 40% упругого прогиба пролетного строения от подвижной временной вертикальной нагрузки (при </w:t>
      </w:r>
      <w:r>
        <w:rPr>
          <w:noProof/>
          <w:position w:val="-10"/>
        </w:rPr>
        <w:drawing>
          <wp:inline distT="0" distB="0" distL="0" distR="0">
            <wp:extent cx="441960" cy="27368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41960" cy="273685"/>
                    </a:xfrm>
                    <a:prstGeom prst="rect">
                      <a:avLst/>
                    </a:prstGeom>
                    <a:noFill/>
                    <a:ln>
                      <a:noFill/>
                    </a:ln>
                  </pic:spPr>
                </pic:pic>
              </a:graphicData>
            </a:graphic>
          </wp:inline>
        </w:drawing>
      </w:r>
      <w:r>
        <w:t xml:space="preserve"> и </w:t>
      </w:r>
      <w:r>
        <w:rPr>
          <w:noProof/>
          <w:position w:val="-3"/>
        </w:rPr>
        <w:drawing>
          <wp:inline distT="0" distB="0" distL="0" distR="0">
            <wp:extent cx="502285" cy="18796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02285" cy="187960"/>
                    </a:xfrm>
                    <a:prstGeom prst="rect">
                      <a:avLst/>
                    </a:prstGeom>
                    <a:noFill/>
                    <a:ln>
                      <a:noFill/>
                    </a:ln>
                  </pic:spPr>
                </pic:pic>
              </a:graphicData>
            </a:graphic>
          </wp:inline>
        </w:drawing>
      </w:r>
      <w:r>
        <w:t>).</w:t>
      </w:r>
    </w:p>
    <w:p w:rsidR="00212513" w:rsidRDefault="00212513">
      <w:pPr>
        <w:pStyle w:val="ConsPlusNormal"/>
        <w:jc w:val="both"/>
      </w:pPr>
      <w:r>
        <w:t xml:space="preserve">(в ред. </w:t>
      </w:r>
      <w:hyperlink r:id="rId144">
        <w:r>
          <w:rPr>
            <w:color w:val="0000FF"/>
          </w:rPr>
          <w:t>Изменения N 3</w:t>
        </w:r>
      </w:hyperlink>
      <w:r>
        <w:t xml:space="preserve">, утв. Приказом Минстроя России от 29.12.2020 N 891/пр, </w:t>
      </w:r>
      <w:hyperlink r:id="rId145">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 xml:space="preserve">Назначение строительного подъема для сталежелезобетонных конструкций необходимо выполнять с учетом требований </w:t>
      </w:r>
      <w:hyperlink w:anchor="P10049">
        <w:r>
          <w:rPr>
            <w:color w:val="0000FF"/>
          </w:rPr>
          <w:t>9.35</w:t>
        </w:r>
      </w:hyperlink>
      <w:r>
        <w:t>.</w:t>
      </w:r>
    </w:p>
    <w:p w:rsidR="00212513" w:rsidRDefault="00212513">
      <w:pPr>
        <w:pStyle w:val="ConsPlusNormal"/>
        <w:jc w:val="both"/>
      </w:pPr>
      <w:r>
        <w:t xml:space="preserve">(абзац введен </w:t>
      </w:r>
      <w:hyperlink r:id="rId146">
        <w:r>
          <w:rPr>
            <w:color w:val="0000FF"/>
          </w:rPr>
          <w:t>Изменением N 4</w:t>
        </w:r>
      </w:hyperlink>
      <w:r>
        <w:t>, утв. Приказом Минстроя России от 30.05.2024 N 361/пр)</w:t>
      </w:r>
    </w:p>
    <w:p w:rsidR="00212513" w:rsidRDefault="00212513">
      <w:pPr>
        <w:pStyle w:val="ConsPlusNormal"/>
        <w:spacing w:before="220"/>
        <w:ind w:firstLine="540"/>
        <w:jc w:val="both"/>
      </w:pPr>
      <w:r>
        <w:t xml:space="preserve">Пролетным строениям пешеходных мостов следует задавать строительный подъем, компенсирующий вертикальные деформации пролетного строения от постоянной нагрузки. </w:t>
      </w:r>
      <w:r>
        <w:lastRenderedPageBreak/>
        <w:t xml:space="preserve">Коэффициент надежности по нагрузке </w:t>
      </w:r>
      <w:r>
        <w:rPr>
          <w:noProof/>
          <w:position w:val="-10"/>
        </w:rPr>
        <w:drawing>
          <wp:inline distT="0" distB="0" distL="0" distR="0">
            <wp:extent cx="199390" cy="27368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9390" cy="273685"/>
                    </a:xfrm>
                    <a:prstGeom prst="rect">
                      <a:avLst/>
                    </a:prstGeom>
                    <a:noFill/>
                    <a:ln>
                      <a:noFill/>
                    </a:ln>
                  </pic:spPr>
                </pic:pic>
              </a:graphicData>
            </a:graphic>
          </wp:inline>
        </w:drawing>
      </w:r>
      <w:r>
        <w:t xml:space="preserve"> принимают при этом равным единице. Для конструкций с применением полимерных композитов в качестве несущих при поэтапном (стадийном) возведении величина строительного подъема должна быть не менее 0,1% длины пролета.</w:t>
      </w:r>
    </w:p>
    <w:p w:rsidR="00212513" w:rsidRDefault="00212513">
      <w:pPr>
        <w:pStyle w:val="ConsPlusNormal"/>
        <w:jc w:val="both"/>
      </w:pPr>
      <w:r>
        <w:t xml:space="preserve">(в ред. </w:t>
      </w:r>
      <w:hyperlink r:id="rId148">
        <w:r>
          <w:rPr>
            <w:color w:val="0000FF"/>
          </w:rPr>
          <w:t>Изменения N 2</w:t>
        </w:r>
      </w:hyperlink>
      <w:r>
        <w:t xml:space="preserve">, утв. Приказом Минстроя России от 11.11.2019 N 681/пр, </w:t>
      </w:r>
      <w:hyperlink r:id="rId149">
        <w:r>
          <w:rPr>
            <w:color w:val="0000FF"/>
          </w:rPr>
          <w:t>Изменения N 3</w:t>
        </w:r>
      </w:hyperlink>
      <w:r>
        <w:t xml:space="preserve">, утв. Приказом Минстроя России от 29.12.2020 N 891/пр, </w:t>
      </w:r>
      <w:hyperlink r:id="rId150">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Примечание - Строительный подъем допускается не предусматривать для пешеходных деревянных пролетных строений, а также пролетных строений, прогиб которых от постоянной и подвижной временной вертикальной нагрузок не превышает 1/1600 величины пролета (но не более 1,5 см в железнодорожных мостах с ездой на поперечинах), а также для деревянных мостов с прогонами.</w:t>
      </w:r>
    </w:p>
    <w:p w:rsidR="00212513" w:rsidRDefault="00212513">
      <w:pPr>
        <w:pStyle w:val="ConsPlusNormal"/>
        <w:jc w:val="both"/>
      </w:pPr>
      <w:r>
        <w:t xml:space="preserve">(в ред. </w:t>
      </w:r>
      <w:hyperlink r:id="rId151">
        <w:r>
          <w:rPr>
            <w:color w:val="0000FF"/>
          </w:rPr>
          <w:t>Изменения N 3</w:t>
        </w:r>
      </w:hyperlink>
      <w:r>
        <w:t>, утв. Приказом Минстроя России от 29.12.2020 N 891/пр)</w:t>
      </w:r>
    </w:p>
    <w:p w:rsidR="00212513" w:rsidRDefault="00212513">
      <w:pPr>
        <w:pStyle w:val="ConsPlusNormal"/>
        <w:ind w:firstLine="540"/>
        <w:jc w:val="both"/>
      </w:pPr>
    </w:p>
    <w:p w:rsidR="00212513" w:rsidRDefault="00212513">
      <w:pPr>
        <w:pStyle w:val="ConsPlusNormal"/>
        <w:ind w:firstLine="540"/>
        <w:jc w:val="both"/>
      </w:pPr>
      <w:bookmarkStart w:id="19" w:name="P495"/>
      <w:bookmarkEnd w:id="19"/>
      <w:r>
        <w:t>5.45 Очертание профиля покрытия (с учетом строительного подъема) железобетонных пролетных строений автодорожных и городских мостов следует предусматривать такими, чтобы после проявления деформаций от ползучести и усадки бетона (но не позднее двух лет с момента действия полной постоянной нагрузки) алгебраическая разность сопрягаемых уклонов продольного профиля по осям полос движения в местах сопряжения пролетных строений между собой и с подходами не превышала:</w:t>
      </w:r>
    </w:p>
    <w:p w:rsidR="00212513" w:rsidRDefault="00212513">
      <w:pPr>
        <w:pStyle w:val="ConsPlusNormal"/>
        <w:jc w:val="both"/>
      </w:pPr>
      <w:r>
        <w:t xml:space="preserve">(в ред. </w:t>
      </w:r>
      <w:hyperlink r:id="rId152">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t xml:space="preserve">при отсутствии на мосту подвижной временной вертикальной нагрузки - значений, приведенных в </w:t>
      </w:r>
      <w:hyperlink w:anchor="P505">
        <w:r>
          <w:rPr>
            <w:color w:val="0000FF"/>
          </w:rPr>
          <w:t>таблице 5.4</w:t>
        </w:r>
      </w:hyperlink>
      <w:r>
        <w:t>;</w:t>
      </w:r>
    </w:p>
    <w:p w:rsidR="00212513" w:rsidRDefault="00212513">
      <w:pPr>
        <w:pStyle w:val="ConsPlusNormal"/>
        <w:spacing w:before="220"/>
        <w:ind w:firstLine="540"/>
        <w:jc w:val="both"/>
      </w:pPr>
      <w:r>
        <w:t>при загружении моста подвижной временной вертикальной нагрузкой по осям полос движения - 24</w:t>
      </w:r>
      <w:r>
        <w:rPr>
          <w:noProof/>
          <w:position w:val="-3"/>
        </w:rPr>
        <w:drawing>
          <wp:inline distT="0" distB="0" distL="0" distR="0">
            <wp:extent cx="230505" cy="18923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30505" cy="189230"/>
                    </a:xfrm>
                    <a:prstGeom prst="rect">
                      <a:avLst/>
                    </a:prstGeom>
                    <a:noFill/>
                    <a:ln>
                      <a:noFill/>
                    </a:ln>
                  </pic:spPr>
                </pic:pic>
              </a:graphicData>
            </a:graphic>
          </wp:inline>
        </w:drawing>
      </w:r>
      <w:r>
        <w:t xml:space="preserve"> для нагрузок АК и НК.</w:t>
      </w:r>
    </w:p>
    <w:p w:rsidR="00212513" w:rsidRDefault="00212513">
      <w:pPr>
        <w:pStyle w:val="ConsPlusNormal"/>
        <w:spacing w:before="220"/>
        <w:ind w:firstLine="540"/>
        <w:jc w:val="both"/>
      </w:pPr>
      <w:r>
        <w:t>Проектная и рабочая документация на неразрезное сталежелезобетонное пролетное строение должны содержать информацию, обеспечивающую контроль монтажа пролетного строения и процесс бетонирования плиты проезжей части.</w:t>
      </w:r>
    </w:p>
    <w:p w:rsidR="00212513" w:rsidRDefault="00212513">
      <w:pPr>
        <w:pStyle w:val="ConsPlusNormal"/>
        <w:jc w:val="both"/>
      </w:pPr>
      <w:r>
        <w:t xml:space="preserve">(в ред. </w:t>
      </w:r>
      <w:hyperlink r:id="rId154">
        <w:r>
          <w:rPr>
            <w:color w:val="0000FF"/>
          </w:rPr>
          <w:t>Изменения N 3</w:t>
        </w:r>
      </w:hyperlink>
      <w:r>
        <w:t xml:space="preserve">, утв. Приказом Минстроя России от 29.12.2020 N 891/пр, </w:t>
      </w:r>
      <w:hyperlink r:id="rId155">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Примечания</w:t>
      </w:r>
    </w:p>
    <w:p w:rsidR="00212513" w:rsidRDefault="00212513">
      <w:pPr>
        <w:pStyle w:val="ConsPlusNormal"/>
        <w:spacing w:before="220"/>
        <w:ind w:firstLine="540"/>
        <w:jc w:val="both"/>
      </w:pPr>
      <w:r>
        <w:t xml:space="preserve">1 До проявления длительных деформаций алгебраическая разность сопрягаемых уклонов продольного профиля при отсутствии на мосту подвижной временной вертикальной нагрузки может превышать значения, приведенные в </w:t>
      </w:r>
      <w:hyperlink w:anchor="P505">
        <w:r>
          <w:rPr>
            <w:color w:val="0000FF"/>
          </w:rPr>
          <w:t>таблице 5.4</w:t>
        </w:r>
      </w:hyperlink>
      <w:r>
        <w:t>, не более чем в 2 раза.</w:t>
      </w:r>
    </w:p>
    <w:p w:rsidR="00212513" w:rsidRDefault="00212513">
      <w:pPr>
        <w:pStyle w:val="ConsPlusNormal"/>
        <w:spacing w:before="220"/>
        <w:ind w:firstLine="540"/>
        <w:jc w:val="both"/>
      </w:pPr>
      <w:r>
        <w:t>2 В случаях применения для винтовых и висячих пролетных строений витых канатов необходимо при задании строительного подъема и очертания профиля проезда учитывать возможность деформации ползучести канатов.</w:t>
      </w:r>
    </w:p>
    <w:p w:rsidR="00212513" w:rsidRDefault="00212513">
      <w:pPr>
        <w:pStyle w:val="ConsPlusNormal"/>
        <w:ind w:firstLine="540"/>
        <w:jc w:val="both"/>
      </w:pPr>
    </w:p>
    <w:p w:rsidR="00212513" w:rsidRDefault="00212513">
      <w:pPr>
        <w:pStyle w:val="ConsPlusNormal"/>
        <w:jc w:val="right"/>
      </w:pPr>
      <w:bookmarkStart w:id="20" w:name="P505"/>
      <w:bookmarkEnd w:id="20"/>
      <w:r>
        <w:t>Таблица 5.4</w:t>
      </w:r>
    </w:p>
    <w:p w:rsidR="00212513" w:rsidRDefault="00212513">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56"/>
        <w:gridCol w:w="3515"/>
      </w:tblGrid>
      <w:tr w:rsidR="00212513">
        <w:tc>
          <w:tcPr>
            <w:tcW w:w="5556" w:type="dxa"/>
            <w:tcBorders>
              <w:top w:val="single" w:sz="4" w:space="0" w:color="auto"/>
              <w:bottom w:val="single" w:sz="4" w:space="0" w:color="auto"/>
            </w:tcBorders>
            <w:vAlign w:val="center"/>
          </w:tcPr>
          <w:p w:rsidR="00212513" w:rsidRDefault="00212513">
            <w:pPr>
              <w:pStyle w:val="ConsPlusNormal"/>
              <w:jc w:val="center"/>
            </w:pPr>
            <w:r>
              <w:t xml:space="preserve">Расчетные скорости движения одиночных легковых автомобилей на участках дороги, примыкающих к мосту (в соответствии с требованиями </w:t>
            </w:r>
            <w:hyperlink r:id="rId156">
              <w:r>
                <w:rPr>
                  <w:color w:val="0000FF"/>
                </w:rPr>
                <w:t>СП 34.13330</w:t>
              </w:r>
            </w:hyperlink>
            <w:r>
              <w:t xml:space="preserve">, </w:t>
            </w:r>
            <w:hyperlink r:id="rId157">
              <w:r>
                <w:rPr>
                  <w:color w:val="0000FF"/>
                </w:rPr>
                <w:t>СП 99.13330</w:t>
              </w:r>
            </w:hyperlink>
            <w:r>
              <w:t>), км/ч</w:t>
            </w:r>
          </w:p>
        </w:tc>
        <w:tc>
          <w:tcPr>
            <w:tcW w:w="3515" w:type="dxa"/>
            <w:tcBorders>
              <w:top w:val="single" w:sz="4" w:space="0" w:color="auto"/>
              <w:bottom w:val="single" w:sz="4" w:space="0" w:color="auto"/>
            </w:tcBorders>
            <w:vAlign w:val="center"/>
          </w:tcPr>
          <w:p w:rsidR="00212513" w:rsidRDefault="00212513">
            <w:pPr>
              <w:pStyle w:val="ConsPlusNormal"/>
              <w:jc w:val="center"/>
            </w:pPr>
            <w:r>
              <w:t>Алгебраическая разность сопрягаемых уклонов продольного профиля, </w:t>
            </w:r>
            <w:r>
              <w:rPr>
                <w:noProof/>
                <w:position w:val="-4"/>
              </w:rPr>
              <w:drawing>
                <wp:inline distT="0" distB="0" distL="0" distR="0">
                  <wp:extent cx="220345" cy="19939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p>
        </w:tc>
      </w:tr>
      <w:tr w:rsidR="00212513">
        <w:tblPrEx>
          <w:tblBorders>
            <w:insideH w:val="none" w:sz="0" w:space="0" w:color="auto"/>
          </w:tblBorders>
        </w:tblPrEx>
        <w:tc>
          <w:tcPr>
            <w:tcW w:w="5556" w:type="dxa"/>
            <w:tcBorders>
              <w:top w:val="single" w:sz="4" w:space="0" w:color="auto"/>
              <w:bottom w:val="nil"/>
            </w:tcBorders>
          </w:tcPr>
          <w:p w:rsidR="00212513" w:rsidRDefault="00212513">
            <w:pPr>
              <w:pStyle w:val="ConsPlusNormal"/>
              <w:jc w:val="center"/>
            </w:pPr>
            <w:r>
              <w:t>150 - 100</w:t>
            </w:r>
          </w:p>
        </w:tc>
        <w:tc>
          <w:tcPr>
            <w:tcW w:w="3515" w:type="dxa"/>
            <w:tcBorders>
              <w:top w:val="single" w:sz="4" w:space="0" w:color="auto"/>
              <w:bottom w:val="nil"/>
            </w:tcBorders>
          </w:tcPr>
          <w:p w:rsidR="00212513" w:rsidRDefault="00212513">
            <w:pPr>
              <w:pStyle w:val="ConsPlusNormal"/>
              <w:jc w:val="center"/>
            </w:pPr>
            <w:r>
              <w:t>8</w:t>
            </w:r>
          </w:p>
        </w:tc>
      </w:tr>
      <w:tr w:rsidR="00212513">
        <w:tblPrEx>
          <w:tblBorders>
            <w:insideH w:val="none" w:sz="0" w:space="0" w:color="auto"/>
          </w:tblBorders>
        </w:tblPrEx>
        <w:tc>
          <w:tcPr>
            <w:tcW w:w="5556" w:type="dxa"/>
            <w:tcBorders>
              <w:top w:val="nil"/>
              <w:bottom w:val="nil"/>
            </w:tcBorders>
          </w:tcPr>
          <w:p w:rsidR="00212513" w:rsidRDefault="00212513">
            <w:pPr>
              <w:pStyle w:val="ConsPlusNormal"/>
              <w:jc w:val="center"/>
            </w:pPr>
            <w:r>
              <w:lastRenderedPageBreak/>
              <w:t>80</w:t>
            </w:r>
          </w:p>
        </w:tc>
        <w:tc>
          <w:tcPr>
            <w:tcW w:w="3515" w:type="dxa"/>
            <w:tcBorders>
              <w:top w:val="nil"/>
              <w:bottom w:val="nil"/>
            </w:tcBorders>
          </w:tcPr>
          <w:p w:rsidR="00212513" w:rsidRDefault="00212513">
            <w:pPr>
              <w:pStyle w:val="ConsPlusNormal"/>
              <w:jc w:val="center"/>
            </w:pPr>
            <w:r>
              <w:t>9</w:t>
            </w:r>
          </w:p>
        </w:tc>
      </w:tr>
      <w:tr w:rsidR="00212513">
        <w:tblPrEx>
          <w:tblBorders>
            <w:insideH w:val="none" w:sz="0" w:space="0" w:color="auto"/>
          </w:tblBorders>
        </w:tblPrEx>
        <w:tc>
          <w:tcPr>
            <w:tcW w:w="5556" w:type="dxa"/>
            <w:tcBorders>
              <w:top w:val="nil"/>
              <w:bottom w:val="nil"/>
            </w:tcBorders>
          </w:tcPr>
          <w:p w:rsidR="00212513" w:rsidRDefault="00212513">
            <w:pPr>
              <w:pStyle w:val="ConsPlusNormal"/>
              <w:jc w:val="center"/>
            </w:pPr>
            <w:r>
              <w:t>70</w:t>
            </w:r>
          </w:p>
        </w:tc>
        <w:tc>
          <w:tcPr>
            <w:tcW w:w="3515" w:type="dxa"/>
            <w:tcBorders>
              <w:top w:val="nil"/>
              <w:bottom w:val="nil"/>
            </w:tcBorders>
          </w:tcPr>
          <w:p w:rsidR="00212513" w:rsidRDefault="00212513">
            <w:pPr>
              <w:pStyle w:val="ConsPlusNormal"/>
              <w:jc w:val="center"/>
            </w:pPr>
            <w:r>
              <w:t>11</w:t>
            </w:r>
          </w:p>
        </w:tc>
      </w:tr>
      <w:tr w:rsidR="00212513">
        <w:tblPrEx>
          <w:tblBorders>
            <w:insideH w:val="none" w:sz="0" w:space="0" w:color="auto"/>
          </w:tblBorders>
        </w:tblPrEx>
        <w:tc>
          <w:tcPr>
            <w:tcW w:w="5556" w:type="dxa"/>
            <w:tcBorders>
              <w:top w:val="nil"/>
              <w:bottom w:val="nil"/>
            </w:tcBorders>
          </w:tcPr>
          <w:p w:rsidR="00212513" w:rsidRDefault="00212513">
            <w:pPr>
              <w:pStyle w:val="ConsPlusNormal"/>
              <w:jc w:val="center"/>
            </w:pPr>
            <w:r>
              <w:t>60</w:t>
            </w:r>
          </w:p>
        </w:tc>
        <w:tc>
          <w:tcPr>
            <w:tcW w:w="3515" w:type="dxa"/>
            <w:tcBorders>
              <w:top w:val="nil"/>
              <w:bottom w:val="nil"/>
            </w:tcBorders>
          </w:tcPr>
          <w:p w:rsidR="00212513" w:rsidRDefault="00212513">
            <w:pPr>
              <w:pStyle w:val="ConsPlusNormal"/>
              <w:jc w:val="center"/>
            </w:pPr>
            <w:r>
              <w:t>13</w:t>
            </w:r>
          </w:p>
        </w:tc>
      </w:tr>
      <w:tr w:rsidR="00212513">
        <w:tblPrEx>
          <w:tblBorders>
            <w:insideH w:val="none" w:sz="0" w:space="0" w:color="auto"/>
          </w:tblBorders>
        </w:tblPrEx>
        <w:tc>
          <w:tcPr>
            <w:tcW w:w="5556" w:type="dxa"/>
            <w:tcBorders>
              <w:top w:val="nil"/>
              <w:bottom w:val="single" w:sz="4" w:space="0" w:color="auto"/>
            </w:tcBorders>
          </w:tcPr>
          <w:p w:rsidR="00212513" w:rsidRDefault="00212513">
            <w:pPr>
              <w:pStyle w:val="ConsPlusNormal"/>
              <w:jc w:val="center"/>
            </w:pPr>
            <w:r>
              <w:t>40</w:t>
            </w:r>
          </w:p>
        </w:tc>
        <w:tc>
          <w:tcPr>
            <w:tcW w:w="3515" w:type="dxa"/>
            <w:tcBorders>
              <w:top w:val="nil"/>
              <w:bottom w:val="single" w:sz="4" w:space="0" w:color="auto"/>
            </w:tcBorders>
          </w:tcPr>
          <w:p w:rsidR="00212513" w:rsidRDefault="00212513">
            <w:pPr>
              <w:pStyle w:val="ConsPlusNormal"/>
              <w:jc w:val="center"/>
            </w:pPr>
            <w:r>
              <w:t>17</w:t>
            </w:r>
          </w:p>
        </w:tc>
      </w:tr>
      <w:tr w:rsidR="00212513">
        <w:tc>
          <w:tcPr>
            <w:tcW w:w="9071" w:type="dxa"/>
            <w:gridSpan w:val="2"/>
            <w:tcBorders>
              <w:top w:val="single" w:sz="4" w:space="0" w:color="auto"/>
              <w:bottom w:val="single" w:sz="4" w:space="0" w:color="auto"/>
            </w:tcBorders>
          </w:tcPr>
          <w:p w:rsidR="00212513" w:rsidRDefault="00212513">
            <w:pPr>
              <w:pStyle w:val="ConsPlusNormal"/>
              <w:ind w:firstLine="283"/>
              <w:jc w:val="both"/>
            </w:pPr>
            <w:r>
              <w:t>Примечания</w:t>
            </w:r>
          </w:p>
          <w:p w:rsidR="00212513" w:rsidRDefault="00212513">
            <w:pPr>
              <w:pStyle w:val="ConsPlusNormal"/>
              <w:ind w:firstLine="283"/>
              <w:jc w:val="both"/>
            </w:pPr>
            <w:r>
              <w:t>1 Если расстояния между местами сопряжения пролетных строений между собой или с подходами превышают 50 м, предельные значения алгебраической разности сопрягаемых уклонов продольного профиля могут быть увеличены в 1,2 раза.</w:t>
            </w:r>
          </w:p>
          <w:p w:rsidR="00212513" w:rsidRDefault="00212513">
            <w:pPr>
              <w:pStyle w:val="ConsPlusNormal"/>
              <w:ind w:firstLine="283"/>
              <w:jc w:val="both"/>
            </w:pPr>
            <w:r>
              <w:t>2 В температурно-неразрезных пролетных строениях, объединенных по плите проезжей части, алгебраическую разность сопрягаемых уклонов продольного профиля следует определять без учета влияния соединительной плиты.</w:t>
            </w:r>
          </w:p>
        </w:tc>
      </w:tr>
    </w:tbl>
    <w:p w:rsidR="00212513" w:rsidRDefault="00212513">
      <w:pPr>
        <w:pStyle w:val="ConsPlusNormal"/>
        <w:ind w:firstLine="540"/>
        <w:jc w:val="both"/>
      </w:pPr>
    </w:p>
    <w:p w:rsidR="00212513" w:rsidRDefault="00212513">
      <w:pPr>
        <w:pStyle w:val="ConsPlusNormal"/>
        <w:jc w:val="both"/>
      </w:pPr>
      <w:r>
        <w:t xml:space="preserve">(в ред. </w:t>
      </w:r>
      <w:hyperlink r:id="rId159">
        <w:r>
          <w:rPr>
            <w:color w:val="0000FF"/>
          </w:rPr>
          <w:t>Изменения N 1</w:t>
        </w:r>
      </w:hyperlink>
      <w:r>
        <w:t>, утв. Приказом Минстроя России от 03.12.2016 N 879/пр)</w:t>
      </w:r>
    </w:p>
    <w:p w:rsidR="00212513" w:rsidRDefault="00212513">
      <w:pPr>
        <w:pStyle w:val="ConsPlusNormal"/>
        <w:ind w:firstLine="540"/>
        <w:jc w:val="both"/>
      </w:pPr>
    </w:p>
    <w:p w:rsidR="00212513" w:rsidRDefault="00212513">
      <w:pPr>
        <w:pStyle w:val="ConsPlusNormal"/>
        <w:ind w:firstLine="540"/>
        <w:jc w:val="both"/>
      </w:pPr>
      <w:r>
        <w:t>5.46 Для пролетных строений внешне статически неопределимых систем в расчетах следует учитывать возможные перемещения верха опор и их осадки.</w:t>
      </w:r>
    </w:p>
    <w:p w:rsidR="00212513" w:rsidRDefault="00212513">
      <w:pPr>
        <w:pStyle w:val="ConsPlusNormal"/>
        <w:spacing w:before="220"/>
        <w:ind w:firstLine="540"/>
        <w:jc w:val="both"/>
      </w:pPr>
      <w:r>
        <w:t>Горизонтальные и вертикальные перемещения верха опор следует также учитывать при назначении конструкций опорных частей и деформационных швов, размеров подферменных площадок, оголовков опор, ригелей.</w:t>
      </w:r>
    </w:p>
    <w:p w:rsidR="00212513" w:rsidRDefault="00212513">
      <w:pPr>
        <w:pStyle w:val="ConsPlusNormal"/>
        <w:spacing w:before="220"/>
        <w:ind w:firstLine="540"/>
        <w:jc w:val="both"/>
      </w:pPr>
      <w:r>
        <w:t xml:space="preserve">Перемещения в подвижных опорных частях и деформационных швах определяют расчетами по второму предельному состоянию, за исключением случаев, когда предельные перемещения в опорных частях приводят к достижению предельного состояния первой группы. Опорные части и деформационные швы должны обеспечивать реализацию перемещений, не меньших определяемых расчетом по второй группе предельных состояний и умноженных на коэффициент надежности по нагрузке, равный </w:t>
      </w:r>
      <w:r>
        <w:rPr>
          <w:noProof/>
          <w:position w:val="-10"/>
        </w:rPr>
        <w:drawing>
          <wp:inline distT="0" distB="0" distL="0" distR="0">
            <wp:extent cx="567055" cy="27368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67055" cy="273685"/>
                    </a:xfrm>
                    <a:prstGeom prst="rect">
                      <a:avLst/>
                    </a:prstGeom>
                    <a:noFill/>
                    <a:ln>
                      <a:noFill/>
                    </a:ln>
                  </pic:spPr>
                </pic:pic>
              </a:graphicData>
            </a:graphic>
          </wp:inline>
        </w:drawing>
      </w:r>
      <w:r>
        <w:t>. При определении перемещений в опорных частях и деформационных швах особые сочетания нагрузок допускается не учитывать.</w:t>
      </w:r>
    </w:p>
    <w:p w:rsidR="00212513" w:rsidRDefault="00212513">
      <w:pPr>
        <w:pStyle w:val="ConsPlusNormal"/>
        <w:jc w:val="both"/>
      </w:pPr>
      <w:r>
        <w:t xml:space="preserve">(в ред. </w:t>
      </w:r>
      <w:hyperlink r:id="rId161">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 xml:space="preserve">5.47 Различные по величине осадки соседних опор не должны вызывать появления в продольном профиле дополнительных углов перелома, превышающих для мостов, </w:t>
      </w:r>
      <w:r>
        <w:rPr>
          <w:noProof/>
          <w:position w:val="-7"/>
        </w:rPr>
        <w:drawing>
          <wp:inline distT="0" distB="0" distL="0" distR="0">
            <wp:extent cx="230505" cy="23050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t>:</w:t>
      </w:r>
    </w:p>
    <w:p w:rsidR="00212513" w:rsidRDefault="00212513">
      <w:pPr>
        <w:pStyle w:val="ConsPlusNormal"/>
        <w:spacing w:before="220"/>
        <w:ind w:firstLine="540"/>
        <w:jc w:val="both"/>
      </w:pPr>
      <w:r>
        <w:t>автодорожных и городских - 2;</w:t>
      </w:r>
    </w:p>
    <w:p w:rsidR="00212513" w:rsidRDefault="00212513">
      <w:pPr>
        <w:pStyle w:val="ConsPlusNormal"/>
        <w:spacing w:before="220"/>
        <w:ind w:firstLine="540"/>
        <w:jc w:val="both"/>
      </w:pPr>
      <w:r>
        <w:t>железнодорожных - 1.</w:t>
      </w:r>
    </w:p>
    <w:p w:rsidR="00212513" w:rsidRDefault="00212513">
      <w:pPr>
        <w:pStyle w:val="ConsPlusNormal"/>
        <w:spacing w:before="220"/>
        <w:ind w:firstLine="540"/>
        <w:jc w:val="both"/>
      </w:pPr>
      <w:r>
        <w:t xml:space="preserve">Предельные продольные и поперечные смещения верха опор железнодорожных мостов с разрезными балочными пролетными строениями с учетом общего размыва русла не должны превышать значения </w:t>
      </w:r>
      <w:r>
        <w:rPr>
          <w:noProof/>
          <w:position w:val="-12"/>
        </w:rPr>
        <w:drawing>
          <wp:inline distT="0" distB="0" distL="0" distR="0">
            <wp:extent cx="502285" cy="29337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02285" cy="293370"/>
                    </a:xfrm>
                    <a:prstGeom prst="rect">
                      <a:avLst/>
                    </a:prstGeom>
                    <a:noFill/>
                    <a:ln>
                      <a:noFill/>
                    </a:ln>
                  </pic:spPr>
                </pic:pic>
              </a:graphicData>
            </a:graphic>
          </wp:inline>
        </w:drawing>
      </w:r>
      <w:r>
        <w:t xml:space="preserve">, см, где </w:t>
      </w:r>
      <w:r>
        <w:rPr>
          <w:noProof/>
          <w:position w:val="-8"/>
        </w:rPr>
        <w:drawing>
          <wp:inline distT="0" distB="0" distL="0" distR="0">
            <wp:extent cx="146685" cy="25082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46685" cy="250825"/>
                    </a:xfrm>
                    <a:prstGeom prst="rect">
                      <a:avLst/>
                    </a:prstGeom>
                    <a:noFill/>
                    <a:ln>
                      <a:noFill/>
                    </a:ln>
                  </pic:spPr>
                </pic:pic>
              </a:graphicData>
            </a:graphic>
          </wp:inline>
        </w:drawing>
      </w:r>
      <w:r>
        <w:t xml:space="preserve"> - длина меньшего примыкающего к опоре пролета, но не менее 25 м.</w:t>
      </w:r>
    </w:p>
    <w:p w:rsidR="00212513" w:rsidRDefault="00212513">
      <w:pPr>
        <w:pStyle w:val="ConsPlusNormal"/>
        <w:spacing w:before="220"/>
        <w:ind w:firstLine="540"/>
        <w:jc w:val="both"/>
      </w:pPr>
      <w:r>
        <w:t>5.48 Расчетный период собственных поперечных горизонтальных колебаний для балочных разрезных металлических и сталежелезобетонных пролетных строений железнодорожных мостов должен быть (в секундах) не более 0,01</w:t>
      </w:r>
      <w:r>
        <w:rPr>
          <w:i/>
        </w:rPr>
        <w:t>l</w:t>
      </w:r>
      <w:r>
        <w:t xml:space="preserve"> (</w:t>
      </w:r>
      <w:r>
        <w:rPr>
          <w:i/>
        </w:rPr>
        <w:t>l</w:t>
      </w:r>
      <w:r>
        <w:t xml:space="preserve"> - пролет, м) и не превышать 1,5 с.</w:t>
      </w:r>
    </w:p>
    <w:p w:rsidR="00212513" w:rsidRDefault="00212513">
      <w:pPr>
        <w:pStyle w:val="ConsPlusNormal"/>
        <w:spacing w:before="220"/>
        <w:ind w:firstLine="540"/>
        <w:jc w:val="both"/>
      </w:pPr>
      <w:r>
        <w:t>Для железнодорожных решетчатых пролетных строений с ездой на балласте допускается ограничивать период собственных колебаний величиной 0,013</w:t>
      </w:r>
      <w:r>
        <w:rPr>
          <w:i/>
        </w:rPr>
        <w:t>l</w:t>
      </w:r>
      <w:r>
        <w:t>, с.</w:t>
      </w:r>
    </w:p>
    <w:p w:rsidR="00212513" w:rsidRDefault="00212513">
      <w:pPr>
        <w:pStyle w:val="ConsPlusNormal"/>
        <w:jc w:val="both"/>
      </w:pPr>
      <w:r>
        <w:t xml:space="preserve">(в ред. </w:t>
      </w:r>
      <w:hyperlink r:id="rId165">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lastRenderedPageBreak/>
        <w:t>В пролетных строениях пешеходных мостов расчетные периоды собственных колебаний (в незагруженном состоянии) по двум низшим формам (в балочных разрезных системах - по одной низшей форме) не должны быть от 0,45 до 0,60 с - в вертикальной и от 0,9 до 1,2 с - в горизонтальной плоскостях.</w:t>
      </w:r>
    </w:p>
    <w:p w:rsidR="00212513" w:rsidRDefault="00212513">
      <w:pPr>
        <w:pStyle w:val="ConsPlusNormal"/>
        <w:spacing w:before="220"/>
        <w:ind w:firstLine="540"/>
        <w:jc w:val="both"/>
      </w:pPr>
      <w:r>
        <w:t>Для пролетных строений пешеходных мостов следует при этом учитывать возможность загружения их толпой, создающей нагрузку 0,50 кПа.</w:t>
      </w:r>
    </w:p>
    <w:p w:rsidR="00212513" w:rsidRDefault="00212513">
      <w:pPr>
        <w:pStyle w:val="ConsPlusNormal"/>
        <w:spacing w:before="220"/>
        <w:ind w:firstLine="540"/>
        <w:jc w:val="both"/>
      </w:pPr>
      <w:r>
        <w:t xml:space="preserve">На стадии монтажа пролетных строений для консолей, образующихся при навесной сборке или при продольной надвижке, периоды собственных поперечных колебаний в вертикальной и горизонтальной плоскостях не должны превышать 3,0 с, а период собственных крутильных колебаний при этом не должен быть более 2,0 с. Отступления от указанных требований могут быть допущены после проведения соответствующих расчетов или специальных аэродинамических исследований по оценке устойчивости и пространственной жесткости собираемых консолей. При этом необходимо соблюдать требования, содержащиеся в </w:t>
      </w:r>
      <w:hyperlink w:anchor="P1659">
        <w:r>
          <w:rPr>
            <w:color w:val="0000FF"/>
          </w:rPr>
          <w:t>6.24</w:t>
        </w:r>
      </w:hyperlink>
      <w:r>
        <w:t>, по расчету конструкций на воздействие ветра.</w:t>
      </w:r>
    </w:p>
    <w:p w:rsidR="00212513" w:rsidRDefault="00212513">
      <w:pPr>
        <w:pStyle w:val="ConsPlusNormal"/>
        <w:spacing w:before="220"/>
        <w:ind w:firstLine="540"/>
        <w:jc w:val="both"/>
      </w:pPr>
      <w:r>
        <w:t xml:space="preserve">Висячие и вантовые мосты, а также стальные балочные мосты следует проверять на аэродинамическую устойчивость и пространственную жесткость согласно рекомендациям </w:t>
      </w:r>
      <w:hyperlink w:anchor="P1659">
        <w:r>
          <w:rPr>
            <w:color w:val="0000FF"/>
          </w:rPr>
          <w:t>6.24</w:t>
        </w:r>
      </w:hyperlink>
      <w:r>
        <w:t>.</w:t>
      </w:r>
    </w:p>
    <w:p w:rsidR="00212513" w:rsidRDefault="00212513">
      <w:pPr>
        <w:pStyle w:val="ConsPlusNormal"/>
        <w:jc w:val="both"/>
      </w:pPr>
      <w:r>
        <w:t xml:space="preserve">(в ред. </w:t>
      </w:r>
      <w:hyperlink r:id="rId166">
        <w:r>
          <w:rPr>
            <w:color w:val="0000FF"/>
          </w:rPr>
          <w:t>Изменения N 3</w:t>
        </w:r>
      </w:hyperlink>
      <w:r>
        <w:t xml:space="preserve">, утв. Приказом Минстроя России от 29.12.2020 N 891/пр, </w:t>
      </w:r>
      <w:hyperlink r:id="rId167">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5.49 Строительный подъем труб при высоте насыпи свыше 12 м следует назначать в соответствии с расчетом ожидаемых осадок от веса грунта насыпи. При расчете осадок труб допускается использовать методику, применяемую при расчете осадок фундаментов.</w:t>
      </w:r>
    </w:p>
    <w:p w:rsidR="00212513" w:rsidRDefault="00212513">
      <w:pPr>
        <w:pStyle w:val="ConsPlusNormal"/>
        <w:spacing w:before="220"/>
        <w:ind w:firstLine="540"/>
        <w:jc w:val="both"/>
      </w:pPr>
      <w:r>
        <w:t>Трубы под насыпями высотой 12 м и менее следует укладывать со строительным подъемом (по лотку), равным:</w:t>
      </w:r>
    </w:p>
    <w:p w:rsidR="00212513" w:rsidRDefault="00212513">
      <w:pPr>
        <w:pStyle w:val="ConsPlusNormal"/>
        <w:spacing w:before="220"/>
        <w:ind w:firstLine="540"/>
        <w:jc w:val="both"/>
      </w:pPr>
      <w:r>
        <w:t>1/80</w:t>
      </w:r>
      <w:r>
        <w:rPr>
          <w:i/>
        </w:rPr>
        <w:t>h</w:t>
      </w:r>
      <w:r>
        <w:t xml:space="preserve"> - при фундаментах на песчаных, галечниковых и гравелистых грунтах основания;</w:t>
      </w:r>
    </w:p>
    <w:p w:rsidR="00212513" w:rsidRDefault="00212513">
      <w:pPr>
        <w:pStyle w:val="ConsPlusNormal"/>
        <w:spacing w:before="220"/>
        <w:ind w:firstLine="540"/>
        <w:jc w:val="both"/>
      </w:pPr>
      <w:r>
        <w:t>1/50</w:t>
      </w:r>
      <w:r>
        <w:rPr>
          <w:i/>
        </w:rPr>
        <w:t>h</w:t>
      </w:r>
      <w:r>
        <w:t xml:space="preserve"> - при фундаментах на глинистых, суглинистых и супесчаных грунтах основания;</w:t>
      </w:r>
    </w:p>
    <w:p w:rsidR="00212513" w:rsidRDefault="00212513">
      <w:pPr>
        <w:pStyle w:val="ConsPlusNormal"/>
        <w:spacing w:before="220"/>
        <w:ind w:firstLine="540"/>
        <w:jc w:val="both"/>
      </w:pPr>
      <w:r>
        <w:t>1/40</w:t>
      </w:r>
      <w:r>
        <w:rPr>
          <w:i/>
        </w:rPr>
        <w:t>h</w:t>
      </w:r>
      <w:r>
        <w:t xml:space="preserve"> - при грунтовых подушках из песчано-гравийной или песчано-щебеночной смеси; здесь </w:t>
      </w:r>
      <w:r>
        <w:rPr>
          <w:i/>
        </w:rPr>
        <w:t>h</w:t>
      </w:r>
      <w:r>
        <w:t xml:space="preserve"> - высота насыпи.</w:t>
      </w:r>
    </w:p>
    <w:p w:rsidR="00212513" w:rsidRDefault="00212513">
      <w:pPr>
        <w:pStyle w:val="ConsPlusNormal"/>
        <w:spacing w:before="220"/>
        <w:ind w:firstLine="540"/>
        <w:jc w:val="both"/>
      </w:pPr>
      <w:r>
        <w:t>Отметки лотка входного оголовка (или входного звена) трубы следует назначать так, чтобы они были выше отметок среднего звена трубы как до проявления осадок основания, так и после прекращения этих осадок.</w:t>
      </w:r>
    </w:p>
    <w:p w:rsidR="00212513" w:rsidRDefault="00212513">
      <w:pPr>
        <w:pStyle w:val="ConsPlusNormal"/>
        <w:spacing w:before="220"/>
        <w:ind w:firstLine="540"/>
        <w:jc w:val="both"/>
      </w:pPr>
      <w:r>
        <w:t>Стабильность проектного положения секций фундаментов и звеньев водопропускных труб в направлении продольной оси сооружений должна быть обеспечена устойчивостью откосов насыпи и прочностью грунтов основания.</w:t>
      </w:r>
    </w:p>
    <w:p w:rsidR="00212513" w:rsidRDefault="00212513">
      <w:pPr>
        <w:pStyle w:val="ConsPlusNormal"/>
        <w:spacing w:before="220"/>
        <w:ind w:firstLine="540"/>
        <w:jc w:val="both"/>
      </w:pPr>
      <w:r>
        <w:t>Примечание - При устройстве труб на скальных грунтах и на свайных фундаментах строительный подъем назначать не следует.</w:t>
      </w:r>
    </w:p>
    <w:p w:rsidR="00212513" w:rsidRDefault="00212513">
      <w:pPr>
        <w:pStyle w:val="ConsPlusNormal"/>
        <w:ind w:firstLine="540"/>
        <w:jc w:val="both"/>
      </w:pPr>
    </w:p>
    <w:p w:rsidR="00212513" w:rsidRDefault="00212513">
      <w:pPr>
        <w:pStyle w:val="ConsPlusTitle"/>
        <w:ind w:firstLine="540"/>
        <w:jc w:val="both"/>
        <w:outlineLvl w:val="2"/>
      </w:pPr>
      <w:r>
        <w:t>Верхнее строение пути на железнодорожных мостах</w:t>
      </w:r>
    </w:p>
    <w:p w:rsidR="00212513" w:rsidRDefault="00212513">
      <w:pPr>
        <w:pStyle w:val="ConsPlusNormal"/>
        <w:ind w:firstLine="540"/>
        <w:jc w:val="both"/>
      </w:pPr>
    </w:p>
    <w:p w:rsidR="00212513" w:rsidRDefault="00212513">
      <w:pPr>
        <w:pStyle w:val="ConsPlusNormal"/>
        <w:ind w:firstLine="540"/>
        <w:jc w:val="both"/>
      </w:pPr>
      <w:r>
        <w:t xml:space="preserve">5.50 Путь на железнодорожных мостах может устраиваться на щебеночном балласте или быть безбалластным. При проектировании верхнего строения пути необходимо дополнительно учитывать требования </w:t>
      </w:r>
      <w:hyperlink r:id="rId168">
        <w:r>
          <w:rPr>
            <w:color w:val="0000FF"/>
          </w:rPr>
          <w:t>СП 119.13330</w:t>
        </w:r>
      </w:hyperlink>
      <w:r>
        <w:t>.</w:t>
      </w:r>
    </w:p>
    <w:p w:rsidR="00212513" w:rsidRDefault="00212513">
      <w:pPr>
        <w:pStyle w:val="ConsPlusNormal"/>
        <w:jc w:val="both"/>
      </w:pPr>
      <w:r>
        <w:t xml:space="preserve">(в ред. </w:t>
      </w:r>
      <w:hyperlink r:id="rId169">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 xml:space="preserve">Абзац исключен с 01.07.2024. - </w:t>
      </w:r>
      <w:hyperlink r:id="rId170">
        <w:r>
          <w:rPr>
            <w:color w:val="0000FF"/>
          </w:rPr>
          <w:t>Изменение N 4</w:t>
        </w:r>
      </w:hyperlink>
      <w:r>
        <w:t>, утв. Приказом Минстроя России от 30.05.2024 N 361/пр.</w:t>
      </w:r>
    </w:p>
    <w:p w:rsidR="00212513" w:rsidRDefault="00212513">
      <w:pPr>
        <w:pStyle w:val="ConsPlusNormal"/>
        <w:spacing w:before="220"/>
        <w:ind w:firstLine="540"/>
        <w:jc w:val="both"/>
      </w:pPr>
      <w:r>
        <w:lastRenderedPageBreak/>
        <w:t>При безбалластном пути рельсы при помощи скреплений прикрепляются к железобетонным плитам или плитам из полимерных композитов, деревянным, полимерным композитным или металлическим поперечинам, к металлическому настилу и к железобетонным блокам (полушпалам), расположенным в гнездах железобетонной плиты, с виброзащитными прокладками. Допускается укладка рельсов с непрерывным опиранием по всей длине и закреплением специальными устройствами.</w:t>
      </w:r>
    </w:p>
    <w:p w:rsidR="00212513" w:rsidRDefault="00212513">
      <w:pPr>
        <w:pStyle w:val="ConsPlusNormal"/>
        <w:jc w:val="both"/>
      </w:pPr>
      <w:r>
        <w:t xml:space="preserve">(в ред. </w:t>
      </w:r>
      <w:hyperlink r:id="rId171">
        <w:r>
          <w:rPr>
            <w:color w:val="0000FF"/>
          </w:rPr>
          <w:t>Изменения N 2</w:t>
        </w:r>
      </w:hyperlink>
      <w:r>
        <w:t xml:space="preserve">, утв. Приказом Минстроя России от 11.11.2019 N 681/пр, </w:t>
      </w:r>
      <w:hyperlink r:id="rId172">
        <w:r>
          <w:rPr>
            <w:color w:val="0000FF"/>
          </w:rPr>
          <w:t>Изменения N 3</w:t>
        </w:r>
      </w:hyperlink>
      <w:r>
        <w:t xml:space="preserve">, утв. Приказом Минстроя России от 29.12.2020 N 891/пр, </w:t>
      </w:r>
      <w:hyperlink r:id="rId173">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Рельсы на мостах следует укладывать тяжелого типа (не легче типа Р50 и не легче типа рельсов, укладываемых на подходах).</w:t>
      </w:r>
    </w:p>
    <w:p w:rsidR="00212513" w:rsidRDefault="00212513">
      <w:pPr>
        <w:pStyle w:val="ConsPlusNormal"/>
        <w:spacing w:before="220"/>
        <w:ind w:firstLine="540"/>
        <w:jc w:val="both"/>
      </w:pPr>
      <w:r>
        <w:t>На больших мостах, на мостах с разводными пролетами и на подходах к этим сооружениям на протяжении не менее 200 м в каждую сторону следует укладывать рельсы не легче типа Р65.</w:t>
      </w:r>
    </w:p>
    <w:p w:rsidR="00212513" w:rsidRDefault="00212513">
      <w:pPr>
        <w:pStyle w:val="ConsPlusNormal"/>
        <w:spacing w:before="220"/>
        <w:ind w:firstLine="540"/>
        <w:jc w:val="both"/>
      </w:pPr>
      <w:r>
        <w:t>На мостах с мостовым полотном всех типов следует укладывать бесстыковой путь.</w:t>
      </w:r>
    </w:p>
    <w:p w:rsidR="00212513" w:rsidRDefault="00212513">
      <w:pPr>
        <w:pStyle w:val="ConsPlusNormal"/>
        <w:jc w:val="both"/>
      </w:pPr>
      <w:r>
        <w:t xml:space="preserve">(п. 5.50 в ред. </w:t>
      </w:r>
      <w:hyperlink r:id="rId174">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5.51 Конструкция мостового полотна должна обеспечивать:</w:t>
      </w:r>
    </w:p>
    <w:p w:rsidR="00212513" w:rsidRDefault="00212513">
      <w:pPr>
        <w:pStyle w:val="ConsPlusNormal"/>
        <w:spacing w:before="220"/>
        <w:ind w:firstLine="540"/>
        <w:jc w:val="both"/>
      </w:pPr>
      <w:r>
        <w:t>возможность прохода колес подвижного состава в случае схода их с рельсов при помощи охранных приспособлений;</w:t>
      </w:r>
    </w:p>
    <w:p w:rsidR="00212513" w:rsidRDefault="00212513">
      <w:pPr>
        <w:pStyle w:val="ConsPlusNormal"/>
        <w:jc w:val="both"/>
      </w:pPr>
      <w:r>
        <w:t xml:space="preserve">(в ред. </w:t>
      </w:r>
      <w:hyperlink r:id="rId175">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содержание и ремонт пути с использованием средств механизации.</w:t>
      </w:r>
    </w:p>
    <w:p w:rsidR="00212513" w:rsidRDefault="00212513">
      <w:pPr>
        <w:pStyle w:val="ConsPlusNormal"/>
        <w:spacing w:before="220"/>
        <w:ind w:firstLine="540"/>
        <w:jc w:val="both"/>
      </w:pPr>
      <w:r>
        <w:t>5.52 Балластное корыто устоев и пролетных строений с ездой на балласте должно обеспечивать размещение балластной призмы типового поперечного профиля, принятого для мостов.</w:t>
      </w:r>
    </w:p>
    <w:p w:rsidR="00212513" w:rsidRDefault="00212513">
      <w:pPr>
        <w:pStyle w:val="ConsPlusNormal"/>
        <w:spacing w:before="220"/>
        <w:ind w:firstLine="540"/>
        <w:jc w:val="both"/>
      </w:pPr>
      <w:r>
        <w:t>Ширину балластной призмы поверху на прямых участках (при всех видах балласта) определяют расчетом исходя из обеспечения плеча балластной призмы за торцом шпалы или переводного бруса, см, не менее:</w:t>
      </w:r>
    </w:p>
    <w:p w:rsidR="00212513" w:rsidRDefault="00212513">
      <w:pPr>
        <w:pStyle w:val="ConsPlusNormal"/>
        <w:spacing w:before="220"/>
        <w:ind w:firstLine="540"/>
        <w:jc w:val="both"/>
      </w:pPr>
      <w:r>
        <w:t>45 - на линиях скоростных, пассажирских, особогрузонапряженных и I, II и III категорий;</w:t>
      </w:r>
    </w:p>
    <w:p w:rsidR="00212513" w:rsidRDefault="00212513">
      <w:pPr>
        <w:pStyle w:val="ConsPlusNormal"/>
        <w:spacing w:before="220"/>
        <w:ind w:firstLine="540"/>
        <w:jc w:val="both"/>
      </w:pPr>
      <w:r>
        <w:t>40 - на линиях IV категории, подъездных и станционных путях при укладке бесстыкового пути;</w:t>
      </w:r>
    </w:p>
    <w:p w:rsidR="00212513" w:rsidRDefault="00212513">
      <w:pPr>
        <w:pStyle w:val="ConsPlusNormal"/>
        <w:spacing w:before="220"/>
        <w:ind w:firstLine="540"/>
        <w:jc w:val="both"/>
      </w:pPr>
      <w:r>
        <w:t>35 - на линиях IV категории, подъездных и станционных путях при укладке звеньевого пути.</w:t>
      </w:r>
    </w:p>
    <w:p w:rsidR="00212513" w:rsidRDefault="00212513">
      <w:pPr>
        <w:pStyle w:val="ConsPlusNormal"/>
        <w:spacing w:before="220"/>
        <w:ind w:firstLine="540"/>
        <w:jc w:val="both"/>
      </w:pPr>
      <w:r>
        <w:t xml:space="preserve">Толщину балласта под шпалой в подрельсовой зоне назначают на прямых участках в соответствии с </w:t>
      </w:r>
      <w:hyperlink r:id="rId176">
        <w:r>
          <w:rPr>
            <w:color w:val="0000FF"/>
          </w:rPr>
          <w:t>таблицей 7.1</w:t>
        </w:r>
      </w:hyperlink>
      <w:r>
        <w:t xml:space="preserve"> СП 119.13330.2024.</w:t>
      </w:r>
    </w:p>
    <w:p w:rsidR="00212513" w:rsidRDefault="00212513">
      <w:pPr>
        <w:pStyle w:val="ConsPlusNormal"/>
        <w:jc w:val="both"/>
      </w:pPr>
      <w:r>
        <w:t xml:space="preserve">(в ред. </w:t>
      </w:r>
      <w:hyperlink r:id="rId177">
        <w:r>
          <w:rPr>
            <w:color w:val="0000FF"/>
          </w:rPr>
          <w:t>Изменения N 5</w:t>
        </w:r>
      </w:hyperlink>
      <w:r>
        <w:t>, утв. Приказом Минстроя России от 20.09.2024 N 636/пр)</w:t>
      </w:r>
    </w:p>
    <w:p w:rsidR="00212513" w:rsidRDefault="00212513">
      <w:pPr>
        <w:pStyle w:val="ConsPlusNormal"/>
        <w:spacing w:before="220"/>
        <w:ind w:firstLine="540"/>
        <w:jc w:val="both"/>
      </w:pPr>
      <w:r>
        <w:t xml:space="preserve">В стесненных условиях при ограничении строительной высоты толщину балластного слоя допускается уменьшать с компенсацией по укладке подбалластного мата по </w:t>
      </w:r>
      <w:hyperlink r:id="rId178">
        <w:r>
          <w:rPr>
            <w:color w:val="0000FF"/>
          </w:rPr>
          <w:t>ГОСТ Р 70258</w:t>
        </w:r>
      </w:hyperlink>
      <w:r>
        <w:t>, толщина балласта при этом должна быть не менее 15 см под шпалой. Конструкция балластного корыта должна предусматривать возможность повышения отметок пути при ремонтах до 0,1 м.</w:t>
      </w:r>
    </w:p>
    <w:p w:rsidR="00212513" w:rsidRDefault="00212513">
      <w:pPr>
        <w:pStyle w:val="ConsPlusNormal"/>
        <w:spacing w:before="220"/>
        <w:ind w:firstLine="540"/>
        <w:jc w:val="both"/>
      </w:pPr>
      <w:r>
        <w:t xml:space="preserve">На кривых участках пути толщину балластной призмы следует принимать с учетом возвышения наружного рельса при сохранении под внутренним рельсом балластного слоя толщиной, установленной для прямых участков в соответствии с </w:t>
      </w:r>
      <w:hyperlink r:id="rId179">
        <w:r>
          <w:rPr>
            <w:color w:val="0000FF"/>
          </w:rPr>
          <w:t>СП 119.13330</w:t>
        </w:r>
      </w:hyperlink>
      <w:r>
        <w:t>.</w:t>
      </w:r>
    </w:p>
    <w:p w:rsidR="00212513" w:rsidRDefault="00212513">
      <w:pPr>
        <w:pStyle w:val="ConsPlusNormal"/>
        <w:spacing w:before="220"/>
        <w:ind w:firstLine="540"/>
        <w:jc w:val="both"/>
      </w:pPr>
      <w:r>
        <w:t xml:space="preserve">На кривых участках пути радиусом менее 600 м ширину балластной призмы необходимо </w:t>
      </w:r>
      <w:r>
        <w:lastRenderedPageBreak/>
        <w:t>увеличить с наружной стороны на 0,1 м.</w:t>
      </w:r>
    </w:p>
    <w:p w:rsidR="00212513" w:rsidRDefault="00212513">
      <w:pPr>
        <w:pStyle w:val="ConsPlusNormal"/>
        <w:jc w:val="both"/>
      </w:pPr>
      <w:r>
        <w:t xml:space="preserve">(п. 5.52 в ред. </w:t>
      </w:r>
      <w:hyperlink r:id="rId180">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 xml:space="preserve">5.53 Элементы мостового полотна (включая охранные приспособления, уравнительные приборы или сезонные уравнительные рельсы) следует предусматривать, руководствуясь </w:t>
      </w:r>
      <w:hyperlink w:anchor="P19070">
        <w:r>
          <w:rPr>
            <w:color w:val="0000FF"/>
          </w:rPr>
          <w:t>[1]</w:t>
        </w:r>
      </w:hyperlink>
      <w:r>
        <w:t>.</w:t>
      </w:r>
    </w:p>
    <w:p w:rsidR="00212513" w:rsidRDefault="00212513">
      <w:pPr>
        <w:pStyle w:val="ConsPlusNormal"/>
        <w:jc w:val="both"/>
      </w:pPr>
      <w:r>
        <w:t xml:space="preserve">(в ред. </w:t>
      </w:r>
      <w:hyperlink r:id="rId181">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5.54 Безбалластное мостовое полотно различных типов по 5.50 должно иметь ширину не менее 3,2 м. При наличии дополнительных охранных устройств, обеспечивающих безопасный пропуск сошедших с рельсов колес подвижного состава, допускается применение плит меньшей шириной, но не менее 2,6 м.</w:t>
      </w:r>
    </w:p>
    <w:p w:rsidR="00212513" w:rsidRDefault="00212513">
      <w:pPr>
        <w:pStyle w:val="ConsPlusNormal"/>
        <w:jc w:val="both"/>
      </w:pPr>
      <w:r>
        <w:t xml:space="preserve">(п. 5.54 в ред. </w:t>
      </w:r>
      <w:hyperlink r:id="rId182">
        <w:r>
          <w:rPr>
            <w:color w:val="0000FF"/>
          </w:rPr>
          <w:t>Изменения N 2</w:t>
        </w:r>
      </w:hyperlink>
      <w:r>
        <w:t>, утв. Приказом Минстроя России от 11.11.2019 N 681/пр)</w:t>
      </w:r>
    </w:p>
    <w:p w:rsidR="00212513" w:rsidRDefault="00212513">
      <w:pPr>
        <w:pStyle w:val="ConsPlusNormal"/>
        <w:spacing w:before="220"/>
        <w:ind w:firstLine="540"/>
        <w:jc w:val="both"/>
      </w:pPr>
      <w:r>
        <w:t xml:space="preserve">5.55 Мостовые брусья (деревянные поперечины) должны соответствовать требованиям </w:t>
      </w:r>
      <w:hyperlink r:id="rId183">
        <w:r>
          <w:rPr>
            <w:color w:val="0000FF"/>
          </w:rPr>
          <w:t>ГОСТ 8486</w:t>
        </w:r>
      </w:hyperlink>
      <w:r>
        <w:t>, иметь сечение не менее 20 x 24 см и длину 3,25 м.</w:t>
      </w:r>
    </w:p>
    <w:p w:rsidR="00212513" w:rsidRDefault="00212513">
      <w:pPr>
        <w:pStyle w:val="ConsPlusNormal"/>
        <w:spacing w:before="220"/>
        <w:ind w:firstLine="540"/>
        <w:jc w:val="both"/>
      </w:pPr>
      <w:r>
        <w:t>5.56 Мосты длиной более 25 м, а также все мосты высотой более 3 м, мосты, расположенные в пределах станций, и все путепроводы должны иметь двухсторонние служебные проходы с перилами (высотой не менее 1,10 м), располагаемые вне габаритов приближений строений.</w:t>
      </w:r>
    </w:p>
    <w:p w:rsidR="00212513" w:rsidRDefault="00212513">
      <w:pPr>
        <w:pStyle w:val="ConsPlusNormal"/>
        <w:jc w:val="both"/>
      </w:pPr>
      <w:r>
        <w:t xml:space="preserve">(в ред. </w:t>
      </w:r>
      <w:hyperlink r:id="rId184">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В районах со среднесуточной минимальной температурой наружного воздуха минус 40 °C и ниже (с обеспеченностью 0,92) боковые тротуары должны иметь все мосты длиной более 10 м.</w:t>
      </w:r>
    </w:p>
    <w:p w:rsidR="00212513" w:rsidRDefault="00212513">
      <w:pPr>
        <w:pStyle w:val="ConsPlusNormal"/>
        <w:spacing w:before="220"/>
        <w:ind w:firstLine="540"/>
        <w:jc w:val="both"/>
      </w:pPr>
      <w:r>
        <w:t>На двухпутных и многопутных железнодорожных мостах следует предусматривать служебные проходы (без перил) также и в междупутье.</w:t>
      </w:r>
    </w:p>
    <w:p w:rsidR="00212513" w:rsidRDefault="00212513">
      <w:pPr>
        <w:pStyle w:val="ConsPlusNormal"/>
        <w:spacing w:before="220"/>
        <w:ind w:firstLine="540"/>
        <w:jc w:val="both"/>
      </w:pPr>
      <w:r>
        <w:t>5.57 Для пути на подходах следует предусматривать меры, препятствующие угону пути с подходов на мост.</w:t>
      </w:r>
    </w:p>
    <w:p w:rsidR="00212513" w:rsidRDefault="00212513">
      <w:pPr>
        <w:pStyle w:val="ConsPlusNormal"/>
        <w:spacing w:before="220"/>
        <w:ind w:firstLine="540"/>
        <w:jc w:val="both"/>
      </w:pPr>
      <w:r>
        <w:t xml:space="preserve">Путь на подходах к мостам, путепроводам и эстакадам в пределах городской территории и в застроенных промышленных зонах следует предусматривать бесстыковым с виброшумоизолирующей конструкцией верхнего строения пути, в том числе за счет укладки подбалластных матов по </w:t>
      </w:r>
      <w:hyperlink r:id="rId185">
        <w:r>
          <w:rPr>
            <w:color w:val="0000FF"/>
          </w:rPr>
          <w:t>ГОСТ Р 70258</w:t>
        </w:r>
      </w:hyperlink>
      <w:r>
        <w:t xml:space="preserve"> и, при необходимости, с шумопоглощающими экранами.</w:t>
      </w:r>
    </w:p>
    <w:p w:rsidR="00212513" w:rsidRDefault="00212513">
      <w:pPr>
        <w:pStyle w:val="ConsPlusNormal"/>
        <w:jc w:val="both"/>
      </w:pPr>
      <w:r>
        <w:t xml:space="preserve">(в ред. </w:t>
      </w:r>
      <w:hyperlink r:id="rId186">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5.58 На железнодорожных путях общей сети и железных дорогах промышленных предприятий, проходящих под путепроводами и пешеходными мостами с опорами стоечного типа, при расстоянии от оси железнодорожного пути до грани опоры менее 3,0 м необходимо укладывать контруголки, выходящие в каждую сторону за боковые грани путепровода или пешеходного моста не менее чем на 10 м.</w:t>
      </w:r>
    </w:p>
    <w:p w:rsidR="00212513" w:rsidRDefault="00212513">
      <w:pPr>
        <w:pStyle w:val="ConsPlusNormal"/>
        <w:spacing w:before="220"/>
        <w:ind w:firstLine="540"/>
        <w:jc w:val="both"/>
      </w:pPr>
      <w:r>
        <w:t>Расстояние в свету от головки рельса до вертикальной полки контруголка должно составлять 310 мм. В стесненных условиях допускается уменьшать это расстояние до 245 мм. Контруголок должен быть повернут горизонтальной полкой к рельсу, в стесненных условиях допускается установка контруголков горизонтальной полкой от рельса. При езде на деревянных, полимерных композитных или металлических поперечинах следует устанавливать охранные уголки на расстоянии 300 - 400 мм в свету от наружной грани головки рельса до вертикальной полки охранного уголка. Горизонтальная полка охранного уголка должна быть повернута к рельсу.</w:t>
      </w:r>
    </w:p>
    <w:p w:rsidR="00212513" w:rsidRDefault="00212513">
      <w:pPr>
        <w:pStyle w:val="ConsPlusNormal"/>
        <w:jc w:val="both"/>
      </w:pPr>
      <w:r>
        <w:t xml:space="preserve">(абзац введен </w:t>
      </w:r>
      <w:hyperlink r:id="rId187">
        <w:r>
          <w:rPr>
            <w:color w:val="0000FF"/>
          </w:rPr>
          <w:t>Изменением N 1</w:t>
        </w:r>
      </w:hyperlink>
      <w:r>
        <w:t xml:space="preserve">, утв. Приказом Минстроя России от 03.12.2016 N 879/пр; в ред. </w:t>
      </w:r>
      <w:hyperlink r:id="rId188">
        <w:r>
          <w:rPr>
            <w:color w:val="0000FF"/>
          </w:rPr>
          <w:t>Изменения N 3</w:t>
        </w:r>
      </w:hyperlink>
      <w:r>
        <w:t xml:space="preserve">, утв. Приказом Минстроя России от 29.12.2020 N 891/пр, </w:t>
      </w:r>
      <w:hyperlink r:id="rId189">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 xml:space="preserve">В пути на мостах и путепроводах дорог промышленных предприятий при кривых радиусом 500 м и менее следует предусматривать специальные устройства, препятствующие изменению </w:t>
      </w:r>
      <w:r>
        <w:lastRenderedPageBreak/>
        <w:t>ширины колеи.</w:t>
      </w:r>
    </w:p>
    <w:p w:rsidR="00212513" w:rsidRDefault="00212513">
      <w:pPr>
        <w:pStyle w:val="ConsPlusNormal"/>
        <w:ind w:firstLine="540"/>
        <w:jc w:val="both"/>
      </w:pPr>
    </w:p>
    <w:p w:rsidR="00212513" w:rsidRDefault="00212513">
      <w:pPr>
        <w:pStyle w:val="ConsPlusTitle"/>
        <w:ind w:firstLine="540"/>
        <w:jc w:val="both"/>
        <w:outlineLvl w:val="2"/>
      </w:pPr>
      <w:r>
        <w:t>Мостовое полотно автодорожных и городских мостов</w:t>
      </w:r>
    </w:p>
    <w:p w:rsidR="00212513" w:rsidRDefault="0021251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21251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12513" w:rsidRDefault="0021251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12513" w:rsidRDefault="0021251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12513" w:rsidRDefault="00212513">
            <w:pPr>
              <w:pStyle w:val="ConsPlusNormal"/>
              <w:jc w:val="both"/>
            </w:pPr>
            <w:r>
              <w:rPr>
                <w:color w:val="392C69"/>
              </w:rPr>
              <w:t>Применение на обязательной основе п. 5.59 обеспечивает безопасность дорожного движения при его организации на территории Российской Федерации (</w:t>
            </w:r>
            <w:hyperlink r:id="rId190">
              <w:r>
                <w:rPr>
                  <w:color w:val="0000FF"/>
                </w:rPr>
                <w:t>Распоряжение</w:t>
              </w:r>
            </w:hyperlink>
            <w:r>
              <w:rPr>
                <w:color w:val="392C69"/>
              </w:rPr>
              <w:t xml:space="preserve"> Правительства РФ от 04.11.2017 N 2438-р).</w:t>
            </w:r>
          </w:p>
        </w:tc>
        <w:tc>
          <w:tcPr>
            <w:tcW w:w="113" w:type="dxa"/>
            <w:tcBorders>
              <w:top w:val="nil"/>
              <w:left w:val="nil"/>
              <w:bottom w:val="nil"/>
              <w:right w:val="nil"/>
            </w:tcBorders>
            <w:shd w:val="clear" w:color="auto" w:fill="F4F3F8"/>
            <w:tcMar>
              <w:top w:w="0" w:type="dxa"/>
              <w:left w:w="0" w:type="dxa"/>
              <w:bottom w:w="0" w:type="dxa"/>
              <w:right w:w="0" w:type="dxa"/>
            </w:tcMar>
          </w:tcPr>
          <w:p w:rsidR="00212513" w:rsidRDefault="00212513">
            <w:pPr>
              <w:pStyle w:val="ConsPlusNormal"/>
            </w:pPr>
          </w:p>
        </w:tc>
      </w:tr>
    </w:tbl>
    <w:p w:rsidR="00212513" w:rsidRDefault="00212513">
      <w:pPr>
        <w:pStyle w:val="ConsPlusNormal"/>
        <w:spacing w:before="280"/>
        <w:ind w:firstLine="540"/>
        <w:jc w:val="both"/>
      </w:pPr>
      <w:r>
        <w:t xml:space="preserve">5.59 Конструкция и геометрические параметры мостового полотна должны отвечать требованиям, установленным для данной дороги или улицы </w:t>
      </w:r>
      <w:hyperlink r:id="rId191">
        <w:r>
          <w:rPr>
            <w:color w:val="0000FF"/>
          </w:rPr>
          <w:t>СП 34.13330</w:t>
        </w:r>
      </w:hyperlink>
      <w:r>
        <w:t xml:space="preserve">, </w:t>
      </w:r>
      <w:hyperlink r:id="rId192">
        <w:r>
          <w:rPr>
            <w:color w:val="0000FF"/>
          </w:rPr>
          <w:t>СП 42.13330</w:t>
        </w:r>
      </w:hyperlink>
      <w:r>
        <w:t xml:space="preserve">, </w:t>
      </w:r>
      <w:hyperlink r:id="rId193">
        <w:r>
          <w:rPr>
            <w:color w:val="0000FF"/>
          </w:rPr>
          <w:t>СП 99.13330</w:t>
        </w:r>
      </w:hyperlink>
      <w:r>
        <w:t>.</w:t>
      </w:r>
    </w:p>
    <w:p w:rsidR="00212513" w:rsidRDefault="00212513">
      <w:pPr>
        <w:pStyle w:val="ConsPlusNormal"/>
        <w:jc w:val="both"/>
      </w:pPr>
      <w:r>
        <w:t xml:space="preserve">(в ред. </w:t>
      </w:r>
      <w:hyperlink r:id="rId194">
        <w:r>
          <w:rPr>
            <w:color w:val="0000FF"/>
          </w:rPr>
          <w:t>Изменения N 1</w:t>
        </w:r>
      </w:hyperlink>
      <w:r>
        <w:t xml:space="preserve">, утв. Приказом Минстроя России от 03.12.2016 N 879/пр, </w:t>
      </w:r>
      <w:hyperlink r:id="rId195">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Конструкция и геометрические параметры мостового полотна должны обеспечивать комфортность и безопасность движения пешеходов и транспортных средств со скоростями, соответствующими категории дороги или улицы, на которой расположено мостовое сооружение.</w:t>
      </w:r>
    </w:p>
    <w:p w:rsidR="00212513" w:rsidRDefault="00212513">
      <w:pPr>
        <w:pStyle w:val="ConsPlusNormal"/>
        <w:spacing w:before="220"/>
        <w:ind w:firstLine="540"/>
        <w:jc w:val="both"/>
      </w:pPr>
      <w:r>
        <w:t>Мостовое полотно должно быть запроектировано в увязке всех его элементов между собой и с несущей конструкцией пролетного строения и обеспечивать ее защиту от негативного атмосферного воздействия.</w:t>
      </w:r>
    </w:p>
    <w:p w:rsidR="00212513" w:rsidRDefault="00212513">
      <w:pPr>
        <w:pStyle w:val="ConsPlusNormal"/>
        <w:jc w:val="both"/>
      </w:pPr>
      <w:r>
        <w:t xml:space="preserve">(в ред. </w:t>
      </w:r>
      <w:hyperlink r:id="rId196">
        <w:r>
          <w:rPr>
            <w:color w:val="0000FF"/>
          </w:rPr>
          <w:t>Изменения N 3</w:t>
        </w:r>
      </w:hyperlink>
      <w:r>
        <w:t xml:space="preserve">, утв. Приказом Минстроя России от 29.12.2020 N 891/пр, </w:t>
      </w:r>
      <w:hyperlink r:id="rId197">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 xml:space="preserve">На мостовых сооружениях в пределах населенных пунктов следует предусматривать шумозащитные мероприятия в соответствии с </w:t>
      </w:r>
      <w:hyperlink r:id="rId198">
        <w:r>
          <w:rPr>
            <w:color w:val="0000FF"/>
          </w:rPr>
          <w:t>СП 51.13330</w:t>
        </w:r>
      </w:hyperlink>
      <w:r>
        <w:t>.</w:t>
      </w:r>
    </w:p>
    <w:p w:rsidR="00212513" w:rsidRDefault="00212513">
      <w:pPr>
        <w:pStyle w:val="ConsPlusNormal"/>
        <w:jc w:val="both"/>
      </w:pPr>
      <w:r>
        <w:t xml:space="preserve">(в ред. </w:t>
      </w:r>
      <w:hyperlink r:id="rId199">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Конструкция мостового полотна должна обеспечивать возможность механизированной безопасной для службы эксплуатации уборки проезжей части и тротуаров.</w:t>
      </w:r>
    </w:p>
    <w:p w:rsidR="00212513" w:rsidRDefault="0021251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21251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12513" w:rsidRDefault="0021251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12513" w:rsidRDefault="0021251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12513" w:rsidRDefault="00212513">
            <w:pPr>
              <w:pStyle w:val="ConsPlusNormal"/>
              <w:jc w:val="both"/>
            </w:pPr>
            <w:r>
              <w:rPr>
                <w:color w:val="392C69"/>
              </w:rPr>
              <w:t>Применение на обязательной основе п. 5.60 обеспечивает безопасность дорожного движения при его организации на территории Российской Федерации (</w:t>
            </w:r>
            <w:hyperlink r:id="rId200">
              <w:r>
                <w:rPr>
                  <w:color w:val="0000FF"/>
                </w:rPr>
                <w:t>Распоряжение</w:t>
              </w:r>
            </w:hyperlink>
            <w:r>
              <w:rPr>
                <w:color w:val="392C69"/>
              </w:rPr>
              <w:t xml:space="preserve"> Правительства РФ от 04.11.2017 N 2438-р).</w:t>
            </w:r>
          </w:p>
        </w:tc>
        <w:tc>
          <w:tcPr>
            <w:tcW w:w="113" w:type="dxa"/>
            <w:tcBorders>
              <w:top w:val="nil"/>
              <w:left w:val="nil"/>
              <w:bottom w:val="nil"/>
              <w:right w:val="nil"/>
            </w:tcBorders>
            <w:shd w:val="clear" w:color="auto" w:fill="F4F3F8"/>
            <w:tcMar>
              <w:top w:w="0" w:type="dxa"/>
              <w:left w:w="0" w:type="dxa"/>
              <w:bottom w:w="0" w:type="dxa"/>
              <w:right w:w="0" w:type="dxa"/>
            </w:tcMar>
          </w:tcPr>
          <w:p w:rsidR="00212513" w:rsidRDefault="00212513">
            <w:pPr>
              <w:pStyle w:val="ConsPlusNormal"/>
            </w:pPr>
          </w:p>
        </w:tc>
      </w:tr>
    </w:tbl>
    <w:p w:rsidR="00212513" w:rsidRDefault="00212513">
      <w:pPr>
        <w:pStyle w:val="ConsPlusNormal"/>
        <w:spacing w:before="280"/>
        <w:ind w:firstLine="540"/>
        <w:jc w:val="both"/>
      </w:pPr>
      <w:r>
        <w:t>5.60 Компоновочное решение мостового полотна зависит от материала пролетного строения, места расположения мостового сооружения, его функционального назначения, вида транспортных средств, обращающихся по нему, наличия пешеходного движения.</w:t>
      </w:r>
    </w:p>
    <w:p w:rsidR="00212513" w:rsidRDefault="00212513">
      <w:pPr>
        <w:pStyle w:val="ConsPlusNormal"/>
        <w:spacing w:before="220"/>
        <w:ind w:firstLine="540"/>
        <w:jc w:val="both"/>
      </w:pPr>
      <w:r>
        <w:t xml:space="preserve">Абзац исключен с 01.07.2024. - </w:t>
      </w:r>
      <w:hyperlink r:id="rId201">
        <w:r>
          <w:rPr>
            <w:color w:val="0000FF"/>
          </w:rPr>
          <w:t>Изменение N 4</w:t>
        </w:r>
      </w:hyperlink>
      <w:r>
        <w:t>, утв. Приказом Минстроя России от 30.05.2024 N 361/пр.</w:t>
      </w:r>
    </w:p>
    <w:p w:rsidR="00212513" w:rsidRDefault="00212513">
      <w:pPr>
        <w:pStyle w:val="ConsPlusNormal"/>
        <w:spacing w:before="220"/>
        <w:ind w:firstLine="540"/>
        <w:jc w:val="both"/>
      </w:pPr>
      <w:r>
        <w:t>На необособленном трамвайном полотне головки рельсов должны располагаться на уровне верха покрытия проезжей части.</w:t>
      </w:r>
    </w:p>
    <w:p w:rsidR="00212513" w:rsidRDefault="00212513">
      <w:pPr>
        <w:pStyle w:val="ConsPlusNormal"/>
        <w:jc w:val="both"/>
      </w:pPr>
      <w:r>
        <w:t xml:space="preserve">(в ред. </w:t>
      </w:r>
      <w:hyperlink r:id="rId202">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Разделительную полосу на мостовом сооружении предусматривают при условии, что она имеется на прилегающих участках дороги и на подходах к сооружению. При раздельных пролетных строениях наличие обособленной разделительной полосы обязательно.</w:t>
      </w:r>
    </w:p>
    <w:p w:rsidR="00212513" w:rsidRDefault="00212513">
      <w:pPr>
        <w:pStyle w:val="ConsPlusNormal"/>
        <w:jc w:val="both"/>
      </w:pPr>
      <w:r>
        <w:t xml:space="preserve">(в ред. </w:t>
      </w:r>
      <w:hyperlink r:id="rId203">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t xml:space="preserve">Абзац исключен с 01.07.2024. - </w:t>
      </w:r>
      <w:hyperlink r:id="rId204">
        <w:r>
          <w:rPr>
            <w:color w:val="0000FF"/>
          </w:rPr>
          <w:t>Изменение N 4</w:t>
        </w:r>
      </w:hyperlink>
      <w:r>
        <w:t>, утв. Приказом Минстроя России от 30.05.2024 N 361/пр.</w:t>
      </w:r>
    </w:p>
    <w:p w:rsidR="00212513" w:rsidRDefault="0021251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21251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12513" w:rsidRDefault="0021251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12513" w:rsidRDefault="0021251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12513" w:rsidRDefault="00212513">
            <w:pPr>
              <w:pStyle w:val="ConsPlusNormal"/>
              <w:jc w:val="both"/>
            </w:pPr>
            <w:r>
              <w:rPr>
                <w:color w:val="392C69"/>
              </w:rPr>
              <w:t>Применение на обязательной основе п. 5.61 обеспечивает безопасность дорожного движения при его организации на территории Российской Федерации (</w:t>
            </w:r>
            <w:hyperlink r:id="rId205">
              <w:r>
                <w:rPr>
                  <w:color w:val="0000FF"/>
                </w:rPr>
                <w:t>Распоряжение</w:t>
              </w:r>
            </w:hyperlink>
            <w:r>
              <w:rPr>
                <w:color w:val="392C69"/>
              </w:rPr>
              <w:t xml:space="preserve"> Правительства РФ от 04.11.2017 N 2438-р).</w:t>
            </w:r>
          </w:p>
        </w:tc>
        <w:tc>
          <w:tcPr>
            <w:tcW w:w="113" w:type="dxa"/>
            <w:tcBorders>
              <w:top w:val="nil"/>
              <w:left w:val="nil"/>
              <w:bottom w:val="nil"/>
              <w:right w:val="nil"/>
            </w:tcBorders>
            <w:shd w:val="clear" w:color="auto" w:fill="F4F3F8"/>
            <w:tcMar>
              <w:top w:w="0" w:type="dxa"/>
              <w:left w:w="0" w:type="dxa"/>
              <w:bottom w:w="0" w:type="dxa"/>
              <w:right w:w="0" w:type="dxa"/>
            </w:tcMar>
          </w:tcPr>
          <w:p w:rsidR="00212513" w:rsidRDefault="00212513">
            <w:pPr>
              <w:pStyle w:val="ConsPlusNormal"/>
            </w:pPr>
          </w:p>
        </w:tc>
      </w:tr>
    </w:tbl>
    <w:p w:rsidR="00212513" w:rsidRDefault="00212513">
      <w:pPr>
        <w:pStyle w:val="ConsPlusNormal"/>
        <w:spacing w:before="280"/>
        <w:ind w:firstLine="540"/>
        <w:jc w:val="both"/>
      </w:pPr>
      <w:bookmarkStart w:id="21" w:name="P613"/>
      <w:bookmarkEnd w:id="21"/>
      <w:r>
        <w:t>5.61 Тротуары на мостовых сооружениях устраивают только в случае организации по мосту пешеходного движения.</w:t>
      </w:r>
    </w:p>
    <w:p w:rsidR="00212513" w:rsidRDefault="00212513">
      <w:pPr>
        <w:pStyle w:val="ConsPlusNormal"/>
        <w:spacing w:before="220"/>
        <w:ind w:firstLine="540"/>
        <w:jc w:val="both"/>
      </w:pPr>
      <w:r>
        <w:t>На мостовых сооружениях, на которых не предусмотрены тротуары, устраивают служебные проходы шириной 0,75 м.</w:t>
      </w:r>
    </w:p>
    <w:p w:rsidR="00212513" w:rsidRDefault="00212513">
      <w:pPr>
        <w:pStyle w:val="ConsPlusNormal"/>
        <w:spacing w:before="220"/>
        <w:ind w:firstLine="540"/>
        <w:jc w:val="both"/>
      </w:pPr>
      <w:r>
        <w:t>Служебные проходы не устраивают в следующих случаях:</w:t>
      </w:r>
    </w:p>
    <w:p w:rsidR="00212513" w:rsidRDefault="00212513">
      <w:pPr>
        <w:pStyle w:val="ConsPlusNormal"/>
        <w:spacing w:before="220"/>
        <w:ind w:firstLine="540"/>
        <w:jc w:val="both"/>
      </w:pPr>
      <w:r>
        <w:t>- на транспортных развязках в разных уровнях;</w:t>
      </w:r>
    </w:p>
    <w:p w:rsidR="00212513" w:rsidRDefault="00212513">
      <w:pPr>
        <w:pStyle w:val="ConsPlusNormal"/>
        <w:spacing w:before="220"/>
        <w:ind w:firstLine="540"/>
        <w:jc w:val="both"/>
      </w:pPr>
      <w:r>
        <w:t>- на мостовых сооружениях длиной до 50 м, расположенных за пределами населенных пунктов.</w:t>
      </w:r>
    </w:p>
    <w:p w:rsidR="00212513" w:rsidRDefault="00212513">
      <w:pPr>
        <w:pStyle w:val="ConsPlusNormal"/>
        <w:spacing w:before="220"/>
        <w:ind w:firstLine="540"/>
        <w:jc w:val="both"/>
      </w:pPr>
      <w:r>
        <w:t>В случаях отсутствия тротуаров и служебных проходов уменьшение ширины полосы безопасности не допускается.</w:t>
      </w:r>
    </w:p>
    <w:p w:rsidR="00212513" w:rsidRDefault="00212513">
      <w:pPr>
        <w:pStyle w:val="ConsPlusNormal"/>
        <w:spacing w:before="220"/>
        <w:ind w:firstLine="540"/>
        <w:jc w:val="both"/>
      </w:pPr>
      <w:r>
        <w:t>Минимальную ширину тротуаров принимают равной 1,0 м, а в городах и населенных пунктах - 1,5 м. Рекомендуется ширину тротуаров назначать равной 1,5; 2,25 м и далее - кратной 0,75 м. При обосновании допускается принимать ширину тротуаров, не кратную 0,75 м.</w:t>
      </w:r>
    </w:p>
    <w:p w:rsidR="00212513" w:rsidRDefault="00212513">
      <w:pPr>
        <w:pStyle w:val="ConsPlusNormal"/>
        <w:spacing w:before="220"/>
        <w:ind w:firstLine="540"/>
        <w:jc w:val="both"/>
      </w:pPr>
      <w:r>
        <w:t>Тротуары могут быть расположены как с одной, так и с обеих сторон мостового сооружения. При одностороннем расположении тротуара, при интенсивности движения по мосту свыше 1000 авт./сут, должен быть предусмотрен безопасный переход пешеходов с одной стороны сооружения на другую посредством устройства пешеходного тоннеля под насыпью или тротуарного перехода, располагающегося под мостовым сооружением.</w:t>
      </w:r>
    </w:p>
    <w:p w:rsidR="00212513" w:rsidRDefault="00212513">
      <w:pPr>
        <w:pStyle w:val="ConsPlusNormal"/>
        <w:spacing w:before="220"/>
        <w:ind w:firstLine="540"/>
        <w:jc w:val="both"/>
      </w:pPr>
      <w:r>
        <w:t xml:space="preserve">На пролетных строениях, раздельных под направления встречного движения, тротуары устраивают только с одной наружной стороны. Также необходимо предусматривать доступность маломобильных групп населения на тротуары и пешеходные мосты (при наличии данных требований в задании на проектирование), руководствуясь положениями </w:t>
      </w:r>
      <w:hyperlink r:id="rId206">
        <w:r>
          <w:rPr>
            <w:color w:val="0000FF"/>
          </w:rPr>
          <w:t>СП 59.13330</w:t>
        </w:r>
      </w:hyperlink>
      <w:r>
        <w:t>.</w:t>
      </w:r>
    </w:p>
    <w:p w:rsidR="00212513" w:rsidRDefault="00212513">
      <w:pPr>
        <w:pStyle w:val="ConsPlusNormal"/>
        <w:jc w:val="both"/>
      </w:pPr>
      <w:r>
        <w:t xml:space="preserve">(п. 5.61 в ред. </w:t>
      </w:r>
      <w:hyperlink r:id="rId207">
        <w:r>
          <w:rPr>
            <w:color w:val="0000FF"/>
          </w:rPr>
          <w:t>Изменения N 4</w:t>
        </w:r>
      </w:hyperlink>
      <w:r>
        <w:t>, утв. Приказом Минстроя России от 30.05.2024 N 361/пр)</w:t>
      </w:r>
    </w:p>
    <w:p w:rsidR="00212513" w:rsidRDefault="0021251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21251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12513" w:rsidRDefault="0021251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12513" w:rsidRDefault="0021251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12513" w:rsidRDefault="00212513">
            <w:pPr>
              <w:pStyle w:val="ConsPlusNormal"/>
              <w:jc w:val="both"/>
            </w:pPr>
            <w:r>
              <w:rPr>
                <w:color w:val="392C69"/>
              </w:rPr>
              <w:t>Применение на обязательной основе п. 5.62 обеспечивает безопасность дорожного движения при его организации на территории Российской Федерации (</w:t>
            </w:r>
            <w:hyperlink r:id="rId208">
              <w:r>
                <w:rPr>
                  <w:color w:val="0000FF"/>
                </w:rPr>
                <w:t>Распоряжение</w:t>
              </w:r>
            </w:hyperlink>
            <w:r>
              <w:rPr>
                <w:color w:val="392C69"/>
              </w:rPr>
              <w:t xml:space="preserve"> Правительства РФ от 04.11.2017 N 2438-р).</w:t>
            </w:r>
          </w:p>
        </w:tc>
        <w:tc>
          <w:tcPr>
            <w:tcW w:w="113" w:type="dxa"/>
            <w:tcBorders>
              <w:top w:val="nil"/>
              <w:left w:val="nil"/>
              <w:bottom w:val="nil"/>
              <w:right w:val="nil"/>
            </w:tcBorders>
            <w:shd w:val="clear" w:color="auto" w:fill="F4F3F8"/>
            <w:tcMar>
              <w:top w:w="0" w:type="dxa"/>
              <w:left w:w="0" w:type="dxa"/>
              <w:bottom w:w="0" w:type="dxa"/>
              <w:right w:w="0" w:type="dxa"/>
            </w:tcMar>
          </w:tcPr>
          <w:p w:rsidR="00212513" w:rsidRDefault="00212513">
            <w:pPr>
              <w:pStyle w:val="ConsPlusNormal"/>
            </w:pPr>
          </w:p>
        </w:tc>
      </w:tr>
    </w:tbl>
    <w:p w:rsidR="00212513" w:rsidRDefault="00212513">
      <w:pPr>
        <w:pStyle w:val="ConsPlusNormal"/>
        <w:spacing w:before="280"/>
        <w:ind w:firstLine="540"/>
        <w:jc w:val="both"/>
      </w:pPr>
      <w:bookmarkStart w:id="22" w:name="P624"/>
      <w:bookmarkEnd w:id="22"/>
      <w:r>
        <w:t>5.62 Тротуары и обособленное трамвайное полотно на мостовом сооружении должны быть отделены от проезжей части ограждающими устройствами барьерного или парапетного типа. Применение тросовых ограждений не допускается.</w:t>
      </w:r>
    </w:p>
    <w:p w:rsidR="00212513" w:rsidRDefault="00212513">
      <w:pPr>
        <w:pStyle w:val="ConsPlusNormal"/>
        <w:spacing w:before="220"/>
        <w:ind w:firstLine="540"/>
        <w:jc w:val="both"/>
      </w:pPr>
      <w:r>
        <w:t>На деревянных мостах устанавливают колесоотбойный брус высотой не менее 0,25 м.</w:t>
      </w:r>
    </w:p>
    <w:p w:rsidR="00212513" w:rsidRDefault="00212513">
      <w:pPr>
        <w:pStyle w:val="ConsPlusNormal"/>
        <w:spacing w:before="220"/>
        <w:ind w:firstLine="540"/>
        <w:jc w:val="both"/>
      </w:pPr>
      <w:r>
        <w:t>На разделительной полосе следует предусматривать ограждения в случае, если:</w:t>
      </w:r>
    </w:p>
    <w:p w:rsidR="00212513" w:rsidRDefault="00212513">
      <w:pPr>
        <w:pStyle w:val="ConsPlusNormal"/>
        <w:spacing w:before="220"/>
        <w:ind w:firstLine="540"/>
        <w:jc w:val="both"/>
      </w:pPr>
      <w:r>
        <w:t>ограждения имеются на разделительной полосе подходов;</w:t>
      </w:r>
    </w:p>
    <w:p w:rsidR="00212513" w:rsidRDefault="00212513">
      <w:pPr>
        <w:pStyle w:val="ConsPlusNormal"/>
        <w:spacing w:before="220"/>
        <w:ind w:firstLine="540"/>
        <w:jc w:val="both"/>
      </w:pPr>
      <w:r>
        <w:t>на разделительной полосе расположены элементы конструкций мостового сооружения, опоры контактной сети, освещения и т.п.</w:t>
      </w:r>
    </w:p>
    <w:p w:rsidR="00212513" w:rsidRDefault="00212513">
      <w:pPr>
        <w:pStyle w:val="ConsPlusNormal"/>
        <w:spacing w:before="220"/>
        <w:ind w:firstLine="540"/>
        <w:jc w:val="both"/>
      </w:pPr>
      <w:r>
        <w:lastRenderedPageBreak/>
        <w:t>На переходных плитах в узлах сопряжения мостового сооружения с насыпями подходов ограждения принимают такой же удерживающей способности, как и на пролетном строении.</w:t>
      </w:r>
    </w:p>
    <w:p w:rsidR="00212513" w:rsidRDefault="00212513">
      <w:pPr>
        <w:pStyle w:val="ConsPlusNormal"/>
        <w:jc w:val="both"/>
      </w:pPr>
      <w:r>
        <w:t xml:space="preserve">(абзац введен </w:t>
      </w:r>
      <w:hyperlink r:id="rId209">
        <w:r>
          <w:rPr>
            <w:color w:val="0000FF"/>
          </w:rPr>
          <w:t>Изменением N 4</w:t>
        </w:r>
      </w:hyperlink>
      <w:r>
        <w:t>, утв. Приказом Минстроя России от 30.05.2024 N 361/пр)</w:t>
      </w:r>
    </w:p>
    <w:p w:rsidR="00212513" w:rsidRDefault="00212513">
      <w:pPr>
        <w:pStyle w:val="ConsPlusNormal"/>
        <w:spacing w:before="220"/>
        <w:ind w:firstLine="540"/>
        <w:jc w:val="both"/>
      </w:pPr>
      <w:r>
        <w:t xml:space="preserve">Конструкцию ограждения, его удерживающую способность, высоту принимают в зависимости от категории дороги или улицы, сложности дорожных условий, наличия или отсутствия на мостовом сооружении тротуаров или служебных проходов в соответствии с </w:t>
      </w:r>
      <w:hyperlink r:id="rId210">
        <w:r>
          <w:rPr>
            <w:color w:val="0000FF"/>
          </w:rPr>
          <w:t>ГОСТ Р 52289</w:t>
        </w:r>
      </w:hyperlink>
      <w:r>
        <w:t xml:space="preserve">, </w:t>
      </w:r>
      <w:hyperlink r:id="rId211">
        <w:r>
          <w:rPr>
            <w:color w:val="0000FF"/>
          </w:rPr>
          <w:t>ГОСТ Р 52607</w:t>
        </w:r>
      </w:hyperlink>
      <w:r>
        <w:t>.</w:t>
      </w:r>
    </w:p>
    <w:p w:rsidR="00212513" w:rsidRDefault="00212513">
      <w:pPr>
        <w:pStyle w:val="ConsPlusNormal"/>
        <w:jc w:val="both"/>
      </w:pPr>
      <w:r>
        <w:t xml:space="preserve">(в ред. </w:t>
      </w:r>
      <w:hyperlink r:id="rId212">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При отсутствии на мостовом сооружении тротуаров или служебных проходов барьерное ограждение устанавливают на расстоянии не менее 0,4 м от внешней поверхности ограждения до кромки плиты проезжей части, а задняя стенка сборного или монолитного парапетного ограждения может совмещаться с кромкой плиты при расчетном обосновании заделки.</w:t>
      </w:r>
    </w:p>
    <w:p w:rsidR="00212513" w:rsidRDefault="00212513">
      <w:pPr>
        <w:pStyle w:val="ConsPlusNormal"/>
        <w:jc w:val="both"/>
      </w:pPr>
      <w:r>
        <w:t xml:space="preserve">(в ред. </w:t>
      </w:r>
      <w:hyperlink r:id="rId213">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Допускается совмещать конструкции шумозащитных экранов и мачт освещения с парапетным ограждением или удерживающим пешеходным (перильным) ограждением в единую систему при технико-экономическом обосновании.</w:t>
      </w:r>
    </w:p>
    <w:p w:rsidR="00212513" w:rsidRDefault="00212513">
      <w:pPr>
        <w:pStyle w:val="ConsPlusNormal"/>
        <w:jc w:val="both"/>
      </w:pPr>
      <w:r>
        <w:t xml:space="preserve">(в ред. </w:t>
      </w:r>
      <w:hyperlink r:id="rId214">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 xml:space="preserve">При размещении шумозащитных экранов на мостовых сооружениях необходимо учитывать требования по обеспечению безопасности и видимости транспортных средств и пешеходов в соответствии с </w:t>
      </w:r>
      <w:hyperlink r:id="rId215">
        <w:r>
          <w:rPr>
            <w:color w:val="0000FF"/>
          </w:rPr>
          <w:t>СП 42.13330</w:t>
        </w:r>
      </w:hyperlink>
      <w:r>
        <w:t>.</w:t>
      </w:r>
    </w:p>
    <w:p w:rsidR="00212513" w:rsidRDefault="00212513">
      <w:pPr>
        <w:pStyle w:val="ConsPlusNormal"/>
        <w:jc w:val="both"/>
      </w:pPr>
      <w:r>
        <w:t xml:space="preserve">(в ред. </w:t>
      </w:r>
      <w:hyperlink r:id="rId216">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На пролетных строениях мостовых сооружений с железобетонной плитой проезжей части разрешается крепление барьерного и перильного ограждений, а также стоек шумозащитных экранов с помощью химических анкеров вместо закладных деталей при обосновании.</w:t>
      </w:r>
    </w:p>
    <w:p w:rsidR="00212513" w:rsidRDefault="00212513">
      <w:pPr>
        <w:pStyle w:val="ConsPlusNormal"/>
        <w:jc w:val="both"/>
      </w:pPr>
      <w:r>
        <w:t xml:space="preserve">(в ред. </w:t>
      </w:r>
      <w:hyperlink r:id="rId217">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Высоту удерживающего пешеходного ограждения тротуаров и служебных проходов с внешней стороны следует принимать не менее 1,1 м.</w:t>
      </w:r>
    </w:p>
    <w:p w:rsidR="00212513" w:rsidRDefault="00212513">
      <w:pPr>
        <w:pStyle w:val="ConsPlusNormal"/>
        <w:jc w:val="both"/>
      </w:pPr>
      <w:r>
        <w:t xml:space="preserve">(абзац введен </w:t>
      </w:r>
      <w:hyperlink r:id="rId218">
        <w:r>
          <w:rPr>
            <w:color w:val="0000FF"/>
          </w:rPr>
          <w:t>Изменением N 4</w:t>
        </w:r>
      </w:hyperlink>
      <w:r>
        <w:t>, утв. Приказом Минстроя России от 30.05.2024 N 361/пр)</w:t>
      </w:r>
    </w:p>
    <w:p w:rsidR="00212513" w:rsidRDefault="00212513">
      <w:pPr>
        <w:pStyle w:val="ConsPlusNormal"/>
        <w:spacing w:before="220"/>
        <w:ind w:firstLine="540"/>
        <w:jc w:val="both"/>
      </w:pPr>
      <w:r>
        <w:t>Конструкция перильного ограждения должна иметь заполнение, исключающее возможность падения пешеходов с мостового сооружения. Расстояния в свету между элементами заполнения не должны превышать 150 мм.</w:t>
      </w:r>
    </w:p>
    <w:p w:rsidR="00212513" w:rsidRDefault="00212513">
      <w:pPr>
        <w:pStyle w:val="ConsPlusNormal"/>
        <w:jc w:val="both"/>
      </w:pPr>
      <w:r>
        <w:t xml:space="preserve">(абзац введен </w:t>
      </w:r>
      <w:hyperlink r:id="rId219">
        <w:r>
          <w:rPr>
            <w:color w:val="0000FF"/>
          </w:rPr>
          <w:t>Изменением N 4</w:t>
        </w:r>
      </w:hyperlink>
      <w:r>
        <w:t>, утв. Приказом Минстроя России от 30.05.2024 N 361/пр)</w:t>
      </w:r>
    </w:p>
    <w:p w:rsidR="00212513" w:rsidRDefault="00212513">
      <w:pPr>
        <w:pStyle w:val="ConsPlusNormal"/>
        <w:spacing w:before="220"/>
        <w:ind w:firstLine="540"/>
        <w:jc w:val="both"/>
      </w:pPr>
      <w:r>
        <w:t xml:space="preserve">Абзацы двенадцатый, тринадцатый исключены. - </w:t>
      </w:r>
      <w:hyperlink r:id="rId220">
        <w:r>
          <w:rPr>
            <w:color w:val="0000FF"/>
          </w:rPr>
          <w:t>Изменение N 5</w:t>
        </w:r>
      </w:hyperlink>
      <w:r>
        <w:t>, утв. Приказом Минстроя России от 20.09.2024 N 636/пр)</w:t>
      </w:r>
    </w:p>
    <w:p w:rsidR="00212513" w:rsidRDefault="0021251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21251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12513" w:rsidRDefault="0021251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12513" w:rsidRDefault="0021251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12513" w:rsidRDefault="00212513">
            <w:pPr>
              <w:pStyle w:val="ConsPlusNormal"/>
              <w:jc w:val="both"/>
            </w:pPr>
            <w:r>
              <w:rPr>
                <w:color w:val="392C69"/>
              </w:rPr>
              <w:t>Применение на обязательной основе п. 5.63 обеспечивает безопасность дорожного движения при его организации на территории Российской Федерации (</w:t>
            </w:r>
            <w:hyperlink r:id="rId221">
              <w:r>
                <w:rPr>
                  <w:color w:val="0000FF"/>
                </w:rPr>
                <w:t>Распоряжение</w:t>
              </w:r>
            </w:hyperlink>
            <w:r>
              <w:rPr>
                <w:color w:val="392C69"/>
              </w:rPr>
              <w:t xml:space="preserve"> Правительства РФ от 04.11.2017 N 2438-р).</w:t>
            </w:r>
          </w:p>
        </w:tc>
        <w:tc>
          <w:tcPr>
            <w:tcW w:w="113" w:type="dxa"/>
            <w:tcBorders>
              <w:top w:val="nil"/>
              <w:left w:val="nil"/>
              <w:bottom w:val="nil"/>
              <w:right w:val="nil"/>
            </w:tcBorders>
            <w:shd w:val="clear" w:color="auto" w:fill="F4F3F8"/>
            <w:tcMar>
              <w:top w:w="0" w:type="dxa"/>
              <w:left w:w="0" w:type="dxa"/>
              <w:bottom w:w="0" w:type="dxa"/>
              <w:right w:w="0" w:type="dxa"/>
            </w:tcMar>
          </w:tcPr>
          <w:p w:rsidR="00212513" w:rsidRDefault="00212513">
            <w:pPr>
              <w:pStyle w:val="ConsPlusNormal"/>
            </w:pPr>
          </w:p>
        </w:tc>
      </w:tr>
    </w:tbl>
    <w:p w:rsidR="00212513" w:rsidRDefault="00212513">
      <w:pPr>
        <w:pStyle w:val="ConsPlusNormal"/>
        <w:spacing w:before="280"/>
        <w:ind w:firstLine="540"/>
        <w:jc w:val="both"/>
      </w:pPr>
      <w:r>
        <w:t xml:space="preserve">5.63 На городских и пешеходных мостах предусматривают стационарное электрическое освещение. Для мостовых сооружений, расположенных в городской черте, при расположении опор освещения дополнительно учитывают требования </w:t>
      </w:r>
      <w:hyperlink r:id="rId222">
        <w:r>
          <w:rPr>
            <w:color w:val="0000FF"/>
          </w:rPr>
          <w:t>пункта 5.1.7</w:t>
        </w:r>
      </w:hyperlink>
      <w:r>
        <w:t xml:space="preserve"> СП 59.13330.2020.</w:t>
      </w:r>
    </w:p>
    <w:p w:rsidR="00212513" w:rsidRDefault="00212513">
      <w:pPr>
        <w:pStyle w:val="ConsPlusNormal"/>
        <w:spacing w:before="220"/>
        <w:ind w:firstLine="540"/>
        <w:jc w:val="both"/>
      </w:pPr>
      <w:r>
        <w:t xml:space="preserve">Необходимость устройства стационарного электрического освещения, а также предъявляемые к нему требования устанавливают согласно </w:t>
      </w:r>
      <w:hyperlink r:id="rId223">
        <w:r>
          <w:rPr>
            <w:color w:val="0000FF"/>
          </w:rPr>
          <w:t>ГОСТ 33151</w:t>
        </w:r>
      </w:hyperlink>
      <w:r>
        <w:t xml:space="preserve"> и </w:t>
      </w:r>
      <w:hyperlink r:id="rId224">
        <w:r>
          <w:rPr>
            <w:color w:val="0000FF"/>
          </w:rPr>
          <w:t>ГОСТ Р 52766</w:t>
        </w:r>
      </w:hyperlink>
      <w:r>
        <w:t>.</w:t>
      </w:r>
    </w:p>
    <w:p w:rsidR="00212513" w:rsidRDefault="00212513">
      <w:pPr>
        <w:pStyle w:val="ConsPlusNormal"/>
        <w:spacing w:before="220"/>
        <w:ind w:firstLine="540"/>
        <w:jc w:val="both"/>
      </w:pPr>
      <w:r>
        <w:t xml:space="preserve">Опоры контактной сети и освещения рекомендуется располагать в створе перил (при </w:t>
      </w:r>
      <w:r>
        <w:lastRenderedPageBreak/>
        <w:t>ширине тротуаров 2,25 м и менее). В случаях расположения опор контактной сети не в створе перил расстояние до них от барьерного ограждения проезжей части должно быть не менее величины расчетного динамического прогиба ограждения, а от парапетного ограждения - не менее 0,5 м от внутренней грани парапета.</w:t>
      </w:r>
    </w:p>
    <w:p w:rsidR="00212513" w:rsidRDefault="00212513">
      <w:pPr>
        <w:pStyle w:val="ConsPlusNormal"/>
        <w:jc w:val="both"/>
      </w:pPr>
      <w:r>
        <w:t xml:space="preserve">(п. 5.63 в ред. </w:t>
      </w:r>
      <w:hyperlink r:id="rId225">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5.64 В зависимости от материала плиты проезжей части конструкцию дорожной одежды принимают состоящей из нескольких слоев, каждый из которых имеет свое функциональное назначение. Все слои дорожной одежды должны рассматриваться в виде единой конструкции и должны быть взаимоувязаны. Отдельные слои этой конструкции могут выполнять несколько функций.</w:t>
      </w:r>
    </w:p>
    <w:p w:rsidR="00212513" w:rsidRDefault="00212513">
      <w:pPr>
        <w:pStyle w:val="ConsPlusNormal"/>
        <w:jc w:val="both"/>
      </w:pPr>
      <w:r>
        <w:t xml:space="preserve">(в ред. </w:t>
      </w:r>
      <w:hyperlink r:id="rId226">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t>Все слои дорожной одежды должны иметь сцепление между собой и с плитой проезжей части, а верхний слой покрытия также обладать необходимой шероховатостью.</w:t>
      </w:r>
    </w:p>
    <w:p w:rsidR="00212513" w:rsidRDefault="00212513">
      <w:pPr>
        <w:pStyle w:val="ConsPlusNormal"/>
        <w:spacing w:before="220"/>
        <w:ind w:firstLine="540"/>
        <w:jc w:val="both"/>
      </w:pPr>
      <w:r>
        <w:t>Дорожная одежда на пролетных строениях с железобетонной плитой проезжей части может быть выполнена:</w:t>
      </w:r>
    </w:p>
    <w:p w:rsidR="00212513" w:rsidRDefault="00212513">
      <w:pPr>
        <w:pStyle w:val="ConsPlusNormal"/>
        <w:spacing w:before="220"/>
        <w:ind w:firstLine="540"/>
        <w:jc w:val="both"/>
      </w:pPr>
      <w:r>
        <w:t>- многослойной, включающей бетонный выравнивающий слой (при необходимости), гидроизоляцию, двухслойное асфальтобетонное покрытие. При выполнении гидроизоляции из материала, не допускающего укладку на него горячего асфальтобетона, поверх нее следует выполнять бетонный армируемый защитный слой;</w:t>
      </w:r>
    </w:p>
    <w:p w:rsidR="00212513" w:rsidRDefault="00212513">
      <w:pPr>
        <w:pStyle w:val="ConsPlusNormal"/>
        <w:jc w:val="both"/>
      </w:pPr>
      <w:r>
        <w:t xml:space="preserve">(в ред. </w:t>
      </w:r>
      <w:hyperlink r:id="rId227">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 xml:space="preserve">- двух- или однослойной, включающей асфальтобетонное покрытие или выравнивающий слой особо плотного бетона, выполняющие гидроизолирующие функции, и выравнивающий слой из бетона особо низкой водопроницаемости или только выравнивающий бетонный слой, выполняющий гидроизолирующие функции и функцию покрытия. Покрытие допускается устраивать на пролетных строениях, не имеющих в железобетонной плите проезжей части предварительно напряженной арматуры, и при условии, что действующие в верхних фибрах выравнивающего слоя растягивающие напряжения не превосходят расчетных сопротивлений бетона растяжению </w:t>
      </w:r>
      <w:r>
        <w:rPr>
          <w:noProof/>
          <w:position w:val="-10"/>
        </w:rPr>
        <w:drawing>
          <wp:inline distT="0" distB="0" distL="0" distR="0">
            <wp:extent cx="398780" cy="27368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398780" cy="273685"/>
                    </a:xfrm>
                    <a:prstGeom prst="rect">
                      <a:avLst/>
                    </a:prstGeom>
                    <a:noFill/>
                    <a:ln>
                      <a:noFill/>
                    </a:ln>
                  </pic:spPr>
                </pic:pic>
              </a:graphicData>
            </a:graphic>
          </wp:inline>
        </w:drawing>
      </w:r>
      <w:r>
        <w:t>. Допускается устройство выравнивающего слоя из плотного фибробетона (в том числе сверхпрочного) особо низкой водопроницаемости, выполняющего гидроизолирующие функции на пролетных строениях с железобетонной плитой проезжей части.</w:t>
      </w:r>
    </w:p>
    <w:p w:rsidR="00212513" w:rsidRDefault="00212513">
      <w:pPr>
        <w:pStyle w:val="ConsPlusNormal"/>
        <w:jc w:val="both"/>
      </w:pPr>
      <w:r>
        <w:t xml:space="preserve">(в ред. </w:t>
      </w:r>
      <w:hyperlink r:id="rId229">
        <w:r>
          <w:rPr>
            <w:color w:val="0000FF"/>
          </w:rPr>
          <w:t>Изменения N 1</w:t>
        </w:r>
      </w:hyperlink>
      <w:r>
        <w:t xml:space="preserve">, утв. Приказом Минстроя России от 03.12.2016 N 879/пр, </w:t>
      </w:r>
      <w:hyperlink r:id="rId230">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t>На стальных пролетных строениях конструкцию дорожной одежды следует выполнять с устройством антикоррозионного, защитно-сцепляющего слоев и двухслойного асфальтобетонного покрытия или тонкослойного (двух- или трехслойного) полимерного покрытия. Антикоррозионный слой в конструкции дорожной одежды может отсутствовать при выполнении его функций материалом защитно-сцепляющего слоя. Все конструктивные слои дорожной одежды следует выполнять после подготовки поверхности металла.</w:t>
      </w:r>
    </w:p>
    <w:p w:rsidR="00212513" w:rsidRDefault="00212513">
      <w:pPr>
        <w:pStyle w:val="ConsPlusNormal"/>
        <w:jc w:val="both"/>
      </w:pPr>
      <w:r>
        <w:t xml:space="preserve">(в ред. </w:t>
      </w:r>
      <w:hyperlink r:id="rId231">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Конструкции дорожной одежды и ортотропной плиты должны исключать появление трещин в покрытии над главными балками стальных пролетных строений.</w:t>
      </w:r>
    </w:p>
    <w:p w:rsidR="00212513" w:rsidRDefault="00212513">
      <w:pPr>
        <w:pStyle w:val="ConsPlusNormal"/>
        <w:spacing w:before="220"/>
        <w:ind w:firstLine="540"/>
        <w:jc w:val="both"/>
      </w:pPr>
      <w:r>
        <w:t>Дорожная одежда на пролетных строениях с настилами проезжей части из полимерных композитов (из полимерных композитных секций в виде плит) может быть выполнена:</w:t>
      </w:r>
    </w:p>
    <w:p w:rsidR="00212513" w:rsidRDefault="00212513">
      <w:pPr>
        <w:pStyle w:val="ConsPlusNormal"/>
        <w:jc w:val="both"/>
      </w:pPr>
      <w:r>
        <w:t xml:space="preserve">(в ред. </w:t>
      </w:r>
      <w:hyperlink r:id="rId232">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однослойной, состоящей из полимерного износостойкого противоскользящего покрытия;</w:t>
      </w:r>
    </w:p>
    <w:p w:rsidR="00212513" w:rsidRDefault="00212513">
      <w:pPr>
        <w:pStyle w:val="ConsPlusNormal"/>
        <w:spacing w:before="220"/>
        <w:ind w:firstLine="540"/>
        <w:jc w:val="both"/>
      </w:pPr>
      <w:r>
        <w:lastRenderedPageBreak/>
        <w:t>двух- или многослойной, включающей полимерное износостойкое и асфальтобетонное покрытие.</w:t>
      </w:r>
    </w:p>
    <w:p w:rsidR="00212513" w:rsidRDefault="00212513">
      <w:pPr>
        <w:pStyle w:val="ConsPlusNormal"/>
        <w:jc w:val="both"/>
      </w:pPr>
      <w:r>
        <w:t xml:space="preserve">(абзац введен </w:t>
      </w:r>
      <w:hyperlink r:id="rId233">
        <w:r>
          <w:rPr>
            <w:color w:val="0000FF"/>
          </w:rPr>
          <w:t>Изменением N 3</w:t>
        </w:r>
      </w:hyperlink>
      <w:r>
        <w:t>, утв. Приказом Минстроя России от 29.12.2020 N 891/пр)</w:t>
      </w:r>
    </w:p>
    <w:p w:rsidR="00212513" w:rsidRDefault="00212513">
      <w:pPr>
        <w:pStyle w:val="ConsPlusNormal"/>
        <w:spacing w:before="220"/>
        <w:ind w:firstLine="540"/>
        <w:jc w:val="both"/>
      </w:pPr>
      <w:r>
        <w:t>5.65 Выравнивающий слой под гидроизоляцию в многослойной конструкции дорожной одежды выполняют на плите проезжей части сборных пролетных строений минимальной толщиной 30 мм из мелкозернистого бетона класса по прочности на сжатие не ниже В25, морозостойкостью F</w:t>
      </w:r>
      <w:r>
        <w:rPr>
          <w:vertAlign w:val="subscript"/>
        </w:rPr>
        <w:t>1</w:t>
      </w:r>
      <w:r>
        <w:t>200 - F</w:t>
      </w:r>
      <w:r>
        <w:rPr>
          <w:vertAlign w:val="subscript"/>
        </w:rPr>
        <w:t>1</w:t>
      </w:r>
      <w:r>
        <w:t xml:space="preserve">300 и маркой по водонепроницаемости не ниже W8. Во всех остальных случаях выравнивающий слой не устраивается. В отдельных локальных зонах допускается выполнять выравнивание под гидроизоляцию полимерцементными растворами толщиной менее 30 мм на основе сухих смесей, в том числе наливного типа по </w:t>
      </w:r>
      <w:hyperlink r:id="rId234">
        <w:r>
          <w:rPr>
            <w:color w:val="0000FF"/>
          </w:rPr>
          <w:t>СП 71.13330</w:t>
        </w:r>
      </w:hyperlink>
      <w:r>
        <w:t>, с характеристиками не ниже указанных выше.</w:t>
      </w:r>
    </w:p>
    <w:p w:rsidR="00212513" w:rsidRDefault="00212513">
      <w:pPr>
        <w:pStyle w:val="ConsPlusNormal"/>
        <w:jc w:val="both"/>
      </w:pPr>
      <w:r>
        <w:t xml:space="preserve">(в ред. </w:t>
      </w:r>
      <w:hyperlink r:id="rId235">
        <w:r>
          <w:rPr>
            <w:color w:val="0000FF"/>
          </w:rPr>
          <w:t>Изменения N 3</w:t>
        </w:r>
      </w:hyperlink>
      <w:r>
        <w:t xml:space="preserve">, утв. Приказом Минстроя России от 29.12.2020 N 891/пр, </w:t>
      </w:r>
      <w:hyperlink r:id="rId236">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Защитный слой гидроизоляции из цементобетона допускается не предусматривать при соответствующем технико-экономическом обосновании. В остальных случаях защитный слой гидроизоляции выполняют толщиной не менее 40 мм из мелкозернистого бетона с водоцементным отношением не выше 0,42, прочностью на сжатие не ниже B35, морозостойкостью F</w:t>
      </w:r>
      <w:r>
        <w:rPr>
          <w:vertAlign w:val="subscript"/>
        </w:rPr>
        <w:t>2</w:t>
      </w:r>
      <w:r>
        <w:t xml:space="preserve">300, маркой по водонепроницаемости не ниже W12. Защитный слой армируют плоскими сварными сетками по </w:t>
      </w:r>
      <w:hyperlink r:id="rId237">
        <w:r>
          <w:rPr>
            <w:color w:val="0000FF"/>
          </w:rPr>
          <w:t>ГОСТ 23279</w:t>
        </w:r>
      </w:hyperlink>
      <w:r>
        <w:t>, укладка которых непосредственно на гидроизоляцию не допускается.</w:t>
      </w:r>
    </w:p>
    <w:p w:rsidR="00212513" w:rsidRDefault="00212513">
      <w:pPr>
        <w:pStyle w:val="ConsPlusNormal"/>
        <w:jc w:val="both"/>
      </w:pPr>
      <w:r>
        <w:t xml:space="preserve">(в ред. </w:t>
      </w:r>
      <w:hyperlink r:id="rId238">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t>Применение для дорожной одежды керамзитобетона не допускается.</w:t>
      </w:r>
    </w:p>
    <w:p w:rsidR="00212513" w:rsidRDefault="00212513">
      <w:pPr>
        <w:pStyle w:val="ConsPlusNormal"/>
        <w:spacing w:before="220"/>
        <w:ind w:firstLine="540"/>
        <w:jc w:val="both"/>
      </w:pPr>
      <w:r>
        <w:t>На мостах с габаритом проезжей части более 9 м при косом пересечении для создания необходимого поперечного уклона толщину выравнивающего слоя назначают с учетом строительного подъема балок пролетного строения.</w:t>
      </w:r>
    </w:p>
    <w:p w:rsidR="00212513" w:rsidRDefault="00212513">
      <w:pPr>
        <w:pStyle w:val="ConsPlusNormal"/>
        <w:jc w:val="both"/>
      </w:pPr>
      <w:r>
        <w:t xml:space="preserve">(в ред. </w:t>
      </w:r>
      <w:hyperlink r:id="rId239">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5.66 Асфальтобетонное покрытие на проезжей части выполняют двухслойным. На пролетных строениях с железобетонной плитой проезжей части толщину покрытия, укладываемого непосредственно на гидроизоляцию, принимают не менее 110 мм при использовании для покрытия уплотняемых асфальтобетонов. При укладке уплотняемых асфальтобетонов на бетонный защитный слой, устраиваемый поверх гидроизоляции, толщину покрытия принимают не менее 90 мм.</w:t>
      </w:r>
    </w:p>
    <w:p w:rsidR="00212513" w:rsidRDefault="00212513">
      <w:pPr>
        <w:pStyle w:val="ConsPlusNormal"/>
        <w:jc w:val="both"/>
      </w:pPr>
      <w:r>
        <w:t xml:space="preserve">(в ред. </w:t>
      </w:r>
      <w:hyperlink r:id="rId240">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Толщина асфальтобетонного покрытия на стальной ортотропной плите зависит от параметров ортотропной плиты (толщины листа, шага продольных ребер) и должна быть не менее 110 мм при применении уплотняемых асфальтобетонов.</w:t>
      </w:r>
    </w:p>
    <w:p w:rsidR="00212513" w:rsidRDefault="00212513">
      <w:pPr>
        <w:pStyle w:val="ConsPlusNormal"/>
        <w:spacing w:before="220"/>
        <w:ind w:firstLine="540"/>
        <w:jc w:val="both"/>
      </w:pPr>
      <w:r>
        <w:t xml:space="preserve">Абзац исключен с 4 июня 2017 года. - </w:t>
      </w:r>
      <w:hyperlink r:id="rId241">
        <w:r>
          <w:rPr>
            <w:color w:val="0000FF"/>
          </w:rPr>
          <w:t>Изменение N 1</w:t>
        </w:r>
      </w:hyperlink>
      <w:r>
        <w:t>, утв. Приказом Минстроя России от 03.12.2016 N 879/пр.</w:t>
      </w:r>
    </w:p>
    <w:p w:rsidR="00212513" w:rsidRDefault="00212513">
      <w:pPr>
        <w:pStyle w:val="ConsPlusNormal"/>
        <w:spacing w:before="220"/>
        <w:ind w:firstLine="540"/>
        <w:jc w:val="both"/>
      </w:pPr>
      <w:r>
        <w:t xml:space="preserve">Для устройства покрытия из уплотняемого асфальтобетона применяют горячие асфальтобетонные высокоплотные смеси по </w:t>
      </w:r>
      <w:hyperlink r:id="rId242">
        <w:r>
          <w:rPr>
            <w:color w:val="0000FF"/>
          </w:rPr>
          <w:t>ГОСТ Р 58406.2</w:t>
        </w:r>
      </w:hyperlink>
      <w:r>
        <w:t xml:space="preserve">, </w:t>
      </w:r>
      <w:hyperlink r:id="rId243">
        <w:r>
          <w:rPr>
            <w:color w:val="0000FF"/>
          </w:rPr>
          <w:t>ГОСТ Р 58401.1</w:t>
        </w:r>
      </w:hyperlink>
      <w:r>
        <w:t xml:space="preserve"> и </w:t>
      </w:r>
      <w:hyperlink r:id="rId244">
        <w:r>
          <w:rPr>
            <w:color w:val="0000FF"/>
          </w:rPr>
          <w:t>ГОСТ 9128</w:t>
        </w:r>
      </w:hyperlink>
      <w:r>
        <w:t xml:space="preserve"> в обоих слоях либо только в нижнем слое покрытия при применении для верхнего слоя щебеночно-мастичной смеси по </w:t>
      </w:r>
      <w:hyperlink r:id="rId245">
        <w:r>
          <w:rPr>
            <w:color w:val="0000FF"/>
          </w:rPr>
          <w:t>ГОСТ Р 58406.1</w:t>
        </w:r>
      </w:hyperlink>
      <w:r>
        <w:t xml:space="preserve">, </w:t>
      </w:r>
      <w:hyperlink r:id="rId246">
        <w:r>
          <w:rPr>
            <w:color w:val="0000FF"/>
          </w:rPr>
          <w:t>ГОСТ Р 58401.2</w:t>
        </w:r>
      </w:hyperlink>
      <w:r>
        <w:t xml:space="preserve"> и </w:t>
      </w:r>
      <w:hyperlink r:id="rId247">
        <w:r>
          <w:rPr>
            <w:color w:val="0000FF"/>
          </w:rPr>
          <w:t>ГОСТ 31015</w:t>
        </w:r>
      </w:hyperlink>
      <w:r>
        <w:t>.</w:t>
      </w:r>
    </w:p>
    <w:p w:rsidR="00212513" w:rsidRDefault="00212513">
      <w:pPr>
        <w:pStyle w:val="ConsPlusNormal"/>
        <w:jc w:val="both"/>
      </w:pPr>
      <w:r>
        <w:t xml:space="preserve">(в ред. </w:t>
      </w:r>
      <w:hyperlink r:id="rId248">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 xml:space="preserve">При применении в покрытиях на железобетонной и ортотропной плитах литых асфальтобетонных смесей по </w:t>
      </w:r>
      <w:hyperlink r:id="rId249">
        <w:r>
          <w:rPr>
            <w:color w:val="0000FF"/>
          </w:rPr>
          <w:t>ГОСТ Р 54401</w:t>
        </w:r>
      </w:hyperlink>
      <w:r>
        <w:t xml:space="preserve"> толщину покрытия принимают не менее 80 мм при устройстве обоих слоев из литого асфальтобетона, 90 мм - при выполнении в покрытии одного </w:t>
      </w:r>
      <w:r>
        <w:lastRenderedPageBreak/>
        <w:t>слоя из уплотняемого горячего асфальтобетона (или верхнего слоя из ЩМА), другого - из литого асфальтобетона.</w:t>
      </w:r>
    </w:p>
    <w:p w:rsidR="00212513" w:rsidRDefault="00212513">
      <w:pPr>
        <w:pStyle w:val="ConsPlusNormal"/>
        <w:jc w:val="both"/>
      </w:pPr>
      <w:r>
        <w:t xml:space="preserve">(абзац введен </w:t>
      </w:r>
      <w:hyperlink r:id="rId250">
        <w:r>
          <w:rPr>
            <w:color w:val="0000FF"/>
          </w:rPr>
          <w:t>Изменением N 1</w:t>
        </w:r>
      </w:hyperlink>
      <w:r>
        <w:t xml:space="preserve">, утв. Приказом Минстроя России от 03.12.2016 N 879/пр; в ред. </w:t>
      </w:r>
      <w:hyperlink r:id="rId251">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На мостах с ортотропной плитой литой асфальтобетон предпочтительно применять в верхнем слое.</w:t>
      </w:r>
    </w:p>
    <w:p w:rsidR="00212513" w:rsidRDefault="00212513">
      <w:pPr>
        <w:pStyle w:val="ConsPlusNormal"/>
        <w:jc w:val="both"/>
      </w:pPr>
      <w:r>
        <w:t xml:space="preserve">(абзац введен </w:t>
      </w:r>
      <w:hyperlink r:id="rId252">
        <w:r>
          <w:rPr>
            <w:color w:val="0000FF"/>
          </w:rPr>
          <w:t>Изменением N 1</w:t>
        </w:r>
      </w:hyperlink>
      <w:r>
        <w:t>, утв. Приказом Минстроя России от 03.12.2016 N 879/пр)</w:t>
      </w:r>
    </w:p>
    <w:p w:rsidR="00212513" w:rsidRDefault="00212513">
      <w:pPr>
        <w:pStyle w:val="ConsPlusNormal"/>
        <w:spacing w:before="220"/>
        <w:ind w:firstLine="540"/>
        <w:jc w:val="both"/>
      </w:pPr>
      <w:r>
        <w:t xml:space="preserve">Абзац исключен с 01.07.2024. - </w:t>
      </w:r>
      <w:hyperlink r:id="rId253">
        <w:r>
          <w:rPr>
            <w:color w:val="0000FF"/>
          </w:rPr>
          <w:t>Изменение N 4</w:t>
        </w:r>
      </w:hyperlink>
      <w:r>
        <w:t>, утв. Приказом Минстроя России от 30.05.2024 N 361/пр.</w:t>
      </w:r>
    </w:p>
    <w:p w:rsidR="00212513" w:rsidRDefault="00212513">
      <w:pPr>
        <w:pStyle w:val="ConsPlusNormal"/>
        <w:spacing w:before="220"/>
        <w:ind w:firstLine="540"/>
        <w:jc w:val="both"/>
      </w:pPr>
      <w:r>
        <w:t>При уплотнении асфальтобетонных смесей на мостовых сооружениях не допускается включение вибрации на катках.</w:t>
      </w:r>
    </w:p>
    <w:p w:rsidR="00212513" w:rsidRDefault="00212513">
      <w:pPr>
        <w:pStyle w:val="ConsPlusNormal"/>
        <w:spacing w:before="220"/>
        <w:ind w:firstLine="540"/>
        <w:jc w:val="both"/>
      </w:pPr>
      <w:r>
        <w:t>На пролетных строениях с габаритом проезжей части более 9 м, особенно с ортотропной плитой, укладку и уплотнение асфальтобетонных смесей следует предусматривать по симметричной схеме относительно продольной оси пролетного строения.</w:t>
      </w:r>
    </w:p>
    <w:p w:rsidR="00212513" w:rsidRDefault="00212513">
      <w:pPr>
        <w:pStyle w:val="ConsPlusNormal"/>
        <w:jc w:val="both"/>
      </w:pPr>
      <w:r>
        <w:t xml:space="preserve">(абзац введен </w:t>
      </w:r>
      <w:hyperlink r:id="rId254">
        <w:r>
          <w:rPr>
            <w:color w:val="0000FF"/>
          </w:rPr>
          <w:t>Изменением N 1</w:t>
        </w:r>
      </w:hyperlink>
      <w:r>
        <w:t xml:space="preserve">, утв. Приказом Минстроя России от 03.12.2016 N 879/пр; в ред. </w:t>
      </w:r>
      <w:hyperlink r:id="rId255">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При применении для покрытия проезжей части цементобетона его толщину принимают не менее 120 мм. Покрытие выполняют из бетона с водоцементным отношением не выше 0,42, класса по прочности на сжатие не ниже В30, маркой по водонепроницаемости не ниже W8 и маркой по морозостойкости F300 при испытаниях в хлористых солях.</w:t>
      </w:r>
    </w:p>
    <w:p w:rsidR="00212513" w:rsidRDefault="00212513">
      <w:pPr>
        <w:pStyle w:val="ConsPlusNormal"/>
        <w:spacing w:before="220"/>
        <w:ind w:firstLine="540"/>
        <w:jc w:val="both"/>
      </w:pPr>
      <w:r>
        <w:t>На пролетных строениях мостовых сооружений дорог IV - V, I-с - III-с категорий допускается в качестве дорожной одежды применять сборные железобетонные плиты толщиной не менее 120 мм поверх цементно-песчаной смеси (1:1) толщиной не менее 50 мм, уложенной непосредственно на гидроизоляцию. Стыки между плитами должны быть загерметизированы битумно-полимерной мастикой.</w:t>
      </w:r>
    </w:p>
    <w:p w:rsidR="00212513" w:rsidRDefault="00212513">
      <w:pPr>
        <w:pStyle w:val="ConsPlusNormal"/>
        <w:spacing w:before="220"/>
        <w:ind w:firstLine="540"/>
        <w:jc w:val="both"/>
      </w:pPr>
      <w:r>
        <w:t xml:space="preserve">5.67 На тротуарах покрытие выполняют толщиной 30 - 40 мм из асфальтобетонов согласно </w:t>
      </w:r>
      <w:hyperlink r:id="rId256">
        <w:r>
          <w:rPr>
            <w:color w:val="0000FF"/>
          </w:rPr>
          <w:t>ГОСТ 9128</w:t>
        </w:r>
      </w:hyperlink>
      <w:r>
        <w:t xml:space="preserve">, </w:t>
      </w:r>
      <w:hyperlink r:id="rId257">
        <w:r>
          <w:rPr>
            <w:color w:val="0000FF"/>
          </w:rPr>
          <w:t>ГОСТ Р 58406.2</w:t>
        </w:r>
      </w:hyperlink>
      <w:r>
        <w:t xml:space="preserve">, </w:t>
      </w:r>
      <w:hyperlink r:id="rId258">
        <w:r>
          <w:rPr>
            <w:color w:val="0000FF"/>
          </w:rPr>
          <w:t>ГОСТ Р 58401.1</w:t>
        </w:r>
      </w:hyperlink>
      <w:r>
        <w:t xml:space="preserve">, из щебеночно-мастичных согласно </w:t>
      </w:r>
      <w:hyperlink r:id="rId259">
        <w:r>
          <w:rPr>
            <w:color w:val="0000FF"/>
          </w:rPr>
          <w:t>ГОСТ Р 58406.1</w:t>
        </w:r>
      </w:hyperlink>
      <w:r>
        <w:t xml:space="preserve">, </w:t>
      </w:r>
      <w:hyperlink r:id="rId260">
        <w:r>
          <w:rPr>
            <w:color w:val="0000FF"/>
          </w:rPr>
          <w:t>ГОСТ Р 58401.2</w:t>
        </w:r>
      </w:hyperlink>
      <w:r>
        <w:t xml:space="preserve"> либо из литого асфальтобетона по </w:t>
      </w:r>
      <w:hyperlink r:id="rId261">
        <w:r>
          <w:rPr>
            <w:color w:val="0000FF"/>
          </w:rPr>
          <w:t>ГОСТ Р 54401</w:t>
        </w:r>
      </w:hyperlink>
      <w:r>
        <w:t>. При этом необходимо предусматривать предотвращение попадания воды с проезжей части на тротуар.</w:t>
      </w:r>
    </w:p>
    <w:p w:rsidR="00212513" w:rsidRDefault="00212513">
      <w:pPr>
        <w:pStyle w:val="ConsPlusNormal"/>
        <w:jc w:val="both"/>
      </w:pPr>
      <w:r>
        <w:t xml:space="preserve">(в ред. </w:t>
      </w:r>
      <w:hyperlink r:id="rId262">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 xml:space="preserve">Абзац исключен с 01.07.2024. - </w:t>
      </w:r>
      <w:hyperlink r:id="rId263">
        <w:r>
          <w:rPr>
            <w:color w:val="0000FF"/>
          </w:rPr>
          <w:t>Изменение N 4</w:t>
        </w:r>
      </w:hyperlink>
      <w:r>
        <w:t>, утв. Приказом Минстроя России от 30.05.2024 N 361/пр.</w:t>
      </w:r>
    </w:p>
    <w:p w:rsidR="00212513" w:rsidRDefault="00212513">
      <w:pPr>
        <w:pStyle w:val="ConsPlusNormal"/>
        <w:spacing w:before="220"/>
        <w:ind w:firstLine="540"/>
        <w:jc w:val="both"/>
      </w:pPr>
      <w:r>
        <w:t>На конструктивных элементах пешеходных участков, выполненных из полимерных композитов, устраивают полимерное износостойкое противоскользящее покрытие толщиной от 2 до 8 мм в зависимости от интенсивности пешеходного потока.</w:t>
      </w:r>
    </w:p>
    <w:p w:rsidR="00212513" w:rsidRDefault="00212513">
      <w:pPr>
        <w:pStyle w:val="ConsPlusNormal"/>
        <w:jc w:val="both"/>
      </w:pPr>
      <w:r>
        <w:t xml:space="preserve">(абзац введен </w:t>
      </w:r>
      <w:hyperlink r:id="rId264">
        <w:r>
          <w:rPr>
            <w:color w:val="0000FF"/>
          </w:rPr>
          <w:t>Изменением N 3</w:t>
        </w:r>
      </w:hyperlink>
      <w:r>
        <w:t xml:space="preserve">, утв. Приказом Минстроя России от 29.12.2020 N 891/пр; в ред. </w:t>
      </w:r>
      <w:hyperlink r:id="rId265">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 xml:space="preserve">В качестве покрытия мостового полотна как на проезжей части, так и на тротуарах и служебных проходах допускается применение полимерных тонкослойных покрытий по </w:t>
      </w:r>
      <w:hyperlink r:id="rId266">
        <w:r>
          <w:rPr>
            <w:color w:val="0000FF"/>
          </w:rPr>
          <w:t>ГОСТ Р 53627</w:t>
        </w:r>
      </w:hyperlink>
      <w:r>
        <w:t xml:space="preserve"> (общей толщиной не менее 11 мм и не более 50 мм) при обосновании.</w:t>
      </w:r>
    </w:p>
    <w:p w:rsidR="00212513" w:rsidRDefault="00212513">
      <w:pPr>
        <w:pStyle w:val="ConsPlusNormal"/>
        <w:jc w:val="both"/>
      </w:pPr>
      <w:r>
        <w:t xml:space="preserve">(абзац введен </w:t>
      </w:r>
      <w:hyperlink r:id="rId267">
        <w:r>
          <w:rPr>
            <w:color w:val="0000FF"/>
          </w:rPr>
          <w:t>Изменением N 3</w:t>
        </w:r>
      </w:hyperlink>
      <w:r>
        <w:t xml:space="preserve">, утв. Приказом Минстроя России от 29.12.2020 N 891/пр; в ред. </w:t>
      </w:r>
      <w:hyperlink r:id="rId268">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 xml:space="preserve">5.68 Систему гидроизоляции в составе дорожной одежды мостового полотна проектируют исходя из требований обеспечения ее эксплуатационной надежности при воздействии обращающихся нагрузок в интервале температуры наружного воздуха от абсолютной </w:t>
      </w:r>
      <w:r>
        <w:lastRenderedPageBreak/>
        <w:t xml:space="preserve">максимальной до температуры наиболее холодных суток (по </w:t>
      </w:r>
      <w:hyperlink r:id="rId269">
        <w:r>
          <w:rPr>
            <w:color w:val="0000FF"/>
          </w:rPr>
          <w:t>СП 131.13330</w:t>
        </w:r>
      </w:hyperlink>
      <w:r>
        <w:t>) с обеспеченностью 0,98.</w:t>
      </w:r>
    </w:p>
    <w:p w:rsidR="00212513" w:rsidRDefault="00212513">
      <w:pPr>
        <w:pStyle w:val="ConsPlusNormal"/>
        <w:jc w:val="both"/>
      </w:pPr>
      <w:r>
        <w:t xml:space="preserve">(в ред. </w:t>
      </w:r>
      <w:hyperlink r:id="rId270">
        <w:r>
          <w:rPr>
            <w:color w:val="0000FF"/>
          </w:rPr>
          <w:t>Изменения N 1</w:t>
        </w:r>
      </w:hyperlink>
      <w:r>
        <w:t xml:space="preserve">, утв. Приказом Минстроя России от 03.12.2016 N 879/пр, </w:t>
      </w:r>
      <w:hyperlink r:id="rId271">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Для гидроизоляции и защитно-сцепляющего слоя применяют мастичные, рулонные битумно-полимерные, полимерные материалы, наносимые в жидком состоянии (напыляемые покрытия на основе реактивных смол), гидроизолирующие материалы, обладающие работоспособностью в интервале указанных температур в районе строительства, необходимыми прочностью, адгезией к основанию, теплостойкостью. Гидроизоляционные материалы должны быть водостойкими, водонепроницаемыми, обладать устойчивостью к действию кислых, щелочных, солевых растворов, микроорганизмов.</w:t>
      </w:r>
    </w:p>
    <w:p w:rsidR="00212513" w:rsidRDefault="00212513">
      <w:pPr>
        <w:pStyle w:val="ConsPlusNormal"/>
        <w:jc w:val="both"/>
      </w:pPr>
      <w:r>
        <w:t xml:space="preserve">(в ред. </w:t>
      </w:r>
      <w:hyperlink r:id="rId272">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t>Гидроизоляция может быть однослойной либо представлять собой систему последовательно наносимых слоев. Используемая гидроизоляция должна быть совместима с основанием и вышерасположенными слоями дорожной одежды.</w:t>
      </w:r>
    </w:p>
    <w:p w:rsidR="00212513" w:rsidRDefault="00212513">
      <w:pPr>
        <w:pStyle w:val="ConsPlusNormal"/>
        <w:jc w:val="both"/>
      </w:pPr>
      <w:r>
        <w:t xml:space="preserve">(абзац введен </w:t>
      </w:r>
      <w:hyperlink r:id="rId273">
        <w:r>
          <w:rPr>
            <w:color w:val="0000FF"/>
          </w:rPr>
          <w:t>Изменением N 3</w:t>
        </w:r>
      </w:hyperlink>
      <w:r>
        <w:t>, утв. Приказом Минстроя России от 29.12.2020 N 891/пр)</w:t>
      </w:r>
    </w:p>
    <w:p w:rsidR="00212513" w:rsidRDefault="00212513">
      <w:pPr>
        <w:pStyle w:val="ConsPlusNormal"/>
        <w:spacing w:before="220"/>
        <w:ind w:firstLine="540"/>
        <w:jc w:val="both"/>
      </w:pPr>
      <w:r>
        <w:t>Нижний слой покрытия, в случае его выполнения из литого асфальтобетона, может рассматриваться как один из слоев гидроизоляционной системы.</w:t>
      </w:r>
    </w:p>
    <w:p w:rsidR="00212513" w:rsidRDefault="00212513">
      <w:pPr>
        <w:pStyle w:val="ConsPlusNormal"/>
        <w:jc w:val="both"/>
      </w:pPr>
      <w:r>
        <w:t xml:space="preserve">(абзац введен </w:t>
      </w:r>
      <w:hyperlink r:id="rId274">
        <w:r>
          <w:rPr>
            <w:color w:val="0000FF"/>
          </w:rPr>
          <w:t>Изменением N 3</w:t>
        </w:r>
      </w:hyperlink>
      <w:r>
        <w:t>, утв. Приказом Минстроя России от 29.12.2020 N 891/пр)</w:t>
      </w:r>
    </w:p>
    <w:p w:rsidR="00212513" w:rsidRDefault="00212513">
      <w:pPr>
        <w:pStyle w:val="ConsPlusNormal"/>
        <w:spacing w:before="220"/>
        <w:ind w:firstLine="540"/>
        <w:jc w:val="both"/>
      </w:pPr>
      <w:r>
        <w:t>Конструкция мостового полотна должна обеспечивать сплошность и непрерывность гидроизоляции. Прикрепление элементов мостового полотна с помощью сквозных анкеров, нарушающих ее сплошность, не допускается.</w:t>
      </w:r>
    </w:p>
    <w:p w:rsidR="00212513" w:rsidRDefault="00212513">
      <w:pPr>
        <w:pStyle w:val="ConsPlusNormal"/>
        <w:jc w:val="both"/>
      </w:pPr>
      <w:r>
        <w:t xml:space="preserve">(абзац введен </w:t>
      </w:r>
      <w:hyperlink r:id="rId275">
        <w:r>
          <w:rPr>
            <w:color w:val="0000FF"/>
          </w:rPr>
          <w:t>Изменением N 3</w:t>
        </w:r>
      </w:hyperlink>
      <w:r>
        <w:t>, утв. Приказом Минстроя России от 29.12.2020 N 891/пр)</w:t>
      </w:r>
    </w:p>
    <w:p w:rsidR="00212513" w:rsidRDefault="00212513">
      <w:pPr>
        <w:pStyle w:val="ConsPlusNormal"/>
        <w:spacing w:before="220"/>
        <w:ind w:firstLine="540"/>
        <w:jc w:val="both"/>
      </w:pPr>
      <w:r>
        <w:t>5.69 Конструкции деформационных швов должны обеспечивать перемещения пролетных строений в заданном интервале температур, не нарушать плавности движения транспортных средств и исключать попадание воды и грязи на опорные площадки и нижерасположенные части мостового сооружения.</w:t>
      </w:r>
    </w:p>
    <w:p w:rsidR="00212513" w:rsidRDefault="00212513">
      <w:pPr>
        <w:pStyle w:val="ConsPlusNormal"/>
        <w:spacing w:before="220"/>
        <w:ind w:firstLine="540"/>
        <w:jc w:val="both"/>
      </w:pPr>
      <w:r>
        <w:t>Конструкции деформационных швов следует анкеровать в несущих элементах пролетных строений.</w:t>
      </w:r>
    </w:p>
    <w:p w:rsidR="00212513" w:rsidRDefault="00212513">
      <w:pPr>
        <w:pStyle w:val="ConsPlusNormal"/>
        <w:jc w:val="both"/>
      </w:pPr>
      <w:r>
        <w:t xml:space="preserve">(в ред. </w:t>
      </w:r>
      <w:hyperlink r:id="rId276">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t>В случае анкеровки конструкций деформационных швов в бетонном приливе, выходящем до уровня проезжей части, марка бетона прилива по водонепроницаемости должна быть не менее W12 и по морозостойкости F</w:t>
      </w:r>
      <w:r>
        <w:rPr>
          <w:vertAlign w:val="subscript"/>
        </w:rPr>
        <w:t>2</w:t>
      </w:r>
      <w:r>
        <w:t xml:space="preserve">300. Бетон приливов должен отвечать требованиям </w:t>
      </w:r>
      <w:hyperlink r:id="rId277">
        <w:r>
          <w:rPr>
            <w:color w:val="0000FF"/>
          </w:rPr>
          <w:t>СП 28.13330</w:t>
        </w:r>
      </w:hyperlink>
      <w:r>
        <w:t xml:space="preserve"> и </w:t>
      </w:r>
      <w:hyperlink r:id="rId278">
        <w:r>
          <w:rPr>
            <w:color w:val="0000FF"/>
          </w:rPr>
          <w:t>ГОСТ 31384</w:t>
        </w:r>
      </w:hyperlink>
      <w:r>
        <w:t>. Сопряжение дорожной одежды с конструкциями деформационных швов в соответствии с указаниями разработчика деформационного шва может осуществляться посредством устройства переходной зоны из полимербетона на всю ширину и толщину покрытия проезжей части, включая систему гидроизоляции.</w:t>
      </w:r>
    </w:p>
    <w:p w:rsidR="00212513" w:rsidRDefault="00212513">
      <w:pPr>
        <w:pStyle w:val="ConsPlusNormal"/>
        <w:jc w:val="both"/>
      </w:pPr>
      <w:r>
        <w:t xml:space="preserve">(в ред. </w:t>
      </w:r>
      <w:hyperlink r:id="rId279">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t>Высоту металлического окаймления модульных и однопрофильных деформационных швов следует принимать соответствующей толщине дорожной одежды на пролетном строении.</w:t>
      </w:r>
    </w:p>
    <w:p w:rsidR="00212513" w:rsidRDefault="00212513">
      <w:pPr>
        <w:pStyle w:val="ConsPlusNormal"/>
        <w:jc w:val="both"/>
      </w:pPr>
      <w:r>
        <w:t xml:space="preserve">(абзац введен </w:t>
      </w:r>
      <w:hyperlink r:id="rId280">
        <w:r>
          <w:rPr>
            <w:color w:val="0000FF"/>
          </w:rPr>
          <w:t>Изменением N 3</w:t>
        </w:r>
      </w:hyperlink>
      <w:r>
        <w:t>, утв. Приказом Минстроя России от 29.12.2020 N 891/пр)</w:t>
      </w:r>
    </w:p>
    <w:p w:rsidR="00212513" w:rsidRDefault="00212513">
      <w:pPr>
        <w:pStyle w:val="ConsPlusNormal"/>
        <w:spacing w:before="220"/>
        <w:ind w:firstLine="540"/>
        <w:jc w:val="both"/>
      </w:pPr>
      <w:r>
        <w:t>Конструкции швов должны быть рассчитаны на воздействия ударных нагрузок при проходе транспортных средств и обладать устойчивостью против истирания.</w:t>
      </w:r>
    </w:p>
    <w:p w:rsidR="00212513" w:rsidRDefault="00212513">
      <w:pPr>
        <w:pStyle w:val="ConsPlusNormal"/>
        <w:spacing w:before="220"/>
        <w:ind w:firstLine="540"/>
        <w:jc w:val="both"/>
      </w:pPr>
      <w:r>
        <w:t>При проектировании следует применять выпускаемые серийно конструкции деформационных швов, прошедшие соответствующие квалификационные испытания, имеющие гарантии изготовителя, а также регламент по установке и эксплуатации.</w:t>
      </w:r>
    </w:p>
    <w:p w:rsidR="00212513" w:rsidRDefault="00212513">
      <w:pPr>
        <w:pStyle w:val="ConsPlusNormal"/>
        <w:jc w:val="both"/>
      </w:pPr>
      <w:r>
        <w:lastRenderedPageBreak/>
        <w:t xml:space="preserve">(абзац введен </w:t>
      </w:r>
      <w:hyperlink r:id="rId281">
        <w:r>
          <w:rPr>
            <w:color w:val="0000FF"/>
          </w:rPr>
          <w:t>Изменением N 3</w:t>
        </w:r>
      </w:hyperlink>
      <w:r>
        <w:t>, утв. Приказом Минстроя России от 29.12.2020 N 891/пр)</w:t>
      </w:r>
    </w:p>
    <w:p w:rsidR="00212513" w:rsidRDefault="00212513">
      <w:pPr>
        <w:pStyle w:val="ConsPlusNormal"/>
        <w:spacing w:before="220"/>
        <w:ind w:firstLine="540"/>
        <w:jc w:val="both"/>
      </w:pPr>
      <w:r>
        <w:t xml:space="preserve">При применении конструкций деформационных швов, пропускающих воду (гребенчатого типа, со скользящими листами), под ними следует устраивать поперечные лотки с уклоном не менее </w:t>
      </w:r>
      <w:r>
        <w:rPr>
          <w:noProof/>
          <w:position w:val="-7"/>
        </w:rPr>
        <w:drawing>
          <wp:inline distT="0" distB="0" distL="0" distR="0">
            <wp:extent cx="396875" cy="23050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396875" cy="230505"/>
                    </a:xfrm>
                    <a:prstGeom prst="rect">
                      <a:avLst/>
                    </a:prstGeom>
                    <a:noFill/>
                    <a:ln>
                      <a:noFill/>
                    </a:ln>
                  </pic:spPr>
                </pic:pic>
              </a:graphicData>
            </a:graphic>
          </wp:inline>
        </w:drawing>
      </w:r>
      <w:r>
        <w:t xml:space="preserve"> в одну или в обе стороны относительно оси пролетного строения.</w:t>
      </w:r>
    </w:p>
    <w:p w:rsidR="00212513" w:rsidRDefault="00212513">
      <w:pPr>
        <w:pStyle w:val="ConsPlusNormal"/>
        <w:spacing w:before="220"/>
        <w:ind w:firstLine="540"/>
        <w:jc w:val="both"/>
      </w:pPr>
      <w:r>
        <w:t>При конструировании деформационных швов следует предусматривать возможность их осмотра.</w:t>
      </w:r>
    </w:p>
    <w:p w:rsidR="00212513" w:rsidRDefault="00212513">
      <w:pPr>
        <w:pStyle w:val="ConsPlusNormal"/>
        <w:jc w:val="both"/>
      </w:pPr>
      <w:r>
        <w:t xml:space="preserve">(в ред. </w:t>
      </w:r>
      <w:hyperlink r:id="rId283">
        <w:r>
          <w:rPr>
            <w:color w:val="0000FF"/>
          </w:rPr>
          <w:t>Изменения N 1</w:t>
        </w:r>
      </w:hyperlink>
      <w:r>
        <w:t>, утв. Приказом Минстроя России от 03.12.2016 N 879/пр)</w:t>
      </w:r>
    </w:p>
    <w:p w:rsidR="00212513" w:rsidRDefault="00212513">
      <w:pPr>
        <w:pStyle w:val="ConsPlusNormal"/>
        <w:ind w:firstLine="540"/>
        <w:jc w:val="both"/>
      </w:pPr>
    </w:p>
    <w:p w:rsidR="00212513" w:rsidRDefault="00212513">
      <w:pPr>
        <w:pStyle w:val="ConsPlusTitle"/>
        <w:ind w:firstLine="540"/>
        <w:jc w:val="both"/>
        <w:outlineLvl w:val="2"/>
      </w:pPr>
      <w:r>
        <w:t>Сопряжение мостов с подходами</w:t>
      </w:r>
    </w:p>
    <w:p w:rsidR="00212513" w:rsidRDefault="0021251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21251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12513" w:rsidRDefault="0021251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12513" w:rsidRDefault="0021251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12513" w:rsidRDefault="00212513">
            <w:pPr>
              <w:pStyle w:val="ConsPlusNormal"/>
              <w:jc w:val="both"/>
            </w:pPr>
            <w:r>
              <w:rPr>
                <w:color w:val="392C69"/>
              </w:rPr>
              <w:t>Применение на обязательной основе п. 5.70 обеспечивает безопасность дорожного движения при его организации на территории Российской Федерации (</w:t>
            </w:r>
            <w:hyperlink r:id="rId284">
              <w:r>
                <w:rPr>
                  <w:color w:val="0000FF"/>
                </w:rPr>
                <w:t>Распоряжение</w:t>
              </w:r>
            </w:hyperlink>
            <w:r>
              <w:rPr>
                <w:color w:val="392C69"/>
              </w:rPr>
              <w:t xml:space="preserve"> Правительства РФ от 04.11.2017 N 2438-р).</w:t>
            </w:r>
          </w:p>
        </w:tc>
        <w:tc>
          <w:tcPr>
            <w:tcW w:w="113" w:type="dxa"/>
            <w:tcBorders>
              <w:top w:val="nil"/>
              <w:left w:val="nil"/>
              <w:bottom w:val="nil"/>
              <w:right w:val="nil"/>
            </w:tcBorders>
            <w:shd w:val="clear" w:color="auto" w:fill="F4F3F8"/>
            <w:tcMar>
              <w:top w:w="0" w:type="dxa"/>
              <w:left w:w="0" w:type="dxa"/>
              <w:bottom w:w="0" w:type="dxa"/>
              <w:right w:w="0" w:type="dxa"/>
            </w:tcMar>
          </w:tcPr>
          <w:p w:rsidR="00212513" w:rsidRDefault="00212513">
            <w:pPr>
              <w:pStyle w:val="ConsPlusNormal"/>
            </w:pPr>
          </w:p>
        </w:tc>
      </w:tr>
    </w:tbl>
    <w:p w:rsidR="00212513" w:rsidRDefault="00212513">
      <w:pPr>
        <w:pStyle w:val="ConsPlusNormal"/>
        <w:spacing w:before="280"/>
        <w:ind w:firstLine="540"/>
        <w:jc w:val="both"/>
      </w:pPr>
      <w:r>
        <w:t>5.70 Земляное полотно на протяжении 10 м от задней грани устоев у больших железнодорожных мостов должно быть уширено на 0,5 м с каждой стороны, у автодорожных и городских мостов - иметь ширину не менее расстояния между перилами плюс 0,5 м с каждой стороны. Переход от увеличенной ширины к нормальной следует делать плавным и осуществлять на длине 15 - 25 м.</w:t>
      </w:r>
    </w:p>
    <w:p w:rsidR="00212513" w:rsidRDefault="00212513">
      <w:pPr>
        <w:pStyle w:val="ConsPlusNormal"/>
        <w:spacing w:before="220"/>
        <w:ind w:firstLine="540"/>
        <w:jc w:val="both"/>
      </w:pPr>
      <w:r>
        <w:t>В местах примыкания насыпи к устоям железнодорожных мостов следует предусматривать меры для удержания балластной призмы от осыпания.</w:t>
      </w:r>
    </w:p>
    <w:p w:rsidR="00212513" w:rsidRDefault="00212513">
      <w:pPr>
        <w:pStyle w:val="ConsPlusNormal"/>
        <w:spacing w:before="220"/>
        <w:ind w:firstLine="540"/>
        <w:jc w:val="both"/>
      </w:pPr>
      <w:r>
        <w:t>5.71 В сопряжении автодорожных и городских мостов с геомассивами береговых склонов и подходных насыпях предусматривают устройство железобетонных переходных плит, опираемых одним концом на прилив на шкафной стенке устоя, другим - на лежень, укладываемый на щебеночную подушку; в случае монолитных переходных плит - допускается непосредственное опирание на щебеночную подушку.</w:t>
      </w:r>
    </w:p>
    <w:p w:rsidR="00212513" w:rsidRDefault="00212513">
      <w:pPr>
        <w:pStyle w:val="ConsPlusNormal"/>
        <w:jc w:val="both"/>
      </w:pPr>
      <w:r>
        <w:t xml:space="preserve">(в ред. </w:t>
      </w:r>
      <w:hyperlink r:id="rId285">
        <w:r>
          <w:rPr>
            <w:color w:val="0000FF"/>
          </w:rPr>
          <w:t>Изменения N 1</w:t>
        </w:r>
      </w:hyperlink>
      <w:r>
        <w:t xml:space="preserve">, утв. Приказом Минстроя России от 03.12.2016 N 879/пр, </w:t>
      </w:r>
      <w:hyperlink r:id="rId286">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Переходные плиты укладывают на полную ширину габарита проезжей части, включая зоны установки ограждений, и тротуаров.</w:t>
      </w:r>
    </w:p>
    <w:p w:rsidR="00212513" w:rsidRDefault="00212513">
      <w:pPr>
        <w:pStyle w:val="ConsPlusNormal"/>
        <w:jc w:val="both"/>
      </w:pPr>
      <w:r>
        <w:t xml:space="preserve">(в ред. </w:t>
      </w:r>
      <w:hyperlink r:id="rId287">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Длину плит следует принимать в зависимости от высоты насыпи и ожидаемых осадок грунта под лежнем в диапазоне от 4 до 8 м.</w:t>
      </w:r>
    </w:p>
    <w:p w:rsidR="00212513" w:rsidRDefault="00212513">
      <w:pPr>
        <w:pStyle w:val="ConsPlusNormal"/>
        <w:jc w:val="both"/>
      </w:pPr>
      <w:r>
        <w:t xml:space="preserve">(в ред. </w:t>
      </w:r>
      <w:hyperlink r:id="rId288">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На мостах с устоями (диванного типа), длину переходных плит следует назначать, учитывая необходимость соблюдения принятого профиля проезда при возможной разности осадок опорных площадок плиты, и принимать не менее 2 м.</w:t>
      </w:r>
    </w:p>
    <w:p w:rsidR="00212513" w:rsidRDefault="00212513">
      <w:pPr>
        <w:pStyle w:val="ConsPlusNormal"/>
        <w:jc w:val="both"/>
      </w:pPr>
      <w:r>
        <w:t xml:space="preserve">(в ред. </w:t>
      </w:r>
      <w:hyperlink r:id="rId289">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Щебеночная подушка должна опираться на дренирующий грунт. При слабых грунтах в основании насыпи щебеночную подушку следует укладывать на армогрунтовое основание.</w:t>
      </w:r>
    </w:p>
    <w:p w:rsidR="00212513" w:rsidRDefault="00212513">
      <w:pPr>
        <w:pStyle w:val="ConsPlusNormal"/>
        <w:jc w:val="both"/>
      </w:pPr>
      <w:r>
        <w:t xml:space="preserve">(в ред. </w:t>
      </w:r>
      <w:hyperlink r:id="rId290">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Щебеночную подушку устраивают из фракционного щебня по способу заклинки.</w:t>
      </w:r>
    </w:p>
    <w:p w:rsidR="00212513" w:rsidRDefault="00212513">
      <w:pPr>
        <w:pStyle w:val="ConsPlusNormal"/>
        <w:jc w:val="both"/>
      </w:pPr>
      <w:r>
        <w:t xml:space="preserve">(в ред. </w:t>
      </w:r>
      <w:hyperlink r:id="rId291">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 xml:space="preserve">Поверхности переходных плит и лежня должны иметь гидроизоляцию преимущественно </w:t>
      </w:r>
      <w:r>
        <w:lastRenderedPageBreak/>
        <w:t>обмазочного типа.</w:t>
      </w:r>
    </w:p>
    <w:p w:rsidR="00212513" w:rsidRDefault="00212513">
      <w:pPr>
        <w:pStyle w:val="ConsPlusNormal"/>
        <w:spacing w:before="220"/>
        <w:ind w:firstLine="540"/>
        <w:jc w:val="both"/>
      </w:pPr>
      <w:r>
        <w:t>Переходные плиты следует выполнять из бетона класса не ниже B30, с маркой по водонепроницаемости W8 и морозостойкостью, соответствующей району строительства.</w:t>
      </w:r>
    </w:p>
    <w:p w:rsidR="00212513" w:rsidRDefault="00212513">
      <w:pPr>
        <w:pStyle w:val="ConsPlusNormal"/>
        <w:jc w:val="both"/>
      </w:pPr>
      <w:r>
        <w:t xml:space="preserve">(в ред. </w:t>
      </w:r>
      <w:hyperlink r:id="rId292">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 xml:space="preserve">Абзац исключен с 30.06.2021. - </w:t>
      </w:r>
      <w:hyperlink r:id="rId293">
        <w:r>
          <w:rPr>
            <w:color w:val="0000FF"/>
          </w:rPr>
          <w:t>Изменение N 3</w:t>
        </w:r>
      </w:hyperlink>
      <w:r>
        <w:t>, утв. Приказом Минстроя России от 29.12.2020 N 891/пр.</w:t>
      </w:r>
    </w:p>
    <w:p w:rsidR="00212513" w:rsidRDefault="00212513">
      <w:pPr>
        <w:pStyle w:val="ConsPlusNormal"/>
        <w:spacing w:before="220"/>
        <w:ind w:firstLine="540"/>
        <w:jc w:val="both"/>
      </w:pPr>
      <w:r>
        <w:t>В конструкциях сопряжений мостовых искусственных сооружений с земляным полотном автомобильной дороги разрешается применять дорожное ограждение вместо мостового при условии назначения ему удерживающей способности, как у ограждения на искусственном сооружении.</w:t>
      </w:r>
    </w:p>
    <w:p w:rsidR="00212513" w:rsidRDefault="00212513">
      <w:pPr>
        <w:pStyle w:val="ConsPlusNormal"/>
        <w:jc w:val="both"/>
      </w:pPr>
      <w:r>
        <w:t xml:space="preserve">(абзац введен </w:t>
      </w:r>
      <w:hyperlink r:id="rId294">
        <w:r>
          <w:rPr>
            <w:color w:val="0000FF"/>
          </w:rPr>
          <w:t>Изменением N 3</w:t>
        </w:r>
      </w:hyperlink>
      <w:r>
        <w:t>, утв. Приказом Минстроя России от 29.12.2020 N 891/пр)</w:t>
      </w:r>
    </w:p>
    <w:p w:rsidR="00212513" w:rsidRDefault="00212513">
      <w:pPr>
        <w:pStyle w:val="ConsPlusNormal"/>
        <w:spacing w:before="220"/>
        <w:ind w:firstLine="540"/>
        <w:jc w:val="both"/>
      </w:pPr>
      <w:r>
        <w:t xml:space="preserve">Абзац исключен с 01.07.2024. - </w:t>
      </w:r>
      <w:hyperlink r:id="rId295">
        <w:r>
          <w:rPr>
            <w:color w:val="0000FF"/>
          </w:rPr>
          <w:t>Изменение N 4</w:t>
        </w:r>
      </w:hyperlink>
      <w:r>
        <w:t>, утв. Приказом Минстроя России от 30.05.2024 N 361/пр.</w:t>
      </w:r>
    </w:p>
    <w:p w:rsidR="00212513" w:rsidRDefault="00212513">
      <w:pPr>
        <w:pStyle w:val="ConsPlusNormal"/>
        <w:spacing w:before="220"/>
        <w:ind w:firstLine="540"/>
        <w:jc w:val="both"/>
      </w:pPr>
      <w:r>
        <w:t>5.72 При сопряжении мостового сооружения с насыпями подходов необходимо выполнять условия:</w:t>
      </w:r>
    </w:p>
    <w:p w:rsidR="00212513" w:rsidRDefault="00212513">
      <w:pPr>
        <w:pStyle w:val="ConsPlusNormal"/>
        <w:jc w:val="both"/>
      </w:pPr>
      <w:r>
        <w:t xml:space="preserve">(в ред. </w:t>
      </w:r>
      <w:hyperlink r:id="rId296">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а) после осадки насыпи и конуса примыкающая к насыпи часть устоя должна входить в конус на величину (считая от вершины конуса насыпи на уровне бровки полотна до грани, сопрягаемой с насыпью конструкции) не менее 0,75 м при высоте насыпи до 6 м и не менее 1,00 м при высоте насыпи свыше 6 м;</w:t>
      </w:r>
    </w:p>
    <w:p w:rsidR="00212513" w:rsidRDefault="00212513">
      <w:pPr>
        <w:pStyle w:val="ConsPlusNormal"/>
        <w:spacing w:before="220"/>
        <w:ind w:firstLine="540"/>
        <w:jc w:val="both"/>
      </w:pPr>
      <w:r>
        <w:t>б) откосы конусов должны проходить ниже подферменной площадки (в плоскости шкафной стенки) или верха боковых стенок, ограждающих шкафную часть, не менее чем на 0,50 м - для железнодорожных и на 0,40 м - для автодорожных и городских мостов. Низ конуса насыпи у необсыпных устоев не должен выходить за переднюю грань устоя. В обсыпных устоях мостов линия пересечения поверхности конуса с передней гранью устоя должна быть расположена выше уровня воды расчетного паводка (без подпора и наката волн) не менее чем на 0,50 м;</w:t>
      </w:r>
    </w:p>
    <w:p w:rsidR="00212513" w:rsidRDefault="00212513">
      <w:pPr>
        <w:pStyle w:val="ConsPlusNormal"/>
        <w:spacing w:before="220"/>
        <w:ind w:firstLine="540"/>
        <w:jc w:val="both"/>
      </w:pPr>
      <w:r>
        <w:t>в) откосы конусов необсыпных устоев должны иметь уклоны на высоте первых 6 м, считая сверху вниз от бровки насыпи, - не круче 1:1,25, на высоте следующих 6 м - не круче 1:1,50, при высоте насыпи выше 12 м - не менее 1:1,75 в пределах всего конуса или до более пологой его части;</w:t>
      </w:r>
    </w:p>
    <w:p w:rsidR="00212513" w:rsidRDefault="00212513">
      <w:pPr>
        <w:pStyle w:val="ConsPlusNormal"/>
        <w:jc w:val="both"/>
      </w:pPr>
      <w:r>
        <w:t xml:space="preserve">(в ред. </w:t>
      </w:r>
      <w:hyperlink r:id="rId297">
        <w:r>
          <w:rPr>
            <w:color w:val="0000FF"/>
          </w:rPr>
          <w:t>Изменения N 1</w:t>
        </w:r>
      </w:hyperlink>
      <w:r>
        <w:t xml:space="preserve">, утв. Приказом Минстроя России от 03.12.2016 N 879/пр, </w:t>
      </w:r>
      <w:hyperlink r:id="rId298">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г) откосы конусов обсыпных устоев должны иметь уклоны не круче 1:1,5.</w:t>
      </w:r>
    </w:p>
    <w:p w:rsidR="00212513" w:rsidRDefault="00212513">
      <w:pPr>
        <w:pStyle w:val="ConsPlusNormal"/>
        <w:spacing w:before="220"/>
        <w:ind w:firstLine="540"/>
        <w:jc w:val="both"/>
      </w:pPr>
      <w:r>
        <w:t>Для устройства более крутых откосов следует применять армогрунтовые системы.</w:t>
      </w:r>
    </w:p>
    <w:p w:rsidR="00212513" w:rsidRDefault="00212513">
      <w:pPr>
        <w:pStyle w:val="ConsPlusNormal"/>
        <w:jc w:val="both"/>
      </w:pPr>
      <w:r>
        <w:t xml:space="preserve">(в ред. </w:t>
      </w:r>
      <w:hyperlink r:id="rId299">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Устойчивость концевых участков насыпей и конусов с захватом основания следует проверять по круглоцилиндрическим или иным (обусловленным геологическим строением склона) поверхностям скольжения.</w:t>
      </w:r>
    </w:p>
    <w:p w:rsidR="00212513" w:rsidRDefault="00212513">
      <w:pPr>
        <w:pStyle w:val="ConsPlusNormal"/>
        <w:spacing w:before="220"/>
        <w:ind w:firstLine="540"/>
        <w:jc w:val="both"/>
      </w:pPr>
      <w:r>
        <w:t>При расположении опор мостов на потенциально оползневых склонах следует предусматривать превентивные конструктивно-технологические мероприятия, исключающие активизацию оползневого процесса. Передача оползневого давления на опоры не допускается.</w:t>
      </w:r>
    </w:p>
    <w:p w:rsidR="00212513" w:rsidRDefault="00212513">
      <w:pPr>
        <w:pStyle w:val="ConsPlusNormal"/>
        <w:jc w:val="both"/>
      </w:pPr>
      <w:r>
        <w:t xml:space="preserve">(в ред. </w:t>
      </w:r>
      <w:hyperlink r:id="rId300">
        <w:r>
          <w:rPr>
            <w:color w:val="0000FF"/>
          </w:rPr>
          <w:t>Изменения N 1</w:t>
        </w:r>
      </w:hyperlink>
      <w:r>
        <w:t xml:space="preserve">, утв. Приказом Минстроя России от 03.12.2016 N 879/пр, </w:t>
      </w:r>
      <w:hyperlink r:id="rId301">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lastRenderedPageBreak/>
        <w:t xml:space="preserve">Для сейсмических районов уклоны откосов конусов следует назначать в соответствии с требованиями </w:t>
      </w:r>
      <w:hyperlink r:id="rId302">
        <w:r>
          <w:rPr>
            <w:color w:val="0000FF"/>
          </w:rPr>
          <w:t>СП 14.13330</w:t>
        </w:r>
      </w:hyperlink>
      <w:r>
        <w:t>.</w:t>
      </w:r>
    </w:p>
    <w:p w:rsidR="00212513" w:rsidRDefault="00212513">
      <w:pPr>
        <w:pStyle w:val="ConsPlusNormal"/>
        <w:spacing w:before="220"/>
        <w:ind w:firstLine="540"/>
        <w:jc w:val="both"/>
      </w:pPr>
      <w:r>
        <w:t>Для устройства бесконусных сопряжений мостов с геомассивами береговых склонов и подходных насыпей следует применять устои с раздельными функциями, в которых крайние опоры воспринимают нагрузки только от пролетных строений и переходных плит, а давление грунта воспринимается армогрунтовой системой.</w:t>
      </w:r>
    </w:p>
    <w:p w:rsidR="00212513" w:rsidRDefault="00212513">
      <w:pPr>
        <w:pStyle w:val="ConsPlusNormal"/>
        <w:jc w:val="both"/>
      </w:pPr>
      <w:r>
        <w:t xml:space="preserve">(абзац введен </w:t>
      </w:r>
      <w:hyperlink r:id="rId303">
        <w:r>
          <w:rPr>
            <w:color w:val="0000FF"/>
          </w:rPr>
          <w:t>Изменением N 1</w:t>
        </w:r>
      </w:hyperlink>
      <w:r>
        <w:t>, утв. Приказом Минстроя России от 03.12.2016 N 879/пр)</w:t>
      </w:r>
    </w:p>
    <w:p w:rsidR="00212513" w:rsidRDefault="00212513">
      <w:pPr>
        <w:pStyle w:val="ConsPlusNormal"/>
        <w:spacing w:before="220"/>
        <w:ind w:firstLine="540"/>
        <w:jc w:val="both"/>
      </w:pPr>
      <w:r>
        <w:t>5.73 Крайний ряд стоек или свай устоев деревянных мостов должен входить в насыпь не менее чем на 0,50 м, считая от оси стойки до бровки конуса, при этом концы прогонов должны быть защищены от соприкосновения с грунтом.</w:t>
      </w:r>
    </w:p>
    <w:p w:rsidR="00212513" w:rsidRDefault="00212513">
      <w:pPr>
        <w:pStyle w:val="ConsPlusNormal"/>
        <w:spacing w:before="220"/>
        <w:ind w:firstLine="540"/>
        <w:jc w:val="both"/>
      </w:pPr>
      <w:r>
        <w:t>5.74 Отсыпку конусов, а также насыпей за устоями мостовых сооружений на длину поверху - не менее высоты насыпи за устоем плюс 2,0 м и понизу (в уровне естественной поверхности грунта) - не менее 2,0 м следует предусматривать из песчаного или другого дренирующего грунта с коэффициентом фильтрации (после уплотнения) не менее 2 м/сут. Дренирующую засыпку необходимо уплотнять до коэффициента уплотнения не менее 0,98.</w:t>
      </w:r>
    </w:p>
    <w:p w:rsidR="00212513" w:rsidRDefault="00212513">
      <w:pPr>
        <w:pStyle w:val="ConsPlusNormal"/>
        <w:spacing w:before="220"/>
        <w:ind w:firstLine="540"/>
        <w:jc w:val="both"/>
      </w:pPr>
      <w:r>
        <w:t xml:space="preserve">Абзацы второй, третий исключены с 4 июня 2017 года. - </w:t>
      </w:r>
      <w:hyperlink r:id="rId304">
        <w:r>
          <w:rPr>
            <w:color w:val="0000FF"/>
          </w:rPr>
          <w:t>Изменение N 1</w:t>
        </w:r>
      </w:hyperlink>
      <w:r>
        <w:t>, утв. Приказом Минстроя России от 03.12.2016 N 879/пр.</w:t>
      </w:r>
    </w:p>
    <w:p w:rsidR="00212513" w:rsidRDefault="00212513">
      <w:pPr>
        <w:pStyle w:val="ConsPlusNormal"/>
        <w:spacing w:before="220"/>
        <w:ind w:firstLine="540"/>
        <w:jc w:val="both"/>
      </w:pPr>
      <w:r>
        <w:t xml:space="preserve">5.75 Откосы конусов у мостов и путепроводов должны быть укреплены на всю высоту. Допускается применение укреплений согласно </w:t>
      </w:r>
      <w:hyperlink r:id="rId305">
        <w:r>
          <w:rPr>
            <w:color w:val="0000FF"/>
          </w:rPr>
          <w:t>ГОСТ Р 70311</w:t>
        </w:r>
      </w:hyperlink>
      <w:r>
        <w:t>. Типы укреплений откосов и подошв конусов и насыпей в пределах подтопления на подходах к мостам и у труб, а также откосов регуляционных сооружений следует назначать в зависимости от их крутизны, условий ледохода, воздействия волн и течения воды при скоростях, отвечающих максимальным расходам во время паводков: наибольших - для мостов на железных дорогах общей сети и расчетных - для остальных мостов. Отметки верха укреплений должны быть выше уровней воды, отвечающих указанным выше паводкам, с учетом подпора и наката волны на насыпь:</w:t>
      </w:r>
    </w:p>
    <w:p w:rsidR="00212513" w:rsidRDefault="00212513">
      <w:pPr>
        <w:pStyle w:val="ConsPlusNormal"/>
        <w:jc w:val="both"/>
      </w:pPr>
      <w:r>
        <w:t xml:space="preserve">(в ред. </w:t>
      </w:r>
      <w:hyperlink r:id="rId306">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у больших и средних мостов - не менее 0,50 м;</w:t>
      </w:r>
    </w:p>
    <w:p w:rsidR="00212513" w:rsidRDefault="00212513">
      <w:pPr>
        <w:pStyle w:val="ConsPlusNormal"/>
        <w:spacing w:before="220"/>
        <w:ind w:firstLine="540"/>
        <w:jc w:val="both"/>
      </w:pPr>
      <w:r>
        <w:t>у малых мостов и труб - не менее 0,25 м.</w:t>
      </w:r>
    </w:p>
    <w:p w:rsidR="00212513" w:rsidRDefault="00212513">
      <w:pPr>
        <w:pStyle w:val="ConsPlusNormal"/>
        <w:ind w:firstLine="540"/>
        <w:jc w:val="both"/>
      </w:pPr>
    </w:p>
    <w:p w:rsidR="00212513" w:rsidRDefault="00212513">
      <w:pPr>
        <w:pStyle w:val="ConsPlusTitle"/>
        <w:ind w:firstLine="540"/>
        <w:jc w:val="both"/>
        <w:outlineLvl w:val="2"/>
      </w:pPr>
      <w:r>
        <w:t>Отвод воды</w:t>
      </w:r>
    </w:p>
    <w:p w:rsidR="00212513" w:rsidRDefault="00212513">
      <w:pPr>
        <w:pStyle w:val="ConsPlusNormal"/>
        <w:ind w:firstLine="540"/>
        <w:jc w:val="both"/>
      </w:pPr>
    </w:p>
    <w:p w:rsidR="00212513" w:rsidRDefault="00212513">
      <w:pPr>
        <w:pStyle w:val="ConsPlusNormal"/>
        <w:ind w:firstLine="540"/>
        <w:jc w:val="both"/>
      </w:pPr>
      <w:r>
        <w:t xml:space="preserve">5.76 Проезжую часть и другие поверхности конструкций (в том числе тротуары), на которые может попадать вода, следует проектировать с поперечным уклоном не менее </w:t>
      </w:r>
      <w:r>
        <w:rPr>
          <w:noProof/>
          <w:position w:val="-7"/>
        </w:rPr>
        <w:drawing>
          <wp:inline distT="0" distB="0" distL="0" distR="0">
            <wp:extent cx="396875" cy="23050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396875" cy="230505"/>
                    </a:xfrm>
                    <a:prstGeom prst="rect">
                      <a:avLst/>
                    </a:prstGeom>
                    <a:noFill/>
                    <a:ln>
                      <a:noFill/>
                    </a:ln>
                  </pic:spPr>
                </pic:pic>
              </a:graphicData>
            </a:graphic>
          </wp:inline>
        </w:drawing>
      </w:r>
      <w:r>
        <w:t xml:space="preserve">, в балластных корытах железнодорожных мостов - не менее </w:t>
      </w:r>
      <w:r>
        <w:rPr>
          <w:noProof/>
          <w:position w:val="-7"/>
        </w:rPr>
        <w:drawing>
          <wp:inline distT="0" distB="0" distL="0" distR="0">
            <wp:extent cx="396875" cy="23050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396875" cy="230505"/>
                    </a:xfrm>
                    <a:prstGeom prst="rect">
                      <a:avLst/>
                    </a:prstGeom>
                    <a:noFill/>
                    <a:ln>
                      <a:noFill/>
                    </a:ln>
                  </pic:spPr>
                </pic:pic>
              </a:graphicData>
            </a:graphic>
          </wp:inline>
        </w:drawing>
      </w:r>
      <w:r>
        <w:t>.</w:t>
      </w:r>
    </w:p>
    <w:p w:rsidR="00212513" w:rsidRDefault="00212513">
      <w:pPr>
        <w:pStyle w:val="ConsPlusNormal"/>
        <w:jc w:val="both"/>
      </w:pPr>
      <w:r>
        <w:t xml:space="preserve">(в ред. </w:t>
      </w:r>
      <w:hyperlink r:id="rId309">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 xml:space="preserve">Продольный уклон поверхности проезжей части на автодорожных и городских мостах следует принимать не менее </w:t>
      </w:r>
      <w:r>
        <w:rPr>
          <w:noProof/>
          <w:position w:val="-3"/>
        </w:rPr>
        <w:drawing>
          <wp:inline distT="0" distB="0" distL="0" distR="0">
            <wp:extent cx="313055" cy="18923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313055" cy="189230"/>
                    </a:xfrm>
                    <a:prstGeom prst="rect">
                      <a:avLst/>
                    </a:prstGeom>
                    <a:noFill/>
                    <a:ln>
                      <a:noFill/>
                    </a:ln>
                  </pic:spPr>
                </pic:pic>
              </a:graphicData>
            </a:graphic>
          </wp:inline>
        </w:drawing>
      </w:r>
      <w:r>
        <w:t xml:space="preserve">, за исключением участков в зонах вершин выпуклых и вогнутых вертикальных кривых. При продольном уклоне свыше </w:t>
      </w:r>
      <w:r>
        <w:rPr>
          <w:noProof/>
          <w:position w:val="-3"/>
        </w:rPr>
        <w:drawing>
          <wp:inline distT="0" distB="0" distL="0" distR="0">
            <wp:extent cx="377190" cy="18923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377190" cy="189230"/>
                    </a:xfrm>
                    <a:prstGeom prst="rect">
                      <a:avLst/>
                    </a:prstGeom>
                    <a:noFill/>
                    <a:ln>
                      <a:noFill/>
                    </a:ln>
                  </pic:spPr>
                </pic:pic>
              </a:graphicData>
            </a:graphic>
          </wp:inline>
        </w:drawing>
      </w:r>
      <w:r>
        <w:t xml:space="preserve"> допускается уменьшение поперечного уклона при условии, что геометрическая сумма уклонов будет не менее </w:t>
      </w:r>
      <w:r>
        <w:rPr>
          <w:noProof/>
          <w:position w:val="-3"/>
        </w:rPr>
        <w:drawing>
          <wp:inline distT="0" distB="0" distL="0" distR="0">
            <wp:extent cx="398145" cy="18923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398145" cy="189230"/>
                    </a:xfrm>
                    <a:prstGeom prst="rect">
                      <a:avLst/>
                    </a:prstGeom>
                    <a:noFill/>
                    <a:ln>
                      <a:noFill/>
                    </a:ln>
                  </pic:spPr>
                </pic:pic>
              </a:graphicData>
            </a:graphic>
          </wp:inline>
        </w:drawing>
      </w:r>
      <w:r>
        <w:t>, кроме участков сопряжения с автомобильной дорогой.</w:t>
      </w:r>
    </w:p>
    <w:p w:rsidR="00212513" w:rsidRDefault="00212513">
      <w:pPr>
        <w:pStyle w:val="ConsPlusNormal"/>
        <w:jc w:val="both"/>
      </w:pPr>
      <w:r>
        <w:t xml:space="preserve">(в ред. </w:t>
      </w:r>
      <w:hyperlink r:id="rId313">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5.77 Воду с поверхности проезжей части и служебных проходов следует отводить по продольному уклону вдоль парапета (цоколя под дорожным ограждением или перилами) со сбросом воды с помощью водоотводных трубок, устанавливаемых с шагом при продольных уклонах оси их установки на проезжей части:</w:t>
      </w:r>
    </w:p>
    <w:p w:rsidR="00212513" w:rsidRDefault="00212513">
      <w:pPr>
        <w:pStyle w:val="ConsPlusNormal"/>
        <w:jc w:val="both"/>
      </w:pPr>
      <w:r>
        <w:lastRenderedPageBreak/>
        <w:t xml:space="preserve">(в ред. </w:t>
      </w:r>
      <w:hyperlink r:id="rId314">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 xml:space="preserve">до </w:t>
      </w:r>
      <w:r>
        <w:rPr>
          <w:noProof/>
          <w:position w:val="-4"/>
        </w:rPr>
        <w:drawing>
          <wp:inline distT="0" distB="0" distL="0" distR="0">
            <wp:extent cx="377190" cy="19939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xml:space="preserve"> включительно - 6 - 12 м;</w:t>
      </w:r>
    </w:p>
    <w:p w:rsidR="00212513" w:rsidRDefault="00212513">
      <w:pPr>
        <w:pStyle w:val="ConsPlusNormal"/>
        <w:spacing w:before="220"/>
        <w:ind w:firstLine="540"/>
        <w:jc w:val="both"/>
      </w:pPr>
      <w:r>
        <w:t xml:space="preserve">свыше </w:t>
      </w:r>
      <w:r>
        <w:rPr>
          <w:noProof/>
          <w:position w:val="-4"/>
        </w:rPr>
        <w:drawing>
          <wp:inline distT="0" distB="0" distL="0" distR="0">
            <wp:extent cx="377190" cy="19939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xml:space="preserve"> - не более 50 м.</w:t>
      </w:r>
    </w:p>
    <w:p w:rsidR="00212513" w:rsidRDefault="00212513">
      <w:pPr>
        <w:pStyle w:val="ConsPlusNormal"/>
        <w:spacing w:before="220"/>
        <w:ind w:firstLine="540"/>
        <w:jc w:val="both"/>
      </w:pPr>
      <w:r>
        <w:t>При длинах сооружений менее требуемых расстояний между отводными трубками, указанных выше, допускается отводить воду по продольному уклону со сбросом поперечными водоотводными лотками, расположенными на конусах.</w:t>
      </w:r>
    </w:p>
    <w:p w:rsidR="00212513" w:rsidRDefault="00212513">
      <w:pPr>
        <w:pStyle w:val="ConsPlusNormal"/>
        <w:spacing w:before="220"/>
        <w:ind w:firstLine="540"/>
        <w:jc w:val="both"/>
      </w:pPr>
      <w:r>
        <w:t>Продольный отвод воды по проезжей части через деформационные швы негерметичного типа не допускается.</w:t>
      </w:r>
    </w:p>
    <w:p w:rsidR="00212513" w:rsidRDefault="00212513">
      <w:pPr>
        <w:pStyle w:val="ConsPlusNormal"/>
        <w:spacing w:before="220"/>
        <w:ind w:firstLine="540"/>
        <w:jc w:val="both"/>
      </w:pPr>
      <w:r>
        <w:t>В исключительных случаях, при соответствующем технико-экономическом обосновании, допускается устройство поверхностных продольных лотков, устраиваемых в толщине дорожной одежды в зоне полос безопасности, в которые непосредственно осуществляется сбор воды с последующим сбросом через установленные у опор водоотводные устройства.</w:t>
      </w:r>
    </w:p>
    <w:p w:rsidR="00212513" w:rsidRDefault="00212513">
      <w:pPr>
        <w:pStyle w:val="ConsPlusNormal"/>
        <w:spacing w:before="220"/>
        <w:ind w:firstLine="540"/>
        <w:jc w:val="both"/>
      </w:pPr>
      <w:r>
        <w:t>Верх водоотводных трубок и поверхностных продольных лотков следует устраивать ниже поверхности, с которой отводится вода.</w:t>
      </w:r>
    </w:p>
    <w:p w:rsidR="00212513" w:rsidRDefault="00212513">
      <w:pPr>
        <w:pStyle w:val="ConsPlusNormal"/>
        <w:spacing w:before="220"/>
        <w:ind w:firstLine="540"/>
        <w:jc w:val="both"/>
      </w:pPr>
      <w:r>
        <w:t>Вода из водоотводных трубок (устройств) должна в обязательном порядке отводиться по системе продольных лотков, закрепленных на пролетных строениях и вертикальных водосточных труб, расположенных, как правило, у опор. В процессе отведения вода не должна попадать на находящиеся ниже конструкции сооружения, железнодорожные пути, проезжую часть и тротуары автомобильных дорог и улиц. Неорганизованный сброс воды с сооружения не допускается.</w:t>
      </w:r>
    </w:p>
    <w:p w:rsidR="00212513" w:rsidRDefault="00212513">
      <w:pPr>
        <w:pStyle w:val="ConsPlusNormal"/>
        <w:spacing w:before="220"/>
        <w:ind w:firstLine="540"/>
        <w:jc w:val="both"/>
      </w:pPr>
      <w:r>
        <w:t>При сборе воды с проезжей части она не должна попадать на тротуары и выходить за пределы полос безопасности. Водоотводные устройства, водосточные трубы и продольные лотки должны обеспечивать прием ливневого стока с соответствующего водосбора.</w:t>
      </w:r>
    </w:p>
    <w:p w:rsidR="00212513" w:rsidRDefault="00212513">
      <w:pPr>
        <w:pStyle w:val="ConsPlusNormal"/>
        <w:spacing w:before="220"/>
        <w:ind w:firstLine="540"/>
        <w:jc w:val="both"/>
      </w:pPr>
      <w:r>
        <w:t>Вода с тротуаров может отводиться самостоятельно либо на проезжую часть.</w:t>
      </w:r>
    </w:p>
    <w:p w:rsidR="00212513" w:rsidRDefault="00212513">
      <w:pPr>
        <w:pStyle w:val="ConsPlusNormal"/>
        <w:spacing w:before="220"/>
        <w:ind w:firstLine="540"/>
        <w:jc w:val="both"/>
      </w:pPr>
      <w:r>
        <w:t>Поперечные лотки на конусах должны быть организованы, как правило, сразу за открылками устоев. При этом между шкафной стенкой и лотком должен быть организован подвод воды к лотку с укреплением обочины от размыва или устройством бортового камня.</w:t>
      </w:r>
    </w:p>
    <w:p w:rsidR="00212513" w:rsidRDefault="00212513">
      <w:pPr>
        <w:pStyle w:val="ConsPlusNormal"/>
        <w:spacing w:before="220"/>
        <w:ind w:firstLine="540"/>
        <w:jc w:val="both"/>
      </w:pPr>
      <w:r>
        <w:t>На железнодорожных пролетных строениях воду допускается отводить в специальные щели между блоками главных балок (или бортов балластного корыта) либо через водоотводные трубки.</w:t>
      </w:r>
    </w:p>
    <w:p w:rsidR="00212513" w:rsidRDefault="00212513">
      <w:pPr>
        <w:pStyle w:val="ConsPlusNormal"/>
        <w:spacing w:before="220"/>
        <w:ind w:firstLine="540"/>
        <w:jc w:val="both"/>
      </w:pPr>
      <w:r>
        <w:t>На пролетных строениях автодорожных и городских мостов следует устраивать дренажную систему, включающую дренажные каналы и дренажные трубки, за исключением случаев, когда хотя бы один из слоев покрытия выполнен из литого асфальтобетона, а также при устройстве поверхностных продольных лотков, которые должны обеспечивать сбор и отвод дренажной воды.</w:t>
      </w:r>
    </w:p>
    <w:p w:rsidR="00212513" w:rsidRDefault="00212513">
      <w:pPr>
        <w:pStyle w:val="ConsPlusNormal"/>
        <w:jc w:val="both"/>
      </w:pPr>
      <w:r>
        <w:t xml:space="preserve">(в ред. </w:t>
      </w:r>
      <w:hyperlink r:id="rId316">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Дренажные каналы следует располагать поверх гидроизоляции в толще защитного слоя гидроизоляции или нижнего слоя покрытия при его отсутствии. Материал дренажного канала должен обладать прочностью, соответствующей давлению колеса автомобиля.</w:t>
      </w:r>
    </w:p>
    <w:p w:rsidR="00212513" w:rsidRDefault="00212513">
      <w:pPr>
        <w:pStyle w:val="ConsPlusNormal"/>
        <w:jc w:val="both"/>
      </w:pPr>
      <w:r>
        <w:t xml:space="preserve">(в ред. </w:t>
      </w:r>
      <w:hyperlink r:id="rId317">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Дренажные каналы в любом направлении следует выполнять шириной 100 - 200 мм. Продольные дренажные каналы располагают в местах перелома поперечного профиля при встречных уклонах гидроизоляции или у сплошных продольных цоколей. Поперечные дренажные каналы устраивают у деформационных швов с верховой стороны только в пределах внешних полос безопасности и тротуаров (служебных проходов).</w:t>
      </w:r>
    </w:p>
    <w:p w:rsidR="00212513" w:rsidRDefault="00212513">
      <w:pPr>
        <w:pStyle w:val="ConsPlusNormal"/>
        <w:spacing w:before="220"/>
        <w:ind w:firstLine="540"/>
        <w:jc w:val="both"/>
      </w:pPr>
      <w:r>
        <w:lastRenderedPageBreak/>
        <w:t>Организованный отвод воды из дренажных трубок допускается не устраивать. При наличии продольных лотков в них же осуществляется отвод дренажной воды. Отдельные продольные лотки для отвода дренажной воды не устраиваются.</w:t>
      </w:r>
    </w:p>
    <w:p w:rsidR="00212513" w:rsidRDefault="00212513">
      <w:pPr>
        <w:pStyle w:val="ConsPlusNormal"/>
        <w:jc w:val="both"/>
      </w:pPr>
      <w:r>
        <w:t xml:space="preserve">(в ред. </w:t>
      </w:r>
      <w:hyperlink r:id="rId318">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Для предотвращения увлажнения нижних поверхностей железобетонных и бетонных конструкций (консольных плит крайних балок, тротуарных блоков, оголовков опор и др.) на них следует устраивать защитные выступы (капельники) или слезники.</w:t>
      </w:r>
    </w:p>
    <w:p w:rsidR="00212513" w:rsidRDefault="00212513">
      <w:pPr>
        <w:pStyle w:val="ConsPlusNormal"/>
        <w:jc w:val="both"/>
      </w:pPr>
      <w:r>
        <w:t xml:space="preserve">(п. 5.77 в ред. </w:t>
      </w:r>
      <w:hyperlink r:id="rId319">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t>5.78 Водоотводные трубки должны иметь внутренний диаметр не менее 150 мм.</w:t>
      </w:r>
    </w:p>
    <w:p w:rsidR="00212513" w:rsidRDefault="00212513">
      <w:pPr>
        <w:pStyle w:val="ConsPlusNormal"/>
        <w:spacing w:before="220"/>
        <w:ind w:firstLine="540"/>
        <w:jc w:val="both"/>
      </w:pPr>
      <w:r>
        <w:t>Трубки для отвода дренажных вод должны иметь диаметр не менее 40 мм.</w:t>
      </w:r>
    </w:p>
    <w:p w:rsidR="00212513" w:rsidRDefault="00212513">
      <w:pPr>
        <w:pStyle w:val="ConsPlusNormal"/>
        <w:spacing w:before="220"/>
        <w:ind w:firstLine="540"/>
        <w:jc w:val="both"/>
      </w:pPr>
      <w:r>
        <w:t>Водоотводные трубки в балластных корытах железнодорожных мостов следует устраивать из расчета не менее 5 см</w:t>
      </w:r>
      <w:r>
        <w:rPr>
          <w:vertAlign w:val="superscript"/>
        </w:rPr>
        <w:t>2</w:t>
      </w:r>
      <w:r>
        <w:t xml:space="preserve"> сечения трубки на 1 м</w:t>
      </w:r>
      <w:r>
        <w:rPr>
          <w:vertAlign w:val="superscript"/>
        </w:rPr>
        <w:t>2</w:t>
      </w:r>
      <w:r>
        <w:t xml:space="preserve"> площади стока.</w:t>
      </w:r>
    </w:p>
    <w:p w:rsidR="00212513" w:rsidRDefault="00212513">
      <w:pPr>
        <w:pStyle w:val="ConsPlusNormal"/>
        <w:spacing w:before="220"/>
        <w:ind w:firstLine="540"/>
        <w:jc w:val="both"/>
      </w:pPr>
      <w:r>
        <w:t xml:space="preserve">Расстояния между дренажными трубками на проезжей части автодорожных и городских мостов должны составлять вдоль пролета не более 6 м при продольном уклоне до </w:t>
      </w:r>
      <w:r>
        <w:rPr>
          <w:noProof/>
          <w:position w:val="-7"/>
        </w:rPr>
        <w:drawing>
          <wp:inline distT="0" distB="0" distL="0" distR="0">
            <wp:extent cx="304165" cy="23050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304165" cy="230505"/>
                    </a:xfrm>
                    <a:prstGeom prst="rect">
                      <a:avLst/>
                    </a:prstGeom>
                    <a:noFill/>
                    <a:ln>
                      <a:noFill/>
                    </a:ln>
                  </pic:spPr>
                </pic:pic>
              </a:graphicData>
            </a:graphic>
          </wp:inline>
        </w:drawing>
      </w:r>
      <w:r>
        <w:t xml:space="preserve"> и 12 м - при уклонах от 5 до </w:t>
      </w:r>
      <w:r>
        <w:rPr>
          <w:noProof/>
          <w:position w:val="-7"/>
        </w:rPr>
        <w:drawing>
          <wp:inline distT="0" distB="0" distL="0" distR="0">
            <wp:extent cx="387350" cy="23050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387350" cy="230505"/>
                    </a:xfrm>
                    <a:prstGeom prst="rect">
                      <a:avLst/>
                    </a:prstGeom>
                    <a:noFill/>
                    <a:ln>
                      <a:noFill/>
                    </a:ln>
                  </pic:spPr>
                </pic:pic>
              </a:graphicData>
            </a:graphic>
          </wp:inline>
        </w:drawing>
      </w:r>
      <w:r>
        <w:t>. На более крутых уклонах расстояние между трубками может быть увеличено. Верх дренажных трубок должен находиться в уровне верха гидроизоляции.</w:t>
      </w:r>
    </w:p>
    <w:p w:rsidR="00212513" w:rsidRDefault="00212513">
      <w:pPr>
        <w:pStyle w:val="ConsPlusNormal"/>
        <w:jc w:val="both"/>
      </w:pPr>
      <w:r>
        <w:t xml:space="preserve">(в ред. </w:t>
      </w:r>
      <w:hyperlink r:id="rId322">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t>В случае совмещения точек отвода поверхностной и дренажной воды в них должны устанавливаться водоотводные трубки, имеющие функцию приема дренажной воды.</w:t>
      </w:r>
    </w:p>
    <w:p w:rsidR="00212513" w:rsidRDefault="00212513">
      <w:pPr>
        <w:pStyle w:val="ConsPlusNormal"/>
        <w:jc w:val="both"/>
      </w:pPr>
      <w:r>
        <w:t xml:space="preserve">(абзац введен </w:t>
      </w:r>
      <w:hyperlink r:id="rId323">
        <w:r>
          <w:rPr>
            <w:color w:val="0000FF"/>
          </w:rPr>
          <w:t>Изменением N 3</w:t>
        </w:r>
      </w:hyperlink>
      <w:r>
        <w:t>, утв. Приказом Минстроя России от 29.12.2020 N 891/пр)</w:t>
      </w:r>
    </w:p>
    <w:p w:rsidR="00212513" w:rsidRDefault="00212513">
      <w:pPr>
        <w:pStyle w:val="ConsPlusNormal"/>
        <w:spacing w:before="220"/>
        <w:ind w:firstLine="540"/>
        <w:jc w:val="both"/>
      </w:pPr>
      <w:r>
        <w:t xml:space="preserve">Абзац исключен с 30.06.2021. - </w:t>
      </w:r>
      <w:hyperlink r:id="rId324">
        <w:r>
          <w:rPr>
            <w:color w:val="0000FF"/>
          </w:rPr>
          <w:t>Изменение N 3</w:t>
        </w:r>
      </w:hyperlink>
      <w:r>
        <w:t>, утв. Приказом Минстроя России от 29.12.2020 N 891/пр.</w:t>
      </w:r>
    </w:p>
    <w:p w:rsidR="00212513" w:rsidRDefault="00212513">
      <w:pPr>
        <w:pStyle w:val="ConsPlusNormal"/>
        <w:spacing w:before="220"/>
        <w:ind w:firstLine="540"/>
        <w:jc w:val="both"/>
      </w:pPr>
      <w:r>
        <w:t>5.79 При необходимости сохранения вечномерзлых грунтов в основаниях устоев следует предусматривать меры, исключающие доступ воды к основанию.</w:t>
      </w:r>
    </w:p>
    <w:p w:rsidR="00212513" w:rsidRDefault="00212513">
      <w:pPr>
        <w:pStyle w:val="ConsPlusNormal"/>
        <w:spacing w:before="220"/>
        <w:ind w:firstLine="540"/>
        <w:jc w:val="both"/>
      </w:pPr>
      <w:r>
        <w:t>В случае притока поверхностной воды со стороны подходов необходимо предусматривать устройства для отвода ее за пределы земляного полотна.</w:t>
      </w:r>
    </w:p>
    <w:p w:rsidR="00212513" w:rsidRDefault="00212513">
      <w:pPr>
        <w:pStyle w:val="ConsPlusNormal"/>
        <w:ind w:firstLine="540"/>
        <w:jc w:val="both"/>
      </w:pPr>
    </w:p>
    <w:p w:rsidR="00212513" w:rsidRDefault="00212513">
      <w:pPr>
        <w:pStyle w:val="ConsPlusTitle"/>
        <w:ind w:firstLine="540"/>
        <w:jc w:val="both"/>
        <w:outlineLvl w:val="2"/>
      </w:pPr>
      <w:r>
        <w:t>Эксплуатационные обустройства</w:t>
      </w:r>
    </w:p>
    <w:p w:rsidR="00212513" w:rsidRDefault="00212513">
      <w:pPr>
        <w:pStyle w:val="ConsPlusNormal"/>
        <w:ind w:firstLine="540"/>
        <w:jc w:val="both"/>
      </w:pPr>
    </w:p>
    <w:p w:rsidR="00212513" w:rsidRDefault="00212513">
      <w:pPr>
        <w:pStyle w:val="ConsPlusNormal"/>
        <w:ind w:firstLine="540"/>
        <w:jc w:val="both"/>
      </w:pPr>
      <w:r>
        <w:t>5.80 Все части пролетных строений, видимые поверхности опор и труб должны быть доступны для осмотра и ухода, для чего следует устраивать проходы, люки, лестницы, перильные ограждения (высотой не менее 1,10 м), специальные смотровые приспособления, а также, при необходимости, закладные части для подвески временных подмостей.</w:t>
      </w:r>
    </w:p>
    <w:p w:rsidR="00212513" w:rsidRDefault="00212513">
      <w:pPr>
        <w:pStyle w:val="ConsPlusNormal"/>
        <w:jc w:val="both"/>
      </w:pPr>
      <w:r>
        <w:t xml:space="preserve">(в ред. </w:t>
      </w:r>
      <w:hyperlink r:id="rId325">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 xml:space="preserve">Для автодорожных мостов общего пользования требования к эксплуатационным обустройствам установлены в </w:t>
      </w:r>
      <w:hyperlink r:id="rId326">
        <w:r>
          <w:rPr>
            <w:color w:val="0000FF"/>
          </w:rPr>
          <w:t>ГОСТ Р 59627</w:t>
        </w:r>
      </w:hyperlink>
      <w:r>
        <w:t>.</w:t>
      </w:r>
    </w:p>
    <w:p w:rsidR="00212513" w:rsidRDefault="00212513">
      <w:pPr>
        <w:pStyle w:val="ConsPlusNormal"/>
        <w:jc w:val="both"/>
      </w:pPr>
      <w:r>
        <w:t xml:space="preserve">(абзац введен </w:t>
      </w:r>
      <w:hyperlink r:id="rId327">
        <w:r>
          <w:rPr>
            <w:color w:val="0000FF"/>
          </w:rPr>
          <w:t>Изменением N 4</w:t>
        </w:r>
      </w:hyperlink>
      <w:r>
        <w:t>, утв. Приказом Минстроя России от 30.05.2024 N 361/пр)</w:t>
      </w:r>
    </w:p>
    <w:p w:rsidR="00212513" w:rsidRDefault="00212513">
      <w:pPr>
        <w:pStyle w:val="ConsPlusNormal"/>
        <w:spacing w:before="220"/>
        <w:ind w:firstLine="540"/>
        <w:jc w:val="both"/>
      </w:pPr>
      <w:r>
        <w:t>Для пролетных строений и опор следует обеспечивать условия для выполнения работ по обслуживанию, регулированию, ремонту и замене опорных частей, включая размещение необходимого оборудования.</w:t>
      </w:r>
    </w:p>
    <w:p w:rsidR="00212513" w:rsidRDefault="00212513">
      <w:pPr>
        <w:pStyle w:val="ConsPlusNormal"/>
        <w:jc w:val="both"/>
      </w:pPr>
      <w:r>
        <w:t xml:space="preserve">(абзац введен </w:t>
      </w:r>
      <w:hyperlink r:id="rId328">
        <w:r>
          <w:rPr>
            <w:color w:val="0000FF"/>
          </w:rPr>
          <w:t>Изменением N 4</w:t>
        </w:r>
      </w:hyperlink>
      <w:r>
        <w:t>, утв. Приказом Минстроя России от 30.05.2024 N 361/пр)</w:t>
      </w:r>
    </w:p>
    <w:p w:rsidR="00212513" w:rsidRDefault="00212513">
      <w:pPr>
        <w:pStyle w:val="ConsPlusNormal"/>
        <w:spacing w:before="220"/>
        <w:ind w:firstLine="540"/>
        <w:jc w:val="both"/>
      </w:pPr>
      <w:r>
        <w:t xml:space="preserve">5.81 У каждого конца мостового сооружения (при наличии тротуара или служебного прохода) или трубы при высоте насыпи свыше 2 м для железнодорожных и свыше 4 м для </w:t>
      </w:r>
      <w:r>
        <w:lastRenderedPageBreak/>
        <w:t>автодорожных сооружений следует устраивать по откосам постоянные лестничные сходы шириной не менее 0,75 м.</w:t>
      </w:r>
    </w:p>
    <w:p w:rsidR="00212513" w:rsidRDefault="00212513">
      <w:pPr>
        <w:pStyle w:val="ConsPlusNormal"/>
        <w:jc w:val="both"/>
      </w:pPr>
      <w:r>
        <w:t xml:space="preserve">(п. 5.81 в ред. </w:t>
      </w:r>
      <w:hyperlink r:id="rId329">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5.82 В необходимых случаях (например, при строительстве мостов и труб в опытном порядке, при применении пролетных строений статически неопределимых систем, чувствительных к осадкам, при создании в стальных конструкциях предварительно напряженного состояния и др.) в проектной и рабочей документации следует предусматривать установку специальных марок или других приспособлений для осуществления контроля за общими деформациями, а также за напряженным состоянием отдельных элементов.</w:t>
      </w:r>
    </w:p>
    <w:p w:rsidR="00212513" w:rsidRDefault="00212513">
      <w:pPr>
        <w:pStyle w:val="ConsPlusNormal"/>
        <w:jc w:val="both"/>
      </w:pPr>
      <w:r>
        <w:t xml:space="preserve">(в ред. </w:t>
      </w:r>
      <w:hyperlink r:id="rId330">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5.83 На железнодорожных мостах и в путепроводах тоннельного типа при их длине свыше 50 м следует предусматривать площадки-убежища в уровне железнодорожного проезда через 50 м с каждой стороны проезда, располагаемые в шахматном порядке. При длине мостового сооружения до 100 м площадки-убежища допускается устраивать по одной с каждой стороны проезда.</w:t>
      </w:r>
    </w:p>
    <w:p w:rsidR="00212513" w:rsidRDefault="00212513">
      <w:pPr>
        <w:pStyle w:val="ConsPlusNormal"/>
        <w:spacing w:before="220"/>
        <w:ind w:firstLine="540"/>
        <w:jc w:val="both"/>
      </w:pPr>
      <w:r>
        <w:t>На линиях, где предусмотрена скорость движения поездов свыше 120 км/ч, а также в районах со средней температурой наружного воздуха наиболее холодной пятидневки с обеспеченностью 0,98 ниже минус 40 °C расстояние между площадками-убежищами должно быть не более 25 м.</w:t>
      </w:r>
    </w:p>
    <w:p w:rsidR="00212513" w:rsidRDefault="00212513">
      <w:pPr>
        <w:pStyle w:val="ConsPlusNormal"/>
        <w:spacing w:before="220"/>
        <w:ind w:firstLine="540"/>
        <w:jc w:val="both"/>
      </w:pPr>
      <w:r>
        <w:t>5.84 При строительстве и реконструкции мостовых сооружений и труб могут быть запроектированы и выполнены мероприятия, направленные на обеспечение требуемого уровня пожарной безопасности сооружения.</w:t>
      </w:r>
    </w:p>
    <w:p w:rsidR="00212513" w:rsidRDefault="00212513">
      <w:pPr>
        <w:pStyle w:val="ConsPlusNormal"/>
        <w:jc w:val="both"/>
      </w:pPr>
      <w:r>
        <w:t xml:space="preserve">(п. 5.84 в ред. </w:t>
      </w:r>
      <w:hyperlink r:id="rId331">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t>5.85 Подмостовое пространство следует использовать в соответствии с утвержденным в установленном порядке проектом планировки территорий.</w:t>
      </w:r>
    </w:p>
    <w:p w:rsidR="00212513" w:rsidRDefault="00212513">
      <w:pPr>
        <w:pStyle w:val="ConsPlusNormal"/>
        <w:jc w:val="both"/>
      </w:pPr>
      <w:r>
        <w:t xml:space="preserve">(в ред. </w:t>
      </w:r>
      <w:hyperlink r:id="rId332">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В составе проекта сооружения разрабатывают технологические, санитарно-технические, противопожарные мероприятия и другие разделы, обусловленные спецификой объекта, а также действующим законодательством.</w:t>
      </w:r>
    </w:p>
    <w:p w:rsidR="00212513" w:rsidRDefault="00212513">
      <w:pPr>
        <w:pStyle w:val="ConsPlusNormal"/>
        <w:jc w:val="both"/>
      </w:pPr>
      <w:r>
        <w:t xml:space="preserve">(абзац введен </w:t>
      </w:r>
      <w:hyperlink r:id="rId333">
        <w:r>
          <w:rPr>
            <w:color w:val="0000FF"/>
          </w:rPr>
          <w:t>Изменением N 4</w:t>
        </w:r>
      </w:hyperlink>
      <w:r>
        <w:t>, утв. Приказом Минстроя России от 30.05.2024 N 361/пр)</w:t>
      </w:r>
    </w:p>
    <w:p w:rsidR="00212513" w:rsidRDefault="00212513">
      <w:pPr>
        <w:pStyle w:val="ConsPlusNormal"/>
        <w:spacing w:before="220"/>
        <w:ind w:firstLine="540"/>
        <w:jc w:val="both"/>
      </w:pPr>
      <w:r>
        <w:t>Здания, сооружения и помещения, встраиваемые в подмостовое пространство, а также служебные помещения для размещения механизмов разводных мостов следует проектировать и оборудовать в соответствии с действующими нормативными документами.</w:t>
      </w:r>
    </w:p>
    <w:p w:rsidR="00212513" w:rsidRDefault="00212513">
      <w:pPr>
        <w:pStyle w:val="ConsPlusNormal"/>
        <w:spacing w:before="220"/>
        <w:ind w:firstLine="540"/>
        <w:jc w:val="both"/>
      </w:pPr>
      <w:r>
        <w:t>Для существующих зданий и сооружений, попадающих в зону подмостового пространства, при проектировании и строительстве мостовых сооружений должны быть разработаны дополнительные противопожарные мероприятия, направленные на обеспечение безопасности при пожаре для находящихся в зданиях и сооружениях подмостового пространства людей, а также на обеспечение пожарной безопасности мостового сооружения.</w:t>
      </w:r>
    </w:p>
    <w:p w:rsidR="00212513" w:rsidRDefault="00212513">
      <w:pPr>
        <w:pStyle w:val="ConsPlusNormal"/>
        <w:spacing w:before="220"/>
        <w:ind w:firstLine="540"/>
        <w:jc w:val="both"/>
      </w:pPr>
      <w:r>
        <w:t>5.86 Все металлические конструкции мостовых сооружений должны быть заземлены при условии:</w:t>
      </w:r>
    </w:p>
    <w:p w:rsidR="00212513" w:rsidRDefault="00212513">
      <w:pPr>
        <w:pStyle w:val="ConsPlusNormal"/>
        <w:spacing w:before="220"/>
        <w:ind w:firstLine="540"/>
        <w:jc w:val="both"/>
      </w:pPr>
      <w:r>
        <w:t>расположения на сооружении силовых кабелей;</w:t>
      </w:r>
    </w:p>
    <w:p w:rsidR="00212513" w:rsidRDefault="00212513">
      <w:pPr>
        <w:pStyle w:val="ConsPlusNormal"/>
        <w:spacing w:before="220"/>
        <w:ind w:firstLine="540"/>
        <w:jc w:val="both"/>
      </w:pPr>
      <w:r>
        <w:t>расположения на расстоянии менее 5 м от контактной сети постоянного тока и менее 10 м от контактной сети переменного тока.</w:t>
      </w:r>
    </w:p>
    <w:p w:rsidR="00212513" w:rsidRDefault="00212513">
      <w:pPr>
        <w:pStyle w:val="ConsPlusNormal"/>
        <w:spacing w:before="220"/>
        <w:ind w:firstLine="540"/>
        <w:jc w:val="both"/>
      </w:pPr>
      <w:r>
        <w:t xml:space="preserve">Также должны быть заземлены железобетонные и бетонные конструкции, </w:t>
      </w:r>
      <w:r>
        <w:lastRenderedPageBreak/>
        <w:t>поддерживающие контактную сеть.</w:t>
      </w:r>
    </w:p>
    <w:p w:rsidR="00212513" w:rsidRDefault="00212513">
      <w:pPr>
        <w:pStyle w:val="ConsPlusNormal"/>
        <w:spacing w:before="220"/>
        <w:ind w:firstLine="540"/>
        <w:jc w:val="both"/>
      </w:pPr>
      <w:r>
        <w:t>5.87 На путепроводах и пешеходных мостах через пути электрифицированных железных дорог над контактной сетью следует предусматривать устройство ограждающих и предохранительных вертикальных щитов (сеток) высотой 2,0 м. Допускается применение с каждой стороны моста горизонтальных щитов (сеток) длиной не менее 1,5 м.</w:t>
      </w:r>
    </w:p>
    <w:p w:rsidR="00212513" w:rsidRDefault="00212513">
      <w:pPr>
        <w:pStyle w:val="ConsPlusNormal"/>
        <w:spacing w:before="220"/>
        <w:ind w:firstLine="540"/>
        <w:jc w:val="both"/>
      </w:pPr>
      <w:r>
        <w:t>5.88 Железнодорожные мосты и путепроводы на путях перевозки ковшей с жидким чугуном и горячим шлаком должны иметь вместо перил специальные предохранительные ограждения, высота которых должна быть на 20 см выше верха ковшей. При этом через 50 м с каждой стороны следует предусматривать площадки-убежища, располагающиеся в шахматном порядке.</w:t>
      </w:r>
    </w:p>
    <w:p w:rsidR="00212513" w:rsidRDefault="00212513">
      <w:pPr>
        <w:pStyle w:val="ConsPlusNormal"/>
        <w:spacing w:before="220"/>
        <w:ind w:firstLine="540"/>
        <w:jc w:val="both"/>
      </w:pPr>
      <w:r>
        <w:t>Конструкции путепроводов, под которыми предполагается проход слитко-, чугуно- или шлаковозных составов, должны иметь специальные экраны, ограничивающие нагрев ограждаемых конструкций до температуры не выше 100 °C.</w:t>
      </w:r>
    </w:p>
    <w:p w:rsidR="00212513" w:rsidRDefault="00212513">
      <w:pPr>
        <w:pStyle w:val="ConsPlusNormal"/>
        <w:spacing w:before="220"/>
        <w:ind w:firstLine="540"/>
        <w:jc w:val="both"/>
      </w:pPr>
      <w:r>
        <w:t>5.89 На всех мостах не допускается прокладка нефтепроводов, нефтепродуктопроводов и, как правило, линий высоковольтных электропередач (напряжением свыше 1000 В). Кроме того, на мостах не допускается прокладка газопроводов и канализационных трубопроводов, а также водопроводных линий.</w:t>
      </w:r>
    </w:p>
    <w:p w:rsidR="00212513" w:rsidRDefault="00212513">
      <w:pPr>
        <w:pStyle w:val="ConsPlusNormal"/>
        <w:spacing w:before="220"/>
        <w:ind w:firstLine="540"/>
        <w:jc w:val="both"/>
      </w:pPr>
      <w:r>
        <w:t>При специальном технико-экономическом обосновании на автодорожных, городских и пешеходных мостах допускается прокладка в стальных трубах тепловых сетей, водопроводных линий, напорной канализации и газопроводов с рабочим давлением не более 0,6 МПа.</w:t>
      </w:r>
    </w:p>
    <w:p w:rsidR="00212513" w:rsidRDefault="00212513">
      <w:pPr>
        <w:pStyle w:val="ConsPlusNormal"/>
        <w:spacing w:before="220"/>
        <w:ind w:firstLine="540"/>
        <w:jc w:val="both"/>
      </w:pPr>
      <w:r>
        <w:t>Во всех случаях должны быть предусмотрены меры по обеспечению сохранности моста, а также непрерывности и безопасности движения по нему в случаях прорывов и повреждений трубопроводов и кабелей. Для этого на больших и средних мостах как правило, а на железнодорожных мостах обязательно линии электропередачи и другие коммуникации должны иметь устройства для выключения этих линий и коммуникаций с обеих сторон моста.</w:t>
      </w:r>
    </w:p>
    <w:p w:rsidR="00212513" w:rsidRDefault="00212513">
      <w:pPr>
        <w:pStyle w:val="ConsPlusNormal"/>
        <w:spacing w:before="220"/>
        <w:ind w:firstLine="540"/>
        <w:jc w:val="both"/>
      </w:pPr>
      <w:r>
        <w:t>Примечание - В обоснованных случаях на городских и автодорожных мостах, расположенных в населенных пунктах, допускается прокладка кабельных линий высоковольтных электропередач при условии обеспечения безопасности работ по текущему содержанию моста.</w:t>
      </w:r>
    </w:p>
    <w:p w:rsidR="00212513" w:rsidRDefault="00212513">
      <w:pPr>
        <w:pStyle w:val="ConsPlusNormal"/>
        <w:spacing w:before="220"/>
        <w:ind w:firstLine="540"/>
        <w:jc w:val="both"/>
      </w:pPr>
      <w:r>
        <w:t>Прокладка кабельных маслонаполненных линий и высоковольтных воздушных электропередач по мостам не разрешается.</w:t>
      </w:r>
    </w:p>
    <w:p w:rsidR="00212513" w:rsidRDefault="00212513">
      <w:pPr>
        <w:pStyle w:val="ConsPlusNormal"/>
        <w:ind w:firstLine="540"/>
        <w:jc w:val="both"/>
      </w:pPr>
    </w:p>
    <w:p w:rsidR="00212513" w:rsidRDefault="00212513">
      <w:pPr>
        <w:pStyle w:val="ConsPlusNormal"/>
        <w:ind w:firstLine="540"/>
        <w:jc w:val="both"/>
      </w:pPr>
      <w:r>
        <w:t>5.90 Мосты должны иметь приспособления для пропуска линий связи, предусмотренных на данной дороге, и других коммуникаций, разрешенных для данного сооружения, а на железных дорогах (в том числе и на линиях, где электрическая тяга поездов первоначально не предусмотрена) и в городах при троллейбусном и трамвайном движении - также устройства для подвески контактной сети.</w:t>
      </w:r>
    </w:p>
    <w:p w:rsidR="00212513" w:rsidRDefault="00212513">
      <w:pPr>
        <w:pStyle w:val="ConsPlusNormal"/>
        <w:spacing w:before="220"/>
        <w:ind w:firstLine="540"/>
        <w:jc w:val="both"/>
      </w:pPr>
      <w:r>
        <w:t>Для прокладки труб и кабелей следует, как правило, предусматривать специальные конструктивные элементы (выносные консоли, поперечные диафрагмы, наружные подвески и т.п.), не препятствующие выполнению работ по текущему содержанию и ремонту моста.</w:t>
      </w:r>
    </w:p>
    <w:p w:rsidR="00212513" w:rsidRDefault="00212513">
      <w:pPr>
        <w:pStyle w:val="ConsPlusNormal"/>
        <w:spacing w:before="220"/>
        <w:ind w:firstLine="540"/>
        <w:jc w:val="both"/>
      </w:pPr>
      <w:r>
        <w:t>Прокладка коммуникаций под тротуарными плитами и на разделительной полосе допускается при защите от повреждений во время эксплуатации как коммуникаций, так и конструкций моста. В случае прокладки коммуникаций в замкнутых полостях блоков под тротуарными плитами необходимо устройство в них гидроизоляции и отверстий для водоотвода.</w:t>
      </w:r>
    </w:p>
    <w:p w:rsidR="00212513" w:rsidRDefault="00212513">
      <w:pPr>
        <w:pStyle w:val="ConsPlusNormal"/>
        <w:spacing w:before="220"/>
        <w:ind w:firstLine="540"/>
        <w:jc w:val="both"/>
      </w:pPr>
      <w:r>
        <w:t xml:space="preserve">5.91 Железнодорожные и автодорожные мосты с разводными пролетами, а также мосты с совмещенной проезжей частью (для неодновременного движения рельсовых и безрельсовых транспортных средств) должны быть ограждены с обеих сторон сигналами прикрытия, </w:t>
      </w:r>
      <w:r>
        <w:lastRenderedPageBreak/>
        <w:t>находящимися на расстоянии не менее 50 м от въездов на них.</w:t>
      </w:r>
    </w:p>
    <w:p w:rsidR="00212513" w:rsidRDefault="00212513">
      <w:pPr>
        <w:pStyle w:val="ConsPlusNormal"/>
        <w:spacing w:before="220"/>
        <w:ind w:firstLine="540"/>
        <w:jc w:val="both"/>
      </w:pPr>
      <w:r>
        <w:t>Открывание сигналов прикрытия должно быть возможным только при неразведенном положении разводного пролета, а также при незанятом состоянии совмещенного проезда.</w:t>
      </w:r>
    </w:p>
    <w:p w:rsidR="00212513" w:rsidRDefault="00212513">
      <w:pPr>
        <w:pStyle w:val="ConsPlusNormal"/>
        <w:spacing w:before="220"/>
        <w:ind w:firstLine="540"/>
        <w:jc w:val="both"/>
      </w:pPr>
      <w:r>
        <w:t>Железнодорожные мосты с разводными пролетами, а также однопутные мосты на двухпутных участках дороги должны быть защищены предохранительными (улавливающими) тупиками или устройствами путевого заграждения.</w:t>
      </w:r>
    </w:p>
    <w:p w:rsidR="00212513" w:rsidRDefault="00212513">
      <w:pPr>
        <w:pStyle w:val="ConsPlusNormal"/>
        <w:spacing w:before="220"/>
        <w:ind w:firstLine="540"/>
        <w:jc w:val="both"/>
      </w:pPr>
      <w:r>
        <w:t>Для больших железнодорожных мостов следует предусматривать устройство заградительной и оповестительной сигнализации.</w:t>
      </w:r>
    </w:p>
    <w:p w:rsidR="00212513" w:rsidRDefault="00212513">
      <w:pPr>
        <w:pStyle w:val="ConsPlusNormal"/>
        <w:jc w:val="both"/>
      </w:pPr>
      <w:r>
        <w:t xml:space="preserve">(в ред. </w:t>
      </w:r>
      <w:hyperlink r:id="rId334">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Судоходные пролеты на мостах через водные пути должны быть оборудованы освещаемой судовой сигнализацией.</w:t>
      </w:r>
    </w:p>
    <w:p w:rsidR="00212513" w:rsidRDefault="00212513">
      <w:pPr>
        <w:pStyle w:val="ConsPlusNormal"/>
        <w:spacing w:before="220"/>
        <w:ind w:firstLine="540"/>
        <w:jc w:val="both"/>
      </w:pPr>
      <w:r>
        <w:t>Для железнодорожных мостов с пролетными строениями с ездой понизу и с ездой посредине, требующих по перечню, установленному владельцем инфраструктуры, проверку габарита подвижного состава, следует предусматривать контрольно-габаритные устройства.</w:t>
      </w:r>
    </w:p>
    <w:p w:rsidR="00212513" w:rsidRDefault="00212513">
      <w:pPr>
        <w:pStyle w:val="ConsPlusNormal"/>
        <w:jc w:val="both"/>
      </w:pPr>
      <w:r>
        <w:t xml:space="preserve">(абзац введен </w:t>
      </w:r>
      <w:hyperlink r:id="rId335">
        <w:r>
          <w:rPr>
            <w:color w:val="0000FF"/>
          </w:rPr>
          <w:t>Изменением N 4</w:t>
        </w:r>
      </w:hyperlink>
      <w:r>
        <w:t>, утв. Приказом Минстроя России от 30.05.2024 N 361/пр)</w:t>
      </w:r>
    </w:p>
    <w:p w:rsidR="00212513" w:rsidRDefault="00212513">
      <w:pPr>
        <w:pStyle w:val="ConsPlusNormal"/>
        <w:spacing w:before="220"/>
        <w:ind w:firstLine="540"/>
        <w:jc w:val="both"/>
      </w:pPr>
      <w:r>
        <w:t>5.92 Проектируют служебные и охранные помещения или сооружения в соответствии с заданием на проектирование.</w:t>
      </w:r>
    </w:p>
    <w:p w:rsidR="00212513" w:rsidRDefault="00212513">
      <w:pPr>
        <w:pStyle w:val="ConsPlusNormal"/>
        <w:jc w:val="both"/>
      </w:pPr>
      <w:r>
        <w:t xml:space="preserve">(п. 5.92 в ред. </w:t>
      </w:r>
      <w:hyperlink r:id="rId336">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5.92а На больших железнодорожных мостах для механизации работ по текущему содержанию и ремонту следует предусматривать устройство линий подачи сжатого воздуха, а также линий продольного электроснабжения с токоразборными точками.</w:t>
      </w:r>
    </w:p>
    <w:p w:rsidR="00212513" w:rsidRDefault="00212513">
      <w:pPr>
        <w:pStyle w:val="ConsPlusNormal"/>
        <w:jc w:val="both"/>
      </w:pPr>
      <w:r>
        <w:t xml:space="preserve">(п. 5.92а введен </w:t>
      </w:r>
      <w:hyperlink r:id="rId337">
        <w:r>
          <w:rPr>
            <w:color w:val="0000FF"/>
          </w:rPr>
          <w:t>Изменением N 4</w:t>
        </w:r>
      </w:hyperlink>
      <w:r>
        <w:t>, утв. Приказом Минстроя России от 30.05.2024 N 361/пр)</w:t>
      </w:r>
    </w:p>
    <w:p w:rsidR="00212513" w:rsidRDefault="00212513">
      <w:pPr>
        <w:pStyle w:val="ConsPlusNormal"/>
        <w:spacing w:before="220"/>
        <w:ind w:firstLine="540"/>
        <w:jc w:val="both"/>
      </w:pPr>
      <w:r>
        <w:t>5.92б При устройстве комплекса технических средств организации дорожного движения под мостовым сооружением, включающего в себя нанесение на верхний слой покрытия дорожной одежды световозвращающей дорожной разметки и установку направляющих устройств, оборудованных световозвращающими элементами, допускается отказаться от обязательного устройства наружного освещения подмостового пространства искусственных сооружений.</w:t>
      </w:r>
    </w:p>
    <w:p w:rsidR="00212513" w:rsidRDefault="00212513">
      <w:pPr>
        <w:pStyle w:val="ConsPlusNormal"/>
        <w:jc w:val="both"/>
      </w:pPr>
      <w:r>
        <w:t xml:space="preserve">(п. 5.92б введен </w:t>
      </w:r>
      <w:hyperlink r:id="rId338">
        <w:r>
          <w:rPr>
            <w:color w:val="0000FF"/>
          </w:rPr>
          <w:t>Изменением N 4</w:t>
        </w:r>
      </w:hyperlink>
      <w:r>
        <w:t>, утв. Приказом Минстроя России от 30.05.2024 N 361/пр)</w:t>
      </w:r>
    </w:p>
    <w:p w:rsidR="00212513" w:rsidRDefault="00212513">
      <w:pPr>
        <w:pStyle w:val="ConsPlusNormal"/>
        <w:spacing w:before="220"/>
        <w:ind w:firstLine="540"/>
        <w:jc w:val="both"/>
      </w:pPr>
      <w:r>
        <w:t>5.92в В целях обеспечения возможности перенаправлять движение автотранспортных средств во время текущего или аварийного ремонта при наличии разделительной полосы на подходах к мостовому сооружению рекомендуется предусматривать сборно-разборные варианты конструкции ограждений, располагающихся в разделительной полосе и, при необходимости, площадки для устройства реверсивного движения.</w:t>
      </w:r>
    </w:p>
    <w:p w:rsidR="00212513" w:rsidRDefault="00212513">
      <w:pPr>
        <w:pStyle w:val="ConsPlusNormal"/>
        <w:jc w:val="both"/>
      </w:pPr>
      <w:r>
        <w:t xml:space="preserve">(п. 5.92в введен </w:t>
      </w:r>
      <w:hyperlink r:id="rId339">
        <w:r>
          <w:rPr>
            <w:color w:val="0000FF"/>
          </w:rPr>
          <w:t>Изменением N 4</w:t>
        </w:r>
      </w:hyperlink>
      <w:r>
        <w:t>, утв. Приказом Минстроя России от 30.05.2024 N 361/пр)</w:t>
      </w:r>
    </w:p>
    <w:p w:rsidR="00212513" w:rsidRDefault="00212513">
      <w:pPr>
        <w:pStyle w:val="ConsPlusNormal"/>
        <w:spacing w:before="220"/>
        <w:ind w:firstLine="540"/>
        <w:jc w:val="both"/>
      </w:pPr>
      <w:r>
        <w:t>5.92г Для борьбы с гололедными явлениями на автодорожных мостовых сооружениях допускается устраивать автоматические антигололедные системы.</w:t>
      </w:r>
    </w:p>
    <w:p w:rsidR="00212513" w:rsidRDefault="00212513">
      <w:pPr>
        <w:pStyle w:val="ConsPlusNormal"/>
        <w:jc w:val="both"/>
      </w:pPr>
      <w:r>
        <w:t xml:space="preserve">(п. 5.92г введен </w:t>
      </w:r>
      <w:hyperlink r:id="rId340">
        <w:r>
          <w:rPr>
            <w:color w:val="0000FF"/>
          </w:rPr>
          <w:t>Изменением N 4</w:t>
        </w:r>
      </w:hyperlink>
      <w:r>
        <w:t>, утв. Приказом Минстроя России от 30.05.2024 N 361/пр)</w:t>
      </w:r>
    </w:p>
    <w:p w:rsidR="00212513" w:rsidRDefault="00212513">
      <w:pPr>
        <w:pStyle w:val="ConsPlusNormal"/>
        <w:ind w:firstLine="540"/>
        <w:jc w:val="both"/>
      </w:pPr>
    </w:p>
    <w:p w:rsidR="00212513" w:rsidRDefault="00212513">
      <w:pPr>
        <w:pStyle w:val="ConsPlusTitle"/>
        <w:ind w:firstLine="540"/>
        <w:jc w:val="both"/>
        <w:outlineLvl w:val="2"/>
      </w:pPr>
      <w:r>
        <w:t>Авторский надзор, научно-техническое сопровождение и мониторинг</w:t>
      </w:r>
    </w:p>
    <w:p w:rsidR="00212513" w:rsidRDefault="00212513">
      <w:pPr>
        <w:pStyle w:val="ConsPlusNormal"/>
        <w:ind w:firstLine="540"/>
        <w:jc w:val="both"/>
      </w:pPr>
    </w:p>
    <w:p w:rsidR="00212513" w:rsidRDefault="00212513">
      <w:pPr>
        <w:pStyle w:val="ConsPlusNormal"/>
        <w:ind w:firstLine="540"/>
        <w:jc w:val="both"/>
      </w:pPr>
      <w:r>
        <w:t>5.93 В целях обеспечения качества проектных и строительно-монтажных работ, а также повышения надежности, долговечности и безопасности мостовых сооружений следует предусматривать авторский надзор, научно-техническое сопровождение проектирования и строительства, а также мониторинг.</w:t>
      </w:r>
    </w:p>
    <w:p w:rsidR="00212513" w:rsidRDefault="00212513">
      <w:pPr>
        <w:pStyle w:val="ConsPlusNormal"/>
        <w:spacing w:before="220"/>
        <w:ind w:firstLine="540"/>
        <w:jc w:val="both"/>
      </w:pPr>
      <w:r>
        <w:t xml:space="preserve">5.94 Выполнение авторского надзора проводят в соответствии с </w:t>
      </w:r>
      <w:hyperlink r:id="rId341">
        <w:r>
          <w:rPr>
            <w:color w:val="0000FF"/>
          </w:rPr>
          <w:t>СП 246.1325800</w:t>
        </w:r>
      </w:hyperlink>
      <w:r>
        <w:t>.</w:t>
      </w:r>
    </w:p>
    <w:p w:rsidR="00212513" w:rsidRDefault="00212513">
      <w:pPr>
        <w:pStyle w:val="ConsPlusNormal"/>
        <w:jc w:val="both"/>
      </w:pPr>
      <w:r>
        <w:lastRenderedPageBreak/>
        <w:t xml:space="preserve">(п. 5.94 в ред. </w:t>
      </w:r>
      <w:hyperlink r:id="rId342">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5.95 Научно-техническое сопровождение проектирования и строительства мостовых сооружений осуществляет уполномоченная заказчиком специализированная организация.</w:t>
      </w:r>
    </w:p>
    <w:p w:rsidR="00212513" w:rsidRDefault="00212513">
      <w:pPr>
        <w:pStyle w:val="ConsPlusNormal"/>
        <w:spacing w:before="220"/>
        <w:ind w:firstLine="540"/>
        <w:jc w:val="both"/>
      </w:pPr>
      <w:r>
        <w:t>Научно-техническое сопровождение заключается в разработке рекомендаций по использованию в проектах и на стадии строительства инновационных конструкций и технологий, новых материалов, выполнении сложных расчетов, математическом и физическом моделировании и контроле качества работ.</w:t>
      </w:r>
    </w:p>
    <w:p w:rsidR="00212513" w:rsidRDefault="00212513">
      <w:pPr>
        <w:pStyle w:val="ConsPlusNormal"/>
        <w:jc w:val="both"/>
      </w:pPr>
      <w:r>
        <w:t xml:space="preserve">(в ред. </w:t>
      </w:r>
      <w:hyperlink r:id="rId343">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 xml:space="preserve">5.96 В необходимых случаях в проектах в целях оценки фактической работы мостовых конструкций следует предусматривать мониторинг напряженно-деформированного состояния мостов, т.е. систему длительного контроля за их состоянием и поведением в процессе строительства (реконструкции) и эксплуатации в соответствии с </w:t>
      </w:r>
      <w:hyperlink r:id="rId344">
        <w:r>
          <w:rPr>
            <w:color w:val="0000FF"/>
          </w:rPr>
          <w:t>ГОСТ Р 22.1.12</w:t>
        </w:r>
      </w:hyperlink>
      <w:r>
        <w:t>.</w:t>
      </w:r>
    </w:p>
    <w:p w:rsidR="00212513" w:rsidRDefault="00212513">
      <w:pPr>
        <w:pStyle w:val="ConsPlusNormal"/>
        <w:spacing w:before="220"/>
        <w:ind w:firstLine="540"/>
        <w:jc w:val="both"/>
      </w:pPr>
      <w:r>
        <w:t xml:space="preserve">Мониторинг необходимо организовывать в случаях, указанных в </w:t>
      </w:r>
      <w:hyperlink r:id="rId345">
        <w:r>
          <w:rPr>
            <w:color w:val="0000FF"/>
          </w:rPr>
          <w:t>СП 274.1325800</w:t>
        </w:r>
      </w:hyperlink>
      <w:r>
        <w:t>.</w:t>
      </w:r>
    </w:p>
    <w:p w:rsidR="00212513" w:rsidRDefault="00212513">
      <w:pPr>
        <w:pStyle w:val="ConsPlusNormal"/>
        <w:jc w:val="both"/>
      </w:pPr>
      <w:r>
        <w:t xml:space="preserve">(п. 5.96 в ред. </w:t>
      </w:r>
      <w:hyperlink r:id="rId346">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 xml:space="preserve">5.97 При приемке в эксплуатацию мосты и трубы следует обследовать и испытывать в соответствии с требованиями </w:t>
      </w:r>
      <w:hyperlink r:id="rId347">
        <w:r>
          <w:rPr>
            <w:color w:val="0000FF"/>
          </w:rPr>
          <w:t>СП 79.13330</w:t>
        </w:r>
      </w:hyperlink>
      <w:r>
        <w:t>.</w:t>
      </w:r>
    </w:p>
    <w:p w:rsidR="00212513" w:rsidRDefault="00212513">
      <w:pPr>
        <w:pStyle w:val="ConsPlusNormal"/>
        <w:jc w:val="both"/>
      </w:pPr>
      <w:r>
        <w:t xml:space="preserve">(п. 5.97 введен </w:t>
      </w:r>
      <w:hyperlink r:id="rId348">
        <w:r>
          <w:rPr>
            <w:color w:val="0000FF"/>
          </w:rPr>
          <w:t>Изменением N 1</w:t>
        </w:r>
      </w:hyperlink>
      <w:r>
        <w:t>, утв. Приказом Минстроя России от 03.12.2016 N 879/пр)</w:t>
      </w:r>
    </w:p>
    <w:p w:rsidR="00212513" w:rsidRDefault="00212513">
      <w:pPr>
        <w:pStyle w:val="ConsPlusNormal"/>
        <w:ind w:firstLine="540"/>
        <w:jc w:val="both"/>
      </w:pPr>
    </w:p>
    <w:p w:rsidR="00212513" w:rsidRDefault="00212513">
      <w:pPr>
        <w:pStyle w:val="ConsPlusTitle"/>
        <w:ind w:firstLine="540"/>
        <w:jc w:val="both"/>
        <w:outlineLvl w:val="1"/>
      </w:pPr>
      <w:bookmarkStart w:id="23" w:name="P878"/>
      <w:bookmarkEnd w:id="23"/>
      <w:r>
        <w:t>6 Нагрузки и воздействия</w:t>
      </w:r>
    </w:p>
    <w:p w:rsidR="00212513" w:rsidRDefault="00212513">
      <w:pPr>
        <w:pStyle w:val="ConsPlusNormal"/>
        <w:jc w:val="center"/>
      </w:pPr>
    </w:p>
    <w:p w:rsidR="00212513" w:rsidRDefault="00212513">
      <w:pPr>
        <w:pStyle w:val="ConsPlusTitle"/>
        <w:ind w:firstLine="540"/>
        <w:jc w:val="both"/>
        <w:outlineLvl w:val="2"/>
      </w:pPr>
      <w:r>
        <w:t>Сочетания нагрузок</w:t>
      </w:r>
    </w:p>
    <w:p w:rsidR="00212513" w:rsidRDefault="00212513">
      <w:pPr>
        <w:pStyle w:val="ConsPlusNormal"/>
        <w:ind w:firstLine="540"/>
        <w:jc w:val="both"/>
      </w:pPr>
    </w:p>
    <w:p w:rsidR="00212513" w:rsidRDefault="00212513">
      <w:pPr>
        <w:pStyle w:val="ConsPlusNormal"/>
        <w:ind w:firstLine="540"/>
        <w:jc w:val="both"/>
      </w:pPr>
      <w:bookmarkStart w:id="24" w:name="P882"/>
      <w:bookmarkEnd w:id="24"/>
      <w:r>
        <w:t>6.1 Конструкции мостов и труб следует рассчитывать на нагрузки и воздействия и их сочетания, принимаемые в соответствии с таблицей 6.1.</w:t>
      </w:r>
    </w:p>
    <w:p w:rsidR="00212513" w:rsidRDefault="00212513">
      <w:pPr>
        <w:pStyle w:val="ConsPlusNormal"/>
        <w:ind w:firstLine="540"/>
        <w:jc w:val="both"/>
      </w:pPr>
    </w:p>
    <w:p w:rsidR="00212513" w:rsidRDefault="00212513">
      <w:pPr>
        <w:pStyle w:val="ConsPlusNormal"/>
        <w:jc w:val="right"/>
      </w:pPr>
      <w:r>
        <w:t>Таблица 6.1</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4422"/>
        <w:gridCol w:w="3005"/>
      </w:tblGrid>
      <w:tr w:rsidR="00212513">
        <w:tc>
          <w:tcPr>
            <w:tcW w:w="1644" w:type="dxa"/>
            <w:tcBorders>
              <w:top w:val="single" w:sz="4" w:space="0" w:color="auto"/>
              <w:bottom w:val="single" w:sz="4" w:space="0" w:color="auto"/>
            </w:tcBorders>
            <w:vAlign w:val="center"/>
          </w:tcPr>
          <w:p w:rsidR="00212513" w:rsidRDefault="00212513">
            <w:pPr>
              <w:pStyle w:val="ConsPlusNormal"/>
              <w:jc w:val="center"/>
            </w:pPr>
            <w:r>
              <w:t>Номер нагрузки (воздействия)</w:t>
            </w:r>
          </w:p>
        </w:tc>
        <w:tc>
          <w:tcPr>
            <w:tcW w:w="4422" w:type="dxa"/>
            <w:tcBorders>
              <w:top w:val="single" w:sz="4" w:space="0" w:color="auto"/>
              <w:bottom w:val="single" w:sz="4" w:space="0" w:color="auto"/>
            </w:tcBorders>
            <w:vAlign w:val="center"/>
          </w:tcPr>
          <w:p w:rsidR="00212513" w:rsidRDefault="00212513">
            <w:pPr>
              <w:pStyle w:val="ConsPlusNormal"/>
              <w:jc w:val="center"/>
            </w:pPr>
            <w:r>
              <w:t>Нагрузки и воздействия</w:t>
            </w:r>
          </w:p>
        </w:tc>
        <w:tc>
          <w:tcPr>
            <w:tcW w:w="3005" w:type="dxa"/>
            <w:tcBorders>
              <w:top w:val="single" w:sz="4" w:space="0" w:color="auto"/>
              <w:bottom w:val="single" w:sz="4" w:space="0" w:color="auto"/>
            </w:tcBorders>
            <w:vAlign w:val="center"/>
          </w:tcPr>
          <w:p w:rsidR="00212513" w:rsidRDefault="00212513">
            <w:pPr>
              <w:pStyle w:val="ConsPlusNormal"/>
              <w:jc w:val="center"/>
            </w:pPr>
            <w:r>
              <w:t>Номер нагрузки (воздействия), не учитываемой в сочетании с данной нагрузкой (воздействием)</w:t>
            </w:r>
          </w:p>
        </w:tc>
      </w:tr>
      <w:tr w:rsidR="00212513">
        <w:tblPrEx>
          <w:tblBorders>
            <w:insideH w:val="none" w:sz="0" w:space="0" w:color="auto"/>
          </w:tblBorders>
        </w:tblPrEx>
        <w:tc>
          <w:tcPr>
            <w:tcW w:w="9071" w:type="dxa"/>
            <w:gridSpan w:val="3"/>
            <w:tcBorders>
              <w:top w:val="single" w:sz="4" w:space="0" w:color="auto"/>
              <w:bottom w:val="nil"/>
            </w:tcBorders>
          </w:tcPr>
          <w:p w:rsidR="00212513" w:rsidRDefault="00212513">
            <w:pPr>
              <w:pStyle w:val="ConsPlusNormal"/>
              <w:jc w:val="center"/>
            </w:pPr>
            <w:r>
              <w:rPr>
                <w:b/>
              </w:rPr>
              <w:t>А. Постоянные</w:t>
            </w:r>
          </w:p>
        </w:tc>
      </w:tr>
      <w:tr w:rsidR="00212513">
        <w:tblPrEx>
          <w:tblBorders>
            <w:insideH w:val="none" w:sz="0" w:space="0" w:color="auto"/>
          </w:tblBorders>
        </w:tblPrEx>
        <w:tc>
          <w:tcPr>
            <w:tcW w:w="1644" w:type="dxa"/>
            <w:tcBorders>
              <w:top w:val="nil"/>
              <w:bottom w:val="nil"/>
            </w:tcBorders>
          </w:tcPr>
          <w:p w:rsidR="00212513" w:rsidRDefault="00212513">
            <w:pPr>
              <w:pStyle w:val="ConsPlusNormal"/>
              <w:jc w:val="center"/>
            </w:pPr>
            <w:bookmarkStart w:id="25" w:name="P890"/>
            <w:bookmarkEnd w:id="25"/>
            <w:r>
              <w:t>1</w:t>
            </w:r>
          </w:p>
        </w:tc>
        <w:tc>
          <w:tcPr>
            <w:tcW w:w="4422" w:type="dxa"/>
            <w:tcBorders>
              <w:top w:val="nil"/>
              <w:bottom w:val="nil"/>
            </w:tcBorders>
          </w:tcPr>
          <w:p w:rsidR="00212513" w:rsidRDefault="00212513">
            <w:pPr>
              <w:pStyle w:val="ConsPlusNormal"/>
            </w:pPr>
            <w:r>
              <w:t>Собственный вес конструкций</w:t>
            </w:r>
          </w:p>
        </w:tc>
        <w:tc>
          <w:tcPr>
            <w:tcW w:w="3005" w:type="dxa"/>
            <w:tcBorders>
              <w:top w:val="nil"/>
              <w:bottom w:val="nil"/>
            </w:tcBorders>
          </w:tcPr>
          <w:p w:rsidR="00212513" w:rsidRDefault="00212513">
            <w:pPr>
              <w:pStyle w:val="ConsPlusNormal"/>
              <w:jc w:val="center"/>
            </w:pPr>
            <w:r>
              <w:t>-</w:t>
            </w:r>
          </w:p>
        </w:tc>
      </w:tr>
      <w:tr w:rsidR="00212513">
        <w:tblPrEx>
          <w:tblBorders>
            <w:insideH w:val="none" w:sz="0" w:space="0" w:color="auto"/>
          </w:tblBorders>
        </w:tblPrEx>
        <w:tc>
          <w:tcPr>
            <w:tcW w:w="1644" w:type="dxa"/>
            <w:tcBorders>
              <w:top w:val="nil"/>
              <w:bottom w:val="nil"/>
            </w:tcBorders>
          </w:tcPr>
          <w:p w:rsidR="00212513" w:rsidRDefault="00212513">
            <w:pPr>
              <w:pStyle w:val="ConsPlusNormal"/>
              <w:jc w:val="center"/>
            </w:pPr>
            <w:r>
              <w:t>2</w:t>
            </w:r>
          </w:p>
        </w:tc>
        <w:tc>
          <w:tcPr>
            <w:tcW w:w="4422" w:type="dxa"/>
            <w:tcBorders>
              <w:top w:val="nil"/>
              <w:bottom w:val="nil"/>
            </w:tcBorders>
          </w:tcPr>
          <w:p w:rsidR="00212513" w:rsidRDefault="00212513">
            <w:pPr>
              <w:pStyle w:val="ConsPlusNormal"/>
            </w:pPr>
            <w:r>
              <w:t>Воздействие предварительного напряжения (в том числе регулирования усилий)</w:t>
            </w:r>
          </w:p>
        </w:tc>
        <w:tc>
          <w:tcPr>
            <w:tcW w:w="3005" w:type="dxa"/>
            <w:tcBorders>
              <w:top w:val="nil"/>
              <w:bottom w:val="nil"/>
            </w:tcBorders>
          </w:tcPr>
          <w:p w:rsidR="00212513" w:rsidRDefault="00212513">
            <w:pPr>
              <w:pStyle w:val="ConsPlusNormal"/>
              <w:jc w:val="center"/>
            </w:pPr>
            <w:r>
              <w:t>-</w:t>
            </w:r>
          </w:p>
        </w:tc>
      </w:tr>
      <w:tr w:rsidR="00212513">
        <w:tblPrEx>
          <w:tblBorders>
            <w:insideH w:val="none" w:sz="0" w:space="0" w:color="auto"/>
          </w:tblBorders>
        </w:tblPrEx>
        <w:tc>
          <w:tcPr>
            <w:tcW w:w="1644" w:type="dxa"/>
            <w:tcBorders>
              <w:top w:val="nil"/>
              <w:bottom w:val="nil"/>
            </w:tcBorders>
          </w:tcPr>
          <w:p w:rsidR="00212513" w:rsidRDefault="00212513">
            <w:pPr>
              <w:pStyle w:val="ConsPlusNormal"/>
              <w:jc w:val="center"/>
            </w:pPr>
            <w:r>
              <w:t>3</w:t>
            </w:r>
          </w:p>
        </w:tc>
        <w:tc>
          <w:tcPr>
            <w:tcW w:w="4422" w:type="dxa"/>
            <w:tcBorders>
              <w:top w:val="nil"/>
              <w:bottom w:val="nil"/>
            </w:tcBorders>
          </w:tcPr>
          <w:p w:rsidR="00212513" w:rsidRDefault="00212513">
            <w:pPr>
              <w:pStyle w:val="ConsPlusNormal"/>
            </w:pPr>
            <w:r>
              <w:t>Давление грунта от веса насыпи</w:t>
            </w:r>
          </w:p>
        </w:tc>
        <w:tc>
          <w:tcPr>
            <w:tcW w:w="3005" w:type="dxa"/>
            <w:tcBorders>
              <w:top w:val="nil"/>
              <w:bottom w:val="nil"/>
            </w:tcBorders>
          </w:tcPr>
          <w:p w:rsidR="00212513" w:rsidRDefault="00212513">
            <w:pPr>
              <w:pStyle w:val="ConsPlusNormal"/>
              <w:jc w:val="center"/>
            </w:pPr>
            <w:r>
              <w:t>-</w:t>
            </w:r>
          </w:p>
        </w:tc>
      </w:tr>
      <w:tr w:rsidR="00212513">
        <w:tblPrEx>
          <w:tblBorders>
            <w:insideH w:val="none" w:sz="0" w:space="0" w:color="auto"/>
          </w:tblBorders>
        </w:tblPrEx>
        <w:tc>
          <w:tcPr>
            <w:tcW w:w="1644" w:type="dxa"/>
            <w:tcBorders>
              <w:top w:val="nil"/>
              <w:bottom w:val="nil"/>
            </w:tcBorders>
          </w:tcPr>
          <w:p w:rsidR="00212513" w:rsidRDefault="00212513">
            <w:pPr>
              <w:pStyle w:val="ConsPlusNormal"/>
              <w:jc w:val="center"/>
            </w:pPr>
            <w:r>
              <w:t>4</w:t>
            </w:r>
          </w:p>
        </w:tc>
        <w:tc>
          <w:tcPr>
            <w:tcW w:w="4422" w:type="dxa"/>
            <w:tcBorders>
              <w:top w:val="nil"/>
              <w:bottom w:val="nil"/>
            </w:tcBorders>
          </w:tcPr>
          <w:p w:rsidR="00212513" w:rsidRDefault="00212513">
            <w:pPr>
              <w:pStyle w:val="ConsPlusNormal"/>
            </w:pPr>
            <w:r>
              <w:t>Гидростатическое давление</w:t>
            </w:r>
          </w:p>
        </w:tc>
        <w:tc>
          <w:tcPr>
            <w:tcW w:w="3005" w:type="dxa"/>
            <w:tcBorders>
              <w:top w:val="nil"/>
              <w:bottom w:val="nil"/>
            </w:tcBorders>
          </w:tcPr>
          <w:p w:rsidR="00212513" w:rsidRDefault="00212513">
            <w:pPr>
              <w:pStyle w:val="ConsPlusNormal"/>
              <w:jc w:val="center"/>
            </w:pPr>
            <w:r>
              <w:t>-</w:t>
            </w:r>
          </w:p>
        </w:tc>
      </w:tr>
      <w:tr w:rsidR="00212513">
        <w:tblPrEx>
          <w:tblBorders>
            <w:insideH w:val="none" w:sz="0" w:space="0" w:color="auto"/>
          </w:tblBorders>
        </w:tblPrEx>
        <w:tc>
          <w:tcPr>
            <w:tcW w:w="1644" w:type="dxa"/>
            <w:tcBorders>
              <w:top w:val="nil"/>
              <w:bottom w:val="nil"/>
            </w:tcBorders>
          </w:tcPr>
          <w:p w:rsidR="00212513" w:rsidRDefault="00212513">
            <w:pPr>
              <w:pStyle w:val="ConsPlusNormal"/>
              <w:jc w:val="center"/>
            </w:pPr>
            <w:r>
              <w:t>5</w:t>
            </w:r>
          </w:p>
        </w:tc>
        <w:tc>
          <w:tcPr>
            <w:tcW w:w="4422" w:type="dxa"/>
            <w:tcBorders>
              <w:top w:val="nil"/>
              <w:bottom w:val="nil"/>
            </w:tcBorders>
          </w:tcPr>
          <w:p w:rsidR="00212513" w:rsidRDefault="00212513">
            <w:pPr>
              <w:pStyle w:val="ConsPlusNormal"/>
            </w:pPr>
            <w:r>
              <w:t>Воздействие усадки и ползучести бетона</w:t>
            </w:r>
          </w:p>
        </w:tc>
        <w:tc>
          <w:tcPr>
            <w:tcW w:w="3005" w:type="dxa"/>
            <w:tcBorders>
              <w:top w:val="nil"/>
              <w:bottom w:val="nil"/>
            </w:tcBorders>
          </w:tcPr>
          <w:p w:rsidR="00212513" w:rsidRDefault="00212513">
            <w:pPr>
              <w:pStyle w:val="ConsPlusNormal"/>
              <w:jc w:val="center"/>
            </w:pPr>
            <w:r>
              <w:t>-</w:t>
            </w:r>
          </w:p>
        </w:tc>
      </w:tr>
      <w:tr w:rsidR="00212513">
        <w:tblPrEx>
          <w:tblBorders>
            <w:insideH w:val="none" w:sz="0" w:space="0" w:color="auto"/>
          </w:tblBorders>
        </w:tblPrEx>
        <w:tc>
          <w:tcPr>
            <w:tcW w:w="1644" w:type="dxa"/>
            <w:tcBorders>
              <w:top w:val="nil"/>
              <w:bottom w:val="nil"/>
            </w:tcBorders>
          </w:tcPr>
          <w:p w:rsidR="00212513" w:rsidRDefault="00212513">
            <w:pPr>
              <w:pStyle w:val="ConsPlusNormal"/>
              <w:jc w:val="center"/>
            </w:pPr>
            <w:bookmarkStart w:id="26" w:name="P905"/>
            <w:bookmarkEnd w:id="26"/>
            <w:r>
              <w:t>6</w:t>
            </w:r>
          </w:p>
        </w:tc>
        <w:tc>
          <w:tcPr>
            <w:tcW w:w="4422" w:type="dxa"/>
            <w:tcBorders>
              <w:top w:val="nil"/>
              <w:bottom w:val="nil"/>
            </w:tcBorders>
          </w:tcPr>
          <w:p w:rsidR="00212513" w:rsidRDefault="00212513">
            <w:pPr>
              <w:pStyle w:val="ConsPlusNormal"/>
            </w:pPr>
            <w:r>
              <w:t>Воздействие осадки грунта</w:t>
            </w:r>
          </w:p>
        </w:tc>
        <w:tc>
          <w:tcPr>
            <w:tcW w:w="3005" w:type="dxa"/>
            <w:tcBorders>
              <w:top w:val="nil"/>
              <w:bottom w:val="nil"/>
            </w:tcBorders>
          </w:tcPr>
          <w:p w:rsidR="00212513" w:rsidRDefault="00212513">
            <w:pPr>
              <w:pStyle w:val="ConsPlusNormal"/>
              <w:jc w:val="center"/>
            </w:pPr>
            <w:r>
              <w:t>-</w:t>
            </w:r>
          </w:p>
        </w:tc>
      </w:tr>
      <w:tr w:rsidR="00212513">
        <w:tblPrEx>
          <w:tblBorders>
            <w:insideH w:val="none" w:sz="0" w:space="0" w:color="auto"/>
          </w:tblBorders>
        </w:tblPrEx>
        <w:tc>
          <w:tcPr>
            <w:tcW w:w="9071" w:type="dxa"/>
            <w:gridSpan w:val="3"/>
            <w:tcBorders>
              <w:top w:val="nil"/>
              <w:bottom w:val="nil"/>
            </w:tcBorders>
          </w:tcPr>
          <w:p w:rsidR="00212513" w:rsidRDefault="00212513">
            <w:pPr>
              <w:pStyle w:val="ConsPlusNormal"/>
              <w:jc w:val="center"/>
            </w:pPr>
            <w:r>
              <w:rPr>
                <w:b/>
              </w:rPr>
              <w:t>Б. Временные</w:t>
            </w:r>
          </w:p>
        </w:tc>
      </w:tr>
      <w:tr w:rsidR="00212513">
        <w:tblPrEx>
          <w:tblBorders>
            <w:insideH w:val="none" w:sz="0" w:space="0" w:color="auto"/>
          </w:tblBorders>
        </w:tblPrEx>
        <w:tc>
          <w:tcPr>
            <w:tcW w:w="9071" w:type="dxa"/>
            <w:gridSpan w:val="3"/>
            <w:tcBorders>
              <w:top w:val="nil"/>
              <w:bottom w:val="nil"/>
            </w:tcBorders>
          </w:tcPr>
          <w:p w:rsidR="00212513" w:rsidRDefault="00212513">
            <w:pPr>
              <w:pStyle w:val="ConsPlusNormal"/>
              <w:jc w:val="center"/>
            </w:pPr>
            <w:r>
              <w:t>От подвижного состава и пешеходов</w:t>
            </w:r>
          </w:p>
        </w:tc>
      </w:tr>
      <w:tr w:rsidR="00212513">
        <w:tblPrEx>
          <w:tblBorders>
            <w:insideH w:val="none" w:sz="0" w:space="0" w:color="auto"/>
          </w:tblBorders>
        </w:tblPrEx>
        <w:tc>
          <w:tcPr>
            <w:tcW w:w="1644" w:type="dxa"/>
            <w:tcBorders>
              <w:top w:val="nil"/>
              <w:bottom w:val="nil"/>
            </w:tcBorders>
          </w:tcPr>
          <w:p w:rsidR="00212513" w:rsidRDefault="00212513">
            <w:pPr>
              <w:pStyle w:val="ConsPlusNormal"/>
              <w:jc w:val="center"/>
            </w:pPr>
            <w:bookmarkStart w:id="27" w:name="P910"/>
            <w:bookmarkEnd w:id="27"/>
            <w:r>
              <w:lastRenderedPageBreak/>
              <w:t>7</w:t>
            </w:r>
          </w:p>
        </w:tc>
        <w:tc>
          <w:tcPr>
            <w:tcW w:w="4422" w:type="dxa"/>
            <w:tcBorders>
              <w:top w:val="nil"/>
              <w:bottom w:val="nil"/>
            </w:tcBorders>
          </w:tcPr>
          <w:p w:rsidR="00212513" w:rsidRDefault="00212513">
            <w:pPr>
              <w:pStyle w:val="ConsPlusNormal"/>
            </w:pPr>
            <w:r>
              <w:t>Вертикальные нагрузки</w:t>
            </w:r>
          </w:p>
        </w:tc>
        <w:tc>
          <w:tcPr>
            <w:tcW w:w="3005" w:type="dxa"/>
            <w:tcBorders>
              <w:top w:val="nil"/>
              <w:bottom w:val="nil"/>
            </w:tcBorders>
          </w:tcPr>
          <w:p w:rsidR="00212513" w:rsidRDefault="00212513">
            <w:pPr>
              <w:pStyle w:val="ConsPlusNormal"/>
              <w:jc w:val="center"/>
            </w:pPr>
            <w:hyperlink w:anchor="P938">
              <w:r>
                <w:rPr>
                  <w:color w:val="0000FF"/>
                </w:rPr>
                <w:t>16</w:t>
              </w:r>
            </w:hyperlink>
            <w:r>
              <w:t xml:space="preserve">, </w:t>
            </w:r>
            <w:hyperlink w:anchor="P941">
              <w:r>
                <w:rPr>
                  <w:color w:val="0000FF"/>
                </w:rPr>
                <w:t>17</w:t>
              </w:r>
            </w:hyperlink>
          </w:p>
        </w:tc>
      </w:tr>
      <w:tr w:rsidR="00212513">
        <w:tblPrEx>
          <w:tblBorders>
            <w:insideH w:val="none" w:sz="0" w:space="0" w:color="auto"/>
          </w:tblBorders>
        </w:tblPrEx>
        <w:tc>
          <w:tcPr>
            <w:tcW w:w="1644" w:type="dxa"/>
            <w:tcBorders>
              <w:top w:val="nil"/>
              <w:bottom w:val="nil"/>
            </w:tcBorders>
          </w:tcPr>
          <w:p w:rsidR="00212513" w:rsidRDefault="00212513">
            <w:pPr>
              <w:pStyle w:val="ConsPlusNormal"/>
              <w:jc w:val="center"/>
            </w:pPr>
            <w:bookmarkStart w:id="28" w:name="P913"/>
            <w:bookmarkEnd w:id="28"/>
            <w:r>
              <w:t>8</w:t>
            </w:r>
          </w:p>
        </w:tc>
        <w:tc>
          <w:tcPr>
            <w:tcW w:w="4422" w:type="dxa"/>
            <w:tcBorders>
              <w:top w:val="nil"/>
              <w:bottom w:val="nil"/>
            </w:tcBorders>
          </w:tcPr>
          <w:p w:rsidR="00212513" w:rsidRDefault="00212513">
            <w:pPr>
              <w:pStyle w:val="ConsPlusNormal"/>
            </w:pPr>
            <w:r>
              <w:t>Давление грунта от подвижного состава</w:t>
            </w:r>
          </w:p>
        </w:tc>
        <w:tc>
          <w:tcPr>
            <w:tcW w:w="3005" w:type="dxa"/>
            <w:tcBorders>
              <w:top w:val="nil"/>
              <w:bottom w:val="nil"/>
            </w:tcBorders>
          </w:tcPr>
          <w:p w:rsidR="00212513" w:rsidRDefault="00212513">
            <w:pPr>
              <w:pStyle w:val="ConsPlusNormal"/>
              <w:jc w:val="center"/>
            </w:pPr>
            <w:hyperlink w:anchor="P938">
              <w:r>
                <w:rPr>
                  <w:color w:val="0000FF"/>
                </w:rPr>
                <w:t>16</w:t>
              </w:r>
            </w:hyperlink>
            <w:r>
              <w:t xml:space="preserve">, </w:t>
            </w:r>
            <w:hyperlink w:anchor="P941">
              <w:r>
                <w:rPr>
                  <w:color w:val="0000FF"/>
                </w:rPr>
                <w:t>17</w:t>
              </w:r>
            </w:hyperlink>
          </w:p>
        </w:tc>
      </w:tr>
      <w:tr w:rsidR="00212513">
        <w:tblPrEx>
          <w:tblBorders>
            <w:insideH w:val="none" w:sz="0" w:space="0" w:color="auto"/>
          </w:tblBorders>
        </w:tblPrEx>
        <w:tc>
          <w:tcPr>
            <w:tcW w:w="1644" w:type="dxa"/>
            <w:tcBorders>
              <w:top w:val="nil"/>
              <w:bottom w:val="nil"/>
            </w:tcBorders>
          </w:tcPr>
          <w:p w:rsidR="00212513" w:rsidRDefault="00212513">
            <w:pPr>
              <w:pStyle w:val="ConsPlusNormal"/>
              <w:jc w:val="center"/>
            </w:pPr>
            <w:bookmarkStart w:id="29" w:name="P916"/>
            <w:bookmarkEnd w:id="29"/>
            <w:r>
              <w:t>9</w:t>
            </w:r>
          </w:p>
        </w:tc>
        <w:tc>
          <w:tcPr>
            <w:tcW w:w="4422" w:type="dxa"/>
            <w:tcBorders>
              <w:top w:val="nil"/>
              <w:bottom w:val="nil"/>
            </w:tcBorders>
          </w:tcPr>
          <w:p w:rsidR="00212513" w:rsidRDefault="00212513">
            <w:pPr>
              <w:pStyle w:val="ConsPlusNormal"/>
            </w:pPr>
            <w:r>
              <w:t>Горизонтальная поперечная нагрузка от центробежной силы</w:t>
            </w:r>
          </w:p>
        </w:tc>
        <w:tc>
          <w:tcPr>
            <w:tcW w:w="3005" w:type="dxa"/>
            <w:tcBorders>
              <w:top w:val="nil"/>
              <w:bottom w:val="nil"/>
            </w:tcBorders>
          </w:tcPr>
          <w:p w:rsidR="00212513" w:rsidRDefault="00212513">
            <w:pPr>
              <w:pStyle w:val="ConsPlusNormal"/>
              <w:jc w:val="center"/>
            </w:pPr>
            <w:hyperlink w:anchor="P919">
              <w:r>
                <w:rPr>
                  <w:color w:val="0000FF"/>
                </w:rPr>
                <w:t>10</w:t>
              </w:r>
            </w:hyperlink>
            <w:r>
              <w:t xml:space="preserve">, </w:t>
            </w:r>
            <w:hyperlink w:anchor="P938">
              <w:r>
                <w:rPr>
                  <w:color w:val="0000FF"/>
                </w:rPr>
                <w:t>16</w:t>
              </w:r>
            </w:hyperlink>
            <w:r>
              <w:t xml:space="preserve">, </w:t>
            </w:r>
            <w:hyperlink w:anchor="P941">
              <w:r>
                <w:rPr>
                  <w:color w:val="0000FF"/>
                </w:rPr>
                <w:t>17</w:t>
              </w:r>
            </w:hyperlink>
          </w:p>
        </w:tc>
      </w:tr>
      <w:tr w:rsidR="00212513">
        <w:tblPrEx>
          <w:tblBorders>
            <w:insideH w:val="none" w:sz="0" w:space="0" w:color="auto"/>
          </w:tblBorders>
        </w:tblPrEx>
        <w:tc>
          <w:tcPr>
            <w:tcW w:w="1644" w:type="dxa"/>
            <w:tcBorders>
              <w:top w:val="nil"/>
              <w:bottom w:val="nil"/>
            </w:tcBorders>
          </w:tcPr>
          <w:p w:rsidR="00212513" w:rsidRDefault="00212513">
            <w:pPr>
              <w:pStyle w:val="ConsPlusNormal"/>
              <w:jc w:val="center"/>
            </w:pPr>
            <w:bookmarkStart w:id="30" w:name="P919"/>
            <w:bookmarkEnd w:id="30"/>
            <w:r>
              <w:t>10</w:t>
            </w:r>
          </w:p>
        </w:tc>
        <w:tc>
          <w:tcPr>
            <w:tcW w:w="4422" w:type="dxa"/>
            <w:tcBorders>
              <w:top w:val="nil"/>
              <w:bottom w:val="nil"/>
            </w:tcBorders>
          </w:tcPr>
          <w:p w:rsidR="00212513" w:rsidRDefault="00212513">
            <w:pPr>
              <w:pStyle w:val="ConsPlusNormal"/>
            </w:pPr>
            <w:r>
              <w:t>Горизонтальные поперечные удары подвижного состава</w:t>
            </w:r>
          </w:p>
        </w:tc>
        <w:tc>
          <w:tcPr>
            <w:tcW w:w="3005" w:type="dxa"/>
            <w:tcBorders>
              <w:top w:val="nil"/>
              <w:bottom w:val="nil"/>
            </w:tcBorders>
          </w:tcPr>
          <w:p w:rsidR="00212513" w:rsidRDefault="00212513">
            <w:pPr>
              <w:pStyle w:val="ConsPlusNormal"/>
              <w:jc w:val="center"/>
            </w:pPr>
            <w:hyperlink w:anchor="P916">
              <w:r>
                <w:rPr>
                  <w:color w:val="0000FF"/>
                </w:rPr>
                <w:t>9</w:t>
              </w:r>
            </w:hyperlink>
            <w:r>
              <w:t xml:space="preserve">, </w:t>
            </w:r>
            <w:hyperlink w:anchor="P922">
              <w:r>
                <w:rPr>
                  <w:color w:val="0000FF"/>
                </w:rPr>
                <w:t>11</w:t>
              </w:r>
            </w:hyperlink>
            <w:r>
              <w:t xml:space="preserve">, </w:t>
            </w:r>
            <w:hyperlink w:anchor="P926">
              <w:r>
                <w:rPr>
                  <w:color w:val="0000FF"/>
                </w:rPr>
                <w:t>12</w:t>
              </w:r>
            </w:hyperlink>
            <w:r>
              <w:t xml:space="preserve">, </w:t>
            </w:r>
            <w:hyperlink w:anchor="P938">
              <w:r>
                <w:rPr>
                  <w:color w:val="0000FF"/>
                </w:rPr>
                <w:t>16</w:t>
              </w:r>
            </w:hyperlink>
            <w:r>
              <w:t xml:space="preserve"> - </w:t>
            </w:r>
            <w:hyperlink w:anchor="P944">
              <w:r>
                <w:rPr>
                  <w:color w:val="0000FF"/>
                </w:rPr>
                <w:t>18</w:t>
              </w:r>
            </w:hyperlink>
          </w:p>
        </w:tc>
      </w:tr>
      <w:tr w:rsidR="00212513">
        <w:tblPrEx>
          <w:tblBorders>
            <w:insideH w:val="none" w:sz="0" w:space="0" w:color="auto"/>
          </w:tblBorders>
        </w:tblPrEx>
        <w:tc>
          <w:tcPr>
            <w:tcW w:w="1644" w:type="dxa"/>
            <w:tcBorders>
              <w:top w:val="nil"/>
              <w:bottom w:val="nil"/>
            </w:tcBorders>
          </w:tcPr>
          <w:p w:rsidR="00212513" w:rsidRDefault="00212513">
            <w:pPr>
              <w:pStyle w:val="ConsPlusNormal"/>
              <w:jc w:val="center"/>
            </w:pPr>
            <w:bookmarkStart w:id="31" w:name="P922"/>
            <w:bookmarkEnd w:id="31"/>
            <w:r>
              <w:t>11</w:t>
            </w:r>
          </w:p>
        </w:tc>
        <w:tc>
          <w:tcPr>
            <w:tcW w:w="4422" w:type="dxa"/>
            <w:tcBorders>
              <w:top w:val="nil"/>
              <w:bottom w:val="nil"/>
            </w:tcBorders>
          </w:tcPr>
          <w:p w:rsidR="00212513" w:rsidRDefault="00212513">
            <w:pPr>
              <w:pStyle w:val="ConsPlusNormal"/>
            </w:pPr>
            <w:r>
              <w:t>Горизонтальная продольная нагрузка от торможения или силы тяги</w:t>
            </w:r>
          </w:p>
        </w:tc>
        <w:tc>
          <w:tcPr>
            <w:tcW w:w="3005" w:type="dxa"/>
            <w:tcBorders>
              <w:top w:val="nil"/>
              <w:bottom w:val="nil"/>
            </w:tcBorders>
          </w:tcPr>
          <w:p w:rsidR="00212513" w:rsidRDefault="00212513">
            <w:pPr>
              <w:pStyle w:val="ConsPlusNormal"/>
              <w:jc w:val="center"/>
            </w:pPr>
            <w:hyperlink w:anchor="P919">
              <w:r>
                <w:rPr>
                  <w:color w:val="0000FF"/>
                </w:rPr>
                <w:t>10</w:t>
              </w:r>
            </w:hyperlink>
            <w:r>
              <w:t xml:space="preserve">, </w:t>
            </w:r>
            <w:hyperlink w:anchor="P929">
              <w:r>
                <w:rPr>
                  <w:color w:val="0000FF"/>
                </w:rPr>
                <w:t>13</w:t>
              </w:r>
            </w:hyperlink>
            <w:r>
              <w:t xml:space="preserve">, </w:t>
            </w:r>
            <w:hyperlink w:anchor="P932">
              <w:r>
                <w:rPr>
                  <w:color w:val="0000FF"/>
                </w:rPr>
                <w:t>14</w:t>
              </w:r>
            </w:hyperlink>
            <w:r>
              <w:t xml:space="preserve">, </w:t>
            </w:r>
            <w:hyperlink w:anchor="P938">
              <w:r>
                <w:rPr>
                  <w:color w:val="0000FF"/>
                </w:rPr>
                <w:t>16</w:t>
              </w:r>
            </w:hyperlink>
            <w:r>
              <w:t xml:space="preserve">, </w:t>
            </w:r>
            <w:hyperlink w:anchor="P941">
              <w:r>
                <w:rPr>
                  <w:color w:val="0000FF"/>
                </w:rPr>
                <w:t>17</w:t>
              </w:r>
            </w:hyperlink>
          </w:p>
        </w:tc>
      </w:tr>
      <w:tr w:rsidR="00212513">
        <w:tblPrEx>
          <w:tblBorders>
            <w:insideH w:val="none" w:sz="0" w:space="0" w:color="auto"/>
          </w:tblBorders>
        </w:tblPrEx>
        <w:tc>
          <w:tcPr>
            <w:tcW w:w="9071" w:type="dxa"/>
            <w:gridSpan w:val="3"/>
            <w:tcBorders>
              <w:top w:val="nil"/>
              <w:bottom w:val="nil"/>
            </w:tcBorders>
          </w:tcPr>
          <w:p w:rsidR="00212513" w:rsidRDefault="00212513">
            <w:pPr>
              <w:pStyle w:val="ConsPlusNormal"/>
              <w:jc w:val="center"/>
            </w:pPr>
            <w:r>
              <w:rPr>
                <w:b/>
              </w:rPr>
              <w:t>В. Прочие</w:t>
            </w:r>
          </w:p>
        </w:tc>
      </w:tr>
      <w:tr w:rsidR="00212513">
        <w:tblPrEx>
          <w:tblBorders>
            <w:insideH w:val="none" w:sz="0" w:space="0" w:color="auto"/>
          </w:tblBorders>
        </w:tblPrEx>
        <w:tc>
          <w:tcPr>
            <w:tcW w:w="1644" w:type="dxa"/>
            <w:tcBorders>
              <w:top w:val="nil"/>
              <w:bottom w:val="nil"/>
            </w:tcBorders>
          </w:tcPr>
          <w:p w:rsidR="00212513" w:rsidRDefault="00212513">
            <w:pPr>
              <w:pStyle w:val="ConsPlusNormal"/>
              <w:jc w:val="center"/>
            </w:pPr>
            <w:bookmarkStart w:id="32" w:name="P926"/>
            <w:bookmarkEnd w:id="32"/>
            <w:r>
              <w:t>12</w:t>
            </w:r>
          </w:p>
        </w:tc>
        <w:tc>
          <w:tcPr>
            <w:tcW w:w="4422" w:type="dxa"/>
            <w:tcBorders>
              <w:top w:val="nil"/>
              <w:bottom w:val="nil"/>
            </w:tcBorders>
          </w:tcPr>
          <w:p w:rsidR="00212513" w:rsidRDefault="00212513">
            <w:pPr>
              <w:pStyle w:val="ConsPlusNormal"/>
            </w:pPr>
            <w:r>
              <w:t>Ветровая нагрузка</w:t>
            </w:r>
          </w:p>
        </w:tc>
        <w:tc>
          <w:tcPr>
            <w:tcW w:w="3005" w:type="dxa"/>
            <w:tcBorders>
              <w:top w:val="nil"/>
              <w:bottom w:val="nil"/>
            </w:tcBorders>
          </w:tcPr>
          <w:p w:rsidR="00212513" w:rsidRDefault="00212513">
            <w:pPr>
              <w:pStyle w:val="ConsPlusNormal"/>
              <w:jc w:val="center"/>
            </w:pPr>
            <w:hyperlink w:anchor="P919">
              <w:r>
                <w:rPr>
                  <w:color w:val="0000FF"/>
                </w:rPr>
                <w:t>10</w:t>
              </w:r>
            </w:hyperlink>
            <w:r>
              <w:t xml:space="preserve">, </w:t>
            </w:r>
            <w:hyperlink w:anchor="P932">
              <w:r>
                <w:rPr>
                  <w:color w:val="0000FF"/>
                </w:rPr>
                <w:t>14</w:t>
              </w:r>
            </w:hyperlink>
            <w:r>
              <w:t xml:space="preserve">, </w:t>
            </w:r>
            <w:hyperlink w:anchor="P944">
              <w:r>
                <w:rPr>
                  <w:color w:val="0000FF"/>
                </w:rPr>
                <w:t>18</w:t>
              </w:r>
            </w:hyperlink>
          </w:p>
        </w:tc>
      </w:tr>
      <w:tr w:rsidR="00212513">
        <w:tblPrEx>
          <w:tblBorders>
            <w:insideH w:val="none" w:sz="0" w:space="0" w:color="auto"/>
          </w:tblBorders>
        </w:tblPrEx>
        <w:tc>
          <w:tcPr>
            <w:tcW w:w="1644" w:type="dxa"/>
            <w:tcBorders>
              <w:top w:val="nil"/>
              <w:bottom w:val="nil"/>
            </w:tcBorders>
          </w:tcPr>
          <w:p w:rsidR="00212513" w:rsidRDefault="00212513">
            <w:pPr>
              <w:pStyle w:val="ConsPlusNormal"/>
              <w:jc w:val="center"/>
            </w:pPr>
            <w:bookmarkStart w:id="33" w:name="P929"/>
            <w:bookmarkEnd w:id="33"/>
            <w:r>
              <w:t>13</w:t>
            </w:r>
          </w:p>
        </w:tc>
        <w:tc>
          <w:tcPr>
            <w:tcW w:w="4422" w:type="dxa"/>
            <w:tcBorders>
              <w:top w:val="nil"/>
              <w:bottom w:val="nil"/>
            </w:tcBorders>
          </w:tcPr>
          <w:p w:rsidR="00212513" w:rsidRDefault="00212513">
            <w:pPr>
              <w:pStyle w:val="ConsPlusNormal"/>
            </w:pPr>
            <w:r>
              <w:t>Ледовая нагрузка</w:t>
            </w:r>
          </w:p>
        </w:tc>
        <w:tc>
          <w:tcPr>
            <w:tcW w:w="3005" w:type="dxa"/>
            <w:tcBorders>
              <w:top w:val="nil"/>
              <w:bottom w:val="nil"/>
            </w:tcBorders>
          </w:tcPr>
          <w:p w:rsidR="00212513" w:rsidRDefault="00212513">
            <w:pPr>
              <w:pStyle w:val="ConsPlusNormal"/>
              <w:jc w:val="center"/>
            </w:pPr>
            <w:hyperlink w:anchor="P922">
              <w:r>
                <w:rPr>
                  <w:color w:val="0000FF"/>
                </w:rPr>
                <w:t>11</w:t>
              </w:r>
            </w:hyperlink>
            <w:r>
              <w:t xml:space="preserve">, </w:t>
            </w:r>
            <w:hyperlink w:anchor="P932">
              <w:r>
                <w:rPr>
                  <w:color w:val="0000FF"/>
                </w:rPr>
                <w:t>14</w:t>
              </w:r>
            </w:hyperlink>
            <w:r>
              <w:t xml:space="preserve">, </w:t>
            </w:r>
            <w:hyperlink w:anchor="P938">
              <w:r>
                <w:rPr>
                  <w:color w:val="0000FF"/>
                </w:rPr>
                <w:t>16</w:t>
              </w:r>
            </w:hyperlink>
            <w:r>
              <w:t xml:space="preserve">, </w:t>
            </w:r>
            <w:hyperlink w:anchor="P944">
              <w:r>
                <w:rPr>
                  <w:color w:val="0000FF"/>
                </w:rPr>
                <w:t>18</w:t>
              </w:r>
            </w:hyperlink>
          </w:p>
        </w:tc>
      </w:tr>
      <w:tr w:rsidR="00212513">
        <w:tblPrEx>
          <w:tblBorders>
            <w:insideH w:val="none" w:sz="0" w:space="0" w:color="auto"/>
          </w:tblBorders>
        </w:tblPrEx>
        <w:tc>
          <w:tcPr>
            <w:tcW w:w="1644" w:type="dxa"/>
            <w:tcBorders>
              <w:top w:val="nil"/>
              <w:bottom w:val="nil"/>
            </w:tcBorders>
          </w:tcPr>
          <w:p w:rsidR="00212513" w:rsidRDefault="00212513">
            <w:pPr>
              <w:pStyle w:val="ConsPlusNormal"/>
              <w:jc w:val="center"/>
            </w:pPr>
            <w:bookmarkStart w:id="34" w:name="P932"/>
            <w:bookmarkEnd w:id="34"/>
            <w:r>
              <w:t>14</w:t>
            </w:r>
          </w:p>
        </w:tc>
        <w:tc>
          <w:tcPr>
            <w:tcW w:w="4422" w:type="dxa"/>
            <w:tcBorders>
              <w:top w:val="nil"/>
              <w:bottom w:val="nil"/>
            </w:tcBorders>
          </w:tcPr>
          <w:p w:rsidR="00212513" w:rsidRDefault="00212513">
            <w:pPr>
              <w:pStyle w:val="ConsPlusNormal"/>
            </w:pPr>
            <w:r>
              <w:t>Нагрузка от навала судов</w:t>
            </w:r>
          </w:p>
        </w:tc>
        <w:tc>
          <w:tcPr>
            <w:tcW w:w="3005" w:type="dxa"/>
            <w:tcBorders>
              <w:top w:val="nil"/>
              <w:bottom w:val="nil"/>
            </w:tcBorders>
          </w:tcPr>
          <w:p w:rsidR="00212513" w:rsidRDefault="00212513">
            <w:pPr>
              <w:pStyle w:val="ConsPlusNormal"/>
              <w:jc w:val="center"/>
            </w:pPr>
            <w:hyperlink w:anchor="P922">
              <w:r>
                <w:rPr>
                  <w:color w:val="0000FF"/>
                </w:rPr>
                <w:t>11</w:t>
              </w:r>
            </w:hyperlink>
            <w:r>
              <w:t xml:space="preserve"> - </w:t>
            </w:r>
            <w:hyperlink w:anchor="P929">
              <w:r>
                <w:rPr>
                  <w:color w:val="0000FF"/>
                </w:rPr>
                <w:t>13</w:t>
              </w:r>
            </w:hyperlink>
            <w:r>
              <w:t xml:space="preserve">, </w:t>
            </w:r>
            <w:hyperlink w:anchor="P935">
              <w:r>
                <w:rPr>
                  <w:color w:val="0000FF"/>
                </w:rPr>
                <w:t>15</w:t>
              </w:r>
            </w:hyperlink>
            <w:r>
              <w:t xml:space="preserve"> - </w:t>
            </w:r>
            <w:hyperlink w:anchor="P944">
              <w:r>
                <w:rPr>
                  <w:color w:val="0000FF"/>
                </w:rPr>
                <w:t>18</w:t>
              </w:r>
            </w:hyperlink>
          </w:p>
        </w:tc>
      </w:tr>
      <w:tr w:rsidR="00212513">
        <w:tblPrEx>
          <w:tblBorders>
            <w:insideH w:val="none" w:sz="0" w:space="0" w:color="auto"/>
          </w:tblBorders>
        </w:tblPrEx>
        <w:tc>
          <w:tcPr>
            <w:tcW w:w="1644" w:type="dxa"/>
            <w:tcBorders>
              <w:top w:val="nil"/>
              <w:bottom w:val="nil"/>
            </w:tcBorders>
          </w:tcPr>
          <w:p w:rsidR="00212513" w:rsidRDefault="00212513">
            <w:pPr>
              <w:pStyle w:val="ConsPlusNormal"/>
              <w:jc w:val="center"/>
            </w:pPr>
            <w:bookmarkStart w:id="35" w:name="P935"/>
            <w:bookmarkEnd w:id="35"/>
            <w:r>
              <w:t>15</w:t>
            </w:r>
          </w:p>
        </w:tc>
        <w:tc>
          <w:tcPr>
            <w:tcW w:w="4422" w:type="dxa"/>
            <w:tcBorders>
              <w:top w:val="nil"/>
              <w:bottom w:val="nil"/>
            </w:tcBorders>
          </w:tcPr>
          <w:p w:rsidR="00212513" w:rsidRDefault="00212513">
            <w:pPr>
              <w:pStyle w:val="ConsPlusNormal"/>
            </w:pPr>
            <w:r>
              <w:t>Температурные климатические воздействия</w:t>
            </w:r>
          </w:p>
        </w:tc>
        <w:tc>
          <w:tcPr>
            <w:tcW w:w="3005" w:type="dxa"/>
            <w:tcBorders>
              <w:top w:val="nil"/>
              <w:bottom w:val="nil"/>
            </w:tcBorders>
          </w:tcPr>
          <w:p w:rsidR="00212513" w:rsidRDefault="00212513">
            <w:pPr>
              <w:pStyle w:val="ConsPlusNormal"/>
              <w:jc w:val="center"/>
            </w:pPr>
            <w:hyperlink w:anchor="P932">
              <w:r>
                <w:rPr>
                  <w:color w:val="0000FF"/>
                </w:rPr>
                <w:t>14</w:t>
              </w:r>
            </w:hyperlink>
            <w:r>
              <w:t xml:space="preserve">, </w:t>
            </w:r>
            <w:hyperlink w:anchor="P944">
              <w:r>
                <w:rPr>
                  <w:color w:val="0000FF"/>
                </w:rPr>
                <w:t>18</w:t>
              </w:r>
            </w:hyperlink>
          </w:p>
        </w:tc>
      </w:tr>
      <w:tr w:rsidR="00212513">
        <w:tblPrEx>
          <w:tblBorders>
            <w:insideH w:val="none" w:sz="0" w:space="0" w:color="auto"/>
          </w:tblBorders>
        </w:tblPrEx>
        <w:tc>
          <w:tcPr>
            <w:tcW w:w="1644" w:type="dxa"/>
            <w:tcBorders>
              <w:top w:val="nil"/>
              <w:bottom w:val="nil"/>
            </w:tcBorders>
          </w:tcPr>
          <w:p w:rsidR="00212513" w:rsidRDefault="00212513">
            <w:pPr>
              <w:pStyle w:val="ConsPlusNormal"/>
              <w:jc w:val="center"/>
            </w:pPr>
            <w:bookmarkStart w:id="36" w:name="P938"/>
            <w:bookmarkEnd w:id="36"/>
            <w:r>
              <w:t>16</w:t>
            </w:r>
          </w:p>
        </w:tc>
        <w:tc>
          <w:tcPr>
            <w:tcW w:w="4422" w:type="dxa"/>
            <w:tcBorders>
              <w:top w:val="nil"/>
              <w:bottom w:val="nil"/>
            </w:tcBorders>
          </w:tcPr>
          <w:p w:rsidR="00212513" w:rsidRDefault="00212513">
            <w:pPr>
              <w:pStyle w:val="ConsPlusNormal"/>
            </w:pPr>
            <w:r>
              <w:t>Воздействие морозного пучения грунта</w:t>
            </w:r>
          </w:p>
        </w:tc>
        <w:tc>
          <w:tcPr>
            <w:tcW w:w="3005" w:type="dxa"/>
            <w:tcBorders>
              <w:top w:val="nil"/>
              <w:bottom w:val="nil"/>
            </w:tcBorders>
          </w:tcPr>
          <w:p w:rsidR="00212513" w:rsidRDefault="00212513">
            <w:pPr>
              <w:pStyle w:val="ConsPlusNormal"/>
              <w:jc w:val="center"/>
            </w:pPr>
            <w:hyperlink w:anchor="P910">
              <w:r>
                <w:rPr>
                  <w:color w:val="0000FF"/>
                </w:rPr>
                <w:t>7</w:t>
              </w:r>
            </w:hyperlink>
            <w:r>
              <w:t xml:space="preserve"> - </w:t>
            </w:r>
            <w:hyperlink w:anchor="P922">
              <w:r>
                <w:rPr>
                  <w:color w:val="0000FF"/>
                </w:rPr>
                <w:t>11</w:t>
              </w:r>
            </w:hyperlink>
            <w:r>
              <w:t xml:space="preserve">, </w:t>
            </w:r>
            <w:hyperlink w:anchor="P929">
              <w:r>
                <w:rPr>
                  <w:color w:val="0000FF"/>
                </w:rPr>
                <w:t>13</w:t>
              </w:r>
            </w:hyperlink>
            <w:r>
              <w:t xml:space="preserve">, </w:t>
            </w:r>
            <w:hyperlink w:anchor="P932">
              <w:r>
                <w:rPr>
                  <w:color w:val="0000FF"/>
                </w:rPr>
                <w:t>14</w:t>
              </w:r>
            </w:hyperlink>
            <w:r>
              <w:t xml:space="preserve">, </w:t>
            </w:r>
            <w:hyperlink w:anchor="P944">
              <w:r>
                <w:rPr>
                  <w:color w:val="0000FF"/>
                </w:rPr>
                <w:t>18</w:t>
              </w:r>
            </w:hyperlink>
          </w:p>
        </w:tc>
      </w:tr>
      <w:tr w:rsidR="00212513">
        <w:tblPrEx>
          <w:tblBorders>
            <w:insideH w:val="none" w:sz="0" w:space="0" w:color="auto"/>
          </w:tblBorders>
        </w:tblPrEx>
        <w:tc>
          <w:tcPr>
            <w:tcW w:w="1644" w:type="dxa"/>
            <w:tcBorders>
              <w:top w:val="nil"/>
              <w:bottom w:val="nil"/>
            </w:tcBorders>
          </w:tcPr>
          <w:p w:rsidR="00212513" w:rsidRDefault="00212513">
            <w:pPr>
              <w:pStyle w:val="ConsPlusNormal"/>
              <w:jc w:val="center"/>
            </w:pPr>
            <w:bookmarkStart w:id="37" w:name="P941"/>
            <w:bookmarkEnd w:id="37"/>
            <w:r>
              <w:t>17</w:t>
            </w:r>
          </w:p>
        </w:tc>
        <w:tc>
          <w:tcPr>
            <w:tcW w:w="4422" w:type="dxa"/>
            <w:tcBorders>
              <w:top w:val="nil"/>
              <w:bottom w:val="nil"/>
            </w:tcBorders>
          </w:tcPr>
          <w:p w:rsidR="00212513" w:rsidRDefault="00212513">
            <w:pPr>
              <w:pStyle w:val="ConsPlusNormal"/>
            </w:pPr>
            <w:r>
              <w:t>Строительные нагрузки</w:t>
            </w:r>
          </w:p>
        </w:tc>
        <w:tc>
          <w:tcPr>
            <w:tcW w:w="3005" w:type="dxa"/>
            <w:tcBorders>
              <w:top w:val="nil"/>
              <w:bottom w:val="nil"/>
            </w:tcBorders>
          </w:tcPr>
          <w:p w:rsidR="00212513" w:rsidRDefault="00212513">
            <w:pPr>
              <w:pStyle w:val="ConsPlusNormal"/>
              <w:jc w:val="center"/>
            </w:pPr>
            <w:hyperlink w:anchor="P910">
              <w:r>
                <w:rPr>
                  <w:color w:val="0000FF"/>
                </w:rPr>
                <w:t>7</w:t>
              </w:r>
            </w:hyperlink>
            <w:r>
              <w:t xml:space="preserve"> - </w:t>
            </w:r>
            <w:hyperlink w:anchor="P922">
              <w:r>
                <w:rPr>
                  <w:color w:val="0000FF"/>
                </w:rPr>
                <w:t>11</w:t>
              </w:r>
            </w:hyperlink>
            <w:r>
              <w:t xml:space="preserve">, </w:t>
            </w:r>
            <w:hyperlink w:anchor="P932">
              <w:r>
                <w:rPr>
                  <w:color w:val="0000FF"/>
                </w:rPr>
                <w:t>14</w:t>
              </w:r>
            </w:hyperlink>
            <w:r>
              <w:t xml:space="preserve">, </w:t>
            </w:r>
            <w:hyperlink w:anchor="P944">
              <w:r>
                <w:rPr>
                  <w:color w:val="0000FF"/>
                </w:rPr>
                <w:t>18</w:t>
              </w:r>
            </w:hyperlink>
          </w:p>
        </w:tc>
      </w:tr>
      <w:tr w:rsidR="00212513">
        <w:tblPrEx>
          <w:tblBorders>
            <w:insideH w:val="none" w:sz="0" w:space="0" w:color="auto"/>
          </w:tblBorders>
        </w:tblPrEx>
        <w:tc>
          <w:tcPr>
            <w:tcW w:w="1644" w:type="dxa"/>
            <w:tcBorders>
              <w:top w:val="nil"/>
              <w:bottom w:val="nil"/>
            </w:tcBorders>
          </w:tcPr>
          <w:p w:rsidR="00212513" w:rsidRDefault="00212513">
            <w:pPr>
              <w:pStyle w:val="ConsPlusNormal"/>
              <w:jc w:val="center"/>
            </w:pPr>
            <w:bookmarkStart w:id="38" w:name="P944"/>
            <w:bookmarkEnd w:id="38"/>
            <w:r>
              <w:t>18</w:t>
            </w:r>
          </w:p>
        </w:tc>
        <w:tc>
          <w:tcPr>
            <w:tcW w:w="4422" w:type="dxa"/>
            <w:tcBorders>
              <w:top w:val="nil"/>
              <w:bottom w:val="nil"/>
            </w:tcBorders>
          </w:tcPr>
          <w:p w:rsidR="00212513" w:rsidRDefault="00212513">
            <w:pPr>
              <w:pStyle w:val="ConsPlusNormal"/>
            </w:pPr>
            <w:r>
              <w:t>Сейсмические нагрузки</w:t>
            </w:r>
          </w:p>
        </w:tc>
        <w:tc>
          <w:tcPr>
            <w:tcW w:w="3005" w:type="dxa"/>
            <w:tcBorders>
              <w:top w:val="nil"/>
              <w:bottom w:val="nil"/>
            </w:tcBorders>
          </w:tcPr>
          <w:p w:rsidR="00212513" w:rsidRDefault="00212513">
            <w:pPr>
              <w:pStyle w:val="ConsPlusNormal"/>
              <w:jc w:val="center"/>
            </w:pPr>
            <w:hyperlink w:anchor="P919">
              <w:r>
                <w:rPr>
                  <w:color w:val="0000FF"/>
                </w:rPr>
                <w:t>10</w:t>
              </w:r>
            </w:hyperlink>
            <w:r>
              <w:t xml:space="preserve">, </w:t>
            </w:r>
            <w:hyperlink w:anchor="P926">
              <w:r>
                <w:rPr>
                  <w:color w:val="0000FF"/>
                </w:rPr>
                <w:t>12</w:t>
              </w:r>
            </w:hyperlink>
            <w:r>
              <w:t xml:space="preserve"> - </w:t>
            </w:r>
            <w:hyperlink w:anchor="P941">
              <w:r>
                <w:rPr>
                  <w:color w:val="0000FF"/>
                </w:rPr>
                <w:t>17</w:t>
              </w:r>
            </w:hyperlink>
          </w:p>
        </w:tc>
      </w:tr>
      <w:tr w:rsidR="00212513">
        <w:tblPrEx>
          <w:tblBorders>
            <w:insideH w:val="none" w:sz="0" w:space="0" w:color="auto"/>
          </w:tblBorders>
        </w:tblPrEx>
        <w:tc>
          <w:tcPr>
            <w:tcW w:w="1644" w:type="dxa"/>
            <w:tcBorders>
              <w:top w:val="nil"/>
              <w:bottom w:val="single" w:sz="4" w:space="0" w:color="auto"/>
            </w:tcBorders>
          </w:tcPr>
          <w:p w:rsidR="00212513" w:rsidRDefault="00212513">
            <w:pPr>
              <w:pStyle w:val="ConsPlusNormal"/>
              <w:jc w:val="center"/>
            </w:pPr>
            <w:bookmarkStart w:id="39" w:name="P947"/>
            <w:bookmarkEnd w:id="39"/>
            <w:r>
              <w:t>19</w:t>
            </w:r>
          </w:p>
        </w:tc>
        <w:tc>
          <w:tcPr>
            <w:tcW w:w="4422" w:type="dxa"/>
            <w:tcBorders>
              <w:top w:val="nil"/>
              <w:bottom w:val="single" w:sz="4" w:space="0" w:color="auto"/>
            </w:tcBorders>
          </w:tcPr>
          <w:p w:rsidR="00212513" w:rsidRDefault="00212513">
            <w:pPr>
              <w:pStyle w:val="ConsPlusNormal"/>
            </w:pPr>
            <w:r>
              <w:t>Трение и сопротивление сдвигу в опорных частях</w:t>
            </w:r>
          </w:p>
        </w:tc>
        <w:tc>
          <w:tcPr>
            <w:tcW w:w="3005" w:type="dxa"/>
            <w:tcBorders>
              <w:top w:val="nil"/>
              <w:bottom w:val="single" w:sz="4" w:space="0" w:color="auto"/>
            </w:tcBorders>
          </w:tcPr>
          <w:p w:rsidR="00212513" w:rsidRDefault="00212513">
            <w:pPr>
              <w:pStyle w:val="ConsPlusNormal"/>
              <w:jc w:val="center"/>
            </w:pPr>
            <w:hyperlink w:anchor="P922">
              <w:r>
                <w:rPr>
                  <w:color w:val="0000FF"/>
                </w:rPr>
                <w:t>11</w:t>
              </w:r>
            </w:hyperlink>
            <w:r>
              <w:t xml:space="preserve">, </w:t>
            </w:r>
            <w:hyperlink w:anchor="P932">
              <w:r>
                <w:rPr>
                  <w:color w:val="0000FF"/>
                </w:rPr>
                <w:t>14</w:t>
              </w:r>
            </w:hyperlink>
            <w:r>
              <w:t xml:space="preserve">, </w:t>
            </w:r>
            <w:hyperlink w:anchor="P944">
              <w:r>
                <w:rPr>
                  <w:color w:val="0000FF"/>
                </w:rPr>
                <w:t>18</w:t>
              </w:r>
            </w:hyperlink>
          </w:p>
        </w:tc>
      </w:tr>
      <w:tr w:rsidR="00212513">
        <w:tc>
          <w:tcPr>
            <w:tcW w:w="9071" w:type="dxa"/>
            <w:gridSpan w:val="3"/>
            <w:tcBorders>
              <w:top w:val="single" w:sz="4" w:space="0" w:color="auto"/>
              <w:bottom w:val="single" w:sz="4" w:space="0" w:color="auto"/>
            </w:tcBorders>
          </w:tcPr>
          <w:p w:rsidR="00212513" w:rsidRDefault="00212513">
            <w:pPr>
              <w:pStyle w:val="ConsPlusNormal"/>
              <w:ind w:firstLine="283"/>
              <w:jc w:val="both"/>
            </w:pPr>
            <w:r>
              <w:t>Примечания</w:t>
            </w:r>
          </w:p>
          <w:p w:rsidR="00212513" w:rsidRDefault="00212513">
            <w:pPr>
              <w:pStyle w:val="ConsPlusNormal"/>
              <w:ind w:firstLine="283"/>
              <w:jc w:val="both"/>
            </w:pPr>
            <w:r>
              <w:t xml:space="preserve">1 Расчеты на выносливость производят на сочетания, в которые кроме постоянных нагрузок и воздействий входят временные нагрузки </w:t>
            </w:r>
            <w:hyperlink w:anchor="P910">
              <w:r>
                <w:rPr>
                  <w:color w:val="0000FF"/>
                </w:rPr>
                <w:t>N 7</w:t>
              </w:r>
            </w:hyperlink>
            <w:r>
              <w:t xml:space="preserve"> - </w:t>
            </w:r>
            <w:hyperlink w:anchor="P916">
              <w:r>
                <w:rPr>
                  <w:color w:val="0000FF"/>
                </w:rPr>
                <w:t>9</w:t>
              </w:r>
            </w:hyperlink>
            <w:r>
              <w:t>, при этом вертикальную нагрузку от пешеходов на тротуарах с вертикальной нагрузкой от подвижного состава совместно учитывать не следует.</w:t>
            </w:r>
          </w:p>
          <w:p w:rsidR="00212513" w:rsidRDefault="00212513">
            <w:pPr>
              <w:pStyle w:val="ConsPlusNormal"/>
              <w:ind w:firstLine="283"/>
              <w:jc w:val="both"/>
            </w:pPr>
            <w:r>
              <w:t xml:space="preserve">2 Расчеты по предельным состояниям II группы следует производить только на сочетания нагрузок и воздействий </w:t>
            </w:r>
            <w:hyperlink w:anchor="P890">
              <w:r>
                <w:rPr>
                  <w:color w:val="0000FF"/>
                </w:rPr>
                <w:t>N 1</w:t>
              </w:r>
            </w:hyperlink>
            <w:r>
              <w:t xml:space="preserve"> - </w:t>
            </w:r>
            <w:hyperlink w:anchor="P916">
              <w:r>
                <w:rPr>
                  <w:color w:val="0000FF"/>
                </w:rPr>
                <w:t>9</w:t>
              </w:r>
            </w:hyperlink>
            <w:r>
              <w:t xml:space="preserve">, </w:t>
            </w:r>
            <w:hyperlink w:anchor="P935">
              <w:r>
                <w:rPr>
                  <w:color w:val="0000FF"/>
                </w:rPr>
                <w:t>15</w:t>
              </w:r>
            </w:hyperlink>
            <w:r>
              <w:t xml:space="preserve"> и </w:t>
            </w:r>
            <w:hyperlink w:anchor="P941">
              <w:r>
                <w:rPr>
                  <w:color w:val="0000FF"/>
                </w:rPr>
                <w:t>17</w:t>
              </w:r>
            </w:hyperlink>
            <w:r>
              <w:t xml:space="preserve">. При этом в расчетах железобетонных конструкций по трещиностойкости также надлежит учитывать </w:t>
            </w:r>
            <w:hyperlink w:anchor="P922">
              <w:r>
                <w:rPr>
                  <w:color w:val="0000FF"/>
                </w:rPr>
                <w:t>нагрузку N 11</w:t>
              </w:r>
            </w:hyperlink>
            <w:r>
              <w:t xml:space="preserve">, а при расчете горизонтальных перемещений верха опор - </w:t>
            </w:r>
            <w:hyperlink w:anchor="P919">
              <w:r>
                <w:rPr>
                  <w:color w:val="0000FF"/>
                </w:rPr>
                <w:t>нагрузки N 10</w:t>
              </w:r>
            </w:hyperlink>
            <w:r>
              <w:t xml:space="preserve">, </w:t>
            </w:r>
            <w:hyperlink w:anchor="P926">
              <w:r>
                <w:rPr>
                  <w:color w:val="0000FF"/>
                </w:rPr>
                <w:t>12</w:t>
              </w:r>
            </w:hyperlink>
            <w:r>
              <w:t xml:space="preserve"> и </w:t>
            </w:r>
            <w:hyperlink w:anchor="P929">
              <w:r>
                <w:rPr>
                  <w:color w:val="0000FF"/>
                </w:rPr>
                <w:t>13</w:t>
              </w:r>
            </w:hyperlink>
            <w:r>
              <w:t>.</w:t>
            </w:r>
          </w:p>
          <w:p w:rsidR="00212513" w:rsidRDefault="00212513">
            <w:pPr>
              <w:pStyle w:val="ConsPlusNormal"/>
              <w:ind w:firstLine="283"/>
              <w:jc w:val="both"/>
            </w:pPr>
            <w:r>
              <w:t xml:space="preserve">3 Для пешеходных мостов закрытого типа следует учитывать снеговую нагрузку согласно </w:t>
            </w:r>
            <w:hyperlink r:id="rId349">
              <w:r>
                <w:rPr>
                  <w:color w:val="0000FF"/>
                </w:rPr>
                <w:t>СП 20.13330</w:t>
              </w:r>
            </w:hyperlink>
            <w:r>
              <w:t>.</w:t>
            </w:r>
          </w:p>
        </w:tc>
      </w:tr>
    </w:tbl>
    <w:p w:rsidR="00212513" w:rsidRDefault="00212513">
      <w:pPr>
        <w:pStyle w:val="ConsPlusNormal"/>
        <w:ind w:firstLine="540"/>
        <w:jc w:val="both"/>
      </w:pPr>
    </w:p>
    <w:p w:rsidR="00212513" w:rsidRDefault="00212513">
      <w:pPr>
        <w:pStyle w:val="ConsPlusNormal"/>
        <w:ind w:firstLine="540"/>
        <w:jc w:val="both"/>
      </w:pPr>
      <w:bookmarkStart w:id="40" w:name="P955"/>
      <w:bookmarkEnd w:id="40"/>
      <w:r>
        <w:t xml:space="preserve">6.2 Коэффициенты сочетаний </w:t>
      </w:r>
      <w:r>
        <w:rPr>
          <w:noProof/>
          <w:position w:val="-2"/>
        </w:rPr>
        <w:drawing>
          <wp:inline distT="0" distB="0" distL="0" distR="0">
            <wp:extent cx="125730" cy="16764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25730" cy="167640"/>
                    </a:xfrm>
                    <a:prstGeom prst="rect">
                      <a:avLst/>
                    </a:prstGeom>
                    <a:noFill/>
                    <a:ln>
                      <a:noFill/>
                    </a:ln>
                  </pic:spPr>
                </pic:pic>
              </a:graphicData>
            </a:graphic>
          </wp:inline>
        </w:drawing>
      </w:r>
      <w:r>
        <w:t>, учитывающие уменьшение вероятности одновременного появления расчетных нагрузок, следует во всех расчетах принимать равными:</w:t>
      </w:r>
    </w:p>
    <w:p w:rsidR="00212513" w:rsidRDefault="00212513">
      <w:pPr>
        <w:pStyle w:val="ConsPlusNormal"/>
        <w:spacing w:before="220"/>
        <w:ind w:firstLine="540"/>
        <w:jc w:val="both"/>
      </w:pPr>
      <w:r>
        <w:t xml:space="preserve">а) к постоянным </w:t>
      </w:r>
      <w:hyperlink w:anchor="P890">
        <w:r>
          <w:rPr>
            <w:color w:val="0000FF"/>
          </w:rPr>
          <w:t>нагрузкам N 1</w:t>
        </w:r>
      </w:hyperlink>
      <w:r>
        <w:t xml:space="preserve"> - </w:t>
      </w:r>
      <w:hyperlink w:anchor="P905">
        <w:r>
          <w:rPr>
            <w:color w:val="0000FF"/>
          </w:rPr>
          <w:t>6</w:t>
        </w:r>
      </w:hyperlink>
      <w:r>
        <w:t xml:space="preserve">, к </w:t>
      </w:r>
      <w:hyperlink w:anchor="P941">
        <w:r>
          <w:rPr>
            <w:color w:val="0000FF"/>
          </w:rPr>
          <w:t>нагрузке N 17</w:t>
        </w:r>
      </w:hyperlink>
      <w:r>
        <w:t xml:space="preserve"> и весу порожнего подвижного состава железных дорог - 1,0;</w:t>
      </w:r>
    </w:p>
    <w:p w:rsidR="00212513" w:rsidRDefault="00212513">
      <w:pPr>
        <w:pStyle w:val="ConsPlusNormal"/>
        <w:spacing w:before="220"/>
        <w:ind w:firstLine="540"/>
        <w:jc w:val="both"/>
      </w:pPr>
      <w:r>
        <w:t xml:space="preserve">б) при учете действия только одной из временных нагрузок или группы сопутствующих одна другой нагрузок </w:t>
      </w:r>
      <w:hyperlink w:anchor="P910">
        <w:r>
          <w:rPr>
            <w:color w:val="0000FF"/>
          </w:rPr>
          <w:t>N 7</w:t>
        </w:r>
      </w:hyperlink>
      <w:r>
        <w:t xml:space="preserve"> - </w:t>
      </w:r>
      <w:hyperlink w:anchor="P916">
        <w:r>
          <w:rPr>
            <w:color w:val="0000FF"/>
          </w:rPr>
          <w:t>9</w:t>
        </w:r>
      </w:hyperlink>
      <w:r>
        <w:t xml:space="preserve"> (</w:t>
      </w:r>
      <w:hyperlink w:anchor="P910">
        <w:r>
          <w:rPr>
            <w:color w:val="0000FF"/>
          </w:rPr>
          <w:t>N 7</w:t>
        </w:r>
      </w:hyperlink>
      <w:r>
        <w:t xml:space="preserve"> - </w:t>
      </w:r>
      <w:hyperlink w:anchor="P913">
        <w:r>
          <w:rPr>
            <w:color w:val="0000FF"/>
          </w:rPr>
          <w:t>8</w:t>
        </w:r>
      </w:hyperlink>
      <w:r>
        <w:t xml:space="preserve">, </w:t>
      </w:r>
      <w:hyperlink w:anchor="P919">
        <w:r>
          <w:rPr>
            <w:color w:val="0000FF"/>
          </w:rPr>
          <w:t>10</w:t>
        </w:r>
      </w:hyperlink>
      <w:r>
        <w:t>) без других нагрузок - 1,0;</w:t>
      </w:r>
    </w:p>
    <w:p w:rsidR="00212513" w:rsidRDefault="00212513">
      <w:pPr>
        <w:pStyle w:val="ConsPlusNormal"/>
        <w:spacing w:before="220"/>
        <w:ind w:firstLine="540"/>
        <w:jc w:val="both"/>
      </w:pPr>
      <w:r>
        <w:t xml:space="preserve">в) при учете действия двух или более временных нагрузок (условно считая группу </w:t>
      </w:r>
      <w:hyperlink w:anchor="P910">
        <w:r>
          <w:rPr>
            <w:color w:val="0000FF"/>
          </w:rPr>
          <w:t>нагрузок N 7</w:t>
        </w:r>
      </w:hyperlink>
      <w:r>
        <w:t xml:space="preserve"> - </w:t>
      </w:r>
      <w:hyperlink w:anchor="P916">
        <w:r>
          <w:rPr>
            <w:color w:val="0000FF"/>
          </w:rPr>
          <w:t>9</w:t>
        </w:r>
      </w:hyperlink>
      <w:r>
        <w:t xml:space="preserve"> или </w:t>
      </w:r>
      <w:hyperlink w:anchor="P910">
        <w:r>
          <w:rPr>
            <w:color w:val="0000FF"/>
          </w:rPr>
          <w:t>N 7</w:t>
        </w:r>
      </w:hyperlink>
      <w:r>
        <w:t xml:space="preserve"> - </w:t>
      </w:r>
      <w:hyperlink w:anchor="P913">
        <w:r>
          <w:rPr>
            <w:color w:val="0000FF"/>
          </w:rPr>
          <w:t>8</w:t>
        </w:r>
      </w:hyperlink>
      <w:r>
        <w:t xml:space="preserve">, </w:t>
      </w:r>
      <w:hyperlink w:anchor="P919">
        <w:r>
          <w:rPr>
            <w:color w:val="0000FF"/>
          </w:rPr>
          <w:t>10</w:t>
        </w:r>
      </w:hyperlink>
      <w:r>
        <w:t xml:space="preserve"> за одну нагрузку) к одной из временных нагрузок - 0,8, к остальным - 0,7.</w:t>
      </w:r>
    </w:p>
    <w:p w:rsidR="00212513" w:rsidRDefault="00212513">
      <w:pPr>
        <w:pStyle w:val="ConsPlusNormal"/>
        <w:spacing w:before="220"/>
        <w:ind w:firstLine="540"/>
        <w:jc w:val="both"/>
      </w:pPr>
      <w:bookmarkStart w:id="41" w:name="P959"/>
      <w:bookmarkEnd w:id="41"/>
      <w:r>
        <w:t>Примечания</w:t>
      </w:r>
    </w:p>
    <w:p w:rsidR="00212513" w:rsidRDefault="00212513">
      <w:pPr>
        <w:pStyle w:val="ConsPlusNormal"/>
        <w:spacing w:before="220"/>
        <w:ind w:firstLine="540"/>
        <w:jc w:val="both"/>
      </w:pPr>
      <w:r>
        <w:lastRenderedPageBreak/>
        <w:t xml:space="preserve">1 К </w:t>
      </w:r>
      <w:hyperlink w:anchor="P926">
        <w:r>
          <w:rPr>
            <w:color w:val="0000FF"/>
          </w:rPr>
          <w:t>нагрузке N 12</w:t>
        </w:r>
      </w:hyperlink>
      <w:r>
        <w:t xml:space="preserve"> во всех случаях сочетания с </w:t>
      </w:r>
      <w:hyperlink w:anchor="P910">
        <w:r>
          <w:rPr>
            <w:color w:val="0000FF"/>
          </w:rPr>
          <w:t>нагрузкой N 7</w:t>
        </w:r>
      </w:hyperlink>
      <w:r>
        <w:t xml:space="preserve"> в зависимости от вида подвижного состава, образующего нагрузку, коэффициент </w:t>
      </w:r>
      <w:r>
        <w:rPr>
          <w:noProof/>
          <w:position w:val="-3"/>
        </w:rPr>
        <w:drawing>
          <wp:inline distT="0" distB="0" distL="0" distR="0">
            <wp:extent cx="146685" cy="18859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46685" cy="188595"/>
                    </a:xfrm>
                    <a:prstGeom prst="rect">
                      <a:avLst/>
                    </a:prstGeom>
                    <a:noFill/>
                    <a:ln>
                      <a:noFill/>
                    </a:ln>
                  </pic:spPr>
                </pic:pic>
              </a:graphicData>
            </a:graphic>
          </wp:inline>
        </w:drawing>
      </w:r>
      <w:r>
        <w:t xml:space="preserve"> следует принимать равным:</w:t>
      </w:r>
    </w:p>
    <w:p w:rsidR="00212513" w:rsidRDefault="00212513">
      <w:pPr>
        <w:pStyle w:val="ConsPlusNormal"/>
        <w:spacing w:before="220"/>
        <w:ind w:firstLine="540"/>
        <w:jc w:val="both"/>
      </w:pPr>
      <w:r>
        <w:t>а) при загружении железнодорожным подвижным составом и поездами метрополитена:</w:t>
      </w:r>
    </w:p>
    <w:p w:rsidR="00212513" w:rsidRDefault="00212513">
      <w:pPr>
        <w:pStyle w:val="ConsPlusNormal"/>
        <w:spacing w:before="220"/>
        <w:ind w:firstLine="540"/>
        <w:jc w:val="both"/>
      </w:pPr>
      <w:r>
        <w:t>не защищенными от воздействия бокового ветра - 0,5;</w:t>
      </w:r>
    </w:p>
    <w:p w:rsidR="00212513" w:rsidRDefault="00212513">
      <w:pPr>
        <w:pStyle w:val="ConsPlusNormal"/>
        <w:spacing w:before="220"/>
        <w:ind w:firstLine="540"/>
        <w:jc w:val="both"/>
      </w:pPr>
      <w:r>
        <w:t>защищенными галереями от воздействия бокового ветра - 1,0;</w:t>
      </w:r>
    </w:p>
    <w:p w:rsidR="00212513" w:rsidRDefault="00212513">
      <w:pPr>
        <w:pStyle w:val="ConsPlusNormal"/>
        <w:spacing w:before="220"/>
        <w:ind w:firstLine="540"/>
        <w:jc w:val="both"/>
      </w:pPr>
      <w:r>
        <w:t>б) при загружении пролетного строения автотранспортными средствами без трамвайного движения - 0,25, при наличии трамвайного движения - 0,35.</w:t>
      </w:r>
    </w:p>
    <w:p w:rsidR="00212513" w:rsidRDefault="00212513">
      <w:pPr>
        <w:pStyle w:val="ConsPlusNormal"/>
        <w:jc w:val="both"/>
      </w:pPr>
      <w:r>
        <w:t xml:space="preserve">(перечисление "б" в ред. </w:t>
      </w:r>
      <w:hyperlink r:id="rId352">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t xml:space="preserve">Для автодорожных и городских мостов в случае действия нескольких временных нагрузок и отсутствия среди них </w:t>
      </w:r>
      <w:hyperlink w:anchor="P910">
        <w:r>
          <w:rPr>
            <w:color w:val="0000FF"/>
          </w:rPr>
          <w:t>нагрузки N 7</w:t>
        </w:r>
      </w:hyperlink>
      <w:r>
        <w:t xml:space="preserve"> к </w:t>
      </w:r>
      <w:hyperlink w:anchor="P926">
        <w:r>
          <w:rPr>
            <w:color w:val="0000FF"/>
          </w:rPr>
          <w:t>нагрузке N 12</w:t>
        </w:r>
      </w:hyperlink>
      <w:r>
        <w:t xml:space="preserve"> следует принимать </w:t>
      </w:r>
      <w:r>
        <w:rPr>
          <w:noProof/>
          <w:position w:val="-7"/>
        </w:rPr>
        <w:drawing>
          <wp:inline distT="0" distB="0" distL="0" distR="0">
            <wp:extent cx="525780" cy="23050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525780" cy="230505"/>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2 Во всех сочетаниях нагрузок коэффициенты </w:t>
      </w:r>
      <w:r>
        <w:rPr>
          <w:noProof/>
          <w:position w:val="-3"/>
        </w:rPr>
        <w:drawing>
          <wp:inline distT="0" distB="0" distL="0" distR="0">
            <wp:extent cx="146685" cy="18859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46685" cy="188595"/>
                    </a:xfrm>
                    <a:prstGeom prst="rect">
                      <a:avLst/>
                    </a:prstGeom>
                    <a:noFill/>
                    <a:ln>
                      <a:noFill/>
                    </a:ln>
                  </pic:spPr>
                </pic:pic>
              </a:graphicData>
            </a:graphic>
          </wp:inline>
        </w:drawing>
      </w:r>
      <w:r>
        <w:t xml:space="preserve"> необходимо принимать: к </w:t>
      </w:r>
      <w:hyperlink w:anchor="P910">
        <w:r>
          <w:rPr>
            <w:color w:val="0000FF"/>
          </w:rPr>
          <w:t>нагрузкам N 7</w:t>
        </w:r>
      </w:hyperlink>
      <w:r>
        <w:t xml:space="preserve"> - </w:t>
      </w:r>
      <w:hyperlink w:anchor="P916">
        <w:r>
          <w:rPr>
            <w:color w:val="0000FF"/>
          </w:rPr>
          <w:t>9</w:t>
        </w:r>
      </w:hyperlink>
      <w:r>
        <w:t xml:space="preserve"> - одинаковыми, к </w:t>
      </w:r>
      <w:hyperlink w:anchor="P922">
        <w:r>
          <w:rPr>
            <w:color w:val="0000FF"/>
          </w:rPr>
          <w:t>нагрузке N 11</w:t>
        </w:r>
      </w:hyperlink>
      <w:r>
        <w:t xml:space="preserve"> - не более чем к </w:t>
      </w:r>
      <w:hyperlink w:anchor="P910">
        <w:r>
          <w:rPr>
            <w:color w:val="0000FF"/>
          </w:rPr>
          <w:t>нагрузке N 7</w:t>
        </w:r>
      </w:hyperlink>
      <w:r>
        <w:t>.</w:t>
      </w:r>
    </w:p>
    <w:p w:rsidR="00212513" w:rsidRDefault="00212513">
      <w:pPr>
        <w:pStyle w:val="ConsPlusNormal"/>
        <w:spacing w:before="220"/>
        <w:ind w:firstLine="540"/>
        <w:jc w:val="both"/>
      </w:pPr>
      <w:bookmarkStart w:id="42" w:name="P968"/>
      <w:bookmarkEnd w:id="42"/>
      <w:r>
        <w:t xml:space="preserve">3 При учете </w:t>
      </w:r>
      <w:hyperlink w:anchor="P944">
        <w:r>
          <w:rPr>
            <w:color w:val="0000FF"/>
          </w:rPr>
          <w:t>нагрузки N 18</w:t>
        </w:r>
      </w:hyperlink>
      <w:r>
        <w:t xml:space="preserve"> совместно с </w:t>
      </w:r>
      <w:hyperlink w:anchor="P910">
        <w:r>
          <w:rPr>
            <w:color w:val="0000FF"/>
          </w:rPr>
          <w:t>нагрузкой N 7</w:t>
        </w:r>
      </w:hyperlink>
      <w:r>
        <w:t xml:space="preserve"> и ей сопутствующими нагрузками коэффициенты </w:t>
      </w:r>
      <w:r>
        <w:rPr>
          <w:noProof/>
          <w:position w:val="-3"/>
        </w:rPr>
        <w:drawing>
          <wp:inline distT="0" distB="0" distL="0" distR="0">
            <wp:extent cx="146685" cy="18859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46685" cy="188595"/>
                    </a:xfrm>
                    <a:prstGeom prst="rect">
                      <a:avLst/>
                    </a:prstGeom>
                    <a:noFill/>
                    <a:ln>
                      <a:noFill/>
                    </a:ln>
                  </pic:spPr>
                </pic:pic>
              </a:graphicData>
            </a:graphic>
          </wp:inline>
        </w:drawing>
      </w:r>
      <w:r>
        <w:t xml:space="preserve"> следует принимать к </w:t>
      </w:r>
      <w:hyperlink w:anchor="P944">
        <w:r>
          <w:rPr>
            <w:color w:val="0000FF"/>
          </w:rPr>
          <w:t>нагрузке N 18</w:t>
        </w:r>
      </w:hyperlink>
      <w:r>
        <w:t xml:space="preserve"> - 0,8, к остальным временным нагрузкам для мостов:</w:t>
      </w:r>
    </w:p>
    <w:p w:rsidR="00212513" w:rsidRDefault="00212513">
      <w:pPr>
        <w:pStyle w:val="ConsPlusNormal"/>
        <w:spacing w:before="220"/>
        <w:ind w:firstLine="540"/>
        <w:jc w:val="both"/>
      </w:pPr>
      <w:r>
        <w:t>железнодорожных (только с одного пути) - 0,7;</w:t>
      </w:r>
    </w:p>
    <w:p w:rsidR="00212513" w:rsidRDefault="00212513">
      <w:pPr>
        <w:pStyle w:val="ConsPlusNormal"/>
        <w:spacing w:before="220"/>
        <w:ind w:firstLine="540"/>
        <w:jc w:val="both"/>
      </w:pPr>
      <w:r>
        <w:t>автодорожных и городских - 0,5.</w:t>
      </w:r>
    </w:p>
    <w:p w:rsidR="00212513" w:rsidRDefault="00212513">
      <w:pPr>
        <w:pStyle w:val="ConsPlusNormal"/>
        <w:jc w:val="both"/>
      </w:pPr>
      <w:r>
        <w:t xml:space="preserve">(в ред. </w:t>
      </w:r>
      <w:hyperlink r:id="rId354">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 xml:space="preserve">4 Значения коэффициентов </w:t>
      </w:r>
      <w:r>
        <w:rPr>
          <w:noProof/>
          <w:position w:val="-3"/>
        </w:rPr>
        <w:drawing>
          <wp:inline distT="0" distB="0" distL="0" distR="0">
            <wp:extent cx="146685" cy="18859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46685" cy="188595"/>
                    </a:xfrm>
                    <a:prstGeom prst="rect">
                      <a:avLst/>
                    </a:prstGeom>
                    <a:noFill/>
                    <a:ln>
                      <a:noFill/>
                    </a:ln>
                  </pic:spPr>
                </pic:pic>
              </a:graphicData>
            </a:graphic>
          </wp:inline>
        </w:drawing>
      </w:r>
      <w:r>
        <w:t xml:space="preserve"> для различных комбинаций временных нагрузок и воздействий приведены в </w:t>
      </w:r>
      <w:hyperlink w:anchor="P12381">
        <w:r>
          <w:rPr>
            <w:color w:val="0000FF"/>
          </w:rPr>
          <w:t>приложении Д</w:t>
        </w:r>
      </w:hyperlink>
      <w:r>
        <w:t>.</w:t>
      </w:r>
    </w:p>
    <w:p w:rsidR="00212513" w:rsidRDefault="00212513">
      <w:pPr>
        <w:pStyle w:val="ConsPlusNormal"/>
        <w:ind w:firstLine="540"/>
        <w:jc w:val="both"/>
      </w:pPr>
    </w:p>
    <w:p w:rsidR="00212513" w:rsidRDefault="00212513">
      <w:pPr>
        <w:pStyle w:val="ConsPlusNormal"/>
        <w:ind w:firstLine="540"/>
        <w:jc w:val="both"/>
      </w:pPr>
      <w:bookmarkStart w:id="43" w:name="P974"/>
      <w:bookmarkEnd w:id="43"/>
      <w:r>
        <w:t xml:space="preserve">6.3 Величины нагрузок и воздействий для расчета конструкций по всем группам предельных состояний принимают с коэффициентами надежности по нагрузке </w:t>
      </w:r>
      <w:r>
        <w:rPr>
          <w:noProof/>
          <w:position w:val="-10"/>
        </w:rPr>
        <w:drawing>
          <wp:inline distT="0" distB="0" distL="0" distR="0">
            <wp:extent cx="220345" cy="27368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20345" cy="273685"/>
                    </a:xfrm>
                    <a:prstGeom prst="rect">
                      <a:avLst/>
                    </a:prstGeom>
                    <a:noFill/>
                    <a:ln>
                      <a:noFill/>
                    </a:ln>
                  </pic:spPr>
                </pic:pic>
              </a:graphicData>
            </a:graphic>
          </wp:inline>
        </w:drawing>
      </w:r>
      <w:r>
        <w:t xml:space="preserve"> (согласно </w:t>
      </w:r>
      <w:hyperlink w:anchor="P1065">
        <w:r>
          <w:rPr>
            <w:color w:val="0000FF"/>
          </w:rPr>
          <w:t>6.10</w:t>
        </w:r>
      </w:hyperlink>
      <w:r>
        <w:t xml:space="preserve">, </w:t>
      </w:r>
      <w:hyperlink w:anchor="P1601">
        <w:r>
          <w:rPr>
            <w:color w:val="0000FF"/>
          </w:rPr>
          <w:t>6.23</w:t>
        </w:r>
      </w:hyperlink>
      <w:r>
        <w:t xml:space="preserve"> и </w:t>
      </w:r>
      <w:hyperlink w:anchor="P1903">
        <w:r>
          <w:rPr>
            <w:color w:val="0000FF"/>
          </w:rPr>
          <w:t>6.32</w:t>
        </w:r>
      </w:hyperlink>
      <w:r>
        <w:t xml:space="preserve"> для соответствующих нормативных нагрузок и воздействий) и динамическими коэффициентами </w:t>
      </w:r>
      <w:r>
        <w:rPr>
          <w:noProof/>
          <w:position w:val="-7"/>
        </w:rPr>
        <w:drawing>
          <wp:inline distT="0" distB="0" distL="0" distR="0">
            <wp:extent cx="377190" cy="23050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377190" cy="230505"/>
                    </a:xfrm>
                    <a:prstGeom prst="rect">
                      <a:avLst/>
                    </a:prstGeom>
                    <a:noFill/>
                    <a:ln>
                      <a:noFill/>
                    </a:ln>
                  </pic:spPr>
                </pic:pic>
              </a:graphicData>
            </a:graphic>
          </wp:inline>
        </w:drawing>
      </w:r>
      <w:r>
        <w:t xml:space="preserve"> или </w:t>
      </w:r>
      <w:r>
        <w:rPr>
          <w:noProof/>
          <w:position w:val="-7"/>
        </w:rPr>
        <w:drawing>
          <wp:inline distT="0" distB="0" distL="0" distR="0">
            <wp:extent cx="628650" cy="23050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628650" cy="230505"/>
                    </a:xfrm>
                    <a:prstGeom prst="rect">
                      <a:avLst/>
                    </a:prstGeom>
                    <a:noFill/>
                    <a:ln>
                      <a:noFill/>
                    </a:ln>
                  </pic:spPr>
                </pic:pic>
              </a:graphicData>
            </a:graphic>
          </wp:inline>
        </w:drawing>
      </w:r>
      <w:r>
        <w:t xml:space="preserve">, указанными в </w:t>
      </w:r>
      <w:hyperlink w:anchor="P1497">
        <w:r>
          <w:rPr>
            <w:color w:val="0000FF"/>
          </w:rPr>
          <w:t>6.22</w:t>
        </w:r>
      </w:hyperlink>
      <w:r>
        <w:t xml:space="preserve"> согласно таблице 6.2.</w:t>
      </w:r>
    </w:p>
    <w:p w:rsidR="00212513" w:rsidRDefault="00212513">
      <w:pPr>
        <w:pStyle w:val="ConsPlusNormal"/>
        <w:ind w:firstLine="540"/>
        <w:jc w:val="both"/>
      </w:pPr>
    </w:p>
    <w:p w:rsidR="00212513" w:rsidRDefault="00212513">
      <w:pPr>
        <w:pStyle w:val="ConsPlusNormal"/>
        <w:jc w:val="right"/>
      </w:pPr>
      <w:r>
        <w:t>Таблица 6.2</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85"/>
        <w:gridCol w:w="3628"/>
        <w:gridCol w:w="1814"/>
        <w:gridCol w:w="2154"/>
      </w:tblGrid>
      <w:tr w:rsidR="00212513">
        <w:tc>
          <w:tcPr>
            <w:tcW w:w="1485" w:type="dxa"/>
            <w:vMerge w:val="restart"/>
            <w:tcBorders>
              <w:top w:val="single" w:sz="4" w:space="0" w:color="auto"/>
              <w:bottom w:val="single" w:sz="4" w:space="0" w:color="auto"/>
            </w:tcBorders>
            <w:vAlign w:val="center"/>
          </w:tcPr>
          <w:p w:rsidR="00212513" w:rsidRDefault="00212513">
            <w:pPr>
              <w:pStyle w:val="ConsPlusNormal"/>
              <w:jc w:val="center"/>
            </w:pPr>
            <w:r>
              <w:t>Группа предельного состояния</w:t>
            </w:r>
          </w:p>
        </w:tc>
        <w:tc>
          <w:tcPr>
            <w:tcW w:w="3628" w:type="dxa"/>
            <w:vMerge w:val="restart"/>
            <w:tcBorders>
              <w:top w:val="single" w:sz="4" w:space="0" w:color="auto"/>
              <w:bottom w:val="single" w:sz="4" w:space="0" w:color="auto"/>
            </w:tcBorders>
            <w:vAlign w:val="center"/>
          </w:tcPr>
          <w:p w:rsidR="00212513" w:rsidRDefault="00212513">
            <w:pPr>
              <w:pStyle w:val="ConsPlusNormal"/>
              <w:jc w:val="center"/>
            </w:pPr>
            <w:r>
              <w:t>Вид расчета</w:t>
            </w:r>
          </w:p>
        </w:tc>
        <w:tc>
          <w:tcPr>
            <w:tcW w:w="3968" w:type="dxa"/>
            <w:gridSpan w:val="2"/>
            <w:tcBorders>
              <w:top w:val="single" w:sz="4" w:space="0" w:color="auto"/>
              <w:bottom w:val="single" w:sz="4" w:space="0" w:color="auto"/>
            </w:tcBorders>
            <w:vAlign w:val="center"/>
          </w:tcPr>
          <w:p w:rsidR="00212513" w:rsidRDefault="00212513">
            <w:pPr>
              <w:pStyle w:val="ConsPlusNormal"/>
              <w:jc w:val="center"/>
            </w:pPr>
            <w:r>
              <w:t>Вводимый коэффициент</w:t>
            </w:r>
          </w:p>
        </w:tc>
      </w:tr>
      <w:tr w:rsidR="00212513">
        <w:tc>
          <w:tcPr>
            <w:tcW w:w="1485" w:type="dxa"/>
            <w:vMerge/>
            <w:tcBorders>
              <w:top w:val="single" w:sz="4" w:space="0" w:color="auto"/>
              <w:bottom w:val="single" w:sz="4" w:space="0" w:color="auto"/>
            </w:tcBorders>
          </w:tcPr>
          <w:p w:rsidR="00212513" w:rsidRDefault="00212513">
            <w:pPr>
              <w:pStyle w:val="ConsPlusNormal"/>
            </w:pPr>
          </w:p>
        </w:tc>
        <w:tc>
          <w:tcPr>
            <w:tcW w:w="3628" w:type="dxa"/>
            <w:vMerge/>
            <w:tcBorders>
              <w:top w:val="single" w:sz="4" w:space="0" w:color="auto"/>
              <w:bottom w:val="single" w:sz="4" w:space="0" w:color="auto"/>
            </w:tcBorders>
          </w:tcPr>
          <w:p w:rsidR="00212513" w:rsidRDefault="00212513">
            <w:pPr>
              <w:pStyle w:val="ConsPlusNormal"/>
            </w:pPr>
          </w:p>
        </w:tc>
        <w:tc>
          <w:tcPr>
            <w:tcW w:w="1814" w:type="dxa"/>
            <w:tcBorders>
              <w:top w:val="single" w:sz="4" w:space="0" w:color="auto"/>
              <w:bottom w:val="single" w:sz="4" w:space="0" w:color="auto"/>
            </w:tcBorders>
            <w:vAlign w:val="center"/>
          </w:tcPr>
          <w:p w:rsidR="00212513" w:rsidRDefault="00212513">
            <w:pPr>
              <w:pStyle w:val="ConsPlusNormal"/>
              <w:jc w:val="center"/>
            </w:pPr>
            <w:r>
              <w:t>ко всем нагрузкам и воздействиям, кроме подвижной вертикальной</w:t>
            </w:r>
          </w:p>
        </w:tc>
        <w:tc>
          <w:tcPr>
            <w:tcW w:w="2154" w:type="dxa"/>
            <w:tcBorders>
              <w:top w:val="single" w:sz="4" w:space="0" w:color="auto"/>
              <w:bottom w:val="single" w:sz="4" w:space="0" w:color="auto"/>
            </w:tcBorders>
            <w:vAlign w:val="center"/>
          </w:tcPr>
          <w:p w:rsidR="00212513" w:rsidRDefault="00212513">
            <w:pPr>
              <w:pStyle w:val="ConsPlusNormal"/>
              <w:jc w:val="center"/>
            </w:pPr>
            <w:r>
              <w:t xml:space="preserve">к подвижной вертикальной нагрузке </w:t>
            </w:r>
            <w:hyperlink w:anchor="P1003">
              <w:r>
                <w:rPr>
                  <w:color w:val="0000FF"/>
                </w:rPr>
                <w:t>&lt;*&gt;</w:t>
              </w:r>
            </w:hyperlink>
          </w:p>
        </w:tc>
      </w:tr>
      <w:tr w:rsidR="00212513">
        <w:tblPrEx>
          <w:tblBorders>
            <w:insideH w:val="none" w:sz="0" w:space="0" w:color="auto"/>
          </w:tblBorders>
        </w:tblPrEx>
        <w:tc>
          <w:tcPr>
            <w:tcW w:w="1485" w:type="dxa"/>
            <w:tcBorders>
              <w:top w:val="single" w:sz="4" w:space="0" w:color="auto"/>
              <w:bottom w:val="nil"/>
            </w:tcBorders>
          </w:tcPr>
          <w:p w:rsidR="00212513" w:rsidRDefault="00212513">
            <w:pPr>
              <w:pStyle w:val="ConsPlusNormal"/>
              <w:jc w:val="center"/>
            </w:pPr>
            <w:r>
              <w:t>I</w:t>
            </w:r>
          </w:p>
        </w:tc>
        <w:tc>
          <w:tcPr>
            <w:tcW w:w="3628" w:type="dxa"/>
            <w:tcBorders>
              <w:top w:val="single" w:sz="4" w:space="0" w:color="auto"/>
              <w:bottom w:val="nil"/>
            </w:tcBorders>
          </w:tcPr>
          <w:p w:rsidR="00212513" w:rsidRDefault="00212513">
            <w:pPr>
              <w:pStyle w:val="ConsPlusNormal"/>
            </w:pPr>
            <w:r>
              <w:t>а) Все расчеты, кроме перечисленных в "б" - "г"</w:t>
            </w:r>
          </w:p>
        </w:tc>
        <w:tc>
          <w:tcPr>
            <w:tcW w:w="1814" w:type="dxa"/>
            <w:tcBorders>
              <w:top w:val="single" w:sz="4" w:space="0" w:color="auto"/>
              <w:bottom w:val="nil"/>
            </w:tcBorders>
          </w:tcPr>
          <w:p w:rsidR="00212513" w:rsidRDefault="00212513">
            <w:pPr>
              <w:pStyle w:val="ConsPlusNormal"/>
              <w:jc w:val="center"/>
            </w:pPr>
            <w:r>
              <w:rPr>
                <w:noProof/>
                <w:position w:val="-10"/>
              </w:rPr>
              <w:drawing>
                <wp:inline distT="0" distB="0" distL="0" distR="0">
                  <wp:extent cx="220345" cy="27368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20345" cy="273685"/>
                          </a:xfrm>
                          <a:prstGeom prst="rect">
                            <a:avLst/>
                          </a:prstGeom>
                          <a:noFill/>
                          <a:ln>
                            <a:noFill/>
                          </a:ln>
                        </pic:spPr>
                      </pic:pic>
                    </a:graphicData>
                  </a:graphic>
                </wp:inline>
              </w:drawing>
            </w:r>
          </w:p>
        </w:tc>
        <w:tc>
          <w:tcPr>
            <w:tcW w:w="2154" w:type="dxa"/>
            <w:tcBorders>
              <w:top w:val="single" w:sz="4" w:space="0" w:color="auto"/>
              <w:bottom w:val="nil"/>
            </w:tcBorders>
          </w:tcPr>
          <w:p w:rsidR="00212513" w:rsidRDefault="00212513">
            <w:pPr>
              <w:pStyle w:val="ConsPlusNormal"/>
              <w:jc w:val="center"/>
            </w:pPr>
            <w:r>
              <w:rPr>
                <w:noProof/>
                <w:position w:val="-10"/>
              </w:rPr>
              <w:drawing>
                <wp:inline distT="0" distB="0" distL="0" distR="0">
                  <wp:extent cx="220345" cy="27368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20345" cy="273685"/>
                          </a:xfrm>
                          <a:prstGeom prst="rect">
                            <a:avLst/>
                          </a:prstGeom>
                          <a:noFill/>
                          <a:ln>
                            <a:noFill/>
                          </a:ln>
                        </pic:spPr>
                      </pic:pic>
                    </a:graphicData>
                  </a:graphic>
                </wp:inline>
              </w:drawing>
            </w:r>
            <w:r>
              <w:t>; </w:t>
            </w:r>
            <w:r>
              <w:rPr>
                <w:noProof/>
                <w:position w:val="-7"/>
              </w:rPr>
              <w:drawing>
                <wp:inline distT="0" distB="0" distL="0" distR="0">
                  <wp:extent cx="377190" cy="23050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377190" cy="230505"/>
                          </a:xfrm>
                          <a:prstGeom prst="rect">
                            <a:avLst/>
                          </a:prstGeom>
                          <a:noFill/>
                          <a:ln>
                            <a:noFill/>
                          </a:ln>
                        </pic:spPr>
                      </pic:pic>
                    </a:graphicData>
                  </a:graphic>
                </wp:inline>
              </w:drawing>
            </w:r>
          </w:p>
        </w:tc>
      </w:tr>
      <w:tr w:rsidR="00212513">
        <w:tblPrEx>
          <w:tblBorders>
            <w:insideH w:val="none" w:sz="0" w:space="0" w:color="auto"/>
          </w:tblBorders>
        </w:tblPrEx>
        <w:tc>
          <w:tcPr>
            <w:tcW w:w="1485" w:type="dxa"/>
            <w:tcBorders>
              <w:top w:val="nil"/>
              <w:bottom w:val="nil"/>
            </w:tcBorders>
          </w:tcPr>
          <w:p w:rsidR="00212513" w:rsidRDefault="00212513">
            <w:pPr>
              <w:pStyle w:val="ConsPlusNormal"/>
              <w:jc w:val="center"/>
            </w:pPr>
          </w:p>
        </w:tc>
        <w:tc>
          <w:tcPr>
            <w:tcW w:w="3628" w:type="dxa"/>
            <w:tcBorders>
              <w:top w:val="nil"/>
              <w:bottom w:val="nil"/>
            </w:tcBorders>
          </w:tcPr>
          <w:p w:rsidR="00212513" w:rsidRDefault="00212513">
            <w:pPr>
              <w:pStyle w:val="ConsPlusNormal"/>
            </w:pPr>
            <w:r>
              <w:t>б) На выносливость</w:t>
            </w:r>
          </w:p>
        </w:tc>
        <w:tc>
          <w:tcPr>
            <w:tcW w:w="1814" w:type="dxa"/>
            <w:tcBorders>
              <w:top w:val="nil"/>
              <w:bottom w:val="nil"/>
            </w:tcBorders>
          </w:tcPr>
          <w:p w:rsidR="00212513" w:rsidRDefault="00212513">
            <w:pPr>
              <w:pStyle w:val="ConsPlusNormal"/>
              <w:jc w:val="center"/>
            </w:pPr>
            <w:r>
              <w:rPr>
                <w:noProof/>
                <w:position w:val="-10"/>
              </w:rPr>
              <w:drawing>
                <wp:inline distT="0" distB="0" distL="0" distR="0">
                  <wp:extent cx="450850" cy="27368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450850" cy="273685"/>
                          </a:xfrm>
                          <a:prstGeom prst="rect">
                            <a:avLst/>
                          </a:prstGeom>
                          <a:noFill/>
                          <a:ln>
                            <a:noFill/>
                          </a:ln>
                        </pic:spPr>
                      </pic:pic>
                    </a:graphicData>
                  </a:graphic>
                </wp:inline>
              </w:drawing>
            </w:r>
          </w:p>
        </w:tc>
        <w:tc>
          <w:tcPr>
            <w:tcW w:w="2154" w:type="dxa"/>
            <w:tcBorders>
              <w:top w:val="nil"/>
              <w:bottom w:val="nil"/>
            </w:tcBorders>
          </w:tcPr>
          <w:p w:rsidR="00212513" w:rsidRDefault="00212513">
            <w:pPr>
              <w:pStyle w:val="ConsPlusNormal"/>
              <w:jc w:val="center"/>
            </w:pPr>
            <w:r>
              <w:rPr>
                <w:noProof/>
                <w:position w:val="-10"/>
              </w:rPr>
              <w:drawing>
                <wp:inline distT="0" distB="0" distL="0" distR="0">
                  <wp:extent cx="450850" cy="27368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450850" cy="273685"/>
                          </a:xfrm>
                          <a:prstGeom prst="rect">
                            <a:avLst/>
                          </a:prstGeom>
                          <a:noFill/>
                          <a:ln>
                            <a:noFill/>
                          </a:ln>
                        </pic:spPr>
                      </pic:pic>
                    </a:graphicData>
                  </a:graphic>
                </wp:inline>
              </w:drawing>
            </w:r>
            <w:r>
              <w:t>; </w:t>
            </w:r>
            <w:r>
              <w:rPr>
                <w:noProof/>
                <w:position w:val="-7"/>
              </w:rPr>
              <w:drawing>
                <wp:inline distT="0" distB="0" distL="0" distR="0">
                  <wp:extent cx="628650" cy="23050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628650" cy="230505"/>
                          </a:xfrm>
                          <a:prstGeom prst="rect">
                            <a:avLst/>
                          </a:prstGeom>
                          <a:noFill/>
                          <a:ln>
                            <a:noFill/>
                          </a:ln>
                        </pic:spPr>
                      </pic:pic>
                    </a:graphicData>
                  </a:graphic>
                </wp:inline>
              </w:drawing>
            </w:r>
          </w:p>
        </w:tc>
      </w:tr>
      <w:tr w:rsidR="00212513">
        <w:tblPrEx>
          <w:tblBorders>
            <w:insideH w:val="none" w:sz="0" w:space="0" w:color="auto"/>
          </w:tblBorders>
        </w:tblPrEx>
        <w:tc>
          <w:tcPr>
            <w:tcW w:w="1485" w:type="dxa"/>
            <w:tcBorders>
              <w:top w:val="nil"/>
              <w:bottom w:val="nil"/>
            </w:tcBorders>
          </w:tcPr>
          <w:p w:rsidR="00212513" w:rsidRDefault="00212513">
            <w:pPr>
              <w:pStyle w:val="ConsPlusNormal"/>
              <w:jc w:val="center"/>
            </w:pPr>
          </w:p>
        </w:tc>
        <w:tc>
          <w:tcPr>
            <w:tcW w:w="3628" w:type="dxa"/>
            <w:tcBorders>
              <w:top w:val="nil"/>
              <w:bottom w:val="nil"/>
            </w:tcBorders>
          </w:tcPr>
          <w:p w:rsidR="00212513" w:rsidRDefault="00212513">
            <w:pPr>
              <w:pStyle w:val="ConsPlusNormal"/>
            </w:pPr>
            <w:r>
              <w:t>в) По устойчивости положения</w:t>
            </w:r>
          </w:p>
        </w:tc>
        <w:tc>
          <w:tcPr>
            <w:tcW w:w="1814" w:type="dxa"/>
            <w:tcBorders>
              <w:top w:val="nil"/>
              <w:bottom w:val="nil"/>
            </w:tcBorders>
          </w:tcPr>
          <w:p w:rsidR="00212513" w:rsidRDefault="00212513">
            <w:pPr>
              <w:pStyle w:val="ConsPlusNormal"/>
              <w:jc w:val="center"/>
            </w:pPr>
            <w:r>
              <w:rPr>
                <w:noProof/>
                <w:position w:val="-10"/>
              </w:rPr>
              <w:drawing>
                <wp:inline distT="0" distB="0" distL="0" distR="0">
                  <wp:extent cx="220345" cy="27368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20345" cy="273685"/>
                          </a:xfrm>
                          <a:prstGeom prst="rect">
                            <a:avLst/>
                          </a:prstGeom>
                          <a:noFill/>
                          <a:ln>
                            <a:noFill/>
                          </a:ln>
                        </pic:spPr>
                      </pic:pic>
                    </a:graphicData>
                  </a:graphic>
                </wp:inline>
              </w:drawing>
            </w:r>
          </w:p>
        </w:tc>
        <w:tc>
          <w:tcPr>
            <w:tcW w:w="2154" w:type="dxa"/>
            <w:tcBorders>
              <w:top w:val="nil"/>
              <w:bottom w:val="nil"/>
            </w:tcBorders>
          </w:tcPr>
          <w:p w:rsidR="00212513" w:rsidRDefault="00212513">
            <w:pPr>
              <w:pStyle w:val="ConsPlusNormal"/>
              <w:jc w:val="center"/>
            </w:pPr>
            <w:r>
              <w:rPr>
                <w:noProof/>
                <w:position w:val="-10"/>
              </w:rPr>
              <w:drawing>
                <wp:inline distT="0" distB="0" distL="0" distR="0">
                  <wp:extent cx="220345" cy="27368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20345" cy="273685"/>
                          </a:xfrm>
                          <a:prstGeom prst="rect">
                            <a:avLst/>
                          </a:prstGeom>
                          <a:noFill/>
                          <a:ln>
                            <a:noFill/>
                          </a:ln>
                        </pic:spPr>
                      </pic:pic>
                    </a:graphicData>
                  </a:graphic>
                </wp:inline>
              </w:drawing>
            </w:r>
            <w:r>
              <w:t xml:space="preserve"> </w:t>
            </w:r>
            <w:hyperlink w:anchor="P1005">
              <w:r>
                <w:rPr>
                  <w:color w:val="0000FF"/>
                </w:rPr>
                <w:t>&lt;***&gt;</w:t>
              </w:r>
            </w:hyperlink>
          </w:p>
        </w:tc>
      </w:tr>
      <w:tr w:rsidR="00212513">
        <w:tblPrEx>
          <w:tblBorders>
            <w:insideH w:val="none" w:sz="0" w:space="0" w:color="auto"/>
          </w:tblBorders>
        </w:tblPrEx>
        <w:tc>
          <w:tcPr>
            <w:tcW w:w="1485" w:type="dxa"/>
            <w:tcBorders>
              <w:top w:val="nil"/>
              <w:bottom w:val="nil"/>
            </w:tcBorders>
          </w:tcPr>
          <w:p w:rsidR="00212513" w:rsidRDefault="00212513">
            <w:pPr>
              <w:pStyle w:val="ConsPlusNormal"/>
              <w:jc w:val="center"/>
            </w:pPr>
          </w:p>
        </w:tc>
        <w:tc>
          <w:tcPr>
            <w:tcW w:w="3628" w:type="dxa"/>
            <w:tcBorders>
              <w:top w:val="nil"/>
              <w:bottom w:val="nil"/>
            </w:tcBorders>
          </w:tcPr>
          <w:p w:rsidR="00212513" w:rsidRDefault="00212513">
            <w:pPr>
              <w:pStyle w:val="ConsPlusNormal"/>
            </w:pPr>
            <w:r>
              <w:t>г) На сочетания, включающие сейсмическую нагрузку</w:t>
            </w:r>
          </w:p>
        </w:tc>
        <w:tc>
          <w:tcPr>
            <w:tcW w:w="1814" w:type="dxa"/>
            <w:tcBorders>
              <w:top w:val="nil"/>
              <w:bottom w:val="nil"/>
            </w:tcBorders>
          </w:tcPr>
          <w:p w:rsidR="00212513" w:rsidRDefault="00212513">
            <w:pPr>
              <w:pStyle w:val="ConsPlusNormal"/>
              <w:jc w:val="center"/>
            </w:pPr>
            <w:r>
              <w:rPr>
                <w:noProof/>
                <w:position w:val="-10"/>
              </w:rPr>
              <w:drawing>
                <wp:inline distT="0" distB="0" distL="0" distR="0">
                  <wp:extent cx="220345" cy="27368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20345" cy="273685"/>
                          </a:xfrm>
                          <a:prstGeom prst="rect">
                            <a:avLst/>
                          </a:prstGeom>
                          <a:noFill/>
                          <a:ln>
                            <a:noFill/>
                          </a:ln>
                        </pic:spPr>
                      </pic:pic>
                    </a:graphicData>
                  </a:graphic>
                </wp:inline>
              </w:drawing>
            </w:r>
            <w:r>
              <w:t xml:space="preserve"> </w:t>
            </w:r>
            <w:hyperlink w:anchor="P1004">
              <w:r>
                <w:rPr>
                  <w:color w:val="0000FF"/>
                </w:rPr>
                <w:t>&lt;**&gt;</w:t>
              </w:r>
            </w:hyperlink>
          </w:p>
        </w:tc>
        <w:tc>
          <w:tcPr>
            <w:tcW w:w="2154" w:type="dxa"/>
            <w:tcBorders>
              <w:top w:val="nil"/>
              <w:bottom w:val="nil"/>
            </w:tcBorders>
          </w:tcPr>
          <w:p w:rsidR="00212513" w:rsidRDefault="00212513">
            <w:pPr>
              <w:pStyle w:val="ConsPlusNormal"/>
              <w:jc w:val="center"/>
            </w:pPr>
            <w:r>
              <w:rPr>
                <w:noProof/>
                <w:position w:val="-10"/>
              </w:rPr>
              <w:drawing>
                <wp:inline distT="0" distB="0" distL="0" distR="0">
                  <wp:extent cx="220345" cy="27368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20345" cy="273685"/>
                          </a:xfrm>
                          <a:prstGeom prst="rect">
                            <a:avLst/>
                          </a:prstGeom>
                          <a:noFill/>
                          <a:ln>
                            <a:noFill/>
                          </a:ln>
                        </pic:spPr>
                      </pic:pic>
                    </a:graphicData>
                  </a:graphic>
                </wp:inline>
              </w:drawing>
            </w:r>
          </w:p>
        </w:tc>
      </w:tr>
      <w:tr w:rsidR="00212513">
        <w:tblPrEx>
          <w:tblBorders>
            <w:insideH w:val="none" w:sz="0" w:space="0" w:color="auto"/>
          </w:tblBorders>
        </w:tblPrEx>
        <w:tc>
          <w:tcPr>
            <w:tcW w:w="1485" w:type="dxa"/>
            <w:tcBorders>
              <w:top w:val="nil"/>
              <w:bottom w:val="single" w:sz="4" w:space="0" w:color="auto"/>
            </w:tcBorders>
          </w:tcPr>
          <w:p w:rsidR="00212513" w:rsidRDefault="00212513">
            <w:pPr>
              <w:pStyle w:val="ConsPlusNormal"/>
              <w:jc w:val="center"/>
            </w:pPr>
            <w:r>
              <w:t>II</w:t>
            </w:r>
          </w:p>
        </w:tc>
        <w:tc>
          <w:tcPr>
            <w:tcW w:w="3628" w:type="dxa"/>
            <w:tcBorders>
              <w:top w:val="nil"/>
              <w:bottom w:val="single" w:sz="4" w:space="0" w:color="auto"/>
            </w:tcBorders>
          </w:tcPr>
          <w:p w:rsidR="00212513" w:rsidRDefault="00212513">
            <w:pPr>
              <w:pStyle w:val="ConsPlusNormal"/>
            </w:pPr>
            <w:r>
              <w:t>Все расчеты, включая расчеты по образованию и раскрытию трещин в железобетоне</w:t>
            </w:r>
          </w:p>
        </w:tc>
        <w:tc>
          <w:tcPr>
            <w:tcW w:w="1814" w:type="dxa"/>
            <w:tcBorders>
              <w:top w:val="nil"/>
              <w:bottom w:val="single" w:sz="4" w:space="0" w:color="auto"/>
            </w:tcBorders>
          </w:tcPr>
          <w:p w:rsidR="00212513" w:rsidRDefault="00212513">
            <w:pPr>
              <w:pStyle w:val="ConsPlusNormal"/>
              <w:jc w:val="center"/>
            </w:pPr>
            <w:r>
              <w:rPr>
                <w:noProof/>
                <w:position w:val="-10"/>
              </w:rPr>
              <w:drawing>
                <wp:inline distT="0" distB="0" distL="0" distR="0">
                  <wp:extent cx="450850" cy="27368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450850" cy="273685"/>
                          </a:xfrm>
                          <a:prstGeom prst="rect">
                            <a:avLst/>
                          </a:prstGeom>
                          <a:noFill/>
                          <a:ln>
                            <a:noFill/>
                          </a:ln>
                        </pic:spPr>
                      </pic:pic>
                    </a:graphicData>
                  </a:graphic>
                </wp:inline>
              </w:drawing>
            </w:r>
          </w:p>
        </w:tc>
        <w:tc>
          <w:tcPr>
            <w:tcW w:w="2154" w:type="dxa"/>
            <w:tcBorders>
              <w:top w:val="nil"/>
              <w:bottom w:val="single" w:sz="4" w:space="0" w:color="auto"/>
            </w:tcBorders>
          </w:tcPr>
          <w:p w:rsidR="00212513" w:rsidRDefault="00212513">
            <w:pPr>
              <w:pStyle w:val="ConsPlusNormal"/>
              <w:jc w:val="center"/>
            </w:pPr>
            <w:r>
              <w:rPr>
                <w:noProof/>
                <w:position w:val="-10"/>
              </w:rPr>
              <w:drawing>
                <wp:inline distT="0" distB="0" distL="0" distR="0">
                  <wp:extent cx="450850" cy="27368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450850" cy="273685"/>
                          </a:xfrm>
                          <a:prstGeom prst="rect">
                            <a:avLst/>
                          </a:prstGeom>
                          <a:noFill/>
                          <a:ln>
                            <a:noFill/>
                          </a:ln>
                        </pic:spPr>
                      </pic:pic>
                    </a:graphicData>
                  </a:graphic>
                </wp:inline>
              </w:drawing>
            </w:r>
          </w:p>
        </w:tc>
      </w:tr>
      <w:tr w:rsidR="00212513">
        <w:tc>
          <w:tcPr>
            <w:tcW w:w="9081" w:type="dxa"/>
            <w:gridSpan w:val="4"/>
            <w:tcBorders>
              <w:top w:val="single" w:sz="4" w:space="0" w:color="auto"/>
              <w:bottom w:val="single" w:sz="4" w:space="0" w:color="auto"/>
            </w:tcBorders>
          </w:tcPr>
          <w:p w:rsidR="00212513" w:rsidRDefault="00212513">
            <w:pPr>
              <w:pStyle w:val="ConsPlusNormal"/>
              <w:ind w:firstLine="283"/>
              <w:jc w:val="both"/>
            </w:pPr>
            <w:bookmarkStart w:id="44" w:name="P1003"/>
            <w:bookmarkEnd w:id="44"/>
            <w:r>
              <w:t xml:space="preserve">&lt;*&gt; Во всех неоговоренных случаях (кроме нагрузки от кранов по </w:t>
            </w:r>
            <w:hyperlink w:anchor="P1895">
              <w:r>
                <w:rPr>
                  <w:color w:val="0000FF"/>
                </w:rPr>
                <w:t>6.30</w:t>
              </w:r>
            </w:hyperlink>
            <w:r>
              <w:t xml:space="preserve">) динамический коэффициент следует принимать </w:t>
            </w:r>
            <w:r>
              <w:rPr>
                <w:noProof/>
                <w:position w:val="-7"/>
              </w:rPr>
              <w:drawing>
                <wp:inline distT="0" distB="0" distL="0" distR="0">
                  <wp:extent cx="605790" cy="23050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605790" cy="230505"/>
                          </a:xfrm>
                          <a:prstGeom prst="rect">
                            <a:avLst/>
                          </a:prstGeom>
                          <a:noFill/>
                          <a:ln>
                            <a:noFill/>
                          </a:ln>
                        </pic:spPr>
                      </pic:pic>
                    </a:graphicData>
                  </a:graphic>
                </wp:inline>
              </w:drawing>
            </w:r>
            <w:r>
              <w:t>.</w:t>
            </w:r>
          </w:p>
          <w:p w:rsidR="00212513" w:rsidRDefault="00212513">
            <w:pPr>
              <w:pStyle w:val="ConsPlusNormal"/>
              <w:ind w:firstLine="283"/>
              <w:jc w:val="both"/>
            </w:pPr>
            <w:bookmarkStart w:id="45" w:name="P1004"/>
            <w:bookmarkEnd w:id="45"/>
            <w:r>
              <w:t xml:space="preserve">&lt;**&gt; Для сейсмических нагрузок следует принимать </w:t>
            </w:r>
            <w:r>
              <w:rPr>
                <w:noProof/>
                <w:position w:val="-10"/>
              </w:rPr>
              <w:drawing>
                <wp:inline distT="0" distB="0" distL="0" distR="0">
                  <wp:extent cx="450850" cy="27368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450850" cy="273685"/>
                          </a:xfrm>
                          <a:prstGeom prst="rect">
                            <a:avLst/>
                          </a:prstGeom>
                          <a:noFill/>
                          <a:ln>
                            <a:noFill/>
                          </a:ln>
                        </pic:spPr>
                      </pic:pic>
                    </a:graphicData>
                  </a:graphic>
                </wp:inline>
              </w:drawing>
            </w:r>
            <w:r>
              <w:t>.</w:t>
            </w:r>
          </w:p>
          <w:p w:rsidR="00212513" w:rsidRDefault="00212513">
            <w:pPr>
              <w:pStyle w:val="ConsPlusNormal"/>
              <w:ind w:firstLine="283"/>
              <w:jc w:val="both"/>
            </w:pPr>
            <w:bookmarkStart w:id="46" w:name="P1005"/>
            <w:bookmarkEnd w:id="46"/>
            <w:r>
              <w:t xml:space="preserve">&lt;***&gt; К порожнему составу железных дорог и метрополитена следует принимать </w:t>
            </w:r>
            <w:r>
              <w:rPr>
                <w:noProof/>
                <w:position w:val="-10"/>
              </w:rPr>
              <w:drawing>
                <wp:inline distT="0" distB="0" distL="0" distR="0">
                  <wp:extent cx="450850" cy="27368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450850" cy="273685"/>
                          </a:xfrm>
                          <a:prstGeom prst="rect">
                            <a:avLst/>
                          </a:prstGeom>
                          <a:noFill/>
                          <a:ln>
                            <a:noFill/>
                          </a:ln>
                        </pic:spPr>
                      </pic:pic>
                    </a:graphicData>
                  </a:graphic>
                </wp:inline>
              </w:drawing>
            </w:r>
            <w:r>
              <w:t>.</w:t>
            </w:r>
          </w:p>
        </w:tc>
      </w:tr>
    </w:tbl>
    <w:p w:rsidR="00212513" w:rsidRDefault="00212513">
      <w:pPr>
        <w:pStyle w:val="ConsPlusNormal"/>
        <w:ind w:firstLine="540"/>
        <w:jc w:val="both"/>
      </w:pPr>
    </w:p>
    <w:p w:rsidR="00212513" w:rsidRDefault="00212513">
      <w:pPr>
        <w:pStyle w:val="ConsPlusTitle"/>
        <w:ind w:firstLine="540"/>
        <w:jc w:val="both"/>
        <w:outlineLvl w:val="2"/>
      </w:pPr>
      <w:r>
        <w:t>Постоянные нагрузки и воздействия</w:t>
      </w:r>
    </w:p>
    <w:p w:rsidR="00212513" w:rsidRDefault="00212513">
      <w:pPr>
        <w:pStyle w:val="ConsPlusNormal"/>
        <w:ind w:firstLine="540"/>
        <w:jc w:val="both"/>
      </w:pPr>
    </w:p>
    <w:p w:rsidR="00212513" w:rsidRDefault="00212513">
      <w:pPr>
        <w:pStyle w:val="ConsPlusNormal"/>
        <w:ind w:firstLine="540"/>
        <w:jc w:val="both"/>
      </w:pPr>
      <w:bookmarkStart w:id="47" w:name="P1009"/>
      <w:bookmarkEnd w:id="47"/>
      <w:r>
        <w:t>6.4 Нормативную вертикальную нагрузку от собственного веса конструкций, а также постоянных смотровых приспособлений, опор и проводов линий электрификации и связи, трубопроводов и т.д. следует определять по проектным объемам.</w:t>
      </w:r>
    </w:p>
    <w:p w:rsidR="00212513" w:rsidRDefault="00212513">
      <w:pPr>
        <w:pStyle w:val="ConsPlusNormal"/>
        <w:spacing w:before="220"/>
        <w:ind w:firstLine="540"/>
        <w:jc w:val="both"/>
      </w:pPr>
      <w:r>
        <w:t>Для балочных пролетных строений нагрузку от собственного веса допускается принимать равномерно распределенной по длине пролета, если величина ее на отдельных участках отклоняется от средней величины не более чем на 10%.</w:t>
      </w:r>
    </w:p>
    <w:p w:rsidR="00212513" w:rsidRDefault="00212513">
      <w:pPr>
        <w:pStyle w:val="ConsPlusNormal"/>
        <w:spacing w:before="220"/>
        <w:ind w:firstLine="540"/>
        <w:jc w:val="both"/>
      </w:pPr>
      <w:r>
        <w:t>Нормативную нагрузку от веса мостового полотна одного железнодорожного пути следует принимать равной:</w:t>
      </w:r>
    </w:p>
    <w:p w:rsidR="00212513" w:rsidRDefault="00212513">
      <w:pPr>
        <w:pStyle w:val="ConsPlusNormal"/>
        <w:spacing w:before="220"/>
        <w:ind w:firstLine="540"/>
        <w:jc w:val="both"/>
      </w:pPr>
      <w:r>
        <w:t>при деревянных поперечинах и отсутствии тротуаров - 6,9 кН/м пути;</w:t>
      </w:r>
    </w:p>
    <w:p w:rsidR="00212513" w:rsidRDefault="00212513">
      <w:pPr>
        <w:pStyle w:val="ConsPlusNormal"/>
        <w:spacing w:before="220"/>
        <w:ind w:firstLine="540"/>
        <w:jc w:val="both"/>
      </w:pPr>
      <w:r>
        <w:t>то же, при двух тротуарах с металлическими консолями и железобетонными плитами настила - 12,7 кН/м пути;</w:t>
      </w:r>
    </w:p>
    <w:p w:rsidR="00212513" w:rsidRDefault="00212513">
      <w:pPr>
        <w:pStyle w:val="ConsPlusNormal"/>
        <w:spacing w:before="220"/>
        <w:ind w:firstLine="540"/>
        <w:jc w:val="both"/>
      </w:pPr>
      <w:r>
        <w:t>при железобетонных безбалластных плитах без тротуаров - 16,7 кН/м пути;</w:t>
      </w:r>
    </w:p>
    <w:p w:rsidR="00212513" w:rsidRDefault="00212513">
      <w:pPr>
        <w:pStyle w:val="ConsPlusNormal"/>
        <w:spacing w:before="220"/>
        <w:ind w:firstLine="540"/>
        <w:jc w:val="both"/>
      </w:pPr>
      <w:r>
        <w:t>то же, с двумя тротуарами - 22,6 кН/м пути.</w:t>
      </w:r>
    </w:p>
    <w:p w:rsidR="00212513" w:rsidRDefault="00212513">
      <w:pPr>
        <w:pStyle w:val="ConsPlusNormal"/>
        <w:spacing w:before="220"/>
        <w:ind w:firstLine="540"/>
        <w:jc w:val="both"/>
      </w:pPr>
      <w:r>
        <w:t>Вес сварных швов, а также выступающих частей высокопрочных болтов с гайками и двумя шайбами допускается принимать в процентах к общему весу металла по таблице 6.3.</w:t>
      </w:r>
    </w:p>
    <w:p w:rsidR="00212513" w:rsidRDefault="00212513">
      <w:pPr>
        <w:pStyle w:val="ConsPlusNormal"/>
        <w:ind w:firstLine="540"/>
        <w:jc w:val="both"/>
      </w:pPr>
    </w:p>
    <w:p w:rsidR="00212513" w:rsidRDefault="00212513">
      <w:pPr>
        <w:pStyle w:val="ConsPlusNormal"/>
        <w:jc w:val="right"/>
      </w:pPr>
      <w:r>
        <w:t>Таблица 6.3</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2381"/>
        <w:gridCol w:w="3023"/>
      </w:tblGrid>
      <w:tr w:rsidR="00212513">
        <w:tc>
          <w:tcPr>
            <w:tcW w:w="2494" w:type="dxa"/>
            <w:tcBorders>
              <w:top w:val="single" w:sz="4" w:space="0" w:color="auto"/>
              <w:bottom w:val="single" w:sz="4" w:space="0" w:color="auto"/>
            </w:tcBorders>
            <w:vAlign w:val="center"/>
          </w:tcPr>
          <w:p w:rsidR="00212513" w:rsidRDefault="00212513">
            <w:pPr>
              <w:pStyle w:val="ConsPlusNormal"/>
              <w:jc w:val="center"/>
            </w:pPr>
            <w:r>
              <w:t>Металлическая конструкция</w:t>
            </w:r>
          </w:p>
        </w:tc>
        <w:tc>
          <w:tcPr>
            <w:tcW w:w="2381" w:type="dxa"/>
            <w:tcBorders>
              <w:top w:val="single" w:sz="4" w:space="0" w:color="auto"/>
              <w:bottom w:val="single" w:sz="4" w:space="0" w:color="auto"/>
            </w:tcBorders>
            <w:vAlign w:val="center"/>
          </w:tcPr>
          <w:p w:rsidR="00212513" w:rsidRDefault="00212513">
            <w:pPr>
              <w:pStyle w:val="ConsPlusNormal"/>
              <w:jc w:val="center"/>
            </w:pPr>
            <w:r>
              <w:t>Сварные швы, %</w:t>
            </w:r>
          </w:p>
        </w:tc>
        <w:tc>
          <w:tcPr>
            <w:tcW w:w="3023" w:type="dxa"/>
            <w:tcBorders>
              <w:top w:val="single" w:sz="4" w:space="0" w:color="auto"/>
              <w:bottom w:val="single" w:sz="4" w:space="0" w:color="auto"/>
            </w:tcBorders>
            <w:vAlign w:val="center"/>
          </w:tcPr>
          <w:p w:rsidR="00212513" w:rsidRDefault="00212513">
            <w:pPr>
              <w:pStyle w:val="ConsPlusNormal"/>
              <w:jc w:val="center"/>
            </w:pPr>
            <w:r>
              <w:t>Выступающие части высокопрочных болтов, гайки и две шайбы, %</w:t>
            </w:r>
          </w:p>
        </w:tc>
      </w:tr>
      <w:tr w:rsidR="00212513">
        <w:tblPrEx>
          <w:tblBorders>
            <w:insideH w:val="none" w:sz="0" w:space="0" w:color="auto"/>
          </w:tblBorders>
        </w:tblPrEx>
        <w:tc>
          <w:tcPr>
            <w:tcW w:w="2494" w:type="dxa"/>
            <w:tcBorders>
              <w:top w:val="single" w:sz="4" w:space="0" w:color="auto"/>
              <w:bottom w:val="nil"/>
            </w:tcBorders>
          </w:tcPr>
          <w:p w:rsidR="00212513" w:rsidRDefault="00212513">
            <w:pPr>
              <w:pStyle w:val="ConsPlusNormal"/>
            </w:pPr>
            <w:r>
              <w:t>Болтосварная</w:t>
            </w:r>
          </w:p>
        </w:tc>
        <w:tc>
          <w:tcPr>
            <w:tcW w:w="2381" w:type="dxa"/>
            <w:tcBorders>
              <w:top w:val="single" w:sz="4" w:space="0" w:color="auto"/>
              <w:bottom w:val="nil"/>
            </w:tcBorders>
          </w:tcPr>
          <w:p w:rsidR="00212513" w:rsidRDefault="00212513">
            <w:pPr>
              <w:pStyle w:val="ConsPlusNormal"/>
              <w:jc w:val="center"/>
            </w:pPr>
            <w:r>
              <w:t>2,0</w:t>
            </w:r>
          </w:p>
        </w:tc>
        <w:tc>
          <w:tcPr>
            <w:tcW w:w="3023" w:type="dxa"/>
            <w:tcBorders>
              <w:top w:val="single" w:sz="4" w:space="0" w:color="auto"/>
              <w:bottom w:val="nil"/>
            </w:tcBorders>
          </w:tcPr>
          <w:p w:rsidR="00212513" w:rsidRDefault="00212513">
            <w:pPr>
              <w:pStyle w:val="ConsPlusNormal"/>
              <w:jc w:val="center"/>
            </w:pPr>
            <w:r>
              <w:t>4,0</w:t>
            </w:r>
          </w:p>
        </w:tc>
      </w:tr>
      <w:tr w:rsidR="00212513">
        <w:tblPrEx>
          <w:tblBorders>
            <w:insideH w:val="none" w:sz="0" w:space="0" w:color="auto"/>
          </w:tblBorders>
        </w:tblPrEx>
        <w:tc>
          <w:tcPr>
            <w:tcW w:w="7898" w:type="dxa"/>
            <w:gridSpan w:val="3"/>
            <w:tcBorders>
              <w:top w:val="nil"/>
              <w:bottom w:val="nil"/>
            </w:tcBorders>
          </w:tcPr>
          <w:p w:rsidR="00212513" w:rsidRDefault="00212513">
            <w:pPr>
              <w:pStyle w:val="ConsPlusNormal"/>
              <w:jc w:val="both"/>
            </w:pPr>
            <w:r>
              <w:t xml:space="preserve">(в ред. </w:t>
            </w:r>
            <w:hyperlink r:id="rId360">
              <w:r>
                <w:rPr>
                  <w:color w:val="0000FF"/>
                </w:rPr>
                <w:t>Изменения N 3</w:t>
              </w:r>
            </w:hyperlink>
            <w:r>
              <w:t>, утв. Приказом Минстроя России от 29.12.2020 N 891/пр)</w:t>
            </w:r>
          </w:p>
        </w:tc>
      </w:tr>
      <w:tr w:rsidR="00212513">
        <w:tblPrEx>
          <w:tblBorders>
            <w:insideH w:val="none" w:sz="0" w:space="0" w:color="auto"/>
          </w:tblBorders>
        </w:tblPrEx>
        <w:tc>
          <w:tcPr>
            <w:tcW w:w="2494" w:type="dxa"/>
            <w:tcBorders>
              <w:top w:val="nil"/>
              <w:bottom w:val="single" w:sz="4" w:space="0" w:color="auto"/>
            </w:tcBorders>
          </w:tcPr>
          <w:p w:rsidR="00212513" w:rsidRDefault="00212513">
            <w:pPr>
              <w:pStyle w:val="ConsPlusNormal"/>
            </w:pPr>
            <w:r>
              <w:t>Сварная</w:t>
            </w:r>
          </w:p>
        </w:tc>
        <w:tc>
          <w:tcPr>
            <w:tcW w:w="2381" w:type="dxa"/>
            <w:tcBorders>
              <w:top w:val="nil"/>
              <w:bottom w:val="single" w:sz="4" w:space="0" w:color="auto"/>
            </w:tcBorders>
          </w:tcPr>
          <w:p w:rsidR="00212513" w:rsidRDefault="00212513">
            <w:pPr>
              <w:pStyle w:val="ConsPlusNormal"/>
              <w:jc w:val="center"/>
            </w:pPr>
            <w:r>
              <w:t>2,0</w:t>
            </w:r>
          </w:p>
        </w:tc>
        <w:tc>
          <w:tcPr>
            <w:tcW w:w="3023" w:type="dxa"/>
            <w:tcBorders>
              <w:top w:val="nil"/>
              <w:bottom w:val="single" w:sz="4" w:space="0" w:color="auto"/>
            </w:tcBorders>
          </w:tcPr>
          <w:p w:rsidR="00212513" w:rsidRDefault="00212513">
            <w:pPr>
              <w:pStyle w:val="ConsPlusNormal"/>
              <w:jc w:val="center"/>
            </w:pPr>
            <w:r>
              <w:t>-</w:t>
            </w:r>
          </w:p>
        </w:tc>
      </w:tr>
    </w:tbl>
    <w:p w:rsidR="00212513" w:rsidRDefault="00212513">
      <w:pPr>
        <w:pStyle w:val="ConsPlusNormal"/>
        <w:ind w:firstLine="540"/>
        <w:jc w:val="both"/>
      </w:pPr>
    </w:p>
    <w:p w:rsidR="00212513" w:rsidRDefault="00212513">
      <w:pPr>
        <w:pStyle w:val="ConsPlusNormal"/>
        <w:ind w:firstLine="540"/>
        <w:jc w:val="both"/>
      </w:pPr>
      <w:bookmarkStart w:id="48" w:name="P1031"/>
      <w:bookmarkEnd w:id="48"/>
      <w:r>
        <w:t xml:space="preserve">6.5 Нормативное воздействие предварительного напряжения (в том числе регулирования усилий) в конструкции следует устанавливать по предусмотренному (контролируемому) усилию с </w:t>
      </w:r>
      <w:r>
        <w:lastRenderedPageBreak/>
        <w:t>учетом нормативных величин потерь, соответствующих рассматриваемой стадии работы.</w:t>
      </w:r>
    </w:p>
    <w:p w:rsidR="00212513" w:rsidRDefault="00212513">
      <w:pPr>
        <w:pStyle w:val="ConsPlusNormal"/>
        <w:spacing w:before="220"/>
        <w:ind w:firstLine="540"/>
        <w:jc w:val="both"/>
      </w:pPr>
      <w:r>
        <w:t>В железобетонных и сталежелезобетонных конструкциях кроме потерь, связанных с технологией выполнения работ по напряжению и регулированию усилий, следует учитывать также потери, вызываемые усадкой и ползучестью бетона.</w:t>
      </w:r>
    </w:p>
    <w:p w:rsidR="00212513" w:rsidRDefault="00212513">
      <w:pPr>
        <w:pStyle w:val="ConsPlusNormal"/>
        <w:spacing w:before="220"/>
        <w:ind w:firstLine="540"/>
        <w:jc w:val="both"/>
      </w:pPr>
      <w:bookmarkStart w:id="49" w:name="P1033"/>
      <w:bookmarkEnd w:id="49"/>
      <w:r>
        <w:t>6.6 Нормативное давление грунта от веса насыпи на опоры мостов и звенья труб следует определять по формулам, кПа:</w:t>
      </w:r>
    </w:p>
    <w:p w:rsidR="00212513" w:rsidRDefault="00212513">
      <w:pPr>
        <w:pStyle w:val="ConsPlusNormal"/>
        <w:spacing w:before="220"/>
        <w:ind w:firstLine="540"/>
        <w:jc w:val="both"/>
      </w:pPr>
      <w:r>
        <w:t>а) вертикальное давление:</w:t>
      </w:r>
    </w:p>
    <w:p w:rsidR="00212513" w:rsidRDefault="00212513">
      <w:pPr>
        <w:pStyle w:val="ConsPlusNormal"/>
        <w:spacing w:before="220"/>
        <w:ind w:firstLine="540"/>
        <w:jc w:val="both"/>
      </w:pPr>
      <w:r>
        <w:t>для опор мостов</w:t>
      </w:r>
    </w:p>
    <w:p w:rsidR="00212513" w:rsidRDefault="00212513">
      <w:pPr>
        <w:pStyle w:val="ConsPlusNormal"/>
        <w:ind w:firstLine="540"/>
        <w:jc w:val="both"/>
      </w:pPr>
    </w:p>
    <w:p w:rsidR="00212513" w:rsidRDefault="00212513">
      <w:pPr>
        <w:pStyle w:val="ConsPlusNormal"/>
        <w:jc w:val="center"/>
      </w:pPr>
      <w:r>
        <w:rPr>
          <w:noProof/>
          <w:position w:val="-10"/>
        </w:rPr>
        <w:drawing>
          <wp:inline distT="0" distB="0" distL="0" distR="0">
            <wp:extent cx="628650" cy="27368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628650" cy="273685"/>
                    </a:xfrm>
                    <a:prstGeom prst="rect">
                      <a:avLst/>
                    </a:prstGeom>
                    <a:noFill/>
                    <a:ln>
                      <a:noFill/>
                    </a:ln>
                  </pic:spPr>
                </pic:pic>
              </a:graphicData>
            </a:graphic>
          </wp:inline>
        </w:drawing>
      </w:r>
      <w:r>
        <w:t>; (6.1)</w:t>
      </w:r>
    </w:p>
    <w:p w:rsidR="00212513" w:rsidRDefault="00212513">
      <w:pPr>
        <w:pStyle w:val="ConsPlusNormal"/>
        <w:ind w:firstLine="540"/>
        <w:jc w:val="both"/>
      </w:pPr>
    </w:p>
    <w:p w:rsidR="00212513" w:rsidRDefault="00212513">
      <w:pPr>
        <w:pStyle w:val="ConsPlusNormal"/>
        <w:ind w:firstLine="540"/>
        <w:jc w:val="both"/>
      </w:pPr>
      <w:r>
        <w:t>для звеньев труб</w:t>
      </w:r>
    </w:p>
    <w:p w:rsidR="00212513" w:rsidRDefault="00212513">
      <w:pPr>
        <w:pStyle w:val="ConsPlusNormal"/>
        <w:ind w:firstLine="540"/>
        <w:jc w:val="both"/>
      </w:pPr>
    </w:p>
    <w:p w:rsidR="00212513" w:rsidRDefault="00212513">
      <w:pPr>
        <w:pStyle w:val="ConsPlusNormal"/>
        <w:jc w:val="center"/>
      </w:pPr>
      <w:bookmarkStart w:id="50" w:name="P1041"/>
      <w:bookmarkEnd w:id="50"/>
      <w:r>
        <w:rPr>
          <w:noProof/>
          <w:position w:val="-10"/>
        </w:rPr>
        <w:drawing>
          <wp:inline distT="0" distB="0" distL="0" distR="0">
            <wp:extent cx="796290" cy="273685"/>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796290" cy="273685"/>
                    </a:xfrm>
                    <a:prstGeom prst="rect">
                      <a:avLst/>
                    </a:prstGeom>
                    <a:noFill/>
                    <a:ln>
                      <a:noFill/>
                    </a:ln>
                  </pic:spPr>
                </pic:pic>
              </a:graphicData>
            </a:graphic>
          </wp:inline>
        </w:drawing>
      </w:r>
      <w:r>
        <w:t>; (6.2)</w:t>
      </w:r>
    </w:p>
    <w:p w:rsidR="00212513" w:rsidRDefault="00212513">
      <w:pPr>
        <w:pStyle w:val="ConsPlusNormal"/>
        <w:ind w:firstLine="540"/>
        <w:jc w:val="both"/>
      </w:pPr>
    </w:p>
    <w:p w:rsidR="00212513" w:rsidRDefault="00212513">
      <w:pPr>
        <w:pStyle w:val="ConsPlusNormal"/>
        <w:ind w:firstLine="540"/>
        <w:jc w:val="both"/>
      </w:pPr>
      <w:r>
        <w:t>б) горизонтальное (боковое) давление</w:t>
      </w:r>
    </w:p>
    <w:p w:rsidR="00212513" w:rsidRDefault="00212513">
      <w:pPr>
        <w:pStyle w:val="ConsPlusNormal"/>
        <w:ind w:firstLine="540"/>
        <w:jc w:val="both"/>
      </w:pPr>
    </w:p>
    <w:p w:rsidR="00212513" w:rsidRDefault="00212513">
      <w:pPr>
        <w:pStyle w:val="ConsPlusNormal"/>
        <w:jc w:val="center"/>
      </w:pPr>
      <w:bookmarkStart w:id="51" w:name="P1045"/>
      <w:bookmarkEnd w:id="51"/>
      <w:r>
        <w:rPr>
          <w:noProof/>
          <w:position w:val="-8"/>
        </w:rPr>
        <w:drawing>
          <wp:inline distT="0" distB="0" distL="0" distR="0">
            <wp:extent cx="796290" cy="25146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796290" cy="251460"/>
                    </a:xfrm>
                    <a:prstGeom prst="rect">
                      <a:avLst/>
                    </a:prstGeom>
                    <a:noFill/>
                    <a:ln>
                      <a:noFill/>
                    </a:ln>
                  </pic:spPr>
                </pic:pic>
              </a:graphicData>
            </a:graphic>
          </wp:inline>
        </w:drawing>
      </w:r>
      <w:r>
        <w:t>, (6.3)</w:t>
      </w:r>
    </w:p>
    <w:p w:rsidR="00212513" w:rsidRDefault="00212513">
      <w:pPr>
        <w:pStyle w:val="ConsPlusNormal"/>
        <w:ind w:firstLine="540"/>
        <w:jc w:val="both"/>
      </w:pPr>
    </w:p>
    <w:p w:rsidR="00212513" w:rsidRDefault="00212513">
      <w:pPr>
        <w:pStyle w:val="ConsPlusNormal"/>
        <w:ind w:firstLine="540"/>
        <w:jc w:val="both"/>
      </w:pPr>
      <w:r>
        <w:t xml:space="preserve">где </w:t>
      </w:r>
      <w:r>
        <w:rPr>
          <w:i/>
        </w:rPr>
        <w:t>h</w:t>
      </w:r>
      <w:r>
        <w:t xml:space="preserve">, </w:t>
      </w:r>
      <w:r>
        <w:rPr>
          <w:noProof/>
          <w:position w:val="-8"/>
        </w:rPr>
        <w:drawing>
          <wp:inline distT="0" distB="0" distL="0" distR="0">
            <wp:extent cx="188595" cy="25146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 высота засыпки, м, определяемая для устоев мостов по </w:t>
      </w:r>
      <w:hyperlink w:anchor="P13122">
        <w:r>
          <w:rPr>
            <w:color w:val="0000FF"/>
          </w:rPr>
          <w:t>приложению Е</w:t>
        </w:r>
      </w:hyperlink>
      <w:r>
        <w:t xml:space="preserve">, для звеньев труб - </w:t>
      </w:r>
      <w:hyperlink w:anchor="P13191">
        <w:r>
          <w:rPr>
            <w:color w:val="0000FF"/>
          </w:rPr>
          <w:t>приложению Ж</w:t>
        </w:r>
      </w:hyperlink>
      <w:r>
        <w:t>;</w:t>
      </w:r>
    </w:p>
    <w:p w:rsidR="00212513" w:rsidRDefault="00212513">
      <w:pPr>
        <w:pStyle w:val="ConsPlusNormal"/>
        <w:spacing w:before="220"/>
        <w:ind w:firstLine="540"/>
        <w:jc w:val="both"/>
      </w:pPr>
      <w:r>
        <w:rPr>
          <w:noProof/>
          <w:position w:val="-8"/>
        </w:rPr>
        <w:drawing>
          <wp:inline distT="0" distB="0" distL="0" distR="0">
            <wp:extent cx="198755" cy="25082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нормативный удельный вес грунта, кН/м</w:t>
      </w:r>
      <w:r>
        <w:rPr>
          <w:vertAlign w:val="superscript"/>
        </w:rPr>
        <w:t>3</w:t>
      </w:r>
      <w:r>
        <w:t>;</w:t>
      </w:r>
    </w:p>
    <w:p w:rsidR="00212513" w:rsidRDefault="00212513">
      <w:pPr>
        <w:pStyle w:val="ConsPlusNormal"/>
        <w:spacing w:before="220"/>
        <w:ind w:firstLine="540"/>
        <w:jc w:val="both"/>
      </w:pPr>
      <w:r>
        <w:rPr>
          <w:noProof/>
          <w:position w:val="-10"/>
        </w:rPr>
        <w:drawing>
          <wp:inline distT="0" distB="0" distL="0" distR="0">
            <wp:extent cx="209550" cy="27368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209550" cy="273685"/>
                    </a:xfrm>
                    <a:prstGeom prst="rect">
                      <a:avLst/>
                    </a:prstGeom>
                    <a:noFill/>
                    <a:ln>
                      <a:noFill/>
                    </a:ln>
                  </pic:spPr>
                </pic:pic>
              </a:graphicData>
            </a:graphic>
          </wp:inline>
        </w:drawing>
      </w:r>
      <w:r>
        <w:t xml:space="preserve"> - коэффициент вертикального давления, определяемый для звеньев труб по </w:t>
      </w:r>
      <w:hyperlink w:anchor="P13191">
        <w:r>
          <w:rPr>
            <w:color w:val="0000FF"/>
          </w:rPr>
          <w:t>приложению Ж</w:t>
        </w:r>
      </w:hyperlink>
      <w:r>
        <w:t>;</w:t>
      </w:r>
    </w:p>
    <w:p w:rsidR="00212513" w:rsidRDefault="00212513">
      <w:pPr>
        <w:pStyle w:val="ConsPlusNormal"/>
        <w:spacing w:before="220"/>
        <w:ind w:firstLine="540"/>
        <w:jc w:val="both"/>
      </w:pPr>
      <w:r>
        <w:rPr>
          <w:noProof/>
          <w:position w:val="-8"/>
        </w:rPr>
        <w:drawing>
          <wp:inline distT="0" distB="0" distL="0" distR="0">
            <wp:extent cx="188595" cy="25146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 коэффициент нормативного бокового давления грунта засыпки береговых опор мостов или звеньев труб, определяемый по формуле</w:t>
      </w:r>
    </w:p>
    <w:p w:rsidR="00212513" w:rsidRDefault="00212513">
      <w:pPr>
        <w:pStyle w:val="ConsPlusNormal"/>
        <w:ind w:firstLine="540"/>
        <w:jc w:val="both"/>
      </w:pPr>
    </w:p>
    <w:p w:rsidR="00212513" w:rsidRDefault="00212513">
      <w:pPr>
        <w:pStyle w:val="ConsPlusNormal"/>
        <w:jc w:val="center"/>
      </w:pPr>
      <w:bookmarkStart w:id="52" w:name="P1052"/>
      <w:bookmarkEnd w:id="52"/>
      <w:r>
        <w:rPr>
          <w:noProof/>
          <w:position w:val="-10"/>
        </w:rPr>
        <w:drawing>
          <wp:inline distT="0" distB="0" distL="0" distR="0">
            <wp:extent cx="1438910" cy="27368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438910" cy="273685"/>
                    </a:xfrm>
                    <a:prstGeom prst="rect">
                      <a:avLst/>
                    </a:prstGeom>
                    <a:noFill/>
                    <a:ln>
                      <a:noFill/>
                    </a:ln>
                  </pic:spPr>
                </pic:pic>
              </a:graphicData>
            </a:graphic>
          </wp:inline>
        </w:drawing>
      </w:r>
      <w:r>
        <w:t>, (6.4)</w:t>
      </w:r>
    </w:p>
    <w:p w:rsidR="00212513" w:rsidRDefault="00212513">
      <w:pPr>
        <w:pStyle w:val="ConsPlusNormal"/>
        <w:ind w:firstLine="540"/>
        <w:jc w:val="both"/>
      </w:pPr>
    </w:p>
    <w:p w:rsidR="00212513" w:rsidRDefault="00212513">
      <w:pPr>
        <w:pStyle w:val="ConsPlusNormal"/>
        <w:ind w:firstLine="540"/>
        <w:jc w:val="both"/>
      </w:pPr>
      <w:r>
        <w:t xml:space="preserve">здесь </w:t>
      </w:r>
      <w:r>
        <w:rPr>
          <w:noProof/>
          <w:position w:val="-8"/>
        </w:rPr>
        <w:drawing>
          <wp:inline distT="0" distB="0" distL="0" distR="0">
            <wp:extent cx="189230" cy="25082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89230" cy="250825"/>
                    </a:xfrm>
                    <a:prstGeom prst="rect">
                      <a:avLst/>
                    </a:prstGeom>
                    <a:noFill/>
                    <a:ln>
                      <a:noFill/>
                    </a:ln>
                  </pic:spPr>
                </pic:pic>
              </a:graphicData>
            </a:graphic>
          </wp:inline>
        </w:drawing>
      </w:r>
      <w:r>
        <w:t xml:space="preserve"> - нормативный угол внутреннего трения грунта, град.</w:t>
      </w:r>
    </w:p>
    <w:p w:rsidR="00212513" w:rsidRDefault="00212513">
      <w:pPr>
        <w:pStyle w:val="ConsPlusNormal"/>
        <w:spacing w:before="220"/>
        <w:ind w:firstLine="540"/>
        <w:jc w:val="both"/>
      </w:pPr>
      <w:r>
        <w:t xml:space="preserve">Значения </w:t>
      </w:r>
      <w:r>
        <w:rPr>
          <w:noProof/>
          <w:position w:val="-8"/>
        </w:rPr>
        <w:drawing>
          <wp:inline distT="0" distB="0" distL="0" distR="0">
            <wp:extent cx="198755" cy="25082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и </w:t>
      </w:r>
      <w:r>
        <w:rPr>
          <w:noProof/>
          <w:position w:val="-8"/>
        </w:rPr>
        <w:drawing>
          <wp:inline distT="0" distB="0" distL="0" distR="0">
            <wp:extent cx="189230" cy="250825"/>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189230" cy="250825"/>
                    </a:xfrm>
                    <a:prstGeom prst="rect">
                      <a:avLst/>
                    </a:prstGeom>
                    <a:noFill/>
                    <a:ln>
                      <a:noFill/>
                    </a:ln>
                  </pic:spPr>
                </pic:pic>
              </a:graphicData>
            </a:graphic>
          </wp:inline>
        </w:drawing>
      </w:r>
      <w:r>
        <w:t xml:space="preserve"> следует, как правило, принимать на основании лабораторных исследований образцов грунтов, предназначенных для засыпки сооружения.</w:t>
      </w:r>
    </w:p>
    <w:p w:rsidR="00212513" w:rsidRDefault="00212513">
      <w:pPr>
        <w:pStyle w:val="ConsPlusNormal"/>
        <w:spacing w:before="220"/>
        <w:ind w:firstLine="540"/>
        <w:jc w:val="both"/>
      </w:pPr>
      <w:r>
        <w:t xml:space="preserve">При повторном применении проектов для определения нормативного давления грунта допускается принимать удельный вес грунта засыпки </w:t>
      </w:r>
      <w:r>
        <w:rPr>
          <w:noProof/>
          <w:position w:val="-10"/>
        </w:rPr>
        <w:drawing>
          <wp:inline distT="0" distB="0" distL="0" distR="0">
            <wp:extent cx="1111250" cy="272415"/>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a:extLst>
                        <a:ext uri="{28A0092B-C50C-407E-A947-70E740481C1C}">
                          <a14:useLocalDpi xmlns:a14="http://schemas.microsoft.com/office/drawing/2010/main" val="0"/>
                        </a:ext>
                      </a:extLst>
                    </a:blip>
                    <a:srcRect/>
                    <a:stretch>
                      <a:fillRect/>
                    </a:stretch>
                  </pic:blipFill>
                  <pic:spPr bwMode="auto">
                    <a:xfrm>
                      <a:off x="0" y="0"/>
                      <a:ext cx="1111250" cy="272415"/>
                    </a:xfrm>
                    <a:prstGeom prst="rect">
                      <a:avLst/>
                    </a:prstGeom>
                    <a:noFill/>
                    <a:ln>
                      <a:noFill/>
                    </a:ln>
                  </pic:spPr>
                </pic:pic>
              </a:graphicData>
            </a:graphic>
          </wp:inline>
        </w:drawing>
      </w:r>
      <w:r>
        <w:t xml:space="preserve">, нормативные углы внутреннего трения </w:t>
      </w:r>
      <w:r>
        <w:rPr>
          <w:noProof/>
          <w:position w:val="-8"/>
        </w:rPr>
        <w:drawing>
          <wp:inline distT="0" distB="0" distL="0" distR="0">
            <wp:extent cx="189230" cy="250825"/>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189230" cy="250825"/>
                    </a:xfrm>
                    <a:prstGeom prst="rect">
                      <a:avLst/>
                    </a:prstGeom>
                    <a:noFill/>
                    <a:ln>
                      <a:noFill/>
                    </a:ln>
                  </pic:spPr>
                </pic:pic>
              </a:graphicData>
            </a:graphic>
          </wp:inline>
        </w:drawing>
      </w:r>
      <w:r>
        <w:t>, равными:</w:t>
      </w:r>
    </w:p>
    <w:p w:rsidR="00212513" w:rsidRDefault="00212513">
      <w:pPr>
        <w:pStyle w:val="ConsPlusNormal"/>
        <w:spacing w:before="220"/>
        <w:ind w:firstLine="540"/>
        <w:jc w:val="both"/>
      </w:pPr>
      <w:r>
        <w:t>для устоев при засыпке песчаным (дренирующим) грунтом - 35°;</w:t>
      </w:r>
    </w:p>
    <w:p w:rsidR="00212513" w:rsidRDefault="00212513">
      <w:pPr>
        <w:pStyle w:val="ConsPlusNormal"/>
        <w:spacing w:before="220"/>
        <w:ind w:firstLine="540"/>
        <w:jc w:val="both"/>
      </w:pPr>
      <w:r>
        <w:t>для звеньев труб, находящихся в насыпи, - 30°;</w:t>
      </w:r>
    </w:p>
    <w:p w:rsidR="00212513" w:rsidRDefault="00212513">
      <w:pPr>
        <w:pStyle w:val="ConsPlusNormal"/>
        <w:spacing w:before="220"/>
        <w:ind w:firstLine="540"/>
        <w:jc w:val="both"/>
      </w:pPr>
      <w:r>
        <w:t>для оголовков труб - 25°.</w:t>
      </w:r>
    </w:p>
    <w:p w:rsidR="00212513" w:rsidRDefault="00212513">
      <w:pPr>
        <w:pStyle w:val="ConsPlusNormal"/>
        <w:spacing w:before="220"/>
        <w:ind w:firstLine="540"/>
        <w:jc w:val="both"/>
      </w:pPr>
      <w:r>
        <w:lastRenderedPageBreak/>
        <w:t xml:space="preserve">Методика определения равнодействующей нормативного горизонтального (бокового) давления на опоры мостов от собственного веса грунта приведена в </w:t>
      </w:r>
      <w:hyperlink w:anchor="P13122">
        <w:r>
          <w:rPr>
            <w:color w:val="0000FF"/>
          </w:rPr>
          <w:t>приложении Е</w:t>
        </w:r>
      </w:hyperlink>
      <w:r>
        <w:t>.</w:t>
      </w:r>
    </w:p>
    <w:p w:rsidR="00212513" w:rsidRDefault="00212513">
      <w:pPr>
        <w:pStyle w:val="ConsPlusNormal"/>
        <w:spacing w:before="220"/>
        <w:ind w:firstLine="540"/>
        <w:jc w:val="both"/>
      </w:pPr>
      <w:r>
        <w:t xml:space="preserve">6.7 Нормативное гидростатическое давление (взвешивающее действие воды) следует определять в соответствии с указаниями </w:t>
      </w:r>
      <w:hyperlink w:anchor="P10956">
        <w:r>
          <w:rPr>
            <w:color w:val="0000FF"/>
          </w:rPr>
          <w:t>раздела 11</w:t>
        </w:r>
      </w:hyperlink>
      <w:r>
        <w:t>.</w:t>
      </w:r>
    </w:p>
    <w:p w:rsidR="00212513" w:rsidRDefault="00212513">
      <w:pPr>
        <w:pStyle w:val="ConsPlusNormal"/>
        <w:spacing w:before="220"/>
        <w:ind w:firstLine="540"/>
        <w:jc w:val="both"/>
      </w:pPr>
      <w:r>
        <w:t>6.8 Нормативное воздействие усадки и ползучести бетона следует принимать в виде относительных деформаций и учитывать при определении перемещений и усилий в конструкциях. Ползучесть бетона определяется только от действия постоянных нагрузок.</w:t>
      </w:r>
    </w:p>
    <w:p w:rsidR="00212513" w:rsidRDefault="00212513">
      <w:pPr>
        <w:pStyle w:val="ConsPlusNormal"/>
        <w:spacing w:before="220"/>
        <w:ind w:firstLine="540"/>
        <w:jc w:val="both"/>
      </w:pPr>
      <w:r>
        <w:t xml:space="preserve">Значения нормативных деформаций усадки и ползучести для рассматриваемой стадии работы следует определять по значениям предельных относительных деформаций усадки бетона </w:t>
      </w:r>
      <w:r>
        <w:rPr>
          <w:noProof/>
          <w:position w:val="-8"/>
        </w:rPr>
        <w:drawing>
          <wp:inline distT="0" distB="0" distL="0" distR="0">
            <wp:extent cx="188595" cy="25146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и удельных деформаций ползучести бетона </w:t>
      </w:r>
      <w:r>
        <w:rPr>
          <w:noProof/>
          <w:position w:val="-8"/>
        </w:rPr>
        <w:drawing>
          <wp:inline distT="0" distB="0" distL="0" distR="0">
            <wp:extent cx="188595" cy="25146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в соответствии с указаниями </w:t>
      </w:r>
      <w:hyperlink w:anchor="P1956">
        <w:r>
          <w:rPr>
            <w:color w:val="0000FF"/>
          </w:rPr>
          <w:t>разделов 7</w:t>
        </w:r>
      </w:hyperlink>
      <w:r>
        <w:t xml:space="preserve"> и </w:t>
      </w:r>
      <w:hyperlink w:anchor="P9301">
        <w:r>
          <w:rPr>
            <w:color w:val="0000FF"/>
          </w:rPr>
          <w:t>9</w:t>
        </w:r>
      </w:hyperlink>
      <w:r>
        <w:t>.</w:t>
      </w:r>
    </w:p>
    <w:p w:rsidR="00212513" w:rsidRDefault="00212513">
      <w:pPr>
        <w:pStyle w:val="ConsPlusNormal"/>
        <w:spacing w:before="220"/>
        <w:ind w:firstLine="540"/>
        <w:jc w:val="both"/>
      </w:pPr>
      <w:r>
        <w:t>6.9 Нормативное воздействие от осадки грунта в основании опор мостов следует принимать по результатам расчета осадок фундаментов.</w:t>
      </w:r>
    </w:p>
    <w:p w:rsidR="00212513" w:rsidRDefault="00212513">
      <w:pPr>
        <w:pStyle w:val="ConsPlusNormal"/>
        <w:spacing w:before="220"/>
        <w:ind w:firstLine="540"/>
        <w:jc w:val="both"/>
      </w:pPr>
      <w:bookmarkStart w:id="53" w:name="P1065"/>
      <w:bookmarkEnd w:id="53"/>
      <w:r>
        <w:t xml:space="preserve">6.10 Коэффициенты надежности по нагрузке </w:t>
      </w:r>
      <w:r>
        <w:rPr>
          <w:noProof/>
          <w:position w:val="-10"/>
        </w:rPr>
        <w:drawing>
          <wp:inline distT="0" distB="0" distL="0" distR="0">
            <wp:extent cx="220345" cy="27368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20345" cy="273685"/>
                    </a:xfrm>
                    <a:prstGeom prst="rect">
                      <a:avLst/>
                    </a:prstGeom>
                    <a:noFill/>
                    <a:ln>
                      <a:noFill/>
                    </a:ln>
                  </pic:spPr>
                </pic:pic>
              </a:graphicData>
            </a:graphic>
          </wp:inline>
        </w:drawing>
      </w:r>
      <w:r>
        <w:t xml:space="preserve"> для постоянных нагрузок и воздействий, указанных в </w:t>
      </w:r>
      <w:hyperlink w:anchor="P1009">
        <w:r>
          <w:rPr>
            <w:color w:val="0000FF"/>
          </w:rPr>
          <w:t>6.4</w:t>
        </w:r>
      </w:hyperlink>
      <w:r>
        <w:t xml:space="preserve"> - 6.9, следует принимать по </w:t>
      </w:r>
      <w:hyperlink w:anchor="P1067">
        <w:r>
          <w:rPr>
            <w:color w:val="0000FF"/>
          </w:rPr>
          <w:t>таблице 6.4</w:t>
        </w:r>
      </w:hyperlink>
      <w:r>
        <w:t xml:space="preserve">. При этом на всех загружаемых нагрузкой участках значения </w:t>
      </w:r>
      <w:r>
        <w:rPr>
          <w:noProof/>
          <w:position w:val="-10"/>
        </w:rPr>
        <w:drawing>
          <wp:inline distT="0" distB="0" distL="0" distR="0">
            <wp:extent cx="220345" cy="27368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20345" cy="273685"/>
                    </a:xfrm>
                    <a:prstGeom prst="rect">
                      <a:avLst/>
                    </a:prstGeom>
                    <a:noFill/>
                    <a:ln>
                      <a:noFill/>
                    </a:ln>
                  </pic:spPr>
                </pic:pic>
              </a:graphicData>
            </a:graphic>
          </wp:inline>
        </w:drawing>
      </w:r>
      <w:r>
        <w:t xml:space="preserve"> для каждой из нагрузок следует принимать одинаковыми во всех случаях, за исключением расчетов по устойчивости положения, в которых </w:t>
      </w:r>
      <w:r>
        <w:rPr>
          <w:noProof/>
          <w:position w:val="-10"/>
        </w:rPr>
        <w:drawing>
          <wp:inline distT="0" distB="0" distL="0" distR="0">
            <wp:extent cx="220345" cy="273685"/>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20345" cy="273685"/>
                    </a:xfrm>
                    <a:prstGeom prst="rect">
                      <a:avLst/>
                    </a:prstGeom>
                    <a:noFill/>
                    <a:ln>
                      <a:noFill/>
                    </a:ln>
                  </pic:spPr>
                </pic:pic>
              </a:graphicData>
            </a:graphic>
          </wp:inline>
        </w:drawing>
      </w:r>
      <w:r>
        <w:t xml:space="preserve"> для разных загружаемых участков принимается в соответствии с </w:t>
      </w:r>
      <w:hyperlink w:anchor="P443">
        <w:r>
          <w:rPr>
            <w:color w:val="0000FF"/>
          </w:rPr>
          <w:t>5.40</w:t>
        </w:r>
      </w:hyperlink>
      <w:r>
        <w:t xml:space="preserve"> и </w:t>
      </w:r>
      <w:hyperlink w:anchor="P464">
        <w:r>
          <w:rPr>
            <w:color w:val="0000FF"/>
          </w:rPr>
          <w:t>5.41</w:t>
        </w:r>
      </w:hyperlink>
      <w:r>
        <w:t>.</w:t>
      </w:r>
    </w:p>
    <w:p w:rsidR="00212513" w:rsidRDefault="00212513">
      <w:pPr>
        <w:pStyle w:val="ConsPlusNormal"/>
        <w:ind w:firstLine="540"/>
        <w:jc w:val="both"/>
      </w:pPr>
    </w:p>
    <w:p w:rsidR="00212513" w:rsidRDefault="00212513">
      <w:pPr>
        <w:pStyle w:val="ConsPlusNormal"/>
        <w:jc w:val="right"/>
      </w:pPr>
      <w:bookmarkStart w:id="54" w:name="P1067"/>
      <w:bookmarkEnd w:id="54"/>
      <w:r>
        <w:t>Таблица 6.4</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90"/>
        <w:gridCol w:w="2381"/>
      </w:tblGrid>
      <w:tr w:rsidR="00212513">
        <w:tc>
          <w:tcPr>
            <w:tcW w:w="6690" w:type="dxa"/>
            <w:tcBorders>
              <w:top w:val="single" w:sz="4" w:space="0" w:color="auto"/>
              <w:bottom w:val="single" w:sz="4" w:space="0" w:color="auto"/>
            </w:tcBorders>
            <w:vAlign w:val="center"/>
          </w:tcPr>
          <w:p w:rsidR="00212513" w:rsidRDefault="00212513">
            <w:pPr>
              <w:pStyle w:val="ConsPlusNormal"/>
              <w:jc w:val="center"/>
            </w:pPr>
            <w:r>
              <w:t>Нагрузки и воздействия</w:t>
            </w:r>
          </w:p>
        </w:tc>
        <w:tc>
          <w:tcPr>
            <w:tcW w:w="2381" w:type="dxa"/>
            <w:tcBorders>
              <w:top w:val="single" w:sz="4" w:space="0" w:color="auto"/>
              <w:bottom w:val="single" w:sz="4" w:space="0" w:color="auto"/>
            </w:tcBorders>
            <w:vAlign w:val="center"/>
          </w:tcPr>
          <w:p w:rsidR="00212513" w:rsidRDefault="00212513">
            <w:pPr>
              <w:pStyle w:val="ConsPlusNormal"/>
              <w:jc w:val="center"/>
            </w:pPr>
            <w:r>
              <w:t>Коэффициенты надежности по нагрузке </w:t>
            </w:r>
            <w:r>
              <w:rPr>
                <w:noProof/>
                <w:position w:val="-9"/>
              </w:rPr>
              <w:drawing>
                <wp:inline distT="0" distB="0" distL="0" distR="0">
                  <wp:extent cx="209550" cy="26225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209550" cy="262255"/>
                          </a:xfrm>
                          <a:prstGeom prst="rect">
                            <a:avLst/>
                          </a:prstGeom>
                          <a:noFill/>
                          <a:ln>
                            <a:noFill/>
                          </a:ln>
                        </pic:spPr>
                      </pic:pic>
                    </a:graphicData>
                  </a:graphic>
                </wp:inline>
              </w:drawing>
            </w:r>
          </w:p>
        </w:tc>
      </w:tr>
      <w:tr w:rsidR="00212513">
        <w:tblPrEx>
          <w:tblBorders>
            <w:insideH w:val="none" w:sz="0" w:space="0" w:color="auto"/>
          </w:tblBorders>
        </w:tblPrEx>
        <w:tc>
          <w:tcPr>
            <w:tcW w:w="6690" w:type="dxa"/>
            <w:tcBorders>
              <w:top w:val="single" w:sz="4" w:space="0" w:color="auto"/>
              <w:bottom w:val="nil"/>
            </w:tcBorders>
          </w:tcPr>
          <w:p w:rsidR="00212513" w:rsidRDefault="00212513">
            <w:pPr>
              <w:pStyle w:val="ConsPlusNormal"/>
            </w:pPr>
            <w:r>
              <w:t>Все нагрузки и воздействия, кроме указанных ниже в данной таблице</w:t>
            </w:r>
          </w:p>
        </w:tc>
        <w:tc>
          <w:tcPr>
            <w:tcW w:w="2381" w:type="dxa"/>
            <w:tcBorders>
              <w:top w:val="single" w:sz="4" w:space="0" w:color="auto"/>
              <w:bottom w:val="nil"/>
            </w:tcBorders>
          </w:tcPr>
          <w:p w:rsidR="00212513" w:rsidRDefault="00212513">
            <w:pPr>
              <w:pStyle w:val="ConsPlusNormal"/>
              <w:jc w:val="center"/>
            </w:pPr>
            <w:r>
              <w:t>1,1 (0,9)</w:t>
            </w:r>
          </w:p>
        </w:tc>
      </w:tr>
      <w:tr w:rsidR="00212513">
        <w:tblPrEx>
          <w:tblBorders>
            <w:insideH w:val="none" w:sz="0" w:space="0" w:color="auto"/>
          </w:tblBorders>
        </w:tblPrEx>
        <w:tc>
          <w:tcPr>
            <w:tcW w:w="6690" w:type="dxa"/>
            <w:tcBorders>
              <w:top w:val="nil"/>
              <w:bottom w:val="nil"/>
            </w:tcBorders>
          </w:tcPr>
          <w:p w:rsidR="00212513" w:rsidRDefault="00212513">
            <w:pPr>
              <w:pStyle w:val="ConsPlusNormal"/>
            </w:pPr>
            <w:r>
              <w:t>Вес мостового полотна с ездой на балласте под железную дорогу, а также пути метрополитена и трамвая</w:t>
            </w:r>
          </w:p>
        </w:tc>
        <w:tc>
          <w:tcPr>
            <w:tcW w:w="2381" w:type="dxa"/>
            <w:tcBorders>
              <w:top w:val="nil"/>
              <w:bottom w:val="nil"/>
            </w:tcBorders>
          </w:tcPr>
          <w:p w:rsidR="00212513" w:rsidRDefault="00212513">
            <w:pPr>
              <w:pStyle w:val="ConsPlusNormal"/>
              <w:jc w:val="center"/>
            </w:pPr>
            <w:r>
              <w:t>1,3 (0,9)</w:t>
            </w:r>
          </w:p>
        </w:tc>
      </w:tr>
      <w:tr w:rsidR="00212513">
        <w:tblPrEx>
          <w:tblBorders>
            <w:insideH w:val="none" w:sz="0" w:space="0" w:color="auto"/>
          </w:tblBorders>
        </w:tblPrEx>
        <w:tc>
          <w:tcPr>
            <w:tcW w:w="6690" w:type="dxa"/>
            <w:tcBorders>
              <w:top w:val="nil"/>
              <w:bottom w:val="nil"/>
            </w:tcBorders>
          </w:tcPr>
          <w:p w:rsidR="00212513" w:rsidRDefault="00212513">
            <w:pPr>
              <w:pStyle w:val="ConsPlusNormal"/>
            </w:pPr>
            <w:r>
              <w:t>Вес балластного мостового полотна под трамвайные пути на бетонных и железобетонных плитах</w:t>
            </w:r>
          </w:p>
        </w:tc>
        <w:tc>
          <w:tcPr>
            <w:tcW w:w="2381" w:type="dxa"/>
            <w:tcBorders>
              <w:top w:val="nil"/>
              <w:bottom w:val="nil"/>
            </w:tcBorders>
          </w:tcPr>
          <w:p w:rsidR="00212513" w:rsidRDefault="00212513">
            <w:pPr>
              <w:pStyle w:val="ConsPlusNormal"/>
              <w:jc w:val="center"/>
            </w:pPr>
            <w:r>
              <w:t>1,2 (0,9)</w:t>
            </w:r>
          </w:p>
        </w:tc>
      </w:tr>
      <w:tr w:rsidR="00212513">
        <w:tblPrEx>
          <w:tblBorders>
            <w:insideH w:val="none" w:sz="0" w:space="0" w:color="auto"/>
          </w:tblBorders>
        </w:tblPrEx>
        <w:tc>
          <w:tcPr>
            <w:tcW w:w="6690" w:type="dxa"/>
            <w:tcBorders>
              <w:top w:val="nil"/>
              <w:bottom w:val="nil"/>
            </w:tcBorders>
          </w:tcPr>
          <w:p w:rsidR="00212513" w:rsidRDefault="00212513">
            <w:pPr>
              <w:pStyle w:val="ConsPlusNormal"/>
            </w:pPr>
            <w:r>
              <w:t>Вес выравнивающего, изоляционного и защитного слоев автодорожных и городских мостов</w:t>
            </w:r>
          </w:p>
        </w:tc>
        <w:tc>
          <w:tcPr>
            <w:tcW w:w="2381" w:type="dxa"/>
            <w:tcBorders>
              <w:top w:val="nil"/>
              <w:bottom w:val="nil"/>
            </w:tcBorders>
          </w:tcPr>
          <w:p w:rsidR="00212513" w:rsidRDefault="00212513">
            <w:pPr>
              <w:pStyle w:val="ConsPlusNormal"/>
              <w:jc w:val="center"/>
            </w:pPr>
            <w:r>
              <w:t>1,3 (0,9)</w:t>
            </w:r>
          </w:p>
        </w:tc>
      </w:tr>
      <w:tr w:rsidR="00212513">
        <w:tblPrEx>
          <w:tblBorders>
            <w:insideH w:val="none" w:sz="0" w:space="0" w:color="auto"/>
          </w:tblBorders>
        </w:tblPrEx>
        <w:tc>
          <w:tcPr>
            <w:tcW w:w="6690" w:type="dxa"/>
            <w:tcBorders>
              <w:top w:val="nil"/>
              <w:bottom w:val="nil"/>
            </w:tcBorders>
          </w:tcPr>
          <w:p w:rsidR="00212513" w:rsidRDefault="00212513">
            <w:pPr>
              <w:pStyle w:val="ConsPlusNormal"/>
            </w:pPr>
            <w:r>
              <w:t>Вес покрытия ездового полотна и тротуаров автодорожных и городских мостов, покрытия прохожей части пешеходных мостов</w:t>
            </w:r>
          </w:p>
        </w:tc>
        <w:tc>
          <w:tcPr>
            <w:tcW w:w="2381" w:type="dxa"/>
            <w:tcBorders>
              <w:top w:val="nil"/>
              <w:bottom w:val="nil"/>
            </w:tcBorders>
          </w:tcPr>
          <w:p w:rsidR="00212513" w:rsidRDefault="00212513">
            <w:pPr>
              <w:pStyle w:val="ConsPlusNormal"/>
              <w:jc w:val="center"/>
            </w:pPr>
            <w:r>
              <w:t>1,5 (0,9)</w:t>
            </w:r>
          </w:p>
        </w:tc>
      </w:tr>
      <w:tr w:rsidR="00212513">
        <w:tblPrEx>
          <w:tblBorders>
            <w:insideH w:val="none" w:sz="0" w:space="0" w:color="auto"/>
          </w:tblBorders>
        </w:tblPrEx>
        <w:tc>
          <w:tcPr>
            <w:tcW w:w="6690" w:type="dxa"/>
            <w:tcBorders>
              <w:top w:val="nil"/>
              <w:bottom w:val="nil"/>
            </w:tcBorders>
          </w:tcPr>
          <w:p w:rsidR="00212513" w:rsidRDefault="00212513">
            <w:pPr>
              <w:pStyle w:val="ConsPlusNormal"/>
            </w:pPr>
            <w:r>
              <w:t>Вес деревянных конструкций в мостах</w:t>
            </w:r>
          </w:p>
        </w:tc>
        <w:tc>
          <w:tcPr>
            <w:tcW w:w="2381" w:type="dxa"/>
            <w:tcBorders>
              <w:top w:val="nil"/>
              <w:bottom w:val="nil"/>
            </w:tcBorders>
          </w:tcPr>
          <w:p w:rsidR="00212513" w:rsidRDefault="00212513">
            <w:pPr>
              <w:pStyle w:val="ConsPlusNormal"/>
              <w:jc w:val="center"/>
            </w:pPr>
            <w:r>
              <w:t>1,2 (0,9)</w:t>
            </w:r>
          </w:p>
        </w:tc>
      </w:tr>
      <w:tr w:rsidR="00212513">
        <w:tblPrEx>
          <w:tblBorders>
            <w:insideH w:val="none" w:sz="0" w:space="0" w:color="auto"/>
          </w:tblBorders>
        </w:tblPrEx>
        <w:tc>
          <w:tcPr>
            <w:tcW w:w="6690" w:type="dxa"/>
            <w:tcBorders>
              <w:top w:val="nil"/>
              <w:bottom w:val="nil"/>
            </w:tcBorders>
          </w:tcPr>
          <w:p w:rsidR="00212513" w:rsidRDefault="00212513">
            <w:pPr>
              <w:pStyle w:val="ConsPlusNormal"/>
            </w:pPr>
            <w:r>
              <w:t>Горизонтальное давление грунта от веса насыпи:</w:t>
            </w:r>
          </w:p>
        </w:tc>
        <w:tc>
          <w:tcPr>
            <w:tcW w:w="2381" w:type="dxa"/>
            <w:tcBorders>
              <w:top w:val="nil"/>
              <w:bottom w:val="nil"/>
            </w:tcBorders>
          </w:tcPr>
          <w:p w:rsidR="00212513" w:rsidRDefault="00212513">
            <w:pPr>
              <w:pStyle w:val="ConsPlusNormal"/>
              <w:jc w:val="center"/>
            </w:pPr>
          </w:p>
        </w:tc>
      </w:tr>
      <w:tr w:rsidR="00212513">
        <w:tblPrEx>
          <w:tblBorders>
            <w:insideH w:val="none" w:sz="0" w:space="0" w:color="auto"/>
          </w:tblBorders>
        </w:tblPrEx>
        <w:tc>
          <w:tcPr>
            <w:tcW w:w="6690" w:type="dxa"/>
            <w:tcBorders>
              <w:top w:val="nil"/>
              <w:bottom w:val="nil"/>
            </w:tcBorders>
          </w:tcPr>
          <w:p w:rsidR="00212513" w:rsidRDefault="00212513">
            <w:pPr>
              <w:pStyle w:val="ConsPlusNormal"/>
              <w:ind w:firstLine="283"/>
            </w:pPr>
            <w:r>
              <w:t>на опоры мостов (включая устои)</w:t>
            </w:r>
          </w:p>
        </w:tc>
        <w:tc>
          <w:tcPr>
            <w:tcW w:w="2381" w:type="dxa"/>
            <w:tcBorders>
              <w:top w:val="nil"/>
              <w:bottom w:val="nil"/>
            </w:tcBorders>
          </w:tcPr>
          <w:p w:rsidR="00212513" w:rsidRDefault="00212513">
            <w:pPr>
              <w:pStyle w:val="ConsPlusNormal"/>
              <w:jc w:val="center"/>
            </w:pPr>
            <w:r>
              <w:t>1,4 (0,7)</w:t>
            </w:r>
          </w:p>
        </w:tc>
      </w:tr>
      <w:tr w:rsidR="00212513">
        <w:tblPrEx>
          <w:tblBorders>
            <w:insideH w:val="none" w:sz="0" w:space="0" w:color="auto"/>
          </w:tblBorders>
        </w:tblPrEx>
        <w:tc>
          <w:tcPr>
            <w:tcW w:w="6690" w:type="dxa"/>
            <w:tcBorders>
              <w:top w:val="nil"/>
              <w:bottom w:val="nil"/>
            </w:tcBorders>
          </w:tcPr>
          <w:p w:rsidR="00212513" w:rsidRDefault="00212513">
            <w:pPr>
              <w:pStyle w:val="ConsPlusNormal"/>
              <w:ind w:firstLine="283"/>
            </w:pPr>
            <w:r>
              <w:t>на звенья труб</w:t>
            </w:r>
          </w:p>
        </w:tc>
        <w:tc>
          <w:tcPr>
            <w:tcW w:w="2381" w:type="dxa"/>
            <w:tcBorders>
              <w:top w:val="nil"/>
              <w:bottom w:val="nil"/>
            </w:tcBorders>
          </w:tcPr>
          <w:p w:rsidR="00212513" w:rsidRDefault="00212513">
            <w:pPr>
              <w:pStyle w:val="ConsPlusNormal"/>
              <w:jc w:val="center"/>
            </w:pPr>
            <w:r>
              <w:t>1,3 (0,8)</w:t>
            </w:r>
          </w:p>
        </w:tc>
      </w:tr>
      <w:tr w:rsidR="00212513">
        <w:tblPrEx>
          <w:tblBorders>
            <w:insideH w:val="none" w:sz="0" w:space="0" w:color="auto"/>
          </w:tblBorders>
        </w:tblPrEx>
        <w:tc>
          <w:tcPr>
            <w:tcW w:w="6690" w:type="dxa"/>
            <w:tcBorders>
              <w:top w:val="nil"/>
              <w:bottom w:val="nil"/>
            </w:tcBorders>
          </w:tcPr>
          <w:p w:rsidR="00212513" w:rsidRDefault="00212513">
            <w:pPr>
              <w:pStyle w:val="ConsPlusNormal"/>
            </w:pPr>
            <w:r>
              <w:t xml:space="preserve">Воздействия предварительного напряжения (регулирования усилий) </w:t>
            </w:r>
            <w:r>
              <w:lastRenderedPageBreak/>
              <w:t>при контроле только по деформациям</w:t>
            </w:r>
          </w:p>
        </w:tc>
        <w:tc>
          <w:tcPr>
            <w:tcW w:w="2381" w:type="dxa"/>
            <w:tcBorders>
              <w:top w:val="nil"/>
              <w:bottom w:val="nil"/>
            </w:tcBorders>
          </w:tcPr>
          <w:p w:rsidR="00212513" w:rsidRDefault="00212513">
            <w:pPr>
              <w:pStyle w:val="ConsPlusNormal"/>
              <w:jc w:val="center"/>
            </w:pPr>
            <w:r>
              <w:lastRenderedPageBreak/>
              <w:t>1,2 (0,8)</w:t>
            </w:r>
          </w:p>
        </w:tc>
      </w:tr>
      <w:tr w:rsidR="00212513">
        <w:tblPrEx>
          <w:tblBorders>
            <w:insideH w:val="none" w:sz="0" w:space="0" w:color="auto"/>
          </w:tblBorders>
        </w:tblPrEx>
        <w:tc>
          <w:tcPr>
            <w:tcW w:w="6690" w:type="dxa"/>
            <w:tcBorders>
              <w:top w:val="nil"/>
              <w:bottom w:val="nil"/>
            </w:tcBorders>
          </w:tcPr>
          <w:p w:rsidR="00212513" w:rsidRDefault="00212513">
            <w:pPr>
              <w:pStyle w:val="ConsPlusNormal"/>
            </w:pPr>
            <w:r>
              <w:lastRenderedPageBreak/>
              <w:t>Воздействие усадки и ползучести бетона и предварительного напряжения (регулирования усилий)</w:t>
            </w:r>
          </w:p>
        </w:tc>
        <w:tc>
          <w:tcPr>
            <w:tcW w:w="2381" w:type="dxa"/>
            <w:tcBorders>
              <w:top w:val="nil"/>
              <w:bottom w:val="nil"/>
            </w:tcBorders>
          </w:tcPr>
          <w:p w:rsidR="00212513" w:rsidRDefault="00212513">
            <w:pPr>
              <w:pStyle w:val="ConsPlusNormal"/>
              <w:jc w:val="center"/>
            </w:pPr>
            <w:r>
              <w:t>1,1 (0,9)</w:t>
            </w:r>
          </w:p>
        </w:tc>
      </w:tr>
      <w:tr w:rsidR="00212513">
        <w:tblPrEx>
          <w:tblBorders>
            <w:insideH w:val="none" w:sz="0" w:space="0" w:color="auto"/>
          </w:tblBorders>
        </w:tblPrEx>
        <w:tc>
          <w:tcPr>
            <w:tcW w:w="6690" w:type="dxa"/>
            <w:tcBorders>
              <w:top w:val="nil"/>
              <w:bottom w:val="single" w:sz="4" w:space="0" w:color="auto"/>
            </w:tcBorders>
          </w:tcPr>
          <w:p w:rsidR="00212513" w:rsidRDefault="00212513">
            <w:pPr>
              <w:pStyle w:val="ConsPlusNormal"/>
            </w:pPr>
            <w:r>
              <w:t>Воздействие осадки грунта</w:t>
            </w:r>
          </w:p>
        </w:tc>
        <w:tc>
          <w:tcPr>
            <w:tcW w:w="2381" w:type="dxa"/>
            <w:tcBorders>
              <w:top w:val="nil"/>
              <w:bottom w:val="single" w:sz="4" w:space="0" w:color="auto"/>
            </w:tcBorders>
          </w:tcPr>
          <w:p w:rsidR="00212513" w:rsidRDefault="00212513">
            <w:pPr>
              <w:pStyle w:val="ConsPlusNormal"/>
              <w:jc w:val="center"/>
            </w:pPr>
            <w:r>
              <w:t>1,5 (0,5)</w:t>
            </w:r>
          </w:p>
        </w:tc>
      </w:tr>
      <w:tr w:rsidR="00212513">
        <w:tc>
          <w:tcPr>
            <w:tcW w:w="9071" w:type="dxa"/>
            <w:gridSpan w:val="2"/>
            <w:tcBorders>
              <w:top w:val="single" w:sz="4" w:space="0" w:color="auto"/>
              <w:bottom w:val="single" w:sz="4" w:space="0" w:color="auto"/>
            </w:tcBorders>
          </w:tcPr>
          <w:p w:rsidR="00212513" w:rsidRDefault="00212513">
            <w:pPr>
              <w:pStyle w:val="ConsPlusNormal"/>
              <w:ind w:firstLine="283"/>
              <w:jc w:val="both"/>
            </w:pPr>
            <w:r>
              <w:t>Примечания</w:t>
            </w:r>
          </w:p>
          <w:p w:rsidR="00212513" w:rsidRDefault="00212513">
            <w:pPr>
              <w:pStyle w:val="ConsPlusNormal"/>
              <w:ind w:firstLine="283"/>
              <w:jc w:val="both"/>
            </w:pPr>
            <w:r>
              <w:t xml:space="preserve">1 Значения </w:t>
            </w:r>
            <w:r>
              <w:rPr>
                <w:noProof/>
                <w:position w:val="-9"/>
              </w:rPr>
              <w:drawing>
                <wp:inline distT="0" distB="0" distL="0" distR="0">
                  <wp:extent cx="209550" cy="26225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209550" cy="262255"/>
                          </a:xfrm>
                          <a:prstGeom prst="rect">
                            <a:avLst/>
                          </a:prstGeom>
                          <a:noFill/>
                          <a:ln>
                            <a:noFill/>
                          </a:ln>
                        </pic:spPr>
                      </pic:pic>
                    </a:graphicData>
                  </a:graphic>
                </wp:inline>
              </w:drawing>
            </w:r>
            <w:r>
              <w:t xml:space="preserve"> для мостов на внутрихозяйственных автомобильных дорогах следует принимать такими же, как и для мостов на автомобильных дорогах общего назначения.</w:t>
            </w:r>
          </w:p>
          <w:p w:rsidR="00212513" w:rsidRDefault="00212513">
            <w:pPr>
              <w:pStyle w:val="ConsPlusNormal"/>
              <w:ind w:firstLine="283"/>
              <w:jc w:val="both"/>
            </w:pPr>
            <w:r>
              <w:t xml:space="preserve">2 Значения </w:t>
            </w:r>
            <w:r>
              <w:rPr>
                <w:noProof/>
                <w:position w:val="-9"/>
              </w:rPr>
              <w:drawing>
                <wp:inline distT="0" distB="0" distL="0" distR="0">
                  <wp:extent cx="209550" cy="26225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209550" cy="262255"/>
                          </a:xfrm>
                          <a:prstGeom prst="rect">
                            <a:avLst/>
                          </a:prstGeom>
                          <a:noFill/>
                          <a:ln>
                            <a:noFill/>
                          </a:ln>
                        </pic:spPr>
                      </pic:pic>
                    </a:graphicData>
                  </a:graphic>
                </wp:inline>
              </w:drawing>
            </w:r>
            <w:r>
              <w:t xml:space="preserve"> в скобках следует принимать в случаях, когда при этом сочетании нагрузок создается более невыгодное воздействие на элементы конструкции.</w:t>
            </w:r>
          </w:p>
        </w:tc>
      </w:tr>
    </w:tbl>
    <w:p w:rsidR="00212513" w:rsidRDefault="00212513">
      <w:pPr>
        <w:pStyle w:val="ConsPlusNormal"/>
        <w:ind w:firstLine="540"/>
        <w:jc w:val="both"/>
      </w:pPr>
    </w:p>
    <w:p w:rsidR="00212513" w:rsidRDefault="00212513">
      <w:pPr>
        <w:pStyle w:val="ConsPlusTitle"/>
        <w:ind w:firstLine="540"/>
        <w:jc w:val="both"/>
        <w:outlineLvl w:val="2"/>
      </w:pPr>
      <w:r>
        <w:t>Временные нагрузки от подвижного состава и пешеходов</w:t>
      </w:r>
    </w:p>
    <w:p w:rsidR="00212513" w:rsidRDefault="00212513">
      <w:pPr>
        <w:pStyle w:val="ConsPlusNormal"/>
        <w:jc w:val="center"/>
      </w:pPr>
    </w:p>
    <w:p w:rsidR="00212513" w:rsidRDefault="00212513">
      <w:pPr>
        <w:pStyle w:val="ConsPlusNormal"/>
        <w:ind w:firstLine="540"/>
        <w:jc w:val="both"/>
      </w:pPr>
      <w:bookmarkStart w:id="55" w:name="P1101"/>
      <w:bookmarkEnd w:id="55"/>
      <w:r>
        <w:t xml:space="preserve">6.11 Нормативную временную вертикальную нагрузку от подвижного состава железных дорог (СК) следует принимать (с учетом перспективы развития транспортных средств железных дорог) в виде объемлющих максимальных эквивалентных нагрузок </w:t>
      </w:r>
      <w:r>
        <w:rPr>
          <w:noProof/>
        </w:rPr>
        <w:drawing>
          <wp:inline distT="0" distB="0" distL="0" distR="0">
            <wp:extent cx="146685" cy="14605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кН/м пути, полученных от отдельных групп сосредоточенных грузов весом до 24,5 К (кН) и равномерно распределенной нагрузки интенсивностью 9,81 К (кН/м пути).</w:t>
      </w:r>
    </w:p>
    <w:p w:rsidR="00212513" w:rsidRDefault="00212513">
      <w:pPr>
        <w:pStyle w:val="ConsPlusNormal"/>
        <w:spacing w:before="220"/>
        <w:ind w:firstLine="540"/>
        <w:jc w:val="both"/>
      </w:pPr>
      <w:r>
        <w:t>Показатель К обозначает класс устанавливаемой нагрузки, который принимается равным:</w:t>
      </w:r>
    </w:p>
    <w:p w:rsidR="00212513" w:rsidRDefault="00212513">
      <w:pPr>
        <w:pStyle w:val="ConsPlusNormal"/>
        <w:spacing w:before="220"/>
        <w:ind w:firstLine="540"/>
        <w:jc w:val="both"/>
      </w:pPr>
      <w:r>
        <w:t>для капитальных сооружений - 14;</w:t>
      </w:r>
    </w:p>
    <w:p w:rsidR="00212513" w:rsidRDefault="00212513">
      <w:pPr>
        <w:pStyle w:val="ConsPlusNormal"/>
        <w:spacing w:before="220"/>
        <w:ind w:firstLine="540"/>
        <w:jc w:val="both"/>
      </w:pPr>
      <w:r>
        <w:t>для деревянных мостов - 11.</w:t>
      </w:r>
    </w:p>
    <w:p w:rsidR="00212513" w:rsidRDefault="00212513">
      <w:pPr>
        <w:pStyle w:val="ConsPlusNormal"/>
        <w:spacing w:before="220"/>
        <w:ind w:firstLine="540"/>
        <w:jc w:val="both"/>
      </w:pPr>
      <w:r>
        <w:t>Для реконструируемых сооружений класс нагрузки СК следует принимать в задании на проектирование, но не менее 11.</w:t>
      </w:r>
    </w:p>
    <w:p w:rsidR="00212513" w:rsidRDefault="00212513">
      <w:pPr>
        <w:pStyle w:val="ConsPlusNormal"/>
        <w:jc w:val="both"/>
      </w:pPr>
      <w:r>
        <w:t xml:space="preserve">(абзац введен </w:t>
      </w:r>
      <w:hyperlink r:id="rId376">
        <w:r>
          <w:rPr>
            <w:color w:val="0000FF"/>
          </w:rPr>
          <w:t>Изменением N 1</w:t>
        </w:r>
      </w:hyperlink>
      <w:r>
        <w:t>, утв. Приказом Минстроя России от 03.12.2016 N 879/пр)</w:t>
      </w:r>
    </w:p>
    <w:p w:rsidR="00212513" w:rsidRDefault="00212513">
      <w:pPr>
        <w:pStyle w:val="ConsPlusNormal"/>
        <w:spacing w:before="220"/>
        <w:ind w:firstLine="540"/>
        <w:jc w:val="both"/>
      </w:pPr>
      <w:r>
        <w:t xml:space="preserve">Таблица интенсивности нормативной нагрузки </w:t>
      </w:r>
      <w:r>
        <w:rPr>
          <w:noProof/>
        </w:rPr>
        <w:drawing>
          <wp:inline distT="0" distB="0" distL="0" distR="0">
            <wp:extent cx="146685" cy="14605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xml:space="preserve"> и правила загружения указанной нагрузкой линий влияния приведены в </w:t>
      </w:r>
      <w:hyperlink w:anchor="P13225">
        <w:r>
          <w:rPr>
            <w:color w:val="0000FF"/>
          </w:rPr>
          <w:t>приложении К</w:t>
        </w:r>
      </w:hyperlink>
      <w:r>
        <w:t xml:space="preserve">. При этом приняты обозначения: </w:t>
      </w:r>
      <w:r>
        <w:rPr>
          <w:noProof/>
          <w:position w:val="-3"/>
        </w:rPr>
        <w:drawing>
          <wp:inline distT="0" distB="0" distL="0" distR="0">
            <wp:extent cx="146050" cy="18923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46050" cy="189230"/>
                    </a:xfrm>
                    <a:prstGeom prst="rect">
                      <a:avLst/>
                    </a:prstGeom>
                    <a:noFill/>
                    <a:ln>
                      <a:noFill/>
                    </a:ln>
                  </pic:spPr>
                </pic:pic>
              </a:graphicData>
            </a:graphic>
          </wp:inline>
        </w:drawing>
      </w:r>
      <w:r>
        <w:t xml:space="preserve"> - длина загружения линии влияния, м; </w:t>
      </w:r>
      <w:r>
        <w:rPr>
          <w:noProof/>
          <w:position w:val="-3"/>
        </w:rPr>
        <w:drawing>
          <wp:inline distT="0" distB="0" distL="0" distR="0">
            <wp:extent cx="628015" cy="18923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628015" cy="189230"/>
                    </a:xfrm>
                    <a:prstGeom prst="rect">
                      <a:avLst/>
                    </a:prstGeom>
                    <a:noFill/>
                    <a:ln>
                      <a:noFill/>
                    </a:ln>
                  </pic:spPr>
                </pic:pic>
              </a:graphicData>
            </a:graphic>
          </wp:inline>
        </w:drawing>
      </w:r>
      <w:r>
        <w:t xml:space="preserve"> - относительное положение вершины линии влияния; </w:t>
      </w:r>
      <w:r>
        <w:rPr>
          <w:i/>
        </w:rPr>
        <w:t>a</w:t>
      </w:r>
      <w:r>
        <w:t xml:space="preserve"> - проекция наименьшего расстояния от вершины до конца линии влияния, м.</w:t>
      </w:r>
    </w:p>
    <w:p w:rsidR="00212513" w:rsidRDefault="00212513">
      <w:pPr>
        <w:pStyle w:val="ConsPlusNormal"/>
        <w:spacing w:before="220"/>
        <w:ind w:firstLine="540"/>
        <w:jc w:val="both"/>
      </w:pPr>
      <w:r>
        <w:t xml:space="preserve">Вес нагрузки, приходящийся на 1 м пути, следует принимать равным значениям </w:t>
      </w:r>
      <w:r>
        <w:rPr>
          <w:noProof/>
        </w:rPr>
        <w:drawing>
          <wp:inline distT="0" distB="0" distL="0" distR="0">
            <wp:extent cx="146685" cy="14605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xml:space="preserve"> при </w:t>
      </w:r>
      <w:r>
        <w:rPr>
          <w:noProof/>
          <w:position w:val="-5"/>
        </w:rPr>
        <w:drawing>
          <wp:inline distT="0" distB="0" distL="0" distR="0">
            <wp:extent cx="1005840" cy="20955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005840" cy="209550"/>
                    </a:xfrm>
                    <a:prstGeom prst="rect">
                      <a:avLst/>
                    </a:prstGeom>
                    <a:noFill/>
                    <a:ln>
                      <a:noFill/>
                    </a:ln>
                  </pic:spPr>
                </pic:pic>
              </a:graphicData>
            </a:graphic>
          </wp:inline>
        </w:drawing>
      </w:r>
      <w:r>
        <w:t>, но не более 19,62 К (кН/м пути).</w:t>
      </w:r>
    </w:p>
    <w:p w:rsidR="00212513" w:rsidRDefault="00212513">
      <w:pPr>
        <w:pStyle w:val="ConsPlusNormal"/>
        <w:spacing w:before="220"/>
        <w:ind w:firstLine="540"/>
        <w:jc w:val="both"/>
      </w:pPr>
      <w:r>
        <w:t>Временную вертикальную нагрузку от порожнего подвижного состава следует принимать равной 13,7 кН/м пути.</w:t>
      </w:r>
    </w:p>
    <w:p w:rsidR="00212513" w:rsidRDefault="00212513">
      <w:pPr>
        <w:pStyle w:val="ConsPlusNormal"/>
        <w:spacing w:before="220"/>
        <w:ind w:firstLine="540"/>
        <w:jc w:val="both"/>
      </w:pPr>
      <w:r>
        <w:t>Нормативную нагрузку для расчета мостов и труб на путях железных дорог промышленных предприятий, где предусмотрено обращение особо тяжелого железнодорожного подвижного состава, следует принимать с учетом его веса.</w:t>
      </w:r>
    </w:p>
    <w:p w:rsidR="00212513" w:rsidRDefault="00212513">
      <w:pPr>
        <w:pStyle w:val="ConsPlusNormal"/>
        <w:spacing w:before="220"/>
        <w:ind w:firstLine="540"/>
        <w:jc w:val="both"/>
      </w:pPr>
      <w:r>
        <w:t xml:space="preserve">В случаях, указанных ниже, нагрузку СК необходимо вводить в расчеты с коэффициентами </w:t>
      </w:r>
      <w:r>
        <w:rPr>
          <w:noProof/>
          <w:position w:val="-3"/>
        </w:rPr>
        <w:drawing>
          <wp:inline distT="0" distB="0" distL="0" distR="0">
            <wp:extent cx="354965" cy="18923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354965" cy="189230"/>
                    </a:xfrm>
                    <a:prstGeom prst="rect">
                      <a:avLst/>
                    </a:prstGeom>
                    <a:noFill/>
                    <a:ln>
                      <a:noFill/>
                    </a:ln>
                  </pic:spPr>
                </pic:pic>
              </a:graphicData>
            </a:graphic>
          </wp:inline>
        </w:drawing>
      </w:r>
      <w:r>
        <w:t>, которые учитывают наличие в поездах только перспективных локомотивов и вагонов, а также отсутствие тяжелых транспортеров.</w:t>
      </w:r>
    </w:p>
    <w:p w:rsidR="00212513" w:rsidRDefault="00212513">
      <w:pPr>
        <w:pStyle w:val="ConsPlusNormal"/>
        <w:spacing w:before="220"/>
        <w:ind w:firstLine="540"/>
        <w:jc w:val="both"/>
      </w:pPr>
      <w:r>
        <w:t xml:space="preserve">Нагрузку </w:t>
      </w:r>
      <w:r>
        <w:rPr>
          <w:noProof/>
          <w:position w:val="-3"/>
        </w:rPr>
        <w:drawing>
          <wp:inline distT="0" distB="0" distL="0" distR="0">
            <wp:extent cx="354965" cy="18923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354965" cy="189230"/>
                    </a:xfrm>
                    <a:prstGeom prst="rect">
                      <a:avLst/>
                    </a:prstGeom>
                    <a:noFill/>
                    <a:ln>
                      <a:noFill/>
                    </a:ln>
                  </pic:spPr>
                </pic:pic>
              </a:graphicData>
            </a:graphic>
          </wp:inline>
        </w:drawing>
      </w:r>
      <w:r>
        <w:t xml:space="preserve"> необходимо принимать в расчетах:</w:t>
      </w:r>
    </w:p>
    <w:p w:rsidR="00212513" w:rsidRDefault="00212513">
      <w:pPr>
        <w:pStyle w:val="ConsPlusNormal"/>
        <w:spacing w:before="220"/>
        <w:ind w:firstLine="540"/>
        <w:jc w:val="both"/>
      </w:pPr>
      <w:r>
        <w:t>на выносливость;</w:t>
      </w:r>
    </w:p>
    <w:p w:rsidR="00212513" w:rsidRDefault="00212513">
      <w:pPr>
        <w:pStyle w:val="ConsPlusNormal"/>
        <w:spacing w:before="220"/>
        <w:ind w:firstLine="540"/>
        <w:jc w:val="both"/>
      </w:pPr>
      <w:r>
        <w:lastRenderedPageBreak/>
        <w:t>железобетонных конструкций по раскрытию трещин, по сейсмическим нагрузкам, а также при определении прогибов пролетных строений и перемещений опор - на всех загружаемых путях; при загружениях второго и третьего путей - во всех других случаях.</w:t>
      </w:r>
    </w:p>
    <w:p w:rsidR="00212513" w:rsidRDefault="00212513">
      <w:pPr>
        <w:pStyle w:val="ConsPlusNormal"/>
        <w:spacing w:before="220"/>
        <w:ind w:firstLine="540"/>
        <w:jc w:val="both"/>
      </w:pPr>
      <w:r>
        <w:t xml:space="preserve">Величину коэффициента </w:t>
      </w:r>
      <w:r>
        <w:rPr>
          <w:noProof/>
        </w:rPr>
        <w:drawing>
          <wp:inline distT="0" distB="0" distL="0" distR="0">
            <wp:extent cx="146685" cy="14605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xml:space="preserve"> следует определять по таблице 6.5.</w:t>
      </w:r>
    </w:p>
    <w:p w:rsidR="00212513" w:rsidRDefault="00212513">
      <w:pPr>
        <w:pStyle w:val="ConsPlusNormal"/>
        <w:ind w:firstLine="540"/>
        <w:jc w:val="both"/>
      </w:pPr>
    </w:p>
    <w:p w:rsidR="00212513" w:rsidRDefault="00212513">
      <w:pPr>
        <w:pStyle w:val="ConsPlusNormal"/>
        <w:jc w:val="right"/>
      </w:pPr>
      <w:r>
        <w:t>Таблица 6.5</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9"/>
        <w:gridCol w:w="3969"/>
      </w:tblGrid>
      <w:tr w:rsidR="00212513">
        <w:tc>
          <w:tcPr>
            <w:tcW w:w="3969" w:type="dxa"/>
            <w:tcBorders>
              <w:top w:val="single" w:sz="4" w:space="0" w:color="auto"/>
              <w:bottom w:val="single" w:sz="4" w:space="0" w:color="auto"/>
            </w:tcBorders>
            <w:vAlign w:val="center"/>
          </w:tcPr>
          <w:p w:rsidR="00212513" w:rsidRDefault="00212513">
            <w:pPr>
              <w:pStyle w:val="ConsPlusNormal"/>
              <w:jc w:val="center"/>
            </w:pPr>
            <w:r>
              <w:t xml:space="preserve">Длина загружения лямбда </w:t>
            </w:r>
            <w:r>
              <w:rPr>
                <w:noProof/>
                <w:position w:val="-4"/>
              </w:rPr>
              <w:drawing>
                <wp:inline distT="0" distB="0" distL="0" distR="0">
                  <wp:extent cx="157480" cy="19939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r>
              <w:t>, м</w:t>
            </w:r>
          </w:p>
        </w:tc>
        <w:tc>
          <w:tcPr>
            <w:tcW w:w="3969" w:type="dxa"/>
            <w:tcBorders>
              <w:top w:val="single" w:sz="4" w:space="0" w:color="auto"/>
              <w:bottom w:val="single" w:sz="4" w:space="0" w:color="auto"/>
            </w:tcBorders>
            <w:vAlign w:val="center"/>
          </w:tcPr>
          <w:p w:rsidR="00212513" w:rsidRDefault="00212513">
            <w:pPr>
              <w:pStyle w:val="ConsPlusNormal"/>
              <w:jc w:val="center"/>
            </w:pPr>
            <w:r>
              <w:t>Коэффициент </w:t>
            </w:r>
            <w:r>
              <w:rPr>
                <w:noProof/>
                <w:position w:val="-1"/>
              </w:rPr>
              <w:drawing>
                <wp:inline distT="0" distB="0" distL="0" distR="0">
                  <wp:extent cx="136525" cy="15748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p>
        </w:tc>
      </w:tr>
      <w:tr w:rsidR="00212513">
        <w:tblPrEx>
          <w:tblBorders>
            <w:insideH w:val="none" w:sz="0" w:space="0" w:color="auto"/>
          </w:tblBorders>
        </w:tblPrEx>
        <w:tc>
          <w:tcPr>
            <w:tcW w:w="3969" w:type="dxa"/>
            <w:tcBorders>
              <w:top w:val="single" w:sz="4" w:space="0" w:color="auto"/>
              <w:bottom w:val="nil"/>
            </w:tcBorders>
          </w:tcPr>
          <w:p w:rsidR="00212513" w:rsidRDefault="00212513">
            <w:pPr>
              <w:pStyle w:val="ConsPlusNormal"/>
              <w:jc w:val="center"/>
            </w:pPr>
            <w:r>
              <w:t>5 и менее</w:t>
            </w:r>
          </w:p>
        </w:tc>
        <w:tc>
          <w:tcPr>
            <w:tcW w:w="3969" w:type="dxa"/>
            <w:tcBorders>
              <w:top w:val="single" w:sz="4" w:space="0" w:color="auto"/>
              <w:bottom w:val="nil"/>
            </w:tcBorders>
          </w:tcPr>
          <w:p w:rsidR="00212513" w:rsidRDefault="00212513">
            <w:pPr>
              <w:pStyle w:val="ConsPlusNormal"/>
              <w:jc w:val="center"/>
            </w:pPr>
            <w:r>
              <w:t>1,00</w:t>
            </w:r>
          </w:p>
        </w:tc>
      </w:tr>
      <w:tr w:rsidR="00212513">
        <w:tblPrEx>
          <w:tblBorders>
            <w:insideH w:val="none" w:sz="0" w:space="0" w:color="auto"/>
          </w:tblBorders>
        </w:tblPrEx>
        <w:tc>
          <w:tcPr>
            <w:tcW w:w="3969" w:type="dxa"/>
            <w:tcBorders>
              <w:top w:val="nil"/>
              <w:bottom w:val="nil"/>
            </w:tcBorders>
          </w:tcPr>
          <w:p w:rsidR="00212513" w:rsidRDefault="00212513">
            <w:pPr>
              <w:pStyle w:val="ConsPlusNormal"/>
              <w:jc w:val="center"/>
            </w:pPr>
            <w:r>
              <w:t>от 10 до 25</w:t>
            </w:r>
          </w:p>
        </w:tc>
        <w:tc>
          <w:tcPr>
            <w:tcW w:w="3969" w:type="dxa"/>
            <w:tcBorders>
              <w:top w:val="nil"/>
              <w:bottom w:val="nil"/>
            </w:tcBorders>
          </w:tcPr>
          <w:p w:rsidR="00212513" w:rsidRDefault="00212513">
            <w:pPr>
              <w:pStyle w:val="ConsPlusNormal"/>
              <w:jc w:val="center"/>
            </w:pPr>
            <w:r>
              <w:t>0,85</w:t>
            </w:r>
          </w:p>
        </w:tc>
      </w:tr>
      <w:tr w:rsidR="00212513">
        <w:tblPrEx>
          <w:tblBorders>
            <w:insideH w:val="none" w:sz="0" w:space="0" w:color="auto"/>
          </w:tblBorders>
        </w:tblPrEx>
        <w:tc>
          <w:tcPr>
            <w:tcW w:w="3969" w:type="dxa"/>
            <w:tcBorders>
              <w:top w:val="nil"/>
              <w:bottom w:val="single" w:sz="4" w:space="0" w:color="auto"/>
            </w:tcBorders>
          </w:tcPr>
          <w:p w:rsidR="00212513" w:rsidRDefault="00212513">
            <w:pPr>
              <w:pStyle w:val="ConsPlusNormal"/>
              <w:jc w:val="center"/>
            </w:pPr>
            <w:r>
              <w:t>50 и более</w:t>
            </w:r>
          </w:p>
        </w:tc>
        <w:tc>
          <w:tcPr>
            <w:tcW w:w="3969" w:type="dxa"/>
            <w:tcBorders>
              <w:top w:val="nil"/>
              <w:bottom w:val="single" w:sz="4" w:space="0" w:color="auto"/>
            </w:tcBorders>
          </w:tcPr>
          <w:p w:rsidR="00212513" w:rsidRDefault="00212513">
            <w:pPr>
              <w:pStyle w:val="ConsPlusNormal"/>
              <w:jc w:val="center"/>
            </w:pPr>
            <w:r>
              <w:t>1,00</w:t>
            </w:r>
          </w:p>
        </w:tc>
      </w:tr>
      <w:tr w:rsidR="00212513">
        <w:tc>
          <w:tcPr>
            <w:tcW w:w="7938" w:type="dxa"/>
            <w:gridSpan w:val="2"/>
            <w:tcBorders>
              <w:top w:val="single" w:sz="4" w:space="0" w:color="auto"/>
              <w:bottom w:val="single" w:sz="4" w:space="0" w:color="auto"/>
            </w:tcBorders>
          </w:tcPr>
          <w:p w:rsidR="00212513" w:rsidRDefault="00212513">
            <w:pPr>
              <w:pStyle w:val="ConsPlusNormal"/>
              <w:ind w:firstLine="283"/>
              <w:jc w:val="both"/>
            </w:pPr>
            <w:r>
              <w:t>Примечания</w:t>
            </w:r>
          </w:p>
          <w:p w:rsidR="00212513" w:rsidRDefault="00212513">
            <w:pPr>
              <w:pStyle w:val="ConsPlusNormal"/>
              <w:ind w:firstLine="283"/>
              <w:jc w:val="both"/>
            </w:pPr>
            <w:r>
              <w:t xml:space="preserve">1 Если кроме коэффициента </w:t>
            </w:r>
            <w:r>
              <w:rPr>
                <w:noProof/>
                <w:position w:val="-1"/>
              </w:rPr>
              <w:drawing>
                <wp:inline distT="0" distB="0" distL="0" distR="0">
                  <wp:extent cx="136525" cy="15748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в расчетах учитывают динамический коэффициент, то их произведение следует принимать не менее единицы.</w:t>
            </w:r>
          </w:p>
          <w:p w:rsidR="00212513" w:rsidRDefault="00212513">
            <w:pPr>
              <w:pStyle w:val="ConsPlusNormal"/>
              <w:ind w:firstLine="283"/>
              <w:jc w:val="both"/>
            </w:pPr>
            <w:r>
              <w:t xml:space="preserve">2 Для промежуточных значений </w:t>
            </w:r>
            <w:r>
              <w:rPr>
                <w:noProof/>
                <w:position w:val="-4"/>
              </w:rPr>
              <w:drawing>
                <wp:inline distT="0" distB="0" distL="0" distR="0">
                  <wp:extent cx="157480" cy="19939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r>
              <w:t xml:space="preserve"> коэффициент </w:t>
            </w:r>
            <w:r>
              <w:rPr>
                <w:noProof/>
                <w:position w:val="-1"/>
              </w:rPr>
              <w:drawing>
                <wp:inline distT="0" distB="0" distL="0" distR="0">
                  <wp:extent cx="136525" cy="15748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следует определять по интерполяции.</w:t>
            </w:r>
          </w:p>
        </w:tc>
      </w:tr>
    </w:tbl>
    <w:p w:rsidR="00212513" w:rsidRDefault="00212513">
      <w:pPr>
        <w:pStyle w:val="ConsPlusNormal"/>
        <w:ind w:firstLine="540"/>
        <w:jc w:val="both"/>
      </w:pPr>
    </w:p>
    <w:p w:rsidR="00212513" w:rsidRDefault="00212513">
      <w:pPr>
        <w:pStyle w:val="ConsPlusNormal"/>
        <w:ind w:firstLine="540"/>
        <w:jc w:val="both"/>
      </w:pPr>
      <w:bookmarkStart w:id="56" w:name="P1131"/>
      <w:bookmarkEnd w:id="56"/>
      <w:r>
        <w:t>6.12 Нормативную временную вертикальную нагрузку от подвижного состава на автомобильных дорогах (общего пользования, внутрихозяйственных сельскохозяйственных организаций и предприятий), на улицах и дорогах городов, поселков и сельских населенных пунктов следует принимать (с учетом перспективы):</w:t>
      </w:r>
    </w:p>
    <w:p w:rsidR="00212513" w:rsidRDefault="00212513">
      <w:pPr>
        <w:pStyle w:val="ConsPlusNormal"/>
        <w:spacing w:before="220"/>
        <w:ind w:firstLine="540"/>
        <w:jc w:val="both"/>
      </w:pPr>
      <w:bookmarkStart w:id="57" w:name="P1132"/>
      <w:bookmarkEnd w:id="57"/>
      <w:r>
        <w:t xml:space="preserve">а) от автотранспортных средств - в виде полос АК </w:t>
      </w:r>
      <w:hyperlink w:anchor="P1134">
        <w:r>
          <w:rPr>
            <w:color w:val="0000FF"/>
          </w:rPr>
          <w:t>(рисунок 6.1, а)</w:t>
        </w:r>
      </w:hyperlink>
      <w:r>
        <w:t xml:space="preserve">, каждая из которых включает одну двухосную тележку с осевой нагрузкой 10 К (кН) и равномерно распределенную нагрузку интенсивностью </w:t>
      </w:r>
      <w:r>
        <w:rPr>
          <w:noProof/>
        </w:rPr>
        <w:drawing>
          <wp:inline distT="0" distB="0" distL="0" distR="0">
            <wp:extent cx="146685" cy="14605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xml:space="preserve"> (на обе колеи) - К (кН/м), где </w:t>
      </w:r>
      <w:r>
        <w:rPr>
          <w:i/>
        </w:rPr>
        <w:t>c</w:t>
      </w:r>
      <w:r>
        <w:t xml:space="preserve"> - длина, м, соприкасания колеса с покрытием проезжей части.</w:t>
      </w:r>
    </w:p>
    <w:p w:rsidR="00212513" w:rsidRDefault="00212513">
      <w:pPr>
        <w:pStyle w:val="ConsPlusNormal"/>
        <w:ind w:firstLine="540"/>
        <w:jc w:val="both"/>
      </w:pPr>
    </w:p>
    <w:p w:rsidR="00212513" w:rsidRDefault="00212513">
      <w:pPr>
        <w:pStyle w:val="ConsPlusNormal"/>
        <w:jc w:val="center"/>
      </w:pPr>
      <w:bookmarkStart w:id="58" w:name="P1134"/>
      <w:bookmarkEnd w:id="58"/>
      <w:r>
        <w:t>а)</w:t>
      </w:r>
    </w:p>
    <w:p w:rsidR="00212513" w:rsidRDefault="00212513">
      <w:pPr>
        <w:pStyle w:val="ConsPlusNormal"/>
        <w:jc w:val="center"/>
      </w:pPr>
    </w:p>
    <w:p w:rsidR="00212513" w:rsidRDefault="00212513">
      <w:pPr>
        <w:pStyle w:val="ConsPlusNormal"/>
        <w:jc w:val="center"/>
      </w:pPr>
      <w:r>
        <w:rPr>
          <w:noProof/>
          <w:position w:val="-108"/>
        </w:rPr>
        <w:drawing>
          <wp:inline distT="0" distB="0" distL="0" distR="0">
            <wp:extent cx="3128010" cy="1515745"/>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3128010" cy="1515745"/>
                    </a:xfrm>
                    <a:prstGeom prst="rect">
                      <a:avLst/>
                    </a:prstGeom>
                    <a:noFill/>
                    <a:ln>
                      <a:noFill/>
                    </a:ln>
                  </pic:spPr>
                </pic:pic>
              </a:graphicData>
            </a:graphic>
          </wp:inline>
        </w:drawing>
      </w:r>
    </w:p>
    <w:p w:rsidR="00212513" w:rsidRDefault="00212513">
      <w:pPr>
        <w:pStyle w:val="ConsPlusNormal"/>
        <w:jc w:val="center"/>
      </w:pPr>
    </w:p>
    <w:p w:rsidR="00212513" w:rsidRDefault="00212513">
      <w:pPr>
        <w:pStyle w:val="ConsPlusNormal"/>
        <w:jc w:val="center"/>
      </w:pPr>
      <w:bookmarkStart w:id="59" w:name="P1138"/>
      <w:bookmarkEnd w:id="59"/>
      <w:r>
        <w:t>б)</w:t>
      </w:r>
    </w:p>
    <w:p w:rsidR="00212513" w:rsidRDefault="00212513">
      <w:pPr>
        <w:pStyle w:val="ConsPlusNormal"/>
        <w:jc w:val="center"/>
      </w:pPr>
    </w:p>
    <w:p w:rsidR="00212513" w:rsidRDefault="00212513">
      <w:pPr>
        <w:pStyle w:val="ConsPlusNormal"/>
        <w:jc w:val="center"/>
      </w:pPr>
      <w:r>
        <w:rPr>
          <w:noProof/>
          <w:position w:val="-74"/>
        </w:rPr>
        <w:drawing>
          <wp:inline distT="0" distB="0" distL="0" distR="0">
            <wp:extent cx="3479800" cy="108648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3479800" cy="1086485"/>
                    </a:xfrm>
                    <a:prstGeom prst="rect">
                      <a:avLst/>
                    </a:prstGeom>
                    <a:noFill/>
                    <a:ln>
                      <a:noFill/>
                    </a:ln>
                  </pic:spPr>
                </pic:pic>
              </a:graphicData>
            </a:graphic>
          </wp:inline>
        </w:drawing>
      </w:r>
    </w:p>
    <w:p w:rsidR="00212513" w:rsidRDefault="00212513">
      <w:pPr>
        <w:pStyle w:val="ConsPlusNormal"/>
        <w:jc w:val="center"/>
      </w:pPr>
    </w:p>
    <w:p w:rsidR="00212513" w:rsidRDefault="00212513">
      <w:pPr>
        <w:pStyle w:val="ConsPlusNormal"/>
        <w:jc w:val="center"/>
      </w:pPr>
      <w:bookmarkStart w:id="60" w:name="P1142"/>
      <w:bookmarkEnd w:id="60"/>
      <w:r>
        <w:lastRenderedPageBreak/>
        <w:t>в)</w:t>
      </w:r>
    </w:p>
    <w:p w:rsidR="00212513" w:rsidRDefault="00212513">
      <w:pPr>
        <w:pStyle w:val="ConsPlusNormal"/>
        <w:jc w:val="center"/>
      </w:pPr>
    </w:p>
    <w:p w:rsidR="00212513" w:rsidRDefault="00212513">
      <w:pPr>
        <w:pStyle w:val="ConsPlusNormal"/>
        <w:jc w:val="center"/>
      </w:pPr>
      <w:r>
        <w:rPr>
          <w:noProof/>
          <w:position w:val="-73"/>
        </w:rPr>
        <w:drawing>
          <wp:inline distT="0" distB="0" distL="0" distR="0">
            <wp:extent cx="3932555" cy="107378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3932555" cy="1073785"/>
                    </a:xfrm>
                    <a:prstGeom prst="rect">
                      <a:avLst/>
                    </a:prstGeom>
                    <a:noFill/>
                    <a:ln>
                      <a:noFill/>
                    </a:ln>
                  </pic:spPr>
                </pic:pic>
              </a:graphicData>
            </a:graphic>
          </wp:inline>
        </w:drawing>
      </w:r>
    </w:p>
    <w:p w:rsidR="00212513" w:rsidRDefault="00212513">
      <w:pPr>
        <w:pStyle w:val="ConsPlusNormal"/>
        <w:jc w:val="center"/>
      </w:pPr>
    </w:p>
    <w:p w:rsidR="00212513" w:rsidRDefault="00212513">
      <w:pPr>
        <w:pStyle w:val="ConsPlusNormal"/>
        <w:jc w:val="center"/>
      </w:pPr>
      <w:bookmarkStart w:id="61" w:name="P1146"/>
      <w:bookmarkEnd w:id="61"/>
      <w:r>
        <w:t>г)</w:t>
      </w:r>
    </w:p>
    <w:p w:rsidR="00212513" w:rsidRDefault="00212513">
      <w:pPr>
        <w:pStyle w:val="ConsPlusNormal"/>
        <w:jc w:val="center"/>
      </w:pPr>
    </w:p>
    <w:p w:rsidR="00212513" w:rsidRDefault="00212513">
      <w:pPr>
        <w:pStyle w:val="ConsPlusNormal"/>
        <w:jc w:val="center"/>
      </w:pPr>
      <w:r>
        <w:rPr>
          <w:noProof/>
          <w:position w:val="-69"/>
        </w:rPr>
        <w:drawing>
          <wp:inline distT="0" distB="0" distL="0" distR="0">
            <wp:extent cx="5139690" cy="102171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5139690" cy="1021715"/>
                    </a:xfrm>
                    <a:prstGeom prst="rect">
                      <a:avLst/>
                    </a:prstGeom>
                    <a:noFill/>
                    <a:ln>
                      <a:noFill/>
                    </a:ln>
                  </pic:spPr>
                </pic:pic>
              </a:graphicData>
            </a:graphic>
          </wp:inline>
        </w:drawing>
      </w:r>
    </w:p>
    <w:p w:rsidR="00212513" w:rsidRDefault="00212513">
      <w:pPr>
        <w:pStyle w:val="ConsPlusNormal"/>
        <w:jc w:val="center"/>
      </w:pPr>
    </w:p>
    <w:p w:rsidR="00212513" w:rsidRDefault="00212513">
      <w:pPr>
        <w:pStyle w:val="ConsPlusNormal"/>
        <w:jc w:val="center"/>
      </w:pPr>
      <w:r>
        <w:t>а - автомобильная нагрузка АК в виде полосы равномерно</w:t>
      </w:r>
    </w:p>
    <w:p w:rsidR="00212513" w:rsidRDefault="00212513">
      <w:pPr>
        <w:pStyle w:val="ConsPlusNormal"/>
        <w:jc w:val="center"/>
      </w:pPr>
      <w:r>
        <w:t xml:space="preserve">распределенной нагрузки интенсивностью </w:t>
      </w:r>
      <w:r>
        <w:rPr>
          <w:noProof/>
        </w:rPr>
        <w:drawing>
          <wp:inline distT="0" distB="0" distL="0" distR="0">
            <wp:extent cx="146685" cy="14605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xml:space="preserve"> и одиночной</w:t>
      </w:r>
    </w:p>
    <w:p w:rsidR="00212513" w:rsidRDefault="00212513">
      <w:pPr>
        <w:pStyle w:val="ConsPlusNormal"/>
        <w:jc w:val="center"/>
      </w:pPr>
      <w:r>
        <w:t>тележки; б - тяжелая одиночная нагрузка НК;</w:t>
      </w:r>
    </w:p>
    <w:p w:rsidR="00212513" w:rsidRDefault="00212513">
      <w:pPr>
        <w:pStyle w:val="ConsPlusNormal"/>
        <w:jc w:val="center"/>
      </w:pPr>
      <w:r>
        <w:t>в - поезд метрополитена; г - поезд трамвая</w:t>
      </w:r>
    </w:p>
    <w:p w:rsidR="00212513" w:rsidRDefault="00212513">
      <w:pPr>
        <w:pStyle w:val="ConsPlusNormal"/>
        <w:jc w:val="center"/>
      </w:pPr>
    </w:p>
    <w:p w:rsidR="00212513" w:rsidRDefault="00212513">
      <w:pPr>
        <w:pStyle w:val="ConsPlusNormal"/>
        <w:jc w:val="center"/>
      </w:pPr>
      <w:r>
        <w:rPr>
          <w:b/>
          <w:i/>
        </w:rPr>
        <w:t>Рисунок 6.1 -</w:t>
      </w:r>
      <w:r>
        <w:t xml:space="preserve"> </w:t>
      </w:r>
      <w:r>
        <w:rPr>
          <w:b/>
        </w:rPr>
        <w:t>Схемы нагрузок от подвижного состава</w:t>
      </w:r>
    </w:p>
    <w:p w:rsidR="00212513" w:rsidRDefault="00212513">
      <w:pPr>
        <w:pStyle w:val="ConsPlusNormal"/>
        <w:jc w:val="center"/>
      </w:pPr>
      <w:r>
        <w:rPr>
          <w:b/>
        </w:rPr>
        <w:t>для расчета автодорожных и городских мостов</w:t>
      </w:r>
    </w:p>
    <w:p w:rsidR="00212513" w:rsidRDefault="00212513">
      <w:pPr>
        <w:pStyle w:val="ConsPlusNormal"/>
        <w:ind w:firstLine="540"/>
        <w:jc w:val="both"/>
      </w:pPr>
    </w:p>
    <w:p w:rsidR="00212513" w:rsidRDefault="00212513">
      <w:pPr>
        <w:pStyle w:val="ConsPlusNormal"/>
        <w:ind w:firstLine="540"/>
        <w:jc w:val="both"/>
      </w:pPr>
      <w:r>
        <w:t>Нагрузкой АК загружаются также трамвайные пути при их расположении на необособленном полотне.</w:t>
      </w:r>
    </w:p>
    <w:p w:rsidR="00212513" w:rsidRDefault="00212513">
      <w:pPr>
        <w:pStyle w:val="ConsPlusNormal"/>
        <w:spacing w:before="220"/>
        <w:ind w:firstLine="540"/>
        <w:jc w:val="both"/>
      </w:pPr>
      <w:r>
        <w:t>Класс нагрузки К надлежит принимать равным 14 для всех мостов и труб, кроме деревянных и расположенных в рекреационных и природоохранных зонах городов, для которых класс нагрузки следует принимать равным 11.</w:t>
      </w:r>
    </w:p>
    <w:p w:rsidR="00212513" w:rsidRDefault="00212513">
      <w:pPr>
        <w:pStyle w:val="ConsPlusNormal"/>
        <w:spacing w:before="220"/>
        <w:ind w:firstLine="540"/>
        <w:jc w:val="both"/>
      </w:pPr>
      <w:r>
        <w:t>При реконструкции и капитальном ремонте сооружений класс нагрузки устанавливают в задании на проектирование и принимают не менее 11.</w:t>
      </w:r>
    </w:p>
    <w:p w:rsidR="00212513" w:rsidRDefault="00212513">
      <w:pPr>
        <w:pStyle w:val="ConsPlusNormal"/>
        <w:jc w:val="both"/>
      </w:pPr>
      <w:r>
        <w:t xml:space="preserve">(в ред. </w:t>
      </w:r>
      <w:hyperlink r:id="rId389">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Классы нагрузок АК и НК допускается принимать:</w:t>
      </w:r>
    </w:p>
    <w:p w:rsidR="00212513" w:rsidRDefault="00212513">
      <w:pPr>
        <w:pStyle w:val="ConsPlusNormal"/>
        <w:spacing w:before="220"/>
        <w:ind w:firstLine="540"/>
        <w:jc w:val="both"/>
      </w:pPr>
      <w:r>
        <w:t xml:space="preserve">для мостов на дорогах с низкой интенсивностью движения - в соответствии с </w:t>
      </w:r>
      <w:hyperlink r:id="rId390">
        <w:r>
          <w:rPr>
            <w:color w:val="0000FF"/>
          </w:rPr>
          <w:t>СП 243.1326000</w:t>
        </w:r>
      </w:hyperlink>
      <w:r>
        <w:t>;</w:t>
      </w:r>
    </w:p>
    <w:p w:rsidR="00212513" w:rsidRDefault="00212513">
      <w:pPr>
        <w:pStyle w:val="ConsPlusNormal"/>
        <w:spacing w:before="220"/>
        <w:ind w:firstLine="540"/>
        <w:jc w:val="both"/>
      </w:pPr>
      <w:r>
        <w:t xml:space="preserve">для мостов в условиях плотной городской застройки - в соответствии с </w:t>
      </w:r>
      <w:hyperlink r:id="rId391">
        <w:r>
          <w:rPr>
            <w:color w:val="0000FF"/>
          </w:rPr>
          <w:t>СП 259.1325800</w:t>
        </w:r>
      </w:hyperlink>
      <w:r>
        <w:t>;</w:t>
      </w:r>
    </w:p>
    <w:p w:rsidR="00212513" w:rsidRDefault="00212513">
      <w:pPr>
        <w:pStyle w:val="ConsPlusNormal"/>
        <w:jc w:val="both"/>
      </w:pPr>
      <w:r>
        <w:t xml:space="preserve">(абзац введен </w:t>
      </w:r>
      <w:hyperlink r:id="rId392">
        <w:r>
          <w:rPr>
            <w:color w:val="0000FF"/>
          </w:rPr>
          <w:t>Изменением N 3</w:t>
        </w:r>
      </w:hyperlink>
      <w:r>
        <w:t>, утв. Приказом Минстроя России от 29.12.2020 N 891/пр)</w:t>
      </w:r>
    </w:p>
    <w:p w:rsidR="00212513" w:rsidRDefault="00212513">
      <w:pPr>
        <w:pStyle w:val="ConsPlusNormal"/>
        <w:spacing w:before="220"/>
        <w:ind w:firstLine="540"/>
        <w:jc w:val="both"/>
      </w:pPr>
      <w:r>
        <w:t xml:space="preserve">б) от тяжелых одиночных нагрузок НК </w:t>
      </w:r>
      <w:hyperlink w:anchor="P1138">
        <w:r>
          <w:rPr>
            <w:color w:val="0000FF"/>
          </w:rPr>
          <w:t>(рисунок 6.1, б)</w:t>
        </w:r>
      </w:hyperlink>
      <w:r>
        <w:t xml:space="preserve"> для мостов и труб, проектируемых:</w:t>
      </w:r>
    </w:p>
    <w:p w:rsidR="00212513" w:rsidRDefault="00212513">
      <w:pPr>
        <w:pStyle w:val="ConsPlusNormal"/>
        <w:spacing w:before="220"/>
        <w:ind w:firstLine="540"/>
        <w:jc w:val="both"/>
      </w:pPr>
      <w:r>
        <w:t>под нагрузку А14 - в виде четырехосной тележки Н14 с нагрузкой на ось 18 К (кН);</w:t>
      </w:r>
    </w:p>
    <w:p w:rsidR="00212513" w:rsidRDefault="00212513">
      <w:pPr>
        <w:pStyle w:val="ConsPlusNormal"/>
        <w:spacing w:before="220"/>
        <w:ind w:firstLine="540"/>
        <w:jc w:val="both"/>
      </w:pPr>
      <w:r>
        <w:t>под нагрузку А11 - то же, в виде тележки Н11 с нагрузкой на ось 196 кН;</w:t>
      </w:r>
    </w:p>
    <w:p w:rsidR="00212513" w:rsidRDefault="00212513">
      <w:pPr>
        <w:pStyle w:val="ConsPlusNormal"/>
        <w:spacing w:before="220"/>
        <w:ind w:firstLine="540"/>
        <w:jc w:val="both"/>
      </w:pPr>
      <w:r>
        <w:t xml:space="preserve">в) от подвижного состава метрополитена с каждого пути - в виде поезда расчетной длины, состоящего из четырехосных вагонов </w:t>
      </w:r>
      <w:hyperlink w:anchor="P1142">
        <w:r>
          <w:rPr>
            <w:color w:val="0000FF"/>
          </w:rPr>
          <w:t>(рисунок 6.1, в)</w:t>
        </w:r>
      </w:hyperlink>
      <w:r>
        <w:t xml:space="preserve"> общим весом каждого загруженного вагона 588 кН. При загружении линий влияния, имеющих два или более участков одного знака, разделяющие их участки другого знака следует загружать порожними вагонами весом каждый </w:t>
      </w:r>
      <w:r>
        <w:lastRenderedPageBreak/>
        <w:t>294 кН;</w:t>
      </w:r>
    </w:p>
    <w:p w:rsidR="00212513" w:rsidRDefault="00212513">
      <w:pPr>
        <w:pStyle w:val="ConsPlusNormal"/>
        <w:spacing w:before="220"/>
        <w:ind w:firstLine="540"/>
        <w:jc w:val="both"/>
      </w:pPr>
      <w:r>
        <w:t xml:space="preserve">г) от трамваев (при расположении трамвайных путей на самостоятельном огражденном или обособленном полотне) с каждого пути - в виде поездов из четырехосных вагонов </w:t>
      </w:r>
      <w:hyperlink w:anchor="P1146">
        <w:r>
          <w:rPr>
            <w:color w:val="0000FF"/>
          </w:rPr>
          <w:t>(рисунок 6.1, г)</w:t>
        </w:r>
      </w:hyperlink>
      <w:r>
        <w:t xml:space="preserve"> общим весом каждого загруженного вагона 294 кН и порожнего - 147 кН; число вагонов в поезде и расстояние между поездами должны соответствовать самому неблагоприятному загружению при следующих ограничениях: число вагонов в одном поезде - не более четырех; расстояния между крайними осями рядом расположенных поездов - не менее 8,5 м.</w:t>
      </w:r>
    </w:p>
    <w:p w:rsidR="00212513" w:rsidRDefault="00212513">
      <w:pPr>
        <w:pStyle w:val="ConsPlusNormal"/>
        <w:spacing w:before="220"/>
        <w:ind w:firstLine="540"/>
        <w:jc w:val="both"/>
      </w:pPr>
      <w:r>
        <w:t>Загружения моста указанными нагрузками должны создавать в рассчитываемых элементах наибольшие усилия, в установленных нормами местах конструкции - максимальные перемещения (деформации). При этом для нагрузки АК во всех случаях должны быть выполнены условия:</w:t>
      </w:r>
    </w:p>
    <w:p w:rsidR="00212513" w:rsidRDefault="00212513">
      <w:pPr>
        <w:pStyle w:val="ConsPlusNormal"/>
        <w:spacing w:before="220"/>
        <w:ind w:firstLine="540"/>
        <w:jc w:val="both"/>
      </w:pPr>
      <w:r>
        <w:t>при наличии линий влияния, имеющих три или более участков разных знаков, тележкой загружается участок, дающий для рассматриваемого знака наибольшее значение усилия (перемещения), равномерно распределенной нагрузкой (с необходимыми ее перерывами по длине) загружаются все участки, вызывающие усилие (перемещение) этого знака.</w:t>
      </w:r>
    </w:p>
    <w:p w:rsidR="00212513" w:rsidRDefault="00212513">
      <w:pPr>
        <w:pStyle w:val="ConsPlusNormal"/>
        <w:spacing w:before="220"/>
        <w:ind w:firstLine="540"/>
        <w:jc w:val="both"/>
      </w:pPr>
      <w:r>
        <w:t xml:space="preserve">Абзацы четвертый - одиннадцатый исключены с 4 июня 2017 года. - </w:t>
      </w:r>
      <w:hyperlink r:id="rId393">
        <w:r>
          <w:rPr>
            <w:color w:val="0000FF"/>
          </w:rPr>
          <w:t>Изменение N 1</w:t>
        </w:r>
      </w:hyperlink>
      <w:r>
        <w:t>, утв. Приказом Минстроя России от 03.12.2016 N 879/пр.</w:t>
      </w:r>
    </w:p>
    <w:p w:rsidR="00212513" w:rsidRDefault="00212513">
      <w:pPr>
        <w:pStyle w:val="ConsPlusNormal"/>
        <w:spacing w:before="220"/>
        <w:ind w:firstLine="540"/>
        <w:jc w:val="both"/>
      </w:pPr>
      <w:r>
        <w:t>По ширине моста можно располагать любое число полос нагрузки АК при условии, что расстояние от оси крайней полосы до ограждения должно составлять не менее 1,5 м, а расстояние между осями смежных полос - не менее 3 м. Если нагрузка от пешеходов на тротуары создаст неблагоприятное воздействие, ее следует учитывать совместно с нагрузкой АК.</w:t>
      </w:r>
    </w:p>
    <w:p w:rsidR="00212513" w:rsidRDefault="00212513">
      <w:pPr>
        <w:pStyle w:val="ConsPlusNormal"/>
        <w:jc w:val="both"/>
      </w:pPr>
      <w:r>
        <w:t xml:space="preserve">(абзац введен </w:t>
      </w:r>
      <w:hyperlink r:id="rId394">
        <w:r>
          <w:rPr>
            <w:color w:val="0000FF"/>
          </w:rPr>
          <w:t>Изменением N 1</w:t>
        </w:r>
      </w:hyperlink>
      <w:r>
        <w:t>, утв. Приказом Минстроя России от 03.12.2016 N 879/пр)</w:t>
      </w:r>
    </w:p>
    <w:p w:rsidR="00212513" w:rsidRDefault="00212513">
      <w:pPr>
        <w:pStyle w:val="ConsPlusNormal"/>
        <w:spacing w:before="220"/>
        <w:ind w:firstLine="540"/>
        <w:jc w:val="both"/>
      </w:pPr>
      <w:r>
        <w:t>При определении в рассматриваемом сечении совместного воздействия нескольких силовых факторов допускается для каждого фактора нагрузку АК устанавливать в самое неблагоприятное положение.</w:t>
      </w:r>
    </w:p>
    <w:p w:rsidR="00212513" w:rsidRDefault="00212513">
      <w:pPr>
        <w:pStyle w:val="ConsPlusNormal"/>
        <w:spacing w:before="220"/>
        <w:ind w:firstLine="540"/>
        <w:jc w:val="both"/>
      </w:pPr>
      <w:r>
        <w:t>Мосты под пути метрополитена (несовмещенные) при расчетах по предельным состояниям первой группы должны быть проверены на загружение одного из путей поездом, не создающим динамического воздействия, но имеющим длину, превышающую (до 2 раз) длину расчетного поезда. При этом на двухпутных мостах второй путь должен быть загружен поездом расчетной длины.</w:t>
      </w:r>
    </w:p>
    <w:p w:rsidR="00212513" w:rsidRDefault="00212513">
      <w:pPr>
        <w:pStyle w:val="ConsPlusNormal"/>
        <w:spacing w:before="220"/>
        <w:ind w:firstLine="540"/>
        <w:jc w:val="both"/>
      </w:pPr>
      <w:r>
        <w:t>Тяжелую одиночную нагрузку НК следует располагать вдоль направления движения на любом участке проезжей части моста (в которую не входят полосы безопасности). Ось нагрузки НК должна быть расположена не ближе 1,75 м от кромки проезжей части. Также следует проводить проверку на воздействие сдвоенных нагрузок НК, устанавливаемых на расстоянии 12 м (между последней осью первой и передней осью второй нагрузки), с учетом понижающего коэффициента 0,75.</w:t>
      </w:r>
    </w:p>
    <w:p w:rsidR="00212513" w:rsidRDefault="00212513">
      <w:pPr>
        <w:pStyle w:val="ConsPlusNormal"/>
        <w:spacing w:before="220"/>
        <w:ind w:firstLine="540"/>
        <w:jc w:val="both"/>
      </w:pPr>
      <w:r>
        <w:t>Примечания</w:t>
      </w:r>
    </w:p>
    <w:p w:rsidR="00212513" w:rsidRDefault="00212513">
      <w:pPr>
        <w:pStyle w:val="ConsPlusNormal"/>
        <w:spacing w:before="220"/>
        <w:ind w:firstLine="540"/>
        <w:jc w:val="both"/>
      </w:pPr>
      <w:r>
        <w:t>1 Если на мосту предусмотрена разделительная полоса шириной 3 м и более без ограждений, то при загружении моста временными вертикальными нагрузками следует учитывать возможность использования в перспективе разделительной полосы для движения.</w:t>
      </w:r>
    </w:p>
    <w:p w:rsidR="00212513" w:rsidRDefault="00212513">
      <w:pPr>
        <w:pStyle w:val="ConsPlusNormal"/>
        <w:spacing w:before="220"/>
        <w:ind w:firstLine="540"/>
        <w:jc w:val="both"/>
      </w:pPr>
      <w:r>
        <w:t>2 Нагрузку НК не учитывают совместно с временной нагрузкой на тротуарах, с сейсмическими нагрузками, а также при расчетах конструкций на выносливость. При расчетах по второму предельному состоянию нагрузка НК принимается с коэффициентом 0,8. Сдвоенную нагрузку НК не следует учитывать в расчетах по второму предельному состоянию.</w:t>
      </w:r>
    </w:p>
    <w:p w:rsidR="00212513" w:rsidRDefault="00212513">
      <w:pPr>
        <w:pStyle w:val="ConsPlusNormal"/>
        <w:jc w:val="both"/>
      </w:pPr>
      <w:r>
        <w:t xml:space="preserve">(в ред. </w:t>
      </w:r>
      <w:hyperlink r:id="rId395">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lastRenderedPageBreak/>
        <w:t xml:space="preserve">3 При загружении трамвайных путей временной нагрузкой от автотранспортных средств </w:t>
      </w:r>
      <w:hyperlink w:anchor="P1132">
        <w:r>
          <w:rPr>
            <w:color w:val="0000FF"/>
          </w:rPr>
          <w:t>(6.12, а)</w:t>
        </w:r>
      </w:hyperlink>
      <w:r>
        <w:t xml:space="preserve"> оси полос нагрузки АК следует совмещать с осями трамвайных путей.</w:t>
      </w:r>
    </w:p>
    <w:p w:rsidR="00212513" w:rsidRDefault="00212513">
      <w:pPr>
        <w:pStyle w:val="ConsPlusNormal"/>
        <w:spacing w:before="220"/>
        <w:ind w:firstLine="540"/>
        <w:jc w:val="both"/>
      </w:pPr>
      <w:r>
        <w:t>4 Распределение давления в пределах толщины одежды проезжей части следует принимать под углом 45°.</w:t>
      </w:r>
    </w:p>
    <w:p w:rsidR="00212513" w:rsidRDefault="00212513">
      <w:pPr>
        <w:pStyle w:val="ConsPlusNormal"/>
        <w:ind w:firstLine="540"/>
        <w:jc w:val="both"/>
      </w:pPr>
    </w:p>
    <w:p w:rsidR="00212513" w:rsidRDefault="00212513">
      <w:pPr>
        <w:pStyle w:val="ConsPlusNormal"/>
        <w:ind w:firstLine="540"/>
        <w:jc w:val="both"/>
      </w:pPr>
      <w:bookmarkStart w:id="62" w:name="P1186"/>
      <w:bookmarkEnd w:id="62"/>
      <w:r>
        <w:t>6.13 Нормативную вертикальную нагрузку от подвижного состава на автомобильных дорогах промышленных предприятий, где предусмотрено обращение автомобилей особо большой грузоподъемности и на которые не распространяются ограничения весовых и габаритных параметров автотранспортных средств общего назначения, следует принимать в виде колонн двухосных автомобилей АБ с параметрами, приведенными в таблице 6.6.</w:t>
      </w:r>
    </w:p>
    <w:p w:rsidR="00212513" w:rsidRDefault="00212513">
      <w:pPr>
        <w:pStyle w:val="ConsPlusNormal"/>
        <w:ind w:firstLine="540"/>
        <w:jc w:val="both"/>
      </w:pPr>
    </w:p>
    <w:p w:rsidR="00212513" w:rsidRDefault="00212513">
      <w:pPr>
        <w:pStyle w:val="ConsPlusNormal"/>
        <w:jc w:val="right"/>
      </w:pPr>
      <w:bookmarkStart w:id="63" w:name="P1188"/>
      <w:bookmarkEnd w:id="63"/>
      <w:r>
        <w:t>Таблица 6.6</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43"/>
        <w:gridCol w:w="1208"/>
        <w:gridCol w:w="1208"/>
        <w:gridCol w:w="1208"/>
      </w:tblGrid>
      <w:tr w:rsidR="00212513">
        <w:tc>
          <w:tcPr>
            <w:tcW w:w="5443" w:type="dxa"/>
            <w:vMerge w:val="restart"/>
            <w:tcBorders>
              <w:top w:val="single" w:sz="4" w:space="0" w:color="auto"/>
              <w:bottom w:val="single" w:sz="4" w:space="0" w:color="auto"/>
            </w:tcBorders>
            <w:vAlign w:val="center"/>
          </w:tcPr>
          <w:p w:rsidR="00212513" w:rsidRDefault="00212513">
            <w:pPr>
              <w:pStyle w:val="ConsPlusNormal"/>
              <w:jc w:val="center"/>
            </w:pPr>
            <w:r>
              <w:t>Параметр</w:t>
            </w:r>
          </w:p>
        </w:tc>
        <w:tc>
          <w:tcPr>
            <w:tcW w:w="3624" w:type="dxa"/>
            <w:gridSpan w:val="3"/>
            <w:tcBorders>
              <w:top w:val="single" w:sz="4" w:space="0" w:color="auto"/>
              <w:bottom w:val="single" w:sz="4" w:space="0" w:color="auto"/>
            </w:tcBorders>
            <w:vAlign w:val="center"/>
          </w:tcPr>
          <w:p w:rsidR="00212513" w:rsidRDefault="00212513">
            <w:pPr>
              <w:pStyle w:val="ConsPlusNormal"/>
              <w:jc w:val="center"/>
            </w:pPr>
            <w:r>
              <w:t>Нагрузки</w:t>
            </w:r>
          </w:p>
        </w:tc>
      </w:tr>
      <w:tr w:rsidR="00212513">
        <w:tc>
          <w:tcPr>
            <w:tcW w:w="5443" w:type="dxa"/>
            <w:vMerge/>
            <w:tcBorders>
              <w:top w:val="single" w:sz="4" w:space="0" w:color="auto"/>
              <w:bottom w:val="single" w:sz="4" w:space="0" w:color="auto"/>
            </w:tcBorders>
          </w:tcPr>
          <w:p w:rsidR="00212513" w:rsidRDefault="00212513">
            <w:pPr>
              <w:pStyle w:val="ConsPlusNormal"/>
            </w:pPr>
          </w:p>
        </w:tc>
        <w:tc>
          <w:tcPr>
            <w:tcW w:w="1208" w:type="dxa"/>
            <w:tcBorders>
              <w:top w:val="single" w:sz="4" w:space="0" w:color="auto"/>
              <w:bottom w:val="single" w:sz="4" w:space="0" w:color="auto"/>
            </w:tcBorders>
            <w:vAlign w:val="center"/>
          </w:tcPr>
          <w:p w:rsidR="00212513" w:rsidRDefault="00212513">
            <w:pPr>
              <w:pStyle w:val="ConsPlusNormal"/>
              <w:jc w:val="center"/>
            </w:pPr>
            <w:r>
              <w:t>АБ-51</w:t>
            </w:r>
          </w:p>
        </w:tc>
        <w:tc>
          <w:tcPr>
            <w:tcW w:w="1208" w:type="dxa"/>
            <w:tcBorders>
              <w:top w:val="single" w:sz="4" w:space="0" w:color="auto"/>
              <w:bottom w:val="single" w:sz="4" w:space="0" w:color="auto"/>
            </w:tcBorders>
            <w:vAlign w:val="center"/>
          </w:tcPr>
          <w:p w:rsidR="00212513" w:rsidRDefault="00212513">
            <w:pPr>
              <w:pStyle w:val="ConsPlusNormal"/>
              <w:jc w:val="center"/>
            </w:pPr>
            <w:r>
              <w:t>АБ-74</w:t>
            </w:r>
          </w:p>
        </w:tc>
        <w:tc>
          <w:tcPr>
            <w:tcW w:w="1208" w:type="dxa"/>
            <w:tcBorders>
              <w:top w:val="single" w:sz="4" w:space="0" w:color="auto"/>
              <w:bottom w:val="single" w:sz="4" w:space="0" w:color="auto"/>
            </w:tcBorders>
            <w:vAlign w:val="center"/>
          </w:tcPr>
          <w:p w:rsidR="00212513" w:rsidRDefault="00212513">
            <w:pPr>
              <w:pStyle w:val="ConsPlusNormal"/>
              <w:jc w:val="center"/>
            </w:pPr>
            <w:r>
              <w:t>АБ-151</w:t>
            </w:r>
          </w:p>
        </w:tc>
      </w:tr>
      <w:tr w:rsidR="00212513">
        <w:tblPrEx>
          <w:tblBorders>
            <w:insideH w:val="none" w:sz="0" w:space="0" w:color="auto"/>
          </w:tblBorders>
        </w:tblPrEx>
        <w:tc>
          <w:tcPr>
            <w:tcW w:w="5443" w:type="dxa"/>
            <w:tcBorders>
              <w:top w:val="single" w:sz="4" w:space="0" w:color="auto"/>
              <w:bottom w:val="nil"/>
            </w:tcBorders>
          </w:tcPr>
          <w:p w:rsidR="00212513" w:rsidRDefault="00212513">
            <w:pPr>
              <w:pStyle w:val="ConsPlusNormal"/>
            </w:pPr>
            <w:r>
              <w:t>Нагрузка на ось груженого автомобиля, кН:</w:t>
            </w:r>
          </w:p>
        </w:tc>
        <w:tc>
          <w:tcPr>
            <w:tcW w:w="1208" w:type="dxa"/>
            <w:tcBorders>
              <w:top w:val="single" w:sz="4" w:space="0" w:color="auto"/>
              <w:bottom w:val="nil"/>
            </w:tcBorders>
          </w:tcPr>
          <w:p w:rsidR="00212513" w:rsidRDefault="00212513">
            <w:pPr>
              <w:pStyle w:val="ConsPlusNormal"/>
              <w:jc w:val="both"/>
            </w:pPr>
          </w:p>
        </w:tc>
        <w:tc>
          <w:tcPr>
            <w:tcW w:w="1208" w:type="dxa"/>
            <w:tcBorders>
              <w:top w:val="single" w:sz="4" w:space="0" w:color="auto"/>
              <w:bottom w:val="nil"/>
            </w:tcBorders>
          </w:tcPr>
          <w:p w:rsidR="00212513" w:rsidRDefault="00212513">
            <w:pPr>
              <w:pStyle w:val="ConsPlusNormal"/>
              <w:jc w:val="both"/>
            </w:pPr>
          </w:p>
        </w:tc>
        <w:tc>
          <w:tcPr>
            <w:tcW w:w="1208" w:type="dxa"/>
            <w:tcBorders>
              <w:top w:val="single" w:sz="4" w:space="0" w:color="auto"/>
              <w:bottom w:val="nil"/>
            </w:tcBorders>
          </w:tcPr>
          <w:p w:rsidR="00212513" w:rsidRDefault="00212513">
            <w:pPr>
              <w:pStyle w:val="ConsPlusNormal"/>
              <w:jc w:val="both"/>
            </w:pPr>
          </w:p>
        </w:tc>
      </w:tr>
      <w:tr w:rsidR="00212513">
        <w:tblPrEx>
          <w:tblBorders>
            <w:insideH w:val="none" w:sz="0" w:space="0" w:color="auto"/>
          </w:tblBorders>
        </w:tblPrEx>
        <w:tc>
          <w:tcPr>
            <w:tcW w:w="5443" w:type="dxa"/>
            <w:tcBorders>
              <w:top w:val="nil"/>
              <w:bottom w:val="nil"/>
            </w:tcBorders>
          </w:tcPr>
          <w:p w:rsidR="00212513" w:rsidRDefault="00212513">
            <w:pPr>
              <w:pStyle w:val="ConsPlusNormal"/>
              <w:ind w:left="283"/>
            </w:pPr>
            <w:r>
              <w:t>заднюю</w:t>
            </w:r>
          </w:p>
        </w:tc>
        <w:tc>
          <w:tcPr>
            <w:tcW w:w="1208" w:type="dxa"/>
            <w:tcBorders>
              <w:top w:val="nil"/>
              <w:bottom w:val="nil"/>
            </w:tcBorders>
          </w:tcPr>
          <w:p w:rsidR="00212513" w:rsidRDefault="00212513">
            <w:pPr>
              <w:pStyle w:val="ConsPlusNormal"/>
              <w:jc w:val="center"/>
            </w:pPr>
            <w:r>
              <w:t>333</w:t>
            </w:r>
          </w:p>
        </w:tc>
        <w:tc>
          <w:tcPr>
            <w:tcW w:w="1208" w:type="dxa"/>
            <w:tcBorders>
              <w:top w:val="nil"/>
              <w:bottom w:val="nil"/>
            </w:tcBorders>
          </w:tcPr>
          <w:p w:rsidR="00212513" w:rsidRDefault="00212513">
            <w:pPr>
              <w:pStyle w:val="ConsPlusNormal"/>
              <w:jc w:val="center"/>
            </w:pPr>
            <w:r>
              <w:t>490</w:t>
            </w:r>
          </w:p>
        </w:tc>
        <w:tc>
          <w:tcPr>
            <w:tcW w:w="1208" w:type="dxa"/>
            <w:tcBorders>
              <w:top w:val="nil"/>
              <w:bottom w:val="nil"/>
            </w:tcBorders>
          </w:tcPr>
          <w:p w:rsidR="00212513" w:rsidRDefault="00212513">
            <w:pPr>
              <w:pStyle w:val="ConsPlusNormal"/>
              <w:jc w:val="center"/>
            </w:pPr>
            <w:r>
              <w:t>990</w:t>
            </w:r>
          </w:p>
        </w:tc>
      </w:tr>
      <w:tr w:rsidR="00212513">
        <w:tblPrEx>
          <w:tblBorders>
            <w:insideH w:val="none" w:sz="0" w:space="0" w:color="auto"/>
          </w:tblBorders>
        </w:tblPrEx>
        <w:tc>
          <w:tcPr>
            <w:tcW w:w="5443" w:type="dxa"/>
            <w:tcBorders>
              <w:top w:val="nil"/>
              <w:bottom w:val="nil"/>
            </w:tcBorders>
          </w:tcPr>
          <w:p w:rsidR="00212513" w:rsidRDefault="00212513">
            <w:pPr>
              <w:pStyle w:val="ConsPlusNormal"/>
              <w:ind w:left="283"/>
            </w:pPr>
            <w:r>
              <w:t>переднюю</w:t>
            </w:r>
          </w:p>
        </w:tc>
        <w:tc>
          <w:tcPr>
            <w:tcW w:w="1208" w:type="dxa"/>
            <w:tcBorders>
              <w:top w:val="nil"/>
              <w:bottom w:val="nil"/>
            </w:tcBorders>
          </w:tcPr>
          <w:p w:rsidR="00212513" w:rsidRDefault="00212513">
            <w:pPr>
              <w:pStyle w:val="ConsPlusNormal"/>
              <w:jc w:val="center"/>
            </w:pPr>
            <w:r>
              <w:t>167</w:t>
            </w:r>
          </w:p>
        </w:tc>
        <w:tc>
          <w:tcPr>
            <w:tcW w:w="1208" w:type="dxa"/>
            <w:tcBorders>
              <w:top w:val="nil"/>
              <w:bottom w:val="nil"/>
            </w:tcBorders>
          </w:tcPr>
          <w:p w:rsidR="00212513" w:rsidRDefault="00212513">
            <w:pPr>
              <w:pStyle w:val="ConsPlusNormal"/>
              <w:jc w:val="center"/>
            </w:pPr>
            <w:r>
              <w:t>235</w:t>
            </w:r>
          </w:p>
        </w:tc>
        <w:tc>
          <w:tcPr>
            <w:tcW w:w="1208" w:type="dxa"/>
            <w:tcBorders>
              <w:top w:val="nil"/>
              <w:bottom w:val="nil"/>
            </w:tcBorders>
          </w:tcPr>
          <w:p w:rsidR="00212513" w:rsidRDefault="00212513">
            <w:pPr>
              <w:pStyle w:val="ConsPlusNormal"/>
              <w:jc w:val="center"/>
            </w:pPr>
            <w:r>
              <w:t>490</w:t>
            </w:r>
          </w:p>
        </w:tc>
      </w:tr>
      <w:tr w:rsidR="00212513">
        <w:tblPrEx>
          <w:tblBorders>
            <w:insideH w:val="none" w:sz="0" w:space="0" w:color="auto"/>
          </w:tblBorders>
        </w:tblPrEx>
        <w:tc>
          <w:tcPr>
            <w:tcW w:w="5443" w:type="dxa"/>
            <w:tcBorders>
              <w:top w:val="nil"/>
              <w:bottom w:val="nil"/>
            </w:tcBorders>
          </w:tcPr>
          <w:p w:rsidR="00212513" w:rsidRDefault="00212513">
            <w:pPr>
              <w:pStyle w:val="ConsPlusNormal"/>
            </w:pPr>
            <w:r>
              <w:t>Расстояние между осями (база) автомобиля, м</w:t>
            </w:r>
          </w:p>
        </w:tc>
        <w:tc>
          <w:tcPr>
            <w:tcW w:w="1208" w:type="dxa"/>
            <w:tcBorders>
              <w:top w:val="nil"/>
              <w:bottom w:val="nil"/>
            </w:tcBorders>
          </w:tcPr>
          <w:p w:rsidR="00212513" w:rsidRDefault="00212513">
            <w:pPr>
              <w:pStyle w:val="ConsPlusNormal"/>
              <w:jc w:val="center"/>
            </w:pPr>
            <w:r>
              <w:t>3,5</w:t>
            </w:r>
          </w:p>
        </w:tc>
        <w:tc>
          <w:tcPr>
            <w:tcW w:w="1208" w:type="dxa"/>
            <w:tcBorders>
              <w:top w:val="nil"/>
              <w:bottom w:val="nil"/>
            </w:tcBorders>
          </w:tcPr>
          <w:p w:rsidR="00212513" w:rsidRDefault="00212513">
            <w:pPr>
              <w:pStyle w:val="ConsPlusNormal"/>
              <w:jc w:val="center"/>
            </w:pPr>
            <w:r>
              <w:t>4,2</w:t>
            </w:r>
          </w:p>
        </w:tc>
        <w:tc>
          <w:tcPr>
            <w:tcW w:w="1208" w:type="dxa"/>
            <w:tcBorders>
              <w:top w:val="nil"/>
              <w:bottom w:val="nil"/>
            </w:tcBorders>
          </w:tcPr>
          <w:p w:rsidR="00212513" w:rsidRDefault="00212513">
            <w:pPr>
              <w:pStyle w:val="ConsPlusNormal"/>
              <w:jc w:val="center"/>
            </w:pPr>
            <w:r>
              <w:t>4,5</w:t>
            </w:r>
          </w:p>
        </w:tc>
      </w:tr>
      <w:tr w:rsidR="00212513">
        <w:tblPrEx>
          <w:tblBorders>
            <w:insideH w:val="none" w:sz="0" w:space="0" w:color="auto"/>
          </w:tblBorders>
        </w:tblPrEx>
        <w:tc>
          <w:tcPr>
            <w:tcW w:w="5443" w:type="dxa"/>
            <w:tcBorders>
              <w:top w:val="nil"/>
              <w:bottom w:val="nil"/>
            </w:tcBorders>
          </w:tcPr>
          <w:p w:rsidR="00212513" w:rsidRDefault="00212513">
            <w:pPr>
              <w:pStyle w:val="ConsPlusNormal"/>
            </w:pPr>
            <w:r>
              <w:t>Габарит по ширине (по колесам задней оси), м</w:t>
            </w:r>
          </w:p>
        </w:tc>
        <w:tc>
          <w:tcPr>
            <w:tcW w:w="1208" w:type="dxa"/>
            <w:tcBorders>
              <w:top w:val="nil"/>
              <w:bottom w:val="nil"/>
            </w:tcBorders>
          </w:tcPr>
          <w:p w:rsidR="00212513" w:rsidRDefault="00212513">
            <w:pPr>
              <w:pStyle w:val="ConsPlusNormal"/>
              <w:jc w:val="center"/>
            </w:pPr>
            <w:r>
              <w:t>3,5</w:t>
            </w:r>
          </w:p>
        </w:tc>
        <w:tc>
          <w:tcPr>
            <w:tcW w:w="1208" w:type="dxa"/>
            <w:tcBorders>
              <w:top w:val="nil"/>
              <w:bottom w:val="nil"/>
            </w:tcBorders>
          </w:tcPr>
          <w:p w:rsidR="00212513" w:rsidRDefault="00212513">
            <w:pPr>
              <w:pStyle w:val="ConsPlusNormal"/>
              <w:jc w:val="center"/>
            </w:pPr>
            <w:r>
              <w:t>3,8</w:t>
            </w:r>
          </w:p>
        </w:tc>
        <w:tc>
          <w:tcPr>
            <w:tcW w:w="1208" w:type="dxa"/>
            <w:tcBorders>
              <w:top w:val="nil"/>
              <w:bottom w:val="nil"/>
            </w:tcBorders>
          </w:tcPr>
          <w:p w:rsidR="00212513" w:rsidRDefault="00212513">
            <w:pPr>
              <w:pStyle w:val="ConsPlusNormal"/>
              <w:jc w:val="center"/>
            </w:pPr>
            <w:r>
              <w:t>5,4</w:t>
            </w:r>
          </w:p>
        </w:tc>
      </w:tr>
      <w:tr w:rsidR="00212513">
        <w:tblPrEx>
          <w:tblBorders>
            <w:insideH w:val="none" w:sz="0" w:space="0" w:color="auto"/>
          </w:tblBorders>
        </w:tblPrEx>
        <w:tc>
          <w:tcPr>
            <w:tcW w:w="5443" w:type="dxa"/>
            <w:tcBorders>
              <w:top w:val="nil"/>
              <w:bottom w:val="nil"/>
            </w:tcBorders>
          </w:tcPr>
          <w:p w:rsidR="00212513" w:rsidRDefault="00212513">
            <w:pPr>
              <w:pStyle w:val="ConsPlusNormal"/>
            </w:pPr>
            <w:r>
              <w:t>Ширина колеи, м, колес:</w:t>
            </w:r>
          </w:p>
        </w:tc>
        <w:tc>
          <w:tcPr>
            <w:tcW w:w="1208" w:type="dxa"/>
            <w:tcBorders>
              <w:top w:val="nil"/>
              <w:bottom w:val="nil"/>
            </w:tcBorders>
          </w:tcPr>
          <w:p w:rsidR="00212513" w:rsidRDefault="00212513">
            <w:pPr>
              <w:pStyle w:val="ConsPlusNormal"/>
              <w:jc w:val="both"/>
            </w:pPr>
          </w:p>
        </w:tc>
        <w:tc>
          <w:tcPr>
            <w:tcW w:w="1208" w:type="dxa"/>
            <w:tcBorders>
              <w:top w:val="nil"/>
              <w:bottom w:val="nil"/>
            </w:tcBorders>
          </w:tcPr>
          <w:p w:rsidR="00212513" w:rsidRDefault="00212513">
            <w:pPr>
              <w:pStyle w:val="ConsPlusNormal"/>
              <w:jc w:val="both"/>
            </w:pPr>
          </w:p>
        </w:tc>
        <w:tc>
          <w:tcPr>
            <w:tcW w:w="1208"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5443" w:type="dxa"/>
            <w:tcBorders>
              <w:top w:val="nil"/>
              <w:bottom w:val="nil"/>
            </w:tcBorders>
          </w:tcPr>
          <w:p w:rsidR="00212513" w:rsidRDefault="00212513">
            <w:pPr>
              <w:pStyle w:val="ConsPlusNormal"/>
              <w:ind w:left="283"/>
            </w:pPr>
            <w:r>
              <w:t>задних</w:t>
            </w:r>
          </w:p>
        </w:tc>
        <w:tc>
          <w:tcPr>
            <w:tcW w:w="1208" w:type="dxa"/>
            <w:tcBorders>
              <w:top w:val="nil"/>
              <w:bottom w:val="nil"/>
            </w:tcBorders>
          </w:tcPr>
          <w:p w:rsidR="00212513" w:rsidRDefault="00212513">
            <w:pPr>
              <w:pStyle w:val="ConsPlusNormal"/>
              <w:jc w:val="center"/>
            </w:pPr>
            <w:r>
              <w:t>2,4</w:t>
            </w:r>
          </w:p>
        </w:tc>
        <w:tc>
          <w:tcPr>
            <w:tcW w:w="1208" w:type="dxa"/>
            <w:tcBorders>
              <w:top w:val="nil"/>
              <w:bottom w:val="nil"/>
            </w:tcBorders>
          </w:tcPr>
          <w:p w:rsidR="00212513" w:rsidRDefault="00212513">
            <w:pPr>
              <w:pStyle w:val="ConsPlusNormal"/>
              <w:jc w:val="center"/>
            </w:pPr>
            <w:r>
              <w:t>2,5</w:t>
            </w:r>
          </w:p>
        </w:tc>
        <w:tc>
          <w:tcPr>
            <w:tcW w:w="1208" w:type="dxa"/>
            <w:tcBorders>
              <w:top w:val="nil"/>
              <w:bottom w:val="nil"/>
            </w:tcBorders>
          </w:tcPr>
          <w:p w:rsidR="00212513" w:rsidRDefault="00212513">
            <w:pPr>
              <w:pStyle w:val="ConsPlusNormal"/>
              <w:jc w:val="center"/>
            </w:pPr>
            <w:r>
              <w:t>3,75</w:t>
            </w:r>
          </w:p>
        </w:tc>
      </w:tr>
      <w:tr w:rsidR="00212513">
        <w:tblPrEx>
          <w:tblBorders>
            <w:insideH w:val="none" w:sz="0" w:space="0" w:color="auto"/>
          </w:tblBorders>
        </w:tblPrEx>
        <w:tc>
          <w:tcPr>
            <w:tcW w:w="5443" w:type="dxa"/>
            <w:tcBorders>
              <w:top w:val="nil"/>
              <w:bottom w:val="nil"/>
            </w:tcBorders>
          </w:tcPr>
          <w:p w:rsidR="00212513" w:rsidRDefault="00212513">
            <w:pPr>
              <w:pStyle w:val="ConsPlusNormal"/>
              <w:ind w:left="283"/>
            </w:pPr>
            <w:r>
              <w:t>передних</w:t>
            </w:r>
          </w:p>
        </w:tc>
        <w:tc>
          <w:tcPr>
            <w:tcW w:w="1208" w:type="dxa"/>
            <w:tcBorders>
              <w:top w:val="nil"/>
              <w:bottom w:val="nil"/>
            </w:tcBorders>
          </w:tcPr>
          <w:p w:rsidR="00212513" w:rsidRDefault="00212513">
            <w:pPr>
              <w:pStyle w:val="ConsPlusNormal"/>
              <w:jc w:val="center"/>
            </w:pPr>
            <w:r>
              <w:t>2,8</w:t>
            </w:r>
          </w:p>
        </w:tc>
        <w:tc>
          <w:tcPr>
            <w:tcW w:w="1208" w:type="dxa"/>
            <w:tcBorders>
              <w:top w:val="nil"/>
              <w:bottom w:val="nil"/>
            </w:tcBorders>
          </w:tcPr>
          <w:p w:rsidR="00212513" w:rsidRDefault="00212513">
            <w:pPr>
              <w:pStyle w:val="ConsPlusNormal"/>
              <w:jc w:val="center"/>
            </w:pPr>
            <w:r>
              <w:t>2,8</w:t>
            </w:r>
          </w:p>
        </w:tc>
        <w:tc>
          <w:tcPr>
            <w:tcW w:w="1208" w:type="dxa"/>
            <w:tcBorders>
              <w:top w:val="nil"/>
              <w:bottom w:val="nil"/>
            </w:tcBorders>
          </w:tcPr>
          <w:p w:rsidR="00212513" w:rsidRDefault="00212513">
            <w:pPr>
              <w:pStyle w:val="ConsPlusNormal"/>
              <w:jc w:val="center"/>
            </w:pPr>
            <w:r>
              <w:t>4,1</w:t>
            </w:r>
          </w:p>
        </w:tc>
      </w:tr>
      <w:tr w:rsidR="00212513">
        <w:tblPrEx>
          <w:tblBorders>
            <w:insideH w:val="none" w:sz="0" w:space="0" w:color="auto"/>
          </w:tblBorders>
        </w:tblPrEx>
        <w:tc>
          <w:tcPr>
            <w:tcW w:w="5443" w:type="dxa"/>
            <w:tcBorders>
              <w:top w:val="nil"/>
              <w:bottom w:val="nil"/>
            </w:tcBorders>
          </w:tcPr>
          <w:p w:rsidR="00212513" w:rsidRDefault="00212513">
            <w:pPr>
              <w:pStyle w:val="ConsPlusNormal"/>
            </w:pPr>
            <w:r>
              <w:t>Размер площадки контакта задних колес с покрытием проезжей части, м:</w:t>
            </w:r>
          </w:p>
        </w:tc>
        <w:tc>
          <w:tcPr>
            <w:tcW w:w="1208" w:type="dxa"/>
            <w:tcBorders>
              <w:top w:val="nil"/>
              <w:bottom w:val="nil"/>
            </w:tcBorders>
          </w:tcPr>
          <w:p w:rsidR="00212513" w:rsidRDefault="00212513">
            <w:pPr>
              <w:pStyle w:val="ConsPlusNormal"/>
              <w:jc w:val="both"/>
            </w:pPr>
          </w:p>
        </w:tc>
        <w:tc>
          <w:tcPr>
            <w:tcW w:w="1208" w:type="dxa"/>
            <w:tcBorders>
              <w:top w:val="nil"/>
              <w:bottom w:val="nil"/>
            </w:tcBorders>
          </w:tcPr>
          <w:p w:rsidR="00212513" w:rsidRDefault="00212513">
            <w:pPr>
              <w:pStyle w:val="ConsPlusNormal"/>
              <w:jc w:val="both"/>
            </w:pPr>
          </w:p>
        </w:tc>
        <w:tc>
          <w:tcPr>
            <w:tcW w:w="1208"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5443" w:type="dxa"/>
            <w:tcBorders>
              <w:top w:val="nil"/>
              <w:bottom w:val="nil"/>
            </w:tcBorders>
          </w:tcPr>
          <w:p w:rsidR="00212513" w:rsidRDefault="00212513">
            <w:pPr>
              <w:pStyle w:val="ConsPlusNormal"/>
              <w:ind w:left="283"/>
            </w:pPr>
            <w:r>
              <w:t>по длине</w:t>
            </w:r>
          </w:p>
        </w:tc>
        <w:tc>
          <w:tcPr>
            <w:tcW w:w="1208" w:type="dxa"/>
            <w:tcBorders>
              <w:top w:val="nil"/>
              <w:bottom w:val="nil"/>
            </w:tcBorders>
          </w:tcPr>
          <w:p w:rsidR="00212513" w:rsidRDefault="00212513">
            <w:pPr>
              <w:pStyle w:val="ConsPlusNormal"/>
              <w:jc w:val="center"/>
            </w:pPr>
            <w:r>
              <w:t>0,4</w:t>
            </w:r>
          </w:p>
        </w:tc>
        <w:tc>
          <w:tcPr>
            <w:tcW w:w="1208" w:type="dxa"/>
            <w:tcBorders>
              <w:top w:val="nil"/>
              <w:bottom w:val="nil"/>
            </w:tcBorders>
          </w:tcPr>
          <w:p w:rsidR="00212513" w:rsidRDefault="00212513">
            <w:pPr>
              <w:pStyle w:val="ConsPlusNormal"/>
              <w:jc w:val="center"/>
            </w:pPr>
            <w:r>
              <w:t>0,45</w:t>
            </w:r>
          </w:p>
        </w:tc>
        <w:tc>
          <w:tcPr>
            <w:tcW w:w="1208" w:type="dxa"/>
            <w:tcBorders>
              <w:top w:val="nil"/>
              <w:bottom w:val="nil"/>
            </w:tcBorders>
          </w:tcPr>
          <w:p w:rsidR="00212513" w:rsidRDefault="00212513">
            <w:pPr>
              <w:pStyle w:val="ConsPlusNormal"/>
              <w:jc w:val="center"/>
            </w:pPr>
            <w:r>
              <w:t>0,80</w:t>
            </w:r>
          </w:p>
        </w:tc>
      </w:tr>
      <w:tr w:rsidR="00212513">
        <w:tblPrEx>
          <w:tblBorders>
            <w:insideH w:val="none" w:sz="0" w:space="0" w:color="auto"/>
          </w:tblBorders>
        </w:tblPrEx>
        <w:tc>
          <w:tcPr>
            <w:tcW w:w="5443" w:type="dxa"/>
            <w:tcBorders>
              <w:top w:val="nil"/>
              <w:bottom w:val="nil"/>
            </w:tcBorders>
          </w:tcPr>
          <w:p w:rsidR="00212513" w:rsidRDefault="00212513">
            <w:pPr>
              <w:pStyle w:val="ConsPlusNormal"/>
              <w:ind w:left="283"/>
            </w:pPr>
            <w:r>
              <w:t>по ширине</w:t>
            </w:r>
          </w:p>
        </w:tc>
        <w:tc>
          <w:tcPr>
            <w:tcW w:w="1208" w:type="dxa"/>
            <w:tcBorders>
              <w:top w:val="nil"/>
              <w:bottom w:val="nil"/>
            </w:tcBorders>
          </w:tcPr>
          <w:p w:rsidR="00212513" w:rsidRDefault="00212513">
            <w:pPr>
              <w:pStyle w:val="ConsPlusNormal"/>
              <w:jc w:val="center"/>
            </w:pPr>
            <w:r>
              <w:t>1,1</w:t>
            </w:r>
          </w:p>
        </w:tc>
        <w:tc>
          <w:tcPr>
            <w:tcW w:w="1208" w:type="dxa"/>
            <w:tcBorders>
              <w:top w:val="nil"/>
              <w:bottom w:val="nil"/>
            </w:tcBorders>
          </w:tcPr>
          <w:p w:rsidR="00212513" w:rsidRDefault="00212513">
            <w:pPr>
              <w:pStyle w:val="ConsPlusNormal"/>
              <w:jc w:val="center"/>
            </w:pPr>
            <w:r>
              <w:t>1,30</w:t>
            </w:r>
          </w:p>
        </w:tc>
        <w:tc>
          <w:tcPr>
            <w:tcW w:w="1208" w:type="dxa"/>
            <w:tcBorders>
              <w:top w:val="nil"/>
              <w:bottom w:val="nil"/>
            </w:tcBorders>
          </w:tcPr>
          <w:p w:rsidR="00212513" w:rsidRDefault="00212513">
            <w:pPr>
              <w:pStyle w:val="ConsPlusNormal"/>
              <w:jc w:val="center"/>
            </w:pPr>
            <w:r>
              <w:t>1,65</w:t>
            </w:r>
          </w:p>
        </w:tc>
      </w:tr>
      <w:tr w:rsidR="00212513">
        <w:tblPrEx>
          <w:tblBorders>
            <w:insideH w:val="none" w:sz="0" w:space="0" w:color="auto"/>
          </w:tblBorders>
        </w:tblPrEx>
        <w:tc>
          <w:tcPr>
            <w:tcW w:w="5443" w:type="dxa"/>
            <w:tcBorders>
              <w:top w:val="nil"/>
              <w:bottom w:val="single" w:sz="4" w:space="0" w:color="auto"/>
            </w:tcBorders>
          </w:tcPr>
          <w:p w:rsidR="00212513" w:rsidRDefault="00212513">
            <w:pPr>
              <w:pStyle w:val="ConsPlusNormal"/>
            </w:pPr>
            <w:r>
              <w:t>Диаметр колеса, м</w:t>
            </w:r>
          </w:p>
        </w:tc>
        <w:tc>
          <w:tcPr>
            <w:tcW w:w="1208" w:type="dxa"/>
            <w:tcBorders>
              <w:top w:val="nil"/>
              <w:bottom w:val="single" w:sz="4" w:space="0" w:color="auto"/>
            </w:tcBorders>
          </w:tcPr>
          <w:p w:rsidR="00212513" w:rsidRDefault="00212513">
            <w:pPr>
              <w:pStyle w:val="ConsPlusNormal"/>
              <w:jc w:val="center"/>
            </w:pPr>
            <w:r>
              <w:t>1,5</w:t>
            </w:r>
          </w:p>
        </w:tc>
        <w:tc>
          <w:tcPr>
            <w:tcW w:w="1208" w:type="dxa"/>
            <w:tcBorders>
              <w:top w:val="nil"/>
              <w:bottom w:val="single" w:sz="4" w:space="0" w:color="auto"/>
            </w:tcBorders>
          </w:tcPr>
          <w:p w:rsidR="00212513" w:rsidRDefault="00212513">
            <w:pPr>
              <w:pStyle w:val="ConsPlusNormal"/>
              <w:jc w:val="center"/>
            </w:pPr>
            <w:r>
              <w:t>1,8</w:t>
            </w:r>
          </w:p>
        </w:tc>
        <w:tc>
          <w:tcPr>
            <w:tcW w:w="1208" w:type="dxa"/>
            <w:tcBorders>
              <w:top w:val="nil"/>
              <w:bottom w:val="single" w:sz="4" w:space="0" w:color="auto"/>
            </w:tcBorders>
          </w:tcPr>
          <w:p w:rsidR="00212513" w:rsidRDefault="00212513">
            <w:pPr>
              <w:pStyle w:val="ConsPlusNormal"/>
              <w:jc w:val="center"/>
            </w:pPr>
            <w:r>
              <w:t>2,5</w:t>
            </w:r>
          </w:p>
        </w:tc>
      </w:tr>
    </w:tbl>
    <w:p w:rsidR="00212513" w:rsidRDefault="00212513">
      <w:pPr>
        <w:pStyle w:val="ConsPlusNormal"/>
        <w:ind w:firstLine="540"/>
        <w:jc w:val="both"/>
      </w:pPr>
    </w:p>
    <w:p w:rsidR="00212513" w:rsidRDefault="00212513">
      <w:pPr>
        <w:pStyle w:val="ConsPlusNormal"/>
        <w:ind w:firstLine="540"/>
        <w:jc w:val="both"/>
      </w:pPr>
      <w:r>
        <w:t>При проектировании следует рассматривать случаи:</w:t>
      </w:r>
    </w:p>
    <w:p w:rsidR="00212513" w:rsidRDefault="00212513">
      <w:pPr>
        <w:pStyle w:val="ConsPlusNormal"/>
        <w:spacing w:before="220"/>
        <w:ind w:firstLine="540"/>
        <w:jc w:val="both"/>
      </w:pPr>
      <w:r>
        <w:t>а) по мосту движутся колонны автомобилей, создающие динамическое воздействие;</w:t>
      </w:r>
    </w:p>
    <w:p w:rsidR="00212513" w:rsidRDefault="00212513">
      <w:pPr>
        <w:pStyle w:val="ConsPlusNormal"/>
        <w:spacing w:before="220"/>
        <w:ind w:firstLine="540"/>
        <w:jc w:val="both"/>
      </w:pPr>
      <w:bookmarkStart w:id="64" w:name="P1246"/>
      <w:bookmarkEnd w:id="64"/>
      <w:r>
        <w:t>б) на мосту имеет место вынужденная остановка расчетных автомобилей (динамическое воздействие не возникает).</w:t>
      </w:r>
    </w:p>
    <w:p w:rsidR="00212513" w:rsidRDefault="00212513">
      <w:pPr>
        <w:pStyle w:val="ConsPlusNormal"/>
        <w:spacing w:before="220"/>
        <w:ind w:firstLine="540"/>
        <w:jc w:val="both"/>
      </w:pPr>
      <w:r>
        <w:t>В случае "а" расстояние между задней и передней осями соседних автомобилей в каждой колонне не должно быть менее, м:</w:t>
      </w:r>
    </w:p>
    <w:p w:rsidR="00212513" w:rsidRDefault="00212513">
      <w:pPr>
        <w:pStyle w:val="ConsPlusNormal"/>
        <w:spacing w:before="220"/>
        <w:ind w:firstLine="540"/>
        <w:jc w:val="both"/>
      </w:pPr>
      <w:r>
        <w:t>20 - для нагрузок АБ-51 и АБ-74;</w:t>
      </w:r>
    </w:p>
    <w:p w:rsidR="00212513" w:rsidRDefault="00212513">
      <w:pPr>
        <w:pStyle w:val="ConsPlusNormal"/>
        <w:spacing w:before="220"/>
        <w:ind w:firstLine="540"/>
        <w:jc w:val="both"/>
      </w:pPr>
      <w:r>
        <w:t>26 - для нагрузки АБ-151.</w:t>
      </w:r>
    </w:p>
    <w:p w:rsidR="00212513" w:rsidRDefault="00212513">
      <w:pPr>
        <w:pStyle w:val="ConsPlusNormal"/>
        <w:spacing w:before="220"/>
        <w:ind w:firstLine="540"/>
        <w:jc w:val="both"/>
      </w:pPr>
      <w:r>
        <w:lastRenderedPageBreak/>
        <w:t>По ширине моста колонны, число которых не должно превышать числа полос движения, следует устанавливать в самое невыгодное положение с соблюдением расстояний, указанных в таблице 6.7.</w:t>
      </w:r>
    </w:p>
    <w:p w:rsidR="00212513" w:rsidRDefault="00212513">
      <w:pPr>
        <w:pStyle w:val="ConsPlusNormal"/>
        <w:ind w:firstLine="540"/>
        <w:jc w:val="both"/>
      </w:pPr>
    </w:p>
    <w:p w:rsidR="00212513" w:rsidRDefault="00212513">
      <w:pPr>
        <w:pStyle w:val="ConsPlusNormal"/>
        <w:jc w:val="right"/>
      </w:pPr>
      <w:bookmarkStart w:id="65" w:name="P1252"/>
      <w:bookmarkEnd w:id="65"/>
      <w:r>
        <w:t>Таблица 6.7</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79"/>
        <w:gridCol w:w="1530"/>
        <w:gridCol w:w="1530"/>
        <w:gridCol w:w="1530"/>
      </w:tblGrid>
      <w:tr w:rsidR="00212513">
        <w:tc>
          <w:tcPr>
            <w:tcW w:w="4479" w:type="dxa"/>
            <w:vMerge w:val="restart"/>
            <w:tcBorders>
              <w:top w:val="single" w:sz="4" w:space="0" w:color="auto"/>
              <w:bottom w:val="single" w:sz="4" w:space="0" w:color="auto"/>
            </w:tcBorders>
            <w:vAlign w:val="center"/>
          </w:tcPr>
          <w:p w:rsidR="00212513" w:rsidRDefault="00212513">
            <w:pPr>
              <w:pStyle w:val="ConsPlusNormal"/>
              <w:jc w:val="center"/>
            </w:pPr>
            <w:r>
              <w:t>Расстояние по ширине моста</w:t>
            </w:r>
          </w:p>
        </w:tc>
        <w:tc>
          <w:tcPr>
            <w:tcW w:w="4590" w:type="dxa"/>
            <w:gridSpan w:val="3"/>
            <w:tcBorders>
              <w:top w:val="single" w:sz="4" w:space="0" w:color="auto"/>
              <w:bottom w:val="single" w:sz="4" w:space="0" w:color="auto"/>
            </w:tcBorders>
            <w:vAlign w:val="center"/>
          </w:tcPr>
          <w:p w:rsidR="00212513" w:rsidRDefault="00212513">
            <w:pPr>
              <w:pStyle w:val="ConsPlusNormal"/>
              <w:jc w:val="center"/>
            </w:pPr>
            <w:r>
              <w:t>Наименьший размер, м, для нагрузок</w:t>
            </w:r>
          </w:p>
        </w:tc>
      </w:tr>
      <w:tr w:rsidR="00212513">
        <w:tc>
          <w:tcPr>
            <w:tcW w:w="4479" w:type="dxa"/>
            <w:vMerge/>
            <w:tcBorders>
              <w:top w:val="single" w:sz="4" w:space="0" w:color="auto"/>
              <w:bottom w:val="single" w:sz="4" w:space="0" w:color="auto"/>
            </w:tcBorders>
          </w:tcPr>
          <w:p w:rsidR="00212513" w:rsidRDefault="00212513">
            <w:pPr>
              <w:pStyle w:val="ConsPlusNormal"/>
            </w:pPr>
          </w:p>
        </w:tc>
        <w:tc>
          <w:tcPr>
            <w:tcW w:w="1530" w:type="dxa"/>
            <w:tcBorders>
              <w:top w:val="single" w:sz="4" w:space="0" w:color="auto"/>
              <w:bottom w:val="single" w:sz="4" w:space="0" w:color="auto"/>
            </w:tcBorders>
            <w:vAlign w:val="center"/>
          </w:tcPr>
          <w:p w:rsidR="00212513" w:rsidRDefault="00212513">
            <w:pPr>
              <w:pStyle w:val="ConsPlusNormal"/>
              <w:jc w:val="center"/>
            </w:pPr>
            <w:r>
              <w:t>АБ-51</w:t>
            </w:r>
          </w:p>
        </w:tc>
        <w:tc>
          <w:tcPr>
            <w:tcW w:w="1530" w:type="dxa"/>
            <w:tcBorders>
              <w:top w:val="single" w:sz="4" w:space="0" w:color="auto"/>
              <w:bottom w:val="single" w:sz="4" w:space="0" w:color="auto"/>
            </w:tcBorders>
            <w:vAlign w:val="center"/>
          </w:tcPr>
          <w:p w:rsidR="00212513" w:rsidRDefault="00212513">
            <w:pPr>
              <w:pStyle w:val="ConsPlusNormal"/>
              <w:jc w:val="center"/>
            </w:pPr>
            <w:r>
              <w:t>АБ-74</w:t>
            </w:r>
          </w:p>
        </w:tc>
        <w:tc>
          <w:tcPr>
            <w:tcW w:w="1530" w:type="dxa"/>
            <w:tcBorders>
              <w:top w:val="single" w:sz="4" w:space="0" w:color="auto"/>
              <w:bottom w:val="single" w:sz="4" w:space="0" w:color="auto"/>
            </w:tcBorders>
            <w:vAlign w:val="center"/>
          </w:tcPr>
          <w:p w:rsidR="00212513" w:rsidRDefault="00212513">
            <w:pPr>
              <w:pStyle w:val="ConsPlusNormal"/>
              <w:jc w:val="center"/>
            </w:pPr>
            <w:r>
              <w:t>АБ-151</w:t>
            </w:r>
          </w:p>
        </w:tc>
      </w:tr>
      <w:tr w:rsidR="00212513">
        <w:tblPrEx>
          <w:tblBorders>
            <w:insideH w:val="none" w:sz="0" w:space="0" w:color="auto"/>
          </w:tblBorders>
        </w:tblPrEx>
        <w:tc>
          <w:tcPr>
            <w:tcW w:w="4479" w:type="dxa"/>
            <w:tcBorders>
              <w:top w:val="single" w:sz="4" w:space="0" w:color="auto"/>
              <w:bottom w:val="nil"/>
            </w:tcBorders>
          </w:tcPr>
          <w:p w:rsidR="00212513" w:rsidRDefault="00212513">
            <w:pPr>
              <w:pStyle w:val="ConsPlusNormal"/>
            </w:pPr>
            <w:r>
              <w:t>От ограждения до края заднего колеса автомобиля:</w:t>
            </w:r>
          </w:p>
        </w:tc>
        <w:tc>
          <w:tcPr>
            <w:tcW w:w="1530" w:type="dxa"/>
            <w:tcBorders>
              <w:top w:val="single" w:sz="4" w:space="0" w:color="auto"/>
              <w:bottom w:val="nil"/>
            </w:tcBorders>
          </w:tcPr>
          <w:p w:rsidR="00212513" w:rsidRDefault="00212513">
            <w:pPr>
              <w:pStyle w:val="ConsPlusNormal"/>
              <w:jc w:val="both"/>
            </w:pPr>
          </w:p>
        </w:tc>
        <w:tc>
          <w:tcPr>
            <w:tcW w:w="1530" w:type="dxa"/>
            <w:tcBorders>
              <w:top w:val="single" w:sz="4" w:space="0" w:color="auto"/>
              <w:bottom w:val="nil"/>
            </w:tcBorders>
          </w:tcPr>
          <w:p w:rsidR="00212513" w:rsidRDefault="00212513">
            <w:pPr>
              <w:pStyle w:val="ConsPlusNormal"/>
              <w:jc w:val="both"/>
            </w:pPr>
          </w:p>
        </w:tc>
        <w:tc>
          <w:tcPr>
            <w:tcW w:w="1530" w:type="dxa"/>
            <w:tcBorders>
              <w:top w:val="single" w:sz="4" w:space="0" w:color="auto"/>
              <w:bottom w:val="nil"/>
            </w:tcBorders>
          </w:tcPr>
          <w:p w:rsidR="00212513" w:rsidRDefault="00212513">
            <w:pPr>
              <w:pStyle w:val="ConsPlusNormal"/>
              <w:jc w:val="both"/>
            </w:pPr>
          </w:p>
        </w:tc>
      </w:tr>
      <w:tr w:rsidR="00212513">
        <w:tblPrEx>
          <w:tblBorders>
            <w:insideH w:val="none" w:sz="0" w:space="0" w:color="auto"/>
          </w:tblBorders>
        </w:tblPrEx>
        <w:tc>
          <w:tcPr>
            <w:tcW w:w="4479" w:type="dxa"/>
            <w:tcBorders>
              <w:top w:val="nil"/>
              <w:bottom w:val="nil"/>
            </w:tcBorders>
          </w:tcPr>
          <w:p w:rsidR="00212513" w:rsidRDefault="00212513">
            <w:pPr>
              <w:pStyle w:val="ConsPlusNormal"/>
              <w:ind w:left="283"/>
            </w:pPr>
            <w:r>
              <w:t>движущегося</w:t>
            </w:r>
          </w:p>
        </w:tc>
        <w:tc>
          <w:tcPr>
            <w:tcW w:w="1530" w:type="dxa"/>
            <w:tcBorders>
              <w:top w:val="nil"/>
              <w:bottom w:val="nil"/>
            </w:tcBorders>
          </w:tcPr>
          <w:p w:rsidR="00212513" w:rsidRDefault="00212513">
            <w:pPr>
              <w:pStyle w:val="ConsPlusNormal"/>
              <w:jc w:val="center"/>
            </w:pPr>
            <w:r>
              <w:t>1,0</w:t>
            </w:r>
          </w:p>
        </w:tc>
        <w:tc>
          <w:tcPr>
            <w:tcW w:w="1530" w:type="dxa"/>
            <w:tcBorders>
              <w:top w:val="nil"/>
              <w:bottom w:val="nil"/>
            </w:tcBorders>
          </w:tcPr>
          <w:p w:rsidR="00212513" w:rsidRDefault="00212513">
            <w:pPr>
              <w:pStyle w:val="ConsPlusNormal"/>
              <w:jc w:val="center"/>
            </w:pPr>
            <w:r>
              <w:t>1,2</w:t>
            </w:r>
          </w:p>
        </w:tc>
        <w:tc>
          <w:tcPr>
            <w:tcW w:w="1530" w:type="dxa"/>
            <w:tcBorders>
              <w:top w:val="nil"/>
              <w:bottom w:val="nil"/>
            </w:tcBorders>
          </w:tcPr>
          <w:p w:rsidR="00212513" w:rsidRDefault="00212513">
            <w:pPr>
              <w:pStyle w:val="ConsPlusNormal"/>
              <w:jc w:val="center"/>
            </w:pPr>
            <w:r>
              <w:t>1,6</w:t>
            </w:r>
          </w:p>
        </w:tc>
      </w:tr>
      <w:tr w:rsidR="00212513">
        <w:tblPrEx>
          <w:tblBorders>
            <w:insideH w:val="none" w:sz="0" w:space="0" w:color="auto"/>
          </w:tblBorders>
        </w:tblPrEx>
        <w:tc>
          <w:tcPr>
            <w:tcW w:w="4479" w:type="dxa"/>
            <w:tcBorders>
              <w:top w:val="nil"/>
              <w:bottom w:val="nil"/>
            </w:tcBorders>
          </w:tcPr>
          <w:p w:rsidR="00212513" w:rsidRDefault="00212513">
            <w:pPr>
              <w:pStyle w:val="ConsPlusNormal"/>
              <w:ind w:left="283"/>
            </w:pPr>
            <w:r>
              <w:t>стоящего</w:t>
            </w:r>
          </w:p>
        </w:tc>
        <w:tc>
          <w:tcPr>
            <w:tcW w:w="4590" w:type="dxa"/>
            <w:gridSpan w:val="3"/>
            <w:tcBorders>
              <w:top w:val="nil"/>
              <w:bottom w:val="nil"/>
            </w:tcBorders>
          </w:tcPr>
          <w:p w:rsidR="00212513" w:rsidRDefault="00212513">
            <w:pPr>
              <w:pStyle w:val="ConsPlusNormal"/>
              <w:jc w:val="center"/>
            </w:pPr>
            <w:r>
              <w:t>Вплотную</w:t>
            </w:r>
          </w:p>
        </w:tc>
      </w:tr>
      <w:tr w:rsidR="00212513">
        <w:tblPrEx>
          <w:tblBorders>
            <w:insideH w:val="none" w:sz="0" w:space="0" w:color="auto"/>
          </w:tblBorders>
        </w:tblPrEx>
        <w:tc>
          <w:tcPr>
            <w:tcW w:w="4479" w:type="dxa"/>
            <w:tcBorders>
              <w:top w:val="nil"/>
              <w:bottom w:val="nil"/>
            </w:tcBorders>
          </w:tcPr>
          <w:p w:rsidR="00212513" w:rsidRDefault="00212513">
            <w:pPr>
              <w:pStyle w:val="ConsPlusNormal"/>
            </w:pPr>
            <w:r>
              <w:t>Между краями задних колес соседних автомобилей:</w:t>
            </w:r>
          </w:p>
        </w:tc>
        <w:tc>
          <w:tcPr>
            <w:tcW w:w="1530" w:type="dxa"/>
            <w:tcBorders>
              <w:top w:val="nil"/>
              <w:bottom w:val="nil"/>
            </w:tcBorders>
          </w:tcPr>
          <w:p w:rsidR="00212513" w:rsidRDefault="00212513">
            <w:pPr>
              <w:pStyle w:val="ConsPlusNormal"/>
              <w:jc w:val="both"/>
            </w:pPr>
          </w:p>
        </w:tc>
        <w:tc>
          <w:tcPr>
            <w:tcW w:w="1530" w:type="dxa"/>
            <w:tcBorders>
              <w:top w:val="nil"/>
              <w:bottom w:val="nil"/>
            </w:tcBorders>
          </w:tcPr>
          <w:p w:rsidR="00212513" w:rsidRDefault="00212513">
            <w:pPr>
              <w:pStyle w:val="ConsPlusNormal"/>
              <w:jc w:val="both"/>
            </w:pPr>
          </w:p>
        </w:tc>
        <w:tc>
          <w:tcPr>
            <w:tcW w:w="1530"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4479" w:type="dxa"/>
            <w:tcBorders>
              <w:top w:val="nil"/>
              <w:bottom w:val="nil"/>
            </w:tcBorders>
          </w:tcPr>
          <w:p w:rsidR="00212513" w:rsidRDefault="00212513">
            <w:pPr>
              <w:pStyle w:val="ConsPlusNormal"/>
              <w:ind w:left="283"/>
            </w:pPr>
            <w:r>
              <w:t>движущихся</w:t>
            </w:r>
          </w:p>
        </w:tc>
        <w:tc>
          <w:tcPr>
            <w:tcW w:w="1530" w:type="dxa"/>
            <w:tcBorders>
              <w:top w:val="nil"/>
              <w:bottom w:val="nil"/>
            </w:tcBorders>
          </w:tcPr>
          <w:p w:rsidR="00212513" w:rsidRDefault="00212513">
            <w:pPr>
              <w:pStyle w:val="ConsPlusNormal"/>
              <w:jc w:val="center"/>
            </w:pPr>
            <w:r>
              <w:t>1,9</w:t>
            </w:r>
          </w:p>
        </w:tc>
        <w:tc>
          <w:tcPr>
            <w:tcW w:w="1530" w:type="dxa"/>
            <w:tcBorders>
              <w:top w:val="nil"/>
              <w:bottom w:val="nil"/>
            </w:tcBorders>
          </w:tcPr>
          <w:p w:rsidR="00212513" w:rsidRDefault="00212513">
            <w:pPr>
              <w:pStyle w:val="ConsPlusNormal"/>
              <w:jc w:val="center"/>
            </w:pPr>
            <w:r>
              <w:t>2,0</w:t>
            </w:r>
          </w:p>
        </w:tc>
        <w:tc>
          <w:tcPr>
            <w:tcW w:w="1530" w:type="dxa"/>
            <w:tcBorders>
              <w:top w:val="nil"/>
              <w:bottom w:val="nil"/>
            </w:tcBorders>
          </w:tcPr>
          <w:p w:rsidR="00212513" w:rsidRDefault="00212513">
            <w:pPr>
              <w:pStyle w:val="ConsPlusNormal"/>
              <w:jc w:val="center"/>
            </w:pPr>
            <w:r>
              <w:t>2,5</w:t>
            </w:r>
          </w:p>
        </w:tc>
      </w:tr>
      <w:tr w:rsidR="00212513">
        <w:tblPrEx>
          <w:tblBorders>
            <w:insideH w:val="none" w:sz="0" w:space="0" w:color="auto"/>
          </w:tblBorders>
        </w:tblPrEx>
        <w:tc>
          <w:tcPr>
            <w:tcW w:w="4479" w:type="dxa"/>
            <w:tcBorders>
              <w:top w:val="nil"/>
              <w:bottom w:val="single" w:sz="4" w:space="0" w:color="auto"/>
            </w:tcBorders>
          </w:tcPr>
          <w:p w:rsidR="00212513" w:rsidRDefault="00212513">
            <w:pPr>
              <w:pStyle w:val="ConsPlusNormal"/>
              <w:ind w:left="283"/>
            </w:pPr>
            <w:r>
              <w:t>стоящих</w:t>
            </w:r>
          </w:p>
        </w:tc>
        <w:tc>
          <w:tcPr>
            <w:tcW w:w="1530" w:type="dxa"/>
            <w:tcBorders>
              <w:top w:val="nil"/>
              <w:bottom w:val="single" w:sz="4" w:space="0" w:color="auto"/>
            </w:tcBorders>
          </w:tcPr>
          <w:p w:rsidR="00212513" w:rsidRDefault="00212513">
            <w:pPr>
              <w:pStyle w:val="ConsPlusNormal"/>
              <w:jc w:val="center"/>
            </w:pPr>
            <w:r>
              <w:t>0,5</w:t>
            </w:r>
          </w:p>
        </w:tc>
        <w:tc>
          <w:tcPr>
            <w:tcW w:w="1530" w:type="dxa"/>
            <w:tcBorders>
              <w:top w:val="nil"/>
              <w:bottom w:val="single" w:sz="4" w:space="0" w:color="auto"/>
            </w:tcBorders>
          </w:tcPr>
          <w:p w:rsidR="00212513" w:rsidRDefault="00212513">
            <w:pPr>
              <w:pStyle w:val="ConsPlusNormal"/>
              <w:jc w:val="center"/>
            </w:pPr>
            <w:r>
              <w:t>0,7</w:t>
            </w:r>
          </w:p>
        </w:tc>
        <w:tc>
          <w:tcPr>
            <w:tcW w:w="1530" w:type="dxa"/>
            <w:tcBorders>
              <w:top w:val="nil"/>
              <w:bottom w:val="single" w:sz="4" w:space="0" w:color="auto"/>
            </w:tcBorders>
          </w:tcPr>
          <w:p w:rsidR="00212513" w:rsidRDefault="00212513">
            <w:pPr>
              <w:pStyle w:val="ConsPlusNormal"/>
              <w:jc w:val="center"/>
            </w:pPr>
            <w:r>
              <w:t>1,0</w:t>
            </w:r>
          </w:p>
        </w:tc>
      </w:tr>
    </w:tbl>
    <w:p w:rsidR="00212513" w:rsidRDefault="00212513">
      <w:pPr>
        <w:pStyle w:val="ConsPlusNormal"/>
        <w:ind w:firstLine="540"/>
        <w:jc w:val="both"/>
      </w:pPr>
    </w:p>
    <w:p w:rsidR="00212513" w:rsidRDefault="00212513">
      <w:pPr>
        <w:pStyle w:val="ConsPlusNormal"/>
        <w:ind w:firstLine="540"/>
        <w:jc w:val="both"/>
      </w:pPr>
      <w:r>
        <w:t xml:space="preserve">В случае "б" мост загружается одной колонной, имеющей не более трех автомобилей. Расстояние между задними и передними осями автомобилей должно быть не менее 8 м - для нагрузок АБ-51 и АБ-74 и не менее 10 м - для нагрузки АБ-151. На остальных полосах устанавливается не более одного автомобиля. По ширине моста колонна и одиночный автомобиль устанавливаются в наиболее невыгодное положение с соблюдением расстояний, указанных в </w:t>
      </w:r>
      <w:hyperlink w:anchor="P1252">
        <w:r>
          <w:rPr>
            <w:color w:val="0000FF"/>
          </w:rPr>
          <w:t>таблице 6.7</w:t>
        </w:r>
      </w:hyperlink>
      <w:r>
        <w:t>.</w:t>
      </w:r>
    </w:p>
    <w:p w:rsidR="00212513" w:rsidRDefault="00212513">
      <w:pPr>
        <w:pStyle w:val="ConsPlusNormal"/>
        <w:spacing w:before="220"/>
        <w:ind w:firstLine="540"/>
        <w:jc w:val="both"/>
      </w:pPr>
      <w:r>
        <w:t xml:space="preserve">Эквивалентные нагрузки для треугольных линий влияния от одиночных автомобилей нагрузки АБ, а также от стоящих и движущихся колонн этих автомобилей (при установленных минимальных расстояниях между автомобилями) приведены в </w:t>
      </w:r>
      <w:hyperlink w:anchor="P13559">
        <w:r>
          <w:rPr>
            <w:color w:val="0000FF"/>
          </w:rPr>
          <w:t>приложении Л</w:t>
        </w:r>
      </w:hyperlink>
      <w:r>
        <w:t>.</w:t>
      </w:r>
    </w:p>
    <w:p w:rsidR="00212513" w:rsidRDefault="00212513">
      <w:pPr>
        <w:pStyle w:val="ConsPlusNormal"/>
        <w:spacing w:before="220"/>
        <w:ind w:firstLine="540"/>
        <w:jc w:val="both"/>
      </w:pPr>
      <w:r>
        <w:t>Примечание - Мосты и трубы, расположенные на дорогах промышленных предприятий, где обращаются автомобили с расчетной шириной свыше 2,5 м, а давление задней тележки менее 196 кН, следует проектировать на нагрузки А14 и Н14.</w:t>
      </w:r>
    </w:p>
    <w:p w:rsidR="00212513" w:rsidRDefault="00212513">
      <w:pPr>
        <w:pStyle w:val="ConsPlusNormal"/>
        <w:ind w:firstLine="540"/>
        <w:jc w:val="both"/>
      </w:pPr>
    </w:p>
    <w:p w:rsidR="00212513" w:rsidRDefault="00212513">
      <w:pPr>
        <w:pStyle w:val="ConsPlusNormal"/>
        <w:ind w:firstLine="540"/>
        <w:jc w:val="both"/>
      </w:pPr>
      <w:bookmarkStart w:id="66" w:name="P1286"/>
      <w:bookmarkEnd w:id="66"/>
      <w:r>
        <w:t>6.14 Во всех расчетах для элементов или отдельных конструкций мостов нагрузку от подвижного состава следует принимать с коэффициентами полосности.</w:t>
      </w:r>
    </w:p>
    <w:p w:rsidR="00212513" w:rsidRDefault="00212513">
      <w:pPr>
        <w:pStyle w:val="ConsPlusNormal"/>
        <w:jc w:val="both"/>
      </w:pPr>
      <w:r>
        <w:t xml:space="preserve">(в ред. </w:t>
      </w:r>
      <w:hyperlink r:id="rId396">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 xml:space="preserve">С одного пути (где нагрузка приводит к самым неблагоприятным результатам) нагрузку </w:t>
      </w:r>
      <w:r>
        <w:rPr>
          <w:noProof/>
          <w:position w:val="-4"/>
        </w:rPr>
        <w:drawing>
          <wp:inline distT="0" distB="0" distL="0" distR="0">
            <wp:extent cx="352425" cy="193675"/>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352425" cy="193675"/>
                    </a:xfrm>
                    <a:prstGeom prst="rect">
                      <a:avLst/>
                    </a:prstGeom>
                    <a:noFill/>
                    <a:ln>
                      <a:noFill/>
                    </a:ln>
                  </pic:spPr>
                </pic:pic>
              </a:graphicData>
            </a:graphic>
          </wp:inline>
        </w:drawing>
      </w:r>
      <w:r>
        <w:t xml:space="preserve"> следует принимать с коэффициентом полосности </w:t>
      </w:r>
      <w:r>
        <w:rPr>
          <w:i/>
        </w:rPr>
        <w:t>s</w:t>
      </w:r>
      <w:r>
        <w:rPr>
          <w:i/>
          <w:vertAlign w:val="subscript"/>
        </w:rPr>
        <w:t>1</w:t>
      </w:r>
      <w:r>
        <w:t xml:space="preserve"> = 1,0. С остальных путей нагрузки принимают с коэффициентами полосности </w:t>
      </w:r>
      <w:r>
        <w:rPr>
          <w:i/>
        </w:rPr>
        <w:t>s</w:t>
      </w:r>
      <w:r>
        <w:rPr>
          <w:i/>
          <w:vertAlign w:val="subscript"/>
        </w:rPr>
        <w:t>2</w:t>
      </w:r>
      <w:r>
        <w:t xml:space="preserve">, равными для нагрузки </w:t>
      </w:r>
      <w:r>
        <w:rPr>
          <w:noProof/>
          <w:position w:val="-4"/>
        </w:rPr>
        <w:drawing>
          <wp:inline distT="0" distB="0" distL="0" distR="0">
            <wp:extent cx="352425" cy="193675"/>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352425" cy="193675"/>
                    </a:xfrm>
                    <a:prstGeom prst="rect">
                      <a:avLst/>
                    </a:prstGeom>
                    <a:noFill/>
                    <a:ln>
                      <a:noFill/>
                    </a:ln>
                  </pic:spPr>
                </pic:pic>
              </a:graphicData>
            </a:graphic>
          </wp:inline>
        </w:drawing>
      </w:r>
      <w:r>
        <w:t xml:space="preserve"> (одновременно загружается не более трех путей):</w:t>
      </w:r>
    </w:p>
    <w:p w:rsidR="00212513" w:rsidRDefault="00212513">
      <w:pPr>
        <w:pStyle w:val="ConsPlusNormal"/>
        <w:spacing w:before="220"/>
        <w:ind w:firstLine="540"/>
        <w:jc w:val="both"/>
      </w:pPr>
      <w:r>
        <w:t>1,0 - при длине загружения 15 м и менее;</w:t>
      </w:r>
    </w:p>
    <w:p w:rsidR="00212513" w:rsidRDefault="00212513">
      <w:pPr>
        <w:pStyle w:val="ConsPlusNormal"/>
        <w:spacing w:before="220"/>
        <w:ind w:firstLine="540"/>
        <w:jc w:val="both"/>
      </w:pPr>
      <w:r>
        <w:t>0,7 - при длине загружения 25 м и более;</w:t>
      </w:r>
    </w:p>
    <w:p w:rsidR="00212513" w:rsidRDefault="00212513">
      <w:pPr>
        <w:pStyle w:val="ConsPlusNormal"/>
        <w:spacing w:before="220"/>
        <w:ind w:firstLine="540"/>
        <w:jc w:val="both"/>
      </w:pPr>
      <w:r>
        <w:t>для промежуточных значений длин - по интерполяции.</w:t>
      </w:r>
    </w:p>
    <w:p w:rsidR="00212513" w:rsidRDefault="00212513">
      <w:pPr>
        <w:pStyle w:val="ConsPlusNormal"/>
        <w:spacing w:before="220"/>
        <w:ind w:firstLine="540"/>
        <w:jc w:val="both"/>
      </w:pPr>
      <w:r>
        <w:t xml:space="preserve">Нагрузку АК (тележку и распределенную составляющую) следует учитывать с </w:t>
      </w:r>
      <w:r>
        <w:lastRenderedPageBreak/>
        <w:t xml:space="preserve">коэффициентами полосности </w:t>
      </w:r>
      <w:r>
        <w:rPr>
          <w:i/>
        </w:rPr>
        <w:t>s</w:t>
      </w:r>
      <w:r>
        <w:rPr>
          <w:i/>
          <w:vertAlign w:val="subscript"/>
        </w:rPr>
        <w:t>1</w:t>
      </w:r>
      <w:r>
        <w:t xml:space="preserve">, </w:t>
      </w:r>
      <w:r>
        <w:rPr>
          <w:i/>
        </w:rPr>
        <w:t>s</w:t>
      </w:r>
      <w:r>
        <w:rPr>
          <w:i/>
          <w:vertAlign w:val="subscript"/>
        </w:rPr>
        <w:t>2</w:t>
      </w:r>
      <w:r>
        <w:t xml:space="preserve">, </w:t>
      </w:r>
      <w:r>
        <w:rPr>
          <w:i/>
        </w:rPr>
        <w:t>s</w:t>
      </w:r>
      <w:r>
        <w:rPr>
          <w:i/>
          <w:vertAlign w:val="subscript"/>
        </w:rPr>
        <w:t>3</w:t>
      </w:r>
      <w:r>
        <w:t xml:space="preserve">. Для первой по значимости полосы (где нагрузка приводит к самым неблагоприятным результатам) следует принимать </w:t>
      </w:r>
      <w:r>
        <w:rPr>
          <w:i/>
        </w:rPr>
        <w:t>s</w:t>
      </w:r>
      <w:r>
        <w:rPr>
          <w:i/>
          <w:vertAlign w:val="subscript"/>
        </w:rPr>
        <w:t>1</w:t>
      </w:r>
      <w:r>
        <w:t xml:space="preserve"> = 1,0, для второй полосы по значимости </w:t>
      </w:r>
      <w:r>
        <w:rPr>
          <w:i/>
        </w:rPr>
        <w:t>s</w:t>
      </w:r>
      <w:r>
        <w:rPr>
          <w:i/>
          <w:vertAlign w:val="subscript"/>
        </w:rPr>
        <w:t>2</w:t>
      </w:r>
      <w:r>
        <w:t xml:space="preserve"> = 0,6, для остальных полос </w:t>
      </w:r>
      <w:r>
        <w:rPr>
          <w:i/>
        </w:rPr>
        <w:t>s</w:t>
      </w:r>
      <w:r>
        <w:rPr>
          <w:i/>
          <w:vertAlign w:val="subscript"/>
        </w:rPr>
        <w:t>3</w:t>
      </w:r>
      <w:r>
        <w:t xml:space="preserve"> = 0,3.</w:t>
      </w:r>
    </w:p>
    <w:p w:rsidR="00212513" w:rsidRDefault="00212513">
      <w:pPr>
        <w:pStyle w:val="ConsPlusNormal"/>
        <w:spacing w:before="220"/>
        <w:ind w:firstLine="540"/>
        <w:jc w:val="both"/>
      </w:pPr>
      <w:r>
        <w:t xml:space="preserve">Нагрузку АБ следует учитывать с коэффициентами полосности </w:t>
      </w:r>
      <w:r>
        <w:rPr>
          <w:i/>
        </w:rPr>
        <w:t>s</w:t>
      </w:r>
      <w:r>
        <w:rPr>
          <w:i/>
          <w:vertAlign w:val="subscript"/>
        </w:rPr>
        <w:t>1</w:t>
      </w:r>
      <w:r>
        <w:t xml:space="preserve">, </w:t>
      </w:r>
      <w:r>
        <w:rPr>
          <w:i/>
        </w:rPr>
        <w:t>s</w:t>
      </w:r>
      <w:r>
        <w:rPr>
          <w:i/>
          <w:vertAlign w:val="subscript"/>
        </w:rPr>
        <w:t>2</w:t>
      </w:r>
      <w:r>
        <w:t xml:space="preserve">. Для первой по значимости колонны (где нагрузка приводит к самым неблагоприятным результатам) следует принимать </w:t>
      </w:r>
      <w:r>
        <w:rPr>
          <w:i/>
        </w:rPr>
        <w:t>s</w:t>
      </w:r>
      <w:r>
        <w:rPr>
          <w:i/>
          <w:vertAlign w:val="subscript"/>
        </w:rPr>
        <w:t>1</w:t>
      </w:r>
      <w:r>
        <w:t xml:space="preserve"> = 1,0, для второй колонны по значимости </w:t>
      </w:r>
      <w:r>
        <w:rPr>
          <w:i/>
        </w:rPr>
        <w:t>s</w:t>
      </w:r>
      <w:r>
        <w:rPr>
          <w:i/>
          <w:vertAlign w:val="subscript"/>
        </w:rPr>
        <w:t>2</w:t>
      </w:r>
      <w:r>
        <w:t xml:space="preserve"> = 0,7.</w:t>
      </w:r>
    </w:p>
    <w:p w:rsidR="00212513" w:rsidRDefault="00212513">
      <w:pPr>
        <w:pStyle w:val="ConsPlusNormal"/>
        <w:spacing w:before="220"/>
        <w:ind w:firstLine="540"/>
        <w:jc w:val="both"/>
      </w:pPr>
      <w:r>
        <w:t>Для поездов метрополитена и трамвая коэффициенты полосности принимаются равными 1,0.</w:t>
      </w:r>
    </w:p>
    <w:p w:rsidR="00212513" w:rsidRDefault="00212513">
      <w:pPr>
        <w:pStyle w:val="ConsPlusNormal"/>
        <w:jc w:val="both"/>
      </w:pPr>
      <w:r>
        <w:t xml:space="preserve">(п. 6.14 в ред. </w:t>
      </w:r>
      <w:hyperlink r:id="rId398">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 xml:space="preserve">6.15 При одновременном загружении полос автомобильного движения (совместно с тротуарами) и рельсовых путей (железных дорог, метрополитена или трамвая) временную вертикальную нагрузку, которая оказывает меньшее воздействие (как вертикальное, так и горизонтальное), следует вводить в расчет с дополнительным коэффициентом </w:t>
      </w:r>
      <w:r>
        <w:rPr>
          <w:noProof/>
          <w:position w:val="-8"/>
        </w:rPr>
        <w:drawing>
          <wp:inline distT="0" distB="0" distL="0" distR="0">
            <wp:extent cx="167640" cy="25146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определяемым по формулам:</w:t>
      </w:r>
    </w:p>
    <w:p w:rsidR="00212513" w:rsidRDefault="00212513">
      <w:pPr>
        <w:pStyle w:val="ConsPlusNormal"/>
        <w:spacing w:before="220"/>
        <w:ind w:firstLine="540"/>
        <w:jc w:val="both"/>
      </w:pPr>
      <w:r>
        <w:t>при одновременном загружении железнодорожных путей и полос автомобильного движения</w:t>
      </w:r>
    </w:p>
    <w:p w:rsidR="00212513" w:rsidRDefault="00212513">
      <w:pPr>
        <w:pStyle w:val="ConsPlusNormal"/>
        <w:ind w:firstLine="540"/>
        <w:jc w:val="both"/>
      </w:pPr>
    </w:p>
    <w:p w:rsidR="00212513" w:rsidRDefault="00212513">
      <w:pPr>
        <w:pStyle w:val="ConsPlusNormal"/>
        <w:jc w:val="center"/>
      </w:pPr>
      <w:r>
        <w:rPr>
          <w:noProof/>
          <w:position w:val="-8"/>
        </w:rPr>
        <w:drawing>
          <wp:inline distT="0" distB="0" distL="0" distR="0">
            <wp:extent cx="1031875" cy="253365"/>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031875" cy="253365"/>
                    </a:xfrm>
                    <a:prstGeom prst="rect">
                      <a:avLst/>
                    </a:prstGeom>
                    <a:noFill/>
                    <a:ln>
                      <a:noFill/>
                    </a:ln>
                  </pic:spPr>
                </pic:pic>
              </a:graphicData>
            </a:graphic>
          </wp:inline>
        </w:drawing>
      </w:r>
      <w:r>
        <w:t>, но не менее 0,80; (6.5)</w:t>
      </w:r>
    </w:p>
    <w:p w:rsidR="00212513" w:rsidRDefault="00212513">
      <w:pPr>
        <w:pStyle w:val="ConsPlusNormal"/>
        <w:jc w:val="center"/>
      </w:pPr>
      <w:r>
        <w:t xml:space="preserve">(в ред. </w:t>
      </w:r>
      <w:hyperlink r:id="rId401">
        <w:r>
          <w:rPr>
            <w:color w:val="0000FF"/>
          </w:rPr>
          <w:t>Изменения N 1</w:t>
        </w:r>
      </w:hyperlink>
      <w:r>
        <w:t>, утв. Приказом</w:t>
      </w:r>
    </w:p>
    <w:p w:rsidR="00212513" w:rsidRDefault="00212513">
      <w:pPr>
        <w:pStyle w:val="ConsPlusNormal"/>
        <w:jc w:val="center"/>
      </w:pPr>
      <w:r>
        <w:t>Минстроя России от 03.12.2016 N 879/пр)</w:t>
      </w:r>
    </w:p>
    <w:p w:rsidR="00212513" w:rsidRDefault="00212513">
      <w:pPr>
        <w:pStyle w:val="ConsPlusNormal"/>
        <w:jc w:val="center"/>
      </w:pPr>
    </w:p>
    <w:p w:rsidR="00212513" w:rsidRDefault="00212513">
      <w:pPr>
        <w:pStyle w:val="ConsPlusNormal"/>
        <w:ind w:firstLine="540"/>
        <w:jc w:val="both"/>
      </w:pPr>
      <w:r>
        <w:t>то же, путей метрополитена или трамвая и полос автомобильного движения</w:t>
      </w:r>
    </w:p>
    <w:p w:rsidR="00212513" w:rsidRDefault="00212513">
      <w:pPr>
        <w:pStyle w:val="ConsPlusNormal"/>
        <w:ind w:firstLine="540"/>
        <w:jc w:val="both"/>
      </w:pPr>
    </w:p>
    <w:p w:rsidR="00212513" w:rsidRDefault="00212513">
      <w:pPr>
        <w:pStyle w:val="ConsPlusNormal"/>
        <w:jc w:val="center"/>
      </w:pPr>
      <w:r>
        <w:rPr>
          <w:noProof/>
          <w:position w:val="-8"/>
        </w:rPr>
        <w:drawing>
          <wp:inline distT="0" distB="0" distL="0" distR="0">
            <wp:extent cx="1072515" cy="25146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072515" cy="251460"/>
                    </a:xfrm>
                    <a:prstGeom prst="rect">
                      <a:avLst/>
                    </a:prstGeom>
                    <a:noFill/>
                    <a:ln>
                      <a:noFill/>
                    </a:ln>
                  </pic:spPr>
                </pic:pic>
              </a:graphicData>
            </a:graphic>
          </wp:inline>
        </w:drawing>
      </w:r>
      <w:r>
        <w:t>, но не менее 0,80, (6.6)</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3"/>
        </w:rPr>
        <w:drawing>
          <wp:inline distT="0" distB="0" distL="0" distR="0">
            <wp:extent cx="146050" cy="18923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46050" cy="189230"/>
                    </a:xfrm>
                    <a:prstGeom prst="rect">
                      <a:avLst/>
                    </a:prstGeom>
                    <a:noFill/>
                    <a:ln>
                      <a:noFill/>
                    </a:ln>
                  </pic:spPr>
                </pic:pic>
              </a:graphicData>
            </a:graphic>
          </wp:inline>
        </w:drawing>
      </w:r>
      <w:r>
        <w:t xml:space="preserve"> - длина загружения пролетного строения нагрузкой, оказывающей меньшее воздействие, м.</w:t>
      </w:r>
    </w:p>
    <w:p w:rsidR="00212513" w:rsidRDefault="00212513">
      <w:pPr>
        <w:pStyle w:val="ConsPlusNormal"/>
        <w:spacing w:before="220"/>
        <w:ind w:firstLine="540"/>
        <w:jc w:val="both"/>
      </w:pPr>
      <w:r>
        <w:t xml:space="preserve">6.16 Нормативное горизонтальное (боковое) давление грунта на устои мостов (и промежуточные опоры, если они расположены внутри конусов) от подвижного состава, находящегося на призме обрушения, следует принимать с учетом распространения нагрузки в грунте ниже подошвы рельса или верха дорожного покрытия под углом к вертикали arctg1/2 и определять согласно </w:t>
      </w:r>
      <w:hyperlink w:anchor="P13918">
        <w:r>
          <w:rPr>
            <w:color w:val="0000FF"/>
          </w:rPr>
          <w:t>приложению М</w:t>
        </w:r>
      </w:hyperlink>
      <w:r>
        <w:t>.</w:t>
      </w:r>
    </w:p>
    <w:p w:rsidR="00212513" w:rsidRDefault="00212513">
      <w:pPr>
        <w:pStyle w:val="ConsPlusNormal"/>
        <w:spacing w:before="220"/>
        <w:ind w:firstLine="540"/>
        <w:jc w:val="both"/>
      </w:pPr>
      <w:r>
        <w:t>Примечание - Совместно с сейсмическим воздействием горизонтальное (боковое) давление грунта на устои от подвижного состава, находящегося на призме обрушения, не учитывается.</w:t>
      </w:r>
    </w:p>
    <w:p w:rsidR="00212513" w:rsidRDefault="00212513">
      <w:pPr>
        <w:pStyle w:val="ConsPlusNormal"/>
        <w:ind w:firstLine="540"/>
        <w:jc w:val="both"/>
      </w:pPr>
    </w:p>
    <w:p w:rsidR="00212513" w:rsidRDefault="00212513">
      <w:pPr>
        <w:pStyle w:val="ConsPlusNormal"/>
        <w:ind w:firstLine="540"/>
        <w:jc w:val="both"/>
      </w:pPr>
      <w:bookmarkStart w:id="67" w:name="P1311"/>
      <w:bookmarkEnd w:id="67"/>
      <w:r>
        <w:t>6.17 Нормативное давление грунта от подвижного состава на звенья (секции) труб, кПа, на соответствующую проекцию внешнего контура трубы следует определять с учетом распределения давления нагрузки в грунте по формулам:</w:t>
      </w:r>
    </w:p>
    <w:p w:rsidR="00212513" w:rsidRDefault="00212513">
      <w:pPr>
        <w:pStyle w:val="ConsPlusNormal"/>
        <w:spacing w:before="220"/>
        <w:ind w:firstLine="540"/>
        <w:jc w:val="both"/>
      </w:pPr>
      <w:r>
        <w:t>а) вертикальное давление:</w:t>
      </w:r>
    </w:p>
    <w:p w:rsidR="00212513" w:rsidRDefault="00212513">
      <w:pPr>
        <w:pStyle w:val="ConsPlusNormal"/>
        <w:spacing w:before="220"/>
        <w:ind w:firstLine="540"/>
        <w:jc w:val="both"/>
      </w:pPr>
      <w:r>
        <w:t>от подвижного состава железных дорог</w:t>
      </w:r>
    </w:p>
    <w:p w:rsidR="00212513" w:rsidRDefault="00212513">
      <w:pPr>
        <w:pStyle w:val="ConsPlusNormal"/>
        <w:ind w:firstLine="540"/>
        <w:jc w:val="both"/>
      </w:pPr>
    </w:p>
    <w:p w:rsidR="00212513" w:rsidRDefault="00212513">
      <w:pPr>
        <w:pStyle w:val="ConsPlusNormal"/>
        <w:jc w:val="center"/>
      </w:pPr>
      <w:r>
        <w:rPr>
          <w:noProof/>
          <w:position w:val="-26"/>
        </w:rPr>
        <w:drawing>
          <wp:inline distT="0" distB="0" distL="0" distR="0">
            <wp:extent cx="880110" cy="470535"/>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880110" cy="470535"/>
                    </a:xfrm>
                    <a:prstGeom prst="rect">
                      <a:avLst/>
                    </a:prstGeom>
                    <a:noFill/>
                    <a:ln>
                      <a:noFill/>
                    </a:ln>
                  </pic:spPr>
                </pic:pic>
              </a:graphicData>
            </a:graphic>
          </wp:inline>
        </w:drawing>
      </w:r>
      <w:r>
        <w:t>; (6.7)</w:t>
      </w:r>
    </w:p>
    <w:p w:rsidR="00212513" w:rsidRDefault="00212513">
      <w:pPr>
        <w:pStyle w:val="ConsPlusNormal"/>
        <w:ind w:firstLine="540"/>
        <w:jc w:val="both"/>
      </w:pPr>
    </w:p>
    <w:p w:rsidR="00212513" w:rsidRDefault="00212513">
      <w:pPr>
        <w:pStyle w:val="ConsPlusNormal"/>
        <w:ind w:firstLine="540"/>
        <w:jc w:val="both"/>
      </w:pPr>
      <w:r>
        <w:t xml:space="preserve">от транспортных средств автомобильных и городских дорог (кроме нагрузки АК, на которую </w:t>
      </w:r>
      <w:r>
        <w:lastRenderedPageBreak/>
        <w:t>расчет не производится), а также дорог промышленных предприятий с обращением автомобилей АБ</w:t>
      </w:r>
    </w:p>
    <w:p w:rsidR="00212513" w:rsidRDefault="00212513">
      <w:pPr>
        <w:pStyle w:val="ConsPlusNormal"/>
        <w:ind w:firstLine="540"/>
        <w:jc w:val="both"/>
      </w:pPr>
    </w:p>
    <w:p w:rsidR="00212513" w:rsidRDefault="00212513">
      <w:pPr>
        <w:pStyle w:val="ConsPlusNormal"/>
        <w:jc w:val="center"/>
      </w:pPr>
      <w:r>
        <w:rPr>
          <w:noProof/>
          <w:position w:val="-27"/>
        </w:rPr>
        <w:drawing>
          <wp:inline distT="0" distB="0" distL="0" distR="0">
            <wp:extent cx="818515" cy="484505"/>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818515" cy="484505"/>
                    </a:xfrm>
                    <a:prstGeom prst="rect">
                      <a:avLst/>
                    </a:prstGeom>
                    <a:noFill/>
                    <a:ln>
                      <a:noFill/>
                    </a:ln>
                  </pic:spPr>
                </pic:pic>
              </a:graphicData>
            </a:graphic>
          </wp:inline>
        </w:drawing>
      </w:r>
      <w:r>
        <w:t>; (6.8)</w:t>
      </w:r>
    </w:p>
    <w:p w:rsidR="00212513" w:rsidRDefault="00212513">
      <w:pPr>
        <w:pStyle w:val="ConsPlusNormal"/>
        <w:ind w:firstLine="540"/>
        <w:jc w:val="both"/>
      </w:pPr>
    </w:p>
    <w:p w:rsidR="00212513" w:rsidRDefault="00212513">
      <w:pPr>
        <w:pStyle w:val="ConsPlusNormal"/>
        <w:ind w:firstLine="540"/>
        <w:jc w:val="both"/>
      </w:pPr>
      <w:r>
        <w:t>б) горизонтальное давление</w:t>
      </w:r>
    </w:p>
    <w:p w:rsidR="00212513" w:rsidRDefault="00212513">
      <w:pPr>
        <w:pStyle w:val="ConsPlusNormal"/>
        <w:ind w:firstLine="540"/>
        <w:jc w:val="both"/>
      </w:pPr>
    </w:p>
    <w:p w:rsidR="00212513" w:rsidRDefault="00212513">
      <w:pPr>
        <w:pStyle w:val="ConsPlusNormal"/>
        <w:jc w:val="center"/>
      </w:pPr>
      <w:r>
        <w:rPr>
          <w:noProof/>
          <w:position w:val="-8"/>
        </w:rPr>
        <w:drawing>
          <wp:inline distT="0" distB="0" distL="0" distR="0">
            <wp:extent cx="670560" cy="25146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t>, (6.9)</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rPr>
        <w:drawing>
          <wp:inline distT="0" distB="0" distL="0" distR="0">
            <wp:extent cx="146685" cy="146050"/>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xml:space="preserve"> - интенсивность временной вертикальной нагрузки от подвижного состава железных дорог, принимаемая по </w:t>
      </w:r>
      <w:hyperlink w:anchor="P13231">
        <w:r>
          <w:rPr>
            <w:color w:val="0000FF"/>
          </w:rPr>
          <w:t>таблице К.1</w:t>
        </w:r>
      </w:hyperlink>
      <w:r>
        <w:t xml:space="preserve"> приложения К для длины загружения </w:t>
      </w:r>
      <w:r>
        <w:rPr>
          <w:noProof/>
          <w:position w:val="-3"/>
        </w:rPr>
        <w:drawing>
          <wp:inline distT="0" distB="0" distL="0" distR="0">
            <wp:extent cx="670560" cy="187960"/>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670560" cy="187960"/>
                    </a:xfrm>
                    <a:prstGeom prst="rect">
                      <a:avLst/>
                    </a:prstGeom>
                    <a:noFill/>
                    <a:ln>
                      <a:noFill/>
                    </a:ln>
                  </pic:spPr>
                </pic:pic>
              </a:graphicData>
            </a:graphic>
          </wp:inline>
        </w:drawing>
      </w:r>
      <w:r>
        <w:t xml:space="preserve"> и положения вершины линии влияния </w:t>
      </w:r>
      <w:r>
        <w:rPr>
          <w:noProof/>
          <w:position w:val="-5"/>
        </w:rPr>
        <w:drawing>
          <wp:inline distT="0" distB="0" distL="0" distR="0">
            <wp:extent cx="544830" cy="20955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544830" cy="209550"/>
                    </a:xfrm>
                    <a:prstGeom prst="rect">
                      <a:avLst/>
                    </a:prstGeom>
                    <a:noFill/>
                    <a:ln>
                      <a:noFill/>
                    </a:ln>
                  </pic:spPr>
                </pic:pic>
              </a:graphicData>
            </a:graphic>
          </wp:inline>
        </w:drawing>
      </w:r>
      <w:r>
        <w:t>, но не более 19,6 К, кН/м;</w:t>
      </w:r>
    </w:p>
    <w:p w:rsidR="00212513" w:rsidRDefault="00212513">
      <w:pPr>
        <w:pStyle w:val="ConsPlusNormal"/>
        <w:spacing w:before="220"/>
        <w:ind w:firstLine="540"/>
        <w:jc w:val="both"/>
      </w:pPr>
      <w:r>
        <w:rPr>
          <w:i/>
        </w:rPr>
        <w:t>d</w:t>
      </w:r>
      <w:r>
        <w:t xml:space="preserve"> - диаметр (ширина) звена (секции) по внешнему контуру, м;</w:t>
      </w:r>
    </w:p>
    <w:p w:rsidR="00212513" w:rsidRDefault="00212513">
      <w:pPr>
        <w:pStyle w:val="ConsPlusNormal"/>
        <w:spacing w:before="220"/>
        <w:ind w:firstLine="540"/>
        <w:jc w:val="both"/>
      </w:pPr>
      <w:r>
        <w:rPr>
          <w:i/>
        </w:rPr>
        <w:t>h</w:t>
      </w:r>
      <w:r>
        <w:t xml:space="preserve"> - расстояние от подошвы рельса или верха дорожного покрытия до верха звена при определении вертикального давления или до рассматриваемого горизонта при определении горизонтального (бокового) давления, м;</w:t>
      </w:r>
    </w:p>
    <w:p w:rsidR="00212513" w:rsidRDefault="00212513">
      <w:pPr>
        <w:pStyle w:val="ConsPlusNormal"/>
        <w:spacing w:before="220"/>
        <w:ind w:firstLine="540"/>
        <w:jc w:val="both"/>
      </w:pPr>
      <w:r>
        <w:rPr>
          <w:noProof/>
          <w:position w:val="-8"/>
        </w:rPr>
        <w:drawing>
          <wp:inline distT="0" distB="0" distL="0" distR="0">
            <wp:extent cx="188595" cy="25146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 коэффициент, определяемый по </w:t>
      </w:r>
      <w:hyperlink w:anchor="P1052">
        <w:r>
          <w:rPr>
            <w:color w:val="0000FF"/>
          </w:rPr>
          <w:t>формуле (6.4)</w:t>
        </w:r>
      </w:hyperlink>
      <w:r>
        <w:t>;</w:t>
      </w:r>
    </w:p>
    <w:p w:rsidR="00212513" w:rsidRDefault="00212513">
      <w:pPr>
        <w:pStyle w:val="ConsPlusNormal"/>
        <w:spacing w:before="220"/>
        <w:ind w:firstLine="540"/>
        <w:jc w:val="both"/>
      </w:pPr>
      <w:r>
        <w:rPr>
          <w:noProof/>
          <w:position w:val="-3"/>
        </w:rPr>
        <w:drawing>
          <wp:inline distT="0" distB="0" distL="0" distR="0">
            <wp:extent cx="167640" cy="188595"/>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167640" cy="188595"/>
                    </a:xfrm>
                    <a:prstGeom prst="rect">
                      <a:avLst/>
                    </a:prstGeom>
                    <a:noFill/>
                    <a:ln>
                      <a:noFill/>
                    </a:ln>
                  </pic:spPr>
                </pic:pic>
              </a:graphicData>
            </a:graphic>
          </wp:inline>
        </w:drawing>
      </w:r>
      <w:r>
        <w:t xml:space="preserve"> - линейная нагрузка, кН/м, определяемая по таблице 6.8;</w:t>
      </w:r>
    </w:p>
    <w:p w:rsidR="00212513" w:rsidRDefault="00212513">
      <w:pPr>
        <w:pStyle w:val="ConsPlusNormal"/>
        <w:spacing w:before="220"/>
        <w:ind w:firstLine="540"/>
        <w:jc w:val="both"/>
      </w:pPr>
      <w:r>
        <w:rPr>
          <w:noProof/>
          <w:position w:val="-8"/>
        </w:rPr>
        <w:drawing>
          <wp:inline distT="0" distB="0" distL="0" distR="0">
            <wp:extent cx="188595" cy="25146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 длина участка распределения, м, определяемая по таблице 6.8.</w:t>
      </w:r>
    </w:p>
    <w:p w:rsidR="00212513" w:rsidRDefault="00212513">
      <w:pPr>
        <w:pStyle w:val="ConsPlusNormal"/>
        <w:ind w:firstLine="540"/>
        <w:jc w:val="both"/>
      </w:pPr>
    </w:p>
    <w:p w:rsidR="00212513" w:rsidRDefault="00212513">
      <w:pPr>
        <w:pStyle w:val="ConsPlusNormal"/>
        <w:jc w:val="right"/>
      </w:pPr>
      <w:r>
        <w:t>Таблица 6.8</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47"/>
        <w:gridCol w:w="975"/>
        <w:gridCol w:w="975"/>
        <w:gridCol w:w="975"/>
        <w:gridCol w:w="975"/>
        <w:gridCol w:w="975"/>
        <w:gridCol w:w="975"/>
        <w:gridCol w:w="975"/>
        <w:gridCol w:w="977"/>
      </w:tblGrid>
      <w:tr w:rsidR="00212513">
        <w:tc>
          <w:tcPr>
            <w:tcW w:w="1247" w:type="dxa"/>
            <w:vMerge w:val="restart"/>
            <w:vAlign w:val="center"/>
          </w:tcPr>
          <w:p w:rsidR="00212513" w:rsidRDefault="00212513">
            <w:pPr>
              <w:pStyle w:val="ConsPlusNormal"/>
              <w:jc w:val="center"/>
            </w:pPr>
            <w:r>
              <w:t>Параметр</w:t>
            </w:r>
          </w:p>
        </w:tc>
        <w:tc>
          <w:tcPr>
            <w:tcW w:w="7802" w:type="dxa"/>
            <w:gridSpan w:val="8"/>
            <w:vAlign w:val="center"/>
          </w:tcPr>
          <w:p w:rsidR="00212513" w:rsidRDefault="00212513">
            <w:pPr>
              <w:pStyle w:val="ConsPlusNormal"/>
              <w:jc w:val="center"/>
            </w:pPr>
            <w:r>
              <w:t>Для нагрузок</w:t>
            </w:r>
          </w:p>
        </w:tc>
      </w:tr>
      <w:tr w:rsidR="00212513">
        <w:tc>
          <w:tcPr>
            <w:tcW w:w="1247" w:type="dxa"/>
            <w:vMerge/>
          </w:tcPr>
          <w:p w:rsidR="00212513" w:rsidRDefault="00212513">
            <w:pPr>
              <w:pStyle w:val="ConsPlusNormal"/>
            </w:pPr>
          </w:p>
        </w:tc>
        <w:tc>
          <w:tcPr>
            <w:tcW w:w="975" w:type="dxa"/>
            <w:vAlign w:val="center"/>
          </w:tcPr>
          <w:p w:rsidR="00212513" w:rsidRDefault="00212513">
            <w:pPr>
              <w:pStyle w:val="ConsPlusNormal"/>
              <w:jc w:val="center"/>
            </w:pPr>
            <w:r>
              <w:t>Н11</w:t>
            </w:r>
          </w:p>
        </w:tc>
        <w:tc>
          <w:tcPr>
            <w:tcW w:w="975" w:type="dxa"/>
            <w:vAlign w:val="center"/>
          </w:tcPr>
          <w:p w:rsidR="00212513" w:rsidRDefault="00212513">
            <w:pPr>
              <w:pStyle w:val="ConsPlusNormal"/>
              <w:jc w:val="center"/>
            </w:pPr>
            <w:r>
              <w:t>Н14</w:t>
            </w:r>
          </w:p>
        </w:tc>
        <w:tc>
          <w:tcPr>
            <w:tcW w:w="1950" w:type="dxa"/>
            <w:gridSpan w:val="2"/>
            <w:vAlign w:val="center"/>
          </w:tcPr>
          <w:p w:rsidR="00212513" w:rsidRDefault="00212513">
            <w:pPr>
              <w:pStyle w:val="ConsPlusNormal"/>
              <w:jc w:val="center"/>
            </w:pPr>
            <w:r>
              <w:t>АБ-51</w:t>
            </w:r>
          </w:p>
        </w:tc>
        <w:tc>
          <w:tcPr>
            <w:tcW w:w="1950" w:type="dxa"/>
            <w:gridSpan w:val="2"/>
            <w:vAlign w:val="center"/>
          </w:tcPr>
          <w:p w:rsidR="00212513" w:rsidRDefault="00212513">
            <w:pPr>
              <w:pStyle w:val="ConsPlusNormal"/>
              <w:jc w:val="center"/>
            </w:pPr>
            <w:r>
              <w:t>АБ-74</w:t>
            </w:r>
          </w:p>
        </w:tc>
        <w:tc>
          <w:tcPr>
            <w:tcW w:w="1952" w:type="dxa"/>
            <w:gridSpan w:val="2"/>
            <w:vAlign w:val="center"/>
          </w:tcPr>
          <w:p w:rsidR="00212513" w:rsidRDefault="00212513">
            <w:pPr>
              <w:pStyle w:val="ConsPlusNormal"/>
              <w:jc w:val="center"/>
            </w:pPr>
            <w:r>
              <w:t>АБ-151</w:t>
            </w:r>
          </w:p>
        </w:tc>
      </w:tr>
      <w:tr w:rsidR="00212513">
        <w:tc>
          <w:tcPr>
            <w:tcW w:w="1247" w:type="dxa"/>
            <w:vMerge/>
          </w:tcPr>
          <w:p w:rsidR="00212513" w:rsidRDefault="00212513">
            <w:pPr>
              <w:pStyle w:val="ConsPlusNormal"/>
            </w:pPr>
          </w:p>
        </w:tc>
        <w:tc>
          <w:tcPr>
            <w:tcW w:w="7802" w:type="dxa"/>
            <w:gridSpan w:val="8"/>
            <w:vAlign w:val="center"/>
          </w:tcPr>
          <w:p w:rsidR="00212513" w:rsidRDefault="00212513">
            <w:pPr>
              <w:pStyle w:val="ConsPlusNormal"/>
              <w:jc w:val="center"/>
            </w:pPr>
            <w:r>
              <w:t xml:space="preserve">при высоте засыпки </w:t>
            </w:r>
            <w:hyperlink w:anchor="P1368">
              <w:r>
                <w:rPr>
                  <w:color w:val="0000FF"/>
                </w:rPr>
                <w:t>&lt;*&gt;</w:t>
              </w:r>
            </w:hyperlink>
          </w:p>
        </w:tc>
      </w:tr>
      <w:tr w:rsidR="00212513">
        <w:tc>
          <w:tcPr>
            <w:tcW w:w="1247" w:type="dxa"/>
            <w:vMerge/>
          </w:tcPr>
          <w:p w:rsidR="00212513" w:rsidRDefault="00212513">
            <w:pPr>
              <w:pStyle w:val="ConsPlusNormal"/>
            </w:pPr>
          </w:p>
        </w:tc>
        <w:tc>
          <w:tcPr>
            <w:tcW w:w="975" w:type="dxa"/>
            <w:vAlign w:val="center"/>
          </w:tcPr>
          <w:p w:rsidR="00212513" w:rsidRDefault="00212513">
            <w:pPr>
              <w:pStyle w:val="ConsPlusNormal"/>
              <w:jc w:val="center"/>
            </w:pPr>
            <w:r>
              <w:t>1 и более</w:t>
            </w:r>
          </w:p>
        </w:tc>
        <w:tc>
          <w:tcPr>
            <w:tcW w:w="975" w:type="dxa"/>
            <w:vAlign w:val="center"/>
          </w:tcPr>
          <w:p w:rsidR="00212513" w:rsidRDefault="00212513">
            <w:pPr>
              <w:pStyle w:val="ConsPlusNormal"/>
              <w:jc w:val="center"/>
            </w:pPr>
            <w:r>
              <w:t>1 и более</w:t>
            </w:r>
          </w:p>
        </w:tc>
        <w:tc>
          <w:tcPr>
            <w:tcW w:w="975" w:type="dxa"/>
            <w:vAlign w:val="center"/>
          </w:tcPr>
          <w:p w:rsidR="00212513" w:rsidRDefault="00212513">
            <w:pPr>
              <w:pStyle w:val="ConsPlusNormal"/>
              <w:jc w:val="center"/>
            </w:pPr>
            <w:r>
              <w:t>1,3 и более</w:t>
            </w:r>
          </w:p>
        </w:tc>
        <w:tc>
          <w:tcPr>
            <w:tcW w:w="975" w:type="dxa"/>
            <w:vAlign w:val="center"/>
          </w:tcPr>
          <w:p w:rsidR="00212513" w:rsidRDefault="00212513">
            <w:pPr>
              <w:pStyle w:val="ConsPlusNormal"/>
              <w:jc w:val="center"/>
            </w:pPr>
            <w:r>
              <w:t>менее 1,3</w:t>
            </w:r>
          </w:p>
        </w:tc>
        <w:tc>
          <w:tcPr>
            <w:tcW w:w="975" w:type="dxa"/>
            <w:vAlign w:val="center"/>
          </w:tcPr>
          <w:p w:rsidR="00212513" w:rsidRDefault="00212513">
            <w:pPr>
              <w:pStyle w:val="ConsPlusNormal"/>
              <w:jc w:val="center"/>
            </w:pPr>
            <w:r>
              <w:t>1,9 и более</w:t>
            </w:r>
          </w:p>
        </w:tc>
        <w:tc>
          <w:tcPr>
            <w:tcW w:w="975" w:type="dxa"/>
            <w:vAlign w:val="center"/>
          </w:tcPr>
          <w:p w:rsidR="00212513" w:rsidRDefault="00212513">
            <w:pPr>
              <w:pStyle w:val="ConsPlusNormal"/>
              <w:jc w:val="center"/>
            </w:pPr>
            <w:r>
              <w:t>менее 1,9</w:t>
            </w:r>
          </w:p>
        </w:tc>
        <w:tc>
          <w:tcPr>
            <w:tcW w:w="975" w:type="dxa"/>
            <w:vAlign w:val="center"/>
          </w:tcPr>
          <w:p w:rsidR="00212513" w:rsidRDefault="00212513">
            <w:pPr>
              <w:pStyle w:val="ConsPlusNormal"/>
              <w:jc w:val="center"/>
            </w:pPr>
            <w:r>
              <w:t>3 и более</w:t>
            </w:r>
          </w:p>
        </w:tc>
        <w:tc>
          <w:tcPr>
            <w:tcW w:w="977" w:type="dxa"/>
            <w:vAlign w:val="center"/>
          </w:tcPr>
          <w:p w:rsidR="00212513" w:rsidRDefault="00212513">
            <w:pPr>
              <w:pStyle w:val="ConsPlusNormal"/>
              <w:jc w:val="center"/>
            </w:pPr>
            <w:r>
              <w:t>менее 3</w:t>
            </w:r>
          </w:p>
        </w:tc>
      </w:tr>
      <w:tr w:rsidR="00212513">
        <w:tblPrEx>
          <w:tblBorders>
            <w:insideH w:val="nil"/>
          </w:tblBorders>
        </w:tblPrEx>
        <w:tc>
          <w:tcPr>
            <w:tcW w:w="1247" w:type="dxa"/>
            <w:tcBorders>
              <w:bottom w:val="nil"/>
            </w:tcBorders>
          </w:tcPr>
          <w:p w:rsidR="00212513" w:rsidRDefault="00212513">
            <w:pPr>
              <w:pStyle w:val="ConsPlusNormal"/>
              <w:jc w:val="center"/>
            </w:pPr>
            <w:r>
              <w:rPr>
                <w:noProof/>
                <w:position w:val="-3"/>
              </w:rPr>
              <w:drawing>
                <wp:inline distT="0" distB="0" distL="0" distR="0">
                  <wp:extent cx="167640" cy="188595"/>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167640" cy="188595"/>
                          </a:xfrm>
                          <a:prstGeom prst="rect">
                            <a:avLst/>
                          </a:prstGeom>
                          <a:noFill/>
                          <a:ln>
                            <a:noFill/>
                          </a:ln>
                        </pic:spPr>
                      </pic:pic>
                    </a:graphicData>
                  </a:graphic>
                </wp:inline>
              </w:drawing>
            </w:r>
          </w:p>
        </w:tc>
        <w:tc>
          <w:tcPr>
            <w:tcW w:w="975" w:type="dxa"/>
            <w:tcBorders>
              <w:bottom w:val="nil"/>
            </w:tcBorders>
          </w:tcPr>
          <w:p w:rsidR="00212513" w:rsidRDefault="00212513">
            <w:pPr>
              <w:pStyle w:val="ConsPlusNormal"/>
              <w:jc w:val="center"/>
            </w:pPr>
            <w:r>
              <w:t>186</w:t>
            </w:r>
          </w:p>
        </w:tc>
        <w:tc>
          <w:tcPr>
            <w:tcW w:w="975" w:type="dxa"/>
            <w:tcBorders>
              <w:bottom w:val="nil"/>
            </w:tcBorders>
          </w:tcPr>
          <w:p w:rsidR="00212513" w:rsidRDefault="00212513">
            <w:pPr>
              <w:pStyle w:val="ConsPlusNormal"/>
              <w:jc w:val="center"/>
            </w:pPr>
            <w:r>
              <w:t>233</w:t>
            </w:r>
          </w:p>
        </w:tc>
        <w:tc>
          <w:tcPr>
            <w:tcW w:w="975" w:type="dxa"/>
            <w:tcBorders>
              <w:bottom w:val="nil"/>
            </w:tcBorders>
          </w:tcPr>
          <w:p w:rsidR="00212513" w:rsidRDefault="00212513">
            <w:pPr>
              <w:pStyle w:val="ConsPlusNormal"/>
              <w:jc w:val="center"/>
            </w:pPr>
            <w:r>
              <w:t>186</w:t>
            </w:r>
          </w:p>
        </w:tc>
        <w:tc>
          <w:tcPr>
            <w:tcW w:w="975" w:type="dxa"/>
            <w:tcBorders>
              <w:bottom w:val="nil"/>
            </w:tcBorders>
          </w:tcPr>
          <w:p w:rsidR="00212513" w:rsidRDefault="00212513">
            <w:pPr>
              <w:pStyle w:val="ConsPlusNormal"/>
              <w:jc w:val="center"/>
            </w:pPr>
            <w:r>
              <w:t>42</w:t>
            </w:r>
          </w:p>
        </w:tc>
        <w:tc>
          <w:tcPr>
            <w:tcW w:w="975" w:type="dxa"/>
            <w:tcBorders>
              <w:bottom w:val="nil"/>
            </w:tcBorders>
          </w:tcPr>
          <w:p w:rsidR="00212513" w:rsidRDefault="00212513">
            <w:pPr>
              <w:pStyle w:val="ConsPlusNormal"/>
              <w:jc w:val="center"/>
            </w:pPr>
            <w:r>
              <w:t>186</w:t>
            </w:r>
          </w:p>
        </w:tc>
        <w:tc>
          <w:tcPr>
            <w:tcW w:w="975" w:type="dxa"/>
            <w:tcBorders>
              <w:bottom w:val="nil"/>
            </w:tcBorders>
          </w:tcPr>
          <w:p w:rsidR="00212513" w:rsidRDefault="00212513">
            <w:pPr>
              <w:pStyle w:val="ConsPlusNormal"/>
              <w:jc w:val="center"/>
            </w:pPr>
            <w:r>
              <w:t>66</w:t>
            </w:r>
          </w:p>
        </w:tc>
        <w:tc>
          <w:tcPr>
            <w:tcW w:w="975" w:type="dxa"/>
            <w:tcBorders>
              <w:bottom w:val="nil"/>
            </w:tcBorders>
          </w:tcPr>
          <w:p w:rsidR="00212513" w:rsidRDefault="00212513">
            <w:pPr>
              <w:pStyle w:val="ConsPlusNormal"/>
              <w:jc w:val="center"/>
            </w:pPr>
            <w:r>
              <w:t>186</w:t>
            </w:r>
          </w:p>
        </w:tc>
        <w:tc>
          <w:tcPr>
            <w:tcW w:w="977" w:type="dxa"/>
            <w:tcBorders>
              <w:bottom w:val="nil"/>
            </w:tcBorders>
          </w:tcPr>
          <w:p w:rsidR="00212513" w:rsidRDefault="00212513">
            <w:pPr>
              <w:pStyle w:val="ConsPlusNormal"/>
              <w:jc w:val="center"/>
            </w:pPr>
            <w:r>
              <w:t>93</w:t>
            </w:r>
          </w:p>
        </w:tc>
      </w:tr>
      <w:tr w:rsidR="00212513">
        <w:tblPrEx>
          <w:tblBorders>
            <w:insideH w:val="nil"/>
          </w:tblBorders>
        </w:tblPrEx>
        <w:tc>
          <w:tcPr>
            <w:tcW w:w="1247" w:type="dxa"/>
            <w:tcBorders>
              <w:top w:val="nil"/>
            </w:tcBorders>
          </w:tcPr>
          <w:p w:rsidR="00212513" w:rsidRDefault="00212513">
            <w:pPr>
              <w:pStyle w:val="ConsPlusNormal"/>
              <w:jc w:val="center"/>
            </w:pPr>
            <w:r>
              <w:rPr>
                <w:i/>
              </w:rPr>
              <w:t>а</w:t>
            </w:r>
            <w:r>
              <w:rPr>
                <w:vertAlign w:val="subscript"/>
              </w:rPr>
              <w:t>0</w:t>
            </w:r>
          </w:p>
        </w:tc>
        <w:tc>
          <w:tcPr>
            <w:tcW w:w="975" w:type="dxa"/>
            <w:tcBorders>
              <w:top w:val="nil"/>
            </w:tcBorders>
          </w:tcPr>
          <w:p w:rsidR="00212513" w:rsidRDefault="00212513">
            <w:pPr>
              <w:pStyle w:val="ConsPlusNormal"/>
              <w:jc w:val="center"/>
            </w:pPr>
            <w:r>
              <w:t>3</w:t>
            </w:r>
          </w:p>
        </w:tc>
        <w:tc>
          <w:tcPr>
            <w:tcW w:w="975" w:type="dxa"/>
            <w:tcBorders>
              <w:top w:val="nil"/>
            </w:tcBorders>
          </w:tcPr>
          <w:p w:rsidR="00212513" w:rsidRDefault="00212513">
            <w:pPr>
              <w:pStyle w:val="ConsPlusNormal"/>
              <w:jc w:val="center"/>
            </w:pPr>
            <w:r>
              <w:t>3</w:t>
            </w:r>
          </w:p>
        </w:tc>
        <w:tc>
          <w:tcPr>
            <w:tcW w:w="975" w:type="dxa"/>
            <w:tcBorders>
              <w:top w:val="nil"/>
            </w:tcBorders>
          </w:tcPr>
          <w:p w:rsidR="00212513" w:rsidRDefault="00212513">
            <w:pPr>
              <w:pStyle w:val="ConsPlusNormal"/>
              <w:jc w:val="center"/>
            </w:pPr>
            <w:r>
              <w:t>3</w:t>
            </w:r>
          </w:p>
        </w:tc>
        <w:tc>
          <w:tcPr>
            <w:tcW w:w="975" w:type="dxa"/>
            <w:tcBorders>
              <w:top w:val="nil"/>
            </w:tcBorders>
          </w:tcPr>
          <w:p w:rsidR="00212513" w:rsidRDefault="00212513">
            <w:pPr>
              <w:pStyle w:val="ConsPlusNormal"/>
              <w:jc w:val="center"/>
            </w:pPr>
            <w:r>
              <w:t>-0,3</w:t>
            </w:r>
          </w:p>
        </w:tc>
        <w:tc>
          <w:tcPr>
            <w:tcW w:w="975" w:type="dxa"/>
            <w:tcBorders>
              <w:top w:val="nil"/>
            </w:tcBorders>
          </w:tcPr>
          <w:p w:rsidR="00212513" w:rsidRDefault="00212513">
            <w:pPr>
              <w:pStyle w:val="ConsPlusNormal"/>
              <w:jc w:val="center"/>
            </w:pPr>
            <w:r>
              <w:t>3</w:t>
            </w:r>
          </w:p>
        </w:tc>
        <w:tc>
          <w:tcPr>
            <w:tcW w:w="975" w:type="dxa"/>
            <w:tcBorders>
              <w:top w:val="nil"/>
            </w:tcBorders>
          </w:tcPr>
          <w:p w:rsidR="00212513" w:rsidRDefault="00212513">
            <w:pPr>
              <w:pStyle w:val="ConsPlusNormal"/>
              <w:jc w:val="center"/>
            </w:pPr>
            <w:r>
              <w:t>-0,15</w:t>
            </w:r>
          </w:p>
        </w:tc>
        <w:tc>
          <w:tcPr>
            <w:tcW w:w="975" w:type="dxa"/>
            <w:tcBorders>
              <w:top w:val="nil"/>
            </w:tcBorders>
          </w:tcPr>
          <w:p w:rsidR="00212513" w:rsidRDefault="00212513">
            <w:pPr>
              <w:pStyle w:val="ConsPlusNormal"/>
              <w:jc w:val="center"/>
            </w:pPr>
            <w:r>
              <w:t>3</w:t>
            </w:r>
          </w:p>
        </w:tc>
        <w:tc>
          <w:tcPr>
            <w:tcW w:w="977" w:type="dxa"/>
            <w:tcBorders>
              <w:top w:val="nil"/>
            </w:tcBorders>
          </w:tcPr>
          <w:p w:rsidR="00212513" w:rsidRDefault="00212513">
            <w:pPr>
              <w:pStyle w:val="ConsPlusNormal"/>
              <w:jc w:val="center"/>
            </w:pPr>
            <w:r>
              <w:t>0</w:t>
            </w:r>
          </w:p>
        </w:tc>
      </w:tr>
      <w:tr w:rsidR="00212513">
        <w:tc>
          <w:tcPr>
            <w:tcW w:w="9049" w:type="dxa"/>
            <w:gridSpan w:val="9"/>
          </w:tcPr>
          <w:p w:rsidR="00212513" w:rsidRDefault="00212513">
            <w:pPr>
              <w:pStyle w:val="ConsPlusNormal"/>
              <w:ind w:firstLine="283"/>
              <w:jc w:val="both"/>
            </w:pPr>
            <w:bookmarkStart w:id="68" w:name="P1368"/>
            <w:bookmarkEnd w:id="68"/>
            <w:r>
              <w:t>&lt;*&gt; В случаях, когда высота засыпки менее 1 м при нагрузках Н11 и Н14, величину давления на рассматриваемую часть трубы следует определять с учетом распределения давления в грунте под углом к вертикали arctg1/2.</w:t>
            </w:r>
          </w:p>
        </w:tc>
      </w:tr>
    </w:tbl>
    <w:p w:rsidR="00212513" w:rsidRDefault="00212513">
      <w:pPr>
        <w:pStyle w:val="ConsPlusNormal"/>
        <w:ind w:firstLine="540"/>
        <w:jc w:val="both"/>
      </w:pPr>
    </w:p>
    <w:p w:rsidR="00212513" w:rsidRDefault="00212513">
      <w:pPr>
        <w:pStyle w:val="ConsPlusNormal"/>
        <w:ind w:firstLine="540"/>
        <w:jc w:val="both"/>
      </w:pPr>
      <w:bookmarkStart w:id="69" w:name="P1370"/>
      <w:bookmarkEnd w:id="69"/>
      <w:r>
        <w:t xml:space="preserve">6.18 Нормативную горизонтальную поперечную нагрузку от центробежной силы для мостов, расположенных на кривых, следует принимать с каждого пути или полосы движения в виде равномерно распределенной нагрузки интенсивностью </w:t>
      </w:r>
      <w:r>
        <w:rPr>
          <w:noProof/>
          <w:position w:val="-8"/>
        </w:rPr>
        <w:drawing>
          <wp:inline distT="0" distB="0" distL="0" distR="0">
            <wp:extent cx="188595" cy="251460"/>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или сосредоточенной одиночной силы </w:t>
      </w:r>
      <w:r>
        <w:rPr>
          <w:noProof/>
          <w:position w:val="-8"/>
        </w:rPr>
        <w:drawing>
          <wp:inline distT="0" distB="0" distL="0" distR="0">
            <wp:extent cx="189230" cy="250825"/>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89230" cy="250825"/>
                    </a:xfrm>
                    <a:prstGeom prst="rect">
                      <a:avLst/>
                    </a:prstGeom>
                    <a:noFill/>
                    <a:ln>
                      <a:noFill/>
                    </a:ln>
                  </pic:spPr>
                </pic:pic>
              </a:graphicData>
            </a:graphic>
          </wp:inline>
        </w:drawing>
      </w:r>
      <w:r>
        <w:t xml:space="preserve">. Значения </w:t>
      </w:r>
      <w:r>
        <w:rPr>
          <w:noProof/>
          <w:position w:val="-8"/>
        </w:rPr>
        <w:drawing>
          <wp:inline distT="0" distB="0" distL="0" distR="0">
            <wp:extent cx="188595" cy="251460"/>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и </w:t>
      </w:r>
      <w:r>
        <w:rPr>
          <w:noProof/>
          <w:position w:val="-8"/>
        </w:rPr>
        <w:drawing>
          <wp:inline distT="0" distB="0" distL="0" distR="0">
            <wp:extent cx="189230" cy="250825"/>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89230" cy="250825"/>
                    </a:xfrm>
                    <a:prstGeom prst="rect">
                      <a:avLst/>
                    </a:prstGeom>
                    <a:noFill/>
                    <a:ln>
                      <a:noFill/>
                    </a:ln>
                  </pic:spPr>
                </pic:pic>
              </a:graphicData>
            </a:graphic>
          </wp:inline>
        </w:drawing>
      </w:r>
      <w:r>
        <w:t xml:space="preserve"> необходимо принимать:</w:t>
      </w:r>
    </w:p>
    <w:p w:rsidR="00212513" w:rsidRDefault="00212513">
      <w:pPr>
        <w:pStyle w:val="ConsPlusNormal"/>
        <w:spacing w:before="220"/>
        <w:ind w:firstLine="540"/>
        <w:jc w:val="both"/>
      </w:pPr>
      <w:r>
        <w:t>а) от подвижного состава на мостах железных дорог общей сети:</w:t>
      </w:r>
    </w:p>
    <w:p w:rsidR="00212513" w:rsidRDefault="00212513">
      <w:pPr>
        <w:pStyle w:val="ConsPlusNormal"/>
        <w:ind w:firstLine="540"/>
        <w:jc w:val="both"/>
      </w:pPr>
    </w:p>
    <w:p w:rsidR="00212513" w:rsidRDefault="00212513">
      <w:pPr>
        <w:pStyle w:val="ConsPlusNormal"/>
        <w:jc w:val="center"/>
      </w:pPr>
      <w:r>
        <w:t xml:space="preserve">под нагрузку С14 - </w:t>
      </w:r>
      <w:r>
        <w:rPr>
          <w:noProof/>
          <w:position w:val="-23"/>
        </w:rPr>
        <w:drawing>
          <wp:inline distT="0" distB="0" distL="0" distR="0">
            <wp:extent cx="733425" cy="44196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733425" cy="441960"/>
                    </a:xfrm>
                    <a:prstGeom prst="rect">
                      <a:avLst/>
                    </a:prstGeom>
                    <a:noFill/>
                    <a:ln>
                      <a:noFill/>
                    </a:ln>
                  </pic:spPr>
                </pic:pic>
              </a:graphicData>
            </a:graphic>
          </wp:inline>
        </w:drawing>
      </w:r>
      <w:r>
        <w:t xml:space="preserve">, но не более </w:t>
      </w:r>
      <w:r>
        <w:rPr>
          <w:noProof/>
          <w:position w:val="-5"/>
        </w:rPr>
        <w:drawing>
          <wp:inline distT="0" distB="0" distL="0" distR="0">
            <wp:extent cx="441960" cy="209550"/>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441960" cy="209550"/>
                    </a:xfrm>
                    <a:prstGeom prst="rect">
                      <a:avLst/>
                    </a:prstGeom>
                    <a:noFill/>
                    <a:ln>
                      <a:noFill/>
                    </a:ln>
                  </pic:spPr>
                </pic:pic>
              </a:graphicData>
            </a:graphic>
          </wp:inline>
        </w:drawing>
      </w:r>
      <w:r>
        <w:t>; (6.10)</w:t>
      </w:r>
    </w:p>
    <w:p w:rsidR="00212513" w:rsidRDefault="00212513">
      <w:pPr>
        <w:pStyle w:val="ConsPlusNormal"/>
        <w:jc w:val="center"/>
      </w:pPr>
    </w:p>
    <w:p w:rsidR="00212513" w:rsidRDefault="00212513">
      <w:pPr>
        <w:pStyle w:val="ConsPlusNormal"/>
        <w:jc w:val="center"/>
      </w:pPr>
      <w:r>
        <w:t xml:space="preserve">под нагрузку С11 - </w:t>
      </w:r>
      <w:r>
        <w:rPr>
          <w:noProof/>
          <w:position w:val="-23"/>
        </w:rPr>
        <w:drawing>
          <wp:inline distT="0" distB="0" distL="0" distR="0">
            <wp:extent cx="669290" cy="441960"/>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669290" cy="441960"/>
                    </a:xfrm>
                    <a:prstGeom prst="rect">
                      <a:avLst/>
                    </a:prstGeom>
                    <a:noFill/>
                    <a:ln>
                      <a:noFill/>
                    </a:ln>
                  </pic:spPr>
                </pic:pic>
              </a:graphicData>
            </a:graphic>
          </wp:inline>
        </w:drawing>
      </w:r>
      <w:r>
        <w:t xml:space="preserve">, но не более </w:t>
      </w:r>
      <w:r>
        <w:rPr>
          <w:noProof/>
          <w:position w:val="-5"/>
        </w:rPr>
        <w:drawing>
          <wp:inline distT="0" distB="0" distL="0" distR="0">
            <wp:extent cx="441960" cy="20955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441960" cy="209550"/>
                    </a:xfrm>
                    <a:prstGeom prst="rect">
                      <a:avLst/>
                    </a:prstGeom>
                    <a:noFill/>
                    <a:ln>
                      <a:noFill/>
                    </a:ln>
                  </pic:spPr>
                </pic:pic>
              </a:graphicData>
            </a:graphic>
          </wp:inline>
        </w:drawing>
      </w:r>
      <w:r>
        <w:t>, (6.11)</w:t>
      </w:r>
    </w:p>
    <w:p w:rsidR="00212513" w:rsidRDefault="00212513">
      <w:pPr>
        <w:pStyle w:val="ConsPlusNormal"/>
        <w:ind w:firstLine="540"/>
        <w:jc w:val="both"/>
      </w:pPr>
    </w:p>
    <w:p w:rsidR="00212513" w:rsidRDefault="00212513">
      <w:pPr>
        <w:pStyle w:val="ConsPlusNormal"/>
        <w:ind w:firstLine="540"/>
        <w:jc w:val="both"/>
      </w:pPr>
      <w:r>
        <w:t xml:space="preserve">где </w:t>
      </w:r>
      <w:r>
        <w:rPr>
          <w:i/>
        </w:rPr>
        <w:t>r</w:t>
      </w:r>
      <w:r>
        <w:t xml:space="preserve"> - радиус кривой, м;</w:t>
      </w:r>
    </w:p>
    <w:p w:rsidR="00212513" w:rsidRDefault="00212513">
      <w:pPr>
        <w:pStyle w:val="ConsPlusNormal"/>
        <w:spacing w:before="220"/>
        <w:ind w:firstLine="540"/>
        <w:jc w:val="both"/>
      </w:pPr>
      <w:r>
        <w:rPr>
          <w:noProof/>
        </w:rPr>
        <w:drawing>
          <wp:inline distT="0" distB="0" distL="0" distR="0">
            <wp:extent cx="146685" cy="14605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xml:space="preserve"> - вес подвижного состава, кН/м пути, принимаемый в соответствии с </w:t>
      </w:r>
      <w:hyperlink w:anchor="P1101">
        <w:r>
          <w:rPr>
            <w:color w:val="0000FF"/>
          </w:rPr>
          <w:t>6.11</w:t>
        </w:r>
      </w:hyperlink>
      <w:r>
        <w:t>;</w:t>
      </w:r>
    </w:p>
    <w:p w:rsidR="00212513" w:rsidRDefault="00212513">
      <w:pPr>
        <w:pStyle w:val="ConsPlusNormal"/>
        <w:spacing w:before="220"/>
        <w:ind w:firstLine="540"/>
        <w:jc w:val="both"/>
      </w:pPr>
      <w:r>
        <w:t>б) от подвижного состава на мостах железных дорог промышленных предприятий по формуле</w:t>
      </w:r>
    </w:p>
    <w:p w:rsidR="00212513" w:rsidRDefault="00212513">
      <w:pPr>
        <w:pStyle w:val="ConsPlusNormal"/>
        <w:ind w:firstLine="540"/>
        <w:jc w:val="both"/>
      </w:pPr>
    </w:p>
    <w:p w:rsidR="00212513" w:rsidRDefault="00212513">
      <w:pPr>
        <w:pStyle w:val="ConsPlusNormal"/>
        <w:jc w:val="center"/>
      </w:pPr>
      <w:r>
        <w:rPr>
          <w:noProof/>
          <w:position w:val="-25"/>
        </w:rPr>
        <w:drawing>
          <wp:inline distT="0" distB="0" distL="0" distR="0">
            <wp:extent cx="1068705" cy="461010"/>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068705" cy="461010"/>
                    </a:xfrm>
                    <a:prstGeom prst="rect">
                      <a:avLst/>
                    </a:prstGeom>
                    <a:noFill/>
                    <a:ln>
                      <a:noFill/>
                    </a:ln>
                  </pic:spPr>
                </pic:pic>
              </a:graphicData>
            </a:graphic>
          </wp:inline>
        </w:drawing>
      </w:r>
      <w:r>
        <w:t>, (6.12)</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8"/>
        </w:rPr>
        <w:drawing>
          <wp:inline distT="0" distB="0" distL="0" distR="0">
            <wp:extent cx="156845" cy="251460"/>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 наибольшая скорость, установленная для движения поездов на кривых данного радиуса, км/ч;</w:t>
      </w:r>
    </w:p>
    <w:p w:rsidR="00212513" w:rsidRDefault="00212513">
      <w:pPr>
        <w:pStyle w:val="ConsPlusNormal"/>
        <w:spacing w:before="220"/>
        <w:ind w:firstLine="540"/>
        <w:jc w:val="both"/>
      </w:pPr>
      <w:r>
        <w:t>в) от поездов метрополитена и трамвая - по формуле</w:t>
      </w:r>
    </w:p>
    <w:p w:rsidR="00212513" w:rsidRDefault="00212513">
      <w:pPr>
        <w:pStyle w:val="ConsPlusNormal"/>
        <w:ind w:firstLine="540"/>
        <w:jc w:val="both"/>
      </w:pPr>
    </w:p>
    <w:p w:rsidR="00212513" w:rsidRDefault="00212513">
      <w:pPr>
        <w:pStyle w:val="ConsPlusNormal"/>
        <w:jc w:val="center"/>
      </w:pPr>
      <w:r>
        <w:rPr>
          <w:noProof/>
          <w:position w:val="-25"/>
        </w:rPr>
        <w:drawing>
          <wp:inline distT="0" distB="0" distL="0" distR="0">
            <wp:extent cx="662940" cy="461010"/>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662940" cy="461010"/>
                    </a:xfrm>
                    <a:prstGeom prst="rect">
                      <a:avLst/>
                    </a:prstGeom>
                    <a:noFill/>
                    <a:ln>
                      <a:noFill/>
                    </a:ln>
                  </pic:spPr>
                </pic:pic>
              </a:graphicData>
            </a:graphic>
          </wp:inline>
        </w:drawing>
      </w:r>
      <w:r>
        <w:t>, (6.13)</w:t>
      </w:r>
    </w:p>
    <w:p w:rsidR="00212513" w:rsidRDefault="00212513">
      <w:pPr>
        <w:pStyle w:val="ConsPlusNormal"/>
        <w:ind w:firstLine="540"/>
        <w:jc w:val="both"/>
      </w:pPr>
    </w:p>
    <w:p w:rsidR="00212513" w:rsidRDefault="00212513">
      <w:pPr>
        <w:pStyle w:val="ConsPlusNormal"/>
        <w:ind w:firstLine="540"/>
        <w:jc w:val="both"/>
      </w:pPr>
      <w:r>
        <w:t xml:space="preserve">где </w:t>
      </w:r>
      <w:r>
        <w:rPr>
          <w:i/>
        </w:rPr>
        <w:t>u</w:t>
      </w:r>
      <w:r>
        <w:t xml:space="preserve"> - величина, равная:</w:t>
      </w:r>
    </w:p>
    <w:p w:rsidR="00212513" w:rsidRDefault="00212513">
      <w:pPr>
        <w:pStyle w:val="ConsPlusNormal"/>
        <w:spacing w:before="220"/>
        <w:ind w:firstLine="540"/>
        <w:jc w:val="both"/>
      </w:pPr>
      <w:r>
        <w:t>для поездов метрополитена - 0,241 (кН·ч</w:t>
      </w:r>
      <w:r>
        <w:rPr>
          <w:vertAlign w:val="superscript"/>
        </w:rPr>
        <w:t>2</w:t>
      </w:r>
      <w:r>
        <w:t>/км</w:t>
      </w:r>
      <w:r>
        <w:rPr>
          <w:vertAlign w:val="superscript"/>
        </w:rPr>
        <w:t>2</w:t>
      </w:r>
      <w:r>
        <w:t>);</w:t>
      </w:r>
    </w:p>
    <w:p w:rsidR="00212513" w:rsidRDefault="00212513">
      <w:pPr>
        <w:pStyle w:val="ConsPlusNormal"/>
        <w:spacing w:before="220"/>
        <w:ind w:firstLine="540"/>
        <w:jc w:val="both"/>
      </w:pPr>
      <w:r>
        <w:t>для поездов трамвая - 0,143 (кН·ч</w:t>
      </w:r>
      <w:r>
        <w:rPr>
          <w:vertAlign w:val="superscript"/>
        </w:rPr>
        <w:t>2</w:t>
      </w:r>
      <w:r>
        <w:t>/км</w:t>
      </w:r>
      <w:r>
        <w:rPr>
          <w:vertAlign w:val="superscript"/>
        </w:rPr>
        <w:t>2</w:t>
      </w:r>
      <w:r>
        <w:t>);</w:t>
      </w:r>
    </w:p>
    <w:p w:rsidR="00212513" w:rsidRDefault="00212513">
      <w:pPr>
        <w:pStyle w:val="ConsPlusNormal"/>
        <w:spacing w:before="220"/>
        <w:ind w:firstLine="540"/>
        <w:jc w:val="both"/>
      </w:pPr>
      <w:r>
        <w:t>г) от автомобильной нагрузки АК для всех мостов при радиусах кривых:</w:t>
      </w:r>
    </w:p>
    <w:p w:rsidR="00212513" w:rsidRDefault="00212513">
      <w:pPr>
        <w:pStyle w:val="ConsPlusNormal"/>
        <w:spacing w:before="220"/>
        <w:ind w:firstLine="540"/>
        <w:jc w:val="both"/>
      </w:pPr>
      <w:r>
        <w:t>250 м и менее - по формуле</w:t>
      </w:r>
    </w:p>
    <w:p w:rsidR="00212513" w:rsidRDefault="00212513">
      <w:pPr>
        <w:pStyle w:val="ConsPlusNormal"/>
        <w:ind w:firstLine="540"/>
        <w:jc w:val="both"/>
      </w:pPr>
    </w:p>
    <w:p w:rsidR="00212513" w:rsidRDefault="00212513">
      <w:pPr>
        <w:pStyle w:val="ConsPlusNormal"/>
        <w:jc w:val="center"/>
      </w:pPr>
      <w:r>
        <w:rPr>
          <w:noProof/>
          <w:position w:val="-23"/>
        </w:rPr>
        <w:drawing>
          <wp:inline distT="0" distB="0" distL="0" distR="0">
            <wp:extent cx="670560" cy="44196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670560" cy="441960"/>
                    </a:xfrm>
                    <a:prstGeom prst="rect">
                      <a:avLst/>
                    </a:prstGeom>
                    <a:noFill/>
                    <a:ln>
                      <a:noFill/>
                    </a:ln>
                  </pic:spPr>
                </pic:pic>
              </a:graphicData>
            </a:graphic>
          </wp:inline>
        </w:drawing>
      </w:r>
      <w:r>
        <w:t>; (6.14)</w:t>
      </w:r>
    </w:p>
    <w:p w:rsidR="00212513" w:rsidRDefault="00212513">
      <w:pPr>
        <w:pStyle w:val="ConsPlusNormal"/>
        <w:ind w:firstLine="540"/>
        <w:jc w:val="both"/>
      </w:pPr>
    </w:p>
    <w:p w:rsidR="00212513" w:rsidRDefault="00212513">
      <w:pPr>
        <w:pStyle w:val="ConsPlusNormal"/>
        <w:ind w:firstLine="540"/>
        <w:jc w:val="both"/>
      </w:pPr>
      <w:r>
        <w:t>свыше 250 до 600 м - по формуле</w:t>
      </w:r>
    </w:p>
    <w:p w:rsidR="00212513" w:rsidRDefault="00212513">
      <w:pPr>
        <w:pStyle w:val="ConsPlusNormal"/>
        <w:ind w:firstLine="540"/>
        <w:jc w:val="both"/>
      </w:pPr>
    </w:p>
    <w:p w:rsidR="00212513" w:rsidRDefault="00212513">
      <w:pPr>
        <w:pStyle w:val="ConsPlusNormal"/>
        <w:jc w:val="center"/>
      </w:pPr>
      <w:r>
        <w:rPr>
          <w:noProof/>
          <w:position w:val="-23"/>
        </w:rPr>
        <w:drawing>
          <wp:inline distT="0" distB="0" distL="0" distR="0">
            <wp:extent cx="733425" cy="441960"/>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733425" cy="441960"/>
                    </a:xfrm>
                    <a:prstGeom prst="rect">
                      <a:avLst/>
                    </a:prstGeom>
                    <a:noFill/>
                    <a:ln>
                      <a:noFill/>
                    </a:ln>
                  </pic:spPr>
                </pic:pic>
              </a:graphicData>
            </a:graphic>
          </wp:inline>
        </w:drawing>
      </w:r>
      <w:r>
        <w:t>, (6.15)</w:t>
      </w:r>
    </w:p>
    <w:p w:rsidR="00212513" w:rsidRDefault="00212513">
      <w:pPr>
        <w:pStyle w:val="ConsPlusNormal"/>
        <w:ind w:firstLine="540"/>
        <w:jc w:val="both"/>
      </w:pPr>
    </w:p>
    <w:p w:rsidR="00212513" w:rsidRDefault="00212513">
      <w:pPr>
        <w:pStyle w:val="ConsPlusNormal"/>
        <w:ind w:firstLine="540"/>
        <w:jc w:val="both"/>
      </w:pPr>
      <w:r>
        <w:t xml:space="preserve">где </w:t>
      </w:r>
      <w:r>
        <w:rPr>
          <w:i/>
        </w:rPr>
        <w:t>P</w:t>
      </w:r>
      <w:r>
        <w:t xml:space="preserve"> - сила, равная 4,5 кН;</w:t>
      </w:r>
    </w:p>
    <w:p w:rsidR="00212513" w:rsidRDefault="00212513">
      <w:pPr>
        <w:pStyle w:val="ConsPlusNormal"/>
        <w:spacing w:before="220"/>
        <w:ind w:firstLine="540"/>
        <w:jc w:val="both"/>
      </w:pPr>
      <w:r>
        <w:rPr>
          <w:i/>
        </w:rPr>
        <w:t>M</w:t>
      </w:r>
      <w:r>
        <w:t xml:space="preserve"> - момент, равный 1100 кН·м.</w:t>
      </w:r>
    </w:p>
    <w:p w:rsidR="00212513" w:rsidRDefault="00212513">
      <w:pPr>
        <w:pStyle w:val="ConsPlusNormal"/>
        <w:spacing w:before="220"/>
        <w:ind w:firstLine="540"/>
        <w:jc w:val="both"/>
      </w:pPr>
      <w:r>
        <w:t xml:space="preserve">При радиусах более 600 м </w:t>
      </w:r>
      <w:r>
        <w:rPr>
          <w:noProof/>
          <w:position w:val="-8"/>
        </w:rPr>
        <w:drawing>
          <wp:inline distT="0" distB="0" distL="0" distR="0">
            <wp:extent cx="188595" cy="251460"/>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не учитывают; во всех случаях величина </w:t>
      </w:r>
      <w:r>
        <w:rPr>
          <w:noProof/>
          <w:position w:val="-8"/>
        </w:rPr>
        <w:drawing>
          <wp:inline distT="0" distB="0" distL="0" distR="0">
            <wp:extent cx="188595" cy="251460"/>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должна быть не менее </w:t>
      </w:r>
      <w:r>
        <w:rPr>
          <w:noProof/>
          <w:position w:val="-23"/>
        </w:rPr>
        <w:drawing>
          <wp:inline distT="0" distB="0" distL="0" distR="0">
            <wp:extent cx="899160" cy="441960"/>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899160" cy="441960"/>
                    </a:xfrm>
                    <a:prstGeom prst="rect">
                      <a:avLst/>
                    </a:prstGeom>
                    <a:noFill/>
                    <a:ln>
                      <a:noFill/>
                    </a:ln>
                  </pic:spPr>
                </pic:pic>
              </a:graphicData>
            </a:graphic>
          </wp:inline>
        </w:drawing>
      </w:r>
      <w:r>
        <w:t xml:space="preserve"> и не более 0,5К (кН/м);</w:t>
      </w:r>
    </w:p>
    <w:p w:rsidR="00212513" w:rsidRDefault="00212513">
      <w:pPr>
        <w:pStyle w:val="ConsPlusNormal"/>
        <w:spacing w:before="220"/>
        <w:ind w:firstLine="540"/>
        <w:jc w:val="both"/>
      </w:pPr>
      <w:r>
        <w:lastRenderedPageBreak/>
        <w:t>д) от нагрузки АБ для мостов на дорогах промышленных предприятий при радиусах кривых 400 м и менее (при расположении мостов на кривых большего радиуса нагрузку от центробежной силы в расчетах не учитывают) - по формуле</w:t>
      </w:r>
    </w:p>
    <w:p w:rsidR="00212513" w:rsidRDefault="00212513">
      <w:pPr>
        <w:pStyle w:val="ConsPlusNormal"/>
        <w:ind w:firstLine="540"/>
        <w:jc w:val="both"/>
      </w:pPr>
    </w:p>
    <w:p w:rsidR="00212513" w:rsidRDefault="00212513">
      <w:pPr>
        <w:pStyle w:val="ConsPlusNormal"/>
        <w:jc w:val="center"/>
      </w:pPr>
      <w:r>
        <w:rPr>
          <w:noProof/>
          <w:position w:val="-23"/>
        </w:rPr>
        <w:drawing>
          <wp:inline distT="0" distB="0" distL="0" distR="0">
            <wp:extent cx="690880" cy="441960"/>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690880" cy="441960"/>
                    </a:xfrm>
                    <a:prstGeom prst="rect">
                      <a:avLst/>
                    </a:prstGeom>
                    <a:noFill/>
                    <a:ln>
                      <a:noFill/>
                    </a:ln>
                  </pic:spPr>
                </pic:pic>
              </a:graphicData>
            </a:graphic>
          </wp:inline>
        </w:drawing>
      </w:r>
      <w:r>
        <w:t>, (6.16)</w:t>
      </w:r>
    </w:p>
    <w:p w:rsidR="00212513" w:rsidRDefault="00212513">
      <w:pPr>
        <w:pStyle w:val="ConsPlusNormal"/>
        <w:ind w:firstLine="540"/>
        <w:jc w:val="both"/>
      </w:pPr>
    </w:p>
    <w:p w:rsidR="00212513" w:rsidRDefault="00212513">
      <w:pPr>
        <w:pStyle w:val="ConsPlusNormal"/>
        <w:ind w:firstLine="540"/>
        <w:jc w:val="both"/>
      </w:pPr>
      <w:r>
        <w:t xml:space="preserve">где </w:t>
      </w:r>
      <w:r>
        <w:rPr>
          <w:i/>
        </w:rPr>
        <w:t>G</w:t>
      </w:r>
      <w:r>
        <w:t xml:space="preserve"> - вес одного автомобиля (сумма нагрузок на переднюю и заднюю оси), определяемый по </w:t>
      </w:r>
      <w:hyperlink w:anchor="P1188">
        <w:r>
          <w:rPr>
            <w:color w:val="0000FF"/>
          </w:rPr>
          <w:t>таблице 6.6</w:t>
        </w:r>
      </w:hyperlink>
      <w:r>
        <w:t>.</w:t>
      </w:r>
    </w:p>
    <w:p w:rsidR="00212513" w:rsidRDefault="00212513">
      <w:pPr>
        <w:pStyle w:val="ConsPlusNormal"/>
        <w:spacing w:before="220"/>
        <w:ind w:firstLine="540"/>
        <w:jc w:val="both"/>
      </w:pPr>
      <w:r>
        <w:t xml:space="preserve">При многопутном (многополосном) движении нагрузки </w:t>
      </w:r>
      <w:r>
        <w:rPr>
          <w:noProof/>
          <w:position w:val="-8"/>
        </w:rPr>
        <w:drawing>
          <wp:inline distT="0" distB="0" distL="0" distR="0">
            <wp:extent cx="185420" cy="25146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и </w:t>
      </w:r>
      <w:r>
        <w:rPr>
          <w:i/>
        </w:rPr>
        <w:t>F</w:t>
      </w:r>
      <w:r>
        <w:rPr>
          <w:i/>
          <w:vertAlign w:val="subscript"/>
        </w:rPr>
        <w:t>h</w:t>
      </w:r>
      <w:r>
        <w:t xml:space="preserve"> учитывают с коэффициентами полосности в соответствии с </w:t>
      </w:r>
      <w:hyperlink w:anchor="P1286">
        <w:r>
          <w:rPr>
            <w:color w:val="0000FF"/>
          </w:rPr>
          <w:t>6.14</w:t>
        </w:r>
      </w:hyperlink>
      <w:r>
        <w:t>.</w:t>
      </w:r>
    </w:p>
    <w:p w:rsidR="00212513" w:rsidRDefault="00212513">
      <w:pPr>
        <w:pStyle w:val="ConsPlusNormal"/>
        <w:jc w:val="both"/>
      </w:pPr>
      <w:r>
        <w:t xml:space="preserve">(в ред. </w:t>
      </w:r>
      <w:hyperlink r:id="rId426">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 xml:space="preserve">Высоту приложения нагрузок </w:t>
      </w:r>
      <w:r>
        <w:rPr>
          <w:noProof/>
          <w:position w:val="-8"/>
        </w:rPr>
        <w:drawing>
          <wp:inline distT="0" distB="0" distL="0" distR="0">
            <wp:extent cx="188595" cy="251460"/>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и </w:t>
      </w:r>
      <w:r>
        <w:rPr>
          <w:noProof/>
          <w:position w:val="-8"/>
        </w:rPr>
        <w:drawing>
          <wp:inline distT="0" distB="0" distL="0" distR="0">
            <wp:extent cx="189230" cy="250825"/>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89230" cy="250825"/>
                    </a:xfrm>
                    <a:prstGeom prst="rect">
                      <a:avLst/>
                    </a:prstGeom>
                    <a:noFill/>
                    <a:ln>
                      <a:noFill/>
                    </a:ln>
                  </pic:spPr>
                </pic:pic>
              </a:graphicData>
            </a:graphic>
          </wp:inline>
        </w:drawing>
      </w:r>
      <w:r>
        <w:t xml:space="preserve"> (от головки рельса или верха покрытия проезжей части) следует принимать, м:</w:t>
      </w:r>
    </w:p>
    <w:p w:rsidR="00212513" w:rsidRDefault="00212513">
      <w:pPr>
        <w:pStyle w:val="ConsPlusNormal"/>
        <w:spacing w:before="220"/>
        <w:ind w:firstLine="540"/>
        <w:jc w:val="both"/>
      </w:pPr>
      <w:r>
        <w:t>2,2 - для подвижного состава железных дорог;</w:t>
      </w:r>
    </w:p>
    <w:p w:rsidR="00212513" w:rsidRDefault="00212513">
      <w:pPr>
        <w:pStyle w:val="ConsPlusNormal"/>
        <w:spacing w:before="220"/>
        <w:ind w:firstLine="540"/>
        <w:jc w:val="both"/>
      </w:pPr>
      <w:r>
        <w:t>2,0 - для вагонов метрополитена и трамвая;</w:t>
      </w:r>
    </w:p>
    <w:p w:rsidR="00212513" w:rsidRDefault="00212513">
      <w:pPr>
        <w:pStyle w:val="ConsPlusNormal"/>
        <w:spacing w:before="220"/>
        <w:ind w:firstLine="540"/>
        <w:jc w:val="both"/>
      </w:pPr>
      <w:r>
        <w:t>1,5 - для транспортных средств нагрузки АК;</w:t>
      </w:r>
    </w:p>
    <w:p w:rsidR="00212513" w:rsidRDefault="00212513">
      <w:pPr>
        <w:pStyle w:val="ConsPlusNormal"/>
        <w:spacing w:before="220"/>
        <w:ind w:firstLine="540"/>
        <w:jc w:val="both"/>
      </w:pPr>
      <w:r>
        <w:t>2,2; 2,5 и 3,1 - для нагрузок соответственно АБ-51, АБ-74 и АБ-151.</w:t>
      </w:r>
    </w:p>
    <w:p w:rsidR="00212513" w:rsidRDefault="00212513">
      <w:pPr>
        <w:pStyle w:val="ConsPlusNormal"/>
        <w:spacing w:before="220"/>
        <w:ind w:firstLine="540"/>
        <w:jc w:val="both"/>
      </w:pPr>
      <w:r>
        <w:t>Примечание - Центробежные силы от нагрузки Н14 при расчете мостов учитывать не следует.</w:t>
      </w:r>
    </w:p>
    <w:p w:rsidR="00212513" w:rsidRDefault="00212513">
      <w:pPr>
        <w:pStyle w:val="ConsPlusNormal"/>
        <w:ind w:firstLine="540"/>
        <w:jc w:val="both"/>
      </w:pPr>
    </w:p>
    <w:p w:rsidR="00212513" w:rsidRDefault="00212513">
      <w:pPr>
        <w:pStyle w:val="ConsPlusNormal"/>
        <w:ind w:firstLine="540"/>
        <w:jc w:val="both"/>
      </w:pPr>
      <w:r>
        <w:t>6.19 Нормативную горизонтальную поперечную нагрузку от ударов подвижного состава независимо от числа путей или полос движения на мосту следует принимать:</w:t>
      </w:r>
    </w:p>
    <w:p w:rsidR="00212513" w:rsidRDefault="00212513">
      <w:pPr>
        <w:pStyle w:val="ConsPlusNormal"/>
        <w:spacing w:before="220"/>
        <w:ind w:firstLine="540"/>
        <w:jc w:val="both"/>
      </w:pPr>
      <w:r>
        <w:t>а) от подвижного состава рельсовых дорог - в виде равномерно распределенной нагрузки, приложенной в уровне верха головки рельса и равной:</w:t>
      </w:r>
    </w:p>
    <w:p w:rsidR="00212513" w:rsidRDefault="00212513">
      <w:pPr>
        <w:pStyle w:val="ConsPlusNormal"/>
        <w:spacing w:before="220"/>
        <w:ind w:firstLine="540"/>
        <w:jc w:val="both"/>
      </w:pPr>
      <w:r>
        <w:t>для поездов железных дорог - 0,59К (кН/м);</w:t>
      </w:r>
    </w:p>
    <w:p w:rsidR="00212513" w:rsidRDefault="00212513">
      <w:pPr>
        <w:pStyle w:val="ConsPlusNormal"/>
        <w:spacing w:before="220"/>
        <w:ind w:firstLine="540"/>
        <w:jc w:val="both"/>
      </w:pPr>
      <w:r>
        <w:t>для поездов метрополитена - 1,96 (кН/м);</w:t>
      </w:r>
    </w:p>
    <w:p w:rsidR="00212513" w:rsidRDefault="00212513">
      <w:pPr>
        <w:pStyle w:val="ConsPlusNormal"/>
        <w:spacing w:before="220"/>
        <w:ind w:firstLine="540"/>
        <w:jc w:val="both"/>
      </w:pPr>
      <w:r>
        <w:t>для поездов трамвая - 1,47 (кН/м),</w:t>
      </w:r>
    </w:p>
    <w:p w:rsidR="00212513" w:rsidRDefault="00212513">
      <w:pPr>
        <w:pStyle w:val="ConsPlusNormal"/>
        <w:spacing w:before="220"/>
        <w:ind w:firstLine="540"/>
        <w:jc w:val="both"/>
      </w:pPr>
      <w:r>
        <w:t>где К - класс нагрузки СК;</w:t>
      </w:r>
    </w:p>
    <w:p w:rsidR="00212513" w:rsidRDefault="00212513">
      <w:pPr>
        <w:pStyle w:val="ConsPlusNormal"/>
        <w:spacing w:before="220"/>
        <w:ind w:firstLine="540"/>
        <w:jc w:val="both"/>
      </w:pPr>
      <w:r>
        <w:t>б) наибольшее из воздействий от автомобильной нагрузки АК - в виде равномерно распределенной нагрузки, равной 0,39К (кН/м), или сосредоточенной силы, равной 5,9К (кН), приложенной в уровне верха покрытия проезжей части, где К - класс нагрузки АК;</w:t>
      </w:r>
    </w:p>
    <w:p w:rsidR="00212513" w:rsidRDefault="00212513">
      <w:pPr>
        <w:pStyle w:val="ConsPlusNormal"/>
        <w:spacing w:before="220"/>
        <w:ind w:firstLine="540"/>
        <w:jc w:val="both"/>
      </w:pPr>
      <w:r>
        <w:t>в) от нагрузки АБ - в виде сосредоточенной силы, приложенной к пролетному строению в уровне верха проезжей части или к ограждению проезжей части и равной 0,2</w:t>
      </w:r>
      <w:r>
        <w:rPr>
          <w:i/>
        </w:rPr>
        <w:t>G</w:t>
      </w:r>
      <w:r>
        <w:t xml:space="preserve">, где </w:t>
      </w:r>
      <w:r>
        <w:rPr>
          <w:i/>
        </w:rPr>
        <w:t>G</w:t>
      </w:r>
      <w:r>
        <w:t xml:space="preserve"> - вес одного автомобиля (сумма нагрузок на переднюю и заднюю оси), определяемый по </w:t>
      </w:r>
      <w:hyperlink w:anchor="P1188">
        <w:r>
          <w:rPr>
            <w:color w:val="0000FF"/>
          </w:rPr>
          <w:t>таблице 6.6</w:t>
        </w:r>
      </w:hyperlink>
      <w:r>
        <w:t>.</w:t>
      </w:r>
    </w:p>
    <w:p w:rsidR="00212513" w:rsidRDefault="00212513">
      <w:pPr>
        <w:pStyle w:val="ConsPlusNormal"/>
        <w:spacing w:before="220"/>
        <w:ind w:firstLine="540"/>
        <w:jc w:val="both"/>
      </w:pPr>
      <w:r>
        <w:t>При расчете элементов ограждений проезжей части, а также их прикреплений горизонтальные нагрузки следует принимать:</w:t>
      </w:r>
    </w:p>
    <w:p w:rsidR="00212513" w:rsidRDefault="00212513">
      <w:pPr>
        <w:pStyle w:val="ConsPlusNormal"/>
        <w:spacing w:before="220"/>
        <w:ind w:firstLine="540"/>
        <w:jc w:val="both"/>
      </w:pPr>
      <w:bookmarkStart w:id="70" w:name="P1426"/>
      <w:bookmarkEnd w:id="70"/>
      <w:r>
        <w:t>а) в автодорожных и городских мостах:</w:t>
      </w:r>
    </w:p>
    <w:p w:rsidR="00212513" w:rsidRDefault="00212513">
      <w:pPr>
        <w:pStyle w:val="ConsPlusNormal"/>
        <w:spacing w:before="220"/>
        <w:ind w:firstLine="540"/>
        <w:jc w:val="both"/>
      </w:pPr>
      <w:r>
        <w:lastRenderedPageBreak/>
        <w:t>для сплошных жестких железобетонных парапетных ограждений - в виде поперечной нагрузки 11,8К (кН), распределенной по длине 1 м и приложенной к ограждению на уровне 2/3 высоты ограждения (от поверхности проезда);</w:t>
      </w:r>
    </w:p>
    <w:p w:rsidR="00212513" w:rsidRDefault="00212513">
      <w:pPr>
        <w:pStyle w:val="ConsPlusNormal"/>
        <w:spacing w:before="220"/>
        <w:ind w:firstLine="540"/>
        <w:jc w:val="both"/>
      </w:pPr>
      <w:r>
        <w:t>для бордюров - в виде поперечной нагрузки 5,9К (кН), распределенной по длине 0,5 м и приложенной в уровне верха бордюра;</w:t>
      </w:r>
    </w:p>
    <w:p w:rsidR="00212513" w:rsidRDefault="00212513">
      <w:pPr>
        <w:pStyle w:val="ConsPlusNormal"/>
        <w:spacing w:before="220"/>
        <w:ind w:firstLine="540"/>
        <w:jc w:val="both"/>
      </w:pPr>
      <w:r>
        <w:t>для консольных стоек полужестких металлических барьерных ограждений (при расстоянии между стойками от 2,5 до 3,0 м) - в виде сосредоточенных сил, действующих одновременно в уровне направляющих планок и равных:</w:t>
      </w:r>
    </w:p>
    <w:p w:rsidR="00212513" w:rsidRDefault="00212513">
      <w:pPr>
        <w:pStyle w:val="ConsPlusNormal"/>
        <w:spacing w:before="220"/>
        <w:ind w:firstLine="540"/>
        <w:jc w:val="both"/>
      </w:pPr>
      <w:r>
        <w:t>поперек проезда - 4,41К (кН);</w:t>
      </w:r>
    </w:p>
    <w:p w:rsidR="00212513" w:rsidRDefault="00212513">
      <w:pPr>
        <w:pStyle w:val="ConsPlusNormal"/>
        <w:spacing w:before="220"/>
        <w:ind w:firstLine="540"/>
        <w:jc w:val="both"/>
      </w:pPr>
      <w:r>
        <w:t>вдоль проезда - 2,45К (кН),</w:t>
      </w:r>
    </w:p>
    <w:p w:rsidR="00212513" w:rsidRDefault="00212513">
      <w:pPr>
        <w:pStyle w:val="ConsPlusNormal"/>
        <w:spacing w:before="220"/>
        <w:ind w:firstLine="540"/>
        <w:jc w:val="both"/>
      </w:pPr>
      <w:r>
        <w:t>где К - класс нагрузки АК.</w:t>
      </w:r>
    </w:p>
    <w:p w:rsidR="00212513" w:rsidRDefault="00212513">
      <w:pPr>
        <w:pStyle w:val="ConsPlusNormal"/>
        <w:spacing w:before="220"/>
        <w:ind w:firstLine="540"/>
        <w:jc w:val="both"/>
      </w:pPr>
      <w:r>
        <w:t>Для металлических барьерных ограждений при непрерывных направляющих планках нагрузку, действующую вдоль моста, допускается распределять на четыре расположенные рядом стойки.</w:t>
      </w:r>
    </w:p>
    <w:p w:rsidR="00212513" w:rsidRDefault="00212513">
      <w:pPr>
        <w:pStyle w:val="ConsPlusNormal"/>
        <w:spacing w:before="220"/>
        <w:ind w:firstLine="540"/>
        <w:jc w:val="both"/>
      </w:pPr>
      <w:r>
        <w:t xml:space="preserve">Элементы металлических ограждений барьерного типа, выполняемые в соответствии с </w:t>
      </w:r>
      <w:hyperlink r:id="rId428">
        <w:r>
          <w:rPr>
            <w:color w:val="0000FF"/>
          </w:rPr>
          <w:t>ГОСТ 33128</w:t>
        </w:r>
      </w:hyperlink>
      <w:r>
        <w:t xml:space="preserve"> (группы 11 МО и 11 МД), на воздействие горизонтальных нагрузок не рассчитываются.</w:t>
      </w:r>
    </w:p>
    <w:p w:rsidR="00212513" w:rsidRDefault="00212513">
      <w:pPr>
        <w:pStyle w:val="ConsPlusNormal"/>
        <w:jc w:val="both"/>
      </w:pPr>
      <w:r>
        <w:t xml:space="preserve">(в ред. </w:t>
      </w:r>
      <w:hyperlink r:id="rId429">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Крепление узла анкеровки болтов стоек барьерного ограждения должно быть отдельно проверено на действие:</w:t>
      </w:r>
    </w:p>
    <w:p w:rsidR="00212513" w:rsidRDefault="00212513">
      <w:pPr>
        <w:pStyle w:val="ConsPlusNormal"/>
        <w:spacing w:before="220"/>
        <w:ind w:firstLine="540"/>
        <w:jc w:val="both"/>
      </w:pPr>
      <w:r>
        <w:t>горизонтального усилия, отвечающего срезу болтов прикрепления;</w:t>
      </w:r>
    </w:p>
    <w:p w:rsidR="00212513" w:rsidRDefault="00212513">
      <w:pPr>
        <w:pStyle w:val="ConsPlusNormal"/>
        <w:jc w:val="both"/>
      </w:pPr>
      <w:r>
        <w:t xml:space="preserve">(в ред. </w:t>
      </w:r>
      <w:hyperlink r:id="rId430">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момента, возникающего от усилия, соответствующего разрыву рядом расположенных болтов относительно противоположного ребра.</w:t>
      </w:r>
    </w:p>
    <w:p w:rsidR="00212513" w:rsidRDefault="00212513">
      <w:pPr>
        <w:pStyle w:val="ConsPlusNormal"/>
        <w:jc w:val="both"/>
      </w:pPr>
      <w:r>
        <w:t xml:space="preserve">(в ред. </w:t>
      </w:r>
      <w:hyperlink r:id="rId431">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Поперечные нагрузки от ударов машин Н14 не учитывают;</w:t>
      </w:r>
    </w:p>
    <w:p w:rsidR="00212513" w:rsidRDefault="00212513">
      <w:pPr>
        <w:pStyle w:val="ConsPlusNormal"/>
        <w:spacing w:before="220"/>
        <w:ind w:firstLine="540"/>
        <w:jc w:val="both"/>
      </w:pPr>
      <w:r>
        <w:t>б) в мостах на дорогах промышленных предприятий (под нагрузки АБ) - в виде равномерного давления (от указанной в "в" сосредоточенной силы 0,2</w:t>
      </w:r>
      <w:r>
        <w:rPr>
          <w:i/>
        </w:rPr>
        <w:t>G</w:t>
      </w:r>
      <w:r>
        <w:t>), приложенного к верхней части ограждения (парапета или бордюра) на площадках, имеющих размеры по высоте и длине соответственно для нагрузок, см:</w:t>
      </w:r>
    </w:p>
    <w:p w:rsidR="00212513" w:rsidRDefault="00212513">
      <w:pPr>
        <w:pStyle w:val="ConsPlusNonformat"/>
        <w:spacing w:before="200"/>
        <w:jc w:val="both"/>
      </w:pPr>
      <w:r>
        <w:t xml:space="preserve">    АБ-51  . . . . . . . . . . . . . . . . . . . . 20 x 45;</w:t>
      </w:r>
    </w:p>
    <w:p w:rsidR="00212513" w:rsidRDefault="00212513">
      <w:pPr>
        <w:pStyle w:val="ConsPlusNonformat"/>
        <w:jc w:val="both"/>
      </w:pPr>
      <w:r>
        <w:t xml:space="preserve">    АБ-74  . . . . . . . . . . . . . . . . . . . . 25 x 50;</w:t>
      </w:r>
    </w:p>
    <w:p w:rsidR="00212513" w:rsidRDefault="00212513">
      <w:pPr>
        <w:pStyle w:val="ConsPlusNonformat"/>
        <w:jc w:val="both"/>
      </w:pPr>
      <w:r>
        <w:t xml:space="preserve">    АБ-151 . . . . . . . . . . . . . . . . . . . . 30 x 60.</w:t>
      </w:r>
    </w:p>
    <w:p w:rsidR="00212513" w:rsidRDefault="00212513">
      <w:pPr>
        <w:pStyle w:val="ConsPlusNormal"/>
        <w:ind w:firstLine="540"/>
        <w:jc w:val="both"/>
      </w:pPr>
      <w:r>
        <w:t xml:space="preserve">Примечание - Нормативную горизонтальную поперечную нагрузку от ударов подвижного состава для мостов на железных дорогах промышленных предприятий в случаях, когда максимальная скорость движения ограничена до 40 км/ч, допускается принимать равной 0,3К (кН/м), а при скоростях движения 80 км/ч и больших - в размерах, предусмотренных для железных дорог общей сети (смотреть </w:t>
      </w:r>
      <w:hyperlink w:anchor="P1426">
        <w:r>
          <w:rPr>
            <w:color w:val="0000FF"/>
          </w:rPr>
          <w:t>6.19, а</w:t>
        </w:r>
      </w:hyperlink>
      <w:r>
        <w:t>).</w:t>
      </w:r>
    </w:p>
    <w:p w:rsidR="00212513" w:rsidRDefault="00212513">
      <w:pPr>
        <w:pStyle w:val="ConsPlusNormal"/>
        <w:ind w:firstLine="540"/>
        <w:jc w:val="both"/>
      </w:pPr>
    </w:p>
    <w:p w:rsidR="00212513" w:rsidRDefault="00212513">
      <w:pPr>
        <w:pStyle w:val="ConsPlusNormal"/>
        <w:ind w:firstLine="540"/>
        <w:jc w:val="both"/>
      </w:pPr>
      <w:bookmarkStart w:id="71" w:name="P1448"/>
      <w:bookmarkEnd w:id="71"/>
      <w:r>
        <w:t>6.20 Нормативную горизонтальную продольную нагрузку от торможения или сил тяги подвижного состава следует принимать равной:</w:t>
      </w:r>
    </w:p>
    <w:p w:rsidR="00212513" w:rsidRDefault="00212513">
      <w:pPr>
        <w:pStyle w:val="ConsPlusNormal"/>
        <w:spacing w:before="220"/>
        <w:ind w:firstLine="540"/>
        <w:jc w:val="both"/>
      </w:pPr>
      <w:r>
        <w:t>а) при расчете элементов пролетных строений и опор мостов - % к весу нормативной временной вертикальной подвижной нагрузки:</w:t>
      </w:r>
    </w:p>
    <w:p w:rsidR="00212513" w:rsidRDefault="00212513">
      <w:pPr>
        <w:pStyle w:val="ConsPlusNormal"/>
        <w:spacing w:before="220"/>
        <w:ind w:firstLine="540"/>
        <w:jc w:val="both"/>
      </w:pPr>
      <w:r>
        <w:lastRenderedPageBreak/>
        <w:t>от железнодорожной нагрузки СК, поездов метрополитена и трамвая - 10;</w:t>
      </w:r>
    </w:p>
    <w:p w:rsidR="00212513" w:rsidRDefault="00212513">
      <w:pPr>
        <w:pStyle w:val="ConsPlusNormal"/>
        <w:spacing w:before="220"/>
        <w:ind w:firstLine="540"/>
        <w:jc w:val="both"/>
      </w:pPr>
      <w:r>
        <w:t xml:space="preserve">от равномерно распределенной части нагрузки АК (вес тележек не учитывается) - 50, но не менее 7,8К (кН) и не более 24,5К (кН) для первой полосы движения. Нагрузка с последующих полос принимается равной первой полосе с умножением на коэффициенты полосности по </w:t>
      </w:r>
      <w:hyperlink w:anchor="P1286">
        <w:r>
          <w:rPr>
            <w:color w:val="0000FF"/>
          </w:rPr>
          <w:t>6.14</w:t>
        </w:r>
      </w:hyperlink>
      <w:r>
        <w:t>;</w:t>
      </w:r>
    </w:p>
    <w:p w:rsidR="00212513" w:rsidRDefault="00212513">
      <w:pPr>
        <w:pStyle w:val="ConsPlusNormal"/>
        <w:spacing w:before="220"/>
        <w:ind w:firstLine="540"/>
        <w:jc w:val="both"/>
      </w:pPr>
      <w:r>
        <w:t xml:space="preserve">от нагрузок АБ-51 и АБ-74 (к весу одного автомобиля) - от 45 (при </w:t>
      </w:r>
      <w:r>
        <w:rPr>
          <w:noProof/>
          <w:position w:val="-7"/>
        </w:rPr>
        <w:drawing>
          <wp:inline distT="0" distB="0" distL="0" distR="0">
            <wp:extent cx="652145" cy="231140"/>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652145" cy="231140"/>
                    </a:xfrm>
                    <a:prstGeom prst="rect">
                      <a:avLst/>
                    </a:prstGeom>
                    <a:noFill/>
                    <a:ln>
                      <a:noFill/>
                    </a:ln>
                  </pic:spPr>
                </pic:pic>
              </a:graphicData>
            </a:graphic>
          </wp:inline>
        </w:drawing>
      </w:r>
      <w:r>
        <w:t xml:space="preserve">) до 60 (при </w:t>
      </w:r>
      <w:r>
        <w:rPr>
          <w:noProof/>
          <w:position w:val="-7"/>
        </w:rPr>
        <w:drawing>
          <wp:inline distT="0" distB="0" distL="0" distR="0">
            <wp:extent cx="652145" cy="23114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652145" cy="231140"/>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от нагрузки АБ-151 (к весу одного автомобиля) - от 30 (при </w:t>
      </w:r>
      <w:r>
        <w:rPr>
          <w:noProof/>
          <w:position w:val="-7"/>
        </w:rPr>
        <w:drawing>
          <wp:inline distT="0" distB="0" distL="0" distR="0">
            <wp:extent cx="652145" cy="231140"/>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652145" cy="231140"/>
                    </a:xfrm>
                    <a:prstGeom prst="rect">
                      <a:avLst/>
                    </a:prstGeom>
                    <a:noFill/>
                    <a:ln>
                      <a:noFill/>
                    </a:ln>
                  </pic:spPr>
                </pic:pic>
              </a:graphicData>
            </a:graphic>
          </wp:inline>
        </w:drawing>
      </w:r>
      <w:r>
        <w:t xml:space="preserve">) до 40 (при </w:t>
      </w:r>
      <w:r>
        <w:rPr>
          <w:noProof/>
          <w:position w:val="-7"/>
        </w:rPr>
        <w:drawing>
          <wp:inline distT="0" distB="0" distL="0" distR="0">
            <wp:extent cx="652145" cy="231140"/>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652145" cy="231140"/>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для промежуточных значений </w:t>
      </w:r>
      <w:r>
        <w:rPr>
          <w:noProof/>
          <w:position w:val="-3"/>
        </w:rPr>
        <w:drawing>
          <wp:inline distT="0" distB="0" distL="0" distR="0">
            <wp:extent cx="146050" cy="189230"/>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146050" cy="189230"/>
                    </a:xfrm>
                    <a:prstGeom prst="rect">
                      <a:avLst/>
                    </a:prstGeom>
                    <a:noFill/>
                    <a:ln>
                      <a:noFill/>
                    </a:ln>
                  </pic:spPr>
                </pic:pic>
              </a:graphicData>
            </a:graphic>
          </wp:inline>
        </w:drawing>
      </w:r>
      <w:r>
        <w:t xml:space="preserve"> величина нагрузки устанавливается по интерполяции;</w:t>
      </w:r>
    </w:p>
    <w:p w:rsidR="00212513" w:rsidRDefault="00212513">
      <w:pPr>
        <w:pStyle w:val="ConsPlusNormal"/>
        <w:jc w:val="both"/>
      </w:pPr>
      <w:r>
        <w:t xml:space="preserve">(в ред. </w:t>
      </w:r>
      <w:hyperlink r:id="rId436">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б) при расчете деформационных швов городских и автодорожных мостов - 6,86К (кН);</w:t>
      </w:r>
    </w:p>
    <w:p w:rsidR="00212513" w:rsidRDefault="00212513">
      <w:pPr>
        <w:pStyle w:val="ConsPlusNormal"/>
        <w:spacing w:before="220"/>
        <w:ind w:firstLine="540"/>
        <w:jc w:val="both"/>
      </w:pPr>
      <w:r>
        <w:t>мостов на дорогах промышленных предприятий под нагрузку АБ - 50% к весу расчетного автомобиля.</w:t>
      </w:r>
    </w:p>
    <w:p w:rsidR="00212513" w:rsidRDefault="00212513">
      <w:pPr>
        <w:pStyle w:val="ConsPlusNormal"/>
        <w:jc w:val="both"/>
      </w:pPr>
      <w:r>
        <w:t xml:space="preserve">(в ред. </w:t>
      </w:r>
      <w:hyperlink r:id="rId437">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 xml:space="preserve">При расчетах в случае "а" высоту приложения горизонтальных продольных нагрузок следует принимать в соответствии с </w:t>
      </w:r>
      <w:hyperlink w:anchor="P1370">
        <w:r>
          <w:rPr>
            <w:color w:val="0000FF"/>
          </w:rPr>
          <w:t>6.18</w:t>
        </w:r>
      </w:hyperlink>
      <w:r>
        <w:t>.</w:t>
      </w:r>
    </w:p>
    <w:p w:rsidR="00212513" w:rsidRDefault="00212513">
      <w:pPr>
        <w:pStyle w:val="ConsPlusNormal"/>
        <w:spacing w:before="220"/>
        <w:ind w:firstLine="540"/>
        <w:jc w:val="both"/>
      </w:pPr>
      <w:r>
        <w:t xml:space="preserve">Горизонтальную продольную нагрузку при расчете деформационных швов следует прикладывать в уровне проезда и принимать в виде двух равных сил, удаленных одна от другой на 1,9 м для нагрузки АК и на ширину колеи задних колес для нагрузки АБ, по </w:t>
      </w:r>
      <w:hyperlink w:anchor="P1188">
        <w:r>
          <w:rPr>
            <w:color w:val="0000FF"/>
          </w:rPr>
          <w:t>таблице 6.6</w:t>
        </w:r>
      </w:hyperlink>
      <w:r>
        <w:t>.</w:t>
      </w:r>
    </w:p>
    <w:p w:rsidR="00212513" w:rsidRDefault="00212513">
      <w:pPr>
        <w:pStyle w:val="ConsPlusNormal"/>
        <w:spacing w:before="220"/>
        <w:ind w:firstLine="540"/>
        <w:jc w:val="both"/>
      </w:pPr>
      <w:r>
        <w:t>Продольную нагрузку следует принимать:</w:t>
      </w:r>
    </w:p>
    <w:p w:rsidR="00212513" w:rsidRDefault="00212513">
      <w:pPr>
        <w:pStyle w:val="ConsPlusNormal"/>
        <w:spacing w:before="220"/>
        <w:ind w:firstLine="540"/>
        <w:jc w:val="both"/>
      </w:pPr>
      <w:r>
        <w:t>при двух железнодорожных путях - с одного пути, а при трех путях и более - с двух путей;</w:t>
      </w:r>
    </w:p>
    <w:p w:rsidR="00212513" w:rsidRDefault="00212513">
      <w:pPr>
        <w:pStyle w:val="ConsPlusNormal"/>
        <w:spacing w:before="220"/>
        <w:ind w:firstLine="540"/>
        <w:jc w:val="both"/>
      </w:pPr>
      <w:r>
        <w:t>при любом числе полос автомобильного движения на мосту - со всех полос одного направления, а если в перспективе предусматривается перевод движения на одностороннее - со всех полос движения.</w:t>
      </w:r>
    </w:p>
    <w:p w:rsidR="00212513" w:rsidRDefault="00212513">
      <w:pPr>
        <w:pStyle w:val="ConsPlusNormal"/>
        <w:spacing w:before="220"/>
        <w:ind w:firstLine="540"/>
        <w:jc w:val="both"/>
      </w:pPr>
      <w:r>
        <w:t xml:space="preserve">Во всех случаях необходимо учитывать коэффициент полосности согласно требованиям </w:t>
      </w:r>
      <w:hyperlink w:anchor="P1286">
        <w:r>
          <w:rPr>
            <w:color w:val="0000FF"/>
          </w:rPr>
          <w:t>6.14</w:t>
        </w:r>
      </w:hyperlink>
      <w:r>
        <w:t>.</w:t>
      </w:r>
    </w:p>
    <w:p w:rsidR="00212513" w:rsidRDefault="00212513">
      <w:pPr>
        <w:pStyle w:val="ConsPlusNormal"/>
        <w:jc w:val="both"/>
      </w:pPr>
      <w:r>
        <w:t xml:space="preserve">(в ред. </w:t>
      </w:r>
      <w:hyperlink r:id="rId438">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От транспортных средств, находящихся на призме обрушения грунта у устоев, продольная нагрузка не учитывается.</w:t>
      </w:r>
    </w:p>
    <w:p w:rsidR="00212513" w:rsidRDefault="00212513">
      <w:pPr>
        <w:pStyle w:val="ConsPlusNormal"/>
        <w:spacing w:before="220"/>
        <w:ind w:firstLine="540"/>
        <w:jc w:val="both"/>
      </w:pPr>
      <w:r>
        <w:t>В мостах с балочными пролетными строениями продольную нагрузку допускается прикладывать в уровне:</w:t>
      </w:r>
    </w:p>
    <w:p w:rsidR="00212513" w:rsidRDefault="00212513">
      <w:pPr>
        <w:pStyle w:val="ConsPlusNormal"/>
        <w:spacing w:before="220"/>
        <w:ind w:firstLine="540"/>
        <w:jc w:val="both"/>
      </w:pPr>
      <w:r>
        <w:t>проезжей части - при расчете устоев;</w:t>
      </w:r>
    </w:p>
    <w:p w:rsidR="00212513" w:rsidRDefault="00212513">
      <w:pPr>
        <w:pStyle w:val="ConsPlusNormal"/>
        <w:spacing w:before="220"/>
        <w:ind w:firstLine="540"/>
        <w:jc w:val="both"/>
      </w:pPr>
      <w:r>
        <w:t>центров опорных частей - при расчете промежуточных опор.</w:t>
      </w:r>
    </w:p>
    <w:p w:rsidR="00212513" w:rsidRDefault="00212513">
      <w:pPr>
        <w:pStyle w:val="ConsPlusNormal"/>
        <w:jc w:val="both"/>
      </w:pPr>
      <w:r>
        <w:t xml:space="preserve">(в ред. </w:t>
      </w:r>
      <w:hyperlink r:id="rId439">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 xml:space="preserve">Продольное усилие от торможения или силы тяги, передаваемое на неподвижные опорные части, следует принимать в размере 100% полного продольного усилия, действующего на пролетное строение. При этом не следует учитывать продольное усилие от установленных на той же опоре подвижных опорных частей соседнего пролета, кроме случая расположения в разрезных пролетных строениях неподвижных опорных частей со стороны меньшего из примыкающих к опоре пролета. Усилие на опору в указанном случае надлежит принимать равным сумме </w:t>
      </w:r>
      <w:r>
        <w:lastRenderedPageBreak/>
        <w:t>продольных усилий, передаваемых через опорные части обоих пролетов, но не более усилия, передаваемого со стороны большего пролета при неподвижном его опирании.</w:t>
      </w:r>
    </w:p>
    <w:p w:rsidR="00212513" w:rsidRDefault="00212513">
      <w:pPr>
        <w:pStyle w:val="ConsPlusNormal"/>
        <w:spacing w:before="220"/>
        <w:ind w:firstLine="540"/>
        <w:jc w:val="both"/>
      </w:pPr>
      <w:r>
        <w:t>Усилие, передающееся на опору с неподвижных опорных частей неразрезных и температурно-неразрезных пролетных строений, в обоснованных расчетом случаях допускается принимать равным полной продольной нагрузке с пролетного строения за вычетом сил трения в подвижных опорных частях при минимальных коэффициентах трения, но не менее величины, приходящейся на опору при распределении полного продольного усилия между всеми промежуточными опорами пропорционально их жесткости.</w:t>
      </w:r>
    </w:p>
    <w:p w:rsidR="00212513" w:rsidRDefault="00212513">
      <w:pPr>
        <w:pStyle w:val="ConsPlusNormal"/>
        <w:spacing w:before="220"/>
        <w:ind w:firstLine="540"/>
        <w:jc w:val="both"/>
      </w:pPr>
      <w:r>
        <w:t xml:space="preserve">Для железнодорожных мостов при определении продольной горизонтальной нагрузки от торможения или сил тяги в случаях применения деревянных опор, а также гибких (из отдельных стоек) стальных и железобетонных опор интенсивность временной подвижной вертикальной нагрузки </w:t>
      </w:r>
      <w:r>
        <w:rPr>
          <w:noProof/>
        </w:rPr>
        <w:drawing>
          <wp:inline distT="0" distB="0" distL="0" distR="0">
            <wp:extent cx="146685" cy="14605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xml:space="preserve"> допускается принимать равной 9,81К (кН/м).</w:t>
      </w:r>
    </w:p>
    <w:p w:rsidR="00212513" w:rsidRDefault="00212513">
      <w:pPr>
        <w:pStyle w:val="ConsPlusNormal"/>
        <w:spacing w:before="220"/>
        <w:ind w:firstLine="540"/>
        <w:jc w:val="both"/>
      </w:pPr>
      <w:r>
        <w:t>Примечание - При проектировании в железнодорожных мостах устройств, предназначенных для восприятия продольных нагрузок, следует учитывать полную силу тяги в виде распределенной нагрузки, составляющей к весу нагрузки, %:</w:t>
      </w:r>
    </w:p>
    <w:p w:rsidR="00212513" w:rsidRDefault="00212513">
      <w:pPr>
        <w:pStyle w:val="ConsPlusNonformat"/>
        <w:spacing w:before="200"/>
        <w:jc w:val="both"/>
      </w:pPr>
      <w:r>
        <w:t xml:space="preserve">    при длине загружения 40 м и менее . . . . . . . 25;</w:t>
      </w:r>
    </w:p>
    <w:p w:rsidR="00212513" w:rsidRDefault="00212513">
      <w:pPr>
        <w:pStyle w:val="ConsPlusNonformat"/>
        <w:jc w:val="both"/>
      </w:pPr>
      <w:r>
        <w:t xml:space="preserve">    тоже, 100 м и более . . . . . . . . . . . . . . 10;</w:t>
      </w:r>
    </w:p>
    <w:p w:rsidR="00212513" w:rsidRDefault="00212513">
      <w:pPr>
        <w:pStyle w:val="ConsPlusNonformat"/>
        <w:jc w:val="both"/>
      </w:pPr>
      <w:r>
        <w:t xml:space="preserve">    при промежуточных значениях . . . . . . . . . . по интерполяции.</w:t>
      </w:r>
    </w:p>
    <w:p w:rsidR="00212513" w:rsidRDefault="00212513">
      <w:pPr>
        <w:pStyle w:val="ConsPlusNormal"/>
        <w:ind w:firstLine="540"/>
        <w:jc w:val="both"/>
      </w:pPr>
    </w:p>
    <w:p w:rsidR="00212513" w:rsidRDefault="00212513">
      <w:pPr>
        <w:pStyle w:val="ConsPlusNormal"/>
        <w:ind w:firstLine="540"/>
        <w:jc w:val="both"/>
      </w:pPr>
      <w:bookmarkStart w:id="72" w:name="P1479"/>
      <w:bookmarkEnd w:id="72"/>
      <w:r>
        <w:t>6.21 Нормативную временную нагрузку для пешеходных мостов и тротуаров следует принимать в виде:</w:t>
      </w:r>
    </w:p>
    <w:p w:rsidR="00212513" w:rsidRDefault="00212513">
      <w:pPr>
        <w:pStyle w:val="ConsPlusNormal"/>
        <w:jc w:val="both"/>
      </w:pPr>
      <w:r>
        <w:t xml:space="preserve">(в ред. </w:t>
      </w:r>
      <w:hyperlink r:id="rId440">
        <w:r>
          <w:rPr>
            <w:color w:val="0000FF"/>
          </w:rPr>
          <w:t>Изменения N 3</w:t>
        </w:r>
      </w:hyperlink>
      <w:r>
        <w:t xml:space="preserve">, утв. Приказом Минстроя России от 29.12.2020 N 891/пр, </w:t>
      </w:r>
      <w:hyperlink r:id="rId441">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1) вертикальной равномерно распределенной нагрузки:</w:t>
      </w:r>
    </w:p>
    <w:p w:rsidR="00212513" w:rsidRDefault="00212513">
      <w:pPr>
        <w:pStyle w:val="ConsPlusNormal"/>
        <w:spacing w:before="220"/>
        <w:ind w:firstLine="540"/>
        <w:jc w:val="both"/>
      </w:pPr>
      <w:r>
        <w:t>а) на пешеходные мосты - 4,0 кПа;</w:t>
      </w:r>
    </w:p>
    <w:p w:rsidR="00212513" w:rsidRDefault="00212513">
      <w:pPr>
        <w:pStyle w:val="ConsPlusNormal"/>
        <w:spacing w:before="220"/>
        <w:ind w:firstLine="540"/>
        <w:jc w:val="both"/>
      </w:pPr>
      <w:r>
        <w:t>б) на тротуары автодорожных мостов - при отсутствии нагрузки АК - 4,0 кПа, при учете совместно с нагрузкой АК - 3,0 кПа;</w:t>
      </w:r>
    </w:p>
    <w:p w:rsidR="00212513" w:rsidRDefault="00212513">
      <w:pPr>
        <w:pStyle w:val="ConsPlusNormal"/>
        <w:jc w:val="both"/>
      </w:pPr>
      <w:r>
        <w:t xml:space="preserve">(в ред. </w:t>
      </w:r>
      <w:hyperlink r:id="rId442">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t>2) равномерно распределенной нагрузки, учитываемой при отсутствии других нагрузок:</w:t>
      </w:r>
    </w:p>
    <w:p w:rsidR="00212513" w:rsidRDefault="00212513">
      <w:pPr>
        <w:pStyle w:val="ConsPlusNormal"/>
        <w:spacing w:before="220"/>
        <w:ind w:firstLine="540"/>
        <w:jc w:val="both"/>
      </w:pPr>
      <w:r>
        <w:t>а) вертикальной - при расчете только элементов тротуаров железнодорожных мостов и мостов метрополитена с устройством пути на балласте - 10,0 кПа, при расчете элементов тротуаров на прочих мостах - 4,0 кПа;</w:t>
      </w:r>
    </w:p>
    <w:p w:rsidR="00212513" w:rsidRDefault="00212513">
      <w:pPr>
        <w:pStyle w:val="ConsPlusNormal"/>
        <w:spacing w:before="220"/>
        <w:ind w:firstLine="540"/>
        <w:jc w:val="both"/>
      </w:pPr>
      <w:r>
        <w:t>б) вертикальной и горизонтальной - при расчете перил городских мостов - 1,0 кН/м;</w:t>
      </w:r>
    </w:p>
    <w:p w:rsidR="00212513" w:rsidRDefault="00212513">
      <w:pPr>
        <w:pStyle w:val="ConsPlusNormal"/>
        <w:spacing w:before="220"/>
        <w:ind w:firstLine="540"/>
        <w:jc w:val="both"/>
      </w:pPr>
      <w:r>
        <w:t>3) сосредоточенных давлений, учитываемых при отсутствии других нагрузок:</w:t>
      </w:r>
    </w:p>
    <w:p w:rsidR="00212513" w:rsidRDefault="00212513">
      <w:pPr>
        <w:pStyle w:val="ConsPlusNormal"/>
        <w:spacing w:before="220"/>
        <w:ind w:firstLine="540"/>
        <w:jc w:val="both"/>
      </w:pPr>
      <w:r>
        <w:t>а) вертикального - при расчете элементов тротуаров городских мостов - 10,0 кН с площадкой распределения от колеса автомобиля 0,015 м</w:t>
      </w:r>
      <w:r>
        <w:rPr>
          <w:vertAlign w:val="superscript"/>
        </w:rPr>
        <w:t>2</w:t>
      </w:r>
      <w:r>
        <w:t xml:space="preserve"> (0,15 x 0,10 м), прочих мостов - 3,4 кН;</w:t>
      </w:r>
    </w:p>
    <w:p w:rsidR="00212513" w:rsidRDefault="00212513">
      <w:pPr>
        <w:pStyle w:val="ConsPlusNormal"/>
        <w:spacing w:before="220"/>
        <w:ind w:firstLine="540"/>
        <w:jc w:val="both"/>
      </w:pPr>
      <w:r>
        <w:t>б) вертикального или горизонтального при расчете перил мостов - 1,27 кН.</w:t>
      </w:r>
    </w:p>
    <w:p w:rsidR="00212513" w:rsidRDefault="00212513">
      <w:pPr>
        <w:pStyle w:val="ConsPlusNormal"/>
        <w:spacing w:before="220"/>
        <w:ind w:firstLine="540"/>
        <w:jc w:val="both"/>
      </w:pPr>
      <w:r>
        <w:t>Загружения моста указанными нагрузками должны создавать в рассчитываемых элементах наибольшие усилия, а в установленных нормами местах конструкции - максимальные перемещения (деформации).</w:t>
      </w:r>
    </w:p>
    <w:p w:rsidR="00212513" w:rsidRDefault="00212513">
      <w:pPr>
        <w:pStyle w:val="ConsPlusNormal"/>
        <w:jc w:val="both"/>
      </w:pPr>
      <w:r>
        <w:t xml:space="preserve">(абзац введен </w:t>
      </w:r>
      <w:hyperlink r:id="rId443">
        <w:r>
          <w:rPr>
            <w:color w:val="0000FF"/>
          </w:rPr>
          <w:t>Изменением N 4</w:t>
        </w:r>
      </w:hyperlink>
      <w:r>
        <w:t>, утв. Приказом Минстроя России от 30.05.2024 N 361/пр)</w:t>
      </w:r>
    </w:p>
    <w:p w:rsidR="00212513" w:rsidRDefault="00212513">
      <w:pPr>
        <w:pStyle w:val="ConsPlusNormal"/>
        <w:spacing w:before="220"/>
        <w:ind w:firstLine="540"/>
        <w:jc w:val="both"/>
      </w:pPr>
      <w:r>
        <w:t xml:space="preserve">При расчете элементов служебных проходов на мостах автомобильных дорог всех категорий </w:t>
      </w:r>
      <w:r>
        <w:lastRenderedPageBreak/>
        <w:t>равномерно распределенную нагрузку принимают равной 2,0 кПа. При расчете основных несущих конструкций мостовых сооружений указанную нагрузку на служебные проходы не учитывают.</w:t>
      </w:r>
    </w:p>
    <w:p w:rsidR="00212513" w:rsidRDefault="00212513">
      <w:pPr>
        <w:pStyle w:val="ConsPlusNormal"/>
        <w:jc w:val="both"/>
      </w:pPr>
      <w:r>
        <w:t xml:space="preserve">(в ред. </w:t>
      </w:r>
      <w:hyperlink r:id="rId444">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При расчете элементов тротуаров и служебных проходов необходимо учитывать также нагрузки от приспособлений, предназначенных для осмотра конструкций моста.</w:t>
      </w:r>
    </w:p>
    <w:p w:rsidR="00212513" w:rsidRDefault="00212513">
      <w:pPr>
        <w:pStyle w:val="ConsPlusNormal"/>
        <w:jc w:val="both"/>
      </w:pPr>
      <w:r>
        <w:t xml:space="preserve">(в ред. </w:t>
      </w:r>
      <w:hyperlink r:id="rId445">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bookmarkStart w:id="73" w:name="P1497"/>
      <w:bookmarkEnd w:id="73"/>
      <w:r>
        <w:t xml:space="preserve">6.22 Динамические коэффициенты </w:t>
      </w:r>
      <w:r>
        <w:rPr>
          <w:noProof/>
          <w:position w:val="-7"/>
        </w:rPr>
        <w:drawing>
          <wp:inline distT="0" distB="0" distL="0" distR="0">
            <wp:extent cx="377190" cy="230505"/>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377190" cy="230505"/>
                    </a:xfrm>
                    <a:prstGeom prst="rect">
                      <a:avLst/>
                    </a:prstGeom>
                    <a:noFill/>
                    <a:ln>
                      <a:noFill/>
                    </a:ln>
                  </pic:spPr>
                </pic:pic>
              </a:graphicData>
            </a:graphic>
          </wp:inline>
        </w:drawing>
      </w:r>
      <w:r>
        <w:t xml:space="preserve"> к нагрузкам от подвижного состава железных, автомобильных и городских дорог следует принимать равными:</w:t>
      </w:r>
    </w:p>
    <w:p w:rsidR="00212513" w:rsidRDefault="00212513">
      <w:pPr>
        <w:pStyle w:val="ConsPlusNormal"/>
        <w:spacing w:before="220"/>
        <w:ind w:firstLine="540"/>
        <w:jc w:val="both"/>
      </w:pPr>
      <w:r>
        <w:t xml:space="preserve">1) к вертикальным нагрузкам СК и </w:t>
      </w:r>
      <w:r>
        <w:rPr>
          <w:noProof/>
          <w:position w:val="-3"/>
        </w:rPr>
        <w:drawing>
          <wp:inline distT="0" distB="0" distL="0" distR="0">
            <wp:extent cx="354965" cy="18923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354965" cy="189230"/>
                    </a:xfrm>
                    <a:prstGeom prst="rect">
                      <a:avLst/>
                    </a:prstGeom>
                    <a:noFill/>
                    <a:ln>
                      <a:noFill/>
                    </a:ln>
                  </pic:spPr>
                </pic:pic>
              </a:graphicData>
            </a:graphic>
          </wp:inline>
        </w:drawing>
      </w:r>
      <w:r>
        <w:t>, а также к нагрузкам от поездов метрополитена и трамвая:</w:t>
      </w:r>
    </w:p>
    <w:p w:rsidR="00212513" w:rsidRDefault="00212513">
      <w:pPr>
        <w:pStyle w:val="ConsPlusNormal"/>
        <w:spacing w:before="220"/>
        <w:ind w:firstLine="540"/>
        <w:jc w:val="both"/>
      </w:pPr>
      <w:r>
        <w:t>а) для элементов стальных и сталежелезобетонных пролетных строений, а также элементов стальных опор:</w:t>
      </w:r>
    </w:p>
    <w:p w:rsidR="00212513" w:rsidRDefault="00212513">
      <w:pPr>
        <w:pStyle w:val="ConsPlusNormal"/>
        <w:spacing w:before="220"/>
        <w:ind w:firstLine="540"/>
        <w:jc w:val="both"/>
      </w:pPr>
      <w:r>
        <w:t>железнодорожных мостов и обособленных мостов под пути метрополитена и трамвая всех систем (кроме основных элементов главных ферм неразрезных пролетных строений) независимо от рода езды (на балласте или поперечинах)</w:t>
      </w:r>
    </w:p>
    <w:p w:rsidR="00212513" w:rsidRDefault="00212513">
      <w:pPr>
        <w:pStyle w:val="ConsPlusNormal"/>
        <w:ind w:firstLine="540"/>
        <w:jc w:val="both"/>
      </w:pPr>
    </w:p>
    <w:p w:rsidR="00212513" w:rsidRDefault="00212513">
      <w:pPr>
        <w:pStyle w:val="ConsPlusNormal"/>
        <w:jc w:val="center"/>
      </w:pPr>
      <w:r>
        <w:rPr>
          <w:noProof/>
          <w:position w:val="-23"/>
        </w:rPr>
        <w:drawing>
          <wp:inline distT="0" distB="0" distL="0" distR="0">
            <wp:extent cx="1215390" cy="441960"/>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215390" cy="441960"/>
                    </a:xfrm>
                    <a:prstGeom prst="rect">
                      <a:avLst/>
                    </a:prstGeom>
                    <a:noFill/>
                    <a:ln>
                      <a:noFill/>
                    </a:ln>
                  </pic:spPr>
                </pic:pic>
              </a:graphicData>
            </a:graphic>
          </wp:inline>
        </w:drawing>
      </w:r>
      <w:r>
        <w:t>, (6.17)</w:t>
      </w:r>
    </w:p>
    <w:p w:rsidR="00212513" w:rsidRDefault="00212513">
      <w:pPr>
        <w:pStyle w:val="ConsPlusNormal"/>
        <w:jc w:val="center"/>
      </w:pPr>
    </w:p>
    <w:p w:rsidR="00212513" w:rsidRDefault="00212513">
      <w:pPr>
        <w:pStyle w:val="ConsPlusNormal"/>
        <w:jc w:val="both"/>
      </w:pPr>
      <w:r>
        <w:t>но не менее 1,15;</w:t>
      </w:r>
    </w:p>
    <w:p w:rsidR="00212513" w:rsidRDefault="00212513">
      <w:pPr>
        <w:pStyle w:val="ConsPlusNormal"/>
        <w:spacing w:before="220"/>
        <w:ind w:firstLine="540"/>
        <w:jc w:val="both"/>
      </w:pPr>
      <w:r>
        <w:t>основных элементов главных ферм железнодорожных мостов с неразрезными пролетными строениями и совмещенных мостов всех систем под железнодорожную нагрузку (включая поезда метрополитена и трамвая)</w:t>
      </w:r>
    </w:p>
    <w:p w:rsidR="00212513" w:rsidRDefault="00212513">
      <w:pPr>
        <w:pStyle w:val="ConsPlusNormal"/>
        <w:jc w:val="both"/>
      </w:pPr>
      <w:r>
        <w:t xml:space="preserve">(в ред. </w:t>
      </w:r>
      <w:hyperlink r:id="rId449">
        <w:r>
          <w:rPr>
            <w:color w:val="0000FF"/>
          </w:rPr>
          <w:t>Изменения N 3</w:t>
        </w:r>
      </w:hyperlink>
      <w:r>
        <w:t>, утв. Приказом Минстроя России от 29.12.2020 N 891/пр)</w:t>
      </w:r>
    </w:p>
    <w:p w:rsidR="00212513" w:rsidRDefault="00212513">
      <w:pPr>
        <w:pStyle w:val="ConsPlusNormal"/>
        <w:ind w:firstLine="540"/>
        <w:jc w:val="both"/>
      </w:pPr>
    </w:p>
    <w:p w:rsidR="00212513" w:rsidRDefault="00212513">
      <w:pPr>
        <w:pStyle w:val="ConsPlusNormal"/>
        <w:jc w:val="center"/>
      </w:pPr>
      <w:r>
        <w:rPr>
          <w:noProof/>
          <w:position w:val="-23"/>
        </w:rPr>
        <w:drawing>
          <wp:inline distT="0" distB="0" distL="0" distR="0">
            <wp:extent cx="1215390" cy="441960"/>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215390" cy="441960"/>
                    </a:xfrm>
                    <a:prstGeom prst="rect">
                      <a:avLst/>
                    </a:prstGeom>
                    <a:noFill/>
                    <a:ln>
                      <a:noFill/>
                    </a:ln>
                  </pic:spPr>
                </pic:pic>
              </a:graphicData>
            </a:graphic>
          </wp:inline>
        </w:drawing>
      </w:r>
      <w:r>
        <w:t>, (6.18)</w:t>
      </w:r>
    </w:p>
    <w:p w:rsidR="00212513" w:rsidRDefault="00212513">
      <w:pPr>
        <w:pStyle w:val="ConsPlusNormal"/>
        <w:ind w:firstLine="540"/>
        <w:jc w:val="both"/>
      </w:pPr>
    </w:p>
    <w:p w:rsidR="00212513" w:rsidRDefault="00212513">
      <w:pPr>
        <w:pStyle w:val="ConsPlusNormal"/>
        <w:jc w:val="both"/>
      </w:pPr>
      <w:r>
        <w:t>но не менее 1,15 для железнодорожных и 1,10 для совмещенных мостов;</w:t>
      </w:r>
    </w:p>
    <w:p w:rsidR="00212513" w:rsidRDefault="00212513">
      <w:pPr>
        <w:pStyle w:val="ConsPlusNormal"/>
        <w:spacing w:before="220"/>
        <w:ind w:firstLine="540"/>
        <w:jc w:val="both"/>
      </w:pPr>
      <w:r>
        <w:t>б) для железобетонных балочных пролетных строений, рамных конструкций (в том числе для сквозных надарочных строений), а также для железобетонных сквозных, тонкостенных и стоечных опор:</w:t>
      </w:r>
    </w:p>
    <w:p w:rsidR="00212513" w:rsidRDefault="00212513">
      <w:pPr>
        <w:pStyle w:val="ConsPlusNormal"/>
        <w:spacing w:before="220"/>
        <w:ind w:firstLine="540"/>
        <w:jc w:val="both"/>
      </w:pPr>
      <w:r>
        <w:t>железнодорожных и других мостов под рельсовые пути</w:t>
      </w:r>
    </w:p>
    <w:p w:rsidR="00212513" w:rsidRDefault="00212513">
      <w:pPr>
        <w:pStyle w:val="ConsPlusNormal"/>
        <w:ind w:firstLine="540"/>
        <w:jc w:val="both"/>
      </w:pPr>
    </w:p>
    <w:p w:rsidR="00212513" w:rsidRDefault="00212513">
      <w:pPr>
        <w:pStyle w:val="ConsPlusNormal"/>
        <w:jc w:val="center"/>
      </w:pPr>
      <w:bookmarkStart w:id="74" w:name="P1514"/>
      <w:bookmarkEnd w:id="74"/>
      <w:r>
        <w:rPr>
          <w:noProof/>
          <w:position w:val="-23"/>
        </w:rPr>
        <w:drawing>
          <wp:inline distT="0" distB="0" distL="0" distR="0">
            <wp:extent cx="1215390" cy="441960"/>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215390" cy="441960"/>
                    </a:xfrm>
                    <a:prstGeom prst="rect">
                      <a:avLst/>
                    </a:prstGeom>
                    <a:noFill/>
                    <a:ln>
                      <a:noFill/>
                    </a:ln>
                  </pic:spPr>
                </pic:pic>
              </a:graphicData>
            </a:graphic>
          </wp:inline>
        </w:drawing>
      </w:r>
      <w:r>
        <w:t>, (6.19)</w:t>
      </w:r>
    </w:p>
    <w:p w:rsidR="00212513" w:rsidRDefault="00212513">
      <w:pPr>
        <w:pStyle w:val="ConsPlusNormal"/>
        <w:ind w:firstLine="540"/>
        <w:jc w:val="both"/>
      </w:pPr>
    </w:p>
    <w:p w:rsidR="00212513" w:rsidRDefault="00212513">
      <w:pPr>
        <w:pStyle w:val="ConsPlusNormal"/>
        <w:jc w:val="both"/>
      </w:pPr>
      <w:r>
        <w:t>но не менее 1,15;</w:t>
      </w:r>
    </w:p>
    <w:p w:rsidR="00212513" w:rsidRDefault="00212513">
      <w:pPr>
        <w:pStyle w:val="ConsPlusNormal"/>
        <w:spacing w:before="220"/>
        <w:ind w:firstLine="540"/>
        <w:jc w:val="both"/>
      </w:pPr>
      <w:r>
        <w:t>совмещенных мостов - по формуле (6.19), но не менее 1,10;</w:t>
      </w:r>
    </w:p>
    <w:p w:rsidR="00212513" w:rsidRDefault="00212513">
      <w:pPr>
        <w:pStyle w:val="ConsPlusNormal"/>
        <w:jc w:val="both"/>
      </w:pPr>
      <w:r>
        <w:t xml:space="preserve">(в ред. </w:t>
      </w:r>
      <w:hyperlink r:id="rId452">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в) для железобетонных звеньев труб и подземных пешеходных переходов:</w:t>
      </w:r>
    </w:p>
    <w:p w:rsidR="00212513" w:rsidRDefault="00212513">
      <w:pPr>
        <w:pStyle w:val="ConsPlusNormal"/>
        <w:spacing w:before="220"/>
        <w:ind w:firstLine="540"/>
        <w:jc w:val="both"/>
      </w:pPr>
      <w:r>
        <w:t xml:space="preserve">на железных дорогах и путях метрополитена при общей толщине балласта с засыпкой </w:t>
      </w:r>
      <w:r>
        <w:lastRenderedPageBreak/>
        <w:t>(считая от подошвы рельса):</w:t>
      </w:r>
    </w:p>
    <w:p w:rsidR="00212513" w:rsidRDefault="00212513">
      <w:pPr>
        <w:pStyle w:val="ConsPlusNormal"/>
        <w:spacing w:before="220"/>
        <w:ind w:firstLine="540"/>
        <w:jc w:val="both"/>
      </w:pPr>
      <w:r>
        <w:t xml:space="preserve">0,40 м и менее - по </w:t>
      </w:r>
      <w:hyperlink w:anchor="P1514">
        <w:r>
          <w:rPr>
            <w:color w:val="0000FF"/>
          </w:rPr>
          <w:t>формуле (6.19)</w:t>
        </w:r>
      </w:hyperlink>
      <w:r>
        <w:t>;</w:t>
      </w:r>
    </w:p>
    <w:p w:rsidR="00212513" w:rsidRDefault="00212513">
      <w:pPr>
        <w:pStyle w:val="ConsPlusNormal"/>
        <w:spacing w:before="220"/>
        <w:ind w:firstLine="540"/>
        <w:jc w:val="both"/>
      </w:pPr>
      <w:r>
        <w:t xml:space="preserve">1,00 м и более - </w:t>
      </w:r>
      <w:r>
        <w:rPr>
          <w:noProof/>
          <w:position w:val="-7"/>
        </w:rPr>
        <w:drawing>
          <wp:inline distT="0" distB="0" distL="0" distR="0">
            <wp:extent cx="815340" cy="230505"/>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815340" cy="230505"/>
                    </a:xfrm>
                    <a:prstGeom prst="rect">
                      <a:avLst/>
                    </a:prstGeom>
                    <a:noFill/>
                    <a:ln>
                      <a:noFill/>
                    </a:ln>
                  </pic:spPr>
                </pic:pic>
              </a:graphicData>
            </a:graphic>
          </wp:inline>
        </w:drawing>
      </w:r>
      <w:r>
        <w:t>;</w:t>
      </w:r>
    </w:p>
    <w:p w:rsidR="00212513" w:rsidRDefault="00212513">
      <w:pPr>
        <w:pStyle w:val="ConsPlusNormal"/>
        <w:spacing w:before="220"/>
        <w:ind w:firstLine="540"/>
        <w:jc w:val="both"/>
      </w:pPr>
      <w:r>
        <w:t>для промежуточных значений толщины - по интерполяции;</w:t>
      </w:r>
    </w:p>
    <w:p w:rsidR="00212513" w:rsidRDefault="00212513">
      <w:pPr>
        <w:pStyle w:val="ConsPlusNormal"/>
        <w:spacing w:before="220"/>
        <w:ind w:firstLine="540"/>
        <w:jc w:val="both"/>
      </w:pPr>
      <w:r>
        <w:t>г) для железобетонных и бетонных арок со сплошным надсводным строением, для бетонных опор и звеньев труб, грунтовых оснований и всех фундаментов</w:t>
      </w:r>
    </w:p>
    <w:p w:rsidR="00212513" w:rsidRDefault="00212513">
      <w:pPr>
        <w:pStyle w:val="ConsPlusNormal"/>
        <w:ind w:firstLine="540"/>
        <w:jc w:val="both"/>
      </w:pPr>
    </w:p>
    <w:p w:rsidR="00212513" w:rsidRDefault="00212513">
      <w:pPr>
        <w:pStyle w:val="ConsPlusNormal"/>
        <w:jc w:val="center"/>
      </w:pPr>
      <w:r>
        <w:rPr>
          <w:noProof/>
          <w:position w:val="-7"/>
        </w:rPr>
        <w:drawing>
          <wp:inline distT="0" distB="0" distL="0" distR="0">
            <wp:extent cx="815340" cy="230505"/>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815340" cy="230505"/>
                    </a:xfrm>
                    <a:prstGeom prst="rect">
                      <a:avLst/>
                    </a:prstGeom>
                    <a:noFill/>
                    <a:ln>
                      <a:noFill/>
                    </a:ln>
                  </pic:spPr>
                </pic:pic>
              </a:graphicData>
            </a:graphic>
          </wp:inline>
        </w:drawing>
      </w:r>
      <w:r>
        <w:t>;</w:t>
      </w:r>
    </w:p>
    <w:p w:rsidR="00212513" w:rsidRDefault="00212513">
      <w:pPr>
        <w:pStyle w:val="ConsPlusNormal"/>
        <w:ind w:firstLine="540"/>
        <w:jc w:val="both"/>
      </w:pPr>
    </w:p>
    <w:p w:rsidR="00212513" w:rsidRDefault="00212513">
      <w:pPr>
        <w:pStyle w:val="ConsPlusNormal"/>
        <w:ind w:firstLine="540"/>
        <w:jc w:val="both"/>
      </w:pPr>
      <w:r>
        <w:t>д) для арок и сводов арочных железобетонных пролетных строений со сквозной надарочной конструкцией железнодорожных мостов</w:t>
      </w:r>
    </w:p>
    <w:p w:rsidR="00212513" w:rsidRDefault="00212513">
      <w:pPr>
        <w:pStyle w:val="ConsPlusNormal"/>
        <w:ind w:firstLine="540"/>
        <w:jc w:val="both"/>
      </w:pPr>
    </w:p>
    <w:p w:rsidR="00212513" w:rsidRDefault="00212513">
      <w:pPr>
        <w:pStyle w:val="ConsPlusNormal"/>
        <w:jc w:val="center"/>
      </w:pPr>
      <w:r>
        <w:rPr>
          <w:noProof/>
          <w:position w:val="-25"/>
        </w:rPr>
        <w:drawing>
          <wp:inline distT="0" distB="0" distL="0" distR="0">
            <wp:extent cx="1941830" cy="461010"/>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941830" cy="461010"/>
                    </a:xfrm>
                    <a:prstGeom prst="rect">
                      <a:avLst/>
                    </a:prstGeom>
                    <a:noFill/>
                    <a:ln>
                      <a:noFill/>
                    </a:ln>
                  </pic:spPr>
                </pic:pic>
              </a:graphicData>
            </a:graphic>
          </wp:inline>
        </w:drawing>
      </w:r>
      <w:r>
        <w:t>, (6.20)</w:t>
      </w:r>
    </w:p>
    <w:p w:rsidR="00212513" w:rsidRDefault="00212513">
      <w:pPr>
        <w:pStyle w:val="ConsPlusNormal"/>
        <w:ind w:firstLine="540"/>
        <w:jc w:val="both"/>
      </w:pPr>
    </w:p>
    <w:p w:rsidR="00212513" w:rsidRDefault="00212513">
      <w:pPr>
        <w:pStyle w:val="ConsPlusNormal"/>
        <w:ind w:firstLine="540"/>
        <w:jc w:val="both"/>
      </w:pPr>
      <w:r>
        <w:t xml:space="preserve">где </w:t>
      </w:r>
      <w:r>
        <w:rPr>
          <w:i/>
        </w:rPr>
        <w:t>f</w:t>
      </w:r>
      <w:r>
        <w:t xml:space="preserve"> - стрела арки;</w:t>
      </w:r>
    </w:p>
    <w:p w:rsidR="00212513" w:rsidRDefault="00212513">
      <w:pPr>
        <w:pStyle w:val="ConsPlusNormal"/>
        <w:spacing w:before="220"/>
        <w:ind w:firstLine="540"/>
        <w:jc w:val="both"/>
      </w:pPr>
      <w:r>
        <w:rPr>
          <w:i/>
        </w:rPr>
        <w:t>l</w:t>
      </w:r>
      <w:r>
        <w:t xml:space="preserve"> - пролет арки;</w:t>
      </w:r>
    </w:p>
    <w:p w:rsidR="00212513" w:rsidRDefault="00212513">
      <w:pPr>
        <w:pStyle w:val="ConsPlusNormal"/>
        <w:spacing w:before="220"/>
        <w:ind w:firstLine="540"/>
        <w:jc w:val="both"/>
      </w:pPr>
      <w:r>
        <w:t>ж) для деревянных конструкций железнодорожных мостов</w:t>
      </w:r>
    </w:p>
    <w:p w:rsidR="00212513" w:rsidRDefault="00212513">
      <w:pPr>
        <w:pStyle w:val="ConsPlusNormal"/>
        <w:spacing w:before="220"/>
        <w:ind w:firstLine="540"/>
        <w:jc w:val="both"/>
      </w:pPr>
      <w:r>
        <w:t xml:space="preserve">для элементов </w:t>
      </w:r>
      <w:r>
        <w:rPr>
          <w:noProof/>
          <w:position w:val="-7"/>
        </w:rPr>
        <w:drawing>
          <wp:inline distT="0" distB="0" distL="0" distR="0">
            <wp:extent cx="818515" cy="230505"/>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818515" cy="230505"/>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для сопряжений </w:t>
      </w:r>
      <w:r>
        <w:rPr>
          <w:noProof/>
          <w:position w:val="-7"/>
        </w:rPr>
        <w:drawing>
          <wp:inline distT="0" distB="0" distL="0" distR="0">
            <wp:extent cx="815340" cy="230505"/>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815340" cy="230505"/>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2) к автомобильным нагрузкам АК и НК и во всех случаях, кроме оговоренных в </w:t>
      </w:r>
      <w:hyperlink w:anchor="P1547">
        <w:r>
          <w:rPr>
            <w:color w:val="0000FF"/>
          </w:rPr>
          <w:t>перечислениях б)</w:t>
        </w:r>
      </w:hyperlink>
      <w:r>
        <w:t xml:space="preserve"> и </w:t>
      </w:r>
      <w:hyperlink w:anchor="P1550">
        <w:r>
          <w:rPr>
            <w:color w:val="0000FF"/>
          </w:rPr>
          <w:t>в)</w:t>
        </w:r>
      </w:hyperlink>
      <w:r>
        <w:t>:</w:t>
      </w:r>
    </w:p>
    <w:p w:rsidR="00212513" w:rsidRDefault="00212513">
      <w:pPr>
        <w:pStyle w:val="ConsPlusNormal"/>
        <w:jc w:val="both"/>
      </w:pPr>
      <w:r>
        <w:t xml:space="preserve">(в ред. </w:t>
      </w:r>
      <w:hyperlink r:id="rId457">
        <w:r>
          <w:rPr>
            <w:color w:val="0000FF"/>
          </w:rPr>
          <w:t>Изменения N 1</w:t>
        </w:r>
      </w:hyperlink>
      <w:r>
        <w:t>, утв. Приказом Минстроя России от 03.12.2016 N 879/пр)</w:t>
      </w:r>
    </w:p>
    <w:p w:rsidR="00212513" w:rsidRDefault="00212513">
      <w:pPr>
        <w:pStyle w:val="ConsPlusNonformat"/>
        <w:spacing w:before="200"/>
        <w:jc w:val="both"/>
      </w:pPr>
      <w:bookmarkStart w:id="75" w:name="P1539"/>
      <w:bookmarkEnd w:id="75"/>
      <w:r>
        <w:t xml:space="preserve">    а) к тележкам нагрузки АК для расчета элементов</w:t>
      </w:r>
    </w:p>
    <w:p w:rsidR="00212513" w:rsidRDefault="00212513">
      <w:pPr>
        <w:pStyle w:val="ConsPlusNonformat"/>
        <w:jc w:val="both"/>
      </w:pPr>
      <w:r>
        <w:t xml:space="preserve">    проезжей части                                   - 1,4;</w:t>
      </w:r>
    </w:p>
    <w:p w:rsidR="00212513" w:rsidRDefault="00212513">
      <w:pPr>
        <w:pStyle w:val="ConsPlusNonformat"/>
        <w:jc w:val="both"/>
      </w:pPr>
      <w:r>
        <w:t xml:space="preserve">    к тележкам нагрузки АК для расчета элементов</w:t>
      </w:r>
    </w:p>
    <w:p w:rsidR="00212513" w:rsidRDefault="00212513">
      <w:pPr>
        <w:pStyle w:val="ConsPlusNonformat"/>
        <w:jc w:val="both"/>
      </w:pPr>
      <w:r>
        <w:t xml:space="preserve">    стальных и сталежелезобетонных мостов            - 1,4;</w:t>
      </w:r>
    </w:p>
    <w:p w:rsidR="00212513" w:rsidRDefault="00212513">
      <w:pPr>
        <w:pStyle w:val="ConsPlusNonformat"/>
        <w:jc w:val="both"/>
      </w:pPr>
      <w:r>
        <w:t xml:space="preserve">    то же, железобетонных мостов                     - 1,3;</w:t>
      </w:r>
    </w:p>
    <w:p w:rsidR="00212513" w:rsidRDefault="00212513">
      <w:pPr>
        <w:pStyle w:val="ConsPlusNonformat"/>
        <w:jc w:val="both"/>
      </w:pPr>
      <w:r>
        <w:t xml:space="preserve">    то же, деревянных мостов                         - 1,0;</w:t>
      </w:r>
    </w:p>
    <w:p w:rsidR="00212513" w:rsidRDefault="00212513">
      <w:pPr>
        <w:pStyle w:val="ConsPlusNonformat"/>
        <w:jc w:val="both"/>
      </w:pPr>
      <w:r>
        <w:t xml:space="preserve">    к равномерно распределенной нагрузке АК          - 1,0;</w:t>
      </w:r>
    </w:p>
    <w:p w:rsidR="00212513" w:rsidRDefault="00212513">
      <w:pPr>
        <w:pStyle w:val="ConsPlusNonformat"/>
        <w:jc w:val="both"/>
      </w:pPr>
      <w:r>
        <w:t xml:space="preserve">    к нагрузке НК                                    - 1,0;</w:t>
      </w:r>
    </w:p>
    <w:p w:rsidR="00212513" w:rsidRDefault="00212513">
      <w:pPr>
        <w:pStyle w:val="ConsPlusNormal"/>
        <w:ind w:firstLine="540"/>
        <w:jc w:val="both"/>
      </w:pPr>
      <w:bookmarkStart w:id="76" w:name="P1547"/>
      <w:bookmarkEnd w:id="76"/>
      <w:r>
        <w:t>б) для элементов деформационных швов, расположенных в уровне проезжей части автодорожных и городских мостов, и их анкеровки (к возможным вертикальным и горизонтальным усилиям):</w:t>
      </w:r>
    </w:p>
    <w:p w:rsidR="00212513" w:rsidRDefault="00212513">
      <w:pPr>
        <w:pStyle w:val="ConsPlusNonformat"/>
        <w:spacing w:before="200"/>
        <w:jc w:val="both"/>
      </w:pPr>
      <w:r>
        <w:t xml:space="preserve">    к нагрузке АК         </w:t>
      </w:r>
      <w:r>
        <w:rPr>
          <w:noProof/>
          <w:position w:val="-6"/>
        </w:rPr>
        <w:drawing>
          <wp:inline distT="0" distB="0" distL="0" distR="0">
            <wp:extent cx="781685" cy="20955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781685" cy="209550"/>
                    </a:xfrm>
                    <a:prstGeom prst="rect">
                      <a:avLst/>
                    </a:prstGeom>
                    <a:noFill/>
                    <a:ln>
                      <a:noFill/>
                    </a:ln>
                  </pic:spPr>
                </pic:pic>
              </a:graphicData>
            </a:graphic>
          </wp:inline>
        </w:drawing>
      </w:r>
      <w:r>
        <w:t>;</w:t>
      </w:r>
    </w:p>
    <w:p w:rsidR="00212513" w:rsidRDefault="00212513">
      <w:pPr>
        <w:pStyle w:val="ConsPlusNonformat"/>
        <w:jc w:val="both"/>
      </w:pPr>
      <w:r>
        <w:t xml:space="preserve">    к нагрузке НК         </w:t>
      </w:r>
      <w:r>
        <w:rPr>
          <w:noProof/>
          <w:position w:val="-6"/>
        </w:rPr>
        <w:drawing>
          <wp:inline distT="0" distB="0" distL="0" distR="0">
            <wp:extent cx="741045" cy="209550"/>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741045" cy="209550"/>
                    </a:xfrm>
                    <a:prstGeom prst="rect">
                      <a:avLst/>
                    </a:prstGeom>
                    <a:noFill/>
                    <a:ln>
                      <a:noFill/>
                    </a:ln>
                  </pic:spPr>
                </pic:pic>
              </a:graphicData>
            </a:graphic>
          </wp:inline>
        </w:drawing>
      </w:r>
      <w:r>
        <w:t>;</w:t>
      </w:r>
    </w:p>
    <w:p w:rsidR="00212513" w:rsidRDefault="00212513">
      <w:pPr>
        <w:pStyle w:val="ConsPlusNormal"/>
        <w:ind w:firstLine="540"/>
        <w:jc w:val="both"/>
      </w:pPr>
      <w:bookmarkStart w:id="77" w:name="P1550"/>
      <w:bookmarkEnd w:id="77"/>
      <w:r>
        <w:t>в) для бетонных опор, грунтовых оснований, всех фундаментов, железобетонных звеньев труб и подземных пешеходных переходов на автомобильных дорогах</w:t>
      </w:r>
    </w:p>
    <w:p w:rsidR="00212513" w:rsidRDefault="00212513">
      <w:pPr>
        <w:pStyle w:val="ConsPlusNormal"/>
        <w:jc w:val="both"/>
      </w:pPr>
      <w:r>
        <w:t xml:space="preserve">(в ред. </w:t>
      </w:r>
      <w:hyperlink r:id="rId460">
        <w:r>
          <w:rPr>
            <w:color w:val="0000FF"/>
          </w:rPr>
          <w:t>Изменения N 1</w:t>
        </w:r>
      </w:hyperlink>
      <w:r>
        <w:t>, утв. Приказом Минстроя России от 03.12.2016 N 879/пр)</w:t>
      </w:r>
    </w:p>
    <w:p w:rsidR="00212513" w:rsidRDefault="00212513">
      <w:pPr>
        <w:pStyle w:val="ConsPlusNormal"/>
        <w:jc w:val="both"/>
      </w:pPr>
    </w:p>
    <w:p w:rsidR="00212513" w:rsidRDefault="00212513">
      <w:pPr>
        <w:pStyle w:val="ConsPlusNormal"/>
        <w:jc w:val="center"/>
      </w:pPr>
      <w:r>
        <w:rPr>
          <w:noProof/>
          <w:position w:val="-7"/>
        </w:rPr>
        <w:drawing>
          <wp:inline distT="0" distB="0" distL="0" distR="0">
            <wp:extent cx="815340" cy="230505"/>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815340" cy="230505"/>
                    </a:xfrm>
                    <a:prstGeom prst="rect">
                      <a:avLst/>
                    </a:prstGeom>
                    <a:noFill/>
                    <a:ln>
                      <a:noFill/>
                    </a:ln>
                  </pic:spPr>
                </pic:pic>
              </a:graphicData>
            </a:graphic>
          </wp:inline>
        </w:drawing>
      </w:r>
      <w:r>
        <w:t>;</w:t>
      </w:r>
    </w:p>
    <w:p w:rsidR="00212513" w:rsidRDefault="00212513">
      <w:pPr>
        <w:pStyle w:val="ConsPlusNormal"/>
        <w:ind w:firstLine="540"/>
        <w:jc w:val="both"/>
      </w:pPr>
    </w:p>
    <w:p w:rsidR="00212513" w:rsidRDefault="00212513">
      <w:pPr>
        <w:pStyle w:val="ConsPlusNormal"/>
        <w:ind w:firstLine="540"/>
        <w:jc w:val="both"/>
      </w:pPr>
      <w:r>
        <w:t>3) к временной вертикальной нагрузке АБ:</w:t>
      </w:r>
    </w:p>
    <w:p w:rsidR="00212513" w:rsidRDefault="00212513">
      <w:pPr>
        <w:pStyle w:val="ConsPlusNormal"/>
        <w:spacing w:before="220"/>
        <w:ind w:firstLine="540"/>
        <w:jc w:val="both"/>
      </w:pPr>
      <w:r>
        <w:lastRenderedPageBreak/>
        <w:t>а) для элементов стальных и сталежелезобетонных пролетных строений, а также элементов стальных опор</w:t>
      </w:r>
    </w:p>
    <w:p w:rsidR="00212513" w:rsidRDefault="00212513">
      <w:pPr>
        <w:pStyle w:val="ConsPlusNormal"/>
        <w:ind w:firstLine="540"/>
        <w:jc w:val="both"/>
      </w:pPr>
    </w:p>
    <w:p w:rsidR="00212513" w:rsidRDefault="00212513">
      <w:pPr>
        <w:pStyle w:val="ConsPlusNormal"/>
        <w:jc w:val="center"/>
      </w:pPr>
      <w:r>
        <w:rPr>
          <w:noProof/>
          <w:position w:val="-23"/>
        </w:rPr>
        <w:drawing>
          <wp:inline distT="0" distB="0" distL="0" distR="0">
            <wp:extent cx="1198880" cy="441960"/>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1198880" cy="441960"/>
                    </a:xfrm>
                    <a:prstGeom prst="rect">
                      <a:avLst/>
                    </a:prstGeom>
                    <a:noFill/>
                    <a:ln>
                      <a:noFill/>
                    </a:ln>
                  </pic:spPr>
                </pic:pic>
              </a:graphicData>
            </a:graphic>
          </wp:inline>
        </w:drawing>
      </w:r>
      <w:r>
        <w:t>, (6.21)</w:t>
      </w:r>
    </w:p>
    <w:p w:rsidR="00212513" w:rsidRDefault="00212513">
      <w:pPr>
        <w:pStyle w:val="ConsPlusNormal"/>
        <w:ind w:firstLine="540"/>
        <w:jc w:val="both"/>
      </w:pPr>
    </w:p>
    <w:p w:rsidR="00212513" w:rsidRDefault="00212513">
      <w:pPr>
        <w:pStyle w:val="ConsPlusNormal"/>
        <w:jc w:val="both"/>
      </w:pPr>
      <w:r>
        <w:t>но не менее 1,00;</w:t>
      </w:r>
    </w:p>
    <w:p w:rsidR="00212513" w:rsidRDefault="00212513">
      <w:pPr>
        <w:pStyle w:val="ConsPlusNormal"/>
        <w:spacing w:before="220"/>
        <w:ind w:firstLine="540"/>
        <w:jc w:val="both"/>
      </w:pPr>
      <w:bookmarkStart w:id="78" w:name="P1561"/>
      <w:bookmarkEnd w:id="78"/>
      <w:r>
        <w:t>б) для железобетонных балочных пролетных строений, железобетонных сквозных, тонкостенных и стоечных опор, а также звеньев труб при отсутствии засыпки под дорожной одеждой</w:t>
      </w:r>
    </w:p>
    <w:p w:rsidR="00212513" w:rsidRDefault="00212513">
      <w:pPr>
        <w:pStyle w:val="ConsPlusNormal"/>
        <w:ind w:firstLine="540"/>
        <w:jc w:val="both"/>
      </w:pPr>
    </w:p>
    <w:p w:rsidR="00212513" w:rsidRDefault="00212513">
      <w:pPr>
        <w:pStyle w:val="ConsPlusNormal"/>
        <w:jc w:val="center"/>
      </w:pPr>
      <w:r>
        <w:rPr>
          <w:noProof/>
          <w:position w:val="-23"/>
        </w:rPr>
        <w:drawing>
          <wp:inline distT="0" distB="0" distL="0" distR="0">
            <wp:extent cx="1198880" cy="441960"/>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198880" cy="441960"/>
                    </a:xfrm>
                    <a:prstGeom prst="rect">
                      <a:avLst/>
                    </a:prstGeom>
                    <a:noFill/>
                    <a:ln>
                      <a:noFill/>
                    </a:ln>
                  </pic:spPr>
                </pic:pic>
              </a:graphicData>
            </a:graphic>
          </wp:inline>
        </w:drawing>
      </w:r>
      <w:r>
        <w:t>, (6.22)</w:t>
      </w:r>
    </w:p>
    <w:p w:rsidR="00212513" w:rsidRDefault="00212513">
      <w:pPr>
        <w:pStyle w:val="ConsPlusNormal"/>
        <w:ind w:firstLine="540"/>
        <w:jc w:val="both"/>
      </w:pPr>
    </w:p>
    <w:p w:rsidR="00212513" w:rsidRDefault="00212513">
      <w:pPr>
        <w:pStyle w:val="ConsPlusNormal"/>
        <w:jc w:val="both"/>
      </w:pPr>
      <w:r>
        <w:t>но не менее 1,00;</w:t>
      </w:r>
    </w:p>
    <w:p w:rsidR="00212513" w:rsidRDefault="00212513">
      <w:pPr>
        <w:pStyle w:val="ConsPlusNormal"/>
        <w:spacing w:before="220"/>
        <w:ind w:firstLine="540"/>
        <w:jc w:val="both"/>
      </w:pPr>
      <w:bookmarkStart w:id="79" w:name="P1566"/>
      <w:bookmarkEnd w:id="79"/>
      <w:r>
        <w:t xml:space="preserve">в) для бетонных опор и звеньев труб, грунтовых оснований и всех фундаментов, а при общей толщине засыпки (включая толщину дорожной одежды) не менее 1,0 м - для железобетонных звеньев труб и не менее 0,5 м - для других элементов, перечисленных выше в </w:t>
      </w:r>
      <w:hyperlink w:anchor="P1561">
        <w:r>
          <w:rPr>
            <w:color w:val="0000FF"/>
          </w:rPr>
          <w:t>"б"</w:t>
        </w:r>
      </w:hyperlink>
    </w:p>
    <w:p w:rsidR="00212513" w:rsidRDefault="00212513">
      <w:pPr>
        <w:pStyle w:val="ConsPlusNormal"/>
        <w:ind w:firstLine="540"/>
        <w:jc w:val="both"/>
      </w:pPr>
    </w:p>
    <w:p w:rsidR="00212513" w:rsidRDefault="00212513">
      <w:pPr>
        <w:pStyle w:val="ConsPlusNormal"/>
        <w:jc w:val="center"/>
      </w:pPr>
      <w:r>
        <w:rPr>
          <w:noProof/>
          <w:position w:val="-7"/>
        </w:rPr>
        <w:drawing>
          <wp:inline distT="0" distB="0" distL="0" distR="0">
            <wp:extent cx="823595" cy="230505"/>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823595" cy="230505"/>
                    </a:xfrm>
                    <a:prstGeom prst="rect">
                      <a:avLst/>
                    </a:prstGeom>
                    <a:noFill/>
                    <a:ln>
                      <a:noFill/>
                    </a:ln>
                  </pic:spPr>
                </pic:pic>
              </a:graphicData>
            </a:graphic>
          </wp:inline>
        </w:drawing>
      </w:r>
      <w:r>
        <w:t>;</w:t>
      </w:r>
    </w:p>
    <w:p w:rsidR="00212513" w:rsidRDefault="00212513">
      <w:pPr>
        <w:pStyle w:val="ConsPlusNormal"/>
        <w:ind w:firstLine="540"/>
        <w:jc w:val="both"/>
      </w:pPr>
    </w:p>
    <w:p w:rsidR="00212513" w:rsidRDefault="00212513">
      <w:pPr>
        <w:pStyle w:val="ConsPlusNormal"/>
        <w:ind w:firstLine="540"/>
        <w:jc w:val="both"/>
      </w:pPr>
      <w:r>
        <w:t xml:space="preserve">при толщине засыпки (включая толщину дорожной одежды), менее указанной в </w:t>
      </w:r>
      <w:hyperlink w:anchor="P1566">
        <w:r>
          <w:rPr>
            <w:color w:val="0000FF"/>
          </w:rPr>
          <w:t>"в"</w:t>
        </w:r>
      </w:hyperlink>
      <w:r>
        <w:t xml:space="preserve">, значения динамических коэффициентов, перечисленных в </w:t>
      </w:r>
      <w:hyperlink w:anchor="P1561">
        <w:r>
          <w:rPr>
            <w:color w:val="0000FF"/>
          </w:rPr>
          <w:t>"б"</w:t>
        </w:r>
      </w:hyperlink>
      <w:r>
        <w:t xml:space="preserve">, принимаются по интерполяции между значениями, принимаемыми по </w:t>
      </w:r>
      <w:hyperlink w:anchor="P1561">
        <w:r>
          <w:rPr>
            <w:color w:val="0000FF"/>
          </w:rPr>
          <w:t>"б"</w:t>
        </w:r>
      </w:hyperlink>
      <w:r>
        <w:t xml:space="preserve"> и </w:t>
      </w:r>
      <w:hyperlink w:anchor="P1566">
        <w:r>
          <w:rPr>
            <w:color w:val="0000FF"/>
          </w:rPr>
          <w:t>"в"</w:t>
        </w:r>
      </w:hyperlink>
      <w:r>
        <w:t>;</w:t>
      </w:r>
    </w:p>
    <w:p w:rsidR="00212513" w:rsidRDefault="00212513">
      <w:pPr>
        <w:pStyle w:val="ConsPlusNormal"/>
        <w:spacing w:before="220"/>
        <w:ind w:firstLine="540"/>
        <w:jc w:val="both"/>
      </w:pPr>
      <w:r>
        <w:t>г) для деревянных конструкций:</w:t>
      </w:r>
    </w:p>
    <w:p w:rsidR="00212513" w:rsidRDefault="00212513">
      <w:pPr>
        <w:pStyle w:val="ConsPlusNormal"/>
        <w:spacing w:before="220"/>
        <w:ind w:firstLine="540"/>
        <w:jc w:val="both"/>
      </w:pPr>
      <w:r>
        <w:t xml:space="preserve">для элементов </w:t>
      </w:r>
      <w:r>
        <w:rPr>
          <w:noProof/>
          <w:position w:val="-7"/>
        </w:rPr>
        <w:drawing>
          <wp:inline distT="0" distB="0" distL="0" distR="0">
            <wp:extent cx="815340" cy="230505"/>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815340" cy="230505"/>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для сопряжений </w:t>
      </w:r>
      <w:r>
        <w:rPr>
          <w:noProof/>
          <w:position w:val="-7"/>
        </w:rPr>
        <w:drawing>
          <wp:inline distT="0" distB="0" distL="0" distR="0">
            <wp:extent cx="815340" cy="230505"/>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815340" cy="230505"/>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Для колонны автомобилей нагрузки АБ - при расчетах на случай согласно </w:t>
      </w:r>
      <w:hyperlink w:anchor="P1246">
        <w:r>
          <w:rPr>
            <w:color w:val="0000FF"/>
          </w:rPr>
          <w:t>6.13, б</w:t>
        </w:r>
      </w:hyperlink>
    </w:p>
    <w:p w:rsidR="00212513" w:rsidRDefault="00212513">
      <w:pPr>
        <w:pStyle w:val="ConsPlusNormal"/>
        <w:ind w:firstLine="540"/>
        <w:jc w:val="both"/>
      </w:pPr>
    </w:p>
    <w:p w:rsidR="00212513" w:rsidRDefault="00212513">
      <w:pPr>
        <w:pStyle w:val="ConsPlusNormal"/>
        <w:jc w:val="center"/>
      </w:pPr>
      <w:r>
        <w:rPr>
          <w:noProof/>
          <w:position w:val="-7"/>
        </w:rPr>
        <w:drawing>
          <wp:inline distT="0" distB="0" distL="0" distR="0">
            <wp:extent cx="815340" cy="230505"/>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815340" cy="230505"/>
                    </a:xfrm>
                    <a:prstGeom prst="rect">
                      <a:avLst/>
                    </a:prstGeom>
                    <a:noFill/>
                    <a:ln>
                      <a:noFill/>
                    </a:ln>
                  </pic:spPr>
                </pic:pic>
              </a:graphicData>
            </a:graphic>
          </wp:inline>
        </w:drawing>
      </w:r>
      <w:r>
        <w:t>;</w:t>
      </w:r>
    </w:p>
    <w:p w:rsidR="00212513" w:rsidRDefault="00212513">
      <w:pPr>
        <w:pStyle w:val="ConsPlusNormal"/>
        <w:ind w:firstLine="540"/>
        <w:jc w:val="both"/>
      </w:pPr>
    </w:p>
    <w:p w:rsidR="00212513" w:rsidRDefault="00212513">
      <w:pPr>
        <w:pStyle w:val="ConsPlusNormal"/>
        <w:ind w:firstLine="540"/>
        <w:jc w:val="both"/>
      </w:pPr>
      <w:r>
        <w:t>4) к вертикальным подвижным нагрузкам для пешеходных мостов и к нагрузкам на тротуарах</w:t>
      </w:r>
    </w:p>
    <w:p w:rsidR="00212513" w:rsidRDefault="00212513">
      <w:pPr>
        <w:pStyle w:val="ConsPlusNormal"/>
        <w:ind w:firstLine="540"/>
        <w:jc w:val="both"/>
      </w:pPr>
    </w:p>
    <w:p w:rsidR="00212513" w:rsidRDefault="00212513">
      <w:pPr>
        <w:pStyle w:val="ConsPlusNormal"/>
        <w:jc w:val="center"/>
      </w:pPr>
      <w:r>
        <w:rPr>
          <w:noProof/>
          <w:position w:val="-7"/>
        </w:rPr>
        <w:drawing>
          <wp:inline distT="0" distB="0" distL="0" distR="0">
            <wp:extent cx="815340" cy="230505"/>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815340" cy="230505"/>
                    </a:xfrm>
                    <a:prstGeom prst="rect">
                      <a:avLst/>
                    </a:prstGeom>
                    <a:noFill/>
                    <a:ln>
                      <a:noFill/>
                    </a:ln>
                  </pic:spPr>
                </pic:pic>
              </a:graphicData>
            </a:graphic>
          </wp:inline>
        </w:drawing>
      </w:r>
      <w:r>
        <w:t>;</w:t>
      </w:r>
    </w:p>
    <w:p w:rsidR="00212513" w:rsidRDefault="00212513">
      <w:pPr>
        <w:pStyle w:val="ConsPlusNormal"/>
        <w:ind w:firstLine="540"/>
        <w:jc w:val="both"/>
      </w:pPr>
    </w:p>
    <w:p w:rsidR="00212513" w:rsidRDefault="00212513">
      <w:pPr>
        <w:pStyle w:val="ConsPlusNormal"/>
        <w:ind w:firstLine="540"/>
        <w:jc w:val="both"/>
      </w:pPr>
      <w:r>
        <w:t>5) к временным горизонтальным нагрузкам и давлению грунта на опоры от транспортных средств железных и автомобильных дорог</w:t>
      </w:r>
    </w:p>
    <w:p w:rsidR="00212513" w:rsidRDefault="00212513">
      <w:pPr>
        <w:pStyle w:val="ConsPlusNormal"/>
        <w:ind w:firstLine="540"/>
        <w:jc w:val="both"/>
      </w:pPr>
    </w:p>
    <w:p w:rsidR="00212513" w:rsidRDefault="00212513">
      <w:pPr>
        <w:pStyle w:val="ConsPlusNormal"/>
        <w:jc w:val="center"/>
      </w:pPr>
      <w:r>
        <w:rPr>
          <w:noProof/>
          <w:position w:val="-7"/>
        </w:rPr>
        <w:drawing>
          <wp:inline distT="0" distB="0" distL="0" distR="0">
            <wp:extent cx="815340" cy="230505"/>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815340" cy="230505"/>
                    </a:xfrm>
                    <a:prstGeom prst="rect">
                      <a:avLst/>
                    </a:prstGeom>
                    <a:noFill/>
                    <a:ln>
                      <a:noFill/>
                    </a:ln>
                  </pic:spPr>
                </pic:pic>
              </a:graphicData>
            </a:graphic>
          </wp:inline>
        </w:drawing>
      </w:r>
      <w:r>
        <w:t>.</w:t>
      </w:r>
    </w:p>
    <w:p w:rsidR="00212513" w:rsidRDefault="00212513">
      <w:pPr>
        <w:pStyle w:val="ConsPlusNormal"/>
        <w:ind w:firstLine="540"/>
        <w:jc w:val="both"/>
      </w:pPr>
    </w:p>
    <w:p w:rsidR="00212513" w:rsidRDefault="00212513">
      <w:pPr>
        <w:pStyle w:val="ConsPlusNormal"/>
        <w:ind w:firstLine="540"/>
        <w:jc w:val="both"/>
      </w:pPr>
      <w:r>
        <w:t xml:space="preserve">Значения </w:t>
      </w:r>
      <w:r>
        <w:rPr>
          <w:noProof/>
          <w:position w:val="-3"/>
        </w:rPr>
        <w:drawing>
          <wp:inline distT="0" distB="0" distL="0" distR="0">
            <wp:extent cx="146050" cy="18923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6050" cy="189230"/>
                    </a:xfrm>
                    <a:prstGeom prst="rect">
                      <a:avLst/>
                    </a:prstGeom>
                    <a:noFill/>
                    <a:ln>
                      <a:noFill/>
                    </a:ln>
                  </pic:spPr>
                </pic:pic>
              </a:graphicData>
            </a:graphic>
          </wp:inline>
        </w:drawing>
      </w:r>
      <w:r>
        <w:t xml:space="preserve"> (длина загружения) в формулах следует принимать равными:</w:t>
      </w:r>
    </w:p>
    <w:p w:rsidR="00212513" w:rsidRDefault="00212513">
      <w:pPr>
        <w:pStyle w:val="ConsPlusNormal"/>
        <w:spacing w:before="220"/>
        <w:ind w:firstLine="540"/>
        <w:jc w:val="both"/>
      </w:pPr>
      <w:r>
        <w:t>а) для основных элементов главных ферм (разрезных балок, арок, рам), а также для продольных и поперечных балок при загружении той части линии влияния, которая определяет их участие в работе главных ферм, - длине пролета, если эта длина больше длины линии влияния;</w:t>
      </w:r>
    </w:p>
    <w:p w:rsidR="00212513" w:rsidRDefault="00212513">
      <w:pPr>
        <w:pStyle w:val="ConsPlusNormal"/>
        <w:spacing w:before="220"/>
        <w:ind w:firstLine="540"/>
        <w:jc w:val="both"/>
      </w:pPr>
      <w:r>
        <w:lastRenderedPageBreak/>
        <w:t>б) для основных элементов главных ферм неразрезных систем - сумме длин загружаемых участков линий влияния (вместе с разделяющими их участками);</w:t>
      </w:r>
    </w:p>
    <w:p w:rsidR="00212513" w:rsidRDefault="00212513">
      <w:pPr>
        <w:pStyle w:val="ConsPlusNormal"/>
        <w:spacing w:before="220"/>
        <w:ind w:firstLine="540"/>
        <w:jc w:val="both"/>
      </w:pPr>
      <w:r>
        <w:t>в) при расчете на местную нагрузку (при загружении той части линии влияния, которая учитывает воздействие местной нагрузки):</w:t>
      </w:r>
    </w:p>
    <w:p w:rsidR="00212513" w:rsidRDefault="00212513">
      <w:pPr>
        <w:pStyle w:val="ConsPlusNormal"/>
        <w:spacing w:before="220"/>
        <w:ind w:firstLine="540"/>
        <w:jc w:val="both"/>
      </w:pPr>
      <w:r>
        <w:t>продольных балок и продольных ребер ортотропных плит - длине их пролета;</w:t>
      </w:r>
    </w:p>
    <w:p w:rsidR="00212513" w:rsidRDefault="00212513">
      <w:pPr>
        <w:pStyle w:val="ConsPlusNormal"/>
        <w:spacing w:before="220"/>
        <w:ind w:firstLine="540"/>
        <w:jc w:val="both"/>
      </w:pPr>
      <w:r>
        <w:t>поперечных балок и поперечных ребер ортотропных плит - суммарной длине продольных балок в примыкающих панелях;</w:t>
      </w:r>
    </w:p>
    <w:p w:rsidR="00212513" w:rsidRDefault="00212513">
      <w:pPr>
        <w:pStyle w:val="ConsPlusNormal"/>
        <w:spacing w:before="220"/>
        <w:ind w:firstLine="540"/>
        <w:jc w:val="both"/>
      </w:pPr>
      <w:r>
        <w:t>подвесок, стоек и других элементов, работающих только на местную нагрузку, - длине загружения линий влияния;</w:t>
      </w:r>
    </w:p>
    <w:p w:rsidR="00212513" w:rsidRDefault="00212513">
      <w:pPr>
        <w:pStyle w:val="ConsPlusNormal"/>
        <w:spacing w:before="220"/>
        <w:ind w:firstLine="540"/>
        <w:jc w:val="both"/>
      </w:pPr>
      <w:r>
        <w:t>плит балластового корыта (поперек пути) - условно равной нулю;</w:t>
      </w:r>
    </w:p>
    <w:p w:rsidR="00212513" w:rsidRDefault="00212513">
      <w:pPr>
        <w:pStyle w:val="ConsPlusNormal"/>
        <w:spacing w:before="220"/>
        <w:ind w:firstLine="540"/>
        <w:jc w:val="both"/>
      </w:pPr>
      <w:r>
        <w:t>железобетонных плит железнодорожного проезда, укладываемых по металлическим балкам, при расчете плиты поперек пути - ширине плиты, при расчете вдоль пути - длине панели продольной балки;</w:t>
      </w:r>
    </w:p>
    <w:p w:rsidR="00212513" w:rsidRDefault="00212513">
      <w:pPr>
        <w:pStyle w:val="ConsPlusNormal"/>
        <w:spacing w:before="220"/>
        <w:ind w:firstLine="540"/>
        <w:jc w:val="both"/>
      </w:pPr>
      <w:r>
        <w:t>железобетонных плит автодорожного проезда, укладываемых по металлическим балкам, при расчете плит поперек моста - расстоянию между балками, на которые опирается плита;</w:t>
      </w:r>
    </w:p>
    <w:p w:rsidR="00212513" w:rsidRDefault="00212513">
      <w:pPr>
        <w:pStyle w:val="ConsPlusNormal"/>
        <w:spacing w:before="220"/>
        <w:ind w:firstLine="540"/>
        <w:jc w:val="both"/>
      </w:pPr>
      <w:r>
        <w:t>г) при загружении линий влияния, учитывающих одновременно основную и местные нагрузки, - раздельно для каждой из этих нагрузок;</w:t>
      </w:r>
    </w:p>
    <w:p w:rsidR="00212513" w:rsidRDefault="00212513">
      <w:pPr>
        <w:pStyle w:val="ConsPlusNormal"/>
        <w:spacing w:before="220"/>
        <w:ind w:firstLine="540"/>
        <w:jc w:val="both"/>
      </w:pPr>
      <w:r>
        <w:t>д) для элементов опор всех типов - равной длине загружения линии влияния опорной реакции, определяемой как сумма длин загружаемых участков (вместе с разделяющими их участками);</w:t>
      </w:r>
    </w:p>
    <w:p w:rsidR="00212513" w:rsidRDefault="00212513">
      <w:pPr>
        <w:pStyle w:val="ConsPlusNormal"/>
        <w:spacing w:before="220"/>
        <w:ind w:firstLine="540"/>
        <w:jc w:val="both"/>
      </w:pPr>
      <w:r>
        <w:t>е) для звеньев труб и подземных пешеходных переходов - равной ширине звена.</w:t>
      </w:r>
    </w:p>
    <w:p w:rsidR="00212513" w:rsidRDefault="00212513">
      <w:pPr>
        <w:pStyle w:val="ConsPlusNormal"/>
        <w:spacing w:before="220"/>
        <w:ind w:firstLine="540"/>
        <w:jc w:val="both"/>
      </w:pPr>
      <w:r>
        <w:t xml:space="preserve">Примечание - В случаях, когда на железных дорогах промышленных предприятий установленная максимальная скорость движения по мосту ограничена </w:t>
      </w:r>
      <w:r>
        <w:rPr>
          <w:noProof/>
          <w:position w:val="-8"/>
        </w:rPr>
        <w:drawing>
          <wp:inline distT="0" distB="0" distL="0" distR="0">
            <wp:extent cx="987425" cy="251460"/>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987425" cy="251460"/>
                    </a:xfrm>
                    <a:prstGeom prst="rect">
                      <a:avLst/>
                    </a:prstGeom>
                    <a:noFill/>
                    <a:ln>
                      <a:noFill/>
                    </a:ln>
                  </pic:spPr>
                </pic:pic>
              </a:graphicData>
            </a:graphic>
          </wp:inline>
        </w:drawing>
      </w:r>
      <w:r>
        <w:t xml:space="preserve">, расчетную величину динамического коэффициента допускается уменьшать, умножая соответствующую динамическую добавку </w:t>
      </w:r>
      <w:r>
        <w:rPr>
          <w:noProof/>
          <w:position w:val="-3"/>
        </w:rPr>
        <w:drawing>
          <wp:inline distT="0" distB="0" distL="0" distR="0">
            <wp:extent cx="167640" cy="188595"/>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67640" cy="188595"/>
                    </a:xfrm>
                    <a:prstGeom prst="rect">
                      <a:avLst/>
                    </a:prstGeom>
                    <a:noFill/>
                    <a:ln>
                      <a:noFill/>
                    </a:ln>
                  </pic:spPr>
                </pic:pic>
              </a:graphicData>
            </a:graphic>
          </wp:inline>
        </w:drawing>
      </w:r>
      <w:r>
        <w:t xml:space="preserve"> на отношение </w:t>
      </w:r>
      <w:r>
        <w:rPr>
          <w:noProof/>
          <w:position w:val="-8"/>
        </w:rPr>
        <w:drawing>
          <wp:inline distT="0" distB="0" distL="0" distR="0">
            <wp:extent cx="441960" cy="251460"/>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441960" cy="251460"/>
                    </a:xfrm>
                    <a:prstGeom prst="rect">
                      <a:avLst/>
                    </a:prstGeom>
                    <a:noFill/>
                    <a:ln>
                      <a:noFill/>
                    </a:ln>
                  </pic:spPr>
                </pic:pic>
              </a:graphicData>
            </a:graphic>
          </wp:inline>
        </w:drawing>
      </w:r>
      <w:r>
        <w:t>, при этом динамический коэффициент следует принимать не менее 1,10.</w:t>
      </w:r>
    </w:p>
    <w:p w:rsidR="00212513" w:rsidRDefault="00212513">
      <w:pPr>
        <w:pStyle w:val="ConsPlusNormal"/>
        <w:ind w:firstLine="540"/>
        <w:jc w:val="both"/>
      </w:pPr>
    </w:p>
    <w:p w:rsidR="00212513" w:rsidRDefault="00212513">
      <w:pPr>
        <w:pStyle w:val="ConsPlusNormal"/>
        <w:ind w:firstLine="540"/>
        <w:jc w:val="both"/>
      </w:pPr>
      <w:bookmarkStart w:id="80" w:name="P1601"/>
      <w:bookmarkEnd w:id="80"/>
      <w:r>
        <w:t xml:space="preserve">6.23 Коэффициенты надежности по нагрузке </w:t>
      </w:r>
      <w:r>
        <w:rPr>
          <w:noProof/>
          <w:position w:val="-10"/>
        </w:rPr>
        <w:drawing>
          <wp:inline distT="0" distB="0" distL="0" distR="0">
            <wp:extent cx="209550" cy="273685"/>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209550" cy="273685"/>
                    </a:xfrm>
                    <a:prstGeom prst="rect">
                      <a:avLst/>
                    </a:prstGeom>
                    <a:noFill/>
                    <a:ln>
                      <a:noFill/>
                    </a:ln>
                  </pic:spPr>
                </pic:pic>
              </a:graphicData>
            </a:graphic>
          </wp:inline>
        </w:drawing>
      </w:r>
      <w:r>
        <w:t xml:space="preserve"> к временным нагрузкам и воздействиям, приведенным в </w:t>
      </w:r>
      <w:hyperlink w:anchor="P1101">
        <w:r>
          <w:rPr>
            <w:color w:val="0000FF"/>
          </w:rPr>
          <w:t>6.11</w:t>
        </w:r>
      </w:hyperlink>
      <w:r>
        <w:t xml:space="preserve"> - </w:t>
      </w:r>
      <w:hyperlink w:anchor="P1479">
        <w:r>
          <w:rPr>
            <w:color w:val="0000FF"/>
          </w:rPr>
          <w:t>6.21</w:t>
        </w:r>
      </w:hyperlink>
      <w:r>
        <w:t>, следует принимать равными:</w:t>
      </w:r>
    </w:p>
    <w:p w:rsidR="00212513" w:rsidRDefault="00212513">
      <w:pPr>
        <w:pStyle w:val="ConsPlusNormal"/>
        <w:spacing w:before="220"/>
        <w:ind w:firstLine="540"/>
        <w:jc w:val="both"/>
      </w:pPr>
      <w:r>
        <w:t xml:space="preserve">а) для железнодорожных нагрузок СК и </w:t>
      </w:r>
      <w:r>
        <w:rPr>
          <w:noProof/>
          <w:position w:val="-4"/>
        </w:rPr>
        <w:drawing>
          <wp:inline distT="0" distB="0" distL="0" distR="0">
            <wp:extent cx="367030" cy="199390"/>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a:extLst>
                        <a:ext uri="{28A0092B-C50C-407E-A947-70E740481C1C}">
                          <a14:useLocalDpi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 xml:space="preserve"> - по </w:t>
      </w:r>
      <w:hyperlink w:anchor="P1621">
        <w:r>
          <w:rPr>
            <w:color w:val="0000FF"/>
          </w:rPr>
          <w:t>таблице 6.9</w:t>
        </w:r>
      </w:hyperlink>
      <w:r>
        <w:t>;</w:t>
      </w:r>
    </w:p>
    <w:p w:rsidR="00212513" w:rsidRDefault="00212513">
      <w:pPr>
        <w:pStyle w:val="ConsPlusNormal"/>
        <w:spacing w:before="220"/>
        <w:ind w:firstLine="540"/>
        <w:jc w:val="both"/>
      </w:pPr>
      <w:bookmarkStart w:id="81" w:name="P1603"/>
      <w:bookmarkEnd w:id="81"/>
      <w:r>
        <w:t xml:space="preserve">б) для нагрузки от автотранспортных средств АК и НК и их воздействий - по </w:t>
      </w:r>
      <w:hyperlink w:anchor="P1645">
        <w:r>
          <w:rPr>
            <w:color w:val="0000FF"/>
          </w:rPr>
          <w:t>таблице 6.10</w:t>
        </w:r>
      </w:hyperlink>
      <w:r>
        <w:t>;</w:t>
      </w:r>
    </w:p>
    <w:p w:rsidR="00212513" w:rsidRDefault="00212513">
      <w:pPr>
        <w:pStyle w:val="ConsPlusNormal"/>
        <w:jc w:val="both"/>
      </w:pPr>
      <w:r>
        <w:t xml:space="preserve">(в ред. </w:t>
      </w:r>
      <w:hyperlink r:id="rId471">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в) к нагрузкам от подвижного состава метрополитена и трамвая - по формуле</w:t>
      </w:r>
    </w:p>
    <w:p w:rsidR="00212513" w:rsidRDefault="00212513">
      <w:pPr>
        <w:pStyle w:val="ConsPlusNormal"/>
        <w:ind w:firstLine="540"/>
        <w:jc w:val="both"/>
      </w:pPr>
    </w:p>
    <w:p w:rsidR="00212513" w:rsidRDefault="00212513">
      <w:pPr>
        <w:pStyle w:val="ConsPlusNormal"/>
        <w:jc w:val="center"/>
      </w:pPr>
      <w:r>
        <w:rPr>
          <w:noProof/>
          <w:position w:val="-23"/>
        </w:rPr>
        <w:drawing>
          <wp:inline distT="0" distB="0" distL="0" distR="0">
            <wp:extent cx="1156970" cy="441960"/>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156970" cy="441960"/>
                    </a:xfrm>
                    <a:prstGeom prst="rect">
                      <a:avLst/>
                    </a:prstGeom>
                    <a:noFill/>
                    <a:ln>
                      <a:noFill/>
                    </a:ln>
                  </pic:spPr>
                </pic:pic>
              </a:graphicData>
            </a:graphic>
          </wp:inline>
        </w:drawing>
      </w:r>
      <w:r>
        <w:t>, но не менее 1,10, (6.23)</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3"/>
        </w:rPr>
        <w:drawing>
          <wp:inline distT="0" distB="0" distL="0" distR="0">
            <wp:extent cx="146050" cy="18923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6050" cy="189230"/>
                    </a:xfrm>
                    <a:prstGeom prst="rect">
                      <a:avLst/>
                    </a:prstGeom>
                    <a:noFill/>
                    <a:ln>
                      <a:noFill/>
                    </a:ln>
                  </pic:spPr>
                </pic:pic>
              </a:graphicData>
            </a:graphic>
          </wp:inline>
        </w:drawing>
      </w:r>
      <w:r>
        <w:t xml:space="preserve"> - длина загружения, м, принимаемая по </w:t>
      </w:r>
      <w:hyperlink w:anchor="P1621">
        <w:r>
          <w:rPr>
            <w:color w:val="0000FF"/>
          </w:rPr>
          <w:t>таблице 6.9</w:t>
        </w:r>
      </w:hyperlink>
      <w:r>
        <w:t>;</w:t>
      </w:r>
    </w:p>
    <w:p w:rsidR="00212513" w:rsidRDefault="00212513">
      <w:pPr>
        <w:pStyle w:val="ConsPlusNormal"/>
        <w:spacing w:before="220"/>
        <w:ind w:firstLine="540"/>
        <w:jc w:val="both"/>
      </w:pPr>
      <w:r>
        <w:t>г) к распределенным нагрузкам для пешеходных мостов и тротуаров при расчете:</w:t>
      </w:r>
    </w:p>
    <w:p w:rsidR="00212513" w:rsidRDefault="00212513">
      <w:pPr>
        <w:pStyle w:val="ConsPlusNormal"/>
        <w:spacing w:before="220"/>
        <w:ind w:firstLine="540"/>
        <w:jc w:val="both"/>
      </w:pPr>
      <w:r>
        <w:lastRenderedPageBreak/>
        <w:t>пешеходных мостов и элементов тротуаров (кроме тротуаров на мостах внутрихозяйственных дорог и служебных проходов), а также перил городских мостов - 1,40;</w:t>
      </w:r>
    </w:p>
    <w:p w:rsidR="00212513" w:rsidRDefault="00212513">
      <w:pPr>
        <w:pStyle w:val="ConsPlusNormal"/>
        <w:spacing w:before="220"/>
        <w:ind w:firstLine="540"/>
        <w:jc w:val="both"/>
      </w:pPr>
      <w:r>
        <w:t>пролетного строения и опор при учете совместно с другими подвижными нагрузками - 1,20;</w:t>
      </w:r>
    </w:p>
    <w:p w:rsidR="00212513" w:rsidRDefault="00212513">
      <w:pPr>
        <w:pStyle w:val="ConsPlusNormal"/>
        <w:spacing w:before="220"/>
        <w:ind w:firstLine="540"/>
        <w:jc w:val="both"/>
      </w:pPr>
      <w:r>
        <w:t>тротуаров на мостах внутрихозяйственных дорог и служебных проходов на мостах дорог всех категорий - 1,10;</w:t>
      </w:r>
    </w:p>
    <w:p w:rsidR="00212513" w:rsidRDefault="00212513">
      <w:pPr>
        <w:pStyle w:val="ConsPlusNormal"/>
        <w:jc w:val="both"/>
      </w:pPr>
      <w:r>
        <w:t xml:space="preserve">(в ред. </w:t>
      </w:r>
      <w:hyperlink r:id="rId473">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д) к распределенным и сосредоточенным горизонтальным нагрузкам на ограждения проезжей части, а также к сосредоточенным давлениям на тротуары и перила - 1,00;</w:t>
      </w:r>
    </w:p>
    <w:p w:rsidR="00212513" w:rsidRDefault="00212513">
      <w:pPr>
        <w:pStyle w:val="ConsPlusNormal"/>
        <w:spacing w:before="220"/>
        <w:ind w:firstLine="540"/>
        <w:jc w:val="both"/>
      </w:pPr>
      <w:r>
        <w:t xml:space="preserve">е) к автомобильным нагрузкам АБ и их воздействиям - в зависимости от удельного веса породы </w:t>
      </w:r>
      <w:r>
        <w:rPr>
          <w:noProof/>
          <w:position w:val="-8"/>
        </w:rPr>
        <w:drawing>
          <wp:inline distT="0" distB="0" distL="0" distR="0">
            <wp:extent cx="261620" cy="25146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261620" cy="251460"/>
                    </a:xfrm>
                    <a:prstGeom prst="rect">
                      <a:avLst/>
                    </a:prstGeom>
                    <a:noFill/>
                    <a:ln>
                      <a:noFill/>
                    </a:ln>
                  </pic:spPr>
                </pic:pic>
              </a:graphicData>
            </a:graphic>
          </wp:inline>
        </w:drawing>
      </w:r>
      <w:r>
        <w:t>, для перевозки которой строится дорога:</w:t>
      </w:r>
    </w:p>
    <w:p w:rsidR="00212513" w:rsidRDefault="00212513">
      <w:pPr>
        <w:pStyle w:val="ConsPlusNormal"/>
        <w:spacing w:before="220"/>
        <w:ind w:firstLine="540"/>
        <w:jc w:val="both"/>
      </w:pPr>
      <w:r>
        <w:t xml:space="preserve">при </w:t>
      </w:r>
      <w:r>
        <w:rPr>
          <w:noProof/>
          <w:position w:val="-10"/>
        </w:rPr>
        <w:drawing>
          <wp:inline distT="0" distB="0" distL="0" distR="0">
            <wp:extent cx="1153160" cy="272415"/>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a:extLst>
                        <a:ext uri="{28A0092B-C50C-407E-A947-70E740481C1C}">
                          <a14:useLocalDpi xmlns:a14="http://schemas.microsoft.com/office/drawing/2010/main" val="0"/>
                        </a:ext>
                      </a:extLst>
                    </a:blip>
                    <a:srcRect/>
                    <a:stretch>
                      <a:fillRect/>
                    </a:stretch>
                  </pic:blipFill>
                  <pic:spPr bwMode="auto">
                    <a:xfrm>
                      <a:off x="0" y="0"/>
                      <a:ext cx="1153160" cy="272415"/>
                    </a:xfrm>
                    <a:prstGeom prst="rect">
                      <a:avLst/>
                    </a:prstGeom>
                    <a:noFill/>
                    <a:ln>
                      <a:noFill/>
                    </a:ln>
                  </pic:spPr>
                </pic:pic>
              </a:graphicData>
            </a:graphic>
          </wp:inline>
        </w:drawing>
      </w:r>
      <w:r>
        <w:t xml:space="preserve"> - 1,1;</w:t>
      </w:r>
    </w:p>
    <w:p w:rsidR="00212513" w:rsidRDefault="00212513">
      <w:pPr>
        <w:pStyle w:val="ConsPlusNormal"/>
        <w:spacing w:before="220"/>
        <w:ind w:firstLine="540"/>
        <w:jc w:val="both"/>
      </w:pPr>
      <w:r>
        <w:t xml:space="preserve">при </w:t>
      </w:r>
      <w:r>
        <w:rPr>
          <w:noProof/>
          <w:position w:val="-10"/>
        </w:rPr>
        <w:drawing>
          <wp:inline distT="0" distB="0" distL="0" distR="0">
            <wp:extent cx="1163320" cy="272415"/>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a:extLst>
                        <a:ext uri="{28A0092B-C50C-407E-A947-70E740481C1C}">
                          <a14:useLocalDpi xmlns:a14="http://schemas.microsoft.com/office/drawing/2010/main" val="0"/>
                        </a:ext>
                      </a:extLst>
                    </a:blip>
                    <a:srcRect/>
                    <a:stretch>
                      <a:fillRect/>
                    </a:stretch>
                  </pic:blipFill>
                  <pic:spPr bwMode="auto">
                    <a:xfrm>
                      <a:off x="0" y="0"/>
                      <a:ext cx="1163320" cy="272415"/>
                    </a:xfrm>
                    <a:prstGeom prst="rect">
                      <a:avLst/>
                    </a:prstGeom>
                    <a:noFill/>
                    <a:ln>
                      <a:noFill/>
                    </a:ln>
                  </pic:spPr>
                </pic:pic>
              </a:graphicData>
            </a:graphic>
          </wp:inline>
        </w:drawing>
      </w:r>
      <w:r>
        <w:t xml:space="preserve"> - 1,4;</w:t>
      </w:r>
    </w:p>
    <w:p w:rsidR="00212513" w:rsidRDefault="00212513">
      <w:pPr>
        <w:pStyle w:val="ConsPlusNormal"/>
        <w:spacing w:before="220"/>
        <w:ind w:firstLine="540"/>
        <w:jc w:val="both"/>
      </w:pPr>
      <w:r>
        <w:t>при промежуточных значениях - по интерполяции.</w:t>
      </w:r>
    </w:p>
    <w:p w:rsidR="00212513" w:rsidRDefault="00212513">
      <w:pPr>
        <w:pStyle w:val="ConsPlusNormal"/>
        <w:ind w:firstLine="540"/>
        <w:jc w:val="both"/>
      </w:pPr>
    </w:p>
    <w:p w:rsidR="00212513" w:rsidRDefault="00212513">
      <w:pPr>
        <w:pStyle w:val="ConsPlusNormal"/>
        <w:jc w:val="right"/>
      </w:pPr>
      <w:bookmarkStart w:id="82" w:name="P1621"/>
      <w:bookmarkEnd w:id="82"/>
      <w:r>
        <w:t>Таблица 6.9</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21"/>
        <w:gridCol w:w="1599"/>
        <w:gridCol w:w="1599"/>
        <w:gridCol w:w="1601"/>
        <w:gridCol w:w="1531"/>
      </w:tblGrid>
      <w:tr w:rsidR="00212513">
        <w:tc>
          <w:tcPr>
            <w:tcW w:w="2721" w:type="dxa"/>
            <w:vMerge w:val="restart"/>
            <w:vAlign w:val="center"/>
          </w:tcPr>
          <w:p w:rsidR="00212513" w:rsidRDefault="00212513">
            <w:pPr>
              <w:pStyle w:val="ConsPlusNormal"/>
              <w:jc w:val="center"/>
            </w:pPr>
            <w:r>
              <w:t>Воздействие</w:t>
            </w:r>
          </w:p>
        </w:tc>
        <w:tc>
          <w:tcPr>
            <w:tcW w:w="6330" w:type="dxa"/>
            <w:gridSpan w:val="4"/>
            <w:vAlign w:val="center"/>
          </w:tcPr>
          <w:p w:rsidR="00212513" w:rsidRDefault="00212513">
            <w:pPr>
              <w:pStyle w:val="ConsPlusNormal"/>
              <w:jc w:val="center"/>
            </w:pPr>
            <w:r>
              <w:t xml:space="preserve">Коэффициент надежности по нагрузке </w:t>
            </w:r>
            <w:r>
              <w:rPr>
                <w:noProof/>
                <w:position w:val="-9"/>
              </w:rPr>
              <w:drawing>
                <wp:inline distT="0" distB="0" distL="0" distR="0">
                  <wp:extent cx="209550" cy="262255"/>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209550" cy="262255"/>
                          </a:xfrm>
                          <a:prstGeom prst="rect">
                            <a:avLst/>
                          </a:prstGeom>
                          <a:noFill/>
                          <a:ln>
                            <a:noFill/>
                          </a:ln>
                        </pic:spPr>
                      </pic:pic>
                    </a:graphicData>
                  </a:graphic>
                </wp:inline>
              </w:drawing>
            </w:r>
            <w:r>
              <w:t xml:space="preserve"> при расчете</w:t>
            </w:r>
          </w:p>
        </w:tc>
      </w:tr>
      <w:tr w:rsidR="00212513">
        <w:tc>
          <w:tcPr>
            <w:tcW w:w="2721" w:type="dxa"/>
            <w:vMerge/>
          </w:tcPr>
          <w:p w:rsidR="00212513" w:rsidRDefault="00212513">
            <w:pPr>
              <w:pStyle w:val="ConsPlusNormal"/>
            </w:pPr>
          </w:p>
        </w:tc>
        <w:tc>
          <w:tcPr>
            <w:tcW w:w="4799" w:type="dxa"/>
            <w:gridSpan w:val="3"/>
            <w:vAlign w:val="center"/>
          </w:tcPr>
          <w:p w:rsidR="00212513" w:rsidRDefault="00212513">
            <w:pPr>
              <w:pStyle w:val="ConsPlusNormal"/>
              <w:jc w:val="center"/>
            </w:pPr>
            <w:r>
              <w:t xml:space="preserve">конструкций мостов в зависимости от длины загружения </w:t>
            </w:r>
            <w:r>
              <w:rPr>
                <w:noProof/>
                <w:position w:val="-4"/>
              </w:rPr>
              <w:drawing>
                <wp:inline distT="0" distB="0" distL="0" distR="0">
                  <wp:extent cx="157480" cy="199390"/>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r>
              <w:t xml:space="preserve"> </w:t>
            </w:r>
            <w:hyperlink w:anchor="P1643">
              <w:r>
                <w:rPr>
                  <w:color w:val="0000FF"/>
                </w:rPr>
                <w:t>&lt;*&gt;</w:t>
              </w:r>
            </w:hyperlink>
            <w:r>
              <w:t>, м</w:t>
            </w:r>
          </w:p>
        </w:tc>
        <w:tc>
          <w:tcPr>
            <w:tcW w:w="1531" w:type="dxa"/>
            <w:vMerge w:val="restart"/>
            <w:vAlign w:val="center"/>
          </w:tcPr>
          <w:p w:rsidR="00212513" w:rsidRDefault="00212513">
            <w:pPr>
              <w:pStyle w:val="ConsPlusNormal"/>
              <w:jc w:val="center"/>
            </w:pPr>
            <w:r>
              <w:t>звеньев труб</w:t>
            </w:r>
          </w:p>
        </w:tc>
      </w:tr>
      <w:tr w:rsidR="00212513">
        <w:tc>
          <w:tcPr>
            <w:tcW w:w="2721" w:type="dxa"/>
            <w:vMerge/>
          </w:tcPr>
          <w:p w:rsidR="00212513" w:rsidRDefault="00212513">
            <w:pPr>
              <w:pStyle w:val="ConsPlusNormal"/>
            </w:pPr>
          </w:p>
        </w:tc>
        <w:tc>
          <w:tcPr>
            <w:tcW w:w="1599" w:type="dxa"/>
            <w:vAlign w:val="center"/>
          </w:tcPr>
          <w:p w:rsidR="00212513" w:rsidRDefault="00212513">
            <w:pPr>
              <w:pStyle w:val="ConsPlusNormal"/>
              <w:jc w:val="center"/>
            </w:pPr>
            <w:r>
              <w:t>0</w:t>
            </w:r>
          </w:p>
        </w:tc>
        <w:tc>
          <w:tcPr>
            <w:tcW w:w="1599" w:type="dxa"/>
            <w:vAlign w:val="center"/>
          </w:tcPr>
          <w:p w:rsidR="00212513" w:rsidRDefault="00212513">
            <w:pPr>
              <w:pStyle w:val="ConsPlusNormal"/>
              <w:jc w:val="center"/>
            </w:pPr>
            <w:r>
              <w:t>50</w:t>
            </w:r>
          </w:p>
        </w:tc>
        <w:tc>
          <w:tcPr>
            <w:tcW w:w="1601" w:type="dxa"/>
            <w:vAlign w:val="center"/>
          </w:tcPr>
          <w:p w:rsidR="00212513" w:rsidRDefault="00212513">
            <w:pPr>
              <w:pStyle w:val="ConsPlusNormal"/>
              <w:jc w:val="center"/>
            </w:pPr>
            <w:r>
              <w:t>150 и более</w:t>
            </w:r>
          </w:p>
        </w:tc>
        <w:tc>
          <w:tcPr>
            <w:tcW w:w="1531" w:type="dxa"/>
            <w:vMerge/>
          </w:tcPr>
          <w:p w:rsidR="00212513" w:rsidRDefault="00212513">
            <w:pPr>
              <w:pStyle w:val="ConsPlusNormal"/>
            </w:pPr>
          </w:p>
        </w:tc>
      </w:tr>
      <w:tr w:rsidR="00212513">
        <w:tblPrEx>
          <w:tblBorders>
            <w:insideH w:val="nil"/>
          </w:tblBorders>
        </w:tblPrEx>
        <w:tc>
          <w:tcPr>
            <w:tcW w:w="2721" w:type="dxa"/>
            <w:tcBorders>
              <w:bottom w:val="nil"/>
            </w:tcBorders>
          </w:tcPr>
          <w:p w:rsidR="00212513" w:rsidRDefault="00212513">
            <w:pPr>
              <w:pStyle w:val="ConsPlusNormal"/>
            </w:pPr>
            <w:r>
              <w:t>Вертикальное</w:t>
            </w:r>
          </w:p>
        </w:tc>
        <w:tc>
          <w:tcPr>
            <w:tcW w:w="1599" w:type="dxa"/>
            <w:tcBorders>
              <w:bottom w:val="nil"/>
            </w:tcBorders>
          </w:tcPr>
          <w:p w:rsidR="00212513" w:rsidRDefault="00212513">
            <w:pPr>
              <w:pStyle w:val="ConsPlusNormal"/>
              <w:jc w:val="center"/>
            </w:pPr>
            <w:r>
              <w:t>1,30</w:t>
            </w:r>
          </w:p>
        </w:tc>
        <w:tc>
          <w:tcPr>
            <w:tcW w:w="1599" w:type="dxa"/>
            <w:tcBorders>
              <w:bottom w:val="nil"/>
            </w:tcBorders>
          </w:tcPr>
          <w:p w:rsidR="00212513" w:rsidRDefault="00212513">
            <w:pPr>
              <w:pStyle w:val="ConsPlusNormal"/>
              <w:jc w:val="center"/>
            </w:pPr>
            <w:r>
              <w:t>1,15</w:t>
            </w:r>
          </w:p>
        </w:tc>
        <w:tc>
          <w:tcPr>
            <w:tcW w:w="1601" w:type="dxa"/>
            <w:tcBorders>
              <w:bottom w:val="nil"/>
            </w:tcBorders>
          </w:tcPr>
          <w:p w:rsidR="00212513" w:rsidRDefault="00212513">
            <w:pPr>
              <w:pStyle w:val="ConsPlusNormal"/>
              <w:jc w:val="center"/>
            </w:pPr>
            <w:r>
              <w:t>1,10</w:t>
            </w:r>
          </w:p>
        </w:tc>
        <w:tc>
          <w:tcPr>
            <w:tcW w:w="1531" w:type="dxa"/>
            <w:tcBorders>
              <w:bottom w:val="nil"/>
            </w:tcBorders>
          </w:tcPr>
          <w:p w:rsidR="00212513" w:rsidRDefault="00212513">
            <w:pPr>
              <w:pStyle w:val="ConsPlusNormal"/>
              <w:jc w:val="center"/>
            </w:pPr>
            <w:r>
              <w:t>1,30</w:t>
            </w:r>
          </w:p>
        </w:tc>
      </w:tr>
      <w:tr w:rsidR="00212513">
        <w:tblPrEx>
          <w:tblBorders>
            <w:insideH w:val="nil"/>
          </w:tblBorders>
        </w:tblPrEx>
        <w:tc>
          <w:tcPr>
            <w:tcW w:w="2721" w:type="dxa"/>
            <w:tcBorders>
              <w:top w:val="nil"/>
            </w:tcBorders>
          </w:tcPr>
          <w:p w:rsidR="00212513" w:rsidRDefault="00212513">
            <w:pPr>
              <w:pStyle w:val="ConsPlusNormal"/>
            </w:pPr>
            <w:r>
              <w:t>Горизонтальное</w:t>
            </w:r>
          </w:p>
        </w:tc>
        <w:tc>
          <w:tcPr>
            <w:tcW w:w="1599" w:type="dxa"/>
            <w:tcBorders>
              <w:top w:val="nil"/>
            </w:tcBorders>
          </w:tcPr>
          <w:p w:rsidR="00212513" w:rsidRDefault="00212513">
            <w:pPr>
              <w:pStyle w:val="ConsPlusNormal"/>
              <w:jc w:val="center"/>
            </w:pPr>
            <w:r>
              <w:t>1,20</w:t>
            </w:r>
          </w:p>
        </w:tc>
        <w:tc>
          <w:tcPr>
            <w:tcW w:w="1599" w:type="dxa"/>
            <w:tcBorders>
              <w:top w:val="nil"/>
            </w:tcBorders>
          </w:tcPr>
          <w:p w:rsidR="00212513" w:rsidRDefault="00212513">
            <w:pPr>
              <w:pStyle w:val="ConsPlusNormal"/>
              <w:jc w:val="center"/>
            </w:pPr>
            <w:r>
              <w:t>1,10</w:t>
            </w:r>
          </w:p>
        </w:tc>
        <w:tc>
          <w:tcPr>
            <w:tcW w:w="1601" w:type="dxa"/>
            <w:tcBorders>
              <w:top w:val="nil"/>
            </w:tcBorders>
          </w:tcPr>
          <w:p w:rsidR="00212513" w:rsidRDefault="00212513">
            <w:pPr>
              <w:pStyle w:val="ConsPlusNormal"/>
              <w:jc w:val="center"/>
            </w:pPr>
            <w:r>
              <w:t>1,10</w:t>
            </w:r>
          </w:p>
        </w:tc>
        <w:tc>
          <w:tcPr>
            <w:tcW w:w="1531" w:type="dxa"/>
            <w:tcBorders>
              <w:top w:val="nil"/>
            </w:tcBorders>
          </w:tcPr>
          <w:p w:rsidR="00212513" w:rsidRDefault="00212513">
            <w:pPr>
              <w:pStyle w:val="ConsPlusNormal"/>
              <w:jc w:val="center"/>
            </w:pPr>
            <w:r>
              <w:t>1,20</w:t>
            </w:r>
          </w:p>
        </w:tc>
      </w:tr>
      <w:tr w:rsidR="00212513">
        <w:tc>
          <w:tcPr>
            <w:tcW w:w="2721" w:type="dxa"/>
          </w:tcPr>
          <w:p w:rsidR="00212513" w:rsidRDefault="00212513">
            <w:pPr>
              <w:pStyle w:val="ConsPlusNormal"/>
            </w:pPr>
            <w:r>
              <w:t>Давление грунта от подвижного состава на призме обрушения</w:t>
            </w:r>
          </w:p>
        </w:tc>
        <w:tc>
          <w:tcPr>
            <w:tcW w:w="4799" w:type="dxa"/>
            <w:gridSpan w:val="3"/>
          </w:tcPr>
          <w:p w:rsidR="00212513" w:rsidRDefault="00212513">
            <w:pPr>
              <w:pStyle w:val="ConsPlusNormal"/>
              <w:jc w:val="center"/>
            </w:pPr>
            <w:r>
              <w:t>1,20 независимо от длины загружения</w:t>
            </w:r>
          </w:p>
        </w:tc>
        <w:tc>
          <w:tcPr>
            <w:tcW w:w="1531" w:type="dxa"/>
          </w:tcPr>
          <w:p w:rsidR="00212513" w:rsidRDefault="00212513">
            <w:pPr>
              <w:pStyle w:val="ConsPlusNormal"/>
              <w:jc w:val="center"/>
            </w:pPr>
            <w:r>
              <w:t>-</w:t>
            </w:r>
          </w:p>
        </w:tc>
      </w:tr>
      <w:tr w:rsidR="00212513">
        <w:tc>
          <w:tcPr>
            <w:tcW w:w="9051" w:type="dxa"/>
            <w:gridSpan w:val="5"/>
          </w:tcPr>
          <w:p w:rsidR="00212513" w:rsidRDefault="00212513">
            <w:pPr>
              <w:pStyle w:val="ConsPlusNormal"/>
              <w:ind w:firstLine="283"/>
              <w:jc w:val="both"/>
            </w:pPr>
            <w:bookmarkStart w:id="83" w:name="P1643"/>
            <w:bookmarkEnd w:id="83"/>
            <w:r>
              <w:t xml:space="preserve">&lt;*&gt; Здесь </w:t>
            </w:r>
            <w:r>
              <w:rPr>
                <w:noProof/>
                <w:position w:val="-4"/>
              </w:rPr>
              <w:drawing>
                <wp:inline distT="0" distB="0" distL="0" distR="0">
                  <wp:extent cx="157480" cy="199390"/>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r>
              <w:t xml:space="preserve"> - длина загружения линии влияния за вычетом длины участков, загруженных порожним составом (при </w:t>
            </w:r>
            <w:r>
              <w:rPr>
                <w:noProof/>
                <w:position w:val="-9"/>
              </w:rPr>
              <w:drawing>
                <wp:inline distT="0" distB="0" distL="0" distR="0">
                  <wp:extent cx="450850" cy="262255"/>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450850" cy="262255"/>
                          </a:xfrm>
                          <a:prstGeom prst="rect">
                            <a:avLst/>
                          </a:prstGeom>
                          <a:noFill/>
                          <a:ln>
                            <a:noFill/>
                          </a:ln>
                        </pic:spPr>
                      </pic:pic>
                    </a:graphicData>
                  </a:graphic>
                </wp:inline>
              </w:drawing>
            </w:r>
            <w:r>
              <w:t xml:space="preserve">); для промежуточных значений </w:t>
            </w:r>
            <w:r>
              <w:rPr>
                <w:noProof/>
                <w:position w:val="-4"/>
              </w:rPr>
              <w:drawing>
                <wp:inline distT="0" distB="0" distL="0" distR="0">
                  <wp:extent cx="157480" cy="19939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r>
              <w:t xml:space="preserve"> следует принимать по интерполяции.</w:t>
            </w:r>
          </w:p>
        </w:tc>
      </w:tr>
    </w:tbl>
    <w:p w:rsidR="00212513" w:rsidRDefault="00212513">
      <w:pPr>
        <w:pStyle w:val="ConsPlusNormal"/>
        <w:ind w:firstLine="540"/>
        <w:jc w:val="both"/>
      </w:pPr>
    </w:p>
    <w:p w:rsidR="00212513" w:rsidRDefault="00212513">
      <w:pPr>
        <w:pStyle w:val="ConsPlusNormal"/>
        <w:jc w:val="right"/>
      </w:pPr>
      <w:bookmarkStart w:id="84" w:name="P1645"/>
      <w:bookmarkEnd w:id="84"/>
      <w:r>
        <w:t>Таблица 6.10</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62"/>
        <w:gridCol w:w="4252"/>
      </w:tblGrid>
      <w:tr w:rsidR="00212513">
        <w:tc>
          <w:tcPr>
            <w:tcW w:w="4762" w:type="dxa"/>
            <w:tcBorders>
              <w:top w:val="single" w:sz="4" w:space="0" w:color="auto"/>
              <w:bottom w:val="single" w:sz="4" w:space="0" w:color="auto"/>
            </w:tcBorders>
            <w:vAlign w:val="center"/>
          </w:tcPr>
          <w:p w:rsidR="00212513" w:rsidRDefault="00212513">
            <w:pPr>
              <w:pStyle w:val="ConsPlusNormal"/>
              <w:jc w:val="center"/>
            </w:pPr>
            <w:r>
              <w:t>Вид нагрузки</w:t>
            </w:r>
          </w:p>
        </w:tc>
        <w:tc>
          <w:tcPr>
            <w:tcW w:w="4252" w:type="dxa"/>
            <w:tcBorders>
              <w:top w:val="single" w:sz="4" w:space="0" w:color="auto"/>
              <w:bottom w:val="single" w:sz="4" w:space="0" w:color="auto"/>
            </w:tcBorders>
            <w:vAlign w:val="center"/>
          </w:tcPr>
          <w:p w:rsidR="00212513" w:rsidRDefault="00212513">
            <w:pPr>
              <w:pStyle w:val="ConsPlusNormal"/>
              <w:jc w:val="center"/>
            </w:pPr>
            <w:r>
              <w:t>Коэффициент надежности по нагрузке </w:t>
            </w:r>
            <w:r>
              <w:rPr>
                <w:noProof/>
                <w:position w:val="-9"/>
              </w:rPr>
              <w:drawing>
                <wp:inline distT="0" distB="0" distL="0" distR="0">
                  <wp:extent cx="209550" cy="262255"/>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209550" cy="262255"/>
                          </a:xfrm>
                          <a:prstGeom prst="rect">
                            <a:avLst/>
                          </a:prstGeom>
                          <a:noFill/>
                          <a:ln>
                            <a:noFill/>
                          </a:ln>
                        </pic:spPr>
                      </pic:pic>
                    </a:graphicData>
                  </a:graphic>
                </wp:inline>
              </w:drawing>
            </w:r>
          </w:p>
        </w:tc>
      </w:tr>
      <w:tr w:rsidR="00212513">
        <w:tblPrEx>
          <w:tblBorders>
            <w:insideH w:val="none" w:sz="0" w:space="0" w:color="auto"/>
          </w:tblBorders>
        </w:tblPrEx>
        <w:tc>
          <w:tcPr>
            <w:tcW w:w="4762" w:type="dxa"/>
            <w:tcBorders>
              <w:top w:val="single" w:sz="4" w:space="0" w:color="auto"/>
              <w:bottom w:val="nil"/>
            </w:tcBorders>
          </w:tcPr>
          <w:p w:rsidR="00212513" w:rsidRDefault="00212513">
            <w:pPr>
              <w:pStyle w:val="ConsPlusNormal"/>
            </w:pPr>
            <w:r>
              <w:t>Тележка нагрузки АК</w:t>
            </w:r>
          </w:p>
        </w:tc>
        <w:tc>
          <w:tcPr>
            <w:tcW w:w="4252" w:type="dxa"/>
            <w:tcBorders>
              <w:top w:val="single" w:sz="4" w:space="0" w:color="auto"/>
              <w:bottom w:val="nil"/>
            </w:tcBorders>
          </w:tcPr>
          <w:p w:rsidR="00212513" w:rsidRDefault="00212513">
            <w:pPr>
              <w:pStyle w:val="ConsPlusNormal"/>
              <w:jc w:val="center"/>
            </w:pPr>
            <w:r>
              <w:t>1,50</w:t>
            </w:r>
          </w:p>
        </w:tc>
      </w:tr>
      <w:tr w:rsidR="00212513">
        <w:tblPrEx>
          <w:tblBorders>
            <w:insideH w:val="none" w:sz="0" w:space="0" w:color="auto"/>
          </w:tblBorders>
        </w:tblPrEx>
        <w:tc>
          <w:tcPr>
            <w:tcW w:w="4762" w:type="dxa"/>
            <w:tcBorders>
              <w:top w:val="nil"/>
              <w:bottom w:val="nil"/>
            </w:tcBorders>
          </w:tcPr>
          <w:p w:rsidR="00212513" w:rsidRDefault="00212513">
            <w:pPr>
              <w:pStyle w:val="ConsPlusNormal"/>
            </w:pPr>
            <w:r>
              <w:t>Равномерно распределенная часть нагрузки АК</w:t>
            </w:r>
          </w:p>
        </w:tc>
        <w:tc>
          <w:tcPr>
            <w:tcW w:w="4252" w:type="dxa"/>
            <w:tcBorders>
              <w:top w:val="nil"/>
              <w:bottom w:val="nil"/>
            </w:tcBorders>
          </w:tcPr>
          <w:p w:rsidR="00212513" w:rsidRDefault="00212513">
            <w:pPr>
              <w:pStyle w:val="ConsPlusNormal"/>
              <w:jc w:val="center"/>
            </w:pPr>
            <w:r>
              <w:t>1,25</w:t>
            </w:r>
          </w:p>
        </w:tc>
      </w:tr>
      <w:tr w:rsidR="00212513">
        <w:tblPrEx>
          <w:tblBorders>
            <w:insideH w:val="none" w:sz="0" w:space="0" w:color="auto"/>
          </w:tblBorders>
        </w:tblPrEx>
        <w:tc>
          <w:tcPr>
            <w:tcW w:w="9014" w:type="dxa"/>
            <w:gridSpan w:val="2"/>
            <w:tcBorders>
              <w:top w:val="nil"/>
              <w:bottom w:val="nil"/>
            </w:tcBorders>
          </w:tcPr>
          <w:p w:rsidR="00212513" w:rsidRDefault="00212513">
            <w:pPr>
              <w:pStyle w:val="ConsPlusNormal"/>
              <w:jc w:val="both"/>
            </w:pPr>
            <w:r>
              <w:t xml:space="preserve">(в ред. </w:t>
            </w:r>
            <w:hyperlink r:id="rId482">
              <w:r>
                <w:rPr>
                  <w:color w:val="0000FF"/>
                </w:rPr>
                <w:t>Изменения N 1</w:t>
              </w:r>
            </w:hyperlink>
            <w:r>
              <w:t>, утв. Приказом Минстроя России от 03.12.2016 N 879/пр)</w:t>
            </w:r>
          </w:p>
        </w:tc>
      </w:tr>
      <w:tr w:rsidR="00212513">
        <w:tblPrEx>
          <w:tblBorders>
            <w:insideH w:val="none" w:sz="0" w:space="0" w:color="auto"/>
          </w:tblBorders>
        </w:tblPrEx>
        <w:tc>
          <w:tcPr>
            <w:tcW w:w="4762" w:type="dxa"/>
            <w:tcBorders>
              <w:top w:val="nil"/>
              <w:bottom w:val="single" w:sz="4" w:space="0" w:color="auto"/>
            </w:tcBorders>
          </w:tcPr>
          <w:p w:rsidR="00212513" w:rsidRDefault="00212513">
            <w:pPr>
              <w:pStyle w:val="ConsPlusNormal"/>
            </w:pPr>
            <w:r>
              <w:lastRenderedPageBreak/>
              <w:t>Нагрузка НК</w:t>
            </w:r>
          </w:p>
        </w:tc>
        <w:tc>
          <w:tcPr>
            <w:tcW w:w="4252" w:type="dxa"/>
            <w:tcBorders>
              <w:top w:val="nil"/>
              <w:bottom w:val="single" w:sz="4" w:space="0" w:color="auto"/>
            </w:tcBorders>
          </w:tcPr>
          <w:p w:rsidR="00212513" w:rsidRDefault="00212513">
            <w:pPr>
              <w:pStyle w:val="ConsPlusNormal"/>
              <w:jc w:val="center"/>
            </w:pPr>
            <w:r>
              <w:t>1,10</w:t>
            </w:r>
          </w:p>
        </w:tc>
      </w:tr>
    </w:tbl>
    <w:p w:rsidR="00212513" w:rsidRDefault="00212513">
      <w:pPr>
        <w:pStyle w:val="ConsPlusNormal"/>
        <w:ind w:firstLine="540"/>
        <w:jc w:val="both"/>
      </w:pPr>
    </w:p>
    <w:p w:rsidR="00212513" w:rsidRDefault="00212513">
      <w:pPr>
        <w:pStyle w:val="ConsPlusTitle"/>
        <w:ind w:firstLine="540"/>
        <w:jc w:val="both"/>
        <w:outlineLvl w:val="2"/>
      </w:pPr>
      <w:r>
        <w:t>Прочие временные нагрузки и воздействия</w:t>
      </w:r>
    </w:p>
    <w:p w:rsidR="00212513" w:rsidRDefault="00212513">
      <w:pPr>
        <w:pStyle w:val="ConsPlusNormal"/>
        <w:ind w:firstLine="540"/>
        <w:jc w:val="both"/>
      </w:pPr>
    </w:p>
    <w:p w:rsidR="00212513" w:rsidRDefault="00212513">
      <w:pPr>
        <w:pStyle w:val="ConsPlusNormal"/>
        <w:ind w:firstLine="540"/>
        <w:jc w:val="both"/>
      </w:pPr>
      <w:bookmarkStart w:id="85" w:name="P1659"/>
      <w:bookmarkEnd w:id="85"/>
      <w:r>
        <w:t xml:space="preserve">6.24 Нормативное значение ветровой нагрузки </w:t>
      </w:r>
      <w:r>
        <w:rPr>
          <w:noProof/>
          <w:position w:val="-8"/>
        </w:rPr>
        <w:drawing>
          <wp:inline distT="0" distB="0" distL="0" distR="0">
            <wp:extent cx="230505" cy="251460"/>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230505" cy="251460"/>
                    </a:xfrm>
                    <a:prstGeom prst="rect">
                      <a:avLst/>
                    </a:prstGeom>
                    <a:noFill/>
                    <a:ln>
                      <a:noFill/>
                    </a:ln>
                  </pic:spPr>
                </pic:pic>
              </a:graphicData>
            </a:graphic>
          </wp:inline>
        </w:drawing>
      </w:r>
      <w:r>
        <w:t xml:space="preserve"> следует определять как сумму нормативных значений средней </w:t>
      </w:r>
      <w:r>
        <w:rPr>
          <w:noProof/>
          <w:position w:val="-8"/>
        </w:rPr>
        <w:drawing>
          <wp:inline distT="0" distB="0" distL="0" distR="0">
            <wp:extent cx="251460" cy="25146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и пульсационной </w:t>
      </w:r>
      <w:r>
        <w:rPr>
          <w:noProof/>
          <w:position w:val="-10"/>
        </w:rPr>
        <w:drawing>
          <wp:inline distT="0" distB="0" distL="0" distR="0">
            <wp:extent cx="230505" cy="273685"/>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составляющих</w:t>
      </w:r>
    </w:p>
    <w:p w:rsidR="00212513" w:rsidRDefault="00212513">
      <w:pPr>
        <w:pStyle w:val="ConsPlusNormal"/>
        <w:ind w:firstLine="540"/>
        <w:jc w:val="both"/>
      </w:pPr>
    </w:p>
    <w:p w:rsidR="00212513" w:rsidRDefault="00212513">
      <w:pPr>
        <w:pStyle w:val="ConsPlusNormal"/>
        <w:jc w:val="center"/>
      </w:pPr>
      <w:r>
        <w:rPr>
          <w:noProof/>
          <w:position w:val="-10"/>
        </w:rPr>
        <w:drawing>
          <wp:inline distT="0" distB="0" distL="0" distR="0">
            <wp:extent cx="977900" cy="273685"/>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977900" cy="273685"/>
                    </a:xfrm>
                    <a:prstGeom prst="rect">
                      <a:avLst/>
                    </a:prstGeom>
                    <a:noFill/>
                    <a:ln>
                      <a:noFill/>
                    </a:ln>
                  </pic:spPr>
                </pic:pic>
              </a:graphicData>
            </a:graphic>
          </wp:inline>
        </w:drawing>
      </w:r>
      <w:r>
        <w:t>. (6.24)</w:t>
      </w:r>
    </w:p>
    <w:p w:rsidR="00212513" w:rsidRDefault="00212513">
      <w:pPr>
        <w:pStyle w:val="ConsPlusNormal"/>
        <w:ind w:firstLine="540"/>
        <w:jc w:val="both"/>
      </w:pPr>
    </w:p>
    <w:p w:rsidR="00212513" w:rsidRDefault="00212513">
      <w:pPr>
        <w:pStyle w:val="ConsPlusNormal"/>
        <w:ind w:firstLine="540"/>
        <w:jc w:val="both"/>
      </w:pPr>
      <w:r>
        <w:t xml:space="preserve">Нормативное значение средней составляющей ветровой нагрузки </w:t>
      </w:r>
      <w:r>
        <w:rPr>
          <w:noProof/>
          <w:position w:val="-8"/>
        </w:rPr>
        <w:drawing>
          <wp:inline distT="0" distB="0" distL="0" distR="0">
            <wp:extent cx="251460" cy="251460"/>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на высоте </w:t>
      </w:r>
      <w:r>
        <w:rPr>
          <w:i/>
        </w:rPr>
        <w:t>z</w:t>
      </w:r>
      <w:r>
        <w:t xml:space="preserve"> над поверхностью воды или земли определяется по формуле</w:t>
      </w:r>
    </w:p>
    <w:p w:rsidR="00212513" w:rsidRDefault="00212513">
      <w:pPr>
        <w:pStyle w:val="ConsPlusNormal"/>
        <w:ind w:firstLine="540"/>
        <w:jc w:val="both"/>
      </w:pPr>
    </w:p>
    <w:p w:rsidR="00212513" w:rsidRDefault="00212513">
      <w:pPr>
        <w:pStyle w:val="ConsPlusNormal"/>
        <w:jc w:val="center"/>
      </w:pPr>
      <w:r>
        <w:rPr>
          <w:noProof/>
          <w:position w:val="-8"/>
        </w:rPr>
        <w:drawing>
          <wp:inline distT="0" distB="0" distL="0" distR="0">
            <wp:extent cx="859790" cy="251460"/>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859790" cy="251460"/>
                    </a:xfrm>
                    <a:prstGeom prst="rect">
                      <a:avLst/>
                    </a:prstGeom>
                    <a:noFill/>
                    <a:ln>
                      <a:noFill/>
                    </a:ln>
                  </pic:spPr>
                </pic:pic>
              </a:graphicData>
            </a:graphic>
          </wp:inline>
        </w:drawing>
      </w:r>
      <w:r>
        <w:t>, (6.25)</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8"/>
        </w:rPr>
        <w:drawing>
          <wp:inline distT="0" distB="0" distL="0" distR="0">
            <wp:extent cx="230505" cy="251460"/>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230505" cy="251460"/>
                    </a:xfrm>
                    <a:prstGeom prst="rect">
                      <a:avLst/>
                    </a:prstGeom>
                    <a:noFill/>
                    <a:ln>
                      <a:noFill/>
                    </a:ln>
                  </pic:spPr>
                </pic:pic>
              </a:graphicData>
            </a:graphic>
          </wp:inline>
        </w:drawing>
      </w:r>
      <w:r>
        <w:t xml:space="preserve"> - нормативное значение ветрового давления, принимаемое по </w:t>
      </w:r>
      <w:hyperlink r:id="rId490">
        <w:r>
          <w:rPr>
            <w:color w:val="0000FF"/>
          </w:rPr>
          <w:t>СП 20.13330</w:t>
        </w:r>
      </w:hyperlink>
      <w:r>
        <w:t xml:space="preserve"> в зависимости от ветрового района, в котором возводится сооружение;</w:t>
      </w:r>
    </w:p>
    <w:p w:rsidR="00212513" w:rsidRDefault="00212513">
      <w:pPr>
        <w:pStyle w:val="ConsPlusNormal"/>
        <w:spacing w:before="220"/>
        <w:ind w:firstLine="540"/>
        <w:jc w:val="both"/>
      </w:pPr>
      <w:r>
        <w:rPr>
          <w:i/>
        </w:rPr>
        <w:t>k</w:t>
      </w:r>
      <w:r>
        <w:t xml:space="preserve"> - коэффициент, учитывающий для открытой местности (типа A) изменение ветрового давления по высоте </w:t>
      </w:r>
      <w:r>
        <w:rPr>
          <w:i/>
        </w:rPr>
        <w:t>z</w:t>
      </w:r>
      <w:r>
        <w:t xml:space="preserve">, принимаемый по </w:t>
      </w:r>
      <w:hyperlink r:id="rId491">
        <w:r>
          <w:rPr>
            <w:color w:val="0000FF"/>
          </w:rPr>
          <w:t>СП 20.13330</w:t>
        </w:r>
      </w:hyperlink>
      <w:r>
        <w:t>;</w:t>
      </w:r>
    </w:p>
    <w:p w:rsidR="00212513" w:rsidRDefault="00212513">
      <w:pPr>
        <w:pStyle w:val="ConsPlusNormal"/>
        <w:spacing w:before="220"/>
        <w:ind w:firstLine="540"/>
        <w:jc w:val="both"/>
      </w:pPr>
      <w:r>
        <w:rPr>
          <w:noProof/>
          <w:position w:val="-8"/>
        </w:rPr>
        <w:drawing>
          <wp:inline distT="0" distB="0" distL="0" distR="0">
            <wp:extent cx="230505" cy="25146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230505" cy="251460"/>
                    </a:xfrm>
                    <a:prstGeom prst="rect">
                      <a:avLst/>
                    </a:prstGeom>
                    <a:noFill/>
                    <a:ln>
                      <a:noFill/>
                    </a:ln>
                  </pic:spPr>
                </pic:pic>
              </a:graphicData>
            </a:graphic>
          </wp:inline>
        </w:drawing>
      </w:r>
      <w:r>
        <w:t xml:space="preserve"> - аэродинамический коэффициент лобового сопротивления конструкций мостов и подвижного состава железных дорог и метрополитена, приведенный в </w:t>
      </w:r>
      <w:hyperlink w:anchor="P14146">
        <w:r>
          <w:rPr>
            <w:color w:val="0000FF"/>
          </w:rPr>
          <w:t>приложении Н</w:t>
        </w:r>
      </w:hyperlink>
      <w:r>
        <w:t>.</w:t>
      </w:r>
    </w:p>
    <w:p w:rsidR="00212513" w:rsidRDefault="00212513">
      <w:pPr>
        <w:pStyle w:val="ConsPlusNormal"/>
        <w:spacing w:before="220"/>
        <w:ind w:firstLine="540"/>
        <w:jc w:val="both"/>
      </w:pPr>
      <w:r>
        <w:t xml:space="preserve">Нормативное значение пульсационной составляющей ветровой нагрузки </w:t>
      </w:r>
      <w:r>
        <w:rPr>
          <w:noProof/>
          <w:position w:val="-10"/>
        </w:rPr>
        <w:drawing>
          <wp:inline distT="0" distB="0" distL="0" distR="0">
            <wp:extent cx="241935" cy="273685"/>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241935" cy="273685"/>
                    </a:xfrm>
                    <a:prstGeom prst="rect">
                      <a:avLst/>
                    </a:prstGeom>
                    <a:noFill/>
                    <a:ln>
                      <a:noFill/>
                    </a:ln>
                  </pic:spPr>
                </pic:pic>
              </a:graphicData>
            </a:graphic>
          </wp:inline>
        </w:drawing>
      </w:r>
      <w:r>
        <w:t xml:space="preserve"> на высоте </w:t>
      </w:r>
      <w:r>
        <w:rPr>
          <w:i/>
        </w:rPr>
        <w:t>z</w:t>
      </w:r>
      <w:r>
        <w:t xml:space="preserve"> следует определять по указаниям, содержащимся в </w:t>
      </w:r>
      <w:hyperlink r:id="rId494">
        <w:r>
          <w:rPr>
            <w:color w:val="0000FF"/>
          </w:rPr>
          <w:t>СП 20.13330</w:t>
        </w:r>
      </w:hyperlink>
    </w:p>
    <w:p w:rsidR="00212513" w:rsidRDefault="00212513">
      <w:pPr>
        <w:pStyle w:val="ConsPlusNormal"/>
        <w:ind w:firstLine="540"/>
        <w:jc w:val="both"/>
      </w:pPr>
    </w:p>
    <w:p w:rsidR="00212513" w:rsidRDefault="00212513">
      <w:pPr>
        <w:pStyle w:val="ConsPlusNormal"/>
        <w:jc w:val="center"/>
      </w:pPr>
      <w:r>
        <w:rPr>
          <w:noProof/>
          <w:position w:val="-10"/>
        </w:rPr>
        <w:drawing>
          <wp:inline distT="0" distB="0" distL="0" distR="0">
            <wp:extent cx="889000" cy="273685"/>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889000" cy="273685"/>
                    </a:xfrm>
                    <a:prstGeom prst="rect">
                      <a:avLst/>
                    </a:prstGeom>
                    <a:noFill/>
                    <a:ln>
                      <a:noFill/>
                    </a:ln>
                  </pic:spPr>
                </pic:pic>
              </a:graphicData>
            </a:graphic>
          </wp:inline>
        </w:drawing>
      </w:r>
      <w:r>
        <w:t>, (6.26)</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7"/>
        </w:rPr>
        <w:drawing>
          <wp:inline distT="0" distB="0" distL="0" distR="0">
            <wp:extent cx="146685" cy="230505"/>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146685" cy="230505"/>
                    </a:xfrm>
                    <a:prstGeom prst="rect">
                      <a:avLst/>
                    </a:prstGeom>
                    <a:noFill/>
                    <a:ln>
                      <a:noFill/>
                    </a:ln>
                  </pic:spPr>
                </pic:pic>
              </a:graphicData>
            </a:graphic>
          </wp:inline>
        </w:drawing>
      </w:r>
      <w:r>
        <w:t xml:space="preserve"> - коэффициент динамичности;</w:t>
      </w:r>
    </w:p>
    <w:p w:rsidR="00212513" w:rsidRDefault="00212513">
      <w:pPr>
        <w:pStyle w:val="ConsPlusNormal"/>
        <w:spacing w:before="220"/>
        <w:ind w:firstLine="540"/>
        <w:jc w:val="both"/>
      </w:pPr>
      <w:r>
        <w:rPr>
          <w:i/>
        </w:rPr>
        <w:t>L</w:t>
      </w:r>
      <w:r>
        <w:t xml:space="preserve"> - коэффициент пульсации давления ветра на уровне </w:t>
      </w:r>
      <w:r>
        <w:rPr>
          <w:i/>
        </w:rPr>
        <w:t>z</w:t>
      </w:r>
      <w:r>
        <w:t>;</w:t>
      </w:r>
    </w:p>
    <w:p w:rsidR="00212513" w:rsidRDefault="00212513">
      <w:pPr>
        <w:pStyle w:val="ConsPlusNormal"/>
        <w:spacing w:before="220"/>
        <w:ind w:firstLine="540"/>
        <w:jc w:val="both"/>
      </w:pPr>
      <w:r>
        <w:rPr>
          <w:noProof/>
        </w:rPr>
        <w:drawing>
          <wp:inline distT="0" distB="0" distL="0" distR="0">
            <wp:extent cx="146685" cy="146050"/>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xml:space="preserve"> - коэффициент пространственной корреляции пульсации давления для расчетной поверхности сооружения.</w:t>
      </w:r>
    </w:p>
    <w:p w:rsidR="00212513" w:rsidRDefault="00212513">
      <w:pPr>
        <w:pStyle w:val="ConsPlusNormal"/>
        <w:spacing w:before="220"/>
        <w:ind w:firstLine="540"/>
        <w:jc w:val="both"/>
      </w:pPr>
      <w:r>
        <w:t>При определении пульсационной составляющей ветровой нагрузки применительно к конструкциям мостов допускается руководствоваться следующим:</w:t>
      </w:r>
    </w:p>
    <w:p w:rsidR="00212513" w:rsidRDefault="00212513">
      <w:pPr>
        <w:pStyle w:val="ConsPlusNormal"/>
        <w:spacing w:before="220"/>
        <w:ind w:firstLine="540"/>
        <w:jc w:val="both"/>
      </w:pPr>
      <w:r>
        <w:t xml:space="preserve">а) произведение коэффициентов </w:t>
      </w:r>
      <w:r>
        <w:rPr>
          <w:noProof/>
          <w:position w:val="-3"/>
        </w:rPr>
        <w:drawing>
          <wp:inline distT="0" distB="0" distL="0" distR="0">
            <wp:extent cx="241935" cy="177800"/>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241935" cy="177800"/>
                    </a:xfrm>
                    <a:prstGeom prst="rect">
                      <a:avLst/>
                    </a:prstGeom>
                    <a:noFill/>
                    <a:ln>
                      <a:noFill/>
                    </a:ln>
                  </pic:spPr>
                </pic:pic>
              </a:graphicData>
            </a:graphic>
          </wp:inline>
        </w:drawing>
      </w:r>
      <w:r>
        <w:t xml:space="preserve"> принимать равным</w:t>
      </w:r>
    </w:p>
    <w:p w:rsidR="00212513" w:rsidRDefault="00212513">
      <w:pPr>
        <w:pStyle w:val="ConsPlusNormal"/>
        <w:ind w:firstLine="540"/>
        <w:jc w:val="both"/>
      </w:pPr>
    </w:p>
    <w:p w:rsidR="00212513" w:rsidRDefault="00212513">
      <w:pPr>
        <w:pStyle w:val="ConsPlusNormal"/>
        <w:jc w:val="center"/>
      </w:pPr>
      <w:r>
        <w:rPr>
          <w:noProof/>
          <w:position w:val="-5"/>
        </w:rPr>
        <w:drawing>
          <wp:inline distT="0" distB="0" distL="0" distR="0">
            <wp:extent cx="1204595" cy="209550"/>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1204595" cy="209550"/>
                    </a:xfrm>
                    <a:prstGeom prst="rect">
                      <a:avLst/>
                    </a:prstGeom>
                    <a:noFill/>
                    <a:ln>
                      <a:noFill/>
                    </a:ln>
                  </pic:spPr>
                </pic:pic>
              </a:graphicData>
            </a:graphic>
          </wp:inline>
        </w:drawing>
      </w:r>
      <w:r>
        <w:t>, но не менее 0,30, (6.27)</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3"/>
        </w:rPr>
        <w:drawing>
          <wp:inline distT="0" distB="0" distL="0" distR="0">
            <wp:extent cx="146050" cy="189230"/>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6050" cy="189230"/>
                    </a:xfrm>
                    <a:prstGeom prst="rect">
                      <a:avLst/>
                    </a:prstGeom>
                    <a:noFill/>
                    <a:ln>
                      <a:noFill/>
                    </a:ln>
                  </pic:spPr>
                </pic:pic>
              </a:graphicData>
            </a:graphic>
          </wp:inline>
        </w:drawing>
      </w:r>
      <w:r>
        <w:t xml:space="preserve"> - длина пролета или высота опоры, м;</w:t>
      </w:r>
    </w:p>
    <w:p w:rsidR="00212513" w:rsidRDefault="00212513">
      <w:pPr>
        <w:pStyle w:val="ConsPlusNormal"/>
        <w:spacing w:before="220"/>
        <w:ind w:firstLine="540"/>
        <w:jc w:val="both"/>
      </w:pPr>
      <w:r>
        <w:t xml:space="preserve">б) коэффициент динамичности </w:t>
      </w:r>
      <w:r>
        <w:rPr>
          <w:noProof/>
          <w:position w:val="-7"/>
        </w:rPr>
        <w:drawing>
          <wp:inline distT="0" distB="0" distL="0" distR="0">
            <wp:extent cx="146685" cy="230505"/>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146685" cy="230505"/>
                    </a:xfrm>
                    <a:prstGeom prst="rect">
                      <a:avLst/>
                    </a:prstGeom>
                    <a:noFill/>
                    <a:ln>
                      <a:noFill/>
                    </a:ln>
                  </pic:spPr>
                </pic:pic>
              </a:graphicData>
            </a:graphic>
          </wp:inline>
        </w:drawing>
      </w:r>
      <w:r>
        <w:t xml:space="preserve"> для балочных разрезных конструкций находить в предположении, что рассматриваемая конструкция в горизонтальной плоскости является динамической системой с одной степенью свободы (с низшей частотой собственных колебаний </w:t>
      </w:r>
      <w:r>
        <w:rPr>
          <w:noProof/>
          <w:position w:val="-8"/>
        </w:rPr>
        <w:drawing>
          <wp:inline distT="0" distB="0" distL="0" distR="0">
            <wp:extent cx="177800" cy="251460"/>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Гц); его величину определять по графику, приведенному в </w:t>
      </w:r>
      <w:hyperlink r:id="rId501">
        <w:r>
          <w:rPr>
            <w:color w:val="0000FF"/>
          </w:rPr>
          <w:t>СП 20.13330</w:t>
        </w:r>
      </w:hyperlink>
      <w:r>
        <w:t xml:space="preserve">, в зависимости от </w:t>
      </w:r>
      <w:r>
        <w:lastRenderedPageBreak/>
        <w:t xml:space="preserve">указанного там параметра </w:t>
      </w:r>
      <w:r>
        <w:rPr>
          <w:noProof/>
          <w:position w:val="-1"/>
        </w:rPr>
        <w:drawing>
          <wp:inline distT="0" distB="0" distL="0" distR="0">
            <wp:extent cx="147320" cy="157480"/>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2">
                      <a:extLst>
                        <a:ext uri="{28A0092B-C50C-407E-A947-70E740481C1C}">
                          <a14:useLocalDpi xmlns:a14="http://schemas.microsoft.com/office/drawing/2010/main" val="0"/>
                        </a:ext>
                      </a:extLst>
                    </a:blip>
                    <a:srcRect/>
                    <a:stretch>
                      <a:fillRect/>
                    </a:stretch>
                  </pic:blipFill>
                  <pic:spPr bwMode="auto">
                    <a:xfrm>
                      <a:off x="0" y="0"/>
                      <a:ext cx="147320" cy="157480"/>
                    </a:xfrm>
                    <a:prstGeom prst="rect">
                      <a:avLst/>
                    </a:prstGeom>
                    <a:noFill/>
                    <a:ln>
                      <a:noFill/>
                    </a:ln>
                  </pic:spPr>
                </pic:pic>
              </a:graphicData>
            </a:graphic>
          </wp:inline>
        </w:drawing>
      </w:r>
      <w:r>
        <w:t xml:space="preserve"> и логарифмического декремента затухания </w:t>
      </w:r>
      <w:r>
        <w:rPr>
          <w:noProof/>
          <w:position w:val="-5"/>
        </w:rPr>
        <w:drawing>
          <wp:inline distT="0" distB="0" distL="0" distR="0">
            <wp:extent cx="525780" cy="209550"/>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525780" cy="209550"/>
                    </a:xfrm>
                    <a:prstGeom prst="rect">
                      <a:avLst/>
                    </a:prstGeom>
                    <a:noFill/>
                    <a:ln>
                      <a:noFill/>
                    </a:ln>
                  </pic:spPr>
                </pic:pic>
              </a:graphicData>
            </a:graphic>
          </wp:inline>
        </w:drawing>
      </w:r>
      <w:r>
        <w:t xml:space="preserve"> - для железобетонных и сталежелезобетонных конструкций и </w:t>
      </w:r>
      <w:r>
        <w:rPr>
          <w:noProof/>
          <w:position w:val="-5"/>
        </w:rPr>
        <w:drawing>
          <wp:inline distT="0" distB="0" distL="0" distR="0">
            <wp:extent cx="608330" cy="209550"/>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608330" cy="209550"/>
                    </a:xfrm>
                    <a:prstGeom prst="rect">
                      <a:avLst/>
                    </a:prstGeom>
                    <a:noFill/>
                    <a:ln>
                      <a:noFill/>
                    </a:ln>
                  </pic:spPr>
                </pic:pic>
              </a:graphicData>
            </a:graphic>
          </wp:inline>
        </w:drawing>
      </w:r>
      <w:r>
        <w:t xml:space="preserve"> - для стальных конструкций.</w:t>
      </w:r>
    </w:p>
    <w:p w:rsidR="00212513" w:rsidRDefault="00212513">
      <w:pPr>
        <w:pStyle w:val="ConsPlusNormal"/>
        <w:spacing w:before="220"/>
        <w:ind w:firstLine="540"/>
        <w:jc w:val="both"/>
      </w:pPr>
      <w:r>
        <w:t>Коэффициент динамичности принимается равным 1,2, если:</w:t>
      </w:r>
    </w:p>
    <w:p w:rsidR="00212513" w:rsidRDefault="00212513">
      <w:pPr>
        <w:pStyle w:val="ConsPlusNormal"/>
        <w:spacing w:before="220"/>
        <w:ind w:firstLine="540"/>
        <w:jc w:val="both"/>
      </w:pPr>
      <w:r>
        <w:t>балочное пролетное строение является неразрезным;</w:t>
      </w:r>
    </w:p>
    <w:p w:rsidR="00212513" w:rsidRDefault="00212513">
      <w:pPr>
        <w:pStyle w:val="ConsPlusNormal"/>
        <w:spacing w:before="220"/>
        <w:ind w:firstLine="540"/>
        <w:jc w:val="both"/>
      </w:pPr>
      <w:r>
        <w:t xml:space="preserve">для балочного разрезного пролетного строения имеет место условие </w:t>
      </w:r>
      <w:r>
        <w:rPr>
          <w:noProof/>
          <w:position w:val="-8"/>
        </w:rPr>
        <w:drawing>
          <wp:inline distT="0" distB="0" distL="0" distR="0">
            <wp:extent cx="470535" cy="251460"/>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470535" cy="251460"/>
                    </a:xfrm>
                    <a:prstGeom prst="rect">
                      <a:avLst/>
                    </a:prstGeom>
                    <a:noFill/>
                    <a:ln>
                      <a:noFill/>
                    </a:ln>
                  </pic:spPr>
                </pic:pic>
              </a:graphicData>
            </a:graphic>
          </wp:inline>
        </w:drawing>
      </w:r>
      <w:r>
        <w:t xml:space="preserve">, где </w:t>
      </w:r>
      <w:r>
        <w:rPr>
          <w:noProof/>
          <w:position w:val="-8"/>
        </w:rPr>
        <w:drawing>
          <wp:inline distT="0" distB="0" distL="0" distR="0">
            <wp:extent cx="188595" cy="251460"/>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Гц, - предельные значения частот собственных колебаний, приведенные в </w:t>
      </w:r>
      <w:hyperlink r:id="rId507">
        <w:r>
          <w:rPr>
            <w:color w:val="0000FF"/>
          </w:rPr>
          <w:t>СП 20.13330</w:t>
        </w:r>
      </w:hyperlink>
      <w:r>
        <w:t>, при которых в разных ветровых районах допускается не учитывать силы инерции, возникающие при колебаниях по собственной форме.</w:t>
      </w:r>
    </w:p>
    <w:p w:rsidR="00212513" w:rsidRDefault="00212513">
      <w:pPr>
        <w:pStyle w:val="ConsPlusNormal"/>
        <w:spacing w:before="220"/>
        <w:ind w:firstLine="540"/>
        <w:jc w:val="both"/>
      </w:pPr>
      <w:r>
        <w:t>При расчете конструкций автодорожных и городских мостов воздействие ветра на безрельсовые транспортные средства и трамвай, находящиеся на этих мостах, не учитывается.</w:t>
      </w:r>
    </w:p>
    <w:p w:rsidR="00212513" w:rsidRDefault="00212513">
      <w:pPr>
        <w:pStyle w:val="ConsPlusNormal"/>
        <w:spacing w:before="220"/>
        <w:ind w:firstLine="540"/>
        <w:jc w:val="both"/>
      </w:pPr>
      <w:r>
        <w:t>Типовые конструкции пролетных строений следует, как правило, проектировать на возможность их применения в V ветровом районе (при расчетной высоте до низа пролетных строений: 20 м - при езде понизу и 15 м - при езде поверху) и предусматривать возможность их усиления при применении в VI и VII ветровых районах.</w:t>
      </w:r>
    </w:p>
    <w:p w:rsidR="00212513" w:rsidRDefault="00212513">
      <w:pPr>
        <w:pStyle w:val="ConsPlusNormal"/>
        <w:spacing w:before="220"/>
        <w:ind w:firstLine="540"/>
        <w:jc w:val="both"/>
      </w:pPr>
      <w:r>
        <w:t>Нормативную интенсивность полной ветровой поперечной горизонтальной нагрузки при проектировании индивидуальных (нетиповых) конструкций пролетных строений и опор следует принимать не менее 0,59 кПа - при загружении конструкций временной вертикальной нагрузкой и 0,98 кПа - при отсутствии загружения этой нагрузкой.</w:t>
      </w:r>
    </w:p>
    <w:p w:rsidR="00212513" w:rsidRDefault="00212513">
      <w:pPr>
        <w:pStyle w:val="ConsPlusNormal"/>
        <w:spacing w:before="220"/>
        <w:ind w:firstLine="540"/>
        <w:jc w:val="both"/>
      </w:pPr>
      <w:r>
        <w:t>Горизонтальную поперечную ветровую нагрузку, действующую на отдельные конструкции моста, а также на поезд, находящийся на железнодорожном мосту (мосту метро), следует принимать равной произведению интенсивности ветровой нагрузки на рабочую ветровую поверхность конструкции моста и подвижного состава.</w:t>
      </w:r>
    </w:p>
    <w:p w:rsidR="00212513" w:rsidRDefault="00212513">
      <w:pPr>
        <w:pStyle w:val="ConsPlusNormal"/>
        <w:spacing w:before="220"/>
        <w:ind w:firstLine="540"/>
        <w:jc w:val="both"/>
      </w:pPr>
      <w:r>
        <w:t>Рабочую ветровую поверхность конструкции моста и подвижного состава следует принимать равной:</w:t>
      </w:r>
    </w:p>
    <w:p w:rsidR="00212513" w:rsidRDefault="00212513">
      <w:pPr>
        <w:pStyle w:val="ConsPlusNormal"/>
        <w:spacing w:before="220"/>
        <w:ind w:firstLine="540"/>
        <w:jc w:val="both"/>
      </w:pPr>
      <w:r>
        <w:t>для главных ферм сквозных пролетных строений и сквозных опор - площади проекции всех элементов наветренной фермы на плоскость, перпендикулярную направлению ветра, при этом для стальных ферм с треугольной или раскосой решеткой ее допускается принимать в размере 20% площади, ограниченной контурами фермы;</w:t>
      </w:r>
    </w:p>
    <w:p w:rsidR="00212513" w:rsidRDefault="00212513">
      <w:pPr>
        <w:pStyle w:val="ConsPlusNormal"/>
        <w:spacing w:before="220"/>
        <w:ind w:firstLine="540"/>
        <w:jc w:val="both"/>
      </w:pPr>
      <w:r>
        <w:t>для проезжей части сквозных пролетных строений - боковой поверхности ее балочной клетки, не закрытой поясом главной фермы;</w:t>
      </w:r>
    </w:p>
    <w:p w:rsidR="00212513" w:rsidRDefault="00212513">
      <w:pPr>
        <w:pStyle w:val="ConsPlusNormal"/>
        <w:spacing w:before="220"/>
        <w:ind w:firstLine="540"/>
        <w:jc w:val="both"/>
      </w:pPr>
      <w:r>
        <w:t>для пролетных строений со сплошными балками и прогонов деревянных мостов - боковой поверхности наветренной главной балки или коробки и наветренного прогона;</w:t>
      </w:r>
    </w:p>
    <w:p w:rsidR="00212513" w:rsidRDefault="00212513">
      <w:pPr>
        <w:pStyle w:val="ConsPlusNormal"/>
        <w:spacing w:before="220"/>
        <w:ind w:firstLine="540"/>
        <w:jc w:val="both"/>
      </w:pPr>
      <w:r>
        <w:t>для сплошных опор - площади проекции тела опоры от уровня грунта или воды на плоскость, перпендикулярную направлению ветра;</w:t>
      </w:r>
    </w:p>
    <w:p w:rsidR="00212513" w:rsidRDefault="00212513">
      <w:pPr>
        <w:pStyle w:val="ConsPlusNormal"/>
        <w:spacing w:before="220"/>
        <w:ind w:firstLine="540"/>
        <w:jc w:val="both"/>
      </w:pPr>
      <w:r>
        <w:t>для железнодорожного подвижного состава (в том числе поездов метрополитена) - площади сплошной полосы высотой 3 м с центром давления на высоте 2 м от головки рельса.</w:t>
      </w:r>
    </w:p>
    <w:p w:rsidR="00212513" w:rsidRDefault="00212513">
      <w:pPr>
        <w:pStyle w:val="ConsPlusNormal"/>
        <w:spacing w:before="220"/>
        <w:ind w:firstLine="540"/>
        <w:jc w:val="both"/>
      </w:pPr>
      <w:r>
        <w:t>Распределение ветровой нагрузки по длине пролета допускается принимать равномерным.</w:t>
      </w:r>
    </w:p>
    <w:p w:rsidR="00212513" w:rsidRDefault="00212513">
      <w:pPr>
        <w:pStyle w:val="ConsPlusNormal"/>
        <w:spacing w:before="220"/>
        <w:ind w:firstLine="540"/>
        <w:jc w:val="both"/>
      </w:pPr>
      <w:r>
        <w:t xml:space="preserve">Нормативную интенсивность ветровой нагрузки, учитываемой при строительстве и монтаже, следует определять исходя из возможного в намеченный период значения средней составляющей ветровой нагрузки в данном районе. В зависимости от характера производимых </w:t>
      </w:r>
      <w:r>
        <w:lastRenderedPageBreak/>
        <w:t>работ при наличии специального обоснования, предусматривающего соответствующее ограничение времени и продолжительности выполнения отдельных этапов работ, нормативная величина средней составляющей ветровой нагрузки для проверки напряжений (но не устойчивости) может быть уменьшена, но должна быть не ниже 0,226 кПа. Для проверки типовых конструкций на стадии строительства и монтажа величину нормативной интенсивности ветровой нагрузки следует принимать по нормам для III ветрового района.</w:t>
      </w:r>
    </w:p>
    <w:p w:rsidR="00212513" w:rsidRDefault="00212513">
      <w:pPr>
        <w:pStyle w:val="ConsPlusNormal"/>
        <w:spacing w:before="220"/>
        <w:ind w:firstLine="540"/>
        <w:jc w:val="both"/>
      </w:pPr>
      <w:r>
        <w:t>Нормативную горизонтальную продольную ветровую нагрузку для сквозных пролетных строений следует принимать в размере 60%, для пролетных строений со сплошными балками - 20%, соответствующей полной нормативной поперечной ветровой нагрузке. Нормативную горизонтальную продольную нагрузку на опоры мостов выше уровня грунта или межени следует принимать равной поперечной ветровой нагрузке.</w:t>
      </w:r>
    </w:p>
    <w:p w:rsidR="00212513" w:rsidRDefault="00212513">
      <w:pPr>
        <w:pStyle w:val="ConsPlusNormal"/>
        <w:spacing w:before="220"/>
        <w:ind w:firstLine="540"/>
        <w:jc w:val="both"/>
      </w:pPr>
      <w:r>
        <w:t>Продольная ветровая нагрузка на транспортные средства, находящиеся на мосту, не учитывается.</w:t>
      </w:r>
    </w:p>
    <w:p w:rsidR="00212513" w:rsidRDefault="00212513">
      <w:pPr>
        <w:pStyle w:val="ConsPlusNormal"/>
        <w:spacing w:before="220"/>
        <w:ind w:firstLine="540"/>
        <w:jc w:val="both"/>
      </w:pPr>
      <w:r>
        <w:t>Усилия от ветровых нагрузок в элементах продольных и поперечных связей между фермами пролетных строений следует, как правило, определять посредством пространственных расчетов.</w:t>
      </w:r>
    </w:p>
    <w:p w:rsidR="00212513" w:rsidRDefault="00212513">
      <w:pPr>
        <w:pStyle w:val="ConsPlusNormal"/>
        <w:spacing w:before="220"/>
        <w:ind w:firstLine="540"/>
        <w:jc w:val="both"/>
      </w:pPr>
      <w:r>
        <w:t>В случаях устройства в сквозных пролетных строениях двух систем продольных связей допускается поперечное давление ветра на фермы распределять на каждую из них, а давление ветра на проезжую часть и подвижной состав передавать полностью на связи, в плоскости которых расположена езда.</w:t>
      </w:r>
    </w:p>
    <w:p w:rsidR="00212513" w:rsidRDefault="00212513">
      <w:pPr>
        <w:pStyle w:val="ConsPlusNormal"/>
        <w:spacing w:before="220"/>
        <w:ind w:firstLine="540"/>
        <w:jc w:val="both"/>
      </w:pPr>
      <w:r>
        <w:t xml:space="preserve">Горизонтальное усилие от продольной ветровой нагрузки, действующей на пролетное строение, следует принимать как передающееся на опоры в уровне центра опорных частей - для мостов с балочными пролетными строениями и в уровне оси ригеля рамы - для мостов рамной конструкции. Распределение усилий между опорами следует принимать таким же, как и горизонтального усилия от торможения, в соответствии с </w:t>
      </w:r>
      <w:hyperlink w:anchor="P1448">
        <w:r>
          <w:rPr>
            <w:color w:val="0000FF"/>
          </w:rPr>
          <w:t>6.20</w:t>
        </w:r>
      </w:hyperlink>
      <w:r>
        <w:t>.</w:t>
      </w:r>
    </w:p>
    <w:p w:rsidR="00212513" w:rsidRDefault="00212513">
      <w:pPr>
        <w:pStyle w:val="ConsPlusNormal"/>
        <w:spacing w:before="220"/>
        <w:ind w:firstLine="540"/>
        <w:jc w:val="both"/>
      </w:pPr>
      <w:r>
        <w:t xml:space="preserve">Расчет и подтверждение аэродинамической устойчивости мостовых сооружений рекомендуется проводить согласно </w:t>
      </w:r>
      <w:hyperlink r:id="rId508">
        <w:r>
          <w:rPr>
            <w:color w:val="0000FF"/>
          </w:rPr>
          <w:t>ГОСТ Р 59625</w:t>
        </w:r>
      </w:hyperlink>
      <w:r>
        <w:t>.</w:t>
      </w:r>
    </w:p>
    <w:p w:rsidR="00212513" w:rsidRDefault="00212513">
      <w:pPr>
        <w:pStyle w:val="ConsPlusNormal"/>
        <w:jc w:val="both"/>
      </w:pPr>
      <w:r>
        <w:t xml:space="preserve">(в ред. </w:t>
      </w:r>
      <w:hyperlink r:id="rId509">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 xml:space="preserve">6.25 Нормативную ледовую нагрузку от давления льда на опоры мостов следует принимать в виде сил, определяемых согласно </w:t>
      </w:r>
      <w:hyperlink w:anchor="P14261">
        <w:r>
          <w:rPr>
            <w:color w:val="0000FF"/>
          </w:rPr>
          <w:t>приложению П</w:t>
        </w:r>
      </w:hyperlink>
      <w:r>
        <w:t>.</w:t>
      </w:r>
    </w:p>
    <w:p w:rsidR="00212513" w:rsidRDefault="00212513">
      <w:pPr>
        <w:pStyle w:val="ConsPlusNormal"/>
        <w:spacing w:before="220"/>
        <w:ind w:firstLine="540"/>
        <w:jc w:val="both"/>
      </w:pPr>
      <w:r>
        <w:t>6.26 Нормативную нагрузку от навала судов на опоры мостов следует принимать в виде сосредоточенной продольной или поперечной силы и ограничивать в зависимости от класса внутреннего водного пути значениями, указанными в таблице 6.11.</w:t>
      </w:r>
    </w:p>
    <w:p w:rsidR="00212513" w:rsidRDefault="00212513">
      <w:pPr>
        <w:pStyle w:val="ConsPlusNormal"/>
        <w:ind w:firstLine="540"/>
        <w:jc w:val="both"/>
      </w:pPr>
    </w:p>
    <w:p w:rsidR="00212513" w:rsidRDefault="00212513">
      <w:pPr>
        <w:pStyle w:val="ConsPlusNormal"/>
        <w:jc w:val="right"/>
      </w:pPr>
      <w:r>
        <w:t>Таблица 6.11</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74"/>
        <w:gridCol w:w="1587"/>
        <w:gridCol w:w="1757"/>
        <w:gridCol w:w="1984"/>
        <w:gridCol w:w="2268"/>
      </w:tblGrid>
      <w:tr w:rsidR="00212513">
        <w:tc>
          <w:tcPr>
            <w:tcW w:w="1474" w:type="dxa"/>
            <w:vMerge w:val="restart"/>
            <w:tcBorders>
              <w:top w:val="single" w:sz="4" w:space="0" w:color="auto"/>
              <w:bottom w:val="single" w:sz="4" w:space="0" w:color="auto"/>
            </w:tcBorders>
            <w:vAlign w:val="center"/>
          </w:tcPr>
          <w:p w:rsidR="00212513" w:rsidRDefault="00212513">
            <w:pPr>
              <w:pStyle w:val="ConsPlusNormal"/>
              <w:jc w:val="center"/>
            </w:pPr>
            <w:r>
              <w:t>Класс внутренних водных путей</w:t>
            </w:r>
          </w:p>
        </w:tc>
        <w:tc>
          <w:tcPr>
            <w:tcW w:w="7596" w:type="dxa"/>
            <w:gridSpan w:val="4"/>
            <w:tcBorders>
              <w:top w:val="single" w:sz="4" w:space="0" w:color="auto"/>
              <w:bottom w:val="single" w:sz="4" w:space="0" w:color="auto"/>
            </w:tcBorders>
            <w:vAlign w:val="center"/>
          </w:tcPr>
          <w:p w:rsidR="00212513" w:rsidRDefault="00212513">
            <w:pPr>
              <w:pStyle w:val="ConsPlusNormal"/>
              <w:jc w:val="center"/>
            </w:pPr>
            <w:r>
              <w:t>Нагрузка от навала судов, кН</w:t>
            </w:r>
          </w:p>
        </w:tc>
      </w:tr>
      <w:tr w:rsidR="00212513">
        <w:tc>
          <w:tcPr>
            <w:tcW w:w="1474" w:type="dxa"/>
            <w:vMerge/>
            <w:tcBorders>
              <w:top w:val="single" w:sz="4" w:space="0" w:color="auto"/>
              <w:bottom w:val="single" w:sz="4" w:space="0" w:color="auto"/>
            </w:tcBorders>
          </w:tcPr>
          <w:p w:rsidR="00212513" w:rsidRDefault="00212513">
            <w:pPr>
              <w:pStyle w:val="ConsPlusNormal"/>
            </w:pPr>
          </w:p>
        </w:tc>
        <w:tc>
          <w:tcPr>
            <w:tcW w:w="3344" w:type="dxa"/>
            <w:gridSpan w:val="2"/>
            <w:tcBorders>
              <w:top w:val="single" w:sz="4" w:space="0" w:color="auto"/>
              <w:bottom w:val="single" w:sz="4" w:space="0" w:color="auto"/>
            </w:tcBorders>
            <w:vAlign w:val="center"/>
          </w:tcPr>
          <w:p w:rsidR="00212513" w:rsidRDefault="00212513">
            <w:pPr>
              <w:pStyle w:val="ConsPlusNormal"/>
              <w:jc w:val="center"/>
            </w:pPr>
            <w:r>
              <w:t>вдоль оси моста со стороны пролета</w:t>
            </w:r>
          </w:p>
        </w:tc>
        <w:tc>
          <w:tcPr>
            <w:tcW w:w="4252" w:type="dxa"/>
            <w:gridSpan w:val="2"/>
            <w:tcBorders>
              <w:top w:val="single" w:sz="4" w:space="0" w:color="auto"/>
              <w:bottom w:val="single" w:sz="4" w:space="0" w:color="auto"/>
            </w:tcBorders>
            <w:vAlign w:val="center"/>
          </w:tcPr>
          <w:p w:rsidR="00212513" w:rsidRDefault="00212513">
            <w:pPr>
              <w:pStyle w:val="ConsPlusNormal"/>
              <w:jc w:val="center"/>
            </w:pPr>
            <w:r>
              <w:t>поперек оси моста со стороны</w:t>
            </w:r>
          </w:p>
        </w:tc>
      </w:tr>
      <w:tr w:rsidR="00212513">
        <w:tc>
          <w:tcPr>
            <w:tcW w:w="1474" w:type="dxa"/>
            <w:vMerge/>
            <w:tcBorders>
              <w:top w:val="single" w:sz="4" w:space="0" w:color="auto"/>
              <w:bottom w:val="single" w:sz="4" w:space="0" w:color="auto"/>
            </w:tcBorders>
          </w:tcPr>
          <w:p w:rsidR="00212513" w:rsidRDefault="00212513">
            <w:pPr>
              <w:pStyle w:val="ConsPlusNormal"/>
            </w:pPr>
          </w:p>
        </w:tc>
        <w:tc>
          <w:tcPr>
            <w:tcW w:w="1587" w:type="dxa"/>
            <w:tcBorders>
              <w:top w:val="single" w:sz="4" w:space="0" w:color="auto"/>
              <w:bottom w:val="single" w:sz="4" w:space="0" w:color="auto"/>
            </w:tcBorders>
            <w:vAlign w:val="center"/>
          </w:tcPr>
          <w:p w:rsidR="00212513" w:rsidRDefault="00212513">
            <w:pPr>
              <w:pStyle w:val="ConsPlusNormal"/>
              <w:jc w:val="center"/>
            </w:pPr>
            <w:r>
              <w:t>судоходного</w:t>
            </w:r>
          </w:p>
        </w:tc>
        <w:tc>
          <w:tcPr>
            <w:tcW w:w="1757" w:type="dxa"/>
            <w:tcBorders>
              <w:top w:val="single" w:sz="4" w:space="0" w:color="auto"/>
              <w:bottom w:val="single" w:sz="4" w:space="0" w:color="auto"/>
            </w:tcBorders>
            <w:vAlign w:val="center"/>
          </w:tcPr>
          <w:p w:rsidR="00212513" w:rsidRDefault="00212513">
            <w:pPr>
              <w:pStyle w:val="ConsPlusNormal"/>
              <w:jc w:val="center"/>
            </w:pPr>
            <w:r>
              <w:t>несудоходного</w:t>
            </w:r>
          </w:p>
        </w:tc>
        <w:tc>
          <w:tcPr>
            <w:tcW w:w="1984" w:type="dxa"/>
            <w:tcBorders>
              <w:top w:val="single" w:sz="4" w:space="0" w:color="auto"/>
              <w:bottom w:val="single" w:sz="4" w:space="0" w:color="auto"/>
            </w:tcBorders>
            <w:vAlign w:val="center"/>
          </w:tcPr>
          <w:p w:rsidR="00212513" w:rsidRDefault="00212513">
            <w:pPr>
              <w:pStyle w:val="ConsPlusNormal"/>
              <w:jc w:val="center"/>
            </w:pPr>
            <w:r>
              <w:t>верховой при наличии течения</w:t>
            </w:r>
          </w:p>
        </w:tc>
        <w:tc>
          <w:tcPr>
            <w:tcW w:w="2268" w:type="dxa"/>
            <w:tcBorders>
              <w:top w:val="single" w:sz="4" w:space="0" w:color="auto"/>
              <w:bottom w:val="single" w:sz="4" w:space="0" w:color="auto"/>
            </w:tcBorders>
            <w:vAlign w:val="center"/>
          </w:tcPr>
          <w:p w:rsidR="00212513" w:rsidRDefault="00212513">
            <w:pPr>
              <w:pStyle w:val="ConsPlusNormal"/>
              <w:jc w:val="center"/>
            </w:pPr>
            <w:r>
              <w:t>низовой, при отсутствии течения - и верховой</w:t>
            </w:r>
          </w:p>
        </w:tc>
      </w:tr>
      <w:tr w:rsidR="00212513">
        <w:tblPrEx>
          <w:tblBorders>
            <w:insideH w:val="none" w:sz="0" w:space="0" w:color="auto"/>
          </w:tblBorders>
        </w:tblPrEx>
        <w:tc>
          <w:tcPr>
            <w:tcW w:w="1474" w:type="dxa"/>
            <w:tcBorders>
              <w:top w:val="single" w:sz="4" w:space="0" w:color="auto"/>
              <w:bottom w:val="nil"/>
            </w:tcBorders>
          </w:tcPr>
          <w:p w:rsidR="00212513" w:rsidRDefault="00212513">
            <w:pPr>
              <w:pStyle w:val="ConsPlusNormal"/>
              <w:jc w:val="center"/>
            </w:pPr>
            <w:r>
              <w:t>I</w:t>
            </w:r>
          </w:p>
        </w:tc>
        <w:tc>
          <w:tcPr>
            <w:tcW w:w="1587" w:type="dxa"/>
            <w:tcBorders>
              <w:top w:val="single" w:sz="4" w:space="0" w:color="auto"/>
              <w:bottom w:val="nil"/>
            </w:tcBorders>
          </w:tcPr>
          <w:p w:rsidR="00212513" w:rsidRDefault="00212513">
            <w:pPr>
              <w:pStyle w:val="ConsPlusNormal"/>
              <w:jc w:val="center"/>
            </w:pPr>
            <w:r>
              <w:t>1570</w:t>
            </w:r>
          </w:p>
        </w:tc>
        <w:tc>
          <w:tcPr>
            <w:tcW w:w="1757" w:type="dxa"/>
            <w:tcBorders>
              <w:top w:val="single" w:sz="4" w:space="0" w:color="auto"/>
              <w:bottom w:val="nil"/>
            </w:tcBorders>
          </w:tcPr>
          <w:p w:rsidR="00212513" w:rsidRDefault="00212513">
            <w:pPr>
              <w:pStyle w:val="ConsPlusNormal"/>
              <w:jc w:val="center"/>
            </w:pPr>
            <w:r>
              <w:t>780</w:t>
            </w:r>
          </w:p>
        </w:tc>
        <w:tc>
          <w:tcPr>
            <w:tcW w:w="1984" w:type="dxa"/>
            <w:tcBorders>
              <w:top w:val="single" w:sz="4" w:space="0" w:color="auto"/>
              <w:bottom w:val="nil"/>
            </w:tcBorders>
          </w:tcPr>
          <w:p w:rsidR="00212513" w:rsidRDefault="00212513">
            <w:pPr>
              <w:pStyle w:val="ConsPlusNormal"/>
              <w:jc w:val="center"/>
            </w:pPr>
            <w:r>
              <w:t>1960</w:t>
            </w:r>
          </w:p>
        </w:tc>
        <w:tc>
          <w:tcPr>
            <w:tcW w:w="2268" w:type="dxa"/>
            <w:tcBorders>
              <w:top w:val="single" w:sz="4" w:space="0" w:color="auto"/>
              <w:bottom w:val="nil"/>
            </w:tcBorders>
          </w:tcPr>
          <w:p w:rsidR="00212513" w:rsidRDefault="00212513">
            <w:pPr>
              <w:pStyle w:val="ConsPlusNormal"/>
              <w:jc w:val="center"/>
            </w:pPr>
            <w:r>
              <w:t>1570</w:t>
            </w:r>
          </w:p>
        </w:tc>
      </w:tr>
      <w:tr w:rsidR="00212513">
        <w:tblPrEx>
          <w:tblBorders>
            <w:insideH w:val="none" w:sz="0" w:space="0" w:color="auto"/>
          </w:tblBorders>
        </w:tblPrEx>
        <w:tc>
          <w:tcPr>
            <w:tcW w:w="1474" w:type="dxa"/>
            <w:tcBorders>
              <w:top w:val="nil"/>
              <w:bottom w:val="nil"/>
            </w:tcBorders>
          </w:tcPr>
          <w:p w:rsidR="00212513" w:rsidRDefault="00212513">
            <w:pPr>
              <w:pStyle w:val="ConsPlusNormal"/>
              <w:jc w:val="center"/>
            </w:pPr>
            <w:r>
              <w:t>II</w:t>
            </w:r>
          </w:p>
        </w:tc>
        <w:tc>
          <w:tcPr>
            <w:tcW w:w="1587" w:type="dxa"/>
            <w:tcBorders>
              <w:top w:val="nil"/>
              <w:bottom w:val="nil"/>
            </w:tcBorders>
          </w:tcPr>
          <w:p w:rsidR="00212513" w:rsidRDefault="00212513">
            <w:pPr>
              <w:pStyle w:val="ConsPlusNormal"/>
              <w:jc w:val="center"/>
            </w:pPr>
            <w:r>
              <w:t>1130</w:t>
            </w:r>
          </w:p>
        </w:tc>
        <w:tc>
          <w:tcPr>
            <w:tcW w:w="1757" w:type="dxa"/>
            <w:tcBorders>
              <w:top w:val="nil"/>
              <w:bottom w:val="nil"/>
            </w:tcBorders>
          </w:tcPr>
          <w:p w:rsidR="00212513" w:rsidRDefault="00212513">
            <w:pPr>
              <w:pStyle w:val="ConsPlusNormal"/>
              <w:jc w:val="center"/>
            </w:pPr>
            <w:r>
              <w:t>640</w:t>
            </w:r>
          </w:p>
        </w:tc>
        <w:tc>
          <w:tcPr>
            <w:tcW w:w="1984" w:type="dxa"/>
            <w:tcBorders>
              <w:top w:val="nil"/>
              <w:bottom w:val="nil"/>
            </w:tcBorders>
          </w:tcPr>
          <w:p w:rsidR="00212513" w:rsidRDefault="00212513">
            <w:pPr>
              <w:pStyle w:val="ConsPlusNormal"/>
              <w:jc w:val="center"/>
            </w:pPr>
            <w:r>
              <w:t>1420</w:t>
            </w:r>
          </w:p>
        </w:tc>
        <w:tc>
          <w:tcPr>
            <w:tcW w:w="2268" w:type="dxa"/>
            <w:tcBorders>
              <w:top w:val="nil"/>
              <w:bottom w:val="nil"/>
            </w:tcBorders>
          </w:tcPr>
          <w:p w:rsidR="00212513" w:rsidRDefault="00212513">
            <w:pPr>
              <w:pStyle w:val="ConsPlusNormal"/>
              <w:jc w:val="center"/>
            </w:pPr>
            <w:r>
              <w:t>1130</w:t>
            </w:r>
          </w:p>
        </w:tc>
      </w:tr>
      <w:tr w:rsidR="00212513">
        <w:tblPrEx>
          <w:tblBorders>
            <w:insideH w:val="none" w:sz="0" w:space="0" w:color="auto"/>
          </w:tblBorders>
        </w:tblPrEx>
        <w:tc>
          <w:tcPr>
            <w:tcW w:w="1474" w:type="dxa"/>
            <w:tcBorders>
              <w:top w:val="nil"/>
              <w:bottom w:val="nil"/>
            </w:tcBorders>
          </w:tcPr>
          <w:p w:rsidR="00212513" w:rsidRDefault="00212513">
            <w:pPr>
              <w:pStyle w:val="ConsPlusNormal"/>
              <w:jc w:val="center"/>
            </w:pPr>
            <w:r>
              <w:lastRenderedPageBreak/>
              <w:t>III</w:t>
            </w:r>
          </w:p>
        </w:tc>
        <w:tc>
          <w:tcPr>
            <w:tcW w:w="1587" w:type="dxa"/>
            <w:tcBorders>
              <w:top w:val="nil"/>
              <w:bottom w:val="nil"/>
            </w:tcBorders>
          </w:tcPr>
          <w:p w:rsidR="00212513" w:rsidRDefault="00212513">
            <w:pPr>
              <w:pStyle w:val="ConsPlusNormal"/>
              <w:jc w:val="center"/>
            </w:pPr>
            <w:r>
              <w:t>1030</w:t>
            </w:r>
          </w:p>
        </w:tc>
        <w:tc>
          <w:tcPr>
            <w:tcW w:w="1757" w:type="dxa"/>
            <w:tcBorders>
              <w:top w:val="nil"/>
              <w:bottom w:val="nil"/>
            </w:tcBorders>
          </w:tcPr>
          <w:p w:rsidR="00212513" w:rsidRDefault="00212513">
            <w:pPr>
              <w:pStyle w:val="ConsPlusNormal"/>
              <w:jc w:val="center"/>
            </w:pPr>
            <w:r>
              <w:t>540</w:t>
            </w:r>
          </w:p>
        </w:tc>
        <w:tc>
          <w:tcPr>
            <w:tcW w:w="1984" w:type="dxa"/>
            <w:tcBorders>
              <w:top w:val="nil"/>
              <w:bottom w:val="nil"/>
            </w:tcBorders>
          </w:tcPr>
          <w:p w:rsidR="00212513" w:rsidRDefault="00212513">
            <w:pPr>
              <w:pStyle w:val="ConsPlusNormal"/>
              <w:jc w:val="center"/>
            </w:pPr>
            <w:r>
              <w:t>1275</w:t>
            </w:r>
          </w:p>
        </w:tc>
        <w:tc>
          <w:tcPr>
            <w:tcW w:w="2268" w:type="dxa"/>
            <w:tcBorders>
              <w:top w:val="nil"/>
              <w:bottom w:val="nil"/>
            </w:tcBorders>
          </w:tcPr>
          <w:p w:rsidR="00212513" w:rsidRDefault="00212513">
            <w:pPr>
              <w:pStyle w:val="ConsPlusNormal"/>
              <w:jc w:val="center"/>
            </w:pPr>
            <w:r>
              <w:t>1030</w:t>
            </w:r>
          </w:p>
        </w:tc>
      </w:tr>
      <w:tr w:rsidR="00212513">
        <w:tblPrEx>
          <w:tblBorders>
            <w:insideH w:val="none" w:sz="0" w:space="0" w:color="auto"/>
          </w:tblBorders>
        </w:tblPrEx>
        <w:tc>
          <w:tcPr>
            <w:tcW w:w="1474" w:type="dxa"/>
            <w:tcBorders>
              <w:top w:val="nil"/>
              <w:bottom w:val="nil"/>
            </w:tcBorders>
          </w:tcPr>
          <w:p w:rsidR="00212513" w:rsidRDefault="00212513">
            <w:pPr>
              <w:pStyle w:val="ConsPlusNormal"/>
              <w:jc w:val="center"/>
            </w:pPr>
            <w:r>
              <w:t>IV</w:t>
            </w:r>
          </w:p>
        </w:tc>
        <w:tc>
          <w:tcPr>
            <w:tcW w:w="1587" w:type="dxa"/>
            <w:tcBorders>
              <w:top w:val="nil"/>
              <w:bottom w:val="nil"/>
            </w:tcBorders>
          </w:tcPr>
          <w:p w:rsidR="00212513" w:rsidRDefault="00212513">
            <w:pPr>
              <w:pStyle w:val="ConsPlusNormal"/>
              <w:jc w:val="center"/>
            </w:pPr>
            <w:r>
              <w:t>880</w:t>
            </w:r>
          </w:p>
        </w:tc>
        <w:tc>
          <w:tcPr>
            <w:tcW w:w="1757" w:type="dxa"/>
            <w:tcBorders>
              <w:top w:val="nil"/>
              <w:bottom w:val="nil"/>
            </w:tcBorders>
          </w:tcPr>
          <w:p w:rsidR="00212513" w:rsidRDefault="00212513">
            <w:pPr>
              <w:pStyle w:val="ConsPlusNormal"/>
              <w:jc w:val="center"/>
            </w:pPr>
            <w:r>
              <w:t>490</w:t>
            </w:r>
          </w:p>
        </w:tc>
        <w:tc>
          <w:tcPr>
            <w:tcW w:w="1984" w:type="dxa"/>
            <w:tcBorders>
              <w:top w:val="nil"/>
              <w:bottom w:val="nil"/>
            </w:tcBorders>
          </w:tcPr>
          <w:p w:rsidR="00212513" w:rsidRDefault="00212513">
            <w:pPr>
              <w:pStyle w:val="ConsPlusNormal"/>
              <w:jc w:val="center"/>
            </w:pPr>
            <w:r>
              <w:t>1130</w:t>
            </w:r>
          </w:p>
        </w:tc>
        <w:tc>
          <w:tcPr>
            <w:tcW w:w="2268" w:type="dxa"/>
            <w:tcBorders>
              <w:top w:val="nil"/>
              <w:bottom w:val="nil"/>
            </w:tcBorders>
          </w:tcPr>
          <w:p w:rsidR="00212513" w:rsidRDefault="00212513">
            <w:pPr>
              <w:pStyle w:val="ConsPlusNormal"/>
              <w:jc w:val="center"/>
            </w:pPr>
            <w:r>
              <w:t>880</w:t>
            </w:r>
          </w:p>
        </w:tc>
      </w:tr>
      <w:tr w:rsidR="00212513">
        <w:tblPrEx>
          <w:tblBorders>
            <w:insideH w:val="none" w:sz="0" w:space="0" w:color="auto"/>
          </w:tblBorders>
        </w:tblPrEx>
        <w:tc>
          <w:tcPr>
            <w:tcW w:w="1474" w:type="dxa"/>
            <w:tcBorders>
              <w:top w:val="nil"/>
              <w:bottom w:val="nil"/>
            </w:tcBorders>
          </w:tcPr>
          <w:p w:rsidR="00212513" w:rsidRDefault="00212513">
            <w:pPr>
              <w:pStyle w:val="ConsPlusNormal"/>
              <w:jc w:val="center"/>
            </w:pPr>
            <w:r>
              <w:t>V</w:t>
            </w:r>
          </w:p>
        </w:tc>
        <w:tc>
          <w:tcPr>
            <w:tcW w:w="1587" w:type="dxa"/>
            <w:tcBorders>
              <w:top w:val="nil"/>
              <w:bottom w:val="nil"/>
            </w:tcBorders>
          </w:tcPr>
          <w:p w:rsidR="00212513" w:rsidRDefault="00212513">
            <w:pPr>
              <w:pStyle w:val="ConsPlusNormal"/>
              <w:jc w:val="center"/>
            </w:pPr>
            <w:r>
              <w:t>390</w:t>
            </w:r>
          </w:p>
        </w:tc>
        <w:tc>
          <w:tcPr>
            <w:tcW w:w="1757" w:type="dxa"/>
            <w:tcBorders>
              <w:top w:val="nil"/>
              <w:bottom w:val="nil"/>
            </w:tcBorders>
          </w:tcPr>
          <w:p w:rsidR="00212513" w:rsidRDefault="00212513">
            <w:pPr>
              <w:pStyle w:val="ConsPlusNormal"/>
              <w:jc w:val="center"/>
            </w:pPr>
            <w:r>
              <w:t>245</w:t>
            </w:r>
          </w:p>
        </w:tc>
        <w:tc>
          <w:tcPr>
            <w:tcW w:w="1984" w:type="dxa"/>
            <w:tcBorders>
              <w:top w:val="nil"/>
              <w:bottom w:val="nil"/>
            </w:tcBorders>
          </w:tcPr>
          <w:p w:rsidR="00212513" w:rsidRDefault="00212513">
            <w:pPr>
              <w:pStyle w:val="ConsPlusNormal"/>
              <w:jc w:val="center"/>
            </w:pPr>
            <w:r>
              <w:t>490</w:t>
            </w:r>
          </w:p>
        </w:tc>
        <w:tc>
          <w:tcPr>
            <w:tcW w:w="2268" w:type="dxa"/>
            <w:tcBorders>
              <w:top w:val="nil"/>
              <w:bottom w:val="nil"/>
            </w:tcBorders>
          </w:tcPr>
          <w:p w:rsidR="00212513" w:rsidRDefault="00212513">
            <w:pPr>
              <w:pStyle w:val="ConsPlusNormal"/>
              <w:jc w:val="center"/>
            </w:pPr>
            <w:r>
              <w:t>390</w:t>
            </w:r>
          </w:p>
        </w:tc>
      </w:tr>
      <w:tr w:rsidR="00212513">
        <w:tblPrEx>
          <w:tblBorders>
            <w:insideH w:val="none" w:sz="0" w:space="0" w:color="auto"/>
          </w:tblBorders>
        </w:tblPrEx>
        <w:tc>
          <w:tcPr>
            <w:tcW w:w="1474" w:type="dxa"/>
            <w:tcBorders>
              <w:top w:val="nil"/>
              <w:bottom w:val="nil"/>
            </w:tcBorders>
          </w:tcPr>
          <w:p w:rsidR="00212513" w:rsidRDefault="00212513">
            <w:pPr>
              <w:pStyle w:val="ConsPlusNormal"/>
              <w:jc w:val="center"/>
            </w:pPr>
            <w:r>
              <w:t>VI</w:t>
            </w:r>
          </w:p>
        </w:tc>
        <w:tc>
          <w:tcPr>
            <w:tcW w:w="1587" w:type="dxa"/>
            <w:tcBorders>
              <w:top w:val="nil"/>
              <w:bottom w:val="nil"/>
            </w:tcBorders>
          </w:tcPr>
          <w:p w:rsidR="00212513" w:rsidRDefault="00212513">
            <w:pPr>
              <w:pStyle w:val="ConsPlusNormal"/>
              <w:jc w:val="center"/>
            </w:pPr>
            <w:r>
              <w:t>245</w:t>
            </w:r>
          </w:p>
        </w:tc>
        <w:tc>
          <w:tcPr>
            <w:tcW w:w="1757" w:type="dxa"/>
            <w:tcBorders>
              <w:top w:val="nil"/>
              <w:bottom w:val="nil"/>
            </w:tcBorders>
          </w:tcPr>
          <w:p w:rsidR="00212513" w:rsidRDefault="00212513">
            <w:pPr>
              <w:pStyle w:val="ConsPlusNormal"/>
              <w:jc w:val="center"/>
            </w:pPr>
            <w:r>
              <w:t>147</w:t>
            </w:r>
          </w:p>
        </w:tc>
        <w:tc>
          <w:tcPr>
            <w:tcW w:w="1984" w:type="dxa"/>
            <w:tcBorders>
              <w:top w:val="nil"/>
              <w:bottom w:val="nil"/>
            </w:tcBorders>
          </w:tcPr>
          <w:p w:rsidR="00212513" w:rsidRDefault="00212513">
            <w:pPr>
              <w:pStyle w:val="ConsPlusNormal"/>
              <w:jc w:val="center"/>
            </w:pPr>
            <w:r>
              <w:t>295</w:t>
            </w:r>
          </w:p>
        </w:tc>
        <w:tc>
          <w:tcPr>
            <w:tcW w:w="2268" w:type="dxa"/>
            <w:tcBorders>
              <w:top w:val="nil"/>
              <w:bottom w:val="nil"/>
            </w:tcBorders>
          </w:tcPr>
          <w:p w:rsidR="00212513" w:rsidRDefault="00212513">
            <w:pPr>
              <w:pStyle w:val="ConsPlusNormal"/>
              <w:jc w:val="center"/>
            </w:pPr>
            <w:r>
              <w:t>245</w:t>
            </w:r>
          </w:p>
        </w:tc>
      </w:tr>
      <w:tr w:rsidR="00212513">
        <w:tblPrEx>
          <w:tblBorders>
            <w:insideH w:val="none" w:sz="0" w:space="0" w:color="auto"/>
          </w:tblBorders>
        </w:tblPrEx>
        <w:tc>
          <w:tcPr>
            <w:tcW w:w="1474" w:type="dxa"/>
            <w:tcBorders>
              <w:top w:val="nil"/>
              <w:bottom w:val="single" w:sz="4" w:space="0" w:color="auto"/>
            </w:tcBorders>
          </w:tcPr>
          <w:p w:rsidR="00212513" w:rsidRDefault="00212513">
            <w:pPr>
              <w:pStyle w:val="ConsPlusNormal"/>
              <w:jc w:val="center"/>
            </w:pPr>
            <w:r>
              <w:t>VII</w:t>
            </w:r>
          </w:p>
        </w:tc>
        <w:tc>
          <w:tcPr>
            <w:tcW w:w="1587" w:type="dxa"/>
            <w:tcBorders>
              <w:top w:val="nil"/>
              <w:bottom w:val="single" w:sz="4" w:space="0" w:color="auto"/>
            </w:tcBorders>
          </w:tcPr>
          <w:p w:rsidR="00212513" w:rsidRDefault="00212513">
            <w:pPr>
              <w:pStyle w:val="ConsPlusNormal"/>
              <w:jc w:val="center"/>
            </w:pPr>
            <w:r>
              <w:t>147</w:t>
            </w:r>
          </w:p>
        </w:tc>
        <w:tc>
          <w:tcPr>
            <w:tcW w:w="1757" w:type="dxa"/>
            <w:tcBorders>
              <w:top w:val="nil"/>
              <w:bottom w:val="single" w:sz="4" w:space="0" w:color="auto"/>
            </w:tcBorders>
          </w:tcPr>
          <w:p w:rsidR="00212513" w:rsidRDefault="00212513">
            <w:pPr>
              <w:pStyle w:val="ConsPlusNormal"/>
              <w:jc w:val="center"/>
            </w:pPr>
            <w:r>
              <w:t>98</w:t>
            </w:r>
          </w:p>
        </w:tc>
        <w:tc>
          <w:tcPr>
            <w:tcW w:w="1984" w:type="dxa"/>
            <w:tcBorders>
              <w:top w:val="nil"/>
              <w:bottom w:val="single" w:sz="4" w:space="0" w:color="auto"/>
            </w:tcBorders>
          </w:tcPr>
          <w:p w:rsidR="00212513" w:rsidRDefault="00212513">
            <w:pPr>
              <w:pStyle w:val="ConsPlusNormal"/>
              <w:jc w:val="center"/>
            </w:pPr>
            <w:r>
              <w:t>245</w:t>
            </w:r>
          </w:p>
        </w:tc>
        <w:tc>
          <w:tcPr>
            <w:tcW w:w="2268" w:type="dxa"/>
            <w:tcBorders>
              <w:top w:val="nil"/>
              <w:bottom w:val="single" w:sz="4" w:space="0" w:color="auto"/>
            </w:tcBorders>
          </w:tcPr>
          <w:p w:rsidR="00212513" w:rsidRDefault="00212513">
            <w:pPr>
              <w:pStyle w:val="ConsPlusNormal"/>
              <w:jc w:val="center"/>
            </w:pPr>
            <w:r>
              <w:t>147</w:t>
            </w:r>
          </w:p>
        </w:tc>
      </w:tr>
    </w:tbl>
    <w:p w:rsidR="00212513" w:rsidRDefault="00212513">
      <w:pPr>
        <w:pStyle w:val="ConsPlusNormal"/>
        <w:ind w:firstLine="540"/>
        <w:jc w:val="both"/>
      </w:pPr>
    </w:p>
    <w:p w:rsidR="00212513" w:rsidRDefault="00212513">
      <w:pPr>
        <w:pStyle w:val="ConsPlusNormal"/>
        <w:ind w:firstLine="540"/>
        <w:jc w:val="both"/>
      </w:pPr>
      <w:r>
        <w:t>Нагрузка от навала судов должна прикладываться к опоре на высоте 2 м от расчетного судоходного уровня, за исключением случаев, когда опора имеет выступы, фиксирующие уровень действия этой нагрузки, и когда при менее высоком уровне нагрузка вызывает более значительные воздействия.</w:t>
      </w:r>
    </w:p>
    <w:p w:rsidR="00212513" w:rsidRDefault="00212513">
      <w:pPr>
        <w:pStyle w:val="ConsPlusNormal"/>
        <w:spacing w:before="220"/>
        <w:ind w:firstLine="540"/>
        <w:jc w:val="both"/>
      </w:pPr>
      <w:r>
        <w:t>Для опор, защищенных от навала судов, а также для деревянных опор автодорожных мостов на внутренних водных путях VI и VII классов нагрузку от навала судов допускается не учитывать.</w:t>
      </w:r>
    </w:p>
    <w:p w:rsidR="00212513" w:rsidRDefault="00212513">
      <w:pPr>
        <w:pStyle w:val="ConsPlusNormal"/>
        <w:spacing w:before="220"/>
        <w:ind w:firstLine="540"/>
        <w:jc w:val="both"/>
      </w:pPr>
      <w:r>
        <w:t>Для однорядных железобетонных свайных опор автодорожных мостов через внутренние водные пути VI и VII классов нагрузку вдоль оси моста допускается учитывать в размере 50%.</w:t>
      </w:r>
    </w:p>
    <w:p w:rsidR="00212513" w:rsidRDefault="00212513">
      <w:pPr>
        <w:pStyle w:val="ConsPlusNormal"/>
        <w:spacing w:before="220"/>
        <w:ind w:firstLine="540"/>
        <w:jc w:val="both"/>
      </w:pPr>
      <w:bookmarkStart w:id="86" w:name="P1758"/>
      <w:bookmarkEnd w:id="86"/>
      <w:r>
        <w:t>6.27 Нормативное температурное климатическое воздействие следует учитывать при расчете перемещений в мостах всех систем при определении усилий во внешне статически неопределимых системах, а также при расчете элементов сталежелезобетонных пролетных строений.</w:t>
      </w:r>
    </w:p>
    <w:p w:rsidR="00212513" w:rsidRDefault="00212513">
      <w:pPr>
        <w:pStyle w:val="ConsPlusNormal"/>
        <w:spacing w:before="220"/>
        <w:ind w:firstLine="540"/>
        <w:jc w:val="both"/>
      </w:pPr>
      <w:r>
        <w:t>Среднюю по сечению нормативную температуру элементов или их частей допускается принимать равной:</w:t>
      </w:r>
    </w:p>
    <w:p w:rsidR="00212513" w:rsidRDefault="00212513">
      <w:pPr>
        <w:pStyle w:val="ConsPlusNormal"/>
        <w:spacing w:before="220"/>
        <w:ind w:firstLine="540"/>
        <w:jc w:val="both"/>
      </w:pPr>
      <w:r>
        <w:t>для бетонных, железобетонных элементов и элементов из полимерных композитов в холодное время года, а также для металлических конструкций в любое время года - нормативной температуре наружного воздуха;</w:t>
      </w:r>
    </w:p>
    <w:p w:rsidR="00212513" w:rsidRDefault="00212513">
      <w:pPr>
        <w:pStyle w:val="ConsPlusNormal"/>
        <w:jc w:val="both"/>
      </w:pPr>
      <w:r>
        <w:t xml:space="preserve">(в ред. </w:t>
      </w:r>
      <w:hyperlink r:id="rId510">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для бетонных и железобетонных элементов в теплое время года - нормативной температуре наружного воздуха за вычетом величины, численно равной 0,2</w:t>
      </w:r>
      <w:r>
        <w:rPr>
          <w:i/>
        </w:rPr>
        <w:t>a</w:t>
      </w:r>
      <w:r>
        <w:t xml:space="preserve">, но не более 10 °C, где </w:t>
      </w:r>
      <w:r>
        <w:rPr>
          <w:i/>
        </w:rPr>
        <w:t>a</w:t>
      </w:r>
      <w:r>
        <w:t xml:space="preserve"> - толщина элемента или его части, см, включая одежду ездового полотна автодорожных мостов.</w:t>
      </w:r>
    </w:p>
    <w:p w:rsidR="00212513" w:rsidRDefault="00212513">
      <w:pPr>
        <w:pStyle w:val="ConsPlusNormal"/>
        <w:spacing w:before="220"/>
        <w:ind w:firstLine="540"/>
        <w:jc w:val="both"/>
      </w:pPr>
      <w:r>
        <w:t>Температуру элементов со сложным поперечным сечением следует определять как средневзвешенную по температуре отдельных элементов (стенок, полок и др.).</w:t>
      </w:r>
    </w:p>
    <w:p w:rsidR="00212513" w:rsidRDefault="00212513">
      <w:pPr>
        <w:pStyle w:val="ConsPlusNormal"/>
        <w:spacing w:before="220"/>
        <w:ind w:firstLine="540"/>
        <w:jc w:val="both"/>
      </w:pPr>
      <w:r>
        <w:t xml:space="preserve">Нормативные температуры воздуха в теплое </w:t>
      </w:r>
      <w:r>
        <w:rPr>
          <w:noProof/>
          <w:position w:val="-10"/>
        </w:rPr>
        <w:drawing>
          <wp:inline distT="0" distB="0" distL="0" distR="0">
            <wp:extent cx="230505" cy="273685"/>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и холодное </w:t>
      </w:r>
      <w:r>
        <w:rPr>
          <w:noProof/>
          <w:position w:val="-10"/>
        </w:rPr>
        <w:drawing>
          <wp:inline distT="0" distB="0" distL="0" distR="0">
            <wp:extent cx="241300" cy="273685"/>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241300" cy="273685"/>
                    </a:xfrm>
                    <a:prstGeom prst="rect">
                      <a:avLst/>
                    </a:prstGeom>
                    <a:noFill/>
                    <a:ln>
                      <a:noFill/>
                    </a:ln>
                  </pic:spPr>
                </pic:pic>
              </a:graphicData>
            </a:graphic>
          </wp:inline>
        </w:drawing>
      </w:r>
      <w:r>
        <w:t xml:space="preserve"> время года следует принимать равными:</w:t>
      </w:r>
    </w:p>
    <w:p w:rsidR="00212513" w:rsidRDefault="00212513">
      <w:pPr>
        <w:pStyle w:val="ConsPlusNormal"/>
        <w:spacing w:before="220"/>
        <w:ind w:firstLine="540"/>
        <w:jc w:val="both"/>
      </w:pPr>
      <w:r>
        <w:t>а) при разработке типовых проектов, а также проектов для повторного применения на территории страны:</w:t>
      </w:r>
    </w:p>
    <w:p w:rsidR="00212513" w:rsidRDefault="00212513">
      <w:pPr>
        <w:pStyle w:val="ConsPlusNormal"/>
        <w:spacing w:before="220"/>
        <w:ind w:firstLine="540"/>
        <w:jc w:val="both"/>
      </w:pPr>
      <w:r>
        <w:t>для конструкций, предназначенных для районов с расчетной минимальной температурой воздуха ниже минус 40 °C</w:t>
      </w:r>
    </w:p>
    <w:p w:rsidR="00212513" w:rsidRDefault="00212513">
      <w:pPr>
        <w:pStyle w:val="ConsPlusNormal"/>
        <w:ind w:firstLine="540"/>
        <w:jc w:val="both"/>
      </w:pPr>
    </w:p>
    <w:p w:rsidR="00212513" w:rsidRDefault="00212513">
      <w:pPr>
        <w:pStyle w:val="ConsPlusNormal"/>
        <w:jc w:val="center"/>
      </w:pPr>
      <w:r>
        <w:rPr>
          <w:noProof/>
          <w:position w:val="-10"/>
        </w:rPr>
        <w:drawing>
          <wp:inline distT="0" distB="0" distL="0" distR="0">
            <wp:extent cx="903605" cy="273685"/>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903605" cy="273685"/>
                    </a:xfrm>
                    <a:prstGeom prst="rect">
                      <a:avLst/>
                    </a:prstGeom>
                    <a:noFill/>
                    <a:ln>
                      <a:noFill/>
                    </a:ln>
                  </pic:spPr>
                </pic:pic>
              </a:graphicData>
            </a:graphic>
          </wp:inline>
        </w:drawing>
      </w:r>
      <w:r>
        <w:t xml:space="preserve">; </w:t>
      </w:r>
      <w:r>
        <w:rPr>
          <w:noProof/>
          <w:position w:val="-10"/>
        </w:rPr>
        <w:drawing>
          <wp:inline distT="0" distB="0" distL="0" distR="0">
            <wp:extent cx="898525" cy="273685"/>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898525" cy="273685"/>
                    </a:xfrm>
                    <a:prstGeom prst="rect">
                      <a:avLst/>
                    </a:prstGeom>
                    <a:noFill/>
                    <a:ln>
                      <a:noFill/>
                    </a:ln>
                  </pic:spPr>
                </pic:pic>
              </a:graphicData>
            </a:graphic>
          </wp:inline>
        </w:drawing>
      </w:r>
      <w:r>
        <w:t>;</w:t>
      </w:r>
    </w:p>
    <w:p w:rsidR="00212513" w:rsidRDefault="00212513">
      <w:pPr>
        <w:pStyle w:val="ConsPlusNormal"/>
        <w:ind w:firstLine="540"/>
        <w:jc w:val="both"/>
      </w:pPr>
    </w:p>
    <w:p w:rsidR="00212513" w:rsidRDefault="00212513">
      <w:pPr>
        <w:pStyle w:val="ConsPlusNormal"/>
        <w:ind w:firstLine="540"/>
        <w:jc w:val="both"/>
      </w:pPr>
      <w:r>
        <w:t>для конструкций, предназначенных для остальных районов,</w:t>
      </w:r>
    </w:p>
    <w:p w:rsidR="00212513" w:rsidRDefault="00212513">
      <w:pPr>
        <w:pStyle w:val="ConsPlusNormal"/>
        <w:ind w:firstLine="540"/>
        <w:jc w:val="both"/>
      </w:pPr>
    </w:p>
    <w:p w:rsidR="00212513" w:rsidRDefault="00212513">
      <w:pPr>
        <w:pStyle w:val="ConsPlusNormal"/>
        <w:jc w:val="center"/>
      </w:pPr>
      <w:r>
        <w:rPr>
          <w:noProof/>
          <w:position w:val="-10"/>
        </w:rPr>
        <w:lastRenderedPageBreak/>
        <w:drawing>
          <wp:inline distT="0" distB="0" distL="0" distR="0">
            <wp:extent cx="903605" cy="273685"/>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903605" cy="273685"/>
                    </a:xfrm>
                    <a:prstGeom prst="rect">
                      <a:avLst/>
                    </a:prstGeom>
                    <a:noFill/>
                    <a:ln>
                      <a:noFill/>
                    </a:ln>
                  </pic:spPr>
                </pic:pic>
              </a:graphicData>
            </a:graphic>
          </wp:inline>
        </w:drawing>
      </w:r>
      <w:r>
        <w:t xml:space="preserve">; </w:t>
      </w:r>
      <w:r>
        <w:rPr>
          <w:noProof/>
          <w:position w:val="-10"/>
        </w:rPr>
        <w:drawing>
          <wp:inline distT="0" distB="0" distL="0" distR="0">
            <wp:extent cx="898525" cy="273685"/>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898525" cy="273685"/>
                    </a:xfrm>
                    <a:prstGeom prst="rect">
                      <a:avLst/>
                    </a:prstGeom>
                    <a:noFill/>
                    <a:ln>
                      <a:noFill/>
                    </a:ln>
                  </pic:spPr>
                </pic:pic>
              </a:graphicData>
            </a:graphic>
          </wp:inline>
        </w:drawing>
      </w:r>
      <w:r>
        <w:t>;</w:t>
      </w:r>
    </w:p>
    <w:p w:rsidR="00212513" w:rsidRDefault="00212513">
      <w:pPr>
        <w:pStyle w:val="ConsPlusNormal"/>
        <w:ind w:firstLine="540"/>
        <w:jc w:val="both"/>
      </w:pPr>
    </w:p>
    <w:p w:rsidR="00212513" w:rsidRDefault="00212513">
      <w:pPr>
        <w:pStyle w:val="ConsPlusNormal"/>
        <w:ind w:firstLine="540"/>
        <w:jc w:val="both"/>
      </w:pPr>
      <w:r>
        <w:t>б) в других случаях</w:t>
      </w:r>
    </w:p>
    <w:p w:rsidR="00212513" w:rsidRDefault="00212513">
      <w:pPr>
        <w:pStyle w:val="ConsPlusNormal"/>
        <w:ind w:firstLine="540"/>
        <w:jc w:val="both"/>
      </w:pPr>
    </w:p>
    <w:p w:rsidR="00212513" w:rsidRDefault="00212513">
      <w:pPr>
        <w:pStyle w:val="ConsPlusNormal"/>
        <w:jc w:val="center"/>
      </w:pPr>
      <w:r>
        <w:rPr>
          <w:noProof/>
          <w:position w:val="-10"/>
        </w:rPr>
        <w:drawing>
          <wp:inline distT="0" distB="0" distL="0" distR="0">
            <wp:extent cx="836295" cy="273685"/>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836295" cy="273685"/>
                    </a:xfrm>
                    <a:prstGeom prst="rect">
                      <a:avLst/>
                    </a:prstGeom>
                    <a:noFill/>
                    <a:ln>
                      <a:noFill/>
                    </a:ln>
                  </pic:spPr>
                </pic:pic>
              </a:graphicData>
            </a:graphic>
          </wp:inline>
        </w:drawing>
      </w:r>
      <w:r>
        <w:t>, (6.28)</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8"/>
        </w:rPr>
        <w:drawing>
          <wp:inline distT="0" distB="0" distL="0" distR="0">
            <wp:extent cx="230505" cy="251460"/>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230505" cy="251460"/>
                    </a:xfrm>
                    <a:prstGeom prst="rect">
                      <a:avLst/>
                    </a:prstGeom>
                    <a:noFill/>
                    <a:ln>
                      <a:noFill/>
                    </a:ln>
                  </pic:spPr>
                </pic:pic>
              </a:graphicData>
            </a:graphic>
          </wp:inline>
        </w:drawing>
      </w:r>
      <w:r>
        <w:t xml:space="preserve"> - средняя температура воздуха самого жаркого месяца, принимаемая по </w:t>
      </w:r>
      <w:hyperlink r:id="rId518">
        <w:r>
          <w:rPr>
            <w:color w:val="0000FF"/>
          </w:rPr>
          <w:t>СП 131.13330</w:t>
        </w:r>
      </w:hyperlink>
      <w:r>
        <w:t>;</w:t>
      </w:r>
    </w:p>
    <w:p w:rsidR="00212513" w:rsidRDefault="00212513">
      <w:pPr>
        <w:pStyle w:val="ConsPlusNormal"/>
        <w:jc w:val="both"/>
      </w:pPr>
      <w:r>
        <w:t xml:space="preserve">(в ред. </w:t>
      </w:r>
      <w:hyperlink r:id="rId519">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rPr>
          <w:i/>
        </w:rPr>
        <w:t>T</w:t>
      </w:r>
      <w:r>
        <w:t xml:space="preserve"> - средняя суточная амплитуда температуры воздуха наиболее теплого месяца, принимаемая по </w:t>
      </w:r>
      <w:hyperlink r:id="rId520">
        <w:r>
          <w:rPr>
            <w:color w:val="0000FF"/>
          </w:rPr>
          <w:t>СП 131.13330</w:t>
        </w:r>
      </w:hyperlink>
      <w:r>
        <w:t>.</w:t>
      </w:r>
    </w:p>
    <w:p w:rsidR="00212513" w:rsidRDefault="00212513">
      <w:pPr>
        <w:pStyle w:val="ConsPlusNormal"/>
        <w:jc w:val="both"/>
      </w:pPr>
      <w:r>
        <w:t xml:space="preserve">(в ред. </w:t>
      </w:r>
      <w:hyperlink r:id="rId521">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 xml:space="preserve">Нормативную температуру </w:t>
      </w:r>
      <w:r>
        <w:rPr>
          <w:noProof/>
          <w:position w:val="-10"/>
        </w:rPr>
        <w:drawing>
          <wp:inline distT="0" distB="0" distL="0" distR="0">
            <wp:extent cx="241300" cy="273685"/>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241300" cy="273685"/>
                    </a:xfrm>
                    <a:prstGeom prst="rect">
                      <a:avLst/>
                    </a:prstGeom>
                    <a:noFill/>
                    <a:ln>
                      <a:noFill/>
                    </a:ln>
                  </pic:spPr>
                </pic:pic>
              </a:graphicData>
            </a:graphic>
          </wp:inline>
        </w:drawing>
      </w:r>
      <w:r>
        <w:t xml:space="preserve"> принимают равной расчетной минимальной температуре воздуха в районе строительства в соответствии с </w:t>
      </w:r>
      <w:hyperlink w:anchor="P438">
        <w:r>
          <w:rPr>
            <w:color w:val="0000FF"/>
          </w:rPr>
          <w:t>5.39</w:t>
        </w:r>
      </w:hyperlink>
      <w:r>
        <w:t>.</w:t>
      </w:r>
    </w:p>
    <w:p w:rsidR="00212513" w:rsidRDefault="00212513">
      <w:pPr>
        <w:pStyle w:val="ConsPlusNormal"/>
        <w:spacing w:before="220"/>
        <w:ind w:firstLine="540"/>
        <w:jc w:val="both"/>
      </w:pPr>
      <w:r>
        <w:t>Влияние солнечной радиации на температуру элементов следует учитывать в виде дополнительного нагрева на 10 °C освещенного солнцем поверхностного слоя толщиной 15 см (включая одежду ездового полотна).</w:t>
      </w:r>
    </w:p>
    <w:p w:rsidR="00212513" w:rsidRDefault="00212513">
      <w:pPr>
        <w:pStyle w:val="ConsPlusNormal"/>
        <w:spacing w:before="220"/>
        <w:ind w:firstLine="540"/>
        <w:jc w:val="both"/>
      </w:pPr>
      <w:r>
        <w:t>Температуры замыкания конструкций, если они в проекте не оговорены следует принимать равными, °C:</w:t>
      </w:r>
    </w:p>
    <w:p w:rsidR="00212513" w:rsidRDefault="00212513">
      <w:pPr>
        <w:pStyle w:val="ConsPlusNormal"/>
        <w:ind w:firstLine="540"/>
        <w:jc w:val="both"/>
      </w:pPr>
    </w:p>
    <w:p w:rsidR="00212513" w:rsidRDefault="00212513">
      <w:pPr>
        <w:pStyle w:val="ConsPlusNormal"/>
        <w:jc w:val="center"/>
      </w:pPr>
      <w:r>
        <w:rPr>
          <w:noProof/>
          <w:position w:val="-10"/>
        </w:rPr>
        <w:drawing>
          <wp:inline distT="0" distB="0" distL="0" distR="0">
            <wp:extent cx="903605" cy="273685"/>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903605" cy="273685"/>
                    </a:xfrm>
                    <a:prstGeom prst="rect">
                      <a:avLst/>
                    </a:prstGeom>
                    <a:noFill/>
                    <a:ln>
                      <a:noFill/>
                    </a:ln>
                  </pic:spPr>
                </pic:pic>
              </a:graphicData>
            </a:graphic>
          </wp:inline>
        </w:drawing>
      </w:r>
      <w:r>
        <w:t>; (6.29)</w:t>
      </w:r>
    </w:p>
    <w:p w:rsidR="00212513" w:rsidRDefault="00212513">
      <w:pPr>
        <w:pStyle w:val="ConsPlusNormal"/>
        <w:ind w:firstLine="540"/>
        <w:jc w:val="both"/>
      </w:pPr>
    </w:p>
    <w:p w:rsidR="00212513" w:rsidRDefault="00212513">
      <w:pPr>
        <w:pStyle w:val="ConsPlusNormal"/>
        <w:jc w:val="center"/>
      </w:pPr>
      <w:r>
        <w:rPr>
          <w:noProof/>
          <w:position w:val="-10"/>
        </w:rPr>
        <w:drawing>
          <wp:inline distT="0" distB="0" distL="0" distR="0">
            <wp:extent cx="920750" cy="273685"/>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920750" cy="273685"/>
                    </a:xfrm>
                    <a:prstGeom prst="rect">
                      <a:avLst/>
                    </a:prstGeom>
                    <a:noFill/>
                    <a:ln>
                      <a:noFill/>
                    </a:ln>
                  </pic:spPr>
                </pic:pic>
              </a:graphicData>
            </a:graphic>
          </wp:inline>
        </w:drawing>
      </w:r>
      <w:r>
        <w:t>. (6.30)</w:t>
      </w:r>
    </w:p>
    <w:p w:rsidR="00212513" w:rsidRDefault="00212513">
      <w:pPr>
        <w:pStyle w:val="ConsPlusNormal"/>
        <w:ind w:firstLine="540"/>
        <w:jc w:val="both"/>
      </w:pPr>
    </w:p>
    <w:p w:rsidR="00212513" w:rsidRDefault="00212513">
      <w:pPr>
        <w:pStyle w:val="ConsPlusNormal"/>
        <w:ind w:firstLine="540"/>
        <w:jc w:val="both"/>
      </w:pPr>
      <w:r>
        <w:t>При расчете сталежелезобетонных пролетных строений следует учитывать влияние неравномерного распределения температуры по сечению элементов, вызываемого изменением температуры воздуха и солнечной радиацией.</w:t>
      </w:r>
    </w:p>
    <w:p w:rsidR="00212513" w:rsidRDefault="00212513">
      <w:pPr>
        <w:pStyle w:val="ConsPlusNormal"/>
        <w:spacing w:before="220"/>
        <w:ind w:firstLine="540"/>
        <w:jc w:val="both"/>
      </w:pPr>
      <w:r>
        <w:t xml:space="preserve">При расчете перемещений коэффициент линейного расширения следует принимать для стальных и сталежелезобетонных конструкций равным </w:t>
      </w:r>
      <w:r>
        <w:rPr>
          <w:noProof/>
          <w:position w:val="-7"/>
        </w:rPr>
        <w:drawing>
          <wp:inline distT="0" distB="0" distL="0" distR="0">
            <wp:extent cx="605790" cy="230505"/>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605790" cy="230505"/>
                    </a:xfrm>
                    <a:prstGeom prst="rect">
                      <a:avLst/>
                    </a:prstGeom>
                    <a:noFill/>
                    <a:ln>
                      <a:noFill/>
                    </a:ln>
                  </pic:spPr>
                </pic:pic>
              </a:graphicData>
            </a:graphic>
          </wp:inline>
        </w:drawing>
      </w:r>
      <w:r>
        <w:t xml:space="preserve"> и для железобетонных конструкций - </w:t>
      </w:r>
      <w:r>
        <w:rPr>
          <w:noProof/>
          <w:position w:val="-7"/>
        </w:rPr>
        <w:drawing>
          <wp:inline distT="0" distB="0" distL="0" distR="0">
            <wp:extent cx="586105" cy="230505"/>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586105" cy="230505"/>
                    </a:xfrm>
                    <a:prstGeom prst="rect">
                      <a:avLst/>
                    </a:prstGeom>
                    <a:noFill/>
                    <a:ln>
                      <a:noFill/>
                    </a:ln>
                  </pic:spPr>
                </pic:pic>
              </a:graphicData>
            </a:graphic>
          </wp:inline>
        </w:drawing>
      </w:r>
      <w:r>
        <w:t>.</w:t>
      </w:r>
    </w:p>
    <w:p w:rsidR="00212513" w:rsidRDefault="00212513">
      <w:pPr>
        <w:pStyle w:val="ConsPlusNormal"/>
        <w:spacing w:before="220"/>
        <w:ind w:firstLine="540"/>
        <w:jc w:val="both"/>
      </w:pPr>
      <w:bookmarkStart w:id="87" w:name="P1792"/>
      <w:bookmarkEnd w:id="87"/>
      <w:r>
        <w:t xml:space="preserve">6.28 Нормативное сопротивление от трения в подвижных опорных частях следует принимать в виде горизонтального продольного реактивного усилия </w:t>
      </w:r>
      <w:r>
        <w:rPr>
          <w:noProof/>
          <w:position w:val="-10"/>
        </w:rPr>
        <w:drawing>
          <wp:inline distT="0" distB="0" distL="0" distR="0">
            <wp:extent cx="199390" cy="273685"/>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99390" cy="273685"/>
                    </a:xfrm>
                    <a:prstGeom prst="rect">
                      <a:avLst/>
                    </a:prstGeom>
                    <a:noFill/>
                    <a:ln>
                      <a:noFill/>
                    </a:ln>
                  </pic:spPr>
                </pic:pic>
              </a:graphicData>
            </a:graphic>
          </wp:inline>
        </w:drawing>
      </w:r>
      <w:r>
        <w:t xml:space="preserve"> и определять по формуле</w:t>
      </w:r>
    </w:p>
    <w:p w:rsidR="00212513" w:rsidRDefault="00212513">
      <w:pPr>
        <w:pStyle w:val="ConsPlusNormal"/>
        <w:ind w:firstLine="540"/>
        <w:jc w:val="both"/>
      </w:pPr>
    </w:p>
    <w:p w:rsidR="00212513" w:rsidRDefault="00212513">
      <w:pPr>
        <w:pStyle w:val="ConsPlusNormal"/>
        <w:jc w:val="center"/>
      </w:pPr>
      <w:r>
        <w:rPr>
          <w:noProof/>
          <w:position w:val="-10"/>
        </w:rPr>
        <w:drawing>
          <wp:inline distT="0" distB="0" distL="0" distR="0">
            <wp:extent cx="690880" cy="273685"/>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690880" cy="273685"/>
                    </a:xfrm>
                    <a:prstGeom prst="rect">
                      <a:avLst/>
                    </a:prstGeom>
                    <a:noFill/>
                    <a:ln>
                      <a:noFill/>
                    </a:ln>
                  </pic:spPr>
                </pic:pic>
              </a:graphicData>
            </a:graphic>
          </wp:inline>
        </w:drawing>
      </w:r>
      <w:r>
        <w:t>, (6.31)</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8"/>
        </w:rPr>
        <w:drawing>
          <wp:inline distT="0" distB="0" distL="0" distR="0">
            <wp:extent cx="209550" cy="251460"/>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нормативная величина коэффициента трения в опорных частях при их перемещении, принимаемая равной средней величине из возможных экстремальных значений:</w:t>
      </w:r>
    </w:p>
    <w:p w:rsidR="00212513" w:rsidRDefault="00212513">
      <w:pPr>
        <w:pStyle w:val="ConsPlusNormal"/>
        <w:ind w:firstLine="540"/>
        <w:jc w:val="both"/>
      </w:pPr>
    </w:p>
    <w:p w:rsidR="00212513" w:rsidRDefault="00212513">
      <w:pPr>
        <w:pStyle w:val="ConsPlusNormal"/>
        <w:jc w:val="center"/>
      </w:pPr>
      <w:r>
        <w:rPr>
          <w:noProof/>
          <w:position w:val="-23"/>
        </w:rPr>
        <w:drawing>
          <wp:inline distT="0" distB="0" distL="0" distR="0">
            <wp:extent cx="1130935" cy="441960"/>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1130935" cy="441960"/>
                    </a:xfrm>
                    <a:prstGeom prst="rect">
                      <a:avLst/>
                    </a:prstGeom>
                    <a:noFill/>
                    <a:ln>
                      <a:noFill/>
                    </a:ln>
                  </pic:spPr>
                </pic:pic>
              </a:graphicData>
            </a:graphic>
          </wp:inline>
        </w:drawing>
      </w:r>
      <w:r>
        <w:t>, (6.32)</w:t>
      </w:r>
    </w:p>
    <w:p w:rsidR="00212513" w:rsidRDefault="00212513">
      <w:pPr>
        <w:pStyle w:val="ConsPlusNormal"/>
        <w:ind w:firstLine="540"/>
        <w:jc w:val="both"/>
      </w:pPr>
    </w:p>
    <w:p w:rsidR="00212513" w:rsidRDefault="00212513">
      <w:pPr>
        <w:pStyle w:val="ConsPlusNormal"/>
        <w:ind w:firstLine="540"/>
        <w:jc w:val="both"/>
      </w:pPr>
      <w:r>
        <w:rPr>
          <w:i/>
        </w:rPr>
        <w:t>F</w:t>
      </w:r>
      <w:r>
        <w:rPr>
          <w:i/>
          <w:vertAlign w:val="subscript"/>
        </w:rPr>
        <w:t>v</w:t>
      </w:r>
      <w:r>
        <w:t xml:space="preserve"> </w:t>
      </w:r>
      <w:r>
        <w:rPr>
          <w:i/>
        </w:rPr>
        <w:t>-</w:t>
      </w:r>
      <w:r>
        <w:t xml:space="preserve"> вертикальная составляющая при действии рассматриваемых нагрузок, действующая на </w:t>
      </w:r>
      <w:r>
        <w:lastRenderedPageBreak/>
        <w:t xml:space="preserve">опорную часть и вызывающая максимальное сопротивление трению, с коэффициентом надежности по нагрузке </w:t>
      </w:r>
      <w:r>
        <w:rPr>
          <w:noProof/>
          <w:position w:val="-10"/>
        </w:rPr>
        <w:drawing>
          <wp:inline distT="0" distB="0" distL="0" distR="0">
            <wp:extent cx="440055" cy="273685"/>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440055" cy="273685"/>
                    </a:xfrm>
                    <a:prstGeom prst="rect">
                      <a:avLst/>
                    </a:prstGeom>
                    <a:noFill/>
                    <a:ln>
                      <a:noFill/>
                    </a:ln>
                  </pic:spPr>
                </pic:pic>
              </a:graphicData>
            </a:graphic>
          </wp:inline>
        </w:drawing>
      </w:r>
      <w:r>
        <w:t>.</w:t>
      </w:r>
    </w:p>
    <w:p w:rsidR="00212513" w:rsidRDefault="00212513">
      <w:pPr>
        <w:pStyle w:val="ConsPlusNormal"/>
        <w:jc w:val="both"/>
      </w:pPr>
      <w:r>
        <w:t xml:space="preserve">(в ред. </w:t>
      </w:r>
      <w:hyperlink r:id="rId531">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Величины максимальных и минимальных коэффициентов трения следует принимать соответственно равными:</w:t>
      </w:r>
    </w:p>
    <w:p w:rsidR="00212513" w:rsidRDefault="00212513">
      <w:pPr>
        <w:pStyle w:val="ConsPlusNormal"/>
        <w:spacing w:before="220"/>
        <w:ind w:firstLine="540"/>
        <w:jc w:val="both"/>
      </w:pPr>
      <w:r>
        <w:t>а) при катковых, секторных или валковых опорных частях - 0,040 и 0,010;</w:t>
      </w:r>
    </w:p>
    <w:p w:rsidR="00212513" w:rsidRDefault="00212513">
      <w:pPr>
        <w:pStyle w:val="ConsPlusNormal"/>
        <w:spacing w:before="220"/>
        <w:ind w:firstLine="540"/>
        <w:jc w:val="both"/>
      </w:pPr>
      <w:r>
        <w:t>б) при качающихся стойках или подвесках - 0,020 и 0 (условно);</w:t>
      </w:r>
    </w:p>
    <w:p w:rsidR="00212513" w:rsidRDefault="00212513">
      <w:pPr>
        <w:pStyle w:val="ConsPlusNormal"/>
        <w:spacing w:before="220"/>
        <w:ind w:firstLine="540"/>
        <w:jc w:val="both"/>
      </w:pPr>
      <w:r>
        <w:t>в) при тангенциальных и плоских металлических опорных частях - 0,40 и 0,10;</w:t>
      </w:r>
    </w:p>
    <w:p w:rsidR="00212513" w:rsidRDefault="00212513">
      <w:pPr>
        <w:pStyle w:val="ConsPlusNormal"/>
        <w:spacing w:before="220"/>
        <w:ind w:firstLine="540"/>
        <w:jc w:val="both"/>
      </w:pPr>
      <w:r>
        <w:t>г) для подвижных комбинированных сферических (шаровых сегментных), стаканных и резинофторопластовых опорных частей с парами скольжения в составе: "фторопласт (политетрафторэтилен) - полированная нержавеющая сталь (твердохромовое покрытие) - антифрикционная смазка" максимальные коэффициенты трения принимаются по таблице 6.12 или по результатам квалификационных испытаний, предусмотренных в технических условиях производителя опорной части, с учетом старения материалов, износа поверхности скольжения, долговременного воздействия нагрузки и окружающей среды на состояние материалов и поверхностей скольжения. Обеспеченность значений коэффициентов трения должна быть не ниже 0,95.</w:t>
      </w:r>
    </w:p>
    <w:p w:rsidR="00212513" w:rsidRDefault="00212513">
      <w:pPr>
        <w:pStyle w:val="ConsPlusNormal"/>
        <w:jc w:val="both"/>
      </w:pPr>
      <w:r>
        <w:t xml:space="preserve">(в ред. </w:t>
      </w:r>
      <w:hyperlink r:id="rId532">
        <w:r>
          <w:rPr>
            <w:color w:val="0000FF"/>
          </w:rPr>
          <w:t>Изменения N 4</w:t>
        </w:r>
      </w:hyperlink>
      <w:r>
        <w:t>, утв. Приказом Минстроя России от 30.05.2024 N 361/пр)</w:t>
      </w:r>
    </w:p>
    <w:p w:rsidR="00212513" w:rsidRDefault="00212513">
      <w:pPr>
        <w:pStyle w:val="ConsPlusNormal"/>
        <w:ind w:firstLine="540"/>
        <w:jc w:val="both"/>
      </w:pPr>
    </w:p>
    <w:p w:rsidR="00212513" w:rsidRDefault="00212513">
      <w:pPr>
        <w:pStyle w:val="ConsPlusNormal"/>
        <w:jc w:val="right"/>
      </w:pPr>
      <w:r>
        <w:t>Таблица 6.12</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1671"/>
        <w:gridCol w:w="1671"/>
        <w:gridCol w:w="1671"/>
        <w:gridCol w:w="1671"/>
      </w:tblGrid>
      <w:tr w:rsidR="00212513">
        <w:tc>
          <w:tcPr>
            <w:tcW w:w="2381" w:type="dxa"/>
            <w:vMerge w:val="restart"/>
            <w:tcBorders>
              <w:top w:val="single" w:sz="4" w:space="0" w:color="auto"/>
              <w:bottom w:val="single" w:sz="4" w:space="0" w:color="auto"/>
            </w:tcBorders>
            <w:vAlign w:val="center"/>
          </w:tcPr>
          <w:p w:rsidR="00212513" w:rsidRDefault="00212513">
            <w:pPr>
              <w:pStyle w:val="ConsPlusNormal"/>
              <w:jc w:val="center"/>
            </w:pPr>
            <w:r>
              <w:t>Среднее давление в опорных частях по фторопласту, МПа</w:t>
            </w:r>
          </w:p>
        </w:tc>
        <w:tc>
          <w:tcPr>
            <w:tcW w:w="6684" w:type="dxa"/>
            <w:gridSpan w:val="4"/>
            <w:tcBorders>
              <w:top w:val="single" w:sz="4" w:space="0" w:color="auto"/>
              <w:bottom w:val="single" w:sz="4" w:space="0" w:color="auto"/>
            </w:tcBorders>
            <w:vAlign w:val="center"/>
          </w:tcPr>
          <w:p w:rsidR="00212513" w:rsidRDefault="00212513">
            <w:pPr>
              <w:pStyle w:val="ConsPlusNormal"/>
              <w:jc w:val="center"/>
            </w:pPr>
            <w:r>
              <w:t xml:space="preserve">Коэффициент трения при температуре наиболее холодной пятидневки по </w:t>
            </w:r>
            <w:hyperlink r:id="rId533">
              <w:r>
                <w:rPr>
                  <w:color w:val="0000FF"/>
                </w:rPr>
                <w:t>СП 131.13330</w:t>
              </w:r>
            </w:hyperlink>
            <w:r>
              <w:t xml:space="preserve"> с обеспеченностью 0,92</w:t>
            </w:r>
          </w:p>
        </w:tc>
      </w:tr>
      <w:tr w:rsidR="00212513">
        <w:tc>
          <w:tcPr>
            <w:tcW w:w="2381" w:type="dxa"/>
            <w:vMerge/>
            <w:tcBorders>
              <w:top w:val="single" w:sz="4" w:space="0" w:color="auto"/>
              <w:bottom w:val="single" w:sz="4" w:space="0" w:color="auto"/>
            </w:tcBorders>
          </w:tcPr>
          <w:p w:rsidR="00212513" w:rsidRDefault="00212513">
            <w:pPr>
              <w:pStyle w:val="ConsPlusNormal"/>
            </w:pPr>
          </w:p>
        </w:tc>
        <w:tc>
          <w:tcPr>
            <w:tcW w:w="3342" w:type="dxa"/>
            <w:gridSpan w:val="2"/>
            <w:tcBorders>
              <w:top w:val="single" w:sz="4" w:space="0" w:color="auto"/>
              <w:bottom w:val="single" w:sz="4" w:space="0" w:color="auto"/>
            </w:tcBorders>
            <w:vAlign w:val="center"/>
          </w:tcPr>
          <w:p w:rsidR="00212513" w:rsidRDefault="00212513">
            <w:pPr>
              <w:pStyle w:val="ConsPlusNormal"/>
              <w:jc w:val="center"/>
            </w:pPr>
            <w:r>
              <w:t>минус 10 °C и выше</w:t>
            </w:r>
          </w:p>
        </w:tc>
        <w:tc>
          <w:tcPr>
            <w:tcW w:w="3342" w:type="dxa"/>
            <w:gridSpan w:val="2"/>
            <w:tcBorders>
              <w:top w:val="single" w:sz="4" w:space="0" w:color="auto"/>
              <w:bottom w:val="single" w:sz="4" w:space="0" w:color="auto"/>
            </w:tcBorders>
            <w:vAlign w:val="center"/>
          </w:tcPr>
          <w:p w:rsidR="00212513" w:rsidRDefault="00212513">
            <w:pPr>
              <w:pStyle w:val="ConsPlusNormal"/>
              <w:jc w:val="center"/>
            </w:pPr>
            <w:r>
              <w:t>минус 50 °C</w:t>
            </w:r>
          </w:p>
        </w:tc>
      </w:tr>
      <w:tr w:rsidR="00212513">
        <w:tc>
          <w:tcPr>
            <w:tcW w:w="2381" w:type="dxa"/>
            <w:vMerge/>
            <w:tcBorders>
              <w:top w:val="single" w:sz="4" w:space="0" w:color="auto"/>
              <w:bottom w:val="single" w:sz="4" w:space="0" w:color="auto"/>
            </w:tcBorders>
          </w:tcPr>
          <w:p w:rsidR="00212513" w:rsidRDefault="00212513">
            <w:pPr>
              <w:pStyle w:val="ConsPlusNormal"/>
            </w:pPr>
          </w:p>
        </w:tc>
        <w:tc>
          <w:tcPr>
            <w:tcW w:w="1671" w:type="dxa"/>
            <w:tcBorders>
              <w:top w:val="single" w:sz="4" w:space="0" w:color="auto"/>
              <w:bottom w:val="single" w:sz="4" w:space="0" w:color="auto"/>
            </w:tcBorders>
            <w:vAlign w:val="center"/>
          </w:tcPr>
          <w:p w:rsidR="00212513" w:rsidRDefault="00212513">
            <w:pPr>
              <w:pStyle w:val="ConsPlusNormal"/>
              <w:jc w:val="center"/>
            </w:pPr>
            <w:r>
              <w:rPr>
                <w:noProof/>
                <w:position w:val="-8"/>
              </w:rPr>
              <w:drawing>
                <wp:inline distT="0" distB="0" distL="0" distR="0">
                  <wp:extent cx="335280" cy="251460"/>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p>
        </w:tc>
        <w:tc>
          <w:tcPr>
            <w:tcW w:w="1671" w:type="dxa"/>
            <w:tcBorders>
              <w:top w:val="single" w:sz="4" w:space="0" w:color="auto"/>
              <w:bottom w:val="single" w:sz="4" w:space="0" w:color="auto"/>
            </w:tcBorders>
            <w:vAlign w:val="center"/>
          </w:tcPr>
          <w:p w:rsidR="00212513" w:rsidRDefault="00212513">
            <w:pPr>
              <w:pStyle w:val="ConsPlusNormal"/>
              <w:jc w:val="center"/>
            </w:pPr>
            <w:r>
              <w:rPr>
                <w:noProof/>
                <w:position w:val="-8"/>
              </w:rPr>
              <w:drawing>
                <wp:inline distT="0" distB="0" distL="0" distR="0">
                  <wp:extent cx="304165" cy="251460"/>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304165" cy="251460"/>
                          </a:xfrm>
                          <a:prstGeom prst="rect">
                            <a:avLst/>
                          </a:prstGeom>
                          <a:noFill/>
                          <a:ln>
                            <a:noFill/>
                          </a:ln>
                        </pic:spPr>
                      </pic:pic>
                    </a:graphicData>
                  </a:graphic>
                </wp:inline>
              </w:drawing>
            </w:r>
          </w:p>
        </w:tc>
        <w:tc>
          <w:tcPr>
            <w:tcW w:w="1671" w:type="dxa"/>
            <w:tcBorders>
              <w:top w:val="single" w:sz="4" w:space="0" w:color="auto"/>
              <w:bottom w:val="single" w:sz="4" w:space="0" w:color="auto"/>
            </w:tcBorders>
            <w:vAlign w:val="center"/>
          </w:tcPr>
          <w:p w:rsidR="00212513" w:rsidRDefault="00212513">
            <w:pPr>
              <w:pStyle w:val="ConsPlusNormal"/>
              <w:jc w:val="center"/>
            </w:pPr>
            <w:r>
              <w:rPr>
                <w:noProof/>
                <w:position w:val="-8"/>
              </w:rPr>
              <w:drawing>
                <wp:inline distT="0" distB="0" distL="0" distR="0">
                  <wp:extent cx="335280" cy="251460"/>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p>
        </w:tc>
        <w:tc>
          <w:tcPr>
            <w:tcW w:w="1671" w:type="dxa"/>
            <w:tcBorders>
              <w:top w:val="single" w:sz="4" w:space="0" w:color="auto"/>
              <w:bottom w:val="single" w:sz="4" w:space="0" w:color="auto"/>
            </w:tcBorders>
            <w:vAlign w:val="center"/>
          </w:tcPr>
          <w:p w:rsidR="00212513" w:rsidRDefault="00212513">
            <w:pPr>
              <w:pStyle w:val="ConsPlusNormal"/>
              <w:jc w:val="center"/>
            </w:pPr>
            <w:r>
              <w:rPr>
                <w:noProof/>
                <w:position w:val="-8"/>
              </w:rPr>
              <w:drawing>
                <wp:inline distT="0" distB="0" distL="0" distR="0">
                  <wp:extent cx="304165" cy="251460"/>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304165" cy="251460"/>
                          </a:xfrm>
                          <a:prstGeom prst="rect">
                            <a:avLst/>
                          </a:prstGeom>
                          <a:noFill/>
                          <a:ln>
                            <a:noFill/>
                          </a:ln>
                        </pic:spPr>
                      </pic:pic>
                    </a:graphicData>
                  </a:graphic>
                </wp:inline>
              </w:drawing>
            </w:r>
          </w:p>
        </w:tc>
      </w:tr>
      <w:tr w:rsidR="00212513">
        <w:tblPrEx>
          <w:tblBorders>
            <w:insideH w:val="none" w:sz="0" w:space="0" w:color="auto"/>
          </w:tblBorders>
        </w:tblPrEx>
        <w:tc>
          <w:tcPr>
            <w:tcW w:w="2381" w:type="dxa"/>
            <w:tcBorders>
              <w:top w:val="single" w:sz="4" w:space="0" w:color="auto"/>
              <w:bottom w:val="nil"/>
            </w:tcBorders>
          </w:tcPr>
          <w:p w:rsidR="00212513" w:rsidRDefault="00212513">
            <w:pPr>
              <w:pStyle w:val="ConsPlusNormal"/>
              <w:jc w:val="center"/>
            </w:pPr>
            <w:r>
              <w:t>10</w:t>
            </w:r>
          </w:p>
        </w:tc>
        <w:tc>
          <w:tcPr>
            <w:tcW w:w="1671" w:type="dxa"/>
            <w:tcBorders>
              <w:top w:val="single" w:sz="4" w:space="0" w:color="auto"/>
              <w:bottom w:val="nil"/>
            </w:tcBorders>
          </w:tcPr>
          <w:p w:rsidR="00212513" w:rsidRDefault="00212513">
            <w:pPr>
              <w:pStyle w:val="ConsPlusNormal"/>
              <w:jc w:val="center"/>
            </w:pPr>
            <w:r>
              <w:t>0,085</w:t>
            </w:r>
          </w:p>
        </w:tc>
        <w:tc>
          <w:tcPr>
            <w:tcW w:w="1671" w:type="dxa"/>
            <w:tcBorders>
              <w:top w:val="single" w:sz="4" w:space="0" w:color="auto"/>
              <w:bottom w:val="nil"/>
            </w:tcBorders>
          </w:tcPr>
          <w:p w:rsidR="00212513" w:rsidRDefault="00212513">
            <w:pPr>
              <w:pStyle w:val="ConsPlusNormal"/>
              <w:jc w:val="center"/>
            </w:pPr>
            <w:r>
              <w:t>0,030</w:t>
            </w:r>
          </w:p>
        </w:tc>
        <w:tc>
          <w:tcPr>
            <w:tcW w:w="1671" w:type="dxa"/>
            <w:tcBorders>
              <w:top w:val="single" w:sz="4" w:space="0" w:color="auto"/>
              <w:bottom w:val="nil"/>
            </w:tcBorders>
          </w:tcPr>
          <w:p w:rsidR="00212513" w:rsidRDefault="00212513">
            <w:pPr>
              <w:pStyle w:val="ConsPlusNormal"/>
              <w:jc w:val="center"/>
            </w:pPr>
            <w:r>
              <w:t>0,120</w:t>
            </w:r>
          </w:p>
        </w:tc>
        <w:tc>
          <w:tcPr>
            <w:tcW w:w="1671" w:type="dxa"/>
            <w:tcBorders>
              <w:top w:val="single" w:sz="4" w:space="0" w:color="auto"/>
              <w:bottom w:val="nil"/>
            </w:tcBorders>
          </w:tcPr>
          <w:p w:rsidR="00212513" w:rsidRDefault="00212513">
            <w:pPr>
              <w:pStyle w:val="ConsPlusNormal"/>
              <w:jc w:val="center"/>
            </w:pPr>
            <w:r>
              <w:t>0,045</w:t>
            </w:r>
          </w:p>
        </w:tc>
      </w:tr>
      <w:tr w:rsidR="00212513">
        <w:tblPrEx>
          <w:tblBorders>
            <w:insideH w:val="none" w:sz="0" w:space="0" w:color="auto"/>
          </w:tblBorders>
        </w:tblPrEx>
        <w:tc>
          <w:tcPr>
            <w:tcW w:w="9065" w:type="dxa"/>
            <w:gridSpan w:val="5"/>
            <w:tcBorders>
              <w:top w:val="nil"/>
              <w:bottom w:val="nil"/>
            </w:tcBorders>
          </w:tcPr>
          <w:p w:rsidR="00212513" w:rsidRDefault="00212513">
            <w:pPr>
              <w:pStyle w:val="ConsPlusNormal"/>
              <w:jc w:val="both"/>
            </w:pPr>
            <w:r>
              <w:t xml:space="preserve">(в ред. </w:t>
            </w:r>
            <w:hyperlink r:id="rId536">
              <w:r>
                <w:rPr>
                  <w:color w:val="0000FF"/>
                </w:rPr>
                <w:t>Изменения N 4</w:t>
              </w:r>
            </w:hyperlink>
            <w:r>
              <w:t>, утв. Приказом Минстроя России от 30.05.2024 N 361/пр)</w:t>
            </w:r>
          </w:p>
        </w:tc>
      </w:tr>
      <w:tr w:rsidR="00212513">
        <w:tblPrEx>
          <w:tblBorders>
            <w:insideH w:val="none" w:sz="0" w:space="0" w:color="auto"/>
          </w:tblBorders>
        </w:tblPrEx>
        <w:tc>
          <w:tcPr>
            <w:tcW w:w="2381" w:type="dxa"/>
            <w:tcBorders>
              <w:top w:val="nil"/>
              <w:bottom w:val="nil"/>
            </w:tcBorders>
          </w:tcPr>
          <w:p w:rsidR="00212513" w:rsidRDefault="00212513">
            <w:pPr>
              <w:pStyle w:val="ConsPlusNormal"/>
              <w:jc w:val="center"/>
            </w:pPr>
            <w:r>
              <w:t>20</w:t>
            </w:r>
          </w:p>
        </w:tc>
        <w:tc>
          <w:tcPr>
            <w:tcW w:w="1671" w:type="dxa"/>
            <w:tcBorders>
              <w:top w:val="nil"/>
              <w:bottom w:val="nil"/>
            </w:tcBorders>
          </w:tcPr>
          <w:p w:rsidR="00212513" w:rsidRDefault="00212513">
            <w:pPr>
              <w:pStyle w:val="ConsPlusNormal"/>
              <w:jc w:val="center"/>
            </w:pPr>
            <w:r>
              <w:t>0,050</w:t>
            </w:r>
          </w:p>
        </w:tc>
        <w:tc>
          <w:tcPr>
            <w:tcW w:w="1671" w:type="dxa"/>
            <w:tcBorders>
              <w:top w:val="nil"/>
              <w:bottom w:val="nil"/>
            </w:tcBorders>
          </w:tcPr>
          <w:p w:rsidR="00212513" w:rsidRDefault="00212513">
            <w:pPr>
              <w:pStyle w:val="ConsPlusNormal"/>
              <w:jc w:val="center"/>
            </w:pPr>
            <w:r>
              <w:t>0,015</w:t>
            </w:r>
          </w:p>
        </w:tc>
        <w:tc>
          <w:tcPr>
            <w:tcW w:w="1671" w:type="dxa"/>
            <w:tcBorders>
              <w:top w:val="nil"/>
              <w:bottom w:val="nil"/>
            </w:tcBorders>
          </w:tcPr>
          <w:p w:rsidR="00212513" w:rsidRDefault="00212513">
            <w:pPr>
              <w:pStyle w:val="ConsPlusNormal"/>
              <w:jc w:val="center"/>
            </w:pPr>
            <w:r>
              <w:t>0,075</w:t>
            </w:r>
          </w:p>
        </w:tc>
        <w:tc>
          <w:tcPr>
            <w:tcW w:w="1671" w:type="dxa"/>
            <w:tcBorders>
              <w:top w:val="nil"/>
              <w:bottom w:val="nil"/>
            </w:tcBorders>
          </w:tcPr>
          <w:p w:rsidR="00212513" w:rsidRDefault="00212513">
            <w:pPr>
              <w:pStyle w:val="ConsPlusNormal"/>
              <w:jc w:val="center"/>
            </w:pPr>
            <w:r>
              <w:t>0,030</w:t>
            </w:r>
          </w:p>
        </w:tc>
      </w:tr>
      <w:tr w:rsidR="00212513">
        <w:tblPrEx>
          <w:tblBorders>
            <w:insideH w:val="none" w:sz="0" w:space="0" w:color="auto"/>
          </w:tblBorders>
        </w:tblPrEx>
        <w:tc>
          <w:tcPr>
            <w:tcW w:w="9065" w:type="dxa"/>
            <w:gridSpan w:val="5"/>
            <w:tcBorders>
              <w:top w:val="nil"/>
              <w:bottom w:val="nil"/>
            </w:tcBorders>
          </w:tcPr>
          <w:p w:rsidR="00212513" w:rsidRDefault="00212513">
            <w:pPr>
              <w:pStyle w:val="ConsPlusNormal"/>
              <w:jc w:val="both"/>
            </w:pPr>
            <w:r>
              <w:t xml:space="preserve">(в ред. </w:t>
            </w:r>
            <w:hyperlink r:id="rId537">
              <w:r>
                <w:rPr>
                  <w:color w:val="0000FF"/>
                </w:rPr>
                <w:t>Изменения N 4</w:t>
              </w:r>
            </w:hyperlink>
            <w:r>
              <w:t>, утв. Приказом Минстроя России от 30.05.2024 N 361/пр)</w:t>
            </w:r>
          </w:p>
        </w:tc>
      </w:tr>
      <w:tr w:rsidR="00212513">
        <w:tblPrEx>
          <w:tblBorders>
            <w:insideH w:val="none" w:sz="0" w:space="0" w:color="auto"/>
          </w:tblBorders>
        </w:tblPrEx>
        <w:tc>
          <w:tcPr>
            <w:tcW w:w="2381" w:type="dxa"/>
            <w:tcBorders>
              <w:top w:val="nil"/>
              <w:bottom w:val="nil"/>
            </w:tcBorders>
          </w:tcPr>
          <w:p w:rsidR="00212513" w:rsidRDefault="00212513">
            <w:pPr>
              <w:pStyle w:val="ConsPlusNormal"/>
              <w:jc w:val="center"/>
            </w:pPr>
            <w:r>
              <w:t>30</w:t>
            </w:r>
          </w:p>
        </w:tc>
        <w:tc>
          <w:tcPr>
            <w:tcW w:w="1671" w:type="dxa"/>
            <w:tcBorders>
              <w:top w:val="nil"/>
              <w:bottom w:val="nil"/>
            </w:tcBorders>
          </w:tcPr>
          <w:p w:rsidR="00212513" w:rsidRDefault="00212513">
            <w:pPr>
              <w:pStyle w:val="ConsPlusNormal"/>
              <w:jc w:val="center"/>
            </w:pPr>
            <w:r>
              <w:t>0,035</w:t>
            </w:r>
          </w:p>
        </w:tc>
        <w:tc>
          <w:tcPr>
            <w:tcW w:w="1671" w:type="dxa"/>
            <w:tcBorders>
              <w:top w:val="nil"/>
              <w:bottom w:val="nil"/>
            </w:tcBorders>
          </w:tcPr>
          <w:p w:rsidR="00212513" w:rsidRDefault="00212513">
            <w:pPr>
              <w:pStyle w:val="ConsPlusNormal"/>
              <w:jc w:val="center"/>
            </w:pPr>
            <w:r>
              <w:t>0,010</w:t>
            </w:r>
          </w:p>
        </w:tc>
        <w:tc>
          <w:tcPr>
            <w:tcW w:w="1671" w:type="dxa"/>
            <w:tcBorders>
              <w:top w:val="nil"/>
              <w:bottom w:val="nil"/>
            </w:tcBorders>
          </w:tcPr>
          <w:p w:rsidR="00212513" w:rsidRDefault="00212513">
            <w:pPr>
              <w:pStyle w:val="ConsPlusNormal"/>
              <w:jc w:val="center"/>
            </w:pPr>
            <w:r>
              <w:t>0,060</w:t>
            </w:r>
          </w:p>
        </w:tc>
        <w:tc>
          <w:tcPr>
            <w:tcW w:w="1671" w:type="dxa"/>
            <w:tcBorders>
              <w:top w:val="nil"/>
              <w:bottom w:val="nil"/>
            </w:tcBorders>
          </w:tcPr>
          <w:p w:rsidR="00212513" w:rsidRDefault="00212513">
            <w:pPr>
              <w:pStyle w:val="ConsPlusNormal"/>
              <w:jc w:val="center"/>
            </w:pPr>
            <w:r>
              <w:t>0,020</w:t>
            </w:r>
          </w:p>
        </w:tc>
      </w:tr>
      <w:tr w:rsidR="00212513">
        <w:tblPrEx>
          <w:tblBorders>
            <w:insideH w:val="none" w:sz="0" w:space="0" w:color="auto"/>
          </w:tblBorders>
        </w:tblPrEx>
        <w:tc>
          <w:tcPr>
            <w:tcW w:w="9065" w:type="dxa"/>
            <w:gridSpan w:val="5"/>
            <w:tcBorders>
              <w:top w:val="nil"/>
              <w:bottom w:val="single" w:sz="4" w:space="0" w:color="auto"/>
            </w:tcBorders>
          </w:tcPr>
          <w:p w:rsidR="00212513" w:rsidRDefault="00212513">
            <w:pPr>
              <w:pStyle w:val="ConsPlusNormal"/>
              <w:jc w:val="both"/>
            </w:pPr>
            <w:r>
              <w:t xml:space="preserve">(в ред. </w:t>
            </w:r>
            <w:hyperlink r:id="rId538">
              <w:r>
                <w:rPr>
                  <w:color w:val="0000FF"/>
                </w:rPr>
                <w:t>Изменения N 4</w:t>
              </w:r>
            </w:hyperlink>
            <w:r>
              <w:t>, утв. Приказом Минстроя России от 30.05.2024 N 361/пр)</w:t>
            </w:r>
          </w:p>
        </w:tc>
      </w:tr>
      <w:tr w:rsidR="00212513">
        <w:tblPrEx>
          <w:tblBorders>
            <w:insideH w:val="none" w:sz="0" w:space="0" w:color="auto"/>
          </w:tblBorders>
        </w:tblPrEx>
        <w:tc>
          <w:tcPr>
            <w:tcW w:w="9065" w:type="dxa"/>
            <w:gridSpan w:val="5"/>
            <w:tcBorders>
              <w:top w:val="single" w:sz="4" w:space="0" w:color="auto"/>
              <w:bottom w:val="nil"/>
            </w:tcBorders>
          </w:tcPr>
          <w:p w:rsidR="00212513" w:rsidRDefault="00212513">
            <w:pPr>
              <w:pStyle w:val="ConsPlusNormal"/>
              <w:ind w:firstLine="283"/>
              <w:jc w:val="both"/>
            </w:pPr>
            <w:r>
              <w:t>Примечания</w:t>
            </w:r>
          </w:p>
          <w:p w:rsidR="00212513" w:rsidRDefault="00212513">
            <w:pPr>
              <w:pStyle w:val="ConsPlusNormal"/>
              <w:ind w:firstLine="283"/>
              <w:jc w:val="both"/>
            </w:pPr>
            <w:r>
              <w:t>1 Коэффициенты трения при промежуточных значениях отрицательных температур и средних давлениях определяются по интерполяции.</w:t>
            </w:r>
          </w:p>
          <w:p w:rsidR="00212513" w:rsidRDefault="00212513">
            <w:pPr>
              <w:pStyle w:val="ConsPlusNormal"/>
              <w:ind w:firstLine="283"/>
              <w:jc w:val="both"/>
            </w:pPr>
            <w:r>
              <w:t>2 Для подвижных стаканных опорных частей с парами скольжения в составе "фторопласт (политетрафторэтилен) - полированная нержавеющая сталь (твердохромовое покрытие) - антифрикционная смазка" указанные коэффициенты трения применимы при среднем давлении на опорную часть от нормативных постоянных нагрузок и воздействий не менее 10 МПа..</w:t>
            </w:r>
          </w:p>
        </w:tc>
      </w:tr>
      <w:tr w:rsidR="00212513">
        <w:tblPrEx>
          <w:tblBorders>
            <w:insideH w:val="none" w:sz="0" w:space="0" w:color="auto"/>
          </w:tblBorders>
        </w:tblPrEx>
        <w:tc>
          <w:tcPr>
            <w:tcW w:w="9065" w:type="dxa"/>
            <w:gridSpan w:val="5"/>
            <w:tcBorders>
              <w:top w:val="nil"/>
              <w:bottom w:val="single" w:sz="4" w:space="0" w:color="auto"/>
            </w:tcBorders>
          </w:tcPr>
          <w:p w:rsidR="00212513" w:rsidRDefault="00212513">
            <w:pPr>
              <w:pStyle w:val="ConsPlusNormal"/>
              <w:jc w:val="both"/>
            </w:pPr>
            <w:r>
              <w:t xml:space="preserve">(в ред. </w:t>
            </w:r>
            <w:hyperlink r:id="rId539">
              <w:r>
                <w:rPr>
                  <w:color w:val="0000FF"/>
                </w:rPr>
                <w:t>Изменения N 4</w:t>
              </w:r>
            </w:hyperlink>
            <w:r>
              <w:t>, утв. Приказом Минстроя России от 30.05.2024 N 361/пр)</w:t>
            </w:r>
          </w:p>
        </w:tc>
      </w:tr>
    </w:tbl>
    <w:p w:rsidR="00212513" w:rsidRDefault="00212513">
      <w:pPr>
        <w:pStyle w:val="ConsPlusNormal"/>
        <w:ind w:firstLine="540"/>
        <w:jc w:val="both"/>
      </w:pPr>
    </w:p>
    <w:p w:rsidR="00212513" w:rsidRDefault="00212513">
      <w:pPr>
        <w:pStyle w:val="ConsPlusNormal"/>
        <w:jc w:val="both"/>
      </w:pPr>
      <w:r>
        <w:t xml:space="preserve">(в ред. </w:t>
      </w:r>
      <w:hyperlink r:id="rId540">
        <w:r>
          <w:rPr>
            <w:color w:val="0000FF"/>
          </w:rPr>
          <w:t>Изменения N 1</w:t>
        </w:r>
      </w:hyperlink>
      <w:r>
        <w:t>, утв. Приказом Минстроя России от 03.12.2016 N 879/пр)</w:t>
      </w:r>
    </w:p>
    <w:p w:rsidR="00212513" w:rsidRDefault="00212513">
      <w:pPr>
        <w:pStyle w:val="ConsPlusNormal"/>
        <w:ind w:firstLine="540"/>
        <w:jc w:val="both"/>
      </w:pPr>
    </w:p>
    <w:p w:rsidR="00212513" w:rsidRDefault="00212513">
      <w:pPr>
        <w:pStyle w:val="ConsPlusNormal"/>
        <w:ind w:firstLine="540"/>
        <w:jc w:val="both"/>
      </w:pPr>
      <w:r>
        <w:t>Расчетные усилия от сил трения в подвижных опорных частях в зависимости от вида и характера проводимых расчетов следует принимать в размерах:</w:t>
      </w:r>
    </w:p>
    <w:p w:rsidR="00212513" w:rsidRDefault="00212513">
      <w:pPr>
        <w:pStyle w:val="ConsPlusNormal"/>
        <w:jc w:val="both"/>
      </w:pPr>
      <w:r>
        <w:t xml:space="preserve">(в ред. </w:t>
      </w:r>
      <w:hyperlink r:id="rId541">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rPr>
          <w:noProof/>
          <w:position w:val="-10"/>
        </w:rPr>
        <w:drawing>
          <wp:inline distT="0" distB="0" distL="0" distR="0">
            <wp:extent cx="989330" cy="273685"/>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989330" cy="273685"/>
                    </a:xfrm>
                    <a:prstGeom prst="rect">
                      <a:avLst/>
                    </a:prstGeom>
                    <a:noFill/>
                    <a:ln>
                      <a:noFill/>
                    </a:ln>
                  </pic:spPr>
                </pic:pic>
              </a:graphicData>
            </a:graphic>
          </wp:inline>
        </w:drawing>
      </w:r>
      <w:r>
        <w:t>, если при рассматриваемом сочетании нагрузок силы трения увеличивают общее воздействие на рассчитываемый элемент конструкции;</w:t>
      </w:r>
    </w:p>
    <w:p w:rsidR="00212513" w:rsidRDefault="00212513">
      <w:pPr>
        <w:pStyle w:val="ConsPlusNormal"/>
        <w:spacing w:before="220"/>
        <w:ind w:firstLine="540"/>
        <w:jc w:val="both"/>
      </w:pPr>
      <w:r>
        <w:rPr>
          <w:noProof/>
          <w:position w:val="-10"/>
        </w:rPr>
        <w:drawing>
          <wp:inline distT="0" distB="0" distL="0" distR="0">
            <wp:extent cx="952500" cy="273685"/>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952500" cy="273685"/>
                    </a:xfrm>
                    <a:prstGeom prst="rect">
                      <a:avLst/>
                    </a:prstGeom>
                    <a:noFill/>
                    <a:ln>
                      <a:noFill/>
                    </a:ln>
                  </pic:spPr>
                </pic:pic>
              </a:graphicData>
            </a:graphic>
          </wp:inline>
        </w:drawing>
      </w:r>
      <w:r>
        <w:t>, если при рассматриваемом сочетании силы трения уменьшают общее воздействие нагрузок на рассчитываемый элемент конструкции.</w:t>
      </w:r>
    </w:p>
    <w:p w:rsidR="00212513" w:rsidRDefault="00212513">
      <w:pPr>
        <w:pStyle w:val="ConsPlusNormal"/>
        <w:spacing w:before="220"/>
        <w:ind w:firstLine="540"/>
        <w:jc w:val="both"/>
      </w:pPr>
      <w:r>
        <w:t xml:space="preserve">Коэффициент надежности по нагрузке </w:t>
      </w:r>
      <w:r>
        <w:rPr>
          <w:noProof/>
          <w:position w:val="-10"/>
        </w:rPr>
        <w:drawing>
          <wp:inline distT="0" distB="0" distL="0" distR="0">
            <wp:extent cx="199390" cy="273685"/>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199390" cy="273685"/>
                    </a:xfrm>
                    <a:prstGeom prst="rect">
                      <a:avLst/>
                    </a:prstGeom>
                    <a:noFill/>
                    <a:ln>
                      <a:noFill/>
                    </a:ln>
                  </pic:spPr>
                </pic:pic>
              </a:graphicData>
            </a:graphic>
          </wp:inline>
        </w:drawing>
      </w:r>
      <w:r>
        <w:t xml:space="preserve"> к усилиям </w:t>
      </w:r>
      <w:r>
        <w:rPr>
          <w:noProof/>
          <w:position w:val="-10"/>
        </w:rPr>
        <w:drawing>
          <wp:inline distT="0" distB="0" distL="0" distR="0">
            <wp:extent cx="398145" cy="273685"/>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398145" cy="273685"/>
                    </a:xfrm>
                    <a:prstGeom prst="rect">
                      <a:avLst/>
                    </a:prstGeom>
                    <a:noFill/>
                    <a:ln>
                      <a:noFill/>
                    </a:ln>
                  </pic:spPr>
                </pic:pic>
              </a:graphicData>
            </a:graphic>
          </wp:inline>
        </w:drawing>
      </w:r>
      <w:r>
        <w:t xml:space="preserve"> и </w:t>
      </w:r>
      <w:r>
        <w:rPr>
          <w:noProof/>
          <w:position w:val="-10"/>
        </w:rPr>
        <w:drawing>
          <wp:inline distT="0" distB="0" distL="0" distR="0">
            <wp:extent cx="379730" cy="273685"/>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379730" cy="273685"/>
                    </a:xfrm>
                    <a:prstGeom prst="rect">
                      <a:avLst/>
                    </a:prstGeom>
                    <a:noFill/>
                    <a:ln>
                      <a:noFill/>
                    </a:ln>
                  </pic:spPr>
                </pic:pic>
              </a:graphicData>
            </a:graphic>
          </wp:inline>
        </w:drawing>
      </w:r>
      <w:r>
        <w:t xml:space="preserve"> не вводится.</w:t>
      </w:r>
    </w:p>
    <w:p w:rsidR="00212513" w:rsidRDefault="00212513">
      <w:pPr>
        <w:pStyle w:val="ConsPlusNormal"/>
        <w:spacing w:before="220"/>
        <w:ind w:firstLine="540"/>
        <w:jc w:val="both"/>
      </w:pPr>
      <w:r>
        <w:t>Воздействие на конструкции пролетных строений сил трения, возникающих в подвижных опорных частях каткового, секторного и валкового типов при числе опорных частей в поперечном направлении более двух, следует определять с коэффициентом условия работы, равным 1,1.</w:t>
      </w:r>
    </w:p>
    <w:p w:rsidR="00212513" w:rsidRDefault="00212513">
      <w:pPr>
        <w:pStyle w:val="ConsPlusNormal"/>
        <w:spacing w:before="220"/>
        <w:ind w:firstLine="540"/>
        <w:jc w:val="both"/>
      </w:pPr>
      <w:r>
        <w:t>Опоры (включая фундаменты) и пролетные строения мостов следует проверять на воздействие расчетных сил трения, возникающих от температурных деформаций при действии постоянных нагрузок. При расчете подферменных площадок необходимо учитывать эксцентриситеты, возникающие в опорных частях при их перемещениях и повороте.</w:t>
      </w:r>
    </w:p>
    <w:p w:rsidR="00212513" w:rsidRDefault="00212513">
      <w:pPr>
        <w:pStyle w:val="ConsPlusNormal"/>
        <w:jc w:val="both"/>
      </w:pPr>
      <w:r>
        <w:t xml:space="preserve">(в ред. </w:t>
      </w:r>
      <w:hyperlink r:id="rId547">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t>Опорные части и элементы их прикреплений, а также части опор и пролетных строений, примыкающие к опорным частям, должны быть проверены на расчетные силы трения, возникающие от постоянных и временных (без учета динамики) нагрузок.</w:t>
      </w:r>
    </w:p>
    <w:p w:rsidR="00212513" w:rsidRDefault="00212513">
      <w:pPr>
        <w:pStyle w:val="ConsPlusNormal"/>
        <w:spacing w:before="220"/>
        <w:ind w:firstLine="540"/>
        <w:jc w:val="both"/>
      </w:pPr>
      <w:r>
        <w:t>При установке на промежуточной опоре двух рядов подвижных опорных частей от смежных пролетных строений, а также неподвижных опорных частей в неразрезном и температурно-неразрезном пролетном строении полное продольное усилие, передаваемое с пролетного строения на опору, следует принимать не более разницы сил трения при максимальных и минимальных коэффициентах трения в опорных частях.</w:t>
      </w:r>
    </w:p>
    <w:p w:rsidR="00212513" w:rsidRDefault="00212513">
      <w:pPr>
        <w:pStyle w:val="ConsPlusNormal"/>
        <w:jc w:val="both"/>
      </w:pPr>
      <w:r>
        <w:t xml:space="preserve">(в ред. </w:t>
      </w:r>
      <w:hyperlink r:id="rId548">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 xml:space="preserve">Величина реактивного продольного усилия </w:t>
      </w:r>
      <w:r>
        <w:rPr>
          <w:noProof/>
          <w:position w:val="-8"/>
        </w:rPr>
        <w:drawing>
          <wp:inline distT="0" distB="0" distL="0" distR="0">
            <wp:extent cx="189230" cy="250825"/>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189230" cy="250825"/>
                    </a:xfrm>
                    <a:prstGeom prst="rect">
                      <a:avLst/>
                    </a:prstGeom>
                    <a:noFill/>
                    <a:ln>
                      <a:noFill/>
                    </a:ln>
                  </pic:spPr>
                </pic:pic>
              </a:graphicData>
            </a:graphic>
          </wp:inline>
        </w:drawing>
      </w:r>
      <w:r>
        <w:t>, МН, возникающего в резиновых опорных частях вследствие сопротивления их сдвигу, вычисляют по формуле</w:t>
      </w:r>
    </w:p>
    <w:p w:rsidR="00212513" w:rsidRDefault="00212513">
      <w:pPr>
        <w:pStyle w:val="ConsPlusNormal"/>
        <w:ind w:firstLine="540"/>
        <w:jc w:val="both"/>
      </w:pPr>
    </w:p>
    <w:p w:rsidR="00212513" w:rsidRDefault="00212513">
      <w:pPr>
        <w:pStyle w:val="ConsPlusNormal"/>
        <w:jc w:val="center"/>
      </w:pPr>
      <w:r>
        <w:rPr>
          <w:noProof/>
          <w:position w:val="-23"/>
        </w:rPr>
        <w:drawing>
          <wp:inline distT="0" distB="0" distL="0" distR="0">
            <wp:extent cx="737235" cy="441960"/>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737235" cy="441960"/>
                    </a:xfrm>
                    <a:prstGeom prst="rect">
                      <a:avLst/>
                    </a:prstGeom>
                    <a:noFill/>
                    <a:ln>
                      <a:noFill/>
                    </a:ln>
                  </pic:spPr>
                </pic:pic>
              </a:graphicData>
            </a:graphic>
          </wp:inline>
        </w:drawing>
      </w:r>
      <w:r>
        <w:t>, (6.33)</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3"/>
        </w:rPr>
        <w:drawing>
          <wp:inline distT="0" distB="0" distL="0" distR="0">
            <wp:extent cx="146050" cy="189230"/>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146050" cy="189230"/>
                    </a:xfrm>
                    <a:prstGeom prst="rect">
                      <a:avLst/>
                    </a:prstGeom>
                    <a:noFill/>
                    <a:ln>
                      <a:noFill/>
                    </a:ln>
                  </pic:spPr>
                </pic:pic>
              </a:graphicData>
            </a:graphic>
          </wp:inline>
        </w:drawing>
      </w:r>
      <w:r>
        <w:t xml:space="preserve"> - перемещения в опорных частях, см;</w:t>
      </w:r>
    </w:p>
    <w:p w:rsidR="00212513" w:rsidRDefault="00212513">
      <w:pPr>
        <w:pStyle w:val="ConsPlusNormal"/>
        <w:spacing w:before="220"/>
        <w:ind w:firstLine="540"/>
        <w:jc w:val="both"/>
      </w:pPr>
      <w:r>
        <w:rPr>
          <w:i/>
        </w:rPr>
        <w:t>a</w:t>
      </w:r>
      <w:r>
        <w:t xml:space="preserve"> - суммарная толщина слоев резины, см;</w:t>
      </w:r>
    </w:p>
    <w:p w:rsidR="00212513" w:rsidRDefault="00212513">
      <w:pPr>
        <w:pStyle w:val="ConsPlusNormal"/>
        <w:spacing w:before="220"/>
        <w:ind w:firstLine="540"/>
        <w:jc w:val="both"/>
      </w:pPr>
      <w:r>
        <w:rPr>
          <w:i/>
        </w:rPr>
        <w:t>A</w:t>
      </w:r>
      <w:r>
        <w:t xml:space="preserve"> - площадь резиновой опорной части или нескольких опорных частей в случае расположения их рядом под одним концом балки, м</w:t>
      </w:r>
      <w:r>
        <w:rPr>
          <w:vertAlign w:val="superscript"/>
        </w:rPr>
        <w:t>2</w:t>
      </w:r>
      <w:r>
        <w:t>;</w:t>
      </w:r>
    </w:p>
    <w:p w:rsidR="00212513" w:rsidRDefault="00212513">
      <w:pPr>
        <w:pStyle w:val="ConsPlusNormal"/>
        <w:spacing w:before="220"/>
        <w:ind w:firstLine="540"/>
        <w:jc w:val="both"/>
      </w:pPr>
      <w:r>
        <w:rPr>
          <w:i/>
        </w:rPr>
        <w:t>G</w:t>
      </w:r>
      <w:r>
        <w:t xml:space="preserve"> - статический модуль сдвига резины, значения которого при определении расчетных величин продольных усилий зависят от нормативной температуры окружающей среды и принимаются для употребляемых марок резины по таблице 6.13.</w:t>
      </w:r>
    </w:p>
    <w:p w:rsidR="00212513" w:rsidRDefault="00212513">
      <w:pPr>
        <w:pStyle w:val="ConsPlusNormal"/>
        <w:ind w:firstLine="540"/>
        <w:jc w:val="both"/>
      </w:pPr>
    </w:p>
    <w:p w:rsidR="00212513" w:rsidRDefault="00212513">
      <w:pPr>
        <w:pStyle w:val="ConsPlusNormal"/>
        <w:jc w:val="right"/>
      </w:pPr>
      <w:r>
        <w:lastRenderedPageBreak/>
        <w:t>Таблица 6.13</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1473"/>
        <w:gridCol w:w="1473"/>
        <w:gridCol w:w="1473"/>
        <w:gridCol w:w="1473"/>
        <w:gridCol w:w="1476"/>
      </w:tblGrid>
      <w:tr w:rsidR="00212513">
        <w:tc>
          <w:tcPr>
            <w:tcW w:w="1701" w:type="dxa"/>
            <w:vMerge w:val="restart"/>
            <w:vAlign w:val="center"/>
          </w:tcPr>
          <w:p w:rsidR="00212513" w:rsidRDefault="00212513">
            <w:pPr>
              <w:pStyle w:val="ConsPlusNormal"/>
              <w:jc w:val="center"/>
            </w:pPr>
            <w:r>
              <w:t>Марка резины</w:t>
            </w:r>
          </w:p>
        </w:tc>
        <w:tc>
          <w:tcPr>
            <w:tcW w:w="7368" w:type="dxa"/>
            <w:gridSpan w:val="5"/>
            <w:vAlign w:val="center"/>
          </w:tcPr>
          <w:p w:rsidR="00212513" w:rsidRDefault="00212513">
            <w:pPr>
              <w:pStyle w:val="ConsPlusNormal"/>
              <w:jc w:val="center"/>
            </w:pPr>
            <w:r>
              <w:t>Модуль сдвига резины, МПа, при нормативной температуре окружающего воздуха, °C</w:t>
            </w:r>
          </w:p>
        </w:tc>
      </w:tr>
      <w:tr w:rsidR="00212513">
        <w:tc>
          <w:tcPr>
            <w:tcW w:w="1701" w:type="dxa"/>
            <w:vMerge/>
          </w:tcPr>
          <w:p w:rsidR="00212513" w:rsidRDefault="00212513">
            <w:pPr>
              <w:pStyle w:val="ConsPlusNormal"/>
            </w:pPr>
          </w:p>
        </w:tc>
        <w:tc>
          <w:tcPr>
            <w:tcW w:w="1473" w:type="dxa"/>
            <w:vAlign w:val="center"/>
          </w:tcPr>
          <w:p w:rsidR="00212513" w:rsidRDefault="00212513">
            <w:pPr>
              <w:pStyle w:val="ConsPlusNormal"/>
              <w:jc w:val="center"/>
            </w:pPr>
            <w:r>
              <w:t>минус 20 и выше</w:t>
            </w:r>
          </w:p>
        </w:tc>
        <w:tc>
          <w:tcPr>
            <w:tcW w:w="1473" w:type="dxa"/>
            <w:vAlign w:val="center"/>
          </w:tcPr>
          <w:p w:rsidR="00212513" w:rsidRDefault="00212513">
            <w:pPr>
              <w:pStyle w:val="ConsPlusNormal"/>
              <w:jc w:val="center"/>
            </w:pPr>
            <w:r>
              <w:t>минус 30</w:t>
            </w:r>
          </w:p>
        </w:tc>
        <w:tc>
          <w:tcPr>
            <w:tcW w:w="1473" w:type="dxa"/>
            <w:vAlign w:val="center"/>
          </w:tcPr>
          <w:p w:rsidR="00212513" w:rsidRDefault="00212513">
            <w:pPr>
              <w:pStyle w:val="ConsPlusNormal"/>
              <w:jc w:val="center"/>
            </w:pPr>
            <w:r>
              <w:t>минус 40</w:t>
            </w:r>
          </w:p>
        </w:tc>
        <w:tc>
          <w:tcPr>
            <w:tcW w:w="1473" w:type="dxa"/>
            <w:vAlign w:val="center"/>
          </w:tcPr>
          <w:p w:rsidR="00212513" w:rsidRDefault="00212513">
            <w:pPr>
              <w:pStyle w:val="ConsPlusNormal"/>
              <w:jc w:val="center"/>
            </w:pPr>
            <w:r>
              <w:t>минус 50</w:t>
            </w:r>
          </w:p>
        </w:tc>
        <w:tc>
          <w:tcPr>
            <w:tcW w:w="1476" w:type="dxa"/>
            <w:vAlign w:val="center"/>
          </w:tcPr>
          <w:p w:rsidR="00212513" w:rsidRDefault="00212513">
            <w:pPr>
              <w:pStyle w:val="ConsPlusNormal"/>
              <w:jc w:val="center"/>
            </w:pPr>
            <w:r>
              <w:t>минус 55</w:t>
            </w:r>
          </w:p>
        </w:tc>
      </w:tr>
      <w:tr w:rsidR="00212513">
        <w:tblPrEx>
          <w:tblBorders>
            <w:insideH w:val="nil"/>
          </w:tblBorders>
        </w:tblPrEx>
        <w:tc>
          <w:tcPr>
            <w:tcW w:w="1701" w:type="dxa"/>
            <w:tcBorders>
              <w:bottom w:val="nil"/>
            </w:tcBorders>
          </w:tcPr>
          <w:p w:rsidR="00212513" w:rsidRDefault="00212513">
            <w:pPr>
              <w:pStyle w:val="ConsPlusNormal"/>
            </w:pPr>
            <w:r>
              <w:t>НО-68-1</w:t>
            </w:r>
          </w:p>
        </w:tc>
        <w:tc>
          <w:tcPr>
            <w:tcW w:w="1473" w:type="dxa"/>
            <w:tcBorders>
              <w:bottom w:val="nil"/>
            </w:tcBorders>
          </w:tcPr>
          <w:p w:rsidR="00212513" w:rsidRDefault="00212513">
            <w:pPr>
              <w:pStyle w:val="ConsPlusNormal"/>
              <w:jc w:val="center"/>
            </w:pPr>
            <w:r>
              <w:t>0,90</w:t>
            </w:r>
          </w:p>
        </w:tc>
        <w:tc>
          <w:tcPr>
            <w:tcW w:w="1473" w:type="dxa"/>
            <w:tcBorders>
              <w:bottom w:val="nil"/>
            </w:tcBorders>
          </w:tcPr>
          <w:p w:rsidR="00212513" w:rsidRDefault="00212513">
            <w:pPr>
              <w:pStyle w:val="ConsPlusNormal"/>
              <w:jc w:val="center"/>
            </w:pPr>
            <w:r>
              <w:t>1,10</w:t>
            </w:r>
          </w:p>
        </w:tc>
        <w:tc>
          <w:tcPr>
            <w:tcW w:w="1473" w:type="dxa"/>
            <w:tcBorders>
              <w:bottom w:val="nil"/>
            </w:tcBorders>
          </w:tcPr>
          <w:p w:rsidR="00212513" w:rsidRDefault="00212513">
            <w:pPr>
              <w:pStyle w:val="ConsPlusNormal"/>
              <w:jc w:val="center"/>
            </w:pPr>
            <w:r>
              <w:t>1,30</w:t>
            </w:r>
          </w:p>
        </w:tc>
        <w:tc>
          <w:tcPr>
            <w:tcW w:w="1473" w:type="dxa"/>
            <w:tcBorders>
              <w:bottom w:val="nil"/>
            </w:tcBorders>
          </w:tcPr>
          <w:p w:rsidR="00212513" w:rsidRDefault="00212513">
            <w:pPr>
              <w:pStyle w:val="ConsPlusNormal"/>
              <w:jc w:val="center"/>
            </w:pPr>
            <w:r>
              <w:t>-</w:t>
            </w:r>
          </w:p>
        </w:tc>
        <w:tc>
          <w:tcPr>
            <w:tcW w:w="1476" w:type="dxa"/>
            <w:tcBorders>
              <w:bottom w:val="nil"/>
            </w:tcBorders>
          </w:tcPr>
          <w:p w:rsidR="00212513" w:rsidRDefault="00212513">
            <w:pPr>
              <w:pStyle w:val="ConsPlusNormal"/>
              <w:jc w:val="center"/>
            </w:pPr>
            <w:r>
              <w:t>-</w:t>
            </w:r>
          </w:p>
        </w:tc>
      </w:tr>
      <w:tr w:rsidR="00212513">
        <w:tblPrEx>
          <w:tblBorders>
            <w:insideH w:val="nil"/>
          </w:tblBorders>
        </w:tblPrEx>
        <w:tc>
          <w:tcPr>
            <w:tcW w:w="1701" w:type="dxa"/>
            <w:tcBorders>
              <w:top w:val="nil"/>
              <w:bottom w:val="nil"/>
            </w:tcBorders>
          </w:tcPr>
          <w:p w:rsidR="00212513" w:rsidRDefault="00212513">
            <w:pPr>
              <w:pStyle w:val="ConsPlusNormal"/>
            </w:pPr>
            <w:r>
              <w:t>ИРП-1347-1</w:t>
            </w:r>
          </w:p>
        </w:tc>
        <w:tc>
          <w:tcPr>
            <w:tcW w:w="1473" w:type="dxa"/>
            <w:tcBorders>
              <w:top w:val="nil"/>
              <w:bottom w:val="nil"/>
            </w:tcBorders>
          </w:tcPr>
          <w:p w:rsidR="00212513" w:rsidRDefault="00212513">
            <w:pPr>
              <w:pStyle w:val="ConsPlusNormal"/>
              <w:jc w:val="center"/>
            </w:pPr>
            <w:r>
              <w:t>0,70</w:t>
            </w:r>
          </w:p>
        </w:tc>
        <w:tc>
          <w:tcPr>
            <w:tcW w:w="1473" w:type="dxa"/>
            <w:tcBorders>
              <w:top w:val="nil"/>
              <w:bottom w:val="nil"/>
            </w:tcBorders>
          </w:tcPr>
          <w:p w:rsidR="00212513" w:rsidRDefault="00212513">
            <w:pPr>
              <w:pStyle w:val="ConsPlusNormal"/>
              <w:jc w:val="center"/>
            </w:pPr>
            <w:r>
              <w:t>0,59</w:t>
            </w:r>
          </w:p>
        </w:tc>
        <w:tc>
          <w:tcPr>
            <w:tcW w:w="1473" w:type="dxa"/>
            <w:tcBorders>
              <w:top w:val="nil"/>
              <w:bottom w:val="nil"/>
            </w:tcBorders>
          </w:tcPr>
          <w:p w:rsidR="00212513" w:rsidRDefault="00212513">
            <w:pPr>
              <w:pStyle w:val="ConsPlusNormal"/>
              <w:jc w:val="center"/>
            </w:pPr>
            <w:r>
              <w:t>0,70</w:t>
            </w:r>
          </w:p>
        </w:tc>
        <w:tc>
          <w:tcPr>
            <w:tcW w:w="1473" w:type="dxa"/>
            <w:tcBorders>
              <w:top w:val="nil"/>
              <w:bottom w:val="nil"/>
            </w:tcBorders>
          </w:tcPr>
          <w:p w:rsidR="00212513" w:rsidRDefault="00212513">
            <w:pPr>
              <w:pStyle w:val="ConsPlusNormal"/>
              <w:jc w:val="center"/>
            </w:pPr>
            <w:r>
              <w:t>0,80</w:t>
            </w:r>
          </w:p>
        </w:tc>
        <w:tc>
          <w:tcPr>
            <w:tcW w:w="1476" w:type="dxa"/>
            <w:tcBorders>
              <w:top w:val="nil"/>
              <w:bottom w:val="nil"/>
            </w:tcBorders>
          </w:tcPr>
          <w:p w:rsidR="00212513" w:rsidRDefault="00212513">
            <w:pPr>
              <w:pStyle w:val="ConsPlusNormal"/>
              <w:jc w:val="center"/>
            </w:pPr>
            <w:r>
              <w:t>1,00</w:t>
            </w:r>
          </w:p>
        </w:tc>
      </w:tr>
      <w:tr w:rsidR="00212513">
        <w:tblPrEx>
          <w:tblBorders>
            <w:insideH w:val="nil"/>
          </w:tblBorders>
        </w:tblPrEx>
        <w:tc>
          <w:tcPr>
            <w:tcW w:w="1701" w:type="dxa"/>
            <w:tcBorders>
              <w:top w:val="nil"/>
            </w:tcBorders>
          </w:tcPr>
          <w:p w:rsidR="00212513" w:rsidRDefault="00212513">
            <w:pPr>
              <w:pStyle w:val="ConsPlusNormal"/>
            </w:pPr>
            <w:r>
              <w:t>РСМ-3Л</w:t>
            </w:r>
          </w:p>
        </w:tc>
        <w:tc>
          <w:tcPr>
            <w:tcW w:w="1473" w:type="dxa"/>
            <w:tcBorders>
              <w:top w:val="nil"/>
            </w:tcBorders>
          </w:tcPr>
          <w:p w:rsidR="00212513" w:rsidRDefault="00212513">
            <w:pPr>
              <w:pStyle w:val="ConsPlusNormal"/>
              <w:jc w:val="center"/>
            </w:pPr>
            <w:r>
              <w:t>0,90</w:t>
            </w:r>
          </w:p>
        </w:tc>
        <w:tc>
          <w:tcPr>
            <w:tcW w:w="1473" w:type="dxa"/>
            <w:tcBorders>
              <w:top w:val="nil"/>
            </w:tcBorders>
          </w:tcPr>
          <w:p w:rsidR="00212513" w:rsidRDefault="00212513">
            <w:pPr>
              <w:pStyle w:val="ConsPlusNormal"/>
              <w:jc w:val="center"/>
            </w:pPr>
            <w:r>
              <w:t>1,20</w:t>
            </w:r>
          </w:p>
        </w:tc>
        <w:tc>
          <w:tcPr>
            <w:tcW w:w="1473" w:type="dxa"/>
            <w:tcBorders>
              <w:top w:val="nil"/>
            </w:tcBorders>
          </w:tcPr>
          <w:p w:rsidR="00212513" w:rsidRDefault="00212513">
            <w:pPr>
              <w:pStyle w:val="ConsPlusNormal"/>
              <w:jc w:val="center"/>
            </w:pPr>
            <w:r>
              <w:t>1,40</w:t>
            </w:r>
          </w:p>
        </w:tc>
        <w:tc>
          <w:tcPr>
            <w:tcW w:w="1473" w:type="dxa"/>
            <w:tcBorders>
              <w:top w:val="nil"/>
            </w:tcBorders>
          </w:tcPr>
          <w:p w:rsidR="00212513" w:rsidRDefault="00212513">
            <w:pPr>
              <w:pStyle w:val="ConsPlusNormal"/>
              <w:jc w:val="center"/>
            </w:pPr>
            <w:r>
              <w:t>1,40</w:t>
            </w:r>
          </w:p>
        </w:tc>
        <w:tc>
          <w:tcPr>
            <w:tcW w:w="1476" w:type="dxa"/>
            <w:tcBorders>
              <w:top w:val="nil"/>
            </w:tcBorders>
          </w:tcPr>
          <w:p w:rsidR="00212513" w:rsidRDefault="00212513">
            <w:pPr>
              <w:pStyle w:val="ConsPlusNormal"/>
              <w:jc w:val="center"/>
            </w:pPr>
            <w:r>
              <w:t>-</w:t>
            </w:r>
          </w:p>
        </w:tc>
      </w:tr>
      <w:tr w:rsidR="00212513">
        <w:tc>
          <w:tcPr>
            <w:tcW w:w="9069" w:type="dxa"/>
            <w:gridSpan w:val="6"/>
          </w:tcPr>
          <w:p w:rsidR="00212513" w:rsidRDefault="00212513">
            <w:pPr>
              <w:pStyle w:val="ConsPlusNormal"/>
              <w:ind w:firstLine="283"/>
              <w:jc w:val="both"/>
            </w:pPr>
            <w:r>
              <w:t>Примечание - Промежуточные значения модуля сдвига принимаются по интерполяции.</w:t>
            </w:r>
          </w:p>
        </w:tc>
      </w:tr>
    </w:tbl>
    <w:p w:rsidR="00212513" w:rsidRDefault="00212513">
      <w:pPr>
        <w:pStyle w:val="ConsPlusNormal"/>
        <w:ind w:firstLine="540"/>
        <w:jc w:val="both"/>
      </w:pPr>
    </w:p>
    <w:p w:rsidR="00212513" w:rsidRDefault="00212513">
      <w:pPr>
        <w:pStyle w:val="ConsPlusNormal"/>
        <w:ind w:firstLine="540"/>
        <w:jc w:val="both"/>
      </w:pPr>
      <w:r>
        <w:t>Под опорными узлами балок или плит пролетных строений вдоль оси моста необходимо, как правило, устанавливать только одну опорную часть, а поперек оси моста допускается несколько одинаковых опорных частей, изготовленных из резины одной марки.</w:t>
      </w:r>
    </w:p>
    <w:p w:rsidR="00212513" w:rsidRDefault="00212513">
      <w:pPr>
        <w:pStyle w:val="ConsPlusNormal"/>
        <w:spacing w:before="220"/>
        <w:ind w:firstLine="540"/>
        <w:jc w:val="both"/>
      </w:pPr>
      <w:r>
        <w:t xml:space="preserve">6.29 Воздействие морозного пучения грунта в пределах слоя сезонного промерзания (оттаивания) для сооружений на вечномерзлых грунтах, а также на пучинистых грунтах, сезонно промерзающих на глубину свыше 2 м, следует принимать в виде приложенных по периметру фундамента (или свай) вертикальных касательных сил. Величины сил морозного пучения следует принимать в соответствии с требованиями </w:t>
      </w:r>
      <w:hyperlink r:id="rId552">
        <w:r>
          <w:rPr>
            <w:color w:val="0000FF"/>
          </w:rPr>
          <w:t>СП 25.13330</w:t>
        </w:r>
      </w:hyperlink>
      <w:r>
        <w:t>.</w:t>
      </w:r>
    </w:p>
    <w:p w:rsidR="00212513" w:rsidRDefault="00212513">
      <w:pPr>
        <w:pStyle w:val="ConsPlusNormal"/>
        <w:spacing w:before="220"/>
        <w:ind w:firstLine="540"/>
        <w:jc w:val="both"/>
      </w:pPr>
      <w:bookmarkStart w:id="88" w:name="P1895"/>
      <w:bookmarkEnd w:id="88"/>
      <w:r>
        <w:t xml:space="preserve">6.30 Строительные нагрузки, действующие на конструкцию при монтаже или строительстве (собственный вес, вес подмостей, кранов, работающих людей, инструментов, мелкого оборудования, односторонний распор и др.), а также при изготовлении и транспортировании элементов, следует принимать по проектным данным с учетом предусматриваемых условий производства работ и требований </w:t>
      </w:r>
      <w:hyperlink r:id="rId553">
        <w:r>
          <w:rPr>
            <w:color w:val="0000FF"/>
          </w:rPr>
          <w:t>СП 70.13330</w:t>
        </w:r>
      </w:hyperlink>
      <w:r>
        <w:t>.</w:t>
      </w:r>
    </w:p>
    <w:p w:rsidR="00212513" w:rsidRDefault="00212513">
      <w:pPr>
        <w:pStyle w:val="ConsPlusNormal"/>
        <w:jc w:val="both"/>
      </w:pPr>
      <w:r>
        <w:t xml:space="preserve">(в ред. </w:t>
      </w:r>
      <w:hyperlink r:id="rId554">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При определении нагрузки от крана вес поднимаемых грузов и вес подвижной стрелы следует принимать с динамическими коэффициентами, равными соответственно 1,20 (0,85) при весе до 196 кН и 1,10 - при большем весе. При этом, если отсутствие груза на кране может оказать неблагоприятное влияние на работу рассчитываемой конструкции, кран в расчетах учитывается без груза.</w:t>
      </w:r>
    </w:p>
    <w:p w:rsidR="00212513" w:rsidRDefault="00212513">
      <w:pPr>
        <w:pStyle w:val="ConsPlusNormal"/>
        <w:spacing w:before="220"/>
        <w:ind w:firstLine="540"/>
        <w:jc w:val="both"/>
      </w:pPr>
      <w:r>
        <w:t>При расчете элементов железобетонных конструкций на воздействие усилий, возникающих при их транспортировании, нагрузку от собственного веса элементов следует вводить в расчет с динамическими коэффициентами, равными при перевозке транспортом:</w:t>
      </w:r>
    </w:p>
    <w:p w:rsidR="00212513" w:rsidRDefault="00212513">
      <w:pPr>
        <w:pStyle w:val="ConsPlusNormal"/>
        <w:spacing w:before="220"/>
        <w:ind w:firstLine="540"/>
        <w:jc w:val="both"/>
      </w:pPr>
      <w:r>
        <w:t>1,6 - автомобильным;</w:t>
      </w:r>
    </w:p>
    <w:p w:rsidR="00212513" w:rsidRDefault="00212513">
      <w:pPr>
        <w:pStyle w:val="ConsPlusNormal"/>
        <w:spacing w:before="220"/>
        <w:ind w:firstLine="540"/>
        <w:jc w:val="both"/>
      </w:pPr>
      <w:r>
        <w:t>1,3 - железнодорожным.</w:t>
      </w:r>
    </w:p>
    <w:p w:rsidR="00212513" w:rsidRDefault="00212513">
      <w:pPr>
        <w:pStyle w:val="ConsPlusNormal"/>
        <w:spacing w:before="220"/>
        <w:ind w:firstLine="540"/>
        <w:jc w:val="both"/>
      </w:pPr>
      <w:r>
        <w:t>Динамические коэффициенты, учитывающие условия транспортирования, допускается принимать в меньших размерах, если это подтверждено опытом, но не ниже 1,3 - при перевозке автотранспортом и не ниже 1,15 - железнодорожным транспортом.</w:t>
      </w:r>
    </w:p>
    <w:p w:rsidR="00212513" w:rsidRDefault="00212513">
      <w:pPr>
        <w:pStyle w:val="ConsPlusNormal"/>
        <w:spacing w:before="220"/>
        <w:ind w:firstLine="540"/>
        <w:jc w:val="both"/>
      </w:pPr>
      <w:r>
        <w:t xml:space="preserve">6.31 Сейсмические нагрузки следует принимать в соответствии с требованиями </w:t>
      </w:r>
      <w:hyperlink r:id="rId555">
        <w:r>
          <w:rPr>
            <w:color w:val="0000FF"/>
          </w:rPr>
          <w:t>СП 14.13330</w:t>
        </w:r>
      </w:hyperlink>
      <w:r>
        <w:t>.</w:t>
      </w:r>
    </w:p>
    <w:p w:rsidR="00212513" w:rsidRDefault="00212513">
      <w:pPr>
        <w:pStyle w:val="ConsPlusNormal"/>
        <w:spacing w:before="220"/>
        <w:ind w:firstLine="540"/>
        <w:jc w:val="both"/>
      </w:pPr>
      <w:bookmarkStart w:id="89" w:name="P1903"/>
      <w:bookmarkEnd w:id="89"/>
      <w:r>
        <w:t xml:space="preserve">6.32 Коэффициенты надежности по нагрузке </w:t>
      </w:r>
      <w:r>
        <w:rPr>
          <w:noProof/>
          <w:position w:val="-10"/>
        </w:rPr>
        <w:drawing>
          <wp:inline distT="0" distB="0" distL="0" distR="0">
            <wp:extent cx="209550" cy="273685"/>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209550" cy="273685"/>
                    </a:xfrm>
                    <a:prstGeom prst="rect">
                      <a:avLst/>
                    </a:prstGeom>
                    <a:noFill/>
                    <a:ln>
                      <a:noFill/>
                    </a:ln>
                  </pic:spPr>
                </pic:pic>
              </a:graphicData>
            </a:graphic>
          </wp:inline>
        </w:drawing>
      </w:r>
      <w:r>
        <w:t xml:space="preserve"> к природным и техногенным нагрузкам и воздействиям, приведенным в </w:t>
      </w:r>
      <w:hyperlink w:anchor="P1659">
        <w:r>
          <w:rPr>
            <w:color w:val="0000FF"/>
          </w:rPr>
          <w:t>6.24</w:t>
        </w:r>
      </w:hyperlink>
      <w:r>
        <w:t xml:space="preserve"> - </w:t>
      </w:r>
      <w:hyperlink w:anchor="P1895">
        <w:r>
          <w:rPr>
            <w:color w:val="0000FF"/>
          </w:rPr>
          <w:t>6.30</w:t>
        </w:r>
      </w:hyperlink>
      <w:r>
        <w:t>, следует принимать по таблице 6.14.</w:t>
      </w:r>
    </w:p>
    <w:p w:rsidR="00212513" w:rsidRDefault="00212513">
      <w:pPr>
        <w:pStyle w:val="ConsPlusNormal"/>
        <w:ind w:firstLine="540"/>
        <w:jc w:val="both"/>
      </w:pPr>
    </w:p>
    <w:p w:rsidR="00212513" w:rsidRDefault="00212513">
      <w:pPr>
        <w:pStyle w:val="ConsPlusNormal"/>
        <w:jc w:val="right"/>
      </w:pPr>
      <w:bookmarkStart w:id="90" w:name="P1905"/>
      <w:bookmarkEnd w:id="90"/>
      <w:r>
        <w:t>Таблица 6.14</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36"/>
        <w:gridCol w:w="2778"/>
      </w:tblGrid>
      <w:tr w:rsidR="00212513">
        <w:tc>
          <w:tcPr>
            <w:tcW w:w="6236" w:type="dxa"/>
            <w:tcBorders>
              <w:top w:val="single" w:sz="4" w:space="0" w:color="auto"/>
              <w:bottom w:val="single" w:sz="4" w:space="0" w:color="auto"/>
            </w:tcBorders>
            <w:vAlign w:val="center"/>
          </w:tcPr>
          <w:p w:rsidR="00212513" w:rsidRDefault="00212513">
            <w:pPr>
              <w:pStyle w:val="ConsPlusNormal"/>
              <w:jc w:val="center"/>
            </w:pPr>
            <w:r>
              <w:t>Прочие временные нагрузки и воздействия</w:t>
            </w:r>
          </w:p>
        </w:tc>
        <w:tc>
          <w:tcPr>
            <w:tcW w:w="2778" w:type="dxa"/>
            <w:tcBorders>
              <w:top w:val="single" w:sz="4" w:space="0" w:color="auto"/>
              <w:bottom w:val="single" w:sz="4" w:space="0" w:color="auto"/>
            </w:tcBorders>
            <w:vAlign w:val="center"/>
          </w:tcPr>
          <w:p w:rsidR="00212513" w:rsidRDefault="00212513">
            <w:pPr>
              <w:pStyle w:val="ConsPlusNormal"/>
              <w:jc w:val="center"/>
            </w:pPr>
            <w:r>
              <w:t>Коэффициент надежности по нагрузке </w:t>
            </w:r>
            <w:r>
              <w:rPr>
                <w:noProof/>
                <w:position w:val="-9"/>
              </w:rPr>
              <w:drawing>
                <wp:inline distT="0" distB="0" distL="0" distR="0">
                  <wp:extent cx="209550" cy="262255"/>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209550" cy="262255"/>
                          </a:xfrm>
                          <a:prstGeom prst="rect">
                            <a:avLst/>
                          </a:prstGeom>
                          <a:noFill/>
                          <a:ln>
                            <a:noFill/>
                          </a:ln>
                        </pic:spPr>
                      </pic:pic>
                    </a:graphicData>
                  </a:graphic>
                </wp:inline>
              </w:drawing>
            </w:r>
          </w:p>
        </w:tc>
      </w:tr>
      <w:tr w:rsidR="00212513">
        <w:tblPrEx>
          <w:tblBorders>
            <w:insideH w:val="none" w:sz="0" w:space="0" w:color="auto"/>
          </w:tblBorders>
        </w:tblPrEx>
        <w:tc>
          <w:tcPr>
            <w:tcW w:w="6236" w:type="dxa"/>
            <w:tcBorders>
              <w:top w:val="single" w:sz="4" w:space="0" w:color="auto"/>
              <w:bottom w:val="nil"/>
            </w:tcBorders>
          </w:tcPr>
          <w:p w:rsidR="00212513" w:rsidRDefault="00212513">
            <w:pPr>
              <w:pStyle w:val="ConsPlusNormal"/>
            </w:pPr>
            <w:r>
              <w:t>Ветровые нагрузки:</w:t>
            </w:r>
          </w:p>
        </w:tc>
        <w:tc>
          <w:tcPr>
            <w:tcW w:w="2778" w:type="dxa"/>
            <w:tcBorders>
              <w:top w:val="single" w:sz="4" w:space="0" w:color="auto"/>
              <w:bottom w:val="nil"/>
            </w:tcBorders>
          </w:tcPr>
          <w:p w:rsidR="00212513" w:rsidRDefault="00212513">
            <w:pPr>
              <w:pStyle w:val="ConsPlusNormal"/>
              <w:jc w:val="center"/>
            </w:pPr>
          </w:p>
        </w:tc>
      </w:tr>
      <w:tr w:rsidR="00212513">
        <w:tblPrEx>
          <w:tblBorders>
            <w:insideH w:val="none" w:sz="0" w:space="0" w:color="auto"/>
          </w:tblBorders>
        </w:tblPrEx>
        <w:tc>
          <w:tcPr>
            <w:tcW w:w="6236" w:type="dxa"/>
            <w:tcBorders>
              <w:top w:val="nil"/>
              <w:bottom w:val="nil"/>
            </w:tcBorders>
          </w:tcPr>
          <w:p w:rsidR="00212513" w:rsidRDefault="00212513">
            <w:pPr>
              <w:pStyle w:val="ConsPlusNormal"/>
              <w:ind w:left="283"/>
            </w:pPr>
            <w:r>
              <w:t>при эксплуатации моста</w:t>
            </w:r>
          </w:p>
        </w:tc>
        <w:tc>
          <w:tcPr>
            <w:tcW w:w="2778" w:type="dxa"/>
            <w:tcBorders>
              <w:top w:val="nil"/>
              <w:bottom w:val="nil"/>
            </w:tcBorders>
          </w:tcPr>
          <w:p w:rsidR="00212513" w:rsidRDefault="00212513">
            <w:pPr>
              <w:pStyle w:val="ConsPlusNormal"/>
              <w:jc w:val="center"/>
            </w:pPr>
            <w:r>
              <w:t>1,4</w:t>
            </w:r>
          </w:p>
        </w:tc>
      </w:tr>
      <w:tr w:rsidR="00212513">
        <w:tblPrEx>
          <w:tblBorders>
            <w:insideH w:val="none" w:sz="0" w:space="0" w:color="auto"/>
          </w:tblBorders>
        </w:tblPrEx>
        <w:tc>
          <w:tcPr>
            <w:tcW w:w="6236" w:type="dxa"/>
            <w:tcBorders>
              <w:top w:val="nil"/>
              <w:bottom w:val="nil"/>
            </w:tcBorders>
          </w:tcPr>
          <w:p w:rsidR="00212513" w:rsidRDefault="00212513">
            <w:pPr>
              <w:pStyle w:val="ConsPlusNormal"/>
              <w:ind w:left="283"/>
            </w:pPr>
            <w:r>
              <w:t>при строительстве и монтаже</w:t>
            </w:r>
          </w:p>
        </w:tc>
        <w:tc>
          <w:tcPr>
            <w:tcW w:w="2778" w:type="dxa"/>
            <w:tcBorders>
              <w:top w:val="nil"/>
              <w:bottom w:val="nil"/>
            </w:tcBorders>
          </w:tcPr>
          <w:p w:rsidR="00212513" w:rsidRDefault="00212513">
            <w:pPr>
              <w:pStyle w:val="ConsPlusNormal"/>
              <w:jc w:val="center"/>
            </w:pPr>
            <w:r>
              <w:t>1,0</w:t>
            </w:r>
          </w:p>
        </w:tc>
      </w:tr>
      <w:tr w:rsidR="00212513">
        <w:tblPrEx>
          <w:tblBorders>
            <w:insideH w:val="none" w:sz="0" w:space="0" w:color="auto"/>
          </w:tblBorders>
        </w:tblPrEx>
        <w:tc>
          <w:tcPr>
            <w:tcW w:w="6236" w:type="dxa"/>
            <w:tcBorders>
              <w:top w:val="nil"/>
              <w:bottom w:val="nil"/>
            </w:tcBorders>
          </w:tcPr>
          <w:p w:rsidR="00212513" w:rsidRDefault="00212513">
            <w:pPr>
              <w:pStyle w:val="ConsPlusNormal"/>
            </w:pPr>
            <w:r>
              <w:t>Ледовая нагрузка</w:t>
            </w:r>
          </w:p>
        </w:tc>
        <w:tc>
          <w:tcPr>
            <w:tcW w:w="2778" w:type="dxa"/>
            <w:tcBorders>
              <w:top w:val="nil"/>
              <w:bottom w:val="nil"/>
            </w:tcBorders>
          </w:tcPr>
          <w:p w:rsidR="00212513" w:rsidRDefault="00212513">
            <w:pPr>
              <w:pStyle w:val="ConsPlusNormal"/>
              <w:jc w:val="center"/>
            </w:pPr>
            <w:r>
              <w:t>1,2</w:t>
            </w:r>
          </w:p>
        </w:tc>
      </w:tr>
      <w:tr w:rsidR="00212513">
        <w:tblPrEx>
          <w:tblBorders>
            <w:insideH w:val="none" w:sz="0" w:space="0" w:color="auto"/>
          </w:tblBorders>
        </w:tblPrEx>
        <w:tc>
          <w:tcPr>
            <w:tcW w:w="6236" w:type="dxa"/>
            <w:tcBorders>
              <w:top w:val="nil"/>
              <w:bottom w:val="nil"/>
            </w:tcBorders>
          </w:tcPr>
          <w:p w:rsidR="00212513" w:rsidRDefault="00212513">
            <w:pPr>
              <w:pStyle w:val="ConsPlusNormal"/>
            </w:pPr>
            <w:r>
              <w:t>Нагрузка от навала судов</w:t>
            </w:r>
          </w:p>
        </w:tc>
        <w:tc>
          <w:tcPr>
            <w:tcW w:w="2778" w:type="dxa"/>
            <w:tcBorders>
              <w:top w:val="nil"/>
              <w:bottom w:val="nil"/>
            </w:tcBorders>
          </w:tcPr>
          <w:p w:rsidR="00212513" w:rsidRDefault="00212513">
            <w:pPr>
              <w:pStyle w:val="ConsPlusNormal"/>
              <w:jc w:val="center"/>
            </w:pPr>
            <w:r>
              <w:t>1,2</w:t>
            </w:r>
          </w:p>
        </w:tc>
      </w:tr>
      <w:tr w:rsidR="00212513">
        <w:tblPrEx>
          <w:tblBorders>
            <w:insideH w:val="none" w:sz="0" w:space="0" w:color="auto"/>
          </w:tblBorders>
        </w:tblPrEx>
        <w:tc>
          <w:tcPr>
            <w:tcW w:w="6236" w:type="dxa"/>
            <w:tcBorders>
              <w:top w:val="nil"/>
              <w:bottom w:val="nil"/>
            </w:tcBorders>
          </w:tcPr>
          <w:p w:rsidR="00212513" w:rsidRDefault="00212513">
            <w:pPr>
              <w:pStyle w:val="ConsPlusNormal"/>
            </w:pPr>
            <w:r>
              <w:t>Температурные климатические воздействия</w:t>
            </w:r>
          </w:p>
        </w:tc>
        <w:tc>
          <w:tcPr>
            <w:tcW w:w="2778" w:type="dxa"/>
            <w:tcBorders>
              <w:top w:val="nil"/>
              <w:bottom w:val="nil"/>
            </w:tcBorders>
          </w:tcPr>
          <w:p w:rsidR="00212513" w:rsidRDefault="00212513">
            <w:pPr>
              <w:pStyle w:val="ConsPlusNormal"/>
              <w:jc w:val="center"/>
            </w:pPr>
            <w:r>
              <w:t>1,2</w:t>
            </w:r>
          </w:p>
        </w:tc>
      </w:tr>
      <w:tr w:rsidR="00212513">
        <w:tblPrEx>
          <w:tblBorders>
            <w:insideH w:val="none" w:sz="0" w:space="0" w:color="auto"/>
          </w:tblBorders>
        </w:tblPrEx>
        <w:tc>
          <w:tcPr>
            <w:tcW w:w="6236" w:type="dxa"/>
            <w:tcBorders>
              <w:top w:val="nil"/>
              <w:bottom w:val="nil"/>
            </w:tcBorders>
          </w:tcPr>
          <w:p w:rsidR="00212513" w:rsidRDefault="00212513">
            <w:pPr>
              <w:pStyle w:val="ConsPlusNormal"/>
            </w:pPr>
            <w:r>
              <w:t>Воздействие морозного пучения грунта</w:t>
            </w:r>
          </w:p>
        </w:tc>
        <w:tc>
          <w:tcPr>
            <w:tcW w:w="2778" w:type="dxa"/>
            <w:tcBorders>
              <w:top w:val="nil"/>
              <w:bottom w:val="nil"/>
            </w:tcBorders>
          </w:tcPr>
          <w:p w:rsidR="00212513" w:rsidRDefault="00212513">
            <w:pPr>
              <w:pStyle w:val="ConsPlusNormal"/>
              <w:jc w:val="center"/>
            </w:pPr>
            <w:r>
              <w:t>1,3</w:t>
            </w:r>
          </w:p>
        </w:tc>
      </w:tr>
      <w:tr w:rsidR="00212513">
        <w:tblPrEx>
          <w:tblBorders>
            <w:insideH w:val="none" w:sz="0" w:space="0" w:color="auto"/>
          </w:tblBorders>
        </w:tblPrEx>
        <w:tc>
          <w:tcPr>
            <w:tcW w:w="6236" w:type="dxa"/>
            <w:tcBorders>
              <w:top w:val="nil"/>
              <w:bottom w:val="nil"/>
            </w:tcBorders>
          </w:tcPr>
          <w:p w:rsidR="00212513" w:rsidRDefault="00212513">
            <w:pPr>
              <w:pStyle w:val="ConsPlusNormal"/>
            </w:pPr>
            <w:r>
              <w:t>Воздействие сопротивления от трения в подвижных опорных частях</w:t>
            </w:r>
          </w:p>
        </w:tc>
        <w:tc>
          <w:tcPr>
            <w:tcW w:w="2778" w:type="dxa"/>
            <w:tcBorders>
              <w:top w:val="nil"/>
              <w:bottom w:val="nil"/>
            </w:tcBorders>
          </w:tcPr>
          <w:p w:rsidR="00212513" w:rsidRDefault="00212513">
            <w:pPr>
              <w:pStyle w:val="ConsPlusNormal"/>
              <w:jc w:val="center"/>
            </w:pPr>
            <w:r>
              <w:t xml:space="preserve">по </w:t>
            </w:r>
            <w:hyperlink w:anchor="P1792">
              <w:r>
                <w:rPr>
                  <w:color w:val="0000FF"/>
                </w:rPr>
                <w:t>6.28</w:t>
              </w:r>
            </w:hyperlink>
          </w:p>
        </w:tc>
      </w:tr>
      <w:tr w:rsidR="00212513">
        <w:tblPrEx>
          <w:tblBorders>
            <w:insideH w:val="none" w:sz="0" w:space="0" w:color="auto"/>
          </w:tblBorders>
        </w:tblPrEx>
        <w:tc>
          <w:tcPr>
            <w:tcW w:w="6236" w:type="dxa"/>
            <w:tcBorders>
              <w:top w:val="nil"/>
              <w:bottom w:val="nil"/>
            </w:tcBorders>
          </w:tcPr>
          <w:p w:rsidR="00212513" w:rsidRDefault="00212513">
            <w:pPr>
              <w:pStyle w:val="ConsPlusNormal"/>
            </w:pPr>
            <w:r>
              <w:t>Строительные нагрузки:</w:t>
            </w:r>
          </w:p>
        </w:tc>
        <w:tc>
          <w:tcPr>
            <w:tcW w:w="2778" w:type="dxa"/>
            <w:tcBorders>
              <w:top w:val="nil"/>
              <w:bottom w:val="nil"/>
            </w:tcBorders>
          </w:tcPr>
          <w:p w:rsidR="00212513" w:rsidRDefault="00212513">
            <w:pPr>
              <w:pStyle w:val="ConsPlusNormal"/>
              <w:jc w:val="center"/>
            </w:pPr>
          </w:p>
        </w:tc>
      </w:tr>
      <w:tr w:rsidR="00212513">
        <w:tblPrEx>
          <w:tblBorders>
            <w:insideH w:val="none" w:sz="0" w:space="0" w:color="auto"/>
          </w:tblBorders>
        </w:tblPrEx>
        <w:tc>
          <w:tcPr>
            <w:tcW w:w="6236" w:type="dxa"/>
            <w:tcBorders>
              <w:top w:val="nil"/>
              <w:bottom w:val="nil"/>
            </w:tcBorders>
          </w:tcPr>
          <w:p w:rsidR="00212513" w:rsidRDefault="00212513">
            <w:pPr>
              <w:pStyle w:val="ConsPlusNormal"/>
              <w:ind w:left="283"/>
            </w:pPr>
            <w:r>
              <w:t>собственный вес вспомогательных обустройств</w:t>
            </w:r>
          </w:p>
        </w:tc>
        <w:tc>
          <w:tcPr>
            <w:tcW w:w="2778" w:type="dxa"/>
            <w:tcBorders>
              <w:top w:val="nil"/>
              <w:bottom w:val="nil"/>
            </w:tcBorders>
          </w:tcPr>
          <w:p w:rsidR="00212513" w:rsidRDefault="00212513">
            <w:pPr>
              <w:pStyle w:val="ConsPlusNormal"/>
              <w:jc w:val="center"/>
            </w:pPr>
            <w:r>
              <w:t>1,1 (0,9)</w:t>
            </w:r>
          </w:p>
        </w:tc>
      </w:tr>
      <w:tr w:rsidR="00212513">
        <w:tblPrEx>
          <w:tblBorders>
            <w:insideH w:val="none" w:sz="0" w:space="0" w:color="auto"/>
          </w:tblBorders>
        </w:tblPrEx>
        <w:tc>
          <w:tcPr>
            <w:tcW w:w="6236" w:type="dxa"/>
            <w:tcBorders>
              <w:top w:val="nil"/>
              <w:bottom w:val="nil"/>
            </w:tcBorders>
          </w:tcPr>
          <w:p w:rsidR="00212513" w:rsidRDefault="00212513">
            <w:pPr>
              <w:pStyle w:val="ConsPlusNormal"/>
              <w:ind w:left="283"/>
            </w:pPr>
            <w:r>
              <w:t>вес складируемых материалов и воздействие искусственного регулирования во вспомогательных сооружениях</w:t>
            </w:r>
          </w:p>
        </w:tc>
        <w:tc>
          <w:tcPr>
            <w:tcW w:w="2778" w:type="dxa"/>
            <w:tcBorders>
              <w:top w:val="nil"/>
              <w:bottom w:val="nil"/>
            </w:tcBorders>
          </w:tcPr>
          <w:p w:rsidR="00212513" w:rsidRDefault="00212513">
            <w:pPr>
              <w:pStyle w:val="ConsPlusNormal"/>
              <w:jc w:val="center"/>
            </w:pPr>
            <w:r>
              <w:t>1,3 (0,8)</w:t>
            </w:r>
          </w:p>
        </w:tc>
      </w:tr>
      <w:tr w:rsidR="00212513">
        <w:tblPrEx>
          <w:tblBorders>
            <w:insideH w:val="none" w:sz="0" w:space="0" w:color="auto"/>
          </w:tblBorders>
        </w:tblPrEx>
        <w:tc>
          <w:tcPr>
            <w:tcW w:w="6236" w:type="dxa"/>
            <w:tcBorders>
              <w:top w:val="nil"/>
              <w:bottom w:val="nil"/>
            </w:tcBorders>
          </w:tcPr>
          <w:p w:rsidR="00212513" w:rsidRDefault="00212513">
            <w:pPr>
              <w:pStyle w:val="ConsPlusNormal"/>
              <w:ind w:left="283"/>
            </w:pPr>
            <w:r>
              <w:t>вес работающих людей, инструментов, мелкого оборудования</w:t>
            </w:r>
          </w:p>
        </w:tc>
        <w:tc>
          <w:tcPr>
            <w:tcW w:w="2778" w:type="dxa"/>
            <w:tcBorders>
              <w:top w:val="nil"/>
              <w:bottom w:val="nil"/>
            </w:tcBorders>
          </w:tcPr>
          <w:p w:rsidR="00212513" w:rsidRDefault="00212513">
            <w:pPr>
              <w:pStyle w:val="ConsPlusNormal"/>
              <w:jc w:val="center"/>
            </w:pPr>
            <w:r>
              <w:t>1,3 (0,7)</w:t>
            </w:r>
          </w:p>
        </w:tc>
      </w:tr>
      <w:tr w:rsidR="00212513">
        <w:tblPrEx>
          <w:tblBorders>
            <w:insideH w:val="none" w:sz="0" w:space="0" w:color="auto"/>
          </w:tblBorders>
        </w:tblPrEx>
        <w:tc>
          <w:tcPr>
            <w:tcW w:w="6236" w:type="dxa"/>
            <w:tcBorders>
              <w:top w:val="nil"/>
              <w:bottom w:val="nil"/>
            </w:tcBorders>
          </w:tcPr>
          <w:p w:rsidR="00212513" w:rsidRDefault="00212513">
            <w:pPr>
              <w:pStyle w:val="ConsPlusNormal"/>
              <w:ind w:left="283"/>
            </w:pPr>
            <w:r>
              <w:t>вес кранов, копров и транспортных средств</w:t>
            </w:r>
          </w:p>
        </w:tc>
        <w:tc>
          <w:tcPr>
            <w:tcW w:w="2778" w:type="dxa"/>
            <w:tcBorders>
              <w:top w:val="nil"/>
              <w:bottom w:val="nil"/>
            </w:tcBorders>
          </w:tcPr>
          <w:p w:rsidR="00212513" w:rsidRDefault="00212513">
            <w:pPr>
              <w:pStyle w:val="ConsPlusNormal"/>
              <w:jc w:val="center"/>
            </w:pPr>
            <w:r>
              <w:t>1,1 (1,0)</w:t>
            </w:r>
          </w:p>
        </w:tc>
      </w:tr>
      <w:tr w:rsidR="00212513">
        <w:tblPrEx>
          <w:tblBorders>
            <w:insideH w:val="none" w:sz="0" w:space="0" w:color="auto"/>
          </w:tblBorders>
        </w:tblPrEx>
        <w:tc>
          <w:tcPr>
            <w:tcW w:w="6236" w:type="dxa"/>
            <w:tcBorders>
              <w:top w:val="nil"/>
              <w:bottom w:val="nil"/>
            </w:tcBorders>
          </w:tcPr>
          <w:p w:rsidR="00212513" w:rsidRDefault="00212513">
            <w:pPr>
              <w:pStyle w:val="ConsPlusNormal"/>
              <w:ind w:left="283"/>
            </w:pPr>
            <w:r>
              <w:t>усилия от гидравлических домкратов и электрических лебедок при подъеме и передвижке усилия от трения при перемещении пролетных строений и других грузов:</w:t>
            </w:r>
          </w:p>
        </w:tc>
        <w:tc>
          <w:tcPr>
            <w:tcW w:w="2778" w:type="dxa"/>
            <w:tcBorders>
              <w:top w:val="nil"/>
              <w:bottom w:val="nil"/>
            </w:tcBorders>
          </w:tcPr>
          <w:p w:rsidR="00212513" w:rsidRDefault="00212513">
            <w:pPr>
              <w:pStyle w:val="ConsPlusNormal"/>
              <w:jc w:val="center"/>
            </w:pPr>
            <w:r>
              <w:t>1,3 (1,0)</w:t>
            </w:r>
          </w:p>
        </w:tc>
      </w:tr>
      <w:tr w:rsidR="00212513">
        <w:tblPrEx>
          <w:tblBorders>
            <w:insideH w:val="none" w:sz="0" w:space="0" w:color="auto"/>
          </w:tblBorders>
        </w:tblPrEx>
        <w:tc>
          <w:tcPr>
            <w:tcW w:w="6236" w:type="dxa"/>
            <w:tcBorders>
              <w:top w:val="nil"/>
              <w:bottom w:val="nil"/>
            </w:tcBorders>
          </w:tcPr>
          <w:p w:rsidR="00212513" w:rsidRDefault="00212513">
            <w:pPr>
              <w:pStyle w:val="ConsPlusNormal"/>
              <w:ind w:left="566"/>
              <w:jc w:val="both"/>
            </w:pPr>
            <w:r>
              <w:t>на салазках</w:t>
            </w:r>
          </w:p>
        </w:tc>
        <w:tc>
          <w:tcPr>
            <w:tcW w:w="2778" w:type="dxa"/>
            <w:tcBorders>
              <w:top w:val="nil"/>
              <w:bottom w:val="nil"/>
            </w:tcBorders>
          </w:tcPr>
          <w:p w:rsidR="00212513" w:rsidRDefault="00212513">
            <w:pPr>
              <w:pStyle w:val="ConsPlusNormal"/>
              <w:jc w:val="center"/>
            </w:pPr>
            <w:r>
              <w:t>1,3 (1,0)</w:t>
            </w:r>
          </w:p>
        </w:tc>
      </w:tr>
      <w:tr w:rsidR="00212513">
        <w:tblPrEx>
          <w:tblBorders>
            <w:insideH w:val="none" w:sz="0" w:space="0" w:color="auto"/>
          </w:tblBorders>
        </w:tblPrEx>
        <w:tc>
          <w:tcPr>
            <w:tcW w:w="9014" w:type="dxa"/>
            <w:gridSpan w:val="2"/>
            <w:tcBorders>
              <w:top w:val="nil"/>
              <w:bottom w:val="nil"/>
            </w:tcBorders>
          </w:tcPr>
          <w:p w:rsidR="00212513" w:rsidRDefault="00212513">
            <w:pPr>
              <w:pStyle w:val="ConsPlusNormal"/>
              <w:jc w:val="both"/>
            </w:pPr>
            <w:r>
              <w:t xml:space="preserve">(в ред. </w:t>
            </w:r>
            <w:hyperlink r:id="rId558">
              <w:r>
                <w:rPr>
                  <w:color w:val="0000FF"/>
                </w:rPr>
                <w:t>Изменения N 1</w:t>
              </w:r>
            </w:hyperlink>
            <w:r>
              <w:t>, утв. Приказом Минстроя России от 03.12.2016 N 879/пр)</w:t>
            </w:r>
          </w:p>
        </w:tc>
      </w:tr>
      <w:tr w:rsidR="00212513">
        <w:tblPrEx>
          <w:tblBorders>
            <w:insideH w:val="none" w:sz="0" w:space="0" w:color="auto"/>
          </w:tblBorders>
        </w:tblPrEx>
        <w:tc>
          <w:tcPr>
            <w:tcW w:w="6236" w:type="dxa"/>
            <w:tcBorders>
              <w:top w:val="nil"/>
              <w:bottom w:val="nil"/>
            </w:tcBorders>
          </w:tcPr>
          <w:p w:rsidR="00212513" w:rsidRDefault="00212513">
            <w:pPr>
              <w:pStyle w:val="ConsPlusNormal"/>
              <w:ind w:left="566"/>
              <w:jc w:val="both"/>
            </w:pPr>
            <w:r>
              <w:t>на катках</w:t>
            </w:r>
          </w:p>
        </w:tc>
        <w:tc>
          <w:tcPr>
            <w:tcW w:w="2778" w:type="dxa"/>
            <w:tcBorders>
              <w:top w:val="nil"/>
              <w:bottom w:val="nil"/>
            </w:tcBorders>
          </w:tcPr>
          <w:p w:rsidR="00212513" w:rsidRDefault="00212513">
            <w:pPr>
              <w:pStyle w:val="ConsPlusNormal"/>
              <w:jc w:val="center"/>
            </w:pPr>
            <w:r>
              <w:t>1,1 (1,0)</w:t>
            </w:r>
          </w:p>
        </w:tc>
      </w:tr>
      <w:tr w:rsidR="00212513">
        <w:tblPrEx>
          <w:tblBorders>
            <w:insideH w:val="none" w:sz="0" w:space="0" w:color="auto"/>
          </w:tblBorders>
        </w:tblPrEx>
        <w:tc>
          <w:tcPr>
            <w:tcW w:w="9014" w:type="dxa"/>
            <w:gridSpan w:val="2"/>
            <w:tcBorders>
              <w:top w:val="nil"/>
              <w:bottom w:val="nil"/>
            </w:tcBorders>
          </w:tcPr>
          <w:p w:rsidR="00212513" w:rsidRDefault="00212513">
            <w:pPr>
              <w:pStyle w:val="ConsPlusNormal"/>
              <w:jc w:val="both"/>
            </w:pPr>
            <w:r>
              <w:t xml:space="preserve">(в ред. </w:t>
            </w:r>
            <w:hyperlink r:id="rId559">
              <w:r>
                <w:rPr>
                  <w:color w:val="0000FF"/>
                </w:rPr>
                <w:t>Изменения N 1</w:t>
              </w:r>
            </w:hyperlink>
            <w:r>
              <w:t>, утв. Приказом Минстроя России от 03.12.2016 N 879/пр)</w:t>
            </w:r>
          </w:p>
        </w:tc>
      </w:tr>
      <w:tr w:rsidR="00212513">
        <w:tblPrEx>
          <w:tblBorders>
            <w:insideH w:val="none" w:sz="0" w:space="0" w:color="auto"/>
          </w:tblBorders>
        </w:tblPrEx>
        <w:tc>
          <w:tcPr>
            <w:tcW w:w="6236" w:type="dxa"/>
            <w:tcBorders>
              <w:top w:val="nil"/>
              <w:bottom w:val="single" w:sz="4" w:space="0" w:color="auto"/>
            </w:tcBorders>
          </w:tcPr>
          <w:p w:rsidR="00212513" w:rsidRDefault="00212513">
            <w:pPr>
              <w:pStyle w:val="ConsPlusNormal"/>
              <w:ind w:left="566"/>
              <w:jc w:val="both"/>
            </w:pPr>
            <w:r>
              <w:t>на тележках</w:t>
            </w:r>
          </w:p>
        </w:tc>
        <w:tc>
          <w:tcPr>
            <w:tcW w:w="2778" w:type="dxa"/>
            <w:tcBorders>
              <w:top w:val="nil"/>
              <w:bottom w:val="single" w:sz="4" w:space="0" w:color="auto"/>
            </w:tcBorders>
          </w:tcPr>
          <w:p w:rsidR="00212513" w:rsidRDefault="00212513">
            <w:pPr>
              <w:pStyle w:val="ConsPlusNormal"/>
              <w:jc w:val="center"/>
            </w:pPr>
            <w:r>
              <w:t>1,2 (1,0)</w:t>
            </w:r>
          </w:p>
        </w:tc>
      </w:tr>
      <w:tr w:rsidR="00212513">
        <w:tc>
          <w:tcPr>
            <w:tcW w:w="9014" w:type="dxa"/>
            <w:gridSpan w:val="2"/>
            <w:tcBorders>
              <w:top w:val="single" w:sz="4" w:space="0" w:color="auto"/>
              <w:bottom w:val="single" w:sz="4" w:space="0" w:color="auto"/>
            </w:tcBorders>
          </w:tcPr>
          <w:p w:rsidR="00212513" w:rsidRDefault="00212513">
            <w:pPr>
              <w:pStyle w:val="ConsPlusNormal"/>
              <w:ind w:firstLine="283"/>
              <w:jc w:val="both"/>
            </w:pPr>
            <w:r>
              <w:t>Примечания</w:t>
            </w:r>
          </w:p>
          <w:p w:rsidR="00212513" w:rsidRDefault="00212513">
            <w:pPr>
              <w:pStyle w:val="ConsPlusNormal"/>
              <w:ind w:firstLine="283"/>
              <w:jc w:val="both"/>
            </w:pPr>
            <w:r>
              <w:t xml:space="preserve">1 Значения </w:t>
            </w:r>
            <w:r>
              <w:rPr>
                <w:noProof/>
                <w:position w:val="-9"/>
              </w:rPr>
              <w:drawing>
                <wp:inline distT="0" distB="0" distL="0" distR="0">
                  <wp:extent cx="209550" cy="262255"/>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209550" cy="262255"/>
                          </a:xfrm>
                          <a:prstGeom prst="rect">
                            <a:avLst/>
                          </a:prstGeom>
                          <a:noFill/>
                          <a:ln>
                            <a:noFill/>
                          </a:ln>
                        </pic:spPr>
                      </pic:pic>
                    </a:graphicData>
                  </a:graphic>
                </wp:inline>
              </w:drawing>
            </w:r>
            <w:r>
              <w:t>, указанные в скобках, принимают в случаях, когда при невыгодном сочетании нагрузок увеличивается их суммарное воздействие на элементы конструкции.</w:t>
            </w:r>
          </w:p>
          <w:p w:rsidR="00212513" w:rsidRDefault="00212513">
            <w:pPr>
              <w:pStyle w:val="ConsPlusNormal"/>
              <w:ind w:firstLine="283"/>
              <w:jc w:val="both"/>
            </w:pPr>
            <w:r>
              <w:t xml:space="preserve">2 Значения </w:t>
            </w:r>
            <w:r>
              <w:rPr>
                <w:noProof/>
                <w:position w:val="-9"/>
              </w:rPr>
              <w:drawing>
                <wp:inline distT="0" distB="0" distL="0" distR="0">
                  <wp:extent cx="209550" cy="262255"/>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209550" cy="262255"/>
                          </a:xfrm>
                          <a:prstGeom prst="rect">
                            <a:avLst/>
                          </a:prstGeom>
                          <a:noFill/>
                          <a:ln>
                            <a:noFill/>
                          </a:ln>
                        </pic:spPr>
                      </pic:pic>
                    </a:graphicData>
                  </a:graphic>
                </wp:inline>
              </w:drawing>
            </w:r>
            <w:r>
              <w:t xml:space="preserve"> к снеговой нагрузке для пешеходных мостов закрытого типа принимают согласно </w:t>
            </w:r>
            <w:hyperlink r:id="rId560">
              <w:r>
                <w:rPr>
                  <w:color w:val="0000FF"/>
                </w:rPr>
                <w:t>СП 20.13330</w:t>
              </w:r>
            </w:hyperlink>
            <w:r>
              <w:t>.</w:t>
            </w:r>
          </w:p>
        </w:tc>
      </w:tr>
    </w:tbl>
    <w:p w:rsidR="00212513" w:rsidRDefault="00212513">
      <w:pPr>
        <w:pStyle w:val="ConsPlusNormal"/>
        <w:ind w:firstLine="540"/>
        <w:jc w:val="both"/>
      </w:pPr>
    </w:p>
    <w:p w:rsidR="00212513" w:rsidRDefault="00212513">
      <w:pPr>
        <w:pStyle w:val="ConsPlusNormal"/>
        <w:ind w:firstLine="540"/>
        <w:jc w:val="both"/>
      </w:pPr>
      <w:r>
        <w:t xml:space="preserve">При проверке прочности тела опор в случаях использования их для навесной </w:t>
      </w:r>
      <w:r>
        <w:lastRenderedPageBreak/>
        <w:t>уравновешенной сборки и навесного бетонирования пролетных строений, а также при проверке прочности анкеров, прикрепляющих в этих случаях пролетное строение к опорам, необходимо к собственному весу собираемых консольных частей пролетного строения, создающих на опоре изгибающие моменты разного знака, вводить коэффициенты надежности по нагрузке с учетом конкретных условий изготовления и монтажа собираемых частей (блоков). При заводской технологии изготовления железобетонных блоков пролетных строений, а также при использовании специальных агрегатов при навесном бетонировании коэффициенты надежности по нагрузке от собственного веса допускается при проверке прочности тела опоры и прикрепляющих анкеров определять по формулам:</w:t>
      </w:r>
    </w:p>
    <w:p w:rsidR="00212513" w:rsidRDefault="00212513">
      <w:pPr>
        <w:pStyle w:val="ConsPlusNormal"/>
        <w:jc w:val="both"/>
      </w:pPr>
      <w:r>
        <w:t xml:space="preserve">(в ред. </w:t>
      </w:r>
      <w:hyperlink r:id="rId561">
        <w:r>
          <w:rPr>
            <w:color w:val="0000FF"/>
          </w:rPr>
          <w:t>Изменения N 1</w:t>
        </w:r>
      </w:hyperlink>
      <w:r>
        <w:t>, утв. Приказом Минстроя России от 03.12.2016 N 879/пр)</w:t>
      </w:r>
    </w:p>
    <w:p w:rsidR="00212513" w:rsidRDefault="00212513">
      <w:pPr>
        <w:pStyle w:val="ConsPlusNormal"/>
        <w:jc w:val="both"/>
      </w:pPr>
    </w:p>
    <w:p w:rsidR="00212513" w:rsidRDefault="00212513">
      <w:pPr>
        <w:pStyle w:val="ConsPlusNormal"/>
        <w:ind w:firstLine="540"/>
        <w:jc w:val="both"/>
      </w:pPr>
      <w:r>
        <w:rPr>
          <w:i/>
        </w:rPr>
        <w:t>для одной консоли</w:t>
      </w:r>
      <w:r>
        <w:t xml:space="preserve"> </w:t>
      </w:r>
      <w:r>
        <w:rPr>
          <w:noProof/>
          <w:position w:val="-23"/>
        </w:rPr>
        <w:drawing>
          <wp:inline distT="0" distB="0" distL="0" distR="0">
            <wp:extent cx="1767840" cy="438150"/>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1767840" cy="438150"/>
                    </a:xfrm>
                    <a:prstGeom prst="rect">
                      <a:avLst/>
                    </a:prstGeom>
                    <a:noFill/>
                    <a:ln>
                      <a:noFill/>
                    </a:ln>
                  </pic:spPr>
                </pic:pic>
              </a:graphicData>
            </a:graphic>
          </wp:inline>
        </w:drawing>
      </w:r>
      <w:r>
        <w:t>; (6.34)</w:t>
      </w:r>
    </w:p>
    <w:p w:rsidR="00212513" w:rsidRDefault="00212513">
      <w:pPr>
        <w:pStyle w:val="ConsPlusNormal"/>
        <w:spacing w:before="220"/>
        <w:ind w:firstLine="540"/>
        <w:jc w:val="both"/>
      </w:pPr>
      <w:r>
        <w:rPr>
          <w:i/>
        </w:rPr>
        <w:t>для другой консоли</w:t>
      </w:r>
      <w:r>
        <w:t xml:space="preserve"> </w:t>
      </w:r>
      <w:r>
        <w:rPr>
          <w:noProof/>
          <w:position w:val="-23"/>
        </w:rPr>
        <w:drawing>
          <wp:inline distT="0" distB="0" distL="0" distR="0">
            <wp:extent cx="1783080" cy="441960"/>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1783080" cy="441960"/>
                    </a:xfrm>
                    <a:prstGeom prst="rect">
                      <a:avLst/>
                    </a:prstGeom>
                    <a:noFill/>
                    <a:ln>
                      <a:noFill/>
                    </a:ln>
                  </pic:spPr>
                </pic:pic>
              </a:graphicData>
            </a:graphic>
          </wp:inline>
        </w:drawing>
      </w:r>
      <w:r>
        <w:t>, (6.35)</w:t>
      </w:r>
    </w:p>
    <w:p w:rsidR="00212513" w:rsidRDefault="00212513">
      <w:pPr>
        <w:pStyle w:val="ConsPlusNormal"/>
        <w:spacing w:before="220"/>
        <w:ind w:firstLine="540"/>
        <w:jc w:val="both"/>
      </w:pPr>
      <w:r>
        <w:t xml:space="preserve">где </w:t>
      </w:r>
      <w:r>
        <w:rPr>
          <w:i/>
        </w:rPr>
        <w:t>z</w:t>
      </w:r>
      <w:r>
        <w:t xml:space="preserve"> - число блоков или участков бетонирования с каждой стороны.</w:t>
      </w:r>
    </w:p>
    <w:p w:rsidR="00212513" w:rsidRDefault="00212513">
      <w:pPr>
        <w:pStyle w:val="ConsPlusNormal"/>
        <w:ind w:firstLine="540"/>
        <w:jc w:val="both"/>
      </w:pPr>
    </w:p>
    <w:p w:rsidR="00212513" w:rsidRDefault="00212513">
      <w:pPr>
        <w:pStyle w:val="ConsPlusTitle"/>
        <w:ind w:firstLine="540"/>
        <w:jc w:val="both"/>
        <w:outlineLvl w:val="1"/>
      </w:pPr>
      <w:bookmarkStart w:id="91" w:name="P1956"/>
      <w:bookmarkEnd w:id="91"/>
      <w:r>
        <w:t>7 Бетонные, железобетонные, фибробетонные конструкции и конструкции с композитной полимерной арматурой</w:t>
      </w:r>
    </w:p>
    <w:p w:rsidR="00212513" w:rsidRDefault="00212513">
      <w:pPr>
        <w:pStyle w:val="ConsPlusNormal"/>
        <w:jc w:val="both"/>
      </w:pPr>
      <w:r>
        <w:t xml:space="preserve">(в ред. </w:t>
      </w:r>
      <w:hyperlink r:id="rId564">
        <w:r>
          <w:rPr>
            <w:color w:val="0000FF"/>
          </w:rPr>
          <w:t>Изменения N 2</w:t>
        </w:r>
      </w:hyperlink>
      <w:r>
        <w:t>, утв. Приказом Минстроя России от 11.11.2019 N 681/пр)</w:t>
      </w:r>
    </w:p>
    <w:p w:rsidR="00212513" w:rsidRDefault="00212513">
      <w:pPr>
        <w:pStyle w:val="ConsPlusNormal"/>
        <w:jc w:val="center"/>
      </w:pPr>
    </w:p>
    <w:p w:rsidR="00212513" w:rsidRDefault="00212513">
      <w:pPr>
        <w:pStyle w:val="ConsPlusTitle"/>
        <w:ind w:firstLine="540"/>
        <w:jc w:val="both"/>
        <w:outlineLvl w:val="2"/>
      </w:pPr>
      <w:r>
        <w:t>Основные расчетные требования</w:t>
      </w:r>
    </w:p>
    <w:p w:rsidR="00212513" w:rsidRDefault="00212513">
      <w:pPr>
        <w:pStyle w:val="ConsPlusNormal"/>
        <w:ind w:firstLine="540"/>
        <w:jc w:val="both"/>
      </w:pPr>
    </w:p>
    <w:p w:rsidR="00212513" w:rsidRDefault="00212513">
      <w:pPr>
        <w:pStyle w:val="ConsPlusNormal"/>
        <w:ind w:firstLine="540"/>
        <w:jc w:val="both"/>
      </w:pPr>
      <w:r>
        <w:t xml:space="preserve">7.1 Для бетонных и железобетонных мостов и труб необходимо соблюдать указания об обеспечении требуемой надежности конструкций от возникновения предельных состояний двух групп, предусмотренных </w:t>
      </w:r>
      <w:hyperlink r:id="rId565">
        <w:r>
          <w:rPr>
            <w:color w:val="0000FF"/>
          </w:rPr>
          <w:t>ГОСТ 27751</w:t>
        </w:r>
      </w:hyperlink>
      <w:r>
        <w:t>.</w:t>
      </w:r>
    </w:p>
    <w:p w:rsidR="00212513" w:rsidRDefault="00212513">
      <w:pPr>
        <w:pStyle w:val="ConsPlusNormal"/>
        <w:spacing w:before="220"/>
        <w:ind w:firstLine="540"/>
        <w:jc w:val="both"/>
      </w:pPr>
      <w:r>
        <w:t>Для этого, наряду с назначением соответствующих материалов и выполнением предусмотренных конструктивных требований, необходимо проведение указанных в настоящих нормах расчетов.</w:t>
      </w:r>
    </w:p>
    <w:p w:rsidR="00212513" w:rsidRDefault="00212513">
      <w:pPr>
        <w:pStyle w:val="ConsPlusNormal"/>
        <w:spacing w:before="220"/>
        <w:ind w:firstLine="540"/>
        <w:jc w:val="both"/>
      </w:pPr>
      <w:bookmarkStart w:id="92" w:name="P1963"/>
      <w:bookmarkEnd w:id="92"/>
      <w:r>
        <w:t>7.2 Для недопущения предельных состояний первой группы элементы конструкций мостов и труб должны быть рассчитаны в соответствии с указаниями настоящего раздела по прочности, устойчивости (формы и положения) и на выносливость, при этом в расчетах на выносливость должны рассматриваться нагрузки и воздействия, возможные на стадии эксплуатации сооружений.</w:t>
      </w:r>
    </w:p>
    <w:p w:rsidR="00212513" w:rsidRDefault="00212513">
      <w:pPr>
        <w:pStyle w:val="ConsPlusNormal"/>
        <w:spacing w:before="220"/>
        <w:ind w:firstLine="540"/>
        <w:jc w:val="both"/>
      </w:pPr>
      <w:r>
        <w:t>Для недопущения предельных состояний второй группы производятся расчеты, указанные в таблице 7.1.</w:t>
      </w:r>
    </w:p>
    <w:p w:rsidR="00212513" w:rsidRDefault="00212513">
      <w:pPr>
        <w:pStyle w:val="ConsPlusNormal"/>
        <w:ind w:firstLine="540"/>
        <w:jc w:val="both"/>
      </w:pPr>
    </w:p>
    <w:p w:rsidR="00212513" w:rsidRDefault="00212513">
      <w:pPr>
        <w:pStyle w:val="ConsPlusNormal"/>
        <w:jc w:val="right"/>
      </w:pPr>
      <w:r>
        <w:t>Таблица 7.1</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23"/>
        <w:gridCol w:w="3023"/>
        <w:gridCol w:w="3023"/>
      </w:tblGrid>
      <w:tr w:rsidR="00212513">
        <w:tc>
          <w:tcPr>
            <w:tcW w:w="3023" w:type="dxa"/>
            <w:vAlign w:val="center"/>
          </w:tcPr>
          <w:p w:rsidR="00212513" w:rsidRDefault="00212513">
            <w:pPr>
              <w:pStyle w:val="ConsPlusNormal"/>
              <w:jc w:val="center"/>
            </w:pPr>
            <w:r>
              <w:t>Расчет</w:t>
            </w:r>
          </w:p>
        </w:tc>
        <w:tc>
          <w:tcPr>
            <w:tcW w:w="3023" w:type="dxa"/>
            <w:vAlign w:val="center"/>
          </w:tcPr>
          <w:p w:rsidR="00212513" w:rsidRDefault="00212513">
            <w:pPr>
              <w:pStyle w:val="ConsPlusNormal"/>
              <w:jc w:val="center"/>
            </w:pPr>
            <w:r>
              <w:t>Рабочая арматура</w:t>
            </w:r>
          </w:p>
        </w:tc>
        <w:tc>
          <w:tcPr>
            <w:tcW w:w="3023" w:type="dxa"/>
            <w:vAlign w:val="center"/>
          </w:tcPr>
          <w:p w:rsidR="00212513" w:rsidRDefault="00212513">
            <w:pPr>
              <w:pStyle w:val="ConsPlusNormal"/>
              <w:jc w:val="center"/>
            </w:pPr>
            <w:r>
              <w:t>Стадии работы конструкции</w:t>
            </w:r>
          </w:p>
        </w:tc>
      </w:tr>
      <w:tr w:rsidR="00212513">
        <w:tc>
          <w:tcPr>
            <w:tcW w:w="3023" w:type="dxa"/>
            <w:vMerge w:val="restart"/>
            <w:tcBorders>
              <w:bottom w:val="nil"/>
            </w:tcBorders>
          </w:tcPr>
          <w:p w:rsidR="00212513" w:rsidRDefault="00212513">
            <w:pPr>
              <w:pStyle w:val="ConsPlusNormal"/>
            </w:pPr>
            <w:r>
              <w:t>По образованию продольных трещин</w:t>
            </w:r>
          </w:p>
        </w:tc>
        <w:tc>
          <w:tcPr>
            <w:tcW w:w="3023" w:type="dxa"/>
            <w:tcBorders>
              <w:bottom w:val="nil"/>
            </w:tcBorders>
          </w:tcPr>
          <w:p w:rsidR="00212513" w:rsidRDefault="00212513">
            <w:pPr>
              <w:pStyle w:val="ConsPlusNormal"/>
            </w:pPr>
            <w:r>
              <w:t>Ненапрягаемая</w:t>
            </w:r>
          </w:p>
        </w:tc>
        <w:tc>
          <w:tcPr>
            <w:tcW w:w="3023" w:type="dxa"/>
            <w:tcBorders>
              <w:bottom w:val="nil"/>
            </w:tcBorders>
          </w:tcPr>
          <w:p w:rsidR="00212513" w:rsidRDefault="00212513">
            <w:pPr>
              <w:pStyle w:val="ConsPlusNormal"/>
            </w:pPr>
            <w:r>
              <w:t>Все стадии (нормальная эксплуатация, возведение сооружения, предварительное напряжение, хранение, транспортирование)</w:t>
            </w:r>
          </w:p>
        </w:tc>
      </w:tr>
      <w:tr w:rsidR="00212513">
        <w:tblPrEx>
          <w:tblBorders>
            <w:insideH w:val="nil"/>
          </w:tblBorders>
        </w:tblPrEx>
        <w:tc>
          <w:tcPr>
            <w:tcW w:w="3023" w:type="dxa"/>
            <w:vMerge/>
            <w:tcBorders>
              <w:bottom w:val="nil"/>
            </w:tcBorders>
          </w:tcPr>
          <w:p w:rsidR="00212513" w:rsidRDefault="00212513">
            <w:pPr>
              <w:pStyle w:val="ConsPlusNormal"/>
            </w:pPr>
          </w:p>
        </w:tc>
        <w:tc>
          <w:tcPr>
            <w:tcW w:w="3023" w:type="dxa"/>
            <w:tcBorders>
              <w:top w:val="nil"/>
              <w:bottom w:val="nil"/>
            </w:tcBorders>
          </w:tcPr>
          <w:p w:rsidR="00212513" w:rsidRDefault="00212513">
            <w:pPr>
              <w:pStyle w:val="ConsPlusNormal"/>
            </w:pPr>
            <w:r>
              <w:t>Напрягаемая</w:t>
            </w:r>
          </w:p>
        </w:tc>
        <w:tc>
          <w:tcPr>
            <w:tcW w:w="3023" w:type="dxa"/>
            <w:tcBorders>
              <w:top w:val="nil"/>
              <w:bottom w:val="nil"/>
            </w:tcBorders>
          </w:tcPr>
          <w:p w:rsidR="00212513" w:rsidRDefault="00212513">
            <w:pPr>
              <w:pStyle w:val="ConsPlusNormal"/>
            </w:pPr>
            <w:r>
              <w:t>Все стадии</w:t>
            </w:r>
          </w:p>
        </w:tc>
      </w:tr>
      <w:tr w:rsidR="00212513">
        <w:tblPrEx>
          <w:tblBorders>
            <w:insideH w:val="nil"/>
          </w:tblBorders>
        </w:tblPrEx>
        <w:tc>
          <w:tcPr>
            <w:tcW w:w="9069" w:type="dxa"/>
            <w:gridSpan w:val="3"/>
            <w:tcBorders>
              <w:top w:val="nil"/>
            </w:tcBorders>
          </w:tcPr>
          <w:p w:rsidR="00212513" w:rsidRDefault="00212513">
            <w:pPr>
              <w:pStyle w:val="ConsPlusNormal"/>
              <w:jc w:val="both"/>
            </w:pPr>
            <w:r>
              <w:t xml:space="preserve">(в ред. </w:t>
            </w:r>
            <w:hyperlink r:id="rId566">
              <w:r>
                <w:rPr>
                  <w:color w:val="0000FF"/>
                </w:rPr>
                <w:t>Изменения N 3</w:t>
              </w:r>
            </w:hyperlink>
            <w:r>
              <w:t>, утв. Приказом Минстроя России от 29.12.2020 N 891/пр)</w:t>
            </w:r>
          </w:p>
        </w:tc>
      </w:tr>
      <w:tr w:rsidR="00212513">
        <w:tc>
          <w:tcPr>
            <w:tcW w:w="3023" w:type="dxa"/>
          </w:tcPr>
          <w:p w:rsidR="00212513" w:rsidRDefault="00212513">
            <w:pPr>
              <w:pStyle w:val="ConsPlusNormal"/>
            </w:pPr>
            <w:r>
              <w:t>По образованию трещин, нормальных и наклонных к продольной оси элемента</w:t>
            </w:r>
          </w:p>
        </w:tc>
        <w:tc>
          <w:tcPr>
            <w:tcW w:w="3023" w:type="dxa"/>
          </w:tcPr>
          <w:p w:rsidR="00212513" w:rsidRDefault="00212513">
            <w:pPr>
              <w:pStyle w:val="ConsPlusNormal"/>
              <w:jc w:val="center"/>
            </w:pPr>
            <w:r>
              <w:t>"</w:t>
            </w:r>
          </w:p>
        </w:tc>
        <w:tc>
          <w:tcPr>
            <w:tcW w:w="3023" w:type="dxa"/>
          </w:tcPr>
          <w:p w:rsidR="00212513" w:rsidRDefault="00212513">
            <w:pPr>
              <w:pStyle w:val="ConsPlusNormal"/>
            </w:pPr>
            <w:r>
              <w:t>Все стадии</w:t>
            </w:r>
          </w:p>
        </w:tc>
      </w:tr>
      <w:tr w:rsidR="00212513">
        <w:tc>
          <w:tcPr>
            <w:tcW w:w="3023" w:type="dxa"/>
          </w:tcPr>
          <w:p w:rsidR="00212513" w:rsidRDefault="00212513">
            <w:pPr>
              <w:pStyle w:val="ConsPlusNormal"/>
            </w:pPr>
            <w:r>
              <w:t>По раскрытию трещин, нормальных и наклонных к продольной оси элемента</w:t>
            </w:r>
          </w:p>
        </w:tc>
        <w:tc>
          <w:tcPr>
            <w:tcW w:w="3023" w:type="dxa"/>
          </w:tcPr>
          <w:p w:rsidR="00212513" w:rsidRDefault="00212513">
            <w:pPr>
              <w:pStyle w:val="ConsPlusNormal"/>
            </w:pPr>
            <w:r>
              <w:t xml:space="preserve">Ненапрягаемая и напрягаемая (кроме элементов с напрягаемой арматурой, проектируемых по категории требований по трещиностойкости 2а, см. </w:t>
            </w:r>
            <w:hyperlink w:anchor="P5065">
              <w:r>
                <w:rPr>
                  <w:color w:val="0000FF"/>
                </w:rPr>
                <w:t>таблицу 7.24</w:t>
              </w:r>
            </w:hyperlink>
            <w:r>
              <w:t>)</w:t>
            </w:r>
          </w:p>
        </w:tc>
        <w:tc>
          <w:tcPr>
            <w:tcW w:w="3023" w:type="dxa"/>
          </w:tcPr>
          <w:p w:rsidR="00212513" w:rsidRDefault="00212513">
            <w:pPr>
              <w:pStyle w:val="ConsPlusNormal"/>
              <w:jc w:val="center"/>
            </w:pPr>
            <w:r>
              <w:t>То же</w:t>
            </w:r>
          </w:p>
        </w:tc>
      </w:tr>
      <w:tr w:rsidR="00212513">
        <w:tc>
          <w:tcPr>
            <w:tcW w:w="3023" w:type="dxa"/>
          </w:tcPr>
          <w:p w:rsidR="00212513" w:rsidRDefault="00212513">
            <w:pPr>
              <w:pStyle w:val="ConsPlusNormal"/>
            </w:pPr>
            <w:r>
              <w:t>По закрытию (зажатию) трещин, нормальных к продольной оси элемента</w:t>
            </w:r>
          </w:p>
        </w:tc>
        <w:tc>
          <w:tcPr>
            <w:tcW w:w="3023" w:type="dxa"/>
          </w:tcPr>
          <w:p w:rsidR="00212513" w:rsidRDefault="00212513">
            <w:pPr>
              <w:pStyle w:val="ConsPlusNormal"/>
            </w:pPr>
            <w:r>
              <w:t>Напрягаемая</w:t>
            </w:r>
          </w:p>
        </w:tc>
        <w:tc>
          <w:tcPr>
            <w:tcW w:w="3023" w:type="dxa"/>
          </w:tcPr>
          <w:p w:rsidR="00212513" w:rsidRDefault="00212513">
            <w:pPr>
              <w:pStyle w:val="ConsPlusNormal"/>
            </w:pPr>
            <w:r>
              <w:t>Эксплуатация</w:t>
            </w:r>
          </w:p>
        </w:tc>
      </w:tr>
      <w:tr w:rsidR="00212513">
        <w:tc>
          <w:tcPr>
            <w:tcW w:w="3023" w:type="dxa"/>
          </w:tcPr>
          <w:p w:rsidR="00212513" w:rsidRDefault="00212513">
            <w:pPr>
              <w:pStyle w:val="ConsPlusNormal"/>
            </w:pPr>
            <w:r>
              <w:t>По ограничению касательных напряжений</w:t>
            </w:r>
          </w:p>
        </w:tc>
        <w:tc>
          <w:tcPr>
            <w:tcW w:w="3023" w:type="dxa"/>
          </w:tcPr>
          <w:p w:rsidR="00212513" w:rsidRDefault="00212513">
            <w:pPr>
              <w:pStyle w:val="ConsPlusNormal"/>
            </w:pPr>
            <w:r>
              <w:t>Ненапрягаемая и напрягаемая</w:t>
            </w:r>
          </w:p>
        </w:tc>
        <w:tc>
          <w:tcPr>
            <w:tcW w:w="3023" w:type="dxa"/>
          </w:tcPr>
          <w:p w:rsidR="00212513" w:rsidRDefault="00212513">
            <w:pPr>
              <w:pStyle w:val="ConsPlusNormal"/>
            </w:pPr>
            <w:r>
              <w:t>Все стадии</w:t>
            </w:r>
          </w:p>
        </w:tc>
      </w:tr>
      <w:tr w:rsidR="00212513">
        <w:tc>
          <w:tcPr>
            <w:tcW w:w="3023" w:type="dxa"/>
          </w:tcPr>
          <w:p w:rsidR="00212513" w:rsidRDefault="00212513">
            <w:pPr>
              <w:pStyle w:val="ConsPlusNormal"/>
            </w:pPr>
            <w:r>
              <w:t>По деформациям (прогибам) пролетных строений в мостах всех назначений и углам перелома профиля проезда в автодорожных мостах</w:t>
            </w:r>
          </w:p>
        </w:tc>
        <w:tc>
          <w:tcPr>
            <w:tcW w:w="3023" w:type="dxa"/>
          </w:tcPr>
          <w:p w:rsidR="00212513" w:rsidRDefault="00212513">
            <w:pPr>
              <w:pStyle w:val="ConsPlusNormal"/>
              <w:jc w:val="center"/>
            </w:pPr>
            <w:r>
              <w:t>То же</w:t>
            </w:r>
          </w:p>
        </w:tc>
        <w:tc>
          <w:tcPr>
            <w:tcW w:w="3023" w:type="dxa"/>
          </w:tcPr>
          <w:p w:rsidR="00212513" w:rsidRDefault="00212513">
            <w:pPr>
              <w:pStyle w:val="ConsPlusNormal"/>
            </w:pPr>
            <w:r>
              <w:t>Эксплуатация</w:t>
            </w:r>
          </w:p>
        </w:tc>
      </w:tr>
    </w:tbl>
    <w:p w:rsidR="00212513" w:rsidRDefault="00212513">
      <w:pPr>
        <w:pStyle w:val="ConsPlusNormal"/>
        <w:ind w:firstLine="540"/>
        <w:jc w:val="both"/>
      </w:pPr>
    </w:p>
    <w:p w:rsidR="00212513" w:rsidRDefault="00212513">
      <w:pPr>
        <w:pStyle w:val="ConsPlusNormal"/>
        <w:ind w:firstLine="540"/>
        <w:jc w:val="both"/>
      </w:pPr>
      <w:r>
        <w:t>Оценку прочности и трещиностойкости сечений, нормальных к продольной оси изгибаемых и внецентренно сжатых (растянутых) железобетонных элементов допускается выполнять на основе нелинейной деформационной модели, базирующейся на применении:</w:t>
      </w:r>
    </w:p>
    <w:p w:rsidR="00212513" w:rsidRDefault="00212513">
      <w:pPr>
        <w:pStyle w:val="ConsPlusNormal"/>
        <w:spacing w:before="220"/>
        <w:ind w:firstLine="540"/>
        <w:jc w:val="both"/>
      </w:pPr>
      <w:r>
        <w:t>- уравнений равновесия;</w:t>
      </w:r>
    </w:p>
    <w:p w:rsidR="00212513" w:rsidRDefault="00212513">
      <w:pPr>
        <w:pStyle w:val="ConsPlusNormal"/>
        <w:spacing w:before="220"/>
        <w:ind w:firstLine="540"/>
        <w:jc w:val="both"/>
      </w:pPr>
      <w:r>
        <w:t>- гипотезы плоских сечений;</w:t>
      </w:r>
    </w:p>
    <w:p w:rsidR="00212513" w:rsidRDefault="00212513">
      <w:pPr>
        <w:pStyle w:val="ConsPlusNormal"/>
        <w:spacing w:before="220"/>
        <w:ind w:firstLine="540"/>
        <w:jc w:val="both"/>
      </w:pPr>
      <w:r>
        <w:t>- диаграмм деформирования материалов (бетона и арматуры).</w:t>
      </w:r>
    </w:p>
    <w:p w:rsidR="00212513" w:rsidRDefault="00212513">
      <w:pPr>
        <w:pStyle w:val="ConsPlusNormal"/>
        <w:jc w:val="both"/>
      </w:pPr>
      <w:r>
        <w:t xml:space="preserve">(абзац введен </w:t>
      </w:r>
      <w:hyperlink r:id="rId567">
        <w:r>
          <w:rPr>
            <w:color w:val="0000FF"/>
          </w:rPr>
          <w:t>Изменением N 1</w:t>
        </w:r>
      </w:hyperlink>
      <w:r>
        <w:t>, утв. Приказом Минстроя России от 03.12.2016 N 879/пр)</w:t>
      </w:r>
    </w:p>
    <w:p w:rsidR="00212513" w:rsidRDefault="00212513">
      <w:pPr>
        <w:pStyle w:val="ConsPlusNormal"/>
        <w:spacing w:before="220"/>
        <w:ind w:firstLine="540"/>
        <w:jc w:val="both"/>
      </w:pPr>
      <w:r>
        <w:t>При расчетах железобетонных элементов с использованием нелинейной деформационной модели в качестве критериев прочности и трещиностойкости следует использовать предельные изгибающие моменты (нормальные силы) по условиям прочности и трещиностойкости.</w:t>
      </w:r>
    </w:p>
    <w:p w:rsidR="00212513" w:rsidRDefault="00212513">
      <w:pPr>
        <w:pStyle w:val="ConsPlusNormal"/>
        <w:jc w:val="both"/>
      </w:pPr>
      <w:r>
        <w:t xml:space="preserve">(абзац введен </w:t>
      </w:r>
      <w:hyperlink r:id="rId568">
        <w:r>
          <w:rPr>
            <w:color w:val="0000FF"/>
          </w:rPr>
          <w:t>Изменением N 1</w:t>
        </w:r>
      </w:hyperlink>
      <w:r>
        <w:t>, утв. Приказом Минстроя России от 03.12.2016 N 879/пр)</w:t>
      </w:r>
    </w:p>
    <w:p w:rsidR="00212513" w:rsidRDefault="00212513">
      <w:pPr>
        <w:pStyle w:val="ConsPlusNormal"/>
        <w:spacing w:before="220"/>
        <w:ind w:firstLine="540"/>
        <w:jc w:val="both"/>
      </w:pPr>
      <w:r>
        <w:t>7.3 Расчеты по трещиностойкости совместно с конструктивными и другими требованиями (к водоотводу и гидроизоляции конструкций, морозостойкости и водонепроницаемости бетона) должны обеспечивать коррозионную стойкость железобетонных мостов и труб, а также препятствовать возникновению повреждений в них при совместном воздействии силовых факторов и неблагоприятных влияний внешней среды.</w:t>
      </w:r>
    </w:p>
    <w:p w:rsidR="00212513" w:rsidRDefault="00212513">
      <w:pPr>
        <w:pStyle w:val="ConsPlusNormal"/>
        <w:spacing w:before="220"/>
        <w:ind w:firstLine="540"/>
        <w:jc w:val="both"/>
      </w:pPr>
      <w:r>
        <w:t xml:space="preserve">Элементы железобетонных конструкций в зависимости от назначения, условий работы и применяемой арматуры должны удовлетворять соответствующим категориям требований по трещиностойкости, которые предусматривают ограничение предельных напряжений в бетоне или предельную ширину раскрытия трещин по </w:t>
      </w:r>
      <w:hyperlink w:anchor="P5063">
        <w:r>
          <w:rPr>
            <w:color w:val="0000FF"/>
          </w:rPr>
          <w:t>7.95</w:t>
        </w:r>
      </w:hyperlink>
      <w:r>
        <w:t>.</w:t>
      </w:r>
    </w:p>
    <w:p w:rsidR="00212513" w:rsidRDefault="00212513">
      <w:pPr>
        <w:pStyle w:val="ConsPlusNormal"/>
        <w:jc w:val="both"/>
      </w:pPr>
      <w:r>
        <w:lastRenderedPageBreak/>
        <w:t xml:space="preserve">(в ред. </w:t>
      </w:r>
      <w:hyperlink r:id="rId569">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t>7.4 Усилия в сечениях элементов статически неопределимых конструкций от нагрузок и воздействий при расчетах по предельным состояниям первой и второй групп следует определять с учетом неупругих деформаций бетона и арматуры и наличия трещин.</w:t>
      </w:r>
    </w:p>
    <w:p w:rsidR="00212513" w:rsidRDefault="00212513">
      <w:pPr>
        <w:pStyle w:val="ConsPlusNormal"/>
        <w:spacing w:before="220"/>
        <w:ind w:firstLine="540"/>
        <w:jc w:val="both"/>
      </w:pPr>
      <w:r>
        <w:t>В конструкциях, методика расчета которых с учетом неупругих свойств бетона не разработана, а также для промежуточных стадий расчета с учетом неупругих свойств бетона усилия в сечениях элементов допускается определять в предположении их линейной упругости.</w:t>
      </w:r>
    </w:p>
    <w:p w:rsidR="00212513" w:rsidRDefault="00212513">
      <w:pPr>
        <w:pStyle w:val="ConsPlusNormal"/>
        <w:spacing w:before="220"/>
        <w:ind w:firstLine="540"/>
        <w:jc w:val="both"/>
      </w:pPr>
      <w:r>
        <w:t>7.5 Если в процессе изготовления или монтажа конструкции изменяются расчетные схемы или геометрические характеристики сечений, то усилия, напряжения и деформации в конструкции необходимо определять суммированием их для всех предшествующих стадий работы. При этом следует учитывать изменение усилий во времени из-за усадки и ползучести бетона и релаксации напряжений в арматуре.</w:t>
      </w:r>
    </w:p>
    <w:p w:rsidR="00212513" w:rsidRDefault="00212513">
      <w:pPr>
        <w:pStyle w:val="ConsPlusNormal"/>
        <w:jc w:val="both"/>
      </w:pPr>
      <w:r>
        <w:t xml:space="preserve">(в ред. </w:t>
      </w:r>
      <w:hyperlink r:id="rId570">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t>7.6 В расчетах конструкций с ненапрягаемой арматурой по первой группе предельных состояний напряжения в бетоне и арматуре следует определять по правилам расчета упругих материалов без учета работы бетона растянутой зоны.</w:t>
      </w:r>
    </w:p>
    <w:p w:rsidR="00212513" w:rsidRDefault="00212513">
      <w:pPr>
        <w:pStyle w:val="ConsPlusNormal"/>
        <w:jc w:val="both"/>
      </w:pPr>
      <w:r>
        <w:t xml:space="preserve">(в ред. </w:t>
      </w:r>
      <w:hyperlink r:id="rId571">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t xml:space="preserve">7.7 В предварительно напряженных конструкциях напряжения в бетоне и арматуре в сечениях, нормальных к продольной оси элемента, следует определять по правилам расчета упругих материалов, рассматривая сечение как сплошное. Если бетон омоноличивания напрягаемой арматуры, расположенной в открытых каналах, не имеет сцепления по </w:t>
      </w:r>
      <w:hyperlink w:anchor="P5909">
        <w:r>
          <w:rPr>
            <w:color w:val="0000FF"/>
          </w:rPr>
          <w:t>7.170</w:t>
        </w:r>
      </w:hyperlink>
      <w:r>
        <w:t xml:space="preserve"> с бетоном основной конструкции, то следует считать, что и напрягаемая арматура, расположенная в канале, не имеет сцепления с бетоном конструкции.</w:t>
      </w:r>
    </w:p>
    <w:p w:rsidR="00212513" w:rsidRDefault="00212513">
      <w:pPr>
        <w:pStyle w:val="ConsPlusNormal"/>
        <w:spacing w:before="220"/>
        <w:ind w:firstLine="540"/>
        <w:jc w:val="both"/>
      </w:pPr>
      <w:r>
        <w:t>При определении ширины раскрытия трещин в элементах предварительно напряженных конструкций (в том числе и со смешанным армированием) напряжения в арматуре следует определять без учета работы растянутой зоны бетона. Допускается усилия растянутой зоны бетона полностью передавать на арматуру.</w:t>
      </w:r>
    </w:p>
    <w:p w:rsidR="00212513" w:rsidRDefault="00212513">
      <w:pPr>
        <w:pStyle w:val="ConsPlusNormal"/>
        <w:spacing w:before="220"/>
        <w:ind w:firstLine="540"/>
        <w:jc w:val="both"/>
      </w:pPr>
      <w:r>
        <w:t xml:space="preserve">Характеристики приведенного сечения во всех случаях необходимо определять с учетом имеющейся в сечении напрягаемой и ненапрягаемой арматуры с учетом </w:t>
      </w:r>
      <w:hyperlink w:anchor="P3883">
        <w:r>
          <w:rPr>
            <w:color w:val="0000FF"/>
          </w:rPr>
          <w:t>7.48</w:t>
        </w:r>
      </w:hyperlink>
      <w:r>
        <w:t>.</w:t>
      </w:r>
    </w:p>
    <w:p w:rsidR="00212513" w:rsidRDefault="00212513">
      <w:pPr>
        <w:pStyle w:val="ConsPlusNormal"/>
        <w:spacing w:before="220"/>
        <w:ind w:firstLine="540"/>
        <w:jc w:val="both"/>
      </w:pPr>
      <w:r>
        <w:t>Если элементы конструкции выполнены из бетона разных классов, то общую рабочую площадь сечения следует определять с учетом соответствующих им модулей упругости.</w:t>
      </w:r>
    </w:p>
    <w:p w:rsidR="00212513" w:rsidRDefault="00212513">
      <w:pPr>
        <w:pStyle w:val="ConsPlusNormal"/>
        <w:spacing w:before="220"/>
        <w:ind w:firstLine="540"/>
        <w:jc w:val="both"/>
      </w:pPr>
      <w:r>
        <w:t xml:space="preserve">В конструкциях, напрягаемых на бетон, на стадии его обжатия в рабочей площади бетона не учитывают площадь закрытых и открытых каналов. При расчете этих конструкций на стадии эксплуатации допускается в расчетной площади сечения бетона учитывать площадь сечения заинъецированных закрытых каналов. Бетон омоноличивания открытых каналов допускается учитывать при условии выполнения требований </w:t>
      </w:r>
      <w:hyperlink w:anchor="P5210">
        <w:r>
          <w:rPr>
            <w:color w:val="0000FF"/>
          </w:rPr>
          <w:t>7.104</w:t>
        </w:r>
      </w:hyperlink>
      <w:r>
        <w:t xml:space="preserve">, специальных технологических мероприятий в соответствии с </w:t>
      </w:r>
      <w:hyperlink w:anchor="P5909">
        <w:r>
          <w:rPr>
            <w:color w:val="0000FF"/>
          </w:rPr>
          <w:t>7.170</w:t>
        </w:r>
      </w:hyperlink>
      <w:r>
        <w:t xml:space="preserve"> и установки в бетоне омоноличивания ненапрягаемой арматуры. При этом ширина раскрытия трещин в бетоне омоноличивания не должна превышать размеров, принятых для элементов, проектируемых по категории требований по трещиностойкости 3в.</w:t>
      </w:r>
    </w:p>
    <w:p w:rsidR="00212513" w:rsidRDefault="00212513">
      <w:pPr>
        <w:pStyle w:val="ConsPlusNormal"/>
        <w:spacing w:before="220"/>
        <w:ind w:firstLine="540"/>
        <w:jc w:val="both"/>
      </w:pPr>
      <w:r>
        <w:t>7.8 В составных по длине (высоте) конструкциях следует производить проверки прочности и трещиностойкости в сечениях, совпадающих со стыками или пересекающих зону стыков.</w:t>
      </w:r>
    </w:p>
    <w:p w:rsidR="00212513" w:rsidRDefault="00212513">
      <w:pPr>
        <w:pStyle w:val="ConsPlusNormal"/>
        <w:spacing w:before="220"/>
        <w:ind w:firstLine="540"/>
        <w:jc w:val="both"/>
      </w:pPr>
      <w:r>
        <w:t>Стыки должны обеспечивать передачу расчетных усилий без появления повреждений в бетоне омоноличивания и на торцах стыкуемых элементов (блоков).</w:t>
      </w:r>
    </w:p>
    <w:p w:rsidR="00212513" w:rsidRDefault="00212513">
      <w:pPr>
        <w:pStyle w:val="ConsPlusNormal"/>
        <w:spacing w:before="220"/>
        <w:ind w:firstLine="540"/>
        <w:jc w:val="both"/>
      </w:pPr>
      <w:r>
        <w:lastRenderedPageBreak/>
        <w:t>7.9 Стенки тавровых балок железнодорожных пролетных строений необходимо рассчитывать с учетом возможного на мосту поперечного смещения пути, принимаемого в размере не менее 10 см.</w:t>
      </w:r>
    </w:p>
    <w:p w:rsidR="00212513" w:rsidRDefault="00212513">
      <w:pPr>
        <w:pStyle w:val="ConsPlusNormal"/>
        <w:spacing w:before="220"/>
        <w:ind w:firstLine="540"/>
        <w:jc w:val="both"/>
      </w:pPr>
      <w:r>
        <w:t>Расчет стенок балок пролетных строений мостов по образованию трещин рекомендуется производить с учетом кручения и изгиба стенок (из их плоскости).</w:t>
      </w:r>
    </w:p>
    <w:p w:rsidR="00212513" w:rsidRDefault="00212513">
      <w:pPr>
        <w:pStyle w:val="ConsPlusNormal"/>
        <w:spacing w:before="220"/>
        <w:ind w:firstLine="540"/>
        <w:jc w:val="both"/>
      </w:pPr>
      <w:bookmarkStart w:id="93" w:name="P2018"/>
      <w:bookmarkEnd w:id="93"/>
      <w:r>
        <w:t xml:space="preserve">7.10 Предварительное напряжение арматуры характеризуют значения начального (контролируемого) усилия, прикладываемого к концам напрягаемой арматуры через натяжные устройства, и установившегося усилия, равного контролируемому за вычетом потерь, произошедших к рассматриваемому моменту времени. При этом напряжения в арматуре, соответствующие контролируемому усилию, не должны превышать расчетных сопротивлений, указанных в </w:t>
      </w:r>
      <w:hyperlink w:anchor="P3305">
        <w:r>
          <w:rPr>
            <w:color w:val="0000FF"/>
          </w:rPr>
          <w:t>таблице 7.16</w:t>
        </w:r>
      </w:hyperlink>
      <w:r>
        <w:t xml:space="preserve">, с учетом коэффициентов условий работы в соответствии с </w:t>
      </w:r>
      <w:hyperlink w:anchor="P3823">
        <w:r>
          <w:rPr>
            <w:color w:val="0000FF"/>
          </w:rPr>
          <w:t>7.45</w:t>
        </w:r>
      </w:hyperlink>
      <w:r>
        <w:t>.</w:t>
      </w:r>
    </w:p>
    <w:p w:rsidR="00212513" w:rsidRDefault="00212513">
      <w:pPr>
        <w:pStyle w:val="ConsPlusNormal"/>
        <w:spacing w:before="220"/>
        <w:ind w:firstLine="540"/>
        <w:jc w:val="both"/>
      </w:pPr>
      <w:r>
        <w:t xml:space="preserve">Для напрягаемых арматурных элементов в проектной документации должны указываться значения контролируемых усилий и соответствующих им удлинений (вытяжек) арматуры с учетом </w:t>
      </w:r>
      <w:hyperlink w:anchor="P14440">
        <w:r>
          <w:rPr>
            <w:color w:val="0000FF"/>
          </w:rPr>
          <w:t>позиции 4 таблицы Р.1</w:t>
        </w:r>
      </w:hyperlink>
      <w:r>
        <w:t xml:space="preserve"> приложения Р.</w:t>
      </w:r>
    </w:p>
    <w:p w:rsidR="00212513" w:rsidRDefault="00212513">
      <w:pPr>
        <w:pStyle w:val="ConsPlusNormal"/>
        <w:spacing w:before="220"/>
        <w:ind w:firstLine="540"/>
        <w:jc w:val="both"/>
      </w:pPr>
      <w:r>
        <w:t xml:space="preserve">Значения удлинений арматуры </w:t>
      </w:r>
      <w:r>
        <w:rPr>
          <w:noProof/>
          <w:position w:val="-9"/>
        </w:rPr>
        <w:drawing>
          <wp:inline distT="0" distB="0" distL="0" distR="0">
            <wp:extent cx="220980" cy="262890"/>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в общем случае определяются по формуле</w:t>
      </w:r>
    </w:p>
    <w:p w:rsidR="00212513" w:rsidRDefault="00212513">
      <w:pPr>
        <w:pStyle w:val="ConsPlusNormal"/>
        <w:ind w:firstLine="540"/>
        <w:jc w:val="both"/>
      </w:pPr>
    </w:p>
    <w:p w:rsidR="00212513" w:rsidRDefault="00212513">
      <w:pPr>
        <w:pStyle w:val="ConsPlusNormal"/>
        <w:jc w:val="center"/>
      </w:pPr>
      <w:r>
        <w:rPr>
          <w:noProof/>
          <w:position w:val="-29"/>
        </w:rPr>
        <w:drawing>
          <wp:inline distT="0" distB="0" distL="0" distR="0">
            <wp:extent cx="1148080" cy="511810"/>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1148080" cy="511810"/>
                    </a:xfrm>
                    <a:prstGeom prst="rect">
                      <a:avLst/>
                    </a:prstGeom>
                    <a:noFill/>
                    <a:ln>
                      <a:noFill/>
                    </a:ln>
                  </pic:spPr>
                </pic:pic>
              </a:graphicData>
            </a:graphic>
          </wp:inline>
        </w:drawing>
      </w:r>
      <w:r>
        <w:t>, (7.1)</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9"/>
        </w:rPr>
        <w:drawing>
          <wp:inline distT="0" distB="0" distL="0" distR="0">
            <wp:extent cx="220980" cy="262890"/>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напряжения, отвечающие контролируемому усилию и назначаемые с учетом требований </w:t>
      </w:r>
      <w:hyperlink w:anchor="P2145">
        <w:r>
          <w:rPr>
            <w:color w:val="0000FF"/>
          </w:rPr>
          <w:t>7.14</w:t>
        </w:r>
      </w:hyperlink>
      <w:r>
        <w:t>;</w:t>
      </w:r>
    </w:p>
    <w:p w:rsidR="00212513" w:rsidRDefault="00212513">
      <w:pPr>
        <w:pStyle w:val="ConsPlusNormal"/>
        <w:spacing w:before="220"/>
        <w:ind w:firstLine="540"/>
        <w:jc w:val="both"/>
      </w:pPr>
      <w:r>
        <w:rPr>
          <w:noProof/>
          <w:position w:val="-9"/>
        </w:rPr>
        <w:drawing>
          <wp:inline distT="0" distB="0" distL="0" distR="0">
            <wp:extent cx="220980" cy="262890"/>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модуль упругости напрягаемой арматуры;</w:t>
      </w:r>
    </w:p>
    <w:p w:rsidR="00212513" w:rsidRDefault="00212513">
      <w:pPr>
        <w:pStyle w:val="ConsPlusNormal"/>
        <w:spacing w:before="220"/>
        <w:ind w:firstLine="540"/>
        <w:jc w:val="both"/>
      </w:pPr>
      <w:r>
        <w:rPr>
          <w:i/>
        </w:rPr>
        <w:t>l</w:t>
      </w:r>
      <w:r>
        <w:t xml:space="preserve"> - расчетная длина арматурного элемента (расстояние от натяжного анкера до точки арматурного элемента с нулевым перемещением).</w:t>
      </w:r>
    </w:p>
    <w:p w:rsidR="00212513" w:rsidRDefault="00212513">
      <w:pPr>
        <w:pStyle w:val="ConsPlusNormal"/>
        <w:spacing w:before="220"/>
        <w:ind w:firstLine="540"/>
        <w:jc w:val="both"/>
      </w:pPr>
      <w:r>
        <w:t xml:space="preserve">Остальные обозначения приведены в </w:t>
      </w:r>
      <w:hyperlink w:anchor="P14440">
        <w:r>
          <w:rPr>
            <w:color w:val="0000FF"/>
          </w:rPr>
          <w:t>таблицах Р.1</w:t>
        </w:r>
      </w:hyperlink>
      <w:r>
        <w:t xml:space="preserve"> и </w:t>
      </w:r>
      <w:hyperlink w:anchor="P14560">
        <w:r>
          <w:rPr>
            <w:color w:val="0000FF"/>
          </w:rPr>
          <w:t>Р.2</w:t>
        </w:r>
      </w:hyperlink>
      <w:r>
        <w:t xml:space="preserve"> приложения Р.</w:t>
      </w:r>
    </w:p>
    <w:p w:rsidR="00212513" w:rsidRDefault="00212513">
      <w:pPr>
        <w:pStyle w:val="ConsPlusNormal"/>
        <w:spacing w:before="220"/>
        <w:ind w:firstLine="540"/>
        <w:jc w:val="both"/>
      </w:pPr>
      <w:r>
        <w:t>Значение вытяжки допускается корректировать при контроле работ по натяжению напрягаемой арматуры по фактическим значениям модуля упругости арматуры и измеренным коэффициентам трения, а также с учетом конструктивных особенностей натяжного оборудования.</w:t>
      </w:r>
    </w:p>
    <w:p w:rsidR="00212513" w:rsidRDefault="00212513">
      <w:pPr>
        <w:pStyle w:val="ConsPlusNormal"/>
        <w:spacing w:before="220"/>
        <w:ind w:firstLine="540"/>
        <w:jc w:val="both"/>
      </w:pPr>
      <w:r>
        <w:t xml:space="preserve">При определении расчетного воздействия, создаваемого усилием напрягаемой арматуры, коэффициенты надежности </w:t>
      </w:r>
      <w:r>
        <w:rPr>
          <w:noProof/>
          <w:position w:val="-9"/>
        </w:rPr>
        <w:drawing>
          <wp:inline distT="0" distB="0" distL="0" distR="0">
            <wp:extent cx="209550" cy="262890"/>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по нагрузке следует принимать равными:</w:t>
      </w:r>
    </w:p>
    <w:p w:rsidR="00212513" w:rsidRDefault="00212513">
      <w:pPr>
        <w:pStyle w:val="ConsPlusNormal"/>
        <w:spacing w:before="220"/>
        <w:ind w:firstLine="540"/>
        <w:jc w:val="both"/>
      </w:pPr>
      <w:r>
        <w:t>для целых по длине элементов - (1,0 +/- 0,1);</w:t>
      </w:r>
    </w:p>
    <w:p w:rsidR="00212513" w:rsidRDefault="00212513">
      <w:pPr>
        <w:pStyle w:val="ConsPlusNormal"/>
        <w:spacing w:before="220"/>
        <w:ind w:firstLine="540"/>
        <w:jc w:val="both"/>
      </w:pPr>
      <w:r>
        <w:t xml:space="preserve">для составных по длине элементов - по </w:t>
      </w:r>
      <w:hyperlink w:anchor="P4888">
        <w:r>
          <w:rPr>
            <w:color w:val="0000FF"/>
          </w:rPr>
          <w:t>7.86</w:t>
        </w:r>
      </w:hyperlink>
      <w:r>
        <w:t>.</w:t>
      </w:r>
    </w:p>
    <w:p w:rsidR="00212513" w:rsidRDefault="00212513">
      <w:pPr>
        <w:pStyle w:val="ConsPlusNormal"/>
        <w:spacing w:before="220"/>
        <w:ind w:firstLine="540"/>
        <w:jc w:val="both"/>
      </w:pPr>
      <w:bookmarkStart w:id="94" w:name="P2032"/>
      <w:bookmarkEnd w:id="94"/>
      <w:r>
        <w:t>7.11 При расчете предварительно напряженных элементов место передачи на бетон сосредоточенных усилий с напрягаемой арматуры следует принимать в конструкциях:</w:t>
      </w:r>
    </w:p>
    <w:p w:rsidR="00212513" w:rsidRDefault="00212513">
      <w:pPr>
        <w:pStyle w:val="ConsPlusNormal"/>
        <w:spacing w:before="220"/>
        <w:ind w:firstLine="540"/>
        <w:jc w:val="both"/>
      </w:pPr>
      <w:r>
        <w:t>с внешними (концевыми) и внутренними (каркасно-стержневыми) анкерами - в месте опирания или закрепления анкеров;</w:t>
      </w:r>
    </w:p>
    <w:p w:rsidR="00212513" w:rsidRDefault="00212513">
      <w:pPr>
        <w:pStyle w:val="ConsPlusNormal"/>
        <w:spacing w:before="220"/>
        <w:ind w:firstLine="540"/>
        <w:jc w:val="both"/>
      </w:pPr>
      <w:r>
        <w:t>с арматурой, не имеющей анкеров (с заанкериванием посредством сцепления арматуры с бетоном), - на расстоянии, равном 2/3 длины зоны передачи напряжений.</w:t>
      </w:r>
    </w:p>
    <w:p w:rsidR="00212513" w:rsidRDefault="00212513">
      <w:pPr>
        <w:pStyle w:val="ConsPlusNormal"/>
        <w:spacing w:before="220"/>
        <w:ind w:firstLine="540"/>
        <w:jc w:val="both"/>
      </w:pPr>
      <w:r>
        <w:lastRenderedPageBreak/>
        <w:t>Длину зоны передачи на бетон усилий с напрягаемой стержневой арматуры периодического профиля следует принимать при передаче усилия:</w:t>
      </w:r>
    </w:p>
    <w:p w:rsidR="00212513" w:rsidRDefault="00212513">
      <w:pPr>
        <w:pStyle w:val="ConsPlusNormal"/>
        <w:spacing w:before="220"/>
        <w:ind w:firstLine="540"/>
        <w:jc w:val="both"/>
      </w:pPr>
      <w:r>
        <w:t>плавной - 20</w:t>
      </w:r>
      <w:r>
        <w:rPr>
          <w:i/>
        </w:rPr>
        <w:t>d</w:t>
      </w:r>
      <w:r>
        <w:t xml:space="preserve"> (где </w:t>
      </w:r>
      <w:r>
        <w:rPr>
          <w:i/>
        </w:rPr>
        <w:t>d</w:t>
      </w:r>
      <w:r>
        <w:t xml:space="preserve"> - диаметр стержня);</w:t>
      </w:r>
    </w:p>
    <w:p w:rsidR="00212513" w:rsidRDefault="00212513">
      <w:pPr>
        <w:pStyle w:val="ConsPlusNormal"/>
        <w:spacing w:before="220"/>
        <w:ind w:firstLine="540"/>
        <w:jc w:val="both"/>
      </w:pPr>
      <w:r>
        <w:t>мгновенной посредством обрезки стержней (допускаемой при диаметрах стержней не более 18 мм) - 25</w:t>
      </w:r>
      <w:r>
        <w:rPr>
          <w:i/>
        </w:rPr>
        <w:t>d</w:t>
      </w:r>
      <w:r>
        <w:t>.</w:t>
      </w:r>
    </w:p>
    <w:p w:rsidR="00212513" w:rsidRDefault="00212513">
      <w:pPr>
        <w:pStyle w:val="ConsPlusNormal"/>
        <w:spacing w:before="220"/>
        <w:ind w:firstLine="540"/>
        <w:jc w:val="both"/>
      </w:pPr>
      <w:r>
        <w:t>Для элементов конструкций, предназначенных для эксплуатации в районах со средней температурой наружного воздуха наиболее холодной пятидневки ниже минус 40 °C, длину зоны передачи усилий на бетон следует увеличивать на 5</w:t>
      </w:r>
      <w:r>
        <w:rPr>
          <w:i/>
        </w:rPr>
        <w:t>d</w:t>
      </w:r>
      <w:r>
        <w:t>.</w:t>
      </w:r>
    </w:p>
    <w:p w:rsidR="00212513" w:rsidRDefault="00212513">
      <w:pPr>
        <w:pStyle w:val="ConsPlusNormal"/>
        <w:spacing w:before="220"/>
        <w:ind w:firstLine="540"/>
        <w:jc w:val="both"/>
      </w:pPr>
      <w:r>
        <w:t xml:space="preserve">Длину зоны передачи на бетон усилий с напрягаемых арматурных канатов класса К7 при отсутствии анкеров следует принимать в размерах, указанных в </w:t>
      </w:r>
      <w:hyperlink w:anchor="P2051">
        <w:r>
          <w:rPr>
            <w:color w:val="0000FF"/>
          </w:rPr>
          <w:t>таблице 7.2</w:t>
        </w:r>
      </w:hyperlink>
      <w:r>
        <w:t xml:space="preserve">; для элементов конструкций, предназначенных для эксплуатации в районах со средней температурой наружного воздуха наиболее холодной пятидневки ниже минус 40 °C, при арматурных канатах класса К7 длину зоны следует принимать более значений, указанных в </w:t>
      </w:r>
      <w:hyperlink w:anchor="P2051">
        <w:r>
          <w:rPr>
            <w:color w:val="0000FF"/>
          </w:rPr>
          <w:t>таблице 7.2</w:t>
        </w:r>
      </w:hyperlink>
      <w:r>
        <w:t>:</w:t>
      </w:r>
    </w:p>
    <w:p w:rsidR="00212513" w:rsidRDefault="00212513">
      <w:pPr>
        <w:pStyle w:val="ConsPlusNonformat"/>
        <w:spacing w:before="200"/>
        <w:jc w:val="both"/>
      </w:pPr>
      <w:r>
        <w:t xml:space="preserve">    на 27 см - при диаметре канатов  9 мм;</w:t>
      </w:r>
    </w:p>
    <w:p w:rsidR="00212513" w:rsidRDefault="00212513">
      <w:pPr>
        <w:pStyle w:val="ConsPlusNonformat"/>
        <w:jc w:val="both"/>
      </w:pPr>
      <w:r>
        <w:t xml:space="preserve">    на 30 см -         то же,       12 мм;</w:t>
      </w:r>
    </w:p>
    <w:p w:rsidR="00212513" w:rsidRDefault="00212513">
      <w:pPr>
        <w:pStyle w:val="ConsPlusNonformat"/>
        <w:jc w:val="both"/>
      </w:pPr>
      <w:r>
        <w:t xml:space="preserve">    на 38 см -         то же,       15 мм.</w:t>
      </w:r>
    </w:p>
    <w:p w:rsidR="00212513" w:rsidRDefault="00212513">
      <w:pPr>
        <w:pStyle w:val="ConsPlusNormal"/>
        <w:jc w:val="both"/>
      </w:pPr>
      <w:r>
        <w:t xml:space="preserve">(в ред. </w:t>
      </w:r>
      <w:hyperlink r:id="rId577">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 xml:space="preserve">Для пучков из четырех канатов К7 по </w:t>
      </w:r>
      <w:hyperlink r:id="rId578">
        <w:r>
          <w:rPr>
            <w:color w:val="0000FF"/>
          </w:rPr>
          <w:t>ГОСТ 13840</w:t>
        </w:r>
      </w:hyperlink>
      <w:r>
        <w:t xml:space="preserve"> длину зоны передачи усилий по </w:t>
      </w:r>
      <w:hyperlink w:anchor="P2051">
        <w:r>
          <w:rPr>
            <w:color w:val="0000FF"/>
          </w:rPr>
          <w:t>таблице 7.2</w:t>
        </w:r>
      </w:hyperlink>
      <w:r>
        <w:t xml:space="preserve"> следует принимать с коэффициентом 1,4.</w:t>
      </w:r>
    </w:p>
    <w:p w:rsidR="00212513" w:rsidRDefault="00212513">
      <w:pPr>
        <w:pStyle w:val="ConsPlusNormal"/>
        <w:jc w:val="both"/>
      </w:pPr>
      <w:r>
        <w:t xml:space="preserve">(в ред. </w:t>
      </w:r>
      <w:hyperlink r:id="rId579">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t xml:space="preserve">Указанные значения длин передачи усилий на бетон даны для канатов класса К7 для максимальных значений контролируемых усилий в момент передачи усилия на бетон в соответствии с </w:t>
      </w:r>
      <w:hyperlink w:anchor="P3823">
        <w:r>
          <w:rPr>
            <w:color w:val="0000FF"/>
          </w:rPr>
          <w:t>7.45</w:t>
        </w:r>
      </w:hyperlink>
      <w:r>
        <w:t>.</w:t>
      </w:r>
    </w:p>
    <w:p w:rsidR="00212513" w:rsidRDefault="00212513">
      <w:pPr>
        <w:pStyle w:val="ConsPlusNormal"/>
        <w:jc w:val="both"/>
      </w:pPr>
      <w:r>
        <w:t xml:space="preserve">(абзац введен </w:t>
      </w:r>
      <w:hyperlink r:id="rId580">
        <w:r>
          <w:rPr>
            <w:color w:val="0000FF"/>
          </w:rPr>
          <w:t>Изменением N 1</w:t>
        </w:r>
      </w:hyperlink>
      <w:r>
        <w:t>, утв. Приказом Минстроя России от 03.12.2016 N 879/пр)</w:t>
      </w:r>
    </w:p>
    <w:p w:rsidR="00212513" w:rsidRDefault="00212513">
      <w:pPr>
        <w:pStyle w:val="ConsPlusNormal"/>
        <w:spacing w:before="220"/>
        <w:ind w:firstLine="540"/>
        <w:jc w:val="both"/>
      </w:pPr>
      <w:r>
        <w:t>Применение пластически обжатых канатов класса К7О без анкеров не допускается.</w:t>
      </w:r>
    </w:p>
    <w:p w:rsidR="00212513" w:rsidRDefault="00212513">
      <w:pPr>
        <w:pStyle w:val="ConsPlusNormal"/>
        <w:jc w:val="both"/>
      </w:pPr>
      <w:r>
        <w:t xml:space="preserve">(абзац введен </w:t>
      </w:r>
      <w:hyperlink r:id="rId581">
        <w:r>
          <w:rPr>
            <w:color w:val="0000FF"/>
          </w:rPr>
          <w:t>Изменением N 1</w:t>
        </w:r>
      </w:hyperlink>
      <w:r>
        <w:t>, утв. Приказом Минстроя России от 03.12.2016 N 879/пр)</w:t>
      </w:r>
    </w:p>
    <w:p w:rsidR="00212513" w:rsidRDefault="00212513">
      <w:pPr>
        <w:pStyle w:val="ConsPlusNormal"/>
        <w:ind w:firstLine="540"/>
        <w:jc w:val="both"/>
      </w:pPr>
    </w:p>
    <w:p w:rsidR="00212513" w:rsidRDefault="00212513">
      <w:pPr>
        <w:pStyle w:val="ConsPlusNormal"/>
        <w:jc w:val="right"/>
      </w:pPr>
      <w:bookmarkStart w:id="95" w:name="P2051"/>
      <w:bookmarkEnd w:id="95"/>
      <w:r>
        <w:t>Таблица 7.2</w:t>
      </w:r>
    </w:p>
    <w:p w:rsidR="00212513" w:rsidRDefault="00212513">
      <w:pPr>
        <w:pStyle w:val="ConsPlusNormal"/>
        <w:jc w:val="center"/>
      </w:pPr>
    </w:p>
    <w:p w:rsidR="00212513" w:rsidRDefault="00212513">
      <w:pPr>
        <w:pStyle w:val="ConsPlusNormal"/>
        <w:jc w:val="center"/>
      </w:pPr>
      <w:r>
        <w:t xml:space="preserve">(таблица 7.2 в ред. </w:t>
      </w:r>
      <w:hyperlink r:id="rId582">
        <w:r>
          <w:rPr>
            <w:color w:val="0000FF"/>
          </w:rPr>
          <w:t>Изменения N 3</w:t>
        </w:r>
      </w:hyperlink>
      <w:r>
        <w:t>, утв. Приказом</w:t>
      </w:r>
    </w:p>
    <w:p w:rsidR="00212513" w:rsidRDefault="00212513">
      <w:pPr>
        <w:pStyle w:val="ConsPlusNormal"/>
        <w:jc w:val="center"/>
      </w:pPr>
      <w:r>
        <w:t>Минстроя России от 29.12.2020 N 891/пр)</w:t>
      </w:r>
    </w:p>
    <w:p w:rsidR="00212513" w:rsidRDefault="0021251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247"/>
        <w:gridCol w:w="794"/>
        <w:gridCol w:w="794"/>
        <w:gridCol w:w="888"/>
        <w:gridCol w:w="794"/>
        <w:gridCol w:w="794"/>
        <w:gridCol w:w="794"/>
        <w:gridCol w:w="794"/>
        <w:gridCol w:w="964"/>
      </w:tblGrid>
      <w:tr w:rsidR="00212513">
        <w:tc>
          <w:tcPr>
            <w:tcW w:w="1191" w:type="dxa"/>
            <w:vMerge w:val="restart"/>
            <w:tcBorders>
              <w:top w:val="single" w:sz="4" w:space="0" w:color="auto"/>
              <w:bottom w:val="single" w:sz="4" w:space="0" w:color="auto"/>
            </w:tcBorders>
            <w:vAlign w:val="center"/>
          </w:tcPr>
          <w:p w:rsidR="00212513" w:rsidRDefault="00212513">
            <w:pPr>
              <w:pStyle w:val="ConsPlusNormal"/>
              <w:jc w:val="center"/>
            </w:pPr>
            <w:r>
              <w:t>Класс канатов</w:t>
            </w:r>
          </w:p>
        </w:tc>
        <w:tc>
          <w:tcPr>
            <w:tcW w:w="1247" w:type="dxa"/>
            <w:vMerge w:val="restart"/>
            <w:tcBorders>
              <w:top w:val="single" w:sz="4" w:space="0" w:color="auto"/>
              <w:bottom w:val="single" w:sz="4" w:space="0" w:color="auto"/>
            </w:tcBorders>
            <w:vAlign w:val="center"/>
          </w:tcPr>
          <w:p w:rsidR="00212513" w:rsidRDefault="00212513">
            <w:pPr>
              <w:pStyle w:val="ConsPlusNormal"/>
              <w:jc w:val="center"/>
            </w:pPr>
            <w:r>
              <w:t>Диаметр, мм</w:t>
            </w:r>
          </w:p>
        </w:tc>
        <w:tc>
          <w:tcPr>
            <w:tcW w:w="6616" w:type="dxa"/>
            <w:gridSpan w:val="8"/>
            <w:tcBorders>
              <w:top w:val="single" w:sz="4" w:space="0" w:color="auto"/>
              <w:bottom w:val="single" w:sz="4" w:space="0" w:color="auto"/>
            </w:tcBorders>
            <w:vAlign w:val="center"/>
          </w:tcPr>
          <w:p w:rsidR="00212513" w:rsidRDefault="00212513">
            <w:pPr>
              <w:pStyle w:val="ConsPlusNormal"/>
              <w:jc w:val="center"/>
            </w:pPr>
            <w:r>
              <w:t xml:space="preserve">Длина зоны передачи на бетон усилий </w:t>
            </w:r>
            <w:r>
              <w:rPr>
                <w:i/>
              </w:rPr>
              <w:t>l</w:t>
            </w:r>
            <w:r>
              <w:rPr>
                <w:i/>
                <w:vertAlign w:val="subscript"/>
              </w:rPr>
              <w:t>rp</w:t>
            </w:r>
            <w:r>
              <w:rPr>
                <w:i/>
              </w:rPr>
              <w:t>,</w:t>
            </w:r>
            <w:r>
              <w:t xml:space="preserve"> см, при передаточной прочности бетона, отвечающей бетону классов по прочности на сжатие</w:t>
            </w:r>
          </w:p>
        </w:tc>
      </w:tr>
      <w:tr w:rsidR="00212513">
        <w:tc>
          <w:tcPr>
            <w:tcW w:w="1191" w:type="dxa"/>
            <w:vMerge/>
            <w:tcBorders>
              <w:top w:val="single" w:sz="4" w:space="0" w:color="auto"/>
              <w:bottom w:val="single" w:sz="4" w:space="0" w:color="auto"/>
            </w:tcBorders>
          </w:tcPr>
          <w:p w:rsidR="00212513" w:rsidRDefault="00212513">
            <w:pPr>
              <w:pStyle w:val="ConsPlusNormal"/>
            </w:pPr>
          </w:p>
        </w:tc>
        <w:tc>
          <w:tcPr>
            <w:tcW w:w="1247" w:type="dxa"/>
            <w:vMerge/>
            <w:tcBorders>
              <w:top w:val="single" w:sz="4" w:space="0" w:color="auto"/>
              <w:bottom w:val="single" w:sz="4" w:space="0" w:color="auto"/>
            </w:tcBorders>
          </w:tcPr>
          <w:p w:rsidR="00212513" w:rsidRDefault="00212513">
            <w:pPr>
              <w:pStyle w:val="ConsPlusNormal"/>
            </w:pPr>
          </w:p>
        </w:tc>
        <w:tc>
          <w:tcPr>
            <w:tcW w:w="794" w:type="dxa"/>
            <w:tcBorders>
              <w:top w:val="single" w:sz="4" w:space="0" w:color="auto"/>
              <w:bottom w:val="single" w:sz="4" w:space="0" w:color="auto"/>
            </w:tcBorders>
            <w:vAlign w:val="center"/>
          </w:tcPr>
          <w:p w:rsidR="00212513" w:rsidRDefault="00212513">
            <w:pPr>
              <w:pStyle w:val="ConsPlusNormal"/>
              <w:jc w:val="center"/>
            </w:pPr>
            <w:r>
              <w:t>B22,5</w:t>
            </w:r>
          </w:p>
        </w:tc>
        <w:tc>
          <w:tcPr>
            <w:tcW w:w="794" w:type="dxa"/>
            <w:tcBorders>
              <w:top w:val="single" w:sz="4" w:space="0" w:color="auto"/>
              <w:bottom w:val="single" w:sz="4" w:space="0" w:color="auto"/>
            </w:tcBorders>
            <w:vAlign w:val="center"/>
          </w:tcPr>
          <w:p w:rsidR="00212513" w:rsidRDefault="00212513">
            <w:pPr>
              <w:pStyle w:val="ConsPlusNormal"/>
              <w:jc w:val="center"/>
            </w:pPr>
            <w:r>
              <w:t>B25</w:t>
            </w:r>
          </w:p>
        </w:tc>
        <w:tc>
          <w:tcPr>
            <w:tcW w:w="888" w:type="dxa"/>
            <w:tcBorders>
              <w:top w:val="single" w:sz="4" w:space="0" w:color="auto"/>
              <w:bottom w:val="single" w:sz="4" w:space="0" w:color="auto"/>
            </w:tcBorders>
            <w:vAlign w:val="center"/>
          </w:tcPr>
          <w:p w:rsidR="00212513" w:rsidRDefault="00212513">
            <w:pPr>
              <w:pStyle w:val="ConsPlusNormal"/>
              <w:jc w:val="center"/>
            </w:pPr>
            <w:r>
              <w:t>B27,5</w:t>
            </w:r>
          </w:p>
        </w:tc>
        <w:tc>
          <w:tcPr>
            <w:tcW w:w="794" w:type="dxa"/>
            <w:tcBorders>
              <w:top w:val="single" w:sz="4" w:space="0" w:color="auto"/>
              <w:bottom w:val="single" w:sz="4" w:space="0" w:color="auto"/>
            </w:tcBorders>
            <w:vAlign w:val="center"/>
          </w:tcPr>
          <w:p w:rsidR="00212513" w:rsidRDefault="00212513">
            <w:pPr>
              <w:pStyle w:val="ConsPlusNormal"/>
              <w:jc w:val="center"/>
            </w:pPr>
            <w:r>
              <w:t>B30</w:t>
            </w:r>
          </w:p>
        </w:tc>
        <w:tc>
          <w:tcPr>
            <w:tcW w:w="794" w:type="dxa"/>
            <w:tcBorders>
              <w:top w:val="single" w:sz="4" w:space="0" w:color="auto"/>
              <w:bottom w:val="single" w:sz="4" w:space="0" w:color="auto"/>
            </w:tcBorders>
            <w:vAlign w:val="center"/>
          </w:tcPr>
          <w:p w:rsidR="00212513" w:rsidRDefault="00212513">
            <w:pPr>
              <w:pStyle w:val="ConsPlusNormal"/>
              <w:jc w:val="center"/>
            </w:pPr>
            <w:r>
              <w:t>B35</w:t>
            </w:r>
          </w:p>
        </w:tc>
        <w:tc>
          <w:tcPr>
            <w:tcW w:w="794" w:type="dxa"/>
            <w:tcBorders>
              <w:top w:val="single" w:sz="4" w:space="0" w:color="auto"/>
              <w:bottom w:val="single" w:sz="4" w:space="0" w:color="auto"/>
            </w:tcBorders>
            <w:vAlign w:val="center"/>
          </w:tcPr>
          <w:p w:rsidR="00212513" w:rsidRDefault="00212513">
            <w:pPr>
              <w:pStyle w:val="ConsPlusNormal"/>
              <w:jc w:val="center"/>
            </w:pPr>
            <w:r>
              <w:t>B40</w:t>
            </w:r>
          </w:p>
        </w:tc>
        <w:tc>
          <w:tcPr>
            <w:tcW w:w="794" w:type="dxa"/>
            <w:tcBorders>
              <w:top w:val="single" w:sz="4" w:space="0" w:color="auto"/>
              <w:bottom w:val="single" w:sz="4" w:space="0" w:color="auto"/>
            </w:tcBorders>
            <w:vAlign w:val="center"/>
          </w:tcPr>
          <w:p w:rsidR="00212513" w:rsidRDefault="00212513">
            <w:pPr>
              <w:pStyle w:val="ConsPlusNormal"/>
              <w:jc w:val="center"/>
            </w:pPr>
            <w:r>
              <w:t>B45</w:t>
            </w:r>
          </w:p>
        </w:tc>
        <w:tc>
          <w:tcPr>
            <w:tcW w:w="964" w:type="dxa"/>
            <w:tcBorders>
              <w:top w:val="single" w:sz="4" w:space="0" w:color="auto"/>
              <w:bottom w:val="single" w:sz="4" w:space="0" w:color="auto"/>
            </w:tcBorders>
            <w:vAlign w:val="center"/>
          </w:tcPr>
          <w:p w:rsidR="00212513" w:rsidRDefault="00212513">
            <w:pPr>
              <w:pStyle w:val="ConsPlusNormal"/>
              <w:jc w:val="center"/>
            </w:pPr>
            <w:r>
              <w:t>B50 и более</w:t>
            </w:r>
          </w:p>
        </w:tc>
      </w:tr>
      <w:tr w:rsidR="00212513">
        <w:tblPrEx>
          <w:tblBorders>
            <w:insideH w:val="none" w:sz="0" w:space="0" w:color="auto"/>
            <w:insideV w:val="none" w:sz="0" w:space="0" w:color="auto"/>
          </w:tblBorders>
        </w:tblPrEx>
        <w:tc>
          <w:tcPr>
            <w:tcW w:w="1191" w:type="dxa"/>
            <w:tcBorders>
              <w:top w:val="single" w:sz="4" w:space="0" w:color="auto"/>
              <w:left w:val="single" w:sz="4" w:space="0" w:color="auto"/>
              <w:bottom w:val="nil"/>
              <w:right w:val="nil"/>
            </w:tcBorders>
            <w:vAlign w:val="center"/>
          </w:tcPr>
          <w:p w:rsidR="00212513" w:rsidRDefault="00212513">
            <w:pPr>
              <w:pStyle w:val="ConsPlusNormal"/>
              <w:jc w:val="center"/>
            </w:pPr>
            <w:r>
              <w:t>К7-1500</w:t>
            </w:r>
          </w:p>
        </w:tc>
        <w:tc>
          <w:tcPr>
            <w:tcW w:w="1247" w:type="dxa"/>
            <w:tcBorders>
              <w:top w:val="single" w:sz="4" w:space="0" w:color="auto"/>
              <w:left w:val="nil"/>
              <w:bottom w:val="nil"/>
              <w:right w:val="nil"/>
            </w:tcBorders>
            <w:vAlign w:val="center"/>
          </w:tcPr>
          <w:p w:rsidR="00212513" w:rsidRDefault="00212513">
            <w:pPr>
              <w:pStyle w:val="ConsPlusNormal"/>
              <w:jc w:val="center"/>
            </w:pPr>
            <w:r>
              <w:t>9</w:t>
            </w:r>
          </w:p>
        </w:tc>
        <w:tc>
          <w:tcPr>
            <w:tcW w:w="794" w:type="dxa"/>
            <w:tcBorders>
              <w:top w:val="single" w:sz="4" w:space="0" w:color="auto"/>
              <w:left w:val="nil"/>
              <w:bottom w:val="nil"/>
              <w:right w:val="nil"/>
            </w:tcBorders>
            <w:vAlign w:val="center"/>
          </w:tcPr>
          <w:p w:rsidR="00212513" w:rsidRDefault="00212513">
            <w:pPr>
              <w:pStyle w:val="ConsPlusNormal"/>
              <w:jc w:val="center"/>
            </w:pPr>
            <w:r>
              <w:t>88</w:t>
            </w:r>
          </w:p>
        </w:tc>
        <w:tc>
          <w:tcPr>
            <w:tcW w:w="794" w:type="dxa"/>
            <w:tcBorders>
              <w:top w:val="single" w:sz="4" w:space="0" w:color="auto"/>
              <w:left w:val="nil"/>
              <w:bottom w:val="nil"/>
              <w:right w:val="nil"/>
            </w:tcBorders>
            <w:vAlign w:val="center"/>
          </w:tcPr>
          <w:p w:rsidR="00212513" w:rsidRDefault="00212513">
            <w:pPr>
              <w:pStyle w:val="ConsPlusNormal"/>
              <w:jc w:val="center"/>
            </w:pPr>
            <w:r>
              <w:t>85</w:t>
            </w:r>
          </w:p>
        </w:tc>
        <w:tc>
          <w:tcPr>
            <w:tcW w:w="888" w:type="dxa"/>
            <w:tcBorders>
              <w:top w:val="single" w:sz="4" w:space="0" w:color="auto"/>
              <w:left w:val="nil"/>
              <w:bottom w:val="nil"/>
              <w:right w:val="nil"/>
            </w:tcBorders>
            <w:vAlign w:val="center"/>
          </w:tcPr>
          <w:p w:rsidR="00212513" w:rsidRDefault="00212513">
            <w:pPr>
              <w:pStyle w:val="ConsPlusNormal"/>
              <w:jc w:val="center"/>
            </w:pPr>
            <w:r>
              <w:t>83</w:t>
            </w:r>
          </w:p>
        </w:tc>
        <w:tc>
          <w:tcPr>
            <w:tcW w:w="794" w:type="dxa"/>
            <w:tcBorders>
              <w:top w:val="single" w:sz="4" w:space="0" w:color="auto"/>
              <w:left w:val="nil"/>
              <w:bottom w:val="nil"/>
              <w:right w:val="nil"/>
            </w:tcBorders>
            <w:vAlign w:val="center"/>
          </w:tcPr>
          <w:p w:rsidR="00212513" w:rsidRDefault="00212513">
            <w:pPr>
              <w:pStyle w:val="ConsPlusNormal"/>
              <w:jc w:val="center"/>
            </w:pPr>
            <w:r>
              <w:t>80</w:t>
            </w:r>
          </w:p>
        </w:tc>
        <w:tc>
          <w:tcPr>
            <w:tcW w:w="794" w:type="dxa"/>
            <w:tcBorders>
              <w:top w:val="single" w:sz="4" w:space="0" w:color="auto"/>
              <w:left w:val="nil"/>
              <w:bottom w:val="nil"/>
              <w:right w:val="nil"/>
            </w:tcBorders>
            <w:vAlign w:val="center"/>
          </w:tcPr>
          <w:p w:rsidR="00212513" w:rsidRDefault="00212513">
            <w:pPr>
              <w:pStyle w:val="ConsPlusNormal"/>
              <w:jc w:val="center"/>
            </w:pPr>
            <w:r>
              <w:t>75</w:t>
            </w:r>
          </w:p>
        </w:tc>
        <w:tc>
          <w:tcPr>
            <w:tcW w:w="794" w:type="dxa"/>
            <w:tcBorders>
              <w:top w:val="single" w:sz="4" w:space="0" w:color="auto"/>
              <w:left w:val="nil"/>
              <w:bottom w:val="nil"/>
              <w:right w:val="nil"/>
            </w:tcBorders>
            <w:vAlign w:val="center"/>
          </w:tcPr>
          <w:p w:rsidR="00212513" w:rsidRDefault="00212513">
            <w:pPr>
              <w:pStyle w:val="ConsPlusNormal"/>
              <w:jc w:val="center"/>
            </w:pPr>
            <w:r>
              <w:t>70</w:t>
            </w:r>
          </w:p>
        </w:tc>
        <w:tc>
          <w:tcPr>
            <w:tcW w:w="794" w:type="dxa"/>
            <w:tcBorders>
              <w:top w:val="single" w:sz="4" w:space="0" w:color="auto"/>
              <w:left w:val="nil"/>
              <w:bottom w:val="nil"/>
              <w:right w:val="nil"/>
            </w:tcBorders>
            <w:vAlign w:val="center"/>
          </w:tcPr>
          <w:p w:rsidR="00212513" w:rsidRDefault="00212513">
            <w:pPr>
              <w:pStyle w:val="ConsPlusNormal"/>
              <w:jc w:val="center"/>
            </w:pPr>
            <w:r>
              <w:t>65</w:t>
            </w:r>
          </w:p>
        </w:tc>
        <w:tc>
          <w:tcPr>
            <w:tcW w:w="964" w:type="dxa"/>
            <w:tcBorders>
              <w:top w:val="single" w:sz="4" w:space="0" w:color="auto"/>
              <w:left w:val="nil"/>
              <w:bottom w:val="nil"/>
              <w:right w:val="single" w:sz="4" w:space="0" w:color="auto"/>
            </w:tcBorders>
            <w:vAlign w:val="center"/>
          </w:tcPr>
          <w:p w:rsidR="00212513" w:rsidRDefault="00212513">
            <w:pPr>
              <w:pStyle w:val="ConsPlusNormal"/>
              <w:jc w:val="center"/>
            </w:pPr>
            <w:r>
              <w:t>60</w:t>
            </w:r>
          </w:p>
        </w:tc>
      </w:tr>
      <w:tr w:rsidR="00212513">
        <w:tblPrEx>
          <w:tblBorders>
            <w:insideH w:val="none" w:sz="0" w:space="0" w:color="auto"/>
            <w:insideV w:val="none" w:sz="0" w:space="0" w:color="auto"/>
          </w:tblBorders>
        </w:tblPrEx>
        <w:tc>
          <w:tcPr>
            <w:tcW w:w="1191" w:type="dxa"/>
            <w:tcBorders>
              <w:top w:val="nil"/>
              <w:left w:val="single" w:sz="4" w:space="0" w:color="auto"/>
              <w:bottom w:val="nil"/>
              <w:right w:val="nil"/>
            </w:tcBorders>
            <w:vAlign w:val="center"/>
          </w:tcPr>
          <w:p w:rsidR="00212513" w:rsidRDefault="00212513">
            <w:pPr>
              <w:pStyle w:val="ConsPlusNormal"/>
              <w:jc w:val="center"/>
            </w:pPr>
            <w:r>
              <w:t>К7-1500</w:t>
            </w:r>
          </w:p>
        </w:tc>
        <w:tc>
          <w:tcPr>
            <w:tcW w:w="1247" w:type="dxa"/>
            <w:tcBorders>
              <w:top w:val="nil"/>
              <w:left w:val="nil"/>
              <w:bottom w:val="nil"/>
              <w:right w:val="nil"/>
            </w:tcBorders>
            <w:vAlign w:val="center"/>
          </w:tcPr>
          <w:p w:rsidR="00212513" w:rsidRDefault="00212513">
            <w:pPr>
              <w:pStyle w:val="ConsPlusNormal"/>
              <w:jc w:val="center"/>
            </w:pPr>
            <w:r>
              <w:t>12</w:t>
            </w:r>
          </w:p>
        </w:tc>
        <w:tc>
          <w:tcPr>
            <w:tcW w:w="794" w:type="dxa"/>
            <w:tcBorders>
              <w:top w:val="nil"/>
              <w:left w:val="nil"/>
              <w:bottom w:val="nil"/>
              <w:right w:val="nil"/>
            </w:tcBorders>
            <w:vAlign w:val="center"/>
          </w:tcPr>
          <w:p w:rsidR="00212513" w:rsidRDefault="00212513">
            <w:pPr>
              <w:pStyle w:val="ConsPlusNormal"/>
              <w:jc w:val="center"/>
            </w:pPr>
            <w:r>
              <w:t>98</w:t>
            </w:r>
          </w:p>
        </w:tc>
        <w:tc>
          <w:tcPr>
            <w:tcW w:w="794" w:type="dxa"/>
            <w:tcBorders>
              <w:top w:val="nil"/>
              <w:left w:val="nil"/>
              <w:bottom w:val="nil"/>
              <w:right w:val="nil"/>
            </w:tcBorders>
            <w:vAlign w:val="center"/>
          </w:tcPr>
          <w:p w:rsidR="00212513" w:rsidRDefault="00212513">
            <w:pPr>
              <w:pStyle w:val="ConsPlusNormal"/>
              <w:jc w:val="center"/>
            </w:pPr>
            <w:r>
              <w:t>95</w:t>
            </w:r>
          </w:p>
        </w:tc>
        <w:tc>
          <w:tcPr>
            <w:tcW w:w="888" w:type="dxa"/>
            <w:tcBorders>
              <w:top w:val="nil"/>
              <w:left w:val="nil"/>
              <w:bottom w:val="nil"/>
              <w:right w:val="nil"/>
            </w:tcBorders>
            <w:vAlign w:val="center"/>
          </w:tcPr>
          <w:p w:rsidR="00212513" w:rsidRDefault="00212513">
            <w:pPr>
              <w:pStyle w:val="ConsPlusNormal"/>
              <w:jc w:val="center"/>
            </w:pPr>
            <w:r>
              <w:t>93</w:t>
            </w:r>
          </w:p>
        </w:tc>
        <w:tc>
          <w:tcPr>
            <w:tcW w:w="794" w:type="dxa"/>
            <w:tcBorders>
              <w:top w:val="nil"/>
              <w:left w:val="nil"/>
              <w:bottom w:val="nil"/>
              <w:right w:val="nil"/>
            </w:tcBorders>
            <w:vAlign w:val="center"/>
          </w:tcPr>
          <w:p w:rsidR="00212513" w:rsidRDefault="00212513">
            <w:pPr>
              <w:pStyle w:val="ConsPlusNormal"/>
              <w:jc w:val="center"/>
            </w:pPr>
            <w:r>
              <w:t>90</w:t>
            </w:r>
          </w:p>
        </w:tc>
        <w:tc>
          <w:tcPr>
            <w:tcW w:w="794" w:type="dxa"/>
            <w:tcBorders>
              <w:top w:val="nil"/>
              <w:left w:val="nil"/>
              <w:bottom w:val="nil"/>
              <w:right w:val="nil"/>
            </w:tcBorders>
            <w:vAlign w:val="center"/>
          </w:tcPr>
          <w:p w:rsidR="00212513" w:rsidRDefault="00212513">
            <w:pPr>
              <w:pStyle w:val="ConsPlusNormal"/>
              <w:jc w:val="center"/>
            </w:pPr>
            <w:r>
              <w:t>87</w:t>
            </w:r>
          </w:p>
        </w:tc>
        <w:tc>
          <w:tcPr>
            <w:tcW w:w="794" w:type="dxa"/>
            <w:tcBorders>
              <w:top w:val="nil"/>
              <w:left w:val="nil"/>
              <w:bottom w:val="nil"/>
              <w:right w:val="nil"/>
            </w:tcBorders>
            <w:vAlign w:val="center"/>
          </w:tcPr>
          <w:p w:rsidR="00212513" w:rsidRDefault="00212513">
            <w:pPr>
              <w:pStyle w:val="ConsPlusNormal"/>
              <w:jc w:val="center"/>
            </w:pPr>
            <w:r>
              <w:t>85</w:t>
            </w:r>
          </w:p>
        </w:tc>
        <w:tc>
          <w:tcPr>
            <w:tcW w:w="794" w:type="dxa"/>
            <w:tcBorders>
              <w:top w:val="nil"/>
              <w:left w:val="nil"/>
              <w:bottom w:val="nil"/>
              <w:right w:val="nil"/>
            </w:tcBorders>
            <w:vAlign w:val="center"/>
          </w:tcPr>
          <w:p w:rsidR="00212513" w:rsidRDefault="00212513">
            <w:pPr>
              <w:pStyle w:val="ConsPlusNormal"/>
              <w:jc w:val="center"/>
            </w:pPr>
            <w:r>
              <w:t>75</w:t>
            </w:r>
          </w:p>
        </w:tc>
        <w:tc>
          <w:tcPr>
            <w:tcW w:w="964" w:type="dxa"/>
            <w:tcBorders>
              <w:top w:val="nil"/>
              <w:left w:val="nil"/>
              <w:bottom w:val="nil"/>
              <w:right w:val="single" w:sz="4" w:space="0" w:color="auto"/>
            </w:tcBorders>
            <w:vAlign w:val="center"/>
          </w:tcPr>
          <w:p w:rsidR="00212513" w:rsidRDefault="00212513">
            <w:pPr>
              <w:pStyle w:val="ConsPlusNormal"/>
              <w:jc w:val="center"/>
            </w:pPr>
            <w:r>
              <w:t>70</w:t>
            </w:r>
          </w:p>
        </w:tc>
      </w:tr>
      <w:tr w:rsidR="00212513">
        <w:tblPrEx>
          <w:tblBorders>
            <w:insideH w:val="none" w:sz="0" w:space="0" w:color="auto"/>
            <w:insideV w:val="none" w:sz="0" w:space="0" w:color="auto"/>
          </w:tblBorders>
        </w:tblPrEx>
        <w:tc>
          <w:tcPr>
            <w:tcW w:w="1191" w:type="dxa"/>
            <w:tcBorders>
              <w:top w:val="nil"/>
              <w:left w:val="single" w:sz="4" w:space="0" w:color="auto"/>
              <w:bottom w:val="nil"/>
              <w:right w:val="nil"/>
            </w:tcBorders>
            <w:vAlign w:val="center"/>
          </w:tcPr>
          <w:p w:rsidR="00212513" w:rsidRDefault="00212513">
            <w:pPr>
              <w:pStyle w:val="ConsPlusNormal"/>
              <w:jc w:val="center"/>
            </w:pPr>
            <w:r>
              <w:t>К7-1400</w:t>
            </w:r>
          </w:p>
        </w:tc>
        <w:tc>
          <w:tcPr>
            <w:tcW w:w="1247" w:type="dxa"/>
            <w:tcBorders>
              <w:top w:val="nil"/>
              <w:left w:val="nil"/>
              <w:bottom w:val="nil"/>
              <w:right w:val="nil"/>
            </w:tcBorders>
            <w:vAlign w:val="center"/>
          </w:tcPr>
          <w:p w:rsidR="00212513" w:rsidRDefault="00212513">
            <w:pPr>
              <w:pStyle w:val="ConsPlusNormal"/>
              <w:jc w:val="center"/>
            </w:pPr>
            <w:r>
              <w:t>15,2</w:t>
            </w:r>
          </w:p>
        </w:tc>
        <w:tc>
          <w:tcPr>
            <w:tcW w:w="794" w:type="dxa"/>
            <w:tcBorders>
              <w:top w:val="nil"/>
              <w:left w:val="nil"/>
              <w:bottom w:val="nil"/>
              <w:right w:val="nil"/>
            </w:tcBorders>
            <w:vAlign w:val="center"/>
          </w:tcPr>
          <w:p w:rsidR="00212513" w:rsidRDefault="00212513">
            <w:pPr>
              <w:pStyle w:val="ConsPlusNormal"/>
              <w:jc w:val="center"/>
            </w:pPr>
            <w:r>
              <w:t>115</w:t>
            </w:r>
          </w:p>
        </w:tc>
        <w:tc>
          <w:tcPr>
            <w:tcW w:w="794" w:type="dxa"/>
            <w:tcBorders>
              <w:top w:val="nil"/>
              <w:left w:val="nil"/>
              <w:bottom w:val="nil"/>
              <w:right w:val="nil"/>
            </w:tcBorders>
            <w:vAlign w:val="center"/>
          </w:tcPr>
          <w:p w:rsidR="00212513" w:rsidRDefault="00212513">
            <w:pPr>
              <w:pStyle w:val="ConsPlusNormal"/>
              <w:jc w:val="center"/>
            </w:pPr>
            <w:r>
              <w:t>110</w:t>
            </w:r>
          </w:p>
        </w:tc>
        <w:tc>
          <w:tcPr>
            <w:tcW w:w="888" w:type="dxa"/>
            <w:tcBorders>
              <w:top w:val="nil"/>
              <w:left w:val="nil"/>
              <w:bottom w:val="nil"/>
              <w:right w:val="nil"/>
            </w:tcBorders>
            <w:vAlign w:val="center"/>
          </w:tcPr>
          <w:p w:rsidR="00212513" w:rsidRDefault="00212513">
            <w:pPr>
              <w:pStyle w:val="ConsPlusNormal"/>
              <w:jc w:val="center"/>
            </w:pPr>
            <w:r>
              <w:t>105</w:t>
            </w:r>
          </w:p>
        </w:tc>
        <w:tc>
          <w:tcPr>
            <w:tcW w:w="794" w:type="dxa"/>
            <w:tcBorders>
              <w:top w:val="nil"/>
              <w:left w:val="nil"/>
              <w:bottom w:val="nil"/>
              <w:right w:val="nil"/>
            </w:tcBorders>
            <w:vAlign w:val="center"/>
          </w:tcPr>
          <w:p w:rsidR="00212513" w:rsidRDefault="00212513">
            <w:pPr>
              <w:pStyle w:val="ConsPlusNormal"/>
              <w:jc w:val="center"/>
            </w:pPr>
            <w:r>
              <w:t>100</w:t>
            </w:r>
          </w:p>
        </w:tc>
        <w:tc>
          <w:tcPr>
            <w:tcW w:w="794" w:type="dxa"/>
            <w:tcBorders>
              <w:top w:val="nil"/>
              <w:left w:val="nil"/>
              <w:bottom w:val="nil"/>
              <w:right w:val="nil"/>
            </w:tcBorders>
            <w:vAlign w:val="center"/>
          </w:tcPr>
          <w:p w:rsidR="00212513" w:rsidRDefault="00212513">
            <w:pPr>
              <w:pStyle w:val="ConsPlusNormal"/>
              <w:jc w:val="center"/>
            </w:pPr>
            <w:r>
              <w:t>95</w:t>
            </w:r>
          </w:p>
        </w:tc>
        <w:tc>
          <w:tcPr>
            <w:tcW w:w="794" w:type="dxa"/>
            <w:tcBorders>
              <w:top w:val="nil"/>
              <w:left w:val="nil"/>
              <w:bottom w:val="nil"/>
              <w:right w:val="nil"/>
            </w:tcBorders>
            <w:vAlign w:val="center"/>
          </w:tcPr>
          <w:p w:rsidR="00212513" w:rsidRDefault="00212513">
            <w:pPr>
              <w:pStyle w:val="ConsPlusNormal"/>
              <w:jc w:val="center"/>
            </w:pPr>
            <w:r>
              <w:t>90</w:t>
            </w:r>
          </w:p>
        </w:tc>
        <w:tc>
          <w:tcPr>
            <w:tcW w:w="794" w:type="dxa"/>
            <w:tcBorders>
              <w:top w:val="nil"/>
              <w:left w:val="nil"/>
              <w:bottom w:val="nil"/>
              <w:right w:val="nil"/>
            </w:tcBorders>
            <w:vAlign w:val="center"/>
          </w:tcPr>
          <w:p w:rsidR="00212513" w:rsidRDefault="00212513">
            <w:pPr>
              <w:pStyle w:val="ConsPlusNormal"/>
              <w:jc w:val="center"/>
            </w:pPr>
            <w:r>
              <w:t>85</w:t>
            </w:r>
          </w:p>
        </w:tc>
        <w:tc>
          <w:tcPr>
            <w:tcW w:w="964" w:type="dxa"/>
            <w:tcBorders>
              <w:top w:val="nil"/>
              <w:left w:val="nil"/>
              <w:bottom w:val="nil"/>
              <w:right w:val="single" w:sz="4" w:space="0" w:color="auto"/>
            </w:tcBorders>
            <w:vAlign w:val="center"/>
          </w:tcPr>
          <w:p w:rsidR="00212513" w:rsidRDefault="00212513">
            <w:pPr>
              <w:pStyle w:val="ConsPlusNormal"/>
              <w:jc w:val="center"/>
            </w:pPr>
            <w:r>
              <w:t>80</w:t>
            </w:r>
          </w:p>
        </w:tc>
      </w:tr>
      <w:tr w:rsidR="00212513">
        <w:tblPrEx>
          <w:tblBorders>
            <w:insideH w:val="none" w:sz="0" w:space="0" w:color="auto"/>
            <w:insideV w:val="none" w:sz="0" w:space="0" w:color="auto"/>
          </w:tblBorders>
        </w:tblPrEx>
        <w:tc>
          <w:tcPr>
            <w:tcW w:w="1191" w:type="dxa"/>
            <w:tcBorders>
              <w:top w:val="nil"/>
              <w:left w:val="single" w:sz="4" w:space="0" w:color="auto"/>
              <w:bottom w:val="nil"/>
              <w:right w:val="nil"/>
            </w:tcBorders>
            <w:vAlign w:val="center"/>
          </w:tcPr>
          <w:p w:rsidR="00212513" w:rsidRDefault="00212513">
            <w:pPr>
              <w:pStyle w:val="ConsPlusNormal"/>
              <w:jc w:val="center"/>
            </w:pPr>
            <w:r>
              <w:t>К7-1670</w:t>
            </w:r>
          </w:p>
        </w:tc>
        <w:tc>
          <w:tcPr>
            <w:tcW w:w="1247" w:type="dxa"/>
            <w:tcBorders>
              <w:top w:val="nil"/>
              <w:left w:val="nil"/>
              <w:bottom w:val="nil"/>
              <w:right w:val="nil"/>
            </w:tcBorders>
            <w:vAlign w:val="center"/>
          </w:tcPr>
          <w:p w:rsidR="00212513" w:rsidRDefault="00212513">
            <w:pPr>
              <w:pStyle w:val="ConsPlusNormal"/>
              <w:jc w:val="center"/>
            </w:pPr>
            <w:r>
              <w:t>15,2</w:t>
            </w:r>
          </w:p>
        </w:tc>
        <w:tc>
          <w:tcPr>
            <w:tcW w:w="794" w:type="dxa"/>
            <w:tcBorders>
              <w:top w:val="nil"/>
              <w:left w:val="nil"/>
              <w:bottom w:val="nil"/>
              <w:right w:val="nil"/>
            </w:tcBorders>
            <w:vAlign w:val="center"/>
          </w:tcPr>
          <w:p w:rsidR="00212513" w:rsidRDefault="00212513">
            <w:pPr>
              <w:pStyle w:val="ConsPlusNormal"/>
              <w:jc w:val="center"/>
            </w:pPr>
            <w:r>
              <w:t>121</w:t>
            </w:r>
          </w:p>
        </w:tc>
        <w:tc>
          <w:tcPr>
            <w:tcW w:w="794" w:type="dxa"/>
            <w:tcBorders>
              <w:top w:val="nil"/>
              <w:left w:val="nil"/>
              <w:bottom w:val="nil"/>
              <w:right w:val="nil"/>
            </w:tcBorders>
            <w:vAlign w:val="center"/>
          </w:tcPr>
          <w:p w:rsidR="00212513" w:rsidRDefault="00212513">
            <w:pPr>
              <w:pStyle w:val="ConsPlusNormal"/>
              <w:jc w:val="center"/>
            </w:pPr>
            <w:r>
              <w:t>116</w:t>
            </w:r>
          </w:p>
        </w:tc>
        <w:tc>
          <w:tcPr>
            <w:tcW w:w="888" w:type="dxa"/>
            <w:tcBorders>
              <w:top w:val="nil"/>
              <w:left w:val="nil"/>
              <w:bottom w:val="nil"/>
              <w:right w:val="nil"/>
            </w:tcBorders>
            <w:vAlign w:val="center"/>
          </w:tcPr>
          <w:p w:rsidR="00212513" w:rsidRDefault="00212513">
            <w:pPr>
              <w:pStyle w:val="ConsPlusNormal"/>
              <w:jc w:val="center"/>
            </w:pPr>
            <w:r>
              <w:t>110</w:t>
            </w:r>
          </w:p>
        </w:tc>
        <w:tc>
          <w:tcPr>
            <w:tcW w:w="794" w:type="dxa"/>
            <w:tcBorders>
              <w:top w:val="nil"/>
              <w:left w:val="nil"/>
              <w:bottom w:val="nil"/>
              <w:right w:val="nil"/>
            </w:tcBorders>
            <w:vAlign w:val="center"/>
          </w:tcPr>
          <w:p w:rsidR="00212513" w:rsidRDefault="00212513">
            <w:pPr>
              <w:pStyle w:val="ConsPlusNormal"/>
              <w:jc w:val="center"/>
            </w:pPr>
            <w:r>
              <w:t>105</w:t>
            </w:r>
          </w:p>
        </w:tc>
        <w:tc>
          <w:tcPr>
            <w:tcW w:w="794" w:type="dxa"/>
            <w:tcBorders>
              <w:top w:val="nil"/>
              <w:left w:val="nil"/>
              <w:bottom w:val="nil"/>
              <w:right w:val="nil"/>
            </w:tcBorders>
            <w:vAlign w:val="center"/>
          </w:tcPr>
          <w:p w:rsidR="00212513" w:rsidRDefault="00212513">
            <w:pPr>
              <w:pStyle w:val="ConsPlusNormal"/>
              <w:jc w:val="center"/>
            </w:pPr>
            <w:r>
              <w:t>100</w:t>
            </w:r>
          </w:p>
        </w:tc>
        <w:tc>
          <w:tcPr>
            <w:tcW w:w="794" w:type="dxa"/>
            <w:tcBorders>
              <w:top w:val="nil"/>
              <w:left w:val="nil"/>
              <w:bottom w:val="nil"/>
              <w:right w:val="nil"/>
            </w:tcBorders>
            <w:vAlign w:val="center"/>
          </w:tcPr>
          <w:p w:rsidR="00212513" w:rsidRDefault="00212513">
            <w:pPr>
              <w:pStyle w:val="ConsPlusNormal"/>
              <w:jc w:val="center"/>
            </w:pPr>
            <w:r>
              <w:t>95</w:t>
            </w:r>
          </w:p>
        </w:tc>
        <w:tc>
          <w:tcPr>
            <w:tcW w:w="794" w:type="dxa"/>
            <w:tcBorders>
              <w:top w:val="nil"/>
              <w:left w:val="nil"/>
              <w:bottom w:val="nil"/>
              <w:right w:val="nil"/>
            </w:tcBorders>
            <w:vAlign w:val="center"/>
          </w:tcPr>
          <w:p w:rsidR="00212513" w:rsidRDefault="00212513">
            <w:pPr>
              <w:pStyle w:val="ConsPlusNormal"/>
              <w:jc w:val="center"/>
            </w:pPr>
            <w:r>
              <w:t>89</w:t>
            </w:r>
          </w:p>
        </w:tc>
        <w:tc>
          <w:tcPr>
            <w:tcW w:w="964" w:type="dxa"/>
            <w:tcBorders>
              <w:top w:val="nil"/>
              <w:left w:val="nil"/>
              <w:bottom w:val="nil"/>
              <w:right w:val="single" w:sz="4" w:space="0" w:color="auto"/>
            </w:tcBorders>
            <w:vAlign w:val="center"/>
          </w:tcPr>
          <w:p w:rsidR="00212513" w:rsidRDefault="00212513">
            <w:pPr>
              <w:pStyle w:val="ConsPlusNormal"/>
              <w:jc w:val="center"/>
            </w:pPr>
            <w:r>
              <w:t>84</w:t>
            </w:r>
          </w:p>
        </w:tc>
      </w:tr>
      <w:tr w:rsidR="00212513">
        <w:tblPrEx>
          <w:tblBorders>
            <w:insideH w:val="none" w:sz="0" w:space="0" w:color="auto"/>
            <w:insideV w:val="none" w:sz="0" w:space="0" w:color="auto"/>
          </w:tblBorders>
        </w:tblPrEx>
        <w:tc>
          <w:tcPr>
            <w:tcW w:w="1191" w:type="dxa"/>
            <w:tcBorders>
              <w:top w:val="nil"/>
              <w:left w:val="single" w:sz="4" w:space="0" w:color="auto"/>
              <w:bottom w:val="nil"/>
              <w:right w:val="nil"/>
            </w:tcBorders>
            <w:vAlign w:val="center"/>
          </w:tcPr>
          <w:p w:rsidR="00212513" w:rsidRDefault="00212513">
            <w:pPr>
              <w:pStyle w:val="ConsPlusNormal"/>
              <w:jc w:val="center"/>
            </w:pPr>
            <w:r>
              <w:t>К7-1770</w:t>
            </w:r>
          </w:p>
        </w:tc>
        <w:tc>
          <w:tcPr>
            <w:tcW w:w="1247" w:type="dxa"/>
            <w:tcBorders>
              <w:top w:val="nil"/>
              <w:left w:val="nil"/>
              <w:bottom w:val="nil"/>
              <w:right w:val="nil"/>
            </w:tcBorders>
            <w:vAlign w:val="center"/>
          </w:tcPr>
          <w:p w:rsidR="00212513" w:rsidRDefault="00212513">
            <w:pPr>
              <w:pStyle w:val="ConsPlusNormal"/>
              <w:jc w:val="center"/>
            </w:pPr>
            <w:r>
              <w:t>15,2</w:t>
            </w:r>
          </w:p>
        </w:tc>
        <w:tc>
          <w:tcPr>
            <w:tcW w:w="794" w:type="dxa"/>
            <w:tcBorders>
              <w:top w:val="nil"/>
              <w:left w:val="nil"/>
              <w:bottom w:val="nil"/>
              <w:right w:val="nil"/>
            </w:tcBorders>
            <w:vAlign w:val="center"/>
          </w:tcPr>
          <w:p w:rsidR="00212513" w:rsidRDefault="00212513">
            <w:pPr>
              <w:pStyle w:val="ConsPlusNormal"/>
              <w:jc w:val="center"/>
            </w:pPr>
            <w:r>
              <w:t>128</w:t>
            </w:r>
          </w:p>
        </w:tc>
        <w:tc>
          <w:tcPr>
            <w:tcW w:w="794" w:type="dxa"/>
            <w:tcBorders>
              <w:top w:val="nil"/>
              <w:left w:val="nil"/>
              <w:bottom w:val="nil"/>
              <w:right w:val="nil"/>
            </w:tcBorders>
            <w:vAlign w:val="center"/>
          </w:tcPr>
          <w:p w:rsidR="00212513" w:rsidRDefault="00212513">
            <w:pPr>
              <w:pStyle w:val="ConsPlusNormal"/>
              <w:jc w:val="center"/>
            </w:pPr>
            <w:r>
              <w:t>123</w:t>
            </w:r>
          </w:p>
        </w:tc>
        <w:tc>
          <w:tcPr>
            <w:tcW w:w="888" w:type="dxa"/>
            <w:tcBorders>
              <w:top w:val="nil"/>
              <w:left w:val="nil"/>
              <w:bottom w:val="nil"/>
              <w:right w:val="nil"/>
            </w:tcBorders>
            <w:vAlign w:val="center"/>
          </w:tcPr>
          <w:p w:rsidR="00212513" w:rsidRDefault="00212513">
            <w:pPr>
              <w:pStyle w:val="ConsPlusNormal"/>
              <w:jc w:val="center"/>
            </w:pPr>
            <w:r>
              <w:t>117</w:t>
            </w:r>
          </w:p>
        </w:tc>
        <w:tc>
          <w:tcPr>
            <w:tcW w:w="794" w:type="dxa"/>
            <w:tcBorders>
              <w:top w:val="nil"/>
              <w:left w:val="nil"/>
              <w:bottom w:val="nil"/>
              <w:right w:val="nil"/>
            </w:tcBorders>
            <w:vAlign w:val="center"/>
          </w:tcPr>
          <w:p w:rsidR="00212513" w:rsidRDefault="00212513">
            <w:pPr>
              <w:pStyle w:val="ConsPlusNormal"/>
              <w:jc w:val="center"/>
            </w:pPr>
            <w:r>
              <w:t>112</w:t>
            </w:r>
          </w:p>
        </w:tc>
        <w:tc>
          <w:tcPr>
            <w:tcW w:w="794" w:type="dxa"/>
            <w:tcBorders>
              <w:top w:val="nil"/>
              <w:left w:val="nil"/>
              <w:bottom w:val="nil"/>
              <w:right w:val="nil"/>
            </w:tcBorders>
            <w:vAlign w:val="center"/>
          </w:tcPr>
          <w:p w:rsidR="00212513" w:rsidRDefault="00212513">
            <w:pPr>
              <w:pStyle w:val="ConsPlusNormal"/>
              <w:jc w:val="center"/>
            </w:pPr>
            <w:r>
              <w:t>106</w:t>
            </w:r>
          </w:p>
        </w:tc>
        <w:tc>
          <w:tcPr>
            <w:tcW w:w="794" w:type="dxa"/>
            <w:tcBorders>
              <w:top w:val="nil"/>
              <w:left w:val="nil"/>
              <w:bottom w:val="nil"/>
              <w:right w:val="nil"/>
            </w:tcBorders>
            <w:vAlign w:val="center"/>
          </w:tcPr>
          <w:p w:rsidR="00212513" w:rsidRDefault="00212513">
            <w:pPr>
              <w:pStyle w:val="ConsPlusNormal"/>
              <w:jc w:val="center"/>
            </w:pPr>
            <w:r>
              <w:t>100</w:t>
            </w:r>
          </w:p>
        </w:tc>
        <w:tc>
          <w:tcPr>
            <w:tcW w:w="794" w:type="dxa"/>
            <w:tcBorders>
              <w:top w:val="nil"/>
              <w:left w:val="nil"/>
              <w:bottom w:val="nil"/>
              <w:right w:val="nil"/>
            </w:tcBorders>
            <w:vAlign w:val="center"/>
          </w:tcPr>
          <w:p w:rsidR="00212513" w:rsidRDefault="00212513">
            <w:pPr>
              <w:pStyle w:val="ConsPlusNormal"/>
              <w:jc w:val="center"/>
            </w:pPr>
            <w:r>
              <w:t>95</w:t>
            </w:r>
          </w:p>
        </w:tc>
        <w:tc>
          <w:tcPr>
            <w:tcW w:w="964" w:type="dxa"/>
            <w:tcBorders>
              <w:top w:val="nil"/>
              <w:left w:val="nil"/>
              <w:bottom w:val="nil"/>
              <w:right w:val="single" w:sz="4" w:space="0" w:color="auto"/>
            </w:tcBorders>
            <w:vAlign w:val="center"/>
          </w:tcPr>
          <w:p w:rsidR="00212513" w:rsidRDefault="00212513">
            <w:pPr>
              <w:pStyle w:val="ConsPlusNormal"/>
              <w:jc w:val="center"/>
            </w:pPr>
            <w:r>
              <w:t>89</w:t>
            </w:r>
          </w:p>
        </w:tc>
      </w:tr>
      <w:tr w:rsidR="00212513">
        <w:tblPrEx>
          <w:tblBorders>
            <w:insideH w:val="none" w:sz="0" w:space="0" w:color="auto"/>
            <w:insideV w:val="none" w:sz="0" w:space="0" w:color="auto"/>
          </w:tblBorders>
        </w:tblPrEx>
        <w:tc>
          <w:tcPr>
            <w:tcW w:w="1191" w:type="dxa"/>
            <w:tcBorders>
              <w:top w:val="nil"/>
              <w:left w:val="single" w:sz="4" w:space="0" w:color="auto"/>
              <w:bottom w:val="single" w:sz="4" w:space="0" w:color="auto"/>
              <w:right w:val="nil"/>
            </w:tcBorders>
            <w:vAlign w:val="center"/>
          </w:tcPr>
          <w:p w:rsidR="00212513" w:rsidRDefault="00212513">
            <w:pPr>
              <w:pStyle w:val="ConsPlusNormal"/>
              <w:jc w:val="center"/>
            </w:pPr>
            <w:r>
              <w:lastRenderedPageBreak/>
              <w:t>К7-1860</w:t>
            </w:r>
          </w:p>
        </w:tc>
        <w:tc>
          <w:tcPr>
            <w:tcW w:w="1247" w:type="dxa"/>
            <w:tcBorders>
              <w:top w:val="nil"/>
              <w:left w:val="nil"/>
              <w:bottom w:val="single" w:sz="4" w:space="0" w:color="auto"/>
              <w:right w:val="nil"/>
            </w:tcBorders>
            <w:vAlign w:val="center"/>
          </w:tcPr>
          <w:p w:rsidR="00212513" w:rsidRDefault="00212513">
            <w:pPr>
              <w:pStyle w:val="ConsPlusNormal"/>
              <w:jc w:val="center"/>
            </w:pPr>
            <w:r>
              <w:t>15,2</w:t>
            </w:r>
          </w:p>
        </w:tc>
        <w:tc>
          <w:tcPr>
            <w:tcW w:w="794" w:type="dxa"/>
            <w:tcBorders>
              <w:top w:val="nil"/>
              <w:left w:val="nil"/>
              <w:bottom w:val="single" w:sz="4" w:space="0" w:color="auto"/>
              <w:right w:val="nil"/>
            </w:tcBorders>
            <w:vAlign w:val="center"/>
          </w:tcPr>
          <w:p w:rsidR="00212513" w:rsidRDefault="00212513">
            <w:pPr>
              <w:pStyle w:val="ConsPlusNormal"/>
              <w:jc w:val="center"/>
            </w:pPr>
            <w:r>
              <w:t>135</w:t>
            </w:r>
          </w:p>
        </w:tc>
        <w:tc>
          <w:tcPr>
            <w:tcW w:w="794" w:type="dxa"/>
            <w:tcBorders>
              <w:top w:val="nil"/>
              <w:left w:val="nil"/>
              <w:bottom w:val="single" w:sz="4" w:space="0" w:color="auto"/>
              <w:right w:val="nil"/>
            </w:tcBorders>
            <w:vAlign w:val="center"/>
          </w:tcPr>
          <w:p w:rsidR="00212513" w:rsidRDefault="00212513">
            <w:pPr>
              <w:pStyle w:val="ConsPlusNormal"/>
              <w:jc w:val="center"/>
            </w:pPr>
            <w:r>
              <w:t>129</w:t>
            </w:r>
          </w:p>
        </w:tc>
        <w:tc>
          <w:tcPr>
            <w:tcW w:w="888" w:type="dxa"/>
            <w:tcBorders>
              <w:top w:val="nil"/>
              <w:left w:val="nil"/>
              <w:bottom w:val="single" w:sz="4" w:space="0" w:color="auto"/>
              <w:right w:val="nil"/>
            </w:tcBorders>
            <w:vAlign w:val="center"/>
          </w:tcPr>
          <w:p w:rsidR="00212513" w:rsidRDefault="00212513">
            <w:pPr>
              <w:pStyle w:val="ConsPlusNormal"/>
              <w:jc w:val="center"/>
            </w:pPr>
            <w:r>
              <w:t>123</w:t>
            </w:r>
          </w:p>
        </w:tc>
        <w:tc>
          <w:tcPr>
            <w:tcW w:w="794" w:type="dxa"/>
            <w:tcBorders>
              <w:top w:val="nil"/>
              <w:left w:val="nil"/>
              <w:bottom w:val="single" w:sz="4" w:space="0" w:color="auto"/>
              <w:right w:val="nil"/>
            </w:tcBorders>
            <w:vAlign w:val="center"/>
          </w:tcPr>
          <w:p w:rsidR="00212513" w:rsidRDefault="00212513">
            <w:pPr>
              <w:pStyle w:val="ConsPlusNormal"/>
              <w:jc w:val="center"/>
            </w:pPr>
            <w:r>
              <w:t>117</w:t>
            </w:r>
          </w:p>
        </w:tc>
        <w:tc>
          <w:tcPr>
            <w:tcW w:w="794" w:type="dxa"/>
            <w:tcBorders>
              <w:top w:val="nil"/>
              <w:left w:val="nil"/>
              <w:bottom w:val="single" w:sz="4" w:space="0" w:color="auto"/>
              <w:right w:val="nil"/>
            </w:tcBorders>
            <w:vAlign w:val="center"/>
          </w:tcPr>
          <w:p w:rsidR="00212513" w:rsidRDefault="00212513">
            <w:pPr>
              <w:pStyle w:val="ConsPlusNormal"/>
              <w:jc w:val="center"/>
            </w:pPr>
            <w:r>
              <w:t>111</w:t>
            </w:r>
          </w:p>
        </w:tc>
        <w:tc>
          <w:tcPr>
            <w:tcW w:w="794" w:type="dxa"/>
            <w:tcBorders>
              <w:top w:val="nil"/>
              <w:left w:val="nil"/>
              <w:bottom w:val="single" w:sz="4" w:space="0" w:color="auto"/>
              <w:right w:val="nil"/>
            </w:tcBorders>
            <w:vAlign w:val="center"/>
          </w:tcPr>
          <w:p w:rsidR="00212513" w:rsidRDefault="00212513">
            <w:pPr>
              <w:pStyle w:val="ConsPlusNormal"/>
              <w:jc w:val="center"/>
            </w:pPr>
            <w:r>
              <w:t>105</w:t>
            </w:r>
          </w:p>
        </w:tc>
        <w:tc>
          <w:tcPr>
            <w:tcW w:w="794" w:type="dxa"/>
            <w:tcBorders>
              <w:top w:val="nil"/>
              <w:left w:val="nil"/>
              <w:bottom w:val="single" w:sz="4" w:space="0" w:color="auto"/>
              <w:right w:val="nil"/>
            </w:tcBorders>
            <w:vAlign w:val="center"/>
          </w:tcPr>
          <w:p w:rsidR="00212513" w:rsidRDefault="00212513">
            <w:pPr>
              <w:pStyle w:val="ConsPlusNormal"/>
              <w:jc w:val="center"/>
            </w:pPr>
            <w:r>
              <w:t>100</w:t>
            </w:r>
          </w:p>
        </w:tc>
        <w:tc>
          <w:tcPr>
            <w:tcW w:w="964" w:type="dxa"/>
            <w:tcBorders>
              <w:top w:val="nil"/>
              <w:left w:val="nil"/>
              <w:bottom w:val="single" w:sz="4" w:space="0" w:color="auto"/>
              <w:right w:val="single" w:sz="4" w:space="0" w:color="auto"/>
            </w:tcBorders>
            <w:vAlign w:val="center"/>
          </w:tcPr>
          <w:p w:rsidR="00212513" w:rsidRDefault="00212513">
            <w:pPr>
              <w:pStyle w:val="ConsPlusNormal"/>
              <w:jc w:val="center"/>
            </w:pPr>
            <w:r>
              <w:t>94</w:t>
            </w:r>
          </w:p>
        </w:tc>
      </w:tr>
      <w:tr w:rsidR="00212513">
        <w:tblPrEx>
          <w:tblBorders>
            <w:insideV w:val="none" w:sz="0" w:space="0" w:color="auto"/>
          </w:tblBorders>
        </w:tblPrEx>
        <w:tc>
          <w:tcPr>
            <w:tcW w:w="9054" w:type="dxa"/>
            <w:gridSpan w:val="10"/>
            <w:tcBorders>
              <w:top w:val="single" w:sz="4" w:space="0" w:color="auto"/>
              <w:left w:val="single" w:sz="4" w:space="0" w:color="auto"/>
              <w:bottom w:val="single" w:sz="4" w:space="0" w:color="auto"/>
              <w:right w:val="single" w:sz="4" w:space="0" w:color="auto"/>
            </w:tcBorders>
          </w:tcPr>
          <w:p w:rsidR="00212513" w:rsidRDefault="00212513">
            <w:pPr>
              <w:pStyle w:val="ConsPlusNormal"/>
              <w:ind w:firstLine="283"/>
              <w:jc w:val="both"/>
            </w:pPr>
            <w:r>
              <w:t>Примечания</w:t>
            </w:r>
          </w:p>
          <w:p w:rsidR="00212513" w:rsidRDefault="00212513">
            <w:pPr>
              <w:pStyle w:val="ConsPlusNormal"/>
              <w:ind w:firstLine="283"/>
              <w:jc w:val="both"/>
            </w:pPr>
            <w:r>
              <w:t>1 При мгновенной передаче на бетон усилия обжатия (посредством обрезки канатов) начало зоны передачи усилий следует принимать на расстоянии, равном 0,25</w:t>
            </w:r>
            <w:r>
              <w:rPr>
                <w:i/>
              </w:rPr>
              <w:t>l</w:t>
            </w:r>
            <w:r>
              <w:rPr>
                <w:i/>
                <w:vertAlign w:val="subscript"/>
              </w:rPr>
              <w:t>rp</w:t>
            </w:r>
            <w:r>
              <w:t xml:space="preserve"> от торца элемента.</w:t>
            </w:r>
          </w:p>
          <w:p w:rsidR="00212513" w:rsidRDefault="00212513">
            <w:pPr>
              <w:pStyle w:val="ConsPlusNormal"/>
              <w:ind w:firstLine="283"/>
              <w:jc w:val="both"/>
            </w:pPr>
            <w:r>
              <w:t>2 Для канатов диаметром 15,7 мм длину зоны передачи следует принимать с коэффициентом 1,05.</w:t>
            </w:r>
          </w:p>
        </w:tc>
      </w:tr>
    </w:tbl>
    <w:p w:rsidR="00212513" w:rsidRDefault="00212513">
      <w:pPr>
        <w:pStyle w:val="ConsPlusNormal"/>
        <w:ind w:firstLine="540"/>
        <w:jc w:val="both"/>
      </w:pPr>
    </w:p>
    <w:p w:rsidR="00212513" w:rsidRDefault="00212513">
      <w:pPr>
        <w:pStyle w:val="ConsPlusNormal"/>
        <w:ind w:firstLine="540"/>
        <w:jc w:val="both"/>
      </w:pPr>
      <w:r>
        <w:t>7.12 Армирование зоны передачи на бетон сосредоточенных усилий следует выполнять с учетом напряженно-деформированного состояния этой зоны, определяемого методами теории упругости или другими обоснованными способами расчета на местные напряжения.</w:t>
      </w:r>
    </w:p>
    <w:p w:rsidR="00212513" w:rsidRDefault="00212513">
      <w:pPr>
        <w:pStyle w:val="ConsPlusNormal"/>
        <w:spacing w:before="220"/>
        <w:ind w:firstLine="540"/>
        <w:jc w:val="both"/>
      </w:pPr>
      <w:r>
        <w:t>Передачу усилия с анкеров напрягаемой арматуры на бетон следует выполнять с применением опорных элементов и косвенного армирования бетона анкерной зоны. Конструкция специальных анкерных деталей и косвенного армирования должна входить в комплект применяемой системы предварительного натяжения, надежность которой должна быть подтверждена экспериментальным путем в ходе разработки. Кроме арматуры косвенного армирования следует устанавливать арматуру зоны местного армирования с учетом напряженно-деформированного состояния этой зоны, определяемого методами теории упругости или иными методами. При конструировании зоны передачи усилия на бетон следует учитывать требования по расположению анкеров между собой и относительно граней конструкции с учетом проектируемой передаточной прочности бетона.</w:t>
      </w:r>
    </w:p>
    <w:p w:rsidR="00212513" w:rsidRDefault="00212513">
      <w:pPr>
        <w:pStyle w:val="ConsPlusNormal"/>
        <w:jc w:val="both"/>
      </w:pPr>
      <w:r>
        <w:t xml:space="preserve">(п. 7.12 в ред. </w:t>
      </w:r>
      <w:hyperlink r:id="rId583">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7.13 Влияние усадки и ползучести бетона следует учитывать при определении:</w:t>
      </w:r>
    </w:p>
    <w:p w:rsidR="00212513" w:rsidRDefault="00212513">
      <w:pPr>
        <w:pStyle w:val="ConsPlusNormal"/>
        <w:spacing w:before="220"/>
        <w:ind w:firstLine="540"/>
        <w:jc w:val="both"/>
      </w:pPr>
      <w:r>
        <w:t>потерь предварительных напряжений в арматуре;</w:t>
      </w:r>
    </w:p>
    <w:p w:rsidR="00212513" w:rsidRDefault="00212513">
      <w:pPr>
        <w:pStyle w:val="ConsPlusNormal"/>
        <w:spacing w:before="220"/>
        <w:ind w:firstLine="540"/>
        <w:jc w:val="both"/>
      </w:pPr>
      <w:r>
        <w:t>снижения обжатия бетона в предварительно напряженных конструкциях;</w:t>
      </w:r>
    </w:p>
    <w:p w:rsidR="00212513" w:rsidRDefault="00212513">
      <w:pPr>
        <w:pStyle w:val="ConsPlusNormal"/>
        <w:spacing w:before="220"/>
        <w:ind w:firstLine="540"/>
        <w:jc w:val="both"/>
      </w:pPr>
      <w:r>
        <w:t>изменений усилий в конструкциях с искусственным регулированием напряжений;</w:t>
      </w:r>
    </w:p>
    <w:p w:rsidR="00212513" w:rsidRDefault="00212513">
      <w:pPr>
        <w:pStyle w:val="ConsPlusNormal"/>
        <w:spacing w:before="220"/>
        <w:ind w:firstLine="540"/>
        <w:jc w:val="both"/>
      </w:pPr>
      <w:r>
        <w:t>перемещений (деформаций) конструкций от постоянных нагрузок и воздействий;</w:t>
      </w:r>
    </w:p>
    <w:p w:rsidR="00212513" w:rsidRDefault="00212513">
      <w:pPr>
        <w:pStyle w:val="ConsPlusNormal"/>
        <w:spacing w:before="220"/>
        <w:ind w:firstLine="540"/>
        <w:jc w:val="both"/>
      </w:pPr>
      <w:r>
        <w:t>усилий в статически неопределимых конструкциях;</w:t>
      </w:r>
    </w:p>
    <w:p w:rsidR="00212513" w:rsidRDefault="00212513">
      <w:pPr>
        <w:pStyle w:val="ConsPlusNormal"/>
        <w:spacing w:before="220"/>
        <w:ind w:firstLine="540"/>
        <w:jc w:val="both"/>
      </w:pPr>
      <w:r>
        <w:t>усилий в сборно-монолитных конструкциях.</w:t>
      </w:r>
    </w:p>
    <w:p w:rsidR="00212513" w:rsidRDefault="00212513">
      <w:pPr>
        <w:pStyle w:val="ConsPlusNormal"/>
        <w:spacing w:before="220"/>
        <w:ind w:firstLine="540"/>
        <w:jc w:val="both"/>
      </w:pPr>
      <w:r>
        <w:t>Перемещения (деформации) конструкций от временных нагрузок допускается определять без учета усадки и ползучести бетона.</w:t>
      </w:r>
    </w:p>
    <w:p w:rsidR="00212513" w:rsidRDefault="00212513">
      <w:pPr>
        <w:pStyle w:val="ConsPlusNormal"/>
        <w:spacing w:before="220"/>
        <w:ind w:firstLine="540"/>
        <w:jc w:val="both"/>
      </w:pPr>
      <w:r>
        <w:t>При расчете двухосно- и трехоснообжатых элементов потери напряжений в напрягаемой арматуре и снижение обжатия бетона вследствие его усадки и ползучести допускается определять отдельно по каждому направлению действия усилий.</w:t>
      </w:r>
    </w:p>
    <w:p w:rsidR="00212513" w:rsidRDefault="00212513">
      <w:pPr>
        <w:pStyle w:val="ConsPlusNormal"/>
        <w:spacing w:before="220"/>
        <w:ind w:firstLine="540"/>
        <w:jc w:val="both"/>
      </w:pPr>
      <w:r>
        <w:t>В сборно-монолитных и монолитных конструкциях следует учитывать влияние экзотермического разогрева при бетонировании.</w:t>
      </w:r>
    </w:p>
    <w:p w:rsidR="00212513" w:rsidRDefault="00212513">
      <w:pPr>
        <w:pStyle w:val="ConsPlusNormal"/>
        <w:jc w:val="both"/>
      </w:pPr>
      <w:r>
        <w:t xml:space="preserve">(абзац введен </w:t>
      </w:r>
      <w:hyperlink r:id="rId584">
        <w:r>
          <w:rPr>
            <w:color w:val="0000FF"/>
          </w:rPr>
          <w:t>Изменением N 3</w:t>
        </w:r>
      </w:hyperlink>
      <w:r>
        <w:t>, утв. Приказом Минстроя России от 29.12.2020 N 891/пр)</w:t>
      </w:r>
    </w:p>
    <w:p w:rsidR="00212513" w:rsidRDefault="00212513">
      <w:pPr>
        <w:pStyle w:val="ConsPlusNormal"/>
        <w:spacing w:before="220"/>
        <w:ind w:firstLine="540"/>
        <w:jc w:val="both"/>
      </w:pPr>
      <w:bookmarkStart w:id="96" w:name="P2145"/>
      <w:bookmarkEnd w:id="96"/>
      <w:r>
        <w:t>7.14 Напряжения в элементах предварительно напряженных конструкций следует определять по контролируемому усилию за вычетом:</w:t>
      </w:r>
    </w:p>
    <w:p w:rsidR="00212513" w:rsidRDefault="00212513">
      <w:pPr>
        <w:pStyle w:val="ConsPlusNormal"/>
        <w:spacing w:before="220"/>
        <w:ind w:firstLine="540"/>
        <w:jc w:val="both"/>
      </w:pPr>
      <w:r>
        <w:t>первых потерь - на стадии обжатия бетона;</w:t>
      </w:r>
    </w:p>
    <w:p w:rsidR="00212513" w:rsidRDefault="00212513">
      <w:pPr>
        <w:pStyle w:val="ConsPlusNormal"/>
        <w:spacing w:before="220"/>
        <w:ind w:firstLine="540"/>
        <w:jc w:val="both"/>
      </w:pPr>
      <w:r>
        <w:t>первых и вторых потерь - на стадии эксплуатации.</w:t>
      </w:r>
    </w:p>
    <w:p w:rsidR="00212513" w:rsidRDefault="00212513">
      <w:pPr>
        <w:pStyle w:val="ConsPlusNormal"/>
        <w:spacing w:before="220"/>
        <w:ind w:firstLine="540"/>
        <w:jc w:val="both"/>
      </w:pPr>
      <w:r>
        <w:lastRenderedPageBreak/>
        <w:t>К первым потерям следует относить:</w:t>
      </w:r>
    </w:p>
    <w:p w:rsidR="00212513" w:rsidRDefault="00212513">
      <w:pPr>
        <w:pStyle w:val="ConsPlusNormal"/>
        <w:spacing w:before="220"/>
        <w:ind w:firstLine="540"/>
        <w:jc w:val="both"/>
      </w:pPr>
      <w:r>
        <w:t>а) в конструкциях с натяжением арматуры на упоры - потери вследствие деформации анкеров, трения арматуры об огибающие приспособления, релаксации напряжений в арматуре (в размере 50% полных), температурного перепада, быстронатекающей ползучести, а также от деформации форм (при натяжении арматуры на формы);</w:t>
      </w:r>
    </w:p>
    <w:p w:rsidR="00212513" w:rsidRDefault="00212513">
      <w:pPr>
        <w:pStyle w:val="ConsPlusNormal"/>
        <w:spacing w:before="220"/>
        <w:ind w:firstLine="540"/>
        <w:jc w:val="both"/>
      </w:pPr>
      <w:r>
        <w:t>б) в конструкциях с натяжением арматуры на бетон - потери вследствие деформации анкеров, трения арматуры о стенки закрытых и открытых каналов, релаксации напряжений в арматуре (в размере 50% полных).</w:t>
      </w:r>
    </w:p>
    <w:p w:rsidR="00212513" w:rsidRDefault="00212513">
      <w:pPr>
        <w:pStyle w:val="ConsPlusNormal"/>
        <w:spacing w:before="220"/>
        <w:ind w:firstLine="540"/>
        <w:jc w:val="both"/>
      </w:pPr>
      <w:r>
        <w:t>Ко вторым потерям следует относить:</w:t>
      </w:r>
    </w:p>
    <w:p w:rsidR="00212513" w:rsidRDefault="00212513">
      <w:pPr>
        <w:pStyle w:val="ConsPlusNormal"/>
        <w:spacing w:before="220"/>
        <w:ind w:firstLine="540"/>
        <w:jc w:val="both"/>
      </w:pPr>
      <w:r>
        <w:t>а) в конструкциях с натяжением арматуры на упоры - потери вследствие усадки и ползучести бетона, релаксации напряжений в арматуре (в размере 50% полных);</w:t>
      </w:r>
    </w:p>
    <w:p w:rsidR="00212513" w:rsidRDefault="00212513">
      <w:pPr>
        <w:pStyle w:val="ConsPlusNormal"/>
        <w:spacing w:before="220"/>
        <w:ind w:firstLine="540"/>
        <w:jc w:val="both"/>
      </w:pPr>
      <w:r>
        <w:t>б) в конструкциях с натяжением арматуры на бетон - потери вследствие усадки и ползучести бетона, релаксации напряжений в арматуре (в размере 50% полных), смятия под витками спиральной или кольцевой арматуры, навиваемой на бетон, деформации стыков между блоками в составных по длине конструкциях.</w:t>
      </w:r>
    </w:p>
    <w:p w:rsidR="00212513" w:rsidRDefault="00212513">
      <w:pPr>
        <w:pStyle w:val="ConsPlusNormal"/>
        <w:spacing w:before="220"/>
        <w:ind w:firstLine="540"/>
        <w:jc w:val="both"/>
      </w:pPr>
      <w:r>
        <w:t xml:space="preserve">Значения отдельных из перечисленных потерь следует определять по </w:t>
      </w:r>
      <w:hyperlink w:anchor="P14438">
        <w:r>
          <w:rPr>
            <w:color w:val="0000FF"/>
          </w:rPr>
          <w:t>приложению Р</w:t>
        </w:r>
      </w:hyperlink>
      <w:r>
        <w:t xml:space="preserve"> с учетом </w:t>
      </w:r>
      <w:hyperlink w:anchor="P2157">
        <w:r>
          <w:rPr>
            <w:color w:val="0000FF"/>
          </w:rPr>
          <w:t>7.15</w:t>
        </w:r>
      </w:hyperlink>
      <w:r>
        <w:t>.</w:t>
      </w:r>
    </w:p>
    <w:p w:rsidR="00212513" w:rsidRDefault="00212513">
      <w:pPr>
        <w:pStyle w:val="ConsPlusNormal"/>
        <w:spacing w:before="220"/>
        <w:ind w:firstLine="540"/>
        <w:jc w:val="both"/>
      </w:pPr>
      <w:r>
        <w:t>Допускается принимать, что вторые потери от релаксации напряжений в арматуре (в размере 50% полных) происходят равномерно и полностью завершаются в течение одного месяца после обжатия бетона.</w:t>
      </w:r>
    </w:p>
    <w:p w:rsidR="00212513" w:rsidRDefault="00212513">
      <w:pPr>
        <w:pStyle w:val="ConsPlusNormal"/>
        <w:spacing w:before="220"/>
        <w:ind w:firstLine="540"/>
        <w:jc w:val="both"/>
      </w:pPr>
      <w:r>
        <w:t>Суммарное значение первых и вторых потерь не должно приниматься менее 98 МПа.</w:t>
      </w:r>
    </w:p>
    <w:p w:rsidR="00212513" w:rsidRDefault="00212513">
      <w:pPr>
        <w:pStyle w:val="ConsPlusNormal"/>
        <w:spacing w:before="220"/>
        <w:ind w:firstLine="540"/>
        <w:jc w:val="both"/>
      </w:pPr>
      <w:bookmarkStart w:id="97" w:name="P2157"/>
      <w:bookmarkEnd w:id="97"/>
      <w:r>
        <w:t>7.15 При определении потерь предварительного напряжения в арматуре от усадки и ползучести бетона необходимо руководствоваться следующими указаниями:</w:t>
      </w:r>
    </w:p>
    <w:p w:rsidR="00212513" w:rsidRDefault="00212513">
      <w:pPr>
        <w:pStyle w:val="ConsPlusNormal"/>
        <w:spacing w:before="220"/>
        <w:ind w:firstLine="540"/>
        <w:jc w:val="both"/>
      </w:pPr>
      <w:r>
        <w:t xml:space="preserve">а) изменение во времени потерь </w:t>
      </w:r>
      <w:r>
        <w:rPr>
          <w:noProof/>
          <w:position w:val="-9"/>
        </w:rPr>
        <w:drawing>
          <wp:inline distT="0" distB="0" distL="0" distR="0">
            <wp:extent cx="535940" cy="262890"/>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535940" cy="262890"/>
                    </a:xfrm>
                    <a:prstGeom prst="rect">
                      <a:avLst/>
                    </a:prstGeom>
                    <a:noFill/>
                    <a:ln>
                      <a:noFill/>
                    </a:ln>
                  </pic:spPr>
                </pic:pic>
              </a:graphicData>
            </a:graphic>
          </wp:inline>
        </w:drawing>
      </w:r>
      <w:r>
        <w:t xml:space="preserve"> от усадки и ползучести бетона допускается определять по формуле</w:t>
      </w:r>
    </w:p>
    <w:p w:rsidR="00212513" w:rsidRDefault="00212513">
      <w:pPr>
        <w:pStyle w:val="ConsPlusNormal"/>
        <w:ind w:firstLine="540"/>
        <w:jc w:val="both"/>
      </w:pPr>
    </w:p>
    <w:p w:rsidR="00212513" w:rsidRDefault="00212513">
      <w:pPr>
        <w:pStyle w:val="ConsPlusNormal"/>
        <w:jc w:val="center"/>
      </w:pPr>
      <w:r>
        <w:rPr>
          <w:noProof/>
          <w:position w:val="-12"/>
        </w:rPr>
        <w:drawing>
          <wp:inline distT="0" distB="0" distL="0" distR="0">
            <wp:extent cx="2207260" cy="304165"/>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2207260" cy="304165"/>
                    </a:xfrm>
                    <a:prstGeom prst="rect">
                      <a:avLst/>
                    </a:prstGeom>
                    <a:noFill/>
                    <a:ln>
                      <a:noFill/>
                    </a:ln>
                  </pic:spPr>
                </pic:pic>
              </a:graphicData>
            </a:graphic>
          </wp:inline>
        </w:drawing>
      </w:r>
      <w:r>
        <w:t>, (7.2)</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9"/>
        </w:rPr>
        <w:drawing>
          <wp:inline distT="0" distB="0" distL="0" distR="0">
            <wp:extent cx="880110" cy="262890"/>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880110" cy="262890"/>
                    </a:xfrm>
                    <a:prstGeom prst="rect">
                      <a:avLst/>
                    </a:prstGeom>
                    <a:noFill/>
                    <a:ln>
                      <a:noFill/>
                    </a:ln>
                  </pic:spPr>
                </pic:pic>
              </a:graphicData>
            </a:graphic>
          </wp:inline>
        </w:drawing>
      </w:r>
      <w:r>
        <w:t xml:space="preserve"> - конечные (предельные) значения потерь в арматуре от усадки и ползучести бетона, определяемые по </w:t>
      </w:r>
      <w:hyperlink w:anchor="P14438">
        <w:r>
          <w:rPr>
            <w:color w:val="0000FF"/>
          </w:rPr>
          <w:t>приложению Р</w:t>
        </w:r>
      </w:hyperlink>
      <w:r>
        <w:t xml:space="preserve"> или </w:t>
      </w:r>
      <w:hyperlink w:anchor="P14651">
        <w:r>
          <w:rPr>
            <w:color w:val="0000FF"/>
          </w:rPr>
          <w:t>Т</w:t>
        </w:r>
      </w:hyperlink>
      <w:r>
        <w:t>;</w:t>
      </w:r>
    </w:p>
    <w:p w:rsidR="00212513" w:rsidRDefault="00212513">
      <w:pPr>
        <w:pStyle w:val="ConsPlusNormal"/>
        <w:spacing w:before="220"/>
        <w:ind w:firstLine="540"/>
        <w:jc w:val="both"/>
      </w:pPr>
      <w:r>
        <w:rPr>
          <w:i/>
        </w:rPr>
        <w:t>t</w:t>
      </w:r>
      <w:r>
        <w:t xml:space="preserve"> - время, отсчитываемое при определении потерь от ползучести - со дня обжатия бетона, от усадки - со дня окончания бетонирования, сут;</w:t>
      </w:r>
    </w:p>
    <w:p w:rsidR="00212513" w:rsidRDefault="00212513">
      <w:pPr>
        <w:pStyle w:val="ConsPlusNormal"/>
        <w:spacing w:before="220"/>
        <w:ind w:firstLine="540"/>
        <w:jc w:val="both"/>
      </w:pPr>
      <w:r>
        <w:rPr>
          <w:i/>
        </w:rPr>
        <w:t>e</w:t>
      </w:r>
      <w:r>
        <w:t xml:space="preserve"> = 2,718 - основание натуральных логарифмов;</w:t>
      </w:r>
    </w:p>
    <w:p w:rsidR="00212513" w:rsidRDefault="00212513">
      <w:pPr>
        <w:pStyle w:val="ConsPlusNormal"/>
        <w:spacing w:before="220"/>
        <w:ind w:firstLine="540"/>
        <w:jc w:val="both"/>
      </w:pPr>
      <w:r>
        <w:t xml:space="preserve">б) для конструкций, предназначенных для эксплуатации при влажности воздуха окружающей среды ниже 40%, потери от усадки и ползучести бетона следует увеличивать на 25%, за исключением конструкций, предназначенных для эксплуатации в климатическом подрайоне IVA согласно </w:t>
      </w:r>
      <w:hyperlink r:id="rId588">
        <w:r>
          <w:rPr>
            <w:color w:val="0000FF"/>
          </w:rPr>
          <w:t>СП 131.13330</w:t>
        </w:r>
      </w:hyperlink>
      <w:r>
        <w:t xml:space="preserve"> и не защищенных от солнечной радиации, для которых указанные потери увеличиваются на 50%;</w:t>
      </w:r>
    </w:p>
    <w:p w:rsidR="00212513" w:rsidRDefault="00212513">
      <w:pPr>
        <w:pStyle w:val="ConsPlusNormal"/>
        <w:jc w:val="both"/>
      </w:pPr>
      <w:r>
        <w:t xml:space="preserve">(в ред. </w:t>
      </w:r>
      <w:hyperlink r:id="rId589">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 xml:space="preserve">в) допускается использовать более точные методы для определения потерь и </w:t>
      </w:r>
      <w:r>
        <w:lastRenderedPageBreak/>
        <w:t xml:space="preserve">перераспределения усилий от усадки и ползучести бетона с учетом предельных удельных значений деформаций ползучести и усадки бетона, влияния арматуры, возраста и передаточной прочности бетона, постадийного приложения нагрузки и длительности ее воздействия на каждой стадии, скорости развития деформаций во времени, приведенных размеров поперечных сечений, относительной влажности среды и других факторов. Эти методы должны быть обоснованы. При этом нормативные деформации ползучести </w:t>
      </w:r>
      <w:r>
        <w:rPr>
          <w:noProof/>
          <w:position w:val="-8"/>
        </w:rPr>
        <w:drawing>
          <wp:inline distT="0" distB="0" distL="0" distR="0">
            <wp:extent cx="177800" cy="251460"/>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и усадки бетона </w:t>
      </w:r>
      <w:r>
        <w:rPr>
          <w:noProof/>
          <w:position w:val="-8"/>
        </w:rPr>
        <w:drawing>
          <wp:inline distT="0" distB="0" distL="0" distR="0">
            <wp:extent cx="177800" cy="251460"/>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следует принимать по </w:t>
      </w:r>
      <w:hyperlink w:anchor="P2674">
        <w:r>
          <w:rPr>
            <w:color w:val="0000FF"/>
          </w:rPr>
          <w:t>7.32</w:t>
        </w:r>
      </w:hyperlink>
      <w:r>
        <w:t>.</w:t>
      </w:r>
    </w:p>
    <w:p w:rsidR="00212513" w:rsidRDefault="00212513">
      <w:pPr>
        <w:pStyle w:val="ConsPlusNormal"/>
        <w:spacing w:before="220"/>
        <w:ind w:firstLine="540"/>
        <w:jc w:val="both"/>
      </w:pPr>
      <w:bookmarkStart w:id="98" w:name="P2168"/>
      <w:bookmarkEnd w:id="98"/>
      <w:r>
        <w:t xml:space="preserve">7.16 Расчетную длину </w:t>
      </w:r>
      <w:r>
        <w:rPr>
          <w:noProof/>
          <w:position w:val="-8"/>
        </w:rPr>
        <w:drawing>
          <wp:inline distT="0" distB="0" distL="0" distR="0">
            <wp:extent cx="146685" cy="250825"/>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146685" cy="250825"/>
                    </a:xfrm>
                    <a:prstGeom prst="rect">
                      <a:avLst/>
                    </a:prstGeom>
                    <a:noFill/>
                    <a:ln>
                      <a:noFill/>
                    </a:ln>
                  </pic:spPr>
                </pic:pic>
              </a:graphicData>
            </a:graphic>
          </wp:inline>
        </w:drawing>
      </w:r>
      <w:r>
        <w:t xml:space="preserve"> сжатых элементов железобетонных решетчатых ферм следует принимать по указаниям, относящимся к определению расчетной длины сжатых элементов стальных решетчатых ферм </w:t>
      </w:r>
      <w:hyperlink w:anchor="P6057">
        <w:r>
          <w:rPr>
            <w:color w:val="0000FF"/>
          </w:rPr>
          <w:t>(раздел 8)</w:t>
        </w:r>
      </w:hyperlink>
      <w:r>
        <w:t>.</w:t>
      </w:r>
    </w:p>
    <w:p w:rsidR="00212513" w:rsidRDefault="00212513">
      <w:pPr>
        <w:pStyle w:val="ConsPlusNormal"/>
        <w:spacing w:before="220"/>
        <w:ind w:firstLine="540"/>
        <w:jc w:val="both"/>
      </w:pPr>
      <w:r>
        <w:t xml:space="preserve">Расчетную длину стоек отдельно стоящих рам при жестком соединении стоек с ригелем допускается принимать по таблице 7.3 в зависимости от соотношения жесткости ригеля </w:t>
      </w:r>
      <w:r>
        <w:rPr>
          <w:noProof/>
          <w:position w:val="-8"/>
        </w:rPr>
        <w:drawing>
          <wp:inline distT="0" distB="0" distL="0" distR="0">
            <wp:extent cx="648970" cy="251460"/>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648970" cy="251460"/>
                    </a:xfrm>
                    <a:prstGeom prst="rect">
                      <a:avLst/>
                    </a:prstGeom>
                    <a:noFill/>
                    <a:ln>
                      <a:noFill/>
                    </a:ln>
                  </pic:spPr>
                </pic:pic>
              </a:graphicData>
            </a:graphic>
          </wp:inline>
        </w:drawing>
      </w:r>
      <w:r>
        <w:t xml:space="preserve"> и стоек </w:t>
      </w:r>
      <w:r>
        <w:rPr>
          <w:noProof/>
          <w:position w:val="-8"/>
        </w:rPr>
        <w:drawing>
          <wp:inline distT="0" distB="0" distL="0" distR="0">
            <wp:extent cx="670560" cy="251460"/>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t>.</w:t>
      </w:r>
    </w:p>
    <w:p w:rsidR="00212513" w:rsidRDefault="00212513">
      <w:pPr>
        <w:pStyle w:val="ConsPlusNormal"/>
        <w:ind w:firstLine="540"/>
        <w:jc w:val="both"/>
      </w:pPr>
    </w:p>
    <w:p w:rsidR="00212513" w:rsidRDefault="00212513">
      <w:pPr>
        <w:pStyle w:val="ConsPlusNormal"/>
        <w:jc w:val="right"/>
      </w:pPr>
      <w:r>
        <w:t>Таблица 7.3</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2210"/>
        <w:gridCol w:w="2210"/>
        <w:gridCol w:w="2212"/>
      </w:tblGrid>
      <w:tr w:rsidR="00212513">
        <w:tc>
          <w:tcPr>
            <w:tcW w:w="2438" w:type="dxa"/>
            <w:vMerge w:val="restart"/>
            <w:vAlign w:val="center"/>
          </w:tcPr>
          <w:p w:rsidR="00212513" w:rsidRDefault="00212513">
            <w:pPr>
              <w:pStyle w:val="ConsPlusNormal"/>
              <w:jc w:val="center"/>
            </w:pPr>
            <w:r>
              <w:t xml:space="preserve">Отношение пролета ригеля </w:t>
            </w:r>
            <w:r>
              <w:rPr>
                <w:i/>
              </w:rPr>
              <w:t>L</w:t>
            </w:r>
            <w:r>
              <w:t xml:space="preserve"> к высоте стойки </w:t>
            </w:r>
            <w:r>
              <w:rPr>
                <w:i/>
              </w:rPr>
              <w:t>H</w:t>
            </w:r>
          </w:p>
        </w:tc>
        <w:tc>
          <w:tcPr>
            <w:tcW w:w="6632" w:type="dxa"/>
            <w:gridSpan w:val="3"/>
            <w:vAlign w:val="center"/>
          </w:tcPr>
          <w:p w:rsidR="00212513" w:rsidRDefault="00212513">
            <w:pPr>
              <w:pStyle w:val="ConsPlusNormal"/>
              <w:jc w:val="center"/>
            </w:pPr>
            <w:r>
              <w:t xml:space="preserve">Расчетная длина стойки </w:t>
            </w:r>
            <w:r>
              <w:rPr>
                <w:i/>
              </w:rPr>
              <w:t>l</w:t>
            </w:r>
            <w:r>
              <w:rPr>
                <w:vertAlign w:val="subscript"/>
              </w:rPr>
              <w:t>0</w:t>
            </w:r>
            <w:r>
              <w:t xml:space="preserve"> при отношении жесткости </w:t>
            </w:r>
            <w:r>
              <w:rPr>
                <w:i/>
              </w:rPr>
              <w:t>B</w:t>
            </w:r>
            <w:r>
              <w:rPr>
                <w:vertAlign w:val="subscript"/>
              </w:rPr>
              <w:t>1</w:t>
            </w:r>
            <w:r>
              <w:t>/</w:t>
            </w:r>
            <w:r>
              <w:rPr>
                <w:i/>
              </w:rPr>
              <w:t>B</w:t>
            </w:r>
            <w:r>
              <w:rPr>
                <w:vertAlign w:val="subscript"/>
              </w:rPr>
              <w:t>2</w:t>
            </w:r>
          </w:p>
        </w:tc>
      </w:tr>
      <w:tr w:rsidR="00212513">
        <w:tc>
          <w:tcPr>
            <w:tcW w:w="2438" w:type="dxa"/>
            <w:vMerge/>
          </w:tcPr>
          <w:p w:rsidR="00212513" w:rsidRDefault="00212513">
            <w:pPr>
              <w:pStyle w:val="ConsPlusNormal"/>
            </w:pPr>
          </w:p>
        </w:tc>
        <w:tc>
          <w:tcPr>
            <w:tcW w:w="2210" w:type="dxa"/>
            <w:vAlign w:val="center"/>
          </w:tcPr>
          <w:p w:rsidR="00212513" w:rsidRDefault="00212513">
            <w:pPr>
              <w:pStyle w:val="ConsPlusNormal"/>
              <w:jc w:val="center"/>
            </w:pPr>
            <w:r>
              <w:t>0,5</w:t>
            </w:r>
          </w:p>
        </w:tc>
        <w:tc>
          <w:tcPr>
            <w:tcW w:w="2210" w:type="dxa"/>
            <w:vAlign w:val="center"/>
          </w:tcPr>
          <w:p w:rsidR="00212513" w:rsidRDefault="00212513">
            <w:pPr>
              <w:pStyle w:val="ConsPlusNormal"/>
              <w:jc w:val="center"/>
            </w:pPr>
            <w:r>
              <w:t>1</w:t>
            </w:r>
          </w:p>
        </w:tc>
        <w:tc>
          <w:tcPr>
            <w:tcW w:w="2212" w:type="dxa"/>
            <w:vAlign w:val="center"/>
          </w:tcPr>
          <w:p w:rsidR="00212513" w:rsidRDefault="00212513">
            <w:pPr>
              <w:pStyle w:val="ConsPlusNormal"/>
              <w:jc w:val="center"/>
            </w:pPr>
            <w:r>
              <w:t>5</w:t>
            </w:r>
          </w:p>
        </w:tc>
      </w:tr>
      <w:tr w:rsidR="00212513">
        <w:tblPrEx>
          <w:tblBorders>
            <w:insideH w:val="nil"/>
          </w:tblBorders>
        </w:tblPrEx>
        <w:tc>
          <w:tcPr>
            <w:tcW w:w="2438" w:type="dxa"/>
            <w:tcBorders>
              <w:bottom w:val="nil"/>
            </w:tcBorders>
          </w:tcPr>
          <w:p w:rsidR="00212513" w:rsidRDefault="00212513">
            <w:pPr>
              <w:pStyle w:val="ConsPlusNormal"/>
              <w:jc w:val="center"/>
            </w:pPr>
            <w:r>
              <w:t>0,2</w:t>
            </w:r>
          </w:p>
        </w:tc>
        <w:tc>
          <w:tcPr>
            <w:tcW w:w="2210" w:type="dxa"/>
            <w:tcBorders>
              <w:bottom w:val="nil"/>
            </w:tcBorders>
          </w:tcPr>
          <w:p w:rsidR="00212513" w:rsidRDefault="00212513">
            <w:pPr>
              <w:pStyle w:val="ConsPlusNormal"/>
              <w:jc w:val="center"/>
            </w:pPr>
            <w:r>
              <w:t>1,1H</w:t>
            </w:r>
          </w:p>
        </w:tc>
        <w:tc>
          <w:tcPr>
            <w:tcW w:w="2210" w:type="dxa"/>
            <w:tcBorders>
              <w:bottom w:val="nil"/>
            </w:tcBorders>
          </w:tcPr>
          <w:p w:rsidR="00212513" w:rsidRDefault="00212513">
            <w:pPr>
              <w:pStyle w:val="ConsPlusNormal"/>
              <w:jc w:val="center"/>
            </w:pPr>
            <w:r>
              <w:t>H</w:t>
            </w:r>
          </w:p>
        </w:tc>
        <w:tc>
          <w:tcPr>
            <w:tcW w:w="2212" w:type="dxa"/>
            <w:tcBorders>
              <w:bottom w:val="nil"/>
            </w:tcBorders>
          </w:tcPr>
          <w:p w:rsidR="00212513" w:rsidRDefault="00212513">
            <w:pPr>
              <w:pStyle w:val="ConsPlusNormal"/>
              <w:jc w:val="center"/>
            </w:pPr>
            <w:r>
              <w:t>H</w:t>
            </w:r>
          </w:p>
        </w:tc>
      </w:tr>
      <w:tr w:rsidR="00212513">
        <w:tblPrEx>
          <w:tblBorders>
            <w:insideH w:val="nil"/>
          </w:tblBorders>
        </w:tblPrEx>
        <w:tc>
          <w:tcPr>
            <w:tcW w:w="2438" w:type="dxa"/>
            <w:tcBorders>
              <w:top w:val="nil"/>
              <w:bottom w:val="nil"/>
            </w:tcBorders>
          </w:tcPr>
          <w:p w:rsidR="00212513" w:rsidRDefault="00212513">
            <w:pPr>
              <w:pStyle w:val="ConsPlusNormal"/>
              <w:jc w:val="center"/>
            </w:pPr>
            <w:r>
              <w:t>1</w:t>
            </w:r>
          </w:p>
        </w:tc>
        <w:tc>
          <w:tcPr>
            <w:tcW w:w="2210" w:type="dxa"/>
            <w:tcBorders>
              <w:top w:val="nil"/>
              <w:bottom w:val="nil"/>
            </w:tcBorders>
          </w:tcPr>
          <w:p w:rsidR="00212513" w:rsidRDefault="00212513">
            <w:pPr>
              <w:pStyle w:val="ConsPlusNormal"/>
              <w:jc w:val="center"/>
            </w:pPr>
            <w:r>
              <w:t>1,3H</w:t>
            </w:r>
          </w:p>
        </w:tc>
        <w:tc>
          <w:tcPr>
            <w:tcW w:w="2210" w:type="dxa"/>
            <w:tcBorders>
              <w:top w:val="nil"/>
              <w:bottom w:val="nil"/>
            </w:tcBorders>
          </w:tcPr>
          <w:p w:rsidR="00212513" w:rsidRDefault="00212513">
            <w:pPr>
              <w:pStyle w:val="ConsPlusNormal"/>
              <w:jc w:val="center"/>
            </w:pPr>
            <w:r>
              <w:t>1,15H</w:t>
            </w:r>
          </w:p>
        </w:tc>
        <w:tc>
          <w:tcPr>
            <w:tcW w:w="2212" w:type="dxa"/>
            <w:tcBorders>
              <w:top w:val="nil"/>
              <w:bottom w:val="nil"/>
            </w:tcBorders>
          </w:tcPr>
          <w:p w:rsidR="00212513" w:rsidRDefault="00212513">
            <w:pPr>
              <w:pStyle w:val="ConsPlusNormal"/>
              <w:jc w:val="center"/>
            </w:pPr>
            <w:r>
              <w:t>H</w:t>
            </w:r>
          </w:p>
        </w:tc>
      </w:tr>
      <w:tr w:rsidR="00212513">
        <w:tblPrEx>
          <w:tblBorders>
            <w:insideH w:val="nil"/>
          </w:tblBorders>
        </w:tblPrEx>
        <w:tc>
          <w:tcPr>
            <w:tcW w:w="2438" w:type="dxa"/>
            <w:tcBorders>
              <w:top w:val="nil"/>
            </w:tcBorders>
          </w:tcPr>
          <w:p w:rsidR="00212513" w:rsidRDefault="00212513">
            <w:pPr>
              <w:pStyle w:val="ConsPlusNormal"/>
              <w:jc w:val="center"/>
            </w:pPr>
            <w:r>
              <w:t>3</w:t>
            </w:r>
          </w:p>
        </w:tc>
        <w:tc>
          <w:tcPr>
            <w:tcW w:w="2210" w:type="dxa"/>
            <w:tcBorders>
              <w:top w:val="nil"/>
            </w:tcBorders>
          </w:tcPr>
          <w:p w:rsidR="00212513" w:rsidRDefault="00212513">
            <w:pPr>
              <w:pStyle w:val="ConsPlusNormal"/>
              <w:jc w:val="center"/>
            </w:pPr>
            <w:r>
              <w:t>1,5H</w:t>
            </w:r>
          </w:p>
        </w:tc>
        <w:tc>
          <w:tcPr>
            <w:tcW w:w="2210" w:type="dxa"/>
            <w:tcBorders>
              <w:top w:val="nil"/>
            </w:tcBorders>
          </w:tcPr>
          <w:p w:rsidR="00212513" w:rsidRDefault="00212513">
            <w:pPr>
              <w:pStyle w:val="ConsPlusNormal"/>
              <w:jc w:val="center"/>
            </w:pPr>
            <w:r>
              <w:t>1,4H</w:t>
            </w:r>
          </w:p>
        </w:tc>
        <w:tc>
          <w:tcPr>
            <w:tcW w:w="2212" w:type="dxa"/>
            <w:tcBorders>
              <w:top w:val="nil"/>
            </w:tcBorders>
          </w:tcPr>
          <w:p w:rsidR="00212513" w:rsidRDefault="00212513">
            <w:pPr>
              <w:pStyle w:val="ConsPlusNormal"/>
              <w:jc w:val="center"/>
            </w:pPr>
            <w:r>
              <w:t>1,1H</w:t>
            </w:r>
          </w:p>
        </w:tc>
      </w:tr>
      <w:tr w:rsidR="00212513">
        <w:tc>
          <w:tcPr>
            <w:tcW w:w="9070" w:type="dxa"/>
            <w:gridSpan w:val="4"/>
          </w:tcPr>
          <w:p w:rsidR="00212513" w:rsidRDefault="00212513">
            <w:pPr>
              <w:pStyle w:val="ConsPlusNormal"/>
              <w:ind w:firstLine="283"/>
              <w:jc w:val="both"/>
            </w:pPr>
            <w:r>
              <w:t xml:space="preserve">Примечание - При промежуточных значениях отношений </w:t>
            </w:r>
            <w:r>
              <w:rPr>
                <w:i/>
              </w:rPr>
              <w:t>L/H</w:t>
            </w:r>
            <w:r>
              <w:t xml:space="preserve"> и </w:t>
            </w:r>
            <w:r>
              <w:rPr>
                <w:i/>
              </w:rPr>
              <w:t>B</w:t>
            </w:r>
            <w:r>
              <w:rPr>
                <w:i/>
                <w:vertAlign w:val="subscript"/>
              </w:rPr>
              <w:t>1</w:t>
            </w:r>
            <w:r>
              <w:rPr>
                <w:i/>
              </w:rPr>
              <w:t>/B</w:t>
            </w:r>
            <w:r>
              <w:rPr>
                <w:vertAlign w:val="subscript"/>
              </w:rPr>
              <w:t>2</w:t>
            </w:r>
            <w:r>
              <w:t xml:space="preserve"> расчетную длину </w:t>
            </w:r>
            <w:r>
              <w:rPr>
                <w:i/>
              </w:rPr>
              <w:t>l</w:t>
            </w:r>
            <w:r>
              <w:rPr>
                <w:vertAlign w:val="subscript"/>
              </w:rPr>
              <w:t>0</w:t>
            </w:r>
            <w:r>
              <w:t xml:space="preserve"> допускается определять по интерполяции.</w:t>
            </w:r>
          </w:p>
        </w:tc>
      </w:tr>
    </w:tbl>
    <w:p w:rsidR="00212513" w:rsidRDefault="00212513">
      <w:pPr>
        <w:pStyle w:val="ConsPlusNormal"/>
        <w:ind w:firstLine="540"/>
        <w:jc w:val="both"/>
      </w:pPr>
    </w:p>
    <w:p w:rsidR="00212513" w:rsidRDefault="00212513">
      <w:pPr>
        <w:pStyle w:val="ConsPlusNormal"/>
        <w:ind w:firstLine="540"/>
        <w:jc w:val="both"/>
      </w:pPr>
      <w:r>
        <w:t>При расчете частей или элементов опор на продольный изгиб с использованием методов строительной механики, касающихся определения расчетной (свободной) длины сжатых стержней, допускается учитывать упругое защемление (упругую податливость) концов рассматриваемых элементов вследствие деформативности грунта и наличия в подвижных опорных частях сил трения. Если такие расчеты не производятся, то при применении подвижных опорных частей каткового и секторного типов, а также на фторопластовых прокладках взаимную связанность верха опор учитывать не следует.</w:t>
      </w:r>
    </w:p>
    <w:p w:rsidR="00212513" w:rsidRDefault="00212513">
      <w:pPr>
        <w:pStyle w:val="ConsPlusNormal"/>
        <w:spacing w:before="220"/>
        <w:ind w:firstLine="540"/>
        <w:jc w:val="both"/>
      </w:pPr>
      <w:r>
        <w:t>В сжатых железобетонных элементах минимальная площадь поперечного сечения продольной арматуры, % к полной площади расчетного сечения бетона, должна быть не менее:</w:t>
      </w:r>
    </w:p>
    <w:p w:rsidR="00212513" w:rsidRDefault="00212513">
      <w:pPr>
        <w:pStyle w:val="ConsPlusNormal"/>
        <w:spacing w:before="220"/>
        <w:ind w:firstLine="540"/>
        <w:jc w:val="both"/>
      </w:pPr>
      <w:r>
        <w:t xml:space="preserve">0,20 - в элементах с гибкостью </w:t>
      </w:r>
      <w:r>
        <w:rPr>
          <w:noProof/>
          <w:position w:val="-8"/>
        </w:rPr>
        <w:drawing>
          <wp:inline distT="0" distB="0" distL="0" distR="0">
            <wp:extent cx="670560" cy="251460"/>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0,60 - то же, с гибкостью </w:t>
      </w:r>
      <w:r>
        <w:rPr>
          <w:noProof/>
          <w:position w:val="-8"/>
        </w:rPr>
        <w:drawing>
          <wp:inline distT="0" distB="0" distL="0" distR="0">
            <wp:extent cx="704850" cy="251460"/>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704850" cy="251460"/>
                    </a:xfrm>
                    <a:prstGeom prst="rect">
                      <a:avLst/>
                    </a:prstGeom>
                    <a:noFill/>
                    <a:ln>
                      <a:noFill/>
                    </a:ln>
                  </pic:spPr>
                </pic:pic>
              </a:graphicData>
            </a:graphic>
          </wp:inline>
        </w:drawing>
      </w:r>
      <w:r>
        <w:t>;</w:t>
      </w:r>
    </w:p>
    <w:p w:rsidR="00212513" w:rsidRDefault="00212513">
      <w:pPr>
        <w:pStyle w:val="ConsPlusNormal"/>
        <w:spacing w:before="220"/>
        <w:ind w:firstLine="540"/>
        <w:jc w:val="both"/>
      </w:pPr>
      <w:r>
        <w:t>для промежуточных значений гибкости - по интерполяции (</w:t>
      </w:r>
      <w:r>
        <w:rPr>
          <w:noProof/>
          <w:position w:val="-8"/>
        </w:rPr>
        <w:drawing>
          <wp:inline distT="0" distB="0" distL="0" distR="0">
            <wp:extent cx="146685" cy="250825"/>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146685" cy="250825"/>
                    </a:xfrm>
                    <a:prstGeom prst="rect">
                      <a:avLst/>
                    </a:prstGeom>
                    <a:noFill/>
                    <a:ln>
                      <a:noFill/>
                    </a:ln>
                  </pic:spPr>
                </pic:pic>
              </a:graphicData>
            </a:graphic>
          </wp:inline>
        </w:drawing>
      </w:r>
      <w:r>
        <w:t xml:space="preserve"> - расчетная длина элемента);</w:t>
      </w:r>
    </w:p>
    <w:p w:rsidR="00212513" w:rsidRDefault="00212513">
      <w:pPr>
        <w:pStyle w:val="ConsPlusNormal"/>
        <w:spacing w:before="220"/>
        <w:ind w:firstLine="540"/>
        <w:jc w:val="both"/>
      </w:pPr>
      <w:r>
        <w:rPr>
          <w:noProof/>
          <w:position w:val="-12"/>
        </w:rPr>
        <w:drawing>
          <wp:inline distT="0" distB="0" distL="0" distR="0">
            <wp:extent cx="815340" cy="293370"/>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815340" cy="293370"/>
                    </a:xfrm>
                    <a:prstGeom prst="rect">
                      <a:avLst/>
                    </a:prstGeom>
                    <a:noFill/>
                    <a:ln>
                      <a:noFill/>
                    </a:ln>
                  </pic:spPr>
                </pic:pic>
              </a:graphicData>
            </a:graphic>
          </wp:inline>
        </w:drawing>
      </w:r>
      <w:r>
        <w:t xml:space="preserve"> - радиус инерции поперечного сечения элемента, где </w:t>
      </w:r>
      <w:r>
        <w:rPr>
          <w:noProof/>
          <w:position w:val="-8"/>
        </w:rPr>
        <w:drawing>
          <wp:inline distT="0" distB="0" distL="0" distR="0">
            <wp:extent cx="198755" cy="250825"/>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момент инерции бетонного сечения; </w:t>
      </w:r>
      <w:r>
        <w:rPr>
          <w:noProof/>
          <w:position w:val="-8"/>
        </w:rPr>
        <w:drawing>
          <wp:inline distT="0" distB="0" distL="0" distR="0">
            <wp:extent cx="209550" cy="251460"/>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площадь бетонного сечения. Если требования по величине минимального армирования не удовлетворяются, то элементы конструкции следует рассчитывать как бетонные.</w:t>
      </w:r>
    </w:p>
    <w:p w:rsidR="00212513" w:rsidRDefault="00212513">
      <w:pPr>
        <w:pStyle w:val="ConsPlusNormal"/>
        <w:spacing w:before="220"/>
        <w:ind w:firstLine="540"/>
        <w:jc w:val="both"/>
      </w:pPr>
      <w:r>
        <w:lastRenderedPageBreak/>
        <w:t>Гибкость сжатых железобетонных элементов в любом направлении в стадии эксплуатации сооружения не должна быть свыше 120, а на стадии монтажа - 150.</w:t>
      </w:r>
    </w:p>
    <w:p w:rsidR="00212513" w:rsidRDefault="00212513">
      <w:pPr>
        <w:pStyle w:val="ConsPlusNormal"/>
        <w:spacing w:before="220"/>
        <w:ind w:firstLine="540"/>
        <w:jc w:val="both"/>
      </w:pPr>
      <w:r>
        <w:t xml:space="preserve">Гибкость </w:t>
      </w:r>
      <w:r>
        <w:rPr>
          <w:noProof/>
          <w:position w:val="-9"/>
        </w:rPr>
        <w:drawing>
          <wp:inline distT="0" distB="0" distL="0" distR="0">
            <wp:extent cx="398780" cy="262890"/>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398780" cy="262890"/>
                    </a:xfrm>
                    <a:prstGeom prst="rect">
                      <a:avLst/>
                    </a:prstGeom>
                    <a:noFill/>
                    <a:ln>
                      <a:noFill/>
                    </a:ln>
                  </pic:spPr>
                </pic:pic>
              </a:graphicData>
            </a:graphic>
          </wp:inline>
        </w:drawing>
      </w:r>
      <w:r>
        <w:t xml:space="preserve"> элементов с косвенным армированием не должна превышать при сетках - 55, при спирали - 35, где </w:t>
      </w:r>
      <w:r>
        <w:rPr>
          <w:noProof/>
          <w:position w:val="-9"/>
        </w:rPr>
        <w:drawing>
          <wp:inline distT="0" distB="0" distL="0" distR="0">
            <wp:extent cx="177800" cy="262890"/>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 радиус инерции части бетонного сечения (ограниченной осями крайних стержней сетки или спиралью).</w:t>
      </w:r>
    </w:p>
    <w:p w:rsidR="00212513" w:rsidRDefault="00212513">
      <w:pPr>
        <w:pStyle w:val="ConsPlusNormal"/>
        <w:spacing w:before="220"/>
        <w:ind w:firstLine="540"/>
        <w:jc w:val="both"/>
      </w:pPr>
      <w:r>
        <w:t>7.17 Звенья прямоугольных железобетонных труб следует рассчитывать как рамы замкнутого контура с дополнительной проверкой их стенок по схеме с жестко заделанными стойками.</w:t>
      </w:r>
    </w:p>
    <w:p w:rsidR="00212513" w:rsidRDefault="00212513">
      <w:pPr>
        <w:pStyle w:val="ConsPlusNormal"/>
        <w:spacing w:before="220"/>
        <w:ind w:firstLine="540"/>
        <w:jc w:val="both"/>
      </w:pPr>
      <w:r>
        <w:t xml:space="preserve">Звенья круглых железобетонных труб допускается рассчитывать только на изгибающие моменты (без учета продольных и поперечных сил), определяемые по </w:t>
      </w:r>
      <w:hyperlink w:anchor="P14596">
        <w:r>
          <w:rPr>
            <w:color w:val="0000FF"/>
          </w:rPr>
          <w:t>приложению С</w:t>
        </w:r>
      </w:hyperlink>
      <w:r>
        <w:t>.</w:t>
      </w:r>
    </w:p>
    <w:p w:rsidR="00212513" w:rsidRDefault="00212513">
      <w:pPr>
        <w:pStyle w:val="ConsPlusNormal"/>
        <w:ind w:firstLine="540"/>
        <w:jc w:val="both"/>
      </w:pPr>
    </w:p>
    <w:p w:rsidR="00212513" w:rsidRDefault="00212513">
      <w:pPr>
        <w:pStyle w:val="ConsPlusTitle"/>
        <w:ind w:firstLine="540"/>
        <w:jc w:val="both"/>
        <w:outlineLvl w:val="2"/>
      </w:pPr>
      <w:r>
        <w:t>Материалы для бетонных, железобетонных, фибробетонных конструкций и конструкций с композитной полимерной арматурой</w:t>
      </w:r>
    </w:p>
    <w:p w:rsidR="00212513" w:rsidRDefault="00212513">
      <w:pPr>
        <w:pStyle w:val="ConsPlusNormal"/>
        <w:jc w:val="both"/>
      </w:pPr>
      <w:r>
        <w:t xml:space="preserve">(в ред. </w:t>
      </w:r>
      <w:hyperlink r:id="rId602">
        <w:r>
          <w:rPr>
            <w:color w:val="0000FF"/>
          </w:rPr>
          <w:t>Изменения N 2</w:t>
        </w:r>
      </w:hyperlink>
      <w:r>
        <w:t>, утв. Приказом Минстроя России от 11.11.2019 N 681/пр)</w:t>
      </w:r>
    </w:p>
    <w:p w:rsidR="00212513" w:rsidRDefault="00212513">
      <w:pPr>
        <w:pStyle w:val="ConsPlusNormal"/>
        <w:jc w:val="center"/>
      </w:pPr>
    </w:p>
    <w:p w:rsidR="00212513" w:rsidRDefault="00212513">
      <w:pPr>
        <w:pStyle w:val="ConsPlusTitle"/>
        <w:ind w:firstLine="540"/>
        <w:jc w:val="both"/>
        <w:outlineLvl w:val="2"/>
      </w:pPr>
      <w:r>
        <w:t>Бетон</w:t>
      </w:r>
    </w:p>
    <w:p w:rsidR="00212513" w:rsidRDefault="00212513">
      <w:pPr>
        <w:pStyle w:val="ConsPlusNormal"/>
        <w:jc w:val="center"/>
      </w:pPr>
    </w:p>
    <w:p w:rsidR="00212513" w:rsidRDefault="00212513">
      <w:pPr>
        <w:pStyle w:val="ConsPlusNormal"/>
        <w:ind w:firstLine="540"/>
        <w:jc w:val="both"/>
      </w:pPr>
      <w:r>
        <w:rPr>
          <w:i/>
        </w:rPr>
        <w:t>Общая характеристика</w:t>
      </w:r>
    </w:p>
    <w:p w:rsidR="00212513" w:rsidRDefault="00212513">
      <w:pPr>
        <w:pStyle w:val="ConsPlusNormal"/>
        <w:ind w:firstLine="540"/>
        <w:jc w:val="both"/>
      </w:pPr>
    </w:p>
    <w:p w:rsidR="00212513" w:rsidRDefault="00212513">
      <w:pPr>
        <w:pStyle w:val="ConsPlusNormal"/>
        <w:ind w:firstLine="540"/>
        <w:jc w:val="both"/>
      </w:pPr>
      <w:r>
        <w:t>7.18 В конструкциях мостов и труб следует предусматривать применение конструкционного тяжелого бетона со средней плотностью от 2200 до 2500 кг/м</w:t>
      </w:r>
      <w:r>
        <w:rPr>
          <w:vertAlign w:val="superscript"/>
        </w:rPr>
        <w:t>3</w:t>
      </w:r>
      <w:r>
        <w:t xml:space="preserve"> включительно &lt;1&gt;, соответствующего </w:t>
      </w:r>
      <w:hyperlink r:id="rId603">
        <w:r>
          <w:rPr>
            <w:color w:val="0000FF"/>
          </w:rPr>
          <w:t>ГОСТ 26633</w:t>
        </w:r>
      </w:hyperlink>
      <w:r>
        <w:t>.</w:t>
      </w:r>
    </w:p>
    <w:p w:rsidR="00212513" w:rsidRDefault="00212513">
      <w:pPr>
        <w:pStyle w:val="ConsPlusNormal"/>
        <w:spacing w:before="220"/>
        <w:ind w:firstLine="540"/>
        <w:jc w:val="both"/>
      </w:pPr>
      <w:r>
        <w:t>--------------------------------</w:t>
      </w:r>
    </w:p>
    <w:p w:rsidR="00212513" w:rsidRDefault="00212513">
      <w:pPr>
        <w:pStyle w:val="ConsPlusNormal"/>
        <w:spacing w:before="220"/>
        <w:ind w:firstLine="540"/>
        <w:jc w:val="both"/>
      </w:pPr>
      <w:r>
        <w:t>&lt;1&gt; Изложенные в разделе нормы и требования относятся к бетону с указанной плотностью, который далее (без указания плотности) именуется "тяжелый бетон".</w:t>
      </w:r>
    </w:p>
    <w:p w:rsidR="00212513" w:rsidRDefault="00212513">
      <w:pPr>
        <w:pStyle w:val="ConsPlusNormal"/>
        <w:ind w:firstLine="540"/>
        <w:jc w:val="both"/>
      </w:pPr>
    </w:p>
    <w:p w:rsidR="00212513" w:rsidRDefault="00212513">
      <w:pPr>
        <w:pStyle w:val="ConsPlusNormal"/>
        <w:ind w:firstLine="540"/>
        <w:jc w:val="both"/>
      </w:pPr>
      <w:r>
        <w:t>Применение бетона с другими признаками и плотностью допускается в опытных конструкциях.</w:t>
      </w:r>
    </w:p>
    <w:p w:rsidR="00212513" w:rsidRDefault="00212513">
      <w:pPr>
        <w:pStyle w:val="ConsPlusNormal"/>
        <w:spacing w:before="220"/>
        <w:ind w:firstLine="540"/>
        <w:jc w:val="both"/>
      </w:pPr>
      <w:r>
        <w:t>Бетон конструкции по прочности на сжатие характеризуется проектным классом, передаточной и отпускной прочностями. Класс бетона по прочности на сжатие "В" определяется значением (гарантированным с обеспеченностью 0,95) прочности на сжатие, контролируемой на кубах 150 x 150 x 150 мм в установленные сроки.</w:t>
      </w:r>
    </w:p>
    <w:p w:rsidR="00212513" w:rsidRDefault="00212513">
      <w:pPr>
        <w:pStyle w:val="ConsPlusNormal"/>
        <w:spacing w:before="220"/>
        <w:ind w:firstLine="540"/>
        <w:jc w:val="both"/>
      </w:pPr>
      <w:r>
        <w:t>Проектный класс бетона "В" - прочность бетона конструкции, назначаемая в проекте.</w:t>
      </w:r>
    </w:p>
    <w:p w:rsidR="00212513" w:rsidRDefault="00212513">
      <w:pPr>
        <w:pStyle w:val="ConsPlusNormal"/>
        <w:spacing w:before="220"/>
        <w:ind w:firstLine="540"/>
        <w:jc w:val="both"/>
      </w:pPr>
      <w:r>
        <w:t xml:space="preserve">Передаточная прочность бетона </w:t>
      </w:r>
      <w:r>
        <w:rPr>
          <w:noProof/>
          <w:position w:val="-9"/>
        </w:rPr>
        <w:drawing>
          <wp:inline distT="0" distB="0" distL="0" distR="0">
            <wp:extent cx="251460" cy="262890"/>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 прочность (соответствующая классу) бетона в момент передачи на него усилия в процессе изготовления и монтажа (7.31).</w:t>
      </w:r>
    </w:p>
    <w:p w:rsidR="00212513" w:rsidRDefault="00212513">
      <w:pPr>
        <w:pStyle w:val="ConsPlusNormal"/>
        <w:spacing w:before="220"/>
        <w:ind w:firstLine="540"/>
        <w:jc w:val="both"/>
      </w:pPr>
      <w:r>
        <w:t xml:space="preserve">Отпускная прочность бетона </w:t>
      </w:r>
      <w:r>
        <w:rPr>
          <w:noProof/>
          <w:position w:val="-8"/>
        </w:rPr>
        <w:drawing>
          <wp:inline distT="0" distB="0" distL="0" distR="0">
            <wp:extent cx="262890" cy="251460"/>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прочность (соответствующая классу) бетона в момент отгрузки (замораживания) его со склада завода-изготовителя.</w:t>
      </w:r>
    </w:p>
    <w:p w:rsidR="00212513" w:rsidRDefault="00212513">
      <w:pPr>
        <w:pStyle w:val="ConsPlusNormal"/>
        <w:spacing w:before="220"/>
        <w:ind w:firstLine="540"/>
        <w:jc w:val="both"/>
      </w:pPr>
      <w:r>
        <w:t xml:space="preserve">7.19 Для конструкций мостов и труб следует применять тяжелый бетон классов по прочности на сжатие B20, B22,5, B25, B27,5, B30, B35, B40, B45, B50, B55 и B60 по </w:t>
      </w:r>
      <w:hyperlink r:id="rId606">
        <w:r>
          <w:rPr>
            <w:color w:val="0000FF"/>
          </w:rPr>
          <w:t>ГОСТ 26633</w:t>
        </w:r>
      </w:hyperlink>
      <w:r>
        <w:t>. Бетон классов B22,5 и B27,5 следует предусматривать при условии, что это приводит к экономии цемента и не снижает других технико-экономических показателей конструкции.</w:t>
      </w:r>
    </w:p>
    <w:p w:rsidR="00212513" w:rsidRDefault="00212513">
      <w:pPr>
        <w:pStyle w:val="ConsPlusNormal"/>
        <w:spacing w:before="220"/>
        <w:ind w:firstLine="540"/>
        <w:jc w:val="both"/>
      </w:pPr>
      <w:r>
        <w:t xml:space="preserve">При соответствующем технико-экономическом обосновании допускается применение бетонов класса по прочности на сжатие выше B60 по </w:t>
      </w:r>
      <w:hyperlink r:id="rId607">
        <w:r>
          <w:rPr>
            <w:color w:val="0000FF"/>
          </w:rPr>
          <w:t>ГОСТ 26633</w:t>
        </w:r>
      </w:hyperlink>
      <w:r>
        <w:t xml:space="preserve">, а также фибробетонов на основе </w:t>
      </w:r>
      <w:r>
        <w:lastRenderedPageBreak/>
        <w:t>стальной и полимерной фибры, в том числе сверхпрочных.</w:t>
      </w:r>
    </w:p>
    <w:p w:rsidR="00212513" w:rsidRDefault="00212513">
      <w:pPr>
        <w:pStyle w:val="ConsPlusNormal"/>
        <w:spacing w:before="220"/>
        <w:ind w:firstLine="540"/>
        <w:jc w:val="both"/>
      </w:pPr>
      <w:r>
        <w:t xml:space="preserve">В зависимости от вида конструкций, их армирования и условий работы применяемый бетон должен соответствовать требованиям, приведенным в </w:t>
      </w:r>
      <w:hyperlink w:anchor="P2226">
        <w:r>
          <w:rPr>
            <w:color w:val="0000FF"/>
          </w:rPr>
          <w:t>таблице 7.4</w:t>
        </w:r>
      </w:hyperlink>
      <w:r>
        <w:t xml:space="preserve">. Если при расчетах по первому предельному состоянию к расчетному сопротивлению бетона применяют коэффициенты условий работы, приведенные в </w:t>
      </w:r>
      <w:hyperlink w:anchor="P2226">
        <w:r>
          <w:rPr>
            <w:color w:val="0000FF"/>
          </w:rPr>
          <w:t>таблице 7.4</w:t>
        </w:r>
      </w:hyperlink>
      <w:r>
        <w:t>, минимальные значения классов следует разделить на значения этих коэффициентов.</w:t>
      </w:r>
    </w:p>
    <w:p w:rsidR="00212513" w:rsidRDefault="00212513">
      <w:pPr>
        <w:pStyle w:val="ConsPlusNormal"/>
        <w:spacing w:before="220"/>
        <w:ind w:firstLine="540"/>
        <w:jc w:val="both"/>
      </w:pPr>
      <w:r>
        <w:t>Инъецирование арматурных каналов в предварительно напряженных конструкциях должно проводиться раствором с прочностью на 28-й день не ниже 30 МПа.</w:t>
      </w:r>
    </w:p>
    <w:p w:rsidR="00212513" w:rsidRDefault="00212513">
      <w:pPr>
        <w:pStyle w:val="ConsPlusNormal"/>
        <w:spacing w:before="220"/>
        <w:ind w:firstLine="540"/>
        <w:jc w:val="both"/>
      </w:pPr>
      <w:r>
        <w:t>Для омоноличивания стыков сборных конструкций следует применять бетон класса по прочности на сжатие не ниже принятого для стыкуемых элементов, но не выше B35, если более высокий класс не требуется по расчету или в соответствии с конструктивными требованиями.</w:t>
      </w:r>
    </w:p>
    <w:p w:rsidR="00212513" w:rsidRDefault="00212513">
      <w:pPr>
        <w:pStyle w:val="ConsPlusNormal"/>
        <w:jc w:val="both"/>
      </w:pPr>
      <w:r>
        <w:t xml:space="preserve">(п. 7.19 в ред. </w:t>
      </w:r>
      <w:hyperlink r:id="rId608">
        <w:r>
          <w:rPr>
            <w:color w:val="0000FF"/>
          </w:rPr>
          <w:t>Изменения N 3</w:t>
        </w:r>
      </w:hyperlink>
      <w:r>
        <w:t>, утв. Приказом Минстроя России от 29.12.2020 N 891/пр)</w:t>
      </w:r>
    </w:p>
    <w:p w:rsidR="00212513" w:rsidRDefault="00212513">
      <w:pPr>
        <w:pStyle w:val="ConsPlusNormal"/>
        <w:ind w:firstLine="540"/>
        <w:jc w:val="both"/>
      </w:pPr>
    </w:p>
    <w:p w:rsidR="00212513" w:rsidRDefault="00212513">
      <w:pPr>
        <w:pStyle w:val="ConsPlusNormal"/>
        <w:jc w:val="right"/>
      </w:pPr>
      <w:bookmarkStart w:id="99" w:name="P2226"/>
      <w:bookmarkEnd w:id="99"/>
      <w:r>
        <w:t>Таблица 7.4</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953"/>
        <w:gridCol w:w="3118"/>
      </w:tblGrid>
      <w:tr w:rsidR="00212513">
        <w:tc>
          <w:tcPr>
            <w:tcW w:w="5953" w:type="dxa"/>
            <w:tcBorders>
              <w:top w:val="single" w:sz="4" w:space="0" w:color="auto"/>
              <w:bottom w:val="single" w:sz="4" w:space="0" w:color="auto"/>
            </w:tcBorders>
            <w:vAlign w:val="center"/>
          </w:tcPr>
          <w:p w:rsidR="00212513" w:rsidRDefault="00212513">
            <w:pPr>
              <w:pStyle w:val="ConsPlusNormal"/>
              <w:jc w:val="center"/>
            </w:pPr>
            <w:r>
              <w:t>Конструкции, армирование и условия работы</w:t>
            </w:r>
          </w:p>
        </w:tc>
        <w:tc>
          <w:tcPr>
            <w:tcW w:w="3118" w:type="dxa"/>
            <w:tcBorders>
              <w:top w:val="single" w:sz="4" w:space="0" w:color="auto"/>
              <w:bottom w:val="single" w:sz="4" w:space="0" w:color="auto"/>
            </w:tcBorders>
            <w:vAlign w:val="center"/>
          </w:tcPr>
          <w:p w:rsidR="00212513" w:rsidRDefault="00212513">
            <w:pPr>
              <w:pStyle w:val="ConsPlusNormal"/>
              <w:jc w:val="center"/>
            </w:pPr>
            <w:r>
              <w:t>Бетон класса по прочности на сжатие, не ниже</w:t>
            </w:r>
          </w:p>
        </w:tc>
      </w:tr>
      <w:tr w:rsidR="00212513">
        <w:tc>
          <w:tcPr>
            <w:tcW w:w="5953" w:type="dxa"/>
            <w:tcBorders>
              <w:top w:val="single" w:sz="4" w:space="0" w:color="auto"/>
              <w:bottom w:val="single" w:sz="4" w:space="0" w:color="auto"/>
            </w:tcBorders>
          </w:tcPr>
          <w:p w:rsidR="00212513" w:rsidRDefault="00212513">
            <w:pPr>
              <w:pStyle w:val="ConsPlusNormal"/>
            </w:pPr>
            <w:r>
              <w:t>1 Бетонные</w:t>
            </w:r>
          </w:p>
        </w:tc>
        <w:tc>
          <w:tcPr>
            <w:tcW w:w="3118" w:type="dxa"/>
            <w:tcBorders>
              <w:top w:val="single" w:sz="4" w:space="0" w:color="auto"/>
              <w:bottom w:val="single" w:sz="4" w:space="0" w:color="auto"/>
            </w:tcBorders>
          </w:tcPr>
          <w:p w:rsidR="00212513" w:rsidRDefault="00212513">
            <w:pPr>
              <w:pStyle w:val="ConsPlusNormal"/>
              <w:jc w:val="center"/>
            </w:pPr>
            <w:r>
              <w:t>В20</w:t>
            </w:r>
          </w:p>
        </w:tc>
      </w:tr>
      <w:tr w:rsidR="00212513">
        <w:tblPrEx>
          <w:tblBorders>
            <w:insideH w:val="none" w:sz="0" w:space="0" w:color="auto"/>
          </w:tblBorders>
        </w:tblPrEx>
        <w:tc>
          <w:tcPr>
            <w:tcW w:w="5953" w:type="dxa"/>
            <w:tcBorders>
              <w:top w:val="single" w:sz="4" w:space="0" w:color="auto"/>
              <w:bottom w:val="nil"/>
            </w:tcBorders>
          </w:tcPr>
          <w:p w:rsidR="00212513" w:rsidRDefault="00212513">
            <w:pPr>
              <w:pStyle w:val="ConsPlusNormal"/>
            </w:pPr>
            <w:r>
              <w:t>2 Железобетонные с ненапрягаемой арматурой:</w:t>
            </w:r>
          </w:p>
        </w:tc>
        <w:tc>
          <w:tcPr>
            <w:tcW w:w="3118" w:type="dxa"/>
            <w:tcBorders>
              <w:top w:val="single" w:sz="4" w:space="0" w:color="auto"/>
              <w:bottom w:val="nil"/>
            </w:tcBorders>
          </w:tcPr>
          <w:p w:rsidR="00212513" w:rsidRDefault="00212513">
            <w:pPr>
              <w:pStyle w:val="ConsPlusNormal"/>
              <w:jc w:val="both"/>
            </w:pPr>
          </w:p>
        </w:tc>
      </w:tr>
      <w:tr w:rsidR="00212513">
        <w:tblPrEx>
          <w:tblBorders>
            <w:insideH w:val="none" w:sz="0" w:space="0" w:color="auto"/>
          </w:tblBorders>
        </w:tblPrEx>
        <w:tc>
          <w:tcPr>
            <w:tcW w:w="5953" w:type="dxa"/>
            <w:tcBorders>
              <w:top w:val="nil"/>
              <w:bottom w:val="nil"/>
            </w:tcBorders>
          </w:tcPr>
          <w:p w:rsidR="00212513" w:rsidRDefault="00212513">
            <w:pPr>
              <w:pStyle w:val="ConsPlusNormal"/>
              <w:ind w:left="283"/>
            </w:pPr>
            <w:r>
              <w:t>а) кроме пролетных строений</w:t>
            </w:r>
          </w:p>
        </w:tc>
        <w:tc>
          <w:tcPr>
            <w:tcW w:w="3118" w:type="dxa"/>
            <w:tcBorders>
              <w:top w:val="nil"/>
              <w:bottom w:val="nil"/>
            </w:tcBorders>
          </w:tcPr>
          <w:p w:rsidR="00212513" w:rsidRDefault="00212513">
            <w:pPr>
              <w:pStyle w:val="ConsPlusNormal"/>
              <w:jc w:val="center"/>
            </w:pPr>
            <w:r>
              <w:t>В25</w:t>
            </w:r>
          </w:p>
        </w:tc>
      </w:tr>
      <w:tr w:rsidR="00212513">
        <w:tblPrEx>
          <w:tblBorders>
            <w:insideH w:val="none" w:sz="0" w:space="0" w:color="auto"/>
          </w:tblBorders>
        </w:tblPrEx>
        <w:tc>
          <w:tcPr>
            <w:tcW w:w="5953" w:type="dxa"/>
            <w:tcBorders>
              <w:top w:val="nil"/>
              <w:bottom w:val="single" w:sz="4" w:space="0" w:color="auto"/>
            </w:tcBorders>
          </w:tcPr>
          <w:p w:rsidR="00212513" w:rsidRDefault="00212513">
            <w:pPr>
              <w:pStyle w:val="ConsPlusNormal"/>
              <w:ind w:left="283"/>
            </w:pPr>
            <w:r>
              <w:t>б) пролетные строения</w:t>
            </w:r>
          </w:p>
        </w:tc>
        <w:tc>
          <w:tcPr>
            <w:tcW w:w="3118" w:type="dxa"/>
            <w:tcBorders>
              <w:top w:val="nil"/>
              <w:bottom w:val="single" w:sz="4" w:space="0" w:color="auto"/>
            </w:tcBorders>
          </w:tcPr>
          <w:p w:rsidR="00212513" w:rsidRDefault="00212513">
            <w:pPr>
              <w:pStyle w:val="ConsPlusNormal"/>
              <w:jc w:val="center"/>
            </w:pPr>
            <w:r>
              <w:t>В30</w:t>
            </w:r>
          </w:p>
        </w:tc>
      </w:tr>
      <w:tr w:rsidR="00212513">
        <w:tblPrEx>
          <w:tblBorders>
            <w:insideH w:val="none" w:sz="0" w:space="0" w:color="auto"/>
          </w:tblBorders>
        </w:tblPrEx>
        <w:tc>
          <w:tcPr>
            <w:tcW w:w="5953" w:type="dxa"/>
            <w:tcBorders>
              <w:top w:val="single" w:sz="4" w:space="0" w:color="auto"/>
              <w:bottom w:val="nil"/>
            </w:tcBorders>
          </w:tcPr>
          <w:p w:rsidR="00212513" w:rsidRDefault="00212513">
            <w:pPr>
              <w:pStyle w:val="ConsPlusNormal"/>
            </w:pPr>
            <w:r>
              <w:t>3 Железобетонные предварительно напряженные:</w:t>
            </w:r>
          </w:p>
        </w:tc>
        <w:tc>
          <w:tcPr>
            <w:tcW w:w="3118" w:type="dxa"/>
            <w:tcBorders>
              <w:top w:val="single" w:sz="4" w:space="0" w:color="auto"/>
              <w:bottom w:val="nil"/>
            </w:tcBorders>
          </w:tcPr>
          <w:p w:rsidR="00212513" w:rsidRDefault="00212513">
            <w:pPr>
              <w:pStyle w:val="ConsPlusNormal"/>
              <w:jc w:val="both"/>
            </w:pPr>
          </w:p>
        </w:tc>
      </w:tr>
      <w:tr w:rsidR="00212513">
        <w:tblPrEx>
          <w:tblBorders>
            <w:insideH w:val="none" w:sz="0" w:space="0" w:color="auto"/>
          </w:tblBorders>
        </w:tblPrEx>
        <w:tc>
          <w:tcPr>
            <w:tcW w:w="5953" w:type="dxa"/>
            <w:tcBorders>
              <w:top w:val="nil"/>
              <w:bottom w:val="nil"/>
            </w:tcBorders>
          </w:tcPr>
          <w:p w:rsidR="00212513" w:rsidRDefault="00212513">
            <w:pPr>
              <w:pStyle w:val="ConsPlusNormal"/>
              <w:ind w:left="283"/>
            </w:pPr>
            <w:r>
              <w:t>а) без анкеров:</w:t>
            </w:r>
          </w:p>
        </w:tc>
        <w:tc>
          <w:tcPr>
            <w:tcW w:w="3118"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5953" w:type="dxa"/>
            <w:tcBorders>
              <w:top w:val="nil"/>
              <w:bottom w:val="nil"/>
            </w:tcBorders>
          </w:tcPr>
          <w:p w:rsidR="00212513" w:rsidRDefault="00212513">
            <w:pPr>
              <w:pStyle w:val="ConsPlusNormal"/>
              <w:ind w:left="566"/>
            </w:pPr>
            <w:r>
              <w:t>при стержневой арматуре классов:</w:t>
            </w:r>
          </w:p>
        </w:tc>
        <w:tc>
          <w:tcPr>
            <w:tcW w:w="3118"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5953" w:type="dxa"/>
            <w:tcBorders>
              <w:top w:val="nil"/>
              <w:bottom w:val="nil"/>
            </w:tcBorders>
          </w:tcPr>
          <w:p w:rsidR="00212513" w:rsidRDefault="00212513">
            <w:pPr>
              <w:pStyle w:val="ConsPlusNormal"/>
              <w:ind w:left="849"/>
            </w:pPr>
            <w:r>
              <w:t>А600 (А-IV), Ат600 (Ат-IV)</w:t>
            </w:r>
          </w:p>
        </w:tc>
        <w:tc>
          <w:tcPr>
            <w:tcW w:w="3118" w:type="dxa"/>
            <w:tcBorders>
              <w:top w:val="nil"/>
              <w:bottom w:val="nil"/>
            </w:tcBorders>
          </w:tcPr>
          <w:p w:rsidR="00212513" w:rsidRDefault="00212513">
            <w:pPr>
              <w:pStyle w:val="ConsPlusNormal"/>
              <w:jc w:val="center"/>
            </w:pPr>
            <w:r>
              <w:t>В30</w:t>
            </w:r>
          </w:p>
        </w:tc>
      </w:tr>
      <w:tr w:rsidR="00212513">
        <w:tblPrEx>
          <w:tblBorders>
            <w:insideH w:val="none" w:sz="0" w:space="0" w:color="auto"/>
          </w:tblBorders>
        </w:tblPrEx>
        <w:tc>
          <w:tcPr>
            <w:tcW w:w="5953" w:type="dxa"/>
            <w:tcBorders>
              <w:top w:val="nil"/>
              <w:bottom w:val="nil"/>
            </w:tcBorders>
          </w:tcPr>
          <w:p w:rsidR="00212513" w:rsidRDefault="00212513">
            <w:pPr>
              <w:pStyle w:val="ConsPlusNormal"/>
              <w:ind w:left="849"/>
            </w:pPr>
            <w:r>
              <w:t>А800 (А-V), Ат800 (Ат-V), Ат1000 (Ат-VI)</w:t>
            </w:r>
          </w:p>
        </w:tc>
        <w:tc>
          <w:tcPr>
            <w:tcW w:w="3118" w:type="dxa"/>
            <w:tcBorders>
              <w:top w:val="nil"/>
              <w:bottom w:val="nil"/>
            </w:tcBorders>
          </w:tcPr>
          <w:p w:rsidR="00212513" w:rsidRDefault="00212513">
            <w:pPr>
              <w:pStyle w:val="ConsPlusNormal"/>
              <w:jc w:val="center"/>
            </w:pPr>
            <w:r>
              <w:t>В35</w:t>
            </w:r>
          </w:p>
        </w:tc>
      </w:tr>
      <w:tr w:rsidR="00212513">
        <w:tblPrEx>
          <w:tblBorders>
            <w:insideH w:val="none" w:sz="0" w:space="0" w:color="auto"/>
          </w:tblBorders>
        </w:tblPrEx>
        <w:tc>
          <w:tcPr>
            <w:tcW w:w="5953" w:type="dxa"/>
            <w:tcBorders>
              <w:top w:val="nil"/>
              <w:bottom w:val="nil"/>
            </w:tcBorders>
          </w:tcPr>
          <w:p w:rsidR="00212513" w:rsidRDefault="00212513">
            <w:pPr>
              <w:pStyle w:val="ConsPlusNormal"/>
              <w:ind w:left="566"/>
            </w:pPr>
            <w:r>
              <w:t>при проволочной арматуре из одиночных проволок и канатов класса К7</w:t>
            </w:r>
          </w:p>
        </w:tc>
        <w:tc>
          <w:tcPr>
            <w:tcW w:w="3118" w:type="dxa"/>
            <w:tcBorders>
              <w:top w:val="nil"/>
              <w:bottom w:val="nil"/>
            </w:tcBorders>
          </w:tcPr>
          <w:p w:rsidR="00212513" w:rsidRDefault="00212513">
            <w:pPr>
              <w:pStyle w:val="ConsPlusNormal"/>
              <w:jc w:val="center"/>
            </w:pPr>
            <w:r>
              <w:t>В35</w:t>
            </w:r>
          </w:p>
        </w:tc>
      </w:tr>
      <w:tr w:rsidR="00212513">
        <w:tblPrEx>
          <w:tblBorders>
            <w:insideH w:val="none" w:sz="0" w:space="0" w:color="auto"/>
          </w:tblBorders>
        </w:tblPrEx>
        <w:tc>
          <w:tcPr>
            <w:tcW w:w="5953" w:type="dxa"/>
            <w:tcBorders>
              <w:top w:val="nil"/>
              <w:bottom w:val="nil"/>
            </w:tcBorders>
          </w:tcPr>
          <w:p w:rsidR="00212513" w:rsidRDefault="00212513">
            <w:pPr>
              <w:pStyle w:val="ConsPlusNormal"/>
              <w:ind w:left="283"/>
            </w:pPr>
            <w:r>
              <w:t>б) с анкерами:</w:t>
            </w:r>
          </w:p>
        </w:tc>
        <w:tc>
          <w:tcPr>
            <w:tcW w:w="3118"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5953" w:type="dxa"/>
            <w:tcBorders>
              <w:top w:val="nil"/>
              <w:bottom w:val="nil"/>
            </w:tcBorders>
          </w:tcPr>
          <w:p w:rsidR="00212513" w:rsidRDefault="00212513">
            <w:pPr>
              <w:pStyle w:val="ConsPlusNormal"/>
              <w:ind w:left="566"/>
            </w:pPr>
            <w:r>
              <w:t>при проволочной арматуре из одиночных проволок и из одиночных арматурных канатов класса К7</w:t>
            </w:r>
          </w:p>
        </w:tc>
        <w:tc>
          <w:tcPr>
            <w:tcW w:w="3118" w:type="dxa"/>
            <w:tcBorders>
              <w:top w:val="nil"/>
              <w:bottom w:val="nil"/>
            </w:tcBorders>
          </w:tcPr>
          <w:p w:rsidR="00212513" w:rsidRDefault="00212513">
            <w:pPr>
              <w:pStyle w:val="ConsPlusNormal"/>
              <w:jc w:val="center"/>
            </w:pPr>
            <w:r>
              <w:t>В35</w:t>
            </w:r>
          </w:p>
        </w:tc>
      </w:tr>
      <w:tr w:rsidR="00212513">
        <w:tblPrEx>
          <w:tblBorders>
            <w:insideH w:val="none" w:sz="0" w:space="0" w:color="auto"/>
          </w:tblBorders>
        </w:tblPrEx>
        <w:tc>
          <w:tcPr>
            <w:tcW w:w="9071" w:type="dxa"/>
            <w:gridSpan w:val="2"/>
            <w:tcBorders>
              <w:top w:val="nil"/>
              <w:bottom w:val="nil"/>
            </w:tcBorders>
          </w:tcPr>
          <w:p w:rsidR="00212513" w:rsidRDefault="00212513">
            <w:pPr>
              <w:pStyle w:val="ConsPlusNormal"/>
              <w:jc w:val="both"/>
            </w:pPr>
            <w:r>
              <w:t xml:space="preserve">(в ред. </w:t>
            </w:r>
            <w:hyperlink r:id="rId609">
              <w:r>
                <w:rPr>
                  <w:color w:val="0000FF"/>
                </w:rPr>
                <w:t>Изменения N 1</w:t>
              </w:r>
            </w:hyperlink>
            <w:r>
              <w:t>, утв. Приказом Минстроя России от 03.12.2016 N 879/пр)</w:t>
            </w:r>
          </w:p>
        </w:tc>
      </w:tr>
      <w:tr w:rsidR="00212513">
        <w:tblPrEx>
          <w:tblBorders>
            <w:insideH w:val="none" w:sz="0" w:space="0" w:color="auto"/>
          </w:tblBorders>
        </w:tblPrEx>
        <w:tc>
          <w:tcPr>
            <w:tcW w:w="5953" w:type="dxa"/>
            <w:tcBorders>
              <w:top w:val="nil"/>
              <w:bottom w:val="single" w:sz="4" w:space="0" w:color="auto"/>
            </w:tcBorders>
          </w:tcPr>
          <w:p w:rsidR="00212513" w:rsidRDefault="00212513">
            <w:pPr>
              <w:pStyle w:val="ConsPlusNormal"/>
              <w:ind w:left="566"/>
            </w:pPr>
            <w:r>
              <w:t>из пучков арматурных канатов класса К7 и при стальных канатах (со свивкой спиральной двойной и закрытых)</w:t>
            </w:r>
          </w:p>
        </w:tc>
        <w:tc>
          <w:tcPr>
            <w:tcW w:w="3118" w:type="dxa"/>
            <w:tcBorders>
              <w:top w:val="nil"/>
              <w:bottom w:val="single" w:sz="4" w:space="0" w:color="auto"/>
            </w:tcBorders>
          </w:tcPr>
          <w:p w:rsidR="00212513" w:rsidRDefault="00212513">
            <w:pPr>
              <w:pStyle w:val="ConsPlusNormal"/>
              <w:jc w:val="center"/>
            </w:pPr>
            <w:r>
              <w:t>В35</w:t>
            </w:r>
          </w:p>
        </w:tc>
      </w:tr>
      <w:tr w:rsidR="00212513">
        <w:tblPrEx>
          <w:tblBorders>
            <w:insideH w:val="none" w:sz="0" w:space="0" w:color="auto"/>
          </w:tblBorders>
        </w:tblPrEx>
        <w:tc>
          <w:tcPr>
            <w:tcW w:w="5953" w:type="dxa"/>
            <w:tcBorders>
              <w:top w:val="single" w:sz="4" w:space="0" w:color="auto"/>
              <w:bottom w:val="nil"/>
            </w:tcBorders>
          </w:tcPr>
          <w:p w:rsidR="00212513" w:rsidRDefault="00212513">
            <w:pPr>
              <w:pStyle w:val="ConsPlusNormal"/>
            </w:pPr>
            <w:r>
              <w:t>4 Блоки облицовки опор на реках с ледоходом при расположении мостов в районах со средней температурой наружного воздуха и наиболее холодной пятидневки, °C:</w:t>
            </w:r>
          </w:p>
        </w:tc>
        <w:tc>
          <w:tcPr>
            <w:tcW w:w="3118" w:type="dxa"/>
            <w:tcBorders>
              <w:top w:val="single" w:sz="4" w:space="0" w:color="auto"/>
              <w:bottom w:val="nil"/>
            </w:tcBorders>
          </w:tcPr>
          <w:p w:rsidR="00212513" w:rsidRDefault="00212513">
            <w:pPr>
              <w:pStyle w:val="ConsPlusNormal"/>
              <w:jc w:val="both"/>
            </w:pPr>
          </w:p>
        </w:tc>
      </w:tr>
      <w:tr w:rsidR="00212513">
        <w:tblPrEx>
          <w:tblBorders>
            <w:insideH w:val="none" w:sz="0" w:space="0" w:color="auto"/>
          </w:tblBorders>
        </w:tblPrEx>
        <w:tc>
          <w:tcPr>
            <w:tcW w:w="5953" w:type="dxa"/>
            <w:tcBorders>
              <w:top w:val="nil"/>
              <w:bottom w:val="nil"/>
            </w:tcBorders>
          </w:tcPr>
          <w:p w:rsidR="00212513" w:rsidRDefault="00212513">
            <w:pPr>
              <w:pStyle w:val="ConsPlusNormal"/>
              <w:ind w:left="283"/>
            </w:pPr>
            <w:r>
              <w:lastRenderedPageBreak/>
              <w:t>минус 40 и выше</w:t>
            </w:r>
          </w:p>
        </w:tc>
        <w:tc>
          <w:tcPr>
            <w:tcW w:w="3118" w:type="dxa"/>
            <w:tcBorders>
              <w:top w:val="nil"/>
              <w:bottom w:val="nil"/>
            </w:tcBorders>
          </w:tcPr>
          <w:p w:rsidR="00212513" w:rsidRDefault="00212513">
            <w:pPr>
              <w:pStyle w:val="ConsPlusNormal"/>
              <w:jc w:val="center"/>
            </w:pPr>
            <w:r>
              <w:t>В35</w:t>
            </w:r>
          </w:p>
        </w:tc>
      </w:tr>
      <w:tr w:rsidR="00212513">
        <w:tblPrEx>
          <w:tblBorders>
            <w:insideH w:val="none" w:sz="0" w:space="0" w:color="auto"/>
          </w:tblBorders>
        </w:tblPrEx>
        <w:tc>
          <w:tcPr>
            <w:tcW w:w="5953" w:type="dxa"/>
            <w:tcBorders>
              <w:top w:val="nil"/>
              <w:bottom w:val="nil"/>
            </w:tcBorders>
          </w:tcPr>
          <w:p w:rsidR="00212513" w:rsidRDefault="00212513">
            <w:pPr>
              <w:pStyle w:val="ConsPlusNormal"/>
              <w:ind w:left="283"/>
            </w:pPr>
            <w:r>
              <w:t>ниже минус 40</w:t>
            </w:r>
          </w:p>
        </w:tc>
        <w:tc>
          <w:tcPr>
            <w:tcW w:w="3118" w:type="dxa"/>
            <w:tcBorders>
              <w:top w:val="nil"/>
              <w:bottom w:val="nil"/>
            </w:tcBorders>
          </w:tcPr>
          <w:p w:rsidR="00212513" w:rsidRDefault="00212513">
            <w:pPr>
              <w:pStyle w:val="ConsPlusNormal"/>
              <w:jc w:val="center"/>
            </w:pPr>
            <w:r>
              <w:t>В45</w:t>
            </w:r>
          </w:p>
        </w:tc>
      </w:tr>
      <w:tr w:rsidR="00212513">
        <w:tblPrEx>
          <w:tblBorders>
            <w:insideH w:val="none" w:sz="0" w:space="0" w:color="auto"/>
          </w:tblBorders>
        </w:tblPrEx>
        <w:tc>
          <w:tcPr>
            <w:tcW w:w="5953" w:type="dxa"/>
            <w:tcBorders>
              <w:top w:val="nil"/>
              <w:bottom w:val="nil"/>
            </w:tcBorders>
          </w:tcPr>
          <w:p w:rsidR="00212513" w:rsidRDefault="00212513">
            <w:pPr>
              <w:pStyle w:val="ConsPlusNormal"/>
            </w:pPr>
            <w:r>
              <w:t>Для опор мостов при их расположении в зонах действия приливов и отливов или попеременного замораживания и оттаивания при работе плотин</w:t>
            </w:r>
          </w:p>
        </w:tc>
        <w:tc>
          <w:tcPr>
            <w:tcW w:w="3118" w:type="dxa"/>
            <w:tcBorders>
              <w:top w:val="nil"/>
              <w:bottom w:val="nil"/>
            </w:tcBorders>
          </w:tcPr>
          <w:p w:rsidR="00212513" w:rsidRDefault="00212513">
            <w:pPr>
              <w:pStyle w:val="ConsPlusNormal"/>
              <w:jc w:val="center"/>
            </w:pPr>
            <w:r>
              <w:t>В45</w:t>
            </w:r>
          </w:p>
        </w:tc>
      </w:tr>
      <w:tr w:rsidR="00212513">
        <w:tblPrEx>
          <w:tblBorders>
            <w:insideH w:val="none" w:sz="0" w:space="0" w:color="auto"/>
          </w:tblBorders>
        </w:tblPrEx>
        <w:tc>
          <w:tcPr>
            <w:tcW w:w="5953" w:type="dxa"/>
            <w:tcBorders>
              <w:top w:val="nil"/>
              <w:bottom w:val="nil"/>
            </w:tcBorders>
          </w:tcPr>
          <w:p w:rsidR="00212513" w:rsidRDefault="00212513">
            <w:pPr>
              <w:pStyle w:val="ConsPlusNormal"/>
            </w:pPr>
            <w:r>
              <w:t>Бетон заполнения внутренних полостей сборно-монолитных опор и свай-оболочек</w:t>
            </w:r>
          </w:p>
        </w:tc>
        <w:tc>
          <w:tcPr>
            <w:tcW w:w="3118" w:type="dxa"/>
            <w:tcBorders>
              <w:top w:val="nil"/>
              <w:bottom w:val="nil"/>
            </w:tcBorders>
          </w:tcPr>
          <w:p w:rsidR="00212513" w:rsidRDefault="00212513">
            <w:pPr>
              <w:pStyle w:val="ConsPlusNormal"/>
              <w:jc w:val="center"/>
            </w:pPr>
            <w:r>
              <w:t>В20</w:t>
            </w:r>
          </w:p>
        </w:tc>
      </w:tr>
      <w:tr w:rsidR="00212513">
        <w:tblPrEx>
          <w:tblBorders>
            <w:insideH w:val="none" w:sz="0" w:space="0" w:color="auto"/>
          </w:tblBorders>
        </w:tblPrEx>
        <w:tc>
          <w:tcPr>
            <w:tcW w:w="9071" w:type="dxa"/>
            <w:gridSpan w:val="2"/>
            <w:tcBorders>
              <w:top w:val="nil"/>
              <w:bottom w:val="single" w:sz="4" w:space="0" w:color="auto"/>
            </w:tcBorders>
          </w:tcPr>
          <w:p w:rsidR="00212513" w:rsidRDefault="00212513">
            <w:pPr>
              <w:pStyle w:val="ConsPlusNormal"/>
              <w:jc w:val="both"/>
            </w:pPr>
            <w:r>
              <w:t xml:space="preserve">(позиция введена </w:t>
            </w:r>
            <w:hyperlink r:id="rId610">
              <w:r>
                <w:rPr>
                  <w:color w:val="0000FF"/>
                </w:rPr>
                <w:t>Изменением N 1</w:t>
              </w:r>
            </w:hyperlink>
            <w:r>
              <w:t>, утв. Приказом Минстроя России от 03.12.2016 N 879/пр)</w:t>
            </w:r>
          </w:p>
        </w:tc>
      </w:tr>
    </w:tbl>
    <w:p w:rsidR="00212513" w:rsidRDefault="00212513">
      <w:pPr>
        <w:pStyle w:val="ConsPlusNormal"/>
        <w:ind w:firstLine="540"/>
        <w:jc w:val="both"/>
      </w:pPr>
    </w:p>
    <w:p w:rsidR="00212513" w:rsidRDefault="00212513">
      <w:pPr>
        <w:pStyle w:val="ConsPlusNormal"/>
        <w:ind w:firstLine="540"/>
        <w:jc w:val="both"/>
      </w:pPr>
      <w:r>
        <w:t>7.20 Марки бетона и раствора по морозостойкости F в зависимости от климатических условий зоны строительства, расположения и вида конструкций следует принимать по таблице 7.5.</w:t>
      </w:r>
    </w:p>
    <w:p w:rsidR="00212513" w:rsidRDefault="00212513">
      <w:pPr>
        <w:pStyle w:val="ConsPlusNormal"/>
        <w:ind w:firstLine="540"/>
        <w:jc w:val="both"/>
      </w:pPr>
    </w:p>
    <w:p w:rsidR="00212513" w:rsidRDefault="00212513">
      <w:pPr>
        <w:pStyle w:val="ConsPlusNormal"/>
        <w:jc w:val="right"/>
      </w:pPr>
      <w:r>
        <w:t>Таблица 7.5</w:t>
      </w:r>
    </w:p>
    <w:p w:rsidR="00212513" w:rsidRDefault="00212513">
      <w:pPr>
        <w:pStyle w:val="ConsPlusNormal"/>
        <w:jc w:val="center"/>
      </w:pPr>
    </w:p>
    <w:p w:rsidR="00212513" w:rsidRDefault="00212513">
      <w:pPr>
        <w:pStyle w:val="ConsPlusNormal"/>
        <w:jc w:val="center"/>
      </w:pPr>
      <w:r>
        <w:t xml:space="preserve">(таблица 7.5 в ред. </w:t>
      </w:r>
      <w:hyperlink r:id="rId611">
        <w:r>
          <w:rPr>
            <w:color w:val="0000FF"/>
          </w:rPr>
          <w:t>Изменения N 4</w:t>
        </w:r>
      </w:hyperlink>
      <w:r>
        <w:t>, утв. Приказом</w:t>
      </w:r>
    </w:p>
    <w:p w:rsidR="00212513" w:rsidRDefault="00212513">
      <w:pPr>
        <w:pStyle w:val="ConsPlusNormal"/>
        <w:jc w:val="center"/>
      </w:pPr>
      <w:r>
        <w:t>Минстроя России от 30.05.2024 N 361/пр)</w:t>
      </w:r>
    </w:p>
    <w:p w:rsidR="00212513" w:rsidRDefault="00212513">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1474"/>
        <w:gridCol w:w="1304"/>
        <w:gridCol w:w="1247"/>
        <w:gridCol w:w="907"/>
        <w:gridCol w:w="1134"/>
        <w:gridCol w:w="794"/>
      </w:tblGrid>
      <w:tr w:rsidR="00212513">
        <w:tc>
          <w:tcPr>
            <w:tcW w:w="2211" w:type="dxa"/>
            <w:vMerge w:val="restart"/>
            <w:vAlign w:val="center"/>
          </w:tcPr>
          <w:p w:rsidR="00212513" w:rsidRDefault="00212513">
            <w:pPr>
              <w:pStyle w:val="ConsPlusNormal"/>
              <w:jc w:val="center"/>
            </w:pPr>
            <w:r>
              <w:t xml:space="preserve">Климатические условия (характеризуемые температурой наиболее холодной пятидневки с обеспеченностью 0,92, согласно </w:t>
            </w:r>
            <w:hyperlink r:id="rId612">
              <w:r>
                <w:rPr>
                  <w:color w:val="0000FF"/>
                </w:rPr>
                <w:t>СП 131.13330</w:t>
              </w:r>
            </w:hyperlink>
            <w:r>
              <w:t>, °C) и условия эксплуатации</w:t>
            </w:r>
          </w:p>
        </w:tc>
        <w:tc>
          <w:tcPr>
            <w:tcW w:w="6860" w:type="dxa"/>
            <w:gridSpan w:val="6"/>
            <w:vAlign w:val="center"/>
          </w:tcPr>
          <w:p w:rsidR="00212513" w:rsidRDefault="00212513">
            <w:pPr>
              <w:pStyle w:val="ConsPlusNormal"/>
              <w:jc w:val="center"/>
            </w:pPr>
            <w:r>
              <w:t>Расположение конструкций и их частей</w:t>
            </w:r>
          </w:p>
        </w:tc>
      </w:tr>
      <w:tr w:rsidR="00212513">
        <w:tc>
          <w:tcPr>
            <w:tcW w:w="2211" w:type="dxa"/>
            <w:vMerge/>
          </w:tcPr>
          <w:p w:rsidR="00212513" w:rsidRDefault="00212513">
            <w:pPr>
              <w:pStyle w:val="ConsPlusNormal"/>
            </w:pPr>
          </w:p>
        </w:tc>
        <w:tc>
          <w:tcPr>
            <w:tcW w:w="2778" w:type="dxa"/>
            <w:gridSpan w:val="2"/>
            <w:vAlign w:val="center"/>
          </w:tcPr>
          <w:p w:rsidR="00212513" w:rsidRDefault="00212513">
            <w:pPr>
              <w:pStyle w:val="ConsPlusNormal"/>
              <w:jc w:val="center"/>
            </w:pPr>
            <w:r>
              <w:t xml:space="preserve">В надводной, подземной и надземной незатопляемой зонах </w:t>
            </w:r>
            <w:hyperlink w:anchor="P2315">
              <w:r>
                <w:rPr>
                  <w:color w:val="0000FF"/>
                </w:rPr>
                <w:t>&lt;1&gt;</w:t>
              </w:r>
            </w:hyperlink>
          </w:p>
        </w:tc>
        <w:tc>
          <w:tcPr>
            <w:tcW w:w="4082" w:type="dxa"/>
            <w:gridSpan w:val="4"/>
            <w:vAlign w:val="center"/>
          </w:tcPr>
          <w:p w:rsidR="00212513" w:rsidRDefault="00212513">
            <w:pPr>
              <w:pStyle w:val="ConsPlusNormal"/>
              <w:jc w:val="center"/>
            </w:pPr>
            <w:r>
              <w:t xml:space="preserve">В зоне переменного уровня воды </w:t>
            </w:r>
            <w:hyperlink w:anchor="P2316">
              <w:r>
                <w:rPr>
                  <w:color w:val="0000FF"/>
                </w:rPr>
                <w:t>&lt;2&gt;</w:t>
              </w:r>
            </w:hyperlink>
            <w:r>
              <w:t xml:space="preserve">, </w:t>
            </w:r>
            <w:hyperlink w:anchor="P2317">
              <w:r>
                <w:rPr>
                  <w:color w:val="0000FF"/>
                </w:rPr>
                <w:t>&lt;3&gt;</w:t>
              </w:r>
            </w:hyperlink>
          </w:p>
        </w:tc>
      </w:tr>
      <w:tr w:rsidR="00212513">
        <w:tc>
          <w:tcPr>
            <w:tcW w:w="2211" w:type="dxa"/>
            <w:vMerge/>
          </w:tcPr>
          <w:p w:rsidR="00212513" w:rsidRDefault="00212513">
            <w:pPr>
              <w:pStyle w:val="ConsPlusNormal"/>
            </w:pPr>
          </w:p>
        </w:tc>
        <w:tc>
          <w:tcPr>
            <w:tcW w:w="6860" w:type="dxa"/>
            <w:gridSpan w:val="6"/>
            <w:vAlign w:val="center"/>
          </w:tcPr>
          <w:p w:rsidR="00212513" w:rsidRDefault="00212513">
            <w:pPr>
              <w:pStyle w:val="ConsPlusNormal"/>
              <w:jc w:val="center"/>
            </w:pPr>
            <w:r>
              <w:t>Вид конструкций</w:t>
            </w:r>
          </w:p>
        </w:tc>
      </w:tr>
      <w:tr w:rsidR="00212513">
        <w:tc>
          <w:tcPr>
            <w:tcW w:w="2211" w:type="dxa"/>
            <w:vMerge/>
          </w:tcPr>
          <w:p w:rsidR="00212513" w:rsidRDefault="00212513">
            <w:pPr>
              <w:pStyle w:val="ConsPlusNormal"/>
            </w:pPr>
          </w:p>
        </w:tc>
        <w:tc>
          <w:tcPr>
            <w:tcW w:w="1474" w:type="dxa"/>
            <w:vMerge w:val="restart"/>
            <w:vAlign w:val="center"/>
          </w:tcPr>
          <w:p w:rsidR="00212513" w:rsidRDefault="00212513">
            <w:pPr>
              <w:pStyle w:val="ConsPlusNormal"/>
              <w:jc w:val="center"/>
            </w:pPr>
            <w:r>
              <w:t>железобетонные и тонкостенные бетонные (толщиной менее 0,5 м)</w:t>
            </w:r>
          </w:p>
        </w:tc>
        <w:tc>
          <w:tcPr>
            <w:tcW w:w="1304" w:type="dxa"/>
            <w:vMerge w:val="restart"/>
            <w:vAlign w:val="center"/>
          </w:tcPr>
          <w:p w:rsidR="00212513" w:rsidRDefault="00212513">
            <w:pPr>
              <w:pStyle w:val="ConsPlusNormal"/>
              <w:jc w:val="center"/>
            </w:pPr>
            <w:r>
              <w:t>бетонные массивные</w:t>
            </w:r>
          </w:p>
        </w:tc>
        <w:tc>
          <w:tcPr>
            <w:tcW w:w="1247" w:type="dxa"/>
            <w:vMerge w:val="restart"/>
            <w:vAlign w:val="center"/>
          </w:tcPr>
          <w:p w:rsidR="00212513" w:rsidRDefault="00212513">
            <w:pPr>
              <w:pStyle w:val="ConsPlusNormal"/>
              <w:jc w:val="center"/>
            </w:pPr>
            <w:r>
              <w:t>железобетонные и тонкостенные бетонные</w:t>
            </w:r>
          </w:p>
        </w:tc>
        <w:tc>
          <w:tcPr>
            <w:tcW w:w="2041" w:type="dxa"/>
            <w:gridSpan w:val="2"/>
            <w:vAlign w:val="center"/>
          </w:tcPr>
          <w:p w:rsidR="00212513" w:rsidRDefault="00212513">
            <w:pPr>
              <w:pStyle w:val="ConsPlusNormal"/>
              <w:jc w:val="center"/>
            </w:pPr>
            <w:r>
              <w:t>Бетонные массивные</w:t>
            </w:r>
          </w:p>
        </w:tc>
        <w:tc>
          <w:tcPr>
            <w:tcW w:w="794" w:type="dxa"/>
            <w:vMerge w:val="restart"/>
            <w:vAlign w:val="center"/>
          </w:tcPr>
          <w:p w:rsidR="00212513" w:rsidRDefault="00212513">
            <w:pPr>
              <w:pStyle w:val="ConsPlusNormal"/>
              <w:jc w:val="center"/>
            </w:pPr>
            <w:r>
              <w:t>блоки облицовки</w:t>
            </w:r>
          </w:p>
        </w:tc>
      </w:tr>
      <w:tr w:rsidR="00212513">
        <w:tc>
          <w:tcPr>
            <w:tcW w:w="2211" w:type="dxa"/>
            <w:vMerge/>
          </w:tcPr>
          <w:p w:rsidR="00212513" w:rsidRDefault="00212513">
            <w:pPr>
              <w:pStyle w:val="ConsPlusNormal"/>
            </w:pPr>
          </w:p>
        </w:tc>
        <w:tc>
          <w:tcPr>
            <w:tcW w:w="1474" w:type="dxa"/>
            <w:vMerge/>
          </w:tcPr>
          <w:p w:rsidR="00212513" w:rsidRDefault="00212513">
            <w:pPr>
              <w:pStyle w:val="ConsPlusNormal"/>
            </w:pPr>
          </w:p>
        </w:tc>
        <w:tc>
          <w:tcPr>
            <w:tcW w:w="1304" w:type="dxa"/>
            <w:vMerge/>
          </w:tcPr>
          <w:p w:rsidR="00212513" w:rsidRDefault="00212513">
            <w:pPr>
              <w:pStyle w:val="ConsPlusNormal"/>
            </w:pPr>
          </w:p>
        </w:tc>
        <w:tc>
          <w:tcPr>
            <w:tcW w:w="1247" w:type="dxa"/>
            <w:vMerge/>
          </w:tcPr>
          <w:p w:rsidR="00212513" w:rsidRDefault="00212513">
            <w:pPr>
              <w:pStyle w:val="ConsPlusNormal"/>
            </w:pPr>
          </w:p>
        </w:tc>
        <w:tc>
          <w:tcPr>
            <w:tcW w:w="907" w:type="dxa"/>
            <w:vAlign w:val="center"/>
          </w:tcPr>
          <w:p w:rsidR="00212513" w:rsidRDefault="00212513">
            <w:pPr>
              <w:pStyle w:val="ConsPlusNormal"/>
              <w:jc w:val="center"/>
            </w:pPr>
            <w:r>
              <w:t>кладка тела опор (бетон наружной зоны)</w:t>
            </w:r>
          </w:p>
        </w:tc>
        <w:tc>
          <w:tcPr>
            <w:tcW w:w="1134" w:type="dxa"/>
            <w:vAlign w:val="center"/>
          </w:tcPr>
          <w:p w:rsidR="00212513" w:rsidRDefault="00212513">
            <w:pPr>
              <w:pStyle w:val="ConsPlusNormal"/>
              <w:jc w:val="center"/>
            </w:pPr>
            <w:r>
              <w:t>кладка заполнения при блоках облицовки (бетон внутренней зоны)</w:t>
            </w:r>
          </w:p>
        </w:tc>
        <w:tc>
          <w:tcPr>
            <w:tcW w:w="794" w:type="dxa"/>
            <w:vMerge/>
          </w:tcPr>
          <w:p w:rsidR="00212513" w:rsidRDefault="00212513">
            <w:pPr>
              <w:pStyle w:val="ConsPlusNormal"/>
            </w:pPr>
          </w:p>
        </w:tc>
      </w:tr>
      <w:tr w:rsidR="00212513">
        <w:tc>
          <w:tcPr>
            <w:tcW w:w="2211" w:type="dxa"/>
            <w:vMerge/>
          </w:tcPr>
          <w:p w:rsidR="00212513" w:rsidRDefault="00212513">
            <w:pPr>
              <w:pStyle w:val="ConsPlusNormal"/>
            </w:pPr>
          </w:p>
        </w:tc>
        <w:tc>
          <w:tcPr>
            <w:tcW w:w="6860" w:type="dxa"/>
            <w:gridSpan w:val="6"/>
            <w:vAlign w:val="center"/>
          </w:tcPr>
          <w:p w:rsidR="00212513" w:rsidRDefault="00212513">
            <w:pPr>
              <w:pStyle w:val="ConsPlusNormal"/>
              <w:jc w:val="center"/>
            </w:pPr>
            <w:r>
              <w:t>Марка бетона по морозостойкости</w:t>
            </w:r>
          </w:p>
        </w:tc>
      </w:tr>
      <w:tr w:rsidR="00212513">
        <w:tc>
          <w:tcPr>
            <w:tcW w:w="2211" w:type="dxa"/>
          </w:tcPr>
          <w:p w:rsidR="00212513" w:rsidRDefault="00212513">
            <w:pPr>
              <w:pStyle w:val="ConsPlusNormal"/>
            </w:pPr>
            <w:r>
              <w:t>Умеренные:</w:t>
            </w:r>
          </w:p>
          <w:p w:rsidR="00212513" w:rsidRDefault="00212513">
            <w:pPr>
              <w:pStyle w:val="ConsPlusNormal"/>
              <w:ind w:left="283"/>
            </w:pPr>
            <w:r>
              <w:t>минус 10 и выше</w:t>
            </w:r>
          </w:p>
        </w:tc>
        <w:tc>
          <w:tcPr>
            <w:tcW w:w="1474" w:type="dxa"/>
            <w:vAlign w:val="center"/>
          </w:tcPr>
          <w:p w:rsidR="00212513" w:rsidRDefault="00212513">
            <w:pPr>
              <w:pStyle w:val="ConsPlusNormal"/>
              <w:jc w:val="center"/>
            </w:pPr>
            <w:r>
              <w:t>F</w:t>
            </w:r>
            <w:r>
              <w:rPr>
                <w:vertAlign w:val="subscript"/>
              </w:rPr>
              <w:t>1</w:t>
            </w:r>
            <w:r>
              <w:t>200</w:t>
            </w:r>
          </w:p>
        </w:tc>
        <w:tc>
          <w:tcPr>
            <w:tcW w:w="1304" w:type="dxa"/>
            <w:vAlign w:val="center"/>
          </w:tcPr>
          <w:p w:rsidR="00212513" w:rsidRDefault="00212513">
            <w:pPr>
              <w:pStyle w:val="ConsPlusNormal"/>
              <w:jc w:val="center"/>
            </w:pPr>
            <w:r>
              <w:t>F</w:t>
            </w:r>
            <w:r>
              <w:rPr>
                <w:vertAlign w:val="subscript"/>
              </w:rPr>
              <w:t>1</w:t>
            </w:r>
            <w:r>
              <w:t>100</w:t>
            </w:r>
          </w:p>
        </w:tc>
        <w:tc>
          <w:tcPr>
            <w:tcW w:w="1247" w:type="dxa"/>
            <w:vAlign w:val="center"/>
          </w:tcPr>
          <w:p w:rsidR="00212513" w:rsidRDefault="00212513">
            <w:pPr>
              <w:pStyle w:val="ConsPlusNormal"/>
              <w:jc w:val="center"/>
            </w:pPr>
            <w:r>
              <w:t>F</w:t>
            </w:r>
            <w:r>
              <w:rPr>
                <w:vertAlign w:val="subscript"/>
              </w:rPr>
              <w:t>1</w:t>
            </w:r>
            <w:r>
              <w:t>200</w:t>
            </w:r>
          </w:p>
        </w:tc>
        <w:tc>
          <w:tcPr>
            <w:tcW w:w="907" w:type="dxa"/>
            <w:vAlign w:val="center"/>
          </w:tcPr>
          <w:p w:rsidR="00212513" w:rsidRDefault="00212513">
            <w:pPr>
              <w:pStyle w:val="ConsPlusNormal"/>
              <w:jc w:val="center"/>
            </w:pPr>
            <w:r>
              <w:t>F</w:t>
            </w:r>
            <w:r>
              <w:rPr>
                <w:vertAlign w:val="subscript"/>
              </w:rPr>
              <w:t>1</w:t>
            </w:r>
            <w:r>
              <w:t>100</w:t>
            </w:r>
          </w:p>
        </w:tc>
        <w:tc>
          <w:tcPr>
            <w:tcW w:w="1134" w:type="dxa"/>
            <w:vAlign w:val="center"/>
          </w:tcPr>
          <w:p w:rsidR="00212513" w:rsidRDefault="00212513">
            <w:pPr>
              <w:pStyle w:val="ConsPlusNormal"/>
              <w:jc w:val="center"/>
            </w:pPr>
            <w:r>
              <w:t>F</w:t>
            </w:r>
            <w:r>
              <w:rPr>
                <w:vertAlign w:val="subscript"/>
              </w:rPr>
              <w:t>1</w:t>
            </w:r>
            <w:r>
              <w:t>100</w:t>
            </w:r>
          </w:p>
        </w:tc>
        <w:tc>
          <w:tcPr>
            <w:tcW w:w="794" w:type="dxa"/>
            <w:vAlign w:val="center"/>
          </w:tcPr>
          <w:p w:rsidR="00212513" w:rsidRDefault="00212513">
            <w:pPr>
              <w:pStyle w:val="ConsPlusNormal"/>
              <w:jc w:val="center"/>
            </w:pPr>
            <w:r>
              <w:t>-</w:t>
            </w:r>
          </w:p>
        </w:tc>
      </w:tr>
      <w:tr w:rsidR="00212513">
        <w:tc>
          <w:tcPr>
            <w:tcW w:w="2211" w:type="dxa"/>
          </w:tcPr>
          <w:p w:rsidR="00212513" w:rsidRDefault="00212513">
            <w:pPr>
              <w:pStyle w:val="ConsPlusNormal"/>
            </w:pPr>
            <w:r>
              <w:t>Суровые:</w:t>
            </w:r>
          </w:p>
          <w:p w:rsidR="00212513" w:rsidRDefault="00212513">
            <w:pPr>
              <w:pStyle w:val="ConsPlusNormal"/>
              <w:ind w:left="283"/>
            </w:pPr>
            <w:r>
              <w:t>ниже минус 10 до минус 20 включительно</w:t>
            </w:r>
          </w:p>
        </w:tc>
        <w:tc>
          <w:tcPr>
            <w:tcW w:w="1474" w:type="dxa"/>
            <w:vAlign w:val="center"/>
          </w:tcPr>
          <w:p w:rsidR="00212513" w:rsidRDefault="00212513">
            <w:pPr>
              <w:pStyle w:val="ConsPlusNormal"/>
              <w:jc w:val="center"/>
            </w:pPr>
            <w:r>
              <w:t>F</w:t>
            </w:r>
            <w:r>
              <w:rPr>
                <w:vertAlign w:val="subscript"/>
              </w:rPr>
              <w:t>1</w:t>
            </w:r>
            <w:r>
              <w:t>200</w:t>
            </w:r>
          </w:p>
        </w:tc>
        <w:tc>
          <w:tcPr>
            <w:tcW w:w="1304" w:type="dxa"/>
            <w:vAlign w:val="center"/>
          </w:tcPr>
          <w:p w:rsidR="00212513" w:rsidRDefault="00212513">
            <w:pPr>
              <w:pStyle w:val="ConsPlusNormal"/>
              <w:jc w:val="center"/>
            </w:pPr>
            <w:r>
              <w:t>F</w:t>
            </w:r>
            <w:r>
              <w:rPr>
                <w:vertAlign w:val="subscript"/>
              </w:rPr>
              <w:t>1</w:t>
            </w:r>
            <w:r>
              <w:t>100</w:t>
            </w:r>
          </w:p>
        </w:tc>
        <w:tc>
          <w:tcPr>
            <w:tcW w:w="1247" w:type="dxa"/>
            <w:vAlign w:val="center"/>
          </w:tcPr>
          <w:p w:rsidR="00212513" w:rsidRDefault="00212513">
            <w:pPr>
              <w:pStyle w:val="ConsPlusNormal"/>
              <w:jc w:val="center"/>
            </w:pPr>
            <w:r>
              <w:t>F</w:t>
            </w:r>
            <w:r>
              <w:rPr>
                <w:vertAlign w:val="subscript"/>
              </w:rPr>
              <w:t>1</w:t>
            </w:r>
            <w:r>
              <w:t>300</w:t>
            </w:r>
          </w:p>
        </w:tc>
        <w:tc>
          <w:tcPr>
            <w:tcW w:w="907" w:type="dxa"/>
            <w:vAlign w:val="center"/>
          </w:tcPr>
          <w:p w:rsidR="00212513" w:rsidRDefault="00212513">
            <w:pPr>
              <w:pStyle w:val="ConsPlusNormal"/>
              <w:jc w:val="center"/>
            </w:pPr>
            <w:r>
              <w:t>F</w:t>
            </w:r>
            <w:r>
              <w:rPr>
                <w:vertAlign w:val="subscript"/>
              </w:rPr>
              <w:t>1</w:t>
            </w:r>
            <w:r>
              <w:t>200</w:t>
            </w:r>
          </w:p>
        </w:tc>
        <w:tc>
          <w:tcPr>
            <w:tcW w:w="1134" w:type="dxa"/>
            <w:vAlign w:val="center"/>
          </w:tcPr>
          <w:p w:rsidR="00212513" w:rsidRDefault="00212513">
            <w:pPr>
              <w:pStyle w:val="ConsPlusNormal"/>
              <w:jc w:val="center"/>
            </w:pPr>
            <w:r>
              <w:t>F</w:t>
            </w:r>
            <w:r>
              <w:rPr>
                <w:vertAlign w:val="subscript"/>
              </w:rPr>
              <w:t>1</w:t>
            </w:r>
            <w:r>
              <w:t>100</w:t>
            </w:r>
          </w:p>
        </w:tc>
        <w:tc>
          <w:tcPr>
            <w:tcW w:w="794" w:type="dxa"/>
            <w:vAlign w:val="center"/>
          </w:tcPr>
          <w:p w:rsidR="00212513" w:rsidRDefault="00212513">
            <w:pPr>
              <w:pStyle w:val="ConsPlusNormal"/>
              <w:jc w:val="center"/>
            </w:pPr>
            <w:r>
              <w:t>F</w:t>
            </w:r>
            <w:r>
              <w:rPr>
                <w:vertAlign w:val="subscript"/>
              </w:rPr>
              <w:t>1</w:t>
            </w:r>
            <w:r>
              <w:t>300</w:t>
            </w:r>
          </w:p>
        </w:tc>
      </w:tr>
      <w:tr w:rsidR="00212513">
        <w:tc>
          <w:tcPr>
            <w:tcW w:w="2211" w:type="dxa"/>
            <w:vAlign w:val="center"/>
          </w:tcPr>
          <w:p w:rsidR="00212513" w:rsidRDefault="00212513">
            <w:pPr>
              <w:pStyle w:val="ConsPlusNormal"/>
            </w:pPr>
            <w:r>
              <w:t>Особо суровые:</w:t>
            </w:r>
          </w:p>
          <w:p w:rsidR="00212513" w:rsidRDefault="00212513">
            <w:pPr>
              <w:pStyle w:val="ConsPlusNormal"/>
              <w:ind w:left="283"/>
            </w:pPr>
            <w:r>
              <w:t>ниже минус 20</w:t>
            </w:r>
          </w:p>
        </w:tc>
        <w:tc>
          <w:tcPr>
            <w:tcW w:w="1474" w:type="dxa"/>
            <w:vAlign w:val="center"/>
          </w:tcPr>
          <w:p w:rsidR="00212513" w:rsidRDefault="00212513">
            <w:pPr>
              <w:pStyle w:val="ConsPlusNormal"/>
              <w:jc w:val="center"/>
            </w:pPr>
            <w:r>
              <w:t>F</w:t>
            </w:r>
            <w:r>
              <w:rPr>
                <w:vertAlign w:val="subscript"/>
              </w:rPr>
              <w:t>1</w:t>
            </w:r>
            <w:r>
              <w:t>300</w:t>
            </w:r>
          </w:p>
        </w:tc>
        <w:tc>
          <w:tcPr>
            <w:tcW w:w="1304" w:type="dxa"/>
            <w:vAlign w:val="center"/>
          </w:tcPr>
          <w:p w:rsidR="00212513" w:rsidRDefault="00212513">
            <w:pPr>
              <w:pStyle w:val="ConsPlusNormal"/>
              <w:jc w:val="center"/>
            </w:pPr>
            <w:r>
              <w:t>F</w:t>
            </w:r>
            <w:r>
              <w:rPr>
                <w:vertAlign w:val="subscript"/>
              </w:rPr>
              <w:t>1</w:t>
            </w:r>
            <w:r>
              <w:t>200</w:t>
            </w:r>
          </w:p>
        </w:tc>
        <w:tc>
          <w:tcPr>
            <w:tcW w:w="1247" w:type="dxa"/>
            <w:vAlign w:val="center"/>
          </w:tcPr>
          <w:p w:rsidR="00212513" w:rsidRDefault="00212513">
            <w:pPr>
              <w:pStyle w:val="ConsPlusNormal"/>
              <w:jc w:val="center"/>
            </w:pPr>
            <w:r>
              <w:t>F</w:t>
            </w:r>
            <w:r>
              <w:rPr>
                <w:vertAlign w:val="subscript"/>
              </w:rPr>
              <w:t>1</w:t>
            </w:r>
            <w:r>
              <w:t xml:space="preserve">300 </w:t>
            </w:r>
            <w:hyperlink w:anchor="P2318">
              <w:r>
                <w:rPr>
                  <w:color w:val="0000FF"/>
                </w:rPr>
                <w:t>&lt;4&gt;</w:t>
              </w:r>
            </w:hyperlink>
          </w:p>
        </w:tc>
        <w:tc>
          <w:tcPr>
            <w:tcW w:w="907" w:type="dxa"/>
            <w:vAlign w:val="center"/>
          </w:tcPr>
          <w:p w:rsidR="00212513" w:rsidRDefault="00212513">
            <w:pPr>
              <w:pStyle w:val="ConsPlusNormal"/>
              <w:jc w:val="center"/>
            </w:pPr>
            <w:r>
              <w:t>F</w:t>
            </w:r>
            <w:r>
              <w:rPr>
                <w:vertAlign w:val="subscript"/>
              </w:rPr>
              <w:t>1</w:t>
            </w:r>
            <w:r>
              <w:t>300</w:t>
            </w:r>
          </w:p>
        </w:tc>
        <w:tc>
          <w:tcPr>
            <w:tcW w:w="1134" w:type="dxa"/>
            <w:vAlign w:val="center"/>
          </w:tcPr>
          <w:p w:rsidR="00212513" w:rsidRDefault="00212513">
            <w:pPr>
              <w:pStyle w:val="ConsPlusNormal"/>
              <w:jc w:val="center"/>
            </w:pPr>
            <w:r>
              <w:t>F</w:t>
            </w:r>
            <w:r>
              <w:rPr>
                <w:vertAlign w:val="subscript"/>
              </w:rPr>
              <w:t>1</w:t>
            </w:r>
            <w:r>
              <w:t>200</w:t>
            </w:r>
          </w:p>
        </w:tc>
        <w:tc>
          <w:tcPr>
            <w:tcW w:w="794" w:type="dxa"/>
            <w:vAlign w:val="center"/>
          </w:tcPr>
          <w:p w:rsidR="00212513" w:rsidRDefault="00212513">
            <w:pPr>
              <w:pStyle w:val="ConsPlusNormal"/>
              <w:jc w:val="center"/>
            </w:pPr>
            <w:r>
              <w:t>F</w:t>
            </w:r>
            <w:r>
              <w:rPr>
                <w:vertAlign w:val="subscript"/>
              </w:rPr>
              <w:t>1</w:t>
            </w:r>
            <w:r>
              <w:t xml:space="preserve">400 </w:t>
            </w:r>
            <w:hyperlink w:anchor="P2319">
              <w:r>
                <w:rPr>
                  <w:color w:val="0000FF"/>
                </w:rPr>
                <w:t>&lt;5&gt;</w:t>
              </w:r>
            </w:hyperlink>
          </w:p>
        </w:tc>
      </w:tr>
      <w:tr w:rsidR="00212513">
        <w:tc>
          <w:tcPr>
            <w:tcW w:w="2211" w:type="dxa"/>
          </w:tcPr>
          <w:p w:rsidR="00212513" w:rsidRDefault="00212513">
            <w:pPr>
              <w:pStyle w:val="ConsPlusNormal"/>
            </w:pPr>
            <w:r>
              <w:lastRenderedPageBreak/>
              <w:t>Зоны воздействия антигололедных солей</w:t>
            </w:r>
          </w:p>
        </w:tc>
        <w:tc>
          <w:tcPr>
            <w:tcW w:w="6860" w:type="dxa"/>
            <w:gridSpan w:val="6"/>
            <w:vAlign w:val="center"/>
          </w:tcPr>
          <w:p w:rsidR="00212513" w:rsidRDefault="00212513">
            <w:pPr>
              <w:pStyle w:val="ConsPlusNormal"/>
              <w:jc w:val="center"/>
            </w:pPr>
            <w:r>
              <w:t>F</w:t>
            </w:r>
            <w:r>
              <w:rPr>
                <w:vertAlign w:val="subscript"/>
              </w:rPr>
              <w:t>2</w:t>
            </w:r>
            <w:r>
              <w:t>300</w:t>
            </w:r>
          </w:p>
        </w:tc>
      </w:tr>
      <w:tr w:rsidR="00212513">
        <w:tc>
          <w:tcPr>
            <w:tcW w:w="9071" w:type="dxa"/>
            <w:gridSpan w:val="7"/>
          </w:tcPr>
          <w:p w:rsidR="00212513" w:rsidRDefault="00212513">
            <w:pPr>
              <w:pStyle w:val="ConsPlusNormal"/>
              <w:ind w:firstLine="283"/>
              <w:jc w:val="both"/>
            </w:pPr>
            <w:bookmarkStart w:id="100" w:name="P2315"/>
            <w:bookmarkEnd w:id="100"/>
            <w:r>
              <w:t>&lt;1&gt; К надземным незатопляемым зонам в опорах следует относить части, расположенные на 1 м выше поверхности грунта. Для бетона участков опор, расположенных ниже и достигающих половины глубины промерзания грунта, следует предусматривать требования, указанные для конструкций, находящихся в зоне переменного уровня воды.</w:t>
            </w:r>
          </w:p>
          <w:p w:rsidR="00212513" w:rsidRDefault="00212513">
            <w:pPr>
              <w:pStyle w:val="ConsPlusNormal"/>
              <w:ind w:firstLine="283"/>
              <w:jc w:val="both"/>
            </w:pPr>
            <w:bookmarkStart w:id="101" w:name="P2316"/>
            <w:bookmarkEnd w:id="101"/>
            <w:r>
              <w:t>&lt;2&gt; За верхнюю границу зоны переменного уровня воды следует принимать условный уровень, который на 1 м выше наивысшего уровня ледостава, за нижнюю - уровень на 0,5 м ниже нижней поверхности слоя льда наинизшего ледостава.</w:t>
            </w:r>
          </w:p>
          <w:p w:rsidR="00212513" w:rsidRDefault="00212513">
            <w:pPr>
              <w:pStyle w:val="ConsPlusNormal"/>
              <w:ind w:firstLine="283"/>
              <w:jc w:val="both"/>
            </w:pPr>
            <w:bookmarkStart w:id="102" w:name="P2317"/>
            <w:bookmarkEnd w:id="102"/>
            <w:r>
              <w:t>&lt;3&gt; Марка бетона по морозостойкости для конструкций, находящихся в зоне действия приливов, по отношению к марке, приведенной в настоящей таблице, повышается на 100 циклов.</w:t>
            </w:r>
          </w:p>
          <w:p w:rsidR="00212513" w:rsidRDefault="00212513">
            <w:pPr>
              <w:pStyle w:val="ConsPlusNormal"/>
              <w:ind w:firstLine="283"/>
              <w:jc w:val="both"/>
            </w:pPr>
            <w:bookmarkStart w:id="103" w:name="P2318"/>
            <w:bookmarkEnd w:id="103"/>
            <w:r>
              <w:t>&lt;4&gt; Железобетонные элементы промежуточных опор железнодорожных и совмещенных мостов на постоянных водотоках в районах с особо суровыми климатическими условиями должны иметь марку бетона по морозостойкости F</w:t>
            </w:r>
            <w:r>
              <w:rPr>
                <w:vertAlign w:val="subscript"/>
              </w:rPr>
              <w:t>1</w:t>
            </w:r>
            <w:r>
              <w:t>400.</w:t>
            </w:r>
          </w:p>
          <w:p w:rsidR="00212513" w:rsidRDefault="00212513">
            <w:pPr>
              <w:pStyle w:val="ConsPlusNormal"/>
              <w:ind w:firstLine="283"/>
              <w:jc w:val="both"/>
            </w:pPr>
            <w:bookmarkStart w:id="104" w:name="P2319"/>
            <w:bookmarkEnd w:id="104"/>
            <w:r>
              <w:t>&lt;5&gt; Бетон блоков облицовки опор больших железнодорожных и совмещенных мостов через реки с ледоходом при толщине льда свыше 1,5 м и расположении моста в районе с особо суровыми климатическими условиями должен иметь марку по морозостойкости F</w:t>
            </w:r>
            <w:r>
              <w:rPr>
                <w:vertAlign w:val="subscript"/>
              </w:rPr>
              <w:t>1</w:t>
            </w:r>
            <w:r>
              <w:t>500.</w:t>
            </w:r>
          </w:p>
          <w:p w:rsidR="00212513" w:rsidRDefault="00212513">
            <w:pPr>
              <w:pStyle w:val="ConsPlusNormal"/>
            </w:pPr>
          </w:p>
          <w:p w:rsidR="00212513" w:rsidRDefault="00212513">
            <w:pPr>
              <w:pStyle w:val="ConsPlusNormal"/>
              <w:ind w:firstLine="283"/>
              <w:jc w:val="both"/>
            </w:pPr>
            <w:r>
              <w:t>Примечания</w:t>
            </w:r>
          </w:p>
          <w:p w:rsidR="00212513" w:rsidRDefault="00212513">
            <w:pPr>
              <w:pStyle w:val="ConsPlusNormal"/>
              <w:ind w:firstLine="283"/>
              <w:jc w:val="both"/>
            </w:pPr>
            <w:r>
              <w:t>1 К бетону частей конструкций подводных (на 0,5 м ниже поверхности слоя льда наинизшего ледостава), подземных (ниже половины глубины промерзания), а также находящихся в вечномерзлых грунтах требования по морозостойкости не нормируются. В обсыпных устоях к подземным частям конструкции относятся части тела устоя, расположенные ниже половины глубины промерзания грунта конуса насыпи.</w:t>
            </w:r>
          </w:p>
          <w:p w:rsidR="00212513" w:rsidRDefault="00212513">
            <w:pPr>
              <w:pStyle w:val="ConsPlusNormal"/>
              <w:ind w:firstLine="283"/>
              <w:jc w:val="both"/>
            </w:pPr>
            <w:r>
              <w:t>2 Бетон всех элементов водопропускных труб, укрепления русел рек и конусов насыпей, берегоукрепительных и регуляционных сооружений (бетон, находящийся в сезоннооттаивающем слое грунта в районах вечной мерзлоты), всех элементов мостового полотна включая плиты проезжей части автодорожных мостов без гидроизоляции, а также бетон выравнивающего слоя одежды ездового полотна, выполняющий гидроизолирующие функции, и плиты мостового полотна в железнодорожных пролетных строениях при безбалластной езде должен отвечать требованиям по морозостойкости, предъявляемым к бетону, находящемуся в зоне переменного уровня воды.</w:t>
            </w:r>
          </w:p>
          <w:p w:rsidR="00212513" w:rsidRDefault="00212513">
            <w:pPr>
              <w:pStyle w:val="ConsPlusNormal"/>
              <w:ind w:firstLine="283"/>
              <w:jc w:val="both"/>
            </w:pPr>
            <w:r>
              <w:t>3 К зонам воздействия антигололедных солей относятся элементы, примыкающие к автодорожному полотну, уборка снега с которого может проводиться с использованием солей, а также зоны конструкций, расположенные в плане и по высоте не далее 3 м от него, не имеющие гидроизоляции либо иной антикоррозионной защиты.</w:t>
            </w:r>
          </w:p>
        </w:tc>
      </w:tr>
    </w:tbl>
    <w:p w:rsidR="00212513" w:rsidRDefault="00212513">
      <w:pPr>
        <w:pStyle w:val="ConsPlusNormal"/>
      </w:pPr>
    </w:p>
    <w:p w:rsidR="00212513" w:rsidRDefault="00212513">
      <w:pPr>
        <w:pStyle w:val="ConsPlusNormal"/>
        <w:ind w:firstLine="540"/>
        <w:jc w:val="both"/>
      </w:pPr>
      <w:r>
        <w:t>7.21 Марки по морозостойкости бетона тела опор и блоков облицовки для мостов, расположенных вблизи плотин гидростанций и водохранилищ, должны устанавливаться в каждом отдельном случае на основе анализа конкретных условий эксплуатации и требований, предъявляемых в этих случаях к бетону речных гидротехнических сооружений.</w:t>
      </w:r>
    </w:p>
    <w:p w:rsidR="00212513" w:rsidRDefault="00212513">
      <w:pPr>
        <w:pStyle w:val="ConsPlusNormal"/>
        <w:spacing w:before="220"/>
        <w:ind w:firstLine="540"/>
        <w:jc w:val="both"/>
      </w:pPr>
      <w:r>
        <w:t>7.22 В подводных и подземных сооружениях, не подвергающихся электрической и химической коррозии, следует применять бетон с маркой по водонепроницаемости W6.</w:t>
      </w:r>
    </w:p>
    <w:p w:rsidR="00212513" w:rsidRDefault="00212513">
      <w:pPr>
        <w:pStyle w:val="ConsPlusNormal"/>
        <w:spacing w:before="220"/>
        <w:ind w:firstLine="540"/>
        <w:jc w:val="both"/>
      </w:pPr>
      <w:r>
        <w:t>Остальные элементы и части конструкций, в том числе бетонируемые стыки железобетонных мостов и труб и защитный слой одежды ездового полотна, должны проектироваться из бетона, имеющего марку по водонепроницаемости не ниже W8.</w:t>
      </w:r>
    </w:p>
    <w:p w:rsidR="00212513" w:rsidRDefault="00212513">
      <w:pPr>
        <w:pStyle w:val="ConsPlusNormal"/>
        <w:spacing w:before="220"/>
        <w:ind w:firstLine="540"/>
        <w:jc w:val="both"/>
      </w:pPr>
      <w:r>
        <w:t>Для бетона с морозостойкостью F</w:t>
      </w:r>
      <w:r>
        <w:rPr>
          <w:vertAlign w:val="subscript"/>
        </w:rPr>
        <w:t>2</w:t>
      </w:r>
      <w:r>
        <w:t>300 водонепроницаемость допускается назначать W12, а минимальный класс бетона на сжатие - B35.</w:t>
      </w:r>
    </w:p>
    <w:p w:rsidR="00212513" w:rsidRDefault="00212513">
      <w:pPr>
        <w:pStyle w:val="ConsPlusNormal"/>
        <w:spacing w:before="220"/>
        <w:ind w:firstLine="540"/>
        <w:jc w:val="both"/>
      </w:pPr>
      <w:r>
        <w:lastRenderedPageBreak/>
        <w:t xml:space="preserve">В элементах конструкций, предназначенных для эксплуатации в агрессивных средах, включая воздействие агрессивных грунтовых вод, морского климата и морской воды, следует применять бетоны, обладающие стойкостью в соответствии с требованиями </w:t>
      </w:r>
      <w:hyperlink r:id="rId613">
        <w:r>
          <w:rPr>
            <w:color w:val="0000FF"/>
          </w:rPr>
          <w:t>СП 28.13330</w:t>
        </w:r>
      </w:hyperlink>
      <w:r>
        <w:t xml:space="preserve"> по составу, классу прочности, маркам морозостойкости и водонепроницаемости, минимальному защитному слою - с учетом срока эксплуатации конструкций.</w:t>
      </w:r>
    </w:p>
    <w:p w:rsidR="00212513" w:rsidRDefault="00212513">
      <w:pPr>
        <w:pStyle w:val="ConsPlusNormal"/>
        <w:jc w:val="both"/>
      </w:pPr>
      <w:r>
        <w:t xml:space="preserve">(п. 7.22 в ред. </w:t>
      </w:r>
      <w:hyperlink r:id="rId614">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t xml:space="preserve">7.23 Минимальный класс поверхности бетонных и железобетонных конструкций следует принимать в соответствии с требованиями </w:t>
      </w:r>
      <w:hyperlink w:anchor="P15760">
        <w:r>
          <w:rPr>
            <w:color w:val="0000FF"/>
          </w:rPr>
          <w:t>приложения Х</w:t>
        </w:r>
      </w:hyperlink>
      <w:r>
        <w:t xml:space="preserve"> и </w:t>
      </w:r>
      <w:hyperlink r:id="rId615">
        <w:r>
          <w:rPr>
            <w:color w:val="0000FF"/>
          </w:rPr>
          <w:t>СП 70.13330</w:t>
        </w:r>
      </w:hyperlink>
      <w:r>
        <w:t>:</w:t>
      </w:r>
    </w:p>
    <w:p w:rsidR="00212513" w:rsidRDefault="00212513">
      <w:pPr>
        <w:pStyle w:val="ConsPlusNormal"/>
        <w:spacing w:before="220"/>
        <w:ind w:firstLine="540"/>
        <w:jc w:val="both"/>
      </w:pPr>
      <w:r>
        <w:t>А3 - предназначенных под окраску, в том числе архитектурную, вторичную защиту от воздействия окружающей среды и напыляемую гидроизоляцию;</w:t>
      </w:r>
    </w:p>
    <w:p w:rsidR="00212513" w:rsidRDefault="00212513">
      <w:pPr>
        <w:pStyle w:val="ConsPlusNormal"/>
        <w:spacing w:before="220"/>
        <w:ind w:firstLine="540"/>
        <w:jc w:val="both"/>
      </w:pPr>
      <w:r>
        <w:t>А4 - предназначенных для укладки оклеечной (наплавляемой) гидроизоляции;</w:t>
      </w:r>
    </w:p>
    <w:p w:rsidR="00212513" w:rsidRDefault="00212513">
      <w:pPr>
        <w:pStyle w:val="ConsPlusNormal"/>
        <w:spacing w:before="220"/>
        <w:ind w:firstLine="540"/>
        <w:jc w:val="both"/>
      </w:pPr>
      <w:r>
        <w:t>А6 - обрабатываемых проникающими составами без образования пленки на поверхности, а также подземных, покрываемых обмазочной гидроизоляцией, и надземных без покрытия;</w:t>
      </w:r>
    </w:p>
    <w:p w:rsidR="00212513" w:rsidRDefault="00212513">
      <w:pPr>
        <w:pStyle w:val="ConsPlusNormal"/>
        <w:spacing w:before="220"/>
        <w:ind w:firstLine="540"/>
        <w:jc w:val="both"/>
      </w:pPr>
      <w:r>
        <w:t>А7 - омоноличиваемых бетоном, а также подземных, не имеющих покрытия.</w:t>
      </w:r>
    </w:p>
    <w:p w:rsidR="00212513" w:rsidRDefault="00212513">
      <w:pPr>
        <w:pStyle w:val="ConsPlusNormal"/>
        <w:jc w:val="both"/>
      </w:pPr>
      <w:r>
        <w:t xml:space="preserve">(п. 7.23 в ред. </w:t>
      </w:r>
      <w:hyperlink r:id="rId616">
        <w:r>
          <w:rPr>
            <w:color w:val="0000FF"/>
          </w:rPr>
          <w:t>Изменения N 3</w:t>
        </w:r>
      </w:hyperlink>
      <w:r>
        <w:t>, утв. Приказом Минстроя России от 29.12.2020 N 891/пр)</w:t>
      </w:r>
    </w:p>
    <w:p w:rsidR="00212513" w:rsidRDefault="00212513">
      <w:pPr>
        <w:pStyle w:val="ConsPlusNormal"/>
        <w:ind w:firstLine="540"/>
        <w:jc w:val="both"/>
      </w:pPr>
    </w:p>
    <w:p w:rsidR="00212513" w:rsidRDefault="00212513">
      <w:pPr>
        <w:pStyle w:val="ConsPlusNormal"/>
        <w:ind w:firstLine="540"/>
        <w:jc w:val="both"/>
      </w:pPr>
      <w:r>
        <w:rPr>
          <w:i/>
        </w:rPr>
        <w:t>Расчетные сопротивления</w:t>
      </w:r>
    </w:p>
    <w:p w:rsidR="00212513" w:rsidRDefault="00212513">
      <w:pPr>
        <w:pStyle w:val="ConsPlusNormal"/>
        <w:ind w:firstLine="540"/>
        <w:jc w:val="both"/>
      </w:pPr>
    </w:p>
    <w:p w:rsidR="00212513" w:rsidRDefault="00212513">
      <w:pPr>
        <w:pStyle w:val="ConsPlusNormal"/>
        <w:ind w:firstLine="540"/>
        <w:jc w:val="both"/>
      </w:pPr>
      <w:bookmarkStart w:id="105" w:name="P2341"/>
      <w:bookmarkEnd w:id="105"/>
      <w:r>
        <w:t xml:space="preserve">7.24 Основными нормативными прочностными характеристиками бетона являются значения сопротивления бетона осевому сжатию (призменная прочность) </w:t>
      </w:r>
      <w:r>
        <w:rPr>
          <w:noProof/>
          <w:position w:val="-8"/>
        </w:rPr>
        <w:drawing>
          <wp:inline distT="0" distB="0" distL="0" distR="0">
            <wp:extent cx="251460" cy="251460"/>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и осевому растяжению </w:t>
      </w:r>
      <w:r>
        <w:rPr>
          <w:noProof/>
          <w:position w:val="-8"/>
        </w:rPr>
        <w:drawing>
          <wp:inline distT="0" distB="0" distL="0" distR="0">
            <wp:extent cx="281940" cy="251460"/>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определяемые с обеспеченностью 0,95.</w:t>
      </w:r>
    </w:p>
    <w:p w:rsidR="00212513" w:rsidRDefault="00212513">
      <w:pPr>
        <w:pStyle w:val="ConsPlusNormal"/>
        <w:spacing w:before="220"/>
        <w:ind w:firstLine="540"/>
        <w:jc w:val="both"/>
      </w:pPr>
      <w:r>
        <w:t xml:space="preserve">Основные расчетные прочностные характеристики бетона - сопротивление осевому сжатию </w:t>
      </w:r>
      <w:r>
        <w:rPr>
          <w:noProof/>
          <w:position w:val="-8"/>
        </w:rPr>
        <w:drawing>
          <wp:inline distT="0" distB="0" distL="0" distR="0">
            <wp:extent cx="209550" cy="251460"/>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осевому растяжению </w:t>
      </w:r>
      <w:r>
        <w:rPr>
          <w:noProof/>
          <w:position w:val="-8"/>
        </w:rPr>
        <w:drawing>
          <wp:inline distT="0" distB="0" distL="0" distR="0">
            <wp:extent cx="241935" cy="251460"/>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определяют делением нормативных значений сопротивления бетона на соответствующий коэффициент надежности по материалу </w:t>
      </w:r>
      <w:r>
        <w:rPr>
          <w:noProof/>
          <w:position w:val="-8"/>
        </w:rPr>
        <w:drawing>
          <wp:inline distT="0" distB="0" distL="0" distR="0">
            <wp:extent cx="209550" cy="251460"/>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умножением на коэффициент условий работы </w:t>
      </w:r>
      <w:r>
        <w:rPr>
          <w:noProof/>
          <w:position w:val="-8"/>
        </w:rPr>
        <w:drawing>
          <wp:inline distT="0" distB="0" distL="0" distR="0">
            <wp:extent cx="220980" cy="251460"/>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Коэффициент надежности по материалу (бетону) </w:t>
      </w:r>
      <w:r>
        <w:rPr>
          <w:noProof/>
          <w:position w:val="-8"/>
        </w:rPr>
        <w:drawing>
          <wp:inline distT="0" distB="0" distL="0" distR="0">
            <wp:extent cx="209550" cy="251460"/>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для предельных состояний первой группы принимают равным 1,3 для осевого сжатия и 1,5 для осевого растяжения.</w:t>
      </w:r>
    </w:p>
    <w:p w:rsidR="00212513" w:rsidRDefault="00212513">
      <w:pPr>
        <w:pStyle w:val="ConsPlusNormal"/>
        <w:spacing w:before="220"/>
        <w:ind w:firstLine="540"/>
        <w:jc w:val="both"/>
      </w:pPr>
      <w:r>
        <w:t xml:space="preserve">Для предельных состояний второй группы коэффициент надежности по материалу </w:t>
      </w:r>
      <w:r>
        <w:rPr>
          <w:noProof/>
          <w:position w:val="-8"/>
        </w:rPr>
        <w:drawing>
          <wp:inline distT="0" distB="0" distL="0" distR="0">
            <wp:extent cx="209550" cy="251460"/>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равен 1,0.</w:t>
      </w:r>
    </w:p>
    <w:p w:rsidR="00212513" w:rsidRDefault="00212513">
      <w:pPr>
        <w:pStyle w:val="ConsPlusNormal"/>
        <w:spacing w:before="220"/>
        <w:ind w:firstLine="540"/>
        <w:jc w:val="both"/>
      </w:pPr>
      <w:r>
        <w:t>Коэффициент условий работы по назначению принимают равным:</w:t>
      </w:r>
    </w:p>
    <w:p w:rsidR="00212513" w:rsidRDefault="00212513">
      <w:pPr>
        <w:pStyle w:val="ConsPlusNormal"/>
        <w:spacing w:before="220"/>
        <w:ind w:firstLine="540"/>
        <w:jc w:val="both"/>
      </w:pPr>
      <w:r>
        <w:t>0,9 - для предельных состояний первой группы;</w:t>
      </w:r>
    </w:p>
    <w:p w:rsidR="00212513" w:rsidRDefault="00212513">
      <w:pPr>
        <w:pStyle w:val="ConsPlusNormal"/>
        <w:spacing w:before="220"/>
        <w:ind w:firstLine="540"/>
        <w:jc w:val="both"/>
      </w:pPr>
      <w:r>
        <w:t>1,0 - для предельных состояний второй группы.</w:t>
      </w:r>
    </w:p>
    <w:p w:rsidR="00212513" w:rsidRDefault="00212513">
      <w:pPr>
        <w:pStyle w:val="ConsPlusNormal"/>
        <w:spacing w:before="220"/>
        <w:ind w:firstLine="540"/>
        <w:jc w:val="both"/>
      </w:pPr>
      <w:r>
        <w:t>Расчетные сопротивления бетона разных классов при расчете конструкций мостов и труб по предельным состояниям первой и второй групп должны приниматься по таблице 7.6.</w:t>
      </w:r>
    </w:p>
    <w:p w:rsidR="00212513" w:rsidRDefault="00212513">
      <w:pPr>
        <w:pStyle w:val="ConsPlusNormal"/>
        <w:ind w:firstLine="540"/>
        <w:jc w:val="both"/>
      </w:pPr>
    </w:p>
    <w:p w:rsidR="00212513" w:rsidRDefault="00212513">
      <w:pPr>
        <w:pStyle w:val="ConsPlusNormal"/>
        <w:jc w:val="right"/>
      </w:pPr>
      <w:bookmarkStart w:id="106" w:name="P2350"/>
      <w:bookmarkEnd w:id="106"/>
      <w:r>
        <w:t>Таблица 7.6</w:t>
      </w:r>
    </w:p>
    <w:p w:rsidR="00212513" w:rsidRDefault="00212513">
      <w:pPr>
        <w:pStyle w:val="ConsPlusNormal"/>
        <w:ind w:firstLine="540"/>
        <w:jc w:val="both"/>
      </w:pPr>
    </w:p>
    <w:p w:rsidR="00212513" w:rsidRDefault="00212513">
      <w:pPr>
        <w:pStyle w:val="ConsPlusNormal"/>
        <w:sectPr w:rsidR="00212513" w:rsidSect="00EE75BF">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191"/>
        <w:gridCol w:w="713"/>
        <w:gridCol w:w="713"/>
        <w:gridCol w:w="713"/>
        <w:gridCol w:w="713"/>
        <w:gridCol w:w="713"/>
        <w:gridCol w:w="713"/>
        <w:gridCol w:w="713"/>
        <w:gridCol w:w="713"/>
        <w:gridCol w:w="713"/>
        <w:gridCol w:w="713"/>
        <w:gridCol w:w="714"/>
      </w:tblGrid>
      <w:tr w:rsidR="00212513">
        <w:tc>
          <w:tcPr>
            <w:tcW w:w="1928" w:type="dxa"/>
            <w:vMerge w:val="restart"/>
            <w:tcBorders>
              <w:top w:val="single" w:sz="4" w:space="0" w:color="auto"/>
              <w:bottom w:val="single" w:sz="4" w:space="0" w:color="auto"/>
            </w:tcBorders>
            <w:vAlign w:val="center"/>
          </w:tcPr>
          <w:p w:rsidR="00212513" w:rsidRDefault="00212513">
            <w:pPr>
              <w:pStyle w:val="ConsPlusNormal"/>
              <w:jc w:val="center"/>
            </w:pPr>
            <w:r>
              <w:lastRenderedPageBreak/>
              <w:t>Вид сопротивления</w:t>
            </w:r>
          </w:p>
        </w:tc>
        <w:tc>
          <w:tcPr>
            <w:tcW w:w="1191" w:type="dxa"/>
            <w:vMerge w:val="restart"/>
            <w:tcBorders>
              <w:top w:val="single" w:sz="4" w:space="0" w:color="auto"/>
              <w:bottom w:val="single" w:sz="4" w:space="0" w:color="auto"/>
            </w:tcBorders>
            <w:vAlign w:val="center"/>
          </w:tcPr>
          <w:p w:rsidR="00212513" w:rsidRDefault="00212513">
            <w:pPr>
              <w:pStyle w:val="ConsPlusNormal"/>
              <w:jc w:val="center"/>
            </w:pPr>
            <w:r>
              <w:t>Условное обозначение</w:t>
            </w:r>
          </w:p>
        </w:tc>
        <w:tc>
          <w:tcPr>
            <w:tcW w:w="7844" w:type="dxa"/>
            <w:gridSpan w:val="11"/>
            <w:tcBorders>
              <w:top w:val="single" w:sz="4" w:space="0" w:color="auto"/>
              <w:bottom w:val="single" w:sz="4" w:space="0" w:color="auto"/>
            </w:tcBorders>
            <w:vAlign w:val="center"/>
          </w:tcPr>
          <w:p w:rsidR="00212513" w:rsidRDefault="00212513">
            <w:pPr>
              <w:pStyle w:val="ConsPlusNormal"/>
              <w:jc w:val="center"/>
            </w:pPr>
            <w:r>
              <w:t>Расчетное сопротивление, МПа, бетона классов по прочности на сжатие</w:t>
            </w:r>
          </w:p>
        </w:tc>
      </w:tr>
      <w:tr w:rsidR="00212513">
        <w:tc>
          <w:tcPr>
            <w:tcW w:w="1928" w:type="dxa"/>
            <w:vMerge/>
            <w:tcBorders>
              <w:top w:val="single" w:sz="4" w:space="0" w:color="auto"/>
              <w:bottom w:val="single" w:sz="4" w:space="0" w:color="auto"/>
            </w:tcBorders>
          </w:tcPr>
          <w:p w:rsidR="00212513" w:rsidRDefault="00212513">
            <w:pPr>
              <w:pStyle w:val="ConsPlusNormal"/>
            </w:pPr>
          </w:p>
        </w:tc>
        <w:tc>
          <w:tcPr>
            <w:tcW w:w="1191" w:type="dxa"/>
            <w:vMerge/>
            <w:tcBorders>
              <w:top w:val="single" w:sz="4" w:space="0" w:color="auto"/>
              <w:bottom w:val="single" w:sz="4" w:space="0" w:color="auto"/>
            </w:tcBorders>
          </w:tcPr>
          <w:p w:rsidR="00212513" w:rsidRDefault="00212513">
            <w:pPr>
              <w:pStyle w:val="ConsPlusNormal"/>
            </w:pPr>
          </w:p>
        </w:tc>
        <w:tc>
          <w:tcPr>
            <w:tcW w:w="713" w:type="dxa"/>
            <w:tcBorders>
              <w:top w:val="single" w:sz="4" w:space="0" w:color="auto"/>
              <w:bottom w:val="single" w:sz="4" w:space="0" w:color="auto"/>
            </w:tcBorders>
            <w:vAlign w:val="center"/>
          </w:tcPr>
          <w:p w:rsidR="00212513" w:rsidRDefault="00212513">
            <w:pPr>
              <w:pStyle w:val="ConsPlusNormal"/>
              <w:jc w:val="center"/>
            </w:pPr>
            <w:r>
              <w:t>В20</w:t>
            </w:r>
          </w:p>
        </w:tc>
        <w:tc>
          <w:tcPr>
            <w:tcW w:w="713" w:type="dxa"/>
            <w:tcBorders>
              <w:top w:val="single" w:sz="4" w:space="0" w:color="auto"/>
              <w:bottom w:val="single" w:sz="4" w:space="0" w:color="auto"/>
            </w:tcBorders>
            <w:vAlign w:val="center"/>
          </w:tcPr>
          <w:p w:rsidR="00212513" w:rsidRDefault="00212513">
            <w:pPr>
              <w:pStyle w:val="ConsPlusNormal"/>
              <w:jc w:val="center"/>
            </w:pPr>
            <w:r>
              <w:t>В22,5</w:t>
            </w:r>
          </w:p>
        </w:tc>
        <w:tc>
          <w:tcPr>
            <w:tcW w:w="713" w:type="dxa"/>
            <w:tcBorders>
              <w:top w:val="single" w:sz="4" w:space="0" w:color="auto"/>
              <w:bottom w:val="single" w:sz="4" w:space="0" w:color="auto"/>
            </w:tcBorders>
            <w:vAlign w:val="center"/>
          </w:tcPr>
          <w:p w:rsidR="00212513" w:rsidRDefault="00212513">
            <w:pPr>
              <w:pStyle w:val="ConsPlusNormal"/>
              <w:jc w:val="center"/>
            </w:pPr>
            <w:r>
              <w:t>В25</w:t>
            </w:r>
          </w:p>
        </w:tc>
        <w:tc>
          <w:tcPr>
            <w:tcW w:w="713" w:type="dxa"/>
            <w:tcBorders>
              <w:top w:val="single" w:sz="4" w:space="0" w:color="auto"/>
              <w:bottom w:val="single" w:sz="4" w:space="0" w:color="auto"/>
            </w:tcBorders>
            <w:vAlign w:val="center"/>
          </w:tcPr>
          <w:p w:rsidR="00212513" w:rsidRDefault="00212513">
            <w:pPr>
              <w:pStyle w:val="ConsPlusNormal"/>
              <w:jc w:val="center"/>
            </w:pPr>
            <w:r>
              <w:t>В27,5</w:t>
            </w:r>
          </w:p>
        </w:tc>
        <w:tc>
          <w:tcPr>
            <w:tcW w:w="713" w:type="dxa"/>
            <w:tcBorders>
              <w:top w:val="single" w:sz="4" w:space="0" w:color="auto"/>
              <w:bottom w:val="single" w:sz="4" w:space="0" w:color="auto"/>
            </w:tcBorders>
            <w:vAlign w:val="center"/>
          </w:tcPr>
          <w:p w:rsidR="00212513" w:rsidRDefault="00212513">
            <w:pPr>
              <w:pStyle w:val="ConsPlusNormal"/>
              <w:jc w:val="center"/>
            </w:pPr>
            <w:r>
              <w:t>В30</w:t>
            </w:r>
          </w:p>
        </w:tc>
        <w:tc>
          <w:tcPr>
            <w:tcW w:w="713" w:type="dxa"/>
            <w:tcBorders>
              <w:top w:val="single" w:sz="4" w:space="0" w:color="auto"/>
              <w:bottom w:val="single" w:sz="4" w:space="0" w:color="auto"/>
            </w:tcBorders>
            <w:vAlign w:val="center"/>
          </w:tcPr>
          <w:p w:rsidR="00212513" w:rsidRDefault="00212513">
            <w:pPr>
              <w:pStyle w:val="ConsPlusNormal"/>
              <w:jc w:val="center"/>
            </w:pPr>
            <w:r>
              <w:t>В35</w:t>
            </w:r>
          </w:p>
        </w:tc>
        <w:tc>
          <w:tcPr>
            <w:tcW w:w="713" w:type="dxa"/>
            <w:tcBorders>
              <w:top w:val="single" w:sz="4" w:space="0" w:color="auto"/>
              <w:bottom w:val="single" w:sz="4" w:space="0" w:color="auto"/>
            </w:tcBorders>
            <w:vAlign w:val="center"/>
          </w:tcPr>
          <w:p w:rsidR="00212513" w:rsidRDefault="00212513">
            <w:pPr>
              <w:pStyle w:val="ConsPlusNormal"/>
              <w:jc w:val="center"/>
            </w:pPr>
            <w:r>
              <w:t>В40</w:t>
            </w:r>
          </w:p>
        </w:tc>
        <w:tc>
          <w:tcPr>
            <w:tcW w:w="713" w:type="dxa"/>
            <w:tcBorders>
              <w:top w:val="single" w:sz="4" w:space="0" w:color="auto"/>
              <w:bottom w:val="single" w:sz="4" w:space="0" w:color="auto"/>
            </w:tcBorders>
            <w:vAlign w:val="center"/>
          </w:tcPr>
          <w:p w:rsidR="00212513" w:rsidRDefault="00212513">
            <w:pPr>
              <w:pStyle w:val="ConsPlusNormal"/>
              <w:jc w:val="center"/>
            </w:pPr>
            <w:r>
              <w:t>В45</w:t>
            </w:r>
          </w:p>
        </w:tc>
        <w:tc>
          <w:tcPr>
            <w:tcW w:w="713" w:type="dxa"/>
            <w:tcBorders>
              <w:top w:val="single" w:sz="4" w:space="0" w:color="auto"/>
              <w:bottom w:val="single" w:sz="4" w:space="0" w:color="auto"/>
            </w:tcBorders>
            <w:vAlign w:val="center"/>
          </w:tcPr>
          <w:p w:rsidR="00212513" w:rsidRDefault="00212513">
            <w:pPr>
              <w:pStyle w:val="ConsPlusNormal"/>
              <w:jc w:val="center"/>
            </w:pPr>
            <w:r>
              <w:t>В50</w:t>
            </w:r>
          </w:p>
        </w:tc>
        <w:tc>
          <w:tcPr>
            <w:tcW w:w="713" w:type="dxa"/>
            <w:tcBorders>
              <w:top w:val="single" w:sz="4" w:space="0" w:color="auto"/>
              <w:bottom w:val="single" w:sz="4" w:space="0" w:color="auto"/>
            </w:tcBorders>
            <w:vAlign w:val="center"/>
          </w:tcPr>
          <w:p w:rsidR="00212513" w:rsidRDefault="00212513">
            <w:pPr>
              <w:pStyle w:val="ConsPlusNormal"/>
              <w:jc w:val="center"/>
            </w:pPr>
            <w:r>
              <w:t>В55</w:t>
            </w:r>
          </w:p>
        </w:tc>
        <w:tc>
          <w:tcPr>
            <w:tcW w:w="714" w:type="dxa"/>
            <w:tcBorders>
              <w:top w:val="single" w:sz="4" w:space="0" w:color="auto"/>
              <w:bottom w:val="single" w:sz="4" w:space="0" w:color="auto"/>
            </w:tcBorders>
            <w:vAlign w:val="center"/>
          </w:tcPr>
          <w:p w:rsidR="00212513" w:rsidRDefault="00212513">
            <w:pPr>
              <w:pStyle w:val="ConsPlusNormal"/>
              <w:jc w:val="center"/>
            </w:pPr>
            <w:r>
              <w:t>В60</w:t>
            </w:r>
          </w:p>
        </w:tc>
      </w:tr>
      <w:tr w:rsidR="00212513">
        <w:tblPrEx>
          <w:tblBorders>
            <w:insideH w:val="none" w:sz="0" w:space="0" w:color="auto"/>
          </w:tblBorders>
        </w:tblPrEx>
        <w:tc>
          <w:tcPr>
            <w:tcW w:w="10963" w:type="dxa"/>
            <w:gridSpan w:val="13"/>
            <w:tcBorders>
              <w:top w:val="single" w:sz="4" w:space="0" w:color="auto"/>
              <w:bottom w:val="nil"/>
            </w:tcBorders>
          </w:tcPr>
          <w:p w:rsidR="00212513" w:rsidRDefault="00212513">
            <w:pPr>
              <w:pStyle w:val="ConsPlusNormal"/>
              <w:jc w:val="center"/>
            </w:pPr>
            <w:r>
              <w:rPr>
                <w:b/>
              </w:rPr>
              <w:t>При расчетах по предельным состояниям первой группы</w:t>
            </w:r>
          </w:p>
        </w:tc>
      </w:tr>
      <w:tr w:rsidR="00212513">
        <w:tblPrEx>
          <w:tblBorders>
            <w:insideH w:val="none" w:sz="0" w:space="0" w:color="auto"/>
          </w:tblBorders>
        </w:tblPrEx>
        <w:tc>
          <w:tcPr>
            <w:tcW w:w="1928" w:type="dxa"/>
            <w:tcBorders>
              <w:top w:val="nil"/>
              <w:bottom w:val="nil"/>
            </w:tcBorders>
          </w:tcPr>
          <w:p w:rsidR="00212513" w:rsidRDefault="00212513">
            <w:pPr>
              <w:pStyle w:val="ConsPlusNormal"/>
            </w:pPr>
            <w:r>
              <w:t>Сжатие осевое (призменная прочность)</w:t>
            </w:r>
          </w:p>
        </w:tc>
        <w:tc>
          <w:tcPr>
            <w:tcW w:w="1191" w:type="dxa"/>
            <w:tcBorders>
              <w:top w:val="nil"/>
              <w:bottom w:val="nil"/>
            </w:tcBorders>
          </w:tcPr>
          <w:p w:rsidR="00212513" w:rsidRDefault="00212513">
            <w:pPr>
              <w:pStyle w:val="ConsPlusNormal"/>
              <w:jc w:val="center"/>
            </w:pPr>
            <w:r>
              <w:rPr>
                <w:i/>
              </w:rPr>
              <w:t>R</w:t>
            </w:r>
            <w:r>
              <w:rPr>
                <w:i/>
                <w:vertAlign w:val="subscript"/>
              </w:rPr>
              <w:t>b</w:t>
            </w:r>
          </w:p>
        </w:tc>
        <w:tc>
          <w:tcPr>
            <w:tcW w:w="713" w:type="dxa"/>
            <w:tcBorders>
              <w:top w:val="nil"/>
              <w:bottom w:val="nil"/>
            </w:tcBorders>
          </w:tcPr>
          <w:p w:rsidR="00212513" w:rsidRDefault="00212513">
            <w:pPr>
              <w:pStyle w:val="ConsPlusNormal"/>
              <w:jc w:val="center"/>
            </w:pPr>
            <w:r>
              <w:t>10,5</w:t>
            </w:r>
          </w:p>
        </w:tc>
        <w:tc>
          <w:tcPr>
            <w:tcW w:w="713" w:type="dxa"/>
            <w:tcBorders>
              <w:top w:val="nil"/>
              <w:bottom w:val="nil"/>
            </w:tcBorders>
          </w:tcPr>
          <w:p w:rsidR="00212513" w:rsidRDefault="00212513">
            <w:pPr>
              <w:pStyle w:val="ConsPlusNormal"/>
              <w:jc w:val="center"/>
            </w:pPr>
            <w:r>
              <w:t>11,75</w:t>
            </w:r>
          </w:p>
        </w:tc>
        <w:tc>
          <w:tcPr>
            <w:tcW w:w="713" w:type="dxa"/>
            <w:tcBorders>
              <w:top w:val="nil"/>
              <w:bottom w:val="nil"/>
            </w:tcBorders>
          </w:tcPr>
          <w:p w:rsidR="00212513" w:rsidRDefault="00212513">
            <w:pPr>
              <w:pStyle w:val="ConsPlusNormal"/>
              <w:jc w:val="center"/>
            </w:pPr>
            <w:r>
              <w:t>13,0</w:t>
            </w:r>
          </w:p>
        </w:tc>
        <w:tc>
          <w:tcPr>
            <w:tcW w:w="713" w:type="dxa"/>
            <w:tcBorders>
              <w:top w:val="nil"/>
              <w:bottom w:val="nil"/>
            </w:tcBorders>
          </w:tcPr>
          <w:p w:rsidR="00212513" w:rsidRDefault="00212513">
            <w:pPr>
              <w:pStyle w:val="ConsPlusNormal"/>
              <w:jc w:val="center"/>
            </w:pPr>
            <w:r>
              <w:t>14,3</w:t>
            </w:r>
          </w:p>
        </w:tc>
        <w:tc>
          <w:tcPr>
            <w:tcW w:w="713" w:type="dxa"/>
            <w:tcBorders>
              <w:top w:val="nil"/>
              <w:bottom w:val="nil"/>
            </w:tcBorders>
          </w:tcPr>
          <w:p w:rsidR="00212513" w:rsidRDefault="00212513">
            <w:pPr>
              <w:pStyle w:val="ConsPlusNormal"/>
              <w:jc w:val="center"/>
            </w:pPr>
            <w:r>
              <w:t>15,5</w:t>
            </w:r>
          </w:p>
        </w:tc>
        <w:tc>
          <w:tcPr>
            <w:tcW w:w="713" w:type="dxa"/>
            <w:tcBorders>
              <w:top w:val="nil"/>
              <w:bottom w:val="nil"/>
            </w:tcBorders>
          </w:tcPr>
          <w:p w:rsidR="00212513" w:rsidRDefault="00212513">
            <w:pPr>
              <w:pStyle w:val="ConsPlusNormal"/>
              <w:jc w:val="center"/>
            </w:pPr>
            <w:r>
              <w:t>17,5</w:t>
            </w:r>
          </w:p>
        </w:tc>
        <w:tc>
          <w:tcPr>
            <w:tcW w:w="713" w:type="dxa"/>
            <w:tcBorders>
              <w:top w:val="nil"/>
              <w:bottom w:val="nil"/>
            </w:tcBorders>
          </w:tcPr>
          <w:p w:rsidR="00212513" w:rsidRDefault="00212513">
            <w:pPr>
              <w:pStyle w:val="ConsPlusNormal"/>
              <w:jc w:val="center"/>
            </w:pPr>
            <w:r>
              <w:t>20,0</w:t>
            </w:r>
          </w:p>
        </w:tc>
        <w:tc>
          <w:tcPr>
            <w:tcW w:w="713" w:type="dxa"/>
            <w:tcBorders>
              <w:top w:val="nil"/>
              <w:bottom w:val="nil"/>
            </w:tcBorders>
          </w:tcPr>
          <w:p w:rsidR="00212513" w:rsidRDefault="00212513">
            <w:pPr>
              <w:pStyle w:val="ConsPlusNormal"/>
              <w:jc w:val="center"/>
            </w:pPr>
            <w:r>
              <w:t>22,0</w:t>
            </w:r>
          </w:p>
        </w:tc>
        <w:tc>
          <w:tcPr>
            <w:tcW w:w="713" w:type="dxa"/>
            <w:tcBorders>
              <w:top w:val="nil"/>
              <w:bottom w:val="nil"/>
            </w:tcBorders>
          </w:tcPr>
          <w:p w:rsidR="00212513" w:rsidRDefault="00212513">
            <w:pPr>
              <w:pStyle w:val="ConsPlusNormal"/>
              <w:jc w:val="center"/>
            </w:pPr>
            <w:r>
              <w:t>25,0</w:t>
            </w:r>
          </w:p>
        </w:tc>
        <w:tc>
          <w:tcPr>
            <w:tcW w:w="713" w:type="dxa"/>
            <w:tcBorders>
              <w:top w:val="nil"/>
              <w:bottom w:val="nil"/>
            </w:tcBorders>
          </w:tcPr>
          <w:p w:rsidR="00212513" w:rsidRDefault="00212513">
            <w:pPr>
              <w:pStyle w:val="ConsPlusNormal"/>
              <w:jc w:val="center"/>
            </w:pPr>
            <w:r>
              <w:t>27,5</w:t>
            </w:r>
          </w:p>
        </w:tc>
        <w:tc>
          <w:tcPr>
            <w:tcW w:w="714" w:type="dxa"/>
            <w:tcBorders>
              <w:top w:val="nil"/>
              <w:bottom w:val="nil"/>
            </w:tcBorders>
          </w:tcPr>
          <w:p w:rsidR="00212513" w:rsidRDefault="00212513">
            <w:pPr>
              <w:pStyle w:val="ConsPlusNormal"/>
              <w:jc w:val="center"/>
            </w:pPr>
            <w:r>
              <w:t>30,0</w:t>
            </w:r>
          </w:p>
        </w:tc>
      </w:tr>
      <w:tr w:rsidR="00212513">
        <w:tblPrEx>
          <w:tblBorders>
            <w:insideH w:val="none" w:sz="0" w:space="0" w:color="auto"/>
          </w:tblBorders>
        </w:tblPrEx>
        <w:tc>
          <w:tcPr>
            <w:tcW w:w="1928" w:type="dxa"/>
            <w:tcBorders>
              <w:top w:val="nil"/>
              <w:bottom w:val="nil"/>
            </w:tcBorders>
          </w:tcPr>
          <w:p w:rsidR="00212513" w:rsidRDefault="00212513">
            <w:pPr>
              <w:pStyle w:val="ConsPlusNormal"/>
            </w:pPr>
            <w:r>
              <w:t>Растяжение осевое</w:t>
            </w:r>
          </w:p>
        </w:tc>
        <w:tc>
          <w:tcPr>
            <w:tcW w:w="1191" w:type="dxa"/>
            <w:tcBorders>
              <w:top w:val="nil"/>
              <w:bottom w:val="nil"/>
            </w:tcBorders>
          </w:tcPr>
          <w:p w:rsidR="00212513" w:rsidRDefault="00212513">
            <w:pPr>
              <w:pStyle w:val="ConsPlusNormal"/>
              <w:jc w:val="center"/>
            </w:pPr>
            <w:r>
              <w:rPr>
                <w:i/>
              </w:rPr>
              <w:t>R</w:t>
            </w:r>
            <w:r>
              <w:rPr>
                <w:i/>
                <w:vertAlign w:val="subscript"/>
              </w:rPr>
              <w:t>bt</w:t>
            </w:r>
          </w:p>
        </w:tc>
        <w:tc>
          <w:tcPr>
            <w:tcW w:w="713" w:type="dxa"/>
            <w:tcBorders>
              <w:top w:val="nil"/>
              <w:bottom w:val="nil"/>
            </w:tcBorders>
          </w:tcPr>
          <w:p w:rsidR="00212513" w:rsidRDefault="00212513">
            <w:pPr>
              <w:pStyle w:val="ConsPlusNormal"/>
              <w:jc w:val="center"/>
            </w:pPr>
            <w:r>
              <w:t>0,85</w:t>
            </w:r>
          </w:p>
        </w:tc>
        <w:tc>
          <w:tcPr>
            <w:tcW w:w="713" w:type="dxa"/>
            <w:tcBorders>
              <w:top w:val="nil"/>
              <w:bottom w:val="nil"/>
            </w:tcBorders>
          </w:tcPr>
          <w:p w:rsidR="00212513" w:rsidRDefault="00212513">
            <w:pPr>
              <w:pStyle w:val="ConsPlusNormal"/>
              <w:jc w:val="center"/>
            </w:pPr>
            <w:r>
              <w:t>0,90</w:t>
            </w:r>
          </w:p>
        </w:tc>
        <w:tc>
          <w:tcPr>
            <w:tcW w:w="713" w:type="dxa"/>
            <w:tcBorders>
              <w:top w:val="nil"/>
              <w:bottom w:val="nil"/>
            </w:tcBorders>
          </w:tcPr>
          <w:p w:rsidR="00212513" w:rsidRDefault="00212513">
            <w:pPr>
              <w:pStyle w:val="ConsPlusNormal"/>
              <w:jc w:val="center"/>
            </w:pPr>
            <w:r>
              <w:t>0,95</w:t>
            </w:r>
          </w:p>
        </w:tc>
        <w:tc>
          <w:tcPr>
            <w:tcW w:w="713" w:type="dxa"/>
            <w:tcBorders>
              <w:top w:val="nil"/>
              <w:bottom w:val="nil"/>
            </w:tcBorders>
          </w:tcPr>
          <w:p w:rsidR="00212513" w:rsidRDefault="00212513">
            <w:pPr>
              <w:pStyle w:val="ConsPlusNormal"/>
              <w:jc w:val="center"/>
            </w:pPr>
            <w:r>
              <w:t>1,05</w:t>
            </w:r>
          </w:p>
        </w:tc>
        <w:tc>
          <w:tcPr>
            <w:tcW w:w="713" w:type="dxa"/>
            <w:tcBorders>
              <w:top w:val="nil"/>
              <w:bottom w:val="nil"/>
            </w:tcBorders>
          </w:tcPr>
          <w:p w:rsidR="00212513" w:rsidRDefault="00212513">
            <w:pPr>
              <w:pStyle w:val="ConsPlusNormal"/>
              <w:jc w:val="center"/>
            </w:pPr>
            <w:r>
              <w:t>1,10</w:t>
            </w:r>
          </w:p>
        </w:tc>
        <w:tc>
          <w:tcPr>
            <w:tcW w:w="713" w:type="dxa"/>
            <w:tcBorders>
              <w:top w:val="nil"/>
              <w:bottom w:val="nil"/>
            </w:tcBorders>
          </w:tcPr>
          <w:p w:rsidR="00212513" w:rsidRDefault="00212513">
            <w:pPr>
              <w:pStyle w:val="ConsPlusNormal"/>
              <w:jc w:val="center"/>
            </w:pPr>
            <w:r>
              <w:t>1,15</w:t>
            </w:r>
          </w:p>
        </w:tc>
        <w:tc>
          <w:tcPr>
            <w:tcW w:w="713" w:type="dxa"/>
            <w:tcBorders>
              <w:top w:val="nil"/>
              <w:bottom w:val="nil"/>
            </w:tcBorders>
          </w:tcPr>
          <w:p w:rsidR="00212513" w:rsidRDefault="00212513">
            <w:pPr>
              <w:pStyle w:val="ConsPlusNormal"/>
              <w:jc w:val="center"/>
            </w:pPr>
            <w:r>
              <w:t>1,25</w:t>
            </w:r>
          </w:p>
        </w:tc>
        <w:tc>
          <w:tcPr>
            <w:tcW w:w="713" w:type="dxa"/>
            <w:tcBorders>
              <w:top w:val="nil"/>
              <w:bottom w:val="nil"/>
            </w:tcBorders>
          </w:tcPr>
          <w:p w:rsidR="00212513" w:rsidRDefault="00212513">
            <w:pPr>
              <w:pStyle w:val="ConsPlusNormal"/>
              <w:jc w:val="center"/>
            </w:pPr>
            <w:r>
              <w:t>1,30</w:t>
            </w:r>
          </w:p>
        </w:tc>
        <w:tc>
          <w:tcPr>
            <w:tcW w:w="713" w:type="dxa"/>
            <w:tcBorders>
              <w:top w:val="nil"/>
              <w:bottom w:val="nil"/>
            </w:tcBorders>
          </w:tcPr>
          <w:p w:rsidR="00212513" w:rsidRDefault="00212513">
            <w:pPr>
              <w:pStyle w:val="ConsPlusNormal"/>
              <w:jc w:val="center"/>
            </w:pPr>
            <w:r>
              <w:t>1,40</w:t>
            </w:r>
          </w:p>
        </w:tc>
        <w:tc>
          <w:tcPr>
            <w:tcW w:w="713" w:type="dxa"/>
            <w:tcBorders>
              <w:top w:val="nil"/>
              <w:bottom w:val="nil"/>
            </w:tcBorders>
          </w:tcPr>
          <w:p w:rsidR="00212513" w:rsidRDefault="00212513">
            <w:pPr>
              <w:pStyle w:val="ConsPlusNormal"/>
              <w:jc w:val="center"/>
            </w:pPr>
            <w:r>
              <w:t>1,45</w:t>
            </w:r>
          </w:p>
        </w:tc>
        <w:tc>
          <w:tcPr>
            <w:tcW w:w="714" w:type="dxa"/>
            <w:tcBorders>
              <w:top w:val="nil"/>
              <w:bottom w:val="nil"/>
            </w:tcBorders>
          </w:tcPr>
          <w:p w:rsidR="00212513" w:rsidRDefault="00212513">
            <w:pPr>
              <w:pStyle w:val="ConsPlusNormal"/>
              <w:jc w:val="center"/>
            </w:pPr>
            <w:r>
              <w:t>1,50</w:t>
            </w:r>
          </w:p>
        </w:tc>
      </w:tr>
      <w:tr w:rsidR="00212513">
        <w:tblPrEx>
          <w:tblBorders>
            <w:insideH w:val="none" w:sz="0" w:space="0" w:color="auto"/>
          </w:tblBorders>
        </w:tblPrEx>
        <w:tc>
          <w:tcPr>
            <w:tcW w:w="10963" w:type="dxa"/>
            <w:gridSpan w:val="13"/>
            <w:tcBorders>
              <w:top w:val="nil"/>
              <w:bottom w:val="nil"/>
            </w:tcBorders>
          </w:tcPr>
          <w:p w:rsidR="00212513" w:rsidRDefault="00212513">
            <w:pPr>
              <w:pStyle w:val="ConsPlusNormal"/>
              <w:jc w:val="center"/>
            </w:pPr>
            <w:r>
              <w:rPr>
                <w:b/>
              </w:rPr>
              <w:t>При расчетах по предельным состояниям второй группы</w:t>
            </w:r>
          </w:p>
        </w:tc>
      </w:tr>
      <w:tr w:rsidR="00212513">
        <w:tblPrEx>
          <w:tblBorders>
            <w:insideH w:val="none" w:sz="0" w:space="0" w:color="auto"/>
          </w:tblBorders>
        </w:tblPrEx>
        <w:tc>
          <w:tcPr>
            <w:tcW w:w="1928" w:type="dxa"/>
            <w:tcBorders>
              <w:top w:val="nil"/>
              <w:bottom w:val="nil"/>
            </w:tcBorders>
          </w:tcPr>
          <w:p w:rsidR="00212513" w:rsidRDefault="00212513">
            <w:pPr>
              <w:pStyle w:val="ConsPlusNormal"/>
            </w:pPr>
            <w:r>
              <w:t>Сжатие осевое (призменная прочность)</w:t>
            </w:r>
          </w:p>
        </w:tc>
        <w:tc>
          <w:tcPr>
            <w:tcW w:w="1191" w:type="dxa"/>
            <w:tcBorders>
              <w:top w:val="nil"/>
              <w:bottom w:val="nil"/>
            </w:tcBorders>
          </w:tcPr>
          <w:p w:rsidR="00212513" w:rsidRDefault="00212513">
            <w:pPr>
              <w:pStyle w:val="ConsPlusNormal"/>
              <w:jc w:val="center"/>
            </w:pPr>
            <w:r>
              <w:rPr>
                <w:i/>
              </w:rPr>
              <w:t>R</w:t>
            </w:r>
            <w:r>
              <w:rPr>
                <w:i/>
                <w:vertAlign w:val="subscript"/>
              </w:rPr>
              <w:t>b,ser</w:t>
            </w:r>
          </w:p>
        </w:tc>
        <w:tc>
          <w:tcPr>
            <w:tcW w:w="713" w:type="dxa"/>
            <w:tcBorders>
              <w:top w:val="nil"/>
              <w:bottom w:val="nil"/>
            </w:tcBorders>
          </w:tcPr>
          <w:p w:rsidR="00212513" w:rsidRDefault="00212513">
            <w:pPr>
              <w:pStyle w:val="ConsPlusNormal"/>
              <w:jc w:val="center"/>
            </w:pPr>
            <w:r>
              <w:t>15,0</w:t>
            </w:r>
          </w:p>
        </w:tc>
        <w:tc>
          <w:tcPr>
            <w:tcW w:w="713" w:type="dxa"/>
            <w:tcBorders>
              <w:top w:val="nil"/>
              <w:bottom w:val="nil"/>
            </w:tcBorders>
          </w:tcPr>
          <w:p w:rsidR="00212513" w:rsidRDefault="00212513">
            <w:pPr>
              <w:pStyle w:val="ConsPlusNormal"/>
              <w:jc w:val="center"/>
            </w:pPr>
            <w:r>
              <w:t>16,8</w:t>
            </w:r>
          </w:p>
        </w:tc>
        <w:tc>
          <w:tcPr>
            <w:tcW w:w="713" w:type="dxa"/>
            <w:tcBorders>
              <w:top w:val="nil"/>
              <w:bottom w:val="nil"/>
            </w:tcBorders>
          </w:tcPr>
          <w:p w:rsidR="00212513" w:rsidRDefault="00212513">
            <w:pPr>
              <w:pStyle w:val="ConsPlusNormal"/>
              <w:jc w:val="center"/>
            </w:pPr>
            <w:r>
              <w:t>18,5</w:t>
            </w:r>
          </w:p>
        </w:tc>
        <w:tc>
          <w:tcPr>
            <w:tcW w:w="713" w:type="dxa"/>
            <w:tcBorders>
              <w:top w:val="nil"/>
              <w:bottom w:val="nil"/>
            </w:tcBorders>
          </w:tcPr>
          <w:p w:rsidR="00212513" w:rsidRDefault="00212513">
            <w:pPr>
              <w:pStyle w:val="ConsPlusNormal"/>
              <w:jc w:val="center"/>
            </w:pPr>
            <w:r>
              <w:t>20,5</w:t>
            </w:r>
          </w:p>
        </w:tc>
        <w:tc>
          <w:tcPr>
            <w:tcW w:w="713" w:type="dxa"/>
            <w:tcBorders>
              <w:top w:val="nil"/>
              <w:bottom w:val="nil"/>
            </w:tcBorders>
          </w:tcPr>
          <w:p w:rsidR="00212513" w:rsidRDefault="00212513">
            <w:pPr>
              <w:pStyle w:val="ConsPlusNormal"/>
              <w:jc w:val="center"/>
            </w:pPr>
            <w:r>
              <w:t>22,0</w:t>
            </w:r>
          </w:p>
        </w:tc>
        <w:tc>
          <w:tcPr>
            <w:tcW w:w="713" w:type="dxa"/>
            <w:tcBorders>
              <w:top w:val="nil"/>
              <w:bottom w:val="nil"/>
            </w:tcBorders>
          </w:tcPr>
          <w:p w:rsidR="00212513" w:rsidRDefault="00212513">
            <w:pPr>
              <w:pStyle w:val="ConsPlusNormal"/>
              <w:jc w:val="center"/>
            </w:pPr>
            <w:r>
              <w:t>25,5</w:t>
            </w:r>
          </w:p>
        </w:tc>
        <w:tc>
          <w:tcPr>
            <w:tcW w:w="713" w:type="dxa"/>
            <w:tcBorders>
              <w:top w:val="nil"/>
              <w:bottom w:val="nil"/>
            </w:tcBorders>
          </w:tcPr>
          <w:p w:rsidR="00212513" w:rsidRDefault="00212513">
            <w:pPr>
              <w:pStyle w:val="ConsPlusNormal"/>
              <w:jc w:val="center"/>
            </w:pPr>
            <w:r>
              <w:t>29,0</w:t>
            </w:r>
          </w:p>
        </w:tc>
        <w:tc>
          <w:tcPr>
            <w:tcW w:w="713" w:type="dxa"/>
            <w:tcBorders>
              <w:top w:val="nil"/>
              <w:bottom w:val="nil"/>
            </w:tcBorders>
          </w:tcPr>
          <w:p w:rsidR="00212513" w:rsidRDefault="00212513">
            <w:pPr>
              <w:pStyle w:val="ConsPlusNormal"/>
              <w:jc w:val="center"/>
            </w:pPr>
            <w:r>
              <w:t>32,0</w:t>
            </w:r>
          </w:p>
        </w:tc>
        <w:tc>
          <w:tcPr>
            <w:tcW w:w="713" w:type="dxa"/>
            <w:tcBorders>
              <w:top w:val="nil"/>
              <w:bottom w:val="nil"/>
            </w:tcBorders>
          </w:tcPr>
          <w:p w:rsidR="00212513" w:rsidRDefault="00212513">
            <w:pPr>
              <w:pStyle w:val="ConsPlusNormal"/>
              <w:jc w:val="center"/>
            </w:pPr>
            <w:r>
              <w:t>36,0</w:t>
            </w:r>
          </w:p>
        </w:tc>
        <w:tc>
          <w:tcPr>
            <w:tcW w:w="713" w:type="dxa"/>
            <w:tcBorders>
              <w:top w:val="nil"/>
              <w:bottom w:val="nil"/>
            </w:tcBorders>
          </w:tcPr>
          <w:p w:rsidR="00212513" w:rsidRDefault="00212513">
            <w:pPr>
              <w:pStyle w:val="ConsPlusNormal"/>
              <w:jc w:val="center"/>
            </w:pPr>
            <w:r>
              <w:t>39,5</w:t>
            </w:r>
          </w:p>
        </w:tc>
        <w:tc>
          <w:tcPr>
            <w:tcW w:w="714" w:type="dxa"/>
            <w:tcBorders>
              <w:top w:val="nil"/>
              <w:bottom w:val="nil"/>
            </w:tcBorders>
          </w:tcPr>
          <w:p w:rsidR="00212513" w:rsidRDefault="00212513">
            <w:pPr>
              <w:pStyle w:val="ConsPlusNormal"/>
              <w:jc w:val="center"/>
            </w:pPr>
            <w:r>
              <w:t>43,0</w:t>
            </w:r>
          </w:p>
        </w:tc>
      </w:tr>
      <w:tr w:rsidR="00212513">
        <w:tblPrEx>
          <w:tblBorders>
            <w:insideH w:val="none" w:sz="0" w:space="0" w:color="auto"/>
          </w:tblBorders>
        </w:tblPrEx>
        <w:tc>
          <w:tcPr>
            <w:tcW w:w="1928" w:type="dxa"/>
            <w:tcBorders>
              <w:top w:val="nil"/>
              <w:bottom w:val="nil"/>
            </w:tcBorders>
          </w:tcPr>
          <w:p w:rsidR="00212513" w:rsidRDefault="00212513">
            <w:pPr>
              <w:pStyle w:val="ConsPlusNormal"/>
            </w:pPr>
            <w:r>
              <w:t>Растяжение осевое</w:t>
            </w:r>
          </w:p>
        </w:tc>
        <w:tc>
          <w:tcPr>
            <w:tcW w:w="1191" w:type="dxa"/>
            <w:tcBorders>
              <w:top w:val="nil"/>
              <w:bottom w:val="nil"/>
            </w:tcBorders>
          </w:tcPr>
          <w:p w:rsidR="00212513" w:rsidRDefault="00212513">
            <w:pPr>
              <w:pStyle w:val="ConsPlusNormal"/>
              <w:jc w:val="center"/>
            </w:pPr>
            <w:r>
              <w:rPr>
                <w:i/>
              </w:rPr>
              <w:t>R</w:t>
            </w:r>
            <w:r>
              <w:rPr>
                <w:i/>
                <w:vertAlign w:val="subscript"/>
              </w:rPr>
              <w:t>bt,ser</w:t>
            </w:r>
          </w:p>
        </w:tc>
        <w:tc>
          <w:tcPr>
            <w:tcW w:w="713" w:type="dxa"/>
            <w:tcBorders>
              <w:top w:val="nil"/>
              <w:bottom w:val="nil"/>
            </w:tcBorders>
          </w:tcPr>
          <w:p w:rsidR="00212513" w:rsidRDefault="00212513">
            <w:pPr>
              <w:pStyle w:val="ConsPlusNormal"/>
              <w:jc w:val="center"/>
            </w:pPr>
            <w:r>
              <w:t>1,40</w:t>
            </w:r>
          </w:p>
        </w:tc>
        <w:tc>
          <w:tcPr>
            <w:tcW w:w="713" w:type="dxa"/>
            <w:tcBorders>
              <w:top w:val="nil"/>
              <w:bottom w:val="nil"/>
            </w:tcBorders>
          </w:tcPr>
          <w:p w:rsidR="00212513" w:rsidRDefault="00212513">
            <w:pPr>
              <w:pStyle w:val="ConsPlusNormal"/>
              <w:jc w:val="center"/>
            </w:pPr>
            <w:r>
              <w:t>1,50</w:t>
            </w:r>
          </w:p>
        </w:tc>
        <w:tc>
          <w:tcPr>
            <w:tcW w:w="713" w:type="dxa"/>
            <w:tcBorders>
              <w:top w:val="nil"/>
              <w:bottom w:val="nil"/>
            </w:tcBorders>
          </w:tcPr>
          <w:p w:rsidR="00212513" w:rsidRDefault="00212513">
            <w:pPr>
              <w:pStyle w:val="ConsPlusNormal"/>
              <w:jc w:val="center"/>
            </w:pPr>
            <w:r>
              <w:t>1,60</w:t>
            </w:r>
          </w:p>
        </w:tc>
        <w:tc>
          <w:tcPr>
            <w:tcW w:w="713" w:type="dxa"/>
            <w:tcBorders>
              <w:top w:val="nil"/>
              <w:bottom w:val="nil"/>
            </w:tcBorders>
          </w:tcPr>
          <w:p w:rsidR="00212513" w:rsidRDefault="00212513">
            <w:pPr>
              <w:pStyle w:val="ConsPlusNormal"/>
              <w:jc w:val="center"/>
            </w:pPr>
            <w:r>
              <w:t>1,70</w:t>
            </w:r>
          </w:p>
        </w:tc>
        <w:tc>
          <w:tcPr>
            <w:tcW w:w="713" w:type="dxa"/>
            <w:tcBorders>
              <w:top w:val="nil"/>
              <w:bottom w:val="nil"/>
            </w:tcBorders>
          </w:tcPr>
          <w:p w:rsidR="00212513" w:rsidRDefault="00212513">
            <w:pPr>
              <w:pStyle w:val="ConsPlusNormal"/>
              <w:jc w:val="center"/>
            </w:pPr>
            <w:r>
              <w:t>1,80</w:t>
            </w:r>
          </w:p>
        </w:tc>
        <w:tc>
          <w:tcPr>
            <w:tcW w:w="713" w:type="dxa"/>
            <w:tcBorders>
              <w:top w:val="nil"/>
              <w:bottom w:val="nil"/>
            </w:tcBorders>
          </w:tcPr>
          <w:p w:rsidR="00212513" w:rsidRDefault="00212513">
            <w:pPr>
              <w:pStyle w:val="ConsPlusNormal"/>
              <w:jc w:val="center"/>
            </w:pPr>
            <w:r>
              <w:t>1,95</w:t>
            </w:r>
          </w:p>
        </w:tc>
        <w:tc>
          <w:tcPr>
            <w:tcW w:w="713" w:type="dxa"/>
            <w:tcBorders>
              <w:top w:val="nil"/>
              <w:bottom w:val="nil"/>
            </w:tcBorders>
          </w:tcPr>
          <w:p w:rsidR="00212513" w:rsidRDefault="00212513">
            <w:pPr>
              <w:pStyle w:val="ConsPlusNormal"/>
              <w:jc w:val="center"/>
            </w:pPr>
            <w:r>
              <w:t>2,10</w:t>
            </w:r>
          </w:p>
        </w:tc>
        <w:tc>
          <w:tcPr>
            <w:tcW w:w="713" w:type="dxa"/>
            <w:tcBorders>
              <w:top w:val="nil"/>
              <w:bottom w:val="nil"/>
            </w:tcBorders>
          </w:tcPr>
          <w:p w:rsidR="00212513" w:rsidRDefault="00212513">
            <w:pPr>
              <w:pStyle w:val="ConsPlusNormal"/>
              <w:jc w:val="center"/>
            </w:pPr>
            <w:r>
              <w:t>2,20</w:t>
            </w:r>
          </w:p>
        </w:tc>
        <w:tc>
          <w:tcPr>
            <w:tcW w:w="713" w:type="dxa"/>
            <w:tcBorders>
              <w:top w:val="nil"/>
              <w:bottom w:val="nil"/>
            </w:tcBorders>
          </w:tcPr>
          <w:p w:rsidR="00212513" w:rsidRDefault="00212513">
            <w:pPr>
              <w:pStyle w:val="ConsPlusNormal"/>
              <w:jc w:val="center"/>
            </w:pPr>
            <w:r>
              <w:t>2,30</w:t>
            </w:r>
          </w:p>
        </w:tc>
        <w:tc>
          <w:tcPr>
            <w:tcW w:w="713" w:type="dxa"/>
            <w:tcBorders>
              <w:top w:val="nil"/>
              <w:bottom w:val="nil"/>
            </w:tcBorders>
          </w:tcPr>
          <w:p w:rsidR="00212513" w:rsidRDefault="00212513">
            <w:pPr>
              <w:pStyle w:val="ConsPlusNormal"/>
              <w:jc w:val="center"/>
            </w:pPr>
            <w:r>
              <w:t>2,40</w:t>
            </w:r>
          </w:p>
        </w:tc>
        <w:tc>
          <w:tcPr>
            <w:tcW w:w="714" w:type="dxa"/>
            <w:tcBorders>
              <w:top w:val="nil"/>
              <w:bottom w:val="nil"/>
            </w:tcBorders>
          </w:tcPr>
          <w:p w:rsidR="00212513" w:rsidRDefault="00212513">
            <w:pPr>
              <w:pStyle w:val="ConsPlusNormal"/>
              <w:jc w:val="center"/>
            </w:pPr>
            <w:r>
              <w:t>2,50</w:t>
            </w:r>
          </w:p>
        </w:tc>
      </w:tr>
      <w:tr w:rsidR="00212513">
        <w:tblPrEx>
          <w:tblBorders>
            <w:insideH w:val="none" w:sz="0" w:space="0" w:color="auto"/>
          </w:tblBorders>
        </w:tblPrEx>
        <w:tc>
          <w:tcPr>
            <w:tcW w:w="1928" w:type="dxa"/>
            <w:tcBorders>
              <w:top w:val="nil"/>
              <w:bottom w:val="nil"/>
            </w:tcBorders>
          </w:tcPr>
          <w:p w:rsidR="00212513" w:rsidRDefault="00212513">
            <w:pPr>
              <w:pStyle w:val="ConsPlusNormal"/>
            </w:pPr>
            <w:r>
              <w:t>Скалывание при изгибе</w:t>
            </w:r>
          </w:p>
        </w:tc>
        <w:tc>
          <w:tcPr>
            <w:tcW w:w="1191" w:type="dxa"/>
            <w:tcBorders>
              <w:top w:val="nil"/>
              <w:bottom w:val="nil"/>
            </w:tcBorders>
          </w:tcPr>
          <w:p w:rsidR="00212513" w:rsidRDefault="00212513">
            <w:pPr>
              <w:pStyle w:val="ConsPlusNormal"/>
              <w:jc w:val="center"/>
            </w:pPr>
            <w:r>
              <w:rPr>
                <w:i/>
              </w:rPr>
              <w:t>R</w:t>
            </w:r>
            <w:r>
              <w:rPr>
                <w:i/>
                <w:vertAlign w:val="subscript"/>
              </w:rPr>
              <w:t>b,sh</w:t>
            </w:r>
          </w:p>
        </w:tc>
        <w:tc>
          <w:tcPr>
            <w:tcW w:w="713" w:type="dxa"/>
            <w:tcBorders>
              <w:top w:val="nil"/>
              <w:bottom w:val="nil"/>
            </w:tcBorders>
          </w:tcPr>
          <w:p w:rsidR="00212513" w:rsidRDefault="00212513">
            <w:pPr>
              <w:pStyle w:val="ConsPlusNormal"/>
              <w:jc w:val="center"/>
            </w:pPr>
            <w:r>
              <w:t>1,95</w:t>
            </w:r>
          </w:p>
        </w:tc>
        <w:tc>
          <w:tcPr>
            <w:tcW w:w="713" w:type="dxa"/>
            <w:tcBorders>
              <w:top w:val="nil"/>
              <w:bottom w:val="nil"/>
            </w:tcBorders>
          </w:tcPr>
          <w:p w:rsidR="00212513" w:rsidRDefault="00212513">
            <w:pPr>
              <w:pStyle w:val="ConsPlusNormal"/>
              <w:jc w:val="center"/>
            </w:pPr>
            <w:r>
              <w:t>2,30</w:t>
            </w:r>
          </w:p>
        </w:tc>
        <w:tc>
          <w:tcPr>
            <w:tcW w:w="713" w:type="dxa"/>
            <w:tcBorders>
              <w:top w:val="nil"/>
              <w:bottom w:val="nil"/>
            </w:tcBorders>
          </w:tcPr>
          <w:p w:rsidR="00212513" w:rsidRDefault="00212513">
            <w:pPr>
              <w:pStyle w:val="ConsPlusNormal"/>
              <w:jc w:val="center"/>
            </w:pPr>
            <w:r>
              <w:t>2,50</w:t>
            </w:r>
          </w:p>
        </w:tc>
        <w:tc>
          <w:tcPr>
            <w:tcW w:w="713" w:type="dxa"/>
            <w:tcBorders>
              <w:top w:val="nil"/>
              <w:bottom w:val="nil"/>
            </w:tcBorders>
          </w:tcPr>
          <w:p w:rsidR="00212513" w:rsidRDefault="00212513">
            <w:pPr>
              <w:pStyle w:val="ConsPlusNormal"/>
              <w:jc w:val="center"/>
            </w:pPr>
            <w:r>
              <w:t>2,75</w:t>
            </w:r>
          </w:p>
        </w:tc>
        <w:tc>
          <w:tcPr>
            <w:tcW w:w="713" w:type="dxa"/>
            <w:tcBorders>
              <w:top w:val="nil"/>
              <w:bottom w:val="nil"/>
            </w:tcBorders>
          </w:tcPr>
          <w:p w:rsidR="00212513" w:rsidRDefault="00212513">
            <w:pPr>
              <w:pStyle w:val="ConsPlusNormal"/>
              <w:jc w:val="center"/>
            </w:pPr>
            <w:r>
              <w:t>2,90</w:t>
            </w:r>
          </w:p>
        </w:tc>
        <w:tc>
          <w:tcPr>
            <w:tcW w:w="713" w:type="dxa"/>
            <w:tcBorders>
              <w:top w:val="nil"/>
              <w:bottom w:val="nil"/>
            </w:tcBorders>
          </w:tcPr>
          <w:p w:rsidR="00212513" w:rsidRDefault="00212513">
            <w:pPr>
              <w:pStyle w:val="ConsPlusNormal"/>
              <w:jc w:val="center"/>
            </w:pPr>
            <w:r>
              <w:t>3,25</w:t>
            </w:r>
          </w:p>
        </w:tc>
        <w:tc>
          <w:tcPr>
            <w:tcW w:w="713" w:type="dxa"/>
            <w:tcBorders>
              <w:top w:val="nil"/>
              <w:bottom w:val="nil"/>
            </w:tcBorders>
          </w:tcPr>
          <w:p w:rsidR="00212513" w:rsidRDefault="00212513">
            <w:pPr>
              <w:pStyle w:val="ConsPlusNormal"/>
              <w:jc w:val="center"/>
            </w:pPr>
            <w:r>
              <w:t>3,60</w:t>
            </w:r>
          </w:p>
        </w:tc>
        <w:tc>
          <w:tcPr>
            <w:tcW w:w="713" w:type="dxa"/>
            <w:tcBorders>
              <w:top w:val="nil"/>
              <w:bottom w:val="nil"/>
            </w:tcBorders>
          </w:tcPr>
          <w:p w:rsidR="00212513" w:rsidRDefault="00212513">
            <w:pPr>
              <w:pStyle w:val="ConsPlusNormal"/>
              <w:jc w:val="center"/>
            </w:pPr>
            <w:r>
              <w:t>3,80</w:t>
            </w:r>
          </w:p>
        </w:tc>
        <w:tc>
          <w:tcPr>
            <w:tcW w:w="713" w:type="dxa"/>
            <w:tcBorders>
              <w:top w:val="nil"/>
              <w:bottom w:val="nil"/>
            </w:tcBorders>
          </w:tcPr>
          <w:p w:rsidR="00212513" w:rsidRDefault="00212513">
            <w:pPr>
              <w:pStyle w:val="ConsPlusNormal"/>
              <w:jc w:val="center"/>
            </w:pPr>
            <w:r>
              <w:t>4,15</w:t>
            </w:r>
          </w:p>
        </w:tc>
        <w:tc>
          <w:tcPr>
            <w:tcW w:w="713" w:type="dxa"/>
            <w:tcBorders>
              <w:top w:val="nil"/>
              <w:bottom w:val="nil"/>
            </w:tcBorders>
          </w:tcPr>
          <w:p w:rsidR="00212513" w:rsidRDefault="00212513">
            <w:pPr>
              <w:pStyle w:val="ConsPlusNormal"/>
              <w:jc w:val="center"/>
            </w:pPr>
            <w:r>
              <w:t>4,45</w:t>
            </w:r>
          </w:p>
        </w:tc>
        <w:tc>
          <w:tcPr>
            <w:tcW w:w="714" w:type="dxa"/>
            <w:tcBorders>
              <w:top w:val="nil"/>
              <w:bottom w:val="nil"/>
            </w:tcBorders>
          </w:tcPr>
          <w:p w:rsidR="00212513" w:rsidRDefault="00212513">
            <w:pPr>
              <w:pStyle w:val="ConsPlusNormal"/>
              <w:jc w:val="center"/>
            </w:pPr>
            <w:r>
              <w:t>4,75</w:t>
            </w:r>
          </w:p>
        </w:tc>
      </w:tr>
      <w:tr w:rsidR="00212513">
        <w:tblPrEx>
          <w:tblBorders>
            <w:insideH w:val="none" w:sz="0" w:space="0" w:color="auto"/>
          </w:tblBorders>
        </w:tblPrEx>
        <w:tc>
          <w:tcPr>
            <w:tcW w:w="1928" w:type="dxa"/>
            <w:tcBorders>
              <w:top w:val="nil"/>
              <w:bottom w:val="nil"/>
            </w:tcBorders>
          </w:tcPr>
          <w:p w:rsidR="00212513" w:rsidRDefault="00212513">
            <w:pPr>
              <w:pStyle w:val="ConsPlusNormal"/>
            </w:pPr>
            <w:r>
              <w:t>Сжатие осевое (призменная прочность) для расчетов по предотвращению образования в конструкциях продольных трещин:</w:t>
            </w:r>
          </w:p>
        </w:tc>
        <w:tc>
          <w:tcPr>
            <w:tcW w:w="1191" w:type="dxa"/>
            <w:tcBorders>
              <w:top w:val="nil"/>
              <w:bottom w:val="nil"/>
            </w:tcBorders>
          </w:tcPr>
          <w:p w:rsidR="00212513" w:rsidRDefault="00212513">
            <w:pPr>
              <w:pStyle w:val="ConsPlusNormal"/>
              <w:jc w:val="center"/>
            </w:pPr>
          </w:p>
        </w:tc>
        <w:tc>
          <w:tcPr>
            <w:tcW w:w="713" w:type="dxa"/>
            <w:tcBorders>
              <w:top w:val="nil"/>
              <w:bottom w:val="nil"/>
            </w:tcBorders>
          </w:tcPr>
          <w:p w:rsidR="00212513" w:rsidRDefault="00212513">
            <w:pPr>
              <w:pStyle w:val="ConsPlusNormal"/>
              <w:jc w:val="center"/>
            </w:pPr>
          </w:p>
        </w:tc>
        <w:tc>
          <w:tcPr>
            <w:tcW w:w="713" w:type="dxa"/>
            <w:tcBorders>
              <w:top w:val="nil"/>
              <w:bottom w:val="nil"/>
            </w:tcBorders>
          </w:tcPr>
          <w:p w:rsidR="00212513" w:rsidRDefault="00212513">
            <w:pPr>
              <w:pStyle w:val="ConsPlusNormal"/>
              <w:jc w:val="center"/>
            </w:pPr>
          </w:p>
        </w:tc>
        <w:tc>
          <w:tcPr>
            <w:tcW w:w="713" w:type="dxa"/>
            <w:tcBorders>
              <w:top w:val="nil"/>
              <w:bottom w:val="nil"/>
            </w:tcBorders>
          </w:tcPr>
          <w:p w:rsidR="00212513" w:rsidRDefault="00212513">
            <w:pPr>
              <w:pStyle w:val="ConsPlusNormal"/>
              <w:jc w:val="center"/>
            </w:pPr>
          </w:p>
        </w:tc>
        <w:tc>
          <w:tcPr>
            <w:tcW w:w="713" w:type="dxa"/>
            <w:tcBorders>
              <w:top w:val="nil"/>
              <w:bottom w:val="nil"/>
            </w:tcBorders>
          </w:tcPr>
          <w:p w:rsidR="00212513" w:rsidRDefault="00212513">
            <w:pPr>
              <w:pStyle w:val="ConsPlusNormal"/>
              <w:jc w:val="center"/>
            </w:pPr>
          </w:p>
        </w:tc>
        <w:tc>
          <w:tcPr>
            <w:tcW w:w="713" w:type="dxa"/>
            <w:tcBorders>
              <w:top w:val="nil"/>
              <w:bottom w:val="nil"/>
            </w:tcBorders>
          </w:tcPr>
          <w:p w:rsidR="00212513" w:rsidRDefault="00212513">
            <w:pPr>
              <w:pStyle w:val="ConsPlusNormal"/>
              <w:jc w:val="center"/>
            </w:pPr>
          </w:p>
        </w:tc>
        <w:tc>
          <w:tcPr>
            <w:tcW w:w="713" w:type="dxa"/>
            <w:tcBorders>
              <w:top w:val="nil"/>
              <w:bottom w:val="nil"/>
            </w:tcBorders>
          </w:tcPr>
          <w:p w:rsidR="00212513" w:rsidRDefault="00212513">
            <w:pPr>
              <w:pStyle w:val="ConsPlusNormal"/>
              <w:jc w:val="center"/>
            </w:pPr>
          </w:p>
        </w:tc>
        <w:tc>
          <w:tcPr>
            <w:tcW w:w="713" w:type="dxa"/>
            <w:tcBorders>
              <w:top w:val="nil"/>
              <w:bottom w:val="nil"/>
            </w:tcBorders>
          </w:tcPr>
          <w:p w:rsidR="00212513" w:rsidRDefault="00212513">
            <w:pPr>
              <w:pStyle w:val="ConsPlusNormal"/>
              <w:jc w:val="center"/>
            </w:pPr>
          </w:p>
        </w:tc>
        <w:tc>
          <w:tcPr>
            <w:tcW w:w="713" w:type="dxa"/>
            <w:tcBorders>
              <w:top w:val="nil"/>
              <w:bottom w:val="nil"/>
            </w:tcBorders>
          </w:tcPr>
          <w:p w:rsidR="00212513" w:rsidRDefault="00212513">
            <w:pPr>
              <w:pStyle w:val="ConsPlusNormal"/>
              <w:jc w:val="center"/>
            </w:pPr>
          </w:p>
        </w:tc>
        <w:tc>
          <w:tcPr>
            <w:tcW w:w="713" w:type="dxa"/>
            <w:tcBorders>
              <w:top w:val="nil"/>
              <w:bottom w:val="nil"/>
            </w:tcBorders>
          </w:tcPr>
          <w:p w:rsidR="00212513" w:rsidRDefault="00212513">
            <w:pPr>
              <w:pStyle w:val="ConsPlusNormal"/>
              <w:jc w:val="center"/>
            </w:pPr>
          </w:p>
        </w:tc>
        <w:tc>
          <w:tcPr>
            <w:tcW w:w="713" w:type="dxa"/>
            <w:tcBorders>
              <w:top w:val="nil"/>
              <w:bottom w:val="nil"/>
            </w:tcBorders>
          </w:tcPr>
          <w:p w:rsidR="00212513" w:rsidRDefault="00212513">
            <w:pPr>
              <w:pStyle w:val="ConsPlusNormal"/>
              <w:jc w:val="center"/>
            </w:pPr>
          </w:p>
        </w:tc>
        <w:tc>
          <w:tcPr>
            <w:tcW w:w="714" w:type="dxa"/>
            <w:tcBorders>
              <w:top w:val="nil"/>
              <w:bottom w:val="nil"/>
            </w:tcBorders>
          </w:tcPr>
          <w:p w:rsidR="00212513" w:rsidRDefault="00212513">
            <w:pPr>
              <w:pStyle w:val="ConsPlusNormal"/>
              <w:jc w:val="center"/>
            </w:pPr>
          </w:p>
        </w:tc>
      </w:tr>
      <w:tr w:rsidR="00212513">
        <w:tblPrEx>
          <w:tblBorders>
            <w:insideH w:val="none" w:sz="0" w:space="0" w:color="auto"/>
          </w:tblBorders>
        </w:tblPrEx>
        <w:tc>
          <w:tcPr>
            <w:tcW w:w="1928" w:type="dxa"/>
            <w:tcBorders>
              <w:top w:val="nil"/>
              <w:bottom w:val="nil"/>
            </w:tcBorders>
          </w:tcPr>
          <w:p w:rsidR="00212513" w:rsidRDefault="00212513">
            <w:pPr>
              <w:pStyle w:val="ConsPlusNormal"/>
            </w:pPr>
            <w:r>
              <w:t xml:space="preserve">при </w:t>
            </w:r>
            <w:r>
              <w:lastRenderedPageBreak/>
              <w:t>предварительном напряжении и монтаже</w:t>
            </w:r>
          </w:p>
        </w:tc>
        <w:tc>
          <w:tcPr>
            <w:tcW w:w="1191" w:type="dxa"/>
            <w:tcBorders>
              <w:top w:val="nil"/>
              <w:bottom w:val="nil"/>
            </w:tcBorders>
          </w:tcPr>
          <w:p w:rsidR="00212513" w:rsidRDefault="00212513">
            <w:pPr>
              <w:pStyle w:val="ConsPlusNormal"/>
              <w:jc w:val="center"/>
            </w:pPr>
            <w:r>
              <w:rPr>
                <w:i/>
              </w:rPr>
              <w:lastRenderedPageBreak/>
              <w:t>R</w:t>
            </w:r>
            <w:r>
              <w:rPr>
                <w:i/>
                <w:vertAlign w:val="subscript"/>
              </w:rPr>
              <w:t>b,mc</w:t>
            </w:r>
            <w:r>
              <w:rPr>
                <w:vertAlign w:val="subscript"/>
              </w:rPr>
              <w:t>1</w:t>
            </w:r>
          </w:p>
        </w:tc>
        <w:tc>
          <w:tcPr>
            <w:tcW w:w="713" w:type="dxa"/>
            <w:tcBorders>
              <w:top w:val="nil"/>
              <w:bottom w:val="nil"/>
            </w:tcBorders>
          </w:tcPr>
          <w:p w:rsidR="00212513" w:rsidRDefault="00212513">
            <w:pPr>
              <w:pStyle w:val="ConsPlusNormal"/>
              <w:jc w:val="center"/>
            </w:pPr>
            <w:r>
              <w:t>-</w:t>
            </w:r>
          </w:p>
        </w:tc>
        <w:tc>
          <w:tcPr>
            <w:tcW w:w="713" w:type="dxa"/>
            <w:tcBorders>
              <w:top w:val="nil"/>
              <w:bottom w:val="nil"/>
            </w:tcBorders>
          </w:tcPr>
          <w:p w:rsidR="00212513" w:rsidRDefault="00212513">
            <w:pPr>
              <w:pStyle w:val="ConsPlusNormal"/>
              <w:jc w:val="center"/>
            </w:pPr>
            <w:r>
              <w:t>-</w:t>
            </w:r>
          </w:p>
        </w:tc>
        <w:tc>
          <w:tcPr>
            <w:tcW w:w="713" w:type="dxa"/>
            <w:tcBorders>
              <w:top w:val="nil"/>
              <w:bottom w:val="nil"/>
            </w:tcBorders>
          </w:tcPr>
          <w:p w:rsidR="00212513" w:rsidRDefault="00212513">
            <w:pPr>
              <w:pStyle w:val="ConsPlusNormal"/>
              <w:jc w:val="center"/>
            </w:pPr>
            <w:r>
              <w:t>13,7</w:t>
            </w:r>
          </w:p>
        </w:tc>
        <w:tc>
          <w:tcPr>
            <w:tcW w:w="713" w:type="dxa"/>
            <w:tcBorders>
              <w:top w:val="nil"/>
              <w:bottom w:val="nil"/>
            </w:tcBorders>
          </w:tcPr>
          <w:p w:rsidR="00212513" w:rsidRDefault="00212513">
            <w:pPr>
              <w:pStyle w:val="ConsPlusNormal"/>
              <w:jc w:val="center"/>
            </w:pPr>
            <w:r>
              <w:t>15,2</w:t>
            </w:r>
          </w:p>
        </w:tc>
        <w:tc>
          <w:tcPr>
            <w:tcW w:w="713" w:type="dxa"/>
            <w:tcBorders>
              <w:top w:val="nil"/>
              <w:bottom w:val="nil"/>
            </w:tcBorders>
          </w:tcPr>
          <w:p w:rsidR="00212513" w:rsidRDefault="00212513">
            <w:pPr>
              <w:pStyle w:val="ConsPlusNormal"/>
              <w:jc w:val="center"/>
            </w:pPr>
            <w:r>
              <w:t>16,7</w:t>
            </w:r>
          </w:p>
        </w:tc>
        <w:tc>
          <w:tcPr>
            <w:tcW w:w="713" w:type="dxa"/>
            <w:tcBorders>
              <w:top w:val="nil"/>
              <w:bottom w:val="nil"/>
            </w:tcBorders>
          </w:tcPr>
          <w:p w:rsidR="00212513" w:rsidRDefault="00212513">
            <w:pPr>
              <w:pStyle w:val="ConsPlusNormal"/>
              <w:jc w:val="center"/>
            </w:pPr>
            <w:r>
              <w:t>19,6</w:t>
            </w:r>
          </w:p>
        </w:tc>
        <w:tc>
          <w:tcPr>
            <w:tcW w:w="713" w:type="dxa"/>
            <w:tcBorders>
              <w:top w:val="nil"/>
              <w:bottom w:val="nil"/>
            </w:tcBorders>
          </w:tcPr>
          <w:p w:rsidR="00212513" w:rsidRDefault="00212513">
            <w:pPr>
              <w:pStyle w:val="ConsPlusNormal"/>
              <w:jc w:val="center"/>
            </w:pPr>
            <w:r>
              <w:t>23,0</w:t>
            </w:r>
          </w:p>
        </w:tc>
        <w:tc>
          <w:tcPr>
            <w:tcW w:w="713" w:type="dxa"/>
            <w:tcBorders>
              <w:top w:val="nil"/>
              <w:bottom w:val="nil"/>
            </w:tcBorders>
          </w:tcPr>
          <w:p w:rsidR="00212513" w:rsidRDefault="00212513">
            <w:pPr>
              <w:pStyle w:val="ConsPlusNormal"/>
              <w:jc w:val="center"/>
            </w:pPr>
            <w:r>
              <w:t>26,0</w:t>
            </w:r>
          </w:p>
        </w:tc>
        <w:tc>
          <w:tcPr>
            <w:tcW w:w="713" w:type="dxa"/>
            <w:tcBorders>
              <w:top w:val="nil"/>
              <w:bottom w:val="nil"/>
            </w:tcBorders>
          </w:tcPr>
          <w:p w:rsidR="00212513" w:rsidRDefault="00212513">
            <w:pPr>
              <w:pStyle w:val="ConsPlusNormal"/>
              <w:jc w:val="center"/>
            </w:pPr>
            <w:r>
              <w:t>29,9</w:t>
            </w:r>
          </w:p>
        </w:tc>
        <w:tc>
          <w:tcPr>
            <w:tcW w:w="713" w:type="dxa"/>
            <w:tcBorders>
              <w:top w:val="nil"/>
              <w:bottom w:val="nil"/>
            </w:tcBorders>
          </w:tcPr>
          <w:p w:rsidR="00212513" w:rsidRDefault="00212513">
            <w:pPr>
              <w:pStyle w:val="ConsPlusNormal"/>
              <w:jc w:val="center"/>
            </w:pPr>
            <w:r>
              <w:t>32,8</w:t>
            </w:r>
          </w:p>
        </w:tc>
        <w:tc>
          <w:tcPr>
            <w:tcW w:w="714" w:type="dxa"/>
            <w:tcBorders>
              <w:top w:val="nil"/>
              <w:bottom w:val="nil"/>
            </w:tcBorders>
          </w:tcPr>
          <w:p w:rsidR="00212513" w:rsidRDefault="00212513">
            <w:pPr>
              <w:pStyle w:val="ConsPlusNormal"/>
              <w:jc w:val="center"/>
            </w:pPr>
            <w:r>
              <w:t>36,2</w:t>
            </w:r>
          </w:p>
        </w:tc>
      </w:tr>
      <w:tr w:rsidR="00212513">
        <w:tblPrEx>
          <w:tblBorders>
            <w:insideH w:val="none" w:sz="0" w:space="0" w:color="auto"/>
          </w:tblBorders>
        </w:tblPrEx>
        <w:tc>
          <w:tcPr>
            <w:tcW w:w="1928" w:type="dxa"/>
            <w:tcBorders>
              <w:top w:val="nil"/>
              <w:bottom w:val="single" w:sz="4" w:space="0" w:color="auto"/>
            </w:tcBorders>
          </w:tcPr>
          <w:p w:rsidR="00212513" w:rsidRDefault="00212513">
            <w:pPr>
              <w:pStyle w:val="ConsPlusNormal"/>
            </w:pPr>
            <w:r>
              <w:lastRenderedPageBreak/>
              <w:t>на стадии эксплуатации</w:t>
            </w:r>
          </w:p>
        </w:tc>
        <w:tc>
          <w:tcPr>
            <w:tcW w:w="1191" w:type="dxa"/>
            <w:tcBorders>
              <w:top w:val="nil"/>
              <w:bottom w:val="single" w:sz="4" w:space="0" w:color="auto"/>
            </w:tcBorders>
          </w:tcPr>
          <w:p w:rsidR="00212513" w:rsidRDefault="00212513">
            <w:pPr>
              <w:pStyle w:val="ConsPlusNormal"/>
              <w:jc w:val="center"/>
            </w:pPr>
            <w:r>
              <w:rPr>
                <w:i/>
              </w:rPr>
              <w:t>R</w:t>
            </w:r>
            <w:r>
              <w:rPr>
                <w:i/>
                <w:vertAlign w:val="subscript"/>
              </w:rPr>
              <w:t>b,mc</w:t>
            </w:r>
            <w:r>
              <w:rPr>
                <w:vertAlign w:val="subscript"/>
              </w:rPr>
              <w:t>2</w:t>
            </w:r>
          </w:p>
        </w:tc>
        <w:tc>
          <w:tcPr>
            <w:tcW w:w="713" w:type="dxa"/>
            <w:tcBorders>
              <w:top w:val="nil"/>
              <w:bottom w:val="single" w:sz="4" w:space="0" w:color="auto"/>
            </w:tcBorders>
          </w:tcPr>
          <w:p w:rsidR="00212513" w:rsidRDefault="00212513">
            <w:pPr>
              <w:pStyle w:val="ConsPlusNormal"/>
              <w:jc w:val="center"/>
            </w:pPr>
            <w:r>
              <w:t>8,8</w:t>
            </w:r>
          </w:p>
        </w:tc>
        <w:tc>
          <w:tcPr>
            <w:tcW w:w="713" w:type="dxa"/>
            <w:tcBorders>
              <w:top w:val="nil"/>
              <w:bottom w:val="single" w:sz="4" w:space="0" w:color="auto"/>
            </w:tcBorders>
          </w:tcPr>
          <w:p w:rsidR="00212513" w:rsidRDefault="00212513">
            <w:pPr>
              <w:pStyle w:val="ConsPlusNormal"/>
              <w:jc w:val="center"/>
            </w:pPr>
            <w:r>
              <w:t>10,3</w:t>
            </w:r>
          </w:p>
        </w:tc>
        <w:tc>
          <w:tcPr>
            <w:tcW w:w="713" w:type="dxa"/>
            <w:tcBorders>
              <w:top w:val="nil"/>
              <w:bottom w:val="single" w:sz="4" w:space="0" w:color="auto"/>
            </w:tcBorders>
          </w:tcPr>
          <w:p w:rsidR="00212513" w:rsidRDefault="00212513">
            <w:pPr>
              <w:pStyle w:val="ConsPlusNormal"/>
              <w:jc w:val="center"/>
            </w:pPr>
            <w:r>
              <w:t>11,8</w:t>
            </w:r>
          </w:p>
        </w:tc>
        <w:tc>
          <w:tcPr>
            <w:tcW w:w="713" w:type="dxa"/>
            <w:tcBorders>
              <w:top w:val="nil"/>
              <w:bottom w:val="single" w:sz="4" w:space="0" w:color="auto"/>
            </w:tcBorders>
          </w:tcPr>
          <w:p w:rsidR="00212513" w:rsidRDefault="00212513">
            <w:pPr>
              <w:pStyle w:val="ConsPlusNormal"/>
              <w:jc w:val="center"/>
            </w:pPr>
            <w:r>
              <w:t>13,2</w:t>
            </w:r>
          </w:p>
        </w:tc>
        <w:tc>
          <w:tcPr>
            <w:tcW w:w="713" w:type="dxa"/>
            <w:tcBorders>
              <w:top w:val="nil"/>
              <w:bottom w:val="single" w:sz="4" w:space="0" w:color="auto"/>
            </w:tcBorders>
          </w:tcPr>
          <w:p w:rsidR="00212513" w:rsidRDefault="00212513">
            <w:pPr>
              <w:pStyle w:val="ConsPlusNormal"/>
              <w:jc w:val="center"/>
            </w:pPr>
            <w:r>
              <w:t>14,6</w:t>
            </w:r>
          </w:p>
        </w:tc>
        <w:tc>
          <w:tcPr>
            <w:tcW w:w="713" w:type="dxa"/>
            <w:tcBorders>
              <w:top w:val="nil"/>
              <w:bottom w:val="single" w:sz="4" w:space="0" w:color="auto"/>
            </w:tcBorders>
          </w:tcPr>
          <w:p w:rsidR="00212513" w:rsidRDefault="00212513">
            <w:pPr>
              <w:pStyle w:val="ConsPlusNormal"/>
              <w:jc w:val="center"/>
            </w:pPr>
            <w:r>
              <w:t>16,7</w:t>
            </w:r>
          </w:p>
        </w:tc>
        <w:tc>
          <w:tcPr>
            <w:tcW w:w="713" w:type="dxa"/>
            <w:tcBorders>
              <w:top w:val="nil"/>
              <w:bottom w:val="single" w:sz="4" w:space="0" w:color="auto"/>
            </w:tcBorders>
          </w:tcPr>
          <w:p w:rsidR="00212513" w:rsidRDefault="00212513">
            <w:pPr>
              <w:pStyle w:val="ConsPlusNormal"/>
              <w:jc w:val="center"/>
            </w:pPr>
            <w:r>
              <w:t>19,6</w:t>
            </w:r>
          </w:p>
        </w:tc>
        <w:tc>
          <w:tcPr>
            <w:tcW w:w="713" w:type="dxa"/>
            <w:tcBorders>
              <w:top w:val="nil"/>
              <w:bottom w:val="single" w:sz="4" w:space="0" w:color="auto"/>
            </w:tcBorders>
          </w:tcPr>
          <w:p w:rsidR="00212513" w:rsidRDefault="00212513">
            <w:pPr>
              <w:pStyle w:val="ConsPlusNormal"/>
              <w:jc w:val="center"/>
            </w:pPr>
            <w:r>
              <w:t>22,0</w:t>
            </w:r>
          </w:p>
        </w:tc>
        <w:tc>
          <w:tcPr>
            <w:tcW w:w="713" w:type="dxa"/>
            <w:tcBorders>
              <w:top w:val="nil"/>
              <w:bottom w:val="single" w:sz="4" w:space="0" w:color="auto"/>
            </w:tcBorders>
          </w:tcPr>
          <w:p w:rsidR="00212513" w:rsidRDefault="00212513">
            <w:pPr>
              <w:pStyle w:val="ConsPlusNormal"/>
              <w:jc w:val="center"/>
            </w:pPr>
            <w:r>
              <w:t>25,0</w:t>
            </w:r>
          </w:p>
        </w:tc>
        <w:tc>
          <w:tcPr>
            <w:tcW w:w="713" w:type="dxa"/>
            <w:tcBorders>
              <w:top w:val="nil"/>
              <w:bottom w:val="single" w:sz="4" w:space="0" w:color="auto"/>
            </w:tcBorders>
          </w:tcPr>
          <w:p w:rsidR="00212513" w:rsidRDefault="00212513">
            <w:pPr>
              <w:pStyle w:val="ConsPlusNormal"/>
              <w:jc w:val="center"/>
            </w:pPr>
            <w:r>
              <w:t>27,5</w:t>
            </w:r>
          </w:p>
        </w:tc>
        <w:tc>
          <w:tcPr>
            <w:tcW w:w="714" w:type="dxa"/>
            <w:tcBorders>
              <w:top w:val="nil"/>
              <w:bottom w:val="single" w:sz="4" w:space="0" w:color="auto"/>
            </w:tcBorders>
          </w:tcPr>
          <w:p w:rsidR="00212513" w:rsidRDefault="00212513">
            <w:pPr>
              <w:pStyle w:val="ConsPlusNormal"/>
              <w:jc w:val="center"/>
            </w:pPr>
            <w:r>
              <w:t>30,0</w:t>
            </w:r>
          </w:p>
        </w:tc>
      </w:tr>
    </w:tbl>
    <w:p w:rsidR="00212513" w:rsidRDefault="00212513">
      <w:pPr>
        <w:pStyle w:val="ConsPlusNormal"/>
        <w:sectPr w:rsidR="00212513">
          <w:pgSz w:w="16838" w:h="11905" w:orient="landscape"/>
          <w:pgMar w:top="1701" w:right="1134" w:bottom="850" w:left="1134" w:header="0" w:footer="0" w:gutter="0"/>
          <w:cols w:space="720"/>
          <w:titlePg/>
        </w:sectPr>
      </w:pPr>
    </w:p>
    <w:p w:rsidR="00212513" w:rsidRDefault="00212513">
      <w:pPr>
        <w:pStyle w:val="ConsPlusNormal"/>
        <w:ind w:firstLine="540"/>
        <w:jc w:val="both"/>
      </w:pPr>
    </w:p>
    <w:p w:rsidR="00212513" w:rsidRDefault="00212513">
      <w:pPr>
        <w:pStyle w:val="ConsPlusNormal"/>
        <w:ind w:firstLine="540"/>
        <w:jc w:val="both"/>
      </w:pPr>
      <w:r>
        <w:t xml:space="preserve">Расчетные сопротивления бетона на непосредственный срез </w:t>
      </w:r>
      <w:r>
        <w:rPr>
          <w:noProof/>
          <w:position w:val="-9"/>
        </w:rPr>
        <w:drawing>
          <wp:inline distT="0" distB="0" distL="0" distR="0">
            <wp:extent cx="367030" cy="262890"/>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367030" cy="262890"/>
                    </a:xfrm>
                    <a:prstGeom prst="rect">
                      <a:avLst/>
                    </a:prstGeom>
                    <a:noFill/>
                    <a:ln>
                      <a:noFill/>
                    </a:ln>
                  </pic:spPr>
                </pic:pic>
              </a:graphicData>
            </a:graphic>
          </wp:inline>
        </w:drawing>
      </w:r>
      <w:r>
        <w:t xml:space="preserve"> при расчетах конструкций по предельным состояниям первой группы следует принимать:</w:t>
      </w:r>
    </w:p>
    <w:p w:rsidR="00212513" w:rsidRDefault="00212513">
      <w:pPr>
        <w:pStyle w:val="ConsPlusNormal"/>
        <w:spacing w:before="220"/>
        <w:ind w:firstLine="540"/>
        <w:jc w:val="both"/>
      </w:pPr>
      <w:r>
        <w:t xml:space="preserve">для сечений, расположенных в монолитном армированном бетоне, когда не учитывается работа арматуры - </w:t>
      </w:r>
      <w:r>
        <w:rPr>
          <w:noProof/>
          <w:position w:val="-9"/>
        </w:rPr>
        <w:drawing>
          <wp:inline distT="0" distB="0" distL="0" distR="0">
            <wp:extent cx="902970" cy="262890"/>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902970" cy="262890"/>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для тех же сечений при учете работы арматуры на срез - по указаниям </w:t>
      </w:r>
      <w:hyperlink w:anchor="P4789">
        <w:r>
          <w:rPr>
            <w:color w:val="0000FF"/>
          </w:rPr>
          <w:t>7.78</w:t>
        </w:r>
      </w:hyperlink>
      <w:r>
        <w:t>;</w:t>
      </w:r>
    </w:p>
    <w:p w:rsidR="00212513" w:rsidRDefault="00212513">
      <w:pPr>
        <w:pStyle w:val="ConsPlusNormal"/>
        <w:spacing w:before="220"/>
        <w:ind w:firstLine="540"/>
        <w:jc w:val="both"/>
      </w:pPr>
      <w:r>
        <w:t xml:space="preserve">в местах сопряжения бетона омоноличивания с бетоном сборных элементов при соблюдении требований </w:t>
      </w:r>
      <w:hyperlink w:anchor="P5909">
        <w:r>
          <w:rPr>
            <w:color w:val="0000FF"/>
          </w:rPr>
          <w:t>7.170</w:t>
        </w:r>
      </w:hyperlink>
      <w:r>
        <w:t xml:space="preserve"> - </w:t>
      </w:r>
      <w:r>
        <w:rPr>
          <w:noProof/>
          <w:position w:val="-10"/>
        </w:rPr>
        <w:drawing>
          <wp:inline distT="0" distB="0" distL="0" distR="0">
            <wp:extent cx="1005840" cy="273685"/>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1005840" cy="273685"/>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Для бетонных конструкций расчетные сопротивления сжатию </w:t>
      </w:r>
      <w:r>
        <w:rPr>
          <w:noProof/>
          <w:position w:val="-8"/>
        </w:rPr>
        <w:drawing>
          <wp:inline distT="0" distB="0" distL="0" distR="0">
            <wp:extent cx="209550" cy="251460"/>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w:t>
      </w:r>
      <w:r>
        <w:rPr>
          <w:noProof/>
          <w:position w:val="-9"/>
        </w:rPr>
        <w:drawing>
          <wp:inline distT="0" distB="0" distL="0" distR="0">
            <wp:extent cx="396875" cy="262890"/>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396875" cy="262890"/>
                    </a:xfrm>
                    <a:prstGeom prst="rect">
                      <a:avLst/>
                    </a:prstGeom>
                    <a:noFill/>
                    <a:ln>
                      <a:noFill/>
                    </a:ln>
                  </pic:spPr>
                </pic:pic>
              </a:graphicData>
            </a:graphic>
          </wp:inline>
        </w:drawing>
      </w:r>
      <w:r>
        <w:t xml:space="preserve"> необходимо принимать на 10% ниже значений, указанных в </w:t>
      </w:r>
      <w:hyperlink w:anchor="P2350">
        <w:r>
          <w:rPr>
            <w:color w:val="0000FF"/>
          </w:rPr>
          <w:t>таблице 7.6</w:t>
        </w:r>
      </w:hyperlink>
      <w:r>
        <w:t xml:space="preserve">, а для непосредственного среза - </w:t>
      </w:r>
      <w:r>
        <w:rPr>
          <w:noProof/>
          <w:position w:val="-10"/>
        </w:rPr>
        <w:drawing>
          <wp:inline distT="0" distB="0" distL="0" distR="0">
            <wp:extent cx="1005840" cy="273685"/>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1005840" cy="273685"/>
                    </a:xfrm>
                    <a:prstGeom prst="rect">
                      <a:avLst/>
                    </a:prstGeom>
                    <a:noFill/>
                    <a:ln>
                      <a:noFill/>
                    </a:ln>
                  </pic:spPr>
                </pic:pic>
              </a:graphicData>
            </a:graphic>
          </wp:inline>
        </w:drawing>
      </w:r>
      <w:r>
        <w:t>.</w:t>
      </w:r>
    </w:p>
    <w:p w:rsidR="00212513" w:rsidRDefault="00212513">
      <w:pPr>
        <w:pStyle w:val="ConsPlusNormal"/>
        <w:spacing w:before="220"/>
        <w:ind w:firstLine="540"/>
        <w:jc w:val="both"/>
      </w:pPr>
      <w:r>
        <w:t>Расчетные сопротивления монолитного бетона класса В20 во внутренних полостях (в ядре) круглых оболочек опор допускается в расчетах повышать на 25%.</w:t>
      </w:r>
    </w:p>
    <w:p w:rsidR="00212513" w:rsidRDefault="00212513">
      <w:pPr>
        <w:pStyle w:val="ConsPlusNormal"/>
        <w:spacing w:before="220"/>
        <w:ind w:firstLine="540"/>
        <w:jc w:val="both"/>
      </w:pPr>
      <w:bookmarkStart w:id="107" w:name="P2479"/>
      <w:bookmarkEnd w:id="107"/>
      <w:r>
        <w:t xml:space="preserve">7.25 Расчетные сопротивления бетона, приведенные в </w:t>
      </w:r>
      <w:hyperlink w:anchor="P2341">
        <w:r>
          <w:rPr>
            <w:color w:val="0000FF"/>
          </w:rPr>
          <w:t>7.24</w:t>
        </w:r>
      </w:hyperlink>
      <w:r>
        <w:t xml:space="preserve"> и в </w:t>
      </w:r>
      <w:hyperlink w:anchor="P2350">
        <w:r>
          <w:rPr>
            <w:color w:val="0000FF"/>
          </w:rPr>
          <w:t>таблице 7.6</w:t>
        </w:r>
      </w:hyperlink>
      <w:r>
        <w:t>, в соответствующих случаях следует принимать с коэффициентами условий работы согласно таблице 7.7.</w:t>
      </w:r>
    </w:p>
    <w:p w:rsidR="00212513" w:rsidRDefault="00212513">
      <w:pPr>
        <w:pStyle w:val="ConsPlusNormal"/>
        <w:ind w:firstLine="540"/>
        <w:jc w:val="both"/>
      </w:pPr>
    </w:p>
    <w:p w:rsidR="00212513" w:rsidRDefault="00212513">
      <w:pPr>
        <w:pStyle w:val="ConsPlusNormal"/>
        <w:jc w:val="right"/>
      </w:pPr>
      <w:r>
        <w:t>Таблица 7.7</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25"/>
        <w:gridCol w:w="1304"/>
        <w:gridCol w:w="1871"/>
        <w:gridCol w:w="1871"/>
      </w:tblGrid>
      <w:tr w:rsidR="00212513">
        <w:tc>
          <w:tcPr>
            <w:tcW w:w="4025" w:type="dxa"/>
            <w:tcBorders>
              <w:top w:val="single" w:sz="4" w:space="0" w:color="auto"/>
              <w:bottom w:val="single" w:sz="4" w:space="0" w:color="auto"/>
            </w:tcBorders>
            <w:vAlign w:val="center"/>
          </w:tcPr>
          <w:p w:rsidR="00212513" w:rsidRDefault="00212513">
            <w:pPr>
              <w:pStyle w:val="ConsPlusNormal"/>
              <w:jc w:val="center"/>
            </w:pPr>
            <w:r>
              <w:t>Фактор, обусловливающий введение коэффициента условий работы</w:t>
            </w:r>
          </w:p>
        </w:tc>
        <w:tc>
          <w:tcPr>
            <w:tcW w:w="1304" w:type="dxa"/>
            <w:tcBorders>
              <w:top w:val="single" w:sz="4" w:space="0" w:color="auto"/>
              <w:bottom w:val="single" w:sz="4" w:space="0" w:color="auto"/>
            </w:tcBorders>
            <w:vAlign w:val="center"/>
          </w:tcPr>
          <w:p w:rsidR="00212513" w:rsidRDefault="00212513">
            <w:pPr>
              <w:pStyle w:val="ConsPlusNormal"/>
              <w:jc w:val="center"/>
            </w:pPr>
            <w:r>
              <w:t>Коэффициент условий работы</w:t>
            </w:r>
          </w:p>
        </w:tc>
        <w:tc>
          <w:tcPr>
            <w:tcW w:w="1871" w:type="dxa"/>
            <w:tcBorders>
              <w:top w:val="single" w:sz="4" w:space="0" w:color="auto"/>
              <w:bottom w:val="single" w:sz="4" w:space="0" w:color="auto"/>
            </w:tcBorders>
            <w:vAlign w:val="center"/>
          </w:tcPr>
          <w:p w:rsidR="00212513" w:rsidRDefault="00212513">
            <w:pPr>
              <w:pStyle w:val="ConsPlusNormal"/>
              <w:jc w:val="center"/>
            </w:pPr>
            <w:r>
              <w:t>Расчетное сопротивление бетона, к которому вводится коэффициент</w:t>
            </w:r>
          </w:p>
        </w:tc>
        <w:tc>
          <w:tcPr>
            <w:tcW w:w="1871" w:type="dxa"/>
            <w:tcBorders>
              <w:top w:val="single" w:sz="4" w:space="0" w:color="auto"/>
              <w:bottom w:val="single" w:sz="4" w:space="0" w:color="auto"/>
            </w:tcBorders>
            <w:vAlign w:val="center"/>
          </w:tcPr>
          <w:p w:rsidR="00212513" w:rsidRDefault="00212513">
            <w:pPr>
              <w:pStyle w:val="ConsPlusNormal"/>
              <w:jc w:val="center"/>
            </w:pPr>
            <w:r>
              <w:t>Значение коэффициента условий работы</w:t>
            </w:r>
          </w:p>
        </w:tc>
      </w:tr>
      <w:tr w:rsidR="00212513">
        <w:tc>
          <w:tcPr>
            <w:tcW w:w="4025" w:type="dxa"/>
            <w:tcBorders>
              <w:top w:val="single" w:sz="4" w:space="0" w:color="auto"/>
              <w:bottom w:val="single" w:sz="4" w:space="0" w:color="auto"/>
            </w:tcBorders>
          </w:tcPr>
          <w:p w:rsidR="00212513" w:rsidRDefault="00212513">
            <w:pPr>
              <w:pStyle w:val="ConsPlusNormal"/>
            </w:pPr>
            <w:r>
              <w:t>1 Многократно повторяющаяся нагрузка</w:t>
            </w:r>
          </w:p>
        </w:tc>
        <w:tc>
          <w:tcPr>
            <w:tcW w:w="1304" w:type="dxa"/>
            <w:tcBorders>
              <w:top w:val="single" w:sz="4" w:space="0" w:color="auto"/>
              <w:bottom w:val="single" w:sz="4" w:space="0" w:color="auto"/>
            </w:tcBorders>
          </w:tcPr>
          <w:p w:rsidR="00212513" w:rsidRDefault="00212513">
            <w:pPr>
              <w:pStyle w:val="ConsPlusNormal"/>
              <w:jc w:val="center"/>
            </w:pPr>
            <w:r>
              <w:rPr>
                <w:i/>
              </w:rPr>
              <w:t>m</w:t>
            </w:r>
            <w:r>
              <w:rPr>
                <w:i/>
                <w:vertAlign w:val="subscript"/>
              </w:rPr>
              <w:t>b</w:t>
            </w:r>
            <w:r>
              <w:rPr>
                <w:vertAlign w:val="subscript"/>
              </w:rPr>
              <w:t>1</w:t>
            </w:r>
          </w:p>
        </w:tc>
        <w:tc>
          <w:tcPr>
            <w:tcW w:w="1871" w:type="dxa"/>
            <w:tcBorders>
              <w:top w:val="single" w:sz="4" w:space="0" w:color="auto"/>
              <w:bottom w:val="single" w:sz="4" w:space="0" w:color="auto"/>
            </w:tcBorders>
          </w:tcPr>
          <w:p w:rsidR="00212513" w:rsidRDefault="00212513">
            <w:pPr>
              <w:pStyle w:val="ConsPlusNormal"/>
              <w:jc w:val="center"/>
            </w:pPr>
            <w:r>
              <w:rPr>
                <w:i/>
              </w:rPr>
              <w:t>R</w:t>
            </w:r>
            <w:r>
              <w:rPr>
                <w:i/>
                <w:vertAlign w:val="subscript"/>
              </w:rPr>
              <w:t>b</w:t>
            </w:r>
          </w:p>
        </w:tc>
        <w:tc>
          <w:tcPr>
            <w:tcW w:w="1871" w:type="dxa"/>
            <w:tcBorders>
              <w:top w:val="single" w:sz="4" w:space="0" w:color="auto"/>
              <w:bottom w:val="single" w:sz="4" w:space="0" w:color="auto"/>
            </w:tcBorders>
          </w:tcPr>
          <w:p w:rsidR="00212513" w:rsidRDefault="00212513">
            <w:pPr>
              <w:pStyle w:val="ConsPlusNormal"/>
              <w:jc w:val="center"/>
            </w:pPr>
            <w:r>
              <w:t xml:space="preserve">По </w:t>
            </w:r>
            <w:hyperlink w:anchor="P2555">
              <w:r>
                <w:rPr>
                  <w:color w:val="0000FF"/>
                </w:rPr>
                <w:t>7.26</w:t>
              </w:r>
            </w:hyperlink>
          </w:p>
        </w:tc>
      </w:tr>
      <w:tr w:rsidR="00212513">
        <w:tc>
          <w:tcPr>
            <w:tcW w:w="4025" w:type="dxa"/>
            <w:tcBorders>
              <w:top w:val="single" w:sz="4" w:space="0" w:color="auto"/>
              <w:bottom w:val="single" w:sz="4" w:space="0" w:color="auto"/>
            </w:tcBorders>
          </w:tcPr>
          <w:p w:rsidR="00212513" w:rsidRDefault="00212513">
            <w:pPr>
              <w:pStyle w:val="ConsPlusNormal"/>
            </w:pPr>
            <w:r>
              <w:t>2 Бетонирование в вертикальном положении сжатых элементов с площадью поперечного сечения 0,3 м</w:t>
            </w:r>
            <w:r>
              <w:rPr>
                <w:vertAlign w:val="superscript"/>
              </w:rPr>
              <w:t>2</w:t>
            </w:r>
            <w:r>
              <w:t xml:space="preserve"> и менее</w:t>
            </w:r>
          </w:p>
        </w:tc>
        <w:tc>
          <w:tcPr>
            <w:tcW w:w="1304" w:type="dxa"/>
            <w:tcBorders>
              <w:top w:val="single" w:sz="4" w:space="0" w:color="auto"/>
              <w:bottom w:val="single" w:sz="4" w:space="0" w:color="auto"/>
            </w:tcBorders>
          </w:tcPr>
          <w:p w:rsidR="00212513" w:rsidRDefault="00212513">
            <w:pPr>
              <w:pStyle w:val="ConsPlusNormal"/>
              <w:jc w:val="center"/>
            </w:pPr>
            <w:r>
              <w:rPr>
                <w:i/>
              </w:rPr>
              <w:t>m</w:t>
            </w:r>
            <w:r>
              <w:rPr>
                <w:i/>
                <w:vertAlign w:val="subscript"/>
              </w:rPr>
              <w:t>b</w:t>
            </w:r>
            <w:r>
              <w:rPr>
                <w:vertAlign w:val="subscript"/>
              </w:rPr>
              <w:t>4</w:t>
            </w:r>
          </w:p>
        </w:tc>
        <w:tc>
          <w:tcPr>
            <w:tcW w:w="1871" w:type="dxa"/>
            <w:tcBorders>
              <w:top w:val="single" w:sz="4" w:space="0" w:color="auto"/>
              <w:bottom w:val="single" w:sz="4" w:space="0" w:color="auto"/>
            </w:tcBorders>
          </w:tcPr>
          <w:p w:rsidR="00212513" w:rsidRDefault="00212513">
            <w:pPr>
              <w:pStyle w:val="ConsPlusNormal"/>
              <w:jc w:val="center"/>
            </w:pPr>
            <w:r>
              <w:rPr>
                <w:i/>
              </w:rPr>
              <w:t>R</w:t>
            </w:r>
            <w:r>
              <w:rPr>
                <w:i/>
                <w:vertAlign w:val="subscript"/>
              </w:rPr>
              <w:t>b</w:t>
            </w:r>
          </w:p>
        </w:tc>
        <w:tc>
          <w:tcPr>
            <w:tcW w:w="1871" w:type="dxa"/>
            <w:tcBorders>
              <w:top w:val="single" w:sz="4" w:space="0" w:color="auto"/>
              <w:bottom w:val="single" w:sz="4" w:space="0" w:color="auto"/>
            </w:tcBorders>
          </w:tcPr>
          <w:p w:rsidR="00212513" w:rsidRDefault="00212513">
            <w:pPr>
              <w:pStyle w:val="ConsPlusNormal"/>
              <w:jc w:val="center"/>
            </w:pPr>
            <w:r>
              <w:t>0,85</w:t>
            </w:r>
          </w:p>
        </w:tc>
      </w:tr>
      <w:tr w:rsidR="00212513">
        <w:tc>
          <w:tcPr>
            <w:tcW w:w="4025" w:type="dxa"/>
            <w:vMerge w:val="restart"/>
            <w:tcBorders>
              <w:top w:val="single" w:sz="4" w:space="0" w:color="auto"/>
              <w:bottom w:val="single" w:sz="4" w:space="0" w:color="auto"/>
            </w:tcBorders>
          </w:tcPr>
          <w:p w:rsidR="00212513" w:rsidRDefault="00212513">
            <w:pPr>
              <w:pStyle w:val="ConsPlusNormal"/>
            </w:pPr>
            <w:r>
              <w:t>3 Влияние двухосного напряженного состояния при поперечном обжатии бетона</w:t>
            </w:r>
          </w:p>
        </w:tc>
        <w:tc>
          <w:tcPr>
            <w:tcW w:w="1304" w:type="dxa"/>
            <w:vMerge w:val="restart"/>
            <w:tcBorders>
              <w:top w:val="single" w:sz="4" w:space="0" w:color="auto"/>
              <w:bottom w:val="single" w:sz="4" w:space="0" w:color="auto"/>
            </w:tcBorders>
            <w:vAlign w:val="center"/>
          </w:tcPr>
          <w:p w:rsidR="00212513" w:rsidRDefault="00212513">
            <w:pPr>
              <w:pStyle w:val="ConsPlusNormal"/>
              <w:jc w:val="center"/>
            </w:pPr>
            <w:r>
              <w:rPr>
                <w:i/>
              </w:rPr>
              <w:t>m</w:t>
            </w:r>
            <w:r>
              <w:rPr>
                <w:i/>
                <w:vertAlign w:val="subscript"/>
              </w:rPr>
              <w:t>b</w:t>
            </w:r>
            <w:r>
              <w:rPr>
                <w:vertAlign w:val="subscript"/>
              </w:rPr>
              <w:t>6</w:t>
            </w:r>
          </w:p>
        </w:tc>
        <w:tc>
          <w:tcPr>
            <w:tcW w:w="1871" w:type="dxa"/>
            <w:tcBorders>
              <w:top w:val="single" w:sz="4" w:space="0" w:color="auto"/>
              <w:bottom w:val="nil"/>
            </w:tcBorders>
          </w:tcPr>
          <w:p w:rsidR="00212513" w:rsidRDefault="00212513">
            <w:pPr>
              <w:pStyle w:val="ConsPlusNormal"/>
              <w:jc w:val="center"/>
            </w:pPr>
            <w:r>
              <w:rPr>
                <w:i/>
              </w:rPr>
              <w:t>R</w:t>
            </w:r>
            <w:r>
              <w:rPr>
                <w:i/>
                <w:vertAlign w:val="subscript"/>
              </w:rPr>
              <w:t>b</w:t>
            </w:r>
          </w:p>
        </w:tc>
        <w:tc>
          <w:tcPr>
            <w:tcW w:w="1871" w:type="dxa"/>
            <w:tcBorders>
              <w:top w:val="single" w:sz="4" w:space="0" w:color="auto"/>
              <w:bottom w:val="nil"/>
            </w:tcBorders>
          </w:tcPr>
          <w:p w:rsidR="00212513" w:rsidRDefault="00212513">
            <w:pPr>
              <w:pStyle w:val="ConsPlusNormal"/>
              <w:jc w:val="center"/>
            </w:pPr>
            <w:r>
              <w:t xml:space="preserve">По </w:t>
            </w:r>
            <w:hyperlink w:anchor="P2603">
              <w:r>
                <w:rPr>
                  <w:color w:val="0000FF"/>
                </w:rPr>
                <w:t>7.27</w:t>
              </w:r>
            </w:hyperlink>
          </w:p>
        </w:tc>
      </w:tr>
      <w:tr w:rsidR="00212513">
        <w:tc>
          <w:tcPr>
            <w:tcW w:w="4025" w:type="dxa"/>
            <w:vMerge/>
            <w:tcBorders>
              <w:top w:val="single" w:sz="4" w:space="0" w:color="auto"/>
              <w:bottom w:val="single" w:sz="4" w:space="0" w:color="auto"/>
            </w:tcBorders>
          </w:tcPr>
          <w:p w:rsidR="00212513" w:rsidRDefault="00212513">
            <w:pPr>
              <w:pStyle w:val="ConsPlusNormal"/>
            </w:pPr>
          </w:p>
        </w:tc>
        <w:tc>
          <w:tcPr>
            <w:tcW w:w="1304" w:type="dxa"/>
            <w:vMerge/>
            <w:tcBorders>
              <w:top w:val="single" w:sz="4" w:space="0" w:color="auto"/>
              <w:bottom w:val="single" w:sz="4" w:space="0" w:color="auto"/>
            </w:tcBorders>
          </w:tcPr>
          <w:p w:rsidR="00212513" w:rsidRDefault="00212513">
            <w:pPr>
              <w:pStyle w:val="ConsPlusNormal"/>
            </w:pPr>
          </w:p>
        </w:tc>
        <w:tc>
          <w:tcPr>
            <w:tcW w:w="1871" w:type="dxa"/>
            <w:tcBorders>
              <w:top w:val="nil"/>
              <w:bottom w:val="single" w:sz="4" w:space="0" w:color="auto"/>
            </w:tcBorders>
          </w:tcPr>
          <w:p w:rsidR="00212513" w:rsidRDefault="00212513">
            <w:pPr>
              <w:pStyle w:val="ConsPlusNormal"/>
              <w:jc w:val="center"/>
            </w:pPr>
            <w:r>
              <w:rPr>
                <w:i/>
              </w:rPr>
              <w:t>R</w:t>
            </w:r>
            <w:r>
              <w:rPr>
                <w:i/>
                <w:vertAlign w:val="subscript"/>
              </w:rPr>
              <w:t>b,sh</w:t>
            </w:r>
          </w:p>
        </w:tc>
        <w:tc>
          <w:tcPr>
            <w:tcW w:w="1871" w:type="dxa"/>
            <w:tcBorders>
              <w:top w:val="nil"/>
              <w:bottom w:val="single" w:sz="4" w:space="0" w:color="auto"/>
            </w:tcBorders>
          </w:tcPr>
          <w:p w:rsidR="00212513" w:rsidRDefault="00212513">
            <w:pPr>
              <w:pStyle w:val="ConsPlusNormal"/>
              <w:jc w:val="center"/>
            </w:pPr>
            <w:r>
              <w:t xml:space="preserve">По </w:t>
            </w:r>
            <w:hyperlink w:anchor="P2603">
              <w:r>
                <w:rPr>
                  <w:color w:val="0000FF"/>
                </w:rPr>
                <w:t>7.27</w:t>
              </w:r>
            </w:hyperlink>
          </w:p>
        </w:tc>
      </w:tr>
      <w:tr w:rsidR="00212513">
        <w:tc>
          <w:tcPr>
            <w:tcW w:w="4025" w:type="dxa"/>
            <w:tcBorders>
              <w:top w:val="single" w:sz="4" w:space="0" w:color="auto"/>
              <w:bottom w:val="single" w:sz="4" w:space="0" w:color="auto"/>
            </w:tcBorders>
          </w:tcPr>
          <w:p w:rsidR="00212513" w:rsidRDefault="00212513">
            <w:pPr>
              <w:pStyle w:val="ConsPlusNormal"/>
            </w:pPr>
            <w:r>
              <w:t>4 Работа конструкции в районах со средней температурой наружного воздуха наиболее холодной пятидневки ниже минус 40 °C при отсутствии водонасыщения бетона</w:t>
            </w:r>
          </w:p>
        </w:tc>
        <w:tc>
          <w:tcPr>
            <w:tcW w:w="1304" w:type="dxa"/>
            <w:tcBorders>
              <w:top w:val="single" w:sz="4" w:space="0" w:color="auto"/>
              <w:bottom w:val="single" w:sz="4" w:space="0" w:color="auto"/>
            </w:tcBorders>
          </w:tcPr>
          <w:p w:rsidR="00212513" w:rsidRDefault="00212513">
            <w:pPr>
              <w:pStyle w:val="ConsPlusNormal"/>
              <w:jc w:val="center"/>
            </w:pPr>
            <w:r>
              <w:rPr>
                <w:i/>
              </w:rPr>
              <w:t>m</w:t>
            </w:r>
            <w:r>
              <w:rPr>
                <w:i/>
                <w:vertAlign w:val="subscript"/>
              </w:rPr>
              <w:t>b</w:t>
            </w:r>
            <w:r>
              <w:rPr>
                <w:vertAlign w:val="subscript"/>
              </w:rPr>
              <w:t>7</w:t>
            </w:r>
          </w:p>
        </w:tc>
        <w:tc>
          <w:tcPr>
            <w:tcW w:w="1871" w:type="dxa"/>
            <w:tcBorders>
              <w:top w:val="single" w:sz="4" w:space="0" w:color="auto"/>
              <w:bottom w:val="single" w:sz="4" w:space="0" w:color="auto"/>
            </w:tcBorders>
          </w:tcPr>
          <w:p w:rsidR="00212513" w:rsidRDefault="00212513">
            <w:pPr>
              <w:pStyle w:val="ConsPlusNormal"/>
              <w:jc w:val="center"/>
            </w:pPr>
            <w:r>
              <w:rPr>
                <w:i/>
              </w:rPr>
              <w:t>R</w:t>
            </w:r>
            <w:r>
              <w:rPr>
                <w:i/>
                <w:vertAlign w:val="subscript"/>
              </w:rPr>
              <w:t>b</w:t>
            </w:r>
          </w:p>
        </w:tc>
        <w:tc>
          <w:tcPr>
            <w:tcW w:w="1871" w:type="dxa"/>
            <w:tcBorders>
              <w:top w:val="single" w:sz="4" w:space="0" w:color="auto"/>
              <w:bottom w:val="single" w:sz="4" w:space="0" w:color="auto"/>
            </w:tcBorders>
          </w:tcPr>
          <w:p w:rsidR="00212513" w:rsidRDefault="00212513">
            <w:pPr>
              <w:pStyle w:val="ConsPlusNormal"/>
              <w:jc w:val="center"/>
            </w:pPr>
            <w:r>
              <w:t>0,9</w:t>
            </w:r>
          </w:p>
        </w:tc>
      </w:tr>
      <w:tr w:rsidR="00212513">
        <w:tblPrEx>
          <w:tblBorders>
            <w:insideH w:val="none" w:sz="0" w:space="0" w:color="auto"/>
          </w:tblBorders>
        </w:tblPrEx>
        <w:tc>
          <w:tcPr>
            <w:tcW w:w="4025" w:type="dxa"/>
            <w:tcBorders>
              <w:top w:val="single" w:sz="4" w:space="0" w:color="auto"/>
              <w:bottom w:val="nil"/>
            </w:tcBorders>
          </w:tcPr>
          <w:p w:rsidR="00212513" w:rsidRDefault="00212513">
            <w:pPr>
              <w:pStyle w:val="ConsPlusNormal"/>
            </w:pPr>
            <w:r>
              <w:t xml:space="preserve">5 Попеременное замораживание и оттаивание бетона, находящегося в водонасыщенном состоянии в </w:t>
            </w:r>
            <w:r>
              <w:lastRenderedPageBreak/>
              <w:t>конструкциях, эксплуатируемых в районах со средней температурой наружного воздуха наиболее холодной пятидневки, °C:</w:t>
            </w:r>
          </w:p>
        </w:tc>
        <w:tc>
          <w:tcPr>
            <w:tcW w:w="1304" w:type="dxa"/>
            <w:tcBorders>
              <w:top w:val="single" w:sz="4" w:space="0" w:color="auto"/>
              <w:bottom w:val="nil"/>
            </w:tcBorders>
          </w:tcPr>
          <w:p w:rsidR="00212513" w:rsidRDefault="00212513">
            <w:pPr>
              <w:pStyle w:val="ConsPlusNormal"/>
              <w:jc w:val="both"/>
            </w:pPr>
          </w:p>
        </w:tc>
        <w:tc>
          <w:tcPr>
            <w:tcW w:w="1871" w:type="dxa"/>
            <w:tcBorders>
              <w:top w:val="single" w:sz="4" w:space="0" w:color="auto"/>
              <w:bottom w:val="nil"/>
            </w:tcBorders>
          </w:tcPr>
          <w:p w:rsidR="00212513" w:rsidRDefault="00212513">
            <w:pPr>
              <w:pStyle w:val="ConsPlusNormal"/>
              <w:jc w:val="both"/>
            </w:pPr>
          </w:p>
        </w:tc>
        <w:tc>
          <w:tcPr>
            <w:tcW w:w="1871" w:type="dxa"/>
            <w:tcBorders>
              <w:top w:val="single" w:sz="4" w:space="0" w:color="auto"/>
              <w:bottom w:val="nil"/>
            </w:tcBorders>
          </w:tcPr>
          <w:p w:rsidR="00212513" w:rsidRDefault="00212513">
            <w:pPr>
              <w:pStyle w:val="ConsPlusNormal"/>
              <w:jc w:val="both"/>
            </w:pPr>
          </w:p>
        </w:tc>
      </w:tr>
      <w:tr w:rsidR="00212513">
        <w:tblPrEx>
          <w:tblBorders>
            <w:insideH w:val="none" w:sz="0" w:space="0" w:color="auto"/>
          </w:tblBorders>
        </w:tblPrEx>
        <w:tc>
          <w:tcPr>
            <w:tcW w:w="4025" w:type="dxa"/>
            <w:tcBorders>
              <w:top w:val="nil"/>
              <w:bottom w:val="nil"/>
            </w:tcBorders>
          </w:tcPr>
          <w:p w:rsidR="00212513" w:rsidRDefault="00212513">
            <w:pPr>
              <w:pStyle w:val="ConsPlusNormal"/>
              <w:ind w:left="283"/>
            </w:pPr>
            <w:r>
              <w:lastRenderedPageBreak/>
              <w:t>минус 40 и выше</w:t>
            </w:r>
          </w:p>
        </w:tc>
        <w:tc>
          <w:tcPr>
            <w:tcW w:w="1304" w:type="dxa"/>
            <w:tcBorders>
              <w:top w:val="nil"/>
              <w:bottom w:val="nil"/>
            </w:tcBorders>
          </w:tcPr>
          <w:p w:rsidR="00212513" w:rsidRDefault="00212513">
            <w:pPr>
              <w:pStyle w:val="ConsPlusNormal"/>
              <w:jc w:val="center"/>
            </w:pPr>
            <w:r>
              <w:rPr>
                <w:i/>
              </w:rPr>
              <w:t>m</w:t>
            </w:r>
            <w:r>
              <w:rPr>
                <w:i/>
                <w:vertAlign w:val="subscript"/>
              </w:rPr>
              <w:t>b</w:t>
            </w:r>
            <w:r>
              <w:rPr>
                <w:vertAlign w:val="subscript"/>
              </w:rPr>
              <w:t>8</w:t>
            </w:r>
          </w:p>
        </w:tc>
        <w:tc>
          <w:tcPr>
            <w:tcW w:w="1871" w:type="dxa"/>
            <w:tcBorders>
              <w:top w:val="nil"/>
              <w:bottom w:val="nil"/>
            </w:tcBorders>
          </w:tcPr>
          <w:p w:rsidR="00212513" w:rsidRDefault="00212513">
            <w:pPr>
              <w:pStyle w:val="ConsPlusNormal"/>
              <w:jc w:val="center"/>
            </w:pPr>
            <w:r>
              <w:rPr>
                <w:i/>
              </w:rPr>
              <w:t>R</w:t>
            </w:r>
            <w:r>
              <w:rPr>
                <w:i/>
                <w:vertAlign w:val="subscript"/>
              </w:rPr>
              <w:t>b</w:t>
            </w:r>
          </w:p>
        </w:tc>
        <w:tc>
          <w:tcPr>
            <w:tcW w:w="1871" w:type="dxa"/>
            <w:tcBorders>
              <w:top w:val="nil"/>
              <w:bottom w:val="nil"/>
            </w:tcBorders>
          </w:tcPr>
          <w:p w:rsidR="00212513" w:rsidRDefault="00212513">
            <w:pPr>
              <w:pStyle w:val="ConsPlusNormal"/>
              <w:jc w:val="center"/>
            </w:pPr>
            <w:r>
              <w:t>0,9</w:t>
            </w:r>
          </w:p>
        </w:tc>
      </w:tr>
      <w:tr w:rsidR="00212513">
        <w:tblPrEx>
          <w:tblBorders>
            <w:insideH w:val="none" w:sz="0" w:space="0" w:color="auto"/>
          </w:tblBorders>
        </w:tblPrEx>
        <w:tc>
          <w:tcPr>
            <w:tcW w:w="4025" w:type="dxa"/>
            <w:tcBorders>
              <w:top w:val="nil"/>
              <w:bottom w:val="single" w:sz="4" w:space="0" w:color="auto"/>
            </w:tcBorders>
          </w:tcPr>
          <w:p w:rsidR="00212513" w:rsidRDefault="00212513">
            <w:pPr>
              <w:pStyle w:val="ConsPlusNormal"/>
              <w:ind w:left="283"/>
            </w:pPr>
            <w:r>
              <w:t>ниже минус 40</w:t>
            </w:r>
          </w:p>
        </w:tc>
        <w:tc>
          <w:tcPr>
            <w:tcW w:w="1304" w:type="dxa"/>
            <w:tcBorders>
              <w:top w:val="nil"/>
              <w:bottom w:val="single" w:sz="4" w:space="0" w:color="auto"/>
            </w:tcBorders>
          </w:tcPr>
          <w:p w:rsidR="00212513" w:rsidRDefault="00212513">
            <w:pPr>
              <w:pStyle w:val="ConsPlusNormal"/>
              <w:jc w:val="center"/>
            </w:pPr>
            <w:r>
              <w:rPr>
                <w:i/>
              </w:rPr>
              <w:t>m</w:t>
            </w:r>
            <w:r>
              <w:rPr>
                <w:i/>
                <w:vertAlign w:val="subscript"/>
              </w:rPr>
              <w:t>b</w:t>
            </w:r>
            <w:r>
              <w:rPr>
                <w:vertAlign w:val="subscript"/>
              </w:rPr>
              <w:t>8</w:t>
            </w:r>
          </w:p>
        </w:tc>
        <w:tc>
          <w:tcPr>
            <w:tcW w:w="1871" w:type="dxa"/>
            <w:tcBorders>
              <w:top w:val="nil"/>
              <w:bottom w:val="single" w:sz="4" w:space="0" w:color="auto"/>
            </w:tcBorders>
          </w:tcPr>
          <w:p w:rsidR="00212513" w:rsidRDefault="00212513">
            <w:pPr>
              <w:pStyle w:val="ConsPlusNormal"/>
              <w:jc w:val="center"/>
            </w:pPr>
            <w:r>
              <w:rPr>
                <w:i/>
              </w:rPr>
              <w:t>R</w:t>
            </w:r>
            <w:r>
              <w:rPr>
                <w:i/>
                <w:vertAlign w:val="subscript"/>
              </w:rPr>
              <w:t>b</w:t>
            </w:r>
          </w:p>
        </w:tc>
        <w:tc>
          <w:tcPr>
            <w:tcW w:w="1871" w:type="dxa"/>
            <w:tcBorders>
              <w:top w:val="nil"/>
              <w:bottom w:val="single" w:sz="4" w:space="0" w:color="auto"/>
            </w:tcBorders>
          </w:tcPr>
          <w:p w:rsidR="00212513" w:rsidRDefault="00212513">
            <w:pPr>
              <w:pStyle w:val="ConsPlusNormal"/>
              <w:jc w:val="center"/>
            </w:pPr>
            <w:r>
              <w:t>0,8</w:t>
            </w:r>
          </w:p>
        </w:tc>
      </w:tr>
      <w:tr w:rsidR="00212513">
        <w:tblPrEx>
          <w:tblBorders>
            <w:insideH w:val="none" w:sz="0" w:space="0" w:color="auto"/>
          </w:tblBorders>
        </w:tblPrEx>
        <w:tc>
          <w:tcPr>
            <w:tcW w:w="4025" w:type="dxa"/>
            <w:tcBorders>
              <w:top w:val="single" w:sz="4" w:space="0" w:color="auto"/>
              <w:bottom w:val="nil"/>
            </w:tcBorders>
          </w:tcPr>
          <w:p w:rsidR="00212513" w:rsidRDefault="00212513">
            <w:pPr>
              <w:pStyle w:val="ConsPlusNormal"/>
            </w:pPr>
            <w:r>
              <w:t xml:space="preserve">6 Работа конструкций, не защищенных от солнечной радиации, в климатическом подрайоне IVA согласно </w:t>
            </w:r>
            <w:hyperlink r:id="rId627">
              <w:r>
                <w:rPr>
                  <w:color w:val="0000FF"/>
                </w:rPr>
                <w:t>СП 131.13330</w:t>
              </w:r>
            </w:hyperlink>
          </w:p>
        </w:tc>
        <w:tc>
          <w:tcPr>
            <w:tcW w:w="1304" w:type="dxa"/>
            <w:tcBorders>
              <w:top w:val="single" w:sz="4" w:space="0" w:color="auto"/>
              <w:bottom w:val="nil"/>
            </w:tcBorders>
          </w:tcPr>
          <w:p w:rsidR="00212513" w:rsidRDefault="00212513">
            <w:pPr>
              <w:pStyle w:val="ConsPlusNormal"/>
              <w:jc w:val="center"/>
            </w:pPr>
            <w:r>
              <w:rPr>
                <w:i/>
              </w:rPr>
              <w:t>m</w:t>
            </w:r>
            <w:r>
              <w:rPr>
                <w:i/>
                <w:vertAlign w:val="subscript"/>
              </w:rPr>
              <w:t>b</w:t>
            </w:r>
            <w:r>
              <w:rPr>
                <w:vertAlign w:val="subscript"/>
              </w:rPr>
              <w:t>9</w:t>
            </w:r>
          </w:p>
        </w:tc>
        <w:tc>
          <w:tcPr>
            <w:tcW w:w="1871" w:type="dxa"/>
            <w:tcBorders>
              <w:top w:val="single" w:sz="4" w:space="0" w:color="auto"/>
              <w:bottom w:val="nil"/>
            </w:tcBorders>
          </w:tcPr>
          <w:p w:rsidR="00212513" w:rsidRDefault="00212513">
            <w:pPr>
              <w:pStyle w:val="ConsPlusNormal"/>
              <w:jc w:val="center"/>
            </w:pPr>
            <w:r>
              <w:rPr>
                <w:i/>
              </w:rPr>
              <w:t>R</w:t>
            </w:r>
            <w:r>
              <w:rPr>
                <w:i/>
                <w:vertAlign w:val="subscript"/>
              </w:rPr>
              <w:t>b</w:t>
            </w:r>
            <w:r>
              <w:rPr>
                <w:i/>
              </w:rPr>
              <w:t>, R</w:t>
            </w:r>
            <w:r>
              <w:rPr>
                <w:i/>
                <w:vertAlign w:val="subscript"/>
              </w:rPr>
              <w:t>bt</w:t>
            </w:r>
          </w:p>
        </w:tc>
        <w:tc>
          <w:tcPr>
            <w:tcW w:w="1871" w:type="dxa"/>
            <w:tcBorders>
              <w:top w:val="single" w:sz="4" w:space="0" w:color="auto"/>
              <w:bottom w:val="nil"/>
            </w:tcBorders>
          </w:tcPr>
          <w:p w:rsidR="00212513" w:rsidRDefault="00212513">
            <w:pPr>
              <w:pStyle w:val="ConsPlusNormal"/>
              <w:jc w:val="center"/>
            </w:pPr>
            <w:r>
              <w:t>0,85</w:t>
            </w:r>
          </w:p>
        </w:tc>
      </w:tr>
      <w:tr w:rsidR="00212513">
        <w:tblPrEx>
          <w:tblBorders>
            <w:insideH w:val="none" w:sz="0" w:space="0" w:color="auto"/>
          </w:tblBorders>
        </w:tblPrEx>
        <w:tc>
          <w:tcPr>
            <w:tcW w:w="9071" w:type="dxa"/>
            <w:gridSpan w:val="4"/>
            <w:tcBorders>
              <w:top w:val="nil"/>
              <w:bottom w:val="single" w:sz="4" w:space="0" w:color="auto"/>
            </w:tcBorders>
          </w:tcPr>
          <w:p w:rsidR="00212513" w:rsidRDefault="00212513">
            <w:pPr>
              <w:pStyle w:val="ConsPlusNormal"/>
              <w:jc w:val="both"/>
            </w:pPr>
            <w:r>
              <w:t xml:space="preserve">(в ред. </w:t>
            </w:r>
            <w:hyperlink r:id="rId628">
              <w:r>
                <w:rPr>
                  <w:color w:val="0000FF"/>
                </w:rPr>
                <w:t>Изменения N 1</w:t>
              </w:r>
            </w:hyperlink>
            <w:r>
              <w:t>, утв. Приказом Минстроя России от 03.12.2016 N 879/пр)</w:t>
            </w:r>
          </w:p>
        </w:tc>
      </w:tr>
      <w:tr w:rsidR="00212513">
        <w:tblPrEx>
          <w:tblBorders>
            <w:insideH w:val="none" w:sz="0" w:space="0" w:color="auto"/>
          </w:tblBorders>
        </w:tblPrEx>
        <w:tc>
          <w:tcPr>
            <w:tcW w:w="4025" w:type="dxa"/>
            <w:tcBorders>
              <w:top w:val="single" w:sz="4" w:space="0" w:color="auto"/>
              <w:bottom w:val="nil"/>
            </w:tcBorders>
          </w:tcPr>
          <w:p w:rsidR="00212513" w:rsidRDefault="00212513">
            <w:pPr>
              <w:pStyle w:val="ConsPlusNormal"/>
            </w:pPr>
            <w:r>
              <w:t>7 Наличие в составных конструкциях:</w:t>
            </w:r>
          </w:p>
        </w:tc>
        <w:tc>
          <w:tcPr>
            <w:tcW w:w="1304" w:type="dxa"/>
            <w:tcBorders>
              <w:top w:val="single" w:sz="4" w:space="0" w:color="auto"/>
              <w:bottom w:val="nil"/>
            </w:tcBorders>
          </w:tcPr>
          <w:p w:rsidR="00212513" w:rsidRDefault="00212513">
            <w:pPr>
              <w:pStyle w:val="ConsPlusNormal"/>
              <w:jc w:val="both"/>
            </w:pPr>
          </w:p>
        </w:tc>
        <w:tc>
          <w:tcPr>
            <w:tcW w:w="1871" w:type="dxa"/>
            <w:tcBorders>
              <w:top w:val="single" w:sz="4" w:space="0" w:color="auto"/>
              <w:bottom w:val="nil"/>
            </w:tcBorders>
          </w:tcPr>
          <w:p w:rsidR="00212513" w:rsidRDefault="00212513">
            <w:pPr>
              <w:pStyle w:val="ConsPlusNormal"/>
              <w:jc w:val="both"/>
            </w:pPr>
          </w:p>
        </w:tc>
        <w:tc>
          <w:tcPr>
            <w:tcW w:w="1871" w:type="dxa"/>
            <w:tcBorders>
              <w:top w:val="single" w:sz="4" w:space="0" w:color="auto"/>
              <w:bottom w:val="nil"/>
            </w:tcBorders>
          </w:tcPr>
          <w:p w:rsidR="00212513" w:rsidRDefault="00212513">
            <w:pPr>
              <w:pStyle w:val="ConsPlusNormal"/>
              <w:jc w:val="both"/>
            </w:pPr>
          </w:p>
        </w:tc>
      </w:tr>
      <w:tr w:rsidR="00212513">
        <w:tblPrEx>
          <w:tblBorders>
            <w:insideH w:val="none" w:sz="0" w:space="0" w:color="auto"/>
          </w:tblBorders>
        </w:tblPrEx>
        <w:tc>
          <w:tcPr>
            <w:tcW w:w="4025" w:type="dxa"/>
            <w:tcBorders>
              <w:top w:val="nil"/>
              <w:bottom w:val="nil"/>
            </w:tcBorders>
          </w:tcPr>
          <w:p w:rsidR="00212513" w:rsidRDefault="00212513">
            <w:pPr>
              <w:pStyle w:val="ConsPlusNormal"/>
              <w:ind w:left="283"/>
            </w:pPr>
            <w:r>
              <w:t>бетонируемых стыков</w:t>
            </w:r>
          </w:p>
        </w:tc>
        <w:tc>
          <w:tcPr>
            <w:tcW w:w="1304" w:type="dxa"/>
            <w:tcBorders>
              <w:top w:val="nil"/>
              <w:bottom w:val="nil"/>
            </w:tcBorders>
          </w:tcPr>
          <w:p w:rsidR="00212513" w:rsidRDefault="00212513">
            <w:pPr>
              <w:pStyle w:val="ConsPlusNormal"/>
              <w:jc w:val="center"/>
            </w:pPr>
            <w:r>
              <w:rPr>
                <w:i/>
              </w:rPr>
              <w:t>m</w:t>
            </w:r>
            <w:r>
              <w:rPr>
                <w:i/>
                <w:vertAlign w:val="subscript"/>
              </w:rPr>
              <w:t>b</w:t>
            </w:r>
            <w:r>
              <w:rPr>
                <w:vertAlign w:val="subscript"/>
              </w:rPr>
              <w:t>10</w:t>
            </w:r>
          </w:p>
        </w:tc>
        <w:tc>
          <w:tcPr>
            <w:tcW w:w="1871" w:type="dxa"/>
            <w:tcBorders>
              <w:top w:val="nil"/>
              <w:bottom w:val="nil"/>
            </w:tcBorders>
          </w:tcPr>
          <w:p w:rsidR="00212513" w:rsidRDefault="00212513">
            <w:pPr>
              <w:pStyle w:val="ConsPlusNormal"/>
              <w:jc w:val="center"/>
            </w:pPr>
            <w:r>
              <w:rPr>
                <w:i/>
              </w:rPr>
              <w:t>R</w:t>
            </w:r>
            <w:r>
              <w:rPr>
                <w:i/>
                <w:vertAlign w:val="subscript"/>
              </w:rPr>
              <w:t>b</w:t>
            </w:r>
          </w:p>
        </w:tc>
        <w:tc>
          <w:tcPr>
            <w:tcW w:w="1871" w:type="dxa"/>
            <w:tcBorders>
              <w:top w:val="nil"/>
              <w:bottom w:val="nil"/>
            </w:tcBorders>
          </w:tcPr>
          <w:p w:rsidR="00212513" w:rsidRDefault="00212513">
            <w:pPr>
              <w:pStyle w:val="ConsPlusNormal"/>
              <w:jc w:val="center"/>
            </w:pPr>
            <w:r>
              <w:t xml:space="preserve">По </w:t>
            </w:r>
            <w:hyperlink w:anchor="P2611">
              <w:r>
                <w:rPr>
                  <w:color w:val="0000FF"/>
                </w:rPr>
                <w:t>7.28</w:t>
              </w:r>
            </w:hyperlink>
            <w:r>
              <w:t xml:space="preserve"> и </w:t>
            </w:r>
            <w:hyperlink w:anchor="P2613">
              <w:r>
                <w:rPr>
                  <w:color w:val="0000FF"/>
                </w:rPr>
                <w:t>таблице 7.10</w:t>
              </w:r>
            </w:hyperlink>
          </w:p>
        </w:tc>
      </w:tr>
      <w:tr w:rsidR="00212513">
        <w:tblPrEx>
          <w:tblBorders>
            <w:insideH w:val="none" w:sz="0" w:space="0" w:color="auto"/>
          </w:tblBorders>
        </w:tblPrEx>
        <w:tc>
          <w:tcPr>
            <w:tcW w:w="4025" w:type="dxa"/>
            <w:tcBorders>
              <w:top w:val="nil"/>
              <w:bottom w:val="nil"/>
            </w:tcBorders>
          </w:tcPr>
          <w:p w:rsidR="00212513" w:rsidRDefault="00212513">
            <w:pPr>
              <w:pStyle w:val="ConsPlusNormal"/>
              <w:ind w:left="283"/>
            </w:pPr>
            <w:r>
              <w:t>клееных стыков</w:t>
            </w:r>
          </w:p>
        </w:tc>
        <w:tc>
          <w:tcPr>
            <w:tcW w:w="1304" w:type="dxa"/>
            <w:tcBorders>
              <w:top w:val="nil"/>
              <w:bottom w:val="nil"/>
            </w:tcBorders>
          </w:tcPr>
          <w:p w:rsidR="00212513" w:rsidRDefault="00212513">
            <w:pPr>
              <w:pStyle w:val="ConsPlusNormal"/>
              <w:jc w:val="center"/>
            </w:pPr>
            <w:r>
              <w:rPr>
                <w:i/>
              </w:rPr>
              <w:t>m</w:t>
            </w:r>
            <w:r>
              <w:rPr>
                <w:i/>
                <w:vertAlign w:val="subscript"/>
              </w:rPr>
              <w:t>b</w:t>
            </w:r>
            <w:r>
              <w:rPr>
                <w:vertAlign w:val="subscript"/>
              </w:rPr>
              <w:t>10</w:t>
            </w:r>
          </w:p>
        </w:tc>
        <w:tc>
          <w:tcPr>
            <w:tcW w:w="1871" w:type="dxa"/>
            <w:tcBorders>
              <w:top w:val="nil"/>
              <w:bottom w:val="nil"/>
            </w:tcBorders>
          </w:tcPr>
          <w:p w:rsidR="00212513" w:rsidRDefault="00212513">
            <w:pPr>
              <w:pStyle w:val="ConsPlusNormal"/>
              <w:jc w:val="center"/>
            </w:pPr>
            <w:r>
              <w:rPr>
                <w:i/>
              </w:rPr>
              <w:t>R</w:t>
            </w:r>
            <w:r>
              <w:rPr>
                <w:i/>
                <w:vertAlign w:val="subscript"/>
              </w:rPr>
              <w:t>b</w:t>
            </w:r>
          </w:p>
        </w:tc>
        <w:tc>
          <w:tcPr>
            <w:tcW w:w="1871" w:type="dxa"/>
            <w:tcBorders>
              <w:top w:val="nil"/>
              <w:bottom w:val="nil"/>
            </w:tcBorders>
          </w:tcPr>
          <w:p w:rsidR="00212513" w:rsidRDefault="00212513">
            <w:pPr>
              <w:pStyle w:val="ConsPlusNormal"/>
              <w:jc w:val="center"/>
            </w:pPr>
            <w:r>
              <w:t xml:space="preserve">По </w:t>
            </w:r>
            <w:hyperlink w:anchor="P2658">
              <w:r>
                <w:rPr>
                  <w:color w:val="0000FF"/>
                </w:rPr>
                <w:t>7.29</w:t>
              </w:r>
            </w:hyperlink>
          </w:p>
        </w:tc>
      </w:tr>
      <w:tr w:rsidR="00212513">
        <w:tblPrEx>
          <w:tblBorders>
            <w:insideH w:val="none" w:sz="0" w:space="0" w:color="auto"/>
          </w:tblBorders>
        </w:tblPrEx>
        <w:tc>
          <w:tcPr>
            <w:tcW w:w="4025" w:type="dxa"/>
            <w:tcBorders>
              <w:top w:val="nil"/>
              <w:bottom w:val="single" w:sz="4" w:space="0" w:color="auto"/>
            </w:tcBorders>
          </w:tcPr>
          <w:p w:rsidR="00212513" w:rsidRDefault="00212513">
            <w:pPr>
              <w:pStyle w:val="ConsPlusNormal"/>
              <w:ind w:left="283"/>
            </w:pPr>
            <w:r>
              <w:t>швов на растворе в неармированной кладке</w:t>
            </w:r>
          </w:p>
        </w:tc>
        <w:tc>
          <w:tcPr>
            <w:tcW w:w="1304" w:type="dxa"/>
            <w:tcBorders>
              <w:top w:val="nil"/>
              <w:bottom w:val="single" w:sz="4" w:space="0" w:color="auto"/>
            </w:tcBorders>
          </w:tcPr>
          <w:p w:rsidR="00212513" w:rsidRDefault="00212513">
            <w:pPr>
              <w:pStyle w:val="ConsPlusNormal"/>
              <w:jc w:val="center"/>
            </w:pPr>
            <w:r>
              <w:rPr>
                <w:i/>
              </w:rPr>
              <w:t>m</w:t>
            </w:r>
            <w:r>
              <w:rPr>
                <w:i/>
                <w:vertAlign w:val="subscript"/>
              </w:rPr>
              <w:t>b</w:t>
            </w:r>
            <w:r>
              <w:rPr>
                <w:vertAlign w:val="subscript"/>
              </w:rPr>
              <w:t>10</w:t>
            </w:r>
          </w:p>
        </w:tc>
        <w:tc>
          <w:tcPr>
            <w:tcW w:w="1871" w:type="dxa"/>
            <w:tcBorders>
              <w:top w:val="nil"/>
              <w:bottom w:val="single" w:sz="4" w:space="0" w:color="auto"/>
            </w:tcBorders>
          </w:tcPr>
          <w:p w:rsidR="00212513" w:rsidRDefault="00212513">
            <w:pPr>
              <w:pStyle w:val="ConsPlusNormal"/>
              <w:jc w:val="center"/>
            </w:pPr>
            <w:r>
              <w:rPr>
                <w:i/>
              </w:rPr>
              <w:t>R</w:t>
            </w:r>
            <w:r>
              <w:rPr>
                <w:i/>
                <w:vertAlign w:val="subscript"/>
              </w:rPr>
              <w:t>b</w:t>
            </w:r>
          </w:p>
        </w:tc>
        <w:tc>
          <w:tcPr>
            <w:tcW w:w="1871" w:type="dxa"/>
            <w:tcBorders>
              <w:top w:val="nil"/>
              <w:bottom w:val="single" w:sz="4" w:space="0" w:color="auto"/>
            </w:tcBorders>
          </w:tcPr>
          <w:p w:rsidR="00212513" w:rsidRDefault="00212513">
            <w:pPr>
              <w:pStyle w:val="ConsPlusNormal"/>
              <w:jc w:val="center"/>
            </w:pPr>
            <w:r>
              <w:t xml:space="preserve">По </w:t>
            </w:r>
            <w:hyperlink w:anchor="P2662">
              <w:r>
                <w:rPr>
                  <w:color w:val="0000FF"/>
                </w:rPr>
                <w:t>7.30</w:t>
              </w:r>
            </w:hyperlink>
          </w:p>
        </w:tc>
      </w:tr>
      <w:tr w:rsidR="00212513">
        <w:tblPrEx>
          <w:tblBorders>
            <w:insideH w:val="none" w:sz="0" w:space="0" w:color="auto"/>
          </w:tblBorders>
        </w:tblPrEx>
        <w:tc>
          <w:tcPr>
            <w:tcW w:w="4025" w:type="dxa"/>
            <w:tcBorders>
              <w:top w:val="single" w:sz="4" w:space="0" w:color="auto"/>
              <w:bottom w:val="nil"/>
            </w:tcBorders>
          </w:tcPr>
          <w:p w:rsidR="00212513" w:rsidRDefault="00212513">
            <w:pPr>
              <w:pStyle w:val="ConsPlusNormal"/>
            </w:pPr>
            <w:r>
              <w:t>8 Расчет элементов в стадии эксплуатации по предельным состояниям второй группы:</w:t>
            </w:r>
          </w:p>
        </w:tc>
        <w:tc>
          <w:tcPr>
            <w:tcW w:w="1304" w:type="dxa"/>
            <w:tcBorders>
              <w:top w:val="single" w:sz="4" w:space="0" w:color="auto"/>
              <w:bottom w:val="nil"/>
            </w:tcBorders>
          </w:tcPr>
          <w:p w:rsidR="00212513" w:rsidRDefault="00212513">
            <w:pPr>
              <w:pStyle w:val="ConsPlusNormal"/>
              <w:jc w:val="both"/>
            </w:pPr>
          </w:p>
        </w:tc>
        <w:tc>
          <w:tcPr>
            <w:tcW w:w="1871" w:type="dxa"/>
            <w:tcBorders>
              <w:top w:val="single" w:sz="4" w:space="0" w:color="auto"/>
              <w:bottom w:val="nil"/>
            </w:tcBorders>
          </w:tcPr>
          <w:p w:rsidR="00212513" w:rsidRDefault="00212513">
            <w:pPr>
              <w:pStyle w:val="ConsPlusNormal"/>
              <w:jc w:val="both"/>
            </w:pPr>
          </w:p>
        </w:tc>
        <w:tc>
          <w:tcPr>
            <w:tcW w:w="1871" w:type="dxa"/>
            <w:tcBorders>
              <w:top w:val="single" w:sz="4" w:space="0" w:color="auto"/>
              <w:bottom w:val="nil"/>
            </w:tcBorders>
          </w:tcPr>
          <w:p w:rsidR="00212513" w:rsidRDefault="00212513">
            <w:pPr>
              <w:pStyle w:val="ConsPlusNormal"/>
              <w:jc w:val="both"/>
            </w:pPr>
          </w:p>
        </w:tc>
      </w:tr>
      <w:tr w:rsidR="00212513">
        <w:tblPrEx>
          <w:tblBorders>
            <w:insideH w:val="none" w:sz="0" w:space="0" w:color="auto"/>
          </w:tblBorders>
        </w:tblPrEx>
        <w:tc>
          <w:tcPr>
            <w:tcW w:w="4025" w:type="dxa"/>
            <w:tcBorders>
              <w:top w:val="nil"/>
              <w:bottom w:val="nil"/>
            </w:tcBorders>
          </w:tcPr>
          <w:p w:rsidR="00212513" w:rsidRDefault="00212513">
            <w:pPr>
              <w:pStyle w:val="ConsPlusNormal"/>
              <w:ind w:left="283"/>
            </w:pPr>
            <w:r>
              <w:t>а) на косой изгиб и косое внецентренное сжатие</w:t>
            </w:r>
          </w:p>
        </w:tc>
        <w:tc>
          <w:tcPr>
            <w:tcW w:w="1304" w:type="dxa"/>
            <w:tcBorders>
              <w:top w:val="nil"/>
              <w:bottom w:val="nil"/>
            </w:tcBorders>
          </w:tcPr>
          <w:p w:rsidR="00212513" w:rsidRDefault="00212513">
            <w:pPr>
              <w:pStyle w:val="ConsPlusNormal"/>
              <w:jc w:val="center"/>
            </w:pPr>
            <w:r>
              <w:rPr>
                <w:i/>
              </w:rPr>
              <w:t>m</w:t>
            </w:r>
            <w:r>
              <w:rPr>
                <w:i/>
                <w:vertAlign w:val="subscript"/>
              </w:rPr>
              <w:t>b</w:t>
            </w:r>
            <w:r>
              <w:rPr>
                <w:vertAlign w:val="subscript"/>
              </w:rPr>
              <w:t>13</w:t>
            </w:r>
          </w:p>
        </w:tc>
        <w:tc>
          <w:tcPr>
            <w:tcW w:w="1871" w:type="dxa"/>
            <w:tcBorders>
              <w:top w:val="nil"/>
              <w:bottom w:val="nil"/>
            </w:tcBorders>
          </w:tcPr>
          <w:p w:rsidR="00212513" w:rsidRDefault="00212513">
            <w:pPr>
              <w:pStyle w:val="ConsPlusNormal"/>
              <w:jc w:val="center"/>
            </w:pPr>
            <w:r>
              <w:rPr>
                <w:i/>
              </w:rPr>
              <w:t>R</w:t>
            </w:r>
            <w:r>
              <w:rPr>
                <w:i/>
                <w:vertAlign w:val="subscript"/>
              </w:rPr>
              <w:t>b,mc</w:t>
            </w:r>
            <w:r>
              <w:rPr>
                <w:vertAlign w:val="subscript"/>
              </w:rPr>
              <w:t>2</w:t>
            </w:r>
          </w:p>
        </w:tc>
        <w:tc>
          <w:tcPr>
            <w:tcW w:w="1871" w:type="dxa"/>
            <w:tcBorders>
              <w:top w:val="nil"/>
              <w:bottom w:val="nil"/>
            </w:tcBorders>
          </w:tcPr>
          <w:p w:rsidR="00212513" w:rsidRDefault="00212513">
            <w:pPr>
              <w:pStyle w:val="ConsPlusNormal"/>
              <w:jc w:val="center"/>
            </w:pPr>
            <w:r>
              <w:t>1,10</w:t>
            </w:r>
          </w:p>
        </w:tc>
      </w:tr>
      <w:tr w:rsidR="00212513">
        <w:tblPrEx>
          <w:tblBorders>
            <w:insideH w:val="none" w:sz="0" w:space="0" w:color="auto"/>
          </w:tblBorders>
        </w:tblPrEx>
        <w:tc>
          <w:tcPr>
            <w:tcW w:w="4025" w:type="dxa"/>
            <w:tcBorders>
              <w:top w:val="nil"/>
              <w:bottom w:val="nil"/>
            </w:tcBorders>
          </w:tcPr>
          <w:p w:rsidR="00212513" w:rsidRDefault="00212513">
            <w:pPr>
              <w:pStyle w:val="ConsPlusNormal"/>
              <w:ind w:left="283"/>
            </w:pPr>
            <w:r>
              <w:t>б) на кручение</w:t>
            </w:r>
          </w:p>
        </w:tc>
        <w:tc>
          <w:tcPr>
            <w:tcW w:w="1304" w:type="dxa"/>
            <w:tcBorders>
              <w:top w:val="nil"/>
              <w:bottom w:val="nil"/>
            </w:tcBorders>
          </w:tcPr>
          <w:p w:rsidR="00212513" w:rsidRDefault="00212513">
            <w:pPr>
              <w:pStyle w:val="ConsPlusNormal"/>
              <w:jc w:val="center"/>
            </w:pPr>
            <w:r>
              <w:rPr>
                <w:i/>
              </w:rPr>
              <w:t>m</w:t>
            </w:r>
            <w:r>
              <w:rPr>
                <w:i/>
                <w:vertAlign w:val="subscript"/>
              </w:rPr>
              <w:t>b</w:t>
            </w:r>
            <w:r>
              <w:rPr>
                <w:vertAlign w:val="subscript"/>
              </w:rPr>
              <w:t>14</w:t>
            </w:r>
          </w:p>
        </w:tc>
        <w:tc>
          <w:tcPr>
            <w:tcW w:w="1871" w:type="dxa"/>
            <w:tcBorders>
              <w:top w:val="nil"/>
              <w:bottom w:val="nil"/>
            </w:tcBorders>
          </w:tcPr>
          <w:p w:rsidR="00212513" w:rsidRDefault="00212513">
            <w:pPr>
              <w:pStyle w:val="ConsPlusNormal"/>
              <w:jc w:val="center"/>
            </w:pPr>
            <w:r>
              <w:rPr>
                <w:i/>
              </w:rPr>
              <w:t>R</w:t>
            </w:r>
            <w:r>
              <w:rPr>
                <w:i/>
                <w:vertAlign w:val="subscript"/>
              </w:rPr>
              <w:t>b,sh</w:t>
            </w:r>
          </w:p>
        </w:tc>
        <w:tc>
          <w:tcPr>
            <w:tcW w:w="1871" w:type="dxa"/>
            <w:tcBorders>
              <w:top w:val="nil"/>
              <w:bottom w:val="nil"/>
            </w:tcBorders>
          </w:tcPr>
          <w:p w:rsidR="00212513" w:rsidRDefault="00212513">
            <w:pPr>
              <w:pStyle w:val="ConsPlusNormal"/>
              <w:jc w:val="center"/>
            </w:pPr>
            <w:r>
              <w:t>1,15</w:t>
            </w:r>
          </w:p>
        </w:tc>
      </w:tr>
      <w:tr w:rsidR="00212513">
        <w:tblPrEx>
          <w:tblBorders>
            <w:insideH w:val="none" w:sz="0" w:space="0" w:color="auto"/>
          </w:tblBorders>
        </w:tblPrEx>
        <w:tc>
          <w:tcPr>
            <w:tcW w:w="4025" w:type="dxa"/>
            <w:tcBorders>
              <w:top w:val="nil"/>
              <w:bottom w:val="single" w:sz="4" w:space="0" w:color="auto"/>
            </w:tcBorders>
          </w:tcPr>
          <w:p w:rsidR="00212513" w:rsidRDefault="00212513">
            <w:pPr>
              <w:pStyle w:val="ConsPlusNormal"/>
              <w:ind w:left="283"/>
            </w:pPr>
            <w:r>
              <w:t>в) на скалывание по плоскости сопряжения бетона омоноличивания с бетоном конструкции</w:t>
            </w:r>
          </w:p>
        </w:tc>
        <w:tc>
          <w:tcPr>
            <w:tcW w:w="1304" w:type="dxa"/>
            <w:tcBorders>
              <w:top w:val="nil"/>
              <w:bottom w:val="single" w:sz="4" w:space="0" w:color="auto"/>
            </w:tcBorders>
          </w:tcPr>
          <w:p w:rsidR="00212513" w:rsidRDefault="00212513">
            <w:pPr>
              <w:pStyle w:val="ConsPlusNormal"/>
              <w:jc w:val="center"/>
            </w:pPr>
            <w:r>
              <w:rPr>
                <w:i/>
              </w:rPr>
              <w:t>m</w:t>
            </w:r>
            <w:r>
              <w:rPr>
                <w:i/>
                <w:vertAlign w:val="subscript"/>
              </w:rPr>
              <w:t>b</w:t>
            </w:r>
            <w:r>
              <w:rPr>
                <w:vertAlign w:val="subscript"/>
              </w:rPr>
              <w:t>15</w:t>
            </w:r>
          </w:p>
        </w:tc>
        <w:tc>
          <w:tcPr>
            <w:tcW w:w="1871" w:type="dxa"/>
            <w:tcBorders>
              <w:top w:val="nil"/>
              <w:bottom w:val="single" w:sz="4" w:space="0" w:color="auto"/>
            </w:tcBorders>
          </w:tcPr>
          <w:p w:rsidR="00212513" w:rsidRDefault="00212513">
            <w:pPr>
              <w:pStyle w:val="ConsPlusNormal"/>
              <w:jc w:val="center"/>
            </w:pPr>
            <w:r>
              <w:rPr>
                <w:i/>
              </w:rPr>
              <w:t>R</w:t>
            </w:r>
            <w:r>
              <w:rPr>
                <w:i/>
                <w:vertAlign w:val="subscript"/>
              </w:rPr>
              <w:t>b,sh</w:t>
            </w:r>
          </w:p>
        </w:tc>
        <w:tc>
          <w:tcPr>
            <w:tcW w:w="1871" w:type="dxa"/>
            <w:tcBorders>
              <w:top w:val="nil"/>
              <w:bottom w:val="single" w:sz="4" w:space="0" w:color="auto"/>
            </w:tcBorders>
          </w:tcPr>
          <w:p w:rsidR="00212513" w:rsidRDefault="00212513">
            <w:pPr>
              <w:pStyle w:val="ConsPlusNormal"/>
              <w:jc w:val="center"/>
            </w:pPr>
            <w:r>
              <w:t>0,50</w:t>
            </w:r>
          </w:p>
        </w:tc>
      </w:tr>
    </w:tbl>
    <w:p w:rsidR="00212513" w:rsidRDefault="00212513">
      <w:pPr>
        <w:pStyle w:val="ConsPlusNormal"/>
        <w:ind w:firstLine="540"/>
        <w:jc w:val="both"/>
      </w:pPr>
    </w:p>
    <w:p w:rsidR="00212513" w:rsidRDefault="00212513">
      <w:pPr>
        <w:pStyle w:val="ConsPlusNormal"/>
        <w:ind w:firstLine="540"/>
        <w:jc w:val="both"/>
      </w:pPr>
      <w:bookmarkStart w:id="108" w:name="P2555"/>
      <w:bookmarkEnd w:id="108"/>
      <w:r>
        <w:t xml:space="preserve">7.26 При многократно повторяющихся нагрузках, действующих на элементы, подлежащие расчету на выносливость, расчетные сопротивления бетона сжатию в расчетах на выносливость </w:t>
      </w:r>
      <w:r>
        <w:rPr>
          <w:noProof/>
          <w:position w:val="-9"/>
        </w:rPr>
        <w:drawing>
          <wp:inline distT="0" distB="0" distL="0" distR="0">
            <wp:extent cx="251460" cy="262890"/>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следует определять по формуле</w:t>
      </w:r>
    </w:p>
    <w:p w:rsidR="00212513" w:rsidRDefault="00212513">
      <w:pPr>
        <w:pStyle w:val="ConsPlusNormal"/>
        <w:ind w:firstLine="540"/>
        <w:jc w:val="both"/>
      </w:pPr>
    </w:p>
    <w:p w:rsidR="00212513" w:rsidRDefault="00212513">
      <w:pPr>
        <w:pStyle w:val="ConsPlusNormal"/>
        <w:jc w:val="center"/>
      </w:pPr>
      <w:r>
        <w:rPr>
          <w:noProof/>
          <w:position w:val="-9"/>
        </w:rPr>
        <w:drawing>
          <wp:inline distT="0" distB="0" distL="0" distR="0">
            <wp:extent cx="1647825" cy="262890"/>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1647825" cy="262890"/>
                    </a:xfrm>
                    <a:prstGeom prst="rect">
                      <a:avLst/>
                    </a:prstGeom>
                    <a:noFill/>
                    <a:ln>
                      <a:noFill/>
                    </a:ln>
                  </pic:spPr>
                </pic:pic>
              </a:graphicData>
            </a:graphic>
          </wp:inline>
        </w:drawing>
      </w:r>
      <w:r>
        <w:t>, (7.3)</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8"/>
        </w:rPr>
        <w:drawing>
          <wp:inline distT="0" distB="0" distL="0" distR="0">
            <wp:extent cx="251460" cy="251460"/>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коэффициент условий работы;</w:t>
      </w:r>
    </w:p>
    <w:p w:rsidR="00212513" w:rsidRDefault="00212513">
      <w:pPr>
        <w:pStyle w:val="ConsPlusNormal"/>
        <w:spacing w:before="220"/>
        <w:ind w:firstLine="540"/>
        <w:jc w:val="both"/>
      </w:pPr>
      <w:r>
        <w:rPr>
          <w:noProof/>
          <w:position w:val="-8"/>
        </w:rPr>
        <w:drawing>
          <wp:inline distT="0" distB="0" distL="0" distR="0">
            <wp:extent cx="209550" cy="251460"/>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расчетное сопротивление бетона осевому сжатию при расчетах по предельным состояниям первой группы </w:t>
      </w:r>
      <w:hyperlink w:anchor="P2350">
        <w:r>
          <w:rPr>
            <w:color w:val="0000FF"/>
          </w:rPr>
          <w:t>(таблица 7.6)</w:t>
        </w:r>
      </w:hyperlink>
      <w:r>
        <w:t>;</w:t>
      </w:r>
    </w:p>
    <w:p w:rsidR="00212513" w:rsidRDefault="00212513">
      <w:pPr>
        <w:pStyle w:val="ConsPlusNormal"/>
        <w:spacing w:before="220"/>
        <w:ind w:firstLine="540"/>
        <w:jc w:val="both"/>
      </w:pPr>
      <w:r>
        <w:rPr>
          <w:noProof/>
          <w:position w:val="-8"/>
        </w:rPr>
        <w:drawing>
          <wp:inline distT="0" distB="0" distL="0" distR="0">
            <wp:extent cx="209550" cy="251460"/>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 учитывающий рост прочности бетона во времени и принимаемый по </w:t>
      </w:r>
      <w:hyperlink w:anchor="P2564">
        <w:r>
          <w:rPr>
            <w:color w:val="0000FF"/>
          </w:rPr>
          <w:t>таблице 7.8</w:t>
        </w:r>
      </w:hyperlink>
      <w:r>
        <w:t>;</w:t>
      </w:r>
    </w:p>
    <w:p w:rsidR="00212513" w:rsidRDefault="00212513">
      <w:pPr>
        <w:pStyle w:val="ConsPlusNormal"/>
        <w:spacing w:before="220"/>
        <w:ind w:firstLine="540"/>
        <w:jc w:val="both"/>
      </w:pPr>
      <w:r>
        <w:rPr>
          <w:noProof/>
          <w:position w:val="-8"/>
        </w:rPr>
        <w:lastRenderedPageBreak/>
        <w:drawing>
          <wp:inline distT="0" distB="0" distL="0" distR="0">
            <wp:extent cx="177800" cy="251460"/>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коэффициент, зависящий от асимметрии цикла повторяющихся напряжений </w:t>
      </w:r>
      <w:r>
        <w:rPr>
          <w:noProof/>
          <w:position w:val="-9"/>
        </w:rPr>
        <w:drawing>
          <wp:inline distT="0" distB="0" distL="0" distR="0">
            <wp:extent cx="1200785" cy="262890"/>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1200785" cy="262890"/>
                    </a:xfrm>
                    <a:prstGeom prst="rect">
                      <a:avLst/>
                    </a:prstGeom>
                    <a:noFill/>
                    <a:ln>
                      <a:noFill/>
                    </a:ln>
                  </pic:spPr>
                </pic:pic>
              </a:graphicData>
            </a:graphic>
          </wp:inline>
        </w:drawing>
      </w:r>
      <w:r>
        <w:t xml:space="preserve"> и принимаемый по </w:t>
      </w:r>
      <w:hyperlink w:anchor="P2585">
        <w:r>
          <w:rPr>
            <w:color w:val="0000FF"/>
          </w:rPr>
          <w:t>таблице 7.9</w:t>
        </w:r>
      </w:hyperlink>
      <w:r>
        <w:t>.</w:t>
      </w:r>
    </w:p>
    <w:p w:rsidR="00212513" w:rsidRDefault="00212513">
      <w:pPr>
        <w:pStyle w:val="ConsPlusNormal"/>
        <w:ind w:firstLine="540"/>
        <w:jc w:val="both"/>
      </w:pPr>
    </w:p>
    <w:p w:rsidR="00212513" w:rsidRDefault="00212513">
      <w:pPr>
        <w:pStyle w:val="ConsPlusNormal"/>
        <w:jc w:val="right"/>
      </w:pPr>
      <w:bookmarkStart w:id="109" w:name="P2564"/>
      <w:bookmarkEnd w:id="109"/>
      <w:r>
        <w:t>Таблица 7.8</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921"/>
        <w:gridCol w:w="864"/>
        <w:gridCol w:w="864"/>
        <w:gridCol w:w="864"/>
        <w:gridCol w:w="864"/>
        <w:gridCol w:w="864"/>
        <w:gridCol w:w="864"/>
        <w:gridCol w:w="865"/>
      </w:tblGrid>
      <w:tr w:rsidR="00212513">
        <w:tc>
          <w:tcPr>
            <w:tcW w:w="2098" w:type="dxa"/>
            <w:vAlign w:val="center"/>
          </w:tcPr>
          <w:p w:rsidR="00212513" w:rsidRDefault="00212513">
            <w:pPr>
              <w:pStyle w:val="ConsPlusNormal"/>
              <w:jc w:val="center"/>
            </w:pPr>
            <w:r>
              <w:t>Класс бетона по прочности на сжатие</w:t>
            </w:r>
          </w:p>
        </w:tc>
        <w:tc>
          <w:tcPr>
            <w:tcW w:w="921" w:type="dxa"/>
            <w:vAlign w:val="center"/>
          </w:tcPr>
          <w:p w:rsidR="00212513" w:rsidRDefault="00212513">
            <w:pPr>
              <w:pStyle w:val="ConsPlusNormal"/>
              <w:jc w:val="center"/>
            </w:pPr>
            <w:r>
              <w:t>В27,5 и ниже</w:t>
            </w:r>
          </w:p>
        </w:tc>
        <w:tc>
          <w:tcPr>
            <w:tcW w:w="864" w:type="dxa"/>
            <w:vAlign w:val="center"/>
          </w:tcPr>
          <w:p w:rsidR="00212513" w:rsidRDefault="00212513">
            <w:pPr>
              <w:pStyle w:val="ConsPlusNormal"/>
              <w:jc w:val="center"/>
            </w:pPr>
            <w:r>
              <w:t>В30</w:t>
            </w:r>
          </w:p>
        </w:tc>
        <w:tc>
          <w:tcPr>
            <w:tcW w:w="864" w:type="dxa"/>
            <w:vAlign w:val="center"/>
          </w:tcPr>
          <w:p w:rsidR="00212513" w:rsidRDefault="00212513">
            <w:pPr>
              <w:pStyle w:val="ConsPlusNormal"/>
              <w:jc w:val="center"/>
            </w:pPr>
            <w:r>
              <w:t>В35</w:t>
            </w:r>
          </w:p>
        </w:tc>
        <w:tc>
          <w:tcPr>
            <w:tcW w:w="864" w:type="dxa"/>
            <w:vAlign w:val="center"/>
          </w:tcPr>
          <w:p w:rsidR="00212513" w:rsidRDefault="00212513">
            <w:pPr>
              <w:pStyle w:val="ConsPlusNormal"/>
              <w:jc w:val="center"/>
            </w:pPr>
            <w:r>
              <w:t>В40</w:t>
            </w:r>
          </w:p>
        </w:tc>
        <w:tc>
          <w:tcPr>
            <w:tcW w:w="864" w:type="dxa"/>
            <w:vAlign w:val="center"/>
          </w:tcPr>
          <w:p w:rsidR="00212513" w:rsidRDefault="00212513">
            <w:pPr>
              <w:pStyle w:val="ConsPlusNormal"/>
              <w:jc w:val="center"/>
            </w:pPr>
            <w:r>
              <w:t>В45</w:t>
            </w:r>
          </w:p>
        </w:tc>
        <w:tc>
          <w:tcPr>
            <w:tcW w:w="864" w:type="dxa"/>
            <w:vAlign w:val="center"/>
          </w:tcPr>
          <w:p w:rsidR="00212513" w:rsidRDefault="00212513">
            <w:pPr>
              <w:pStyle w:val="ConsPlusNormal"/>
              <w:jc w:val="center"/>
            </w:pPr>
            <w:r>
              <w:t>В50</w:t>
            </w:r>
          </w:p>
        </w:tc>
        <w:tc>
          <w:tcPr>
            <w:tcW w:w="864" w:type="dxa"/>
            <w:vAlign w:val="center"/>
          </w:tcPr>
          <w:p w:rsidR="00212513" w:rsidRDefault="00212513">
            <w:pPr>
              <w:pStyle w:val="ConsPlusNormal"/>
              <w:jc w:val="center"/>
            </w:pPr>
            <w:r>
              <w:t>В55</w:t>
            </w:r>
          </w:p>
        </w:tc>
        <w:tc>
          <w:tcPr>
            <w:tcW w:w="865" w:type="dxa"/>
            <w:vAlign w:val="center"/>
          </w:tcPr>
          <w:p w:rsidR="00212513" w:rsidRDefault="00212513">
            <w:pPr>
              <w:pStyle w:val="ConsPlusNormal"/>
              <w:jc w:val="center"/>
            </w:pPr>
            <w:r>
              <w:t>В60</w:t>
            </w:r>
          </w:p>
        </w:tc>
      </w:tr>
      <w:tr w:rsidR="00212513">
        <w:tc>
          <w:tcPr>
            <w:tcW w:w="2098" w:type="dxa"/>
          </w:tcPr>
          <w:p w:rsidR="00212513" w:rsidRDefault="00212513">
            <w:pPr>
              <w:pStyle w:val="ConsPlusNormal"/>
              <w:jc w:val="center"/>
            </w:pPr>
            <w:r>
              <w:rPr>
                <w:noProof/>
                <w:position w:val="-8"/>
              </w:rPr>
              <w:drawing>
                <wp:inline distT="0" distB="0" distL="0" distR="0">
                  <wp:extent cx="209550" cy="251460"/>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921" w:type="dxa"/>
            <w:vAlign w:val="center"/>
          </w:tcPr>
          <w:p w:rsidR="00212513" w:rsidRDefault="00212513">
            <w:pPr>
              <w:pStyle w:val="ConsPlusNormal"/>
              <w:jc w:val="center"/>
            </w:pPr>
            <w:r>
              <w:t>1,34</w:t>
            </w:r>
          </w:p>
        </w:tc>
        <w:tc>
          <w:tcPr>
            <w:tcW w:w="864" w:type="dxa"/>
            <w:vAlign w:val="center"/>
          </w:tcPr>
          <w:p w:rsidR="00212513" w:rsidRDefault="00212513">
            <w:pPr>
              <w:pStyle w:val="ConsPlusNormal"/>
              <w:jc w:val="center"/>
            </w:pPr>
            <w:r>
              <w:t>1,31</w:t>
            </w:r>
          </w:p>
        </w:tc>
        <w:tc>
          <w:tcPr>
            <w:tcW w:w="864" w:type="dxa"/>
            <w:vAlign w:val="center"/>
          </w:tcPr>
          <w:p w:rsidR="00212513" w:rsidRDefault="00212513">
            <w:pPr>
              <w:pStyle w:val="ConsPlusNormal"/>
              <w:jc w:val="center"/>
            </w:pPr>
            <w:r>
              <w:t>1,28</w:t>
            </w:r>
          </w:p>
        </w:tc>
        <w:tc>
          <w:tcPr>
            <w:tcW w:w="864" w:type="dxa"/>
            <w:vAlign w:val="center"/>
          </w:tcPr>
          <w:p w:rsidR="00212513" w:rsidRDefault="00212513">
            <w:pPr>
              <w:pStyle w:val="ConsPlusNormal"/>
              <w:jc w:val="center"/>
            </w:pPr>
            <w:r>
              <w:t>1,26</w:t>
            </w:r>
          </w:p>
        </w:tc>
        <w:tc>
          <w:tcPr>
            <w:tcW w:w="864" w:type="dxa"/>
            <w:vAlign w:val="center"/>
          </w:tcPr>
          <w:p w:rsidR="00212513" w:rsidRDefault="00212513">
            <w:pPr>
              <w:pStyle w:val="ConsPlusNormal"/>
              <w:jc w:val="center"/>
            </w:pPr>
            <w:r>
              <w:t>1,24</w:t>
            </w:r>
          </w:p>
        </w:tc>
        <w:tc>
          <w:tcPr>
            <w:tcW w:w="864" w:type="dxa"/>
            <w:vAlign w:val="center"/>
          </w:tcPr>
          <w:p w:rsidR="00212513" w:rsidRDefault="00212513">
            <w:pPr>
              <w:pStyle w:val="ConsPlusNormal"/>
              <w:jc w:val="center"/>
            </w:pPr>
            <w:r>
              <w:t>1,22</w:t>
            </w:r>
          </w:p>
        </w:tc>
        <w:tc>
          <w:tcPr>
            <w:tcW w:w="864" w:type="dxa"/>
            <w:vAlign w:val="center"/>
          </w:tcPr>
          <w:p w:rsidR="00212513" w:rsidRDefault="00212513">
            <w:pPr>
              <w:pStyle w:val="ConsPlusNormal"/>
              <w:jc w:val="center"/>
            </w:pPr>
            <w:r>
              <w:t>1,21</w:t>
            </w:r>
          </w:p>
        </w:tc>
        <w:tc>
          <w:tcPr>
            <w:tcW w:w="865" w:type="dxa"/>
            <w:vAlign w:val="center"/>
          </w:tcPr>
          <w:p w:rsidR="00212513" w:rsidRDefault="00212513">
            <w:pPr>
              <w:pStyle w:val="ConsPlusNormal"/>
              <w:jc w:val="center"/>
            </w:pPr>
            <w:r>
              <w:t>1,20</w:t>
            </w:r>
          </w:p>
        </w:tc>
      </w:tr>
    </w:tbl>
    <w:p w:rsidR="00212513" w:rsidRDefault="00212513">
      <w:pPr>
        <w:pStyle w:val="ConsPlusNormal"/>
        <w:ind w:firstLine="540"/>
        <w:jc w:val="both"/>
      </w:pPr>
    </w:p>
    <w:p w:rsidR="00212513" w:rsidRDefault="00212513">
      <w:pPr>
        <w:pStyle w:val="ConsPlusNormal"/>
        <w:jc w:val="right"/>
      </w:pPr>
      <w:bookmarkStart w:id="110" w:name="P2585"/>
      <w:bookmarkEnd w:id="110"/>
      <w:r>
        <w:t>Таблица 7.9</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1134"/>
        <w:gridCol w:w="1134"/>
        <w:gridCol w:w="1134"/>
        <w:gridCol w:w="1134"/>
        <w:gridCol w:w="1134"/>
        <w:gridCol w:w="1134"/>
      </w:tblGrid>
      <w:tr w:rsidR="00212513">
        <w:tc>
          <w:tcPr>
            <w:tcW w:w="2268" w:type="dxa"/>
            <w:vAlign w:val="center"/>
          </w:tcPr>
          <w:p w:rsidR="00212513" w:rsidRDefault="00212513">
            <w:pPr>
              <w:pStyle w:val="ConsPlusNormal"/>
              <w:jc w:val="center"/>
            </w:pPr>
            <w:r>
              <w:t>Коэффициент цикла повторяющихся напряжений </w:t>
            </w:r>
            <w:r>
              <w:rPr>
                <w:noProof/>
                <w:position w:val="-8"/>
              </w:rPr>
              <w:drawing>
                <wp:inline distT="0" distB="0" distL="0" distR="0">
                  <wp:extent cx="209550" cy="251460"/>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1134" w:type="dxa"/>
            <w:vAlign w:val="center"/>
          </w:tcPr>
          <w:p w:rsidR="00212513" w:rsidRDefault="00212513">
            <w:pPr>
              <w:pStyle w:val="ConsPlusNormal"/>
              <w:jc w:val="center"/>
            </w:pPr>
            <w:r>
              <w:t>0,1 и менее</w:t>
            </w:r>
          </w:p>
        </w:tc>
        <w:tc>
          <w:tcPr>
            <w:tcW w:w="1134" w:type="dxa"/>
            <w:vAlign w:val="center"/>
          </w:tcPr>
          <w:p w:rsidR="00212513" w:rsidRDefault="00212513">
            <w:pPr>
              <w:pStyle w:val="ConsPlusNormal"/>
              <w:jc w:val="center"/>
            </w:pPr>
            <w:r>
              <w:t>0,2</w:t>
            </w:r>
          </w:p>
        </w:tc>
        <w:tc>
          <w:tcPr>
            <w:tcW w:w="1134" w:type="dxa"/>
            <w:vAlign w:val="center"/>
          </w:tcPr>
          <w:p w:rsidR="00212513" w:rsidRDefault="00212513">
            <w:pPr>
              <w:pStyle w:val="ConsPlusNormal"/>
              <w:jc w:val="center"/>
            </w:pPr>
            <w:r>
              <w:t>0,3</w:t>
            </w:r>
          </w:p>
        </w:tc>
        <w:tc>
          <w:tcPr>
            <w:tcW w:w="1134" w:type="dxa"/>
            <w:vAlign w:val="center"/>
          </w:tcPr>
          <w:p w:rsidR="00212513" w:rsidRDefault="00212513">
            <w:pPr>
              <w:pStyle w:val="ConsPlusNormal"/>
              <w:jc w:val="center"/>
            </w:pPr>
            <w:r>
              <w:t>0,4</w:t>
            </w:r>
          </w:p>
        </w:tc>
        <w:tc>
          <w:tcPr>
            <w:tcW w:w="1134" w:type="dxa"/>
            <w:vAlign w:val="center"/>
          </w:tcPr>
          <w:p w:rsidR="00212513" w:rsidRDefault="00212513">
            <w:pPr>
              <w:pStyle w:val="ConsPlusNormal"/>
              <w:jc w:val="center"/>
            </w:pPr>
            <w:r>
              <w:t>0,5</w:t>
            </w:r>
          </w:p>
        </w:tc>
        <w:tc>
          <w:tcPr>
            <w:tcW w:w="1134" w:type="dxa"/>
            <w:vAlign w:val="center"/>
          </w:tcPr>
          <w:p w:rsidR="00212513" w:rsidRDefault="00212513">
            <w:pPr>
              <w:pStyle w:val="ConsPlusNormal"/>
              <w:jc w:val="center"/>
            </w:pPr>
            <w:r>
              <w:t>0,6 и более</w:t>
            </w:r>
          </w:p>
        </w:tc>
      </w:tr>
      <w:tr w:rsidR="00212513">
        <w:tc>
          <w:tcPr>
            <w:tcW w:w="2268" w:type="dxa"/>
          </w:tcPr>
          <w:p w:rsidR="00212513" w:rsidRDefault="00212513">
            <w:pPr>
              <w:pStyle w:val="ConsPlusNormal"/>
              <w:jc w:val="center"/>
            </w:pPr>
            <w:r>
              <w:rPr>
                <w:noProof/>
                <w:position w:val="-8"/>
              </w:rPr>
              <w:drawing>
                <wp:inline distT="0" distB="0" distL="0" distR="0">
                  <wp:extent cx="178435" cy="251460"/>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p>
        </w:tc>
        <w:tc>
          <w:tcPr>
            <w:tcW w:w="1134" w:type="dxa"/>
            <w:vAlign w:val="center"/>
          </w:tcPr>
          <w:p w:rsidR="00212513" w:rsidRDefault="00212513">
            <w:pPr>
              <w:pStyle w:val="ConsPlusNormal"/>
              <w:jc w:val="center"/>
            </w:pPr>
            <w:r>
              <w:t>1,00</w:t>
            </w:r>
          </w:p>
        </w:tc>
        <w:tc>
          <w:tcPr>
            <w:tcW w:w="1134" w:type="dxa"/>
            <w:vAlign w:val="center"/>
          </w:tcPr>
          <w:p w:rsidR="00212513" w:rsidRDefault="00212513">
            <w:pPr>
              <w:pStyle w:val="ConsPlusNormal"/>
              <w:jc w:val="center"/>
            </w:pPr>
            <w:r>
              <w:t>1,05</w:t>
            </w:r>
          </w:p>
        </w:tc>
        <w:tc>
          <w:tcPr>
            <w:tcW w:w="1134" w:type="dxa"/>
            <w:vAlign w:val="center"/>
          </w:tcPr>
          <w:p w:rsidR="00212513" w:rsidRDefault="00212513">
            <w:pPr>
              <w:pStyle w:val="ConsPlusNormal"/>
              <w:jc w:val="center"/>
            </w:pPr>
            <w:r>
              <w:t>1,10</w:t>
            </w:r>
          </w:p>
        </w:tc>
        <w:tc>
          <w:tcPr>
            <w:tcW w:w="1134" w:type="dxa"/>
            <w:vAlign w:val="center"/>
          </w:tcPr>
          <w:p w:rsidR="00212513" w:rsidRDefault="00212513">
            <w:pPr>
              <w:pStyle w:val="ConsPlusNormal"/>
              <w:jc w:val="center"/>
            </w:pPr>
            <w:r>
              <w:t>1,15</w:t>
            </w:r>
          </w:p>
        </w:tc>
        <w:tc>
          <w:tcPr>
            <w:tcW w:w="1134" w:type="dxa"/>
            <w:vAlign w:val="center"/>
          </w:tcPr>
          <w:p w:rsidR="00212513" w:rsidRDefault="00212513">
            <w:pPr>
              <w:pStyle w:val="ConsPlusNormal"/>
              <w:jc w:val="center"/>
            </w:pPr>
            <w:r>
              <w:t>1,20</w:t>
            </w:r>
          </w:p>
        </w:tc>
        <w:tc>
          <w:tcPr>
            <w:tcW w:w="1134" w:type="dxa"/>
            <w:vAlign w:val="center"/>
          </w:tcPr>
          <w:p w:rsidR="00212513" w:rsidRDefault="00212513">
            <w:pPr>
              <w:pStyle w:val="ConsPlusNormal"/>
              <w:jc w:val="center"/>
            </w:pPr>
            <w:r>
              <w:t>1,24</w:t>
            </w:r>
          </w:p>
        </w:tc>
      </w:tr>
      <w:tr w:rsidR="00212513">
        <w:tc>
          <w:tcPr>
            <w:tcW w:w="9072" w:type="dxa"/>
            <w:gridSpan w:val="7"/>
          </w:tcPr>
          <w:p w:rsidR="00212513" w:rsidRDefault="00212513">
            <w:pPr>
              <w:pStyle w:val="ConsPlusNormal"/>
              <w:ind w:firstLine="283"/>
              <w:jc w:val="both"/>
            </w:pPr>
            <w:r>
              <w:t xml:space="preserve">Примечание - Для промежуточных значений </w:t>
            </w:r>
            <w:r>
              <w:rPr>
                <w:noProof/>
                <w:position w:val="-8"/>
              </w:rPr>
              <w:drawing>
                <wp:inline distT="0" distB="0" distL="0" distR="0">
                  <wp:extent cx="209550" cy="251460"/>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коэффициент </w:t>
            </w:r>
            <w:r>
              <w:rPr>
                <w:noProof/>
                <w:position w:val="-8"/>
              </w:rPr>
              <w:drawing>
                <wp:inline distT="0" distB="0" distL="0" distR="0">
                  <wp:extent cx="178435" cy="251460"/>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следует определять по интерполяции.</w:t>
            </w:r>
          </w:p>
        </w:tc>
      </w:tr>
    </w:tbl>
    <w:p w:rsidR="00212513" w:rsidRDefault="00212513">
      <w:pPr>
        <w:pStyle w:val="ConsPlusNormal"/>
        <w:ind w:firstLine="540"/>
        <w:jc w:val="both"/>
      </w:pPr>
    </w:p>
    <w:p w:rsidR="00212513" w:rsidRDefault="00212513">
      <w:pPr>
        <w:pStyle w:val="ConsPlusNormal"/>
        <w:ind w:firstLine="540"/>
        <w:jc w:val="both"/>
      </w:pPr>
      <w:bookmarkStart w:id="111" w:name="P2603"/>
      <w:bookmarkEnd w:id="111"/>
      <w:r>
        <w:t xml:space="preserve">7.27 В расчетах предварительно напряженных конструкций при поперечном их обжатии напряжением </w:t>
      </w:r>
      <w:r>
        <w:rPr>
          <w:noProof/>
          <w:position w:val="-9"/>
        </w:rPr>
        <w:drawing>
          <wp:inline distT="0" distB="0" distL="0" distR="0">
            <wp:extent cx="251460" cy="262890"/>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к расчетным сопротивлениям бетона осевому сжатию </w:t>
      </w:r>
      <w:r>
        <w:rPr>
          <w:noProof/>
          <w:position w:val="-8"/>
        </w:rPr>
        <w:drawing>
          <wp:inline distT="0" distB="0" distL="0" distR="0">
            <wp:extent cx="209550" cy="251460"/>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скалыванию при изгибе </w:t>
      </w:r>
      <w:r>
        <w:rPr>
          <w:noProof/>
          <w:position w:val="-10"/>
        </w:rPr>
        <w:drawing>
          <wp:inline distT="0" distB="0" distL="0" distR="0">
            <wp:extent cx="314960" cy="273685"/>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314960" cy="273685"/>
                    </a:xfrm>
                    <a:prstGeom prst="rect">
                      <a:avLst/>
                    </a:prstGeom>
                    <a:noFill/>
                    <a:ln>
                      <a:noFill/>
                    </a:ln>
                  </pic:spPr>
                </pic:pic>
              </a:graphicData>
            </a:graphic>
          </wp:inline>
        </w:drawing>
      </w:r>
      <w:r>
        <w:t xml:space="preserve"> и непосредственному срезу </w:t>
      </w:r>
      <w:r>
        <w:rPr>
          <w:noProof/>
          <w:position w:val="-10"/>
        </w:rPr>
        <w:drawing>
          <wp:inline distT="0" distB="0" distL="0" distR="0">
            <wp:extent cx="356235" cy="273685"/>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356235" cy="273685"/>
                    </a:xfrm>
                    <a:prstGeom prst="rect">
                      <a:avLst/>
                    </a:prstGeom>
                    <a:noFill/>
                    <a:ln>
                      <a:noFill/>
                    </a:ln>
                  </pic:spPr>
                </pic:pic>
              </a:graphicData>
            </a:graphic>
          </wp:inline>
        </w:drawing>
      </w:r>
      <w:r>
        <w:t xml:space="preserve"> следует вводить коэффициенты условий работы </w:t>
      </w:r>
      <w:r>
        <w:rPr>
          <w:noProof/>
          <w:position w:val="-8"/>
        </w:rPr>
        <w:drawing>
          <wp:inline distT="0" distB="0" distL="0" distR="0">
            <wp:extent cx="281940" cy="251460"/>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равные:</w:t>
      </w:r>
    </w:p>
    <w:p w:rsidR="00212513" w:rsidRDefault="00212513">
      <w:pPr>
        <w:pStyle w:val="ConsPlusNormal"/>
        <w:spacing w:before="220"/>
        <w:ind w:firstLine="540"/>
        <w:jc w:val="both"/>
      </w:pPr>
      <w:r>
        <w:t xml:space="preserve">а) для </w:t>
      </w:r>
      <w:r>
        <w:rPr>
          <w:noProof/>
          <w:position w:val="-8"/>
        </w:rPr>
        <w:drawing>
          <wp:inline distT="0" distB="0" distL="0" distR="0">
            <wp:extent cx="209550" cy="251460"/>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w:t>
      </w:r>
    </w:p>
    <w:p w:rsidR="00212513" w:rsidRDefault="00212513">
      <w:pPr>
        <w:pStyle w:val="ConsPlusNormal"/>
        <w:spacing w:before="220"/>
        <w:ind w:firstLine="540"/>
        <w:jc w:val="both"/>
      </w:pPr>
      <w:r>
        <w:rPr>
          <w:noProof/>
          <w:position w:val="-8"/>
        </w:rPr>
        <w:drawing>
          <wp:inline distT="0" distB="0" distL="0" distR="0">
            <wp:extent cx="628650" cy="251460"/>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628650" cy="251460"/>
                    </a:xfrm>
                    <a:prstGeom prst="rect">
                      <a:avLst/>
                    </a:prstGeom>
                    <a:noFill/>
                    <a:ln>
                      <a:noFill/>
                    </a:ln>
                  </pic:spPr>
                </pic:pic>
              </a:graphicData>
            </a:graphic>
          </wp:inline>
        </w:drawing>
      </w:r>
      <w:r>
        <w:t xml:space="preserve"> - если </w:t>
      </w:r>
      <w:r>
        <w:rPr>
          <w:noProof/>
          <w:position w:val="-9"/>
        </w:rPr>
        <w:drawing>
          <wp:inline distT="0" distB="0" distL="0" distR="0">
            <wp:extent cx="1340485" cy="262890"/>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1340485" cy="262890"/>
                    </a:xfrm>
                    <a:prstGeom prst="rect">
                      <a:avLst/>
                    </a:prstGeom>
                    <a:noFill/>
                    <a:ln>
                      <a:noFill/>
                    </a:ln>
                  </pic:spPr>
                </pic:pic>
              </a:graphicData>
            </a:graphic>
          </wp:inline>
        </w:drawing>
      </w:r>
      <w:r>
        <w:t>;</w:t>
      </w:r>
    </w:p>
    <w:p w:rsidR="00212513" w:rsidRDefault="00212513">
      <w:pPr>
        <w:pStyle w:val="ConsPlusNormal"/>
        <w:spacing w:before="220"/>
        <w:ind w:firstLine="540"/>
        <w:jc w:val="both"/>
      </w:pPr>
      <w:r>
        <w:rPr>
          <w:noProof/>
          <w:position w:val="-8"/>
        </w:rPr>
        <w:drawing>
          <wp:inline distT="0" distB="0" distL="0" distR="0">
            <wp:extent cx="662940" cy="251460"/>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662940" cy="251460"/>
                    </a:xfrm>
                    <a:prstGeom prst="rect">
                      <a:avLst/>
                    </a:prstGeom>
                    <a:noFill/>
                    <a:ln>
                      <a:noFill/>
                    </a:ln>
                  </pic:spPr>
                </pic:pic>
              </a:graphicData>
            </a:graphic>
          </wp:inline>
        </w:drawing>
      </w:r>
      <w:r>
        <w:t xml:space="preserve"> - при напряжениях </w:t>
      </w:r>
      <w:r>
        <w:rPr>
          <w:noProof/>
          <w:position w:val="-9"/>
        </w:rPr>
        <w:drawing>
          <wp:inline distT="0" distB="0" distL="0" distR="0">
            <wp:extent cx="818515" cy="262890"/>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818515" cy="262890"/>
                    </a:xfrm>
                    <a:prstGeom prst="rect">
                      <a:avLst/>
                    </a:prstGeom>
                    <a:noFill/>
                    <a:ln>
                      <a:noFill/>
                    </a:ln>
                  </pic:spPr>
                </pic:pic>
              </a:graphicData>
            </a:graphic>
          </wp:inline>
        </w:drawing>
      </w:r>
      <w:r>
        <w:t>, которые представляют собой максимальную величину, учитываемую в расчетах;</w:t>
      </w:r>
    </w:p>
    <w:p w:rsidR="00212513" w:rsidRDefault="00212513">
      <w:pPr>
        <w:pStyle w:val="ConsPlusNormal"/>
        <w:spacing w:before="220"/>
        <w:ind w:firstLine="540"/>
        <w:jc w:val="both"/>
      </w:pPr>
      <w:r>
        <w:t xml:space="preserve">б) для </w:t>
      </w:r>
      <w:r>
        <w:rPr>
          <w:noProof/>
          <w:position w:val="-10"/>
        </w:rPr>
        <w:drawing>
          <wp:inline distT="0" distB="0" distL="0" distR="0">
            <wp:extent cx="314960" cy="273685"/>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314960" cy="273685"/>
                    </a:xfrm>
                    <a:prstGeom prst="rect">
                      <a:avLst/>
                    </a:prstGeom>
                    <a:noFill/>
                    <a:ln>
                      <a:noFill/>
                    </a:ln>
                  </pic:spPr>
                </pic:pic>
              </a:graphicData>
            </a:graphic>
          </wp:inline>
        </w:drawing>
      </w:r>
      <w:r>
        <w:t xml:space="preserve"> и </w:t>
      </w:r>
      <w:r>
        <w:rPr>
          <w:noProof/>
          <w:position w:val="-10"/>
        </w:rPr>
        <w:drawing>
          <wp:inline distT="0" distB="0" distL="0" distR="0">
            <wp:extent cx="356235" cy="273685"/>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356235" cy="273685"/>
                    </a:xfrm>
                    <a:prstGeom prst="rect">
                      <a:avLst/>
                    </a:prstGeom>
                    <a:noFill/>
                    <a:ln>
                      <a:noFill/>
                    </a:ln>
                  </pic:spPr>
                </pic:pic>
              </a:graphicData>
            </a:graphic>
          </wp:inline>
        </w:drawing>
      </w:r>
    </w:p>
    <w:p w:rsidR="00212513" w:rsidRDefault="00212513">
      <w:pPr>
        <w:pStyle w:val="ConsPlusNormal"/>
        <w:spacing w:before="220"/>
        <w:ind w:firstLine="540"/>
        <w:jc w:val="both"/>
      </w:pPr>
      <w:r>
        <w:rPr>
          <w:noProof/>
          <w:position w:val="-9"/>
        </w:rPr>
        <w:drawing>
          <wp:inline distT="0" distB="0" distL="0" distR="0">
            <wp:extent cx="1438910" cy="262890"/>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438910" cy="262890"/>
                    </a:xfrm>
                    <a:prstGeom prst="rect">
                      <a:avLst/>
                    </a:prstGeom>
                    <a:noFill/>
                    <a:ln>
                      <a:noFill/>
                    </a:ln>
                  </pic:spPr>
                </pic:pic>
              </a:graphicData>
            </a:graphic>
          </wp:inline>
        </w:drawing>
      </w:r>
      <w:r>
        <w:t xml:space="preserve"> - при </w:t>
      </w:r>
      <w:r>
        <w:rPr>
          <w:noProof/>
          <w:position w:val="-9"/>
        </w:rPr>
        <w:drawing>
          <wp:inline distT="0" distB="0" distL="0" distR="0">
            <wp:extent cx="1156970" cy="262890"/>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156970" cy="262890"/>
                    </a:xfrm>
                    <a:prstGeom prst="rect">
                      <a:avLst/>
                    </a:prstGeom>
                    <a:noFill/>
                    <a:ln>
                      <a:noFill/>
                    </a:ln>
                  </pic:spPr>
                </pic:pic>
              </a:graphicData>
            </a:graphic>
          </wp:inline>
        </w:drawing>
      </w:r>
      <w:r>
        <w:t>;</w:t>
      </w:r>
    </w:p>
    <w:p w:rsidR="00212513" w:rsidRDefault="00212513">
      <w:pPr>
        <w:pStyle w:val="ConsPlusNormal"/>
        <w:spacing w:before="220"/>
        <w:ind w:firstLine="540"/>
        <w:jc w:val="both"/>
      </w:pPr>
      <w:r>
        <w:rPr>
          <w:noProof/>
          <w:position w:val="-9"/>
        </w:rPr>
        <w:drawing>
          <wp:inline distT="0" distB="0" distL="0" distR="0">
            <wp:extent cx="1257300" cy="262890"/>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257300" cy="262890"/>
                    </a:xfrm>
                    <a:prstGeom prst="rect">
                      <a:avLst/>
                    </a:prstGeom>
                    <a:noFill/>
                    <a:ln>
                      <a:noFill/>
                    </a:ln>
                  </pic:spPr>
                </pic:pic>
              </a:graphicData>
            </a:graphic>
          </wp:inline>
        </w:drawing>
      </w:r>
      <w:r>
        <w:t xml:space="preserve"> - при </w:t>
      </w:r>
      <w:r>
        <w:rPr>
          <w:noProof/>
          <w:position w:val="-9"/>
        </w:rPr>
        <w:drawing>
          <wp:inline distT="0" distB="0" distL="0" distR="0">
            <wp:extent cx="1156970" cy="262890"/>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1156970" cy="262890"/>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Для промежуточных значений </w:t>
      </w:r>
      <w:r>
        <w:rPr>
          <w:noProof/>
          <w:position w:val="-9"/>
        </w:rPr>
        <w:drawing>
          <wp:inline distT="0" distB="0" distL="0" distR="0">
            <wp:extent cx="251460" cy="262890"/>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коэффициенты условий работы бетона принимают по интерполяции.</w:t>
      </w:r>
    </w:p>
    <w:p w:rsidR="00212513" w:rsidRDefault="00212513">
      <w:pPr>
        <w:pStyle w:val="ConsPlusNormal"/>
        <w:spacing w:before="220"/>
        <w:ind w:firstLine="540"/>
        <w:jc w:val="both"/>
      </w:pPr>
      <w:bookmarkStart w:id="112" w:name="P2611"/>
      <w:bookmarkEnd w:id="112"/>
      <w:r>
        <w:t xml:space="preserve">7.28 При расчете составных по длине конструкций с бетонируемыми стыками значения коэффициента условий работы </w:t>
      </w:r>
      <w:r>
        <w:rPr>
          <w:noProof/>
          <w:position w:val="-8"/>
        </w:rPr>
        <w:drawing>
          <wp:inline distT="0" distB="0" distL="0" distR="0">
            <wp:extent cx="313690" cy="251460"/>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313690" cy="251460"/>
                    </a:xfrm>
                    <a:prstGeom prst="rect">
                      <a:avLst/>
                    </a:prstGeom>
                    <a:noFill/>
                    <a:ln>
                      <a:noFill/>
                    </a:ln>
                  </pic:spPr>
                </pic:pic>
              </a:graphicData>
            </a:graphic>
          </wp:inline>
        </w:drawing>
      </w:r>
      <w:r>
        <w:t xml:space="preserve">, учитывающего разницу в прочности бетона конструкции и материала заполнения стыкового шва на каждой стадии работы стыка, следует принимать в </w:t>
      </w:r>
      <w:r>
        <w:lastRenderedPageBreak/>
        <w:t xml:space="preserve">зависимости от толщины шва </w:t>
      </w:r>
      <w:r>
        <w:rPr>
          <w:i/>
        </w:rPr>
        <w:t>b</w:t>
      </w:r>
      <w:r>
        <w:t xml:space="preserve"> и отношения прочности бетона (раствора) в стыке (шве) </w:t>
      </w:r>
      <w:r>
        <w:rPr>
          <w:noProof/>
          <w:position w:val="-9"/>
        </w:rPr>
        <w:drawing>
          <wp:inline distT="0" distB="0" distL="0" distR="0">
            <wp:extent cx="241935" cy="262890"/>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241935" cy="262890"/>
                    </a:xfrm>
                    <a:prstGeom prst="rect">
                      <a:avLst/>
                    </a:prstGeom>
                    <a:noFill/>
                    <a:ln>
                      <a:noFill/>
                    </a:ln>
                  </pic:spPr>
                </pic:pic>
              </a:graphicData>
            </a:graphic>
          </wp:inline>
        </w:drawing>
      </w:r>
      <w:r>
        <w:t xml:space="preserve"> к прочности бетона в блоках конструкции </w:t>
      </w:r>
      <w:r>
        <w:rPr>
          <w:noProof/>
          <w:position w:val="-9"/>
        </w:rPr>
        <w:drawing>
          <wp:inline distT="0" distB="0" distL="0" distR="0">
            <wp:extent cx="377190" cy="262890"/>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377190" cy="262890"/>
                    </a:xfrm>
                    <a:prstGeom prst="rect">
                      <a:avLst/>
                    </a:prstGeom>
                    <a:noFill/>
                    <a:ln>
                      <a:noFill/>
                    </a:ln>
                  </pic:spPr>
                </pic:pic>
              </a:graphicData>
            </a:graphic>
          </wp:inline>
        </w:drawing>
      </w:r>
      <w:r>
        <w:t xml:space="preserve"> по таблице 7.10.</w:t>
      </w:r>
    </w:p>
    <w:p w:rsidR="00212513" w:rsidRDefault="00212513">
      <w:pPr>
        <w:pStyle w:val="ConsPlusNormal"/>
        <w:ind w:firstLine="540"/>
        <w:jc w:val="both"/>
      </w:pPr>
    </w:p>
    <w:p w:rsidR="00212513" w:rsidRDefault="00212513">
      <w:pPr>
        <w:pStyle w:val="ConsPlusNormal"/>
        <w:jc w:val="right"/>
      </w:pPr>
      <w:bookmarkStart w:id="113" w:name="P2613"/>
      <w:bookmarkEnd w:id="113"/>
      <w:r>
        <w:t>Таблица 7.10</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74"/>
        <w:gridCol w:w="844"/>
        <w:gridCol w:w="844"/>
        <w:gridCol w:w="844"/>
        <w:gridCol w:w="844"/>
        <w:gridCol w:w="844"/>
        <w:gridCol w:w="844"/>
        <w:gridCol w:w="844"/>
        <w:gridCol w:w="844"/>
        <w:gridCol w:w="844"/>
      </w:tblGrid>
      <w:tr w:rsidR="00212513">
        <w:tc>
          <w:tcPr>
            <w:tcW w:w="1474" w:type="dxa"/>
            <w:vMerge w:val="restart"/>
            <w:tcBorders>
              <w:top w:val="single" w:sz="4" w:space="0" w:color="auto"/>
              <w:bottom w:val="single" w:sz="4" w:space="0" w:color="auto"/>
            </w:tcBorders>
            <w:vAlign w:val="center"/>
          </w:tcPr>
          <w:p w:rsidR="00212513" w:rsidRDefault="00212513">
            <w:pPr>
              <w:pStyle w:val="ConsPlusNormal"/>
              <w:jc w:val="center"/>
            </w:pPr>
            <w:r>
              <w:t>Толщина шва, мм</w:t>
            </w:r>
          </w:p>
        </w:tc>
        <w:tc>
          <w:tcPr>
            <w:tcW w:w="7596" w:type="dxa"/>
            <w:gridSpan w:val="9"/>
            <w:tcBorders>
              <w:top w:val="single" w:sz="4" w:space="0" w:color="auto"/>
              <w:bottom w:val="single" w:sz="4" w:space="0" w:color="auto"/>
            </w:tcBorders>
            <w:vAlign w:val="center"/>
          </w:tcPr>
          <w:p w:rsidR="00212513" w:rsidRDefault="00212513">
            <w:pPr>
              <w:pStyle w:val="ConsPlusNormal"/>
              <w:jc w:val="center"/>
            </w:pPr>
            <w:r>
              <w:t xml:space="preserve">Коэффициенты условий работы </w:t>
            </w:r>
            <w:r>
              <w:rPr>
                <w:i/>
              </w:rPr>
              <w:t>m</w:t>
            </w:r>
            <w:r>
              <w:rPr>
                <w:i/>
                <w:vertAlign w:val="subscript"/>
              </w:rPr>
              <w:t>b</w:t>
            </w:r>
            <w:r>
              <w:rPr>
                <w:vertAlign w:val="subscript"/>
              </w:rPr>
              <w:t>10</w:t>
            </w:r>
            <w:r>
              <w:t xml:space="preserve"> при отношениях </w:t>
            </w:r>
            <w:r>
              <w:rPr>
                <w:i/>
              </w:rPr>
              <w:t>R</w:t>
            </w:r>
            <w:r>
              <w:rPr>
                <w:i/>
                <w:vertAlign w:val="subscript"/>
              </w:rPr>
              <w:t>bj</w:t>
            </w:r>
            <w:r>
              <w:rPr>
                <w:i/>
              </w:rPr>
              <w:t>/R</w:t>
            </w:r>
            <w:r>
              <w:rPr>
                <w:i/>
                <w:vertAlign w:val="subscript"/>
              </w:rPr>
              <w:t>b,con</w:t>
            </w:r>
          </w:p>
        </w:tc>
      </w:tr>
      <w:tr w:rsidR="00212513">
        <w:tc>
          <w:tcPr>
            <w:tcW w:w="1474" w:type="dxa"/>
            <w:vMerge/>
            <w:tcBorders>
              <w:top w:val="single" w:sz="4" w:space="0" w:color="auto"/>
              <w:bottom w:val="single" w:sz="4" w:space="0" w:color="auto"/>
            </w:tcBorders>
          </w:tcPr>
          <w:p w:rsidR="00212513" w:rsidRDefault="00212513">
            <w:pPr>
              <w:pStyle w:val="ConsPlusNormal"/>
            </w:pPr>
          </w:p>
        </w:tc>
        <w:tc>
          <w:tcPr>
            <w:tcW w:w="844" w:type="dxa"/>
            <w:tcBorders>
              <w:top w:val="single" w:sz="4" w:space="0" w:color="auto"/>
              <w:bottom w:val="single" w:sz="4" w:space="0" w:color="auto"/>
            </w:tcBorders>
            <w:vAlign w:val="center"/>
          </w:tcPr>
          <w:p w:rsidR="00212513" w:rsidRDefault="00212513">
            <w:pPr>
              <w:pStyle w:val="ConsPlusNormal"/>
              <w:jc w:val="center"/>
            </w:pPr>
            <w:r>
              <w:t>0,2 и менее</w:t>
            </w:r>
          </w:p>
        </w:tc>
        <w:tc>
          <w:tcPr>
            <w:tcW w:w="844" w:type="dxa"/>
            <w:tcBorders>
              <w:top w:val="single" w:sz="4" w:space="0" w:color="auto"/>
              <w:bottom w:val="single" w:sz="4" w:space="0" w:color="auto"/>
            </w:tcBorders>
            <w:vAlign w:val="center"/>
          </w:tcPr>
          <w:p w:rsidR="00212513" w:rsidRDefault="00212513">
            <w:pPr>
              <w:pStyle w:val="ConsPlusNormal"/>
              <w:jc w:val="center"/>
            </w:pPr>
            <w:r>
              <w:t>0,3</w:t>
            </w:r>
          </w:p>
        </w:tc>
        <w:tc>
          <w:tcPr>
            <w:tcW w:w="844" w:type="dxa"/>
            <w:tcBorders>
              <w:top w:val="single" w:sz="4" w:space="0" w:color="auto"/>
              <w:bottom w:val="single" w:sz="4" w:space="0" w:color="auto"/>
            </w:tcBorders>
            <w:vAlign w:val="center"/>
          </w:tcPr>
          <w:p w:rsidR="00212513" w:rsidRDefault="00212513">
            <w:pPr>
              <w:pStyle w:val="ConsPlusNormal"/>
              <w:jc w:val="center"/>
            </w:pPr>
            <w:r>
              <w:t>0,4</w:t>
            </w:r>
          </w:p>
        </w:tc>
        <w:tc>
          <w:tcPr>
            <w:tcW w:w="844" w:type="dxa"/>
            <w:tcBorders>
              <w:top w:val="single" w:sz="4" w:space="0" w:color="auto"/>
              <w:bottom w:val="single" w:sz="4" w:space="0" w:color="auto"/>
            </w:tcBorders>
            <w:vAlign w:val="center"/>
          </w:tcPr>
          <w:p w:rsidR="00212513" w:rsidRDefault="00212513">
            <w:pPr>
              <w:pStyle w:val="ConsPlusNormal"/>
              <w:jc w:val="center"/>
            </w:pPr>
            <w:r>
              <w:t>0,5</w:t>
            </w:r>
          </w:p>
        </w:tc>
        <w:tc>
          <w:tcPr>
            <w:tcW w:w="844" w:type="dxa"/>
            <w:tcBorders>
              <w:top w:val="single" w:sz="4" w:space="0" w:color="auto"/>
              <w:bottom w:val="single" w:sz="4" w:space="0" w:color="auto"/>
            </w:tcBorders>
            <w:vAlign w:val="center"/>
          </w:tcPr>
          <w:p w:rsidR="00212513" w:rsidRDefault="00212513">
            <w:pPr>
              <w:pStyle w:val="ConsPlusNormal"/>
              <w:jc w:val="center"/>
            </w:pPr>
            <w:r>
              <w:t>0,6</w:t>
            </w:r>
          </w:p>
        </w:tc>
        <w:tc>
          <w:tcPr>
            <w:tcW w:w="844" w:type="dxa"/>
            <w:tcBorders>
              <w:top w:val="single" w:sz="4" w:space="0" w:color="auto"/>
              <w:bottom w:val="single" w:sz="4" w:space="0" w:color="auto"/>
            </w:tcBorders>
            <w:vAlign w:val="center"/>
          </w:tcPr>
          <w:p w:rsidR="00212513" w:rsidRDefault="00212513">
            <w:pPr>
              <w:pStyle w:val="ConsPlusNormal"/>
              <w:jc w:val="center"/>
            </w:pPr>
            <w:r>
              <w:t>0,7</w:t>
            </w:r>
          </w:p>
        </w:tc>
        <w:tc>
          <w:tcPr>
            <w:tcW w:w="844" w:type="dxa"/>
            <w:tcBorders>
              <w:top w:val="single" w:sz="4" w:space="0" w:color="auto"/>
              <w:bottom w:val="single" w:sz="4" w:space="0" w:color="auto"/>
            </w:tcBorders>
            <w:vAlign w:val="center"/>
          </w:tcPr>
          <w:p w:rsidR="00212513" w:rsidRDefault="00212513">
            <w:pPr>
              <w:pStyle w:val="ConsPlusNormal"/>
              <w:jc w:val="center"/>
            </w:pPr>
            <w:r>
              <w:t>0,8</w:t>
            </w:r>
          </w:p>
        </w:tc>
        <w:tc>
          <w:tcPr>
            <w:tcW w:w="844" w:type="dxa"/>
            <w:tcBorders>
              <w:top w:val="single" w:sz="4" w:space="0" w:color="auto"/>
              <w:bottom w:val="single" w:sz="4" w:space="0" w:color="auto"/>
            </w:tcBorders>
            <w:vAlign w:val="center"/>
          </w:tcPr>
          <w:p w:rsidR="00212513" w:rsidRDefault="00212513">
            <w:pPr>
              <w:pStyle w:val="ConsPlusNormal"/>
              <w:jc w:val="center"/>
            </w:pPr>
            <w:r>
              <w:t>0,9</w:t>
            </w:r>
          </w:p>
        </w:tc>
        <w:tc>
          <w:tcPr>
            <w:tcW w:w="844" w:type="dxa"/>
            <w:tcBorders>
              <w:top w:val="single" w:sz="4" w:space="0" w:color="auto"/>
              <w:bottom w:val="single" w:sz="4" w:space="0" w:color="auto"/>
            </w:tcBorders>
            <w:vAlign w:val="center"/>
          </w:tcPr>
          <w:p w:rsidR="00212513" w:rsidRDefault="00212513">
            <w:pPr>
              <w:pStyle w:val="ConsPlusNormal"/>
              <w:jc w:val="center"/>
            </w:pPr>
            <w:r>
              <w:t>1,0</w:t>
            </w:r>
          </w:p>
        </w:tc>
      </w:tr>
      <w:tr w:rsidR="00212513">
        <w:tblPrEx>
          <w:tblBorders>
            <w:insideH w:val="none" w:sz="0" w:space="0" w:color="auto"/>
          </w:tblBorders>
        </w:tblPrEx>
        <w:tc>
          <w:tcPr>
            <w:tcW w:w="1474" w:type="dxa"/>
            <w:tcBorders>
              <w:top w:val="single" w:sz="4" w:space="0" w:color="auto"/>
              <w:bottom w:val="nil"/>
            </w:tcBorders>
          </w:tcPr>
          <w:p w:rsidR="00212513" w:rsidRDefault="00212513">
            <w:pPr>
              <w:pStyle w:val="ConsPlusNormal"/>
              <w:jc w:val="both"/>
            </w:pPr>
            <w:r>
              <w:t>От 20 до 40</w:t>
            </w:r>
          </w:p>
        </w:tc>
        <w:tc>
          <w:tcPr>
            <w:tcW w:w="844" w:type="dxa"/>
            <w:tcBorders>
              <w:top w:val="single" w:sz="4" w:space="0" w:color="auto"/>
              <w:bottom w:val="nil"/>
            </w:tcBorders>
          </w:tcPr>
          <w:p w:rsidR="00212513" w:rsidRDefault="00212513">
            <w:pPr>
              <w:pStyle w:val="ConsPlusNormal"/>
              <w:jc w:val="center"/>
            </w:pPr>
            <w:r>
              <w:t>0,70</w:t>
            </w:r>
          </w:p>
        </w:tc>
        <w:tc>
          <w:tcPr>
            <w:tcW w:w="844" w:type="dxa"/>
            <w:tcBorders>
              <w:top w:val="single" w:sz="4" w:space="0" w:color="auto"/>
              <w:bottom w:val="nil"/>
            </w:tcBorders>
          </w:tcPr>
          <w:p w:rsidR="00212513" w:rsidRDefault="00212513">
            <w:pPr>
              <w:pStyle w:val="ConsPlusNormal"/>
              <w:jc w:val="center"/>
            </w:pPr>
            <w:r>
              <w:t>0,76</w:t>
            </w:r>
          </w:p>
        </w:tc>
        <w:tc>
          <w:tcPr>
            <w:tcW w:w="844" w:type="dxa"/>
            <w:tcBorders>
              <w:top w:val="single" w:sz="4" w:space="0" w:color="auto"/>
              <w:bottom w:val="nil"/>
            </w:tcBorders>
          </w:tcPr>
          <w:p w:rsidR="00212513" w:rsidRDefault="00212513">
            <w:pPr>
              <w:pStyle w:val="ConsPlusNormal"/>
              <w:jc w:val="center"/>
            </w:pPr>
            <w:r>
              <w:t>0,82</w:t>
            </w:r>
          </w:p>
        </w:tc>
        <w:tc>
          <w:tcPr>
            <w:tcW w:w="844" w:type="dxa"/>
            <w:tcBorders>
              <w:top w:val="single" w:sz="4" w:space="0" w:color="auto"/>
              <w:bottom w:val="nil"/>
            </w:tcBorders>
          </w:tcPr>
          <w:p w:rsidR="00212513" w:rsidRDefault="00212513">
            <w:pPr>
              <w:pStyle w:val="ConsPlusNormal"/>
              <w:jc w:val="center"/>
            </w:pPr>
            <w:r>
              <w:t>0,88</w:t>
            </w:r>
          </w:p>
        </w:tc>
        <w:tc>
          <w:tcPr>
            <w:tcW w:w="844" w:type="dxa"/>
            <w:tcBorders>
              <w:top w:val="single" w:sz="4" w:space="0" w:color="auto"/>
              <w:bottom w:val="nil"/>
            </w:tcBorders>
          </w:tcPr>
          <w:p w:rsidR="00212513" w:rsidRDefault="00212513">
            <w:pPr>
              <w:pStyle w:val="ConsPlusNormal"/>
              <w:jc w:val="center"/>
            </w:pPr>
            <w:r>
              <w:t>0,94</w:t>
            </w:r>
          </w:p>
        </w:tc>
        <w:tc>
          <w:tcPr>
            <w:tcW w:w="844" w:type="dxa"/>
            <w:tcBorders>
              <w:top w:val="single" w:sz="4" w:space="0" w:color="auto"/>
              <w:bottom w:val="nil"/>
            </w:tcBorders>
          </w:tcPr>
          <w:p w:rsidR="00212513" w:rsidRDefault="00212513">
            <w:pPr>
              <w:pStyle w:val="ConsPlusNormal"/>
              <w:jc w:val="center"/>
            </w:pPr>
            <w:r>
              <w:t>1,0</w:t>
            </w:r>
          </w:p>
        </w:tc>
        <w:tc>
          <w:tcPr>
            <w:tcW w:w="844" w:type="dxa"/>
            <w:tcBorders>
              <w:top w:val="single" w:sz="4" w:space="0" w:color="auto"/>
              <w:bottom w:val="nil"/>
            </w:tcBorders>
          </w:tcPr>
          <w:p w:rsidR="00212513" w:rsidRDefault="00212513">
            <w:pPr>
              <w:pStyle w:val="ConsPlusNormal"/>
              <w:jc w:val="center"/>
            </w:pPr>
            <w:r>
              <w:t>1,0</w:t>
            </w:r>
          </w:p>
        </w:tc>
        <w:tc>
          <w:tcPr>
            <w:tcW w:w="844" w:type="dxa"/>
            <w:tcBorders>
              <w:top w:val="single" w:sz="4" w:space="0" w:color="auto"/>
              <w:bottom w:val="nil"/>
            </w:tcBorders>
          </w:tcPr>
          <w:p w:rsidR="00212513" w:rsidRDefault="00212513">
            <w:pPr>
              <w:pStyle w:val="ConsPlusNormal"/>
              <w:jc w:val="center"/>
            </w:pPr>
            <w:r>
              <w:t>1,0</w:t>
            </w:r>
          </w:p>
        </w:tc>
        <w:tc>
          <w:tcPr>
            <w:tcW w:w="844" w:type="dxa"/>
            <w:tcBorders>
              <w:top w:val="single" w:sz="4" w:space="0" w:color="auto"/>
              <w:bottom w:val="nil"/>
            </w:tcBorders>
          </w:tcPr>
          <w:p w:rsidR="00212513" w:rsidRDefault="00212513">
            <w:pPr>
              <w:pStyle w:val="ConsPlusNormal"/>
              <w:jc w:val="center"/>
            </w:pPr>
            <w:r>
              <w:t>1,0</w:t>
            </w:r>
          </w:p>
        </w:tc>
      </w:tr>
      <w:tr w:rsidR="00212513">
        <w:tblPrEx>
          <w:tblBorders>
            <w:insideH w:val="none" w:sz="0" w:space="0" w:color="auto"/>
          </w:tblBorders>
        </w:tblPrEx>
        <w:tc>
          <w:tcPr>
            <w:tcW w:w="1474" w:type="dxa"/>
            <w:tcBorders>
              <w:top w:val="nil"/>
              <w:bottom w:val="nil"/>
            </w:tcBorders>
          </w:tcPr>
          <w:p w:rsidR="00212513" w:rsidRDefault="00212513">
            <w:pPr>
              <w:pStyle w:val="ConsPlusNormal"/>
            </w:pPr>
            <w:r>
              <w:t>70</w:t>
            </w:r>
          </w:p>
        </w:tc>
        <w:tc>
          <w:tcPr>
            <w:tcW w:w="844" w:type="dxa"/>
            <w:tcBorders>
              <w:top w:val="nil"/>
              <w:bottom w:val="nil"/>
            </w:tcBorders>
          </w:tcPr>
          <w:p w:rsidR="00212513" w:rsidRDefault="00212513">
            <w:pPr>
              <w:pStyle w:val="ConsPlusNormal"/>
              <w:jc w:val="center"/>
            </w:pPr>
            <w:r>
              <w:t>0,50</w:t>
            </w:r>
          </w:p>
        </w:tc>
        <w:tc>
          <w:tcPr>
            <w:tcW w:w="844" w:type="dxa"/>
            <w:tcBorders>
              <w:top w:val="nil"/>
              <w:bottom w:val="nil"/>
            </w:tcBorders>
          </w:tcPr>
          <w:p w:rsidR="00212513" w:rsidRDefault="00212513">
            <w:pPr>
              <w:pStyle w:val="ConsPlusNormal"/>
              <w:jc w:val="center"/>
            </w:pPr>
            <w:r>
              <w:t>0,58</w:t>
            </w:r>
          </w:p>
        </w:tc>
        <w:tc>
          <w:tcPr>
            <w:tcW w:w="844" w:type="dxa"/>
            <w:tcBorders>
              <w:top w:val="nil"/>
              <w:bottom w:val="nil"/>
            </w:tcBorders>
          </w:tcPr>
          <w:p w:rsidR="00212513" w:rsidRDefault="00212513">
            <w:pPr>
              <w:pStyle w:val="ConsPlusNormal"/>
              <w:jc w:val="center"/>
            </w:pPr>
            <w:r>
              <w:t>0,65</w:t>
            </w:r>
          </w:p>
        </w:tc>
        <w:tc>
          <w:tcPr>
            <w:tcW w:w="844" w:type="dxa"/>
            <w:tcBorders>
              <w:top w:val="nil"/>
              <w:bottom w:val="nil"/>
            </w:tcBorders>
          </w:tcPr>
          <w:p w:rsidR="00212513" w:rsidRDefault="00212513">
            <w:pPr>
              <w:pStyle w:val="ConsPlusNormal"/>
              <w:jc w:val="center"/>
            </w:pPr>
            <w:r>
              <w:t>0,72</w:t>
            </w:r>
          </w:p>
        </w:tc>
        <w:tc>
          <w:tcPr>
            <w:tcW w:w="844" w:type="dxa"/>
            <w:tcBorders>
              <w:top w:val="nil"/>
              <w:bottom w:val="nil"/>
            </w:tcBorders>
          </w:tcPr>
          <w:p w:rsidR="00212513" w:rsidRDefault="00212513">
            <w:pPr>
              <w:pStyle w:val="ConsPlusNormal"/>
              <w:jc w:val="center"/>
            </w:pPr>
            <w:r>
              <w:t>0,80</w:t>
            </w:r>
          </w:p>
        </w:tc>
        <w:tc>
          <w:tcPr>
            <w:tcW w:w="844" w:type="dxa"/>
            <w:tcBorders>
              <w:top w:val="nil"/>
              <w:bottom w:val="nil"/>
            </w:tcBorders>
          </w:tcPr>
          <w:p w:rsidR="00212513" w:rsidRDefault="00212513">
            <w:pPr>
              <w:pStyle w:val="ConsPlusNormal"/>
              <w:jc w:val="center"/>
            </w:pPr>
            <w:r>
              <w:t>0,85</w:t>
            </w:r>
          </w:p>
        </w:tc>
        <w:tc>
          <w:tcPr>
            <w:tcW w:w="844" w:type="dxa"/>
            <w:tcBorders>
              <w:top w:val="nil"/>
              <w:bottom w:val="nil"/>
            </w:tcBorders>
          </w:tcPr>
          <w:p w:rsidR="00212513" w:rsidRDefault="00212513">
            <w:pPr>
              <w:pStyle w:val="ConsPlusNormal"/>
              <w:jc w:val="center"/>
            </w:pPr>
            <w:r>
              <w:t>0,90</w:t>
            </w:r>
          </w:p>
        </w:tc>
        <w:tc>
          <w:tcPr>
            <w:tcW w:w="844" w:type="dxa"/>
            <w:tcBorders>
              <w:top w:val="nil"/>
              <w:bottom w:val="nil"/>
            </w:tcBorders>
          </w:tcPr>
          <w:p w:rsidR="00212513" w:rsidRDefault="00212513">
            <w:pPr>
              <w:pStyle w:val="ConsPlusNormal"/>
              <w:jc w:val="center"/>
            </w:pPr>
            <w:r>
              <w:t>0,95</w:t>
            </w:r>
          </w:p>
        </w:tc>
        <w:tc>
          <w:tcPr>
            <w:tcW w:w="844" w:type="dxa"/>
            <w:tcBorders>
              <w:top w:val="nil"/>
              <w:bottom w:val="nil"/>
            </w:tcBorders>
          </w:tcPr>
          <w:p w:rsidR="00212513" w:rsidRDefault="00212513">
            <w:pPr>
              <w:pStyle w:val="ConsPlusNormal"/>
              <w:jc w:val="center"/>
            </w:pPr>
            <w:r>
              <w:t>1,0</w:t>
            </w:r>
          </w:p>
        </w:tc>
      </w:tr>
      <w:tr w:rsidR="00212513">
        <w:tblPrEx>
          <w:tblBorders>
            <w:insideH w:val="none" w:sz="0" w:space="0" w:color="auto"/>
          </w:tblBorders>
        </w:tblPrEx>
        <w:tc>
          <w:tcPr>
            <w:tcW w:w="1474" w:type="dxa"/>
            <w:tcBorders>
              <w:top w:val="nil"/>
              <w:bottom w:val="single" w:sz="4" w:space="0" w:color="auto"/>
            </w:tcBorders>
          </w:tcPr>
          <w:p w:rsidR="00212513" w:rsidRDefault="00212513">
            <w:pPr>
              <w:pStyle w:val="ConsPlusNormal"/>
              <w:jc w:val="both"/>
            </w:pPr>
            <w:r>
              <w:t>200 и более</w:t>
            </w:r>
          </w:p>
        </w:tc>
        <w:tc>
          <w:tcPr>
            <w:tcW w:w="844" w:type="dxa"/>
            <w:tcBorders>
              <w:top w:val="nil"/>
              <w:bottom w:val="single" w:sz="4" w:space="0" w:color="auto"/>
            </w:tcBorders>
          </w:tcPr>
          <w:p w:rsidR="00212513" w:rsidRDefault="00212513">
            <w:pPr>
              <w:pStyle w:val="ConsPlusNormal"/>
              <w:jc w:val="center"/>
            </w:pPr>
            <w:r>
              <w:t>0,20</w:t>
            </w:r>
          </w:p>
        </w:tc>
        <w:tc>
          <w:tcPr>
            <w:tcW w:w="844" w:type="dxa"/>
            <w:tcBorders>
              <w:top w:val="nil"/>
              <w:bottom w:val="single" w:sz="4" w:space="0" w:color="auto"/>
            </w:tcBorders>
          </w:tcPr>
          <w:p w:rsidR="00212513" w:rsidRDefault="00212513">
            <w:pPr>
              <w:pStyle w:val="ConsPlusNormal"/>
              <w:jc w:val="center"/>
            </w:pPr>
            <w:r>
              <w:t>0,30</w:t>
            </w:r>
          </w:p>
        </w:tc>
        <w:tc>
          <w:tcPr>
            <w:tcW w:w="844" w:type="dxa"/>
            <w:tcBorders>
              <w:top w:val="nil"/>
              <w:bottom w:val="single" w:sz="4" w:space="0" w:color="auto"/>
            </w:tcBorders>
          </w:tcPr>
          <w:p w:rsidR="00212513" w:rsidRDefault="00212513">
            <w:pPr>
              <w:pStyle w:val="ConsPlusNormal"/>
              <w:jc w:val="center"/>
            </w:pPr>
            <w:r>
              <w:t>0,40</w:t>
            </w:r>
          </w:p>
        </w:tc>
        <w:tc>
          <w:tcPr>
            <w:tcW w:w="844" w:type="dxa"/>
            <w:tcBorders>
              <w:top w:val="nil"/>
              <w:bottom w:val="single" w:sz="4" w:space="0" w:color="auto"/>
            </w:tcBorders>
          </w:tcPr>
          <w:p w:rsidR="00212513" w:rsidRDefault="00212513">
            <w:pPr>
              <w:pStyle w:val="ConsPlusNormal"/>
              <w:jc w:val="center"/>
            </w:pPr>
            <w:r>
              <w:t>0,50</w:t>
            </w:r>
          </w:p>
        </w:tc>
        <w:tc>
          <w:tcPr>
            <w:tcW w:w="844" w:type="dxa"/>
            <w:tcBorders>
              <w:top w:val="nil"/>
              <w:bottom w:val="single" w:sz="4" w:space="0" w:color="auto"/>
            </w:tcBorders>
          </w:tcPr>
          <w:p w:rsidR="00212513" w:rsidRDefault="00212513">
            <w:pPr>
              <w:pStyle w:val="ConsPlusNormal"/>
              <w:jc w:val="center"/>
            </w:pPr>
            <w:r>
              <w:t>0,60</w:t>
            </w:r>
          </w:p>
        </w:tc>
        <w:tc>
          <w:tcPr>
            <w:tcW w:w="844" w:type="dxa"/>
            <w:tcBorders>
              <w:top w:val="nil"/>
              <w:bottom w:val="single" w:sz="4" w:space="0" w:color="auto"/>
            </w:tcBorders>
          </w:tcPr>
          <w:p w:rsidR="00212513" w:rsidRDefault="00212513">
            <w:pPr>
              <w:pStyle w:val="ConsPlusNormal"/>
              <w:jc w:val="center"/>
            </w:pPr>
            <w:r>
              <w:t>0,70</w:t>
            </w:r>
          </w:p>
        </w:tc>
        <w:tc>
          <w:tcPr>
            <w:tcW w:w="844" w:type="dxa"/>
            <w:tcBorders>
              <w:top w:val="nil"/>
              <w:bottom w:val="single" w:sz="4" w:space="0" w:color="auto"/>
            </w:tcBorders>
          </w:tcPr>
          <w:p w:rsidR="00212513" w:rsidRDefault="00212513">
            <w:pPr>
              <w:pStyle w:val="ConsPlusNormal"/>
              <w:jc w:val="center"/>
            </w:pPr>
            <w:r>
              <w:t>0,80</w:t>
            </w:r>
          </w:p>
        </w:tc>
        <w:tc>
          <w:tcPr>
            <w:tcW w:w="844" w:type="dxa"/>
            <w:tcBorders>
              <w:top w:val="nil"/>
              <w:bottom w:val="single" w:sz="4" w:space="0" w:color="auto"/>
            </w:tcBorders>
          </w:tcPr>
          <w:p w:rsidR="00212513" w:rsidRDefault="00212513">
            <w:pPr>
              <w:pStyle w:val="ConsPlusNormal"/>
              <w:jc w:val="center"/>
            </w:pPr>
            <w:r>
              <w:t>0,90</w:t>
            </w:r>
          </w:p>
        </w:tc>
        <w:tc>
          <w:tcPr>
            <w:tcW w:w="844" w:type="dxa"/>
            <w:tcBorders>
              <w:top w:val="nil"/>
              <w:bottom w:val="single" w:sz="4" w:space="0" w:color="auto"/>
            </w:tcBorders>
          </w:tcPr>
          <w:p w:rsidR="00212513" w:rsidRDefault="00212513">
            <w:pPr>
              <w:pStyle w:val="ConsPlusNormal"/>
              <w:jc w:val="center"/>
            </w:pPr>
            <w:r>
              <w:t>1,0</w:t>
            </w:r>
          </w:p>
        </w:tc>
      </w:tr>
    </w:tbl>
    <w:p w:rsidR="00212513" w:rsidRDefault="00212513">
      <w:pPr>
        <w:pStyle w:val="ConsPlusNormal"/>
        <w:ind w:firstLine="540"/>
        <w:jc w:val="both"/>
      </w:pPr>
    </w:p>
    <w:p w:rsidR="00212513" w:rsidRDefault="00212513">
      <w:pPr>
        <w:pStyle w:val="ConsPlusNormal"/>
        <w:ind w:firstLine="540"/>
        <w:jc w:val="both"/>
      </w:pPr>
      <w:r>
        <w:t xml:space="preserve">При толщине частей блока менее 120 мм, а также при наличии в теле блока отверстий для пропуска напрягаемой арматуры значения </w:t>
      </w:r>
      <w:r>
        <w:rPr>
          <w:noProof/>
          <w:position w:val="-8"/>
        </w:rPr>
        <w:drawing>
          <wp:inline distT="0" distB="0" distL="0" distR="0">
            <wp:extent cx="313690" cy="251460"/>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313690" cy="251460"/>
                    </a:xfrm>
                    <a:prstGeom prst="rect">
                      <a:avLst/>
                    </a:prstGeom>
                    <a:noFill/>
                    <a:ln>
                      <a:noFill/>
                    </a:ln>
                  </pic:spPr>
                </pic:pic>
              </a:graphicData>
            </a:graphic>
          </wp:inline>
        </w:drawing>
      </w:r>
      <w:r>
        <w:t xml:space="preserve"> для стыка с толщиной шва от 20 до 40 мм следует принимать, как для шва толщиной 70 мм, для шва толщиной 70 мм - как для шва толщиной 200 мм.</w:t>
      </w:r>
    </w:p>
    <w:p w:rsidR="00212513" w:rsidRDefault="00212513">
      <w:pPr>
        <w:pStyle w:val="ConsPlusNormal"/>
        <w:spacing w:before="220"/>
        <w:ind w:firstLine="540"/>
        <w:jc w:val="both"/>
      </w:pPr>
      <w:bookmarkStart w:id="114" w:name="P2658"/>
      <w:bookmarkEnd w:id="114"/>
      <w:r>
        <w:t>7.29 Составные конструкции по длине пролетных строений с клееными стыками следует проектировать такими, чтобы они были способны нести монтажные нагрузки при неотвержденном клее.</w:t>
      </w:r>
    </w:p>
    <w:p w:rsidR="00212513" w:rsidRDefault="00212513">
      <w:pPr>
        <w:pStyle w:val="ConsPlusNormal"/>
        <w:spacing w:before="220"/>
        <w:ind w:firstLine="540"/>
        <w:jc w:val="both"/>
      </w:pPr>
      <w:r>
        <w:t xml:space="preserve">В расчетах составных конструкций по длине с клееными стыками коэффициент условий работы </w:t>
      </w:r>
      <w:r>
        <w:rPr>
          <w:noProof/>
          <w:position w:val="-8"/>
        </w:rPr>
        <w:drawing>
          <wp:inline distT="0" distB="0" distL="0" distR="0">
            <wp:extent cx="313690" cy="251460"/>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313690" cy="251460"/>
                    </a:xfrm>
                    <a:prstGeom prst="rect">
                      <a:avLst/>
                    </a:prstGeom>
                    <a:noFill/>
                    <a:ln>
                      <a:noFill/>
                    </a:ln>
                  </pic:spPr>
                </pic:pic>
              </a:graphicData>
            </a:graphic>
          </wp:inline>
        </w:drawing>
      </w:r>
      <w:r>
        <w:t>, вводимый к расчетным сопротивлениям бетона блоков и учитывающий снижение прочности конструкции до отверждения клея, следует принимать в зависимости от вида поверхности бетона торцов блоков: при рифленой - 0,90, при гладкой - 0,85.</w:t>
      </w:r>
    </w:p>
    <w:p w:rsidR="00212513" w:rsidRDefault="00212513">
      <w:pPr>
        <w:pStyle w:val="ConsPlusNormal"/>
        <w:spacing w:before="220"/>
        <w:ind w:firstLine="540"/>
        <w:jc w:val="both"/>
      </w:pPr>
      <w:r>
        <w:t xml:space="preserve">Для клееных стыков, расстояния между которыми менее наибольшего размера сечения, а также для стыков вставных диафрагм указанные значения </w:t>
      </w:r>
      <w:r>
        <w:rPr>
          <w:noProof/>
          <w:position w:val="-8"/>
        </w:rPr>
        <w:drawing>
          <wp:inline distT="0" distB="0" distL="0" distR="0">
            <wp:extent cx="313690" cy="251460"/>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313690" cy="251460"/>
                    </a:xfrm>
                    <a:prstGeom prst="rect">
                      <a:avLst/>
                    </a:prstGeom>
                    <a:noFill/>
                    <a:ln>
                      <a:noFill/>
                    </a:ln>
                  </pic:spPr>
                </pic:pic>
              </a:graphicData>
            </a:graphic>
          </wp:inline>
        </w:drawing>
      </w:r>
      <w:r>
        <w:t xml:space="preserve"> следует уменьшать на 0,05.</w:t>
      </w:r>
    </w:p>
    <w:p w:rsidR="00212513" w:rsidRDefault="00212513">
      <w:pPr>
        <w:pStyle w:val="ConsPlusNormal"/>
        <w:spacing w:before="220"/>
        <w:ind w:firstLine="540"/>
        <w:jc w:val="both"/>
      </w:pPr>
      <w:r>
        <w:t xml:space="preserve">Для клееных стыков с отвержденным клеем следует принимать </w:t>
      </w:r>
      <w:r>
        <w:rPr>
          <w:noProof/>
          <w:position w:val="-8"/>
        </w:rPr>
        <w:drawing>
          <wp:inline distT="0" distB="0" distL="0" distR="0">
            <wp:extent cx="544830" cy="251460"/>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544830" cy="251460"/>
                    </a:xfrm>
                    <a:prstGeom prst="rect">
                      <a:avLst/>
                    </a:prstGeom>
                    <a:noFill/>
                    <a:ln>
                      <a:noFill/>
                    </a:ln>
                  </pic:spPr>
                </pic:pic>
              </a:graphicData>
            </a:graphic>
          </wp:inline>
        </w:drawing>
      </w:r>
      <w:r>
        <w:t>.</w:t>
      </w:r>
    </w:p>
    <w:p w:rsidR="00212513" w:rsidRDefault="00212513">
      <w:pPr>
        <w:pStyle w:val="ConsPlusNormal"/>
        <w:spacing w:before="220"/>
        <w:ind w:firstLine="540"/>
        <w:jc w:val="both"/>
      </w:pPr>
      <w:bookmarkStart w:id="115" w:name="P2662"/>
      <w:bookmarkEnd w:id="115"/>
      <w:r>
        <w:t xml:space="preserve">7.30 При расчете неармированной кладки из бетонных блоков на растворе к расчетным сопротивлениям бетона, принимаемым для бетонных конструкций в соответствии с </w:t>
      </w:r>
      <w:hyperlink w:anchor="P2341">
        <w:r>
          <w:rPr>
            <w:color w:val="0000FF"/>
          </w:rPr>
          <w:t>7.24</w:t>
        </w:r>
      </w:hyperlink>
      <w:r>
        <w:t xml:space="preserve">, следует вводить коэффициенты условий работы </w:t>
      </w:r>
      <w:r>
        <w:rPr>
          <w:noProof/>
          <w:position w:val="-8"/>
        </w:rPr>
        <w:drawing>
          <wp:inline distT="0" distB="0" distL="0" distR="0">
            <wp:extent cx="313690" cy="251460"/>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313690" cy="251460"/>
                    </a:xfrm>
                    <a:prstGeom prst="rect">
                      <a:avLst/>
                    </a:prstGeom>
                    <a:noFill/>
                    <a:ln>
                      <a:noFill/>
                    </a:ln>
                  </pic:spPr>
                </pic:pic>
              </a:graphicData>
            </a:graphic>
          </wp:inline>
        </w:drawing>
      </w:r>
      <w:r>
        <w:t>, равные:</w:t>
      </w:r>
    </w:p>
    <w:p w:rsidR="00212513" w:rsidRDefault="00212513">
      <w:pPr>
        <w:pStyle w:val="ConsPlusNormal"/>
        <w:spacing w:before="220"/>
        <w:ind w:firstLine="540"/>
        <w:jc w:val="both"/>
      </w:pPr>
      <w:r>
        <w:t>0,85 - при классах бетона блоков В20 и В22,5;</w:t>
      </w:r>
    </w:p>
    <w:p w:rsidR="00212513" w:rsidRDefault="00212513">
      <w:pPr>
        <w:pStyle w:val="ConsPlusNormal"/>
        <w:spacing w:before="220"/>
        <w:ind w:firstLine="540"/>
        <w:jc w:val="both"/>
      </w:pPr>
      <w:r>
        <w:t>0,75 - то же, В25 - В35;</w:t>
      </w:r>
    </w:p>
    <w:p w:rsidR="00212513" w:rsidRDefault="00212513">
      <w:pPr>
        <w:pStyle w:val="ConsPlusNormal"/>
        <w:spacing w:before="220"/>
        <w:ind w:firstLine="540"/>
        <w:jc w:val="both"/>
      </w:pPr>
      <w:r>
        <w:t>0,70 - то же, В40 и выше.</w:t>
      </w:r>
    </w:p>
    <w:p w:rsidR="00212513" w:rsidRDefault="00212513">
      <w:pPr>
        <w:pStyle w:val="ConsPlusNormal"/>
        <w:spacing w:before="220"/>
        <w:ind w:firstLine="540"/>
        <w:jc w:val="both"/>
      </w:pPr>
      <w:r>
        <w:t>Толщина горизонтальных швов кладки не должна быть более 1,5 см, а раствор в швах должен иметь прочность в 28-дневном возрасте не ниже прочности бетонных блоков.</w:t>
      </w:r>
    </w:p>
    <w:p w:rsidR="00212513" w:rsidRDefault="00212513">
      <w:pPr>
        <w:pStyle w:val="ConsPlusNormal"/>
        <w:spacing w:before="220"/>
        <w:ind w:firstLine="540"/>
        <w:jc w:val="both"/>
      </w:pPr>
      <w:r>
        <w:t>7.31 При изготовлении предварительно напряженных конструкций обжатие бетона допускается при его прочности не ниже установленной в проекте.</w:t>
      </w:r>
    </w:p>
    <w:p w:rsidR="00212513" w:rsidRDefault="00212513">
      <w:pPr>
        <w:pStyle w:val="ConsPlusNormal"/>
        <w:jc w:val="both"/>
      </w:pPr>
      <w:r>
        <w:t xml:space="preserve">(в ред. </w:t>
      </w:r>
      <w:hyperlink r:id="rId658">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lastRenderedPageBreak/>
        <w:t xml:space="preserve">Расчетные сопротивления бетона для назначения передаточной прочности следует определять по </w:t>
      </w:r>
      <w:hyperlink w:anchor="P2350">
        <w:r>
          <w:rPr>
            <w:color w:val="0000FF"/>
          </w:rPr>
          <w:t>таблице 7.6</w:t>
        </w:r>
      </w:hyperlink>
      <w:r>
        <w:t xml:space="preserve"> путем интерполяции значений, относящихся к близким классам бетона.</w:t>
      </w:r>
    </w:p>
    <w:p w:rsidR="00212513" w:rsidRDefault="00212513">
      <w:pPr>
        <w:pStyle w:val="ConsPlusNormal"/>
        <w:spacing w:before="220"/>
        <w:ind w:firstLine="540"/>
        <w:jc w:val="both"/>
      </w:pPr>
      <w:r>
        <w:t>Прочность бетона к моменту передачи на него полного усилия с напрягаемой арматуры и при монтаже следует назначать, как правило, не менее прочности, соответствующей классу бетона по прочности В25.</w:t>
      </w:r>
    </w:p>
    <w:p w:rsidR="00212513" w:rsidRDefault="00212513">
      <w:pPr>
        <w:pStyle w:val="ConsPlusNormal"/>
        <w:ind w:firstLine="540"/>
        <w:jc w:val="both"/>
      </w:pPr>
    </w:p>
    <w:p w:rsidR="00212513" w:rsidRDefault="00212513">
      <w:pPr>
        <w:pStyle w:val="ConsPlusNormal"/>
        <w:ind w:firstLine="540"/>
        <w:jc w:val="both"/>
      </w:pPr>
      <w:r>
        <w:rPr>
          <w:i/>
        </w:rPr>
        <w:t>Характеристики деформативных свойств</w:t>
      </w:r>
    </w:p>
    <w:p w:rsidR="00212513" w:rsidRDefault="00212513">
      <w:pPr>
        <w:pStyle w:val="ConsPlusNormal"/>
        <w:ind w:firstLine="540"/>
        <w:jc w:val="both"/>
      </w:pPr>
    </w:p>
    <w:p w:rsidR="00212513" w:rsidRDefault="00212513">
      <w:pPr>
        <w:pStyle w:val="ConsPlusNormal"/>
        <w:ind w:firstLine="540"/>
        <w:jc w:val="both"/>
      </w:pPr>
      <w:bookmarkStart w:id="116" w:name="P2674"/>
      <w:bookmarkEnd w:id="116"/>
      <w:r>
        <w:t>7.32 Основными деформационными характеристиками бетона являются нормативные значения:</w:t>
      </w:r>
    </w:p>
    <w:p w:rsidR="00212513" w:rsidRDefault="00212513">
      <w:pPr>
        <w:pStyle w:val="ConsPlusNormal"/>
        <w:spacing w:before="220"/>
        <w:ind w:firstLine="540"/>
        <w:jc w:val="both"/>
      </w:pPr>
      <w:r>
        <w:t xml:space="preserve">предельных деформаций бетона при: осевом сжатии </w:t>
      </w:r>
      <w:r>
        <w:rPr>
          <w:noProof/>
          <w:position w:val="-8"/>
        </w:rPr>
        <w:drawing>
          <wp:inline distT="0" distB="0" distL="0" distR="0">
            <wp:extent cx="241935" cy="251460"/>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сжатии при изгибе </w:t>
      </w:r>
      <w:r>
        <w:rPr>
          <w:noProof/>
          <w:position w:val="-8"/>
        </w:rPr>
        <w:drawing>
          <wp:inline distT="0" distB="0" distL="0" distR="0">
            <wp:extent cx="241935" cy="251460"/>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осевом растяжении </w:t>
      </w:r>
      <w:r>
        <w:rPr>
          <w:noProof/>
          <w:position w:val="-8"/>
        </w:rPr>
        <w:drawing>
          <wp:inline distT="0" distB="0" distL="0" distR="0">
            <wp:extent cx="262890" cy="251460"/>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и растяжении при изгибе </w:t>
      </w:r>
      <w:r>
        <w:rPr>
          <w:noProof/>
          <w:position w:val="-8"/>
        </w:rPr>
        <w:drawing>
          <wp:inline distT="0" distB="0" distL="0" distR="0">
            <wp:extent cx="262890" cy="251460"/>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модуля упругости бетона при сжатии и растяжении </w:t>
      </w:r>
      <w:r>
        <w:rPr>
          <w:noProof/>
          <w:position w:val="-8"/>
        </w:rPr>
        <w:drawing>
          <wp:inline distT="0" distB="0" distL="0" distR="0">
            <wp:extent cx="209550" cy="251460"/>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модуля сдвига бетона </w:t>
      </w:r>
      <w:r>
        <w:rPr>
          <w:noProof/>
          <w:position w:val="-8"/>
        </w:rPr>
        <w:drawing>
          <wp:inline distT="0" distB="0" distL="0" distR="0">
            <wp:extent cx="209550" cy="251460"/>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коэффициента поперечных деформаций </w:t>
      </w:r>
      <w:r>
        <w:rPr>
          <w:noProof/>
        </w:rPr>
        <w:drawing>
          <wp:inline distT="0" distB="0" distL="0" distR="0">
            <wp:extent cx="146685" cy="146050"/>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предельных удельных деформаций ползучести бетона </w:t>
      </w:r>
      <w:r>
        <w:rPr>
          <w:noProof/>
          <w:position w:val="-8"/>
        </w:rPr>
        <w:drawing>
          <wp:inline distT="0" distB="0" distL="0" distR="0">
            <wp:extent cx="188595" cy="251460"/>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предельных относительных деформаций усадки </w:t>
      </w:r>
      <w:r>
        <w:rPr>
          <w:noProof/>
          <w:position w:val="-8"/>
        </w:rPr>
        <w:drawing>
          <wp:inline distT="0" distB="0" distL="0" distR="0">
            <wp:extent cx="220980" cy="251460"/>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w:t>
      </w:r>
    </w:p>
    <w:p w:rsidR="00212513" w:rsidRDefault="00212513">
      <w:pPr>
        <w:pStyle w:val="ConsPlusNormal"/>
        <w:spacing w:before="220"/>
        <w:ind w:firstLine="540"/>
        <w:jc w:val="both"/>
      </w:pPr>
      <w:r>
        <w:t>Значения предельных относительных деформаций бетона следует принимать:</w:t>
      </w:r>
    </w:p>
    <w:p w:rsidR="00212513" w:rsidRDefault="00212513">
      <w:pPr>
        <w:pStyle w:val="ConsPlusNormal"/>
        <w:spacing w:before="220"/>
        <w:ind w:firstLine="540"/>
        <w:jc w:val="both"/>
      </w:pPr>
      <w:r>
        <w:t xml:space="preserve">в случае осевого сжатия </w:t>
      </w:r>
      <w:r>
        <w:rPr>
          <w:noProof/>
          <w:position w:val="-8"/>
        </w:rPr>
        <w:drawing>
          <wp:inline distT="0" distB="0" distL="0" distR="0">
            <wp:extent cx="818515" cy="251460"/>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818515" cy="251460"/>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в случае сжатия с изгибом </w:t>
      </w:r>
      <w:r>
        <w:rPr>
          <w:noProof/>
          <w:position w:val="-8"/>
        </w:rPr>
        <w:drawing>
          <wp:inline distT="0" distB="0" distL="0" distR="0">
            <wp:extent cx="902970" cy="251460"/>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902970" cy="251460"/>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в случае осевого растяжения </w:t>
      </w:r>
      <w:r>
        <w:rPr>
          <w:noProof/>
          <w:position w:val="-8"/>
        </w:rPr>
        <w:drawing>
          <wp:inline distT="0" distB="0" distL="0" distR="0">
            <wp:extent cx="899160" cy="25146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899160" cy="251460"/>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в случае растяжения с изгибом </w:t>
      </w:r>
      <w:r>
        <w:rPr>
          <w:noProof/>
          <w:position w:val="-8"/>
        </w:rPr>
        <w:drawing>
          <wp:inline distT="0" distB="0" distL="0" distR="0">
            <wp:extent cx="1005840" cy="25146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005840" cy="251460"/>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Значение модулей упругости бетона при сжатии и растяжении </w:t>
      </w:r>
      <w:r>
        <w:rPr>
          <w:noProof/>
          <w:position w:val="-8"/>
        </w:rPr>
        <w:drawing>
          <wp:inline distT="0" distB="0" distL="0" distR="0">
            <wp:extent cx="209550" cy="25146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при твердении бетона конструкций в естественных условиях в случае отсутствия опытных данных следует принимать по таблице 7.11.</w:t>
      </w:r>
    </w:p>
    <w:p w:rsidR="00212513" w:rsidRDefault="00212513">
      <w:pPr>
        <w:pStyle w:val="ConsPlusNormal"/>
        <w:ind w:firstLine="540"/>
        <w:jc w:val="both"/>
      </w:pPr>
    </w:p>
    <w:p w:rsidR="00212513" w:rsidRDefault="00212513">
      <w:pPr>
        <w:pStyle w:val="ConsPlusNormal"/>
        <w:jc w:val="right"/>
      </w:pPr>
      <w:bookmarkStart w:id="117" w:name="P2688"/>
      <w:bookmarkEnd w:id="117"/>
      <w:r>
        <w:t>Таблица 7.11</w:t>
      </w:r>
    </w:p>
    <w:p w:rsidR="00212513" w:rsidRDefault="00212513">
      <w:pPr>
        <w:pStyle w:val="ConsPlusNormal"/>
        <w:ind w:firstLine="540"/>
        <w:jc w:val="both"/>
      </w:pPr>
    </w:p>
    <w:p w:rsidR="00212513" w:rsidRDefault="00212513">
      <w:pPr>
        <w:pStyle w:val="ConsPlusNormal"/>
        <w:sectPr w:rsidR="00212513">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1"/>
        <w:gridCol w:w="737"/>
        <w:gridCol w:w="737"/>
        <w:gridCol w:w="737"/>
        <w:gridCol w:w="737"/>
        <w:gridCol w:w="737"/>
        <w:gridCol w:w="737"/>
        <w:gridCol w:w="737"/>
        <w:gridCol w:w="737"/>
        <w:gridCol w:w="737"/>
        <w:gridCol w:w="737"/>
        <w:gridCol w:w="737"/>
      </w:tblGrid>
      <w:tr w:rsidR="00212513">
        <w:tc>
          <w:tcPr>
            <w:tcW w:w="2041" w:type="dxa"/>
            <w:vAlign w:val="center"/>
          </w:tcPr>
          <w:p w:rsidR="00212513" w:rsidRDefault="00212513">
            <w:pPr>
              <w:pStyle w:val="ConsPlusNormal"/>
              <w:jc w:val="center"/>
            </w:pPr>
            <w:r>
              <w:lastRenderedPageBreak/>
              <w:t>Класс бетона по прочности на сжатие</w:t>
            </w:r>
          </w:p>
        </w:tc>
        <w:tc>
          <w:tcPr>
            <w:tcW w:w="737" w:type="dxa"/>
            <w:vAlign w:val="center"/>
          </w:tcPr>
          <w:p w:rsidR="00212513" w:rsidRDefault="00212513">
            <w:pPr>
              <w:pStyle w:val="ConsPlusNormal"/>
              <w:jc w:val="center"/>
            </w:pPr>
            <w:r>
              <w:t>В20</w:t>
            </w:r>
          </w:p>
        </w:tc>
        <w:tc>
          <w:tcPr>
            <w:tcW w:w="737" w:type="dxa"/>
            <w:vAlign w:val="center"/>
          </w:tcPr>
          <w:p w:rsidR="00212513" w:rsidRDefault="00212513">
            <w:pPr>
              <w:pStyle w:val="ConsPlusNormal"/>
              <w:jc w:val="center"/>
            </w:pPr>
            <w:r>
              <w:t>В22,5</w:t>
            </w:r>
          </w:p>
        </w:tc>
        <w:tc>
          <w:tcPr>
            <w:tcW w:w="737" w:type="dxa"/>
            <w:vAlign w:val="center"/>
          </w:tcPr>
          <w:p w:rsidR="00212513" w:rsidRDefault="00212513">
            <w:pPr>
              <w:pStyle w:val="ConsPlusNormal"/>
              <w:jc w:val="center"/>
            </w:pPr>
            <w:r>
              <w:t>В25</w:t>
            </w:r>
          </w:p>
        </w:tc>
        <w:tc>
          <w:tcPr>
            <w:tcW w:w="737" w:type="dxa"/>
            <w:vAlign w:val="center"/>
          </w:tcPr>
          <w:p w:rsidR="00212513" w:rsidRDefault="00212513">
            <w:pPr>
              <w:pStyle w:val="ConsPlusNormal"/>
              <w:jc w:val="center"/>
            </w:pPr>
            <w:r>
              <w:t>В27,5</w:t>
            </w:r>
          </w:p>
        </w:tc>
        <w:tc>
          <w:tcPr>
            <w:tcW w:w="737" w:type="dxa"/>
            <w:vAlign w:val="center"/>
          </w:tcPr>
          <w:p w:rsidR="00212513" w:rsidRDefault="00212513">
            <w:pPr>
              <w:pStyle w:val="ConsPlusNormal"/>
              <w:jc w:val="center"/>
            </w:pPr>
            <w:r>
              <w:t>В30</w:t>
            </w:r>
          </w:p>
        </w:tc>
        <w:tc>
          <w:tcPr>
            <w:tcW w:w="737" w:type="dxa"/>
            <w:vAlign w:val="center"/>
          </w:tcPr>
          <w:p w:rsidR="00212513" w:rsidRDefault="00212513">
            <w:pPr>
              <w:pStyle w:val="ConsPlusNormal"/>
              <w:jc w:val="center"/>
            </w:pPr>
            <w:r>
              <w:t>В35</w:t>
            </w:r>
          </w:p>
        </w:tc>
        <w:tc>
          <w:tcPr>
            <w:tcW w:w="737" w:type="dxa"/>
            <w:vAlign w:val="center"/>
          </w:tcPr>
          <w:p w:rsidR="00212513" w:rsidRDefault="00212513">
            <w:pPr>
              <w:pStyle w:val="ConsPlusNormal"/>
              <w:jc w:val="center"/>
            </w:pPr>
            <w:r>
              <w:t>В40</w:t>
            </w:r>
          </w:p>
        </w:tc>
        <w:tc>
          <w:tcPr>
            <w:tcW w:w="737" w:type="dxa"/>
            <w:vAlign w:val="center"/>
          </w:tcPr>
          <w:p w:rsidR="00212513" w:rsidRDefault="00212513">
            <w:pPr>
              <w:pStyle w:val="ConsPlusNormal"/>
              <w:jc w:val="center"/>
            </w:pPr>
            <w:r>
              <w:t>В45</w:t>
            </w:r>
          </w:p>
        </w:tc>
        <w:tc>
          <w:tcPr>
            <w:tcW w:w="737" w:type="dxa"/>
            <w:vAlign w:val="center"/>
          </w:tcPr>
          <w:p w:rsidR="00212513" w:rsidRDefault="00212513">
            <w:pPr>
              <w:pStyle w:val="ConsPlusNormal"/>
              <w:jc w:val="center"/>
            </w:pPr>
            <w:r>
              <w:t>В50</w:t>
            </w:r>
          </w:p>
        </w:tc>
        <w:tc>
          <w:tcPr>
            <w:tcW w:w="737" w:type="dxa"/>
            <w:vAlign w:val="center"/>
          </w:tcPr>
          <w:p w:rsidR="00212513" w:rsidRDefault="00212513">
            <w:pPr>
              <w:pStyle w:val="ConsPlusNormal"/>
              <w:jc w:val="center"/>
            </w:pPr>
            <w:r>
              <w:t>В55</w:t>
            </w:r>
          </w:p>
        </w:tc>
        <w:tc>
          <w:tcPr>
            <w:tcW w:w="737" w:type="dxa"/>
            <w:vAlign w:val="center"/>
          </w:tcPr>
          <w:p w:rsidR="00212513" w:rsidRDefault="00212513">
            <w:pPr>
              <w:pStyle w:val="ConsPlusNormal"/>
              <w:jc w:val="center"/>
            </w:pPr>
            <w:r>
              <w:t>В60</w:t>
            </w:r>
          </w:p>
        </w:tc>
      </w:tr>
      <w:tr w:rsidR="00212513">
        <w:tblPrEx>
          <w:tblBorders>
            <w:insideH w:val="nil"/>
          </w:tblBorders>
        </w:tblPrEx>
        <w:tc>
          <w:tcPr>
            <w:tcW w:w="2041" w:type="dxa"/>
            <w:tcBorders>
              <w:bottom w:val="nil"/>
            </w:tcBorders>
          </w:tcPr>
          <w:p w:rsidR="00212513" w:rsidRDefault="00212513">
            <w:pPr>
              <w:pStyle w:val="ConsPlusNormal"/>
              <w:jc w:val="both"/>
            </w:pPr>
            <w:r>
              <w:rPr>
                <w:i/>
              </w:rPr>
              <w:t>E</w:t>
            </w:r>
            <w:r>
              <w:rPr>
                <w:i/>
                <w:vertAlign w:val="subscript"/>
              </w:rPr>
              <w:t>b</w:t>
            </w:r>
            <w:r>
              <w:t>, ГПа</w:t>
            </w:r>
          </w:p>
        </w:tc>
        <w:tc>
          <w:tcPr>
            <w:tcW w:w="737" w:type="dxa"/>
            <w:tcBorders>
              <w:bottom w:val="nil"/>
            </w:tcBorders>
          </w:tcPr>
          <w:p w:rsidR="00212513" w:rsidRDefault="00212513">
            <w:pPr>
              <w:pStyle w:val="ConsPlusNormal"/>
              <w:jc w:val="center"/>
            </w:pPr>
            <w:r>
              <w:t>27,0</w:t>
            </w:r>
          </w:p>
        </w:tc>
        <w:tc>
          <w:tcPr>
            <w:tcW w:w="737" w:type="dxa"/>
            <w:tcBorders>
              <w:bottom w:val="nil"/>
            </w:tcBorders>
          </w:tcPr>
          <w:p w:rsidR="00212513" w:rsidRDefault="00212513">
            <w:pPr>
              <w:pStyle w:val="ConsPlusNormal"/>
              <w:jc w:val="center"/>
            </w:pPr>
            <w:r>
              <w:t>28,5</w:t>
            </w:r>
          </w:p>
        </w:tc>
        <w:tc>
          <w:tcPr>
            <w:tcW w:w="737" w:type="dxa"/>
            <w:tcBorders>
              <w:bottom w:val="nil"/>
            </w:tcBorders>
          </w:tcPr>
          <w:p w:rsidR="00212513" w:rsidRDefault="00212513">
            <w:pPr>
              <w:pStyle w:val="ConsPlusNormal"/>
              <w:jc w:val="center"/>
            </w:pPr>
            <w:r>
              <w:t>30,0</w:t>
            </w:r>
          </w:p>
        </w:tc>
        <w:tc>
          <w:tcPr>
            <w:tcW w:w="737" w:type="dxa"/>
            <w:tcBorders>
              <w:bottom w:val="nil"/>
            </w:tcBorders>
          </w:tcPr>
          <w:p w:rsidR="00212513" w:rsidRDefault="00212513">
            <w:pPr>
              <w:pStyle w:val="ConsPlusNormal"/>
              <w:jc w:val="center"/>
            </w:pPr>
            <w:r>
              <w:t>31,5</w:t>
            </w:r>
          </w:p>
        </w:tc>
        <w:tc>
          <w:tcPr>
            <w:tcW w:w="737" w:type="dxa"/>
            <w:tcBorders>
              <w:bottom w:val="nil"/>
            </w:tcBorders>
          </w:tcPr>
          <w:p w:rsidR="00212513" w:rsidRDefault="00212513">
            <w:pPr>
              <w:pStyle w:val="ConsPlusNormal"/>
              <w:jc w:val="center"/>
            </w:pPr>
            <w:r>
              <w:t>32,5</w:t>
            </w:r>
          </w:p>
        </w:tc>
        <w:tc>
          <w:tcPr>
            <w:tcW w:w="737" w:type="dxa"/>
            <w:tcBorders>
              <w:bottom w:val="nil"/>
            </w:tcBorders>
          </w:tcPr>
          <w:p w:rsidR="00212513" w:rsidRDefault="00212513">
            <w:pPr>
              <w:pStyle w:val="ConsPlusNormal"/>
              <w:jc w:val="center"/>
            </w:pPr>
            <w:r>
              <w:t>34,5</w:t>
            </w:r>
          </w:p>
        </w:tc>
        <w:tc>
          <w:tcPr>
            <w:tcW w:w="737" w:type="dxa"/>
            <w:tcBorders>
              <w:bottom w:val="nil"/>
            </w:tcBorders>
          </w:tcPr>
          <w:p w:rsidR="00212513" w:rsidRDefault="00212513">
            <w:pPr>
              <w:pStyle w:val="ConsPlusNormal"/>
              <w:jc w:val="center"/>
            </w:pPr>
            <w:r>
              <w:t>36,0</w:t>
            </w:r>
          </w:p>
        </w:tc>
        <w:tc>
          <w:tcPr>
            <w:tcW w:w="737" w:type="dxa"/>
            <w:tcBorders>
              <w:bottom w:val="nil"/>
            </w:tcBorders>
          </w:tcPr>
          <w:p w:rsidR="00212513" w:rsidRDefault="00212513">
            <w:pPr>
              <w:pStyle w:val="ConsPlusNormal"/>
              <w:jc w:val="center"/>
            </w:pPr>
            <w:r>
              <w:t>37,5</w:t>
            </w:r>
          </w:p>
        </w:tc>
        <w:tc>
          <w:tcPr>
            <w:tcW w:w="737" w:type="dxa"/>
            <w:tcBorders>
              <w:bottom w:val="nil"/>
            </w:tcBorders>
          </w:tcPr>
          <w:p w:rsidR="00212513" w:rsidRDefault="00212513">
            <w:pPr>
              <w:pStyle w:val="ConsPlusNormal"/>
              <w:jc w:val="center"/>
            </w:pPr>
            <w:r>
              <w:t>39,0</w:t>
            </w:r>
          </w:p>
        </w:tc>
        <w:tc>
          <w:tcPr>
            <w:tcW w:w="737" w:type="dxa"/>
            <w:tcBorders>
              <w:bottom w:val="nil"/>
            </w:tcBorders>
          </w:tcPr>
          <w:p w:rsidR="00212513" w:rsidRDefault="00212513">
            <w:pPr>
              <w:pStyle w:val="ConsPlusNormal"/>
              <w:jc w:val="center"/>
            </w:pPr>
            <w:r>
              <w:t>39,5</w:t>
            </w:r>
          </w:p>
        </w:tc>
        <w:tc>
          <w:tcPr>
            <w:tcW w:w="737" w:type="dxa"/>
            <w:tcBorders>
              <w:bottom w:val="nil"/>
            </w:tcBorders>
          </w:tcPr>
          <w:p w:rsidR="00212513" w:rsidRDefault="00212513">
            <w:pPr>
              <w:pStyle w:val="ConsPlusNormal"/>
              <w:jc w:val="center"/>
            </w:pPr>
            <w:r>
              <w:t>40,0</w:t>
            </w:r>
          </w:p>
        </w:tc>
      </w:tr>
      <w:tr w:rsidR="00212513">
        <w:tblPrEx>
          <w:tblBorders>
            <w:insideH w:val="nil"/>
          </w:tblBorders>
        </w:tblPrEx>
        <w:tc>
          <w:tcPr>
            <w:tcW w:w="10148" w:type="dxa"/>
            <w:gridSpan w:val="12"/>
            <w:tcBorders>
              <w:top w:val="nil"/>
            </w:tcBorders>
          </w:tcPr>
          <w:p w:rsidR="00212513" w:rsidRDefault="00212513">
            <w:pPr>
              <w:pStyle w:val="ConsPlusNormal"/>
              <w:jc w:val="both"/>
            </w:pPr>
            <w:r>
              <w:t xml:space="preserve">(в ред. </w:t>
            </w:r>
            <w:hyperlink r:id="rId672">
              <w:r>
                <w:rPr>
                  <w:color w:val="0000FF"/>
                </w:rPr>
                <w:t>Изменения N 1</w:t>
              </w:r>
            </w:hyperlink>
            <w:r>
              <w:t>, утв. Приказом Минстроя России от 03.12.2016 N 879/пр)</w:t>
            </w:r>
          </w:p>
        </w:tc>
      </w:tr>
    </w:tbl>
    <w:p w:rsidR="00212513" w:rsidRDefault="00212513">
      <w:pPr>
        <w:pStyle w:val="ConsPlusNormal"/>
        <w:sectPr w:rsidR="00212513">
          <w:pgSz w:w="16838" w:h="11905" w:orient="landscape"/>
          <w:pgMar w:top="1701" w:right="1134" w:bottom="850" w:left="1134" w:header="0" w:footer="0" w:gutter="0"/>
          <w:cols w:space="720"/>
          <w:titlePg/>
        </w:sectPr>
      </w:pPr>
    </w:p>
    <w:p w:rsidR="00212513" w:rsidRDefault="00212513">
      <w:pPr>
        <w:pStyle w:val="ConsPlusNormal"/>
        <w:ind w:firstLine="540"/>
        <w:jc w:val="both"/>
      </w:pPr>
    </w:p>
    <w:p w:rsidR="00212513" w:rsidRDefault="00212513">
      <w:pPr>
        <w:pStyle w:val="ConsPlusNormal"/>
        <w:ind w:firstLine="540"/>
        <w:jc w:val="both"/>
      </w:pPr>
      <w:r>
        <w:t xml:space="preserve">Значения модулей упругости </w:t>
      </w:r>
      <w:r>
        <w:rPr>
          <w:noProof/>
          <w:position w:val="-8"/>
        </w:rPr>
        <w:drawing>
          <wp:inline distT="0" distB="0" distL="0" distR="0">
            <wp:extent cx="209550" cy="251460"/>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приведенные в </w:t>
      </w:r>
      <w:hyperlink w:anchor="P2688">
        <w:r>
          <w:rPr>
            <w:color w:val="0000FF"/>
          </w:rPr>
          <w:t>таблице 7.11</w:t>
        </w:r>
      </w:hyperlink>
      <w:r>
        <w:t>, следует уменьшать:</w:t>
      </w:r>
    </w:p>
    <w:p w:rsidR="00212513" w:rsidRDefault="00212513">
      <w:pPr>
        <w:pStyle w:val="ConsPlusNormal"/>
        <w:spacing w:before="220"/>
        <w:ind w:firstLine="540"/>
        <w:jc w:val="both"/>
      </w:pPr>
      <w:r>
        <w:t>на 10% - для бетона, подвергнутого тепловлажностной обработке, а также для бетона, работающего в условиях попеременного замораживания и оттаивания;</w:t>
      </w:r>
    </w:p>
    <w:p w:rsidR="00212513" w:rsidRDefault="00212513">
      <w:pPr>
        <w:pStyle w:val="ConsPlusNormal"/>
        <w:spacing w:before="220"/>
        <w:ind w:firstLine="540"/>
        <w:jc w:val="both"/>
      </w:pPr>
      <w:r>
        <w:t xml:space="preserve">на 15% - для бетона конструкций, не защищенных от солнечной радиации, в климатическом подрайоне IVA в соответствии с требованиями </w:t>
      </w:r>
      <w:hyperlink r:id="rId673">
        <w:r>
          <w:rPr>
            <w:color w:val="0000FF"/>
          </w:rPr>
          <w:t>СП 131.13330</w:t>
        </w:r>
      </w:hyperlink>
      <w:r>
        <w:t>.</w:t>
      </w:r>
    </w:p>
    <w:p w:rsidR="00212513" w:rsidRDefault="00212513">
      <w:pPr>
        <w:pStyle w:val="ConsPlusNormal"/>
        <w:jc w:val="both"/>
      </w:pPr>
      <w:r>
        <w:t xml:space="preserve">(в ред. </w:t>
      </w:r>
      <w:hyperlink r:id="rId674">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 xml:space="preserve">Для кладки из бетонных блоков значения модулей деформации </w:t>
      </w:r>
      <w:r>
        <w:rPr>
          <w:i/>
        </w:rPr>
        <w:t>E</w:t>
      </w:r>
      <w:r>
        <w:t xml:space="preserve"> следует принимать для бетона классов:</w:t>
      </w:r>
    </w:p>
    <w:p w:rsidR="00212513" w:rsidRDefault="00212513">
      <w:pPr>
        <w:pStyle w:val="ConsPlusNormal"/>
        <w:spacing w:before="220"/>
        <w:ind w:firstLine="540"/>
        <w:jc w:val="both"/>
      </w:pPr>
      <w:r>
        <w:t xml:space="preserve">В20 - В35 - </w:t>
      </w:r>
      <w:r>
        <w:rPr>
          <w:noProof/>
          <w:position w:val="-8"/>
        </w:rPr>
        <w:drawing>
          <wp:inline distT="0" distB="0" distL="0" distR="0">
            <wp:extent cx="428625" cy="25146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428625" cy="251460"/>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В40 и выше - </w:t>
      </w:r>
      <w:r>
        <w:rPr>
          <w:noProof/>
          <w:position w:val="-8"/>
        </w:rPr>
        <w:drawing>
          <wp:inline distT="0" distB="0" distL="0" distR="0">
            <wp:extent cx="428625" cy="251460"/>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428625" cy="251460"/>
                    </a:xfrm>
                    <a:prstGeom prst="rect">
                      <a:avLst/>
                    </a:prstGeom>
                    <a:noFill/>
                    <a:ln>
                      <a:noFill/>
                    </a:ln>
                  </pic:spPr>
                </pic:pic>
              </a:graphicData>
            </a:graphic>
          </wp:inline>
        </w:drawing>
      </w:r>
      <w:r>
        <w:t>.</w:t>
      </w:r>
    </w:p>
    <w:p w:rsidR="00212513" w:rsidRDefault="00212513">
      <w:pPr>
        <w:pStyle w:val="ConsPlusNormal"/>
        <w:spacing w:before="220"/>
        <w:ind w:firstLine="540"/>
        <w:jc w:val="both"/>
      </w:pPr>
      <w:r>
        <w:t>Приведенный модуль деформации бетона сборно-монолитной опоры в целом определяется как средневзвешенный по значениям модуля деформации бетона кладки из блоков и модуля упругости бетона ядра сечения с учетом пропорциональности их площадей сечения по отношению ко всей площади сечения опоры.</w:t>
      </w:r>
    </w:p>
    <w:p w:rsidR="00212513" w:rsidRDefault="00212513">
      <w:pPr>
        <w:pStyle w:val="ConsPlusNormal"/>
        <w:spacing w:before="220"/>
        <w:ind w:firstLine="540"/>
        <w:jc w:val="both"/>
      </w:pPr>
      <w:r>
        <w:t xml:space="preserve">Модуль сдвига бетона </w:t>
      </w:r>
      <w:r>
        <w:rPr>
          <w:noProof/>
          <w:position w:val="-8"/>
        </w:rPr>
        <w:drawing>
          <wp:inline distT="0" distB="0" distL="0" distR="0">
            <wp:extent cx="209550" cy="251460"/>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следует принимать равным </w:t>
      </w:r>
      <w:r>
        <w:rPr>
          <w:noProof/>
          <w:position w:val="-8"/>
        </w:rPr>
        <w:drawing>
          <wp:inline distT="0" distB="0" distL="0" distR="0">
            <wp:extent cx="428625" cy="251460"/>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428625" cy="251460"/>
                    </a:xfrm>
                    <a:prstGeom prst="rect">
                      <a:avLst/>
                    </a:prstGeom>
                    <a:noFill/>
                    <a:ln>
                      <a:noFill/>
                    </a:ln>
                  </pic:spPr>
                </pic:pic>
              </a:graphicData>
            </a:graphic>
          </wp:inline>
        </w:drawing>
      </w:r>
      <w:r>
        <w:t xml:space="preserve">, коэффициент поперечной деформации (коэффициент Пуассона) - </w:t>
      </w:r>
      <w:r>
        <w:rPr>
          <w:noProof/>
          <w:position w:val="-6"/>
        </w:rPr>
        <w:drawing>
          <wp:inline distT="0" distB="0" distL="0" distR="0">
            <wp:extent cx="535940" cy="220980"/>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535940" cy="220980"/>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Минимальное значение модуля упругости клеев, используемых в стыках составных конструкций, не должно быть меньше 1500 МПа, а значение коэффициента поперечной деформации </w:t>
      </w:r>
      <w:r>
        <w:rPr>
          <w:noProof/>
        </w:rPr>
        <w:drawing>
          <wp:inline distT="0" distB="0" distL="0" distR="0">
            <wp:extent cx="146685" cy="146050"/>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xml:space="preserve"> - не более 0,25.</w:t>
      </w:r>
    </w:p>
    <w:p w:rsidR="00212513" w:rsidRDefault="00212513">
      <w:pPr>
        <w:pStyle w:val="ConsPlusNormal"/>
        <w:spacing w:before="220"/>
        <w:ind w:firstLine="540"/>
        <w:jc w:val="both"/>
      </w:pPr>
      <w:r>
        <w:t xml:space="preserve">Нормативные значения предельных удельных деформаций ползучести </w:t>
      </w:r>
      <w:r>
        <w:rPr>
          <w:noProof/>
          <w:position w:val="-8"/>
        </w:rPr>
        <w:drawing>
          <wp:inline distT="0" distB="0" distL="0" distR="0">
            <wp:extent cx="188595" cy="251460"/>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и относительных деформаций усадки </w:t>
      </w:r>
      <w:r>
        <w:rPr>
          <w:noProof/>
          <w:position w:val="-8"/>
        </w:rPr>
        <w:drawing>
          <wp:inline distT="0" distB="0" distL="0" distR="0">
            <wp:extent cx="220980" cy="251460"/>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следует принимать по таблице 7.12.</w:t>
      </w:r>
    </w:p>
    <w:p w:rsidR="00212513" w:rsidRDefault="00212513">
      <w:pPr>
        <w:pStyle w:val="ConsPlusNormal"/>
        <w:ind w:firstLine="540"/>
        <w:jc w:val="both"/>
      </w:pPr>
    </w:p>
    <w:p w:rsidR="00212513" w:rsidRDefault="00212513">
      <w:pPr>
        <w:pStyle w:val="ConsPlusNormal"/>
        <w:jc w:val="right"/>
      </w:pPr>
      <w:bookmarkStart w:id="118" w:name="P2728"/>
      <w:bookmarkEnd w:id="118"/>
      <w:r>
        <w:t>Таблица 7.12</w:t>
      </w:r>
    </w:p>
    <w:p w:rsidR="00212513" w:rsidRDefault="00212513">
      <w:pPr>
        <w:pStyle w:val="ConsPlusNormal"/>
        <w:ind w:firstLine="540"/>
        <w:jc w:val="both"/>
      </w:pPr>
    </w:p>
    <w:p w:rsidR="00212513" w:rsidRDefault="00212513">
      <w:pPr>
        <w:pStyle w:val="ConsPlusNormal"/>
        <w:sectPr w:rsidR="00212513">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57"/>
        <w:gridCol w:w="624"/>
        <w:gridCol w:w="737"/>
        <w:gridCol w:w="737"/>
        <w:gridCol w:w="737"/>
        <w:gridCol w:w="737"/>
        <w:gridCol w:w="737"/>
        <w:gridCol w:w="737"/>
        <w:gridCol w:w="737"/>
        <w:gridCol w:w="737"/>
        <w:gridCol w:w="737"/>
        <w:gridCol w:w="737"/>
      </w:tblGrid>
      <w:tr w:rsidR="00212513">
        <w:tc>
          <w:tcPr>
            <w:tcW w:w="1757" w:type="dxa"/>
            <w:vMerge w:val="restart"/>
            <w:vAlign w:val="center"/>
          </w:tcPr>
          <w:p w:rsidR="00212513" w:rsidRDefault="00212513">
            <w:pPr>
              <w:pStyle w:val="ConsPlusNormal"/>
              <w:jc w:val="center"/>
            </w:pPr>
            <w:r>
              <w:lastRenderedPageBreak/>
              <w:t>Показатель</w:t>
            </w:r>
          </w:p>
        </w:tc>
        <w:tc>
          <w:tcPr>
            <w:tcW w:w="7994" w:type="dxa"/>
            <w:gridSpan w:val="11"/>
            <w:vAlign w:val="center"/>
          </w:tcPr>
          <w:p w:rsidR="00212513" w:rsidRDefault="00212513">
            <w:pPr>
              <w:pStyle w:val="ConsPlusNormal"/>
              <w:jc w:val="center"/>
            </w:pPr>
            <w:r>
              <w:t xml:space="preserve">Нормативные значения деформаций ползучести бетона </w:t>
            </w:r>
            <w:r>
              <w:rPr>
                <w:noProof/>
                <w:position w:val="-8"/>
              </w:rPr>
              <w:drawing>
                <wp:inline distT="0" distB="0" distL="0" distR="0">
                  <wp:extent cx="178435" cy="251460"/>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и усадки </w:t>
            </w:r>
            <w:r>
              <w:rPr>
                <w:noProof/>
                <w:position w:val="-8"/>
              </w:rPr>
              <w:drawing>
                <wp:inline distT="0" distB="0" distL="0" distR="0">
                  <wp:extent cx="220345" cy="25146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220345" cy="251460"/>
                          </a:xfrm>
                          <a:prstGeom prst="rect">
                            <a:avLst/>
                          </a:prstGeom>
                          <a:noFill/>
                          <a:ln>
                            <a:noFill/>
                          </a:ln>
                        </pic:spPr>
                      </pic:pic>
                    </a:graphicData>
                  </a:graphic>
                </wp:inline>
              </w:drawing>
            </w:r>
            <w:r>
              <w:t xml:space="preserve"> для бетонов классов прочности на сжатие</w:t>
            </w:r>
          </w:p>
        </w:tc>
      </w:tr>
      <w:tr w:rsidR="00212513">
        <w:tc>
          <w:tcPr>
            <w:tcW w:w="1757" w:type="dxa"/>
            <w:vMerge/>
          </w:tcPr>
          <w:p w:rsidR="00212513" w:rsidRDefault="00212513">
            <w:pPr>
              <w:pStyle w:val="ConsPlusNormal"/>
            </w:pPr>
          </w:p>
        </w:tc>
        <w:tc>
          <w:tcPr>
            <w:tcW w:w="624" w:type="dxa"/>
            <w:vAlign w:val="center"/>
          </w:tcPr>
          <w:p w:rsidR="00212513" w:rsidRDefault="00212513">
            <w:pPr>
              <w:pStyle w:val="ConsPlusNormal"/>
              <w:jc w:val="center"/>
            </w:pPr>
            <w:r>
              <w:t>В20</w:t>
            </w:r>
          </w:p>
        </w:tc>
        <w:tc>
          <w:tcPr>
            <w:tcW w:w="737" w:type="dxa"/>
            <w:vAlign w:val="center"/>
          </w:tcPr>
          <w:p w:rsidR="00212513" w:rsidRDefault="00212513">
            <w:pPr>
              <w:pStyle w:val="ConsPlusNormal"/>
              <w:jc w:val="center"/>
            </w:pPr>
            <w:r>
              <w:t>В22,5</w:t>
            </w:r>
          </w:p>
        </w:tc>
        <w:tc>
          <w:tcPr>
            <w:tcW w:w="737" w:type="dxa"/>
            <w:vAlign w:val="center"/>
          </w:tcPr>
          <w:p w:rsidR="00212513" w:rsidRDefault="00212513">
            <w:pPr>
              <w:pStyle w:val="ConsPlusNormal"/>
              <w:jc w:val="center"/>
            </w:pPr>
            <w:r>
              <w:t>В25</w:t>
            </w:r>
          </w:p>
        </w:tc>
        <w:tc>
          <w:tcPr>
            <w:tcW w:w="737" w:type="dxa"/>
            <w:vAlign w:val="center"/>
          </w:tcPr>
          <w:p w:rsidR="00212513" w:rsidRDefault="00212513">
            <w:pPr>
              <w:pStyle w:val="ConsPlusNormal"/>
              <w:jc w:val="center"/>
            </w:pPr>
            <w:r>
              <w:t>В27,5</w:t>
            </w:r>
          </w:p>
        </w:tc>
        <w:tc>
          <w:tcPr>
            <w:tcW w:w="737" w:type="dxa"/>
            <w:vAlign w:val="center"/>
          </w:tcPr>
          <w:p w:rsidR="00212513" w:rsidRDefault="00212513">
            <w:pPr>
              <w:pStyle w:val="ConsPlusNormal"/>
              <w:jc w:val="center"/>
            </w:pPr>
            <w:r>
              <w:t>В30</w:t>
            </w:r>
          </w:p>
        </w:tc>
        <w:tc>
          <w:tcPr>
            <w:tcW w:w="737" w:type="dxa"/>
            <w:vAlign w:val="center"/>
          </w:tcPr>
          <w:p w:rsidR="00212513" w:rsidRDefault="00212513">
            <w:pPr>
              <w:pStyle w:val="ConsPlusNormal"/>
              <w:jc w:val="center"/>
            </w:pPr>
            <w:r>
              <w:t>В35</w:t>
            </w:r>
          </w:p>
        </w:tc>
        <w:tc>
          <w:tcPr>
            <w:tcW w:w="737" w:type="dxa"/>
            <w:vAlign w:val="center"/>
          </w:tcPr>
          <w:p w:rsidR="00212513" w:rsidRDefault="00212513">
            <w:pPr>
              <w:pStyle w:val="ConsPlusNormal"/>
              <w:jc w:val="center"/>
            </w:pPr>
            <w:r>
              <w:t>В40</w:t>
            </w:r>
          </w:p>
        </w:tc>
        <w:tc>
          <w:tcPr>
            <w:tcW w:w="737" w:type="dxa"/>
            <w:vAlign w:val="center"/>
          </w:tcPr>
          <w:p w:rsidR="00212513" w:rsidRDefault="00212513">
            <w:pPr>
              <w:pStyle w:val="ConsPlusNormal"/>
              <w:jc w:val="center"/>
            </w:pPr>
            <w:r>
              <w:t>В45</w:t>
            </w:r>
          </w:p>
        </w:tc>
        <w:tc>
          <w:tcPr>
            <w:tcW w:w="737" w:type="dxa"/>
            <w:vAlign w:val="center"/>
          </w:tcPr>
          <w:p w:rsidR="00212513" w:rsidRDefault="00212513">
            <w:pPr>
              <w:pStyle w:val="ConsPlusNormal"/>
              <w:jc w:val="center"/>
            </w:pPr>
            <w:r>
              <w:t>В50</w:t>
            </w:r>
          </w:p>
        </w:tc>
        <w:tc>
          <w:tcPr>
            <w:tcW w:w="737" w:type="dxa"/>
            <w:vAlign w:val="center"/>
          </w:tcPr>
          <w:p w:rsidR="00212513" w:rsidRDefault="00212513">
            <w:pPr>
              <w:pStyle w:val="ConsPlusNormal"/>
              <w:jc w:val="center"/>
            </w:pPr>
            <w:r>
              <w:t>В55</w:t>
            </w:r>
          </w:p>
        </w:tc>
        <w:tc>
          <w:tcPr>
            <w:tcW w:w="737" w:type="dxa"/>
            <w:vAlign w:val="center"/>
          </w:tcPr>
          <w:p w:rsidR="00212513" w:rsidRDefault="00212513">
            <w:pPr>
              <w:pStyle w:val="ConsPlusNormal"/>
              <w:jc w:val="center"/>
            </w:pPr>
            <w:r>
              <w:t>В60</w:t>
            </w:r>
          </w:p>
        </w:tc>
      </w:tr>
      <w:tr w:rsidR="00212513">
        <w:tc>
          <w:tcPr>
            <w:tcW w:w="1757" w:type="dxa"/>
          </w:tcPr>
          <w:p w:rsidR="00212513" w:rsidRDefault="00212513">
            <w:pPr>
              <w:pStyle w:val="ConsPlusNormal"/>
              <w:jc w:val="center"/>
            </w:pPr>
            <w:r>
              <w:rPr>
                <w:noProof/>
                <w:position w:val="-9"/>
              </w:rPr>
              <w:drawing>
                <wp:inline distT="0" distB="0" distL="0" distR="0">
                  <wp:extent cx="471805" cy="262255"/>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471805" cy="262255"/>
                          </a:xfrm>
                          <a:prstGeom prst="rect">
                            <a:avLst/>
                          </a:prstGeom>
                          <a:noFill/>
                          <a:ln>
                            <a:noFill/>
                          </a:ln>
                        </pic:spPr>
                      </pic:pic>
                    </a:graphicData>
                  </a:graphic>
                </wp:inline>
              </w:drawing>
            </w:r>
            <w:r>
              <w:t>, </w:t>
            </w:r>
            <w:r>
              <w:rPr>
                <w:noProof/>
                <w:position w:val="-6"/>
              </w:rPr>
              <w:drawing>
                <wp:inline distT="0" distB="0" distL="0" distR="0">
                  <wp:extent cx="502920" cy="220345"/>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502920" cy="220345"/>
                          </a:xfrm>
                          <a:prstGeom prst="rect">
                            <a:avLst/>
                          </a:prstGeom>
                          <a:noFill/>
                          <a:ln>
                            <a:noFill/>
                          </a:ln>
                        </pic:spPr>
                      </pic:pic>
                    </a:graphicData>
                  </a:graphic>
                </wp:inline>
              </w:drawing>
            </w:r>
          </w:p>
        </w:tc>
        <w:tc>
          <w:tcPr>
            <w:tcW w:w="624" w:type="dxa"/>
          </w:tcPr>
          <w:p w:rsidR="00212513" w:rsidRDefault="00212513">
            <w:pPr>
              <w:pStyle w:val="ConsPlusNormal"/>
              <w:jc w:val="center"/>
            </w:pPr>
            <w:r>
              <w:t>115</w:t>
            </w:r>
          </w:p>
        </w:tc>
        <w:tc>
          <w:tcPr>
            <w:tcW w:w="737" w:type="dxa"/>
          </w:tcPr>
          <w:p w:rsidR="00212513" w:rsidRDefault="00212513">
            <w:pPr>
              <w:pStyle w:val="ConsPlusNormal"/>
              <w:jc w:val="center"/>
            </w:pPr>
            <w:r>
              <w:t>107</w:t>
            </w:r>
          </w:p>
        </w:tc>
        <w:tc>
          <w:tcPr>
            <w:tcW w:w="737" w:type="dxa"/>
          </w:tcPr>
          <w:p w:rsidR="00212513" w:rsidRDefault="00212513">
            <w:pPr>
              <w:pStyle w:val="ConsPlusNormal"/>
              <w:jc w:val="center"/>
            </w:pPr>
            <w:r>
              <w:t>100</w:t>
            </w:r>
          </w:p>
        </w:tc>
        <w:tc>
          <w:tcPr>
            <w:tcW w:w="737" w:type="dxa"/>
          </w:tcPr>
          <w:p w:rsidR="00212513" w:rsidRDefault="00212513">
            <w:pPr>
              <w:pStyle w:val="ConsPlusNormal"/>
              <w:jc w:val="center"/>
            </w:pPr>
            <w:r>
              <w:t>92</w:t>
            </w:r>
          </w:p>
        </w:tc>
        <w:tc>
          <w:tcPr>
            <w:tcW w:w="737" w:type="dxa"/>
          </w:tcPr>
          <w:p w:rsidR="00212513" w:rsidRDefault="00212513">
            <w:pPr>
              <w:pStyle w:val="ConsPlusNormal"/>
              <w:jc w:val="center"/>
            </w:pPr>
            <w:r>
              <w:t>84</w:t>
            </w:r>
          </w:p>
        </w:tc>
        <w:tc>
          <w:tcPr>
            <w:tcW w:w="737" w:type="dxa"/>
          </w:tcPr>
          <w:p w:rsidR="00212513" w:rsidRDefault="00212513">
            <w:pPr>
              <w:pStyle w:val="ConsPlusNormal"/>
              <w:jc w:val="center"/>
            </w:pPr>
            <w:r>
              <w:t>75</w:t>
            </w:r>
          </w:p>
        </w:tc>
        <w:tc>
          <w:tcPr>
            <w:tcW w:w="737" w:type="dxa"/>
          </w:tcPr>
          <w:p w:rsidR="00212513" w:rsidRDefault="00212513">
            <w:pPr>
              <w:pStyle w:val="ConsPlusNormal"/>
              <w:jc w:val="center"/>
            </w:pPr>
            <w:r>
              <w:t>67</w:t>
            </w:r>
          </w:p>
        </w:tc>
        <w:tc>
          <w:tcPr>
            <w:tcW w:w="737" w:type="dxa"/>
          </w:tcPr>
          <w:p w:rsidR="00212513" w:rsidRDefault="00212513">
            <w:pPr>
              <w:pStyle w:val="ConsPlusNormal"/>
              <w:jc w:val="center"/>
            </w:pPr>
            <w:r>
              <w:t>55</w:t>
            </w:r>
          </w:p>
        </w:tc>
        <w:tc>
          <w:tcPr>
            <w:tcW w:w="737" w:type="dxa"/>
          </w:tcPr>
          <w:p w:rsidR="00212513" w:rsidRDefault="00212513">
            <w:pPr>
              <w:pStyle w:val="ConsPlusNormal"/>
              <w:jc w:val="center"/>
            </w:pPr>
            <w:r>
              <w:t>50</w:t>
            </w:r>
          </w:p>
        </w:tc>
        <w:tc>
          <w:tcPr>
            <w:tcW w:w="737" w:type="dxa"/>
          </w:tcPr>
          <w:p w:rsidR="00212513" w:rsidRDefault="00212513">
            <w:pPr>
              <w:pStyle w:val="ConsPlusNormal"/>
              <w:jc w:val="center"/>
            </w:pPr>
            <w:r>
              <w:t>41</w:t>
            </w:r>
          </w:p>
        </w:tc>
        <w:tc>
          <w:tcPr>
            <w:tcW w:w="737" w:type="dxa"/>
          </w:tcPr>
          <w:p w:rsidR="00212513" w:rsidRDefault="00212513">
            <w:pPr>
              <w:pStyle w:val="ConsPlusNormal"/>
              <w:jc w:val="center"/>
            </w:pPr>
            <w:r>
              <w:t>39</w:t>
            </w:r>
          </w:p>
        </w:tc>
      </w:tr>
      <w:tr w:rsidR="00212513">
        <w:tc>
          <w:tcPr>
            <w:tcW w:w="1757" w:type="dxa"/>
          </w:tcPr>
          <w:p w:rsidR="00212513" w:rsidRDefault="00212513">
            <w:pPr>
              <w:pStyle w:val="ConsPlusNormal"/>
              <w:jc w:val="center"/>
            </w:pPr>
            <w:r>
              <w:rPr>
                <w:noProof/>
                <w:position w:val="-9"/>
              </w:rPr>
              <w:drawing>
                <wp:inline distT="0" distB="0" distL="0" distR="0">
                  <wp:extent cx="534670" cy="262255"/>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534670" cy="262255"/>
                          </a:xfrm>
                          <a:prstGeom prst="rect">
                            <a:avLst/>
                          </a:prstGeom>
                          <a:noFill/>
                          <a:ln>
                            <a:noFill/>
                          </a:ln>
                        </pic:spPr>
                      </pic:pic>
                    </a:graphicData>
                  </a:graphic>
                </wp:inline>
              </w:drawing>
            </w:r>
          </w:p>
        </w:tc>
        <w:tc>
          <w:tcPr>
            <w:tcW w:w="624" w:type="dxa"/>
          </w:tcPr>
          <w:p w:rsidR="00212513" w:rsidRDefault="00212513">
            <w:pPr>
              <w:pStyle w:val="ConsPlusNormal"/>
              <w:jc w:val="center"/>
            </w:pPr>
            <w:r>
              <w:t>400</w:t>
            </w:r>
          </w:p>
        </w:tc>
        <w:tc>
          <w:tcPr>
            <w:tcW w:w="737" w:type="dxa"/>
          </w:tcPr>
          <w:p w:rsidR="00212513" w:rsidRDefault="00212513">
            <w:pPr>
              <w:pStyle w:val="ConsPlusNormal"/>
              <w:jc w:val="center"/>
            </w:pPr>
            <w:r>
              <w:t>400</w:t>
            </w:r>
          </w:p>
        </w:tc>
        <w:tc>
          <w:tcPr>
            <w:tcW w:w="737" w:type="dxa"/>
          </w:tcPr>
          <w:p w:rsidR="00212513" w:rsidRDefault="00212513">
            <w:pPr>
              <w:pStyle w:val="ConsPlusNormal"/>
              <w:jc w:val="center"/>
            </w:pPr>
            <w:r>
              <w:t>400</w:t>
            </w:r>
          </w:p>
        </w:tc>
        <w:tc>
          <w:tcPr>
            <w:tcW w:w="737" w:type="dxa"/>
          </w:tcPr>
          <w:p w:rsidR="00212513" w:rsidRDefault="00212513">
            <w:pPr>
              <w:pStyle w:val="ConsPlusNormal"/>
              <w:jc w:val="center"/>
            </w:pPr>
            <w:r>
              <w:t>400</w:t>
            </w:r>
          </w:p>
        </w:tc>
        <w:tc>
          <w:tcPr>
            <w:tcW w:w="737" w:type="dxa"/>
          </w:tcPr>
          <w:p w:rsidR="00212513" w:rsidRDefault="00212513">
            <w:pPr>
              <w:pStyle w:val="ConsPlusNormal"/>
              <w:jc w:val="center"/>
            </w:pPr>
            <w:r>
              <w:t>400</w:t>
            </w:r>
          </w:p>
        </w:tc>
        <w:tc>
          <w:tcPr>
            <w:tcW w:w="737" w:type="dxa"/>
          </w:tcPr>
          <w:p w:rsidR="00212513" w:rsidRDefault="00212513">
            <w:pPr>
              <w:pStyle w:val="ConsPlusNormal"/>
              <w:jc w:val="center"/>
            </w:pPr>
            <w:r>
              <w:t>400</w:t>
            </w:r>
          </w:p>
        </w:tc>
        <w:tc>
          <w:tcPr>
            <w:tcW w:w="737" w:type="dxa"/>
          </w:tcPr>
          <w:p w:rsidR="00212513" w:rsidRDefault="00212513">
            <w:pPr>
              <w:pStyle w:val="ConsPlusNormal"/>
              <w:jc w:val="center"/>
            </w:pPr>
            <w:r>
              <w:t>400</w:t>
            </w:r>
          </w:p>
        </w:tc>
        <w:tc>
          <w:tcPr>
            <w:tcW w:w="737" w:type="dxa"/>
          </w:tcPr>
          <w:p w:rsidR="00212513" w:rsidRDefault="00212513">
            <w:pPr>
              <w:pStyle w:val="ConsPlusNormal"/>
              <w:jc w:val="center"/>
            </w:pPr>
            <w:r>
              <w:t>365</w:t>
            </w:r>
          </w:p>
        </w:tc>
        <w:tc>
          <w:tcPr>
            <w:tcW w:w="737" w:type="dxa"/>
          </w:tcPr>
          <w:p w:rsidR="00212513" w:rsidRDefault="00212513">
            <w:pPr>
              <w:pStyle w:val="ConsPlusNormal"/>
              <w:jc w:val="center"/>
            </w:pPr>
            <w:r>
              <w:t>330</w:t>
            </w:r>
          </w:p>
        </w:tc>
        <w:tc>
          <w:tcPr>
            <w:tcW w:w="737" w:type="dxa"/>
          </w:tcPr>
          <w:p w:rsidR="00212513" w:rsidRDefault="00212513">
            <w:pPr>
              <w:pStyle w:val="ConsPlusNormal"/>
              <w:jc w:val="center"/>
            </w:pPr>
            <w:r>
              <w:t>315</w:t>
            </w:r>
          </w:p>
        </w:tc>
        <w:tc>
          <w:tcPr>
            <w:tcW w:w="737" w:type="dxa"/>
          </w:tcPr>
          <w:p w:rsidR="00212513" w:rsidRDefault="00212513">
            <w:pPr>
              <w:pStyle w:val="ConsPlusNormal"/>
              <w:jc w:val="center"/>
            </w:pPr>
            <w:r>
              <w:t>300</w:t>
            </w:r>
          </w:p>
        </w:tc>
      </w:tr>
      <w:tr w:rsidR="00212513">
        <w:tblPrEx>
          <w:tblBorders>
            <w:insideH w:val="nil"/>
          </w:tblBorders>
        </w:tblPrEx>
        <w:tc>
          <w:tcPr>
            <w:tcW w:w="9751" w:type="dxa"/>
            <w:gridSpan w:val="12"/>
            <w:tcBorders>
              <w:bottom w:val="nil"/>
            </w:tcBorders>
          </w:tcPr>
          <w:p w:rsidR="00212513" w:rsidRDefault="00212513">
            <w:pPr>
              <w:pStyle w:val="ConsPlusNormal"/>
              <w:ind w:firstLine="283"/>
              <w:jc w:val="both"/>
            </w:pPr>
            <w:r>
              <w:t xml:space="preserve">Примечание - Для бетона, подвергнутого тепловлажностной обработке при температуре 50 °C и выше, значения </w:t>
            </w:r>
            <w:r>
              <w:rPr>
                <w:noProof/>
                <w:position w:val="-8"/>
              </w:rPr>
              <w:drawing>
                <wp:inline distT="0" distB="0" distL="0" distR="0">
                  <wp:extent cx="178435" cy="251460"/>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и </w:t>
            </w:r>
            <w:r>
              <w:rPr>
                <w:noProof/>
                <w:position w:val="-8"/>
              </w:rPr>
              <w:drawing>
                <wp:inline distT="0" distB="0" distL="0" distR="0">
                  <wp:extent cx="220345" cy="251460"/>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220345" cy="251460"/>
                          </a:xfrm>
                          <a:prstGeom prst="rect">
                            <a:avLst/>
                          </a:prstGeom>
                          <a:noFill/>
                          <a:ln>
                            <a:noFill/>
                          </a:ln>
                        </pic:spPr>
                      </pic:pic>
                    </a:graphicData>
                  </a:graphic>
                </wp:inline>
              </w:drawing>
            </w:r>
            <w:r>
              <w:t xml:space="preserve"> следует уменьшать на 10%.</w:t>
            </w:r>
          </w:p>
        </w:tc>
      </w:tr>
      <w:tr w:rsidR="00212513">
        <w:tblPrEx>
          <w:tblBorders>
            <w:insideH w:val="nil"/>
          </w:tblBorders>
        </w:tblPrEx>
        <w:tc>
          <w:tcPr>
            <w:tcW w:w="9751" w:type="dxa"/>
            <w:gridSpan w:val="12"/>
            <w:tcBorders>
              <w:top w:val="nil"/>
            </w:tcBorders>
          </w:tcPr>
          <w:p w:rsidR="00212513" w:rsidRDefault="00212513">
            <w:pPr>
              <w:pStyle w:val="ConsPlusNormal"/>
              <w:jc w:val="both"/>
            </w:pPr>
            <w:r>
              <w:t xml:space="preserve">(в ред. </w:t>
            </w:r>
            <w:hyperlink r:id="rId685">
              <w:r>
                <w:rPr>
                  <w:color w:val="0000FF"/>
                </w:rPr>
                <w:t>Изменения N 1</w:t>
              </w:r>
            </w:hyperlink>
            <w:r>
              <w:t>, утв. Приказом Минстроя России от 03.12.2016 N 879/пр)</w:t>
            </w:r>
          </w:p>
        </w:tc>
      </w:tr>
    </w:tbl>
    <w:p w:rsidR="00212513" w:rsidRDefault="00212513">
      <w:pPr>
        <w:pStyle w:val="ConsPlusNormal"/>
        <w:sectPr w:rsidR="00212513">
          <w:pgSz w:w="16838" w:h="11905" w:orient="landscape"/>
          <w:pgMar w:top="1701" w:right="1134" w:bottom="850" w:left="1134" w:header="0" w:footer="0" w:gutter="0"/>
          <w:cols w:space="720"/>
          <w:titlePg/>
        </w:sectPr>
      </w:pPr>
    </w:p>
    <w:p w:rsidR="00212513" w:rsidRDefault="00212513">
      <w:pPr>
        <w:pStyle w:val="ConsPlusNormal"/>
        <w:ind w:firstLine="540"/>
        <w:jc w:val="both"/>
      </w:pPr>
    </w:p>
    <w:p w:rsidR="00212513" w:rsidRDefault="00212513">
      <w:pPr>
        <w:pStyle w:val="ConsPlusNormal"/>
        <w:ind w:firstLine="540"/>
        <w:jc w:val="both"/>
      </w:pPr>
      <w:r>
        <w:t>Учитываемые в расчетах значения предельных удельных деформаций ползучести и деформаций усадки получают путем умножения нормативных значений на коэффициенты, принимаемые в зависимости от передаточной прочности, возраста бетона в момент загружения, модуля удельной поверхности элемента (отношения открытой поверхности элемента к его объему) и относительной влажности воздуха в соответствии с данными таблицы 7.13.</w:t>
      </w:r>
    </w:p>
    <w:p w:rsidR="00212513" w:rsidRDefault="00212513">
      <w:pPr>
        <w:pStyle w:val="ConsPlusNormal"/>
        <w:ind w:firstLine="540"/>
        <w:jc w:val="both"/>
      </w:pPr>
    </w:p>
    <w:p w:rsidR="00212513" w:rsidRDefault="00212513">
      <w:pPr>
        <w:pStyle w:val="ConsPlusNormal"/>
        <w:jc w:val="right"/>
      </w:pPr>
      <w:r>
        <w:t>Таблица 7.13</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59"/>
        <w:gridCol w:w="1955"/>
        <w:gridCol w:w="1955"/>
      </w:tblGrid>
      <w:tr w:rsidR="00212513">
        <w:tc>
          <w:tcPr>
            <w:tcW w:w="5159" w:type="dxa"/>
            <w:vMerge w:val="restart"/>
            <w:tcBorders>
              <w:top w:val="single" w:sz="4" w:space="0" w:color="auto"/>
              <w:bottom w:val="single" w:sz="4" w:space="0" w:color="auto"/>
            </w:tcBorders>
            <w:vAlign w:val="center"/>
          </w:tcPr>
          <w:p w:rsidR="00212513" w:rsidRDefault="00212513">
            <w:pPr>
              <w:pStyle w:val="ConsPlusNormal"/>
              <w:jc w:val="center"/>
            </w:pPr>
            <w:r>
              <w:t>Фактор</w:t>
            </w:r>
          </w:p>
        </w:tc>
        <w:tc>
          <w:tcPr>
            <w:tcW w:w="3910" w:type="dxa"/>
            <w:gridSpan w:val="2"/>
            <w:tcBorders>
              <w:top w:val="single" w:sz="4" w:space="0" w:color="auto"/>
              <w:bottom w:val="single" w:sz="4" w:space="0" w:color="auto"/>
            </w:tcBorders>
            <w:vAlign w:val="center"/>
          </w:tcPr>
          <w:p w:rsidR="00212513" w:rsidRDefault="00212513">
            <w:pPr>
              <w:pStyle w:val="ConsPlusNormal"/>
              <w:jc w:val="center"/>
            </w:pPr>
            <w:r>
              <w:t>Поправочные коэффициенты к значениям нормативным предельным деформаций</w:t>
            </w:r>
          </w:p>
        </w:tc>
      </w:tr>
      <w:tr w:rsidR="00212513">
        <w:tc>
          <w:tcPr>
            <w:tcW w:w="5159" w:type="dxa"/>
            <w:vMerge/>
            <w:tcBorders>
              <w:top w:val="single" w:sz="4" w:space="0" w:color="auto"/>
              <w:bottom w:val="single" w:sz="4" w:space="0" w:color="auto"/>
            </w:tcBorders>
          </w:tcPr>
          <w:p w:rsidR="00212513" w:rsidRDefault="00212513">
            <w:pPr>
              <w:pStyle w:val="ConsPlusNormal"/>
            </w:pPr>
          </w:p>
        </w:tc>
        <w:tc>
          <w:tcPr>
            <w:tcW w:w="1955" w:type="dxa"/>
            <w:tcBorders>
              <w:top w:val="single" w:sz="4" w:space="0" w:color="auto"/>
              <w:bottom w:val="single" w:sz="4" w:space="0" w:color="auto"/>
            </w:tcBorders>
            <w:vAlign w:val="center"/>
          </w:tcPr>
          <w:p w:rsidR="00212513" w:rsidRDefault="00212513">
            <w:pPr>
              <w:pStyle w:val="ConsPlusNormal"/>
              <w:jc w:val="center"/>
            </w:pPr>
            <w:r>
              <w:t>ползучести</w:t>
            </w:r>
          </w:p>
        </w:tc>
        <w:tc>
          <w:tcPr>
            <w:tcW w:w="1955" w:type="dxa"/>
            <w:tcBorders>
              <w:top w:val="single" w:sz="4" w:space="0" w:color="auto"/>
              <w:bottom w:val="single" w:sz="4" w:space="0" w:color="auto"/>
            </w:tcBorders>
            <w:vAlign w:val="center"/>
          </w:tcPr>
          <w:p w:rsidR="00212513" w:rsidRDefault="00212513">
            <w:pPr>
              <w:pStyle w:val="ConsPlusNormal"/>
              <w:jc w:val="center"/>
            </w:pPr>
            <w:r>
              <w:t>усадки</w:t>
            </w:r>
          </w:p>
        </w:tc>
      </w:tr>
      <w:tr w:rsidR="00212513">
        <w:tblPrEx>
          <w:tblBorders>
            <w:insideH w:val="none" w:sz="0" w:space="0" w:color="auto"/>
          </w:tblBorders>
        </w:tblPrEx>
        <w:tc>
          <w:tcPr>
            <w:tcW w:w="5159" w:type="dxa"/>
            <w:tcBorders>
              <w:top w:val="single" w:sz="4" w:space="0" w:color="auto"/>
              <w:bottom w:val="nil"/>
            </w:tcBorders>
          </w:tcPr>
          <w:p w:rsidR="00212513" w:rsidRDefault="00212513">
            <w:pPr>
              <w:pStyle w:val="ConsPlusNormal"/>
            </w:pPr>
            <w:r>
              <w:t>Передаточная прочность бетона на сжатие в долях проектного класса бетона:</w:t>
            </w:r>
          </w:p>
        </w:tc>
        <w:tc>
          <w:tcPr>
            <w:tcW w:w="1955" w:type="dxa"/>
            <w:tcBorders>
              <w:top w:val="single" w:sz="4" w:space="0" w:color="auto"/>
              <w:bottom w:val="nil"/>
            </w:tcBorders>
          </w:tcPr>
          <w:p w:rsidR="00212513" w:rsidRDefault="00212513">
            <w:pPr>
              <w:pStyle w:val="ConsPlusNormal"/>
              <w:jc w:val="both"/>
            </w:pPr>
          </w:p>
        </w:tc>
        <w:tc>
          <w:tcPr>
            <w:tcW w:w="1955" w:type="dxa"/>
            <w:tcBorders>
              <w:top w:val="single" w:sz="4" w:space="0" w:color="auto"/>
              <w:bottom w:val="nil"/>
            </w:tcBorders>
          </w:tcPr>
          <w:p w:rsidR="00212513" w:rsidRDefault="00212513">
            <w:pPr>
              <w:pStyle w:val="ConsPlusNormal"/>
              <w:jc w:val="both"/>
            </w:pPr>
          </w:p>
        </w:tc>
      </w:tr>
      <w:tr w:rsidR="00212513">
        <w:tblPrEx>
          <w:tblBorders>
            <w:insideH w:val="none" w:sz="0" w:space="0" w:color="auto"/>
          </w:tblBorders>
        </w:tblPrEx>
        <w:tc>
          <w:tcPr>
            <w:tcW w:w="5159" w:type="dxa"/>
            <w:tcBorders>
              <w:top w:val="nil"/>
              <w:bottom w:val="nil"/>
            </w:tcBorders>
          </w:tcPr>
          <w:p w:rsidR="00212513" w:rsidRDefault="00212513">
            <w:pPr>
              <w:pStyle w:val="ConsPlusNormal"/>
              <w:ind w:left="283"/>
            </w:pPr>
            <w:r>
              <w:t>0,5</w:t>
            </w:r>
          </w:p>
        </w:tc>
        <w:tc>
          <w:tcPr>
            <w:tcW w:w="1955" w:type="dxa"/>
            <w:tcBorders>
              <w:top w:val="nil"/>
              <w:bottom w:val="nil"/>
            </w:tcBorders>
          </w:tcPr>
          <w:p w:rsidR="00212513" w:rsidRDefault="00212513">
            <w:pPr>
              <w:pStyle w:val="ConsPlusNormal"/>
              <w:jc w:val="center"/>
            </w:pPr>
            <w:r>
              <w:t>1,7</w:t>
            </w:r>
          </w:p>
        </w:tc>
        <w:tc>
          <w:tcPr>
            <w:tcW w:w="1955" w:type="dxa"/>
            <w:tcBorders>
              <w:top w:val="nil"/>
              <w:bottom w:val="nil"/>
            </w:tcBorders>
          </w:tcPr>
          <w:p w:rsidR="00212513" w:rsidRDefault="00212513">
            <w:pPr>
              <w:pStyle w:val="ConsPlusNormal"/>
              <w:jc w:val="center"/>
            </w:pPr>
            <w:r>
              <w:t>-</w:t>
            </w:r>
          </w:p>
        </w:tc>
      </w:tr>
      <w:tr w:rsidR="00212513">
        <w:tblPrEx>
          <w:tblBorders>
            <w:insideH w:val="none" w:sz="0" w:space="0" w:color="auto"/>
          </w:tblBorders>
        </w:tblPrEx>
        <w:tc>
          <w:tcPr>
            <w:tcW w:w="5159" w:type="dxa"/>
            <w:tcBorders>
              <w:top w:val="nil"/>
              <w:bottom w:val="nil"/>
            </w:tcBorders>
          </w:tcPr>
          <w:p w:rsidR="00212513" w:rsidRDefault="00212513">
            <w:pPr>
              <w:pStyle w:val="ConsPlusNormal"/>
              <w:ind w:left="283"/>
            </w:pPr>
            <w:r>
              <w:t>0,6</w:t>
            </w:r>
          </w:p>
        </w:tc>
        <w:tc>
          <w:tcPr>
            <w:tcW w:w="1955" w:type="dxa"/>
            <w:tcBorders>
              <w:top w:val="nil"/>
              <w:bottom w:val="nil"/>
            </w:tcBorders>
          </w:tcPr>
          <w:p w:rsidR="00212513" w:rsidRDefault="00212513">
            <w:pPr>
              <w:pStyle w:val="ConsPlusNormal"/>
              <w:jc w:val="center"/>
            </w:pPr>
            <w:r>
              <w:t>1,6</w:t>
            </w:r>
          </w:p>
        </w:tc>
        <w:tc>
          <w:tcPr>
            <w:tcW w:w="1955" w:type="dxa"/>
            <w:tcBorders>
              <w:top w:val="nil"/>
              <w:bottom w:val="nil"/>
            </w:tcBorders>
          </w:tcPr>
          <w:p w:rsidR="00212513" w:rsidRDefault="00212513">
            <w:pPr>
              <w:pStyle w:val="ConsPlusNormal"/>
              <w:jc w:val="center"/>
            </w:pPr>
            <w:r>
              <w:t>-</w:t>
            </w:r>
          </w:p>
        </w:tc>
      </w:tr>
      <w:tr w:rsidR="00212513">
        <w:tblPrEx>
          <w:tblBorders>
            <w:insideH w:val="none" w:sz="0" w:space="0" w:color="auto"/>
          </w:tblBorders>
        </w:tblPrEx>
        <w:tc>
          <w:tcPr>
            <w:tcW w:w="5159" w:type="dxa"/>
            <w:tcBorders>
              <w:top w:val="nil"/>
              <w:bottom w:val="nil"/>
            </w:tcBorders>
          </w:tcPr>
          <w:p w:rsidR="00212513" w:rsidRDefault="00212513">
            <w:pPr>
              <w:pStyle w:val="ConsPlusNormal"/>
              <w:ind w:left="283"/>
            </w:pPr>
            <w:r>
              <w:t>0,7</w:t>
            </w:r>
          </w:p>
        </w:tc>
        <w:tc>
          <w:tcPr>
            <w:tcW w:w="1955" w:type="dxa"/>
            <w:tcBorders>
              <w:top w:val="nil"/>
              <w:bottom w:val="nil"/>
            </w:tcBorders>
          </w:tcPr>
          <w:p w:rsidR="00212513" w:rsidRDefault="00212513">
            <w:pPr>
              <w:pStyle w:val="ConsPlusNormal"/>
              <w:jc w:val="center"/>
            </w:pPr>
            <w:r>
              <w:t>1,4</w:t>
            </w:r>
          </w:p>
        </w:tc>
        <w:tc>
          <w:tcPr>
            <w:tcW w:w="1955" w:type="dxa"/>
            <w:tcBorders>
              <w:top w:val="nil"/>
              <w:bottom w:val="nil"/>
            </w:tcBorders>
          </w:tcPr>
          <w:p w:rsidR="00212513" w:rsidRDefault="00212513">
            <w:pPr>
              <w:pStyle w:val="ConsPlusNormal"/>
              <w:jc w:val="center"/>
            </w:pPr>
            <w:r>
              <w:t>-</w:t>
            </w:r>
          </w:p>
        </w:tc>
      </w:tr>
      <w:tr w:rsidR="00212513">
        <w:tblPrEx>
          <w:tblBorders>
            <w:insideH w:val="none" w:sz="0" w:space="0" w:color="auto"/>
          </w:tblBorders>
        </w:tblPrEx>
        <w:tc>
          <w:tcPr>
            <w:tcW w:w="5159" w:type="dxa"/>
            <w:tcBorders>
              <w:top w:val="nil"/>
              <w:bottom w:val="nil"/>
            </w:tcBorders>
          </w:tcPr>
          <w:p w:rsidR="00212513" w:rsidRDefault="00212513">
            <w:pPr>
              <w:pStyle w:val="ConsPlusNormal"/>
              <w:ind w:left="283"/>
            </w:pPr>
            <w:r>
              <w:t>0,8</w:t>
            </w:r>
          </w:p>
        </w:tc>
        <w:tc>
          <w:tcPr>
            <w:tcW w:w="1955" w:type="dxa"/>
            <w:tcBorders>
              <w:top w:val="nil"/>
              <w:bottom w:val="nil"/>
            </w:tcBorders>
          </w:tcPr>
          <w:p w:rsidR="00212513" w:rsidRDefault="00212513">
            <w:pPr>
              <w:pStyle w:val="ConsPlusNormal"/>
              <w:jc w:val="center"/>
            </w:pPr>
            <w:r>
              <w:t>1,25</w:t>
            </w:r>
          </w:p>
        </w:tc>
        <w:tc>
          <w:tcPr>
            <w:tcW w:w="1955" w:type="dxa"/>
            <w:tcBorders>
              <w:top w:val="nil"/>
              <w:bottom w:val="nil"/>
            </w:tcBorders>
          </w:tcPr>
          <w:p w:rsidR="00212513" w:rsidRDefault="00212513">
            <w:pPr>
              <w:pStyle w:val="ConsPlusNormal"/>
              <w:jc w:val="center"/>
            </w:pPr>
            <w:r>
              <w:t>-</w:t>
            </w:r>
          </w:p>
        </w:tc>
      </w:tr>
      <w:tr w:rsidR="00212513">
        <w:tblPrEx>
          <w:tblBorders>
            <w:insideH w:val="none" w:sz="0" w:space="0" w:color="auto"/>
          </w:tblBorders>
        </w:tblPrEx>
        <w:tc>
          <w:tcPr>
            <w:tcW w:w="5159" w:type="dxa"/>
            <w:tcBorders>
              <w:top w:val="nil"/>
              <w:bottom w:val="nil"/>
            </w:tcBorders>
          </w:tcPr>
          <w:p w:rsidR="00212513" w:rsidRDefault="00212513">
            <w:pPr>
              <w:pStyle w:val="ConsPlusNormal"/>
              <w:ind w:left="283"/>
            </w:pPr>
            <w:r>
              <w:t>0,9</w:t>
            </w:r>
          </w:p>
        </w:tc>
        <w:tc>
          <w:tcPr>
            <w:tcW w:w="1955" w:type="dxa"/>
            <w:tcBorders>
              <w:top w:val="nil"/>
              <w:bottom w:val="nil"/>
            </w:tcBorders>
          </w:tcPr>
          <w:p w:rsidR="00212513" w:rsidRDefault="00212513">
            <w:pPr>
              <w:pStyle w:val="ConsPlusNormal"/>
              <w:jc w:val="center"/>
            </w:pPr>
            <w:r>
              <w:t>1,15</w:t>
            </w:r>
          </w:p>
        </w:tc>
        <w:tc>
          <w:tcPr>
            <w:tcW w:w="1955" w:type="dxa"/>
            <w:tcBorders>
              <w:top w:val="nil"/>
              <w:bottom w:val="nil"/>
            </w:tcBorders>
          </w:tcPr>
          <w:p w:rsidR="00212513" w:rsidRDefault="00212513">
            <w:pPr>
              <w:pStyle w:val="ConsPlusNormal"/>
              <w:jc w:val="center"/>
            </w:pPr>
            <w:r>
              <w:t>-</w:t>
            </w:r>
          </w:p>
        </w:tc>
      </w:tr>
      <w:tr w:rsidR="00212513">
        <w:tblPrEx>
          <w:tblBorders>
            <w:insideH w:val="none" w:sz="0" w:space="0" w:color="auto"/>
          </w:tblBorders>
        </w:tblPrEx>
        <w:tc>
          <w:tcPr>
            <w:tcW w:w="5159" w:type="dxa"/>
            <w:tcBorders>
              <w:top w:val="nil"/>
              <w:bottom w:val="single" w:sz="4" w:space="0" w:color="auto"/>
            </w:tcBorders>
          </w:tcPr>
          <w:p w:rsidR="00212513" w:rsidRDefault="00212513">
            <w:pPr>
              <w:pStyle w:val="ConsPlusNormal"/>
              <w:ind w:left="283"/>
            </w:pPr>
            <w:r>
              <w:t>1,0</w:t>
            </w:r>
          </w:p>
        </w:tc>
        <w:tc>
          <w:tcPr>
            <w:tcW w:w="1955" w:type="dxa"/>
            <w:tcBorders>
              <w:top w:val="nil"/>
              <w:bottom w:val="single" w:sz="4" w:space="0" w:color="auto"/>
            </w:tcBorders>
          </w:tcPr>
          <w:p w:rsidR="00212513" w:rsidRDefault="00212513">
            <w:pPr>
              <w:pStyle w:val="ConsPlusNormal"/>
              <w:jc w:val="center"/>
            </w:pPr>
            <w:r>
              <w:t>1,0</w:t>
            </w:r>
          </w:p>
        </w:tc>
        <w:tc>
          <w:tcPr>
            <w:tcW w:w="1955" w:type="dxa"/>
            <w:tcBorders>
              <w:top w:val="nil"/>
              <w:bottom w:val="single" w:sz="4" w:space="0" w:color="auto"/>
            </w:tcBorders>
          </w:tcPr>
          <w:p w:rsidR="00212513" w:rsidRDefault="00212513">
            <w:pPr>
              <w:pStyle w:val="ConsPlusNormal"/>
              <w:jc w:val="center"/>
            </w:pPr>
            <w:r>
              <w:t>-</w:t>
            </w:r>
          </w:p>
        </w:tc>
      </w:tr>
      <w:tr w:rsidR="00212513">
        <w:tblPrEx>
          <w:tblBorders>
            <w:insideH w:val="none" w:sz="0" w:space="0" w:color="auto"/>
          </w:tblBorders>
        </w:tblPrEx>
        <w:tc>
          <w:tcPr>
            <w:tcW w:w="5159" w:type="dxa"/>
            <w:tcBorders>
              <w:top w:val="single" w:sz="4" w:space="0" w:color="auto"/>
              <w:bottom w:val="nil"/>
            </w:tcBorders>
          </w:tcPr>
          <w:p w:rsidR="00212513" w:rsidRDefault="00212513">
            <w:pPr>
              <w:pStyle w:val="ConsPlusNormal"/>
            </w:pPr>
            <w:r>
              <w:t>Возраст бетона в момент загружения, сут:</w:t>
            </w:r>
          </w:p>
        </w:tc>
        <w:tc>
          <w:tcPr>
            <w:tcW w:w="1955" w:type="dxa"/>
            <w:tcBorders>
              <w:top w:val="single" w:sz="4" w:space="0" w:color="auto"/>
              <w:bottom w:val="nil"/>
            </w:tcBorders>
          </w:tcPr>
          <w:p w:rsidR="00212513" w:rsidRDefault="00212513">
            <w:pPr>
              <w:pStyle w:val="ConsPlusNormal"/>
              <w:jc w:val="both"/>
            </w:pPr>
          </w:p>
        </w:tc>
        <w:tc>
          <w:tcPr>
            <w:tcW w:w="1955" w:type="dxa"/>
            <w:tcBorders>
              <w:top w:val="single" w:sz="4" w:space="0" w:color="auto"/>
              <w:bottom w:val="nil"/>
            </w:tcBorders>
          </w:tcPr>
          <w:p w:rsidR="00212513" w:rsidRDefault="00212513">
            <w:pPr>
              <w:pStyle w:val="ConsPlusNormal"/>
              <w:jc w:val="both"/>
            </w:pPr>
          </w:p>
        </w:tc>
      </w:tr>
      <w:tr w:rsidR="00212513">
        <w:tblPrEx>
          <w:tblBorders>
            <w:insideH w:val="none" w:sz="0" w:space="0" w:color="auto"/>
          </w:tblBorders>
        </w:tblPrEx>
        <w:tc>
          <w:tcPr>
            <w:tcW w:w="5159" w:type="dxa"/>
            <w:tcBorders>
              <w:top w:val="nil"/>
              <w:bottom w:val="nil"/>
            </w:tcBorders>
          </w:tcPr>
          <w:p w:rsidR="00212513" w:rsidRDefault="00212513">
            <w:pPr>
              <w:pStyle w:val="ConsPlusNormal"/>
              <w:ind w:left="283"/>
            </w:pPr>
            <w:r>
              <w:t>28 и менее</w:t>
            </w:r>
          </w:p>
        </w:tc>
        <w:tc>
          <w:tcPr>
            <w:tcW w:w="1955" w:type="dxa"/>
            <w:tcBorders>
              <w:top w:val="nil"/>
              <w:bottom w:val="nil"/>
            </w:tcBorders>
          </w:tcPr>
          <w:p w:rsidR="00212513" w:rsidRDefault="00212513">
            <w:pPr>
              <w:pStyle w:val="ConsPlusNormal"/>
              <w:jc w:val="center"/>
            </w:pPr>
            <w:r>
              <w:t>1,0</w:t>
            </w:r>
          </w:p>
        </w:tc>
        <w:tc>
          <w:tcPr>
            <w:tcW w:w="1955" w:type="dxa"/>
            <w:tcBorders>
              <w:top w:val="nil"/>
              <w:bottom w:val="nil"/>
            </w:tcBorders>
          </w:tcPr>
          <w:p w:rsidR="00212513" w:rsidRDefault="00212513">
            <w:pPr>
              <w:pStyle w:val="ConsPlusNormal"/>
              <w:jc w:val="center"/>
            </w:pPr>
            <w:r>
              <w:t>-</w:t>
            </w:r>
          </w:p>
        </w:tc>
      </w:tr>
      <w:tr w:rsidR="00212513">
        <w:tblPrEx>
          <w:tblBorders>
            <w:insideH w:val="none" w:sz="0" w:space="0" w:color="auto"/>
          </w:tblBorders>
        </w:tblPrEx>
        <w:tc>
          <w:tcPr>
            <w:tcW w:w="5159" w:type="dxa"/>
            <w:tcBorders>
              <w:top w:val="nil"/>
              <w:bottom w:val="nil"/>
            </w:tcBorders>
          </w:tcPr>
          <w:p w:rsidR="00212513" w:rsidRDefault="00212513">
            <w:pPr>
              <w:pStyle w:val="ConsPlusNormal"/>
              <w:ind w:left="283"/>
            </w:pPr>
            <w:r>
              <w:t>60</w:t>
            </w:r>
          </w:p>
        </w:tc>
        <w:tc>
          <w:tcPr>
            <w:tcW w:w="1955" w:type="dxa"/>
            <w:tcBorders>
              <w:top w:val="nil"/>
              <w:bottom w:val="nil"/>
            </w:tcBorders>
          </w:tcPr>
          <w:p w:rsidR="00212513" w:rsidRDefault="00212513">
            <w:pPr>
              <w:pStyle w:val="ConsPlusNormal"/>
              <w:jc w:val="center"/>
            </w:pPr>
            <w:r>
              <w:t>0,8</w:t>
            </w:r>
          </w:p>
        </w:tc>
        <w:tc>
          <w:tcPr>
            <w:tcW w:w="1955" w:type="dxa"/>
            <w:tcBorders>
              <w:top w:val="nil"/>
              <w:bottom w:val="nil"/>
            </w:tcBorders>
          </w:tcPr>
          <w:p w:rsidR="00212513" w:rsidRDefault="00212513">
            <w:pPr>
              <w:pStyle w:val="ConsPlusNormal"/>
              <w:jc w:val="center"/>
            </w:pPr>
            <w:r>
              <w:t>-</w:t>
            </w:r>
          </w:p>
        </w:tc>
      </w:tr>
      <w:tr w:rsidR="00212513">
        <w:tblPrEx>
          <w:tblBorders>
            <w:insideH w:val="none" w:sz="0" w:space="0" w:color="auto"/>
          </w:tblBorders>
        </w:tblPrEx>
        <w:tc>
          <w:tcPr>
            <w:tcW w:w="5159" w:type="dxa"/>
            <w:tcBorders>
              <w:top w:val="nil"/>
              <w:bottom w:val="nil"/>
            </w:tcBorders>
          </w:tcPr>
          <w:p w:rsidR="00212513" w:rsidRDefault="00212513">
            <w:pPr>
              <w:pStyle w:val="ConsPlusNormal"/>
              <w:ind w:left="283"/>
            </w:pPr>
            <w:r>
              <w:t>90</w:t>
            </w:r>
          </w:p>
        </w:tc>
        <w:tc>
          <w:tcPr>
            <w:tcW w:w="1955" w:type="dxa"/>
            <w:tcBorders>
              <w:top w:val="nil"/>
              <w:bottom w:val="nil"/>
            </w:tcBorders>
          </w:tcPr>
          <w:p w:rsidR="00212513" w:rsidRDefault="00212513">
            <w:pPr>
              <w:pStyle w:val="ConsPlusNormal"/>
              <w:jc w:val="center"/>
            </w:pPr>
            <w:r>
              <w:t>0,7</w:t>
            </w:r>
          </w:p>
        </w:tc>
        <w:tc>
          <w:tcPr>
            <w:tcW w:w="1955" w:type="dxa"/>
            <w:tcBorders>
              <w:top w:val="nil"/>
              <w:bottom w:val="nil"/>
            </w:tcBorders>
          </w:tcPr>
          <w:p w:rsidR="00212513" w:rsidRDefault="00212513">
            <w:pPr>
              <w:pStyle w:val="ConsPlusNormal"/>
              <w:jc w:val="center"/>
            </w:pPr>
            <w:r>
              <w:t>-</w:t>
            </w:r>
          </w:p>
        </w:tc>
      </w:tr>
      <w:tr w:rsidR="00212513">
        <w:tblPrEx>
          <w:tblBorders>
            <w:insideH w:val="none" w:sz="0" w:space="0" w:color="auto"/>
          </w:tblBorders>
        </w:tblPrEx>
        <w:tc>
          <w:tcPr>
            <w:tcW w:w="5159" w:type="dxa"/>
            <w:tcBorders>
              <w:top w:val="nil"/>
              <w:bottom w:val="nil"/>
            </w:tcBorders>
          </w:tcPr>
          <w:p w:rsidR="00212513" w:rsidRDefault="00212513">
            <w:pPr>
              <w:pStyle w:val="ConsPlusNormal"/>
              <w:ind w:left="283"/>
            </w:pPr>
            <w:r>
              <w:t>180</w:t>
            </w:r>
          </w:p>
        </w:tc>
        <w:tc>
          <w:tcPr>
            <w:tcW w:w="1955" w:type="dxa"/>
            <w:tcBorders>
              <w:top w:val="nil"/>
              <w:bottom w:val="nil"/>
            </w:tcBorders>
          </w:tcPr>
          <w:p w:rsidR="00212513" w:rsidRDefault="00212513">
            <w:pPr>
              <w:pStyle w:val="ConsPlusNormal"/>
              <w:jc w:val="center"/>
            </w:pPr>
            <w:r>
              <w:t>0,6</w:t>
            </w:r>
          </w:p>
        </w:tc>
        <w:tc>
          <w:tcPr>
            <w:tcW w:w="1955" w:type="dxa"/>
            <w:tcBorders>
              <w:top w:val="nil"/>
              <w:bottom w:val="nil"/>
            </w:tcBorders>
          </w:tcPr>
          <w:p w:rsidR="00212513" w:rsidRDefault="00212513">
            <w:pPr>
              <w:pStyle w:val="ConsPlusNormal"/>
              <w:jc w:val="center"/>
            </w:pPr>
            <w:r>
              <w:t>-</w:t>
            </w:r>
          </w:p>
        </w:tc>
      </w:tr>
      <w:tr w:rsidR="00212513">
        <w:tblPrEx>
          <w:tblBorders>
            <w:insideH w:val="none" w:sz="0" w:space="0" w:color="auto"/>
          </w:tblBorders>
        </w:tblPrEx>
        <w:tc>
          <w:tcPr>
            <w:tcW w:w="5159" w:type="dxa"/>
            <w:tcBorders>
              <w:top w:val="nil"/>
              <w:bottom w:val="single" w:sz="4" w:space="0" w:color="auto"/>
            </w:tcBorders>
          </w:tcPr>
          <w:p w:rsidR="00212513" w:rsidRDefault="00212513">
            <w:pPr>
              <w:pStyle w:val="ConsPlusNormal"/>
              <w:ind w:left="283"/>
            </w:pPr>
            <w:r>
              <w:t>360 и более</w:t>
            </w:r>
          </w:p>
        </w:tc>
        <w:tc>
          <w:tcPr>
            <w:tcW w:w="1955" w:type="dxa"/>
            <w:tcBorders>
              <w:top w:val="nil"/>
              <w:bottom w:val="single" w:sz="4" w:space="0" w:color="auto"/>
            </w:tcBorders>
          </w:tcPr>
          <w:p w:rsidR="00212513" w:rsidRDefault="00212513">
            <w:pPr>
              <w:pStyle w:val="ConsPlusNormal"/>
              <w:jc w:val="center"/>
            </w:pPr>
            <w:r>
              <w:t>0,5</w:t>
            </w:r>
          </w:p>
        </w:tc>
        <w:tc>
          <w:tcPr>
            <w:tcW w:w="1955" w:type="dxa"/>
            <w:tcBorders>
              <w:top w:val="nil"/>
              <w:bottom w:val="single" w:sz="4" w:space="0" w:color="auto"/>
            </w:tcBorders>
          </w:tcPr>
          <w:p w:rsidR="00212513" w:rsidRDefault="00212513">
            <w:pPr>
              <w:pStyle w:val="ConsPlusNormal"/>
              <w:jc w:val="center"/>
            </w:pPr>
            <w:r>
              <w:t>-</w:t>
            </w:r>
          </w:p>
        </w:tc>
      </w:tr>
      <w:tr w:rsidR="00212513">
        <w:tblPrEx>
          <w:tblBorders>
            <w:insideH w:val="none" w:sz="0" w:space="0" w:color="auto"/>
          </w:tblBorders>
        </w:tblPrEx>
        <w:tc>
          <w:tcPr>
            <w:tcW w:w="5159" w:type="dxa"/>
            <w:tcBorders>
              <w:top w:val="single" w:sz="4" w:space="0" w:color="auto"/>
              <w:bottom w:val="nil"/>
            </w:tcBorders>
          </w:tcPr>
          <w:p w:rsidR="00212513" w:rsidRDefault="00212513">
            <w:pPr>
              <w:pStyle w:val="ConsPlusNormal"/>
            </w:pPr>
            <w:r>
              <w:t>Модуль удельный поверхности элемента, м</w:t>
            </w:r>
            <w:r>
              <w:rPr>
                <w:vertAlign w:val="superscript"/>
              </w:rPr>
              <w:t>-1</w:t>
            </w:r>
            <w:r>
              <w:t>;</w:t>
            </w:r>
          </w:p>
        </w:tc>
        <w:tc>
          <w:tcPr>
            <w:tcW w:w="1955" w:type="dxa"/>
            <w:tcBorders>
              <w:top w:val="single" w:sz="4" w:space="0" w:color="auto"/>
              <w:bottom w:val="nil"/>
            </w:tcBorders>
          </w:tcPr>
          <w:p w:rsidR="00212513" w:rsidRDefault="00212513">
            <w:pPr>
              <w:pStyle w:val="ConsPlusNormal"/>
              <w:jc w:val="both"/>
            </w:pPr>
          </w:p>
        </w:tc>
        <w:tc>
          <w:tcPr>
            <w:tcW w:w="1955" w:type="dxa"/>
            <w:tcBorders>
              <w:top w:val="single" w:sz="4" w:space="0" w:color="auto"/>
              <w:bottom w:val="nil"/>
            </w:tcBorders>
          </w:tcPr>
          <w:p w:rsidR="00212513" w:rsidRDefault="00212513">
            <w:pPr>
              <w:pStyle w:val="ConsPlusNormal"/>
              <w:jc w:val="both"/>
            </w:pPr>
          </w:p>
        </w:tc>
      </w:tr>
      <w:tr w:rsidR="00212513">
        <w:tblPrEx>
          <w:tblBorders>
            <w:insideH w:val="none" w:sz="0" w:space="0" w:color="auto"/>
          </w:tblBorders>
        </w:tblPrEx>
        <w:tc>
          <w:tcPr>
            <w:tcW w:w="5159" w:type="dxa"/>
            <w:tcBorders>
              <w:top w:val="nil"/>
              <w:bottom w:val="nil"/>
            </w:tcBorders>
          </w:tcPr>
          <w:p w:rsidR="00212513" w:rsidRDefault="00212513">
            <w:pPr>
              <w:pStyle w:val="ConsPlusNormal"/>
              <w:ind w:left="283"/>
            </w:pPr>
            <w:r>
              <w:t>0</w:t>
            </w:r>
          </w:p>
        </w:tc>
        <w:tc>
          <w:tcPr>
            <w:tcW w:w="1955" w:type="dxa"/>
            <w:tcBorders>
              <w:top w:val="nil"/>
              <w:bottom w:val="nil"/>
            </w:tcBorders>
          </w:tcPr>
          <w:p w:rsidR="00212513" w:rsidRDefault="00212513">
            <w:pPr>
              <w:pStyle w:val="ConsPlusNormal"/>
              <w:jc w:val="center"/>
            </w:pPr>
            <w:r>
              <w:t>0,51</w:t>
            </w:r>
          </w:p>
        </w:tc>
        <w:tc>
          <w:tcPr>
            <w:tcW w:w="1955" w:type="dxa"/>
            <w:tcBorders>
              <w:top w:val="nil"/>
              <w:bottom w:val="nil"/>
            </w:tcBorders>
          </w:tcPr>
          <w:p w:rsidR="00212513" w:rsidRDefault="00212513">
            <w:pPr>
              <w:pStyle w:val="ConsPlusNormal"/>
              <w:jc w:val="center"/>
            </w:pPr>
            <w:r>
              <w:t>0,22</w:t>
            </w:r>
          </w:p>
        </w:tc>
      </w:tr>
      <w:tr w:rsidR="00212513">
        <w:tblPrEx>
          <w:tblBorders>
            <w:insideH w:val="none" w:sz="0" w:space="0" w:color="auto"/>
          </w:tblBorders>
        </w:tblPrEx>
        <w:tc>
          <w:tcPr>
            <w:tcW w:w="5159" w:type="dxa"/>
            <w:tcBorders>
              <w:top w:val="nil"/>
              <w:bottom w:val="nil"/>
            </w:tcBorders>
          </w:tcPr>
          <w:p w:rsidR="00212513" w:rsidRDefault="00212513">
            <w:pPr>
              <w:pStyle w:val="ConsPlusNormal"/>
              <w:ind w:left="283"/>
            </w:pPr>
            <w:r>
              <w:t>5</w:t>
            </w:r>
          </w:p>
        </w:tc>
        <w:tc>
          <w:tcPr>
            <w:tcW w:w="1955" w:type="dxa"/>
            <w:tcBorders>
              <w:top w:val="nil"/>
              <w:bottom w:val="nil"/>
            </w:tcBorders>
          </w:tcPr>
          <w:p w:rsidR="00212513" w:rsidRDefault="00212513">
            <w:pPr>
              <w:pStyle w:val="ConsPlusNormal"/>
              <w:jc w:val="center"/>
            </w:pPr>
            <w:r>
              <w:t>0,65</w:t>
            </w:r>
          </w:p>
        </w:tc>
        <w:tc>
          <w:tcPr>
            <w:tcW w:w="1955" w:type="dxa"/>
            <w:tcBorders>
              <w:top w:val="nil"/>
              <w:bottom w:val="nil"/>
            </w:tcBorders>
          </w:tcPr>
          <w:p w:rsidR="00212513" w:rsidRDefault="00212513">
            <w:pPr>
              <w:pStyle w:val="ConsPlusNormal"/>
              <w:jc w:val="center"/>
            </w:pPr>
            <w:r>
              <w:t>0,54</w:t>
            </w:r>
          </w:p>
        </w:tc>
      </w:tr>
      <w:tr w:rsidR="00212513">
        <w:tblPrEx>
          <w:tblBorders>
            <w:insideH w:val="none" w:sz="0" w:space="0" w:color="auto"/>
          </w:tblBorders>
        </w:tblPrEx>
        <w:tc>
          <w:tcPr>
            <w:tcW w:w="5159" w:type="dxa"/>
            <w:tcBorders>
              <w:top w:val="nil"/>
              <w:bottom w:val="nil"/>
            </w:tcBorders>
          </w:tcPr>
          <w:p w:rsidR="00212513" w:rsidRDefault="00212513">
            <w:pPr>
              <w:pStyle w:val="ConsPlusNormal"/>
              <w:ind w:left="283"/>
            </w:pPr>
            <w:r>
              <w:t>10</w:t>
            </w:r>
          </w:p>
        </w:tc>
        <w:tc>
          <w:tcPr>
            <w:tcW w:w="1955" w:type="dxa"/>
            <w:tcBorders>
              <w:top w:val="nil"/>
              <w:bottom w:val="nil"/>
            </w:tcBorders>
          </w:tcPr>
          <w:p w:rsidR="00212513" w:rsidRDefault="00212513">
            <w:pPr>
              <w:pStyle w:val="ConsPlusNormal"/>
              <w:jc w:val="center"/>
            </w:pPr>
            <w:r>
              <w:t>0,76</w:t>
            </w:r>
          </w:p>
        </w:tc>
        <w:tc>
          <w:tcPr>
            <w:tcW w:w="1955" w:type="dxa"/>
            <w:tcBorders>
              <w:top w:val="nil"/>
              <w:bottom w:val="nil"/>
            </w:tcBorders>
          </w:tcPr>
          <w:p w:rsidR="00212513" w:rsidRDefault="00212513">
            <w:pPr>
              <w:pStyle w:val="ConsPlusNormal"/>
              <w:jc w:val="center"/>
            </w:pPr>
            <w:r>
              <w:t>0,66</w:t>
            </w:r>
          </w:p>
        </w:tc>
      </w:tr>
      <w:tr w:rsidR="00212513">
        <w:tblPrEx>
          <w:tblBorders>
            <w:insideH w:val="none" w:sz="0" w:space="0" w:color="auto"/>
          </w:tblBorders>
        </w:tblPrEx>
        <w:tc>
          <w:tcPr>
            <w:tcW w:w="5159" w:type="dxa"/>
            <w:tcBorders>
              <w:top w:val="nil"/>
              <w:bottom w:val="nil"/>
            </w:tcBorders>
          </w:tcPr>
          <w:p w:rsidR="00212513" w:rsidRDefault="00212513">
            <w:pPr>
              <w:pStyle w:val="ConsPlusNormal"/>
              <w:ind w:left="283"/>
            </w:pPr>
            <w:r>
              <w:t>20</w:t>
            </w:r>
          </w:p>
        </w:tc>
        <w:tc>
          <w:tcPr>
            <w:tcW w:w="1955" w:type="dxa"/>
            <w:tcBorders>
              <w:top w:val="nil"/>
              <w:bottom w:val="nil"/>
            </w:tcBorders>
          </w:tcPr>
          <w:p w:rsidR="00212513" w:rsidRDefault="00212513">
            <w:pPr>
              <w:pStyle w:val="ConsPlusNormal"/>
              <w:jc w:val="center"/>
            </w:pPr>
            <w:r>
              <w:t>0,93</w:t>
            </w:r>
          </w:p>
        </w:tc>
        <w:tc>
          <w:tcPr>
            <w:tcW w:w="1955" w:type="dxa"/>
            <w:tcBorders>
              <w:top w:val="nil"/>
              <w:bottom w:val="nil"/>
            </w:tcBorders>
          </w:tcPr>
          <w:p w:rsidR="00212513" w:rsidRDefault="00212513">
            <w:pPr>
              <w:pStyle w:val="ConsPlusNormal"/>
              <w:jc w:val="center"/>
            </w:pPr>
            <w:r>
              <w:t>0,92</w:t>
            </w:r>
          </w:p>
        </w:tc>
      </w:tr>
      <w:tr w:rsidR="00212513">
        <w:tblPrEx>
          <w:tblBorders>
            <w:insideH w:val="none" w:sz="0" w:space="0" w:color="auto"/>
          </w:tblBorders>
        </w:tblPrEx>
        <w:tc>
          <w:tcPr>
            <w:tcW w:w="5159" w:type="dxa"/>
            <w:tcBorders>
              <w:top w:val="nil"/>
              <w:bottom w:val="nil"/>
            </w:tcBorders>
          </w:tcPr>
          <w:p w:rsidR="00212513" w:rsidRDefault="00212513">
            <w:pPr>
              <w:pStyle w:val="ConsPlusNormal"/>
              <w:ind w:left="283"/>
            </w:pPr>
            <w:r>
              <w:t>40</w:t>
            </w:r>
          </w:p>
        </w:tc>
        <w:tc>
          <w:tcPr>
            <w:tcW w:w="1955" w:type="dxa"/>
            <w:tcBorders>
              <w:top w:val="nil"/>
              <w:bottom w:val="nil"/>
            </w:tcBorders>
          </w:tcPr>
          <w:p w:rsidR="00212513" w:rsidRDefault="00212513">
            <w:pPr>
              <w:pStyle w:val="ConsPlusNormal"/>
              <w:jc w:val="center"/>
            </w:pPr>
            <w:r>
              <w:t>1,11</w:t>
            </w:r>
          </w:p>
        </w:tc>
        <w:tc>
          <w:tcPr>
            <w:tcW w:w="1955" w:type="dxa"/>
            <w:tcBorders>
              <w:top w:val="nil"/>
              <w:bottom w:val="nil"/>
            </w:tcBorders>
          </w:tcPr>
          <w:p w:rsidR="00212513" w:rsidRDefault="00212513">
            <w:pPr>
              <w:pStyle w:val="ConsPlusNormal"/>
              <w:jc w:val="center"/>
            </w:pPr>
            <w:r>
              <w:t>1,10</w:t>
            </w:r>
          </w:p>
        </w:tc>
      </w:tr>
      <w:tr w:rsidR="00212513">
        <w:tblPrEx>
          <w:tblBorders>
            <w:insideH w:val="none" w:sz="0" w:space="0" w:color="auto"/>
          </w:tblBorders>
        </w:tblPrEx>
        <w:tc>
          <w:tcPr>
            <w:tcW w:w="5159" w:type="dxa"/>
            <w:tcBorders>
              <w:top w:val="nil"/>
              <w:bottom w:val="nil"/>
            </w:tcBorders>
          </w:tcPr>
          <w:p w:rsidR="00212513" w:rsidRDefault="00212513">
            <w:pPr>
              <w:pStyle w:val="ConsPlusNormal"/>
              <w:ind w:left="283"/>
            </w:pPr>
            <w:r>
              <w:t>60</w:t>
            </w:r>
          </w:p>
        </w:tc>
        <w:tc>
          <w:tcPr>
            <w:tcW w:w="1955" w:type="dxa"/>
            <w:tcBorders>
              <w:top w:val="nil"/>
              <w:bottom w:val="nil"/>
            </w:tcBorders>
          </w:tcPr>
          <w:p w:rsidR="00212513" w:rsidRDefault="00212513">
            <w:pPr>
              <w:pStyle w:val="ConsPlusNormal"/>
              <w:jc w:val="center"/>
            </w:pPr>
            <w:r>
              <w:t>1,23</w:t>
            </w:r>
          </w:p>
        </w:tc>
        <w:tc>
          <w:tcPr>
            <w:tcW w:w="1955" w:type="dxa"/>
            <w:tcBorders>
              <w:top w:val="nil"/>
              <w:bottom w:val="nil"/>
            </w:tcBorders>
          </w:tcPr>
          <w:p w:rsidR="00212513" w:rsidRDefault="00212513">
            <w:pPr>
              <w:pStyle w:val="ConsPlusNormal"/>
              <w:jc w:val="center"/>
            </w:pPr>
            <w:r>
              <w:t>1,18</w:t>
            </w:r>
          </w:p>
        </w:tc>
      </w:tr>
      <w:tr w:rsidR="00212513">
        <w:tblPrEx>
          <w:tblBorders>
            <w:insideH w:val="none" w:sz="0" w:space="0" w:color="auto"/>
          </w:tblBorders>
        </w:tblPrEx>
        <w:tc>
          <w:tcPr>
            <w:tcW w:w="5159" w:type="dxa"/>
            <w:tcBorders>
              <w:top w:val="nil"/>
              <w:bottom w:val="single" w:sz="4" w:space="0" w:color="auto"/>
            </w:tcBorders>
          </w:tcPr>
          <w:p w:rsidR="00212513" w:rsidRDefault="00212513">
            <w:pPr>
              <w:pStyle w:val="ConsPlusNormal"/>
              <w:ind w:left="283"/>
            </w:pPr>
            <w:r>
              <w:t>80 и более</w:t>
            </w:r>
          </w:p>
        </w:tc>
        <w:tc>
          <w:tcPr>
            <w:tcW w:w="1955" w:type="dxa"/>
            <w:tcBorders>
              <w:top w:val="nil"/>
              <w:bottom w:val="single" w:sz="4" w:space="0" w:color="auto"/>
            </w:tcBorders>
          </w:tcPr>
          <w:p w:rsidR="00212513" w:rsidRDefault="00212513">
            <w:pPr>
              <w:pStyle w:val="ConsPlusNormal"/>
              <w:jc w:val="center"/>
            </w:pPr>
            <w:r>
              <w:t>1,30</w:t>
            </w:r>
          </w:p>
        </w:tc>
        <w:tc>
          <w:tcPr>
            <w:tcW w:w="1955" w:type="dxa"/>
            <w:tcBorders>
              <w:top w:val="nil"/>
              <w:bottom w:val="single" w:sz="4" w:space="0" w:color="auto"/>
            </w:tcBorders>
          </w:tcPr>
          <w:p w:rsidR="00212513" w:rsidRDefault="00212513">
            <w:pPr>
              <w:pStyle w:val="ConsPlusNormal"/>
              <w:jc w:val="center"/>
            </w:pPr>
            <w:r>
              <w:t>1,22</w:t>
            </w:r>
          </w:p>
        </w:tc>
      </w:tr>
      <w:tr w:rsidR="00212513">
        <w:tblPrEx>
          <w:tblBorders>
            <w:insideH w:val="none" w:sz="0" w:space="0" w:color="auto"/>
          </w:tblBorders>
        </w:tblPrEx>
        <w:tc>
          <w:tcPr>
            <w:tcW w:w="5159" w:type="dxa"/>
            <w:tcBorders>
              <w:top w:val="single" w:sz="4" w:space="0" w:color="auto"/>
              <w:bottom w:val="nil"/>
            </w:tcBorders>
          </w:tcPr>
          <w:p w:rsidR="00212513" w:rsidRDefault="00212513">
            <w:pPr>
              <w:pStyle w:val="ConsPlusNormal"/>
            </w:pPr>
            <w:r>
              <w:lastRenderedPageBreak/>
              <w:t>Относительная влажность воздуха, %:</w:t>
            </w:r>
          </w:p>
        </w:tc>
        <w:tc>
          <w:tcPr>
            <w:tcW w:w="1955" w:type="dxa"/>
            <w:tcBorders>
              <w:top w:val="single" w:sz="4" w:space="0" w:color="auto"/>
              <w:bottom w:val="nil"/>
            </w:tcBorders>
          </w:tcPr>
          <w:p w:rsidR="00212513" w:rsidRDefault="00212513">
            <w:pPr>
              <w:pStyle w:val="ConsPlusNormal"/>
              <w:jc w:val="both"/>
            </w:pPr>
          </w:p>
        </w:tc>
        <w:tc>
          <w:tcPr>
            <w:tcW w:w="1955" w:type="dxa"/>
            <w:tcBorders>
              <w:top w:val="single" w:sz="4" w:space="0" w:color="auto"/>
              <w:bottom w:val="nil"/>
            </w:tcBorders>
          </w:tcPr>
          <w:p w:rsidR="00212513" w:rsidRDefault="00212513">
            <w:pPr>
              <w:pStyle w:val="ConsPlusNormal"/>
              <w:jc w:val="both"/>
            </w:pPr>
          </w:p>
        </w:tc>
      </w:tr>
      <w:tr w:rsidR="00212513">
        <w:tblPrEx>
          <w:tblBorders>
            <w:insideH w:val="none" w:sz="0" w:space="0" w:color="auto"/>
          </w:tblBorders>
        </w:tblPrEx>
        <w:tc>
          <w:tcPr>
            <w:tcW w:w="5159" w:type="dxa"/>
            <w:tcBorders>
              <w:top w:val="nil"/>
              <w:bottom w:val="nil"/>
            </w:tcBorders>
          </w:tcPr>
          <w:p w:rsidR="00212513" w:rsidRDefault="00212513">
            <w:pPr>
              <w:pStyle w:val="ConsPlusNormal"/>
              <w:ind w:left="283"/>
            </w:pPr>
            <w:r>
              <w:t>40 и менее</w:t>
            </w:r>
          </w:p>
        </w:tc>
        <w:tc>
          <w:tcPr>
            <w:tcW w:w="1955" w:type="dxa"/>
            <w:tcBorders>
              <w:top w:val="nil"/>
              <w:bottom w:val="nil"/>
            </w:tcBorders>
          </w:tcPr>
          <w:p w:rsidR="00212513" w:rsidRDefault="00212513">
            <w:pPr>
              <w:pStyle w:val="ConsPlusNormal"/>
              <w:jc w:val="center"/>
            </w:pPr>
            <w:r>
              <w:t>1,27</w:t>
            </w:r>
          </w:p>
        </w:tc>
        <w:tc>
          <w:tcPr>
            <w:tcW w:w="1955" w:type="dxa"/>
            <w:tcBorders>
              <w:top w:val="nil"/>
              <w:bottom w:val="nil"/>
            </w:tcBorders>
          </w:tcPr>
          <w:p w:rsidR="00212513" w:rsidRDefault="00212513">
            <w:pPr>
              <w:pStyle w:val="ConsPlusNormal"/>
              <w:jc w:val="center"/>
            </w:pPr>
            <w:r>
              <w:t>1,14</w:t>
            </w:r>
          </w:p>
        </w:tc>
      </w:tr>
      <w:tr w:rsidR="00212513">
        <w:tblPrEx>
          <w:tblBorders>
            <w:insideH w:val="none" w:sz="0" w:space="0" w:color="auto"/>
          </w:tblBorders>
        </w:tblPrEx>
        <w:tc>
          <w:tcPr>
            <w:tcW w:w="5159" w:type="dxa"/>
            <w:tcBorders>
              <w:top w:val="nil"/>
              <w:bottom w:val="nil"/>
            </w:tcBorders>
          </w:tcPr>
          <w:p w:rsidR="00212513" w:rsidRDefault="00212513">
            <w:pPr>
              <w:pStyle w:val="ConsPlusNormal"/>
              <w:ind w:left="283"/>
            </w:pPr>
            <w:r>
              <w:t>50</w:t>
            </w:r>
          </w:p>
        </w:tc>
        <w:tc>
          <w:tcPr>
            <w:tcW w:w="1955" w:type="dxa"/>
            <w:tcBorders>
              <w:top w:val="nil"/>
              <w:bottom w:val="nil"/>
            </w:tcBorders>
          </w:tcPr>
          <w:p w:rsidR="00212513" w:rsidRDefault="00212513">
            <w:pPr>
              <w:pStyle w:val="ConsPlusNormal"/>
              <w:jc w:val="center"/>
            </w:pPr>
            <w:r>
              <w:t>1,13</w:t>
            </w:r>
          </w:p>
        </w:tc>
        <w:tc>
          <w:tcPr>
            <w:tcW w:w="1955" w:type="dxa"/>
            <w:tcBorders>
              <w:top w:val="nil"/>
              <w:bottom w:val="nil"/>
            </w:tcBorders>
          </w:tcPr>
          <w:p w:rsidR="00212513" w:rsidRDefault="00212513">
            <w:pPr>
              <w:pStyle w:val="ConsPlusNormal"/>
              <w:jc w:val="center"/>
            </w:pPr>
            <w:r>
              <w:t>1,08</w:t>
            </w:r>
          </w:p>
        </w:tc>
      </w:tr>
      <w:tr w:rsidR="00212513">
        <w:tblPrEx>
          <w:tblBorders>
            <w:insideH w:val="none" w:sz="0" w:space="0" w:color="auto"/>
          </w:tblBorders>
        </w:tblPrEx>
        <w:tc>
          <w:tcPr>
            <w:tcW w:w="5159" w:type="dxa"/>
            <w:tcBorders>
              <w:top w:val="nil"/>
              <w:bottom w:val="nil"/>
            </w:tcBorders>
          </w:tcPr>
          <w:p w:rsidR="00212513" w:rsidRDefault="00212513">
            <w:pPr>
              <w:pStyle w:val="ConsPlusNormal"/>
              <w:ind w:left="283"/>
            </w:pPr>
            <w:r>
              <w:t>60</w:t>
            </w:r>
          </w:p>
        </w:tc>
        <w:tc>
          <w:tcPr>
            <w:tcW w:w="1955" w:type="dxa"/>
            <w:tcBorders>
              <w:top w:val="nil"/>
              <w:bottom w:val="nil"/>
            </w:tcBorders>
          </w:tcPr>
          <w:p w:rsidR="00212513" w:rsidRDefault="00212513">
            <w:pPr>
              <w:pStyle w:val="ConsPlusNormal"/>
              <w:jc w:val="center"/>
            </w:pPr>
            <w:r>
              <w:t>1,00</w:t>
            </w:r>
          </w:p>
        </w:tc>
        <w:tc>
          <w:tcPr>
            <w:tcW w:w="1955" w:type="dxa"/>
            <w:tcBorders>
              <w:top w:val="nil"/>
              <w:bottom w:val="nil"/>
            </w:tcBorders>
          </w:tcPr>
          <w:p w:rsidR="00212513" w:rsidRDefault="00212513">
            <w:pPr>
              <w:pStyle w:val="ConsPlusNormal"/>
              <w:jc w:val="center"/>
            </w:pPr>
            <w:r>
              <w:t>1,00</w:t>
            </w:r>
          </w:p>
        </w:tc>
      </w:tr>
      <w:tr w:rsidR="00212513">
        <w:tblPrEx>
          <w:tblBorders>
            <w:insideH w:val="none" w:sz="0" w:space="0" w:color="auto"/>
          </w:tblBorders>
        </w:tblPrEx>
        <w:tc>
          <w:tcPr>
            <w:tcW w:w="5159" w:type="dxa"/>
            <w:tcBorders>
              <w:top w:val="nil"/>
              <w:bottom w:val="nil"/>
            </w:tcBorders>
          </w:tcPr>
          <w:p w:rsidR="00212513" w:rsidRDefault="00212513">
            <w:pPr>
              <w:pStyle w:val="ConsPlusNormal"/>
              <w:ind w:left="283"/>
            </w:pPr>
            <w:r>
              <w:t>70</w:t>
            </w:r>
          </w:p>
        </w:tc>
        <w:tc>
          <w:tcPr>
            <w:tcW w:w="1955" w:type="dxa"/>
            <w:tcBorders>
              <w:top w:val="nil"/>
              <w:bottom w:val="nil"/>
            </w:tcBorders>
          </w:tcPr>
          <w:p w:rsidR="00212513" w:rsidRDefault="00212513">
            <w:pPr>
              <w:pStyle w:val="ConsPlusNormal"/>
              <w:jc w:val="center"/>
            </w:pPr>
            <w:r>
              <w:t>0,87</w:t>
            </w:r>
          </w:p>
        </w:tc>
        <w:tc>
          <w:tcPr>
            <w:tcW w:w="1955" w:type="dxa"/>
            <w:tcBorders>
              <w:top w:val="nil"/>
              <w:bottom w:val="nil"/>
            </w:tcBorders>
          </w:tcPr>
          <w:p w:rsidR="00212513" w:rsidRDefault="00212513">
            <w:pPr>
              <w:pStyle w:val="ConsPlusNormal"/>
              <w:jc w:val="center"/>
            </w:pPr>
            <w:r>
              <w:t>0,91</w:t>
            </w:r>
          </w:p>
        </w:tc>
      </w:tr>
      <w:tr w:rsidR="00212513">
        <w:tblPrEx>
          <w:tblBorders>
            <w:insideH w:val="none" w:sz="0" w:space="0" w:color="auto"/>
          </w:tblBorders>
        </w:tblPrEx>
        <w:tc>
          <w:tcPr>
            <w:tcW w:w="5159" w:type="dxa"/>
            <w:tcBorders>
              <w:top w:val="nil"/>
              <w:bottom w:val="nil"/>
            </w:tcBorders>
          </w:tcPr>
          <w:p w:rsidR="00212513" w:rsidRDefault="00212513">
            <w:pPr>
              <w:pStyle w:val="ConsPlusNormal"/>
              <w:ind w:left="283"/>
            </w:pPr>
            <w:r>
              <w:t>80</w:t>
            </w:r>
          </w:p>
        </w:tc>
        <w:tc>
          <w:tcPr>
            <w:tcW w:w="1955" w:type="dxa"/>
            <w:tcBorders>
              <w:top w:val="nil"/>
              <w:bottom w:val="nil"/>
            </w:tcBorders>
          </w:tcPr>
          <w:p w:rsidR="00212513" w:rsidRDefault="00212513">
            <w:pPr>
              <w:pStyle w:val="ConsPlusNormal"/>
              <w:jc w:val="center"/>
            </w:pPr>
            <w:r>
              <w:t>0,73</w:t>
            </w:r>
          </w:p>
        </w:tc>
        <w:tc>
          <w:tcPr>
            <w:tcW w:w="1955" w:type="dxa"/>
            <w:tcBorders>
              <w:top w:val="nil"/>
              <w:bottom w:val="nil"/>
            </w:tcBorders>
          </w:tcPr>
          <w:p w:rsidR="00212513" w:rsidRDefault="00212513">
            <w:pPr>
              <w:pStyle w:val="ConsPlusNormal"/>
              <w:jc w:val="center"/>
            </w:pPr>
            <w:r>
              <w:t>0,79</w:t>
            </w:r>
          </w:p>
        </w:tc>
      </w:tr>
      <w:tr w:rsidR="00212513">
        <w:tblPrEx>
          <w:tblBorders>
            <w:insideH w:val="none" w:sz="0" w:space="0" w:color="auto"/>
          </w:tblBorders>
        </w:tblPrEx>
        <w:tc>
          <w:tcPr>
            <w:tcW w:w="5159" w:type="dxa"/>
            <w:tcBorders>
              <w:top w:val="nil"/>
              <w:bottom w:val="nil"/>
            </w:tcBorders>
          </w:tcPr>
          <w:p w:rsidR="00212513" w:rsidRDefault="00212513">
            <w:pPr>
              <w:pStyle w:val="ConsPlusNormal"/>
              <w:ind w:left="283"/>
            </w:pPr>
            <w:r>
              <w:t>90</w:t>
            </w:r>
          </w:p>
        </w:tc>
        <w:tc>
          <w:tcPr>
            <w:tcW w:w="1955" w:type="dxa"/>
            <w:tcBorders>
              <w:top w:val="nil"/>
              <w:bottom w:val="nil"/>
            </w:tcBorders>
          </w:tcPr>
          <w:p w:rsidR="00212513" w:rsidRDefault="00212513">
            <w:pPr>
              <w:pStyle w:val="ConsPlusNormal"/>
              <w:jc w:val="center"/>
            </w:pPr>
            <w:r>
              <w:t>0,60</w:t>
            </w:r>
          </w:p>
        </w:tc>
        <w:tc>
          <w:tcPr>
            <w:tcW w:w="1955" w:type="dxa"/>
            <w:tcBorders>
              <w:top w:val="nil"/>
              <w:bottom w:val="nil"/>
            </w:tcBorders>
          </w:tcPr>
          <w:p w:rsidR="00212513" w:rsidRDefault="00212513">
            <w:pPr>
              <w:pStyle w:val="ConsPlusNormal"/>
              <w:jc w:val="center"/>
            </w:pPr>
            <w:r>
              <w:t>0,63</w:t>
            </w:r>
          </w:p>
        </w:tc>
      </w:tr>
      <w:tr w:rsidR="00212513">
        <w:tblPrEx>
          <w:tblBorders>
            <w:insideH w:val="none" w:sz="0" w:space="0" w:color="auto"/>
          </w:tblBorders>
        </w:tblPrEx>
        <w:tc>
          <w:tcPr>
            <w:tcW w:w="5159" w:type="dxa"/>
            <w:tcBorders>
              <w:top w:val="nil"/>
              <w:bottom w:val="single" w:sz="4" w:space="0" w:color="auto"/>
            </w:tcBorders>
          </w:tcPr>
          <w:p w:rsidR="00212513" w:rsidRDefault="00212513">
            <w:pPr>
              <w:pStyle w:val="ConsPlusNormal"/>
              <w:ind w:left="283"/>
            </w:pPr>
            <w:r>
              <w:t>100 и более</w:t>
            </w:r>
          </w:p>
        </w:tc>
        <w:tc>
          <w:tcPr>
            <w:tcW w:w="1955" w:type="dxa"/>
            <w:tcBorders>
              <w:top w:val="nil"/>
              <w:bottom w:val="single" w:sz="4" w:space="0" w:color="auto"/>
            </w:tcBorders>
          </w:tcPr>
          <w:p w:rsidR="00212513" w:rsidRDefault="00212513">
            <w:pPr>
              <w:pStyle w:val="ConsPlusNormal"/>
              <w:jc w:val="center"/>
            </w:pPr>
            <w:r>
              <w:t>0,47</w:t>
            </w:r>
          </w:p>
        </w:tc>
        <w:tc>
          <w:tcPr>
            <w:tcW w:w="1955" w:type="dxa"/>
            <w:tcBorders>
              <w:top w:val="nil"/>
              <w:bottom w:val="single" w:sz="4" w:space="0" w:color="auto"/>
            </w:tcBorders>
          </w:tcPr>
          <w:p w:rsidR="00212513" w:rsidRDefault="00212513">
            <w:pPr>
              <w:pStyle w:val="ConsPlusNormal"/>
              <w:jc w:val="center"/>
            </w:pPr>
            <w:r>
              <w:t>0</w:t>
            </w:r>
          </w:p>
        </w:tc>
      </w:tr>
      <w:tr w:rsidR="00212513">
        <w:tblPrEx>
          <w:tblBorders>
            <w:insideH w:val="none" w:sz="0" w:space="0" w:color="auto"/>
          </w:tblBorders>
        </w:tblPrEx>
        <w:tc>
          <w:tcPr>
            <w:tcW w:w="9069" w:type="dxa"/>
            <w:gridSpan w:val="3"/>
            <w:tcBorders>
              <w:top w:val="single" w:sz="4" w:space="0" w:color="auto"/>
              <w:bottom w:val="nil"/>
            </w:tcBorders>
          </w:tcPr>
          <w:p w:rsidR="00212513" w:rsidRDefault="00212513">
            <w:pPr>
              <w:pStyle w:val="ConsPlusNormal"/>
              <w:ind w:firstLine="283"/>
              <w:jc w:val="both"/>
            </w:pPr>
            <w:r>
              <w:t>Примечания</w:t>
            </w:r>
          </w:p>
          <w:p w:rsidR="00212513" w:rsidRDefault="00212513">
            <w:pPr>
              <w:pStyle w:val="ConsPlusNormal"/>
              <w:ind w:firstLine="283"/>
              <w:jc w:val="both"/>
            </w:pPr>
            <w:r>
              <w:t>1 Для промежуточных значений факторов коэффициенты принимают по интерполяции.</w:t>
            </w:r>
          </w:p>
          <w:p w:rsidR="00212513" w:rsidRDefault="00212513">
            <w:pPr>
              <w:pStyle w:val="ConsPlusNormal"/>
              <w:ind w:firstLine="283"/>
              <w:jc w:val="both"/>
            </w:pPr>
            <w:r>
              <w:t xml:space="preserve">2 Влажность принимается как средняя относительная влажность воздуха наиболее жаркого месяца по </w:t>
            </w:r>
            <w:hyperlink r:id="rId686">
              <w:r>
                <w:rPr>
                  <w:color w:val="0000FF"/>
                </w:rPr>
                <w:t>СП 131.13330</w:t>
              </w:r>
            </w:hyperlink>
            <w:r>
              <w:t>, а при расположении конструкции в подрайоне IVA - как среднемесячная влажность, соответствующая времени обжатия бетона. Для типовых конструкций допускается принимать влажность, равную 60%.</w:t>
            </w:r>
          </w:p>
        </w:tc>
      </w:tr>
      <w:tr w:rsidR="00212513">
        <w:tblPrEx>
          <w:tblBorders>
            <w:insideH w:val="none" w:sz="0" w:space="0" w:color="auto"/>
          </w:tblBorders>
        </w:tblPrEx>
        <w:tc>
          <w:tcPr>
            <w:tcW w:w="9069" w:type="dxa"/>
            <w:gridSpan w:val="3"/>
            <w:tcBorders>
              <w:top w:val="nil"/>
              <w:bottom w:val="single" w:sz="4" w:space="0" w:color="auto"/>
            </w:tcBorders>
          </w:tcPr>
          <w:p w:rsidR="00212513" w:rsidRDefault="00212513">
            <w:pPr>
              <w:pStyle w:val="ConsPlusNormal"/>
              <w:jc w:val="both"/>
            </w:pPr>
            <w:r>
              <w:t xml:space="preserve">(в ред. </w:t>
            </w:r>
            <w:hyperlink r:id="rId687">
              <w:r>
                <w:rPr>
                  <w:color w:val="0000FF"/>
                </w:rPr>
                <w:t>Изменения N 1</w:t>
              </w:r>
            </w:hyperlink>
            <w:r>
              <w:t>, утв. Приказом Минстроя России от 03.12.2016 N 879/пр)</w:t>
            </w:r>
          </w:p>
        </w:tc>
      </w:tr>
    </w:tbl>
    <w:p w:rsidR="00212513" w:rsidRDefault="00212513">
      <w:pPr>
        <w:pStyle w:val="ConsPlusNormal"/>
        <w:ind w:firstLine="540"/>
        <w:jc w:val="both"/>
      </w:pPr>
    </w:p>
    <w:p w:rsidR="00212513" w:rsidRDefault="00212513">
      <w:pPr>
        <w:pStyle w:val="ConsPlusTitle"/>
        <w:ind w:firstLine="540"/>
        <w:jc w:val="both"/>
        <w:outlineLvl w:val="2"/>
      </w:pPr>
      <w:r>
        <w:t>Фибробетон</w:t>
      </w:r>
    </w:p>
    <w:p w:rsidR="00212513" w:rsidRDefault="00212513">
      <w:pPr>
        <w:pStyle w:val="ConsPlusNormal"/>
        <w:jc w:val="both"/>
      </w:pPr>
      <w:r>
        <w:t xml:space="preserve">(подраздел введен </w:t>
      </w:r>
      <w:hyperlink r:id="rId688">
        <w:r>
          <w:rPr>
            <w:color w:val="0000FF"/>
          </w:rPr>
          <w:t>Изменением N 2</w:t>
        </w:r>
      </w:hyperlink>
      <w:r>
        <w:t>, утв. Приказом Минстроя России от 11.11.2019 N 681/пр)</w:t>
      </w:r>
    </w:p>
    <w:p w:rsidR="00212513" w:rsidRDefault="00212513">
      <w:pPr>
        <w:pStyle w:val="ConsPlusNormal"/>
        <w:jc w:val="center"/>
      </w:pPr>
    </w:p>
    <w:p w:rsidR="00212513" w:rsidRDefault="00212513">
      <w:pPr>
        <w:pStyle w:val="ConsPlusNormal"/>
        <w:ind w:firstLine="540"/>
        <w:jc w:val="both"/>
      </w:pPr>
      <w:r>
        <w:t xml:space="preserve">7.32а В бетонных и железобетонных конструкциях допускается применять неметаллическую фибру по </w:t>
      </w:r>
      <w:hyperlink r:id="rId689">
        <w:r>
          <w:rPr>
            <w:color w:val="0000FF"/>
          </w:rPr>
          <w:t>ГОСТ 33370</w:t>
        </w:r>
      </w:hyperlink>
      <w:r>
        <w:t xml:space="preserve"> в соответствии с указаниями </w:t>
      </w:r>
      <w:hyperlink r:id="rId690">
        <w:r>
          <w:rPr>
            <w:color w:val="0000FF"/>
          </w:rPr>
          <w:t>СП 297.1325800</w:t>
        </w:r>
      </w:hyperlink>
      <w:r>
        <w:t xml:space="preserve"> в качестве нерабочей арматуры для повышения трещиностойкости, ударной прочности, вязкости разрушения, износостойкости, морозостойкости и понижения усадки и ползучести.</w:t>
      </w:r>
    </w:p>
    <w:p w:rsidR="00212513" w:rsidRDefault="00212513">
      <w:pPr>
        <w:pStyle w:val="ConsPlusNormal"/>
        <w:ind w:firstLine="540"/>
        <w:jc w:val="both"/>
      </w:pPr>
    </w:p>
    <w:p w:rsidR="00212513" w:rsidRDefault="00212513">
      <w:pPr>
        <w:pStyle w:val="ConsPlusTitle"/>
        <w:ind w:firstLine="540"/>
        <w:jc w:val="both"/>
        <w:outlineLvl w:val="2"/>
      </w:pPr>
      <w:r>
        <w:t>Арматура</w:t>
      </w:r>
    </w:p>
    <w:p w:rsidR="00212513" w:rsidRDefault="00212513">
      <w:pPr>
        <w:pStyle w:val="ConsPlusNormal"/>
        <w:jc w:val="center"/>
      </w:pPr>
    </w:p>
    <w:p w:rsidR="00212513" w:rsidRDefault="00212513">
      <w:pPr>
        <w:pStyle w:val="ConsPlusTitle"/>
        <w:ind w:firstLine="540"/>
        <w:jc w:val="both"/>
        <w:outlineLvl w:val="2"/>
      </w:pPr>
      <w:r>
        <w:t>Стальная арматура</w:t>
      </w:r>
    </w:p>
    <w:p w:rsidR="00212513" w:rsidRDefault="00212513">
      <w:pPr>
        <w:pStyle w:val="ConsPlusNormal"/>
        <w:jc w:val="both"/>
      </w:pPr>
      <w:r>
        <w:t xml:space="preserve">(подраздел введен </w:t>
      </w:r>
      <w:hyperlink r:id="rId691">
        <w:r>
          <w:rPr>
            <w:color w:val="0000FF"/>
          </w:rPr>
          <w:t>Изменением N 2</w:t>
        </w:r>
      </w:hyperlink>
      <w:r>
        <w:t>, утв. Приказом Минстроя России от 11.11.2019 N 681/пр)</w:t>
      </w:r>
    </w:p>
    <w:p w:rsidR="00212513" w:rsidRDefault="00212513">
      <w:pPr>
        <w:pStyle w:val="ConsPlusNormal"/>
        <w:ind w:firstLine="540"/>
        <w:jc w:val="both"/>
      </w:pPr>
    </w:p>
    <w:p w:rsidR="00212513" w:rsidRDefault="00212513">
      <w:pPr>
        <w:pStyle w:val="ConsPlusNormal"/>
        <w:ind w:firstLine="540"/>
        <w:jc w:val="both"/>
      </w:pPr>
      <w:bookmarkStart w:id="119" w:name="P2880"/>
      <w:bookmarkEnd w:id="119"/>
      <w:r>
        <w:t>7.33 Основным прочностным показателем арматуры является класс арматуры по прочности на растяжение. Класс арматуры отвечает гарантированному (браковочному) значению физического или условного предела текучести, устанавливаемому в соответствии с требованиями государственных стандартов или технических условий на арматуру.</w:t>
      </w:r>
    </w:p>
    <w:p w:rsidR="00212513" w:rsidRDefault="00212513">
      <w:pPr>
        <w:pStyle w:val="ConsPlusNormal"/>
        <w:spacing w:before="220"/>
        <w:ind w:firstLine="540"/>
        <w:jc w:val="both"/>
      </w:pPr>
      <w:r>
        <w:t>Каждому классу арматуры кроме характеристики по пределу текучести соответствуют также свои значения временного сопротивления разрыву и относительного равномерного удлинения после разрыва.</w:t>
      </w:r>
    </w:p>
    <w:p w:rsidR="00212513" w:rsidRDefault="00212513">
      <w:pPr>
        <w:pStyle w:val="ConsPlusNormal"/>
        <w:spacing w:before="220"/>
        <w:ind w:firstLine="540"/>
        <w:jc w:val="both"/>
      </w:pPr>
      <w:r>
        <w:t>Для высокопрочной проволоки и арматурных канатов допускается устанавливать класс арматуры по гарантированному (браковочному) значению временного сопротивления.</w:t>
      </w:r>
    </w:p>
    <w:p w:rsidR="00212513" w:rsidRDefault="00212513">
      <w:pPr>
        <w:pStyle w:val="ConsPlusNormal"/>
        <w:jc w:val="both"/>
      </w:pPr>
      <w:r>
        <w:t xml:space="preserve">(абзац введен </w:t>
      </w:r>
      <w:hyperlink r:id="rId692">
        <w:r>
          <w:rPr>
            <w:color w:val="0000FF"/>
          </w:rPr>
          <w:t>Изменением N 1</w:t>
        </w:r>
      </w:hyperlink>
      <w:r>
        <w:t>, утв. Приказом Минстроя России от 03.12.2016 N 879/пр)</w:t>
      </w:r>
    </w:p>
    <w:p w:rsidR="00212513" w:rsidRDefault="00212513">
      <w:pPr>
        <w:pStyle w:val="ConsPlusNormal"/>
        <w:spacing w:before="220"/>
        <w:ind w:firstLine="540"/>
        <w:jc w:val="both"/>
      </w:pPr>
      <w:r>
        <w:t>Кроме того, к арматуре предъявляются требования по дополнительным показателям качества, определяемым по соответствующим стандартам:</w:t>
      </w:r>
    </w:p>
    <w:p w:rsidR="00212513" w:rsidRDefault="00212513">
      <w:pPr>
        <w:pStyle w:val="ConsPlusNormal"/>
        <w:spacing w:before="220"/>
        <w:ind w:firstLine="540"/>
        <w:jc w:val="both"/>
      </w:pPr>
      <w:r>
        <w:t>свариваемость, оцениваемая испытаниями по прочности сварных соединений в зависимости от вида сварки и соединения;</w:t>
      </w:r>
    </w:p>
    <w:p w:rsidR="00212513" w:rsidRDefault="00212513">
      <w:pPr>
        <w:pStyle w:val="ConsPlusNormal"/>
        <w:spacing w:before="220"/>
        <w:ind w:firstLine="540"/>
        <w:jc w:val="both"/>
      </w:pPr>
      <w:r>
        <w:lastRenderedPageBreak/>
        <w:t>коррозионная стойкость, оцениваемая испытаниями по продолжительности пребывания арматуры в напряженном состоянии в агрессивной среде до разрушения;</w:t>
      </w:r>
    </w:p>
    <w:p w:rsidR="00212513" w:rsidRDefault="00212513">
      <w:pPr>
        <w:pStyle w:val="ConsPlusNormal"/>
        <w:spacing w:before="220"/>
        <w:ind w:firstLine="540"/>
        <w:jc w:val="both"/>
      </w:pPr>
      <w:r>
        <w:t>пластичность, оцениваемая испытаниями на изгиб (стержни) или перегиб (проволока) до разрушения;</w:t>
      </w:r>
    </w:p>
    <w:p w:rsidR="00212513" w:rsidRDefault="00212513">
      <w:pPr>
        <w:pStyle w:val="ConsPlusNormal"/>
        <w:spacing w:before="220"/>
        <w:ind w:firstLine="540"/>
        <w:jc w:val="both"/>
      </w:pPr>
      <w:r>
        <w:t>релаксационная стойкость, оцениваемая испытаниями по величине потерь под напряжением за определенный промежуток времени;</w:t>
      </w:r>
    </w:p>
    <w:p w:rsidR="00212513" w:rsidRDefault="00212513">
      <w:pPr>
        <w:pStyle w:val="ConsPlusNormal"/>
        <w:spacing w:before="220"/>
        <w:ind w:firstLine="540"/>
        <w:jc w:val="both"/>
      </w:pPr>
      <w:r>
        <w:t>усталостная прочность, оцениваемая пределом выносливости при нормированном количестве циклов загружения;</w:t>
      </w:r>
    </w:p>
    <w:p w:rsidR="00212513" w:rsidRDefault="00212513">
      <w:pPr>
        <w:pStyle w:val="ConsPlusNormal"/>
        <w:spacing w:before="220"/>
        <w:ind w:firstLine="540"/>
        <w:jc w:val="both"/>
      </w:pPr>
      <w:r>
        <w:t>хладостойкость, оцениваемая испытаниями на ударную вязкость или испытаниями на прочность образцов, в том числе и сварных, при воздействии низких отрицательных температур (минус 40 °C, минус 60 °C).</w:t>
      </w:r>
    </w:p>
    <w:p w:rsidR="00212513" w:rsidRDefault="00212513">
      <w:pPr>
        <w:pStyle w:val="ConsPlusNormal"/>
        <w:spacing w:before="220"/>
        <w:ind w:firstLine="540"/>
        <w:jc w:val="both"/>
      </w:pPr>
      <w:r>
        <w:t>Дополнительные показатели качества арматуры при проектировании железобетонных конструкций мостов и труб устанавливают в соответствии с требованиями расчетов, условий эксплуатации и различных воздействий окружающей среды.</w:t>
      </w:r>
    </w:p>
    <w:p w:rsidR="00212513" w:rsidRDefault="00212513">
      <w:pPr>
        <w:pStyle w:val="ConsPlusNormal"/>
        <w:spacing w:before="220"/>
        <w:ind w:firstLine="540"/>
        <w:jc w:val="both"/>
      </w:pPr>
      <w:r>
        <w:t xml:space="preserve">Марки стали для арматуры железобетонных мостов и труб, устанавливаемой по расчету в зависимости от условий работы элементов конструкций и средней температуры наружного воздуха наиболее холодной пятидневки в районе строительства, следует принимать по таблице 7.14 с учетом </w:t>
      </w:r>
      <w:hyperlink w:anchor="P3482">
        <w:r>
          <w:rPr>
            <w:color w:val="0000FF"/>
          </w:rPr>
          <w:t>7.39</w:t>
        </w:r>
      </w:hyperlink>
      <w:r>
        <w:t xml:space="preserve">, </w:t>
      </w:r>
      <w:hyperlink w:anchor="P4960">
        <w:r>
          <w:rPr>
            <w:color w:val="0000FF"/>
          </w:rPr>
          <w:t>7.91</w:t>
        </w:r>
      </w:hyperlink>
      <w:r>
        <w:t xml:space="preserve"> и </w:t>
      </w:r>
      <w:hyperlink w:anchor="P5761">
        <w:r>
          <w:rPr>
            <w:color w:val="0000FF"/>
          </w:rPr>
          <w:t>7.133</w:t>
        </w:r>
      </w:hyperlink>
      <w:r>
        <w:t>; при этом знак "плюс" означает возможность применения указанной марки стали в данных условиях.</w:t>
      </w:r>
    </w:p>
    <w:p w:rsidR="00212513" w:rsidRDefault="00212513">
      <w:pPr>
        <w:pStyle w:val="ConsPlusNormal"/>
        <w:ind w:firstLine="540"/>
        <w:jc w:val="both"/>
      </w:pPr>
    </w:p>
    <w:p w:rsidR="00212513" w:rsidRDefault="00212513">
      <w:pPr>
        <w:pStyle w:val="ConsPlusNormal"/>
        <w:jc w:val="right"/>
      </w:pPr>
      <w:bookmarkStart w:id="120" w:name="P2894"/>
      <w:bookmarkEnd w:id="120"/>
      <w:r>
        <w:t>Таблица 7.14</w:t>
      </w:r>
    </w:p>
    <w:p w:rsidR="00212513" w:rsidRDefault="00212513">
      <w:pPr>
        <w:pStyle w:val="ConsPlusNormal"/>
        <w:jc w:val="center"/>
      </w:pPr>
    </w:p>
    <w:p w:rsidR="00212513" w:rsidRDefault="00212513">
      <w:pPr>
        <w:pStyle w:val="ConsPlusNormal"/>
        <w:jc w:val="center"/>
      </w:pPr>
      <w:r>
        <w:t xml:space="preserve">(таблица 7.14 в ред. </w:t>
      </w:r>
      <w:hyperlink r:id="rId693">
        <w:r>
          <w:rPr>
            <w:color w:val="0000FF"/>
          </w:rPr>
          <w:t>Изменения N 3</w:t>
        </w:r>
      </w:hyperlink>
      <w:r>
        <w:t>, утв. Приказом</w:t>
      </w:r>
    </w:p>
    <w:p w:rsidR="00212513" w:rsidRDefault="00212513">
      <w:pPr>
        <w:pStyle w:val="ConsPlusNormal"/>
        <w:jc w:val="center"/>
      </w:pPr>
      <w:r>
        <w:t>Минстроя России от 29.12.2020 N 891/пр)</w:t>
      </w:r>
    </w:p>
    <w:p w:rsidR="00212513" w:rsidRDefault="00212513">
      <w:pPr>
        <w:pStyle w:val="ConsPlusNormal"/>
        <w:jc w:val="both"/>
      </w:pPr>
    </w:p>
    <w:p w:rsidR="00212513" w:rsidRDefault="00212513">
      <w:pPr>
        <w:pStyle w:val="ConsPlusNormal"/>
        <w:sectPr w:rsidR="00212513">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0"/>
        <w:gridCol w:w="1247"/>
        <w:gridCol w:w="1474"/>
        <w:gridCol w:w="1870"/>
        <w:gridCol w:w="1077"/>
        <w:gridCol w:w="963"/>
        <w:gridCol w:w="963"/>
        <w:gridCol w:w="963"/>
        <w:gridCol w:w="963"/>
        <w:gridCol w:w="963"/>
        <w:gridCol w:w="963"/>
        <w:gridCol w:w="963"/>
      </w:tblGrid>
      <w:tr w:rsidR="00212513">
        <w:tc>
          <w:tcPr>
            <w:tcW w:w="1190" w:type="dxa"/>
            <w:vMerge w:val="restart"/>
            <w:vAlign w:val="center"/>
          </w:tcPr>
          <w:p w:rsidR="00212513" w:rsidRDefault="00212513">
            <w:pPr>
              <w:pStyle w:val="ConsPlusNormal"/>
              <w:jc w:val="center"/>
            </w:pPr>
            <w:r>
              <w:lastRenderedPageBreak/>
              <w:t>Вид арматуры</w:t>
            </w:r>
          </w:p>
        </w:tc>
        <w:tc>
          <w:tcPr>
            <w:tcW w:w="1247" w:type="dxa"/>
            <w:vMerge w:val="restart"/>
            <w:vAlign w:val="center"/>
          </w:tcPr>
          <w:p w:rsidR="00212513" w:rsidRDefault="00212513">
            <w:pPr>
              <w:pStyle w:val="ConsPlusNormal"/>
              <w:jc w:val="center"/>
            </w:pPr>
            <w:r>
              <w:t>Класс прочности арматурной стали</w:t>
            </w:r>
          </w:p>
        </w:tc>
        <w:tc>
          <w:tcPr>
            <w:tcW w:w="1474" w:type="dxa"/>
            <w:vMerge w:val="restart"/>
            <w:vAlign w:val="center"/>
          </w:tcPr>
          <w:p w:rsidR="00212513" w:rsidRDefault="00212513">
            <w:pPr>
              <w:pStyle w:val="ConsPlusNormal"/>
              <w:jc w:val="center"/>
            </w:pPr>
            <w:r>
              <w:t>Документ, регламентирующий качество арматурной стали</w:t>
            </w:r>
          </w:p>
        </w:tc>
        <w:tc>
          <w:tcPr>
            <w:tcW w:w="1870" w:type="dxa"/>
            <w:vMerge w:val="restart"/>
            <w:vAlign w:val="center"/>
          </w:tcPr>
          <w:p w:rsidR="00212513" w:rsidRDefault="00212513">
            <w:pPr>
              <w:pStyle w:val="ConsPlusNormal"/>
              <w:jc w:val="center"/>
            </w:pPr>
            <w:r>
              <w:t xml:space="preserve">Ограничение по пределу текучести </w:t>
            </w:r>
            <w:r>
              <w:rPr>
                <w:noProof/>
                <w:position w:val="-8"/>
              </w:rPr>
              <w:drawing>
                <wp:inline distT="0" distB="0" distL="0" distR="0">
                  <wp:extent cx="209550" cy="251460"/>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условному пределу текучести </w:t>
            </w:r>
            <w:r>
              <w:rPr>
                <w:noProof/>
                <w:position w:val="-9"/>
              </w:rPr>
              <w:drawing>
                <wp:inline distT="0" distB="0" distL="0" distR="0">
                  <wp:extent cx="283210" cy="262255"/>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283210" cy="262255"/>
                          </a:xfrm>
                          <a:prstGeom prst="rect">
                            <a:avLst/>
                          </a:prstGeom>
                          <a:noFill/>
                          <a:ln>
                            <a:noFill/>
                          </a:ln>
                        </pic:spPr>
                      </pic:pic>
                    </a:graphicData>
                  </a:graphic>
                </wp:inline>
              </w:drawing>
            </w:r>
            <w:r>
              <w:t xml:space="preserve">, пределу прочности </w:t>
            </w:r>
            <w:r>
              <w:rPr>
                <w:noProof/>
                <w:position w:val="-8"/>
              </w:rPr>
              <w:drawing>
                <wp:inline distT="0" distB="0" distL="0" distR="0">
                  <wp:extent cx="209550" cy="251460"/>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МПа</w:t>
            </w:r>
          </w:p>
        </w:tc>
        <w:tc>
          <w:tcPr>
            <w:tcW w:w="1077" w:type="dxa"/>
            <w:vMerge w:val="restart"/>
            <w:vAlign w:val="center"/>
          </w:tcPr>
          <w:p w:rsidR="00212513" w:rsidRDefault="00212513">
            <w:pPr>
              <w:pStyle w:val="ConsPlusNormal"/>
              <w:jc w:val="center"/>
            </w:pPr>
            <w:r>
              <w:t>Марка стали</w:t>
            </w:r>
          </w:p>
        </w:tc>
        <w:tc>
          <w:tcPr>
            <w:tcW w:w="963" w:type="dxa"/>
            <w:vMerge w:val="restart"/>
            <w:vAlign w:val="center"/>
          </w:tcPr>
          <w:p w:rsidR="00212513" w:rsidRDefault="00212513">
            <w:pPr>
              <w:pStyle w:val="ConsPlusNormal"/>
              <w:jc w:val="center"/>
            </w:pPr>
            <w:r>
              <w:t>Диаметр, мм</w:t>
            </w:r>
          </w:p>
        </w:tc>
        <w:tc>
          <w:tcPr>
            <w:tcW w:w="2889" w:type="dxa"/>
            <w:gridSpan w:val="3"/>
            <w:vAlign w:val="center"/>
          </w:tcPr>
          <w:p w:rsidR="00212513" w:rsidRDefault="00212513">
            <w:pPr>
              <w:pStyle w:val="ConsPlusNormal"/>
              <w:jc w:val="center"/>
            </w:pPr>
            <w:r>
              <w:t>Элементы с арматурой, не рассчитываемой на выносливость</w:t>
            </w:r>
          </w:p>
        </w:tc>
        <w:tc>
          <w:tcPr>
            <w:tcW w:w="2889" w:type="dxa"/>
            <w:gridSpan w:val="3"/>
            <w:vAlign w:val="center"/>
          </w:tcPr>
          <w:p w:rsidR="00212513" w:rsidRDefault="00212513">
            <w:pPr>
              <w:pStyle w:val="ConsPlusNormal"/>
              <w:jc w:val="center"/>
            </w:pPr>
            <w:r>
              <w:t>Элементы с арматурой, рассчитываемой на выносливость</w:t>
            </w:r>
          </w:p>
        </w:tc>
      </w:tr>
      <w:tr w:rsidR="00212513">
        <w:tc>
          <w:tcPr>
            <w:tcW w:w="1190" w:type="dxa"/>
            <w:vMerge/>
          </w:tcPr>
          <w:p w:rsidR="00212513" w:rsidRDefault="00212513">
            <w:pPr>
              <w:pStyle w:val="ConsPlusNormal"/>
            </w:pPr>
          </w:p>
        </w:tc>
        <w:tc>
          <w:tcPr>
            <w:tcW w:w="1247" w:type="dxa"/>
            <w:vMerge/>
          </w:tcPr>
          <w:p w:rsidR="00212513" w:rsidRDefault="00212513">
            <w:pPr>
              <w:pStyle w:val="ConsPlusNormal"/>
            </w:pPr>
          </w:p>
        </w:tc>
        <w:tc>
          <w:tcPr>
            <w:tcW w:w="1474" w:type="dxa"/>
            <w:vMerge/>
          </w:tcPr>
          <w:p w:rsidR="00212513" w:rsidRDefault="00212513">
            <w:pPr>
              <w:pStyle w:val="ConsPlusNormal"/>
            </w:pPr>
          </w:p>
        </w:tc>
        <w:tc>
          <w:tcPr>
            <w:tcW w:w="1870" w:type="dxa"/>
            <w:vMerge/>
          </w:tcPr>
          <w:p w:rsidR="00212513" w:rsidRDefault="00212513">
            <w:pPr>
              <w:pStyle w:val="ConsPlusNormal"/>
            </w:pPr>
          </w:p>
        </w:tc>
        <w:tc>
          <w:tcPr>
            <w:tcW w:w="1077" w:type="dxa"/>
            <w:vMerge/>
          </w:tcPr>
          <w:p w:rsidR="00212513" w:rsidRDefault="00212513">
            <w:pPr>
              <w:pStyle w:val="ConsPlusNormal"/>
            </w:pPr>
          </w:p>
        </w:tc>
        <w:tc>
          <w:tcPr>
            <w:tcW w:w="963" w:type="dxa"/>
            <w:vMerge/>
          </w:tcPr>
          <w:p w:rsidR="00212513" w:rsidRDefault="00212513">
            <w:pPr>
              <w:pStyle w:val="ConsPlusNormal"/>
            </w:pPr>
          </w:p>
        </w:tc>
        <w:tc>
          <w:tcPr>
            <w:tcW w:w="5778" w:type="dxa"/>
            <w:gridSpan w:val="6"/>
            <w:vAlign w:val="center"/>
          </w:tcPr>
          <w:p w:rsidR="00212513" w:rsidRDefault="00212513">
            <w:pPr>
              <w:pStyle w:val="ConsPlusNormal"/>
              <w:jc w:val="center"/>
            </w:pPr>
            <w:r>
              <w:t>При применении конструкций в районах со средней температурой наружного воздуха наиболее холодной пятидневки, °C</w:t>
            </w:r>
          </w:p>
        </w:tc>
      </w:tr>
      <w:tr w:rsidR="00212513">
        <w:tc>
          <w:tcPr>
            <w:tcW w:w="1190" w:type="dxa"/>
            <w:vMerge/>
          </w:tcPr>
          <w:p w:rsidR="00212513" w:rsidRDefault="00212513">
            <w:pPr>
              <w:pStyle w:val="ConsPlusNormal"/>
            </w:pPr>
          </w:p>
        </w:tc>
        <w:tc>
          <w:tcPr>
            <w:tcW w:w="1247" w:type="dxa"/>
            <w:vMerge/>
          </w:tcPr>
          <w:p w:rsidR="00212513" w:rsidRDefault="00212513">
            <w:pPr>
              <w:pStyle w:val="ConsPlusNormal"/>
            </w:pPr>
          </w:p>
        </w:tc>
        <w:tc>
          <w:tcPr>
            <w:tcW w:w="1474" w:type="dxa"/>
            <w:vMerge/>
          </w:tcPr>
          <w:p w:rsidR="00212513" w:rsidRDefault="00212513">
            <w:pPr>
              <w:pStyle w:val="ConsPlusNormal"/>
            </w:pPr>
          </w:p>
        </w:tc>
        <w:tc>
          <w:tcPr>
            <w:tcW w:w="1870" w:type="dxa"/>
            <w:vMerge/>
          </w:tcPr>
          <w:p w:rsidR="00212513" w:rsidRDefault="00212513">
            <w:pPr>
              <w:pStyle w:val="ConsPlusNormal"/>
            </w:pPr>
          </w:p>
        </w:tc>
        <w:tc>
          <w:tcPr>
            <w:tcW w:w="1077" w:type="dxa"/>
            <w:vMerge/>
          </w:tcPr>
          <w:p w:rsidR="00212513" w:rsidRDefault="00212513">
            <w:pPr>
              <w:pStyle w:val="ConsPlusNormal"/>
            </w:pPr>
          </w:p>
        </w:tc>
        <w:tc>
          <w:tcPr>
            <w:tcW w:w="963" w:type="dxa"/>
            <w:vMerge/>
          </w:tcPr>
          <w:p w:rsidR="00212513" w:rsidRDefault="00212513">
            <w:pPr>
              <w:pStyle w:val="ConsPlusNormal"/>
            </w:pPr>
          </w:p>
        </w:tc>
        <w:tc>
          <w:tcPr>
            <w:tcW w:w="963" w:type="dxa"/>
            <w:vAlign w:val="center"/>
          </w:tcPr>
          <w:p w:rsidR="00212513" w:rsidRDefault="00212513">
            <w:pPr>
              <w:pStyle w:val="ConsPlusNormal"/>
              <w:jc w:val="center"/>
            </w:pPr>
            <w:r>
              <w:t>-30 и выше</w:t>
            </w:r>
          </w:p>
        </w:tc>
        <w:tc>
          <w:tcPr>
            <w:tcW w:w="963" w:type="dxa"/>
            <w:vAlign w:val="center"/>
          </w:tcPr>
          <w:p w:rsidR="00212513" w:rsidRDefault="00212513">
            <w:pPr>
              <w:pStyle w:val="ConsPlusNormal"/>
              <w:jc w:val="center"/>
            </w:pPr>
            <w:r>
              <w:t>ниже -30 до -40 вкл.</w:t>
            </w:r>
          </w:p>
        </w:tc>
        <w:tc>
          <w:tcPr>
            <w:tcW w:w="963" w:type="dxa"/>
            <w:vAlign w:val="center"/>
          </w:tcPr>
          <w:p w:rsidR="00212513" w:rsidRDefault="00212513">
            <w:pPr>
              <w:pStyle w:val="ConsPlusNormal"/>
              <w:jc w:val="center"/>
            </w:pPr>
            <w:r>
              <w:t>ниже -40</w:t>
            </w:r>
          </w:p>
        </w:tc>
        <w:tc>
          <w:tcPr>
            <w:tcW w:w="963" w:type="dxa"/>
            <w:vAlign w:val="center"/>
          </w:tcPr>
          <w:p w:rsidR="00212513" w:rsidRDefault="00212513">
            <w:pPr>
              <w:pStyle w:val="ConsPlusNormal"/>
              <w:jc w:val="center"/>
            </w:pPr>
            <w:r>
              <w:t>-30 и выше</w:t>
            </w:r>
          </w:p>
        </w:tc>
        <w:tc>
          <w:tcPr>
            <w:tcW w:w="963" w:type="dxa"/>
            <w:vAlign w:val="center"/>
          </w:tcPr>
          <w:p w:rsidR="00212513" w:rsidRDefault="00212513">
            <w:pPr>
              <w:pStyle w:val="ConsPlusNormal"/>
              <w:jc w:val="center"/>
            </w:pPr>
            <w:r>
              <w:t>ниже -30 до -40 вкл.</w:t>
            </w:r>
          </w:p>
        </w:tc>
        <w:tc>
          <w:tcPr>
            <w:tcW w:w="963" w:type="dxa"/>
            <w:vAlign w:val="center"/>
          </w:tcPr>
          <w:p w:rsidR="00212513" w:rsidRDefault="00212513">
            <w:pPr>
              <w:pStyle w:val="ConsPlusNormal"/>
              <w:jc w:val="center"/>
            </w:pPr>
            <w:r>
              <w:t>ниже -40</w:t>
            </w:r>
          </w:p>
        </w:tc>
      </w:tr>
      <w:tr w:rsidR="00212513">
        <w:tc>
          <w:tcPr>
            <w:tcW w:w="1190" w:type="dxa"/>
            <w:vMerge w:val="restart"/>
            <w:vAlign w:val="center"/>
          </w:tcPr>
          <w:p w:rsidR="00212513" w:rsidRDefault="00212513">
            <w:pPr>
              <w:pStyle w:val="ConsPlusNormal"/>
              <w:jc w:val="center"/>
            </w:pPr>
            <w:r>
              <w:t>Стержневая горячекатаная гладкая</w:t>
            </w:r>
          </w:p>
        </w:tc>
        <w:tc>
          <w:tcPr>
            <w:tcW w:w="1247" w:type="dxa"/>
            <w:vMerge w:val="restart"/>
            <w:vAlign w:val="center"/>
          </w:tcPr>
          <w:p w:rsidR="00212513" w:rsidRDefault="00212513">
            <w:pPr>
              <w:pStyle w:val="ConsPlusNormal"/>
              <w:jc w:val="center"/>
            </w:pPr>
            <w:r>
              <w:t>А240</w:t>
            </w:r>
          </w:p>
          <w:p w:rsidR="00212513" w:rsidRDefault="00212513">
            <w:pPr>
              <w:pStyle w:val="ConsPlusNormal"/>
              <w:jc w:val="center"/>
            </w:pPr>
            <w:r>
              <w:t>(А-I)</w:t>
            </w:r>
          </w:p>
        </w:tc>
        <w:tc>
          <w:tcPr>
            <w:tcW w:w="1474" w:type="dxa"/>
            <w:vMerge w:val="restart"/>
            <w:vAlign w:val="center"/>
          </w:tcPr>
          <w:p w:rsidR="00212513" w:rsidRDefault="00212513">
            <w:pPr>
              <w:pStyle w:val="ConsPlusNormal"/>
              <w:jc w:val="center"/>
            </w:pPr>
            <w:hyperlink r:id="rId697">
              <w:r>
                <w:rPr>
                  <w:color w:val="0000FF"/>
                </w:rPr>
                <w:t>ГОСТ 5781</w:t>
              </w:r>
            </w:hyperlink>
          </w:p>
          <w:p w:rsidR="00212513" w:rsidRDefault="00212513">
            <w:pPr>
              <w:pStyle w:val="ConsPlusNormal"/>
              <w:jc w:val="center"/>
            </w:pPr>
            <w:hyperlink r:id="rId698">
              <w:r>
                <w:rPr>
                  <w:color w:val="0000FF"/>
                </w:rPr>
                <w:t>ГОСТ 380</w:t>
              </w:r>
            </w:hyperlink>
          </w:p>
          <w:p w:rsidR="00212513" w:rsidRDefault="00212513">
            <w:pPr>
              <w:pStyle w:val="ConsPlusNormal"/>
              <w:jc w:val="center"/>
            </w:pPr>
            <w:hyperlink r:id="rId699">
              <w:r>
                <w:rPr>
                  <w:color w:val="0000FF"/>
                </w:rPr>
                <w:t>ГОСТ 34028</w:t>
              </w:r>
            </w:hyperlink>
          </w:p>
        </w:tc>
        <w:tc>
          <w:tcPr>
            <w:tcW w:w="1870" w:type="dxa"/>
            <w:tcBorders>
              <w:bottom w:val="nil"/>
            </w:tcBorders>
            <w:vAlign w:val="center"/>
          </w:tcPr>
          <w:p w:rsidR="00212513" w:rsidRDefault="00212513">
            <w:pPr>
              <w:pStyle w:val="ConsPlusNormal"/>
            </w:pPr>
          </w:p>
        </w:tc>
        <w:tc>
          <w:tcPr>
            <w:tcW w:w="1077" w:type="dxa"/>
            <w:tcBorders>
              <w:bottom w:val="nil"/>
            </w:tcBorders>
            <w:vAlign w:val="center"/>
          </w:tcPr>
          <w:p w:rsidR="00212513" w:rsidRDefault="00212513">
            <w:pPr>
              <w:pStyle w:val="ConsPlusNormal"/>
              <w:jc w:val="center"/>
            </w:pPr>
            <w:r>
              <w:t>Ст3сп</w:t>
            </w:r>
          </w:p>
        </w:tc>
        <w:tc>
          <w:tcPr>
            <w:tcW w:w="963" w:type="dxa"/>
            <w:tcBorders>
              <w:bottom w:val="nil"/>
            </w:tcBorders>
            <w:vAlign w:val="center"/>
          </w:tcPr>
          <w:p w:rsidR="00212513" w:rsidRDefault="00212513">
            <w:pPr>
              <w:pStyle w:val="ConsPlusNormal"/>
              <w:jc w:val="center"/>
            </w:pPr>
            <w:r>
              <w:t>6 - 10</w:t>
            </w:r>
          </w:p>
        </w:tc>
        <w:tc>
          <w:tcPr>
            <w:tcW w:w="963" w:type="dxa"/>
            <w:tcBorders>
              <w:bottom w:val="nil"/>
            </w:tcBorders>
            <w:vAlign w:val="center"/>
          </w:tcPr>
          <w:p w:rsidR="00212513" w:rsidRDefault="00212513">
            <w:pPr>
              <w:pStyle w:val="ConsPlusNormal"/>
              <w:jc w:val="center"/>
            </w:pPr>
            <w:r>
              <w:t>+</w:t>
            </w:r>
          </w:p>
        </w:tc>
        <w:tc>
          <w:tcPr>
            <w:tcW w:w="963" w:type="dxa"/>
            <w:tcBorders>
              <w:bottom w:val="nil"/>
            </w:tcBorders>
            <w:vAlign w:val="center"/>
          </w:tcPr>
          <w:p w:rsidR="00212513" w:rsidRDefault="00212513">
            <w:pPr>
              <w:pStyle w:val="ConsPlusNormal"/>
              <w:jc w:val="center"/>
            </w:pPr>
            <w:r>
              <w:t>+</w:t>
            </w:r>
          </w:p>
        </w:tc>
        <w:tc>
          <w:tcPr>
            <w:tcW w:w="963" w:type="dxa"/>
            <w:tcBorders>
              <w:bottom w:val="nil"/>
            </w:tcBorders>
            <w:vAlign w:val="center"/>
          </w:tcPr>
          <w:p w:rsidR="00212513" w:rsidRDefault="00212513">
            <w:pPr>
              <w:pStyle w:val="ConsPlusNormal"/>
              <w:jc w:val="center"/>
            </w:pPr>
            <w:r>
              <w:t>+</w:t>
            </w:r>
          </w:p>
        </w:tc>
        <w:tc>
          <w:tcPr>
            <w:tcW w:w="963" w:type="dxa"/>
            <w:tcBorders>
              <w:bottom w:val="nil"/>
            </w:tcBorders>
            <w:vAlign w:val="center"/>
          </w:tcPr>
          <w:p w:rsidR="00212513" w:rsidRDefault="00212513">
            <w:pPr>
              <w:pStyle w:val="ConsPlusNormal"/>
              <w:jc w:val="center"/>
            </w:pPr>
            <w:r>
              <w:t>+</w:t>
            </w:r>
          </w:p>
        </w:tc>
        <w:tc>
          <w:tcPr>
            <w:tcW w:w="963" w:type="dxa"/>
            <w:tcBorders>
              <w:bottom w:val="nil"/>
            </w:tcBorders>
            <w:vAlign w:val="center"/>
          </w:tcPr>
          <w:p w:rsidR="00212513" w:rsidRDefault="00212513">
            <w:pPr>
              <w:pStyle w:val="ConsPlusNormal"/>
              <w:jc w:val="center"/>
            </w:pPr>
            <w:r>
              <w:t>+</w:t>
            </w:r>
          </w:p>
        </w:tc>
        <w:tc>
          <w:tcPr>
            <w:tcW w:w="963" w:type="dxa"/>
            <w:tcBorders>
              <w:bottom w:val="nil"/>
            </w:tcBorders>
            <w:vAlign w:val="center"/>
          </w:tcPr>
          <w:p w:rsidR="00212513" w:rsidRDefault="00212513">
            <w:pPr>
              <w:pStyle w:val="ConsPlusNormal"/>
              <w:jc w:val="center"/>
            </w:pPr>
            <w:r>
              <w:t>+</w:t>
            </w:r>
          </w:p>
        </w:tc>
      </w:tr>
      <w:tr w:rsidR="00212513">
        <w:tblPrEx>
          <w:tblBorders>
            <w:insideH w:val="nil"/>
          </w:tblBorders>
        </w:tblPrEx>
        <w:tc>
          <w:tcPr>
            <w:tcW w:w="1190" w:type="dxa"/>
            <w:vMerge/>
          </w:tcPr>
          <w:p w:rsidR="00212513" w:rsidRDefault="00212513">
            <w:pPr>
              <w:pStyle w:val="ConsPlusNormal"/>
            </w:pPr>
          </w:p>
        </w:tc>
        <w:tc>
          <w:tcPr>
            <w:tcW w:w="1247" w:type="dxa"/>
            <w:vMerge/>
          </w:tcPr>
          <w:p w:rsidR="00212513" w:rsidRDefault="00212513">
            <w:pPr>
              <w:pStyle w:val="ConsPlusNormal"/>
            </w:pPr>
          </w:p>
        </w:tc>
        <w:tc>
          <w:tcPr>
            <w:tcW w:w="1474" w:type="dxa"/>
            <w:vMerge/>
          </w:tcPr>
          <w:p w:rsidR="00212513" w:rsidRDefault="00212513">
            <w:pPr>
              <w:pStyle w:val="ConsPlusNormal"/>
            </w:pPr>
          </w:p>
        </w:tc>
        <w:tc>
          <w:tcPr>
            <w:tcW w:w="1870" w:type="dxa"/>
            <w:tcBorders>
              <w:top w:val="nil"/>
              <w:bottom w:val="nil"/>
            </w:tcBorders>
            <w:vAlign w:val="center"/>
          </w:tcPr>
          <w:p w:rsidR="00212513" w:rsidRDefault="00212513">
            <w:pPr>
              <w:pStyle w:val="ConsPlusNormal"/>
            </w:pPr>
          </w:p>
        </w:tc>
        <w:tc>
          <w:tcPr>
            <w:tcW w:w="1077" w:type="dxa"/>
            <w:tcBorders>
              <w:top w:val="nil"/>
              <w:bottom w:val="nil"/>
            </w:tcBorders>
            <w:vAlign w:val="center"/>
          </w:tcPr>
          <w:p w:rsidR="00212513" w:rsidRDefault="00212513">
            <w:pPr>
              <w:pStyle w:val="ConsPlusNormal"/>
              <w:jc w:val="center"/>
            </w:pPr>
            <w:r>
              <w:t>Ст3сп</w:t>
            </w:r>
          </w:p>
        </w:tc>
        <w:tc>
          <w:tcPr>
            <w:tcW w:w="963" w:type="dxa"/>
            <w:tcBorders>
              <w:top w:val="nil"/>
              <w:bottom w:val="nil"/>
            </w:tcBorders>
            <w:vAlign w:val="center"/>
          </w:tcPr>
          <w:p w:rsidR="00212513" w:rsidRDefault="00212513">
            <w:pPr>
              <w:pStyle w:val="ConsPlusNormal"/>
              <w:jc w:val="center"/>
            </w:pPr>
            <w:r>
              <w:t>12 - 10</w:t>
            </w:r>
          </w:p>
        </w:tc>
        <w:tc>
          <w:tcPr>
            <w:tcW w:w="963" w:type="dxa"/>
            <w:tcBorders>
              <w:top w:val="nil"/>
              <w:bottom w:val="nil"/>
            </w:tcBorders>
            <w:vAlign w:val="center"/>
          </w:tcPr>
          <w:p w:rsidR="00212513" w:rsidRDefault="00212513">
            <w:pPr>
              <w:pStyle w:val="ConsPlusNormal"/>
              <w:jc w:val="center"/>
            </w:pPr>
            <w:r>
              <w:t>+</w:t>
            </w:r>
          </w:p>
        </w:tc>
        <w:tc>
          <w:tcPr>
            <w:tcW w:w="963" w:type="dxa"/>
            <w:tcBorders>
              <w:top w:val="nil"/>
              <w:bottom w:val="nil"/>
            </w:tcBorders>
            <w:vAlign w:val="center"/>
          </w:tcPr>
          <w:p w:rsidR="00212513" w:rsidRDefault="00212513">
            <w:pPr>
              <w:pStyle w:val="ConsPlusNormal"/>
              <w:jc w:val="center"/>
            </w:pPr>
            <w:r>
              <w:t>+</w:t>
            </w:r>
          </w:p>
        </w:tc>
        <w:tc>
          <w:tcPr>
            <w:tcW w:w="963" w:type="dxa"/>
            <w:tcBorders>
              <w:top w:val="nil"/>
              <w:bottom w:val="nil"/>
            </w:tcBorders>
            <w:vAlign w:val="center"/>
          </w:tcPr>
          <w:p w:rsidR="00212513" w:rsidRDefault="00212513">
            <w:pPr>
              <w:pStyle w:val="ConsPlusNormal"/>
              <w:jc w:val="center"/>
            </w:pPr>
            <w:r>
              <w:t>+</w:t>
            </w:r>
          </w:p>
        </w:tc>
        <w:tc>
          <w:tcPr>
            <w:tcW w:w="963" w:type="dxa"/>
            <w:tcBorders>
              <w:top w:val="nil"/>
              <w:bottom w:val="nil"/>
            </w:tcBorders>
            <w:vAlign w:val="center"/>
          </w:tcPr>
          <w:p w:rsidR="00212513" w:rsidRDefault="00212513">
            <w:pPr>
              <w:pStyle w:val="ConsPlusNormal"/>
              <w:jc w:val="center"/>
            </w:pPr>
            <w:r>
              <w:t>+</w:t>
            </w:r>
          </w:p>
        </w:tc>
        <w:tc>
          <w:tcPr>
            <w:tcW w:w="963" w:type="dxa"/>
            <w:tcBorders>
              <w:top w:val="nil"/>
              <w:bottom w:val="nil"/>
            </w:tcBorders>
            <w:vAlign w:val="center"/>
          </w:tcPr>
          <w:p w:rsidR="00212513" w:rsidRDefault="00212513">
            <w:pPr>
              <w:pStyle w:val="ConsPlusNormal"/>
              <w:jc w:val="center"/>
            </w:pPr>
            <w:r>
              <w:t>+</w:t>
            </w:r>
          </w:p>
        </w:tc>
        <w:tc>
          <w:tcPr>
            <w:tcW w:w="963" w:type="dxa"/>
            <w:tcBorders>
              <w:top w:val="nil"/>
              <w:bottom w:val="nil"/>
            </w:tcBorders>
            <w:vAlign w:val="center"/>
          </w:tcPr>
          <w:p w:rsidR="00212513" w:rsidRDefault="00212513">
            <w:pPr>
              <w:pStyle w:val="ConsPlusNormal"/>
              <w:jc w:val="center"/>
            </w:pPr>
            <w:r>
              <w:t>-</w:t>
            </w:r>
          </w:p>
        </w:tc>
      </w:tr>
      <w:tr w:rsidR="00212513">
        <w:tblPrEx>
          <w:tblBorders>
            <w:insideH w:val="nil"/>
          </w:tblBorders>
        </w:tblPrEx>
        <w:tc>
          <w:tcPr>
            <w:tcW w:w="1190" w:type="dxa"/>
            <w:vMerge/>
          </w:tcPr>
          <w:p w:rsidR="00212513" w:rsidRDefault="00212513">
            <w:pPr>
              <w:pStyle w:val="ConsPlusNormal"/>
            </w:pPr>
          </w:p>
        </w:tc>
        <w:tc>
          <w:tcPr>
            <w:tcW w:w="1247" w:type="dxa"/>
            <w:vMerge/>
          </w:tcPr>
          <w:p w:rsidR="00212513" w:rsidRDefault="00212513">
            <w:pPr>
              <w:pStyle w:val="ConsPlusNormal"/>
            </w:pPr>
          </w:p>
        </w:tc>
        <w:tc>
          <w:tcPr>
            <w:tcW w:w="1474" w:type="dxa"/>
            <w:vMerge/>
          </w:tcPr>
          <w:p w:rsidR="00212513" w:rsidRDefault="00212513">
            <w:pPr>
              <w:pStyle w:val="ConsPlusNormal"/>
            </w:pPr>
          </w:p>
        </w:tc>
        <w:tc>
          <w:tcPr>
            <w:tcW w:w="1870" w:type="dxa"/>
            <w:tcBorders>
              <w:top w:val="nil"/>
              <w:bottom w:val="nil"/>
            </w:tcBorders>
            <w:vAlign w:val="center"/>
          </w:tcPr>
          <w:p w:rsidR="00212513" w:rsidRDefault="00212513">
            <w:pPr>
              <w:pStyle w:val="ConsPlusNormal"/>
              <w:jc w:val="center"/>
            </w:pPr>
            <w:r>
              <w:rPr>
                <w:noProof/>
                <w:position w:val="-8"/>
              </w:rPr>
              <w:drawing>
                <wp:inline distT="0" distB="0" distL="0" distR="0">
                  <wp:extent cx="1047750" cy="251460"/>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047750" cy="251460"/>
                          </a:xfrm>
                          <a:prstGeom prst="rect">
                            <a:avLst/>
                          </a:prstGeom>
                          <a:noFill/>
                          <a:ln>
                            <a:noFill/>
                          </a:ln>
                        </pic:spPr>
                      </pic:pic>
                    </a:graphicData>
                  </a:graphic>
                </wp:inline>
              </w:drawing>
            </w:r>
          </w:p>
        </w:tc>
        <w:tc>
          <w:tcPr>
            <w:tcW w:w="1077" w:type="dxa"/>
            <w:tcBorders>
              <w:top w:val="nil"/>
              <w:bottom w:val="nil"/>
            </w:tcBorders>
            <w:vAlign w:val="center"/>
          </w:tcPr>
          <w:p w:rsidR="00212513" w:rsidRDefault="00212513">
            <w:pPr>
              <w:pStyle w:val="ConsPlusNormal"/>
              <w:jc w:val="center"/>
            </w:pPr>
            <w:r>
              <w:t>Ст3пс</w:t>
            </w:r>
          </w:p>
        </w:tc>
        <w:tc>
          <w:tcPr>
            <w:tcW w:w="963" w:type="dxa"/>
            <w:tcBorders>
              <w:top w:val="nil"/>
              <w:bottom w:val="nil"/>
            </w:tcBorders>
            <w:vAlign w:val="center"/>
          </w:tcPr>
          <w:p w:rsidR="00212513" w:rsidRDefault="00212513">
            <w:pPr>
              <w:pStyle w:val="ConsPlusNormal"/>
              <w:jc w:val="center"/>
            </w:pPr>
            <w:r>
              <w:t>6 - 10</w:t>
            </w:r>
          </w:p>
        </w:tc>
        <w:tc>
          <w:tcPr>
            <w:tcW w:w="963" w:type="dxa"/>
            <w:tcBorders>
              <w:top w:val="nil"/>
              <w:bottom w:val="nil"/>
            </w:tcBorders>
            <w:vAlign w:val="center"/>
          </w:tcPr>
          <w:p w:rsidR="00212513" w:rsidRDefault="00212513">
            <w:pPr>
              <w:pStyle w:val="ConsPlusNormal"/>
              <w:jc w:val="center"/>
            </w:pPr>
            <w:r>
              <w:t>+</w:t>
            </w:r>
          </w:p>
        </w:tc>
        <w:tc>
          <w:tcPr>
            <w:tcW w:w="963" w:type="dxa"/>
            <w:tcBorders>
              <w:top w:val="nil"/>
              <w:bottom w:val="nil"/>
            </w:tcBorders>
            <w:vAlign w:val="center"/>
          </w:tcPr>
          <w:p w:rsidR="00212513" w:rsidRDefault="00212513">
            <w:pPr>
              <w:pStyle w:val="ConsPlusNormal"/>
              <w:jc w:val="center"/>
            </w:pPr>
            <w:r>
              <w:t>+</w:t>
            </w:r>
          </w:p>
        </w:tc>
        <w:tc>
          <w:tcPr>
            <w:tcW w:w="963" w:type="dxa"/>
            <w:tcBorders>
              <w:top w:val="nil"/>
              <w:bottom w:val="nil"/>
            </w:tcBorders>
            <w:vAlign w:val="center"/>
          </w:tcPr>
          <w:p w:rsidR="00212513" w:rsidRDefault="00212513">
            <w:pPr>
              <w:pStyle w:val="ConsPlusNormal"/>
              <w:jc w:val="center"/>
            </w:pPr>
            <w:r>
              <w:t xml:space="preserve">+ </w:t>
            </w:r>
            <w:hyperlink w:anchor="P3204">
              <w:r>
                <w:rPr>
                  <w:color w:val="0000FF"/>
                </w:rPr>
                <w:t>&lt;1&gt;</w:t>
              </w:r>
            </w:hyperlink>
            <w:r>
              <w:t xml:space="preserve">, </w:t>
            </w:r>
            <w:hyperlink w:anchor="P3205">
              <w:r>
                <w:rPr>
                  <w:color w:val="0000FF"/>
                </w:rPr>
                <w:t>&lt;2&gt;</w:t>
              </w:r>
            </w:hyperlink>
          </w:p>
        </w:tc>
        <w:tc>
          <w:tcPr>
            <w:tcW w:w="963" w:type="dxa"/>
            <w:tcBorders>
              <w:top w:val="nil"/>
              <w:bottom w:val="nil"/>
            </w:tcBorders>
            <w:vAlign w:val="center"/>
          </w:tcPr>
          <w:p w:rsidR="00212513" w:rsidRDefault="00212513">
            <w:pPr>
              <w:pStyle w:val="ConsPlusNormal"/>
              <w:jc w:val="center"/>
            </w:pPr>
            <w:r>
              <w:t>+</w:t>
            </w:r>
          </w:p>
        </w:tc>
        <w:tc>
          <w:tcPr>
            <w:tcW w:w="963" w:type="dxa"/>
            <w:tcBorders>
              <w:top w:val="nil"/>
              <w:bottom w:val="nil"/>
            </w:tcBorders>
            <w:vAlign w:val="center"/>
          </w:tcPr>
          <w:p w:rsidR="00212513" w:rsidRDefault="00212513">
            <w:pPr>
              <w:pStyle w:val="ConsPlusNormal"/>
              <w:jc w:val="center"/>
            </w:pPr>
            <w:r>
              <w:t xml:space="preserve">+ </w:t>
            </w:r>
            <w:hyperlink w:anchor="P3204">
              <w:r>
                <w:rPr>
                  <w:color w:val="0000FF"/>
                </w:rPr>
                <w:t>&lt;1&gt;</w:t>
              </w:r>
            </w:hyperlink>
          </w:p>
        </w:tc>
        <w:tc>
          <w:tcPr>
            <w:tcW w:w="963" w:type="dxa"/>
            <w:tcBorders>
              <w:top w:val="nil"/>
              <w:bottom w:val="nil"/>
            </w:tcBorders>
            <w:vAlign w:val="center"/>
          </w:tcPr>
          <w:p w:rsidR="00212513" w:rsidRDefault="00212513">
            <w:pPr>
              <w:pStyle w:val="ConsPlusNormal"/>
              <w:jc w:val="center"/>
            </w:pPr>
            <w:r>
              <w:rPr>
                <w:b/>
              </w:rPr>
              <w:t>-</w:t>
            </w:r>
          </w:p>
        </w:tc>
      </w:tr>
      <w:tr w:rsidR="00212513">
        <w:tblPrEx>
          <w:tblBorders>
            <w:insideH w:val="nil"/>
          </w:tblBorders>
        </w:tblPrEx>
        <w:tc>
          <w:tcPr>
            <w:tcW w:w="1190" w:type="dxa"/>
            <w:vMerge/>
          </w:tcPr>
          <w:p w:rsidR="00212513" w:rsidRDefault="00212513">
            <w:pPr>
              <w:pStyle w:val="ConsPlusNormal"/>
            </w:pPr>
          </w:p>
        </w:tc>
        <w:tc>
          <w:tcPr>
            <w:tcW w:w="1247" w:type="dxa"/>
            <w:vMerge/>
          </w:tcPr>
          <w:p w:rsidR="00212513" w:rsidRDefault="00212513">
            <w:pPr>
              <w:pStyle w:val="ConsPlusNormal"/>
            </w:pPr>
          </w:p>
        </w:tc>
        <w:tc>
          <w:tcPr>
            <w:tcW w:w="1474" w:type="dxa"/>
            <w:vMerge/>
          </w:tcPr>
          <w:p w:rsidR="00212513" w:rsidRDefault="00212513">
            <w:pPr>
              <w:pStyle w:val="ConsPlusNormal"/>
            </w:pPr>
          </w:p>
        </w:tc>
        <w:tc>
          <w:tcPr>
            <w:tcW w:w="1870" w:type="dxa"/>
            <w:tcBorders>
              <w:top w:val="nil"/>
              <w:bottom w:val="nil"/>
            </w:tcBorders>
            <w:vAlign w:val="center"/>
          </w:tcPr>
          <w:p w:rsidR="00212513" w:rsidRDefault="00212513">
            <w:pPr>
              <w:pStyle w:val="ConsPlusNormal"/>
            </w:pPr>
          </w:p>
        </w:tc>
        <w:tc>
          <w:tcPr>
            <w:tcW w:w="1077" w:type="dxa"/>
            <w:tcBorders>
              <w:top w:val="nil"/>
              <w:bottom w:val="nil"/>
            </w:tcBorders>
            <w:vAlign w:val="center"/>
          </w:tcPr>
          <w:p w:rsidR="00212513" w:rsidRDefault="00212513">
            <w:pPr>
              <w:pStyle w:val="ConsPlusNormal"/>
              <w:jc w:val="center"/>
            </w:pPr>
            <w:r>
              <w:t>Ст3пс</w:t>
            </w:r>
          </w:p>
        </w:tc>
        <w:tc>
          <w:tcPr>
            <w:tcW w:w="963" w:type="dxa"/>
            <w:tcBorders>
              <w:top w:val="nil"/>
              <w:bottom w:val="nil"/>
            </w:tcBorders>
            <w:vAlign w:val="center"/>
          </w:tcPr>
          <w:p w:rsidR="00212513" w:rsidRDefault="00212513">
            <w:pPr>
              <w:pStyle w:val="ConsPlusNormal"/>
              <w:jc w:val="center"/>
            </w:pPr>
            <w:r>
              <w:t>12 - 16</w:t>
            </w:r>
          </w:p>
        </w:tc>
        <w:tc>
          <w:tcPr>
            <w:tcW w:w="963" w:type="dxa"/>
            <w:tcBorders>
              <w:top w:val="nil"/>
              <w:bottom w:val="nil"/>
            </w:tcBorders>
            <w:vAlign w:val="center"/>
          </w:tcPr>
          <w:p w:rsidR="00212513" w:rsidRDefault="00212513">
            <w:pPr>
              <w:pStyle w:val="ConsPlusNormal"/>
              <w:jc w:val="center"/>
            </w:pPr>
            <w:r>
              <w:t>+</w:t>
            </w:r>
          </w:p>
        </w:tc>
        <w:tc>
          <w:tcPr>
            <w:tcW w:w="963" w:type="dxa"/>
            <w:tcBorders>
              <w:top w:val="nil"/>
              <w:bottom w:val="nil"/>
            </w:tcBorders>
            <w:vAlign w:val="center"/>
          </w:tcPr>
          <w:p w:rsidR="00212513" w:rsidRDefault="00212513">
            <w:pPr>
              <w:pStyle w:val="ConsPlusNormal"/>
              <w:jc w:val="center"/>
            </w:pPr>
            <w:r>
              <w:t xml:space="preserve">+ </w:t>
            </w:r>
            <w:hyperlink w:anchor="P3204">
              <w:r>
                <w:rPr>
                  <w:color w:val="0000FF"/>
                </w:rPr>
                <w:t>&lt;1&gt;</w:t>
              </w:r>
            </w:hyperlink>
          </w:p>
        </w:tc>
        <w:tc>
          <w:tcPr>
            <w:tcW w:w="963" w:type="dxa"/>
            <w:tcBorders>
              <w:top w:val="nil"/>
              <w:bottom w:val="nil"/>
            </w:tcBorders>
            <w:vAlign w:val="center"/>
          </w:tcPr>
          <w:p w:rsidR="00212513" w:rsidRDefault="00212513">
            <w:pPr>
              <w:pStyle w:val="ConsPlusNormal"/>
              <w:jc w:val="center"/>
            </w:pPr>
            <w:r>
              <w:t>-</w:t>
            </w:r>
          </w:p>
        </w:tc>
        <w:tc>
          <w:tcPr>
            <w:tcW w:w="963" w:type="dxa"/>
            <w:tcBorders>
              <w:top w:val="nil"/>
              <w:bottom w:val="nil"/>
            </w:tcBorders>
            <w:vAlign w:val="center"/>
          </w:tcPr>
          <w:p w:rsidR="00212513" w:rsidRDefault="00212513">
            <w:pPr>
              <w:pStyle w:val="ConsPlusNormal"/>
              <w:jc w:val="center"/>
            </w:pPr>
            <w:r>
              <w:t>+</w:t>
            </w:r>
          </w:p>
        </w:tc>
        <w:tc>
          <w:tcPr>
            <w:tcW w:w="963" w:type="dxa"/>
            <w:tcBorders>
              <w:top w:val="nil"/>
              <w:bottom w:val="nil"/>
            </w:tcBorders>
            <w:vAlign w:val="center"/>
          </w:tcPr>
          <w:p w:rsidR="00212513" w:rsidRDefault="00212513">
            <w:pPr>
              <w:pStyle w:val="ConsPlusNormal"/>
              <w:jc w:val="center"/>
            </w:pPr>
            <w:r>
              <w:t xml:space="preserve">+ </w:t>
            </w:r>
            <w:hyperlink w:anchor="P3204">
              <w:r>
                <w:rPr>
                  <w:color w:val="0000FF"/>
                </w:rPr>
                <w:t>&lt;1&gt;</w:t>
              </w:r>
            </w:hyperlink>
          </w:p>
        </w:tc>
        <w:tc>
          <w:tcPr>
            <w:tcW w:w="963" w:type="dxa"/>
            <w:tcBorders>
              <w:top w:val="nil"/>
              <w:bottom w:val="nil"/>
            </w:tcBorders>
            <w:vAlign w:val="center"/>
          </w:tcPr>
          <w:p w:rsidR="00212513" w:rsidRDefault="00212513">
            <w:pPr>
              <w:pStyle w:val="ConsPlusNormal"/>
              <w:jc w:val="center"/>
            </w:pPr>
            <w:r>
              <w:rPr>
                <w:b/>
              </w:rPr>
              <w:t>-</w:t>
            </w:r>
          </w:p>
        </w:tc>
      </w:tr>
      <w:tr w:rsidR="00212513">
        <w:tblPrEx>
          <w:tblBorders>
            <w:insideH w:val="nil"/>
          </w:tblBorders>
        </w:tblPrEx>
        <w:tc>
          <w:tcPr>
            <w:tcW w:w="1190" w:type="dxa"/>
            <w:vMerge/>
          </w:tcPr>
          <w:p w:rsidR="00212513" w:rsidRDefault="00212513">
            <w:pPr>
              <w:pStyle w:val="ConsPlusNormal"/>
            </w:pPr>
          </w:p>
        </w:tc>
        <w:tc>
          <w:tcPr>
            <w:tcW w:w="1247" w:type="dxa"/>
            <w:vMerge/>
          </w:tcPr>
          <w:p w:rsidR="00212513" w:rsidRDefault="00212513">
            <w:pPr>
              <w:pStyle w:val="ConsPlusNormal"/>
            </w:pPr>
          </w:p>
        </w:tc>
        <w:tc>
          <w:tcPr>
            <w:tcW w:w="1474" w:type="dxa"/>
            <w:vMerge/>
          </w:tcPr>
          <w:p w:rsidR="00212513" w:rsidRDefault="00212513">
            <w:pPr>
              <w:pStyle w:val="ConsPlusNormal"/>
            </w:pPr>
          </w:p>
        </w:tc>
        <w:tc>
          <w:tcPr>
            <w:tcW w:w="1870" w:type="dxa"/>
            <w:tcBorders>
              <w:top w:val="nil"/>
              <w:bottom w:val="nil"/>
            </w:tcBorders>
            <w:vAlign w:val="center"/>
          </w:tcPr>
          <w:p w:rsidR="00212513" w:rsidRDefault="00212513">
            <w:pPr>
              <w:pStyle w:val="ConsPlusNormal"/>
              <w:jc w:val="center"/>
            </w:pPr>
            <w:r>
              <w:rPr>
                <w:noProof/>
                <w:position w:val="-8"/>
              </w:rPr>
              <w:drawing>
                <wp:inline distT="0" distB="0" distL="0" distR="0">
                  <wp:extent cx="1047750" cy="251460"/>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1047750" cy="251460"/>
                          </a:xfrm>
                          <a:prstGeom prst="rect">
                            <a:avLst/>
                          </a:prstGeom>
                          <a:noFill/>
                          <a:ln>
                            <a:noFill/>
                          </a:ln>
                        </pic:spPr>
                      </pic:pic>
                    </a:graphicData>
                  </a:graphic>
                </wp:inline>
              </w:drawing>
            </w:r>
          </w:p>
        </w:tc>
        <w:tc>
          <w:tcPr>
            <w:tcW w:w="1077" w:type="dxa"/>
            <w:tcBorders>
              <w:top w:val="nil"/>
              <w:bottom w:val="nil"/>
            </w:tcBorders>
            <w:vAlign w:val="center"/>
          </w:tcPr>
          <w:p w:rsidR="00212513" w:rsidRDefault="00212513">
            <w:pPr>
              <w:pStyle w:val="ConsPlusNormal"/>
              <w:jc w:val="center"/>
            </w:pPr>
            <w:r>
              <w:t>Ст3пс</w:t>
            </w:r>
          </w:p>
        </w:tc>
        <w:tc>
          <w:tcPr>
            <w:tcW w:w="963" w:type="dxa"/>
            <w:tcBorders>
              <w:top w:val="nil"/>
              <w:bottom w:val="nil"/>
            </w:tcBorders>
            <w:vAlign w:val="center"/>
          </w:tcPr>
          <w:p w:rsidR="00212513" w:rsidRDefault="00212513">
            <w:pPr>
              <w:pStyle w:val="ConsPlusNormal"/>
              <w:jc w:val="center"/>
            </w:pPr>
            <w:r>
              <w:t>18 - 40</w:t>
            </w:r>
          </w:p>
        </w:tc>
        <w:tc>
          <w:tcPr>
            <w:tcW w:w="963" w:type="dxa"/>
            <w:tcBorders>
              <w:top w:val="nil"/>
              <w:bottom w:val="nil"/>
            </w:tcBorders>
            <w:vAlign w:val="center"/>
          </w:tcPr>
          <w:p w:rsidR="00212513" w:rsidRDefault="00212513">
            <w:pPr>
              <w:pStyle w:val="ConsPlusNormal"/>
              <w:jc w:val="center"/>
            </w:pPr>
            <w:r>
              <w:t>+</w:t>
            </w:r>
          </w:p>
        </w:tc>
        <w:tc>
          <w:tcPr>
            <w:tcW w:w="963" w:type="dxa"/>
            <w:tcBorders>
              <w:top w:val="nil"/>
              <w:bottom w:val="nil"/>
            </w:tcBorders>
            <w:vAlign w:val="center"/>
          </w:tcPr>
          <w:p w:rsidR="00212513" w:rsidRDefault="00212513">
            <w:pPr>
              <w:pStyle w:val="ConsPlusNormal"/>
              <w:jc w:val="center"/>
            </w:pPr>
            <w:r>
              <w:t xml:space="preserve">+ </w:t>
            </w:r>
            <w:hyperlink w:anchor="P3204">
              <w:r>
                <w:rPr>
                  <w:color w:val="0000FF"/>
                </w:rPr>
                <w:t>&lt;1&gt;</w:t>
              </w:r>
            </w:hyperlink>
          </w:p>
        </w:tc>
        <w:tc>
          <w:tcPr>
            <w:tcW w:w="963" w:type="dxa"/>
            <w:tcBorders>
              <w:top w:val="nil"/>
              <w:bottom w:val="nil"/>
            </w:tcBorders>
            <w:vAlign w:val="center"/>
          </w:tcPr>
          <w:p w:rsidR="00212513" w:rsidRDefault="00212513">
            <w:pPr>
              <w:pStyle w:val="ConsPlusNormal"/>
              <w:jc w:val="center"/>
            </w:pPr>
            <w:r>
              <w:t>-</w:t>
            </w:r>
          </w:p>
        </w:tc>
        <w:tc>
          <w:tcPr>
            <w:tcW w:w="963" w:type="dxa"/>
            <w:tcBorders>
              <w:top w:val="nil"/>
              <w:bottom w:val="nil"/>
            </w:tcBorders>
            <w:vAlign w:val="center"/>
          </w:tcPr>
          <w:p w:rsidR="00212513" w:rsidRDefault="00212513">
            <w:pPr>
              <w:pStyle w:val="ConsPlusNormal"/>
              <w:jc w:val="center"/>
            </w:pPr>
            <w:r>
              <w:t xml:space="preserve">+ </w:t>
            </w:r>
            <w:hyperlink w:anchor="P3204">
              <w:r>
                <w:rPr>
                  <w:color w:val="0000FF"/>
                </w:rPr>
                <w:t>&lt;1&gt;</w:t>
              </w:r>
            </w:hyperlink>
          </w:p>
        </w:tc>
        <w:tc>
          <w:tcPr>
            <w:tcW w:w="963" w:type="dxa"/>
            <w:tcBorders>
              <w:top w:val="nil"/>
              <w:bottom w:val="nil"/>
            </w:tcBorders>
            <w:vAlign w:val="center"/>
          </w:tcPr>
          <w:p w:rsidR="00212513" w:rsidRDefault="00212513">
            <w:pPr>
              <w:pStyle w:val="ConsPlusNormal"/>
              <w:jc w:val="center"/>
            </w:pPr>
            <w:r>
              <w:t>-</w:t>
            </w:r>
          </w:p>
        </w:tc>
        <w:tc>
          <w:tcPr>
            <w:tcW w:w="963" w:type="dxa"/>
            <w:tcBorders>
              <w:top w:val="nil"/>
              <w:bottom w:val="nil"/>
            </w:tcBorders>
            <w:vAlign w:val="center"/>
          </w:tcPr>
          <w:p w:rsidR="00212513" w:rsidRDefault="00212513">
            <w:pPr>
              <w:pStyle w:val="ConsPlusNormal"/>
              <w:jc w:val="center"/>
            </w:pPr>
            <w:r>
              <w:rPr>
                <w:b/>
              </w:rPr>
              <w:t>-</w:t>
            </w:r>
          </w:p>
        </w:tc>
      </w:tr>
      <w:tr w:rsidR="00212513">
        <w:tc>
          <w:tcPr>
            <w:tcW w:w="1190" w:type="dxa"/>
            <w:vMerge/>
          </w:tcPr>
          <w:p w:rsidR="00212513" w:rsidRDefault="00212513">
            <w:pPr>
              <w:pStyle w:val="ConsPlusNormal"/>
            </w:pPr>
          </w:p>
        </w:tc>
        <w:tc>
          <w:tcPr>
            <w:tcW w:w="1247" w:type="dxa"/>
            <w:vMerge/>
          </w:tcPr>
          <w:p w:rsidR="00212513" w:rsidRDefault="00212513">
            <w:pPr>
              <w:pStyle w:val="ConsPlusNormal"/>
            </w:pPr>
          </w:p>
        </w:tc>
        <w:tc>
          <w:tcPr>
            <w:tcW w:w="1474" w:type="dxa"/>
            <w:vMerge/>
          </w:tcPr>
          <w:p w:rsidR="00212513" w:rsidRDefault="00212513">
            <w:pPr>
              <w:pStyle w:val="ConsPlusNormal"/>
            </w:pPr>
          </w:p>
        </w:tc>
        <w:tc>
          <w:tcPr>
            <w:tcW w:w="1870" w:type="dxa"/>
            <w:tcBorders>
              <w:top w:val="nil"/>
            </w:tcBorders>
            <w:vAlign w:val="center"/>
          </w:tcPr>
          <w:p w:rsidR="00212513" w:rsidRDefault="00212513">
            <w:pPr>
              <w:pStyle w:val="ConsPlusNormal"/>
            </w:pPr>
          </w:p>
        </w:tc>
        <w:tc>
          <w:tcPr>
            <w:tcW w:w="1077" w:type="dxa"/>
            <w:tcBorders>
              <w:top w:val="nil"/>
            </w:tcBorders>
            <w:vAlign w:val="center"/>
          </w:tcPr>
          <w:p w:rsidR="00212513" w:rsidRDefault="00212513">
            <w:pPr>
              <w:pStyle w:val="ConsPlusNormal"/>
              <w:jc w:val="center"/>
            </w:pPr>
            <w:r>
              <w:t>Ст3кп</w:t>
            </w:r>
          </w:p>
        </w:tc>
        <w:tc>
          <w:tcPr>
            <w:tcW w:w="963" w:type="dxa"/>
            <w:tcBorders>
              <w:top w:val="nil"/>
            </w:tcBorders>
            <w:vAlign w:val="center"/>
          </w:tcPr>
          <w:p w:rsidR="00212513" w:rsidRDefault="00212513">
            <w:pPr>
              <w:pStyle w:val="ConsPlusNormal"/>
              <w:jc w:val="center"/>
            </w:pPr>
            <w:r>
              <w:t>6 - 10</w:t>
            </w:r>
          </w:p>
        </w:tc>
        <w:tc>
          <w:tcPr>
            <w:tcW w:w="963" w:type="dxa"/>
            <w:tcBorders>
              <w:top w:val="nil"/>
            </w:tcBorders>
            <w:vAlign w:val="center"/>
          </w:tcPr>
          <w:p w:rsidR="00212513" w:rsidRDefault="00212513">
            <w:pPr>
              <w:pStyle w:val="ConsPlusNormal"/>
              <w:jc w:val="center"/>
            </w:pPr>
            <w:r>
              <w:t>+</w:t>
            </w:r>
          </w:p>
        </w:tc>
        <w:tc>
          <w:tcPr>
            <w:tcW w:w="963" w:type="dxa"/>
            <w:tcBorders>
              <w:top w:val="nil"/>
            </w:tcBorders>
            <w:vAlign w:val="center"/>
          </w:tcPr>
          <w:p w:rsidR="00212513" w:rsidRDefault="00212513">
            <w:pPr>
              <w:pStyle w:val="ConsPlusNormal"/>
              <w:jc w:val="center"/>
            </w:pPr>
            <w:r>
              <w:t>-</w:t>
            </w:r>
          </w:p>
        </w:tc>
        <w:tc>
          <w:tcPr>
            <w:tcW w:w="963" w:type="dxa"/>
            <w:tcBorders>
              <w:top w:val="nil"/>
            </w:tcBorders>
            <w:vAlign w:val="center"/>
          </w:tcPr>
          <w:p w:rsidR="00212513" w:rsidRDefault="00212513">
            <w:pPr>
              <w:pStyle w:val="ConsPlusNormal"/>
              <w:jc w:val="center"/>
            </w:pPr>
            <w:r>
              <w:t>-</w:t>
            </w:r>
          </w:p>
        </w:tc>
        <w:tc>
          <w:tcPr>
            <w:tcW w:w="963" w:type="dxa"/>
            <w:tcBorders>
              <w:top w:val="nil"/>
            </w:tcBorders>
            <w:vAlign w:val="center"/>
          </w:tcPr>
          <w:p w:rsidR="00212513" w:rsidRDefault="00212513">
            <w:pPr>
              <w:pStyle w:val="ConsPlusNormal"/>
              <w:jc w:val="center"/>
            </w:pPr>
            <w:r>
              <w:t>-</w:t>
            </w:r>
          </w:p>
        </w:tc>
        <w:tc>
          <w:tcPr>
            <w:tcW w:w="963" w:type="dxa"/>
            <w:tcBorders>
              <w:top w:val="nil"/>
            </w:tcBorders>
            <w:vAlign w:val="center"/>
          </w:tcPr>
          <w:p w:rsidR="00212513" w:rsidRDefault="00212513">
            <w:pPr>
              <w:pStyle w:val="ConsPlusNormal"/>
              <w:jc w:val="center"/>
            </w:pPr>
            <w:r>
              <w:t>-</w:t>
            </w:r>
          </w:p>
        </w:tc>
        <w:tc>
          <w:tcPr>
            <w:tcW w:w="963" w:type="dxa"/>
            <w:tcBorders>
              <w:top w:val="nil"/>
            </w:tcBorders>
            <w:vAlign w:val="center"/>
          </w:tcPr>
          <w:p w:rsidR="00212513" w:rsidRDefault="00212513">
            <w:pPr>
              <w:pStyle w:val="ConsPlusNormal"/>
              <w:jc w:val="center"/>
            </w:pPr>
            <w:r>
              <w:rPr>
                <w:b/>
              </w:rPr>
              <w:t>-</w:t>
            </w:r>
          </w:p>
        </w:tc>
      </w:tr>
      <w:tr w:rsidR="00212513">
        <w:tc>
          <w:tcPr>
            <w:tcW w:w="1190" w:type="dxa"/>
            <w:vMerge w:val="restart"/>
            <w:vAlign w:val="center"/>
          </w:tcPr>
          <w:p w:rsidR="00212513" w:rsidRDefault="00212513">
            <w:pPr>
              <w:pStyle w:val="ConsPlusNormal"/>
              <w:jc w:val="center"/>
            </w:pPr>
            <w:r>
              <w:t>Стержневая горячекатаная периодического профиля</w:t>
            </w:r>
          </w:p>
        </w:tc>
        <w:tc>
          <w:tcPr>
            <w:tcW w:w="1247" w:type="dxa"/>
            <w:vMerge w:val="restart"/>
            <w:vAlign w:val="center"/>
          </w:tcPr>
          <w:p w:rsidR="00212513" w:rsidRDefault="00212513">
            <w:pPr>
              <w:pStyle w:val="ConsPlusNormal"/>
              <w:jc w:val="center"/>
            </w:pPr>
            <w:r>
              <w:t>А300</w:t>
            </w:r>
          </w:p>
          <w:p w:rsidR="00212513" w:rsidRDefault="00212513">
            <w:pPr>
              <w:pStyle w:val="ConsPlusNormal"/>
              <w:jc w:val="center"/>
            </w:pPr>
            <w:r>
              <w:t>(А-II)</w:t>
            </w:r>
          </w:p>
        </w:tc>
        <w:tc>
          <w:tcPr>
            <w:tcW w:w="1474" w:type="dxa"/>
            <w:vMerge w:val="restart"/>
            <w:tcBorders>
              <w:bottom w:val="nil"/>
            </w:tcBorders>
            <w:vAlign w:val="center"/>
          </w:tcPr>
          <w:p w:rsidR="00212513" w:rsidRDefault="00212513">
            <w:pPr>
              <w:pStyle w:val="ConsPlusNormal"/>
            </w:pPr>
          </w:p>
        </w:tc>
        <w:tc>
          <w:tcPr>
            <w:tcW w:w="1870" w:type="dxa"/>
            <w:tcBorders>
              <w:bottom w:val="nil"/>
            </w:tcBorders>
            <w:vAlign w:val="center"/>
          </w:tcPr>
          <w:p w:rsidR="00212513" w:rsidRDefault="00212513">
            <w:pPr>
              <w:pStyle w:val="ConsPlusNormal"/>
            </w:pPr>
          </w:p>
        </w:tc>
        <w:tc>
          <w:tcPr>
            <w:tcW w:w="1077" w:type="dxa"/>
            <w:tcBorders>
              <w:bottom w:val="nil"/>
            </w:tcBorders>
            <w:vAlign w:val="center"/>
          </w:tcPr>
          <w:p w:rsidR="00212513" w:rsidRDefault="00212513">
            <w:pPr>
              <w:pStyle w:val="ConsPlusNormal"/>
              <w:jc w:val="center"/>
            </w:pPr>
            <w:r>
              <w:t>Ст5сп</w:t>
            </w:r>
          </w:p>
        </w:tc>
        <w:tc>
          <w:tcPr>
            <w:tcW w:w="963" w:type="dxa"/>
            <w:tcBorders>
              <w:bottom w:val="nil"/>
            </w:tcBorders>
            <w:vAlign w:val="center"/>
          </w:tcPr>
          <w:p w:rsidR="00212513" w:rsidRDefault="00212513">
            <w:pPr>
              <w:pStyle w:val="ConsPlusNormal"/>
              <w:jc w:val="center"/>
            </w:pPr>
            <w:r>
              <w:t>10 - 40</w:t>
            </w:r>
          </w:p>
        </w:tc>
        <w:tc>
          <w:tcPr>
            <w:tcW w:w="963" w:type="dxa"/>
            <w:tcBorders>
              <w:bottom w:val="nil"/>
            </w:tcBorders>
            <w:vAlign w:val="center"/>
          </w:tcPr>
          <w:p w:rsidR="00212513" w:rsidRDefault="00212513">
            <w:pPr>
              <w:pStyle w:val="ConsPlusNormal"/>
              <w:jc w:val="center"/>
            </w:pPr>
            <w:r>
              <w:t>+</w:t>
            </w:r>
          </w:p>
        </w:tc>
        <w:tc>
          <w:tcPr>
            <w:tcW w:w="963" w:type="dxa"/>
            <w:tcBorders>
              <w:bottom w:val="nil"/>
            </w:tcBorders>
            <w:vAlign w:val="center"/>
          </w:tcPr>
          <w:p w:rsidR="00212513" w:rsidRDefault="00212513">
            <w:pPr>
              <w:pStyle w:val="ConsPlusNormal"/>
              <w:jc w:val="center"/>
            </w:pPr>
            <w:r>
              <w:t>+</w:t>
            </w:r>
          </w:p>
        </w:tc>
        <w:tc>
          <w:tcPr>
            <w:tcW w:w="963" w:type="dxa"/>
            <w:tcBorders>
              <w:bottom w:val="nil"/>
            </w:tcBorders>
            <w:vAlign w:val="center"/>
          </w:tcPr>
          <w:p w:rsidR="00212513" w:rsidRDefault="00212513">
            <w:pPr>
              <w:pStyle w:val="ConsPlusNormal"/>
              <w:jc w:val="center"/>
            </w:pPr>
            <w:r>
              <w:t xml:space="preserve">+ </w:t>
            </w:r>
            <w:hyperlink w:anchor="P3204">
              <w:r>
                <w:rPr>
                  <w:color w:val="0000FF"/>
                </w:rPr>
                <w:t>&lt;1&gt;</w:t>
              </w:r>
            </w:hyperlink>
            <w:r>
              <w:t xml:space="preserve">, </w:t>
            </w:r>
            <w:hyperlink w:anchor="P3205">
              <w:r>
                <w:rPr>
                  <w:color w:val="0000FF"/>
                </w:rPr>
                <w:t>&lt;2&gt;</w:t>
              </w:r>
            </w:hyperlink>
            <w:r>
              <w:t xml:space="preserve">, </w:t>
            </w:r>
            <w:hyperlink w:anchor="P3206">
              <w:r>
                <w:rPr>
                  <w:color w:val="0000FF"/>
                </w:rPr>
                <w:t>&lt;3&gt;</w:t>
              </w:r>
            </w:hyperlink>
          </w:p>
        </w:tc>
        <w:tc>
          <w:tcPr>
            <w:tcW w:w="963" w:type="dxa"/>
            <w:tcBorders>
              <w:bottom w:val="nil"/>
            </w:tcBorders>
            <w:vAlign w:val="center"/>
          </w:tcPr>
          <w:p w:rsidR="00212513" w:rsidRDefault="00212513">
            <w:pPr>
              <w:pStyle w:val="ConsPlusNormal"/>
              <w:jc w:val="center"/>
            </w:pPr>
            <w:r>
              <w:t>+</w:t>
            </w:r>
          </w:p>
        </w:tc>
        <w:tc>
          <w:tcPr>
            <w:tcW w:w="963" w:type="dxa"/>
            <w:tcBorders>
              <w:bottom w:val="nil"/>
            </w:tcBorders>
            <w:vAlign w:val="center"/>
          </w:tcPr>
          <w:p w:rsidR="00212513" w:rsidRDefault="00212513">
            <w:pPr>
              <w:pStyle w:val="ConsPlusNormal"/>
              <w:jc w:val="center"/>
            </w:pPr>
            <w:r>
              <w:t>+</w:t>
            </w:r>
          </w:p>
        </w:tc>
        <w:tc>
          <w:tcPr>
            <w:tcW w:w="963" w:type="dxa"/>
            <w:tcBorders>
              <w:bottom w:val="nil"/>
            </w:tcBorders>
            <w:vAlign w:val="center"/>
          </w:tcPr>
          <w:p w:rsidR="00212513" w:rsidRDefault="00212513">
            <w:pPr>
              <w:pStyle w:val="ConsPlusNormal"/>
              <w:jc w:val="center"/>
            </w:pPr>
            <w:r>
              <w:t>-</w:t>
            </w:r>
          </w:p>
        </w:tc>
      </w:tr>
      <w:tr w:rsidR="00212513">
        <w:tblPrEx>
          <w:tblBorders>
            <w:insideH w:val="nil"/>
          </w:tblBorders>
        </w:tblPrEx>
        <w:tc>
          <w:tcPr>
            <w:tcW w:w="1190" w:type="dxa"/>
            <w:vMerge/>
          </w:tcPr>
          <w:p w:rsidR="00212513" w:rsidRDefault="00212513">
            <w:pPr>
              <w:pStyle w:val="ConsPlusNormal"/>
            </w:pPr>
          </w:p>
        </w:tc>
        <w:tc>
          <w:tcPr>
            <w:tcW w:w="1247" w:type="dxa"/>
            <w:vMerge/>
          </w:tcPr>
          <w:p w:rsidR="00212513" w:rsidRDefault="00212513">
            <w:pPr>
              <w:pStyle w:val="ConsPlusNormal"/>
            </w:pPr>
          </w:p>
        </w:tc>
        <w:tc>
          <w:tcPr>
            <w:tcW w:w="1474" w:type="dxa"/>
            <w:vMerge/>
            <w:tcBorders>
              <w:bottom w:val="nil"/>
            </w:tcBorders>
          </w:tcPr>
          <w:p w:rsidR="00212513" w:rsidRDefault="00212513">
            <w:pPr>
              <w:pStyle w:val="ConsPlusNormal"/>
            </w:pPr>
          </w:p>
        </w:tc>
        <w:tc>
          <w:tcPr>
            <w:tcW w:w="1870" w:type="dxa"/>
            <w:tcBorders>
              <w:top w:val="nil"/>
              <w:bottom w:val="nil"/>
            </w:tcBorders>
            <w:vAlign w:val="center"/>
          </w:tcPr>
          <w:p w:rsidR="00212513" w:rsidRDefault="00212513">
            <w:pPr>
              <w:pStyle w:val="ConsPlusNormal"/>
              <w:jc w:val="center"/>
            </w:pPr>
            <w:r>
              <w:rPr>
                <w:noProof/>
                <w:position w:val="-8"/>
              </w:rPr>
              <w:drawing>
                <wp:inline distT="0" distB="0" distL="0" distR="0">
                  <wp:extent cx="1047750" cy="251460"/>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1047750" cy="251460"/>
                          </a:xfrm>
                          <a:prstGeom prst="rect">
                            <a:avLst/>
                          </a:prstGeom>
                          <a:noFill/>
                          <a:ln>
                            <a:noFill/>
                          </a:ln>
                        </pic:spPr>
                      </pic:pic>
                    </a:graphicData>
                  </a:graphic>
                </wp:inline>
              </w:drawing>
            </w:r>
          </w:p>
        </w:tc>
        <w:tc>
          <w:tcPr>
            <w:tcW w:w="1077" w:type="dxa"/>
            <w:tcBorders>
              <w:top w:val="nil"/>
              <w:bottom w:val="nil"/>
            </w:tcBorders>
            <w:vAlign w:val="center"/>
          </w:tcPr>
          <w:p w:rsidR="00212513" w:rsidRDefault="00212513">
            <w:pPr>
              <w:pStyle w:val="ConsPlusNormal"/>
              <w:jc w:val="center"/>
            </w:pPr>
            <w:r>
              <w:t>Ст5пс</w:t>
            </w:r>
          </w:p>
        </w:tc>
        <w:tc>
          <w:tcPr>
            <w:tcW w:w="963" w:type="dxa"/>
            <w:tcBorders>
              <w:top w:val="nil"/>
              <w:bottom w:val="nil"/>
            </w:tcBorders>
            <w:vAlign w:val="center"/>
          </w:tcPr>
          <w:p w:rsidR="00212513" w:rsidRDefault="00212513">
            <w:pPr>
              <w:pStyle w:val="ConsPlusNormal"/>
              <w:jc w:val="center"/>
            </w:pPr>
            <w:r>
              <w:t>10 - 16</w:t>
            </w:r>
          </w:p>
        </w:tc>
        <w:tc>
          <w:tcPr>
            <w:tcW w:w="963" w:type="dxa"/>
            <w:tcBorders>
              <w:top w:val="nil"/>
              <w:bottom w:val="nil"/>
            </w:tcBorders>
            <w:vAlign w:val="center"/>
          </w:tcPr>
          <w:p w:rsidR="00212513" w:rsidRDefault="00212513">
            <w:pPr>
              <w:pStyle w:val="ConsPlusNormal"/>
              <w:jc w:val="center"/>
            </w:pPr>
            <w:r>
              <w:t>+</w:t>
            </w:r>
          </w:p>
        </w:tc>
        <w:tc>
          <w:tcPr>
            <w:tcW w:w="963" w:type="dxa"/>
            <w:tcBorders>
              <w:top w:val="nil"/>
              <w:bottom w:val="nil"/>
            </w:tcBorders>
            <w:vAlign w:val="center"/>
          </w:tcPr>
          <w:p w:rsidR="00212513" w:rsidRDefault="00212513">
            <w:pPr>
              <w:pStyle w:val="ConsPlusNormal"/>
              <w:jc w:val="center"/>
            </w:pPr>
            <w:r>
              <w:t xml:space="preserve">+ </w:t>
            </w:r>
            <w:hyperlink w:anchor="P3204">
              <w:r>
                <w:rPr>
                  <w:color w:val="0000FF"/>
                </w:rPr>
                <w:t>&lt;1&gt;</w:t>
              </w:r>
            </w:hyperlink>
          </w:p>
        </w:tc>
        <w:tc>
          <w:tcPr>
            <w:tcW w:w="963" w:type="dxa"/>
            <w:tcBorders>
              <w:top w:val="nil"/>
              <w:bottom w:val="nil"/>
            </w:tcBorders>
            <w:vAlign w:val="center"/>
          </w:tcPr>
          <w:p w:rsidR="00212513" w:rsidRDefault="00212513">
            <w:pPr>
              <w:pStyle w:val="ConsPlusNormal"/>
              <w:jc w:val="center"/>
            </w:pPr>
            <w:r>
              <w:t>-</w:t>
            </w:r>
          </w:p>
        </w:tc>
        <w:tc>
          <w:tcPr>
            <w:tcW w:w="963" w:type="dxa"/>
            <w:tcBorders>
              <w:top w:val="nil"/>
              <w:bottom w:val="nil"/>
            </w:tcBorders>
            <w:vAlign w:val="center"/>
          </w:tcPr>
          <w:p w:rsidR="00212513" w:rsidRDefault="00212513">
            <w:pPr>
              <w:pStyle w:val="ConsPlusNormal"/>
              <w:jc w:val="center"/>
            </w:pPr>
            <w:r>
              <w:t>+</w:t>
            </w:r>
          </w:p>
        </w:tc>
        <w:tc>
          <w:tcPr>
            <w:tcW w:w="963" w:type="dxa"/>
            <w:tcBorders>
              <w:top w:val="nil"/>
              <w:bottom w:val="nil"/>
            </w:tcBorders>
            <w:vAlign w:val="center"/>
          </w:tcPr>
          <w:p w:rsidR="00212513" w:rsidRDefault="00212513">
            <w:pPr>
              <w:pStyle w:val="ConsPlusNormal"/>
              <w:jc w:val="center"/>
            </w:pPr>
            <w:r>
              <w:t xml:space="preserve">+ </w:t>
            </w:r>
            <w:hyperlink w:anchor="P3204">
              <w:r>
                <w:rPr>
                  <w:color w:val="0000FF"/>
                </w:rPr>
                <w:t>&lt;1&gt;</w:t>
              </w:r>
            </w:hyperlink>
          </w:p>
        </w:tc>
        <w:tc>
          <w:tcPr>
            <w:tcW w:w="963" w:type="dxa"/>
            <w:tcBorders>
              <w:top w:val="nil"/>
              <w:bottom w:val="nil"/>
            </w:tcBorders>
            <w:vAlign w:val="center"/>
          </w:tcPr>
          <w:p w:rsidR="00212513" w:rsidRDefault="00212513">
            <w:pPr>
              <w:pStyle w:val="ConsPlusNormal"/>
              <w:jc w:val="center"/>
            </w:pPr>
            <w:r>
              <w:t>-</w:t>
            </w:r>
          </w:p>
        </w:tc>
      </w:tr>
      <w:tr w:rsidR="00212513">
        <w:tblPrEx>
          <w:tblBorders>
            <w:insideH w:val="nil"/>
          </w:tblBorders>
        </w:tblPrEx>
        <w:tc>
          <w:tcPr>
            <w:tcW w:w="1190" w:type="dxa"/>
            <w:vMerge/>
          </w:tcPr>
          <w:p w:rsidR="00212513" w:rsidRDefault="00212513">
            <w:pPr>
              <w:pStyle w:val="ConsPlusNormal"/>
            </w:pPr>
          </w:p>
        </w:tc>
        <w:tc>
          <w:tcPr>
            <w:tcW w:w="1247" w:type="dxa"/>
            <w:vMerge/>
          </w:tcPr>
          <w:p w:rsidR="00212513" w:rsidRDefault="00212513">
            <w:pPr>
              <w:pStyle w:val="ConsPlusNormal"/>
            </w:pPr>
          </w:p>
        </w:tc>
        <w:tc>
          <w:tcPr>
            <w:tcW w:w="1474" w:type="dxa"/>
            <w:vMerge/>
            <w:tcBorders>
              <w:bottom w:val="nil"/>
            </w:tcBorders>
          </w:tcPr>
          <w:p w:rsidR="00212513" w:rsidRDefault="00212513">
            <w:pPr>
              <w:pStyle w:val="ConsPlusNormal"/>
            </w:pPr>
          </w:p>
        </w:tc>
        <w:tc>
          <w:tcPr>
            <w:tcW w:w="1870" w:type="dxa"/>
            <w:tcBorders>
              <w:top w:val="nil"/>
              <w:bottom w:val="nil"/>
            </w:tcBorders>
            <w:vAlign w:val="center"/>
          </w:tcPr>
          <w:p w:rsidR="00212513" w:rsidRDefault="00212513">
            <w:pPr>
              <w:pStyle w:val="ConsPlusNormal"/>
            </w:pPr>
          </w:p>
        </w:tc>
        <w:tc>
          <w:tcPr>
            <w:tcW w:w="1077" w:type="dxa"/>
            <w:tcBorders>
              <w:top w:val="nil"/>
            </w:tcBorders>
            <w:vAlign w:val="center"/>
          </w:tcPr>
          <w:p w:rsidR="00212513" w:rsidRDefault="00212513">
            <w:pPr>
              <w:pStyle w:val="ConsPlusNormal"/>
              <w:jc w:val="center"/>
            </w:pPr>
            <w:r>
              <w:t>Ст5пс2</w:t>
            </w:r>
          </w:p>
        </w:tc>
        <w:tc>
          <w:tcPr>
            <w:tcW w:w="963" w:type="dxa"/>
            <w:tcBorders>
              <w:top w:val="nil"/>
            </w:tcBorders>
            <w:vAlign w:val="center"/>
          </w:tcPr>
          <w:p w:rsidR="00212513" w:rsidRDefault="00212513">
            <w:pPr>
              <w:pStyle w:val="ConsPlusNormal"/>
              <w:jc w:val="center"/>
            </w:pPr>
            <w:r>
              <w:t>18 - 40</w:t>
            </w:r>
          </w:p>
        </w:tc>
        <w:tc>
          <w:tcPr>
            <w:tcW w:w="963" w:type="dxa"/>
            <w:tcBorders>
              <w:top w:val="nil"/>
            </w:tcBorders>
            <w:vAlign w:val="center"/>
          </w:tcPr>
          <w:p w:rsidR="00212513" w:rsidRDefault="00212513">
            <w:pPr>
              <w:pStyle w:val="ConsPlusNormal"/>
              <w:jc w:val="center"/>
            </w:pPr>
            <w:r>
              <w:t>+</w:t>
            </w:r>
          </w:p>
        </w:tc>
        <w:tc>
          <w:tcPr>
            <w:tcW w:w="963" w:type="dxa"/>
            <w:tcBorders>
              <w:top w:val="nil"/>
            </w:tcBorders>
            <w:vAlign w:val="center"/>
          </w:tcPr>
          <w:p w:rsidR="00212513" w:rsidRDefault="00212513">
            <w:pPr>
              <w:pStyle w:val="ConsPlusNormal"/>
              <w:jc w:val="center"/>
            </w:pPr>
            <w:r>
              <w:t>-</w:t>
            </w:r>
          </w:p>
        </w:tc>
        <w:tc>
          <w:tcPr>
            <w:tcW w:w="963" w:type="dxa"/>
            <w:tcBorders>
              <w:top w:val="nil"/>
            </w:tcBorders>
            <w:vAlign w:val="center"/>
          </w:tcPr>
          <w:p w:rsidR="00212513" w:rsidRDefault="00212513">
            <w:pPr>
              <w:pStyle w:val="ConsPlusNormal"/>
              <w:jc w:val="center"/>
            </w:pPr>
            <w:r>
              <w:t>-</w:t>
            </w:r>
          </w:p>
        </w:tc>
        <w:tc>
          <w:tcPr>
            <w:tcW w:w="963" w:type="dxa"/>
            <w:tcBorders>
              <w:top w:val="nil"/>
            </w:tcBorders>
            <w:vAlign w:val="center"/>
          </w:tcPr>
          <w:p w:rsidR="00212513" w:rsidRDefault="00212513">
            <w:pPr>
              <w:pStyle w:val="ConsPlusNormal"/>
              <w:jc w:val="center"/>
            </w:pPr>
            <w:r>
              <w:t xml:space="preserve">+ </w:t>
            </w:r>
            <w:hyperlink w:anchor="P3204">
              <w:r>
                <w:rPr>
                  <w:color w:val="0000FF"/>
                </w:rPr>
                <w:t>&lt;1&gt;</w:t>
              </w:r>
            </w:hyperlink>
          </w:p>
        </w:tc>
        <w:tc>
          <w:tcPr>
            <w:tcW w:w="963" w:type="dxa"/>
            <w:tcBorders>
              <w:top w:val="nil"/>
            </w:tcBorders>
            <w:vAlign w:val="center"/>
          </w:tcPr>
          <w:p w:rsidR="00212513" w:rsidRDefault="00212513">
            <w:pPr>
              <w:pStyle w:val="ConsPlusNormal"/>
              <w:jc w:val="center"/>
            </w:pPr>
            <w:r>
              <w:t>-</w:t>
            </w:r>
          </w:p>
        </w:tc>
        <w:tc>
          <w:tcPr>
            <w:tcW w:w="963" w:type="dxa"/>
            <w:tcBorders>
              <w:top w:val="nil"/>
            </w:tcBorders>
            <w:vAlign w:val="center"/>
          </w:tcPr>
          <w:p w:rsidR="00212513" w:rsidRDefault="00212513">
            <w:pPr>
              <w:pStyle w:val="ConsPlusNormal"/>
              <w:jc w:val="center"/>
            </w:pPr>
            <w:r>
              <w:t>-</w:t>
            </w:r>
          </w:p>
        </w:tc>
      </w:tr>
      <w:tr w:rsidR="00212513">
        <w:tc>
          <w:tcPr>
            <w:tcW w:w="1190" w:type="dxa"/>
            <w:vMerge/>
          </w:tcPr>
          <w:p w:rsidR="00212513" w:rsidRDefault="00212513">
            <w:pPr>
              <w:pStyle w:val="ConsPlusNormal"/>
            </w:pPr>
          </w:p>
        </w:tc>
        <w:tc>
          <w:tcPr>
            <w:tcW w:w="1247" w:type="dxa"/>
            <w:vAlign w:val="center"/>
          </w:tcPr>
          <w:p w:rsidR="00212513" w:rsidRDefault="00212513">
            <w:pPr>
              <w:pStyle w:val="ConsPlusNormal"/>
              <w:jc w:val="center"/>
            </w:pPr>
            <w:r>
              <w:t>Ас300</w:t>
            </w:r>
          </w:p>
          <w:p w:rsidR="00212513" w:rsidRDefault="00212513">
            <w:pPr>
              <w:pStyle w:val="ConsPlusNormal"/>
              <w:jc w:val="center"/>
            </w:pPr>
            <w:r>
              <w:t>(Ас-II)</w:t>
            </w:r>
          </w:p>
        </w:tc>
        <w:tc>
          <w:tcPr>
            <w:tcW w:w="1474" w:type="dxa"/>
            <w:vMerge/>
            <w:tcBorders>
              <w:bottom w:val="nil"/>
            </w:tcBorders>
          </w:tcPr>
          <w:p w:rsidR="00212513" w:rsidRDefault="00212513">
            <w:pPr>
              <w:pStyle w:val="ConsPlusNormal"/>
            </w:pPr>
          </w:p>
        </w:tc>
        <w:tc>
          <w:tcPr>
            <w:tcW w:w="1870" w:type="dxa"/>
            <w:tcBorders>
              <w:top w:val="nil"/>
            </w:tcBorders>
            <w:vAlign w:val="center"/>
          </w:tcPr>
          <w:p w:rsidR="00212513" w:rsidRDefault="00212513">
            <w:pPr>
              <w:pStyle w:val="ConsPlusNormal"/>
              <w:jc w:val="center"/>
            </w:pPr>
            <w:r>
              <w:rPr>
                <w:noProof/>
                <w:position w:val="-8"/>
              </w:rPr>
              <w:drawing>
                <wp:inline distT="0" distB="0" distL="0" distR="0">
                  <wp:extent cx="1047750" cy="251460"/>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1047750" cy="251460"/>
                          </a:xfrm>
                          <a:prstGeom prst="rect">
                            <a:avLst/>
                          </a:prstGeom>
                          <a:noFill/>
                          <a:ln>
                            <a:noFill/>
                          </a:ln>
                        </pic:spPr>
                      </pic:pic>
                    </a:graphicData>
                  </a:graphic>
                </wp:inline>
              </w:drawing>
            </w:r>
          </w:p>
        </w:tc>
        <w:tc>
          <w:tcPr>
            <w:tcW w:w="1077" w:type="dxa"/>
            <w:vAlign w:val="center"/>
          </w:tcPr>
          <w:p w:rsidR="00212513" w:rsidRDefault="00212513">
            <w:pPr>
              <w:pStyle w:val="ConsPlusNormal"/>
              <w:jc w:val="center"/>
            </w:pPr>
            <w:r>
              <w:t>10ГТ</w:t>
            </w:r>
          </w:p>
        </w:tc>
        <w:tc>
          <w:tcPr>
            <w:tcW w:w="963" w:type="dxa"/>
            <w:vAlign w:val="center"/>
          </w:tcPr>
          <w:p w:rsidR="00212513" w:rsidRDefault="00212513">
            <w:pPr>
              <w:pStyle w:val="ConsPlusNormal"/>
              <w:jc w:val="center"/>
            </w:pPr>
            <w:r>
              <w:t>10 - 32</w:t>
            </w:r>
          </w:p>
        </w:tc>
        <w:tc>
          <w:tcPr>
            <w:tcW w:w="963" w:type="dxa"/>
            <w:vAlign w:val="center"/>
          </w:tcPr>
          <w:p w:rsidR="00212513" w:rsidRDefault="00212513">
            <w:pPr>
              <w:pStyle w:val="ConsPlusNormal"/>
              <w:jc w:val="center"/>
            </w:pPr>
            <w:r>
              <w:t>+</w:t>
            </w:r>
          </w:p>
        </w:tc>
        <w:tc>
          <w:tcPr>
            <w:tcW w:w="963" w:type="dxa"/>
            <w:vAlign w:val="center"/>
          </w:tcPr>
          <w:p w:rsidR="00212513" w:rsidRDefault="00212513">
            <w:pPr>
              <w:pStyle w:val="ConsPlusNormal"/>
              <w:jc w:val="center"/>
            </w:pPr>
            <w:r>
              <w:t>+</w:t>
            </w:r>
          </w:p>
        </w:tc>
        <w:tc>
          <w:tcPr>
            <w:tcW w:w="963" w:type="dxa"/>
            <w:vAlign w:val="center"/>
          </w:tcPr>
          <w:p w:rsidR="00212513" w:rsidRDefault="00212513">
            <w:pPr>
              <w:pStyle w:val="ConsPlusNormal"/>
              <w:jc w:val="center"/>
            </w:pPr>
            <w:r>
              <w:t>+</w:t>
            </w:r>
          </w:p>
        </w:tc>
        <w:tc>
          <w:tcPr>
            <w:tcW w:w="963" w:type="dxa"/>
            <w:vAlign w:val="center"/>
          </w:tcPr>
          <w:p w:rsidR="00212513" w:rsidRDefault="00212513">
            <w:pPr>
              <w:pStyle w:val="ConsPlusNormal"/>
              <w:jc w:val="center"/>
            </w:pPr>
            <w:r>
              <w:t>+</w:t>
            </w:r>
          </w:p>
        </w:tc>
        <w:tc>
          <w:tcPr>
            <w:tcW w:w="963" w:type="dxa"/>
            <w:vAlign w:val="center"/>
          </w:tcPr>
          <w:p w:rsidR="00212513" w:rsidRDefault="00212513">
            <w:pPr>
              <w:pStyle w:val="ConsPlusNormal"/>
              <w:jc w:val="center"/>
            </w:pPr>
            <w:r>
              <w:t>+</w:t>
            </w:r>
          </w:p>
        </w:tc>
        <w:tc>
          <w:tcPr>
            <w:tcW w:w="963" w:type="dxa"/>
            <w:vAlign w:val="center"/>
          </w:tcPr>
          <w:p w:rsidR="00212513" w:rsidRDefault="00212513">
            <w:pPr>
              <w:pStyle w:val="ConsPlusNormal"/>
              <w:jc w:val="center"/>
            </w:pPr>
            <w:r>
              <w:t>+</w:t>
            </w:r>
          </w:p>
        </w:tc>
      </w:tr>
      <w:tr w:rsidR="00212513">
        <w:tblPrEx>
          <w:tblBorders>
            <w:insideH w:val="nil"/>
          </w:tblBorders>
        </w:tblPrEx>
        <w:tc>
          <w:tcPr>
            <w:tcW w:w="1190" w:type="dxa"/>
            <w:vMerge/>
          </w:tcPr>
          <w:p w:rsidR="00212513" w:rsidRDefault="00212513">
            <w:pPr>
              <w:pStyle w:val="ConsPlusNormal"/>
            </w:pPr>
          </w:p>
        </w:tc>
        <w:tc>
          <w:tcPr>
            <w:tcW w:w="1247" w:type="dxa"/>
            <w:vMerge w:val="restart"/>
            <w:vAlign w:val="center"/>
          </w:tcPr>
          <w:p w:rsidR="00212513" w:rsidRDefault="00212513">
            <w:pPr>
              <w:pStyle w:val="ConsPlusNormal"/>
              <w:jc w:val="center"/>
            </w:pPr>
            <w:r>
              <w:t>А400</w:t>
            </w:r>
          </w:p>
          <w:p w:rsidR="00212513" w:rsidRDefault="00212513">
            <w:pPr>
              <w:pStyle w:val="ConsPlusNormal"/>
              <w:jc w:val="center"/>
            </w:pPr>
            <w:r>
              <w:t>(А-III)</w:t>
            </w:r>
          </w:p>
        </w:tc>
        <w:tc>
          <w:tcPr>
            <w:tcW w:w="1474" w:type="dxa"/>
            <w:vMerge w:val="restart"/>
            <w:tcBorders>
              <w:top w:val="nil"/>
              <w:bottom w:val="nil"/>
            </w:tcBorders>
          </w:tcPr>
          <w:p w:rsidR="00212513" w:rsidRDefault="00212513">
            <w:pPr>
              <w:pStyle w:val="ConsPlusNormal"/>
              <w:jc w:val="center"/>
            </w:pPr>
            <w:hyperlink r:id="rId704">
              <w:r>
                <w:rPr>
                  <w:color w:val="0000FF"/>
                </w:rPr>
                <w:t>ГОСТ 5781</w:t>
              </w:r>
            </w:hyperlink>
          </w:p>
        </w:tc>
        <w:tc>
          <w:tcPr>
            <w:tcW w:w="1870" w:type="dxa"/>
            <w:tcBorders>
              <w:bottom w:val="nil"/>
            </w:tcBorders>
            <w:vAlign w:val="center"/>
          </w:tcPr>
          <w:p w:rsidR="00212513" w:rsidRDefault="00212513">
            <w:pPr>
              <w:pStyle w:val="ConsPlusNormal"/>
              <w:jc w:val="center"/>
            </w:pPr>
            <w:r>
              <w:rPr>
                <w:noProof/>
                <w:position w:val="-8"/>
              </w:rPr>
              <w:drawing>
                <wp:inline distT="0" distB="0" distL="0" distR="0">
                  <wp:extent cx="1058545" cy="251460"/>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1058545" cy="251460"/>
                          </a:xfrm>
                          <a:prstGeom prst="rect">
                            <a:avLst/>
                          </a:prstGeom>
                          <a:noFill/>
                          <a:ln>
                            <a:noFill/>
                          </a:ln>
                        </pic:spPr>
                      </pic:pic>
                    </a:graphicData>
                  </a:graphic>
                </wp:inline>
              </w:drawing>
            </w:r>
          </w:p>
        </w:tc>
        <w:tc>
          <w:tcPr>
            <w:tcW w:w="1077" w:type="dxa"/>
            <w:tcBorders>
              <w:bottom w:val="nil"/>
            </w:tcBorders>
            <w:vAlign w:val="center"/>
          </w:tcPr>
          <w:p w:rsidR="00212513" w:rsidRDefault="00212513">
            <w:pPr>
              <w:pStyle w:val="ConsPlusNormal"/>
              <w:jc w:val="center"/>
            </w:pPr>
            <w:r>
              <w:t>25Г2С</w:t>
            </w:r>
          </w:p>
        </w:tc>
        <w:tc>
          <w:tcPr>
            <w:tcW w:w="963" w:type="dxa"/>
            <w:tcBorders>
              <w:bottom w:val="nil"/>
            </w:tcBorders>
            <w:vAlign w:val="center"/>
          </w:tcPr>
          <w:p w:rsidR="00212513" w:rsidRDefault="00212513">
            <w:pPr>
              <w:pStyle w:val="ConsPlusNormal"/>
              <w:jc w:val="center"/>
            </w:pPr>
            <w:r>
              <w:t>6 - 40</w:t>
            </w:r>
          </w:p>
        </w:tc>
        <w:tc>
          <w:tcPr>
            <w:tcW w:w="963" w:type="dxa"/>
            <w:tcBorders>
              <w:bottom w:val="nil"/>
            </w:tcBorders>
            <w:vAlign w:val="center"/>
          </w:tcPr>
          <w:p w:rsidR="00212513" w:rsidRDefault="00212513">
            <w:pPr>
              <w:pStyle w:val="ConsPlusNormal"/>
              <w:jc w:val="center"/>
            </w:pPr>
            <w:r>
              <w:t>+</w:t>
            </w:r>
          </w:p>
        </w:tc>
        <w:tc>
          <w:tcPr>
            <w:tcW w:w="963" w:type="dxa"/>
            <w:tcBorders>
              <w:bottom w:val="nil"/>
            </w:tcBorders>
            <w:vAlign w:val="center"/>
          </w:tcPr>
          <w:p w:rsidR="00212513" w:rsidRDefault="00212513">
            <w:pPr>
              <w:pStyle w:val="ConsPlusNormal"/>
              <w:jc w:val="center"/>
            </w:pPr>
            <w:r>
              <w:t>+</w:t>
            </w:r>
          </w:p>
        </w:tc>
        <w:tc>
          <w:tcPr>
            <w:tcW w:w="963" w:type="dxa"/>
            <w:tcBorders>
              <w:bottom w:val="nil"/>
            </w:tcBorders>
            <w:vAlign w:val="center"/>
          </w:tcPr>
          <w:p w:rsidR="00212513" w:rsidRDefault="00212513">
            <w:pPr>
              <w:pStyle w:val="ConsPlusNormal"/>
              <w:jc w:val="center"/>
            </w:pPr>
            <w:r>
              <w:t xml:space="preserve">+ </w:t>
            </w:r>
            <w:hyperlink w:anchor="P3204">
              <w:r>
                <w:rPr>
                  <w:color w:val="0000FF"/>
                </w:rPr>
                <w:t>&lt;1&gt;</w:t>
              </w:r>
            </w:hyperlink>
          </w:p>
        </w:tc>
        <w:tc>
          <w:tcPr>
            <w:tcW w:w="963" w:type="dxa"/>
            <w:tcBorders>
              <w:bottom w:val="nil"/>
            </w:tcBorders>
            <w:vAlign w:val="center"/>
          </w:tcPr>
          <w:p w:rsidR="00212513" w:rsidRDefault="00212513">
            <w:pPr>
              <w:pStyle w:val="ConsPlusNormal"/>
              <w:jc w:val="center"/>
            </w:pPr>
            <w:r>
              <w:t>+</w:t>
            </w:r>
          </w:p>
        </w:tc>
        <w:tc>
          <w:tcPr>
            <w:tcW w:w="963" w:type="dxa"/>
            <w:tcBorders>
              <w:bottom w:val="nil"/>
            </w:tcBorders>
            <w:vAlign w:val="center"/>
          </w:tcPr>
          <w:p w:rsidR="00212513" w:rsidRDefault="00212513">
            <w:pPr>
              <w:pStyle w:val="ConsPlusNormal"/>
              <w:jc w:val="center"/>
            </w:pPr>
            <w:r>
              <w:t xml:space="preserve">+ </w:t>
            </w:r>
            <w:hyperlink w:anchor="P3204">
              <w:r>
                <w:rPr>
                  <w:color w:val="0000FF"/>
                </w:rPr>
                <w:t>&lt;1&gt;</w:t>
              </w:r>
            </w:hyperlink>
          </w:p>
        </w:tc>
        <w:tc>
          <w:tcPr>
            <w:tcW w:w="963" w:type="dxa"/>
            <w:tcBorders>
              <w:bottom w:val="nil"/>
            </w:tcBorders>
            <w:vAlign w:val="center"/>
          </w:tcPr>
          <w:p w:rsidR="00212513" w:rsidRDefault="00212513">
            <w:pPr>
              <w:pStyle w:val="ConsPlusNormal"/>
              <w:jc w:val="center"/>
            </w:pPr>
            <w:r>
              <w:t xml:space="preserve">+ </w:t>
            </w:r>
            <w:hyperlink w:anchor="P3204">
              <w:r>
                <w:rPr>
                  <w:color w:val="0000FF"/>
                </w:rPr>
                <w:t>&lt;1&gt;</w:t>
              </w:r>
            </w:hyperlink>
          </w:p>
        </w:tc>
      </w:tr>
      <w:tr w:rsidR="00212513">
        <w:tblPrEx>
          <w:tblBorders>
            <w:insideH w:val="nil"/>
          </w:tblBorders>
        </w:tblPrEx>
        <w:tc>
          <w:tcPr>
            <w:tcW w:w="1190" w:type="dxa"/>
            <w:vMerge/>
          </w:tcPr>
          <w:p w:rsidR="00212513" w:rsidRDefault="00212513">
            <w:pPr>
              <w:pStyle w:val="ConsPlusNormal"/>
            </w:pPr>
          </w:p>
        </w:tc>
        <w:tc>
          <w:tcPr>
            <w:tcW w:w="1247" w:type="dxa"/>
            <w:vMerge/>
          </w:tcPr>
          <w:p w:rsidR="00212513" w:rsidRDefault="00212513">
            <w:pPr>
              <w:pStyle w:val="ConsPlusNormal"/>
            </w:pPr>
          </w:p>
        </w:tc>
        <w:tc>
          <w:tcPr>
            <w:tcW w:w="1474" w:type="dxa"/>
            <w:vMerge/>
            <w:tcBorders>
              <w:top w:val="nil"/>
              <w:bottom w:val="nil"/>
            </w:tcBorders>
          </w:tcPr>
          <w:p w:rsidR="00212513" w:rsidRDefault="00212513">
            <w:pPr>
              <w:pStyle w:val="ConsPlusNormal"/>
            </w:pPr>
          </w:p>
        </w:tc>
        <w:tc>
          <w:tcPr>
            <w:tcW w:w="1870" w:type="dxa"/>
            <w:tcBorders>
              <w:top w:val="nil"/>
            </w:tcBorders>
            <w:vAlign w:val="center"/>
          </w:tcPr>
          <w:p w:rsidR="00212513" w:rsidRDefault="00212513">
            <w:pPr>
              <w:pStyle w:val="ConsPlusNormal"/>
              <w:jc w:val="center"/>
            </w:pPr>
            <w:r>
              <w:rPr>
                <w:noProof/>
                <w:position w:val="-8"/>
              </w:rPr>
              <w:drawing>
                <wp:inline distT="0" distB="0" distL="0" distR="0">
                  <wp:extent cx="1047750" cy="251460"/>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047750" cy="251460"/>
                          </a:xfrm>
                          <a:prstGeom prst="rect">
                            <a:avLst/>
                          </a:prstGeom>
                          <a:noFill/>
                          <a:ln>
                            <a:noFill/>
                          </a:ln>
                        </pic:spPr>
                      </pic:pic>
                    </a:graphicData>
                  </a:graphic>
                </wp:inline>
              </w:drawing>
            </w:r>
          </w:p>
        </w:tc>
        <w:tc>
          <w:tcPr>
            <w:tcW w:w="1077" w:type="dxa"/>
            <w:tcBorders>
              <w:top w:val="nil"/>
            </w:tcBorders>
            <w:vAlign w:val="center"/>
          </w:tcPr>
          <w:p w:rsidR="00212513" w:rsidRDefault="00212513">
            <w:pPr>
              <w:pStyle w:val="ConsPlusNormal"/>
              <w:jc w:val="center"/>
            </w:pPr>
            <w:r>
              <w:t>35ГС</w:t>
            </w:r>
          </w:p>
        </w:tc>
        <w:tc>
          <w:tcPr>
            <w:tcW w:w="963" w:type="dxa"/>
            <w:tcBorders>
              <w:top w:val="nil"/>
            </w:tcBorders>
            <w:vAlign w:val="center"/>
          </w:tcPr>
          <w:p w:rsidR="00212513" w:rsidRDefault="00212513">
            <w:pPr>
              <w:pStyle w:val="ConsPlusNormal"/>
              <w:jc w:val="center"/>
            </w:pPr>
            <w:r>
              <w:t>6 - 40</w:t>
            </w:r>
          </w:p>
        </w:tc>
        <w:tc>
          <w:tcPr>
            <w:tcW w:w="963" w:type="dxa"/>
            <w:tcBorders>
              <w:top w:val="nil"/>
            </w:tcBorders>
            <w:vAlign w:val="center"/>
          </w:tcPr>
          <w:p w:rsidR="00212513" w:rsidRDefault="00212513">
            <w:pPr>
              <w:pStyle w:val="ConsPlusNormal"/>
              <w:jc w:val="center"/>
            </w:pPr>
            <w:r>
              <w:t>+</w:t>
            </w:r>
          </w:p>
        </w:tc>
        <w:tc>
          <w:tcPr>
            <w:tcW w:w="963" w:type="dxa"/>
            <w:tcBorders>
              <w:top w:val="nil"/>
            </w:tcBorders>
            <w:vAlign w:val="center"/>
          </w:tcPr>
          <w:p w:rsidR="00212513" w:rsidRDefault="00212513">
            <w:pPr>
              <w:pStyle w:val="ConsPlusNormal"/>
              <w:jc w:val="center"/>
            </w:pPr>
            <w:r>
              <w:t xml:space="preserve">+ </w:t>
            </w:r>
            <w:hyperlink w:anchor="P3207">
              <w:r>
                <w:rPr>
                  <w:color w:val="0000FF"/>
                </w:rPr>
                <w:t>&lt;4&gt;</w:t>
              </w:r>
            </w:hyperlink>
          </w:p>
        </w:tc>
        <w:tc>
          <w:tcPr>
            <w:tcW w:w="963" w:type="dxa"/>
            <w:tcBorders>
              <w:top w:val="nil"/>
            </w:tcBorders>
            <w:vAlign w:val="center"/>
          </w:tcPr>
          <w:p w:rsidR="00212513" w:rsidRDefault="00212513">
            <w:pPr>
              <w:pStyle w:val="ConsPlusNormal"/>
              <w:jc w:val="center"/>
            </w:pPr>
            <w:r>
              <w:t>-</w:t>
            </w:r>
          </w:p>
        </w:tc>
        <w:tc>
          <w:tcPr>
            <w:tcW w:w="963" w:type="dxa"/>
            <w:tcBorders>
              <w:top w:val="nil"/>
            </w:tcBorders>
            <w:vAlign w:val="center"/>
          </w:tcPr>
          <w:p w:rsidR="00212513" w:rsidRDefault="00212513">
            <w:pPr>
              <w:pStyle w:val="ConsPlusNormal"/>
              <w:jc w:val="center"/>
            </w:pPr>
            <w:r>
              <w:t>-</w:t>
            </w:r>
          </w:p>
        </w:tc>
        <w:tc>
          <w:tcPr>
            <w:tcW w:w="963" w:type="dxa"/>
            <w:tcBorders>
              <w:top w:val="nil"/>
            </w:tcBorders>
            <w:vAlign w:val="center"/>
          </w:tcPr>
          <w:p w:rsidR="00212513" w:rsidRDefault="00212513">
            <w:pPr>
              <w:pStyle w:val="ConsPlusNormal"/>
              <w:jc w:val="center"/>
            </w:pPr>
            <w:r>
              <w:t>-</w:t>
            </w:r>
          </w:p>
        </w:tc>
        <w:tc>
          <w:tcPr>
            <w:tcW w:w="963" w:type="dxa"/>
            <w:tcBorders>
              <w:top w:val="nil"/>
            </w:tcBorders>
            <w:vAlign w:val="center"/>
          </w:tcPr>
          <w:p w:rsidR="00212513" w:rsidRDefault="00212513">
            <w:pPr>
              <w:pStyle w:val="ConsPlusNormal"/>
              <w:jc w:val="center"/>
            </w:pPr>
            <w:r>
              <w:t>-</w:t>
            </w:r>
          </w:p>
        </w:tc>
      </w:tr>
      <w:tr w:rsidR="00212513">
        <w:tc>
          <w:tcPr>
            <w:tcW w:w="1190" w:type="dxa"/>
            <w:vMerge/>
          </w:tcPr>
          <w:p w:rsidR="00212513" w:rsidRDefault="00212513">
            <w:pPr>
              <w:pStyle w:val="ConsPlusNormal"/>
            </w:pPr>
          </w:p>
        </w:tc>
        <w:tc>
          <w:tcPr>
            <w:tcW w:w="1247" w:type="dxa"/>
            <w:vAlign w:val="center"/>
          </w:tcPr>
          <w:p w:rsidR="00212513" w:rsidRDefault="00212513">
            <w:pPr>
              <w:pStyle w:val="ConsPlusNormal"/>
              <w:jc w:val="center"/>
            </w:pPr>
            <w:r>
              <w:t xml:space="preserve">А600 </w:t>
            </w:r>
            <w:hyperlink w:anchor="P3216">
              <w:r>
                <w:rPr>
                  <w:color w:val="0000FF"/>
                </w:rPr>
                <w:t>&lt;13&gt;</w:t>
              </w:r>
            </w:hyperlink>
          </w:p>
          <w:p w:rsidR="00212513" w:rsidRDefault="00212513">
            <w:pPr>
              <w:pStyle w:val="ConsPlusNormal"/>
              <w:jc w:val="center"/>
            </w:pPr>
            <w:r>
              <w:t>(А-IV)</w:t>
            </w:r>
          </w:p>
        </w:tc>
        <w:tc>
          <w:tcPr>
            <w:tcW w:w="1474" w:type="dxa"/>
            <w:vMerge w:val="restart"/>
            <w:tcBorders>
              <w:top w:val="nil"/>
            </w:tcBorders>
          </w:tcPr>
          <w:p w:rsidR="00212513" w:rsidRDefault="00212513">
            <w:pPr>
              <w:pStyle w:val="ConsPlusNormal"/>
              <w:jc w:val="center"/>
            </w:pPr>
            <w:hyperlink r:id="rId707">
              <w:r>
                <w:rPr>
                  <w:color w:val="0000FF"/>
                </w:rPr>
                <w:t>ГОСТ 380</w:t>
              </w:r>
            </w:hyperlink>
          </w:p>
        </w:tc>
        <w:tc>
          <w:tcPr>
            <w:tcW w:w="1870" w:type="dxa"/>
            <w:vMerge w:val="restart"/>
            <w:vAlign w:val="center"/>
          </w:tcPr>
          <w:p w:rsidR="00212513" w:rsidRDefault="00212513">
            <w:pPr>
              <w:pStyle w:val="ConsPlusNormal"/>
              <w:jc w:val="center"/>
            </w:pPr>
            <w:r>
              <w:t xml:space="preserve">Фактические значения </w:t>
            </w:r>
            <w:r>
              <w:rPr>
                <w:noProof/>
                <w:position w:val="-8"/>
              </w:rPr>
              <w:drawing>
                <wp:inline distT="0" distB="0" distL="0" distR="0">
                  <wp:extent cx="209550" cy="251460"/>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9"/>
              </w:rPr>
              <w:drawing>
                <wp:inline distT="0" distB="0" distL="0" distR="0">
                  <wp:extent cx="283210" cy="262255"/>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283210" cy="262255"/>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не должны превышать нормируемых значений более чем на 100</w:t>
            </w:r>
          </w:p>
        </w:tc>
        <w:tc>
          <w:tcPr>
            <w:tcW w:w="1077" w:type="dxa"/>
            <w:vAlign w:val="center"/>
          </w:tcPr>
          <w:p w:rsidR="00212513" w:rsidRDefault="00212513">
            <w:pPr>
              <w:pStyle w:val="ConsPlusNormal"/>
              <w:jc w:val="center"/>
            </w:pPr>
            <w:r>
              <w:t>20ХГ2Ц</w:t>
            </w:r>
          </w:p>
        </w:tc>
        <w:tc>
          <w:tcPr>
            <w:tcW w:w="963" w:type="dxa"/>
            <w:vAlign w:val="center"/>
          </w:tcPr>
          <w:p w:rsidR="00212513" w:rsidRDefault="00212513">
            <w:pPr>
              <w:pStyle w:val="ConsPlusNormal"/>
              <w:jc w:val="center"/>
            </w:pPr>
            <w:r>
              <w:t>10 - 22</w:t>
            </w:r>
          </w:p>
        </w:tc>
        <w:tc>
          <w:tcPr>
            <w:tcW w:w="963" w:type="dxa"/>
            <w:vAlign w:val="center"/>
          </w:tcPr>
          <w:p w:rsidR="00212513" w:rsidRDefault="00212513">
            <w:pPr>
              <w:pStyle w:val="ConsPlusNormal"/>
              <w:jc w:val="center"/>
            </w:pPr>
            <w:r>
              <w:t>+</w:t>
            </w:r>
          </w:p>
        </w:tc>
        <w:tc>
          <w:tcPr>
            <w:tcW w:w="963" w:type="dxa"/>
            <w:vAlign w:val="center"/>
          </w:tcPr>
          <w:p w:rsidR="00212513" w:rsidRDefault="00212513">
            <w:pPr>
              <w:pStyle w:val="ConsPlusNormal"/>
              <w:jc w:val="center"/>
            </w:pPr>
            <w:r>
              <w:t>+</w:t>
            </w:r>
          </w:p>
        </w:tc>
        <w:tc>
          <w:tcPr>
            <w:tcW w:w="963" w:type="dxa"/>
            <w:vAlign w:val="center"/>
          </w:tcPr>
          <w:p w:rsidR="00212513" w:rsidRDefault="00212513">
            <w:pPr>
              <w:pStyle w:val="ConsPlusNormal"/>
              <w:jc w:val="center"/>
            </w:pPr>
            <w:r>
              <w:t xml:space="preserve">+ </w:t>
            </w:r>
            <w:hyperlink w:anchor="P3208">
              <w:r>
                <w:rPr>
                  <w:color w:val="0000FF"/>
                </w:rPr>
                <w:t>&lt;5&gt;</w:t>
              </w:r>
            </w:hyperlink>
          </w:p>
        </w:tc>
        <w:tc>
          <w:tcPr>
            <w:tcW w:w="963" w:type="dxa"/>
            <w:vAlign w:val="center"/>
          </w:tcPr>
          <w:p w:rsidR="00212513" w:rsidRDefault="00212513">
            <w:pPr>
              <w:pStyle w:val="ConsPlusNormal"/>
              <w:jc w:val="center"/>
            </w:pPr>
            <w:r>
              <w:t>+</w:t>
            </w:r>
          </w:p>
        </w:tc>
        <w:tc>
          <w:tcPr>
            <w:tcW w:w="963" w:type="dxa"/>
            <w:vAlign w:val="center"/>
          </w:tcPr>
          <w:p w:rsidR="00212513" w:rsidRDefault="00212513">
            <w:pPr>
              <w:pStyle w:val="ConsPlusNormal"/>
              <w:jc w:val="center"/>
            </w:pPr>
            <w:r>
              <w:t>+</w:t>
            </w:r>
          </w:p>
        </w:tc>
        <w:tc>
          <w:tcPr>
            <w:tcW w:w="963" w:type="dxa"/>
            <w:vAlign w:val="center"/>
          </w:tcPr>
          <w:p w:rsidR="00212513" w:rsidRDefault="00212513">
            <w:pPr>
              <w:pStyle w:val="ConsPlusNormal"/>
              <w:jc w:val="center"/>
            </w:pPr>
            <w:r>
              <w:t xml:space="preserve">+ </w:t>
            </w:r>
            <w:hyperlink w:anchor="P3208">
              <w:r>
                <w:rPr>
                  <w:color w:val="0000FF"/>
                </w:rPr>
                <w:t>&lt;5&gt;</w:t>
              </w:r>
            </w:hyperlink>
          </w:p>
        </w:tc>
      </w:tr>
      <w:tr w:rsidR="00212513">
        <w:tc>
          <w:tcPr>
            <w:tcW w:w="1190" w:type="dxa"/>
            <w:vMerge/>
          </w:tcPr>
          <w:p w:rsidR="00212513" w:rsidRDefault="00212513">
            <w:pPr>
              <w:pStyle w:val="ConsPlusNormal"/>
            </w:pPr>
          </w:p>
        </w:tc>
        <w:tc>
          <w:tcPr>
            <w:tcW w:w="1247" w:type="dxa"/>
            <w:vAlign w:val="center"/>
          </w:tcPr>
          <w:p w:rsidR="00212513" w:rsidRDefault="00212513">
            <w:pPr>
              <w:pStyle w:val="ConsPlusNormal"/>
              <w:jc w:val="center"/>
            </w:pPr>
            <w:r>
              <w:t>А-800</w:t>
            </w:r>
          </w:p>
          <w:p w:rsidR="00212513" w:rsidRDefault="00212513">
            <w:pPr>
              <w:pStyle w:val="ConsPlusNormal"/>
              <w:jc w:val="center"/>
            </w:pPr>
            <w:r>
              <w:t>(А-V)</w:t>
            </w:r>
          </w:p>
        </w:tc>
        <w:tc>
          <w:tcPr>
            <w:tcW w:w="1474" w:type="dxa"/>
            <w:vMerge/>
            <w:tcBorders>
              <w:top w:val="nil"/>
            </w:tcBorders>
          </w:tcPr>
          <w:p w:rsidR="00212513" w:rsidRDefault="00212513">
            <w:pPr>
              <w:pStyle w:val="ConsPlusNormal"/>
            </w:pPr>
          </w:p>
        </w:tc>
        <w:tc>
          <w:tcPr>
            <w:tcW w:w="1870" w:type="dxa"/>
            <w:vMerge/>
          </w:tcPr>
          <w:p w:rsidR="00212513" w:rsidRDefault="00212513">
            <w:pPr>
              <w:pStyle w:val="ConsPlusNormal"/>
            </w:pPr>
          </w:p>
        </w:tc>
        <w:tc>
          <w:tcPr>
            <w:tcW w:w="1077" w:type="dxa"/>
            <w:vAlign w:val="center"/>
          </w:tcPr>
          <w:p w:rsidR="00212513" w:rsidRDefault="00212513">
            <w:pPr>
              <w:pStyle w:val="ConsPlusNormal"/>
              <w:jc w:val="center"/>
            </w:pPr>
            <w:r>
              <w:t>23Х2Г2Т</w:t>
            </w:r>
          </w:p>
        </w:tc>
        <w:tc>
          <w:tcPr>
            <w:tcW w:w="963" w:type="dxa"/>
            <w:vAlign w:val="center"/>
          </w:tcPr>
          <w:p w:rsidR="00212513" w:rsidRDefault="00212513">
            <w:pPr>
              <w:pStyle w:val="ConsPlusNormal"/>
              <w:jc w:val="center"/>
            </w:pPr>
            <w:r>
              <w:t>10 - 32</w:t>
            </w:r>
          </w:p>
        </w:tc>
        <w:tc>
          <w:tcPr>
            <w:tcW w:w="963" w:type="dxa"/>
            <w:vAlign w:val="center"/>
          </w:tcPr>
          <w:p w:rsidR="00212513" w:rsidRDefault="00212513">
            <w:pPr>
              <w:pStyle w:val="ConsPlusNormal"/>
              <w:jc w:val="center"/>
            </w:pPr>
            <w:r>
              <w:t>+</w:t>
            </w:r>
          </w:p>
        </w:tc>
        <w:tc>
          <w:tcPr>
            <w:tcW w:w="963" w:type="dxa"/>
            <w:vAlign w:val="center"/>
          </w:tcPr>
          <w:p w:rsidR="00212513" w:rsidRDefault="00212513">
            <w:pPr>
              <w:pStyle w:val="ConsPlusNormal"/>
              <w:jc w:val="center"/>
            </w:pPr>
            <w:r>
              <w:t>+</w:t>
            </w:r>
          </w:p>
        </w:tc>
        <w:tc>
          <w:tcPr>
            <w:tcW w:w="963" w:type="dxa"/>
            <w:vAlign w:val="center"/>
          </w:tcPr>
          <w:p w:rsidR="00212513" w:rsidRDefault="00212513">
            <w:pPr>
              <w:pStyle w:val="ConsPlusNormal"/>
              <w:jc w:val="center"/>
            </w:pPr>
            <w:r>
              <w:t xml:space="preserve">+ </w:t>
            </w:r>
            <w:hyperlink w:anchor="P3208">
              <w:r>
                <w:rPr>
                  <w:color w:val="0000FF"/>
                </w:rPr>
                <w:t>&lt;5&gt;</w:t>
              </w:r>
            </w:hyperlink>
          </w:p>
        </w:tc>
        <w:tc>
          <w:tcPr>
            <w:tcW w:w="963" w:type="dxa"/>
            <w:vAlign w:val="center"/>
          </w:tcPr>
          <w:p w:rsidR="00212513" w:rsidRDefault="00212513">
            <w:pPr>
              <w:pStyle w:val="ConsPlusNormal"/>
              <w:jc w:val="center"/>
            </w:pPr>
            <w:r>
              <w:t>+</w:t>
            </w:r>
          </w:p>
        </w:tc>
        <w:tc>
          <w:tcPr>
            <w:tcW w:w="963" w:type="dxa"/>
            <w:vAlign w:val="center"/>
          </w:tcPr>
          <w:p w:rsidR="00212513" w:rsidRDefault="00212513">
            <w:pPr>
              <w:pStyle w:val="ConsPlusNormal"/>
              <w:jc w:val="center"/>
            </w:pPr>
            <w:r>
              <w:t>+</w:t>
            </w:r>
          </w:p>
        </w:tc>
        <w:tc>
          <w:tcPr>
            <w:tcW w:w="963" w:type="dxa"/>
            <w:vAlign w:val="center"/>
          </w:tcPr>
          <w:p w:rsidR="00212513" w:rsidRDefault="00212513">
            <w:pPr>
              <w:pStyle w:val="ConsPlusNormal"/>
              <w:jc w:val="center"/>
            </w:pPr>
            <w:r>
              <w:t xml:space="preserve">+ </w:t>
            </w:r>
            <w:hyperlink w:anchor="P3208">
              <w:r>
                <w:rPr>
                  <w:color w:val="0000FF"/>
                </w:rPr>
                <w:t>&lt;5&gt;</w:t>
              </w:r>
            </w:hyperlink>
          </w:p>
        </w:tc>
      </w:tr>
      <w:tr w:rsidR="00212513">
        <w:tc>
          <w:tcPr>
            <w:tcW w:w="1190" w:type="dxa"/>
            <w:vMerge w:val="restart"/>
            <w:tcBorders>
              <w:bottom w:val="nil"/>
            </w:tcBorders>
            <w:vAlign w:val="center"/>
          </w:tcPr>
          <w:p w:rsidR="00212513" w:rsidRDefault="00212513">
            <w:pPr>
              <w:pStyle w:val="ConsPlusNormal"/>
              <w:jc w:val="center"/>
            </w:pPr>
            <w:r>
              <w:t>Стержневая термически упрочненная периодического профиля</w:t>
            </w:r>
          </w:p>
        </w:tc>
        <w:tc>
          <w:tcPr>
            <w:tcW w:w="1247" w:type="dxa"/>
            <w:vMerge w:val="restart"/>
          </w:tcPr>
          <w:p w:rsidR="00212513" w:rsidRDefault="00212513">
            <w:pPr>
              <w:pStyle w:val="ConsPlusNormal"/>
              <w:jc w:val="center"/>
            </w:pPr>
            <w:r>
              <w:t xml:space="preserve">Ат600 </w:t>
            </w:r>
            <w:hyperlink w:anchor="P3209">
              <w:r>
                <w:rPr>
                  <w:color w:val="0000FF"/>
                </w:rPr>
                <w:t>&lt;6&gt;</w:t>
              </w:r>
            </w:hyperlink>
            <w:r>
              <w:t xml:space="preserve">, </w:t>
            </w:r>
            <w:hyperlink w:anchor="P3216">
              <w:r>
                <w:rPr>
                  <w:color w:val="0000FF"/>
                </w:rPr>
                <w:t>&lt;13&gt;</w:t>
              </w:r>
            </w:hyperlink>
          </w:p>
          <w:p w:rsidR="00212513" w:rsidRDefault="00212513">
            <w:pPr>
              <w:pStyle w:val="ConsPlusNormal"/>
              <w:jc w:val="center"/>
            </w:pPr>
            <w:r>
              <w:t>(Ат-IV)</w:t>
            </w:r>
          </w:p>
        </w:tc>
        <w:tc>
          <w:tcPr>
            <w:tcW w:w="1474" w:type="dxa"/>
            <w:vMerge w:val="restart"/>
            <w:tcBorders>
              <w:bottom w:val="nil"/>
            </w:tcBorders>
            <w:vAlign w:val="center"/>
          </w:tcPr>
          <w:p w:rsidR="00212513" w:rsidRDefault="00212513">
            <w:pPr>
              <w:pStyle w:val="ConsPlusNormal"/>
              <w:jc w:val="center"/>
            </w:pPr>
            <w:hyperlink r:id="rId711">
              <w:r>
                <w:rPr>
                  <w:color w:val="0000FF"/>
                </w:rPr>
                <w:t>ГОСТ 34028</w:t>
              </w:r>
            </w:hyperlink>
          </w:p>
        </w:tc>
        <w:tc>
          <w:tcPr>
            <w:tcW w:w="1870" w:type="dxa"/>
            <w:vMerge w:val="restart"/>
            <w:tcBorders>
              <w:bottom w:val="nil"/>
            </w:tcBorders>
            <w:vAlign w:val="center"/>
          </w:tcPr>
          <w:p w:rsidR="00212513" w:rsidRDefault="00212513">
            <w:pPr>
              <w:pStyle w:val="ConsPlusNormal"/>
              <w:jc w:val="center"/>
            </w:pPr>
            <w:r>
              <w:t>-</w:t>
            </w:r>
          </w:p>
        </w:tc>
        <w:tc>
          <w:tcPr>
            <w:tcW w:w="1077" w:type="dxa"/>
            <w:vAlign w:val="center"/>
          </w:tcPr>
          <w:p w:rsidR="00212513" w:rsidRDefault="00212513">
            <w:pPr>
              <w:pStyle w:val="ConsPlusNormal"/>
              <w:jc w:val="center"/>
            </w:pPr>
            <w:r>
              <w:t>28С</w:t>
            </w:r>
          </w:p>
        </w:tc>
        <w:tc>
          <w:tcPr>
            <w:tcW w:w="963" w:type="dxa"/>
            <w:vAlign w:val="center"/>
          </w:tcPr>
          <w:p w:rsidR="00212513" w:rsidRDefault="00212513">
            <w:pPr>
              <w:pStyle w:val="ConsPlusNormal"/>
              <w:jc w:val="center"/>
            </w:pPr>
            <w:r>
              <w:t>10 - 28</w:t>
            </w:r>
          </w:p>
        </w:tc>
        <w:tc>
          <w:tcPr>
            <w:tcW w:w="963" w:type="dxa"/>
            <w:vAlign w:val="center"/>
          </w:tcPr>
          <w:p w:rsidR="00212513" w:rsidRDefault="00212513">
            <w:pPr>
              <w:pStyle w:val="ConsPlusNormal"/>
              <w:jc w:val="center"/>
            </w:pPr>
            <w:r>
              <w:t xml:space="preserve">+ </w:t>
            </w:r>
            <w:hyperlink w:anchor="P3208">
              <w:r>
                <w:rPr>
                  <w:color w:val="0000FF"/>
                </w:rPr>
                <w:t>&lt;5&gt;</w:t>
              </w:r>
            </w:hyperlink>
          </w:p>
        </w:tc>
        <w:tc>
          <w:tcPr>
            <w:tcW w:w="963" w:type="dxa"/>
            <w:vAlign w:val="center"/>
          </w:tcPr>
          <w:p w:rsidR="00212513" w:rsidRDefault="00212513">
            <w:pPr>
              <w:pStyle w:val="ConsPlusNormal"/>
              <w:jc w:val="center"/>
            </w:pPr>
            <w:r>
              <w:t xml:space="preserve">+ </w:t>
            </w:r>
            <w:hyperlink w:anchor="P3208">
              <w:r>
                <w:rPr>
                  <w:color w:val="0000FF"/>
                </w:rPr>
                <w:t>&lt;5&gt;</w:t>
              </w:r>
            </w:hyperlink>
          </w:p>
        </w:tc>
        <w:tc>
          <w:tcPr>
            <w:tcW w:w="963" w:type="dxa"/>
            <w:vAlign w:val="center"/>
          </w:tcPr>
          <w:p w:rsidR="00212513" w:rsidRDefault="00212513">
            <w:pPr>
              <w:pStyle w:val="ConsPlusNormal"/>
              <w:jc w:val="center"/>
            </w:pPr>
            <w:r>
              <w:t xml:space="preserve">+ </w:t>
            </w:r>
            <w:hyperlink w:anchor="P3208">
              <w:r>
                <w:rPr>
                  <w:color w:val="0000FF"/>
                </w:rPr>
                <w:t>&lt;5&gt;</w:t>
              </w:r>
            </w:hyperlink>
            <w:r>
              <w:t xml:space="preserve">, </w:t>
            </w:r>
            <w:hyperlink w:anchor="P3210">
              <w:r>
                <w:rPr>
                  <w:color w:val="0000FF"/>
                </w:rPr>
                <w:t>&lt;7&gt;</w:t>
              </w:r>
            </w:hyperlink>
          </w:p>
        </w:tc>
        <w:tc>
          <w:tcPr>
            <w:tcW w:w="963" w:type="dxa"/>
            <w:vAlign w:val="center"/>
          </w:tcPr>
          <w:p w:rsidR="00212513" w:rsidRDefault="00212513">
            <w:pPr>
              <w:pStyle w:val="ConsPlusNormal"/>
              <w:jc w:val="center"/>
            </w:pPr>
            <w:r>
              <w:t>-</w:t>
            </w:r>
          </w:p>
        </w:tc>
        <w:tc>
          <w:tcPr>
            <w:tcW w:w="963" w:type="dxa"/>
            <w:vAlign w:val="center"/>
          </w:tcPr>
          <w:p w:rsidR="00212513" w:rsidRDefault="00212513">
            <w:pPr>
              <w:pStyle w:val="ConsPlusNormal"/>
              <w:jc w:val="center"/>
            </w:pPr>
            <w:r>
              <w:t>-</w:t>
            </w:r>
          </w:p>
        </w:tc>
        <w:tc>
          <w:tcPr>
            <w:tcW w:w="963" w:type="dxa"/>
            <w:vAlign w:val="center"/>
          </w:tcPr>
          <w:p w:rsidR="00212513" w:rsidRDefault="00212513">
            <w:pPr>
              <w:pStyle w:val="ConsPlusNormal"/>
              <w:jc w:val="center"/>
            </w:pPr>
            <w:r>
              <w:t>-</w:t>
            </w:r>
          </w:p>
        </w:tc>
      </w:tr>
      <w:tr w:rsidR="00212513">
        <w:tc>
          <w:tcPr>
            <w:tcW w:w="1190" w:type="dxa"/>
            <w:vMerge/>
            <w:tcBorders>
              <w:bottom w:val="nil"/>
            </w:tcBorders>
          </w:tcPr>
          <w:p w:rsidR="00212513" w:rsidRDefault="00212513">
            <w:pPr>
              <w:pStyle w:val="ConsPlusNormal"/>
            </w:pPr>
          </w:p>
        </w:tc>
        <w:tc>
          <w:tcPr>
            <w:tcW w:w="1247" w:type="dxa"/>
            <w:vMerge/>
          </w:tcPr>
          <w:p w:rsidR="00212513" w:rsidRDefault="00212513">
            <w:pPr>
              <w:pStyle w:val="ConsPlusNormal"/>
            </w:pPr>
          </w:p>
        </w:tc>
        <w:tc>
          <w:tcPr>
            <w:tcW w:w="1474" w:type="dxa"/>
            <w:vMerge/>
            <w:tcBorders>
              <w:bottom w:val="nil"/>
            </w:tcBorders>
          </w:tcPr>
          <w:p w:rsidR="00212513" w:rsidRDefault="00212513">
            <w:pPr>
              <w:pStyle w:val="ConsPlusNormal"/>
            </w:pPr>
          </w:p>
        </w:tc>
        <w:tc>
          <w:tcPr>
            <w:tcW w:w="1870" w:type="dxa"/>
            <w:vMerge/>
            <w:tcBorders>
              <w:bottom w:val="nil"/>
            </w:tcBorders>
          </w:tcPr>
          <w:p w:rsidR="00212513" w:rsidRDefault="00212513">
            <w:pPr>
              <w:pStyle w:val="ConsPlusNormal"/>
            </w:pPr>
          </w:p>
        </w:tc>
        <w:tc>
          <w:tcPr>
            <w:tcW w:w="1077" w:type="dxa"/>
            <w:vAlign w:val="center"/>
          </w:tcPr>
          <w:p w:rsidR="00212513" w:rsidRDefault="00212513">
            <w:pPr>
              <w:pStyle w:val="ConsPlusNormal"/>
              <w:jc w:val="center"/>
            </w:pPr>
            <w:r>
              <w:t>10ГС2</w:t>
            </w:r>
          </w:p>
        </w:tc>
        <w:tc>
          <w:tcPr>
            <w:tcW w:w="963" w:type="dxa"/>
            <w:vAlign w:val="center"/>
          </w:tcPr>
          <w:p w:rsidR="00212513" w:rsidRDefault="00212513">
            <w:pPr>
              <w:pStyle w:val="ConsPlusNormal"/>
              <w:jc w:val="center"/>
            </w:pPr>
            <w:r>
              <w:t>10 - 18</w:t>
            </w:r>
          </w:p>
        </w:tc>
        <w:tc>
          <w:tcPr>
            <w:tcW w:w="963" w:type="dxa"/>
            <w:vAlign w:val="center"/>
          </w:tcPr>
          <w:p w:rsidR="00212513" w:rsidRDefault="00212513">
            <w:pPr>
              <w:pStyle w:val="ConsPlusNormal"/>
              <w:jc w:val="center"/>
            </w:pPr>
            <w:r>
              <w:t xml:space="preserve">+ </w:t>
            </w:r>
            <w:hyperlink w:anchor="P3208">
              <w:r>
                <w:rPr>
                  <w:color w:val="0000FF"/>
                </w:rPr>
                <w:t>&lt;5&gt;</w:t>
              </w:r>
            </w:hyperlink>
          </w:p>
        </w:tc>
        <w:tc>
          <w:tcPr>
            <w:tcW w:w="963" w:type="dxa"/>
            <w:vAlign w:val="center"/>
          </w:tcPr>
          <w:p w:rsidR="00212513" w:rsidRDefault="00212513">
            <w:pPr>
              <w:pStyle w:val="ConsPlusNormal"/>
              <w:jc w:val="center"/>
            </w:pPr>
            <w:r>
              <w:t xml:space="preserve">+ </w:t>
            </w:r>
            <w:hyperlink w:anchor="P3208">
              <w:r>
                <w:rPr>
                  <w:color w:val="0000FF"/>
                </w:rPr>
                <w:t>&lt;5&gt;</w:t>
              </w:r>
            </w:hyperlink>
          </w:p>
        </w:tc>
        <w:tc>
          <w:tcPr>
            <w:tcW w:w="963" w:type="dxa"/>
            <w:vAlign w:val="center"/>
          </w:tcPr>
          <w:p w:rsidR="00212513" w:rsidRDefault="00212513">
            <w:pPr>
              <w:pStyle w:val="ConsPlusNormal"/>
              <w:jc w:val="center"/>
            </w:pPr>
            <w:r>
              <w:t xml:space="preserve">+ </w:t>
            </w:r>
            <w:hyperlink w:anchor="P3208">
              <w:r>
                <w:rPr>
                  <w:color w:val="0000FF"/>
                </w:rPr>
                <w:t>&lt;5&gt;</w:t>
              </w:r>
            </w:hyperlink>
            <w:r>
              <w:t xml:space="preserve">, </w:t>
            </w:r>
            <w:hyperlink w:anchor="P3210">
              <w:r>
                <w:rPr>
                  <w:color w:val="0000FF"/>
                </w:rPr>
                <w:t>&lt;7&gt;</w:t>
              </w:r>
            </w:hyperlink>
          </w:p>
        </w:tc>
        <w:tc>
          <w:tcPr>
            <w:tcW w:w="963" w:type="dxa"/>
            <w:vAlign w:val="center"/>
          </w:tcPr>
          <w:p w:rsidR="00212513" w:rsidRDefault="00212513">
            <w:pPr>
              <w:pStyle w:val="ConsPlusNormal"/>
              <w:jc w:val="center"/>
            </w:pPr>
            <w:r>
              <w:t>-</w:t>
            </w:r>
          </w:p>
        </w:tc>
        <w:tc>
          <w:tcPr>
            <w:tcW w:w="963" w:type="dxa"/>
            <w:vAlign w:val="center"/>
          </w:tcPr>
          <w:p w:rsidR="00212513" w:rsidRDefault="00212513">
            <w:pPr>
              <w:pStyle w:val="ConsPlusNormal"/>
              <w:jc w:val="center"/>
            </w:pPr>
            <w:r>
              <w:t>-</w:t>
            </w:r>
          </w:p>
        </w:tc>
        <w:tc>
          <w:tcPr>
            <w:tcW w:w="963" w:type="dxa"/>
            <w:vAlign w:val="center"/>
          </w:tcPr>
          <w:p w:rsidR="00212513" w:rsidRDefault="00212513">
            <w:pPr>
              <w:pStyle w:val="ConsPlusNormal"/>
              <w:jc w:val="center"/>
            </w:pPr>
            <w:r>
              <w:t>-</w:t>
            </w:r>
          </w:p>
        </w:tc>
      </w:tr>
      <w:tr w:rsidR="00212513">
        <w:tc>
          <w:tcPr>
            <w:tcW w:w="1190" w:type="dxa"/>
            <w:vMerge/>
            <w:tcBorders>
              <w:bottom w:val="nil"/>
            </w:tcBorders>
          </w:tcPr>
          <w:p w:rsidR="00212513" w:rsidRDefault="00212513">
            <w:pPr>
              <w:pStyle w:val="ConsPlusNormal"/>
            </w:pPr>
          </w:p>
        </w:tc>
        <w:tc>
          <w:tcPr>
            <w:tcW w:w="1247" w:type="dxa"/>
            <w:vMerge/>
          </w:tcPr>
          <w:p w:rsidR="00212513" w:rsidRDefault="00212513">
            <w:pPr>
              <w:pStyle w:val="ConsPlusNormal"/>
            </w:pPr>
          </w:p>
        </w:tc>
        <w:tc>
          <w:tcPr>
            <w:tcW w:w="1474" w:type="dxa"/>
            <w:vMerge/>
            <w:tcBorders>
              <w:bottom w:val="nil"/>
            </w:tcBorders>
          </w:tcPr>
          <w:p w:rsidR="00212513" w:rsidRDefault="00212513">
            <w:pPr>
              <w:pStyle w:val="ConsPlusNormal"/>
            </w:pPr>
          </w:p>
        </w:tc>
        <w:tc>
          <w:tcPr>
            <w:tcW w:w="1870" w:type="dxa"/>
            <w:vMerge/>
            <w:tcBorders>
              <w:bottom w:val="nil"/>
            </w:tcBorders>
          </w:tcPr>
          <w:p w:rsidR="00212513" w:rsidRDefault="00212513">
            <w:pPr>
              <w:pStyle w:val="ConsPlusNormal"/>
            </w:pPr>
          </w:p>
        </w:tc>
        <w:tc>
          <w:tcPr>
            <w:tcW w:w="1077" w:type="dxa"/>
            <w:vAlign w:val="center"/>
          </w:tcPr>
          <w:p w:rsidR="00212513" w:rsidRDefault="00212513">
            <w:pPr>
              <w:pStyle w:val="ConsPlusNormal"/>
              <w:jc w:val="center"/>
            </w:pPr>
            <w:r>
              <w:t>25С2Р</w:t>
            </w:r>
          </w:p>
        </w:tc>
        <w:tc>
          <w:tcPr>
            <w:tcW w:w="963" w:type="dxa"/>
            <w:vAlign w:val="center"/>
          </w:tcPr>
          <w:p w:rsidR="00212513" w:rsidRDefault="00212513">
            <w:pPr>
              <w:pStyle w:val="ConsPlusNormal"/>
              <w:jc w:val="center"/>
            </w:pPr>
            <w:r>
              <w:t>10 - 18</w:t>
            </w:r>
          </w:p>
        </w:tc>
        <w:tc>
          <w:tcPr>
            <w:tcW w:w="963" w:type="dxa"/>
            <w:vAlign w:val="center"/>
          </w:tcPr>
          <w:p w:rsidR="00212513" w:rsidRDefault="00212513">
            <w:pPr>
              <w:pStyle w:val="ConsPlusNormal"/>
              <w:jc w:val="center"/>
            </w:pPr>
            <w:r>
              <w:t xml:space="preserve">+ </w:t>
            </w:r>
            <w:hyperlink w:anchor="P3208">
              <w:r>
                <w:rPr>
                  <w:color w:val="0000FF"/>
                </w:rPr>
                <w:t>&lt;5&gt;</w:t>
              </w:r>
            </w:hyperlink>
          </w:p>
        </w:tc>
        <w:tc>
          <w:tcPr>
            <w:tcW w:w="963" w:type="dxa"/>
            <w:vAlign w:val="center"/>
          </w:tcPr>
          <w:p w:rsidR="00212513" w:rsidRDefault="00212513">
            <w:pPr>
              <w:pStyle w:val="ConsPlusNormal"/>
              <w:jc w:val="center"/>
            </w:pPr>
            <w:r>
              <w:t xml:space="preserve">+ </w:t>
            </w:r>
            <w:hyperlink w:anchor="P3208">
              <w:r>
                <w:rPr>
                  <w:color w:val="0000FF"/>
                </w:rPr>
                <w:t>&lt;5&gt;</w:t>
              </w:r>
            </w:hyperlink>
          </w:p>
        </w:tc>
        <w:tc>
          <w:tcPr>
            <w:tcW w:w="963" w:type="dxa"/>
            <w:vAlign w:val="center"/>
          </w:tcPr>
          <w:p w:rsidR="00212513" w:rsidRDefault="00212513">
            <w:pPr>
              <w:pStyle w:val="ConsPlusNormal"/>
              <w:jc w:val="center"/>
            </w:pPr>
            <w:r>
              <w:t xml:space="preserve">+ </w:t>
            </w:r>
            <w:hyperlink w:anchor="P3208">
              <w:r>
                <w:rPr>
                  <w:color w:val="0000FF"/>
                </w:rPr>
                <w:t>&lt;5&gt;</w:t>
              </w:r>
            </w:hyperlink>
            <w:r>
              <w:t xml:space="preserve">, </w:t>
            </w:r>
            <w:hyperlink w:anchor="P3210">
              <w:r>
                <w:rPr>
                  <w:color w:val="0000FF"/>
                </w:rPr>
                <w:t>&lt;7&gt;</w:t>
              </w:r>
            </w:hyperlink>
          </w:p>
        </w:tc>
        <w:tc>
          <w:tcPr>
            <w:tcW w:w="963" w:type="dxa"/>
            <w:vAlign w:val="center"/>
          </w:tcPr>
          <w:p w:rsidR="00212513" w:rsidRDefault="00212513">
            <w:pPr>
              <w:pStyle w:val="ConsPlusNormal"/>
              <w:jc w:val="center"/>
            </w:pPr>
            <w:r>
              <w:t>-</w:t>
            </w:r>
          </w:p>
        </w:tc>
        <w:tc>
          <w:tcPr>
            <w:tcW w:w="963" w:type="dxa"/>
            <w:vAlign w:val="center"/>
          </w:tcPr>
          <w:p w:rsidR="00212513" w:rsidRDefault="00212513">
            <w:pPr>
              <w:pStyle w:val="ConsPlusNormal"/>
              <w:jc w:val="center"/>
            </w:pPr>
            <w:r>
              <w:t>-</w:t>
            </w:r>
          </w:p>
        </w:tc>
        <w:tc>
          <w:tcPr>
            <w:tcW w:w="963" w:type="dxa"/>
            <w:vAlign w:val="center"/>
          </w:tcPr>
          <w:p w:rsidR="00212513" w:rsidRDefault="00212513">
            <w:pPr>
              <w:pStyle w:val="ConsPlusNormal"/>
              <w:jc w:val="center"/>
            </w:pPr>
            <w:r>
              <w:t>-</w:t>
            </w:r>
          </w:p>
        </w:tc>
      </w:tr>
      <w:tr w:rsidR="00212513">
        <w:tc>
          <w:tcPr>
            <w:tcW w:w="1190" w:type="dxa"/>
            <w:vMerge/>
            <w:tcBorders>
              <w:bottom w:val="nil"/>
            </w:tcBorders>
          </w:tcPr>
          <w:p w:rsidR="00212513" w:rsidRDefault="00212513">
            <w:pPr>
              <w:pStyle w:val="ConsPlusNormal"/>
            </w:pPr>
          </w:p>
        </w:tc>
        <w:tc>
          <w:tcPr>
            <w:tcW w:w="1247" w:type="dxa"/>
            <w:vAlign w:val="center"/>
          </w:tcPr>
          <w:p w:rsidR="00212513" w:rsidRDefault="00212513">
            <w:pPr>
              <w:pStyle w:val="ConsPlusNormal"/>
              <w:jc w:val="center"/>
            </w:pPr>
            <w:r>
              <w:t xml:space="preserve">Ат800 </w:t>
            </w:r>
            <w:hyperlink w:anchor="P3209">
              <w:r>
                <w:rPr>
                  <w:color w:val="0000FF"/>
                </w:rPr>
                <w:t>&lt;6&gt;</w:t>
              </w:r>
            </w:hyperlink>
          </w:p>
          <w:p w:rsidR="00212513" w:rsidRDefault="00212513">
            <w:pPr>
              <w:pStyle w:val="ConsPlusNormal"/>
              <w:jc w:val="center"/>
            </w:pPr>
            <w:r>
              <w:t>(Ат-V)</w:t>
            </w:r>
          </w:p>
        </w:tc>
        <w:tc>
          <w:tcPr>
            <w:tcW w:w="1474" w:type="dxa"/>
            <w:vMerge/>
            <w:tcBorders>
              <w:bottom w:val="nil"/>
            </w:tcBorders>
          </w:tcPr>
          <w:p w:rsidR="00212513" w:rsidRDefault="00212513">
            <w:pPr>
              <w:pStyle w:val="ConsPlusNormal"/>
            </w:pPr>
          </w:p>
        </w:tc>
        <w:tc>
          <w:tcPr>
            <w:tcW w:w="1870" w:type="dxa"/>
            <w:vMerge/>
            <w:tcBorders>
              <w:bottom w:val="nil"/>
            </w:tcBorders>
          </w:tcPr>
          <w:p w:rsidR="00212513" w:rsidRDefault="00212513">
            <w:pPr>
              <w:pStyle w:val="ConsPlusNormal"/>
            </w:pPr>
          </w:p>
        </w:tc>
        <w:tc>
          <w:tcPr>
            <w:tcW w:w="1077" w:type="dxa"/>
            <w:vAlign w:val="center"/>
          </w:tcPr>
          <w:p w:rsidR="00212513" w:rsidRDefault="00212513">
            <w:pPr>
              <w:pStyle w:val="ConsPlusNormal"/>
              <w:jc w:val="center"/>
            </w:pPr>
            <w:r>
              <w:t>25С2Р</w:t>
            </w:r>
          </w:p>
        </w:tc>
        <w:tc>
          <w:tcPr>
            <w:tcW w:w="963" w:type="dxa"/>
            <w:vAlign w:val="center"/>
          </w:tcPr>
          <w:p w:rsidR="00212513" w:rsidRDefault="00212513">
            <w:pPr>
              <w:pStyle w:val="ConsPlusNormal"/>
              <w:jc w:val="center"/>
            </w:pPr>
            <w:r>
              <w:t>10 - 28</w:t>
            </w:r>
          </w:p>
        </w:tc>
        <w:tc>
          <w:tcPr>
            <w:tcW w:w="963" w:type="dxa"/>
            <w:vAlign w:val="center"/>
          </w:tcPr>
          <w:p w:rsidR="00212513" w:rsidRDefault="00212513">
            <w:pPr>
              <w:pStyle w:val="ConsPlusNormal"/>
              <w:jc w:val="center"/>
            </w:pPr>
            <w:r>
              <w:t xml:space="preserve">+ </w:t>
            </w:r>
            <w:hyperlink w:anchor="P3208">
              <w:r>
                <w:rPr>
                  <w:color w:val="0000FF"/>
                </w:rPr>
                <w:t>&lt;5&gt;</w:t>
              </w:r>
            </w:hyperlink>
          </w:p>
        </w:tc>
        <w:tc>
          <w:tcPr>
            <w:tcW w:w="963" w:type="dxa"/>
            <w:vAlign w:val="center"/>
          </w:tcPr>
          <w:p w:rsidR="00212513" w:rsidRDefault="00212513">
            <w:pPr>
              <w:pStyle w:val="ConsPlusNormal"/>
              <w:jc w:val="center"/>
            </w:pPr>
            <w:r>
              <w:t xml:space="preserve">+ </w:t>
            </w:r>
            <w:hyperlink w:anchor="P3208">
              <w:r>
                <w:rPr>
                  <w:color w:val="0000FF"/>
                </w:rPr>
                <w:t>&lt;5&gt;</w:t>
              </w:r>
            </w:hyperlink>
          </w:p>
        </w:tc>
        <w:tc>
          <w:tcPr>
            <w:tcW w:w="963" w:type="dxa"/>
            <w:vAlign w:val="center"/>
          </w:tcPr>
          <w:p w:rsidR="00212513" w:rsidRDefault="00212513">
            <w:pPr>
              <w:pStyle w:val="ConsPlusNormal"/>
              <w:jc w:val="center"/>
            </w:pPr>
            <w:r>
              <w:t xml:space="preserve">+ </w:t>
            </w:r>
            <w:hyperlink w:anchor="P3208">
              <w:r>
                <w:rPr>
                  <w:color w:val="0000FF"/>
                </w:rPr>
                <w:t>&lt;5&gt;</w:t>
              </w:r>
            </w:hyperlink>
            <w:r>
              <w:t xml:space="preserve">, </w:t>
            </w:r>
            <w:hyperlink w:anchor="P3210">
              <w:r>
                <w:rPr>
                  <w:color w:val="0000FF"/>
                </w:rPr>
                <w:t>&lt;7&gt;</w:t>
              </w:r>
            </w:hyperlink>
          </w:p>
        </w:tc>
        <w:tc>
          <w:tcPr>
            <w:tcW w:w="963" w:type="dxa"/>
            <w:vAlign w:val="center"/>
          </w:tcPr>
          <w:p w:rsidR="00212513" w:rsidRDefault="00212513">
            <w:pPr>
              <w:pStyle w:val="ConsPlusNormal"/>
              <w:jc w:val="center"/>
            </w:pPr>
            <w:r>
              <w:t>-</w:t>
            </w:r>
          </w:p>
        </w:tc>
        <w:tc>
          <w:tcPr>
            <w:tcW w:w="963" w:type="dxa"/>
            <w:vAlign w:val="center"/>
          </w:tcPr>
          <w:p w:rsidR="00212513" w:rsidRDefault="00212513">
            <w:pPr>
              <w:pStyle w:val="ConsPlusNormal"/>
              <w:jc w:val="center"/>
            </w:pPr>
            <w:r>
              <w:t>-</w:t>
            </w:r>
          </w:p>
        </w:tc>
        <w:tc>
          <w:tcPr>
            <w:tcW w:w="963" w:type="dxa"/>
            <w:vAlign w:val="center"/>
          </w:tcPr>
          <w:p w:rsidR="00212513" w:rsidRDefault="00212513">
            <w:pPr>
              <w:pStyle w:val="ConsPlusNormal"/>
              <w:jc w:val="center"/>
            </w:pPr>
            <w:r>
              <w:t>-</w:t>
            </w:r>
          </w:p>
        </w:tc>
      </w:tr>
      <w:tr w:rsidR="00212513">
        <w:tblPrEx>
          <w:tblBorders>
            <w:insideH w:val="nil"/>
          </w:tblBorders>
        </w:tblPrEx>
        <w:tc>
          <w:tcPr>
            <w:tcW w:w="1190" w:type="dxa"/>
            <w:vMerge/>
            <w:tcBorders>
              <w:bottom w:val="nil"/>
            </w:tcBorders>
          </w:tcPr>
          <w:p w:rsidR="00212513" w:rsidRDefault="00212513">
            <w:pPr>
              <w:pStyle w:val="ConsPlusNormal"/>
            </w:pPr>
          </w:p>
        </w:tc>
        <w:tc>
          <w:tcPr>
            <w:tcW w:w="1247" w:type="dxa"/>
            <w:tcBorders>
              <w:bottom w:val="nil"/>
            </w:tcBorders>
            <w:vAlign w:val="center"/>
          </w:tcPr>
          <w:p w:rsidR="00212513" w:rsidRDefault="00212513">
            <w:pPr>
              <w:pStyle w:val="ConsPlusNormal"/>
              <w:jc w:val="center"/>
            </w:pPr>
            <w:r>
              <w:t xml:space="preserve">Ат 1000 </w:t>
            </w:r>
            <w:hyperlink w:anchor="P3209">
              <w:r>
                <w:rPr>
                  <w:color w:val="0000FF"/>
                </w:rPr>
                <w:t>&lt;6&gt;</w:t>
              </w:r>
            </w:hyperlink>
          </w:p>
          <w:p w:rsidR="00212513" w:rsidRDefault="00212513">
            <w:pPr>
              <w:pStyle w:val="ConsPlusNormal"/>
              <w:jc w:val="center"/>
            </w:pPr>
            <w:r>
              <w:t>(Ат-VI)</w:t>
            </w:r>
          </w:p>
        </w:tc>
        <w:tc>
          <w:tcPr>
            <w:tcW w:w="1474" w:type="dxa"/>
            <w:vMerge/>
            <w:tcBorders>
              <w:bottom w:val="nil"/>
            </w:tcBorders>
          </w:tcPr>
          <w:p w:rsidR="00212513" w:rsidRDefault="00212513">
            <w:pPr>
              <w:pStyle w:val="ConsPlusNormal"/>
            </w:pPr>
          </w:p>
        </w:tc>
        <w:tc>
          <w:tcPr>
            <w:tcW w:w="1870" w:type="dxa"/>
            <w:vMerge/>
            <w:tcBorders>
              <w:bottom w:val="nil"/>
            </w:tcBorders>
          </w:tcPr>
          <w:p w:rsidR="00212513" w:rsidRDefault="00212513">
            <w:pPr>
              <w:pStyle w:val="ConsPlusNormal"/>
            </w:pPr>
          </w:p>
        </w:tc>
        <w:tc>
          <w:tcPr>
            <w:tcW w:w="1077" w:type="dxa"/>
            <w:tcBorders>
              <w:bottom w:val="nil"/>
            </w:tcBorders>
            <w:vAlign w:val="center"/>
          </w:tcPr>
          <w:p w:rsidR="00212513" w:rsidRDefault="00212513">
            <w:pPr>
              <w:pStyle w:val="ConsPlusNormal"/>
              <w:jc w:val="center"/>
            </w:pPr>
            <w:r>
              <w:t>25С2Р</w:t>
            </w:r>
          </w:p>
        </w:tc>
        <w:tc>
          <w:tcPr>
            <w:tcW w:w="963" w:type="dxa"/>
            <w:tcBorders>
              <w:bottom w:val="nil"/>
            </w:tcBorders>
            <w:vAlign w:val="center"/>
          </w:tcPr>
          <w:p w:rsidR="00212513" w:rsidRDefault="00212513">
            <w:pPr>
              <w:pStyle w:val="ConsPlusNormal"/>
              <w:jc w:val="center"/>
            </w:pPr>
            <w:r>
              <w:t>10 - 16</w:t>
            </w:r>
          </w:p>
        </w:tc>
        <w:tc>
          <w:tcPr>
            <w:tcW w:w="963" w:type="dxa"/>
            <w:tcBorders>
              <w:bottom w:val="nil"/>
            </w:tcBorders>
            <w:vAlign w:val="center"/>
          </w:tcPr>
          <w:p w:rsidR="00212513" w:rsidRDefault="00212513">
            <w:pPr>
              <w:pStyle w:val="ConsPlusNormal"/>
              <w:jc w:val="center"/>
            </w:pPr>
            <w:r>
              <w:t xml:space="preserve">+ </w:t>
            </w:r>
            <w:hyperlink w:anchor="P3208">
              <w:r>
                <w:rPr>
                  <w:color w:val="0000FF"/>
                </w:rPr>
                <w:t>&lt;5&gt;</w:t>
              </w:r>
            </w:hyperlink>
          </w:p>
        </w:tc>
        <w:tc>
          <w:tcPr>
            <w:tcW w:w="963" w:type="dxa"/>
            <w:tcBorders>
              <w:bottom w:val="nil"/>
            </w:tcBorders>
            <w:vAlign w:val="center"/>
          </w:tcPr>
          <w:p w:rsidR="00212513" w:rsidRDefault="00212513">
            <w:pPr>
              <w:pStyle w:val="ConsPlusNormal"/>
              <w:jc w:val="center"/>
            </w:pPr>
            <w:r>
              <w:t xml:space="preserve">+ </w:t>
            </w:r>
            <w:hyperlink w:anchor="P3208">
              <w:r>
                <w:rPr>
                  <w:color w:val="0000FF"/>
                </w:rPr>
                <w:t>&lt;5&gt;</w:t>
              </w:r>
            </w:hyperlink>
          </w:p>
        </w:tc>
        <w:tc>
          <w:tcPr>
            <w:tcW w:w="963" w:type="dxa"/>
            <w:tcBorders>
              <w:bottom w:val="nil"/>
            </w:tcBorders>
            <w:vAlign w:val="center"/>
          </w:tcPr>
          <w:p w:rsidR="00212513" w:rsidRDefault="00212513">
            <w:pPr>
              <w:pStyle w:val="ConsPlusNormal"/>
              <w:jc w:val="center"/>
            </w:pPr>
            <w:r>
              <w:t xml:space="preserve">+ </w:t>
            </w:r>
            <w:hyperlink w:anchor="P3208">
              <w:r>
                <w:rPr>
                  <w:color w:val="0000FF"/>
                </w:rPr>
                <w:t>&lt;5&gt;</w:t>
              </w:r>
            </w:hyperlink>
            <w:r>
              <w:t xml:space="preserve">, </w:t>
            </w:r>
            <w:hyperlink w:anchor="P3210">
              <w:r>
                <w:rPr>
                  <w:color w:val="0000FF"/>
                </w:rPr>
                <w:t>&lt;7&gt;</w:t>
              </w:r>
            </w:hyperlink>
          </w:p>
        </w:tc>
        <w:tc>
          <w:tcPr>
            <w:tcW w:w="963" w:type="dxa"/>
            <w:tcBorders>
              <w:bottom w:val="nil"/>
            </w:tcBorders>
            <w:vAlign w:val="center"/>
          </w:tcPr>
          <w:p w:rsidR="00212513" w:rsidRDefault="00212513">
            <w:pPr>
              <w:pStyle w:val="ConsPlusNormal"/>
              <w:jc w:val="center"/>
            </w:pPr>
            <w:r>
              <w:t>-</w:t>
            </w:r>
          </w:p>
        </w:tc>
        <w:tc>
          <w:tcPr>
            <w:tcW w:w="963" w:type="dxa"/>
            <w:tcBorders>
              <w:bottom w:val="nil"/>
            </w:tcBorders>
            <w:vAlign w:val="center"/>
          </w:tcPr>
          <w:p w:rsidR="00212513" w:rsidRDefault="00212513">
            <w:pPr>
              <w:pStyle w:val="ConsPlusNormal"/>
              <w:jc w:val="center"/>
            </w:pPr>
            <w:r>
              <w:t>-</w:t>
            </w:r>
          </w:p>
        </w:tc>
        <w:tc>
          <w:tcPr>
            <w:tcW w:w="963" w:type="dxa"/>
            <w:tcBorders>
              <w:bottom w:val="nil"/>
            </w:tcBorders>
            <w:vAlign w:val="center"/>
          </w:tcPr>
          <w:p w:rsidR="00212513" w:rsidRDefault="00212513">
            <w:pPr>
              <w:pStyle w:val="ConsPlusNormal"/>
              <w:jc w:val="center"/>
            </w:pPr>
            <w:r>
              <w:t>-</w:t>
            </w:r>
          </w:p>
        </w:tc>
      </w:tr>
      <w:tr w:rsidR="00212513">
        <w:tblPrEx>
          <w:tblBorders>
            <w:insideH w:val="nil"/>
          </w:tblBorders>
        </w:tblPrEx>
        <w:tc>
          <w:tcPr>
            <w:tcW w:w="13599" w:type="dxa"/>
            <w:gridSpan w:val="12"/>
            <w:tcBorders>
              <w:top w:val="nil"/>
            </w:tcBorders>
          </w:tcPr>
          <w:p w:rsidR="00212513" w:rsidRDefault="00212513">
            <w:pPr>
              <w:pStyle w:val="ConsPlusNormal"/>
              <w:jc w:val="both"/>
            </w:pPr>
            <w:r>
              <w:t xml:space="preserve">(в ред. </w:t>
            </w:r>
            <w:hyperlink r:id="rId712">
              <w:r>
                <w:rPr>
                  <w:color w:val="0000FF"/>
                </w:rPr>
                <w:t>Изменения N 4</w:t>
              </w:r>
            </w:hyperlink>
            <w:r>
              <w:t>, утв. Приказом Минстроя России от 30.05.2024 N 361/пр)</w:t>
            </w:r>
          </w:p>
        </w:tc>
      </w:tr>
      <w:tr w:rsidR="00212513">
        <w:tc>
          <w:tcPr>
            <w:tcW w:w="1190" w:type="dxa"/>
            <w:vAlign w:val="center"/>
          </w:tcPr>
          <w:p w:rsidR="00212513" w:rsidRDefault="00212513">
            <w:pPr>
              <w:pStyle w:val="ConsPlusNormal"/>
              <w:jc w:val="center"/>
            </w:pPr>
            <w:r>
              <w:t xml:space="preserve">Высокопрочная гладкая </w:t>
            </w:r>
            <w:r>
              <w:lastRenderedPageBreak/>
              <w:t>проволока</w:t>
            </w:r>
          </w:p>
        </w:tc>
        <w:tc>
          <w:tcPr>
            <w:tcW w:w="1247" w:type="dxa"/>
            <w:vAlign w:val="center"/>
          </w:tcPr>
          <w:p w:rsidR="00212513" w:rsidRDefault="00212513">
            <w:pPr>
              <w:pStyle w:val="ConsPlusNormal"/>
              <w:jc w:val="center"/>
            </w:pPr>
            <w:r>
              <w:lastRenderedPageBreak/>
              <w:t>В1500 -</w:t>
            </w:r>
          </w:p>
          <w:p w:rsidR="00212513" w:rsidRDefault="00212513">
            <w:pPr>
              <w:pStyle w:val="ConsPlusNormal"/>
              <w:jc w:val="center"/>
            </w:pPr>
            <w:r>
              <w:t>В1200</w:t>
            </w:r>
          </w:p>
          <w:p w:rsidR="00212513" w:rsidRDefault="00212513">
            <w:pPr>
              <w:pStyle w:val="ConsPlusNormal"/>
              <w:jc w:val="center"/>
            </w:pPr>
            <w:r>
              <w:t>(В-II)</w:t>
            </w:r>
          </w:p>
        </w:tc>
        <w:tc>
          <w:tcPr>
            <w:tcW w:w="1474" w:type="dxa"/>
            <w:vMerge w:val="restart"/>
            <w:vAlign w:val="center"/>
          </w:tcPr>
          <w:p w:rsidR="00212513" w:rsidRDefault="00212513">
            <w:pPr>
              <w:pStyle w:val="ConsPlusNormal"/>
              <w:jc w:val="center"/>
            </w:pPr>
            <w:hyperlink r:id="rId713">
              <w:r>
                <w:rPr>
                  <w:color w:val="0000FF"/>
                </w:rPr>
                <w:t>ГОСТ 7348</w:t>
              </w:r>
            </w:hyperlink>
          </w:p>
        </w:tc>
        <w:tc>
          <w:tcPr>
            <w:tcW w:w="1870" w:type="dxa"/>
            <w:vMerge w:val="restart"/>
            <w:vAlign w:val="center"/>
          </w:tcPr>
          <w:p w:rsidR="00212513" w:rsidRDefault="00212513">
            <w:pPr>
              <w:pStyle w:val="ConsPlusNormal"/>
              <w:jc w:val="center"/>
            </w:pPr>
            <w:r>
              <w:t xml:space="preserve">Фактические значения </w:t>
            </w:r>
            <w:r>
              <w:rPr>
                <w:noProof/>
                <w:position w:val="-9"/>
              </w:rPr>
              <w:drawing>
                <wp:inline distT="0" distB="0" distL="0" distR="0">
                  <wp:extent cx="283210" cy="262255"/>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283210" cy="262255"/>
                          </a:xfrm>
                          <a:prstGeom prst="rect">
                            <a:avLst/>
                          </a:prstGeom>
                          <a:noFill/>
                          <a:ln>
                            <a:noFill/>
                          </a:ln>
                        </pic:spPr>
                      </pic:pic>
                    </a:graphicData>
                  </a:graphic>
                </wp:inline>
              </w:drawing>
            </w:r>
            <w:r>
              <w:t xml:space="preserve"> и </w:t>
            </w:r>
            <w:r>
              <w:rPr>
                <w:noProof/>
                <w:position w:val="-8"/>
              </w:rPr>
              <w:lastRenderedPageBreak/>
              <w:drawing>
                <wp:inline distT="0" distB="0" distL="0" distR="0">
                  <wp:extent cx="209550" cy="251460"/>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не должны превышать нормируемых значений более чем на 300</w:t>
            </w:r>
          </w:p>
        </w:tc>
        <w:tc>
          <w:tcPr>
            <w:tcW w:w="1077" w:type="dxa"/>
            <w:vAlign w:val="center"/>
          </w:tcPr>
          <w:p w:rsidR="00212513" w:rsidRDefault="00212513">
            <w:pPr>
              <w:pStyle w:val="ConsPlusNormal"/>
              <w:jc w:val="center"/>
            </w:pPr>
            <w:r>
              <w:lastRenderedPageBreak/>
              <w:t>-</w:t>
            </w:r>
          </w:p>
        </w:tc>
        <w:tc>
          <w:tcPr>
            <w:tcW w:w="963" w:type="dxa"/>
            <w:vAlign w:val="center"/>
          </w:tcPr>
          <w:p w:rsidR="00212513" w:rsidRDefault="00212513">
            <w:pPr>
              <w:pStyle w:val="ConsPlusNormal"/>
              <w:jc w:val="center"/>
            </w:pPr>
            <w:r>
              <w:t>3 - 8</w:t>
            </w:r>
          </w:p>
        </w:tc>
        <w:tc>
          <w:tcPr>
            <w:tcW w:w="963" w:type="dxa"/>
            <w:vAlign w:val="center"/>
          </w:tcPr>
          <w:p w:rsidR="00212513" w:rsidRDefault="00212513">
            <w:pPr>
              <w:pStyle w:val="ConsPlusNormal"/>
              <w:jc w:val="center"/>
            </w:pPr>
            <w:r>
              <w:t>+</w:t>
            </w:r>
          </w:p>
        </w:tc>
        <w:tc>
          <w:tcPr>
            <w:tcW w:w="963" w:type="dxa"/>
            <w:vAlign w:val="center"/>
          </w:tcPr>
          <w:p w:rsidR="00212513" w:rsidRDefault="00212513">
            <w:pPr>
              <w:pStyle w:val="ConsPlusNormal"/>
              <w:jc w:val="center"/>
            </w:pPr>
            <w:r>
              <w:t>+</w:t>
            </w:r>
          </w:p>
        </w:tc>
        <w:tc>
          <w:tcPr>
            <w:tcW w:w="963" w:type="dxa"/>
            <w:vAlign w:val="center"/>
          </w:tcPr>
          <w:p w:rsidR="00212513" w:rsidRDefault="00212513">
            <w:pPr>
              <w:pStyle w:val="ConsPlusNormal"/>
              <w:jc w:val="center"/>
            </w:pPr>
            <w:r>
              <w:t xml:space="preserve">+ </w:t>
            </w:r>
            <w:hyperlink w:anchor="P3211">
              <w:r>
                <w:rPr>
                  <w:color w:val="0000FF"/>
                </w:rPr>
                <w:t>&lt;8&gt;</w:t>
              </w:r>
            </w:hyperlink>
          </w:p>
        </w:tc>
        <w:tc>
          <w:tcPr>
            <w:tcW w:w="963" w:type="dxa"/>
            <w:vAlign w:val="center"/>
          </w:tcPr>
          <w:p w:rsidR="00212513" w:rsidRDefault="00212513">
            <w:pPr>
              <w:pStyle w:val="ConsPlusNormal"/>
              <w:jc w:val="center"/>
            </w:pPr>
            <w:r>
              <w:t>+</w:t>
            </w:r>
          </w:p>
        </w:tc>
        <w:tc>
          <w:tcPr>
            <w:tcW w:w="963" w:type="dxa"/>
            <w:vAlign w:val="center"/>
          </w:tcPr>
          <w:p w:rsidR="00212513" w:rsidRDefault="00212513">
            <w:pPr>
              <w:pStyle w:val="ConsPlusNormal"/>
              <w:jc w:val="center"/>
            </w:pPr>
            <w:r>
              <w:t>+</w:t>
            </w:r>
          </w:p>
        </w:tc>
        <w:tc>
          <w:tcPr>
            <w:tcW w:w="963" w:type="dxa"/>
            <w:vAlign w:val="center"/>
          </w:tcPr>
          <w:p w:rsidR="00212513" w:rsidRDefault="00212513">
            <w:pPr>
              <w:pStyle w:val="ConsPlusNormal"/>
              <w:jc w:val="center"/>
            </w:pPr>
            <w:r>
              <w:t xml:space="preserve">+ </w:t>
            </w:r>
            <w:hyperlink w:anchor="P3211">
              <w:r>
                <w:rPr>
                  <w:color w:val="0000FF"/>
                </w:rPr>
                <w:t>&lt;8&gt;</w:t>
              </w:r>
            </w:hyperlink>
          </w:p>
        </w:tc>
      </w:tr>
      <w:tr w:rsidR="00212513">
        <w:tc>
          <w:tcPr>
            <w:tcW w:w="1190" w:type="dxa"/>
            <w:vAlign w:val="center"/>
          </w:tcPr>
          <w:p w:rsidR="00212513" w:rsidRDefault="00212513">
            <w:pPr>
              <w:pStyle w:val="ConsPlusNormal"/>
              <w:jc w:val="center"/>
            </w:pPr>
            <w:r>
              <w:lastRenderedPageBreak/>
              <w:t>Высокопрочная проволока периодического профиля</w:t>
            </w:r>
          </w:p>
        </w:tc>
        <w:tc>
          <w:tcPr>
            <w:tcW w:w="1247" w:type="dxa"/>
            <w:vAlign w:val="center"/>
          </w:tcPr>
          <w:p w:rsidR="00212513" w:rsidRDefault="00212513">
            <w:pPr>
              <w:pStyle w:val="ConsPlusNormal"/>
              <w:jc w:val="center"/>
            </w:pPr>
            <w:r>
              <w:t>Вр1500 -</w:t>
            </w:r>
          </w:p>
          <w:p w:rsidR="00212513" w:rsidRDefault="00212513">
            <w:pPr>
              <w:pStyle w:val="ConsPlusNormal"/>
              <w:jc w:val="center"/>
            </w:pPr>
            <w:r>
              <w:t>Вр1200</w:t>
            </w:r>
          </w:p>
          <w:p w:rsidR="00212513" w:rsidRDefault="00212513">
            <w:pPr>
              <w:pStyle w:val="ConsPlusNormal"/>
              <w:jc w:val="center"/>
            </w:pPr>
            <w:r>
              <w:t>(Вр-II)</w:t>
            </w:r>
          </w:p>
        </w:tc>
        <w:tc>
          <w:tcPr>
            <w:tcW w:w="1474" w:type="dxa"/>
            <w:vMerge/>
          </w:tcPr>
          <w:p w:rsidR="00212513" w:rsidRDefault="00212513">
            <w:pPr>
              <w:pStyle w:val="ConsPlusNormal"/>
            </w:pPr>
          </w:p>
        </w:tc>
        <w:tc>
          <w:tcPr>
            <w:tcW w:w="1870" w:type="dxa"/>
            <w:vMerge/>
          </w:tcPr>
          <w:p w:rsidR="00212513" w:rsidRDefault="00212513">
            <w:pPr>
              <w:pStyle w:val="ConsPlusNormal"/>
            </w:pPr>
          </w:p>
        </w:tc>
        <w:tc>
          <w:tcPr>
            <w:tcW w:w="1077" w:type="dxa"/>
            <w:vAlign w:val="center"/>
          </w:tcPr>
          <w:p w:rsidR="00212513" w:rsidRDefault="00212513">
            <w:pPr>
              <w:pStyle w:val="ConsPlusNormal"/>
              <w:jc w:val="center"/>
            </w:pPr>
            <w:r>
              <w:t>-</w:t>
            </w:r>
          </w:p>
        </w:tc>
        <w:tc>
          <w:tcPr>
            <w:tcW w:w="963" w:type="dxa"/>
            <w:vAlign w:val="center"/>
          </w:tcPr>
          <w:p w:rsidR="00212513" w:rsidRDefault="00212513">
            <w:pPr>
              <w:pStyle w:val="ConsPlusNormal"/>
              <w:jc w:val="center"/>
            </w:pPr>
            <w:r>
              <w:t>3 - 8</w:t>
            </w:r>
          </w:p>
        </w:tc>
        <w:tc>
          <w:tcPr>
            <w:tcW w:w="963" w:type="dxa"/>
            <w:vAlign w:val="center"/>
          </w:tcPr>
          <w:p w:rsidR="00212513" w:rsidRDefault="00212513">
            <w:pPr>
              <w:pStyle w:val="ConsPlusNormal"/>
              <w:jc w:val="center"/>
            </w:pPr>
            <w:r>
              <w:t>+</w:t>
            </w:r>
          </w:p>
        </w:tc>
        <w:tc>
          <w:tcPr>
            <w:tcW w:w="963" w:type="dxa"/>
            <w:vAlign w:val="center"/>
          </w:tcPr>
          <w:p w:rsidR="00212513" w:rsidRDefault="00212513">
            <w:pPr>
              <w:pStyle w:val="ConsPlusNormal"/>
              <w:jc w:val="center"/>
            </w:pPr>
            <w:r>
              <w:t>+</w:t>
            </w:r>
          </w:p>
        </w:tc>
        <w:tc>
          <w:tcPr>
            <w:tcW w:w="963" w:type="dxa"/>
            <w:vAlign w:val="center"/>
          </w:tcPr>
          <w:p w:rsidR="00212513" w:rsidRDefault="00212513">
            <w:pPr>
              <w:pStyle w:val="ConsPlusNormal"/>
              <w:jc w:val="center"/>
            </w:pPr>
            <w:r>
              <w:t xml:space="preserve">+ </w:t>
            </w:r>
            <w:hyperlink w:anchor="P3212">
              <w:r>
                <w:rPr>
                  <w:color w:val="0000FF"/>
                </w:rPr>
                <w:t>&lt;9&gt;</w:t>
              </w:r>
            </w:hyperlink>
          </w:p>
        </w:tc>
        <w:tc>
          <w:tcPr>
            <w:tcW w:w="963" w:type="dxa"/>
            <w:vAlign w:val="center"/>
          </w:tcPr>
          <w:p w:rsidR="00212513" w:rsidRDefault="00212513">
            <w:pPr>
              <w:pStyle w:val="ConsPlusNormal"/>
              <w:jc w:val="center"/>
            </w:pPr>
            <w:r>
              <w:t>+</w:t>
            </w:r>
          </w:p>
        </w:tc>
        <w:tc>
          <w:tcPr>
            <w:tcW w:w="963" w:type="dxa"/>
            <w:vAlign w:val="center"/>
          </w:tcPr>
          <w:p w:rsidR="00212513" w:rsidRDefault="00212513">
            <w:pPr>
              <w:pStyle w:val="ConsPlusNormal"/>
              <w:jc w:val="center"/>
            </w:pPr>
            <w:r>
              <w:t>+</w:t>
            </w:r>
          </w:p>
        </w:tc>
        <w:tc>
          <w:tcPr>
            <w:tcW w:w="963" w:type="dxa"/>
            <w:vAlign w:val="center"/>
          </w:tcPr>
          <w:p w:rsidR="00212513" w:rsidRDefault="00212513">
            <w:pPr>
              <w:pStyle w:val="ConsPlusNormal"/>
              <w:jc w:val="center"/>
            </w:pPr>
            <w:r>
              <w:t xml:space="preserve">+ </w:t>
            </w:r>
            <w:hyperlink w:anchor="P3212">
              <w:r>
                <w:rPr>
                  <w:color w:val="0000FF"/>
                </w:rPr>
                <w:t>&lt;9&gt;</w:t>
              </w:r>
            </w:hyperlink>
          </w:p>
        </w:tc>
      </w:tr>
      <w:tr w:rsidR="00212513">
        <w:tc>
          <w:tcPr>
            <w:tcW w:w="1190" w:type="dxa"/>
            <w:vMerge w:val="restart"/>
            <w:tcBorders>
              <w:bottom w:val="nil"/>
            </w:tcBorders>
            <w:vAlign w:val="center"/>
          </w:tcPr>
          <w:p w:rsidR="00212513" w:rsidRDefault="00212513">
            <w:pPr>
              <w:pStyle w:val="ConsPlusNormal"/>
              <w:jc w:val="center"/>
            </w:pPr>
            <w:r>
              <w:t>Канаты арматурные</w:t>
            </w:r>
          </w:p>
        </w:tc>
        <w:tc>
          <w:tcPr>
            <w:tcW w:w="1247" w:type="dxa"/>
            <w:vAlign w:val="center"/>
          </w:tcPr>
          <w:p w:rsidR="00212513" w:rsidRDefault="00212513">
            <w:pPr>
              <w:pStyle w:val="ConsPlusNormal"/>
              <w:jc w:val="center"/>
            </w:pPr>
            <w:r>
              <w:t>К7-1500 -</w:t>
            </w:r>
          </w:p>
          <w:p w:rsidR="00212513" w:rsidRDefault="00212513">
            <w:pPr>
              <w:pStyle w:val="ConsPlusNormal"/>
              <w:jc w:val="center"/>
            </w:pPr>
            <w:r>
              <w:t>КТ-1400</w:t>
            </w:r>
          </w:p>
          <w:p w:rsidR="00212513" w:rsidRDefault="00212513">
            <w:pPr>
              <w:pStyle w:val="ConsPlusNormal"/>
              <w:jc w:val="center"/>
            </w:pPr>
            <w:r>
              <w:t>(К7)</w:t>
            </w:r>
          </w:p>
        </w:tc>
        <w:tc>
          <w:tcPr>
            <w:tcW w:w="1474" w:type="dxa"/>
            <w:vAlign w:val="center"/>
          </w:tcPr>
          <w:p w:rsidR="00212513" w:rsidRDefault="00212513">
            <w:pPr>
              <w:pStyle w:val="ConsPlusNormal"/>
              <w:jc w:val="center"/>
            </w:pPr>
            <w:hyperlink r:id="rId714">
              <w:r>
                <w:rPr>
                  <w:color w:val="0000FF"/>
                </w:rPr>
                <w:t>ГОСТ 13840</w:t>
              </w:r>
            </w:hyperlink>
          </w:p>
        </w:tc>
        <w:tc>
          <w:tcPr>
            <w:tcW w:w="1870" w:type="dxa"/>
            <w:vAlign w:val="center"/>
          </w:tcPr>
          <w:p w:rsidR="00212513" w:rsidRDefault="00212513">
            <w:pPr>
              <w:pStyle w:val="ConsPlusNormal"/>
              <w:jc w:val="center"/>
            </w:pPr>
            <w:r>
              <w:t xml:space="preserve">Фактические значения </w:t>
            </w:r>
            <w:r>
              <w:rPr>
                <w:noProof/>
                <w:position w:val="-10"/>
              </w:rPr>
              <w:drawing>
                <wp:inline distT="0" distB="0" distL="0" distR="0">
                  <wp:extent cx="293370" cy="273685"/>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293370" cy="273685"/>
                          </a:xfrm>
                          <a:prstGeom prst="rect">
                            <a:avLst/>
                          </a:prstGeom>
                          <a:noFill/>
                          <a:ln>
                            <a:noFill/>
                          </a:ln>
                        </pic:spPr>
                      </pic:pic>
                    </a:graphicData>
                  </a:graphic>
                </wp:inline>
              </w:drawing>
            </w:r>
            <w:r>
              <w:t xml:space="preserve"> и </w:t>
            </w:r>
            <w:r>
              <w:rPr>
                <w:noProof/>
                <w:position w:val="-8"/>
              </w:rPr>
              <w:drawing>
                <wp:inline distT="0" distB="0" distL="0" distR="0">
                  <wp:extent cx="209550" cy="251460"/>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не должны превышать нормируемых значений более чем на 300</w:t>
            </w:r>
          </w:p>
        </w:tc>
        <w:tc>
          <w:tcPr>
            <w:tcW w:w="1077" w:type="dxa"/>
            <w:vAlign w:val="center"/>
          </w:tcPr>
          <w:p w:rsidR="00212513" w:rsidRDefault="00212513">
            <w:pPr>
              <w:pStyle w:val="ConsPlusNormal"/>
              <w:jc w:val="center"/>
            </w:pPr>
            <w:r>
              <w:t>-</w:t>
            </w:r>
          </w:p>
        </w:tc>
        <w:tc>
          <w:tcPr>
            <w:tcW w:w="963" w:type="dxa"/>
            <w:vAlign w:val="center"/>
          </w:tcPr>
          <w:p w:rsidR="00212513" w:rsidRDefault="00212513">
            <w:pPr>
              <w:pStyle w:val="ConsPlusNormal"/>
              <w:jc w:val="center"/>
            </w:pPr>
            <w:r>
              <w:t>9 - 15</w:t>
            </w:r>
          </w:p>
        </w:tc>
        <w:tc>
          <w:tcPr>
            <w:tcW w:w="963" w:type="dxa"/>
            <w:vAlign w:val="center"/>
          </w:tcPr>
          <w:p w:rsidR="00212513" w:rsidRDefault="00212513">
            <w:pPr>
              <w:pStyle w:val="ConsPlusNormal"/>
              <w:jc w:val="center"/>
            </w:pPr>
            <w:r>
              <w:t>+</w:t>
            </w:r>
          </w:p>
        </w:tc>
        <w:tc>
          <w:tcPr>
            <w:tcW w:w="963" w:type="dxa"/>
            <w:vAlign w:val="center"/>
          </w:tcPr>
          <w:p w:rsidR="00212513" w:rsidRDefault="00212513">
            <w:pPr>
              <w:pStyle w:val="ConsPlusNormal"/>
              <w:jc w:val="center"/>
            </w:pPr>
            <w:r>
              <w:t>+</w:t>
            </w:r>
          </w:p>
        </w:tc>
        <w:tc>
          <w:tcPr>
            <w:tcW w:w="963" w:type="dxa"/>
            <w:vAlign w:val="center"/>
          </w:tcPr>
          <w:p w:rsidR="00212513" w:rsidRDefault="00212513">
            <w:pPr>
              <w:pStyle w:val="ConsPlusNormal"/>
              <w:jc w:val="center"/>
            </w:pPr>
            <w:r>
              <w:t>+</w:t>
            </w:r>
          </w:p>
        </w:tc>
        <w:tc>
          <w:tcPr>
            <w:tcW w:w="963" w:type="dxa"/>
            <w:vAlign w:val="center"/>
          </w:tcPr>
          <w:p w:rsidR="00212513" w:rsidRDefault="00212513">
            <w:pPr>
              <w:pStyle w:val="ConsPlusNormal"/>
              <w:jc w:val="center"/>
            </w:pPr>
            <w:r>
              <w:t>+</w:t>
            </w:r>
          </w:p>
        </w:tc>
        <w:tc>
          <w:tcPr>
            <w:tcW w:w="963" w:type="dxa"/>
            <w:vAlign w:val="center"/>
          </w:tcPr>
          <w:p w:rsidR="00212513" w:rsidRDefault="00212513">
            <w:pPr>
              <w:pStyle w:val="ConsPlusNormal"/>
              <w:jc w:val="center"/>
            </w:pPr>
            <w:r>
              <w:t>+</w:t>
            </w:r>
          </w:p>
        </w:tc>
        <w:tc>
          <w:tcPr>
            <w:tcW w:w="963" w:type="dxa"/>
            <w:vAlign w:val="center"/>
          </w:tcPr>
          <w:p w:rsidR="00212513" w:rsidRDefault="00212513">
            <w:pPr>
              <w:pStyle w:val="ConsPlusNormal"/>
              <w:jc w:val="center"/>
            </w:pPr>
            <w:r>
              <w:t>+</w:t>
            </w:r>
          </w:p>
        </w:tc>
      </w:tr>
      <w:tr w:rsidR="00212513">
        <w:tc>
          <w:tcPr>
            <w:tcW w:w="1190" w:type="dxa"/>
            <w:vMerge/>
            <w:tcBorders>
              <w:bottom w:val="nil"/>
            </w:tcBorders>
          </w:tcPr>
          <w:p w:rsidR="00212513" w:rsidRDefault="00212513">
            <w:pPr>
              <w:pStyle w:val="ConsPlusNormal"/>
            </w:pPr>
          </w:p>
        </w:tc>
        <w:tc>
          <w:tcPr>
            <w:tcW w:w="1247" w:type="dxa"/>
            <w:vAlign w:val="center"/>
          </w:tcPr>
          <w:p w:rsidR="00212513" w:rsidRDefault="00212513">
            <w:pPr>
              <w:pStyle w:val="ConsPlusNormal"/>
              <w:jc w:val="center"/>
            </w:pPr>
            <w:r>
              <w:t>К7-1670</w:t>
            </w:r>
          </w:p>
          <w:p w:rsidR="00212513" w:rsidRDefault="00212513">
            <w:pPr>
              <w:pStyle w:val="ConsPlusNormal"/>
              <w:jc w:val="center"/>
            </w:pPr>
            <w:r>
              <w:t>К7-1770</w:t>
            </w:r>
          </w:p>
          <w:p w:rsidR="00212513" w:rsidRDefault="00212513">
            <w:pPr>
              <w:pStyle w:val="ConsPlusNormal"/>
              <w:jc w:val="center"/>
            </w:pPr>
            <w:r>
              <w:t>К7-1860</w:t>
            </w:r>
          </w:p>
        </w:tc>
        <w:tc>
          <w:tcPr>
            <w:tcW w:w="1474" w:type="dxa"/>
            <w:vMerge w:val="restart"/>
            <w:tcBorders>
              <w:bottom w:val="nil"/>
            </w:tcBorders>
            <w:vAlign w:val="center"/>
          </w:tcPr>
          <w:p w:rsidR="00212513" w:rsidRDefault="00212513">
            <w:pPr>
              <w:pStyle w:val="ConsPlusNormal"/>
              <w:jc w:val="center"/>
            </w:pPr>
            <w:hyperlink r:id="rId717">
              <w:r>
                <w:rPr>
                  <w:color w:val="0000FF"/>
                </w:rPr>
                <w:t>ГОСТ Р 53772</w:t>
              </w:r>
            </w:hyperlink>
            <w:r>
              <w:t xml:space="preserve"> </w:t>
            </w:r>
            <w:hyperlink w:anchor="P3215">
              <w:r>
                <w:rPr>
                  <w:color w:val="0000FF"/>
                </w:rPr>
                <w:t>&lt;12&gt;</w:t>
              </w:r>
            </w:hyperlink>
          </w:p>
        </w:tc>
        <w:tc>
          <w:tcPr>
            <w:tcW w:w="1870" w:type="dxa"/>
            <w:vMerge w:val="restart"/>
            <w:tcBorders>
              <w:bottom w:val="nil"/>
            </w:tcBorders>
            <w:vAlign w:val="center"/>
          </w:tcPr>
          <w:p w:rsidR="00212513" w:rsidRDefault="00212513">
            <w:pPr>
              <w:pStyle w:val="ConsPlusNormal"/>
              <w:jc w:val="center"/>
            </w:pPr>
            <w:r>
              <w:t>-</w:t>
            </w:r>
          </w:p>
        </w:tc>
        <w:tc>
          <w:tcPr>
            <w:tcW w:w="1077" w:type="dxa"/>
            <w:vAlign w:val="center"/>
          </w:tcPr>
          <w:p w:rsidR="00212513" w:rsidRDefault="00212513">
            <w:pPr>
              <w:pStyle w:val="ConsPlusNormal"/>
              <w:jc w:val="center"/>
            </w:pPr>
            <w:r>
              <w:t>-</w:t>
            </w:r>
          </w:p>
        </w:tc>
        <w:tc>
          <w:tcPr>
            <w:tcW w:w="963" w:type="dxa"/>
            <w:vAlign w:val="center"/>
          </w:tcPr>
          <w:p w:rsidR="00212513" w:rsidRDefault="00212513">
            <w:pPr>
              <w:pStyle w:val="ConsPlusNormal"/>
              <w:jc w:val="center"/>
            </w:pPr>
            <w:r>
              <w:t>15,2,</w:t>
            </w:r>
          </w:p>
          <w:p w:rsidR="00212513" w:rsidRDefault="00212513">
            <w:pPr>
              <w:pStyle w:val="ConsPlusNormal"/>
              <w:jc w:val="center"/>
            </w:pPr>
            <w:r>
              <w:t>15,7</w:t>
            </w:r>
          </w:p>
        </w:tc>
        <w:tc>
          <w:tcPr>
            <w:tcW w:w="963" w:type="dxa"/>
            <w:vAlign w:val="center"/>
          </w:tcPr>
          <w:p w:rsidR="00212513" w:rsidRDefault="00212513">
            <w:pPr>
              <w:pStyle w:val="ConsPlusNormal"/>
              <w:jc w:val="center"/>
            </w:pPr>
            <w:r>
              <w:t>+</w:t>
            </w:r>
          </w:p>
        </w:tc>
        <w:tc>
          <w:tcPr>
            <w:tcW w:w="963" w:type="dxa"/>
            <w:vAlign w:val="center"/>
          </w:tcPr>
          <w:p w:rsidR="00212513" w:rsidRDefault="00212513">
            <w:pPr>
              <w:pStyle w:val="ConsPlusNormal"/>
              <w:jc w:val="center"/>
            </w:pPr>
            <w:r>
              <w:t>+</w:t>
            </w:r>
          </w:p>
        </w:tc>
        <w:tc>
          <w:tcPr>
            <w:tcW w:w="963" w:type="dxa"/>
            <w:vAlign w:val="center"/>
          </w:tcPr>
          <w:p w:rsidR="00212513" w:rsidRDefault="00212513">
            <w:pPr>
              <w:pStyle w:val="ConsPlusNormal"/>
              <w:jc w:val="center"/>
            </w:pPr>
            <w:r>
              <w:t xml:space="preserve">+ </w:t>
            </w:r>
            <w:hyperlink w:anchor="P3214">
              <w:r>
                <w:rPr>
                  <w:color w:val="0000FF"/>
                </w:rPr>
                <w:t>&lt;11&gt;</w:t>
              </w:r>
            </w:hyperlink>
          </w:p>
        </w:tc>
        <w:tc>
          <w:tcPr>
            <w:tcW w:w="963" w:type="dxa"/>
            <w:vAlign w:val="center"/>
          </w:tcPr>
          <w:p w:rsidR="00212513" w:rsidRDefault="00212513">
            <w:pPr>
              <w:pStyle w:val="ConsPlusNormal"/>
              <w:jc w:val="center"/>
            </w:pPr>
            <w:r>
              <w:t>+</w:t>
            </w:r>
          </w:p>
        </w:tc>
        <w:tc>
          <w:tcPr>
            <w:tcW w:w="963" w:type="dxa"/>
            <w:vAlign w:val="center"/>
          </w:tcPr>
          <w:p w:rsidR="00212513" w:rsidRDefault="00212513">
            <w:pPr>
              <w:pStyle w:val="ConsPlusNormal"/>
              <w:jc w:val="center"/>
            </w:pPr>
            <w:r>
              <w:t xml:space="preserve">+ </w:t>
            </w:r>
            <w:hyperlink w:anchor="P3214">
              <w:r>
                <w:rPr>
                  <w:color w:val="0000FF"/>
                </w:rPr>
                <w:t>&lt;11&gt;</w:t>
              </w:r>
            </w:hyperlink>
          </w:p>
        </w:tc>
        <w:tc>
          <w:tcPr>
            <w:tcW w:w="963" w:type="dxa"/>
            <w:vAlign w:val="center"/>
          </w:tcPr>
          <w:p w:rsidR="00212513" w:rsidRDefault="00212513">
            <w:pPr>
              <w:pStyle w:val="ConsPlusNormal"/>
              <w:jc w:val="center"/>
            </w:pPr>
            <w:r>
              <w:t xml:space="preserve">+ </w:t>
            </w:r>
            <w:hyperlink w:anchor="P3214">
              <w:r>
                <w:rPr>
                  <w:color w:val="0000FF"/>
                </w:rPr>
                <w:t>&lt;11&gt;</w:t>
              </w:r>
            </w:hyperlink>
          </w:p>
        </w:tc>
      </w:tr>
      <w:tr w:rsidR="00212513">
        <w:tblPrEx>
          <w:tblBorders>
            <w:insideH w:val="nil"/>
          </w:tblBorders>
        </w:tblPrEx>
        <w:tc>
          <w:tcPr>
            <w:tcW w:w="1190" w:type="dxa"/>
            <w:vMerge/>
            <w:tcBorders>
              <w:bottom w:val="nil"/>
            </w:tcBorders>
          </w:tcPr>
          <w:p w:rsidR="00212513" w:rsidRDefault="00212513">
            <w:pPr>
              <w:pStyle w:val="ConsPlusNormal"/>
            </w:pPr>
          </w:p>
        </w:tc>
        <w:tc>
          <w:tcPr>
            <w:tcW w:w="1247" w:type="dxa"/>
            <w:tcBorders>
              <w:bottom w:val="nil"/>
            </w:tcBorders>
            <w:vAlign w:val="center"/>
          </w:tcPr>
          <w:p w:rsidR="00212513" w:rsidRDefault="00212513">
            <w:pPr>
              <w:pStyle w:val="ConsPlusNormal"/>
              <w:jc w:val="center"/>
            </w:pPr>
            <w:r>
              <w:t>К7О-1820</w:t>
            </w:r>
          </w:p>
        </w:tc>
        <w:tc>
          <w:tcPr>
            <w:tcW w:w="1474" w:type="dxa"/>
            <w:vMerge/>
            <w:tcBorders>
              <w:bottom w:val="nil"/>
            </w:tcBorders>
          </w:tcPr>
          <w:p w:rsidR="00212513" w:rsidRDefault="00212513">
            <w:pPr>
              <w:pStyle w:val="ConsPlusNormal"/>
            </w:pPr>
          </w:p>
        </w:tc>
        <w:tc>
          <w:tcPr>
            <w:tcW w:w="1870" w:type="dxa"/>
            <w:vMerge/>
            <w:tcBorders>
              <w:bottom w:val="nil"/>
            </w:tcBorders>
          </w:tcPr>
          <w:p w:rsidR="00212513" w:rsidRDefault="00212513">
            <w:pPr>
              <w:pStyle w:val="ConsPlusNormal"/>
            </w:pPr>
          </w:p>
        </w:tc>
        <w:tc>
          <w:tcPr>
            <w:tcW w:w="1077" w:type="dxa"/>
            <w:tcBorders>
              <w:bottom w:val="nil"/>
            </w:tcBorders>
            <w:vAlign w:val="center"/>
          </w:tcPr>
          <w:p w:rsidR="00212513" w:rsidRDefault="00212513">
            <w:pPr>
              <w:pStyle w:val="ConsPlusNormal"/>
              <w:jc w:val="center"/>
            </w:pPr>
            <w:r>
              <w:t>-</w:t>
            </w:r>
          </w:p>
        </w:tc>
        <w:tc>
          <w:tcPr>
            <w:tcW w:w="963" w:type="dxa"/>
            <w:tcBorders>
              <w:bottom w:val="nil"/>
            </w:tcBorders>
            <w:vAlign w:val="center"/>
          </w:tcPr>
          <w:p w:rsidR="00212513" w:rsidRDefault="00212513">
            <w:pPr>
              <w:pStyle w:val="ConsPlusNormal"/>
              <w:jc w:val="center"/>
            </w:pPr>
            <w:r>
              <w:t>15,2</w:t>
            </w:r>
          </w:p>
        </w:tc>
        <w:tc>
          <w:tcPr>
            <w:tcW w:w="963" w:type="dxa"/>
            <w:tcBorders>
              <w:bottom w:val="nil"/>
            </w:tcBorders>
            <w:vAlign w:val="center"/>
          </w:tcPr>
          <w:p w:rsidR="00212513" w:rsidRDefault="00212513">
            <w:pPr>
              <w:pStyle w:val="ConsPlusNormal"/>
              <w:jc w:val="center"/>
            </w:pPr>
            <w:r>
              <w:t>+</w:t>
            </w:r>
          </w:p>
        </w:tc>
        <w:tc>
          <w:tcPr>
            <w:tcW w:w="963" w:type="dxa"/>
            <w:tcBorders>
              <w:bottom w:val="nil"/>
            </w:tcBorders>
            <w:vAlign w:val="center"/>
          </w:tcPr>
          <w:p w:rsidR="00212513" w:rsidRDefault="00212513">
            <w:pPr>
              <w:pStyle w:val="ConsPlusNormal"/>
              <w:jc w:val="center"/>
            </w:pPr>
            <w:r>
              <w:t>+</w:t>
            </w:r>
          </w:p>
        </w:tc>
        <w:tc>
          <w:tcPr>
            <w:tcW w:w="963" w:type="dxa"/>
            <w:tcBorders>
              <w:bottom w:val="nil"/>
            </w:tcBorders>
            <w:vAlign w:val="center"/>
          </w:tcPr>
          <w:p w:rsidR="00212513" w:rsidRDefault="00212513">
            <w:pPr>
              <w:pStyle w:val="ConsPlusNormal"/>
              <w:jc w:val="center"/>
            </w:pPr>
            <w:r>
              <w:t xml:space="preserve">+ </w:t>
            </w:r>
            <w:hyperlink w:anchor="P3214">
              <w:r>
                <w:rPr>
                  <w:color w:val="0000FF"/>
                </w:rPr>
                <w:t>&lt;11&gt;</w:t>
              </w:r>
            </w:hyperlink>
          </w:p>
        </w:tc>
        <w:tc>
          <w:tcPr>
            <w:tcW w:w="963" w:type="dxa"/>
            <w:tcBorders>
              <w:bottom w:val="nil"/>
            </w:tcBorders>
            <w:vAlign w:val="center"/>
          </w:tcPr>
          <w:p w:rsidR="00212513" w:rsidRDefault="00212513">
            <w:pPr>
              <w:pStyle w:val="ConsPlusNormal"/>
              <w:jc w:val="center"/>
            </w:pPr>
            <w:r>
              <w:t>+</w:t>
            </w:r>
          </w:p>
        </w:tc>
        <w:tc>
          <w:tcPr>
            <w:tcW w:w="963" w:type="dxa"/>
            <w:tcBorders>
              <w:bottom w:val="nil"/>
            </w:tcBorders>
            <w:vAlign w:val="center"/>
          </w:tcPr>
          <w:p w:rsidR="00212513" w:rsidRDefault="00212513">
            <w:pPr>
              <w:pStyle w:val="ConsPlusNormal"/>
              <w:jc w:val="center"/>
            </w:pPr>
            <w:r>
              <w:t xml:space="preserve">+ </w:t>
            </w:r>
            <w:hyperlink w:anchor="P3214">
              <w:r>
                <w:rPr>
                  <w:color w:val="0000FF"/>
                </w:rPr>
                <w:t>&lt;11&gt;</w:t>
              </w:r>
            </w:hyperlink>
          </w:p>
        </w:tc>
        <w:tc>
          <w:tcPr>
            <w:tcW w:w="963" w:type="dxa"/>
            <w:tcBorders>
              <w:bottom w:val="nil"/>
            </w:tcBorders>
            <w:vAlign w:val="center"/>
          </w:tcPr>
          <w:p w:rsidR="00212513" w:rsidRDefault="00212513">
            <w:pPr>
              <w:pStyle w:val="ConsPlusNormal"/>
              <w:jc w:val="center"/>
            </w:pPr>
            <w:r>
              <w:t xml:space="preserve">+ </w:t>
            </w:r>
            <w:hyperlink w:anchor="P3214">
              <w:r>
                <w:rPr>
                  <w:color w:val="0000FF"/>
                </w:rPr>
                <w:t>&lt;11&gt;</w:t>
              </w:r>
            </w:hyperlink>
          </w:p>
        </w:tc>
      </w:tr>
      <w:tr w:rsidR="00212513">
        <w:tblPrEx>
          <w:tblBorders>
            <w:insideH w:val="nil"/>
          </w:tblBorders>
        </w:tblPrEx>
        <w:tc>
          <w:tcPr>
            <w:tcW w:w="13599" w:type="dxa"/>
            <w:gridSpan w:val="12"/>
            <w:tcBorders>
              <w:top w:val="nil"/>
            </w:tcBorders>
          </w:tcPr>
          <w:p w:rsidR="00212513" w:rsidRDefault="00212513">
            <w:pPr>
              <w:pStyle w:val="ConsPlusNormal"/>
              <w:jc w:val="both"/>
            </w:pPr>
            <w:r>
              <w:t xml:space="preserve">(в ред. </w:t>
            </w:r>
            <w:hyperlink r:id="rId718">
              <w:r>
                <w:rPr>
                  <w:color w:val="0000FF"/>
                </w:rPr>
                <w:t>Изменения N 4</w:t>
              </w:r>
            </w:hyperlink>
            <w:r>
              <w:t>, утв. Приказом Минстроя России от 30.05.2024 N 361/пр)</w:t>
            </w:r>
          </w:p>
        </w:tc>
      </w:tr>
      <w:tr w:rsidR="00212513">
        <w:tc>
          <w:tcPr>
            <w:tcW w:w="1190" w:type="dxa"/>
            <w:vMerge w:val="restart"/>
            <w:vAlign w:val="center"/>
          </w:tcPr>
          <w:p w:rsidR="00212513" w:rsidRDefault="00212513">
            <w:pPr>
              <w:pStyle w:val="ConsPlusNormal"/>
              <w:jc w:val="center"/>
            </w:pPr>
            <w:r>
              <w:t>Канаты стальные</w:t>
            </w:r>
          </w:p>
        </w:tc>
        <w:tc>
          <w:tcPr>
            <w:tcW w:w="1247" w:type="dxa"/>
            <w:vAlign w:val="center"/>
          </w:tcPr>
          <w:p w:rsidR="00212513" w:rsidRDefault="00212513">
            <w:pPr>
              <w:pStyle w:val="ConsPlusNormal"/>
              <w:jc w:val="center"/>
            </w:pPr>
            <w:r>
              <w:t>Спиральные</w:t>
            </w:r>
          </w:p>
        </w:tc>
        <w:tc>
          <w:tcPr>
            <w:tcW w:w="1474" w:type="dxa"/>
            <w:vAlign w:val="center"/>
          </w:tcPr>
          <w:p w:rsidR="00212513" w:rsidRDefault="00212513">
            <w:pPr>
              <w:pStyle w:val="ConsPlusNormal"/>
              <w:jc w:val="center"/>
            </w:pPr>
            <w:r>
              <w:t>-</w:t>
            </w:r>
          </w:p>
        </w:tc>
        <w:tc>
          <w:tcPr>
            <w:tcW w:w="1870" w:type="dxa"/>
            <w:vMerge w:val="restart"/>
            <w:vAlign w:val="center"/>
          </w:tcPr>
          <w:p w:rsidR="00212513" w:rsidRDefault="00212513">
            <w:pPr>
              <w:pStyle w:val="ConsPlusNormal"/>
              <w:jc w:val="center"/>
            </w:pPr>
            <w:r>
              <w:t>-</w:t>
            </w:r>
          </w:p>
        </w:tc>
        <w:tc>
          <w:tcPr>
            <w:tcW w:w="1077" w:type="dxa"/>
            <w:vMerge w:val="restart"/>
            <w:vAlign w:val="center"/>
          </w:tcPr>
          <w:p w:rsidR="00212513" w:rsidRDefault="00212513">
            <w:pPr>
              <w:pStyle w:val="ConsPlusNormal"/>
              <w:jc w:val="center"/>
            </w:pPr>
            <w:r>
              <w:t>-</w:t>
            </w:r>
          </w:p>
        </w:tc>
        <w:tc>
          <w:tcPr>
            <w:tcW w:w="963" w:type="dxa"/>
            <w:vMerge w:val="restart"/>
            <w:vAlign w:val="center"/>
          </w:tcPr>
          <w:p w:rsidR="00212513" w:rsidRDefault="00212513">
            <w:pPr>
              <w:pStyle w:val="ConsPlusNormal"/>
              <w:jc w:val="center"/>
            </w:pPr>
            <w:r>
              <w:t>Диаметр проволок 3 мм и более</w:t>
            </w:r>
          </w:p>
        </w:tc>
        <w:tc>
          <w:tcPr>
            <w:tcW w:w="963" w:type="dxa"/>
            <w:vAlign w:val="center"/>
          </w:tcPr>
          <w:p w:rsidR="00212513" w:rsidRDefault="00212513">
            <w:pPr>
              <w:pStyle w:val="ConsPlusNormal"/>
              <w:jc w:val="center"/>
            </w:pPr>
            <w:r>
              <w:t>+</w:t>
            </w:r>
          </w:p>
        </w:tc>
        <w:tc>
          <w:tcPr>
            <w:tcW w:w="963" w:type="dxa"/>
            <w:vAlign w:val="center"/>
          </w:tcPr>
          <w:p w:rsidR="00212513" w:rsidRDefault="00212513">
            <w:pPr>
              <w:pStyle w:val="ConsPlusNormal"/>
              <w:jc w:val="center"/>
            </w:pPr>
            <w:r>
              <w:t>+</w:t>
            </w:r>
          </w:p>
        </w:tc>
        <w:tc>
          <w:tcPr>
            <w:tcW w:w="963" w:type="dxa"/>
            <w:vAlign w:val="center"/>
          </w:tcPr>
          <w:p w:rsidR="00212513" w:rsidRDefault="00212513">
            <w:pPr>
              <w:pStyle w:val="ConsPlusNormal"/>
              <w:jc w:val="center"/>
            </w:pPr>
            <w:r>
              <w:t>-</w:t>
            </w:r>
          </w:p>
        </w:tc>
        <w:tc>
          <w:tcPr>
            <w:tcW w:w="963" w:type="dxa"/>
            <w:vAlign w:val="center"/>
          </w:tcPr>
          <w:p w:rsidR="00212513" w:rsidRDefault="00212513">
            <w:pPr>
              <w:pStyle w:val="ConsPlusNormal"/>
              <w:jc w:val="center"/>
            </w:pPr>
            <w:r>
              <w:t xml:space="preserve">+ </w:t>
            </w:r>
            <w:hyperlink w:anchor="P3213">
              <w:r>
                <w:rPr>
                  <w:color w:val="0000FF"/>
                </w:rPr>
                <w:t>&lt;10&gt;</w:t>
              </w:r>
            </w:hyperlink>
          </w:p>
        </w:tc>
        <w:tc>
          <w:tcPr>
            <w:tcW w:w="963" w:type="dxa"/>
            <w:vAlign w:val="center"/>
          </w:tcPr>
          <w:p w:rsidR="00212513" w:rsidRDefault="00212513">
            <w:pPr>
              <w:pStyle w:val="ConsPlusNormal"/>
              <w:jc w:val="center"/>
            </w:pPr>
            <w:r>
              <w:t xml:space="preserve">+ </w:t>
            </w:r>
            <w:hyperlink w:anchor="P3213">
              <w:r>
                <w:rPr>
                  <w:color w:val="0000FF"/>
                </w:rPr>
                <w:t>&lt;10&gt;</w:t>
              </w:r>
            </w:hyperlink>
          </w:p>
        </w:tc>
        <w:tc>
          <w:tcPr>
            <w:tcW w:w="963" w:type="dxa"/>
            <w:vAlign w:val="center"/>
          </w:tcPr>
          <w:p w:rsidR="00212513" w:rsidRDefault="00212513">
            <w:pPr>
              <w:pStyle w:val="ConsPlusNormal"/>
              <w:jc w:val="center"/>
            </w:pPr>
            <w:r>
              <w:t>-</w:t>
            </w:r>
          </w:p>
        </w:tc>
      </w:tr>
      <w:tr w:rsidR="00212513">
        <w:tc>
          <w:tcPr>
            <w:tcW w:w="1190" w:type="dxa"/>
            <w:vMerge/>
          </w:tcPr>
          <w:p w:rsidR="00212513" w:rsidRDefault="00212513">
            <w:pPr>
              <w:pStyle w:val="ConsPlusNormal"/>
            </w:pPr>
          </w:p>
        </w:tc>
        <w:tc>
          <w:tcPr>
            <w:tcW w:w="1247" w:type="dxa"/>
            <w:vAlign w:val="center"/>
          </w:tcPr>
          <w:p w:rsidR="00212513" w:rsidRDefault="00212513">
            <w:pPr>
              <w:pStyle w:val="ConsPlusNormal"/>
              <w:jc w:val="center"/>
            </w:pPr>
            <w:r>
              <w:t>Двойной свивки</w:t>
            </w:r>
          </w:p>
        </w:tc>
        <w:tc>
          <w:tcPr>
            <w:tcW w:w="1474" w:type="dxa"/>
            <w:vAlign w:val="center"/>
          </w:tcPr>
          <w:p w:rsidR="00212513" w:rsidRDefault="00212513">
            <w:pPr>
              <w:pStyle w:val="ConsPlusNormal"/>
              <w:jc w:val="center"/>
            </w:pPr>
            <w:hyperlink r:id="rId719">
              <w:r>
                <w:rPr>
                  <w:color w:val="0000FF"/>
                </w:rPr>
                <w:t>ГОСТ 3067</w:t>
              </w:r>
            </w:hyperlink>
          </w:p>
        </w:tc>
        <w:tc>
          <w:tcPr>
            <w:tcW w:w="1870" w:type="dxa"/>
            <w:vMerge/>
          </w:tcPr>
          <w:p w:rsidR="00212513" w:rsidRDefault="00212513">
            <w:pPr>
              <w:pStyle w:val="ConsPlusNormal"/>
            </w:pPr>
          </w:p>
        </w:tc>
        <w:tc>
          <w:tcPr>
            <w:tcW w:w="1077" w:type="dxa"/>
            <w:vMerge/>
          </w:tcPr>
          <w:p w:rsidR="00212513" w:rsidRDefault="00212513">
            <w:pPr>
              <w:pStyle w:val="ConsPlusNormal"/>
            </w:pPr>
          </w:p>
        </w:tc>
        <w:tc>
          <w:tcPr>
            <w:tcW w:w="963" w:type="dxa"/>
            <w:vMerge/>
          </w:tcPr>
          <w:p w:rsidR="00212513" w:rsidRDefault="00212513">
            <w:pPr>
              <w:pStyle w:val="ConsPlusNormal"/>
            </w:pPr>
          </w:p>
        </w:tc>
        <w:tc>
          <w:tcPr>
            <w:tcW w:w="963" w:type="dxa"/>
            <w:vAlign w:val="center"/>
          </w:tcPr>
          <w:p w:rsidR="00212513" w:rsidRDefault="00212513">
            <w:pPr>
              <w:pStyle w:val="ConsPlusNormal"/>
              <w:jc w:val="center"/>
            </w:pPr>
            <w:r>
              <w:t>+</w:t>
            </w:r>
          </w:p>
        </w:tc>
        <w:tc>
          <w:tcPr>
            <w:tcW w:w="963" w:type="dxa"/>
            <w:vAlign w:val="center"/>
          </w:tcPr>
          <w:p w:rsidR="00212513" w:rsidRDefault="00212513">
            <w:pPr>
              <w:pStyle w:val="ConsPlusNormal"/>
              <w:jc w:val="center"/>
            </w:pPr>
            <w:r>
              <w:t>+</w:t>
            </w:r>
          </w:p>
        </w:tc>
        <w:tc>
          <w:tcPr>
            <w:tcW w:w="963" w:type="dxa"/>
            <w:vAlign w:val="center"/>
          </w:tcPr>
          <w:p w:rsidR="00212513" w:rsidRDefault="00212513">
            <w:pPr>
              <w:pStyle w:val="ConsPlusNormal"/>
              <w:jc w:val="center"/>
            </w:pPr>
            <w:r>
              <w:t>-</w:t>
            </w:r>
          </w:p>
        </w:tc>
        <w:tc>
          <w:tcPr>
            <w:tcW w:w="963" w:type="dxa"/>
            <w:vAlign w:val="center"/>
          </w:tcPr>
          <w:p w:rsidR="00212513" w:rsidRDefault="00212513">
            <w:pPr>
              <w:pStyle w:val="ConsPlusNormal"/>
              <w:jc w:val="center"/>
            </w:pPr>
            <w:r>
              <w:t xml:space="preserve">+ </w:t>
            </w:r>
            <w:hyperlink w:anchor="P3213">
              <w:r>
                <w:rPr>
                  <w:color w:val="0000FF"/>
                </w:rPr>
                <w:t>&lt;10&gt;</w:t>
              </w:r>
            </w:hyperlink>
          </w:p>
        </w:tc>
        <w:tc>
          <w:tcPr>
            <w:tcW w:w="963" w:type="dxa"/>
            <w:vAlign w:val="center"/>
          </w:tcPr>
          <w:p w:rsidR="00212513" w:rsidRDefault="00212513">
            <w:pPr>
              <w:pStyle w:val="ConsPlusNormal"/>
              <w:jc w:val="center"/>
            </w:pPr>
            <w:r>
              <w:t xml:space="preserve">+ </w:t>
            </w:r>
            <w:hyperlink w:anchor="P3213">
              <w:r>
                <w:rPr>
                  <w:color w:val="0000FF"/>
                </w:rPr>
                <w:t>&lt;10&gt;</w:t>
              </w:r>
            </w:hyperlink>
          </w:p>
        </w:tc>
        <w:tc>
          <w:tcPr>
            <w:tcW w:w="963" w:type="dxa"/>
            <w:vAlign w:val="center"/>
          </w:tcPr>
          <w:p w:rsidR="00212513" w:rsidRDefault="00212513">
            <w:pPr>
              <w:pStyle w:val="ConsPlusNormal"/>
              <w:jc w:val="center"/>
            </w:pPr>
            <w:r>
              <w:t>-</w:t>
            </w:r>
          </w:p>
        </w:tc>
      </w:tr>
      <w:tr w:rsidR="00212513">
        <w:tc>
          <w:tcPr>
            <w:tcW w:w="1190" w:type="dxa"/>
            <w:vMerge/>
          </w:tcPr>
          <w:p w:rsidR="00212513" w:rsidRDefault="00212513">
            <w:pPr>
              <w:pStyle w:val="ConsPlusNormal"/>
            </w:pPr>
          </w:p>
        </w:tc>
        <w:tc>
          <w:tcPr>
            <w:tcW w:w="1247" w:type="dxa"/>
            <w:vAlign w:val="center"/>
          </w:tcPr>
          <w:p w:rsidR="00212513" w:rsidRDefault="00212513">
            <w:pPr>
              <w:pStyle w:val="ConsPlusNormal"/>
              <w:jc w:val="center"/>
            </w:pPr>
            <w:r>
              <w:t>Закрытые</w:t>
            </w:r>
          </w:p>
        </w:tc>
        <w:tc>
          <w:tcPr>
            <w:tcW w:w="1474" w:type="dxa"/>
            <w:vAlign w:val="center"/>
          </w:tcPr>
          <w:p w:rsidR="00212513" w:rsidRDefault="00212513">
            <w:pPr>
              <w:pStyle w:val="ConsPlusNormal"/>
              <w:jc w:val="center"/>
            </w:pPr>
            <w:hyperlink r:id="rId720">
              <w:r>
                <w:rPr>
                  <w:color w:val="0000FF"/>
                </w:rPr>
                <w:t>ГОСТ 3090</w:t>
              </w:r>
            </w:hyperlink>
          </w:p>
          <w:p w:rsidR="00212513" w:rsidRDefault="00212513">
            <w:pPr>
              <w:pStyle w:val="ConsPlusNormal"/>
              <w:jc w:val="center"/>
            </w:pPr>
            <w:hyperlink r:id="rId721">
              <w:r>
                <w:rPr>
                  <w:color w:val="0000FF"/>
                </w:rPr>
                <w:t>ГОСТ 7675</w:t>
              </w:r>
            </w:hyperlink>
          </w:p>
          <w:p w:rsidR="00212513" w:rsidRDefault="00212513">
            <w:pPr>
              <w:pStyle w:val="ConsPlusNormal"/>
              <w:jc w:val="center"/>
            </w:pPr>
            <w:hyperlink r:id="rId722">
              <w:r>
                <w:rPr>
                  <w:color w:val="0000FF"/>
                </w:rPr>
                <w:t>ГОСТ 7676</w:t>
              </w:r>
            </w:hyperlink>
          </w:p>
        </w:tc>
        <w:tc>
          <w:tcPr>
            <w:tcW w:w="1870" w:type="dxa"/>
            <w:vMerge/>
          </w:tcPr>
          <w:p w:rsidR="00212513" w:rsidRDefault="00212513">
            <w:pPr>
              <w:pStyle w:val="ConsPlusNormal"/>
            </w:pPr>
          </w:p>
        </w:tc>
        <w:tc>
          <w:tcPr>
            <w:tcW w:w="1077" w:type="dxa"/>
            <w:vMerge/>
          </w:tcPr>
          <w:p w:rsidR="00212513" w:rsidRDefault="00212513">
            <w:pPr>
              <w:pStyle w:val="ConsPlusNormal"/>
            </w:pPr>
          </w:p>
        </w:tc>
        <w:tc>
          <w:tcPr>
            <w:tcW w:w="963" w:type="dxa"/>
            <w:vAlign w:val="center"/>
          </w:tcPr>
          <w:p w:rsidR="00212513" w:rsidRDefault="00212513">
            <w:pPr>
              <w:pStyle w:val="ConsPlusNormal"/>
              <w:jc w:val="center"/>
            </w:pPr>
            <w:r>
              <w:t>По соответствующе</w:t>
            </w:r>
            <w:r>
              <w:lastRenderedPageBreak/>
              <w:t>му стандарту</w:t>
            </w:r>
          </w:p>
        </w:tc>
        <w:tc>
          <w:tcPr>
            <w:tcW w:w="963" w:type="dxa"/>
            <w:vAlign w:val="center"/>
          </w:tcPr>
          <w:p w:rsidR="00212513" w:rsidRDefault="00212513">
            <w:pPr>
              <w:pStyle w:val="ConsPlusNormal"/>
              <w:jc w:val="center"/>
            </w:pPr>
            <w:r>
              <w:lastRenderedPageBreak/>
              <w:t>+</w:t>
            </w:r>
          </w:p>
        </w:tc>
        <w:tc>
          <w:tcPr>
            <w:tcW w:w="963" w:type="dxa"/>
            <w:vAlign w:val="center"/>
          </w:tcPr>
          <w:p w:rsidR="00212513" w:rsidRDefault="00212513">
            <w:pPr>
              <w:pStyle w:val="ConsPlusNormal"/>
              <w:jc w:val="center"/>
            </w:pPr>
            <w:r>
              <w:t>+</w:t>
            </w:r>
          </w:p>
        </w:tc>
        <w:tc>
          <w:tcPr>
            <w:tcW w:w="963" w:type="dxa"/>
            <w:vAlign w:val="center"/>
          </w:tcPr>
          <w:p w:rsidR="00212513" w:rsidRDefault="00212513">
            <w:pPr>
              <w:pStyle w:val="ConsPlusNormal"/>
              <w:jc w:val="center"/>
            </w:pPr>
            <w:r>
              <w:t>-</w:t>
            </w:r>
          </w:p>
        </w:tc>
        <w:tc>
          <w:tcPr>
            <w:tcW w:w="963" w:type="dxa"/>
            <w:vAlign w:val="center"/>
          </w:tcPr>
          <w:p w:rsidR="00212513" w:rsidRDefault="00212513">
            <w:pPr>
              <w:pStyle w:val="ConsPlusNormal"/>
              <w:jc w:val="center"/>
            </w:pPr>
            <w:r>
              <w:t xml:space="preserve">+ </w:t>
            </w:r>
            <w:hyperlink w:anchor="P3213">
              <w:r>
                <w:rPr>
                  <w:color w:val="0000FF"/>
                </w:rPr>
                <w:t>&lt;10&gt;</w:t>
              </w:r>
            </w:hyperlink>
          </w:p>
        </w:tc>
        <w:tc>
          <w:tcPr>
            <w:tcW w:w="963" w:type="dxa"/>
            <w:vAlign w:val="center"/>
          </w:tcPr>
          <w:p w:rsidR="00212513" w:rsidRDefault="00212513">
            <w:pPr>
              <w:pStyle w:val="ConsPlusNormal"/>
              <w:jc w:val="center"/>
            </w:pPr>
            <w:r>
              <w:t xml:space="preserve">+ </w:t>
            </w:r>
            <w:hyperlink w:anchor="P3213">
              <w:r>
                <w:rPr>
                  <w:color w:val="0000FF"/>
                </w:rPr>
                <w:t>&lt;10&gt;</w:t>
              </w:r>
            </w:hyperlink>
          </w:p>
        </w:tc>
        <w:tc>
          <w:tcPr>
            <w:tcW w:w="963" w:type="dxa"/>
            <w:vAlign w:val="center"/>
          </w:tcPr>
          <w:p w:rsidR="00212513" w:rsidRDefault="00212513">
            <w:pPr>
              <w:pStyle w:val="ConsPlusNormal"/>
              <w:jc w:val="center"/>
            </w:pPr>
            <w:r>
              <w:t>-</w:t>
            </w:r>
          </w:p>
        </w:tc>
      </w:tr>
      <w:tr w:rsidR="00212513">
        <w:tc>
          <w:tcPr>
            <w:tcW w:w="13599" w:type="dxa"/>
            <w:gridSpan w:val="12"/>
          </w:tcPr>
          <w:p w:rsidR="00212513" w:rsidRDefault="00212513">
            <w:pPr>
              <w:pStyle w:val="ConsPlusNormal"/>
              <w:ind w:firstLine="283"/>
              <w:jc w:val="both"/>
            </w:pPr>
            <w:bookmarkStart w:id="121" w:name="P3204"/>
            <w:bookmarkEnd w:id="121"/>
            <w:r>
              <w:lastRenderedPageBreak/>
              <w:t>&lt;1&gt; Допускается к применению в вязаных каркасах и сетках.</w:t>
            </w:r>
          </w:p>
          <w:p w:rsidR="00212513" w:rsidRDefault="00212513">
            <w:pPr>
              <w:pStyle w:val="ConsPlusNormal"/>
              <w:ind w:firstLine="283"/>
              <w:jc w:val="both"/>
            </w:pPr>
            <w:bookmarkStart w:id="122" w:name="P3205"/>
            <w:bookmarkEnd w:id="122"/>
            <w:r>
              <w:t>&lt;2&gt; Не допускается к применению для хомутов пролетных строений.</w:t>
            </w:r>
          </w:p>
          <w:p w:rsidR="00212513" w:rsidRDefault="00212513">
            <w:pPr>
              <w:pStyle w:val="ConsPlusNormal"/>
              <w:ind w:firstLine="283"/>
              <w:jc w:val="both"/>
            </w:pPr>
            <w:bookmarkStart w:id="123" w:name="P3206"/>
            <w:bookmarkEnd w:id="123"/>
            <w:r>
              <w:t>&lt;3&gt; Не допускается к применению, если динамический коэффициент свыше 1,1.</w:t>
            </w:r>
          </w:p>
          <w:p w:rsidR="00212513" w:rsidRDefault="00212513">
            <w:pPr>
              <w:pStyle w:val="ConsPlusNormal"/>
              <w:ind w:firstLine="283"/>
              <w:jc w:val="both"/>
            </w:pPr>
            <w:bookmarkStart w:id="124" w:name="P3207"/>
            <w:bookmarkEnd w:id="124"/>
            <w:r>
              <w:t>&lt;4&gt; Если динамический коэффициент свыше 1,1, допускается к применению только в вязаных каркасах и сетках.</w:t>
            </w:r>
          </w:p>
          <w:p w:rsidR="00212513" w:rsidRDefault="00212513">
            <w:pPr>
              <w:pStyle w:val="ConsPlusNormal"/>
              <w:ind w:firstLine="283"/>
              <w:jc w:val="both"/>
            </w:pPr>
            <w:bookmarkStart w:id="125" w:name="P3208"/>
            <w:bookmarkEnd w:id="125"/>
            <w:r>
              <w:t>&lt;5&gt; Только в виде целых стержней мерной длины или стержней с несварными стыками.</w:t>
            </w:r>
          </w:p>
          <w:p w:rsidR="00212513" w:rsidRDefault="00212513">
            <w:pPr>
              <w:pStyle w:val="ConsPlusNormal"/>
              <w:ind w:firstLine="283"/>
              <w:jc w:val="both"/>
            </w:pPr>
            <w:bookmarkStart w:id="126" w:name="P3209"/>
            <w:bookmarkEnd w:id="126"/>
            <w:r>
              <w:t>&lt;6&gt; Допускается к применению термически упрочненная арматурная сталь только марок С (свариваемая) и К (стойкая к коррозионному растрескиванию).</w:t>
            </w:r>
          </w:p>
          <w:p w:rsidR="00212513" w:rsidRDefault="00212513">
            <w:pPr>
              <w:pStyle w:val="ConsPlusNormal"/>
              <w:ind w:firstLine="283"/>
              <w:jc w:val="both"/>
            </w:pPr>
            <w:bookmarkStart w:id="127" w:name="P3210"/>
            <w:bookmarkEnd w:id="127"/>
            <w:r>
              <w:t>&lt;7&gt; Допускается к применению при гарантируемой величине равномерного удлинения не менее 2.</w:t>
            </w:r>
          </w:p>
          <w:p w:rsidR="00212513" w:rsidRDefault="00212513">
            <w:pPr>
              <w:pStyle w:val="ConsPlusNormal"/>
              <w:ind w:firstLine="283"/>
              <w:jc w:val="both"/>
            </w:pPr>
            <w:bookmarkStart w:id="128" w:name="P3211"/>
            <w:bookmarkEnd w:id="128"/>
            <w:r>
              <w:t>&lt;8&gt; Допускается к применению при диаметрах проволок 5 - 8 мм.</w:t>
            </w:r>
          </w:p>
          <w:p w:rsidR="00212513" w:rsidRDefault="00212513">
            <w:pPr>
              <w:pStyle w:val="ConsPlusNormal"/>
              <w:ind w:firstLine="283"/>
              <w:jc w:val="both"/>
            </w:pPr>
            <w:bookmarkStart w:id="129" w:name="P3212"/>
            <w:bookmarkEnd w:id="129"/>
            <w:r>
              <w:t>&lt;9&gt; Допускается к применению при диаметре проволок 5 мм.</w:t>
            </w:r>
          </w:p>
          <w:p w:rsidR="00212513" w:rsidRDefault="00212513">
            <w:pPr>
              <w:pStyle w:val="ConsPlusNormal"/>
              <w:ind w:firstLine="283"/>
              <w:jc w:val="both"/>
            </w:pPr>
            <w:bookmarkStart w:id="130" w:name="P3213"/>
            <w:bookmarkEnd w:id="130"/>
            <w:r>
              <w:t>&lt;10&gt; Допускается к применению только в пролетных строениях совмещенных мостов.</w:t>
            </w:r>
          </w:p>
          <w:p w:rsidR="00212513" w:rsidRDefault="00212513">
            <w:pPr>
              <w:pStyle w:val="ConsPlusNormal"/>
              <w:ind w:firstLine="283"/>
              <w:jc w:val="both"/>
            </w:pPr>
            <w:bookmarkStart w:id="131" w:name="P3214"/>
            <w:bookmarkEnd w:id="131"/>
            <w:r>
              <w:t>&lt;11&gt; Допускается к применению после дополнительных исследований на хладостойкость.</w:t>
            </w:r>
          </w:p>
          <w:p w:rsidR="00212513" w:rsidRDefault="00212513">
            <w:pPr>
              <w:pStyle w:val="ConsPlusNormal"/>
              <w:ind w:firstLine="283"/>
              <w:jc w:val="both"/>
            </w:pPr>
            <w:bookmarkStart w:id="132" w:name="P3215"/>
            <w:bookmarkEnd w:id="132"/>
            <w:r>
              <w:t xml:space="preserve">&lt;12&gt; Применение арматурных канатов по </w:t>
            </w:r>
            <w:hyperlink r:id="rId723">
              <w:r>
                <w:rPr>
                  <w:color w:val="0000FF"/>
                </w:rPr>
                <w:t>ГОСТ Р 53772</w:t>
              </w:r>
            </w:hyperlink>
            <w:r>
              <w:t xml:space="preserve"> допускается при условии обязательного подтверждения всех заявленных физико-механических свойств периодическими (не реже одного раза в год) испытаниями или испытаниями поставляемых партий.</w:t>
            </w:r>
          </w:p>
          <w:p w:rsidR="00212513" w:rsidRDefault="00212513">
            <w:pPr>
              <w:pStyle w:val="ConsPlusNormal"/>
              <w:ind w:firstLine="283"/>
              <w:jc w:val="both"/>
            </w:pPr>
            <w:bookmarkStart w:id="133" w:name="P3216"/>
            <w:bookmarkEnd w:id="133"/>
            <w:r>
              <w:t xml:space="preserve">&lt;13&gt; Допускается к применению арматура класса А600С (в том числе марка стали 20Г2СФБА) с обязательным введением в сталь легирующих элементов в количестве до 0,1% для каждого элемента при их суммарной массовой доле не более 0,15% и не менее 0,05% с гарантией свариваемости по </w:t>
            </w:r>
            <w:hyperlink r:id="rId724">
              <w:r>
                <w:rPr>
                  <w:color w:val="0000FF"/>
                </w:rPr>
                <w:t>ГОСТ 34028</w:t>
              </w:r>
            </w:hyperlink>
            <w:r>
              <w:t xml:space="preserve"> после проведения комплекса исследований (испытаний оценки соответствия) на прочность, пластичность, свариваемость, коррозионную стойкость, релаксационную стойкость, хладостойкость, выносливость.</w:t>
            </w:r>
          </w:p>
        </w:tc>
      </w:tr>
    </w:tbl>
    <w:p w:rsidR="00212513" w:rsidRDefault="00212513">
      <w:pPr>
        <w:pStyle w:val="ConsPlusNormal"/>
        <w:sectPr w:rsidR="00212513">
          <w:pgSz w:w="16838" w:h="11905" w:orient="landscape"/>
          <w:pgMar w:top="1701" w:right="1134" w:bottom="850" w:left="1134" w:header="0" w:footer="0" w:gutter="0"/>
          <w:cols w:space="720"/>
          <w:titlePg/>
        </w:sectPr>
      </w:pPr>
    </w:p>
    <w:p w:rsidR="00212513" w:rsidRDefault="00212513">
      <w:pPr>
        <w:pStyle w:val="ConsPlusNormal"/>
        <w:jc w:val="right"/>
      </w:pPr>
    </w:p>
    <w:p w:rsidR="00212513" w:rsidRDefault="00212513">
      <w:pPr>
        <w:pStyle w:val="ConsPlusNormal"/>
        <w:ind w:firstLine="540"/>
        <w:jc w:val="both"/>
      </w:pPr>
      <w:r>
        <w:t>Арматурную сталь класса А300 марки Ст5пс допускается применять в пролетных строениях (исключая хомуты) и в опорах мостов, если диаметр ее стержней не более, мм:</w:t>
      </w:r>
    </w:p>
    <w:p w:rsidR="00212513" w:rsidRDefault="00212513">
      <w:pPr>
        <w:pStyle w:val="ConsPlusNormal"/>
        <w:spacing w:before="220"/>
        <w:ind w:firstLine="540"/>
        <w:jc w:val="both"/>
      </w:pPr>
      <w:r>
        <w:t>20 - для элементов с арматурой, не рассчитываемой на выносливость;</w:t>
      </w:r>
    </w:p>
    <w:p w:rsidR="00212513" w:rsidRDefault="00212513">
      <w:pPr>
        <w:pStyle w:val="ConsPlusNormal"/>
        <w:spacing w:before="220"/>
        <w:ind w:firstLine="540"/>
        <w:jc w:val="both"/>
      </w:pPr>
      <w:r>
        <w:t>18 - то же, рассчитываемой на выносливость.</w:t>
      </w:r>
    </w:p>
    <w:p w:rsidR="00212513" w:rsidRDefault="00212513">
      <w:pPr>
        <w:pStyle w:val="ConsPlusNormal"/>
        <w:spacing w:before="220"/>
        <w:ind w:firstLine="540"/>
        <w:jc w:val="both"/>
      </w:pPr>
      <w:r>
        <w:t>Указанную арматурную сталь при диаметрах 22 мм и более следует применять только в фундаментах и частях опор, расположенных ниже половины глубины промерзания грунта.</w:t>
      </w:r>
    </w:p>
    <w:p w:rsidR="00212513" w:rsidRDefault="00212513">
      <w:pPr>
        <w:pStyle w:val="ConsPlusNormal"/>
        <w:spacing w:before="220"/>
        <w:ind w:firstLine="540"/>
        <w:jc w:val="both"/>
      </w:pPr>
      <w:r>
        <w:t>Сварные соединения стержневой термически упрочненной арматурной стали, высокопрочной арматурной проволоки, арматурных канатов класса К7 и стальных канатов со свивкой спиральной, двойной и закрытых не допускаются.</w:t>
      </w:r>
    </w:p>
    <w:p w:rsidR="00212513" w:rsidRDefault="00212513">
      <w:pPr>
        <w:pStyle w:val="ConsPlusNormal"/>
        <w:spacing w:before="220"/>
        <w:ind w:firstLine="540"/>
        <w:jc w:val="both"/>
      </w:pPr>
      <w:r>
        <w:t>К стержневой напрягаемой арматуре, находящейся в пределах тела бетона конструкции, запрещается приварка каких-либо деталей или арматуры.</w:t>
      </w:r>
    </w:p>
    <w:p w:rsidR="00212513" w:rsidRDefault="00212513">
      <w:pPr>
        <w:pStyle w:val="ConsPlusNormal"/>
        <w:spacing w:before="220"/>
        <w:ind w:firstLine="540"/>
        <w:jc w:val="both"/>
      </w:pPr>
      <w:r>
        <w:t xml:space="preserve">Абзац исключен с 01.07.2024. - </w:t>
      </w:r>
      <w:hyperlink r:id="rId725">
        <w:r>
          <w:rPr>
            <w:color w:val="0000FF"/>
          </w:rPr>
          <w:t>Изменение N 4</w:t>
        </w:r>
      </w:hyperlink>
      <w:r>
        <w:t>, утв. Приказом Минстроя России от 30.05.2024 N 361/пр.</w:t>
      </w:r>
    </w:p>
    <w:p w:rsidR="00212513" w:rsidRDefault="00212513">
      <w:pPr>
        <w:pStyle w:val="ConsPlusNormal"/>
        <w:spacing w:before="220"/>
        <w:ind w:firstLine="540"/>
        <w:jc w:val="both"/>
      </w:pPr>
      <w:r>
        <w:t>Разрешается использовать в качестве конструктивной (не расчетной) арматуру классов А500.</w:t>
      </w:r>
    </w:p>
    <w:p w:rsidR="00212513" w:rsidRDefault="00212513">
      <w:pPr>
        <w:pStyle w:val="ConsPlusNormal"/>
        <w:jc w:val="both"/>
      </w:pPr>
      <w:r>
        <w:t xml:space="preserve">(абзац введен </w:t>
      </w:r>
      <w:hyperlink r:id="rId726">
        <w:r>
          <w:rPr>
            <w:color w:val="0000FF"/>
          </w:rPr>
          <w:t>Изменением N 3</w:t>
        </w:r>
      </w:hyperlink>
      <w:r>
        <w:t>, утв. Приказом Минстроя России от 29.12.2020 N 891/пр)</w:t>
      </w:r>
    </w:p>
    <w:p w:rsidR="00212513" w:rsidRDefault="00212513">
      <w:pPr>
        <w:pStyle w:val="ConsPlusNormal"/>
        <w:spacing w:before="220"/>
        <w:ind w:firstLine="540"/>
        <w:jc w:val="both"/>
      </w:pPr>
      <w:r>
        <w:t xml:space="preserve">Как правило, следует применять стабилизированные (с пониженной релаксацией) канаты К7 по </w:t>
      </w:r>
      <w:hyperlink r:id="rId727">
        <w:r>
          <w:rPr>
            <w:color w:val="0000FF"/>
          </w:rPr>
          <w:t>ГОСТ Р 53772</w:t>
        </w:r>
      </w:hyperlink>
      <w:r>
        <w:t xml:space="preserve">. Применение нестабилизированных (с обычной релаксацией) арматурных канатов К7 по </w:t>
      </w:r>
      <w:hyperlink r:id="rId728">
        <w:r>
          <w:rPr>
            <w:color w:val="0000FF"/>
          </w:rPr>
          <w:t>ГОСТ 13840</w:t>
        </w:r>
      </w:hyperlink>
      <w:r>
        <w:t xml:space="preserve"> допускается при соответствующем технико-экономическом обосновании.</w:t>
      </w:r>
    </w:p>
    <w:p w:rsidR="00212513" w:rsidRDefault="00212513">
      <w:pPr>
        <w:pStyle w:val="ConsPlusNormal"/>
        <w:jc w:val="both"/>
      </w:pPr>
      <w:r>
        <w:t xml:space="preserve">(в ред. </w:t>
      </w:r>
      <w:hyperlink r:id="rId729">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t>Допускается применение арматурных канатов обычного сечения К7 и пластически обжатых К7О. Канаты также могут применяться в защитной полиэтиленовой оболочке со смазкой и без смазки (моностренды). Применение пластически обжатых арматурных канатов допускается только в конструкциях, работающих без сцепления. Арматурные канаты К7 и К7О могут применяться в защитной полиэтиленовой оболочке со смазкой и без смазки (моностренды). Применение монострендов, а также канатов К7О без оболочки допускается только в конструкциях, работающих без сцепления.</w:t>
      </w:r>
    </w:p>
    <w:p w:rsidR="00212513" w:rsidRDefault="00212513">
      <w:pPr>
        <w:pStyle w:val="ConsPlusNormal"/>
        <w:jc w:val="both"/>
      </w:pPr>
      <w:r>
        <w:t xml:space="preserve">(в ред. </w:t>
      </w:r>
      <w:hyperlink r:id="rId730">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t>Гарантированное временное сопротивление арматурных канатов во всех случаях не должно превышать 1860 МПа, а при использовании для внешнего армирования - 1770 МПа.</w:t>
      </w:r>
    </w:p>
    <w:p w:rsidR="00212513" w:rsidRDefault="00212513">
      <w:pPr>
        <w:pStyle w:val="ConsPlusNormal"/>
        <w:jc w:val="both"/>
      </w:pPr>
      <w:r>
        <w:t xml:space="preserve">(абзац введен </w:t>
      </w:r>
      <w:hyperlink r:id="rId731">
        <w:r>
          <w:rPr>
            <w:color w:val="0000FF"/>
          </w:rPr>
          <w:t>Изменением N 1</w:t>
        </w:r>
      </w:hyperlink>
      <w:r>
        <w:t>, утв. Приказом Минстроя России от 03.12.2016 N 879/пр)</w:t>
      </w:r>
    </w:p>
    <w:p w:rsidR="00212513" w:rsidRDefault="00212513">
      <w:pPr>
        <w:pStyle w:val="ConsPlusNormal"/>
        <w:spacing w:before="220"/>
        <w:ind w:firstLine="540"/>
        <w:jc w:val="both"/>
      </w:pPr>
      <w:r>
        <w:t xml:space="preserve">В качестве арматуры могут быть применены листовой или фасонный прокат, а также композитные материалы на основе стеклянных, углеродных и минеральных волокон. Для дисперсного армирования может применяться фибра из стальной проволоки и химических волокон по </w:t>
      </w:r>
      <w:hyperlink r:id="rId732">
        <w:r>
          <w:rPr>
            <w:color w:val="0000FF"/>
          </w:rPr>
          <w:t>ГОСТ 33370</w:t>
        </w:r>
      </w:hyperlink>
      <w:r>
        <w:t>. Применение этих материалов допускается на основании разработанных нормативных документов.</w:t>
      </w:r>
    </w:p>
    <w:p w:rsidR="00212513" w:rsidRDefault="00212513">
      <w:pPr>
        <w:pStyle w:val="ConsPlusNormal"/>
        <w:jc w:val="both"/>
      </w:pPr>
      <w:r>
        <w:t xml:space="preserve">(в ред. </w:t>
      </w:r>
      <w:hyperlink r:id="rId733">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 xml:space="preserve">Напрягаемая арматура всех видов и классов должна применяться в составе специально разработанных систем предварительного натяжения, включающих: напрягаемые элементы, анкера, опорные элементы, обеспечивающие передачу давления с анкера на бетон, систему косвенного армирования, обеспечивающую восприятие бетоном усилий давления, соединительные муфты, элементы, обеспечивающие возможность натяжения после набора прочности бетоном (каналообразователи, пустотообразователи или изоляцию), оборудование для </w:t>
      </w:r>
      <w:r>
        <w:lastRenderedPageBreak/>
        <w:t>установки напрягаемых элементов в конструкцию, элементы фиксации армоэлементов конструкции, оборудование для натяжения арматурных элементов и инъектирования каналов после натяжения, а также технологию всех видов работ, связанных с предварительным натяжением, данные для проектирования железобетонных конструкций и методы контроля этапов работ. Элементы системы предварительного натяжения должны быть заводского изготовления и выпускаться серийно.</w:t>
      </w:r>
    </w:p>
    <w:p w:rsidR="00212513" w:rsidRDefault="00212513">
      <w:pPr>
        <w:pStyle w:val="ConsPlusNormal"/>
        <w:jc w:val="both"/>
      </w:pPr>
      <w:r>
        <w:t xml:space="preserve">(абзац введен </w:t>
      </w:r>
      <w:hyperlink r:id="rId734">
        <w:r>
          <w:rPr>
            <w:color w:val="0000FF"/>
          </w:rPr>
          <w:t>Изменением N 1</w:t>
        </w:r>
      </w:hyperlink>
      <w:r>
        <w:t>, утв. Приказом Минстроя России от 03.12.2016 N 879/пр)</w:t>
      </w:r>
    </w:p>
    <w:p w:rsidR="00212513" w:rsidRDefault="00212513">
      <w:pPr>
        <w:pStyle w:val="ConsPlusNormal"/>
        <w:spacing w:before="220"/>
        <w:ind w:firstLine="540"/>
        <w:jc w:val="both"/>
      </w:pPr>
      <w:r>
        <w:t>7.34 Для монтажных (подъемных) петель следует предусматривать применение арматурной стали класса А240 марки Ст3сп.</w:t>
      </w:r>
    </w:p>
    <w:p w:rsidR="00212513" w:rsidRDefault="00212513">
      <w:pPr>
        <w:pStyle w:val="ConsPlusNormal"/>
        <w:spacing w:before="220"/>
        <w:ind w:firstLine="540"/>
        <w:jc w:val="both"/>
      </w:pPr>
      <w:r>
        <w:t>Если проектом предусмотрен монтаж конструкции при среднесуточных температурах наружного воздуха не ниже минус 40 °C, то для монтажных петель допускается применение арматурной стали класса А240 из стали марки Ст3пс.</w:t>
      </w:r>
    </w:p>
    <w:p w:rsidR="00212513" w:rsidRDefault="00212513">
      <w:pPr>
        <w:pStyle w:val="ConsPlusNormal"/>
        <w:spacing w:before="220"/>
        <w:ind w:firstLine="540"/>
        <w:jc w:val="both"/>
      </w:pPr>
      <w:bookmarkStart w:id="134" w:name="P3239"/>
      <w:bookmarkEnd w:id="134"/>
      <w:r>
        <w:t xml:space="preserve">7.35 В качестве конструктивной арматуры при всех условиях допускается применение арматурной стали классов А240 и А300 марок, указанных в </w:t>
      </w:r>
      <w:hyperlink w:anchor="P2894">
        <w:r>
          <w:rPr>
            <w:color w:val="0000FF"/>
          </w:rPr>
          <w:t>таблице 7.14</w:t>
        </w:r>
      </w:hyperlink>
      <w:r>
        <w:t xml:space="preserve">, А500С по </w:t>
      </w:r>
      <w:hyperlink r:id="rId735">
        <w:r>
          <w:rPr>
            <w:color w:val="0000FF"/>
          </w:rPr>
          <w:t>ГОСТ 34028</w:t>
        </w:r>
      </w:hyperlink>
      <w:r>
        <w:t>, а также арматурной проволоки периодического профиля класса Вр в сварных сетках.</w:t>
      </w:r>
    </w:p>
    <w:p w:rsidR="00212513" w:rsidRDefault="00212513">
      <w:pPr>
        <w:pStyle w:val="ConsPlusNormal"/>
        <w:jc w:val="both"/>
      </w:pPr>
      <w:r>
        <w:t xml:space="preserve">(п. 7.35 в ред. </w:t>
      </w:r>
      <w:hyperlink r:id="rId736">
        <w:r>
          <w:rPr>
            <w:color w:val="0000FF"/>
          </w:rPr>
          <w:t>Изменения N 4</w:t>
        </w:r>
      </w:hyperlink>
      <w:r>
        <w:t>, утв. Приказом Минстроя России от 30.05.2024 N 361/пр)</w:t>
      </w:r>
    </w:p>
    <w:p w:rsidR="00212513" w:rsidRDefault="00212513">
      <w:pPr>
        <w:pStyle w:val="ConsPlusNormal"/>
        <w:ind w:firstLine="540"/>
        <w:jc w:val="both"/>
      </w:pPr>
    </w:p>
    <w:p w:rsidR="00212513" w:rsidRDefault="00212513">
      <w:pPr>
        <w:pStyle w:val="ConsPlusNormal"/>
        <w:ind w:firstLine="540"/>
        <w:jc w:val="both"/>
      </w:pPr>
      <w:r>
        <w:rPr>
          <w:i/>
        </w:rPr>
        <w:t>Стальные изделия</w:t>
      </w:r>
    </w:p>
    <w:p w:rsidR="00212513" w:rsidRDefault="00212513">
      <w:pPr>
        <w:pStyle w:val="ConsPlusNormal"/>
        <w:ind w:firstLine="540"/>
        <w:jc w:val="both"/>
      </w:pPr>
    </w:p>
    <w:p w:rsidR="00212513" w:rsidRDefault="00212513">
      <w:pPr>
        <w:pStyle w:val="ConsPlusNormal"/>
        <w:ind w:firstLine="540"/>
        <w:jc w:val="both"/>
      </w:pPr>
      <w:r>
        <w:t xml:space="preserve">7.36 Для закладных изделий, деформационных швов и прочих расчетных элементов следует применять стальной прокат и другие изделия согласно требованиям </w:t>
      </w:r>
      <w:hyperlink w:anchor="P1426">
        <w:r>
          <w:rPr>
            <w:color w:val="0000FF"/>
          </w:rPr>
          <w:t>раздела 8</w:t>
        </w:r>
      </w:hyperlink>
      <w:r>
        <w:t>.</w:t>
      </w:r>
    </w:p>
    <w:p w:rsidR="00212513" w:rsidRDefault="00212513">
      <w:pPr>
        <w:pStyle w:val="ConsPlusNormal"/>
        <w:spacing w:before="220"/>
        <w:ind w:firstLine="540"/>
        <w:jc w:val="both"/>
      </w:pPr>
      <w:r>
        <w:t>В качестве неизвлекаемых металлических каналообразователей сборных и монолитных конструкций рекомендуется применение герметичных гофрированных труб, изготавливаемых из стальной ленты толщиной не менее 0,25 мм в соответствии с техническими условиями. В тех же конструкциях на кривых малого (ниже рекомендуемого) радиуса, а также на участках в зоне опирания анкеров напрягаемой арматуры допускается применение каналообразователей из стальных труб. Применение оцинкованных каналообразователей, находящихся внутри бетона конструкции, запрещается.</w:t>
      </w:r>
    </w:p>
    <w:p w:rsidR="00212513" w:rsidRDefault="00212513">
      <w:pPr>
        <w:pStyle w:val="ConsPlusNormal"/>
        <w:jc w:val="both"/>
      </w:pPr>
      <w:r>
        <w:t xml:space="preserve">(в ред. </w:t>
      </w:r>
      <w:hyperlink r:id="rId737">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Применение неизвлекаемых гофрированных полиэтиленовых каналообразователей допускается только при технико-экономическом обосновании.</w:t>
      </w:r>
    </w:p>
    <w:p w:rsidR="00212513" w:rsidRDefault="00212513">
      <w:pPr>
        <w:pStyle w:val="ConsPlusNormal"/>
        <w:spacing w:before="220"/>
        <w:ind w:firstLine="540"/>
        <w:jc w:val="both"/>
      </w:pPr>
      <w:r>
        <w:t>Для прикрепления к железобетонным конструкциям эксплуатационных элементов и изделий допускается применение серийно выпускаемых стальных анкеров, установка которых осуществляется в пробуриваемые отверстия с закреплением их специальными химическими клеевыми составами.</w:t>
      </w:r>
    </w:p>
    <w:p w:rsidR="00212513" w:rsidRDefault="00212513">
      <w:pPr>
        <w:pStyle w:val="ConsPlusNormal"/>
        <w:jc w:val="both"/>
      </w:pPr>
      <w:r>
        <w:t xml:space="preserve">(абзац введен </w:t>
      </w:r>
      <w:hyperlink r:id="rId738">
        <w:r>
          <w:rPr>
            <w:color w:val="0000FF"/>
          </w:rPr>
          <w:t>Изменением N 4</w:t>
        </w:r>
      </w:hyperlink>
      <w:r>
        <w:t>, утв. Приказом Минстроя России от 30.05.2024 N 361/пр)</w:t>
      </w:r>
    </w:p>
    <w:p w:rsidR="00212513" w:rsidRDefault="00212513">
      <w:pPr>
        <w:pStyle w:val="ConsPlusNormal"/>
        <w:ind w:firstLine="540"/>
        <w:jc w:val="both"/>
      </w:pPr>
    </w:p>
    <w:p w:rsidR="00212513" w:rsidRDefault="00212513">
      <w:pPr>
        <w:pStyle w:val="ConsPlusTitle"/>
        <w:ind w:firstLine="540"/>
        <w:jc w:val="both"/>
        <w:outlineLvl w:val="2"/>
      </w:pPr>
      <w:r>
        <w:t>Композитная полимерная арматура</w:t>
      </w:r>
    </w:p>
    <w:p w:rsidR="00212513" w:rsidRDefault="00212513">
      <w:pPr>
        <w:pStyle w:val="ConsPlusNormal"/>
        <w:jc w:val="both"/>
      </w:pPr>
      <w:r>
        <w:t xml:space="preserve">(подраздел введен </w:t>
      </w:r>
      <w:hyperlink r:id="rId739">
        <w:r>
          <w:rPr>
            <w:color w:val="0000FF"/>
          </w:rPr>
          <w:t>Изменением N 2</w:t>
        </w:r>
      </w:hyperlink>
      <w:r>
        <w:t>, утв. Приказом Минстроя России от 11.11.2019 N 681/пр)</w:t>
      </w:r>
    </w:p>
    <w:p w:rsidR="00212513" w:rsidRDefault="00212513">
      <w:pPr>
        <w:pStyle w:val="ConsPlusNormal"/>
        <w:jc w:val="center"/>
      </w:pPr>
    </w:p>
    <w:p w:rsidR="00212513" w:rsidRDefault="00212513">
      <w:pPr>
        <w:pStyle w:val="ConsPlusNormal"/>
        <w:ind w:firstLine="540"/>
        <w:jc w:val="both"/>
      </w:pPr>
      <w:r>
        <w:t xml:space="preserve">7.36а Допускается применять композитную полимерную арматуру по </w:t>
      </w:r>
      <w:hyperlink r:id="rId740">
        <w:r>
          <w:rPr>
            <w:color w:val="0000FF"/>
          </w:rPr>
          <w:t>ГОСТ 31938</w:t>
        </w:r>
      </w:hyperlink>
      <w:r>
        <w:t xml:space="preserve"> в соответствии с указаниями </w:t>
      </w:r>
      <w:hyperlink r:id="rId741">
        <w:r>
          <w:rPr>
            <w:color w:val="0000FF"/>
          </w:rPr>
          <w:t>СП 295.1325800</w:t>
        </w:r>
      </w:hyperlink>
      <w:r>
        <w:t xml:space="preserve"> и требованиями </w:t>
      </w:r>
      <w:hyperlink w:anchor="P5063">
        <w:r>
          <w:rPr>
            <w:color w:val="0000FF"/>
          </w:rPr>
          <w:t>7.95</w:t>
        </w:r>
      </w:hyperlink>
      <w:r>
        <w:t xml:space="preserve"> - </w:t>
      </w:r>
      <w:hyperlink w:anchor="P5398">
        <w:r>
          <w:rPr>
            <w:color w:val="0000FF"/>
          </w:rPr>
          <w:t>7.115</w:t>
        </w:r>
      </w:hyperlink>
      <w:r>
        <w:t xml:space="preserve"> по трещиностойкости и деформативности в следующих бетонных и железобетонных конструкциях: оголовки водопропускных труб; мостовые ограждения; плиты мощения откосов.</w:t>
      </w:r>
    </w:p>
    <w:p w:rsidR="00212513" w:rsidRDefault="00212513">
      <w:pPr>
        <w:pStyle w:val="ConsPlusNormal"/>
        <w:spacing w:before="220"/>
        <w:ind w:firstLine="540"/>
        <w:jc w:val="both"/>
      </w:pPr>
      <w:r>
        <w:t>7.36б Нормативные значения прочностных и деформационных характеристик композитной полимерной арматуры следует принимать с обеспеченностью не менее 0,98.</w:t>
      </w:r>
    </w:p>
    <w:p w:rsidR="00212513" w:rsidRDefault="00212513">
      <w:pPr>
        <w:pStyle w:val="ConsPlusNormal"/>
        <w:ind w:firstLine="540"/>
        <w:jc w:val="both"/>
      </w:pPr>
    </w:p>
    <w:p w:rsidR="00212513" w:rsidRDefault="00212513">
      <w:pPr>
        <w:pStyle w:val="ConsPlusTitle"/>
        <w:ind w:firstLine="540"/>
        <w:jc w:val="both"/>
        <w:outlineLvl w:val="2"/>
      </w:pPr>
      <w:r>
        <w:t>Расчетные характеристики стальной арматуры</w:t>
      </w:r>
    </w:p>
    <w:p w:rsidR="00212513" w:rsidRDefault="00212513">
      <w:pPr>
        <w:pStyle w:val="ConsPlusNormal"/>
        <w:ind w:firstLine="540"/>
        <w:jc w:val="both"/>
      </w:pPr>
    </w:p>
    <w:p w:rsidR="00212513" w:rsidRDefault="00212513">
      <w:pPr>
        <w:pStyle w:val="ConsPlusNormal"/>
        <w:ind w:firstLine="540"/>
        <w:jc w:val="both"/>
      </w:pPr>
      <w:bookmarkStart w:id="135" w:name="P3259"/>
      <w:bookmarkEnd w:id="135"/>
      <w:r>
        <w:t>7.37 Нормативные значения прочности арматуры гарантируют с обеспеченностью не менее 0,95, нормативные значения деформационных характеристик принимают равными их средним значениям.</w:t>
      </w:r>
    </w:p>
    <w:p w:rsidR="00212513" w:rsidRDefault="00212513">
      <w:pPr>
        <w:pStyle w:val="ConsPlusNormal"/>
        <w:spacing w:before="220"/>
        <w:ind w:firstLine="540"/>
        <w:jc w:val="both"/>
      </w:pPr>
      <w:r>
        <w:t xml:space="preserve">Основной прочностной характеристикой стержневой арматуры при растяжении (сжатии) является нормативное значение сопротивления </w:t>
      </w:r>
      <w:r>
        <w:rPr>
          <w:noProof/>
          <w:position w:val="-8"/>
        </w:rPr>
        <w:drawing>
          <wp:inline distT="0" distB="0" distL="0" distR="0">
            <wp:extent cx="251460" cy="251460"/>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равное значениям физического предела текучести или условного, соответствующего остаточному удлинению, равному 0,2%.</w:t>
      </w:r>
    </w:p>
    <w:p w:rsidR="00212513" w:rsidRDefault="00212513">
      <w:pPr>
        <w:pStyle w:val="ConsPlusNormal"/>
        <w:spacing w:before="220"/>
        <w:ind w:firstLine="540"/>
        <w:jc w:val="both"/>
      </w:pPr>
      <w:r>
        <w:t xml:space="preserve">Для гладкой проволочной арматуры класса В по </w:t>
      </w:r>
      <w:hyperlink r:id="rId743">
        <w:r>
          <w:rPr>
            <w:color w:val="0000FF"/>
          </w:rPr>
          <w:t>ГОСТ 7348</w:t>
        </w:r>
      </w:hyperlink>
      <w:r>
        <w:t xml:space="preserve"> и арматурных канатов К7 по </w:t>
      </w:r>
      <w:hyperlink r:id="rId744">
        <w:r>
          <w:rPr>
            <w:color w:val="0000FF"/>
          </w:rPr>
          <w:t>ГОСТ 13840</w:t>
        </w:r>
      </w:hyperlink>
      <w:r>
        <w:t xml:space="preserve"> в качестве нормативного значения сопротивления принимаются напряжения, соответствующие 0,95 условного предела текучести; для проволоки периодического профиля класса Вр по </w:t>
      </w:r>
      <w:hyperlink r:id="rId745">
        <w:r>
          <w:rPr>
            <w:color w:val="0000FF"/>
          </w:rPr>
          <w:t>ГОСТ 7348</w:t>
        </w:r>
      </w:hyperlink>
      <w:r>
        <w:t xml:space="preserve"> - 0,9 условного предела текучести.</w:t>
      </w:r>
    </w:p>
    <w:p w:rsidR="00212513" w:rsidRDefault="00212513">
      <w:pPr>
        <w:pStyle w:val="ConsPlusNormal"/>
        <w:spacing w:before="220"/>
        <w:ind w:firstLine="540"/>
        <w:jc w:val="both"/>
      </w:pPr>
      <w:r>
        <w:t>Указанные характеристики определяют по действующим стандартам на арматурные стали.</w:t>
      </w:r>
    </w:p>
    <w:p w:rsidR="00212513" w:rsidRDefault="00212513">
      <w:pPr>
        <w:pStyle w:val="ConsPlusNormal"/>
        <w:spacing w:before="220"/>
        <w:ind w:firstLine="540"/>
        <w:jc w:val="both"/>
      </w:pPr>
      <w:r>
        <w:t>Расчетные прочностные характеристики арматуры на растяжение (расчетные сопротивления) определяют делением нормативных значений на соответствующий коэффициент надежности по материалу (устанавливаемый в зависимости от вида и класса арматуры, группы предельных состояний) и умножением на коэффициент условий работы по назначению.</w:t>
      </w:r>
    </w:p>
    <w:p w:rsidR="00212513" w:rsidRDefault="00212513">
      <w:pPr>
        <w:pStyle w:val="ConsPlusNormal"/>
        <w:spacing w:before="220"/>
        <w:ind w:firstLine="540"/>
        <w:jc w:val="both"/>
      </w:pPr>
      <w:r>
        <w:t>Для предельных состояний первой группы коэффициенты надежности по материалу приведены в таблице 7.15; коэффициенты условий работы по назначению принимают равными: для железнодорожных мостов - 0,90, для автодорожных мостов - 0,95. Для предельных состояний второй группы коэффициенты надежности по материалу и коэффициенты условий работы принимают равными 1,0.</w:t>
      </w:r>
    </w:p>
    <w:p w:rsidR="00212513" w:rsidRDefault="00212513">
      <w:pPr>
        <w:pStyle w:val="ConsPlusNormal"/>
        <w:ind w:firstLine="540"/>
        <w:jc w:val="both"/>
      </w:pPr>
    </w:p>
    <w:p w:rsidR="00212513" w:rsidRDefault="00212513">
      <w:pPr>
        <w:pStyle w:val="ConsPlusNormal"/>
        <w:jc w:val="right"/>
      </w:pPr>
      <w:r>
        <w:t>Таблица 7.15</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96"/>
        <w:gridCol w:w="3175"/>
      </w:tblGrid>
      <w:tr w:rsidR="00212513">
        <w:tc>
          <w:tcPr>
            <w:tcW w:w="5896" w:type="dxa"/>
            <w:tcBorders>
              <w:top w:val="single" w:sz="4" w:space="0" w:color="auto"/>
              <w:bottom w:val="single" w:sz="4" w:space="0" w:color="auto"/>
            </w:tcBorders>
            <w:vAlign w:val="center"/>
          </w:tcPr>
          <w:p w:rsidR="00212513" w:rsidRDefault="00212513">
            <w:pPr>
              <w:pStyle w:val="ConsPlusNormal"/>
              <w:jc w:val="center"/>
            </w:pPr>
            <w:r>
              <w:t>Вид, класс и диаметр арматуры</w:t>
            </w:r>
          </w:p>
        </w:tc>
        <w:tc>
          <w:tcPr>
            <w:tcW w:w="3175" w:type="dxa"/>
            <w:tcBorders>
              <w:top w:val="single" w:sz="4" w:space="0" w:color="auto"/>
              <w:bottom w:val="single" w:sz="4" w:space="0" w:color="auto"/>
            </w:tcBorders>
            <w:vAlign w:val="center"/>
          </w:tcPr>
          <w:p w:rsidR="00212513" w:rsidRDefault="00212513">
            <w:pPr>
              <w:pStyle w:val="ConsPlusNormal"/>
              <w:jc w:val="center"/>
            </w:pPr>
            <w:r>
              <w:t>Коэффициент надежности по материалу при расчете по предельным состояниям первой группы</w:t>
            </w:r>
          </w:p>
        </w:tc>
      </w:tr>
      <w:tr w:rsidR="00212513">
        <w:tblPrEx>
          <w:tblBorders>
            <w:insideH w:val="none" w:sz="0" w:space="0" w:color="auto"/>
          </w:tblBorders>
        </w:tblPrEx>
        <w:tc>
          <w:tcPr>
            <w:tcW w:w="5896" w:type="dxa"/>
            <w:tcBorders>
              <w:top w:val="single" w:sz="4" w:space="0" w:color="auto"/>
              <w:bottom w:val="nil"/>
            </w:tcBorders>
          </w:tcPr>
          <w:p w:rsidR="00212513" w:rsidRDefault="00212513">
            <w:pPr>
              <w:pStyle w:val="ConsPlusNormal"/>
            </w:pPr>
            <w:r>
              <w:t>1 Ненапрягаемая стержневая:</w:t>
            </w:r>
          </w:p>
        </w:tc>
        <w:tc>
          <w:tcPr>
            <w:tcW w:w="3175" w:type="dxa"/>
            <w:tcBorders>
              <w:top w:val="single" w:sz="4" w:space="0" w:color="auto"/>
              <w:bottom w:val="nil"/>
            </w:tcBorders>
          </w:tcPr>
          <w:p w:rsidR="00212513" w:rsidRDefault="00212513">
            <w:pPr>
              <w:pStyle w:val="ConsPlusNormal"/>
              <w:jc w:val="both"/>
            </w:pPr>
          </w:p>
        </w:tc>
      </w:tr>
      <w:tr w:rsidR="00212513">
        <w:tblPrEx>
          <w:tblBorders>
            <w:insideH w:val="none" w:sz="0" w:space="0" w:color="auto"/>
          </w:tblBorders>
        </w:tblPrEx>
        <w:tc>
          <w:tcPr>
            <w:tcW w:w="5896" w:type="dxa"/>
            <w:tcBorders>
              <w:top w:val="nil"/>
              <w:bottom w:val="nil"/>
            </w:tcBorders>
          </w:tcPr>
          <w:p w:rsidR="00212513" w:rsidRDefault="00212513">
            <w:pPr>
              <w:pStyle w:val="ConsPlusNormal"/>
              <w:ind w:left="566"/>
            </w:pPr>
            <w:r>
              <w:t>А240; А300</w:t>
            </w:r>
          </w:p>
        </w:tc>
        <w:tc>
          <w:tcPr>
            <w:tcW w:w="3175" w:type="dxa"/>
            <w:tcBorders>
              <w:top w:val="nil"/>
              <w:bottom w:val="nil"/>
            </w:tcBorders>
          </w:tcPr>
          <w:p w:rsidR="00212513" w:rsidRDefault="00212513">
            <w:pPr>
              <w:pStyle w:val="ConsPlusNormal"/>
              <w:jc w:val="center"/>
            </w:pPr>
            <w:r>
              <w:t>1,05</w:t>
            </w:r>
          </w:p>
        </w:tc>
      </w:tr>
      <w:tr w:rsidR="00212513">
        <w:tblPrEx>
          <w:tblBorders>
            <w:insideH w:val="none" w:sz="0" w:space="0" w:color="auto"/>
          </w:tblBorders>
        </w:tblPrEx>
        <w:tc>
          <w:tcPr>
            <w:tcW w:w="5896" w:type="dxa"/>
            <w:tcBorders>
              <w:top w:val="nil"/>
              <w:bottom w:val="nil"/>
            </w:tcBorders>
          </w:tcPr>
          <w:p w:rsidR="00212513" w:rsidRDefault="00212513">
            <w:pPr>
              <w:pStyle w:val="ConsPlusNormal"/>
              <w:ind w:left="566"/>
            </w:pPr>
            <w:r>
              <w:t>Ас300; А400, диаметр 10 - 40 мм</w:t>
            </w:r>
          </w:p>
        </w:tc>
        <w:tc>
          <w:tcPr>
            <w:tcW w:w="3175" w:type="dxa"/>
            <w:tcBorders>
              <w:top w:val="nil"/>
              <w:bottom w:val="nil"/>
            </w:tcBorders>
          </w:tcPr>
          <w:p w:rsidR="00212513" w:rsidRDefault="00212513">
            <w:pPr>
              <w:pStyle w:val="ConsPlusNormal"/>
              <w:jc w:val="center"/>
            </w:pPr>
            <w:r>
              <w:t>1,07</w:t>
            </w:r>
          </w:p>
        </w:tc>
      </w:tr>
      <w:tr w:rsidR="00212513">
        <w:tblPrEx>
          <w:tblBorders>
            <w:insideH w:val="none" w:sz="0" w:space="0" w:color="auto"/>
          </w:tblBorders>
        </w:tblPrEx>
        <w:tc>
          <w:tcPr>
            <w:tcW w:w="5896" w:type="dxa"/>
            <w:tcBorders>
              <w:top w:val="nil"/>
              <w:bottom w:val="single" w:sz="4" w:space="0" w:color="auto"/>
            </w:tcBorders>
          </w:tcPr>
          <w:p w:rsidR="00212513" w:rsidRDefault="00212513">
            <w:pPr>
              <w:pStyle w:val="ConsPlusNormal"/>
              <w:ind w:left="566"/>
            </w:pPr>
            <w:r>
              <w:t>А400, диаметр 6 - 8 мм</w:t>
            </w:r>
          </w:p>
        </w:tc>
        <w:tc>
          <w:tcPr>
            <w:tcW w:w="3175" w:type="dxa"/>
            <w:tcBorders>
              <w:top w:val="nil"/>
              <w:bottom w:val="single" w:sz="4" w:space="0" w:color="auto"/>
            </w:tcBorders>
          </w:tcPr>
          <w:p w:rsidR="00212513" w:rsidRDefault="00212513">
            <w:pPr>
              <w:pStyle w:val="ConsPlusNormal"/>
              <w:jc w:val="center"/>
            </w:pPr>
            <w:r>
              <w:t>1,10</w:t>
            </w:r>
          </w:p>
        </w:tc>
      </w:tr>
      <w:tr w:rsidR="00212513">
        <w:tblPrEx>
          <w:tblBorders>
            <w:insideH w:val="none" w:sz="0" w:space="0" w:color="auto"/>
          </w:tblBorders>
        </w:tblPrEx>
        <w:tc>
          <w:tcPr>
            <w:tcW w:w="5896" w:type="dxa"/>
            <w:tcBorders>
              <w:top w:val="single" w:sz="4" w:space="0" w:color="auto"/>
              <w:bottom w:val="nil"/>
            </w:tcBorders>
          </w:tcPr>
          <w:p w:rsidR="00212513" w:rsidRDefault="00212513">
            <w:pPr>
              <w:pStyle w:val="ConsPlusNormal"/>
            </w:pPr>
            <w:r>
              <w:t>2 Напрягаемая стержневая:</w:t>
            </w:r>
          </w:p>
        </w:tc>
        <w:tc>
          <w:tcPr>
            <w:tcW w:w="3175" w:type="dxa"/>
            <w:tcBorders>
              <w:top w:val="single" w:sz="4" w:space="0" w:color="auto"/>
              <w:bottom w:val="nil"/>
            </w:tcBorders>
          </w:tcPr>
          <w:p w:rsidR="00212513" w:rsidRDefault="00212513">
            <w:pPr>
              <w:pStyle w:val="ConsPlusNormal"/>
              <w:jc w:val="both"/>
            </w:pPr>
          </w:p>
        </w:tc>
      </w:tr>
      <w:tr w:rsidR="00212513">
        <w:tblPrEx>
          <w:tblBorders>
            <w:insideH w:val="none" w:sz="0" w:space="0" w:color="auto"/>
          </w:tblBorders>
        </w:tblPrEx>
        <w:tc>
          <w:tcPr>
            <w:tcW w:w="5896" w:type="dxa"/>
            <w:tcBorders>
              <w:top w:val="nil"/>
              <w:bottom w:val="nil"/>
            </w:tcBorders>
          </w:tcPr>
          <w:p w:rsidR="00212513" w:rsidRDefault="00212513">
            <w:pPr>
              <w:pStyle w:val="ConsPlusNormal"/>
              <w:ind w:left="283"/>
            </w:pPr>
            <w:r>
              <w:t>горячекатаная:</w:t>
            </w:r>
          </w:p>
        </w:tc>
        <w:tc>
          <w:tcPr>
            <w:tcW w:w="3175"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5896" w:type="dxa"/>
            <w:tcBorders>
              <w:top w:val="nil"/>
              <w:bottom w:val="nil"/>
            </w:tcBorders>
          </w:tcPr>
          <w:p w:rsidR="00212513" w:rsidRDefault="00212513">
            <w:pPr>
              <w:pStyle w:val="ConsPlusNormal"/>
              <w:ind w:left="566"/>
            </w:pPr>
            <w:r>
              <w:t>А600</w:t>
            </w:r>
          </w:p>
        </w:tc>
        <w:tc>
          <w:tcPr>
            <w:tcW w:w="3175" w:type="dxa"/>
            <w:tcBorders>
              <w:top w:val="nil"/>
              <w:bottom w:val="nil"/>
            </w:tcBorders>
          </w:tcPr>
          <w:p w:rsidR="00212513" w:rsidRDefault="00212513">
            <w:pPr>
              <w:pStyle w:val="ConsPlusNormal"/>
              <w:jc w:val="center"/>
            </w:pPr>
            <w:r>
              <w:t>1,20</w:t>
            </w:r>
          </w:p>
        </w:tc>
      </w:tr>
      <w:tr w:rsidR="00212513">
        <w:tblPrEx>
          <w:tblBorders>
            <w:insideH w:val="none" w:sz="0" w:space="0" w:color="auto"/>
          </w:tblBorders>
        </w:tblPrEx>
        <w:tc>
          <w:tcPr>
            <w:tcW w:w="5896" w:type="dxa"/>
            <w:tcBorders>
              <w:top w:val="nil"/>
              <w:bottom w:val="nil"/>
            </w:tcBorders>
          </w:tcPr>
          <w:p w:rsidR="00212513" w:rsidRDefault="00212513">
            <w:pPr>
              <w:pStyle w:val="ConsPlusNormal"/>
              <w:ind w:left="566"/>
            </w:pPr>
            <w:r>
              <w:t>А800</w:t>
            </w:r>
          </w:p>
        </w:tc>
        <w:tc>
          <w:tcPr>
            <w:tcW w:w="3175" w:type="dxa"/>
            <w:tcBorders>
              <w:top w:val="nil"/>
              <w:bottom w:val="nil"/>
            </w:tcBorders>
          </w:tcPr>
          <w:p w:rsidR="00212513" w:rsidRDefault="00212513">
            <w:pPr>
              <w:pStyle w:val="ConsPlusNormal"/>
              <w:jc w:val="center"/>
            </w:pPr>
            <w:r>
              <w:t>1,25</w:t>
            </w:r>
          </w:p>
        </w:tc>
      </w:tr>
      <w:tr w:rsidR="00212513">
        <w:tblPrEx>
          <w:tblBorders>
            <w:insideH w:val="none" w:sz="0" w:space="0" w:color="auto"/>
          </w:tblBorders>
        </w:tblPrEx>
        <w:tc>
          <w:tcPr>
            <w:tcW w:w="5896" w:type="dxa"/>
            <w:tcBorders>
              <w:top w:val="nil"/>
              <w:bottom w:val="nil"/>
            </w:tcBorders>
          </w:tcPr>
          <w:p w:rsidR="00212513" w:rsidRDefault="00212513">
            <w:pPr>
              <w:pStyle w:val="ConsPlusNormal"/>
              <w:ind w:left="283"/>
            </w:pPr>
            <w:r>
              <w:t>термически упрочненная:</w:t>
            </w:r>
          </w:p>
        </w:tc>
        <w:tc>
          <w:tcPr>
            <w:tcW w:w="3175"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5896" w:type="dxa"/>
            <w:tcBorders>
              <w:top w:val="nil"/>
              <w:bottom w:val="nil"/>
            </w:tcBorders>
          </w:tcPr>
          <w:p w:rsidR="00212513" w:rsidRDefault="00212513">
            <w:pPr>
              <w:pStyle w:val="ConsPlusNormal"/>
              <w:ind w:left="566"/>
            </w:pPr>
            <w:r>
              <w:t>Ат800, диаметр 10 - 14 мм</w:t>
            </w:r>
          </w:p>
        </w:tc>
        <w:tc>
          <w:tcPr>
            <w:tcW w:w="3175" w:type="dxa"/>
            <w:tcBorders>
              <w:top w:val="nil"/>
              <w:bottom w:val="nil"/>
            </w:tcBorders>
          </w:tcPr>
          <w:p w:rsidR="00212513" w:rsidRDefault="00212513">
            <w:pPr>
              <w:pStyle w:val="ConsPlusNormal"/>
              <w:jc w:val="center"/>
            </w:pPr>
            <w:r>
              <w:t>1,15</w:t>
            </w:r>
          </w:p>
        </w:tc>
      </w:tr>
      <w:tr w:rsidR="00212513">
        <w:tblPrEx>
          <w:tblBorders>
            <w:insideH w:val="none" w:sz="0" w:space="0" w:color="auto"/>
          </w:tblBorders>
        </w:tblPrEx>
        <w:tc>
          <w:tcPr>
            <w:tcW w:w="5896" w:type="dxa"/>
            <w:tcBorders>
              <w:top w:val="nil"/>
              <w:bottom w:val="nil"/>
            </w:tcBorders>
          </w:tcPr>
          <w:p w:rsidR="00212513" w:rsidRDefault="00212513">
            <w:pPr>
              <w:pStyle w:val="ConsPlusNormal"/>
              <w:ind w:left="1415"/>
            </w:pPr>
            <w:r>
              <w:t>диаметр 16 - 28 мм</w:t>
            </w:r>
          </w:p>
        </w:tc>
        <w:tc>
          <w:tcPr>
            <w:tcW w:w="3175" w:type="dxa"/>
            <w:tcBorders>
              <w:top w:val="nil"/>
              <w:bottom w:val="nil"/>
            </w:tcBorders>
          </w:tcPr>
          <w:p w:rsidR="00212513" w:rsidRDefault="00212513">
            <w:pPr>
              <w:pStyle w:val="ConsPlusNormal"/>
              <w:jc w:val="center"/>
            </w:pPr>
            <w:r>
              <w:t>1,25</w:t>
            </w:r>
          </w:p>
        </w:tc>
      </w:tr>
      <w:tr w:rsidR="00212513">
        <w:tblPrEx>
          <w:tblBorders>
            <w:insideH w:val="none" w:sz="0" w:space="0" w:color="auto"/>
          </w:tblBorders>
        </w:tblPrEx>
        <w:tc>
          <w:tcPr>
            <w:tcW w:w="5896" w:type="dxa"/>
            <w:tcBorders>
              <w:top w:val="nil"/>
              <w:bottom w:val="nil"/>
            </w:tcBorders>
          </w:tcPr>
          <w:p w:rsidR="00212513" w:rsidRDefault="00212513">
            <w:pPr>
              <w:pStyle w:val="ConsPlusNormal"/>
              <w:ind w:left="566"/>
            </w:pPr>
            <w:r>
              <w:lastRenderedPageBreak/>
              <w:t>Ат1000, диаметр 10 - 14 мм</w:t>
            </w:r>
          </w:p>
        </w:tc>
        <w:tc>
          <w:tcPr>
            <w:tcW w:w="3175" w:type="dxa"/>
            <w:tcBorders>
              <w:top w:val="nil"/>
              <w:bottom w:val="nil"/>
            </w:tcBorders>
          </w:tcPr>
          <w:p w:rsidR="00212513" w:rsidRDefault="00212513">
            <w:pPr>
              <w:pStyle w:val="ConsPlusNormal"/>
              <w:jc w:val="center"/>
            </w:pPr>
            <w:r>
              <w:t>1,20</w:t>
            </w:r>
          </w:p>
        </w:tc>
      </w:tr>
      <w:tr w:rsidR="00212513">
        <w:tblPrEx>
          <w:tblBorders>
            <w:insideH w:val="none" w:sz="0" w:space="0" w:color="auto"/>
          </w:tblBorders>
        </w:tblPrEx>
        <w:tc>
          <w:tcPr>
            <w:tcW w:w="5896" w:type="dxa"/>
            <w:tcBorders>
              <w:top w:val="nil"/>
              <w:bottom w:val="single" w:sz="4" w:space="0" w:color="auto"/>
            </w:tcBorders>
          </w:tcPr>
          <w:p w:rsidR="00212513" w:rsidRDefault="00212513">
            <w:pPr>
              <w:pStyle w:val="ConsPlusNormal"/>
              <w:ind w:left="1415"/>
            </w:pPr>
            <w:r>
              <w:t>диаметр 16 мм</w:t>
            </w:r>
          </w:p>
        </w:tc>
        <w:tc>
          <w:tcPr>
            <w:tcW w:w="3175" w:type="dxa"/>
            <w:tcBorders>
              <w:top w:val="nil"/>
              <w:bottom w:val="single" w:sz="4" w:space="0" w:color="auto"/>
            </w:tcBorders>
          </w:tcPr>
          <w:p w:rsidR="00212513" w:rsidRDefault="00212513">
            <w:pPr>
              <w:pStyle w:val="ConsPlusNormal"/>
              <w:jc w:val="center"/>
            </w:pPr>
            <w:r>
              <w:t>1,25</w:t>
            </w:r>
          </w:p>
        </w:tc>
      </w:tr>
      <w:tr w:rsidR="00212513">
        <w:tc>
          <w:tcPr>
            <w:tcW w:w="5896" w:type="dxa"/>
            <w:tcBorders>
              <w:top w:val="single" w:sz="4" w:space="0" w:color="auto"/>
              <w:bottom w:val="single" w:sz="4" w:space="0" w:color="auto"/>
            </w:tcBorders>
          </w:tcPr>
          <w:p w:rsidR="00212513" w:rsidRDefault="00212513">
            <w:pPr>
              <w:pStyle w:val="ConsPlusNormal"/>
            </w:pPr>
            <w:r>
              <w:t>3 Напрягаемая проволочная гладкая В и периодического профиля Вр</w:t>
            </w:r>
          </w:p>
        </w:tc>
        <w:tc>
          <w:tcPr>
            <w:tcW w:w="3175" w:type="dxa"/>
            <w:tcBorders>
              <w:top w:val="single" w:sz="4" w:space="0" w:color="auto"/>
              <w:bottom w:val="single" w:sz="4" w:space="0" w:color="auto"/>
            </w:tcBorders>
          </w:tcPr>
          <w:p w:rsidR="00212513" w:rsidRDefault="00212513">
            <w:pPr>
              <w:pStyle w:val="ConsPlusNormal"/>
              <w:jc w:val="center"/>
            </w:pPr>
            <w:r>
              <w:t>1,20</w:t>
            </w:r>
          </w:p>
        </w:tc>
      </w:tr>
      <w:tr w:rsidR="00212513">
        <w:tc>
          <w:tcPr>
            <w:tcW w:w="5896" w:type="dxa"/>
            <w:tcBorders>
              <w:top w:val="single" w:sz="4" w:space="0" w:color="auto"/>
              <w:bottom w:val="single" w:sz="4" w:space="0" w:color="auto"/>
            </w:tcBorders>
          </w:tcPr>
          <w:p w:rsidR="00212513" w:rsidRDefault="00212513">
            <w:pPr>
              <w:pStyle w:val="ConsPlusNormal"/>
            </w:pPr>
            <w:r>
              <w:t>4 Арматурные канаты К7</w:t>
            </w:r>
          </w:p>
        </w:tc>
        <w:tc>
          <w:tcPr>
            <w:tcW w:w="3175" w:type="dxa"/>
            <w:tcBorders>
              <w:top w:val="single" w:sz="4" w:space="0" w:color="auto"/>
              <w:bottom w:val="single" w:sz="4" w:space="0" w:color="auto"/>
            </w:tcBorders>
          </w:tcPr>
          <w:p w:rsidR="00212513" w:rsidRDefault="00212513">
            <w:pPr>
              <w:pStyle w:val="ConsPlusNormal"/>
              <w:jc w:val="center"/>
            </w:pPr>
            <w:r>
              <w:t>1,20</w:t>
            </w:r>
          </w:p>
        </w:tc>
      </w:tr>
      <w:tr w:rsidR="00212513">
        <w:tc>
          <w:tcPr>
            <w:tcW w:w="5896" w:type="dxa"/>
            <w:tcBorders>
              <w:top w:val="single" w:sz="4" w:space="0" w:color="auto"/>
              <w:bottom w:val="single" w:sz="4" w:space="0" w:color="auto"/>
            </w:tcBorders>
          </w:tcPr>
          <w:p w:rsidR="00212513" w:rsidRDefault="00212513">
            <w:pPr>
              <w:pStyle w:val="ConsPlusNormal"/>
            </w:pPr>
            <w:r>
              <w:t>5 Стальные канаты со спиральной или двойной свивкой и закрытые</w:t>
            </w:r>
          </w:p>
        </w:tc>
        <w:tc>
          <w:tcPr>
            <w:tcW w:w="3175" w:type="dxa"/>
            <w:tcBorders>
              <w:top w:val="single" w:sz="4" w:space="0" w:color="auto"/>
              <w:bottom w:val="single" w:sz="4" w:space="0" w:color="auto"/>
            </w:tcBorders>
          </w:tcPr>
          <w:p w:rsidR="00212513" w:rsidRDefault="00212513">
            <w:pPr>
              <w:pStyle w:val="ConsPlusNormal"/>
              <w:jc w:val="center"/>
            </w:pPr>
            <w:r>
              <w:t>1,25</w:t>
            </w:r>
          </w:p>
        </w:tc>
      </w:tr>
    </w:tbl>
    <w:p w:rsidR="00212513" w:rsidRDefault="00212513">
      <w:pPr>
        <w:pStyle w:val="ConsPlusNormal"/>
        <w:ind w:firstLine="540"/>
        <w:jc w:val="both"/>
      </w:pPr>
    </w:p>
    <w:p w:rsidR="00212513" w:rsidRDefault="00212513">
      <w:pPr>
        <w:pStyle w:val="ConsPlusNormal"/>
        <w:ind w:firstLine="540"/>
        <w:jc w:val="both"/>
      </w:pPr>
      <w:r>
        <w:t>Расчетные сопротивления растяжению арматурных сталей следует принимать по таблице 7.16.</w:t>
      </w:r>
    </w:p>
    <w:p w:rsidR="00212513" w:rsidRDefault="00212513">
      <w:pPr>
        <w:pStyle w:val="ConsPlusNormal"/>
        <w:ind w:firstLine="540"/>
        <w:jc w:val="both"/>
      </w:pPr>
    </w:p>
    <w:p w:rsidR="00212513" w:rsidRDefault="00212513">
      <w:pPr>
        <w:pStyle w:val="ConsPlusNormal"/>
        <w:jc w:val="right"/>
      </w:pPr>
      <w:bookmarkStart w:id="136" w:name="P3305"/>
      <w:bookmarkEnd w:id="136"/>
      <w:r>
        <w:t>Таблица 7.16</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5"/>
        <w:gridCol w:w="1587"/>
        <w:gridCol w:w="2211"/>
        <w:gridCol w:w="2268"/>
      </w:tblGrid>
      <w:tr w:rsidR="00212513">
        <w:tc>
          <w:tcPr>
            <w:tcW w:w="3005" w:type="dxa"/>
            <w:vMerge w:val="restart"/>
            <w:tcBorders>
              <w:top w:val="single" w:sz="4" w:space="0" w:color="auto"/>
              <w:bottom w:val="single" w:sz="4" w:space="0" w:color="auto"/>
            </w:tcBorders>
            <w:vAlign w:val="center"/>
          </w:tcPr>
          <w:p w:rsidR="00212513" w:rsidRDefault="00212513">
            <w:pPr>
              <w:pStyle w:val="ConsPlusNormal"/>
              <w:jc w:val="center"/>
            </w:pPr>
            <w:r>
              <w:t>Класс арматурной стали</w:t>
            </w:r>
          </w:p>
        </w:tc>
        <w:tc>
          <w:tcPr>
            <w:tcW w:w="1587" w:type="dxa"/>
            <w:vMerge w:val="restart"/>
            <w:tcBorders>
              <w:top w:val="single" w:sz="4" w:space="0" w:color="auto"/>
              <w:bottom w:val="single" w:sz="4" w:space="0" w:color="auto"/>
            </w:tcBorders>
            <w:vAlign w:val="center"/>
          </w:tcPr>
          <w:p w:rsidR="00212513" w:rsidRDefault="00212513">
            <w:pPr>
              <w:pStyle w:val="ConsPlusNormal"/>
              <w:jc w:val="center"/>
            </w:pPr>
            <w:r>
              <w:t>Диаметр, мм</w:t>
            </w:r>
          </w:p>
        </w:tc>
        <w:tc>
          <w:tcPr>
            <w:tcW w:w="4479" w:type="dxa"/>
            <w:gridSpan w:val="2"/>
            <w:tcBorders>
              <w:top w:val="single" w:sz="4" w:space="0" w:color="auto"/>
              <w:bottom w:val="single" w:sz="4" w:space="0" w:color="auto"/>
            </w:tcBorders>
            <w:vAlign w:val="center"/>
          </w:tcPr>
          <w:p w:rsidR="00212513" w:rsidRDefault="00212513">
            <w:pPr>
              <w:pStyle w:val="ConsPlusNormal"/>
              <w:jc w:val="center"/>
            </w:pPr>
            <w:r>
              <w:t xml:space="preserve">Расчетные сопротивления растяжению при расчетах по предельным состояниям первой группы </w:t>
            </w:r>
            <w:r>
              <w:rPr>
                <w:i/>
              </w:rPr>
              <w:t>R</w:t>
            </w:r>
            <w:r>
              <w:rPr>
                <w:i/>
                <w:vertAlign w:val="subscript"/>
              </w:rPr>
              <w:t>s</w:t>
            </w:r>
            <w:r>
              <w:t xml:space="preserve"> и </w:t>
            </w:r>
            <w:r>
              <w:rPr>
                <w:i/>
              </w:rPr>
              <w:t>R</w:t>
            </w:r>
            <w:r>
              <w:rPr>
                <w:i/>
                <w:vertAlign w:val="subscript"/>
              </w:rPr>
              <w:t>p</w:t>
            </w:r>
            <w:r>
              <w:t>, МПа, для мостов и труб</w:t>
            </w:r>
          </w:p>
        </w:tc>
      </w:tr>
      <w:tr w:rsidR="00212513">
        <w:tc>
          <w:tcPr>
            <w:tcW w:w="3005" w:type="dxa"/>
            <w:vMerge/>
            <w:tcBorders>
              <w:top w:val="single" w:sz="4" w:space="0" w:color="auto"/>
              <w:bottom w:val="single" w:sz="4" w:space="0" w:color="auto"/>
            </w:tcBorders>
          </w:tcPr>
          <w:p w:rsidR="00212513" w:rsidRDefault="00212513">
            <w:pPr>
              <w:pStyle w:val="ConsPlusNormal"/>
            </w:pPr>
          </w:p>
        </w:tc>
        <w:tc>
          <w:tcPr>
            <w:tcW w:w="1587" w:type="dxa"/>
            <w:vMerge/>
            <w:tcBorders>
              <w:top w:val="single" w:sz="4" w:space="0" w:color="auto"/>
              <w:bottom w:val="single" w:sz="4" w:space="0" w:color="auto"/>
            </w:tcBorders>
          </w:tcPr>
          <w:p w:rsidR="00212513" w:rsidRDefault="00212513">
            <w:pPr>
              <w:pStyle w:val="ConsPlusNormal"/>
            </w:pPr>
          </w:p>
        </w:tc>
        <w:tc>
          <w:tcPr>
            <w:tcW w:w="2211" w:type="dxa"/>
            <w:tcBorders>
              <w:top w:val="single" w:sz="4" w:space="0" w:color="auto"/>
              <w:bottom w:val="single" w:sz="4" w:space="0" w:color="auto"/>
            </w:tcBorders>
            <w:vAlign w:val="center"/>
          </w:tcPr>
          <w:p w:rsidR="00212513" w:rsidRDefault="00212513">
            <w:pPr>
              <w:pStyle w:val="ConsPlusNormal"/>
              <w:jc w:val="center"/>
            </w:pPr>
            <w:r>
              <w:t>железнодорожных</w:t>
            </w:r>
          </w:p>
        </w:tc>
        <w:tc>
          <w:tcPr>
            <w:tcW w:w="2268" w:type="dxa"/>
            <w:tcBorders>
              <w:top w:val="single" w:sz="4" w:space="0" w:color="auto"/>
              <w:bottom w:val="single" w:sz="4" w:space="0" w:color="auto"/>
            </w:tcBorders>
            <w:vAlign w:val="center"/>
          </w:tcPr>
          <w:p w:rsidR="00212513" w:rsidRDefault="00212513">
            <w:pPr>
              <w:pStyle w:val="ConsPlusNormal"/>
              <w:jc w:val="center"/>
            </w:pPr>
            <w:r>
              <w:t>автодорожных и городских</w:t>
            </w:r>
          </w:p>
        </w:tc>
      </w:tr>
      <w:tr w:rsidR="00212513">
        <w:tblPrEx>
          <w:tblBorders>
            <w:insideH w:val="none" w:sz="0" w:space="0" w:color="auto"/>
          </w:tblBorders>
        </w:tblPrEx>
        <w:tc>
          <w:tcPr>
            <w:tcW w:w="3005" w:type="dxa"/>
            <w:tcBorders>
              <w:top w:val="single" w:sz="4" w:space="0" w:color="auto"/>
              <w:bottom w:val="nil"/>
            </w:tcBorders>
          </w:tcPr>
          <w:p w:rsidR="00212513" w:rsidRDefault="00212513">
            <w:pPr>
              <w:pStyle w:val="ConsPlusNormal"/>
            </w:pPr>
            <w:r>
              <w:t>1 Ненапрягаемая стержневая:</w:t>
            </w:r>
          </w:p>
        </w:tc>
        <w:tc>
          <w:tcPr>
            <w:tcW w:w="1587" w:type="dxa"/>
            <w:tcBorders>
              <w:top w:val="single" w:sz="4" w:space="0" w:color="auto"/>
              <w:bottom w:val="nil"/>
            </w:tcBorders>
          </w:tcPr>
          <w:p w:rsidR="00212513" w:rsidRDefault="00212513">
            <w:pPr>
              <w:pStyle w:val="ConsPlusNormal"/>
              <w:jc w:val="both"/>
            </w:pPr>
          </w:p>
        </w:tc>
        <w:tc>
          <w:tcPr>
            <w:tcW w:w="2211" w:type="dxa"/>
            <w:tcBorders>
              <w:top w:val="single" w:sz="4" w:space="0" w:color="auto"/>
              <w:bottom w:val="nil"/>
            </w:tcBorders>
          </w:tcPr>
          <w:p w:rsidR="00212513" w:rsidRDefault="00212513">
            <w:pPr>
              <w:pStyle w:val="ConsPlusNormal"/>
              <w:jc w:val="both"/>
            </w:pPr>
          </w:p>
        </w:tc>
        <w:tc>
          <w:tcPr>
            <w:tcW w:w="2268" w:type="dxa"/>
            <w:tcBorders>
              <w:top w:val="single" w:sz="4" w:space="0" w:color="auto"/>
              <w:bottom w:val="nil"/>
            </w:tcBorders>
          </w:tcPr>
          <w:p w:rsidR="00212513" w:rsidRDefault="00212513">
            <w:pPr>
              <w:pStyle w:val="ConsPlusNormal"/>
              <w:jc w:val="both"/>
            </w:pPr>
          </w:p>
        </w:tc>
      </w:tr>
      <w:tr w:rsidR="00212513">
        <w:tblPrEx>
          <w:tblBorders>
            <w:insideH w:val="none" w:sz="0" w:space="0" w:color="auto"/>
          </w:tblBorders>
        </w:tblPrEx>
        <w:tc>
          <w:tcPr>
            <w:tcW w:w="3005" w:type="dxa"/>
            <w:tcBorders>
              <w:top w:val="nil"/>
              <w:bottom w:val="nil"/>
            </w:tcBorders>
          </w:tcPr>
          <w:p w:rsidR="00212513" w:rsidRDefault="00212513">
            <w:pPr>
              <w:pStyle w:val="ConsPlusNormal"/>
              <w:ind w:left="283"/>
            </w:pPr>
            <w:r>
              <w:t>а) гладкая А240</w:t>
            </w:r>
          </w:p>
        </w:tc>
        <w:tc>
          <w:tcPr>
            <w:tcW w:w="1587" w:type="dxa"/>
            <w:tcBorders>
              <w:top w:val="nil"/>
              <w:bottom w:val="single" w:sz="4" w:space="0" w:color="auto"/>
            </w:tcBorders>
          </w:tcPr>
          <w:p w:rsidR="00212513" w:rsidRDefault="00212513">
            <w:pPr>
              <w:pStyle w:val="ConsPlusNormal"/>
              <w:jc w:val="center"/>
            </w:pPr>
            <w:r>
              <w:t>6 - 40</w:t>
            </w:r>
          </w:p>
        </w:tc>
        <w:tc>
          <w:tcPr>
            <w:tcW w:w="2211" w:type="dxa"/>
            <w:tcBorders>
              <w:top w:val="nil"/>
              <w:bottom w:val="single" w:sz="4" w:space="0" w:color="auto"/>
            </w:tcBorders>
          </w:tcPr>
          <w:p w:rsidR="00212513" w:rsidRDefault="00212513">
            <w:pPr>
              <w:pStyle w:val="ConsPlusNormal"/>
              <w:jc w:val="center"/>
            </w:pPr>
            <w:r>
              <w:t>200</w:t>
            </w:r>
          </w:p>
        </w:tc>
        <w:tc>
          <w:tcPr>
            <w:tcW w:w="2268" w:type="dxa"/>
            <w:tcBorders>
              <w:top w:val="nil"/>
              <w:bottom w:val="single" w:sz="4" w:space="0" w:color="auto"/>
            </w:tcBorders>
          </w:tcPr>
          <w:p w:rsidR="00212513" w:rsidRDefault="00212513">
            <w:pPr>
              <w:pStyle w:val="ConsPlusNormal"/>
              <w:jc w:val="center"/>
            </w:pPr>
            <w:r>
              <w:t>210</w:t>
            </w:r>
          </w:p>
        </w:tc>
      </w:tr>
      <w:tr w:rsidR="00212513">
        <w:tblPrEx>
          <w:tblBorders>
            <w:insideH w:val="none" w:sz="0" w:space="0" w:color="auto"/>
          </w:tblBorders>
        </w:tblPrEx>
        <w:tc>
          <w:tcPr>
            <w:tcW w:w="3005" w:type="dxa"/>
            <w:tcBorders>
              <w:top w:val="nil"/>
              <w:bottom w:val="nil"/>
            </w:tcBorders>
          </w:tcPr>
          <w:p w:rsidR="00212513" w:rsidRDefault="00212513">
            <w:pPr>
              <w:pStyle w:val="ConsPlusNormal"/>
              <w:ind w:left="283"/>
            </w:pPr>
            <w:r>
              <w:t>б) периодического профиля:</w:t>
            </w:r>
          </w:p>
        </w:tc>
        <w:tc>
          <w:tcPr>
            <w:tcW w:w="1587" w:type="dxa"/>
            <w:tcBorders>
              <w:top w:val="single" w:sz="4" w:space="0" w:color="auto"/>
              <w:bottom w:val="nil"/>
            </w:tcBorders>
          </w:tcPr>
          <w:p w:rsidR="00212513" w:rsidRDefault="00212513">
            <w:pPr>
              <w:pStyle w:val="ConsPlusNormal"/>
              <w:jc w:val="both"/>
            </w:pPr>
          </w:p>
        </w:tc>
        <w:tc>
          <w:tcPr>
            <w:tcW w:w="2211" w:type="dxa"/>
            <w:tcBorders>
              <w:top w:val="single" w:sz="4" w:space="0" w:color="auto"/>
              <w:bottom w:val="nil"/>
            </w:tcBorders>
          </w:tcPr>
          <w:p w:rsidR="00212513" w:rsidRDefault="00212513">
            <w:pPr>
              <w:pStyle w:val="ConsPlusNormal"/>
              <w:jc w:val="both"/>
            </w:pPr>
          </w:p>
        </w:tc>
        <w:tc>
          <w:tcPr>
            <w:tcW w:w="2268" w:type="dxa"/>
            <w:tcBorders>
              <w:top w:val="single" w:sz="4" w:space="0" w:color="auto"/>
              <w:bottom w:val="nil"/>
            </w:tcBorders>
          </w:tcPr>
          <w:p w:rsidR="00212513" w:rsidRDefault="00212513">
            <w:pPr>
              <w:pStyle w:val="ConsPlusNormal"/>
              <w:jc w:val="both"/>
            </w:pPr>
          </w:p>
        </w:tc>
      </w:tr>
      <w:tr w:rsidR="00212513">
        <w:tblPrEx>
          <w:tblBorders>
            <w:insideH w:val="none" w:sz="0" w:space="0" w:color="auto"/>
          </w:tblBorders>
        </w:tblPrEx>
        <w:tc>
          <w:tcPr>
            <w:tcW w:w="3005" w:type="dxa"/>
            <w:tcBorders>
              <w:top w:val="nil"/>
              <w:bottom w:val="nil"/>
            </w:tcBorders>
          </w:tcPr>
          <w:p w:rsidR="00212513" w:rsidRDefault="00212513">
            <w:pPr>
              <w:pStyle w:val="ConsPlusNormal"/>
              <w:ind w:left="566"/>
            </w:pPr>
            <w:r>
              <w:t>А300</w:t>
            </w:r>
          </w:p>
        </w:tc>
        <w:tc>
          <w:tcPr>
            <w:tcW w:w="1587" w:type="dxa"/>
            <w:tcBorders>
              <w:top w:val="nil"/>
              <w:bottom w:val="nil"/>
            </w:tcBorders>
          </w:tcPr>
          <w:p w:rsidR="00212513" w:rsidRDefault="00212513">
            <w:pPr>
              <w:pStyle w:val="ConsPlusNormal"/>
              <w:jc w:val="center"/>
            </w:pPr>
            <w:r>
              <w:t>10 - 40</w:t>
            </w:r>
          </w:p>
        </w:tc>
        <w:tc>
          <w:tcPr>
            <w:tcW w:w="2211" w:type="dxa"/>
            <w:tcBorders>
              <w:top w:val="nil"/>
              <w:bottom w:val="nil"/>
            </w:tcBorders>
          </w:tcPr>
          <w:p w:rsidR="00212513" w:rsidRDefault="00212513">
            <w:pPr>
              <w:pStyle w:val="ConsPlusNormal"/>
              <w:jc w:val="center"/>
            </w:pPr>
            <w:r>
              <w:t>250</w:t>
            </w:r>
          </w:p>
        </w:tc>
        <w:tc>
          <w:tcPr>
            <w:tcW w:w="2268" w:type="dxa"/>
            <w:tcBorders>
              <w:top w:val="nil"/>
              <w:bottom w:val="nil"/>
            </w:tcBorders>
          </w:tcPr>
          <w:p w:rsidR="00212513" w:rsidRDefault="00212513">
            <w:pPr>
              <w:pStyle w:val="ConsPlusNormal"/>
              <w:jc w:val="center"/>
            </w:pPr>
            <w:r>
              <w:t>265</w:t>
            </w:r>
          </w:p>
        </w:tc>
      </w:tr>
      <w:tr w:rsidR="00212513">
        <w:tblPrEx>
          <w:tblBorders>
            <w:insideH w:val="none" w:sz="0" w:space="0" w:color="auto"/>
          </w:tblBorders>
        </w:tblPrEx>
        <w:tc>
          <w:tcPr>
            <w:tcW w:w="3005" w:type="dxa"/>
            <w:tcBorders>
              <w:top w:val="nil"/>
              <w:bottom w:val="nil"/>
            </w:tcBorders>
          </w:tcPr>
          <w:p w:rsidR="00212513" w:rsidRDefault="00212513">
            <w:pPr>
              <w:pStyle w:val="ConsPlusNormal"/>
              <w:ind w:left="566"/>
            </w:pPr>
            <w:r>
              <w:t>А400</w:t>
            </w:r>
          </w:p>
        </w:tc>
        <w:tc>
          <w:tcPr>
            <w:tcW w:w="1587" w:type="dxa"/>
            <w:tcBorders>
              <w:top w:val="nil"/>
              <w:bottom w:val="nil"/>
            </w:tcBorders>
          </w:tcPr>
          <w:p w:rsidR="00212513" w:rsidRDefault="00212513">
            <w:pPr>
              <w:pStyle w:val="ConsPlusNormal"/>
              <w:jc w:val="center"/>
            </w:pPr>
            <w:r>
              <w:t>6 и 8</w:t>
            </w:r>
          </w:p>
        </w:tc>
        <w:tc>
          <w:tcPr>
            <w:tcW w:w="2211" w:type="dxa"/>
            <w:tcBorders>
              <w:top w:val="nil"/>
              <w:bottom w:val="nil"/>
            </w:tcBorders>
          </w:tcPr>
          <w:p w:rsidR="00212513" w:rsidRDefault="00212513">
            <w:pPr>
              <w:pStyle w:val="ConsPlusNormal"/>
              <w:jc w:val="center"/>
            </w:pPr>
            <w:r>
              <w:t>320</w:t>
            </w:r>
          </w:p>
        </w:tc>
        <w:tc>
          <w:tcPr>
            <w:tcW w:w="2268" w:type="dxa"/>
            <w:tcBorders>
              <w:top w:val="nil"/>
              <w:bottom w:val="nil"/>
            </w:tcBorders>
          </w:tcPr>
          <w:p w:rsidR="00212513" w:rsidRDefault="00212513">
            <w:pPr>
              <w:pStyle w:val="ConsPlusNormal"/>
              <w:jc w:val="center"/>
            </w:pPr>
            <w:r>
              <w:t>340</w:t>
            </w:r>
          </w:p>
        </w:tc>
      </w:tr>
      <w:tr w:rsidR="00212513">
        <w:tblPrEx>
          <w:tblBorders>
            <w:insideH w:val="none" w:sz="0" w:space="0" w:color="auto"/>
          </w:tblBorders>
        </w:tblPrEx>
        <w:tc>
          <w:tcPr>
            <w:tcW w:w="3005" w:type="dxa"/>
            <w:tcBorders>
              <w:top w:val="nil"/>
              <w:bottom w:val="single" w:sz="4" w:space="0" w:color="auto"/>
            </w:tcBorders>
          </w:tcPr>
          <w:p w:rsidR="00212513" w:rsidRDefault="00212513">
            <w:pPr>
              <w:pStyle w:val="ConsPlusNormal"/>
            </w:pPr>
          </w:p>
        </w:tc>
        <w:tc>
          <w:tcPr>
            <w:tcW w:w="1587" w:type="dxa"/>
            <w:tcBorders>
              <w:top w:val="nil"/>
              <w:bottom w:val="single" w:sz="4" w:space="0" w:color="auto"/>
            </w:tcBorders>
          </w:tcPr>
          <w:p w:rsidR="00212513" w:rsidRDefault="00212513">
            <w:pPr>
              <w:pStyle w:val="ConsPlusNormal"/>
              <w:jc w:val="center"/>
            </w:pPr>
            <w:r>
              <w:t>10 - 40</w:t>
            </w:r>
          </w:p>
        </w:tc>
        <w:tc>
          <w:tcPr>
            <w:tcW w:w="2211" w:type="dxa"/>
            <w:tcBorders>
              <w:top w:val="nil"/>
              <w:bottom w:val="single" w:sz="4" w:space="0" w:color="auto"/>
            </w:tcBorders>
          </w:tcPr>
          <w:p w:rsidR="00212513" w:rsidRDefault="00212513">
            <w:pPr>
              <w:pStyle w:val="ConsPlusNormal"/>
              <w:jc w:val="center"/>
            </w:pPr>
            <w:r>
              <w:t>330</w:t>
            </w:r>
          </w:p>
        </w:tc>
        <w:tc>
          <w:tcPr>
            <w:tcW w:w="2268" w:type="dxa"/>
            <w:tcBorders>
              <w:top w:val="nil"/>
              <w:bottom w:val="single" w:sz="4" w:space="0" w:color="auto"/>
            </w:tcBorders>
          </w:tcPr>
          <w:p w:rsidR="00212513" w:rsidRDefault="00212513">
            <w:pPr>
              <w:pStyle w:val="ConsPlusNormal"/>
              <w:jc w:val="center"/>
            </w:pPr>
            <w:r>
              <w:t>350</w:t>
            </w:r>
          </w:p>
        </w:tc>
      </w:tr>
      <w:tr w:rsidR="00212513">
        <w:tblPrEx>
          <w:tblBorders>
            <w:insideH w:val="none" w:sz="0" w:space="0" w:color="auto"/>
          </w:tblBorders>
        </w:tblPrEx>
        <w:tc>
          <w:tcPr>
            <w:tcW w:w="3005" w:type="dxa"/>
            <w:tcBorders>
              <w:top w:val="single" w:sz="4" w:space="0" w:color="auto"/>
              <w:bottom w:val="nil"/>
            </w:tcBorders>
          </w:tcPr>
          <w:p w:rsidR="00212513" w:rsidRDefault="00212513">
            <w:pPr>
              <w:pStyle w:val="ConsPlusNormal"/>
            </w:pPr>
            <w:r>
              <w:t>2 Напрягаемая стержневая:</w:t>
            </w:r>
          </w:p>
        </w:tc>
        <w:tc>
          <w:tcPr>
            <w:tcW w:w="1587" w:type="dxa"/>
            <w:tcBorders>
              <w:top w:val="single" w:sz="4" w:space="0" w:color="auto"/>
              <w:bottom w:val="nil"/>
            </w:tcBorders>
          </w:tcPr>
          <w:p w:rsidR="00212513" w:rsidRDefault="00212513">
            <w:pPr>
              <w:pStyle w:val="ConsPlusNormal"/>
              <w:jc w:val="both"/>
            </w:pPr>
          </w:p>
        </w:tc>
        <w:tc>
          <w:tcPr>
            <w:tcW w:w="2211" w:type="dxa"/>
            <w:tcBorders>
              <w:top w:val="single" w:sz="4" w:space="0" w:color="auto"/>
              <w:bottom w:val="nil"/>
            </w:tcBorders>
          </w:tcPr>
          <w:p w:rsidR="00212513" w:rsidRDefault="00212513">
            <w:pPr>
              <w:pStyle w:val="ConsPlusNormal"/>
              <w:jc w:val="both"/>
            </w:pPr>
          </w:p>
        </w:tc>
        <w:tc>
          <w:tcPr>
            <w:tcW w:w="2268" w:type="dxa"/>
            <w:tcBorders>
              <w:top w:val="single" w:sz="4" w:space="0" w:color="auto"/>
              <w:bottom w:val="nil"/>
            </w:tcBorders>
          </w:tcPr>
          <w:p w:rsidR="00212513" w:rsidRDefault="00212513">
            <w:pPr>
              <w:pStyle w:val="ConsPlusNormal"/>
              <w:jc w:val="both"/>
            </w:pPr>
          </w:p>
        </w:tc>
      </w:tr>
      <w:tr w:rsidR="00212513">
        <w:tblPrEx>
          <w:tblBorders>
            <w:insideH w:val="none" w:sz="0" w:space="0" w:color="auto"/>
          </w:tblBorders>
        </w:tblPrEx>
        <w:tc>
          <w:tcPr>
            <w:tcW w:w="3005" w:type="dxa"/>
            <w:tcBorders>
              <w:top w:val="nil"/>
              <w:bottom w:val="nil"/>
            </w:tcBorders>
          </w:tcPr>
          <w:p w:rsidR="00212513" w:rsidRDefault="00212513">
            <w:pPr>
              <w:pStyle w:val="ConsPlusNormal"/>
              <w:ind w:left="283"/>
            </w:pPr>
            <w:r>
              <w:t>а) горячекатаная:</w:t>
            </w:r>
          </w:p>
        </w:tc>
        <w:tc>
          <w:tcPr>
            <w:tcW w:w="1587" w:type="dxa"/>
            <w:tcBorders>
              <w:top w:val="nil"/>
              <w:bottom w:val="nil"/>
            </w:tcBorders>
          </w:tcPr>
          <w:p w:rsidR="00212513" w:rsidRDefault="00212513">
            <w:pPr>
              <w:pStyle w:val="ConsPlusNormal"/>
              <w:jc w:val="both"/>
            </w:pPr>
          </w:p>
        </w:tc>
        <w:tc>
          <w:tcPr>
            <w:tcW w:w="2211" w:type="dxa"/>
            <w:tcBorders>
              <w:top w:val="nil"/>
              <w:bottom w:val="nil"/>
            </w:tcBorders>
          </w:tcPr>
          <w:p w:rsidR="00212513" w:rsidRDefault="00212513">
            <w:pPr>
              <w:pStyle w:val="ConsPlusNormal"/>
              <w:jc w:val="both"/>
            </w:pPr>
          </w:p>
        </w:tc>
        <w:tc>
          <w:tcPr>
            <w:tcW w:w="2268"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3005" w:type="dxa"/>
            <w:tcBorders>
              <w:top w:val="nil"/>
              <w:bottom w:val="nil"/>
            </w:tcBorders>
          </w:tcPr>
          <w:p w:rsidR="00212513" w:rsidRDefault="00212513">
            <w:pPr>
              <w:pStyle w:val="ConsPlusNormal"/>
              <w:ind w:left="566"/>
            </w:pPr>
            <w:r>
              <w:t xml:space="preserve">А600 </w:t>
            </w:r>
            <w:hyperlink w:anchor="P3471">
              <w:r>
                <w:rPr>
                  <w:color w:val="0000FF"/>
                </w:rPr>
                <w:t>&lt;*&gt;</w:t>
              </w:r>
            </w:hyperlink>
          </w:p>
        </w:tc>
        <w:tc>
          <w:tcPr>
            <w:tcW w:w="1587" w:type="dxa"/>
            <w:tcBorders>
              <w:top w:val="nil"/>
              <w:bottom w:val="nil"/>
            </w:tcBorders>
          </w:tcPr>
          <w:p w:rsidR="00212513" w:rsidRDefault="00212513">
            <w:pPr>
              <w:pStyle w:val="ConsPlusNormal"/>
              <w:jc w:val="center"/>
            </w:pPr>
            <w:r>
              <w:t>10 - 32</w:t>
            </w:r>
          </w:p>
        </w:tc>
        <w:tc>
          <w:tcPr>
            <w:tcW w:w="2211" w:type="dxa"/>
            <w:tcBorders>
              <w:top w:val="nil"/>
              <w:bottom w:val="nil"/>
            </w:tcBorders>
          </w:tcPr>
          <w:p w:rsidR="00212513" w:rsidRDefault="00212513">
            <w:pPr>
              <w:pStyle w:val="ConsPlusNormal"/>
              <w:jc w:val="center"/>
            </w:pPr>
            <w:r>
              <w:t>435</w:t>
            </w:r>
          </w:p>
        </w:tc>
        <w:tc>
          <w:tcPr>
            <w:tcW w:w="2268" w:type="dxa"/>
            <w:tcBorders>
              <w:top w:val="nil"/>
              <w:bottom w:val="nil"/>
            </w:tcBorders>
          </w:tcPr>
          <w:p w:rsidR="00212513" w:rsidRDefault="00212513">
            <w:pPr>
              <w:pStyle w:val="ConsPlusNormal"/>
              <w:jc w:val="center"/>
            </w:pPr>
            <w:r>
              <w:t>465</w:t>
            </w:r>
          </w:p>
        </w:tc>
      </w:tr>
      <w:tr w:rsidR="00212513">
        <w:tblPrEx>
          <w:tblBorders>
            <w:insideH w:val="none" w:sz="0" w:space="0" w:color="auto"/>
          </w:tblBorders>
        </w:tblPrEx>
        <w:tc>
          <w:tcPr>
            <w:tcW w:w="3005" w:type="dxa"/>
            <w:tcBorders>
              <w:top w:val="nil"/>
              <w:bottom w:val="nil"/>
            </w:tcBorders>
          </w:tcPr>
          <w:p w:rsidR="00212513" w:rsidRDefault="00212513">
            <w:pPr>
              <w:pStyle w:val="ConsPlusNormal"/>
              <w:ind w:left="566"/>
            </w:pPr>
            <w:r>
              <w:t>А800</w:t>
            </w:r>
          </w:p>
        </w:tc>
        <w:tc>
          <w:tcPr>
            <w:tcW w:w="1587" w:type="dxa"/>
            <w:tcBorders>
              <w:top w:val="nil"/>
              <w:bottom w:val="single" w:sz="4" w:space="0" w:color="auto"/>
            </w:tcBorders>
          </w:tcPr>
          <w:p w:rsidR="00212513" w:rsidRDefault="00212513">
            <w:pPr>
              <w:pStyle w:val="ConsPlusNormal"/>
              <w:jc w:val="center"/>
            </w:pPr>
            <w:r>
              <w:t>10 - 32</w:t>
            </w:r>
          </w:p>
        </w:tc>
        <w:tc>
          <w:tcPr>
            <w:tcW w:w="2211" w:type="dxa"/>
            <w:tcBorders>
              <w:top w:val="nil"/>
              <w:bottom w:val="single" w:sz="4" w:space="0" w:color="auto"/>
            </w:tcBorders>
          </w:tcPr>
          <w:p w:rsidR="00212513" w:rsidRDefault="00212513">
            <w:pPr>
              <w:pStyle w:val="ConsPlusNormal"/>
              <w:jc w:val="center"/>
            </w:pPr>
            <w:r>
              <w:t>565</w:t>
            </w:r>
          </w:p>
        </w:tc>
        <w:tc>
          <w:tcPr>
            <w:tcW w:w="2268" w:type="dxa"/>
            <w:tcBorders>
              <w:top w:val="nil"/>
              <w:bottom w:val="single" w:sz="4" w:space="0" w:color="auto"/>
            </w:tcBorders>
          </w:tcPr>
          <w:p w:rsidR="00212513" w:rsidRDefault="00212513">
            <w:pPr>
              <w:pStyle w:val="ConsPlusNormal"/>
              <w:jc w:val="center"/>
            </w:pPr>
            <w:r>
              <w:t>600</w:t>
            </w:r>
          </w:p>
        </w:tc>
      </w:tr>
      <w:tr w:rsidR="00212513">
        <w:tblPrEx>
          <w:tblBorders>
            <w:insideH w:val="none" w:sz="0" w:space="0" w:color="auto"/>
          </w:tblBorders>
        </w:tblPrEx>
        <w:tc>
          <w:tcPr>
            <w:tcW w:w="3005" w:type="dxa"/>
            <w:tcBorders>
              <w:top w:val="nil"/>
              <w:bottom w:val="nil"/>
            </w:tcBorders>
          </w:tcPr>
          <w:p w:rsidR="00212513" w:rsidRDefault="00212513">
            <w:pPr>
              <w:pStyle w:val="ConsPlusNormal"/>
              <w:ind w:left="283"/>
            </w:pPr>
            <w:r>
              <w:t>б) термически упрочненная:</w:t>
            </w:r>
          </w:p>
        </w:tc>
        <w:tc>
          <w:tcPr>
            <w:tcW w:w="1587" w:type="dxa"/>
            <w:tcBorders>
              <w:top w:val="single" w:sz="4" w:space="0" w:color="auto"/>
              <w:bottom w:val="nil"/>
            </w:tcBorders>
          </w:tcPr>
          <w:p w:rsidR="00212513" w:rsidRDefault="00212513">
            <w:pPr>
              <w:pStyle w:val="ConsPlusNormal"/>
              <w:jc w:val="both"/>
            </w:pPr>
          </w:p>
        </w:tc>
        <w:tc>
          <w:tcPr>
            <w:tcW w:w="2211" w:type="dxa"/>
            <w:tcBorders>
              <w:top w:val="single" w:sz="4" w:space="0" w:color="auto"/>
              <w:bottom w:val="nil"/>
            </w:tcBorders>
          </w:tcPr>
          <w:p w:rsidR="00212513" w:rsidRDefault="00212513">
            <w:pPr>
              <w:pStyle w:val="ConsPlusNormal"/>
              <w:jc w:val="both"/>
            </w:pPr>
          </w:p>
        </w:tc>
        <w:tc>
          <w:tcPr>
            <w:tcW w:w="2268" w:type="dxa"/>
            <w:tcBorders>
              <w:top w:val="single" w:sz="4" w:space="0" w:color="auto"/>
              <w:bottom w:val="nil"/>
            </w:tcBorders>
          </w:tcPr>
          <w:p w:rsidR="00212513" w:rsidRDefault="00212513">
            <w:pPr>
              <w:pStyle w:val="ConsPlusNormal"/>
              <w:jc w:val="both"/>
            </w:pPr>
          </w:p>
        </w:tc>
      </w:tr>
      <w:tr w:rsidR="00212513">
        <w:tblPrEx>
          <w:tblBorders>
            <w:insideH w:val="none" w:sz="0" w:space="0" w:color="auto"/>
          </w:tblBorders>
        </w:tblPrEx>
        <w:tc>
          <w:tcPr>
            <w:tcW w:w="3005" w:type="dxa"/>
            <w:tcBorders>
              <w:top w:val="nil"/>
              <w:bottom w:val="nil"/>
            </w:tcBorders>
          </w:tcPr>
          <w:p w:rsidR="00212513" w:rsidRDefault="00212513">
            <w:pPr>
              <w:pStyle w:val="ConsPlusNormal"/>
              <w:ind w:left="566"/>
            </w:pPr>
            <w:r>
              <w:t>Ат600</w:t>
            </w:r>
          </w:p>
        </w:tc>
        <w:tc>
          <w:tcPr>
            <w:tcW w:w="1587" w:type="dxa"/>
            <w:tcBorders>
              <w:top w:val="nil"/>
              <w:bottom w:val="nil"/>
            </w:tcBorders>
          </w:tcPr>
          <w:p w:rsidR="00212513" w:rsidRDefault="00212513">
            <w:pPr>
              <w:pStyle w:val="ConsPlusNormal"/>
              <w:jc w:val="center"/>
            </w:pPr>
            <w:r>
              <w:t>10 - 28</w:t>
            </w:r>
          </w:p>
        </w:tc>
        <w:tc>
          <w:tcPr>
            <w:tcW w:w="2211" w:type="dxa"/>
            <w:tcBorders>
              <w:top w:val="nil"/>
              <w:bottom w:val="nil"/>
            </w:tcBorders>
          </w:tcPr>
          <w:p w:rsidR="00212513" w:rsidRDefault="00212513">
            <w:pPr>
              <w:pStyle w:val="ConsPlusNormal"/>
              <w:jc w:val="center"/>
            </w:pPr>
            <w:r>
              <w:t>-</w:t>
            </w:r>
          </w:p>
        </w:tc>
        <w:tc>
          <w:tcPr>
            <w:tcW w:w="2268" w:type="dxa"/>
            <w:tcBorders>
              <w:top w:val="nil"/>
              <w:bottom w:val="nil"/>
            </w:tcBorders>
          </w:tcPr>
          <w:p w:rsidR="00212513" w:rsidRDefault="00212513">
            <w:pPr>
              <w:pStyle w:val="ConsPlusNormal"/>
              <w:jc w:val="center"/>
            </w:pPr>
            <w:r>
              <w:t>465</w:t>
            </w:r>
          </w:p>
        </w:tc>
      </w:tr>
      <w:tr w:rsidR="00212513">
        <w:tblPrEx>
          <w:tblBorders>
            <w:insideH w:val="none" w:sz="0" w:space="0" w:color="auto"/>
          </w:tblBorders>
        </w:tblPrEx>
        <w:tc>
          <w:tcPr>
            <w:tcW w:w="3005" w:type="dxa"/>
            <w:tcBorders>
              <w:top w:val="nil"/>
              <w:bottom w:val="nil"/>
            </w:tcBorders>
          </w:tcPr>
          <w:p w:rsidR="00212513" w:rsidRDefault="00212513">
            <w:pPr>
              <w:pStyle w:val="ConsPlusNormal"/>
              <w:ind w:left="566"/>
            </w:pPr>
            <w:r>
              <w:t>Ат800</w:t>
            </w:r>
          </w:p>
        </w:tc>
        <w:tc>
          <w:tcPr>
            <w:tcW w:w="1587" w:type="dxa"/>
            <w:tcBorders>
              <w:top w:val="nil"/>
              <w:bottom w:val="nil"/>
            </w:tcBorders>
          </w:tcPr>
          <w:p w:rsidR="00212513" w:rsidRDefault="00212513">
            <w:pPr>
              <w:pStyle w:val="ConsPlusNormal"/>
              <w:jc w:val="center"/>
            </w:pPr>
            <w:r>
              <w:t>10 - 14</w:t>
            </w:r>
          </w:p>
        </w:tc>
        <w:tc>
          <w:tcPr>
            <w:tcW w:w="2211" w:type="dxa"/>
            <w:tcBorders>
              <w:top w:val="nil"/>
              <w:bottom w:val="nil"/>
            </w:tcBorders>
          </w:tcPr>
          <w:p w:rsidR="00212513" w:rsidRDefault="00212513">
            <w:pPr>
              <w:pStyle w:val="ConsPlusNormal"/>
              <w:jc w:val="center"/>
            </w:pPr>
            <w:r>
              <w:t>-</w:t>
            </w:r>
          </w:p>
        </w:tc>
        <w:tc>
          <w:tcPr>
            <w:tcW w:w="2268" w:type="dxa"/>
            <w:tcBorders>
              <w:top w:val="nil"/>
              <w:bottom w:val="nil"/>
            </w:tcBorders>
          </w:tcPr>
          <w:p w:rsidR="00212513" w:rsidRDefault="00212513">
            <w:pPr>
              <w:pStyle w:val="ConsPlusNormal"/>
              <w:jc w:val="center"/>
            </w:pPr>
            <w:r>
              <w:t>645</w:t>
            </w:r>
          </w:p>
        </w:tc>
      </w:tr>
      <w:tr w:rsidR="00212513">
        <w:tblPrEx>
          <w:tblBorders>
            <w:insideH w:val="none" w:sz="0" w:space="0" w:color="auto"/>
          </w:tblBorders>
        </w:tblPrEx>
        <w:tc>
          <w:tcPr>
            <w:tcW w:w="3005" w:type="dxa"/>
            <w:tcBorders>
              <w:top w:val="nil"/>
              <w:bottom w:val="nil"/>
            </w:tcBorders>
          </w:tcPr>
          <w:p w:rsidR="00212513" w:rsidRDefault="00212513">
            <w:pPr>
              <w:pStyle w:val="ConsPlusNormal"/>
              <w:ind w:left="566"/>
            </w:pPr>
          </w:p>
        </w:tc>
        <w:tc>
          <w:tcPr>
            <w:tcW w:w="1587" w:type="dxa"/>
            <w:tcBorders>
              <w:top w:val="nil"/>
              <w:bottom w:val="nil"/>
            </w:tcBorders>
          </w:tcPr>
          <w:p w:rsidR="00212513" w:rsidRDefault="00212513">
            <w:pPr>
              <w:pStyle w:val="ConsPlusNormal"/>
              <w:jc w:val="center"/>
            </w:pPr>
            <w:r>
              <w:t>16 - 28</w:t>
            </w:r>
          </w:p>
        </w:tc>
        <w:tc>
          <w:tcPr>
            <w:tcW w:w="2211" w:type="dxa"/>
            <w:tcBorders>
              <w:top w:val="nil"/>
              <w:bottom w:val="nil"/>
            </w:tcBorders>
          </w:tcPr>
          <w:p w:rsidR="00212513" w:rsidRDefault="00212513">
            <w:pPr>
              <w:pStyle w:val="ConsPlusNormal"/>
              <w:jc w:val="center"/>
            </w:pPr>
            <w:r>
              <w:t>-</w:t>
            </w:r>
          </w:p>
        </w:tc>
        <w:tc>
          <w:tcPr>
            <w:tcW w:w="2268" w:type="dxa"/>
            <w:tcBorders>
              <w:top w:val="nil"/>
              <w:bottom w:val="nil"/>
            </w:tcBorders>
          </w:tcPr>
          <w:p w:rsidR="00212513" w:rsidRDefault="00212513">
            <w:pPr>
              <w:pStyle w:val="ConsPlusNormal"/>
              <w:jc w:val="center"/>
            </w:pPr>
            <w:r>
              <w:t>600</w:t>
            </w:r>
          </w:p>
        </w:tc>
      </w:tr>
      <w:tr w:rsidR="00212513">
        <w:tblPrEx>
          <w:tblBorders>
            <w:insideH w:val="none" w:sz="0" w:space="0" w:color="auto"/>
          </w:tblBorders>
        </w:tblPrEx>
        <w:tc>
          <w:tcPr>
            <w:tcW w:w="3005" w:type="dxa"/>
            <w:tcBorders>
              <w:top w:val="nil"/>
              <w:bottom w:val="nil"/>
            </w:tcBorders>
          </w:tcPr>
          <w:p w:rsidR="00212513" w:rsidRDefault="00212513">
            <w:pPr>
              <w:pStyle w:val="ConsPlusNormal"/>
              <w:ind w:left="566"/>
            </w:pPr>
            <w:r>
              <w:t>Ат1000</w:t>
            </w:r>
          </w:p>
        </w:tc>
        <w:tc>
          <w:tcPr>
            <w:tcW w:w="1587" w:type="dxa"/>
            <w:tcBorders>
              <w:top w:val="nil"/>
              <w:bottom w:val="nil"/>
            </w:tcBorders>
          </w:tcPr>
          <w:p w:rsidR="00212513" w:rsidRDefault="00212513">
            <w:pPr>
              <w:pStyle w:val="ConsPlusNormal"/>
              <w:jc w:val="center"/>
            </w:pPr>
            <w:r>
              <w:t>10 - 14</w:t>
            </w:r>
          </w:p>
        </w:tc>
        <w:tc>
          <w:tcPr>
            <w:tcW w:w="2211" w:type="dxa"/>
            <w:tcBorders>
              <w:top w:val="nil"/>
              <w:bottom w:val="nil"/>
            </w:tcBorders>
          </w:tcPr>
          <w:p w:rsidR="00212513" w:rsidRDefault="00212513">
            <w:pPr>
              <w:pStyle w:val="ConsPlusNormal"/>
              <w:jc w:val="center"/>
            </w:pPr>
            <w:r>
              <w:t>-</w:t>
            </w:r>
          </w:p>
        </w:tc>
        <w:tc>
          <w:tcPr>
            <w:tcW w:w="2268" w:type="dxa"/>
            <w:tcBorders>
              <w:top w:val="nil"/>
              <w:bottom w:val="nil"/>
            </w:tcBorders>
          </w:tcPr>
          <w:p w:rsidR="00212513" w:rsidRDefault="00212513">
            <w:pPr>
              <w:pStyle w:val="ConsPlusNormal"/>
              <w:jc w:val="center"/>
            </w:pPr>
            <w:r>
              <w:t>775</w:t>
            </w:r>
          </w:p>
        </w:tc>
      </w:tr>
      <w:tr w:rsidR="00212513">
        <w:tblPrEx>
          <w:tblBorders>
            <w:insideH w:val="none" w:sz="0" w:space="0" w:color="auto"/>
          </w:tblBorders>
        </w:tblPrEx>
        <w:tc>
          <w:tcPr>
            <w:tcW w:w="3005" w:type="dxa"/>
            <w:tcBorders>
              <w:top w:val="nil"/>
              <w:bottom w:val="single" w:sz="4" w:space="0" w:color="auto"/>
            </w:tcBorders>
          </w:tcPr>
          <w:p w:rsidR="00212513" w:rsidRDefault="00212513">
            <w:pPr>
              <w:pStyle w:val="ConsPlusNormal"/>
              <w:ind w:left="566"/>
            </w:pPr>
          </w:p>
        </w:tc>
        <w:tc>
          <w:tcPr>
            <w:tcW w:w="1587" w:type="dxa"/>
            <w:tcBorders>
              <w:top w:val="nil"/>
              <w:bottom w:val="single" w:sz="4" w:space="0" w:color="auto"/>
            </w:tcBorders>
          </w:tcPr>
          <w:p w:rsidR="00212513" w:rsidRDefault="00212513">
            <w:pPr>
              <w:pStyle w:val="ConsPlusNormal"/>
              <w:jc w:val="center"/>
            </w:pPr>
            <w:r>
              <w:t>16</w:t>
            </w:r>
          </w:p>
        </w:tc>
        <w:tc>
          <w:tcPr>
            <w:tcW w:w="2211" w:type="dxa"/>
            <w:tcBorders>
              <w:top w:val="nil"/>
              <w:bottom w:val="single" w:sz="4" w:space="0" w:color="auto"/>
            </w:tcBorders>
          </w:tcPr>
          <w:p w:rsidR="00212513" w:rsidRDefault="00212513">
            <w:pPr>
              <w:pStyle w:val="ConsPlusNormal"/>
              <w:jc w:val="center"/>
            </w:pPr>
            <w:r>
              <w:t>-</w:t>
            </w:r>
          </w:p>
        </w:tc>
        <w:tc>
          <w:tcPr>
            <w:tcW w:w="2268" w:type="dxa"/>
            <w:tcBorders>
              <w:top w:val="nil"/>
              <w:bottom w:val="single" w:sz="4" w:space="0" w:color="auto"/>
            </w:tcBorders>
          </w:tcPr>
          <w:p w:rsidR="00212513" w:rsidRDefault="00212513">
            <w:pPr>
              <w:pStyle w:val="ConsPlusNormal"/>
              <w:jc w:val="center"/>
            </w:pPr>
            <w:r>
              <w:t>745</w:t>
            </w:r>
          </w:p>
        </w:tc>
      </w:tr>
      <w:tr w:rsidR="00212513">
        <w:tblPrEx>
          <w:tblBorders>
            <w:insideH w:val="none" w:sz="0" w:space="0" w:color="auto"/>
          </w:tblBorders>
        </w:tblPrEx>
        <w:tc>
          <w:tcPr>
            <w:tcW w:w="3005" w:type="dxa"/>
            <w:tcBorders>
              <w:top w:val="single" w:sz="4" w:space="0" w:color="auto"/>
              <w:bottom w:val="nil"/>
            </w:tcBorders>
          </w:tcPr>
          <w:p w:rsidR="00212513" w:rsidRDefault="00212513">
            <w:pPr>
              <w:pStyle w:val="ConsPlusNormal"/>
            </w:pPr>
            <w:r>
              <w:lastRenderedPageBreak/>
              <w:t>3 Высокопрочная проволока:</w:t>
            </w:r>
          </w:p>
        </w:tc>
        <w:tc>
          <w:tcPr>
            <w:tcW w:w="1587" w:type="dxa"/>
            <w:tcBorders>
              <w:top w:val="single" w:sz="4" w:space="0" w:color="auto"/>
              <w:bottom w:val="nil"/>
            </w:tcBorders>
          </w:tcPr>
          <w:p w:rsidR="00212513" w:rsidRDefault="00212513">
            <w:pPr>
              <w:pStyle w:val="ConsPlusNormal"/>
              <w:jc w:val="both"/>
            </w:pPr>
          </w:p>
        </w:tc>
        <w:tc>
          <w:tcPr>
            <w:tcW w:w="2211" w:type="dxa"/>
            <w:tcBorders>
              <w:top w:val="single" w:sz="4" w:space="0" w:color="auto"/>
              <w:bottom w:val="nil"/>
            </w:tcBorders>
          </w:tcPr>
          <w:p w:rsidR="00212513" w:rsidRDefault="00212513">
            <w:pPr>
              <w:pStyle w:val="ConsPlusNormal"/>
              <w:jc w:val="both"/>
            </w:pPr>
          </w:p>
        </w:tc>
        <w:tc>
          <w:tcPr>
            <w:tcW w:w="2268" w:type="dxa"/>
            <w:tcBorders>
              <w:top w:val="single" w:sz="4" w:space="0" w:color="auto"/>
              <w:bottom w:val="nil"/>
            </w:tcBorders>
          </w:tcPr>
          <w:p w:rsidR="00212513" w:rsidRDefault="00212513">
            <w:pPr>
              <w:pStyle w:val="ConsPlusNormal"/>
              <w:jc w:val="both"/>
            </w:pPr>
          </w:p>
        </w:tc>
      </w:tr>
      <w:tr w:rsidR="00212513">
        <w:tblPrEx>
          <w:tblBorders>
            <w:insideH w:val="none" w:sz="0" w:space="0" w:color="auto"/>
          </w:tblBorders>
        </w:tblPrEx>
        <w:tc>
          <w:tcPr>
            <w:tcW w:w="3005" w:type="dxa"/>
            <w:tcBorders>
              <w:top w:val="nil"/>
              <w:bottom w:val="nil"/>
            </w:tcBorders>
          </w:tcPr>
          <w:p w:rsidR="00212513" w:rsidRDefault="00212513">
            <w:pPr>
              <w:pStyle w:val="ConsPlusNormal"/>
              <w:ind w:left="283"/>
            </w:pPr>
            <w:r>
              <w:t>а) гладкая:</w:t>
            </w:r>
          </w:p>
        </w:tc>
        <w:tc>
          <w:tcPr>
            <w:tcW w:w="1587" w:type="dxa"/>
            <w:tcBorders>
              <w:top w:val="nil"/>
              <w:bottom w:val="nil"/>
            </w:tcBorders>
          </w:tcPr>
          <w:p w:rsidR="00212513" w:rsidRDefault="00212513">
            <w:pPr>
              <w:pStyle w:val="ConsPlusNormal"/>
              <w:jc w:val="both"/>
            </w:pPr>
          </w:p>
        </w:tc>
        <w:tc>
          <w:tcPr>
            <w:tcW w:w="2211" w:type="dxa"/>
            <w:tcBorders>
              <w:top w:val="nil"/>
              <w:bottom w:val="nil"/>
            </w:tcBorders>
          </w:tcPr>
          <w:p w:rsidR="00212513" w:rsidRDefault="00212513">
            <w:pPr>
              <w:pStyle w:val="ConsPlusNormal"/>
              <w:jc w:val="both"/>
            </w:pPr>
          </w:p>
        </w:tc>
        <w:tc>
          <w:tcPr>
            <w:tcW w:w="2268"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3005" w:type="dxa"/>
            <w:tcBorders>
              <w:top w:val="nil"/>
              <w:bottom w:val="nil"/>
            </w:tcBorders>
          </w:tcPr>
          <w:p w:rsidR="00212513" w:rsidRDefault="00212513">
            <w:pPr>
              <w:pStyle w:val="ConsPlusNormal"/>
              <w:ind w:left="566"/>
            </w:pPr>
            <w:r>
              <w:t>В1500</w:t>
            </w:r>
          </w:p>
        </w:tc>
        <w:tc>
          <w:tcPr>
            <w:tcW w:w="1587" w:type="dxa"/>
            <w:tcBorders>
              <w:top w:val="nil"/>
              <w:bottom w:val="nil"/>
            </w:tcBorders>
          </w:tcPr>
          <w:p w:rsidR="00212513" w:rsidRDefault="00212513">
            <w:pPr>
              <w:pStyle w:val="ConsPlusNormal"/>
              <w:jc w:val="center"/>
            </w:pPr>
            <w:r>
              <w:t>3</w:t>
            </w:r>
          </w:p>
        </w:tc>
        <w:tc>
          <w:tcPr>
            <w:tcW w:w="2211" w:type="dxa"/>
            <w:tcBorders>
              <w:top w:val="nil"/>
              <w:bottom w:val="nil"/>
            </w:tcBorders>
          </w:tcPr>
          <w:p w:rsidR="00212513" w:rsidRDefault="00212513">
            <w:pPr>
              <w:pStyle w:val="ConsPlusNormal"/>
              <w:jc w:val="center"/>
            </w:pPr>
            <w:r>
              <w:t>1120</w:t>
            </w:r>
          </w:p>
        </w:tc>
        <w:tc>
          <w:tcPr>
            <w:tcW w:w="2268" w:type="dxa"/>
            <w:tcBorders>
              <w:top w:val="nil"/>
              <w:bottom w:val="nil"/>
            </w:tcBorders>
          </w:tcPr>
          <w:p w:rsidR="00212513" w:rsidRDefault="00212513">
            <w:pPr>
              <w:pStyle w:val="ConsPlusNormal"/>
              <w:jc w:val="center"/>
            </w:pPr>
            <w:r>
              <w:t>1180</w:t>
            </w:r>
          </w:p>
        </w:tc>
      </w:tr>
      <w:tr w:rsidR="00212513">
        <w:tblPrEx>
          <w:tblBorders>
            <w:insideH w:val="none" w:sz="0" w:space="0" w:color="auto"/>
          </w:tblBorders>
        </w:tblPrEx>
        <w:tc>
          <w:tcPr>
            <w:tcW w:w="3005" w:type="dxa"/>
            <w:tcBorders>
              <w:top w:val="nil"/>
              <w:bottom w:val="nil"/>
            </w:tcBorders>
          </w:tcPr>
          <w:p w:rsidR="00212513" w:rsidRDefault="00212513">
            <w:pPr>
              <w:pStyle w:val="ConsPlusNormal"/>
              <w:ind w:left="566"/>
            </w:pPr>
            <w:r>
              <w:t>В1400</w:t>
            </w:r>
          </w:p>
        </w:tc>
        <w:tc>
          <w:tcPr>
            <w:tcW w:w="1587" w:type="dxa"/>
            <w:tcBorders>
              <w:top w:val="nil"/>
              <w:bottom w:val="nil"/>
            </w:tcBorders>
          </w:tcPr>
          <w:p w:rsidR="00212513" w:rsidRDefault="00212513">
            <w:pPr>
              <w:pStyle w:val="ConsPlusNormal"/>
              <w:jc w:val="center"/>
            </w:pPr>
            <w:r>
              <w:t>4</w:t>
            </w:r>
          </w:p>
        </w:tc>
        <w:tc>
          <w:tcPr>
            <w:tcW w:w="2211" w:type="dxa"/>
            <w:tcBorders>
              <w:top w:val="nil"/>
              <w:bottom w:val="nil"/>
            </w:tcBorders>
          </w:tcPr>
          <w:p w:rsidR="00212513" w:rsidRDefault="00212513">
            <w:pPr>
              <w:pStyle w:val="ConsPlusNormal"/>
              <w:jc w:val="center"/>
            </w:pPr>
            <w:r>
              <w:t>1060</w:t>
            </w:r>
          </w:p>
        </w:tc>
        <w:tc>
          <w:tcPr>
            <w:tcW w:w="2268" w:type="dxa"/>
            <w:tcBorders>
              <w:top w:val="nil"/>
              <w:bottom w:val="nil"/>
            </w:tcBorders>
          </w:tcPr>
          <w:p w:rsidR="00212513" w:rsidRDefault="00212513">
            <w:pPr>
              <w:pStyle w:val="ConsPlusNormal"/>
              <w:jc w:val="center"/>
            </w:pPr>
            <w:r>
              <w:t>1120</w:t>
            </w:r>
          </w:p>
        </w:tc>
      </w:tr>
      <w:tr w:rsidR="00212513">
        <w:tblPrEx>
          <w:tblBorders>
            <w:insideH w:val="none" w:sz="0" w:space="0" w:color="auto"/>
          </w:tblBorders>
        </w:tblPrEx>
        <w:tc>
          <w:tcPr>
            <w:tcW w:w="3005" w:type="dxa"/>
            <w:tcBorders>
              <w:top w:val="nil"/>
              <w:bottom w:val="nil"/>
            </w:tcBorders>
          </w:tcPr>
          <w:p w:rsidR="00212513" w:rsidRDefault="00212513">
            <w:pPr>
              <w:pStyle w:val="ConsPlusNormal"/>
              <w:ind w:left="566"/>
            </w:pPr>
            <w:r>
              <w:t>В1400</w:t>
            </w:r>
          </w:p>
        </w:tc>
        <w:tc>
          <w:tcPr>
            <w:tcW w:w="1587" w:type="dxa"/>
            <w:tcBorders>
              <w:top w:val="nil"/>
              <w:bottom w:val="nil"/>
            </w:tcBorders>
          </w:tcPr>
          <w:p w:rsidR="00212513" w:rsidRDefault="00212513">
            <w:pPr>
              <w:pStyle w:val="ConsPlusNormal"/>
              <w:jc w:val="center"/>
            </w:pPr>
            <w:r>
              <w:t>5</w:t>
            </w:r>
          </w:p>
        </w:tc>
        <w:tc>
          <w:tcPr>
            <w:tcW w:w="2211" w:type="dxa"/>
            <w:tcBorders>
              <w:top w:val="nil"/>
              <w:bottom w:val="nil"/>
            </w:tcBorders>
          </w:tcPr>
          <w:p w:rsidR="00212513" w:rsidRDefault="00212513">
            <w:pPr>
              <w:pStyle w:val="ConsPlusNormal"/>
              <w:jc w:val="center"/>
            </w:pPr>
            <w:r>
              <w:t>1000</w:t>
            </w:r>
          </w:p>
        </w:tc>
        <w:tc>
          <w:tcPr>
            <w:tcW w:w="2268" w:type="dxa"/>
            <w:tcBorders>
              <w:top w:val="nil"/>
              <w:bottom w:val="nil"/>
            </w:tcBorders>
          </w:tcPr>
          <w:p w:rsidR="00212513" w:rsidRDefault="00212513">
            <w:pPr>
              <w:pStyle w:val="ConsPlusNormal"/>
              <w:jc w:val="center"/>
            </w:pPr>
            <w:r>
              <w:t>1055</w:t>
            </w:r>
          </w:p>
        </w:tc>
      </w:tr>
      <w:tr w:rsidR="00212513">
        <w:tblPrEx>
          <w:tblBorders>
            <w:insideH w:val="none" w:sz="0" w:space="0" w:color="auto"/>
          </w:tblBorders>
        </w:tblPrEx>
        <w:tc>
          <w:tcPr>
            <w:tcW w:w="3005" w:type="dxa"/>
            <w:tcBorders>
              <w:top w:val="nil"/>
              <w:bottom w:val="nil"/>
            </w:tcBorders>
          </w:tcPr>
          <w:p w:rsidR="00212513" w:rsidRDefault="00212513">
            <w:pPr>
              <w:pStyle w:val="ConsPlusNormal"/>
              <w:ind w:left="566"/>
            </w:pPr>
            <w:r>
              <w:t>В1300</w:t>
            </w:r>
          </w:p>
        </w:tc>
        <w:tc>
          <w:tcPr>
            <w:tcW w:w="1587" w:type="dxa"/>
            <w:tcBorders>
              <w:top w:val="nil"/>
              <w:bottom w:val="nil"/>
            </w:tcBorders>
          </w:tcPr>
          <w:p w:rsidR="00212513" w:rsidRDefault="00212513">
            <w:pPr>
              <w:pStyle w:val="ConsPlusNormal"/>
              <w:jc w:val="center"/>
            </w:pPr>
            <w:r>
              <w:t>6</w:t>
            </w:r>
          </w:p>
        </w:tc>
        <w:tc>
          <w:tcPr>
            <w:tcW w:w="2211" w:type="dxa"/>
            <w:tcBorders>
              <w:top w:val="nil"/>
              <w:bottom w:val="nil"/>
            </w:tcBorders>
          </w:tcPr>
          <w:p w:rsidR="00212513" w:rsidRDefault="00212513">
            <w:pPr>
              <w:pStyle w:val="ConsPlusNormal"/>
              <w:jc w:val="center"/>
            </w:pPr>
            <w:r>
              <w:t>940</w:t>
            </w:r>
          </w:p>
        </w:tc>
        <w:tc>
          <w:tcPr>
            <w:tcW w:w="2268" w:type="dxa"/>
            <w:tcBorders>
              <w:top w:val="nil"/>
              <w:bottom w:val="nil"/>
            </w:tcBorders>
          </w:tcPr>
          <w:p w:rsidR="00212513" w:rsidRDefault="00212513">
            <w:pPr>
              <w:pStyle w:val="ConsPlusNormal"/>
              <w:jc w:val="center"/>
            </w:pPr>
            <w:r>
              <w:t>995</w:t>
            </w:r>
          </w:p>
        </w:tc>
      </w:tr>
      <w:tr w:rsidR="00212513">
        <w:tblPrEx>
          <w:tblBorders>
            <w:insideH w:val="none" w:sz="0" w:space="0" w:color="auto"/>
          </w:tblBorders>
        </w:tblPrEx>
        <w:tc>
          <w:tcPr>
            <w:tcW w:w="3005" w:type="dxa"/>
            <w:tcBorders>
              <w:top w:val="nil"/>
              <w:bottom w:val="nil"/>
            </w:tcBorders>
          </w:tcPr>
          <w:p w:rsidR="00212513" w:rsidRDefault="00212513">
            <w:pPr>
              <w:pStyle w:val="ConsPlusNormal"/>
              <w:ind w:left="566"/>
            </w:pPr>
            <w:r>
              <w:t>В1200</w:t>
            </w:r>
          </w:p>
        </w:tc>
        <w:tc>
          <w:tcPr>
            <w:tcW w:w="1587" w:type="dxa"/>
            <w:tcBorders>
              <w:top w:val="nil"/>
              <w:bottom w:val="single" w:sz="4" w:space="0" w:color="auto"/>
            </w:tcBorders>
          </w:tcPr>
          <w:p w:rsidR="00212513" w:rsidRDefault="00212513">
            <w:pPr>
              <w:pStyle w:val="ConsPlusNormal"/>
              <w:jc w:val="center"/>
            </w:pPr>
            <w:r>
              <w:t>7</w:t>
            </w:r>
          </w:p>
        </w:tc>
        <w:tc>
          <w:tcPr>
            <w:tcW w:w="2211" w:type="dxa"/>
            <w:tcBorders>
              <w:top w:val="nil"/>
              <w:bottom w:val="single" w:sz="4" w:space="0" w:color="auto"/>
            </w:tcBorders>
          </w:tcPr>
          <w:p w:rsidR="00212513" w:rsidRDefault="00212513">
            <w:pPr>
              <w:pStyle w:val="ConsPlusNormal"/>
              <w:jc w:val="center"/>
            </w:pPr>
            <w:r>
              <w:t>885</w:t>
            </w:r>
          </w:p>
        </w:tc>
        <w:tc>
          <w:tcPr>
            <w:tcW w:w="2268" w:type="dxa"/>
            <w:tcBorders>
              <w:top w:val="nil"/>
              <w:bottom w:val="single" w:sz="4" w:space="0" w:color="auto"/>
            </w:tcBorders>
          </w:tcPr>
          <w:p w:rsidR="00212513" w:rsidRDefault="00212513">
            <w:pPr>
              <w:pStyle w:val="ConsPlusNormal"/>
              <w:jc w:val="center"/>
            </w:pPr>
            <w:r>
              <w:t>930</w:t>
            </w:r>
          </w:p>
        </w:tc>
      </w:tr>
      <w:tr w:rsidR="00212513">
        <w:tblPrEx>
          <w:tblBorders>
            <w:insideH w:val="none" w:sz="0" w:space="0" w:color="auto"/>
          </w:tblBorders>
        </w:tblPrEx>
        <w:tc>
          <w:tcPr>
            <w:tcW w:w="3005" w:type="dxa"/>
            <w:tcBorders>
              <w:top w:val="nil"/>
              <w:bottom w:val="nil"/>
            </w:tcBorders>
          </w:tcPr>
          <w:p w:rsidR="00212513" w:rsidRDefault="00212513">
            <w:pPr>
              <w:pStyle w:val="ConsPlusNormal"/>
              <w:ind w:left="283"/>
            </w:pPr>
            <w:r>
              <w:t>б) периодического профиля:</w:t>
            </w:r>
          </w:p>
        </w:tc>
        <w:tc>
          <w:tcPr>
            <w:tcW w:w="1587" w:type="dxa"/>
            <w:tcBorders>
              <w:top w:val="single" w:sz="4" w:space="0" w:color="auto"/>
              <w:bottom w:val="nil"/>
            </w:tcBorders>
          </w:tcPr>
          <w:p w:rsidR="00212513" w:rsidRDefault="00212513">
            <w:pPr>
              <w:pStyle w:val="ConsPlusNormal"/>
              <w:jc w:val="both"/>
            </w:pPr>
          </w:p>
        </w:tc>
        <w:tc>
          <w:tcPr>
            <w:tcW w:w="2211" w:type="dxa"/>
            <w:tcBorders>
              <w:top w:val="single" w:sz="4" w:space="0" w:color="auto"/>
              <w:bottom w:val="nil"/>
            </w:tcBorders>
          </w:tcPr>
          <w:p w:rsidR="00212513" w:rsidRDefault="00212513">
            <w:pPr>
              <w:pStyle w:val="ConsPlusNormal"/>
              <w:jc w:val="both"/>
            </w:pPr>
          </w:p>
        </w:tc>
        <w:tc>
          <w:tcPr>
            <w:tcW w:w="2268" w:type="dxa"/>
            <w:tcBorders>
              <w:top w:val="single" w:sz="4" w:space="0" w:color="auto"/>
              <w:bottom w:val="nil"/>
            </w:tcBorders>
          </w:tcPr>
          <w:p w:rsidR="00212513" w:rsidRDefault="00212513">
            <w:pPr>
              <w:pStyle w:val="ConsPlusNormal"/>
              <w:jc w:val="both"/>
            </w:pPr>
          </w:p>
        </w:tc>
      </w:tr>
      <w:tr w:rsidR="00212513">
        <w:tblPrEx>
          <w:tblBorders>
            <w:insideH w:val="none" w:sz="0" w:space="0" w:color="auto"/>
          </w:tblBorders>
        </w:tblPrEx>
        <w:tc>
          <w:tcPr>
            <w:tcW w:w="3005" w:type="dxa"/>
            <w:tcBorders>
              <w:top w:val="nil"/>
              <w:bottom w:val="nil"/>
            </w:tcBorders>
          </w:tcPr>
          <w:p w:rsidR="00212513" w:rsidRDefault="00212513">
            <w:pPr>
              <w:pStyle w:val="ConsPlusNormal"/>
              <w:ind w:left="566"/>
            </w:pPr>
            <w:r>
              <w:t>Вр1500</w:t>
            </w:r>
          </w:p>
        </w:tc>
        <w:tc>
          <w:tcPr>
            <w:tcW w:w="1587" w:type="dxa"/>
            <w:tcBorders>
              <w:top w:val="nil"/>
              <w:bottom w:val="nil"/>
            </w:tcBorders>
          </w:tcPr>
          <w:p w:rsidR="00212513" w:rsidRDefault="00212513">
            <w:pPr>
              <w:pStyle w:val="ConsPlusNormal"/>
              <w:jc w:val="center"/>
            </w:pPr>
            <w:r>
              <w:t>3</w:t>
            </w:r>
          </w:p>
        </w:tc>
        <w:tc>
          <w:tcPr>
            <w:tcW w:w="2211" w:type="dxa"/>
            <w:tcBorders>
              <w:top w:val="nil"/>
              <w:bottom w:val="nil"/>
            </w:tcBorders>
          </w:tcPr>
          <w:p w:rsidR="00212513" w:rsidRDefault="00212513">
            <w:pPr>
              <w:pStyle w:val="ConsPlusNormal"/>
              <w:jc w:val="center"/>
            </w:pPr>
            <w:r>
              <w:t>1100</w:t>
            </w:r>
          </w:p>
        </w:tc>
        <w:tc>
          <w:tcPr>
            <w:tcW w:w="2268" w:type="dxa"/>
            <w:tcBorders>
              <w:top w:val="nil"/>
              <w:bottom w:val="nil"/>
            </w:tcBorders>
          </w:tcPr>
          <w:p w:rsidR="00212513" w:rsidRDefault="00212513">
            <w:pPr>
              <w:pStyle w:val="ConsPlusNormal"/>
              <w:jc w:val="center"/>
            </w:pPr>
            <w:r>
              <w:t>1155</w:t>
            </w:r>
          </w:p>
        </w:tc>
      </w:tr>
      <w:tr w:rsidR="00212513">
        <w:tblPrEx>
          <w:tblBorders>
            <w:insideH w:val="none" w:sz="0" w:space="0" w:color="auto"/>
          </w:tblBorders>
        </w:tblPrEx>
        <w:tc>
          <w:tcPr>
            <w:tcW w:w="3005" w:type="dxa"/>
            <w:tcBorders>
              <w:top w:val="nil"/>
              <w:bottom w:val="nil"/>
            </w:tcBorders>
          </w:tcPr>
          <w:p w:rsidR="00212513" w:rsidRDefault="00212513">
            <w:pPr>
              <w:pStyle w:val="ConsPlusNormal"/>
              <w:ind w:left="566"/>
            </w:pPr>
            <w:r>
              <w:t>Вр1400</w:t>
            </w:r>
          </w:p>
        </w:tc>
        <w:tc>
          <w:tcPr>
            <w:tcW w:w="1587" w:type="dxa"/>
            <w:tcBorders>
              <w:top w:val="nil"/>
              <w:bottom w:val="nil"/>
            </w:tcBorders>
          </w:tcPr>
          <w:p w:rsidR="00212513" w:rsidRDefault="00212513">
            <w:pPr>
              <w:pStyle w:val="ConsPlusNormal"/>
              <w:jc w:val="center"/>
            </w:pPr>
            <w:r>
              <w:t>4</w:t>
            </w:r>
          </w:p>
        </w:tc>
        <w:tc>
          <w:tcPr>
            <w:tcW w:w="2211" w:type="dxa"/>
            <w:tcBorders>
              <w:top w:val="nil"/>
              <w:bottom w:val="nil"/>
            </w:tcBorders>
          </w:tcPr>
          <w:p w:rsidR="00212513" w:rsidRDefault="00212513">
            <w:pPr>
              <w:pStyle w:val="ConsPlusNormal"/>
              <w:jc w:val="center"/>
            </w:pPr>
            <w:r>
              <w:t>1030</w:t>
            </w:r>
          </w:p>
        </w:tc>
        <w:tc>
          <w:tcPr>
            <w:tcW w:w="2268" w:type="dxa"/>
            <w:tcBorders>
              <w:top w:val="nil"/>
              <w:bottom w:val="nil"/>
            </w:tcBorders>
          </w:tcPr>
          <w:p w:rsidR="00212513" w:rsidRDefault="00212513">
            <w:pPr>
              <w:pStyle w:val="ConsPlusNormal"/>
              <w:jc w:val="center"/>
            </w:pPr>
            <w:r>
              <w:t>1090</w:t>
            </w:r>
          </w:p>
        </w:tc>
      </w:tr>
      <w:tr w:rsidR="00212513">
        <w:tblPrEx>
          <w:tblBorders>
            <w:insideH w:val="none" w:sz="0" w:space="0" w:color="auto"/>
          </w:tblBorders>
        </w:tblPrEx>
        <w:tc>
          <w:tcPr>
            <w:tcW w:w="3005" w:type="dxa"/>
            <w:tcBorders>
              <w:top w:val="nil"/>
              <w:bottom w:val="nil"/>
            </w:tcBorders>
          </w:tcPr>
          <w:p w:rsidR="00212513" w:rsidRDefault="00212513">
            <w:pPr>
              <w:pStyle w:val="ConsPlusNormal"/>
              <w:ind w:left="566"/>
            </w:pPr>
            <w:r>
              <w:t>Вр1400</w:t>
            </w:r>
          </w:p>
        </w:tc>
        <w:tc>
          <w:tcPr>
            <w:tcW w:w="1587" w:type="dxa"/>
            <w:tcBorders>
              <w:top w:val="nil"/>
              <w:bottom w:val="nil"/>
            </w:tcBorders>
          </w:tcPr>
          <w:p w:rsidR="00212513" w:rsidRDefault="00212513">
            <w:pPr>
              <w:pStyle w:val="ConsPlusNormal"/>
              <w:jc w:val="center"/>
            </w:pPr>
            <w:r>
              <w:t>5</w:t>
            </w:r>
          </w:p>
        </w:tc>
        <w:tc>
          <w:tcPr>
            <w:tcW w:w="2211" w:type="dxa"/>
            <w:tcBorders>
              <w:top w:val="nil"/>
              <w:bottom w:val="nil"/>
            </w:tcBorders>
          </w:tcPr>
          <w:p w:rsidR="00212513" w:rsidRDefault="00212513">
            <w:pPr>
              <w:pStyle w:val="ConsPlusNormal"/>
              <w:jc w:val="center"/>
            </w:pPr>
            <w:r>
              <w:t>940</w:t>
            </w:r>
          </w:p>
        </w:tc>
        <w:tc>
          <w:tcPr>
            <w:tcW w:w="2268" w:type="dxa"/>
            <w:tcBorders>
              <w:top w:val="nil"/>
              <w:bottom w:val="nil"/>
            </w:tcBorders>
          </w:tcPr>
          <w:p w:rsidR="00212513" w:rsidRDefault="00212513">
            <w:pPr>
              <w:pStyle w:val="ConsPlusNormal"/>
              <w:jc w:val="center"/>
            </w:pPr>
            <w:r>
              <w:t>995</w:t>
            </w:r>
          </w:p>
        </w:tc>
      </w:tr>
      <w:tr w:rsidR="00212513">
        <w:tblPrEx>
          <w:tblBorders>
            <w:insideH w:val="none" w:sz="0" w:space="0" w:color="auto"/>
          </w:tblBorders>
        </w:tblPrEx>
        <w:tc>
          <w:tcPr>
            <w:tcW w:w="3005" w:type="dxa"/>
            <w:tcBorders>
              <w:top w:val="nil"/>
              <w:bottom w:val="single" w:sz="4" w:space="0" w:color="auto"/>
            </w:tcBorders>
          </w:tcPr>
          <w:p w:rsidR="00212513" w:rsidRDefault="00212513">
            <w:pPr>
              <w:pStyle w:val="ConsPlusNormal"/>
              <w:ind w:left="566"/>
            </w:pPr>
            <w:r>
              <w:t>Вр1200</w:t>
            </w:r>
          </w:p>
        </w:tc>
        <w:tc>
          <w:tcPr>
            <w:tcW w:w="1587" w:type="dxa"/>
            <w:tcBorders>
              <w:top w:val="nil"/>
              <w:bottom w:val="single" w:sz="4" w:space="0" w:color="auto"/>
            </w:tcBorders>
          </w:tcPr>
          <w:p w:rsidR="00212513" w:rsidRDefault="00212513">
            <w:pPr>
              <w:pStyle w:val="ConsPlusNormal"/>
              <w:jc w:val="center"/>
            </w:pPr>
            <w:r>
              <w:t>6</w:t>
            </w:r>
          </w:p>
        </w:tc>
        <w:tc>
          <w:tcPr>
            <w:tcW w:w="2211" w:type="dxa"/>
            <w:tcBorders>
              <w:top w:val="nil"/>
              <w:bottom w:val="single" w:sz="4" w:space="0" w:color="auto"/>
            </w:tcBorders>
          </w:tcPr>
          <w:p w:rsidR="00212513" w:rsidRDefault="00212513">
            <w:pPr>
              <w:pStyle w:val="ConsPlusNormal"/>
              <w:jc w:val="center"/>
            </w:pPr>
            <w:r>
              <w:t>885</w:t>
            </w:r>
          </w:p>
        </w:tc>
        <w:tc>
          <w:tcPr>
            <w:tcW w:w="2268" w:type="dxa"/>
            <w:tcBorders>
              <w:top w:val="nil"/>
              <w:bottom w:val="single" w:sz="4" w:space="0" w:color="auto"/>
            </w:tcBorders>
          </w:tcPr>
          <w:p w:rsidR="00212513" w:rsidRDefault="00212513">
            <w:pPr>
              <w:pStyle w:val="ConsPlusNormal"/>
              <w:jc w:val="center"/>
            </w:pPr>
            <w:r>
              <w:t>930</w:t>
            </w:r>
          </w:p>
        </w:tc>
      </w:tr>
      <w:tr w:rsidR="00212513">
        <w:tblPrEx>
          <w:tblBorders>
            <w:insideH w:val="none" w:sz="0" w:space="0" w:color="auto"/>
          </w:tblBorders>
        </w:tblPrEx>
        <w:tc>
          <w:tcPr>
            <w:tcW w:w="3005" w:type="dxa"/>
            <w:tcBorders>
              <w:top w:val="single" w:sz="4" w:space="0" w:color="auto"/>
              <w:bottom w:val="nil"/>
            </w:tcBorders>
          </w:tcPr>
          <w:p w:rsidR="00212513" w:rsidRDefault="00212513">
            <w:pPr>
              <w:pStyle w:val="ConsPlusNormal"/>
            </w:pPr>
            <w:r>
              <w:t>4 Арматурные канаты:</w:t>
            </w:r>
          </w:p>
        </w:tc>
        <w:tc>
          <w:tcPr>
            <w:tcW w:w="1587" w:type="dxa"/>
            <w:tcBorders>
              <w:top w:val="single" w:sz="4" w:space="0" w:color="auto"/>
              <w:bottom w:val="nil"/>
            </w:tcBorders>
          </w:tcPr>
          <w:p w:rsidR="00212513" w:rsidRDefault="00212513">
            <w:pPr>
              <w:pStyle w:val="ConsPlusNormal"/>
            </w:pPr>
          </w:p>
        </w:tc>
        <w:tc>
          <w:tcPr>
            <w:tcW w:w="2211" w:type="dxa"/>
            <w:tcBorders>
              <w:top w:val="single" w:sz="4" w:space="0" w:color="auto"/>
              <w:bottom w:val="nil"/>
            </w:tcBorders>
          </w:tcPr>
          <w:p w:rsidR="00212513" w:rsidRDefault="00212513">
            <w:pPr>
              <w:pStyle w:val="ConsPlusNormal"/>
            </w:pPr>
          </w:p>
        </w:tc>
        <w:tc>
          <w:tcPr>
            <w:tcW w:w="2268" w:type="dxa"/>
            <w:tcBorders>
              <w:top w:val="single" w:sz="4" w:space="0" w:color="auto"/>
              <w:bottom w:val="nil"/>
            </w:tcBorders>
          </w:tcPr>
          <w:p w:rsidR="00212513" w:rsidRDefault="00212513">
            <w:pPr>
              <w:pStyle w:val="ConsPlusNormal"/>
            </w:pPr>
          </w:p>
        </w:tc>
      </w:tr>
      <w:tr w:rsidR="00212513">
        <w:tblPrEx>
          <w:tblBorders>
            <w:insideH w:val="none" w:sz="0" w:space="0" w:color="auto"/>
          </w:tblBorders>
        </w:tblPrEx>
        <w:tc>
          <w:tcPr>
            <w:tcW w:w="3005" w:type="dxa"/>
            <w:tcBorders>
              <w:top w:val="nil"/>
              <w:bottom w:val="nil"/>
            </w:tcBorders>
          </w:tcPr>
          <w:p w:rsidR="00212513" w:rsidRDefault="00212513">
            <w:pPr>
              <w:pStyle w:val="ConsPlusNormal"/>
              <w:ind w:left="283"/>
            </w:pPr>
            <w:r>
              <w:t xml:space="preserve">а) по </w:t>
            </w:r>
            <w:hyperlink r:id="rId746">
              <w:r>
                <w:rPr>
                  <w:color w:val="0000FF"/>
                </w:rPr>
                <w:t>ГОСТ 13840</w:t>
              </w:r>
            </w:hyperlink>
          </w:p>
        </w:tc>
        <w:tc>
          <w:tcPr>
            <w:tcW w:w="1587" w:type="dxa"/>
            <w:tcBorders>
              <w:top w:val="nil"/>
              <w:bottom w:val="nil"/>
            </w:tcBorders>
          </w:tcPr>
          <w:p w:rsidR="00212513" w:rsidRDefault="00212513">
            <w:pPr>
              <w:pStyle w:val="ConsPlusNormal"/>
              <w:jc w:val="both"/>
            </w:pPr>
          </w:p>
        </w:tc>
        <w:tc>
          <w:tcPr>
            <w:tcW w:w="2211" w:type="dxa"/>
            <w:tcBorders>
              <w:top w:val="nil"/>
              <w:bottom w:val="nil"/>
            </w:tcBorders>
          </w:tcPr>
          <w:p w:rsidR="00212513" w:rsidRDefault="00212513">
            <w:pPr>
              <w:pStyle w:val="ConsPlusNormal"/>
              <w:jc w:val="both"/>
            </w:pPr>
          </w:p>
        </w:tc>
        <w:tc>
          <w:tcPr>
            <w:tcW w:w="2268"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3005" w:type="dxa"/>
            <w:tcBorders>
              <w:top w:val="nil"/>
              <w:bottom w:val="nil"/>
            </w:tcBorders>
          </w:tcPr>
          <w:p w:rsidR="00212513" w:rsidRDefault="00212513">
            <w:pPr>
              <w:pStyle w:val="ConsPlusNormal"/>
              <w:ind w:left="567"/>
            </w:pPr>
            <w:r>
              <w:t>К7-1500</w:t>
            </w:r>
          </w:p>
        </w:tc>
        <w:tc>
          <w:tcPr>
            <w:tcW w:w="1587" w:type="dxa"/>
            <w:tcBorders>
              <w:top w:val="nil"/>
              <w:bottom w:val="nil"/>
            </w:tcBorders>
          </w:tcPr>
          <w:p w:rsidR="00212513" w:rsidRDefault="00212513">
            <w:pPr>
              <w:pStyle w:val="ConsPlusNormal"/>
              <w:jc w:val="center"/>
            </w:pPr>
            <w:r>
              <w:t>9</w:t>
            </w:r>
          </w:p>
        </w:tc>
        <w:tc>
          <w:tcPr>
            <w:tcW w:w="2211" w:type="dxa"/>
            <w:tcBorders>
              <w:top w:val="nil"/>
              <w:bottom w:val="nil"/>
            </w:tcBorders>
          </w:tcPr>
          <w:p w:rsidR="00212513" w:rsidRDefault="00212513">
            <w:pPr>
              <w:pStyle w:val="ConsPlusNormal"/>
              <w:jc w:val="center"/>
            </w:pPr>
            <w:r>
              <w:t>1030</w:t>
            </w:r>
          </w:p>
        </w:tc>
        <w:tc>
          <w:tcPr>
            <w:tcW w:w="2268" w:type="dxa"/>
            <w:tcBorders>
              <w:top w:val="nil"/>
              <w:bottom w:val="nil"/>
            </w:tcBorders>
          </w:tcPr>
          <w:p w:rsidR="00212513" w:rsidRDefault="00212513">
            <w:pPr>
              <w:pStyle w:val="ConsPlusNormal"/>
              <w:jc w:val="center"/>
            </w:pPr>
            <w:r>
              <w:t>1090</w:t>
            </w:r>
          </w:p>
        </w:tc>
      </w:tr>
      <w:tr w:rsidR="00212513">
        <w:tblPrEx>
          <w:tblBorders>
            <w:insideH w:val="none" w:sz="0" w:space="0" w:color="auto"/>
          </w:tblBorders>
        </w:tblPrEx>
        <w:tc>
          <w:tcPr>
            <w:tcW w:w="3005" w:type="dxa"/>
            <w:tcBorders>
              <w:top w:val="nil"/>
              <w:bottom w:val="nil"/>
            </w:tcBorders>
          </w:tcPr>
          <w:p w:rsidR="00212513" w:rsidRDefault="00212513">
            <w:pPr>
              <w:pStyle w:val="ConsPlusNormal"/>
              <w:ind w:left="567"/>
            </w:pPr>
            <w:r>
              <w:t>К7-1500</w:t>
            </w:r>
          </w:p>
        </w:tc>
        <w:tc>
          <w:tcPr>
            <w:tcW w:w="1587" w:type="dxa"/>
            <w:tcBorders>
              <w:top w:val="nil"/>
              <w:bottom w:val="nil"/>
            </w:tcBorders>
          </w:tcPr>
          <w:p w:rsidR="00212513" w:rsidRDefault="00212513">
            <w:pPr>
              <w:pStyle w:val="ConsPlusNormal"/>
              <w:jc w:val="center"/>
            </w:pPr>
            <w:r>
              <w:t>12</w:t>
            </w:r>
          </w:p>
        </w:tc>
        <w:tc>
          <w:tcPr>
            <w:tcW w:w="2211" w:type="dxa"/>
            <w:tcBorders>
              <w:top w:val="nil"/>
              <w:bottom w:val="nil"/>
            </w:tcBorders>
          </w:tcPr>
          <w:p w:rsidR="00212513" w:rsidRDefault="00212513">
            <w:pPr>
              <w:pStyle w:val="ConsPlusNormal"/>
              <w:jc w:val="center"/>
            </w:pPr>
            <w:r>
              <w:t>1000</w:t>
            </w:r>
          </w:p>
        </w:tc>
        <w:tc>
          <w:tcPr>
            <w:tcW w:w="2268" w:type="dxa"/>
            <w:tcBorders>
              <w:top w:val="nil"/>
              <w:bottom w:val="nil"/>
            </w:tcBorders>
          </w:tcPr>
          <w:p w:rsidR="00212513" w:rsidRDefault="00212513">
            <w:pPr>
              <w:pStyle w:val="ConsPlusNormal"/>
              <w:jc w:val="center"/>
            </w:pPr>
            <w:r>
              <w:t>1055</w:t>
            </w:r>
          </w:p>
        </w:tc>
      </w:tr>
      <w:tr w:rsidR="00212513">
        <w:tblPrEx>
          <w:tblBorders>
            <w:insideH w:val="none" w:sz="0" w:space="0" w:color="auto"/>
          </w:tblBorders>
        </w:tblPrEx>
        <w:tc>
          <w:tcPr>
            <w:tcW w:w="3005" w:type="dxa"/>
            <w:tcBorders>
              <w:top w:val="nil"/>
              <w:bottom w:val="nil"/>
            </w:tcBorders>
          </w:tcPr>
          <w:p w:rsidR="00212513" w:rsidRDefault="00212513">
            <w:pPr>
              <w:pStyle w:val="ConsPlusNormal"/>
              <w:ind w:left="567"/>
            </w:pPr>
            <w:r>
              <w:t>К7-1400</w:t>
            </w:r>
          </w:p>
        </w:tc>
        <w:tc>
          <w:tcPr>
            <w:tcW w:w="1587" w:type="dxa"/>
            <w:tcBorders>
              <w:top w:val="nil"/>
              <w:bottom w:val="single" w:sz="4" w:space="0" w:color="auto"/>
            </w:tcBorders>
          </w:tcPr>
          <w:p w:rsidR="00212513" w:rsidRDefault="00212513">
            <w:pPr>
              <w:pStyle w:val="ConsPlusNormal"/>
              <w:jc w:val="center"/>
            </w:pPr>
            <w:r>
              <w:t>15</w:t>
            </w:r>
          </w:p>
        </w:tc>
        <w:tc>
          <w:tcPr>
            <w:tcW w:w="2211" w:type="dxa"/>
            <w:tcBorders>
              <w:top w:val="nil"/>
              <w:bottom w:val="single" w:sz="4" w:space="0" w:color="auto"/>
            </w:tcBorders>
          </w:tcPr>
          <w:p w:rsidR="00212513" w:rsidRDefault="00212513">
            <w:pPr>
              <w:pStyle w:val="ConsPlusNormal"/>
              <w:jc w:val="center"/>
            </w:pPr>
            <w:r>
              <w:t>970</w:t>
            </w:r>
          </w:p>
        </w:tc>
        <w:tc>
          <w:tcPr>
            <w:tcW w:w="2268" w:type="dxa"/>
            <w:tcBorders>
              <w:top w:val="nil"/>
              <w:bottom w:val="single" w:sz="4" w:space="0" w:color="auto"/>
            </w:tcBorders>
          </w:tcPr>
          <w:p w:rsidR="00212513" w:rsidRDefault="00212513">
            <w:pPr>
              <w:pStyle w:val="ConsPlusNormal"/>
              <w:jc w:val="center"/>
            </w:pPr>
            <w:r>
              <w:t>1025</w:t>
            </w:r>
          </w:p>
        </w:tc>
      </w:tr>
      <w:tr w:rsidR="00212513">
        <w:tblPrEx>
          <w:tblBorders>
            <w:insideH w:val="none" w:sz="0" w:space="0" w:color="auto"/>
          </w:tblBorders>
        </w:tblPrEx>
        <w:tc>
          <w:tcPr>
            <w:tcW w:w="3005" w:type="dxa"/>
            <w:tcBorders>
              <w:top w:val="nil"/>
              <w:bottom w:val="nil"/>
            </w:tcBorders>
          </w:tcPr>
          <w:p w:rsidR="00212513" w:rsidRDefault="00212513">
            <w:pPr>
              <w:pStyle w:val="ConsPlusNormal"/>
              <w:ind w:left="283"/>
            </w:pPr>
            <w:r>
              <w:t xml:space="preserve">б) по </w:t>
            </w:r>
            <w:hyperlink r:id="rId747">
              <w:r>
                <w:rPr>
                  <w:color w:val="0000FF"/>
                </w:rPr>
                <w:t>ГОСТ Р 53772</w:t>
              </w:r>
            </w:hyperlink>
          </w:p>
        </w:tc>
        <w:tc>
          <w:tcPr>
            <w:tcW w:w="1587" w:type="dxa"/>
            <w:tcBorders>
              <w:top w:val="single" w:sz="4" w:space="0" w:color="auto"/>
              <w:bottom w:val="nil"/>
            </w:tcBorders>
          </w:tcPr>
          <w:p w:rsidR="00212513" w:rsidRDefault="00212513">
            <w:pPr>
              <w:pStyle w:val="ConsPlusNormal"/>
            </w:pPr>
          </w:p>
        </w:tc>
        <w:tc>
          <w:tcPr>
            <w:tcW w:w="2211" w:type="dxa"/>
            <w:tcBorders>
              <w:top w:val="single" w:sz="4" w:space="0" w:color="auto"/>
              <w:bottom w:val="nil"/>
            </w:tcBorders>
          </w:tcPr>
          <w:p w:rsidR="00212513" w:rsidRDefault="00212513">
            <w:pPr>
              <w:pStyle w:val="ConsPlusNormal"/>
            </w:pPr>
          </w:p>
        </w:tc>
        <w:tc>
          <w:tcPr>
            <w:tcW w:w="2268" w:type="dxa"/>
            <w:tcBorders>
              <w:top w:val="single" w:sz="4" w:space="0" w:color="auto"/>
              <w:bottom w:val="nil"/>
            </w:tcBorders>
          </w:tcPr>
          <w:p w:rsidR="00212513" w:rsidRDefault="00212513">
            <w:pPr>
              <w:pStyle w:val="ConsPlusNormal"/>
            </w:pPr>
          </w:p>
        </w:tc>
      </w:tr>
      <w:tr w:rsidR="00212513">
        <w:tblPrEx>
          <w:tblBorders>
            <w:insideH w:val="none" w:sz="0" w:space="0" w:color="auto"/>
          </w:tblBorders>
        </w:tblPrEx>
        <w:tc>
          <w:tcPr>
            <w:tcW w:w="3005" w:type="dxa"/>
            <w:tcBorders>
              <w:top w:val="nil"/>
              <w:bottom w:val="nil"/>
            </w:tcBorders>
          </w:tcPr>
          <w:p w:rsidR="00212513" w:rsidRDefault="00212513">
            <w:pPr>
              <w:pStyle w:val="ConsPlusNormal"/>
              <w:ind w:left="567"/>
            </w:pPr>
            <w:r>
              <w:t>К7-1670</w:t>
            </w:r>
          </w:p>
        </w:tc>
        <w:tc>
          <w:tcPr>
            <w:tcW w:w="1587" w:type="dxa"/>
            <w:tcBorders>
              <w:top w:val="nil"/>
              <w:bottom w:val="nil"/>
            </w:tcBorders>
          </w:tcPr>
          <w:p w:rsidR="00212513" w:rsidRDefault="00212513">
            <w:pPr>
              <w:pStyle w:val="ConsPlusNormal"/>
              <w:jc w:val="center"/>
            </w:pPr>
            <w:r>
              <w:t>15,2</w:t>
            </w:r>
          </w:p>
        </w:tc>
        <w:tc>
          <w:tcPr>
            <w:tcW w:w="2211" w:type="dxa"/>
            <w:tcBorders>
              <w:top w:val="nil"/>
              <w:bottom w:val="nil"/>
            </w:tcBorders>
          </w:tcPr>
          <w:p w:rsidR="00212513" w:rsidRDefault="00212513">
            <w:pPr>
              <w:pStyle w:val="ConsPlusNormal"/>
              <w:jc w:val="center"/>
            </w:pPr>
            <w:r>
              <w:t>1040</w:t>
            </w:r>
          </w:p>
        </w:tc>
        <w:tc>
          <w:tcPr>
            <w:tcW w:w="2268" w:type="dxa"/>
            <w:tcBorders>
              <w:top w:val="nil"/>
              <w:bottom w:val="nil"/>
            </w:tcBorders>
          </w:tcPr>
          <w:p w:rsidR="00212513" w:rsidRDefault="00212513">
            <w:pPr>
              <w:pStyle w:val="ConsPlusNormal"/>
              <w:jc w:val="center"/>
            </w:pPr>
            <w:r>
              <w:t>1100</w:t>
            </w:r>
          </w:p>
        </w:tc>
      </w:tr>
      <w:tr w:rsidR="00212513">
        <w:tblPrEx>
          <w:tblBorders>
            <w:insideH w:val="none" w:sz="0" w:space="0" w:color="auto"/>
          </w:tblBorders>
        </w:tblPrEx>
        <w:tc>
          <w:tcPr>
            <w:tcW w:w="3005" w:type="dxa"/>
            <w:tcBorders>
              <w:top w:val="nil"/>
              <w:bottom w:val="nil"/>
            </w:tcBorders>
          </w:tcPr>
          <w:p w:rsidR="00212513" w:rsidRDefault="00212513">
            <w:pPr>
              <w:pStyle w:val="ConsPlusNormal"/>
              <w:ind w:left="567"/>
            </w:pPr>
            <w:r>
              <w:t>К7-1770</w:t>
            </w:r>
          </w:p>
        </w:tc>
        <w:tc>
          <w:tcPr>
            <w:tcW w:w="1587" w:type="dxa"/>
            <w:tcBorders>
              <w:top w:val="nil"/>
              <w:bottom w:val="nil"/>
            </w:tcBorders>
          </w:tcPr>
          <w:p w:rsidR="00212513" w:rsidRDefault="00212513">
            <w:pPr>
              <w:pStyle w:val="ConsPlusNormal"/>
              <w:jc w:val="center"/>
            </w:pPr>
            <w:r>
              <w:t>15,2; 15,7</w:t>
            </w:r>
          </w:p>
        </w:tc>
        <w:tc>
          <w:tcPr>
            <w:tcW w:w="2211" w:type="dxa"/>
            <w:tcBorders>
              <w:top w:val="nil"/>
              <w:bottom w:val="nil"/>
            </w:tcBorders>
          </w:tcPr>
          <w:p w:rsidR="00212513" w:rsidRDefault="00212513">
            <w:pPr>
              <w:pStyle w:val="ConsPlusNormal"/>
              <w:jc w:val="center"/>
            </w:pPr>
            <w:r>
              <w:t>1110</w:t>
            </w:r>
          </w:p>
        </w:tc>
        <w:tc>
          <w:tcPr>
            <w:tcW w:w="2268" w:type="dxa"/>
            <w:tcBorders>
              <w:top w:val="nil"/>
              <w:bottom w:val="nil"/>
            </w:tcBorders>
          </w:tcPr>
          <w:p w:rsidR="00212513" w:rsidRDefault="00212513">
            <w:pPr>
              <w:pStyle w:val="ConsPlusNormal"/>
              <w:jc w:val="center"/>
            </w:pPr>
            <w:r>
              <w:t>1175</w:t>
            </w:r>
          </w:p>
        </w:tc>
      </w:tr>
      <w:tr w:rsidR="00212513">
        <w:tblPrEx>
          <w:tblBorders>
            <w:insideH w:val="none" w:sz="0" w:space="0" w:color="auto"/>
          </w:tblBorders>
        </w:tblPrEx>
        <w:tc>
          <w:tcPr>
            <w:tcW w:w="3005" w:type="dxa"/>
            <w:tcBorders>
              <w:top w:val="nil"/>
              <w:bottom w:val="nil"/>
            </w:tcBorders>
          </w:tcPr>
          <w:p w:rsidR="00212513" w:rsidRDefault="00212513">
            <w:pPr>
              <w:pStyle w:val="ConsPlusNormal"/>
              <w:ind w:left="567"/>
            </w:pPr>
            <w:r>
              <w:t>К7-1860</w:t>
            </w:r>
          </w:p>
        </w:tc>
        <w:tc>
          <w:tcPr>
            <w:tcW w:w="1587" w:type="dxa"/>
            <w:tcBorders>
              <w:top w:val="nil"/>
              <w:bottom w:val="nil"/>
            </w:tcBorders>
          </w:tcPr>
          <w:p w:rsidR="00212513" w:rsidRDefault="00212513">
            <w:pPr>
              <w:pStyle w:val="ConsPlusNormal"/>
              <w:jc w:val="center"/>
            </w:pPr>
            <w:r>
              <w:t>15,2; 15,7</w:t>
            </w:r>
          </w:p>
        </w:tc>
        <w:tc>
          <w:tcPr>
            <w:tcW w:w="2211" w:type="dxa"/>
            <w:tcBorders>
              <w:top w:val="nil"/>
              <w:bottom w:val="nil"/>
            </w:tcBorders>
          </w:tcPr>
          <w:p w:rsidR="00212513" w:rsidRDefault="00212513">
            <w:pPr>
              <w:pStyle w:val="ConsPlusNormal"/>
              <w:jc w:val="center"/>
            </w:pPr>
            <w:r>
              <w:t>1180</w:t>
            </w:r>
          </w:p>
        </w:tc>
        <w:tc>
          <w:tcPr>
            <w:tcW w:w="2268" w:type="dxa"/>
            <w:tcBorders>
              <w:top w:val="nil"/>
              <w:bottom w:val="nil"/>
            </w:tcBorders>
          </w:tcPr>
          <w:p w:rsidR="00212513" w:rsidRDefault="00212513">
            <w:pPr>
              <w:pStyle w:val="ConsPlusNormal"/>
              <w:jc w:val="center"/>
            </w:pPr>
            <w:r>
              <w:t>1250</w:t>
            </w:r>
          </w:p>
        </w:tc>
      </w:tr>
      <w:tr w:rsidR="00212513">
        <w:tblPrEx>
          <w:tblBorders>
            <w:insideH w:val="none" w:sz="0" w:space="0" w:color="auto"/>
          </w:tblBorders>
        </w:tblPrEx>
        <w:tc>
          <w:tcPr>
            <w:tcW w:w="3005" w:type="dxa"/>
            <w:tcBorders>
              <w:top w:val="nil"/>
              <w:bottom w:val="nil"/>
            </w:tcBorders>
          </w:tcPr>
          <w:p w:rsidR="00212513" w:rsidRDefault="00212513">
            <w:pPr>
              <w:pStyle w:val="ConsPlusNormal"/>
              <w:ind w:left="567"/>
            </w:pPr>
            <w:r>
              <w:t>К7О-1820</w:t>
            </w:r>
          </w:p>
        </w:tc>
        <w:tc>
          <w:tcPr>
            <w:tcW w:w="1587" w:type="dxa"/>
            <w:tcBorders>
              <w:top w:val="nil"/>
              <w:bottom w:val="nil"/>
            </w:tcBorders>
          </w:tcPr>
          <w:p w:rsidR="00212513" w:rsidRDefault="00212513">
            <w:pPr>
              <w:pStyle w:val="ConsPlusNormal"/>
              <w:jc w:val="center"/>
            </w:pPr>
            <w:r>
              <w:t>15,2</w:t>
            </w:r>
          </w:p>
        </w:tc>
        <w:tc>
          <w:tcPr>
            <w:tcW w:w="2211" w:type="dxa"/>
            <w:tcBorders>
              <w:top w:val="nil"/>
              <w:bottom w:val="nil"/>
            </w:tcBorders>
          </w:tcPr>
          <w:p w:rsidR="00212513" w:rsidRDefault="00212513">
            <w:pPr>
              <w:pStyle w:val="ConsPlusNormal"/>
              <w:jc w:val="center"/>
            </w:pPr>
            <w:r>
              <w:t>1145</w:t>
            </w:r>
          </w:p>
        </w:tc>
        <w:tc>
          <w:tcPr>
            <w:tcW w:w="2268" w:type="dxa"/>
            <w:tcBorders>
              <w:top w:val="nil"/>
              <w:bottom w:val="nil"/>
            </w:tcBorders>
          </w:tcPr>
          <w:p w:rsidR="00212513" w:rsidRDefault="00212513">
            <w:pPr>
              <w:pStyle w:val="ConsPlusNormal"/>
              <w:jc w:val="center"/>
            </w:pPr>
            <w:r>
              <w:t>1210</w:t>
            </w:r>
          </w:p>
        </w:tc>
      </w:tr>
      <w:tr w:rsidR="00212513">
        <w:tblPrEx>
          <w:tblBorders>
            <w:insideH w:val="none" w:sz="0" w:space="0" w:color="auto"/>
          </w:tblBorders>
        </w:tblPrEx>
        <w:tc>
          <w:tcPr>
            <w:tcW w:w="9071" w:type="dxa"/>
            <w:gridSpan w:val="4"/>
            <w:tcBorders>
              <w:top w:val="nil"/>
              <w:bottom w:val="single" w:sz="4" w:space="0" w:color="auto"/>
            </w:tcBorders>
          </w:tcPr>
          <w:p w:rsidR="00212513" w:rsidRDefault="00212513">
            <w:pPr>
              <w:pStyle w:val="ConsPlusNormal"/>
              <w:jc w:val="both"/>
            </w:pPr>
            <w:r>
              <w:t xml:space="preserve">(п. 4 в ред. </w:t>
            </w:r>
            <w:hyperlink r:id="rId748">
              <w:r>
                <w:rPr>
                  <w:color w:val="0000FF"/>
                </w:rPr>
                <w:t>Изменения N 1</w:t>
              </w:r>
            </w:hyperlink>
            <w:r>
              <w:t>, утв. Приказом Минстроя России от 03.12.2016 N 879/пр)</w:t>
            </w:r>
          </w:p>
        </w:tc>
      </w:tr>
      <w:tr w:rsidR="00212513">
        <w:tc>
          <w:tcPr>
            <w:tcW w:w="3005" w:type="dxa"/>
            <w:tcBorders>
              <w:top w:val="single" w:sz="4" w:space="0" w:color="auto"/>
              <w:bottom w:val="nil"/>
            </w:tcBorders>
          </w:tcPr>
          <w:p w:rsidR="00212513" w:rsidRDefault="00212513">
            <w:pPr>
              <w:pStyle w:val="ConsPlusNormal"/>
            </w:pPr>
            <w:r>
              <w:t>5 Стальные канаты:</w:t>
            </w:r>
          </w:p>
        </w:tc>
        <w:tc>
          <w:tcPr>
            <w:tcW w:w="1587" w:type="dxa"/>
            <w:vMerge w:val="restart"/>
            <w:tcBorders>
              <w:top w:val="single" w:sz="4" w:space="0" w:color="auto"/>
              <w:bottom w:val="single" w:sz="4" w:space="0" w:color="auto"/>
            </w:tcBorders>
          </w:tcPr>
          <w:p w:rsidR="00212513" w:rsidRDefault="00212513">
            <w:pPr>
              <w:pStyle w:val="ConsPlusNormal"/>
            </w:pPr>
            <w:r>
              <w:t>По соответствующим стандартам</w:t>
            </w:r>
          </w:p>
        </w:tc>
        <w:tc>
          <w:tcPr>
            <w:tcW w:w="2211" w:type="dxa"/>
            <w:vMerge w:val="restart"/>
            <w:tcBorders>
              <w:top w:val="single" w:sz="4" w:space="0" w:color="auto"/>
              <w:bottom w:val="single" w:sz="4" w:space="0" w:color="auto"/>
            </w:tcBorders>
          </w:tcPr>
          <w:p w:rsidR="00212513" w:rsidRDefault="00212513">
            <w:pPr>
              <w:pStyle w:val="ConsPlusNormal"/>
              <w:jc w:val="center"/>
            </w:pPr>
            <w:r>
              <w:t>0,54</w:t>
            </w:r>
            <w:r>
              <w:rPr>
                <w:i/>
              </w:rPr>
              <w:t>R</w:t>
            </w:r>
            <w:r>
              <w:rPr>
                <w:i/>
                <w:vertAlign w:val="subscript"/>
              </w:rPr>
              <w:t>rpn</w:t>
            </w:r>
          </w:p>
        </w:tc>
        <w:tc>
          <w:tcPr>
            <w:tcW w:w="2268" w:type="dxa"/>
            <w:vMerge w:val="restart"/>
            <w:tcBorders>
              <w:top w:val="single" w:sz="4" w:space="0" w:color="auto"/>
              <w:bottom w:val="single" w:sz="4" w:space="0" w:color="auto"/>
            </w:tcBorders>
          </w:tcPr>
          <w:p w:rsidR="00212513" w:rsidRDefault="00212513">
            <w:pPr>
              <w:pStyle w:val="ConsPlusNormal"/>
              <w:jc w:val="center"/>
            </w:pPr>
            <w:r>
              <w:t>0,57</w:t>
            </w:r>
            <w:r>
              <w:rPr>
                <w:i/>
              </w:rPr>
              <w:t>R</w:t>
            </w:r>
            <w:r>
              <w:rPr>
                <w:i/>
                <w:vertAlign w:val="subscript"/>
              </w:rPr>
              <w:t>rpn</w:t>
            </w:r>
          </w:p>
        </w:tc>
      </w:tr>
      <w:tr w:rsidR="00212513">
        <w:tblPrEx>
          <w:tblBorders>
            <w:insideH w:val="none" w:sz="0" w:space="0" w:color="auto"/>
          </w:tblBorders>
        </w:tblPrEx>
        <w:tc>
          <w:tcPr>
            <w:tcW w:w="3005" w:type="dxa"/>
            <w:tcBorders>
              <w:top w:val="nil"/>
              <w:bottom w:val="nil"/>
            </w:tcBorders>
          </w:tcPr>
          <w:p w:rsidR="00212513" w:rsidRDefault="00212513">
            <w:pPr>
              <w:pStyle w:val="ConsPlusNormal"/>
              <w:ind w:left="283"/>
            </w:pPr>
            <w:r>
              <w:t>со спиральной свивкой</w:t>
            </w:r>
          </w:p>
        </w:tc>
        <w:tc>
          <w:tcPr>
            <w:tcW w:w="1587" w:type="dxa"/>
            <w:vMerge/>
            <w:tcBorders>
              <w:top w:val="single" w:sz="4" w:space="0" w:color="auto"/>
              <w:bottom w:val="single" w:sz="4" w:space="0" w:color="auto"/>
            </w:tcBorders>
          </w:tcPr>
          <w:p w:rsidR="00212513" w:rsidRDefault="00212513">
            <w:pPr>
              <w:pStyle w:val="ConsPlusNormal"/>
            </w:pPr>
          </w:p>
        </w:tc>
        <w:tc>
          <w:tcPr>
            <w:tcW w:w="2211" w:type="dxa"/>
            <w:vMerge/>
            <w:tcBorders>
              <w:top w:val="single" w:sz="4" w:space="0" w:color="auto"/>
              <w:bottom w:val="single" w:sz="4" w:space="0" w:color="auto"/>
            </w:tcBorders>
          </w:tcPr>
          <w:p w:rsidR="00212513" w:rsidRDefault="00212513">
            <w:pPr>
              <w:pStyle w:val="ConsPlusNormal"/>
            </w:pPr>
          </w:p>
        </w:tc>
        <w:tc>
          <w:tcPr>
            <w:tcW w:w="2268" w:type="dxa"/>
            <w:vMerge/>
            <w:tcBorders>
              <w:top w:val="single" w:sz="4" w:space="0" w:color="auto"/>
              <w:bottom w:val="single" w:sz="4" w:space="0" w:color="auto"/>
            </w:tcBorders>
          </w:tcPr>
          <w:p w:rsidR="00212513" w:rsidRDefault="00212513">
            <w:pPr>
              <w:pStyle w:val="ConsPlusNormal"/>
            </w:pPr>
          </w:p>
        </w:tc>
      </w:tr>
      <w:tr w:rsidR="00212513">
        <w:tc>
          <w:tcPr>
            <w:tcW w:w="3005" w:type="dxa"/>
            <w:tcBorders>
              <w:top w:val="nil"/>
              <w:bottom w:val="single" w:sz="4" w:space="0" w:color="auto"/>
            </w:tcBorders>
          </w:tcPr>
          <w:p w:rsidR="00212513" w:rsidRDefault="00212513">
            <w:pPr>
              <w:pStyle w:val="ConsPlusNormal"/>
              <w:ind w:left="283"/>
            </w:pPr>
            <w:r>
              <w:t>с двойной свивкой закрытые</w:t>
            </w:r>
          </w:p>
        </w:tc>
        <w:tc>
          <w:tcPr>
            <w:tcW w:w="1587" w:type="dxa"/>
            <w:vMerge/>
            <w:tcBorders>
              <w:top w:val="single" w:sz="4" w:space="0" w:color="auto"/>
              <w:bottom w:val="single" w:sz="4" w:space="0" w:color="auto"/>
            </w:tcBorders>
          </w:tcPr>
          <w:p w:rsidR="00212513" w:rsidRDefault="00212513">
            <w:pPr>
              <w:pStyle w:val="ConsPlusNormal"/>
            </w:pPr>
          </w:p>
        </w:tc>
        <w:tc>
          <w:tcPr>
            <w:tcW w:w="2211" w:type="dxa"/>
            <w:vMerge/>
            <w:tcBorders>
              <w:top w:val="single" w:sz="4" w:space="0" w:color="auto"/>
              <w:bottom w:val="single" w:sz="4" w:space="0" w:color="auto"/>
            </w:tcBorders>
          </w:tcPr>
          <w:p w:rsidR="00212513" w:rsidRDefault="00212513">
            <w:pPr>
              <w:pStyle w:val="ConsPlusNormal"/>
            </w:pPr>
          </w:p>
        </w:tc>
        <w:tc>
          <w:tcPr>
            <w:tcW w:w="2268" w:type="dxa"/>
            <w:vMerge/>
            <w:tcBorders>
              <w:top w:val="single" w:sz="4" w:space="0" w:color="auto"/>
              <w:bottom w:val="single" w:sz="4" w:space="0" w:color="auto"/>
            </w:tcBorders>
          </w:tcPr>
          <w:p w:rsidR="00212513" w:rsidRDefault="00212513">
            <w:pPr>
              <w:pStyle w:val="ConsPlusNormal"/>
            </w:pPr>
          </w:p>
        </w:tc>
      </w:tr>
      <w:tr w:rsidR="00212513">
        <w:tc>
          <w:tcPr>
            <w:tcW w:w="9071" w:type="dxa"/>
            <w:gridSpan w:val="4"/>
            <w:tcBorders>
              <w:top w:val="single" w:sz="4" w:space="0" w:color="auto"/>
              <w:bottom w:val="single" w:sz="4" w:space="0" w:color="auto"/>
            </w:tcBorders>
          </w:tcPr>
          <w:p w:rsidR="00212513" w:rsidRDefault="00212513">
            <w:pPr>
              <w:pStyle w:val="ConsPlusNormal"/>
              <w:ind w:firstLine="283"/>
              <w:jc w:val="both"/>
            </w:pPr>
            <w:bookmarkStart w:id="137" w:name="P3471"/>
            <w:bookmarkEnd w:id="137"/>
            <w:r>
              <w:t>&lt;*&gt; При смешанном армировании стержневую горячекатаную арматуру класса А600 допускается применять в качестве ненапрягаемой арматуры.</w:t>
            </w:r>
          </w:p>
        </w:tc>
      </w:tr>
    </w:tbl>
    <w:p w:rsidR="00212513" w:rsidRDefault="00212513">
      <w:pPr>
        <w:pStyle w:val="ConsPlusNormal"/>
        <w:ind w:firstLine="540"/>
        <w:jc w:val="both"/>
      </w:pPr>
    </w:p>
    <w:p w:rsidR="00212513" w:rsidRDefault="00212513">
      <w:pPr>
        <w:pStyle w:val="ConsPlusNormal"/>
        <w:ind w:firstLine="540"/>
        <w:jc w:val="both"/>
      </w:pPr>
      <w:r>
        <w:t xml:space="preserve">Нормативные сопротивления растяжению </w:t>
      </w:r>
      <w:r>
        <w:rPr>
          <w:i/>
        </w:rPr>
        <w:t>R</w:t>
      </w:r>
      <w:r>
        <w:rPr>
          <w:i/>
          <w:vertAlign w:val="subscript"/>
        </w:rPr>
        <w:t>sn</w:t>
      </w:r>
      <w:r>
        <w:t xml:space="preserve"> и </w:t>
      </w:r>
      <w:r>
        <w:rPr>
          <w:i/>
        </w:rPr>
        <w:t>R</w:t>
      </w:r>
      <w:r>
        <w:rPr>
          <w:i/>
          <w:vertAlign w:val="subscript"/>
        </w:rPr>
        <w:t>pn</w:t>
      </w:r>
      <w:r>
        <w:t xml:space="preserve"> принимают равными классу арматуры, за исключением:</w:t>
      </w:r>
    </w:p>
    <w:p w:rsidR="00212513" w:rsidRDefault="00212513">
      <w:pPr>
        <w:pStyle w:val="ConsPlusNormal"/>
        <w:spacing w:before="220"/>
        <w:ind w:firstLine="540"/>
        <w:jc w:val="both"/>
      </w:pPr>
      <w:r>
        <w:lastRenderedPageBreak/>
        <w:t>- арматурных канатов, для которых оно равно условному пределу текучести;</w:t>
      </w:r>
    </w:p>
    <w:p w:rsidR="00212513" w:rsidRDefault="00212513">
      <w:pPr>
        <w:pStyle w:val="ConsPlusNormal"/>
        <w:spacing w:before="220"/>
        <w:ind w:firstLine="540"/>
        <w:jc w:val="both"/>
      </w:pPr>
      <w:r>
        <w:t>- стальных канатов, где нормативное сопротивление равно 75% гарантированного временного сопротивления.</w:t>
      </w:r>
    </w:p>
    <w:p w:rsidR="00212513" w:rsidRDefault="00212513">
      <w:pPr>
        <w:pStyle w:val="ConsPlusNormal"/>
        <w:jc w:val="both"/>
      </w:pPr>
      <w:r>
        <w:t xml:space="preserve">(абзац введен </w:t>
      </w:r>
      <w:hyperlink r:id="rId749">
        <w:r>
          <w:rPr>
            <w:color w:val="0000FF"/>
          </w:rPr>
          <w:t>Изменением N 1</w:t>
        </w:r>
      </w:hyperlink>
      <w:r>
        <w:t>, утв. Приказом Минстроя России от 03.12.2016 N 879/пр)</w:t>
      </w:r>
    </w:p>
    <w:p w:rsidR="00212513" w:rsidRDefault="00212513">
      <w:pPr>
        <w:pStyle w:val="ConsPlusNormal"/>
        <w:spacing w:before="220"/>
        <w:ind w:firstLine="540"/>
        <w:jc w:val="both"/>
      </w:pPr>
      <w:bookmarkStart w:id="138" w:name="P3477"/>
      <w:bookmarkEnd w:id="138"/>
      <w:r>
        <w:t xml:space="preserve">7.38 Расчетные сопротивления сжатию арматуры </w:t>
      </w:r>
      <w:r>
        <w:rPr>
          <w:i/>
        </w:rPr>
        <w:t>R</w:t>
      </w:r>
      <w:r>
        <w:rPr>
          <w:i/>
          <w:vertAlign w:val="subscript"/>
        </w:rPr>
        <w:t>sc</w:t>
      </w:r>
      <w:r>
        <w:t xml:space="preserve">, </w:t>
      </w:r>
      <w:r>
        <w:rPr>
          <w:i/>
        </w:rPr>
        <w:t>R</w:t>
      </w:r>
      <w:r>
        <w:rPr>
          <w:i/>
          <w:vertAlign w:val="subscript"/>
        </w:rPr>
        <w:t>pc</w:t>
      </w:r>
      <w:r>
        <w:t xml:space="preserve"> принимают равными расчетным сопротивлениям растяжению </w:t>
      </w:r>
      <w:r>
        <w:rPr>
          <w:i/>
        </w:rPr>
        <w:t>R</w:t>
      </w:r>
      <w:r>
        <w:rPr>
          <w:i/>
          <w:vertAlign w:val="subscript"/>
        </w:rPr>
        <w:t>s</w:t>
      </w:r>
      <w:r>
        <w:t xml:space="preserve">, </w:t>
      </w:r>
      <w:r>
        <w:rPr>
          <w:i/>
        </w:rPr>
        <w:t>R</w:t>
      </w:r>
      <w:r>
        <w:rPr>
          <w:i/>
          <w:vertAlign w:val="subscript"/>
        </w:rPr>
        <w:t>p</w:t>
      </w:r>
      <w:r>
        <w:t>, но не более 500 МПа для всех видов арматуры, включая напрягаемую, имеющую сцепление с бетоном, и нулю - для напрягаемой арматуры, не имеющей сцепления.</w:t>
      </w:r>
    </w:p>
    <w:p w:rsidR="00212513" w:rsidRDefault="00212513">
      <w:pPr>
        <w:pStyle w:val="ConsPlusNormal"/>
        <w:jc w:val="both"/>
      </w:pPr>
      <w:r>
        <w:t xml:space="preserve">(п. 7.38 в ред. </w:t>
      </w:r>
      <w:hyperlink r:id="rId750">
        <w:r>
          <w:rPr>
            <w:color w:val="0000FF"/>
          </w:rPr>
          <w:t>Изменения N 3</w:t>
        </w:r>
      </w:hyperlink>
      <w:r>
        <w:t>, утв. Приказом Минстроя России от 29.12.2020 N 891/пр)</w:t>
      </w:r>
    </w:p>
    <w:p w:rsidR="00212513" w:rsidRDefault="00212513">
      <w:pPr>
        <w:pStyle w:val="ConsPlusNormal"/>
        <w:ind w:firstLine="540"/>
        <w:jc w:val="both"/>
      </w:pPr>
    </w:p>
    <w:p w:rsidR="00212513" w:rsidRDefault="00212513">
      <w:pPr>
        <w:pStyle w:val="ConsPlusNormal"/>
        <w:ind w:firstLine="540"/>
        <w:jc w:val="both"/>
      </w:pPr>
      <w:r>
        <w:rPr>
          <w:i/>
        </w:rPr>
        <w:t>Коэффициенты условий работы арматуры</w:t>
      </w:r>
    </w:p>
    <w:p w:rsidR="00212513" w:rsidRDefault="00212513">
      <w:pPr>
        <w:pStyle w:val="ConsPlusNormal"/>
        <w:ind w:firstLine="540"/>
        <w:jc w:val="both"/>
      </w:pPr>
    </w:p>
    <w:p w:rsidR="00212513" w:rsidRDefault="00212513">
      <w:pPr>
        <w:pStyle w:val="ConsPlusNormal"/>
        <w:ind w:firstLine="540"/>
        <w:jc w:val="both"/>
      </w:pPr>
      <w:bookmarkStart w:id="139" w:name="P3482"/>
      <w:bookmarkEnd w:id="139"/>
      <w:r>
        <w:t xml:space="preserve">7.39 При расчете арматуры на выносливость расчетные сопротивления арматурной стали растяжению для ненапрягаемой </w:t>
      </w:r>
      <w:r>
        <w:rPr>
          <w:noProof/>
          <w:position w:val="-9"/>
        </w:rPr>
        <w:drawing>
          <wp:inline distT="0" distB="0" distL="0" distR="0">
            <wp:extent cx="251460" cy="262890"/>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и напрягаемой </w:t>
      </w:r>
      <w:r>
        <w:rPr>
          <w:noProof/>
          <w:position w:val="-9"/>
        </w:rPr>
        <w:drawing>
          <wp:inline distT="0" distB="0" distL="0" distR="0">
            <wp:extent cx="262890" cy="262890"/>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арматуры следует определять по формулам:</w:t>
      </w:r>
    </w:p>
    <w:p w:rsidR="00212513" w:rsidRDefault="00212513">
      <w:pPr>
        <w:pStyle w:val="ConsPlusNormal"/>
        <w:ind w:firstLine="540"/>
        <w:jc w:val="both"/>
      </w:pPr>
    </w:p>
    <w:p w:rsidR="00212513" w:rsidRDefault="00212513">
      <w:pPr>
        <w:pStyle w:val="ConsPlusNormal"/>
        <w:jc w:val="center"/>
      </w:pPr>
      <w:r>
        <w:rPr>
          <w:noProof/>
          <w:position w:val="-9"/>
        </w:rPr>
        <w:drawing>
          <wp:inline distT="0" distB="0" distL="0" distR="0">
            <wp:extent cx="1592580" cy="262890"/>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1592580" cy="262890"/>
                    </a:xfrm>
                    <a:prstGeom prst="rect">
                      <a:avLst/>
                    </a:prstGeom>
                    <a:noFill/>
                    <a:ln>
                      <a:noFill/>
                    </a:ln>
                  </pic:spPr>
                </pic:pic>
              </a:graphicData>
            </a:graphic>
          </wp:inline>
        </w:drawing>
      </w:r>
      <w:r>
        <w:t>; (7.4)</w:t>
      </w:r>
    </w:p>
    <w:p w:rsidR="00212513" w:rsidRDefault="00212513">
      <w:pPr>
        <w:pStyle w:val="ConsPlusNormal"/>
        <w:jc w:val="center"/>
      </w:pPr>
    </w:p>
    <w:p w:rsidR="00212513" w:rsidRDefault="00212513">
      <w:pPr>
        <w:pStyle w:val="ConsPlusNormal"/>
        <w:jc w:val="center"/>
      </w:pPr>
      <w:r>
        <w:rPr>
          <w:noProof/>
          <w:position w:val="-9"/>
        </w:rPr>
        <w:drawing>
          <wp:inline distT="0" distB="0" distL="0" distR="0">
            <wp:extent cx="1690370" cy="262890"/>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1690370" cy="262890"/>
                    </a:xfrm>
                    <a:prstGeom prst="rect">
                      <a:avLst/>
                    </a:prstGeom>
                    <a:noFill/>
                    <a:ln>
                      <a:noFill/>
                    </a:ln>
                  </pic:spPr>
                </pic:pic>
              </a:graphicData>
            </a:graphic>
          </wp:inline>
        </w:drawing>
      </w:r>
      <w:r>
        <w:t>, (7.5)</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8"/>
        </w:rPr>
        <w:drawing>
          <wp:inline distT="0" distB="0" distL="0" distR="0">
            <wp:extent cx="293370" cy="251460"/>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w:t>
      </w:r>
      <w:r>
        <w:rPr>
          <w:noProof/>
          <w:position w:val="-9"/>
        </w:rPr>
        <w:drawing>
          <wp:inline distT="0" distB="0" distL="0" distR="0">
            <wp:extent cx="304165" cy="262890"/>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304165" cy="262890"/>
                    </a:xfrm>
                    <a:prstGeom prst="rect">
                      <a:avLst/>
                    </a:prstGeom>
                    <a:noFill/>
                    <a:ln>
                      <a:noFill/>
                    </a:ln>
                  </pic:spPr>
                </pic:pic>
              </a:graphicData>
            </a:graphic>
          </wp:inline>
        </w:drawing>
      </w:r>
      <w:r>
        <w:t xml:space="preserve"> - коэффициенты условий работы арматуры, учитывающие влияние многократно повторяющейся нагрузки;</w:t>
      </w:r>
    </w:p>
    <w:p w:rsidR="00212513" w:rsidRDefault="00212513">
      <w:pPr>
        <w:pStyle w:val="ConsPlusNormal"/>
        <w:spacing w:before="220"/>
        <w:ind w:firstLine="540"/>
        <w:jc w:val="both"/>
      </w:pPr>
      <w:r>
        <w:rPr>
          <w:noProof/>
          <w:position w:val="-8"/>
        </w:rPr>
        <w:drawing>
          <wp:inline distT="0" distB="0" distL="0" distR="0">
            <wp:extent cx="198755" cy="250825"/>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расчетные сопротивления арматурной стали растяжению, принимаемые по </w:t>
      </w:r>
      <w:hyperlink w:anchor="P3305">
        <w:r>
          <w:rPr>
            <w:color w:val="0000FF"/>
          </w:rPr>
          <w:t>таблице 7.16</w:t>
        </w:r>
      </w:hyperlink>
      <w:r>
        <w:t>;</w:t>
      </w:r>
    </w:p>
    <w:p w:rsidR="00212513" w:rsidRDefault="00212513">
      <w:pPr>
        <w:pStyle w:val="ConsPlusNormal"/>
        <w:spacing w:before="220"/>
        <w:ind w:firstLine="540"/>
        <w:jc w:val="both"/>
      </w:pPr>
      <w:r>
        <w:rPr>
          <w:noProof/>
          <w:position w:val="-9"/>
        </w:rPr>
        <w:drawing>
          <wp:inline distT="0" distB="0" distL="0" distR="0">
            <wp:extent cx="241935" cy="262890"/>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241935" cy="262890"/>
                    </a:xfrm>
                    <a:prstGeom prst="rect">
                      <a:avLst/>
                    </a:prstGeom>
                    <a:noFill/>
                    <a:ln>
                      <a:noFill/>
                    </a:ln>
                  </pic:spPr>
                </pic:pic>
              </a:graphicData>
            </a:graphic>
          </wp:inline>
        </w:drawing>
      </w:r>
      <w:r>
        <w:t xml:space="preserve">, </w:t>
      </w:r>
      <w:r>
        <w:rPr>
          <w:noProof/>
          <w:position w:val="-9"/>
        </w:rPr>
        <w:drawing>
          <wp:inline distT="0" distB="0" distL="0" distR="0">
            <wp:extent cx="262890" cy="262890"/>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коэффициенты, зависящие от асимметрии цикла изменения напряжений в арматуре </w:t>
      </w:r>
      <w:r>
        <w:rPr>
          <w:noProof/>
          <w:position w:val="-8"/>
        </w:rPr>
        <w:drawing>
          <wp:inline distT="0" distB="0" distL="0" distR="0">
            <wp:extent cx="981710" cy="251460"/>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981710" cy="251460"/>
                    </a:xfrm>
                    <a:prstGeom prst="rect">
                      <a:avLst/>
                    </a:prstGeom>
                    <a:noFill/>
                    <a:ln>
                      <a:noFill/>
                    </a:ln>
                  </pic:spPr>
                </pic:pic>
              </a:graphicData>
            </a:graphic>
          </wp:inline>
        </w:drawing>
      </w:r>
      <w:r>
        <w:t xml:space="preserve">, приведены в </w:t>
      </w:r>
      <w:hyperlink w:anchor="P3493">
        <w:r>
          <w:rPr>
            <w:color w:val="0000FF"/>
          </w:rPr>
          <w:t>таблице 7.17</w:t>
        </w:r>
      </w:hyperlink>
      <w:r>
        <w:t>;</w:t>
      </w:r>
    </w:p>
    <w:p w:rsidR="00212513" w:rsidRDefault="00212513">
      <w:pPr>
        <w:pStyle w:val="ConsPlusNormal"/>
        <w:spacing w:before="220"/>
        <w:ind w:firstLine="540"/>
        <w:jc w:val="both"/>
      </w:pPr>
      <w:r>
        <w:rPr>
          <w:noProof/>
          <w:position w:val="-9"/>
        </w:rPr>
        <w:drawing>
          <wp:inline distT="0" distB="0" distL="0" distR="0">
            <wp:extent cx="293370" cy="262890"/>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293370" cy="262890"/>
                    </a:xfrm>
                    <a:prstGeom prst="rect">
                      <a:avLst/>
                    </a:prstGeom>
                    <a:noFill/>
                    <a:ln>
                      <a:noFill/>
                    </a:ln>
                  </pic:spPr>
                </pic:pic>
              </a:graphicData>
            </a:graphic>
          </wp:inline>
        </w:drawing>
      </w:r>
      <w:r>
        <w:t xml:space="preserve"> - коэффициент, учитывающий влияние на условия работы арматурных элементов наличия сварных стыков или приварки к арматурным элементам других элементов, приведен в </w:t>
      </w:r>
      <w:hyperlink w:anchor="P3691">
        <w:r>
          <w:rPr>
            <w:color w:val="0000FF"/>
          </w:rPr>
          <w:t>таблице 7.18</w:t>
        </w:r>
      </w:hyperlink>
      <w:r>
        <w:t>.</w:t>
      </w:r>
    </w:p>
    <w:p w:rsidR="00212513" w:rsidRDefault="00212513">
      <w:pPr>
        <w:pStyle w:val="ConsPlusNormal"/>
        <w:ind w:firstLine="540"/>
        <w:jc w:val="both"/>
      </w:pPr>
    </w:p>
    <w:p w:rsidR="00212513" w:rsidRDefault="00212513">
      <w:pPr>
        <w:pStyle w:val="ConsPlusNormal"/>
        <w:jc w:val="right"/>
      </w:pPr>
      <w:bookmarkStart w:id="140" w:name="P3493"/>
      <w:bookmarkEnd w:id="140"/>
      <w:r>
        <w:t>Таблица 7.17</w:t>
      </w:r>
    </w:p>
    <w:p w:rsidR="00212513" w:rsidRDefault="00212513">
      <w:pPr>
        <w:pStyle w:val="ConsPlusNormal"/>
        <w:jc w:val="center"/>
      </w:pPr>
    </w:p>
    <w:p w:rsidR="00212513" w:rsidRDefault="00212513">
      <w:pPr>
        <w:pStyle w:val="ConsPlusNormal"/>
        <w:jc w:val="center"/>
      </w:pPr>
      <w:r>
        <w:t xml:space="preserve">(таблица 7.17 в ред. </w:t>
      </w:r>
      <w:hyperlink r:id="rId763">
        <w:r>
          <w:rPr>
            <w:color w:val="0000FF"/>
          </w:rPr>
          <w:t>Изменения N 4</w:t>
        </w:r>
      </w:hyperlink>
      <w:r>
        <w:t>, утв. Приказом</w:t>
      </w:r>
    </w:p>
    <w:p w:rsidR="00212513" w:rsidRDefault="00212513">
      <w:pPr>
        <w:pStyle w:val="ConsPlusNormal"/>
        <w:jc w:val="center"/>
      </w:pPr>
      <w:r>
        <w:t>Минстроя России от 30.05.2024 N 361/пр)</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737"/>
        <w:gridCol w:w="737"/>
        <w:gridCol w:w="737"/>
        <w:gridCol w:w="737"/>
        <w:gridCol w:w="737"/>
        <w:gridCol w:w="737"/>
        <w:gridCol w:w="737"/>
        <w:gridCol w:w="737"/>
        <w:gridCol w:w="737"/>
      </w:tblGrid>
      <w:tr w:rsidR="00212513">
        <w:tc>
          <w:tcPr>
            <w:tcW w:w="2438" w:type="dxa"/>
            <w:vMerge w:val="restart"/>
            <w:tcBorders>
              <w:top w:val="single" w:sz="4" w:space="0" w:color="auto"/>
              <w:bottom w:val="single" w:sz="4" w:space="0" w:color="auto"/>
            </w:tcBorders>
            <w:vAlign w:val="center"/>
          </w:tcPr>
          <w:p w:rsidR="00212513" w:rsidRDefault="00212513">
            <w:pPr>
              <w:pStyle w:val="ConsPlusNormal"/>
              <w:jc w:val="center"/>
            </w:pPr>
            <w:r>
              <w:t>Класс (виды или особенности) применяемой арматурной стали</w:t>
            </w:r>
          </w:p>
        </w:tc>
        <w:tc>
          <w:tcPr>
            <w:tcW w:w="6633" w:type="dxa"/>
            <w:gridSpan w:val="9"/>
            <w:tcBorders>
              <w:top w:val="single" w:sz="4" w:space="0" w:color="auto"/>
              <w:bottom w:val="single" w:sz="4" w:space="0" w:color="auto"/>
            </w:tcBorders>
            <w:vAlign w:val="center"/>
          </w:tcPr>
          <w:p w:rsidR="00212513" w:rsidRDefault="00212513">
            <w:pPr>
              <w:pStyle w:val="ConsPlusNormal"/>
              <w:jc w:val="center"/>
            </w:pPr>
            <w:r>
              <w:t xml:space="preserve">Значения коэффициентов </w:t>
            </w:r>
            <w:r>
              <w:rPr>
                <w:noProof/>
                <w:position w:val="-10"/>
              </w:rPr>
              <w:drawing>
                <wp:inline distT="0" distB="0" distL="0" distR="0">
                  <wp:extent cx="229870" cy="273685"/>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229870" cy="273685"/>
                          </a:xfrm>
                          <a:prstGeom prst="rect">
                            <a:avLst/>
                          </a:prstGeom>
                          <a:noFill/>
                          <a:ln>
                            <a:noFill/>
                          </a:ln>
                        </pic:spPr>
                      </pic:pic>
                    </a:graphicData>
                  </a:graphic>
                </wp:inline>
              </w:drawing>
            </w:r>
            <w:r>
              <w:t xml:space="preserve"> и </w:t>
            </w:r>
            <w:r>
              <w:rPr>
                <w:noProof/>
                <w:position w:val="-10"/>
              </w:rPr>
              <w:drawing>
                <wp:inline distT="0" distB="0" distL="0" distR="0">
                  <wp:extent cx="273685" cy="273685"/>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inline>
              </w:drawing>
            </w:r>
            <w:r>
              <w:t xml:space="preserve"> при </w:t>
            </w:r>
            <w:r>
              <w:rPr>
                <w:noProof/>
                <w:position w:val="-3"/>
              </w:rPr>
              <w:drawing>
                <wp:inline distT="0" distB="0" distL="0" distR="0">
                  <wp:extent cx="167640" cy="187960"/>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67640" cy="187960"/>
                          </a:xfrm>
                          <a:prstGeom prst="rect">
                            <a:avLst/>
                          </a:prstGeom>
                          <a:noFill/>
                          <a:ln>
                            <a:noFill/>
                          </a:ln>
                        </pic:spPr>
                      </pic:pic>
                    </a:graphicData>
                  </a:graphic>
                </wp:inline>
              </w:drawing>
            </w:r>
          </w:p>
        </w:tc>
      </w:tr>
      <w:tr w:rsidR="00212513">
        <w:tc>
          <w:tcPr>
            <w:tcW w:w="2438" w:type="dxa"/>
            <w:vMerge/>
            <w:tcBorders>
              <w:top w:val="single" w:sz="4" w:space="0" w:color="auto"/>
              <w:bottom w:val="single" w:sz="4" w:space="0" w:color="auto"/>
            </w:tcBorders>
          </w:tcPr>
          <w:p w:rsidR="00212513" w:rsidRDefault="00212513">
            <w:pPr>
              <w:pStyle w:val="ConsPlusNormal"/>
            </w:pPr>
          </w:p>
        </w:tc>
        <w:tc>
          <w:tcPr>
            <w:tcW w:w="737" w:type="dxa"/>
            <w:tcBorders>
              <w:top w:val="single" w:sz="4" w:space="0" w:color="auto"/>
              <w:bottom w:val="single" w:sz="4" w:space="0" w:color="auto"/>
            </w:tcBorders>
            <w:vAlign w:val="center"/>
          </w:tcPr>
          <w:p w:rsidR="00212513" w:rsidRDefault="00212513">
            <w:pPr>
              <w:pStyle w:val="ConsPlusNormal"/>
              <w:jc w:val="center"/>
            </w:pPr>
            <w:r>
              <w:t>-1</w:t>
            </w:r>
          </w:p>
        </w:tc>
        <w:tc>
          <w:tcPr>
            <w:tcW w:w="737" w:type="dxa"/>
            <w:tcBorders>
              <w:top w:val="single" w:sz="4" w:space="0" w:color="auto"/>
              <w:bottom w:val="single" w:sz="4" w:space="0" w:color="auto"/>
            </w:tcBorders>
            <w:vAlign w:val="center"/>
          </w:tcPr>
          <w:p w:rsidR="00212513" w:rsidRDefault="00212513">
            <w:pPr>
              <w:pStyle w:val="ConsPlusNormal"/>
              <w:jc w:val="center"/>
            </w:pPr>
            <w:r>
              <w:t>-0,5</w:t>
            </w:r>
          </w:p>
        </w:tc>
        <w:tc>
          <w:tcPr>
            <w:tcW w:w="737" w:type="dxa"/>
            <w:tcBorders>
              <w:top w:val="single" w:sz="4" w:space="0" w:color="auto"/>
              <w:bottom w:val="single" w:sz="4" w:space="0" w:color="auto"/>
            </w:tcBorders>
            <w:vAlign w:val="center"/>
          </w:tcPr>
          <w:p w:rsidR="00212513" w:rsidRDefault="00212513">
            <w:pPr>
              <w:pStyle w:val="ConsPlusNormal"/>
              <w:jc w:val="center"/>
            </w:pPr>
            <w:r>
              <w:t>-0,2</w:t>
            </w:r>
          </w:p>
        </w:tc>
        <w:tc>
          <w:tcPr>
            <w:tcW w:w="737" w:type="dxa"/>
            <w:tcBorders>
              <w:top w:val="single" w:sz="4" w:space="0" w:color="auto"/>
              <w:bottom w:val="single" w:sz="4" w:space="0" w:color="auto"/>
            </w:tcBorders>
            <w:vAlign w:val="center"/>
          </w:tcPr>
          <w:p w:rsidR="00212513" w:rsidRDefault="00212513">
            <w:pPr>
              <w:pStyle w:val="ConsPlusNormal"/>
              <w:jc w:val="center"/>
            </w:pPr>
            <w:r>
              <w:t>-0,1</w:t>
            </w:r>
          </w:p>
        </w:tc>
        <w:tc>
          <w:tcPr>
            <w:tcW w:w="737" w:type="dxa"/>
            <w:tcBorders>
              <w:top w:val="single" w:sz="4" w:space="0" w:color="auto"/>
              <w:bottom w:val="single" w:sz="4" w:space="0" w:color="auto"/>
            </w:tcBorders>
            <w:vAlign w:val="center"/>
          </w:tcPr>
          <w:p w:rsidR="00212513" w:rsidRDefault="00212513">
            <w:pPr>
              <w:pStyle w:val="ConsPlusNormal"/>
              <w:jc w:val="center"/>
            </w:pPr>
            <w:r>
              <w:t>0</w:t>
            </w:r>
          </w:p>
        </w:tc>
        <w:tc>
          <w:tcPr>
            <w:tcW w:w="737" w:type="dxa"/>
            <w:tcBorders>
              <w:top w:val="single" w:sz="4" w:space="0" w:color="auto"/>
              <w:bottom w:val="single" w:sz="4" w:space="0" w:color="auto"/>
            </w:tcBorders>
            <w:vAlign w:val="center"/>
          </w:tcPr>
          <w:p w:rsidR="00212513" w:rsidRDefault="00212513">
            <w:pPr>
              <w:pStyle w:val="ConsPlusNormal"/>
              <w:jc w:val="center"/>
            </w:pPr>
            <w:r>
              <w:t>0,1</w:t>
            </w:r>
          </w:p>
        </w:tc>
        <w:tc>
          <w:tcPr>
            <w:tcW w:w="737" w:type="dxa"/>
            <w:tcBorders>
              <w:top w:val="single" w:sz="4" w:space="0" w:color="auto"/>
              <w:bottom w:val="single" w:sz="4" w:space="0" w:color="auto"/>
            </w:tcBorders>
            <w:vAlign w:val="center"/>
          </w:tcPr>
          <w:p w:rsidR="00212513" w:rsidRDefault="00212513">
            <w:pPr>
              <w:pStyle w:val="ConsPlusNormal"/>
              <w:jc w:val="center"/>
            </w:pPr>
            <w:r>
              <w:t>0,2</w:t>
            </w:r>
          </w:p>
        </w:tc>
        <w:tc>
          <w:tcPr>
            <w:tcW w:w="737" w:type="dxa"/>
            <w:tcBorders>
              <w:top w:val="single" w:sz="4" w:space="0" w:color="auto"/>
              <w:bottom w:val="single" w:sz="4" w:space="0" w:color="auto"/>
            </w:tcBorders>
            <w:vAlign w:val="center"/>
          </w:tcPr>
          <w:p w:rsidR="00212513" w:rsidRDefault="00212513">
            <w:pPr>
              <w:pStyle w:val="ConsPlusNormal"/>
              <w:jc w:val="center"/>
            </w:pPr>
            <w:r>
              <w:t>0,3</w:t>
            </w:r>
          </w:p>
        </w:tc>
        <w:tc>
          <w:tcPr>
            <w:tcW w:w="737" w:type="dxa"/>
            <w:tcBorders>
              <w:top w:val="single" w:sz="4" w:space="0" w:color="auto"/>
              <w:bottom w:val="single" w:sz="4" w:space="0" w:color="auto"/>
            </w:tcBorders>
            <w:vAlign w:val="center"/>
          </w:tcPr>
          <w:p w:rsidR="00212513" w:rsidRDefault="00212513">
            <w:pPr>
              <w:pStyle w:val="ConsPlusNormal"/>
              <w:jc w:val="center"/>
            </w:pPr>
            <w:r>
              <w:t>0,35</w:t>
            </w:r>
          </w:p>
        </w:tc>
      </w:tr>
      <w:tr w:rsidR="00212513">
        <w:tblPrEx>
          <w:tblBorders>
            <w:insideH w:val="none" w:sz="0" w:space="0" w:color="auto"/>
          </w:tblBorders>
        </w:tblPrEx>
        <w:tc>
          <w:tcPr>
            <w:tcW w:w="9071" w:type="dxa"/>
            <w:gridSpan w:val="10"/>
            <w:tcBorders>
              <w:top w:val="single" w:sz="4" w:space="0" w:color="auto"/>
              <w:bottom w:val="nil"/>
            </w:tcBorders>
          </w:tcPr>
          <w:p w:rsidR="00212513" w:rsidRDefault="00212513">
            <w:pPr>
              <w:pStyle w:val="ConsPlusNormal"/>
              <w:jc w:val="center"/>
            </w:pPr>
            <w:r>
              <w:t>Коэффициент </w:t>
            </w:r>
            <w:r>
              <w:rPr>
                <w:noProof/>
                <w:position w:val="-10"/>
              </w:rPr>
              <w:drawing>
                <wp:inline distT="0" distB="0" distL="0" distR="0">
                  <wp:extent cx="229870" cy="273685"/>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229870" cy="273685"/>
                          </a:xfrm>
                          <a:prstGeom prst="rect">
                            <a:avLst/>
                          </a:prstGeom>
                          <a:noFill/>
                          <a:ln>
                            <a:noFill/>
                          </a:ln>
                        </pic:spPr>
                      </pic:pic>
                    </a:graphicData>
                  </a:graphic>
                </wp:inline>
              </w:drawing>
            </w:r>
          </w:p>
        </w:tc>
      </w:tr>
      <w:tr w:rsidR="00212513">
        <w:tblPrEx>
          <w:tblBorders>
            <w:insideH w:val="none" w:sz="0" w:space="0" w:color="auto"/>
          </w:tblBorders>
        </w:tblPrEx>
        <w:tc>
          <w:tcPr>
            <w:tcW w:w="2438" w:type="dxa"/>
            <w:tcBorders>
              <w:top w:val="nil"/>
              <w:bottom w:val="nil"/>
            </w:tcBorders>
          </w:tcPr>
          <w:p w:rsidR="00212513" w:rsidRDefault="00212513">
            <w:pPr>
              <w:pStyle w:val="ConsPlusNormal"/>
              <w:ind w:left="283"/>
            </w:pPr>
            <w:r>
              <w:t>А240</w:t>
            </w:r>
          </w:p>
        </w:tc>
        <w:tc>
          <w:tcPr>
            <w:tcW w:w="737" w:type="dxa"/>
            <w:tcBorders>
              <w:top w:val="nil"/>
              <w:bottom w:val="nil"/>
            </w:tcBorders>
          </w:tcPr>
          <w:p w:rsidR="00212513" w:rsidRDefault="00212513">
            <w:pPr>
              <w:pStyle w:val="ConsPlusNormal"/>
              <w:jc w:val="center"/>
            </w:pPr>
            <w:r>
              <w:t>0,48</w:t>
            </w:r>
          </w:p>
        </w:tc>
        <w:tc>
          <w:tcPr>
            <w:tcW w:w="737" w:type="dxa"/>
            <w:tcBorders>
              <w:top w:val="nil"/>
              <w:bottom w:val="nil"/>
            </w:tcBorders>
          </w:tcPr>
          <w:p w:rsidR="00212513" w:rsidRDefault="00212513">
            <w:pPr>
              <w:pStyle w:val="ConsPlusNormal"/>
              <w:jc w:val="center"/>
            </w:pPr>
            <w:r>
              <w:t>0,61</w:t>
            </w:r>
          </w:p>
        </w:tc>
        <w:tc>
          <w:tcPr>
            <w:tcW w:w="737" w:type="dxa"/>
            <w:tcBorders>
              <w:top w:val="nil"/>
              <w:bottom w:val="nil"/>
            </w:tcBorders>
          </w:tcPr>
          <w:p w:rsidR="00212513" w:rsidRDefault="00212513">
            <w:pPr>
              <w:pStyle w:val="ConsPlusNormal"/>
              <w:jc w:val="center"/>
            </w:pPr>
            <w:r>
              <w:t>0,72</w:t>
            </w:r>
          </w:p>
        </w:tc>
        <w:tc>
          <w:tcPr>
            <w:tcW w:w="737" w:type="dxa"/>
            <w:tcBorders>
              <w:top w:val="nil"/>
              <w:bottom w:val="nil"/>
            </w:tcBorders>
          </w:tcPr>
          <w:p w:rsidR="00212513" w:rsidRDefault="00212513">
            <w:pPr>
              <w:pStyle w:val="ConsPlusNormal"/>
              <w:jc w:val="center"/>
            </w:pPr>
            <w:r>
              <w:t>0,77</w:t>
            </w:r>
          </w:p>
        </w:tc>
        <w:tc>
          <w:tcPr>
            <w:tcW w:w="737" w:type="dxa"/>
            <w:tcBorders>
              <w:top w:val="nil"/>
              <w:bottom w:val="nil"/>
            </w:tcBorders>
          </w:tcPr>
          <w:p w:rsidR="00212513" w:rsidRDefault="00212513">
            <w:pPr>
              <w:pStyle w:val="ConsPlusNormal"/>
              <w:jc w:val="center"/>
            </w:pPr>
            <w:r>
              <w:t>0,81</w:t>
            </w:r>
          </w:p>
        </w:tc>
        <w:tc>
          <w:tcPr>
            <w:tcW w:w="737" w:type="dxa"/>
            <w:tcBorders>
              <w:top w:val="nil"/>
              <w:bottom w:val="nil"/>
            </w:tcBorders>
          </w:tcPr>
          <w:p w:rsidR="00212513" w:rsidRDefault="00212513">
            <w:pPr>
              <w:pStyle w:val="ConsPlusNormal"/>
              <w:jc w:val="center"/>
            </w:pPr>
            <w:r>
              <w:t>0,85</w:t>
            </w:r>
          </w:p>
        </w:tc>
        <w:tc>
          <w:tcPr>
            <w:tcW w:w="737" w:type="dxa"/>
            <w:tcBorders>
              <w:top w:val="nil"/>
              <w:bottom w:val="nil"/>
            </w:tcBorders>
          </w:tcPr>
          <w:p w:rsidR="00212513" w:rsidRDefault="00212513">
            <w:pPr>
              <w:pStyle w:val="ConsPlusNormal"/>
              <w:jc w:val="center"/>
            </w:pPr>
            <w:r>
              <w:t>0,89</w:t>
            </w:r>
          </w:p>
        </w:tc>
        <w:tc>
          <w:tcPr>
            <w:tcW w:w="737" w:type="dxa"/>
            <w:tcBorders>
              <w:top w:val="nil"/>
              <w:bottom w:val="nil"/>
            </w:tcBorders>
          </w:tcPr>
          <w:p w:rsidR="00212513" w:rsidRDefault="00212513">
            <w:pPr>
              <w:pStyle w:val="ConsPlusNormal"/>
              <w:jc w:val="center"/>
            </w:pPr>
            <w:r>
              <w:t>0,97</w:t>
            </w:r>
          </w:p>
        </w:tc>
        <w:tc>
          <w:tcPr>
            <w:tcW w:w="737" w:type="dxa"/>
            <w:tcBorders>
              <w:top w:val="nil"/>
              <w:bottom w:val="nil"/>
            </w:tcBorders>
          </w:tcPr>
          <w:p w:rsidR="00212513" w:rsidRDefault="00212513">
            <w:pPr>
              <w:pStyle w:val="ConsPlusNormal"/>
              <w:jc w:val="center"/>
            </w:pPr>
            <w:r>
              <w:t>1</w:t>
            </w:r>
          </w:p>
        </w:tc>
      </w:tr>
      <w:tr w:rsidR="00212513">
        <w:tblPrEx>
          <w:tblBorders>
            <w:insideH w:val="none" w:sz="0" w:space="0" w:color="auto"/>
          </w:tblBorders>
        </w:tblPrEx>
        <w:tc>
          <w:tcPr>
            <w:tcW w:w="2438" w:type="dxa"/>
            <w:tcBorders>
              <w:top w:val="nil"/>
              <w:bottom w:val="nil"/>
            </w:tcBorders>
          </w:tcPr>
          <w:p w:rsidR="00212513" w:rsidRDefault="00212513">
            <w:pPr>
              <w:pStyle w:val="ConsPlusNormal"/>
              <w:ind w:left="283"/>
            </w:pPr>
            <w:r>
              <w:t>А300</w:t>
            </w:r>
          </w:p>
        </w:tc>
        <w:tc>
          <w:tcPr>
            <w:tcW w:w="737" w:type="dxa"/>
            <w:tcBorders>
              <w:top w:val="nil"/>
              <w:bottom w:val="nil"/>
            </w:tcBorders>
          </w:tcPr>
          <w:p w:rsidR="00212513" w:rsidRDefault="00212513">
            <w:pPr>
              <w:pStyle w:val="ConsPlusNormal"/>
              <w:jc w:val="center"/>
            </w:pPr>
            <w:r>
              <w:t>0,40</w:t>
            </w:r>
          </w:p>
        </w:tc>
        <w:tc>
          <w:tcPr>
            <w:tcW w:w="737" w:type="dxa"/>
            <w:tcBorders>
              <w:top w:val="nil"/>
              <w:bottom w:val="nil"/>
            </w:tcBorders>
          </w:tcPr>
          <w:p w:rsidR="00212513" w:rsidRDefault="00212513">
            <w:pPr>
              <w:pStyle w:val="ConsPlusNormal"/>
              <w:jc w:val="center"/>
            </w:pPr>
            <w:r>
              <w:t>0,50</w:t>
            </w:r>
          </w:p>
        </w:tc>
        <w:tc>
          <w:tcPr>
            <w:tcW w:w="737" w:type="dxa"/>
            <w:tcBorders>
              <w:top w:val="nil"/>
              <w:bottom w:val="nil"/>
            </w:tcBorders>
          </w:tcPr>
          <w:p w:rsidR="00212513" w:rsidRDefault="00212513">
            <w:pPr>
              <w:pStyle w:val="ConsPlusNormal"/>
              <w:jc w:val="center"/>
            </w:pPr>
            <w:r>
              <w:t>0,60</w:t>
            </w:r>
          </w:p>
        </w:tc>
        <w:tc>
          <w:tcPr>
            <w:tcW w:w="737" w:type="dxa"/>
            <w:tcBorders>
              <w:top w:val="nil"/>
              <w:bottom w:val="nil"/>
            </w:tcBorders>
          </w:tcPr>
          <w:p w:rsidR="00212513" w:rsidRDefault="00212513">
            <w:pPr>
              <w:pStyle w:val="ConsPlusNormal"/>
              <w:jc w:val="center"/>
            </w:pPr>
            <w:r>
              <w:t>0,63</w:t>
            </w:r>
          </w:p>
        </w:tc>
        <w:tc>
          <w:tcPr>
            <w:tcW w:w="737" w:type="dxa"/>
            <w:tcBorders>
              <w:top w:val="nil"/>
              <w:bottom w:val="nil"/>
            </w:tcBorders>
          </w:tcPr>
          <w:p w:rsidR="00212513" w:rsidRDefault="00212513">
            <w:pPr>
              <w:pStyle w:val="ConsPlusNormal"/>
              <w:jc w:val="center"/>
            </w:pPr>
            <w:r>
              <w:t>0,67</w:t>
            </w:r>
          </w:p>
        </w:tc>
        <w:tc>
          <w:tcPr>
            <w:tcW w:w="737" w:type="dxa"/>
            <w:tcBorders>
              <w:top w:val="nil"/>
              <w:bottom w:val="nil"/>
            </w:tcBorders>
          </w:tcPr>
          <w:p w:rsidR="00212513" w:rsidRDefault="00212513">
            <w:pPr>
              <w:pStyle w:val="ConsPlusNormal"/>
              <w:jc w:val="center"/>
            </w:pPr>
            <w:r>
              <w:t>0,70</w:t>
            </w:r>
          </w:p>
        </w:tc>
        <w:tc>
          <w:tcPr>
            <w:tcW w:w="737" w:type="dxa"/>
            <w:tcBorders>
              <w:top w:val="nil"/>
              <w:bottom w:val="nil"/>
            </w:tcBorders>
          </w:tcPr>
          <w:p w:rsidR="00212513" w:rsidRDefault="00212513">
            <w:pPr>
              <w:pStyle w:val="ConsPlusNormal"/>
              <w:jc w:val="center"/>
            </w:pPr>
            <w:r>
              <w:t>0,74</w:t>
            </w:r>
          </w:p>
        </w:tc>
        <w:tc>
          <w:tcPr>
            <w:tcW w:w="737" w:type="dxa"/>
            <w:tcBorders>
              <w:top w:val="nil"/>
              <w:bottom w:val="nil"/>
            </w:tcBorders>
          </w:tcPr>
          <w:p w:rsidR="00212513" w:rsidRDefault="00212513">
            <w:pPr>
              <w:pStyle w:val="ConsPlusNormal"/>
              <w:jc w:val="center"/>
            </w:pPr>
            <w:r>
              <w:t>0,81</w:t>
            </w:r>
          </w:p>
        </w:tc>
        <w:tc>
          <w:tcPr>
            <w:tcW w:w="737" w:type="dxa"/>
            <w:tcBorders>
              <w:top w:val="nil"/>
              <w:bottom w:val="nil"/>
            </w:tcBorders>
          </w:tcPr>
          <w:p w:rsidR="00212513" w:rsidRDefault="00212513">
            <w:pPr>
              <w:pStyle w:val="ConsPlusNormal"/>
              <w:jc w:val="center"/>
            </w:pPr>
            <w:r>
              <w:t>0,83</w:t>
            </w:r>
          </w:p>
        </w:tc>
      </w:tr>
      <w:tr w:rsidR="00212513">
        <w:tblPrEx>
          <w:tblBorders>
            <w:insideH w:val="none" w:sz="0" w:space="0" w:color="auto"/>
          </w:tblBorders>
        </w:tblPrEx>
        <w:tc>
          <w:tcPr>
            <w:tcW w:w="2438" w:type="dxa"/>
            <w:tcBorders>
              <w:top w:val="nil"/>
              <w:bottom w:val="nil"/>
            </w:tcBorders>
          </w:tcPr>
          <w:p w:rsidR="00212513" w:rsidRDefault="00212513">
            <w:pPr>
              <w:pStyle w:val="ConsPlusNormal"/>
              <w:ind w:left="283"/>
            </w:pPr>
            <w:r>
              <w:lastRenderedPageBreak/>
              <w:t>А300 (Ас-II)</w:t>
            </w:r>
          </w:p>
        </w:tc>
        <w:tc>
          <w:tcPr>
            <w:tcW w:w="737" w:type="dxa"/>
            <w:tcBorders>
              <w:top w:val="nil"/>
              <w:bottom w:val="nil"/>
            </w:tcBorders>
          </w:tcPr>
          <w:p w:rsidR="00212513" w:rsidRDefault="00212513">
            <w:pPr>
              <w:pStyle w:val="ConsPlusNormal"/>
              <w:jc w:val="center"/>
            </w:pPr>
            <w:r>
              <w:t>-</w:t>
            </w:r>
          </w:p>
        </w:tc>
        <w:tc>
          <w:tcPr>
            <w:tcW w:w="737" w:type="dxa"/>
            <w:tcBorders>
              <w:top w:val="nil"/>
              <w:bottom w:val="nil"/>
            </w:tcBorders>
          </w:tcPr>
          <w:p w:rsidR="00212513" w:rsidRDefault="00212513">
            <w:pPr>
              <w:pStyle w:val="ConsPlusNormal"/>
              <w:jc w:val="center"/>
            </w:pPr>
            <w:r>
              <w:t>-</w:t>
            </w:r>
          </w:p>
        </w:tc>
        <w:tc>
          <w:tcPr>
            <w:tcW w:w="737" w:type="dxa"/>
            <w:tcBorders>
              <w:top w:val="nil"/>
              <w:bottom w:val="nil"/>
            </w:tcBorders>
          </w:tcPr>
          <w:p w:rsidR="00212513" w:rsidRDefault="00212513">
            <w:pPr>
              <w:pStyle w:val="ConsPlusNormal"/>
              <w:jc w:val="center"/>
            </w:pPr>
            <w:r>
              <w:t>0,67</w:t>
            </w:r>
          </w:p>
        </w:tc>
        <w:tc>
          <w:tcPr>
            <w:tcW w:w="737" w:type="dxa"/>
            <w:tcBorders>
              <w:top w:val="nil"/>
              <w:bottom w:val="nil"/>
            </w:tcBorders>
          </w:tcPr>
          <w:p w:rsidR="00212513" w:rsidRDefault="00212513">
            <w:pPr>
              <w:pStyle w:val="ConsPlusNormal"/>
              <w:jc w:val="center"/>
            </w:pPr>
            <w:r>
              <w:t>0,71</w:t>
            </w:r>
          </w:p>
        </w:tc>
        <w:tc>
          <w:tcPr>
            <w:tcW w:w="737" w:type="dxa"/>
            <w:tcBorders>
              <w:top w:val="nil"/>
              <w:bottom w:val="nil"/>
            </w:tcBorders>
          </w:tcPr>
          <w:p w:rsidR="00212513" w:rsidRDefault="00212513">
            <w:pPr>
              <w:pStyle w:val="ConsPlusNormal"/>
              <w:jc w:val="center"/>
            </w:pPr>
            <w:r>
              <w:t>0,75</w:t>
            </w:r>
          </w:p>
        </w:tc>
        <w:tc>
          <w:tcPr>
            <w:tcW w:w="737" w:type="dxa"/>
            <w:tcBorders>
              <w:top w:val="nil"/>
              <w:bottom w:val="nil"/>
            </w:tcBorders>
          </w:tcPr>
          <w:p w:rsidR="00212513" w:rsidRDefault="00212513">
            <w:pPr>
              <w:pStyle w:val="ConsPlusNormal"/>
              <w:jc w:val="center"/>
            </w:pPr>
            <w:r>
              <w:t>0,78</w:t>
            </w:r>
          </w:p>
        </w:tc>
        <w:tc>
          <w:tcPr>
            <w:tcW w:w="737" w:type="dxa"/>
            <w:tcBorders>
              <w:top w:val="nil"/>
              <w:bottom w:val="nil"/>
            </w:tcBorders>
          </w:tcPr>
          <w:p w:rsidR="00212513" w:rsidRDefault="00212513">
            <w:pPr>
              <w:pStyle w:val="ConsPlusNormal"/>
              <w:jc w:val="center"/>
            </w:pPr>
            <w:r>
              <w:t>0,82</w:t>
            </w:r>
          </w:p>
        </w:tc>
        <w:tc>
          <w:tcPr>
            <w:tcW w:w="737" w:type="dxa"/>
            <w:tcBorders>
              <w:top w:val="nil"/>
              <w:bottom w:val="nil"/>
            </w:tcBorders>
          </w:tcPr>
          <w:p w:rsidR="00212513" w:rsidRDefault="00212513">
            <w:pPr>
              <w:pStyle w:val="ConsPlusNormal"/>
              <w:jc w:val="center"/>
            </w:pPr>
            <w:r>
              <w:t>0,86</w:t>
            </w:r>
          </w:p>
        </w:tc>
        <w:tc>
          <w:tcPr>
            <w:tcW w:w="737" w:type="dxa"/>
            <w:tcBorders>
              <w:top w:val="nil"/>
              <w:bottom w:val="nil"/>
            </w:tcBorders>
          </w:tcPr>
          <w:p w:rsidR="00212513" w:rsidRDefault="00212513">
            <w:pPr>
              <w:pStyle w:val="ConsPlusNormal"/>
              <w:jc w:val="center"/>
            </w:pPr>
            <w:r>
              <w:t>0,88</w:t>
            </w:r>
          </w:p>
        </w:tc>
      </w:tr>
      <w:tr w:rsidR="00212513">
        <w:tblPrEx>
          <w:tblBorders>
            <w:insideH w:val="none" w:sz="0" w:space="0" w:color="auto"/>
          </w:tblBorders>
        </w:tblPrEx>
        <w:tc>
          <w:tcPr>
            <w:tcW w:w="2438" w:type="dxa"/>
            <w:tcBorders>
              <w:top w:val="nil"/>
              <w:bottom w:val="single" w:sz="4" w:space="0" w:color="auto"/>
            </w:tcBorders>
          </w:tcPr>
          <w:p w:rsidR="00212513" w:rsidRDefault="00212513">
            <w:pPr>
              <w:pStyle w:val="ConsPlusNormal"/>
              <w:ind w:left="283"/>
            </w:pPr>
            <w:r>
              <w:t>А400</w:t>
            </w:r>
          </w:p>
        </w:tc>
        <w:tc>
          <w:tcPr>
            <w:tcW w:w="737" w:type="dxa"/>
            <w:tcBorders>
              <w:top w:val="nil"/>
              <w:bottom w:val="single" w:sz="4" w:space="0" w:color="auto"/>
            </w:tcBorders>
          </w:tcPr>
          <w:p w:rsidR="00212513" w:rsidRDefault="00212513">
            <w:pPr>
              <w:pStyle w:val="ConsPlusNormal"/>
              <w:jc w:val="center"/>
            </w:pPr>
            <w:r>
              <w:t>0,32</w:t>
            </w:r>
          </w:p>
        </w:tc>
        <w:tc>
          <w:tcPr>
            <w:tcW w:w="737" w:type="dxa"/>
            <w:tcBorders>
              <w:top w:val="nil"/>
              <w:bottom w:val="single" w:sz="4" w:space="0" w:color="auto"/>
            </w:tcBorders>
          </w:tcPr>
          <w:p w:rsidR="00212513" w:rsidRDefault="00212513">
            <w:pPr>
              <w:pStyle w:val="ConsPlusNormal"/>
              <w:jc w:val="center"/>
            </w:pPr>
            <w:r>
              <w:t>0,40</w:t>
            </w:r>
          </w:p>
        </w:tc>
        <w:tc>
          <w:tcPr>
            <w:tcW w:w="737" w:type="dxa"/>
            <w:tcBorders>
              <w:top w:val="nil"/>
              <w:bottom w:val="single" w:sz="4" w:space="0" w:color="auto"/>
            </w:tcBorders>
          </w:tcPr>
          <w:p w:rsidR="00212513" w:rsidRDefault="00212513">
            <w:pPr>
              <w:pStyle w:val="ConsPlusNormal"/>
              <w:jc w:val="center"/>
            </w:pPr>
            <w:r>
              <w:t>0,48</w:t>
            </w:r>
          </w:p>
        </w:tc>
        <w:tc>
          <w:tcPr>
            <w:tcW w:w="737" w:type="dxa"/>
            <w:tcBorders>
              <w:top w:val="nil"/>
              <w:bottom w:val="single" w:sz="4" w:space="0" w:color="auto"/>
            </w:tcBorders>
          </w:tcPr>
          <w:p w:rsidR="00212513" w:rsidRDefault="00212513">
            <w:pPr>
              <w:pStyle w:val="ConsPlusNormal"/>
              <w:jc w:val="center"/>
            </w:pPr>
            <w:r>
              <w:t>0,51</w:t>
            </w:r>
          </w:p>
        </w:tc>
        <w:tc>
          <w:tcPr>
            <w:tcW w:w="737" w:type="dxa"/>
            <w:tcBorders>
              <w:top w:val="nil"/>
              <w:bottom w:val="single" w:sz="4" w:space="0" w:color="auto"/>
            </w:tcBorders>
          </w:tcPr>
          <w:p w:rsidR="00212513" w:rsidRDefault="00212513">
            <w:pPr>
              <w:pStyle w:val="ConsPlusNormal"/>
              <w:jc w:val="center"/>
            </w:pPr>
            <w:r>
              <w:t>0,54</w:t>
            </w:r>
          </w:p>
        </w:tc>
        <w:tc>
          <w:tcPr>
            <w:tcW w:w="737" w:type="dxa"/>
            <w:tcBorders>
              <w:top w:val="nil"/>
              <w:bottom w:val="single" w:sz="4" w:space="0" w:color="auto"/>
            </w:tcBorders>
          </w:tcPr>
          <w:p w:rsidR="00212513" w:rsidRDefault="00212513">
            <w:pPr>
              <w:pStyle w:val="ConsPlusNormal"/>
              <w:jc w:val="center"/>
            </w:pPr>
            <w:r>
              <w:t>0,57</w:t>
            </w:r>
          </w:p>
        </w:tc>
        <w:tc>
          <w:tcPr>
            <w:tcW w:w="737" w:type="dxa"/>
            <w:tcBorders>
              <w:top w:val="nil"/>
              <w:bottom w:val="single" w:sz="4" w:space="0" w:color="auto"/>
            </w:tcBorders>
          </w:tcPr>
          <w:p w:rsidR="00212513" w:rsidRDefault="00212513">
            <w:pPr>
              <w:pStyle w:val="ConsPlusNormal"/>
              <w:jc w:val="center"/>
            </w:pPr>
            <w:r>
              <w:t>0,59</w:t>
            </w:r>
          </w:p>
        </w:tc>
        <w:tc>
          <w:tcPr>
            <w:tcW w:w="737" w:type="dxa"/>
            <w:tcBorders>
              <w:top w:val="nil"/>
              <w:bottom w:val="single" w:sz="4" w:space="0" w:color="auto"/>
            </w:tcBorders>
          </w:tcPr>
          <w:p w:rsidR="00212513" w:rsidRDefault="00212513">
            <w:pPr>
              <w:pStyle w:val="ConsPlusNormal"/>
              <w:jc w:val="center"/>
            </w:pPr>
            <w:r>
              <w:t>0,65</w:t>
            </w:r>
          </w:p>
        </w:tc>
        <w:tc>
          <w:tcPr>
            <w:tcW w:w="737" w:type="dxa"/>
            <w:tcBorders>
              <w:top w:val="nil"/>
              <w:bottom w:val="single" w:sz="4" w:space="0" w:color="auto"/>
            </w:tcBorders>
          </w:tcPr>
          <w:p w:rsidR="00212513" w:rsidRDefault="00212513">
            <w:pPr>
              <w:pStyle w:val="ConsPlusNormal"/>
              <w:jc w:val="center"/>
            </w:pPr>
            <w:r>
              <w:t>0,67</w:t>
            </w:r>
          </w:p>
        </w:tc>
      </w:tr>
      <w:tr w:rsidR="00212513">
        <w:tblPrEx>
          <w:tblBorders>
            <w:insideH w:val="none" w:sz="0" w:space="0" w:color="auto"/>
          </w:tblBorders>
        </w:tblPrEx>
        <w:tc>
          <w:tcPr>
            <w:tcW w:w="9071" w:type="dxa"/>
            <w:gridSpan w:val="10"/>
            <w:tcBorders>
              <w:top w:val="single" w:sz="4" w:space="0" w:color="auto"/>
              <w:bottom w:val="nil"/>
            </w:tcBorders>
          </w:tcPr>
          <w:p w:rsidR="00212513" w:rsidRDefault="00212513">
            <w:pPr>
              <w:pStyle w:val="ConsPlusNormal"/>
              <w:jc w:val="center"/>
            </w:pPr>
            <w:r>
              <w:t>Коэффициент </w:t>
            </w:r>
            <w:r>
              <w:rPr>
                <w:noProof/>
                <w:position w:val="-10"/>
              </w:rPr>
              <w:drawing>
                <wp:inline distT="0" distB="0" distL="0" distR="0">
                  <wp:extent cx="273685" cy="273685"/>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inline>
              </w:drawing>
            </w:r>
          </w:p>
        </w:tc>
      </w:tr>
      <w:tr w:rsidR="00212513">
        <w:tblPrEx>
          <w:tblBorders>
            <w:insideH w:val="none" w:sz="0" w:space="0" w:color="auto"/>
          </w:tblBorders>
        </w:tblPrEx>
        <w:tc>
          <w:tcPr>
            <w:tcW w:w="2438" w:type="dxa"/>
            <w:tcBorders>
              <w:top w:val="nil"/>
              <w:bottom w:val="nil"/>
            </w:tcBorders>
          </w:tcPr>
          <w:p w:rsidR="00212513" w:rsidRDefault="00212513">
            <w:pPr>
              <w:pStyle w:val="ConsPlusNormal"/>
              <w:ind w:left="283"/>
            </w:pPr>
            <w:r>
              <w:t>А600 (без стыков или со стыками, выполненными контактной сваркой с механической зачисткой)</w:t>
            </w:r>
          </w:p>
        </w:tc>
        <w:tc>
          <w:tcPr>
            <w:tcW w:w="737" w:type="dxa"/>
            <w:tcBorders>
              <w:top w:val="nil"/>
              <w:bottom w:val="nil"/>
            </w:tcBorders>
          </w:tcPr>
          <w:p w:rsidR="00212513" w:rsidRDefault="00212513">
            <w:pPr>
              <w:pStyle w:val="ConsPlusNormal"/>
              <w:jc w:val="center"/>
            </w:pPr>
            <w:r>
              <w:t>-</w:t>
            </w:r>
          </w:p>
        </w:tc>
        <w:tc>
          <w:tcPr>
            <w:tcW w:w="737" w:type="dxa"/>
            <w:tcBorders>
              <w:top w:val="nil"/>
              <w:bottom w:val="nil"/>
            </w:tcBorders>
          </w:tcPr>
          <w:p w:rsidR="00212513" w:rsidRDefault="00212513">
            <w:pPr>
              <w:pStyle w:val="ConsPlusNormal"/>
              <w:jc w:val="center"/>
            </w:pPr>
            <w:r>
              <w:t>-</w:t>
            </w:r>
          </w:p>
        </w:tc>
        <w:tc>
          <w:tcPr>
            <w:tcW w:w="737" w:type="dxa"/>
            <w:tcBorders>
              <w:top w:val="nil"/>
              <w:bottom w:val="nil"/>
            </w:tcBorders>
          </w:tcPr>
          <w:p w:rsidR="00212513" w:rsidRDefault="00212513">
            <w:pPr>
              <w:pStyle w:val="ConsPlusNormal"/>
              <w:jc w:val="center"/>
            </w:pPr>
            <w:r>
              <w:t>-</w:t>
            </w:r>
          </w:p>
        </w:tc>
        <w:tc>
          <w:tcPr>
            <w:tcW w:w="737" w:type="dxa"/>
            <w:tcBorders>
              <w:top w:val="nil"/>
              <w:bottom w:val="nil"/>
            </w:tcBorders>
          </w:tcPr>
          <w:p w:rsidR="00212513" w:rsidRDefault="00212513">
            <w:pPr>
              <w:pStyle w:val="ConsPlusNormal"/>
              <w:jc w:val="center"/>
            </w:pPr>
            <w:r>
              <w:t>-</w:t>
            </w:r>
          </w:p>
        </w:tc>
        <w:tc>
          <w:tcPr>
            <w:tcW w:w="737" w:type="dxa"/>
            <w:tcBorders>
              <w:top w:val="nil"/>
              <w:bottom w:val="nil"/>
            </w:tcBorders>
          </w:tcPr>
          <w:p w:rsidR="00212513" w:rsidRDefault="00212513">
            <w:pPr>
              <w:pStyle w:val="ConsPlusNormal"/>
              <w:jc w:val="center"/>
            </w:pPr>
            <w:r>
              <w:t>-</w:t>
            </w:r>
          </w:p>
        </w:tc>
        <w:tc>
          <w:tcPr>
            <w:tcW w:w="737" w:type="dxa"/>
            <w:tcBorders>
              <w:top w:val="nil"/>
              <w:bottom w:val="nil"/>
            </w:tcBorders>
          </w:tcPr>
          <w:p w:rsidR="00212513" w:rsidRDefault="00212513">
            <w:pPr>
              <w:pStyle w:val="ConsPlusNormal"/>
              <w:jc w:val="center"/>
            </w:pPr>
            <w:r>
              <w:t>-</w:t>
            </w:r>
          </w:p>
        </w:tc>
        <w:tc>
          <w:tcPr>
            <w:tcW w:w="737" w:type="dxa"/>
            <w:tcBorders>
              <w:top w:val="nil"/>
              <w:bottom w:val="nil"/>
            </w:tcBorders>
          </w:tcPr>
          <w:p w:rsidR="00212513" w:rsidRDefault="00212513">
            <w:pPr>
              <w:pStyle w:val="ConsPlusNormal"/>
              <w:jc w:val="center"/>
            </w:pPr>
            <w:r>
              <w:t>-</w:t>
            </w:r>
          </w:p>
        </w:tc>
        <w:tc>
          <w:tcPr>
            <w:tcW w:w="737" w:type="dxa"/>
            <w:tcBorders>
              <w:top w:val="nil"/>
              <w:bottom w:val="nil"/>
            </w:tcBorders>
          </w:tcPr>
          <w:p w:rsidR="00212513" w:rsidRDefault="00212513">
            <w:pPr>
              <w:pStyle w:val="ConsPlusNormal"/>
              <w:jc w:val="center"/>
            </w:pPr>
            <w:r>
              <w:t>-</w:t>
            </w:r>
          </w:p>
        </w:tc>
        <w:tc>
          <w:tcPr>
            <w:tcW w:w="737" w:type="dxa"/>
            <w:tcBorders>
              <w:top w:val="nil"/>
              <w:bottom w:val="nil"/>
            </w:tcBorders>
          </w:tcPr>
          <w:p w:rsidR="00212513" w:rsidRDefault="00212513">
            <w:pPr>
              <w:pStyle w:val="ConsPlusNormal"/>
              <w:jc w:val="center"/>
            </w:pPr>
            <w:r>
              <w:t>-</w:t>
            </w:r>
          </w:p>
        </w:tc>
      </w:tr>
      <w:tr w:rsidR="00212513">
        <w:tblPrEx>
          <w:tblBorders>
            <w:insideH w:val="none" w:sz="0" w:space="0" w:color="auto"/>
          </w:tblBorders>
        </w:tblPrEx>
        <w:tc>
          <w:tcPr>
            <w:tcW w:w="2438" w:type="dxa"/>
            <w:tcBorders>
              <w:top w:val="nil"/>
              <w:bottom w:val="nil"/>
            </w:tcBorders>
          </w:tcPr>
          <w:p w:rsidR="00212513" w:rsidRDefault="00212513">
            <w:pPr>
              <w:pStyle w:val="ConsPlusNormal"/>
              <w:ind w:left="283"/>
            </w:pPr>
            <w:r>
              <w:t>В или пучки из нее</w:t>
            </w:r>
          </w:p>
        </w:tc>
        <w:tc>
          <w:tcPr>
            <w:tcW w:w="737" w:type="dxa"/>
            <w:tcBorders>
              <w:top w:val="nil"/>
              <w:bottom w:val="nil"/>
            </w:tcBorders>
          </w:tcPr>
          <w:p w:rsidR="00212513" w:rsidRDefault="00212513">
            <w:pPr>
              <w:pStyle w:val="ConsPlusNormal"/>
              <w:jc w:val="center"/>
            </w:pPr>
            <w:r>
              <w:t>-</w:t>
            </w:r>
          </w:p>
        </w:tc>
        <w:tc>
          <w:tcPr>
            <w:tcW w:w="737" w:type="dxa"/>
            <w:tcBorders>
              <w:top w:val="nil"/>
              <w:bottom w:val="nil"/>
            </w:tcBorders>
          </w:tcPr>
          <w:p w:rsidR="00212513" w:rsidRDefault="00212513">
            <w:pPr>
              <w:pStyle w:val="ConsPlusNormal"/>
              <w:jc w:val="center"/>
            </w:pPr>
            <w:r>
              <w:t>-</w:t>
            </w:r>
          </w:p>
        </w:tc>
        <w:tc>
          <w:tcPr>
            <w:tcW w:w="737" w:type="dxa"/>
            <w:tcBorders>
              <w:top w:val="nil"/>
              <w:bottom w:val="nil"/>
            </w:tcBorders>
          </w:tcPr>
          <w:p w:rsidR="00212513" w:rsidRDefault="00212513">
            <w:pPr>
              <w:pStyle w:val="ConsPlusNormal"/>
              <w:jc w:val="center"/>
            </w:pPr>
            <w:r>
              <w:t>-</w:t>
            </w:r>
          </w:p>
        </w:tc>
        <w:tc>
          <w:tcPr>
            <w:tcW w:w="737" w:type="dxa"/>
            <w:tcBorders>
              <w:top w:val="nil"/>
              <w:bottom w:val="nil"/>
            </w:tcBorders>
          </w:tcPr>
          <w:p w:rsidR="00212513" w:rsidRDefault="00212513">
            <w:pPr>
              <w:pStyle w:val="ConsPlusNormal"/>
              <w:jc w:val="center"/>
            </w:pPr>
            <w:r>
              <w:t>-</w:t>
            </w:r>
          </w:p>
        </w:tc>
        <w:tc>
          <w:tcPr>
            <w:tcW w:w="737" w:type="dxa"/>
            <w:tcBorders>
              <w:top w:val="nil"/>
              <w:bottom w:val="nil"/>
            </w:tcBorders>
          </w:tcPr>
          <w:p w:rsidR="00212513" w:rsidRDefault="00212513">
            <w:pPr>
              <w:pStyle w:val="ConsPlusNormal"/>
              <w:jc w:val="center"/>
            </w:pPr>
            <w:r>
              <w:t>-</w:t>
            </w:r>
          </w:p>
        </w:tc>
        <w:tc>
          <w:tcPr>
            <w:tcW w:w="737" w:type="dxa"/>
            <w:tcBorders>
              <w:top w:val="nil"/>
              <w:bottom w:val="nil"/>
            </w:tcBorders>
          </w:tcPr>
          <w:p w:rsidR="00212513" w:rsidRDefault="00212513">
            <w:pPr>
              <w:pStyle w:val="ConsPlusNormal"/>
              <w:jc w:val="center"/>
            </w:pPr>
            <w:r>
              <w:t>-</w:t>
            </w:r>
          </w:p>
        </w:tc>
        <w:tc>
          <w:tcPr>
            <w:tcW w:w="737" w:type="dxa"/>
            <w:tcBorders>
              <w:top w:val="nil"/>
              <w:bottom w:val="nil"/>
            </w:tcBorders>
          </w:tcPr>
          <w:p w:rsidR="00212513" w:rsidRDefault="00212513">
            <w:pPr>
              <w:pStyle w:val="ConsPlusNormal"/>
              <w:jc w:val="center"/>
            </w:pPr>
            <w:r>
              <w:t>-</w:t>
            </w:r>
          </w:p>
        </w:tc>
        <w:tc>
          <w:tcPr>
            <w:tcW w:w="737" w:type="dxa"/>
            <w:tcBorders>
              <w:top w:val="nil"/>
              <w:bottom w:val="nil"/>
            </w:tcBorders>
          </w:tcPr>
          <w:p w:rsidR="00212513" w:rsidRDefault="00212513">
            <w:pPr>
              <w:pStyle w:val="ConsPlusNormal"/>
              <w:jc w:val="center"/>
            </w:pPr>
            <w:r>
              <w:t>-</w:t>
            </w:r>
          </w:p>
        </w:tc>
        <w:tc>
          <w:tcPr>
            <w:tcW w:w="737" w:type="dxa"/>
            <w:tcBorders>
              <w:top w:val="nil"/>
              <w:bottom w:val="nil"/>
            </w:tcBorders>
          </w:tcPr>
          <w:p w:rsidR="00212513" w:rsidRDefault="00212513">
            <w:pPr>
              <w:pStyle w:val="ConsPlusNormal"/>
              <w:jc w:val="center"/>
            </w:pPr>
            <w:r>
              <w:t>-</w:t>
            </w:r>
          </w:p>
        </w:tc>
      </w:tr>
      <w:tr w:rsidR="00212513">
        <w:tblPrEx>
          <w:tblBorders>
            <w:insideH w:val="none" w:sz="0" w:space="0" w:color="auto"/>
          </w:tblBorders>
        </w:tblPrEx>
        <w:tc>
          <w:tcPr>
            <w:tcW w:w="2438" w:type="dxa"/>
            <w:tcBorders>
              <w:top w:val="nil"/>
              <w:bottom w:val="nil"/>
            </w:tcBorders>
          </w:tcPr>
          <w:p w:rsidR="00212513" w:rsidRDefault="00212513">
            <w:pPr>
              <w:pStyle w:val="ConsPlusNormal"/>
              <w:ind w:left="283"/>
            </w:pPr>
            <w:r>
              <w:t>Вр или пучки из нее</w:t>
            </w:r>
          </w:p>
        </w:tc>
        <w:tc>
          <w:tcPr>
            <w:tcW w:w="737" w:type="dxa"/>
            <w:tcBorders>
              <w:top w:val="nil"/>
              <w:bottom w:val="nil"/>
            </w:tcBorders>
          </w:tcPr>
          <w:p w:rsidR="00212513" w:rsidRDefault="00212513">
            <w:pPr>
              <w:pStyle w:val="ConsPlusNormal"/>
              <w:jc w:val="center"/>
            </w:pPr>
            <w:r>
              <w:t>-</w:t>
            </w:r>
          </w:p>
        </w:tc>
        <w:tc>
          <w:tcPr>
            <w:tcW w:w="737" w:type="dxa"/>
            <w:tcBorders>
              <w:top w:val="nil"/>
              <w:bottom w:val="nil"/>
            </w:tcBorders>
          </w:tcPr>
          <w:p w:rsidR="00212513" w:rsidRDefault="00212513">
            <w:pPr>
              <w:pStyle w:val="ConsPlusNormal"/>
              <w:jc w:val="center"/>
            </w:pPr>
            <w:r>
              <w:t>-</w:t>
            </w:r>
          </w:p>
        </w:tc>
        <w:tc>
          <w:tcPr>
            <w:tcW w:w="737" w:type="dxa"/>
            <w:tcBorders>
              <w:top w:val="nil"/>
              <w:bottom w:val="nil"/>
            </w:tcBorders>
          </w:tcPr>
          <w:p w:rsidR="00212513" w:rsidRDefault="00212513">
            <w:pPr>
              <w:pStyle w:val="ConsPlusNormal"/>
              <w:jc w:val="center"/>
            </w:pPr>
            <w:r>
              <w:t>-</w:t>
            </w:r>
          </w:p>
        </w:tc>
        <w:tc>
          <w:tcPr>
            <w:tcW w:w="737" w:type="dxa"/>
            <w:tcBorders>
              <w:top w:val="nil"/>
              <w:bottom w:val="nil"/>
            </w:tcBorders>
          </w:tcPr>
          <w:p w:rsidR="00212513" w:rsidRDefault="00212513">
            <w:pPr>
              <w:pStyle w:val="ConsPlusNormal"/>
              <w:jc w:val="center"/>
            </w:pPr>
            <w:r>
              <w:t>-</w:t>
            </w:r>
          </w:p>
        </w:tc>
        <w:tc>
          <w:tcPr>
            <w:tcW w:w="737" w:type="dxa"/>
            <w:tcBorders>
              <w:top w:val="nil"/>
              <w:bottom w:val="nil"/>
            </w:tcBorders>
          </w:tcPr>
          <w:p w:rsidR="00212513" w:rsidRDefault="00212513">
            <w:pPr>
              <w:pStyle w:val="ConsPlusNormal"/>
              <w:jc w:val="center"/>
            </w:pPr>
            <w:r>
              <w:t>-</w:t>
            </w:r>
          </w:p>
        </w:tc>
        <w:tc>
          <w:tcPr>
            <w:tcW w:w="737" w:type="dxa"/>
            <w:tcBorders>
              <w:top w:val="nil"/>
              <w:bottom w:val="nil"/>
            </w:tcBorders>
          </w:tcPr>
          <w:p w:rsidR="00212513" w:rsidRDefault="00212513">
            <w:pPr>
              <w:pStyle w:val="ConsPlusNormal"/>
              <w:jc w:val="center"/>
            </w:pPr>
            <w:r>
              <w:t>-</w:t>
            </w:r>
          </w:p>
        </w:tc>
        <w:tc>
          <w:tcPr>
            <w:tcW w:w="737" w:type="dxa"/>
            <w:tcBorders>
              <w:top w:val="nil"/>
              <w:bottom w:val="nil"/>
            </w:tcBorders>
          </w:tcPr>
          <w:p w:rsidR="00212513" w:rsidRDefault="00212513">
            <w:pPr>
              <w:pStyle w:val="ConsPlusNormal"/>
              <w:jc w:val="center"/>
            </w:pPr>
            <w:r>
              <w:t>-</w:t>
            </w:r>
          </w:p>
        </w:tc>
        <w:tc>
          <w:tcPr>
            <w:tcW w:w="737" w:type="dxa"/>
            <w:tcBorders>
              <w:top w:val="nil"/>
              <w:bottom w:val="nil"/>
            </w:tcBorders>
          </w:tcPr>
          <w:p w:rsidR="00212513" w:rsidRDefault="00212513">
            <w:pPr>
              <w:pStyle w:val="ConsPlusNormal"/>
              <w:jc w:val="center"/>
            </w:pPr>
            <w:r>
              <w:t>-</w:t>
            </w:r>
          </w:p>
        </w:tc>
        <w:tc>
          <w:tcPr>
            <w:tcW w:w="737" w:type="dxa"/>
            <w:tcBorders>
              <w:top w:val="nil"/>
              <w:bottom w:val="nil"/>
            </w:tcBorders>
          </w:tcPr>
          <w:p w:rsidR="00212513" w:rsidRDefault="00212513">
            <w:pPr>
              <w:pStyle w:val="ConsPlusNormal"/>
              <w:jc w:val="center"/>
            </w:pPr>
            <w:r>
              <w:t>-</w:t>
            </w:r>
          </w:p>
        </w:tc>
      </w:tr>
      <w:tr w:rsidR="00212513">
        <w:tblPrEx>
          <w:tblBorders>
            <w:insideH w:val="none" w:sz="0" w:space="0" w:color="auto"/>
          </w:tblBorders>
        </w:tblPrEx>
        <w:tc>
          <w:tcPr>
            <w:tcW w:w="2438" w:type="dxa"/>
            <w:tcBorders>
              <w:top w:val="nil"/>
              <w:bottom w:val="single" w:sz="4" w:space="0" w:color="auto"/>
            </w:tcBorders>
          </w:tcPr>
          <w:p w:rsidR="00212513" w:rsidRDefault="00212513">
            <w:pPr>
              <w:pStyle w:val="ConsPlusNormal"/>
              <w:ind w:left="283"/>
            </w:pPr>
            <w:r>
              <w:t>Канаты К7</w:t>
            </w:r>
          </w:p>
        </w:tc>
        <w:tc>
          <w:tcPr>
            <w:tcW w:w="737" w:type="dxa"/>
            <w:tcBorders>
              <w:top w:val="nil"/>
              <w:bottom w:val="single" w:sz="4" w:space="0" w:color="auto"/>
            </w:tcBorders>
          </w:tcPr>
          <w:p w:rsidR="00212513" w:rsidRDefault="00212513">
            <w:pPr>
              <w:pStyle w:val="ConsPlusNormal"/>
              <w:jc w:val="center"/>
            </w:pPr>
            <w:r>
              <w:t>-</w:t>
            </w:r>
          </w:p>
        </w:tc>
        <w:tc>
          <w:tcPr>
            <w:tcW w:w="737" w:type="dxa"/>
            <w:tcBorders>
              <w:top w:val="nil"/>
              <w:bottom w:val="single" w:sz="4" w:space="0" w:color="auto"/>
            </w:tcBorders>
          </w:tcPr>
          <w:p w:rsidR="00212513" w:rsidRDefault="00212513">
            <w:pPr>
              <w:pStyle w:val="ConsPlusNormal"/>
              <w:jc w:val="center"/>
            </w:pPr>
            <w:r>
              <w:t>-</w:t>
            </w:r>
          </w:p>
        </w:tc>
        <w:tc>
          <w:tcPr>
            <w:tcW w:w="737" w:type="dxa"/>
            <w:tcBorders>
              <w:top w:val="nil"/>
              <w:bottom w:val="single" w:sz="4" w:space="0" w:color="auto"/>
            </w:tcBorders>
          </w:tcPr>
          <w:p w:rsidR="00212513" w:rsidRDefault="00212513">
            <w:pPr>
              <w:pStyle w:val="ConsPlusNormal"/>
              <w:jc w:val="center"/>
            </w:pPr>
            <w:r>
              <w:t>-</w:t>
            </w:r>
          </w:p>
        </w:tc>
        <w:tc>
          <w:tcPr>
            <w:tcW w:w="737" w:type="dxa"/>
            <w:tcBorders>
              <w:top w:val="nil"/>
              <w:bottom w:val="single" w:sz="4" w:space="0" w:color="auto"/>
            </w:tcBorders>
          </w:tcPr>
          <w:p w:rsidR="00212513" w:rsidRDefault="00212513">
            <w:pPr>
              <w:pStyle w:val="ConsPlusNormal"/>
              <w:jc w:val="center"/>
            </w:pPr>
            <w:r>
              <w:t>-</w:t>
            </w:r>
          </w:p>
        </w:tc>
        <w:tc>
          <w:tcPr>
            <w:tcW w:w="737" w:type="dxa"/>
            <w:tcBorders>
              <w:top w:val="nil"/>
              <w:bottom w:val="single" w:sz="4" w:space="0" w:color="auto"/>
            </w:tcBorders>
          </w:tcPr>
          <w:p w:rsidR="00212513" w:rsidRDefault="00212513">
            <w:pPr>
              <w:pStyle w:val="ConsPlusNormal"/>
              <w:jc w:val="center"/>
            </w:pPr>
            <w:r>
              <w:t>-</w:t>
            </w:r>
          </w:p>
        </w:tc>
        <w:tc>
          <w:tcPr>
            <w:tcW w:w="737" w:type="dxa"/>
            <w:tcBorders>
              <w:top w:val="nil"/>
              <w:bottom w:val="single" w:sz="4" w:space="0" w:color="auto"/>
            </w:tcBorders>
          </w:tcPr>
          <w:p w:rsidR="00212513" w:rsidRDefault="00212513">
            <w:pPr>
              <w:pStyle w:val="ConsPlusNormal"/>
              <w:jc w:val="center"/>
            </w:pPr>
            <w:r>
              <w:t>-</w:t>
            </w:r>
          </w:p>
        </w:tc>
        <w:tc>
          <w:tcPr>
            <w:tcW w:w="737" w:type="dxa"/>
            <w:tcBorders>
              <w:top w:val="nil"/>
              <w:bottom w:val="single" w:sz="4" w:space="0" w:color="auto"/>
            </w:tcBorders>
          </w:tcPr>
          <w:p w:rsidR="00212513" w:rsidRDefault="00212513">
            <w:pPr>
              <w:pStyle w:val="ConsPlusNormal"/>
              <w:jc w:val="center"/>
            </w:pPr>
            <w:r>
              <w:t>-</w:t>
            </w:r>
          </w:p>
        </w:tc>
        <w:tc>
          <w:tcPr>
            <w:tcW w:w="737" w:type="dxa"/>
            <w:tcBorders>
              <w:top w:val="nil"/>
              <w:bottom w:val="single" w:sz="4" w:space="0" w:color="auto"/>
            </w:tcBorders>
          </w:tcPr>
          <w:p w:rsidR="00212513" w:rsidRDefault="00212513">
            <w:pPr>
              <w:pStyle w:val="ConsPlusNormal"/>
              <w:jc w:val="center"/>
            </w:pPr>
            <w:r>
              <w:t>-</w:t>
            </w:r>
          </w:p>
        </w:tc>
        <w:tc>
          <w:tcPr>
            <w:tcW w:w="737" w:type="dxa"/>
            <w:tcBorders>
              <w:top w:val="nil"/>
              <w:bottom w:val="single" w:sz="4" w:space="0" w:color="auto"/>
            </w:tcBorders>
          </w:tcPr>
          <w:p w:rsidR="00212513" w:rsidRDefault="00212513">
            <w:pPr>
              <w:pStyle w:val="ConsPlusNormal"/>
              <w:jc w:val="center"/>
            </w:pPr>
            <w:r>
              <w:t>-</w:t>
            </w:r>
          </w:p>
        </w:tc>
      </w:tr>
    </w:tbl>
    <w:p w:rsidR="00212513" w:rsidRDefault="00212513">
      <w:pPr>
        <w:pStyle w:val="ConsPlusNormal"/>
        <w:jc w:val="right"/>
      </w:pPr>
    </w:p>
    <w:p w:rsidR="00212513" w:rsidRDefault="00212513">
      <w:pPr>
        <w:pStyle w:val="ConsPlusNormal"/>
        <w:jc w:val="right"/>
      </w:pPr>
      <w:r>
        <w:rPr>
          <w:i/>
        </w:rPr>
        <w:t>Окончание таблицы 7.17</w:t>
      </w:r>
    </w:p>
    <w:p w:rsidR="00212513" w:rsidRDefault="0021251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737"/>
        <w:gridCol w:w="737"/>
        <w:gridCol w:w="737"/>
        <w:gridCol w:w="737"/>
        <w:gridCol w:w="737"/>
        <w:gridCol w:w="737"/>
        <w:gridCol w:w="737"/>
        <w:gridCol w:w="737"/>
        <w:gridCol w:w="737"/>
      </w:tblGrid>
      <w:tr w:rsidR="00212513">
        <w:tc>
          <w:tcPr>
            <w:tcW w:w="2438" w:type="dxa"/>
            <w:vMerge w:val="restart"/>
            <w:tcBorders>
              <w:top w:val="single" w:sz="4" w:space="0" w:color="auto"/>
              <w:bottom w:val="single" w:sz="4" w:space="0" w:color="auto"/>
            </w:tcBorders>
            <w:vAlign w:val="center"/>
          </w:tcPr>
          <w:p w:rsidR="00212513" w:rsidRDefault="00212513">
            <w:pPr>
              <w:pStyle w:val="ConsPlusNormal"/>
              <w:jc w:val="center"/>
            </w:pPr>
            <w:r>
              <w:t>Класс (виды или особенности) применяемой арматурной стали</w:t>
            </w:r>
          </w:p>
        </w:tc>
        <w:tc>
          <w:tcPr>
            <w:tcW w:w="6633" w:type="dxa"/>
            <w:gridSpan w:val="9"/>
            <w:tcBorders>
              <w:top w:val="single" w:sz="4" w:space="0" w:color="auto"/>
              <w:bottom w:val="single" w:sz="4" w:space="0" w:color="auto"/>
            </w:tcBorders>
            <w:vAlign w:val="center"/>
          </w:tcPr>
          <w:p w:rsidR="00212513" w:rsidRDefault="00212513">
            <w:pPr>
              <w:pStyle w:val="ConsPlusNormal"/>
              <w:jc w:val="center"/>
            </w:pPr>
            <w:r>
              <w:t xml:space="preserve">Значения коэффициентов </w:t>
            </w:r>
            <w:r>
              <w:rPr>
                <w:noProof/>
                <w:position w:val="-10"/>
              </w:rPr>
              <w:drawing>
                <wp:inline distT="0" distB="0" distL="0" distR="0">
                  <wp:extent cx="229870" cy="273685"/>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229870" cy="273685"/>
                          </a:xfrm>
                          <a:prstGeom prst="rect">
                            <a:avLst/>
                          </a:prstGeom>
                          <a:noFill/>
                          <a:ln>
                            <a:noFill/>
                          </a:ln>
                        </pic:spPr>
                      </pic:pic>
                    </a:graphicData>
                  </a:graphic>
                </wp:inline>
              </w:drawing>
            </w:r>
            <w:r>
              <w:t xml:space="preserve"> и </w:t>
            </w:r>
            <w:r>
              <w:rPr>
                <w:noProof/>
                <w:position w:val="-10"/>
              </w:rPr>
              <w:drawing>
                <wp:inline distT="0" distB="0" distL="0" distR="0">
                  <wp:extent cx="273685" cy="273685"/>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inline>
              </w:drawing>
            </w:r>
            <w:r>
              <w:t xml:space="preserve"> при </w:t>
            </w:r>
            <w:r>
              <w:rPr>
                <w:noProof/>
                <w:position w:val="-3"/>
              </w:rPr>
              <w:drawing>
                <wp:inline distT="0" distB="0" distL="0" distR="0">
                  <wp:extent cx="167640" cy="187960"/>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67640" cy="187960"/>
                          </a:xfrm>
                          <a:prstGeom prst="rect">
                            <a:avLst/>
                          </a:prstGeom>
                          <a:noFill/>
                          <a:ln>
                            <a:noFill/>
                          </a:ln>
                        </pic:spPr>
                      </pic:pic>
                    </a:graphicData>
                  </a:graphic>
                </wp:inline>
              </w:drawing>
            </w:r>
          </w:p>
        </w:tc>
      </w:tr>
      <w:tr w:rsidR="00212513">
        <w:tc>
          <w:tcPr>
            <w:tcW w:w="2438" w:type="dxa"/>
            <w:vMerge/>
            <w:tcBorders>
              <w:top w:val="single" w:sz="4" w:space="0" w:color="auto"/>
              <w:bottom w:val="single" w:sz="4" w:space="0" w:color="auto"/>
            </w:tcBorders>
          </w:tcPr>
          <w:p w:rsidR="00212513" w:rsidRDefault="00212513">
            <w:pPr>
              <w:pStyle w:val="ConsPlusNormal"/>
            </w:pPr>
          </w:p>
        </w:tc>
        <w:tc>
          <w:tcPr>
            <w:tcW w:w="737" w:type="dxa"/>
            <w:tcBorders>
              <w:top w:val="single" w:sz="4" w:space="0" w:color="auto"/>
              <w:bottom w:val="single" w:sz="4" w:space="0" w:color="auto"/>
            </w:tcBorders>
            <w:vAlign w:val="center"/>
          </w:tcPr>
          <w:p w:rsidR="00212513" w:rsidRDefault="00212513">
            <w:pPr>
              <w:pStyle w:val="ConsPlusNormal"/>
              <w:jc w:val="center"/>
            </w:pPr>
            <w:r>
              <w:t>0,4</w:t>
            </w:r>
          </w:p>
        </w:tc>
        <w:tc>
          <w:tcPr>
            <w:tcW w:w="737" w:type="dxa"/>
            <w:tcBorders>
              <w:top w:val="single" w:sz="4" w:space="0" w:color="auto"/>
              <w:bottom w:val="single" w:sz="4" w:space="0" w:color="auto"/>
            </w:tcBorders>
            <w:vAlign w:val="center"/>
          </w:tcPr>
          <w:p w:rsidR="00212513" w:rsidRDefault="00212513">
            <w:pPr>
              <w:pStyle w:val="ConsPlusNormal"/>
              <w:jc w:val="center"/>
            </w:pPr>
            <w:r>
              <w:t>0,5</w:t>
            </w:r>
          </w:p>
        </w:tc>
        <w:tc>
          <w:tcPr>
            <w:tcW w:w="737" w:type="dxa"/>
            <w:tcBorders>
              <w:top w:val="single" w:sz="4" w:space="0" w:color="auto"/>
              <w:bottom w:val="single" w:sz="4" w:space="0" w:color="auto"/>
            </w:tcBorders>
            <w:vAlign w:val="center"/>
          </w:tcPr>
          <w:p w:rsidR="00212513" w:rsidRDefault="00212513">
            <w:pPr>
              <w:pStyle w:val="ConsPlusNormal"/>
              <w:jc w:val="center"/>
            </w:pPr>
            <w:r>
              <w:t>0,6</w:t>
            </w:r>
          </w:p>
        </w:tc>
        <w:tc>
          <w:tcPr>
            <w:tcW w:w="737" w:type="dxa"/>
            <w:tcBorders>
              <w:top w:val="single" w:sz="4" w:space="0" w:color="auto"/>
              <w:bottom w:val="single" w:sz="4" w:space="0" w:color="auto"/>
            </w:tcBorders>
            <w:vAlign w:val="center"/>
          </w:tcPr>
          <w:p w:rsidR="00212513" w:rsidRDefault="00212513">
            <w:pPr>
              <w:pStyle w:val="ConsPlusNormal"/>
              <w:jc w:val="center"/>
            </w:pPr>
            <w:r>
              <w:t>0,7</w:t>
            </w:r>
          </w:p>
        </w:tc>
        <w:tc>
          <w:tcPr>
            <w:tcW w:w="737" w:type="dxa"/>
            <w:tcBorders>
              <w:top w:val="single" w:sz="4" w:space="0" w:color="auto"/>
              <w:bottom w:val="single" w:sz="4" w:space="0" w:color="auto"/>
            </w:tcBorders>
            <w:vAlign w:val="center"/>
          </w:tcPr>
          <w:p w:rsidR="00212513" w:rsidRDefault="00212513">
            <w:pPr>
              <w:pStyle w:val="ConsPlusNormal"/>
              <w:jc w:val="center"/>
            </w:pPr>
            <w:r>
              <w:t>0,75</w:t>
            </w:r>
          </w:p>
        </w:tc>
        <w:tc>
          <w:tcPr>
            <w:tcW w:w="737" w:type="dxa"/>
            <w:tcBorders>
              <w:top w:val="single" w:sz="4" w:space="0" w:color="auto"/>
              <w:bottom w:val="single" w:sz="4" w:space="0" w:color="auto"/>
            </w:tcBorders>
            <w:vAlign w:val="center"/>
          </w:tcPr>
          <w:p w:rsidR="00212513" w:rsidRDefault="00212513">
            <w:pPr>
              <w:pStyle w:val="ConsPlusNormal"/>
              <w:jc w:val="center"/>
            </w:pPr>
            <w:r>
              <w:t>0,8</w:t>
            </w:r>
          </w:p>
        </w:tc>
        <w:tc>
          <w:tcPr>
            <w:tcW w:w="737" w:type="dxa"/>
            <w:tcBorders>
              <w:top w:val="single" w:sz="4" w:space="0" w:color="auto"/>
              <w:bottom w:val="single" w:sz="4" w:space="0" w:color="auto"/>
            </w:tcBorders>
            <w:vAlign w:val="center"/>
          </w:tcPr>
          <w:p w:rsidR="00212513" w:rsidRDefault="00212513">
            <w:pPr>
              <w:pStyle w:val="ConsPlusNormal"/>
              <w:jc w:val="center"/>
            </w:pPr>
            <w:r>
              <w:t>0,85</w:t>
            </w:r>
          </w:p>
        </w:tc>
        <w:tc>
          <w:tcPr>
            <w:tcW w:w="737" w:type="dxa"/>
            <w:tcBorders>
              <w:top w:val="single" w:sz="4" w:space="0" w:color="auto"/>
              <w:bottom w:val="single" w:sz="4" w:space="0" w:color="auto"/>
            </w:tcBorders>
            <w:vAlign w:val="center"/>
          </w:tcPr>
          <w:p w:rsidR="00212513" w:rsidRDefault="00212513">
            <w:pPr>
              <w:pStyle w:val="ConsPlusNormal"/>
              <w:jc w:val="center"/>
            </w:pPr>
            <w:r>
              <w:t>0,9</w:t>
            </w:r>
          </w:p>
        </w:tc>
        <w:tc>
          <w:tcPr>
            <w:tcW w:w="737" w:type="dxa"/>
            <w:tcBorders>
              <w:top w:val="single" w:sz="4" w:space="0" w:color="auto"/>
              <w:bottom w:val="single" w:sz="4" w:space="0" w:color="auto"/>
            </w:tcBorders>
            <w:vAlign w:val="center"/>
          </w:tcPr>
          <w:p w:rsidR="00212513" w:rsidRDefault="00212513">
            <w:pPr>
              <w:pStyle w:val="ConsPlusNormal"/>
              <w:jc w:val="center"/>
            </w:pPr>
            <w:r>
              <w:t>1,0</w:t>
            </w:r>
          </w:p>
        </w:tc>
      </w:tr>
      <w:tr w:rsidR="00212513">
        <w:tblPrEx>
          <w:tblBorders>
            <w:insideH w:val="none" w:sz="0" w:space="0" w:color="auto"/>
          </w:tblBorders>
        </w:tblPrEx>
        <w:tc>
          <w:tcPr>
            <w:tcW w:w="9071" w:type="dxa"/>
            <w:gridSpan w:val="10"/>
            <w:tcBorders>
              <w:top w:val="single" w:sz="4" w:space="0" w:color="auto"/>
              <w:bottom w:val="nil"/>
            </w:tcBorders>
          </w:tcPr>
          <w:p w:rsidR="00212513" w:rsidRDefault="00212513">
            <w:pPr>
              <w:pStyle w:val="ConsPlusNormal"/>
              <w:jc w:val="center"/>
            </w:pPr>
            <w:r>
              <w:t>Коэффициент </w:t>
            </w:r>
            <w:r>
              <w:rPr>
                <w:noProof/>
                <w:position w:val="-10"/>
              </w:rPr>
              <w:drawing>
                <wp:inline distT="0" distB="0" distL="0" distR="0">
                  <wp:extent cx="229870" cy="273685"/>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229870" cy="273685"/>
                          </a:xfrm>
                          <a:prstGeom prst="rect">
                            <a:avLst/>
                          </a:prstGeom>
                          <a:noFill/>
                          <a:ln>
                            <a:noFill/>
                          </a:ln>
                        </pic:spPr>
                      </pic:pic>
                    </a:graphicData>
                  </a:graphic>
                </wp:inline>
              </w:drawing>
            </w:r>
          </w:p>
        </w:tc>
      </w:tr>
      <w:tr w:rsidR="00212513">
        <w:tblPrEx>
          <w:tblBorders>
            <w:insideH w:val="none" w:sz="0" w:space="0" w:color="auto"/>
          </w:tblBorders>
        </w:tblPrEx>
        <w:tc>
          <w:tcPr>
            <w:tcW w:w="2438" w:type="dxa"/>
            <w:tcBorders>
              <w:top w:val="nil"/>
              <w:bottom w:val="nil"/>
            </w:tcBorders>
          </w:tcPr>
          <w:p w:rsidR="00212513" w:rsidRDefault="00212513">
            <w:pPr>
              <w:pStyle w:val="ConsPlusNormal"/>
              <w:ind w:left="283"/>
            </w:pPr>
            <w:r>
              <w:t>А240</w:t>
            </w:r>
          </w:p>
        </w:tc>
        <w:tc>
          <w:tcPr>
            <w:tcW w:w="737" w:type="dxa"/>
            <w:tcBorders>
              <w:top w:val="nil"/>
              <w:bottom w:val="nil"/>
            </w:tcBorders>
          </w:tcPr>
          <w:p w:rsidR="00212513" w:rsidRDefault="00212513">
            <w:pPr>
              <w:pStyle w:val="ConsPlusNormal"/>
              <w:jc w:val="center"/>
            </w:pPr>
            <w:r>
              <w:t>1</w:t>
            </w:r>
          </w:p>
        </w:tc>
        <w:tc>
          <w:tcPr>
            <w:tcW w:w="737" w:type="dxa"/>
            <w:tcBorders>
              <w:top w:val="nil"/>
              <w:bottom w:val="nil"/>
            </w:tcBorders>
          </w:tcPr>
          <w:p w:rsidR="00212513" w:rsidRDefault="00212513">
            <w:pPr>
              <w:pStyle w:val="ConsPlusNormal"/>
              <w:jc w:val="center"/>
            </w:pPr>
            <w:r>
              <w:t>1</w:t>
            </w:r>
          </w:p>
        </w:tc>
        <w:tc>
          <w:tcPr>
            <w:tcW w:w="737" w:type="dxa"/>
            <w:tcBorders>
              <w:top w:val="nil"/>
              <w:bottom w:val="nil"/>
            </w:tcBorders>
          </w:tcPr>
          <w:p w:rsidR="00212513" w:rsidRDefault="00212513">
            <w:pPr>
              <w:pStyle w:val="ConsPlusNormal"/>
              <w:jc w:val="center"/>
            </w:pPr>
            <w:r>
              <w:t>1</w:t>
            </w:r>
          </w:p>
        </w:tc>
        <w:tc>
          <w:tcPr>
            <w:tcW w:w="737" w:type="dxa"/>
            <w:tcBorders>
              <w:top w:val="nil"/>
              <w:bottom w:val="nil"/>
            </w:tcBorders>
          </w:tcPr>
          <w:p w:rsidR="00212513" w:rsidRDefault="00212513">
            <w:pPr>
              <w:pStyle w:val="ConsPlusNormal"/>
              <w:jc w:val="center"/>
            </w:pPr>
            <w:r>
              <w:t>1</w:t>
            </w:r>
          </w:p>
        </w:tc>
        <w:tc>
          <w:tcPr>
            <w:tcW w:w="737" w:type="dxa"/>
            <w:tcBorders>
              <w:top w:val="nil"/>
              <w:bottom w:val="nil"/>
            </w:tcBorders>
          </w:tcPr>
          <w:p w:rsidR="00212513" w:rsidRDefault="00212513">
            <w:pPr>
              <w:pStyle w:val="ConsPlusNormal"/>
              <w:jc w:val="center"/>
            </w:pPr>
            <w:r>
              <w:t>1</w:t>
            </w:r>
          </w:p>
        </w:tc>
        <w:tc>
          <w:tcPr>
            <w:tcW w:w="737" w:type="dxa"/>
            <w:tcBorders>
              <w:top w:val="nil"/>
              <w:bottom w:val="nil"/>
            </w:tcBorders>
          </w:tcPr>
          <w:p w:rsidR="00212513" w:rsidRDefault="00212513">
            <w:pPr>
              <w:pStyle w:val="ConsPlusNormal"/>
              <w:jc w:val="center"/>
            </w:pPr>
            <w:r>
              <w:t>1</w:t>
            </w:r>
          </w:p>
        </w:tc>
        <w:tc>
          <w:tcPr>
            <w:tcW w:w="737" w:type="dxa"/>
            <w:tcBorders>
              <w:top w:val="nil"/>
              <w:bottom w:val="nil"/>
            </w:tcBorders>
          </w:tcPr>
          <w:p w:rsidR="00212513" w:rsidRDefault="00212513">
            <w:pPr>
              <w:pStyle w:val="ConsPlusNormal"/>
              <w:jc w:val="center"/>
            </w:pPr>
            <w:r>
              <w:t>1</w:t>
            </w:r>
          </w:p>
        </w:tc>
        <w:tc>
          <w:tcPr>
            <w:tcW w:w="737" w:type="dxa"/>
            <w:tcBorders>
              <w:top w:val="nil"/>
              <w:bottom w:val="nil"/>
            </w:tcBorders>
          </w:tcPr>
          <w:p w:rsidR="00212513" w:rsidRDefault="00212513">
            <w:pPr>
              <w:pStyle w:val="ConsPlusNormal"/>
              <w:jc w:val="center"/>
            </w:pPr>
            <w:r>
              <w:t>1</w:t>
            </w:r>
          </w:p>
        </w:tc>
        <w:tc>
          <w:tcPr>
            <w:tcW w:w="737" w:type="dxa"/>
            <w:tcBorders>
              <w:top w:val="nil"/>
              <w:bottom w:val="nil"/>
            </w:tcBorders>
          </w:tcPr>
          <w:p w:rsidR="00212513" w:rsidRDefault="00212513">
            <w:pPr>
              <w:pStyle w:val="ConsPlusNormal"/>
              <w:jc w:val="center"/>
            </w:pPr>
            <w:r>
              <w:t>1</w:t>
            </w:r>
          </w:p>
        </w:tc>
      </w:tr>
      <w:tr w:rsidR="00212513">
        <w:tblPrEx>
          <w:tblBorders>
            <w:insideH w:val="none" w:sz="0" w:space="0" w:color="auto"/>
          </w:tblBorders>
        </w:tblPrEx>
        <w:tc>
          <w:tcPr>
            <w:tcW w:w="2438" w:type="dxa"/>
            <w:tcBorders>
              <w:top w:val="nil"/>
              <w:bottom w:val="nil"/>
            </w:tcBorders>
          </w:tcPr>
          <w:p w:rsidR="00212513" w:rsidRDefault="00212513">
            <w:pPr>
              <w:pStyle w:val="ConsPlusNormal"/>
              <w:ind w:left="283"/>
            </w:pPr>
            <w:r>
              <w:t>А300</w:t>
            </w:r>
          </w:p>
        </w:tc>
        <w:tc>
          <w:tcPr>
            <w:tcW w:w="737" w:type="dxa"/>
            <w:tcBorders>
              <w:top w:val="nil"/>
              <w:bottom w:val="nil"/>
            </w:tcBorders>
          </w:tcPr>
          <w:p w:rsidR="00212513" w:rsidRDefault="00212513">
            <w:pPr>
              <w:pStyle w:val="ConsPlusNormal"/>
              <w:jc w:val="center"/>
            </w:pPr>
            <w:r>
              <w:t>0,87</w:t>
            </w:r>
          </w:p>
        </w:tc>
        <w:tc>
          <w:tcPr>
            <w:tcW w:w="737" w:type="dxa"/>
            <w:tcBorders>
              <w:top w:val="nil"/>
              <w:bottom w:val="nil"/>
            </w:tcBorders>
          </w:tcPr>
          <w:p w:rsidR="00212513" w:rsidRDefault="00212513">
            <w:pPr>
              <w:pStyle w:val="ConsPlusNormal"/>
              <w:jc w:val="center"/>
            </w:pPr>
            <w:r>
              <w:t>0,94</w:t>
            </w:r>
          </w:p>
        </w:tc>
        <w:tc>
          <w:tcPr>
            <w:tcW w:w="737" w:type="dxa"/>
            <w:tcBorders>
              <w:top w:val="nil"/>
              <w:bottom w:val="nil"/>
            </w:tcBorders>
          </w:tcPr>
          <w:p w:rsidR="00212513" w:rsidRDefault="00212513">
            <w:pPr>
              <w:pStyle w:val="ConsPlusNormal"/>
              <w:jc w:val="center"/>
            </w:pPr>
            <w:r>
              <w:t>1</w:t>
            </w:r>
          </w:p>
        </w:tc>
        <w:tc>
          <w:tcPr>
            <w:tcW w:w="737" w:type="dxa"/>
            <w:tcBorders>
              <w:top w:val="nil"/>
              <w:bottom w:val="nil"/>
            </w:tcBorders>
          </w:tcPr>
          <w:p w:rsidR="00212513" w:rsidRDefault="00212513">
            <w:pPr>
              <w:pStyle w:val="ConsPlusNormal"/>
              <w:jc w:val="center"/>
            </w:pPr>
            <w:r>
              <w:t>1</w:t>
            </w:r>
          </w:p>
        </w:tc>
        <w:tc>
          <w:tcPr>
            <w:tcW w:w="737" w:type="dxa"/>
            <w:tcBorders>
              <w:top w:val="nil"/>
              <w:bottom w:val="nil"/>
            </w:tcBorders>
          </w:tcPr>
          <w:p w:rsidR="00212513" w:rsidRDefault="00212513">
            <w:pPr>
              <w:pStyle w:val="ConsPlusNormal"/>
              <w:jc w:val="center"/>
            </w:pPr>
            <w:r>
              <w:t>1</w:t>
            </w:r>
          </w:p>
        </w:tc>
        <w:tc>
          <w:tcPr>
            <w:tcW w:w="737" w:type="dxa"/>
            <w:tcBorders>
              <w:top w:val="nil"/>
              <w:bottom w:val="nil"/>
            </w:tcBorders>
          </w:tcPr>
          <w:p w:rsidR="00212513" w:rsidRDefault="00212513">
            <w:pPr>
              <w:pStyle w:val="ConsPlusNormal"/>
              <w:jc w:val="center"/>
            </w:pPr>
            <w:r>
              <w:t>1</w:t>
            </w:r>
          </w:p>
        </w:tc>
        <w:tc>
          <w:tcPr>
            <w:tcW w:w="737" w:type="dxa"/>
            <w:tcBorders>
              <w:top w:val="nil"/>
              <w:bottom w:val="nil"/>
            </w:tcBorders>
          </w:tcPr>
          <w:p w:rsidR="00212513" w:rsidRDefault="00212513">
            <w:pPr>
              <w:pStyle w:val="ConsPlusNormal"/>
              <w:jc w:val="center"/>
            </w:pPr>
            <w:r>
              <w:t>1</w:t>
            </w:r>
          </w:p>
        </w:tc>
        <w:tc>
          <w:tcPr>
            <w:tcW w:w="737" w:type="dxa"/>
            <w:tcBorders>
              <w:top w:val="nil"/>
              <w:bottom w:val="nil"/>
            </w:tcBorders>
          </w:tcPr>
          <w:p w:rsidR="00212513" w:rsidRDefault="00212513">
            <w:pPr>
              <w:pStyle w:val="ConsPlusNormal"/>
              <w:jc w:val="center"/>
            </w:pPr>
            <w:r>
              <w:t>1</w:t>
            </w:r>
          </w:p>
        </w:tc>
        <w:tc>
          <w:tcPr>
            <w:tcW w:w="737" w:type="dxa"/>
            <w:tcBorders>
              <w:top w:val="nil"/>
              <w:bottom w:val="nil"/>
            </w:tcBorders>
          </w:tcPr>
          <w:p w:rsidR="00212513" w:rsidRDefault="00212513">
            <w:pPr>
              <w:pStyle w:val="ConsPlusNormal"/>
              <w:jc w:val="center"/>
            </w:pPr>
            <w:r>
              <w:t>1</w:t>
            </w:r>
          </w:p>
        </w:tc>
      </w:tr>
      <w:tr w:rsidR="00212513">
        <w:tblPrEx>
          <w:tblBorders>
            <w:insideH w:val="none" w:sz="0" w:space="0" w:color="auto"/>
          </w:tblBorders>
        </w:tblPrEx>
        <w:tc>
          <w:tcPr>
            <w:tcW w:w="2438" w:type="dxa"/>
            <w:tcBorders>
              <w:top w:val="nil"/>
              <w:bottom w:val="nil"/>
            </w:tcBorders>
          </w:tcPr>
          <w:p w:rsidR="00212513" w:rsidRDefault="00212513">
            <w:pPr>
              <w:pStyle w:val="ConsPlusNormal"/>
              <w:ind w:left="283"/>
            </w:pPr>
            <w:r>
              <w:t>А3 00 (Ас-II)</w:t>
            </w:r>
          </w:p>
        </w:tc>
        <w:tc>
          <w:tcPr>
            <w:tcW w:w="737" w:type="dxa"/>
            <w:tcBorders>
              <w:top w:val="nil"/>
              <w:bottom w:val="nil"/>
            </w:tcBorders>
          </w:tcPr>
          <w:p w:rsidR="00212513" w:rsidRDefault="00212513">
            <w:pPr>
              <w:pStyle w:val="ConsPlusNormal"/>
              <w:jc w:val="center"/>
            </w:pPr>
            <w:r>
              <w:t>0,90</w:t>
            </w:r>
          </w:p>
        </w:tc>
        <w:tc>
          <w:tcPr>
            <w:tcW w:w="737" w:type="dxa"/>
            <w:tcBorders>
              <w:top w:val="nil"/>
              <w:bottom w:val="nil"/>
            </w:tcBorders>
          </w:tcPr>
          <w:p w:rsidR="00212513" w:rsidRDefault="00212513">
            <w:pPr>
              <w:pStyle w:val="ConsPlusNormal"/>
              <w:jc w:val="center"/>
            </w:pPr>
            <w:r>
              <w:t>0,92</w:t>
            </w:r>
          </w:p>
        </w:tc>
        <w:tc>
          <w:tcPr>
            <w:tcW w:w="737" w:type="dxa"/>
            <w:tcBorders>
              <w:top w:val="nil"/>
              <w:bottom w:val="nil"/>
            </w:tcBorders>
          </w:tcPr>
          <w:p w:rsidR="00212513" w:rsidRDefault="00212513">
            <w:pPr>
              <w:pStyle w:val="ConsPlusNormal"/>
              <w:jc w:val="center"/>
            </w:pPr>
            <w:r>
              <w:t>0,94</w:t>
            </w:r>
          </w:p>
        </w:tc>
        <w:tc>
          <w:tcPr>
            <w:tcW w:w="737" w:type="dxa"/>
            <w:tcBorders>
              <w:top w:val="nil"/>
              <w:bottom w:val="nil"/>
            </w:tcBorders>
          </w:tcPr>
          <w:p w:rsidR="00212513" w:rsidRDefault="00212513">
            <w:pPr>
              <w:pStyle w:val="ConsPlusNormal"/>
              <w:jc w:val="center"/>
            </w:pPr>
            <w:r>
              <w:t>1</w:t>
            </w:r>
          </w:p>
        </w:tc>
        <w:tc>
          <w:tcPr>
            <w:tcW w:w="737" w:type="dxa"/>
            <w:tcBorders>
              <w:top w:val="nil"/>
              <w:bottom w:val="nil"/>
            </w:tcBorders>
          </w:tcPr>
          <w:p w:rsidR="00212513" w:rsidRDefault="00212513">
            <w:pPr>
              <w:pStyle w:val="ConsPlusNormal"/>
              <w:jc w:val="center"/>
            </w:pPr>
            <w:r>
              <w:t>1</w:t>
            </w:r>
          </w:p>
        </w:tc>
        <w:tc>
          <w:tcPr>
            <w:tcW w:w="737" w:type="dxa"/>
            <w:tcBorders>
              <w:top w:val="nil"/>
              <w:bottom w:val="nil"/>
            </w:tcBorders>
          </w:tcPr>
          <w:p w:rsidR="00212513" w:rsidRDefault="00212513">
            <w:pPr>
              <w:pStyle w:val="ConsPlusNormal"/>
              <w:jc w:val="center"/>
            </w:pPr>
            <w:r>
              <w:t>1</w:t>
            </w:r>
          </w:p>
        </w:tc>
        <w:tc>
          <w:tcPr>
            <w:tcW w:w="737" w:type="dxa"/>
            <w:tcBorders>
              <w:top w:val="nil"/>
              <w:bottom w:val="nil"/>
            </w:tcBorders>
          </w:tcPr>
          <w:p w:rsidR="00212513" w:rsidRDefault="00212513">
            <w:pPr>
              <w:pStyle w:val="ConsPlusNormal"/>
              <w:jc w:val="center"/>
            </w:pPr>
            <w:r>
              <w:t>1</w:t>
            </w:r>
          </w:p>
        </w:tc>
        <w:tc>
          <w:tcPr>
            <w:tcW w:w="737" w:type="dxa"/>
            <w:tcBorders>
              <w:top w:val="nil"/>
              <w:bottom w:val="nil"/>
            </w:tcBorders>
          </w:tcPr>
          <w:p w:rsidR="00212513" w:rsidRDefault="00212513">
            <w:pPr>
              <w:pStyle w:val="ConsPlusNormal"/>
              <w:jc w:val="center"/>
            </w:pPr>
            <w:r>
              <w:t>1</w:t>
            </w:r>
          </w:p>
        </w:tc>
        <w:tc>
          <w:tcPr>
            <w:tcW w:w="737" w:type="dxa"/>
            <w:tcBorders>
              <w:top w:val="nil"/>
              <w:bottom w:val="nil"/>
            </w:tcBorders>
          </w:tcPr>
          <w:p w:rsidR="00212513" w:rsidRDefault="00212513">
            <w:pPr>
              <w:pStyle w:val="ConsPlusNormal"/>
              <w:jc w:val="center"/>
            </w:pPr>
            <w:r>
              <w:t>1</w:t>
            </w:r>
          </w:p>
        </w:tc>
      </w:tr>
      <w:tr w:rsidR="00212513">
        <w:tblPrEx>
          <w:tblBorders>
            <w:insideH w:val="none" w:sz="0" w:space="0" w:color="auto"/>
          </w:tblBorders>
        </w:tblPrEx>
        <w:tc>
          <w:tcPr>
            <w:tcW w:w="2438" w:type="dxa"/>
            <w:tcBorders>
              <w:top w:val="nil"/>
              <w:bottom w:val="single" w:sz="4" w:space="0" w:color="auto"/>
            </w:tcBorders>
          </w:tcPr>
          <w:p w:rsidR="00212513" w:rsidRDefault="00212513">
            <w:pPr>
              <w:pStyle w:val="ConsPlusNormal"/>
              <w:ind w:left="283"/>
            </w:pPr>
            <w:r>
              <w:t>А400</w:t>
            </w:r>
          </w:p>
        </w:tc>
        <w:tc>
          <w:tcPr>
            <w:tcW w:w="737" w:type="dxa"/>
            <w:tcBorders>
              <w:top w:val="nil"/>
              <w:bottom w:val="single" w:sz="4" w:space="0" w:color="auto"/>
            </w:tcBorders>
          </w:tcPr>
          <w:p w:rsidR="00212513" w:rsidRDefault="00212513">
            <w:pPr>
              <w:pStyle w:val="ConsPlusNormal"/>
              <w:jc w:val="center"/>
            </w:pPr>
            <w:r>
              <w:t>0,70</w:t>
            </w:r>
          </w:p>
        </w:tc>
        <w:tc>
          <w:tcPr>
            <w:tcW w:w="737" w:type="dxa"/>
            <w:tcBorders>
              <w:top w:val="nil"/>
              <w:bottom w:val="single" w:sz="4" w:space="0" w:color="auto"/>
            </w:tcBorders>
          </w:tcPr>
          <w:p w:rsidR="00212513" w:rsidRDefault="00212513">
            <w:pPr>
              <w:pStyle w:val="ConsPlusNormal"/>
              <w:jc w:val="center"/>
            </w:pPr>
            <w:r>
              <w:t>0,75</w:t>
            </w:r>
          </w:p>
        </w:tc>
        <w:tc>
          <w:tcPr>
            <w:tcW w:w="737" w:type="dxa"/>
            <w:tcBorders>
              <w:top w:val="nil"/>
              <w:bottom w:val="single" w:sz="4" w:space="0" w:color="auto"/>
            </w:tcBorders>
          </w:tcPr>
          <w:p w:rsidR="00212513" w:rsidRDefault="00212513">
            <w:pPr>
              <w:pStyle w:val="ConsPlusNormal"/>
              <w:jc w:val="center"/>
            </w:pPr>
            <w:r>
              <w:t>0,81</w:t>
            </w:r>
          </w:p>
        </w:tc>
        <w:tc>
          <w:tcPr>
            <w:tcW w:w="737" w:type="dxa"/>
            <w:tcBorders>
              <w:top w:val="nil"/>
              <w:bottom w:val="single" w:sz="4" w:space="0" w:color="auto"/>
            </w:tcBorders>
          </w:tcPr>
          <w:p w:rsidR="00212513" w:rsidRDefault="00212513">
            <w:pPr>
              <w:pStyle w:val="ConsPlusNormal"/>
              <w:jc w:val="center"/>
            </w:pPr>
            <w:r>
              <w:t>0,90</w:t>
            </w:r>
          </w:p>
        </w:tc>
        <w:tc>
          <w:tcPr>
            <w:tcW w:w="737" w:type="dxa"/>
            <w:tcBorders>
              <w:top w:val="nil"/>
              <w:bottom w:val="single" w:sz="4" w:space="0" w:color="auto"/>
            </w:tcBorders>
          </w:tcPr>
          <w:p w:rsidR="00212513" w:rsidRDefault="00212513">
            <w:pPr>
              <w:pStyle w:val="ConsPlusNormal"/>
              <w:jc w:val="center"/>
            </w:pPr>
            <w:r>
              <w:t>0,95</w:t>
            </w:r>
          </w:p>
        </w:tc>
        <w:tc>
          <w:tcPr>
            <w:tcW w:w="737" w:type="dxa"/>
            <w:tcBorders>
              <w:top w:val="nil"/>
              <w:bottom w:val="single" w:sz="4" w:space="0" w:color="auto"/>
            </w:tcBorders>
          </w:tcPr>
          <w:p w:rsidR="00212513" w:rsidRDefault="00212513">
            <w:pPr>
              <w:pStyle w:val="ConsPlusNormal"/>
              <w:jc w:val="center"/>
            </w:pPr>
            <w:r>
              <w:t>1</w:t>
            </w:r>
          </w:p>
        </w:tc>
        <w:tc>
          <w:tcPr>
            <w:tcW w:w="737" w:type="dxa"/>
            <w:tcBorders>
              <w:top w:val="nil"/>
              <w:bottom w:val="single" w:sz="4" w:space="0" w:color="auto"/>
            </w:tcBorders>
          </w:tcPr>
          <w:p w:rsidR="00212513" w:rsidRDefault="00212513">
            <w:pPr>
              <w:pStyle w:val="ConsPlusNormal"/>
              <w:jc w:val="center"/>
            </w:pPr>
            <w:r>
              <w:t>1</w:t>
            </w:r>
          </w:p>
        </w:tc>
        <w:tc>
          <w:tcPr>
            <w:tcW w:w="737" w:type="dxa"/>
            <w:tcBorders>
              <w:top w:val="nil"/>
              <w:bottom w:val="single" w:sz="4" w:space="0" w:color="auto"/>
            </w:tcBorders>
          </w:tcPr>
          <w:p w:rsidR="00212513" w:rsidRDefault="00212513">
            <w:pPr>
              <w:pStyle w:val="ConsPlusNormal"/>
              <w:jc w:val="center"/>
            </w:pPr>
            <w:r>
              <w:t>1</w:t>
            </w:r>
          </w:p>
        </w:tc>
        <w:tc>
          <w:tcPr>
            <w:tcW w:w="737" w:type="dxa"/>
            <w:tcBorders>
              <w:top w:val="nil"/>
              <w:bottom w:val="single" w:sz="4" w:space="0" w:color="auto"/>
            </w:tcBorders>
          </w:tcPr>
          <w:p w:rsidR="00212513" w:rsidRDefault="00212513">
            <w:pPr>
              <w:pStyle w:val="ConsPlusNormal"/>
              <w:jc w:val="center"/>
            </w:pPr>
            <w:r>
              <w:t>1</w:t>
            </w:r>
          </w:p>
        </w:tc>
      </w:tr>
      <w:tr w:rsidR="00212513">
        <w:tblPrEx>
          <w:tblBorders>
            <w:insideH w:val="none" w:sz="0" w:space="0" w:color="auto"/>
          </w:tblBorders>
        </w:tblPrEx>
        <w:tc>
          <w:tcPr>
            <w:tcW w:w="9071" w:type="dxa"/>
            <w:gridSpan w:val="10"/>
            <w:tcBorders>
              <w:top w:val="single" w:sz="4" w:space="0" w:color="auto"/>
              <w:bottom w:val="nil"/>
            </w:tcBorders>
          </w:tcPr>
          <w:p w:rsidR="00212513" w:rsidRDefault="00212513">
            <w:pPr>
              <w:pStyle w:val="ConsPlusNormal"/>
              <w:jc w:val="center"/>
            </w:pPr>
            <w:r>
              <w:t>Коэффициент </w:t>
            </w:r>
            <w:r>
              <w:rPr>
                <w:noProof/>
                <w:position w:val="-10"/>
              </w:rPr>
              <w:drawing>
                <wp:inline distT="0" distB="0" distL="0" distR="0">
                  <wp:extent cx="273685" cy="273685"/>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inline>
              </w:drawing>
            </w:r>
          </w:p>
        </w:tc>
      </w:tr>
      <w:tr w:rsidR="00212513">
        <w:tblPrEx>
          <w:tblBorders>
            <w:insideH w:val="none" w:sz="0" w:space="0" w:color="auto"/>
          </w:tblBorders>
        </w:tblPrEx>
        <w:tc>
          <w:tcPr>
            <w:tcW w:w="2438" w:type="dxa"/>
            <w:tcBorders>
              <w:top w:val="nil"/>
              <w:bottom w:val="nil"/>
            </w:tcBorders>
          </w:tcPr>
          <w:p w:rsidR="00212513" w:rsidRDefault="00212513">
            <w:pPr>
              <w:pStyle w:val="ConsPlusNormal"/>
              <w:ind w:left="283"/>
            </w:pPr>
            <w:r>
              <w:t>А600 (без стыков или со стыками, выполненными контактной сваркой с механической зачисткой)</w:t>
            </w:r>
          </w:p>
        </w:tc>
        <w:tc>
          <w:tcPr>
            <w:tcW w:w="737" w:type="dxa"/>
            <w:tcBorders>
              <w:top w:val="nil"/>
              <w:bottom w:val="nil"/>
            </w:tcBorders>
          </w:tcPr>
          <w:p w:rsidR="00212513" w:rsidRDefault="00212513">
            <w:pPr>
              <w:pStyle w:val="ConsPlusNormal"/>
              <w:jc w:val="center"/>
            </w:pPr>
            <w:r>
              <w:t>0,38</w:t>
            </w:r>
          </w:p>
        </w:tc>
        <w:tc>
          <w:tcPr>
            <w:tcW w:w="737" w:type="dxa"/>
            <w:tcBorders>
              <w:top w:val="nil"/>
              <w:bottom w:val="nil"/>
            </w:tcBorders>
          </w:tcPr>
          <w:p w:rsidR="00212513" w:rsidRDefault="00212513">
            <w:pPr>
              <w:pStyle w:val="ConsPlusNormal"/>
              <w:jc w:val="center"/>
            </w:pPr>
            <w:r>
              <w:t>0,49</w:t>
            </w:r>
          </w:p>
        </w:tc>
        <w:tc>
          <w:tcPr>
            <w:tcW w:w="737" w:type="dxa"/>
            <w:tcBorders>
              <w:top w:val="nil"/>
              <w:bottom w:val="nil"/>
            </w:tcBorders>
          </w:tcPr>
          <w:p w:rsidR="00212513" w:rsidRDefault="00212513">
            <w:pPr>
              <w:pStyle w:val="ConsPlusNormal"/>
              <w:jc w:val="center"/>
            </w:pPr>
            <w:r>
              <w:t>0,70</w:t>
            </w:r>
          </w:p>
        </w:tc>
        <w:tc>
          <w:tcPr>
            <w:tcW w:w="737" w:type="dxa"/>
            <w:tcBorders>
              <w:top w:val="nil"/>
              <w:bottom w:val="nil"/>
            </w:tcBorders>
          </w:tcPr>
          <w:p w:rsidR="00212513" w:rsidRDefault="00212513">
            <w:pPr>
              <w:pStyle w:val="ConsPlusNormal"/>
              <w:jc w:val="center"/>
            </w:pPr>
            <w:r>
              <w:t>0,78</w:t>
            </w:r>
          </w:p>
        </w:tc>
        <w:tc>
          <w:tcPr>
            <w:tcW w:w="737" w:type="dxa"/>
            <w:tcBorders>
              <w:top w:val="nil"/>
              <w:bottom w:val="nil"/>
            </w:tcBorders>
          </w:tcPr>
          <w:p w:rsidR="00212513" w:rsidRDefault="00212513">
            <w:pPr>
              <w:pStyle w:val="ConsPlusNormal"/>
              <w:jc w:val="center"/>
            </w:pPr>
            <w:r>
              <w:t>0,85</w:t>
            </w:r>
          </w:p>
        </w:tc>
        <w:tc>
          <w:tcPr>
            <w:tcW w:w="737" w:type="dxa"/>
            <w:tcBorders>
              <w:top w:val="nil"/>
              <w:bottom w:val="nil"/>
            </w:tcBorders>
          </w:tcPr>
          <w:p w:rsidR="00212513" w:rsidRDefault="00212513">
            <w:pPr>
              <w:pStyle w:val="ConsPlusNormal"/>
              <w:jc w:val="center"/>
            </w:pPr>
            <w:r>
              <w:t>0,91</w:t>
            </w:r>
          </w:p>
        </w:tc>
        <w:tc>
          <w:tcPr>
            <w:tcW w:w="737" w:type="dxa"/>
            <w:tcBorders>
              <w:top w:val="nil"/>
              <w:bottom w:val="nil"/>
            </w:tcBorders>
          </w:tcPr>
          <w:p w:rsidR="00212513" w:rsidRDefault="00212513">
            <w:pPr>
              <w:pStyle w:val="ConsPlusNormal"/>
              <w:jc w:val="center"/>
            </w:pPr>
            <w:r>
              <w:t>0,94</w:t>
            </w:r>
          </w:p>
        </w:tc>
        <w:tc>
          <w:tcPr>
            <w:tcW w:w="737" w:type="dxa"/>
            <w:tcBorders>
              <w:top w:val="nil"/>
              <w:bottom w:val="nil"/>
            </w:tcBorders>
          </w:tcPr>
          <w:p w:rsidR="00212513" w:rsidRDefault="00212513">
            <w:pPr>
              <w:pStyle w:val="ConsPlusNormal"/>
              <w:jc w:val="center"/>
            </w:pPr>
            <w:r>
              <w:t>0,96</w:t>
            </w:r>
          </w:p>
        </w:tc>
        <w:tc>
          <w:tcPr>
            <w:tcW w:w="737" w:type="dxa"/>
            <w:tcBorders>
              <w:top w:val="nil"/>
              <w:bottom w:val="nil"/>
            </w:tcBorders>
          </w:tcPr>
          <w:p w:rsidR="00212513" w:rsidRDefault="00212513">
            <w:pPr>
              <w:pStyle w:val="ConsPlusNormal"/>
              <w:jc w:val="center"/>
            </w:pPr>
            <w:r>
              <w:t>1</w:t>
            </w:r>
          </w:p>
        </w:tc>
      </w:tr>
      <w:tr w:rsidR="00212513">
        <w:tblPrEx>
          <w:tblBorders>
            <w:insideH w:val="none" w:sz="0" w:space="0" w:color="auto"/>
          </w:tblBorders>
        </w:tblPrEx>
        <w:tc>
          <w:tcPr>
            <w:tcW w:w="2438" w:type="dxa"/>
            <w:tcBorders>
              <w:top w:val="nil"/>
              <w:bottom w:val="nil"/>
            </w:tcBorders>
          </w:tcPr>
          <w:p w:rsidR="00212513" w:rsidRDefault="00212513">
            <w:pPr>
              <w:pStyle w:val="ConsPlusNormal"/>
              <w:ind w:left="283"/>
            </w:pPr>
            <w:r>
              <w:t>В или пучки из нее</w:t>
            </w:r>
          </w:p>
        </w:tc>
        <w:tc>
          <w:tcPr>
            <w:tcW w:w="737" w:type="dxa"/>
            <w:tcBorders>
              <w:top w:val="nil"/>
              <w:bottom w:val="nil"/>
            </w:tcBorders>
          </w:tcPr>
          <w:p w:rsidR="00212513" w:rsidRDefault="00212513">
            <w:pPr>
              <w:pStyle w:val="ConsPlusNormal"/>
              <w:jc w:val="center"/>
            </w:pPr>
            <w:r>
              <w:t>-</w:t>
            </w:r>
          </w:p>
        </w:tc>
        <w:tc>
          <w:tcPr>
            <w:tcW w:w="737" w:type="dxa"/>
            <w:tcBorders>
              <w:top w:val="nil"/>
              <w:bottom w:val="nil"/>
            </w:tcBorders>
          </w:tcPr>
          <w:p w:rsidR="00212513" w:rsidRDefault="00212513">
            <w:pPr>
              <w:pStyle w:val="ConsPlusNormal"/>
              <w:jc w:val="center"/>
            </w:pPr>
            <w:r>
              <w:t>-</w:t>
            </w:r>
          </w:p>
        </w:tc>
        <w:tc>
          <w:tcPr>
            <w:tcW w:w="737" w:type="dxa"/>
            <w:tcBorders>
              <w:top w:val="nil"/>
              <w:bottom w:val="nil"/>
            </w:tcBorders>
          </w:tcPr>
          <w:p w:rsidR="00212513" w:rsidRDefault="00212513">
            <w:pPr>
              <w:pStyle w:val="ConsPlusNormal"/>
              <w:jc w:val="center"/>
            </w:pPr>
            <w:r>
              <w:t>-</w:t>
            </w:r>
          </w:p>
        </w:tc>
        <w:tc>
          <w:tcPr>
            <w:tcW w:w="737" w:type="dxa"/>
            <w:tcBorders>
              <w:top w:val="nil"/>
              <w:bottom w:val="nil"/>
            </w:tcBorders>
          </w:tcPr>
          <w:p w:rsidR="00212513" w:rsidRDefault="00212513">
            <w:pPr>
              <w:pStyle w:val="ConsPlusNormal"/>
              <w:jc w:val="center"/>
            </w:pPr>
            <w:r>
              <w:t>-</w:t>
            </w:r>
          </w:p>
        </w:tc>
        <w:tc>
          <w:tcPr>
            <w:tcW w:w="737" w:type="dxa"/>
            <w:tcBorders>
              <w:top w:val="nil"/>
              <w:bottom w:val="nil"/>
            </w:tcBorders>
          </w:tcPr>
          <w:p w:rsidR="00212513" w:rsidRDefault="00212513">
            <w:pPr>
              <w:pStyle w:val="ConsPlusNormal"/>
              <w:jc w:val="center"/>
            </w:pPr>
            <w:r>
              <w:t>0,85</w:t>
            </w:r>
          </w:p>
        </w:tc>
        <w:tc>
          <w:tcPr>
            <w:tcW w:w="737" w:type="dxa"/>
            <w:tcBorders>
              <w:top w:val="nil"/>
              <w:bottom w:val="nil"/>
            </w:tcBorders>
          </w:tcPr>
          <w:p w:rsidR="00212513" w:rsidRDefault="00212513">
            <w:pPr>
              <w:pStyle w:val="ConsPlusNormal"/>
              <w:jc w:val="center"/>
            </w:pPr>
            <w:r>
              <w:t>0,97</w:t>
            </w:r>
          </w:p>
        </w:tc>
        <w:tc>
          <w:tcPr>
            <w:tcW w:w="737" w:type="dxa"/>
            <w:tcBorders>
              <w:top w:val="nil"/>
              <w:bottom w:val="nil"/>
            </w:tcBorders>
          </w:tcPr>
          <w:p w:rsidR="00212513" w:rsidRDefault="00212513">
            <w:pPr>
              <w:pStyle w:val="ConsPlusNormal"/>
              <w:jc w:val="center"/>
            </w:pPr>
            <w:r>
              <w:t>1</w:t>
            </w:r>
          </w:p>
        </w:tc>
        <w:tc>
          <w:tcPr>
            <w:tcW w:w="737" w:type="dxa"/>
            <w:tcBorders>
              <w:top w:val="nil"/>
              <w:bottom w:val="nil"/>
            </w:tcBorders>
          </w:tcPr>
          <w:p w:rsidR="00212513" w:rsidRDefault="00212513">
            <w:pPr>
              <w:pStyle w:val="ConsPlusNormal"/>
              <w:jc w:val="center"/>
            </w:pPr>
            <w:r>
              <w:t>1</w:t>
            </w:r>
          </w:p>
        </w:tc>
        <w:tc>
          <w:tcPr>
            <w:tcW w:w="737" w:type="dxa"/>
            <w:tcBorders>
              <w:top w:val="nil"/>
              <w:bottom w:val="nil"/>
            </w:tcBorders>
          </w:tcPr>
          <w:p w:rsidR="00212513" w:rsidRDefault="00212513">
            <w:pPr>
              <w:pStyle w:val="ConsPlusNormal"/>
              <w:jc w:val="center"/>
            </w:pPr>
            <w:r>
              <w:t>1</w:t>
            </w:r>
          </w:p>
        </w:tc>
      </w:tr>
      <w:tr w:rsidR="00212513">
        <w:tblPrEx>
          <w:tblBorders>
            <w:insideH w:val="none" w:sz="0" w:space="0" w:color="auto"/>
          </w:tblBorders>
        </w:tblPrEx>
        <w:tc>
          <w:tcPr>
            <w:tcW w:w="2438" w:type="dxa"/>
            <w:tcBorders>
              <w:top w:val="nil"/>
              <w:bottom w:val="nil"/>
            </w:tcBorders>
          </w:tcPr>
          <w:p w:rsidR="00212513" w:rsidRDefault="00212513">
            <w:pPr>
              <w:pStyle w:val="ConsPlusNormal"/>
              <w:ind w:left="283"/>
            </w:pPr>
            <w:r>
              <w:t>Вр или пучки из нее</w:t>
            </w:r>
          </w:p>
        </w:tc>
        <w:tc>
          <w:tcPr>
            <w:tcW w:w="737" w:type="dxa"/>
            <w:tcBorders>
              <w:top w:val="nil"/>
              <w:bottom w:val="nil"/>
            </w:tcBorders>
          </w:tcPr>
          <w:p w:rsidR="00212513" w:rsidRDefault="00212513">
            <w:pPr>
              <w:pStyle w:val="ConsPlusNormal"/>
              <w:jc w:val="center"/>
            </w:pPr>
            <w:r>
              <w:t>-</w:t>
            </w:r>
          </w:p>
        </w:tc>
        <w:tc>
          <w:tcPr>
            <w:tcW w:w="737" w:type="dxa"/>
            <w:tcBorders>
              <w:top w:val="nil"/>
              <w:bottom w:val="nil"/>
            </w:tcBorders>
          </w:tcPr>
          <w:p w:rsidR="00212513" w:rsidRDefault="00212513">
            <w:pPr>
              <w:pStyle w:val="ConsPlusNormal"/>
              <w:jc w:val="center"/>
            </w:pPr>
            <w:r>
              <w:t>-</w:t>
            </w:r>
          </w:p>
        </w:tc>
        <w:tc>
          <w:tcPr>
            <w:tcW w:w="737" w:type="dxa"/>
            <w:tcBorders>
              <w:top w:val="nil"/>
              <w:bottom w:val="nil"/>
            </w:tcBorders>
          </w:tcPr>
          <w:p w:rsidR="00212513" w:rsidRDefault="00212513">
            <w:pPr>
              <w:pStyle w:val="ConsPlusNormal"/>
              <w:jc w:val="center"/>
            </w:pPr>
            <w:r>
              <w:t>-</w:t>
            </w:r>
          </w:p>
        </w:tc>
        <w:tc>
          <w:tcPr>
            <w:tcW w:w="737" w:type="dxa"/>
            <w:tcBorders>
              <w:top w:val="nil"/>
              <w:bottom w:val="nil"/>
            </w:tcBorders>
          </w:tcPr>
          <w:p w:rsidR="00212513" w:rsidRDefault="00212513">
            <w:pPr>
              <w:pStyle w:val="ConsPlusNormal"/>
              <w:jc w:val="center"/>
            </w:pPr>
            <w:r>
              <w:t>-</w:t>
            </w:r>
          </w:p>
        </w:tc>
        <w:tc>
          <w:tcPr>
            <w:tcW w:w="737" w:type="dxa"/>
            <w:tcBorders>
              <w:top w:val="nil"/>
              <w:bottom w:val="nil"/>
            </w:tcBorders>
          </w:tcPr>
          <w:p w:rsidR="00212513" w:rsidRDefault="00212513">
            <w:pPr>
              <w:pStyle w:val="ConsPlusNormal"/>
              <w:jc w:val="center"/>
            </w:pPr>
            <w:r>
              <w:t>0,78</w:t>
            </w:r>
          </w:p>
        </w:tc>
        <w:tc>
          <w:tcPr>
            <w:tcW w:w="737" w:type="dxa"/>
            <w:tcBorders>
              <w:top w:val="nil"/>
              <w:bottom w:val="nil"/>
            </w:tcBorders>
          </w:tcPr>
          <w:p w:rsidR="00212513" w:rsidRDefault="00212513">
            <w:pPr>
              <w:pStyle w:val="ConsPlusNormal"/>
              <w:jc w:val="center"/>
            </w:pPr>
            <w:r>
              <w:t>0,82</w:t>
            </w:r>
          </w:p>
        </w:tc>
        <w:tc>
          <w:tcPr>
            <w:tcW w:w="737" w:type="dxa"/>
            <w:tcBorders>
              <w:top w:val="nil"/>
              <w:bottom w:val="nil"/>
            </w:tcBorders>
          </w:tcPr>
          <w:p w:rsidR="00212513" w:rsidRDefault="00212513">
            <w:pPr>
              <w:pStyle w:val="ConsPlusNormal"/>
              <w:jc w:val="center"/>
            </w:pPr>
            <w:r>
              <w:t>0,87</w:t>
            </w:r>
          </w:p>
        </w:tc>
        <w:tc>
          <w:tcPr>
            <w:tcW w:w="737" w:type="dxa"/>
            <w:tcBorders>
              <w:top w:val="nil"/>
              <w:bottom w:val="nil"/>
            </w:tcBorders>
          </w:tcPr>
          <w:p w:rsidR="00212513" w:rsidRDefault="00212513">
            <w:pPr>
              <w:pStyle w:val="ConsPlusNormal"/>
              <w:jc w:val="center"/>
            </w:pPr>
            <w:r>
              <w:t>0,91</w:t>
            </w:r>
          </w:p>
        </w:tc>
        <w:tc>
          <w:tcPr>
            <w:tcW w:w="737" w:type="dxa"/>
            <w:tcBorders>
              <w:top w:val="nil"/>
              <w:bottom w:val="nil"/>
            </w:tcBorders>
          </w:tcPr>
          <w:p w:rsidR="00212513" w:rsidRDefault="00212513">
            <w:pPr>
              <w:pStyle w:val="ConsPlusNormal"/>
              <w:jc w:val="center"/>
            </w:pPr>
            <w:r>
              <w:t>1</w:t>
            </w:r>
          </w:p>
        </w:tc>
      </w:tr>
      <w:tr w:rsidR="00212513">
        <w:tblPrEx>
          <w:tblBorders>
            <w:insideH w:val="none" w:sz="0" w:space="0" w:color="auto"/>
          </w:tblBorders>
        </w:tblPrEx>
        <w:tc>
          <w:tcPr>
            <w:tcW w:w="2438" w:type="dxa"/>
            <w:tcBorders>
              <w:top w:val="nil"/>
              <w:bottom w:val="single" w:sz="4" w:space="0" w:color="auto"/>
            </w:tcBorders>
          </w:tcPr>
          <w:p w:rsidR="00212513" w:rsidRDefault="00212513">
            <w:pPr>
              <w:pStyle w:val="ConsPlusNormal"/>
              <w:ind w:left="283"/>
            </w:pPr>
            <w:r>
              <w:t>Канаты К7</w:t>
            </w:r>
          </w:p>
        </w:tc>
        <w:tc>
          <w:tcPr>
            <w:tcW w:w="737" w:type="dxa"/>
            <w:tcBorders>
              <w:top w:val="nil"/>
              <w:bottom w:val="single" w:sz="4" w:space="0" w:color="auto"/>
            </w:tcBorders>
          </w:tcPr>
          <w:p w:rsidR="00212513" w:rsidRDefault="00212513">
            <w:pPr>
              <w:pStyle w:val="ConsPlusNormal"/>
              <w:jc w:val="center"/>
            </w:pPr>
            <w:r>
              <w:t>-</w:t>
            </w:r>
          </w:p>
        </w:tc>
        <w:tc>
          <w:tcPr>
            <w:tcW w:w="737" w:type="dxa"/>
            <w:tcBorders>
              <w:top w:val="nil"/>
              <w:bottom w:val="single" w:sz="4" w:space="0" w:color="auto"/>
            </w:tcBorders>
          </w:tcPr>
          <w:p w:rsidR="00212513" w:rsidRDefault="00212513">
            <w:pPr>
              <w:pStyle w:val="ConsPlusNormal"/>
              <w:jc w:val="center"/>
            </w:pPr>
            <w:r>
              <w:t>-</w:t>
            </w:r>
          </w:p>
        </w:tc>
        <w:tc>
          <w:tcPr>
            <w:tcW w:w="737" w:type="dxa"/>
            <w:tcBorders>
              <w:top w:val="nil"/>
              <w:bottom w:val="single" w:sz="4" w:space="0" w:color="auto"/>
            </w:tcBorders>
          </w:tcPr>
          <w:p w:rsidR="00212513" w:rsidRDefault="00212513">
            <w:pPr>
              <w:pStyle w:val="ConsPlusNormal"/>
              <w:jc w:val="center"/>
            </w:pPr>
            <w:r>
              <w:t>-</w:t>
            </w:r>
          </w:p>
        </w:tc>
        <w:tc>
          <w:tcPr>
            <w:tcW w:w="737" w:type="dxa"/>
            <w:tcBorders>
              <w:top w:val="nil"/>
              <w:bottom w:val="single" w:sz="4" w:space="0" w:color="auto"/>
            </w:tcBorders>
          </w:tcPr>
          <w:p w:rsidR="00212513" w:rsidRDefault="00212513">
            <w:pPr>
              <w:pStyle w:val="ConsPlusNormal"/>
              <w:jc w:val="center"/>
            </w:pPr>
            <w:r>
              <w:t>-</w:t>
            </w:r>
          </w:p>
        </w:tc>
        <w:tc>
          <w:tcPr>
            <w:tcW w:w="737" w:type="dxa"/>
            <w:tcBorders>
              <w:top w:val="nil"/>
              <w:bottom w:val="single" w:sz="4" w:space="0" w:color="auto"/>
            </w:tcBorders>
          </w:tcPr>
          <w:p w:rsidR="00212513" w:rsidRDefault="00212513">
            <w:pPr>
              <w:pStyle w:val="ConsPlusNormal"/>
              <w:jc w:val="center"/>
            </w:pPr>
            <w:r>
              <w:t>0,78</w:t>
            </w:r>
          </w:p>
        </w:tc>
        <w:tc>
          <w:tcPr>
            <w:tcW w:w="737" w:type="dxa"/>
            <w:tcBorders>
              <w:top w:val="nil"/>
              <w:bottom w:val="single" w:sz="4" w:space="0" w:color="auto"/>
            </w:tcBorders>
          </w:tcPr>
          <w:p w:rsidR="00212513" w:rsidRDefault="00212513">
            <w:pPr>
              <w:pStyle w:val="ConsPlusNormal"/>
              <w:jc w:val="center"/>
            </w:pPr>
            <w:r>
              <w:t>0,84</w:t>
            </w:r>
          </w:p>
        </w:tc>
        <w:tc>
          <w:tcPr>
            <w:tcW w:w="737" w:type="dxa"/>
            <w:tcBorders>
              <w:top w:val="nil"/>
              <w:bottom w:val="single" w:sz="4" w:space="0" w:color="auto"/>
            </w:tcBorders>
          </w:tcPr>
          <w:p w:rsidR="00212513" w:rsidRDefault="00212513">
            <w:pPr>
              <w:pStyle w:val="ConsPlusNormal"/>
              <w:jc w:val="center"/>
            </w:pPr>
            <w:r>
              <w:t>0,95</w:t>
            </w:r>
          </w:p>
        </w:tc>
        <w:tc>
          <w:tcPr>
            <w:tcW w:w="737" w:type="dxa"/>
            <w:tcBorders>
              <w:top w:val="nil"/>
              <w:bottom w:val="single" w:sz="4" w:space="0" w:color="auto"/>
            </w:tcBorders>
          </w:tcPr>
          <w:p w:rsidR="00212513" w:rsidRDefault="00212513">
            <w:pPr>
              <w:pStyle w:val="ConsPlusNormal"/>
              <w:jc w:val="center"/>
            </w:pPr>
            <w:r>
              <w:t>1</w:t>
            </w:r>
          </w:p>
        </w:tc>
        <w:tc>
          <w:tcPr>
            <w:tcW w:w="737" w:type="dxa"/>
            <w:tcBorders>
              <w:top w:val="nil"/>
              <w:bottom w:val="single" w:sz="4" w:space="0" w:color="auto"/>
            </w:tcBorders>
          </w:tcPr>
          <w:p w:rsidR="00212513" w:rsidRDefault="00212513">
            <w:pPr>
              <w:pStyle w:val="ConsPlusNormal"/>
              <w:jc w:val="center"/>
            </w:pPr>
            <w:r>
              <w:t>1</w:t>
            </w:r>
          </w:p>
        </w:tc>
      </w:tr>
      <w:tr w:rsidR="00212513">
        <w:tc>
          <w:tcPr>
            <w:tcW w:w="9071" w:type="dxa"/>
            <w:gridSpan w:val="10"/>
            <w:tcBorders>
              <w:top w:val="single" w:sz="4" w:space="0" w:color="auto"/>
              <w:bottom w:val="single" w:sz="4" w:space="0" w:color="auto"/>
            </w:tcBorders>
          </w:tcPr>
          <w:p w:rsidR="00212513" w:rsidRDefault="00212513">
            <w:pPr>
              <w:pStyle w:val="ConsPlusNormal"/>
              <w:ind w:firstLine="283"/>
              <w:jc w:val="both"/>
            </w:pPr>
            <w:r>
              <w:t>Примечания</w:t>
            </w:r>
          </w:p>
          <w:p w:rsidR="00212513" w:rsidRDefault="00212513">
            <w:pPr>
              <w:pStyle w:val="ConsPlusNormal"/>
              <w:ind w:firstLine="283"/>
              <w:jc w:val="both"/>
            </w:pPr>
            <w:r>
              <w:t xml:space="preserve">1 Для стальных канатов со спиральной или двойной свивкой и закрытых при </w:t>
            </w:r>
            <w:r>
              <w:rPr>
                <w:noProof/>
                <w:position w:val="-7"/>
              </w:rPr>
              <w:drawing>
                <wp:inline distT="0" distB="0" distL="0" distR="0">
                  <wp:extent cx="628650" cy="231140"/>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628650" cy="231140"/>
                          </a:xfrm>
                          <a:prstGeom prst="rect">
                            <a:avLst/>
                          </a:prstGeom>
                          <a:noFill/>
                          <a:ln>
                            <a:noFill/>
                          </a:ln>
                        </pic:spPr>
                      </pic:pic>
                    </a:graphicData>
                  </a:graphic>
                </wp:inline>
              </w:drawing>
            </w:r>
            <w:r>
              <w:t xml:space="preserve"> </w:t>
            </w:r>
            <w:r>
              <w:lastRenderedPageBreak/>
              <w:t xml:space="preserve">коэффициент </w:t>
            </w:r>
            <w:r>
              <w:rPr>
                <w:noProof/>
                <w:position w:val="-10"/>
              </w:rPr>
              <w:drawing>
                <wp:inline distT="0" distB="0" distL="0" distR="0">
                  <wp:extent cx="273685" cy="273685"/>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inline>
              </w:drawing>
            </w:r>
            <w:r>
              <w:t xml:space="preserve"> можно принимать равным единице, а при </w:t>
            </w:r>
            <w:r>
              <w:rPr>
                <w:noProof/>
                <w:position w:val="-7"/>
              </w:rPr>
              <w:drawing>
                <wp:inline distT="0" distB="0" distL="0" distR="0">
                  <wp:extent cx="628650" cy="231140"/>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628650" cy="231140"/>
                          </a:xfrm>
                          <a:prstGeom prst="rect">
                            <a:avLst/>
                          </a:prstGeom>
                          <a:noFill/>
                          <a:ln>
                            <a:noFill/>
                          </a:ln>
                        </pic:spPr>
                      </pic:pic>
                    </a:graphicData>
                  </a:graphic>
                </wp:inline>
              </w:drawing>
            </w:r>
            <w:r>
              <w:t xml:space="preserve"> - устанавливать по </w:t>
            </w:r>
            <w:hyperlink w:anchor="P8323">
              <w:r>
                <w:rPr>
                  <w:color w:val="0000FF"/>
                </w:rPr>
                <w:t>8.58</w:t>
              </w:r>
            </w:hyperlink>
            <w:r>
              <w:t>, относящимся к расчету на выносливость канатов висячих, вантовых и предварительно напряженных стальных пролетных строений.</w:t>
            </w:r>
          </w:p>
          <w:p w:rsidR="00212513" w:rsidRDefault="00212513">
            <w:pPr>
              <w:pStyle w:val="ConsPlusNormal"/>
              <w:ind w:firstLine="283"/>
              <w:jc w:val="both"/>
            </w:pPr>
            <w:r>
              <w:t xml:space="preserve">2 Для промежуточных значений </w:t>
            </w:r>
            <w:r>
              <w:rPr>
                <w:noProof/>
                <w:position w:val="-3"/>
              </w:rPr>
              <w:drawing>
                <wp:inline distT="0" distB="0" distL="0" distR="0">
                  <wp:extent cx="167640" cy="187960"/>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167640" cy="187960"/>
                          </a:xfrm>
                          <a:prstGeom prst="rect">
                            <a:avLst/>
                          </a:prstGeom>
                          <a:noFill/>
                          <a:ln>
                            <a:noFill/>
                          </a:ln>
                        </pic:spPr>
                      </pic:pic>
                    </a:graphicData>
                  </a:graphic>
                </wp:inline>
              </w:drawing>
            </w:r>
            <w:r>
              <w:t xml:space="preserve"> коэффициенты </w:t>
            </w:r>
            <w:r>
              <w:rPr>
                <w:noProof/>
                <w:position w:val="-10"/>
              </w:rPr>
              <w:drawing>
                <wp:inline distT="0" distB="0" distL="0" distR="0">
                  <wp:extent cx="229870" cy="273685"/>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229870" cy="273685"/>
                          </a:xfrm>
                          <a:prstGeom prst="rect">
                            <a:avLst/>
                          </a:prstGeom>
                          <a:noFill/>
                          <a:ln>
                            <a:noFill/>
                          </a:ln>
                        </pic:spPr>
                      </pic:pic>
                    </a:graphicData>
                  </a:graphic>
                </wp:inline>
              </w:drawing>
            </w:r>
            <w:r>
              <w:t xml:space="preserve"> и </w:t>
            </w:r>
            <w:r>
              <w:rPr>
                <w:noProof/>
                <w:position w:val="-10"/>
              </w:rPr>
              <w:drawing>
                <wp:inline distT="0" distB="0" distL="0" distR="0">
                  <wp:extent cx="273685" cy="273685"/>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inline>
              </w:drawing>
            </w:r>
            <w:r>
              <w:t xml:space="preserve"> следует определять по интерполяции.</w:t>
            </w:r>
          </w:p>
        </w:tc>
      </w:tr>
    </w:tbl>
    <w:p w:rsidR="00212513" w:rsidRDefault="00212513">
      <w:pPr>
        <w:pStyle w:val="ConsPlusNormal"/>
        <w:ind w:firstLine="540"/>
        <w:jc w:val="both"/>
      </w:pPr>
    </w:p>
    <w:p w:rsidR="00212513" w:rsidRDefault="00212513">
      <w:pPr>
        <w:pStyle w:val="ConsPlusNormal"/>
        <w:jc w:val="right"/>
      </w:pPr>
      <w:bookmarkStart w:id="141" w:name="P3691"/>
      <w:bookmarkEnd w:id="141"/>
      <w:r>
        <w:t>Таблица 7.18</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1587"/>
        <w:gridCol w:w="1161"/>
        <w:gridCol w:w="1161"/>
        <w:gridCol w:w="1161"/>
        <w:gridCol w:w="1162"/>
      </w:tblGrid>
      <w:tr w:rsidR="00212513">
        <w:tc>
          <w:tcPr>
            <w:tcW w:w="2835" w:type="dxa"/>
            <w:vMerge w:val="restart"/>
            <w:vAlign w:val="center"/>
          </w:tcPr>
          <w:p w:rsidR="00212513" w:rsidRDefault="00212513">
            <w:pPr>
              <w:pStyle w:val="ConsPlusNormal"/>
              <w:jc w:val="center"/>
            </w:pPr>
            <w:r>
              <w:t>Тип сварного соединения</w:t>
            </w:r>
          </w:p>
        </w:tc>
        <w:tc>
          <w:tcPr>
            <w:tcW w:w="1587" w:type="dxa"/>
            <w:vMerge w:val="restart"/>
            <w:vAlign w:val="center"/>
          </w:tcPr>
          <w:p w:rsidR="00212513" w:rsidRDefault="00212513">
            <w:pPr>
              <w:pStyle w:val="ConsPlusNormal"/>
              <w:jc w:val="center"/>
            </w:pPr>
            <w:r>
              <w:t>Коэффициент асимметрии цикла </w:t>
            </w:r>
            <w:r>
              <w:rPr>
                <w:noProof/>
                <w:position w:val="-3"/>
              </w:rPr>
              <w:drawing>
                <wp:inline distT="0" distB="0" distL="0" distR="0">
                  <wp:extent cx="167640" cy="178435"/>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p>
        </w:tc>
        <w:tc>
          <w:tcPr>
            <w:tcW w:w="4645" w:type="dxa"/>
            <w:gridSpan w:val="4"/>
            <w:vAlign w:val="center"/>
          </w:tcPr>
          <w:p w:rsidR="00212513" w:rsidRDefault="00212513">
            <w:pPr>
              <w:pStyle w:val="ConsPlusNormal"/>
              <w:jc w:val="center"/>
            </w:pPr>
            <w:r>
              <w:t xml:space="preserve">Коэффициент </w:t>
            </w:r>
            <w:r>
              <w:rPr>
                <w:noProof/>
                <w:position w:val="-9"/>
              </w:rPr>
              <w:drawing>
                <wp:inline distT="0" distB="0" distL="0" distR="0">
                  <wp:extent cx="293370" cy="262255"/>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293370" cy="262255"/>
                          </a:xfrm>
                          <a:prstGeom prst="rect">
                            <a:avLst/>
                          </a:prstGeom>
                          <a:noFill/>
                          <a:ln>
                            <a:noFill/>
                          </a:ln>
                        </pic:spPr>
                      </pic:pic>
                    </a:graphicData>
                  </a:graphic>
                </wp:inline>
              </w:drawing>
            </w:r>
            <w:r>
              <w:t xml:space="preserve"> для стержневой арматуры диаметром 32 мм и менее для арматурной стали классов</w:t>
            </w:r>
          </w:p>
        </w:tc>
      </w:tr>
      <w:tr w:rsidR="00212513">
        <w:tc>
          <w:tcPr>
            <w:tcW w:w="2835" w:type="dxa"/>
            <w:vMerge/>
          </w:tcPr>
          <w:p w:rsidR="00212513" w:rsidRDefault="00212513">
            <w:pPr>
              <w:pStyle w:val="ConsPlusNormal"/>
            </w:pPr>
          </w:p>
        </w:tc>
        <w:tc>
          <w:tcPr>
            <w:tcW w:w="1587" w:type="dxa"/>
            <w:vMerge/>
          </w:tcPr>
          <w:p w:rsidR="00212513" w:rsidRDefault="00212513">
            <w:pPr>
              <w:pStyle w:val="ConsPlusNormal"/>
            </w:pPr>
          </w:p>
        </w:tc>
        <w:tc>
          <w:tcPr>
            <w:tcW w:w="1161" w:type="dxa"/>
            <w:vAlign w:val="center"/>
          </w:tcPr>
          <w:p w:rsidR="00212513" w:rsidRDefault="00212513">
            <w:pPr>
              <w:pStyle w:val="ConsPlusNormal"/>
              <w:jc w:val="center"/>
            </w:pPr>
            <w:r>
              <w:t>А240</w:t>
            </w:r>
          </w:p>
        </w:tc>
        <w:tc>
          <w:tcPr>
            <w:tcW w:w="1161" w:type="dxa"/>
            <w:vAlign w:val="center"/>
          </w:tcPr>
          <w:p w:rsidR="00212513" w:rsidRDefault="00212513">
            <w:pPr>
              <w:pStyle w:val="ConsPlusNormal"/>
              <w:jc w:val="center"/>
            </w:pPr>
            <w:r>
              <w:t>А300</w:t>
            </w:r>
          </w:p>
        </w:tc>
        <w:tc>
          <w:tcPr>
            <w:tcW w:w="1161" w:type="dxa"/>
            <w:vAlign w:val="center"/>
          </w:tcPr>
          <w:p w:rsidR="00212513" w:rsidRDefault="00212513">
            <w:pPr>
              <w:pStyle w:val="ConsPlusNormal"/>
              <w:jc w:val="center"/>
            </w:pPr>
            <w:r>
              <w:t>А400</w:t>
            </w:r>
          </w:p>
        </w:tc>
        <w:tc>
          <w:tcPr>
            <w:tcW w:w="1162" w:type="dxa"/>
            <w:vAlign w:val="center"/>
          </w:tcPr>
          <w:p w:rsidR="00212513" w:rsidRDefault="00212513">
            <w:pPr>
              <w:pStyle w:val="ConsPlusNormal"/>
              <w:jc w:val="center"/>
            </w:pPr>
            <w:r>
              <w:t>А600</w:t>
            </w:r>
          </w:p>
        </w:tc>
      </w:tr>
      <w:tr w:rsidR="00212513">
        <w:tc>
          <w:tcPr>
            <w:tcW w:w="2835" w:type="dxa"/>
            <w:vMerge w:val="restart"/>
          </w:tcPr>
          <w:p w:rsidR="00212513" w:rsidRDefault="00212513">
            <w:pPr>
              <w:pStyle w:val="ConsPlusNormal"/>
            </w:pPr>
            <w:r>
              <w:t>Сварка контактным способом (без продольной зачистки)</w:t>
            </w:r>
          </w:p>
        </w:tc>
        <w:tc>
          <w:tcPr>
            <w:tcW w:w="1587" w:type="dxa"/>
          </w:tcPr>
          <w:p w:rsidR="00212513" w:rsidRDefault="00212513">
            <w:pPr>
              <w:pStyle w:val="ConsPlusNormal"/>
              <w:jc w:val="center"/>
            </w:pPr>
            <w:r>
              <w:t>0</w:t>
            </w:r>
          </w:p>
        </w:tc>
        <w:tc>
          <w:tcPr>
            <w:tcW w:w="1161" w:type="dxa"/>
          </w:tcPr>
          <w:p w:rsidR="00212513" w:rsidRDefault="00212513">
            <w:pPr>
              <w:pStyle w:val="ConsPlusNormal"/>
              <w:jc w:val="center"/>
            </w:pPr>
            <w:r>
              <w:t>0,75</w:t>
            </w:r>
          </w:p>
        </w:tc>
        <w:tc>
          <w:tcPr>
            <w:tcW w:w="1161" w:type="dxa"/>
          </w:tcPr>
          <w:p w:rsidR="00212513" w:rsidRDefault="00212513">
            <w:pPr>
              <w:pStyle w:val="ConsPlusNormal"/>
              <w:jc w:val="center"/>
            </w:pPr>
            <w:r>
              <w:t>0,65</w:t>
            </w:r>
          </w:p>
        </w:tc>
        <w:tc>
          <w:tcPr>
            <w:tcW w:w="1161" w:type="dxa"/>
          </w:tcPr>
          <w:p w:rsidR="00212513" w:rsidRDefault="00212513">
            <w:pPr>
              <w:pStyle w:val="ConsPlusNormal"/>
              <w:jc w:val="center"/>
            </w:pPr>
            <w:r>
              <w:t>0,60</w:t>
            </w:r>
          </w:p>
        </w:tc>
        <w:tc>
          <w:tcPr>
            <w:tcW w:w="1162" w:type="dxa"/>
          </w:tcPr>
          <w:p w:rsidR="00212513" w:rsidRDefault="00212513">
            <w:pPr>
              <w:pStyle w:val="ConsPlusNormal"/>
              <w:jc w:val="center"/>
            </w:pPr>
            <w:r>
              <w:t>-</w:t>
            </w:r>
          </w:p>
        </w:tc>
      </w:tr>
      <w:tr w:rsidR="00212513">
        <w:tc>
          <w:tcPr>
            <w:tcW w:w="2835" w:type="dxa"/>
            <w:vMerge/>
          </w:tcPr>
          <w:p w:rsidR="00212513" w:rsidRDefault="00212513">
            <w:pPr>
              <w:pStyle w:val="ConsPlusNormal"/>
            </w:pPr>
          </w:p>
        </w:tc>
        <w:tc>
          <w:tcPr>
            <w:tcW w:w="1587" w:type="dxa"/>
          </w:tcPr>
          <w:p w:rsidR="00212513" w:rsidRDefault="00212513">
            <w:pPr>
              <w:pStyle w:val="ConsPlusNormal"/>
              <w:jc w:val="center"/>
            </w:pPr>
            <w:r>
              <w:t>0,2</w:t>
            </w:r>
          </w:p>
        </w:tc>
        <w:tc>
          <w:tcPr>
            <w:tcW w:w="1161" w:type="dxa"/>
          </w:tcPr>
          <w:p w:rsidR="00212513" w:rsidRDefault="00212513">
            <w:pPr>
              <w:pStyle w:val="ConsPlusNormal"/>
              <w:jc w:val="center"/>
            </w:pPr>
            <w:r>
              <w:t>0,85</w:t>
            </w:r>
          </w:p>
        </w:tc>
        <w:tc>
          <w:tcPr>
            <w:tcW w:w="1161" w:type="dxa"/>
          </w:tcPr>
          <w:p w:rsidR="00212513" w:rsidRDefault="00212513">
            <w:pPr>
              <w:pStyle w:val="ConsPlusNormal"/>
              <w:jc w:val="center"/>
            </w:pPr>
            <w:r>
              <w:t>0,70</w:t>
            </w:r>
          </w:p>
        </w:tc>
        <w:tc>
          <w:tcPr>
            <w:tcW w:w="1161" w:type="dxa"/>
          </w:tcPr>
          <w:p w:rsidR="00212513" w:rsidRDefault="00212513">
            <w:pPr>
              <w:pStyle w:val="ConsPlusNormal"/>
              <w:jc w:val="center"/>
            </w:pPr>
            <w:r>
              <w:t>0,65</w:t>
            </w:r>
          </w:p>
        </w:tc>
        <w:tc>
          <w:tcPr>
            <w:tcW w:w="1162" w:type="dxa"/>
          </w:tcPr>
          <w:p w:rsidR="00212513" w:rsidRDefault="00212513">
            <w:pPr>
              <w:pStyle w:val="ConsPlusNormal"/>
              <w:jc w:val="center"/>
            </w:pPr>
            <w:r>
              <w:t>-</w:t>
            </w:r>
          </w:p>
        </w:tc>
      </w:tr>
      <w:tr w:rsidR="00212513">
        <w:tc>
          <w:tcPr>
            <w:tcW w:w="2835" w:type="dxa"/>
            <w:vMerge/>
          </w:tcPr>
          <w:p w:rsidR="00212513" w:rsidRDefault="00212513">
            <w:pPr>
              <w:pStyle w:val="ConsPlusNormal"/>
            </w:pPr>
          </w:p>
        </w:tc>
        <w:tc>
          <w:tcPr>
            <w:tcW w:w="1587" w:type="dxa"/>
          </w:tcPr>
          <w:p w:rsidR="00212513" w:rsidRDefault="00212513">
            <w:pPr>
              <w:pStyle w:val="ConsPlusNormal"/>
              <w:jc w:val="center"/>
            </w:pPr>
            <w:r>
              <w:t>0,4</w:t>
            </w:r>
          </w:p>
        </w:tc>
        <w:tc>
          <w:tcPr>
            <w:tcW w:w="1161" w:type="dxa"/>
          </w:tcPr>
          <w:p w:rsidR="00212513" w:rsidRDefault="00212513">
            <w:pPr>
              <w:pStyle w:val="ConsPlusNormal"/>
              <w:jc w:val="center"/>
            </w:pPr>
            <w:r>
              <w:t>1</w:t>
            </w:r>
          </w:p>
        </w:tc>
        <w:tc>
          <w:tcPr>
            <w:tcW w:w="1161" w:type="dxa"/>
          </w:tcPr>
          <w:p w:rsidR="00212513" w:rsidRDefault="00212513">
            <w:pPr>
              <w:pStyle w:val="ConsPlusNormal"/>
              <w:jc w:val="center"/>
            </w:pPr>
            <w:r>
              <w:t>0,80</w:t>
            </w:r>
          </w:p>
        </w:tc>
        <w:tc>
          <w:tcPr>
            <w:tcW w:w="1161" w:type="dxa"/>
          </w:tcPr>
          <w:p w:rsidR="00212513" w:rsidRDefault="00212513">
            <w:pPr>
              <w:pStyle w:val="ConsPlusNormal"/>
              <w:jc w:val="center"/>
            </w:pPr>
            <w:r>
              <w:t>0,75</w:t>
            </w:r>
          </w:p>
        </w:tc>
        <w:tc>
          <w:tcPr>
            <w:tcW w:w="1162" w:type="dxa"/>
          </w:tcPr>
          <w:p w:rsidR="00212513" w:rsidRDefault="00212513">
            <w:pPr>
              <w:pStyle w:val="ConsPlusNormal"/>
              <w:jc w:val="center"/>
            </w:pPr>
            <w:r>
              <w:t>0,75</w:t>
            </w:r>
          </w:p>
        </w:tc>
      </w:tr>
      <w:tr w:rsidR="00212513">
        <w:tc>
          <w:tcPr>
            <w:tcW w:w="2835" w:type="dxa"/>
            <w:vMerge/>
          </w:tcPr>
          <w:p w:rsidR="00212513" w:rsidRDefault="00212513">
            <w:pPr>
              <w:pStyle w:val="ConsPlusNormal"/>
            </w:pPr>
          </w:p>
        </w:tc>
        <w:tc>
          <w:tcPr>
            <w:tcW w:w="1587" w:type="dxa"/>
          </w:tcPr>
          <w:p w:rsidR="00212513" w:rsidRDefault="00212513">
            <w:pPr>
              <w:pStyle w:val="ConsPlusNormal"/>
              <w:jc w:val="center"/>
            </w:pPr>
            <w:r>
              <w:t>0,7</w:t>
            </w:r>
          </w:p>
        </w:tc>
        <w:tc>
          <w:tcPr>
            <w:tcW w:w="1161" w:type="dxa"/>
          </w:tcPr>
          <w:p w:rsidR="00212513" w:rsidRDefault="00212513">
            <w:pPr>
              <w:pStyle w:val="ConsPlusNormal"/>
              <w:jc w:val="center"/>
            </w:pPr>
            <w:r>
              <w:t>1</w:t>
            </w:r>
          </w:p>
        </w:tc>
        <w:tc>
          <w:tcPr>
            <w:tcW w:w="1161" w:type="dxa"/>
          </w:tcPr>
          <w:p w:rsidR="00212513" w:rsidRDefault="00212513">
            <w:pPr>
              <w:pStyle w:val="ConsPlusNormal"/>
              <w:jc w:val="center"/>
            </w:pPr>
            <w:r>
              <w:t>0,90</w:t>
            </w:r>
          </w:p>
        </w:tc>
        <w:tc>
          <w:tcPr>
            <w:tcW w:w="1161" w:type="dxa"/>
          </w:tcPr>
          <w:p w:rsidR="00212513" w:rsidRDefault="00212513">
            <w:pPr>
              <w:pStyle w:val="ConsPlusNormal"/>
              <w:jc w:val="center"/>
            </w:pPr>
            <w:r>
              <w:t>0,75</w:t>
            </w:r>
          </w:p>
        </w:tc>
        <w:tc>
          <w:tcPr>
            <w:tcW w:w="1162" w:type="dxa"/>
          </w:tcPr>
          <w:p w:rsidR="00212513" w:rsidRDefault="00212513">
            <w:pPr>
              <w:pStyle w:val="ConsPlusNormal"/>
              <w:jc w:val="center"/>
            </w:pPr>
            <w:r>
              <w:t>0,75</w:t>
            </w:r>
          </w:p>
        </w:tc>
      </w:tr>
      <w:tr w:rsidR="00212513">
        <w:tc>
          <w:tcPr>
            <w:tcW w:w="2835" w:type="dxa"/>
            <w:vMerge/>
          </w:tcPr>
          <w:p w:rsidR="00212513" w:rsidRDefault="00212513">
            <w:pPr>
              <w:pStyle w:val="ConsPlusNormal"/>
            </w:pPr>
          </w:p>
        </w:tc>
        <w:tc>
          <w:tcPr>
            <w:tcW w:w="1587" w:type="dxa"/>
          </w:tcPr>
          <w:p w:rsidR="00212513" w:rsidRDefault="00212513">
            <w:pPr>
              <w:pStyle w:val="ConsPlusNormal"/>
              <w:jc w:val="center"/>
            </w:pPr>
            <w:r>
              <w:t>0,8</w:t>
            </w:r>
          </w:p>
        </w:tc>
        <w:tc>
          <w:tcPr>
            <w:tcW w:w="1161" w:type="dxa"/>
          </w:tcPr>
          <w:p w:rsidR="00212513" w:rsidRDefault="00212513">
            <w:pPr>
              <w:pStyle w:val="ConsPlusNormal"/>
              <w:jc w:val="center"/>
            </w:pPr>
            <w:r>
              <w:t>1</w:t>
            </w:r>
          </w:p>
        </w:tc>
        <w:tc>
          <w:tcPr>
            <w:tcW w:w="1161" w:type="dxa"/>
          </w:tcPr>
          <w:p w:rsidR="00212513" w:rsidRDefault="00212513">
            <w:pPr>
              <w:pStyle w:val="ConsPlusNormal"/>
              <w:jc w:val="center"/>
            </w:pPr>
            <w:r>
              <w:t>1</w:t>
            </w:r>
          </w:p>
        </w:tc>
        <w:tc>
          <w:tcPr>
            <w:tcW w:w="1161" w:type="dxa"/>
          </w:tcPr>
          <w:p w:rsidR="00212513" w:rsidRDefault="00212513">
            <w:pPr>
              <w:pStyle w:val="ConsPlusNormal"/>
              <w:jc w:val="center"/>
            </w:pPr>
            <w:r>
              <w:t>0,75</w:t>
            </w:r>
          </w:p>
        </w:tc>
        <w:tc>
          <w:tcPr>
            <w:tcW w:w="1162" w:type="dxa"/>
          </w:tcPr>
          <w:p w:rsidR="00212513" w:rsidRDefault="00212513">
            <w:pPr>
              <w:pStyle w:val="ConsPlusNormal"/>
              <w:jc w:val="center"/>
            </w:pPr>
            <w:r>
              <w:t>0,80</w:t>
            </w:r>
          </w:p>
        </w:tc>
      </w:tr>
      <w:tr w:rsidR="00212513">
        <w:tc>
          <w:tcPr>
            <w:tcW w:w="2835" w:type="dxa"/>
            <w:vMerge/>
          </w:tcPr>
          <w:p w:rsidR="00212513" w:rsidRDefault="00212513">
            <w:pPr>
              <w:pStyle w:val="ConsPlusNormal"/>
            </w:pPr>
          </w:p>
        </w:tc>
        <w:tc>
          <w:tcPr>
            <w:tcW w:w="1587" w:type="dxa"/>
          </w:tcPr>
          <w:p w:rsidR="00212513" w:rsidRDefault="00212513">
            <w:pPr>
              <w:pStyle w:val="ConsPlusNormal"/>
              <w:jc w:val="center"/>
            </w:pPr>
            <w:r>
              <w:t>0,9</w:t>
            </w:r>
          </w:p>
        </w:tc>
        <w:tc>
          <w:tcPr>
            <w:tcW w:w="1161" w:type="dxa"/>
          </w:tcPr>
          <w:p w:rsidR="00212513" w:rsidRDefault="00212513">
            <w:pPr>
              <w:pStyle w:val="ConsPlusNormal"/>
              <w:jc w:val="center"/>
            </w:pPr>
            <w:r>
              <w:t>1</w:t>
            </w:r>
          </w:p>
        </w:tc>
        <w:tc>
          <w:tcPr>
            <w:tcW w:w="1161" w:type="dxa"/>
          </w:tcPr>
          <w:p w:rsidR="00212513" w:rsidRDefault="00212513">
            <w:pPr>
              <w:pStyle w:val="ConsPlusNormal"/>
              <w:jc w:val="center"/>
            </w:pPr>
            <w:r>
              <w:t>1</w:t>
            </w:r>
          </w:p>
        </w:tc>
        <w:tc>
          <w:tcPr>
            <w:tcW w:w="1161" w:type="dxa"/>
          </w:tcPr>
          <w:p w:rsidR="00212513" w:rsidRDefault="00212513">
            <w:pPr>
              <w:pStyle w:val="ConsPlusNormal"/>
              <w:jc w:val="center"/>
            </w:pPr>
            <w:r>
              <w:t>0,85</w:t>
            </w:r>
          </w:p>
        </w:tc>
        <w:tc>
          <w:tcPr>
            <w:tcW w:w="1162" w:type="dxa"/>
          </w:tcPr>
          <w:p w:rsidR="00212513" w:rsidRDefault="00212513">
            <w:pPr>
              <w:pStyle w:val="ConsPlusNormal"/>
              <w:jc w:val="center"/>
            </w:pPr>
            <w:r>
              <w:t>0,90</w:t>
            </w:r>
          </w:p>
        </w:tc>
      </w:tr>
      <w:tr w:rsidR="00212513">
        <w:tc>
          <w:tcPr>
            <w:tcW w:w="2835" w:type="dxa"/>
            <w:vMerge w:val="restart"/>
          </w:tcPr>
          <w:p w:rsidR="00212513" w:rsidRDefault="00212513">
            <w:pPr>
              <w:pStyle w:val="ConsPlusNormal"/>
            </w:pPr>
            <w:r>
              <w:t>Сварка ванным способом на удлиненных накладках-подкладках</w:t>
            </w:r>
          </w:p>
        </w:tc>
        <w:tc>
          <w:tcPr>
            <w:tcW w:w="1587" w:type="dxa"/>
          </w:tcPr>
          <w:p w:rsidR="00212513" w:rsidRDefault="00212513">
            <w:pPr>
              <w:pStyle w:val="ConsPlusNormal"/>
              <w:jc w:val="center"/>
            </w:pPr>
            <w:r>
              <w:t>0</w:t>
            </w:r>
          </w:p>
        </w:tc>
        <w:tc>
          <w:tcPr>
            <w:tcW w:w="1161" w:type="dxa"/>
          </w:tcPr>
          <w:p w:rsidR="00212513" w:rsidRDefault="00212513">
            <w:pPr>
              <w:pStyle w:val="ConsPlusNormal"/>
              <w:jc w:val="center"/>
            </w:pPr>
            <w:r>
              <w:t>0,75</w:t>
            </w:r>
          </w:p>
        </w:tc>
        <w:tc>
          <w:tcPr>
            <w:tcW w:w="1161" w:type="dxa"/>
          </w:tcPr>
          <w:p w:rsidR="00212513" w:rsidRDefault="00212513">
            <w:pPr>
              <w:pStyle w:val="ConsPlusNormal"/>
              <w:jc w:val="center"/>
            </w:pPr>
            <w:r>
              <w:t>0,65</w:t>
            </w:r>
          </w:p>
        </w:tc>
        <w:tc>
          <w:tcPr>
            <w:tcW w:w="1161" w:type="dxa"/>
          </w:tcPr>
          <w:p w:rsidR="00212513" w:rsidRDefault="00212513">
            <w:pPr>
              <w:pStyle w:val="ConsPlusNormal"/>
              <w:jc w:val="center"/>
            </w:pPr>
            <w:r>
              <w:t>0,60</w:t>
            </w:r>
          </w:p>
        </w:tc>
        <w:tc>
          <w:tcPr>
            <w:tcW w:w="1162" w:type="dxa"/>
          </w:tcPr>
          <w:p w:rsidR="00212513" w:rsidRDefault="00212513">
            <w:pPr>
              <w:pStyle w:val="ConsPlusNormal"/>
              <w:jc w:val="center"/>
            </w:pPr>
            <w:r>
              <w:t>-</w:t>
            </w:r>
          </w:p>
        </w:tc>
      </w:tr>
      <w:tr w:rsidR="00212513">
        <w:tc>
          <w:tcPr>
            <w:tcW w:w="2835" w:type="dxa"/>
            <w:vMerge/>
          </w:tcPr>
          <w:p w:rsidR="00212513" w:rsidRDefault="00212513">
            <w:pPr>
              <w:pStyle w:val="ConsPlusNormal"/>
            </w:pPr>
          </w:p>
        </w:tc>
        <w:tc>
          <w:tcPr>
            <w:tcW w:w="1587" w:type="dxa"/>
          </w:tcPr>
          <w:p w:rsidR="00212513" w:rsidRDefault="00212513">
            <w:pPr>
              <w:pStyle w:val="ConsPlusNormal"/>
              <w:jc w:val="center"/>
            </w:pPr>
            <w:r>
              <w:t>0,2</w:t>
            </w:r>
          </w:p>
        </w:tc>
        <w:tc>
          <w:tcPr>
            <w:tcW w:w="1161" w:type="dxa"/>
          </w:tcPr>
          <w:p w:rsidR="00212513" w:rsidRDefault="00212513">
            <w:pPr>
              <w:pStyle w:val="ConsPlusNormal"/>
              <w:jc w:val="center"/>
            </w:pPr>
            <w:r>
              <w:t>0,80</w:t>
            </w:r>
          </w:p>
        </w:tc>
        <w:tc>
          <w:tcPr>
            <w:tcW w:w="1161" w:type="dxa"/>
          </w:tcPr>
          <w:p w:rsidR="00212513" w:rsidRDefault="00212513">
            <w:pPr>
              <w:pStyle w:val="ConsPlusNormal"/>
              <w:jc w:val="center"/>
            </w:pPr>
            <w:r>
              <w:t>0,70</w:t>
            </w:r>
          </w:p>
        </w:tc>
        <w:tc>
          <w:tcPr>
            <w:tcW w:w="1161" w:type="dxa"/>
          </w:tcPr>
          <w:p w:rsidR="00212513" w:rsidRDefault="00212513">
            <w:pPr>
              <w:pStyle w:val="ConsPlusNormal"/>
              <w:jc w:val="center"/>
            </w:pPr>
            <w:r>
              <w:t>0,65</w:t>
            </w:r>
          </w:p>
        </w:tc>
        <w:tc>
          <w:tcPr>
            <w:tcW w:w="1162" w:type="dxa"/>
          </w:tcPr>
          <w:p w:rsidR="00212513" w:rsidRDefault="00212513">
            <w:pPr>
              <w:pStyle w:val="ConsPlusNormal"/>
              <w:jc w:val="center"/>
            </w:pPr>
            <w:r>
              <w:t>-</w:t>
            </w:r>
          </w:p>
        </w:tc>
      </w:tr>
      <w:tr w:rsidR="00212513">
        <w:tc>
          <w:tcPr>
            <w:tcW w:w="2835" w:type="dxa"/>
            <w:vMerge/>
          </w:tcPr>
          <w:p w:rsidR="00212513" w:rsidRDefault="00212513">
            <w:pPr>
              <w:pStyle w:val="ConsPlusNormal"/>
            </w:pPr>
          </w:p>
        </w:tc>
        <w:tc>
          <w:tcPr>
            <w:tcW w:w="1587" w:type="dxa"/>
          </w:tcPr>
          <w:p w:rsidR="00212513" w:rsidRDefault="00212513">
            <w:pPr>
              <w:pStyle w:val="ConsPlusNormal"/>
              <w:jc w:val="center"/>
            </w:pPr>
            <w:r>
              <w:t>0,4</w:t>
            </w:r>
          </w:p>
        </w:tc>
        <w:tc>
          <w:tcPr>
            <w:tcW w:w="1161" w:type="dxa"/>
          </w:tcPr>
          <w:p w:rsidR="00212513" w:rsidRDefault="00212513">
            <w:pPr>
              <w:pStyle w:val="ConsPlusNormal"/>
              <w:jc w:val="center"/>
            </w:pPr>
            <w:r>
              <w:t>0,90</w:t>
            </w:r>
          </w:p>
        </w:tc>
        <w:tc>
          <w:tcPr>
            <w:tcW w:w="1161" w:type="dxa"/>
          </w:tcPr>
          <w:p w:rsidR="00212513" w:rsidRDefault="00212513">
            <w:pPr>
              <w:pStyle w:val="ConsPlusNormal"/>
              <w:jc w:val="center"/>
            </w:pPr>
            <w:r>
              <w:t>0,80</w:t>
            </w:r>
          </w:p>
        </w:tc>
        <w:tc>
          <w:tcPr>
            <w:tcW w:w="1161" w:type="dxa"/>
          </w:tcPr>
          <w:p w:rsidR="00212513" w:rsidRDefault="00212513">
            <w:pPr>
              <w:pStyle w:val="ConsPlusNormal"/>
              <w:jc w:val="center"/>
            </w:pPr>
            <w:r>
              <w:t>0,75</w:t>
            </w:r>
          </w:p>
        </w:tc>
        <w:tc>
          <w:tcPr>
            <w:tcW w:w="1162" w:type="dxa"/>
          </w:tcPr>
          <w:p w:rsidR="00212513" w:rsidRDefault="00212513">
            <w:pPr>
              <w:pStyle w:val="ConsPlusNormal"/>
              <w:jc w:val="center"/>
            </w:pPr>
            <w:r>
              <w:t>-</w:t>
            </w:r>
          </w:p>
        </w:tc>
      </w:tr>
      <w:tr w:rsidR="00212513">
        <w:tc>
          <w:tcPr>
            <w:tcW w:w="2835" w:type="dxa"/>
            <w:vMerge/>
          </w:tcPr>
          <w:p w:rsidR="00212513" w:rsidRDefault="00212513">
            <w:pPr>
              <w:pStyle w:val="ConsPlusNormal"/>
            </w:pPr>
          </w:p>
        </w:tc>
        <w:tc>
          <w:tcPr>
            <w:tcW w:w="1587" w:type="dxa"/>
          </w:tcPr>
          <w:p w:rsidR="00212513" w:rsidRDefault="00212513">
            <w:pPr>
              <w:pStyle w:val="ConsPlusNormal"/>
              <w:jc w:val="center"/>
            </w:pPr>
            <w:r>
              <w:t>0,7</w:t>
            </w:r>
          </w:p>
        </w:tc>
        <w:tc>
          <w:tcPr>
            <w:tcW w:w="1161" w:type="dxa"/>
          </w:tcPr>
          <w:p w:rsidR="00212513" w:rsidRDefault="00212513">
            <w:pPr>
              <w:pStyle w:val="ConsPlusNormal"/>
              <w:jc w:val="center"/>
            </w:pPr>
            <w:r>
              <w:t>0,90</w:t>
            </w:r>
          </w:p>
        </w:tc>
        <w:tc>
          <w:tcPr>
            <w:tcW w:w="1161" w:type="dxa"/>
          </w:tcPr>
          <w:p w:rsidR="00212513" w:rsidRDefault="00212513">
            <w:pPr>
              <w:pStyle w:val="ConsPlusNormal"/>
              <w:jc w:val="center"/>
            </w:pPr>
            <w:r>
              <w:t>0,90</w:t>
            </w:r>
          </w:p>
        </w:tc>
        <w:tc>
          <w:tcPr>
            <w:tcW w:w="1161" w:type="dxa"/>
          </w:tcPr>
          <w:p w:rsidR="00212513" w:rsidRDefault="00212513">
            <w:pPr>
              <w:pStyle w:val="ConsPlusNormal"/>
              <w:jc w:val="center"/>
            </w:pPr>
            <w:r>
              <w:t>0,75</w:t>
            </w:r>
          </w:p>
        </w:tc>
        <w:tc>
          <w:tcPr>
            <w:tcW w:w="1162" w:type="dxa"/>
          </w:tcPr>
          <w:p w:rsidR="00212513" w:rsidRDefault="00212513">
            <w:pPr>
              <w:pStyle w:val="ConsPlusNormal"/>
              <w:jc w:val="center"/>
            </w:pPr>
            <w:r>
              <w:t>-</w:t>
            </w:r>
          </w:p>
        </w:tc>
      </w:tr>
      <w:tr w:rsidR="00212513">
        <w:tc>
          <w:tcPr>
            <w:tcW w:w="2835" w:type="dxa"/>
            <w:vMerge/>
          </w:tcPr>
          <w:p w:rsidR="00212513" w:rsidRDefault="00212513">
            <w:pPr>
              <w:pStyle w:val="ConsPlusNormal"/>
            </w:pPr>
          </w:p>
        </w:tc>
        <w:tc>
          <w:tcPr>
            <w:tcW w:w="1587" w:type="dxa"/>
          </w:tcPr>
          <w:p w:rsidR="00212513" w:rsidRDefault="00212513">
            <w:pPr>
              <w:pStyle w:val="ConsPlusNormal"/>
              <w:jc w:val="center"/>
            </w:pPr>
            <w:r>
              <w:t>0,8</w:t>
            </w:r>
          </w:p>
        </w:tc>
        <w:tc>
          <w:tcPr>
            <w:tcW w:w="1161" w:type="dxa"/>
          </w:tcPr>
          <w:p w:rsidR="00212513" w:rsidRDefault="00212513">
            <w:pPr>
              <w:pStyle w:val="ConsPlusNormal"/>
              <w:jc w:val="center"/>
            </w:pPr>
            <w:r>
              <w:t>1</w:t>
            </w:r>
          </w:p>
        </w:tc>
        <w:tc>
          <w:tcPr>
            <w:tcW w:w="1161" w:type="dxa"/>
          </w:tcPr>
          <w:p w:rsidR="00212513" w:rsidRDefault="00212513">
            <w:pPr>
              <w:pStyle w:val="ConsPlusNormal"/>
              <w:jc w:val="center"/>
            </w:pPr>
            <w:r>
              <w:t>1</w:t>
            </w:r>
          </w:p>
        </w:tc>
        <w:tc>
          <w:tcPr>
            <w:tcW w:w="1161" w:type="dxa"/>
          </w:tcPr>
          <w:p w:rsidR="00212513" w:rsidRDefault="00212513">
            <w:pPr>
              <w:pStyle w:val="ConsPlusNormal"/>
              <w:jc w:val="center"/>
            </w:pPr>
            <w:r>
              <w:t>0,75</w:t>
            </w:r>
          </w:p>
        </w:tc>
        <w:tc>
          <w:tcPr>
            <w:tcW w:w="1162" w:type="dxa"/>
          </w:tcPr>
          <w:p w:rsidR="00212513" w:rsidRDefault="00212513">
            <w:pPr>
              <w:pStyle w:val="ConsPlusNormal"/>
              <w:jc w:val="center"/>
            </w:pPr>
            <w:r>
              <w:t>-</w:t>
            </w:r>
          </w:p>
        </w:tc>
      </w:tr>
      <w:tr w:rsidR="00212513">
        <w:tc>
          <w:tcPr>
            <w:tcW w:w="2835" w:type="dxa"/>
            <w:vMerge/>
          </w:tcPr>
          <w:p w:rsidR="00212513" w:rsidRDefault="00212513">
            <w:pPr>
              <w:pStyle w:val="ConsPlusNormal"/>
            </w:pPr>
          </w:p>
        </w:tc>
        <w:tc>
          <w:tcPr>
            <w:tcW w:w="1587" w:type="dxa"/>
          </w:tcPr>
          <w:p w:rsidR="00212513" w:rsidRDefault="00212513">
            <w:pPr>
              <w:pStyle w:val="ConsPlusNormal"/>
              <w:jc w:val="center"/>
            </w:pPr>
            <w:r>
              <w:t>0,9</w:t>
            </w:r>
          </w:p>
        </w:tc>
        <w:tc>
          <w:tcPr>
            <w:tcW w:w="1161" w:type="dxa"/>
          </w:tcPr>
          <w:p w:rsidR="00212513" w:rsidRDefault="00212513">
            <w:pPr>
              <w:pStyle w:val="ConsPlusNormal"/>
              <w:jc w:val="center"/>
            </w:pPr>
            <w:r>
              <w:t>1</w:t>
            </w:r>
          </w:p>
        </w:tc>
        <w:tc>
          <w:tcPr>
            <w:tcW w:w="1161" w:type="dxa"/>
          </w:tcPr>
          <w:p w:rsidR="00212513" w:rsidRDefault="00212513">
            <w:pPr>
              <w:pStyle w:val="ConsPlusNormal"/>
              <w:jc w:val="center"/>
            </w:pPr>
            <w:r>
              <w:t>1</w:t>
            </w:r>
          </w:p>
        </w:tc>
        <w:tc>
          <w:tcPr>
            <w:tcW w:w="1161" w:type="dxa"/>
          </w:tcPr>
          <w:p w:rsidR="00212513" w:rsidRDefault="00212513">
            <w:pPr>
              <w:pStyle w:val="ConsPlusNormal"/>
              <w:jc w:val="center"/>
            </w:pPr>
            <w:r>
              <w:t>0,85</w:t>
            </w:r>
          </w:p>
        </w:tc>
        <w:tc>
          <w:tcPr>
            <w:tcW w:w="1162" w:type="dxa"/>
          </w:tcPr>
          <w:p w:rsidR="00212513" w:rsidRDefault="00212513">
            <w:pPr>
              <w:pStyle w:val="ConsPlusNormal"/>
              <w:jc w:val="center"/>
            </w:pPr>
            <w:r>
              <w:t>-</w:t>
            </w:r>
          </w:p>
        </w:tc>
      </w:tr>
      <w:tr w:rsidR="00212513">
        <w:tc>
          <w:tcPr>
            <w:tcW w:w="2835" w:type="dxa"/>
            <w:vMerge w:val="restart"/>
          </w:tcPr>
          <w:p w:rsidR="00212513" w:rsidRDefault="00212513">
            <w:pPr>
              <w:pStyle w:val="ConsPlusNormal"/>
            </w:pPr>
            <w:r>
              <w:t>Контактная точечная сварка перекрещивающихся стержней арматуры и приварка других стержней, сварка на парных смещенных накладках</w:t>
            </w:r>
          </w:p>
        </w:tc>
        <w:tc>
          <w:tcPr>
            <w:tcW w:w="1587" w:type="dxa"/>
          </w:tcPr>
          <w:p w:rsidR="00212513" w:rsidRDefault="00212513">
            <w:pPr>
              <w:pStyle w:val="ConsPlusNormal"/>
              <w:jc w:val="center"/>
            </w:pPr>
            <w:r>
              <w:t>0</w:t>
            </w:r>
          </w:p>
        </w:tc>
        <w:tc>
          <w:tcPr>
            <w:tcW w:w="1161" w:type="dxa"/>
          </w:tcPr>
          <w:p w:rsidR="00212513" w:rsidRDefault="00212513">
            <w:pPr>
              <w:pStyle w:val="ConsPlusNormal"/>
              <w:jc w:val="center"/>
            </w:pPr>
            <w:r>
              <w:t>0,65</w:t>
            </w:r>
          </w:p>
        </w:tc>
        <w:tc>
          <w:tcPr>
            <w:tcW w:w="1161" w:type="dxa"/>
          </w:tcPr>
          <w:p w:rsidR="00212513" w:rsidRDefault="00212513">
            <w:pPr>
              <w:pStyle w:val="ConsPlusNormal"/>
              <w:jc w:val="center"/>
            </w:pPr>
            <w:r>
              <w:t>0,65</w:t>
            </w:r>
          </w:p>
        </w:tc>
        <w:tc>
          <w:tcPr>
            <w:tcW w:w="1161" w:type="dxa"/>
          </w:tcPr>
          <w:p w:rsidR="00212513" w:rsidRDefault="00212513">
            <w:pPr>
              <w:pStyle w:val="ConsPlusNormal"/>
              <w:jc w:val="center"/>
            </w:pPr>
            <w:r>
              <w:t>0,60</w:t>
            </w:r>
          </w:p>
        </w:tc>
        <w:tc>
          <w:tcPr>
            <w:tcW w:w="1162" w:type="dxa"/>
          </w:tcPr>
          <w:p w:rsidR="00212513" w:rsidRDefault="00212513">
            <w:pPr>
              <w:pStyle w:val="ConsPlusNormal"/>
              <w:jc w:val="center"/>
            </w:pPr>
            <w:r>
              <w:t>-</w:t>
            </w:r>
          </w:p>
        </w:tc>
      </w:tr>
      <w:tr w:rsidR="00212513">
        <w:tc>
          <w:tcPr>
            <w:tcW w:w="2835" w:type="dxa"/>
            <w:vMerge/>
          </w:tcPr>
          <w:p w:rsidR="00212513" w:rsidRDefault="00212513">
            <w:pPr>
              <w:pStyle w:val="ConsPlusNormal"/>
            </w:pPr>
          </w:p>
        </w:tc>
        <w:tc>
          <w:tcPr>
            <w:tcW w:w="1587" w:type="dxa"/>
          </w:tcPr>
          <w:p w:rsidR="00212513" w:rsidRDefault="00212513">
            <w:pPr>
              <w:pStyle w:val="ConsPlusNormal"/>
              <w:jc w:val="center"/>
            </w:pPr>
            <w:r>
              <w:t>0,2</w:t>
            </w:r>
          </w:p>
        </w:tc>
        <w:tc>
          <w:tcPr>
            <w:tcW w:w="1161" w:type="dxa"/>
          </w:tcPr>
          <w:p w:rsidR="00212513" w:rsidRDefault="00212513">
            <w:pPr>
              <w:pStyle w:val="ConsPlusNormal"/>
              <w:jc w:val="center"/>
            </w:pPr>
            <w:r>
              <w:t>0,70</w:t>
            </w:r>
          </w:p>
        </w:tc>
        <w:tc>
          <w:tcPr>
            <w:tcW w:w="1161" w:type="dxa"/>
          </w:tcPr>
          <w:p w:rsidR="00212513" w:rsidRDefault="00212513">
            <w:pPr>
              <w:pStyle w:val="ConsPlusNormal"/>
              <w:jc w:val="center"/>
            </w:pPr>
            <w:r>
              <w:t>0,70</w:t>
            </w:r>
          </w:p>
        </w:tc>
        <w:tc>
          <w:tcPr>
            <w:tcW w:w="1161" w:type="dxa"/>
          </w:tcPr>
          <w:p w:rsidR="00212513" w:rsidRDefault="00212513">
            <w:pPr>
              <w:pStyle w:val="ConsPlusNormal"/>
              <w:jc w:val="center"/>
            </w:pPr>
            <w:r>
              <w:t>0,65</w:t>
            </w:r>
          </w:p>
        </w:tc>
        <w:tc>
          <w:tcPr>
            <w:tcW w:w="1162" w:type="dxa"/>
          </w:tcPr>
          <w:p w:rsidR="00212513" w:rsidRDefault="00212513">
            <w:pPr>
              <w:pStyle w:val="ConsPlusNormal"/>
              <w:jc w:val="center"/>
            </w:pPr>
            <w:r>
              <w:t>-</w:t>
            </w:r>
          </w:p>
        </w:tc>
      </w:tr>
      <w:tr w:rsidR="00212513">
        <w:tc>
          <w:tcPr>
            <w:tcW w:w="2835" w:type="dxa"/>
            <w:vMerge/>
          </w:tcPr>
          <w:p w:rsidR="00212513" w:rsidRDefault="00212513">
            <w:pPr>
              <w:pStyle w:val="ConsPlusNormal"/>
            </w:pPr>
          </w:p>
        </w:tc>
        <w:tc>
          <w:tcPr>
            <w:tcW w:w="1587" w:type="dxa"/>
          </w:tcPr>
          <w:p w:rsidR="00212513" w:rsidRDefault="00212513">
            <w:pPr>
              <w:pStyle w:val="ConsPlusNormal"/>
              <w:jc w:val="center"/>
            </w:pPr>
            <w:r>
              <w:t>0,4</w:t>
            </w:r>
          </w:p>
        </w:tc>
        <w:tc>
          <w:tcPr>
            <w:tcW w:w="1161" w:type="dxa"/>
          </w:tcPr>
          <w:p w:rsidR="00212513" w:rsidRDefault="00212513">
            <w:pPr>
              <w:pStyle w:val="ConsPlusNormal"/>
              <w:jc w:val="center"/>
            </w:pPr>
            <w:r>
              <w:t>0,75</w:t>
            </w:r>
          </w:p>
        </w:tc>
        <w:tc>
          <w:tcPr>
            <w:tcW w:w="1161" w:type="dxa"/>
          </w:tcPr>
          <w:p w:rsidR="00212513" w:rsidRDefault="00212513">
            <w:pPr>
              <w:pStyle w:val="ConsPlusNormal"/>
              <w:jc w:val="center"/>
            </w:pPr>
            <w:r>
              <w:t>0,75</w:t>
            </w:r>
          </w:p>
        </w:tc>
        <w:tc>
          <w:tcPr>
            <w:tcW w:w="1161" w:type="dxa"/>
          </w:tcPr>
          <w:p w:rsidR="00212513" w:rsidRDefault="00212513">
            <w:pPr>
              <w:pStyle w:val="ConsPlusNormal"/>
              <w:jc w:val="center"/>
            </w:pPr>
            <w:r>
              <w:t>0,65</w:t>
            </w:r>
          </w:p>
        </w:tc>
        <w:tc>
          <w:tcPr>
            <w:tcW w:w="1162" w:type="dxa"/>
          </w:tcPr>
          <w:p w:rsidR="00212513" w:rsidRDefault="00212513">
            <w:pPr>
              <w:pStyle w:val="ConsPlusNormal"/>
              <w:jc w:val="center"/>
            </w:pPr>
            <w:r>
              <w:t>-</w:t>
            </w:r>
          </w:p>
        </w:tc>
      </w:tr>
      <w:tr w:rsidR="00212513">
        <w:tc>
          <w:tcPr>
            <w:tcW w:w="2835" w:type="dxa"/>
            <w:vMerge/>
          </w:tcPr>
          <w:p w:rsidR="00212513" w:rsidRDefault="00212513">
            <w:pPr>
              <w:pStyle w:val="ConsPlusNormal"/>
            </w:pPr>
          </w:p>
        </w:tc>
        <w:tc>
          <w:tcPr>
            <w:tcW w:w="1587" w:type="dxa"/>
          </w:tcPr>
          <w:p w:rsidR="00212513" w:rsidRDefault="00212513">
            <w:pPr>
              <w:pStyle w:val="ConsPlusNormal"/>
              <w:jc w:val="center"/>
            </w:pPr>
            <w:r>
              <w:t>0,7</w:t>
            </w:r>
          </w:p>
        </w:tc>
        <w:tc>
          <w:tcPr>
            <w:tcW w:w="1161" w:type="dxa"/>
          </w:tcPr>
          <w:p w:rsidR="00212513" w:rsidRDefault="00212513">
            <w:pPr>
              <w:pStyle w:val="ConsPlusNormal"/>
              <w:jc w:val="center"/>
            </w:pPr>
            <w:r>
              <w:t>0,90</w:t>
            </w:r>
          </w:p>
        </w:tc>
        <w:tc>
          <w:tcPr>
            <w:tcW w:w="1161" w:type="dxa"/>
          </w:tcPr>
          <w:p w:rsidR="00212513" w:rsidRDefault="00212513">
            <w:pPr>
              <w:pStyle w:val="ConsPlusNormal"/>
              <w:jc w:val="center"/>
            </w:pPr>
            <w:r>
              <w:t>0,90</w:t>
            </w:r>
          </w:p>
        </w:tc>
        <w:tc>
          <w:tcPr>
            <w:tcW w:w="1161" w:type="dxa"/>
          </w:tcPr>
          <w:p w:rsidR="00212513" w:rsidRDefault="00212513">
            <w:pPr>
              <w:pStyle w:val="ConsPlusNormal"/>
              <w:jc w:val="center"/>
            </w:pPr>
            <w:r>
              <w:t>0,70</w:t>
            </w:r>
          </w:p>
        </w:tc>
        <w:tc>
          <w:tcPr>
            <w:tcW w:w="1162" w:type="dxa"/>
          </w:tcPr>
          <w:p w:rsidR="00212513" w:rsidRDefault="00212513">
            <w:pPr>
              <w:pStyle w:val="ConsPlusNormal"/>
              <w:jc w:val="center"/>
            </w:pPr>
            <w:r>
              <w:t>-</w:t>
            </w:r>
          </w:p>
        </w:tc>
      </w:tr>
      <w:tr w:rsidR="00212513">
        <w:tc>
          <w:tcPr>
            <w:tcW w:w="2835" w:type="dxa"/>
            <w:vMerge/>
          </w:tcPr>
          <w:p w:rsidR="00212513" w:rsidRDefault="00212513">
            <w:pPr>
              <w:pStyle w:val="ConsPlusNormal"/>
            </w:pPr>
          </w:p>
        </w:tc>
        <w:tc>
          <w:tcPr>
            <w:tcW w:w="1587" w:type="dxa"/>
          </w:tcPr>
          <w:p w:rsidR="00212513" w:rsidRDefault="00212513">
            <w:pPr>
              <w:pStyle w:val="ConsPlusNormal"/>
              <w:jc w:val="center"/>
            </w:pPr>
            <w:r>
              <w:t>0,8</w:t>
            </w:r>
          </w:p>
        </w:tc>
        <w:tc>
          <w:tcPr>
            <w:tcW w:w="1161" w:type="dxa"/>
          </w:tcPr>
          <w:p w:rsidR="00212513" w:rsidRDefault="00212513">
            <w:pPr>
              <w:pStyle w:val="ConsPlusNormal"/>
              <w:jc w:val="center"/>
            </w:pPr>
            <w:r>
              <w:t>1</w:t>
            </w:r>
          </w:p>
        </w:tc>
        <w:tc>
          <w:tcPr>
            <w:tcW w:w="1161" w:type="dxa"/>
          </w:tcPr>
          <w:p w:rsidR="00212513" w:rsidRDefault="00212513">
            <w:pPr>
              <w:pStyle w:val="ConsPlusNormal"/>
              <w:jc w:val="center"/>
            </w:pPr>
            <w:r>
              <w:t>1</w:t>
            </w:r>
          </w:p>
        </w:tc>
        <w:tc>
          <w:tcPr>
            <w:tcW w:w="1161" w:type="dxa"/>
          </w:tcPr>
          <w:p w:rsidR="00212513" w:rsidRDefault="00212513">
            <w:pPr>
              <w:pStyle w:val="ConsPlusNormal"/>
              <w:jc w:val="center"/>
            </w:pPr>
            <w:r>
              <w:t>0,75</w:t>
            </w:r>
          </w:p>
        </w:tc>
        <w:tc>
          <w:tcPr>
            <w:tcW w:w="1162" w:type="dxa"/>
          </w:tcPr>
          <w:p w:rsidR="00212513" w:rsidRDefault="00212513">
            <w:pPr>
              <w:pStyle w:val="ConsPlusNormal"/>
              <w:jc w:val="center"/>
            </w:pPr>
            <w:r>
              <w:t>-</w:t>
            </w:r>
          </w:p>
        </w:tc>
      </w:tr>
      <w:tr w:rsidR="00212513">
        <w:tc>
          <w:tcPr>
            <w:tcW w:w="2835" w:type="dxa"/>
            <w:vMerge/>
          </w:tcPr>
          <w:p w:rsidR="00212513" w:rsidRDefault="00212513">
            <w:pPr>
              <w:pStyle w:val="ConsPlusNormal"/>
            </w:pPr>
          </w:p>
        </w:tc>
        <w:tc>
          <w:tcPr>
            <w:tcW w:w="1587" w:type="dxa"/>
          </w:tcPr>
          <w:p w:rsidR="00212513" w:rsidRDefault="00212513">
            <w:pPr>
              <w:pStyle w:val="ConsPlusNormal"/>
              <w:jc w:val="center"/>
            </w:pPr>
            <w:r>
              <w:t>0,9</w:t>
            </w:r>
          </w:p>
        </w:tc>
        <w:tc>
          <w:tcPr>
            <w:tcW w:w="1161" w:type="dxa"/>
          </w:tcPr>
          <w:p w:rsidR="00212513" w:rsidRDefault="00212513">
            <w:pPr>
              <w:pStyle w:val="ConsPlusNormal"/>
              <w:jc w:val="center"/>
            </w:pPr>
            <w:r>
              <w:t>1</w:t>
            </w:r>
          </w:p>
        </w:tc>
        <w:tc>
          <w:tcPr>
            <w:tcW w:w="1161" w:type="dxa"/>
          </w:tcPr>
          <w:p w:rsidR="00212513" w:rsidRDefault="00212513">
            <w:pPr>
              <w:pStyle w:val="ConsPlusNormal"/>
              <w:jc w:val="center"/>
            </w:pPr>
            <w:r>
              <w:t>1</w:t>
            </w:r>
          </w:p>
        </w:tc>
        <w:tc>
          <w:tcPr>
            <w:tcW w:w="1161" w:type="dxa"/>
          </w:tcPr>
          <w:p w:rsidR="00212513" w:rsidRDefault="00212513">
            <w:pPr>
              <w:pStyle w:val="ConsPlusNormal"/>
              <w:jc w:val="center"/>
            </w:pPr>
            <w:r>
              <w:t>0,85</w:t>
            </w:r>
          </w:p>
        </w:tc>
        <w:tc>
          <w:tcPr>
            <w:tcW w:w="1162" w:type="dxa"/>
          </w:tcPr>
          <w:p w:rsidR="00212513" w:rsidRDefault="00212513">
            <w:pPr>
              <w:pStyle w:val="ConsPlusNormal"/>
              <w:jc w:val="center"/>
            </w:pPr>
            <w:r>
              <w:t>-</w:t>
            </w:r>
          </w:p>
        </w:tc>
      </w:tr>
      <w:tr w:rsidR="00212513">
        <w:tblPrEx>
          <w:tblBorders>
            <w:insideH w:val="nil"/>
          </w:tblBorders>
        </w:tblPrEx>
        <w:tc>
          <w:tcPr>
            <w:tcW w:w="9067" w:type="dxa"/>
            <w:gridSpan w:val="6"/>
            <w:tcBorders>
              <w:bottom w:val="nil"/>
            </w:tcBorders>
          </w:tcPr>
          <w:p w:rsidR="00212513" w:rsidRDefault="00212513">
            <w:pPr>
              <w:pStyle w:val="ConsPlusNormal"/>
              <w:ind w:firstLine="283"/>
              <w:jc w:val="both"/>
            </w:pPr>
            <w:r>
              <w:t>Примечания</w:t>
            </w:r>
          </w:p>
          <w:p w:rsidR="00212513" w:rsidRDefault="00212513">
            <w:pPr>
              <w:pStyle w:val="ConsPlusNormal"/>
              <w:ind w:firstLine="283"/>
              <w:jc w:val="both"/>
            </w:pPr>
            <w:r>
              <w:t xml:space="preserve">1 Если диаметры стержневой растянутой арматуры свыше 32 мм, то значения </w:t>
            </w:r>
            <w:r>
              <w:rPr>
                <w:noProof/>
                <w:position w:val="-9"/>
              </w:rPr>
              <w:drawing>
                <wp:inline distT="0" distB="0" distL="0" distR="0">
                  <wp:extent cx="293370" cy="262255"/>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293370" cy="262255"/>
                          </a:xfrm>
                          <a:prstGeom prst="rect">
                            <a:avLst/>
                          </a:prstGeom>
                          <a:noFill/>
                          <a:ln>
                            <a:noFill/>
                          </a:ln>
                        </pic:spPr>
                      </pic:pic>
                    </a:graphicData>
                  </a:graphic>
                </wp:inline>
              </w:drawing>
            </w:r>
            <w:r>
              <w:t xml:space="preserve"> следует уменьшить на 5%.</w:t>
            </w:r>
          </w:p>
          <w:p w:rsidR="00212513" w:rsidRDefault="00212513">
            <w:pPr>
              <w:pStyle w:val="ConsPlusNormal"/>
              <w:ind w:firstLine="283"/>
              <w:jc w:val="both"/>
            </w:pPr>
            <w:r>
              <w:lastRenderedPageBreak/>
              <w:t xml:space="preserve">2 Если значения </w:t>
            </w:r>
            <w:r>
              <w:rPr>
                <w:noProof/>
                <w:position w:val="-6"/>
              </w:rPr>
              <w:drawing>
                <wp:inline distT="0" distB="0" distL="0" distR="0">
                  <wp:extent cx="408940" cy="220345"/>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408940" cy="220345"/>
                          </a:xfrm>
                          <a:prstGeom prst="rect">
                            <a:avLst/>
                          </a:prstGeom>
                          <a:noFill/>
                          <a:ln>
                            <a:noFill/>
                          </a:ln>
                        </pic:spPr>
                      </pic:pic>
                    </a:graphicData>
                  </a:graphic>
                </wp:inline>
              </w:drawing>
            </w:r>
            <w:r>
              <w:t xml:space="preserve">, то значения </w:t>
            </w:r>
            <w:r>
              <w:rPr>
                <w:noProof/>
                <w:position w:val="-9"/>
              </w:rPr>
              <w:drawing>
                <wp:inline distT="0" distB="0" distL="0" distR="0">
                  <wp:extent cx="293370" cy="262255"/>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293370" cy="262255"/>
                          </a:xfrm>
                          <a:prstGeom prst="rect">
                            <a:avLst/>
                          </a:prstGeom>
                          <a:noFill/>
                          <a:ln>
                            <a:noFill/>
                          </a:ln>
                        </pic:spPr>
                      </pic:pic>
                    </a:graphicData>
                  </a:graphic>
                </wp:inline>
              </w:drawing>
            </w:r>
            <w:r>
              <w:t xml:space="preserve"> следует принимать такими же, как при </w:t>
            </w:r>
            <w:r>
              <w:rPr>
                <w:noProof/>
                <w:position w:val="-6"/>
              </w:rPr>
              <w:drawing>
                <wp:inline distT="0" distB="0" distL="0" distR="0">
                  <wp:extent cx="419100" cy="220345"/>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212513" w:rsidRDefault="00212513">
            <w:pPr>
              <w:pStyle w:val="ConsPlusNormal"/>
              <w:ind w:firstLine="283"/>
              <w:jc w:val="both"/>
            </w:pPr>
            <w:r>
              <w:t xml:space="preserve">3 Для растянутой арматурной стали класса А600, стержни которой имеют сварные стыки, выполненные контактной сваркой с последующей продольной зачисткой, следует принимать </w:t>
            </w:r>
            <w:r>
              <w:rPr>
                <w:noProof/>
                <w:position w:val="-9"/>
              </w:rPr>
              <w:drawing>
                <wp:inline distT="0" distB="0" distL="0" distR="0">
                  <wp:extent cx="513715" cy="262255"/>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513715" cy="262255"/>
                          </a:xfrm>
                          <a:prstGeom prst="rect">
                            <a:avLst/>
                          </a:prstGeom>
                          <a:noFill/>
                          <a:ln>
                            <a:noFill/>
                          </a:ln>
                        </pic:spPr>
                      </pic:pic>
                    </a:graphicData>
                  </a:graphic>
                </wp:inline>
              </w:drawing>
            </w:r>
            <w:r>
              <w:t>.</w:t>
            </w:r>
          </w:p>
          <w:p w:rsidR="00212513" w:rsidRDefault="00212513">
            <w:pPr>
              <w:pStyle w:val="ConsPlusNormal"/>
              <w:ind w:firstLine="283"/>
              <w:jc w:val="both"/>
            </w:pPr>
            <w:r>
              <w:t xml:space="preserve">4 При промежуточных значениях </w:t>
            </w:r>
            <w:r>
              <w:rPr>
                <w:noProof/>
                <w:position w:val="-3"/>
              </w:rPr>
              <w:drawing>
                <wp:inline distT="0" distB="0" distL="0" distR="0">
                  <wp:extent cx="167640" cy="178435"/>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r>
              <w:t xml:space="preserve"> коэффициенты </w:t>
            </w:r>
            <w:r>
              <w:rPr>
                <w:noProof/>
                <w:position w:val="-9"/>
              </w:rPr>
              <w:drawing>
                <wp:inline distT="0" distB="0" distL="0" distR="0">
                  <wp:extent cx="293370" cy="262255"/>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293370" cy="262255"/>
                          </a:xfrm>
                          <a:prstGeom prst="rect">
                            <a:avLst/>
                          </a:prstGeom>
                          <a:noFill/>
                          <a:ln>
                            <a:noFill/>
                          </a:ln>
                        </pic:spPr>
                      </pic:pic>
                    </a:graphicData>
                  </a:graphic>
                </wp:inline>
              </w:drawing>
            </w:r>
            <w:r>
              <w:t xml:space="preserve"> следует определять по интерполяции.</w:t>
            </w:r>
          </w:p>
          <w:p w:rsidR="00212513" w:rsidRDefault="00212513">
            <w:pPr>
              <w:pStyle w:val="ConsPlusNormal"/>
              <w:ind w:firstLine="283"/>
              <w:jc w:val="both"/>
            </w:pPr>
            <w:r>
              <w:t xml:space="preserve">5 Для автодорожных мостов значение </w:t>
            </w:r>
            <w:r>
              <w:rPr>
                <w:noProof/>
                <w:position w:val="-10"/>
              </w:rPr>
              <w:drawing>
                <wp:inline distT="0" distB="0" distL="0" distR="0">
                  <wp:extent cx="293370" cy="267970"/>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293370" cy="267970"/>
                          </a:xfrm>
                          <a:prstGeom prst="rect">
                            <a:avLst/>
                          </a:prstGeom>
                          <a:noFill/>
                          <a:ln>
                            <a:noFill/>
                          </a:ln>
                        </pic:spPr>
                      </pic:pic>
                    </a:graphicData>
                  </a:graphic>
                </wp:inline>
              </w:drawing>
            </w:r>
            <w:r>
              <w:t xml:space="preserve"> следует увеличивать на 35% (но не более 1) для контактной точечной сварки перекрещивающихся стержней арматуры класса А400 из стали 25Г2С диаметром не менее 14 мм в случае разработки технологического регламента, обеспечивающего соответствующее качество сварного соединения.</w:t>
            </w:r>
          </w:p>
        </w:tc>
      </w:tr>
      <w:tr w:rsidR="00212513">
        <w:tblPrEx>
          <w:tblBorders>
            <w:insideH w:val="nil"/>
          </w:tblBorders>
        </w:tblPrEx>
        <w:tc>
          <w:tcPr>
            <w:tcW w:w="9067" w:type="dxa"/>
            <w:gridSpan w:val="6"/>
            <w:tcBorders>
              <w:top w:val="nil"/>
            </w:tcBorders>
          </w:tcPr>
          <w:p w:rsidR="00212513" w:rsidRDefault="00212513">
            <w:pPr>
              <w:pStyle w:val="ConsPlusNormal"/>
              <w:jc w:val="both"/>
            </w:pPr>
            <w:r>
              <w:lastRenderedPageBreak/>
              <w:t xml:space="preserve">(примечание 5 введено </w:t>
            </w:r>
            <w:hyperlink r:id="rId777">
              <w:r>
                <w:rPr>
                  <w:color w:val="0000FF"/>
                </w:rPr>
                <w:t>Изменением N 1</w:t>
              </w:r>
            </w:hyperlink>
            <w:r>
              <w:t>, утв. Приказом Минстроя России от 03.12.2016 N 879/пр)</w:t>
            </w:r>
          </w:p>
        </w:tc>
      </w:tr>
    </w:tbl>
    <w:p w:rsidR="00212513" w:rsidRDefault="00212513">
      <w:pPr>
        <w:pStyle w:val="ConsPlusNormal"/>
        <w:ind w:firstLine="540"/>
        <w:jc w:val="both"/>
      </w:pPr>
    </w:p>
    <w:p w:rsidR="00212513" w:rsidRDefault="00212513">
      <w:pPr>
        <w:pStyle w:val="ConsPlusNormal"/>
        <w:ind w:firstLine="540"/>
        <w:jc w:val="both"/>
      </w:pPr>
      <w:bookmarkStart w:id="142" w:name="P3801"/>
      <w:bookmarkEnd w:id="142"/>
      <w:r>
        <w:t xml:space="preserve">7.40 При расчете растянутой поперечной арматуры (хомутов и отогнутых стержней) в наклонных сечениях на действие поперечной силы к расчетным сопротивлениям растяжению арматурной стали, указанным в </w:t>
      </w:r>
      <w:hyperlink w:anchor="P3305">
        <w:r>
          <w:rPr>
            <w:color w:val="0000FF"/>
          </w:rPr>
          <w:t>таблице 7.16</w:t>
        </w:r>
      </w:hyperlink>
      <w:r>
        <w:t>, вводятся коэффициенты условий работы арматуры:</w:t>
      </w:r>
    </w:p>
    <w:p w:rsidR="00212513" w:rsidRDefault="00212513">
      <w:pPr>
        <w:pStyle w:val="ConsPlusNormal"/>
        <w:spacing w:before="220"/>
        <w:ind w:firstLine="540"/>
        <w:jc w:val="both"/>
      </w:pPr>
      <w:r>
        <w:rPr>
          <w:noProof/>
          <w:position w:val="-8"/>
        </w:rPr>
        <w:drawing>
          <wp:inline distT="0" distB="0" distL="0" distR="0">
            <wp:extent cx="691515" cy="251460"/>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691515" cy="251460"/>
                    </a:xfrm>
                    <a:prstGeom prst="rect">
                      <a:avLst/>
                    </a:prstGeom>
                    <a:noFill/>
                    <a:ln>
                      <a:noFill/>
                    </a:ln>
                  </pic:spPr>
                </pic:pic>
              </a:graphicData>
            </a:graphic>
          </wp:inline>
        </w:drawing>
      </w:r>
      <w:r>
        <w:t xml:space="preserve"> - для стержневой арматуры;</w:t>
      </w:r>
    </w:p>
    <w:p w:rsidR="00212513" w:rsidRDefault="00212513">
      <w:pPr>
        <w:pStyle w:val="ConsPlusNormal"/>
        <w:spacing w:before="220"/>
        <w:ind w:firstLine="540"/>
        <w:jc w:val="both"/>
      </w:pPr>
      <w:r>
        <w:rPr>
          <w:noProof/>
          <w:position w:val="-8"/>
        </w:rPr>
        <w:drawing>
          <wp:inline distT="0" distB="0" distL="0" distR="0">
            <wp:extent cx="691515" cy="251460"/>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691515" cy="251460"/>
                    </a:xfrm>
                    <a:prstGeom prst="rect">
                      <a:avLst/>
                    </a:prstGeom>
                    <a:noFill/>
                    <a:ln>
                      <a:noFill/>
                    </a:ln>
                  </pic:spPr>
                </pic:pic>
              </a:graphicData>
            </a:graphic>
          </wp:inline>
        </w:drawing>
      </w:r>
      <w:r>
        <w:t xml:space="preserve"> - для арматуры из высокопрочной проволоки, арматурных канатов К7 и стальных канатов со спиральной и двойной свивкой и закрытых.</w:t>
      </w:r>
    </w:p>
    <w:p w:rsidR="00212513" w:rsidRDefault="00212513">
      <w:pPr>
        <w:pStyle w:val="ConsPlusNormal"/>
        <w:spacing w:before="220"/>
        <w:ind w:firstLine="540"/>
        <w:jc w:val="both"/>
      </w:pPr>
      <w:r>
        <w:t>Если в сварных каркасах диаметр хомутов из арматурной стали класса А400 менее 1/3 диаметра продольных стержней, то учитываемые в расчете на поперечную силу напряжения в хомутах не должны превышать, МПа:</w:t>
      </w:r>
    </w:p>
    <w:p w:rsidR="00212513" w:rsidRDefault="00212513">
      <w:pPr>
        <w:pStyle w:val="ConsPlusNormal"/>
        <w:spacing w:before="220"/>
        <w:ind w:firstLine="540"/>
        <w:jc w:val="both"/>
      </w:pPr>
      <w:r>
        <w:t>245 - при диаметре хомутов 6 и 8 мм;</w:t>
      </w:r>
    </w:p>
    <w:p w:rsidR="00212513" w:rsidRDefault="00212513">
      <w:pPr>
        <w:pStyle w:val="ConsPlusNormal"/>
        <w:spacing w:before="220"/>
        <w:ind w:firstLine="540"/>
        <w:jc w:val="both"/>
      </w:pPr>
      <w:r>
        <w:t>255 - то же, 10 мм и более.</w:t>
      </w:r>
    </w:p>
    <w:p w:rsidR="00212513" w:rsidRDefault="00212513">
      <w:pPr>
        <w:pStyle w:val="ConsPlusNormal"/>
        <w:spacing w:before="220"/>
        <w:ind w:firstLine="540"/>
        <w:jc w:val="both"/>
      </w:pPr>
      <w:r>
        <w:t xml:space="preserve">7.41 Для арматурной стали классов А600 и А800 при применении стыков, выполненных контактной сваркой без продольной механической зачистки, и стыков на парных смещенных накладках к расчетным сопротивлениям растяжению, указанным в </w:t>
      </w:r>
      <w:hyperlink w:anchor="P3305">
        <w:r>
          <w:rPr>
            <w:color w:val="0000FF"/>
          </w:rPr>
          <w:t>таблице 7.16</w:t>
        </w:r>
      </w:hyperlink>
      <w:r>
        <w:t xml:space="preserve">, вводится коэффициент условий работы арматуры </w:t>
      </w:r>
      <w:r>
        <w:rPr>
          <w:noProof/>
          <w:position w:val="-8"/>
        </w:rPr>
        <w:drawing>
          <wp:inline distT="0" distB="0" distL="0" distR="0">
            <wp:extent cx="691515" cy="251460"/>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691515" cy="251460"/>
                    </a:xfrm>
                    <a:prstGeom prst="rect">
                      <a:avLst/>
                    </a:prstGeom>
                    <a:noFill/>
                    <a:ln>
                      <a:noFill/>
                    </a:ln>
                  </pic:spPr>
                </pic:pic>
              </a:graphicData>
            </a:graphic>
          </wp:inline>
        </w:drawing>
      </w:r>
      <w:r>
        <w:t>.</w:t>
      </w:r>
    </w:p>
    <w:p w:rsidR="00212513" w:rsidRDefault="00212513">
      <w:pPr>
        <w:pStyle w:val="ConsPlusNormal"/>
        <w:spacing w:before="220"/>
        <w:ind w:firstLine="540"/>
        <w:jc w:val="both"/>
      </w:pPr>
      <w:r>
        <w:t>Для арматурной стали классов А240, А300 и А400 при наличии стыков, выполненных контактной сваркой, ванным способом на удлиненных или коротких подкладках, на парных смещенных накладках, расчетные сопротивления растяжению следует принимать такими же, как для арматурной стали, не имеющей стыков.</w:t>
      </w:r>
    </w:p>
    <w:p w:rsidR="00212513" w:rsidRDefault="00212513">
      <w:pPr>
        <w:pStyle w:val="ConsPlusNormal"/>
        <w:spacing w:before="220"/>
        <w:ind w:firstLine="540"/>
        <w:jc w:val="both"/>
      </w:pPr>
      <w:r>
        <w:t>7.42 При расчете по прочности нормальных сечений в изгибаемых конструкциях для арматурных элементов (отдельных стержней, пучков, канатов), расположенных от растянутой грани изгибаемого элемента на расстоянии более чем 1/5 высоты растянутой зоны сечения, к расчетным сопротивлениям арматурной стали растяжению допускается вводить коэффициенты условий работы арматуры</w:t>
      </w:r>
    </w:p>
    <w:p w:rsidR="00212513" w:rsidRDefault="00212513">
      <w:pPr>
        <w:pStyle w:val="ConsPlusNormal"/>
        <w:jc w:val="center"/>
      </w:pPr>
    </w:p>
    <w:p w:rsidR="00212513" w:rsidRDefault="00212513">
      <w:pPr>
        <w:pStyle w:val="ConsPlusNormal"/>
        <w:jc w:val="center"/>
      </w:pPr>
      <w:r>
        <w:rPr>
          <w:noProof/>
          <w:position w:val="-22"/>
        </w:rPr>
        <w:drawing>
          <wp:inline distT="0" distB="0" distL="0" distR="0">
            <wp:extent cx="1578610" cy="428625"/>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1578610" cy="428625"/>
                    </a:xfrm>
                    <a:prstGeom prst="rect">
                      <a:avLst/>
                    </a:prstGeom>
                    <a:noFill/>
                    <a:ln>
                      <a:noFill/>
                    </a:ln>
                  </pic:spPr>
                </pic:pic>
              </a:graphicData>
            </a:graphic>
          </wp:inline>
        </w:drawing>
      </w:r>
      <w:r>
        <w:t>, (7.6)</w:t>
      </w:r>
    </w:p>
    <w:p w:rsidR="00212513" w:rsidRDefault="00212513">
      <w:pPr>
        <w:pStyle w:val="ConsPlusNormal"/>
        <w:ind w:firstLine="540"/>
        <w:jc w:val="both"/>
      </w:pPr>
    </w:p>
    <w:p w:rsidR="00212513" w:rsidRDefault="00212513">
      <w:pPr>
        <w:pStyle w:val="ConsPlusNormal"/>
        <w:ind w:firstLine="540"/>
        <w:jc w:val="both"/>
      </w:pPr>
      <w:r>
        <w:lastRenderedPageBreak/>
        <w:t>где (</w:t>
      </w:r>
      <w:r>
        <w:rPr>
          <w:i/>
        </w:rPr>
        <w:t>h - x</w:t>
      </w:r>
      <w:r>
        <w:t>) - высота растянутой зоны сечения;</w:t>
      </w:r>
    </w:p>
    <w:p w:rsidR="00212513" w:rsidRDefault="00212513">
      <w:pPr>
        <w:pStyle w:val="ConsPlusNormal"/>
        <w:spacing w:before="220"/>
        <w:ind w:firstLine="540"/>
        <w:jc w:val="both"/>
      </w:pPr>
      <w:r>
        <w:rPr>
          <w:i/>
        </w:rPr>
        <w:t>a</w:t>
      </w:r>
      <w:r>
        <w:t xml:space="preserve"> &gt;= 0,2(</w:t>
      </w:r>
      <w:r>
        <w:rPr>
          <w:i/>
        </w:rPr>
        <w:t>h - x</w:t>
      </w:r>
      <w:r>
        <w:t>) - расстояние оси растянутого арматурного элемента от растянутой грани сечения.</w:t>
      </w:r>
    </w:p>
    <w:p w:rsidR="00212513" w:rsidRDefault="00212513">
      <w:pPr>
        <w:pStyle w:val="ConsPlusNormal"/>
        <w:spacing w:before="220"/>
        <w:ind w:firstLine="540"/>
        <w:jc w:val="both"/>
      </w:pPr>
      <w:r>
        <w:t xml:space="preserve">7.43 При перегибе стальных канатов со спиральной или двойной свивкой вокруг анкерных полукруглых блоков диаметром </w:t>
      </w:r>
      <w:r>
        <w:rPr>
          <w:i/>
        </w:rPr>
        <w:t>D</w:t>
      </w:r>
      <w:r>
        <w:t xml:space="preserve"> менее 24</w:t>
      </w:r>
      <w:r>
        <w:rPr>
          <w:i/>
        </w:rPr>
        <w:t>d</w:t>
      </w:r>
      <w:r>
        <w:t xml:space="preserve"> (</w:t>
      </w:r>
      <w:r>
        <w:rPr>
          <w:i/>
        </w:rPr>
        <w:t>d</w:t>
      </w:r>
      <w:r>
        <w:t xml:space="preserve"> - диаметр каната) к расчетным сопротивлениям канатов растяжению при расчетах на прочность должны вводиться коэффициенты условий работы канатов </w:t>
      </w:r>
      <w:r>
        <w:rPr>
          <w:noProof/>
          <w:position w:val="-8"/>
        </w:rPr>
        <w:drawing>
          <wp:inline distT="0" distB="0" distL="0" distR="0">
            <wp:extent cx="314960" cy="251460"/>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314960" cy="251460"/>
                    </a:xfrm>
                    <a:prstGeom prst="rect">
                      <a:avLst/>
                    </a:prstGeom>
                    <a:noFill/>
                    <a:ln>
                      <a:noFill/>
                    </a:ln>
                  </pic:spPr>
                </pic:pic>
              </a:graphicData>
            </a:graphic>
          </wp:inline>
        </w:drawing>
      </w:r>
      <w:r>
        <w:t xml:space="preserve">, которые при отношениях </w:t>
      </w:r>
      <w:r>
        <w:rPr>
          <w:i/>
        </w:rPr>
        <w:t>D/d</w:t>
      </w:r>
      <w:r>
        <w:t xml:space="preserve"> от 8 до 24 допускается определять по формуле</w:t>
      </w:r>
    </w:p>
    <w:p w:rsidR="00212513" w:rsidRDefault="00212513">
      <w:pPr>
        <w:pStyle w:val="ConsPlusNormal"/>
        <w:ind w:firstLine="540"/>
        <w:jc w:val="both"/>
      </w:pPr>
    </w:p>
    <w:p w:rsidR="00212513" w:rsidRDefault="00212513">
      <w:pPr>
        <w:pStyle w:val="ConsPlusNormal"/>
        <w:jc w:val="center"/>
      </w:pPr>
      <w:r>
        <w:rPr>
          <w:noProof/>
          <w:position w:val="-8"/>
        </w:rPr>
        <w:drawing>
          <wp:inline distT="0" distB="0" distL="0" distR="0">
            <wp:extent cx="1899920" cy="251460"/>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1899920" cy="251460"/>
                    </a:xfrm>
                    <a:prstGeom prst="rect">
                      <a:avLst/>
                    </a:prstGeom>
                    <a:noFill/>
                    <a:ln>
                      <a:noFill/>
                    </a:ln>
                  </pic:spPr>
                </pic:pic>
              </a:graphicData>
            </a:graphic>
          </wp:inline>
        </w:drawing>
      </w:r>
      <w:r>
        <w:t>. (7.7)</w:t>
      </w:r>
    </w:p>
    <w:p w:rsidR="00212513" w:rsidRDefault="00212513">
      <w:pPr>
        <w:pStyle w:val="ConsPlusNormal"/>
        <w:ind w:firstLine="540"/>
        <w:jc w:val="both"/>
      </w:pPr>
    </w:p>
    <w:p w:rsidR="00212513" w:rsidRDefault="00212513">
      <w:pPr>
        <w:pStyle w:val="ConsPlusNormal"/>
        <w:ind w:firstLine="540"/>
        <w:jc w:val="both"/>
      </w:pPr>
      <w:r>
        <w:t xml:space="preserve">При перегибах вокруг блоков диаметром </w:t>
      </w:r>
      <w:r>
        <w:rPr>
          <w:i/>
        </w:rPr>
        <w:t>D</w:t>
      </w:r>
      <w:r>
        <w:t xml:space="preserve"> менее 8</w:t>
      </w:r>
      <w:r>
        <w:rPr>
          <w:i/>
        </w:rPr>
        <w:t>d</w:t>
      </w:r>
      <w:r>
        <w:t xml:space="preserve"> коэффициенты условий работы канатов следует назначать по результатам опытных исследований.</w:t>
      </w:r>
    </w:p>
    <w:p w:rsidR="00212513" w:rsidRDefault="00212513">
      <w:pPr>
        <w:pStyle w:val="ConsPlusNormal"/>
        <w:spacing w:before="220"/>
        <w:ind w:firstLine="540"/>
        <w:jc w:val="both"/>
      </w:pPr>
      <w:r>
        <w:t xml:space="preserve">7.44 При расчетах по прочности оцинкованной высокопрочной гладкой проволоки класса В диаметром 5 мм к расчетным сопротивлениям проволоки растяжению по </w:t>
      </w:r>
      <w:hyperlink w:anchor="P3305">
        <w:r>
          <w:rPr>
            <w:color w:val="0000FF"/>
          </w:rPr>
          <w:t>таблице 7.16</w:t>
        </w:r>
      </w:hyperlink>
      <w:r>
        <w:t xml:space="preserve"> следует вводить коэффициенты условий работы арматуры </w:t>
      </w:r>
      <w:r>
        <w:rPr>
          <w:noProof/>
          <w:position w:val="-8"/>
        </w:rPr>
        <w:drawing>
          <wp:inline distT="0" distB="0" distL="0" distR="0">
            <wp:extent cx="304165" cy="251460"/>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304165" cy="251460"/>
                    </a:xfrm>
                    <a:prstGeom prst="rect">
                      <a:avLst/>
                    </a:prstGeom>
                    <a:noFill/>
                    <a:ln>
                      <a:noFill/>
                    </a:ln>
                  </pic:spPr>
                </pic:pic>
              </a:graphicData>
            </a:graphic>
          </wp:inline>
        </w:drawing>
      </w:r>
      <w:r>
        <w:t>, равные:</w:t>
      </w:r>
    </w:p>
    <w:p w:rsidR="00212513" w:rsidRDefault="00212513">
      <w:pPr>
        <w:pStyle w:val="ConsPlusNormal"/>
        <w:spacing w:before="220"/>
        <w:ind w:firstLine="540"/>
        <w:jc w:val="both"/>
      </w:pPr>
      <w:r>
        <w:t>0,94 - при оцинковке проволоки по группе С, отвечающей среднеагрессивным условиям среды;</w:t>
      </w:r>
    </w:p>
    <w:p w:rsidR="00212513" w:rsidRDefault="00212513">
      <w:pPr>
        <w:pStyle w:val="ConsPlusNormal"/>
        <w:spacing w:before="220"/>
        <w:ind w:firstLine="540"/>
        <w:jc w:val="both"/>
      </w:pPr>
      <w:r>
        <w:t>0,88 - то же, по группе Ж, отвечающей жесткоагрессивным условиям среды.</w:t>
      </w:r>
    </w:p>
    <w:p w:rsidR="00212513" w:rsidRDefault="00212513">
      <w:pPr>
        <w:pStyle w:val="ConsPlusNormal"/>
        <w:spacing w:before="220"/>
        <w:ind w:firstLine="540"/>
        <w:jc w:val="both"/>
      </w:pPr>
      <w:bookmarkStart w:id="143" w:name="P3823"/>
      <w:bookmarkEnd w:id="143"/>
      <w:r>
        <w:t xml:space="preserve">7.45 Абзац исключен с 30.06.2021. - </w:t>
      </w:r>
      <w:hyperlink r:id="rId785">
        <w:r>
          <w:rPr>
            <w:color w:val="0000FF"/>
          </w:rPr>
          <w:t>Изменение N 3</w:t>
        </w:r>
      </w:hyperlink>
      <w:r>
        <w:t>, утв. Приказом Минстроя России от 29.12.2020 N 891/пр.</w:t>
      </w:r>
    </w:p>
    <w:p w:rsidR="00212513" w:rsidRDefault="00212513">
      <w:pPr>
        <w:pStyle w:val="ConsPlusNormal"/>
        <w:spacing w:before="220"/>
        <w:ind w:firstLine="540"/>
        <w:jc w:val="both"/>
      </w:pPr>
      <w:r>
        <w:t>При расчетах на прочность напрягаемых элементов на осевое растяжение на стадии создания в конструкции предварительного напряжения, а также на стадии монтажа до объединения арматуры с бетоном (омоноличивание напрягаемой арматуры) следует применять расчетные сопротивления арматурной стали растяжению с коэффициентами условий работы, равными:</w:t>
      </w:r>
    </w:p>
    <w:p w:rsidR="00212513" w:rsidRDefault="00212513">
      <w:pPr>
        <w:pStyle w:val="ConsPlusNormal"/>
        <w:spacing w:before="220"/>
        <w:ind w:firstLine="540"/>
        <w:jc w:val="both"/>
      </w:pPr>
      <w:r>
        <w:t xml:space="preserve">1,10 - для стержневой арматурной стали, а также для арматурных элементов из высокопрочной проволоки и арматурных канатов К7 по </w:t>
      </w:r>
      <w:hyperlink r:id="rId786">
        <w:r>
          <w:rPr>
            <w:color w:val="0000FF"/>
          </w:rPr>
          <w:t>ГОСТ Р 53772</w:t>
        </w:r>
      </w:hyperlink>
      <w:r>
        <w:t>;</w:t>
      </w:r>
    </w:p>
    <w:p w:rsidR="00212513" w:rsidRDefault="00212513">
      <w:pPr>
        <w:pStyle w:val="ConsPlusNormal"/>
        <w:spacing w:before="220"/>
        <w:ind w:firstLine="540"/>
        <w:jc w:val="both"/>
      </w:pPr>
      <w:r>
        <w:t xml:space="preserve">1,05 - для арматурных канатов класса К7 по </w:t>
      </w:r>
      <w:hyperlink r:id="rId787">
        <w:r>
          <w:rPr>
            <w:color w:val="0000FF"/>
          </w:rPr>
          <w:t>ГОСТ 13840</w:t>
        </w:r>
      </w:hyperlink>
      <w:r>
        <w:t>, а также для стальных канатов со спиральной и двойной свивкой и закрытых.</w:t>
      </w:r>
    </w:p>
    <w:p w:rsidR="00212513" w:rsidRDefault="00212513">
      <w:pPr>
        <w:pStyle w:val="ConsPlusNormal"/>
        <w:jc w:val="both"/>
      </w:pPr>
      <w:r>
        <w:t xml:space="preserve">(в ред. </w:t>
      </w:r>
      <w:hyperlink r:id="rId788">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t>При этом, если проектом предусмотрен контроль процесса натяжения механическим способом (по манометру) и по вытяжке, коэффициент надежности по нагрузке разрешается принимать равным 1,0.</w:t>
      </w:r>
    </w:p>
    <w:p w:rsidR="00212513" w:rsidRDefault="00212513">
      <w:pPr>
        <w:pStyle w:val="ConsPlusNormal"/>
        <w:spacing w:before="220"/>
        <w:ind w:firstLine="540"/>
        <w:jc w:val="both"/>
      </w:pPr>
      <w:r>
        <w:t xml:space="preserve">Абзац исключен с 30.06.2021. - </w:t>
      </w:r>
      <w:hyperlink r:id="rId789">
        <w:r>
          <w:rPr>
            <w:color w:val="0000FF"/>
          </w:rPr>
          <w:t>Изменение N 3</w:t>
        </w:r>
      </w:hyperlink>
      <w:r>
        <w:t>, утв. Приказом Минстроя России от 29.12.2020 N 891/пр.</w:t>
      </w:r>
    </w:p>
    <w:p w:rsidR="00212513" w:rsidRDefault="00212513">
      <w:pPr>
        <w:pStyle w:val="ConsPlusNormal"/>
        <w:spacing w:before="220"/>
        <w:ind w:firstLine="540"/>
        <w:jc w:val="both"/>
      </w:pPr>
      <w:r>
        <w:t xml:space="preserve">Арматура, не имеющая сцепления с бетоном, на стадии эксплуатации должна удовлетворять требованиям по предельным состояниям первой группы, включая требования по расчету на выносливость, и второй группы, предъявляемым в соответствии с </w:t>
      </w:r>
      <w:hyperlink w:anchor="P6057">
        <w:r>
          <w:rPr>
            <w:color w:val="0000FF"/>
          </w:rPr>
          <w:t>разделом 8</w:t>
        </w:r>
      </w:hyperlink>
      <w:r>
        <w:t>.</w:t>
      </w:r>
    </w:p>
    <w:p w:rsidR="00212513" w:rsidRDefault="00212513">
      <w:pPr>
        <w:pStyle w:val="ConsPlusNormal"/>
        <w:jc w:val="both"/>
      </w:pPr>
      <w:r>
        <w:t xml:space="preserve">(абзац введен </w:t>
      </w:r>
      <w:hyperlink r:id="rId790">
        <w:r>
          <w:rPr>
            <w:color w:val="0000FF"/>
          </w:rPr>
          <w:t>Изменением N 3</w:t>
        </w:r>
      </w:hyperlink>
      <w:r>
        <w:t>, утв. Приказом Минстроя России от 29.12.2020 N 891/пр)</w:t>
      </w:r>
    </w:p>
    <w:p w:rsidR="00212513" w:rsidRDefault="00212513">
      <w:pPr>
        <w:pStyle w:val="ConsPlusNormal"/>
        <w:ind w:firstLine="540"/>
        <w:jc w:val="both"/>
      </w:pPr>
    </w:p>
    <w:p w:rsidR="00212513" w:rsidRDefault="00212513">
      <w:pPr>
        <w:pStyle w:val="ConsPlusNormal"/>
        <w:ind w:firstLine="540"/>
        <w:jc w:val="both"/>
      </w:pPr>
      <w:r>
        <w:rPr>
          <w:i/>
        </w:rPr>
        <w:t>Расчетные характеристики для стальных изделий</w:t>
      </w:r>
    </w:p>
    <w:p w:rsidR="00212513" w:rsidRDefault="00212513">
      <w:pPr>
        <w:pStyle w:val="ConsPlusNormal"/>
        <w:ind w:firstLine="540"/>
        <w:jc w:val="both"/>
      </w:pPr>
    </w:p>
    <w:p w:rsidR="00212513" w:rsidRDefault="00212513">
      <w:pPr>
        <w:pStyle w:val="ConsPlusNormal"/>
        <w:ind w:firstLine="540"/>
        <w:jc w:val="both"/>
      </w:pPr>
      <w:r>
        <w:lastRenderedPageBreak/>
        <w:t xml:space="preserve">7.46 Для стальных изделий железобетонных мостов и труб, представляющих отдельные их конструктивные детали (опорные части, элементы шарниров и деформационных швов, упорные устройства и т.д.), и для стальных закладных изделий из листового и фасонного проката расчетные сопротивления следует принимать такими же, как для элементов стальных конструкций мостов (см. </w:t>
      </w:r>
      <w:hyperlink w:anchor="P6057">
        <w:r>
          <w:rPr>
            <w:color w:val="0000FF"/>
          </w:rPr>
          <w:t>раздел 8</w:t>
        </w:r>
      </w:hyperlink>
      <w:r>
        <w:t>).</w:t>
      </w:r>
    </w:p>
    <w:p w:rsidR="00212513" w:rsidRDefault="00212513">
      <w:pPr>
        <w:pStyle w:val="ConsPlusNormal"/>
        <w:spacing w:before="220"/>
        <w:ind w:firstLine="540"/>
        <w:jc w:val="both"/>
      </w:pPr>
      <w:r>
        <w:t>Расчетные сопротивления и конструктивные требования для арматурных стержней, анкеруемых в бетоне, следует принимать в соответствии с указаниями, относящимися к арматуре.</w:t>
      </w:r>
    </w:p>
    <w:p w:rsidR="00212513" w:rsidRDefault="00212513">
      <w:pPr>
        <w:pStyle w:val="ConsPlusNormal"/>
        <w:jc w:val="both"/>
      </w:pPr>
      <w:r>
        <w:t xml:space="preserve">(в ред. </w:t>
      </w:r>
      <w:hyperlink r:id="rId791">
        <w:r>
          <w:rPr>
            <w:color w:val="0000FF"/>
          </w:rPr>
          <w:t>Изменения N 3</w:t>
        </w:r>
      </w:hyperlink>
      <w:r>
        <w:t>, утв. Приказом Минстроя России от 29.12.2020 N 891/пр)</w:t>
      </w:r>
    </w:p>
    <w:p w:rsidR="00212513" w:rsidRDefault="00212513">
      <w:pPr>
        <w:pStyle w:val="ConsPlusNormal"/>
        <w:ind w:firstLine="540"/>
        <w:jc w:val="both"/>
      </w:pPr>
    </w:p>
    <w:p w:rsidR="00212513" w:rsidRDefault="00212513">
      <w:pPr>
        <w:pStyle w:val="ConsPlusNormal"/>
        <w:ind w:firstLine="540"/>
        <w:jc w:val="both"/>
      </w:pPr>
      <w:r>
        <w:rPr>
          <w:i/>
        </w:rPr>
        <w:t>Характеристики деформативных свойств арматуры и отношение модулей упругости</w:t>
      </w:r>
    </w:p>
    <w:p w:rsidR="00212513" w:rsidRDefault="00212513">
      <w:pPr>
        <w:pStyle w:val="ConsPlusNormal"/>
        <w:ind w:firstLine="540"/>
        <w:jc w:val="both"/>
      </w:pPr>
    </w:p>
    <w:p w:rsidR="00212513" w:rsidRDefault="00212513">
      <w:pPr>
        <w:pStyle w:val="ConsPlusNormal"/>
        <w:ind w:firstLine="540"/>
        <w:jc w:val="both"/>
      </w:pPr>
      <w:r>
        <w:t>7.47 Предельные значения относительных деформаций растянутой арматуры (при расчетах по предельным деформациям) следует принимать равными:</w:t>
      </w:r>
    </w:p>
    <w:p w:rsidR="00212513" w:rsidRDefault="00212513">
      <w:pPr>
        <w:pStyle w:val="ConsPlusNormal"/>
        <w:spacing w:before="220"/>
        <w:ind w:firstLine="540"/>
        <w:jc w:val="both"/>
      </w:pPr>
      <w:r>
        <w:t>- для ненапрягаемой арматуры - 0,025;</w:t>
      </w:r>
    </w:p>
    <w:p w:rsidR="00212513" w:rsidRDefault="00212513">
      <w:pPr>
        <w:pStyle w:val="ConsPlusNormal"/>
        <w:spacing w:before="220"/>
        <w:ind w:firstLine="540"/>
        <w:jc w:val="both"/>
      </w:pPr>
      <w:r>
        <w:t>- для напрягаемой арматуры - 0,015.</w:t>
      </w:r>
    </w:p>
    <w:p w:rsidR="00212513" w:rsidRDefault="00212513">
      <w:pPr>
        <w:pStyle w:val="ConsPlusNormal"/>
        <w:spacing w:before="220"/>
        <w:ind w:firstLine="540"/>
        <w:jc w:val="both"/>
      </w:pPr>
      <w:r>
        <w:t>Значения модуля упругости арматуры следует принимать по таблице 7.19.</w:t>
      </w:r>
    </w:p>
    <w:p w:rsidR="00212513" w:rsidRDefault="00212513">
      <w:pPr>
        <w:pStyle w:val="ConsPlusNormal"/>
        <w:ind w:firstLine="540"/>
        <w:jc w:val="both"/>
      </w:pPr>
    </w:p>
    <w:p w:rsidR="00212513" w:rsidRDefault="00212513">
      <w:pPr>
        <w:pStyle w:val="ConsPlusNormal"/>
        <w:jc w:val="right"/>
      </w:pPr>
      <w:bookmarkStart w:id="144" w:name="P3846"/>
      <w:bookmarkEnd w:id="144"/>
      <w:r>
        <w:t>Таблица 7.19</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2266"/>
        <w:gridCol w:w="2267"/>
      </w:tblGrid>
      <w:tr w:rsidR="00212513">
        <w:tc>
          <w:tcPr>
            <w:tcW w:w="4535" w:type="dxa"/>
            <w:vMerge w:val="restart"/>
            <w:tcBorders>
              <w:top w:val="single" w:sz="4" w:space="0" w:color="auto"/>
              <w:bottom w:val="single" w:sz="4" w:space="0" w:color="auto"/>
            </w:tcBorders>
            <w:vAlign w:val="center"/>
          </w:tcPr>
          <w:p w:rsidR="00212513" w:rsidRDefault="00212513">
            <w:pPr>
              <w:pStyle w:val="ConsPlusNormal"/>
              <w:jc w:val="center"/>
            </w:pPr>
            <w:r>
              <w:t>Класс (вид) арматурной стали</w:t>
            </w:r>
          </w:p>
        </w:tc>
        <w:tc>
          <w:tcPr>
            <w:tcW w:w="4533" w:type="dxa"/>
            <w:gridSpan w:val="2"/>
            <w:tcBorders>
              <w:top w:val="single" w:sz="4" w:space="0" w:color="auto"/>
              <w:bottom w:val="single" w:sz="4" w:space="0" w:color="auto"/>
            </w:tcBorders>
            <w:vAlign w:val="center"/>
          </w:tcPr>
          <w:p w:rsidR="00212513" w:rsidRDefault="00212513">
            <w:pPr>
              <w:pStyle w:val="ConsPlusNormal"/>
              <w:jc w:val="center"/>
            </w:pPr>
            <w:r>
              <w:t>Модуль упругости, МПа, арматуры</w:t>
            </w:r>
          </w:p>
        </w:tc>
      </w:tr>
      <w:tr w:rsidR="00212513">
        <w:tc>
          <w:tcPr>
            <w:tcW w:w="4535" w:type="dxa"/>
            <w:vMerge/>
            <w:tcBorders>
              <w:top w:val="single" w:sz="4" w:space="0" w:color="auto"/>
              <w:bottom w:val="single" w:sz="4" w:space="0" w:color="auto"/>
            </w:tcBorders>
          </w:tcPr>
          <w:p w:rsidR="00212513" w:rsidRDefault="00212513">
            <w:pPr>
              <w:pStyle w:val="ConsPlusNormal"/>
            </w:pPr>
          </w:p>
        </w:tc>
        <w:tc>
          <w:tcPr>
            <w:tcW w:w="2266" w:type="dxa"/>
            <w:tcBorders>
              <w:top w:val="single" w:sz="4" w:space="0" w:color="auto"/>
              <w:bottom w:val="single" w:sz="4" w:space="0" w:color="auto"/>
            </w:tcBorders>
            <w:vAlign w:val="center"/>
          </w:tcPr>
          <w:p w:rsidR="00212513" w:rsidRDefault="00212513">
            <w:pPr>
              <w:pStyle w:val="ConsPlusNormal"/>
              <w:jc w:val="center"/>
            </w:pPr>
            <w:r>
              <w:t xml:space="preserve">ненапрягаемой </w:t>
            </w:r>
            <w:r>
              <w:rPr>
                <w:i/>
              </w:rPr>
              <w:t>E</w:t>
            </w:r>
            <w:r>
              <w:rPr>
                <w:i/>
                <w:vertAlign w:val="subscript"/>
              </w:rPr>
              <w:t>s</w:t>
            </w:r>
          </w:p>
        </w:tc>
        <w:tc>
          <w:tcPr>
            <w:tcW w:w="2267" w:type="dxa"/>
            <w:tcBorders>
              <w:top w:val="single" w:sz="4" w:space="0" w:color="auto"/>
              <w:bottom w:val="single" w:sz="4" w:space="0" w:color="auto"/>
            </w:tcBorders>
            <w:vAlign w:val="center"/>
          </w:tcPr>
          <w:p w:rsidR="00212513" w:rsidRDefault="00212513">
            <w:pPr>
              <w:pStyle w:val="ConsPlusNormal"/>
              <w:jc w:val="center"/>
            </w:pPr>
            <w:r>
              <w:t xml:space="preserve">напрягаемой </w:t>
            </w:r>
            <w:r>
              <w:rPr>
                <w:i/>
              </w:rPr>
              <w:t>E</w:t>
            </w:r>
            <w:r>
              <w:rPr>
                <w:i/>
                <w:vertAlign w:val="subscript"/>
              </w:rPr>
              <w:t>p</w:t>
            </w:r>
          </w:p>
        </w:tc>
      </w:tr>
      <w:tr w:rsidR="00212513">
        <w:tblPrEx>
          <w:tblBorders>
            <w:insideH w:val="none" w:sz="0" w:space="0" w:color="auto"/>
          </w:tblBorders>
        </w:tblPrEx>
        <w:tc>
          <w:tcPr>
            <w:tcW w:w="4535" w:type="dxa"/>
            <w:tcBorders>
              <w:top w:val="single" w:sz="4" w:space="0" w:color="auto"/>
              <w:bottom w:val="nil"/>
            </w:tcBorders>
          </w:tcPr>
          <w:p w:rsidR="00212513" w:rsidRDefault="00212513">
            <w:pPr>
              <w:pStyle w:val="ConsPlusNormal"/>
            </w:pPr>
            <w:r>
              <w:t>А240, А300</w:t>
            </w:r>
          </w:p>
        </w:tc>
        <w:tc>
          <w:tcPr>
            <w:tcW w:w="2266" w:type="dxa"/>
            <w:tcBorders>
              <w:top w:val="single" w:sz="4" w:space="0" w:color="auto"/>
              <w:bottom w:val="nil"/>
            </w:tcBorders>
          </w:tcPr>
          <w:p w:rsidR="00212513" w:rsidRDefault="00212513">
            <w:pPr>
              <w:pStyle w:val="ConsPlusNormal"/>
              <w:jc w:val="center"/>
            </w:pPr>
            <w:r>
              <w:t>2,1·10</w:t>
            </w:r>
            <w:r>
              <w:rPr>
                <w:vertAlign w:val="superscript"/>
              </w:rPr>
              <w:t>5</w:t>
            </w:r>
          </w:p>
        </w:tc>
        <w:tc>
          <w:tcPr>
            <w:tcW w:w="2267" w:type="dxa"/>
            <w:tcBorders>
              <w:top w:val="single" w:sz="4" w:space="0" w:color="auto"/>
              <w:bottom w:val="nil"/>
            </w:tcBorders>
          </w:tcPr>
          <w:p w:rsidR="00212513" w:rsidRDefault="00212513">
            <w:pPr>
              <w:pStyle w:val="ConsPlusNormal"/>
              <w:jc w:val="center"/>
            </w:pPr>
            <w:r>
              <w:t>-</w:t>
            </w:r>
          </w:p>
        </w:tc>
      </w:tr>
      <w:tr w:rsidR="00212513">
        <w:tblPrEx>
          <w:tblBorders>
            <w:insideH w:val="none" w:sz="0" w:space="0" w:color="auto"/>
          </w:tblBorders>
        </w:tblPrEx>
        <w:tc>
          <w:tcPr>
            <w:tcW w:w="4535" w:type="dxa"/>
            <w:tcBorders>
              <w:top w:val="nil"/>
              <w:bottom w:val="nil"/>
            </w:tcBorders>
          </w:tcPr>
          <w:p w:rsidR="00212513" w:rsidRDefault="00212513">
            <w:pPr>
              <w:pStyle w:val="ConsPlusNormal"/>
            </w:pPr>
            <w:r>
              <w:t>А400</w:t>
            </w:r>
          </w:p>
        </w:tc>
        <w:tc>
          <w:tcPr>
            <w:tcW w:w="2266" w:type="dxa"/>
            <w:tcBorders>
              <w:top w:val="nil"/>
              <w:bottom w:val="nil"/>
            </w:tcBorders>
          </w:tcPr>
          <w:p w:rsidR="00212513" w:rsidRDefault="00212513">
            <w:pPr>
              <w:pStyle w:val="ConsPlusNormal"/>
              <w:jc w:val="center"/>
            </w:pPr>
            <w:r>
              <w:t>2,0·10</w:t>
            </w:r>
            <w:r>
              <w:rPr>
                <w:vertAlign w:val="superscript"/>
              </w:rPr>
              <w:t>5</w:t>
            </w:r>
          </w:p>
        </w:tc>
        <w:tc>
          <w:tcPr>
            <w:tcW w:w="2267" w:type="dxa"/>
            <w:tcBorders>
              <w:top w:val="nil"/>
              <w:bottom w:val="nil"/>
            </w:tcBorders>
          </w:tcPr>
          <w:p w:rsidR="00212513" w:rsidRDefault="00212513">
            <w:pPr>
              <w:pStyle w:val="ConsPlusNormal"/>
              <w:jc w:val="center"/>
            </w:pPr>
            <w:r>
              <w:t>-</w:t>
            </w:r>
          </w:p>
        </w:tc>
      </w:tr>
      <w:tr w:rsidR="00212513">
        <w:tblPrEx>
          <w:tblBorders>
            <w:insideH w:val="none" w:sz="0" w:space="0" w:color="auto"/>
          </w:tblBorders>
        </w:tblPrEx>
        <w:tc>
          <w:tcPr>
            <w:tcW w:w="4535" w:type="dxa"/>
            <w:tcBorders>
              <w:top w:val="nil"/>
              <w:bottom w:val="nil"/>
            </w:tcBorders>
          </w:tcPr>
          <w:p w:rsidR="00212513" w:rsidRDefault="00212513">
            <w:pPr>
              <w:pStyle w:val="ConsPlusNormal"/>
            </w:pPr>
            <w:r>
              <w:t>А600, А800, А1000</w:t>
            </w:r>
          </w:p>
        </w:tc>
        <w:tc>
          <w:tcPr>
            <w:tcW w:w="2266" w:type="dxa"/>
            <w:tcBorders>
              <w:top w:val="nil"/>
              <w:bottom w:val="nil"/>
            </w:tcBorders>
          </w:tcPr>
          <w:p w:rsidR="00212513" w:rsidRDefault="00212513">
            <w:pPr>
              <w:pStyle w:val="ConsPlusNormal"/>
              <w:jc w:val="center"/>
            </w:pPr>
            <w:r>
              <w:t>-</w:t>
            </w:r>
          </w:p>
        </w:tc>
        <w:tc>
          <w:tcPr>
            <w:tcW w:w="2267" w:type="dxa"/>
            <w:tcBorders>
              <w:top w:val="nil"/>
              <w:bottom w:val="nil"/>
            </w:tcBorders>
          </w:tcPr>
          <w:p w:rsidR="00212513" w:rsidRDefault="00212513">
            <w:pPr>
              <w:pStyle w:val="ConsPlusNormal"/>
              <w:jc w:val="center"/>
            </w:pPr>
            <w:r>
              <w:t>1,9·10</w:t>
            </w:r>
            <w:r>
              <w:rPr>
                <w:vertAlign w:val="superscript"/>
              </w:rPr>
              <w:t>5</w:t>
            </w:r>
          </w:p>
        </w:tc>
      </w:tr>
      <w:tr w:rsidR="00212513">
        <w:tblPrEx>
          <w:tblBorders>
            <w:insideH w:val="none" w:sz="0" w:space="0" w:color="auto"/>
          </w:tblBorders>
        </w:tblPrEx>
        <w:tc>
          <w:tcPr>
            <w:tcW w:w="4535" w:type="dxa"/>
            <w:tcBorders>
              <w:top w:val="nil"/>
              <w:bottom w:val="nil"/>
            </w:tcBorders>
          </w:tcPr>
          <w:p w:rsidR="00212513" w:rsidRDefault="00212513">
            <w:pPr>
              <w:pStyle w:val="ConsPlusNormal"/>
            </w:pPr>
            <w:r>
              <w:t>Проволока классов В, Вр</w:t>
            </w:r>
          </w:p>
        </w:tc>
        <w:tc>
          <w:tcPr>
            <w:tcW w:w="2266" w:type="dxa"/>
            <w:tcBorders>
              <w:top w:val="nil"/>
              <w:bottom w:val="nil"/>
            </w:tcBorders>
          </w:tcPr>
          <w:p w:rsidR="00212513" w:rsidRDefault="00212513">
            <w:pPr>
              <w:pStyle w:val="ConsPlusNormal"/>
              <w:jc w:val="center"/>
            </w:pPr>
            <w:r>
              <w:t>-</w:t>
            </w:r>
          </w:p>
        </w:tc>
        <w:tc>
          <w:tcPr>
            <w:tcW w:w="2267" w:type="dxa"/>
            <w:tcBorders>
              <w:top w:val="nil"/>
              <w:bottom w:val="nil"/>
            </w:tcBorders>
          </w:tcPr>
          <w:p w:rsidR="00212513" w:rsidRDefault="00212513">
            <w:pPr>
              <w:pStyle w:val="ConsPlusNormal"/>
              <w:jc w:val="center"/>
            </w:pPr>
            <w:r>
              <w:t>2,0·10</w:t>
            </w:r>
            <w:r>
              <w:rPr>
                <w:vertAlign w:val="superscript"/>
              </w:rPr>
              <w:t>5</w:t>
            </w:r>
          </w:p>
        </w:tc>
      </w:tr>
      <w:tr w:rsidR="00212513">
        <w:tblPrEx>
          <w:tblBorders>
            <w:insideH w:val="none" w:sz="0" w:space="0" w:color="auto"/>
          </w:tblBorders>
        </w:tblPrEx>
        <w:tc>
          <w:tcPr>
            <w:tcW w:w="4535" w:type="dxa"/>
            <w:tcBorders>
              <w:top w:val="nil"/>
              <w:bottom w:val="nil"/>
            </w:tcBorders>
          </w:tcPr>
          <w:p w:rsidR="00212513" w:rsidRDefault="00212513">
            <w:pPr>
              <w:pStyle w:val="ConsPlusNormal"/>
            </w:pPr>
            <w:r>
              <w:t>Пучки из параллельных проволок классов В, Вр</w:t>
            </w:r>
          </w:p>
        </w:tc>
        <w:tc>
          <w:tcPr>
            <w:tcW w:w="2266" w:type="dxa"/>
            <w:tcBorders>
              <w:top w:val="nil"/>
              <w:bottom w:val="nil"/>
            </w:tcBorders>
          </w:tcPr>
          <w:p w:rsidR="00212513" w:rsidRDefault="00212513">
            <w:pPr>
              <w:pStyle w:val="ConsPlusNormal"/>
              <w:jc w:val="center"/>
            </w:pPr>
            <w:r>
              <w:t>-</w:t>
            </w:r>
          </w:p>
        </w:tc>
        <w:tc>
          <w:tcPr>
            <w:tcW w:w="2267" w:type="dxa"/>
            <w:tcBorders>
              <w:top w:val="nil"/>
              <w:bottom w:val="nil"/>
            </w:tcBorders>
          </w:tcPr>
          <w:p w:rsidR="00212513" w:rsidRDefault="00212513">
            <w:pPr>
              <w:pStyle w:val="ConsPlusNormal"/>
              <w:jc w:val="center"/>
            </w:pPr>
            <w:r>
              <w:t>1,9·10</w:t>
            </w:r>
            <w:r>
              <w:rPr>
                <w:vertAlign w:val="superscript"/>
              </w:rPr>
              <w:t>5</w:t>
            </w:r>
          </w:p>
        </w:tc>
      </w:tr>
      <w:tr w:rsidR="00212513">
        <w:tblPrEx>
          <w:tblBorders>
            <w:insideH w:val="none" w:sz="0" w:space="0" w:color="auto"/>
          </w:tblBorders>
        </w:tblPrEx>
        <w:tc>
          <w:tcPr>
            <w:tcW w:w="4535" w:type="dxa"/>
            <w:tcBorders>
              <w:top w:val="nil"/>
              <w:bottom w:val="nil"/>
            </w:tcBorders>
          </w:tcPr>
          <w:p w:rsidR="00212513" w:rsidRDefault="00212513">
            <w:pPr>
              <w:pStyle w:val="ConsPlusNormal"/>
            </w:pPr>
            <w:r>
              <w:t>Арматурные канаты класса К7</w:t>
            </w:r>
          </w:p>
        </w:tc>
        <w:tc>
          <w:tcPr>
            <w:tcW w:w="2266" w:type="dxa"/>
            <w:tcBorders>
              <w:top w:val="nil"/>
              <w:bottom w:val="nil"/>
            </w:tcBorders>
          </w:tcPr>
          <w:p w:rsidR="00212513" w:rsidRDefault="00212513">
            <w:pPr>
              <w:pStyle w:val="ConsPlusNormal"/>
              <w:jc w:val="center"/>
            </w:pPr>
            <w:r>
              <w:t>-</w:t>
            </w:r>
          </w:p>
        </w:tc>
        <w:tc>
          <w:tcPr>
            <w:tcW w:w="2267" w:type="dxa"/>
            <w:tcBorders>
              <w:top w:val="nil"/>
              <w:bottom w:val="nil"/>
            </w:tcBorders>
          </w:tcPr>
          <w:p w:rsidR="00212513" w:rsidRDefault="00212513">
            <w:pPr>
              <w:pStyle w:val="ConsPlusNormal"/>
              <w:jc w:val="center"/>
            </w:pPr>
            <w:r>
              <w:t>1,95·10</w:t>
            </w:r>
            <w:r>
              <w:rPr>
                <w:vertAlign w:val="superscript"/>
              </w:rPr>
              <w:t>5</w:t>
            </w:r>
          </w:p>
        </w:tc>
      </w:tr>
      <w:tr w:rsidR="00212513">
        <w:tblPrEx>
          <w:tblBorders>
            <w:insideH w:val="none" w:sz="0" w:space="0" w:color="auto"/>
          </w:tblBorders>
        </w:tblPrEx>
        <w:tc>
          <w:tcPr>
            <w:tcW w:w="4535" w:type="dxa"/>
            <w:tcBorders>
              <w:top w:val="nil"/>
              <w:bottom w:val="nil"/>
            </w:tcBorders>
          </w:tcPr>
          <w:p w:rsidR="00212513" w:rsidRDefault="00212513">
            <w:pPr>
              <w:pStyle w:val="ConsPlusNormal"/>
            </w:pPr>
            <w:r>
              <w:t>Пучки из арматурных канатов класса К7</w:t>
            </w:r>
          </w:p>
        </w:tc>
        <w:tc>
          <w:tcPr>
            <w:tcW w:w="2266" w:type="dxa"/>
            <w:tcBorders>
              <w:top w:val="nil"/>
              <w:bottom w:val="nil"/>
            </w:tcBorders>
          </w:tcPr>
          <w:p w:rsidR="00212513" w:rsidRDefault="00212513">
            <w:pPr>
              <w:pStyle w:val="ConsPlusNormal"/>
              <w:jc w:val="center"/>
            </w:pPr>
            <w:r>
              <w:t>-</w:t>
            </w:r>
          </w:p>
        </w:tc>
        <w:tc>
          <w:tcPr>
            <w:tcW w:w="2267" w:type="dxa"/>
            <w:tcBorders>
              <w:top w:val="nil"/>
              <w:bottom w:val="nil"/>
            </w:tcBorders>
          </w:tcPr>
          <w:p w:rsidR="00212513" w:rsidRDefault="00212513">
            <w:pPr>
              <w:pStyle w:val="ConsPlusNormal"/>
              <w:jc w:val="center"/>
            </w:pPr>
            <w:r>
              <w:t>1,95·10</w:t>
            </w:r>
            <w:r>
              <w:rPr>
                <w:vertAlign w:val="superscript"/>
              </w:rPr>
              <w:t>5</w:t>
            </w:r>
          </w:p>
        </w:tc>
      </w:tr>
      <w:tr w:rsidR="00212513">
        <w:tblPrEx>
          <w:tblBorders>
            <w:insideH w:val="none" w:sz="0" w:space="0" w:color="auto"/>
          </w:tblBorders>
        </w:tblPrEx>
        <w:tc>
          <w:tcPr>
            <w:tcW w:w="4535" w:type="dxa"/>
            <w:tcBorders>
              <w:top w:val="nil"/>
              <w:bottom w:val="nil"/>
            </w:tcBorders>
          </w:tcPr>
          <w:p w:rsidR="00212513" w:rsidRDefault="00212513">
            <w:pPr>
              <w:pStyle w:val="ConsPlusNormal"/>
              <w:jc w:val="both"/>
            </w:pPr>
            <w:r>
              <w:t>Стальные канаты:</w:t>
            </w:r>
          </w:p>
        </w:tc>
        <w:tc>
          <w:tcPr>
            <w:tcW w:w="2266" w:type="dxa"/>
            <w:tcBorders>
              <w:top w:val="nil"/>
              <w:bottom w:val="nil"/>
            </w:tcBorders>
          </w:tcPr>
          <w:p w:rsidR="00212513" w:rsidRDefault="00212513">
            <w:pPr>
              <w:pStyle w:val="ConsPlusNormal"/>
              <w:jc w:val="both"/>
            </w:pPr>
          </w:p>
        </w:tc>
        <w:tc>
          <w:tcPr>
            <w:tcW w:w="2267" w:type="dxa"/>
            <w:tcBorders>
              <w:top w:val="nil"/>
              <w:bottom w:val="nil"/>
            </w:tcBorders>
          </w:tcPr>
          <w:p w:rsidR="00212513" w:rsidRDefault="00212513">
            <w:pPr>
              <w:pStyle w:val="ConsPlusNormal"/>
              <w:jc w:val="center"/>
            </w:pPr>
          </w:p>
        </w:tc>
      </w:tr>
      <w:tr w:rsidR="00212513">
        <w:tblPrEx>
          <w:tblBorders>
            <w:insideH w:val="none" w:sz="0" w:space="0" w:color="auto"/>
          </w:tblBorders>
        </w:tblPrEx>
        <w:tc>
          <w:tcPr>
            <w:tcW w:w="4535" w:type="dxa"/>
            <w:tcBorders>
              <w:top w:val="nil"/>
              <w:bottom w:val="nil"/>
            </w:tcBorders>
          </w:tcPr>
          <w:p w:rsidR="00212513" w:rsidRDefault="00212513">
            <w:pPr>
              <w:pStyle w:val="ConsPlusNormal"/>
              <w:ind w:left="283"/>
            </w:pPr>
            <w:r>
              <w:t>спиральные и двойной свивки</w:t>
            </w:r>
          </w:p>
        </w:tc>
        <w:tc>
          <w:tcPr>
            <w:tcW w:w="2266" w:type="dxa"/>
            <w:tcBorders>
              <w:top w:val="nil"/>
              <w:bottom w:val="nil"/>
            </w:tcBorders>
          </w:tcPr>
          <w:p w:rsidR="00212513" w:rsidRDefault="00212513">
            <w:pPr>
              <w:pStyle w:val="ConsPlusNormal"/>
              <w:jc w:val="center"/>
            </w:pPr>
            <w:r>
              <w:t>-</w:t>
            </w:r>
          </w:p>
        </w:tc>
        <w:tc>
          <w:tcPr>
            <w:tcW w:w="2267" w:type="dxa"/>
            <w:tcBorders>
              <w:top w:val="nil"/>
              <w:bottom w:val="nil"/>
            </w:tcBorders>
          </w:tcPr>
          <w:p w:rsidR="00212513" w:rsidRDefault="00212513">
            <w:pPr>
              <w:pStyle w:val="ConsPlusNormal"/>
              <w:jc w:val="center"/>
            </w:pPr>
            <w:r>
              <w:t>1,7·10</w:t>
            </w:r>
            <w:r>
              <w:rPr>
                <w:vertAlign w:val="superscript"/>
              </w:rPr>
              <w:t>5</w:t>
            </w:r>
          </w:p>
        </w:tc>
      </w:tr>
      <w:tr w:rsidR="00212513">
        <w:tblPrEx>
          <w:tblBorders>
            <w:insideH w:val="none" w:sz="0" w:space="0" w:color="auto"/>
          </w:tblBorders>
        </w:tblPrEx>
        <w:tc>
          <w:tcPr>
            <w:tcW w:w="4535" w:type="dxa"/>
            <w:tcBorders>
              <w:top w:val="nil"/>
              <w:bottom w:val="single" w:sz="4" w:space="0" w:color="auto"/>
            </w:tcBorders>
          </w:tcPr>
          <w:p w:rsidR="00212513" w:rsidRDefault="00212513">
            <w:pPr>
              <w:pStyle w:val="ConsPlusNormal"/>
              <w:ind w:left="283"/>
            </w:pPr>
            <w:r>
              <w:t>закрытые</w:t>
            </w:r>
          </w:p>
        </w:tc>
        <w:tc>
          <w:tcPr>
            <w:tcW w:w="2266" w:type="dxa"/>
            <w:tcBorders>
              <w:top w:val="nil"/>
              <w:bottom w:val="single" w:sz="4" w:space="0" w:color="auto"/>
            </w:tcBorders>
          </w:tcPr>
          <w:p w:rsidR="00212513" w:rsidRDefault="00212513">
            <w:pPr>
              <w:pStyle w:val="ConsPlusNormal"/>
              <w:jc w:val="center"/>
            </w:pPr>
            <w:r>
              <w:t>-</w:t>
            </w:r>
          </w:p>
        </w:tc>
        <w:tc>
          <w:tcPr>
            <w:tcW w:w="2267" w:type="dxa"/>
            <w:tcBorders>
              <w:top w:val="nil"/>
              <w:bottom w:val="single" w:sz="4" w:space="0" w:color="auto"/>
            </w:tcBorders>
          </w:tcPr>
          <w:p w:rsidR="00212513" w:rsidRDefault="00212513">
            <w:pPr>
              <w:pStyle w:val="ConsPlusNormal"/>
              <w:jc w:val="center"/>
            </w:pPr>
            <w:r>
              <w:t>1,6·10</w:t>
            </w:r>
            <w:r>
              <w:rPr>
                <w:vertAlign w:val="superscript"/>
              </w:rPr>
              <w:t>5</w:t>
            </w:r>
          </w:p>
        </w:tc>
      </w:tr>
    </w:tbl>
    <w:p w:rsidR="00212513" w:rsidRDefault="00212513">
      <w:pPr>
        <w:pStyle w:val="ConsPlusNormal"/>
        <w:ind w:firstLine="540"/>
        <w:jc w:val="both"/>
      </w:pPr>
    </w:p>
    <w:p w:rsidR="00212513" w:rsidRDefault="00212513">
      <w:pPr>
        <w:pStyle w:val="ConsPlusNormal"/>
        <w:ind w:firstLine="540"/>
        <w:jc w:val="both"/>
      </w:pPr>
      <w:bookmarkStart w:id="145" w:name="P3883"/>
      <w:bookmarkEnd w:id="145"/>
      <w:r>
        <w:t xml:space="preserve">7.48 Во всех расчетах элементов мостов, производимых по формулам упругого тела, кроме расчетов мостов с ненапрягаемой арматурой на выносливость и на трещиностойкость допускается использовать отношения модулей упругости </w:t>
      </w:r>
      <w:r>
        <w:rPr>
          <w:i/>
        </w:rPr>
        <w:t>n</w:t>
      </w:r>
      <w:r>
        <w:rPr>
          <w:vertAlign w:val="subscript"/>
        </w:rPr>
        <w:t>1</w:t>
      </w:r>
      <w:r>
        <w:t xml:space="preserve"> (</w:t>
      </w:r>
      <w:r>
        <w:rPr>
          <w:i/>
        </w:rPr>
        <w:t>E</w:t>
      </w:r>
      <w:r>
        <w:rPr>
          <w:i/>
          <w:vertAlign w:val="subscript"/>
        </w:rPr>
        <w:t>s</w:t>
      </w:r>
      <w:r>
        <w:t>/</w:t>
      </w:r>
      <w:r>
        <w:rPr>
          <w:i/>
        </w:rPr>
        <w:t>E</w:t>
      </w:r>
      <w:r>
        <w:rPr>
          <w:i/>
          <w:vertAlign w:val="subscript"/>
        </w:rPr>
        <w:t>b</w:t>
      </w:r>
      <w:r>
        <w:t xml:space="preserve"> или </w:t>
      </w:r>
      <w:r>
        <w:rPr>
          <w:i/>
        </w:rPr>
        <w:t>E</w:t>
      </w:r>
      <w:r>
        <w:rPr>
          <w:i/>
          <w:vertAlign w:val="subscript"/>
        </w:rPr>
        <w:t>p</w:t>
      </w:r>
      <w:r>
        <w:t>/</w:t>
      </w:r>
      <w:r>
        <w:rPr>
          <w:i/>
        </w:rPr>
        <w:t>E</w:t>
      </w:r>
      <w:r>
        <w:rPr>
          <w:i/>
          <w:vertAlign w:val="subscript"/>
        </w:rPr>
        <w:t>b</w:t>
      </w:r>
      <w:r>
        <w:t xml:space="preserve">), определяемые по значениям модулей, приведенным для арматуры в </w:t>
      </w:r>
      <w:hyperlink w:anchor="P3846">
        <w:r>
          <w:rPr>
            <w:color w:val="0000FF"/>
          </w:rPr>
          <w:t>таблице 7.19</w:t>
        </w:r>
      </w:hyperlink>
      <w:r>
        <w:t xml:space="preserve"> и для бетона в </w:t>
      </w:r>
      <w:hyperlink w:anchor="P2688">
        <w:r>
          <w:rPr>
            <w:color w:val="0000FF"/>
          </w:rPr>
          <w:t>таблице 7.11</w:t>
        </w:r>
      </w:hyperlink>
      <w:r>
        <w:t>.</w:t>
      </w:r>
    </w:p>
    <w:p w:rsidR="00212513" w:rsidRDefault="00212513">
      <w:pPr>
        <w:pStyle w:val="ConsPlusNormal"/>
        <w:jc w:val="both"/>
      </w:pPr>
      <w:r>
        <w:t xml:space="preserve">(в ред. </w:t>
      </w:r>
      <w:hyperlink r:id="rId792">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t xml:space="preserve">При расчетах элементов мостов с ненапрягаемой арматурой на выносливость и на трещиностойкость необходимо учитывать пластические и реологические (включая </w:t>
      </w:r>
      <w:r>
        <w:lastRenderedPageBreak/>
        <w:t xml:space="preserve">виброползучесть) свойства бетона. Допускается для учета этих факторов при определении напряжений и геометрических характеристик приведенных сечений площадь арматуры учитывать с коэффициентом отношения модулей упругости </w:t>
      </w:r>
      <w:r>
        <w:rPr>
          <w:i/>
        </w:rPr>
        <w:t>n'</w:t>
      </w:r>
      <w:r>
        <w:t xml:space="preserve">. Значения </w:t>
      </w:r>
      <w:r>
        <w:rPr>
          <w:i/>
        </w:rPr>
        <w:t>n'</w:t>
      </w:r>
      <w:r>
        <w:t xml:space="preserve"> следует принимать при бетоне классов:</w:t>
      </w:r>
    </w:p>
    <w:p w:rsidR="00212513" w:rsidRDefault="00212513">
      <w:pPr>
        <w:pStyle w:val="ConsPlusNonformat"/>
        <w:spacing w:before="200"/>
        <w:jc w:val="both"/>
      </w:pPr>
      <w:r>
        <w:t xml:space="preserve">    B20 .................. 22,5;</w:t>
      </w:r>
    </w:p>
    <w:p w:rsidR="00212513" w:rsidRDefault="00212513">
      <w:pPr>
        <w:pStyle w:val="ConsPlusNonformat"/>
        <w:jc w:val="both"/>
      </w:pPr>
      <w:r>
        <w:t xml:space="preserve">    B22,5 и B25 .......... 20;</w:t>
      </w:r>
    </w:p>
    <w:p w:rsidR="00212513" w:rsidRDefault="00212513">
      <w:pPr>
        <w:pStyle w:val="ConsPlusNonformat"/>
        <w:jc w:val="both"/>
      </w:pPr>
      <w:r>
        <w:t xml:space="preserve">    B27,5 ................ 17;</w:t>
      </w:r>
    </w:p>
    <w:p w:rsidR="00212513" w:rsidRDefault="00212513">
      <w:pPr>
        <w:pStyle w:val="ConsPlusNonformat"/>
        <w:jc w:val="both"/>
      </w:pPr>
      <w:r>
        <w:t xml:space="preserve">    B30 и B35 ............ 15;</w:t>
      </w:r>
    </w:p>
    <w:p w:rsidR="00212513" w:rsidRDefault="00212513">
      <w:pPr>
        <w:pStyle w:val="ConsPlusNonformat"/>
        <w:jc w:val="both"/>
      </w:pPr>
      <w:r>
        <w:t xml:space="preserve">    B40 и выше ........... 10.</w:t>
      </w:r>
    </w:p>
    <w:p w:rsidR="00212513" w:rsidRDefault="00212513">
      <w:pPr>
        <w:pStyle w:val="ConsPlusNormal"/>
        <w:jc w:val="both"/>
      </w:pPr>
      <w:r>
        <w:t xml:space="preserve">(в ред. </w:t>
      </w:r>
      <w:hyperlink r:id="rId793">
        <w:r>
          <w:rPr>
            <w:color w:val="0000FF"/>
          </w:rPr>
          <w:t>Изменения N 3</w:t>
        </w:r>
      </w:hyperlink>
      <w:r>
        <w:t>, утв. Приказом Минстроя России от 29.12.2020 N 891/пр)</w:t>
      </w:r>
    </w:p>
    <w:p w:rsidR="00212513" w:rsidRDefault="00212513">
      <w:pPr>
        <w:pStyle w:val="ConsPlusNormal"/>
        <w:ind w:firstLine="540"/>
        <w:jc w:val="both"/>
      </w:pPr>
    </w:p>
    <w:p w:rsidR="00212513" w:rsidRDefault="00212513">
      <w:pPr>
        <w:pStyle w:val="ConsPlusTitle"/>
        <w:ind w:firstLine="540"/>
        <w:jc w:val="both"/>
        <w:outlineLvl w:val="2"/>
      </w:pPr>
      <w:r>
        <w:t>Расчет по предельным состояниям первой группы</w:t>
      </w:r>
    </w:p>
    <w:p w:rsidR="00212513" w:rsidRDefault="00212513">
      <w:pPr>
        <w:pStyle w:val="ConsPlusNormal"/>
        <w:jc w:val="center"/>
      </w:pPr>
    </w:p>
    <w:p w:rsidR="00212513" w:rsidRDefault="00212513">
      <w:pPr>
        <w:pStyle w:val="ConsPlusTitle"/>
        <w:ind w:firstLine="540"/>
        <w:jc w:val="both"/>
        <w:outlineLvl w:val="2"/>
      </w:pPr>
      <w:r>
        <w:t>Расчет по прочности и устойчивости</w:t>
      </w:r>
    </w:p>
    <w:p w:rsidR="00212513" w:rsidRDefault="00212513">
      <w:pPr>
        <w:pStyle w:val="ConsPlusNormal"/>
        <w:jc w:val="center"/>
      </w:pPr>
    </w:p>
    <w:p w:rsidR="00212513" w:rsidRDefault="00212513">
      <w:pPr>
        <w:pStyle w:val="ConsPlusNormal"/>
        <w:ind w:firstLine="540"/>
        <w:jc w:val="both"/>
      </w:pPr>
      <w:r>
        <w:rPr>
          <w:i/>
        </w:rPr>
        <w:t>Общие указания</w:t>
      </w:r>
    </w:p>
    <w:p w:rsidR="00212513" w:rsidRDefault="00212513">
      <w:pPr>
        <w:pStyle w:val="ConsPlusNormal"/>
        <w:ind w:firstLine="540"/>
        <w:jc w:val="both"/>
      </w:pPr>
    </w:p>
    <w:p w:rsidR="00212513" w:rsidRDefault="00212513">
      <w:pPr>
        <w:pStyle w:val="ConsPlusNormal"/>
        <w:ind w:firstLine="540"/>
        <w:jc w:val="both"/>
      </w:pPr>
      <w:r>
        <w:t>7.49 Расчет бетонных и железобетонных элементов мостов и труб следует производить, сопоставляя расчетные усилия от внешних нагрузок с предельными усилиями.</w:t>
      </w:r>
    </w:p>
    <w:p w:rsidR="00212513" w:rsidRDefault="00212513">
      <w:pPr>
        <w:pStyle w:val="ConsPlusNormal"/>
        <w:spacing w:before="220"/>
        <w:ind w:firstLine="540"/>
        <w:jc w:val="both"/>
      </w:pPr>
      <w:r>
        <w:t>Применение изгибаемых, центрально- и внецентренно растянутых бетонных элементов в конструкциях не допускается.</w:t>
      </w:r>
    </w:p>
    <w:p w:rsidR="00212513" w:rsidRDefault="00212513">
      <w:pPr>
        <w:pStyle w:val="ConsPlusNormal"/>
        <w:spacing w:before="220"/>
        <w:ind w:firstLine="540"/>
        <w:jc w:val="both"/>
      </w:pPr>
      <w:r>
        <w:t>7.50 Расчетные усилия в статически неопределимых конструкциях следует определять с учетом перераспределения усилий от усадки и ползучести бетона, саморазогрева бетона в процессе твердения, искусственного регулирования и предварительного напряжения. Суммарное расчетное усилие от этих факторов допускается определять умножением значений усилий и перемещений от нормативных воздействий на коэффициент надежности по нагрузке 1,1 (или 0,9).</w:t>
      </w:r>
    </w:p>
    <w:p w:rsidR="00212513" w:rsidRDefault="00212513">
      <w:pPr>
        <w:pStyle w:val="ConsPlusNormal"/>
        <w:jc w:val="both"/>
      </w:pPr>
      <w:r>
        <w:t xml:space="preserve">(п. 7.50 в ред. </w:t>
      </w:r>
      <w:hyperlink r:id="rId794">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t>7.51 Предельные усилия в элементах конструкций следует определять в сечениях, нормальных и наклонных к продольной оси элемента.</w:t>
      </w:r>
    </w:p>
    <w:p w:rsidR="00212513" w:rsidRDefault="00212513">
      <w:pPr>
        <w:pStyle w:val="ConsPlusNormal"/>
        <w:spacing w:before="220"/>
        <w:ind w:firstLine="540"/>
        <w:jc w:val="both"/>
      </w:pPr>
      <w:bookmarkStart w:id="146" w:name="P3904"/>
      <w:bookmarkEnd w:id="146"/>
      <w:r>
        <w:t xml:space="preserve">7.52 При расчете бетонных и железобетонных элементов на воздействие сжимающей продольной силы N за предельное значение усилия необходимо принимать меньшее, полученное из расчетов по прочности и устойчивости. При расчете по прочности следует учитывать случайный эксцентриситет </w:t>
      </w:r>
      <w:r>
        <w:rPr>
          <w:noProof/>
          <w:position w:val="-9"/>
        </w:rPr>
        <w:drawing>
          <wp:inline distT="0" distB="0" distL="0" distR="0">
            <wp:extent cx="1089025" cy="262890"/>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1089025" cy="262890"/>
                    </a:xfrm>
                    <a:prstGeom prst="rect">
                      <a:avLst/>
                    </a:prstGeom>
                    <a:noFill/>
                    <a:ln>
                      <a:noFill/>
                    </a:ln>
                  </pic:spPr>
                </pic:pic>
              </a:graphicData>
            </a:graphic>
          </wp:inline>
        </w:drawing>
      </w:r>
      <w:r>
        <w:t xml:space="preserve"> (</w:t>
      </w:r>
      <w:r>
        <w:rPr>
          <w:noProof/>
          <w:position w:val="-8"/>
        </w:rPr>
        <w:drawing>
          <wp:inline distT="0" distB="0" distL="0" distR="0">
            <wp:extent cx="137160" cy="250825"/>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 геометрическая длина элемента или ее часть между точками закрепления элемента, принимаемая с учетом требований </w:t>
      </w:r>
      <w:hyperlink w:anchor="P2168">
        <w:r>
          <w:rPr>
            <w:color w:val="0000FF"/>
          </w:rPr>
          <w:t>7.16</w:t>
        </w:r>
      </w:hyperlink>
      <w:r>
        <w:t>).</w:t>
      </w:r>
    </w:p>
    <w:p w:rsidR="00212513" w:rsidRDefault="00212513">
      <w:pPr>
        <w:pStyle w:val="ConsPlusNormal"/>
        <w:spacing w:before="220"/>
        <w:ind w:firstLine="540"/>
        <w:jc w:val="both"/>
      </w:pPr>
      <w:r>
        <w:t>При расчете по трещиностойкости и деформациям случайный эксцентриситет учитывать не следует.</w:t>
      </w:r>
    </w:p>
    <w:p w:rsidR="00212513" w:rsidRDefault="00212513">
      <w:pPr>
        <w:pStyle w:val="ConsPlusNormal"/>
        <w:spacing w:before="220"/>
        <w:ind w:firstLine="540"/>
        <w:jc w:val="both"/>
      </w:pPr>
      <w:r>
        <w:t xml:space="preserve">В элементах статически определимых конструкций эксцентриситет </w:t>
      </w:r>
      <w:r>
        <w:rPr>
          <w:noProof/>
          <w:position w:val="-8"/>
        </w:rPr>
        <w:drawing>
          <wp:inline distT="0" distB="0" distL="0" distR="0">
            <wp:extent cx="167640" cy="251460"/>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(относительно центра тяжести приведенного сечения) находится как сумма эксцентриситетов, определяемая из статического расчета конструкции и случайного </w:t>
      </w:r>
      <w:r>
        <w:rPr>
          <w:noProof/>
          <w:position w:val="-10"/>
        </w:rPr>
        <w:drawing>
          <wp:inline distT="0" distB="0" distL="0" distR="0">
            <wp:extent cx="293370" cy="273685"/>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293370" cy="273685"/>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Для элементов статически неопределимых конструкций величина эксцентриситета продольной силы относительно центра тяжести приведенного сечения </w:t>
      </w:r>
      <w:r>
        <w:rPr>
          <w:noProof/>
          <w:position w:val="-8"/>
        </w:rPr>
        <w:drawing>
          <wp:inline distT="0" distB="0" distL="0" distR="0">
            <wp:extent cx="167640" cy="251460"/>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принимается равной эксцентриситету, полученному из статического расчета, но не менее </w:t>
      </w:r>
      <w:r>
        <w:rPr>
          <w:noProof/>
          <w:position w:val="-10"/>
        </w:rPr>
        <w:drawing>
          <wp:inline distT="0" distB="0" distL="0" distR="0">
            <wp:extent cx="293370" cy="273685"/>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293370" cy="273685"/>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7.53 Расчет по прочности и устойчивости сжатых, внецентренно сжатых бетонных и железобетонных элементов прямоугольного, таврового, двутаврового и коробчатого сечений в </w:t>
      </w:r>
      <w:r>
        <w:lastRenderedPageBreak/>
        <w:t xml:space="preserve">зависимости от величины эксцентриситета </w:t>
      </w:r>
      <w:r>
        <w:rPr>
          <w:noProof/>
          <w:position w:val="-8"/>
        </w:rPr>
        <w:drawing>
          <wp:inline distT="0" distB="0" distL="0" distR="0">
            <wp:extent cx="754380" cy="251460"/>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754380" cy="251460"/>
                    </a:xfrm>
                    <a:prstGeom prst="rect">
                      <a:avLst/>
                    </a:prstGeom>
                    <a:noFill/>
                    <a:ln>
                      <a:noFill/>
                    </a:ln>
                  </pic:spPr>
                </pic:pic>
              </a:graphicData>
            </a:graphic>
          </wp:inline>
        </w:drawing>
      </w:r>
      <w:r>
        <w:t xml:space="preserve"> производится в соответствии с таблицей 7.20.</w:t>
      </w:r>
    </w:p>
    <w:p w:rsidR="00212513" w:rsidRDefault="00212513">
      <w:pPr>
        <w:pStyle w:val="ConsPlusNormal"/>
        <w:ind w:firstLine="540"/>
        <w:jc w:val="both"/>
      </w:pPr>
    </w:p>
    <w:p w:rsidR="00212513" w:rsidRDefault="00212513">
      <w:pPr>
        <w:pStyle w:val="ConsPlusNormal"/>
        <w:jc w:val="right"/>
      </w:pPr>
      <w:r>
        <w:t>Таблица 7.20</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1"/>
        <w:gridCol w:w="1757"/>
        <w:gridCol w:w="1757"/>
        <w:gridCol w:w="1757"/>
        <w:gridCol w:w="1757"/>
      </w:tblGrid>
      <w:tr w:rsidR="00212513">
        <w:tc>
          <w:tcPr>
            <w:tcW w:w="2041" w:type="dxa"/>
            <w:vMerge w:val="restart"/>
            <w:vAlign w:val="center"/>
          </w:tcPr>
          <w:p w:rsidR="00212513" w:rsidRDefault="00212513">
            <w:pPr>
              <w:pStyle w:val="ConsPlusNormal"/>
              <w:jc w:val="center"/>
            </w:pPr>
            <w:r>
              <w:t>Вид расчета</w:t>
            </w:r>
          </w:p>
        </w:tc>
        <w:tc>
          <w:tcPr>
            <w:tcW w:w="7028" w:type="dxa"/>
            <w:gridSpan w:val="4"/>
            <w:vAlign w:val="center"/>
          </w:tcPr>
          <w:p w:rsidR="00212513" w:rsidRDefault="00212513">
            <w:pPr>
              <w:pStyle w:val="ConsPlusNormal"/>
              <w:jc w:val="center"/>
            </w:pPr>
            <w:r>
              <w:t>Конструкции</w:t>
            </w:r>
          </w:p>
        </w:tc>
      </w:tr>
      <w:tr w:rsidR="00212513">
        <w:tc>
          <w:tcPr>
            <w:tcW w:w="2041" w:type="dxa"/>
            <w:vMerge/>
          </w:tcPr>
          <w:p w:rsidR="00212513" w:rsidRDefault="00212513">
            <w:pPr>
              <w:pStyle w:val="ConsPlusNormal"/>
            </w:pPr>
          </w:p>
        </w:tc>
        <w:tc>
          <w:tcPr>
            <w:tcW w:w="3514" w:type="dxa"/>
            <w:gridSpan w:val="2"/>
            <w:vAlign w:val="center"/>
          </w:tcPr>
          <w:p w:rsidR="00212513" w:rsidRDefault="00212513">
            <w:pPr>
              <w:pStyle w:val="ConsPlusNormal"/>
              <w:jc w:val="center"/>
            </w:pPr>
            <w:r>
              <w:t>бетонные</w:t>
            </w:r>
          </w:p>
        </w:tc>
        <w:tc>
          <w:tcPr>
            <w:tcW w:w="3514" w:type="dxa"/>
            <w:gridSpan w:val="2"/>
            <w:vAlign w:val="center"/>
          </w:tcPr>
          <w:p w:rsidR="00212513" w:rsidRDefault="00212513">
            <w:pPr>
              <w:pStyle w:val="ConsPlusNormal"/>
              <w:jc w:val="center"/>
            </w:pPr>
            <w:r>
              <w:t>железобетонные</w:t>
            </w:r>
          </w:p>
        </w:tc>
      </w:tr>
      <w:tr w:rsidR="00212513">
        <w:tc>
          <w:tcPr>
            <w:tcW w:w="2041" w:type="dxa"/>
            <w:vMerge/>
          </w:tcPr>
          <w:p w:rsidR="00212513" w:rsidRDefault="00212513">
            <w:pPr>
              <w:pStyle w:val="ConsPlusNormal"/>
            </w:pPr>
          </w:p>
        </w:tc>
        <w:tc>
          <w:tcPr>
            <w:tcW w:w="7028" w:type="dxa"/>
            <w:gridSpan w:val="4"/>
            <w:vAlign w:val="center"/>
          </w:tcPr>
          <w:p w:rsidR="00212513" w:rsidRDefault="00212513">
            <w:pPr>
              <w:pStyle w:val="ConsPlusNormal"/>
              <w:jc w:val="center"/>
            </w:pPr>
            <w:r>
              <w:t>Номера настоящих норм, в соответствии с которыми следует выполнять расчеты при эксцентриситетах</w:t>
            </w:r>
          </w:p>
        </w:tc>
      </w:tr>
      <w:tr w:rsidR="00212513">
        <w:tc>
          <w:tcPr>
            <w:tcW w:w="2041" w:type="dxa"/>
            <w:vMerge/>
          </w:tcPr>
          <w:p w:rsidR="00212513" w:rsidRDefault="00212513">
            <w:pPr>
              <w:pStyle w:val="ConsPlusNormal"/>
            </w:pPr>
          </w:p>
        </w:tc>
        <w:tc>
          <w:tcPr>
            <w:tcW w:w="1757" w:type="dxa"/>
            <w:vAlign w:val="center"/>
          </w:tcPr>
          <w:p w:rsidR="00212513" w:rsidRDefault="00212513">
            <w:pPr>
              <w:pStyle w:val="ConsPlusNormal"/>
              <w:jc w:val="center"/>
            </w:pPr>
            <w:r>
              <w:rPr>
                <w:i/>
              </w:rPr>
              <w:t>e</w:t>
            </w:r>
            <w:r>
              <w:rPr>
                <w:i/>
                <w:vertAlign w:val="subscript"/>
              </w:rPr>
              <w:t>c</w:t>
            </w:r>
            <w:r>
              <w:t xml:space="preserve"> &lt;= </w:t>
            </w:r>
            <w:r>
              <w:rPr>
                <w:i/>
              </w:rPr>
              <w:t>r</w:t>
            </w:r>
          </w:p>
        </w:tc>
        <w:tc>
          <w:tcPr>
            <w:tcW w:w="1757" w:type="dxa"/>
            <w:vAlign w:val="center"/>
          </w:tcPr>
          <w:p w:rsidR="00212513" w:rsidRDefault="00212513">
            <w:pPr>
              <w:pStyle w:val="ConsPlusNormal"/>
              <w:jc w:val="center"/>
            </w:pPr>
            <w:r>
              <w:rPr>
                <w:i/>
              </w:rPr>
              <w:t>e</w:t>
            </w:r>
            <w:r>
              <w:rPr>
                <w:i/>
                <w:vertAlign w:val="subscript"/>
              </w:rPr>
              <w:t>c</w:t>
            </w:r>
            <w:r>
              <w:t xml:space="preserve"> &gt; </w:t>
            </w:r>
            <w:r>
              <w:rPr>
                <w:i/>
              </w:rPr>
              <w:t>r</w:t>
            </w:r>
          </w:p>
        </w:tc>
        <w:tc>
          <w:tcPr>
            <w:tcW w:w="1757" w:type="dxa"/>
            <w:vAlign w:val="center"/>
          </w:tcPr>
          <w:p w:rsidR="00212513" w:rsidRDefault="00212513">
            <w:pPr>
              <w:pStyle w:val="ConsPlusNormal"/>
              <w:jc w:val="center"/>
            </w:pPr>
            <w:r>
              <w:rPr>
                <w:i/>
              </w:rPr>
              <w:t>e</w:t>
            </w:r>
            <w:r>
              <w:rPr>
                <w:i/>
                <w:vertAlign w:val="subscript"/>
              </w:rPr>
              <w:t>c</w:t>
            </w:r>
            <w:r>
              <w:t xml:space="preserve"> &lt;= </w:t>
            </w:r>
            <w:r>
              <w:rPr>
                <w:i/>
              </w:rPr>
              <w:t>r</w:t>
            </w:r>
          </w:p>
        </w:tc>
        <w:tc>
          <w:tcPr>
            <w:tcW w:w="1757" w:type="dxa"/>
            <w:vAlign w:val="center"/>
          </w:tcPr>
          <w:p w:rsidR="00212513" w:rsidRDefault="00212513">
            <w:pPr>
              <w:pStyle w:val="ConsPlusNormal"/>
              <w:jc w:val="center"/>
            </w:pPr>
            <w:r>
              <w:rPr>
                <w:i/>
              </w:rPr>
              <w:t>e</w:t>
            </w:r>
            <w:r>
              <w:rPr>
                <w:i/>
                <w:vertAlign w:val="subscript"/>
              </w:rPr>
              <w:t>c</w:t>
            </w:r>
            <w:r>
              <w:t xml:space="preserve"> &gt; </w:t>
            </w:r>
            <w:r>
              <w:rPr>
                <w:i/>
              </w:rPr>
              <w:t>r</w:t>
            </w:r>
          </w:p>
        </w:tc>
      </w:tr>
      <w:tr w:rsidR="00212513">
        <w:tc>
          <w:tcPr>
            <w:tcW w:w="2041" w:type="dxa"/>
            <w:vMerge w:val="restart"/>
            <w:tcBorders>
              <w:bottom w:val="nil"/>
            </w:tcBorders>
          </w:tcPr>
          <w:p w:rsidR="00212513" w:rsidRDefault="00212513">
            <w:pPr>
              <w:pStyle w:val="ConsPlusNormal"/>
            </w:pPr>
            <w:r>
              <w:t>По прочности</w:t>
            </w:r>
          </w:p>
        </w:tc>
        <w:tc>
          <w:tcPr>
            <w:tcW w:w="1757" w:type="dxa"/>
            <w:tcBorders>
              <w:bottom w:val="nil"/>
            </w:tcBorders>
          </w:tcPr>
          <w:p w:rsidR="00212513" w:rsidRDefault="00212513">
            <w:pPr>
              <w:pStyle w:val="ConsPlusNormal"/>
              <w:jc w:val="center"/>
            </w:pPr>
            <w:hyperlink w:anchor="P4549">
              <w:r>
                <w:rPr>
                  <w:color w:val="0000FF"/>
                </w:rPr>
                <w:t>7.68</w:t>
              </w:r>
            </w:hyperlink>
          </w:p>
        </w:tc>
        <w:tc>
          <w:tcPr>
            <w:tcW w:w="1757" w:type="dxa"/>
            <w:tcBorders>
              <w:bottom w:val="nil"/>
            </w:tcBorders>
          </w:tcPr>
          <w:p w:rsidR="00212513" w:rsidRDefault="00212513">
            <w:pPr>
              <w:pStyle w:val="ConsPlusNormal"/>
              <w:jc w:val="center"/>
            </w:pPr>
            <w:hyperlink w:anchor="P4549">
              <w:r>
                <w:rPr>
                  <w:color w:val="0000FF"/>
                </w:rPr>
                <w:t>7.68</w:t>
              </w:r>
            </w:hyperlink>
          </w:p>
        </w:tc>
        <w:tc>
          <w:tcPr>
            <w:tcW w:w="1757" w:type="dxa"/>
            <w:tcBorders>
              <w:bottom w:val="nil"/>
            </w:tcBorders>
          </w:tcPr>
          <w:p w:rsidR="00212513" w:rsidRDefault="00212513">
            <w:pPr>
              <w:pStyle w:val="ConsPlusNormal"/>
              <w:jc w:val="center"/>
            </w:pPr>
            <w:hyperlink w:anchor="P4588">
              <w:r>
                <w:rPr>
                  <w:color w:val="0000FF"/>
                </w:rPr>
                <w:t>7.69, б</w:t>
              </w:r>
            </w:hyperlink>
          </w:p>
        </w:tc>
        <w:tc>
          <w:tcPr>
            <w:tcW w:w="1757" w:type="dxa"/>
            <w:tcBorders>
              <w:bottom w:val="nil"/>
            </w:tcBorders>
          </w:tcPr>
          <w:p w:rsidR="00212513" w:rsidRDefault="00212513">
            <w:pPr>
              <w:pStyle w:val="ConsPlusNormal"/>
              <w:jc w:val="center"/>
            </w:pPr>
            <w:hyperlink w:anchor="P4612">
              <w:r>
                <w:rPr>
                  <w:color w:val="0000FF"/>
                </w:rPr>
                <w:t>7.70</w:t>
              </w:r>
            </w:hyperlink>
          </w:p>
        </w:tc>
      </w:tr>
      <w:tr w:rsidR="00212513">
        <w:tblPrEx>
          <w:tblBorders>
            <w:insideH w:val="nil"/>
          </w:tblBorders>
        </w:tblPrEx>
        <w:tc>
          <w:tcPr>
            <w:tcW w:w="2041" w:type="dxa"/>
            <w:vMerge/>
            <w:tcBorders>
              <w:bottom w:val="nil"/>
            </w:tcBorders>
          </w:tcPr>
          <w:p w:rsidR="00212513" w:rsidRDefault="00212513">
            <w:pPr>
              <w:pStyle w:val="ConsPlusNormal"/>
            </w:pPr>
          </w:p>
        </w:tc>
        <w:tc>
          <w:tcPr>
            <w:tcW w:w="1757" w:type="dxa"/>
            <w:tcBorders>
              <w:top w:val="nil"/>
              <w:bottom w:val="nil"/>
            </w:tcBorders>
          </w:tcPr>
          <w:p w:rsidR="00212513" w:rsidRDefault="00212513">
            <w:pPr>
              <w:pStyle w:val="ConsPlusNormal"/>
              <w:jc w:val="center"/>
            </w:pPr>
            <w:hyperlink w:anchor="P3944">
              <w:r>
                <w:rPr>
                  <w:color w:val="0000FF"/>
                </w:rPr>
                <w:t>7.54</w:t>
              </w:r>
            </w:hyperlink>
          </w:p>
        </w:tc>
        <w:tc>
          <w:tcPr>
            <w:tcW w:w="1757" w:type="dxa"/>
            <w:tcBorders>
              <w:top w:val="nil"/>
              <w:bottom w:val="nil"/>
            </w:tcBorders>
          </w:tcPr>
          <w:p w:rsidR="00212513" w:rsidRDefault="00212513">
            <w:pPr>
              <w:pStyle w:val="ConsPlusNormal"/>
              <w:jc w:val="center"/>
            </w:pPr>
            <w:hyperlink w:anchor="P3944">
              <w:r>
                <w:rPr>
                  <w:color w:val="0000FF"/>
                </w:rPr>
                <w:t>7.54</w:t>
              </w:r>
            </w:hyperlink>
          </w:p>
        </w:tc>
        <w:tc>
          <w:tcPr>
            <w:tcW w:w="1757" w:type="dxa"/>
            <w:tcBorders>
              <w:top w:val="nil"/>
              <w:bottom w:val="nil"/>
            </w:tcBorders>
          </w:tcPr>
          <w:p w:rsidR="00212513" w:rsidRDefault="00212513">
            <w:pPr>
              <w:pStyle w:val="ConsPlusNormal"/>
              <w:jc w:val="center"/>
            </w:pPr>
            <w:r>
              <w:t>-</w:t>
            </w:r>
          </w:p>
        </w:tc>
        <w:tc>
          <w:tcPr>
            <w:tcW w:w="1757" w:type="dxa"/>
            <w:tcBorders>
              <w:top w:val="nil"/>
              <w:bottom w:val="nil"/>
            </w:tcBorders>
          </w:tcPr>
          <w:p w:rsidR="00212513" w:rsidRDefault="00212513">
            <w:pPr>
              <w:pStyle w:val="ConsPlusNormal"/>
              <w:jc w:val="center"/>
            </w:pPr>
            <w:hyperlink w:anchor="P3944">
              <w:r>
                <w:rPr>
                  <w:color w:val="0000FF"/>
                </w:rPr>
                <w:t>7.54</w:t>
              </w:r>
            </w:hyperlink>
          </w:p>
        </w:tc>
      </w:tr>
      <w:tr w:rsidR="00212513">
        <w:tblPrEx>
          <w:tblBorders>
            <w:insideH w:val="nil"/>
          </w:tblBorders>
        </w:tblPrEx>
        <w:tc>
          <w:tcPr>
            <w:tcW w:w="2041" w:type="dxa"/>
            <w:vMerge w:val="restart"/>
            <w:tcBorders>
              <w:top w:val="nil"/>
            </w:tcBorders>
          </w:tcPr>
          <w:p w:rsidR="00212513" w:rsidRDefault="00212513">
            <w:pPr>
              <w:pStyle w:val="ConsPlusNormal"/>
            </w:pPr>
            <w:r>
              <w:t>По устойчивости</w:t>
            </w:r>
          </w:p>
        </w:tc>
        <w:tc>
          <w:tcPr>
            <w:tcW w:w="1757" w:type="dxa"/>
            <w:tcBorders>
              <w:top w:val="nil"/>
              <w:bottom w:val="nil"/>
            </w:tcBorders>
          </w:tcPr>
          <w:p w:rsidR="00212513" w:rsidRDefault="00212513">
            <w:pPr>
              <w:pStyle w:val="ConsPlusNormal"/>
              <w:jc w:val="center"/>
            </w:pPr>
            <w:hyperlink w:anchor="P4532">
              <w:r>
                <w:rPr>
                  <w:color w:val="0000FF"/>
                </w:rPr>
                <w:t>7.66</w:t>
              </w:r>
            </w:hyperlink>
          </w:p>
        </w:tc>
        <w:tc>
          <w:tcPr>
            <w:tcW w:w="1757" w:type="dxa"/>
            <w:tcBorders>
              <w:top w:val="nil"/>
              <w:bottom w:val="nil"/>
            </w:tcBorders>
          </w:tcPr>
          <w:p w:rsidR="00212513" w:rsidRDefault="00212513">
            <w:pPr>
              <w:pStyle w:val="ConsPlusNormal"/>
              <w:jc w:val="center"/>
            </w:pPr>
            <w:r>
              <w:t>-</w:t>
            </w:r>
          </w:p>
        </w:tc>
        <w:tc>
          <w:tcPr>
            <w:tcW w:w="1757" w:type="dxa"/>
            <w:tcBorders>
              <w:top w:val="nil"/>
              <w:bottom w:val="nil"/>
            </w:tcBorders>
          </w:tcPr>
          <w:p w:rsidR="00212513" w:rsidRDefault="00212513">
            <w:pPr>
              <w:pStyle w:val="ConsPlusNormal"/>
              <w:jc w:val="center"/>
            </w:pPr>
            <w:hyperlink w:anchor="P4579">
              <w:r>
                <w:rPr>
                  <w:color w:val="0000FF"/>
                </w:rPr>
                <w:t>7.69, а</w:t>
              </w:r>
            </w:hyperlink>
          </w:p>
        </w:tc>
        <w:tc>
          <w:tcPr>
            <w:tcW w:w="1757" w:type="dxa"/>
            <w:tcBorders>
              <w:top w:val="nil"/>
              <w:bottom w:val="nil"/>
            </w:tcBorders>
          </w:tcPr>
          <w:p w:rsidR="00212513" w:rsidRDefault="00212513">
            <w:pPr>
              <w:pStyle w:val="ConsPlusNormal"/>
              <w:jc w:val="center"/>
            </w:pPr>
            <w:r>
              <w:t>-</w:t>
            </w:r>
          </w:p>
        </w:tc>
      </w:tr>
      <w:tr w:rsidR="00212513">
        <w:tc>
          <w:tcPr>
            <w:tcW w:w="2041" w:type="dxa"/>
            <w:vMerge/>
            <w:tcBorders>
              <w:top w:val="nil"/>
            </w:tcBorders>
          </w:tcPr>
          <w:p w:rsidR="00212513" w:rsidRDefault="00212513">
            <w:pPr>
              <w:pStyle w:val="ConsPlusNormal"/>
            </w:pPr>
          </w:p>
        </w:tc>
        <w:tc>
          <w:tcPr>
            <w:tcW w:w="1757" w:type="dxa"/>
            <w:tcBorders>
              <w:top w:val="nil"/>
            </w:tcBorders>
          </w:tcPr>
          <w:p w:rsidR="00212513" w:rsidRDefault="00212513">
            <w:pPr>
              <w:pStyle w:val="ConsPlusNormal"/>
              <w:jc w:val="center"/>
            </w:pPr>
            <w:hyperlink w:anchor="P3989">
              <w:r>
                <w:rPr>
                  <w:color w:val="0000FF"/>
                </w:rPr>
                <w:t>7.55</w:t>
              </w:r>
            </w:hyperlink>
          </w:p>
        </w:tc>
        <w:tc>
          <w:tcPr>
            <w:tcW w:w="1757" w:type="dxa"/>
            <w:tcBorders>
              <w:top w:val="nil"/>
            </w:tcBorders>
          </w:tcPr>
          <w:p w:rsidR="00212513" w:rsidRDefault="00212513">
            <w:pPr>
              <w:pStyle w:val="ConsPlusNormal"/>
              <w:jc w:val="center"/>
            </w:pPr>
            <w:r>
              <w:t>-</w:t>
            </w:r>
          </w:p>
        </w:tc>
        <w:tc>
          <w:tcPr>
            <w:tcW w:w="1757" w:type="dxa"/>
            <w:tcBorders>
              <w:top w:val="nil"/>
            </w:tcBorders>
          </w:tcPr>
          <w:p w:rsidR="00212513" w:rsidRDefault="00212513">
            <w:pPr>
              <w:pStyle w:val="ConsPlusNormal"/>
              <w:jc w:val="center"/>
            </w:pPr>
            <w:hyperlink w:anchor="P3989">
              <w:r>
                <w:rPr>
                  <w:color w:val="0000FF"/>
                </w:rPr>
                <w:t>7.55</w:t>
              </w:r>
            </w:hyperlink>
          </w:p>
        </w:tc>
        <w:tc>
          <w:tcPr>
            <w:tcW w:w="1757" w:type="dxa"/>
            <w:tcBorders>
              <w:top w:val="nil"/>
            </w:tcBorders>
          </w:tcPr>
          <w:p w:rsidR="00212513" w:rsidRDefault="00212513">
            <w:pPr>
              <w:pStyle w:val="ConsPlusNormal"/>
              <w:jc w:val="center"/>
            </w:pPr>
            <w:r>
              <w:t>-</w:t>
            </w:r>
          </w:p>
        </w:tc>
      </w:tr>
      <w:tr w:rsidR="00212513">
        <w:tc>
          <w:tcPr>
            <w:tcW w:w="9069" w:type="dxa"/>
            <w:gridSpan w:val="5"/>
          </w:tcPr>
          <w:p w:rsidR="00212513" w:rsidRDefault="00212513">
            <w:pPr>
              <w:pStyle w:val="ConsPlusNormal"/>
              <w:ind w:firstLine="283"/>
              <w:jc w:val="both"/>
            </w:pPr>
            <w:r>
              <w:t xml:space="preserve">Примечание - </w:t>
            </w:r>
            <w:r>
              <w:rPr>
                <w:i/>
              </w:rPr>
              <w:t>r</w:t>
            </w:r>
            <w:r>
              <w:t xml:space="preserve"> - ядровое расстояние.</w:t>
            </w:r>
          </w:p>
        </w:tc>
      </w:tr>
    </w:tbl>
    <w:p w:rsidR="00212513" w:rsidRDefault="00212513">
      <w:pPr>
        <w:pStyle w:val="ConsPlusNormal"/>
        <w:ind w:firstLine="540"/>
        <w:jc w:val="both"/>
      </w:pPr>
    </w:p>
    <w:p w:rsidR="00212513" w:rsidRDefault="00212513">
      <w:pPr>
        <w:pStyle w:val="ConsPlusNormal"/>
        <w:ind w:firstLine="540"/>
        <w:jc w:val="both"/>
      </w:pPr>
      <w:r>
        <w:t xml:space="preserve">Сжатые элементы с расчетным начальным эксцентриситетом </w:t>
      </w:r>
      <w:r>
        <w:rPr>
          <w:noProof/>
          <w:position w:val="-8"/>
        </w:rPr>
        <w:drawing>
          <wp:inline distT="0" distB="0" distL="0" distR="0">
            <wp:extent cx="428625" cy="251460"/>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428625" cy="251460"/>
                    </a:xfrm>
                    <a:prstGeom prst="rect">
                      <a:avLst/>
                    </a:prstGeom>
                    <a:noFill/>
                    <a:ln>
                      <a:noFill/>
                    </a:ln>
                  </pic:spPr>
                </pic:pic>
              </a:graphicData>
            </a:graphic>
          </wp:inline>
        </w:drawing>
      </w:r>
      <w:r>
        <w:t xml:space="preserve"> следует рассчитывать на внецентренное сжатие.</w:t>
      </w:r>
    </w:p>
    <w:p w:rsidR="00212513" w:rsidRDefault="00212513">
      <w:pPr>
        <w:pStyle w:val="ConsPlusNormal"/>
        <w:spacing w:before="220"/>
        <w:ind w:firstLine="540"/>
        <w:jc w:val="both"/>
      </w:pPr>
      <w:r>
        <w:t xml:space="preserve">Влияние прогиба на увеличение расчетного усилия внецентренно сжатого элемента при расчете по недеформируемой схеме следует учитывать путем умножения эксцентриситета </w:t>
      </w:r>
      <w:r>
        <w:rPr>
          <w:noProof/>
          <w:position w:val="-8"/>
        </w:rPr>
        <w:drawing>
          <wp:inline distT="0" distB="0" distL="0" distR="0">
            <wp:extent cx="167640" cy="251460"/>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на коэффициент </w:t>
      </w:r>
      <w:r>
        <w:rPr>
          <w:noProof/>
          <w:position w:val="-3"/>
        </w:rPr>
        <w:drawing>
          <wp:inline distT="0" distB="0" distL="0" distR="0">
            <wp:extent cx="146685" cy="188595"/>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146685" cy="188595"/>
                    </a:xfrm>
                    <a:prstGeom prst="rect">
                      <a:avLst/>
                    </a:prstGeom>
                    <a:noFill/>
                    <a:ln>
                      <a:noFill/>
                    </a:ln>
                  </pic:spPr>
                </pic:pic>
              </a:graphicData>
            </a:graphic>
          </wp:inline>
        </w:drawing>
      </w:r>
      <w:r>
        <w:t xml:space="preserve">, определяемый по </w:t>
      </w:r>
      <w:hyperlink w:anchor="P3944">
        <w:r>
          <w:rPr>
            <w:color w:val="0000FF"/>
          </w:rPr>
          <w:t>7.54</w:t>
        </w:r>
      </w:hyperlink>
      <w:r>
        <w:t>.</w:t>
      </w:r>
    </w:p>
    <w:p w:rsidR="00212513" w:rsidRDefault="00212513">
      <w:pPr>
        <w:pStyle w:val="ConsPlusNormal"/>
        <w:spacing w:before="220"/>
        <w:ind w:firstLine="540"/>
        <w:jc w:val="both"/>
      </w:pPr>
      <w:r>
        <w:t xml:space="preserve">При расчете на устойчивость при </w:t>
      </w:r>
      <w:r>
        <w:rPr>
          <w:noProof/>
          <w:position w:val="-8"/>
        </w:rPr>
        <w:drawing>
          <wp:inline distT="0" distB="0" distL="0" distR="0">
            <wp:extent cx="419100" cy="251460"/>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r>
        <w:t xml:space="preserve"> коэффициент продольного изгиба </w:t>
      </w:r>
      <w:r>
        <w:rPr>
          <w:noProof/>
          <w:position w:val="-3"/>
        </w:rPr>
        <w:drawing>
          <wp:inline distT="0" distB="0" distL="0" distR="0">
            <wp:extent cx="156845" cy="177800"/>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156845" cy="177800"/>
                    </a:xfrm>
                    <a:prstGeom prst="rect">
                      <a:avLst/>
                    </a:prstGeom>
                    <a:noFill/>
                    <a:ln>
                      <a:noFill/>
                    </a:ln>
                  </pic:spPr>
                </pic:pic>
              </a:graphicData>
            </a:graphic>
          </wp:inline>
        </w:drawing>
      </w:r>
      <w:r>
        <w:t xml:space="preserve"> следует принимать в соответствии с </w:t>
      </w:r>
      <w:hyperlink w:anchor="P3989">
        <w:r>
          <w:rPr>
            <w:color w:val="0000FF"/>
          </w:rPr>
          <w:t>7.55</w:t>
        </w:r>
      </w:hyperlink>
      <w:r>
        <w:t>.</w:t>
      </w:r>
    </w:p>
    <w:p w:rsidR="00212513" w:rsidRDefault="00212513">
      <w:pPr>
        <w:pStyle w:val="ConsPlusNormal"/>
        <w:spacing w:before="220"/>
        <w:ind w:firstLine="540"/>
        <w:jc w:val="both"/>
      </w:pPr>
      <w:bookmarkStart w:id="147" w:name="P3944"/>
      <w:bookmarkEnd w:id="147"/>
      <w:r>
        <w:t xml:space="preserve">7.54 Коэффициент </w:t>
      </w:r>
      <w:r>
        <w:rPr>
          <w:noProof/>
          <w:position w:val="-3"/>
        </w:rPr>
        <w:drawing>
          <wp:inline distT="0" distB="0" distL="0" distR="0">
            <wp:extent cx="146685" cy="188595"/>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146685" cy="188595"/>
                    </a:xfrm>
                    <a:prstGeom prst="rect">
                      <a:avLst/>
                    </a:prstGeom>
                    <a:noFill/>
                    <a:ln>
                      <a:noFill/>
                    </a:ln>
                  </pic:spPr>
                </pic:pic>
              </a:graphicData>
            </a:graphic>
          </wp:inline>
        </w:drawing>
      </w:r>
      <w:r>
        <w:t>, учитывающий влияние прогиба по прочности, определяется по формуле</w:t>
      </w:r>
    </w:p>
    <w:p w:rsidR="00212513" w:rsidRDefault="00212513">
      <w:pPr>
        <w:pStyle w:val="ConsPlusNormal"/>
        <w:ind w:firstLine="540"/>
        <w:jc w:val="both"/>
      </w:pPr>
    </w:p>
    <w:p w:rsidR="00212513" w:rsidRDefault="00212513">
      <w:pPr>
        <w:pStyle w:val="ConsPlusNormal"/>
        <w:jc w:val="center"/>
      </w:pPr>
      <w:bookmarkStart w:id="148" w:name="P3946"/>
      <w:bookmarkEnd w:id="148"/>
      <w:r>
        <w:rPr>
          <w:noProof/>
          <w:position w:val="-43"/>
        </w:rPr>
        <w:drawing>
          <wp:inline distT="0" distB="0" distL="0" distR="0">
            <wp:extent cx="796290" cy="691515"/>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796290" cy="691515"/>
                    </a:xfrm>
                    <a:prstGeom prst="rect">
                      <a:avLst/>
                    </a:prstGeom>
                    <a:noFill/>
                    <a:ln>
                      <a:noFill/>
                    </a:ln>
                  </pic:spPr>
                </pic:pic>
              </a:graphicData>
            </a:graphic>
          </wp:inline>
        </w:drawing>
      </w:r>
      <w:r>
        <w:t>, (7.8)</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8"/>
        </w:rPr>
        <w:drawing>
          <wp:inline distT="0" distB="0" distL="0" distR="0">
            <wp:extent cx="262890" cy="251460"/>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условная критическая сила, определяемая по формулам:</w:t>
      </w:r>
    </w:p>
    <w:p w:rsidR="00212513" w:rsidRDefault="00212513">
      <w:pPr>
        <w:pStyle w:val="ConsPlusNormal"/>
        <w:spacing w:before="220"/>
        <w:ind w:firstLine="540"/>
        <w:jc w:val="both"/>
      </w:pPr>
      <w:r>
        <w:t>для бетонных элементов</w:t>
      </w:r>
    </w:p>
    <w:p w:rsidR="00212513" w:rsidRDefault="00212513">
      <w:pPr>
        <w:pStyle w:val="ConsPlusNormal"/>
        <w:ind w:firstLine="540"/>
        <w:jc w:val="both"/>
      </w:pPr>
    </w:p>
    <w:p w:rsidR="00212513" w:rsidRDefault="00212513">
      <w:pPr>
        <w:pStyle w:val="ConsPlusNormal"/>
        <w:jc w:val="center"/>
      </w:pPr>
      <w:bookmarkStart w:id="149" w:name="P3951"/>
      <w:bookmarkEnd w:id="149"/>
      <w:r>
        <w:rPr>
          <w:noProof/>
          <w:position w:val="-28"/>
        </w:rPr>
        <w:drawing>
          <wp:inline distT="0" distB="0" distL="0" distR="0">
            <wp:extent cx="1997710" cy="502920"/>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1997710" cy="502920"/>
                    </a:xfrm>
                    <a:prstGeom prst="rect">
                      <a:avLst/>
                    </a:prstGeom>
                    <a:noFill/>
                    <a:ln>
                      <a:noFill/>
                    </a:ln>
                  </pic:spPr>
                </pic:pic>
              </a:graphicData>
            </a:graphic>
          </wp:inline>
        </w:drawing>
      </w:r>
      <w:r>
        <w:t>; (7.9)</w:t>
      </w:r>
    </w:p>
    <w:p w:rsidR="00212513" w:rsidRDefault="00212513">
      <w:pPr>
        <w:pStyle w:val="ConsPlusNormal"/>
        <w:jc w:val="center"/>
      </w:pPr>
    </w:p>
    <w:p w:rsidR="00212513" w:rsidRDefault="00212513">
      <w:pPr>
        <w:pStyle w:val="ConsPlusNormal"/>
        <w:ind w:firstLine="540"/>
        <w:jc w:val="both"/>
      </w:pPr>
      <w:r>
        <w:t>для железобетонных элементов</w:t>
      </w:r>
    </w:p>
    <w:p w:rsidR="00212513" w:rsidRDefault="00212513">
      <w:pPr>
        <w:pStyle w:val="ConsPlusNormal"/>
        <w:ind w:firstLine="540"/>
        <w:jc w:val="both"/>
      </w:pPr>
    </w:p>
    <w:p w:rsidR="00212513" w:rsidRDefault="00212513">
      <w:pPr>
        <w:pStyle w:val="ConsPlusNormal"/>
        <w:jc w:val="center"/>
      </w:pPr>
      <w:bookmarkStart w:id="150" w:name="P3955"/>
      <w:bookmarkEnd w:id="150"/>
      <w:r>
        <w:rPr>
          <w:noProof/>
          <w:position w:val="-68"/>
        </w:rPr>
        <w:lastRenderedPageBreak/>
        <w:drawing>
          <wp:inline distT="0" distB="0" distL="0" distR="0">
            <wp:extent cx="2724150" cy="1005840"/>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2724150" cy="1005840"/>
                    </a:xfrm>
                    <a:prstGeom prst="rect">
                      <a:avLst/>
                    </a:prstGeom>
                    <a:noFill/>
                    <a:ln>
                      <a:noFill/>
                    </a:ln>
                  </pic:spPr>
                </pic:pic>
              </a:graphicData>
            </a:graphic>
          </wp:inline>
        </w:drawing>
      </w:r>
      <w:r>
        <w:t>, (7.10)</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8"/>
        </w:rPr>
        <w:drawing>
          <wp:inline distT="0" distB="0" distL="0" distR="0">
            <wp:extent cx="167640" cy="251460"/>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момент инерции площади сечения бетона определяется без учета трещин в бетоне;</w:t>
      </w:r>
    </w:p>
    <w:p w:rsidR="00212513" w:rsidRDefault="00212513">
      <w:pPr>
        <w:pStyle w:val="ConsPlusNormal"/>
        <w:spacing w:before="220"/>
        <w:ind w:firstLine="540"/>
        <w:jc w:val="both"/>
      </w:pPr>
      <w:r>
        <w:rPr>
          <w:noProof/>
          <w:position w:val="-8"/>
        </w:rPr>
        <w:drawing>
          <wp:inline distT="0" distB="0" distL="0" distR="0">
            <wp:extent cx="167640" cy="251460"/>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момент инерции площади сечения ненапрягаемой и напрягаемой арматуры.</w:t>
      </w:r>
    </w:p>
    <w:p w:rsidR="00212513" w:rsidRDefault="00212513">
      <w:pPr>
        <w:pStyle w:val="ConsPlusNormal"/>
        <w:spacing w:before="220"/>
        <w:ind w:firstLine="540"/>
        <w:jc w:val="both"/>
      </w:pPr>
      <w:r>
        <w:t>Моменты инерции определяются относительно осей, проходящих через центр тяжести приведенного сечения.</w:t>
      </w:r>
    </w:p>
    <w:p w:rsidR="00212513" w:rsidRDefault="00212513">
      <w:pPr>
        <w:pStyle w:val="ConsPlusNormal"/>
        <w:spacing w:before="220"/>
        <w:ind w:firstLine="540"/>
        <w:jc w:val="both"/>
      </w:pPr>
      <w:r>
        <w:t xml:space="preserve">В </w:t>
      </w:r>
      <w:hyperlink w:anchor="P3951">
        <w:r>
          <w:rPr>
            <w:color w:val="0000FF"/>
          </w:rPr>
          <w:t>формулах (7.9)</w:t>
        </w:r>
      </w:hyperlink>
      <w:r>
        <w:t xml:space="preserve"> и </w:t>
      </w:r>
      <w:hyperlink w:anchor="P3955">
        <w:r>
          <w:rPr>
            <w:color w:val="0000FF"/>
          </w:rPr>
          <w:t>(7.10)</w:t>
        </w:r>
      </w:hyperlink>
      <w:r>
        <w:t xml:space="preserve"> коэффициентами </w:t>
      </w:r>
      <w:r>
        <w:rPr>
          <w:noProof/>
          <w:position w:val="-8"/>
        </w:rPr>
        <w:drawing>
          <wp:inline distT="0" distB="0" distL="0" distR="0">
            <wp:extent cx="188595" cy="251460"/>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и </w:t>
      </w:r>
      <w:r>
        <w:rPr>
          <w:noProof/>
          <w:position w:val="-10"/>
        </w:rPr>
        <w:drawing>
          <wp:inline distT="0" distB="0" distL="0" distR="0">
            <wp:extent cx="209550" cy="273685"/>
            <wp:effectExtent l="0" t="0" r="0" b="0"/>
            <wp:docPr id="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209550" cy="273685"/>
                    </a:xfrm>
                    <a:prstGeom prst="rect">
                      <a:avLst/>
                    </a:prstGeom>
                    <a:noFill/>
                    <a:ln>
                      <a:noFill/>
                    </a:ln>
                  </pic:spPr>
                </pic:pic>
              </a:graphicData>
            </a:graphic>
          </wp:inline>
        </w:drawing>
      </w:r>
      <w:r>
        <w:t xml:space="preserve"> учитывается соответственно влияние на прогиб длительного действия нагрузки, предварительного напряжения арматуры и относительной величины эксцентриситета.</w:t>
      </w:r>
    </w:p>
    <w:p w:rsidR="00212513" w:rsidRDefault="00212513">
      <w:pPr>
        <w:pStyle w:val="ConsPlusNormal"/>
        <w:spacing w:before="220"/>
        <w:ind w:firstLine="540"/>
        <w:jc w:val="both"/>
      </w:pPr>
      <w:r>
        <w:t xml:space="preserve">Значение коэффициента </w:t>
      </w:r>
      <w:r>
        <w:rPr>
          <w:noProof/>
          <w:position w:val="-8"/>
        </w:rPr>
        <w:drawing>
          <wp:inline distT="0" distB="0" distL="0" distR="0">
            <wp:extent cx="188595" cy="251460"/>
            <wp:effectExtent l="0" t="0" r="0" b="0"/>
            <wp:docPr id="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следует принимать равным</w:t>
      </w:r>
    </w:p>
    <w:p w:rsidR="00212513" w:rsidRDefault="00212513">
      <w:pPr>
        <w:pStyle w:val="ConsPlusNormal"/>
        <w:ind w:firstLine="540"/>
        <w:jc w:val="both"/>
      </w:pPr>
    </w:p>
    <w:p w:rsidR="00212513" w:rsidRDefault="00212513">
      <w:pPr>
        <w:pStyle w:val="ConsPlusNormal"/>
        <w:jc w:val="center"/>
      </w:pPr>
      <w:r>
        <w:rPr>
          <w:noProof/>
          <w:position w:val="-8"/>
        </w:rPr>
        <w:drawing>
          <wp:inline distT="0" distB="0" distL="0" distR="0">
            <wp:extent cx="1047750" cy="251460"/>
            <wp:effectExtent l="0" t="0" r="0" b="0"/>
            <wp:docPr id="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1047750" cy="251460"/>
                    </a:xfrm>
                    <a:prstGeom prst="rect">
                      <a:avLst/>
                    </a:prstGeom>
                    <a:noFill/>
                    <a:ln>
                      <a:noFill/>
                    </a:ln>
                  </pic:spPr>
                </pic:pic>
              </a:graphicData>
            </a:graphic>
          </wp:inline>
        </w:drawing>
      </w:r>
      <w:r>
        <w:t>, (7.11)</w:t>
      </w:r>
    </w:p>
    <w:p w:rsidR="00212513" w:rsidRDefault="00212513">
      <w:pPr>
        <w:pStyle w:val="ConsPlusNormal"/>
        <w:ind w:firstLine="540"/>
        <w:jc w:val="both"/>
      </w:pPr>
    </w:p>
    <w:p w:rsidR="00212513" w:rsidRDefault="00212513">
      <w:pPr>
        <w:pStyle w:val="ConsPlusNormal"/>
        <w:ind w:firstLine="540"/>
        <w:jc w:val="both"/>
      </w:pPr>
      <w:r>
        <w:t xml:space="preserve">где </w:t>
      </w:r>
      <w:r>
        <w:rPr>
          <w:i/>
        </w:rPr>
        <w:t>M</w:t>
      </w:r>
      <w:r>
        <w:t xml:space="preserve"> - момент относительно наиболее растянутой или наименее сжатой грани сечения от действия постоянных и временных нагрузок;</w:t>
      </w:r>
    </w:p>
    <w:p w:rsidR="00212513" w:rsidRDefault="00212513">
      <w:pPr>
        <w:pStyle w:val="ConsPlusNormal"/>
        <w:spacing w:before="220"/>
        <w:ind w:firstLine="540"/>
        <w:jc w:val="both"/>
      </w:pPr>
      <w:r>
        <w:rPr>
          <w:noProof/>
          <w:position w:val="-8"/>
        </w:rPr>
        <w:drawing>
          <wp:inline distT="0" distB="0" distL="0" distR="0">
            <wp:extent cx="251460" cy="251460"/>
            <wp:effectExtent l="0" t="0" r="0" b="0"/>
            <wp:docPr id="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то же, от действия постоянных нагрузок.</w:t>
      </w:r>
    </w:p>
    <w:p w:rsidR="00212513" w:rsidRDefault="00212513">
      <w:pPr>
        <w:pStyle w:val="ConsPlusNormal"/>
        <w:spacing w:before="220"/>
        <w:ind w:firstLine="540"/>
        <w:jc w:val="both"/>
      </w:pPr>
      <w:r>
        <w:t xml:space="preserve">Значение коэффициента </w:t>
      </w:r>
      <w:r>
        <w:rPr>
          <w:noProof/>
          <w:position w:val="-4"/>
        </w:rPr>
        <w:drawing>
          <wp:inline distT="0" distB="0" distL="0" distR="0">
            <wp:extent cx="156845" cy="198755"/>
            <wp:effectExtent l="0" t="0" r="0" b="0"/>
            <wp:docPr id="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следует принимать равным </w:t>
      </w:r>
      <w:r>
        <w:rPr>
          <w:noProof/>
          <w:position w:val="-8"/>
        </w:rPr>
        <w:drawing>
          <wp:inline distT="0" distB="0" distL="0" distR="0">
            <wp:extent cx="356235" cy="251460"/>
            <wp:effectExtent l="0" t="0" r="0" b="0"/>
            <wp:docPr id="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356235" cy="251460"/>
                    </a:xfrm>
                    <a:prstGeom prst="rect">
                      <a:avLst/>
                    </a:prstGeom>
                    <a:noFill/>
                    <a:ln>
                      <a:noFill/>
                    </a:ln>
                  </pic:spPr>
                </pic:pic>
              </a:graphicData>
            </a:graphic>
          </wp:inline>
        </w:drawing>
      </w:r>
      <w:r>
        <w:t>, но не менее определяемого по формуле</w:t>
      </w:r>
    </w:p>
    <w:p w:rsidR="00212513" w:rsidRDefault="00212513">
      <w:pPr>
        <w:pStyle w:val="ConsPlusNormal"/>
        <w:ind w:firstLine="540"/>
        <w:jc w:val="both"/>
      </w:pPr>
    </w:p>
    <w:p w:rsidR="00212513" w:rsidRDefault="00212513">
      <w:pPr>
        <w:pStyle w:val="ConsPlusNormal"/>
        <w:jc w:val="center"/>
      </w:pPr>
      <w:bookmarkStart w:id="151" w:name="P3969"/>
      <w:bookmarkEnd w:id="151"/>
      <w:r>
        <w:rPr>
          <w:noProof/>
          <w:position w:val="-22"/>
        </w:rPr>
        <w:drawing>
          <wp:inline distT="0" distB="0" distL="0" distR="0">
            <wp:extent cx="1885950" cy="428625"/>
            <wp:effectExtent l="0" t="0" r="0" b="0"/>
            <wp:docPr id="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1885950" cy="428625"/>
                    </a:xfrm>
                    <a:prstGeom prst="rect">
                      <a:avLst/>
                    </a:prstGeom>
                    <a:noFill/>
                    <a:ln>
                      <a:noFill/>
                    </a:ln>
                  </pic:spPr>
                </pic:pic>
              </a:graphicData>
            </a:graphic>
          </wp:inline>
        </w:drawing>
      </w:r>
      <w:r>
        <w:t>, (7.12)</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8"/>
        </w:rPr>
        <w:drawing>
          <wp:inline distT="0" distB="0" distL="0" distR="0">
            <wp:extent cx="209550" cy="251460"/>
            <wp:effectExtent l="0" t="0" r="0" b="0"/>
            <wp:docPr id="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расчетное сопротивление бетона, МПа;</w:t>
      </w:r>
    </w:p>
    <w:p w:rsidR="00212513" w:rsidRDefault="00212513">
      <w:pPr>
        <w:pStyle w:val="ConsPlusNormal"/>
        <w:spacing w:before="220"/>
        <w:ind w:firstLine="540"/>
        <w:jc w:val="both"/>
      </w:pPr>
      <w:r>
        <w:rPr>
          <w:noProof/>
          <w:position w:val="-8"/>
        </w:rPr>
        <w:drawing>
          <wp:inline distT="0" distB="0" distL="0" distR="0">
            <wp:extent cx="137160" cy="250825"/>
            <wp:effectExtent l="0" t="0" r="0" b="0"/>
            <wp:docPr id="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 расчетная длина элемента.</w:t>
      </w:r>
    </w:p>
    <w:p w:rsidR="00212513" w:rsidRDefault="00212513">
      <w:pPr>
        <w:pStyle w:val="ConsPlusNormal"/>
        <w:spacing w:before="220"/>
        <w:ind w:firstLine="540"/>
        <w:jc w:val="both"/>
      </w:pPr>
      <w:r>
        <w:t xml:space="preserve">Если моменты (или эксцентриситеты) от полной нагрузки и от постоянной имеют разные знаки, то при абсолютном значении эксцентриситета полной нагрузки </w:t>
      </w:r>
      <w:r>
        <w:rPr>
          <w:noProof/>
          <w:position w:val="-8"/>
        </w:rPr>
        <w:drawing>
          <wp:inline distT="0" distB="0" distL="0" distR="0">
            <wp:extent cx="628650" cy="251460"/>
            <wp:effectExtent l="0" t="0" r="0" b="0"/>
            <wp:docPr id="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628650" cy="251460"/>
                    </a:xfrm>
                    <a:prstGeom prst="rect">
                      <a:avLst/>
                    </a:prstGeom>
                    <a:noFill/>
                    <a:ln>
                      <a:noFill/>
                    </a:ln>
                  </pic:spPr>
                </pic:pic>
              </a:graphicData>
            </a:graphic>
          </wp:inline>
        </w:drawing>
      </w:r>
      <w:r>
        <w:t xml:space="preserve"> следует принимать </w:t>
      </w:r>
      <w:r>
        <w:rPr>
          <w:noProof/>
          <w:position w:val="-8"/>
        </w:rPr>
        <w:drawing>
          <wp:inline distT="0" distB="0" distL="0" distR="0">
            <wp:extent cx="553085" cy="251460"/>
            <wp:effectExtent l="0" t="0" r="0" b="0"/>
            <wp:docPr id="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553085" cy="251460"/>
                    </a:xfrm>
                    <a:prstGeom prst="rect">
                      <a:avLst/>
                    </a:prstGeom>
                    <a:noFill/>
                    <a:ln>
                      <a:noFill/>
                    </a:ln>
                  </pic:spPr>
                </pic:pic>
              </a:graphicData>
            </a:graphic>
          </wp:inline>
        </w:drawing>
      </w:r>
      <w:r>
        <w:t xml:space="preserve">, а при </w:t>
      </w:r>
      <w:r>
        <w:rPr>
          <w:noProof/>
          <w:position w:val="-8"/>
        </w:rPr>
        <w:drawing>
          <wp:inline distT="0" distB="0" distL="0" distR="0">
            <wp:extent cx="628650" cy="251460"/>
            <wp:effectExtent l="0" t="0" r="0" b="0"/>
            <wp:docPr id="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628650" cy="251460"/>
                    </a:xfrm>
                    <a:prstGeom prst="rect">
                      <a:avLst/>
                    </a:prstGeom>
                    <a:noFill/>
                    <a:ln>
                      <a:noFill/>
                    </a:ln>
                  </pic:spPr>
                </pic:pic>
              </a:graphicData>
            </a:graphic>
          </wp:inline>
        </w:drawing>
      </w:r>
      <w:r>
        <w:t xml:space="preserve"> </w:t>
      </w:r>
      <w:r>
        <w:rPr>
          <w:noProof/>
          <w:position w:val="-8"/>
        </w:rPr>
        <w:drawing>
          <wp:inline distT="0" distB="0" distL="0" distR="0">
            <wp:extent cx="648970" cy="251460"/>
            <wp:effectExtent l="0" t="0" r="0" b="0"/>
            <wp:docPr id="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648970" cy="251460"/>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Значение коэффициента </w:t>
      </w:r>
      <w:r>
        <w:rPr>
          <w:noProof/>
          <w:position w:val="-10"/>
        </w:rPr>
        <w:drawing>
          <wp:inline distT="0" distB="0" distL="0" distR="0">
            <wp:extent cx="209550" cy="273685"/>
            <wp:effectExtent l="0" t="0" r="0" b="0"/>
            <wp:docPr id="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209550" cy="273685"/>
                    </a:xfrm>
                    <a:prstGeom prst="rect">
                      <a:avLst/>
                    </a:prstGeom>
                    <a:noFill/>
                    <a:ln>
                      <a:noFill/>
                    </a:ln>
                  </pic:spPr>
                </pic:pic>
              </a:graphicData>
            </a:graphic>
          </wp:inline>
        </w:drawing>
      </w:r>
      <w:r>
        <w:t>, учитывающего влияние предварительного натяжения арматуры на жесткость элемента, следует определять по формуле</w:t>
      </w:r>
    </w:p>
    <w:p w:rsidR="00212513" w:rsidRDefault="00212513">
      <w:pPr>
        <w:pStyle w:val="ConsPlusNormal"/>
        <w:ind w:firstLine="540"/>
        <w:jc w:val="both"/>
      </w:pPr>
    </w:p>
    <w:p w:rsidR="00212513" w:rsidRDefault="00212513">
      <w:pPr>
        <w:pStyle w:val="ConsPlusNormal"/>
        <w:jc w:val="center"/>
      </w:pPr>
      <w:bookmarkStart w:id="152" w:name="P3976"/>
      <w:bookmarkEnd w:id="152"/>
      <w:r>
        <w:rPr>
          <w:noProof/>
          <w:position w:val="-28"/>
        </w:rPr>
        <w:drawing>
          <wp:inline distT="0" distB="0" distL="0" distR="0">
            <wp:extent cx="1199515" cy="502920"/>
            <wp:effectExtent l="0" t="0" r="0" b="0"/>
            <wp:docPr id="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1199515" cy="502920"/>
                    </a:xfrm>
                    <a:prstGeom prst="rect">
                      <a:avLst/>
                    </a:prstGeom>
                    <a:noFill/>
                    <a:ln>
                      <a:noFill/>
                    </a:ln>
                  </pic:spPr>
                </pic:pic>
              </a:graphicData>
            </a:graphic>
          </wp:inline>
        </w:drawing>
      </w:r>
      <w:r>
        <w:t>, (7.13)</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9"/>
        </w:rPr>
        <w:drawing>
          <wp:inline distT="0" distB="0" distL="0" distR="0">
            <wp:extent cx="262890" cy="262890"/>
            <wp:effectExtent l="0" t="0" r="0" b="0"/>
            <wp:docPr id="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предварительное напряжение в бетоне на уровне центра тяжести продольной </w:t>
      </w:r>
      <w:r>
        <w:lastRenderedPageBreak/>
        <w:t xml:space="preserve">арматуры с учетом всех потерь согласно </w:t>
      </w:r>
      <w:hyperlink w:anchor="P14438">
        <w:r>
          <w:rPr>
            <w:color w:val="0000FF"/>
          </w:rPr>
          <w:t>приложению Р</w:t>
        </w:r>
      </w:hyperlink>
      <w:r>
        <w:t>;</w:t>
      </w:r>
    </w:p>
    <w:p w:rsidR="00212513" w:rsidRDefault="00212513">
      <w:pPr>
        <w:pStyle w:val="ConsPlusNormal"/>
        <w:spacing w:before="220"/>
        <w:ind w:firstLine="540"/>
        <w:jc w:val="both"/>
      </w:pPr>
      <w:r>
        <w:t xml:space="preserve">для кольцевых и круглых сечений </w:t>
      </w:r>
      <w:r>
        <w:rPr>
          <w:i/>
        </w:rPr>
        <w:t>h</w:t>
      </w:r>
      <w:r>
        <w:t xml:space="preserve"> = </w:t>
      </w:r>
      <w:r>
        <w:rPr>
          <w:i/>
        </w:rPr>
        <w:t>D</w:t>
      </w:r>
      <w:r>
        <w:t>.</w:t>
      </w:r>
    </w:p>
    <w:p w:rsidR="00212513" w:rsidRDefault="00212513">
      <w:pPr>
        <w:pStyle w:val="ConsPlusNormal"/>
        <w:spacing w:before="220"/>
        <w:ind w:firstLine="540"/>
        <w:jc w:val="both"/>
      </w:pPr>
      <w:r>
        <w:t xml:space="preserve">В </w:t>
      </w:r>
      <w:hyperlink w:anchor="P3976">
        <w:r>
          <w:rPr>
            <w:color w:val="0000FF"/>
          </w:rPr>
          <w:t>формуле (7.13)</w:t>
        </w:r>
      </w:hyperlink>
      <w:r>
        <w:t xml:space="preserve"> расчетные сопротивления </w:t>
      </w:r>
      <w:r>
        <w:rPr>
          <w:noProof/>
          <w:position w:val="-8"/>
        </w:rPr>
        <w:drawing>
          <wp:inline distT="0" distB="0" distL="0" distR="0">
            <wp:extent cx="209550" cy="251460"/>
            <wp:effectExtent l="0" t="0" r="0" b="0"/>
            <wp:docPr id="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принимаются без учета коэффициентов условий работы бетона, а значения </w:t>
      </w:r>
      <w:r>
        <w:rPr>
          <w:noProof/>
          <w:position w:val="-8"/>
        </w:rPr>
        <w:drawing>
          <wp:inline distT="0" distB="0" distL="0" distR="0">
            <wp:extent cx="356235" cy="251460"/>
            <wp:effectExtent l="0" t="0" r="0" b="0"/>
            <wp:docPr id="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356235" cy="251460"/>
                    </a:xfrm>
                    <a:prstGeom prst="rect">
                      <a:avLst/>
                    </a:prstGeom>
                    <a:noFill/>
                    <a:ln>
                      <a:noFill/>
                    </a:ln>
                  </pic:spPr>
                </pic:pic>
              </a:graphicData>
            </a:graphic>
          </wp:inline>
        </w:drawing>
      </w:r>
      <w:r>
        <w:t xml:space="preserve"> не должны превышать 1,5.</w:t>
      </w:r>
    </w:p>
    <w:p w:rsidR="00212513" w:rsidRDefault="00212513">
      <w:pPr>
        <w:pStyle w:val="ConsPlusNormal"/>
        <w:spacing w:before="220"/>
        <w:ind w:firstLine="540"/>
        <w:jc w:val="both"/>
      </w:pPr>
      <w:r>
        <w:t>Сжатые железобетонные элементы должны иметь характеристики, при которых обеспечивается условие</w:t>
      </w:r>
    </w:p>
    <w:p w:rsidR="00212513" w:rsidRDefault="00212513">
      <w:pPr>
        <w:pStyle w:val="ConsPlusNormal"/>
        <w:ind w:firstLine="540"/>
        <w:jc w:val="both"/>
      </w:pPr>
    </w:p>
    <w:p w:rsidR="00212513" w:rsidRDefault="00212513">
      <w:pPr>
        <w:pStyle w:val="ConsPlusNormal"/>
        <w:jc w:val="center"/>
      </w:pPr>
      <w:r>
        <w:rPr>
          <w:noProof/>
          <w:position w:val="-8"/>
        </w:rPr>
        <w:drawing>
          <wp:inline distT="0" distB="0" distL="0" distR="0">
            <wp:extent cx="899160" cy="251460"/>
            <wp:effectExtent l="0" t="0" r="0" b="0"/>
            <wp:docPr id="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899160" cy="251460"/>
                    </a:xfrm>
                    <a:prstGeom prst="rect">
                      <a:avLst/>
                    </a:prstGeom>
                    <a:noFill/>
                    <a:ln>
                      <a:noFill/>
                    </a:ln>
                  </pic:spPr>
                </pic:pic>
              </a:graphicData>
            </a:graphic>
          </wp:inline>
        </w:drawing>
      </w:r>
      <w:r>
        <w:t>. (7.14)</w:t>
      </w:r>
    </w:p>
    <w:p w:rsidR="00212513" w:rsidRDefault="00212513">
      <w:pPr>
        <w:pStyle w:val="ConsPlusNormal"/>
        <w:ind w:firstLine="540"/>
        <w:jc w:val="both"/>
      </w:pPr>
    </w:p>
    <w:p w:rsidR="00212513" w:rsidRDefault="00212513">
      <w:pPr>
        <w:pStyle w:val="ConsPlusNormal"/>
        <w:ind w:firstLine="540"/>
        <w:jc w:val="both"/>
      </w:pPr>
      <w:r>
        <w:t xml:space="preserve">При расчете элементов на внецентренное сжатие из плоскости изгиба, созданного внецентренным приложением нагрузки, необходимо учитывать значение случайного эксцентриситета </w:t>
      </w:r>
      <w:hyperlink w:anchor="P3904">
        <w:r>
          <w:rPr>
            <w:color w:val="0000FF"/>
          </w:rPr>
          <w:t>(7.52)</w:t>
        </w:r>
      </w:hyperlink>
      <w:r>
        <w:t>.</w:t>
      </w:r>
    </w:p>
    <w:p w:rsidR="00212513" w:rsidRDefault="00212513">
      <w:pPr>
        <w:pStyle w:val="ConsPlusNormal"/>
        <w:spacing w:before="220"/>
        <w:ind w:firstLine="540"/>
        <w:jc w:val="both"/>
      </w:pPr>
      <w:r>
        <w:t xml:space="preserve">Для железобетонных элементов, имеющих несмещаемые опоры или опоры, одинаково перемещающиеся при вынужденных деформациях (например, при температурных удлинениях), значения коэффициента </w:t>
      </w:r>
      <w:r>
        <w:rPr>
          <w:noProof/>
          <w:position w:val="-3"/>
        </w:rPr>
        <w:drawing>
          <wp:inline distT="0" distB="0" distL="0" distR="0">
            <wp:extent cx="137160" cy="177800"/>
            <wp:effectExtent l="0" t="0" r="0" b="0"/>
            <wp:docPr id="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137160" cy="177800"/>
                    </a:xfrm>
                    <a:prstGeom prst="rect">
                      <a:avLst/>
                    </a:prstGeom>
                    <a:noFill/>
                    <a:ln>
                      <a:noFill/>
                    </a:ln>
                  </pic:spPr>
                </pic:pic>
              </a:graphicData>
            </a:graphic>
          </wp:inline>
        </w:drawing>
      </w:r>
      <w:r>
        <w:t xml:space="preserve"> следует принимать:</w:t>
      </w:r>
    </w:p>
    <w:p w:rsidR="00212513" w:rsidRDefault="00212513">
      <w:pPr>
        <w:pStyle w:val="ConsPlusNormal"/>
        <w:spacing w:before="220"/>
        <w:ind w:firstLine="540"/>
        <w:jc w:val="both"/>
      </w:pPr>
      <w:r>
        <w:t xml:space="preserve">для сечений в средней трети длины элемента - по </w:t>
      </w:r>
      <w:hyperlink w:anchor="P3946">
        <w:r>
          <w:rPr>
            <w:color w:val="0000FF"/>
          </w:rPr>
          <w:t>формуле (7.8)</w:t>
        </w:r>
      </w:hyperlink>
      <w:r>
        <w:t>;</w:t>
      </w:r>
    </w:p>
    <w:p w:rsidR="00212513" w:rsidRDefault="00212513">
      <w:pPr>
        <w:pStyle w:val="ConsPlusNormal"/>
        <w:spacing w:before="220"/>
        <w:ind w:firstLine="540"/>
        <w:jc w:val="both"/>
      </w:pPr>
      <w:r>
        <w:t>то же, в пределах крайних третей длины элемента - по интерполяции между значениями, вычисленными для средней трети, и единицей, принимаемой для опорных сечений.</w:t>
      </w:r>
    </w:p>
    <w:p w:rsidR="00212513" w:rsidRDefault="00212513">
      <w:pPr>
        <w:pStyle w:val="ConsPlusNormal"/>
        <w:spacing w:before="220"/>
        <w:ind w:firstLine="540"/>
        <w:jc w:val="both"/>
      </w:pPr>
      <w:bookmarkStart w:id="153" w:name="P3989"/>
      <w:bookmarkEnd w:id="153"/>
      <w:r>
        <w:t xml:space="preserve">7.55 Коэффициент продольного изгиба </w:t>
      </w:r>
      <w:r>
        <w:rPr>
          <w:noProof/>
          <w:position w:val="-3"/>
        </w:rPr>
        <w:drawing>
          <wp:inline distT="0" distB="0" distL="0" distR="0">
            <wp:extent cx="156845" cy="177800"/>
            <wp:effectExtent l="0" t="0" r="0" b="0"/>
            <wp:docPr id="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156845" cy="177800"/>
                    </a:xfrm>
                    <a:prstGeom prst="rect">
                      <a:avLst/>
                    </a:prstGeom>
                    <a:noFill/>
                    <a:ln>
                      <a:noFill/>
                    </a:ln>
                  </pic:spPr>
                </pic:pic>
              </a:graphicData>
            </a:graphic>
          </wp:inline>
        </w:drawing>
      </w:r>
      <w:r>
        <w:t xml:space="preserve"> при расчетах сжатых </w:t>
      </w:r>
      <w:r>
        <w:rPr>
          <w:noProof/>
          <w:position w:val="-8"/>
        </w:rPr>
        <w:drawing>
          <wp:inline distT="0" distB="0" distL="0" distR="0">
            <wp:extent cx="544830" cy="251460"/>
            <wp:effectExtent l="0" t="0" r="0" b="0"/>
            <wp:docPr id="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544830" cy="251460"/>
                    </a:xfrm>
                    <a:prstGeom prst="rect">
                      <a:avLst/>
                    </a:prstGeom>
                    <a:noFill/>
                    <a:ln>
                      <a:noFill/>
                    </a:ln>
                  </pic:spPr>
                </pic:pic>
              </a:graphicData>
            </a:graphic>
          </wp:inline>
        </w:drawing>
      </w:r>
      <w:r>
        <w:t xml:space="preserve"> и внецентренно сжатых элементов, имеющих относительный эксцентриситет </w:t>
      </w:r>
      <w:r>
        <w:rPr>
          <w:noProof/>
          <w:position w:val="-8"/>
        </w:rPr>
        <w:drawing>
          <wp:inline distT="0" distB="0" distL="0" distR="0">
            <wp:extent cx="578485" cy="251460"/>
            <wp:effectExtent l="0" t="0" r="0" b="0"/>
            <wp:docPr id="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578485" cy="251460"/>
                    </a:xfrm>
                    <a:prstGeom prst="rect">
                      <a:avLst/>
                    </a:prstGeom>
                    <a:noFill/>
                    <a:ln>
                      <a:noFill/>
                    </a:ln>
                  </pic:spPr>
                </pic:pic>
              </a:graphicData>
            </a:graphic>
          </wp:inline>
        </w:drawing>
      </w:r>
      <w:r>
        <w:t>, следует определять по формуле</w:t>
      </w:r>
    </w:p>
    <w:p w:rsidR="00212513" w:rsidRDefault="00212513">
      <w:pPr>
        <w:pStyle w:val="ConsPlusNormal"/>
        <w:ind w:firstLine="540"/>
        <w:jc w:val="both"/>
      </w:pPr>
    </w:p>
    <w:p w:rsidR="00212513" w:rsidRDefault="00212513">
      <w:pPr>
        <w:pStyle w:val="ConsPlusNormal"/>
        <w:jc w:val="center"/>
      </w:pPr>
      <w:r>
        <w:rPr>
          <w:noProof/>
          <w:position w:val="-43"/>
        </w:rPr>
        <w:drawing>
          <wp:inline distT="0" distB="0" distL="0" distR="0">
            <wp:extent cx="1173480" cy="691515"/>
            <wp:effectExtent l="0" t="0" r="0" b="0"/>
            <wp:docPr id="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1173480" cy="691515"/>
                    </a:xfrm>
                    <a:prstGeom prst="rect">
                      <a:avLst/>
                    </a:prstGeom>
                    <a:noFill/>
                    <a:ln>
                      <a:noFill/>
                    </a:ln>
                  </pic:spPr>
                </pic:pic>
              </a:graphicData>
            </a:graphic>
          </wp:inline>
        </w:drawing>
      </w:r>
      <w:r>
        <w:t>, (7.15)</w:t>
      </w:r>
    </w:p>
    <w:p w:rsidR="00212513" w:rsidRDefault="00212513">
      <w:pPr>
        <w:pStyle w:val="ConsPlusNormal"/>
        <w:jc w:val="center"/>
      </w:pPr>
    </w:p>
    <w:p w:rsidR="00212513" w:rsidRDefault="00212513">
      <w:pPr>
        <w:pStyle w:val="ConsPlusNormal"/>
        <w:ind w:firstLine="540"/>
        <w:jc w:val="both"/>
      </w:pPr>
      <w:r>
        <w:t xml:space="preserve">где </w:t>
      </w:r>
      <w:r>
        <w:rPr>
          <w:noProof/>
          <w:position w:val="-8"/>
        </w:rPr>
        <w:drawing>
          <wp:inline distT="0" distB="0" distL="0" distR="0">
            <wp:extent cx="230505" cy="251460"/>
            <wp:effectExtent l="0" t="0" r="0" b="0"/>
            <wp:docPr id="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230505" cy="251460"/>
                    </a:xfrm>
                    <a:prstGeom prst="rect">
                      <a:avLst/>
                    </a:prstGeom>
                    <a:noFill/>
                    <a:ln>
                      <a:noFill/>
                    </a:ln>
                  </pic:spPr>
                </pic:pic>
              </a:graphicData>
            </a:graphic>
          </wp:inline>
        </w:drawing>
      </w:r>
      <w:r>
        <w:t xml:space="preserve"> - коэффициент продольного изгиба, учитывающий воздействие временной нагрузки;</w:t>
      </w:r>
    </w:p>
    <w:p w:rsidR="00212513" w:rsidRDefault="00212513">
      <w:pPr>
        <w:pStyle w:val="ConsPlusNormal"/>
        <w:spacing w:before="220"/>
        <w:ind w:firstLine="540"/>
        <w:jc w:val="both"/>
      </w:pPr>
      <w:r>
        <w:rPr>
          <w:noProof/>
          <w:position w:val="-8"/>
        </w:rPr>
        <w:drawing>
          <wp:inline distT="0" distB="0" distL="0" distR="0">
            <wp:extent cx="188595" cy="251460"/>
            <wp:effectExtent l="0" t="0" r="0" b="0"/>
            <wp:docPr id="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 то же, постоянных нагрузок;</w:t>
      </w:r>
    </w:p>
    <w:p w:rsidR="00212513" w:rsidRDefault="00212513">
      <w:pPr>
        <w:pStyle w:val="ConsPlusNormal"/>
        <w:spacing w:before="220"/>
        <w:ind w:firstLine="540"/>
        <w:jc w:val="both"/>
      </w:pPr>
      <w:r>
        <w:rPr>
          <w:noProof/>
          <w:position w:val="-8"/>
        </w:rPr>
        <w:drawing>
          <wp:inline distT="0" distB="0" distL="0" distR="0">
            <wp:extent cx="209550" cy="251460"/>
            <wp:effectExtent l="0" t="0" r="0" b="0"/>
            <wp:docPr id="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расчетное продольное усилие от постоянной нагрузки с учетом усилия в напрягаемой арматуре, не имеющей сцепления с бетоном;</w:t>
      </w:r>
    </w:p>
    <w:p w:rsidR="00212513" w:rsidRDefault="00212513">
      <w:pPr>
        <w:pStyle w:val="ConsPlusNormal"/>
        <w:spacing w:before="220"/>
        <w:ind w:firstLine="540"/>
        <w:jc w:val="both"/>
      </w:pPr>
      <w:r>
        <w:rPr>
          <w:noProof/>
          <w:position w:val="-8"/>
        </w:rPr>
        <w:drawing>
          <wp:inline distT="0" distB="0" distL="0" distR="0">
            <wp:extent cx="251460" cy="251460"/>
            <wp:effectExtent l="0" t="0" r="0" b="0"/>
            <wp:docPr id="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расчетное продольное усилие от временной нагрузки;</w:t>
      </w:r>
    </w:p>
    <w:p w:rsidR="00212513" w:rsidRDefault="00212513">
      <w:pPr>
        <w:pStyle w:val="ConsPlusNormal"/>
        <w:spacing w:before="220"/>
        <w:ind w:firstLine="540"/>
        <w:jc w:val="both"/>
      </w:pPr>
      <w:r>
        <w:rPr>
          <w:noProof/>
          <w:position w:val="-8"/>
        </w:rPr>
        <w:drawing>
          <wp:inline distT="0" distB="0" distL="0" distR="0">
            <wp:extent cx="902970" cy="251460"/>
            <wp:effectExtent l="0" t="0" r="0" b="0"/>
            <wp:docPr id="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902970" cy="251460"/>
                    </a:xfrm>
                    <a:prstGeom prst="rect">
                      <a:avLst/>
                    </a:prstGeom>
                    <a:noFill/>
                    <a:ln>
                      <a:noFill/>
                    </a:ln>
                  </pic:spPr>
                </pic:pic>
              </a:graphicData>
            </a:graphic>
          </wp:inline>
        </w:drawing>
      </w:r>
      <w:r>
        <w:t xml:space="preserve"> - полное расчетное продольное усилие.</w:t>
      </w:r>
    </w:p>
    <w:p w:rsidR="00212513" w:rsidRDefault="00212513">
      <w:pPr>
        <w:pStyle w:val="ConsPlusNormal"/>
        <w:spacing w:before="220"/>
        <w:ind w:firstLine="540"/>
        <w:jc w:val="both"/>
      </w:pPr>
      <w:r>
        <w:t xml:space="preserve">Значения коэффициентов </w:t>
      </w:r>
      <w:r>
        <w:rPr>
          <w:noProof/>
          <w:position w:val="-8"/>
        </w:rPr>
        <w:drawing>
          <wp:inline distT="0" distB="0" distL="0" distR="0">
            <wp:extent cx="230505" cy="251460"/>
            <wp:effectExtent l="0" t="0" r="0" b="0"/>
            <wp:docPr id="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230505" cy="251460"/>
                    </a:xfrm>
                    <a:prstGeom prst="rect">
                      <a:avLst/>
                    </a:prstGeom>
                    <a:noFill/>
                    <a:ln>
                      <a:noFill/>
                    </a:ln>
                  </pic:spPr>
                </pic:pic>
              </a:graphicData>
            </a:graphic>
          </wp:inline>
        </w:drawing>
      </w:r>
      <w:r>
        <w:t xml:space="preserve"> и </w:t>
      </w:r>
      <w:r>
        <w:rPr>
          <w:noProof/>
          <w:position w:val="-8"/>
        </w:rPr>
        <w:drawing>
          <wp:inline distT="0" distB="0" distL="0" distR="0">
            <wp:extent cx="188595" cy="251460"/>
            <wp:effectExtent l="0" t="0" r="0" b="0"/>
            <wp:docPr id="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при вычислении которых учтены также значения случайных эксцентриситетов по </w:t>
      </w:r>
      <w:hyperlink w:anchor="P3904">
        <w:r>
          <w:rPr>
            <w:color w:val="0000FF"/>
          </w:rPr>
          <w:t>7.52</w:t>
        </w:r>
      </w:hyperlink>
      <w:r>
        <w:t xml:space="preserve">, следует принимать для железобетонных элементов по таблице 7.21, для бетонных элементов - по </w:t>
      </w:r>
      <w:hyperlink w:anchor="P4322">
        <w:r>
          <w:rPr>
            <w:color w:val="0000FF"/>
          </w:rPr>
          <w:t>таблице 7.22</w:t>
        </w:r>
      </w:hyperlink>
      <w:r>
        <w:t>.</w:t>
      </w:r>
    </w:p>
    <w:p w:rsidR="00212513" w:rsidRDefault="00212513">
      <w:pPr>
        <w:pStyle w:val="ConsPlusNormal"/>
        <w:ind w:firstLine="540"/>
        <w:jc w:val="both"/>
      </w:pPr>
    </w:p>
    <w:p w:rsidR="00212513" w:rsidRDefault="00212513">
      <w:pPr>
        <w:pStyle w:val="ConsPlusNormal"/>
        <w:jc w:val="right"/>
      </w:pPr>
      <w:bookmarkStart w:id="154" w:name="P4000"/>
      <w:bookmarkEnd w:id="154"/>
      <w:r>
        <w:t>Таблица 7.21</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6"/>
        <w:gridCol w:w="906"/>
        <w:gridCol w:w="907"/>
        <w:gridCol w:w="1310"/>
        <w:gridCol w:w="1310"/>
        <w:gridCol w:w="1310"/>
        <w:gridCol w:w="1311"/>
        <w:gridCol w:w="1077"/>
      </w:tblGrid>
      <w:tr w:rsidR="00212513">
        <w:tc>
          <w:tcPr>
            <w:tcW w:w="2719" w:type="dxa"/>
            <w:gridSpan w:val="3"/>
            <w:vMerge w:val="restart"/>
            <w:tcBorders>
              <w:top w:val="single" w:sz="4" w:space="0" w:color="auto"/>
              <w:bottom w:val="single" w:sz="4" w:space="0" w:color="auto"/>
            </w:tcBorders>
            <w:vAlign w:val="center"/>
          </w:tcPr>
          <w:p w:rsidR="00212513" w:rsidRDefault="00212513">
            <w:pPr>
              <w:pStyle w:val="ConsPlusNormal"/>
              <w:jc w:val="center"/>
            </w:pPr>
            <w:r>
              <w:t>Характеристики гибкости элемента</w:t>
            </w:r>
          </w:p>
        </w:tc>
        <w:tc>
          <w:tcPr>
            <w:tcW w:w="6318" w:type="dxa"/>
            <w:gridSpan w:val="5"/>
            <w:tcBorders>
              <w:top w:val="single" w:sz="4" w:space="0" w:color="auto"/>
              <w:bottom w:val="single" w:sz="4" w:space="0" w:color="auto"/>
            </w:tcBorders>
            <w:vAlign w:val="center"/>
          </w:tcPr>
          <w:p w:rsidR="00212513" w:rsidRDefault="00212513">
            <w:pPr>
              <w:pStyle w:val="ConsPlusNormal"/>
              <w:jc w:val="center"/>
            </w:pPr>
            <w:r>
              <w:t>Коэффициенты продольного изгиба</w:t>
            </w:r>
          </w:p>
        </w:tc>
      </w:tr>
      <w:tr w:rsidR="00212513">
        <w:tc>
          <w:tcPr>
            <w:tcW w:w="2719" w:type="dxa"/>
            <w:gridSpan w:val="3"/>
            <w:vMerge/>
            <w:tcBorders>
              <w:top w:val="single" w:sz="4" w:space="0" w:color="auto"/>
              <w:bottom w:val="single" w:sz="4" w:space="0" w:color="auto"/>
            </w:tcBorders>
          </w:tcPr>
          <w:p w:rsidR="00212513" w:rsidRDefault="00212513">
            <w:pPr>
              <w:pStyle w:val="ConsPlusNormal"/>
            </w:pPr>
          </w:p>
        </w:tc>
        <w:tc>
          <w:tcPr>
            <w:tcW w:w="5241" w:type="dxa"/>
            <w:gridSpan w:val="4"/>
            <w:tcBorders>
              <w:top w:val="single" w:sz="4" w:space="0" w:color="auto"/>
              <w:bottom w:val="single" w:sz="4" w:space="0" w:color="auto"/>
            </w:tcBorders>
            <w:vAlign w:val="center"/>
          </w:tcPr>
          <w:p w:rsidR="00212513" w:rsidRDefault="00212513">
            <w:pPr>
              <w:pStyle w:val="ConsPlusNormal"/>
              <w:jc w:val="center"/>
            </w:pPr>
            <w:r>
              <w:rPr>
                <w:noProof/>
                <w:position w:val="-8"/>
              </w:rPr>
              <w:drawing>
                <wp:inline distT="0" distB="0" distL="0" distR="0">
                  <wp:extent cx="220345" cy="251460"/>
                  <wp:effectExtent l="0" t="0" r="0" b="0"/>
                  <wp:docPr id="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220345" cy="251460"/>
                          </a:xfrm>
                          <a:prstGeom prst="rect">
                            <a:avLst/>
                          </a:prstGeom>
                          <a:noFill/>
                          <a:ln>
                            <a:noFill/>
                          </a:ln>
                        </pic:spPr>
                      </pic:pic>
                    </a:graphicData>
                  </a:graphic>
                </wp:inline>
              </w:drawing>
            </w:r>
            <w:r>
              <w:t xml:space="preserve"> при относительных эксцентриситетах </w:t>
            </w:r>
            <w:r>
              <w:rPr>
                <w:noProof/>
                <w:position w:val="-8"/>
              </w:rPr>
              <w:drawing>
                <wp:inline distT="0" distB="0" distL="0" distR="0">
                  <wp:extent cx="335280" cy="251460"/>
                  <wp:effectExtent l="0" t="0" r="0" b="0"/>
                  <wp:docPr id="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p>
        </w:tc>
        <w:tc>
          <w:tcPr>
            <w:tcW w:w="1077" w:type="dxa"/>
            <w:vMerge w:val="restart"/>
            <w:tcBorders>
              <w:top w:val="single" w:sz="4" w:space="0" w:color="auto"/>
              <w:bottom w:val="single" w:sz="4" w:space="0" w:color="auto"/>
            </w:tcBorders>
            <w:vAlign w:val="center"/>
          </w:tcPr>
          <w:p w:rsidR="00212513" w:rsidRDefault="00212513">
            <w:pPr>
              <w:pStyle w:val="ConsPlusNormal"/>
              <w:jc w:val="center"/>
            </w:pPr>
            <w:r>
              <w:rPr>
                <w:noProof/>
                <w:position w:val="-8"/>
              </w:rPr>
              <w:drawing>
                <wp:inline distT="0" distB="0" distL="0" distR="0">
                  <wp:extent cx="187960" cy="251460"/>
                  <wp:effectExtent l="0" t="0" r="0" b="0"/>
                  <wp:docPr id="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187960" cy="251460"/>
                          </a:xfrm>
                          <a:prstGeom prst="rect">
                            <a:avLst/>
                          </a:prstGeom>
                          <a:noFill/>
                          <a:ln>
                            <a:noFill/>
                          </a:ln>
                        </pic:spPr>
                      </pic:pic>
                    </a:graphicData>
                  </a:graphic>
                </wp:inline>
              </w:drawing>
            </w:r>
          </w:p>
        </w:tc>
      </w:tr>
      <w:tr w:rsidR="00212513">
        <w:tc>
          <w:tcPr>
            <w:tcW w:w="906" w:type="dxa"/>
            <w:tcBorders>
              <w:top w:val="single" w:sz="4" w:space="0" w:color="auto"/>
              <w:bottom w:val="single" w:sz="4" w:space="0" w:color="auto"/>
            </w:tcBorders>
            <w:vAlign w:val="center"/>
          </w:tcPr>
          <w:p w:rsidR="00212513" w:rsidRDefault="00212513">
            <w:pPr>
              <w:pStyle w:val="ConsPlusNormal"/>
              <w:jc w:val="center"/>
            </w:pPr>
            <w:r>
              <w:rPr>
                <w:noProof/>
                <w:position w:val="-8"/>
              </w:rPr>
              <w:drawing>
                <wp:inline distT="0" distB="0" distL="0" distR="0">
                  <wp:extent cx="325120" cy="251460"/>
                  <wp:effectExtent l="0" t="0" r="0" b="0"/>
                  <wp:docPr id="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325120" cy="251460"/>
                          </a:xfrm>
                          <a:prstGeom prst="rect">
                            <a:avLst/>
                          </a:prstGeom>
                          <a:noFill/>
                          <a:ln>
                            <a:noFill/>
                          </a:ln>
                        </pic:spPr>
                      </pic:pic>
                    </a:graphicData>
                  </a:graphic>
                </wp:inline>
              </w:drawing>
            </w:r>
          </w:p>
        </w:tc>
        <w:tc>
          <w:tcPr>
            <w:tcW w:w="906" w:type="dxa"/>
            <w:tcBorders>
              <w:top w:val="single" w:sz="4" w:space="0" w:color="auto"/>
              <w:bottom w:val="single" w:sz="4" w:space="0" w:color="auto"/>
            </w:tcBorders>
            <w:vAlign w:val="center"/>
          </w:tcPr>
          <w:p w:rsidR="00212513" w:rsidRDefault="00212513">
            <w:pPr>
              <w:pStyle w:val="ConsPlusNormal"/>
              <w:jc w:val="center"/>
            </w:pPr>
            <w:r>
              <w:rPr>
                <w:noProof/>
                <w:position w:val="-8"/>
              </w:rPr>
              <w:drawing>
                <wp:inline distT="0" distB="0" distL="0" distR="0">
                  <wp:extent cx="335280" cy="251460"/>
                  <wp:effectExtent l="0" t="0" r="0" b="0"/>
                  <wp:docPr id="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p>
        </w:tc>
        <w:tc>
          <w:tcPr>
            <w:tcW w:w="907" w:type="dxa"/>
            <w:tcBorders>
              <w:top w:val="single" w:sz="4" w:space="0" w:color="auto"/>
              <w:bottom w:val="single" w:sz="4" w:space="0" w:color="auto"/>
            </w:tcBorders>
            <w:vAlign w:val="center"/>
          </w:tcPr>
          <w:p w:rsidR="00212513" w:rsidRDefault="00212513">
            <w:pPr>
              <w:pStyle w:val="ConsPlusNormal"/>
              <w:jc w:val="center"/>
            </w:pPr>
            <w:r>
              <w:rPr>
                <w:noProof/>
                <w:position w:val="-8"/>
              </w:rPr>
              <w:drawing>
                <wp:inline distT="0" distB="0" distL="0" distR="0">
                  <wp:extent cx="283210" cy="251460"/>
                  <wp:effectExtent l="0" t="0" r="0" b="0"/>
                  <wp:docPr id="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83210" cy="251460"/>
                          </a:xfrm>
                          <a:prstGeom prst="rect">
                            <a:avLst/>
                          </a:prstGeom>
                          <a:noFill/>
                          <a:ln>
                            <a:noFill/>
                          </a:ln>
                        </pic:spPr>
                      </pic:pic>
                    </a:graphicData>
                  </a:graphic>
                </wp:inline>
              </w:drawing>
            </w:r>
          </w:p>
        </w:tc>
        <w:tc>
          <w:tcPr>
            <w:tcW w:w="1310" w:type="dxa"/>
            <w:tcBorders>
              <w:top w:val="single" w:sz="4" w:space="0" w:color="auto"/>
              <w:bottom w:val="single" w:sz="4" w:space="0" w:color="auto"/>
            </w:tcBorders>
            <w:vAlign w:val="center"/>
          </w:tcPr>
          <w:p w:rsidR="00212513" w:rsidRDefault="00212513">
            <w:pPr>
              <w:pStyle w:val="ConsPlusNormal"/>
              <w:jc w:val="center"/>
            </w:pPr>
            <w:r>
              <w:t>0</w:t>
            </w:r>
          </w:p>
        </w:tc>
        <w:tc>
          <w:tcPr>
            <w:tcW w:w="1310" w:type="dxa"/>
            <w:tcBorders>
              <w:top w:val="single" w:sz="4" w:space="0" w:color="auto"/>
              <w:bottom w:val="single" w:sz="4" w:space="0" w:color="auto"/>
            </w:tcBorders>
            <w:vAlign w:val="center"/>
          </w:tcPr>
          <w:p w:rsidR="00212513" w:rsidRDefault="00212513">
            <w:pPr>
              <w:pStyle w:val="ConsPlusNormal"/>
              <w:jc w:val="center"/>
            </w:pPr>
            <w:r>
              <w:t>0,25</w:t>
            </w:r>
          </w:p>
        </w:tc>
        <w:tc>
          <w:tcPr>
            <w:tcW w:w="1310" w:type="dxa"/>
            <w:tcBorders>
              <w:top w:val="single" w:sz="4" w:space="0" w:color="auto"/>
              <w:bottom w:val="single" w:sz="4" w:space="0" w:color="auto"/>
            </w:tcBorders>
            <w:vAlign w:val="center"/>
          </w:tcPr>
          <w:p w:rsidR="00212513" w:rsidRDefault="00212513">
            <w:pPr>
              <w:pStyle w:val="ConsPlusNormal"/>
              <w:jc w:val="center"/>
            </w:pPr>
            <w:r>
              <w:t>0,50</w:t>
            </w:r>
          </w:p>
        </w:tc>
        <w:tc>
          <w:tcPr>
            <w:tcW w:w="1311" w:type="dxa"/>
            <w:tcBorders>
              <w:top w:val="single" w:sz="4" w:space="0" w:color="auto"/>
              <w:bottom w:val="single" w:sz="4" w:space="0" w:color="auto"/>
            </w:tcBorders>
            <w:vAlign w:val="center"/>
          </w:tcPr>
          <w:p w:rsidR="00212513" w:rsidRDefault="00212513">
            <w:pPr>
              <w:pStyle w:val="ConsPlusNormal"/>
              <w:jc w:val="center"/>
            </w:pPr>
            <w:r>
              <w:t>1,00</w:t>
            </w:r>
          </w:p>
        </w:tc>
        <w:tc>
          <w:tcPr>
            <w:tcW w:w="1077" w:type="dxa"/>
            <w:vMerge/>
            <w:tcBorders>
              <w:top w:val="single" w:sz="4" w:space="0" w:color="auto"/>
              <w:bottom w:val="single" w:sz="4" w:space="0" w:color="auto"/>
            </w:tcBorders>
          </w:tcPr>
          <w:p w:rsidR="00212513" w:rsidRDefault="00212513">
            <w:pPr>
              <w:pStyle w:val="ConsPlusNormal"/>
            </w:pPr>
          </w:p>
        </w:tc>
      </w:tr>
      <w:tr w:rsidR="00212513">
        <w:tblPrEx>
          <w:tblBorders>
            <w:insideH w:val="none" w:sz="0" w:space="0" w:color="auto"/>
          </w:tblBorders>
        </w:tblPrEx>
        <w:tc>
          <w:tcPr>
            <w:tcW w:w="906" w:type="dxa"/>
            <w:tcBorders>
              <w:top w:val="single" w:sz="4" w:space="0" w:color="auto"/>
              <w:bottom w:val="nil"/>
            </w:tcBorders>
            <w:vAlign w:val="center"/>
          </w:tcPr>
          <w:p w:rsidR="00212513" w:rsidRDefault="00212513">
            <w:pPr>
              <w:pStyle w:val="ConsPlusNormal"/>
              <w:jc w:val="center"/>
            </w:pPr>
            <w:r>
              <w:t>4</w:t>
            </w:r>
          </w:p>
        </w:tc>
        <w:tc>
          <w:tcPr>
            <w:tcW w:w="906" w:type="dxa"/>
            <w:tcBorders>
              <w:top w:val="single" w:sz="4" w:space="0" w:color="auto"/>
              <w:bottom w:val="nil"/>
            </w:tcBorders>
            <w:vAlign w:val="center"/>
          </w:tcPr>
          <w:p w:rsidR="00212513" w:rsidRDefault="00212513">
            <w:pPr>
              <w:pStyle w:val="ConsPlusNormal"/>
              <w:jc w:val="center"/>
            </w:pPr>
            <w:r>
              <w:t>3,5</w:t>
            </w:r>
          </w:p>
        </w:tc>
        <w:tc>
          <w:tcPr>
            <w:tcW w:w="907" w:type="dxa"/>
            <w:tcBorders>
              <w:top w:val="single" w:sz="4" w:space="0" w:color="auto"/>
              <w:bottom w:val="nil"/>
            </w:tcBorders>
            <w:vAlign w:val="center"/>
          </w:tcPr>
          <w:p w:rsidR="00212513" w:rsidRDefault="00212513">
            <w:pPr>
              <w:pStyle w:val="ConsPlusNormal"/>
              <w:jc w:val="center"/>
            </w:pPr>
            <w:r>
              <w:t>14</w:t>
            </w:r>
          </w:p>
        </w:tc>
        <w:tc>
          <w:tcPr>
            <w:tcW w:w="1310" w:type="dxa"/>
            <w:tcBorders>
              <w:top w:val="single" w:sz="4" w:space="0" w:color="auto"/>
              <w:bottom w:val="nil"/>
            </w:tcBorders>
          </w:tcPr>
          <w:p w:rsidR="00212513" w:rsidRDefault="00212513">
            <w:pPr>
              <w:pStyle w:val="ConsPlusNormal"/>
              <w:jc w:val="center"/>
            </w:pPr>
            <w:r>
              <w:t>1</w:t>
            </w:r>
          </w:p>
          <w:p w:rsidR="00212513" w:rsidRDefault="00212513">
            <w:pPr>
              <w:pStyle w:val="ConsPlusNormal"/>
              <w:jc w:val="center"/>
            </w:pPr>
            <w:r>
              <w:t>---</w:t>
            </w:r>
          </w:p>
          <w:p w:rsidR="00212513" w:rsidRDefault="00212513">
            <w:pPr>
              <w:pStyle w:val="ConsPlusNormal"/>
              <w:jc w:val="center"/>
            </w:pPr>
            <w:r>
              <w:t>1</w:t>
            </w:r>
          </w:p>
        </w:tc>
        <w:tc>
          <w:tcPr>
            <w:tcW w:w="1310" w:type="dxa"/>
            <w:tcBorders>
              <w:top w:val="single" w:sz="4" w:space="0" w:color="auto"/>
              <w:bottom w:val="nil"/>
            </w:tcBorders>
          </w:tcPr>
          <w:p w:rsidR="00212513" w:rsidRDefault="00212513">
            <w:pPr>
              <w:pStyle w:val="ConsPlusNormal"/>
              <w:jc w:val="center"/>
            </w:pPr>
            <w:r>
              <w:t>0,90</w:t>
            </w:r>
          </w:p>
          <w:p w:rsidR="00212513" w:rsidRDefault="00212513">
            <w:pPr>
              <w:pStyle w:val="ConsPlusNormal"/>
              <w:jc w:val="center"/>
            </w:pPr>
            <w:r>
              <w:t>-----</w:t>
            </w:r>
          </w:p>
          <w:p w:rsidR="00212513" w:rsidRDefault="00212513">
            <w:pPr>
              <w:pStyle w:val="ConsPlusNormal"/>
              <w:jc w:val="center"/>
            </w:pPr>
            <w:r>
              <w:t>0,90</w:t>
            </w:r>
          </w:p>
        </w:tc>
        <w:tc>
          <w:tcPr>
            <w:tcW w:w="1310" w:type="dxa"/>
            <w:tcBorders>
              <w:top w:val="single" w:sz="4" w:space="0" w:color="auto"/>
              <w:bottom w:val="nil"/>
            </w:tcBorders>
          </w:tcPr>
          <w:p w:rsidR="00212513" w:rsidRDefault="00212513">
            <w:pPr>
              <w:pStyle w:val="ConsPlusNormal"/>
              <w:jc w:val="center"/>
            </w:pPr>
            <w:r>
              <w:t>0,81</w:t>
            </w:r>
          </w:p>
          <w:p w:rsidR="00212513" w:rsidRDefault="00212513">
            <w:pPr>
              <w:pStyle w:val="ConsPlusNormal"/>
              <w:jc w:val="center"/>
            </w:pPr>
            <w:r>
              <w:t>-----</w:t>
            </w:r>
          </w:p>
          <w:p w:rsidR="00212513" w:rsidRDefault="00212513">
            <w:pPr>
              <w:pStyle w:val="ConsPlusNormal"/>
              <w:jc w:val="center"/>
            </w:pPr>
            <w:r>
              <w:t>0,81</w:t>
            </w:r>
          </w:p>
        </w:tc>
        <w:tc>
          <w:tcPr>
            <w:tcW w:w="1311" w:type="dxa"/>
            <w:tcBorders>
              <w:top w:val="single" w:sz="4" w:space="0" w:color="auto"/>
              <w:bottom w:val="nil"/>
            </w:tcBorders>
          </w:tcPr>
          <w:p w:rsidR="00212513" w:rsidRDefault="00212513">
            <w:pPr>
              <w:pStyle w:val="ConsPlusNormal"/>
              <w:jc w:val="center"/>
            </w:pPr>
            <w:r>
              <w:t>0,69</w:t>
            </w:r>
          </w:p>
          <w:p w:rsidR="00212513" w:rsidRDefault="00212513">
            <w:pPr>
              <w:pStyle w:val="ConsPlusNormal"/>
              <w:jc w:val="center"/>
            </w:pPr>
            <w:r>
              <w:t>-----</w:t>
            </w:r>
          </w:p>
          <w:p w:rsidR="00212513" w:rsidRDefault="00212513">
            <w:pPr>
              <w:pStyle w:val="ConsPlusNormal"/>
              <w:jc w:val="center"/>
            </w:pPr>
            <w:r>
              <w:t>0,69</w:t>
            </w:r>
          </w:p>
        </w:tc>
        <w:tc>
          <w:tcPr>
            <w:tcW w:w="1077" w:type="dxa"/>
            <w:tcBorders>
              <w:top w:val="single" w:sz="4" w:space="0" w:color="auto"/>
              <w:bottom w:val="nil"/>
            </w:tcBorders>
            <w:vAlign w:val="center"/>
          </w:tcPr>
          <w:p w:rsidR="00212513" w:rsidRDefault="00212513">
            <w:pPr>
              <w:pStyle w:val="ConsPlusNormal"/>
              <w:jc w:val="center"/>
            </w:pPr>
            <w:r>
              <w:t>1</w:t>
            </w:r>
          </w:p>
        </w:tc>
      </w:tr>
      <w:tr w:rsidR="00212513">
        <w:tblPrEx>
          <w:tblBorders>
            <w:insideH w:val="none" w:sz="0" w:space="0" w:color="auto"/>
          </w:tblBorders>
        </w:tblPrEx>
        <w:tc>
          <w:tcPr>
            <w:tcW w:w="906" w:type="dxa"/>
            <w:tcBorders>
              <w:top w:val="nil"/>
              <w:bottom w:val="nil"/>
            </w:tcBorders>
            <w:vAlign w:val="center"/>
          </w:tcPr>
          <w:p w:rsidR="00212513" w:rsidRDefault="00212513">
            <w:pPr>
              <w:pStyle w:val="ConsPlusNormal"/>
              <w:jc w:val="center"/>
            </w:pPr>
            <w:r>
              <w:t>10</w:t>
            </w:r>
          </w:p>
        </w:tc>
        <w:tc>
          <w:tcPr>
            <w:tcW w:w="906" w:type="dxa"/>
            <w:tcBorders>
              <w:top w:val="nil"/>
              <w:bottom w:val="nil"/>
            </w:tcBorders>
            <w:vAlign w:val="center"/>
          </w:tcPr>
          <w:p w:rsidR="00212513" w:rsidRDefault="00212513">
            <w:pPr>
              <w:pStyle w:val="ConsPlusNormal"/>
              <w:jc w:val="center"/>
            </w:pPr>
            <w:r>
              <w:t>8,7</w:t>
            </w:r>
          </w:p>
        </w:tc>
        <w:tc>
          <w:tcPr>
            <w:tcW w:w="907" w:type="dxa"/>
            <w:tcBorders>
              <w:top w:val="nil"/>
              <w:bottom w:val="nil"/>
            </w:tcBorders>
            <w:vAlign w:val="center"/>
          </w:tcPr>
          <w:p w:rsidR="00212513" w:rsidRDefault="00212513">
            <w:pPr>
              <w:pStyle w:val="ConsPlusNormal"/>
              <w:jc w:val="center"/>
            </w:pPr>
            <w:r>
              <w:t>35</w:t>
            </w:r>
          </w:p>
        </w:tc>
        <w:tc>
          <w:tcPr>
            <w:tcW w:w="1310" w:type="dxa"/>
            <w:tcBorders>
              <w:top w:val="nil"/>
              <w:bottom w:val="nil"/>
            </w:tcBorders>
          </w:tcPr>
          <w:p w:rsidR="00212513" w:rsidRDefault="00212513">
            <w:pPr>
              <w:pStyle w:val="ConsPlusNormal"/>
              <w:jc w:val="center"/>
            </w:pPr>
            <w:r>
              <w:t>1</w:t>
            </w:r>
          </w:p>
          <w:p w:rsidR="00212513" w:rsidRDefault="00212513">
            <w:pPr>
              <w:pStyle w:val="ConsPlusNormal"/>
              <w:jc w:val="center"/>
            </w:pPr>
            <w:r>
              <w:t>---</w:t>
            </w:r>
          </w:p>
          <w:p w:rsidR="00212513" w:rsidRDefault="00212513">
            <w:pPr>
              <w:pStyle w:val="ConsPlusNormal"/>
              <w:jc w:val="center"/>
            </w:pPr>
            <w:r>
              <w:t>1</w:t>
            </w:r>
          </w:p>
        </w:tc>
        <w:tc>
          <w:tcPr>
            <w:tcW w:w="1310" w:type="dxa"/>
            <w:tcBorders>
              <w:top w:val="nil"/>
              <w:bottom w:val="nil"/>
            </w:tcBorders>
          </w:tcPr>
          <w:p w:rsidR="00212513" w:rsidRDefault="00212513">
            <w:pPr>
              <w:pStyle w:val="ConsPlusNormal"/>
              <w:jc w:val="center"/>
            </w:pPr>
            <w:r>
              <w:t>0,86</w:t>
            </w:r>
          </w:p>
          <w:p w:rsidR="00212513" w:rsidRDefault="00212513">
            <w:pPr>
              <w:pStyle w:val="ConsPlusNormal"/>
              <w:jc w:val="center"/>
            </w:pPr>
            <w:r>
              <w:t>-----</w:t>
            </w:r>
          </w:p>
          <w:p w:rsidR="00212513" w:rsidRDefault="00212513">
            <w:pPr>
              <w:pStyle w:val="ConsPlusNormal"/>
              <w:jc w:val="center"/>
            </w:pPr>
            <w:r>
              <w:t>0,86</w:t>
            </w:r>
          </w:p>
        </w:tc>
        <w:tc>
          <w:tcPr>
            <w:tcW w:w="1310" w:type="dxa"/>
            <w:tcBorders>
              <w:top w:val="nil"/>
              <w:bottom w:val="nil"/>
            </w:tcBorders>
          </w:tcPr>
          <w:p w:rsidR="00212513" w:rsidRDefault="00212513">
            <w:pPr>
              <w:pStyle w:val="ConsPlusNormal"/>
              <w:jc w:val="center"/>
            </w:pPr>
            <w:r>
              <w:t>0,77</w:t>
            </w:r>
          </w:p>
          <w:p w:rsidR="00212513" w:rsidRDefault="00212513">
            <w:pPr>
              <w:pStyle w:val="ConsPlusNormal"/>
              <w:jc w:val="center"/>
            </w:pPr>
            <w:r>
              <w:t>-----</w:t>
            </w:r>
          </w:p>
          <w:p w:rsidR="00212513" w:rsidRDefault="00212513">
            <w:pPr>
              <w:pStyle w:val="ConsPlusNormal"/>
              <w:jc w:val="center"/>
            </w:pPr>
            <w:r>
              <w:t>0,77</w:t>
            </w:r>
          </w:p>
        </w:tc>
        <w:tc>
          <w:tcPr>
            <w:tcW w:w="1311" w:type="dxa"/>
            <w:tcBorders>
              <w:top w:val="nil"/>
              <w:bottom w:val="nil"/>
            </w:tcBorders>
          </w:tcPr>
          <w:p w:rsidR="00212513" w:rsidRDefault="00212513">
            <w:pPr>
              <w:pStyle w:val="ConsPlusNormal"/>
              <w:jc w:val="center"/>
            </w:pPr>
            <w:r>
              <w:t>0,65</w:t>
            </w:r>
          </w:p>
          <w:p w:rsidR="00212513" w:rsidRDefault="00212513">
            <w:pPr>
              <w:pStyle w:val="ConsPlusNormal"/>
              <w:jc w:val="center"/>
            </w:pPr>
            <w:r>
              <w:t>-----</w:t>
            </w:r>
          </w:p>
          <w:p w:rsidR="00212513" w:rsidRDefault="00212513">
            <w:pPr>
              <w:pStyle w:val="ConsPlusNormal"/>
              <w:jc w:val="center"/>
            </w:pPr>
            <w:r>
              <w:t>0,65</w:t>
            </w:r>
          </w:p>
        </w:tc>
        <w:tc>
          <w:tcPr>
            <w:tcW w:w="1077" w:type="dxa"/>
            <w:tcBorders>
              <w:top w:val="nil"/>
              <w:bottom w:val="nil"/>
            </w:tcBorders>
            <w:vAlign w:val="center"/>
          </w:tcPr>
          <w:p w:rsidR="00212513" w:rsidRDefault="00212513">
            <w:pPr>
              <w:pStyle w:val="ConsPlusNormal"/>
              <w:jc w:val="center"/>
            </w:pPr>
            <w:r>
              <w:t>0,84</w:t>
            </w:r>
          </w:p>
        </w:tc>
      </w:tr>
      <w:tr w:rsidR="00212513">
        <w:tblPrEx>
          <w:tblBorders>
            <w:insideH w:val="none" w:sz="0" w:space="0" w:color="auto"/>
          </w:tblBorders>
        </w:tblPrEx>
        <w:tc>
          <w:tcPr>
            <w:tcW w:w="9037" w:type="dxa"/>
            <w:gridSpan w:val="8"/>
            <w:tcBorders>
              <w:top w:val="nil"/>
              <w:bottom w:val="nil"/>
            </w:tcBorders>
          </w:tcPr>
          <w:p w:rsidR="00212513" w:rsidRDefault="00212513">
            <w:pPr>
              <w:pStyle w:val="ConsPlusNormal"/>
              <w:jc w:val="both"/>
            </w:pPr>
            <w:r>
              <w:t xml:space="preserve">(в ред. </w:t>
            </w:r>
            <w:hyperlink r:id="rId843">
              <w:r>
                <w:rPr>
                  <w:color w:val="0000FF"/>
                </w:rPr>
                <w:t>Изменения N 1</w:t>
              </w:r>
            </w:hyperlink>
            <w:r>
              <w:t>, утв. Приказом Минстроя России от 03.12.2016 N 879/пр)</w:t>
            </w:r>
          </w:p>
        </w:tc>
      </w:tr>
      <w:tr w:rsidR="00212513">
        <w:tblPrEx>
          <w:tblBorders>
            <w:insideH w:val="none" w:sz="0" w:space="0" w:color="auto"/>
          </w:tblBorders>
        </w:tblPrEx>
        <w:tc>
          <w:tcPr>
            <w:tcW w:w="906" w:type="dxa"/>
            <w:tcBorders>
              <w:top w:val="nil"/>
              <w:bottom w:val="nil"/>
            </w:tcBorders>
            <w:vAlign w:val="center"/>
          </w:tcPr>
          <w:p w:rsidR="00212513" w:rsidRDefault="00212513">
            <w:pPr>
              <w:pStyle w:val="ConsPlusNormal"/>
              <w:jc w:val="center"/>
            </w:pPr>
            <w:r>
              <w:t>12</w:t>
            </w:r>
          </w:p>
        </w:tc>
        <w:tc>
          <w:tcPr>
            <w:tcW w:w="906" w:type="dxa"/>
            <w:tcBorders>
              <w:top w:val="nil"/>
              <w:bottom w:val="nil"/>
            </w:tcBorders>
            <w:vAlign w:val="center"/>
          </w:tcPr>
          <w:p w:rsidR="00212513" w:rsidRDefault="00212513">
            <w:pPr>
              <w:pStyle w:val="ConsPlusNormal"/>
              <w:jc w:val="center"/>
            </w:pPr>
            <w:r>
              <w:t>10,4</w:t>
            </w:r>
          </w:p>
        </w:tc>
        <w:tc>
          <w:tcPr>
            <w:tcW w:w="907" w:type="dxa"/>
            <w:tcBorders>
              <w:top w:val="nil"/>
              <w:bottom w:val="nil"/>
            </w:tcBorders>
            <w:vAlign w:val="center"/>
          </w:tcPr>
          <w:p w:rsidR="00212513" w:rsidRDefault="00212513">
            <w:pPr>
              <w:pStyle w:val="ConsPlusNormal"/>
              <w:jc w:val="center"/>
            </w:pPr>
            <w:r>
              <w:t>40</w:t>
            </w:r>
          </w:p>
        </w:tc>
        <w:tc>
          <w:tcPr>
            <w:tcW w:w="1310" w:type="dxa"/>
            <w:tcBorders>
              <w:top w:val="nil"/>
              <w:bottom w:val="nil"/>
            </w:tcBorders>
          </w:tcPr>
          <w:p w:rsidR="00212513" w:rsidRDefault="00212513">
            <w:pPr>
              <w:pStyle w:val="ConsPlusNormal"/>
              <w:jc w:val="center"/>
            </w:pPr>
            <w:r>
              <w:t>0,95</w:t>
            </w:r>
          </w:p>
          <w:p w:rsidR="00212513" w:rsidRDefault="00212513">
            <w:pPr>
              <w:pStyle w:val="ConsPlusNormal"/>
              <w:jc w:val="center"/>
            </w:pPr>
            <w:r>
              <w:t>-----</w:t>
            </w:r>
          </w:p>
          <w:p w:rsidR="00212513" w:rsidRDefault="00212513">
            <w:pPr>
              <w:pStyle w:val="ConsPlusNormal"/>
              <w:jc w:val="center"/>
            </w:pPr>
            <w:r>
              <w:t>0,95</w:t>
            </w:r>
          </w:p>
        </w:tc>
        <w:tc>
          <w:tcPr>
            <w:tcW w:w="1310" w:type="dxa"/>
            <w:tcBorders>
              <w:top w:val="nil"/>
              <w:bottom w:val="nil"/>
            </w:tcBorders>
          </w:tcPr>
          <w:p w:rsidR="00212513" w:rsidRDefault="00212513">
            <w:pPr>
              <w:pStyle w:val="ConsPlusNormal"/>
              <w:jc w:val="center"/>
            </w:pPr>
            <w:r>
              <w:t>0,83</w:t>
            </w:r>
          </w:p>
          <w:p w:rsidR="00212513" w:rsidRDefault="00212513">
            <w:pPr>
              <w:pStyle w:val="ConsPlusNormal"/>
              <w:jc w:val="center"/>
            </w:pPr>
            <w:r>
              <w:t>-----</w:t>
            </w:r>
          </w:p>
          <w:p w:rsidR="00212513" w:rsidRDefault="00212513">
            <w:pPr>
              <w:pStyle w:val="ConsPlusNormal"/>
              <w:jc w:val="center"/>
            </w:pPr>
            <w:r>
              <w:t>0,83</w:t>
            </w:r>
          </w:p>
        </w:tc>
        <w:tc>
          <w:tcPr>
            <w:tcW w:w="1310" w:type="dxa"/>
            <w:tcBorders>
              <w:top w:val="nil"/>
              <w:bottom w:val="nil"/>
            </w:tcBorders>
          </w:tcPr>
          <w:p w:rsidR="00212513" w:rsidRDefault="00212513">
            <w:pPr>
              <w:pStyle w:val="ConsPlusNormal"/>
              <w:jc w:val="center"/>
            </w:pPr>
            <w:r>
              <w:t>0,74</w:t>
            </w:r>
          </w:p>
          <w:p w:rsidR="00212513" w:rsidRDefault="00212513">
            <w:pPr>
              <w:pStyle w:val="ConsPlusNormal"/>
              <w:jc w:val="center"/>
            </w:pPr>
            <w:r>
              <w:t>-----</w:t>
            </w:r>
          </w:p>
          <w:p w:rsidR="00212513" w:rsidRDefault="00212513">
            <w:pPr>
              <w:pStyle w:val="ConsPlusNormal"/>
              <w:jc w:val="center"/>
            </w:pPr>
            <w:r>
              <w:t>0,74</w:t>
            </w:r>
          </w:p>
        </w:tc>
        <w:tc>
          <w:tcPr>
            <w:tcW w:w="1311" w:type="dxa"/>
            <w:tcBorders>
              <w:top w:val="nil"/>
              <w:bottom w:val="nil"/>
            </w:tcBorders>
          </w:tcPr>
          <w:p w:rsidR="00212513" w:rsidRDefault="00212513">
            <w:pPr>
              <w:pStyle w:val="ConsPlusNormal"/>
              <w:jc w:val="center"/>
            </w:pPr>
            <w:r>
              <w:t>0,62</w:t>
            </w:r>
          </w:p>
          <w:p w:rsidR="00212513" w:rsidRDefault="00212513">
            <w:pPr>
              <w:pStyle w:val="ConsPlusNormal"/>
              <w:jc w:val="center"/>
            </w:pPr>
            <w:r>
              <w:t>-----</w:t>
            </w:r>
          </w:p>
          <w:p w:rsidR="00212513" w:rsidRDefault="00212513">
            <w:pPr>
              <w:pStyle w:val="ConsPlusNormal"/>
              <w:jc w:val="center"/>
            </w:pPr>
            <w:r>
              <w:t>0,62</w:t>
            </w:r>
          </w:p>
        </w:tc>
        <w:tc>
          <w:tcPr>
            <w:tcW w:w="1077" w:type="dxa"/>
            <w:tcBorders>
              <w:top w:val="nil"/>
              <w:bottom w:val="nil"/>
            </w:tcBorders>
            <w:vAlign w:val="center"/>
          </w:tcPr>
          <w:p w:rsidR="00212513" w:rsidRDefault="00212513">
            <w:pPr>
              <w:pStyle w:val="ConsPlusNormal"/>
              <w:jc w:val="center"/>
            </w:pPr>
            <w:r>
              <w:t>0,79</w:t>
            </w:r>
          </w:p>
        </w:tc>
      </w:tr>
      <w:tr w:rsidR="00212513">
        <w:tblPrEx>
          <w:tblBorders>
            <w:insideH w:val="none" w:sz="0" w:space="0" w:color="auto"/>
          </w:tblBorders>
        </w:tblPrEx>
        <w:tc>
          <w:tcPr>
            <w:tcW w:w="906" w:type="dxa"/>
            <w:tcBorders>
              <w:top w:val="nil"/>
              <w:bottom w:val="nil"/>
            </w:tcBorders>
            <w:vAlign w:val="center"/>
          </w:tcPr>
          <w:p w:rsidR="00212513" w:rsidRDefault="00212513">
            <w:pPr>
              <w:pStyle w:val="ConsPlusNormal"/>
              <w:jc w:val="center"/>
            </w:pPr>
            <w:r>
              <w:t>14</w:t>
            </w:r>
          </w:p>
        </w:tc>
        <w:tc>
          <w:tcPr>
            <w:tcW w:w="906" w:type="dxa"/>
            <w:tcBorders>
              <w:top w:val="nil"/>
              <w:bottom w:val="nil"/>
            </w:tcBorders>
            <w:vAlign w:val="center"/>
          </w:tcPr>
          <w:p w:rsidR="00212513" w:rsidRDefault="00212513">
            <w:pPr>
              <w:pStyle w:val="ConsPlusNormal"/>
              <w:jc w:val="center"/>
            </w:pPr>
            <w:r>
              <w:t>12,1</w:t>
            </w:r>
          </w:p>
        </w:tc>
        <w:tc>
          <w:tcPr>
            <w:tcW w:w="907" w:type="dxa"/>
            <w:tcBorders>
              <w:top w:val="nil"/>
              <w:bottom w:val="nil"/>
            </w:tcBorders>
            <w:vAlign w:val="center"/>
          </w:tcPr>
          <w:p w:rsidR="00212513" w:rsidRDefault="00212513">
            <w:pPr>
              <w:pStyle w:val="ConsPlusNormal"/>
              <w:jc w:val="center"/>
            </w:pPr>
            <w:r>
              <w:t>48,5</w:t>
            </w:r>
          </w:p>
        </w:tc>
        <w:tc>
          <w:tcPr>
            <w:tcW w:w="1310" w:type="dxa"/>
            <w:tcBorders>
              <w:top w:val="nil"/>
              <w:bottom w:val="nil"/>
            </w:tcBorders>
          </w:tcPr>
          <w:p w:rsidR="00212513" w:rsidRDefault="00212513">
            <w:pPr>
              <w:pStyle w:val="ConsPlusNormal"/>
              <w:jc w:val="center"/>
            </w:pPr>
            <w:r>
              <w:t>0,90</w:t>
            </w:r>
          </w:p>
          <w:p w:rsidR="00212513" w:rsidRDefault="00212513">
            <w:pPr>
              <w:pStyle w:val="ConsPlusNormal"/>
              <w:jc w:val="center"/>
            </w:pPr>
            <w:r>
              <w:t>-----</w:t>
            </w:r>
          </w:p>
          <w:p w:rsidR="00212513" w:rsidRDefault="00212513">
            <w:pPr>
              <w:pStyle w:val="ConsPlusNormal"/>
              <w:jc w:val="center"/>
            </w:pPr>
            <w:r>
              <w:t>0,85</w:t>
            </w:r>
          </w:p>
        </w:tc>
        <w:tc>
          <w:tcPr>
            <w:tcW w:w="1310" w:type="dxa"/>
            <w:tcBorders>
              <w:top w:val="nil"/>
              <w:bottom w:val="nil"/>
            </w:tcBorders>
          </w:tcPr>
          <w:p w:rsidR="00212513" w:rsidRDefault="00212513">
            <w:pPr>
              <w:pStyle w:val="ConsPlusNormal"/>
              <w:jc w:val="center"/>
            </w:pPr>
            <w:r>
              <w:t>0,79</w:t>
            </w:r>
          </w:p>
          <w:p w:rsidR="00212513" w:rsidRDefault="00212513">
            <w:pPr>
              <w:pStyle w:val="ConsPlusNormal"/>
              <w:jc w:val="center"/>
            </w:pPr>
            <w:r>
              <w:t>-----</w:t>
            </w:r>
          </w:p>
          <w:p w:rsidR="00212513" w:rsidRDefault="00212513">
            <w:pPr>
              <w:pStyle w:val="ConsPlusNormal"/>
              <w:jc w:val="center"/>
            </w:pPr>
            <w:r>
              <w:t>0,74</w:t>
            </w:r>
          </w:p>
        </w:tc>
        <w:tc>
          <w:tcPr>
            <w:tcW w:w="1310" w:type="dxa"/>
            <w:tcBorders>
              <w:top w:val="nil"/>
              <w:bottom w:val="nil"/>
            </w:tcBorders>
          </w:tcPr>
          <w:p w:rsidR="00212513" w:rsidRDefault="00212513">
            <w:pPr>
              <w:pStyle w:val="ConsPlusNormal"/>
              <w:jc w:val="center"/>
            </w:pPr>
            <w:r>
              <w:t>0,70</w:t>
            </w:r>
          </w:p>
          <w:p w:rsidR="00212513" w:rsidRDefault="00212513">
            <w:pPr>
              <w:pStyle w:val="ConsPlusNormal"/>
              <w:jc w:val="center"/>
            </w:pPr>
            <w:r>
              <w:t>-----</w:t>
            </w:r>
          </w:p>
          <w:p w:rsidR="00212513" w:rsidRDefault="00212513">
            <w:pPr>
              <w:pStyle w:val="ConsPlusNormal"/>
              <w:jc w:val="center"/>
            </w:pPr>
            <w:r>
              <w:t>0,65</w:t>
            </w:r>
          </w:p>
        </w:tc>
        <w:tc>
          <w:tcPr>
            <w:tcW w:w="1311" w:type="dxa"/>
            <w:tcBorders>
              <w:top w:val="nil"/>
              <w:bottom w:val="nil"/>
            </w:tcBorders>
          </w:tcPr>
          <w:p w:rsidR="00212513" w:rsidRDefault="00212513">
            <w:pPr>
              <w:pStyle w:val="ConsPlusNormal"/>
              <w:jc w:val="center"/>
            </w:pPr>
            <w:r>
              <w:t>0,58</w:t>
            </w:r>
          </w:p>
          <w:p w:rsidR="00212513" w:rsidRDefault="00212513">
            <w:pPr>
              <w:pStyle w:val="ConsPlusNormal"/>
              <w:jc w:val="center"/>
            </w:pPr>
            <w:r>
              <w:t>-----</w:t>
            </w:r>
          </w:p>
          <w:p w:rsidR="00212513" w:rsidRDefault="00212513">
            <w:pPr>
              <w:pStyle w:val="ConsPlusNormal"/>
              <w:jc w:val="center"/>
            </w:pPr>
            <w:r>
              <w:t>0,53</w:t>
            </w:r>
          </w:p>
        </w:tc>
        <w:tc>
          <w:tcPr>
            <w:tcW w:w="1077" w:type="dxa"/>
            <w:tcBorders>
              <w:top w:val="nil"/>
              <w:bottom w:val="nil"/>
            </w:tcBorders>
            <w:vAlign w:val="center"/>
          </w:tcPr>
          <w:p w:rsidR="00212513" w:rsidRDefault="00212513">
            <w:pPr>
              <w:pStyle w:val="ConsPlusNormal"/>
              <w:jc w:val="center"/>
            </w:pPr>
            <w:r>
              <w:t>0,70</w:t>
            </w:r>
          </w:p>
        </w:tc>
      </w:tr>
      <w:tr w:rsidR="00212513">
        <w:tblPrEx>
          <w:tblBorders>
            <w:insideH w:val="none" w:sz="0" w:space="0" w:color="auto"/>
          </w:tblBorders>
        </w:tblPrEx>
        <w:tc>
          <w:tcPr>
            <w:tcW w:w="906" w:type="dxa"/>
            <w:tcBorders>
              <w:top w:val="nil"/>
              <w:bottom w:val="nil"/>
            </w:tcBorders>
            <w:vAlign w:val="center"/>
          </w:tcPr>
          <w:p w:rsidR="00212513" w:rsidRDefault="00212513">
            <w:pPr>
              <w:pStyle w:val="ConsPlusNormal"/>
              <w:jc w:val="center"/>
            </w:pPr>
            <w:r>
              <w:t>16</w:t>
            </w:r>
          </w:p>
        </w:tc>
        <w:tc>
          <w:tcPr>
            <w:tcW w:w="906" w:type="dxa"/>
            <w:tcBorders>
              <w:top w:val="nil"/>
              <w:bottom w:val="nil"/>
            </w:tcBorders>
            <w:vAlign w:val="center"/>
          </w:tcPr>
          <w:p w:rsidR="00212513" w:rsidRDefault="00212513">
            <w:pPr>
              <w:pStyle w:val="ConsPlusNormal"/>
              <w:jc w:val="center"/>
            </w:pPr>
            <w:r>
              <w:t>13,8</w:t>
            </w:r>
          </w:p>
        </w:tc>
        <w:tc>
          <w:tcPr>
            <w:tcW w:w="907" w:type="dxa"/>
            <w:tcBorders>
              <w:top w:val="nil"/>
              <w:bottom w:val="nil"/>
            </w:tcBorders>
            <w:vAlign w:val="center"/>
          </w:tcPr>
          <w:p w:rsidR="00212513" w:rsidRDefault="00212513">
            <w:pPr>
              <w:pStyle w:val="ConsPlusNormal"/>
              <w:jc w:val="center"/>
            </w:pPr>
            <w:r>
              <w:t>55</w:t>
            </w:r>
          </w:p>
        </w:tc>
        <w:tc>
          <w:tcPr>
            <w:tcW w:w="1310" w:type="dxa"/>
            <w:tcBorders>
              <w:top w:val="nil"/>
              <w:bottom w:val="nil"/>
            </w:tcBorders>
          </w:tcPr>
          <w:p w:rsidR="00212513" w:rsidRDefault="00212513">
            <w:pPr>
              <w:pStyle w:val="ConsPlusNormal"/>
              <w:jc w:val="center"/>
            </w:pPr>
            <w:r>
              <w:t>0,86</w:t>
            </w:r>
          </w:p>
          <w:p w:rsidR="00212513" w:rsidRDefault="00212513">
            <w:pPr>
              <w:pStyle w:val="ConsPlusNormal"/>
              <w:jc w:val="center"/>
            </w:pPr>
            <w:r>
              <w:t>-----</w:t>
            </w:r>
          </w:p>
          <w:p w:rsidR="00212513" w:rsidRDefault="00212513">
            <w:pPr>
              <w:pStyle w:val="ConsPlusNormal"/>
              <w:jc w:val="center"/>
            </w:pPr>
            <w:r>
              <w:t>0,78</w:t>
            </w:r>
          </w:p>
          <w:p w:rsidR="00212513" w:rsidRDefault="00212513">
            <w:pPr>
              <w:pStyle w:val="ConsPlusNormal"/>
              <w:jc w:val="center"/>
            </w:pPr>
          </w:p>
        </w:tc>
        <w:tc>
          <w:tcPr>
            <w:tcW w:w="1310" w:type="dxa"/>
            <w:tcBorders>
              <w:top w:val="nil"/>
              <w:bottom w:val="nil"/>
            </w:tcBorders>
          </w:tcPr>
          <w:p w:rsidR="00212513" w:rsidRDefault="00212513">
            <w:pPr>
              <w:pStyle w:val="ConsPlusNormal"/>
              <w:jc w:val="center"/>
            </w:pPr>
            <w:r>
              <w:t>0,75</w:t>
            </w:r>
          </w:p>
          <w:p w:rsidR="00212513" w:rsidRDefault="00212513">
            <w:pPr>
              <w:pStyle w:val="ConsPlusNormal"/>
              <w:jc w:val="center"/>
            </w:pPr>
            <w:r>
              <w:t>-----</w:t>
            </w:r>
          </w:p>
          <w:p w:rsidR="00212513" w:rsidRDefault="00212513">
            <w:pPr>
              <w:pStyle w:val="ConsPlusNormal"/>
              <w:jc w:val="center"/>
            </w:pPr>
            <w:r>
              <w:t>0,67</w:t>
            </w:r>
          </w:p>
          <w:p w:rsidR="00212513" w:rsidRDefault="00212513">
            <w:pPr>
              <w:pStyle w:val="ConsPlusNormal"/>
              <w:jc w:val="center"/>
            </w:pPr>
          </w:p>
        </w:tc>
        <w:tc>
          <w:tcPr>
            <w:tcW w:w="1310" w:type="dxa"/>
            <w:tcBorders>
              <w:top w:val="nil"/>
              <w:bottom w:val="nil"/>
            </w:tcBorders>
          </w:tcPr>
          <w:p w:rsidR="00212513" w:rsidRDefault="00212513">
            <w:pPr>
              <w:pStyle w:val="ConsPlusNormal"/>
              <w:jc w:val="center"/>
            </w:pPr>
            <w:r>
              <w:t>0,66</w:t>
            </w:r>
          </w:p>
          <w:p w:rsidR="00212513" w:rsidRDefault="00212513">
            <w:pPr>
              <w:pStyle w:val="ConsPlusNormal"/>
              <w:jc w:val="center"/>
            </w:pPr>
            <w:r>
              <w:t>-----</w:t>
            </w:r>
          </w:p>
          <w:p w:rsidR="00212513" w:rsidRDefault="00212513">
            <w:pPr>
              <w:pStyle w:val="ConsPlusNormal"/>
              <w:jc w:val="center"/>
            </w:pPr>
            <w:r>
              <w:t>0,58</w:t>
            </w:r>
          </w:p>
          <w:p w:rsidR="00212513" w:rsidRDefault="00212513">
            <w:pPr>
              <w:pStyle w:val="ConsPlusNormal"/>
              <w:jc w:val="center"/>
            </w:pPr>
          </w:p>
        </w:tc>
        <w:tc>
          <w:tcPr>
            <w:tcW w:w="1311" w:type="dxa"/>
            <w:tcBorders>
              <w:top w:val="nil"/>
              <w:bottom w:val="nil"/>
            </w:tcBorders>
          </w:tcPr>
          <w:p w:rsidR="00212513" w:rsidRDefault="00212513">
            <w:pPr>
              <w:pStyle w:val="ConsPlusNormal"/>
              <w:jc w:val="center"/>
            </w:pPr>
            <w:r>
              <w:t>0,55</w:t>
            </w:r>
          </w:p>
          <w:p w:rsidR="00212513" w:rsidRDefault="00212513">
            <w:pPr>
              <w:pStyle w:val="ConsPlusNormal"/>
              <w:jc w:val="center"/>
            </w:pPr>
            <w:r>
              <w:t>-----</w:t>
            </w:r>
          </w:p>
          <w:p w:rsidR="00212513" w:rsidRDefault="00212513">
            <w:pPr>
              <w:pStyle w:val="ConsPlusNormal"/>
              <w:jc w:val="center"/>
            </w:pPr>
            <w:r>
              <w:t>0,47</w:t>
            </w:r>
          </w:p>
          <w:p w:rsidR="00212513" w:rsidRDefault="00212513">
            <w:pPr>
              <w:pStyle w:val="ConsPlusNormal"/>
              <w:jc w:val="center"/>
            </w:pPr>
          </w:p>
        </w:tc>
        <w:tc>
          <w:tcPr>
            <w:tcW w:w="1077" w:type="dxa"/>
            <w:tcBorders>
              <w:top w:val="nil"/>
              <w:bottom w:val="nil"/>
            </w:tcBorders>
            <w:vAlign w:val="center"/>
          </w:tcPr>
          <w:p w:rsidR="00212513" w:rsidRDefault="00212513">
            <w:pPr>
              <w:pStyle w:val="ConsPlusNormal"/>
              <w:jc w:val="center"/>
            </w:pPr>
            <w:r>
              <w:t>0,65</w:t>
            </w:r>
          </w:p>
        </w:tc>
      </w:tr>
      <w:tr w:rsidR="00212513">
        <w:tblPrEx>
          <w:tblBorders>
            <w:insideH w:val="none" w:sz="0" w:space="0" w:color="auto"/>
          </w:tblBorders>
        </w:tblPrEx>
        <w:tc>
          <w:tcPr>
            <w:tcW w:w="906" w:type="dxa"/>
            <w:tcBorders>
              <w:top w:val="nil"/>
              <w:bottom w:val="nil"/>
            </w:tcBorders>
            <w:vAlign w:val="center"/>
          </w:tcPr>
          <w:p w:rsidR="00212513" w:rsidRDefault="00212513">
            <w:pPr>
              <w:pStyle w:val="ConsPlusNormal"/>
              <w:jc w:val="center"/>
            </w:pPr>
            <w:r>
              <w:t>18</w:t>
            </w:r>
          </w:p>
        </w:tc>
        <w:tc>
          <w:tcPr>
            <w:tcW w:w="906" w:type="dxa"/>
            <w:tcBorders>
              <w:top w:val="nil"/>
              <w:bottom w:val="nil"/>
            </w:tcBorders>
            <w:vAlign w:val="center"/>
          </w:tcPr>
          <w:p w:rsidR="00212513" w:rsidRDefault="00212513">
            <w:pPr>
              <w:pStyle w:val="ConsPlusNormal"/>
              <w:jc w:val="center"/>
            </w:pPr>
            <w:r>
              <w:t>15,6</w:t>
            </w:r>
          </w:p>
        </w:tc>
        <w:tc>
          <w:tcPr>
            <w:tcW w:w="907" w:type="dxa"/>
            <w:tcBorders>
              <w:top w:val="nil"/>
              <w:bottom w:val="nil"/>
            </w:tcBorders>
            <w:vAlign w:val="center"/>
          </w:tcPr>
          <w:p w:rsidR="00212513" w:rsidRDefault="00212513">
            <w:pPr>
              <w:pStyle w:val="ConsPlusNormal"/>
              <w:jc w:val="center"/>
            </w:pPr>
            <w:r>
              <w:t>62,5</w:t>
            </w:r>
          </w:p>
        </w:tc>
        <w:tc>
          <w:tcPr>
            <w:tcW w:w="1310" w:type="dxa"/>
            <w:tcBorders>
              <w:top w:val="nil"/>
              <w:bottom w:val="nil"/>
            </w:tcBorders>
          </w:tcPr>
          <w:p w:rsidR="00212513" w:rsidRDefault="00212513">
            <w:pPr>
              <w:pStyle w:val="ConsPlusNormal"/>
              <w:jc w:val="center"/>
            </w:pPr>
            <w:r>
              <w:t>0,82</w:t>
            </w:r>
          </w:p>
          <w:p w:rsidR="00212513" w:rsidRDefault="00212513">
            <w:pPr>
              <w:pStyle w:val="ConsPlusNormal"/>
              <w:jc w:val="center"/>
            </w:pPr>
            <w:r>
              <w:t>-----</w:t>
            </w:r>
          </w:p>
          <w:p w:rsidR="00212513" w:rsidRDefault="00212513">
            <w:pPr>
              <w:pStyle w:val="ConsPlusNormal"/>
              <w:jc w:val="center"/>
            </w:pPr>
            <w:r>
              <w:t>0,75</w:t>
            </w:r>
          </w:p>
        </w:tc>
        <w:tc>
          <w:tcPr>
            <w:tcW w:w="1310" w:type="dxa"/>
            <w:tcBorders>
              <w:top w:val="nil"/>
              <w:bottom w:val="nil"/>
            </w:tcBorders>
          </w:tcPr>
          <w:p w:rsidR="00212513" w:rsidRDefault="00212513">
            <w:pPr>
              <w:pStyle w:val="ConsPlusNormal"/>
              <w:jc w:val="center"/>
            </w:pPr>
            <w:r>
              <w:t>0,71</w:t>
            </w:r>
          </w:p>
          <w:p w:rsidR="00212513" w:rsidRDefault="00212513">
            <w:pPr>
              <w:pStyle w:val="ConsPlusNormal"/>
              <w:jc w:val="center"/>
            </w:pPr>
            <w:r>
              <w:t>-----</w:t>
            </w:r>
          </w:p>
          <w:p w:rsidR="00212513" w:rsidRDefault="00212513">
            <w:pPr>
              <w:pStyle w:val="ConsPlusNormal"/>
              <w:jc w:val="center"/>
            </w:pPr>
            <w:r>
              <w:t>0,64</w:t>
            </w:r>
          </w:p>
        </w:tc>
        <w:tc>
          <w:tcPr>
            <w:tcW w:w="1310" w:type="dxa"/>
            <w:tcBorders>
              <w:top w:val="nil"/>
              <w:bottom w:val="nil"/>
            </w:tcBorders>
          </w:tcPr>
          <w:p w:rsidR="00212513" w:rsidRDefault="00212513">
            <w:pPr>
              <w:pStyle w:val="ConsPlusNormal"/>
              <w:jc w:val="center"/>
            </w:pPr>
            <w:r>
              <w:t>0,62</w:t>
            </w:r>
          </w:p>
          <w:p w:rsidR="00212513" w:rsidRDefault="00212513">
            <w:pPr>
              <w:pStyle w:val="ConsPlusNormal"/>
              <w:jc w:val="center"/>
            </w:pPr>
            <w:r>
              <w:t>-----</w:t>
            </w:r>
          </w:p>
          <w:p w:rsidR="00212513" w:rsidRDefault="00212513">
            <w:pPr>
              <w:pStyle w:val="ConsPlusNormal"/>
              <w:jc w:val="center"/>
            </w:pPr>
            <w:r>
              <w:t>0,55</w:t>
            </w:r>
          </w:p>
        </w:tc>
        <w:tc>
          <w:tcPr>
            <w:tcW w:w="1311" w:type="dxa"/>
            <w:tcBorders>
              <w:top w:val="nil"/>
              <w:bottom w:val="nil"/>
            </w:tcBorders>
          </w:tcPr>
          <w:p w:rsidR="00212513" w:rsidRDefault="00212513">
            <w:pPr>
              <w:pStyle w:val="ConsPlusNormal"/>
              <w:jc w:val="center"/>
            </w:pPr>
            <w:r>
              <w:t>0,51</w:t>
            </w:r>
          </w:p>
          <w:p w:rsidR="00212513" w:rsidRDefault="00212513">
            <w:pPr>
              <w:pStyle w:val="ConsPlusNormal"/>
              <w:jc w:val="center"/>
            </w:pPr>
            <w:r>
              <w:t>-----</w:t>
            </w:r>
          </w:p>
          <w:p w:rsidR="00212513" w:rsidRDefault="00212513">
            <w:pPr>
              <w:pStyle w:val="ConsPlusNormal"/>
              <w:jc w:val="center"/>
            </w:pPr>
            <w:r>
              <w:t>0,44</w:t>
            </w:r>
          </w:p>
        </w:tc>
        <w:tc>
          <w:tcPr>
            <w:tcW w:w="1077" w:type="dxa"/>
            <w:tcBorders>
              <w:top w:val="nil"/>
              <w:bottom w:val="nil"/>
            </w:tcBorders>
            <w:vAlign w:val="center"/>
          </w:tcPr>
          <w:p w:rsidR="00212513" w:rsidRDefault="00212513">
            <w:pPr>
              <w:pStyle w:val="ConsPlusNormal"/>
              <w:jc w:val="center"/>
            </w:pPr>
            <w:r>
              <w:t>0,56</w:t>
            </w:r>
          </w:p>
        </w:tc>
      </w:tr>
      <w:tr w:rsidR="00212513">
        <w:tblPrEx>
          <w:tblBorders>
            <w:insideH w:val="none" w:sz="0" w:space="0" w:color="auto"/>
          </w:tblBorders>
        </w:tblPrEx>
        <w:tc>
          <w:tcPr>
            <w:tcW w:w="906" w:type="dxa"/>
            <w:tcBorders>
              <w:top w:val="nil"/>
              <w:bottom w:val="nil"/>
            </w:tcBorders>
            <w:vAlign w:val="center"/>
          </w:tcPr>
          <w:p w:rsidR="00212513" w:rsidRDefault="00212513">
            <w:pPr>
              <w:pStyle w:val="ConsPlusNormal"/>
              <w:jc w:val="center"/>
            </w:pPr>
            <w:r>
              <w:t>20</w:t>
            </w:r>
          </w:p>
        </w:tc>
        <w:tc>
          <w:tcPr>
            <w:tcW w:w="906" w:type="dxa"/>
            <w:tcBorders>
              <w:top w:val="nil"/>
              <w:bottom w:val="nil"/>
            </w:tcBorders>
            <w:vAlign w:val="center"/>
          </w:tcPr>
          <w:p w:rsidR="00212513" w:rsidRDefault="00212513">
            <w:pPr>
              <w:pStyle w:val="ConsPlusNormal"/>
              <w:jc w:val="center"/>
            </w:pPr>
            <w:r>
              <w:t>17,3</w:t>
            </w:r>
          </w:p>
        </w:tc>
        <w:tc>
          <w:tcPr>
            <w:tcW w:w="907" w:type="dxa"/>
            <w:tcBorders>
              <w:top w:val="nil"/>
              <w:bottom w:val="nil"/>
            </w:tcBorders>
            <w:vAlign w:val="center"/>
          </w:tcPr>
          <w:p w:rsidR="00212513" w:rsidRDefault="00212513">
            <w:pPr>
              <w:pStyle w:val="ConsPlusNormal"/>
              <w:jc w:val="center"/>
            </w:pPr>
            <w:r>
              <w:t>70</w:t>
            </w:r>
          </w:p>
        </w:tc>
        <w:tc>
          <w:tcPr>
            <w:tcW w:w="1310" w:type="dxa"/>
            <w:tcBorders>
              <w:top w:val="nil"/>
              <w:bottom w:val="nil"/>
            </w:tcBorders>
          </w:tcPr>
          <w:p w:rsidR="00212513" w:rsidRDefault="00212513">
            <w:pPr>
              <w:pStyle w:val="ConsPlusNormal"/>
              <w:jc w:val="center"/>
            </w:pPr>
            <w:r>
              <w:t>0,78</w:t>
            </w:r>
          </w:p>
          <w:p w:rsidR="00212513" w:rsidRDefault="00212513">
            <w:pPr>
              <w:pStyle w:val="ConsPlusNormal"/>
              <w:jc w:val="center"/>
            </w:pPr>
            <w:r>
              <w:t>-----</w:t>
            </w:r>
          </w:p>
          <w:p w:rsidR="00212513" w:rsidRDefault="00212513">
            <w:pPr>
              <w:pStyle w:val="ConsPlusNormal"/>
              <w:jc w:val="center"/>
            </w:pPr>
            <w:r>
              <w:t>0,70</w:t>
            </w:r>
          </w:p>
          <w:p w:rsidR="00212513" w:rsidRDefault="00212513">
            <w:pPr>
              <w:pStyle w:val="ConsPlusNormal"/>
              <w:jc w:val="center"/>
            </w:pPr>
          </w:p>
        </w:tc>
        <w:tc>
          <w:tcPr>
            <w:tcW w:w="1310" w:type="dxa"/>
            <w:tcBorders>
              <w:top w:val="nil"/>
              <w:bottom w:val="nil"/>
            </w:tcBorders>
          </w:tcPr>
          <w:p w:rsidR="00212513" w:rsidRDefault="00212513">
            <w:pPr>
              <w:pStyle w:val="ConsPlusNormal"/>
              <w:jc w:val="center"/>
            </w:pPr>
            <w:r>
              <w:t>0,67</w:t>
            </w:r>
          </w:p>
          <w:p w:rsidR="00212513" w:rsidRDefault="00212513">
            <w:pPr>
              <w:pStyle w:val="ConsPlusNormal"/>
              <w:jc w:val="center"/>
            </w:pPr>
            <w:r>
              <w:t>-----</w:t>
            </w:r>
          </w:p>
          <w:p w:rsidR="00212513" w:rsidRDefault="00212513">
            <w:pPr>
              <w:pStyle w:val="ConsPlusNormal"/>
              <w:jc w:val="center"/>
            </w:pPr>
            <w:r>
              <w:t>0,59</w:t>
            </w:r>
          </w:p>
          <w:p w:rsidR="00212513" w:rsidRDefault="00212513">
            <w:pPr>
              <w:pStyle w:val="ConsPlusNormal"/>
              <w:jc w:val="center"/>
            </w:pPr>
          </w:p>
        </w:tc>
        <w:tc>
          <w:tcPr>
            <w:tcW w:w="1310" w:type="dxa"/>
            <w:tcBorders>
              <w:top w:val="nil"/>
              <w:bottom w:val="nil"/>
            </w:tcBorders>
          </w:tcPr>
          <w:p w:rsidR="00212513" w:rsidRDefault="00212513">
            <w:pPr>
              <w:pStyle w:val="ConsPlusNormal"/>
              <w:jc w:val="center"/>
            </w:pPr>
            <w:r>
              <w:t>0,57</w:t>
            </w:r>
          </w:p>
          <w:p w:rsidR="00212513" w:rsidRDefault="00212513">
            <w:pPr>
              <w:pStyle w:val="ConsPlusNormal"/>
              <w:jc w:val="center"/>
            </w:pPr>
            <w:r>
              <w:t>-----</w:t>
            </w:r>
          </w:p>
          <w:p w:rsidR="00212513" w:rsidRDefault="00212513">
            <w:pPr>
              <w:pStyle w:val="ConsPlusNormal"/>
              <w:jc w:val="center"/>
            </w:pPr>
            <w:r>
              <w:t>0,47</w:t>
            </w:r>
          </w:p>
          <w:p w:rsidR="00212513" w:rsidRDefault="00212513">
            <w:pPr>
              <w:pStyle w:val="ConsPlusNormal"/>
              <w:jc w:val="center"/>
            </w:pPr>
          </w:p>
        </w:tc>
        <w:tc>
          <w:tcPr>
            <w:tcW w:w="1311" w:type="dxa"/>
            <w:tcBorders>
              <w:top w:val="nil"/>
              <w:bottom w:val="nil"/>
            </w:tcBorders>
          </w:tcPr>
          <w:p w:rsidR="00212513" w:rsidRDefault="00212513">
            <w:pPr>
              <w:pStyle w:val="ConsPlusNormal"/>
              <w:jc w:val="center"/>
            </w:pPr>
            <w:r>
              <w:t>0,48</w:t>
            </w:r>
          </w:p>
          <w:p w:rsidR="00212513" w:rsidRDefault="00212513">
            <w:pPr>
              <w:pStyle w:val="ConsPlusNormal"/>
              <w:jc w:val="center"/>
            </w:pPr>
            <w:r>
              <w:t>-----</w:t>
            </w:r>
          </w:p>
          <w:p w:rsidR="00212513" w:rsidRDefault="00212513">
            <w:pPr>
              <w:pStyle w:val="ConsPlusNormal"/>
              <w:jc w:val="center"/>
            </w:pPr>
            <w:r>
              <w:t>0,40</w:t>
            </w:r>
          </w:p>
          <w:p w:rsidR="00212513" w:rsidRDefault="00212513">
            <w:pPr>
              <w:pStyle w:val="ConsPlusNormal"/>
              <w:jc w:val="center"/>
            </w:pPr>
          </w:p>
        </w:tc>
        <w:tc>
          <w:tcPr>
            <w:tcW w:w="1077" w:type="dxa"/>
            <w:tcBorders>
              <w:top w:val="nil"/>
              <w:bottom w:val="nil"/>
            </w:tcBorders>
            <w:vAlign w:val="center"/>
          </w:tcPr>
          <w:p w:rsidR="00212513" w:rsidRDefault="00212513">
            <w:pPr>
              <w:pStyle w:val="ConsPlusNormal"/>
              <w:jc w:val="center"/>
            </w:pPr>
            <w:r>
              <w:t>0,47</w:t>
            </w:r>
          </w:p>
        </w:tc>
      </w:tr>
      <w:tr w:rsidR="00212513">
        <w:tblPrEx>
          <w:tblBorders>
            <w:insideH w:val="none" w:sz="0" w:space="0" w:color="auto"/>
          </w:tblBorders>
        </w:tblPrEx>
        <w:tc>
          <w:tcPr>
            <w:tcW w:w="906" w:type="dxa"/>
            <w:tcBorders>
              <w:top w:val="nil"/>
              <w:bottom w:val="nil"/>
            </w:tcBorders>
            <w:vAlign w:val="center"/>
          </w:tcPr>
          <w:p w:rsidR="00212513" w:rsidRDefault="00212513">
            <w:pPr>
              <w:pStyle w:val="ConsPlusNormal"/>
              <w:jc w:val="center"/>
            </w:pPr>
            <w:r>
              <w:t>22</w:t>
            </w:r>
          </w:p>
        </w:tc>
        <w:tc>
          <w:tcPr>
            <w:tcW w:w="906" w:type="dxa"/>
            <w:tcBorders>
              <w:top w:val="nil"/>
              <w:bottom w:val="nil"/>
            </w:tcBorders>
            <w:vAlign w:val="center"/>
          </w:tcPr>
          <w:p w:rsidR="00212513" w:rsidRDefault="00212513">
            <w:pPr>
              <w:pStyle w:val="ConsPlusNormal"/>
              <w:jc w:val="center"/>
            </w:pPr>
            <w:r>
              <w:t>19,1</w:t>
            </w:r>
          </w:p>
        </w:tc>
        <w:tc>
          <w:tcPr>
            <w:tcW w:w="907" w:type="dxa"/>
            <w:tcBorders>
              <w:top w:val="nil"/>
              <w:bottom w:val="nil"/>
            </w:tcBorders>
            <w:vAlign w:val="center"/>
          </w:tcPr>
          <w:p w:rsidR="00212513" w:rsidRDefault="00212513">
            <w:pPr>
              <w:pStyle w:val="ConsPlusNormal"/>
              <w:jc w:val="center"/>
            </w:pPr>
            <w:r>
              <w:t>75</w:t>
            </w:r>
          </w:p>
        </w:tc>
        <w:tc>
          <w:tcPr>
            <w:tcW w:w="1310" w:type="dxa"/>
            <w:tcBorders>
              <w:top w:val="nil"/>
              <w:bottom w:val="nil"/>
            </w:tcBorders>
          </w:tcPr>
          <w:p w:rsidR="00212513" w:rsidRDefault="00212513">
            <w:pPr>
              <w:pStyle w:val="ConsPlusNormal"/>
              <w:jc w:val="center"/>
            </w:pPr>
            <w:r>
              <w:t>0,72</w:t>
            </w:r>
          </w:p>
          <w:p w:rsidR="00212513" w:rsidRDefault="00212513">
            <w:pPr>
              <w:pStyle w:val="ConsPlusNormal"/>
              <w:jc w:val="center"/>
            </w:pPr>
            <w:r>
              <w:t>-----</w:t>
            </w:r>
          </w:p>
          <w:p w:rsidR="00212513" w:rsidRDefault="00212513">
            <w:pPr>
              <w:pStyle w:val="ConsPlusNormal"/>
              <w:jc w:val="center"/>
            </w:pPr>
            <w:r>
              <w:t>0,64</w:t>
            </w:r>
          </w:p>
          <w:p w:rsidR="00212513" w:rsidRDefault="00212513">
            <w:pPr>
              <w:pStyle w:val="ConsPlusNormal"/>
              <w:jc w:val="center"/>
            </w:pPr>
          </w:p>
        </w:tc>
        <w:tc>
          <w:tcPr>
            <w:tcW w:w="1310" w:type="dxa"/>
            <w:tcBorders>
              <w:top w:val="nil"/>
              <w:bottom w:val="nil"/>
            </w:tcBorders>
          </w:tcPr>
          <w:p w:rsidR="00212513" w:rsidRDefault="00212513">
            <w:pPr>
              <w:pStyle w:val="ConsPlusNormal"/>
              <w:jc w:val="center"/>
            </w:pPr>
            <w:r>
              <w:t>0,60</w:t>
            </w:r>
          </w:p>
          <w:p w:rsidR="00212513" w:rsidRDefault="00212513">
            <w:pPr>
              <w:pStyle w:val="ConsPlusNormal"/>
              <w:jc w:val="center"/>
            </w:pPr>
            <w:r>
              <w:t>-----</w:t>
            </w:r>
          </w:p>
          <w:p w:rsidR="00212513" w:rsidRDefault="00212513">
            <w:pPr>
              <w:pStyle w:val="ConsPlusNormal"/>
              <w:jc w:val="center"/>
            </w:pPr>
            <w:r>
              <w:t>0,52</w:t>
            </w:r>
          </w:p>
          <w:p w:rsidR="00212513" w:rsidRDefault="00212513">
            <w:pPr>
              <w:pStyle w:val="ConsPlusNormal"/>
              <w:jc w:val="center"/>
            </w:pPr>
          </w:p>
        </w:tc>
        <w:tc>
          <w:tcPr>
            <w:tcW w:w="1310" w:type="dxa"/>
            <w:tcBorders>
              <w:top w:val="nil"/>
              <w:bottom w:val="nil"/>
            </w:tcBorders>
          </w:tcPr>
          <w:p w:rsidR="00212513" w:rsidRDefault="00212513">
            <w:pPr>
              <w:pStyle w:val="ConsPlusNormal"/>
              <w:jc w:val="center"/>
            </w:pPr>
            <w:r>
              <w:t>0,52</w:t>
            </w:r>
          </w:p>
          <w:p w:rsidR="00212513" w:rsidRDefault="00212513">
            <w:pPr>
              <w:pStyle w:val="ConsPlusNormal"/>
              <w:jc w:val="center"/>
            </w:pPr>
            <w:r>
              <w:t>-----</w:t>
            </w:r>
          </w:p>
          <w:p w:rsidR="00212513" w:rsidRDefault="00212513">
            <w:pPr>
              <w:pStyle w:val="ConsPlusNormal"/>
              <w:jc w:val="center"/>
            </w:pPr>
            <w:r>
              <w:t>0,44</w:t>
            </w:r>
          </w:p>
          <w:p w:rsidR="00212513" w:rsidRDefault="00212513">
            <w:pPr>
              <w:pStyle w:val="ConsPlusNormal"/>
              <w:jc w:val="center"/>
            </w:pPr>
          </w:p>
        </w:tc>
        <w:tc>
          <w:tcPr>
            <w:tcW w:w="1311" w:type="dxa"/>
            <w:tcBorders>
              <w:top w:val="nil"/>
              <w:bottom w:val="nil"/>
            </w:tcBorders>
          </w:tcPr>
          <w:p w:rsidR="00212513" w:rsidRDefault="00212513">
            <w:pPr>
              <w:pStyle w:val="ConsPlusNormal"/>
              <w:jc w:val="center"/>
            </w:pPr>
            <w:r>
              <w:t>0,43</w:t>
            </w:r>
          </w:p>
          <w:p w:rsidR="00212513" w:rsidRDefault="00212513">
            <w:pPr>
              <w:pStyle w:val="ConsPlusNormal"/>
              <w:jc w:val="center"/>
            </w:pPr>
            <w:r>
              <w:t>-----</w:t>
            </w:r>
          </w:p>
          <w:p w:rsidR="00212513" w:rsidRDefault="00212513">
            <w:pPr>
              <w:pStyle w:val="ConsPlusNormal"/>
              <w:jc w:val="center"/>
            </w:pPr>
            <w:r>
              <w:t>0,35</w:t>
            </w:r>
          </w:p>
          <w:p w:rsidR="00212513" w:rsidRDefault="00212513">
            <w:pPr>
              <w:pStyle w:val="ConsPlusNormal"/>
              <w:jc w:val="center"/>
            </w:pPr>
          </w:p>
        </w:tc>
        <w:tc>
          <w:tcPr>
            <w:tcW w:w="1077" w:type="dxa"/>
            <w:tcBorders>
              <w:top w:val="nil"/>
              <w:bottom w:val="nil"/>
            </w:tcBorders>
            <w:vAlign w:val="center"/>
          </w:tcPr>
          <w:p w:rsidR="00212513" w:rsidRDefault="00212513">
            <w:pPr>
              <w:pStyle w:val="ConsPlusNormal"/>
              <w:jc w:val="center"/>
            </w:pPr>
            <w:r>
              <w:t>0,41</w:t>
            </w:r>
          </w:p>
        </w:tc>
      </w:tr>
      <w:tr w:rsidR="00212513">
        <w:tblPrEx>
          <w:tblBorders>
            <w:insideH w:val="none" w:sz="0" w:space="0" w:color="auto"/>
          </w:tblBorders>
        </w:tblPrEx>
        <w:tc>
          <w:tcPr>
            <w:tcW w:w="906" w:type="dxa"/>
            <w:tcBorders>
              <w:top w:val="nil"/>
              <w:bottom w:val="nil"/>
            </w:tcBorders>
            <w:vAlign w:val="center"/>
          </w:tcPr>
          <w:p w:rsidR="00212513" w:rsidRDefault="00212513">
            <w:pPr>
              <w:pStyle w:val="ConsPlusNormal"/>
              <w:jc w:val="center"/>
            </w:pPr>
            <w:r>
              <w:t>24</w:t>
            </w:r>
          </w:p>
        </w:tc>
        <w:tc>
          <w:tcPr>
            <w:tcW w:w="906" w:type="dxa"/>
            <w:tcBorders>
              <w:top w:val="nil"/>
              <w:bottom w:val="nil"/>
            </w:tcBorders>
            <w:vAlign w:val="center"/>
          </w:tcPr>
          <w:p w:rsidR="00212513" w:rsidRDefault="00212513">
            <w:pPr>
              <w:pStyle w:val="ConsPlusNormal"/>
              <w:jc w:val="center"/>
            </w:pPr>
            <w:r>
              <w:t>20,8</w:t>
            </w:r>
          </w:p>
        </w:tc>
        <w:tc>
          <w:tcPr>
            <w:tcW w:w="907" w:type="dxa"/>
            <w:tcBorders>
              <w:top w:val="nil"/>
              <w:bottom w:val="nil"/>
            </w:tcBorders>
            <w:vAlign w:val="center"/>
          </w:tcPr>
          <w:p w:rsidR="00212513" w:rsidRDefault="00212513">
            <w:pPr>
              <w:pStyle w:val="ConsPlusNormal"/>
              <w:jc w:val="center"/>
            </w:pPr>
            <w:r>
              <w:t>83</w:t>
            </w:r>
          </w:p>
        </w:tc>
        <w:tc>
          <w:tcPr>
            <w:tcW w:w="1310" w:type="dxa"/>
            <w:tcBorders>
              <w:top w:val="nil"/>
              <w:bottom w:val="nil"/>
            </w:tcBorders>
          </w:tcPr>
          <w:p w:rsidR="00212513" w:rsidRDefault="00212513">
            <w:pPr>
              <w:pStyle w:val="ConsPlusNormal"/>
              <w:jc w:val="center"/>
            </w:pPr>
            <w:r>
              <w:t>0,67</w:t>
            </w:r>
          </w:p>
          <w:p w:rsidR="00212513" w:rsidRDefault="00212513">
            <w:pPr>
              <w:pStyle w:val="ConsPlusNormal"/>
              <w:jc w:val="center"/>
            </w:pPr>
            <w:r>
              <w:t>-----</w:t>
            </w:r>
          </w:p>
          <w:p w:rsidR="00212513" w:rsidRDefault="00212513">
            <w:pPr>
              <w:pStyle w:val="ConsPlusNormal"/>
              <w:jc w:val="center"/>
            </w:pPr>
            <w:r>
              <w:t>0,59</w:t>
            </w:r>
          </w:p>
        </w:tc>
        <w:tc>
          <w:tcPr>
            <w:tcW w:w="1310" w:type="dxa"/>
            <w:tcBorders>
              <w:top w:val="nil"/>
              <w:bottom w:val="nil"/>
            </w:tcBorders>
          </w:tcPr>
          <w:p w:rsidR="00212513" w:rsidRDefault="00212513">
            <w:pPr>
              <w:pStyle w:val="ConsPlusNormal"/>
              <w:jc w:val="center"/>
            </w:pPr>
            <w:r>
              <w:t>0,55</w:t>
            </w:r>
          </w:p>
          <w:p w:rsidR="00212513" w:rsidRDefault="00212513">
            <w:pPr>
              <w:pStyle w:val="ConsPlusNormal"/>
              <w:jc w:val="center"/>
            </w:pPr>
            <w:r>
              <w:t>-----</w:t>
            </w:r>
          </w:p>
          <w:p w:rsidR="00212513" w:rsidRDefault="00212513">
            <w:pPr>
              <w:pStyle w:val="ConsPlusNormal"/>
              <w:jc w:val="center"/>
            </w:pPr>
            <w:r>
              <w:t>0,47</w:t>
            </w:r>
          </w:p>
        </w:tc>
        <w:tc>
          <w:tcPr>
            <w:tcW w:w="1310" w:type="dxa"/>
            <w:tcBorders>
              <w:top w:val="nil"/>
              <w:bottom w:val="nil"/>
            </w:tcBorders>
          </w:tcPr>
          <w:p w:rsidR="00212513" w:rsidRDefault="00212513">
            <w:pPr>
              <w:pStyle w:val="ConsPlusNormal"/>
              <w:jc w:val="center"/>
            </w:pPr>
            <w:r>
              <w:t>0,47</w:t>
            </w:r>
          </w:p>
          <w:p w:rsidR="00212513" w:rsidRDefault="00212513">
            <w:pPr>
              <w:pStyle w:val="ConsPlusNormal"/>
              <w:jc w:val="center"/>
            </w:pPr>
            <w:r>
              <w:t>-----</w:t>
            </w:r>
          </w:p>
          <w:p w:rsidR="00212513" w:rsidRDefault="00212513">
            <w:pPr>
              <w:pStyle w:val="ConsPlusNormal"/>
              <w:jc w:val="center"/>
            </w:pPr>
            <w:r>
              <w:t>0,39</w:t>
            </w:r>
          </w:p>
        </w:tc>
        <w:tc>
          <w:tcPr>
            <w:tcW w:w="1311" w:type="dxa"/>
            <w:tcBorders>
              <w:top w:val="nil"/>
              <w:bottom w:val="nil"/>
            </w:tcBorders>
          </w:tcPr>
          <w:p w:rsidR="00212513" w:rsidRDefault="00212513">
            <w:pPr>
              <w:pStyle w:val="ConsPlusNormal"/>
              <w:jc w:val="center"/>
            </w:pPr>
            <w:r>
              <w:t>0,38</w:t>
            </w:r>
          </w:p>
          <w:p w:rsidR="00212513" w:rsidRDefault="00212513">
            <w:pPr>
              <w:pStyle w:val="ConsPlusNormal"/>
              <w:jc w:val="center"/>
            </w:pPr>
            <w:r>
              <w:t>-----</w:t>
            </w:r>
          </w:p>
          <w:p w:rsidR="00212513" w:rsidRDefault="00212513">
            <w:pPr>
              <w:pStyle w:val="ConsPlusNormal"/>
              <w:jc w:val="center"/>
            </w:pPr>
            <w:r>
              <w:t>0,30</w:t>
            </w:r>
          </w:p>
        </w:tc>
        <w:tc>
          <w:tcPr>
            <w:tcW w:w="1077" w:type="dxa"/>
            <w:tcBorders>
              <w:top w:val="nil"/>
              <w:bottom w:val="nil"/>
            </w:tcBorders>
            <w:vAlign w:val="center"/>
          </w:tcPr>
          <w:p w:rsidR="00212513" w:rsidRDefault="00212513">
            <w:pPr>
              <w:pStyle w:val="ConsPlusNormal"/>
              <w:jc w:val="center"/>
            </w:pPr>
            <w:r>
              <w:t>0,32</w:t>
            </w:r>
          </w:p>
        </w:tc>
      </w:tr>
      <w:tr w:rsidR="00212513">
        <w:tblPrEx>
          <w:tblBorders>
            <w:insideH w:val="none" w:sz="0" w:space="0" w:color="auto"/>
          </w:tblBorders>
        </w:tblPrEx>
        <w:tc>
          <w:tcPr>
            <w:tcW w:w="906" w:type="dxa"/>
            <w:tcBorders>
              <w:top w:val="nil"/>
              <w:bottom w:val="nil"/>
            </w:tcBorders>
            <w:vAlign w:val="center"/>
          </w:tcPr>
          <w:p w:rsidR="00212513" w:rsidRDefault="00212513">
            <w:pPr>
              <w:pStyle w:val="ConsPlusNormal"/>
              <w:jc w:val="center"/>
            </w:pPr>
            <w:r>
              <w:t>26</w:t>
            </w:r>
          </w:p>
        </w:tc>
        <w:tc>
          <w:tcPr>
            <w:tcW w:w="906" w:type="dxa"/>
            <w:tcBorders>
              <w:top w:val="nil"/>
              <w:bottom w:val="nil"/>
            </w:tcBorders>
            <w:vAlign w:val="center"/>
          </w:tcPr>
          <w:p w:rsidR="00212513" w:rsidRDefault="00212513">
            <w:pPr>
              <w:pStyle w:val="ConsPlusNormal"/>
              <w:jc w:val="center"/>
            </w:pPr>
            <w:r>
              <w:t>22,5</w:t>
            </w:r>
          </w:p>
        </w:tc>
        <w:tc>
          <w:tcPr>
            <w:tcW w:w="907" w:type="dxa"/>
            <w:tcBorders>
              <w:top w:val="nil"/>
              <w:bottom w:val="nil"/>
            </w:tcBorders>
            <w:vAlign w:val="center"/>
          </w:tcPr>
          <w:p w:rsidR="00212513" w:rsidRDefault="00212513">
            <w:pPr>
              <w:pStyle w:val="ConsPlusNormal"/>
              <w:jc w:val="center"/>
            </w:pPr>
            <w:r>
              <w:t>90</w:t>
            </w:r>
          </w:p>
        </w:tc>
        <w:tc>
          <w:tcPr>
            <w:tcW w:w="1310" w:type="dxa"/>
            <w:tcBorders>
              <w:top w:val="nil"/>
              <w:bottom w:val="nil"/>
            </w:tcBorders>
          </w:tcPr>
          <w:p w:rsidR="00212513" w:rsidRDefault="00212513">
            <w:pPr>
              <w:pStyle w:val="ConsPlusNormal"/>
              <w:jc w:val="center"/>
            </w:pPr>
            <w:r>
              <w:t>0,62</w:t>
            </w:r>
          </w:p>
          <w:p w:rsidR="00212513" w:rsidRDefault="00212513">
            <w:pPr>
              <w:pStyle w:val="ConsPlusNormal"/>
              <w:jc w:val="center"/>
            </w:pPr>
            <w:r>
              <w:t>-----</w:t>
            </w:r>
          </w:p>
          <w:p w:rsidR="00212513" w:rsidRDefault="00212513">
            <w:pPr>
              <w:pStyle w:val="ConsPlusNormal"/>
              <w:jc w:val="center"/>
            </w:pPr>
            <w:r>
              <w:t>0,53</w:t>
            </w:r>
          </w:p>
          <w:p w:rsidR="00212513" w:rsidRDefault="00212513">
            <w:pPr>
              <w:pStyle w:val="ConsPlusNormal"/>
              <w:jc w:val="center"/>
            </w:pPr>
          </w:p>
        </w:tc>
        <w:tc>
          <w:tcPr>
            <w:tcW w:w="1310" w:type="dxa"/>
            <w:tcBorders>
              <w:top w:val="nil"/>
              <w:bottom w:val="nil"/>
            </w:tcBorders>
          </w:tcPr>
          <w:p w:rsidR="00212513" w:rsidRDefault="00212513">
            <w:pPr>
              <w:pStyle w:val="ConsPlusNormal"/>
              <w:jc w:val="center"/>
            </w:pPr>
            <w:r>
              <w:t>0,51</w:t>
            </w:r>
          </w:p>
          <w:p w:rsidR="00212513" w:rsidRDefault="00212513">
            <w:pPr>
              <w:pStyle w:val="ConsPlusNormal"/>
              <w:jc w:val="center"/>
            </w:pPr>
            <w:r>
              <w:t>-----</w:t>
            </w:r>
          </w:p>
          <w:p w:rsidR="00212513" w:rsidRDefault="00212513">
            <w:pPr>
              <w:pStyle w:val="ConsPlusNormal"/>
              <w:jc w:val="center"/>
            </w:pPr>
            <w:r>
              <w:t>0,42</w:t>
            </w:r>
          </w:p>
          <w:p w:rsidR="00212513" w:rsidRDefault="00212513">
            <w:pPr>
              <w:pStyle w:val="ConsPlusNormal"/>
              <w:jc w:val="center"/>
            </w:pPr>
          </w:p>
        </w:tc>
        <w:tc>
          <w:tcPr>
            <w:tcW w:w="1310" w:type="dxa"/>
            <w:tcBorders>
              <w:top w:val="nil"/>
              <w:bottom w:val="nil"/>
            </w:tcBorders>
          </w:tcPr>
          <w:p w:rsidR="00212513" w:rsidRDefault="00212513">
            <w:pPr>
              <w:pStyle w:val="ConsPlusNormal"/>
              <w:jc w:val="center"/>
            </w:pPr>
            <w:r>
              <w:t>0,44</w:t>
            </w:r>
          </w:p>
          <w:p w:rsidR="00212513" w:rsidRDefault="00212513">
            <w:pPr>
              <w:pStyle w:val="ConsPlusNormal"/>
              <w:jc w:val="center"/>
            </w:pPr>
            <w:r>
              <w:t>-----</w:t>
            </w:r>
          </w:p>
          <w:p w:rsidR="00212513" w:rsidRDefault="00212513">
            <w:pPr>
              <w:pStyle w:val="ConsPlusNormal"/>
              <w:jc w:val="center"/>
            </w:pPr>
            <w:r>
              <w:t>0,35</w:t>
            </w:r>
          </w:p>
          <w:p w:rsidR="00212513" w:rsidRDefault="00212513">
            <w:pPr>
              <w:pStyle w:val="ConsPlusNormal"/>
              <w:jc w:val="center"/>
            </w:pPr>
          </w:p>
        </w:tc>
        <w:tc>
          <w:tcPr>
            <w:tcW w:w="1311" w:type="dxa"/>
            <w:tcBorders>
              <w:top w:val="nil"/>
              <w:bottom w:val="nil"/>
            </w:tcBorders>
          </w:tcPr>
          <w:p w:rsidR="00212513" w:rsidRDefault="00212513">
            <w:pPr>
              <w:pStyle w:val="ConsPlusNormal"/>
              <w:jc w:val="center"/>
            </w:pPr>
            <w:r>
              <w:t>0,35</w:t>
            </w:r>
          </w:p>
          <w:p w:rsidR="00212513" w:rsidRDefault="00212513">
            <w:pPr>
              <w:pStyle w:val="ConsPlusNormal"/>
              <w:jc w:val="center"/>
            </w:pPr>
            <w:r>
              <w:t>-----</w:t>
            </w:r>
          </w:p>
          <w:p w:rsidR="00212513" w:rsidRDefault="00212513">
            <w:pPr>
              <w:pStyle w:val="ConsPlusNormal"/>
              <w:jc w:val="center"/>
            </w:pPr>
            <w:r>
              <w:t>0,26</w:t>
            </w:r>
          </w:p>
          <w:p w:rsidR="00212513" w:rsidRDefault="00212513">
            <w:pPr>
              <w:pStyle w:val="ConsPlusNormal"/>
              <w:jc w:val="center"/>
            </w:pPr>
          </w:p>
        </w:tc>
        <w:tc>
          <w:tcPr>
            <w:tcW w:w="1077" w:type="dxa"/>
            <w:tcBorders>
              <w:top w:val="nil"/>
              <w:bottom w:val="nil"/>
            </w:tcBorders>
            <w:vAlign w:val="center"/>
          </w:tcPr>
          <w:p w:rsidR="00212513" w:rsidRDefault="00212513">
            <w:pPr>
              <w:pStyle w:val="ConsPlusNormal"/>
              <w:jc w:val="center"/>
            </w:pPr>
            <w:r>
              <w:t>0,25</w:t>
            </w:r>
          </w:p>
        </w:tc>
      </w:tr>
      <w:tr w:rsidR="00212513">
        <w:tblPrEx>
          <w:tblBorders>
            <w:insideH w:val="none" w:sz="0" w:space="0" w:color="auto"/>
          </w:tblBorders>
        </w:tblPrEx>
        <w:tc>
          <w:tcPr>
            <w:tcW w:w="906" w:type="dxa"/>
            <w:tcBorders>
              <w:top w:val="nil"/>
              <w:bottom w:val="nil"/>
            </w:tcBorders>
            <w:vAlign w:val="center"/>
          </w:tcPr>
          <w:p w:rsidR="00212513" w:rsidRDefault="00212513">
            <w:pPr>
              <w:pStyle w:val="ConsPlusNormal"/>
              <w:jc w:val="center"/>
            </w:pPr>
            <w:r>
              <w:t>28</w:t>
            </w:r>
          </w:p>
        </w:tc>
        <w:tc>
          <w:tcPr>
            <w:tcW w:w="906" w:type="dxa"/>
            <w:tcBorders>
              <w:top w:val="nil"/>
              <w:bottom w:val="nil"/>
            </w:tcBorders>
            <w:vAlign w:val="center"/>
          </w:tcPr>
          <w:p w:rsidR="00212513" w:rsidRDefault="00212513">
            <w:pPr>
              <w:pStyle w:val="ConsPlusNormal"/>
              <w:jc w:val="center"/>
            </w:pPr>
            <w:r>
              <w:t>24,3</w:t>
            </w:r>
          </w:p>
        </w:tc>
        <w:tc>
          <w:tcPr>
            <w:tcW w:w="907" w:type="dxa"/>
            <w:tcBorders>
              <w:top w:val="nil"/>
              <w:bottom w:val="nil"/>
            </w:tcBorders>
            <w:vAlign w:val="center"/>
          </w:tcPr>
          <w:p w:rsidR="00212513" w:rsidRDefault="00212513">
            <w:pPr>
              <w:pStyle w:val="ConsPlusNormal"/>
              <w:jc w:val="center"/>
            </w:pPr>
            <w:r>
              <w:t>97</w:t>
            </w:r>
          </w:p>
        </w:tc>
        <w:tc>
          <w:tcPr>
            <w:tcW w:w="1310" w:type="dxa"/>
            <w:tcBorders>
              <w:top w:val="nil"/>
              <w:bottom w:val="nil"/>
            </w:tcBorders>
          </w:tcPr>
          <w:p w:rsidR="00212513" w:rsidRDefault="00212513">
            <w:pPr>
              <w:pStyle w:val="ConsPlusNormal"/>
              <w:jc w:val="center"/>
            </w:pPr>
            <w:r>
              <w:t>0,58</w:t>
            </w:r>
          </w:p>
          <w:p w:rsidR="00212513" w:rsidRDefault="00212513">
            <w:pPr>
              <w:pStyle w:val="ConsPlusNormal"/>
              <w:jc w:val="center"/>
            </w:pPr>
            <w:r>
              <w:t>-----</w:t>
            </w:r>
          </w:p>
          <w:p w:rsidR="00212513" w:rsidRDefault="00212513">
            <w:pPr>
              <w:pStyle w:val="ConsPlusNormal"/>
              <w:jc w:val="center"/>
            </w:pPr>
            <w:r>
              <w:lastRenderedPageBreak/>
              <w:t>0,50</w:t>
            </w:r>
          </w:p>
          <w:p w:rsidR="00212513" w:rsidRDefault="00212513">
            <w:pPr>
              <w:pStyle w:val="ConsPlusNormal"/>
              <w:jc w:val="center"/>
            </w:pPr>
          </w:p>
        </w:tc>
        <w:tc>
          <w:tcPr>
            <w:tcW w:w="1310" w:type="dxa"/>
            <w:tcBorders>
              <w:top w:val="nil"/>
              <w:bottom w:val="nil"/>
            </w:tcBorders>
          </w:tcPr>
          <w:p w:rsidR="00212513" w:rsidRDefault="00212513">
            <w:pPr>
              <w:pStyle w:val="ConsPlusNormal"/>
              <w:jc w:val="center"/>
            </w:pPr>
            <w:r>
              <w:lastRenderedPageBreak/>
              <w:t>0,49</w:t>
            </w:r>
          </w:p>
          <w:p w:rsidR="00212513" w:rsidRDefault="00212513">
            <w:pPr>
              <w:pStyle w:val="ConsPlusNormal"/>
              <w:jc w:val="center"/>
            </w:pPr>
            <w:r>
              <w:t>-----</w:t>
            </w:r>
          </w:p>
          <w:p w:rsidR="00212513" w:rsidRDefault="00212513">
            <w:pPr>
              <w:pStyle w:val="ConsPlusNormal"/>
              <w:jc w:val="center"/>
            </w:pPr>
            <w:r>
              <w:lastRenderedPageBreak/>
              <w:t>0,41</w:t>
            </w:r>
          </w:p>
          <w:p w:rsidR="00212513" w:rsidRDefault="00212513">
            <w:pPr>
              <w:pStyle w:val="ConsPlusNormal"/>
              <w:jc w:val="center"/>
            </w:pPr>
          </w:p>
        </w:tc>
        <w:tc>
          <w:tcPr>
            <w:tcW w:w="1310" w:type="dxa"/>
            <w:tcBorders>
              <w:top w:val="nil"/>
              <w:bottom w:val="nil"/>
            </w:tcBorders>
          </w:tcPr>
          <w:p w:rsidR="00212513" w:rsidRDefault="00212513">
            <w:pPr>
              <w:pStyle w:val="ConsPlusNormal"/>
              <w:jc w:val="center"/>
            </w:pPr>
            <w:r>
              <w:lastRenderedPageBreak/>
              <w:t>0,43</w:t>
            </w:r>
          </w:p>
          <w:p w:rsidR="00212513" w:rsidRDefault="00212513">
            <w:pPr>
              <w:pStyle w:val="ConsPlusNormal"/>
              <w:jc w:val="center"/>
            </w:pPr>
            <w:r>
              <w:t>-----</w:t>
            </w:r>
          </w:p>
          <w:p w:rsidR="00212513" w:rsidRDefault="00212513">
            <w:pPr>
              <w:pStyle w:val="ConsPlusNormal"/>
              <w:jc w:val="center"/>
            </w:pPr>
            <w:r>
              <w:lastRenderedPageBreak/>
              <w:t>0,35</w:t>
            </w:r>
          </w:p>
          <w:p w:rsidR="00212513" w:rsidRDefault="00212513">
            <w:pPr>
              <w:pStyle w:val="ConsPlusNormal"/>
              <w:jc w:val="center"/>
            </w:pPr>
          </w:p>
        </w:tc>
        <w:tc>
          <w:tcPr>
            <w:tcW w:w="1311" w:type="dxa"/>
            <w:tcBorders>
              <w:top w:val="nil"/>
              <w:bottom w:val="nil"/>
            </w:tcBorders>
          </w:tcPr>
          <w:p w:rsidR="00212513" w:rsidRDefault="00212513">
            <w:pPr>
              <w:pStyle w:val="ConsPlusNormal"/>
              <w:jc w:val="center"/>
            </w:pPr>
            <w:r>
              <w:lastRenderedPageBreak/>
              <w:t>0,34</w:t>
            </w:r>
          </w:p>
          <w:p w:rsidR="00212513" w:rsidRDefault="00212513">
            <w:pPr>
              <w:pStyle w:val="ConsPlusNormal"/>
              <w:jc w:val="center"/>
            </w:pPr>
            <w:r>
              <w:t>-----</w:t>
            </w:r>
          </w:p>
          <w:p w:rsidR="00212513" w:rsidRDefault="00212513">
            <w:pPr>
              <w:pStyle w:val="ConsPlusNormal"/>
              <w:jc w:val="center"/>
            </w:pPr>
            <w:r>
              <w:lastRenderedPageBreak/>
              <w:t>0,26</w:t>
            </w:r>
          </w:p>
          <w:p w:rsidR="00212513" w:rsidRDefault="00212513">
            <w:pPr>
              <w:pStyle w:val="ConsPlusNormal"/>
              <w:jc w:val="center"/>
            </w:pPr>
          </w:p>
        </w:tc>
        <w:tc>
          <w:tcPr>
            <w:tcW w:w="1077" w:type="dxa"/>
            <w:tcBorders>
              <w:top w:val="nil"/>
              <w:bottom w:val="nil"/>
            </w:tcBorders>
            <w:vAlign w:val="center"/>
          </w:tcPr>
          <w:p w:rsidR="00212513" w:rsidRDefault="00212513">
            <w:pPr>
              <w:pStyle w:val="ConsPlusNormal"/>
              <w:jc w:val="center"/>
            </w:pPr>
            <w:r>
              <w:lastRenderedPageBreak/>
              <w:t>0,20</w:t>
            </w:r>
          </w:p>
        </w:tc>
      </w:tr>
      <w:tr w:rsidR="00212513">
        <w:tblPrEx>
          <w:tblBorders>
            <w:insideH w:val="none" w:sz="0" w:space="0" w:color="auto"/>
          </w:tblBorders>
        </w:tblPrEx>
        <w:tc>
          <w:tcPr>
            <w:tcW w:w="906" w:type="dxa"/>
            <w:tcBorders>
              <w:top w:val="nil"/>
              <w:bottom w:val="nil"/>
            </w:tcBorders>
            <w:vAlign w:val="center"/>
          </w:tcPr>
          <w:p w:rsidR="00212513" w:rsidRDefault="00212513">
            <w:pPr>
              <w:pStyle w:val="ConsPlusNormal"/>
              <w:jc w:val="center"/>
            </w:pPr>
            <w:r>
              <w:lastRenderedPageBreak/>
              <w:t>30</w:t>
            </w:r>
          </w:p>
        </w:tc>
        <w:tc>
          <w:tcPr>
            <w:tcW w:w="906" w:type="dxa"/>
            <w:tcBorders>
              <w:top w:val="nil"/>
              <w:bottom w:val="nil"/>
            </w:tcBorders>
            <w:vAlign w:val="center"/>
          </w:tcPr>
          <w:p w:rsidR="00212513" w:rsidRDefault="00212513">
            <w:pPr>
              <w:pStyle w:val="ConsPlusNormal"/>
              <w:jc w:val="center"/>
            </w:pPr>
            <w:r>
              <w:t>26</w:t>
            </w:r>
          </w:p>
        </w:tc>
        <w:tc>
          <w:tcPr>
            <w:tcW w:w="907" w:type="dxa"/>
            <w:tcBorders>
              <w:top w:val="nil"/>
              <w:bottom w:val="nil"/>
            </w:tcBorders>
            <w:vAlign w:val="center"/>
          </w:tcPr>
          <w:p w:rsidR="00212513" w:rsidRDefault="00212513">
            <w:pPr>
              <w:pStyle w:val="ConsPlusNormal"/>
              <w:jc w:val="center"/>
            </w:pPr>
            <w:r>
              <w:t>105</w:t>
            </w:r>
          </w:p>
        </w:tc>
        <w:tc>
          <w:tcPr>
            <w:tcW w:w="1310" w:type="dxa"/>
            <w:tcBorders>
              <w:top w:val="nil"/>
              <w:bottom w:val="nil"/>
            </w:tcBorders>
          </w:tcPr>
          <w:p w:rsidR="00212513" w:rsidRDefault="00212513">
            <w:pPr>
              <w:pStyle w:val="ConsPlusNormal"/>
              <w:jc w:val="center"/>
            </w:pPr>
            <w:r>
              <w:t>0,53</w:t>
            </w:r>
          </w:p>
          <w:p w:rsidR="00212513" w:rsidRDefault="00212513">
            <w:pPr>
              <w:pStyle w:val="ConsPlusNormal"/>
              <w:jc w:val="center"/>
            </w:pPr>
            <w:r>
              <w:t>-----</w:t>
            </w:r>
          </w:p>
          <w:p w:rsidR="00212513" w:rsidRDefault="00212513">
            <w:pPr>
              <w:pStyle w:val="ConsPlusNormal"/>
              <w:jc w:val="center"/>
            </w:pPr>
            <w:r>
              <w:t>0,46</w:t>
            </w:r>
          </w:p>
          <w:p w:rsidR="00212513" w:rsidRDefault="00212513">
            <w:pPr>
              <w:pStyle w:val="ConsPlusNormal"/>
              <w:jc w:val="center"/>
            </w:pPr>
          </w:p>
        </w:tc>
        <w:tc>
          <w:tcPr>
            <w:tcW w:w="1310" w:type="dxa"/>
            <w:tcBorders>
              <w:top w:val="nil"/>
              <w:bottom w:val="nil"/>
            </w:tcBorders>
          </w:tcPr>
          <w:p w:rsidR="00212513" w:rsidRDefault="00212513">
            <w:pPr>
              <w:pStyle w:val="ConsPlusNormal"/>
              <w:jc w:val="center"/>
            </w:pPr>
            <w:r>
              <w:t>0,45</w:t>
            </w:r>
          </w:p>
          <w:p w:rsidR="00212513" w:rsidRDefault="00212513">
            <w:pPr>
              <w:pStyle w:val="ConsPlusNormal"/>
              <w:jc w:val="center"/>
            </w:pPr>
            <w:r>
              <w:t>-----</w:t>
            </w:r>
          </w:p>
          <w:p w:rsidR="00212513" w:rsidRDefault="00212513">
            <w:pPr>
              <w:pStyle w:val="ConsPlusNormal"/>
              <w:jc w:val="center"/>
            </w:pPr>
            <w:r>
              <w:t>0,38</w:t>
            </w:r>
          </w:p>
          <w:p w:rsidR="00212513" w:rsidRDefault="00212513">
            <w:pPr>
              <w:pStyle w:val="ConsPlusNormal"/>
              <w:jc w:val="center"/>
            </w:pPr>
          </w:p>
        </w:tc>
        <w:tc>
          <w:tcPr>
            <w:tcW w:w="1310" w:type="dxa"/>
            <w:tcBorders>
              <w:top w:val="nil"/>
              <w:bottom w:val="nil"/>
            </w:tcBorders>
          </w:tcPr>
          <w:p w:rsidR="00212513" w:rsidRDefault="00212513">
            <w:pPr>
              <w:pStyle w:val="ConsPlusNormal"/>
              <w:jc w:val="center"/>
            </w:pPr>
            <w:r>
              <w:t>0,39</w:t>
            </w:r>
          </w:p>
          <w:p w:rsidR="00212513" w:rsidRDefault="00212513">
            <w:pPr>
              <w:pStyle w:val="ConsPlusNormal"/>
              <w:jc w:val="center"/>
            </w:pPr>
            <w:r>
              <w:t>-----</w:t>
            </w:r>
          </w:p>
          <w:p w:rsidR="00212513" w:rsidRDefault="00212513">
            <w:pPr>
              <w:pStyle w:val="ConsPlusNormal"/>
              <w:jc w:val="center"/>
            </w:pPr>
            <w:r>
              <w:t>0,32</w:t>
            </w:r>
          </w:p>
          <w:p w:rsidR="00212513" w:rsidRDefault="00212513">
            <w:pPr>
              <w:pStyle w:val="ConsPlusNormal"/>
              <w:jc w:val="center"/>
            </w:pPr>
          </w:p>
        </w:tc>
        <w:tc>
          <w:tcPr>
            <w:tcW w:w="1311" w:type="dxa"/>
            <w:tcBorders>
              <w:top w:val="nil"/>
              <w:bottom w:val="nil"/>
            </w:tcBorders>
          </w:tcPr>
          <w:p w:rsidR="00212513" w:rsidRDefault="00212513">
            <w:pPr>
              <w:pStyle w:val="ConsPlusNormal"/>
              <w:jc w:val="center"/>
            </w:pPr>
            <w:r>
              <w:t>0,32</w:t>
            </w:r>
          </w:p>
          <w:p w:rsidR="00212513" w:rsidRDefault="00212513">
            <w:pPr>
              <w:pStyle w:val="ConsPlusNormal"/>
              <w:jc w:val="center"/>
            </w:pPr>
            <w:r>
              <w:t>-----</w:t>
            </w:r>
          </w:p>
          <w:p w:rsidR="00212513" w:rsidRDefault="00212513">
            <w:pPr>
              <w:pStyle w:val="ConsPlusNormal"/>
              <w:jc w:val="center"/>
            </w:pPr>
            <w:r>
              <w:t>0,25</w:t>
            </w:r>
          </w:p>
          <w:p w:rsidR="00212513" w:rsidRDefault="00212513">
            <w:pPr>
              <w:pStyle w:val="ConsPlusNormal"/>
              <w:jc w:val="center"/>
            </w:pPr>
          </w:p>
        </w:tc>
        <w:tc>
          <w:tcPr>
            <w:tcW w:w="1077" w:type="dxa"/>
            <w:tcBorders>
              <w:top w:val="nil"/>
              <w:bottom w:val="nil"/>
            </w:tcBorders>
            <w:vAlign w:val="center"/>
          </w:tcPr>
          <w:p w:rsidR="00212513" w:rsidRDefault="00212513">
            <w:pPr>
              <w:pStyle w:val="ConsPlusNormal"/>
              <w:jc w:val="center"/>
            </w:pPr>
            <w:r>
              <w:t>0,16</w:t>
            </w:r>
          </w:p>
        </w:tc>
      </w:tr>
      <w:tr w:rsidR="00212513">
        <w:tblPrEx>
          <w:tblBorders>
            <w:insideH w:val="none" w:sz="0" w:space="0" w:color="auto"/>
          </w:tblBorders>
        </w:tblPrEx>
        <w:tc>
          <w:tcPr>
            <w:tcW w:w="906" w:type="dxa"/>
            <w:tcBorders>
              <w:top w:val="nil"/>
              <w:bottom w:val="nil"/>
            </w:tcBorders>
            <w:vAlign w:val="center"/>
          </w:tcPr>
          <w:p w:rsidR="00212513" w:rsidRDefault="00212513">
            <w:pPr>
              <w:pStyle w:val="ConsPlusNormal"/>
              <w:jc w:val="center"/>
            </w:pPr>
            <w:r>
              <w:t>32</w:t>
            </w:r>
          </w:p>
        </w:tc>
        <w:tc>
          <w:tcPr>
            <w:tcW w:w="906" w:type="dxa"/>
            <w:tcBorders>
              <w:top w:val="nil"/>
              <w:bottom w:val="nil"/>
            </w:tcBorders>
            <w:vAlign w:val="center"/>
          </w:tcPr>
          <w:p w:rsidR="00212513" w:rsidRDefault="00212513">
            <w:pPr>
              <w:pStyle w:val="ConsPlusNormal"/>
              <w:jc w:val="center"/>
            </w:pPr>
            <w:r>
              <w:t>27,7</w:t>
            </w:r>
          </w:p>
        </w:tc>
        <w:tc>
          <w:tcPr>
            <w:tcW w:w="907" w:type="dxa"/>
            <w:tcBorders>
              <w:top w:val="nil"/>
              <w:bottom w:val="nil"/>
            </w:tcBorders>
            <w:vAlign w:val="center"/>
          </w:tcPr>
          <w:p w:rsidR="00212513" w:rsidRDefault="00212513">
            <w:pPr>
              <w:pStyle w:val="ConsPlusNormal"/>
              <w:jc w:val="center"/>
            </w:pPr>
            <w:r>
              <w:t>110</w:t>
            </w:r>
          </w:p>
        </w:tc>
        <w:tc>
          <w:tcPr>
            <w:tcW w:w="1310" w:type="dxa"/>
            <w:tcBorders>
              <w:top w:val="nil"/>
              <w:bottom w:val="nil"/>
            </w:tcBorders>
          </w:tcPr>
          <w:p w:rsidR="00212513" w:rsidRDefault="00212513">
            <w:pPr>
              <w:pStyle w:val="ConsPlusNormal"/>
              <w:jc w:val="center"/>
            </w:pPr>
            <w:r>
              <w:t>0,48</w:t>
            </w:r>
          </w:p>
          <w:p w:rsidR="00212513" w:rsidRDefault="00212513">
            <w:pPr>
              <w:pStyle w:val="ConsPlusNormal"/>
              <w:jc w:val="center"/>
            </w:pPr>
            <w:r>
              <w:t>-----</w:t>
            </w:r>
          </w:p>
          <w:p w:rsidR="00212513" w:rsidRDefault="00212513">
            <w:pPr>
              <w:pStyle w:val="ConsPlusNormal"/>
              <w:jc w:val="center"/>
            </w:pPr>
            <w:r>
              <w:t>0,42</w:t>
            </w:r>
          </w:p>
        </w:tc>
        <w:tc>
          <w:tcPr>
            <w:tcW w:w="1310" w:type="dxa"/>
            <w:tcBorders>
              <w:top w:val="nil"/>
              <w:bottom w:val="nil"/>
            </w:tcBorders>
          </w:tcPr>
          <w:p w:rsidR="00212513" w:rsidRDefault="00212513">
            <w:pPr>
              <w:pStyle w:val="ConsPlusNormal"/>
              <w:jc w:val="center"/>
            </w:pPr>
            <w:r>
              <w:t>0,41</w:t>
            </w:r>
          </w:p>
          <w:p w:rsidR="00212513" w:rsidRDefault="00212513">
            <w:pPr>
              <w:pStyle w:val="ConsPlusNormal"/>
              <w:jc w:val="center"/>
            </w:pPr>
            <w:r>
              <w:t>-----</w:t>
            </w:r>
          </w:p>
          <w:p w:rsidR="00212513" w:rsidRDefault="00212513">
            <w:pPr>
              <w:pStyle w:val="ConsPlusNormal"/>
              <w:jc w:val="center"/>
            </w:pPr>
            <w:r>
              <w:t>0,35</w:t>
            </w:r>
          </w:p>
        </w:tc>
        <w:tc>
          <w:tcPr>
            <w:tcW w:w="1310" w:type="dxa"/>
            <w:tcBorders>
              <w:top w:val="nil"/>
              <w:bottom w:val="nil"/>
            </w:tcBorders>
          </w:tcPr>
          <w:p w:rsidR="00212513" w:rsidRDefault="00212513">
            <w:pPr>
              <w:pStyle w:val="ConsPlusNormal"/>
              <w:jc w:val="center"/>
            </w:pPr>
            <w:r>
              <w:t>0,36</w:t>
            </w:r>
          </w:p>
          <w:p w:rsidR="00212513" w:rsidRDefault="00212513">
            <w:pPr>
              <w:pStyle w:val="ConsPlusNormal"/>
              <w:jc w:val="center"/>
            </w:pPr>
            <w:r>
              <w:t>-----</w:t>
            </w:r>
          </w:p>
          <w:p w:rsidR="00212513" w:rsidRDefault="00212513">
            <w:pPr>
              <w:pStyle w:val="ConsPlusNormal"/>
              <w:jc w:val="center"/>
            </w:pPr>
            <w:r>
              <w:t>0,30</w:t>
            </w:r>
          </w:p>
        </w:tc>
        <w:tc>
          <w:tcPr>
            <w:tcW w:w="1311" w:type="dxa"/>
            <w:tcBorders>
              <w:top w:val="nil"/>
              <w:bottom w:val="nil"/>
            </w:tcBorders>
          </w:tcPr>
          <w:p w:rsidR="00212513" w:rsidRDefault="00212513">
            <w:pPr>
              <w:pStyle w:val="ConsPlusNormal"/>
              <w:jc w:val="center"/>
            </w:pPr>
            <w:r>
              <w:t>0,31</w:t>
            </w:r>
          </w:p>
          <w:p w:rsidR="00212513" w:rsidRDefault="00212513">
            <w:pPr>
              <w:pStyle w:val="ConsPlusNormal"/>
              <w:jc w:val="center"/>
            </w:pPr>
            <w:r>
              <w:t>-----</w:t>
            </w:r>
          </w:p>
          <w:p w:rsidR="00212513" w:rsidRDefault="00212513">
            <w:pPr>
              <w:pStyle w:val="ConsPlusNormal"/>
              <w:jc w:val="center"/>
            </w:pPr>
            <w:r>
              <w:t>0,25</w:t>
            </w:r>
          </w:p>
        </w:tc>
        <w:tc>
          <w:tcPr>
            <w:tcW w:w="1077" w:type="dxa"/>
            <w:tcBorders>
              <w:top w:val="nil"/>
              <w:bottom w:val="nil"/>
            </w:tcBorders>
            <w:vAlign w:val="center"/>
          </w:tcPr>
          <w:p w:rsidR="00212513" w:rsidRDefault="00212513">
            <w:pPr>
              <w:pStyle w:val="ConsPlusNormal"/>
              <w:jc w:val="center"/>
            </w:pPr>
            <w:r>
              <w:t>0,14</w:t>
            </w:r>
          </w:p>
        </w:tc>
      </w:tr>
      <w:tr w:rsidR="00212513">
        <w:tblPrEx>
          <w:tblBorders>
            <w:insideH w:val="none" w:sz="0" w:space="0" w:color="auto"/>
          </w:tblBorders>
        </w:tblPrEx>
        <w:tc>
          <w:tcPr>
            <w:tcW w:w="906" w:type="dxa"/>
            <w:tcBorders>
              <w:top w:val="nil"/>
              <w:bottom w:val="nil"/>
            </w:tcBorders>
            <w:vAlign w:val="center"/>
          </w:tcPr>
          <w:p w:rsidR="00212513" w:rsidRDefault="00212513">
            <w:pPr>
              <w:pStyle w:val="ConsPlusNormal"/>
              <w:jc w:val="center"/>
            </w:pPr>
            <w:r>
              <w:t>34</w:t>
            </w:r>
          </w:p>
        </w:tc>
        <w:tc>
          <w:tcPr>
            <w:tcW w:w="906" w:type="dxa"/>
            <w:tcBorders>
              <w:top w:val="nil"/>
              <w:bottom w:val="nil"/>
            </w:tcBorders>
            <w:vAlign w:val="center"/>
          </w:tcPr>
          <w:p w:rsidR="00212513" w:rsidRDefault="00212513">
            <w:pPr>
              <w:pStyle w:val="ConsPlusNormal"/>
              <w:jc w:val="center"/>
            </w:pPr>
            <w:r>
              <w:t>29</w:t>
            </w:r>
          </w:p>
        </w:tc>
        <w:tc>
          <w:tcPr>
            <w:tcW w:w="907" w:type="dxa"/>
            <w:tcBorders>
              <w:top w:val="nil"/>
              <w:bottom w:val="nil"/>
            </w:tcBorders>
            <w:vAlign w:val="center"/>
          </w:tcPr>
          <w:p w:rsidR="00212513" w:rsidRDefault="00212513">
            <w:pPr>
              <w:pStyle w:val="ConsPlusNormal"/>
              <w:jc w:val="center"/>
            </w:pPr>
            <w:r>
              <w:t>120</w:t>
            </w:r>
          </w:p>
        </w:tc>
        <w:tc>
          <w:tcPr>
            <w:tcW w:w="1310" w:type="dxa"/>
            <w:tcBorders>
              <w:top w:val="nil"/>
              <w:bottom w:val="nil"/>
            </w:tcBorders>
          </w:tcPr>
          <w:p w:rsidR="00212513" w:rsidRDefault="00212513">
            <w:pPr>
              <w:pStyle w:val="ConsPlusNormal"/>
              <w:jc w:val="center"/>
            </w:pPr>
            <w:r>
              <w:t>0,43</w:t>
            </w:r>
          </w:p>
          <w:p w:rsidR="00212513" w:rsidRDefault="00212513">
            <w:pPr>
              <w:pStyle w:val="ConsPlusNormal"/>
              <w:jc w:val="center"/>
            </w:pPr>
            <w:r>
              <w:t>-----</w:t>
            </w:r>
          </w:p>
          <w:p w:rsidR="00212513" w:rsidRDefault="00212513">
            <w:pPr>
              <w:pStyle w:val="ConsPlusNormal"/>
              <w:jc w:val="center"/>
            </w:pPr>
            <w:r>
              <w:t>0,39</w:t>
            </w:r>
          </w:p>
        </w:tc>
        <w:tc>
          <w:tcPr>
            <w:tcW w:w="1310" w:type="dxa"/>
            <w:tcBorders>
              <w:top w:val="nil"/>
              <w:bottom w:val="nil"/>
            </w:tcBorders>
          </w:tcPr>
          <w:p w:rsidR="00212513" w:rsidRDefault="00212513">
            <w:pPr>
              <w:pStyle w:val="ConsPlusNormal"/>
              <w:jc w:val="center"/>
            </w:pPr>
            <w:r>
              <w:t>0,36</w:t>
            </w:r>
          </w:p>
          <w:p w:rsidR="00212513" w:rsidRDefault="00212513">
            <w:pPr>
              <w:pStyle w:val="ConsPlusNormal"/>
              <w:jc w:val="center"/>
            </w:pPr>
            <w:r>
              <w:t>-----</w:t>
            </w:r>
          </w:p>
          <w:p w:rsidR="00212513" w:rsidRDefault="00212513">
            <w:pPr>
              <w:pStyle w:val="ConsPlusNormal"/>
              <w:jc w:val="center"/>
            </w:pPr>
            <w:r>
              <w:t>0,32</w:t>
            </w:r>
          </w:p>
        </w:tc>
        <w:tc>
          <w:tcPr>
            <w:tcW w:w="1310" w:type="dxa"/>
            <w:tcBorders>
              <w:top w:val="nil"/>
              <w:bottom w:val="nil"/>
            </w:tcBorders>
          </w:tcPr>
          <w:p w:rsidR="00212513" w:rsidRDefault="00212513">
            <w:pPr>
              <w:pStyle w:val="ConsPlusNormal"/>
              <w:jc w:val="center"/>
            </w:pPr>
            <w:r>
              <w:t>0,31</w:t>
            </w:r>
          </w:p>
          <w:p w:rsidR="00212513" w:rsidRDefault="00212513">
            <w:pPr>
              <w:pStyle w:val="ConsPlusNormal"/>
              <w:jc w:val="center"/>
            </w:pPr>
            <w:r>
              <w:t>-----</w:t>
            </w:r>
          </w:p>
          <w:p w:rsidR="00212513" w:rsidRDefault="00212513">
            <w:pPr>
              <w:pStyle w:val="ConsPlusNormal"/>
              <w:jc w:val="center"/>
            </w:pPr>
            <w:r>
              <w:t>0,27</w:t>
            </w:r>
          </w:p>
        </w:tc>
        <w:tc>
          <w:tcPr>
            <w:tcW w:w="1311" w:type="dxa"/>
            <w:tcBorders>
              <w:top w:val="nil"/>
              <w:bottom w:val="nil"/>
            </w:tcBorders>
          </w:tcPr>
          <w:p w:rsidR="00212513" w:rsidRDefault="00212513">
            <w:pPr>
              <w:pStyle w:val="ConsPlusNormal"/>
              <w:jc w:val="center"/>
            </w:pPr>
            <w:r>
              <w:t>0,25</w:t>
            </w:r>
          </w:p>
          <w:p w:rsidR="00212513" w:rsidRDefault="00212513">
            <w:pPr>
              <w:pStyle w:val="ConsPlusNormal"/>
              <w:jc w:val="center"/>
            </w:pPr>
            <w:r>
              <w:t>-----</w:t>
            </w:r>
          </w:p>
          <w:p w:rsidR="00212513" w:rsidRDefault="00212513">
            <w:pPr>
              <w:pStyle w:val="ConsPlusNormal"/>
              <w:jc w:val="center"/>
            </w:pPr>
            <w:r>
              <w:t>0,21</w:t>
            </w:r>
          </w:p>
        </w:tc>
        <w:tc>
          <w:tcPr>
            <w:tcW w:w="1077" w:type="dxa"/>
            <w:tcBorders>
              <w:top w:val="nil"/>
              <w:bottom w:val="nil"/>
            </w:tcBorders>
            <w:vAlign w:val="center"/>
          </w:tcPr>
          <w:p w:rsidR="00212513" w:rsidRDefault="00212513">
            <w:pPr>
              <w:pStyle w:val="ConsPlusNormal"/>
              <w:jc w:val="center"/>
            </w:pPr>
            <w:r>
              <w:t>0,10</w:t>
            </w:r>
          </w:p>
        </w:tc>
      </w:tr>
      <w:tr w:rsidR="00212513">
        <w:tblPrEx>
          <w:tblBorders>
            <w:insideH w:val="none" w:sz="0" w:space="0" w:color="auto"/>
          </w:tblBorders>
        </w:tblPrEx>
        <w:tc>
          <w:tcPr>
            <w:tcW w:w="906" w:type="dxa"/>
            <w:tcBorders>
              <w:top w:val="nil"/>
              <w:bottom w:val="nil"/>
            </w:tcBorders>
            <w:vAlign w:val="center"/>
          </w:tcPr>
          <w:p w:rsidR="00212513" w:rsidRDefault="00212513">
            <w:pPr>
              <w:pStyle w:val="ConsPlusNormal"/>
              <w:jc w:val="center"/>
            </w:pPr>
            <w:r>
              <w:t>38</w:t>
            </w:r>
          </w:p>
        </w:tc>
        <w:tc>
          <w:tcPr>
            <w:tcW w:w="906" w:type="dxa"/>
            <w:tcBorders>
              <w:top w:val="nil"/>
              <w:bottom w:val="nil"/>
            </w:tcBorders>
            <w:vAlign w:val="center"/>
          </w:tcPr>
          <w:p w:rsidR="00212513" w:rsidRDefault="00212513">
            <w:pPr>
              <w:pStyle w:val="ConsPlusNormal"/>
              <w:jc w:val="center"/>
            </w:pPr>
            <w:r>
              <w:t>33</w:t>
            </w:r>
          </w:p>
        </w:tc>
        <w:tc>
          <w:tcPr>
            <w:tcW w:w="907" w:type="dxa"/>
            <w:tcBorders>
              <w:top w:val="nil"/>
              <w:bottom w:val="nil"/>
            </w:tcBorders>
            <w:vAlign w:val="center"/>
          </w:tcPr>
          <w:p w:rsidR="00212513" w:rsidRDefault="00212513">
            <w:pPr>
              <w:pStyle w:val="ConsPlusNormal"/>
              <w:jc w:val="center"/>
            </w:pPr>
            <w:r>
              <w:t>130</w:t>
            </w:r>
          </w:p>
        </w:tc>
        <w:tc>
          <w:tcPr>
            <w:tcW w:w="1310" w:type="dxa"/>
            <w:tcBorders>
              <w:top w:val="nil"/>
              <w:bottom w:val="nil"/>
            </w:tcBorders>
          </w:tcPr>
          <w:p w:rsidR="00212513" w:rsidRDefault="00212513">
            <w:pPr>
              <w:pStyle w:val="ConsPlusNormal"/>
              <w:jc w:val="center"/>
            </w:pPr>
            <w:r>
              <w:t>0,38</w:t>
            </w:r>
          </w:p>
          <w:p w:rsidR="00212513" w:rsidRDefault="00212513">
            <w:pPr>
              <w:pStyle w:val="ConsPlusNormal"/>
              <w:jc w:val="center"/>
            </w:pPr>
            <w:r>
              <w:t>-----</w:t>
            </w:r>
          </w:p>
          <w:p w:rsidR="00212513" w:rsidRDefault="00212513">
            <w:pPr>
              <w:pStyle w:val="ConsPlusNormal"/>
              <w:jc w:val="center"/>
            </w:pPr>
            <w:r>
              <w:t>0,33</w:t>
            </w:r>
          </w:p>
          <w:p w:rsidR="00212513" w:rsidRDefault="00212513">
            <w:pPr>
              <w:pStyle w:val="ConsPlusNormal"/>
              <w:jc w:val="center"/>
            </w:pPr>
          </w:p>
        </w:tc>
        <w:tc>
          <w:tcPr>
            <w:tcW w:w="1310" w:type="dxa"/>
            <w:tcBorders>
              <w:top w:val="nil"/>
              <w:bottom w:val="nil"/>
            </w:tcBorders>
          </w:tcPr>
          <w:p w:rsidR="00212513" w:rsidRDefault="00212513">
            <w:pPr>
              <w:pStyle w:val="ConsPlusNormal"/>
              <w:jc w:val="center"/>
            </w:pPr>
            <w:r>
              <w:t>0,32</w:t>
            </w:r>
          </w:p>
          <w:p w:rsidR="00212513" w:rsidRDefault="00212513">
            <w:pPr>
              <w:pStyle w:val="ConsPlusNormal"/>
              <w:jc w:val="center"/>
            </w:pPr>
            <w:r>
              <w:t>-----</w:t>
            </w:r>
          </w:p>
          <w:p w:rsidR="00212513" w:rsidRDefault="00212513">
            <w:pPr>
              <w:pStyle w:val="ConsPlusNormal"/>
              <w:jc w:val="center"/>
            </w:pPr>
            <w:r>
              <w:t>0,28</w:t>
            </w:r>
          </w:p>
          <w:p w:rsidR="00212513" w:rsidRDefault="00212513">
            <w:pPr>
              <w:pStyle w:val="ConsPlusNormal"/>
              <w:jc w:val="center"/>
            </w:pPr>
          </w:p>
        </w:tc>
        <w:tc>
          <w:tcPr>
            <w:tcW w:w="1310" w:type="dxa"/>
            <w:tcBorders>
              <w:top w:val="nil"/>
              <w:bottom w:val="nil"/>
            </w:tcBorders>
          </w:tcPr>
          <w:p w:rsidR="00212513" w:rsidRDefault="00212513">
            <w:pPr>
              <w:pStyle w:val="ConsPlusNormal"/>
              <w:jc w:val="center"/>
            </w:pPr>
            <w:r>
              <w:t>0,28</w:t>
            </w:r>
          </w:p>
          <w:p w:rsidR="00212513" w:rsidRDefault="00212513">
            <w:pPr>
              <w:pStyle w:val="ConsPlusNormal"/>
              <w:jc w:val="center"/>
            </w:pPr>
            <w:r>
              <w:t>-----</w:t>
            </w:r>
          </w:p>
          <w:p w:rsidR="00212513" w:rsidRDefault="00212513">
            <w:pPr>
              <w:pStyle w:val="ConsPlusNormal"/>
              <w:jc w:val="center"/>
            </w:pPr>
            <w:r>
              <w:t>0,24</w:t>
            </w:r>
          </w:p>
          <w:p w:rsidR="00212513" w:rsidRDefault="00212513">
            <w:pPr>
              <w:pStyle w:val="ConsPlusNormal"/>
              <w:jc w:val="center"/>
            </w:pPr>
          </w:p>
        </w:tc>
        <w:tc>
          <w:tcPr>
            <w:tcW w:w="1311" w:type="dxa"/>
            <w:tcBorders>
              <w:top w:val="nil"/>
              <w:bottom w:val="nil"/>
            </w:tcBorders>
          </w:tcPr>
          <w:p w:rsidR="00212513" w:rsidRDefault="00212513">
            <w:pPr>
              <w:pStyle w:val="ConsPlusNormal"/>
              <w:jc w:val="center"/>
            </w:pPr>
            <w:r>
              <w:t>0,24</w:t>
            </w:r>
          </w:p>
          <w:p w:rsidR="00212513" w:rsidRDefault="00212513">
            <w:pPr>
              <w:pStyle w:val="ConsPlusNormal"/>
              <w:jc w:val="center"/>
            </w:pPr>
            <w:r>
              <w:t>-----</w:t>
            </w:r>
          </w:p>
          <w:p w:rsidR="00212513" w:rsidRDefault="00212513">
            <w:pPr>
              <w:pStyle w:val="ConsPlusNormal"/>
              <w:jc w:val="center"/>
            </w:pPr>
            <w:r>
              <w:t>0,20</w:t>
            </w:r>
          </w:p>
          <w:p w:rsidR="00212513" w:rsidRDefault="00212513">
            <w:pPr>
              <w:pStyle w:val="ConsPlusNormal"/>
              <w:jc w:val="center"/>
            </w:pPr>
          </w:p>
        </w:tc>
        <w:tc>
          <w:tcPr>
            <w:tcW w:w="1077" w:type="dxa"/>
            <w:tcBorders>
              <w:top w:val="nil"/>
              <w:bottom w:val="nil"/>
            </w:tcBorders>
            <w:vAlign w:val="center"/>
          </w:tcPr>
          <w:p w:rsidR="00212513" w:rsidRDefault="00212513">
            <w:pPr>
              <w:pStyle w:val="ConsPlusNormal"/>
              <w:jc w:val="center"/>
            </w:pPr>
            <w:r>
              <w:t>0,08</w:t>
            </w:r>
          </w:p>
        </w:tc>
      </w:tr>
      <w:tr w:rsidR="00212513">
        <w:tblPrEx>
          <w:tblBorders>
            <w:insideH w:val="none" w:sz="0" w:space="0" w:color="auto"/>
          </w:tblBorders>
        </w:tblPrEx>
        <w:tc>
          <w:tcPr>
            <w:tcW w:w="906" w:type="dxa"/>
            <w:tcBorders>
              <w:top w:val="nil"/>
              <w:bottom w:val="nil"/>
            </w:tcBorders>
            <w:vAlign w:val="center"/>
          </w:tcPr>
          <w:p w:rsidR="00212513" w:rsidRDefault="00212513">
            <w:pPr>
              <w:pStyle w:val="ConsPlusNormal"/>
              <w:jc w:val="center"/>
            </w:pPr>
            <w:r>
              <w:t>40</w:t>
            </w:r>
          </w:p>
        </w:tc>
        <w:tc>
          <w:tcPr>
            <w:tcW w:w="906" w:type="dxa"/>
            <w:tcBorders>
              <w:top w:val="nil"/>
              <w:bottom w:val="nil"/>
            </w:tcBorders>
            <w:vAlign w:val="center"/>
          </w:tcPr>
          <w:p w:rsidR="00212513" w:rsidRDefault="00212513">
            <w:pPr>
              <w:pStyle w:val="ConsPlusNormal"/>
              <w:jc w:val="center"/>
            </w:pPr>
            <w:r>
              <w:t>34,6</w:t>
            </w:r>
          </w:p>
        </w:tc>
        <w:tc>
          <w:tcPr>
            <w:tcW w:w="907" w:type="dxa"/>
            <w:tcBorders>
              <w:top w:val="nil"/>
              <w:bottom w:val="nil"/>
            </w:tcBorders>
            <w:vAlign w:val="center"/>
          </w:tcPr>
          <w:p w:rsidR="00212513" w:rsidRDefault="00212513">
            <w:pPr>
              <w:pStyle w:val="ConsPlusNormal"/>
              <w:jc w:val="center"/>
            </w:pPr>
            <w:r>
              <w:t>140</w:t>
            </w:r>
          </w:p>
        </w:tc>
        <w:tc>
          <w:tcPr>
            <w:tcW w:w="1310" w:type="dxa"/>
            <w:tcBorders>
              <w:top w:val="nil"/>
              <w:bottom w:val="nil"/>
            </w:tcBorders>
          </w:tcPr>
          <w:p w:rsidR="00212513" w:rsidRDefault="00212513">
            <w:pPr>
              <w:pStyle w:val="ConsPlusNormal"/>
              <w:jc w:val="center"/>
            </w:pPr>
            <w:r>
              <w:t>0,35</w:t>
            </w:r>
          </w:p>
          <w:p w:rsidR="00212513" w:rsidRDefault="00212513">
            <w:pPr>
              <w:pStyle w:val="ConsPlusNormal"/>
              <w:jc w:val="center"/>
            </w:pPr>
            <w:r>
              <w:t>-----</w:t>
            </w:r>
          </w:p>
          <w:p w:rsidR="00212513" w:rsidRDefault="00212513">
            <w:pPr>
              <w:pStyle w:val="ConsPlusNormal"/>
              <w:jc w:val="center"/>
            </w:pPr>
            <w:r>
              <w:t>0,32</w:t>
            </w:r>
          </w:p>
          <w:p w:rsidR="00212513" w:rsidRDefault="00212513">
            <w:pPr>
              <w:pStyle w:val="ConsPlusNormal"/>
              <w:jc w:val="center"/>
            </w:pPr>
          </w:p>
        </w:tc>
        <w:tc>
          <w:tcPr>
            <w:tcW w:w="1310" w:type="dxa"/>
            <w:tcBorders>
              <w:top w:val="nil"/>
              <w:bottom w:val="nil"/>
            </w:tcBorders>
          </w:tcPr>
          <w:p w:rsidR="00212513" w:rsidRDefault="00212513">
            <w:pPr>
              <w:pStyle w:val="ConsPlusNormal"/>
              <w:jc w:val="center"/>
            </w:pPr>
            <w:r>
              <w:t>0,29</w:t>
            </w:r>
          </w:p>
          <w:p w:rsidR="00212513" w:rsidRDefault="00212513">
            <w:pPr>
              <w:pStyle w:val="ConsPlusNormal"/>
              <w:jc w:val="center"/>
            </w:pPr>
            <w:r>
              <w:t>-----</w:t>
            </w:r>
          </w:p>
          <w:p w:rsidR="00212513" w:rsidRDefault="00212513">
            <w:pPr>
              <w:pStyle w:val="ConsPlusNormal"/>
              <w:jc w:val="center"/>
            </w:pPr>
            <w:r>
              <w:t>0,26</w:t>
            </w:r>
          </w:p>
          <w:p w:rsidR="00212513" w:rsidRDefault="00212513">
            <w:pPr>
              <w:pStyle w:val="ConsPlusNormal"/>
              <w:jc w:val="center"/>
            </w:pPr>
          </w:p>
        </w:tc>
        <w:tc>
          <w:tcPr>
            <w:tcW w:w="1310" w:type="dxa"/>
            <w:tcBorders>
              <w:top w:val="nil"/>
              <w:bottom w:val="nil"/>
            </w:tcBorders>
          </w:tcPr>
          <w:p w:rsidR="00212513" w:rsidRDefault="00212513">
            <w:pPr>
              <w:pStyle w:val="ConsPlusNormal"/>
              <w:jc w:val="center"/>
            </w:pPr>
            <w:r>
              <w:t>0,25</w:t>
            </w:r>
          </w:p>
          <w:p w:rsidR="00212513" w:rsidRDefault="00212513">
            <w:pPr>
              <w:pStyle w:val="ConsPlusNormal"/>
              <w:jc w:val="center"/>
            </w:pPr>
            <w:r>
              <w:t>-----</w:t>
            </w:r>
          </w:p>
          <w:p w:rsidR="00212513" w:rsidRDefault="00212513">
            <w:pPr>
              <w:pStyle w:val="ConsPlusNormal"/>
              <w:jc w:val="center"/>
            </w:pPr>
            <w:r>
              <w:t>0,22</w:t>
            </w:r>
          </w:p>
          <w:p w:rsidR="00212513" w:rsidRDefault="00212513">
            <w:pPr>
              <w:pStyle w:val="ConsPlusNormal"/>
              <w:jc w:val="center"/>
            </w:pPr>
          </w:p>
        </w:tc>
        <w:tc>
          <w:tcPr>
            <w:tcW w:w="1311" w:type="dxa"/>
            <w:tcBorders>
              <w:top w:val="nil"/>
              <w:bottom w:val="nil"/>
            </w:tcBorders>
          </w:tcPr>
          <w:p w:rsidR="00212513" w:rsidRDefault="00212513">
            <w:pPr>
              <w:pStyle w:val="ConsPlusNormal"/>
              <w:jc w:val="center"/>
            </w:pPr>
            <w:r>
              <w:t>0,21</w:t>
            </w:r>
          </w:p>
          <w:p w:rsidR="00212513" w:rsidRDefault="00212513">
            <w:pPr>
              <w:pStyle w:val="ConsPlusNormal"/>
              <w:jc w:val="center"/>
            </w:pPr>
            <w:r>
              <w:t>-----</w:t>
            </w:r>
          </w:p>
          <w:p w:rsidR="00212513" w:rsidRDefault="00212513">
            <w:pPr>
              <w:pStyle w:val="ConsPlusNormal"/>
              <w:jc w:val="center"/>
            </w:pPr>
            <w:r>
              <w:t>0,18</w:t>
            </w:r>
          </w:p>
          <w:p w:rsidR="00212513" w:rsidRDefault="00212513">
            <w:pPr>
              <w:pStyle w:val="ConsPlusNormal"/>
              <w:jc w:val="center"/>
            </w:pPr>
          </w:p>
        </w:tc>
        <w:tc>
          <w:tcPr>
            <w:tcW w:w="1077" w:type="dxa"/>
            <w:tcBorders>
              <w:top w:val="nil"/>
              <w:bottom w:val="nil"/>
            </w:tcBorders>
            <w:vAlign w:val="center"/>
          </w:tcPr>
          <w:p w:rsidR="00212513" w:rsidRDefault="00212513">
            <w:pPr>
              <w:pStyle w:val="ConsPlusNormal"/>
              <w:jc w:val="center"/>
            </w:pPr>
            <w:r>
              <w:t>0,07</w:t>
            </w:r>
          </w:p>
        </w:tc>
      </w:tr>
      <w:tr w:rsidR="00212513">
        <w:tblPrEx>
          <w:tblBorders>
            <w:insideH w:val="none" w:sz="0" w:space="0" w:color="auto"/>
          </w:tblBorders>
        </w:tblPrEx>
        <w:tc>
          <w:tcPr>
            <w:tcW w:w="906" w:type="dxa"/>
            <w:tcBorders>
              <w:top w:val="nil"/>
              <w:bottom w:val="single" w:sz="4" w:space="0" w:color="auto"/>
            </w:tcBorders>
            <w:vAlign w:val="center"/>
          </w:tcPr>
          <w:p w:rsidR="00212513" w:rsidRDefault="00212513">
            <w:pPr>
              <w:pStyle w:val="ConsPlusNormal"/>
              <w:jc w:val="center"/>
            </w:pPr>
            <w:r>
              <w:t>43</w:t>
            </w:r>
          </w:p>
        </w:tc>
        <w:tc>
          <w:tcPr>
            <w:tcW w:w="906" w:type="dxa"/>
            <w:tcBorders>
              <w:top w:val="nil"/>
              <w:bottom w:val="single" w:sz="4" w:space="0" w:color="auto"/>
            </w:tcBorders>
            <w:vAlign w:val="center"/>
          </w:tcPr>
          <w:p w:rsidR="00212513" w:rsidRDefault="00212513">
            <w:pPr>
              <w:pStyle w:val="ConsPlusNormal"/>
              <w:jc w:val="center"/>
            </w:pPr>
            <w:r>
              <w:t>37,5</w:t>
            </w:r>
          </w:p>
        </w:tc>
        <w:tc>
          <w:tcPr>
            <w:tcW w:w="907" w:type="dxa"/>
            <w:tcBorders>
              <w:top w:val="nil"/>
              <w:bottom w:val="single" w:sz="4" w:space="0" w:color="auto"/>
            </w:tcBorders>
            <w:vAlign w:val="center"/>
          </w:tcPr>
          <w:p w:rsidR="00212513" w:rsidRDefault="00212513">
            <w:pPr>
              <w:pStyle w:val="ConsPlusNormal"/>
              <w:jc w:val="center"/>
            </w:pPr>
            <w:r>
              <w:t>150</w:t>
            </w:r>
          </w:p>
        </w:tc>
        <w:tc>
          <w:tcPr>
            <w:tcW w:w="1310" w:type="dxa"/>
            <w:tcBorders>
              <w:top w:val="nil"/>
              <w:bottom w:val="single" w:sz="4" w:space="0" w:color="auto"/>
            </w:tcBorders>
          </w:tcPr>
          <w:p w:rsidR="00212513" w:rsidRDefault="00212513">
            <w:pPr>
              <w:pStyle w:val="ConsPlusNormal"/>
              <w:jc w:val="center"/>
            </w:pPr>
            <w:r>
              <w:t>0,33</w:t>
            </w:r>
          </w:p>
          <w:p w:rsidR="00212513" w:rsidRDefault="00212513">
            <w:pPr>
              <w:pStyle w:val="ConsPlusNormal"/>
              <w:jc w:val="center"/>
            </w:pPr>
            <w:r>
              <w:t>-----</w:t>
            </w:r>
          </w:p>
          <w:p w:rsidR="00212513" w:rsidRDefault="00212513">
            <w:pPr>
              <w:pStyle w:val="ConsPlusNormal"/>
              <w:jc w:val="center"/>
            </w:pPr>
            <w:r>
              <w:t>0,30</w:t>
            </w:r>
          </w:p>
        </w:tc>
        <w:tc>
          <w:tcPr>
            <w:tcW w:w="1310" w:type="dxa"/>
            <w:tcBorders>
              <w:top w:val="nil"/>
              <w:bottom w:val="single" w:sz="4" w:space="0" w:color="auto"/>
            </w:tcBorders>
          </w:tcPr>
          <w:p w:rsidR="00212513" w:rsidRDefault="00212513">
            <w:pPr>
              <w:pStyle w:val="ConsPlusNormal"/>
              <w:jc w:val="center"/>
            </w:pPr>
            <w:r>
              <w:t>0,28</w:t>
            </w:r>
          </w:p>
          <w:p w:rsidR="00212513" w:rsidRDefault="00212513">
            <w:pPr>
              <w:pStyle w:val="ConsPlusNormal"/>
              <w:jc w:val="center"/>
            </w:pPr>
            <w:r>
              <w:t>-----</w:t>
            </w:r>
          </w:p>
          <w:p w:rsidR="00212513" w:rsidRDefault="00212513">
            <w:pPr>
              <w:pStyle w:val="ConsPlusNormal"/>
              <w:jc w:val="center"/>
            </w:pPr>
            <w:r>
              <w:t>0,25</w:t>
            </w:r>
          </w:p>
        </w:tc>
        <w:tc>
          <w:tcPr>
            <w:tcW w:w="1310" w:type="dxa"/>
            <w:tcBorders>
              <w:top w:val="nil"/>
              <w:bottom w:val="single" w:sz="4" w:space="0" w:color="auto"/>
            </w:tcBorders>
          </w:tcPr>
          <w:p w:rsidR="00212513" w:rsidRDefault="00212513">
            <w:pPr>
              <w:pStyle w:val="ConsPlusNormal"/>
              <w:jc w:val="center"/>
            </w:pPr>
            <w:r>
              <w:t>0,24</w:t>
            </w:r>
          </w:p>
          <w:p w:rsidR="00212513" w:rsidRDefault="00212513">
            <w:pPr>
              <w:pStyle w:val="ConsPlusNormal"/>
              <w:jc w:val="center"/>
            </w:pPr>
            <w:r>
              <w:t>-----</w:t>
            </w:r>
          </w:p>
          <w:p w:rsidR="00212513" w:rsidRDefault="00212513">
            <w:pPr>
              <w:pStyle w:val="ConsPlusNormal"/>
              <w:jc w:val="center"/>
            </w:pPr>
            <w:r>
              <w:t>0,21</w:t>
            </w:r>
          </w:p>
        </w:tc>
        <w:tc>
          <w:tcPr>
            <w:tcW w:w="1311" w:type="dxa"/>
            <w:tcBorders>
              <w:top w:val="nil"/>
              <w:bottom w:val="single" w:sz="4" w:space="0" w:color="auto"/>
            </w:tcBorders>
          </w:tcPr>
          <w:p w:rsidR="00212513" w:rsidRDefault="00212513">
            <w:pPr>
              <w:pStyle w:val="ConsPlusNormal"/>
              <w:jc w:val="center"/>
            </w:pPr>
            <w:r>
              <w:t>0,21</w:t>
            </w:r>
          </w:p>
          <w:p w:rsidR="00212513" w:rsidRDefault="00212513">
            <w:pPr>
              <w:pStyle w:val="ConsPlusNormal"/>
              <w:jc w:val="center"/>
            </w:pPr>
            <w:r>
              <w:t>-----</w:t>
            </w:r>
          </w:p>
          <w:p w:rsidR="00212513" w:rsidRDefault="00212513">
            <w:pPr>
              <w:pStyle w:val="ConsPlusNormal"/>
              <w:jc w:val="center"/>
            </w:pPr>
            <w:r>
              <w:t>0,18</w:t>
            </w:r>
          </w:p>
        </w:tc>
        <w:tc>
          <w:tcPr>
            <w:tcW w:w="1077" w:type="dxa"/>
            <w:tcBorders>
              <w:top w:val="nil"/>
              <w:bottom w:val="single" w:sz="4" w:space="0" w:color="auto"/>
            </w:tcBorders>
            <w:vAlign w:val="center"/>
          </w:tcPr>
          <w:p w:rsidR="00212513" w:rsidRDefault="00212513">
            <w:pPr>
              <w:pStyle w:val="ConsPlusNormal"/>
              <w:jc w:val="center"/>
            </w:pPr>
            <w:r>
              <w:t>0,06</w:t>
            </w:r>
          </w:p>
        </w:tc>
      </w:tr>
      <w:tr w:rsidR="00212513">
        <w:tc>
          <w:tcPr>
            <w:tcW w:w="9037" w:type="dxa"/>
            <w:gridSpan w:val="8"/>
            <w:tcBorders>
              <w:top w:val="single" w:sz="4" w:space="0" w:color="auto"/>
              <w:bottom w:val="single" w:sz="4" w:space="0" w:color="auto"/>
            </w:tcBorders>
          </w:tcPr>
          <w:p w:rsidR="00212513" w:rsidRDefault="00212513">
            <w:pPr>
              <w:pStyle w:val="ConsPlusNormal"/>
              <w:ind w:firstLine="283"/>
              <w:jc w:val="both"/>
            </w:pPr>
            <w:r>
              <w:t>Примечание - Над чертой приведены значения для железобетонных элементов с ненапрягаемой арматурой и предварительно напряженных элементов при отсутствии на данной стадии их работы сцепления напрягаемой арматуры с бетоном, под чертой - для предварительно напряженных элементов при наличии сцепления напрягаемой арматуры с бетоном.</w:t>
            </w:r>
          </w:p>
        </w:tc>
      </w:tr>
    </w:tbl>
    <w:p w:rsidR="00212513" w:rsidRDefault="00212513">
      <w:pPr>
        <w:pStyle w:val="ConsPlusNormal"/>
        <w:jc w:val="both"/>
      </w:pPr>
    </w:p>
    <w:p w:rsidR="00212513" w:rsidRDefault="00212513">
      <w:pPr>
        <w:pStyle w:val="ConsPlusNormal"/>
        <w:jc w:val="both"/>
      </w:pPr>
      <w:r>
        <w:t xml:space="preserve">(в ред. </w:t>
      </w:r>
      <w:hyperlink r:id="rId844">
        <w:r>
          <w:rPr>
            <w:color w:val="0000FF"/>
          </w:rPr>
          <w:t>Изменения N 4</w:t>
        </w:r>
      </w:hyperlink>
      <w:r>
        <w:t>, утв. Приказом Минстроя России от 30.05.2024 N 361/пр)</w:t>
      </w:r>
    </w:p>
    <w:p w:rsidR="00212513" w:rsidRDefault="00212513">
      <w:pPr>
        <w:pStyle w:val="ConsPlusNormal"/>
        <w:ind w:firstLine="540"/>
        <w:jc w:val="both"/>
      </w:pPr>
    </w:p>
    <w:p w:rsidR="00212513" w:rsidRDefault="00212513">
      <w:pPr>
        <w:pStyle w:val="ConsPlusNormal"/>
        <w:jc w:val="right"/>
      </w:pPr>
      <w:bookmarkStart w:id="155" w:name="P4322"/>
      <w:bookmarkEnd w:id="155"/>
      <w:r>
        <w:t>Таблица 7.22</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78"/>
        <w:gridCol w:w="1378"/>
        <w:gridCol w:w="1316"/>
        <w:gridCol w:w="1316"/>
        <w:gridCol w:w="1316"/>
        <w:gridCol w:w="1318"/>
        <w:gridCol w:w="1020"/>
      </w:tblGrid>
      <w:tr w:rsidR="00212513">
        <w:tc>
          <w:tcPr>
            <w:tcW w:w="2756" w:type="dxa"/>
            <w:gridSpan w:val="2"/>
            <w:vMerge w:val="restart"/>
            <w:tcBorders>
              <w:top w:val="single" w:sz="4" w:space="0" w:color="auto"/>
              <w:bottom w:val="single" w:sz="4" w:space="0" w:color="auto"/>
            </w:tcBorders>
            <w:vAlign w:val="center"/>
          </w:tcPr>
          <w:p w:rsidR="00212513" w:rsidRDefault="00212513">
            <w:pPr>
              <w:pStyle w:val="ConsPlusNormal"/>
              <w:jc w:val="center"/>
            </w:pPr>
            <w:r>
              <w:t>Характеристики гибкости элемента</w:t>
            </w:r>
          </w:p>
        </w:tc>
        <w:tc>
          <w:tcPr>
            <w:tcW w:w="6286" w:type="dxa"/>
            <w:gridSpan w:val="5"/>
            <w:tcBorders>
              <w:top w:val="single" w:sz="4" w:space="0" w:color="auto"/>
              <w:bottom w:val="single" w:sz="4" w:space="0" w:color="auto"/>
            </w:tcBorders>
            <w:vAlign w:val="center"/>
          </w:tcPr>
          <w:p w:rsidR="00212513" w:rsidRDefault="00212513">
            <w:pPr>
              <w:pStyle w:val="ConsPlusNormal"/>
              <w:jc w:val="center"/>
            </w:pPr>
            <w:r>
              <w:t>Коэффициенты продольного изгиба</w:t>
            </w:r>
          </w:p>
        </w:tc>
      </w:tr>
      <w:tr w:rsidR="00212513">
        <w:tc>
          <w:tcPr>
            <w:tcW w:w="2756" w:type="dxa"/>
            <w:gridSpan w:val="2"/>
            <w:vMerge/>
            <w:tcBorders>
              <w:top w:val="single" w:sz="4" w:space="0" w:color="auto"/>
              <w:bottom w:val="single" w:sz="4" w:space="0" w:color="auto"/>
            </w:tcBorders>
          </w:tcPr>
          <w:p w:rsidR="00212513" w:rsidRDefault="00212513">
            <w:pPr>
              <w:pStyle w:val="ConsPlusNormal"/>
            </w:pPr>
          </w:p>
        </w:tc>
        <w:tc>
          <w:tcPr>
            <w:tcW w:w="5266" w:type="dxa"/>
            <w:gridSpan w:val="4"/>
            <w:tcBorders>
              <w:top w:val="single" w:sz="4" w:space="0" w:color="auto"/>
              <w:bottom w:val="single" w:sz="4" w:space="0" w:color="auto"/>
            </w:tcBorders>
            <w:vAlign w:val="center"/>
          </w:tcPr>
          <w:p w:rsidR="00212513" w:rsidRDefault="00212513">
            <w:pPr>
              <w:pStyle w:val="ConsPlusNormal"/>
              <w:jc w:val="center"/>
            </w:pPr>
            <w:r>
              <w:rPr>
                <w:noProof/>
                <w:position w:val="-8"/>
              </w:rPr>
              <w:drawing>
                <wp:inline distT="0" distB="0" distL="0" distR="0">
                  <wp:extent cx="220345" cy="251460"/>
                  <wp:effectExtent l="0" t="0" r="0" b="0"/>
                  <wp:docPr id="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220345" cy="251460"/>
                          </a:xfrm>
                          <a:prstGeom prst="rect">
                            <a:avLst/>
                          </a:prstGeom>
                          <a:noFill/>
                          <a:ln>
                            <a:noFill/>
                          </a:ln>
                        </pic:spPr>
                      </pic:pic>
                    </a:graphicData>
                  </a:graphic>
                </wp:inline>
              </w:drawing>
            </w:r>
            <w:r>
              <w:t xml:space="preserve"> при относительных эксцентриситетах </w:t>
            </w:r>
            <w:r>
              <w:rPr>
                <w:noProof/>
                <w:position w:val="-8"/>
              </w:rPr>
              <w:drawing>
                <wp:inline distT="0" distB="0" distL="0" distR="0">
                  <wp:extent cx="335280" cy="251460"/>
                  <wp:effectExtent l="0" t="0" r="0" b="0"/>
                  <wp:docPr id="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p>
        </w:tc>
        <w:tc>
          <w:tcPr>
            <w:tcW w:w="1020" w:type="dxa"/>
            <w:vMerge w:val="restart"/>
            <w:tcBorders>
              <w:top w:val="single" w:sz="4" w:space="0" w:color="auto"/>
              <w:bottom w:val="single" w:sz="4" w:space="0" w:color="auto"/>
            </w:tcBorders>
            <w:vAlign w:val="center"/>
          </w:tcPr>
          <w:p w:rsidR="00212513" w:rsidRDefault="00212513">
            <w:pPr>
              <w:pStyle w:val="ConsPlusNormal"/>
              <w:jc w:val="center"/>
            </w:pPr>
            <w:r>
              <w:rPr>
                <w:noProof/>
                <w:position w:val="-8"/>
              </w:rPr>
              <w:drawing>
                <wp:inline distT="0" distB="0" distL="0" distR="0">
                  <wp:extent cx="178435" cy="251460"/>
                  <wp:effectExtent l="0" t="0" r="0" b="0"/>
                  <wp:docPr id="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p>
        </w:tc>
      </w:tr>
      <w:tr w:rsidR="00212513">
        <w:tc>
          <w:tcPr>
            <w:tcW w:w="1378" w:type="dxa"/>
            <w:tcBorders>
              <w:top w:val="single" w:sz="4" w:space="0" w:color="auto"/>
              <w:bottom w:val="single" w:sz="4" w:space="0" w:color="auto"/>
            </w:tcBorders>
            <w:vAlign w:val="center"/>
          </w:tcPr>
          <w:p w:rsidR="00212513" w:rsidRDefault="00212513">
            <w:pPr>
              <w:pStyle w:val="ConsPlusNormal"/>
              <w:jc w:val="center"/>
            </w:pPr>
            <w:r>
              <w:rPr>
                <w:noProof/>
                <w:position w:val="-8"/>
              </w:rPr>
              <w:drawing>
                <wp:inline distT="0" distB="0" distL="0" distR="0">
                  <wp:extent cx="325120" cy="251460"/>
                  <wp:effectExtent l="0" t="0" r="0" b="0"/>
                  <wp:docPr id="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325120" cy="251460"/>
                          </a:xfrm>
                          <a:prstGeom prst="rect">
                            <a:avLst/>
                          </a:prstGeom>
                          <a:noFill/>
                          <a:ln>
                            <a:noFill/>
                          </a:ln>
                        </pic:spPr>
                      </pic:pic>
                    </a:graphicData>
                  </a:graphic>
                </wp:inline>
              </w:drawing>
            </w:r>
          </w:p>
        </w:tc>
        <w:tc>
          <w:tcPr>
            <w:tcW w:w="1378" w:type="dxa"/>
            <w:tcBorders>
              <w:top w:val="single" w:sz="4" w:space="0" w:color="auto"/>
              <w:bottom w:val="single" w:sz="4" w:space="0" w:color="auto"/>
            </w:tcBorders>
            <w:vAlign w:val="center"/>
          </w:tcPr>
          <w:p w:rsidR="00212513" w:rsidRDefault="00212513">
            <w:pPr>
              <w:pStyle w:val="ConsPlusNormal"/>
              <w:jc w:val="center"/>
            </w:pPr>
            <w:r>
              <w:rPr>
                <w:noProof/>
                <w:position w:val="-8"/>
              </w:rPr>
              <w:drawing>
                <wp:inline distT="0" distB="0" distL="0" distR="0">
                  <wp:extent cx="283210" cy="251460"/>
                  <wp:effectExtent l="0" t="0" r="0" b="0"/>
                  <wp:docPr id="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83210" cy="251460"/>
                          </a:xfrm>
                          <a:prstGeom prst="rect">
                            <a:avLst/>
                          </a:prstGeom>
                          <a:noFill/>
                          <a:ln>
                            <a:noFill/>
                          </a:ln>
                        </pic:spPr>
                      </pic:pic>
                    </a:graphicData>
                  </a:graphic>
                </wp:inline>
              </w:drawing>
            </w:r>
          </w:p>
        </w:tc>
        <w:tc>
          <w:tcPr>
            <w:tcW w:w="1316" w:type="dxa"/>
            <w:tcBorders>
              <w:top w:val="single" w:sz="4" w:space="0" w:color="auto"/>
              <w:bottom w:val="single" w:sz="4" w:space="0" w:color="auto"/>
            </w:tcBorders>
            <w:vAlign w:val="center"/>
          </w:tcPr>
          <w:p w:rsidR="00212513" w:rsidRDefault="00212513">
            <w:pPr>
              <w:pStyle w:val="ConsPlusNormal"/>
              <w:jc w:val="center"/>
            </w:pPr>
            <w:r>
              <w:t>0</w:t>
            </w:r>
          </w:p>
        </w:tc>
        <w:tc>
          <w:tcPr>
            <w:tcW w:w="1316" w:type="dxa"/>
            <w:tcBorders>
              <w:top w:val="single" w:sz="4" w:space="0" w:color="auto"/>
              <w:bottom w:val="single" w:sz="4" w:space="0" w:color="auto"/>
            </w:tcBorders>
            <w:vAlign w:val="center"/>
          </w:tcPr>
          <w:p w:rsidR="00212513" w:rsidRDefault="00212513">
            <w:pPr>
              <w:pStyle w:val="ConsPlusNormal"/>
              <w:jc w:val="center"/>
            </w:pPr>
            <w:r>
              <w:t>0,25</w:t>
            </w:r>
          </w:p>
        </w:tc>
        <w:tc>
          <w:tcPr>
            <w:tcW w:w="1316" w:type="dxa"/>
            <w:tcBorders>
              <w:top w:val="single" w:sz="4" w:space="0" w:color="auto"/>
              <w:bottom w:val="single" w:sz="4" w:space="0" w:color="auto"/>
            </w:tcBorders>
            <w:vAlign w:val="center"/>
          </w:tcPr>
          <w:p w:rsidR="00212513" w:rsidRDefault="00212513">
            <w:pPr>
              <w:pStyle w:val="ConsPlusNormal"/>
              <w:jc w:val="center"/>
            </w:pPr>
            <w:r>
              <w:t>0,50</w:t>
            </w:r>
          </w:p>
        </w:tc>
        <w:tc>
          <w:tcPr>
            <w:tcW w:w="1318" w:type="dxa"/>
            <w:tcBorders>
              <w:top w:val="single" w:sz="4" w:space="0" w:color="auto"/>
              <w:bottom w:val="single" w:sz="4" w:space="0" w:color="auto"/>
            </w:tcBorders>
            <w:vAlign w:val="center"/>
          </w:tcPr>
          <w:p w:rsidR="00212513" w:rsidRDefault="00212513">
            <w:pPr>
              <w:pStyle w:val="ConsPlusNormal"/>
              <w:jc w:val="center"/>
            </w:pPr>
            <w:r>
              <w:t>1,00</w:t>
            </w:r>
          </w:p>
        </w:tc>
        <w:tc>
          <w:tcPr>
            <w:tcW w:w="1020" w:type="dxa"/>
            <w:vMerge/>
            <w:tcBorders>
              <w:top w:val="single" w:sz="4" w:space="0" w:color="auto"/>
              <w:bottom w:val="single" w:sz="4" w:space="0" w:color="auto"/>
            </w:tcBorders>
          </w:tcPr>
          <w:p w:rsidR="00212513" w:rsidRDefault="00212513">
            <w:pPr>
              <w:pStyle w:val="ConsPlusNormal"/>
            </w:pPr>
          </w:p>
        </w:tc>
      </w:tr>
      <w:tr w:rsidR="00212513">
        <w:tblPrEx>
          <w:tblBorders>
            <w:insideH w:val="none" w:sz="0" w:space="0" w:color="auto"/>
          </w:tblBorders>
        </w:tblPrEx>
        <w:tc>
          <w:tcPr>
            <w:tcW w:w="1378" w:type="dxa"/>
            <w:tcBorders>
              <w:top w:val="single" w:sz="4" w:space="0" w:color="auto"/>
              <w:bottom w:val="nil"/>
            </w:tcBorders>
          </w:tcPr>
          <w:p w:rsidR="00212513" w:rsidRDefault="00212513">
            <w:pPr>
              <w:pStyle w:val="ConsPlusNormal"/>
              <w:jc w:val="center"/>
            </w:pPr>
            <w:r>
              <w:t>4</w:t>
            </w:r>
          </w:p>
        </w:tc>
        <w:tc>
          <w:tcPr>
            <w:tcW w:w="1378" w:type="dxa"/>
            <w:tcBorders>
              <w:top w:val="single" w:sz="4" w:space="0" w:color="auto"/>
              <w:bottom w:val="nil"/>
            </w:tcBorders>
          </w:tcPr>
          <w:p w:rsidR="00212513" w:rsidRDefault="00212513">
            <w:pPr>
              <w:pStyle w:val="ConsPlusNormal"/>
              <w:jc w:val="center"/>
            </w:pPr>
            <w:r>
              <w:t>14</w:t>
            </w:r>
          </w:p>
        </w:tc>
        <w:tc>
          <w:tcPr>
            <w:tcW w:w="1316" w:type="dxa"/>
            <w:tcBorders>
              <w:top w:val="single" w:sz="4" w:space="0" w:color="auto"/>
              <w:bottom w:val="nil"/>
            </w:tcBorders>
          </w:tcPr>
          <w:p w:rsidR="00212513" w:rsidRDefault="00212513">
            <w:pPr>
              <w:pStyle w:val="ConsPlusNormal"/>
              <w:jc w:val="center"/>
            </w:pPr>
            <w:r>
              <w:t>1</w:t>
            </w:r>
          </w:p>
        </w:tc>
        <w:tc>
          <w:tcPr>
            <w:tcW w:w="1316" w:type="dxa"/>
            <w:tcBorders>
              <w:top w:val="single" w:sz="4" w:space="0" w:color="auto"/>
              <w:bottom w:val="nil"/>
            </w:tcBorders>
          </w:tcPr>
          <w:p w:rsidR="00212513" w:rsidRDefault="00212513">
            <w:pPr>
              <w:pStyle w:val="ConsPlusNormal"/>
              <w:jc w:val="center"/>
            </w:pPr>
            <w:r>
              <w:t>0,86</w:t>
            </w:r>
          </w:p>
        </w:tc>
        <w:tc>
          <w:tcPr>
            <w:tcW w:w="1316" w:type="dxa"/>
            <w:tcBorders>
              <w:top w:val="single" w:sz="4" w:space="0" w:color="auto"/>
              <w:bottom w:val="nil"/>
            </w:tcBorders>
          </w:tcPr>
          <w:p w:rsidR="00212513" w:rsidRDefault="00212513">
            <w:pPr>
              <w:pStyle w:val="ConsPlusNormal"/>
              <w:jc w:val="center"/>
            </w:pPr>
            <w:r>
              <w:t>0,77</w:t>
            </w:r>
          </w:p>
        </w:tc>
        <w:tc>
          <w:tcPr>
            <w:tcW w:w="1318" w:type="dxa"/>
            <w:tcBorders>
              <w:top w:val="single" w:sz="4" w:space="0" w:color="auto"/>
              <w:bottom w:val="nil"/>
            </w:tcBorders>
          </w:tcPr>
          <w:p w:rsidR="00212513" w:rsidRDefault="00212513">
            <w:pPr>
              <w:pStyle w:val="ConsPlusNormal"/>
              <w:jc w:val="center"/>
            </w:pPr>
            <w:r>
              <w:t>0,65</w:t>
            </w:r>
          </w:p>
        </w:tc>
        <w:tc>
          <w:tcPr>
            <w:tcW w:w="1020" w:type="dxa"/>
            <w:tcBorders>
              <w:top w:val="single" w:sz="4" w:space="0" w:color="auto"/>
              <w:bottom w:val="nil"/>
            </w:tcBorders>
          </w:tcPr>
          <w:p w:rsidR="00212513" w:rsidRDefault="00212513">
            <w:pPr>
              <w:pStyle w:val="ConsPlusNormal"/>
              <w:jc w:val="center"/>
            </w:pPr>
            <w:r>
              <w:t>1</w:t>
            </w:r>
          </w:p>
        </w:tc>
      </w:tr>
      <w:tr w:rsidR="00212513">
        <w:tblPrEx>
          <w:tblBorders>
            <w:insideH w:val="none" w:sz="0" w:space="0" w:color="auto"/>
          </w:tblBorders>
        </w:tblPrEx>
        <w:tc>
          <w:tcPr>
            <w:tcW w:w="1378" w:type="dxa"/>
            <w:tcBorders>
              <w:top w:val="nil"/>
              <w:bottom w:val="nil"/>
            </w:tcBorders>
          </w:tcPr>
          <w:p w:rsidR="00212513" w:rsidRDefault="00212513">
            <w:pPr>
              <w:pStyle w:val="ConsPlusNormal"/>
              <w:jc w:val="center"/>
            </w:pPr>
            <w:r>
              <w:t>6</w:t>
            </w:r>
          </w:p>
        </w:tc>
        <w:tc>
          <w:tcPr>
            <w:tcW w:w="1378" w:type="dxa"/>
            <w:tcBorders>
              <w:top w:val="nil"/>
              <w:bottom w:val="nil"/>
            </w:tcBorders>
          </w:tcPr>
          <w:p w:rsidR="00212513" w:rsidRDefault="00212513">
            <w:pPr>
              <w:pStyle w:val="ConsPlusNormal"/>
              <w:jc w:val="center"/>
            </w:pPr>
            <w:r>
              <w:t>21</w:t>
            </w:r>
          </w:p>
        </w:tc>
        <w:tc>
          <w:tcPr>
            <w:tcW w:w="1316" w:type="dxa"/>
            <w:tcBorders>
              <w:top w:val="nil"/>
              <w:bottom w:val="nil"/>
            </w:tcBorders>
          </w:tcPr>
          <w:p w:rsidR="00212513" w:rsidRDefault="00212513">
            <w:pPr>
              <w:pStyle w:val="ConsPlusNormal"/>
              <w:jc w:val="center"/>
            </w:pPr>
            <w:r>
              <w:t>0,98</w:t>
            </w:r>
          </w:p>
        </w:tc>
        <w:tc>
          <w:tcPr>
            <w:tcW w:w="1316" w:type="dxa"/>
            <w:tcBorders>
              <w:top w:val="nil"/>
              <w:bottom w:val="nil"/>
            </w:tcBorders>
          </w:tcPr>
          <w:p w:rsidR="00212513" w:rsidRDefault="00212513">
            <w:pPr>
              <w:pStyle w:val="ConsPlusNormal"/>
              <w:jc w:val="center"/>
            </w:pPr>
            <w:r>
              <w:t>0,84</w:t>
            </w:r>
          </w:p>
        </w:tc>
        <w:tc>
          <w:tcPr>
            <w:tcW w:w="1316" w:type="dxa"/>
            <w:tcBorders>
              <w:top w:val="nil"/>
              <w:bottom w:val="nil"/>
            </w:tcBorders>
          </w:tcPr>
          <w:p w:rsidR="00212513" w:rsidRDefault="00212513">
            <w:pPr>
              <w:pStyle w:val="ConsPlusNormal"/>
              <w:jc w:val="center"/>
            </w:pPr>
            <w:r>
              <w:t>0,75</w:t>
            </w:r>
          </w:p>
        </w:tc>
        <w:tc>
          <w:tcPr>
            <w:tcW w:w="1318" w:type="dxa"/>
            <w:tcBorders>
              <w:top w:val="nil"/>
              <w:bottom w:val="nil"/>
            </w:tcBorders>
          </w:tcPr>
          <w:p w:rsidR="00212513" w:rsidRDefault="00212513">
            <w:pPr>
              <w:pStyle w:val="ConsPlusNormal"/>
              <w:jc w:val="center"/>
            </w:pPr>
            <w:r>
              <w:t>0,63</w:t>
            </w:r>
          </w:p>
        </w:tc>
        <w:tc>
          <w:tcPr>
            <w:tcW w:w="1020" w:type="dxa"/>
            <w:tcBorders>
              <w:top w:val="nil"/>
              <w:bottom w:val="nil"/>
            </w:tcBorders>
          </w:tcPr>
          <w:p w:rsidR="00212513" w:rsidRDefault="00212513">
            <w:pPr>
              <w:pStyle w:val="ConsPlusNormal"/>
              <w:jc w:val="center"/>
            </w:pPr>
            <w:r>
              <w:t>0,94</w:t>
            </w:r>
          </w:p>
        </w:tc>
      </w:tr>
      <w:tr w:rsidR="00212513">
        <w:tblPrEx>
          <w:tblBorders>
            <w:insideH w:val="none" w:sz="0" w:space="0" w:color="auto"/>
          </w:tblBorders>
        </w:tblPrEx>
        <w:tc>
          <w:tcPr>
            <w:tcW w:w="1378" w:type="dxa"/>
            <w:tcBorders>
              <w:top w:val="nil"/>
              <w:bottom w:val="nil"/>
            </w:tcBorders>
          </w:tcPr>
          <w:p w:rsidR="00212513" w:rsidRDefault="00212513">
            <w:pPr>
              <w:pStyle w:val="ConsPlusNormal"/>
              <w:jc w:val="center"/>
            </w:pPr>
            <w:r>
              <w:t>8</w:t>
            </w:r>
          </w:p>
        </w:tc>
        <w:tc>
          <w:tcPr>
            <w:tcW w:w="1378" w:type="dxa"/>
            <w:tcBorders>
              <w:top w:val="nil"/>
              <w:bottom w:val="nil"/>
            </w:tcBorders>
          </w:tcPr>
          <w:p w:rsidR="00212513" w:rsidRDefault="00212513">
            <w:pPr>
              <w:pStyle w:val="ConsPlusNormal"/>
              <w:jc w:val="center"/>
            </w:pPr>
            <w:r>
              <w:t>28</w:t>
            </w:r>
          </w:p>
        </w:tc>
        <w:tc>
          <w:tcPr>
            <w:tcW w:w="1316" w:type="dxa"/>
            <w:tcBorders>
              <w:top w:val="nil"/>
              <w:bottom w:val="nil"/>
            </w:tcBorders>
          </w:tcPr>
          <w:p w:rsidR="00212513" w:rsidRDefault="00212513">
            <w:pPr>
              <w:pStyle w:val="ConsPlusNormal"/>
              <w:jc w:val="center"/>
            </w:pPr>
            <w:r>
              <w:t>0,95</w:t>
            </w:r>
          </w:p>
        </w:tc>
        <w:tc>
          <w:tcPr>
            <w:tcW w:w="1316" w:type="dxa"/>
            <w:tcBorders>
              <w:top w:val="nil"/>
              <w:bottom w:val="nil"/>
            </w:tcBorders>
          </w:tcPr>
          <w:p w:rsidR="00212513" w:rsidRDefault="00212513">
            <w:pPr>
              <w:pStyle w:val="ConsPlusNormal"/>
              <w:jc w:val="center"/>
            </w:pPr>
            <w:r>
              <w:t>0,81</w:t>
            </w:r>
          </w:p>
        </w:tc>
        <w:tc>
          <w:tcPr>
            <w:tcW w:w="1316" w:type="dxa"/>
            <w:tcBorders>
              <w:top w:val="nil"/>
              <w:bottom w:val="nil"/>
            </w:tcBorders>
          </w:tcPr>
          <w:p w:rsidR="00212513" w:rsidRDefault="00212513">
            <w:pPr>
              <w:pStyle w:val="ConsPlusNormal"/>
              <w:jc w:val="center"/>
            </w:pPr>
            <w:r>
              <w:t>0,72</w:t>
            </w:r>
          </w:p>
        </w:tc>
        <w:tc>
          <w:tcPr>
            <w:tcW w:w="1318" w:type="dxa"/>
            <w:tcBorders>
              <w:top w:val="nil"/>
              <w:bottom w:val="nil"/>
            </w:tcBorders>
          </w:tcPr>
          <w:p w:rsidR="00212513" w:rsidRDefault="00212513">
            <w:pPr>
              <w:pStyle w:val="ConsPlusNormal"/>
              <w:jc w:val="center"/>
            </w:pPr>
            <w:r>
              <w:t>0,60</w:t>
            </w:r>
          </w:p>
        </w:tc>
        <w:tc>
          <w:tcPr>
            <w:tcW w:w="1020" w:type="dxa"/>
            <w:tcBorders>
              <w:top w:val="nil"/>
              <w:bottom w:val="nil"/>
            </w:tcBorders>
          </w:tcPr>
          <w:p w:rsidR="00212513" w:rsidRDefault="00212513">
            <w:pPr>
              <w:pStyle w:val="ConsPlusNormal"/>
              <w:jc w:val="center"/>
            </w:pPr>
            <w:r>
              <w:t>0,88</w:t>
            </w:r>
          </w:p>
        </w:tc>
      </w:tr>
      <w:tr w:rsidR="00212513">
        <w:tblPrEx>
          <w:tblBorders>
            <w:insideH w:val="none" w:sz="0" w:space="0" w:color="auto"/>
          </w:tblBorders>
        </w:tblPrEx>
        <w:tc>
          <w:tcPr>
            <w:tcW w:w="1378" w:type="dxa"/>
            <w:tcBorders>
              <w:top w:val="nil"/>
              <w:bottom w:val="nil"/>
            </w:tcBorders>
          </w:tcPr>
          <w:p w:rsidR="00212513" w:rsidRDefault="00212513">
            <w:pPr>
              <w:pStyle w:val="ConsPlusNormal"/>
              <w:jc w:val="center"/>
            </w:pPr>
            <w:r>
              <w:t>10</w:t>
            </w:r>
          </w:p>
        </w:tc>
        <w:tc>
          <w:tcPr>
            <w:tcW w:w="1378" w:type="dxa"/>
            <w:tcBorders>
              <w:top w:val="nil"/>
              <w:bottom w:val="nil"/>
            </w:tcBorders>
          </w:tcPr>
          <w:p w:rsidR="00212513" w:rsidRDefault="00212513">
            <w:pPr>
              <w:pStyle w:val="ConsPlusNormal"/>
              <w:jc w:val="center"/>
            </w:pPr>
            <w:r>
              <w:t>35</w:t>
            </w:r>
          </w:p>
        </w:tc>
        <w:tc>
          <w:tcPr>
            <w:tcW w:w="1316" w:type="dxa"/>
            <w:tcBorders>
              <w:top w:val="nil"/>
              <w:bottom w:val="nil"/>
            </w:tcBorders>
          </w:tcPr>
          <w:p w:rsidR="00212513" w:rsidRDefault="00212513">
            <w:pPr>
              <w:pStyle w:val="ConsPlusNormal"/>
              <w:jc w:val="center"/>
            </w:pPr>
            <w:r>
              <w:t>0,92</w:t>
            </w:r>
          </w:p>
        </w:tc>
        <w:tc>
          <w:tcPr>
            <w:tcW w:w="1316" w:type="dxa"/>
            <w:tcBorders>
              <w:top w:val="nil"/>
              <w:bottom w:val="nil"/>
            </w:tcBorders>
          </w:tcPr>
          <w:p w:rsidR="00212513" w:rsidRDefault="00212513">
            <w:pPr>
              <w:pStyle w:val="ConsPlusNormal"/>
              <w:jc w:val="center"/>
            </w:pPr>
            <w:r>
              <w:t>0,78</w:t>
            </w:r>
          </w:p>
        </w:tc>
        <w:tc>
          <w:tcPr>
            <w:tcW w:w="1316" w:type="dxa"/>
            <w:tcBorders>
              <w:top w:val="nil"/>
              <w:bottom w:val="nil"/>
            </w:tcBorders>
          </w:tcPr>
          <w:p w:rsidR="00212513" w:rsidRDefault="00212513">
            <w:pPr>
              <w:pStyle w:val="ConsPlusNormal"/>
              <w:jc w:val="center"/>
            </w:pPr>
            <w:r>
              <w:t>0,69</w:t>
            </w:r>
          </w:p>
        </w:tc>
        <w:tc>
          <w:tcPr>
            <w:tcW w:w="1318" w:type="dxa"/>
            <w:tcBorders>
              <w:top w:val="nil"/>
              <w:bottom w:val="nil"/>
            </w:tcBorders>
          </w:tcPr>
          <w:p w:rsidR="00212513" w:rsidRDefault="00212513">
            <w:pPr>
              <w:pStyle w:val="ConsPlusNormal"/>
              <w:jc w:val="center"/>
            </w:pPr>
            <w:r>
              <w:t>0,57</w:t>
            </w:r>
          </w:p>
        </w:tc>
        <w:tc>
          <w:tcPr>
            <w:tcW w:w="1020" w:type="dxa"/>
            <w:tcBorders>
              <w:top w:val="nil"/>
              <w:bottom w:val="nil"/>
            </w:tcBorders>
          </w:tcPr>
          <w:p w:rsidR="00212513" w:rsidRDefault="00212513">
            <w:pPr>
              <w:pStyle w:val="ConsPlusNormal"/>
              <w:jc w:val="center"/>
            </w:pPr>
            <w:r>
              <w:t>0,80</w:t>
            </w:r>
          </w:p>
        </w:tc>
      </w:tr>
      <w:tr w:rsidR="00212513">
        <w:tblPrEx>
          <w:tblBorders>
            <w:insideH w:val="none" w:sz="0" w:space="0" w:color="auto"/>
          </w:tblBorders>
        </w:tblPrEx>
        <w:tc>
          <w:tcPr>
            <w:tcW w:w="1378" w:type="dxa"/>
            <w:tcBorders>
              <w:top w:val="nil"/>
              <w:bottom w:val="nil"/>
            </w:tcBorders>
          </w:tcPr>
          <w:p w:rsidR="00212513" w:rsidRDefault="00212513">
            <w:pPr>
              <w:pStyle w:val="ConsPlusNormal"/>
              <w:jc w:val="center"/>
            </w:pPr>
            <w:r>
              <w:lastRenderedPageBreak/>
              <w:t>12</w:t>
            </w:r>
          </w:p>
        </w:tc>
        <w:tc>
          <w:tcPr>
            <w:tcW w:w="1378" w:type="dxa"/>
            <w:tcBorders>
              <w:top w:val="nil"/>
              <w:bottom w:val="nil"/>
            </w:tcBorders>
          </w:tcPr>
          <w:p w:rsidR="00212513" w:rsidRDefault="00212513">
            <w:pPr>
              <w:pStyle w:val="ConsPlusNormal"/>
              <w:jc w:val="center"/>
            </w:pPr>
            <w:r>
              <w:t>42</w:t>
            </w:r>
          </w:p>
        </w:tc>
        <w:tc>
          <w:tcPr>
            <w:tcW w:w="1316" w:type="dxa"/>
            <w:tcBorders>
              <w:top w:val="nil"/>
              <w:bottom w:val="nil"/>
            </w:tcBorders>
          </w:tcPr>
          <w:p w:rsidR="00212513" w:rsidRDefault="00212513">
            <w:pPr>
              <w:pStyle w:val="ConsPlusNormal"/>
              <w:jc w:val="center"/>
            </w:pPr>
            <w:r>
              <w:t>0,88</w:t>
            </w:r>
          </w:p>
        </w:tc>
        <w:tc>
          <w:tcPr>
            <w:tcW w:w="1316" w:type="dxa"/>
            <w:tcBorders>
              <w:top w:val="nil"/>
              <w:bottom w:val="nil"/>
            </w:tcBorders>
          </w:tcPr>
          <w:p w:rsidR="00212513" w:rsidRDefault="00212513">
            <w:pPr>
              <w:pStyle w:val="ConsPlusNormal"/>
              <w:jc w:val="center"/>
            </w:pPr>
            <w:r>
              <w:t>0,76</w:t>
            </w:r>
          </w:p>
        </w:tc>
        <w:tc>
          <w:tcPr>
            <w:tcW w:w="1316" w:type="dxa"/>
            <w:tcBorders>
              <w:top w:val="nil"/>
              <w:bottom w:val="nil"/>
            </w:tcBorders>
          </w:tcPr>
          <w:p w:rsidR="00212513" w:rsidRDefault="00212513">
            <w:pPr>
              <w:pStyle w:val="ConsPlusNormal"/>
              <w:jc w:val="center"/>
            </w:pPr>
            <w:r>
              <w:t>0,67</w:t>
            </w:r>
          </w:p>
        </w:tc>
        <w:tc>
          <w:tcPr>
            <w:tcW w:w="1318" w:type="dxa"/>
            <w:tcBorders>
              <w:top w:val="nil"/>
              <w:bottom w:val="nil"/>
            </w:tcBorders>
          </w:tcPr>
          <w:p w:rsidR="00212513" w:rsidRDefault="00212513">
            <w:pPr>
              <w:pStyle w:val="ConsPlusNormal"/>
              <w:jc w:val="center"/>
            </w:pPr>
            <w:r>
              <w:t>0,55</w:t>
            </w:r>
          </w:p>
        </w:tc>
        <w:tc>
          <w:tcPr>
            <w:tcW w:w="1020" w:type="dxa"/>
            <w:tcBorders>
              <w:top w:val="nil"/>
              <w:bottom w:val="nil"/>
            </w:tcBorders>
          </w:tcPr>
          <w:p w:rsidR="00212513" w:rsidRDefault="00212513">
            <w:pPr>
              <w:pStyle w:val="ConsPlusNormal"/>
              <w:jc w:val="center"/>
            </w:pPr>
            <w:r>
              <w:t>0,72</w:t>
            </w:r>
          </w:p>
        </w:tc>
      </w:tr>
      <w:tr w:rsidR="00212513">
        <w:tblPrEx>
          <w:tblBorders>
            <w:insideH w:val="none" w:sz="0" w:space="0" w:color="auto"/>
          </w:tblBorders>
        </w:tblPrEx>
        <w:tc>
          <w:tcPr>
            <w:tcW w:w="1378" w:type="dxa"/>
            <w:tcBorders>
              <w:top w:val="nil"/>
              <w:bottom w:val="nil"/>
            </w:tcBorders>
          </w:tcPr>
          <w:p w:rsidR="00212513" w:rsidRDefault="00212513">
            <w:pPr>
              <w:pStyle w:val="ConsPlusNormal"/>
              <w:jc w:val="center"/>
            </w:pPr>
            <w:r>
              <w:t>14</w:t>
            </w:r>
          </w:p>
        </w:tc>
        <w:tc>
          <w:tcPr>
            <w:tcW w:w="1378" w:type="dxa"/>
            <w:tcBorders>
              <w:top w:val="nil"/>
              <w:bottom w:val="nil"/>
            </w:tcBorders>
          </w:tcPr>
          <w:p w:rsidR="00212513" w:rsidRDefault="00212513">
            <w:pPr>
              <w:pStyle w:val="ConsPlusNormal"/>
              <w:jc w:val="center"/>
            </w:pPr>
            <w:r>
              <w:t>49</w:t>
            </w:r>
          </w:p>
        </w:tc>
        <w:tc>
          <w:tcPr>
            <w:tcW w:w="1316" w:type="dxa"/>
            <w:tcBorders>
              <w:top w:val="nil"/>
              <w:bottom w:val="nil"/>
            </w:tcBorders>
          </w:tcPr>
          <w:p w:rsidR="00212513" w:rsidRDefault="00212513">
            <w:pPr>
              <w:pStyle w:val="ConsPlusNormal"/>
              <w:jc w:val="center"/>
            </w:pPr>
            <w:r>
              <w:t>0,85</w:t>
            </w:r>
          </w:p>
        </w:tc>
        <w:tc>
          <w:tcPr>
            <w:tcW w:w="1316" w:type="dxa"/>
            <w:tcBorders>
              <w:top w:val="nil"/>
              <w:bottom w:val="nil"/>
            </w:tcBorders>
          </w:tcPr>
          <w:p w:rsidR="00212513" w:rsidRDefault="00212513">
            <w:pPr>
              <w:pStyle w:val="ConsPlusNormal"/>
              <w:jc w:val="center"/>
            </w:pPr>
            <w:r>
              <w:t>0,74</w:t>
            </w:r>
          </w:p>
        </w:tc>
        <w:tc>
          <w:tcPr>
            <w:tcW w:w="1316" w:type="dxa"/>
            <w:tcBorders>
              <w:top w:val="nil"/>
              <w:bottom w:val="nil"/>
            </w:tcBorders>
          </w:tcPr>
          <w:p w:rsidR="00212513" w:rsidRDefault="00212513">
            <w:pPr>
              <w:pStyle w:val="ConsPlusNormal"/>
              <w:jc w:val="center"/>
            </w:pPr>
            <w:r>
              <w:t>0,65</w:t>
            </w:r>
          </w:p>
        </w:tc>
        <w:tc>
          <w:tcPr>
            <w:tcW w:w="1318" w:type="dxa"/>
            <w:tcBorders>
              <w:top w:val="nil"/>
              <w:bottom w:val="nil"/>
            </w:tcBorders>
          </w:tcPr>
          <w:p w:rsidR="00212513" w:rsidRDefault="00212513">
            <w:pPr>
              <w:pStyle w:val="ConsPlusNormal"/>
              <w:jc w:val="center"/>
            </w:pPr>
            <w:r>
              <w:t>0,53</w:t>
            </w:r>
          </w:p>
        </w:tc>
        <w:tc>
          <w:tcPr>
            <w:tcW w:w="1020" w:type="dxa"/>
            <w:tcBorders>
              <w:top w:val="nil"/>
              <w:bottom w:val="nil"/>
            </w:tcBorders>
          </w:tcPr>
          <w:p w:rsidR="00212513" w:rsidRDefault="00212513">
            <w:pPr>
              <w:pStyle w:val="ConsPlusNormal"/>
              <w:jc w:val="center"/>
            </w:pPr>
            <w:r>
              <w:t>0,62</w:t>
            </w:r>
          </w:p>
        </w:tc>
      </w:tr>
      <w:tr w:rsidR="00212513">
        <w:tblPrEx>
          <w:tblBorders>
            <w:insideH w:val="none" w:sz="0" w:space="0" w:color="auto"/>
          </w:tblBorders>
        </w:tblPrEx>
        <w:tc>
          <w:tcPr>
            <w:tcW w:w="1378" w:type="dxa"/>
            <w:tcBorders>
              <w:top w:val="nil"/>
              <w:bottom w:val="nil"/>
            </w:tcBorders>
          </w:tcPr>
          <w:p w:rsidR="00212513" w:rsidRDefault="00212513">
            <w:pPr>
              <w:pStyle w:val="ConsPlusNormal"/>
              <w:jc w:val="center"/>
            </w:pPr>
            <w:r>
              <w:t>16</w:t>
            </w:r>
          </w:p>
        </w:tc>
        <w:tc>
          <w:tcPr>
            <w:tcW w:w="1378" w:type="dxa"/>
            <w:tcBorders>
              <w:top w:val="nil"/>
              <w:bottom w:val="nil"/>
            </w:tcBorders>
          </w:tcPr>
          <w:p w:rsidR="00212513" w:rsidRDefault="00212513">
            <w:pPr>
              <w:pStyle w:val="ConsPlusNormal"/>
              <w:jc w:val="center"/>
            </w:pPr>
            <w:r>
              <w:t>56</w:t>
            </w:r>
          </w:p>
        </w:tc>
        <w:tc>
          <w:tcPr>
            <w:tcW w:w="1316" w:type="dxa"/>
            <w:tcBorders>
              <w:top w:val="nil"/>
              <w:bottom w:val="nil"/>
            </w:tcBorders>
          </w:tcPr>
          <w:p w:rsidR="00212513" w:rsidRDefault="00212513">
            <w:pPr>
              <w:pStyle w:val="ConsPlusNormal"/>
              <w:jc w:val="center"/>
            </w:pPr>
            <w:r>
              <w:t>0,79</w:t>
            </w:r>
          </w:p>
        </w:tc>
        <w:tc>
          <w:tcPr>
            <w:tcW w:w="1316" w:type="dxa"/>
            <w:tcBorders>
              <w:top w:val="nil"/>
              <w:bottom w:val="nil"/>
            </w:tcBorders>
          </w:tcPr>
          <w:p w:rsidR="00212513" w:rsidRDefault="00212513">
            <w:pPr>
              <w:pStyle w:val="ConsPlusNormal"/>
              <w:jc w:val="center"/>
            </w:pPr>
            <w:r>
              <w:t>0,68</w:t>
            </w:r>
          </w:p>
        </w:tc>
        <w:tc>
          <w:tcPr>
            <w:tcW w:w="1316" w:type="dxa"/>
            <w:tcBorders>
              <w:top w:val="nil"/>
              <w:bottom w:val="nil"/>
            </w:tcBorders>
          </w:tcPr>
          <w:p w:rsidR="00212513" w:rsidRDefault="00212513">
            <w:pPr>
              <w:pStyle w:val="ConsPlusNormal"/>
              <w:jc w:val="center"/>
            </w:pPr>
            <w:r>
              <w:t>0,59</w:t>
            </w:r>
          </w:p>
        </w:tc>
        <w:tc>
          <w:tcPr>
            <w:tcW w:w="1318" w:type="dxa"/>
            <w:tcBorders>
              <w:top w:val="nil"/>
              <w:bottom w:val="nil"/>
            </w:tcBorders>
          </w:tcPr>
          <w:p w:rsidR="00212513" w:rsidRDefault="00212513">
            <w:pPr>
              <w:pStyle w:val="ConsPlusNormal"/>
              <w:jc w:val="center"/>
            </w:pPr>
            <w:r>
              <w:t>0,48</w:t>
            </w:r>
          </w:p>
        </w:tc>
        <w:tc>
          <w:tcPr>
            <w:tcW w:w="1020" w:type="dxa"/>
            <w:tcBorders>
              <w:top w:val="nil"/>
              <w:bottom w:val="nil"/>
            </w:tcBorders>
          </w:tcPr>
          <w:p w:rsidR="00212513" w:rsidRDefault="00212513">
            <w:pPr>
              <w:pStyle w:val="ConsPlusNormal"/>
              <w:jc w:val="center"/>
            </w:pPr>
            <w:r>
              <w:t>0,58</w:t>
            </w:r>
          </w:p>
        </w:tc>
      </w:tr>
      <w:tr w:rsidR="00212513">
        <w:tblPrEx>
          <w:tblBorders>
            <w:insideH w:val="none" w:sz="0" w:space="0" w:color="auto"/>
          </w:tblBorders>
        </w:tblPrEx>
        <w:tc>
          <w:tcPr>
            <w:tcW w:w="1378" w:type="dxa"/>
            <w:tcBorders>
              <w:top w:val="nil"/>
              <w:bottom w:val="nil"/>
            </w:tcBorders>
          </w:tcPr>
          <w:p w:rsidR="00212513" w:rsidRDefault="00212513">
            <w:pPr>
              <w:pStyle w:val="ConsPlusNormal"/>
              <w:jc w:val="center"/>
            </w:pPr>
            <w:r>
              <w:t>18</w:t>
            </w:r>
          </w:p>
        </w:tc>
        <w:tc>
          <w:tcPr>
            <w:tcW w:w="1378" w:type="dxa"/>
            <w:tcBorders>
              <w:top w:val="nil"/>
              <w:bottom w:val="nil"/>
            </w:tcBorders>
          </w:tcPr>
          <w:p w:rsidR="00212513" w:rsidRDefault="00212513">
            <w:pPr>
              <w:pStyle w:val="ConsPlusNormal"/>
              <w:jc w:val="center"/>
            </w:pPr>
            <w:r>
              <w:t>63</w:t>
            </w:r>
          </w:p>
        </w:tc>
        <w:tc>
          <w:tcPr>
            <w:tcW w:w="1316" w:type="dxa"/>
            <w:tcBorders>
              <w:top w:val="nil"/>
              <w:bottom w:val="nil"/>
            </w:tcBorders>
          </w:tcPr>
          <w:p w:rsidR="00212513" w:rsidRDefault="00212513">
            <w:pPr>
              <w:pStyle w:val="ConsPlusNormal"/>
              <w:jc w:val="center"/>
            </w:pPr>
            <w:r>
              <w:t>0,74</w:t>
            </w:r>
          </w:p>
        </w:tc>
        <w:tc>
          <w:tcPr>
            <w:tcW w:w="1316" w:type="dxa"/>
            <w:tcBorders>
              <w:top w:val="nil"/>
              <w:bottom w:val="nil"/>
            </w:tcBorders>
          </w:tcPr>
          <w:p w:rsidR="00212513" w:rsidRDefault="00212513">
            <w:pPr>
              <w:pStyle w:val="ConsPlusNormal"/>
              <w:jc w:val="center"/>
            </w:pPr>
            <w:r>
              <w:t>0,63</w:t>
            </w:r>
          </w:p>
        </w:tc>
        <w:tc>
          <w:tcPr>
            <w:tcW w:w="1316" w:type="dxa"/>
            <w:tcBorders>
              <w:top w:val="nil"/>
              <w:bottom w:val="nil"/>
            </w:tcBorders>
          </w:tcPr>
          <w:p w:rsidR="00212513" w:rsidRDefault="00212513">
            <w:pPr>
              <w:pStyle w:val="ConsPlusNormal"/>
              <w:jc w:val="center"/>
            </w:pPr>
            <w:r>
              <w:t>0,54</w:t>
            </w:r>
          </w:p>
        </w:tc>
        <w:tc>
          <w:tcPr>
            <w:tcW w:w="1318" w:type="dxa"/>
            <w:tcBorders>
              <w:top w:val="nil"/>
              <w:bottom w:val="nil"/>
            </w:tcBorders>
          </w:tcPr>
          <w:p w:rsidR="00212513" w:rsidRDefault="00212513">
            <w:pPr>
              <w:pStyle w:val="ConsPlusNormal"/>
              <w:jc w:val="center"/>
            </w:pPr>
            <w:r>
              <w:t>0,43</w:t>
            </w:r>
          </w:p>
        </w:tc>
        <w:tc>
          <w:tcPr>
            <w:tcW w:w="1020" w:type="dxa"/>
            <w:tcBorders>
              <w:top w:val="nil"/>
              <w:bottom w:val="nil"/>
            </w:tcBorders>
          </w:tcPr>
          <w:p w:rsidR="00212513" w:rsidRDefault="00212513">
            <w:pPr>
              <w:pStyle w:val="ConsPlusNormal"/>
              <w:jc w:val="center"/>
            </w:pPr>
            <w:r>
              <w:t>0,43</w:t>
            </w:r>
          </w:p>
        </w:tc>
      </w:tr>
      <w:tr w:rsidR="00212513">
        <w:tblPrEx>
          <w:tblBorders>
            <w:insideH w:val="none" w:sz="0" w:space="0" w:color="auto"/>
          </w:tblBorders>
        </w:tblPrEx>
        <w:tc>
          <w:tcPr>
            <w:tcW w:w="1378" w:type="dxa"/>
            <w:tcBorders>
              <w:top w:val="nil"/>
              <w:bottom w:val="nil"/>
            </w:tcBorders>
          </w:tcPr>
          <w:p w:rsidR="00212513" w:rsidRDefault="00212513">
            <w:pPr>
              <w:pStyle w:val="ConsPlusNormal"/>
              <w:jc w:val="center"/>
            </w:pPr>
            <w:r>
              <w:t>20</w:t>
            </w:r>
          </w:p>
        </w:tc>
        <w:tc>
          <w:tcPr>
            <w:tcW w:w="1378" w:type="dxa"/>
            <w:tcBorders>
              <w:top w:val="nil"/>
              <w:bottom w:val="nil"/>
            </w:tcBorders>
          </w:tcPr>
          <w:p w:rsidR="00212513" w:rsidRDefault="00212513">
            <w:pPr>
              <w:pStyle w:val="ConsPlusNormal"/>
              <w:jc w:val="center"/>
            </w:pPr>
            <w:r>
              <w:t>70</w:t>
            </w:r>
          </w:p>
        </w:tc>
        <w:tc>
          <w:tcPr>
            <w:tcW w:w="1316" w:type="dxa"/>
            <w:tcBorders>
              <w:top w:val="nil"/>
              <w:bottom w:val="nil"/>
            </w:tcBorders>
          </w:tcPr>
          <w:p w:rsidR="00212513" w:rsidRDefault="00212513">
            <w:pPr>
              <w:pStyle w:val="ConsPlusNormal"/>
              <w:jc w:val="center"/>
            </w:pPr>
            <w:r>
              <w:t>0,67</w:t>
            </w:r>
          </w:p>
        </w:tc>
        <w:tc>
          <w:tcPr>
            <w:tcW w:w="1316" w:type="dxa"/>
            <w:tcBorders>
              <w:top w:val="nil"/>
              <w:bottom w:val="nil"/>
            </w:tcBorders>
          </w:tcPr>
          <w:p w:rsidR="00212513" w:rsidRDefault="00212513">
            <w:pPr>
              <w:pStyle w:val="ConsPlusNormal"/>
              <w:jc w:val="center"/>
            </w:pPr>
            <w:r>
              <w:t>0,56</w:t>
            </w:r>
          </w:p>
        </w:tc>
        <w:tc>
          <w:tcPr>
            <w:tcW w:w="1316" w:type="dxa"/>
            <w:tcBorders>
              <w:top w:val="nil"/>
              <w:bottom w:val="nil"/>
            </w:tcBorders>
          </w:tcPr>
          <w:p w:rsidR="00212513" w:rsidRDefault="00212513">
            <w:pPr>
              <w:pStyle w:val="ConsPlusNormal"/>
              <w:jc w:val="center"/>
            </w:pPr>
            <w:r>
              <w:t>0,46</w:t>
            </w:r>
          </w:p>
        </w:tc>
        <w:tc>
          <w:tcPr>
            <w:tcW w:w="1318" w:type="dxa"/>
            <w:tcBorders>
              <w:top w:val="nil"/>
              <w:bottom w:val="nil"/>
            </w:tcBorders>
          </w:tcPr>
          <w:p w:rsidR="00212513" w:rsidRDefault="00212513">
            <w:pPr>
              <w:pStyle w:val="ConsPlusNormal"/>
              <w:jc w:val="center"/>
            </w:pPr>
            <w:r>
              <w:t>0,37</w:t>
            </w:r>
          </w:p>
        </w:tc>
        <w:tc>
          <w:tcPr>
            <w:tcW w:w="1020" w:type="dxa"/>
            <w:tcBorders>
              <w:top w:val="nil"/>
              <w:bottom w:val="nil"/>
            </w:tcBorders>
          </w:tcPr>
          <w:p w:rsidR="00212513" w:rsidRDefault="00212513">
            <w:pPr>
              <w:pStyle w:val="ConsPlusNormal"/>
              <w:jc w:val="center"/>
            </w:pPr>
            <w:r>
              <w:t>0,32</w:t>
            </w:r>
          </w:p>
        </w:tc>
      </w:tr>
      <w:tr w:rsidR="00212513">
        <w:tblPrEx>
          <w:tblBorders>
            <w:insideH w:val="none" w:sz="0" w:space="0" w:color="auto"/>
          </w:tblBorders>
        </w:tblPrEx>
        <w:tc>
          <w:tcPr>
            <w:tcW w:w="1378" w:type="dxa"/>
            <w:tcBorders>
              <w:top w:val="nil"/>
              <w:bottom w:val="nil"/>
            </w:tcBorders>
          </w:tcPr>
          <w:p w:rsidR="00212513" w:rsidRDefault="00212513">
            <w:pPr>
              <w:pStyle w:val="ConsPlusNormal"/>
              <w:jc w:val="center"/>
            </w:pPr>
            <w:r>
              <w:t>22</w:t>
            </w:r>
          </w:p>
        </w:tc>
        <w:tc>
          <w:tcPr>
            <w:tcW w:w="1378" w:type="dxa"/>
            <w:tcBorders>
              <w:top w:val="nil"/>
              <w:bottom w:val="nil"/>
            </w:tcBorders>
          </w:tcPr>
          <w:p w:rsidR="00212513" w:rsidRDefault="00212513">
            <w:pPr>
              <w:pStyle w:val="ConsPlusNormal"/>
              <w:jc w:val="center"/>
            </w:pPr>
            <w:r>
              <w:t>77</w:t>
            </w:r>
          </w:p>
        </w:tc>
        <w:tc>
          <w:tcPr>
            <w:tcW w:w="1316" w:type="dxa"/>
            <w:tcBorders>
              <w:top w:val="nil"/>
              <w:bottom w:val="nil"/>
            </w:tcBorders>
          </w:tcPr>
          <w:p w:rsidR="00212513" w:rsidRDefault="00212513">
            <w:pPr>
              <w:pStyle w:val="ConsPlusNormal"/>
              <w:jc w:val="center"/>
            </w:pPr>
            <w:r>
              <w:t>0,63</w:t>
            </w:r>
          </w:p>
        </w:tc>
        <w:tc>
          <w:tcPr>
            <w:tcW w:w="1316" w:type="dxa"/>
            <w:tcBorders>
              <w:top w:val="nil"/>
              <w:bottom w:val="nil"/>
            </w:tcBorders>
          </w:tcPr>
          <w:p w:rsidR="00212513" w:rsidRDefault="00212513">
            <w:pPr>
              <w:pStyle w:val="ConsPlusNormal"/>
              <w:jc w:val="center"/>
            </w:pPr>
            <w:r>
              <w:t>0,51</w:t>
            </w:r>
          </w:p>
        </w:tc>
        <w:tc>
          <w:tcPr>
            <w:tcW w:w="1316" w:type="dxa"/>
            <w:tcBorders>
              <w:top w:val="nil"/>
              <w:bottom w:val="nil"/>
            </w:tcBorders>
          </w:tcPr>
          <w:p w:rsidR="00212513" w:rsidRDefault="00212513">
            <w:pPr>
              <w:pStyle w:val="ConsPlusNormal"/>
              <w:jc w:val="center"/>
            </w:pPr>
            <w:r>
              <w:t>0,43</w:t>
            </w:r>
          </w:p>
        </w:tc>
        <w:tc>
          <w:tcPr>
            <w:tcW w:w="1318" w:type="dxa"/>
            <w:tcBorders>
              <w:top w:val="nil"/>
              <w:bottom w:val="nil"/>
            </w:tcBorders>
          </w:tcPr>
          <w:p w:rsidR="00212513" w:rsidRDefault="00212513">
            <w:pPr>
              <w:pStyle w:val="ConsPlusNormal"/>
              <w:jc w:val="center"/>
            </w:pPr>
            <w:r>
              <w:t>0,34</w:t>
            </w:r>
          </w:p>
        </w:tc>
        <w:tc>
          <w:tcPr>
            <w:tcW w:w="1020" w:type="dxa"/>
            <w:tcBorders>
              <w:top w:val="nil"/>
              <w:bottom w:val="nil"/>
            </w:tcBorders>
          </w:tcPr>
          <w:p w:rsidR="00212513" w:rsidRDefault="00212513">
            <w:pPr>
              <w:pStyle w:val="ConsPlusNormal"/>
              <w:jc w:val="center"/>
            </w:pPr>
            <w:r>
              <w:t>0,26</w:t>
            </w:r>
          </w:p>
        </w:tc>
      </w:tr>
      <w:tr w:rsidR="00212513">
        <w:tblPrEx>
          <w:tblBorders>
            <w:insideH w:val="none" w:sz="0" w:space="0" w:color="auto"/>
          </w:tblBorders>
        </w:tblPrEx>
        <w:tc>
          <w:tcPr>
            <w:tcW w:w="1378" w:type="dxa"/>
            <w:tcBorders>
              <w:top w:val="nil"/>
              <w:bottom w:val="nil"/>
            </w:tcBorders>
          </w:tcPr>
          <w:p w:rsidR="00212513" w:rsidRDefault="00212513">
            <w:pPr>
              <w:pStyle w:val="ConsPlusNormal"/>
              <w:jc w:val="center"/>
            </w:pPr>
            <w:r>
              <w:t>24</w:t>
            </w:r>
          </w:p>
        </w:tc>
        <w:tc>
          <w:tcPr>
            <w:tcW w:w="1378" w:type="dxa"/>
            <w:tcBorders>
              <w:top w:val="nil"/>
              <w:bottom w:val="nil"/>
            </w:tcBorders>
          </w:tcPr>
          <w:p w:rsidR="00212513" w:rsidRDefault="00212513">
            <w:pPr>
              <w:pStyle w:val="ConsPlusNormal"/>
              <w:jc w:val="center"/>
            </w:pPr>
            <w:r>
              <w:t>84</w:t>
            </w:r>
          </w:p>
        </w:tc>
        <w:tc>
          <w:tcPr>
            <w:tcW w:w="1316" w:type="dxa"/>
            <w:tcBorders>
              <w:top w:val="nil"/>
              <w:bottom w:val="nil"/>
            </w:tcBorders>
          </w:tcPr>
          <w:p w:rsidR="00212513" w:rsidRDefault="00212513">
            <w:pPr>
              <w:pStyle w:val="ConsPlusNormal"/>
              <w:jc w:val="center"/>
            </w:pPr>
            <w:r>
              <w:t>0,58</w:t>
            </w:r>
          </w:p>
        </w:tc>
        <w:tc>
          <w:tcPr>
            <w:tcW w:w="1316" w:type="dxa"/>
            <w:tcBorders>
              <w:top w:val="nil"/>
              <w:bottom w:val="nil"/>
            </w:tcBorders>
          </w:tcPr>
          <w:p w:rsidR="00212513" w:rsidRDefault="00212513">
            <w:pPr>
              <w:pStyle w:val="ConsPlusNormal"/>
              <w:jc w:val="center"/>
            </w:pPr>
            <w:r>
              <w:t>0,46</w:t>
            </w:r>
          </w:p>
        </w:tc>
        <w:tc>
          <w:tcPr>
            <w:tcW w:w="1316" w:type="dxa"/>
            <w:tcBorders>
              <w:top w:val="nil"/>
              <w:bottom w:val="nil"/>
            </w:tcBorders>
          </w:tcPr>
          <w:p w:rsidR="00212513" w:rsidRDefault="00212513">
            <w:pPr>
              <w:pStyle w:val="ConsPlusNormal"/>
              <w:jc w:val="center"/>
            </w:pPr>
            <w:r>
              <w:t>0,38</w:t>
            </w:r>
          </w:p>
        </w:tc>
        <w:tc>
          <w:tcPr>
            <w:tcW w:w="1318" w:type="dxa"/>
            <w:tcBorders>
              <w:top w:val="nil"/>
              <w:bottom w:val="nil"/>
            </w:tcBorders>
          </w:tcPr>
          <w:p w:rsidR="00212513" w:rsidRDefault="00212513">
            <w:pPr>
              <w:pStyle w:val="ConsPlusNormal"/>
              <w:jc w:val="center"/>
            </w:pPr>
            <w:r>
              <w:t>0,29</w:t>
            </w:r>
          </w:p>
        </w:tc>
        <w:tc>
          <w:tcPr>
            <w:tcW w:w="1020" w:type="dxa"/>
            <w:tcBorders>
              <w:top w:val="nil"/>
              <w:bottom w:val="nil"/>
            </w:tcBorders>
          </w:tcPr>
          <w:p w:rsidR="00212513" w:rsidRDefault="00212513">
            <w:pPr>
              <w:pStyle w:val="ConsPlusNormal"/>
              <w:jc w:val="center"/>
            </w:pPr>
            <w:r>
              <w:t>0,20</w:t>
            </w:r>
          </w:p>
        </w:tc>
      </w:tr>
      <w:tr w:rsidR="00212513">
        <w:tblPrEx>
          <w:tblBorders>
            <w:insideH w:val="none" w:sz="0" w:space="0" w:color="auto"/>
          </w:tblBorders>
        </w:tblPrEx>
        <w:tc>
          <w:tcPr>
            <w:tcW w:w="1378" w:type="dxa"/>
            <w:tcBorders>
              <w:top w:val="nil"/>
              <w:bottom w:val="single" w:sz="4" w:space="0" w:color="auto"/>
            </w:tcBorders>
          </w:tcPr>
          <w:p w:rsidR="00212513" w:rsidRDefault="00212513">
            <w:pPr>
              <w:pStyle w:val="ConsPlusNormal"/>
              <w:jc w:val="center"/>
            </w:pPr>
            <w:r>
              <w:t>26</w:t>
            </w:r>
          </w:p>
        </w:tc>
        <w:tc>
          <w:tcPr>
            <w:tcW w:w="1378" w:type="dxa"/>
            <w:tcBorders>
              <w:top w:val="nil"/>
              <w:bottom w:val="single" w:sz="4" w:space="0" w:color="auto"/>
            </w:tcBorders>
          </w:tcPr>
          <w:p w:rsidR="00212513" w:rsidRDefault="00212513">
            <w:pPr>
              <w:pStyle w:val="ConsPlusNormal"/>
              <w:jc w:val="center"/>
            </w:pPr>
            <w:r>
              <w:t>91</w:t>
            </w:r>
          </w:p>
        </w:tc>
        <w:tc>
          <w:tcPr>
            <w:tcW w:w="1316" w:type="dxa"/>
            <w:tcBorders>
              <w:top w:val="nil"/>
              <w:bottom w:val="single" w:sz="4" w:space="0" w:color="auto"/>
            </w:tcBorders>
          </w:tcPr>
          <w:p w:rsidR="00212513" w:rsidRDefault="00212513">
            <w:pPr>
              <w:pStyle w:val="ConsPlusNormal"/>
              <w:jc w:val="center"/>
            </w:pPr>
            <w:r>
              <w:t>0,49</w:t>
            </w:r>
          </w:p>
        </w:tc>
        <w:tc>
          <w:tcPr>
            <w:tcW w:w="1316" w:type="dxa"/>
            <w:tcBorders>
              <w:top w:val="nil"/>
              <w:bottom w:val="single" w:sz="4" w:space="0" w:color="auto"/>
            </w:tcBorders>
          </w:tcPr>
          <w:p w:rsidR="00212513" w:rsidRDefault="00212513">
            <w:pPr>
              <w:pStyle w:val="ConsPlusNormal"/>
              <w:jc w:val="center"/>
            </w:pPr>
            <w:r>
              <w:t>0,38</w:t>
            </w:r>
          </w:p>
        </w:tc>
        <w:tc>
          <w:tcPr>
            <w:tcW w:w="1316" w:type="dxa"/>
            <w:tcBorders>
              <w:top w:val="nil"/>
              <w:bottom w:val="single" w:sz="4" w:space="0" w:color="auto"/>
            </w:tcBorders>
          </w:tcPr>
          <w:p w:rsidR="00212513" w:rsidRDefault="00212513">
            <w:pPr>
              <w:pStyle w:val="ConsPlusNormal"/>
              <w:jc w:val="center"/>
            </w:pPr>
            <w:r>
              <w:t>0,31</w:t>
            </w:r>
          </w:p>
        </w:tc>
        <w:tc>
          <w:tcPr>
            <w:tcW w:w="1318" w:type="dxa"/>
            <w:tcBorders>
              <w:top w:val="nil"/>
              <w:bottom w:val="single" w:sz="4" w:space="0" w:color="auto"/>
            </w:tcBorders>
          </w:tcPr>
          <w:p w:rsidR="00212513" w:rsidRDefault="00212513">
            <w:pPr>
              <w:pStyle w:val="ConsPlusNormal"/>
              <w:jc w:val="center"/>
            </w:pPr>
            <w:r>
              <w:t>0,22</w:t>
            </w:r>
          </w:p>
        </w:tc>
        <w:tc>
          <w:tcPr>
            <w:tcW w:w="1020" w:type="dxa"/>
            <w:tcBorders>
              <w:top w:val="nil"/>
              <w:bottom w:val="single" w:sz="4" w:space="0" w:color="auto"/>
            </w:tcBorders>
          </w:tcPr>
          <w:p w:rsidR="00212513" w:rsidRDefault="00212513">
            <w:pPr>
              <w:pStyle w:val="ConsPlusNormal"/>
              <w:jc w:val="center"/>
            </w:pPr>
            <w:r>
              <w:t>0,16</w:t>
            </w:r>
          </w:p>
        </w:tc>
      </w:tr>
    </w:tbl>
    <w:p w:rsidR="00212513" w:rsidRDefault="00212513">
      <w:pPr>
        <w:pStyle w:val="ConsPlusNormal"/>
        <w:ind w:firstLine="540"/>
        <w:jc w:val="both"/>
      </w:pPr>
    </w:p>
    <w:p w:rsidR="00212513" w:rsidRDefault="00212513">
      <w:pPr>
        <w:pStyle w:val="ConsPlusNormal"/>
        <w:ind w:firstLine="540"/>
        <w:jc w:val="both"/>
      </w:pPr>
      <w:r>
        <w:t xml:space="preserve">В </w:t>
      </w:r>
      <w:hyperlink w:anchor="P4000">
        <w:r>
          <w:rPr>
            <w:color w:val="0000FF"/>
          </w:rPr>
          <w:t>таблицах 7.21</w:t>
        </w:r>
      </w:hyperlink>
      <w:r>
        <w:t xml:space="preserve"> и </w:t>
      </w:r>
      <w:hyperlink w:anchor="P4322">
        <w:r>
          <w:rPr>
            <w:color w:val="0000FF"/>
          </w:rPr>
          <w:t>7.22</w:t>
        </w:r>
      </w:hyperlink>
      <w:r>
        <w:t xml:space="preserve"> обозначены:</w:t>
      </w:r>
    </w:p>
    <w:p w:rsidR="00212513" w:rsidRDefault="00212513">
      <w:pPr>
        <w:pStyle w:val="ConsPlusNormal"/>
        <w:spacing w:before="220"/>
        <w:ind w:firstLine="540"/>
        <w:jc w:val="both"/>
      </w:pPr>
      <w:r>
        <w:rPr>
          <w:i/>
        </w:rPr>
        <w:t>b</w:t>
      </w:r>
      <w:r>
        <w:t xml:space="preserve"> - сторона прямоугольного сечения, нормальная к направлению перемещения элемента;</w:t>
      </w:r>
    </w:p>
    <w:p w:rsidR="00212513" w:rsidRDefault="00212513">
      <w:pPr>
        <w:pStyle w:val="ConsPlusNormal"/>
        <w:spacing w:before="220"/>
        <w:ind w:firstLine="540"/>
        <w:jc w:val="both"/>
      </w:pPr>
      <w:r>
        <w:rPr>
          <w:i/>
        </w:rPr>
        <w:t>d</w:t>
      </w:r>
      <w:r>
        <w:t xml:space="preserve"> - диаметр круглого сечения элемента;</w:t>
      </w:r>
    </w:p>
    <w:p w:rsidR="00212513" w:rsidRDefault="00212513">
      <w:pPr>
        <w:pStyle w:val="ConsPlusNormal"/>
        <w:spacing w:before="220"/>
        <w:ind w:firstLine="540"/>
        <w:jc w:val="both"/>
      </w:pPr>
      <w:r>
        <w:rPr>
          <w:noProof/>
          <w:position w:val="-8"/>
        </w:rPr>
        <w:drawing>
          <wp:inline distT="0" distB="0" distL="0" distR="0">
            <wp:extent cx="304165" cy="251460"/>
            <wp:effectExtent l="0" t="0" r="0" b="0"/>
            <wp:docPr id="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304165" cy="251460"/>
                    </a:xfrm>
                    <a:prstGeom prst="rect">
                      <a:avLst/>
                    </a:prstGeom>
                    <a:noFill/>
                    <a:ln>
                      <a:noFill/>
                    </a:ln>
                  </pic:spPr>
                </pic:pic>
              </a:graphicData>
            </a:graphic>
          </wp:inline>
        </w:drawing>
      </w:r>
      <w:r>
        <w:t xml:space="preserve"> - гибкость элемента (</w:t>
      </w:r>
      <w:r>
        <w:rPr>
          <w:i/>
        </w:rPr>
        <w:t>i</w:t>
      </w:r>
      <w:r>
        <w:t xml:space="preserve"> - наименьший радиус инерции поперечного сечения);</w:t>
      </w:r>
    </w:p>
    <w:p w:rsidR="00212513" w:rsidRDefault="00212513">
      <w:pPr>
        <w:pStyle w:val="ConsPlusNormal"/>
        <w:spacing w:before="220"/>
        <w:ind w:firstLine="540"/>
        <w:jc w:val="both"/>
      </w:pPr>
      <w:r>
        <w:rPr>
          <w:noProof/>
          <w:position w:val="-8"/>
        </w:rPr>
        <w:drawing>
          <wp:inline distT="0" distB="0" distL="0" distR="0">
            <wp:extent cx="367030" cy="251460"/>
            <wp:effectExtent l="0" t="0" r="0" b="0"/>
            <wp:docPr id="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367030" cy="251460"/>
                    </a:xfrm>
                    <a:prstGeom prst="rect">
                      <a:avLst/>
                    </a:prstGeom>
                    <a:noFill/>
                    <a:ln>
                      <a:noFill/>
                    </a:ln>
                  </pic:spPr>
                </pic:pic>
              </a:graphicData>
            </a:graphic>
          </wp:inline>
        </w:drawing>
      </w:r>
      <w:r>
        <w:t xml:space="preserve"> - относительный эксцентриситет силы </w:t>
      </w:r>
      <w:r>
        <w:rPr>
          <w:i/>
        </w:rPr>
        <w:t>N</w:t>
      </w:r>
      <w:r>
        <w:t>;</w:t>
      </w:r>
    </w:p>
    <w:p w:rsidR="00212513" w:rsidRDefault="00212513">
      <w:pPr>
        <w:pStyle w:val="ConsPlusNormal"/>
        <w:spacing w:before="220"/>
        <w:ind w:firstLine="540"/>
        <w:jc w:val="both"/>
      </w:pPr>
      <w:r>
        <w:rPr>
          <w:noProof/>
          <w:position w:val="-8"/>
        </w:rPr>
        <w:drawing>
          <wp:inline distT="0" distB="0" distL="0" distR="0">
            <wp:extent cx="167640" cy="251460"/>
            <wp:effectExtent l="0" t="0" r="0" b="0"/>
            <wp:docPr id="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эксцентриситет силы </w:t>
      </w:r>
      <w:r>
        <w:rPr>
          <w:i/>
        </w:rPr>
        <w:t>N</w:t>
      </w:r>
      <w:r>
        <w:t xml:space="preserve"> относительно центра тяжести приведенного сечения;</w:t>
      </w:r>
    </w:p>
    <w:p w:rsidR="00212513" w:rsidRDefault="00212513">
      <w:pPr>
        <w:pStyle w:val="ConsPlusNormal"/>
        <w:spacing w:before="220"/>
        <w:ind w:firstLine="540"/>
        <w:jc w:val="both"/>
      </w:pPr>
      <w:r>
        <w:rPr>
          <w:noProof/>
          <w:position w:val="-8"/>
        </w:rPr>
        <w:drawing>
          <wp:inline distT="0" distB="0" distL="0" distR="0">
            <wp:extent cx="899160" cy="251460"/>
            <wp:effectExtent l="0" t="0" r="0" b="0"/>
            <wp:docPr id="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899160" cy="251460"/>
                    </a:xfrm>
                    <a:prstGeom prst="rect">
                      <a:avLst/>
                    </a:prstGeom>
                    <a:noFill/>
                    <a:ln>
                      <a:noFill/>
                    </a:ln>
                  </pic:spPr>
                </pic:pic>
              </a:graphicData>
            </a:graphic>
          </wp:inline>
        </w:drawing>
      </w:r>
      <w:r>
        <w:t xml:space="preserve"> - ядровое расстояние (</w:t>
      </w:r>
      <w:r>
        <w:rPr>
          <w:noProof/>
          <w:position w:val="-8"/>
        </w:rPr>
        <w:drawing>
          <wp:inline distT="0" distB="0" distL="0" distR="0">
            <wp:extent cx="304165" cy="251460"/>
            <wp:effectExtent l="0" t="0" r="0" b="0"/>
            <wp:docPr id="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304165" cy="251460"/>
                    </a:xfrm>
                    <a:prstGeom prst="rect">
                      <a:avLst/>
                    </a:prstGeom>
                    <a:noFill/>
                    <a:ln>
                      <a:noFill/>
                    </a:ln>
                  </pic:spPr>
                </pic:pic>
              </a:graphicData>
            </a:graphic>
          </wp:inline>
        </w:drawing>
      </w:r>
      <w:r>
        <w:t xml:space="preserve"> и </w:t>
      </w:r>
      <w:r>
        <w:rPr>
          <w:noProof/>
          <w:position w:val="-8"/>
        </w:rPr>
        <w:drawing>
          <wp:inline distT="0" distB="0" distL="0" distR="0">
            <wp:extent cx="293370" cy="251460"/>
            <wp:effectExtent l="0" t="0" r="0" b="0"/>
            <wp:docPr id="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 момент сопротивления и площадь приведенного сечения).</w:t>
      </w:r>
    </w:p>
    <w:p w:rsidR="00212513" w:rsidRDefault="00212513">
      <w:pPr>
        <w:pStyle w:val="ConsPlusNormal"/>
        <w:ind w:firstLine="540"/>
        <w:jc w:val="both"/>
      </w:pPr>
    </w:p>
    <w:p w:rsidR="00212513" w:rsidRDefault="00212513">
      <w:pPr>
        <w:pStyle w:val="ConsPlusTitle"/>
        <w:ind w:firstLine="540"/>
        <w:jc w:val="both"/>
        <w:outlineLvl w:val="2"/>
      </w:pPr>
      <w:r>
        <w:t>Расчет по прочности сечений, нормальных к продольной оси элемента</w:t>
      </w:r>
    </w:p>
    <w:p w:rsidR="00212513" w:rsidRDefault="00212513">
      <w:pPr>
        <w:pStyle w:val="ConsPlusNormal"/>
        <w:ind w:firstLine="540"/>
        <w:jc w:val="both"/>
      </w:pPr>
    </w:p>
    <w:p w:rsidR="00212513" w:rsidRDefault="00212513">
      <w:pPr>
        <w:pStyle w:val="ConsPlusNormal"/>
        <w:ind w:firstLine="540"/>
        <w:jc w:val="both"/>
      </w:pPr>
      <w:r>
        <w:t xml:space="preserve">7.56 Предельные усилия в сечениях согласно </w:t>
      </w:r>
      <w:hyperlink w:anchor="P4485">
        <w:r>
          <w:rPr>
            <w:color w:val="0000FF"/>
          </w:rPr>
          <w:t>7.62</w:t>
        </w:r>
      </w:hyperlink>
      <w:r>
        <w:t xml:space="preserve"> - </w:t>
      </w:r>
      <w:hyperlink w:anchor="P4644">
        <w:r>
          <w:rPr>
            <w:color w:val="0000FF"/>
          </w:rPr>
          <w:t>7.71</w:t>
        </w:r>
      </w:hyperlink>
      <w:r>
        <w:t xml:space="preserve"> и </w:t>
      </w:r>
      <w:hyperlink w:anchor="P4729">
        <w:r>
          <w:rPr>
            <w:color w:val="0000FF"/>
          </w:rPr>
          <w:t>7.75</w:t>
        </w:r>
      </w:hyperlink>
      <w:r>
        <w:t xml:space="preserve"> следует определять исходя из следующих предпосылок:</w:t>
      </w:r>
    </w:p>
    <w:p w:rsidR="00212513" w:rsidRDefault="00212513">
      <w:pPr>
        <w:pStyle w:val="ConsPlusNormal"/>
        <w:spacing w:before="220"/>
        <w:ind w:firstLine="540"/>
        <w:jc w:val="both"/>
      </w:pPr>
      <w:r>
        <w:t>сопротивление бетона растяжению принимается равным нулю;</w:t>
      </w:r>
    </w:p>
    <w:p w:rsidR="00212513" w:rsidRDefault="00212513">
      <w:pPr>
        <w:pStyle w:val="ConsPlusNormal"/>
        <w:spacing w:before="220"/>
        <w:ind w:firstLine="540"/>
        <w:jc w:val="both"/>
      </w:pPr>
      <w:r>
        <w:t xml:space="preserve">сопротивление бетона сжатию ограничивается напряжениями, равными </w:t>
      </w:r>
      <w:r>
        <w:rPr>
          <w:noProof/>
          <w:position w:val="-8"/>
        </w:rPr>
        <w:drawing>
          <wp:inline distT="0" distB="0" distL="0" distR="0">
            <wp:extent cx="209550" cy="251460"/>
            <wp:effectExtent l="0" t="0" r="0" b="0"/>
            <wp:docPr id="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равномерно распределенными в пределах условной сжатой зоны бетона;</w:t>
      </w:r>
    </w:p>
    <w:p w:rsidR="00212513" w:rsidRDefault="00212513">
      <w:pPr>
        <w:pStyle w:val="ConsPlusNormal"/>
        <w:spacing w:before="220"/>
        <w:ind w:firstLine="540"/>
        <w:jc w:val="both"/>
      </w:pPr>
      <w:r>
        <w:t xml:space="preserve">растягивающие напряжения в арматуре ограничиваются расчетными сопротивлениями растяжению в ненапрягаемой </w:t>
      </w:r>
      <w:r>
        <w:rPr>
          <w:noProof/>
          <w:position w:val="-8"/>
        </w:rPr>
        <w:drawing>
          <wp:inline distT="0" distB="0" distL="0" distR="0">
            <wp:extent cx="189230" cy="250825"/>
            <wp:effectExtent l="0" t="0" r="0" b="0"/>
            <wp:docPr id="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189230" cy="250825"/>
                    </a:xfrm>
                    <a:prstGeom prst="rect">
                      <a:avLst/>
                    </a:prstGeom>
                    <a:noFill/>
                    <a:ln>
                      <a:noFill/>
                    </a:ln>
                  </pic:spPr>
                </pic:pic>
              </a:graphicData>
            </a:graphic>
          </wp:inline>
        </w:drawing>
      </w:r>
      <w:r>
        <w:t xml:space="preserve"> и напрягаемой </w:t>
      </w:r>
      <w:r>
        <w:rPr>
          <w:noProof/>
          <w:position w:val="-9"/>
        </w:rPr>
        <w:drawing>
          <wp:inline distT="0" distB="0" distL="0" distR="0">
            <wp:extent cx="220980" cy="262890"/>
            <wp:effectExtent l="0" t="0" r="0" b="0"/>
            <wp:docPr id="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арматуре;</w:t>
      </w:r>
    </w:p>
    <w:p w:rsidR="00212513" w:rsidRDefault="00212513">
      <w:pPr>
        <w:pStyle w:val="ConsPlusNormal"/>
        <w:spacing w:before="220"/>
        <w:ind w:firstLine="540"/>
        <w:jc w:val="both"/>
      </w:pPr>
      <w:r>
        <w:t xml:space="preserve">сжимающие напряжения в ненапрягаемой арматуре ограничиваются расчетными сопротивлениями сжатию </w:t>
      </w:r>
      <w:r>
        <w:rPr>
          <w:noProof/>
          <w:position w:val="-8"/>
        </w:rPr>
        <w:drawing>
          <wp:inline distT="0" distB="0" distL="0" distR="0">
            <wp:extent cx="241935" cy="251460"/>
            <wp:effectExtent l="0" t="0" r="0" b="0"/>
            <wp:docPr id="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а в напрягаемой - наибольшими сжимающими напряжениями </w:t>
      </w:r>
      <w:r>
        <w:rPr>
          <w:noProof/>
          <w:position w:val="-9"/>
        </w:rPr>
        <w:drawing>
          <wp:inline distT="0" distB="0" distL="0" distR="0">
            <wp:extent cx="262890" cy="262890"/>
            <wp:effectExtent l="0" t="0" r="0" b="0"/>
            <wp:docPr id="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согласно </w:t>
      </w:r>
      <w:hyperlink w:anchor="P4444">
        <w:r>
          <w:rPr>
            <w:color w:val="0000FF"/>
          </w:rPr>
          <w:t>7.60</w:t>
        </w:r>
      </w:hyperlink>
      <w:r>
        <w:t>.</w:t>
      </w:r>
    </w:p>
    <w:p w:rsidR="00212513" w:rsidRDefault="00212513">
      <w:pPr>
        <w:pStyle w:val="ConsPlusNormal"/>
        <w:spacing w:before="220"/>
        <w:ind w:firstLine="540"/>
        <w:jc w:val="both"/>
      </w:pPr>
      <w:r>
        <w:t>Для уточнения работы железобетонных элементов возможен расчет по фактическим диаграммам деформирования материалов с учетом их нелинейной работы.</w:t>
      </w:r>
    </w:p>
    <w:p w:rsidR="00212513" w:rsidRDefault="00212513">
      <w:pPr>
        <w:pStyle w:val="ConsPlusNormal"/>
        <w:jc w:val="both"/>
      </w:pPr>
      <w:r>
        <w:t xml:space="preserve">(абзац введен </w:t>
      </w:r>
      <w:hyperlink r:id="rId857">
        <w:r>
          <w:rPr>
            <w:color w:val="0000FF"/>
          </w:rPr>
          <w:t>Изменением N 3</w:t>
        </w:r>
      </w:hyperlink>
      <w:r>
        <w:t>, утв. Приказом Минстроя России от 29.12.2020 N 891/пр)</w:t>
      </w:r>
    </w:p>
    <w:p w:rsidR="00212513" w:rsidRDefault="00212513">
      <w:pPr>
        <w:pStyle w:val="ConsPlusNormal"/>
        <w:spacing w:before="220"/>
        <w:ind w:firstLine="540"/>
        <w:jc w:val="both"/>
      </w:pPr>
      <w:r>
        <w:t xml:space="preserve">Допускается производить указанные расчеты по предельным деформациям с </w:t>
      </w:r>
      <w:r>
        <w:lastRenderedPageBreak/>
        <w:t xml:space="preserve">использованием диаграмм деформирования бетона и арматуры в соответствии с </w:t>
      </w:r>
      <w:hyperlink w:anchor="P1963">
        <w:r>
          <w:rPr>
            <w:color w:val="0000FF"/>
          </w:rPr>
          <w:t>7.2</w:t>
        </w:r>
      </w:hyperlink>
      <w:r>
        <w:t xml:space="preserve"> и </w:t>
      </w:r>
      <w:hyperlink w:anchor="P18657">
        <w:r>
          <w:rPr>
            <w:color w:val="0000FF"/>
          </w:rPr>
          <w:t>приложением 8</w:t>
        </w:r>
      </w:hyperlink>
      <w:r>
        <w:t>.</w:t>
      </w:r>
    </w:p>
    <w:p w:rsidR="00212513" w:rsidRDefault="00212513">
      <w:pPr>
        <w:pStyle w:val="ConsPlusNormal"/>
        <w:jc w:val="both"/>
      </w:pPr>
      <w:r>
        <w:t xml:space="preserve">(в ред. </w:t>
      </w:r>
      <w:hyperlink r:id="rId858">
        <w:r>
          <w:rPr>
            <w:color w:val="0000FF"/>
          </w:rPr>
          <w:t>Изменения N 1</w:t>
        </w:r>
      </w:hyperlink>
      <w:r>
        <w:t xml:space="preserve">, утв. Приказом Минстроя России от 03.12.2016 N 879/пр, </w:t>
      </w:r>
      <w:hyperlink r:id="rId859">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t>7.57 Если в сжатой зоне расчетного сечения имеются бетоны разных классов, то их площади приводятся пропорционально расчетным сопротивлениям к бетону одного расчетного сопротивления.</w:t>
      </w:r>
    </w:p>
    <w:p w:rsidR="00212513" w:rsidRDefault="00212513">
      <w:pPr>
        <w:pStyle w:val="ConsPlusNormal"/>
        <w:spacing w:before="220"/>
        <w:ind w:firstLine="540"/>
        <w:jc w:val="both"/>
      </w:pPr>
      <w:r>
        <w:t xml:space="preserve">7.58 При расчете балок с плитой в сжатой зоне длина свесов плиты, вводимая в расчет, не должна превышать шести ее толщин </w:t>
      </w:r>
      <w:r>
        <w:rPr>
          <w:noProof/>
          <w:position w:val="-9"/>
        </w:rPr>
        <w:drawing>
          <wp:inline distT="0" distB="0" distL="0" distR="0">
            <wp:extent cx="198755" cy="262890"/>
            <wp:effectExtent l="0" t="0" r="0" b="0"/>
            <wp:docPr id="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считая от начала свеса, и должна быть не более половины расстояния в свету между балками.</w:t>
      </w:r>
    </w:p>
    <w:p w:rsidR="00212513" w:rsidRDefault="00212513">
      <w:pPr>
        <w:pStyle w:val="ConsPlusNormal"/>
        <w:spacing w:before="220"/>
        <w:ind w:firstLine="540"/>
        <w:jc w:val="both"/>
      </w:pPr>
      <w:r>
        <w:t>Начало свеса принимается от ребра балки или от конца вута, если он имеет уклон 1:3 и более.</w:t>
      </w:r>
    </w:p>
    <w:p w:rsidR="00212513" w:rsidRDefault="00212513">
      <w:pPr>
        <w:pStyle w:val="ConsPlusNormal"/>
        <w:spacing w:before="220"/>
        <w:ind w:firstLine="540"/>
        <w:jc w:val="both"/>
      </w:pPr>
      <w:r>
        <w:t>При переменной толщине плиты, а также при вутах с уклоном менее 1:3 длина свесов определяется по приведенной толщине плиты, которая находится с учетом площади плиты и вутов.</w:t>
      </w:r>
    </w:p>
    <w:p w:rsidR="00212513" w:rsidRDefault="00212513">
      <w:pPr>
        <w:pStyle w:val="ConsPlusNormal"/>
        <w:spacing w:before="220"/>
        <w:ind w:firstLine="540"/>
        <w:jc w:val="both"/>
      </w:pPr>
      <w:r>
        <w:t xml:space="preserve">Абзац исключен с 30.06.2021. - </w:t>
      </w:r>
      <w:hyperlink r:id="rId861">
        <w:r>
          <w:rPr>
            <w:color w:val="0000FF"/>
          </w:rPr>
          <w:t>Изменение N 3</w:t>
        </w:r>
      </w:hyperlink>
      <w:r>
        <w:t>, утв. Приказом Минстроя России от 29.12.2020 N 891/пр.</w:t>
      </w:r>
    </w:p>
    <w:p w:rsidR="00212513" w:rsidRDefault="00212513">
      <w:pPr>
        <w:pStyle w:val="ConsPlusNormal"/>
        <w:spacing w:before="220"/>
        <w:ind w:firstLine="540"/>
        <w:jc w:val="both"/>
      </w:pPr>
      <w:r>
        <w:t>7.59 Если количество растянутой арматуры по конструктивным соображениям или по расчету по трещиностойкости превышает требуемое по расчету по прочности, то в расчете допускается учитывать не всю арматуру, а только требуемую из расчета по прочности.</w:t>
      </w:r>
    </w:p>
    <w:p w:rsidR="00212513" w:rsidRDefault="00212513">
      <w:pPr>
        <w:pStyle w:val="ConsPlusNormal"/>
        <w:spacing w:before="220"/>
        <w:ind w:firstLine="540"/>
        <w:jc w:val="both"/>
      </w:pPr>
      <w:bookmarkStart w:id="156" w:name="P4444"/>
      <w:bookmarkEnd w:id="156"/>
      <w:r>
        <w:t>7.60 Напрягаемую арматуру, расположенную в сжатой зоне и имеющую сцепление с бетоном, следует вводить в расчет с напряжением</w:t>
      </w:r>
    </w:p>
    <w:p w:rsidR="00212513" w:rsidRDefault="00212513">
      <w:pPr>
        <w:pStyle w:val="ConsPlusNormal"/>
        <w:ind w:firstLine="540"/>
        <w:jc w:val="both"/>
      </w:pPr>
    </w:p>
    <w:p w:rsidR="00212513" w:rsidRDefault="00212513">
      <w:pPr>
        <w:pStyle w:val="ConsPlusNormal"/>
        <w:jc w:val="center"/>
      </w:pPr>
      <w:r>
        <w:rPr>
          <w:noProof/>
          <w:position w:val="-9"/>
        </w:rPr>
        <w:drawing>
          <wp:inline distT="0" distB="0" distL="0" distR="0">
            <wp:extent cx="1064895" cy="262890"/>
            <wp:effectExtent l="0" t="0" r="0" b="0"/>
            <wp:docPr id="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1064895" cy="262890"/>
                    </a:xfrm>
                    <a:prstGeom prst="rect">
                      <a:avLst/>
                    </a:prstGeom>
                    <a:noFill/>
                    <a:ln>
                      <a:noFill/>
                    </a:ln>
                  </pic:spPr>
                </pic:pic>
              </a:graphicData>
            </a:graphic>
          </wp:inline>
        </w:drawing>
      </w:r>
      <w:r>
        <w:t>, (7.16)</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9"/>
        </w:rPr>
        <w:drawing>
          <wp:inline distT="0" distB="0" distL="0" distR="0">
            <wp:extent cx="262890" cy="262890"/>
            <wp:effectExtent l="0" t="0" r="0" b="0"/>
            <wp:docPr id="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учитываемое расчетом наибольшее сжимающее напряжение в напрягаемой арматуре согласно </w:t>
      </w:r>
      <w:hyperlink w:anchor="P3477">
        <w:r>
          <w:rPr>
            <w:color w:val="0000FF"/>
          </w:rPr>
          <w:t>7.38</w:t>
        </w:r>
      </w:hyperlink>
      <w:r>
        <w:t>;</w:t>
      </w:r>
    </w:p>
    <w:p w:rsidR="00212513" w:rsidRDefault="00212513">
      <w:pPr>
        <w:pStyle w:val="ConsPlusNormal"/>
        <w:spacing w:before="220"/>
        <w:ind w:firstLine="540"/>
        <w:jc w:val="both"/>
      </w:pPr>
      <w:r>
        <w:rPr>
          <w:noProof/>
          <w:position w:val="-9"/>
        </w:rPr>
        <w:drawing>
          <wp:inline distT="0" distB="0" distL="0" distR="0">
            <wp:extent cx="304165" cy="262890"/>
            <wp:effectExtent l="0" t="0" r="0" b="0"/>
            <wp:docPr id="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304165" cy="262890"/>
                    </a:xfrm>
                    <a:prstGeom prst="rect">
                      <a:avLst/>
                    </a:prstGeom>
                    <a:noFill/>
                    <a:ln>
                      <a:noFill/>
                    </a:ln>
                  </pic:spPr>
                </pic:pic>
              </a:graphicData>
            </a:graphic>
          </wp:inline>
        </w:drawing>
      </w:r>
      <w:r>
        <w:t xml:space="preserve"> - расчетное напряжение в напрягаемой арматуре (за вычетом всех потерь) при коэффициенте надежности по нагрузке, равном </w:t>
      </w:r>
      <w:r>
        <w:rPr>
          <w:noProof/>
          <w:position w:val="-9"/>
        </w:rPr>
        <w:drawing>
          <wp:inline distT="0" distB="0" distL="0" distR="0">
            <wp:extent cx="544830" cy="262890"/>
            <wp:effectExtent l="0" t="0" r="0" b="0"/>
            <wp:docPr id="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544830" cy="262890"/>
                    </a:xfrm>
                    <a:prstGeom prst="rect">
                      <a:avLst/>
                    </a:prstGeom>
                    <a:noFill/>
                    <a:ln>
                      <a:noFill/>
                    </a:ln>
                  </pic:spPr>
                </pic:pic>
              </a:graphicData>
            </a:graphic>
          </wp:inline>
        </w:drawing>
      </w:r>
      <w:r>
        <w:t xml:space="preserve">; при </w:t>
      </w:r>
      <w:r>
        <w:rPr>
          <w:noProof/>
          <w:position w:val="-9"/>
        </w:rPr>
        <w:drawing>
          <wp:inline distT="0" distB="0" distL="0" distR="0">
            <wp:extent cx="704850" cy="262890"/>
            <wp:effectExtent l="0" t="0" r="0" b="0"/>
            <wp:docPr id="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704850" cy="262890"/>
                    </a:xfrm>
                    <a:prstGeom prst="rect">
                      <a:avLst/>
                    </a:prstGeom>
                    <a:noFill/>
                    <a:ln>
                      <a:noFill/>
                    </a:ln>
                  </pic:spPr>
                </pic:pic>
              </a:graphicData>
            </a:graphic>
          </wp:inline>
        </w:drawing>
      </w:r>
      <w:r>
        <w:t xml:space="preserve"> принимается </w:t>
      </w:r>
      <w:r>
        <w:rPr>
          <w:noProof/>
          <w:position w:val="-9"/>
        </w:rPr>
        <w:drawing>
          <wp:inline distT="0" distB="0" distL="0" distR="0">
            <wp:extent cx="535940" cy="262890"/>
            <wp:effectExtent l="0" t="0" r="0" b="0"/>
            <wp:docPr id="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535940" cy="262890"/>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Площадь поперечного сечения сжатой арматуры </w:t>
      </w:r>
      <w:r>
        <w:rPr>
          <w:noProof/>
          <w:position w:val="-8"/>
        </w:rPr>
        <w:drawing>
          <wp:inline distT="0" distB="0" distL="0" distR="0">
            <wp:extent cx="189230" cy="250825"/>
            <wp:effectExtent l="0" t="0" r="0" b="0"/>
            <wp:docPr id="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189230" cy="250825"/>
                    </a:xfrm>
                    <a:prstGeom prst="rect">
                      <a:avLst/>
                    </a:prstGeom>
                    <a:noFill/>
                    <a:ln>
                      <a:noFill/>
                    </a:ln>
                  </pic:spPr>
                </pic:pic>
              </a:graphicData>
            </a:graphic>
          </wp:inline>
        </w:drawing>
      </w:r>
      <w:r>
        <w:t xml:space="preserve"> вводится в расчет в зависимости от соотношения расчетной высоты сжатой зоны бетона </w:t>
      </w:r>
      <w:r>
        <w:rPr>
          <w:i/>
        </w:rPr>
        <w:t>x</w:t>
      </w:r>
      <w:r>
        <w:t xml:space="preserve"> и расстояния </w:t>
      </w:r>
      <w:r>
        <w:rPr>
          <w:noProof/>
          <w:position w:val="-8"/>
        </w:rPr>
        <w:drawing>
          <wp:inline distT="0" distB="0" distL="0" distR="0">
            <wp:extent cx="177800" cy="251460"/>
            <wp:effectExtent l="0" t="0" r="0" b="0"/>
            <wp:docPr id="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этой арматуры до сжатой грани сечения.</w:t>
      </w:r>
    </w:p>
    <w:p w:rsidR="00212513" w:rsidRDefault="00212513">
      <w:pPr>
        <w:pStyle w:val="ConsPlusNormal"/>
        <w:spacing w:before="220"/>
        <w:ind w:firstLine="540"/>
        <w:jc w:val="both"/>
      </w:pPr>
      <w:r>
        <w:t xml:space="preserve">При расчете изгибаемых элементов площадь </w:t>
      </w:r>
      <w:r>
        <w:rPr>
          <w:noProof/>
          <w:position w:val="-8"/>
        </w:rPr>
        <w:drawing>
          <wp:inline distT="0" distB="0" distL="0" distR="0">
            <wp:extent cx="189230" cy="250825"/>
            <wp:effectExtent l="0" t="0" r="0" b="0"/>
            <wp:docPr id="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189230" cy="250825"/>
                    </a:xfrm>
                    <a:prstGeom prst="rect">
                      <a:avLst/>
                    </a:prstGeom>
                    <a:noFill/>
                    <a:ln>
                      <a:noFill/>
                    </a:ln>
                  </pic:spPr>
                </pic:pic>
              </a:graphicData>
            </a:graphic>
          </wp:inline>
        </w:drawing>
      </w:r>
      <w:r>
        <w:t xml:space="preserve"> учитывается полностью, если </w:t>
      </w:r>
      <w:r>
        <w:rPr>
          <w:noProof/>
          <w:position w:val="-8"/>
        </w:rPr>
        <w:drawing>
          <wp:inline distT="0" distB="0" distL="0" distR="0">
            <wp:extent cx="586740" cy="251460"/>
            <wp:effectExtent l="0" t="0" r="0" b="0"/>
            <wp:docPr id="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t xml:space="preserve">, где </w:t>
      </w:r>
      <w:r>
        <w:rPr>
          <w:noProof/>
          <w:position w:val="-8"/>
        </w:rPr>
        <w:drawing>
          <wp:inline distT="0" distB="0" distL="0" distR="0">
            <wp:extent cx="177800" cy="251460"/>
            <wp:effectExtent l="0" t="0" r="0" b="0"/>
            <wp:docPr id="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высота сжатой зоны, определенная с учетом сжатой арматуры </w:t>
      </w:r>
      <w:r>
        <w:rPr>
          <w:noProof/>
          <w:position w:val="-8"/>
        </w:rPr>
        <w:drawing>
          <wp:inline distT="0" distB="0" distL="0" distR="0">
            <wp:extent cx="189230" cy="250825"/>
            <wp:effectExtent l="0" t="0" r="0" b="0"/>
            <wp:docPr id="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189230" cy="250825"/>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Если без учета сжатой арматуры высота сжатой зоны сечения отвечает условию </w:t>
      </w:r>
      <w:r>
        <w:rPr>
          <w:noProof/>
          <w:position w:val="-8"/>
        </w:rPr>
        <w:drawing>
          <wp:inline distT="0" distB="0" distL="0" distR="0">
            <wp:extent cx="553085" cy="251460"/>
            <wp:effectExtent l="0" t="0" r="0" b="0"/>
            <wp:docPr id="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553085" cy="251460"/>
                    </a:xfrm>
                    <a:prstGeom prst="rect">
                      <a:avLst/>
                    </a:prstGeom>
                    <a:noFill/>
                    <a:ln>
                      <a:noFill/>
                    </a:ln>
                  </pic:spPr>
                </pic:pic>
              </a:graphicData>
            </a:graphic>
          </wp:inline>
        </w:drawing>
      </w:r>
      <w:r>
        <w:t xml:space="preserve">, а при учете сжатой арматуры </w:t>
      </w:r>
      <w:r>
        <w:rPr>
          <w:noProof/>
          <w:position w:val="-8"/>
        </w:rPr>
        <w:drawing>
          <wp:inline distT="0" distB="0" distL="0" distR="0">
            <wp:extent cx="586740" cy="251460"/>
            <wp:effectExtent l="0" t="0" r="0" b="0"/>
            <wp:docPr id="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t>, то расчет на прочность допускается производить, используя условие</w:t>
      </w:r>
    </w:p>
    <w:p w:rsidR="00212513" w:rsidRDefault="00212513">
      <w:pPr>
        <w:pStyle w:val="ConsPlusNormal"/>
        <w:ind w:firstLine="540"/>
        <w:jc w:val="both"/>
      </w:pPr>
    </w:p>
    <w:p w:rsidR="00212513" w:rsidRDefault="00212513">
      <w:pPr>
        <w:pStyle w:val="ConsPlusNormal"/>
        <w:jc w:val="center"/>
      </w:pPr>
      <w:r>
        <w:rPr>
          <w:noProof/>
          <w:position w:val="-14"/>
        </w:rPr>
        <w:lastRenderedPageBreak/>
        <w:drawing>
          <wp:inline distT="0" distB="0" distL="0" distR="0">
            <wp:extent cx="1908810" cy="325755"/>
            <wp:effectExtent l="0" t="0" r="0" b="0"/>
            <wp:docPr id="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1908810" cy="325755"/>
                    </a:xfrm>
                    <a:prstGeom prst="rect">
                      <a:avLst/>
                    </a:prstGeom>
                    <a:noFill/>
                    <a:ln>
                      <a:noFill/>
                    </a:ln>
                  </pic:spPr>
                </pic:pic>
              </a:graphicData>
            </a:graphic>
          </wp:inline>
        </w:drawing>
      </w:r>
      <w:r>
        <w:t>. (7.17)</w:t>
      </w:r>
    </w:p>
    <w:p w:rsidR="00212513" w:rsidRDefault="00212513">
      <w:pPr>
        <w:pStyle w:val="ConsPlusNormal"/>
        <w:ind w:firstLine="540"/>
        <w:jc w:val="both"/>
      </w:pPr>
    </w:p>
    <w:p w:rsidR="00212513" w:rsidRDefault="00212513">
      <w:pPr>
        <w:pStyle w:val="ConsPlusNonformat"/>
        <w:jc w:val="both"/>
      </w:pPr>
      <w:r>
        <w:t xml:space="preserve">    </w:t>
      </w:r>
      <w:r>
        <w:rPr>
          <w:noProof/>
          <w:position w:val="-7"/>
        </w:rPr>
        <w:drawing>
          <wp:inline distT="0" distB="0" distL="0" distR="0">
            <wp:extent cx="172085" cy="227965"/>
            <wp:effectExtent l="0" t="0" r="0" b="0"/>
            <wp:docPr id="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172085" cy="227965"/>
                    </a:xfrm>
                    <a:prstGeom prst="rect">
                      <a:avLst/>
                    </a:prstGeom>
                    <a:noFill/>
                    <a:ln>
                      <a:noFill/>
                    </a:ln>
                  </pic:spPr>
                </pic:pic>
              </a:graphicData>
            </a:graphic>
          </wp:inline>
        </w:drawing>
      </w:r>
      <w:r>
        <w:t xml:space="preserve"> при </w:t>
      </w:r>
      <w:r>
        <w:rPr>
          <w:noProof/>
          <w:position w:val="-8"/>
        </w:rPr>
        <w:drawing>
          <wp:inline distT="0" distB="0" distL="0" distR="0">
            <wp:extent cx="502920" cy="228600"/>
            <wp:effectExtent l="0" t="0" r="0" b="0"/>
            <wp:docPr id="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502920" cy="228600"/>
                    </a:xfrm>
                    <a:prstGeom prst="rect">
                      <a:avLst/>
                    </a:prstGeom>
                    <a:noFill/>
                    <a:ln>
                      <a:noFill/>
                    </a:ln>
                  </pic:spPr>
                </pic:pic>
              </a:graphicData>
            </a:graphic>
          </wp:inline>
        </w:drawing>
      </w:r>
      <w:r>
        <w:t xml:space="preserve"> не учитывается.</w:t>
      </w:r>
    </w:p>
    <w:p w:rsidR="00212513" w:rsidRDefault="00212513">
      <w:pPr>
        <w:pStyle w:val="ConsPlusNormal"/>
        <w:ind w:firstLine="540"/>
        <w:jc w:val="both"/>
      </w:pPr>
      <w:bookmarkStart w:id="157" w:name="P4457"/>
      <w:bookmarkEnd w:id="157"/>
      <w:r>
        <w:t xml:space="preserve">7.61 Расчет сечений, нормальных к продольной оси элемента, когда внешняя сила действует в плоскости оси симметрии сечения и арматура сосредоточена у перпендикулярных указанной плоскости граней элемента, должен производиться в зависимости от значения относительной высоты сжатой зоны </w:t>
      </w:r>
      <w:r>
        <w:rPr>
          <w:noProof/>
          <w:position w:val="-8"/>
        </w:rPr>
        <w:drawing>
          <wp:inline distT="0" distB="0" distL="0" distR="0">
            <wp:extent cx="628650" cy="251460"/>
            <wp:effectExtent l="0" t="0" r="0" b="0"/>
            <wp:docPr id="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628650" cy="251460"/>
                    </a:xfrm>
                    <a:prstGeom prst="rect">
                      <a:avLst/>
                    </a:prstGeom>
                    <a:noFill/>
                    <a:ln>
                      <a:noFill/>
                    </a:ln>
                  </pic:spPr>
                </pic:pic>
              </a:graphicData>
            </a:graphic>
          </wp:inline>
        </w:drawing>
      </w:r>
      <w:r>
        <w:t xml:space="preserve">, определяемой из соответствующих условий равновесия. Значение </w:t>
      </w:r>
      <w:r>
        <w:rPr>
          <w:noProof/>
          <w:position w:val="-6"/>
        </w:rPr>
        <w:drawing>
          <wp:inline distT="0" distB="0" distL="0" distR="0">
            <wp:extent cx="146685" cy="220980"/>
            <wp:effectExtent l="0" t="0" r="0" b="0"/>
            <wp:docPr id="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146685" cy="220980"/>
                    </a:xfrm>
                    <a:prstGeom prst="rect">
                      <a:avLst/>
                    </a:prstGeom>
                    <a:noFill/>
                    <a:ln>
                      <a:noFill/>
                    </a:ln>
                  </pic:spPr>
                </pic:pic>
              </a:graphicData>
            </a:graphic>
          </wp:inline>
        </w:drawing>
      </w:r>
      <w:r>
        <w:t xml:space="preserve"> при расчете конструкций, как правило, не должно превышать относительной высоты сжатой зоны бетона </w:t>
      </w:r>
      <w:r>
        <w:rPr>
          <w:noProof/>
          <w:position w:val="-10"/>
        </w:rPr>
        <w:drawing>
          <wp:inline distT="0" distB="0" distL="0" distR="0">
            <wp:extent cx="189230" cy="273685"/>
            <wp:effectExtent l="0" t="0" r="0" b="0"/>
            <wp:docPr id="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189230" cy="273685"/>
                    </a:xfrm>
                    <a:prstGeom prst="rect">
                      <a:avLst/>
                    </a:prstGeom>
                    <a:noFill/>
                    <a:ln>
                      <a:noFill/>
                    </a:ln>
                  </pic:spPr>
                </pic:pic>
              </a:graphicData>
            </a:graphic>
          </wp:inline>
        </w:drawing>
      </w:r>
      <w:r>
        <w:t xml:space="preserve">, при которой предельное состояние бетона сжатой зоны наступает не ранее достижения в растянутой арматуре напряжения, равного расчетному сопротивлению </w:t>
      </w:r>
      <w:r>
        <w:rPr>
          <w:noProof/>
          <w:position w:val="-8"/>
        </w:rPr>
        <w:drawing>
          <wp:inline distT="0" distB="0" distL="0" distR="0">
            <wp:extent cx="189230" cy="250825"/>
            <wp:effectExtent l="0" t="0" r="0" b="0"/>
            <wp:docPr id="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189230" cy="250825"/>
                    </a:xfrm>
                    <a:prstGeom prst="rect">
                      <a:avLst/>
                    </a:prstGeom>
                    <a:noFill/>
                    <a:ln>
                      <a:noFill/>
                    </a:ln>
                  </pic:spPr>
                </pic:pic>
              </a:graphicData>
            </a:graphic>
          </wp:inline>
        </w:drawing>
      </w:r>
      <w:r>
        <w:t xml:space="preserve"> или </w:t>
      </w:r>
      <w:r>
        <w:rPr>
          <w:noProof/>
          <w:position w:val="-10"/>
        </w:rPr>
        <w:drawing>
          <wp:inline distT="0" distB="0" distL="0" distR="0">
            <wp:extent cx="230505" cy="273685"/>
            <wp:effectExtent l="0" t="0" r="0" b="0"/>
            <wp:docPr id="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с учетом соответствующих коэффициентов условий работы для арматуры.</w:t>
      </w:r>
    </w:p>
    <w:p w:rsidR="00212513" w:rsidRDefault="00212513">
      <w:pPr>
        <w:pStyle w:val="ConsPlusNormal"/>
        <w:spacing w:before="220"/>
        <w:ind w:firstLine="540"/>
        <w:jc w:val="both"/>
      </w:pPr>
      <w:r>
        <w:t xml:space="preserve">Значение </w:t>
      </w:r>
      <w:r>
        <w:rPr>
          <w:noProof/>
          <w:position w:val="-10"/>
        </w:rPr>
        <w:drawing>
          <wp:inline distT="0" distB="0" distL="0" distR="0">
            <wp:extent cx="189230" cy="273685"/>
            <wp:effectExtent l="0" t="0" r="0" b="0"/>
            <wp:docPr id="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189230" cy="273685"/>
                    </a:xfrm>
                    <a:prstGeom prst="rect">
                      <a:avLst/>
                    </a:prstGeom>
                    <a:noFill/>
                    <a:ln>
                      <a:noFill/>
                    </a:ln>
                  </pic:spPr>
                </pic:pic>
              </a:graphicData>
            </a:graphic>
          </wp:inline>
        </w:drawing>
      </w:r>
      <w:r>
        <w:t xml:space="preserve"> определяется по формуле</w:t>
      </w:r>
    </w:p>
    <w:p w:rsidR="00212513" w:rsidRDefault="00212513">
      <w:pPr>
        <w:pStyle w:val="ConsPlusNormal"/>
        <w:ind w:firstLine="540"/>
        <w:jc w:val="both"/>
      </w:pPr>
    </w:p>
    <w:p w:rsidR="00212513" w:rsidRDefault="00212513">
      <w:pPr>
        <w:pStyle w:val="ConsPlusNormal"/>
        <w:jc w:val="center"/>
      </w:pPr>
      <w:r>
        <w:rPr>
          <w:noProof/>
          <w:position w:val="-44"/>
        </w:rPr>
        <w:drawing>
          <wp:inline distT="0" distB="0" distL="0" distR="0">
            <wp:extent cx="1382395" cy="704850"/>
            <wp:effectExtent l="0" t="0" r="0" b="0"/>
            <wp:docPr id="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1382395" cy="704850"/>
                    </a:xfrm>
                    <a:prstGeom prst="rect">
                      <a:avLst/>
                    </a:prstGeom>
                    <a:noFill/>
                    <a:ln>
                      <a:noFill/>
                    </a:ln>
                  </pic:spPr>
                </pic:pic>
              </a:graphicData>
            </a:graphic>
          </wp:inline>
        </w:drawing>
      </w:r>
      <w:r>
        <w:t>, (7.18)</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8"/>
        </w:rPr>
        <w:drawing>
          <wp:inline distT="0" distB="0" distL="0" distR="0">
            <wp:extent cx="1313815" cy="251460"/>
            <wp:effectExtent l="0" t="0" r="0" b="0"/>
            <wp:docPr id="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1313815" cy="251460"/>
                    </a:xfrm>
                    <a:prstGeom prst="rect">
                      <a:avLst/>
                    </a:prstGeom>
                    <a:noFill/>
                    <a:ln>
                      <a:noFill/>
                    </a:ln>
                  </pic:spPr>
                </pic:pic>
              </a:graphicData>
            </a:graphic>
          </wp:inline>
        </w:drawing>
      </w:r>
      <w:r>
        <w:t xml:space="preserve"> - для элементов с обычным армированием;</w:t>
      </w:r>
    </w:p>
    <w:p w:rsidR="00212513" w:rsidRDefault="00212513">
      <w:pPr>
        <w:pStyle w:val="ConsPlusNormal"/>
        <w:spacing w:before="220"/>
        <w:ind w:firstLine="540"/>
        <w:jc w:val="both"/>
      </w:pPr>
      <w:r>
        <w:rPr>
          <w:noProof/>
          <w:position w:val="-8"/>
        </w:rPr>
        <w:drawing>
          <wp:inline distT="0" distB="0" distL="0" distR="0">
            <wp:extent cx="1969770" cy="251460"/>
            <wp:effectExtent l="0" t="0" r="0" b="0"/>
            <wp:docPr id="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1969770" cy="251460"/>
                    </a:xfrm>
                    <a:prstGeom prst="rect">
                      <a:avLst/>
                    </a:prstGeom>
                    <a:noFill/>
                    <a:ln>
                      <a:noFill/>
                    </a:ln>
                  </pic:spPr>
                </pic:pic>
              </a:graphicData>
            </a:graphic>
          </wp:inline>
        </w:drawing>
      </w:r>
      <w:r>
        <w:t xml:space="preserve"> - для элементов с косвенным армированием;</w:t>
      </w:r>
    </w:p>
    <w:p w:rsidR="00212513" w:rsidRDefault="00212513">
      <w:pPr>
        <w:pStyle w:val="ConsPlusNormal"/>
        <w:spacing w:before="220"/>
        <w:ind w:firstLine="540"/>
        <w:jc w:val="both"/>
      </w:pPr>
      <w:r>
        <w:t xml:space="preserve">при этом расчетное сопротивление бетона </w:t>
      </w:r>
      <w:r>
        <w:rPr>
          <w:noProof/>
          <w:position w:val="-8"/>
        </w:rPr>
        <w:drawing>
          <wp:inline distT="0" distB="0" distL="0" distR="0">
            <wp:extent cx="209550" cy="251460"/>
            <wp:effectExtent l="0" t="0" r="0" b="0"/>
            <wp:docPr id="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следует принимать в МПа, а значение </w:t>
      </w:r>
      <w:r>
        <w:rPr>
          <w:noProof/>
          <w:position w:val="-4"/>
        </w:rPr>
        <w:drawing>
          <wp:inline distT="0" distB="0" distL="0" distR="0">
            <wp:extent cx="146050" cy="198755"/>
            <wp:effectExtent l="0" t="0" r="0" b="0"/>
            <wp:docPr id="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146050" cy="198755"/>
                    </a:xfrm>
                    <a:prstGeom prst="rect">
                      <a:avLst/>
                    </a:prstGeom>
                    <a:noFill/>
                    <a:ln>
                      <a:noFill/>
                    </a:ln>
                  </pic:spPr>
                </pic:pic>
              </a:graphicData>
            </a:graphic>
          </wp:inline>
        </w:drawing>
      </w:r>
      <w:r>
        <w:t xml:space="preserve"> - равным </w:t>
      </w:r>
      <w:r>
        <w:rPr>
          <w:noProof/>
          <w:position w:val="-6"/>
        </w:rPr>
        <w:drawing>
          <wp:inline distT="0" distB="0" distL="0" distR="0">
            <wp:extent cx="314960" cy="220980"/>
            <wp:effectExtent l="0" t="0" r="0" b="0"/>
            <wp:docPr id="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314960" cy="220980"/>
                    </a:xfrm>
                    <a:prstGeom prst="rect">
                      <a:avLst/>
                    </a:prstGeom>
                    <a:noFill/>
                    <a:ln>
                      <a:noFill/>
                    </a:ln>
                  </pic:spPr>
                </pic:pic>
              </a:graphicData>
            </a:graphic>
          </wp:inline>
        </w:drawing>
      </w:r>
      <w:r>
        <w:t xml:space="preserve">, но не более 0,15 (где </w:t>
      </w:r>
      <w:r>
        <w:rPr>
          <w:noProof/>
          <w:position w:val="-3"/>
        </w:rPr>
        <w:drawing>
          <wp:inline distT="0" distB="0" distL="0" distR="0">
            <wp:extent cx="167640" cy="177800"/>
            <wp:effectExtent l="0" t="0" r="0" b="0"/>
            <wp:docPr id="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коэффициент армирования, принимаемый согласно </w:t>
      </w:r>
      <w:hyperlink w:anchor="P4681">
        <w:r>
          <w:rPr>
            <w:color w:val="0000FF"/>
          </w:rPr>
          <w:t>7.72</w:t>
        </w:r>
      </w:hyperlink>
      <w:r>
        <w:t>);</w:t>
      </w:r>
    </w:p>
    <w:p w:rsidR="00212513" w:rsidRDefault="00212513">
      <w:pPr>
        <w:pStyle w:val="ConsPlusNormal"/>
        <w:spacing w:before="220"/>
        <w:ind w:firstLine="540"/>
        <w:jc w:val="both"/>
      </w:pPr>
      <w:r>
        <w:t xml:space="preserve">напряжения в арматуре </w:t>
      </w:r>
      <w:r>
        <w:rPr>
          <w:noProof/>
          <w:position w:val="-8"/>
        </w:rPr>
        <w:drawing>
          <wp:inline distT="0" distB="0" distL="0" distR="0">
            <wp:extent cx="198755" cy="250825"/>
            <wp:effectExtent l="0" t="0" r="0" b="0"/>
            <wp:docPr id="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МПа, следует принимать равными:</w:t>
      </w:r>
    </w:p>
    <w:p w:rsidR="00212513" w:rsidRDefault="00212513">
      <w:pPr>
        <w:pStyle w:val="ConsPlusNormal"/>
        <w:spacing w:before="220"/>
        <w:ind w:firstLine="540"/>
        <w:jc w:val="both"/>
      </w:pPr>
      <w:r>
        <w:rPr>
          <w:noProof/>
          <w:position w:val="-8"/>
        </w:rPr>
        <w:drawing>
          <wp:inline distT="0" distB="0" distL="0" distR="0">
            <wp:extent cx="189230" cy="250825"/>
            <wp:effectExtent l="0" t="0" r="0" b="0"/>
            <wp:docPr id="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189230" cy="250825"/>
                    </a:xfrm>
                    <a:prstGeom prst="rect">
                      <a:avLst/>
                    </a:prstGeom>
                    <a:noFill/>
                    <a:ln>
                      <a:noFill/>
                    </a:ln>
                  </pic:spPr>
                </pic:pic>
              </a:graphicData>
            </a:graphic>
          </wp:inline>
        </w:drawing>
      </w:r>
      <w:r>
        <w:t xml:space="preserve"> - для ненапрягаемой арматуры;</w:t>
      </w:r>
    </w:p>
    <w:p w:rsidR="00212513" w:rsidRDefault="00212513">
      <w:pPr>
        <w:pStyle w:val="ConsPlusNormal"/>
        <w:spacing w:before="220"/>
        <w:ind w:firstLine="540"/>
        <w:jc w:val="both"/>
      </w:pPr>
      <w:r>
        <w:rPr>
          <w:noProof/>
          <w:position w:val="-9"/>
        </w:rPr>
        <w:drawing>
          <wp:inline distT="0" distB="0" distL="0" distR="0">
            <wp:extent cx="939800" cy="262890"/>
            <wp:effectExtent l="0" t="0" r="0" b="0"/>
            <wp:docPr id="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939800" cy="262890"/>
                    </a:xfrm>
                    <a:prstGeom prst="rect">
                      <a:avLst/>
                    </a:prstGeom>
                    <a:noFill/>
                    <a:ln>
                      <a:noFill/>
                    </a:ln>
                  </pic:spPr>
                </pic:pic>
              </a:graphicData>
            </a:graphic>
          </wp:inline>
        </w:drawing>
      </w:r>
      <w:r>
        <w:t xml:space="preserve"> - для напрягаемой арматуры;</w:t>
      </w:r>
    </w:p>
    <w:p w:rsidR="00212513" w:rsidRDefault="00212513">
      <w:pPr>
        <w:pStyle w:val="ConsPlusNormal"/>
        <w:spacing w:before="220"/>
        <w:ind w:firstLine="540"/>
        <w:jc w:val="both"/>
      </w:pPr>
      <w:r>
        <w:t xml:space="preserve">расчетное сопротивление напрягаемой арматуры растяжению </w:t>
      </w:r>
      <w:r>
        <w:rPr>
          <w:noProof/>
          <w:position w:val="-10"/>
        </w:rPr>
        <w:drawing>
          <wp:inline distT="0" distB="0" distL="0" distR="0">
            <wp:extent cx="230505" cy="273685"/>
            <wp:effectExtent l="0" t="0" r="0" b="0"/>
            <wp:docPr id="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следует принимать с учетом соответствующих коэффициентов условий работы арматуры, а величину предварительного напряжения в арматуре </w:t>
      </w:r>
      <w:r>
        <w:rPr>
          <w:noProof/>
          <w:position w:val="-9"/>
        </w:rPr>
        <w:drawing>
          <wp:inline distT="0" distB="0" distL="0" distR="0">
            <wp:extent cx="220980" cy="262890"/>
            <wp:effectExtent l="0" t="0" r="0" b="0"/>
            <wp:docPr id="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с учетом первых и вторых потерь по </w:t>
      </w:r>
      <w:hyperlink w:anchor="P14438">
        <w:r>
          <w:rPr>
            <w:color w:val="0000FF"/>
          </w:rPr>
          <w:t>приложению Р</w:t>
        </w:r>
      </w:hyperlink>
      <w:r>
        <w:t>;</w:t>
      </w:r>
    </w:p>
    <w:p w:rsidR="00212513" w:rsidRDefault="00212513">
      <w:pPr>
        <w:pStyle w:val="ConsPlusNormal"/>
        <w:spacing w:before="220"/>
        <w:ind w:firstLine="540"/>
        <w:jc w:val="both"/>
      </w:pPr>
      <w:r>
        <w:t xml:space="preserve">при наличии напрягаемой и ненапрягаемой арматуры напряжение </w:t>
      </w:r>
      <w:r>
        <w:rPr>
          <w:noProof/>
          <w:position w:val="-8"/>
        </w:rPr>
        <w:drawing>
          <wp:inline distT="0" distB="0" distL="0" distR="0">
            <wp:extent cx="198755" cy="250825"/>
            <wp:effectExtent l="0" t="0" r="0" b="0"/>
            <wp:docPr id="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принимается по напрягаемой арматуре;</w:t>
      </w:r>
    </w:p>
    <w:p w:rsidR="00212513" w:rsidRDefault="00212513">
      <w:pPr>
        <w:pStyle w:val="ConsPlusNormal"/>
        <w:spacing w:before="220"/>
        <w:ind w:firstLine="540"/>
        <w:jc w:val="both"/>
      </w:pPr>
      <w:r>
        <w:t xml:space="preserve">напряжение </w:t>
      </w:r>
      <w:r>
        <w:rPr>
          <w:noProof/>
          <w:position w:val="-8"/>
        </w:rPr>
        <w:drawing>
          <wp:inline distT="0" distB="0" distL="0" distR="0">
            <wp:extent cx="209550" cy="251460"/>
            <wp:effectExtent l="0" t="0" r="0" b="0"/>
            <wp:docPr id="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является предельным напряжением в арматуре сжатой зоны и должно приниматься равным 500 МПа.</w:t>
      </w:r>
    </w:p>
    <w:p w:rsidR="00212513" w:rsidRDefault="00212513">
      <w:pPr>
        <w:pStyle w:val="ConsPlusNormal"/>
        <w:spacing w:before="220"/>
        <w:ind w:firstLine="540"/>
        <w:jc w:val="both"/>
      </w:pPr>
      <w:r>
        <w:t xml:space="preserve">Если при расчете по прочности полученное значение относительной высоты сжатой зоны </w:t>
      </w:r>
      <w:r>
        <w:rPr>
          <w:noProof/>
          <w:position w:val="-8"/>
        </w:rPr>
        <w:drawing>
          <wp:inline distT="0" distB="0" distL="0" distR="0">
            <wp:extent cx="628650" cy="251460"/>
            <wp:effectExtent l="0" t="0" r="0" b="0"/>
            <wp:docPr id="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628650" cy="251460"/>
                    </a:xfrm>
                    <a:prstGeom prst="rect">
                      <a:avLst/>
                    </a:prstGeom>
                    <a:noFill/>
                    <a:ln>
                      <a:noFill/>
                    </a:ln>
                  </pic:spPr>
                </pic:pic>
              </a:graphicData>
            </a:graphic>
          </wp:inline>
        </w:drawing>
      </w:r>
      <w:r>
        <w:t xml:space="preserve"> окажется по величине больше граничного значения </w:t>
      </w:r>
      <w:r>
        <w:rPr>
          <w:noProof/>
          <w:position w:val="-9"/>
        </w:rPr>
        <w:drawing>
          <wp:inline distT="0" distB="0" distL="0" distR="0">
            <wp:extent cx="199390" cy="262890"/>
            <wp:effectExtent l="0" t="0" r="0" b="0"/>
            <wp:docPr id="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199390" cy="262890"/>
                    </a:xfrm>
                    <a:prstGeom prst="rect">
                      <a:avLst/>
                    </a:prstGeom>
                    <a:noFill/>
                    <a:ln>
                      <a:noFill/>
                    </a:ln>
                  </pic:spPr>
                </pic:pic>
              </a:graphicData>
            </a:graphic>
          </wp:inline>
        </w:drawing>
      </w:r>
      <w:r>
        <w:t xml:space="preserve">, то расчет следует производить с использованием нелинейной деформационной модели согласно указаниям </w:t>
      </w:r>
      <w:hyperlink r:id="rId893">
        <w:r>
          <w:rPr>
            <w:color w:val="0000FF"/>
          </w:rPr>
          <w:t>СП 63.13330</w:t>
        </w:r>
      </w:hyperlink>
      <w:r>
        <w:t xml:space="preserve">. Для </w:t>
      </w:r>
      <w:r>
        <w:lastRenderedPageBreak/>
        <w:t xml:space="preserve">элементов прямоугольного, таврового, двутаврового и коробчатого сечений, рассчитываемых по </w:t>
      </w:r>
      <w:hyperlink w:anchor="P4485">
        <w:r>
          <w:rPr>
            <w:color w:val="0000FF"/>
          </w:rPr>
          <w:t>7.62</w:t>
        </w:r>
      </w:hyperlink>
      <w:r>
        <w:t xml:space="preserve">, </w:t>
      </w:r>
      <w:hyperlink w:anchor="P4501">
        <w:r>
          <w:rPr>
            <w:color w:val="0000FF"/>
          </w:rPr>
          <w:t>7.63</w:t>
        </w:r>
      </w:hyperlink>
      <w:r>
        <w:t xml:space="preserve">, </w:t>
      </w:r>
      <w:hyperlink w:anchor="P4612">
        <w:r>
          <w:rPr>
            <w:color w:val="0000FF"/>
          </w:rPr>
          <w:t>7.70</w:t>
        </w:r>
      </w:hyperlink>
      <w:r>
        <w:t xml:space="preserve">, для данного случая расчета допускается принимать значение высоты сжатой зоны равным </w:t>
      </w:r>
      <w:r>
        <w:rPr>
          <w:noProof/>
          <w:position w:val="-9"/>
        </w:rPr>
        <w:drawing>
          <wp:inline distT="0" distB="0" distL="0" distR="0">
            <wp:extent cx="578485" cy="262890"/>
            <wp:effectExtent l="0" t="0" r="0" b="0"/>
            <wp:docPr id="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578485" cy="262890"/>
                    </a:xfrm>
                    <a:prstGeom prst="rect">
                      <a:avLst/>
                    </a:prstGeom>
                    <a:noFill/>
                    <a:ln>
                      <a:noFill/>
                    </a:ln>
                  </pic:spPr>
                </pic:pic>
              </a:graphicData>
            </a:graphic>
          </wp:inline>
        </w:drawing>
      </w:r>
      <w:r>
        <w:rPr>
          <w:i/>
        </w:rPr>
        <w:t>.</w:t>
      </w:r>
    </w:p>
    <w:p w:rsidR="00212513" w:rsidRDefault="00212513">
      <w:pPr>
        <w:pStyle w:val="ConsPlusNormal"/>
        <w:jc w:val="both"/>
      </w:pPr>
      <w:r>
        <w:t xml:space="preserve">(в ред. </w:t>
      </w:r>
      <w:hyperlink r:id="rId895">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t xml:space="preserve">Указаниями </w:t>
      </w:r>
      <w:hyperlink r:id="rId896">
        <w:r>
          <w:rPr>
            <w:color w:val="0000FF"/>
          </w:rPr>
          <w:t>СП 63.13330</w:t>
        </w:r>
      </w:hyperlink>
      <w:r>
        <w:t xml:space="preserve"> следует руководствоваться при расчетах:</w:t>
      </w:r>
    </w:p>
    <w:p w:rsidR="00212513" w:rsidRDefault="00212513">
      <w:pPr>
        <w:pStyle w:val="ConsPlusNormal"/>
        <w:spacing w:before="220"/>
        <w:ind w:firstLine="540"/>
        <w:jc w:val="both"/>
      </w:pPr>
      <w:r>
        <w:t>железобетонных элементов на косое внецентренное сжатие и косой изгиб;</w:t>
      </w:r>
    </w:p>
    <w:p w:rsidR="00212513" w:rsidRDefault="00212513">
      <w:pPr>
        <w:pStyle w:val="ConsPlusNormal"/>
        <w:spacing w:before="220"/>
        <w:ind w:firstLine="540"/>
        <w:jc w:val="both"/>
      </w:pPr>
      <w:r>
        <w:t>элементов прямоугольной и непрямоугольной формы с арматурой, произвольно распределенной по сечению;</w:t>
      </w:r>
    </w:p>
    <w:p w:rsidR="00212513" w:rsidRDefault="00212513">
      <w:pPr>
        <w:pStyle w:val="ConsPlusNormal"/>
        <w:spacing w:before="220"/>
        <w:ind w:firstLine="540"/>
        <w:jc w:val="both"/>
      </w:pPr>
      <w:r>
        <w:t>коротких консолей;</w:t>
      </w:r>
    </w:p>
    <w:p w:rsidR="00212513" w:rsidRDefault="00212513">
      <w:pPr>
        <w:pStyle w:val="ConsPlusNormal"/>
        <w:spacing w:before="220"/>
        <w:ind w:firstLine="540"/>
        <w:jc w:val="both"/>
      </w:pPr>
      <w:r>
        <w:t>конструкций на продавливание и отрыв;</w:t>
      </w:r>
    </w:p>
    <w:p w:rsidR="00212513" w:rsidRDefault="00212513">
      <w:pPr>
        <w:pStyle w:val="ConsPlusNormal"/>
        <w:spacing w:before="220"/>
        <w:ind w:firstLine="540"/>
        <w:jc w:val="both"/>
      </w:pPr>
      <w:r>
        <w:t>элементов, работающих на изгиб с кручением.</w:t>
      </w:r>
    </w:p>
    <w:p w:rsidR="00212513" w:rsidRDefault="00212513">
      <w:pPr>
        <w:pStyle w:val="ConsPlusNormal"/>
        <w:jc w:val="both"/>
      </w:pPr>
      <w:r>
        <w:t xml:space="preserve">(в ред. </w:t>
      </w:r>
      <w:hyperlink r:id="rId897">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t>Во всех перечисленных расчетах следует для бетона и арматуры принимать расчетные сопротивления, предельные деформации, а также диаграммы деформирования бетона и арматуры, установленные в настоящем своде правил.</w:t>
      </w:r>
    </w:p>
    <w:p w:rsidR="00212513" w:rsidRDefault="00212513">
      <w:pPr>
        <w:pStyle w:val="ConsPlusNormal"/>
        <w:jc w:val="both"/>
      </w:pPr>
      <w:r>
        <w:t xml:space="preserve">(в ред. </w:t>
      </w:r>
      <w:hyperlink r:id="rId898">
        <w:r>
          <w:rPr>
            <w:color w:val="0000FF"/>
          </w:rPr>
          <w:t>Изменения N 3</w:t>
        </w:r>
      </w:hyperlink>
      <w:r>
        <w:t>, утв. Приказом Минстроя России от 29.12.2020 N 891/пр)</w:t>
      </w:r>
    </w:p>
    <w:p w:rsidR="00212513" w:rsidRDefault="00212513">
      <w:pPr>
        <w:pStyle w:val="ConsPlusNormal"/>
        <w:ind w:firstLine="540"/>
        <w:jc w:val="both"/>
      </w:pPr>
    </w:p>
    <w:p w:rsidR="00212513" w:rsidRDefault="00212513">
      <w:pPr>
        <w:pStyle w:val="ConsPlusTitle"/>
        <w:ind w:firstLine="540"/>
        <w:jc w:val="both"/>
        <w:outlineLvl w:val="2"/>
      </w:pPr>
      <w:r>
        <w:t>Расчет изгибаемых железобетонных элементов</w:t>
      </w:r>
    </w:p>
    <w:p w:rsidR="00212513" w:rsidRDefault="00212513">
      <w:pPr>
        <w:pStyle w:val="ConsPlusNormal"/>
        <w:ind w:firstLine="540"/>
        <w:jc w:val="both"/>
      </w:pPr>
    </w:p>
    <w:p w:rsidR="00212513" w:rsidRDefault="00212513">
      <w:pPr>
        <w:pStyle w:val="ConsPlusNormal"/>
        <w:ind w:firstLine="540"/>
        <w:jc w:val="both"/>
      </w:pPr>
      <w:bookmarkStart w:id="158" w:name="P4485"/>
      <w:bookmarkEnd w:id="158"/>
      <w:r>
        <w:t xml:space="preserve">7.62 Расчет прямоугольных сечений </w:t>
      </w:r>
      <w:hyperlink w:anchor="P4495">
        <w:r>
          <w:rPr>
            <w:color w:val="0000FF"/>
          </w:rPr>
          <w:t>(рисунок 7.1)</w:t>
        </w:r>
      </w:hyperlink>
      <w:r>
        <w:t xml:space="preserve"> при </w:t>
      </w:r>
      <w:r>
        <w:rPr>
          <w:noProof/>
          <w:position w:val="-10"/>
        </w:rPr>
        <w:drawing>
          <wp:inline distT="0" distB="0" distL="0" distR="0">
            <wp:extent cx="939800" cy="273685"/>
            <wp:effectExtent l="0" t="0" r="0" b="0"/>
            <wp:docPr id="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939800" cy="273685"/>
                    </a:xfrm>
                    <a:prstGeom prst="rect">
                      <a:avLst/>
                    </a:prstGeom>
                    <a:noFill/>
                    <a:ln>
                      <a:noFill/>
                    </a:ln>
                  </pic:spPr>
                </pic:pic>
              </a:graphicData>
            </a:graphic>
          </wp:inline>
        </w:drawing>
      </w:r>
      <w:r>
        <w:t xml:space="preserve"> следует производить из условия</w:t>
      </w:r>
    </w:p>
    <w:p w:rsidR="00212513" w:rsidRDefault="00212513">
      <w:pPr>
        <w:pStyle w:val="ConsPlusNormal"/>
        <w:ind w:firstLine="540"/>
        <w:jc w:val="both"/>
      </w:pPr>
    </w:p>
    <w:p w:rsidR="00212513" w:rsidRDefault="00212513">
      <w:pPr>
        <w:pStyle w:val="ConsPlusNormal"/>
        <w:jc w:val="center"/>
      </w:pPr>
      <w:bookmarkStart w:id="159" w:name="P4487"/>
      <w:bookmarkEnd w:id="159"/>
      <w:r>
        <w:rPr>
          <w:noProof/>
          <w:position w:val="-12"/>
        </w:rPr>
        <w:drawing>
          <wp:inline distT="0" distB="0" distL="0" distR="0">
            <wp:extent cx="3702050" cy="304165"/>
            <wp:effectExtent l="0" t="0" r="0" b="0"/>
            <wp:docPr id="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3702050" cy="304165"/>
                    </a:xfrm>
                    <a:prstGeom prst="rect">
                      <a:avLst/>
                    </a:prstGeom>
                    <a:noFill/>
                    <a:ln>
                      <a:noFill/>
                    </a:ln>
                  </pic:spPr>
                </pic:pic>
              </a:graphicData>
            </a:graphic>
          </wp:inline>
        </w:drawing>
      </w:r>
      <w:r>
        <w:t>, (7.19)</w:t>
      </w:r>
    </w:p>
    <w:p w:rsidR="00212513" w:rsidRDefault="00212513">
      <w:pPr>
        <w:pStyle w:val="ConsPlusNormal"/>
        <w:ind w:firstLine="540"/>
        <w:jc w:val="both"/>
      </w:pPr>
    </w:p>
    <w:p w:rsidR="00212513" w:rsidRDefault="00212513">
      <w:pPr>
        <w:pStyle w:val="ConsPlusNormal"/>
        <w:ind w:firstLine="540"/>
        <w:jc w:val="both"/>
      </w:pPr>
      <w:r>
        <w:t xml:space="preserve">при этом высоту сжатой зоны </w:t>
      </w:r>
      <w:r>
        <w:rPr>
          <w:i/>
        </w:rPr>
        <w:t>x</w:t>
      </w:r>
      <w:r>
        <w:t xml:space="preserve"> следует определять по формуле</w:t>
      </w:r>
    </w:p>
    <w:p w:rsidR="00212513" w:rsidRDefault="00212513">
      <w:pPr>
        <w:pStyle w:val="ConsPlusNormal"/>
        <w:ind w:firstLine="540"/>
        <w:jc w:val="both"/>
      </w:pPr>
    </w:p>
    <w:p w:rsidR="00212513" w:rsidRDefault="00212513">
      <w:pPr>
        <w:pStyle w:val="ConsPlusNormal"/>
        <w:jc w:val="center"/>
      </w:pPr>
      <w:bookmarkStart w:id="160" w:name="P4491"/>
      <w:bookmarkEnd w:id="160"/>
      <w:r>
        <w:rPr>
          <w:noProof/>
          <w:position w:val="-9"/>
        </w:rPr>
        <w:drawing>
          <wp:inline distT="0" distB="0" distL="0" distR="0">
            <wp:extent cx="2416810" cy="262890"/>
            <wp:effectExtent l="0" t="0" r="0" b="0"/>
            <wp:docPr id="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2416810" cy="262890"/>
                    </a:xfrm>
                    <a:prstGeom prst="rect">
                      <a:avLst/>
                    </a:prstGeom>
                    <a:noFill/>
                    <a:ln>
                      <a:noFill/>
                    </a:ln>
                  </pic:spPr>
                </pic:pic>
              </a:graphicData>
            </a:graphic>
          </wp:inline>
        </w:drawing>
      </w:r>
      <w:r>
        <w:t>. (7.20)</w:t>
      </w:r>
    </w:p>
    <w:p w:rsidR="00212513" w:rsidRDefault="00212513">
      <w:pPr>
        <w:pStyle w:val="ConsPlusNormal"/>
        <w:ind w:firstLine="540"/>
        <w:jc w:val="both"/>
      </w:pPr>
    </w:p>
    <w:p w:rsidR="00212513" w:rsidRDefault="00212513">
      <w:pPr>
        <w:pStyle w:val="ConsPlusNormal"/>
        <w:jc w:val="center"/>
      </w:pPr>
      <w:r>
        <w:rPr>
          <w:noProof/>
          <w:position w:val="-152"/>
        </w:rPr>
        <w:drawing>
          <wp:inline distT="0" distB="0" distL="0" distR="0">
            <wp:extent cx="3810000" cy="2078990"/>
            <wp:effectExtent l="0" t="0" r="0" b="0"/>
            <wp:docPr id="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3810000" cy="2078990"/>
                    </a:xfrm>
                    <a:prstGeom prst="rect">
                      <a:avLst/>
                    </a:prstGeom>
                    <a:noFill/>
                    <a:ln>
                      <a:noFill/>
                    </a:ln>
                  </pic:spPr>
                </pic:pic>
              </a:graphicData>
            </a:graphic>
          </wp:inline>
        </w:drawing>
      </w:r>
    </w:p>
    <w:p w:rsidR="00212513" w:rsidRDefault="00212513">
      <w:pPr>
        <w:pStyle w:val="ConsPlusNormal"/>
        <w:jc w:val="center"/>
      </w:pPr>
    </w:p>
    <w:p w:rsidR="00212513" w:rsidRDefault="00212513">
      <w:pPr>
        <w:pStyle w:val="ConsPlusNormal"/>
        <w:jc w:val="center"/>
      </w:pPr>
      <w:bookmarkStart w:id="161" w:name="P4495"/>
      <w:bookmarkEnd w:id="161"/>
      <w:r>
        <w:rPr>
          <w:b/>
          <w:i/>
        </w:rPr>
        <w:t>Рисунок 7.1</w:t>
      </w:r>
      <w:r>
        <w:t xml:space="preserve"> </w:t>
      </w:r>
      <w:r>
        <w:rPr>
          <w:b/>
        </w:rPr>
        <w:t>- Схема усилий и эпюра напряжений в сечении,</w:t>
      </w:r>
    </w:p>
    <w:p w:rsidR="00212513" w:rsidRDefault="00212513">
      <w:pPr>
        <w:pStyle w:val="ConsPlusNormal"/>
        <w:jc w:val="center"/>
      </w:pPr>
      <w:r>
        <w:rPr>
          <w:b/>
        </w:rPr>
        <w:t>нормальном к продольной оси изгибаемого железобетонного</w:t>
      </w:r>
    </w:p>
    <w:p w:rsidR="00212513" w:rsidRDefault="00212513">
      <w:pPr>
        <w:pStyle w:val="ConsPlusNormal"/>
        <w:jc w:val="center"/>
      </w:pPr>
      <w:r>
        <w:rPr>
          <w:b/>
        </w:rPr>
        <w:t>элемента, при расчете его по прочности</w:t>
      </w:r>
    </w:p>
    <w:p w:rsidR="00212513" w:rsidRDefault="00212513">
      <w:pPr>
        <w:pStyle w:val="ConsPlusNormal"/>
        <w:ind w:firstLine="540"/>
        <w:jc w:val="both"/>
      </w:pPr>
    </w:p>
    <w:p w:rsidR="00212513" w:rsidRDefault="00212513">
      <w:pPr>
        <w:pStyle w:val="ConsPlusNormal"/>
        <w:ind w:firstLine="540"/>
        <w:jc w:val="both"/>
      </w:pPr>
      <w:r>
        <w:lastRenderedPageBreak/>
        <w:t xml:space="preserve">Здесь и в других формулах допускается высоту </w:t>
      </w:r>
      <w:r>
        <w:rPr>
          <w:noProof/>
          <w:position w:val="-8"/>
        </w:rPr>
        <w:drawing>
          <wp:inline distT="0" distB="0" distL="0" distR="0">
            <wp:extent cx="177800" cy="251460"/>
            <wp:effectExtent l="0" t="0" r="0" b="0"/>
            <wp:docPr id="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принимать от равнодействующих усилий в арматуре </w:t>
      </w:r>
      <w:r>
        <w:rPr>
          <w:noProof/>
          <w:position w:val="-9"/>
        </w:rPr>
        <w:drawing>
          <wp:inline distT="0" distB="0" distL="0" distR="0">
            <wp:extent cx="220980" cy="262890"/>
            <wp:effectExtent l="0" t="0" r="0" b="0"/>
            <wp:docPr id="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и </w:t>
      </w:r>
      <w:r>
        <w:rPr>
          <w:noProof/>
          <w:position w:val="-8"/>
        </w:rPr>
        <w:drawing>
          <wp:inline distT="0" distB="0" distL="0" distR="0">
            <wp:extent cx="198755" cy="250825"/>
            <wp:effectExtent l="0" t="0" r="0" b="0"/>
            <wp:docPr id="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При отсутствии напрягаемой арматуры </w:t>
      </w:r>
      <w:r>
        <w:rPr>
          <w:noProof/>
          <w:position w:val="-8"/>
        </w:rPr>
        <w:drawing>
          <wp:inline distT="0" distB="0" distL="0" distR="0">
            <wp:extent cx="535940" cy="251460"/>
            <wp:effectExtent l="0" t="0" r="0" b="0"/>
            <wp:docPr id="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535940" cy="251460"/>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Расчет продольного стыка плиты проезжей части ребристых пролетных строений автодорожных и городских мостов на прочность производится с введением к правой части </w:t>
      </w:r>
      <w:hyperlink w:anchor="P4487">
        <w:r>
          <w:rPr>
            <w:color w:val="0000FF"/>
          </w:rPr>
          <w:t>формул (7.19)</w:t>
        </w:r>
      </w:hyperlink>
      <w:r>
        <w:t xml:space="preserve"> и </w:t>
      </w:r>
      <w:hyperlink w:anchor="P4491">
        <w:r>
          <w:rPr>
            <w:color w:val="0000FF"/>
          </w:rPr>
          <w:t>(7.20)</w:t>
        </w:r>
      </w:hyperlink>
      <w:r>
        <w:t xml:space="preserve"> коэффициентов условий работы, равных 0,8 - для бездиафрагменных и 0,9 - для диафрагменных пролетных строений.</w:t>
      </w:r>
    </w:p>
    <w:p w:rsidR="00212513" w:rsidRDefault="00212513">
      <w:pPr>
        <w:pStyle w:val="ConsPlusNormal"/>
        <w:spacing w:before="220"/>
        <w:ind w:firstLine="540"/>
        <w:jc w:val="both"/>
      </w:pPr>
      <w:bookmarkStart w:id="162" w:name="P4501"/>
      <w:bookmarkEnd w:id="162"/>
      <w:r>
        <w:t xml:space="preserve">7.63 Расчет тавровых, двутавровых и коробчатых сечений с плитой в сжатой зоне при </w:t>
      </w:r>
      <w:r>
        <w:rPr>
          <w:noProof/>
          <w:position w:val="-10"/>
        </w:rPr>
        <w:drawing>
          <wp:inline distT="0" distB="0" distL="0" distR="0">
            <wp:extent cx="939800" cy="273685"/>
            <wp:effectExtent l="0" t="0" r="0" b="0"/>
            <wp:docPr id="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939800" cy="273685"/>
                    </a:xfrm>
                    <a:prstGeom prst="rect">
                      <a:avLst/>
                    </a:prstGeom>
                    <a:noFill/>
                    <a:ln>
                      <a:noFill/>
                    </a:ln>
                  </pic:spPr>
                </pic:pic>
              </a:graphicData>
            </a:graphic>
          </wp:inline>
        </w:drawing>
      </w:r>
      <w:r>
        <w:t xml:space="preserve"> следует производить в зависимости от положения границы сжатой зоны:</w:t>
      </w:r>
    </w:p>
    <w:p w:rsidR="00212513" w:rsidRDefault="00212513">
      <w:pPr>
        <w:pStyle w:val="ConsPlusNormal"/>
        <w:spacing w:before="220"/>
        <w:ind w:firstLine="540"/>
        <w:jc w:val="both"/>
      </w:pPr>
      <w:r>
        <w:t xml:space="preserve">а) если граница сжатой зоны проходит в плите </w:t>
      </w:r>
      <w:hyperlink w:anchor="P4520">
        <w:r>
          <w:rPr>
            <w:color w:val="0000FF"/>
          </w:rPr>
          <w:t>(рисунок 7.2, а)</w:t>
        </w:r>
      </w:hyperlink>
      <w:r>
        <w:t>, т.е. соблюдается условие</w:t>
      </w:r>
    </w:p>
    <w:p w:rsidR="00212513" w:rsidRDefault="00212513">
      <w:pPr>
        <w:pStyle w:val="ConsPlusNormal"/>
        <w:ind w:firstLine="540"/>
        <w:jc w:val="both"/>
      </w:pPr>
    </w:p>
    <w:p w:rsidR="00212513" w:rsidRDefault="00212513">
      <w:pPr>
        <w:pStyle w:val="ConsPlusNormal"/>
        <w:jc w:val="center"/>
      </w:pPr>
      <w:bookmarkStart w:id="163" w:name="P4504"/>
      <w:bookmarkEnd w:id="163"/>
      <w:r>
        <w:rPr>
          <w:noProof/>
          <w:position w:val="-9"/>
        </w:rPr>
        <w:drawing>
          <wp:inline distT="0" distB="0" distL="0" distR="0">
            <wp:extent cx="2472690" cy="262890"/>
            <wp:effectExtent l="0" t="0" r="0" b="0"/>
            <wp:docPr id="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2472690" cy="262890"/>
                    </a:xfrm>
                    <a:prstGeom prst="rect">
                      <a:avLst/>
                    </a:prstGeom>
                    <a:noFill/>
                    <a:ln>
                      <a:noFill/>
                    </a:ln>
                  </pic:spPr>
                </pic:pic>
              </a:graphicData>
            </a:graphic>
          </wp:inline>
        </w:drawing>
      </w:r>
      <w:r>
        <w:t>, (7.21)</w:t>
      </w:r>
    </w:p>
    <w:p w:rsidR="00212513" w:rsidRDefault="00212513">
      <w:pPr>
        <w:pStyle w:val="ConsPlusNormal"/>
        <w:ind w:firstLine="540"/>
        <w:jc w:val="both"/>
      </w:pPr>
    </w:p>
    <w:p w:rsidR="00212513" w:rsidRDefault="00212513">
      <w:pPr>
        <w:pStyle w:val="ConsPlusNormal"/>
        <w:jc w:val="both"/>
      </w:pPr>
      <w:r>
        <w:t xml:space="preserve">расчет производится, как для прямоугольного сечения шириной </w:t>
      </w:r>
      <w:r>
        <w:rPr>
          <w:noProof/>
          <w:position w:val="-9"/>
        </w:rPr>
        <w:drawing>
          <wp:inline distT="0" distB="0" distL="0" distR="0">
            <wp:extent cx="198755" cy="262890"/>
            <wp:effectExtent l="0" t="0" r="0" b="0"/>
            <wp:docPr id="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в соответствии с </w:t>
      </w:r>
      <w:hyperlink w:anchor="P4485">
        <w:r>
          <w:rPr>
            <w:color w:val="0000FF"/>
          </w:rPr>
          <w:t>7.62</w:t>
        </w:r>
      </w:hyperlink>
      <w:r>
        <w:t>;</w:t>
      </w:r>
    </w:p>
    <w:p w:rsidR="00212513" w:rsidRDefault="00212513">
      <w:pPr>
        <w:pStyle w:val="ConsPlusNormal"/>
        <w:spacing w:before="220"/>
        <w:ind w:firstLine="540"/>
        <w:jc w:val="both"/>
      </w:pPr>
      <w:r>
        <w:t xml:space="preserve">б) если граница сжатой зоны проходит в ребре </w:t>
      </w:r>
      <w:hyperlink w:anchor="P4520">
        <w:r>
          <w:rPr>
            <w:color w:val="0000FF"/>
          </w:rPr>
          <w:t>(рисунок 7.2, б)</w:t>
        </w:r>
      </w:hyperlink>
      <w:r>
        <w:t xml:space="preserve">, т.е. </w:t>
      </w:r>
      <w:hyperlink w:anchor="P4504">
        <w:r>
          <w:rPr>
            <w:color w:val="0000FF"/>
          </w:rPr>
          <w:t>условие (7.21)</w:t>
        </w:r>
      </w:hyperlink>
      <w:r>
        <w:t xml:space="preserve"> не соблюдается, расчет должен выполняться из условия</w:t>
      </w:r>
    </w:p>
    <w:p w:rsidR="00212513" w:rsidRDefault="00212513">
      <w:pPr>
        <w:pStyle w:val="ConsPlusNormal"/>
        <w:ind w:firstLine="540"/>
        <w:jc w:val="both"/>
      </w:pPr>
    </w:p>
    <w:p w:rsidR="00212513" w:rsidRDefault="00212513">
      <w:pPr>
        <w:pStyle w:val="ConsPlusNormal"/>
        <w:jc w:val="center"/>
      </w:pPr>
      <w:r>
        <w:rPr>
          <w:noProof/>
          <w:position w:val="-12"/>
        </w:rPr>
        <w:drawing>
          <wp:inline distT="0" distB="0" distL="0" distR="0">
            <wp:extent cx="5476240" cy="304165"/>
            <wp:effectExtent l="0" t="0" r="0" b="0"/>
            <wp:docPr id="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5476240" cy="304165"/>
                    </a:xfrm>
                    <a:prstGeom prst="rect">
                      <a:avLst/>
                    </a:prstGeom>
                    <a:noFill/>
                    <a:ln>
                      <a:noFill/>
                    </a:ln>
                  </pic:spPr>
                </pic:pic>
              </a:graphicData>
            </a:graphic>
          </wp:inline>
        </w:drawing>
      </w:r>
      <w:r>
        <w:t>, (7.22)</w:t>
      </w:r>
    </w:p>
    <w:p w:rsidR="00212513" w:rsidRDefault="00212513">
      <w:pPr>
        <w:pStyle w:val="ConsPlusNormal"/>
        <w:ind w:firstLine="540"/>
        <w:jc w:val="both"/>
      </w:pPr>
    </w:p>
    <w:p w:rsidR="00212513" w:rsidRDefault="00212513">
      <w:pPr>
        <w:pStyle w:val="ConsPlusNormal"/>
        <w:jc w:val="both"/>
      </w:pPr>
      <w:r>
        <w:t xml:space="preserve">при этом высоту сжатой зоны бетона </w:t>
      </w:r>
      <w:r>
        <w:rPr>
          <w:i/>
        </w:rPr>
        <w:t>x</w:t>
      </w:r>
      <w:r>
        <w:t xml:space="preserve"> следует определять по формуле</w:t>
      </w:r>
    </w:p>
    <w:p w:rsidR="00212513" w:rsidRDefault="00212513">
      <w:pPr>
        <w:pStyle w:val="ConsPlusNormal"/>
        <w:ind w:firstLine="540"/>
        <w:jc w:val="both"/>
      </w:pPr>
    </w:p>
    <w:p w:rsidR="00212513" w:rsidRDefault="00212513">
      <w:pPr>
        <w:pStyle w:val="ConsPlusNormal"/>
        <w:jc w:val="center"/>
      </w:pPr>
      <w:r>
        <w:rPr>
          <w:noProof/>
          <w:position w:val="-9"/>
        </w:rPr>
        <w:drawing>
          <wp:inline distT="0" distB="0" distL="0" distR="0">
            <wp:extent cx="3380740" cy="262890"/>
            <wp:effectExtent l="0" t="0" r="0" b="0"/>
            <wp:docPr id="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3380740" cy="262890"/>
                    </a:xfrm>
                    <a:prstGeom prst="rect">
                      <a:avLst/>
                    </a:prstGeom>
                    <a:noFill/>
                    <a:ln>
                      <a:noFill/>
                    </a:ln>
                  </pic:spPr>
                </pic:pic>
              </a:graphicData>
            </a:graphic>
          </wp:inline>
        </w:drawing>
      </w:r>
      <w:r>
        <w:t>. (7.23)</w:t>
      </w:r>
    </w:p>
    <w:p w:rsidR="00212513" w:rsidRDefault="00212513">
      <w:pPr>
        <w:pStyle w:val="ConsPlusNormal"/>
        <w:ind w:firstLine="540"/>
        <w:jc w:val="both"/>
      </w:pPr>
    </w:p>
    <w:p w:rsidR="00212513" w:rsidRDefault="00212513">
      <w:pPr>
        <w:pStyle w:val="ConsPlusNormal"/>
        <w:jc w:val="center"/>
      </w:pPr>
      <w:r>
        <w:rPr>
          <w:noProof/>
          <w:position w:val="-171"/>
        </w:rPr>
        <w:drawing>
          <wp:inline distT="0" distB="0" distL="0" distR="0">
            <wp:extent cx="3841115" cy="2319655"/>
            <wp:effectExtent l="0" t="0" r="0" b="0"/>
            <wp:docPr id="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3841115" cy="2319655"/>
                    </a:xfrm>
                    <a:prstGeom prst="rect">
                      <a:avLst/>
                    </a:prstGeom>
                    <a:noFill/>
                    <a:ln>
                      <a:noFill/>
                    </a:ln>
                  </pic:spPr>
                </pic:pic>
              </a:graphicData>
            </a:graphic>
          </wp:inline>
        </w:drawing>
      </w:r>
    </w:p>
    <w:p w:rsidR="00212513" w:rsidRDefault="00212513">
      <w:pPr>
        <w:pStyle w:val="ConsPlusNormal"/>
        <w:jc w:val="center"/>
      </w:pPr>
    </w:p>
    <w:p w:rsidR="00212513" w:rsidRDefault="00212513">
      <w:pPr>
        <w:pStyle w:val="ConsPlusNormal"/>
        <w:jc w:val="center"/>
      </w:pPr>
      <w:r>
        <w:t>а - при расположении границы сжатой зоны в плите;</w:t>
      </w:r>
    </w:p>
    <w:p w:rsidR="00212513" w:rsidRDefault="00212513">
      <w:pPr>
        <w:pStyle w:val="ConsPlusNormal"/>
        <w:jc w:val="center"/>
      </w:pPr>
      <w:r>
        <w:t>б - то же, в ребре</w:t>
      </w:r>
    </w:p>
    <w:p w:rsidR="00212513" w:rsidRDefault="00212513">
      <w:pPr>
        <w:pStyle w:val="ConsPlusNormal"/>
        <w:jc w:val="center"/>
      </w:pPr>
    </w:p>
    <w:p w:rsidR="00212513" w:rsidRDefault="00212513">
      <w:pPr>
        <w:pStyle w:val="ConsPlusNormal"/>
        <w:jc w:val="center"/>
      </w:pPr>
      <w:bookmarkStart w:id="164" w:name="P4520"/>
      <w:bookmarkEnd w:id="164"/>
      <w:r>
        <w:rPr>
          <w:b/>
          <w:i/>
        </w:rPr>
        <w:t>Рисунок 7.2</w:t>
      </w:r>
      <w:r>
        <w:t xml:space="preserve"> </w:t>
      </w:r>
      <w:r>
        <w:rPr>
          <w:b/>
        </w:rPr>
        <w:t>- Форма сжатой зоны в сечениях железобетонных</w:t>
      </w:r>
    </w:p>
    <w:p w:rsidR="00212513" w:rsidRDefault="00212513">
      <w:pPr>
        <w:pStyle w:val="ConsPlusNormal"/>
        <w:jc w:val="center"/>
      </w:pPr>
      <w:r>
        <w:rPr>
          <w:b/>
        </w:rPr>
        <w:t>элементов с плитой в сжатой зоне</w:t>
      </w:r>
    </w:p>
    <w:p w:rsidR="00212513" w:rsidRDefault="00212513">
      <w:pPr>
        <w:pStyle w:val="ConsPlusNormal"/>
        <w:jc w:val="center"/>
      </w:pPr>
    </w:p>
    <w:p w:rsidR="00212513" w:rsidRDefault="00212513">
      <w:pPr>
        <w:pStyle w:val="ConsPlusNormal"/>
        <w:ind w:firstLine="540"/>
        <w:jc w:val="both"/>
      </w:pPr>
      <w:r>
        <w:t xml:space="preserve">7.64 Расчет изгибаемых элементов кольцевого сечения при соотношении внутреннего и наружного радиусов </w:t>
      </w:r>
      <w:r>
        <w:rPr>
          <w:noProof/>
          <w:position w:val="-8"/>
        </w:rPr>
        <w:drawing>
          <wp:inline distT="0" distB="0" distL="0" distR="0">
            <wp:extent cx="754380" cy="251460"/>
            <wp:effectExtent l="0" t="0" r="0" b="0"/>
            <wp:docPr id="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754380" cy="251460"/>
                    </a:xfrm>
                    <a:prstGeom prst="rect">
                      <a:avLst/>
                    </a:prstGeom>
                    <a:noFill/>
                    <a:ln>
                      <a:noFill/>
                    </a:ln>
                  </pic:spPr>
                </pic:pic>
              </a:graphicData>
            </a:graphic>
          </wp:inline>
        </w:drawing>
      </w:r>
      <w:r>
        <w:t xml:space="preserve"> с арматурой, равномерно распределенной по длине окружности (при числе продольных стержней не менее шести), должен производиться, как для </w:t>
      </w:r>
      <w:r>
        <w:lastRenderedPageBreak/>
        <w:t xml:space="preserve">внецентренно сжатых элементов в соответствии с </w:t>
      </w:r>
      <w:hyperlink w:anchor="P4644">
        <w:r>
          <w:rPr>
            <w:color w:val="0000FF"/>
          </w:rPr>
          <w:t>7.71</w:t>
        </w:r>
      </w:hyperlink>
      <w:r>
        <w:t xml:space="preserve">, принимая значение продольной силы </w:t>
      </w:r>
      <w:r>
        <w:rPr>
          <w:i/>
        </w:rPr>
        <w:t>N</w:t>
      </w:r>
      <w:r>
        <w:t xml:space="preserve"> = 0 и подставляя вместо </w:t>
      </w:r>
      <w:r>
        <w:rPr>
          <w:noProof/>
          <w:position w:val="-8"/>
        </w:rPr>
        <w:drawing>
          <wp:inline distT="0" distB="0" distL="0" distR="0">
            <wp:extent cx="293370" cy="251460"/>
            <wp:effectExtent l="0" t="0" r="0" b="0"/>
            <wp:docPr id="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значение изгибающего момента </w:t>
      </w:r>
      <w:r>
        <w:rPr>
          <w:i/>
        </w:rPr>
        <w:t>M</w:t>
      </w:r>
      <w:r>
        <w:t>.</w:t>
      </w:r>
    </w:p>
    <w:p w:rsidR="00212513" w:rsidRDefault="00212513">
      <w:pPr>
        <w:pStyle w:val="ConsPlusNormal"/>
        <w:spacing w:before="220"/>
        <w:ind w:firstLine="540"/>
        <w:jc w:val="both"/>
      </w:pPr>
      <w:r>
        <w:t xml:space="preserve">7.65 Если рабочая напрягаемая арматура в изгибаемых железобетонных элементах автодорожных мостов не имеет сцепления с бетоном, то расчет сечений по прочности проводится согласно </w:t>
      </w:r>
      <w:hyperlink w:anchor="P4485">
        <w:r>
          <w:rPr>
            <w:color w:val="0000FF"/>
          </w:rPr>
          <w:t>7.62</w:t>
        </w:r>
      </w:hyperlink>
      <w:r>
        <w:t xml:space="preserve"> и </w:t>
      </w:r>
      <w:hyperlink w:anchor="P4501">
        <w:r>
          <w:rPr>
            <w:color w:val="0000FF"/>
          </w:rPr>
          <w:t>7.63</w:t>
        </w:r>
      </w:hyperlink>
      <w:r>
        <w:t xml:space="preserve">, при этом в соответствующие формулы вместо расчетного сопротивления растяжению напрягаемой арматуры вводится значение </w:t>
      </w:r>
      <w:r>
        <w:rPr>
          <w:noProof/>
          <w:position w:val="-9"/>
        </w:rPr>
        <w:drawing>
          <wp:inline distT="0" distB="0" distL="0" distR="0">
            <wp:extent cx="262255" cy="262255"/>
            <wp:effectExtent l="0" t="0" r="0" b="0"/>
            <wp:docPr id="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r>
        <w:t xml:space="preserve"> установившегося (за вычетом всех потерь) предварительного напряжения в арматуре с учетом коэффициентов надежности по нагрузке в соответствии с </w:t>
      </w:r>
      <w:hyperlink w:anchor="P2018">
        <w:r>
          <w:rPr>
            <w:color w:val="0000FF"/>
          </w:rPr>
          <w:t>7.10</w:t>
        </w:r>
      </w:hyperlink>
      <w:r>
        <w:t>.</w:t>
      </w:r>
    </w:p>
    <w:p w:rsidR="00212513" w:rsidRDefault="00212513">
      <w:pPr>
        <w:pStyle w:val="ConsPlusNormal"/>
        <w:jc w:val="both"/>
      </w:pPr>
      <w:r>
        <w:t xml:space="preserve">(в ред. </w:t>
      </w:r>
      <w:hyperlink r:id="rId915">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t>Кроме этого, в составных по длине конструкциях следует дополнительно производить расчет по формулам сопротивления упругих материалов на расчетные нагрузки (с коэффициентом надежности по нагрузке), включая усилие от предварительного напряжения. На всех стадиях работы в стыках, не армированных ненапрягаемой арматурой, не допускаются растягивающие напряжения в зонах, где эти напряжения возникают от внешней нагрузки.</w:t>
      </w:r>
    </w:p>
    <w:p w:rsidR="00212513" w:rsidRDefault="00212513">
      <w:pPr>
        <w:pStyle w:val="ConsPlusNormal"/>
        <w:ind w:firstLine="540"/>
        <w:jc w:val="both"/>
      </w:pPr>
    </w:p>
    <w:p w:rsidR="00212513" w:rsidRDefault="00212513">
      <w:pPr>
        <w:pStyle w:val="ConsPlusTitle"/>
        <w:ind w:firstLine="540"/>
        <w:jc w:val="both"/>
        <w:outlineLvl w:val="2"/>
      </w:pPr>
      <w:r>
        <w:t>Расчет внецентренно сжатых бетонных элементов</w:t>
      </w:r>
    </w:p>
    <w:p w:rsidR="00212513" w:rsidRDefault="0021251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21251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12513" w:rsidRDefault="0021251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12513" w:rsidRDefault="0021251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12513" w:rsidRDefault="00212513">
            <w:pPr>
              <w:pStyle w:val="ConsPlusNormal"/>
              <w:jc w:val="both"/>
            </w:pPr>
            <w:r>
              <w:rPr>
                <w:color w:val="392C69"/>
              </w:rPr>
              <w:t>КонсультантПлюс: примечание.</w:t>
            </w:r>
          </w:p>
          <w:p w:rsidR="00212513" w:rsidRDefault="00212513">
            <w:pPr>
              <w:pStyle w:val="ConsPlusNormal"/>
              <w:jc w:val="both"/>
            </w:pPr>
            <w:r>
              <w:rPr>
                <w:color w:val="392C69"/>
              </w:rPr>
              <w:t>В официальном тексте документа, видимо, допущена опечатка: пункт 3.55 отсутствует. Возможно, имеется в виду пункт 7.55.</w:t>
            </w:r>
          </w:p>
        </w:tc>
        <w:tc>
          <w:tcPr>
            <w:tcW w:w="113" w:type="dxa"/>
            <w:tcBorders>
              <w:top w:val="nil"/>
              <w:left w:val="nil"/>
              <w:bottom w:val="nil"/>
              <w:right w:val="nil"/>
            </w:tcBorders>
            <w:shd w:val="clear" w:color="auto" w:fill="F4F3F8"/>
            <w:tcMar>
              <w:top w:w="0" w:type="dxa"/>
              <w:left w:w="0" w:type="dxa"/>
              <w:bottom w:w="0" w:type="dxa"/>
              <w:right w:w="0" w:type="dxa"/>
            </w:tcMar>
          </w:tcPr>
          <w:p w:rsidR="00212513" w:rsidRDefault="00212513">
            <w:pPr>
              <w:pStyle w:val="ConsPlusNormal"/>
            </w:pPr>
          </w:p>
        </w:tc>
      </w:tr>
    </w:tbl>
    <w:p w:rsidR="00212513" w:rsidRDefault="00212513">
      <w:pPr>
        <w:pStyle w:val="ConsPlusNormal"/>
        <w:spacing w:before="280"/>
        <w:ind w:firstLine="540"/>
        <w:jc w:val="both"/>
      </w:pPr>
      <w:bookmarkStart w:id="165" w:name="P4532"/>
      <w:bookmarkEnd w:id="165"/>
      <w:r>
        <w:t xml:space="preserve">7.66 Внецентренно сжатые бетонные элементы с начальным эксцентриситетом </w:t>
      </w:r>
      <w:r>
        <w:rPr>
          <w:noProof/>
          <w:position w:val="-8"/>
        </w:rPr>
        <w:drawing>
          <wp:inline distT="0" distB="0" distL="0" distR="0">
            <wp:extent cx="419100" cy="251460"/>
            <wp:effectExtent l="0" t="0" r="0" b="0"/>
            <wp:docPr id="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r>
        <w:t xml:space="preserve"> </w:t>
      </w:r>
      <w:hyperlink w:anchor="P3989">
        <w:r>
          <w:rPr>
            <w:color w:val="0000FF"/>
          </w:rPr>
          <w:t>(3.55)</w:t>
        </w:r>
      </w:hyperlink>
      <w:r>
        <w:t xml:space="preserve"> следует рассчитывать по устойчивости, выполняя условие</w:t>
      </w:r>
    </w:p>
    <w:p w:rsidR="00212513" w:rsidRDefault="00212513">
      <w:pPr>
        <w:pStyle w:val="ConsPlusNormal"/>
        <w:ind w:firstLine="540"/>
        <w:jc w:val="both"/>
      </w:pPr>
    </w:p>
    <w:p w:rsidR="00212513" w:rsidRDefault="00212513">
      <w:pPr>
        <w:pStyle w:val="ConsPlusNormal"/>
        <w:jc w:val="center"/>
      </w:pPr>
      <w:r>
        <w:rPr>
          <w:noProof/>
          <w:position w:val="-8"/>
        </w:rPr>
        <w:drawing>
          <wp:inline distT="0" distB="0" distL="0" distR="0">
            <wp:extent cx="775970" cy="251460"/>
            <wp:effectExtent l="0" t="0" r="0" b="0"/>
            <wp:docPr id="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775970" cy="251460"/>
                    </a:xfrm>
                    <a:prstGeom prst="rect">
                      <a:avLst/>
                    </a:prstGeom>
                    <a:noFill/>
                    <a:ln>
                      <a:noFill/>
                    </a:ln>
                  </pic:spPr>
                </pic:pic>
              </a:graphicData>
            </a:graphic>
          </wp:inline>
        </w:drawing>
      </w:r>
      <w:r>
        <w:t>, (7.24)</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3"/>
        </w:rPr>
        <w:drawing>
          <wp:inline distT="0" distB="0" distL="0" distR="0">
            <wp:extent cx="146050" cy="177800"/>
            <wp:effectExtent l="0" t="0" r="0" b="0"/>
            <wp:docPr id="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146050" cy="177800"/>
                    </a:xfrm>
                    <a:prstGeom prst="rect">
                      <a:avLst/>
                    </a:prstGeom>
                    <a:noFill/>
                    <a:ln>
                      <a:noFill/>
                    </a:ln>
                  </pic:spPr>
                </pic:pic>
              </a:graphicData>
            </a:graphic>
          </wp:inline>
        </w:drawing>
      </w:r>
      <w:r>
        <w:t xml:space="preserve"> - коэффициент, принимаемый по </w:t>
      </w:r>
      <w:hyperlink w:anchor="P3989">
        <w:r>
          <w:rPr>
            <w:color w:val="0000FF"/>
          </w:rPr>
          <w:t>7.55</w:t>
        </w:r>
      </w:hyperlink>
      <w:r>
        <w:t>;</w:t>
      </w:r>
    </w:p>
    <w:p w:rsidR="00212513" w:rsidRDefault="00212513">
      <w:pPr>
        <w:pStyle w:val="ConsPlusNormal"/>
        <w:spacing w:before="220"/>
        <w:ind w:firstLine="540"/>
        <w:jc w:val="both"/>
      </w:pPr>
      <w:r>
        <w:rPr>
          <w:noProof/>
          <w:position w:val="-8"/>
        </w:rPr>
        <w:drawing>
          <wp:inline distT="0" distB="0" distL="0" distR="0">
            <wp:extent cx="209550" cy="251460"/>
            <wp:effectExtent l="0" t="0" r="0" b="0"/>
            <wp:docPr id="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площадь сжатого сечения элемента.</w:t>
      </w:r>
    </w:p>
    <w:p w:rsidR="00212513" w:rsidRDefault="00212513">
      <w:pPr>
        <w:pStyle w:val="ConsPlusNormal"/>
        <w:spacing w:before="220"/>
        <w:ind w:firstLine="540"/>
        <w:jc w:val="both"/>
      </w:pPr>
      <w:r>
        <w:t xml:space="preserve">7.67 Расчет по прочности внецентренно сжатых бетонных элементов при </w:t>
      </w:r>
      <w:r>
        <w:rPr>
          <w:noProof/>
          <w:position w:val="-8"/>
        </w:rPr>
        <w:drawing>
          <wp:inline distT="0" distB="0" distL="0" distR="0">
            <wp:extent cx="441960" cy="251460"/>
            <wp:effectExtent l="0" t="0" r="0" b="0"/>
            <wp:docPr id="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441960" cy="251460"/>
                    </a:xfrm>
                    <a:prstGeom prst="rect">
                      <a:avLst/>
                    </a:prstGeom>
                    <a:noFill/>
                    <a:ln>
                      <a:noFill/>
                    </a:ln>
                  </pic:spPr>
                </pic:pic>
              </a:graphicData>
            </a:graphic>
          </wp:inline>
        </w:drawing>
      </w:r>
      <w:r>
        <w:t xml:space="preserve"> (</w:t>
      </w:r>
      <w:r>
        <w:rPr>
          <w:i/>
        </w:rPr>
        <w:t>r</w:t>
      </w:r>
      <w:r>
        <w:t xml:space="preserve"> - ядровое расстояние по </w:t>
      </w:r>
      <w:hyperlink w:anchor="P3989">
        <w:r>
          <w:rPr>
            <w:color w:val="0000FF"/>
          </w:rPr>
          <w:t>7.55</w:t>
        </w:r>
      </w:hyperlink>
      <w:r>
        <w:t xml:space="preserve">) производится в зависимости от положения нейтральной оси и значения </w:t>
      </w:r>
      <w:r>
        <w:rPr>
          <w:i/>
        </w:rPr>
        <w:t>a</w:t>
      </w:r>
      <w:r>
        <w:t>, принимаемого по формуле</w:t>
      </w:r>
    </w:p>
    <w:p w:rsidR="00212513" w:rsidRDefault="00212513">
      <w:pPr>
        <w:pStyle w:val="ConsPlusNormal"/>
        <w:ind w:firstLine="540"/>
        <w:jc w:val="both"/>
      </w:pPr>
    </w:p>
    <w:p w:rsidR="00212513" w:rsidRDefault="00212513">
      <w:pPr>
        <w:pStyle w:val="ConsPlusNormal"/>
        <w:jc w:val="center"/>
      </w:pPr>
      <w:r>
        <w:rPr>
          <w:noProof/>
          <w:position w:val="-8"/>
        </w:rPr>
        <w:drawing>
          <wp:inline distT="0" distB="0" distL="0" distR="0">
            <wp:extent cx="818515" cy="251460"/>
            <wp:effectExtent l="0" t="0" r="0" b="0"/>
            <wp:docPr id="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818515" cy="251460"/>
                    </a:xfrm>
                    <a:prstGeom prst="rect">
                      <a:avLst/>
                    </a:prstGeom>
                    <a:noFill/>
                    <a:ln>
                      <a:noFill/>
                    </a:ln>
                  </pic:spPr>
                </pic:pic>
              </a:graphicData>
            </a:graphic>
          </wp:inline>
        </w:drawing>
      </w:r>
      <w:r>
        <w:t>, (7.25)</w:t>
      </w:r>
    </w:p>
    <w:p w:rsidR="00212513" w:rsidRDefault="00212513">
      <w:pPr>
        <w:pStyle w:val="ConsPlusNormal"/>
        <w:ind w:firstLine="540"/>
        <w:jc w:val="both"/>
      </w:pPr>
    </w:p>
    <w:p w:rsidR="00212513" w:rsidRDefault="00212513">
      <w:pPr>
        <w:pStyle w:val="ConsPlusNormal"/>
        <w:ind w:firstLine="540"/>
        <w:jc w:val="both"/>
      </w:pPr>
      <w:r>
        <w:t xml:space="preserve">где </w:t>
      </w:r>
      <w:r>
        <w:rPr>
          <w:i/>
        </w:rPr>
        <w:t>a</w:t>
      </w:r>
      <w:r>
        <w:t xml:space="preserve"> - расстояние от точки приложения продольной силы </w:t>
      </w:r>
      <w:r>
        <w:rPr>
          <w:i/>
        </w:rPr>
        <w:t>N</w:t>
      </w:r>
      <w:r>
        <w:t xml:space="preserve"> до наиболее сжатой грани сечения с учетом коэффициента </w:t>
      </w:r>
      <w:r>
        <w:rPr>
          <w:noProof/>
          <w:position w:val="-3"/>
        </w:rPr>
        <w:drawing>
          <wp:inline distT="0" distB="0" distL="0" distR="0">
            <wp:extent cx="146685" cy="177800"/>
            <wp:effectExtent l="0" t="0" r="0" b="0"/>
            <wp:docPr id="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146685" cy="177800"/>
                    </a:xfrm>
                    <a:prstGeom prst="rect">
                      <a:avLst/>
                    </a:prstGeom>
                    <a:noFill/>
                    <a:ln>
                      <a:noFill/>
                    </a:ln>
                  </pic:spPr>
                </pic:pic>
              </a:graphicData>
            </a:graphic>
          </wp:inline>
        </w:drawing>
      </w:r>
      <w:r>
        <w:t xml:space="preserve">, определяемого согласно </w:t>
      </w:r>
      <w:hyperlink w:anchor="P3944">
        <w:r>
          <w:rPr>
            <w:color w:val="0000FF"/>
          </w:rPr>
          <w:t>7.54</w:t>
        </w:r>
      </w:hyperlink>
      <w:r>
        <w:t>;</w:t>
      </w:r>
    </w:p>
    <w:p w:rsidR="00212513" w:rsidRDefault="00212513">
      <w:pPr>
        <w:pStyle w:val="ConsPlusNormal"/>
        <w:spacing w:before="220"/>
        <w:ind w:firstLine="540"/>
        <w:jc w:val="both"/>
      </w:pPr>
      <w:r>
        <w:rPr>
          <w:noProof/>
          <w:position w:val="-8"/>
        </w:rPr>
        <w:drawing>
          <wp:inline distT="0" distB="0" distL="0" distR="0">
            <wp:extent cx="177800" cy="251460"/>
            <wp:effectExtent l="0" t="0" r="0" b="0"/>
            <wp:docPr id="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расстояние от оси, проходящей через центр тяжести всего сечения, до наиболее сжатой грани;</w:t>
      </w:r>
    </w:p>
    <w:p w:rsidR="00212513" w:rsidRDefault="00212513">
      <w:pPr>
        <w:pStyle w:val="ConsPlusNormal"/>
        <w:spacing w:before="220"/>
        <w:ind w:firstLine="540"/>
        <w:jc w:val="both"/>
      </w:pPr>
      <w:r>
        <w:rPr>
          <w:noProof/>
          <w:position w:val="-8"/>
        </w:rPr>
        <w:drawing>
          <wp:inline distT="0" distB="0" distL="0" distR="0">
            <wp:extent cx="167640" cy="251460"/>
            <wp:effectExtent l="0" t="0" r="0" b="0"/>
            <wp:docPr id="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начальный эксцентриситет продольной силы </w:t>
      </w:r>
      <w:r>
        <w:rPr>
          <w:i/>
        </w:rPr>
        <w:t>N</w:t>
      </w:r>
      <w:r>
        <w:t xml:space="preserve"> относительно центра тяжести всего сечения.</w:t>
      </w:r>
    </w:p>
    <w:p w:rsidR="00212513" w:rsidRDefault="00212513">
      <w:pPr>
        <w:pStyle w:val="ConsPlusNormal"/>
        <w:spacing w:before="220"/>
        <w:ind w:firstLine="540"/>
        <w:jc w:val="both"/>
      </w:pPr>
      <w:r>
        <w:t>При этом равнодействующая внешних сил должна находиться в пределах поперечного сечения элемента при соблюдении условия</w:t>
      </w:r>
    </w:p>
    <w:p w:rsidR="00212513" w:rsidRDefault="00212513">
      <w:pPr>
        <w:pStyle w:val="ConsPlusNormal"/>
        <w:ind w:firstLine="540"/>
        <w:jc w:val="both"/>
      </w:pPr>
    </w:p>
    <w:p w:rsidR="00212513" w:rsidRDefault="00212513">
      <w:pPr>
        <w:pStyle w:val="ConsPlusNormal"/>
        <w:jc w:val="center"/>
      </w:pPr>
      <w:r>
        <w:rPr>
          <w:noProof/>
          <w:position w:val="-8"/>
        </w:rPr>
        <w:drawing>
          <wp:inline distT="0" distB="0" distL="0" distR="0">
            <wp:extent cx="774700" cy="251460"/>
            <wp:effectExtent l="0" t="0" r="0" b="0"/>
            <wp:docPr id="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774700" cy="251460"/>
                    </a:xfrm>
                    <a:prstGeom prst="rect">
                      <a:avLst/>
                    </a:prstGeom>
                    <a:noFill/>
                    <a:ln>
                      <a:noFill/>
                    </a:ln>
                  </pic:spPr>
                </pic:pic>
              </a:graphicData>
            </a:graphic>
          </wp:inline>
        </w:drawing>
      </w:r>
      <w:r>
        <w:t>. (7.26)</w:t>
      </w:r>
    </w:p>
    <w:p w:rsidR="00212513" w:rsidRDefault="00212513">
      <w:pPr>
        <w:pStyle w:val="ConsPlusNormal"/>
        <w:ind w:firstLine="540"/>
        <w:jc w:val="both"/>
      </w:pPr>
    </w:p>
    <w:p w:rsidR="00212513" w:rsidRDefault="00212513">
      <w:pPr>
        <w:pStyle w:val="ConsPlusNormal"/>
        <w:ind w:firstLine="540"/>
        <w:jc w:val="both"/>
      </w:pPr>
      <w:bookmarkStart w:id="166" w:name="P4549"/>
      <w:bookmarkEnd w:id="166"/>
      <w:r>
        <w:t xml:space="preserve">7.68 При расчете внецентренно сжатых бетонных элементов таврового, двутаврового и коробчатого сечений с плитой в сжатой зоне </w:t>
      </w:r>
      <w:hyperlink w:anchor="P4562">
        <w:r>
          <w:rPr>
            <w:color w:val="0000FF"/>
          </w:rPr>
          <w:t>(рисунок 7.3)</w:t>
        </w:r>
      </w:hyperlink>
      <w:r>
        <w:t xml:space="preserve"> прочность сечения обеспечивается при соблюдении условия</w:t>
      </w:r>
    </w:p>
    <w:p w:rsidR="00212513" w:rsidRDefault="00212513">
      <w:pPr>
        <w:pStyle w:val="ConsPlusNormal"/>
        <w:ind w:firstLine="540"/>
        <w:jc w:val="both"/>
      </w:pPr>
    </w:p>
    <w:p w:rsidR="00212513" w:rsidRDefault="00212513">
      <w:pPr>
        <w:pStyle w:val="ConsPlusNormal"/>
        <w:jc w:val="center"/>
      </w:pPr>
      <w:bookmarkStart w:id="167" w:name="P4551"/>
      <w:bookmarkEnd w:id="167"/>
      <w:r>
        <w:rPr>
          <w:noProof/>
          <w:position w:val="-12"/>
        </w:rPr>
        <w:drawing>
          <wp:inline distT="0" distB="0" distL="0" distR="0">
            <wp:extent cx="1690370" cy="304165"/>
            <wp:effectExtent l="0" t="0" r="0" b="0"/>
            <wp:docPr id="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1690370" cy="304165"/>
                    </a:xfrm>
                    <a:prstGeom prst="rect">
                      <a:avLst/>
                    </a:prstGeom>
                    <a:noFill/>
                    <a:ln>
                      <a:noFill/>
                    </a:ln>
                  </pic:spPr>
                </pic:pic>
              </a:graphicData>
            </a:graphic>
          </wp:inline>
        </w:drawing>
      </w:r>
      <w:r>
        <w:t>, (7.27)</w:t>
      </w:r>
    </w:p>
    <w:p w:rsidR="00212513" w:rsidRDefault="00212513">
      <w:pPr>
        <w:pStyle w:val="ConsPlusNormal"/>
        <w:ind w:firstLine="540"/>
        <w:jc w:val="both"/>
      </w:pPr>
    </w:p>
    <w:p w:rsidR="00212513" w:rsidRDefault="00212513">
      <w:pPr>
        <w:pStyle w:val="ConsPlusNormal"/>
        <w:ind w:firstLine="540"/>
        <w:jc w:val="both"/>
      </w:pPr>
      <w:r>
        <w:t>при этом высота сжатой зоны определяется:</w:t>
      </w:r>
    </w:p>
    <w:p w:rsidR="00212513" w:rsidRDefault="00212513">
      <w:pPr>
        <w:pStyle w:val="ConsPlusNormal"/>
        <w:spacing w:before="220"/>
        <w:ind w:firstLine="540"/>
        <w:jc w:val="both"/>
      </w:pPr>
      <w:r>
        <w:t xml:space="preserve">при </w:t>
      </w:r>
      <w:r>
        <w:rPr>
          <w:noProof/>
          <w:position w:val="-9"/>
        </w:rPr>
        <w:drawing>
          <wp:inline distT="0" distB="0" distL="0" distR="0">
            <wp:extent cx="670560" cy="262890"/>
            <wp:effectExtent l="0" t="0" r="0" b="0"/>
            <wp:docPr id="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670560" cy="262890"/>
                    </a:xfrm>
                    <a:prstGeom prst="rect">
                      <a:avLst/>
                    </a:prstGeom>
                    <a:noFill/>
                    <a:ln>
                      <a:noFill/>
                    </a:ln>
                  </pic:spPr>
                </pic:pic>
              </a:graphicData>
            </a:graphic>
          </wp:inline>
        </w:drawing>
      </w:r>
      <w:r>
        <w:t xml:space="preserve"> (нейтральная ось проходит в пределах ребра)</w:t>
      </w:r>
    </w:p>
    <w:p w:rsidR="00212513" w:rsidRDefault="00212513">
      <w:pPr>
        <w:pStyle w:val="ConsPlusNormal"/>
        <w:ind w:firstLine="540"/>
        <w:jc w:val="both"/>
      </w:pPr>
    </w:p>
    <w:p w:rsidR="00212513" w:rsidRDefault="00212513">
      <w:pPr>
        <w:pStyle w:val="ConsPlusNormal"/>
        <w:jc w:val="center"/>
      </w:pPr>
      <w:bookmarkStart w:id="168" w:name="P4556"/>
      <w:bookmarkEnd w:id="168"/>
      <w:r>
        <w:rPr>
          <w:noProof/>
          <w:position w:val="-28"/>
        </w:rPr>
        <w:drawing>
          <wp:inline distT="0" distB="0" distL="0" distR="0">
            <wp:extent cx="2319020" cy="502920"/>
            <wp:effectExtent l="0" t="0" r="0" b="0"/>
            <wp:docPr id="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2319020" cy="502920"/>
                    </a:xfrm>
                    <a:prstGeom prst="rect">
                      <a:avLst/>
                    </a:prstGeom>
                    <a:noFill/>
                    <a:ln>
                      <a:noFill/>
                    </a:ln>
                  </pic:spPr>
                </pic:pic>
              </a:graphicData>
            </a:graphic>
          </wp:inline>
        </w:drawing>
      </w:r>
      <w:r>
        <w:t>, (7.28)</w:t>
      </w:r>
    </w:p>
    <w:p w:rsidR="00212513" w:rsidRDefault="00212513">
      <w:pPr>
        <w:pStyle w:val="ConsPlusNormal"/>
        <w:ind w:firstLine="540"/>
        <w:jc w:val="both"/>
      </w:pPr>
    </w:p>
    <w:p w:rsidR="00212513" w:rsidRDefault="00212513">
      <w:pPr>
        <w:pStyle w:val="ConsPlusNormal"/>
        <w:ind w:firstLine="540"/>
        <w:jc w:val="both"/>
      </w:pPr>
      <w:r>
        <w:t xml:space="preserve">при </w:t>
      </w:r>
      <w:r>
        <w:rPr>
          <w:noProof/>
          <w:position w:val="-9"/>
        </w:rPr>
        <w:drawing>
          <wp:inline distT="0" distB="0" distL="0" distR="0">
            <wp:extent cx="670560" cy="262890"/>
            <wp:effectExtent l="0" t="0" r="0" b="0"/>
            <wp:docPr id="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670560" cy="262890"/>
                    </a:xfrm>
                    <a:prstGeom prst="rect">
                      <a:avLst/>
                    </a:prstGeom>
                    <a:noFill/>
                    <a:ln>
                      <a:noFill/>
                    </a:ln>
                  </pic:spPr>
                </pic:pic>
              </a:graphicData>
            </a:graphic>
          </wp:inline>
        </w:drawing>
      </w:r>
      <w:r>
        <w:t xml:space="preserve"> - (нейтральная ось проходит в пределах сжатой плиты) для расчета используются </w:t>
      </w:r>
      <w:hyperlink w:anchor="P4551">
        <w:r>
          <w:rPr>
            <w:color w:val="0000FF"/>
          </w:rPr>
          <w:t>формулы (7.27)</w:t>
        </w:r>
      </w:hyperlink>
      <w:r>
        <w:t xml:space="preserve"> и </w:t>
      </w:r>
      <w:hyperlink w:anchor="P4556">
        <w:r>
          <w:rPr>
            <w:color w:val="0000FF"/>
          </w:rPr>
          <w:t>(7.28)</w:t>
        </w:r>
      </w:hyperlink>
      <w:r>
        <w:t xml:space="preserve"> с заменой </w:t>
      </w:r>
      <w:r>
        <w:rPr>
          <w:i/>
        </w:rPr>
        <w:t>b</w:t>
      </w:r>
      <w:r>
        <w:t xml:space="preserve"> на </w:t>
      </w:r>
      <w:r>
        <w:rPr>
          <w:noProof/>
          <w:position w:val="-9"/>
        </w:rPr>
        <w:drawing>
          <wp:inline distT="0" distB="0" distL="0" distR="0">
            <wp:extent cx="198755" cy="262890"/>
            <wp:effectExtent l="0" t="0" r="0" b="0"/>
            <wp:docPr id="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w:t>
      </w:r>
    </w:p>
    <w:p w:rsidR="00212513" w:rsidRDefault="00212513">
      <w:pPr>
        <w:pStyle w:val="ConsPlusNormal"/>
        <w:ind w:firstLine="540"/>
        <w:jc w:val="both"/>
      </w:pPr>
    </w:p>
    <w:p w:rsidR="00212513" w:rsidRDefault="00212513">
      <w:pPr>
        <w:pStyle w:val="ConsPlusNormal"/>
        <w:jc w:val="center"/>
      </w:pPr>
      <w:r>
        <w:rPr>
          <w:noProof/>
          <w:position w:val="-110"/>
        </w:rPr>
        <w:drawing>
          <wp:inline distT="0" distB="0" distL="0" distR="0">
            <wp:extent cx="3998595" cy="1546225"/>
            <wp:effectExtent l="0" t="0" r="0" b="0"/>
            <wp:docPr id="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3998595" cy="1546225"/>
                    </a:xfrm>
                    <a:prstGeom prst="rect">
                      <a:avLst/>
                    </a:prstGeom>
                    <a:noFill/>
                    <a:ln>
                      <a:noFill/>
                    </a:ln>
                  </pic:spPr>
                </pic:pic>
              </a:graphicData>
            </a:graphic>
          </wp:inline>
        </w:drawing>
      </w:r>
    </w:p>
    <w:p w:rsidR="00212513" w:rsidRDefault="00212513">
      <w:pPr>
        <w:pStyle w:val="ConsPlusNormal"/>
        <w:jc w:val="center"/>
      </w:pPr>
    </w:p>
    <w:p w:rsidR="00212513" w:rsidRDefault="00212513">
      <w:pPr>
        <w:pStyle w:val="ConsPlusNormal"/>
        <w:jc w:val="center"/>
      </w:pPr>
      <w:bookmarkStart w:id="169" w:name="P4562"/>
      <w:bookmarkEnd w:id="169"/>
      <w:r>
        <w:rPr>
          <w:b/>
          <w:i/>
        </w:rPr>
        <w:t>Рисунок 7.3</w:t>
      </w:r>
      <w:r>
        <w:t xml:space="preserve"> </w:t>
      </w:r>
      <w:r>
        <w:rPr>
          <w:b/>
        </w:rPr>
        <w:t>- Схема усилий и эпюра напряжений в сечении,</w:t>
      </w:r>
    </w:p>
    <w:p w:rsidR="00212513" w:rsidRDefault="00212513">
      <w:pPr>
        <w:pStyle w:val="ConsPlusNormal"/>
        <w:jc w:val="center"/>
      </w:pPr>
      <w:r>
        <w:rPr>
          <w:b/>
        </w:rPr>
        <w:t>нормальном к продольной оси внецентренно</w:t>
      </w:r>
    </w:p>
    <w:p w:rsidR="00212513" w:rsidRDefault="00212513">
      <w:pPr>
        <w:pStyle w:val="ConsPlusNormal"/>
        <w:jc w:val="center"/>
      </w:pPr>
      <w:r>
        <w:rPr>
          <w:b/>
        </w:rPr>
        <w:t>сжатого бетонного элемента</w:t>
      </w:r>
    </w:p>
    <w:p w:rsidR="00212513" w:rsidRDefault="00212513">
      <w:pPr>
        <w:pStyle w:val="ConsPlusNormal"/>
        <w:ind w:firstLine="540"/>
        <w:jc w:val="both"/>
      </w:pPr>
    </w:p>
    <w:p w:rsidR="00212513" w:rsidRDefault="00212513">
      <w:pPr>
        <w:pStyle w:val="ConsPlusNormal"/>
        <w:ind w:firstLine="540"/>
        <w:jc w:val="both"/>
      </w:pPr>
      <w:r>
        <w:t>При расчете внецентренно сжатых элементов прямоугольного сечения прочность обеспечивается при соблюдении условия</w:t>
      </w:r>
    </w:p>
    <w:p w:rsidR="00212513" w:rsidRDefault="00212513">
      <w:pPr>
        <w:pStyle w:val="ConsPlusNormal"/>
        <w:ind w:firstLine="540"/>
        <w:jc w:val="both"/>
      </w:pPr>
    </w:p>
    <w:p w:rsidR="00212513" w:rsidRDefault="00212513">
      <w:pPr>
        <w:pStyle w:val="ConsPlusNormal"/>
        <w:jc w:val="center"/>
      </w:pPr>
      <w:r>
        <w:rPr>
          <w:noProof/>
          <w:position w:val="-8"/>
        </w:rPr>
        <w:drawing>
          <wp:inline distT="0" distB="0" distL="0" distR="0">
            <wp:extent cx="670560" cy="251460"/>
            <wp:effectExtent l="0" t="0" r="0" b="0"/>
            <wp:docPr id="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t>, (7.29)</w:t>
      </w:r>
    </w:p>
    <w:p w:rsidR="00212513" w:rsidRDefault="00212513">
      <w:pPr>
        <w:pStyle w:val="ConsPlusNormal"/>
        <w:ind w:firstLine="540"/>
        <w:jc w:val="both"/>
      </w:pPr>
    </w:p>
    <w:p w:rsidR="00212513" w:rsidRDefault="00212513">
      <w:pPr>
        <w:pStyle w:val="ConsPlusNormal"/>
        <w:ind w:firstLine="540"/>
        <w:jc w:val="both"/>
      </w:pPr>
      <w:r>
        <w:t>при этом высота сжатой зоны определяется по формуле</w:t>
      </w:r>
    </w:p>
    <w:p w:rsidR="00212513" w:rsidRDefault="00212513">
      <w:pPr>
        <w:pStyle w:val="ConsPlusNormal"/>
        <w:ind w:firstLine="540"/>
        <w:jc w:val="both"/>
      </w:pPr>
    </w:p>
    <w:p w:rsidR="00212513" w:rsidRDefault="00212513">
      <w:pPr>
        <w:pStyle w:val="ConsPlusNormal"/>
        <w:jc w:val="center"/>
      </w:pPr>
      <w:r>
        <w:rPr>
          <w:noProof/>
          <w:position w:val="-8"/>
        </w:rPr>
        <w:drawing>
          <wp:inline distT="0" distB="0" distL="0" distR="0">
            <wp:extent cx="838200" cy="251460"/>
            <wp:effectExtent l="0" t="0" r="0" b="0"/>
            <wp:docPr id="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838200" cy="251460"/>
                    </a:xfrm>
                    <a:prstGeom prst="rect">
                      <a:avLst/>
                    </a:prstGeom>
                    <a:noFill/>
                    <a:ln>
                      <a:noFill/>
                    </a:ln>
                  </pic:spPr>
                </pic:pic>
              </a:graphicData>
            </a:graphic>
          </wp:inline>
        </w:drawing>
      </w:r>
      <w:r>
        <w:t>. (7.30)</w:t>
      </w:r>
    </w:p>
    <w:p w:rsidR="00212513" w:rsidRDefault="00212513">
      <w:pPr>
        <w:pStyle w:val="ConsPlusNormal"/>
        <w:ind w:firstLine="540"/>
        <w:jc w:val="both"/>
      </w:pPr>
    </w:p>
    <w:p w:rsidR="00212513" w:rsidRDefault="00212513">
      <w:pPr>
        <w:pStyle w:val="ConsPlusNormal"/>
        <w:ind w:firstLine="540"/>
        <w:jc w:val="both"/>
      </w:pPr>
      <w:r>
        <w:t xml:space="preserve">Кроме расчета по прочности в плоскости действия изгибающего момента элемент должен быть проверен расчетом по устойчивости с изгибом из плоскости действия момента </w:t>
      </w:r>
      <w:hyperlink w:anchor="P3989">
        <w:r>
          <w:rPr>
            <w:color w:val="0000FF"/>
          </w:rPr>
          <w:t>(7.55)</w:t>
        </w:r>
      </w:hyperlink>
      <w:r>
        <w:t>.</w:t>
      </w:r>
    </w:p>
    <w:p w:rsidR="00212513" w:rsidRDefault="00212513">
      <w:pPr>
        <w:pStyle w:val="ConsPlusNormal"/>
        <w:ind w:firstLine="540"/>
        <w:jc w:val="both"/>
      </w:pPr>
    </w:p>
    <w:p w:rsidR="00212513" w:rsidRDefault="00212513">
      <w:pPr>
        <w:pStyle w:val="ConsPlusTitle"/>
        <w:ind w:firstLine="540"/>
        <w:jc w:val="both"/>
        <w:outlineLvl w:val="2"/>
      </w:pPr>
      <w:r>
        <w:t>Расчет внецентренно сжатых железобетонных элементов</w:t>
      </w:r>
    </w:p>
    <w:p w:rsidR="00212513" w:rsidRDefault="00212513">
      <w:pPr>
        <w:pStyle w:val="ConsPlusNormal"/>
        <w:ind w:firstLine="540"/>
        <w:jc w:val="both"/>
      </w:pPr>
    </w:p>
    <w:p w:rsidR="00212513" w:rsidRDefault="00212513">
      <w:pPr>
        <w:pStyle w:val="ConsPlusNormal"/>
        <w:ind w:firstLine="540"/>
        <w:jc w:val="both"/>
      </w:pPr>
      <w:bookmarkStart w:id="170" w:name="P4578"/>
      <w:bookmarkEnd w:id="170"/>
      <w:r>
        <w:t xml:space="preserve">7.69 Внецентренно сжатые железобетонные элементы с расчетным эксцентриситетом </w:t>
      </w:r>
      <w:r>
        <w:rPr>
          <w:noProof/>
          <w:position w:val="-8"/>
        </w:rPr>
        <w:drawing>
          <wp:inline distT="0" distB="0" distL="0" distR="0">
            <wp:extent cx="419100" cy="251460"/>
            <wp:effectExtent l="0" t="0" r="0" b="0"/>
            <wp:docPr id="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r>
        <w:t xml:space="preserve"> </w:t>
      </w:r>
      <w:hyperlink w:anchor="P3989">
        <w:r>
          <w:rPr>
            <w:color w:val="0000FF"/>
          </w:rPr>
          <w:t>(7.55)</w:t>
        </w:r>
      </w:hyperlink>
      <w:r>
        <w:t xml:space="preserve"> следует рассчитывать по устойчивости и прочности исходя из следующих условий:</w:t>
      </w:r>
    </w:p>
    <w:p w:rsidR="00212513" w:rsidRDefault="00212513">
      <w:pPr>
        <w:pStyle w:val="ConsPlusNormal"/>
        <w:spacing w:before="220"/>
        <w:ind w:firstLine="540"/>
        <w:jc w:val="both"/>
      </w:pPr>
      <w:bookmarkStart w:id="171" w:name="P4579"/>
      <w:bookmarkEnd w:id="171"/>
      <w:r>
        <w:lastRenderedPageBreak/>
        <w:t>а) расчет по устойчивости:</w:t>
      </w:r>
    </w:p>
    <w:p w:rsidR="00212513" w:rsidRDefault="00212513">
      <w:pPr>
        <w:pStyle w:val="ConsPlusNormal"/>
        <w:spacing w:before="220"/>
        <w:ind w:firstLine="540"/>
        <w:jc w:val="both"/>
      </w:pPr>
      <w:r>
        <w:t>при наличии сцепления арматуры с бетоном</w:t>
      </w:r>
    </w:p>
    <w:p w:rsidR="00212513" w:rsidRDefault="00212513">
      <w:pPr>
        <w:pStyle w:val="ConsPlusNormal"/>
        <w:ind w:firstLine="540"/>
        <w:jc w:val="both"/>
      </w:pPr>
    </w:p>
    <w:p w:rsidR="00212513" w:rsidRDefault="00212513">
      <w:pPr>
        <w:pStyle w:val="ConsPlusNormal"/>
        <w:jc w:val="center"/>
      </w:pPr>
      <w:bookmarkStart w:id="172" w:name="P4582"/>
      <w:bookmarkEnd w:id="172"/>
      <w:r>
        <w:rPr>
          <w:noProof/>
          <w:position w:val="-9"/>
        </w:rPr>
        <w:drawing>
          <wp:inline distT="0" distB="0" distL="0" distR="0">
            <wp:extent cx="1955800" cy="262890"/>
            <wp:effectExtent l="0" t="0" r="0" b="0"/>
            <wp:docPr id="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1955800" cy="262890"/>
                    </a:xfrm>
                    <a:prstGeom prst="rect">
                      <a:avLst/>
                    </a:prstGeom>
                    <a:noFill/>
                    <a:ln>
                      <a:noFill/>
                    </a:ln>
                  </pic:spPr>
                </pic:pic>
              </a:graphicData>
            </a:graphic>
          </wp:inline>
        </w:drawing>
      </w:r>
      <w:r>
        <w:t>; (7.31)</w:t>
      </w:r>
    </w:p>
    <w:p w:rsidR="00212513" w:rsidRDefault="00212513">
      <w:pPr>
        <w:pStyle w:val="ConsPlusNormal"/>
        <w:ind w:firstLine="540"/>
        <w:jc w:val="both"/>
      </w:pPr>
    </w:p>
    <w:p w:rsidR="00212513" w:rsidRDefault="00212513">
      <w:pPr>
        <w:pStyle w:val="ConsPlusNormal"/>
        <w:ind w:firstLine="540"/>
        <w:jc w:val="both"/>
      </w:pPr>
      <w:r>
        <w:t>при отсутствии сцепления напрягаемой арматуры с бетоном</w:t>
      </w:r>
    </w:p>
    <w:p w:rsidR="00212513" w:rsidRDefault="00212513">
      <w:pPr>
        <w:pStyle w:val="ConsPlusNormal"/>
        <w:ind w:firstLine="540"/>
        <w:jc w:val="both"/>
      </w:pPr>
    </w:p>
    <w:p w:rsidR="00212513" w:rsidRDefault="00212513">
      <w:pPr>
        <w:pStyle w:val="ConsPlusNormal"/>
        <w:jc w:val="center"/>
      </w:pPr>
      <w:r>
        <w:rPr>
          <w:noProof/>
          <w:position w:val="-28"/>
        </w:rPr>
        <w:drawing>
          <wp:inline distT="0" distB="0" distL="0" distR="0">
            <wp:extent cx="2696210" cy="502920"/>
            <wp:effectExtent l="0" t="0" r="0" b="0"/>
            <wp:docPr id="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2696210" cy="502920"/>
                    </a:xfrm>
                    <a:prstGeom prst="rect">
                      <a:avLst/>
                    </a:prstGeom>
                    <a:noFill/>
                    <a:ln>
                      <a:noFill/>
                    </a:ln>
                  </pic:spPr>
                </pic:pic>
              </a:graphicData>
            </a:graphic>
          </wp:inline>
        </w:drawing>
      </w:r>
      <w:r>
        <w:t>; (7.32)</w:t>
      </w:r>
    </w:p>
    <w:p w:rsidR="00212513" w:rsidRDefault="00212513">
      <w:pPr>
        <w:pStyle w:val="ConsPlusNormal"/>
        <w:ind w:firstLine="540"/>
        <w:jc w:val="both"/>
      </w:pPr>
    </w:p>
    <w:p w:rsidR="00212513" w:rsidRDefault="00212513">
      <w:pPr>
        <w:pStyle w:val="ConsPlusNormal"/>
        <w:ind w:firstLine="540"/>
        <w:jc w:val="both"/>
      </w:pPr>
      <w:bookmarkStart w:id="173" w:name="P4588"/>
      <w:bookmarkEnd w:id="173"/>
      <w:r>
        <w:t>б) расчет по прочности:</w:t>
      </w:r>
    </w:p>
    <w:p w:rsidR="00212513" w:rsidRDefault="00212513">
      <w:pPr>
        <w:pStyle w:val="ConsPlusNormal"/>
        <w:spacing w:before="220"/>
        <w:ind w:firstLine="540"/>
        <w:jc w:val="both"/>
      </w:pPr>
      <w:r>
        <w:t>при наличии сцепления арматуры с бетоном</w:t>
      </w:r>
    </w:p>
    <w:p w:rsidR="00212513" w:rsidRDefault="00212513">
      <w:pPr>
        <w:pStyle w:val="ConsPlusNormal"/>
        <w:ind w:firstLine="540"/>
        <w:jc w:val="both"/>
      </w:pPr>
    </w:p>
    <w:p w:rsidR="00212513" w:rsidRDefault="00212513">
      <w:pPr>
        <w:pStyle w:val="ConsPlusNormal"/>
        <w:jc w:val="center"/>
      </w:pPr>
      <w:r>
        <w:rPr>
          <w:noProof/>
          <w:position w:val="-9"/>
        </w:rPr>
        <w:drawing>
          <wp:inline distT="0" distB="0" distL="0" distR="0">
            <wp:extent cx="1760220" cy="262890"/>
            <wp:effectExtent l="0" t="0" r="0" b="0"/>
            <wp:docPr id="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1760220" cy="262890"/>
                    </a:xfrm>
                    <a:prstGeom prst="rect">
                      <a:avLst/>
                    </a:prstGeom>
                    <a:noFill/>
                    <a:ln>
                      <a:noFill/>
                    </a:ln>
                  </pic:spPr>
                </pic:pic>
              </a:graphicData>
            </a:graphic>
          </wp:inline>
        </w:drawing>
      </w:r>
      <w:r>
        <w:t>; (7.33)</w:t>
      </w:r>
    </w:p>
    <w:p w:rsidR="00212513" w:rsidRDefault="00212513">
      <w:pPr>
        <w:pStyle w:val="ConsPlusNormal"/>
        <w:ind w:firstLine="540"/>
        <w:jc w:val="both"/>
      </w:pPr>
    </w:p>
    <w:p w:rsidR="00212513" w:rsidRDefault="00212513">
      <w:pPr>
        <w:pStyle w:val="ConsPlusNormal"/>
        <w:ind w:firstLine="540"/>
        <w:jc w:val="both"/>
      </w:pPr>
      <w:r>
        <w:t>при отсутствии сцепления напрягаемой арматуры с бетоном</w:t>
      </w:r>
    </w:p>
    <w:p w:rsidR="00212513" w:rsidRDefault="00212513">
      <w:pPr>
        <w:pStyle w:val="ConsPlusNormal"/>
        <w:ind w:firstLine="540"/>
        <w:jc w:val="both"/>
      </w:pPr>
    </w:p>
    <w:p w:rsidR="00212513" w:rsidRDefault="00212513">
      <w:pPr>
        <w:pStyle w:val="ConsPlusNormal"/>
        <w:jc w:val="center"/>
      </w:pPr>
      <w:bookmarkStart w:id="174" w:name="P4595"/>
      <w:bookmarkEnd w:id="174"/>
      <w:r>
        <w:rPr>
          <w:noProof/>
          <w:position w:val="-28"/>
        </w:rPr>
        <w:drawing>
          <wp:inline distT="0" distB="0" distL="0" distR="0">
            <wp:extent cx="2486660" cy="502920"/>
            <wp:effectExtent l="0" t="0" r="0" b="0"/>
            <wp:docPr id="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2486660" cy="502920"/>
                    </a:xfrm>
                    <a:prstGeom prst="rect">
                      <a:avLst/>
                    </a:prstGeom>
                    <a:noFill/>
                    <a:ln>
                      <a:noFill/>
                    </a:ln>
                  </pic:spPr>
                </pic:pic>
              </a:graphicData>
            </a:graphic>
          </wp:inline>
        </w:drawing>
      </w:r>
      <w:r>
        <w:t>. (7.34)</w:t>
      </w:r>
    </w:p>
    <w:p w:rsidR="00212513" w:rsidRDefault="00212513">
      <w:pPr>
        <w:pStyle w:val="ConsPlusNormal"/>
        <w:ind w:firstLine="540"/>
        <w:jc w:val="both"/>
      </w:pPr>
    </w:p>
    <w:p w:rsidR="00212513" w:rsidRDefault="00212513">
      <w:pPr>
        <w:pStyle w:val="ConsPlusNormal"/>
        <w:ind w:firstLine="540"/>
        <w:jc w:val="both"/>
      </w:pPr>
      <w:r>
        <w:t xml:space="preserve">В </w:t>
      </w:r>
      <w:hyperlink w:anchor="P4582">
        <w:r>
          <w:rPr>
            <w:color w:val="0000FF"/>
          </w:rPr>
          <w:t>формулах (7.31)</w:t>
        </w:r>
      </w:hyperlink>
      <w:r>
        <w:t xml:space="preserve"> - </w:t>
      </w:r>
      <w:hyperlink w:anchor="P4595">
        <w:r>
          <w:rPr>
            <w:color w:val="0000FF"/>
          </w:rPr>
          <w:t>(7.34)</w:t>
        </w:r>
      </w:hyperlink>
      <w:r>
        <w:t>:</w:t>
      </w:r>
    </w:p>
    <w:p w:rsidR="00212513" w:rsidRDefault="00212513">
      <w:pPr>
        <w:pStyle w:val="ConsPlusNormal"/>
        <w:spacing w:before="220"/>
        <w:ind w:firstLine="540"/>
        <w:jc w:val="both"/>
      </w:pPr>
      <w:r>
        <w:rPr>
          <w:i/>
        </w:rPr>
        <w:t>N</w:t>
      </w:r>
      <w:r>
        <w:t xml:space="preserve"> - продольное сжимающее усилие от расчетных нагрузок (без учета усилия предварительного напряжения);</w:t>
      </w:r>
    </w:p>
    <w:p w:rsidR="00212513" w:rsidRDefault="00212513">
      <w:pPr>
        <w:pStyle w:val="ConsPlusNormal"/>
        <w:spacing w:before="220"/>
        <w:ind w:firstLine="540"/>
        <w:jc w:val="both"/>
      </w:pPr>
      <w:r>
        <w:rPr>
          <w:noProof/>
          <w:position w:val="-3"/>
        </w:rPr>
        <w:drawing>
          <wp:inline distT="0" distB="0" distL="0" distR="0">
            <wp:extent cx="146050" cy="177800"/>
            <wp:effectExtent l="0" t="0" r="0" b="0"/>
            <wp:docPr id="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146050" cy="177800"/>
                    </a:xfrm>
                    <a:prstGeom prst="rect">
                      <a:avLst/>
                    </a:prstGeom>
                    <a:noFill/>
                    <a:ln>
                      <a:noFill/>
                    </a:ln>
                  </pic:spPr>
                </pic:pic>
              </a:graphicData>
            </a:graphic>
          </wp:inline>
        </w:drawing>
      </w:r>
      <w:r>
        <w:t xml:space="preserve"> - коэффициент продольного изгиба, принимаемый по </w:t>
      </w:r>
      <w:hyperlink w:anchor="P3989">
        <w:r>
          <w:rPr>
            <w:color w:val="0000FF"/>
          </w:rPr>
          <w:t>7.55</w:t>
        </w:r>
      </w:hyperlink>
      <w:r>
        <w:t>;</w:t>
      </w:r>
    </w:p>
    <w:p w:rsidR="00212513" w:rsidRDefault="00212513">
      <w:pPr>
        <w:pStyle w:val="ConsPlusNormal"/>
        <w:spacing w:before="220"/>
        <w:ind w:firstLine="540"/>
        <w:jc w:val="both"/>
      </w:pPr>
      <w:r>
        <w:rPr>
          <w:noProof/>
          <w:position w:val="-8"/>
        </w:rPr>
        <w:drawing>
          <wp:inline distT="0" distB="0" distL="0" distR="0">
            <wp:extent cx="209550" cy="251460"/>
            <wp:effectExtent l="0" t="0" r="0" b="0"/>
            <wp:docPr id="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расчетное сопротивление бетона сжатию при расчете по прочности, принимаемое по </w:t>
      </w:r>
      <w:hyperlink w:anchor="P2350">
        <w:r>
          <w:rPr>
            <w:color w:val="0000FF"/>
          </w:rPr>
          <w:t>таблице 7.6</w:t>
        </w:r>
      </w:hyperlink>
      <w:r>
        <w:t>;</w:t>
      </w:r>
    </w:p>
    <w:p w:rsidR="00212513" w:rsidRDefault="00212513">
      <w:pPr>
        <w:pStyle w:val="ConsPlusNormal"/>
        <w:spacing w:before="220"/>
        <w:ind w:firstLine="540"/>
        <w:jc w:val="both"/>
      </w:pPr>
      <w:r>
        <w:rPr>
          <w:noProof/>
          <w:position w:val="-8"/>
        </w:rPr>
        <w:drawing>
          <wp:inline distT="0" distB="0" distL="0" distR="0">
            <wp:extent cx="209550" cy="251460"/>
            <wp:effectExtent l="0" t="0" r="0" b="0"/>
            <wp:docPr id="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полная площадь сечения элемента; если площадь сечения арматуры превышает 3%, то </w:t>
      </w:r>
      <w:r>
        <w:rPr>
          <w:noProof/>
          <w:position w:val="-8"/>
        </w:rPr>
        <w:drawing>
          <wp:inline distT="0" distB="0" distL="0" distR="0">
            <wp:extent cx="209550" cy="251460"/>
            <wp:effectExtent l="0" t="0" r="0" b="0"/>
            <wp:docPr id="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заменяют на </w:t>
      </w:r>
      <w:r>
        <w:rPr>
          <w:noProof/>
          <w:position w:val="-9"/>
        </w:rPr>
        <w:drawing>
          <wp:inline distT="0" distB="0" distL="0" distR="0">
            <wp:extent cx="986790" cy="262890"/>
            <wp:effectExtent l="0" t="0" r="0" b="0"/>
            <wp:docPr id="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986790" cy="262890"/>
                    </a:xfrm>
                    <a:prstGeom prst="rect">
                      <a:avLst/>
                    </a:prstGeom>
                    <a:noFill/>
                    <a:ln>
                      <a:noFill/>
                    </a:ln>
                  </pic:spPr>
                </pic:pic>
              </a:graphicData>
            </a:graphic>
          </wp:inline>
        </w:drawing>
      </w:r>
      <w:r>
        <w:t>;</w:t>
      </w:r>
    </w:p>
    <w:p w:rsidR="00212513" w:rsidRDefault="00212513">
      <w:pPr>
        <w:pStyle w:val="ConsPlusNormal"/>
        <w:spacing w:before="220"/>
        <w:ind w:firstLine="540"/>
        <w:jc w:val="both"/>
      </w:pPr>
      <w:r>
        <w:rPr>
          <w:noProof/>
          <w:position w:val="-8"/>
        </w:rPr>
        <w:drawing>
          <wp:inline distT="0" distB="0" distL="0" distR="0">
            <wp:extent cx="241935" cy="251460"/>
            <wp:effectExtent l="0" t="0" r="0" b="0"/>
            <wp:docPr id="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w:t>
      </w:r>
      <w:r>
        <w:rPr>
          <w:noProof/>
          <w:position w:val="-9"/>
        </w:rPr>
        <w:drawing>
          <wp:inline distT="0" distB="0" distL="0" distR="0">
            <wp:extent cx="262890" cy="262890"/>
            <wp:effectExtent l="0" t="0" r="0" b="0"/>
            <wp:docPr id="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расчетные сопротивления арматуры сжатию, принимаемые по </w:t>
      </w:r>
      <w:hyperlink w:anchor="P3477">
        <w:r>
          <w:rPr>
            <w:color w:val="0000FF"/>
          </w:rPr>
          <w:t>7.38</w:t>
        </w:r>
      </w:hyperlink>
      <w:r>
        <w:t>;</w:t>
      </w:r>
    </w:p>
    <w:p w:rsidR="00212513" w:rsidRDefault="00212513">
      <w:pPr>
        <w:pStyle w:val="ConsPlusNormal"/>
        <w:spacing w:before="220"/>
        <w:ind w:firstLine="540"/>
        <w:jc w:val="both"/>
      </w:pPr>
      <w:r>
        <w:rPr>
          <w:noProof/>
          <w:position w:val="-9"/>
        </w:rPr>
        <w:drawing>
          <wp:inline distT="0" distB="0" distL="0" distR="0">
            <wp:extent cx="262890" cy="262890"/>
            <wp:effectExtent l="0" t="0" r="0" b="0"/>
            <wp:docPr id="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учитываемое в расчете, согласно </w:t>
      </w:r>
      <w:hyperlink w:anchor="P4444">
        <w:r>
          <w:rPr>
            <w:color w:val="0000FF"/>
          </w:rPr>
          <w:t>7.60</w:t>
        </w:r>
      </w:hyperlink>
      <w:r>
        <w:t>, напряжение в напрягаемой арматуре, расположенной в сжатой зоне;</w:t>
      </w:r>
    </w:p>
    <w:p w:rsidR="00212513" w:rsidRDefault="00212513">
      <w:pPr>
        <w:pStyle w:val="ConsPlusNormal"/>
        <w:spacing w:before="220"/>
        <w:ind w:firstLine="540"/>
        <w:jc w:val="both"/>
      </w:pPr>
      <w:r>
        <w:rPr>
          <w:noProof/>
          <w:position w:val="-9"/>
        </w:rPr>
        <w:drawing>
          <wp:inline distT="0" distB="0" distL="0" distR="0">
            <wp:extent cx="304165" cy="262890"/>
            <wp:effectExtent l="0" t="0" r="0" b="0"/>
            <wp:docPr id="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304165" cy="262890"/>
                    </a:xfrm>
                    <a:prstGeom prst="rect">
                      <a:avLst/>
                    </a:prstGeom>
                    <a:noFill/>
                    <a:ln>
                      <a:noFill/>
                    </a:ln>
                  </pic:spPr>
                </pic:pic>
              </a:graphicData>
            </a:graphic>
          </wp:inline>
        </w:drawing>
      </w:r>
      <w:r>
        <w:t xml:space="preserve"> - установившееся предварительное напряжение в напрягаемой арматуре </w:t>
      </w:r>
      <w:r>
        <w:rPr>
          <w:noProof/>
          <w:position w:val="-9"/>
        </w:rPr>
        <w:drawing>
          <wp:inline distT="0" distB="0" distL="0" distR="0">
            <wp:extent cx="220980" cy="262890"/>
            <wp:effectExtent l="0" t="0" r="0" b="0"/>
            <wp:docPr id="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согласно </w:t>
      </w:r>
      <w:hyperlink w:anchor="P4444">
        <w:r>
          <w:rPr>
            <w:color w:val="0000FF"/>
          </w:rPr>
          <w:t>7.60</w:t>
        </w:r>
      </w:hyperlink>
      <w:r>
        <w:t>, после проявления всех потерь;</w:t>
      </w:r>
    </w:p>
    <w:p w:rsidR="00212513" w:rsidRDefault="00212513">
      <w:pPr>
        <w:pStyle w:val="ConsPlusNormal"/>
        <w:ind w:firstLine="540"/>
        <w:jc w:val="both"/>
      </w:pPr>
    </w:p>
    <w:p w:rsidR="00212513" w:rsidRDefault="00212513">
      <w:pPr>
        <w:pStyle w:val="ConsPlusNormal"/>
        <w:jc w:val="center"/>
      </w:pPr>
      <w:r>
        <w:rPr>
          <w:noProof/>
          <w:position w:val="-8"/>
        </w:rPr>
        <w:drawing>
          <wp:inline distT="0" distB="0" distL="0" distR="0">
            <wp:extent cx="838200" cy="251460"/>
            <wp:effectExtent l="0" t="0" r="0" b="0"/>
            <wp:docPr id="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838200" cy="251460"/>
                    </a:xfrm>
                    <a:prstGeom prst="rect">
                      <a:avLst/>
                    </a:prstGeom>
                    <a:noFill/>
                    <a:ln>
                      <a:noFill/>
                    </a:ln>
                  </pic:spPr>
                </pic:pic>
              </a:graphicData>
            </a:graphic>
          </wp:inline>
        </w:drawing>
      </w:r>
      <w:r>
        <w:t>;</w:t>
      </w:r>
    </w:p>
    <w:p w:rsidR="00212513" w:rsidRDefault="00212513">
      <w:pPr>
        <w:pStyle w:val="ConsPlusNormal"/>
        <w:jc w:val="center"/>
      </w:pPr>
    </w:p>
    <w:p w:rsidR="00212513" w:rsidRDefault="00212513">
      <w:pPr>
        <w:pStyle w:val="ConsPlusNormal"/>
        <w:jc w:val="center"/>
      </w:pPr>
      <w:r>
        <w:rPr>
          <w:noProof/>
          <w:position w:val="-8"/>
        </w:rPr>
        <w:drawing>
          <wp:inline distT="0" distB="0" distL="0" distR="0">
            <wp:extent cx="774700" cy="251460"/>
            <wp:effectExtent l="0" t="0" r="0" b="0"/>
            <wp:docPr id="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774700" cy="251460"/>
                    </a:xfrm>
                    <a:prstGeom prst="rect">
                      <a:avLst/>
                    </a:prstGeom>
                    <a:noFill/>
                    <a:ln>
                      <a:noFill/>
                    </a:ln>
                  </pic:spPr>
                </pic:pic>
              </a:graphicData>
            </a:graphic>
          </wp:inline>
        </w:drawing>
      </w:r>
      <w:r>
        <w:t>;</w:t>
      </w:r>
    </w:p>
    <w:p w:rsidR="00212513" w:rsidRDefault="00212513">
      <w:pPr>
        <w:pStyle w:val="ConsPlusNormal"/>
        <w:jc w:val="center"/>
      </w:pPr>
    </w:p>
    <w:p w:rsidR="00212513" w:rsidRDefault="00212513">
      <w:pPr>
        <w:pStyle w:val="ConsPlusNormal"/>
        <w:ind w:firstLine="540"/>
        <w:jc w:val="both"/>
      </w:pPr>
      <w:r>
        <w:rPr>
          <w:noProof/>
          <w:position w:val="-8"/>
        </w:rPr>
        <w:drawing>
          <wp:inline distT="0" distB="0" distL="0" distR="0">
            <wp:extent cx="198755" cy="250825"/>
            <wp:effectExtent l="0" t="0" r="0" b="0"/>
            <wp:docPr id="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площади сечения соответственно всей ненапрягаемой и напрягаемой арматуры;</w:t>
      </w:r>
    </w:p>
    <w:p w:rsidR="00212513" w:rsidRDefault="00212513">
      <w:pPr>
        <w:pStyle w:val="ConsPlusNormal"/>
        <w:spacing w:before="220"/>
        <w:ind w:firstLine="540"/>
        <w:jc w:val="both"/>
      </w:pPr>
      <w:r>
        <w:rPr>
          <w:noProof/>
          <w:position w:val="-8"/>
        </w:rPr>
        <w:lastRenderedPageBreak/>
        <w:drawing>
          <wp:inline distT="0" distB="0" distL="0" distR="0">
            <wp:extent cx="167640" cy="251460"/>
            <wp:effectExtent l="0" t="0" r="0" b="0"/>
            <wp:docPr id="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отношение модулей упругости, принимаемое по </w:t>
      </w:r>
      <w:hyperlink w:anchor="P3883">
        <w:r>
          <w:rPr>
            <w:color w:val="0000FF"/>
          </w:rPr>
          <w:t>7.48</w:t>
        </w:r>
      </w:hyperlink>
      <w:r>
        <w:t>.</w:t>
      </w:r>
    </w:p>
    <w:p w:rsidR="00212513" w:rsidRDefault="00212513">
      <w:pPr>
        <w:pStyle w:val="ConsPlusNormal"/>
        <w:spacing w:before="220"/>
        <w:ind w:firstLine="540"/>
        <w:jc w:val="both"/>
      </w:pPr>
      <w:bookmarkStart w:id="175" w:name="P4612"/>
      <w:bookmarkEnd w:id="175"/>
      <w:r>
        <w:t xml:space="preserve">7.70 Расчет по прочности внецентренно сжатых железобетонных элементов таврового, двутаврового и коробчатого поперечного сечений с плитой в сжатой зоне с эксцентриситетом </w:t>
      </w:r>
      <w:r>
        <w:rPr>
          <w:noProof/>
          <w:position w:val="-8"/>
        </w:rPr>
        <w:drawing>
          <wp:inline distT="0" distB="0" distL="0" distR="0">
            <wp:extent cx="441960" cy="251460"/>
            <wp:effectExtent l="0" t="0" r="0" b="0"/>
            <wp:docPr id="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441960" cy="251460"/>
                    </a:xfrm>
                    <a:prstGeom prst="rect">
                      <a:avLst/>
                    </a:prstGeom>
                    <a:noFill/>
                    <a:ln>
                      <a:noFill/>
                    </a:ln>
                  </pic:spPr>
                </pic:pic>
              </a:graphicData>
            </a:graphic>
          </wp:inline>
        </w:drawing>
      </w:r>
      <w:r>
        <w:t xml:space="preserve"> при </w:t>
      </w:r>
      <w:r>
        <w:rPr>
          <w:noProof/>
          <w:position w:val="-9"/>
        </w:rPr>
        <w:drawing>
          <wp:inline distT="0" distB="0" distL="0" distR="0">
            <wp:extent cx="441960" cy="262890"/>
            <wp:effectExtent l="0" t="0" r="0" b="0"/>
            <wp:docPr id="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441960" cy="262890"/>
                    </a:xfrm>
                    <a:prstGeom prst="rect">
                      <a:avLst/>
                    </a:prstGeom>
                    <a:noFill/>
                    <a:ln>
                      <a:noFill/>
                    </a:ln>
                  </pic:spPr>
                </pic:pic>
              </a:graphicData>
            </a:graphic>
          </wp:inline>
        </w:drawing>
      </w:r>
      <w:r>
        <w:t xml:space="preserve"> и </w:t>
      </w:r>
      <w:r>
        <w:rPr>
          <w:noProof/>
          <w:position w:val="-9"/>
        </w:rPr>
        <w:drawing>
          <wp:inline distT="0" distB="0" distL="0" distR="0">
            <wp:extent cx="441960" cy="262890"/>
            <wp:effectExtent l="0" t="0" r="0" b="0"/>
            <wp:docPr id="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441960" cy="262890"/>
                    </a:xfrm>
                    <a:prstGeom prst="rect">
                      <a:avLst/>
                    </a:prstGeom>
                    <a:noFill/>
                    <a:ln>
                      <a:noFill/>
                    </a:ln>
                  </pic:spPr>
                </pic:pic>
              </a:graphicData>
            </a:graphic>
          </wp:inline>
        </w:drawing>
      </w:r>
      <w:r>
        <w:t xml:space="preserve"> (</w:t>
      </w:r>
      <w:hyperlink w:anchor="P4520">
        <w:r>
          <w:rPr>
            <w:color w:val="0000FF"/>
          </w:rPr>
          <w:t>рисунки 7.2</w:t>
        </w:r>
      </w:hyperlink>
      <w:r>
        <w:t xml:space="preserve"> и </w:t>
      </w:r>
      <w:hyperlink w:anchor="P4628">
        <w:r>
          <w:rPr>
            <w:color w:val="0000FF"/>
          </w:rPr>
          <w:t>7.4</w:t>
        </w:r>
      </w:hyperlink>
      <w:r>
        <w:t>) следует производить, используя условие</w:t>
      </w:r>
    </w:p>
    <w:p w:rsidR="00212513" w:rsidRDefault="00212513">
      <w:pPr>
        <w:pStyle w:val="ConsPlusNormal"/>
        <w:ind w:firstLine="540"/>
        <w:jc w:val="both"/>
      </w:pPr>
    </w:p>
    <w:p w:rsidR="00212513" w:rsidRDefault="00212513">
      <w:pPr>
        <w:pStyle w:val="ConsPlusNormal"/>
        <w:jc w:val="center"/>
      </w:pPr>
      <w:bookmarkStart w:id="176" w:name="P4614"/>
      <w:bookmarkEnd w:id="176"/>
      <w:r>
        <w:rPr>
          <w:noProof/>
          <w:position w:val="-12"/>
        </w:rPr>
        <w:drawing>
          <wp:inline distT="0" distB="0" distL="0" distR="0">
            <wp:extent cx="5560060" cy="304165"/>
            <wp:effectExtent l="0" t="0" r="0" b="0"/>
            <wp:docPr id="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5560060" cy="304165"/>
                    </a:xfrm>
                    <a:prstGeom prst="rect">
                      <a:avLst/>
                    </a:prstGeom>
                    <a:noFill/>
                    <a:ln>
                      <a:noFill/>
                    </a:ln>
                  </pic:spPr>
                </pic:pic>
              </a:graphicData>
            </a:graphic>
          </wp:inline>
        </w:drawing>
      </w:r>
      <w:r>
        <w:t xml:space="preserve"> (7.35)</w:t>
      </w:r>
    </w:p>
    <w:p w:rsidR="00212513" w:rsidRDefault="00212513">
      <w:pPr>
        <w:pStyle w:val="ConsPlusNormal"/>
        <w:ind w:firstLine="540"/>
        <w:jc w:val="both"/>
      </w:pPr>
    </w:p>
    <w:p w:rsidR="00212513" w:rsidRDefault="00212513">
      <w:pPr>
        <w:pStyle w:val="ConsPlusNormal"/>
        <w:jc w:val="both"/>
      </w:pPr>
      <w:r>
        <w:t xml:space="preserve">и определять величину </w:t>
      </w:r>
      <w:r>
        <w:rPr>
          <w:noProof/>
          <w:position w:val="-8"/>
        </w:rPr>
        <w:drawing>
          <wp:inline distT="0" distB="0" distL="0" distR="0">
            <wp:extent cx="167640" cy="251460"/>
            <wp:effectExtent l="0" t="0" r="0" b="0"/>
            <wp:docPr id="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по формуле</w:t>
      </w:r>
    </w:p>
    <w:p w:rsidR="00212513" w:rsidRDefault="00212513">
      <w:pPr>
        <w:pStyle w:val="ConsPlusNormal"/>
        <w:ind w:firstLine="540"/>
        <w:jc w:val="both"/>
      </w:pPr>
    </w:p>
    <w:p w:rsidR="00212513" w:rsidRDefault="00212513">
      <w:pPr>
        <w:pStyle w:val="ConsPlusNormal"/>
        <w:jc w:val="center"/>
      </w:pPr>
      <w:r>
        <w:rPr>
          <w:noProof/>
          <w:position w:val="-8"/>
        </w:rPr>
        <w:drawing>
          <wp:inline distT="0" distB="0" distL="0" distR="0">
            <wp:extent cx="1106170" cy="251460"/>
            <wp:effectExtent l="0" t="0" r="0" b="0"/>
            <wp:docPr id="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1106170" cy="251460"/>
                    </a:xfrm>
                    <a:prstGeom prst="rect">
                      <a:avLst/>
                    </a:prstGeom>
                    <a:noFill/>
                    <a:ln>
                      <a:noFill/>
                    </a:ln>
                  </pic:spPr>
                </pic:pic>
              </a:graphicData>
            </a:graphic>
          </wp:inline>
        </w:drawing>
      </w:r>
      <w:r>
        <w:t>, (7.36)</w:t>
      </w:r>
    </w:p>
    <w:p w:rsidR="00212513" w:rsidRDefault="00212513">
      <w:pPr>
        <w:pStyle w:val="ConsPlusNormal"/>
        <w:ind w:firstLine="540"/>
        <w:jc w:val="both"/>
      </w:pPr>
    </w:p>
    <w:p w:rsidR="00212513" w:rsidRDefault="00212513">
      <w:pPr>
        <w:pStyle w:val="ConsPlusNormal"/>
        <w:ind w:firstLine="540"/>
        <w:jc w:val="both"/>
      </w:pPr>
      <w:r>
        <w:t xml:space="preserve">где </w:t>
      </w:r>
      <w:r>
        <w:rPr>
          <w:i/>
        </w:rPr>
        <w:t>N</w:t>
      </w:r>
      <w:r>
        <w:t xml:space="preserve"> - продольная сила;</w:t>
      </w:r>
    </w:p>
    <w:p w:rsidR="00212513" w:rsidRDefault="00212513">
      <w:pPr>
        <w:pStyle w:val="ConsPlusNormal"/>
        <w:spacing w:before="220"/>
        <w:ind w:firstLine="540"/>
        <w:jc w:val="both"/>
      </w:pPr>
      <w:r>
        <w:rPr>
          <w:noProof/>
          <w:position w:val="-3"/>
        </w:rPr>
        <w:drawing>
          <wp:inline distT="0" distB="0" distL="0" distR="0">
            <wp:extent cx="146685" cy="177800"/>
            <wp:effectExtent l="0" t="0" r="0" b="0"/>
            <wp:docPr id="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146685" cy="177800"/>
                    </a:xfrm>
                    <a:prstGeom prst="rect">
                      <a:avLst/>
                    </a:prstGeom>
                    <a:noFill/>
                    <a:ln>
                      <a:noFill/>
                    </a:ln>
                  </pic:spPr>
                </pic:pic>
              </a:graphicData>
            </a:graphic>
          </wp:inline>
        </w:drawing>
      </w:r>
      <w:r>
        <w:t xml:space="preserve"> - коэффициент, определяемый по </w:t>
      </w:r>
      <w:hyperlink w:anchor="P3944">
        <w:r>
          <w:rPr>
            <w:color w:val="0000FF"/>
          </w:rPr>
          <w:t>7.54</w:t>
        </w:r>
      </w:hyperlink>
      <w:r>
        <w:t>;</w:t>
      </w:r>
    </w:p>
    <w:p w:rsidR="00212513" w:rsidRDefault="00212513">
      <w:pPr>
        <w:pStyle w:val="ConsPlusNormal"/>
        <w:spacing w:before="220"/>
        <w:ind w:firstLine="540"/>
        <w:jc w:val="both"/>
      </w:pPr>
      <w:r>
        <w:rPr>
          <w:i/>
        </w:rPr>
        <w:t>e</w:t>
      </w:r>
      <w:r>
        <w:t xml:space="preserve"> - расстояние от точки приложения силы </w:t>
      </w:r>
      <w:r>
        <w:rPr>
          <w:i/>
        </w:rPr>
        <w:t>N</w:t>
      </w:r>
      <w:r>
        <w:t xml:space="preserve"> до равнодействующей усилий в растянутой арматуре;</w:t>
      </w:r>
    </w:p>
    <w:p w:rsidR="00212513" w:rsidRDefault="00212513">
      <w:pPr>
        <w:pStyle w:val="ConsPlusNormal"/>
        <w:spacing w:before="220"/>
        <w:ind w:firstLine="540"/>
        <w:jc w:val="both"/>
      </w:pPr>
      <w:r>
        <w:rPr>
          <w:noProof/>
          <w:position w:val="-8"/>
        </w:rPr>
        <w:drawing>
          <wp:inline distT="0" distB="0" distL="0" distR="0">
            <wp:extent cx="167640" cy="251460"/>
            <wp:effectExtent l="0" t="0" r="0" b="0"/>
            <wp:docPr id="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начальный эксцентриситет продольной силы N относительно центра тяжести всего сечения (с учетом случайного эксцентриситета согласно </w:t>
      </w:r>
      <w:hyperlink w:anchor="P3904">
        <w:r>
          <w:rPr>
            <w:color w:val="0000FF"/>
          </w:rPr>
          <w:t>7.52</w:t>
        </w:r>
      </w:hyperlink>
      <w:r>
        <w:t>);</w:t>
      </w:r>
    </w:p>
    <w:p w:rsidR="00212513" w:rsidRDefault="00212513">
      <w:pPr>
        <w:pStyle w:val="ConsPlusNormal"/>
        <w:spacing w:before="220"/>
        <w:ind w:firstLine="540"/>
        <w:jc w:val="both"/>
      </w:pPr>
      <w:r>
        <w:rPr>
          <w:noProof/>
          <w:position w:val="-9"/>
        </w:rPr>
        <w:drawing>
          <wp:inline distT="0" distB="0" distL="0" distR="0">
            <wp:extent cx="262890" cy="262890"/>
            <wp:effectExtent l="0" t="0" r="0" b="0"/>
            <wp:docPr id="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сжимающее напряжение в напрягаемой арматуре, расположенной в зоне, сжатой от внешней нагрузки, согласно </w:t>
      </w:r>
      <w:hyperlink w:anchor="P4444">
        <w:r>
          <w:rPr>
            <w:color w:val="0000FF"/>
          </w:rPr>
          <w:t>7.60</w:t>
        </w:r>
      </w:hyperlink>
      <w:r>
        <w:t>.</w:t>
      </w:r>
    </w:p>
    <w:p w:rsidR="00212513" w:rsidRDefault="00212513">
      <w:pPr>
        <w:pStyle w:val="ConsPlusNormal"/>
        <w:ind w:firstLine="540"/>
        <w:jc w:val="both"/>
      </w:pPr>
    </w:p>
    <w:p w:rsidR="00212513" w:rsidRDefault="00212513">
      <w:pPr>
        <w:pStyle w:val="ConsPlusNormal"/>
        <w:jc w:val="center"/>
      </w:pPr>
      <w:r>
        <w:rPr>
          <w:noProof/>
          <w:position w:val="-156"/>
        </w:rPr>
        <w:drawing>
          <wp:inline distT="0" distB="0" distL="0" distR="0">
            <wp:extent cx="3599815" cy="2129155"/>
            <wp:effectExtent l="0" t="0" r="0" b="0"/>
            <wp:docPr id="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3599815" cy="2129155"/>
                    </a:xfrm>
                    <a:prstGeom prst="rect">
                      <a:avLst/>
                    </a:prstGeom>
                    <a:noFill/>
                    <a:ln>
                      <a:noFill/>
                    </a:ln>
                  </pic:spPr>
                </pic:pic>
              </a:graphicData>
            </a:graphic>
          </wp:inline>
        </w:drawing>
      </w:r>
    </w:p>
    <w:p w:rsidR="00212513" w:rsidRDefault="00212513">
      <w:pPr>
        <w:pStyle w:val="ConsPlusNormal"/>
        <w:jc w:val="center"/>
      </w:pPr>
    </w:p>
    <w:p w:rsidR="00212513" w:rsidRDefault="00212513">
      <w:pPr>
        <w:pStyle w:val="ConsPlusNormal"/>
        <w:jc w:val="center"/>
      </w:pPr>
      <w:bookmarkStart w:id="177" w:name="P4628"/>
      <w:bookmarkEnd w:id="177"/>
      <w:r>
        <w:rPr>
          <w:b/>
          <w:i/>
        </w:rPr>
        <w:t>Рисунок 7.4</w:t>
      </w:r>
      <w:r>
        <w:t xml:space="preserve"> </w:t>
      </w:r>
      <w:r>
        <w:rPr>
          <w:b/>
        </w:rPr>
        <w:t>- Схема усилий и эпюра напряжений в сечении,</w:t>
      </w:r>
    </w:p>
    <w:p w:rsidR="00212513" w:rsidRDefault="00212513">
      <w:pPr>
        <w:pStyle w:val="ConsPlusNormal"/>
        <w:jc w:val="center"/>
      </w:pPr>
      <w:r>
        <w:rPr>
          <w:b/>
        </w:rPr>
        <w:t>нормальном к продольной оси внецентренно сжатого</w:t>
      </w:r>
    </w:p>
    <w:p w:rsidR="00212513" w:rsidRDefault="00212513">
      <w:pPr>
        <w:pStyle w:val="ConsPlusNormal"/>
        <w:jc w:val="center"/>
      </w:pPr>
      <w:r>
        <w:rPr>
          <w:b/>
        </w:rPr>
        <w:t>железобетонного элемента, при расчете его по прочности</w:t>
      </w:r>
    </w:p>
    <w:p w:rsidR="00212513" w:rsidRDefault="00212513">
      <w:pPr>
        <w:pStyle w:val="ConsPlusNormal"/>
        <w:ind w:firstLine="540"/>
        <w:jc w:val="both"/>
      </w:pPr>
    </w:p>
    <w:p w:rsidR="00212513" w:rsidRDefault="00212513">
      <w:pPr>
        <w:pStyle w:val="ConsPlusNormal"/>
        <w:ind w:firstLine="540"/>
        <w:jc w:val="both"/>
      </w:pPr>
      <w:r>
        <w:t xml:space="preserve">Для прямоугольных сечений в </w:t>
      </w:r>
      <w:hyperlink w:anchor="P4614">
        <w:r>
          <w:rPr>
            <w:color w:val="0000FF"/>
          </w:rPr>
          <w:t>формуле (7.35)</w:t>
        </w:r>
      </w:hyperlink>
      <w:r>
        <w:t xml:space="preserve"> принимается </w:t>
      </w:r>
      <w:r>
        <w:rPr>
          <w:noProof/>
          <w:position w:val="-9"/>
        </w:rPr>
        <w:drawing>
          <wp:inline distT="0" distB="0" distL="0" distR="0">
            <wp:extent cx="461010" cy="262890"/>
            <wp:effectExtent l="0" t="0" r="0" b="0"/>
            <wp:docPr id="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461010" cy="262890"/>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Высоту сжатой зоны бетона </w:t>
      </w:r>
      <w:r>
        <w:rPr>
          <w:i/>
        </w:rPr>
        <w:t>x</w:t>
      </w:r>
      <w:r>
        <w:t xml:space="preserve"> необходимо определять по формуле</w:t>
      </w:r>
    </w:p>
    <w:p w:rsidR="00212513" w:rsidRDefault="00212513">
      <w:pPr>
        <w:pStyle w:val="ConsPlusNormal"/>
        <w:ind w:firstLine="540"/>
        <w:jc w:val="both"/>
      </w:pPr>
    </w:p>
    <w:p w:rsidR="00212513" w:rsidRDefault="00212513">
      <w:pPr>
        <w:pStyle w:val="ConsPlusNormal"/>
        <w:jc w:val="center"/>
      </w:pPr>
      <w:r>
        <w:rPr>
          <w:noProof/>
          <w:position w:val="-9"/>
        </w:rPr>
        <w:drawing>
          <wp:inline distT="0" distB="0" distL="0" distR="0">
            <wp:extent cx="3660140" cy="262890"/>
            <wp:effectExtent l="0" t="0" r="0" b="0"/>
            <wp:docPr id="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3660140" cy="262890"/>
                    </a:xfrm>
                    <a:prstGeom prst="rect">
                      <a:avLst/>
                    </a:prstGeom>
                    <a:noFill/>
                    <a:ln>
                      <a:noFill/>
                    </a:ln>
                  </pic:spPr>
                </pic:pic>
              </a:graphicData>
            </a:graphic>
          </wp:inline>
        </w:drawing>
      </w:r>
      <w:r>
        <w:t>. (7.37)</w:t>
      </w:r>
    </w:p>
    <w:p w:rsidR="00212513" w:rsidRDefault="00212513">
      <w:pPr>
        <w:pStyle w:val="ConsPlusNormal"/>
        <w:ind w:firstLine="540"/>
        <w:jc w:val="both"/>
      </w:pPr>
    </w:p>
    <w:p w:rsidR="00212513" w:rsidRDefault="00212513">
      <w:pPr>
        <w:pStyle w:val="ConsPlusNormal"/>
        <w:ind w:firstLine="540"/>
        <w:jc w:val="both"/>
      </w:pPr>
      <w:r>
        <w:t>Знаки при усилиях в формуле (7.37) соответствуют расположению силы N вне сечения.</w:t>
      </w:r>
    </w:p>
    <w:p w:rsidR="00212513" w:rsidRDefault="00212513">
      <w:pPr>
        <w:pStyle w:val="ConsPlusNormal"/>
        <w:spacing w:before="220"/>
        <w:ind w:firstLine="540"/>
        <w:jc w:val="both"/>
      </w:pPr>
      <w:r>
        <w:lastRenderedPageBreak/>
        <w:t>При расчете двутавровых сечений с плитой в растянутой зоне свесы плиты не учитываются. Кроме расчета по прочности в плоскости действия изгибающего момента следует проводить расчет по устойчивости с изгибом из плоскости действия момента.</w:t>
      </w:r>
    </w:p>
    <w:p w:rsidR="00212513" w:rsidRDefault="00212513">
      <w:pPr>
        <w:pStyle w:val="ConsPlusNormal"/>
        <w:spacing w:before="220"/>
        <w:ind w:firstLine="540"/>
        <w:jc w:val="both"/>
      </w:pPr>
      <w:r>
        <w:t xml:space="preserve">Учет работы сжатой ненапрягаемой арматуры следует производить по </w:t>
      </w:r>
      <w:hyperlink w:anchor="P4444">
        <w:r>
          <w:rPr>
            <w:color w:val="0000FF"/>
          </w:rPr>
          <w:t>7.60</w:t>
        </w:r>
      </w:hyperlink>
      <w:r>
        <w:t xml:space="preserve">. Однако если без учета этой арматуры </w:t>
      </w:r>
      <w:r>
        <w:rPr>
          <w:noProof/>
          <w:position w:val="-8"/>
        </w:rPr>
        <w:drawing>
          <wp:inline distT="0" distB="0" distL="0" distR="0">
            <wp:extent cx="511810" cy="251460"/>
            <wp:effectExtent l="0" t="0" r="0" b="0"/>
            <wp:docPr id="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511810" cy="251460"/>
                    </a:xfrm>
                    <a:prstGeom prst="rect">
                      <a:avLst/>
                    </a:prstGeom>
                    <a:noFill/>
                    <a:ln>
                      <a:noFill/>
                    </a:ln>
                  </pic:spPr>
                </pic:pic>
              </a:graphicData>
            </a:graphic>
          </wp:inline>
        </w:drawing>
      </w:r>
      <w:r>
        <w:t xml:space="preserve">, а с ее учетом </w:t>
      </w:r>
      <w:r>
        <w:rPr>
          <w:noProof/>
          <w:position w:val="-8"/>
        </w:rPr>
        <w:drawing>
          <wp:inline distT="0" distB="0" distL="0" distR="0">
            <wp:extent cx="511810" cy="251460"/>
            <wp:effectExtent l="0" t="0" r="0" b="0"/>
            <wp:docPr id="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511810" cy="251460"/>
                    </a:xfrm>
                    <a:prstGeom prst="rect">
                      <a:avLst/>
                    </a:prstGeom>
                    <a:noFill/>
                    <a:ln>
                      <a:noFill/>
                    </a:ln>
                  </pic:spPr>
                </pic:pic>
              </a:graphicData>
            </a:graphic>
          </wp:inline>
        </w:drawing>
      </w:r>
      <w:r>
        <w:t>, то расчет по прочности допускается производить, используя условие</w:t>
      </w:r>
    </w:p>
    <w:p w:rsidR="00212513" w:rsidRDefault="00212513">
      <w:pPr>
        <w:pStyle w:val="ConsPlusNormal"/>
        <w:ind w:firstLine="540"/>
        <w:jc w:val="both"/>
      </w:pPr>
    </w:p>
    <w:p w:rsidR="00212513" w:rsidRDefault="00212513">
      <w:pPr>
        <w:pStyle w:val="ConsPlusNormal"/>
        <w:jc w:val="center"/>
      </w:pPr>
      <w:r>
        <w:rPr>
          <w:noProof/>
          <w:position w:val="-9"/>
        </w:rPr>
        <w:drawing>
          <wp:inline distT="0" distB="0" distL="0" distR="0">
            <wp:extent cx="2249170" cy="262890"/>
            <wp:effectExtent l="0" t="0" r="0" b="0"/>
            <wp:docPr id="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2249170" cy="262890"/>
                    </a:xfrm>
                    <a:prstGeom prst="rect">
                      <a:avLst/>
                    </a:prstGeom>
                    <a:noFill/>
                    <a:ln>
                      <a:noFill/>
                    </a:ln>
                  </pic:spPr>
                </pic:pic>
              </a:graphicData>
            </a:graphic>
          </wp:inline>
        </w:drawing>
      </w:r>
      <w:r>
        <w:t>. (7.38)</w:t>
      </w:r>
    </w:p>
    <w:p w:rsidR="00212513" w:rsidRDefault="00212513">
      <w:pPr>
        <w:pStyle w:val="ConsPlusNormal"/>
        <w:ind w:firstLine="540"/>
        <w:jc w:val="both"/>
      </w:pPr>
    </w:p>
    <w:p w:rsidR="00212513" w:rsidRDefault="00212513">
      <w:pPr>
        <w:pStyle w:val="ConsPlusNormal"/>
        <w:ind w:firstLine="540"/>
        <w:jc w:val="both"/>
      </w:pPr>
      <w:r>
        <w:t xml:space="preserve">Расчет на прочность внецентренно сжатых предварительно напряженных элементов при предварительном напряжении заменяется расчетом по образованию продольных трещин под нормативной нагрузкой </w:t>
      </w:r>
      <w:hyperlink w:anchor="P5179">
        <w:r>
          <w:rPr>
            <w:color w:val="0000FF"/>
          </w:rPr>
          <w:t>(7.100)</w:t>
        </w:r>
      </w:hyperlink>
      <w:r>
        <w:t xml:space="preserve"> с ограничением сжимающих напряжений в бетоне значениями </w:t>
      </w:r>
      <w:r>
        <w:rPr>
          <w:noProof/>
          <w:position w:val="-9"/>
        </w:rPr>
        <w:drawing>
          <wp:inline distT="0" distB="0" distL="0" distR="0">
            <wp:extent cx="398780" cy="262890"/>
            <wp:effectExtent l="0" t="0" r="0" b="0"/>
            <wp:docPr id="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398780" cy="262890"/>
                    </a:xfrm>
                    <a:prstGeom prst="rect">
                      <a:avLst/>
                    </a:prstGeom>
                    <a:noFill/>
                    <a:ln>
                      <a:noFill/>
                    </a:ln>
                  </pic:spPr>
                </pic:pic>
              </a:graphicData>
            </a:graphic>
          </wp:inline>
        </w:drawing>
      </w:r>
      <w:r>
        <w:t>, соответствующими классу передаточной прочности бетона.</w:t>
      </w:r>
    </w:p>
    <w:p w:rsidR="00212513" w:rsidRDefault="00212513">
      <w:pPr>
        <w:pStyle w:val="ConsPlusNormal"/>
        <w:spacing w:before="220"/>
        <w:ind w:firstLine="540"/>
        <w:jc w:val="both"/>
      </w:pPr>
      <w:bookmarkStart w:id="178" w:name="P4644"/>
      <w:bookmarkEnd w:id="178"/>
      <w:r>
        <w:t xml:space="preserve">7.71 Расчет внецентренно сжатых железобетонных элементов кольцевого сечения при отношении внутреннего </w:t>
      </w:r>
      <w:r>
        <w:rPr>
          <w:noProof/>
          <w:position w:val="-8"/>
        </w:rPr>
        <w:drawing>
          <wp:inline distT="0" distB="0" distL="0" distR="0">
            <wp:extent cx="146685" cy="250825"/>
            <wp:effectExtent l="0" t="0" r="0" b="0"/>
            <wp:docPr id="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146685" cy="250825"/>
                    </a:xfrm>
                    <a:prstGeom prst="rect">
                      <a:avLst/>
                    </a:prstGeom>
                    <a:noFill/>
                    <a:ln>
                      <a:noFill/>
                    </a:ln>
                  </pic:spPr>
                </pic:pic>
              </a:graphicData>
            </a:graphic>
          </wp:inline>
        </w:drawing>
      </w:r>
      <w:r>
        <w:t xml:space="preserve"> и наружного </w:t>
      </w:r>
      <w:r>
        <w:rPr>
          <w:noProof/>
          <w:position w:val="-8"/>
        </w:rPr>
        <w:drawing>
          <wp:inline distT="0" distB="0" distL="0" distR="0">
            <wp:extent cx="146050" cy="251460"/>
            <wp:effectExtent l="0" t="0" r="0" b="0"/>
            <wp:docPr id="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146050" cy="251460"/>
                    </a:xfrm>
                    <a:prstGeom prst="rect">
                      <a:avLst/>
                    </a:prstGeom>
                    <a:noFill/>
                    <a:ln>
                      <a:noFill/>
                    </a:ln>
                  </pic:spPr>
                </pic:pic>
              </a:graphicData>
            </a:graphic>
          </wp:inline>
        </w:drawing>
      </w:r>
      <w:r>
        <w:t xml:space="preserve"> радиусов </w:t>
      </w:r>
      <w:r>
        <w:rPr>
          <w:noProof/>
          <w:position w:val="-8"/>
        </w:rPr>
        <w:drawing>
          <wp:inline distT="0" distB="0" distL="0" distR="0">
            <wp:extent cx="754380" cy="251460"/>
            <wp:effectExtent l="0" t="0" r="0" b="0"/>
            <wp:docPr id="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754380" cy="251460"/>
                    </a:xfrm>
                    <a:prstGeom prst="rect">
                      <a:avLst/>
                    </a:prstGeom>
                    <a:noFill/>
                    <a:ln>
                      <a:noFill/>
                    </a:ln>
                  </pic:spPr>
                </pic:pic>
              </a:graphicData>
            </a:graphic>
          </wp:inline>
        </w:drawing>
      </w:r>
      <w:r>
        <w:t xml:space="preserve"> с ненапрягаемой арматурой, равномерно распределенной по длине окружности (при числе продольных стержней не менее 6), производится в зависимости от относительной площади сжатой зоны бетона, равной</w:t>
      </w:r>
    </w:p>
    <w:p w:rsidR="00212513" w:rsidRDefault="00212513">
      <w:pPr>
        <w:pStyle w:val="ConsPlusNormal"/>
        <w:ind w:firstLine="540"/>
        <w:jc w:val="both"/>
      </w:pPr>
    </w:p>
    <w:p w:rsidR="00212513" w:rsidRDefault="00212513">
      <w:pPr>
        <w:pStyle w:val="ConsPlusNormal"/>
        <w:jc w:val="center"/>
      </w:pPr>
      <w:bookmarkStart w:id="179" w:name="P4646"/>
      <w:bookmarkEnd w:id="179"/>
      <w:r>
        <w:rPr>
          <w:noProof/>
          <w:position w:val="-28"/>
        </w:rPr>
        <w:drawing>
          <wp:inline distT="0" distB="0" distL="0" distR="0">
            <wp:extent cx="1620520" cy="502920"/>
            <wp:effectExtent l="0" t="0" r="0" b="0"/>
            <wp:docPr id="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1620520" cy="502920"/>
                    </a:xfrm>
                    <a:prstGeom prst="rect">
                      <a:avLst/>
                    </a:prstGeom>
                    <a:noFill/>
                    <a:ln>
                      <a:noFill/>
                    </a:ln>
                  </pic:spPr>
                </pic:pic>
              </a:graphicData>
            </a:graphic>
          </wp:inline>
        </w:drawing>
      </w:r>
      <w:r>
        <w:t>. (7.39)</w:t>
      </w:r>
    </w:p>
    <w:p w:rsidR="00212513" w:rsidRDefault="00212513">
      <w:pPr>
        <w:pStyle w:val="ConsPlusNormal"/>
        <w:ind w:firstLine="540"/>
        <w:jc w:val="both"/>
      </w:pPr>
    </w:p>
    <w:p w:rsidR="00212513" w:rsidRDefault="00212513">
      <w:pPr>
        <w:pStyle w:val="ConsPlusNormal"/>
        <w:ind w:firstLine="540"/>
        <w:jc w:val="both"/>
      </w:pPr>
      <w:r>
        <w:t xml:space="preserve">В зависимости от значений </w:t>
      </w:r>
      <w:r>
        <w:rPr>
          <w:noProof/>
          <w:position w:val="-8"/>
        </w:rPr>
        <w:drawing>
          <wp:inline distT="0" distB="0" distL="0" distR="0">
            <wp:extent cx="251460" cy="251460"/>
            <wp:effectExtent l="0" t="0" r="0" b="0"/>
            <wp:docPr id="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в расчетах используются приведенные условия:</w:t>
      </w:r>
    </w:p>
    <w:p w:rsidR="00212513" w:rsidRDefault="00212513">
      <w:pPr>
        <w:pStyle w:val="ConsPlusNormal"/>
        <w:spacing w:before="220"/>
        <w:ind w:firstLine="540"/>
        <w:jc w:val="both"/>
      </w:pPr>
      <w:r>
        <w:t xml:space="preserve">а) при </w:t>
      </w:r>
      <w:r>
        <w:rPr>
          <w:noProof/>
          <w:position w:val="-8"/>
        </w:rPr>
        <w:drawing>
          <wp:inline distT="0" distB="0" distL="0" distR="0">
            <wp:extent cx="1199515" cy="251460"/>
            <wp:effectExtent l="0" t="0" r="0" b="0"/>
            <wp:docPr id="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1199515" cy="251460"/>
                    </a:xfrm>
                    <a:prstGeom prst="rect">
                      <a:avLst/>
                    </a:prstGeom>
                    <a:noFill/>
                    <a:ln>
                      <a:noFill/>
                    </a:ln>
                  </pic:spPr>
                </pic:pic>
              </a:graphicData>
            </a:graphic>
          </wp:inline>
        </w:drawing>
      </w:r>
      <w:r>
        <w:t xml:space="preserve"> из условия</w:t>
      </w:r>
    </w:p>
    <w:p w:rsidR="00212513" w:rsidRDefault="00212513">
      <w:pPr>
        <w:pStyle w:val="ConsPlusNormal"/>
        <w:ind w:firstLine="540"/>
        <w:jc w:val="both"/>
      </w:pPr>
    </w:p>
    <w:p w:rsidR="00212513" w:rsidRDefault="00212513">
      <w:pPr>
        <w:pStyle w:val="ConsPlusNormal"/>
        <w:jc w:val="center"/>
      </w:pPr>
      <w:r>
        <w:rPr>
          <w:noProof/>
          <w:position w:val="-22"/>
        </w:rPr>
        <w:drawing>
          <wp:inline distT="0" distB="0" distL="0" distR="0">
            <wp:extent cx="4610100" cy="429895"/>
            <wp:effectExtent l="0" t="0" r="0" b="0"/>
            <wp:docPr id="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4610100" cy="429895"/>
                    </a:xfrm>
                    <a:prstGeom prst="rect">
                      <a:avLst/>
                    </a:prstGeom>
                    <a:noFill/>
                    <a:ln>
                      <a:noFill/>
                    </a:ln>
                  </pic:spPr>
                </pic:pic>
              </a:graphicData>
            </a:graphic>
          </wp:inline>
        </w:drawing>
      </w:r>
      <w:r>
        <w:t>; (7.40)</w:t>
      </w:r>
    </w:p>
    <w:p w:rsidR="00212513" w:rsidRDefault="00212513">
      <w:pPr>
        <w:pStyle w:val="ConsPlusNormal"/>
        <w:jc w:val="center"/>
      </w:pPr>
    </w:p>
    <w:p w:rsidR="00212513" w:rsidRDefault="00212513">
      <w:pPr>
        <w:pStyle w:val="ConsPlusNormal"/>
        <w:jc w:val="center"/>
      </w:pPr>
      <w:r>
        <w:t xml:space="preserve">(в ред. </w:t>
      </w:r>
      <w:hyperlink r:id="rId976">
        <w:r>
          <w:rPr>
            <w:color w:val="0000FF"/>
          </w:rPr>
          <w:t>Изменения N 3</w:t>
        </w:r>
      </w:hyperlink>
      <w:r>
        <w:t>, утв. Приказом</w:t>
      </w:r>
    </w:p>
    <w:p w:rsidR="00212513" w:rsidRDefault="00212513">
      <w:pPr>
        <w:pStyle w:val="ConsPlusNormal"/>
        <w:jc w:val="center"/>
      </w:pPr>
      <w:r>
        <w:t>Минстроя России от 29.12.2020 N 891/пр)</w:t>
      </w:r>
    </w:p>
    <w:p w:rsidR="00212513" w:rsidRDefault="00212513">
      <w:pPr>
        <w:pStyle w:val="ConsPlusNormal"/>
        <w:ind w:firstLine="540"/>
        <w:jc w:val="both"/>
      </w:pPr>
    </w:p>
    <w:p w:rsidR="00212513" w:rsidRDefault="00212513">
      <w:pPr>
        <w:pStyle w:val="ConsPlusNormal"/>
        <w:ind w:firstLine="540"/>
        <w:jc w:val="both"/>
      </w:pPr>
      <w:r>
        <w:t xml:space="preserve">б) при </w:t>
      </w:r>
      <w:r>
        <w:rPr>
          <w:noProof/>
          <w:position w:val="-8"/>
        </w:rPr>
        <w:drawing>
          <wp:inline distT="0" distB="0" distL="0" distR="0">
            <wp:extent cx="712470" cy="251460"/>
            <wp:effectExtent l="0" t="0" r="0" b="0"/>
            <wp:docPr id="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712470" cy="251460"/>
                    </a:xfrm>
                    <a:prstGeom prst="rect">
                      <a:avLst/>
                    </a:prstGeom>
                    <a:noFill/>
                    <a:ln>
                      <a:noFill/>
                    </a:ln>
                  </pic:spPr>
                </pic:pic>
              </a:graphicData>
            </a:graphic>
          </wp:inline>
        </w:drawing>
      </w:r>
      <w:r>
        <w:t xml:space="preserve"> из условия</w:t>
      </w:r>
    </w:p>
    <w:p w:rsidR="00212513" w:rsidRDefault="00212513">
      <w:pPr>
        <w:pStyle w:val="ConsPlusNormal"/>
        <w:ind w:firstLine="540"/>
        <w:jc w:val="both"/>
      </w:pPr>
    </w:p>
    <w:p w:rsidR="00212513" w:rsidRDefault="00212513">
      <w:pPr>
        <w:pStyle w:val="ConsPlusNormal"/>
        <w:jc w:val="center"/>
      </w:pPr>
      <w:r>
        <w:rPr>
          <w:noProof/>
          <w:position w:val="-23"/>
        </w:rPr>
        <w:drawing>
          <wp:inline distT="0" distB="0" distL="0" distR="0">
            <wp:extent cx="3422650" cy="441960"/>
            <wp:effectExtent l="0" t="0" r="0" b="0"/>
            <wp:docPr id="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3422650" cy="441960"/>
                    </a:xfrm>
                    <a:prstGeom prst="rect">
                      <a:avLst/>
                    </a:prstGeom>
                    <a:noFill/>
                    <a:ln>
                      <a:noFill/>
                    </a:ln>
                  </pic:spPr>
                </pic:pic>
              </a:graphicData>
            </a:graphic>
          </wp:inline>
        </w:drawing>
      </w:r>
      <w:r>
        <w:t>, (7.41)</w:t>
      </w:r>
    </w:p>
    <w:p w:rsidR="00212513" w:rsidRDefault="00212513">
      <w:pPr>
        <w:pStyle w:val="ConsPlusNormal"/>
        <w:jc w:val="center"/>
      </w:pPr>
    </w:p>
    <w:p w:rsidR="00212513" w:rsidRDefault="00212513">
      <w:pPr>
        <w:pStyle w:val="ConsPlusNormal"/>
        <w:ind w:firstLine="540"/>
        <w:jc w:val="both"/>
      </w:pPr>
      <w:r>
        <w:t>где</w:t>
      </w:r>
    </w:p>
    <w:p w:rsidR="00212513" w:rsidRDefault="00212513">
      <w:pPr>
        <w:pStyle w:val="ConsPlusNormal"/>
        <w:jc w:val="center"/>
      </w:pPr>
    </w:p>
    <w:p w:rsidR="00212513" w:rsidRDefault="00212513">
      <w:pPr>
        <w:pStyle w:val="ConsPlusNormal"/>
        <w:jc w:val="center"/>
      </w:pPr>
      <w:r>
        <w:rPr>
          <w:noProof/>
          <w:position w:val="-28"/>
        </w:rPr>
        <w:drawing>
          <wp:inline distT="0" distB="0" distL="0" distR="0">
            <wp:extent cx="1536700" cy="502920"/>
            <wp:effectExtent l="0" t="0" r="0" b="0"/>
            <wp:docPr id="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1536700" cy="502920"/>
                    </a:xfrm>
                    <a:prstGeom prst="rect">
                      <a:avLst/>
                    </a:prstGeom>
                    <a:noFill/>
                    <a:ln>
                      <a:noFill/>
                    </a:ln>
                  </pic:spPr>
                </pic:pic>
              </a:graphicData>
            </a:graphic>
          </wp:inline>
        </w:drawing>
      </w:r>
      <w:r>
        <w:t>; (7.42)</w:t>
      </w:r>
    </w:p>
    <w:p w:rsidR="00212513" w:rsidRDefault="00212513">
      <w:pPr>
        <w:pStyle w:val="ConsPlusNormal"/>
        <w:ind w:firstLine="540"/>
        <w:jc w:val="both"/>
      </w:pPr>
    </w:p>
    <w:p w:rsidR="00212513" w:rsidRDefault="00212513">
      <w:pPr>
        <w:pStyle w:val="ConsPlusNormal"/>
        <w:ind w:firstLine="540"/>
        <w:jc w:val="both"/>
      </w:pPr>
      <w:r>
        <w:t xml:space="preserve">в) при </w:t>
      </w:r>
      <w:r>
        <w:rPr>
          <w:noProof/>
          <w:position w:val="-8"/>
        </w:rPr>
        <w:drawing>
          <wp:inline distT="0" distB="0" distL="0" distR="0">
            <wp:extent cx="650240" cy="251460"/>
            <wp:effectExtent l="0" t="0" r="0" b="0"/>
            <wp:docPr id="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650240" cy="251460"/>
                    </a:xfrm>
                    <a:prstGeom prst="rect">
                      <a:avLst/>
                    </a:prstGeom>
                    <a:noFill/>
                    <a:ln>
                      <a:noFill/>
                    </a:ln>
                  </pic:spPr>
                </pic:pic>
              </a:graphicData>
            </a:graphic>
          </wp:inline>
        </w:drawing>
      </w:r>
      <w:r>
        <w:t xml:space="preserve"> из условия</w:t>
      </w:r>
    </w:p>
    <w:p w:rsidR="00212513" w:rsidRDefault="00212513">
      <w:pPr>
        <w:pStyle w:val="ConsPlusNormal"/>
        <w:ind w:firstLine="540"/>
        <w:jc w:val="both"/>
      </w:pPr>
    </w:p>
    <w:p w:rsidR="00212513" w:rsidRDefault="00212513">
      <w:pPr>
        <w:pStyle w:val="ConsPlusNormal"/>
        <w:jc w:val="center"/>
      </w:pPr>
      <w:r>
        <w:rPr>
          <w:noProof/>
          <w:position w:val="-23"/>
        </w:rPr>
        <w:drawing>
          <wp:inline distT="0" distB="0" distL="0" distR="0">
            <wp:extent cx="2359660" cy="441960"/>
            <wp:effectExtent l="0" t="0" r="0" b="0"/>
            <wp:docPr id="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2359660" cy="441960"/>
                    </a:xfrm>
                    <a:prstGeom prst="rect">
                      <a:avLst/>
                    </a:prstGeom>
                    <a:noFill/>
                    <a:ln>
                      <a:noFill/>
                    </a:ln>
                  </pic:spPr>
                </pic:pic>
              </a:graphicData>
            </a:graphic>
          </wp:inline>
        </w:drawing>
      </w:r>
      <w:r>
        <w:t>, (7.43)</w:t>
      </w:r>
    </w:p>
    <w:p w:rsidR="00212513" w:rsidRDefault="00212513">
      <w:pPr>
        <w:pStyle w:val="ConsPlusNormal"/>
        <w:jc w:val="center"/>
      </w:pPr>
    </w:p>
    <w:p w:rsidR="00212513" w:rsidRDefault="00212513">
      <w:pPr>
        <w:pStyle w:val="ConsPlusNormal"/>
        <w:ind w:firstLine="540"/>
        <w:jc w:val="both"/>
      </w:pPr>
      <w:r>
        <w:t>где</w:t>
      </w:r>
    </w:p>
    <w:p w:rsidR="00212513" w:rsidRDefault="00212513">
      <w:pPr>
        <w:pStyle w:val="ConsPlusNormal"/>
        <w:jc w:val="center"/>
      </w:pPr>
    </w:p>
    <w:p w:rsidR="00212513" w:rsidRDefault="00212513">
      <w:pPr>
        <w:pStyle w:val="ConsPlusNormal"/>
        <w:jc w:val="center"/>
      </w:pPr>
      <w:r>
        <w:rPr>
          <w:noProof/>
          <w:position w:val="-27"/>
        </w:rPr>
        <w:drawing>
          <wp:inline distT="0" distB="0" distL="0" distR="0">
            <wp:extent cx="1452880" cy="494030"/>
            <wp:effectExtent l="0" t="0" r="0" b="0"/>
            <wp:docPr id="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1452880" cy="494030"/>
                    </a:xfrm>
                    <a:prstGeom prst="rect">
                      <a:avLst/>
                    </a:prstGeom>
                    <a:noFill/>
                    <a:ln>
                      <a:noFill/>
                    </a:ln>
                  </pic:spPr>
                </pic:pic>
              </a:graphicData>
            </a:graphic>
          </wp:inline>
        </w:drawing>
      </w:r>
      <w:r>
        <w:t>. (7.44)</w:t>
      </w:r>
    </w:p>
    <w:p w:rsidR="00212513" w:rsidRDefault="00212513">
      <w:pPr>
        <w:pStyle w:val="ConsPlusNormal"/>
        <w:jc w:val="center"/>
      </w:pPr>
    </w:p>
    <w:p w:rsidR="00212513" w:rsidRDefault="00212513">
      <w:pPr>
        <w:pStyle w:val="ConsPlusNormal"/>
        <w:ind w:firstLine="540"/>
        <w:jc w:val="both"/>
      </w:pPr>
      <w:r>
        <w:t xml:space="preserve">В </w:t>
      </w:r>
      <w:hyperlink w:anchor="P4646">
        <w:r>
          <w:rPr>
            <w:color w:val="0000FF"/>
          </w:rPr>
          <w:t>формулах (7.39)</w:t>
        </w:r>
      </w:hyperlink>
      <w:r>
        <w:t xml:space="preserve"> - (7.44):</w:t>
      </w:r>
    </w:p>
    <w:p w:rsidR="00212513" w:rsidRDefault="00212513">
      <w:pPr>
        <w:pStyle w:val="ConsPlusNormal"/>
        <w:spacing w:before="220"/>
        <w:ind w:firstLine="540"/>
        <w:jc w:val="both"/>
      </w:pPr>
      <w:r>
        <w:rPr>
          <w:noProof/>
          <w:position w:val="-8"/>
        </w:rPr>
        <w:drawing>
          <wp:inline distT="0" distB="0" distL="0" distR="0">
            <wp:extent cx="209550" cy="251460"/>
            <wp:effectExtent l="0" t="0" r="0" b="0"/>
            <wp:docPr id="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площадь бетона кольцевого сечения;</w:t>
      </w:r>
    </w:p>
    <w:p w:rsidR="00212513" w:rsidRDefault="00212513">
      <w:pPr>
        <w:pStyle w:val="ConsPlusNormal"/>
        <w:spacing w:before="220"/>
        <w:ind w:firstLine="540"/>
        <w:jc w:val="both"/>
      </w:pPr>
      <w:r>
        <w:rPr>
          <w:noProof/>
          <w:position w:val="-9"/>
        </w:rPr>
        <w:drawing>
          <wp:inline distT="0" distB="0" distL="0" distR="0">
            <wp:extent cx="335280" cy="262890"/>
            <wp:effectExtent l="0" t="0" r="0" b="0"/>
            <wp:docPr id="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335280" cy="262890"/>
                    </a:xfrm>
                    <a:prstGeom prst="rect">
                      <a:avLst/>
                    </a:prstGeom>
                    <a:noFill/>
                    <a:ln>
                      <a:noFill/>
                    </a:ln>
                  </pic:spPr>
                </pic:pic>
              </a:graphicData>
            </a:graphic>
          </wp:inline>
        </w:drawing>
      </w:r>
      <w:r>
        <w:t xml:space="preserve"> - площадь сечения всей продольной арматуры;</w:t>
      </w:r>
    </w:p>
    <w:p w:rsidR="00212513" w:rsidRDefault="00212513">
      <w:pPr>
        <w:pStyle w:val="ConsPlusNormal"/>
        <w:ind w:firstLine="540"/>
        <w:jc w:val="both"/>
      </w:pPr>
    </w:p>
    <w:p w:rsidR="00212513" w:rsidRDefault="00212513">
      <w:pPr>
        <w:pStyle w:val="ConsPlusNormal"/>
        <w:jc w:val="center"/>
      </w:pPr>
      <w:r>
        <w:rPr>
          <w:noProof/>
          <w:position w:val="-8"/>
        </w:rPr>
        <w:drawing>
          <wp:inline distT="0" distB="0" distL="0" distR="0">
            <wp:extent cx="1029970" cy="251460"/>
            <wp:effectExtent l="0" t="0" r="0" b="0"/>
            <wp:docPr id="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1029970" cy="251460"/>
                    </a:xfrm>
                    <a:prstGeom prst="rect">
                      <a:avLst/>
                    </a:prstGeom>
                    <a:noFill/>
                    <a:ln>
                      <a:noFill/>
                    </a:ln>
                  </pic:spPr>
                </pic:pic>
              </a:graphicData>
            </a:graphic>
          </wp:inline>
        </w:drawing>
      </w:r>
      <w:r>
        <w:t>, (7.45)</w:t>
      </w:r>
    </w:p>
    <w:p w:rsidR="00212513" w:rsidRDefault="00212513">
      <w:pPr>
        <w:pStyle w:val="ConsPlusNormal"/>
        <w:ind w:firstLine="540"/>
        <w:jc w:val="both"/>
      </w:pPr>
    </w:p>
    <w:p w:rsidR="00212513" w:rsidRDefault="00212513">
      <w:pPr>
        <w:pStyle w:val="ConsPlusNormal"/>
        <w:ind w:firstLine="540"/>
        <w:jc w:val="both"/>
      </w:pPr>
      <w:r>
        <w:rPr>
          <w:noProof/>
          <w:position w:val="-8"/>
        </w:rPr>
        <w:drawing>
          <wp:inline distT="0" distB="0" distL="0" distR="0">
            <wp:extent cx="146050" cy="251460"/>
            <wp:effectExtent l="0" t="0" r="0" b="0"/>
            <wp:docPr id="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146050" cy="251460"/>
                    </a:xfrm>
                    <a:prstGeom prst="rect">
                      <a:avLst/>
                    </a:prstGeom>
                    <a:noFill/>
                    <a:ln>
                      <a:noFill/>
                    </a:ln>
                  </pic:spPr>
                </pic:pic>
              </a:graphicData>
            </a:graphic>
          </wp:inline>
        </w:drawing>
      </w:r>
      <w:r>
        <w:t xml:space="preserve"> - радиус окружности, проходящей через центры тяжести стержней рассматриваемой арматуры.</w:t>
      </w:r>
    </w:p>
    <w:p w:rsidR="00212513" w:rsidRDefault="00212513">
      <w:pPr>
        <w:pStyle w:val="ConsPlusNormal"/>
        <w:spacing w:before="220"/>
        <w:ind w:firstLine="540"/>
        <w:jc w:val="both"/>
      </w:pPr>
      <w:r>
        <w:t xml:space="preserve">Эксцентриситет продольной силы </w:t>
      </w:r>
      <w:r>
        <w:rPr>
          <w:i/>
        </w:rPr>
        <w:t>e</w:t>
      </w:r>
      <w:r>
        <w:rPr>
          <w:i/>
          <w:vertAlign w:val="subscript"/>
        </w:rPr>
        <w:t>c</w:t>
      </w:r>
      <w:r>
        <w:t xml:space="preserve"> определяется с учетом случайного эксцентриситета по </w:t>
      </w:r>
      <w:hyperlink w:anchor="P3904">
        <w:r>
          <w:rPr>
            <w:color w:val="0000FF"/>
          </w:rPr>
          <w:t>7.52</w:t>
        </w:r>
      </w:hyperlink>
      <w:r>
        <w:t xml:space="preserve"> и прогиба элемента согласно </w:t>
      </w:r>
      <w:hyperlink w:anchor="P3944">
        <w:r>
          <w:rPr>
            <w:color w:val="0000FF"/>
          </w:rPr>
          <w:t>7.54</w:t>
        </w:r>
      </w:hyperlink>
      <w:r>
        <w:t xml:space="preserve"> и </w:t>
      </w:r>
      <w:hyperlink w:anchor="P4612">
        <w:r>
          <w:rPr>
            <w:color w:val="0000FF"/>
          </w:rPr>
          <w:t>7.70</w:t>
        </w:r>
      </w:hyperlink>
      <w:r>
        <w:t>.</w:t>
      </w:r>
    </w:p>
    <w:p w:rsidR="00212513" w:rsidRDefault="00212513">
      <w:pPr>
        <w:pStyle w:val="ConsPlusNormal"/>
        <w:jc w:val="both"/>
      </w:pPr>
      <w:r>
        <w:t xml:space="preserve">(в ред. </w:t>
      </w:r>
      <w:hyperlink r:id="rId987">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bookmarkStart w:id="180" w:name="P4681"/>
      <w:bookmarkEnd w:id="180"/>
      <w:r>
        <w:t xml:space="preserve">7.72 Расчет элементов сплошного сечения с косвенным армированием и с ненапрягаемой продольной арматурой следует производить согласно требованиям </w:t>
      </w:r>
      <w:hyperlink w:anchor="P4588">
        <w:r>
          <w:rPr>
            <w:color w:val="0000FF"/>
          </w:rPr>
          <w:t>7.69, б</w:t>
        </w:r>
      </w:hyperlink>
      <w:r>
        <w:t xml:space="preserve"> и </w:t>
      </w:r>
      <w:hyperlink w:anchor="P4612">
        <w:r>
          <w:rPr>
            <w:color w:val="0000FF"/>
          </w:rPr>
          <w:t>7.70</w:t>
        </w:r>
      </w:hyperlink>
      <w:r>
        <w:t xml:space="preserve">. В расчет следует вводить часть бетонного сечения, ограниченную крайними стержнями сеток поперечной арматуры или спиралью (считая по ее оси), и подставлять в расчетные формулы вместо </w:t>
      </w:r>
      <w:r>
        <w:rPr>
          <w:noProof/>
          <w:position w:val="-8"/>
        </w:rPr>
        <w:drawing>
          <wp:inline distT="0" distB="0" distL="0" distR="0">
            <wp:extent cx="209550" cy="251460"/>
            <wp:effectExtent l="0" t="0" r="0" b="0"/>
            <wp:docPr id="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приведенную призменную прочность </w:t>
      </w:r>
      <w:r>
        <w:rPr>
          <w:noProof/>
          <w:position w:val="-10"/>
        </w:rPr>
        <w:drawing>
          <wp:inline distT="0" distB="0" distL="0" distR="0">
            <wp:extent cx="377190" cy="273685"/>
            <wp:effectExtent l="0" t="0" r="0" b="0"/>
            <wp:docPr id="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377190" cy="273685"/>
                    </a:xfrm>
                    <a:prstGeom prst="rect">
                      <a:avLst/>
                    </a:prstGeom>
                    <a:noFill/>
                    <a:ln>
                      <a:noFill/>
                    </a:ln>
                  </pic:spPr>
                </pic:pic>
              </a:graphicData>
            </a:graphic>
          </wp:inline>
        </w:drawing>
      </w:r>
      <w:r>
        <w:t xml:space="preserve">. Гибкость </w:t>
      </w:r>
      <w:r>
        <w:rPr>
          <w:noProof/>
          <w:position w:val="-9"/>
        </w:rPr>
        <w:drawing>
          <wp:inline distT="0" distB="0" distL="0" distR="0">
            <wp:extent cx="398780" cy="262890"/>
            <wp:effectExtent l="0" t="0" r="0" b="0"/>
            <wp:docPr id="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398780" cy="262890"/>
                    </a:xfrm>
                    <a:prstGeom prst="rect">
                      <a:avLst/>
                    </a:prstGeom>
                    <a:noFill/>
                    <a:ln>
                      <a:noFill/>
                    </a:ln>
                  </pic:spPr>
                </pic:pic>
              </a:graphicData>
            </a:graphic>
          </wp:inline>
        </w:drawing>
      </w:r>
      <w:r>
        <w:t xml:space="preserve"> элементов с косвенным армированием не должна превышать при армировании: сетками - 55, спиралью - 35 (где </w:t>
      </w:r>
      <w:r>
        <w:rPr>
          <w:noProof/>
          <w:position w:val="-9"/>
        </w:rPr>
        <w:drawing>
          <wp:inline distT="0" distB="0" distL="0" distR="0">
            <wp:extent cx="177800" cy="262890"/>
            <wp:effectExtent l="0" t="0" r="0" b="0"/>
            <wp:docPr id="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 радиус инерции, вводимой в расчет части сечения).</w:t>
      </w:r>
    </w:p>
    <w:p w:rsidR="00212513" w:rsidRDefault="00212513">
      <w:pPr>
        <w:pStyle w:val="ConsPlusNormal"/>
        <w:spacing w:before="220"/>
        <w:ind w:firstLine="540"/>
        <w:jc w:val="both"/>
      </w:pPr>
      <w:r>
        <w:t xml:space="preserve">Значения </w:t>
      </w:r>
      <w:r>
        <w:rPr>
          <w:noProof/>
          <w:position w:val="-10"/>
        </w:rPr>
        <w:drawing>
          <wp:inline distT="0" distB="0" distL="0" distR="0">
            <wp:extent cx="377190" cy="273685"/>
            <wp:effectExtent l="0" t="0" r="0" b="0"/>
            <wp:docPr id="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377190" cy="273685"/>
                    </a:xfrm>
                    <a:prstGeom prst="rect">
                      <a:avLst/>
                    </a:prstGeom>
                    <a:noFill/>
                    <a:ln>
                      <a:noFill/>
                    </a:ln>
                  </pic:spPr>
                </pic:pic>
              </a:graphicData>
            </a:graphic>
          </wp:inline>
        </w:drawing>
      </w:r>
      <w:r>
        <w:t xml:space="preserve"> следует определять по формулам:</w:t>
      </w:r>
    </w:p>
    <w:p w:rsidR="00212513" w:rsidRDefault="00212513">
      <w:pPr>
        <w:pStyle w:val="ConsPlusNormal"/>
        <w:spacing w:before="220"/>
        <w:ind w:firstLine="540"/>
        <w:jc w:val="both"/>
      </w:pPr>
      <w:r>
        <w:t>а) при армировании сварными поперечными сетками</w:t>
      </w:r>
    </w:p>
    <w:p w:rsidR="00212513" w:rsidRDefault="00212513">
      <w:pPr>
        <w:pStyle w:val="ConsPlusNormal"/>
        <w:ind w:firstLine="540"/>
        <w:jc w:val="both"/>
      </w:pPr>
    </w:p>
    <w:p w:rsidR="00212513" w:rsidRDefault="00212513">
      <w:pPr>
        <w:pStyle w:val="ConsPlusNormal"/>
        <w:jc w:val="center"/>
      </w:pPr>
      <w:bookmarkStart w:id="181" w:name="P4685"/>
      <w:bookmarkEnd w:id="181"/>
      <w:r>
        <w:rPr>
          <w:noProof/>
          <w:position w:val="-9"/>
        </w:rPr>
        <w:drawing>
          <wp:inline distT="0" distB="0" distL="0" distR="0">
            <wp:extent cx="1383030" cy="262890"/>
            <wp:effectExtent l="0" t="0" r="0" b="0"/>
            <wp:docPr id="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1383030" cy="262890"/>
                    </a:xfrm>
                    <a:prstGeom prst="rect">
                      <a:avLst/>
                    </a:prstGeom>
                    <a:noFill/>
                    <a:ln>
                      <a:noFill/>
                    </a:ln>
                  </pic:spPr>
                </pic:pic>
              </a:graphicData>
            </a:graphic>
          </wp:inline>
        </w:drawing>
      </w:r>
      <w:r>
        <w:t>, (7.46)</w:t>
      </w:r>
    </w:p>
    <w:p w:rsidR="00212513" w:rsidRDefault="00212513">
      <w:pPr>
        <w:pStyle w:val="ConsPlusNormal"/>
        <w:jc w:val="center"/>
      </w:pPr>
    </w:p>
    <w:p w:rsidR="00212513" w:rsidRDefault="00212513">
      <w:pPr>
        <w:pStyle w:val="ConsPlusNormal"/>
        <w:ind w:firstLine="540"/>
        <w:jc w:val="both"/>
      </w:pPr>
      <w:r>
        <w:t xml:space="preserve">где </w:t>
      </w:r>
      <w:r>
        <w:rPr>
          <w:noProof/>
          <w:position w:val="-8"/>
        </w:rPr>
        <w:drawing>
          <wp:inline distT="0" distB="0" distL="0" distR="0">
            <wp:extent cx="198755" cy="250825"/>
            <wp:effectExtent l="0" t="0" r="0" b="0"/>
            <wp:docPr id="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расчетное сопротивление растяжению арматуры сеток;</w:t>
      </w:r>
    </w:p>
    <w:p w:rsidR="00212513" w:rsidRDefault="00212513">
      <w:pPr>
        <w:pStyle w:val="ConsPlusNormal"/>
        <w:ind w:firstLine="540"/>
        <w:jc w:val="both"/>
      </w:pPr>
    </w:p>
    <w:p w:rsidR="00212513" w:rsidRDefault="00212513">
      <w:pPr>
        <w:pStyle w:val="ConsPlusNormal"/>
        <w:jc w:val="center"/>
      </w:pPr>
      <w:bookmarkStart w:id="182" w:name="P4689"/>
      <w:bookmarkEnd w:id="182"/>
      <w:r>
        <w:rPr>
          <w:noProof/>
          <w:position w:val="-29"/>
        </w:rPr>
        <w:drawing>
          <wp:inline distT="0" distB="0" distL="0" distR="0">
            <wp:extent cx="1592580" cy="511810"/>
            <wp:effectExtent l="0" t="0" r="0" b="0"/>
            <wp:docPr id="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1592580" cy="511810"/>
                    </a:xfrm>
                    <a:prstGeom prst="rect">
                      <a:avLst/>
                    </a:prstGeom>
                    <a:noFill/>
                    <a:ln>
                      <a:noFill/>
                    </a:ln>
                  </pic:spPr>
                </pic:pic>
              </a:graphicData>
            </a:graphic>
          </wp:inline>
        </w:drawing>
      </w:r>
      <w:r>
        <w:t>. (7.47)</w:t>
      </w:r>
    </w:p>
    <w:p w:rsidR="00212513" w:rsidRDefault="00212513">
      <w:pPr>
        <w:pStyle w:val="ConsPlusNormal"/>
        <w:ind w:firstLine="540"/>
        <w:jc w:val="both"/>
      </w:pPr>
    </w:p>
    <w:p w:rsidR="00212513" w:rsidRDefault="00212513">
      <w:pPr>
        <w:pStyle w:val="ConsPlusNormal"/>
        <w:ind w:firstLine="540"/>
        <w:jc w:val="both"/>
      </w:pPr>
      <w:r>
        <w:t xml:space="preserve">В </w:t>
      </w:r>
      <w:hyperlink w:anchor="P4685">
        <w:r>
          <w:rPr>
            <w:color w:val="0000FF"/>
          </w:rPr>
          <w:t>формулах (7.46)</w:t>
        </w:r>
      </w:hyperlink>
      <w:r>
        <w:t xml:space="preserve"> и (7.47):</w:t>
      </w:r>
    </w:p>
    <w:p w:rsidR="00212513" w:rsidRDefault="00212513">
      <w:pPr>
        <w:pStyle w:val="ConsPlusNormal"/>
        <w:spacing w:before="220"/>
        <w:ind w:firstLine="540"/>
        <w:jc w:val="both"/>
      </w:pPr>
      <w:r>
        <w:rPr>
          <w:noProof/>
          <w:position w:val="-8"/>
        </w:rPr>
        <w:drawing>
          <wp:inline distT="0" distB="0" distL="0" distR="0">
            <wp:extent cx="177800" cy="251460"/>
            <wp:effectExtent l="0" t="0" r="0" b="0"/>
            <wp:docPr id="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w:t>
      </w:r>
      <w:r>
        <w:rPr>
          <w:noProof/>
          <w:position w:val="-8"/>
        </w:rPr>
        <w:drawing>
          <wp:inline distT="0" distB="0" distL="0" distR="0">
            <wp:extent cx="241935" cy="251460"/>
            <wp:effectExtent l="0" t="0" r="0" b="0"/>
            <wp:docPr id="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w:t>
      </w:r>
      <w:r>
        <w:rPr>
          <w:noProof/>
          <w:position w:val="-8"/>
        </w:rPr>
        <w:drawing>
          <wp:inline distT="0" distB="0" distL="0" distR="0">
            <wp:extent cx="146685" cy="250825"/>
            <wp:effectExtent l="0" t="0" r="0" b="0"/>
            <wp:docPr id="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146685" cy="250825"/>
                    </a:xfrm>
                    <a:prstGeom prst="rect">
                      <a:avLst/>
                    </a:prstGeom>
                    <a:noFill/>
                    <a:ln>
                      <a:noFill/>
                    </a:ln>
                  </pic:spPr>
                </pic:pic>
              </a:graphicData>
            </a:graphic>
          </wp:inline>
        </w:drawing>
      </w:r>
      <w:r>
        <w:t xml:space="preserve"> - соответственно число стержней, площадь поперечного сечения и длина стержней сетки в одном направлении (считая в осях крайних стержней);</w:t>
      </w:r>
    </w:p>
    <w:p w:rsidR="00212513" w:rsidRDefault="00212513">
      <w:pPr>
        <w:pStyle w:val="ConsPlusNormal"/>
        <w:spacing w:before="220"/>
        <w:ind w:firstLine="540"/>
        <w:jc w:val="both"/>
      </w:pPr>
      <w:r>
        <w:rPr>
          <w:noProof/>
          <w:position w:val="-9"/>
        </w:rPr>
        <w:drawing>
          <wp:inline distT="0" distB="0" distL="0" distR="0">
            <wp:extent cx="198755" cy="262890"/>
            <wp:effectExtent l="0" t="0" r="0" b="0"/>
            <wp:docPr id="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w:t>
      </w:r>
      <w:r>
        <w:rPr>
          <w:noProof/>
          <w:position w:val="-9"/>
        </w:rPr>
        <w:drawing>
          <wp:inline distT="0" distB="0" distL="0" distR="0">
            <wp:extent cx="241935" cy="262890"/>
            <wp:effectExtent l="0" t="0" r="0" b="0"/>
            <wp:docPr id="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241935" cy="262890"/>
                    </a:xfrm>
                    <a:prstGeom prst="rect">
                      <a:avLst/>
                    </a:prstGeom>
                    <a:noFill/>
                    <a:ln>
                      <a:noFill/>
                    </a:ln>
                  </pic:spPr>
                </pic:pic>
              </a:graphicData>
            </a:graphic>
          </wp:inline>
        </w:drawing>
      </w:r>
      <w:r>
        <w:t xml:space="preserve">, </w:t>
      </w:r>
      <w:r>
        <w:rPr>
          <w:noProof/>
          <w:position w:val="-9"/>
        </w:rPr>
        <w:drawing>
          <wp:inline distT="0" distB="0" distL="0" distR="0">
            <wp:extent cx="146050" cy="262890"/>
            <wp:effectExtent l="0" t="0" r="0" b="0"/>
            <wp:docPr id="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146050" cy="262890"/>
                    </a:xfrm>
                    <a:prstGeom prst="rect">
                      <a:avLst/>
                    </a:prstGeom>
                    <a:noFill/>
                    <a:ln>
                      <a:noFill/>
                    </a:ln>
                  </pic:spPr>
                </pic:pic>
              </a:graphicData>
            </a:graphic>
          </wp:inline>
        </w:drawing>
      </w:r>
      <w:r>
        <w:t xml:space="preserve"> - то же, в другом направлении;</w:t>
      </w:r>
    </w:p>
    <w:p w:rsidR="00212513" w:rsidRDefault="00212513">
      <w:pPr>
        <w:pStyle w:val="ConsPlusNormal"/>
        <w:spacing w:before="220"/>
        <w:ind w:firstLine="540"/>
        <w:jc w:val="both"/>
      </w:pPr>
      <w:r>
        <w:rPr>
          <w:noProof/>
          <w:position w:val="-9"/>
        </w:rPr>
        <w:lastRenderedPageBreak/>
        <w:drawing>
          <wp:inline distT="0" distB="0" distL="0" distR="0">
            <wp:extent cx="251460" cy="262890"/>
            <wp:effectExtent l="0" t="0" r="0" b="0"/>
            <wp:docPr id="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1"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 площадь сечения бетона, заключенного внутри контура сеток (считая по осям крайних стержней);</w:t>
      </w:r>
    </w:p>
    <w:p w:rsidR="00212513" w:rsidRDefault="00212513">
      <w:pPr>
        <w:pStyle w:val="ConsPlusNormal"/>
        <w:spacing w:before="220"/>
        <w:ind w:firstLine="540"/>
        <w:jc w:val="both"/>
      </w:pPr>
      <w:r>
        <w:rPr>
          <w:i/>
        </w:rPr>
        <w:t>s</w:t>
      </w:r>
      <w:r>
        <w:t xml:space="preserve"> - расстояние между сетками (считая по осям стержней); если устанавливается одна сетка, то величина </w:t>
      </w:r>
      <w:r>
        <w:rPr>
          <w:i/>
        </w:rPr>
        <w:t>s</w:t>
      </w:r>
      <w:r>
        <w:t xml:space="preserve"> принимается равной 7 см;</w:t>
      </w:r>
    </w:p>
    <w:p w:rsidR="00212513" w:rsidRDefault="00212513">
      <w:pPr>
        <w:pStyle w:val="ConsPlusNormal"/>
        <w:spacing w:before="220"/>
        <w:ind w:firstLine="540"/>
        <w:jc w:val="both"/>
      </w:pPr>
      <w:r>
        <w:rPr>
          <w:noProof/>
          <w:position w:val="-3"/>
        </w:rPr>
        <w:drawing>
          <wp:inline distT="0" distB="0" distL="0" distR="0">
            <wp:extent cx="146050" cy="177800"/>
            <wp:effectExtent l="0" t="0" r="0" b="0"/>
            <wp:docPr id="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146050" cy="177800"/>
                    </a:xfrm>
                    <a:prstGeom prst="rect">
                      <a:avLst/>
                    </a:prstGeom>
                    <a:noFill/>
                    <a:ln>
                      <a:noFill/>
                    </a:ln>
                  </pic:spPr>
                </pic:pic>
              </a:graphicData>
            </a:graphic>
          </wp:inline>
        </w:drawing>
      </w:r>
      <w:r>
        <w:t xml:space="preserve"> - коэффициент эффективности косвенного армирования, определяемый по формуле</w:t>
      </w:r>
    </w:p>
    <w:p w:rsidR="00212513" w:rsidRDefault="00212513">
      <w:pPr>
        <w:pStyle w:val="ConsPlusNormal"/>
        <w:ind w:firstLine="540"/>
        <w:jc w:val="both"/>
      </w:pPr>
    </w:p>
    <w:p w:rsidR="00212513" w:rsidRDefault="00212513">
      <w:pPr>
        <w:pStyle w:val="ConsPlusNormal"/>
        <w:jc w:val="center"/>
      </w:pPr>
      <w:bookmarkStart w:id="183" w:name="P4698"/>
      <w:bookmarkEnd w:id="183"/>
      <w:r>
        <w:rPr>
          <w:noProof/>
          <w:position w:val="-25"/>
        </w:rPr>
        <w:drawing>
          <wp:inline distT="0" distB="0" distL="0" distR="0">
            <wp:extent cx="922020" cy="461010"/>
            <wp:effectExtent l="0" t="0" r="0" b="0"/>
            <wp:docPr id="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922020" cy="461010"/>
                    </a:xfrm>
                    <a:prstGeom prst="rect">
                      <a:avLst/>
                    </a:prstGeom>
                    <a:noFill/>
                    <a:ln>
                      <a:noFill/>
                    </a:ln>
                  </pic:spPr>
                </pic:pic>
              </a:graphicData>
            </a:graphic>
          </wp:inline>
        </w:drawing>
      </w:r>
      <w:r>
        <w:t xml:space="preserve"> (7.48)</w:t>
      </w:r>
    </w:p>
    <w:p w:rsidR="00212513" w:rsidRDefault="00212513">
      <w:pPr>
        <w:pStyle w:val="ConsPlusNormal"/>
        <w:ind w:firstLine="540"/>
        <w:jc w:val="both"/>
      </w:pPr>
    </w:p>
    <w:p w:rsidR="00212513" w:rsidRDefault="00212513">
      <w:pPr>
        <w:pStyle w:val="ConsPlusNormal"/>
        <w:ind w:firstLine="540"/>
        <w:jc w:val="both"/>
      </w:pPr>
      <w:r>
        <w:t xml:space="preserve">при </w:t>
      </w:r>
      <w:r>
        <w:rPr>
          <w:noProof/>
          <w:position w:val="-26"/>
        </w:rPr>
        <w:drawing>
          <wp:inline distT="0" distB="0" distL="0" distR="0">
            <wp:extent cx="838200" cy="470535"/>
            <wp:effectExtent l="0" t="0" r="0" b="0"/>
            <wp:docPr id="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838200" cy="470535"/>
                    </a:xfrm>
                    <a:prstGeom prst="rect">
                      <a:avLst/>
                    </a:prstGeom>
                    <a:noFill/>
                    <a:ln>
                      <a:noFill/>
                    </a:ln>
                  </pic:spPr>
                </pic:pic>
              </a:graphicData>
            </a:graphic>
          </wp:inline>
        </w:drawing>
      </w:r>
      <w:r>
        <w:t>. (7.49)</w:t>
      </w:r>
    </w:p>
    <w:p w:rsidR="00212513" w:rsidRDefault="00212513">
      <w:pPr>
        <w:pStyle w:val="ConsPlusNormal"/>
        <w:spacing w:before="220"/>
        <w:ind w:firstLine="540"/>
        <w:jc w:val="both"/>
      </w:pPr>
      <w:r>
        <w:t xml:space="preserve">В формуле (7.49) </w:t>
      </w:r>
      <w:r>
        <w:rPr>
          <w:noProof/>
          <w:position w:val="-8"/>
        </w:rPr>
        <w:drawing>
          <wp:inline distT="0" distB="0" distL="0" distR="0">
            <wp:extent cx="198755" cy="250825"/>
            <wp:effectExtent l="0" t="0" r="0" b="0"/>
            <wp:docPr id="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и </w:t>
      </w:r>
      <w:r>
        <w:rPr>
          <w:noProof/>
          <w:position w:val="-8"/>
        </w:rPr>
        <w:drawing>
          <wp:inline distT="0" distB="0" distL="0" distR="0">
            <wp:extent cx="209550" cy="251460"/>
            <wp:effectExtent l="0" t="0" r="0" b="0"/>
            <wp:docPr id="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принимаются в МПа, </w:t>
      </w:r>
      <w:r>
        <w:rPr>
          <w:noProof/>
          <w:position w:val="-9"/>
        </w:rPr>
        <w:drawing>
          <wp:inline distT="0" distB="0" distL="0" distR="0">
            <wp:extent cx="608330" cy="262890"/>
            <wp:effectExtent l="0" t="0" r="0" b="0"/>
            <wp:docPr id="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7" cstate="print">
                      <a:extLst>
                        <a:ext uri="{28A0092B-C50C-407E-A947-70E740481C1C}">
                          <a14:useLocalDpi xmlns:a14="http://schemas.microsoft.com/office/drawing/2010/main" val="0"/>
                        </a:ext>
                      </a:extLst>
                    </a:blip>
                    <a:srcRect/>
                    <a:stretch>
                      <a:fillRect/>
                    </a:stretch>
                  </pic:blipFill>
                  <pic:spPr bwMode="auto">
                    <a:xfrm>
                      <a:off x="0" y="0"/>
                      <a:ext cx="608330" cy="262890"/>
                    </a:xfrm>
                    <a:prstGeom prst="rect">
                      <a:avLst/>
                    </a:prstGeom>
                    <a:noFill/>
                    <a:ln>
                      <a:noFill/>
                    </a:ln>
                  </pic:spPr>
                </pic:pic>
              </a:graphicData>
            </a:graphic>
          </wp:inline>
        </w:drawing>
      </w:r>
      <w:r>
        <w:t>.</w:t>
      </w:r>
    </w:p>
    <w:p w:rsidR="00212513" w:rsidRDefault="00212513">
      <w:pPr>
        <w:pStyle w:val="ConsPlusNormal"/>
        <w:spacing w:before="220"/>
        <w:ind w:firstLine="540"/>
        <w:jc w:val="both"/>
      </w:pPr>
      <w:r>
        <w:t>Площади поперечного сечения стержней сетки на единицу длины в одном и другом направлениях должны различаться не более чем в 1,5 раза;</w:t>
      </w:r>
    </w:p>
    <w:p w:rsidR="00212513" w:rsidRDefault="00212513">
      <w:pPr>
        <w:pStyle w:val="ConsPlusNormal"/>
        <w:spacing w:before="220"/>
        <w:ind w:firstLine="540"/>
        <w:jc w:val="both"/>
      </w:pPr>
      <w:r>
        <w:t>б) при армировании спиральной или кольцевой арматурой</w:t>
      </w:r>
    </w:p>
    <w:p w:rsidR="00212513" w:rsidRDefault="00212513">
      <w:pPr>
        <w:pStyle w:val="ConsPlusNormal"/>
        <w:ind w:firstLine="540"/>
        <w:jc w:val="both"/>
      </w:pPr>
    </w:p>
    <w:p w:rsidR="00212513" w:rsidRDefault="00212513">
      <w:pPr>
        <w:pStyle w:val="ConsPlusNormal"/>
        <w:jc w:val="center"/>
      </w:pPr>
      <w:r>
        <w:rPr>
          <w:noProof/>
          <w:position w:val="-32"/>
        </w:rPr>
        <w:drawing>
          <wp:inline distT="0" distB="0" distL="0" distR="0">
            <wp:extent cx="1997710" cy="553085"/>
            <wp:effectExtent l="0" t="0" r="0" b="0"/>
            <wp:docPr id="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8" cstate="print">
                      <a:extLst>
                        <a:ext uri="{28A0092B-C50C-407E-A947-70E740481C1C}">
                          <a14:useLocalDpi xmlns:a14="http://schemas.microsoft.com/office/drawing/2010/main" val="0"/>
                        </a:ext>
                      </a:extLst>
                    </a:blip>
                    <a:srcRect/>
                    <a:stretch>
                      <a:fillRect/>
                    </a:stretch>
                  </pic:blipFill>
                  <pic:spPr bwMode="auto">
                    <a:xfrm>
                      <a:off x="0" y="0"/>
                      <a:ext cx="1997710" cy="553085"/>
                    </a:xfrm>
                    <a:prstGeom prst="rect">
                      <a:avLst/>
                    </a:prstGeom>
                    <a:noFill/>
                    <a:ln>
                      <a:noFill/>
                    </a:ln>
                  </pic:spPr>
                </pic:pic>
              </a:graphicData>
            </a:graphic>
          </wp:inline>
        </w:drawing>
      </w:r>
      <w:r>
        <w:t>, (7.50)</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8"/>
        </w:rPr>
        <w:drawing>
          <wp:inline distT="0" distB="0" distL="0" distR="0">
            <wp:extent cx="198755" cy="250825"/>
            <wp:effectExtent l="0" t="0" r="0" b="0"/>
            <wp:docPr id="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расчетное сопротивление арматуры спирали;</w:t>
      </w:r>
    </w:p>
    <w:p w:rsidR="00212513" w:rsidRDefault="00212513">
      <w:pPr>
        <w:pStyle w:val="ConsPlusNormal"/>
        <w:spacing w:before="220"/>
        <w:ind w:firstLine="540"/>
        <w:jc w:val="both"/>
      </w:pPr>
      <w:r>
        <w:rPr>
          <w:noProof/>
          <w:position w:val="-8"/>
        </w:rPr>
        <w:drawing>
          <wp:inline distT="0" distB="0" distL="0" distR="0">
            <wp:extent cx="167640" cy="251460"/>
            <wp:effectExtent l="0" t="0" r="0" b="0"/>
            <wp:docPr id="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эксцентриситет приложения продольной силы (без учета влияния прогиба);</w:t>
      </w:r>
    </w:p>
    <w:p w:rsidR="00212513" w:rsidRDefault="00212513">
      <w:pPr>
        <w:pStyle w:val="ConsPlusNormal"/>
        <w:spacing w:before="220"/>
        <w:ind w:firstLine="540"/>
        <w:jc w:val="both"/>
      </w:pPr>
      <w:r>
        <w:rPr>
          <w:noProof/>
          <w:position w:val="-3"/>
        </w:rPr>
        <w:drawing>
          <wp:inline distT="0" distB="0" distL="0" distR="0">
            <wp:extent cx="167640" cy="177800"/>
            <wp:effectExtent l="0" t="0" r="0" b="0"/>
            <wp:docPr id="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1"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коэффициент армирования, равный</w:t>
      </w:r>
    </w:p>
    <w:p w:rsidR="00212513" w:rsidRDefault="00212513">
      <w:pPr>
        <w:pStyle w:val="ConsPlusNormal"/>
        <w:ind w:firstLine="540"/>
        <w:jc w:val="both"/>
      </w:pPr>
    </w:p>
    <w:p w:rsidR="00212513" w:rsidRDefault="00212513">
      <w:pPr>
        <w:pStyle w:val="ConsPlusNormal"/>
        <w:jc w:val="center"/>
      </w:pPr>
      <w:bookmarkStart w:id="184" w:name="P4711"/>
      <w:bookmarkEnd w:id="184"/>
      <w:r>
        <w:rPr>
          <w:noProof/>
          <w:position w:val="-28"/>
        </w:rPr>
        <w:drawing>
          <wp:inline distT="0" distB="0" distL="0" distR="0">
            <wp:extent cx="754380" cy="502920"/>
            <wp:effectExtent l="0" t="0" r="0" b="0"/>
            <wp:docPr id="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754380" cy="502920"/>
                    </a:xfrm>
                    <a:prstGeom prst="rect">
                      <a:avLst/>
                    </a:prstGeom>
                    <a:noFill/>
                    <a:ln>
                      <a:noFill/>
                    </a:ln>
                  </pic:spPr>
                </pic:pic>
              </a:graphicData>
            </a:graphic>
          </wp:inline>
        </w:drawing>
      </w:r>
      <w:r>
        <w:t>, (7.51)</w:t>
      </w:r>
    </w:p>
    <w:p w:rsidR="00212513" w:rsidRDefault="00212513">
      <w:pPr>
        <w:pStyle w:val="ConsPlusNormal"/>
        <w:ind w:firstLine="540"/>
        <w:jc w:val="both"/>
      </w:pPr>
    </w:p>
    <w:p w:rsidR="00212513" w:rsidRDefault="00212513">
      <w:pPr>
        <w:pStyle w:val="ConsPlusNormal"/>
        <w:ind w:firstLine="540"/>
        <w:jc w:val="both"/>
      </w:pPr>
      <w:r>
        <w:rPr>
          <w:noProof/>
          <w:position w:val="-9"/>
        </w:rPr>
        <w:drawing>
          <wp:inline distT="0" distB="0" distL="0" distR="0">
            <wp:extent cx="344805" cy="262890"/>
            <wp:effectExtent l="0" t="0" r="0" b="0"/>
            <wp:docPr id="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344805" cy="262890"/>
                    </a:xfrm>
                    <a:prstGeom prst="rect">
                      <a:avLst/>
                    </a:prstGeom>
                    <a:noFill/>
                    <a:ln>
                      <a:noFill/>
                    </a:ln>
                  </pic:spPr>
                </pic:pic>
              </a:graphicData>
            </a:graphic>
          </wp:inline>
        </w:drawing>
      </w:r>
      <w:r>
        <w:t xml:space="preserve"> - площадь поперечного сечения спиральной арматуры;</w:t>
      </w:r>
    </w:p>
    <w:p w:rsidR="00212513" w:rsidRDefault="00212513">
      <w:pPr>
        <w:pStyle w:val="ConsPlusNormal"/>
        <w:spacing w:before="220"/>
        <w:ind w:firstLine="540"/>
        <w:jc w:val="both"/>
      </w:pPr>
      <w:r>
        <w:rPr>
          <w:noProof/>
          <w:position w:val="-9"/>
        </w:rPr>
        <w:drawing>
          <wp:inline distT="0" distB="0" distL="0" distR="0">
            <wp:extent cx="241935" cy="262890"/>
            <wp:effectExtent l="0" t="0" r="0" b="0"/>
            <wp:docPr id="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241935" cy="262890"/>
                    </a:xfrm>
                    <a:prstGeom prst="rect">
                      <a:avLst/>
                    </a:prstGeom>
                    <a:noFill/>
                    <a:ln>
                      <a:noFill/>
                    </a:ln>
                  </pic:spPr>
                </pic:pic>
              </a:graphicData>
            </a:graphic>
          </wp:inline>
        </w:drawing>
      </w:r>
      <w:r>
        <w:t xml:space="preserve"> - диаметр части сечения внутри спирали;</w:t>
      </w:r>
    </w:p>
    <w:p w:rsidR="00212513" w:rsidRDefault="00212513">
      <w:pPr>
        <w:pStyle w:val="ConsPlusNormal"/>
        <w:spacing w:before="220"/>
        <w:ind w:firstLine="540"/>
        <w:jc w:val="both"/>
      </w:pPr>
      <w:r>
        <w:rPr>
          <w:i/>
        </w:rPr>
        <w:t>s</w:t>
      </w:r>
      <w:r>
        <w:t xml:space="preserve"> - шаг спирали.</w:t>
      </w:r>
    </w:p>
    <w:p w:rsidR="00212513" w:rsidRDefault="00212513">
      <w:pPr>
        <w:pStyle w:val="ConsPlusNormal"/>
        <w:spacing w:before="220"/>
        <w:ind w:firstLine="540"/>
        <w:jc w:val="both"/>
      </w:pPr>
      <w:r>
        <w:t xml:space="preserve">При учете влияния прогиба на несущую способность элементов с косвенным армированием следует пользоваться указаниями </w:t>
      </w:r>
      <w:hyperlink w:anchor="P3944">
        <w:r>
          <w:rPr>
            <w:color w:val="0000FF"/>
          </w:rPr>
          <w:t>7.54</w:t>
        </w:r>
      </w:hyperlink>
      <w:r>
        <w:t xml:space="preserve">, определяя момент инерции для части их сечения, ограниченной крайними стержнями сеток или заключенной внутри спирали. Значение </w:t>
      </w:r>
      <w:r>
        <w:rPr>
          <w:noProof/>
          <w:position w:val="-8"/>
        </w:rPr>
        <w:drawing>
          <wp:inline distT="0" distB="0" distL="0" distR="0">
            <wp:extent cx="262890" cy="251460"/>
            <wp:effectExtent l="0" t="0" r="0" b="0"/>
            <wp:docPr id="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полученное по </w:t>
      </w:r>
      <w:hyperlink w:anchor="P3951">
        <w:r>
          <w:rPr>
            <w:color w:val="0000FF"/>
          </w:rPr>
          <w:t>формуле (7.9)</w:t>
        </w:r>
      </w:hyperlink>
      <w:r>
        <w:t xml:space="preserve">, должно быть умножено на коэффициент </w:t>
      </w:r>
      <w:r>
        <w:rPr>
          <w:noProof/>
          <w:position w:val="-9"/>
        </w:rPr>
        <w:drawing>
          <wp:inline distT="0" distB="0" distL="0" distR="0">
            <wp:extent cx="1732280" cy="262890"/>
            <wp:effectExtent l="0" t="0" r="0" b="0"/>
            <wp:docPr id="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6" cstate="print">
                      <a:extLst>
                        <a:ext uri="{28A0092B-C50C-407E-A947-70E740481C1C}">
                          <a14:useLocalDpi xmlns:a14="http://schemas.microsoft.com/office/drawing/2010/main" val="0"/>
                        </a:ext>
                      </a:extLst>
                    </a:blip>
                    <a:srcRect/>
                    <a:stretch>
                      <a:fillRect/>
                    </a:stretch>
                  </pic:blipFill>
                  <pic:spPr bwMode="auto">
                    <a:xfrm>
                      <a:off x="0" y="0"/>
                      <a:ext cx="1732280" cy="262890"/>
                    </a:xfrm>
                    <a:prstGeom prst="rect">
                      <a:avLst/>
                    </a:prstGeom>
                    <a:noFill/>
                    <a:ln>
                      <a:noFill/>
                    </a:ln>
                  </pic:spPr>
                </pic:pic>
              </a:graphicData>
            </a:graphic>
          </wp:inline>
        </w:drawing>
      </w:r>
      <w:r>
        <w:t xml:space="preserve"> (где </w:t>
      </w:r>
      <w:r>
        <w:rPr>
          <w:noProof/>
          <w:position w:val="-9"/>
        </w:rPr>
        <w:drawing>
          <wp:inline distT="0" distB="0" distL="0" distR="0">
            <wp:extent cx="220980" cy="262890"/>
            <wp:effectExtent l="0" t="0" r="0" b="0"/>
            <wp:docPr id="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равно высоте или диаметру учитываемой части бетонного сечения), а при определении </w:t>
      </w:r>
      <w:r>
        <w:rPr>
          <w:noProof/>
          <w:position w:val="-4"/>
        </w:rPr>
        <w:drawing>
          <wp:inline distT="0" distB="0" distL="0" distR="0">
            <wp:extent cx="146050" cy="198755"/>
            <wp:effectExtent l="0" t="0" r="0" b="0"/>
            <wp:docPr id="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146050" cy="198755"/>
                    </a:xfrm>
                    <a:prstGeom prst="rect">
                      <a:avLst/>
                    </a:prstGeom>
                    <a:noFill/>
                    <a:ln>
                      <a:noFill/>
                    </a:ln>
                  </pic:spPr>
                </pic:pic>
              </a:graphicData>
            </a:graphic>
          </wp:inline>
        </w:drawing>
      </w:r>
      <w:r>
        <w:t xml:space="preserve"> второй член правой части </w:t>
      </w:r>
      <w:hyperlink w:anchor="P3969">
        <w:r>
          <w:rPr>
            <w:color w:val="0000FF"/>
          </w:rPr>
          <w:t>формулы (7.12)</w:t>
        </w:r>
      </w:hyperlink>
      <w:r>
        <w:t xml:space="preserve"> заменяется на </w:t>
      </w:r>
      <w:r>
        <w:rPr>
          <w:noProof/>
          <w:position w:val="-9"/>
        </w:rPr>
        <w:drawing>
          <wp:inline distT="0" distB="0" distL="0" distR="0">
            <wp:extent cx="981710" cy="262890"/>
            <wp:effectExtent l="0" t="0" r="0" b="0"/>
            <wp:docPr id="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981710" cy="262890"/>
                    </a:xfrm>
                    <a:prstGeom prst="rect">
                      <a:avLst/>
                    </a:prstGeom>
                    <a:noFill/>
                    <a:ln>
                      <a:noFill/>
                    </a:ln>
                  </pic:spPr>
                </pic:pic>
              </a:graphicData>
            </a:graphic>
          </wp:inline>
        </w:drawing>
      </w:r>
      <w:r>
        <w:t xml:space="preserve">, где </w:t>
      </w:r>
      <w:r>
        <w:rPr>
          <w:noProof/>
          <w:position w:val="-9"/>
        </w:rPr>
        <w:drawing>
          <wp:inline distT="0" distB="0" distL="0" distR="0">
            <wp:extent cx="1494155" cy="262890"/>
            <wp:effectExtent l="0" t="0" r="0" b="0"/>
            <wp:docPr id="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0" cstate="print">
                      <a:extLst>
                        <a:ext uri="{28A0092B-C50C-407E-A947-70E740481C1C}">
                          <a14:useLocalDpi xmlns:a14="http://schemas.microsoft.com/office/drawing/2010/main" val="0"/>
                        </a:ext>
                      </a:extLst>
                    </a:blip>
                    <a:srcRect/>
                    <a:stretch>
                      <a:fillRect/>
                    </a:stretch>
                  </pic:blipFill>
                  <pic:spPr bwMode="auto">
                    <a:xfrm>
                      <a:off x="0" y="0"/>
                      <a:ext cx="1494155" cy="262890"/>
                    </a:xfrm>
                    <a:prstGeom prst="rect">
                      <a:avLst/>
                    </a:prstGeom>
                    <a:noFill/>
                    <a:ln>
                      <a:noFill/>
                    </a:ln>
                  </pic:spPr>
                </pic:pic>
              </a:graphicData>
            </a:graphic>
          </wp:inline>
        </w:drawing>
      </w:r>
      <w:r>
        <w:t xml:space="preserve">. Косвенное армирование учитывается в расчете при </w:t>
      </w:r>
      <w:r>
        <w:lastRenderedPageBreak/>
        <w:t xml:space="preserve">условии, что несущая способность элемента, определенная с учетом </w:t>
      </w:r>
      <w:r>
        <w:rPr>
          <w:noProof/>
          <w:position w:val="-9"/>
        </w:rPr>
        <w:drawing>
          <wp:inline distT="0" distB="0" distL="0" distR="0">
            <wp:extent cx="251460" cy="262890"/>
            <wp:effectExtent l="0" t="0" r="0" b="0"/>
            <wp:docPr id="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1"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и </w:t>
      </w:r>
      <w:r>
        <w:rPr>
          <w:noProof/>
          <w:position w:val="-10"/>
        </w:rPr>
        <w:drawing>
          <wp:inline distT="0" distB="0" distL="0" distR="0">
            <wp:extent cx="377190" cy="273685"/>
            <wp:effectExtent l="0" t="0" r="0" b="0"/>
            <wp:docPr id="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377190" cy="273685"/>
                    </a:xfrm>
                    <a:prstGeom prst="rect">
                      <a:avLst/>
                    </a:prstGeom>
                    <a:noFill/>
                    <a:ln>
                      <a:noFill/>
                    </a:ln>
                  </pic:spPr>
                </pic:pic>
              </a:graphicData>
            </a:graphic>
          </wp:inline>
        </w:drawing>
      </w:r>
      <w:r>
        <w:t xml:space="preserve">, превышает его несущую способность, определенную по полному сечению </w:t>
      </w:r>
      <w:r>
        <w:rPr>
          <w:noProof/>
          <w:position w:val="-8"/>
        </w:rPr>
        <w:drawing>
          <wp:inline distT="0" distB="0" distL="0" distR="0">
            <wp:extent cx="209550" cy="251460"/>
            <wp:effectExtent l="0" t="0" r="0" b="0"/>
            <wp:docPr id="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с учетом </w:t>
      </w:r>
      <w:r>
        <w:rPr>
          <w:noProof/>
          <w:position w:val="-8"/>
        </w:rPr>
        <w:drawing>
          <wp:inline distT="0" distB="0" distL="0" distR="0">
            <wp:extent cx="209550" cy="251460"/>
            <wp:effectExtent l="0" t="0" r="0" b="0"/>
            <wp:docPr id="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(но без учета косвенной арматуры). Кроме этого, косвенное армирование должно соответствовать конструктивным требованиям </w:t>
      </w:r>
      <w:hyperlink w:anchor="P5832">
        <w:r>
          <w:rPr>
            <w:color w:val="0000FF"/>
          </w:rPr>
          <w:t>7.153</w:t>
        </w:r>
      </w:hyperlink>
      <w:r>
        <w:t>.</w:t>
      </w:r>
    </w:p>
    <w:p w:rsidR="00212513" w:rsidRDefault="00212513">
      <w:pPr>
        <w:pStyle w:val="ConsPlusNormal"/>
        <w:spacing w:before="220"/>
        <w:ind w:firstLine="540"/>
        <w:jc w:val="both"/>
      </w:pPr>
      <w:bookmarkStart w:id="185" w:name="P4717"/>
      <w:bookmarkEnd w:id="185"/>
      <w:r>
        <w:t xml:space="preserve">7.73 При расчете элементов с косвенным армированием наряду с расчетом по прочности следует производить расчет, обеспечивающий трещиностойкость защитного слоя бетона. Этот расчет следует производить согласно указаниям </w:t>
      </w:r>
      <w:hyperlink w:anchor="P4588">
        <w:r>
          <w:rPr>
            <w:color w:val="0000FF"/>
          </w:rPr>
          <w:t>7.69, б</w:t>
        </w:r>
      </w:hyperlink>
      <w:r>
        <w:t xml:space="preserve"> и </w:t>
      </w:r>
      <w:hyperlink w:anchor="P4612">
        <w:r>
          <w:rPr>
            <w:color w:val="0000FF"/>
          </w:rPr>
          <w:t>7.70</w:t>
        </w:r>
      </w:hyperlink>
      <w:r>
        <w:t xml:space="preserve"> под эксплуатационной нагрузкой (при </w:t>
      </w:r>
      <w:r>
        <w:rPr>
          <w:noProof/>
          <w:position w:val="-9"/>
        </w:rPr>
        <w:drawing>
          <wp:inline distT="0" distB="0" distL="0" distR="0">
            <wp:extent cx="441960" cy="262890"/>
            <wp:effectExtent l="0" t="0" r="0" b="0"/>
            <wp:docPr id="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441960" cy="262890"/>
                    </a:xfrm>
                    <a:prstGeom prst="rect">
                      <a:avLst/>
                    </a:prstGeom>
                    <a:noFill/>
                    <a:ln>
                      <a:noFill/>
                    </a:ln>
                  </pic:spPr>
                </pic:pic>
              </a:graphicData>
            </a:graphic>
          </wp:inline>
        </w:drawing>
      </w:r>
      <w:r>
        <w:t xml:space="preserve">), учитывая всю площадь сечения бетона и принимая вместо </w:t>
      </w:r>
      <w:r>
        <w:rPr>
          <w:noProof/>
          <w:position w:val="-8"/>
        </w:rPr>
        <w:drawing>
          <wp:inline distT="0" distB="0" distL="0" distR="0">
            <wp:extent cx="209550" cy="251460"/>
            <wp:effectExtent l="0" t="0" r="0" b="0"/>
            <wp:docPr id="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w:t>
      </w:r>
      <w:r>
        <w:rPr>
          <w:noProof/>
          <w:position w:val="-8"/>
        </w:rPr>
        <w:drawing>
          <wp:inline distT="0" distB="0" distL="0" distR="0">
            <wp:extent cx="198755" cy="250825"/>
            <wp:effectExtent l="0" t="0" r="0" b="0"/>
            <wp:docPr id="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расчетные сопротивления </w:t>
      </w:r>
      <w:r>
        <w:rPr>
          <w:noProof/>
          <w:position w:val="-8"/>
        </w:rPr>
        <w:drawing>
          <wp:inline distT="0" distB="0" distL="0" distR="0">
            <wp:extent cx="251460" cy="251460"/>
            <wp:effectExtent l="0" t="0" r="0" b="0"/>
            <wp:docPr id="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и </w:t>
      </w:r>
      <w:r>
        <w:rPr>
          <w:noProof/>
          <w:position w:val="-8"/>
        </w:rPr>
        <w:drawing>
          <wp:inline distT="0" distB="0" distL="0" distR="0">
            <wp:extent cx="251460" cy="251460"/>
            <wp:effectExtent l="0" t="0" r="0" b="0"/>
            <wp:docPr id="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для предельных состояний второй группы, а также принимая расчетное сопротивление арматуры сжатию равным </w:t>
      </w:r>
      <w:r>
        <w:rPr>
          <w:noProof/>
          <w:position w:val="-9"/>
        </w:rPr>
        <w:drawing>
          <wp:inline distT="0" distB="0" distL="0" distR="0">
            <wp:extent cx="396875" cy="262890"/>
            <wp:effectExtent l="0" t="0" r="0" b="0"/>
            <wp:docPr id="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396875" cy="262890"/>
                    </a:xfrm>
                    <a:prstGeom prst="rect">
                      <a:avLst/>
                    </a:prstGeom>
                    <a:noFill/>
                    <a:ln>
                      <a:noFill/>
                    </a:ln>
                  </pic:spPr>
                </pic:pic>
              </a:graphicData>
            </a:graphic>
          </wp:inline>
        </w:drawing>
      </w:r>
      <w:r>
        <w:t>, но не более 400 МПа.</w:t>
      </w:r>
    </w:p>
    <w:p w:rsidR="00212513" w:rsidRDefault="00212513">
      <w:pPr>
        <w:pStyle w:val="ConsPlusNormal"/>
        <w:ind w:firstLine="540"/>
        <w:jc w:val="both"/>
      </w:pPr>
    </w:p>
    <w:p w:rsidR="00212513" w:rsidRDefault="00212513">
      <w:pPr>
        <w:pStyle w:val="ConsPlusTitle"/>
        <w:ind w:firstLine="540"/>
        <w:jc w:val="both"/>
        <w:outlineLvl w:val="2"/>
      </w:pPr>
      <w:r>
        <w:t>Расчет центрально-растянутых элементов</w:t>
      </w:r>
    </w:p>
    <w:p w:rsidR="00212513" w:rsidRDefault="00212513">
      <w:pPr>
        <w:pStyle w:val="ConsPlusNormal"/>
        <w:ind w:firstLine="540"/>
        <w:jc w:val="both"/>
      </w:pPr>
    </w:p>
    <w:p w:rsidR="00212513" w:rsidRDefault="00212513">
      <w:pPr>
        <w:pStyle w:val="ConsPlusNormal"/>
        <w:ind w:firstLine="540"/>
        <w:jc w:val="both"/>
      </w:pPr>
      <w:r>
        <w:t>7.74 При расчете сечений центрально-растянутых железобетонных элементов все расчетное усилие должно полностью восприниматься арматурой, при этом требуется соблюдение условия</w:t>
      </w:r>
    </w:p>
    <w:p w:rsidR="00212513" w:rsidRDefault="00212513">
      <w:pPr>
        <w:pStyle w:val="ConsPlusNormal"/>
        <w:ind w:firstLine="540"/>
        <w:jc w:val="both"/>
      </w:pPr>
    </w:p>
    <w:p w:rsidR="00212513" w:rsidRDefault="00212513">
      <w:pPr>
        <w:pStyle w:val="ConsPlusNormal"/>
        <w:jc w:val="center"/>
      </w:pPr>
      <w:r>
        <w:rPr>
          <w:noProof/>
          <w:position w:val="-9"/>
        </w:rPr>
        <w:drawing>
          <wp:inline distT="0" distB="0" distL="0" distR="0">
            <wp:extent cx="1148080" cy="262890"/>
            <wp:effectExtent l="0" t="0" r="0" b="0"/>
            <wp:docPr id="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1148080" cy="262890"/>
                    </a:xfrm>
                    <a:prstGeom prst="rect">
                      <a:avLst/>
                    </a:prstGeom>
                    <a:noFill/>
                    <a:ln>
                      <a:noFill/>
                    </a:ln>
                  </pic:spPr>
                </pic:pic>
              </a:graphicData>
            </a:graphic>
          </wp:inline>
        </w:drawing>
      </w:r>
      <w:r>
        <w:t>, (7.52)</w:t>
      </w:r>
    </w:p>
    <w:p w:rsidR="00212513" w:rsidRDefault="00212513">
      <w:pPr>
        <w:pStyle w:val="ConsPlusNormal"/>
        <w:ind w:firstLine="540"/>
        <w:jc w:val="both"/>
      </w:pPr>
    </w:p>
    <w:p w:rsidR="00212513" w:rsidRDefault="00212513">
      <w:pPr>
        <w:pStyle w:val="ConsPlusNormal"/>
        <w:ind w:firstLine="540"/>
        <w:jc w:val="both"/>
      </w:pPr>
      <w:r>
        <w:t xml:space="preserve">где </w:t>
      </w:r>
      <w:r>
        <w:rPr>
          <w:i/>
        </w:rPr>
        <w:t>N</w:t>
      </w:r>
      <w:r>
        <w:t xml:space="preserve"> - продольное растягивающее усилие, приложенное центрально.</w:t>
      </w:r>
    </w:p>
    <w:p w:rsidR="00212513" w:rsidRDefault="00212513">
      <w:pPr>
        <w:pStyle w:val="ConsPlusNormal"/>
        <w:ind w:firstLine="540"/>
        <w:jc w:val="both"/>
      </w:pPr>
    </w:p>
    <w:p w:rsidR="00212513" w:rsidRDefault="00212513">
      <w:pPr>
        <w:pStyle w:val="ConsPlusTitle"/>
        <w:ind w:firstLine="540"/>
        <w:jc w:val="both"/>
        <w:outlineLvl w:val="2"/>
      </w:pPr>
      <w:r>
        <w:t>Расчет внецентренно растянутых элементов</w:t>
      </w:r>
    </w:p>
    <w:p w:rsidR="00212513" w:rsidRDefault="00212513">
      <w:pPr>
        <w:pStyle w:val="ConsPlusNormal"/>
        <w:ind w:firstLine="540"/>
        <w:jc w:val="both"/>
      </w:pPr>
    </w:p>
    <w:p w:rsidR="00212513" w:rsidRDefault="00212513">
      <w:pPr>
        <w:pStyle w:val="ConsPlusNormal"/>
        <w:ind w:firstLine="540"/>
        <w:jc w:val="both"/>
      </w:pPr>
      <w:bookmarkStart w:id="186" w:name="P4729"/>
      <w:bookmarkEnd w:id="186"/>
      <w:r>
        <w:t xml:space="preserve">7.75 Расчет сечений внецентренно растянутых железобетонных элементов следует производить в зависимости от положения продольной силы </w:t>
      </w:r>
      <w:r>
        <w:rPr>
          <w:i/>
        </w:rPr>
        <w:t>N</w:t>
      </w:r>
      <w:r>
        <w:t xml:space="preserve"> исходя из следующих условий:</w:t>
      </w:r>
    </w:p>
    <w:p w:rsidR="00212513" w:rsidRDefault="00212513">
      <w:pPr>
        <w:pStyle w:val="ConsPlusNormal"/>
        <w:spacing w:before="220"/>
        <w:ind w:firstLine="540"/>
        <w:jc w:val="both"/>
      </w:pPr>
      <w:r>
        <w:t xml:space="preserve">а) если продольная сила </w:t>
      </w:r>
      <w:r>
        <w:rPr>
          <w:i/>
        </w:rPr>
        <w:t>N</w:t>
      </w:r>
      <w:r>
        <w:t xml:space="preserve"> приложена между равнодействующими усилий в соответствующей арматуре </w:t>
      </w:r>
      <w:hyperlink w:anchor="P4747">
        <w:r>
          <w:rPr>
            <w:color w:val="0000FF"/>
          </w:rPr>
          <w:t>(рисунок 7.5, а)</w:t>
        </w:r>
      </w:hyperlink>
      <w:r>
        <w:t>, при этом все сечение растянуто, то в этом случае вся расчетная сила должна быть полностью воспринята арматурой и расчет следует производить, используя условия:</w:t>
      </w:r>
    </w:p>
    <w:p w:rsidR="00212513" w:rsidRDefault="00212513">
      <w:pPr>
        <w:pStyle w:val="ConsPlusNormal"/>
        <w:jc w:val="both"/>
      </w:pPr>
      <w:r>
        <w:t xml:space="preserve">(в ред. </w:t>
      </w:r>
      <w:hyperlink r:id="rId1030">
        <w:r>
          <w:rPr>
            <w:color w:val="0000FF"/>
          </w:rPr>
          <w:t>Изменения N 4</w:t>
        </w:r>
      </w:hyperlink>
      <w:r>
        <w:t>, утв. Приказом Минстроя России от 30.05.2024 N 361/пр)</w:t>
      </w:r>
    </w:p>
    <w:p w:rsidR="00212513" w:rsidRDefault="00212513">
      <w:pPr>
        <w:pStyle w:val="ConsPlusNormal"/>
        <w:ind w:firstLine="540"/>
        <w:jc w:val="both"/>
      </w:pPr>
    </w:p>
    <w:p w:rsidR="00212513" w:rsidRDefault="00212513">
      <w:pPr>
        <w:pStyle w:val="ConsPlusNormal"/>
        <w:jc w:val="center"/>
      </w:pPr>
      <w:r>
        <w:rPr>
          <w:noProof/>
          <w:position w:val="-9"/>
        </w:rPr>
        <w:drawing>
          <wp:inline distT="0" distB="0" distL="0" distR="0">
            <wp:extent cx="2402840" cy="262890"/>
            <wp:effectExtent l="0" t="0" r="0" b="0"/>
            <wp:docPr id="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2402840" cy="262890"/>
                    </a:xfrm>
                    <a:prstGeom prst="rect">
                      <a:avLst/>
                    </a:prstGeom>
                    <a:noFill/>
                    <a:ln>
                      <a:noFill/>
                    </a:ln>
                  </pic:spPr>
                </pic:pic>
              </a:graphicData>
            </a:graphic>
          </wp:inline>
        </w:drawing>
      </w:r>
      <w:r>
        <w:t>; (7.53)</w:t>
      </w:r>
    </w:p>
    <w:p w:rsidR="00212513" w:rsidRDefault="00212513">
      <w:pPr>
        <w:pStyle w:val="ConsPlusNormal"/>
        <w:ind w:firstLine="540"/>
        <w:jc w:val="both"/>
      </w:pPr>
    </w:p>
    <w:p w:rsidR="00212513" w:rsidRDefault="00212513">
      <w:pPr>
        <w:pStyle w:val="ConsPlusNormal"/>
        <w:jc w:val="center"/>
      </w:pPr>
      <w:r>
        <w:rPr>
          <w:noProof/>
          <w:position w:val="-9"/>
        </w:rPr>
        <w:drawing>
          <wp:inline distT="0" distB="0" distL="0" distR="0">
            <wp:extent cx="2919730" cy="262890"/>
            <wp:effectExtent l="0" t="0" r="0" b="0"/>
            <wp:docPr id="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2919730" cy="262890"/>
                    </a:xfrm>
                    <a:prstGeom prst="rect">
                      <a:avLst/>
                    </a:prstGeom>
                    <a:noFill/>
                    <a:ln>
                      <a:noFill/>
                    </a:ln>
                  </pic:spPr>
                </pic:pic>
              </a:graphicData>
            </a:graphic>
          </wp:inline>
        </w:drawing>
      </w:r>
      <w:r>
        <w:t>; (7.54)</w:t>
      </w:r>
    </w:p>
    <w:p w:rsidR="00212513" w:rsidRDefault="00212513">
      <w:pPr>
        <w:pStyle w:val="ConsPlusNormal"/>
        <w:jc w:val="center"/>
      </w:pPr>
    </w:p>
    <w:p w:rsidR="00212513" w:rsidRDefault="00212513">
      <w:pPr>
        <w:pStyle w:val="ConsPlusNormal"/>
        <w:ind w:firstLine="540"/>
        <w:jc w:val="both"/>
      </w:pPr>
      <w:r>
        <w:t xml:space="preserve">б) если продольная сила </w:t>
      </w:r>
      <w:r>
        <w:rPr>
          <w:i/>
        </w:rPr>
        <w:t>N</w:t>
      </w:r>
      <w:r>
        <w:t xml:space="preserve"> приложена за пределами расстояний между равнодействующими усилий в соответствующей арматуре </w:t>
      </w:r>
      <w:hyperlink w:anchor="P4747">
        <w:r>
          <w:rPr>
            <w:color w:val="0000FF"/>
          </w:rPr>
          <w:t>(рисунок 7.5, б)</w:t>
        </w:r>
      </w:hyperlink>
      <w:r>
        <w:t xml:space="preserve"> с расположением нейтральной оси в пределах ребра, то прочность сечения следует устанавливать из условия</w:t>
      </w:r>
    </w:p>
    <w:p w:rsidR="00212513" w:rsidRDefault="00212513">
      <w:pPr>
        <w:pStyle w:val="ConsPlusNormal"/>
        <w:ind w:firstLine="540"/>
        <w:jc w:val="both"/>
      </w:pPr>
    </w:p>
    <w:p w:rsidR="00212513" w:rsidRDefault="00212513">
      <w:pPr>
        <w:pStyle w:val="ConsPlusNormal"/>
        <w:jc w:val="center"/>
      </w:pPr>
      <w:bookmarkStart w:id="187" w:name="P4739"/>
      <w:bookmarkEnd w:id="187"/>
      <w:r>
        <w:rPr>
          <w:noProof/>
          <w:position w:val="-30"/>
        </w:rPr>
        <w:drawing>
          <wp:inline distT="0" distB="0" distL="0" distR="0">
            <wp:extent cx="3380740" cy="525780"/>
            <wp:effectExtent l="0" t="0" r="0" b="0"/>
            <wp:docPr id="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3380740" cy="525780"/>
                    </a:xfrm>
                    <a:prstGeom prst="rect">
                      <a:avLst/>
                    </a:prstGeom>
                    <a:noFill/>
                    <a:ln>
                      <a:noFill/>
                    </a:ln>
                  </pic:spPr>
                </pic:pic>
              </a:graphicData>
            </a:graphic>
          </wp:inline>
        </w:drawing>
      </w:r>
      <w:r>
        <w:t>. (7.55)</w:t>
      </w:r>
    </w:p>
    <w:p w:rsidR="00212513" w:rsidRDefault="00212513">
      <w:pPr>
        <w:pStyle w:val="ConsPlusNormal"/>
        <w:jc w:val="center"/>
      </w:pPr>
    </w:p>
    <w:p w:rsidR="00212513" w:rsidRDefault="00212513">
      <w:pPr>
        <w:pStyle w:val="ConsPlusNormal"/>
        <w:jc w:val="center"/>
      </w:pPr>
      <w:r>
        <w:rPr>
          <w:noProof/>
          <w:position w:val="-340"/>
        </w:rPr>
        <w:lastRenderedPageBreak/>
        <w:drawing>
          <wp:inline distT="0" distB="0" distL="0" distR="0">
            <wp:extent cx="3828415" cy="4461510"/>
            <wp:effectExtent l="0" t="0" r="0" b="0"/>
            <wp:docPr id="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3828415" cy="4461510"/>
                    </a:xfrm>
                    <a:prstGeom prst="rect">
                      <a:avLst/>
                    </a:prstGeom>
                    <a:noFill/>
                    <a:ln>
                      <a:noFill/>
                    </a:ln>
                  </pic:spPr>
                </pic:pic>
              </a:graphicData>
            </a:graphic>
          </wp:inline>
        </w:drawing>
      </w:r>
    </w:p>
    <w:p w:rsidR="00212513" w:rsidRDefault="00212513">
      <w:pPr>
        <w:pStyle w:val="ConsPlusNormal"/>
        <w:jc w:val="center"/>
      </w:pPr>
    </w:p>
    <w:p w:rsidR="00212513" w:rsidRDefault="00212513">
      <w:pPr>
        <w:pStyle w:val="ConsPlusNormal"/>
        <w:jc w:val="center"/>
      </w:pPr>
      <w:r>
        <w:t xml:space="preserve">а - продольная сила </w:t>
      </w:r>
      <w:r>
        <w:rPr>
          <w:i/>
        </w:rPr>
        <w:t>N</w:t>
      </w:r>
      <w:r>
        <w:t xml:space="preserve"> приложена между равнодействующими</w:t>
      </w:r>
    </w:p>
    <w:p w:rsidR="00212513" w:rsidRDefault="00212513">
      <w:pPr>
        <w:pStyle w:val="ConsPlusNormal"/>
        <w:jc w:val="center"/>
      </w:pPr>
      <w:r>
        <w:t>усилий в арматуре; б - то же, за пределами расстояния</w:t>
      </w:r>
    </w:p>
    <w:p w:rsidR="00212513" w:rsidRDefault="00212513">
      <w:pPr>
        <w:pStyle w:val="ConsPlusNormal"/>
        <w:jc w:val="center"/>
      </w:pPr>
      <w:r>
        <w:t>между равнодействующими усилий в арматуре</w:t>
      </w:r>
    </w:p>
    <w:p w:rsidR="00212513" w:rsidRDefault="00212513">
      <w:pPr>
        <w:pStyle w:val="ConsPlusNormal"/>
        <w:jc w:val="center"/>
      </w:pPr>
    </w:p>
    <w:p w:rsidR="00212513" w:rsidRDefault="00212513">
      <w:pPr>
        <w:pStyle w:val="ConsPlusNormal"/>
        <w:jc w:val="center"/>
      </w:pPr>
      <w:bookmarkStart w:id="188" w:name="P4747"/>
      <w:bookmarkEnd w:id="188"/>
      <w:r>
        <w:rPr>
          <w:b/>
          <w:i/>
        </w:rPr>
        <w:t>Рисунок 7.5 -</w:t>
      </w:r>
      <w:r>
        <w:t xml:space="preserve"> </w:t>
      </w:r>
      <w:r>
        <w:rPr>
          <w:b/>
        </w:rPr>
        <w:t>Схема усилий и эпюра напряжений в сечении,</w:t>
      </w:r>
    </w:p>
    <w:p w:rsidR="00212513" w:rsidRDefault="00212513">
      <w:pPr>
        <w:pStyle w:val="ConsPlusNormal"/>
        <w:jc w:val="center"/>
      </w:pPr>
      <w:r>
        <w:rPr>
          <w:b/>
        </w:rPr>
        <w:t>нормальном к продольной оси внецентренно растянутого</w:t>
      </w:r>
    </w:p>
    <w:p w:rsidR="00212513" w:rsidRDefault="00212513">
      <w:pPr>
        <w:pStyle w:val="ConsPlusNormal"/>
        <w:jc w:val="center"/>
      </w:pPr>
      <w:r>
        <w:rPr>
          <w:b/>
        </w:rPr>
        <w:t>железобетонного элемента, при расчете его по прочности</w:t>
      </w:r>
    </w:p>
    <w:p w:rsidR="00212513" w:rsidRDefault="00212513">
      <w:pPr>
        <w:pStyle w:val="ConsPlusNormal"/>
        <w:jc w:val="center"/>
      </w:pPr>
    </w:p>
    <w:p w:rsidR="00212513" w:rsidRDefault="00212513">
      <w:pPr>
        <w:pStyle w:val="ConsPlusNormal"/>
        <w:ind w:firstLine="540"/>
        <w:jc w:val="both"/>
      </w:pPr>
      <w:r>
        <w:t xml:space="preserve">Высоту сжатой зоны бетона </w:t>
      </w:r>
      <w:r>
        <w:rPr>
          <w:i/>
        </w:rPr>
        <w:t>x</w:t>
      </w:r>
      <w:r>
        <w:t xml:space="preserve"> следует определять по формуле</w:t>
      </w:r>
    </w:p>
    <w:p w:rsidR="00212513" w:rsidRDefault="00212513">
      <w:pPr>
        <w:pStyle w:val="ConsPlusNormal"/>
        <w:ind w:firstLine="540"/>
        <w:jc w:val="both"/>
      </w:pPr>
    </w:p>
    <w:p w:rsidR="00212513" w:rsidRDefault="00212513">
      <w:pPr>
        <w:pStyle w:val="ConsPlusNormal"/>
        <w:jc w:val="center"/>
      </w:pPr>
      <w:r>
        <w:rPr>
          <w:noProof/>
          <w:position w:val="-9"/>
        </w:rPr>
        <w:drawing>
          <wp:inline distT="0" distB="0" distL="0" distR="0">
            <wp:extent cx="3632200" cy="262890"/>
            <wp:effectExtent l="0" t="0" r="0" b="0"/>
            <wp:docPr id="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3632200" cy="262890"/>
                    </a:xfrm>
                    <a:prstGeom prst="rect">
                      <a:avLst/>
                    </a:prstGeom>
                    <a:noFill/>
                    <a:ln>
                      <a:noFill/>
                    </a:ln>
                  </pic:spPr>
                </pic:pic>
              </a:graphicData>
            </a:graphic>
          </wp:inline>
        </w:drawing>
      </w:r>
      <w:r>
        <w:t>. (7.56)</w:t>
      </w:r>
    </w:p>
    <w:p w:rsidR="00212513" w:rsidRDefault="00212513">
      <w:pPr>
        <w:pStyle w:val="ConsPlusNormal"/>
        <w:ind w:firstLine="540"/>
        <w:jc w:val="both"/>
      </w:pPr>
    </w:p>
    <w:p w:rsidR="00212513" w:rsidRDefault="00212513">
      <w:pPr>
        <w:pStyle w:val="ConsPlusNormal"/>
        <w:ind w:firstLine="540"/>
        <w:jc w:val="both"/>
      </w:pPr>
      <w:r>
        <w:t xml:space="preserve">Если полученное из расчета по формуле (7.56) значение </w:t>
      </w:r>
      <w:r>
        <w:rPr>
          <w:noProof/>
          <w:position w:val="-10"/>
        </w:rPr>
        <w:drawing>
          <wp:inline distT="0" distB="0" distL="0" distR="0">
            <wp:extent cx="575310" cy="273685"/>
            <wp:effectExtent l="0" t="0" r="0" b="0"/>
            <wp:docPr id="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575310" cy="273685"/>
                    </a:xfrm>
                    <a:prstGeom prst="rect">
                      <a:avLst/>
                    </a:prstGeom>
                    <a:noFill/>
                    <a:ln>
                      <a:noFill/>
                    </a:ln>
                  </pic:spPr>
                </pic:pic>
              </a:graphicData>
            </a:graphic>
          </wp:inline>
        </w:drawing>
      </w:r>
      <w:r>
        <w:t xml:space="preserve">, то в </w:t>
      </w:r>
      <w:hyperlink w:anchor="P4739">
        <w:r>
          <w:rPr>
            <w:color w:val="0000FF"/>
          </w:rPr>
          <w:t>условие (7.55)</w:t>
        </w:r>
      </w:hyperlink>
      <w:r>
        <w:t xml:space="preserve"> подставляется </w:t>
      </w:r>
      <w:r>
        <w:rPr>
          <w:noProof/>
          <w:position w:val="-9"/>
        </w:rPr>
        <w:drawing>
          <wp:inline distT="0" distB="0" distL="0" distR="0">
            <wp:extent cx="567055" cy="262890"/>
            <wp:effectExtent l="0" t="0" r="0" b="0"/>
            <wp:docPr id="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567055" cy="262890"/>
                    </a:xfrm>
                    <a:prstGeom prst="rect">
                      <a:avLst/>
                    </a:prstGeom>
                    <a:noFill/>
                    <a:ln>
                      <a:noFill/>
                    </a:ln>
                  </pic:spPr>
                </pic:pic>
              </a:graphicData>
            </a:graphic>
          </wp:inline>
        </w:drawing>
      </w:r>
      <w:r>
        <w:t xml:space="preserve">, где </w:t>
      </w:r>
      <w:r>
        <w:rPr>
          <w:noProof/>
          <w:position w:val="-9"/>
        </w:rPr>
        <w:drawing>
          <wp:inline distT="0" distB="0" distL="0" distR="0">
            <wp:extent cx="198755" cy="262890"/>
            <wp:effectExtent l="0" t="0" r="0" b="0"/>
            <wp:docPr id="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определяется согласно указаниям </w:t>
      </w:r>
      <w:hyperlink w:anchor="P4457">
        <w:r>
          <w:rPr>
            <w:color w:val="0000FF"/>
          </w:rPr>
          <w:t>7.61</w:t>
        </w:r>
      </w:hyperlink>
      <w:r>
        <w:t>.</w:t>
      </w:r>
    </w:p>
    <w:p w:rsidR="00212513" w:rsidRDefault="00212513">
      <w:pPr>
        <w:pStyle w:val="ConsPlusNormal"/>
        <w:spacing w:before="220"/>
        <w:ind w:firstLine="540"/>
        <w:jc w:val="both"/>
      </w:pPr>
      <w:r>
        <w:t xml:space="preserve">Учет работы сжатой арматуры следует производить согласно </w:t>
      </w:r>
      <w:hyperlink w:anchor="P4444">
        <w:r>
          <w:rPr>
            <w:color w:val="0000FF"/>
          </w:rPr>
          <w:t>7.60</w:t>
        </w:r>
      </w:hyperlink>
      <w:r>
        <w:t xml:space="preserve">. Однако, если без учета этой арматуры величина </w:t>
      </w:r>
      <w:r>
        <w:rPr>
          <w:noProof/>
          <w:position w:val="-8"/>
        </w:rPr>
        <w:drawing>
          <wp:inline distT="0" distB="0" distL="0" distR="0">
            <wp:extent cx="511810" cy="251460"/>
            <wp:effectExtent l="0" t="0" r="0" b="0"/>
            <wp:docPr id="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511810" cy="251460"/>
                    </a:xfrm>
                    <a:prstGeom prst="rect">
                      <a:avLst/>
                    </a:prstGeom>
                    <a:noFill/>
                    <a:ln>
                      <a:noFill/>
                    </a:ln>
                  </pic:spPr>
                </pic:pic>
              </a:graphicData>
            </a:graphic>
          </wp:inline>
        </w:drawing>
      </w:r>
      <w:r>
        <w:t xml:space="preserve">, а с учетом ее </w:t>
      </w:r>
      <w:r>
        <w:rPr>
          <w:noProof/>
          <w:position w:val="-8"/>
        </w:rPr>
        <w:drawing>
          <wp:inline distT="0" distB="0" distL="0" distR="0">
            <wp:extent cx="511810" cy="251460"/>
            <wp:effectExtent l="0" t="0" r="0" b="0"/>
            <wp:docPr id="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511810" cy="251460"/>
                    </a:xfrm>
                    <a:prstGeom prst="rect">
                      <a:avLst/>
                    </a:prstGeom>
                    <a:noFill/>
                    <a:ln>
                      <a:noFill/>
                    </a:ln>
                  </pic:spPr>
                </pic:pic>
              </a:graphicData>
            </a:graphic>
          </wp:inline>
        </w:drawing>
      </w:r>
      <w:r>
        <w:t>, то расчет по прочности следует производить из условия</w:t>
      </w:r>
    </w:p>
    <w:p w:rsidR="00212513" w:rsidRDefault="00212513">
      <w:pPr>
        <w:pStyle w:val="ConsPlusNormal"/>
        <w:ind w:firstLine="540"/>
        <w:jc w:val="both"/>
      </w:pPr>
    </w:p>
    <w:p w:rsidR="00212513" w:rsidRDefault="00212513">
      <w:pPr>
        <w:pStyle w:val="ConsPlusNormal"/>
        <w:jc w:val="center"/>
      </w:pPr>
      <w:r>
        <w:rPr>
          <w:noProof/>
          <w:position w:val="-9"/>
        </w:rPr>
        <w:drawing>
          <wp:inline distT="0" distB="0" distL="0" distR="0">
            <wp:extent cx="2179320" cy="262890"/>
            <wp:effectExtent l="0" t="0" r="0" b="0"/>
            <wp:docPr id="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1" cstate="print">
                      <a:extLst>
                        <a:ext uri="{28A0092B-C50C-407E-A947-70E740481C1C}">
                          <a14:useLocalDpi xmlns:a14="http://schemas.microsoft.com/office/drawing/2010/main" val="0"/>
                        </a:ext>
                      </a:extLst>
                    </a:blip>
                    <a:srcRect/>
                    <a:stretch>
                      <a:fillRect/>
                    </a:stretch>
                  </pic:blipFill>
                  <pic:spPr bwMode="auto">
                    <a:xfrm>
                      <a:off x="0" y="0"/>
                      <a:ext cx="2179320" cy="262890"/>
                    </a:xfrm>
                    <a:prstGeom prst="rect">
                      <a:avLst/>
                    </a:prstGeom>
                    <a:noFill/>
                    <a:ln>
                      <a:noFill/>
                    </a:ln>
                  </pic:spPr>
                </pic:pic>
              </a:graphicData>
            </a:graphic>
          </wp:inline>
        </w:drawing>
      </w:r>
      <w:r>
        <w:t>. (7.57)</w:t>
      </w:r>
    </w:p>
    <w:p w:rsidR="00212513" w:rsidRDefault="00212513">
      <w:pPr>
        <w:pStyle w:val="ConsPlusNormal"/>
        <w:ind w:firstLine="540"/>
        <w:jc w:val="both"/>
      </w:pPr>
    </w:p>
    <w:p w:rsidR="00212513" w:rsidRDefault="00212513">
      <w:pPr>
        <w:pStyle w:val="ConsPlusTitle"/>
        <w:ind w:firstLine="540"/>
        <w:jc w:val="both"/>
        <w:outlineLvl w:val="2"/>
      </w:pPr>
      <w:r>
        <w:t>Расчет по прочности сечений, наклонных к продольной оси элемента</w:t>
      </w:r>
    </w:p>
    <w:p w:rsidR="00212513" w:rsidRDefault="00212513">
      <w:pPr>
        <w:pStyle w:val="ConsPlusNormal"/>
        <w:ind w:firstLine="540"/>
        <w:jc w:val="both"/>
      </w:pPr>
    </w:p>
    <w:p w:rsidR="00212513" w:rsidRDefault="00212513">
      <w:pPr>
        <w:pStyle w:val="ConsPlusNormal"/>
        <w:ind w:firstLine="540"/>
        <w:jc w:val="both"/>
      </w:pPr>
      <w:r>
        <w:t xml:space="preserve">7.76 Расчет по прочности наклонных сечений должен производиться с учетом переменности </w:t>
      </w:r>
      <w:r>
        <w:lastRenderedPageBreak/>
        <w:t>сечения:</w:t>
      </w:r>
    </w:p>
    <w:p w:rsidR="00212513" w:rsidRDefault="00212513">
      <w:pPr>
        <w:pStyle w:val="ConsPlusNormal"/>
        <w:spacing w:before="220"/>
        <w:ind w:firstLine="540"/>
        <w:jc w:val="both"/>
      </w:pPr>
      <w:r>
        <w:t xml:space="preserve">на действие поперечной силы между наклонными трещинами согласно </w:t>
      </w:r>
      <w:hyperlink w:anchor="P4768">
        <w:r>
          <w:rPr>
            <w:color w:val="0000FF"/>
          </w:rPr>
          <w:t>7.77</w:t>
        </w:r>
      </w:hyperlink>
      <w:r>
        <w:t xml:space="preserve"> и по наклонной трещине по </w:t>
      </w:r>
      <w:hyperlink w:anchor="P4789">
        <w:r>
          <w:rPr>
            <w:color w:val="0000FF"/>
          </w:rPr>
          <w:t>7.78</w:t>
        </w:r>
      </w:hyperlink>
      <w:r>
        <w:t>;</w:t>
      </w:r>
    </w:p>
    <w:p w:rsidR="00212513" w:rsidRDefault="00212513">
      <w:pPr>
        <w:pStyle w:val="ConsPlusNormal"/>
        <w:spacing w:before="220"/>
        <w:ind w:firstLine="540"/>
        <w:jc w:val="both"/>
      </w:pPr>
      <w:r>
        <w:t xml:space="preserve">на действие изгибающего момента по наклонной трещине для элементов с поперечной арматурой согласно </w:t>
      </w:r>
      <w:hyperlink w:anchor="P4861">
        <w:r>
          <w:rPr>
            <w:color w:val="0000FF"/>
          </w:rPr>
          <w:t>7.83</w:t>
        </w:r>
      </w:hyperlink>
      <w:r>
        <w:t>.</w:t>
      </w:r>
    </w:p>
    <w:p w:rsidR="00212513" w:rsidRDefault="00212513">
      <w:pPr>
        <w:pStyle w:val="ConsPlusNormal"/>
        <w:ind w:firstLine="540"/>
        <w:jc w:val="both"/>
      </w:pPr>
    </w:p>
    <w:p w:rsidR="00212513" w:rsidRDefault="00212513">
      <w:pPr>
        <w:pStyle w:val="ConsPlusTitle"/>
        <w:ind w:firstLine="540"/>
        <w:jc w:val="both"/>
        <w:outlineLvl w:val="3"/>
      </w:pPr>
      <w:r>
        <w:t>Расчет сечений, наклонных к продольной оси элемента, на действие поперечной силы</w:t>
      </w:r>
    </w:p>
    <w:p w:rsidR="00212513" w:rsidRDefault="00212513">
      <w:pPr>
        <w:pStyle w:val="ConsPlusNormal"/>
        <w:ind w:firstLine="540"/>
        <w:jc w:val="both"/>
      </w:pPr>
    </w:p>
    <w:p w:rsidR="00212513" w:rsidRDefault="00212513">
      <w:pPr>
        <w:pStyle w:val="ConsPlusNormal"/>
        <w:ind w:firstLine="540"/>
        <w:jc w:val="both"/>
      </w:pPr>
      <w:bookmarkStart w:id="189" w:name="P4768"/>
      <w:bookmarkEnd w:id="189"/>
      <w:r>
        <w:t>7.77 Для железобетонных элементов с поперечной арматурой должно быть соблюдено условие, обеспечивающее прочность по сжатому бетону между наклонными трещинами</w:t>
      </w:r>
    </w:p>
    <w:p w:rsidR="00212513" w:rsidRDefault="00212513">
      <w:pPr>
        <w:pStyle w:val="ConsPlusNormal"/>
        <w:ind w:firstLine="540"/>
        <w:jc w:val="both"/>
      </w:pPr>
    </w:p>
    <w:p w:rsidR="00212513" w:rsidRDefault="00212513">
      <w:pPr>
        <w:pStyle w:val="ConsPlusNormal"/>
        <w:jc w:val="center"/>
      </w:pPr>
      <w:r>
        <w:rPr>
          <w:noProof/>
          <w:position w:val="-8"/>
        </w:rPr>
        <w:drawing>
          <wp:inline distT="0" distB="0" distL="0" distR="0">
            <wp:extent cx="1326515" cy="251460"/>
            <wp:effectExtent l="0" t="0" r="0" b="0"/>
            <wp:docPr id="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1326515" cy="251460"/>
                    </a:xfrm>
                    <a:prstGeom prst="rect">
                      <a:avLst/>
                    </a:prstGeom>
                    <a:noFill/>
                    <a:ln>
                      <a:noFill/>
                    </a:ln>
                  </pic:spPr>
                </pic:pic>
              </a:graphicData>
            </a:graphic>
          </wp:inline>
        </w:drawing>
      </w:r>
      <w:r>
        <w:t>. (7.58)</w:t>
      </w:r>
    </w:p>
    <w:p w:rsidR="00212513" w:rsidRDefault="00212513">
      <w:pPr>
        <w:pStyle w:val="ConsPlusNormal"/>
        <w:ind w:firstLine="540"/>
        <w:jc w:val="both"/>
      </w:pPr>
    </w:p>
    <w:p w:rsidR="00212513" w:rsidRDefault="00212513">
      <w:pPr>
        <w:pStyle w:val="ConsPlusNormal"/>
        <w:ind w:firstLine="540"/>
        <w:jc w:val="both"/>
      </w:pPr>
      <w:r>
        <w:t>В формуле (7.58):</w:t>
      </w:r>
    </w:p>
    <w:p w:rsidR="00212513" w:rsidRDefault="00212513">
      <w:pPr>
        <w:pStyle w:val="ConsPlusNormal"/>
        <w:spacing w:before="220"/>
        <w:ind w:firstLine="540"/>
        <w:jc w:val="both"/>
      </w:pPr>
      <w:r>
        <w:rPr>
          <w:i/>
        </w:rPr>
        <w:t>Q</w:t>
      </w:r>
      <w:r>
        <w:t xml:space="preserve"> - поперечная сила на расстоянии не ближе </w:t>
      </w:r>
      <w:r>
        <w:rPr>
          <w:noProof/>
          <w:position w:val="-8"/>
        </w:rPr>
        <w:drawing>
          <wp:inline distT="0" distB="0" distL="0" distR="0">
            <wp:extent cx="177800" cy="251460"/>
            <wp:effectExtent l="0" t="0" r="0" b="0"/>
            <wp:docPr id="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от оси опоры;</w:t>
      </w:r>
    </w:p>
    <w:p w:rsidR="00212513" w:rsidRDefault="00212513">
      <w:pPr>
        <w:pStyle w:val="ConsPlusNormal"/>
        <w:spacing w:before="220"/>
        <w:ind w:firstLine="540"/>
        <w:jc w:val="both"/>
      </w:pPr>
      <w:r>
        <w:rPr>
          <w:noProof/>
          <w:position w:val="-8"/>
        </w:rPr>
        <w:drawing>
          <wp:inline distT="0" distB="0" distL="0" distR="0">
            <wp:extent cx="1029970" cy="251460"/>
            <wp:effectExtent l="0" t="0" r="0" b="0"/>
            <wp:docPr id="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1029970" cy="251460"/>
                    </a:xfrm>
                    <a:prstGeom prst="rect">
                      <a:avLst/>
                    </a:prstGeom>
                    <a:noFill/>
                    <a:ln>
                      <a:noFill/>
                    </a:ln>
                  </pic:spPr>
                </pic:pic>
              </a:graphicData>
            </a:graphic>
          </wp:inline>
        </w:drawing>
      </w:r>
      <w:r>
        <w:t xml:space="preserve">, при расположении хомутов нормально к продольной оси </w:t>
      </w:r>
      <w:r>
        <w:rPr>
          <w:noProof/>
          <w:position w:val="-8"/>
        </w:rPr>
        <w:drawing>
          <wp:inline distT="0" distB="0" distL="0" distR="0">
            <wp:extent cx="608330" cy="251460"/>
            <wp:effectExtent l="0" t="0" r="0" b="0"/>
            <wp:docPr id="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608330" cy="251460"/>
                    </a:xfrm>
                    <a:prstGeom prst="rect">
                      <a:avLst/>
                    </a:prstGeom>
                    <a:noFill/>
                    <a:ln>
                      <a:noFill/>
                    </a:ln>
                  </pic:spPr>
                </pic:pic>
              </a:graphicData>
            </a:graphic>
          </wp:inline>
        </w:drawing>
      </w:r>
      <w:r>
        <w:t xml:space="preserve">, где </w:t>
      </w:r>
      <w:r>
        <w:rPr>
          <w:noProof/>
          <w:position w:val="-6"/>
        </w:rPr>
        <w:drawing>
          <wp:inline distT="0" distB="0" distL="0" distR="0">
            <wp:extent cx="398780" cy="220980"/>
            <wp:effectExtent l="0" t="0" r="0" b="0"/>
            <wp:docPr id="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398780" cy="220980"/>
                    </a:xfrm>
                    <a:prstGeom prst="rect">
                      <a:avLst/>
                    </a:prstGeom>
                    <a:noFill/>
                    <a:ln>
                      <a:noFill/>
                    </a:ln>
                  </pic:spPr>
                </pic:pic>
              </a:graphicData>
            </a:graphic>
          </wp:inline>
        </w:drawing>
      </w:r>
      <w:r>
        <w:t xml:space="preserve"> - при хомутах, нормальных к продольной оси элемента;</w:t>
      </w:r>
    </w:p>
    <w:p w:rsidR="00212513" w:rsidRDefault="00212513">
      <w:pPr>
        <w:pStyle w:val="ConsPlusNormal"/>
        <w:spacing w:before="220"/>
        <w:ind w:firstLine="540"/>
        <w:jc w:val="both"/>
      </w:pPr>
      <w:r>
        <w:rPr>
          <w:noProof/>
          <w:position w:val="-6"/>
        </w:rPr>
        <w:drawing>
          <wp:inline distT="0" distB="0" distL="0" distR="0">
            <wp:extent cx="461010" cy="220980"/>
            <wp:effectExtent l="0" t="0" r="0" b="0"/>
            <wp:docPr id="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461010" cy="220980"/>
                    </a:xfrm>
                    <a:prstGeom prst="rect">
                      <a:avLst/>
                    </a:prstGeom>
                    <a:noFill/>
                    <a:ln>
                      <a:noFill/>
                    </a:ln>
                  </pic:spPr>
                </pic:pic>
              </a:graphicData>
            </a:graphic>
          </wp:inline>
        </w:drawing>
      </w:r>
      <w:r>
        <w:t xml:space="preserve"> - то же, наклонных под углом 45°;</w:t>
      </w:r>
    </w:p>
    <w:p w:rsidR="00212513" w:rsidRDefault="00212513">
      <w:pPr>
        <w:pStyle w:val="ConsPlusNormal"/>
        <w:spacing w:before="220"/>
        <w:ind w:firstLine="540"/>
        <w:jc w:val="both"/>
      </w:pPr>
      <w:r>
        <w:rPr>
          <w:noProof/>
          <w:position w:val="-8"/>
        </w:rPr>
        <w:drawing>
          <wp:inline distT="0" distB="0" distL="0" distR="0">
            <wp:extent cx="167640" cy="251460"/>
            <wp:effectExtent l="0" t="0" r="0" b="0"/>
            <wp:docPr id="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отношение модулей упругости арматуры и бетона, определяемое согласно </w:t>
      </w:r>
      <w:hyperlink w:anchor="P3883">
        <w:r>
          <w:rPr>
            <w:color w:val="0000FF"/>
          </w:rPr>
          <w:t>7.48</w:t>
        </w:r>
      </w:hyperlink>
      <w:r>
        <w:t>;</w:t>
      </w:r>
    </w:p>
    <w:p w:rsidR="00212513" w:rsidRDefault="00212513">
      <w:pPr>
        <w:pStyle w:val="ConsPlusNormal"/>
        <w:ind w:firstLine="540"/>
        <w:jc w:val="both"/>
      </w:pPr>
    </w:p>
    <w:p w:rsidR="00212513" w:rsidRDefault="00212513">
      <w:pPr>
        <w:pStyle w:val="ConsPlusNormal"/>
        <w:jc w:val="center"/>
      </w:pPr>
      <w:r>
        <w:rPr>
          <w:noProof/>
          <w:position w:val="-26"/>
        </w:rPr>
        <w:drawing>
          <wp:inline distT="0" distB="0" distL="0" distR="0">
            <wp:extent cx="691515" cy="470535"/>
            <wp:effectExtent l="0" t="0" r="0" b="0"/>
            <wp:docPr id="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691515" cy="470535"/>
                    </a:xfrm>
                    <a:prstGeom prst="rect">
                      <a:avLst/>
                    </a:prstGeom>
                    <a:noFill/>
                    <a:ln>
                      <a:noFill/>
                    </a:ln>
                  </pic:spPr>
                </pic:pic>
              </a:graphicData>
            </a:graphic>
          </wp:inline>
        </w:drawing>
      </w:r>
      <w:r>
        <w:t>, (7.59)</w:t>
      </w:r>
    </w:p>
    <w:p w:rsidR="00212513" w:rsidRDefault="00212513">
      <w:pPr>
        <w:pStyle w:val="ConsPlusNormal"/>
        <w:ind w:firstLine="540"/>
        <w:jc w:val="both"/>
      </w:pPr>
    </w:p>
    <w:p w:rsidR="00212513" w:rsidRDefault="00212513">
      <w:pPr>
        <w:pStyle w:val="ConsPlusNormal"/>
        <w:ind w:firstLine="540"/>
        <w:jc w:val="both"/>
      </w:pPr>
      <w:r>
        <w:rPr>
          <w:noProof/>
          <w:position w:val="-8"/>
        </w:rPr>
        <w:drawing>
          <wp:inline distT="0" distB="0" distL="0" distR="0">
            <wp:extent cx="262890" cy="251460"/>
            <wp:effectExtent l="0" t="0" r="0" b="0"/>
            <wp:docPr id="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площадь сечения ветвей хомутов, расположенных в одной плоскости;</w:t>
      </w:r>
    </w:p>
    <w:p w:rsidR="00212513" w:rsidRDefault="00212513">
      <w:pPr>
        <w:pStyle w:val="ConsPlusNormal"/>
        <w:spacing w:before="220"/>
        <w:ind w:firstLine="540"/>
        <w:jc w:val="both"/>
      </w:pPr>
      <w:r>
        <w:rPr>
          <w:noProof/>
          <w:position w:val="-8"/>
        </w:rPr>
        <w:drawing>
          <wp:inline distT="0" distB="0" distL="0" distR="0">
            <wp:extent cx="209550" cy="251460"/>
            <wp:effectExtent l="0" t="0" r="0" b="0"/>
            <wp:docPr id="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расстояние между хомутами по нормали к ним;</w:t>
      </w:r>
    </w:p>
    <w:p w:rsidR="00212513" w:rsidRDefault="00212513">
      <w:pPr>
        <w:pStyle w:val="ConsPlusNormal"/>
        <w:spacing w:before="220"/>
        <w:ind w:firstLine="540"/>
        <w:jc w:val="both"/>
      </w:pPr>
      <w:r>
        <w:rPr>
          <w:i/>
        </w:rPr>
        <w:t>b</w:t>
      </w:r>
      <w:r>
        <w:t xml:space="preserve"> - толщина стенки (ребра);</w:t>
      </w:r>
    </w:p>
    <w:p w:rsidR="00212513" w:rsidRDefault="00212513">
      <w:pPr>
        <w:pStyle w:val="ConsPlusNormal"/>
        <w:spacing w:before="220"/>
        <w:ind w:firstLine="540"/>
        <w:jc w:val="both"/>
      </w:pPr>
      <w:r>
        <w:rPr>
          <w:noProof/>
          <w:position w:val="-8"/>
        </w:rPr>
        <w:drawing>
          <wp:inline distT="0" distB="0" distL="0" distR="0">
            <wp:extent cx="188595" cy="251460"/>
            <wp:effectExtent l="0" t="0" r="0" b="0"/>
            <wp:docPr id="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 рабочая высота сечения.</w:t>
      </w:r>
    </w:p>
    <w:p w:rsidR="00212513" w:rsidRDefault="00212513">
      <w:pPr>
        <w:pStyle w:val="ConsPlusNormal"/>
        <w:spacing w:before="220"/>
        <w:ind w:firstLine="540"/>
        <w:jc w:val="both"/>
      </w:pPr>
      <w:r>
        <w:t xml:space="preserve">Коэффициент </w:t>
      </w:r>
      <w:r>
        <w:rPr>
          <w:noProof/>
          <w:position w:val="-8"/>
        </w:rPr>
        <w:drawing>
          <wp:inline distT="0" distB="0" distL="0" distR="0">
            <wp:extent cx="241935" cy="251460"/>
            <wp:effectExtent l="0" t="0" r="0" b="0"/>
            <wp:docPr id="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определяется по формуле</w:t>
      </w:r>
    </w:p>
    <w:p w:rsidR="00212513" w:rsidRDefault="00212513">
      <w:pPr>
        <w:pStyle w:val="ConsPlusNormal"/>
        <w:ind w:firstLine="540"/>
        <w:jc w:val="both"/>
      </w:pPr>
    </w:p>
    <w:p w:rsidR="00212513" w:rsidRDefault="00212513">
      <w:pPr>
        <w:pStyle w:val="ConsPlusNormal"/>
        <w:jc w:val="center"/>
      </w:pPr>
      <w:r>
        <w:rPr>
          <w:noProof/>
          <w:position w:val="-8"/>
        </w:rPr>
        <w:drawing>
          <wp:inline distT="0" distB="0" distL="0" distR="0">
            <wp:extent cx="1072515" cy="251460"/>
            <wp:effectExtent l="0" t="0" r="0" b="0"/>
            <wp:docPr id="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1072515" cy="251460"/>
                    </a:xfrm>
                    <a:prstGeom prst="rect">
                      <a:avLst/>
                    </a:prstGeom>
                    <a:noFill/>
                    <a:ln>
                      <a:noFill/>
                    </a:ln>
                  </pic:spPr>
                </pic:pic>
              </a:graphicData>
            </a:graphic>
          </wp:inline>
        </w:drawing>
      </w:r>
      <w:r>
        <w:t>, (7.60)</w:t>
      </w:r>
    </w:p>
    <w:p w:rsidR="00212513" w:rsidRDefault="00212513">
      <w:pPr>
        <w:pStyle w:val="ConsPlusNormal"/>
        <w:ind w:firstLine="540"/>
        <w:jc w:val="both"/>
      </w:pPr>
    </w:p>
    <w:p w:rsidR="00212513" w:rsidRDefault="00212513">
      <w:pPr>
        <w:pStyle w:val="ConsPlusNormal"/>
        <w:ind w:firstLine="540"/>
        <w:jc w:val="both"/>
      </w:pPr>
      <w:r>
        <w:t xml:space="preserve">где расчетное сопротивление </w:t>
      </w:r>
      <w:r>
        <w:rPr>
          <w:noProof/>
          <w:position w:val="-8"/>
        </w:rPr>
        <w:drawing>
          <wp:inline distT="0" distB="0" distL="0" distR="0">
            <wp:extent cx="209550" cy="251460"/>
            <wp:effectExtent l="0" t="0" r="0" b="0"/>
            <wp:docPr id="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принимается в МПа.</w:t>
      </w:r>
    </w:p>
    <w:p w:rsidR="00212513" w:rsidRDefault="00212513">
      <w:pPr>
        <w:pStyle w:val="ConsPlusNormal"/>
        <w:spacing w:before="220"/>
        <w:ind w:firstLine="540"/>
        <w:jc w:val="both"/>
      </w:pPr>
      <w:bookmarkStart w:id="190" w:name="P4789"/>
      <w:bookmarkEnd w:id="190"/>
      <w:r>
        <w:t xml:space="preserve">7.78 Расчет наклонных сечений элементов с поперечной арматурой на действие поперечной силы </w:t>
      </w:r>
      <w:hyperlink w:anchor="P4802">
        <w:r>
          <w:rPr>
            <w:color w:val="0000FF"/>
          </w:rPr>
          <w:t>(рисунок 7.6)</w:t>
        </w:r>
      </w:hyperlink>
      <w:r>
        <w:t xml:space="preserve"> следует производить из условий:</w:t>
      </w:r>
    </w:p>
    <w:p w:rsidR="00212513" w:rsidRDefault="00212513">
      <w:pPr>
        <w:pStyle w:val="ConsPlusNormal"/>
        <w:spacing w:before="220"/>
        <w:ind w:firstLine="540"/>
        <w:jc w:val="both"/>
      </w:pPr>
      <w:r>
        <w:t>для элементов с ненапрягаемой арматурой</w:t>
      </w:r>
    </w:p>
    <w:p w:rsidR="00212513" w:rsidRDefault="00212513">
      <w:pPr>
        <w:pStyle w:val="ConsPlusNormal"/>
        <w:ind w:firstLine="540"/>
        <w:jc w:val="both"/>
      </w:pPr>
    </w:p>
    <w:p w:rsidR="00212513" w:rsidRDefault="00212513">
      <w:pPr>
        <w:pStyle w:val="ConsPlusNormal"/>
        <w:jc w:val="center"/>
      </w:pPr>
      <w:bookmarkStart w:id="191" w:name="P4792"/>
      <w:bookmarkEnd w:id="191"/>
      <w:r>
        <w:rPr>
          <w:noProof/>
          <w:position w:val="-11"/>
        </w:rPr>
        <w:drawing>
          <wp:inline distT="0" distB="0" distL="0" distR="0">
            <wp:extent cx="2710180" cy="281940"/>
            <wp:effectExtent l="0" t="0" r="0" b="0"/>
            <wp:docPr id="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2710180" cy="281940"/>
                    </a:xfrm>
                    <a:prstGeom prst="rect">
                      <a:avLst/>
                    </a:prstGeom>
                    <a:noFill/>
                    <a:ln>
                      <a:noFill/>
                    </a:ln>
                  </pic:spPr>
                </pic:pic>
              </a:graphicData>
            </a:graphic>
          </wp:inline>
        </w:drawing>
      </w:r>
      <w:r>
        <w:t>; (7.61)</w:t>
      </w:r>
    </w:p>
    <w:p w:rsidR="00212513" w:rsidRDefault="00212513">
      <w:pPr>
        <w:pStyle w:val="ConsPlusNormal"/>
        <w:ind w:firstLine="540"/>
        <w:jc w:val="both"/>
      </w:pPr>
    </w:p>
    <w:p w:rsidR="00212513" w:rsidRDefault="00212513">
      <w:pPr>
        <w:pStyle w:val="ConsPlusNormal"/>
        <w:ind w:firstLine="540"/>
        <w:jc w:val="both"/>
      </w:pPr>
      <w:r>
        <w:t>для элементов с напрягаемой арматурой при наличии ненапрягаемых хомутов</w:t>
      </w:r>
    </w:p>
    <w:p w:rsidR="00212513" w:rsidRDefault="00212513">
      <w:pPr>
        <w:pStyle w:val="ConsPlusNormal"/>
        <w:ind w:firstLine="540"/>
        <w:jc w:val="both"/>
      </w:pPr>
    </w:p>
    <w:p w:rsidR="00212513" w:rsidRDefault="00212513">
      <w:pPr>
        <w:pStyle w:val="ConsPlusNormal"/>
        <w:jc w:val="center"/>
      </w:pPr>
      <w:bookmarkStart w:id="192" w:name="P4796"/>
      <w:bookmarkEnd w:id="192"/>
      <w:r>
        <w:rPr>
          <w:noProof/>
          <w:position w:val="-11"/>
        </w:rPr>
        <w:drawing>
          <wp:inline distT="0" distB="0" distL="0" distR="0">
            <wp:extent cx="3590290" cy="281940"/>
            <wp:effectExtent l="0" t="0" r="0" b="0"/>
            <wp:docPr id="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3590290" cy="281940"/>
                    </a:xfrm>
                    <a:prstGeom prst="rect">
                      <a:avLst/>
                    </a:prstGeom>
                    <a:noFill/>
                    <a:ln>
                      <a:noFill/>
                    </a:ln>
                  </pic:spPr>
                </pic:pic>
              </a:graphicData>
            </a:graphic>
          </wp:inline>
        </w:drawing>
      </w:r>
      <w:r>
        <w:t>. (7.62)</w:t>
      </w:r>
    </w:p>
    <w:p w:rsidR="00212513" w:rsidRDefault="00212513">
      <w:pPr>
        <w:pStyle w:val="ConsPlusNormal"/>
        <w:ind w:firstLine="540"/>
        <w:jc w:val="both"/>
      </w:pPr>
    </w:p>
    <w:p w:rsidR="00212513" w:rsidRDefault="00212513">
      <w:pPr>
        <w:pStyle w:val="ConsPlusNormal"/>
        <w:jc w:val="center"/>
      </w:pPr>
      <w:r>
        <w:rPr>
          <w:noProof/>
          <w:position w:val="-140"/>
        </w:rPr>
        <w:drawing>
          <wp:inline distT="0" distB="0" distL="0" distR="0">
            <wp:extent cx="4979035" cy="1918335"/>
            <wp:effectExtent l="0" t="0" r="0" b="0"/>
            <wp:docPr id="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4979035" cy="1918335"/>
                    </a:xfrm>
                    <a:prstGeom prst="rect">
                      <a:avLst/>
                    </a:prstGeom>
                    <a:noFill/>
                    <a:ln>
                      <a:noFill/>
                    </a:ln>
                  </pic:spPr>
                </pic:pic>
              </a:graphicData>
            </a:graphic>
          </wp:inline>
        </w:drawing>
      </w:r>
    </w:p>
    <w:p w:rsidR="00212513" w:rsidRDefault="00212513">
      <w:pPr>
        <w:pStyle w:val="ConsPlusNormal"/>
        <w:jc w:val="center"/>
      </w:pPr>
    </w:p>
    <w:p w:rsidR="00212513" w:rsidRDefault="00212513">
      <w:pPr>
        <w:pStyle w:val="ConsPlusNormal"/>
        <w:jc w:val="center"/>
      </w:pPr>
      <w:r>
        <w:t>а - с ненапрягаемой арматурой; б - с напрягаемой арматурой</w:t>
      </w:r>
    </w:p>
    <w:p w:rsidR="00212513" w:rsidRDefault="00212513">
      <w:pPr>
        <w:pStyle w:val="ConsPlusNormal"/>
        <w:jc w:val="center"/>
      </w:pPr>
    </w:p>
    <w:p w:rsidR="00212513" w:rsidRDefault="00212513">
      <w:pPr>
        <w:pStyle w:val="ConsPlusNormal"/>
        <w:jc w:val="center"/>
      </w:pPr>
      <w:bookmarkStart w:id="193" w:name="P4802"/>
      <w:bookmarkEnd w:id="193"/>
      <w:r>
        <w:rPr>
          <w:b/>
          <w:i/>
        </w:rPr>
        <w:t>Рисунок 7.6 -</w:t>
      </w:r>
      <w:r>
        <w:t xml:space="preserve"> </w:t>
      </w:r>
      <w:r>
        <w:rPr>
          <w:b/>
        </w:rPr>
        <w:t>Схема усилий в сечении, наклонном к продольной</w:t>
      </w:r>
    </w:p>
    <w:p w:rsidR="00212513" w:rsidRDefault="00212513">
      <w:pPr>
        <w:pStyle w:val="ConsPlusNormal"/>
        <w:jc w:val="center"/>
      </w:pPr>
      <w:r>
        <w:rPr>
          <w:b/>
        </w:rPr>
        <w:t>оси железобетонного элемента, при расчете его по прочности</w:t>
      </w:r>
    </w:p>
    <w:p w:rsidR="00212513" w:rsidRDefault="00212513">
      <w:pPr>
        <w:pStyle w:val="ConsPlusNormal"/>
        <w:jc w:val="center"/>
      </w:pPr>
      <w:r>
        <w:rPr>
          <w:b/>
        </w:rPr>
        <w:t>на действие поперечной силы</w:t>
      </w:r>
    </w:p>
    <w:p w:rsidR="00212513" w:rsidRDefault="00212513">
      <w:pPr>
        <w:pStyle w:val="ConsPlusNormal"/>
        <w:ind w:firstLine="540"/>
        <w:jc w:val="both"/>
      </w:pPr>
    </w:p>
    <w:p w:rsidR="00212513" w:rsidRDefault="00212513">
      <w:pPr>
        <w:pStyle w:val="ConsPlusNormal"/>
        <w:ind w:firstLine="540"/>
        <w:jc w:val="both"/>
      </w:pPr>
      <w:r>
        <w:t xml:space="preserve">В </w:t>
      </w:r>
      <w:hyperlink w:anchor="P4792">
        <w:r>
          <w:rPr>
            <w:color w:val="0000FF"/>
          </w:rPr>
          <w:t>формулах (7.61)</w:t>
        </w:r>
      </w:hyperlink>
      <w:r>
        <w:t xml:space="preserve"> и </w:t>
      </w:r>
      <w:hyperlink w:anchor="P4796">
        <w:r>
          <w:rPr>
            <w:color w:val="0000FF"/>
          </w:rPr>
          <w:t>(7.62)</w:t>
        </w:r>
      </w:hyperlink>
      <w:r>
        <w:t>:</w:t>
      </w:r>
    </w:p>
    <w:p w:rsidR="00212513" w:rsidRDefault="00212513">
      <w:pPr>
        <w:pStyle w:val="ConsPlusNormal"/>
        <w:spacing w:before="220"/>
        <w:ind w:firstLine="540"/>
        <w:jc w:val="both"/>
      </w:pPr>
      <w:r>
        <w:rPr>
          <w:i/>
        </w:rPr>
        <w:t>Q</w:t>
      </w:r>
      <w:r>
        <w:t xml:space="preserve"> - максимальное значение поперечной силы от внешней нагрузки, расположенной по одну сторону от рассматриваемого наклонного сечения и определяемой с учетом переменности сечения по длине;</w:t>
      </w:r>
    </w:p>
    <w:p w:rsidR="00212513" w:rsidRDefault="00212513">
      <w:pPr>
        <w:pStyle w:val="ConsPlusNormal"/>
        <w:jc w:val="both"/>
      </w:pPr>
      <w:r>
        <w:t xml:space="preserve">(в ред. </w:t>
      </w:r>
      <w:hyperlink r:id="rId1059">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rPr>
          <w:noProof/>
          <w:position w:val="-11"/>
        </w:rPr>
        <w:drawing>
          <wp:inline distT="0" distB="0" distL="0" distR="0">
            <wp:extent cx="1005840" cy="281940"/>
            <wp:effectExtent l="0" t="0" r="0" b="0"/>
            <wp:docPr id="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1005840" cy="281940"/>
                    </a:xfrm>
                    <a:prstGeom prst="rect">
                      <a:avLst/>
                    </a:prstGeom>
                    <a:noFill/>
                    <a:ln>
                      <a:noFill/>
                    </a:ln>
                  </pic:spPr>
                </pic:pic>
              </a:graphicData>
            </a:graphic>
          </wp:inline>
        </w:drawing>
      </w:r>
      <w:r>
        <w:t xml:space="preserve">, </w:t>
      </w:r>
      <w:r>
        <w:rPr>
          <w:noProof/>
          <w:position w:val="-11"/>
        </w:rPr>
        <w:drawing>
          <wp:inline distT="0" distB="0" distL="0" distR="0">
            <wp:extent cx="691515" cy="281940"/>
            <wp:effectExtent l="0" t="0" r="0" b="0"/>
            <wp:docPr id="6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691515" cy="281940"/>
                    </a:xfrm>
                    <a:prstGeom prst="rect">
                      <a:avLst/>
                    </a:prstGeom>
                    <a:noFill/>
                    <a:ln>
                      <a:noFill/>
                    </a:ln>
                  </pic:spPr>
                </pic:pic>
              </a:graphicData>
            </a:graphic>
          </wp:inline>
        </w:drawing>
      </w:r>
      <w:r>
        <w:t xml:space="preserve"> - суммы проекций усилий всей пересекаемой ненапрягаемой (наклонной и нормальной к продольной оси элемента) арматуры при длине проекции сечения </w:t>
      </w:r>
      <w:r>
        <w:rPr>
          <w:i/>
        </w:rPr>
        <w:t>c</w:t>
      </w:r>
      <w:r>
        <w:t xml:space="preserve">, не превышающей </w:t>
      </w:r>
      <w:r>
        <w:rPr>
          <w:noProof/>
          <w:position w:val="-8"/>
        </w:rPr>
        <w:drawing>
          <wp:inline distT="0" distB="0" distL="0" distR="0">
            <wp:extent cx="273685" cy="251460"/>
            <wp:effectExtent l="0" t="0" r="0" b="0"/>
            <wp:docPr id="6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273685" cy="251460"/>
                    </a:xfrm>
                    <a:prstGeom prst="rect">
                      <a:avLst/>
                    </a:prstGeom>
                    <a:noFill/>
                    <a:ln>
                      <a:noFill/>
                    </a:ln>
                  </pic:spPr>
                </pic:pic>
              </a:graphicData>
            </a:graphic>
          </wp:inline>
        </w:drawing>
      </w:r>
      <w:r>
        <w:t>;</w:t>
      </w:r>
    </w:p>
    <w:p w:rsidR="00212513" w:rsidRDefault="00212513">
      <w:pPr>
        <w:pStyle w:val="ConsPlusNormal"/>
        <w:spacing w:before="220"/>
        <w:ind w:firstLine="540"/>
        <w:jc w:val="both"/>
      </w:pPr>
      <w:r>
        <w:rPr>
          <w:noProof/>
          <w:position w:val="-11"/>
        </w:rPr>
        <w:drawing>
          <wp:inline distT="0" distB="0" distL="0" distR="0">
            <wp:extent cx="1047750" cy="281940"/>
            <wp:effectExtent l="0" t="0" r="0" b="0"/>
            <wp:docPr id="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1047750" cy="281940"/>
                    </a:xfrm>
                    <a:prstGeom prst="rect">
                      <a:avLst/>
                    </a:prstGeom>
                    <a:noFill/>
                    <a:ln>
                      <a:noFill/>
                    </a:ln>
                  </pic:spPr>
                </pic:pic>
              </a:graphicData>
            </a:graphic>
          </wp:inline>
        </w:drawing>
      </w:r>
      <w:r>
        <w:t xml:space="preserve">, </w:t>
      </w:r>
      <w:r>
        <w:rPr>
          <w:noProof/>
          <w:position w:val="-11"/>
        </w:rPr>
        <w:drawing>
          <wp:inline distT="0" distB="0" distL="0" distR="0">
            <wp:extent cx="733425" cy="281940"/>
            <wp:effectExtent l="0" t="0" r="0" b="0"/>
            <wp:docPr id="6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733425" cy="281940"/>
                    </a:xfrm>
                    <a:prstGeom prst="rect">
                      <a:avLst/>
                    </a:prstGeom>
                    <a:noFill/>
                    <a:ln>
                      <a:noFill/>
                    </a:ln>
                  </pic:spPr>
                </pic:pic>
              </a:graphicData>
            </a:graphic>
          </wp:inline>
        </w:drawing>
      </w:r>
      <w:r>
        <w:t xml:space="preserve"> - то же, в напрягаемой арматуре, имеющей сцепление с бетоном (если напрягаемая арматура не имеет сцепления с бетоном, то значение расчетного сопротивления </w:t>
      </w:r>
      <w:r>
        <w:rPr>
          <w:noProof/>
          <w:position w:val="-10"/>
        </w:rPr>
        <w:drawing>
          <wp:inline distT="0" distB="0" distL="0" distR="0">
            <wp:extent cx="273685" cy="273685"/>
            <wp:effectExtent l="0" t="0" r="0" b="0"/>
            <wp:docPr id="6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inline>
        </w:drawing>
      </w:r>
      <w:r>
        <w:t xml:space="preserve"> следует принять равным установившемуся предварительному напряжению </w:t>
      </w:r>
      <w:r>
        <w:rPr>
          <w:noProof/>
          <w:position w:val="-9"/>
        </w:rPr>
        <w:drawing>
          <wp:inline distT="0" distB="0" distL="0" distR="0">
            <wp:extent cx="314960" cy="262890"/>
            <wp:effectExtent l="0" t="0" r="0" b="0"/>
            <wp:docPr id="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314960" cy="262890"/>
                    </a:xfrm>
                    <a:prstGeom prst="rect">
                      <a:avLst/>
                    </a:prstGeom>
                    <a:noFill/>
                    <a:ln>
                      <a:noFill/>
                    </a:ln>
                  </pic:spPr>
                </pic:pic>
              </a:graphicData>
            </a:graphic>
          </wp:inline>
        </w:drawing>
      </w:r>
      <w:r>
        <w:t xml:space="preserve"> в напрягаемой арматуре);</w:t>
      </w:r>
    </w:p>
    <w:p w:rsidR="00212513" w:rsidRDefault="00212513">
      <w:pPr>
        <w:pStyle w:val="ConsPlusNormal"/>
        <w:spacing w:before="220"/>
        <w:ind w:firstLine="540"/>
        <w:jc w:val="both"/>
      </w:pPr>
      <w:r>
        <w:rPr>
          <w:noProof/>
          <w:position w:val="-8"/>
        </w:rPr>
        <w:drawing>
          <wp:inline distT="0" distB="0" distL="0" distR="0">
            <wp:extent cx="262890" cy="251460"/>
            <wp:effectExtent l="0" t="0" r="0" b="0"/>
            <wp:docPr id="6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w:t>
      </w:r>
      <w:r>
        <w:rPr>
          <w:noProof/>
          <w:position w:val="-10"/>
        </w:rPr>
        <w:drawing>
          <wp:inline distT="0" distB="0" distL="0" distR="0">
            <wp:extent cx="273685" cy="273685"/>
            <wp:effectExtent l="0" t="0" r="0" b="0"/>
            <wp:docPr id="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inline>
        </w:drawing>
      </w:r>
      <w:r>
        <w:t xml:space="preserve"> - расчетные сопротивления ненапрягаемой и напрягаемой арматуры с учетом коэффициентов </w:t>
      </w:r>
      <w:r>
        <w:rPr>
          <w:noProof/>
          <w:position w:val="-8"/>
        </w:rPr>
        <w:drawing>
          <wp:inline distT="0" distB="0" distL="0" distR="0">
            <wp:extent cx="281940" cy="251460"/>
            <wp:effectExtent l="0" t="0" r="0" b="0"/>
            <wp:docPr id="6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xml:space="preserve"> или </w:t>
      </w:r>
      <w:r>
        <w:rPr>
          <w:noProof/>
          <w:position w:val="-9"/>
        </w:rPr>
        <w:drawing>
          <wp:inline distT="0" distB="0" distL="0" distR="0">
            <wp:extent cx="293370" cy="262890"/>
            <wp:effectExtent l="0" t="0" r="0" b="0"/>
            <wp:docPr id="7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293370" cy="262890"/>
                    </a:xfrm>
                    <a:prstGeom prst="rect">
                      <a:avLst/>
                    </a:prstGeom>
                    <a:noFill/>
                    <a:ln>
                      <a:noFill/>
                    </a:ln>
                  </pic:spPr>
                </pic:pic>
              </a:graphicData>
            </a:graphic>
          </wp:inline>
        </w:drawing>
      </w:r>
      <w:r>
        <w:t xml:space="preserve">, определяемых по </w:t>
      </w:r>
      <w:hyperlink w:anchor="P3801">
        <w:r>
          <w:rPr>
            <w:color w:val="0000FF"/>
          </w:rPr>
          <w:t>7.40</w:t>
        </w:r>
      </w:hyperlink>
      <w:r>
        <w:t>;</w:t>
      </w:r>
    </w:p>
    <w:p w:rsidR="00212513" w:rsidRDefault="00212513">
      <w:pPr>
        <w:pStyle w:val="ConsPlusNormal"/>
        <w:spacing w:before="220"/>
        <w:ind w:firstLine="540"/>
        <w:jc w:val="both"/>
      </w:pPr>
      <w:r>
        <w:rPr>
          <w:noProof/>
          <w:position w:val="-1"/>
        </w:rPr>
        <w:drawing>
          <wp:inline distT="0" distB="0" distL="0" distR="0">
            <wp:extent cx="167640" cy="156845"/>
            <wp:effectExtent l="0" t="0" r="0" b="0"/>
            <wp:docPr id="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 угол наклона стержней (пучков) к продольной оси элемента в месте пересечения наклонного сечения;</w:t>
      </w:r>
    </w:p>
    <w:p w:rsidR="00212513" w:rsidRDefault="00212513">
      <w:pPr>
        <w:pStyle w:val="ConsPlusNormal"/>
        <w:spacing w:before="220"/>
        <w:ind w:firstLine="540"/>
        <w:jc w:val="both"/>
      </w:pPr>
      <w:r>
        <w:rPr>
          <w:noProof/>
          <w:position w:val="-8"/>
        </w:rPr>
        <w:drawing>
          <wp:inline distT="0" distB="0" distL="0" distR="0">
            <wp:extent cx="209550" cy="251460"/>
            <wp:effectExtent l="0" t="0" r="0" b="0"/>
            <wp:docPr id="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поперечное усилие, передаваемое в расчете на бетон сжатой зоны над концом наклонного сечения и определяемое по формуле</w:t>
      </w:r>
    </w:p>
    <w:p w:rsidR="00212513" w:rsidRDefault="00212513">
      <w:pPr>
        <w:pStyle w:val="ConsPlusNormal"/>
        <w:ind w:firstLine="540"/>
        <w:jc w:val="both"/>
      </w:pPr>
    </w:p>
    <w:p w:rsidR="00212513" w:rsidRDefault="00212513">
      <w:pPr>
        <w:pStyle w:val="ConsPlusNormal"/>
        <w:jc w:val="center"/>
      </w:pPr>
      <w:bookmarkStart w:id="194" w:name="P4815"/>
      <w:bookmarkEnd w:id="194"/>
      <w:r>
        <w:rPr>
          <w:noProof/>
          <w:position w:val="-25"/>
        </w:rPr>
        <w:lastRenderedPageBreak/>
        <w:drawing>
          <wp:inline distT="0" distB="0" distL="0" distR="0">
            <wp:extent cx="1620520" cy="461010"/>
            <wp:effectExtent l="0" t="0" r="0" b="0"/>
            <wp:docPr id="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1620520" cy="461010"/>
                    </a:xfrm>
                    <a:prstGeom prst="rect">
                      <a:avLst/>
                    </a:prstGeom>
                    <a:noFill/>
                    <a:ln>
                      <a:noFill/>
                    </a:ln>
                  </pic:spPr>
                </pic:pic>
              </a:graphicData>
            </a:graphic>
          </wp:inline>
        </w:drawing>
      </w:r>
      <w:r>
        <w:t>, (7.63)</w:t>
      </w:r>
    </w:p>
    <w:p w:rsidR="00212513" w:rsidRDefault="00212513">
      <w:pPr>
        <w:pStyle w:val="ConsPlusNormal"/>
        <w:ind w:firstLine="540"/>
        <w:jc w:val="both"/>
      </w:pPr>
    </w:p>
    <w:p w:rsidR="00212513" w:rsidRDefault="00212513">
      <w:pPr>
        <w:pStyle w:val="ConsPlusNormal"/>
        <w:ind w:firstLine="540"/>
        <w:jc w:val="both"/>
      </w:pPr>
      <w:r>
        <w:t xml:space="preserve">где </w:t>
      </w:r>
      <w:r>
        <w:rPr>
          <w:i/>
        </w:rPr>
        <w:t>b</w:t>
      </w:r>
      <w:r>
        <w:t xml:space="preserve">, </w:t>
      </w:r>
      <w:r>
        <w:rPr>
          <w:noProof/>
          <w:position w:val="-8"/>
        </w:rPr>
        <w:drawing>
          <wp:inline distT="0" distB="0" distL="0" distR="0">
            <wp:extent cx="188595" cy="251460"/>
            <wp:effectExtent l="0" t="0" r="0" b="0"/>
            <wp:docPr id="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188595" cy="251460"/>
                    </a:xfrm>
                    <a:prstGeom prst="rect">
                      <a:avLst/>
                    </a:prstGeom>
                    <a:noFill/>
                    <a:ln>
                      <a:noFill/>
                    </a:ln>
                  </pic:spPr>
                </pic:pic>
              </a:graphicData>
            </a:graphic>
          </wp:inline>
        </w:drawing>
      </w:r>
      <w:r>
        <w:t xml:space="preserve"> - толщина стенки (ребра) или ширина сплошной плиты и расчетная высота сечения, пересекающего центр сжатой зоны наклонного сечения;</w:t>
      </w:r>
    </w:p>
    <w:p w:rsidR="00212513" w:rsidRDefault="00212513">
      <w:pPr>
        <w:pStyle w:val="ConsPlusNormal"/>
        <w:spacing w:before="220"/>
        <w:ind w:firstLine="540"/>
        <w:jc w:val="both"/>
      </w:pPr>
      <w:r>
        <w:rPr>
          <w:i/>
        </w:rPr>
        <w:t>c</w:t>
      </w:r>
      <w:r>
        <w:t xml:space="preserve"> - длина проекции невыгоднейшего наклонного сечения на продольную ось элемента, определяемая сравнительными расчетами согласно требованиям </w:t>
      </w:r>
      <w:hyperlink w:anchor="P4839">
        <w:r>
          <w:rPr>
            <w:color w:val="0000FF"/>
          </w:rPr>
          <w:t>7.79</w:t>
        </w:r>
      </w:hyperlink>
      <w:r>
        <w:t>;</w:t>
      </w:r>
    </w:p>
    <w:p w:rsidR="00212513" w:rsidRDefault="00212513">
      <w:pPr>
        <w:pStyle w:val="ConsPlusNormal"/>
        <w:spacing w:before="220"/>
        <w:ind w:firstLine="540"/>
        <w:jc w:val="both"/>
      </w:pPr>
      <w:r>
        <w:rPr>
          <w:i/>
        </w:rPr>
        <w:t>m</w:t>
      </w:r>
      <w:r>
        <w:t xml:space="preserve"> - коэффициент условий работы, равный</w:t>
      </w:r>
    </w:p>
    <w:p w:rsidR="00212513" w:rsidRDefault="00212513">
      <w:pPr>
        <w:pStyle w:val="ConsPlusNormal"/>
        <w:ind w:firstLine="540"/>
        <w:jc w:val="both"/>
      </w:pPr>
    </w:p>
    <w:p w:rsidR="00212513" w:rsidRDefault="00212513">
      <w:pPr>
        <w:pStyle w:val="ConsPlusNormal"/>
        <w:jc w:val="center"/>
      </w:pPr>
      <w:r>
        <w:rPr>
          <w:noProof/>
          <w:position w:val="-32"/>
        </w:rPr>
        <w:drawing>
          <wp:inline distT="0" distB="0" distL="0" distR="0">
            <wp:extent cx="1606550" cy="553085"/>
            <wp:effectExtent l="0" t="0" r="0" b="0"/>
            <wp:docPr id="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1606550" cy="553085"/>
                    </a:xfrm>
                    <a:prstGeom prst="rect">
                      <a:avLst/>
                    </a:prstGeom>
                    <a:noFill/>
                    <a:ln>
                      <a:noFill/>
                    </a:ln>
                  </pic:spPr>
                </pic:pic>
              </a:graphicData>
            </a:graphic>
          </wp:inline>
        </w:drawing>
      </w:r>
      <w:r>
        <w:t>, (7.64)</w:t>
      </w:r>
    </w:p>
    <w:p w:rsidR="00212513" w:rsidRDefault="00212513">
      <w:pPr>
        <w:pStyle w:val="ConsPlusNormal"/>
        <w:ind w:firstLine="540"/>
        <w:jc w:val="both"/>
      </w:pPr>
    </w:p>
    <w:p w:rsidR="00212513" w:rsidRDefault="00212513">
      <w:pPr>
        <w:pStyle w:val="ConsPlusNormal"/>
        <w:jc w:val="both"/>
      </w:pPr>
      <w:r>
        <w:t>но не менее 1,3 и не более 2,5,</w:t>
      </w:r>
    </w:p>
    <w:p w:rsidR="00212513" w:rsidRDefault="00212513">
      <w:pPr>
        <w:pStyle w:val="ConsPlusNormal"/>
        <w:spacing w:before="220"/>
        <w:ind w:firstLine="540"/>
        <w:jc w:val="both"/>
      </w:pPr>
      <w:r>
        <w:t xml:space="preserve">где </w:t>
      </w:r>
      <w:r>
        <w:rPr>
          <w:noProof/>
          <w:position w:val="-9"/>
        </w:rPr>
        <w:drawing>
          <wp:inline distT="0" distB="0" distL="0" distR="0">
            <wp:extent cx="314960" cy="262890"/>
            <wp:effectExtent l="0" t="0" r="0" b="0"/>
            <wp:docPr id="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314960" cy="262890"/>
                    </a:xfrm>
                    <a:prstGeom prst="rect">
                      <a:avLst/>
                    </a:prstGeom>
                    <a:noFill/>
                    <a:ln>
                      <a:noFill/>
                    </a:ln>
                  </pic:spPr>
                </pic:pic>
              </a:graphicData>
            </a:graphic>
          </wp:inline>
        </w:drawing>
      </w:r>
      <w:r>
        <w:t xml:space="preserve"> - расчетное сопротивление бетона скалыванию при изгибе;</w:t>
      </w:r>
    </w:p>
    <w:p w:rsidR="00212513" w:rsidRDefault="00212513">
      <w:pPr>
        <w:pStyle w:val="ConsPlusNormal"/>
        <w:spacing w:before="220"/>
        <w:ind w:firstLine="540"/>
        <w:jc w:val="both"/>
      </w:pPr>
      <w:r>
        <w:rPr>
          <w:noProof/>
          <w:position w:val="-9"/>
        </w:rPr>
        <w:drawing>
          <wp:inline distT="0" distB="0" distL="0" distR="0">
            <wp:extent cx="177800" cy="262890"/>
            <wp:effectExtent l="0" t="0" r="0" b="0"/>
            <wp:docPr id="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 наибольшее скалывающее напряжение от нормативной нагрузки; при </w:t>
      </w:r>
      <w:r>
        <w:rPr>
          <w:noProof/>
          <w:position w:val="-9"/>
        </w:rPr>
        <w:drawing>
          <wp:inline distT="0" distB="0" distL="0" distR="0">
            <wp:extent cx="939800" cy="262890"/>
            <wp:effectExtent l="0" t="0" r="0" b="0"/>
            <wp:docPr id="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939800" cy="262890"/>
                    </a:xfrm>
                    <a:prstGeom prst="rect">
                      <a:avLst/>
                    </a:prstGeom>
                    <a:noFill/>
                    <a:ln>
                      <a:noFill/>
                    </a:ln>
                  </pic:spPr>
                </pic:pic>
              </a:graphicData>
            </a:graphic>
          </wp:inline>
        </w:drawing>
      </w:r>
      <w:r>
        <w:t xml:space="preserve"> - проверку на прочность по наклонным сечениям допускается не производить, а при </w:t>
      </w:r>
      <w:r>
        <w:rPr>
          <w:noProof/>
          <w:position w:val="-9"/>
        </w:rPr>
        <w:drawing>
          <wp:inline distT="0" distB="0" distL="0" distR="0">
            <wp:extent cx="648970" cy="262890"/>
            <wp:effectExtent l="0" t="0" r="0" b="0"/>
            <wp:docPr id="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648970" cy="262890"/>
                    </a:xfrm>
                    <a:prstGeom prst="rect">
                      <a:avLst/>
                    </a:prstGeom>
                    <a:noFill/>
                    <a:ln>
                      <a:noFill/>
                    </a:ln>
                  </pic:spPr>
                </pic:pic>
              </a:graphicData>
            </a:graphic>
          </wp:inline>
        </w:drawing>
      </w:r>
      <w:r>
        <w:t xml:space="preserve"> - сечение должно быть изменено;</w:t>
      </w:r>
    </w:p>
    <w:p w:rsidR="00212513" w:rsidRDefault="00212513">
      <w:pPr>
        <w:pStyle w:val="ConsPlusNormal"/>
        <w:spacing w:before="220"/>
        <w:ind w:firstLine="540"/>
        <w:jc w:val="both"/>
      </w:pPr>
      <w:r>
        <w:rPr>
          <w:noProof/>
          <w:position w:val="-9"/>
        </w:rPr>
        <w:drawing>
          <wp:inline distT="0" distB="0" distL="0" distR="0">
            <wp:extent cx="220980" cy="262890"/>
            <wp:effectExtent l="0" t="0" r="0" b="0"/>
            <wp:docPr id="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усилие, воспринимаемое горизонтальной арматурой, кгс</w:t>
      </w:r>
    </w:p>
    <w:p w:rsidR="00212513" w:rsidRDefault="00212513">
      <w:pPr>
        <w:pStyle w:val="ConsPlusNormal"/>
        <w:ind w:firstLine="540"/>
        <w:jc w:val="both"/>
      </w:pPr>
    </w:p>
    <w:p w:rsidR="00212513" w:rsidRDefault="00212513">
      <w:pPr>
        <w:pStyle w:val="ConsPlusNormal"/>
        <w:jc w:val="center"/>
      </w:pPr>
      <w:r>
        <w:rPr>
          <w:noProof/>
          <w:position w:val="-9"/>
        </w:rPr>
        <w:drawing>
          <wp:inline distT="0" distB="0" distL="0" distR="0">
            <wp:extent cx="1047750" cy="262890"/>
            <wp:effectExtent l="0" t="0" r="0" b="0"/>
            <wp:docPr id="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1047750" cy="262890"/>
                    </a:xfrm>
                    <a:prstGeom prst="rect">
                      <a:avLst/>
                    </a:prstGeom>
                    <a:noFill/>
                    <a:ln>
                      <a:noFill/>
                    </a:ln>
                  </pic:spPr>
                </pic:pic>
              </a:graphicData>
            </a:graphic>
          </wp:inline>
        </w:drawing>
      </w:r>
      <w:r>
        <w:t>, (7.65)</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9"/>
        </w:rPr>
        <w:drawing>
          <wp:inline distT="0" distB="0" distL="0" distR="0">
            <wp:extent cx="220980" cy="262890"/>
            <wp:effectExtent l="0" t="0" r="0" b="0"/>
            <wp:docPr id="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площадь горизонтальной напрягаемой и ненапрягаемой арматуры, см</w:t>
      </w:r>
      <w:r>
        <w:rPr>
          <w:vertAlign w:val="superscript"/>
        </w:rPr>
        <w:t>2</w:t>
      </w:r>
      <w:r>
        <w:t xml:space="preserve">, пересекаемой наклонным сечением под углом </w:t>
      </w:r>
      <w:r>
        <w:rPr>
          <w:noProof/>
          <w:position w:val="-6"/>
        </w:rPr>
        <w:drawing>
          <wp:inline distT="0" distB="0" distL="0" distR="0">
            <wp:extent cx="167640" cy="220980"/>
            <wp:effectExtent l="0" t="0" r="0" b="0"/>
            <wp:docPr id="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1" cstate="print">
                      <a:extLst>
                        <a:ext uri="{28A0092B-C50C-407E-A947-70E740481C1C}">
                          <a14:useLocalDpi xmlns:a14="http://schemas.microsoft.com/office/drawing/2010/main" val="0"/>
                        </a:ext>
                      </a:extLst>
                    </a:blip>
                    <a:srcRect/>
                    <a:stretch>
                      <a:fillRect/>
                    </a:stretch>
                  </pic:blipFill>
                  <pic:spPr bwMode="auto">
                    <a:xfrm>
                      <a:off x="0" y="0"/>
                      <a:ext cx="167640" cy="220980"/>
                    </a:xfrm>
                    <a:prstGeom prst="rect">
                      <a:avLst/>
                    </a:prstGeom>
                    <a:noFill/>
                    <a:ln>
                      <a:noFill/>
                    </a:ln>
                  </pic:spPr>
                </pic:pic>
              </a:graphicData>
            </a:graphic>
          </wp:inline>
        </w:drawing>
      </w:r>
      <w:r>
        <w:t>, град.</w:t>
      </w:r>
    </w:p>
    <w:p w:rsidR="00212513" w:rsidRDefault="00212513">
      <w:pPr>
        <w:pStyle w:val="ConsPlusNormal"/>
        <w:spacing w:before="220"/>
        <w:ind w:firstLine="540"/>
        <w:jc w:val="both"/>
      </w:pPr>
      <w:r>
        <w:t xml:space="preserve">Значение коэффициента </w:t>
      </w:r>
      <w:r>
        <w:rPr>
          <w:i/>
        </w:rPr>
        <w:t>K</w:t>
      </w:r>
      <w:r>
        <w:t xml:space="preserve"> определяется условием</w:t>
      </w:r>
    </w:p>
    <w:p w:rsidR="00212513" w:rsidRDefault="00212513">
      <w:pPr>
        <w:pStyle w:val="ConsPlusNormal"/>
        <w:ind w:firstLine="540"/>
        <w:jc w:val="both"/>
      </w:pPr>
    </w:p>
    <w:p w:rsidR="00212513" w:rsidRDefault="00212513">
      <w:pPr>
        <w:pStyle w:val="ConsPlusNormal"/>
        <w:jc w:val="center"/>
      </w:pPr>
      <w:r>
        <w:rPr>
          <w:noProof/>
          <w:position w:val="-26"/>
        </w:rPr>
        <w:drawing>
          <wp:inline distT="0" distB="0" distL="0" distR="0">
            <wp:extent cx="1508760" cy="470535"/>
            <wp:effectExtent l="0" t="0" r="0" b="0"/>
            <wp:docPr id="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1508760" cy="470535"/>
                    </a:xfrm>
                    <a:prstGeom prst="rect">
                      <a:avLst/>
                    </a:prstGeom>
                    <a:noFill/>
                    <a:ln>
                      <a:noFill/>
                    </a:ln>
                  </pic:spPr>
                </pic:pic>
              </a:graphicData>
            </a:graphic>
          </wp:inline>
        </w:drawing>
      </w:r>
      <w:r>
        <w:t>. (7.66)</w:t>
      </w:r>
    </w:p>
    <w:p w:rsidR="00212513" w:rsidRDefault="00212513">
      <w:pPr>
        <w:pStyle w:val="ConsPlusNormal"/>
        <w:ind w:firstLine="540"/>
        <w:jc w:val="both"/>
      </w:pPr>
    </w:p>
    <w:p w:rsidR="00212513" w:rsidRDefault="00212513">
      <w:pPr>
        <w:pStyle w:val="ConsPlusNormal"/>
        <w:ind w:firstLine="540"/>
        <w:jc w:val="both"/>
      </w:pPr>
      <w:r>
        <w:t>В сечениях, расположенных между хомутами, при </w:t>
      </w:r>
      <w:r>
        <w:rPr>
          <w:noProof/>
          <w:position w:val="-6"/>
        </w:rPr>
        <w:drawing>
          <wp:inline distT="0" distB="0" distL="0" distR="0">
            <wp:extent cx="552450" cy="220980"/>
            <wp:effectExtent l="0" t="0" r="0" b="0"/>
            <wp:docPr id="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552450" cy="220980"/>
                    </a:xfrm>
                    <a:prstGeom prst="rect">
                      <a:avLst/>
                    </a:prstGeom>
                    <a:noFill/>
                    <a:ln>
                      <a:noFill/>
                    </a:ln>
                  </pic:spPr>
                </pic:pic>
              </a:graphicData>
            </a:graphic>
          </wp:inline>
        </w:drawing>
      </w:r>
    </w:p>
    <w:p w:rsidR="00212513" w:rsidRDefault="00212513">
      <w:pPr>
        <w:pStyle w:val="ConsPlusNormal"/>
        <w:ind w:firstLine="540"/>
        <w:jc w:val="both"/>
      </w:pPr>
    </w:p>
    <w:p w:rsidR="00212513" w:rsidRDefault="00212513">
      <w:pPr>
        <w:pStyle w:val="ConsPlusNormal"/>
        <w:jc w:val="center"/>
      </w:pPr>
      <w:r>
        <w:rPr>
          <w:noProof/>
          <w:position w:val="-9"/>
        </w:rPr>
        <w:drawing>
          <wp:inline distT="0" distB="0" distL="0" distR="0">
            <wp:extent cx="899160" cy="262890"/>
            <wp:effectExtent l="0" t="0" r="0" b="0"/>
            <wp:docPr id="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899160" cy="262890"/>
                    </a:xfrm>
                    <a:prstGeom prst="rect">
                      <a:avLst/>
                    </a:prstGeom>
                    <a:noFill/>
                    <a:ln>
                      <a:noFill/>
                    </a:ln>
                  </pic:spPr>
                </pic:pic>
              </a:graphicData>
            </a:graphic>
          </wp:inline>
        </w:drawing>
      </w:r>
      <w:r>
        <w:t>. (7.67)</w:t>
      </w:r>
    </w:p>
    <w:p w:rsidR="00212513" w:rsidRDefault="00212513">
      <w:pPr>
        <w:pStyle w:val="ConsPlusNormal"/>
        <w:jc w:val="center"/>
      </w:pPr>
    </w:p>
    <w:p w:rsidR="00212513" w:rsidRDefault="00212513">
      <w:pPr>
        <w:pStyle w:val="ConsPlusNormal"/>
        <w:ind w:firstLine="540"/>
        <w:jc w:val="both"/>
      </w:pPr>
      <w:bookmarkStart w:id="195" w:name="P4839"/>
      <w:bookmarkEnd w:id="195"/>
      <w:r>
        <w:t xml:space="preserve">7.79 Невыгоднейшее наклонное сечение и соответствующую ему проекцию на продольную ось элемента следует определять посредством сравнительных расчетов из условия минимума поперечной силы, воспринимаемой бетоном и арматурой. При этом на участках длиной </w:t>
      </w:r>
      <w:r>
        <w:rPr>
          <w:noProof/>
          <w:position w:val="-8"/>
        </w:rPr>
        <w:drawing>
          <wp:inline distT="0" distB="0" distL="0" distR="0">
            <wp:extent cx="273685" cy="251460"/>
            <wp:effectExtent l="0" t="0" r="0" b="0"/>
            <wp:docPr id="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273685" cy="251460"/>
                    </a:xfrm>
                    <a:prstGeom prst="rect">
                      <a:avLst/>
                    </a:prstGeom>
                    <a:noFill/>
                    <a:ln>
                      <a:noFill/>
                    </a:ln>
                  </pic:spPr>
                </pic:pic>
              </a:graphicData>
            </a:graphic>
          </wp:inline>
        </w:drawing>
      </w:r>
      <w:r>
        <w:t xml:space="preserve"> от опорного сечения следует выполнять проверку наклонных сечений с углом наклона к опорному (вертикальному) сечению 45° для конструкций с ненапрягаемой арматурой и 60° - с напрягаемой. При сосредоточенном действии нагрузки вблизи опоры наиболее опасное наклонное сечение имеет направление от нагрузки к опоре.</w:t>
      </w:r>
    </w:p>
    <w:p w:rsidR="00212513" w:rsidRDefault="00212513">
      <w:pPr>
        <w:pStyle w:val="ConsPlusNormal"/>
        <w:spacing w:before="220"/>
        <w:ind w:firstLine="540"/>
        <w:jc w:val="both"/>
      </w:pPr>
      <w:r>
        <w:t xml:space="preserve">7.80 При наличии напрягаемых хомутов угол к продольной оси элемента при </w:t>
      </w:r>
      <w:r>
        <w:lastRenderedPageBreak/>
        <w:t>дополнительной проверке по наклонным сечениям следует определять по формуле</w:t>
      </w:r>
    </w:p>
    <w:p w:rsidR="00212513" w:rsidRDefault="00212513">
      <w:pPr>
        <w:pStyle w:val="ConsPlusNormal"/>
        <w:ind w:firstLine="540"/>
        <w:jc w:val="both"/>
      </w:pPr>
    </w:p>
    <w:p w:rsidR="00212513" w:rsidRDefault="00212513">
      <w:pPr>
        <w:pStyle w:val="ConsPlusNormal"/>
        <w:jc w:val="center"/>
      </w:pPr>
      <w:r>
        <w:rPr>
          <w:noProof/>
          <w:position w:val="-26"/>
        </w:rPr>
        <w:drawing>
          <wp:inline distT="0" distB="0" distL="0" distR="0">
            <wp:extent cx="945515" cy="470535"/>
            <wp:effectExtent l="0" t="0" r="0" b="0"/>
            <wp:docPr id="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945515" cy="470535"/>
                    </a:xfrm>
                    <a:prstGeom prst="rect">
                      <a:avLst/>
                    </a:prstGeom>
                    <a:noFill/>
                    <a:ln>
                      <a:noFill/>
                    </a:ln>
                  </pic:spPr>
                </pic:pic>
              </a:graphicData>
            </a:graphic>
          </wp:inline>
        </w:drawing>
      </w:r>
      <w:r>
        <w:t>, (7.68)</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8"/>
        </w:rPr>
        <w:drawing>
          <wp:inline distT="0" distB="0" distL="0" distR="0">
            <wp:extent cx="262890" cy="251460"/>
            <wp:effectExtent l="0" t="0" r="0" b="0"/>
            <wp:docPr id="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значение главного растягивающего напряжения;</w:t>
      </w:r>
    </w:p>
    <w:p w:rsidR="00212513" w:rsidRDefault="0021251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21251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12513" w:rsidRDefault="0021251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12513" w:rsidRDefault="0021251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12513" w:rsidRDefault="00212513">
            <w:pPr>
              <w:pStyle w:val="ConsPlusNormal"/>
              <w:jc w:val="both"/>
            </w:pPr>
            <w:r>
              <w:rPr>
                <w:color w:val="392C69"/>
              </w:rPr>
              <w:t>КонсультантПлюс: примечание.</w:t>
            </w:r>
          </w:p>
          <w:p w:rsidR="00212513" w:rsidRDefault="00212513">
            <w:pPr>
              <w:pStyle w:val="ConsPlusNormal"/>
              <w:jc w:val="both"/>
            </w:pPr>
            <w:r>
              <w:rPr>
                <w:color w:val="392C69"/>
              </w:rPr>
              <w:t>Обозначение дано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212513" w:rsidRDefault="00212513">
            <w:pPr>
              <w:pStyle w:val="ConsPlusNormal"/>
            </w:pPr>
          </w:p>
        </w:tc>
      </w:tr>
    </w:tbl>
    <w:p w:rsidR="00212513" w:rsidRDefault="00212513">
      <w:pPr>
        <w:pStyle w:val="ConsPlusNormal"/>
        <w:spacing w:before="280"/>
        <w:ind w:firstLine="540"/>
        <w:jc w:val="both"/>
      </w:pPr>
      <w:r>
        <w:rPr>
          <w:noProof/>
          <w:position w:val="-8"/>
        </w:rPr>
        <w:drawing>
          <wp:inline distT="0" distB="0" distL="0" distR="0">
            <wp:extent cx="146050" cy="251460"/>
            <wp:effectExtent l="0" t="0" r="0" b="0"/>
            <wp:docPr id="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146050" cy="251460"/>
                    </a:xfrm>
                    <a:prstGeom prst="rect">
                      <a:avLst/>
                    </a:prstGeom>
                    <a:noFill/>
                    <a:ln>
                      <a:noFill/>
                    </a:ln>
                  </pic:spPr>
                </pic:pic>
              </a:graphicData>
            </a:graphic>
          </wp:inline>
        </w:drawing>
      </w:r>
      <w:r>
        <w:t xml:space="preserve"> - значение касательного напряжения.</w:t>
      </w:r>
    </w:p>
    <w:p w:rsidR="00212513" w:rsidRDefault="00212513">
      <w:pPr>
        <w:pStyle w:val="ConsPlusNormal"/>
        <w:spacing w:before="220"/>
        <w:ind w:firstLine="540"/>
        <w:jc w:val="both"/>
      </w:pPr>
      <w:r>
        <w:t>7.81 Для железобетонных элементов без поперечной арматуры должно соблюдаться условие, ограничивающее развитие наклонных трещин</w:t>
      </w:r>
    </w:p>
    <w:p w:rsidR="00212513" w:rsidRDefault="00212513">
      <w:pPr>
        <w:pStyle w:val="ConsPlusNormal"/>
        <w:ind w:firstLine="540"/>
        <w:jc w:val="both"/>
      </w:pPr>
    </w:p>
    <w:p w:rsidR="00212513" w:rsidRDefault="00212513">
      <w:pPr>
        <w:pStyle w:val="ConsPlusNormal"/>
        <w:jc w:val="center"/>
      </w:pPr>
      <w:r>
        <w:rPr>
          <w:noProof/>
          <w:position w:val="-9"/>
        </w:rPr>
        <w:drawing>
          <wp:inline distT="0" distB="0" distL="0" distR="0">
            <wp:extent cx="838200" cy="262890"/>
            <wp:effectExtent l="0" t="0" r="0" b="0"/>
            <wp:docPr id="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838200" cy="262890"/>
                    </a:xfrm>
                    <a:prstGeom prst="rect">
                      <a:avLst/>
                    </a:prstGeom>
                    <a:noFill/>
                    <a:ln>
                      <a:noFill/>
                    </a:ln>
                  </pic:spPr>
                </pic:pic>
              </a:graphicData>
            </a:graphic>
          </wp:inline>
        </w:drawing>
      </w:r>
      <w:r>
        <w:t>. (7.69)</w:t>
      </w:r>
    </w:p>
    <w:p w:rsidR="00212513" w:rsidRDefault="00212513">
      <w:pPr>
        <w:pStyle w:val="ConsPlusNormal"/>
        <w:ind w:firstLine="540"/>
        <w:jc w:val="both"/>
      </w:pPr>
    </w:p>
    <w:p w:rsidR="00212513" w:rsidRDefault="00212513">
      <w:pPr>
        <w:pStyle w:val="ConsPlusNormal"/>
        <w:ind w:firstLine="540"/>
        <w:jc w:val="both"/>
      </w:pPr>
      <w:r>
        <w:t xml:space="preserve">7.82. При расчете растянутых и внецентренно растянутых элементов при отсутствии в них сжатой зоны вся поперечная сила </w:t>
      </w:r>
      <w:r>
        <w:rPr>
          <w:i/>
        </w:rPr>
        <w:t>Q</w:t>
      </w:r>
      <w:r>
        <w:t xml:space="preserve"> должна восприниматься поперечной арматурой.</w:t>
      </w:r>
    </w:p>
    <w:p w:rsidR="00212513" w:rsidRDefault="00212513">
      <w:pPr>
        <w:pStyle w:val="ConsPlusNormal"/>
        <w:spacing w:before="220"/>
        <w:ind w:firstLine="540"/>
        <w:jc w:val="both"/>
      </w:pPr>
      <w:r>
        <w:t xml:space="preserve">При расчете внецентренно растянутых элементов при наличии сжатой зоны значение </w:t>
      </w:r>
      <w:r>
        <w:rPr>
          <w:noProof/>
          <w:position w:val="-8"/>
        </w:rPr>
        <w:drawing>
          <wp:inline distT="0" distB="0" distL="0" distR="0">
            <wp:extent cx="209550" cy="251460"/>
            <wp:effectExtent l="0" t="0" r="0" b="0"/>
            <wp:docPr id="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вычисленное по </w:t>
      </w:r>
      <w:hyperlink w:anchor="P4815">
        <w:r>
          <w:rPr>
            <w:color w:val="0000FF"/>
          </w:rPr>
          <w:t>формуле (7.63)</w:t>
        </w:r>
      </w:hyperlink>
      <w:r>
        <w:t xml:space="preserve">, следует умножить на коэффициент </w:t>
      </w:r>
      <w:r>
        <w:rPr>
          <w:noProof/>
          <w:position w:val="-8"/>
        </w:rPr>
        <w:drawing>
          <wp:inline distT="0" distB="0" distL="0" distR="0">
            <wp:extent cx="167640" cy="251460"/>
            <wp:effectExtent l="0" t="0" r="0" b="0"/>
            <wp:docPr id="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равный</w:t>
      </w:r>
    </w:p>
    <w:p w:rsidR="00212513" w:rsidRDefault="00212513">
      <w:pPr>
        <w:pStyle w:val="ConsPlusNormal"/>
        <w:ind w:firstLine="540"/>
        <w:jc w:val="both"/>
      </w:pPr>
    </w:p>
    <w:p w:rsidR="00212513" w:rsidRDefault="00212513">
      <w:pPr>
        <w:pStyle w:val="ConsPlusNormal"/>
        <w:jc w:val="center"/>
      </w:pPr>
      <w:r>
        <w:rPr>
          <w:noProof/>
          <w:position w:val="-26"/>
        </w:rPr>
        <w:drawing>
          <wp:inline distT="0" distB="0" distL="0" distR="0">
            <wp:extent cx="1241425" cy="470535"/>
            <wp:effectExtent l="0" t="0" r="0" b="0"/>
            <wp:docPr id="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1241425" cy="470535"/>
                    </a:xfrm>
                    <a:prstGeom prst="rect">
                      <a:avLst/>
                    </a:prstGeom>
                    <a:noFill/>
                    <a:ln>
                      <a:noFill/>
                    </a:ln>
                  </pic:spPr>
                </pic:pic>
              </a:graphicData>
            </a:graphic>
          </wp:inline>
        </w:drawing>
      </w:r>
      <w:r>
        <w:t>, (7.70)</w:t>
      </w:r>
    </w:p>
    <w:p w:rsidR="00212513" w:rsidRDefault="00212513">
      <w:pPr>
        <w:pStyle w:val="ConsPlusNormal"/>
        <w:ind w:firstLine="540"/>
        <w:jc w:val="both"/>
      </w:pPr>
    </w:p>
    <w:p w:rsidR="00212513" w:rsidRDefault="00212513">
      <w:pPr>
        <w:pStyle w:val="ConsPlusNormal"/>
        <w:ind w:firstLine="540"/>
        <w:jc w:val="both"/>
      </w:pPr>
      <w:r>
        <w:t>но не менее 0,2 (</w:t>
      </w:r>
      <w:r>
        <w:rPr>
          <w:i/>
        </w:rPr>
        <w:t>N</w:t>
      </w:r>
      <w:r>
        <w:t xml:space="preserve"> - продольная растягивающая сила).</w:t>
      </w:r>
    </w:p>
    <w:p w:rsidR="00212513" w:rsidRDefault="00212513">
      <w:pPr>
        <w:pStyle w:val="ConsPlusNormal"/>
        <w:ind w:firstLine="540"/>
        <w:jc w:val="both"/>
      </w:pPr>
    </w:p>
    <w:p w:rsidR="00212513" w:rsidRDefault="00212513">
      <w:pPr>
        <w:pStyle w:val="ConsPlusTitle"/>
        <w:ind w:firstLine="540"/>
        <w:jc w:val="both"/>
        <w:outlineLvl w:val="3"/>
      </w:pPr>
      <w:r>
        <w:t>Расчет по прочности сечений, наклонных к продольной оси элемента, на действие изгибающих моментов</w:t>
      </w:r>
    </w:p>
    <w:p w:rsidR="00212513" w:rsidRDefault="00212513">
      <w:pPr>
        <w:pStyle w:val="ConsPlusNormal"/>
        <w:ind w:firstLine="540"/>
        <w:jc w:val="both"/>
      </w:pPr>
    </w:p>
    <w:p w:rsidR="00212513" w:rsidRDefault="00212513">
      <w:pPr>
        <w:pStyle w:val="ConsPlusNormal"/>
        <w:ind w:firstLine="540"/>
        <w:jc w:val="both"/>
      </w:pPr>
      <w:bookmarkStart w:id="196" w:name="P4861"/>
      <w:bookmarkEnd w:id="196"/>
      <w:r>
        <w:t xml:space="preserve">7.83 Расчет наклонных сечений по изгибающему моменту </w:t>
      </w:r>
      <w:hyperlink w:anchor="P4877">
        <w:r>
          <w:rPr>
            <w:color w:val="0000FF"/>
          </w:rPr>
          <w:t>(рисунок 7.7)</w:t>
        </w:r>
      </w:hyperlink>
      <w:r>
        <w:t xml:space="preserve"> следует производить, используя условия:</w:t>
      </w:r>
    </w:p>
    <w:p w:rsidR="00212513" w:rsidRDefault="00212513">
      <w:pPr>
        <w:pStyle w:val="ConsPlusNormal"/>
        <w:spacing w:before="220"/>
        <w:ind w:firstLine="540"/>
        <w:jc w:val="both"/>
      </w:pPr>
      <w:r>
        <w:t>для элементов с ненапрягаемой арматурой</w:t>
      </w:r>
    </w:p>
    <w:p w:rsidR="00212513" w:rsidRDefault="00212513">
      <w:pPr>
        <w:pStyle w:val="ConsPlusNormal"/>
        <w:ind w:firstLine="540"/>
        <w:jc w:val="both"/>
      </w:pPr>
    </w:p>
    <w:p w:rsidR="00212513" w:rsidRDefault="00212513">
      <w:pPr>
        <w:pStyle w:val="ConsPlusNormal"/>
        <w:jc w:val="center"/>
      </w:pPr>
      <w:r>
        <w:rPr>
          <w:noProof/>
          <w:position w:val="-11"/>
        </w:rPr>
        <w:drawing>
          <wp:inline distT="0" distB="0" distL="0" distR="0">
            <wp:extent cx="2584450" cy="281940"/>
            <wp:effectExtent l="0" t="0" r="0" b="0"/>
            <wp:docPr id="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2" cstate="print">
                      <a:extLst>
                        <a:ext uri="{28A0092B-C50C-407E-A947-70E740481C1C}">
                          <a14:useLocalDpi xmlns:a14="http://schemas.microsoft.com/office/drawing/2010/main" val="0"/>
                        </a:ext>
                      </a:extLst>
                    </a:blip>
                    <a:srcRect/>
                    <a:stretch>
                      <a:fillRect/>
                    </a:stretch>
                  </pic:blipFill>
                  <pic:spPr bwMode="auto">
                    <a:xfrm>
                      <a:off x="0" y="0"/>
                      <a:ext cx="2584450" cy="281940"/>
                    </a:xfrm>
                    <a:prstGeom prst="rect">
                      <a:avLst/>
                    </a:prstGeom>
                    <a:noFill/>
                    <a:ln>
                      <a:noFill/>
                    </a:ln>
                  </pic:spPr>
                </pic:pic>
              </a:graphicData>
            </a:graphic>
          </wp:inline>
        </w:drawing>
      </w:r>
      <w:r>
        <w:t>; (7.71)</w:t>
      </w:r>
    </w:p>
    <w:p w:rsidR="00212513" w:rsidRDefault="00212513">
      <w:pPr>
        <w:pStyle w:val="ConsPlusNormal"/>
        <w:ind w:firstLine="540"/>
        <w:jc w:val="both"/>
      </w:pPr>
    </w:p>
    <w:p w:rsidR="00212513" w:rsidRDefault="00212513">
      <w:pPr>
        <w:pStyle w:val="ConsPlusNormal"/>
        <w:ind w:firstLine="540"/>
        <w:jc w:val="both"/>
      </w:pPr>
      <w:r>
        <w:t>для элементов с напрягаемой арматурой при наличии ненапрягаемых хомутов</w:t>
      </w:r>
    </w:p>
    <w:p w:rsidR="00212513" w:rsidRDefault="00212513">
      <w:pPr>
        <w:pStyle w:val="ConsPlusNormal"/>
        <w:ind w:firstLine="540"/>
        <w:jc w:val="both"/>
      </w:pPr>
    </w:p>
    <w:p w:rsidR="00212513" w:rsidRDefault="00212513">
      <w:pPr>
        <w:pStyle w:val="ConsPlusNormal"/>
        <w:jc w:val="center"/>
      </w:pPr>
      <w:r>
        <w:rPr>
          <w:noProof/>
          <w:position w:val="-11"/>
        </w:rPr>
        <w:drawing>
          <wp:inline distT="0" distB="0" distL="0" distR="0">
            <wp:extent cx="3674110" cy="281940"/>
            <wp:effectExtent l="0" t="0" r="0" b="0"/>
            <wp:docPr id="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3674110" cy="281940"/>
                    </a:xfrm>
                    <a:prstGeom prst="rect">
                      <a:avLst/>
                    </a:prstGeom>
                    <a:noFill/>
                    <a:ln>
                      <a:noFill/>
                    </a:ln>
                  </pic:spPr>
                </pic:pic>
              </a:graphicData>
            </a:graphic>
          </wp:inline>
        </w:drawing>
      </w:r>
      <w:r>
        <w:t>, (7.72)</w:t>
      </w:r>
    </w:p>
    <w:p w:rsidR="00212513" w:rsidRDefault="00212513">
      <w:pPr>
        <w:pStyle w:val="ConsPlusNormal"/>
        <w:ind w:firstLine="540"/>
        <w:jc w:val="both"/>
      </w:pPr>
    </w:p>
    <w:p w:rsidR="00212513" w:rsidRDefault="00212513">
      <w:pPr>
        <w:pStyle w:val="ConsPlusNormal"/>
        <w:ind w:firstLine="540"/>
        <w:jc w:val="both"/>
      </w:pPr>
      <w:r>
        <w:t xml:space="preserve">где </w:t>
      </w:r>
      <w:r>
        <w:rPr>
          <w:i/>
        </w:rPr>
        <w:t>M</w:t>
      </w:r>
      <w:r>
        <w:t xml:space="preserve"> - момент относительно оси, проходящей через центр сжатой зоны наклонного сечения, от расчетных нагрузок, расположенных по одну сторону от сжатого конца сечения;</w:t>
      </w:r>
    </w:p>
    <w:p w:rsidR="00212513" w:rsidRDefault="00212513">
      <w:pPr>
        <w:pStyle w:val="ConsPlusNormal"/>
        <w:spacing w:before="220"/>
        <w:ind w:firstLine="540"/>
        <w:jc w:val="both"/>
      </w:pPr>
      <w:r>
        <w:rPr>
          <w:noProof/>
          <w:position w:val="-8"/>
        </w:rPr>
        <w:drawing>
          <wp:inline distT="0" distB="0" distL="0" distR="0">
            <wp:extent cx="241935" cy="251460"/>
            <wp:effectExtent l="0" t="0" r="0" b="0"/>
            <wp:docPr id="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4"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w:t>
      </w:r>
      <w:r>
        <w:rPr>
          <w:noProof/>
          <w:position w:val="-8"/>
        </w:rPr>
        <w:drawing>
          <wp:inline distT="0" distB="0" distL="0" distR="0">
            <wp:extent cx="167640" cy="251460"/>
            <wp:effectExtent l="0" t="0" r="0" b="0"/>
            <wp:docPr id="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9"/>
        </w:rPr>
        <w:drawing>
          <wp:inline distT="0" distB="0" distL="0" distR="0">
            <wp:extent cx="251460" cy="262890"/>
            <wp:effectExtent l="0" t="0" r="0" b="0"/>
            <wp:docPr id="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w:t>
      </w:r>
      <w:r>
        <w:rPr>
          <w:noProof/>
          <w:position w:val="-9"/>
        </w:rPr>
        <w:drawing>
          <wp:inline distT="0" distB="0" distL="0" distR="0">
            <wp:extent cx="198755" cy="262890"/>
            <wp:effectExtent l="0" t="0" r="0" b="0"/>
            <wp:docPr id="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расстояния от усилий в ненапрягаемой и напрягаемой арматуре до точки приложения равнодействующей усилий в сжатой зоне бетона в сечении, для которого определяется момент; остальные обозначения приведены в </w:t>
      </w:r>
      <w:hyperlink w:anchor="P4789">
        <w:r>
          <w:rPr>
            <w:color w:val="0000FF"/>
          </w:rPr>
          <w:t>7.78</w:t>
        </w:r>
      </w:hyperlink>
      <w:r>
        <w:t>.</w:t>
      </w:r>
    </w:p>
    <w:p w:rsidR="00212513" w:rsidRDefault="00212513">
      <w:pPr>
        <w:pStyle w:val="ConsPlusNormal"/>
        <w:ind w:firstLine="540"/>
        <w:jc w:val="both"/>
      </w:pPr>
    </w:p>
    <w:p w:rsidR="00212513" w:rsidRDefault="00212513">
      <w:pPr>
        <w:pStyle w:val="ConsPlusNormal"/>
        <w:jc w:val="center"/>
      </w:pPr>
      <w:r>
        <w:rPr>
          <w:noProof/>
          <w:position w:val="-140"/>
        </w:rPr>
        <w:drawing>
          <wp:inline distT="0" distB="0" distL="0" distR="0">
            <wp:extent cx="3647440" cy="1918335"/>
            <wp:effectExtent l="0" t="0" r="0" b="0"/>
            <wp:docPr id="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3647440" cy="1918335"/>
                    </a:xfrm>
                    <a:prstGeom prst="rect">
                      <a:avLst/>
                    </a:prstGeom>
                    <a:noFill/>
                    <a:ln>
                      <a:noFill/>
                    </a:ln>
                  </pic:spPr>
                </pic:pic>
              </a:graphicData>
            </a:graphic>
          </wp:inline>
        </w:drawing>
      </w:r>
    </w:p>
    <w:p w:rsidR="00212513" w:rsidRDefault="00212513">
      <w:pPr>
        <w:pStyle w:val="ConsPlusNormal"/>
        <w:jc w:val="center"/>
      </w:pPr>
    </w:p>
    <w:p w:rsidR="00212513" w:rsidRDefault="00212513">
      <w:pPr>
        <w:pStyle w:val="ConsPlusNormal"/>
        <w:jc w:val="center"/>
      </w:pPr>
      <w:r>
        <w:t>а - с ненапрягаемой арматурой; б - с напрягаемой арматурой</w:t>
      </w:r>
    </w:p>
    <w:p w:rsidR="00212513" w:rsidRDefault="00212513">
      <w:pPr>
        <w:pStyle w:val="ConsPlusNormal"/>
        <w:jc w:val="center"/>
      </w:pPr>
    </w:p>
    <w:p w:rsidR="00212513" w:rsidRDefault="00212513">
      <w:pPr>
        <w:pStyle w:val="ConsPlusNormal"/>
        <w:jc w:val="center"/>
      </w:pPr>
      <w:bookmarkStart w:id="197" w:name="P4877"/>
      <w:bookmarkEnd w:id="197"/>
      <w:r>
        <w:rPr>
          <w:b/>
          <w:i/>
        </w:rPr>
        <w:t>Рисунок 7.7 -</w:t>
      </w:r>
      <w:r>
        <w:t xml:space="preserve"> </w:t>
      </w:r>
      <w:r>
        <w:rPr>
          <w:b/>
        </w:rPr>
        <w:t>Схема усилий в сечении, наклонном к продольной</w:t>
      </w:r>
    </w:p>
    <w:p w:rsidR="00212513" w:rsidRDefault="00212513">
      <w:pPr>
        <w:pStyle w:val="ConsPlusNormal"/>
        <w:jc w:val="center"/>
      </w:pPr>
      <w:r>
        <w:rPr>
          <w:b/>
        </w:rPr>
        <w:t>оси железобетонного элемента, при расчете его по прочности</w:t>
      </w:r>
    </w:p>
    <w:p w:rsidR="00212513" w:rsidRDefault="00212513">
      <w:pPr>
        <w:pStyle w:val="ConsPlusNormal"/>
        <w:jc w:val="center"/>
      </w:pPr>
      <w:r>
        <w:rPr>
          <w:b/>
        </w:rPr>
        <w:t>на действие изгибающего момента</w:t>
      </w:r>
    </w:p>
    <w:p w:rsidR="00212513" w:rsidRDefault="00212513">
      <w:pPr>
        <w:pStyle w:val="ConsPlusNormal"/>
        <w:ind w:firstLine="540"/>
        <w:jc w:val="both"/>
      </w:pPr>
    </w:p>
    <w:p w:rsidR="00212513" w:rsidRDefault="00212513">
      <w:pPr>
        <w:pStyle w:val="ConsPlusNormal"/>
        <w:ind w:firstLine="540"/>
        <w:jc w:val="both"/>
      </w:pPr>
      <w:r>
        <w:t>Продольная арматура стенок в расчете не учитывается.</w:t>
      </w:r>
    </w:p>
    <w:p w:rsidR="00212513" w:rsidRDefault="00212513">
      <w:pPr>
        <w:pStyle w:val="ConsPlusNormal"/>
        <w:spacing w:before="220"/>
        <w:ind w:firstLine="540"/>
        <w:jc w:val="both"/>
      </w:pPr>
      <w:r>
        <w:t>Положение невыгоднейшего наклонного сечения следует определять путем сравнительных расчетов, проводимых, как правило, в местах обрыва или отгибов арматуры и в местах резкого изменения сечения.</w:t>
      </w:r>
    </w:p>
    <w:p w:rsidR="00212513" w:rsidRDefault="00212513">
      <w:pPr>
        <w:pStyle w:val="ConsPlusNormal"/>
        <w:spacing w:before="220"/>
        <w:ind w:firstLine="540"/>
        <w:jc w:val="both"/>
      </w:pPr>
      <w:r>
        <w:t xml:space="preserve">7.84 Для наклонных сечений, пересекающих растянутую грань элемента на участках, обеспеченных от образования нормальных трещин от нормативной нагрузки (при </w:t>
      </w:r>
      <w:r>
        <w:rPr>
          <w:noProof/>
          <w:position w:val="-8"/>
        </w:rPr>
        <w:drawing>
          <wp:inline distT="0" distB="0" distL="0" distR="0">
            <wp:extent cx="605790" cy="251460"/>
            <wp:effectExtent l="0" t="0" r="0" b="0"/>
            <wp:docPr id="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605790" cy="251460"/>
                    </a:xfrm>
                    <a:prstGeom prst="rect">
                      <a:avLst/>
                    </a:prstGeom>
                    <a:noFill/>
                    <a:ln>
                      <a:noFill/>
                    </a:ln>
                  </pic:spPr>
                </pic:pic>
              </a:graphicData>
            </a:graphic>
          </wp:inline>
        </w:drawing>
      </w:r>
      <w:r>
        <w:t>), расчет на действие момента допускается не производить.</w:t>
      </w:r>
    </w:p>
    <w:p w:rsidR="00212513" w:rsidRDefault="00212513">
      <w:pPr>
        <w:pStyle w:val="ConsPlusNormal"/>
        <w:spacing w:before="220"/>
        <w:ind w:firstLine="540"/>
        <w:jc w:val="both"/>
      </w:pPr>
      <w:r>
        <w:t xml:space="preserve">7.85 При расчете по прочности на действие момента напрягаемую поперечную арматуру, не имеющую сцепления с бетоном, следует учитывать так же, как и при расчете на поперечную силу по </w:t>
      </w:r>
      <w:hyperlink w:anchor="P4789">
        <w:r>
          <w:rPr>
            <w:color w:val="0000FF"/>
          </w:rPr>
          <w:t>7.78</w:t>
        </w:r>
      </w:hyperlink>
      <w:r>
        <w:t>.</w:t>
      </w:r>
    </w:p>
    <w:p w:rsidR="00212513" w:rsidRDefault="00212513">
      <w:pPr>
        <w:pStyle w:val="ConsPlusNormal"/>
        <w:ind w:firstLine="540"/>
        <w:jc w:val="both"/>
      </w:pPr>
    </w:p>
    <w:p w:rsidR="00212513" w:rsidRDefault="00212513">
      <w:pPr>
        <w:pStyle w:val="ConsPlusTitle"/>
        <w:ind w:firstLine="540"/>
        <w:jc w:val="both"/>
        <w:outlineLvl w:val="3"/>
      </w:pPr>
      <w:r>
        <w:t>Расчет стыков на сдвиг</w:t>
      </w:r>
    </w:p>
    <w:p w:rsidR="00212513" w:rsidRDefault="00212513">
      <w:pPr>
        <w:pStyle w:val="ConsPlusNormal"/>
        <w:ind w:firstLine="540"/>
        <w:jc w:val="both"/>
      </w:pPr>
    </w:p>
    <w:p w:rsidR="00212513" w:rsidRDefault="00212513">
      <w:pPr>
        <w:pStyle w:val="ConsPlusNormal"/>
        <w:ind w:firstLine="540"/>
        <w:jc w:val="both"/>
      </w:pPr>
      <w:bookmarkStart w:id="198" w:name="P4888"/>
      <w:bookmarkEnd w:id="198"/>
      <w:r>
        <w:t>7.86 Клееные или бетонируемые стыки (плоские или с уступом) в изгибаемых составных по длине конструкциях следует рассчитывать на прочность по сдвигу по формуле</w:t>
      </w:r>
    </w:p>
    <w:p w:rsidR="00212513" w:rsidRDefault="00212513">
      <w:pPr>
        <w:pStyle w:val="ConsPlusNormal"/>
        <w:ind w:firstLine="540"/>
        <w:jc w:val="both"/>
      </w:pPr>
    </w:p>
    <w:p w:rsidR="00212513" w:rsidRDefault="00212513">
      <w:pPr>
        <w:pStyle w:val="ConsPlusNormal"/>
        <w:jc w:val="center"/>
      </w:pPr>
      <w:bookmarkStart w:id="199" w:name="P4890"/>
      <w:bookmarkEnd w:id="199"/>
      <w:r>
        <w:rPr>
          <w:noProof/>
          <w:position w:val="-8"/>
        </w:rPr>
        <w:drawing>
          <wp:inline distT="0" distB="0" distL="0" distR="0">
            <wp:extent cx="1072515" cy="251460"/>
            <wp:effectExtent l="0" t="0" r="0" b="0"/>
            <wp:docPr id="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1072515" cy="251460"/>
                    </a:xfrm>
                    <a:prstGeom prst="rect">
                      <a:avLst/>
                    </a:prstGeom>
                    <a:noFill/>
                    <a:ln>
                      <a:noFill/>
                    </a:ln>
                  </pic:spPr>
                </pic:pic>
              </a:graphicData>
            </a:graphic>
          </wp:inline>
        </w:drawing>
      </w:r>
      <w:r>
        <w:t>, (7.73)</w:t>
      </w:r>
    </w:p>
    <w:p w:rsidR="00212513" w:rsidRDefault="00212513">
      <w:pPr>
        <w:pStyle w:val="ConsPlusNormal"/>
        <w:ind w:firstLine="540"/>
        <w:jc w:val="both"/>
      </w:pPr>
    </w:p>
    <w:p w:rsidR="00212513" w:rsidRDefault="00212513">
      <w:pPr>
        <w:pStyle w:val="ConsPlusNormal"/>
        <w:ind w:firstLine="540"/>
        <w:jc w:val="both"/>
      </w:pPr>
      <w:r>
        <w:t xml:space="preserve">где </w:t>
      </w:r>
      <w:r>
        <w:rPr>
          <w:i/>
        </w:rPr>
        <w:t>Q</w:t>
      </w:r>
      <w:r>
        <w:t xml:space="preserve"> - максимальное сдвигающее усилие от внешних нагрузок и предварительного напряжения в наклонной арматуре, взятых с коэффициентами надежности по нагрузке, соответствующими расчетам по первой группе предельных состояний. Значение сдвигающего усилия от внешних нагрузок следует определять с учетом переменности сечения по длине согласно </w:t>
      </w:r>
      <w:hyperlink w:anchor="P4789">
        <w:r>
          <w:rPr>
            <w:color w:val="0000FF"/>
          </w:rPr>
          <w:t>7.78</w:t>
        </w:r>
      </w:hyperlink>
      <w:r>
        <w:t>;</w:t>
      </w:r>
    </w:p>
    <w:p w:rsidR="00212513" w:rsidRDefault="00212513">
      <w:pPr>
        <w:pStyle w:val="ConsPlusNormal"/>
        <w:jc w:val="both"/>
      </w:pPr>
      <w:r>
        <w:t xml:space="preserve">(в ред. </w:t>
      </w:r>
      <w:hyperlink r:id="rId1103">
        <w:r>
          <w:rPr>
            <w:color w:val="0000FF"/>
          </w:rPr>
          <w:t>Изменения N 3</w:t>
        </w:r>
      </w:hyperlink>
      <w:r>
        <w:t xml:space="preserve">, утв. Приказом Минстроя России от 29.12.2020 N 891/пр, </w:t>
      </w:r>
      <w:hyperlink r:id="rId1104">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0,45 - расчетное значение коэффициента трения бетона по бетону;</w:t>
      </w:r>
    </w:p>
    <w:p w:rsidR="00212513" w:rsidRDefault="00212513">
      <w:pPr>
        <w:pStyle w:val="ConsPlusNormal"/>
        <w:spacing w:before="220"/>
        <w:ind w:firstLine="540"/>
        <w:jc w:val="both"/>
      </w:pPr>
      <w:r>
        <w:rPr>
          <w:noProof/>
          <w:position w:val="-8"/>
        </w:rPr>
        <w:drawing>
          <wp:inline distT="0" distB="0" distL="0" distR="0">
            <wp:extent cx="262890" cy="251460"/>
            <wp:effectExtent l="0" t="0" r="0" b="0"/>
            <wp:docPr id="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коэффициент условий работы стыкового шва при сдвиге, определяемый для разных видов стыков по </w:t>
      </w:r>
      <w:hyperlink w:anchor="P4903">
        <w:r>
          <w:rPr>
            <w:color w:val="0000FF"/>
          </w:rPr>
          <w:t>7.87</w:t>
        </w:r>
      </w:hyperlink>
      <w:r>
        <w:t>;</w:t>
      </w:r>
    </w:p>
    <w:p w:rsidR="00212513" w:rsidRDefault="00212513">
      <w:pPr>
        <w:pStyle w:val="ConsPlusNormal"/>
        <w:spacing w:before="220"/>
        <w:ind w:firstLine="540"/>
        <w:jc w:val="both"/>
      </w:pPr>
      <w:r>
        <w:rPr>
          <w:noProof/>
          <w:position w:val="-8"/>
        </w:rPr>
        <w:lastRenderedPageBreak/>
        <w:drawing>
          <wp:inline distT="0" distB="0" distL="0" distR="0">
            <wp:extent cx="251460" cy="251460"/>
            <wp:effectExtent l="0" t="0" r="0" b="0"/>
            <wp:docPr id="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усилие, воспринимаемое площадью рабочего сечения стыка, соответствующей сжатой части эпюры нормальных напряжений.</w:t>
      </w:r>
    </w:p>
    <w:p w:rsidR="00212513" w:rsidRDefault="00212513">
      <w:pPr>
        <w:pStyle w:val="ConsPlusNormal"/>
        <w:spacing w:before="220"/>
        <w:ind w:firstLine="540"/>
        <w:jc w:val="both"/>
      </w:pPr>
      <w:r>
        <w:t xml:space="preserve">При этом коэффициенты надежности к усилиям, возникающим в напрягаемой арматуре (вместо указанных в </w:t>
      </w:r>
      <w:hyperlink w:anchor="P1031">
        <w:r>
          <w:rPr>
            <w:color w:val="0000FF"/>
          </w:rPr>
          <w:t>6.5</w:t>
        </w:r>
      </w:hyperlink>
      <w:r>
        <w:t xml:space="preserve"> и </w:t>
      </w:r>
      <w:hyperlink w:anchor="P1067">
        <w:r>
          <w:rPr>
            <w:color w:val="0000FF"/>
          </w:rPr>
          <w:t>таблице 6.4</w:t>
        </w:r>
      </w:hyperlink>
      <w:r>
        <w:t>), принимаются равными:</w:t>
      </w:r>
    </w:p>
    <w:p w:rsidR="00212513" w:rsidRDefault="00212513">
      <w:pPr>
        <w:pStyle w:val="ConsPlusNormal"/>
        <w:spacing w:before="220"/>
        <w:ind w:firstLine="540"/>
        <w:jc w:val="both"/>
      </w:pPr>
      <w:r>
        <w:rPr>
          <w:noProof/>
          <w:position w:val="-9"/>
        </w:rPr>
        <w:drawing>
          <wp:inline distT="0" distB="0" distL="0" distR="0">
            <wp:extent cx="774700" cy="262890"/>
            <wp:effectExtent l="0" t="0" r="0" b="0"/>
            <wp:docPr id="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774700" cy="262890"/>
                    </a:xfrm>
                    <a:prstGeom prst="rect">
                      <a:avLst/>
                    </a:prstGeom>
                    <a:noFill/>
                    <a:ln>
                      <a:noFill/>
                    </a:ln>
                  </pic:spPr>
                </pic:pic>
              </a:graphicData>
            </a:graphic>
          </wp:inline>
        </w:drawing>
      </w:r>
      <w:r>
        <w:t xml:space="preserve"> - при числе напрягаемых пучков (стержней) </w:t>
      </w:r>
      <w:r>
        <w:rPr>
          <w:i/>
        </w:rPr>
        <w:t>n</w:t>
      </w:r>
      <w:r>
        <w:t xml:space="preserve"> &lt;= 10;</w:t>
      </w:r>
    </w:p>
    <w:p w:rsidR="00212513" w:rsidRDefault="00212513">
      <w:pPr>
        <w:pStyle w:val="ConsPlusNormal"/>
        <w:spacing w:before="220"/>
        <w:ind w:firstLine="540"/>
        <w:jc w:val="both"/>
      </w:pPr>
      <w:r>
        <w:rPr>
          <w:noProof/>
          <w:position w:val="-25"/>
        </w:rPr>
        <w:drawing>
          <wp:inline distT="0" distB="0" distL="0" distR="0">
            <wp:extent cx="1072515" cy="461010"/>
            <wp:effectExtent l="0" t="0" r="0" b="0"/>
            <wp:docPr id="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1072515" cy="461010"/>
                    </a:xfrm>
                    <a:prstGeom prst="rect">
                      <a:avLst/>
                    </a:prstGeom>
                    <a:noFill/>
                    <a:ln>
                      <a:noFill/>
                    </a:ln>
                  </pic:spPr>
                </pic:pic>
              </a:graphicData>
            </a:graphic>
          </wp:inline>
        </w:drawing>
      </w:r>
      <w:r>
        <w:t xml:space="preserve"> - при </w:t>
      </w:r>
      <w:r>
        <w:rPr>
          <w:i/>
        </w:rPr>
        <w:t>n</w:t>
      </w:r>
      <w:r>
        <w:t xml:space="preserve"> &gt; 10.</w:t>
      </w:r>
    </w:p>
    <w:p w:rsidR="00212513" w:rsidRDefault="00212513">
      <w:pPr>
        <w:pStyle w:val="ConsPlusNormal"/>
        <w:spacing w:before="220"/>
        <w:ind w:firstLine="540"/>
        <w:jc w:val="both"/>
      </w:pPr>
      <w:r>
        <w:t>В рабочее сечение стыка входит сечение стенки (ребра) и продолжение ее в верхней и нижней плитах.</w:t>
      </w:r>
    </w:p>
    <w:p w:rsidR="00212513" w:rsidRDefault="00212513">
      <w:pPr>
        <w:pStyle w:val="ConsPlusNormal"/>
        <w:spacing w:before="220"/>
        <w:ind w:firstLine="540"/>
        <w:jc w:val="both"/>
      </w:pPr>
      <w:r>
        <w:t>При условии пересечения стыка в пределах стенки наклонными пучками, расположенными в закрытых заинъецированных каналах, в рабочее сечение стыка могут включаться также прилегающие к стенке участки вутов и плиты протяженностью с каждой стороны не более двух толщин плиты (без вутов) или стенки, если она тоньше плиты.</w:t>
      </w:r>
    </w:p>
    <w:p w:rsidR="00212513" w:rsidRDefault="00212513">
      <w:pPr>
        <w:pStyle w:val="ConsPlusNormal"/>
        <w:spacing w:before="220"/>
        <w:ind w:firstLine="540"/>
        <w:jc w:val="both"/>
      </w:pPr>
      <w:r>
        <w:t>При учете совместной работы на сдвиг клееного стыка и жестких элементов (уступов, шпонок и т.п.), воспринимающих поперечную силу, несущую способность жестких элементов следует принимать с коэффициентом сочетания, равным 0,7. При этом усилие, воспринимаемое жестким элементом, не должно превышать половины величины поперечной силы, действующей на стык.</w:t>
      </w:r>
    </w:p>
    <w:p w:rsidR="00212513" w:rsidRDefault="00212513">
      <w:pPr>
        <w:pStyle w:val="ConsPlusNormal"/>
        <w:spacing w:before="220"/>
        <w:ind w:firstLine="540"/>
        <w:jc w:val="both"/>
      </w:pPr>
      <w:bookmarkStart w:id="200" w:name="P4903"/>
      <w:bookmarkEnd w:id="200"/>
      <w:r>
        <w:t xml:space="preserve">7.87 Коэффициенты условий работы </w:t>
      </w:r>
      <w:r>
        <w:rPr>
          <w:noProof/>
          <w:position w:val="-8"/>
        </w:rPr>
        <w:drawing>
          <wp:inline distT="0" distB="0" distL="0" distR="0">
            <wp:extent cx="262890" cy="251460"/>
            <wp:effectExtent l="0" t="0" r="0" b="0"/>
            <wp:docPr id="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в </w:t>
      </w:r>
      <w:hyperlink w:anchor="P4890">
        <w:r>
          <w:rPr>
            <w:color w:val="0000FF"/>
          </w:rPr>
          <w:t>формуле (7.73)</w:t>
        </w:r>
      </w:hyperlink>
      <w:r>
        <w:t xml:space="preserve"> следует принимать равными:</w:t>
      </w:r>
    </w:p>
    <w:p w:rsidR="00212513" w:rsidRDefault="00212513">
      <w:pPr>
        <w:pStyle w:val="ConsPlusNonformat"/>
        <w:spacing w:before="200"/>
        <w:jc w:val="both"/>
      </w:pPr>
      <w:r>
        <w:t xml:space="preserve">    для клееного плотного тонкого стыка с отвержденным клеем        - 1,2;</w:t>
      </w:r>
    </w:p>
    <w:p w:rsidR="00212513" w:rsidRDefault="00212513">
      <w:pPr>
        <w:pStyle w:val="ConsPlusNonformat"/>
        <w:jc w:val="both"/>
      </w:pPr>
      <w:r>
        <w:t xml:space="preserve">    для бетонируемого стыка без выпусков арматуры                   - 1,0;</w:t>
      </w:r>
    </w:p>
    <w:p w:rsidR="00212513" w:rsidRDefault="00212513">
      <w:pPr>
        <w:pStyle w:val="ConsPlusNonformat"/>
        <w:jc w:val="both"/>
      </w:pPr>
      <w:r>
        <w:t xml:space="preserve">    для клееного стыка с неотвержденным клеем                       - 0,25;</w:t>
      </w:r>
    </w:p>
    <w:p w:rsidR="00212513" w:rsidRDefault="00212513">
      <w:pPr>
        <w:pStyle w:val="ConsPlusNonformat"/>
        <w:jc w:val="both"/>
      </w:pPr>
      <w:r>
        <w:t xml:space="preserve">    с гладкой поверхностью торцов блоков</w:t>
      </w:r>
    </w:p>
    <w:p w:rsidR="00212513" w:rsidRDefault="00212513">
      <w:pPr>
        <w:pStyle w:val="ConsPlusNonformat"/>
        <w:jc w:val="both"/>
      </w:pPr>
      <w:r>
        <w:t xml:space="preserve">    то же, с рифленой поверхностью торцов блоков                    - 0,45.</w:t>
      </w:r>
    </w:p>
    <w:p w:rsidR="00212513" w:rsidRDefault="00212513">
      <w:pPr>
        <w:pStyle w:val="ConsPlusNormal"/>
        <w:ind w:firstLine="540"/>
        <w:jc w:val="both"/>
      </w:pPr>
      <w:bookmarkStart w:id="201" w:name="P4909"/>
      <w:bookmarkEnd w:id="201"/>
      <w:r>
        <w:t>7.88 В стыках составных по длине пролетных строений не допускаются растягивающие напряжения от расчетных постоянных нагрузок, учитываемых при выполнении расчетов по первой группе предельных состояний.</w:t>
      </w:r>
    </w:p>
    <w:p w:rsidR="00212513" w:rsidRDefault="00212513">
      <w:pPr>
        <w:pStyle w:val="ConsPlusNormal"/>
        <w:ind w:firstLine="540"/>
        <w:jc w:val="both"/>
      </w:pPr>
    </w:p>
    <w:p w:rsidR="00212513" w:rsidRDefault="00212513">
      <w:pPr>
        <w:pStyle w:val="ConsPlusTitle"/>
        <w:ind w:firstLine="540"/>
        <w:jc w:val="both"/>
        <w:outlineLvl w:val="3"/>
      </w:pPr>
      <w:r>
        <w:t>Расчет на местное сжатие (смятие)</w:t>
      </w:r>
    </w:p>
    <w:p w:rsidR="00212513" w:rsidRDefault="00212513">
      <w:pPr>
        <w:pStyle w:val="ConsPlusNormal"/>
        <w:ind w:firstLine="540"/>
        <w:jc w:val="both"/>
      </w:pPr>
    </w:p>
    <w:p w:rsidR="00212513" w:rsidRDefault="00212513">
      <w:pPr>
        <w:pStyle w:val="ConsPlusNormal"/>
        <w:ind w:firstLine="540"/>
        <w:jc w:val="both"/>
      </w:pPr>
      <w:bookmarkStart w:id="202" w:name="P4913"/>
      <w:bookmarkEnd w:id="202"/>
      <w:r>
        <w:t>7.89 При расчете на местное сжатие (смятие) элементов без косвенного армирования должно удовлетворяться условие</w:t>
      </w:r>
    </w:p>
    <w:p w:rsidR="00212513" w:rsidRDefault="00212513">
      <w:pPr>
        <w:pStyle w:val="ConsPlusNormal"/>
        <w:ind w:firstLine="540"/>
        <w:jc w:val="both"/>
      </w:pPr>
    </w:p>
    <w:p w:rsidR="00212513" w:rsidRDefault="00212513">
      <w:pPr>
        <w:pStyle w:val="ConsPlusNormal"/>
        <w:jc w:val="center"/>
      </w:pPr>
      <w:r>
        <w:rPr>
          <w:noProof/>
          <w:position w:val="-9"/>
        </w:rPr>
        <w:drawing>
          <wp:inline distT="0" distB="0" distL="0" distR="0">
            <wp:extent cx="1113790" cy="262890"/>
            <wp:effectExtent l="0" t="0" r="0" b="0"/>
            <wp:docPr id="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1113790" cy="262890"/>
                    </a:xfrm>
                    <a:prstGeom prst="rect">
                      <a:avLst/>
                    </a:prstGeom>
                    <a:noFill/>
                    <a:ln>
                      <a:noFill/>
                    </a:ln>
                  </pic:spPr>
                </pic:pic>
              </a:graphicData>
            </a:graphic>
          </wp:inline>
        </w:drawing>
      </w:r>
      <w:r>
        <w:t>, (7.74)</w:t>
      </w:r>
    </w:p>
    <w:p w:rsidR="00212513" w:rsidRDefault="00212513">
      <w:pPr>
        <w:pStyle w:val="ConsPlusNormal"/>
        <w:ind w:firstLine="540"/>
        <w:jc w:val="both"/>
      </w:pPr>
    </w:p>
    <w:p w:rsidR="00212513" w:rsidRDefault="00212513">
      <w:pPr>
        <w:pStyle w:val="ConsPlusNormal"/>
        <w:ind w:firstLine="540"/>
        <w:jc w:val="both"/>
      </w:pPr>
      <w:r>
        <w:t xml:space="preserve">где </w:t>
      </w:r>
      <w:r>
        <w:rPr>
          <w:i/>
        </w:rPr>
        <w:t>N</w:t>
      </w:r>
      <w:r>
        <w:t xml:space="preserve"> - продольная сжимающая сила от местной нагрузки;</w:t>
      </w:r>
    </w:p>
    <w:p w:rsidR="00212513" w:rsidRDefault="00212513">
      <w:pPr>
        <w:pStyle w:val="ConsPlusNormal"/>
        <w:spacing w:before="220"/>
        <w:ind w:firstLine="540"/>
        <w:jc w:val="both"/>
      </w:pPr>
      <w:r>
        <w:rPr>
          <w:noProof/>
          <w:position w:val="-8"/>
        </w:rPr>
        <w:drawing>
          <wp:inline distT="0" distB="0" distL="0" distR="0">
            <wp:extent cx="262890" cy="251460"/>
            <wp:effectExtent l="0" t="0" r="0" b="0"/>
            <wp:docPr id="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коэффициент, принимаемый равным: при равномерном распределении местной нагрузки на площади смятия - 1,00, при неравномерном распределении - 0,75;</w:t>
      </w:r>
    </w:p>
    <w:p w:rsidR="00212513" w:rsidRDefault="00212513">
      <w:pPr>
        <w:pStyle w:val="ConsPlusNormal"/>
        <w:spacing w:before="220"/>
        <w:ind w:firstLine="540"/>
        <w:jc w:val="both"/>
      </w:pPr>
      <w:r>
        <w:rPr>
          <w:noProof/>
          <w:position w:val="-8"/>
        </w:rPr>
        <w:drawing>
          <wp:inline distT="0" distB="0" distL="0" distR="0">
            <wp:extent cx="273685" cy="251460"/>
            <wp:effectExtent l="0" t="0" r="0" b="0"/>
            <wp:docPr id="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273685" cy="251460"/>
                    </a:xfrm>
                    <a:prstGeom prst="rect">
                      <a:avLst/>
                    </a:prstGeom>
                    <a:noFill/>
                    <a:ln>
                      <a:noFill/>
                    </a:ln>
                  </pic:spPr>
                </pic:pic>
              </a:graphicData>
            </a:graphic>
          </wp:inline>
        </w:drawing>
      </w:r>
      <w:r>
        <w:t xml:space="preserve"> - площадь смятия;</w:t>
      </w:r>
    </w:p>
    <w:p w:rsidR="00212513" w:rsidRDefault="00212513">
      <w:pPr>
        <w:pStyle w:val="ConsPlusNormal"/>
        <w:spacing w:before="220"/>
        <w:ind w:firstLine="540"/>
        <w:jc w:val="both"/>
      </w:pPr>
      <w:r>
        <w:rPr>
          <w:noProof/>
          <w:position w:val="-9"/>
        </w:rPr>
        <w:drawing>
          <wp:inline distT="0" distB="0" distL="0" distR="0">
            <wp:extent cx="344805" cy="262890"/>
            <wp:effectExtent l="0" t="0" r="0" b="0"/>
            <wp:docPr id="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344805" cy="262890"/>
                    </a:xfrm>
                    <a:prstGeom prst="rect">
                      <a:avLst/>
                    </a:prstGeom>
                    <a:noFill/>
                    <a:ln>
                      <a:noFill/>
                    </a:ln>
                  </pic:spPr>
                </pic:pic>
              </a:graphicData>
            </a:graphic>
          </wp:inline>
        </w:drawing>
      </w:r>
      <w:r>
        <w:t xml:space="preserve"> - расчетное сопротивление бетона смятию, определяемое по формулам:</w:t>
      </w:r>
    </w:p>
    <w:p w:rsidR="00212513" w:rsidRDefault="00212513">
      <w:pPr>
        <w:pStyle w:val="ConsPlusNormal"/>
        <w:ind w:firstLine="540"/>
        <w:jc w:val="both"/>
      </w:pPr>
    </w:p>
    <w:p w:rsidR="00212513" w:rsidRDefault="00212513">
      <w:pPr>
        <w:pStyle w:val="ConsPlusNormal"/>
        <w:jc w:val="center"/>
      </w:pPr>
      <w:r>
        <w:rPr>
          <w:noProof/>
          <w:position w:val="-9"/>
        </w:rPr>
        <w:lastRenderedPageBreak/>
        <w:drawing>
          <wp:inline distT="0" distB="0" distL="0" distR="0">
            <wp:extent cx="1257300" cy="262890"/>
            <wp:effectExtent l="0" t="0" r="0" b="0"/>
            <wp:docPr id="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1257300" cy="262890"/>
                    </a:xfrm>
                    <a:prstGeom prst="rect">
                      <a:avLst/>
                    </a:prstGeom>
                    <a:noFill/>
                    <a:ln>
                      <a:noFill/>
                    </a:ln>
                  </pic:spPr>
                </pic:pic>
              </a:graphicData>
            </a:graphic>
          </wp:inline>
        </w:drawing>
      </w:r>
      <w:r>
        <w:t>; (7.75)</w:t>
      </w:r>
    </w:p>
    <w:p w:rsidR="00212513" w:rsidRDefault="00212513">
      <w:pPr>
        <w:pStyle w:val="ConsPlusNormal"/>
        <w:ind w:firstLine="540"/>
        <w:jc w:val="both"/>
      </w:pPr>
    </w:p>
    <w:p w:rsidR="00212513" w:rsidRDefault="00212513">
      <w:pPr>
        <w:pStyle w:val="ConsPlusNormal"/>
        <w:jc w:val="center"/>
      </w:pPr>
      <w:r>
        <w:rPr>
          <w:noProof/>
          <w:position w:val="-31"/>
        </w:rPr>
        <w:drawing>
          <wp:inline distT="0" distB="0" distL="0" distR="0">
            <wp:extent cx="1130935" cy="535940"/>
            <wp:effectExtent l="0" t="0" r="0" b="0"/>
            <wp:docPr id="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1130935" cy="535940"/>
                    </a:xfrm>
                    <a:prstGeom prst="rect">
                      <a:avLst/>
                    </a:prstGeom>
                    <a:noFill/>
                    <a:ln>
                      <a:noFill/>
                    </a:ln>
                  </pic:spPr>
                </pic:pic>
              </a:graphicData>
            </a:graphic>
          </wp:inline>
        </w:drawing>
      </w:r>
      <w:r>
        <w:t>. (7.76)</w:t>
      </w:r>
    </w:p>
    <w:p w:rsidR="00212513" w:rsidRDefault="00212513">
      <w:pPr>
        <w:pStyle w:val="ConsPlusNormal"/>
        <w:ind w:firstLine="540"/>
        <w:jc w:val="both"/>
      </w:pPr>
    </w:p>
    <w:p w:rsidR="00212513" w:rsidRDefault="00212513">
      <w:pPr>
        <w:pStyle w:val="ConsPlusNormal"/>
        <w:ind w:firstLine="540"/>
        <w:jc w:val="both"/>
      </w:pPr>
      <w:r>
        <w:t>В формулах (7.75) и (7.76):</w:t>
      </w:r>
    </w:p>
    <w:p w:rsidR="00212513" w:rsidRDefault="00212513">
      <w:pPr>
        <w:pStyle w:val="ConsPlusNormal"/>
        <w:spacing w:before="220"/>
        <w:ind w:firstLine="540"/>
        <w:jc w:val="both"/>
      </w:pPr>
      <w:r>
        <w:rPr>
          <w:noProof/>
          <w:position w:val="-8"/>
        </w:rPr>
        <w:drawing>
          <wp:inline distT="0" distB="0" distL="0" distR="0">
            <wp:extent cx="241935" cy="251460"/>
            <wp:effectExtent l="0" t="0" r="0" b="0"/>
            <wp:docPr id="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расчетное сопротивление бетона растяжению для бетонных конструкций;</w:t>
      </w:r>
    </w:p>
    <w:p w:rsidR="00212513" w:rsidRDefault="00212513">
      <w:pPr>
        <w:pStyle w:val="ConsPlusNormal"/>
        <w:spacing w:before="220"/>
        <w:ind w:firstLine="540"/>
        <w:jc w:val="both"/>
      </w:pPr>
      <w:r>
        <w:rPr>
          <w:noProof/>
          <w:position w:val="-8"/>
        </w:rPr>
        <w:drawing>
          <wp:inline distT="0" distB="0" distL="0" distR="0">
            <wp:extent cx="209550" cy="251460"/>
            <wp:effectExtent l="0" t="0" r="0" b="0"/>
            <wp:docPr id="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расчетная площадь, симметричная по отношению к площади смятия в соответствии со схемами, приведенными на рисунке 7.8.</w:t>
      </w:r>
    </w:p>
    <w:p w:rsidR="00212513" w:rsidRDefault="00212513">
      <w:pPr>
        <w:pStyle w:val="ConsPlusNormal"/>
        <w:ind w:firstLine="540"/>
        <w:jc w:val="both"/>
      </w:pPr>
    </w:p>
    <w:p w:rsidR="00212513" w:rsidRDefault="00212513">
      <w:pPr>
        <w:pStyle w:val="ConsPlusNormal"/>
        <w:jc w:val="center"/>
      </w:pPr>
      <w:r>
        <w:rPr>
          <w:noProof/>
          <w:position w:val="-332"/>
        </w:rPr>
        <w:drawing>
          <wp:inline distT="0" distB="0" distL="0" distR="0">
            <wp:extent cx="2766060" cy="4368165"/>
            <wp:effectExtent l="0" t="0" r="0" b="0"/>
            <wp:docPr id="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2766060" cy="4368165"/>
                    </a:xfrm>
                    <a:prstGeom prst="rect">
                      <a:avLst/>
                    </a:prstGeom>
                    <a:noFill/>
                    <a:ln>
                      <a:noFill/>
                    </a:ln>
                  </pic:spPr>
                </pic:pic>
              </a:graphicData>
            </a:graphic>
          </wp:inline>
        </w:drawing>
      </w:r>
    </w:p>
    <w:p w:rsidR="00212513" w:rsidRDefault="00212513">
      <w:pPr>
        <w:pStyle w:val="ConsPlusNormal"/>
        <w:jc w:val="center"/>
      </w:pPr>
    </w:p>
    <w:p w:rsidR="00212513" w:rsidRDefault="00212513">
      <w:pPr>
        <w:pStyle w:val="ConsPlusNormal"/>
        <w:jc w:val="center"/>
      </w:pPr>
      <w:bookmarkStart w:id="203" w:name="P4932"/>
      <w:bookmarkEnd w:id="203"/>
      <w:r>
        <w:rPr>
          <w:b/>
          <w:i/>
        </w:rPr>
        <w:t>Рисунок 7.8</w:t>
      </w:r>
      <w:r>
        <w:t xml:space="preserve"> </w:t>
      </w:r>
      <w:r>
        <w:rPr>
          <w:b/>
        </w:rPr>
        <w:t>- Схемы расположения расчетных площадей</w:t>
      </w:r>
    </w:p>
    <w:p w:rsidR="00212513" w:rsidRDefault="00212513">
      <w:pPr>
        <w:pStyle w:val="ConsPlusNormal"/>
        <w:jc w:val="center"/>
      </w:pPr>
      <w:r>
        <w:rPr>
          <w:noProof/>
          <w:position w:val="-8"/>
        </w:rPr>
        <w:drawing>
          <wp:inline distT="0" distB="0" distL="0" distR="0">
            <wp:extent cx="209550" cy="251460"/>
            <wp:effectExtent l="0" t="0" r="0" b="0"/>
            <wp:docPr id="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b/>
        </w:rPr>
        <w:t>в зависимости от положения площадей смятия</w:t>
      </w:r>
      <w:r>
        <w:t> </w:t>
      </w:r>
      <w:r>
        <w:rPr>
          <w:noProof/>
          <w:position w:val="-8"/>
        </w:rPr>
        <w:drawing>
          <wp:inline distT="0" distB="0" distL="0" distR="0">
            <wp:extent cx="273685" cy="251460"/>
            <wp:effectExtent l="0" t="0" r="0" b="0"/>
            <wp:docPr id="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273685" cy="251460"/>
                    </a:xfrm>
                    <a:prstGeom prst="rect">
                      <a:avLst/>
                    </a:prstGeom>
                    <a:noFill/>
                    <a:ln>
                      <a:noFill/>
                    </a:ln>
                  </pic:spPr>
                </pic:pic>
              </a:graphicData>
            </a:graphic>
          </wp:inline>
        </w:drawing>
      </w:r>
    </w:p>
    <w:p w:rsidR="00212513" w:rsidRDefault="00212513">
      <w:pPr>
        <w:pStyle w:val="ConsPlusNormal"/>
        <w:ind w:firstLine="540"/>
        <w:jc w:val="both"/>
      </w:pPr>
    </w:p>
    <w:p w:rsidR="00212513" w:rsidRDefault="00212513">
      <w:pPr>
        <w:pStyle w:val="ConsPlusNormal"/>
        <w:ind w:firstLine="540"/>
        <w:jc w:val="both"/>
      </w:pPr>
      <w:r>
        <w:t>7.90 При расчете на местное сжатие (смятие) элементов с косвенным армированием в виде сварных поперечных сеток должно удовлетворяться условие</w:t>
      </w:r>
    </w:p>
    <w:p w:rsidR="00212513" w:rsidRDefault="00212513">
      <w:pPr>
        <w:pStyle w:val="ConsPlusNormal"/>
        <w:ind w:firstLine="540"/>
        <w:jc w:val="both"/>
      </w:pPr>
    </w:p>
    <w:p w:rsidR="00212513" w:rsidRDefault="00212513">
      <w:pPr>
        <w:pStyle w:val="ConsPlusNormal"/>
        <w:jc w:val="center"/>
      </w:pPr>
      <w:r>
        <w:rPr>
          <w:noProof/>
          <w:position w:val="-9"/>
        </w:rPr>
        <w:drawing>
          <wp:inline distT="0" distB="0" distL="0" distR="0">
            <wp:extent cx="899160" cy="262890"/>
            <wp:effectExtent l="0" t="0" r="0" b="0"/>
            <wp:docPr id="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899160" cy="262890"/>
                    </a:xfrm>
                    <a:prstGeom prst="rect">
                      <a:avLst/>
                    </a:prstGeom>
                    <a:noFill/>
                    <a:ln>
                      <a:noFill/>
                    </a:ln>
                  </pic:spPr>
                </pic:pic>
              </a:graphicData>
            </a:graphic>
          </wp:inline>
        </w:drawing>
      </w:r>
      <w:r>
        <w:t>, (7.77)</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8"/>
        </w:rPr>
        <w:drawing>
          <wp:inline distT="0" distB="0" distL="0" distR="0">
            <wp:extent cx="273685" cy="251460"/>
            <wp:effectExtent l="0" t="0" r="0" b="0"/>
            <wp:docPr id="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273685" cy="251460"/>
                    </a:xfrm>
                    <a:prstGeom prst="rect">
                      <a:avLst/>
                    </a:prstGeom>
                    <a:noFill/>
                    <a:ln>
                      <a:noFill/>
                    </a:ln>
                  </pic:spPr>
                </pic:pic>
              </a:graphicData>
            </a:graphic>
          </wp:inline>
        </w:drawing>
      </w:r>
      <w:r>
        <w:t xml:space="preserve"> - площадь смятия;</w:t>
      </w:r>
    </w:p>
    <w:p w:rsidR="00212513" w:rsidRDefault="00212513">
      <w:pPr>
        <w:pStyle w:val="ConsPlusNormal"/>
        <w:spacing w:before="220"/>
        <w:ind w:firstLine="540"/>
        <w:jc w:val="both"/>
      </w:pPr>
      <w:r>
        <w:rPr>
          <w:noProof/>
          <w:position w:val="-9"/>
        </w:rPr>
        <w:drawing>
          <wp:inline distT="0" distB="0" distL="0" distR="0">
            <wp:extent cx="377190" cy="262890"/>
            <wp:effectExtent l="0" t="0" r="0" b="0"/>
            <wp:docPr id="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377190" cy="262890"/>
                    </a:xfrm>
                    <a:prstGeom prst="rect">
                      <a:avLst/>
                    </a:prstGeom>
                    <a:noFill/>
                    <a:ln>
                      <a:noFill/>
                    </a:ln>
                  </pic:spPr>
                </pic:pic>
              </a:graphicData>
            </a:graphic>
          </wp:inline>
        </w:drawing>
      </w:r>
      <w:r>
        <w:t xml:space="preserve"> - приведенная прочность бетона осевому сжатию, определяемая по формуле</w:t>
      </w:r>
    </w:p>
    <w:p w:rsidR="00212513" w:rsidRDefault="00212513">
      <w:pPr>
        <w:pStyle w:val="ConsPlusNormal"/>
        <w:ind w:firstLine="540"/>
        <w:jc w:val="both"/>
      </w:pPr>
    </w:p>
    <w:p w:rsidR="00212513" w:rsidRDefault="00212513">
      <w:pPr>
        <w:pStyle w:val="ConsPlusNormal"/>
        <w:jc w:val="center"/>
      </w:pPr>
      <w:r>
        <w:rPr>
          <w:noProof/>
          <w:position w:val="-9"/>
        </w:rPr>
        <w:drawing>
          <wp:inline distT="0" distB="0" distL="0" distR="0">
            <wp:extent cx="1816100" cy="262890"/>
            <wp:effectExtent l="0" t="0" r="0" b="0"/>
            <wp:docPr id="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1816100" cy="262890"/>
                    </a:xfrm>
                    <a:prstGeom prst="rect">
                      <a:avLst/>
                    </a:prstGeom>
                    <a:noFill/>
                    <a:ln>
                      <a:noFill/>
                    </a:ln>
                  </pic:spPr>
                </pic:pic>
              </a:graphicData>
            </a:graphic>
          </wp:inline>
        </w:drawing>
      </w:r>
      <w:r>
        <w:t>. (7.78)</w:t>
      </w:r>
    </w:p>
    <w:p w:rsidR="00212513" w:rsidRDefault="00212513">
      <w:pPr>
        <w:pStyle w:val="ConsPlusNormal"/>
        <w:ind w:firstLine="540"/>
        <w:jc w:val="both"/>
      </w:pPr>
    </w:p>
    <w:p w:rsidR="00212513" w:rsidRDefault="00212513">
      <w:pPr>
        <w:pStyle w:val="ConsPlusNormal"/>
        <w:ind w:firstLine="540"/>
        <w:jc w:val="both"/>
      </w:pPr>
      <w:r>
        <w:t>В формуле (7.78):</w:t>
      </w:r>
    </w:p>
    <w:p w:rsidR="00212513" w:rsidRDefault="00212513">
      <w:pPr>
        <w:pStyle w:val="ConsPlusNormal"/>
        <w:spacing w:before="220"/>
        <w:ind w:firstLine="540"/>
        <w:jc w:val="both"/>
      </w:pPr>
      <w:r>
        <w:rPr>
          <w:noProof/>
          <w:position w:val="-8"/>
        </w:rPr>
        <w:drawing>
          <wp:inline distT="0" distB="0" distL="0" distR="0">
            <wp:extent cx="209550" cy="251460"/>
            <wp:effectExtent l="0" t="0" r="0" b="0"/>
            <wp:docPr id="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в МПа;</w:t>
      </w:r>
    </w:p>
    <w:p w:rsidR="00212513" w:rsidRDefault="00212513">
      <w:pPr>
        <w:pStyle w:val="ConsPlusNormal"/>
        <w:ind w:firstLine="540"/>
        <w:jc w:val="both"/>
      </w:pPr>
    </w:p>
    <w:p w:rsidR="00212513" w:rsidRDefault="00212513">
      <w:pPr>
        <w:pStyle w:val="ConsPlusNormal"/>
        <w:jc w:val="center"/>
      </w:pPr>
      <w:r>
        <w:rPr>
          <w:noProof/>
          <w:position w:val="-31"/>
        </w:rPr>
        <w:drawing>
          <wp:inline distT="0" distB="0" distL="0" distR="0">
            <wp:extent cx="1148080" cy="535940"/>
            <wp:effectExtent l="0" t="0" r="0" b="0"/>
            <wp:docPr id="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1148080" cy="535940"/>
                    </a:xfrm>
                    <a:prstGeom prst="rect">
                      <a:avLst/>
                    </a:prstGeom>
                    <a:noFill/>
                    <a:ln>
                      <a:noFill/>
                    </a:ln>
                  </pic:spPr>
                </pic:pic>
              </a:graphicData>
            </a:graphic>
          </wp:inline>
        </w:drawing>
      </w:r>
      <w:r>
        <w:t>; (7.79)</w:t>
      </w:r>
    </w:p>
    <w:p w:rsidR="00212513" w:rsidRDefault="00212513">
      <w:pPr>
        <w:pStyle w:val="ConsPlusNormal"/>
        <w:ind w:firstLine="540"/>
        <w:jc w:val="both"/>
      </w:pPr>
    </w:p>
    <w:p w:rsidR="00212513" w:rsidRDefault="00212513">
      <w:pPr>
        <w:pStyle w:val="ConsPlusNormal"/>
        <w:ind w:firstLine="540"/>
        <w:jc w:val="both"/>
      </w:pPr>
      <w:r>
        <w:rPr>
          <w:noProof/>
          <w:position w:val="-3"/>
        </w:rPr>
        <w:drawing>
          <wp:inline distT="0" distB="0" distL="0" distR="0">
            <wp:extent cx="156845" cy="177800"/>
            <wp:effectExtent l="0" t="0" r="0" b="0"/>
            <wp:docPr id="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156845" cy="177800"/>
                    </a:xfrm>
                    <a:prstGeom prst="rect">
                      <a:avLst/>
                    </a:prstGeom>
                    <a:noFill/>
                    <a:ln>
                      <a:noFill/>
                    </a:ln>
                  </pic:spPr>
                </pic:pic>
              </a:graphicData>
            </a:graphic>
          </wp:inline>
        </w:drawing>
      </w:r>
      <w:r>
        <w:t xml:space="preserve">, </w:t>
      </w:r>
      <w:r>
        <w:rPr>
          <w:noProof/>
          <w:position w:val="-3"/>
        </w:rPr>
        <w:drawing>
          <wp:inline distT="0" distB="0" distL="0" distR="0">
            <wp:extent cx="167640" cy="177800"/>
            <wp:effectExtent l="0" t="0" r="0" b="0"/>
            <wp:docPr id="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соответственно коэффициент эффективности косвенного армирования и коэффициент армирования сечения сетками или спиралями согласно </w:t>
      </w:r>
      <w:hyperlink w:anchor="P4681">
        <w:r>
          <w:rPr>
            <w:color w:val="0000FF"/>
          </w:rPr>
          <w:t>7.72</w:t>
        </w:r>
      </w:hyperlink>
      <w:r>
        <w:t xml:space="preserve"> [</w:t>
      </w:r>
      <w:hyperlink w:anchor="P4689">
        <w:r>
          <w:rPr>
            <w:color w:val="0000FF"/>
          </w:rPr>
          <w:t>формулы (7.47)</w:t>
        </w:r>
      </w:hyperlink>
      <w:r>
        <w:t xml:space="preserve">, </w:t>
      </w:r>
      <w:hyperlink w:anchor="P4698">
        <w:r>
          <w:rPr>
            <w:color w:val="0000FF"/>
          </w:rPr>
          <w:t>(7.48)</w:t>
        </w:r>
      </w:hyperlink>
      <w:r>
        <w:t xml:space="preserve"> и </w:t>
      </w:r>
      <w:hyperlink w:anchor="P4711">
        <w:r>
          <w:rPr>
            <w:color w:val="0000FF"/>
          </w:rPr>
          <w:t>(7.51)</w:t>
        </w:r>
      </w:hyperlink>
      <w:r>
        <w:t>];</w:t>
      </w:r>
    </w:p>
    <w:p w:rsidR="00212513" w:rsidRDefault="00212513">
      <w:pPr>
        <w:pStyle w:val="ConsPlusNormal"/>
        <w:ind w:firstLine="540"/>
        <w:jc w:val="both"/>
      </w:pPr>
    </w:p>
    <w:p w:rsidR="00212513" w:rsidRDefault="00212513">
      <w:pPr>
        <w:pStyle w:val="ConsPlusNormal"/>
        <w:jc w:val="center"/>
      </w:pPr>
      <w:r>
        <w:rPr>
          <w:noProof/>
          <w:position w:val="-27"/>
        </w:rPr>
        <w:drawing>
          <wp:inline distT="0" distB="0" distL="0" distR="0">
            <wp:extent cx="1382395" cy="494030"/>
            <wp:effectExtent l="0" t="0" r="0" b="0"/>
            <wp:docPr id="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1382395" cy="494030"/>
                    </a:xfrm>
                    <a:prstGeom prst="rect">
                      <a:avLst/>
                    </a:prstGeom>
                    <a:noFill/>
                    <a:ln>
                      <a:noFill/>
                    </a:ln>
                  </pic:spPr>
                </pic:pic>
              </a:graphicData>
            </a:graphic>
          </wp:inline>
        </w:drawing>
      </w:r>
      <w:r>
        <w:t>;</w:t>
      </w:r>
    </w:p>
    <w:p w:rsidR="00212513" w:rsidRDefault="00212513">
      <w:pPr>
        <w:pStyle w:val="ConsPlusNormal"/>
        <w:ind w:firstLine="540"/>
        <w:jc w:val="both"/>
      </w:pPr>
    </w:p>
    <w:p w:rsidR="00212513" w:rsidRDefault="00212513">
      <w:pPr>
        <w:pStyle w:val="ConsPlusNormal"/>
        <w:ind w:firstLine="540"/>
        <w:jc w:val="both"/>
      </w:pPr>
      <w:r>
        <w:rPr>
          <w:noProof/>
          <w:position w:val="-9"/>
        </w:rPr>
        <w:drawing>
          <wp:inline distT="0" distB="0" distL="0" distR="0">
            <wp:extent cx="251460" cy="262890"/>
            <wp:effectExtent l="0" t="0" r="0" b="0"/>
            <wp:docPr id="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 площадь бетона, заключенного внутри контура сеток косвенного армирования, считая по их крайним стержням, при этом должно удовлетворяться условие </w:t>
      </w:r>
      <w:r>
        <w:rPr>
          <w:noProof/>
          <w:position w:val="-9"/>
        </w:rPr>
        <w:drawing>
          <wp:inline distT="0" distB="0" distL="0" distR="0">
            <wp:extent cx="981710" cy="262890"/>
            <wp:effectExtent l="0" t="0" r="0" b="0"/>
            <wp:docPr id="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981710" cy="262890"/>
                    </a:xfrm>
                    <a:prstGeom prst="rect">
                      <a:avLst/>
                    </a:prstGeom>
                    <a:noFill/>
                    <a:ln>
                      <a:noFill/>
                    </a:ln>
                  </pic:spPr>
                </pic:pic>
              </a:graphicData>
            </a:graphic>
          </wp:inline>
        </w:drawing>
      </w:r>
      <w:r>
        <w:t>;</w:t>
      </w:r>
    </w:p>
    <w:p w:rsidR="00212513" w:rsidRDefault="00212513">
      <w:pPr>
        <w:pStyle w:val="ConsPlusNormal"/>
        <w:spacing w:before="220"/>
        <w:ind w:firstLine="540"/>
        <w:jc w:val="both"/>
      </w:pPr>
      <w:r>
        <w:rPr>
          <w:noProof/>
          <w:position w:val="-8"/>
        </w:rPr>
        <w:drawing>
          <wp:inline distT="0" distB="0" distL="0" distR="0">
            <wp:extent cx="209550" cy="251460"/>
            <wp:effectExtent l="0" t="0" r="0" b="0"/>
            <wp:docPr id="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расчетная площадь, симметричная по отношению к площади смятия </w:t>
      </w:r>
      <w:r>
        <w:rPr>
          <w:noProof/>
          <w:position w:val="-8"/>
        </w:rPr>
        <w:drawing>
          <wp:inline distT="0" distB="0" distL="0" distR="0">
            <wp:extent cx="273685" cy="251460"/>
            <wp:effectExtent l="0" t="0" r="0" b="0"/>
            <wp:docPr id="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273685" cy="251460"/>
                    </a:xfrm>
                    <a:prstGeom prst="rect">
                      <a:avLst/>
                    </a:prstGeom>
                    <a:noFill/>
                    <a:ln>
                      <a:noFill/>
                    </a:ln>
                  </pic:spPr>
                </pic:pic>
              </a:graphicData>
            </a:graphic>
          </wp:inline>
        </w:drawing>
      </w:r>
      <w:r>
        <w:t xml:space="preserve"> и принимаемая не более указанной на </w:t>
      </w:r>
      <w:hyperlink w:anchor="P4932">
        <w:r>
          <w:rPr>
            <w:color w:val="0000FF"/>
          </w:rPr>
          <w:t>рисунке 7.8</w:t>
        </w:r>
      </w:hyperlink>
      <w:r>
        <w:t>.</w:t>
      </w:r>
    </w:p>
    <w:p w:rsidR="00212513" w:rsidRDefault="00212513">
      <w:pPr>
        <w:pStyle w:val="ConsPlusNormal"/>
        <w:spacing w:before="220"/>
        <w:ind w:firstLine="540"/>
        <w:jc w:val="both"/>
      </w:pPr>
      <w:r>
        <w:t xml:space="preserve">Остальные обозначения следует принимать согласно требованиям </w:t>
      </w:r>
      <w:hyperlink w:anchor="P4913">
        <w:r>
          <w:rPr>
            <w:color w:val="0000FF"/>
          </w:rPr>
          <w:t>7.89</w:t>
        </w:r>
      </w:hyperlink>
      <w:r>
        <w:t>.</w:t>
      </w:r>
    </w:p>
    <w:p w:rsidR="00212513" w:rsidRDefault="00212513">
      <w:pPr>
        <w:pStyle w:val="ConsPlusNormal"/>
        <w:spacing w:before="220"/>
        <w:ind w:firstLine="540"/>
        <w:jc w:val="both"/>
      </w:pPr>
      <w:r>
        <w:t xml:space="preserve">Бетон конструкции в зоне передачи на него сосредоточенных усилий </w:t>
      </w:r>
      <w:hyperlink w:anchor="P4932">
        <w:r>
          <w:rPr>
            <w:color w:val="0000FF"/>
          </w:rPr>
          <w:t>(рисунок 7.8)</w:t>
        </w:r>
      </w:hyperlink>
      <w:r>
        <w:t xml:space="preserve"> должен быть рассчитан на местное сжатие (смятие), а также по трещиностойкости с учетом местных растягивающих напряжений согласно указаниям </w:t>
      </w:r>
      <w:hyperlink w:anchor="P5344">
        <w:r>
          <w:rPr>
            <w:color w:val="0000FF"/>
          </w:rPr>
          <w:t>7.111</w:t>
        </w:r>
      </w:hyperlink>
      <w:r>
        <w:t>.</w:t>
      </w:r>
    </w:p>
    <w:p w:rsidR="00212513" w:rsidRDefault="00212513">
      <w:pPr>
        <w:pStyle w:val="ConsPlusNormal"/>
        <w:ind w:firstLine="540"/>
        <w:jc w:val="both"/>
      </w:pPr>
    </w:p>
    <w:p w:rsidR="00212513" w:rsidRDefault="00212513">
      <w:pPr>
        <w:pStyle w:val="ConsPlusTitle"/>
        <w:ind w:firstLine="540"/>
        <w:jc w:val="both"/>
        <w:outlineLvl w:val="3"/>
      </w:pPr>
      <w:r>
        <w:t>Расчет на выносливость</w:t>
      </w:r>
    </w:p>
    <w:p w:rsidR="00212513" w:rsidRDefault="00212513">
      <w:pPr>
        <w:pStyle w:val="ConsPlusNormal"/>
        <w:ind w:firstLine="540"/>
        <w:jc w:val="both"/>
      </w:pPr>
    </w:p>
    <w:p w:rsidR="00212513" w:rsidRDefault="00212513">
      <w:pPr>
        <w:pStyle w:val="ConsPlusNormal"/>
        <w:ind w:firstLine="540"/>
        <w:jc w:val="both"/>
      </w:pPr>
      <w:bookmarkStart w:id="204" w:name="P4960"/>
      <w:bookmarkEnd w:id="204"/>
      <w:r>
        <w:t>7.91 Расчету на выносливость подлежат элементы железнодорожных мостов, мостов под пути метрополитена, совмещенных мостов и плиты проезжей части автодорожных и городских мостов; при толщине засыпки менее 1 м - ригели рам и перекрытия прямоугольных железобетонных труб, включая места их сопряжения со стенками.</w:t>
      </w:r>
    </w:p>
    <w:p w:rsidR="00212513" w:rsidRDefault="00212513">
      <w:pPr>
        <w:pStyle w:val="ConsPlusNormal"/>
        <w:spacing w:before="220"/>
        <w:ind w:firstLine="540"/>
        <w:jc w:val="both"/>
      </w:pPr>
      <w:r>
        <w:t>На выносливость не рассчитывают:</w:t>
      </w:r>
    </w:p>
    <w:p w:rsidR="00212513" w:rsidRDefault="00212513">
      <w:pPr>
        <w:pStyle w:val="ConsPlusNormal"/>
        <w:spacing w:before="220"/>
        <w:ind w:firstLine="540"/>
        <w:jc w:val="both"/>
      </w:pPr>
      <w:r>
        <w:t>бетонные опоры;</w:t>
      </w:r>
    </w:p>
    <w:p w:rsidR="00212513" w:rsidRDefault="00212513">
      <w:pPr>
        <w:pStyle w:val="ConsPlusNormal"/>
        <w:spacing w:before="220"/>
        <w:ind w:firstLine="540"/>
        <w:jc w:val="both"/>
      </w:pPr>
      <w:r>
        <w:t>фундаменты всех видов;</w:t>
      </w:r>
    </w:p>
    <w:p w:rsidR="00212513" w:rsidRDefault="00212513">
      <w:pPr>
        <w:pStyle w:val="ConsPlusNormal"/>
        <w:spacing w:before="220"/>
        <w:ind w:firstLine="540"/>
        <w:jc w:val="both"/>
      </w:pPr>
      <w:r>
        <w:t>звенья круглых труб;</w:t>
      </w:r>
    </w:p>
    <w:p w:rsidR="00212513" w:rsidRDefault="00212513">
      <w:pPr>
        <w:pStyle w:val="ConsPlusNormal"/>
        <w:spacing w:before="220"/>
        <w:ind w:firstLine="540"/>
        <w:jc w:val="both"/>
      </w:pPr>
      <w:r>
        <w:t>прямоугольные трубы и их перекрытия при толщине засыпки 1 м и более;</w:t>
      </w:r>
    </w:p>
    <w:p w:rsidR="00212513" w:rsidRDefault="00212513">
      <w:pPr>
        <w:pStyle w:val="ConsPlusNormal"/>
        <w:spacing w:before="220"/>
        <w:ind w:firstLine="540"/>
        <w:jc w:val="both"/>
      </w:pPr>
      <w:r>
        <w:t>стенки балок пролетных строений;</w:t>
      </w:r>
    </w:p>
    <w:p w:rsidR="00212513" w:rsidRDefault="00212513">
      <w:pPr>
        <w:pStyle w:val="ConsPlusNormal"/>
        <w:spacing w:before="220"/>
        <w:ind w:firstLine="540"/>
        <w:jc w:val="both"/>
      </w:pPr>
      <w:r>
        <w:t>бетон растянутой зоны;</w:t>
      </w:r>
    </w:p>
    <w:p w:rsidR="00212513" w:rsidRDefault="00212513">
      <w:pPr>
        <w:pStyle w:val="ConsPlusNormal"/>
        <w:spacing w:before="220"/>
        <w:ind w:firstLine="540"/>
        <w:jc w:val="both"/>
      </w:pPr>
      <w:r>
        <w:t>арматуру, работающую только на сжатие;</w:t>
      </w:r>
    </w:p>
    <w:p w:rsidR="00212513" w:rsidRDefault="00212513">
      <w:pPr>
        <w:pStyle w:val="ConsPlusNormal"/>
        <w:spacing w:before="220"/>
        <w:ind w:firstLine="540"/>
        <w:jc w:val="both"/>
      </w:pPr>
      <w:r>
        <w:lastRenderedPageBreak/>
        <w:t>продольную арматуру плиты проезжей части автодорожных и городских мостов;</w:t>
      </w:r>
    </w:p>
    <w:p w:rsidR="00212513" w:rsidRDefault="00212513">
      <w:pPr>
        <w:pStyle w:val="ConsPlusNormal"/>
        <w:jc w:val="both"/>
      </w:pPr>
      <w:r>
        <w:t xml:space="preserve">(абзац введен </w:t>
      </w:r>
      <w:hyperlink r:id="rId1131">
        <w:r>
          <w:rPr>
            <w:color w:val="0000FF"/>
          </w:rPr>
          <w:t>Изменением N 1</w:t>
        </w:r>
      </w:hyperlink>
      <w:r>
        <w:t>, утв. Приказом Минстроя России от 03.12.2016 N 879/пр)</w:t>
      </w:r>
    </w:p>
    <w:p w:rsidR="00212513" w:rsidRDefault="00212513">
      <w:pPr>
        <w:pStyle w:val="ConsPlusNormal"/>
        <w:spacing w:before="220"/>
        <w:ind w:firstLine="540"/>
        <w:jc w:val="both"/>
      </w:pPr>
      <w:r>
        <w:t>железобетонные опоры, в которых коэффициенты асимметрии цикла напряжений превышают в бетоне 0,6, в арматуре - 0,7.</w:t>
      </w:r>
    </w:p>
    <w:p w:rsidR="00212513" w:rsidRDefault="00212513">
      <w:pPr>
        <w:pStyle w:val="ConsPlusNormal"/>
        <w:spacing w:before="220"/>
        <w:ind w:firstLine="540"/>
        <w:jc w:val="both"/>
      </w:pPr>
      <w:r>
        <w:t xml:space="preserve">Если при расчете на выносливость железобетонных опор и перекрытий труб напряжения в арматуре не превышают 75% установленных расчетных сопротивлений (с учетом коэффициентов условий работы по </w:t>
      </w:r>
      <w:hyperlink w:anchor="P2555">
        <w:r>
          <w:rPr>
            <w:color w:val="0000FF"/>
          </w:rPr>
          <w:t>7.26</w:t>
        </w:r>
      </w:hyperlink>
      <w:r>
        <w:t xml:space="preserve"> и </w:t>
      </w:r>
      <w:hyperlink w:anchor="P3482">
        <w:r>
          <w:rPr>
            <w:color w:val="0000FF"/>
          </w:rPr>
          <w:t>7.39</w:t>
        </w:r>
      </w:hyperlink>
      <w:r>
        <w:t xml:space="preserve">), то дополнительные ограничения по классам арматуры и маркам стали, указанные в </w:t>
      </w:r>
      <w:hyperlink w:anchor="P2880">
        <w:r>
          <w:rPr>
            <w:color w:val="0000FF"/>
          </w:rPr>
          <w:t>7.33</w:t>
        </w:r>
      </w:hyperlink>
      <w:r>
        <w:t xml:space="preserve"> для арматуры, рассчитываемой на выносливость при средней температуре наружного воздуха наиболее холодной пятидневки ниже минус 40 °C, могут не выполняться.</w:t>
      </w:r>
    </w:p>
    <w:p w:rsidR="00212513" w:rsidRDefault="00212513">
      <w:pPr>
        <w:pStyle w:val="ConsPlusNormal"/>
        <w:spacing w:before="220"/>
        <w:ind w:firstLine="540"/>
        <w:jc w:val="both"/>
      </w:pPr>
      <w:r>
        <w:t xml:space="preserve">7.92 Расчет на выносливость элементов (или их частей) предварительно напряженных железобетонных конструкций, отнесенных к категориям требований по трещиностойкости 2а или 2б по </w:t>
      </w:r>
      <w:hyperlink w:anchor="P5063">
        <w:r>
          <w:rPr>
            <w:color w:val="0000FF"/>
          </w:rPr>
          <w:t>7.95</w:t>
        </w:r>
      </w:hyperlink>
      <w:r>
        <w:t>, по сечениям, нормальным к продольной оси, следует производить по приведенным ниже формулам, подставляя абсолютные значения напряжений и принимая сечения элементов без трещин:</w:t>
      </w:r>
    </w:p>
    <w:p w:rsidR="00212513" w:rsidRDefault="00212513">
      <w:pPr>
        <w:pStyle w:val="ConsPlusNormal"/>
        <w:spacing w:before="220"/>
        <w:ind w:firstLine="540"/>
        <w:jc w:val="both"/>
      </w:pPr>
      <w:r>
        <w:t>а) при расчете арматуры растянутой зоны:</w:t>
      </w:r>
    </w:p>
    <w:p w:rsidR="00212513" w:rsidRDefault="00212513">
      <w:pPr>
        <w:pStyle w:val="ConsPlusNormal"/>
        <w:ind w:firstLine="540"/>
        <w:jc w:val="both"/>
      </w:pPr>
    </w:p>
    <w:p w:rsidR="00212513" w:rsidRDefault="00212513">
      <w:pPr>
        <w:pStyle w:val="ConsPlusNormal"/>
        <w:jc w:val="center"/>
      </w:pPr>
      <w:bookmarkStart w:id="205" w:name="P4976"/>
      <w:bookmarkEnd w:id="205"/>
      <w:r>
        <w:rPr>
          <w:noProof/>
          <w:position w:val="-9"/>
        </w:rPr>
        <w:drawing>
          <wp:inline distT="0" distB="0" distL="0" distR="0">
            <wp:extent cx="2738120" cy="262890"/>
            <wp:effectExtent l="0" t="0" r="0" b="0"/>
            <wp:docPr id="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2738120" cy="262890"/>
                    </a:xfrm>
                    <a:prstGeom prst="rect">
                      <a:avLst/>
                    </a:prstGeom>
                    <a:noFill/>
                    <a:ln>
                      <a:noFill/>
                    </a:ln>
                  </pic:spPr>
                </pic:pic>
              </a:graphicData>
            </a:graphic>
          </wp:inline>
        </w:drawing>
      </w:r>
      <w:r>
        <w:t>, (7.80)</w:t>
      </w:r>
    </w:p>
    <w:p w:rsidR="00212513" w:rsidRDefault="00212513">
      <w:pPr>
        <w:pStyle w:val="ConsPlusNormal"/>
        <w:jc w:val="center"/>
      </w:pPr>
    </w:p>
    <w:p w:rsidR="00212513" w:rsidRDefault="00212513">
      <w:pPr>
        <w:pStyle w:val="ConsPlusNormal"/>
        <w:jc w:val="center"/>
      </w:pPr>
      <w:r>
        <w:rPr>
          <w:noProof/>
          <w:position w:val="-9"/>
        </w:rPr>
        <w:drawing>
          <wp:inline distT="0" distB="0" distL="0" distR="0">
            <wp:extent cx="1732280" cy="262890"/>
            <wp:effectExtent l="0" t="0" r="0" b="0"/>
            <wp:docPr id="7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1732280" cy="262890"/>
                    </a:xfrm>
                    <a:prstGeom prst="rect">
                      <a:avLst/>
                    </a:prstGeom>
                    <a:noFill/>
                    <a:ln>
                      <a:noFill/>
                    </a:ln>
                  </pic:spPr>
                </pic:pic>
              </a:graphicData>
            </a:graphic>
          </wp:inline>
        </w:drawing>
      </w:r>
      <w:r>
        <w:t>; (7.81)</w:t>
      </w:r>
    </w:p>
    <w:p w:rsidR="00212513" w:rsidRDefault="00212513">
      <w:pPr>
        <w:pStyle w:val="ConsPlusNormal"/>
        <w:ind w:firstLine="540"/>
        <w:jc w:val="both"/>
      </w:pPr>
    </w:p>
    <w:p w:rsidR="00212513" w:rsidRDefault="00212513">
      <w:pPr>
        <w:pStyle w:val="ConsPlusNormal"/>
        <w:ind w:firstLine="540"/>
        <w:jc w:val="both"/>
      </w:pPr>
      <w:r>
        <w:t>б) при расчете бетона сжатой зоны изгибаемых, внецентренно сжатых и внецентренно растянутых элементов:</w:t>
      </w:r>
    </w:p>
    <w:p w:rsidR="00212513" w:rsidRDefault="00212513">
      <w:pPr>
        <w:pStyle w:val="ConsPlusNormal"/>
        <w:ind w:firstLine="540"/>
        <w:jc w:val="both"/>
      </w:pPr>
    </w:p>
    <w:p w:rsidR="00212513" w:rsidRDefault="00212513">
      <w:pPr>
        <w:pStyle w:val="ConsPlusNormal"/>
        <w:jc w:val="center"/>
      </w:pPr>
      <w:r>
        <w:rPr>
          <w:noProof/>
          <w:position w:val="-10"/>
        </w:rPr>
        <w:drawing>
          <wp:inline distT="0" distB="0" distL="0" distR="0">
            <wp:extent cx="2291080" cy="267970"/>
            <wp:effectExtent l="0" t="0" r="0" b="0"/>
            <wp:docPr id="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2291080" cy="267970"/>
                    </a:xfrm>
                    <a:prstGeom prst="rect">
                      <a:avLst/>
                    </a:prstGeom>
                    <a:noFill/>
                    <a:ln>
                      <a:noFill/>
                    </a:ln>
                  </pic:spPr>
                </pic:pic>
              </a:graphicData>
            </a:graphic>
          </wp:inline>
        </w:drawing>
      </w:r>
      <w:r>
        <w:t xml:space="preserve"> (7.82)</w:t>
      </w:r>
    </w:p>
    <w:p w:rsidR="00212513" w:rsidRDefault="00212513">
      <w:pPr>
        <w:pStyle w:val="ConsPlusNormal"/>
        <w:jc w:val="center"/>
      </w:pPr>
    </w:p>
    <w:p w:rsidR="00212513" w:rsidRDefault="00212513">
      <w:pPr>
        <w:pStyle w:val="ConsPlusNormal"/>
        <w:jc w:val="center"/>
      </w:pPr>
      <w:r>
        <w:t xml:space="preserve">(в ред. </w:t>
      </w:r>
      <w:hyperlink r:id="rId1135">
        <w:r>
          <w:rPr>
            <w:color w:val="0000FF"/>
          </w:rPr>
          <w:t>Изменения N 1</w:t>
        </w:r>
      </w:hyperlink>
      <w:r>
        <w:t>, утв. Приказом</w:t>
      </w:r>
    </w:p>
    <w:p w:rsidR="00212513" w:rsidRDefault="00212513">
      <w:pPr>
        <w:pStyle w:val="ConsPlusNormal"/>
        <w:jc w:val="center"/>
      </w:pPr>
      <w:r>
        <w:t>Минстроя России от 03.12.2016 N 879/пр)</w:t>
      </w:r>
    </w:p>
    <w:p w:rsidR="00212513" w:rsidRDefault="00212513">
      <w:pPr>
        <w:pStyle w:val="ConsPlusNormal"/>
        <w:ind w:firstLine="540"/>
        <w:jc w:val="both"/>
      </w:pPr>
    </w:p>
    <w:p w:rsidR="00212513" w:rsidRDefault="00212513">
      <w:pPr>
        <w:pStyle w:val="ConsPlusNormal"/>
        <w:jc w:val="center"/>
      </w:pPr>
      <w:bookmarkStart w:id="206" w:name="P4987"/>
      <w:bookmarkEnd w:id="206"/>
      <w:r>
        <w:rPr>
          <w:noProof/>
          <w:position w:val="-10"/>
        </w:rPr>
        <w:drawing>
          <wp:inline distT="0" distB="0" distL="0" distR="0">
            <wp:extent cx="1327150" cy="267970"/>
            <wp:effectExtent l="0" t="0" r="0" b="0"/>
            <wp:docPr id="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1327150" cy="267970"/>
                    </a:xfrm>
                    <a:prstGeom prst="rect">
                      <a:avLst/>
                    </a:prstGeom>
                    <a:noFill/>
                    <a:ln>
                      <a:noFill/>
                    </a:ln>
                  </pic:spPr>
                </pic:pic>
              </a:graphicData>
            </a:graphic>
          </wp:inline>
        </w:drawing>
      </w:r>
      <w:r>
        <w:t xml:space="preserve"> (7.83)</w:t>
      </w:r>
    </w:p>
    <w:p w:rsidR="00212513" w:rsidRDefault="00212513">
      <w:pPr>
        <w:pStyle w:val="ConsPlusNormal"/>
        <w:jc w:val="center"/>
      </w:pPr>
    </w:p>
    <w:p w:rsidR="00212513" w:rsidRDefault="00212513">
      <w:pPr>
        <w:pStyle w:val="ConsPlusNormal"/>
        <w:jc w:val="center"/>
      </w:pPr>
      <w:r>
        <w:t xml:space="preserve">(в ред. </w:t>
      </w:r>
      <w:hyperlink r:id="rId1137">
        <w:r>
          <w:rPr>
            <w:color w:val="0000FF"/>
          </w:rPr>
          <w:t>Изменения N 1</w:t>
        </w:r>
      </w:hyperlink>
      <w:r>
        <w:t>, утв. Приказом</w:t>
      </w:r>
    </w:p>
    <w:p w:rsidR="00212513" w:rsidRDefault="00212513">
      <w:pPr>
        <w:pStyle w:val="ConsPlusNormal"/>
        <w:jc w:val="center"/>
      </w:pPr>
      <w:r>
        <w:t>Минстроя России от 03.12.2016 N 879/пр)</w:t>
      </w:r>
    </w:p>
    <w:p w:rsidR="00212513" w:rsidRDefault="00212513">
      <w:pPr>
        <w:pStyle w:val="ConsPlusNormal"/>
        <w:ind w:firstLine="540"/>
        <w:jc w:val="both"/>
      </w:pPr>
    </w:p>
    <w:p w:rsidR="00212513" w:rsidRDefault="00212513">
      <w:pPr>
        <w:pStyle w:val="ConsPlusNormal"/>
        <w:jc w:val="both"/>
      </w:pPr>
      <w:r>
        <w:t>(знак напряжений при расчете статически неопределимых конструкций может изменяться на противоположный).</w:t>
      </w:r>
    </w:p>
    <w:p w:rsidR="00212513" w:rsidRDefault="00212513">
      <w:pPr>
        <w:pStyle w:val="ConsPlusNormal"/>
        <w:spacing w:before="220"/>
        <w:ind w:firstLine="540"/>
        <w:jc w:val="both"/>
      </w:pPr>
      <w:r>
        <w:t xml:space="preserve">В </w:t>
      </w:r>
      <w:hyperlink w:anchor="P4976">
        <w:r>
          <w:rPr>
            <w:color w:val="0000FF"/>
          </w:rPr>
          <w:t>формулах (7.80)</w:t>
        </w:r>
      </w:hyperlink>
      <w:r>
        <w:t xml:space="preserve"> - </w:t>
      </w:r>
      <w:hyperlink w:anchor="P4987">
        <w:r>
          <w:rPr>
            <w:color w:val="0000FF"/>
          </w:rPr>
          <w:t>(7.83)</w:t>
        </w:r>
      </w:hyperlink>
      <w:r>
        <w:t>:</w:t>
      </w:r>
    </w:p>
    <w:p w:rsidR="00212513" w:rsidRDefault="00212513">
      <w:pPr>
        <w:pStyle w:val="ConsPlusNormal"/>
        <w:spacing w:before="220"/>
        <w:ind w:firstLine="540"/>
        <w:jc w:val="both"/>
      </w:pPr>
      <w:r>
        <w:rPr>
          <w:noProof/>
          <w:position w:val="-9"/>
        </w:rPr>
        <w:drawing>
          <wp:inline distT="0" distB="0" distL="0" distR="0">
            <wp:extent cx="428625" cy="262890"/>
            <wp:effectExtent l="0" t="0" r="0" b="0"/>
            <wp:docPr id="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428625" cy="262890"/>
                    </a:xfrm>
                    <a:prstGeom prst="rect">
                      <a:avLst/>
                    </a:prstGeom>
                    <a:noFill/>
                    <a:ln>
                      <a:noFill/>
                    </a:ln>
                  </pic:spPr>
                </pic:pic>
              </a:graphicData>
            </a:graphic>
          </wp:inline>
        </w:drawing>
      </w:r>
      <w:r>
        <w:t xml:space="preserve">, </w:t>
      </w:r>
      <w:r>
        <w:rPr>
          <w:noProof/>
          <w:position w:val="-9"/>
        </w:rPr>
        <w:drawing>
          <wp:inline distT="0" distB="0" distL="0" distR="0">
            <wp:extent cx="396875" cy="262890"/>
            <wp:effectExtent l="0" t="0" r="0" b="0"/>
            <wp:docPr id="7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396875" cy="262890"/>
                    </a:xfrm>
                    <a:prstGeom prst="rect">
                      <a:avLst/>
                    </a:prstGeom>
                    <a:noFill/>
                    <a:ln>
                      <a:noFill/>
                    </a:ln>
                  </pic:spPr>
                </pic:pic>
              </a:graphicData>
            </a:graphic>
          </wp:inline>
        </w:drawing>
      </w:r>
      <w:r>
        <w:t xml:space="preserve"> - напряжения в напрягаемой арматуре соответственно максимальные и минимальные;</w:t>
      </w:r>
    </w:p>
    <w:p w:rsidR="00212513" w:rsidRDefault="00212513">
      <w:pPr>
        <w:pStyle w:val="ConsPlusNormal"/>
        <w:spacing w:before="220"/>
        <w:ind w:firstLine="540"/>
        <w:jc w:val="both"/>
      </w:pPr>
      <w:r>
        <w:rPr>
          <w:noProof/>
          <w:position w:val="-9"/>
        </w:rPr>
        <w:drawing>
          <wp:inline distT="0" distB="0" distL="0" distR="0">
            <wp:extent cx="262890" cy="262890"/>
            <wp:effectExtent l="0" t="0" r="0" b="0"/>
            <wp:docPr id="7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установившиеся (за вычетом потерь) предварительные напряжения в напрягаемой арматуре растянутой зоны;</w:t>
      </w:r>
    </w:p>
    <w:p w:rsidR="00212513" w:rsidRDefault="00212513">
      <w:pPr>
        <w:pStyle w:val="ConsPlusNormal"/>
        <w:spacing w:before="220"/>
        <w:ind w:firstLine="540"/>
        <w:jc w:val="both"/>
      </w:pPr>
      <w:r>
        <w:rPr>
          <w:noProof/>
          <w:position w:val="-9"/>
        </w:rPr>
        <w:drawing>
          <wp:inline distT="0" distB="0" distL="0" distR="0">
            <wp:extent cx="304165" cy="262890"/>
            <wp:effectExtent l="0" t="0" r="0" b="0"/>
            <wp:docPr id="7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304165" cy="262890"/>
                    </a:xfrm>
                    <a:prstGeom prst="rect">
                      <a:avLst/>
                    </a:prstGeom>
                    <a:noFill/>
                    <a:ln>
                      <a:noFill/>
                    </a:ln>
                  </pic:spPr>
                </pic:pic>
              </a:graphicData>
            </a:graphic>
          </wp:inline>
        </w:drawing>
      </w:r>
      <w:r>
        <w:t xml:space="preserve"> - снижение напряжения в напрягаемой арматуре растянутой зоны от упругого обжатия бетона согласно </w:t>
      </w:r>
      <w:hyperlink w:anchor="P5013">
        <w:r>
          <w:rPr>
            <w:color w:val="0000FF"/>
          </w:rPr>
          <w:t>7.93</w:t>
        </w:r>
      </w:hyperlink>
      <w:r>
        <w:t>;</w:t>
      </w:r>
    </w:p>
    <w:p w:rsidR="00212513" w:rsidRDefault="00212513">
      <w:pPr>
        <w:pStyle w:val="ConsPlusNormal"/>
        <w:spacing w:before="220"/>
        <w:ind w:firstLine="540"/>
        <w:jc w:val="both"/>
      </w:pPr>
      <w:r>
        <w:rPr>
          <w:noProof/>
          <w:position w:val="-9"/>
        </w:rPr>
        <w:lastRenderedPageBreak/>
        <w:drawing>
          <wp:inline distT="0" distB="0" distL="0" distR="0">
            <wp:extent cx="815340" cy="262890"/>
            <wp:effectExtent l="0" t="0" r="0" b="0"/>
            <wp:docPr id="7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2" cstate="print">
                      <a:extLst>
                        <a:ext uri="{28A0092B-C50C-407E-A947-70E740481C1C}">
                          <a14:useLocalDpi xmlns:a14="http://schemas.microsoft.com/office/drawing/2010/main" val="0"/>
                        </a:ext>
                      </a:extLst>
                    </a:blip>
                    <a:srcRect/>
                    <a:stretch>
                      <a:fillRect/>
                    </a:stretch>
                  </pic:blipFill>
                  <pic:spPr bwMode="auto">
                    <a:xfrm>
                      <a:off x="0" y="0"/>
                      <a:ext cx="815340" cy="262890"/>
                    </a:xfrm>
                    <a:prstGeom prst="rect">
                      <a:avLst/>
                    </a:prstGeom>
                    <a:noFill/>
                    <a:ln>
                      <a:noFill/>
                    </a:ln>
                  </pic:spPr>
                </pic:pic>
              </a:graphicData>
            </a:graphic>
          </wp:inline>
        </w:drawing>
      </w:r>
      <w:r>
        <w:t xml:space="preserve"> - напряжения в арматуре от постоянной нагрузки;</w:t>
      </w:r>
    </w:p>
    <w:p w:rsidR="00212513" w:rsidRDefault="00212513">
      <w:pPr>
        <w:pStyle w:val="ConsPlusNormal"/>
        <w:spacing w:before="220"/>
        <w:ind w:firstLine="540"/>
        <w:jc w:val="both"/>
      </w:pPr>
      <w:r>
        <w:rPr>
          <w:noProof/>
          <w:position w:val="-9"/>
        </w:rPr>
        <w:drawing>
          <wp:inline distT="0" distB="0" distL="0" distR="0">
            <wp:extent cx="796290" cy="262890"/>
            <wp:effectExtent l="0" t="0" r="0" b="0"/>
            <wp:docPr id="7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796290" cy="262890"/>
                    </a:xfrm>
                    <a:prstGeom prst="rect">
                      <a:avLst/>
                    </a:prstGeom>
                    <a:noFill/>
                    <a:ln>
                      <a:noFill/>
                    </a:ln>
                  </pic:spPr>
                </pic:pic>
              </a:graphicData>
            </a:graphic>
          </wp:inline>
        </w:drawing>
      </w:r>
      <w:r>
        <w:t xml:space="preserve"> - напряжения в арматуре от временной нагрузки,</w:t>
      </w:r>
    </w:p>
    <w:p w:rsidR="00212513" w:rsidRDefault="00212513">
      <w:pPr>
        <w:pStyle w:val="ConsPlusNormal"/>
        <w:spacing w:before="220"/>
        <w:ind w:firstLine="540"/>
        <w:jc w:val="both"/>
      </w:pPr>
      <w:r>
        <w:t xml:space="preserve">где </w:t>
      </w:r>
      <w:r>
        <w:rPr>
          <w:noProof/>
          <w:position w:val="-8"/>
        </w:rPr>
        <w:drawing>
          <wp:inline distT="0" distB="0" distL="0" distR="0">
            <wp:extent cx="167640" cy="251460"/>
            <wp:effectExtent l="0" t="0" r="0" b="0"/>
            <wp:docPr id="7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отношение модулей упругости согласно </w:t>
      </w:r>
      <w:hyperlink w:anchor="P3883">
        <w:r>
          <w:rPr>
            <w:color w:val="0000FF"/>
          </w:rPr>
          <w:t>7.48</w:t>
        </w:r>
      </w:hyperlink>
      <w:r>
        <w:t>;</w:t>
      </w:r>
    </w:p>
    <w:p w:rsidR="00212513" w:rsidRDefault="00212513">
      <w:pPr>
        <w:pStyle w:val="ConsPlusNormal"/>
        <w:spacing w:before="220"/>
        <w:ind w:firstLine="540"/>
        <w:jc w:val="both"/>
      </w:pPr>
      <w:r>
        <w:rPr>
          <w:noProof/>
          <w:position w:val="-9"/>
        </w:rPr>
        <w:drawing>
          <wp:inline distT="0" distB="0" distL="0" distR="0">
            <wp:extent cx="304165" cy="262890"/>
            <wp:effectExtent l="0" t="0" r="0" b="0"/>
            <wp:docPr id="7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304165" cy="262890"/>
                    </a:xfrm>
                    <a:prstGeom prst="rect">
                      <a:avLst/>
                    </a:prstGeom>
                    <a:noFill/>
                    <a:ln>
                      <a:noFill/>
                    </a:ln>
                  </pic:spPr>
                </pic:pic>
              </a:graphicData>
            </a:graphic>
          </wp:inline>
        </w:drawing>
      </w:r>
      <w:r>
        <w:t xml:space="preserve"> - коэффициент условий работы арматуры, учитывающий влияние многократно повторяющейся нагрузки согласно </w:t>
      </w:r>
      <w:hyperlink w:anchor="P3482">
        <w:r>
          <w:rPr>
            <w:color w:val="0000FF"/>
          </w:rPr>
          <w:t>7.39</w:t>
        </w:r>
      </w:hyperlink>
      <w:r>
        <w:t>;</w:t>
      </w:r>
    </w:p>
    <w:p w:rsidR="00212513" w:rsidRDefault="00212513">
      <w:pPr>
        <w:pStyle w:val="ConsPlusNormal"/>
        <w:spacing w:before="220"/>
        <w:ind w:firstLine="540"/>
        <w:jc w:val="both"/>
      </w:pPr>
      <w:r>
        <w:rPr>
          <w:noProof/>
          <w:position w:val="-9"/>
        </w:rPr>
        <w:drawing>
          <wp:inline distT="0" distB="0" distL="0" distR="0">
            <wp:extent cx="220980" cy="262890"/>
            <wp:effectExtent l="0" t="0" r="0" b="0"/>
            <wp:docPr id="7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6"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расчетное сопротивление напрягаемой арматуры согласно </w:t>
      </w:r>
      <w:hyperlink w:anchor="P3259">
        <w:r>
          <w:rPr>
            <w:color w:val="0000FF"/>
          </w:rPr>
          <w:t>7.37</w:t>
        </w:r>
      </w:hyperlink>
      <w:r>
        <w:t>;</w:t>
      </w:r>
    </w:p>
    <w:p w:rsidR="00212513" w:rsidRDefault="00212513">
      <w:pPr>
        <w:pStyle w:val="ConsPlusNormal"/>
        <w:spacing w:before="220"/>
        <w:ind w:firstLine="540"/>
        <w:jc w:val="both"/>
      </w:pPr>
      <w:r>
        <w:rPr>
          <w:noProof/>
          <w:position w:val="-10"/>
        </w:rPr>
        <w:drawing>
          <wp:inline distT="0" distB="0" distL="0" distR="0">
            <wp:extent cx="461010" cy="267970"/>
            <wp:effectExtent l="0" t="0" r="0" b="0"/>
            <wp:docPr id="7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7" cstate="print">
                      <a:extLst>
                        <a:ext uri="{28A0092B-C50C-407E-A947-70E740481C1C}">
                          <a14:useLocalDpi xmlns:a14="http://schemas.microsoft.com/office/drawing/2010/main" val="0"/>
                        </a:ext>
                      </a:extLst>
                    </a:blip>
                    <a:srcRect/>
                    <a:stretch>
                      <a:fillRect/>
                    </a:stretch>
                  </pic:blipFill>
                  <pic:spPr bwMode="auto">
                    <a:xfrm>
                      <a:off x="0" y="0"/>
                      <a:ext cx="461010" cy="267970"/>
                    </a:xfrm>
                    <a:prstGeom prst="rect">
                      <a:avLst/>
                    </a:prstGeom>
                    <a:noFill/>
                    <a:ln>
                      <a:noFill/>
                    </a:ln>
                  </pic:spPr>
                </pic:pic>
              </a:graphicData>
            </a:graphic>
          </wp:inline>
        </w:drawing>
      </w:r>
      <w:r>
        <w:t xml:space="preserve">, </w:t>
      </w:r>
      <w:r>
        <w:rPr>
          <w:noProof/>
          <w:position w:val="-10"/>
        </w:rPr>
        <w:drawing>
          <wp:inline distT="0" distB="0" distL="0" distR="0">
            <wp:extent cx="437515" cy="267970"/>
            <wp:effectExtent l="0" t="0" r="0" b="0"/>
            <wp:docPr id="7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8" cstate="print">
                      <a:extLst>
                        <a:ext uri="{28A0092B-C50C-407E-A947-70E740481C1C}">
                          <a14:useLocalDpi xmlns:a14="http://schemas.microsoft.com/office/drawing/2010/main" val="0"/>
                        </a:ext>
                      </a:extLst>
                    </a:blip>
                    <a:srcRect/>
                    <a:stretch>
                      <a:fillRect/>
                    </a:stretch>
                  </pic:blipFill>
                  <pic:spPr bwMode="auto">
                    <a:xfrm>
                      <a:off x="0" y="0"/>
                      <a:ext cx="437515" cy="267970"/>
                    </a:xfrm>
                    <a:prstGeom prst="rect">
                      <a:avLst/>
                    </a:prstGeom>
                    <a:noFill/>
                    <a:ln>
                      <a:noFill/>
                    </a:ln>
                  </pic:spPr>
                </pic:pic>
              </a:graphicData>
            </a:graphic>
          </wp:inline>
        </w:drawing>
      </w:r>
      <w:r>
        <w:t xml:space="preserve"> - сжимающие напряжения в бетоне соответственно максимальные и минимальные;</w:t>
      </w:r>
    </w:p>
    <w:p w:rsidR="00212513" w:rsidRDefault="00212513">
      <w:pPr>
        <w:pStyle w:val="ConsPlusNormal"/>
        <w:jc w:val="both"/>
      </w:pPr>
      <w:r>
        <w:t xml:space="preserve">(в ред. </w:t>
      </w:r>
      <w:hyperlink r:id="rId1149">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rPr>
          <w:noProof/>
          <w:position w:val="-8"/>
        </w:rPr>
        <w:drawing>
          <wp:inline distT="0" distB="0" distL="0" distR="0">
            <wp:extent cx="281940" cy="241300"/>
            <wp:effectExtent l="0" t="0" r="0" b="0"/>
            <wp:docPr id="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281940" cy="241300"/>
                    </a:xfrm>
                    <a:prstGeom prst="rect">
                      <a:avLst/>
                    </a:prstGeom>
                    <a:noFill/>
                    <a:ln>
                      <a:noFill/>
                    </a:ln>
                  </pic:spPr>
                </pic:pic>
              </a:graphicData>
            </a:graphic>
          </wp:inline>
        </w:drawing>
      </w:r>
      <w:r>
        <w:t xml:space="preserve"> - установившиеся (за вычетом потерь) предварительные напряжения в бетоне сжатой зоны;</w:t>
      </w:r>
    </w:p>
    <w:p w:rsidR="00212513" w:rsidRDefault="00212513">
      <w:pPr>
        <w:pStyle w:val="ConsPlusNormal"/>
        <w:spacing w:before="220"/>
        <w:ind w:firstLine="540"/>
        <w:jc w:val="both"/>
      </w:pPr>
      <w:r>
        <w:rPr>
          <w:noProof/>
          <w:position w:val="-9"/>
        </w:rPr>
        <w:drawing>
          <wp:inline distT="0" distB="0" distL="0" distR="0">
            <wp:extent cx="293370" cy="262890"/>
            <wp:effectExtent l="0" t="0" r="0" b="0"/>
            <wp:docPr id="7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293370" cy="262890"/>
                    </a:xfrm>
                    <a:prstGeom prst="rect">
                      <a:avLst/>
                    </a:prstGeom>
                    <a:noFill/>
                    <a:ln>
                      <a:noFill/>
                    </a:ln>
                  </pic:spPr>
                </pic:pic>
              </a:graphicData>
            </a:graphic>
          </wp:inline>
        </w:drawing>
      </w:r>
      <w:r>
        <w:t xml:space="preserve">, </w:t>
      </w:r>
      <w:r>
        <w:rPr>
          <w:noProof/>
          <w:position w:val="-10"/>
        </w:rPr>
        <w:drawing>
          <wp:inline distT="0" distB="0" distL="0" distR="0">
            <wp:extent cx="310515" cy="267970"/>
            <wp:effectExtent l="0" t="0" r="0" b="0"/>
            <wp:docPr id="7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310515" cy="267970"/>
                    </a:xfrm>
                    <a:prstGeom prst="rect">
                      <a:avLst/>
                    </a:prstGeom>
                    <a:noFill/>
                    <a:ln>
                      <a:noFill/>
                    </a:ln>
                  </pic:spPr>
                </pic:pic>
              </a:graphicData>
            </a:graphic>
          </wp:inline>
        </w:drawing>
      </w:r>
      <w:r>
        <w:t xml:space="preserve"> - напряжения в бетоне от постоянной нагрузки соответственно растянутой и сжатой зон;</w:t>
      </w:r>
    </w:p>
    <w:p w:rsidR="00212513" w:rsidRDefault="00212513">
      <w:pPr>
        <w:pStyle w:val="ConsPlusNormal"/>
        <w:jc w:val="both"/>
      </w:pPr>
      <w:r>
        <w:t xml:space="preserve">(в ред. </w:t>
      </w:r>
      <w:hyperlink r:id="rId1153">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rPr>
          <w:noProof/>
          <w:position w:val="-8"/>
        </w:rPr>
        <w:drawing>
          <wp:inline distT="0" distB="0" distL="0" distR="0">
            <wp:extent cx="281940" cy="251460"/>
            <wp:effectExtent l="0" t="0" r="0" b="0"/>
            <wp:docPr id="7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4"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xml:space="preserve">, </w:t>
      </w:r>
      <w:r>
        <w:rPr>
          <w:noProof/>
          <w:position w:val="-8"/>
        </w:rPr>
        <w:drawing>
          <wp:inline distT="0" distB="0" distL="0" distR="0">
            <wp:extent cx="293370" cy="251460"/>
            <wp:effectExtent l="0" t="0" r="0" b="0"/>
            <wp:docPr id="7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5"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 напряжения в бетоне от временной нагрузки соответственно растянутой и сжатой зон;</w:t>
      </w:r>
    </w:p>
    <w:p w:rsidR="00212513" w:rsidRDefault="00212513">
      <w:pPr>
        <w:pStyle w:val="ConsPlusNormal"/>
        <w:jc w:val="both"/>
      </w:pPr>
      <w:r>
        <w:t xml:space="preserve">(в ред. </w:t>
      </w:r>
      <w:hyperlink r:id="rId1156">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rPr>
          <w:noProof/>
          <w:position w:val="-8"/>
        </w:rPr>
        <w:drawing>
          <wp:inline distT="0" distB="0" distL="0" distR="0">
            <wp:extent cx="251460" cy="251460"/>
            <wp:effectExtent l="0" t="0" r="0" b="0"/>
            <wp:docPr id="7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коэффициент условий работы бетона, учитывающий влияние многократно повторяющейся нагрузки согласно </w:t>
      </w:r>
      <w:hyperlink w:anchor="P2555">
        <w:r>
          <w:rPr>
            <w:color w:val="0000FF"/>
          </w:rPr>
          <w:t>7.26</w:t>
        </w:r>
      </w:hyperlink>
      <w:r>
        <w:t>;</w:t>
      </w:r>
    </w:p>
    <w:p w:rsidR="00212513" w:rsidRDefault="00212513">
      <w:pPr>
        <w:pStyle w:val="ConsPlusNormal"/>
        <w:spacing w:before="220"/>
        <w:ind w:firstLine="540"/>
        <w:jc w:val="both"/>
      </w:pPr>
      <w:r>
        <w:rPr>
          <w:noProof/>
          <w:position w:val="-8"/>
        </w:rPr>
        <w:drawing>
          <wp:inline distT="0" distB="0" distL="0" distR="0">
            <wp:extent cx="209550" cy="251460"/>
            <wp:effectExtent l="0" t="0" r="0" b="0"/>
            <wp:docPr id="7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расчетное сопротивление бетона сжатию согласно </w:t>
      </w:r>
      <w:hyperlink w:anchor="P2341">
        <w:r>
          <w:rPr>
            <w:color w:val="0000FF"/>
          </w:rPr>
          <w:t>7.24</w:t>
        </w:r>
      </w:hyperlink>
      <w:r>
        <w:t>.</w:t>
      </w:r>
    </w:p>
    <w:p w:rsidR="00212513" w:rsidRDefault="00212513">
      <w:pPr>
        <w:pStyle w:val="ConsPlusNormal"/>
        <w:spacing w:before="220"/>
        <w:ind w:firstLine="540"/>
        <w:jc w:val="both"/>
      </w:pPr>
      <w:r>
        <w:t>Примечание - При расчете как на выносливость, так и на трещиностойкость, при определении напряжений в бетоне с учетом приведенного сечения в формулах напряжения в арматуре, напрягаемой на упоры, принимают без их снижения от упругого обжатия бетона (при условии, если при расчете всю арматуру, имеющую сцепление с бетоном, включают в приведенные характеристики сечения).</w:t>
      </w:r>
    </w:p>
    <w:p w:rsidR="00212513" w:rsidRDefault="00212513">
      <w:pPr>
        <w:pStyle w:val="ConsPlusNormal"/>
        <w:ind w:firstLine="540"/>
        <w:jc w:val="both"/>
      </w:pPr>
    </w:p>
    <w:p w:rsidR="00212513" w:rsidRDefault="00212513">
      <w:pPr>
        <w:pStyle w:val="ConsPlusNormal"/>
        <w:ind w:firstLine="540"/>
        <w:jc w:val="both"/>
      </w:pPr>
      <w:bookmarkStart w:id="207" w:name="P5013"/>
      <w:bookmarkEnd w:id="207"/>
      <w:r>
        <w:t xml:space="preserve">7.93 Напряжения в напрягаемой арматуре следует вычислять с учетом снижения от упругого обжатия бетона </w:t>
      </w:r>
      <w:r>
        <w:rPr>
          <w:noProof/>
          <w:position w:val="-9"/>
        </w:rPr>
        <w:drawing>
          <wp:inline distT="0" distB="0" distL="0" distR="0">
            <wp:extent cx="304165" cy="262890"/>
            <wp:effectExtent l="0" t="0" r="0" b="0"/>
            <wp:docPr id="7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304165" cy="262890"/>
                    </a:xfrm>
                    <a:prstGeom prst="rect">
                      <a:avLst/>
                    </a:prstGeom>
                    <a:noFill/>
                    <a:ln>
                      <a:noFill/>
                    </a:ln>
                  </pic:spPr>
                </pic:pic>
              </a:graphicData>
            </a:graphic>
          </wp:inline>
        </w:drawing>
      </w:r>
      <w:r>
        <w:t>, которое при одновременном обжатии бетона всей напрягаемой на упоры арматурой необходимо определять по формуле</w:t>
      </w:r>
    </w:p>
    <w:p w:rsidR="00212513" w:rsidRDefault="00212513">
      <w:pPr>
        <w:pStyle w:val="ConsPlusNormal"/>
        <w:ind w:firstLine="540"/>
        <w:jc w:val="both"/>
      </w:pPr>
    </w:p>
    <w:p w:rsidR="00212513" w:rsidRDefault="00212513">
      <w:pPr>
        <w:pStyle w:val="ConsPlusNormal"/>
        <w:jc w:val="center"/>
      </w:pPr>
      <w:bookmarkStart w:id="208" w:name="P5015"/>
      <w:bookmarkEnd w:id="208"/>
      <w:r>
        <w:rPr>
          <w:noProof/>
          <w:position w:val="-9"/>
        </w:rPr>
        <w:drawing>
          <wp:inline distT="0" distB="0" distL="0" distR="0">
            <wp:extent cx="815340" cy="262890"/>
            <wp:effectExtent l="0" t="0" r="0" b="0"/>
            <wp:docPr id="7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815340" cy="262890"/>
                    </a:xfrm>
                    <a:prstGeom prst="rect">
                      <a:avLst/>
                    </a:prstGeom>
                    <a:noFill/>
                    <a:ln>
                      <a:noFill/>
                    </a:ln>
                  </pic:spPr>
                </pic:pic>
              </a:graphicData>
            </a:graphic>
          </wp:inline>
        </w:drawing>
      </w:r>
      <w:r>
        <w:t>. (7.84)</w:t>
      </w:r>
    </w:p>
    <w:p w:rsidR="00212513" w:rsidRDefault="00212513">
      <w:pPr>
        <w:pStyle w:val="ConsPlusNormal"/>
        <w:ind w:firstLine="540"/>
        <w:jc w:val="both"/>
      </w:pPr>
    </w:p>
    <w:p w:rsidR="00212513" w:rsidRDefault="00212513">
      <w:pPr>
        <w:pStyle w:val="ConsPlusNormal"/>
        <w:ind w:firstLine="540"/>
        <w:jc w:val="both"/>
      </w:pPr>
      <w:r>
        <w:t>При натяжении арматуры на бетон в несколько этапов снижение предварительного напряжения в арматуре, натянутой ранее, следует определять по формуле</w:t>
      </w:r>
    </w:p>
    <w:p w:rsidR="00212513" w:rsidRDefault="00212513">
      <w:pPr>
        <w:pStyle w:val="ConsPlusNormal"/>
        <w:ind w:firstLine="540"/>
        <w:jc w:val="both"/>
      </w:pPr>
    </w:p>
    <w:p w:rsidR="00212513" w:rsidRDefault="00212513">
      <w:pPr>
        <w:pStyle w:val="ConsPlusNormal"/>
        <w:jc w:val="center"/>
      </w:pPr>
      <w:r>
        <w:rPr>
          <w:noProof/>
          <w:position w:val="-9"/>
        </w:rPr>
        <w:drawing>
          <wp:inline distT="0" distB="0" distL="0" distR="0">
            <wp:extent cx="1047750" cy="262890"/>
            <wp:effectExtent l="0" t="0" r="0" b="0"/>
            <wp:docPr id="7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047750" cy="262890"/>
                    </a:xfrm>
                    <a:prstGeom prst="rect">
                      <a:avLst/>
                    </a:prstGeom>
                    <a:noFill/>
                    <a:ln>
                      <a:noFill/>
                    </a:ln>
                  </pic:spPr>
                </pic:pic>
              </a:graphicData>
            </a:graphic>
          </wp:inline>
        </w:drawing>
      </w:r>
      <w:r>
        <w:t>. (7.85)</w:t>
      </w:r>
    </w:p>
    <w:p w:rsidR="00212513" w:rsidRDefault="00212513">
      <w:pPr>
        <w:pStyle w:val="ConsPlusNormal"/>
        <w:ind w:firstLine="540"/>
        <w:jc w:val="both"/>
      </w:pPr>
    </w:p>
    <w:p w:rsidR="00212513" w:rsidRDefault="00212513">
      <w:pPr>
        <w:pStyle w:val="ConsPlusNormal"/>
        <w:ind w:firstLine="540"/>
        <w:jc w:val="both"/>
      </w:pPr>
      <w:r>
        <w:lastRenderedPageBreak/>
        <w:t xml:space="preserve">В </w:t>
      </w:r>
      <w:hyperlink w:anchor="P5015">
        <w:r>
          <w:rPr>
            <w:color w:val="0000FF"/>
          </w:rPr>
          <w:t>формулах (7.84)</w:t>
        </w:r>
      </w:hyperlink>
      <w:r>
        <w:t xml:space="preserve"> и (7.85):</w:t>
      </w:r>
    </w:p>
    <w:p w:rsidR="00212513" w:rsidRDefault="00212513">
      <w:pPr>
        <w:pStyle w:val="ConsPlusNormal"/>
        <w:spacing w:before="220"/>
        <w:ind w:firstLine="540"/>
        <w:jc w:val="both"/>
      </w:pPr>
      <w:r>
        <w:rPr>
          <w:noProof/>
          <w:position w:val="-8"/>
        </w:rPr>
        <w:drawing>
          <wp:inline distT="0" distB="0" distL="0" distR="0">
            <wp:extent cx="167640" cy="251460"/>
            <wp:effectExtent l="0" t="0" r="0" b="0"/>
            <wp:docPr id="7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отношение модулей упругости согласно </w:t>
      </w:r>
      <w:hyperlink w:anchor="P3883">
        <w:r>
          <w:rPr>
            <w:color w:val="0000FF"/>
          </w:rPr>
          <w:t>7.48</w:t>
        </w:r>
      </w:hyperlink>
      <w:r>
        <w:t>;</w:t>
      </w:r>
    </w:p>
    <w:p w:rsidR="00212513" w:rsidRDefault="00212513">
      <w:pPr>
        <w:pStyle w:val="ConsPlusNormal"/>
        <w:spacing w:before="220"/>
        <w:ind w:firstLine="540"/>
        <w:jc w:val="both"/>
      </w:pPr>
      <w:r>
        <w:rPr>
          <w:noProof/>
          <w:position w:val="-9"/>
        </w:rPr>
        <w:drawing>
          <wp:inline distT="0" distB="0" distL="0" distR="0">
            <wp:extent cx="262890" cy="262890"/>
            <wp:effectExtent l="0" t="0" r="0" b="0"/>
            <wp:docPr id="7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предварительное напряжение в бетоне на уровне центра тяжести напрягаемой арматуры, вызываемое обжатием сечения всей арматуры;</w:t>
      </w:r>
    </w:p>
    <w:p w:rsidR="00212513" w:rsidRDefault="00212513">
      <w:pPr>
        <w:pStyle w:val="ConsPlusNormal"/>
        <w:spacing w:before="220"/>
        <w:ind w:firstLine="540"/>
        <w:jc w:val="both"/>
      </w:pPr>
      <w:r>
        <w:rPr>
          <w:noProof/>
          <w:position w:val="-8"/>
        </w:rPr>
        <w:drawing>
          <wp:inline distT="0" distB="0" distL="0" distR="0">
            <wp:extent cx="314960" cy="251460"/>
            <wp:effectExtent l="0" t="0" r="0" b="0"/>
            <wp:docPr id="7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314960" cy="251460"/>
                    </a:xfrm>
                    <a:prstGeom prst="rect">
                      <a:avLst/>
                    </a:prstGeom>
                    <a:noFill/>
                    <a:ln>
                      <a:noFill/>
                    </a:ln>
                  </pic:spPr>
                </pic:pic>
              </a:graphicData>
            </a:graphic>
          </wp:inline>
        </w:drawing>
      </w:r>
      <w:r>
        <w:t xml:space="preserve"> - напряжение в бетоне на уровне центра тяжести арматуры, вызываемое натяжением одного пучка или стержня с учетом потерь, соответствующих данной стадии работы;</w:t>
      </w:r>
    </w:p>
    <w:p w:rsidR="00212513" w:rsidRDefault="00212513">
      <w:pPr>
        <w:pStyle w:val="ConsPlusNormal"/>
        <w:spacing w:before="220"/>
        <w:ind w:firstLine="540"/>
        <w:jc w:val="both"/>
      </w:pPr>
      <w:r>
        <w:rPr>
          <w:noProof/>
          <w:position w:val="-8"/>
        </w:rPr>
        <w:drawing>
          <wp:inline distT="0" distB="0" distL="0" distR="0">
            <wp:extent cx="209550" cy="251460"/>
            <wp:effectExtent l="0" t="0" r="0" b="0"/>
            <wp:docPr id="7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число одинаковых пучков (стержней), натянутых после того пучка (стержня), для которого определяют потери напряжения.</w:t>
      </w:r>
    </w:p>
    <w:p w:rsidR="00212513" w:rsidRDefault="00212513">
      <w:pPr>
        <w:pStyle w:val="ConsPlusNormal"/>
        <w:spacing w:before="220"/>
        <w:ind w:firstLine="540"/>
        <w:jc w:val="both"/>
      </w:pPr>
      <w:bookmarkStart w:id="209" w:name="P5026"/>
      <w:bookmarkEnd w:id="209"/>
      <w:r>
        <w:t>7.94 Расчет на выносливость элементов железобетонных конструкций с ненапрягаемой арматурой производится по формулам сопротивления материалов без учета работы бетона растянутой зоны. Этот расчет допускается производить по формулам, указанным в таблице 7.23.</w:t>
      </w:r>
    </w:p>
    <w:p w:rsidR="00212513" w:rsidRDefault="00212513">
      <w:pPr>
        <w:pStyle w:val="ConsPlusNormal"/>
        <w:ind w:firstLine="540"/>
        <w:jc w:val="both"/>
      </w:pPr>
    </w:p>
    <w:p w:rsidR="00212513" w:rsidRDefault="00212513">
      <w:pPr>
        <w:pStyle w:val="ConsPlusNormal"/>
        <w:jc w:val="right"/>
      </w:pPr>
      <w:bookmarkStart w:id="210" w:name="P5028"/>
      <w:bookmarkEnd w:id="210"/>
      <w:r>
        <w:t>Таблица 7.23</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52"/>
        <w:gridCol w:w="4818"/>
      </w:tblGrid>
      <w:tr w:rsidR="00212513">
        <w:tc>
          <w:tcPr>
            <w:tcW w:w="4252" w:type="dxa"/>
            <w:tcBorders>
              <w:top w:val="single" w:sz="4" w:space="0" w:color="auto"/>
              <w:bottom w:val="single" w:sz="4" w:space="0" w:color="auto"/>
            </w:tcBorders>
            <w:vAlign w:val="center"/>
          </w:tcPr>
          <w:p w:rsidR="00212513" w:rsidRDefault="00212513">
            <w:pPr>
              <w:pStyle w:val="ConsPlusNormal"/>
              <w:jc w:val="center"/>
            </w:pPr>
            <w:r>
              <w:t>Характер работы элемента</w:t>
            </w:r>
          </w:p>
        </w:tc>
        <w:tc>
          <w:tcPr>
            <w:tcW w:w="4818" w:type="dxa"/>
            <w:tcBorders>
              <w:top w:val="single" w:sz="4" w:space="0" w:color="auto"/>
              <w:bottom w:val="single" w:sz="4" w:space="0" w:color="auto"/>
            </w:tcBorders>
            <w:vAlign w:val="center"/>
          </w:tcPr>
          <w:p w:rsidR="00212513" w:rsidRDefault="00212513">
            <w:pPr>
              <w:pStyle w:val="ConsPlusNormal"/>
              <w:jc w:val="center"/>
            </w:pPr>
            <w:r>
              <w:t>Расчетные формулы</w:t>
            </w:r>
          </w:p>
        </w:tc>
      </w:tr>
      <w:tr w:rsidR="00212513">
        <w:tblPrEx>
          <w:tblBorders>
            <w:insideH w:val="none" w:sz="0" w:space="0" w:color="auto"/>
          </w:tblBorders>
        </w:tblPrEx>
        <w:tc>
          <w:tcPr>
            <w:tcW w:w="4252" w:type="dxa"/>
            <w:tcBorders>
              <w:top w:val="single" w:sz="4" w:space="0" w:color="auto"/>
              <w:bottom w:val="nil"/>
            </w:tcBorders>
          </w:tcPr>
          <w:p w:rsidR="00212513" w:rsidRDefault="00212513">
            <w:pPr>
              <w:pStyle w:val="ConsPlusNormal"/>
            </w:pPr>
            <w:r>
              <w:t>Изгиб в одной из главных плоскостей:</w:t>
            </w:r>
          </w:p>
        </w:tc>
        <w:tc>
          <w:tcPr>
            <w:tcW w:w="4818" w:type="dxa"/>
            <w:tcBorders>
              <w:top w:val="single" w:sz="4" w:space="0" w:color="auto"/>
              <w:bottom w:val="nil"/>
            </w:tcBorders>
            <w:vAlign w:val="bottom"/>
          </w:tcPr>
          <w:p w:rsidR="00212513" w:rsidRDefault="00212513">
            <w:pPr>
              <w:pStyle w:val="ConsPlusNormal"/>
              <w:jc w:val="center"/>
            </w:pPr>
          </w:p>
        </w:tc>
      </w:tr>
      <w:tr w:rsidR="00212513">
        <w:tblPrEx>
          <w:tblBorders>
            <w:insideH w:val="none" w:sz="0" w:space="0" w:color="auto"/>
          </w:tblBorders>
        </w:tblPrEx>
        <w:tc>
          <w:tcPr>
            <w:tcW w:w="4252" w:type="dxa"/>
            <w:tcBorders>
              <w:top w:val="nil"/>
              <w:bottom w:val="nil"/>
            </w:tcBorders>
          </w:tcPr>
          <w:p w:rsidR="00212513" w:rsidRDefault="00212513">
            <w:pPr>
              <w:pStyle w:val="ConsPlusNormal"/>
              <w:ind w:firstLine="283"/>
            </w:pPr>
            <w:bookmarkStart w:id="211" w:name="P5034"/>
            <w:bookmarkEnd w:id="211"/>
            <w:r>
              <w:t>проверка по бетону</w:t>
            </w:r>
          </w:p>
        </w:tc>
        <w:tc>
          <w:tcPr>
            <w:tcW w:w="4818" w:type="dxa"/>
            <w:tcBorders>
              <w:top w:val="nil"/>
              <w:bottom w:val="nil"/>
            </w:tcBorders>
          </w:tcPr>
          <w:p w:rsidR="00212513" w:rsidRDefault="00212513">
            <w:pPr>
              <w:pStyle w:val="ConsPlusNormal"/>
              <w:jc w:val="center"/>
            </w:pPr>
            <w:r>
              <w:rPr>
                <w:noProof/>
                <w:position w:val="-26"/>
              </w:rPr>
              <w:drawing>
                <wp:inline distT="0" distB="0" distL="0" distR="0">
                  <wp:extent cx="974725" cy="471805"/>
                  <wp:effectExtent l="0" t="0" r="0" b="0"/>
                  <wp:docPr id="7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974725" cy="471805"/>
                          </a:xfrm>
                          <a:prstGeom prst="rect">
                            <a:avLst/>
                          </a:prstGeom>
                          <a:noFill/>
                          <a:ln>
                            <a:noFill/>
                          </a:ln>
                        </pic:spPr>
                      </pic:pic>
                    </a:graphicData>
                  </a:graphic>
                </wp:inline>
              </w:drawing>
            </w:r>
            <w:r>
              <w:t xml:space="preserve"> (7.86)</w:t>
            </w:r>
          </w:p>
        </w:tc>
      </w:tr>
      <w:tr w:rsidR="00212513">
        <w:tblPrEx>
          <w:tblBorders>
            <w:insideH w:val="none" w:sz="0" w:space="0" w:color="auto"/>
          </w:tblBorders>
        </w:tblPrEx>
        <w:tc>
          <w:tcPr>
            <w:tcW w:w="4252" w:type="dxa"/>
            <w:tcBorders>
              <w:top w:val="nil"/>
              <w:bottom w:val="single" w:sz="4" w:space="0" w:color="auto"/>
            </w:tcBorders>
          </w:tcPr>
          <w:p w:rsidR="00212513" w:rsidRDefault="00212513">
            <w:pPr>
              <w:pStyle w:val="ConsPlusNormal"/>
              <w:ind w:firstLine="283"/>
            </w:pPr>
            <w:r>
              <w:t>проверка по арматуре</w:t>
            </w:r>
          </w:p>
        </w:tc>
        <w:tc>
          <w:tcPr>
            <w:tcW w:w="4818" w:type="dxa"/>
            <w:tcBorders>
              <w:top w:val="nil"/>
              <w:bottom w:val="single" w:sz="4" w:space="0" w:color="auto"/>
            </w:tcBorders>
          </w:tcPr>
          <w:p w:rsidR="00212513" w:rsidRDefault="00212513">
            <w:pPr>
              <w:pStyle w:val="ConsPlusNormal"/>
              <w:jc w:val="center"/>
            </w:pPr>
            <w:r>
              <w:rPr>
                <w:noProof/>
                <w:position w:val="-26"/>
              </w:rPr>
              <w:drawing>
                <wp:inline distT="0" distB="0" distL="0" distR="0">
                  <wp:extent cx="1812925" cy="471805"/>
                  <wp:effectExtent l="0" t="0" r="0" b="0"/>
                  <wp:docPr id="7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7" cstate="print">
                            <a:extLst>
                              <a:ext uri="{28A0092B-C50C-407E-A947-70E740481C1C}">
                                <a14:useLocalDpi xmlns:a14="http://schemas.microsoft.com/office/drawing/2010/main" val="0"/>
                              </a:ext>
                            </a:extLst>
                          </a:blip>
                          <a:srcRect/>
                          <a:stretch>
                            <a:fillRect/>
                          </a:stretch>
                        </pic:blipFill>
                        <pic:spPr bwMode="auto">
                          <a:xfrm>
                            <a:off x="0" y="0"/>
                            <a:ext cx="1812925" cy="471805"/>
                          </a:xfrm>
                          <a:prstGeom prst="rect">
                            <a:avLst/>
                          </a:prstGeom>
                          <a:noFill/>
                          <a:ln>
                            <a:noFill/>
                          </a:ln>
                        </pic:spPr>
                      </pic:pic>
                    </a:graphicData>
                  </a:graphic>
                </wp:inline>
              </w:drawing>
            </w:r>
            <w:r>
              <w:t xml:space="preserve"> (7.87)</w:t>
            </w:r>
          </w:p>
        </w:tc>
      </w:tr>
      <w:tr w:rsidR="00212513">
        <w:tc>
          <w:tcPr>
            <w:tcW w:w="4252" w:type="dxa"/>
            <w:tcBorders>
              <w:top w:val="single" w:sz="4" w:space="0" w:color="auto"/>
              <w:bottom w:val="single" w:sz="4" w:space="0" w:color="auto"/>
            </w:tcBorders>
          </w:tcPr>
          <w:p w:rsidR="00212513" w:rsidRDefault="00212513">
            <w:pPr>
              <w:pStyle w:val="ConsPlusNormal"/>
            </w:pPr>
            <w:r>
              <w:t>Осевое сжатие в бетоне</w:t>
            </w:r>
          </w:p>
        </w:tc>
        <w:tc>
          <w:tcPr>
            <w:tcW w:w="4818" w:type="dxa"/>
            <w:tcBorders>
              <w:top w:val="single" w:sz="4" w:space="0" w:color="auto"/>
              <w:bottom w:val="single" w:sz="4" w:space="0" w:color="auto"/>
            </w:tcBorders>
          </w:tcPr>
          <w:p w:rsidR="00212513" w:rsidRDefault="00212513">
            <w:pPr>
              <w:pStyle w:val="ConsPlusNormal"/>
              <w:jc w:val="center"/>
            </w:pPr>
            <w:r>
              <w:rPr>
                <w:noProof/>
                <w:position w:val="-26"/>
              </w:rPr>
              <w:drawing>
                <wp:inline distT="0" distB="0" distL="0" distR="0">
                  <wp:extent cx="869950" cy="471805"/>
                  <wp:effectExtent l="0" t="0" r="0" b="0"/>
                  <wp:docPr id="7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869950" cy="471805"/>
                          </a:xfrm>
                          <a:prstGeom prst="rect">
                            <a:avLst/>
                          </a:prstGeom>
                          <a:noFill/>
                          <a:ln>
                            <a:noFill/>
                          </a:ln>
                        </pic:spPr>
                      </pic:pic>
                    </a:graphicData>
                  </a:graphic>
                </wp:inline>
              </w:drawing>
            </w:r>
            <w:r>
              <w:t xml:space="preserve"> (7.88)</w:t>
            </w:r>
          </w:p>
        </w:tc>
      </w:tr>
      <w:tr w:rsidR="00212513">
        <w:tblPrEx>
          <w:tblBorders>
            <w:insideH w:val="none" w:sz="0" w:space="0" w:color="auto"/>
          </w:tblBorders>
        </w:tblPrEx>
        <w:tc>
          <w:tcPr>
            <w:tcW w:w="4252" w:type="dxa"/>
            <w:tcBorders>
              <w:top w:val="single" w:sz="4" w:space="0" w:color="auto"/>
              <w:bottom w:val="nil"/>
            </w:tcBorders>
          </w:tcPr>
          <w:p w:rsidR="00212513" w:rsidRDefault="00212513">
            <w:pPr>
              <w:pStyle w:val="ConsPlusNormal"/>
            </w:pPr>
            <w:r>
              <w:t>Внецентренное сжатие:</w:t>
            </w:r>
          </w:p>
        </w:tc>
        <w:tc>
          <w:tcPr>
            <w:tcW w:w="4818" w:type="dxa"/>
            <w:tcBorders>
              <w:top w:val="single" w:sz="4" w:space="0" w:color="auto"/>
              <w:bottom w:val="nil"/>
            </w:tcBorders>
          </w:tcPr>
          <w:p w:rsidR="00212513" w:rsidRDefault="00212513">
            <w:pPr>
              <w:pStyle w:val="ConsPlusNormal"/>
              <w:jc w:val="center"/>
            </w:pPr>
          </w:p>
        </w:tc>
      </w:tr>
      <w:tr w:rsidR="00212513">
        <w:tblPrEx>
          <w:tblBorders>
            <w:insideH w:val="none" w:sz="0" w:space="0" w:color="auto"/>
          </w:tblBorders>
        </w:tblPrEx>
        <w:tc>
          <w:tcPr>
            <w:tcW w:w="4252" w:type="dxa"/>
            <w:tcBorders>
              <w:top w:val="nil"/>
              <w:bottom w:val="nil"/>
            </w:tcBorders>
          </w:tcPr>
          <w:p w:rsidR="00212513" w:rsidRDefault="00212513">
            <w:pPr>
              <w:pStyle w:val="ConsPlusNormal"/>
              <w:ind w:firstLine="283"/>
            </w:pPr>
            <w:r>
              <w:t>проверка по бетону</w:t>
            </w:r>
          </w:p>
        </w:tc>
        <w:tc>
          <w:tcPr>
            <w:tcW w:w="4818" w:type="dxa"/>
            <w:tcBorders>
              <w:top w:val="nil"/>
              <w:bottom w:val="nil"/>
            </w:tcBorders>
          </w:tcPr>
          <w:p w:rsidR="00212513" w:rsidRDefault="00212513">
            <w:pPr>
              <w:pStyle w:val="ConsPlusNormal"/>
              <w:jc w:val="center"/>
            </w:pPr>
            <w:r>
              <w:rPr>
                <w:noProof/>
                <w:position w:val="-8"/>
              </w:rPr>
              <w:drawing>
                <wp:inline distT="0" distB="0" distL="0" distR="0">
                  <wp:extent cx="754380" cy="251460"/>
                  <wp:effectExtent l="0" t="0" r="0" b="0"/>
                  <wp:docPr id="7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754380" cy="251460"/>
                          </a:xfrm>
                          <a:prstGeom prst="rect">
                            <a:avLst/>
                          </a:prstGeom>
                          <a:noFill/>
                          <a:ln>
                            <a:noFill/>
                          </a:ln>
                        </pic:spPr>
                      </pic:pic>
                    </a:graphicData>
                  </a:graphic>
                </wp:inline>
              </w:drawing>
            </w:r>
            <w:r>
              <w:t xml:space="preserve"> (7.89)</w:t>
            </w:r>
          </w:p>
        </w:tc>
      </w:tr>
      <w:tr w:rsidR="00212513">
        <w:tblPrEx>
          <w:tblBorders>
            <w:insideH w:val="none" w:sz="0" w:space="0" w:color="auto"/>
          </w:tblBorders>
        </w:tblPrEx>
        <w:tc>
          <w:tcPr>
            <w:tcW w:w="4252" w:type="dxa"/>
            <w:tcBorders>
              <w:top w:val="nil"/>
              <w:bottom w:val="single" w:sz="4" w:space="0" w:color="auto"/>
            </w:tcBorders>
          </w:tcPr>
          <w:p w:rsidR="00212513" w:rsidRDefault="00212513">
            <w:pPr>
              <w:pStyle w:val="ConsPlusNormal"/>
              <w:ind w:firstLine="283"/>
            </w:pPr>
            <w:bookmarkStart w:id="212" w:name="P5044"/>
            <w:bookmarkEnd w:id="212"/>
            <w:r>
              <w:t>проверка по арматуре</w:t>
            </w:r>
          </w:p>
        </w:tc>
        <w:tc>
          <w:tcPr>
            <w:tcW w:w="4818" w:type="dxa"/>
            <w:tcBorders>
              <w:top w:val="nil"/>
              <w:bottom w:val="single" w:sz="4" w:space="0" w:color="auto"/>
            </w:tcBorders>
          </w:tcPr>
          <w:p w:rsidR="00212513" w:rsidRDefault="00212513">
            <w:pPr>
              <w:pStyle w:val="ConsPlusNormal"/>
              <w:jc w:val="center"/>
            </w:pPr>
            <w:r>
              <w:rPr>
                <w:noProof/>
                <w:position w:val="-8"/>
              </w:rPr>
              <w:drawing>
                <wp:inline distT="0" distB="0" distL="0" distR="0">
                  <wp:extent cx="786130" cy="251460"/>
                  <wp:effectExtent l="0" t="0" r="0" b="0"/>
                  <wp:docPr id="7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0" cstate="print">
                            <a:extLst>
                              <a:ext uri="{28A0092B-C50C-407E-A947-70E740481C1C}">
                                <a14:useLocalDpi xmlns:a14="http://schemas.microsoft.com/office/drawing/2010/main" val="0"/>
                              </a:ext>
                            </a:extLst>
                          </a:blip>
                          <a:srcRect/>
                          <a:stretch>
                            <a:fillRect/>
                          </a:stretch>
                        </pic:blipFill>
                        <pic:spPr bwMode="auto">
                          <a:xfrm>
                            <a:off x="0" y="0"/>
                            <a:ext cx="786130" cy="251460"/>
                          </a:xfrm>
                          <a:prstGeom prst="rect">
                            <a:avLst/>
                          </a:prstGeom>
                          <a:noFill/>
                          <a:ln>
                            <a:noFill/>
                          </a:ln>
                        </pic:spPr>
                      </pic:pic>
                    </a:graphicData>
                  </a:graphic>
                </wp:inline>
              </w:drawing>
            </w:r>
            <w:r>
              <w:t xml:space="preserve"> (7.90)</w:t>
            </w:r>
          </w:p>
        </w:tc>
      </w:tr>
    </w:tbl>
    <w:p w:rsidR="00212513" w:rsidRDefault="00212513">
      <w:pPr>
        <w:pStyle w:val="ConsPlusNormal"/>
        <w:ind w:firstLine="540"/>
        <w:jc w:val="both"/>
      </w:pPr>
    </w:p>
    <w:p w:rsidR="00212513" w:rsidRDefault="00212513">
      <w:pPr>
        <w:pStyle w:val="ConsPlusNormal"/>
        <w:ind w:firstLine="540"/>
        <w:jc w:val="both"/>
      </w:pPr>
      <w:r>
        <w:t xml:space="preserve">Формулы </w:t>
      </w:r>
      <w:hyperlink w:anchor="P5028">
        <w:r>
          <w:rPr>
            <w:color w:val="0000FF"/>
          </w:rPr>
          <w:t>таблицы 7.23</w:t>
        </w:r>
      </w:hyperlink>
      <w:r>
        <w:t xml:space="preserve"> могут использоваться для определения по их левым частям значений </w:t>
      </w:r>
      <w:r>
        <w:rPr>
          <w:noProof/>
          <w:position w:val="-8"/>
        </w:rPr>
        <w:drawing>
          <wp:inline distT="0" distB="0" distL="0" distR="0">
            <wp:extent cx="314960" cy="251460"/>
            <wp:effectExtent l="0" t="0" r="0" b="0"/>
            <wp:docPr id="8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314960" cy="251460"/>
                    </a:xfrm>
                    <a:prstGeom prst="rect">
                      <a:avLst/>
                    </a:prstGeom>
                    <a:noFill/>
                    <a:ln>
                      <a:noFill/>
                    </a:ln>
                  </pic:spPr>
                </pic:pic>
              </a:graphicData>
            </a:graphic>
          </wp:inline>
        </w:drawing>
      </w:r>
      <w:r>
        <w:t xml:space="preserve"> и </w:t>
      </w:r>
      <w:r>
        <w:rPr>
          <w:noProof/>
          <w:position w:val="-8"/>
        </w:rPr>
        <w:drawing>
          <wp:inline distT="0" distB="0" distL="0" distR="0">
            <wp:extent cx="335280" cy="251460"/>
            <wp:effectExtent l="0" t="0" r="0" b="0"/>
            <wp:docPr id="8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2" cstate="print">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r>
        <w:t xml:space="preserve"> при вычислении коэффициентов </w:t>
      </w:r>
      <w:r>
        <w:rPr>
          <w:noProof/>
          <w:position w:val="-3"/>
        </w:rPr>
        <w:drawing>
          <wp:inline distT="0" distB="0" distL="0" distR="0">
            <wp:extent cx="167640" cy="177800"/>
            <wp:effectExtent l="0" t="0" r="0" b="0"/>
            <wp:docPr id="8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3"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приведенных в </w:t>
      </w:r>
      <w:hyperlink w:anchor="P2585">
        <w:r>
          <w:rPr>
            <w:color w:val="0000FF"/>
          </w:rPr>
          <w:t>таблицах 7.9</w:t>
        </w:r>
      </w:hyperlink>
      <w:r>
        <w:t xml:space="preserve">, </w:t>
      </w:r>
      <w:hyperlink w:anchor="P3493">
        <w:r>
          <w:rPr>
            <w:color w:val="0000FF"/>
          </w:rPr>
          <w:t>7.17</w:t>
        </w:r>
      </w:hyperlink>
      <w:r>
        <w:t xml:space="preserve"> и </w:t>
      </w:r>
      <w:hyperlink w:anchor="P3691">
        <w:r>
          <w:rPr>
            <w:color w:val="0000FF"/>
          </w:rPr>
          <w:t>7.18</w:t>
        </w:r>
      </w:hyperlink>
      <w:r>
        <w:t>.</w:t>
      </w:r>
    </w:p>
    <w:p w:rsidR="00212513" w:rsidRDefault="00212513">
      <w:pPr>
        <w:pStyle w:val="ConsPlusNormal"/>
        <w:spacing w:before="220"/>
        <w:ind w:firstLine="540"/>
        <w:jc w:val="both"/>
      </w:pPr>
      <w:r>
        <w:t xml:space="preserve">При расчете по </w:t>
      </w:r>
      <w:hyperlink w:anchor="P5044">
        <w:r>
          <w:rPr>
            <w:color w:val="0000FF"/>
          </w:rPr>
          <w:t>формуле (7.90)</w:t>
        </w:r>
      </w:hyperlink>
      <w:r>
        <w:t xml:space="preserve"> следует учитывать также указания </w:t>
      </w:r>
      <w:hyperlink w:anchor="P4960">
        <w:r>
          <w:rPr>
            <w:color w:val="0000FF"/>
          </w:rPr>
          <w:t>7.91</w:t>
        </w:r>
      </w:hyperlink>
      <w:r>
        <w:t xml:space="preserve"> по расчету на выносливость преимущественно сжатой арматуры при знакопеременных напряжениях.</w:t>
      </w:r>
    </w:p>
    <w:p w:rsidR="00212513" w:rsidRDefault="00212513">
      <w:pPr>
        <w:pStyle w:val="ConsPlusNormal"/>
        <w:spacing w:before="220"/>
        <w:ind w:firstLine="540"/>
        <w:jc w:val="both"/>
      </w:pPr>
      <w:r>
        <w:t>Аналогичным образом следует выполнять расчет внецентренно растянутых элементов. При расчете центрально растянутых элементов все растягивающее усилие передается на арматуру.</w:t>
      </w:r>
    </w:p>
    <w:p w:rsidR="00212513" w:rsidRDefault="00212513">
      <w:pPr>
        <w:pStyle w:val="ConsPlusNormal"/>
        <w:spacing w:before="220"/>
        <w:ind w:firstLine="540"/>
        <w:jc w:val="both"/>
      </w:pPr>
      <w:r>
        <w:t>Кроме расчета на выносливость сечения должны быть рассчитаны по прочности.</w:t>
      </w:r>
    </w:p>
    <w:p w:rsidR="00212513" w:rsidRDefault="00212513">
      <w:pPr>
        <w:pStyle w:val="ConsPlusNormal"/>
        <w:spacing w:before="220"/>
        <w:ind w:firstLine="540"/>
        <w:jc w:val="both"/>
      </w:pPr>
      <w:r>
        <w:t xml:space="preserve">В </w:t>
      </w:r>
      <w:hyperlink w:anchor="P5034">
        <w:r>
          <w:rPr>
            <w:color w:val="0000FF"/>
          </w:rPr>
          <w:t>формулах (7.86)</w:t>
        </w:r>
      </w:hyperlink>
      <w:r>
        <w:t xml:space="preserve"> - </w:t>
      </w:r>
      <w:hyperlink w:anchor="P5044">
        <w:r>
          <w:rPr>
            <w:color w:val="0000FF"/>
          </w:rPr>
          <w:t>(7.90)</w:t>
        </w:r>
      </w:hyperlink>
      <w:r>
        <w:t>:</w:t>
      </w:r>
    </w:p>
    <w:p w:rsidR="00212513" w:rsidRDefault="00212513">
      <w:pPr>
        <w:pStyle w:val="ConsPlusNormal"/>
        <w:spacing w:before="220"/>
        <w:ind w:firstLine="540"/>
        <w:jc w:val="both"/>
      </w:pPr>
      <w:r>
        <w:rPr>
          <w:i/>
        </w:rPr>
        <w:lastRenderedPageBreak/>
        <w:t>M</w:t>
      </w:r>
      <w:r>
        <w:t xml:space="preserve">, </w:t>
      </w:r>
      <w:r>
        <w:rPr>
          <w:i/>
        </w:rPr>
        <w:t>N</w:t>
      </w:r>
      <w:r>
        <w:t xml:space="preserve"> - момент и нормальная сила;</w:t>
      </w:r>
    </w:p>
    <w:p w:rsidR="00212513" w:rsidRDefault="00212513">
      <w:pPr>
        <w:pStyle w:val="ConsPlusNormal"/>
        <w:spacing w:before="220"/>
        <w:ind w:firstLine="540"/>
        <w:jc w:val="both"/>
      </w:pPr>
      <w:r>
        <w:rPr>
          <w:noProof/>
          <w:position w:val="-8"/>
        </w:rPr>
        <w:drawing>
          <wp:inline distT="0" distB="0" distL="0" distR="0">
            <wp:extent cx="262890" cy="251460"/>
            <wp:effectExtent l="0" t="0" r="0" b="0"/>
            <wp:docPr id="8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момент инерции приведенного сечения относительно нейтральной оси без учета растянутой зоны бетона с введением отношения </w:t>
      </w:r>
      <w:r>
        <w:rPr>
          <w:i/>
        </w:rPr>
        <w:t>n'</w:t>
      </w:r>
      <w:r>
        <w:t xml:space="preserve"> к площади всей арматуры согласно </w:t>
      </w:r>
      <w:hyperlink w:anchor="P3883">
        <w:r>
          <w:rPr>
            <w:color w:val="0000FF"/>
          </w:rPr>
          <w:t>7.48</w:t>
        </w:r>
      </w:hyperlink>
      <w:r>
        <w:t>;</w:t>
      </w:r>
    </w:p>
    <w:p w:rsidR="00212513" w:rsidRDefault="00212513">
      <w:pPr>
        <w:pStyle w:val="ConsPlusNormal"/>
        <w:spacing w:before="220"/>
        <w:ind w:firstLine="540"/>
        <w:jc w:val="both"/>
      </w:pPr>
      <w:r>
        <w:rPr>
          <w:i/>
        </w:rPr>
        <w:t>x'</w:t>
      </w:r>
      <w:r>
        <w:t xml:space="preserve"> - высота сжатой зоны бетона, определяемая по формулам расчета упругого тела;</w:t>
      </w:r>
    </w:p>
    <w:p w:rsidR="00212513" w:rsidRDefault="00212513">
      <w:pPr>
        <w:pStyle w:val="ConsPlusNormal"/>
        <w:spacing w:before="220"/>
        <w:ind w:firstLine="540"/>
        <w:jc w:val="both"/>
      </w:pPr>
      <w:r>
        <w:rPr>
          <w:noProof/>
          <w:position w:val="-8"/>
        </w:rPr>
        <w:drawing>
          <wp:inline distT="0" distB="0" distL="0" distR="0">
            <wp:extent cx="251460" cy="251460"/>
            <wp:effectExtent l="0" t="0" r="0" b="0"/>
            <wp:docPr id="8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5"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w:t>
      </w:r>
      <w:r>
        <w:rPr>
          <w:noProof/>
          <w:position w:val="-8"/>
        </w:rPr>
        <w:drawing>
          <wp:inline distT="0" distB="0" distL="0" distR="0">
            <wp:extent cx="293370" cy="251460"/>
            <wp:effectExtent l="0" t="0" r="0" b="0"/>
            <wp:docPr id="8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 коэффициенты, учитывающие асимметрию цикла напряжений в бетоне и в ненапрягаемой арматуре (с учетом сварных соединений) согласно </w:t>
      </w:r>
      <w:hyperlink w:anchor="P2555">
        <w:r>
          <w:rPr>
            <w:color w:val="0000FF"/>
          </w:rPr>
          <w:t>7.26</w:t>
        </w:r>
      </w:hyperlink>
      <w:r>
        <w:t xml:space="preserve"> и </w:t>
      </w:r>
      <w:hyperlink w:anchor="P3482">
        <w:r>
          <w:rPr>
            <w:color w:val="0000FF"/>
          </w:rPr>
          <w:t>7.39</w:t>
        </w:r>
      </w:hyperlink>
      <w:r>
        <w:t xml:space="preserve">, вводимые к расчетным сопротивлениям соответственно бетона </w:t>
      </w:r>
      <w:r>
        <w:rPr>
          <w:noProof/>
          <w:position w:val="-8"/>
        </w:rPr>
        <w:drawing>
          <wp:inline distT="0" distB="0" distL="0" distR="0">
            <wp:extent cx="209550" cy="251460"/>
            <wp:effectExtent l="0" t="0" r="0" b="0"/>
            <wp:docPr id="8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арматуры </w:t>
      </w:r>
      <w:r>
        <w:rPr>
          <w:noProof/>
          <w:position w:val="-8"/>
        </w:rPr>
        <w:drawing>
          <wp:inline distT="0" distB="0" distL="0" distR="0">
            <wp:extent cx="198755" cy="250825"/>
            <wp:effectExtent l="0" t="0" r="0" b="0"/>
            <wp:docPr id="8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8"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w:t>
      </w:r>
    </w:p>
    <w:p w:rsidR="00212513" w:rsidRDefault="00212513">
      <w:pPr>
        <w:pStyle w:val="ConsPlusNormal"/>
        <w:spacing w:before="220"/>
        <w:ind w:firstLine="540"/>
        <w:jc w:val="both"/>
      </w:pPr>
      <w:r>
        <w:rPr>
          <w:noProof/>
          <w:position w:val="-8"/>
        </w:rPr>
        <w:drawing>
          <wp:inline distT="0" distB="0" distL="0" distR="0">
            <wp:extent cx="198755" cy="250825"/>
            <wp:effectExtent l="0" t="0" r="0" b="0"/>
            <wp:docPr id="8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8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0"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расстояние от наружной соответственно растянутой и сжатой (или менее растянутой) грани до оси ближайшего ряда арматуры;</w:t>
      </w:r>
    </w:p>
    <w:p w:rsidR="00212513" w:rsidRDefault="00212513">
      <w:pPr>
        <w:pStyle w:val="ConsPlusNormal"/>
        <w:spacing w:before="220"/>
        <w:ind w:firstLine="540"/>
        <w:jc w:val="both"/>
      </w:pPr>
      <w:r>
        <w:rPr>
          <w:noProof/>
          <w:position w:val="-8"/>
        </w:rPr>
        <w:drawing>
          <wp:inline distT="0" distB="0" distL="0" distR="0">
            <wp:extent cx="293370" cy="251460"/>
            <wp:effectExtent l="0" t="0" r="0" b="0"/>
            <wp:docPr id="8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 площадь приведенного поперечного сечения элемента с введением отношения </w:t>
      </w:r>
      <w:r>
        <w:rPr>
          <w:i/>
        </w:rPr>
        <w:t>n'</w:t>
      </w:r>
      <w:r>
        <w:t xml:space="preserve"> согласно </w:t>
      </w:r>
      <w:hyperlink w:anchor="P3883">
        <w:r>
          <w:rPr>
            <w:color w:val="0000FF"/>
          </w:rPr>
          <w:t>7.48</w:t>
        </w:r>
      </w:hyperlink>
      <w:r>
        <w:t xml:space="preserve"> к площади поперечного сечения всей арматуры.</w:t>
      </w:r>
    </w:p>
    <w:p w:rsidR="00212513" w:rsidRDefault="00212513">
      <w:pPr>
        <w:pStyle w:val="ConsPlusNormal"/>
        <w:ind w:firstLine="540"/>
        <w:jc w:val="both"/>
      </w:pPr>
    </w:p>
    <w:p w:rsidR="00212513" w:rsidRDefault="00212513">
      <w:pPr>
        <w:pStyle w:val="ConsPlusTitle"/>
        <w:ind w:firstLine="540"/>
        <w:jc w:val="both"/>
        <w:outlineLvl w:val="2"/>
      </w:pPr>
      <w:r>
        <w:t>Расчет по предельным состояниям второй группы</w:t>
      </w:r>
    </w:p>
    <w:p w:rsidR="00212513" w:rsidRDefault="00212513">
      <w:pPr>
        <w:pStyle w:val="ConsPlusNormal"/>
        <w:jc w:val="center"/>
      </w:pPr>
    </w:p>
    <w:p w:rsidR="00212513" w:rsidRDefault="00212513">
      <w:pPr>
        <w:pStyle w:val="ConsPlusTitle"/>
        <w:ind w:firstLine="540"/>
        <w:jc w:val="both"/>
        <w:outlineLvl w:val="3"/>
      </w:pPr>
      <w:r>
        <w:t>Расчет по трещиностойкости</w:t>
      </w:r>
    </w:p>
    <w:p w:rsidR="00212513" w:rsidRDefault="00212513">
      <w:pPr>
        <w:pStyle w:val="ConsPlusNormal"/>
        <w:ind w:firstLine="540"/>
        <w:jc w:val="both"/>
      </w:pPr>
    </w:p>
    <w:p w:rsidR="00212513" w:rsidRDefault="00212513">
      <w:pPr>
        <w:pStyle w:val="ConsPlusNormal"/>
        <w:ind w:firstLine="540"/>
        <w:jc w:val="both"/>
      </w:pPr>
      <w:bookmarkStart w:id="213" w:name="P5063"/>
      <w:bookmarkEnd w:id="213"/>
      <w:r>
        <w:t>7.95 Железобетонные конструкции мостов и труб в зависимости от их вида и назначения, применяемой арматуры и условий работы должны удовлетворять категориям требований по трещиностойкости, приведенным в таблице 7.24. Трещиностойкость характеризуется значениями растягивающих и сжимающих напряжений в бетоне и расчетной шириной раскрытия трещин.</w:t>
      </w:r>
    </w:p>
    <w:p w:rsidR="00212513" w:rsidRDefault="00212513">
      <w:pPr>
        <w:pStyle w:val="ConsPlusNormal"/>
        <w:ind w:firstLine="540"/>
        <w:jc w:val="both"/>
      </w:pPr>
    </w:p>
    <w:p w:rsidR="00212513" w:rsidRDefault="00212513">
      <w:pPr>
        <w:pStyle w:val="ConsPlusNormal"/>
        <w:jc w:val="right"/>
      </w:pPr>
      <w:bookmarkStart w:id="214" w:name="P5065"/>
      <w:bookmarkEnd w:id="214"/>
      <w:r>
        <w:t>Таблица 7.24</w:t>
      </w:r>
    </w:p>
    <w:p w:rsidR="00212513" w:rsidRDefault="00212513">
      <w:pPr>
        <w:pStyle w:val="ConsPlusNormal"/>
        <w:jc w:val="center"/>
      </w:pPr>
    </w:p>
    <w:p w:rsidR="00212513" w:rsidRDefault="00212513">
      <w:pPr>
        <w:pStyle w:val="ConsPlusNormal"/>
        <w:jc w:val="center"/>
      </w:pPr>
      <w:r>
        <w:t xml:space="preserve">(таблица 7.24 в ред. </w:t>
      </w:r>
      <w:hyperlink r:id="rId1182">
        <w:r>
          <w:rPr>
            <w:color w:val="0000FF"/>
          </w:rPr>
          <w:t>Изменения N 3</w:t>
        </w:r>
      </w:hyperlink>
      <w:r>
        <w:t>, утв. Приказом</w:t>
      </w:r>
    </w:p>
    <w:p w:rsidR="00212513" w:rsidRDefault="00212513">
      <w:pPr>
        <w:pStyle w:val="ConsPlusNormal"/>
        <w:jc w:val="center"/>
      </w:pPr>
      <w:r>
        <w:t>Минстроя России от 29.12.2020 N 891/пр)</w:t>
      </w:r>
    </w:p>
    <w:p w:rsidR="00212513" w:rsidRDefault="0021251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2"/>
        <w:gridCol w:w="1077"/>
        <w:gridCol w:w="1361"/>
        <w:gridCol w:w="1358"/>
        <w:gridCol w:w="1858"/>
      </w:tblGrid>
      <w:tr w:rsidR="00212513">
        <w:tc>
          <w:tcPr>
            <w:tcW w:w="3402" w:type="dxa"/>
            <w:vMerge w:val="restart"/>
            <w:vAlign w:val="center"/>
          </w:tcPr>
          <w:p w:rsidR="00212513" w:rsidRDefault="00212513">
            <w:pPr>
              <w:pStyle w:val="ConsPlusNormal"/>
              <w:jc w:val="center"/>
            </w:pPr>
            <w:r>
              <w:t>Вид и назначение конструкций, особенности армирования</w:t>
            </w:r>
          </w:p>
        </w:tc>
        <w:tc>
          <w:tcPr>
            <w:tcW w:w="1077" w:type="dxa"/>
            <w:vMerge w:val="restart"/>
            <w:vAlign w:val="center"/>
          </w:tcPr>
          <w:p w:rsidR="00212513" w:rsidRDefault="00212513">
            <w:pPr>
              <w:pStyle w:val="ConsPlusNormal"/>
              <w:jc w:val="center"/>
            </w:pPr>
            <w:r>
              <w:t>Категория требований по трещиностойкости</w:t>
            </w:r>
          </w:p>
        </w:tc>
        <w:tc>
          <w:tcPr>
            <w:tcW w:w="4577" w:type="dxa"/>
            <w:gridSpan w:val="3"/>
            <w:vAlign w:val="center"/>
          </w:tcPr>
          <w:p w:rsidR="00212513" w:rsidRDefault="00212513">
            <w:pPr>
              <w:pStyle w:val="ConsPlusNormal"/>
              <w:jc w:val="center"/>
            </w:pPr>
            <w:r>
              <w:t>Предельные значения</w:t>
            </w:r>
          </w:p>
        </w:tc>
      </w:tr>
      <w:tr w:rsidR="00212513">
        <w:tc>
          <w:tcPr>
            <w:tcW w:w="3402" w:type="dxa"/>
            <w:vMerge/>
          </w:tcPr>
          <w:p w:rsidR="00212513" w:rsidRDefault="00212513">
            <w:pPr>
              <w:pStyle w:val="ConsPlusNormal"/>
            </w:pPr>
          </w:p>
        </w:tc>
        <w:tc>
          <w:tcPr>
            <w:tcW w:w="1077" w:type="dxa"/>
            <w:vMerge/>
          </w:tcPr>
          <w:p w:rsidR="00212513" w:rsidRDefault="00212513">
            <w:pPr>
              <w:pStyle w:val="ConsPlusNormal"/>
            </w:pPr>
          </w:p>
        </w:tc>
        <w:tc>
          <w:tcPr>
            <w:tcW w:w="1361" w:type="dxa"/>
            <w:vAlign w:val="center"/>
          </w:tcPr>
          <w:p w:rsidR="00212513" w:rsidRDefault="00212513">
            <w:pPr>
              <w:pStyle w:val="ConsPlusNormal"/>
              <w:jc w:val="center"/>
            </w:pPr>
            <w:r>
              <w:t>растягивающих напряжений в бетоне</w:t>
            </w:r>
          </w:p>
        </w:tc>
        <w:tc>
          <w:tcPr>
            <w:tcW w:w="1358" w:type="dxa"/>
            <w:vAlign w:val="center"/>
          </w:tcPr>
          <w:p w:rsidR="00212513" w:rsidRDefault="00212513">
            <w:pPr>
              <w:pStyle w:val="ConsPlusNormal"/>
              <w:jc w:val="center"/>
            </w:pPr>
            <w:r>
              <w:t>расчетной ширины раскрытия трещин </w:t>
            </w:r>
            <w:r>
              <w:rPr>
                <w:noProof/>
                <w:position w:val="-8"/>
              </w:rPr>
              <w:drawing>
                <wp:inline distT="0" distB="0" distL="0" distR="0">
                  <wp:extent cx="251460" cy="251460"/>
                  <wp:effectExtent l="0" t="0" r="0" b="0"/>
                  <wp:docPr id="8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c>
          <w:tcPr>
            <w:tcW w:w="1858" w:type="dxa"/>
            <w:vAlign w:val="center"/>
          </w:tcPr>
          <w:p w:rsidR="00212513" w:rsidRDefault="00212513">
            <w:pPr>
              <w:pStyle w:val="ConsPlusNormal"/>
              <w:jc w:val="center"/>
            </w:pPr>
            <w:r>
              <w:t>минимальных сжимающих напряжений при отсутствии временной нагрузки</w:t>
            </w:r>
          </w:p>
        </w:tc>
      </w:tr>
      <w:tr w:rsidR="00212513">
        <w:tc>
          <w:tcPr>
            <w:tcW w:w="3402" w:type="dxa"/>
          </w:tcPr>
          <w:p w:rsidR="00212513" w:rsidRDefault="00212513">
            <w:pPr>
              <w:pStyle w:val="ConsPlusNormal"/>
            </w:pPr>
            <w:r>
              <w:t>Обжимаемые стыки предварительно напряженных конструкций мостов всех назначений</w:t>
            </w:r>
          </w:p>
        </w:tc>
        <w:tc>
          <w:tcPr>
            <w:tcW w:w="1077" w:type="dxa"/>
          </w:tcPr>
          <w:p w:rsidR="00212513" w:rsidRDefault="00212513">
            <w:pPr>
              <w:pStyle w:val="ConsPlusNormal"/>
              <w:jc w:val="center"/>
            </w:pPr>
            <w:r>
              <w:t>2а</w:t>
            </w:r>
          </w:p>
        </w:tc>
        <w:tc>
          <w:tcPr>
            <w:tcW w:w="1361" w:type="dxa"/>
          </w:tcPr>
          <w:p w:rsidR="00212513" w:rsidRDefault="00212513">
            <w:pPr>
              <w:pStyle w:val="ConsPlusNormal"/>
              <w:jc w:val="center"/>
            </w:pPr>
            <w:r>
              <w:t xml:space="preserve">0 </w:t>
            </w:r>
            <w:hyperlink w:anchor="P5144">
              <w:r>
                <w:rPr>
                  <w:color w:val="0000FF"/>
                </w:rPr>
                <w:t>&lt;*&gt;</w:t>
              </w:r>
            </w:hyperlink>
          </w:p>
        </w:tc>
        <w:tc>
          <w:tcPr>
            <w:tcW w:w="1358" w:type="dxa"/>
          </w:tcPr>
          <w:p w:rsidR="00212513" w:rsidRDefault="00212513">
            <w:pPr>
              <w:pStyle w:val="ConsPlusNormal"/>
              <w:jc w:val="center"/>
            </w:pPr>
            <w:r>
              <w:t>-</w:t>
            </w:r>
          </w:p>
        </w:tc>
        <w:tc>
          <w:tcPr>
            <w:tcW w:w="1858" w:type="dxa"/>
          </w:tcPr>
          <w:p w:rsidR="00212513" w:rsidRDefault="00212513">
            <w:pPr>
              <w:pStyle w:val="ConsPlusNormal"/>
              <w:jc w:val="center"/>
            </w:pPr>
            <w:r>
              <w:t>Не менее</w:t>
            </w:r>
          </w:p>
          <w:p w:rsidR="00212513" w:rsidRDefault="00212513">
            <w:pPr>
              <w:pStyle w:val="ConsPlusNormal"/>
              <w:jc w:val="center"/>
            </w:pPr>
            <w:r>
              <w:t>0,5 МПа</w:t>
            </w:r>
          </w:p>
        </w:tc>
      </w:tr>
      <w:tr w:rsidR="00212513">
        <w:tc>
          <w:tcPr>
            <w:tcW w:w="3402" w:type="dxa"/>
          </w:tcPr>
          <w:p w:rsidR="00212513" w:rsidRDefault="00212513">
            <w:pPr>
              <w:pStyle w:val="ConsPlusNormal"/>
            </w:pPr>
            <w:r>
              <w:t>Элементы железнодорожных мостов (кроме стенок балок пролетных строений), армированные напрягаемой проволочной арматурой всех видов</w:t>
            </w:r>
          </w:p>
        </w:tc>
        <w:tc>
          <w:tcPr>
            <w:tcW w:w="1077" w:type="dxa"/>
          </w:tcPr>
          <w:p w:rsidR="00212513" w:rsidRDefault="00212513">
            <w:pPr>
              <w:pStyle w:val="ConsPlusNormal"/>
              <w:jc w:val="center"/>
            </w:pPr>
            <w:r>
              <w:t>2а</w:t>
            </w:r>
          </w:p>
        </w:tc>
        <w:tc>
          <w:tcPr>
            <w:tcW w:w="1361" w:type="dxa"/>
          </w:tcPr>
          <w:p w:rsidR="00212513" w:rsidRDefault="00212513">
            <w:pPr>
              <w:pStyle w:val="ConsPlusNormal"/>
              <w:jc w:val="center"/>
            </w:pPr>
            <w:r>
              <w:t>0,4</w:t>
            </w:r>
            <w:r>
              <w:rPr>
                <w:i/>
              </w:rPr>
              <w:t>R</w:t>
            </w:r>
            <w:r>
              <w:rPr>
                <w:i/>
                <w:vertAlign w:val="subscript"/>
              </w:rPr>
              <w:t>bt,ser</w:t>
            </w:r>
          </w:p>
        </w:tc>
        <w:tc>
          <w:tcPr>
            <w:tcW w:w="1358" w:type="dxa"/>
          </w:tcPr>
          <w:p w:rsidR="00212513" w:rsidRDefault="00212513">
            <w:pPr>
              <w:pStyle w:val="ConsPlusNormal"/>
              <w:jc w:val="center"/>
            </w:pPr>
            <w:r>
              <w:t>-</w:t>
            </w:r>
          </w:p>
        </w:tc>
        <w:tc>
          <w:tcPr>
            <w:tcW w:w="1858" w:type="dxa"/>
          </w:tcPr>
          <w:p w:rsidR="00212513" w:rsidRDefault="00212513">
            <w:pPr>
              <w:pStyle w:val="ConsPlusNormal"/>
              <w:jc w:val="center"/>
            </w:pPr>
            <w:r>
              <w:t>-</w:t>
            </w:r>
          </w:p>
        </w:tc>
      </w:tr>
      <w:tr w:rsidR="00212513">
        <w:tc>
          <w:tcPr>
            <w:tcW w:w="3402" w:type="dxa"/>
          </w:tcPr>
          <w:p w:rsidR="00212513" w:rsidRDefault="00212513">
            <w:pPr>
              <w:pStyle w:val="ConsPlusNormal"/>
            </w:pPr>
            <w:r>
              <w:lastRenderedPageBreak/>
              <w:t>Элементы автодорожных и городских мостов (кроме стенок балок пролетных строений), армированные напрягаемой высокопрочной проволокой диаметром 3 мм, арматурными канатами класса К7 диаметром 9 мм, а также напрягаемыми стальными канатами (со спиральной и двойной свивкой и закрытыми)</w:t>
            </w:r>
          </w:p>
        </w:tc>
        <w:tc>
          <w:tcPr>
            <w:tcW w:w="1077" w:type="dxa"/>
          </w:tcPr>
          <w:p w:rsidR="00212513" w:rsidRDefault="00212513">
            <w:pPr>
              <w:pStyle w:val="ConsPlusNormal"/>
            </w:pPr>
          </w:p>
        </w:tc>
        <w:tc>
          <w:tcPr>
            <w:tcW w:w="1361" w:type="dxa"/>
          </w:tcPr>
          <w:p w:rsidR="00212513" w:rsidRDefault="00212513">
            <w:pPr>
              <w:pStyle w:val="ConsPlusNormal"/>
            </w:pPr>
          </w:p>
        </w:tc>
        <w:tc>
          <w:tcPr>
            <w:tcW w:w="1358" w:type="dxa"/>
          </w:tcPr>
          <w:p w:rsidR="00212513" w:rsidRDefault="00212513">
            <w:pPr>
              <w:pStyle w:val="ConsPlusNormal"/>
            </w:pPr>
          </w:p>
        </w:tc>
        <w:tc>
          <w:tcPr>
            <w:tcW w:w="1858" w:type="dxa"/>
          </w:tcPr>
          <w:p w:rsidR="00212513" w:rsidRDefault="00212513">
            <w:pPr>
              <w:pStyle w:val="ConsPlusNormal"/>
            </w:pPr>
          </w:p>
        </w:tc>
      </w:tr>
      <w:tr w:rsidR="00212513">
        <w:tblPrEx>
          <w:tblBorders>
            <w:insideH w:val="nil"/>
          </w:tblBorders>
        </w:tblPrEx>
        <w:tc>
          <w:tcPr>
            <w:tcW w:w="3402" w:type="dxa"/>
            <w:tcBorders>
              <w:bottom w:val="nil"/>
            </w:tcBorders>
          </w:tcPr>
          <w:p w:rsidR="00212513" w:rsidRDefault="00212513">
            <w:pPr>
              <w:pStyle w:val="ConsPlusNormal"/>
            </w:pPr>
            <w:r>
              <w:t>Элементы железнодорожных мостов (кроме стенок балок пролетных строений), армированные напрягаемой стержневой арматурой</w:t>
            </w:r>
          </w:p>
        </w:tc>
        <w:tc>
          <w:tcPr>
            <w:tcW w:w="1077" w:type="dxa"/>
            <w:tcBorders>
              <w:bottom w:val="nil"/>
            </w:tcBorders>
          </w:tcPr>
          <w:p w:rsidR="00212513" w:rsidRDefault="00212513">
            <w:pPr>
              <w:pStyle w:val="ConsPlusNormal"/>
              <w:jc w:val="center"/>
            </w:pPr>
            <w:r>
              <w:t>2б</w:t>
            </w:r>
          </w:p>
        </w:tc>
        <w:tc>
          <w:tcPr>
            <w:tcW w:w="1361" w:type="dxa"/>
            <w:tcBorders>
              <w:bottom w:val="nil"/>
            </w:tcBorders>
          </w:tcPr>
          <w:p w:rsidR="00212513" w:rsidRDefault="00212513">
            <w:pPr>
              <w:pStyle w:val="ConsPlusNormal"/>
              <w:jc w:val="center"/>
            </w:pPr>
            <w:r>
              <w:t>1,4</w:t>
            </w:r>
            <w:r>
              <w:rPr>
                <w:i/>
              </w:rPr>
              <w:t>R</w:t>
            </w:r>
            <w:r>
              <w:rPr>
                <w:i/>
                <w:vertAlign w:val="subscript"/>
              </w:rPr>
              <w:t>bt,ser</w:t>
            </w:r>
            <w:r>
              <w:t xml:space="preserve"> </w:t>
            </w:r>
            <w:hyperlink w:anchor="P5145">
              <w:r>
                <w:rPr>
                  <w:color w:val="0000FF"/>
                </w:rPr>
                <w:t>&lt;**&gt;</w:t>
              </w:r>
            </w:hyperlink>
          </w:p>
        </w:tc>
        <w:tc>
          <w:tcPr>
            <w:tcW w:w="1358" w:type="dxa"/>
            <w:tcBorders>
              <w:bottom w:val="nil"/>
            </w:tcBorders>
          </w:tcPr>
          <w:p w:rsidR="00212513" w:rsidRDefault="00212513">
            <w:pPr>
              <w:pStyle w:val="ConsPlusNormal"/>
              <w:jc w:val="center"/>
            </w:pPr>
            <w:r>
              <w:t xml:space="preserve">0,015 </w:t>
            </w:r>
            <w:hyperlink w:anchor="P5147">
              <w:r>
                <w:rPr>
                  <w:color w:val="0000FF"/>
                </w:rPr>
                <w:t>&lt;***&gt;</w:t>
              </w:r>
            </w:hyperlink>
          </w:p>
        </w:tc>
        <w:tc>
          <w:tcPr>
            <w:tcW w:w="1858" w:type="dxa"/>
            <w:tcBorders>
              <w:bottom w:val="nil"/>
            </w:tcBorders>
          </w:tcPr>
          <w:p w:rsidR="00212513" w:rsidRDefault="00212513">
            <w:pPr>
              <w:pStyle w:val="ConsPlusNormal"/>
              <w:jc w:val="center"/>
            </w:pPr>
            <w:r>
              <w:t>Не менее</w:t>
            </w:r>
          </w:p>
          <w:p w:rsidR="00212513" w:rsidRDefault="00212513">
            <w:pPr>
              <w:pStyle w:val="ConsPlusNormal"/>
              <w:jc w:val="center"/>
            </w:pPr>
            <w:r>
              <w:t>0,5 МПа</w:t>
            </w:r>
          </w:p>
        </w:tc>
      </w:tr>
      <w:tr w:rsidR="00212513">
        <w:tblPrEx>
          <w:tblBorders>
            <w:insideH w:val="nil"/>
          </w:tblBorders>
        </w:tblPrEx>
        <w:tc>
          <w:tcPr>
            <w:tcW w:w="3402" w:type="dxa"/>
            <w:tcBorders>
              <w:top w:val="nil"/>
              <w:bottom w:val="nil"/>
            </w:tcBorders>
          </w:tcPr>
          <w:p w:rsidR="00212513" w:rsidRDefault="00212513">
            <w:pPr>
              <w:pStyle w:val="ConsPlusNormal"/>
            </w:pPr>
            <w:r>
              <w:t>Элементы автодорожных и городских мостов (кроме стенок балок пролетных строений), армированные напрягаемой высокопрочной проволокой диаметром 4 мм и более, напрягаемыми арматурными канатами класса К7 диаметром 12 и 15 мм</w:t>
            </w:r>
          </w:p>
        </w:tc>
        <w:tc>
          <w:tcPr>
            <w:tcW w:w="1077" w:type="dxa"/>
            <w:tcBorders>
              <w:top w:val="nil"/>
              <w:bottom w:val="nil"/>
            </w:tcBorders>
          </w:tcPr>
          <w:p w:rsidR="00212513" w:rsidRDefault="00212513">
            <w:pPr>
              <w:pStyle w:val="ConsPlusNormal"/>
            </w:pPr>
          </w:p>
        </w:tc>
        <w:tc>
          <w:tcPr>
            <w:tcW w:w="1361" w:type="dxa"/>
            <w:tcBorders>
              <w:top w:val="nil"/>
              <w:bottom w:val="nil"/>
            </w:tcBorders>
          </w:tcPr>
          <w:p w:rsidR="00212513" w:rsidRDefault="00212513">
            <w:pPr>
              <w:pStyle w:val="ConsPlusNormal"/>
            </w:pPr>
          </w:p>
        </w:tc>
        <w:tc>
          <w:tcPr>
            <w:tcW w:w="1358" w:type="dxa"/>
            <w:tcBorders>
              <w:top w:val="nil"/>
              <w:bottom w:val="nil"/>
            </w:tcBorders>
          </w:tcPr>
          <w:p w:rsidR="00212513" w:rsidRDefault="00212513">
            <w:pPr>
              <w:pStyle w:val="ConsPlusNormal"/>
            </w:pPr>
          </w:p>
        </w:tc>
        <w:tc>
          <w:tcPr>
            <w:tcW w:w="1858" w:type="dxa"/>
            <w:tcBorders>
              <w:top w:val="nil"/>
              <w:bottom w:val="nil"/>
            </w:tcBorders>
          </w:tcPr>
          <w:p w:rsidR="00212513" w:rsidRDefault="00212513">
            <w:pPr>
              <w:pStyle w:val="ConsPlusNormal"/>
            </w:pPr>
          </w:p>
        </w:tc>
      </w:tr>
      <w:tr w:rsidR="00212513">
        <w:tblPrEx>
          <w:tblBorders>
            <w:insideH w:val="nil"/>
          </w:tblBorders>
        </w:tblPrEx>
        <w:tc>
          <w:tcPr>
            <w:tcW w:w="3402" w:type="dxa"/>
            <w:tcBorders>
              <w:top w:val="nil"/>
            </w:tcBorders>
          </w:tcPr>
          <w:p w:rsidR="00212513" w:rsidRDefault="00212513">
            <w:pPr>
              <w:pStyle w:val="ConsPlusNormal"/>
            </w:pPr>
            <w:r>
              <w:t>Сваи мостов всех назначений, армированные напрягаемой стержневой арматурой и напрягаемой высокопрочной проволокой диаметром 4 мм и более, а также напрягаемыми арматурными канатами класса К7</w:t>
            </w:r>
          </w:p>
        </w:tc>
        <w:tc>
          <w:tcPr>
            <w:tcW w:w="1077" w:type="dxa"/>
            <w:tcBorders>
              <w:top w:val="nil"/>
            </w:tcBorders>
          </w:tcPr>
          <w:p w:rsidR="00212513" w:rsidRDefault="00212513">
            <w:pPr>
              <w:pStyle w:val="ConsPlusNormal"/>
              <w:jc w:val="both"/>
            </w:pPr>
          </w:p>
        </w:tc>
        <w:tc>
          <w:tcPr>
            <w:tcW w:w="1361" w:type="dxa"/>
            <w:tcBorders>
              <w:top w:val="nil"/>
            </w:tcBorders>
          </w:tcPr>
          <w:p w:rsidR="00212513" w:rsidRDefault="00212513">
            <w:pPr>
              <w:pStyle w:val="ConsPlusNormal"/>
              <w:jc w:val="both"/>
            </w:pPr>
          </w:p>
        </w:tc>
        <w:tc>
          <w:tcPr>
            <w:tcW w:w="1358" w:type="dxa"/>
            <w:tcBorders>
              <w:top w:val="nil"/>
            </w:tcBorders>
          </w:tcPr>
          <w:p w:rsidR="00212513" w:rsidRDefault="00212513">
            <w:pPr>
              <w:pStyle w:val="ConsPlusNormal"/>
              <w:jc w:val="both"/>
            </w:pPr>
          </w:p>
        </w:tc>
        <w:tc>
          <w:tcPr>
            <w:tcW w:w="1858" w:type="dxa"/>
            <w:tcBorders>
              <w:top w:val="nil"/>
            </w:tcBorders>
          </w:tcPr>
          <w:p w:rsidR="00212513" w:rsidRDefault="00212513">
            <w:pPr>
              <w:pStyle w:val="ConsPlusNormal"/>
              <w:jc w:val="both"/>
            </w:pPr>
          </w:p>
        </w:tc>
      </w:tr>
      <w:tr w:rsidR="00212513">
        <w:tblPrEx>
          <w:tblBorders>
            <w:insideH w:val="nil"/>
          </w:tblBorders>
        </w:tblPrEx>
        <w:tc>
          <w:tcPr>
            <w:tcW w:w="3402" w:type="dxa"/>
            <w:tcBorders>
              <w:bottom w:val="nil"/>
            </w:tcBorders>
          </w:tcPr>
          <w:p w:rsidR="00212513" w:rsidRDefault="00212513">
            <w:pPr>
              <w:pStyle w:val="ConsPlusNormal"/>
            </w:pPr>
            <w:r>
              <w:t>Стенки (ребра) балок предварительно напряженных пролетных строений мостов при расчете на главные напряжения</w:t>
            </w:r>
          </w:p>
        </w:tc>
        <w:tc>
          <w:tcPr>
            <w:tcW w:w="1077" w:type="dxa"/>
            <w:tcBorders>
              <w:bottom w:val="nil"/>
            </w:tcBorders>
          </w:tcPr>
          <w:p w:rsidR="00212513" w:rsidRDefault="00212513">
            <w:pPr>
              <w:pStyle w:val="ConsPlusNormal"/>
              <w:jc w:val="center"/>
            </w:pPr>
            <w:r>
              <w:t>3а</w:t>
            </w:r>
          </w:p>
        </w:tc>
        <w:tc>
          <w:tcPr>
            <w:tcW w:w="1361" w:type="dxa"/>
            <w:tcBorders>
              <w:bottom w:val="nil"/>
            </w:tcBorders>
          </w:tcPr>
          <w:p w:rsidR="00212513" w:rsidRDefault="00212513">
            <w:pPr>
              <w:pStyle w:val="ConsPlusNormal"/>
              <w:jc w:val="center"/>
            </w:pPr>
            <w:r>
              <w:t xml:space="preserve">По </w:t>
            </w:r>
            <w:hyperlink w:anchor="P5192">
              <w:r>
                <w:rPr>
                  <w:color w:val="0000FF"/>
                </w:rPr>
                <w:t>таблице 7.25</w:t>
              </w:r>
            </w:hyperlink>
          </w:p>
        </w:tc>
        <w:tc>
          <w:tcPr>
            <w:tcW w:w="1358" w:type="dxa"/>
            <w:tcBorders>
              <w:bottom w:val="nil"/>
            </w:tcBorders>
          </w:tcPr>
          <w:p w:rsidR="00212513" w:rsidRDefault="00212513">
            <w:pPr>
              <w:pStyle w:val="ConsPlusNormal"/>
              <w:jc w:val="center"/>
            </w:pPr>
            <w:r>
              <w:t>0,015</w:t>
            </w:r>
          </w:p>
        </w:tc>
        <w:tc>
          <w:tcPr>
            <w:tcW w:w="1858" w:type="dxa"/>
            <w:tcBorders>
              <w:bottom w:val="nil"/>
            </w:tcBorders>
          </w:tcPr>
          <w:p w:rsidR="00212513" w:rsidRDefault="00212513">
            <w:pPr>
              <w:pStyle w:val="ConsPlusNormal"/>
              <w:jc w:val="center"/>
            </w:pPr>
            <w:r>
              <w:t>-</w:t>
            </w:r>
          </w:p>
        </w:tc>
      </w:tr>
      <w:tr w:rsidR="00212513">
        <w:tblPrEx>
          <w:tblBorders>
            <w:insideH w:val="nil"/>
          </w:tblBorders>
        </w:tblPrEx>
        <w:tc>
          <w:tcPr>
            <w:tcW w:w="9056" w:type="dxa"/>
            <w:gridSpan w:val="5"/>
            <w:tcBorders>
              <w:top w:val="nil"/>
            </w:tcBorders>
          </w:tcPr>
          <w:p w:rsidR="00212513" w:rsidRDefault="00212513">
            <w:pPr>
              <w:pStyle w:val="ConsPlusNormal"/>
              <w:jc w:val="both"/>
            </w:pPr>
            <w:r>
              <w:t xml:space="preserve">(в ред. </w:t>
            </w:r>
            <w:hyperlink r:id="rId1184">
              <w:r>
                <w:rPr>
                  <w:color w:val="0000FF"/>
                </w:rPr>
                <w:t>Изменения N 4</w:t>
              </w:r>
            </w:hyperlink>
            <w:r>
              <w:t>, утв. Приказом Минстроя России от 30.05.2024 N 361/пр)</w:t>
            </w:r>
          </w:p>
        </w:tc>
      </w:tr>
      <w:tr w:rsidR="00212513">
        <w:tblPrEx>
          <w:tblBorders>
            <w:insideH w:val="nil"/>
          </w:tblBorders>
        </w:tblPrEx>
        <w:tc>
          <w:tcPr>
            <w:tcW w:w="3402" w:type="dxa"/>
            <w:tcBorders>
              <w:bottom w:val="nil"/>
            </w:tcBorders>
          </w:tcPr>
          <w:p w:rsidR="00212513" w:rsidRDefault="00212513">
            <w:pPr>
              <w:pStyle w:val="ConsPlusNormal"/>
            </w:pPr>
            <w:r>
              <w:t>Элементы автодорожных и городских мостов, армированные напрягаемой стержневой арматурой</w:t>
            </w:r>
          </w:p>
        </w:tc>
        <w:tc>
          <w:tcPr>
            <w:tcW w:w="1077" w:type="dxa"/>
            <w:tcBorders>
              <w:bottom w:val="nil"/>
            </w:tcBorders>
          </w:tcPr>
          <w:p w:rsidR="00212513" w:rsidRDefault="00212513">
            <w:pPr>
              <w:pStyle w:val="ConsPlusNormal"/>
              <w:jc w:val="center"/>
            </w:pPr>
            <w:r>
              <w:t>3б</w:t>
            </w:r>
          </w:p>
        </w:tc>
        <w:tc>
          <w:tcPr>
            <w:tcW w:w="1361" w:type="dxa"/>
            <w:tcBorders>
              <w:bottom w:val="nil"/>
            </w:tcBorders>
          </w:tcPr>
          <w:p w:rsidR="00212513" w:rsidRDefault="00212513">
            <w:pPr>
              <w:pStyle w:val="ConsPlusNormal"/>
              <w:jc w:val="center"/>
            </w:pPr>
            <w:r>
              <w:t>-</w:t>
            </w:r>
          </w:p>
        </w:tc>
        <w:tc>
          <w:tcPr>
            <w:tcW w:w="1358" w:type="dxa"/>
            <w:tcBorders>
              <w:bottom w:val="nil"/>
            </w:tcBorders>
          </w:tcPr>
          <w:p w:rsidR="00212513" w:rsidRDefault="00212513">
            <w:pPr>
              <w:pStyle w:val="ConsPlusNormal"/>
              <w:jc w:val="center"/>
            </w:pPr>
            <w:r>
              <w:t>0,020</w:t>
            </w:r>
          </w:p>
        </w:tc>
        <w:tc>
          <w:tcPr>
            <w:tcW w:w="1858" w:type="dxa"/>
            <w:tcBorders>
              <w:bottom w:val="nil"/>
            </w:tcBorders>
          </w:tcPr>
          <w:p w:rsidR="00212513" w:rsidRDefault="00212513">
            <w:pPr>
              <w:pStyle w:val="ConsPlusNormal"/>
              <w:jc w:val="center"/>
            </w:pPr>
            <w:r>
              <w:t>-</w:t>
            </w:r>
          </w:p>
        </w:tc>
      </w:tr>
      <w:tr w:rsidR="00212513">
        <w:tblPrEx>
          <w:tblBorders>
            <w:insideH w:val="nil"/>
          </w:tblBorders>
        </w:tblPrEx>
        <w:tc>
          <w:tcPr>
            <w:tcW w:w="3402" w:type="dxa"/>
            <w:tcBorders>
              <w:top w:val="nil"/>
            </w:tcBorders>
          </w:tcPr>
          <w:p w:rsidR="00212513" w:rsidRDefault="00212513">
            <w:pPr>
              <w:pStyle w:val="ConsPlusNormal"/>
            </w:pPr>
            <w:r>
              <w:t>Участки элементов (в мостах всех назначений), рассчитываемые на местные напряжения в зоне расположения напрягаемой проволочной арматуры</w:t>
            </w:r>
          </w:p>
        </w:tc>
        <w:tc>
          <w:tcPr>
            <w:tcW w:w="1077" w:type="dxa"/>
            <w:tcBorders>
              <w:top w:val="nil"/>
            </w:tcBorders>
          </w:tcPr>
          <w:p w:rsidR="00212513" w:rsidRDefault="00212513">
            <w:pPr>
              <w:pStyle w:val="ConsPlusNormal"/>
              <w:jc w:val="both"/>
            </w:pPr>
          </w:p>
        </w:tc>
        <w:tc>
          <w:tcPr>
            <w:tcW w:w="1361" w:type="dxa"/>
            <w:tcBorders>
              <w:top w:val="nil"/>
            </w:tcBorders>
          </w:tcPr>
          <w:p w:rsidR="00212513" w:rsidRDefault="00212513">
            <w:pPr>
              <w:pStyle w:val="ConsPlusNormal"/>
              <w:jc w:val="both"/>
            </w:pPr>
          </w:p>
        </w:tc>
        <w:tc>
          <w:tcPr>
            <w:tcW w:w="1358" w:type="dxa"/>
            <w:tcBorders>
              <w:top w:val="nil"/>
            </w:tcBorders>
          </w:tcPr>
          <w:p w:rsidR="00212513" w:rsidRDefault="00212513">
            <w:pPr>
              <w:pStyle w:val="ConsPlusNormal"/>
              <w:jc w:val="both"/>
            </w:pPr>
          </w:p>
        </w:tc>
        <w:tc>
          <w:tcPr>
            <w:tcW w:w="1858" w:type="dxa"/>
            <w:tcBorders>
              <w:top w:val="nil"/>
            </w:tcBorders>
          </w:tcPr>
          <w:p w:rsidR="00212513" w:rsidRDefault="00212513">
            <w:pPr>
              <w:pStyle w:val="ConsPlusNormal"/>
              <w:jc w:val="both"/>
            </w:pPr>
          </w:p>
        </w:tc>
      </w:tr>
      <w:tr w:rsidR="00212513">
        <w:tblPrEx>
          <w:tblBorders>
            <w:insideH w:val="nil"/>
          </w:tblBorders>
        </w:tblPrEx>
        <w:tc>
          <w:tcPr>
            <w:tcW w:w="3402" w:type="dxa"/>
            <w:tcBorders>
              <w:bottom w:val="nil"/>
            </w:tcBorders>
          </w:tcPr>
          <w:p w:rsidR="00212513" w:rsidRDefault="00212513">
            <w:pPr>
              <w:pStyle w:val="ConsPlusNormal"/>
            </w:pPr>
            <w:r>
              <w:t xml:space="preserve">Необжатые бетонируемые стыки, </w:t>
            </w:r>
            <w:r>
              <w:lastRenderedPageBreak/>
              <w:t>армированные ненапрягаемой арматурой, неразрезных напрягаемых пролетных строений</w:t>
            </w:r>
          </w:p>
        </w:tc>
        <w:tc>
          <w:tcPr>
            <w:tcW w:w="1077" w:type="dxa"/>
            <w:tcBorders>
              <w:bottom w:val="nil"/>
            </w:tcBorders>
          </w:tcPr>
          <w:p w:rsidR="00212513" w:rsidRDefault="00212513">
            <w:pPr>
              <w:pStyle w:val="ConsPlusNormal"/>
              <w:jc w:val="center"/>
            </w:pPr>
            <w:r>
              <w:lastRenderedPageBreak/>
              <w:t>3в</w:t>
            </w:r>
          </w:p>
        </w:tc>
        <w:tc>
          <w:tcPr>
            <w:tcW w:w="1361" w:type="dxa"/>
            <w:tcBorders>
              <w:bottom w:val="nil"/>
            </w:tcBorders>
          </w:tcPr>
          <w:p w:rsidR="00212513" w:rsidRDefault="00212513">
            <w:pPr>
              <w:pStyle w:val="ConsPlusNormal"/>
              <w:jc w:val="center"/>
            </w:pPr>
            <w:r>
              <w:t>-</w:t>
            </w:r>
          </w:p>
        </w:tc>
        <w:tc>
          <w:tcPr>
            <w:tcW w:w="1358" w:type="dxa"/>
            <w:tcBorders>
              <w:bottom w:val="nil"/>
            </w:tcBorders>
          </w:tcPr>
          <w:p w:rsidR="00212513" w:rsidRDefault="00212513">
            <w:pPr>
              <w:pStyle w:val="ConsPlusNormal"/>
              <w:jc w:val="center"/>
            </w:pPr>
            <w:r>
              <w:t xml:space="preserve">0,030 </w:t>
            </w:r>
            <w:hyperlink w:anchor="P5148">
              <w:r>
                <w:rPr>
                  <w:color w:val="0000FF"/>
                </w:rPr>
                <w:t>&lt;*4&gt;</w:t>
              </w:r>
            </w:hyperlink>
          </w:p>
        </w:tc>
        <w:tc>
          <w:tcPr>
            <w:tcW w:w="1858" w:type="dxa"/>
            <w:tcBorders>
              <w:bottom w:val="nil"/>
            </w:tcBorders>
          </w:tcPr>
          <w:p w:rsidR="00212513" w:rsidRDefault="00212513">
            <w:pPr>
              <w:pStyle w:val="ConsPlusNormal"/>
              <w:jc w:val="center"/>
            </w:pPr>
            <w:r>
              <w:t>-</w:t>
            </w:r>
          </w:p>
        </w:tc>
      </w:tr>
      <w:tr w:rsidR="00212513">
        <w:tblPrEx>
          <w:tblBorders>
            <w:insideH w:val="nil"/>
          </w:tblBorders>
        </w:tblPrEx>
        <w:tc>
          <w:tcPr>
            <w:tcW w:w="3402" w:type="dxa"/>
            <w:tcBorders>
              <w:top w:val="nil"/>
            </w:tcBorders>
          </w:tcPr>
          <w:p w:rsidR="00212513" w:rsidRDefault="00212513">
            <w:pPr>
              <w:pStyle w:val="ConsPlusNormal"/>
            </w:pPr>
            <w:r>
              <w:lastRenderedPageBreak/>
              <w:t>Элементы мостов и труб всех назначений с ненапрягаемой арматурой</w:t>
            </w:r>
          </w:p>
        </w:tc>
        <w:tc>
          <w:tcPr>
            <w:tcW w:w="1077" w:type="dxa"/>
            <w:tcBorders>
              <w:top w:val="nil"/>
            </w:tcBorders>
          </w:tcPr>
          <w:p w:rsidR="00212513" w:rsidRDefault="00212513">
            <w:pPr>
              <w:pStyle w:val="ConsPlusNormal"/>
              <w:jc w:val="both"/>
            </w:pPr>
          </w:p>
        </w:tc>
        <w:tc>
          <w:tcPr>
            <w:tcW w:w="1361" w:type="dxa"/>
            <w:tcBorders>
              <w:top w:val="nil"/>
            </w:tcBorders>
          </w:tcPr>
          <w:p w:rsidR="00212513" w:rsidRDefault="00212513">
            <w:pPr>
              <w:pStyle w:val="ConsPlusNormal"/>
              <w:jc w:val="both"/>
            </w:pPr>
          </w:p>
        </w:tc>
        <w:tc>
          <w:tcPr>
            <w:tcW w:w="1358" w:type="dxa"/>
            <w:tcBorders>
              <w:top w:val="nil"/>
            </w:tcBorders>
          </w:tcPr>
          <w:p w:rsidR="00212513" w:rsidRDefault="00212513">
            <w:pPr>
              <w:pStyle w:val="ConsPlusNormal"/>
              <w:jc w:val="both"/>
            </w:pPr>
          </w:p>
        </w:tc>
        <w:tc>
          <w:tcPr>
            <w:tcW w:w="1858" w:type="dxa"/>
            <w:tcBorders>
              <w:top w:val="nil"/>
            </w:tcBorders>
          </w:tcPr>
          <w:p w:rsidR="00212513" w:rsidRDefault="00212513">
            <w:pPr>
              <w:pStyle w:val="ConsPlusNormal"/>
              <w:jc w:val="both"/>
            </w:pPr>
          </w:p>
        </w:tc>
      </w:tr>
      <w:tr w:rsidR="00212513">
        <w:tblPrEx>
          <w:tblBorders>
            <w:insideH w:val="nil"/>
          </w:tblBorders>
        </w:tblPrEx>
        <w:tc>
          <w:tcPr>
            <w:tcW w:w="3402" w:type="dxa"/>
            <w:tcBorders>
              <w:bottom w:val="nil"/>
            </w:tcBorders>
          </w:tcPr>
          <w:p w:rsidR="00212513" w:rsidRDefault="00212513">
            <w:pPr>
              <w:pStyle w:val="ConsPlusNormal"/>
            </w:pPr>
            <w:r>
              <w:t>Железобетонные элементы мостов всех назначений с напрягаемой арматурой, расположенной вне тела элемента</w:t>
            </w:r>
          </w:p>
        </w:tc>
        <w:tc>
          <w:tcPr>
            <w:tcW w:w="1077" w:type="dxa"/>
            <w:tcBorders>
              <w:bottom w:val="nil"/>
            </w:tcBorders>
          </w:tcPr>
          <w:p w:rsidR="00212513" w:rsidRDefault="00212513">
            <w:pPr>
              <w:pStyle w:val="ConsPlusNormal"/>
            </w:pPr>
          </w:p>
        </w:tc>
        <w:tc>
          <w:tcPr>
            <w:tcW w:w="1361" w:type="dxa"/>
            <w:tcBorders>
              <w:bottom w:val="nil"/>
            </w:tcBorders>
          </w:tcPr>
          <w:p w:rsidR="00212513" w:rsidRDefault="00212513">
            <w:pPr>
              <w:pStyle w:val="ConsPlusNormal"/>
            </w:pPr>
          </w:p>
        </w:tc>
        <w:tc>
          <w:tcPr>
            <w:tcW w:w="1358" w:type="dxa"/>
            <w:tcBorders>
              <w:bottom w:val="nil"/>
            </w:tcBorders>
          </w:tcPr>
          <w:p w:rsidR="00212513" w:rsidRDefault="00212513">
            <w:pPr>
              <w:pStyle w:val="ConsPlusNormal"/>
            </w:pPr>
          </w:p>
        </w:tc>
        <w:tc>
          <w:tcPr>
            <w:tcW w:w="1858" w:type="dxa"/>
            <w:tcBorders>
              <w:bottom w:val="nil"/>
            </w:tcBorders>
          </w:tcPr>
          <w:p w:rsidR="00212513" w:rsidRDefault="00212513">
            <w:pPr>
              <w:pStyle w:val="ConsPlusNormal"/>
            </w:pPr>
          </w:p>
        </w:tc>
      </w:tr>
      <w:tr w:rsidR="00212513">
        <w:tblPrEx>
          <w:tblBorders>
            <w:insideH w:val="nil"/>
          </w:tblBorders>
        </w:tblPrEx>
        <w:tc>
          <w:tcPr>
            <w:tcW w:w="3402" w:type="dxa"/>
            <w:tcBorders>
              <w:top w:val="nil"/>
            </w:tcBorders>
          </w:tcPr>
          <w:p w:rsidR="00212513" w:rsidRDefault="00212513">
            <w:pPr>
              <w:pStyle w:val="ConsPlusNormal"/>
            </w:pPr>
            <w:r>
              <w:t>Участки элементов (в мостах всех назначений), рассчитываемые на местные напряжения в зоне расположения напрягаемой стержневой арматуры</w:t>
            </w:r>
          </w:p>
        </w:tc>
        <w:tc>
          <w:tcPr>
            <w:tcW w:w="1077" w:type="dxa"/>
            <w:tcBorders>
              <w:top w:val="nil"/>
            </w:tcBorders>
          </w:tcPr>
          <w:p w:rsidR="00212513" w:rsidRDefault="00212513">
            <w:pPr>
              <w:pStyle w:val="ConsPlusNormal"/>
              <w:jc w:val="both"/>
            </w:pPr>
          </w:p>
        </w:tc>
        <w:tc>
          <w:tcPr>
            <w:tcW w:w="1361" w:type="dxa"/>
            <w:tcBorders>
              <w:top w:val="nil"/>
            </w:tcBorders>
          </w:tcPr>
          <w:p w:rsidR="00212513" w:rsidRDefault="00212513">
            <w:pPr>
              <w:pStyle w:val="ConsPlusNormal"/>
              <w:jc w:val="both"/>
            </w:pPr>
          </w:p>
        </w:tc>
        <w:tc>
          <w:tcPr>
            <w:tcW w:w="1358" w:type="dxa"/>
            <w:tcBorders>
              <w:top w:val="nil"/>
            </w:tcBorders>
          </w:tcPr>
          <w:p w:rsidR="00212513" w:rsidRDefault="00212513">
            <w:pPr>
              <w:pStyle w:val="ConsPlusNormal"/>
              <w:jc w:val="both"/>
            </w:pPr>
          </w:p>
        </w:tc>
        <w:tc>
          <w:tcPr>
            <w:tcW w:w="1858" w:type="dxa"/>
            <w:tcBorders>
              <w:top w:val="nil"/>
            </w:tcBorders>
          </w:tcPr>
          <w:p w:rsidR="00212513" w:rsidRDefault="00212513">
            <w:pPr>
              <w:pStyle w:val="ConsPlusNormal"/>
              <w:jc w:val="both"/>
            </w:pPr>
          </w:p>
        </w:tc>
      </w:tr>
      <w:tr w:rsidR="00212513">
        <w:tc>
          <w:tcPr>
            <w:tcW w:w="9056" w:type="dxa"/>
            <w:gridSpan w:val="5"/>
          </w:tcPr>
          <w:p w:rsidR="00212513" w:rsidRDefault="00212513">
            <w:pPr>
              <w:pStyle w:val="ConsPlusNormal"/>
              <w:ind w:firstLine="283"/>
              <w:jc w:val="both"/>
            </w:pPr>
            <w:bookmarkStart w:id="215" w:name="P5144"/>
            <w:bookmarkEnd w:id="215"/>
            <w:r>
              <w:t xml:space="preserve">&lt;*&gt; Для стыков составных конструкций, в том числе от постоянных нагрузок, с коэффициентами надежности по нагрузке для предельных состояний первой группы по </w:t>
            </w:r>
            <w:hyperlink w:anchor="P4909">
              <w:r>
                <w:rPr>
                  <w:color w:val="0000FF"/>
                </w:rPr>
                <w:t>7.88</w:t>
              </w:r>
            </w:hyperlink>
            <w:r>
              <w:t>.</w:t>
            </w:r>
          </w:p>
          <w:p w:rsidR="00212513" w:rsidRDefault="00212513">
            <w:pPr>
              <w:pStyle w:val="ConsPlusNormal"/>
              <w:ind w:firstLine="283"/>
              <w:jc w:val="both"/>
            </w:pPr>
            <w:bookmarkStart w:id="216" w:name="P5145"/>
            <w:bookmarkEnd w:id="216"/>
            <w:r>
              <w:t xml:space="preserve">&lt;**&gt; При смешанном армировании допускается повышать предельные растягивающие напряжения в бетоне согласно указаниям </w:t>
            </w:r>
            <w:hyperlink w:anchor="P5166">
              <w:r>
                <w:rPr>
                  <w:color w:val="0000FF"/>
                </w:rPr>
                <w:t>7.96</w:t>
              </w:r>
            </w:hyperlink>
            <w:r>
              <w:t>.</w:t>
            </w:r>
          </w:p>
          <w:p w:rsidR="00212513" w:rsidRDefault="00212513">
            <w:pPr>
              <w:pStyle w:val="ConsPlusNormal"/>
              <w:ind w:firstLine="283"/>
              <w:jc w:val="both"/>
            </w:pPr>
            <w:r>
              <w:t>В конструкциях автодорожных и городских мостов с проволочной напрягаемой арматурой при расположении ее в плите проезжей части предельные значения растягивающих напряжений в бетоне в направлении его обжатия не должны быть более 0,8</w:t>
            </w:r>
            <w:r>
              <w:rPr>
                <w:i/>
              </w:rPr>
              <w:t>R</w:t>
            </w:r>
            <w:r>
              <w:rPr>
                <w:i/>
                <w:vertAlign w:val="subscript"/>
              </w:rPr>
              <w:t>bt,ser</w:t>
            </w:r>
            <w:r>
              <w:rPr>
                <w:i/>
              </w:rPr>
              <w:t>.</w:t>
            </w:r>
          </w:p>
          <w:p w:rsidR="00212513" w:rsidRDefault="00212513">
            <w:pPr>
              <w:pStyle w:val="ConsPlusNormal"/>
              <w:ind w:firstLine="283"/>
              <w:jc w:val="both"/>
            </w:pPr>
            <w:bookmarkStart w:id="217" w:name="P5147"/>
            <w:bookmarkEnd w:id="217"/>
            <w:r>
              <w:t xml:space="preserve">&lt;***&gt; При оцинкованной проволоке допускается принимать </w:t>
            </w:r>
            <w:r>
              <w:rPr>
                <w:noProof/>
                <w:position w:val="-8"/>
              </w:rPr>
              <w:drawing>
                <wp:inline distT="0" distB="0" distL="0" distR="0">
                  <wp:extent cx="974725" cy="251460"/>
                  <wp:effectExtent l="0" t="0" r="0" b="0"/>
                  <wp:docPr id="8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974725" cy="251460"/>
                          </a:xfrm>
                          <a:prstGeom prst="rect">
                            <a:avLst/>
                          </a:prstGeom>
                          <a:noFill/>
                          <a:ln>
                            <a:noFill/>
                          </a:ln>
                        </pic:spPr>
                      </pic:pic>
                    </a:graphicData>
                  </a:graphic>
                </wp:inline>
              </w:drawing>
            </w:r>
            <w:r>
              <w:t>.</w:t>
            </w:r>
          </w:p>
          <w:p w:rsidR="00212513" w:rsidRDefault="00212513">
            <w:pPr>
              <w:pStyle w:val="ConsPlusNormal"/>
              <w:ind w:firstLine="283"/>
              <w:jc w:val="both"/>
            </w:pPr>
            <w:bookmarkStart w:id="218" w:name="P5148"/>
            <w:bookmarkEnd w:id="218"/>
            <w:r>
              <w:t>&lt;*4&gt; Ширина раскрытия трещин не должна превышать, см:</w:t>
            </w:r>
          </w:p>
          <w:p w:rsidR="00212513" w:rsidRDefault="00212513">
            <w:pPr>
              <w:pStyle w:val="ConsPlusNormal"/>
              <w:ind w:firstLine="283"/>
              <w:jc w:val="both"/>
            </w:pPr>
            <w:r>
              <w:t>0,020 - в элементах пролетных строений железнодорожных мостов, в верхних плитах проезжей части автодорожных и городских мостов при устройстве на них гидроизоляции, в стойках и сваях всех опор, а также в элементах и частях водопропускных труб;</w:t>
            </w:r>
          </w:p>
          <w:p w:rsidR="00212513" w:rsidRDefault="00212513">
            <w:pPr>
              <w:pStyle w:val="ConsPlusNormal"/>
              <w:ind w:firstLine="283"/>
              <w:jc w:val="both"/>
            </w:pPr>
            <w:r>
              <w:t>0,015 - в элементах промежуточных опор железнодорожных мостов в зоне переменного уровня воды;</w:t>
            </w:r>
          </w:p>
          <w:p w:rsidR="00212513" w:rsidRDefault="00212513">
            <w:pPr>
              <w:pStyle w:val="ConsPlusNormal"/>
              <w:ind w:firstLine="283"/>
              <w:jc w:val="both"/>
            </w:pPr>
            <w:r>
              <w:t>0,010 - на уровне верхней грани в продольных стыках верхних плит проезжей части автодорожных и городских мостов.</w:t>
            </w:r>
          </w:p>
          <w:p w:rsidR="00212513" w:rsidRDefault="00212513">
            <w:pPr>
              <w:pStyle w:val="ConsPlusNormal"/>
              <w:ind w:firstLine="283"/>
              <w:jc w:val="both"/>
            </w:pPr>
            <w:r>
              <w:t xml:space="preserve">При расположении мостов и труб вблизи плотин гидростанций и водохранилищ в зоне попеременного замораживания и оттаивания (в режиме по </w:t>
            </w:r>
            <w:hyperlink r:id="rId1186">
              <w:r>
                <w:rPr>
                  <w:color w:val="0000FF"/>
                </w:rPr>
                <w:t>ГОСТ 10060</w:t>
              </w:r>
            </w:hyperlink>
            <w:r>
              <w:t>) ширина раскрытия трещин в зависимости от числа циклов попеременного замораживания в год должна составлять, см, не более:</w:t>
            </w:r>
          </w:p>
          <w:p w:rsidR="00212513" w:rsidRDefault="00212513">
            <w:pPr>
              <w:pStyle w:val="ConsPlusNormal"/>
              <w:ind w:firstLine="283"/>
              <w:jc w:val="both"/>
            </w:pPr>
            <w:r>
              <w:t>0,015 - при числе циклов менее 50;</w:t>
            </w:r>
          </w:p>
          <w:p w:rsidR="00212513" w:rsidRDefault="00212513">
            <w:pPr>
              <w:pStyle w:val="ConsPlusNormal"/>
              <w:ind w:firstLine="283"/>
              <w:jc w:val="both"/>
            </w:pPr>
            <w:r>
              <w:t>0,010 - при числе циклов 50 и более.</w:t>
            </w:r>
          </w:p>
        </w:tc>
      </w:tr>
    </w:tbl>
    <w:p w:rsidR="00212513" w:rsidRDefault="00212513">
      <w:pPr>
        <w:pStyle w:val="ConsPlusNormal"/>
        <w:ind w:firstLine="540"/>
        <w:jc w:val="both"/>
      </w:pPr>
    </w:p>
    <w:p w:rsidR="00212513" w:rsidRDefault="00212513">
      <w:pPr>
        <w:pStyle w:val="ConsPlusNormal"/>
        <w:ind w:firstLine="540"/>
        <w:jc w:val="both"/>
      </w:pPr>
      <w:r>
        <w:t>Если конструкция или ее часть не может быть запроектирована в соответствии с требованиями категории трещиностойкости, к которой отнесена, она может быть запроектирована с учетом требований, предъявляемых к более высокой категории трещиностойкости.</w:t>
      </w:r>
    </w:p>
    <w:p w:rsidR="00212513" w:rsidRDefault="00212513">
      <w:pPr>
        <w:pStyle w:val="ConsPlusNormal"/>
        <w:spacing w:before="220"/>
        <w:ind w:firstLine="540"/>
        <w:jc w:val="both"/>
      </w:pPr>
      <w:r>
        <w:t>Требования по категории трещиностойкости должны назначаться одинаковыми как на стадии эксплуатации, так и на стадии изготовления, транспортирования и монтажа. При этом, если напряженное состояние конструкции сохраняется не более 28 сут, то оно может рассматриваться как кратковременное. Для такого состояния должны быть удовлетворены те же требования, что и при действии временных нагрузок.</w:t>
      </w:r>
    </w:p>
    <w:p w:rsidR="00212513" w:rsidRDefault="00212513">
      <w:pPr>
        <w:pStyle w:val="ConsPlusNormal"/>
        <w:spacing w:before="220"/>
        <w:ind w:firstLine="540"/>
        <w:jc w:val="both"/>
      </w:pPr>
      <w:r>
        <w:lastRenderedPageBreak/>
        <w:t xml:space="preserve">Расчеты по определению напряжений в бетоне, образованию трещин и определению ширины их раскрытия должны производиться с учетом потерь предварительного напряжения в арматуре согласно </w:t>
      </w:r>
      <w:hyperlink w:anchor="P14438">
        <w:r>
          <w:rPr>
            <w:color w:val="0000FF"/>
          </w:rPr>
          <w:t>приложению Р</w:t>
        </w:r>
      </w:hyperlink>
      <w:r>
        <w:t>.</w:t>
      </w:r>
    </w:p>
    <w:p w:rsidR="00212513" w:rsidRDefault="00212513">
      <w:pPr>
        <w:pStyle w:val="ConsPlusNormal"/>
        <w:spacing w:before="220"/>
        <w:ind w:firstLine="540"/>
        <w:jc w:val="both"/>
      </w:pPr>
      <w:r>
        <w:t xml:space="preserve">Наряду с требованиями, указанными в </w:t>
      </w:r>
      <w:hyperlink w:anchor="P5065">
        <w:r>
          <w:rPr>
            <w:color w:val="0000FF"/>
          </w:rPr>
          <w:t>таблице 7.24</w:t>
        </w:r>
      </w:hyperlink>
      <w:r>
        <w:t xml:space="preserve">, должны выполняться требования по минимальному армированию сечений железобетонных конструкций, которое характеризуется коэффициентом армирования </w:t>
      </w:r>
      <w:r>
        <w:rPr>
          <w:noProof/>
          <w:position w:val="-3"/>
        </w:rPr>
        <w:drawing>
          <wp:inline distT="0" distB="0" distL="0" distR="0">
            <wp:extent cx="167640" cy="177800"/>
            <wp:effectExtent l="0" t="0" r="0" b="0"/>
            <wp:docPr id="8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Для конструкций, арматура которых имеет сцепление с бетоном, в том числе за счет омоноличивания (инъецирования) каналов напрягаемой арматуры, значение </w:t>
      </w:r>
      <w:r>
        <w:rPr>
          <w:noProof/>
          <w:position w:val="-6"/>
        </w:rPr>
        <w:drawing>
          <wp:inline distT="0" distB="0" distL="0" distR="0">
            <wp:extent cx="733425" cy="220980"/>
            <wp:effectExtent l="0" t="0" r="0" b="0"/>
            <wp:docPr id="8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733425" cy="220980"/>
                    </a:xfrm>
                    <a:prstGeom prst="rect">
                      <a:avLst/>
                    </a:prstGeom>
                    <a:noFill/>
                    <a:ln>
                      <a:noFill/>
                    </a:ln>
                  </pic:spPr>
                </pic:pic>
              </a:graphicData>
            </a:graphic>
          </wp:inline>
        </w:drawing>
      </w:r>
      <w:r>
        <w:t>.</w:t>
      </w:r>
    </w:p>
    <w:p w:rsidR="00212513" w:rsidRDefault="00212513">
      <w:pPr>
        <w:pStyle w:val="ConsPlusNormal"/>
        <w:spacing w:before="220"/>
        <w:ind w:firstLine="540"/>
        <w:jc w:val="both"/>
      </w:pPr>
      <w:r>
        <w:t>Арматуру, устанавливаемую для обеспечения требований по минимальному армированию, следует рассматривать как рабочую, для которой необходимо обеспечивать все конструктивные требования по расположению, стыковке и защите. Эту арматуру следует учитывать при выполнении всех проверок несущей способности. Она должна иметь гарантированное сцепление с бетоном и быть установлена в растянутой от внешних нагрузок зоне по ее внешнему контуру, а также вдоль плоскостей хомутов, заходящих в растянутую зону. Площадь арматуры вычисляют как произведение требуемого коэффициента минимального армирования на площадь растянутой зоны. Для изгибаемых конструкций пролетных строений границей растянутой зоны следует считать большее из двух значений: половины высоты сечения и расстояния от растянутой арматуры до центра тяжести бетонного сечения.</w:t>
      </w:r>
    </w:p>
    <w:p w:rsidR="00212513" w:rsidRDefault="00212513">
      <w:pPr>
        <w:pStyle w:val="ConsPlusNormal"/>
        <w:spacing w:before="220"/>
        <w:ind w:firstLine="540"/>
        <w:jc w:val="both"/>
      </w:pPr>
      <w:r>
        <w:t xml:space="preserve">При проверке достаточности растянутой арматуры, устанавливаемой по требованию обеспечения минимального процента армирования, сравнивают площадь всей арматуры, находящейся в растянутой зоне, приведенной по прочности к арматуре класса А400 с учетом коэффициентов, характеризующих сцепление арматуры с бетоном согласно </w:t>
      </w:r>
      <w:hyperlink w:anchor="P5301">
        <w:r>
          <w:rPr>
            <w:color w:val="0000FF"/>
          </w:rPr>
          <w:t>таблице 7.26</w:t>
        </w:r>
      </w:hyperlink>
      <w:r>
        <w:t>. При этом, если расчетное сопротивление растяжению арматуры превышает 400 МПа, то принимают значение 400 МПа. Напрягаемую арматуру, расположенную в закрытых или открытых каналах, в случае если она заинъецирована (омоноличена), совместно с ненапрягаемой арматурой учитывать в составе растянутой арматуры, нормируемой минимальным процентом армирования, не рекомендуется.</w:t>
      </w:r>
    </w:p>
    <w:p w:rsidR="00212513" w:rsidRDefault="00212513">
      <w:pPr>
        <w:pStyle w:val="ConsPlusNormal"/>
        <w:spacing w:before="220"/>
        <w:ind w:firstLine="540"/>
        <w:jc w:val="both"/>
      </w:pPr>
      <w:r>
        <w:t>В стыках монолитных и сборно-монолитных конструкций минимальный процент армирования должен быть обеспечен по всей площади стыка.</w:t>
      </w:r>
    </w:p>
    <w:p w:rsidR="00212513" w:rsidRDefault="00212513">
      <w:pPr>
        <w:pStyle w:val="ConsPlusNormal"/>
        <w:spacing w:before="220"/>
        <w:ind w:firstLine="540"/>
        <w:jc w:val="both"/>
      </w:pPr>
      <w:r>
        <w:t>Минимальный процент армирования следует обеспечивать при назначении минимальной площади хомутов для тех случаев, когда их установка обязательна. При ширине ребра, превосходящей высоту сечения, плоскости хомутов следует располагать с шагом, не превышающим значения высоты сечения. В плитных и балочных (ребристых) пролетных строениях, если ширина ребра больше его высоты, поперечную горизонтальную арматуру также назначают исходя из обеспечения минимального процента армирования.</w:t>
      </w:r>
    </w:p>
    <w:p w:rsidR="00212513" w:rsidRDefault="00212513">
      <w:pPr>
        <w:pStyle w:val="ConsPlusNormal"/>
        <w:spacing w:before="220"/>
        <w:ind w:firstLine="540"/>
        <w:jc w:val="both"/>
      </w:pPr>
      <w:r>
        <w:t xml:space="preserve">Железобетонные конструкции мостов и труб в зависимости от их вида и назначения, применяемой арматуры и условий работы должны удовлетворять категориям требований по трещиностойкости, приведенным в </w:t>
      </w:r>
      <w:hyperlink w:anchor="P5065">
        <w:r>
          <w:rPr>
            <w:color w:val="0000FF"/>
          </w:rPr>
          <w:t>таблице 7.24</w:t>
        </w:r>
      </w:hyperlink>
      <w:r>
        <w:t xml:space="preserve">. Трещиностойкость характеризуется значениями растягивающих и сжимающих напряжений в бетоне и расчетной шириной раскрытия трещин. Требования </w:t>
      </w:r>
      <w:hyperlink w:anchor="P5065">
        <w:r>
          <w:rPr>
            <w:color w:val="0000FF"/>
          </w:rPr>
          <w:t>таблицы 7.24</w:t>
        </w:r>
      </w:hyperlink>
      <w:r>
        <w:t xml:space="preserve"> соответствуют нормальным условиям эксплуатации в среде, не агрессивной к арматуре и бетону конструкции. При выявлении среды, агрессивной по отношению к арматуре либо бетону, могут предъявляться иные более жесткие требования, либо применяться другие меры по обеспечению эксплуатационной надежности.</w:t>
      </w:r>
    </w:p>
    <w:p w:rsidR="00212513" w:rsidRDefault="00212513">
      <w:pPr>
        <w:pStyle w:val="ConsPlusNormal"/>
        <w:jc w:val="both"/>
      </w:pPr>
      <w:r>
        <w:t xml:space="preserve">(абзац введен </w:t>
      </w:r>
      <w:hyperlink r:id="rId1189">
        <w:r>
          <w:rPr>
            <w:color w:val="0000FF"/>
          </w:rPr>
          <w:t>Изменением N 3</w:t>
        </w:r>
      </w:hyperlink>
      <w:r>
        <w:t>, утв. Приказом Минстроя России от 29.12.2020 N 891/пр)</w:t>
      </w:r>
    </w:p>
    <w:p w:rsidR="00212513" w:rsidRDefault="00212513">
      <w:pPr>
        <w:pStyle w:val="ConsPlusNormal"/>
        <w:spacing w:before="220"/>
        <w:ind w:firstLine="540"/>
        <w:jc w:val="both"/>
      </w:pPr>
      <w:bookmarkStart w:id="219" w:name="P5166"/>
      <w:bookmarkEnd w:id="219"/>
      <w:r>
        <w:t xml:space="preserve">7.96 В автодорожных и городских мостах при применении смешанного армирования предельные растягивающие напряжения в бетоне допускается повышать до </w:t>
      </w:r>
      <w:r>
        <w:rPr>
          <w:noProof/>
          <w:position w:val="-9"/>
        </w:rPr>
        <w:drawing>
          <wp:inline distT="0" distB="0" distL="0" distR="0">
            <wp:extent cx="470535" cy="262890"/>
            <wp:effectExtent l="0" t="0" r="0" b="0"/>
            <wp:docPr id="8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470535" cy="262890"/>
                    </a:xfrm>
                    <a:prstGeom prst="rect">
                      <a:avLst/>
                    </a:prstGeom>
                    <a:noFill/>
                    <a:ln>
                      <a:noFill/>
                    </a:ln>
                  </pic:spPr>
                </pic:pic>
              </a:graphicData>
            </a:graphic>
          </wp:inline>
        </w:drawing>
      </w:r>
      <w:r>
        <w:t xml:space="preserve"> при условии, что все усилие от части эпюры растягивающих напряжений, возникающее на той части площади </w:t>
      </w:r>
      <w:r>
        <w:lastRenderedPageBreak/>
        <w:t xml:space="preserve">сечения, на которой растягивающие напряжения превышают </w:t>
      </w:r>
      <w:r>
        <w:rPr>
          <w:noProof/>
          <w:position w:val="-9"/>
        </w:rPr>
        <w:drawing>
          <wp:inline distT="0" distB="0" distL="0" distR="0">
            <wp:extent cx="586740" cy="262890"/>
            <wp:effectExtent l="0" t="0" r="0" b="0"/>
            <wp:docPr id="8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586740" cy="262890"/>
                    </a:xfrm>
                    <a:prstGeom prst="rect">
                      <a:avLst/>
                    </a:prstGeom>
                    <a:noFill/>
                    <a:ln>
                      <a:noFill/>
                    </a:ln>
                  </pic:spPr>
                </pic:pic>
              </a:graphicData>
            </a:graphic>
          </wp:inline>
        </w:drawing>
      </w:r>
      <w:r>
        <w:t xml:space="preserve">, воспринимается только ненапрягаемой арматурой. Кроме этого, при расчете ширины поперечных трещин следует руководствоваться указаниями </w:t>
      </w:r>
      <w:hyperlink w:anchor="P5271">
        <w:r>
          <w:rPr>
            <w:color w:val="0000FF"/>
          </w:rPr>
          <w:t>7.108</w:t>
        </w:r>
      </w:hyperlink>
      <w:r>
        <w:t xml:space="preserve"> и </w:t>
      </w:r>
      <w:hyperlink w:anchor="P5288">
        <w:r>
          <w:rPr>
            <w:color w:val="0000FF"/>
          </w:rPr>
          <w:t>7.109</w:t>
        </w:r>
      </w:hyperlink>
      <w:r>
        <w:t>.</w:t>
      </w:r>
    </w:p>
    <w:p w:rsidR="00212513" w:rsidRDefault="00212513">
      <w:pPr>
        <w:pStyle w:val="ConsPlusNormal"/>
        <w:spacing w:before="220"/>
        <w:ind w:firstLine="540"/>
        <w:jc w:val="both"/>
      </w:pPr>
      <w:bookmarkStart w:id="220" w:name="P5167"/>
      <w:bookmarkEnd w:id="220"/>
      <w:r>
        <w:t>7.97 В обжатом бетоне конструкций, проектируемых по категории требований по трещиностойкости 2а, при проверке возможности прохода по монтируемой части моста монтажного крана с грузом допускается принимать:</w:t>
      </w:r>
    </w:p>
    <w:p w:rsidR="00212513" w:rsidRDefault="00212513">
      <w:pPr>
        <w:pStyle w:val="ConsPlusNormal"/>
        <w:spacing w:before="220"/>
        <w:ind w:firstLine="540"/>
        <w:jc w:val="both"/>
      </w:pPr>
      <w:r>
        <w:t xml:space="preserve">предельные значения нормальных растягивающих напряжений в бетоне - </w:t>
      </w:r>
      <w:r>
        <w:rPr>
          <w:noProof/>
          <w:position w:val="-9"/>
        </w:rPr>
        <w:drawing>
          <wp:inline distT="0" distB="0" distL="0" distR="0">
            <wp:extent cx="662940" cy="262890"/>
            <wp:effectExtent l="0" t="0" r="0" b="0"/>
            <wp:docPr id="8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662940" cy="262890"/>
                    </a:xfrm>
                    <a:prstGeom prst="rect">
                      <a:avLst/>
                    </a:prstGeom>
                    <a:noFill/>
                    <a:ln>
                      <a:noFill/>
                    </a:ln>
                  </pic:spPr>
                </pic:pic>
              </a:graphicData>
            </a:graphic>
          </wp:inline>
        </w:drawing>
      </w:r>
      <w:r>
        <w:t>;</w:t>
      </w:r>
    </w:p>
    <w:p w:rsidR="00212513" w:rsidRDefault="00212513">
      <w:pPr>
        <w:pStyle w:val="ConsPlusNormal"/>
        <w:spacing w:before="220"/>
        <w:ind w:firstLine="540"/>
        <w:jc w:val="both"/>
      </w:pPr>
      <w:r>
        <w:t>предельные значения расчетной ширины раскрытия трещин - 0,01 см.</w:t>
      </w:r>
    </w:p>
    <w:p w:rsidR="00212513" w:rsidRDefault="00212513">
      <w:pPr>
        <w:pStyle w:val="ConsPlusNormal"/>
        <w:spacing w:before="220"/>
        <w:ind w:firstLine="540"/>
        <w:jc w:val="both"/>
      </w:pPr>
      <w:r>
        <w:t>При расчете следует учитывать снижение предварительных напряжений в напрягаемой арматуре, соответствующее потерям за год.</w:t>
      </w:r>
    </w:p>
    <w:p w:rsidR="00212513" w:rsidRDefault="00212513">
      <w:pPr>
        <w:pStyle w:val="ConsPlusNormal"/>
        <w:spacing w:before="220"/>
        <w:ind w:firstLine="540"/>
        <w:jc w:val="both"/>
      </w:pPr>
      <w:r>
        <w:t xml:space="preserve">7.98 В элементах конструкций, проектируемых по категориям требований по трещиностойкости 2а, 2б и 3б, в зонах бетона, сжатых на стадии эксплуатации под постоянной и временной нагрузками конструкций, не следует допускать при других стадиях работы возникновения растягивающих напряжений, превышающих величину </w:t>
      </w:r>
      <w:r>
        <w:rPr>
          <w:noProof/>
          <w:position w:val="-9"/>
        </w:rPr>
        <w:drawing>
          <wp:inline distT="0" distB="0" distL="0" distR="0">
            <wp:extent cx="608330" cy="262890"/>
            <wp:effectExtent l="0" t="0" r="0" b="0"/>
            <wp:docPr id="8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608330" cy="262890"/>
                    </a:xfrm>
                    <a:prstGeom prst="rect">
                      <a:avLst/>
                    </a:prstGeom>
                    <a:noFill/>
                    <a:ln>
                      <a:noFill/>
                    </a:ln>
                  </pic:spPr>
                </pic:pic>
              </a:graphicData>
            </a:graphic>
          </wp:inline>
        </w:drawing>
      </w:r>
      <w:r>
        <w:t>.</w:t>
      </w:r>
    </w:p>
    <w:p w:rsidR="00212513" w:rsidRDefault="00212513">
      <w:pPr>
        <w:pStyle w:val="ConsPlusNormal"/>
        <w:ind w:firstLine="540"/>
        <w:jc w:val="both"/>
      </w:pPr>
    </w:p>
    <w:p w:rsidR="00212513" w:rsidRDefault="00212513">
      <w:pPr>
        <w:pStyle w:val="ConsPlusTitle"/>
        <w:ind w:firstLine="540"/>
        <w:jc w:val="both"/>
        <w:outlineLvl w:val="3"/>
      </w:pPr>
      <w:r>
        <w:t>Расчет по образованию трещин</w:t>
      </w:r>
    </w:p>
    <w:p w:rsidR="00212513" w:rsidRDefault="00212513">
      <w:pPr>
        <w:pStyle w:val="ConsPlusNormal"/>
        <w:ind w:firstLine="540"/>
        <w:jc w:val="both"/>
      </w:pPr>
    </w:p>
    <w:p w:rsidR="00212513" w:rsidRDefault="00212513">
      <w:pPr>
        <w:pStyle w:val="ConsPlusNormal"/>
        <w:ind w:firstLine="540"/>
        <w:jc w:val="both"/>
      </w:pPr>
      <w:r>
        <w:t>7.99 Трещиностойкость железобетонных конструкций мостов и труб обеспечивается ограничениями возникающих в элементах растягивающих и сжимающих напряжений, а в бетонных конструкциях - сжимающих напряжений.</w:t>
      </w:r>
    </w:p>
    <w:p w:rsidR="00212513" w:rsidRDefault="00212513">
      <w:pPr>
        <w:pStyle w:val="ConsPlusNormal"/>
        <w:spacing w:before="220"/>
        <w:ind w:firstLine="540"/>
        <w:jc w:val="both"/>
      </w:pPr>
      <w:r>
        <w:t>Предельные значения указанных напряжений принимаются в зависимости от условий, которые необходимо обеспечить:</w:t>
      </w:r>
    </w:p>
    <w:p w:rsidR="00212513" w:rsidRDefault="00212513">
      <w:pPr>
        <w:pStyle w:val="ConsPlusNormal"/>
        <w:spacing w:before="220"/>
        <w:ind w:firstLine="540"/>
        <w:jc w:val="both"/>
      </w:pPr>
      <w:r>
        <w:t>а) появление (образование) трещин в элементах конструкции недопустимо;</w:t>
      </w:r>
    </w:p>
    <w:p w:rsidR="00212513" w:rsidRDefault="00212513">
      <w:pPr>
        <w:pStyle w:val="ConsPlusNormal"/>
        <w:spacing w:before="220"/>
        <w:ind w:firstLine="540"/>
        <w:jc w:val="both"/>
      </w:pPr>
      <w:r>
        <w:t>б) появление трещин с ограниченным раскрытием их по ширине допустимо (возможно).</w:t>
      </w:r>
    </w:p>
    <w:p w:rsidR="00212513" w:rsidRDefault="00212513">
      <w:pPr>
        <w:pStyle w:val="ConsPlusNormal"/>
        <w:spacing w:before="220"/>
        <w:ind w:firstLine="540"/>
        <w:jc w:val="both"/>
      </w:pPr>
      <w:bookmarkStart w:id="221" w:name="P5179"/>
      <w:bookmarkEnd w:id="221"/>
      <w:r>
        <w:t>7.100 Образование продольных трещин от нормальных сжимающих напряжений во всех конструкциях и на всех стадиях их работы недопустимо.</w:t>
      </w:r>
    </w:p>
    <w:p w:rsidR="00212513" w:rsidRDefault="00212513">
      <w:pPr>
        <w:pStyle w:val="ConsPlusNormal"/>
        <w:spacing w:before="220"/>
        <w:ind w:firstLine="540"/>
        <w:jc w:val="both"/>
      </w:pPr>
      <w:r>
        <w:t xml:space="preserve">Возникающие от действующих нормативных нагрузок и воздействий нормальные сжимающие напряжения </w:t>
      </w:r>
      <w:r>
        <w:rPr>
          <w:noProof/>
          <w:position w:val="-8"/>
        </w:rPr>
        <w:drawing>
          <wp:inline distT="0" distB="0" distL="0" distR="0">
            <wp:extent cx="251460" cy="251460"/>
            <wp:effectExtent l="0" t="0" r="0" b="0"/>
            <wp:docPr id="8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в сечениях элементов не должны превышать:</w:t>
      </w:r>
    </w:p>
    <w:p w:rsidR="00212513" w:rsidRDefault="00212513">
      <w:pPr>
        <w:pStyle w:val="ConsPlusNormal"/>
        <w:spacing w:before="220"/>
        <w:ind w:firstLine="540"/>
        <w:jc w:val="both"/>
      </w:pPr>
      <w:r>
        <w:t xml:space="preserve">в бетонных и железобетонных конструкциях с ненапрягаемой арматурой - расчетных сопротивлений </w:t>
      </w:r>
      <w:r>
        <w:rPr>
          <w:noProof/>
          <w:position w:val="-10"/>
        </w:rPr>
        <w:drawing>
          <wp:inline distT="0" distB="0" distL="0" distR="0">
            <wp:extent cx="396875" cy="273685"/>
            <wp:effectExtent l="0" t="0" r="0" b="0"/>
            <wp:docPr id="8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396875" cy="273685"/>
                    </a:xfrm>
                    <a:prstGeom prst="rect">
                      <a:avLst/>
                    </a:prstGeom>
                    <a:noFill/>
                    <a:ln>
                      <a:noFill/>
                    </a:ln>
                  </pic:spPr>
                </pic:pic>
              </a:graphicData>
            </a:graphic>
          </wp:inline>
        </w:drawing>
      </w:r>
      <w:r>
        <w:t xml:space="preserve"> с учетом </w:t>
      </w:r>
      <w:hyperlink w:anchor="P3883">
        <w:r>
          <w:rPr>
            <w:color w:val="0000FF"/>
          </w:rPr>
          <w:t>7.48</w:t>
        </w:r>
      </w:hyperlink>
      <w:r>
        <w:t xml:space="preserve"> и </w:t>
      </w:r>
      <w:hyperlink w:anchor="P5167">
        <w:r>
          <w:rPr>
            <w:color w:val="0000FF"/>
          </w:rPr>
          <w:t>7.97</w:t>
        </w:r>
      </w:hyperlink>
      <w:r>
        <w:t>;</w:t>
      </w:r>
    </w:p>
    <w:p w:rsidR="00212513" w:rsidRDefault="00212513">
      <w:pPr>
        <w:pStyle w:val="ConsPlusNormal"/>
        <w:spacing w:before="220"/>
        <w:ind w:firstLine="540"/>
        <w:jc w:val="both"/>
      </w:pPr>
      <w:r>
        <w:t xml:space="preserve">в обжимаемой зоне бетона предварительно напряженных конструкций - расчетных сопротивлений </w:t>
      </w:r>
      <w:r>
        <w:rPr>
          <w:noProof/>
          <w:position w:val="-9"/>
        </w:rPr>
        <w:drawing>
          <wp:inline distT="0" distB="0" distL="0" distR="0">
            <wp:extent cx="398780" cy="262890"/>
            <wp:effectExtent l="0" t="0" r="0" b="0"/>
            <wp:docPr id="8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398780" cy="262890"/>
                    </a:xfrm>
                    <a:prstGeom prst="rect">
                      <a:avLst/>
                    </a:prstGeom>
                    <a:noFill/>
                    <a:ln>
                      <a:noFill/>
                    </a:ln>
                  </pic:spPr>
                </pic:pic>
              </a:graphicData>
            </a:graphic>
          </wp:inline>
        </w:drawing>
      </w:r>
      <w:r>
        <w:t xml:space="preserve"> (на стадии изготовления и монтажа) и </w:t>
      </w:r>
      <w:r>
        <w:rPr>
          <w:noProof/>
          <w:position w:val="-10"/>
        </w:rPr>
        <w:drawing>
          <wp:inline distT="0" distB="0" distL="0" distR="0">
            <wp:extent cx="396875" cy="273685"/>
            <wp:effectExtent l="0" t="0" r="0" b="0"/>
            <wp:docPr id="8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396875" cy="273685"/>
                    </a:xfrm>
                    <a:prstGeom prst="rect">
                      <a:avLst/>
                    </a:prstGeom>
                    <a:noFill/>
                    <a:ln>
                      <a:noFill/>
                    </a:ln>
                  </pic:spPr>
                </pic:pic>
              </a:graphicData>
            </a:graphic>
          </wp:inline>
        </w:drawing>
      </w:r>
      <w:r>
        <w:t xml:space="preserve"> (на стадии постоянной эксплуатации).</w:t>
      </w:r>
    </w:p>
    <w:p w:rsidR="00212513" w:rsidRDefault="00212513">
      <w:pPr>
        <w:pStyle w:val="ConsPlusNormal"/>
        <w:spacing w:before="220"/>
        <w:ind w:firstLine="540"/>
        <w:jc w:val="both"/>
      </w:pPr>
      <w:r>
        <w:t xml:space="preserve">Возникающие в бетоне стенок предварительно напряженных балок главные сжимающие напряжения не должны во всех случаях превышать расчетное сопротивление бетона </w:t>
      </w:r>
      <w:r>
        <w:rPr>
          <w:noProof/>
          <w:position w:val="-10"/>
        </w:rPr>
        <w:drawing>
          <wp:inline distT="0" distB="0" distL="0" distR="0">
            <wp:extent cx="396875" cy="273685"/>
            <wp:effectExtent l="0" t="0" r="0" b="0"/>
            <wp:docPr id="8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396875" cy="273685"/>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7.101 Образование трещин, нормальных к продольной оси элемента (перпендикулярных направлению действия нормальных растягивающих напряжений), не допускается в конструкциях мостов, проектируемых по категории требований по трещиностойкости 2а, за исключением случая </w:t>
      </w:r>
      <w:r>
        <w:lastRenderedPageBreak/>
        <w:t>проверки на пропуск по мосту монтажного крана. При этом не исключается вероятность образования случайных поперечных трещин.</w:t>
      </w:r>
    </w:p>
    <w:p w:rsidR="00212513" w:rsidRDefault="00212513">
      <w:pPr>
        <w:pStyle w:val="ConsPlusNormal"/>
        <w:spacing w:before="220"/>
        <w:ind w:firstLine="540"/>
        <w:jc w:val="both"/>
      </w:pPr>
      <w:r>
        <w:t xml:space="preserve">Для выполнения этих условий нормальные растягивающие напряжения в обжимаемом бетоне не должны превышать значений, указанных в </w:t>
      </w:r>
      <w:hyperlink w:anchor="P5167">
        <w:r>
          <w:rPr>
            <w:color w:val="0000FF"/>
          </w:rPr>
          <w:t>7.97</w:t>
        </w:r>
      </w:hyperlink>
      <w:r>
        <w:t xml:space="preserve"> и </w:t>
      </w:r>
      <w:hyperlink w:anchor="P5065">
        <w:r>
          <w:rPr>
            <w:color w:val="0000FF"/>
          </w:rPr>
          <w:t>таблице 7.24</w:t>
        </w:r>
      </w:hyperlink>
      <w:r>
        <w:t>.</w:t>
      </w:r>
    </w:p>
    <w:p w:rsidR="00212513" w:rsidRDefault="00212513">
      <w:pPr>
        <w:pStyle w:val="ConsPlusNormal"/>
        <w:spacing w:before="220"/>
        <w:ind w:firstLine="540"/>
        <w:jc w:val="both"/>
      </w:pPr>
      <w:r>
        <w:t xml:space="preserve">7.102 В конструкциях, проектируемых по категориям требований по трещиностойкости 2б, 3а, 3б и 3в, допускается образование поперечных трещин. При этом возможность образования поперечных трещин в конструкциях, проектируемых по категориям требований по трещиностойкости 2б и 3а, ограничивается двумя показателями, указанными в </w:t>
      </w:r>
      <w:hyperlink w:anchor="P5065">
        <w:r>
          <w:rPr>
            <w:color w:val="0000FF"/>
          </w:rPr>
          <w:t>таблице 7.24</w:t>
        </w:r>
      </w:hyperlink>
      <w:r>
        <w:t>, - предельно допустимыми растягивающими напряжениями и расчетной шириной возможного раскрытия поперечных трещин.</w:t>
      </w:r>
    </w:p>
    <w:p w:rsidR="00212513" w:rsidRDefault="00212513">
      <w:pPr>
        <w:pStyle w:val="ConsPlusNormal"/>
        <w:spacing w:before="220"/>
        <w:ind w:firstLine="540"/>
        <w:jc w:val="both"/>
      </w:pPr>
      <w:r>
        <w:t xml:space="preserve">Кроме этого, в предварительно напряженных конструкциях, проектируемых по категории требований по трещиностойкости 2б, следует обеспечивать "зажатие" поперечных трещин: предельные значения минимальных сжимающих напряжений в обжимаемом бетоне при отсутствии на мосту временной нагрузки должны быть не менее значений, приведенных в </w:t>
      </w:r>
      <w:hyperlink w:anchor="P5065">
        <w:r>
          <w:rPr>
            <w:color w:val="0000FF"/>
          </w:rPr>
          <w:t>таблице 7.24</w:t>
        </w:r>
      </w:hyperlink>
      <w:r>
        <w:t>.</w:t>
      </w:r>
    </w:p>
    <w:p w:rsidR="00212513" w:rsidRDefault="00212513">
      <w:pPr>
        <w:pStyle w:val="ConsPlusNormal"/>
        <w:spacing w:before="220"/>
        <w:ind w:firstLine="540"/>
        <w:jc w:val="both"/>
      </w:pPr>
      <w:bookmarkStart w:id="222" w:name="P5188"/>
      <w:bookmarkEnd w:id="222"/>
      <w:r>
        <w:t xml:space="preserve">7.103 Главные растягивающие напряжения в бетоне стенок предварительно напряженных балок должны ограничиваться с учетом отношения главных сжимающих напряжений </w:t>
      </w:r>
      <w:r>
        <w:rPr>
          <w:noProof/>
          <w:position w:val="-8"/>
        </w:rPr>
        <w:drawing>
          <wp:inline distT="0" distB="0" distL="0" distR="0">
            <wp:extent cx="281940" cy="251460"/>
            <wp:effectExtent l="0" t="0" r="0" b="0"/>
            <wp:docPr id="8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xml:space="preserve"> к расчетному сопротивлению бетона сжатию </w:t>
      </w:r>
      <w:r>
        <w:rPr>
          <w:noProof/>
          <w:position w:val="-10"/>
        </w:rPr>
        <w:drawing>
          <wp:inline distT="0" distB="0" distL="0" distR="0">
            <wp:extent cx="396875" cy="273685"/>
            <wp:effectExtent l="0" t="0" r="0" b="0"/>
            <wp:docPr id="8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396875" cy="273685"/>
                    </a:xfrm>
                    <a:prstGeom prst="rect">
                      <a:avLst/>
                    </a:prstGeom>
                    <a:noFill/>
                    <a:ln>
                      <a:noFill/>
                    </a:ln>
                  </pic:spPr>
                </pic:pic>
              </a:graphicData>
            </a:graphic>
          </wp:inline>
        </w:drawing>
      </w:r>
      <w:r>
        <w:t xml:space="preserve"> при рассмотрении сечения как сплошного.</w:t>
      </w:r>
    </w:p>
    <w:p w:rsidR="00212513" w:rsidRDefault="00212513">
      <w:pPr>
        <w:pStyle w:val="ConsPlusNormal"/>
        <w:spacing w:before="220"/>
        <w:ind w:firstLine="540"/>
        <w:jc w:val="both"/>
      </w:pPr>
      <w:r>
        <w:t>Предельные значения главных растягивающих напряжений в стенках с напрягаемой арматурой в зависимости от отношения указанных величин должны приниматься не более приведенных в таблице 7.25.</w:t>
      </w:r>
    </w:p>
    <w:p w:rsidR="00212513" w:rsidRDefault="00212513">
      <w:pPr>
        <w:pStyle w:val="ConsPlusNormal"/>
        <w:jc w:val="both"/>
      </w:pPr>
      <w:r>
        <w:t xml:space="preserve">(в ред. </w:t>
      </w:r>
      <w:hyperlink r:id="rId1198">
        <w:r>
          <w:rPr>
            <w:color w:val="0000FF"/>
          </w:rPr>
          <w:t>Изменения N 3</w:t>
        </w:r>
      </w:hyperlink>
      <w:r>
        <w:t>, утв. Приказом Минстроя России от 29.12.2020 N 891/пр)</w:t>
      </w:r>
    </w:p>
    <w:p w:rsidR="00212513" w:rsidRDefault="00212513">
      <w:pPr>
        <w:pStyle w:val="ConsPlusNormal"/>
        <w:ind w:firstLine="540"/>
        <w:jc w:val="both"/>
      </w:pPr>
    </w:p>
    <w:p w:rsidR="00212513" w:rsidRDefault="00212513">
      <w:pPr>
        <w:pStyle w:val="ConsPlusNormal"/>
        <w:jc w:val="right"/>
      </w:pPr>
      <w:bookmarkStart w:id="223" w:name="P5192"/>
      <w:bookmarkEnd w:id="223"/>
      <w:r>
        <w:t>Таблица 7.25</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3656"/>
        <w:gridCol w:w="3656"/>
      </w:tblGrid>
      <w:tr w:rsidR="00212513">
        <w:tc>
          <w:tcPr>
            <w:tcW w:w="1701" w:type="dxa"/>
            <w:vMerge w:val="restart"/>
            <w:vAlign w:val="center"/>
          </w:tcPr>
          <w:p w:rsidR="00212513" w:rsidRDefault="00212513">
            <w:pPr>
              <w:pStyle w:val="ConsPlusNormal"/>
              <w:jc w:val="center"/>
            </w:pPr>
            <w:r>
              <w:rPr>
                <w:noProof/>
                <w:position w:val="-9"/>
              </w:rPr>
              <w:drawing>
                <wp:inline distT="0" distB="0" distL="0" distR="0">
                  <wp:extent cx="597535" cy="262255"/>
                  <wp:effectExtent l="0" t="0" r="0" b="0"/>
                  <wp:docPr id="8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597535" cy="262255"/>
                          </a:xfrm>
                          <a:prstGeom prst="rect">
                            <a:avLst/>
                          </a:prstGeom>
                          <a:noFill/>
                          <a:ln>
                            <a:noFill/>
                          </a:ln>
                        </pic:spPr>
                      </pic:pic>
                    </a:graphicData>
                  </a:graphic>
                </wp:inline>
              </w:drawing>
            </w:r>
          </w:p>
        </w:tc>
        <w:tc>
          <w:tcPr>
            <w:tcW w:w="7312" w:type="dxa"/>
            <w:gridSpan w:val="2"/>
            <w:vAlign w:val="center"/>
          </w:tcPr>
          <w:p w:rsidR="00212513" w:rsidRDefault="00212513">
            <w:pPr>
              <w:pStyle w:val="ConsPlusNormal"/>
              <w:jc w:val="center"/>
            </w:pPr>
            <w:r>
              <w:t xml:space="preserve">Предельные значения главных растягивающих напряжений </w:t>
            </w:r>
            <w:r>
              <w:rPr>
                <w:noProof/>
                <w:position w:val="-8"/>
              </w:rPr>
              <w:drawing>
                <wp:inline distT="0" distB="0" distL="0" distR="0">
                  <wp:extent cx="576580" cy="251460"/>
                  <wp:effectExtent l="0" t="0" r="0" b="0"/>
                  <wp:docPr id="8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576580" cy="251460"/>
                          </a:xfrm>
                          <a:prstGeom prst="rect">
                            <a:avLst/>
                          </a:prstGeom>
                          <a:noFill/>
                          <a:ln>
                            <a:noFill/>
                          </a:ln>
                        </pic:spPr>
                      </pic:pic>
                    </a:graphicData>
                  </a:graphic>
                </wp:inline>
              </w:drawing>
            </w:r>
            <w:r>
              <w:t>, принимаемых в мостах</w:t>
            </w:r>
          </w:p>
        </w:tc>
      </w:tr>
      <w:tr w:rsidR="00212513">
        <w:tc>
          <w:tcPr>
            <w:tcW w:w="1701" w:type="dxa"/>
            <w:vMerge/>
          </w:tcPr>
          <w:p w:rsidR="00212513" w:rsidRDefault="00212513">
            <w:pPr>
              <w:pStyle w:val="ConsPlusNormal"/>
            </w:pPr>
          </w:p>
        </w:tc>
        <w:tc>
          <w:tcPr>
            <w:tcW w:w="3656" w:type="dxa"/>
            <w:vAlign w:val="center"/>
          </w:tcPr>
          <w:p w:rsidR="00212513" w:rsidRDefault="00212513">
            <w:pPr>
              <w:pStyle w:val="ConsPlusNormal"/>
              <w:jc w:val="center"/>
            </w:pPr>
            <w:r>
              <w:t>железнодорожных</w:t>
            </w:r>
          </w:p>
        </w:tc>
        <w:tc>
          <w:tcPr>
            <w:tcW w:w="3656" w:type="dxa"/>
            <w:vAlign w:val="center"/>
          </w:tcPr>
          <w:p w:rsidR="00212513" w:rsidRDefault="00212513">
            <w:pPr>
              <w:pStyle w:val="ConsPlusNormal"/>
              <w:jc w:val="center"/>
            </w:pPr>
            <w:r>
              <w:t>автодорожных и городских</w:t>
            </w:r>
          </w:p>
        </w:tc>
      </w:tr>
      <w:tr w:rsidR="00212513">
        <w:tc>
          <w:tcPr>
            <w:tcW w:w="1701" w:type="dxa"/>
          </w:tcPr>
          <w:p w:rsidR="00212513" w:rsidRDefault="00212513">
            <w:pPr>
              <w:pStyle w:val="ConsPlusNormal"/>
              <w:jc w:val="center"/>
            </w:pPr>
            <w:r>
              <w:t>&lt;= 0,52</w:t>
            </w:r>
          </w:p>
        </w:tc>
        <w:tc>
          <w:tcPr>
            <w:tcW w:w="3656" w:type="dxa"/>
          </w:tcPr>
          <w:p w:rsidR="00212513" w:rsidRDefault="00212513">
            <w:pPr>
              <w:pStyle w:val="ConsPlusNormal"/>
              <w:jc w:val="center"/>
            </w:pPr>
            <w:r>
              <w:rPr>
                <w:noProof/>
                <w:position w:val="-9"/>
              </w:rPr>
              <w:drawing>
                <wp:inline distT="0" distB="0" distL="0" distR="0">
                  <wp:extent cx="702310" cy="262255"/>
                  <wp:effectExtent l="0" t="0" r="0" b="0"/>
                  <wp:docPr id="8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702310" cy="262255"/>
                          </a:xfrm>
                          <a:prstGeom prst="rect">
                            <a:avLst/>
                          </a:prstGeom>
                          <a:noFill/>
                          <a:ln>
                            <a:noFill/>
                          </a:ln>
                        </pic:spPr>
                      </pic:pic>
                    </a:graphicData>
                  </a:graphic>
                </wp:inline>
              </w:drawing>
            </w:r>
            <w:r>
              <w:t>,</w:t>
            </w:r>
          </w:p>
          <w:p w:rsidR="00212513" w:rsidRDefault="00212513">
            <w:pPr>
              <w:pStyle w:val="ConsPlusNormal"/>
              <w:jc w:val="center"/>
            </w:pPr>
            <w:r>
              <w:t>но не более 1,75 МПа</w:t>
            </w:r>
          </w:p>
        </w:tc>
        <w:tc>
          <w:tcPr>
            <w:tcW w:w="3656" w:type="dxa"/>
          </w:tcPr>
          <w:p w:rsidR="00212513" w:rsidRDefault="00212513">
            <w:pPr>
              <w:pStyle w:val="ConsPlusNormal"/>
              <w:jc w:val="center"/>
            </w:pPr>
            <w:r>
              <w:rPr>
                <w:noProof/>
                <w:position w:val="-9"/>
              </w:rPr>
              <w:drawing>
                <wp:inline distT="0" distB="0" distL="0" distR="0">
                  <wp:extent cx="702310" cy="262255"/>
                  <wp:effectExtent l="0" t="0" r="0" b="0"/>
                  <wp:docPr id="8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702310" cy="262255"/>
                          </a:xfrm>
                          <a:prstGeom prst="rect">
                            <a:avLst/>
                          </a:prstGeom>
                          <a:noFill/>
                          <a:ln>
                            <a:noFill/>
                          </a:ln>
                        </pic:spPr>
                      </pic:pic>
                    </a:graphicData>
                  </a:graphic>
                </wp:inline>
              </w:drawing>
            </w:r>
            <w:r>
              <w:t>,</w:t>
            </w:r>
          </w:p>
          <w:p w:rsidR="00212513" w:rsidRDefault="00212513">
            <w:pPr>
              <w:pStyle w:val="ConsPlusNormal"/>
              <w:jc w:val="center"/>
            </w:pPr>
            <w:r>
              <w:t>но не более 2,15 МПа</w:t>
            </w:r>
          </w:p>
        </w:tc>
      </w:tr>
      <w:tr w:rsidR="00212513">
        <w:tc>
          <w:tcPr>
            <w:tcW w:w="1701" w:type="dxa"/>
          </w:tcPr>
          <w:p w:rsidR="00212513" w:rsidRDefault="00212513">
            <w:pPr>
              <w:pStyle w:val="ConsPlusNormal"/>
              <w:jc w:val="center"/>
            </w:pPr>
            <w:r>
              <w:t>&gt;= 0,80</w:t>
            </w:r>
          </w:p>
        </w:tc>
        <w:tc>
          <w:tcPr>
            <w:tcW w:w="3656" w:type="dxa"/>
          </w:tcPr>
          <w:p w:rsidR="00212513" w:rsidRDefault="00212513">
            <w:pPr>
              <w:pStyle w:val="ConsPlusNormal"/>
              <w:jc w:val="center"/>
            </w:pPr>
            <w:r>
              <w:rPr>
                <w:noProof/>
                <w:position w:val="-9"/>
              </w:rPr>
              <w:drawing>
                <wp:inline distT="0" distB="0" distL="0" distR="0">
                  <wp:extent cx="712470" cy="262255"/>
                  <wp:effectExtent l="0" t="0" r="0" b="0"/>
                  <wp:docPr id="8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712470" cy="262255"/>
                          </a:xfrm>
                          <a:prstGeom prst="rect">
                            <a:avLst/>
                          </a:prstGeom>
                          <a:noFill/>
                          <a:ln>
                            <a:noFill/>
                          </a:ln>
                        </pic:spPr>
                      </pic:pic>
                    </a:graphicData>
                  </a:graphic>
                </wp:inline>
              </w:drawing>
            </w:r>
          </w:p>
        </w:tc>
        <w:tc>
          <w:tcPr>
            <w:tcW w:w="3656" w:type="dxa"/>
          </w:tcPr>
          <w:p w:rsidR="00212513" w:rsidRDefault="00212513">
            <w:pPr>
              <w:pStyle w:val="ConsPlusNormal"/>
              <w:jc w:val="center"/>
            </w:pPr>
            <w:r>
              <w:rPr>
                <w:noProof/>
                <w:position w:val="-9"/>
              </w:rPr>
              <w:drawing>
                <wp:inline distT="0" distB="0" distL="0" distR="0">
                  <wp:extent cx="702310" cy="262255"/>
                  <wp:effectExtent l="0" t="0" r="0" b="0"/>
                  <wp:docPr id="8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702310" cy="262255"/>
                          </a:xfrm>
                          <a:prstGeom prst="rect">
                            <a:avLst/>
                          </a:prstGeom>
                          <a:noFill/>
                          <a:ln>
                            <a:noFill/>
                          </a:ln>
                        </pic:spPr>
                      </pic:pic>
                    </a:graphicData>
                  </a:graphic>
                </wp:inline>
              </w:drawing>
            </w:r>
          </w:p>
        </w:tc>
      </w:tr>
      <w:tr w:rsidR="00212513">
        <w:tc>
          <w:tcPr>
            <w:tcW w:w="9013" w:type="dxa"/>
            <w:gridSpan w:val="3"/>
          </w:tcPr>
          <w:p w:rsidR="00212513" w:rsidRDefault="00212513">
            <w:pPr>
              <w:pStyle w:val="ConsPlusNormal"/>
              <w:ind w:firstLine="283"/>
              <w:jc w:val="both"/>
            </w:pPr>
            <w:r>
              <w:t>Примечания</w:t>
            </w:r>
          </w:p>
          <w:p w:rsidR="00212513" w:rsidRDefault="00212513">
            <w:pPr>
              <w:pStyle w:val="ConsPlusNormal"/>
              <w:ind w:firstLine="283"/>
              <w:jc w:val="both"/>
            </w:pPr>
            <w:r>
              <w:t xml:space="preserve">1 Для промежуточных значений отношений </w:t>
            </w:r>
            <w:r>
              <w:rPr>
                <w:noProof/>
                <w:position w:val="-9"/>
              </w:rPr>
              <w:drawing>
                <wp:inline distT="0" distB="0" distL="0" distR="0">
                  <wp:extent cx="744220" cy="262255"/>
                  <wp:effectExtent l="0" t="0" r="0" b="0"/>
                  <wp:docPr id="8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744220" cy="262255"/>
                          </a:xfrm>
                          <a:prstGeom prst="rect">
                            <a:avLst/>
                          </a:prstGeom>
                          <a:noFill/>
                          <a:ln>
                            <a:noFill/>
                          </a:ln>
                        </pic:spPr>
                      </pic:pic>
                    </a:graphicData>
                  </a:graphic>
                </wp:inline>
              </w:drawing>
            </w:r>
            <w:r>
              <w:t xml:space="preserve"> предельные значения </w:t>
            </w:r>
            <w:r>
              <w:rPr>
                <w:noProof/>
                <w:position w:val="-8"/>
              </w:rPr>
              <w:drawing>
                <wp:inline distT="0" distB="0" distL="0" distR="0">
                  <wp:extent cx="262255" cy="251460"/>
                  <wp:effectExtent l="0" t="0" r="0" b="0"/>
                  <wp:docPr id="8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262255" cy="251460"/>
                          </a:xfrm>
                          <a:prstGeom prst="rect">
                            <a:avLst/>
                          </a:prstGeom>
                          <a:noFill/>
                          <a:ln>
                            <a:noFill/>
                          </a:ln>
                        </pic:spPr>
                      </pic:pic>
                    </a:graphicData>
                  </a:graphic>
                </wp:inline>
              </w:drawing>
            </w:r>
            <w:r>
              <w:t xml:space="preserve"> следует определять по интерполяции.</w:t>
            </w:r>
          </w:p>
          <w:p w:rsidR="00212513" w:rsidRDefault="00212513">
            <w:pPr>
              <w:pStyle w:val="ConsPlusNormal"/>
              <w:ind w:firstLine="283"/>
              <w:jc w:val="both"/>
            </w:pPr>
            <w:r>
              <w:t>2 Предельные значения главных растягивающих напряжений в бетоне зон, примыкающих к клееным стыкам в составных конструкциях пролетных строений, следует уменьшить на 10%. Длина указанной зоны принимается равной высоте стыка в каждую сторону от стыка.</w:t>
            </w:r>
          </w:p>
        </w:tc>
      </w:tr>
    </w:tbl>
    <w:p w:rsidR="00212513" w:rsidRDefault="00212513">
      <w:pPr>
        <w:pStyle w:val="ConsPlusNormal"/>
        <w:ind w:firstLine="540"/>
        <w:jc w:val="both"/>
      </w:pPr>
    </w:p>
    <w:p w:rsidR="00212513" w:rsidRDefault="00212513">
      <w:pPr>
        <w:pStyle w:val="ConsPlusNormal"/>
        <w:ind w:firstLine="540"/>
        <w:jc w:val="both"/>
      </w:pPr>
      <w:bookmarkStart w:id="224" w:name="P5210"/>
      <w:bookmarkEnd w:id="224"/>
      <w:r>
        <w:t xml:space="preserve">7.104 Главные сжимающие и главные растягивающие напряжения, указанные в </w:t>
      </w:r>
      <w:hyperlink w:anchor="P5179">
        <w:r>
          <w:rPr>
            <w:color w:val="0000FF"/>
          </w:rPr>
          <w:t>7.100</w:t>
        </w:r>
      </w:hyperlink>
      <w:r>
        <w:t xml:space="preserve"> и </w:t>
      </w:r>
      <w:hyperlink w:anchor="P5188">
        <w:r>
          <w:rPr>
            <w:color w:val="0000FF"/>
          </w:rPr>
          <w:t>7.103</w:t>
        </w:r>
      </w:hyperlink>
      <w:r>
        <w:t>, следует определять по формуле</w:t>
      </w:r>
    </w:p>
    <w:p w:rsidR="00212513" w:rsidRDefault="00212513">
      <w:pPr>
        <w:pStyle w:val="ConsPlusNormal"/>
        <w:ind w:firstLine="540"/>
        <w:jc w:val="both"/>
      </w:pPr>
    </w:p>
    <w:p w:rsidR="00212513" w:rsidRDefault="00212513">
      <w:pPr>
        <w:pStyle w:val="ConsPlusNormal"/>
        <w:jc w:val="center"/>
      </w:pPr>
      <w:bookmarkStart w:id="225" w:name="P5212"/>
      <w:bookmarkEnd w:id="225"/>
      <w:r>
        <w:rPr>
          <w:noProof/>
          <w:position w:val="-31"/>
        </w:rPr>
        <w:lastRenderedPageBreak/>
        <w:drawing>
          <wp:inline distT="0" distB="0" distL="0" distR="0">
            <wp:extent cx="2933700" cy="535940"/>
            <wp:effectExtent l="0" t="0" r="0" b="0"/>
            <wp:docPr id="8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7" cstate="print">
                      <a:extLst>
                        <a:ext uri="{28A0092B-C50C-407E-A947-70E740481C1C}">
                          <a14:useLocalDpi xmlns:a14="http://schemas.microsoft.com/office/drawing/2010/main" val="0"/>
                        </a:ext>
                      </a:extLst>
                    </a:blip>
                    <a:srcRect/>
                    <a:stretch>
                      <a:fillRect/>
                    </a:stretch>
                  </pic:blipFill>
                  <pic:spPr bwMode="auto">
                    <a:xfrm>
                      <a:off x="0" y="0"/>
                      <a:ext cx="2933700" cy="535940"/>
                    </a:xfrm>
                    <a:prstGeom prst="rect">
                      <a:avLst/>
                    </a:prstGeom>
                    <a:noFill/>
                    <a:ln>
                      <a:noFill/>
                    </a:ln>
                  </pic:spPr>
                </pic:pic>
              </a:graphicData>
            </a:graphic>
          </wp:inline>
        </w:drawing>
      </w:r>
      <w:r>
        <w:t>, (7.91)</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8"/>
        </w:rPr>
        <w:drawing>
          <wp:inline distT="0" distB="0" distL="0" distR="0">
            <wp:extent cx="251460" cy="251460"/>
            <wp:effectExtent l="0" t="0" r="0" b="0"/>
            <wp:docPr id="8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нормальное напряжение в бетоне вдоль продольной оси от внешней нагрузки и от усилий в напрягаемой арматуре с учетом потерь;</w:t>
      </w:r>
    </w:p>
    <w:p w:rsidR="00212513" w:rsidRDefault="00212513">
      <w:pPr>
        <w:pStyle w:val="ConsPlusNormal"/>
        <w:spacing w:before="220"/>
        <w:ind w:firstLine="540"/>
        <w:jc w:val="both"/>
      </w:pPr>
      <w:r>
        <w:rPr>
          <w:noProof/>
          <w:position w:val="-9"/>
        </w:rPr>
        <w:drawing>
          <wp:inline distT="0" distB="0" distL="0" distR="0">
            <wp:extent cx="251460" cy="262890"/>
            <wp:effectExtent l="0" t="0" r="0" b="0"/>
            <wp:docPr id="8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 нормальное напряжение в бетоне в направлении, нормальном к продольной оси элемента, от напрягаемых хомутов, наклонной арматуры и напряжений от опорной реакции, при этом распределение сжимающих усилий от опорной реакции следует принять под углом 45°;</w:t>
      </w:r>
    </w:p>
    <w:p w:rsidR="00212513" w:rsidRDefault="00212513">
      <w:pPr>
        <w:pStyle w:val="ConsPlusNormal"/>
        <w:spacing w:before="220"/>
        <w:ind w:firstLine="540"/>
        <w:jc w:val="both"/>
      </w:pPr>
      <w:r>
        <w:rPr>
          <w:noProof/>
          <w:position w:val="-8"/>
        </w:rPr>
        <w:drawing>
          <wp:inline distT="0" distB="0" distL="0" distR="0">
            <wp:extent cx="177800" cy="251460"/>
            <wp:effectExtent l="0" t="0" r="0" b="0"/>
            <wp:docPr id="8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касательное напряжение в бетоне стенки (ребра), определяемое по формуле</w:t>
      </w:r>
    </w:p>
    <w:p w:rsidR="00212513" w:rsidRDefault="00212513">
      <w:pPr>
        <w:pStyle w:val="ConsPlusNormal"/>
        <w:ind w:firstLine="540"/>
        <w:jc w:val="both"/>
      </w:pPr>
    </w:p>
    <w:p w:rsidR="00212513" w:rsidRDefault="00212513">
      <w:pPr>
        <w:pStyle w:val="ConsPlusNormal"/>
        <w:jc w:val="center"/>
      </w:pPr>
      <w:bookmarkStart w:id="226" w:name="P5218"/>
      <w:bookmarkEnd w:id="226"/>
      <w:r>
        <w:rPr>
          <w:noProof/>
          <w:position w:val="-9"/>
        </w:rPr>
        <w:drawing>
          <wp:inline distT="0" distB="0" distL="0" distR="0">
            <wp:extent cx="1703705" cy="262890"/>
            <wp:effectExtent l="0" t="0" r="0" b="0"/>
            <wp:docPr id="8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1" cstate="print">
                      <a:extLst>
                        <a:ext uri="{28A0092B-C50C-407E-A947-70E740481C1C}">
                          <a14:useLocalDpi xmlns:a14="http://schemas.microsoft.com/office/drawing/2010/main" val="0"/>
                        </a:ext>
                      </a:extLst>
                    </a:blip>
                    <a:srcRect/>
                    <a:stretch>
                      <a:fillRect/>
                    </a:stretch>
                  </pic:blipFill>
                  <pic:spPr bwMode="auto">
                    <a:xfrm>
                      <a:off x="0" y="0"/>
                      <a:ext cx="1703705" cy="262890"/>
                    </a:xfrm>
                    <a:prstGeom prst="rect">
                      <a:avLst/>
                    </a:prstGeom>
                    <a:noFill/>
                    <a:ln>
                      <a:noFill/>
                    </a:ln>
                  </pic:spPr>
                </pic:pic>
              </a:graphicData>
            </a:graphic>
          </wp:inline>
        </w:drawing>
      </w:r>
      <w:r>
        <w:t>. (7.92)</w:t>
      </w:r>
    </w:p>
    <w:p w:rsidR="00212513" w:rsidRDefault="00212513">
      <w:pPr>
        <w:pStyle w:val="ConsPlusNormal"/>
        <w:ind w:firstLine="540"/>
        <w:jc w:val="both"/>
      </w:pPr>
    </w:p>
    <w:p w:rsidR="00212513" w:rsidRDefault="00212513">
      <w:pPr>
        <w:pStyle w:val="ConsPlusNormal"/>
        <w:ind w:firstLine="540"/>
        <w:jc w:val="both"/>
      </w:pPr>
      <w:r>
        <w:t>В формуле (7.92):</w:t>
      </w:r>
    </w:p>
    <w:p w:rsidR="00212513" w:rsidRDefault="00212513">
      <w:pPr>
        <w:pStyle w:val="ConsPlusNormal"/>
        <w:spacing w:before="220"/>
        <w:ind w:firstLine="540"/>
        <w:jc w:val="both"/>
      </w:pPr>
      <w:r>
        <w:rPr>
          <w:noProof/>
          <w:position w:val="-9"/>
        </w:rPr>
        <w:drawing>
          <wp:inline distT="0" distB="0" distL="0" distR="0">
            <wp:extent cx="177800" cy="262890"/>
            <wp:effectExtent l="0" t="0" r="0" b="0"/>
            <wp:docPr id="8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2"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 касательные напряжения от поперечной силы, определяемой от внешней нагрузки и предварительного напряжения;</w:t>
      </w:r>
    </w:p>
    <w:p w:rsidR="00212513" w:rsidRDefault="00212513">
      <w:pPr>
        <w:pStyle w:val="ConsPlusNormal"/>
        <w:spacing w:before="220"/>
        <w:ind w:firstLine="540"/>
        <w:jc w:val="both"/>
      </w:pPr>
      <w:r>
        <w:rPr>
          <w:noProof/>
          <w:position w:val="-8"/>
        </w:rPr>
        <w:drawing>
          <wp:inline distT="0" distB="0" distL="0" distR="0">
            <wp:extent cx="156845" cy="251460"/>
            <wp:effectExtent l="0" t="0" r="0" b="0"/>
            <wp:docPr id="8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3"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 то же, от кручения;</w:t>
      </w:r>
    </w:p>
    <w:p w:rsidR="00212513" w:rsidRDefault="00212513">
      <w:pPr>
        <w:pStyle w:val="ConsPlusNormal"/>
        <w:spacing w:before="220"/>
        <w:ind w:firstLine="540"/>
        <w:jc w:val="both"/>
      </w:pPr>
      <w:r>
        <w:rPr>
          <w:noProof/>
          <w:position w:val="-8"/>
        </w:rPr>
        <w:drawing>
          <wp:inline distT="0" distB="0" distL="0" distR="0">
            <wp:extent cx="273685" cy="251460"/>
            <wp:effectExtent l="0" t="0" r="0" b="0"/>
            <wp:docPr id="8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273685" cy="251460"/>
                    </a:xfrm>
                    <a:prstGeom prst="rect">
                      <a:avLst/>
                    </a:prstGeom>
                    <a:noFill/>
                    <a:ln>
                      <a:noFill/>
                    </a:ln>
                  </pic:spPr>
                </pic:pic>
              </a:graphicData>
            </a:graphic>
          </wp:inline>
        </w:drawing>
      </w:r>
      <w:r>
        <w:t xml:space="preserve">, </w:t>
      </w:r>
      <w:r>
        <w:rPr>
          <w:noProof/>
          <w:position w:val="-8"/>
        </w:rPr>
        <w:drawing>
          <wp:inline distT="0" distB="0" distL="0" distR="0">
            <wp:extent cx="304165" cy="251460"/>
            <wp:effectExtent l="0" t="0" r="0" b="0"/>
            <wp:docPr id="8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5" cstate="print">
                      <a:extLst>
                        <a:ext uri="{28A0092B-C50C-407E-A947-70E740481C1C}">
                          <a14:useLocalDpi xmlns:a14="http://schemas.microsoft.com/office/drawing/2010/main" val="0"/>
                        </a:ext>
                      </a:extLst>
                    </a:blip>
                    <a:srcRect/>
                    <a:stretch>
                      <a:fillRect/>
                    </a:stretch>
                  </pic:blipFill>
                  <pic:spPr bwMode="auto">
                    <a:xfrm>
                      <a:off x="0" y="0"/>
                      <a:ext cx="304165" cy="251460"/>
                    </a:xfrm>
                    <a:prstGeom prst="rect">
                      <a:avLst/>
                    </a:prstGeom>
                    <a:noFill/>
                    <a:ln>
                      <a:noFill/>
                    </a:ln>
                  </pic:spPr>
                </pic:pic>
              </a:graphicData>
            </a:graphic>
          </wp:inline>
        </w:drawing>
      </w:r>
      <w:r>
        <w:t xml:space="preserve"> - коэффициенты, учитывающие соответственно воздействие поперечного обжатия бетона и кручения по </w:t>
      </w:r>
      <w:hyperlink w:anchor="P2603">
        <w:r>
          <w:rPr>
            <w:color w:val="0000FF"/>
          </w:rPr>
          <w:t>7.27</w:t>
        </w:r>
      </w:hyperlink>
      <w:r>
        <w:t>;</w:t>
      </w:r>
    </w:p>
    <w:p w:rsidR="00212513" w:rsidRDefault="00212513">
      <w:pPr>
        <w:pStyle w:val="ConsPlusNormal"/>
        <w:spacing w:before="220"/>
        <w:ind w:firstLine="540"/>
        <w:jc w:val="both"/>
      </w:pPr>
      <w:r>
        <w:rPr>
          <w:noProof/>
          <w:position w:val="-9"/>
        </w:rPr>
        <w:drawing>
          <wp:inline distT="0" distB="0" distL="0" distR="0">
            <wp:extent cx="314960" cy="262890"/>
            <wp:effectExtent l="0" t="0" r="0" b="0"/>
            <wp:docPr id="8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314960" cy="262890"/>
                    </a:xfrm>
                    <a:prstGeom prst="rect">
                      <a:avLst/>
                    </a:prstGeom>
                    <a:noFill/>
                    <a:ln>
                      <a:noFill/>
                    </a:ln>
                  </pic:spPr>
                </pic:pic>
              </a:graphicData>
            </a:graphic>
          </wp:inline>
        </w:drawing>
      </w:r>
      <w:r>
        <w:t xml:space="preserve"> - расчетное сопротивление бетона скалыванию при изгибе, принимаемое по </w:t>
      </w:r>
      <w:hyperlink w:anchor="P2350">
        <w:r>
          <w:rPr>
            <w:color w:val="0000FF"/>
          </w:rPr>
          <w:t>таблице 7.6</w:t>
        </w:r>
      </w:hyperlink>
      <w:r>
        <w:t>.</w:t>
      </w:r>
    </w:p>
    <w:p w:rsidR="00212513" w:rsidRDefault="00212513">
      <w:pPr>
        <w:pStyle w:val="ConsPlusNormal"/>
        <w:spacing w:before="220"/>
        <w:ind w:firstLine="540"/>
        <w:jc w:val="both"/>
      </w:pPr>
      <w:r>
        <w:t>Проверку главных сжимающих и растягивающих напряжений, а также касательных напряжений рекомендуется выполнять в зоне расположения центра тяжести сечения.</w:t>
      </w:r>
    </w:p>
    <w:p w:rsidR="00212513" w:rsidRDefault="00212513">
      <w:pPr>
        <w:pStyle w:val="ConsPlusNormal"/>
        <w:spacing w:before="220"/>
        <w:ind w:firstLine="540"/>
        <w:jc w:val="both"/>
      </w:pPr>
      <w:r>
        <w:t xml:space="preserve">При расчете стенок (ребер) составных по длине балок с бетонными стыками на главные напряжения по </w:t>
      </w:r>
      <w:hyperlink w:anchor="P5212">
        <w:r>
          <w:rPr>
            <w:color w:val="0000FF"/>
          </w:rPr>
          <w:t>формуле (7.91)</w:t>
        </w:r>
      </w:hyperlink>
      <w:r>
        <w:t xml:space="preserve"> входящие в формулу касательные напряжения по контакту между поперечно обжатым бетоном стыка и блоками следует ограничивать значениями, приведенными в </w:t>
      </w:r>
      <w:hyperlink w:anchor="P5218">
        <w:r>
          <w:rPr>
            <w:color w:val="0000FF"/>
          </w:rPr>
          <w:t>формуле (7.92)</w:t>
        </w:r>
      </w:hyperlink>
      <w:r>
        <w:t xml:space="preserve">, в правую часть которой наряду с коэффициентом </w:t>
      </w:r>
      <w:r>
        <w:rPr>
          <w:noProof/>
          <w:position w:val="-8"/>
        </w:rPr>
        <w:drawing>
          <wp:inline distT="0" distB="0" distL="0" distR="0">
            <wp:extent cx="273685" cy="251460"/>
            <wp:effectExtent l="0" t="0" r="0" b="0"/>
            <wp:docPr id="8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273685" cy="251460"/>
                    </a:xfrm>
                    <a:prstGeom prst="rect">
                      <a:avLst/>
                    </a:prstGeom>
                    <a:noFill/>
                    <a:ln>
                      <a:noFill/>
                    </a:ln>
                  </pic:spPr>
                </pic:pic>
              </a:graphicData>
            </a:graphic>
          </wp:inline>
        </w:drawing>
      </w:r>
      <w:r>
        <w:t xml:space="preserve"> необходимо вводить также и коэффициент </w:t>
      </w:r>
      <w:r>
        <w:rPr>
          <w:noProof/>
          <w:position w:val="-8"/>
        </w:rPr>
        <w:drawing>
          <wp:inline distT="0" distB="0" distL="0" distR="0">
            <wp:extent cx="313690" cy="251460"/>
            <wp:effectExtent l="0" t="0" r="0" b="0"/>
            <wp:docPr id="8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313690" cy="251460"/>
                    </a:xfrm>
                    <a:prstGeom prst="rect">
                      <a:avLst/>
                    </a:prstGeom>
                    <a:noFill/>
                    <a:ln>
                      <a:noFill/>
                    </a:ln>
                  </pic:spPr>
                </pic:pic>
              </a:graphicData>
            </a:graphic>
          </wp:inline>
        </w:drawing>
      </w:r>
      <w:r>
        <w:t xml:space="preserve">. При необжатых стыках вместо коэффициента </w:t>
      </w:r>
      <w:r>
        <w:rPr>
          <w:noProof/>
          <w:position w:val="-8"/>
        </w:rPr>
        <w:drawing>
          <wp:inline distT="0" distB="0" distL="0" distR="0">
            <wp:extent cx="273685" cy="251460"/>
            <wp:effectExtent l="0" t="0" r="0" b="0"/>
            <wp:docPr id="8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273685" cy="251460"/>
                    </a:xfrm>
                    <a:prstGeom prst="rect">
                      <a:avLst/>
                    </a:prstGeom>
                    <a:noFill/>
                    <a:ln>
                      <a:noFill/>
                    </a:ln>
                  </pic:spPr>
                </pic:pic>
              </a:graphicData>
            </a:graphic>
          </wp:inline>
        </w:drawing>
      </w:r>
      <w:r>
        <w:t xml:space="preserve"> следует вводить коэффициент </w:t>
      </w:r>
      <w:r>
        <w:rPr>
          <w:noProof/>
          <w:position w:val="-8"/>
        </w:rPr>
        <w:drawing>
          <wp:inline distT="0" distB="0" distL="0" distR="0">
            <wp:extent cx="313690" cy="251460"/>
            <wp:effectExtent l="0" t="0" r="0" b="0"/>
            <wp:docPr id="8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313690" cy="251460"/>
                    </a:xfrm>
                    <a:prstGeom prst="rect">
                      <a:avLst/>
                    </a:prstGeom>
                    <a:noFill/>
                    <a:ln>
                      <a:noFill/>
                    </a:ln>
                  </pic:spPr>
                </pic:pic>
              </a:graphicData>
            </a:graphic>
          </wp:inline>
        </w:drawing>
      </w:r>
      <w:r>
        <w:t xml:space="preserve">. Сечение бетона омоноличивания допускается учитывать при расчете по предельным состояниям второй группы, если расчетом обоснована и конструктивно обеспечена передача сдвигающего усилия по контакту бетона омоноличивания с бетоном блоков и если скалывающие напряжения в бетоне по контакту не превышают </w:t>
      </w:r>
      <w:r>
        <w:rPr>
          <w:noProof/>
          <w:position w:val="-9"/>
        </w:rPr>
        <w:drawing>
          <wp:inline distT="0" distB="0" distL="0" distR="0">
            <wp:extent cx="544830" cy="262890"/>
            <wp:effectExtent l="0" t="0" r="0" b="0"/>
            <wp:docPr id="8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544830" cy="262890"/>
                    </a:xfrm>
                    <a:prstGeom prst="rect">
                      <a:avLst/>
                    </a:prstGeom>
                    <a:noFill/>
                    <a:ln>
                      <a:noFill/>
                    </a:ln>
                  </pic:spPr>
                </pic:pic>
              </a:graphicData>
            </a:graphic>
          </wp:inline>
        </w:drawing>
      </w:r>
      <w:r>
        <w:t xml:space="preserve"> по </w:t>
      </w:r>
      <w:hyperlink w:anchor="P2350">
        <w:r>
          <w:rPr>
            <w:color w:val="0000FF"/>
          </w:rPr>
          <w:t>таблице 7.6</w:t>
        </w:r>
      </w:hyperlink>
      <w:r>
        <w:t>. Сечение инъецированного раствора в закрытых каналах допускается учитывать в расчете полностью.</w:t>
      </w:r>
    </w:p>
    <w:p w:rsidR="00212513" w:rsidRDefault="00212513">
      <w:pPr>
        <w:pStyle w:val="ConsPlusNormal"/>
        <w:spacing w:before="220"/>
        <w:ind w:firstLine="540"/>
        <w:jc w:val="both"/>
      </w:pPr>
      <w:r>
        <w:t>Определение нормальных и касательных напряжений в элементах высотой, изменяющейся по длине пролета, следует выполнять с учетом переменности сечения.</w:t>
      </w:r>
    </w:p>
    <w:p w:rsidR="00212513" w:rsidRDefault="00212513">
      <w:pPr>
        <w:pStyle w:val="ConsPlusNormal"/>
        <w:ind w:firstLine="540"/>
        <w:jc w:val="both"/>
      </w:pPr>
    </w:p>
    <w:p w:rsidR="00212513" w:rsidRDefault="00212513">
      <w:pPr>
        <w:pStyle w:val="ConsPlusTitle"/>
        <w:ind w:firstLine="540"/>
        <w:jc w:val="both"/>
        <w:outlineLvl w:val="3"/>
      </w:pPr>
      <w:r>
        <w:t>Расчет по раскрытию трещин</w:t>
      </w:r>
    </w:p>
    <w:p w:rsidR="00212513" w:rsidRDefault="00212513">
      <w:pPr>
        <w:pStyle w:val="ConsPlusNormal"/>
        <w:ind w:firstLine="540"/>
        <w:jc w:val="both"/>
      </w:pPr>
    </w:p>
    <w:p w:rsidR="00212513" w:rsidRDefault="00212513">
      <w:pPr>
        <w:pStyle w:val="ConsPlusNormal"/>
        <w:ind w:firstLine="540"/>
        <w:jc w:val="both"/>
      </w:pPr>
      <w:bookmarkStart w:id="227" w:name="P5231"/>
      <w:bookmarkEnd w:id="227"/>
      <w:r>
        <w:t xml:space="preserve">7.105 Ширину раскрытия нормальных и наклонных к продольной оси трещин </w:t>
      </w:r>
      <w:r>
        <w:rPr>
          <w:noProof/>
          <w:position w:val="-8"/>
        </w:rPr>
        <w:drawing>
          <wp:inline distT="0" distB="0" distL="0" distR="0">
            <wp:extent cx="220980" cy="251460"/>
            <wp:effectExtent l="0" t="0" r="0" b="0"/>
            <wp:docPr id="8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см, в железобетонных элементах, проектируемых по категориям требований по трещиностойкости 2б, </w:t>
      </w:r>
      <w:r>
        <w:lastRenderedPageBreak/>
        <w:t>3а, 3б и 3в, необходимо определять по формуле</w:t>
      </w:r>
    </w:p>
    <w:p w:rsidR="00212513" w:rsidRDefault="00212513">
      <w:pPr>
        <w:pStyle w:val="ConsPlusNormal"/>
        <w:jc w:val="center"/>
      </w:pPr>
    </w:p>
    <w:p w:rsidR="00212513" w:rsidRDefault="00212513">
      <w:pPr>
        <w:pStyle w:val="ConsPlusNormal"/>
        <w:jc w:val="center"/>
      </w:pPr>
      <w:bookmarkStart w:id="228" w:name="P5233"/>
      <w:bookmarkEnd w:id="228"/>
      <w:r>
        <w:rPr>
          <w:noProof/>
          <w:position w:val="-22"/>
        </w:rPr>
        <w:drawing>
          <wp:inline distT="0" distB="0" distL="0" distR="0">
            <wp:extent cx="1072515" cy="428625"/>
            <wp:effectExtent l="0" t="0" r="0" b="0"/>
            <wp:docPr id="8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1072515" cy="428625"/>
                    </a:xfrm>
                    <a:prstGeom prst="rect">
                      <a:avLst/>
                    </a:prstGeom>
                    <a:noFill/>
                    <a:ln>
                      <a:noFill/>
                    </a:ln>
                  </pic:spPr>
                </pic:pic>
              </a:graphicData>
            </a:graphic>
          </wp:inline>
        </w:drawing>
      </w:r>
      <w:r>
        <w:t>, (7.93)</w:t>
      </w:r>
    </w:p>
    <w:p w:rsidR="00212513" w:rsidRDefault="00212513">
      <w:pPr>
        <w:pStyle w:val="ConsPlusNormal"/>
        <w:jc w:val="center"/>
      </w:pPr>
    </w:p>
    <w:p w:rsidR="00212513" w:rsidRDefault="00212513">
      <w:pPr>
        <w:pStyle w:val="ConsPlusNormal"/>
        <w:ind w:firstLine="540"/>
        <w:jc w:val="both"/>
      </w:pPr>
      <w:r>
        <w:t xml:space="preserve">где </w:t>
      </w:r>
      <w:r>
        <w:rPr>
          <w:noProof/>
          <w:position w:val="-1"/>
        </w:rPr>
        <w:drawing>
          <wp:inline distT="0" distB="0" distL="0" distR="0">
            <wp:extent cx="167640" cy="156845"/>
            <wp:effectExtent l="0" t="0" r="0" b="0"/>
            <wp:docPr id="8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 растягивающее напряжение, равное для ненапрягаемой арматуры напряжению </w:t>
      </w:r>
      <w:r>
        <w:rPr>
          <w:noProof/>
          <w:position w:val="-8"/>
        </w:rPr>
        <w:drawing>
          <wp:inline distT="0" distB="0" distL="0" distR="0">
            <wp:extent cx="209550" cy="251460"/>
            <wp:effectExtent l="0" t="0" r="0" b="0"/>
            <wp:docPr id="8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в наиболее растянутых (крайних) стержнях, для напрягаемой - приращению напряжений </w:t>
      </w:r>
      <w:r>
        <w:rPr>
          <w:noProof/>
          <w:position w:val="-10"/>
        </w:rPr>
        <w:drawing>
          <wp:inline distT="0" distB="0" distL="0" distR="0">
            <wp:extent cx="335280" cy="273685"/>
            <wp:effectExtent l="0" t="0" r="0" b="0"/>
            <wp:docPr id="8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после погашения обжатия бетона;</w:t>
      </w:r>
    </w:p>
    <w:p w:rsidR="00212513" w:rsidRDefault="00212513">
      <w:pPr>
        <w:pStyle w:val="ConsPlusNormal"/>
        <w:spacing w:before="220"/>
        <w:ind w:firstLine="540"/>
        <w:jc w:val="both"/>
      </w:pPr>
      <w:r>
        <w:rPr>
          <w:i/>
        </w:rPr>
        <w:t>E</w:t>
      </w:r>
      <w:r>
        <w:t xml:space="preserve"> - модуль упругости соответственно для ненапрягаемой </w:t>
      </w:r>
      <w:r>
        <w:rPr>
          <w:noProof/>
          <w:position w:val="-8"/>
        </w:rPr>
        <w:drawing>
          <wp:inline distT="0" distB="0" distL="0" distR="0">
            <wp:extent cx="209550" cy="251460"/>
            <wp:effectExtent l="0" t="0" r="0" b="0"/>
            <wp:docPr id="8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напрягаемой </w:t>
      </w:r>
      <w:r>
        <w:rPr>
          <w:noProof/>
          <w:position w:val="-9"/>
        </w:rPr>
        <w:drawing>
          <wp:inline distT="0" distB="0" distL="0" distR="0">
            <wp:extent cx="220980" cy="262890"/>
            <wp:effectExtent l="0" t="0" r="0" b="0"/>
            <wp:docPr id="8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5"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арматуры, принимаемый по </w:t>
      </w:r>
      <w:hyperlink w:anchor="P3846">
        <w:r>
          <w:rPr>
            <w:color w:val="0000FF"/>
          </w:rPr>
          <w:t>таблице 7.19</w:t>
        </w:r>
      </w:hyperlink>
      <w:r>
        <w:t>;</w:t>
      </w:r>
    </w:p>
    <w:p w:rsidR="00212513" w:rsidRDefault="00212513">
      <w:pPr>
        <w:pStyle w:val="ConsPlusNormal"/>
        <w:spacing w:before="220"/>
        <w:ind w:firstLine="540"/>
        <w:jc w:val="both"/>
      </w:pPr>
      <w:r>
        <w:rPr>
          <w:noProof/>
          <w:position w:val="-3"/>
        </w:rPr>
        <w:drawing>
          <wp:inline distT="0" distB="0" distL="0" distR="0">
            <wp:extent cx="167640" cy="188595"/>
            <wp:effectExtent l="0" t="0" r="0" b="0"/>
            <wp:docPr id="8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167640" cy="188595"/>
                    </a:xfrm>
                    <a:prstGeom prst="rect">
                      <a:avLst/>
                    </a:prstGeom>
                    <a:noFill/>
                    <a:ln>
                      <a:noFill/>
                    </a:ln>
                  </pic:spPr>
                </pic:pic>
              </a:graphicData>
            </a:graphic>
          </wp:inline>
        </w:drawing>
      </w:r>
      <w:r>
        <w:t xml:space="preserve"> - коэффициент раскрытия трещин, определяемый в зависимости от радиуса армирования (учитывает влияние бетона растянутой зоны, деформации арматуры, ее профиль и условия работы элемента) и принимаемый по </w:t>
      </w:r>
      <w:hyperlink w:anchor="P5288">
        <w:r>
          <w:rPr>
            <w:color w:val="0000FF"/>
          </w:rPr>
          <w:t>7.109</w:t>
        </w:r>
      </w:hyperlink>
      <w:r>
        <w:t>;</w:t>
      </w:r>
    </w:p>
    <w:p w:rsidR="00212513" w:rsidRDefault="00212513">
      <w:pPr>
        <w:pStyle w:val="ConsPlusNormal"/>
        <w:spacing w:before="220"/>
        <w:ind w:firstLine="540"/>
        <w:jc w:val="both"/>
      </w:pPr>
      <w:r>
        <w:rPr>
          <w:noProof/>
          <w:position w:val="-8"/>
        </w:rPr>
        <w:drawing>
          <wp:inline distT="0" distB="0" distL="0" distR="0">
            <wp:extent cx="251460" cy="251460"/>
            <wp:effectExtent l="0" t="0" r="0" b="0"/>
            <wp:docPr id="8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предельное значение расчетной ширины раскрытия трещин, см, принимаемое по </w:t>
      </w:r>
      <w:hyperlink w:anchor="P5065">
        <w:r>
          <w:rPr>
            <w:color w:val="0000FF"/>
          </w:rPr>
          <w:t>таблице 7.24</w:t>
        </w:r>
      </w:hyperlink>
      <w:r>
        <w:t>.</w:t>
      </w:r>
    </w:p>
    <w:p w:rsidR="00212513" w:rsidRDefault="00212513">
      <w:pPr>
        <w:pStyle w:val="ConsPlusNormal"/>
        <w:spacing w:before="220"/>
        <w:ind w:firstLine="540"/>
        <w:jc w:val="both"/>
      </w:pPr>
      <w:r>
        <w:t xml:space="preserve">7.106 При определении ширины раскрытия трещин по </w:t>
      </w:r>
      <w:hyperlink w:anchor="P5233">
        <w:r>
          <w:rPr>
            <w:color w:val="0000FF"/>
          </w:rPr>
          <w:t>формуле (7.93)</w:t>
        </w:r>
      </w:hyperlink>
      <w:r>
        <w:t xml:space="preserve"> при смешанном армировании значение </w:t>
      </w:r>
      <w:r>
        <w:rPr>
          <w:noProof/>
          <w:position w:val="-4"/>
        </w:rPr>
        <w:drawing>
          <wp:inline distT="0" distB="0" distL="0" distR="0">
            <wp:extent cx="398145" cy="198755"/>
            <wp:effectExtent l="0" t="0" r="0" b="0"/>
            <wp:docPr id="8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8" cstate="print">
                      <a:extLst>
                        <a:ext uri="{28A0092B-C50C-407E-A947-70E740481C1C}">
                          <a14:useLocalDpi xmlns:a14="http://schemas.microsoft.com/office/drawing/2010/main" val="0"/>
                        </a:ext>
                      </a:extLst>
                    </a:blip>
                    <a:srcRect/>
                    <a:stretch>
                      <a:fillRect/>
                    </a:stretch>
                  </pic:blipFill>
                  <pic:spPr bwMode="auto">
                    <a:xfrm>
                      <a:off x="0" y="0"/>
                      <a:ext cx="398145" cy="198755"/>
                    </a:xfrm>
                    <a:prstGeom prst="rect">
                      <a:avLst/>
                    </a:prstGeom>
                    <a:noFill/>
                    <a:ln>
                      <a:noFill/>
                    </a:ln>
                  </pic:spPr>
                </pic:pic>
              </a:graphicData>
            </a:graphic>
          </wp:inline>
        </w:drawing>
      </w:r>
      <w:r>
        <w:t xml:space="preserve"> с учетом растягивающих напряжений в ненапрягаемой арматуре </w:t>
      </w:r>
      <w:r>
        <w:rPr>
          <w:noProof/>
          <w:position w:val="-8"/>
        </w:rPr>
        <w:drawing>
          <wp:inline distT="0" distB="0" distL="0" distR="0">
            <wp:extent cx="209550" cy="251460"/>
            <wp:effectExtent l="0" t="0" r="0" b="0"/>
            <wp:docPr id="8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приращения напряжений в напрягаемой арматуре </w:t>
      </w:r>
      <w:r>
        <w:rPr>
          <w:noProof/>
          <w:position w:val="-10"/>
        </w:rPr>
        <w:drawing>
          <wp:inline distT="0" distB="0" distL="0" distR="0">
            <wp:extent cx="335280" cy="273685"/>
            <wp:effectExtent l="0" t="0" r="0" b="0"/>
            <wp:docPr id="8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после погашения предварительного обжатия бетона до нуля определяется по формуле</w:t>
      </w:r>
    </w:p>
    <w:p w:rsidR="00212513" w:rsidRDefault="00212513">
      <w:pPr>
        <w:pStyle w:val="ConsPlusNormal"/>
        <w:ind w:firstLine="540"/>
        <w:jc w:val="both"/>
      </w:pPr>
    </w:p>
    <w:p w:rsidR="00212513" w:rsidRDefault="00212513">
      <w:pPr>
        <w:pStyle w:val="ConsPlusNormal"/>
        <w:jc w:val="center"/>
      </w:pPr>
      <w:r>
        <w:rPr>
          <w:noProof/>
          <w:position w:val="-48"/>
        </w:rPr>
        <w:drawing>
          <wp:inline distT="0" distB="0" distL="0" distR="0">
            <wp:extent cx="1438910" cy="754380"/>
            <wp:effectExtent l="0" t="0" r="0" b="0"/>
            <wp:docPr id="8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9" cstate="print">
                      <a:extLst>
                        <a:ext uri="{28A0092B-C50C-407E-A947-70E740481C1C}">
                          <a14:useLocalDpi xmlns:a14="http://schemas.microsoft.com/office/drawing/2010/main" val="0"/>
                        </a:ext>
                      </a:extLst>
                    </a:blip>
                    <a:srcRect/>
                    <a:stretch>
                      <a:fillRect/>
                    </a:stretch>
                  </pic:blipFill>
                  <pic:spPr bwMode="auto">
                    <a:xfrm>
                      <a:off x="0" y="0"/>
                      <a:ext cx="1438910" cy="754380"/>
                    </a:xfrm>
                    <a:prstGeom prst="rect">
                      <a:avLst/>
                    </a:prstGeom>
                    <a:noFill/>
                    <a:ln>
                      <a:noFill/>
                    </a:ln>
                  </pic:spPr>
                </pic:pic>
              </a:graphicData>
            </a:graphic>
          </wp:inline>
        </w:drawing>
      </w:r>
      <w:r>
        <w:t>, (7.94)</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8"/>
        </w:rPr>
        <w:drawing>
          <wp:inline distT="0" distB="0" distL="0" distR="0">
            <wp:extent cx="198755" cy="250825"/>
            <wp:effectExtent l="0" t="0" r="0" b="0"/>
            <wp:docPr id="8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0"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коэффициент раскрытия трещин для ненапрягаемой арматуры, принимаемый по </w:t>
      </w:r>
      <w:hyperlink w:anchor="P5288">
        <w:r>
          <w:rPr>
            <w:color w:val="0000FF"/>
          </w:rPr>
          <w:t>7.109</w:t>
        </w:r>
      </w:hyperlink>
      <w:r>
        <w:t>;</w:t>
      </w:r>
    </w:p>
    <w:p w:rsidR="00212513" w:rsidRDefault="00212513">
      <w:pPr>
        <w:pStyle w:val="ConsPlusNormal"/>
        <w:jc w:val="both"/>
      </w:pPr>
      <w:r>
        <w:t xml:space="preserve">(в ред. </w:t>
      </w:r>
      <w:hyperlink r:id="rId1231">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rPr>
          <w:noProof/>
          <w:position w:val="-8"/>
        </w:rPr>
        <w:drawing>
          <wp:inline distT="0" distB="0" distL="0" distR="0">
            <wp:extent cx="209550" cy="251460"/>
            <wp:effectExtent l="0" t="0" r="0" b="0"/>
            <wp:docPr id="8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то же, для напрягаемой арматуры по </w:t>
      </w:r>
      <w:hyperlink w:anchor="P5288">
        <w:r>
          <w:rPr>
            <w:color w:val="0000FF"/>
          </w:rPr>
          <w:t>7.109</w:t>
        </w:r>
      </w:hyperlink>
      <w:r>
        <w:t>.</w:t>
      </w:r>
    </w:p>
    <w:p w:rsidR="00212513" w:rsidRDefault="00212513">
      <w:pPr>
        <w:pStyle w:val="ConsPlusNormal"/>
        <w:spacing w:before="220"/>
        <w:ind w:firstLine="540"/>
        <w:jc w:val="both"/>
      </w:pPr>
      <w:r>
        <w:t>Коэффициент раскрытия трещин при смешанном армировании определяется по формуле</w:t>
      </w:r>
    </w:p>
    <w:p w:rsidR="00212513" w:rsidRDefault="00212513">
      <w:pPr>
        <w:pStyle w:val="ConsPlusNormal"/>
        <w:ind w:firstLine="540"/>
        <w:jc w:val="both"/>
      </w:pPr>
    </w:p>
    <w:p w:rsidR="00212513" w:rsidRDefault="00212513">
      <w:pPr>
        <w:pStyle w:val="ConsPlusNormal"/>
        <w:jc w:val="center"/>
      </w:pPr>
      <w:r>
        <w:rPr>
          <w:noProof/>
          <w:position w:val="-29"/>
        </w:rPr>
        <w:drawing>
          <wp:inline distT="0" distB="0" distL="0" distR="0">
            <wp:extent cx="1199515" cy="511810"/>
            <wp:effectExtent l="0" t="0" r="0" b="0"/>
            <wp:docPr id="8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1199515" cy="511810"/>
                    </a:xfrm>
                    <a:prstGeom prst="rect">
                      <a:avLst/>
                    </a:prstGeom>
                    <a:noFill/>
                    <a:ln>
                      <a:noFill/>
                    </a:ln>
                  </pic:spPr>
                </pic:pic>
              </a:graphicData>
            </a:graphic>
          </wp:inline>
        </w:drawing>
      </w:r>
      <w:r>
        <w:t>,</w:t>
      </w:r>
    </w:p>
    <w:p w:rsidR="00212513" w:rsidRDefault="00212513">
      <w:pPr>
        <w:pStyle w:val="ConsPlusNormal"/>
        <w:jc w:val="center"/>
      </w:pPr>
    </w:p>
    <w:p w:rsidR="00212513" w:rsidRDefault="00212513">
      <w:pPr>
        <w:pStyle w:val="ConsPlusNormal"/>
        <w:ind w:firstLine="540"/>
        <w:jc w:val="both"/>
      </w:pPr>
      <w:r>
        <w:t xml:space="preserve">где </w:t>
      </w:r>
      <w:r>
        <w:rPr>
          <w:noProof/>
          <w:position w:val="-8"/>
        </w:rPr>
        <w:drawing>
          <wp:inline distT="0" distB="0" distL="0" distR="0">
            <wp:extent cx="198755" cy="250825"/>
            <wp:effectExtent l="0" t="0" r="0" b="0"/>
            <wp:docPr id="8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4"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8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площади ненапрягаемой и напрягаемой арматуры.</w:t>
      </w:r>
    </w:p>
    <w:p w:rsidR="00212513" w:rsidRDefault="00212513">
      <w:pPr>
        <w:pStyle w:val="ConsPlusNormal"/>
        <w:spacing w:before="220"/>
        <w:ind w:firstLine="540"/>
        <w:jc w:val="both"/>
      </w:pPr>
      <w:bookmarkStart w:id="229" w:name="P5251"/>
      <w:bookmarkEnd w:id="229"/>
      <w:r>
        <w:t xml:space="preserve">7.107 Растягивающие напряжения </w:t>
      </w:r>
      <w:r>
        <w:rPr>
          <w:noProof/>
          <w:position w:val="-8"/>
        </w:rPr>
        <w:drawing>
          <wp:inline distT="0" distB="0" distL="0" distR="0">
            <wp:extent cx="209550" cy="251460"/>
            <wp:effectExtent l="0" t="0" r="0" b="0"/>
            <wp:docPr id="8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в поперечной и продольной арматуре стенок (ребер) балок допускается определять по формуле</w:t>
      </w:r>
    </w:p>
    <w:p w:rsidR="00212513" w:rsidRDefault="00212513">
      <w:pPr>
        <w:pStyle w:val="ConsPlusNormal"/>
        <w:ind w:firstLine="540"/>
        <w:jc w:val="both"/>
      </w:pPr>
    </w:p>
    <w:p w:rsidR="00212513" w:rsidRDefault="00212513">
      <w:pPr>
        <w:pStyle w:val="ConsPlusNormal"/>
        <w:jc w:val="center"/>
      </w:pPr>
      <w:r>
        <w:rPr>
          <w:noProof/>
          <w:position w:val="-25"/>
        </w:rPr>
        <w:drawing>
          <wp:inline distT="0" distB="0" distL="0" distR="0">
            <wp:extent cx="748030" cy="461010"/>
            <wp:effectExtent l="0" t="0" r="0" b="0"/>
            <wp:docPr id="8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748030" cy="461010"/>
                    </a:xfrm>
                    <a:prstGeom prst="rect">
                      <a:avLst/>
                    </a:prstGeom>
                    <a:noFill/>
                    <a:ln>
                      <a:noFill/>
                    </a:ln>
                  </pic:spPr>
                </pic:pic>
              </a:graphicData>
            </a:graphic>
          </wp:inline>
        </w:drawing>
      </w:r>
      <w:r>
        <w:t>, (7.95)</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8"/>
        </w:rPr>
        <w:drawing>
          <wp:inline distT="0" distB="0" distL="0" distR="0">
            <wp:extent cx="241935" cy="251460"/>
            <wp:effectExtent l="0" t="0" r="0" b="0"/>
            <wp:docPr id="8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7"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напряжение в предварительно напряженных балках, не имеющих напрягаемых хомутов, принимаемое равным главному растягивающему напряжению </w:t>
      </w:r>
      <w:r>
        <w:rPr>
          <w:noProof/>
          <w:position w:val="-8"/>
        </w:rPr>
        <w:drawing>
          <wp:inline distT="0" distB="0" distL="0" distR="0">
            <wp:extent cx="262890" cy="251460"/>
            <wp:effectExtent l="0" t="0" r="0" b="0"/>
            <wp:docPr id="8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8"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на уровне центра тяжести сечения, в балках с ненапрягаемой арматурой - равным касательному напряжению </w:t>
      </w:r>
      <w:r>
        <w:rPr>
          <w:noProof/>
          <w:position w:val="-1"/>
        </w:rPr>
        <w:drawing>
          <wp:inline distT="0" distB="0" distL="0" distR="0">
            <wp:extent cx="137160" cy="156845"/>
            <wp:effectExtent l="0" t="0" r="0" b="0"/>
            <wp:docPr id="8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9" cstate="print">
                      <a:extLst>
                        <a:ext uri="{28A0092B-C50C-407E-A947-70E740481C1C}">
                          <a14:useLocalDpi xmlns:a14="http://schemas.microsoft.com/office/drawing/2010/main" val="0"/>
                        </a:ext>
                      </a:extLst>
                    </a:blip>
                    <a:srcRect/>
                    <a:stretch>
                      <a:fillRect/>
                    </a:stretch>
                  </pic:blipFill>
                  <pic:spPr bwMode="auto">
                    <a:xfrm>
                      <a:off x="0" y="0"/>
                      <a:ext cx="137160" cy="156845"/>
                    </a:xfrm>
                    <a:prstGeom prst="rect">
                      <a:avLst/>
                    </a:prstGeom>
                    <a:noFill/>
                    <a:ln>
                      <a:noFill/>
                    </a:ln>
                  </pic:spPr>
                </pic:pic>
              </a:graphicData>
            </a:graphic>
          </wp:inline>
        </w:drawing>
      </w:r>
      <w:r>
        <w:t xml:space="preserve"> на том же уровне;</w:t>
      </w:r>
    </w:p>
    <w:p w:rsidR="00212513" w:rsidRDefault="00212513">
      <w:pPr>
        <w:pStyle w:val="ConsPlusNormal"/>
        <w:spacing w:before="220"/>
        <w:ind w:firstLine="540"/>
        <w:jc w:val="both"/>
      </w:pPr>
      <w:r>
        <w:rPr>
          <w:noProof/>
          <w:position w:val="-3"/>
        </w:rPr>
        <w:drawing>
          <wp:inline distT="0" distB="0" distL="0" distR="0">
            <wp:extent cx="167640" cy="177800"/>
            <wp:effectExtent l="0" t="0" r="0" b="0"/>
            <wp:docPr id="8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0"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коэффициент армирования стенки стержнями, пересекающими наклонное сечение (между вутами поясов), определяемый как отношение проекции площадей сечения этих стержней на нормаль к наклонному сечению - к площади бетона наклонного сечения;</w:t>
      </w:r>
    </w:p>
    <w:p w:rsidR="00212513" w:rsidRDefault="00212513">
      <w:pPr>
        <w:pStyle w:val="ConsPlusNormal"/>
        <w:spacing w:before="220"/>
        <w:ind w:firstLine="540"/>
        <w:jc w:val="both"/>
      </w:pPr>
      <w:r>
        <w:rPr>
          <w:noProof/>
          <w:position w:val="-4"/>
        </w:rPr>
        <w:drawing>
          <wp:inline distT="0" distB="0" distL="0" distR="0">
            <wp:extent cx="156845" cy="198755"/>
            <wp:effectExtent l="0" t="0" r="0" b="0"/>
            <wp:docPr id="8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1"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 коэффициент, учитывающий перераспределение напряжений в зоне образования наклонных трещин и определяемый по формуле</w:t>
      </w:r>
    </w:p>
    <w:p w:rsidR="00212513" w:rsidRDefault="00212513">
      <w:pPr>
        <w:pStyle w:val="ConsPlusNormal"/>
        <w:ind w:firstLine="540"/>
        <w:jc w:val="both"/>
      </w:pPr>
    </w:p>
    <w:p w:rsidR="00212513" w:rsidRDefault="00212513">
      <w:pPr>
        <w:pStyle w:val="ConsPlusNormal"/>
        <w:jc w:val="center"/>
      </w:pPr>
      <w:r>
        <w:rPr>
          <w:noProof/>
          <w:position w:val="-26"/>
        </w:rPr>
        <w:drawing>
          <wp:inline distT="0" distB="0" distL="0" distR="0">
            <wp:extent cx="1605915" cy="470535"/>
            <wp:effectExtent l="0" t="0" r="0" b="0"/>
            <wp:docPr id="8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2" cstate="print">
                      <a:extLst>
                        <a:ext uri="{28A0092B-C50C-407E-A947-70E740481C1C}">
                          <a14:useLocalDpi xmlns:a14="http://schemas.microsoft.com/office/drawing/2010/main" val="0"/>
                        </a:ext>
                      </a:extLst>
                    </a:blip>
                    <a:srcRect/>
                    <a:stretch>
                      <a:fillRect/>
                    </a:stretch>
                  </pic:blipFill>
                  <pic:spPr bwMode="auto">
                    <a:xfrm>
                      <a:off x="0" y="0"/>
                      <a:ext cx="1605915" cy="470535"/>
                    </a:xfrm>
                    <a:prstGeom prst="rect">
                      <a:avLst/>
                    </a:prstGeom>
                    <a:noFill/>
                    <a:ln>
                      <a:noFill/>
                    </a:ln>
                  </pic:spPr>
                </pic:pic>
              </a:graphicData>
            </a:graphic>
          </wp:inline>
        </w:drawing>
      </w:r>
      <w:r>
        <w:t>, (7.96)</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8"/>
        </w:rPr>
        <w:drawing>
          <wp:inline distT="0" distB="0" distL="0" distR="0">
            <wp:extent cx="125730" cy="251460"/>
            <wp:effectExtent l="0" t="0" r="0" b="0"/>
            <wp:docPr id="8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3" cstate="print">
                      <a:extLst>
                        <a:ext uri="{28A0092B-C50C-407E-A947-70E740481C1C}">
                          <a14:useLocalDpi xmlns:a14="http://schemas.microsoft.com/office/drawing/2010/main" val="0"/>
                        </a:ext>
                      </a:extLst>
                    </a:blip>
                    <a:srcRect/>
                    <a:stretch>
                      <a:fillRect/>
                    </a:stretch>
                  </pic:blipFill>
                  <pic:spPr bwMode="auto">
                    <a:xfrm>
                      <a:off x="0" y="0"/>
                      <a:ext cx="125730" cy="251460"/>
                    </a:xfrm>
                    <a:prstGeom prst="rect">
                      <a:avLst/>
                    </a:prstGeom>
                    <a:noFill/>
                    <a:ln>
                      <a:noFill/>
                    </a:ln>
                  </pic:spPr>
                </pic:pic>
              </a:graphicData>
            </a:graphic>
          </wp:inline>
        </w:drawing>
      </w:r>
      <w:r>
        <w:t xml:space="preserve"> - длина, см, предполагаемой наклонной трещины на участке между вутами поясов (в тавровых балках начало наклонного сечения принимается от крайнего в сторону нейтральной оси ряда растянутой арматуры) согласно рисунку 7.9; наклон трещин следует принимать по </w:t>
      </w:r>
      <w:hyperlink w:anchor="P4839">
        <w:r>
          <w:rPr>
            <w:color w:val="0000FF"/>
          </w:rPr>
          <w:t>7.79</w:t>
        </w:r>
      </w:hyperlink>
      <w:r>
        <w:t>.</w:t>
      </w:r>
    </w:p>
    <w:p w:rsidR="00212513" w:rsidRDefault="00212513">
      <w:pPr>
        <w:pStyle w:val="ConsPlusNormal"/>
        <w:ind w:firstLine="540"/>
        <w:jc w:val="both"/>
      </w:pPr>
    </w:p>
    <w:p w:rsidR="00212513" w:rsidRDefault="00212513">
      <w:pPr>
        <w:pStyle w:val="ConsPlusNormal"/>
        <w:jc w:val="center"/>
      </w:pPr>
      <w:r>
        <w:rPr>
          <w:noProof/>
          <w:position w:val="-93"/>
        </w:rPr>
        <w:drawing>
          <wp:inline distT="0" distB="0" distL="0" distR="0">
            <wp:extent cx="3641090" cy="1331595"/>
            <wp:effectExtent l="0" t="0" r="0" b="0"/>
            <wp:docPr id="8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3641090" cy="1331595"/>
                    </a:xfrm>
                    <a:prstGeom prst="rect">
                      <a:avLst/>
                    </a:prstGeom>
                    <a:noFill/>
                    <a:ln>
                      <a:noFill/>
                    </a:ln>
                  </pic:spPr>
                </pic:pic>
              </a:graphicData>
            </a:graphic>
          </wp:inline>
        </w:drawing>
      </w:r>
    </w:p>
    <w:p w:rsidR="00212513" w:rsidRDefault="00212513">
      <w:pPr>
        <w:pStyle w:val="ConsPlusNormal"/>
        <w:jc w:val="center"/>
      </w:pPr>
    </w:p>
    <w:p w:rsidR="00212513" w:rsidRDefault="00212513">
      <w:pPr>
        <w:pStyle w:val="ConsPlusNormal"/>
        <w:jc w:val="center"/>
      </w:pPr>
      <w:r>
        <w:t>1 - нормаль; 2 - хомут; 3 - наклонное сечение;</w:t>
      </w:r>
    </w:p>
    <w:p w:rsidR="00212513" w:rsidRDefault="00212513">
      <w:pPr>
        <w:pStyle w:val="ConsPlusNormal"/>
        <w:jc w:val="center"/>
      </w:pPr>
      <w:r>
        <w:t>4 - продольная арматура; 5 - касательная к пучку; 6 - вут</w:t>
      </w:r>
    </w:p>
    <w:p w:rsidR="00212513" w:rsidRDefault="00212513">
      <w:pPr>
        <w:pStyle w:val="ConsPlusNormal"/>
        <w:jc w:val="center"/>
      </w:pPr>
    </w:p>
    <w:p w:rsidR="00212513" w:rsidRDefault="00212513">
      <w:pPr>
        <w:pStyle w:val="ConsPlusNormal"/>
        <w:jc w:val="center"/>
      </w:pPr>
      <w:bookmarkStart w:id="230" w:name="P5268"/>
      <w:bookmarkEnd w:id="230"/>
      <w:r>
        <w:rPr>
          <w:b/>
          <w:i/>
        </w:rPr>
        <w:t>Рисунок 7.9</w:t>
      </w:r>
      <w:r>
        <w:t xml:space="preserve"> </w:t>
      </w:r>
      <w:r>
        <w:rPr>
          <w:b/>
        </w:rPr>
        <w:t>- Проекции усилий в поперечной арматуре</w:t>
      </w:r>
    </w:p>
    <w:p w:rsidR="00212513" w:rsidRDefault="00212513">
      <w:pPr>
        <w:pStyle w:val="ConsPlusNormal"/>
        <w:jc w:val="center"/>
      </w:pPr>
      <w:r>
        <w:rPr>
          <w:b/>
        </w:rPr>
        <w:t>на нормаль к наклонному сечению</w:t>
      </w:r>
    </w:p>
    <w:p w:rsidR="00212513" w:rsidRDefault="00212513">
      <w:pPr>
        <w:pStyle w:val="ConsPlusNormal"/>
        <w:ind w:firstLine="540"/>
        <w:jc w:val="both"/>
      </w:pPr>
    </w:p>
    <w:p w:rsidR="00212513" w:rsidRDefault="00212513">
      <w:pPr>
        <w:pStyle w:val="ConsPlusNormal"/>
        <w:ind w:firstLine="540"/>
        <w:jc w:val="both"/>
      </w:pPr>
      <w:bookmarkStart w:id="231" w:name="P5271"/>
      <w:bookmarkEnd w:id="231"/>
      <w:r>
        <w:t>7.108 При определении ширины раскрытия нормальных трещин в растянутой зоне предварительно напряженных элементов следует учитывать всю растянутую арматуру.</w:t>
      </w:r>
    </w:p>
    <w:p w:rsidR="00212513" w:rsidRDefault="00212513">
      <w:pPr>
        <w:pStyle w:val="ConsPlusNormal"/>
        <w:spacing w:before="220"/>
        <w:ind w:firstLine="540"/>
        <w:jc w:val="both"/>
      </w:pPr>
      <w:r>
        <w:t>При определении ширины трещин в предварительно напряженных сваях допускается учитывать всю арматуру растянутой зоны.</w:t>
      </w:r>
    </w:p>
    <w:p w:rsidR="00212513" w:rsidRDefault="00212513">
      <w:pPr>
        <w:pStyle w:val="ConsPlusNormal"/>
        <w:spacing w:before="220"/>
        <w:ind w:firstLine="540"/>
        <w:jc w:val="both"/>
      </w:pPr>
      <w:r>
        <w:t xml:space="preserve">Приращение растягивающего напряжения </w:t>
      </w:r>
      <w:r>
        <w:rPr>
          <w:noProof/>
          <w:position w:val="-10"/>
        </w:rPr>
        <w:drawing>
          <wp:inline distT="0" distB="0" distL="0" distR="0">
            <wp:extent cx="335280" cy="273685"/>
            <wp:effectExtent l="0" t="0" r="0" b="0"/>
            <wp:docPr id="8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в напрягаемой арматуре согласно </w:t>
      </w:r>
      <w:hyperlink w:anchor="P5231">
        <w:r>
          <w:rPr>
            <w:color w:val="0000FF"/>
          </w:rPr>
          <w:t>7.105</w:t>
        </w:r>
      </w:hyperlink>
      <w:r>
        <w:t>, возникающее после снижения под временной нагрузкой предварительного сжимающего напряжения в бетоне до нуля, допускается определять по формуле</w:t>
      </w:r>
    </w:p>
    <w:p w:rsidR="00212513" w:rsidRDefault="00212513">
      <w:pPr>
        <w:pStyle w:val="ConsPlusNormal"/>
        <w:ind w:firstLine="540"/>
        <w:jc w:val="both"/>
      </w:pPr>
    </w:p>
    <w:p w:rsidR="00212513" w:rsidRDefault="00212513">
      <w:pPr>
        <w:pStyle w:val="ConsPlusNormal"/>
        <w:jc w:val="center"/>
      </w:pPr>
      <w:r>
        <w:rPr>
          <w:noProof/>
          <w:position w:val="-27"/>
        </w:rPr>
        <w:drawing>
          <wp:inline distT="0" distB="0" distL="0" distR="0">
            <wp:extent cx="753745" cy="494030"/>
            <wp:effectExtent l="0" t="0" r="0" b="0"/>
            <wp:docPr id="8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753745" cy="494030"/>
                    </a:xfrm>
                    <a:prstGeom prst="rect">
                      <a:avLst/>
                    </a:prstGeom>
                    <a:noFill/>
                    <a:ln>
                      <a:noFill/>
                    </a:ln>
                  </pic:spPr>
                </pic:pic>
              </a:graphicData>
            </a:graphic>
          </wp:inline>
        </w:drawing>
      </w:r>
      <w:r>
        <w:t>, (7.97)</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8"/>
        </w:rPr>
        <w:drawing>
          <wp:inline distT="0" distB="0" distL="0" distR="0">
            <wp:extent cx="230505" cy="251460"/>
            <wp:effectExtent l="0" t="0" r="0" b="0"/>
            <wp:docPr id="8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230505" cy="251460"/>
                    </a:xfrm>
                    <a:prstGeom prst="rect">
                      <a:avLst/>
                    </a:prstGeom>
                    <a:noFill/>
                    <a:ln>
                      <a:noFill/>
                    </a:ln>
                  </pic:spPr>
                </pic:pic>
              </a:graphicData>
            </a:graphic>
          </wp:inline>
        </w:drawing>
      </w:r>
      <w:r>
        <w:t xml:space="preserve"> - растягивающее напряжение в бетоне на уровне центра тяжести площади растянутой зоны бетона;</w:t>
      </w:r>
    </w:p>
    <w:p w:rsidR="00212513" w:rsidRDefault="00212513">
      <w:pPr>
        <w:pStyle w:val="ConsPlusNormal"/>
        <w:spacing w:before="220"/>
        <w:ind w:firstLine="540"/>
        <w:jc w:val="both"/>
      </w:pPr>
      <w:r>
        <w:rPr>
          <w:noProof/>
          <w:position w:val="-9"/>
        </w:rPr>
        <w:lastRenderedPageBreak/>
        <w:drawing>
          <wp:inline distT="0" distB="0" distL="0" distR="0">
            <wp:extent cx="220980" cy="262890"/>
            <wp:effectExtent l="0" t="0" r="0" b="0"/>
            <wp:docPr id="8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коэффициент армирования, определяемый как отношение учитываемой в расчете площади поперечного сечения продольной растянутой арматуры к площади всей растянутой зоны бетона (арматура, не имеющая сцепления с бетоном, при вычислении </w:t>
      </w:r>
      <w:r>
        <w:rPr>
          <w:noProof/>
          <w:position w:val="-9"/>
        </w:rPr>
        <w:drawing>
          <wp:inline distT="0" distB="0" distL="0" distR="0">
            <wp:extent cx="220980" cy="262890"/>
            <wp:effectExtent l="0" t="0" r="0" b="0"/>
            <wp:docPr id="8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не учитывается).</w:t>
      </w:r>
    </w:p>
    <w:p w:rsidR="00212513" w:rsidRDefault="00212513">
      <w:pPr>
        <w:pStyle w:val="ConsPlusNormal"/>
        <w:spacing w:before="220"/>
        <w:ind w:firstLine="540"/>
        <w:jc w:val="both"/>
      </w:pPr>
      <w:r>
        <w:t xml:space="preserve">При смешанном армировании напряжение в бетоне </w:t>
      </w:r>
      <w:r>
        <w:rPr>
          <w:noProof/>
          <w:position w:val="-8"/>
        </w:rPr>
        <w:drawing>
          <wp:inline distT="0" distB="0" distL="0" distR="0">
            <wp:extent cx="230505" cy="251460"/>
            <wp:effectExtent l="0" t="0" r="0" b="0"/>
            <wp:docPr id="8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230505" cy="251460"/>
                    </a:xfrm>
                    <a:prstGeom prst="rect">
                      <a:avLst/>
                    </a:prstGeom>
                    <a:noFill/>
                    <a:ln>
                      <a:noFill/>
                    </a:ln>
                  </pic:spPr>
                </pic:pic>
              </a:graphicData>
            </a:graphic>
          </wp:inline>
        </w:drawing>
      </w:r>
      <w:r>
        <w:t xml:space="preserve"> определяется на уровне центра тяжести той части площади растянутой зоны бетона, в пределах которой растягивающие напряжения не превышают </w:t>
      </w:r>
      <w:r>
        <w:rPr>
          <w:noProof/>
          <w:position w:val="-10"/>
        </w:rPr>
        <w:drawing>
          <wp:inline distT="0" distB="0" distL="0" distR="0">
            <wp:extent cx="586740" cy="273685"/>
            <wp:effectExtent l="0" t="0" r="0" b="0"/>
            <wp:docPr id="8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9" cstate="print">
                      <a:extLst>
                        <a:ext uri="{28A0092B-C50C-407E-A947-70E740481C1C}">
                          <a14:useLocalDpi xmlns:a14="http://schemas.microsoft.com/office/drawing/2010/main" val="0"/>
                        </a:ext>
                      </a:extLst>
                    </a:blip>
                    <a:srcRect/>
                    <a:stretch>
                      <a:fillRect/>
                    </a:stretch>
                  </pic:blipFill>
                  <pic:spPr bwMode="auto">
                    <a:xfrm>
                      <a:off x="0" y="0"/>
                      <a:ext cx="586740" cy="273685"/>
                    </a:xfrm>
                    <a:prstGeom prst="rect">
                      <a:avLst/>
                    </a:prstGeom>
                    <a:noFill/>
                    <a:ln>
                      <a:noFill/>
                    </a:ln>
                  </pic:spPr>
                </pic:pic>
              </a:graphicData>
            </a:graphic>
          </wp:inline>
        </w:drawing>
      </w:r>
      <w:r>
        <w:t>.</w:t>
      </w:r>
    </w:p>
    <w:p w:rsidR="00212513" w:rsidRDefault="00212513">
      <w:pPr>
        <w:pStyle w:val="ConsPlusNormal"/>
        <w:spacing w:before="220"/>
        <w:ind w:firstLine="540"/>
        <w:jc w:val="both"/>
      </w:pPr>
      <w:r>
        <w:t>Напряжения в ненапрягаемой арматуре при смешанном армировании допускается определять по формуле</w:t>
      </w:r>
    </w:p>
    <w:p w:rsidR="00212513" w:rsidRDefault="00212513">
      <w:pPr>
        <w:pStyle w:val="ConsPlusNormal"/>
        <w:ind w:firstLine="540"/>
        <w:jc w:val="both"/>
      </w:pPr>
    </w:p>
    <w:p w:rsidR="00212513" w:rsidRDefault="00212513">
      <w:pPr>
        <w:pStyle w:val="ConsPlusNormal"/>
        <w:jc w:val="center"/>
      </w:pPr>
      <w:r>
        <w:rPr>
          <w:noProof/>
          <w:position w:val="-26"/>
        </w:rPr>
        <w:drawing>
          <wp:inline distT="0" distB="0" distL="0" distR="0">
            <wp:extent cx="662940" cy="470535"/>
            <wp:effectExtent l="0" t="0" r="0" b="0"/>
            <wp:docPr id="8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0" cstate="print">
                      <a:extLst>
                        <a:ext uri="{28A0092B-C50C-407E-A947-70E740481C1C}">
                          <a14:useLocalDpi xmlns:a14="http://schemas.microsoft.com/office/drawing/2010/main" val="0"/>
                        </a:ext>
                      </a:extLst>
                    </a:blip>
                    <a:srcRect/>
                    <a:stretch>
                      <a:fillRect/>
                    </a:stretch>
                  </pic:blipFill>
                  <pic:spPr bwMode="auto">
                    <a:xfrm>
                      <a:off x="0" y="0"/>
                      <a:ext cx="662940" cy="470535"/>
                    </a:xfrm>
                    <a:prstGeom prst="rect">
                      <a:avLst/>
                    </a:prstGeom>
                    <a:noFill/>
                    <a:ln>
                      <a:noFill/>
                    </a:ln>
                  </pic:spPr>
                </pic:pic>
              </a:graphicData>
            </a:graphic>
          </wp:inline>
        </w:drawing>
      </w:r>
      <w:r>
        <w:t>, (7.98)</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8"/>
        </w:rPr>
        <w:drawing>
          <wp:inline distT="0" distB="0" distL="0" distR="0">
            <wp:extent cx="281940" cy="251460"/>
            <wp:effectExtent l="0" t="0" r="0" b="0"/>
            <wp:docPr id="8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1"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xml:space="preserve"> - напряжения в бетоне на уровне центра тяжести части площади </w:t>
      </w:r>
      <w:r>
        <w:rPr>
          <w:noProof/>
          <w:position w:val="-8"/>
        </w:rPr>
        <w:drawing>
          <wp:inline distT="0" distB="0" distL="0" distR="0">
            <wp:extent cx="262890" cy="251460"/>
            <wp:effectExtent l="0" t="0" r="0" b="0"/>
            <wp:docPr id="8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2"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растянутой зоны бетона, в пределах которой напряжения в бетоне превышают </w:t>
      </w:r>
      <w:r>
        <w:rPr>
          <w:noProof/>
          <w:position w:val="-10"/>
        </w:rPr>
        <w:drawing>
          <wp:inline distT="0" distB="0" distL="0" distR="0">
            <wp:extent cx="586740" cy="273685"/>
            <wp:effectExtent l="0" t="0" r="0" b="0"/>
            <wp:docPr id="8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9" cstate="print">
                      <a:extLst>
                        <a:ext uri="{28A0092B-C50C-407E-A947-70E740481C1C}">
                          <a14:useLocalDpi xmlns:a14="http://schemas.microsoft.com/office/drawing/2010/main" val="0"/>
                        </a:ext>
                      </a:extLst>
                    </a:blip>
                    <a:srcRect/>
                    <a:stretch>
                      <a:fillRect/>
                    </a:stretch>
                  </pic:blipFill>
                  <pic:spPr bwMode="auto">
                    <a:xfrm>
                      <a:off x="0" y="0"/>
                      <a:ext cx="586740" cy="273685"/>
                    </a:xfrm>
                    <a:prstGeom prst="rect">
                      <a:avLst/>
                    </a:prstGeom>
                    <a:noFill/>
                    <a:ln>
                      <a:noFill/>
                    </a:ln>
                  </pic:spPr>
                </pic:pic>
              </a:graphicData>
            </a:graphic>
          </wp:inline>
        </w:drawing>
      </w:r>
      <w:r>
        <w:t>;</w:t>
      </w:r>
    </w:p>
    <w:p w:rsidR="00212513" w:rsidRDefault="00212513">
      <w:pPr>
        <w:pStyle w:val="ConsPlusNormal"/>
        <w:ind w:firstLine="540"/>
        <w:jc w:val="both"/>
      </w:pPr>
    </w:p>
    <w:p w:rsidR="00212513" w:rsidRDefault="00212513">
      <w:pPr>
        <w:pStyle w:val="ConsPlusNormal"/>
        <w:jc w:val="center"/>
      </w:pPr>
      <w:r>
        <w:rPr>
          <w:noProof/>
          <w:position w:val="-26"/>
        </w:rPr>
        <w:drawing>
          <wp:inline distT="0" distB="0" distL="0" distR="0">
            <wp:extent cx="648970" cy="470535"/>
            <wp:effectExtent l="0" t="0" r="0" b="0"/>
            <wp:docPr id="8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648970" cy="470535"/>
                    </a:xfrm>
                    <a:prstGeom prst="rect">
                      <a:avLst/>
                    </a:prstGeom>
                    <a:noFill/>
                    <a:ln>
                      <a:noFill/>
                    </a:ln>
                  </pic:spPr>
                </pic:pic>
              </a:graphicData>
            </a:graphic>
          </wp:inline>
        </w:drawing>
      </w:r>
      <w:r>
        <w:t>. (7.99)</w:t>
      </w:r>
    </w:p>
    <w:p w:rsidR="00212513" w:rsidRDefault="00212513">
      <w:pPr>
        <w:pStyle w:val="ConsPlusNormal"/>
        <w:ind w:firstLine="540"/>
        <w:jc w:val="both"/>
      </w:pPr>
    </w:p>
    <w:p w:rsidR="00212513" w:rsidRDefault="00212513">
      <w:pPr>
        <w:pStyle w:val="ConsPlusNormal"/>
        <w:ind w:firstLine="540"/>
        <w:jc w:val="both"/>
      </w:pPr>
      <w:bookmarkStart w:id="232" w:name="P5288"/>
      <w:bookmarkEnd w:id="232"/>
      <w:r>
        <w:t xml:space="preserve">7.109 Коэффициенты раскрытия трещин </w:t>
      </w:r>
      <w:r>
        <w:rPr>
          <w:noProof/>
          <w:position w:val="-3"/>
        </w:rPr>
        <w:drawing>
          <wp:inline distT="0" distB="0" distL="0" distR="0">
            <wp:extent cx="167640" cy="188595"/>
            <wp:effectExtent l="0" t="0" r="0" b="0"/>
            <wp:docPr id="8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167640" cy="188595"/>
                    </a:xfrm>
                    <a:prstGeom prst="rect">
                      <a:avLst/>
                    </a:prstGeom>
                    <a:noFill/>
                    <a:ln>
                      <a:noFill/>
                    </a:ln>
                  </pic:spPr>
                </pic:pic>
              </a:graphicData>
            </a:graphic>
          </wp:inline>
        </w:drawing>
      </w:r>
      <w:r>
        <w:t xml:space="preserve"> следует принимать в зависимости от радиуса армирования </w:t>
      </w:r>
      <w:r>
        <w:rPr>
          <w:noProof/>
          <w:position w:val="-8"/>
        </w:rPr>
        <w:drawing>
          <wp:inline distT="0" distB="0" distL="0" distR="0">
            <wp:extent cx="198755" cy="250825"/>
            <wp:effectExtent l="0" t="0" r="0" b="0"/>
            <wp:docPr id="8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4"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см, равными:</w:t>
      </w:r>
    </w:p>
    <w:p w:rsidR="00212513" w:rsidRDefault="00212513">
      <w:pPr>
        <w:pStyle w:val="ConsPlusNormal"/>
        <w:spacing w:before="220"/>
        <w:ind w:firstLine="540"/>
        <w:jc w:val="both"/>
      </w:pPr>
      <w:r>
        <w:rPr>
          <w:noProof/>
          <w:position w:val="-8"/>
        </w:rPr>
        <w:drawing>
          <wp:inline distT="0" distB="0" distL="0" distR="0">
            <wp:extent cx="502920" cy="251460"/>
            <wp:effectExtent l="0" t="0" r="0" b="0"/>
            <wp:docPr id="8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5" cstate="print">
                      <a:extLst>
                        <a:ext uri="{28A0092B-C50C-407E-A947-70E740481C1C}">
                          <a14:useLocalDpi xmlns:a14="http://schemas.microsoft.com/office/drawing/2010/main" val="0"/>
                        </a:ext>
                      </a:extLst>
                    </a:blip>
                    <a:srcRect/>
                    <a:stretch>
                      <a:fillRect/>
                    </a:stretch>
                  </pic:blipFill>
                  <pic:spPr bwMode="auto">
                    <a:xfrm>
                      <a:off x="0" y="0"/>
                      <a:ext cx="502920" cy="251460"/>
                    </a:xfrm>
                    <a:prstGeom prst="rect">
                      <a:avLst/>
                    </a:prstGeom>
                    <a:noFill/>
                    <a:ln>
                      <a:noFill/>
                    </a:ln>
                  </pic:spPr>
                </pic:pic>
              </a:graphicData>
            </a:graphic>
          </wp:inline>
        </w:drawing>
      </w:r>
      <w:r>
        <w:t xml:space="preserve"> - для гладкой стержневой арматуры, арматурных пучков из гладкой проволоки и для стальных закрытых канатов;</w:t>
      </w:r>
    </w:p>
    <w:p w:rsidR="00212513" w:rsidRDefault="00212513">
      <w:pPr>
        <w:pStyle w:val="ConsPlusNormal"/>
        <w:spacing w:before="220"/>
        <w:ind w:firstLine="540"/>
        <w:jc w:val="both"/>
      </w:pPr>
      <w:r>
        <w:rPr>
          <w:noProof/>
          <w:position w:val="-12"/>
        </w:rPr>
        <w:drawing>
          <wp:inline distT="0" distB="0" distL="0" distR="0">
            <wp:extent cx="535305" cy="293370"/>
            <wp:effectExtent l="0" t="0" r="0" b="0"/>
            <wp:docPr id="8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6" cstate="print">
                      <a:extLst>
                        <a:ext uri="{28A0092B-C50C-407E-A947-70E740481C1C}">
                          <a14:useLocalDpi xmlns:a14="http://schemas.microsoft.com/office/drawing/2010/main" val="0"/>
                        </a:ext>
                      </a:extLst>
                    </a:blip>
                    <a:srcRect/>
                    <a:stretch>
                      <a:fillRect/>
                    </a:stretch>
                  </pic:blipFill>
                  <pic:spPr bwMode="auto">
                    <a:xfrm>
                      <a:off x="0" y="0"/>
                      <a:ext cx="535305" cy="293370"/>
                    </a:xfrm>
                    <a:prstGeom prst="rect">
                      <a:avLst/>
                    </a:prstGeom>
                    <a:noFill/>
                    <a:ln>
                      <a:noFill/>
                    </a:ln>
                  </pic:spPr>
                </pic:pic>
              </a:graphicData>
            </a:graphic>
          </wp:inline>
        </w:drawing>
      </w:r>
      <w:r>
        <w:t xml:space="preserve"> - для стержневой арматуры периодического профиля, проволок периодического профиля класса Вр, пучков из этой проволоки, канатов класса К7 и пучков из них, стальных канатов со спиральной и двойной свивкой, а также для любой арматуры в стенках.</w:t>
      </w:r>
    </w:p>
    <w:p w:rsidR="00212513" w:rsidRDefault="00212513">
      <w:pPr>
        <w:pStyle w:val="ConsPlusNormal"/>
        <w:spacing w:before="220"/>
        <w:ind w:firstLine="540"/>
        <w:jc w:val="both"/>
      </w:pPr>
      <w:r>
        <w:t>7.110 При расчете ширины раскрытия нормальных трещин радиус армирования должен определяться без учета напрягаемой арматуры, натянутой на бетон, находящейся в открытых или закрытых каналах, а также арматуры, не имеющей сцепления с бетоном, по формуле</w:t>
      </w:r>
    </w:p>
    <w:p w:rsidR="00212513" w:rsidRDefault="00212513">
      <w:pPr>
        <w:pStyle w:val="ConsPlusNormal"/>
        <w:jc w:val="both"/>
      </w:pPr>
      <w:r>
        <w:t xml:space="preserve">(в ред. </w:t>
      </w:r>
      <w:hyperlink r:id="rId1257">
        <w:r>
          <w:rPr>
            <w:color w:val="0000FF"/>
          </w:rPr>
          <w:t>Изменения N 3</w:t>
        </w:r>
      </w:hyperlink>
      <w:r>
        <w:t>, утв. Приказом Минстроя России от 29.12.2020 N 891/пр)</w:t>
      </w:r>
    </w:p>
    <w:p w:rsidR="00212513" w:rsidRDefault="00212513">
      <w:pPr>
        <w:pStyle w:val="ConsPlusNormal"/>
        <w:ind w:firstLine="540"/>
        <w:jc w:val="both"/>
      </w:pPr>
    </w:p>
    <w:p w:rsidR="00212513" w:rsidRDefault="00212513">
      <w:pPr>
        <w:pStyle w:val="ConsPlusNormal"/>
        <w:jc w:val="center"/>
      </w:pPr>
      <w:r>
        <w:rPr>
          <w:noProof/>
          <w:position w:val="-27"/>
        </w:rPr>
        <w:drawing>
          <wp:inline distT="0" distB="0" distL="0" distR="0">
            <wp:extent cx="898525" cy="494030"/>
            <wp:effectExtent l="0" t="0" r="0" b="0"/>
            <wp:docPr id="8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898525" cy="494030"/>
                    </a:xfrm>
                    <a:prstGeom prst="rect">
                      <a:avLst/>
                    </a:prstGeom>
                    <a:noFill/>
                    <a:ln>
                      <a:noFill/>
                    </a:ln>
                  </pic:spPr>
                </pic:pic>
              </a:graphicData>
            </a:graphic>
          </wp:inline>
        </w:drawing>
      </w:r>
      <w:r>
        <w:t>, (7.100)</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8"/>
        </w:rPr>
        <w:drawing>
          <wp:inline distT="0" distB="0" distL="0" distR="0">
            <wp:extent cx="198755" cy="250825"/>
            <wp:effectExtent l="0" t="0" r="0" b="0"/>
            <wp:docPr id="8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9"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площадь зоны взаимодействия для нормального сечения, принимаемая ограниченной наружным контуром сечения и радиусом взаимодействия </w:t>
      </w:r>
      <w:r>
        <w:rPr>
          <w:i/>
        </w:rPr>
        <w:t>r</w:t>
      </w:r>
      <w:r>
        <w:t xml:space="preserve"> = 6</w:t>
      </w:r>
      <w:r>
        <w:rPr>
          <w:i/>
        </w:rPr>
        <w:t>d</w:t>
      </w:r>
      <w:r>
        <w:t>;</w:t>
      </w:r>
    </w:p>
    <w:p w:rsidR="00212513" w:rsidRDefault="00212513">
      <w:pPr>
        <w:pStyle w:val="ConsPlusNormal"/>
        <w:spacing w:before="220"/>
        <w:ind w:firstLine="540"/>
        <w:jc w:val="both"/>
      </w:pPr>
      <w:r>
        <w:rPr>
          <w:noProof/>
          <w:position w:val="-6"/>
        </w:rPr>
        <w:drawing>
          <wp:inline distT="0" distB="0" distL="0" distR="0">
            <wp:extent cx="167640" cy="220980"/>
            <wp:effectExtent l="0" t="0" r="0" b="0"/>
            <wp:docPr id="8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0" cstate="print">
                      <a:extLst>
                        <a:ext uri="{28A0092B-C50C-407E-A947-70E740481C1C}">
                          <a14:useLocalDpi xmlns:a14="http://schemas.microsoft.com/office/drawing/2010/main" val="0"/>
                        </a:ext>
                      </a:extLst>
                    </a:blip>
                    <a:srcRect/>
                    <a:stretch>
                      <a:fillRect/>
                    </a:stretch>
                  </pic:blipFill>
                  <pic:spPr bwMode="auto">
                    <a:xfrm>
                      <a:off x="0" y="0"/>
                      <a:ext cx="167640" cy="220980"/>
                    </a:xfrm>
                    <a:prstGeom prst="rect">
                      <a:avLst/>
                    </a:prstGeom>
                    <a:noFill/>
                    <a:ln>
                      <a:noFill/>
                    </a:ln>
                  </pic:spPr>
                </pic:pic>
              </a:graphicData>
            </a:graphic>
          </wp:inline>
        </w:drawing>
      </w:r>
      <w:r>
        <w:t xml:space="preserve"> - коэффициент, учитывающий степень сцепления арматурных элементов с бетоном согласно таблице 7.26;</w:t>
      </w:r>
    </w:p>
    <w:p w:rsidR="00212513" w:rsidRDefault="00212513">
      <w:pPr>
        <w:pStyle w:val="ConsPlusNormal"/>
        <w:spacing w:before="220"/>
        <w:ind w:firstLine="540"/>
        <w:jc w:val="both"/>
      </w:pPr>
      <w:r>
        <w:rPr>
          <w:i/>
        </w:rPr>
        <w:t>n</w:t>
      </w:r>
      <w:r>
        <w:t xml:space="preserve"> - число арматурных элементов с одинаковым номинальным диаметром </w:t>
      </w:r>
      <w:r>
        <w:rPr>
          <w:i/>
        </w:rPr>
        <w:t>d</w:t>
      </w:r>
      <w:r>
        <w:t>;</w:t>
      </w:r>
    </w:p>
    <w:p w:rsidR="00212513" w:rsidRDefault="00212513">
      <w:pPr>
        <w:pStyle w:val="ConsPlusNormal"/>
        <w:spacing w:before="220"/>
        <w:ind w:firstLine="540"/>
        <w:jc w:val="both"/>
      </w:pPr>
      <w:r>
        <w:rPr>
          <w:i/>
        </w:rPr>
        <w:t>d</w:t>
      </w:r>
      <w:r>
        <w:t xml:space="preserve"> - диаметр одного стержня (включая случаи расположения стержней в группах).</w:t>
      </w:r>
    </w:p>
    <w:p w:rsidR="00212513" w:rsidRDefault="00212513">
      <w:pPr>
        <w:pStyle w:val="ConsPlusNormal"/>
        <w:ind w:firstLine="540"/>
        <w:jc w:val="both"/>
      </w:pPr>
    </w:p>
    <w:p w:rsidR="00212513" w:rsidRDefault="00212513">
      <w:pPr>
        <w:pStyle w:val="ConsPlusNormal"/>
        <w:jc w:val="right"/>
      </w:pPr>
      <w:bookmarkStart w:id="233" w:name="P5301"/>
      <w:bookmarkEnd w:id="233"/>
      <w:r>
        <w:t>Таблица 7.26</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6917"/>
        <w:gridCol w:w="1757"/>
      </w:tblGrid>
      <w:tr w:rsidR="00212513">
        <w:tc>
          <w:tcPr>
            <w:tcW w:w="7314" w:type="dxa"/>
            <w:gridSpan w:val="2"/>
            <w:tcBorders>
              <w:top w:val="single" w:sz="4" w:space="0" w:color="auto"/>
              <w:bottom w:val="single" w:sz="4" w:space="0" w:color="auto"/>
            </w:tcBorders>
            <w:vAlign w:val="center"/>
          </w:tcPr>
          <w:p w:rsidR="00212513" w:rsidRDefault="00212513">
            <w:pPr>
              <w:pStyle w:val="ConsPlusNormal"/>
              <w:jc w:val="center"/>
            </w:pPr>
            <w:r>
              <w:t>Вид армирования конструкции</w:t>
            </w:r>
          </w:p>
        </w:tc>
        <w:tc>
          <w:tcPr>
            <w:tcW w:w="1757" w:type="dxa"/>
            <w:tcBorders>
              <w:top w:val="single" w:sz="4" w:space="0" w:color="auto"/>
              <w:bottom w:val="single" w:sz="4" w:space="0" w:color="auto"/>
            </w:tcBorders>
            <w:vAlign w:val="center"/>
          </w:tcPr>
          <w:p w:rsidR="00212513" w:rsidRDefault="00212513">
            <w:pPr>
              <w:pStyle w:val="ConsPlusNormal"/>
              <w:jc w:val="center"/>
            </w:pPr>
            <w:r>
              <w:t>Коэффициент </w:t>
            </w:r>
            <w:r>
              <w:rPr>
                <w:noProof/>
                <w:position w:val="-6"/>
              </w:rPr>
              <w:drawing>
                <wp:inline distT="0" distB="0" distL="0" distR="0">
                  <wp:extent cx="167640" cy="220345"/>
                  <wp:effectExtent l="0" t="0" r="0" b="0"/>
                  <wp:docPr id="8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1" cstate="print">
                            <a:extLst>
                              <a:ext uri="{28A0092B-C50C-407E-A947-70E740481C1C}">
                                <a14:useLocalDpi xmlns:a14="http://schemas.microsoft.com/office/drawing/2010/main" val="0"/>
                              </a:ext>
                            </a:extLst>
                          </a:blip>
                          <a:srcRect/>
                          <a:stretch>
                            <a:fillRect/>
                          </a:stretch>
                        </pic:blipFill>
                        <pic:spPr bwMode="auto">
                          <a:xfrm>
                            <a:off x="0" y="0"/>
                            <a:ext cx="167640" cy="220345"/>
                          </a:xfrm>
                          <a:prstGeom prst="rect">
                            <a:avLst/>
                          </a:prstGeom>
                          <a:noFill/>
                          <a:ln>
                            <a:noFill/>
                          </a:ln>
                        </pic:spPr>
                      </pic:pic>
                    </a:graphicData>
                  </a:graphic>
                </wp:inline>
              </w:drawing>
            </w:r>
          </w:p>
        </w:tc>
      </w:tr>
      <w:tr w:rsidR="00212513">
        <w:tblPrEx>
          <w:tblBorders>
            <w:insideH w:val="none" w:sz="0" w:space="0" w:color="auto"/>
            <w:insideV w:val="nil"/>
          </w:tblBorders>
        </w:tblPrEx>
        <w:tc>
          <w:tcPr>
            <w:tcW w:w="397" w:type="dxa"/>
            <w:tcBorders>
              <w:top w:val="single" w:sz="4" w:space="0" w:color="auto"/>
              <w:left w:val="single" w:sz="4" w:space="0" w:color="auto"/>
              <w:bottom w:val="nil"/>
            </w:tcBorders>
          </w:tcPr>
          <w:p w:rsidR="00212513" w:rsidRDefault="00212513">
            <w:pPr>
              <w:pStyle w:val="ConsPlusNormal"/>
              <w:jc w:val="center"/>
            </w:pPr>
            <w:r>
              <w:t>1</w:t>
            </w:r>
          </w:p>
        </w:tc>
        <w:tc>
          <w:tcPr>
            <w:tcW w:w="6917" w:type="dxa"/>
            <w:tcBorders>
              <w:top w:val="single" w:sz="4" w:space="0" w:color="auto"/>
              <w:bottom w:val="nil"/>
              <w:right w:val="single" w:sz="4" w:space="0" w:color="auto"/>
            </w:tcBorders>
          </w:tcPr>
          <w:p w:rsidR="00212513" w:rsidRDefault="00212513">
            <w:pPr>
              <w:pStyle w:val="ConsPlusNormal"/>
            </w:pPr>
            <w:r>
              <w:t>Одиночные стержни (гладкие и периодического профиля), одиночные проволоки периодического профиля или арматурные канаты класса К7</w:t>
            </w:r>
          </w:p>
        </w:tc>
        <w:tc>
          <w:tcPr>
            <w:tcW w:w="1757" w:type="dxa"/>
            <w:tcBorders>
              <w:top w:val="single" w:sz="4" w:space="0" w:color="auto"/>
              <w:left w:val="single" w:sz="4" w:space="0" w:color="auto"/>
              <w:bottom w:val="nil"/>
              <w:right w:val="single" w:sz="4" w:space="0" w:color="auto"/>
            </w:tcBorders>
          </w:tcPr>
          <w:p w:rsidR="00212513" w:rsidRDefault="00212513">
            <w:pPr>
              <w:pStyle w:val="ConsPlusNormal"/>
              <w:jc w:val="center"/>
            </w:pPr>
            <w:r>
              <w:t>1,00</w:t>
            </w:r>
          </w:p>
        </w:tc>
      </w:tr>
      <w:tr w:rsidR="00212513">
        <w:tblPrEx>
          <w:tblBorders>
            <w:insideH w:val="none" w:sz="0" w:space="0" w:color="auto"/>
            <w:insideV w:val="nil"/>
          </w:tblBorders>
        </w:tblPrEx>
        <w:tc>
          <w:tcPr>
            <w:tcW w:w="397" w:type="dxa"/>
            <w:tcBorders>
              <w:top w:val="nil"/>
              <w:left w:val="single" w:sz="4" w:space="0" w:color="auto"/>
              <w:bottom w:val="nil"/>
            </w:tcBorders>
          </w:tcPr>
          <w:p w:rsidR="00212513" w:rsidRDefault="00212513">
            <w:pPr>
              <w:pStyle w:val="ConsPlusNormal"/>
              <w:jc w:val="center"/>
            </w:pPr>
            <w:r>
              <w:t>2</w:t>
            </w:r>
          </w:p>
        </w:tc>
        <w:tc>
          <w:tcPr>
            <w:tcW w:w="6917" w:type="dxa"/>
            <w:tcBorders>
              <w:top w:val="nil"/>
              <w:bottom w:val="nil"/>
              <w:right w:val="single" w:sz="4" w:space="0" w:color="auto"/>
            </w:tcBorders>
          </w:tcPr>
          <w:p w:rsidR="00212513" w:rsidRDefault="00212513">
            <w:pPr>
              <w:pStyle w:val="ConsPlusNormal"/>
            </w:pPr>
            <w:r>
              <w:t>Ряды из двух стержней (без просветов), группами из сдвоенных стержней (с просветами между группами стержней)</w:t>
            </w:r>
          </w:p>
        </w:tc>
        <w:tc>
          <w:tcPr>
            <w:tcW w:w="1757" w:type="dxa"/>
            <w:tcBorders>
              <w:top w:val="nil"/>
              <w:left w:val="single" w:sz="4" w:space="0" w:color="auto"/>
              <w:bottom w:val="nil"/>
              <w:right w:val="single" w:sz="4" w:space="0" w:color="auto"/>
            </w:tcBorders>
          </w:tcPr>
          <w:p w:rsidR="00212513" w:rsidRDefault="00212513">
            <w:pPr>
              <w:pStyle w:val="ConsPlusNormal"/>
              <w:jc w:val="center"/>
            </w:pPr>
            <w:r>
              <w:t>0,85</w:t>
            </w:r>
          </w:p>
        </w:tc>
      </w:tr>
      <w:tr w:rsidR="00212513">
        <w:tblPrEx>
          <w:tblBorders>
            <w:insideH w:val="none" w:sz="0" w:space="0" w:color="auto"/>
            <w:insideV w:val="nil"/>
          </w:tblBorders>
        </w:tblPrEx>
        <w:tc>
          <w:tcPr>
            <w:tcW w:w="397" w:type="dxa"/>
            <w:tcBorders>
              <w:top w:val="nil"/>
              <w:left w:val="single" w:sz="4" w:space="0" w:color="auto"/>
              <w:bottom w:val="nil"/>
            </w:tcBorders>
          </w:tcPr>
          <w:p w:rsidR="00212513" w:rsidRDefault="00212513">
            <w:pPr>
              <w:pStyle w:val="ConsPlusNormal"/>
              <w:jc w:val="center"/>
            </w:pPr>
            <w:r>
              <w:t>3</w:t>
            </w:r>
          </w:p>
        </w:tc>
        <w:tc>
          <w:tcPr>
            <w:tcW w:w="6917" w:type="dxa"/>
            <w:tcBorders>
              <w:top w:val="nil"/>
              <w:bottom w:val="nil"/>
              <w:right w:val="single" w:sz="4" w:space="0" w:color="auto"/>
            </w:tcBorders>
          </w:tcPr>
          <w:p w:rsidR="00212513" w:rsidRDefault="00212513">
            <w:pPr>
              <w:pStyle w:val="ConsPlusNormal"/>
            </w:pPr>
            <w:r>
              <w:t>То же, из трех стержней (с просветами между группами стержней), стальные канаты со спиральной и двойной свивкой, пучки из арматурных канатов класса К7</w:t>
            </w:r>
          </w:p>
        </w:tc>
        <w:tc>
          <w:tcPr>
            <w:tcW w:w="1757" w:type="dxa"/>
            <w:tcBorders>
              <w:top w:val="nil"/>
              <w:left w:val="single" w:sz="4" w:space="0" w:color="auto"/>
              <w:bottom w:val="nil"/>
              <w:right w:val="single" w:sz="4" w:space="0" w:color="auto"/>
            </w:tcBorders>
          </w:tcPr>
          <w:p w:rsidR="00212513" w:rsidRDefault="00212513">
            <w:pPr>
              <w:pStyle w:val="ConsPlusNormal"/>
              <w:jc w:val="center"/>
            </w:pPr>
            <w:r>
              <w:t>0,75</w:t>
            </w:r>
          </w:p>
        </w:tc>
      </w:tr>
      <w:tr w:rsidR="00212513">
        <w:tblPrEx>
          <w:tblBorders>
            <w:insideH w:val="none" w:sz="0" w:space="0" w:color="auto"/>
            <w:insideV w:val="nil"/>
          </w:tblBorders>
        </w:tblPrEx>
        <w:tc>
          <w:tcPr>
            <w:tcW w:w="397" w:type="dxa"/>
            <w:tcBorders>
              <w:top w:val="nil"/>
              <w:left w:val="single" w:sz="4" w:space="0" w:color="auto"/>
              <w:bottom w:val="nil"/>
            </w:tcBorders>
          </w:tcPr>
          <w:p w:rsidR="00212513" w:rsidRDefault="00212513">
            <w:pPr>
              <w:pStyle w:val="ConsPlusNormal"/>
              <w:jc w:val="center"/>
            </w:pPr>
            <w:r>
              <w:t>4</w:t>
            </w:r>
          </w:p>
        </w:tc>
        <w:tc>
          <w:tcPr>
            <w:tcW w:w="6917" w:type="dxa"/>
            <w:tcBorders>
              <w:top w:val="nil"/>
              <w:bottom w:val="nil"/>
              <w:right w:val="single" w:sz="4" w:space="0" w:color="auto"/>
            </w:tcBorders>
          </w:tcPr>
          <w:p w:rsidR="00212513" w:rsidRDefault="00212513">
            <w:pPr>
              <w:pStyle w:val="ConsPlusNormal"/>
            </w:pPr>
            <w:r>
              <w:t>Пучки с числом проволок до 24 включительно</w:t>
            </w:r>
          </w:p>
        </w:tc>
        <w:tc>
          <w:tcPr>
            <w:tcW w:w="1757" w:type="dxa"/>
            <w:tcBorders>
              <w:top w:val="nil"/>
              <w:left w:val="single" w:sz="4" w:space="0" w:color="auto"/>
              <w:bottom w:val="nil"/>
              <w:right w:val="single" w:sz="4" w:space="0" w:color="auto"/>
            </w:tcBorders>
          </w:tcPr>
          <w:p w:rsidR="00212513" w:rsidRDefault="00212513">
            <w:pPr>
              <w:pStyle w:val="ConsPlusNormal"/>
              <w:jc w:val="center"/>
            </w:pPr>
            <w:r>
              <w:t>0,65</w:t>
            </w:r>
          </w:p>
        </w:tc>
      </w:tr>
      <w:tr w:rsidR="00212513">
        <w:tblPrEx>
          <w:tblBorders>
            <w:insideH w:val="none" w:sz="0" w:space="0" w:color="auto"/>
            <w:insideV w:val="nil"/>
          </w:tblBorders>
        </w:tblPrEx>
        <w:tc>
          <w:tcPr>
            <w:tcW w:w="397" w:type="dxa"/>
            <w:tcBorders>
              <w:top w:val="nil"/>
              <w:left w:val="single" w:sz="4" w:space="0" w:color="auto"/>
              <w:bottom w:val="single" w:sz="4" w:space="0" w:color="auto"/>
            </w:tcBorders>
          </w:tcPr>
          <w:p w:rsidR="00212513" w:rsidRDefault="00212513">
            <w:pPr>
              <w:pStyle w:val="ConsPlusNormal"/>
              <w:jc w:val="center"/>
            </w:pPr>
            <w:r>
              <w:t>5</w:t>
            </w:r>
          </w:p>
        </w:tc>
        <w:tc>
          <w:tcPr>
            <w:tcW w:w="6917" w:type="dxa"/>
            <w:tcBorders>
              <w:top w:val="nil"/>
              <w:bottom w:val="single" w:sz="4" w:space="0" w:color="auto"/>
              <w:right w:val="single" w:sz="4" w:space="0" w:color="auto"/>
            </w:tcBorders>
          </w:tcPr>
          <w:p w:rsidR="00212513" w:rsidRDefault="00212513">
            <w:pPr>
              <w:pStyle w:val="ConsPlusNormal"/>
            </w:pPr>
            <w:r>
              <w:t>Пучки с числом проволок свыше 24 или стальные закрытые канаты</w:t>
            </w:r>
          </w:p>
        </w:tc>
        <w:tc>
          <w:tcPr>
            <w:tcW w:w="1757" w:type="dxa"/>
            <w:tcBorders>
              <w:top w:val="nil"/>
              <w:left w:val="single" w:sz="4" w:space="0" w:color="auto"/>
              <w:bottom w:val="single" w:sz="4" w:space="0" w:color="auto"/>
              <w:right w:val="single" w:sz="4" w:space="0" w:color="auto"/>
            </w:tcBorders>
          </w:tcPr>
          <w:p w:rsidR="00212513" w:rsidRDefault="00212513">
            <w:pPr>
              <w:pStyle w:val="ConsPlusNormal"/>
              <w:jc w:val="center"/>
            </w:pPr>
            <w:r>
              <w:t>0,50</w:t>
            </w:r>
          </w:p>
        </w:tc>
      </w:tr>
    </w:tbl>
    <w:p w:rsidR="00212513" w:rsidRDefault="00212513">
      <w:pPr>
        <w:pStyle w:val="ConsPlusNormal"/>
        <w:ind w:firstLine="540"/>
        <w:jc w:val="both"/>
      </w:pPr>
    </w:p>
    <w:p w:rsidR="00212513" w:rsidRDefault="00212513">
      <w:pPr>
        <w:pStyle w:val="ConsPlusNormal"/>
        <w:ind w:firstLine="540"/>
        <w:jc w:val="both"/>
      </w:pPr>
      <w:r>
        <w:t xml:space="preserve">Для непрямоугольных сечений с арматурой, равномерно распределенной по контуру, радиус взаимодействия принимается </w:t>
      </w:r>
      <w:r>
        <w:rPr>
          <w:i/>
        </w:rPr>
        <w:t>r</w:t>
      </w:r>
      <w:r>
        <w:t xml:space="preserve"> = 3</w:t>
      </w:r>
      <w:r>
        <w:rPr>
          <w:i/>
        </w:rPr>
        <w:t>d</w:t>
      </w:r>
      <w:r>
        <w:t>.</w:t>
      </w:r>
    </w:p>
    <w:p w:rsidR="00212513" w:rsidRDefault="00212513">
      <w:pPr>
        <w:pStyle w:val="ConsPlusNormal"/>
        <w:spacing w:before="220"/>
        <w:ind w:firstLine="540"/>
        <w:jc w:val="both"/>
      </w:pPr>
      <w:r>
        <w:t xml:space="preserve">Для пучков и канатов </w:t>
      </w:r>
      <w:r>
        <w:rPr>
          <w:i/>
        </w:rPr>
        <w:t>d</w:t>
      </w:r>
      <w:r>
        <w:t xml:space="preserve"> соответствует наружному контуру арматурного элемента, а </w:t>
      </w:r>
      <w:r>
        <w:rPr>
          <w:i/>
        </w:rPr>
        <w:t>r</w:t>
      </w:r>
      <w:r>
        <w:t xml:space="preserve"> = 5</w:t>
      </w:r>
      <w:r>
        <w:rPr>
          <w:i/>
        </w:rPr>
        <w:t>d</w:t>
      </w:r>
      <w:r>
        <w:t>.</w:t>
      </w:r>
    </w:p>
    <w:p w:rsidR="00212513" w:rsidRDefault="00212513">
      <w:pPr>
        <w:pStyle w:val="ConsPlusNormal"/>
        <w:spacing w:before="220"/>
        <w:ind w:firstLine="540"/>
        <w:jc w:val="both"/>
      </w:pPr>
      <w:r>
        <w:t xml:space="preserve">Радиус взаимодействия </w:t>
      </w:r>
      <w:r>
        <w:rPr>
          <w:i/>
        </w:rPr>
        <w:t>r</w:t>
      </w:r>
      <w:r>
        <w:t xml:space="preserve"> следует откладывать от крайнего, ближайшего к нейтральной оси ряда стержня. Если в крайнем ряду установлено менее половины площади поперечного сечения стержней по отношению к площади арматуры в каждом из остальных рядов, то </w:t>
      </w:r>
      <w:r>
        <w:rPr>
          <w:i/>
        </w:rPr>
        <w:t>r</w:t>
      </w:r>
      <w:r>
        <w:t xml:space="preserve"> следует откладывать от предпоследнего ряда с полным числом стержней; в круглых сечениях </w:t>
      </w:r>
      <w:r>
        <w:rPr>
          <w:i/>
        </w:rPr>
        <w:t>r</w:t>
      </w:r>
      <w:r>
        <w:t xml:space="preserve"> следует откладывать от оси наиболее напряженного стержня в сторону нейтральной оси, а при пучках стержней - от оси внутреннего стержня наиболее напряженного пучка.</w:t>
      </w:r>
    </w:p>
    <w:p w:rsidR="00212513" w:rsidRDefault="00212513">
      <w:pPr>
        <w:pStyle w:val="ConsPlusNormal"/>
        <w:spacing w:before="220"/>
        <w:ind w:firstLine="540"/>
        <w:jc w:val="both"/>
      </w:pPr>
      <w:r>
        <w:t>Зона взаимодействия не должна выходить за нейтральную ось, и ее высота не должна превышать высоты сечения, а в центрально-растянутых элементах принимается равной всей площади сечения. В круглых сечениях площадь зоны взаимодействия и радиус армирования следует определять для наиболее напряженного стержня или пучка.</w:t>
      </w:r>
    </w:p>
    <w:p w:rsidR="00212513" w:rsidRDefault="00212513">
      <w:pPr>
        <w:pStyle w:val="ConsPlusNormal"/>
        <w:spacing w:before="220"/>
        <w:ind w:firstLine="540"/>
        <w:jc w:val="both"/>
      </w:pPr>
      <w:r>
        <w:t>При расчете ширины наклонных трещин радиус армирования следует определять по формуле</w:t>
      </w:r>
    </w:p>
    <w:p w:rsidR="00212513" w:rsidRDefault="00212513">
      <w:pPr>
        <w:pStyle w:val="ConsPlusNormal"/>
        <w:ind w:firstLine="540"/>
        <w:jc w:val="both"/>
      </w:pPr>
    </w:p>
    <w:p w:rsidR="00212513" w:rsidRDefault="00212513">
      <w:pPr>
        <w:pStyle w:val="ConsPlusNormal"/>
        <w:jc w:val="center"/>
      </w:pPr>
      <w:r>
        <w:rPr>
          <w:noProof/>
          <w:position w:val="-27"/>
        </w:rPr>
        <w:drawing>
          <wp:inline distT="0" distB="0" distL="0" distR="0">
            <wp:extent cx="3897630" cy="494030"/>
            <wp:effectExtent l="0" t="0" r="0" b="0"/>
            <wp:docPr id="8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2" cstate="print">
                      <a:extLst>
                        <a:ext uri="{28A0092B-C50C-407E-A947-70E740481C1C}">
                          <a14:useLocalDpi xmlns:a14="http://schemas.microsoft.com/office/drawing/2010/main" val="0"/>
                        </a:ext>
                      </a:extLst>
                    </a:blip>
                    <a:srcRect/>
                    <a:stretch>
                      <a:fillRect/>
                    </a:stretch>
                  </pic:blipFill>
                  <pic:spPr bwMode="auto">
                    <a:xfrm>
                      <a:off x="0" y="0"/>
                      <a:ext cx="3897630" cy="494030"/>
                    </a:xfrm>
                    <a:prstGeom prst="rect">
                      <a:avLst/>
                    </a:prstGeom>
                    <a:noFill/>
                    <a:ln>
                      <a:noFill/>
                    </a:ln>
                  </pic:spPr>
                </pic:pic>
              </a:graphicData>
            </a:graphic>
          </wp:inline>
        </w:drawing>
      </w:r>
      <w:r>
        <w:t>, (7.101)</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8"/>
        </w:rPr>
        <w:drawing>
          <wp:inline distT="0" distB="0" distL="0" distR="0">
            <wp:extent cx="198755" cy="250825"/>
            <wp:effectExtent l="0" t="0" r="0" b="0"/>
            <wp:docPr id="8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3"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площадь зоны взаимодействия для наклонного сечения, определяемая по формуле</w:t>
      </w:r>
    </w:p>
    <w:p w:rsidR="00212513" w:rsidRDefault="00212513">
      <w:pPr>
        <w:pStyle w:val="ConsPlusNormal"/>
        <w:ind w:firstLine="540"/>
        <w:jc w:val="both"/>
      </w:pPr>
    </w:p>
    <w:p w:rsidR="00212513" w:rsidRDefault="00212513">
      <w:pPr>
        <w:pStyle w:val="ConsPlusNormal"/>
        <w:jc w:val="center"/>
      </w:pPr>
      <w:r>
        <w:rPr>
          <w:noProof/>
          <w:position w:val="-8"/>
        </w:rPr>
        <w:drawing>
          <wp:inline distT="0" distB="0" distL="0" distR="0">
            <wp:extent cx="544830" cy="251460"/>
            <wp:effectExtent l="0" t="0" r="0" b="0"/>
            <wp:docPr id="8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4" cstate="print">
                      <a:extLst>
                        <a:ext uri="{28A0092B-C50C-407E-A947-70E740481C1C}">
                          <a14:useLocalDpi xmlns:a14="http://schemas.microsoft.com/office/drawing/2010/main" val="0"/>
                        </a:ext>
                      </a:extLst>
                    </a:blip>
                    <a:srcRect/>
                    <a:stretch>
                      <a:fillRect/>
                    </a:stretch>
                  </pic:blipFill>
                  <pic:spPr bwMode="auto">
                    <a:xfrm>
                      <a:off x="0" y="0"/>
                      <a:ext cx="544830" cy="251460"/>
                    </a:xfrm>
                    <a:prstGeom prst="rect">
                      <a:avLst/>
                    </a:prstGeom>
                    <a:noFill/>
                    <a:ln>
                      <a:noFill/>
                    </a:ln>
                  </pic:spPr>
                </pic:pic>
              </a:graphicData>
            </a:graphic>
          </wp:inline>
        </w:drawing>
      </w:r>
      <w:r>
        <w:t>, (7.102)</w:t>
      </w:r>
    </w:p>
    <w:p w:rsidR="00212513" w:rsidRDefault="00212513">
      <w:pPr>
        <w:pStyle w:val="ConsPlusNormal"/>
        <w:jc w:val="center"/>
      </w:pPr>
    </w:p>
    <w:p w:rsidR="00212513" w:rsidRDefault="00212513">
      <w:pPr>
        <w:pStyle w:val="ConsPlusNormal"/>
        <w:ind w:firstLine="540"/>
        <w:jc w:val="both"/>
      </w:pPr>
      <w:r>
        <w:rPr>
          <w:noProof/>
          <w:position w:val="-8"/>
        </w:rPr>
        <w:drawing>
          <wp:inline distT="0" distB="0" distL="0" distR="0">
            <wp:extent cx="125730" cy="251460"/>
            <wp:effectExtent l="0" t="0" r="0" b="0"/>
            <wp:docPr id="9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5" cstate="print">
                      <a:extLst>
                        <a:ext uri="{28A0092B-C50C-407E-A947-70E740481C1C}">
                          <a14:useLocalDpi xmlns:a14="http://schemas.microsoft.com/office/drawing/2010/main" val="0"/>
                        </a:ext>
                      </a:extLst>
                    </a:blip>
                    <a:srcRect/>
                    <a:stretch>
                      <a:fillRect/>
                    </a:stretch>
                  </pic:blipFill>
                  <pic:spPr bwMode="auto">
                    <a:xfrm>
                      <a:off x="0" y="0"/>
                      <a:ext cx="125730" cy="251460"/>
                    </a:xfrm>
                    <a:prstGeom prst="rect">
                      <a:avLst/>
                    </a:prstGeom>
                    <a:noFill/>
                    <a:ln>
                      <a:noFill/>
                    </a:ln>
                  </pic:spPr>
                </pic:pic>
              </a:graphicData>
            </a:graphic>
          </wp:inline>
        </w:drawing>
      </w:r>
      <w:r>
        <w:t xml:space="preserve"> - длина наклонного сечения стенки по </w:t>
      </w:r>
      <w:hyperlink w:anchor="P5251">
        <w:r>
          <w:rPr>
            <w:color w:val="0000FF"/>
          </w:rPr>
          <w:t>7.107</w:t>
        </w:r>
      </w:hyperlink>
      <w:r>
        <w:t>;</w:t>
      </w:r>
    </w:p>
    <w:p w:rsidR="00212513" w:rsidRDefault="00212513">
      <w:pPr>
        <w:pStyle w:val="ConsPlusNormal"/>
        <w:spacing w:before="220"/>
        <w:ind w:firstLine="540"/>
        <w:jc w:val="both"/>
      </w:pPr>
      <w:r>
        <w:rPr>
          <w:i/>
        </w:rPr>
        <w:t>b</w:t>
      </w:r>
      <w:r>
        <w:t xml:space="preserve"> - толщина стенки;</w:t>
      </w:r>
    </w:p>
    <w:p w:rsidR="00212513" w:rsidRDefault="00212513">
      <w:pPr>
        <w:pStyle w:val="ConsPlusNormal"/>
        <w:spacing w:before="220"/>
        <w:ind w:firstLine="540"/>
        <w:jc w:val="both"/>
      </w:pPr>
      <w:r>
        <w:rPr>
          <w:noProof/>
          <w:position w:val="-8"/>
        </w:rPr>
        <w:drawing>
          <wp:inline distT="0" distB="0" distL="0" distR="0">
            <wp:extent cx="167640" cy="251460"/>
            <wp:effectExtent l="0" t="0" r="0" b="0"/>
            <wp:docPr id="9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6"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9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7"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8"/>
        </w:rPr>
        <w:drawing>
          <wp:inline distT="0" distB="0" distL="0" distR="0">
            <wp:extent cx="167640" cy="251460"/>
            <wp:effectExtent l="0" t="0" r="0" b="0"/>
            <wp:docPr id="9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8"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число наклонных стержней(или пучков) ветвей хомутов и продольных стержней в пределах наклонного сечения;</w:t>
      </w:r>
    </w:p>
    <w:p w:rsidR="00212513" w:rsidRDefault="00212513">
      <w:pPr>
        <w:pStyle w:val="ConsPlusNormal"/>
        <w:spacing w:before="220"/>
        <w:ind w:firstLine="540"/>
        <w:jc w:val="both"/>
      </w:pPr>
      <w:r>
        <w:rPr>
          <w:noProof/>
          <w:position w:val="-8"/>
        </w:rPr>
        <w:lastRenderedPageBreak/>
        <w:drawing>
          <wp:inline distT="0" distB="0" distL="0" distR="0">
            <wp:extent cx="167640" cy="251460"/>
            <wp:effectExtent l="0" t="0" r="0" b="0"/>
            <wp:docPr id="9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9"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9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8"/>
        </w:rPr>
        <w:drawing>
          <wp:inline distT="0" distB="0" distL="0" distR="0">
            <wp:extent cx="177800" cy="251460"/>
            <wp:effectExtent l="0" t="0" r="0" b="0"/>
            <wp:docPr id="9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1"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диаметры соответственно наклонных стержней (или пучков), хомутов и продольных стержней, пересекающих наклонное сечение в пределах стенки;</w:t>
      </w:r>
    </w:p>
    <w:p w:rsidR="00212513" w:rsidRDefault="00212513">
      <w:pPr>
        <w:pStyle w:val="ConsPlusNormal"/>
        <w:spacing w:before="220"/>
        <w:ind w:firstLine="540"/>
        <w:jc w:val="both"/>
      </w:pPr>
      <w:r>
        <w:rPr>
          <w:noProof/>
          <w:position w:val="-8"/>
        </w:rPr>
        <w:drawing>
          <wp:inline distT="0" distB="0" distL="0" distR="0">
            <wp:extent cx="177800" cy="251460"/>
            <wp:effectExtent l="0" t="0" r="0" b="0"/>
            <wp:docPr id="9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w:t>
      </w:r>
      <w:r>
        <w:rPr>
          <w:noProof/>
          <w:position w:val="-8"/>
        </w:rPr>
        <w:drawing>
          <wp:inline distT="0" distB="0" distL="0" distR="0">
            <wp:extent cx="220980" cy="251460"/>
            <wp:effectExtent l="0" t="0" r="0" b="0"/>
            <wp:docPr id="9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3"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9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углы между наклонными стержнями (или пучками), хомутами, продольными стержнями и нормалью к наклонному сечению согласно </w:t>
      </w:r>
      <w:hyperlink w:anchor="P5268">
        <w:r>
          <w:rPr>
            <w:color w:val="0000FF"/>
          </w:rPr>
          <w:t>рисунку 7.9</w:t>
        </w:r>
      </w:hyperlink>
      <w:r>
        <w:t>.</w:t>
      </w:r>
    </w:p>
    <w:p w:rsidR="00212513" w:rsidRDefault="00212513">
      <w:pPr>
        <w:pStyle w:val="ConsPlusNormal"/>
        <w:spacing w:before="220"/>
        <w:ind w:firstLine="540"/>
        <w:jc w:val="both"/>
      </w:pPr>
      <w:r>
        <w:t>При расположении арматуры в несколько рядов величину раскрытия трещин следует определять на уровне максимально растянутой арматуры.</w:t>
      </w:r>
    </w:p>
    <w:p w:rsidR="00212513" w:rsidRDefault="00212513">
      <w:pPr>
        <w:pStyle w:val="ConsPlusNormal"/>
        <w:jc w:val="both"/>
      </w:pPr>
      <w:r>
        <w:t xml:space="preserve">(абзац введен </w:t>
      </w:r>
      <w:hyperlink r:id="rId1275">
        <w:r>
          <w:rPr>
            <w:color w:val="0000FF"/>
          </w:rPr>
          <w:t>Изменением N 3</w:t>
        </w:r>
      </w:hyperlink>
      <w:r>
        <w:t>, утв. Приказом Минстроя России от 29.12.2020 N 891/пр)</w:t>
      </w:r>
    </w:p>
    <w:p w:rsidR="00212513" w:rsidRDefault="00212513">
      <w:pPr>
        <w:pStyle w:val="ConsPlusNormal"/>
        <w:spacing w:before="220"/>
        <w:ind w:firstLine="540"/>
        <w:jc w:val="both"/>
      </w:pPr>
      <w:r>
        <w:t>Для напрягаемой арматуры величину раскрытия трещин следует определять на уровне напрягаемой арматуры, расположенной в наиболее растянутой зоне бетона. При этом величина раскрытия трещин на уровне наиболее растянутой ненапрягаемой арматуры должна удовлетворять требованиям категории 3в.</w:t>
      </w:r>
    </w:p>
    <w:p w:rsidR="00212513" w:rsidRDefault="00212513">
      <w:pPr>
        <w:pStyle w:val="ConsPlusNormal"/>
        <w:jc w:val="both"/>
      </w:pPr>
      <w:r>
        <w:t xml:space="preserve">(абзац введен </w:t>
      </w:r>
      <w:hyperlink r:id="rId1276">
        <w:r>
          <w:rPr>
            <w:color w:val="0000FF"/>
          </w:rPr>
          <w:t>Изменением N 3</w:t>
        </w:r>
      </w:hyperlink>
      <w:r>
        <w:t>, утв. Приказом Минстроя России от 29.12.2020 N 891/пр)</w:t>
      </w:r>
    </w:p>
    <w:p w:rsidR="00212513" w:rsidRDefault="00212513">
      <w:pPr>
        <w:pStyle w:val="ConsPlusNormal"/>
        <w:spacing w:before="220"/>
        <w:ind w:firstLine="540"/>
        <w:jc w:val="both"/>
      </w:pPr>
      <w:r>
        <w:t>В случае, когда ширина рассматриваемой растянутой зоны значительна, рекомендуется проверять величину раскрытия трещин, разбивая эту зону на отдельные участки.</w:t>
      </w:r>
    </w:p>
    <w:p w:rsidR="00212513" w:rsidRDefault="00212513">
      <w:pPr>
        <w:pStyle w:val="ConsPlusNormal"/>
        <w:jc w:val="both"/>
      </w:pPr>
      <w:r>
        <w:t xml:space="preserve">(абзац введен </w:t>
      </w:r>
      <w:hyperlink r:id="rId1277">
        <w:r>
          <w:rPr>
            <w:color w:val="0000FF"/>
          </w:rPr>
          <w:t>Изменением N 3</w:t>
        </w:r>
      </w:hyperlink>
      <w:r>
        <w:t>, утв. Приказом Минстроя России от 29.12.2020 N 891/пр)</w:t>
      </w:r>
    </w:p>
    <w:p w:rsidR="00212513" w:rsidRDefault="00212513">
      <w:pPr>
        <w:pStyle w:val="ConsPlusNormal"/>
        <w:spacing w:before="220"/>
        <w:ind w:firstLine="540"/>
        <w:jc w:val="both"/>
      </w:pPr>
      <w:bookmarkStart w:id="234" w:name="P5344"/>
      <w:bookmarkEnd w:id="234"/>
      <w:r>
        <w:t xml:space="preserve">7.111 Трещиностойкость элементов от местных напряжений, вызываемых сосредоточенно приложенными силами предварительного напряжения, и изгиб стенок (балок) от местной нагрузки допускается обеспечивать постановкой дополнительной арматуры, воспринимающей передающееся на нее с бетона все растягивающее усилие от местных воздействий в предположении образования трещин на рассматриваемом участке. При этом вычисленная ширина трещин не должна превышать нормированную для категории требований по трещиностойкости 3б или 3в </w:t>
      </w:r>
      <w:hyperlink w:anchor="P5065">
        <w:r>
          <w:rPr>
            <w:color w:val="0000FF"/>
          </w:rPr>
          <w:t>(таблица 7.24)</w:t>
        </w:r>
      </w:hyperlink>
      <w:r>
        <w:t xml:space="preserve">. Для участков, где указанные напряжения не превышают </w:t>
      </w:r>
      <w:r>
        <w:rPr>
          <w:noProof/>
          <w:position w:val="-9"/>
        </w:rPr>
        <w:drawing>
          <wp:inline distT="0" distB="0" distL="0" distR="0">
            <wp:extent cx="628650" cy="262890"/>
            <wp:effectExtent l="0" t="0" r="0" b="0"/>
            <wp:docPr id="9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628650" cy="262890"/>
                    </a:xfrm>
                    <a:prstGeom prst="rect">
                      <a:avLst/>
                    </a:prstGeom>
                    <a:noFill/>
                    <a:ln>
                      <a:noFill/>
                    </a:ln>
                  </pic:spPr>
                </pic:pic>
              </a:graphicData>
            </a:graphic>
          </wp:inline>
        </w:drawing>
      </w:r>
      <w:r>
        <w:t>, армирование разрешается осуществлять конструктивно.</w:t>
      </w:r>
    </w:p>
    <w:p w:rsidR="00212513" w:rsidRDefault="00212513">
      <w:pPr>
        <w:pStyle w:val="ConsPlusNormal"/>
        <w:spacing w:before="220"/>
        <w:ind w:firstLine="540"/>
        <w:jc w:val="both"/>
      </w:pPr>
      <w:r>
        <w:t>При расчете бетона на местное сжатие под анкером усилие, передаваемое последним, следует принимать равным: при натяжении арматуры на бетон - 100%, при натяжении на упоры пучка с внутренним анкером - 30% усилия в арматуре.</w:t>
      </w:r>
    </w:p>
    <w:p w:rsidR="00212513" w:rsidRDefault="00212513">
      <w:pPr>
        <w:pStyle w:val="ConsPlusNormal"/>
        <w:ind w:firstLine="540"/>
        <w:jc w:val="both"/>
      </w:pPr>
    </w:p>
    <w:p w:rsidR="00212513" w:rsidRDefault="00212513">
      <w:pPr>
        <w:pStyle w:val="ConsPlusTitle"/>
        <w:ind w:firstLine="540"/>
        <w:jc w:val="both"/>
        <w:outlineLvl w:val="3"/>
      </w:pPr>
      <w:r>
        <w:t>Определение прогибов и углов поворота</w:t>
      </w:r>
    </w:p>
    <w:p w:rsidR="00212513" w:rsidRDefault="00212513">
      <w:pPr>
        <w:pStyle w:val="ConsPlusNormal"/>
        <w:ind w:firstLine="540"/>
        <w:jc w:val="both"/>
      </w:pPr>
    </w:p>
    <w:p w:rsidR="00212513" w:rsidRDefault="00212513">
      <w:pPr>
        <w:pStyle w:val="ConsPlusNormal"/>
        <w:ind w:firstLine="540"/>
        <w:jc w:val="both"/>
      </w:pPr>
      <w:r>
        <w:t xml:space="preserve">7.112 Прогибы, углы поворота и продольные перемещения вычисляются по формулам строительной механики в зависимости от кривизны элементов </w:t>
      </w:r>
      <w:r>
        <w:rPr>
          <w:noProof/>
          <w:position w:val="-6"/>
        </w:rPr>
        <w:drawing>
          <wp:inline distT="0" distB="0" distL="0" distR="0">
            <wp:extent cx="314960" cy="220980"/>
            <wp:effectExtent l="0" t="0" r="0" b="0"/>
            <wp:docPr id="9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314960" cy="220980"/>
                    </a:xfrm>
                    <a:prstGeom prst="rect">
                      <a:avLst/>
                    </a:prstGeom>
                    <a:noFill/>
                    <a:ln>
                      <a:noFill/>
                    </a:ln>
                  </pic:spPr>
                </pic:pic>
              </a:graphicData>
            </a:graphic>
          </wp:inline>
        </w:drawing>
      </w:r>
      <w:r>
        <w:t>, а также относительных продольных перемещений, которые определяются исходя из гипотезы плоских сечений для полных (упругих и неупругих) деформаций.</w:t>
      </w:r>
    </w:p>
    <w:p w:rsidR="00212513" w:rsidRDefault="00212513">
      <w:pPr>
        <w:pStyle w:val="ConsPlusNormal"/>
        <w:spacing w:before="220"/>
        <w:ind w:firstLine="540"/>
        <w:jc w:val="both"/>
      </w:pPr>
      <w:r>
        <w:t xml:space="preserve">Прогиб </w:t>
      </w:r>
      <w:r>
        <w:rPr>
          <w:i/>
        </w:rPr>
        <w:t>f</w:t>
      </w:r>
      <w:r>
        <w:t xml:space="preserve"> или угол поворота </w:t>
      </w:r>
      <w:r>
        <w:rPr>
          <w:noProof/>
        </w:rPr>
        <w:drawing>
          <wp:inline distT="0" distB="0" distL="0" distR="0">
            <wp:extent cx="167640" cy="146050"/>
            <wp:effectExtent l="0" t="0" r="0" b="0"/>
            <wp:docPr id="9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0"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t xml:space="preserve"> вследствие деформаций изгиба элемента следует определять по формуле</w:t>
      </w:r>
    </w:p>
    <w:p w:rsidR="00212513" w:rsidRDefault="00212513">
      <w:pPr>
        <w:pStyle w:val="ConsPlusNormal"/>
        <w:ind w:firstLine="540"/>
        <w:jc w:val="both"/>
      </w:pPr>
    </w:p>
    <w:p w:rsidR="00212513" w:rsidRDefault="00212513">
      <w:pPr>
        <w:pStyle w:val="ConsPlusNormal"/>
        <w:jc w:val="center"/>
      </w:pPr>
      <w:bookmarkStart w:id="235" w:name="P5352"/>
      <w:bookmarkEnd w:id="235"/>
      <w:r>
        <w:rPr>
          <w:noProof/>
          <w:position w:val="-29"/>
        </w:rPr>
        <w:drawing>
          <wp:inline distT="0" distB="0" distL="0" distR="0">
            <wp:extent cx="1788160" cy="511810"/>
            <wp:effectExtent l="0" t="0" r="0" b="0"/>
            <wp:docPr id="9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1" cstate="print">
                      <a:extLst>
                        <a:ext uri="{28A0092B-C50C-407E-A947-70E740481C1C}">
                          <a14:useLocalDpi xmlns:a14="http://schemas.microsoft.com/office/drawing/2010/main" val="0"/>
                        </a:ext>
                      </a:extLst>
                    </a:blip>
                    <a:srcRect/>
                    <a:stretch>
                      <a:fillRect/>
                    </a:stretch>
                  </pic:blipFill>
                  <pic:spPr bwMode="auto">
                    <a:xfrm>
                      <a:off x="0" y="0"/>
                      <a:ext cx="1788160" cy="511810"/>
                    </a:xfrm>
                    <a:prstGeom prst="rect">
                      <a:avLst/>
                    </a:prstGeom>
                    <a:noFill/>
                    <a:ln>
                      <a:noFill/>
                    </a:ln>
                  </pic:spPr>
                </pic:pic>
              </a:graphicData>
            </a:graphic>
          </wp:inline>
        </w:drawing>
      </w:r>
      <w:r>
        <w:t>, (7.103)</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8"/>
        </w:rPr>
        <w:drawing>
          <wp:inline distT="0" distB="0" distL="0" distR="0">
            <wp:extent cx="428625" cy="251460"/>
            <wp:effectExtent l="0" t="0" r="0" b="0"/>
            <wp:docPr id="9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2" cstate="print">
                      <a:extLst>
                        <a:ext uri="{28A0092B-C50C-407E-A947-70E740481C1C}">
                          <a14:useLocalDpi xmlns:a14="http://schemas.microsoft.com/office/drawing/2010/main" val="0"/>
                        </a:ext>
                      </a:extLst>
                    </a:blip>
                    <a:srcRect/>
                    <a:stretch>
                      <a:fillRect/>
                    </a:stretch>
                  </pic:blipFill>
                  <pic:spPr bwMode="auto">
                    <a:xfrm>
                      <a:off x="0" y="0"/>
                      <a:ext cx="428625" cy="251460"/>
                    </a:xfrm>
                    <a:prstGeom prst="rect">
                      <a:avLst/>
                    </a:prstGeom>
                    <a:noFill/>
                    <a:ln>
                      <a:noFill/>
                    </a:ln>
                  </pic:spPr>
                </pic:pic>
              </a:graphicData>
            </a:graphic>
          </wp:inline>
        </w:drawing>
      </w:r>
      <w:r>
        <w:t xml:space="preserve"> - при определении прогиба </w:t>
      </w:r>
      <w:r>
        <w:rPr>
          <w:i/>
        </w:rPr>
        <w:t>f</w:t>
      </w:r>
      <w:r>
        <w:t xml:space="preserve"> - функция изгибающего момента от единичной силы, приложенной по направлению искомого прогиба </w:t>
      </w:r>
      <w:r>
        <w:rPr>
          <w:i/>
        </w:rPr>
        <w:t>f</w:t>
      </w:r>
      <w:r>
        <w:t xml:space="preserve">, при определении угла поворота </w:t>
      </w:r>
      <w:r>
        <w:rPr>
          <w:noProof/>
        </w:rPr>
        <w:drawing>
          <wp:inline distT="0" distB="0" distL="0" distR="0">
            <wp:extent cx="167640" cy="146050"/>
            <wp:effectExtent l="0" t="0" r="0" b="0"/>
            <wp:docPr id="9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0"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t xml:space="preserve"> - функция изгибающего момента от единичного момента, приложенного по направлению искомого угла поворота;</w:t>
      </w:r>
    </w:p>
    <w:p w:rsidR="00212513" w:rsidRDefault="00212513">
      <w:pPr>
        <w:pStyle w:val="ConsPlusNormal"/>
        <w:spacing w:before="220"/>
        <w:ind w:firstLine="540"/>
        <w:jc w:val="both"/>
      </w:pPr>
      <w:r>
        <w:rPr>
          <w:noProof/>
          <w:position w:val="-25"/>
        </w:rPr>
        <w:lastRenderedPageBreak/>
        <w:drawing>
          <wp:inline distT="0" distB="0" distL="0" distR="0">
            <wp:extent cx="419100" cy="461010"/>
            <wp:effectExtent l="0" t="0" r="0" b="0"/>
            <wp:docPr id="9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419100" cy="461010"/>
                    </a:xfrm>
                    <a:prstGeom prst="rect">
                      <a:avLst/>
                    </a:prstGeom>
                    <a:noFill/>
                    <a:ln>
                      <a:noFill/>
                    </a:ln>
                  </pic:spPr>
                </pic:pic>
              </a:graphicData>
            </a:graphic>
          </wp:inline>
        </w:drawing>
      </w:r>
      <w:r>
        <w:t xml:space="preserve"> - кривизна элемента в том же сечении от нагрузки, которой определяется прогиб или угол поворота (знак принимается в соответствии со знаком изгибающего момента в указанном сечении).</w:t>
      </w:r>
    </w:p>
    <w:p w:rsidR="00212513" w:rsidRDefault="00212513">
      <w:pPr>
        <w:pStyle w:val="ConsPlusNormal"/>
        <w:spacing w:before="220"/>
        <w:ind w:firstLine="540"/>
        <w:jc w:val="both"/>
      </w:pPr>
      <w:r>
        <w:t xml:space="preserve">В </w:t>
      </w:r>
      <w:hyperlink w:anchor="P5352">
        <w:r>
          <w:rPr>
            <w:color w:val="0000FF"/>
          </w:rPr>
          <w:t>формуле (7.103)</w:t>
        </w:r>
      </w:hyperlink>
      <w:r>
        <w:t xml:space="preserve"> суммирование производится по всем участкам (по длине пролета), различающимся законами изменения величин </w:t>
      </w:r>
      <w:r>
        <w:rPr>
          <w:noProof/>
          <w:position w:val="-8"/>
        </w:rPr>
        <w:drawing>
          <wp:inline distT="0" distB="0" distL="0" distR="0">
            <wp:extent cx="428625" cy="251460"/>
            <wp:effectExtent l="0" t="0" r="0" b="0"/>
            <wp:docPr id="9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428625" cy="251460"/>
                    </a:xfrm>
                    <a:prstGeom prst="rect">
                      <a:avLst/>
                    </a:prstGeom>
                    <a:noFill/>
                    <a:ln>
                      <a:noFill/>
                    </a:ln>
                  </pic:spPr>
                </pic:pic>
              </a:graphicData>
            </a:graphic>
          </wp:inline>
        </w:drawing>
      </w:r>
      <w:r>
        <w:t xml:space="preserve"> и </w:t>
      </w:r>
      <w:r>
        <w:rPr>
          <w:noProof/>
          <w:position w:val="-25"/>
        </w:rPr>
        <w:drawing>
          <wp:inline distT="0" distB="0" distL="0" distR="0">
            <wp:extent cx="419100" cy="461010"/>
            <wp:effectExtent l="0" t="0" r="0" b="0"/>
            <wp:docPr id="9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419100" cy="461010"/>
                    </a:xfrm>
                    <a:prstGeom prst="rect">
                      <a:avLst/>
                    </a:prstGeom>
                    <a:noFill/>
                    <a:ln>
                      <a:noFill/>
                    </a:ln>
                  </pic:spPr>
                </pic:pic>
              </a:graphicData>
            </a:graphic>
          </wp:inline>
        </w:drawing>
      </w:r>
      <w:r>
        <w:t>.</w:t>
      </w:r>
    </w:p>
    <w:p w:rsidR="00212513" w:rsidRDefault="00212513">
      <w:pPr>
        <w:pStyle w:val="ConsPlusNormal"/>
        <w:spacing w:before="220"/>
        <w:ind w:firstLine="540"/>
        <w:jc w:val="both"/>
      </w:pPr>
      <w:r>
        <w:t>Вычисление прогибов (углов поворота) допускается производить численными приемами, используя выражение</w:t>
      </w:r>
    </w:p>
    <w:p w:rsidR="00212513" w:rsidRDefault="00212513">
      <w:pPr>
        <w:pStyle w:val="ConsPlusNormal"/>
        <w:ind w:firstLine="540"/>
        <w:jc w:val="both"/>
      </w:pPr>
    </w:p>
    <w:p w:rsidR="00212513" w:rsidRDefault="00212513">
      <w:pPr>
        <w:pStyle w:val="ConsPlusNormal"/>
        <w:jc w:val="center"/>
      </w:pPr>
      <w:r>
        <w:rPr>
          <w:noProof/>
          <w:position w:val="-25"/>
        </w:rPr>
        <w:drawing>
          <wp:inline distT="0" distB="0" distL="0" distR="0">
            <wp:extent cx="1704340" cy="461010"/>
            <wp:effectExtent l="0" t="0" r="0" b="0"/>
            <wp:docPr id="9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1704340" cy="461010"/>
                    </a:xfrm>
                    <a:prstGeom prst="rect">
                      <a:avLst/>
                    </a:prstGeom>
                    <a:noFill/>
                    <a:ln>
                      <a:noFill/>
                    </a:ln>
                  </pic:spPr>
                </pic:pic>
              </a:graphicData>
            </a:graphic>
          </wp:inline>
        </w:drawing>
      </w:r>
      <w:r>
        <w:t>, (7.104)</w:t>
      </w:r>
    </w:p>
    <w:p w:rsidR="00212513" w:rsidRDefault="00212513">
      <w:pPr>
        <w:pStyle w:val="ConsPlusNormal"/>
        <w:ind w:firstLine="540"/>
        <w:jc w:val="both"/>
      </w:pPr>
    </w:p>
    <w:p w:rsidR="00212513" w:rsidRDefault="00212513">
      <w:pPr>
        <w:pStyle w:val="ConsPlusNormal"/>
        <w:ind w:firstLine="540"/>
        <w:jc w:val="both"/>
      </w:pPr>
      <w:r>
        <w:t xml:space="preserve">в котором </w:t>
      </w:r>
      <w:r>
        <w:rPr>
          <w:noProof/>
          <w:position w:val="-8"/>
        </w:rPr>
        <w:drawing>
          <wp:inline distT="0" distB="0" distL="0" distR="0">
            <wp:extent cx="428625" cy="251460"/>
            <wp:effectExtent l="0" t="0" r="0" b="0"/>
            <wp:docPr id="9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7" cstate="print">
                      <a:extLst>
                        <a:ext uri="{28A0092B-C50C-407E-A947-70E740481C1C}">
                          <a14:useLocalDpi xmlns:a14="http://schemas.microsoft.com/office/drawing/2010/main" val="0"/>
                        </a:ext>
                      </a:extLst>
                    </a:blip>
                    <a:srcRect/>
                    <a:stretch>
                      <a:fillRect/>
                    </a:stretch>
                  </pic:blipFill>
                  <pic:spPr bwMode="auto">
                    <a:xfrm>
                      <a:off x="0" y="0"/>
                      <a:ext cx="428625" cy="251460"/>
                    </a:xfrm>
                    <a:prstGeom prst="rect">
                      <a:avLst/>
                    </a:prstGeom>
                    <a:noFill/>
                    <a:ln>
                      <a:noFill/>
                    </a:ln>
                  </pic:spPr>
                </pic:pic>
              </a:graphicData>
            </a:graphic>
          </wp:inline>
        </w:drawing>
      </w:r>
      <w:r>
        <w:t xml:space="preserve"> и </w:t>
      </w:r>
      <w:r>
        <w:rPr>
          <w:noProof/>
          <w:position w:val="-25"/>
        </w:rPr>
        <w:drawing>
          <wp:inline distT="0" distB="0" distL="0" distR="0">
            <wp:extent cx="419100" cy="461010"/>
            <wp:effectExtent l="0" t="0" r="0" b="0"/>
            <wp:docPr id="9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419100" cy="461010"/>
                    </a:xfrm>
                    <a:prstGeom prst="rect">
                      <a:avLst/>
                    </a:prstGeom>
                    <a:noFill/>
                    <a:ln>
                      <a:noFill/>
                    </a:ln>
                  </pic:spPr>
                </pic:pic>
              </a:graphicData>
            </a:graphic>
          </wp:inline>
        </w:drawing>
      </w:r>
      <w:r>
        <w:t xml:space="preserve"> - средние величины момента и кривизны на отдельных участках длиной </w:t>
      </w:r>
      <w:r>
        <w:rPr>
          <w:noProof/>
          <w:position w:val="-4"/>
        </w:rPr>
        <w:drawing>
          <wp:inline distT="0" distB="0" distL="0" distR="0">
            <wp:extent cx="241935" cy="198755"/>
            <wp:effectExtent l="0" t="0" r="0" b="0"/>
            <wp:docPr id="9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241935" cy="198755"/>
                    </a:xfrm>
                    <a:prstGeom prst="rect">
                      <a:avLst/>
                    </a:prstGeom>
                    <a:noFill/>
                    <a:ln>
                      <a:noFill/>
                    </a:ln>
                  </pic:spPr>
                </pic:pic>
              </a:graphicData>
            </a:graphic>
          </wp:inline>
        </w:drawing>
      </w:r>
      <w:r>
        <w:t>, где изменение указанных параметров имеет плавный характер.</w:t>
      </w:r>
    </w:p>
    <w:p w:rsidR="00212513" w:rsidRDefault="00212513">
      <w:pPr>
        <w:pStyle w:val="ConsPlusNormal"/>
        <w:spacing w:before="220"/>
        <w:ind w:firstLine="540"/>
        <w:jc w:val="both"/>
      </w:pPr>
      <w:r>
        <w:t>7.113 Кривизну предварительно напряженных элементов, в которых пояса отнесены к категориям требований по трещиностойкости 2а, 2б и 3б, допускается определять как для сплошного сечения по формуле</w:t>
      </w:r>
    </w:p>
    <w:p w:rsidR="00212513" w:rsidRDefault="00212513">
      <w:pPr>
        <w:pStyle w:val="ConsPlusNormal"/>
        <w:ind w:firstLine="540"/>
        <w:jc w:val="both"/>
      </w:pPr>
    </w:p>
    <w:p w:rsidR="00212513" w:rsidRDefault="00212513">
      <w:pPr>
        <w:pStyle w:val="ConsPlusNormal"/>
        <w:jc w:val="center"/>
      </w:pPr>
      <w:bookmarkStart w:id="236" w:name="P5364"/>
      <w:bookmarkEnd w:id="236"/>
      <w:r>
        <w:rPr>
          <w:noProof/>
          <w:position w:val="-29"/>
        </w:rPr>
        <w:drawing>
          <wp:inline distT="0" distB="0" distL="0" distR="0">
            <wp:extent cx="1438910" cy="511810"/>
            <wp:effectExtent l="0" t="0" r="0" b="0"/>
            <wp:docPr id="9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1438910" cy="511810"/>
                    </a:xfrm>
                    <a:prstGeom prst="rect">
                      <a:avLst/>
                    </a:prstGeom>
                    <a:noFill/>
                    <a:ln>
                      <a:noFill/>
                    </a:ln>
                  </pic:spPr>
                </pic:pic>
              </a:graphicData>
            </a:graphic>
          </wp:inline>
        </w:drawing>
      </w:r>
      <w:r>
        <w:t>, (7.105)</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9"/>
        </w:rPr>
        <w:drawing>
          <wp:inline distT="0" distB="0" distL="0" distR="0">
            <wp:extent cx="281940" cy="262890"/>
            <wp:effectExtent l="0" t="0" r="0" b="0"/>
            <wp:docPr id="9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281940" cy="262890"/>
                    </a:xfrm>
                    <a:prstGeom prst="rect">
                      <a:avLst/>
                    </a:prstGeom>
                    <a:noFill/>
                    <a:ln>
                      <a:noFill/>
                    </a:ln>
                  </pic:spPr>
                </pic:pic>
              </a:graphicData>
            </a:graphic>
          </wp:inline>
        </w:drawing>
      </w:r>
      <w:r>
        <w:t xml:space="preserve">, </w:t>
      </w:r>
      <w:r>
        <w:rPr>
          <w:noProof/>
          <w:position w:val="-10"/>
        </w:rPr>
        <w:drawing>
          <wp:inline distT="0" distB="0" distL="0" distR="0">
            <wp:extent cx="273685" cy="273685"/>
            <wp:effectExtent l="0" t="0" r="0" b="0"/>
            <wp:docPr id="9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inline>
        </w:drawing>
      </w:r>
      <w:r>
        <w:t xml:space="preserve">, </w:t>
      </w:r>
      <w:r>
        <w:rPr>
          <w:noProof/>
          <w:position w:val="-8"/>
        </w:rPr>
        <w:drawing>
          <wp:inline distT="0" distB="0" distL="0" distR="0">
            <wp:extent cx="262890" cy="251460"/>
            <wp:effectExtent l="0" t="0" r="0" b="0"/>
            <wp:docPr id="9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моменты в рассматриваемом сечении, создаваемые соответственно усилием в напрягаемой арматуре, постоянной и временной нагрузками;</w:t>
      </w:r>
    </w:p>
    <w:p w:rsidR="00212513" w:rsidRDefault="00212513">
      <w:pPr>
        <w:pStyle w:val="ConsPlusNormal"/>
        <w:spacing w:before="220"/>
        <w:ind w:firstLine="540"/>
        <w:jc w:val="both"/>
      </w:pPr>
      <w:r>
        <w:rPr>
          <w:noProof/>
          <w:position w:val="-10"/>
        </w:rPr>
        <w:drawing>
          <wp:inline distT="0" distB="0" distL="0" distR="0">
            <wp:extent cx="230505" cy="273685"/>
            <wp:effectExtent l="0" t="0" r="0" b="0"/>
            <wp:docPr id="9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w:t>
      </w:r>
      <w:r>
        <w:rPr>
          <w:noProof/>
          <w:position w:val="-10"/>
        </w:rPr>
        <w:drawing>
          <wp:inline distT="0" distB="0" distL="0" distR="0">
            <wp:extent cx="230505" cy="273685"/>
            <wp:effectExtent l="0" t="0" r="0" b="0"/>
            <wp:docPr id="9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 жесткости сечения при длительном воздействии соответственно усилия в напрягаемой арматуре и постоянной нагрузки;</w:t>
      </w:r>
    </w:p>
    <w:p w:rsidR="00212513" w:rsidRDefault="00212513">
      <w:pPr>
        <w:pStyle w:val="ConsPlusNormal"/>
        <w:spacing w:before="220"/>
        <w:ind w:firstLine="540"/>
        <w:jc w:val="both"/>
      </w:pPr>
      <w:r>
        <w:rPr>
          <w:i/>
        </w:rPr>
        <w:t>B</w:t>
      </w:r>
      <w:r>
        <w:t xml:space="preserve"> - жесткость сплошного сечения при кратковременном действии нагрузок.</w:t>
      </w:r>
    </w:p>
    <w:p w:rsidR="00212513" w:rsidRDefault="00212513">
      <w:pPr>
        <w:pStyle w:val="ConsPlusNormal"/>
        <w:spacing w:before="220"/>
        <w:ind w:firstLine="540"/>
        <w:jc w:val="both"/>
      </w:pPr>
      <w:r>
        <w:t xml:space="preserve">Значения перечисленных жесткостей допускается определять по </w:t>
      </w:r>
      <w:hyperlink w:anchor="P14651">
        <w:r>
          <w:rPr>
            <w:color w:val="0000FF"/>
          </w:rPr>
          <w:t>приложению Т</w:t>
        </w:r>
      </w:hyperlink>
      <w:r>
        <w:t>.</w:t>
      </w:r>
    </w:p>
    <w:p w:rsidR="00212513" w:rsidRDefault="00212513">
      <w:pPr>
        <w:pStyle w:val="ConsPlusNormal"/>
        <w:spacing w:before="220"/>
        <w:ind w:firstLine="540"/>
        <w:jc w:val="both"/>
      </w:pPr>
      <w:r>
        <w:t xml:space="preserve">Допускается правую часть </w:t>
      </w:r>
      <w:hyperlink w:anchor="P5364">
        <w:r>
          <w:rPr>
            <w:color w:val="0000FF"/>
          </w:rPr>
          <w:t>формулы (7.105)</w:t>
        </w:r>
      </w:hyperlink>
      <w:r>
        <w:t xml:space="preserve"> определять другими методами.</w:t>
      </w:r>
    </w:p>
    <w:p w:rsidR="00212513" w:rsidRDefault="00212513">
      <w:pPr>
        <w:pStyle w:val="ConsPlusNormal"/>
        <w:spacing w:before="220"/>
        <w:ind w:firstLine="540"/>
        <w:jc w:val="both"/>
      </w:pPr>
      <w:r>
        <w:t xml:space="preserve">Моменты от предварительного напряжения следует вычислять исходя из напряжений в арматуре, соответствующих стадиям работы конструкции: на стадии обжатия - за вычетом первых потерь; на последующих стадиях, в том числе и на стадии эксплуатации, за вычетом также и вторых потерь согласно </w:t>
      </w:r>
      <w:hyperlink w:anchor="P14438">
        <w:r>
          <w:rPr>
            <w:color w:val="0000FF"/>
          </w:rPr>
          <w:t>приложению Р</w:t>
        </w:r>
      </w:hyperlink>
      <w:r>
        <w:t>.</w:t>
      </w:r>
    </w:p>
    <w:p w:rsidR="00212513" w:rsidRDefault="00212513">
      <w:pPr>
        <w:pStyle w:val="ConsPlusNormal"/>
        <w:spacing w:before="220"/>
        <w:ind w:firstLine="540"/>
        <w:jc w:val="both"/>
      </w:pPr>
      <w:r>
        <w:t xml:space="preserve">Значения изгибающих моментов </w:t>
      </w:r>
      <w:r>
        <w:rPr>
          <w:noProof/>
          <w:position w:val="-10"/>
        </w:rPr>
        <w:drawing>
          <wp:inline distT="0" distB="0" distL="0" distR="0">
            <wp:extent cx="273685" cy="273685"/>
            <wp:effectExtent l="0" t="0" r="0" b="0"/>
            <wp:docPr id="9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inline>
        </w:drawing>
      </w:r>
      <w:r>
        <w:t xml:space="preserve"> при навесном монтаже следует определять с учетом веса монтируемых блоков и других возможных строительных нагрузок. При определении жесткостей </w:t>
      </w:r>
      <w:r>
        <w:rPr>
          <w:noProof/>
          <w:position w:val="-10"/>
        </w:rPr>
        <w:drawing>
          <wp:inline distT="0" distB="0" distL="0" distR="0">
            <wp:extent cx="230505" cy="273685"/>
            <wp:effectExtent l="0" t="0" r="0" b="0"/>
            <wp:docPr id="9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и </w:t>
      </w:r>
      <w:r>
        <w:rPr>
          <w:noProof/>
          <w:position w:val="-10"/>
        </w:rPr>
        <w:drawing>
          <wp:inline distT="0" distB="0" distL="0" distR="0">
            <wp:extent cx="230505" cy="273685"/>
            <wp:effectExtent l="0" t="0" r="0" b="0"/>
            <wp:docPr id="9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учитывается влияние усилия предварительного напряжения и длительности действия нагрузки.</w:t>
      </w:r>
    </w:p>
    <w:p w:rsidR="00212513" w:rsidRDefault="00212513">
      <w:pPr>
        <w:pStyle w:val="ConsPlusNormal"/>
        <w:spacing w:before="220"/>
        <w:ind w:firstLine="540"/>
        <w:jc w:val="both"/>
      </w:pPr>
      <w:r>
        <w:t xml:space="preserve">7.114 Кривизну элементов с ненапрягаемой арматурой, в которых пояса отнесены к </w:t>
      </w:r>
      <w:r>
        <w:lastRenderedPageBreak/>
        <w:t>категории требований по трещиностойкости 3в, следует определять по формуле</w:t>
      </w:r>
    </w:p>
    <w:p w:rsidR="00212513" w:rsidRDefault="00212513">
      <w:pPr>
        <w:pStyle w:val="ConsPlusNormal"/>
        <w:ind w:firstLine="540"/>
        <w:jc w:val="both"/>
      </w:pPr>
    </w:p>
    <w:p w:rsidR="00212513" w:rsidRDefault="00212513">
      <w:pPr>
        <w:pStyle w:val="ConsPlusNormal"/>
        <w:jc w:val="center"/>
      </w:pPr>
      <w:r>
        <w:rPr>
          <w:noProof/>
          <w:position w:val="-29"/>
        </w:rPr>
        <w:drawing>
          <wp:inline distT="0" distB="0" distL="0" distR="0">
            <wp:extent cx="1029970" cy="511810"/>
            <wp:effectExtent l="0" t="0" r="0" b="0"/>
            <wp:docPr id="9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5" cstate="print">
                      <a:extLst>
                        <a:ext uri="{28A0092B-C50C-407E-A947-70E740481C1C}">
                          <a14:useLocalDpi xmlns:a14="http://schemas.microsoft.com/office/drawing/2010/main" val="0"/>
                        </a:ext>
                      </a:extLst>
                    </a:blip>
                    <a:srcRect/>
                    <a:stretch>
                      <a:fillRect/>
                    </a:stretch>
                  </pic:blipFill>
                  <pic:spPr bwMode="auto">
                    <a:xfrm>
                      <a:off x="0" y="0"/>
                      <a:ext cx="1029970" cy="511810"/>
                    </a:xfrm>
                    <a:prstGeom prst="rect">
                      <a:avLst/>
                    </a:prstGeom>
                    <a:noFill/>
                    <a:ln>
                      <a:noFill/>
                    </a:ln>
                  </pic:spPr>
                </pic:pic>
              </a:graphicData>
            </a:graphic>
          </wp:inline>
        </w:drawing>
      </w:r>
      <w:r>
        <w:t>, (7.106)</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11"/>
        </w:rPr>
        <w:drawing>
          <wp:inline distT="0" distB="0" distL="0" distR="0">
            <wp:extent cx="220980" cy="281940"/>
            <wp:effectExtent l="0" t="0" r="0" b="0"/>
            <wp:docPr id="9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6" cstate="print">
                      <a:extLst>
                        <a:ext uri="{28A0092B-C50C-407E-A947-70E740481C1C}">
                          <a14:useLocalDpi xmlns:a14="http://schemas.microsoft.com/office/drawing/2010/main" val="0"/>
                        </a:ext>
                      </a:extLst>
                    </a:blip>
                    <a:srcRect/>
                    <a:stretch>
                      <a:fillRect/>
                    </a:stretch>
                  </pic:blipFill>
                  <pic:spPr bwMode="auto">
                    <a:xfrm>
                      <a:off x="0" y="0"/>
                      <a:ext cx="220980" cy="281940"/>
                    </a:xfrm>
                    <a:prstGeom prst="rect">
                      <a:avLst/>
                    </a:prstGeom>
                    <a:noFill/>
                    <a:ln>
                      <a:noFill/>
                    </a:ln>
                  </pic:spPr>
                </pic:pic>
              </a:graphicData>
            </a:graphic>
          </wp:inline>
        </w:drawing>
      </w:r>
      <w:r>
        <w:t xml:space="preserve"> - жесткость сечения при действии постоянной нагрузки с учетом образования трещин и ползучести бетона;</w:t>
      </w:r>
    </w:p>
    <w:p w:rsidR="00212513" w:rsidRDefault="00212513">
      <w:pPr>
        <w:pStyle w:val="ConsPlusNormal"/>
        <w:spacing w:before="220"/>
        <w:ind w:firstLine="540"/>
        <w:jc w:val="both"/>
      </w:pPr>
      <w:r>
        <w:rPr>
          <w:noProof/>
          <w:position w:val="-5"/>
        </w:rPr>
        <w:drawing>
          <wp:inline distT="0" distB="0" distL="0" distR="0">
            <wp:extent cx="167640" cy="209550"/>
            <wp:effectExtent l="0" t="0" r="0" b="0"/>
            <wp:docPr id="9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167640" cy="209550"/>
                    </a:xfrm>
                    <a:prstGeom prst="rect">
                      <a:avLst/>
                    </a:prstGeom>
                    <a:noFill/>
                    <a:ln>
                      <a:noFill/>
                    </a:ln>
                  </pic:spPr>
                </pic:pic>
              </a:graphicData>
            </a:graphic>
          </wp:inline>
        </w:drawing>
      </w:r>
      <w:r>
        <w:t xml:space="preserve"> - жесткость сплошного сечения при кратковременном действии временной нагрузки с учетом образования трещин.</w:t>
      </w:r>
    </w:p>
    <w:p w:rsidR="00212513" w:rsidRDefault="00212513">
      <w:pPr>
        <w:pStyle w:val="ConsPlusNormal"/>
        <w:spacing w:before="220"/>
        <w:ind w:firstLine="540"/>
        <w:jc w:val="both"/>
      </w:pPr>
      <w:r>
        <w:t>При вычислении кривизны элементов допускается принимать, что вся постоянная нагрузка действует в бетоне одного возраста, отвечающего приложению наибольшей части этой нагрузки.</w:t>
      </w:r>
    </w:p>
    <w:p w:rsidR="00212513" w:rsidRDefault="00212513">
      <w:pPr>
        <w:pStyle w:val="ConsPlusNormal"/>
        <w:spacing w:before="220"/>
        <w:ind w:firstLine="540"/>
        <w:jc w:val="both"/>
      </w:pPr>
      <w:r>
        <w:t xml:space="preserve">Определение кривизны железобетонных элементов с ненапрягаемой арматурой на участках с трещинами (шириной, превышающей 0,015 см) в растянутой зоне допускается производить по указаниям </w:t>
      </w:r>
      <w:hyperlink w:anchor="P19096">
        <w:r>
          <w:rPr>
            <w:color w:val="0000FF"/>
          </w:rPr>
          <w:t>[19]</w:t>
        </w:r>
      </w:hyperlink>
      <w:r>
        <w:t>.</w:t>
      </w:r>
    </w:p>
    <w:p w:rsidR="00212513" w:rsidRDefault="00212513">
      <w:pPr>
        <w:pStyle w:val="ConsPlusNormal"/>
        <w:jc w:val="both"/>
      </w:pPr>
      <w:r>
        <w:t xml:space="preserve">(в ред. </w:t>
      </w:r>
      <w:hyperlink r:id="rId1298">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При вычислении прогибов балок с ненапрягаемой арматурой (если ширина трещин в бетоне не превышает 0,015 см) по формулам сопротивления упругих материалов, а также для расчета перемещений опор, столбов, свай-оболочек (в том числе заполненных бетоном) независимо от определяемой ширины трещин сечения допускается жесткость определять по формуле</w:t>
      </w:r>
    </w:p>
    <w:p w:rsidR="00212513" w:rsidRDefault="00212513">
      <w:pPr>
        <w:pStyle w:val="ConsPlusNormal"/>
        <w:ind w:firstLine="540"/>
        <w:jc w:val="both"/>
      </w:pPr>
    </w:p>
    <w:p w:rsidR="00212513" w:rsidRDefault="00212513">
      <w:pPr>
        <w:pStyle w:val="ConsPlusNormal"/>
        <w:jc w:val="center"/>
      </w:pPr>
      <w:r>
        <w:rPr>
          <w:i/>
        </w:rPr>
        <w:t>B</w:t>
      </w:r>
      <w:r>
        <w:t xml:space="preserve"> = 0,8</w:t>
      </w:r>
      <w:r>
        <w:rPr>
          <w:i/>
        </w:rPr>
        <w:t>E</w:t>
      </w:r>
      <w:r>
        <w:rPr>
          <w:i/>
          <w:vertAlign w:val="subscript"/>
        </w:rPr>
        <w:t>b</w:t>
      </w:r>
      <w:r>
        <w:rPr>
          <w:i/>
        </w:rPr>
        <w:t>I</w:t>
      </w:r>
      <w:r>
        <w:rPr>
          <w:i/>
          <w:vertAlign w:val="subscript"/>
        </w:rPr>
        <w:t>b</w:t>
      </w:r>
      <w:r>
        <w:rPr>
          <w:vertAlign w:val="subscript"/>
        </w:rPr>
        <w:t>,</w:t>
      </w:r>
      <w:r>
        <w:rPr>
          <w:i/>
          <w:vertAlign w:val="subscript"/>
        </w:rPr>
        <w:t>red</w:t>
      </w:r>
      <w:r>
        <w:t>, (7.107)</w:t>
      </w:r>
    </w:p>
    <w:p w:rsidR="00212513" w:rsidRDefault="00212513">
      <w:pPr>
        <w:pStyle w:val="ConsPlusNormal"/>
        <w:jc w:val="center"/>
      </w:pPr>
    </w:p>
    <w:p w:rsidR="00212513" w:rsidRDefault="00212513">
      <w:pPr>
        <w:pStyle w:val="ConsPlusNormal"/>
        <w:jc w:val="center"/>
      </w:pPr>
      <w:r>
        <w:t xml:space="preserve">(формула 7.107 в ред. </w:t>
      </w:r>
      <w:hyperlink r:id="rId1299">
        <w:r>
          <w:rPr>
            <w:color w:val="0000FF"/>
          </w:rPr>
          <w:t>Изменения N 4</w:t>
        </w:r>
      </w:hyperlink>
      <w:r>
        <w:t>, утв. Приказом</w:t>
      </w:r>
    </w:p>
    <w:p w:rsidR="00212513" w:rsidRDefault="00212513">
      <w:pPr>
        <w:pStyle w:val="ConsPlusNormal"/>
        <w:jc w:val="center"/>
      </w:pPr>
      <w:r>
        <w:t>Минстроя России от 30.05.2024 N 361/пр)</w:t>
      </w:r>
    </w:p>
    <w:p w:rsidR="00212513" w:rsidRDefault="00212513">
      <w:pPr>
        <w:pStyle w:val="ConsPlusNormal"/>
        <w:ind w:firstLine="540"/>
        <w:jc w:val="both"/>
      </w:pPr>
    </w:p>
    <w:p w:rsidR="00212513" w:rsidRDefault="00212513">
      <w:pPr>
        <w:pStyle w:val="ConsPlusNormal"/>
        <w:ind w:firstLine="540"/>
        <w:jc w:val="both"/>
      </w:pPr>
      <w:r>
        <w:t xml:space="preserve">где </w:t>
      </w:r>
      <w:r>
        <w:rPr>
          <w:i/>
        </w:rPr>
        <w:t>I</w:t>
      </w:r>
      <w:r>
        <w:rPr>
          <w:i/>
          <w:vertAlign w:val="subscript"/>
        </w:rPr>
        <w:t>b</w:t>
      </w:r>
      <w:r>
        <w:rPr>
          <w:vertAlign w:val="subscript"/>
        </w:rPr>
        <w:t>,</w:t>
      </w:r>
      <w:r>
        <w:rPr>
          <w:i/>
          <w:vertAlign w:val="subscript"/>
        </w:rPr>
        <w:t>red</w:t>
      </w:r>
      <w:r>
        <w:t xml:space="preserve"> - приведенный момент инерции бетонного сечения.</w:t>
      </w:r>
    </w:p>
    <w:p w:rsidR="00212513" w:rsidRDefault="00212513">
      <w:pPr>
        <w:pStyle w:val="ConsPlusNormal"/>
        <w:jc w:val="both"/>
      </w:pPr>
      <w:r>
        <w:t xml:space="preserve">(в ред. </w:t>
      </w:r>
      <w:hyperlink r:id="rId1300">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При продолжительном действии нагрузки значение модуля деформации бетона следует определять по формуле</w:t>
      </w:r>
    </w:p>
    <w:p w:rsidR="00212513" w:rsidRDefault="00212513">
      <w:pPr>
        <w:pStyle w:val="ConsPlusNormal"/>
        <w:jc w:val="both"/>
      </w:pPr>
    </w:p>
    <w:p w:rsidR="00212513" w:rsidRDefault="00212513">
      <w:pPr>
        <w:pStyle w:val="ConsPlusNormal"/>
        <w:jc w:val="center"/>
      </w:pPr>
      <w:r>
        <w:rPr>
          <w:noProof/>
          <w:position w:val="-27"/>
        </w:rPr>
        <w:drawing>
          <wp:inline distT="0" distB="0" distL="0" distR="0">
            <wp:extent cx="1047750" cy="484505"/>
            <wp:effectExtent l="0" t="0" r="0" b="0"/>
            <wp:docPr id="9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1" cstate="print">
                      <a:extLst>
                        <a:ext uri="{28A0092B-C50C-407E-A947-70E740481C1C}">
                          <a14:useLocalDpi xmlns:a14="http://schemas.microsoft.com/office/drawing/2010/main" val="0"/>
                        </a:ext>
                      </a:extLst>
                    </a:blip>
                    <a:srcRect/>
                    <a:stretch>
                      <a:fillRect/>
                    </a:stretch>
                  </pic:blipFill>
                  <pic:spPr bwMode="auto">
                    <a:xfrm>
                      <a:off x="0" y="0"/>
                      <a:ext cx="1047750" cy="484505"/>
                    </a:xfrm>
                    <a:prstGeom prst="rect">
                      <a:avLst/>
                    </a:prstGeom>
                    <a:noFill/>
                    <a:ln>
                      <a:noFill/>
                    </a:ln>
                  </pic:spPr>
                </pic:pic>
              </a:graphicData>
            </a:graphic>
          </wp:inline>
        </w:drawing>
      </w:r>
      <w:r>
        <w:t xml:space="preserve"> (7.107а)</w:t>
      </w:r>
    </w:p>
    <w:p w:rsidR="00212513" w:rsidRDefault="00212513">
      <w:pPr>
        <w:pStyle w:val="ConsPlusNormal"/>
        <w:jc w:val="both"/>
      </w:pPr>
    </w:p>
    <w:p w:rsidR="00212513" w:rsidRDefault="00212513">
      <w:pPr>
        <w:pStyle w:val="ConsPlusNormal"/>
        <w:ind w:firstLine="540"/>
        <w:jc w:val="both"/>
      </w:pPr>
      <w:r>
        <w:t xml:space="preserve">где </w:t>
      </w:r>
      <w:r>
        <w:rPr>
          <w:i/>
        </w:rPr>
        <w:t>E</w:t>
      </w:r>
      <w:r>
        <w:rPr>
          <w:i/>
          <w:vertAlign w:val="subscript"/>
        </w:rPr>
        <w:t>b</w:t>
      </w:r>
      <w:r>
        <w:t xml:space="preserve"> - начальный модуль упругости бетона по </w:t>
      </w:r>
      <w:hyperlink w:anchor="P2688">
        <w:r>
          <w:rPr>
            <w:color w:val="0000FF"/>
          </w:rPr>
          <w:t>таблице 7.11</w:t>
        </w:r>
      </w:hyperlink>
      <w:r>
        <w:t>;</w:t>
      </w:r>
    </w:p>
    <w:p w:rsidR="00212513" w:rsidRDefault="00212513">
      <w:pPr>
        <w:pStyle w:val="ConsPlusNormal"/>
        <w:spacing w:before="220"/>
        <w:ind w:firstLine="540"/>
        <w:jc w:val="both"/>
      </w:pPr>
      <w:r>
        <w:rPr>
          <w:i/>
        </w:rPr>
        <w:t>C</w:t>
      </w:r>
      <w:r>
        <w:rPr>
          <w:i/>
          <w:vertAlign w:val="subscript"/>
        </w:rPr>
        <w:t>n</w:t>
      </w:r>
      <w:r>
        <w:t xml:space="preserve"> - нормативное значение деформации ползучести бетона по </w:t>
      </w:r>
      <w:hyperlink w:anchor="P2728">
        <w:r>
          <w:rPr>
            <w:color w:val="0000FF"/>
          </w:rPr>
          <w:t>таблице 7.12</w:t>
        </w:r>
      </w:hyperlink>
      <w:r>
        <w:t>.</w:t>
      </w:r>
    </w:p>
    <w:p w:rsidR="00212513" w:rsidRDefault="00212513">
      <w:pPr>
        <w:pStyle w:val="ConsPlusNormal"/>
        <w:jc w:val="both"/>
      </w:pPr>
      <w:r>
        <w:t xml:space="preserve">(абзац введен </w:t>
      </w:r>
      <w:hyperlink r:id="rId1302">
        <w:r>
          <w:rPr>
            <w:color w:val="0000FF"/>
          </w:rPr>
          <w:t>Изменением N 1</w:t>
        </w:r>
      </w:hyperlink>
      <w:r>
        <w:t>, утв. Приказом Минстроя России от 03.12.2016 N 879/пр)</w:t>
      </w:r>
    </w:p>
    <w:p w:rsidR="00212513" w:rsidRDefault="00212513">
      <w:pPr>
        <w:pStyle w:val="ConsPlusNormal"/>
        <w:spacing w:before="220"/>
        <w:ind w:firstLine="540"/>
        <w:jc w:val="both"/>
      </w:pPr>
      <w:bookmarkStart w:id="237" w:name="P5398"/>
      <w:bookmarkEnd w:id="237"/>
      <w:r>
        <w:t>7.115 Расчет перемещений массивных бетонных и железобетонных элементов (опор) от временной и постоянной нагрузок допускается производить с учетом жесткостей, определенных по полным сечениям элементов без учета ползучести и усадки бетона.</w:t>
      </w:r>
    </w:p>
    <w:p w:rsidR="00212513" w:rsidRDefault="00212513">
      <w:pPr>
        <w:pStyle w:val="ConsPlusNormal"/>
        <w:ind w:firstLine="540"/>
        <w:jc w:val="both"/>
      </w:pPr>
    </w:p>
    <w:p w:rsidR="00212513" w:rsidRDefault="00212513">
      <w:pPr>
        <w:pStyle w:val="ConsPlusTitle"/>
        <w:ind w:firstLine="540"/>
        <w:jc w:val="both"/>
        <w:outlineLvl w:val="2"/>
      </w:pPr>
      <w:r>
        <w:t>Конструктивные требования</w:t>
      </w:r>
    </w:p>
    <w:p w:rsidR="00212513" w:rsidRDefault="00212513">
      <w:pPr>
        <w:pStyle w:val="ConsPlusNormal"/>
        <w:ind w:firstLine="540"/>
        <w:jc w:val="both"/>
      </w:pPr>
    </w:p>
    <w:p w:rsidR="00212513" w:rsidRDefault="00212513">
      <w:pPr>
        <w:pStyle w:val="ConsPlusNormal"/>
        <w:ind w:firstLine="540"/>
        <w:jc w:val="both"/>
      </w:pPr>
      <w:r>
        <w:t xml:space="preserve">7.116 Для сборных, монолитных и сборно-монолитных бетонных и железобетонных конструкций при обеспечении условий их изготовления, требуемой долговечности и совместной работы арматуры и бетона необходимо выполнять конструктивные требования, изложенные в </w:t>
      </w:r>
      <w:r>
        <w:lastRenderedPageBreak/>
        <w:t>настоящем разделе.</w:t>
      </w:r>
    </w:p>
    <w:p w:rsidR="00212513" w:rsidRDefault="00212513">
      <w:pPr>
        <w:pStyle w:val="ConsPlusNormal"/>
        <w:jc w:val="both"/>
      </w:pPr>
      <w:r>
        <w:t xml:space="preserve">(п. 7.116 в ред. </w:t>
      </w:r>
      <w:hyperlink r:id="rId1303">
        <w:r>
          <w:rPr>
            <w:color w:val="0000FF"/>
          </w:rPr>
          <w:t>Изменения N 3</w:t>
        </w:r>
      </w:hyperlink>
      <w:r>
        <w:t>, утв. Приказом Минстроя России от 29.12.2020 N 891/пр)</w:t>
      </w:r>
    </w:p>
    <w:p w:rsidR="00212513" w:rsidRDefault="00212513">
      <w:pPr>
        <w:pStyle w:val="ConsPlusNormal"/>
        <w:ind w:firstLine="540"/>
        <w:jc w:val="both"/>
      </w:pPr>
    </w:p>
    <w:p w:rsidR="00212513" w:rsidRDefault="00212513">
      <w:pPr>
        <w:pStyle w:val="ConsPlusTitle"/>
        <w:ind w:firstLine="540"/>
        <w:jc w:val="both"/>
        <w:outlineLvl w:val="3"/>
      </w:pPr>
      <w:r>
        <w:t>Минимальные размеры сечения элементов</w:t>
      </w:r>
    </w:p>
    <w:p w:rsidR="00212513" w:rsidRDefault="00212513">
      <w:pPr>
        <w:pStyle w:val="ConsPlusNormal"/>
        <w:ind w:firstLine="540"/>
        <w:jc w:val="both"/>
      </w:pPr>
    </w:p>
    <w:p w:rsidR="00212513" w:rsidRDefault="00212513">
      <w:pPr>
        <w:pStyle w:val="ConsPlusNormal"/>
        <w:ind w:firstLine="540"/>
        <w:jc w:val="both"/>
      </w:pPr>
      <w:bookmarkStart w:id="238" w:name="P5407"/>
      <w:bookmarkEnd w:id="238"/>
      <w:r>
        <w:t>7.117 Толщины стенок, плит, диафрагм и ребер в железобетонных элементах (кроме реконструируемых сооружений) следует принимать не менее указанных в таблице 7.27.</w:t>
      </w:r>
    </w:p>
    <w:p w:rsidR="00212513" w:rsidRDefault="00212513">
      <w:pPr>
        <w:pStyle w:val="ConsPlusNormal"/>
        <w:ind w:firstLine="540"/>
        <w:jc w:val="both"/>
      </w:pPr>
    </w:p>
    <w:p w:rsidR="00212513" w:rsidRDefault="00212513">
      <w:pPr>
        <w:pStyle w:val="ConsPlusNormal"/>
        <w:jc w:val="right"/>
      </w:pPr>
      <w:r>
        <w:t>Таблица 7.27</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49"/>
        <w:gridCol w:w="2268"/>
        <w:gridCol w:w="2154"/>
      </w:tblGrid>
      <w:tr w:rsidR="00212513">
        <w:tc>
          <w:tcPr>
            <w:tcW w:w="4649" w:type="dxa"/>
            <w:vMerge w:val="restart"/>
            <w:tcBorders>
              <w:top w:val="single" w:sz="4" w:space="0" w:color="auto"/>
              <w:bottom w:val="single" w:sz="4" w:space="0" w:color="auto"/>
            </w:tcBorders>
            <w:vAlign w:val="center"/>
          </w:tcPr>
          <w:p w:rsidR="00212513" w:rsidRDefault="00212513">
            <w:pPr>
              <w:pStyle w:val="ConsPlusNormal"/>
              <w:jc w:val="center"/>
            </w:pPr>
            <w:r>
              <w:t>Элементы и их части</w:t>
            </w:r>
          </w:p>
        </w:tc>
        <w:tc>
          <w:tcPr>
            <w:tcW w:w="4422" w:type="dxa"/>
            <w:gridSpan w:val="2"/>
            <w:tcBorders>
              <w:top w:val="single" w:sz="4" w:space="0" w:color="auto"/>
              <w:bottom w:val="single" w:sz="4" w:space="0" w:color="auto"/>
            </w:tcBorders>
            <w:vAlign w:val="center"/>
          </w:tcPr>
          <w:p w:rsidR="00212513" w:rsidRDefault="00212513">
            <w:pPr>
              <w:pStyle w:val="ConsPlusNormal"/>
              <w:jc w:val="center"/>
            </w:pPr>
            <w:r>
              <w:t>Наименьшая толщина, см, для конструкций мостов и труб</w:t>
            </w:r>
          </w:p>
        </w:tc>
      </w:tr>
      <w:tr w:rsidR="00212513">
        <w:tc>
          <w:tcPr>
            <w:tcW w:w="4649" w:type="dxa"/>
            <w:vMerge/>
            <w:tcBorders>
              <w:top w:val="single" w:sz="4" w:space="0" w:color="auto"/>
              <w:bottom w:val="single" w:sz="4" w:space="0" w:color="auto"/>
            </w:tcBorders>
          </w:tcPr>
          <w:p w:rsidR="00212513" w:rsidRDefault="00212513">
            <w:pPr>
              <w:pStyle w:val="ConsPlusNormal"/>
            </w:pPr>
          </w:p>
        </w:tc>
        <w:tc>
          <w:tcPr>
            <w:tcW w:w="2268" w:type="dxa"/>
            <w:tcBorders>
              <w:top w:val="single" w:sz="4" w:space="0" w:color="auto"/>
              <w:bottom w:val="single" w:sz="4" w:space="0" w:color="auto"/>
            </w:tcBorders>
            <w:vAlign w:val="center"/>
          </w:tcPr>
          <w:p w:rsidR="00212513" w:rsidRDefault="00212513">
            <w:pPr>
              <w:pStyle w:val="ConsPlusNormal"/>
              <w:jc w:val="center"/>
            </w:pPr>
            <w:r>
              <w:t>железнодорожных</w:t>
            </w:r>
          </w:p>
        </w:tc>
        <w:tc>
          <w:tcPr>
            <w:tcW w:w="2154" w:type="dxa"/>
            <w:tcBorders>
              <w:top w:val="single" w:sz="4" w:space="0" w:color="auto"/>
              <w:bottom w:val="single" w:sz="4" w:space="0" w:color="auto"/>
            </w:tcBorders>
            <w:vAlign w:val="center"/>
          </w:tcPr>
          <w:p w:rsidR="00212513" w:rsidRDefault="00212513">
            <w:pPr>
              <w:pStyle w:val="ConsPlusNormal"/>
              <w:jc w:val="center"/>
            </w:pPr>
            <w:r>
              <w:t>автодорожных</w:t>
            </w:r>
          </w:p>
        </w:tc>
      </w:tr>
      <w:tr w:rsidR="00212513">
        <w:tblPrEx>
          <w:tblBorders>
            <w:insideH w:val="none" w:sz="0" w:space="0" w:color="auto"/>
          </w:tblBorders>
        </w:tblPrEx>
        <w:tc>
          <w:tcPr>
            <w:tcW w:w="4649" w:type="dxa"/>
            <w:tcBorders>
              <w:top w:val="single" w:sz="4" w:space="0" w:color="auto"/>
              <w:bottom w:val="nil"/>
            </w:tcBorders>
          </w:tcPr>
          <w:p w:rsidR="00212513" w:rsidRDefault="00212513">
            <w:pPr>
              <w:pStyle w:val="ConsPlusNormal"/>
            </w:pPr>
            <w:r>
              <w:t>1 Вертикальные или наклонные стенки балок:</w:t>
            </w:r>
          </w:p>
        </w:tc>
        <w:tc>
          <w:tcPr>
            <w:tcW w:w="2268" w:type="dxa"/>
            <w:tcBorders>
              <w:top w:val="single" w:sz="4" w:space="0" w:color="auto"/>
              <w:bottom w:val="nil"/>
            </w:tcBorders>
          </w:tcPr>
          <w:p w:rsidR="00212513" w:rsidRDefault="00212513">
            <w:pPr>
              <w:pStyle w:val="ConsPlusNormal"/>
              <w:jc w:val="both"/>
            </w:pPr>
          </w:p>
        </w:tc>
        <w:tc>
          <w:tcPr>
            <w:tcW w:w="2154" w:type="dxa"/>
            <w:tcBorders>
              <w:top w:val="single" w:sz="4" w:space="0" w:color="auto"/>
              <w:bottom w:val="nil"/>
            </w:tcBorders>
          </w:tcPr>
          <w:p w:rsidR="00212513" w:rsidRDefault="00212513">
            <w:pPr>
              <w:pStyle w:val="ConsPlusNormal"/>
              <w:jc w:val="both"/>
            </w:pPr>
          </w:p>
        </w:tc>
      </w:tr>
      <w:tr w:rsidR="00212513">
        <w:tblPrEx>
          <w:tblBorders>
            <w:insideH w:val="none" w:sz="0" w:space="0" w:color="auto"/>
          </w:tblBorders>
        </w:tblPrEx>
        <w:tc>
          <w:tcPr>
            <w:tcW w:w="4649" w:type="dxa"/>
            <w:tcBorders>
              <w:top w:val="nil"/>
              <w:bottom w:val="nil"/>
            </w:tcBorders>
          </w:tcPr>
          <w:p w:rsidR="00212513" w:rsidRDefault="00212513">
            <w:pPr>
              <w:pStyle w:val="ConsPlusNormal"/>
              <w:ind w:left="283"/>
            </w:pPr>
            <w:r>
              <w:t>а) ребристых:</w:t>
            </w:r>
          </w:p>
        </w:tc>
        <w:tc>
          <w:tcPr>
            <w:tcW w:w="2268" w:type="dxa"/>
            <w:tcBorders>
              <w:top w:val="nil"/>
              <w:bottom w:val="nil"/>
            </w:tcBorders>
          </w:tcPr>
          <w:p w:rsidR="00212513" w:rsidRDefault="00212513">
            <w:pPr>
              <w:pStyle w:val="ConsPlusNormal"/>
              <w:jc w:val="both"/>
            </w:pPr>
          </w:p>
        </w:tc>
        <w:tc>
          <w:tcPr>
            <w:tcW w:w="2154"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4649" w:type="dxa"/>
            <w:tcBorders>
              <w:top w:val="nil"/>
              <w:bottom w:val="nil"/>
            </w:tcBorders>
          </w:tcPr>
          <w:p w:rsidR="00212513" w:rsidRDefault="00212513">
            <w:pPr>
              <w:pStyle w:val="ConsPlusNormal"/>
              <w:ind w:left="566"/>
            </w:pPr>
            <w:r>
              <w:t>при отсутствии в стенках арматурных пучков</w:t>
            </w:r>
          </w:p>
        </w:tc>
        <w:tc>
          <w:tcPr>
            <w:tcW w:w="2268" w:type="dxa"/>
            <w:tcBorders>
              <w:top w:val="nil"/>
              <w:bottom w:val="nil"/>
            </w:tcBorders>
          </w:tcPr>
          <w:p w:rsidR="00212513" w:rsidRDefault="00212513">
            <w:pPr>
              <w:pStyle w:val="ConsPlusNormal"/>
              <w:jc w:val="center"/>
            </w:pPr>
            <w:r>
              <w:t xml:space="preserve">12 </w:t>
            </w:r>
            <w:hyperlink w:anchor="P5531">
              <w:r>
                <w:rPr>
                  <w:color w:val="0000FF"/>
                </w:rPr>
                <w:t>&lt;*&gt;</w:t>
              </w:r>
            </w:hyperlink>
          </w:p>
        </w:tc>
        <w:tc>
          <w:tcPr>
            <w:tcW w:w="2154" w:type="dxa"/>
            <w:tcBorders>
              <w:top w:val="nil"/>
              <w:bottom w:val="nil"/>
            </w:tcBorders>
          </w:tcPr>
          <w:p w:rsidR="00212513" w:rsidRDefault="00212513">
            <w:pPr>
              <w:pStyle w:val="ConsPlusNormal"/>
              <w:jc w:val="center"/>
            </w:pPr>
            <w:r>
              <w:t xml:space="preserve">10 </w:t>
            </w:r>
            <w:hyperlink w:anchor="P5531">
              <w:r>
                <w:rPr>
                  <w:color w:val="0000FF"/>
                </w:rPr>
                <w:t>&lt;*&gt;</w:t>
              </w:r>
            </w:hyperlink>
          </w:p>
        </w:tc>
      </w:tr>
      <w:tr w:rsidR="00212513">
        <w:tblPrEx>
          <w:tblBorders>
            <w:insideH w:val="none" w:sz="0" w:space="0" w:color="auto"/>
          </w:tblBorders>
        </w:tblPrEx>
        <w:tc>
          <w:tcPr>
            <w:tcW w:w="9071" w:type="dxa"/>
            <w:gridSpan w:val="3"/>
            <w:tcBorders>
              <w:top w:val="nil"/>
              <w:bottom w:val="nil"/>
            </w:tcBorders>
          </w:tcPr>
          <w:p w:rsidR="00212513" w:rsidRDefault="00212513">
            <w:pPr>
              <w:pStyle w:val="ConsPlusNormal"/>
              <w:jc w:val="both"/>
            </w:pPr>
            <w:r>
              <w:t xml:space="preserve">(в ред. </w:t>
            </w:r>
            <w:hyperlink r:id="rId1304">
              <w:r>
                <w:rPr>
                  <w:color w:val="0000FF"/>
                </w:rPr>
                <w:t>Изменения N 1</w:t>
              </w:r>
            </w:hyperlink>
            <w:r>
              <w:t>, утв. Приказом Минстроя России от 03.12.2016 N 879/пр)</w:t>
            </w:r>
          </w:p>
        </w:tc>
      </w:tr>
      <w:tr w:rsidR="00212513">
        <w:tblPrEx>
          <w:tblBorders>
            <w:insideH w:val="none" w:sz="0" w:space="0" w:color="auto"/>
          </w:tblBorders>
        </w:tblPrEx>
        <w:tc>
          <w:tcPr>
            <w:tcW w:w="4649" w:type="dxa"/>
            <w:tcBorders>
              <w:top w:val="nil"/>
              <w:bottom w:val="nil"/>
            </w:tcBorders>
          </w:tcPr>
          <w:p w:rsidR="00212513" w:rsidRDefault="00212513">
            <w:pPr>
              <w:pStyle w:val="ConsPlusNormal"/>
              <w:ind w:left="566"/>
            </w:pPr>
            <w:r>
              <w:t>при наличии в стенках арматурных пучков</w:t>
            </w:r>
          </w:p>
        </w:tc>
        <w:tc>
          <w:tcPr>
            <w:tcW w:w="2268" w:type="dxa"/>
            <w:tcBorders>
              <w:top w:val="nil"/>
              <w:bottom w:val="nil"/>
            </w:tcBorders>
          </w:tcPr>
          <w:p w:rsidR="00212513" w:rsidRDefault="00212513">
            <w:pPr>
              <w:pStyle w:val="ConsPlusNormal"/>
              <w:jc w:val="center"/>
            </w:pPr>
            <w:r>
              <w:t>15</w:t>
            </w:r>
          </w:p>
        </w:tc>
        <w:tc>
          <w:tcPr>
            <w:tcW w:w="2154" w:type="dxa"/>
            <w:tcBorders>
              <w:top w:val="nil"/>
              <w:bottom w:val="nil"/>
            </w:tcBorders>
          </w:tcPr>
          <w:p w:rsidR="00212513" w:rsidRDefault="00212513">
            <w:pPr>
              <w:pStyle w:val="ConsPlusNormal"/>
              <w:jc w:val="center"/>
            </w:pPr>
            <w:r>
              <w:t>18</w:t>
            </w:r>
          </w:p>
        </w:tc>
      </w:tr>
      <w:tr w:rsidR="00212513">
        <w:tblPrEx>
          <w:tblBorders>
            <w:insideH w:val="none" w:sz="0" w:space="0" w:color="auto"/>
          </w:tblBorders>
        </w:tblPrEx>
        <w:tc>
          <w:tcPr>
            <w:tcW w:w="4649" w:type="dxa"/>
            <w:tcBorders>
              <w:top w:val="nil"/>
              <w:bottom w:val="nil"/>
            </w:tcBorders>
          </w:tcPr>
          <w:p w:rsidR="00212513" w:rsidRDefault="00212513">
            <w:pPr>
              <w:pStyle w:val="ConsPlusNormal"/>
              <w:ind w:left="283"/>
            </w:pPr>
            <w:r>
              <w:t>б) коробчатых:</w:t>
            </w:r>
          </w:p>
        </w:tc>
        <w:tc>
          <w:tcPr>
            <w:tcW w:w="2268" w:type="dxa"/>
            <w:tcBorders>
              <w:top w:val="nil"/>
              <w:bottom w:val="nil"/>
            </w:tcBorders>
          </w:tcPr>
          <w:p w:rsidR="00212513" w:rsidRDefault="00212513">
            <w:pPr>
              <w:pStyle w:val="ConsPlusNormal"/>
              <w:jc w:val="both"/>
            </w:pPr>
          </w:p>
        </w:tc>
        <w:tc>
          <w:tcPr>
            <w:tcW w:w="2154"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4649" w:type="dxa"/>
            <w:tcBorders>
              <w:top w:val="nil"/>
              <w:bottom w:val="nil"/>
            </w:tcBorders>
          </w:tcPr>
          <w:p w:rsidR="00212513" w:rsidRDefault="00212513">
            <w:pPr>
              <w:pStyle w:val="ConsPlusNormal"/>
              <w:ind w:left="566"/>
            </w:pPr>
            <w:r>
              <w:t>при отсутствии в стенках арматурных пучков</w:t>
            </w:r>
          </w:p>
        </w:tc>
        <w:tc>
          <w:tcPr>
            <w:tcW w:w="2268" w:type="dxa"/>
            <w:tcBorders>
              <w:top w:val="nil"/>
              <w:bottom w:val="nil"/>
            </w:tcBorders>
          </w:tcPr>
          <w:p w:rsidR="00212513" w:rsidRDefault="00212513">
            <w:pPr>
              <w:pStyle w:val="ConsPlusNormal"/>
              <w:jc w:val="center"/>
            </w:pPr>
            <w:r>
              <w:t>15</w:t>
            </w:r>
          </w:p>
        </w:tc>
        <w:tc>
          <w:tcPr>
            <w:tcW w:w="2154" w:type="dxa"/>
            <w:tcBorders>
              <w:top w:val="nil"/>
              <w:bottom w:val="nil"/>
            </w:tcBorders>
          </w:tcPr>
          <w:p w:rsidR="00212513" w:rsidRDefault="00212513">
            <w:pPr>
              <w:pStyle w:val="ConsPlusNormal"/>
              <w:jc w:val="center"/>
            </w:pPr>
            <w:r>
              <w:t xml:space="preserve">12 </w:t>
            </w:r>
            <w:hyperlink w:anchor="P5531">
              <w:r>
                <w:rPr>
                  <w:color w:val="0000FF"/>
                </w:rPr>
                <w:t>&lt;*&gt;</w:t>
              </w:r>
            </w:hyperlink>
          </w:p>
        </w:tc>
      </w:tr>
      <w:tr w:rsidR="00212513">
        <w:tblPrEx>
          <w:tblBorders>
            <w:insideH w:val="none" w:sz="0" w:space="0" w:color="auto"/>
          </w:tblBorders>
        </w:tblPrEx>
        <w:tc>
          <w:tcPr>
            <w:tcW w:w="9071" w:type="dxa"/>
            <w:gridSpan w:val="3"/>
            <w:tcBorders>
              <w:top w:val="nil"/>
              <w:bottom w:val="nil"/>
            </w:tcBorders>
          </w:tcPr>
          <w:p w:rsidR="00212513" w:rsidRDefault="00212513">
            <w:pPr>
              <w:pStyle w:val="ConsPlusNormal"/>
              <w:jc w:val="both"/>
            </w:pPr>
            <w:r>
              <w:t xml:space="preserve">(в ред. </w:t>
            </w:r>
            <w:hyperlink r:id="rId1305">
              <w:r>
                <w:rPr>
                  <w:color w:val="0000FF"/>
                </w:rPr>
                <w:t>Изменения N 1</w:t>
              </w:r>
            </w:hyperlink>
            <w:r>
              <w:t>, утв. Приказом Минстроя России от 03.12.2016 N 879/пр)</w:t>
            </w:r>
          </w:p>
        </w:tc>
      </w:tr>
      <w:tr w:rsidR="00212513">
        <w:tblPrEx>
          <w:tblBorders>
            <w:insideH w:val="none" w:sz="0" w:space="0" w:color="auto"/>
          </w:tblBorders>
        </w:tblPrEx>
        <w:tc>
          <w:tcPr>
            <w:tcW w:w="4649" w:type="dxa"/>
            <w:tcBorders>
              <w:top w:val="nil"/>
              <w:bottom w:val="nil"/>
            </w:tcBorders>
          </w:tcPr>
          <w:p w:rsidR="00212513" w:rsidRDefault="00212513">
            <w:pPr>
              <w:pStyle w:val="ConsPlusNormal"/>
              <w:ind w:left="566"/>
            </w:pPr>
            <w:r>
              <w:t>при наличии в стенках арматурных пучков</w:t>
            </w:r>
          </w:p>
        </w:tc>
        <w:tc>
          <w:tcPr>
            <w:tcW w:w="2268" w:type="dxa"/>
            <w:tcBorders>
              <w:top w:val="nil"/>
              <w:bottom w:val="nil"/>
            </w:tcBorders>
          </w:tcPr>
          <w:p w:rsidR="00212513" w:rsidRDefault="00212513">
            <w:pPr>
              <w:pStyle w:val="ConsPlusNormal"/>
              <w:jc w:val="center"/>
            </w:pPr>
            <w:r>
              <w:t>18</w:t>
            </w:r>
          </w:p>
        </w:tc>
        <w:tc>
          <w:tcPr>
            <w:tcW w:w="2154" w:type="dxa"/>
            <w:tcBorders>
              <w:top w:val="nil"/>
              <w:bottom w:val="nil"/>
            </w:tcBorders>
          </w:tcPr>
          <w:p w:rsidR="00212513" w:rsidRDefault="00212513">
            <w:pPr>
              <w:pStyle w:val="ConsPlusNormal"/>
              <w:jc w:val="center"/>
            </w:pPr>
            <w:r>
              <w:t>18</w:t>
            </w:r>
          </w:p>
        </w:tc>
      </w:tr>
      <w:tr w:rsidR="00212513">
        <w:tblPrEx>
          <w:tblBorders>
            <w:insideH w:val="none" w:sz="0" w:space="0" w:color="auto"/>
          </w:tblBorders>
        </w:tblPrEx>
        <w:tc>
          <w:tcPr>
            <w:tcW w:w="4649" w:type="dxa"/>
            <w:tcBorders>
              <w:top w:val="nil"/>
              <w:bottom w:val="nil"/>
            </w:tcBorders>
          </w:tcPr>
          <w:p w:rsidR="00212513" w:rsidRDefault="00212513">
            <w:pPr>
              <w:pStyle w:val="ConsPlusNormal"/>
            </w:pPr>
            <w:r>
              <w:t>2 Плиты:</w:t>
            </w:r>
          </w:p>
        </w:tc>
        <w:tc>
          <w:tcPr>
            <w:tcW w:w="2268" w:type="dxa"/>
            <w:tcBorders>
              <w:top w:val="nil"/>
              <w:bottom w:val="nil"/>
            </w:tcBorders>
          </w:tcPr>
          <w:p w:rsidR="00212513" w:rsidRDefault="00212513">
            <w:pPr>
              <w:pStyle w:val="ConsPlusNormal"/>
              <w:jc w:val="both"/>
            </w:pPr>
          </w:p>
        </w:tc>
        <w:tc>
          <w:tcPr>
            <w:tcW w:w="2154"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4649" w:type="dxa"/>
            <w:tcBorders>
              <w:top w:val="nil"/>
              <w:bottom w:val="nil"/>
            </w:tcBorders>
          </w:tcPr>
          <w:p w:rsidR="00212513" w:rsidRDefault="00212513">
            <w:pPr>
              <w:pStyle w:val="ConsPlusNormal"/>
              <w:ind w:left="283"/>
            </w:pPr>
            <w:r>
              <w:t>а) балластного корыта:</w:t>
            </w:r>
          </w:p>
        </w:tc>
        <w:tc>
          <w:tcPr>
            <w:tcW w:w="2268" w:type="dxa"/>
            <w:tcBorders>
              <w:top w:val="nil"/>
              <w:bottom w:val="nil"/>
            </w:tcBorders>
          </w:tcPr>
          <w:p w:rsidR="00212513" w:rsidRDefault="00212513">
            <w:pPr>
              <w:pStyle w:val="ConsPlusNormal"/>
              <w:jc w:val="both"/>
            </w:pPr>
          </w:p>
        </w:tc>
        <w:tc>
          <w:tcPr>
            <w:tcW w:w="2154"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4649" w:type="dxa"/>
            <w:tcBorders>
              <w:top w:val="nil"/>
              <w:bottom w:val="nil"/>
            </w:tcBorders>
          </w:tcPr>
          <w:p w:rsidR="00212513" w:rsidRDefault="00212513">
            <w:pPr>
              <w:pStyle w:val="ConsPlusNormal"/>
              <w:ind w:left="566"/>
            </w:pPr>
            <w:r>
              <w:t>между стенками (ребрами)</w:t>
            </w:r>
          </w:p>
        </w:tc>
        <w:tc>
          <w:tcPr>
            <w:tcW w:w="2268" w:type="dxa"/>
            <w:tcBorders>
              <w:top w:val="nil"/>
              <w:bottom w:val="nil"/>
            </w:tcBorders>
          </w:tcPr>
          <w:p w:rsidR="00212513" w:rsidRDefault="00212513">
            <w:pPr>
              <w:pStyle w:val="ConsPlusNormal"/>
              <w:jc w:val="center"/>
            </w:pPr>
            <w:r>
              <w:t>15</w:t>
            </w:r>
          </w:p>
        </w:tc>
        <w:tc>
          <w:tcPr>
            <w:tcW w:w="2154" w:type="dxa"/>
            <w:tcBorders>
              <w:top w:val="nil"/>
              <w:bottom w:val="nil"/>
            </w:tcBorders>
          </w:tcPr>
          <w:p w:rsidR="00212513" w:rsidRDefault="00212513">
            <w:pPr>
              <w:pStyle w:val="ConsPlusNormal"/>
              <w:jc w:val="center"/>
            </w:pPr>
            <w:r>
              <w:t>-</w:t>
            </w:r>
          </w:p>
        </w:tc>
      </w:tr>
      <w:tr w:rsidR="00212513">
        <w:tblPrEx>
          <w:tblBorders>
            <w:insideH w:val="none" w:sz="0" w:space="0" w:color="auto"/>
          </w:tblBorders>
        </w:tblPrEx>
        <w:tc>
          <w:tcPr>
            <w:tcW w:w="4649" w:type="dxa"/>
            <w:tcBorders>
              <w:top w:val="nil"/>
              <w:bottom w:val="nil"/>
            </w:tcBorders>
          </w:tcPr>
          <w:p w:rsidR="00212513" w:rsidRDefault="00212513">
            <w:pPr>
              <w:pStyle w:val="ConsPlusNormal"/>
              <w:ind w:left="566"/>
            </w:pPr>
            <w:r>
              <w:t>на концах консолей</w:t>
            </w:r>
          </w:p>
        </w:tc>
        <w:tc>
          <w:tcPr>
            <w:tcW w:w="2268" w:type="dxa"/>
            <w:tcBorders>
              <w:top w:val="nil"/>
              <w:bottom w:val="nil"/>
            </w:tcBorders>
          </w:tcPr>
          <w:p w:rsidR="00212513" w:rsidRDefault="00212513">
            <w:pPr>
              <w:pStyle w:val="ConsPlusNormal"/>
              <w:jc w:val="center"/>
            </w:pPr>
            <w:r>
              <w:t>10</w:t>
            </w:r>
          </w:p>
        </w:tc>
        <w:tc>
          <w:tcPr>
            <w:tcW w:w="2154" w:type="dxa"/>
            <w:tcBorders>
              <w:top w:val="nil"/>
              <w:bottom w:val="nil"/>
            </w:tcBorders>
          </w:tcPr>
          <w:p w:rsidR="00212513" w:rsidRDefault="00212513">
            <w:pPr>
              <w:pStyle w:val="ConsPlusNormal"/>
              <w:jc w:val="center"/>
            </w:pPr>
            <w:r>
              <w:t>-</w:t>
            </w:r>
          </w:p>
        </w:tc>
      </w:tr>
      <w:tr w:rsidR="00212513">
        <w:tblPrEx>
          <w:tblBorders>
            <w:insideH w:val="none" w:sz="0" w:space="0" w:color="auto"/>
          </w:tblBorders>
        </w:tblPrEx>
        <w:tc>
          <w:tcPr>
            <w:tcW w:w="4649" w:type="dxa"/>
            <w:tcBorders>
              <w:top w:val="nil"/>
              <w:bottom w:val="nil"/>
            </w:tcBorders>
          </w:tcPr>
          <w:p w:rsidR="00212513" w:rsidRDefault="00212513">
            <w:pPr>
              <w:pStyle w:val="ConsPlusNormal"/>
              <w:ind w:left="283"/>
            </w:pPr>
            <w:r>
              <w:t>б) проезжей части:</w:t>
            </w:r>
          </w:p>
        </w:tc>
        <w:tc>
          <w:tcPr>
            <w:tcW w:w="2268" w:type="dxa"/>
            <w:tcBorders>
              <w:top w:val="nil"/>
              <w:bottom w:val="nil"/>
            </w:tcBorders>
          </w:tcPr>
          <w:p w:rsidR="00212513" w:rsidRDefault="00212513">
            <w:pPr>
              <w:pStyle w:val="ConsPlusNormal"/>
              <w:jc w:val="both"/>
            </w:pPr>
          </w:p>
        </w:tc>
        <w:tc>
          <w:tcPr>
            <w:tcW w:w="2154"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4649" w:type="dxa"/>
            <w:tcBorders>
              <w:top w:val="nil"/>
              <w:bottom w:val="nil"/>
            </w:tcBorders>
          </w:tcPr>
          <w:p w:rsidR="00212513" w:rsidRDefault="00212513">
            <w:pPr>
              <w:pStyle w:val="ConsPlusNormal"/>
              <w:ind w:left="566"/>
            </w:pPr>
            <w:r>
              <w:t>между стенками (ребрами)</w:t>
            </w:r>
          </w:p>
        </w:tc>
        <w:tc>
          <w:tcPr>
            <w:tcW w:w="2268" w:type="dxa"/>
            <w:tcBorders>
              <w:top w:val="nil"/>
              <w:bottom w:val="nil"/>
            </w:tcBorders>
          </w:tcPr>
          <w:p w:rsidR="00212513" w:rsidRDefault="00212513">
            <w:pPr>
              <w:pStyle w:val="ConsPlusNormal"/>
              <w:jc w:val="center"/>
            </w:pPr>
            <w:r>
              <w:t>-</w:t>
            </w:r>
          </w:p>
        </w:tc>
        <w:tc>
          <w:tcPr>
            <w:tcW w:w="2154" w:type="dxa"/>
            <w:tcBorders>
              <w:top w:val="nil"/>
              <w:bottom w:val="nil"/>
            </w:tcBorders>
          </w:tcPr>
          <w:p w:rsidR="00212513" w:rsidRDefault="00212513">
            <w:pPr>
              <w:pStyle w:val="ConsPlusNormal"/>
              <w:jc w:val="center"/>
            </w:pPr>
            <w:r>
              <w:t>-</w:t>
            </w:r>
          </w:p>
        </w:tc>
      </w:tr>
      <w:tr w:rsidR="00212513">
        <w:tblPrEx>
          <w:tblBorders>
            <w:insideH w:val="none" w:sz="0" w:space="0" w:color="auto"/>
          </w:tblBorders>
        </w:tblPrEx>
        <w:tc>
          <w:tcPr>
            <w:tcW w:w="4649" w:type="dxa"/>
            <w:tcBorders>
              <w:top w:val="nil"/>
              <w:bottom w:val="nil"/>
            </w:tcBorders>
          </w:tcPr>
          <w:p w:rsidR="00212513" w:rsidRDefault="00212513">
            <w:pPr>
              <w:pStyle w:val="ConsPlusNormal"/>
              <w:ind w:left="566"/>
            </w:pPr>
            <w:r>
              <w:t>при отсутствии в плите арматурных пучков</w:t>
            </w:r>
          </w:p>
        </w:tc>
        <w:tc>
          <w:tcPr>
            <w:tcW w:w="2268" w:type="dxa"/>
            <w:tcBorders>
              <w:top w:val="nil"/>
              <w:bottom w:val="nil"/>
            </w:tcBorders>
          </w:tcPr>
          <w:p w:rsidR="00212513" w:rsidRDefault="00212513">
            <w:pPr>
              <w:pStyle w:val="ConsPlusNormal"/>
              <w:jc w:val="center"/>
            </w:pPr>
            <w:r>
              <w:t>-</w:t>
            </w:r>
          </w:p>
        </w:tc>
        <w:tc>
          <w:tcPr>
            <w:tcW w:w="2154" w:type="dxa"/>
            <w:tcBorders>
              <w:top w:val="nil"/>
              <w:bottom w:val="nil"/>
            </w:tcBorders>
          </w:tcPr>
          <w:p w:rsidR="00212513" w:rsidRDefault="00212513">
            <w:pPr>
              <w:pStyle w:val="ConsPlusNormal"/>
              <w:jc w:val="center"/>
            </w:pPr>
            <w:r>
              <w:t>18</w:t>
            </w:r>
          </w:p>
        </w:tc>
      </w:tr>
      <w:tr w:rsidR="00212513">
        <w:tblPrEx>
          <w:tblBorders>
            <w:insideH w:val="none" w:sz="0" w:space="0" w:color="auto"/>
          </w:tblBorders>
        </w:tblPrEx>
        <w:tc>
          <w:tcPr>
            <w:tcW w:w="4649" w:type="dxa"/>
            <w:tcBorders>
              <w:top w:val="nil"/>
              <w:bottom w:val="nil"/>
            </w:tcBorders>
          </w:tcPr>
          <w:p w:rsidR="00212513" w:rsidRDefault="00212513">
            <w:pPr>
              <w:pStyle w:val="ConsPlusNormal"/>
              <w:ind w:left="566"/>
            </w:pPr>
            <w:r>
              <w:t>при наличии в плите арматурных пучков</w:t>
            </w:r>
          </w:p>
        </w:tc>
        <w:tc>
          <w:tcPr>
            <w:tcW w:w="2268" w:type="dxa"/>
            <w:tcBorders>
              <w:top w:val="nil"/>
              <w:bottom w:val="nil"/>
            </w:tcBorders>
          </w:tcPr>
          <w:p w:rsidR="00212513" w:rsidRDefault="00212513">
            <w:pPr>
              <w:pStyle w:val="ConsPlusNormal"/>
              <w:jc w:val="center"/>
            </w:pPr>
            <w:r>
              <w:t>-</w:t>
            </w:r>
          </w:p>
        </w:tc>
        <w:tc>
          <w:tcPr>
            <w:tcW w:w="2154" w:type="dxa"/>
            <w:tcBorders>
              <w:top w:val="nil"/>
              <w:bottom w:val="nil"/>
            </w:tcBorders>
          </w:tcPr>
          <w:p w:rsidR="00212513" w:rsidRDefault="00212513">
            <w:pPr>
              <w:pStyle w:val="ConsPlusNormal"/>
              <w:jc w:val="center"/>
            </w:pPr>
            <w:r>
              <w:t>20</w:t>
            </w:r>
          </w:p>
        </w:tc>
      </w:tr>
      <w:tr w:rsidR="00212513">
        <w:tblPrEx>
          <w:tblBorders>
            <w:insideH w:val="none" w:sz="0" w:space="0" w:color="auto"/>
          </w:tblBorders>
        </w:tblPrEx>
        <w:tc>
          <w:tcPr>
            <w:tcW w:w="4649" w:type="dxa"/>
            <w:tcBorders>
              <w:top w:val="nil"/>
              <w:bottom w:val="nil"/>
            </w:tcBorders>
          </w:tcPr>
          <w:p w:rsidR="00212513" w:rsidRDefault="00212513">
            <w:pPr>
              <w:pStyle w:val="ConsPlusNormal"/>
              <w:ind w:left="566"/>
            </w:pPr>
            <w:r>
              <w:t>на концах консолей</w:t>
            </w:r>
          </w:p>
        </w:tc>
        <w:tc>
          <w:tcPr>
            <w:tcW w:w="2268" w:type="dxa"/>
            <w:tcBorders>
              <w:top w:val="nil"/>
              <w:bottom w:val="nil"/>
            </w:tcBorders>
          </w:tcPr>
          <w:p w:rsidR="00212513" w:rsidRDefault="00212513">
            <w:pPr>
              <w:pStyle w:val="ConsPlusNormal"/>
              <w:jc w:val="center"/>
            </w:pPr>
            <w:r>
              <w:t>-</w:t>
            </w:r>
          </w:p>
        </w:tc>
        <w:tc>
          <w:tcPr>
            <w:tcW w:w="2154" w:type="dxa"/>
            <w:tcBorders>
              <w:top w:val="nil"/>
              <w:bottom w:val="nil"/>
            </w:tcBorders>
          </w:tcPr>
          <w:p w:rsidR="00212513" w:rsidRDefault="00212513">
            <w:pPr>
              <w:pStyle w:val="ConsPlusNormal"/>
              <w:jc w:val="center"/>
            </w:pPr>
            <w:r>
              <w:t>12</w:t>
            </w:r>
          </w:p>
        </w:tc>
      </w:tr>
      <w:tr w:rsidR="00212513">
        <w:tblPrEx>
          <w:tblBorders>
            <w:insideH w:val="none" w:sz="0" w:space="0" w:color="auto"/>
          </w:tblBorders>
        </w:tblPrEx>
        <w:tc>
          <w:tcPr>
            <w:tcW w:w="4649" w:type="dxa"/>
            <w:tcBorders>
              <w:top w:val="nil"/>
              <w:bottom w:val="nil"/>
            </w:tcBorders>
          </w:tcPr>
          <w:p w:rsidR="00212513" w:rsidRDefault="00212513">
            <w:pPr>
              <w:pStyle w:val="ConsPlusNormal"/>
              <w:ind w:left="283"/>
            </w:pPr>
            <w:r>
              <w:t>в) нижние в коробчатых балках:</w:t>
            </w:r>
          </w:p>
        </w:tc>
        <w:tc>
          <w:tcPr>
            <w:tcW w:w="2268" w:type="dxa"/>
            <w:tcBorders>
              <w:top w:val="nil"/>
              <w:bottom w:val="nil"/>
            </w:tcBorders>
          </w:tcPr>
          <w:p w:rsidR="00212513" w:rsidRDefault="00212513">
            <w:pPr>
              <w:pStyle w:val="ConsPlusNormal"/>
              <w:jc w:val="both"/>
            </w:pPr>
          </w:p>
        </w:tc>
        <w:tc>
          <w:tcPr>
            <w:tcW w:w="2154"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4649" w:type="dxa"/>
            <w:tcBorders>
              <w:top w:val="nil"/>
              <w:bottom w:val="nil"/>
            </w:tcBorders>
          </w:tcPr>
          <w:p w:rsidR="00212513" w:rsidRDefault="00212513">
            <w:pPr>
              <w:pStyle w:val="ConsPlusNormal"/>
              <w:ind w:left="566"/>
            </w:pPr>
            <w:r>
              <w:lastRenderedPageBreak/>
              <w:t>при отсутствии в стенках арматурных пучков</w:t>
            </w:r>
          </w:p>
        </w:tc>
        <w:tc>
          <w:tcPr>
            <w:tcW w:w="2268" w:type="dxa"/>
            <w:tcBorders>
              <w:top w:val="nil"/>
              <w:bottom w:val="nil"/>
            </w:tcBorders>
          </w:tcPr>
          <w:p w:rsidR="00212513" w:rsidRDefault="00212513">
            <w:pPr>
              <w:pStyle w:val="ConsPlusNormal"/>
              <w:jc w:val="center"/>
            </w:pPr>
            <w:r>
              <w:t>15</w:t>
            </w:r>
          </w:p>
        </w:tc>
        <w:tc>
          <w:tcPr>
            <w:tcW w:w="2154" w:type="dxa"/>
            <w:tcBorders>
              <w:top w:val="nil"/>
              <w:bottom w:val="nil"/>
            </w:tcBorders>
          </w:tcPr>
          <w:p w:rsidR="00212513" w:rsidRDefault="00212513">
            <w:pPr>
              <w:pStyle w:val="ConsPlusNormal"/>
              <w:jc w:val="center"/>
            </w:pPr>
            <w:r>
              <w:t>15</w:t>
            </w:r>
          </w:p>
        </w:tc>
      </w:tr>
      <w:tr w:rsidR="00212513">
        <w:tblPrEx>
          <w:tblBorders>
            <w:insideH w:val="none" w:sz="0" w:space="0" w:color="auto"/>
          </w:tblBorders>
        </w:tblPrEx>
        <w:tc>
          <w:tcPr>
            <w:tcW w:w="4649" w:type="dxa"/>
            <w:tcBorders>
              <w:top w:val="nil"/>
              <w:bottom w:val="nil"/>
            </w:tcBorders>
          </w:tcPr>
          <w:p w:rsidR="00212513" w:rsidRDefault="00212513">
            <w:pPr>
              <w:pStyle w:val="ConsPlusNormal"/>
              <w:ind w:left="566"/>
            </w:pPr>
            <w:r>
              <w:t>при наличии в стенках арматурных пучков</w:t>
            </w:r>
          </w:p>
        </w:tc>
        <w:tc>
          <w:tcPr>
            <w:tcW w:w="2268" w:type="dxa"/>
            <w:tcBorders>
              <w:top w:val="nil"/>
              <w:bottom w:val="nil"/>
            </w:tcBorders>
          </w:tcPr>
          <w:p w:rsidR="00212513" w:rsidRDefault="00212513">
            <w:pPr>
              <w:pStyle w:val="ConsPlusNormal"/>
              <w:jc w:val="center"/>
            </w:pPr>
            <w:r>
              <w:t>18</w:t>
            </w:r>
          </w:p>
        </w:tc>
        <w:tc>
          <w:tcPr>
            <w:tcW w:w="2154" w:type="dxa"/>
            <w:tcBorders>
              <w:top w:val="nil"/>
              <w:bottom w:val="nil"/>
            </w:tcBorders>
          </w:tcPr>
          <w:p w:rsidR="00212513" w:rsidRDefault="00212513">
            <w:pPr>
              <w:pStyle w:val="ConsPlusNormal"/>
              <w:jc w:val="center"/>
            </w:pPr>
            <w:r>
              <w:t>15</w:t>
            </w:r>
          </w:p>
        </w:tc>
      </w:tr>
      <w:tr w:rsidR="00212513">
        <w:tblPrEx>
          <w:tblBorders>
            <w:insideH w:val="none" w:sz="0" w:space="0" w:color="auto"/>
          </w:tblBorders>
        </w:tblPrEx>
        <w:tc>
          <w:tcPr>
            <w:tcW w:w="4649" w:type="dxa"/>
            <w:tcBorders>
              <w:top w:val="nil"/>
              <w:bottom w:val="nil"/>
            </w:tcBorders>
          </w:tcPr>
          <w:p w:rsidR="00212513" w:rsidRDefault="00212513">
            <w:pPr>
              <w:pStyle w:val="ConsPlusNormal"/>
              <w:ind w:left="283"/>
            </w:pPr>
            <w:r>
              <w:t>г) тротуаров:</w:t>
            </w:r>
          </w:p>
        </w:tc>
        <w:tc>
          <w:tcPr>
            <w:tcW w:w="2268" w:type="dxa"/>
            <w:tcBorders>
              <w:top w:val="nil"/>
              <w:bottom w:val="nil"/>
            </w:tcBorders>
          </w:tcPr>
          <w:p w:rsidR="00212513" w:rsidRDefault="00212513">
            <w:pPr>
              <w:pStyle w:val="ConsPlusNormal"/>
              <w:jc w:val="both"/>
            </w:pPr>
          </w:p>
        </w:tc>
        <w:tc>
          <w:tcPr>
            <w:tcW w:w="2154"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4649" w:type="dxa"/>
            <w:tcBorders>
              <w:top w:val="nil"/>
              <w:bottom w:val="nil"/>
            </w:tcBorders>
          </w:tcPr>
          <w:p w:rsidR="00212513" w:rsidRDefault="00212513">
            <w:pPr>
              <w:pStyle w:val="ConsPlusNormal"/>
              <w:ind w:left="566"/>
            </w:pPr>
            <w:r>
              <w:t>монолитные (несъемные)</w:t>
            </w:r>
          </w:p>
        </w:tc>
        <w:tc>
          <w:tcPr>
            <w:tcW w:w="2268" w:type="dxa"/>
            <w:tcBorders>
              <w:top w:val="nil"/>
              <w:bottom w:val="nil"/>
            </w:tcBorders>
          </w:tcPr>
          <w:p w:rsidR="00212513" w:rsidRDefault="00212513">
            <w:pPr>
              <w:pStyle w:val="ConsPlusNormal"/>
              <w:jc w:val="center"/>
            </w:pPr>
            <w:r>
              <w:t>8</w:t>
            </w:r>
          </w:p>
        </w:tc>
        <w:tc>
          <w:tcPr>
            <w:tcW w:w="2154" w:type="dxa"/>
            <w:tcBorders>
              <w:top w:val="nil"/>
              <w:bottom w:val="nil"/>
            </w:tcBorders>
          </w:tcPr>
          <w:p w:rsidR="00212513" w:rsidRDefault="00212513">
            <w:pPr>
              <w:pStyle w:val="ConsPlusNormal"/>
              <w:jc w:val="center"/>
            </w:pPr>
            <w:r>
              <w:t>12</w:t>
            </w:r>
          </w:p>
        </w:tc>
      </w:tr>
      <w:tr w:rsidR="00212513">
        <w:tblPrEx>
          <w:tblBorders>
            <w:insideH w:val="none" w:sz="0" w:space="0" w:color="auto"/>
          </w:tblBorders>
        </w:tblPrEx>
        <w:tc>
          <w:tcPr>
            <w:tcW w:w="4649" w:type="dxa"/>
            <w:tcBorders>
              <w:top w:val="nil"/>
              <w:bottom w:val="nil"/>
            </w:tcBorders>
          </w:tcPr>
          <w:p w:rsidR="00212513" w:rsidRDefault="00212513">
            <w:pPr>
              <w:pStyle w:val="ConsPlusNormal"/>
              <w:ind w:left="566"/>
            </w:pPr>
            <w:r>
              <w:t>сборные (съемные)</w:t>
            </w:r>
          </w:p>
        </w:tc>
        <w:tc>
          <w:tcPr>
            <w:tcW w:w="2268" w:type="dxa"/>
            <w:tcBorders>
              <w:top w:val="nil"/>
              <w:bottom w:val="nil"/>
            </w:tcBorders>
          </w:tcPr>
          <w:p w:rsidR="00212513" w:rsidRDefault="00212513">
            <w:pPr>
              <w:pStyle w:val="ConsPlusNormal"/>
              <w:jc w:val="center"/>
            </w:pPr>
            <w:r>
              <w:t>6</w:t>
            </w:r>
          </w:p>
        </w:tc>
        <w:tc>
          <w:tcPr>
            <w:tcW w:w="2154" w:type="dxa"/>
            <w:tcBorders>
              <w:top w:val="nil"/>
              <w:bottom w:val="nil"/>
            </w:tcBorders>
          </w:tcPr>
          <w:p w:rsidR="00212513" w:rsidRDefault="00212513">
            <w:pPr>
              <w:pStyle w:val="ConsPlusNormal"/>
              <w:jc w:val="center"/>
            </w:pPr>
            <w:r>
              <w:t>8</w:t>
            </w:r>
          </w:p>
        </w:tc>
      </w:tr>
      <w:tr w:rsidR="00212513">
        <w:tblPrEx>
          <w:tblBorders>
            <w:insideH w:val="none" w:sz="0" w:space="0" w:color="auto"/>
          </w:tblBorders>
        </w:tblPrEx>
        <w:tc>
          <w:tcPr>
            <w:tcW w:w="4649" w:type="dxa"/>
            <w:tcBorders>
              <w:top w:val="nil"/>
              <w:bottom w:val="nil"/>
            </w:tcBorders>
          </w:tcPr>
          <w:p w:rsidR="00212513" w:rsidRDefault="00212513">
            <w:pPr>
              <w:pStyle w:val="ConsPlusNormal"/>
            </w:pPr>
            <w:r>
              <w:t>3 Пустотелые блоки плитных пролетных строений:</w:t>
            </w:r>
          </w:p>
        </w:tc>
        <w:tc>
          <w:tcPr>
            <w:tcW w:w="2268" w:type="dxa"/>
            <w:tcBorders>
              <w:top w:val="nil"/>
              <w:bottom w:val="nil"/>
            </w:tcBorders>
          </w:tcPr>
          <w:p w:rsidR="00212513" w:rsidRDefault="00212513">
            <w:pPr>
              <w:pStyle w:val="ConsPlusNormal"/>
              <w:jc w:val="both"/>
            </w:pPr>
          </w:p>
        </w:tc>
        <w:tc>
          <w:tcPr>
            <w:tcW w:w="2154"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4649" w:type="dxa"/>
            <w:tcBorders>
              <w:top w:val="nil"/>
              <w:bottom w:val="nil"/>
            </w:tcBorders>
          </w:tcPr>
          <w:p w:rsidR="00212513" w:rsidRDefault="00212513">
            <w:pPr>
              <w:pStyle w:val="ConsPlusNormal"/>
              <w:ind w:left="283"/>
            </w:pPr>
            <w:r>
              <w:t>а) с арматурой из стержней, одиночных арматурных канатов класса К7 и пучков из параллельных высокопрочных проволок:</w:t>
            </w:r>
          </w:p>
        </w:tc>
        <w:tc>
          <w:tcPr>
            <w:tcW w:w="2268" w:type="dxa"/>
            <w:tcBorders>
              <w:top w:val="nil"/>
              <w:bottom w:val="nil"/>
            </w:tcBorders>
          </w:tcPr>
          <w:p w:rsidR="00212513" w:rsidRDefault="00212513">
            <w:pPr>
              <w:pStyle w:val="ConsPlusNormal"/>
              <w:jc w:val="both"/>
            </w:pPr>
          </w:p>
        </w:tc>
        <w:tc>
          <w:tcPr>
            <w:tcW w:w="2154"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4649" w:type="dxa"/>
            <w:tcBorders>
              <w:top w:val="nil"/>
              <w:bottom w:val="nil"/>
            </w:tcBorders>
          </w:tcPr>
          <w:p w:rsidR="00212513" w:rsidRDefault="00212513">
            <w:pPr>
              <w:pStyle w:val="ConsPlusNormal"/>
              <w:ind w:left="566"/>
            </w:pPr>
            <w:r>
              <w:t>стенки и верхние плиты</w:t>
            </w:r>
          </w:p>
        </w:tc>
        <w:tc>
          <w:tcPr>
            <w:tcW w:w="2268" w:type="dxa"/>
            <w:tcBorders>
              <w:top w:val="nil"/>
              <w:bottom w:val="nil"/>
            </w:tcBorders>
          </w:tcPr>
          <w:p w:rsidR="00212513" w:rsidRDefault="00212513">
            <w:pPr>
              <w:pStyle w:val="ConsPlusNormal"/>
              <w:jc w:val="center"/>
            </w:pPr>
            <w:r>
              <w:t>10</w:t>
            </w:r>
          </w:p>
        </w:tc>
        <w:tc>
          <w:tcPr>
            <w:tcW w:w="2154" w:type="dxa"/>
            <w:tcBorders>
              <w:top w:val="nil"/>
              <w:bottom w:val="nil"/>
            </w:tcBorders>
          </w:tcPr>
          <w:p w:rsidR="00212513" w:rsidRDefault="00212513">
            <w:pPr>
              <w:pStyle w:val="ConsPlusNormal"/>
              <w:jc w:val="center"/>
            </w:pPr>
            <w:r>
              <w:t>12</w:t>
            </w:r>
          </w:p>
        </w:tc>
      </w:tr>
      <w:tr w:rsidR="00212513">
        <w:tblPrEx>
          <w:tblBorders>
            <w:insideH w:val="none" w:sz="0" w:space="0" w:color="auto"/>
          </w:tblBorders>
        </w:tblPrEx>
        <w:tc>
          <w:tcPr>
            <w:tcW w:w="4649" w:type="dxa"/>
            <w:tcBorders>
              <w:top w:val="nil"/>
              <w:bottom w:val="nil"/>
            </w:tcBorders>
          </w:tcPr>
          <w:p w:rsidR="00212513" w:rsidRDefault="00212513">
            <w:pPr>
              <w:pStyle w:val="ConsPlusNormal"/>
              <w:ind w:left="566"/>
            </w:pPr>
            <w:r>
              <w:t>нижние плиты</w:t>
            </w:r>
          </w:p>
        </w:tc>
        <w:tc>
          <w:tcPr>
            <w:tcW w:w="2268" w:type="dxa"/>
            <w:tcBorders>
              <w:top w:val="nil"/>
              <w:bottom w:val="nil"/>
            </w:tcBorders>
          </w:tcPr>
          <w:p w:rsidR="00212513" w:rsidRDefault="00212513">
            <w:pPr>
              <w:pStyle w:val="ConsPlusNormal"/>
              <w:jc w:val="center"/>
            </w:pPr>
            <w:r>
              <w:t>12</w:t>
            </w:r>
          </w:p>
        </w:tc>
        <w:tc>
          <w:tcPr>
            <w:tcW w:w="2154" w:type="dxa"/>
            <w:tcBorders>
              <w:top w:val="nil"/>
              <w:bottom w:val="nil"/>
            </w:tcBorders>
          </w:tcPr>
          <w:p w:rsidR="00212513" w:rsidRDefault="00212513">
            <w:pPr>
              <w:pStyle w:val="ConsPlusNormal"/>
              <w:jc w:val="center"/>
            </w:pPr>
            <w:r>
              <w:t>12</w:t>
            </w:r>
          </w:p>
        </w:tc>
      </w:tr>
      <w:tr w:rsidR="00212513">
        <w:tblPrEx>
          <w:tblBorders>
            <w:insideH w:val="none" w:sz="0" w:space="0" w:color="auto"/>
          </w:tblBorders>
        </w:tblPrEx>
        <w:tc>
          <w:tcPr>
            <w:tcW w:w="4649" w:type="dxa"/>
            <w:tcBorders>
              <w:top w:val="nil"/>
              <w:bottom w:val="nil"/>
            </w:tcBorders>
          </w:tcPr>
          <w:p w:rsidR="00212513" w:rsidRDefault="00212513">
            <w:pPr>
              <w:pStyle w:val="ConsPlusNormal"/>
              <w:ind w:left="283"/>
            </w:pPr>
            <w:r>
              <w:t>б) струнобетонные:</w:t>
            </w:r>
          </w:p>
        </w:tc>
        <w:tc>
          <w:tcPr>
            <w:tcW w:w="2268" w:type="dxa"/>
            <w:tcBorders>
              <w:top w:val="nil"/>
              <w:bottom w:val="nil"/>
            </w:tcBorders>
          </w:tcPr>
          <w:p w:rsidR="00212513" w:rsidRDefault="00212513">
            <w:pPr>
              <w:pStyle w:val="ConsPlusNormal"/>
              <w:jc w:val="both"/>
            </w:pPr>
          </w:p>
        </w:tc>
        <w:tc>
          <w:tcPr>
            <w:tcW w:w="2154"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4649" w:type="dxa"/>
            <w:tcBorders>
              <w:top w:val="nil"/>
              <w:bottom w:val="nil"/>
            </w:tcBorders>
          </w:tcPr>
          <w:p w:rsidR="00212513" w:rsidRDefault="00212513">
            <w:pPr>
              <w:pStyle w:val="ConsPlusNormal"/>
              <w:ind w:left="566"/>
            </w:pPr>
            <w:r>
              <w:t>стенки и верхние плиты</w:t>
            </w:r>
          </w:p>
        </w:tc>
        <w:tc>
          <w:tcPr>
            <w:tcW w:w="2268" w:type="dxa"/>
            <w:tcBorders>
              <w:top w:val="nil"/>
              <w:bottom w:val="nil"/>
            </w:tcBorders>
          </w:tcPr>
          <w:p w:rsidR="00212513" w:rsidRDefault="00212513">
            <w:pPr>
              <w:pStyle w:val="ConsPlusNormal"/>
              <w:jc w:val="center"/>
            </w:pPr>
            <w:r>
              <w:t>-</w:t>
            </w:r>
          </w:p>
        </w:tc>
        <w:tc>
          <w:tcPr>
            <w:tcW w:w="2154" w:type="dxa"/>
            <w:tcBorders>
              <w:top w:val="nil"/>
              <w:bottom w:val="nil"/>
            </w:tcBorders>
          </w:tcPr>
          <w:p w:rsidR="00212513" w:rsidRDefault="00212513">
            <w:pPr>
              <w:pStyle w:val="ConsPlusNormal"/>
              <w:jc w:val="center"/>
            </w:pPr>
            <w:r>
              <w:t>12</w:t>
            </w:r>
          </w:p>
        </w:tc>
      </w:tr>
      <w:tr w:rsidR="00212513">
        <w:tblPrEx>
          <w:tblBorders>
            <w:insideH w:val="none" w:sz="0" w:space="0" w:color="auto"/>
          </w:tblBorders>
        </w:tblPrEx>
        <w:tc>
          <w:tcPr>
            <w:tcW w:w="4649" w:type="dxa"/>
            <w:tcBorders>
              <w:top w:val="nil"/>
              <w:bottom w:val="nil"/>
            </w:tcBorders>
          </w:tcPr>
          <w:p w:rsidR="00212513" w:rsidRDefault="00212513">
            <w:pPr>
              <w:pStyle w:val="ConsPlusNormal"/>
              <w:ind w:left="566"/>
            </w:pPr>
            <w:r>
              <w:t>нижние плиты</w:t>
            </w:r>
          </w:p>
        </w:tc>
        <w:tc>
          <w:tcPr>
            <w:tcW w:w="2268" w:type="dxa"/>
            <w:tcBorders>
              <w:top w:val="nil"/>
              <w:bottom w:val="nil"/>
            </w:tcBorders>
          </w:tcPr>
          <w:p w:rsidR="00212513" w:rsidRDefault="00212513">
            <w:pPr>
              <w:pStyle w:val="ConsPlusNormal"/>
              <w:jc w:val="center"/>
            </w:pPr>
            <w:r>
              <w:t>-</w:t>
            </w:r>
          </w:p>
        </w:tc>
        <w:tc>
          <w:tcPr>
            <w:tcW w:w="2154" w:type="dxa"/>
            <w:tcBorders>
              <w:top w:val="nil"/>
              <w:bottom w:val="nil"/>
            </w:tcBorders>
          </w:tcPr>
          <w:p w:rsidR="00212513" w:rsidRDefault="00212513">
            <w:pPr>
              <w:pStyle w:val="ConsPlusNormal"/>
              <w:jc w:val="center"/>
            </w:pPr>
            <w:r>
              <w:t>12</w:t>
            </w:r>
          </w:p>
        </w:tc>
      </w:tr>
      <w:tr w:rsidR="00212513">
        <w:tblPrEx>
          <w:tblBorders>
            <w:insideH w:val="none" w:sz="0" w:space="0" w:color="auto"/>
          </w:tblBorders>
        </w:tblPrEx>
        <w:tc>
          <w:tcPr>
            <w:tcW w:w="4649" w:type="dxa"/>
            <w:tcBorders>
              <w:top w:val="nil"/>
              <w:bottom w:val="nil"/>
            </w:tcBorders>
          </w:tcPr>
          <w:p w:rsidR="00212513" w:rsidRDefault="00212513">
            <w:pPr>
              <w:pStyle w:val="ConsPlusNormal"/>
            </w:pPr>
            <w:r>
              <w:t>4 Диафрагмы и ребра жесткости пролетных строений</w:t>
            </w:r>
          </w:p>
        </w:tc>
        <w:tc>
          <w:tcPr>
            <w:tcW w:w="2268" w:type="dxa"/>
            <w:tcBorders>
              <w:top w:val="nil"/>
              <w:bottom w:val="nil"/>
            </w:tcBorders>
          </w:tcPr>
          <w:p w:rsidR="00212513" w:rsidRDefault="00212513">
            <w:pPr>
              <w:pStyle w:val="ConsPlusNormal"/>
              <w:jc w:val="center"/>
            </w:pPr>
            <w:r>
              <w:t>10</w:t>
            </w:r>
          </w:p>
        </w:tc>
        <w:tc>
          <w:tcPr>
            <w:tcW w:w="2154" w:type="dxa"/>
            <w:tcBorders>
              <w:top w:val="nil"/>
              <w:bottom w:val="nil"/>
            </w:tcBorders>
          </w:tcPr>
          <w:p w:rsidR="00212513" w:rsidRDefault="00212513">
            <w:pPr>
              <w:pStyle w:val="ConsPlusNormal"/>
              <w:jc w:val="center"/>
            </w:pPr>
            <w:r>
              <w:t>15</w:t>
            </w:r>
          </w:p>
        </w:tc>
      </w:tr>
      <w:tr w:rsidR="00212513">
        <w:tblPrEx>
          <w:tblBorders>
            <w:insideH w:val="none" w:sz="0" w:space="0" w:color="auto"/>
          </w:tblBorders>
        </w:tblPrEx>
        <w:tc>
          <w:tcPr>
            <w:tcW w:w="4649" w:type="dxa"/>
            <w:tcBorders>
              <w:top w:val="nil"/>
              <w:bottom w:val="nil"/>
            </w:tcBorders>
          </w:tcPr>
          <w:p w:rsidR="00212513" w:rsidRDefault="00212513">
            <w:pPr>
              <w:pStyle w:val="ConsPlusNormal"/>
            </w:pPr>
            <w:r>
              <w:t>5 Стенки звеньев труб под насыпями</w:t>
            </w:r>
          </w:p>
        </w:tc>
        <w:tc>
          <w:tcPr>
            <w:tcW w:w="2268" w:type="dxa"/>
            <w:tcBorders>
              <w:top w:val="nil"/>
              <w:bottom w:val="nil"/>
            </w:tcBorders>
          </w:tcPr>
          <w:p w:rsidR="00212513" w:rsidRDefault="00212513">
            <w:pPr>
              <w:pStyle w:val="ConsPlusNormal"/>
              <w:jc w:val="center"/>
            </w:pPr>
            <w:r>
              <w:t>10</w:t>
            </w:r>
          </w:p>
        </w:tc>
        <w:tc>
          <w:tcPr>
            <w:tcW w:w="2154" w:type="dxa"/>
            <w:tcBorders>
              <w:top w:val="nil"/>
              <w:bottom w:val="nil"/>
            </w:tcBorders>
          </w:tcPr>
          <w:p w:rsidR="00212513" w:rsidRDefault="00212513">
            <w:pPr>
              <w:pStyle w:val="ConsPlusNormal"/>
              <w:jc w:val="center"/>
            </w:pPr>
            <w:r>
              <w:t xml:space="preserve">10 </w:t>
            </w:r>
            <w:hyperlink w:anchor="P5533">
              <w:r>
                <w:rPr>
                  <w:color w:val="0000FF"/>
                </w:rPr>
                <w:t>&lt;**&gt;</w:t>
              </w:r>
            </w:hyperlink>
          </w:p>
        </w:tc>
      </w:tr>
      <w:tr w:rsidR="00212513">
        <w:tblPrEx>
          <w:tblBorders>
            <w:insideH w:val="none" w:sz="0" w:space="0" w:color="auto"/>
          </w:tblBorders>
        </w:tblPrEx>
        <w:tc>
          <w:tcPr>
            <w:tcW w:w="4649" w:type="dxa"/>
            <w:tcBorders>
              <w:top w:val="nil"/>
              <w:bottom w:val="nil"/>
            </w:tcBorders>
          </w:tcPr>
          <w:p w:rsidR="00212513" w:rsidRDefault="00212513">
            <w:pPr>
              <w:pStyle w:val="ConsPlusNormal"/>
            </w:pPr>
            <w:r>
              <w:t>6 Стенки блоков коробчатого и круглого сечений пустотелых и сборно-монолитных опор:</w:t>
            </w:r>
          </w:p>
        </w:tc>
        <w:tc>
          <w:tcPr>
            <w:tcW w:w="2268" w:type="dxa"/>
            <w:tcBorders>
              <w:top w:val="nil"/>
              <w:bottom w:val="nil"/>
            </w:tcBorders>
          </w:tcPr>
          <w:p w:rsidR="00212513" w:rsidRDefault="00212513">
            <w:pPr>
              <w:pStyle w:val="ConsPlusNormal"/>
              <w:jc w:val="both"/>
            </w:pPr>
          </w:p>
        </w:tc>
        <w:tc>
          <w:tcPr>
            <w:tcW w:w="2154"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4649" w:type="dxa"/>
            <w:tcBorders>
              <w:top w:val="nil"/>
              <w:bottom w:val="nil"/>
            </w:tcBorders>
          </w:tcPr>
          <w:p w:rsidR="00212513" w:rsidRDefault="00212513">
            <w:pPr>
              <w:pStyle w:val="ConsPlusNormal"/>
              <w:ind w:left="283"/>
            </w:pPr>
            <w:r>
              <w:t>в зоне переменного уровня воды</w:t>
            </w:r>
          </w:p>
        </w:tc>
        <w:tc>
          <w:tcPr>
            <w:tcW w:w="2268" w:type="dxa"/>
            <w:tcBorders>
              <w:top w:val="nil"/>
              <w:bottom w:val="nil"/>
            </w:tcBorders>
          </w:tcPr>
          <w:p w:rsidR="00212513" w:rsidRDefault="00212513">
            <w:pPr>
              <w:pStyle w:val="ConsPlusNormal"/>
              <w:jc w:val="center"/>
            </w:pPr>
            <w:r>
              <w:t>30</w:t>
            </w:r>
          </w:p>
        </w:tc>
        <w:tc>
          <w:tcPr>
            <w:tcW w:w="2154" w:type="dxa"/>
            <w:tcBorders>
              <w:top w:val="nil"/>
              <w:bottom w:val="nil"/>
            </w:tcBorders>
          </w:tcPr>
          <w:p w:rsidR="00212513" w:rsidRDefault="00212513">
            <w:pPr>
              <w:pStyle w:val="ConsPlusNormal"/>
              <w:jc w:val="center"/>
            </w:pPr>
            <w:r>
              <w:t>25</w:t>
            </w:r>
          </w:p>
        </w:tc>
      </w:tr>
      <w:tr w:rsidR="00212513">
        <w:tblPrEx>
          <w:tblBorders>
            <w:insideH w:val="none" w:sz="0" w:space="0" w:color="auto"/>
          </w:tblBorders>
        </w:tblPrEx>
        <w:tc>
          <w:tcPr>
            <w:tcW w:w="4649" w:type="dxa"/>
            <w:tcBorders>
              <w:top w:val="nil"/>
              <w:bottom w:val="nil"/>
            </w:tcBorders>
          </w:tcPr>
          <w:p w:rsidR="00212513" w:rsidRDefault="00212513">
            <w:pPr>
              <w:pStyle w:val="ConsPlusNormal"/>
              <w:ind w:left="283"/>
            </w:pPr>
            <w:r>
              <w:t>вне зоны переменного уровня воды</w:t>
            </w:r>
          </w:p>
        </w:tc>
        <w:tc>
          <w:tcPr>
            <w:tcW w:w="2268" w:type="dxa"/>
            <w:tcBorders>
              <w:top w:val="nil"/>
              <w:bottom w:val="nil"/>
            </w:tcBorders>
          </w:tcPr>
          <w:p w:rsidR="00212513" w:rsidRDefault="00212513">
            <w:pPr>
              <w:pStyle w:val="ConsPlusNormal"/>
              <w:jc w:val="center"/>
            </w:pPr>
            <w:r>
              <w:t>15</w:t>
            </w:r>
          </w:p>
        </w:tc>
        <w:tc>
          <w:tcPr>
            <w:tcW w:w="2154" w:type="dxa"/>
            <w:tcBorders>
              <w:top w:val="nil"/>
              <w:bottom w:val="nil"/>
            </w:tcBorders>
          </w:tcPr>
          <w:p w:rsidR="00212513" w:rsidRDefault="00212513">
            <w:pPr>
              <w:pStyle w:val="ConsPlusNormal"/>
              <w:jc w:val="center"/>
            </w:pPr>
            <w:r>
              <w:t>15</w:t>
            </w:r>
          </w:p>
        </w:tc>
      </w:tr>
      <w:tr w:rsidR="00212513">
        <w:tblPrEx>
          <w:tblBorders>
            <w:insideH w:val="none" w:sz="0" w:space="0" w:color="auto"/>
          </w:tblBorders>
        </w:tblPrEx>
        <w:tc>
          <w:tcPr>
            <w:tcW w:w="4649" w:type="dxa"/>
            <w:tcBorders>
              <w:top w:val="nil"/>
              <w:bottom w:val="nil"/>
            </w:tcBorders>
          </w:tcPr>
          <w:p w:rsidR="00212513" w:rsidRDefault="00212513">
            <w:pPr>
              <w:pStyle w:val="ConsPlusNormal"/>
            </w:pPr>
            <w:r>
              <w:t>7 Стенки железобетонных полых свай и свай-оболочек при наружном диаметре, м:</w:t>
            </w:r>
          </w:p>
        </w:tc>
        <w:tc>
          <w:tcPr>
            <w:tcW w:w="2268" w:type="dxa"/>
            <w:tcBorders>
              <w:top w:val="nil"/>
              <w:bottom w:val="nil"/>
            </w:tcBorders>
          </w:tcPr>
          <w:p w:rsidR="00212513" w:rsidRDefault="00212513">
            <w:pPr>
              <w:pStyle w:val="ConsPlusNormal"/>
              <w:jc w:val="both"/>
            </w:pPr>
          </w:p>
        </w:tc>
        <w:tc>
          <w:tcPr>
            <w:tcW w:w="2154"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4649" w:type="dxa"/>
            <w:tcBorders>
              <w:top w:val="nil"/>
              <w:bottom w:val="nil"/>
            </w:tcBorders>
          </w:tcPr>
          <w:p w:rsidR="00212513" w:rsidRDefault="00212513">
            <w:pPr>
              <w:pStyle w:val="ConsPlusNonformat"/>
              <w:jc w:val="both"/>
            </w:pPr>
            <w:r>
              <w:t xml:space="preserve">  0,4</w:t>
            </w:r>
          </w:p>
        </w:tc>
        <w:tc>
          <w:tcPr>
            <w:tcW w:w="2268" w:type="dxa"/>
            <w:tcBorders>
              <w:top w:val="nil"/>
              <w:bottom w:val="nil"/>
            </w:tcBorders>
          </w:tcPr>
          <w:p w:rsidR="00212513" w:rsidRDefault="00212513">
            <w:pPr>
              <w:pStyle w:val="ConsPlusNormal"/>
              <w:jc w:val="center"/>
            </w:pPr>
            <w:r>
              <w:t>8</w:t>
            </w:r>
          </w:p>
        </w:tc>
        <w:tc>
          <w:tcPr>
            <w:tcW w:w="2154" w:type="dxa"/>
            <w:tcBorders>
              <w:top w:val="nil"/>
              <w:bottom w:val="nil"/>
            </w:tcBorders>
          </w:tcPr>
          <w:p w:rsidR="00212513" w:rsidRDefault="00212513">
            <w:pPr>
              <w:pStyle w:val="ConsPlusNormal"/>
              <w:jc w:val="center"/>
            </w:pPr>
            <w:r>
              <w:t>8</w:t>
            </w:r>
          </w:p>
        </w:tc>
      </w:tr>
      <w:tr w:rsidR="00212513">
        <w:tblPrEx>
          <w:tblBorders>
            <w:insideH w:val="none" w:sz="0" w:space="0" w:color="auto"/>
          </w:tblBorders>
        </w:tblPrEx>
        <w:tc>
          <w:tcPr>
            <w:tcW w:w="4649" w:type="dxa"/>
            <w:tcBorders>
              <w:top w:val="nil"/>
              <w:bottom w:val="nil"/>
            </w:tcBorders>
          </w:tcPr>
          <w:p w:rsidR="00212513" w:rsidRDefault="00212513">
            <w:pPr>
              <w:pStyle w:val="ConsPlusNonformat"/>
              <w:jc w:val="both"/>
            </w:pPr>
            <w:r>
              <w:t xml:space="preserve">  от 0,6 до 0,8</w:t>
            </w:r>
          </w:p>
        </w:tc>
        <w:tc>
          <w:tcPr>
            <w:tcW w:w="2268" w:type="dxa"/>
            <w:tcBorders>
              <w:top w:val="nil"/>
              <w:bottom w:val="nil"/>
            </w:tcBorders>
          </w:tcPr>
          <w:p w:rsidR="00212513" w:rsidRDefault="00212513">
            <w:pPr>
              <w:pStyle w:val="ConsPlusNormal"/>
              <w:jc w:val="center"/>
            </w:pPr>
            <w:r>
              <w:t>10</w:t>
            </w:r>
          </w:p>
        </w:tc>
        <w:tc>
          <w:tcPr>
            <w:tcW w:w="2154" w:type="dxa"/>
            <w:tcBorders>
              <w:top w:val="nil"/>
              <w:bottom w:val="nil"/>
            </w:tcBorders>
          </w:tcPr>
          <w:p w:rsidR="00212513" w:rsidRDefault="00212513">
            <w:pPr>
              <w:pStyle w:val="ConsPlusNormal"/>
              <w:jc w:val="center"/>
            </w:pPr>
            <w:r>
              <w:t>10</w:t>
            </w:r>
          </w:p>
        </w:tc>
      </w:tr>
      <w:tr w:rsidR="00212513">
        <w:tblPrEx>
          <w:tblBorders>
            <w:insideH w:val="none" w:sz="0" w:space="0" w:color="auto"/>
          </w:tblBorders>
        </w:tblPrEx>
        <w:tc>
          <w:tcPr>
            <w:tcW w:w="4649" w:type="dxa"/>
            <w:tcBorders>
              <w:top w:val="nil"/>
              <w:bottom w:val="single" w:sz="4" w:space="0" w:color="auto"/>
            </w:tcBorders>
          </w:tcPr>
          <w:p w:rsidR="00212513" w:rsidRDefault="00212513">
            <w:pPr>
              <w:pStyle w:val="ConsPlusNonformat"/>
              <w:jc w:val="both"/>
            </w:pPr>
            <w:r>
              <w:t xml:space="preserve">   " 1,0 "  3,0</w:t>
            </w:r>
          </w:p>
        </w:tc>
        <w:tc>
          <w:tcPr>
            <w:tcW w:w="2268" w:type="dxa"/>
            <w:tcBorders>
              <w:top w:val="nil"/>
              <w:bottom w:val="single" w:sz="4" w:space="0" w:color="auto"/>
            </w:tcBorders>
          </w:tcPr>
          <w:p w:rsidR="00212513" w:rsidRDefault="00212513">
            <w:pPr>
              <w:pStyle w:val="ConsPlusNormal"/>
              <w:jc w:val="center"/>
            </w:pPr>
            <w:r>
              <w:t>12</w:t>
            </w:r>
          </w:p>
        </w:tc>
        <w:tc>
          <w:tcPr>
            <w:tcW w:w="2154" w:type="dxa"/>
            <w:tcBorders>
              <w:top w:val="nil"/>
              <w:bottom w:val="single" w:sz="4" w:space="0" w:color="auto"/>
            </w:tcBorders>
          </w:tcPr>
          <w:p w:rsidR="00212513" w:rsidRDefault="00212513">
            <w:pPr>
              <w:pStyle w:val="ConsPlusNormal"/>
              <w:jc w:val="center"/>
            </w:pPr>
            <w:r>
              <w:t>12</w:t>
            </w:r>
          </w:p>
        </w:tc>
      </w:tr>
      <w:tr w:rsidR="00212513">
        <w:tblPrEx>
          <w:tblBorders>
            <w:insideH w:val="none" w:sz="0" w:space="0" w:color="auto"/>
          </w:tblBorders>
        </w:tblPrEx>
        <w:tc>
          <w:tcPr>
            <w:tcW w:w="9071" w:type="dxa"/>
            <w:gridSpan w:val="3"/>
            <w:tcBorders>
              <w:top w:val="single" w:sz="4" w:space="0" w:color="auto"/>
              <w:bottom w:val="nil"/>
            </w:tcBorders>
          </w:tcPr>
          <w:p w:rsidR="00212513" w:rsidRDefault="00212513">
            <w:pPr>
              <w:pStyle w:val="ConsPlusNormal"/>
              <w:ind w:firstLine="283"/>
              <w:jc w:val="both"/>
            </w:pPr>
            <w:bookmarkStart w:id="239" w:name="P5531"/>
            <w:bookmarkEnd w:id="239"/>
            <w:r>
              <w:t>&lt;*&gt; При применении двух арматурных сеток наименьшая толщина стенок принимается такой же, как при наличии пучков.</w:t>
            </w:r>
          </w:p>
        </w:tc>
      </w:tr>
      <w:tr w:rsidR="00212513">
        <w:tblPrEx>
          <w:tblBorders>
            <w:insideH w:val="none" w:sz="0" w:space="0" w:color="auto"/>
          </w:tblBorders>
        </w:tblPrEx>
        <w:tc>
          <w:tcPr>
            <w:tcW w:w="9071" w:type="dxa"/>
            <w:gridSpan w:val="3"/>
            <w:tcBorders>
              <w:top w:val="nil"/>
              <w:bottom w:val="nil"/>
            </w:tcBorders>
          </w:tcPr>
          <w:p w:rsidR="00212513" w:rsidRDefault="00212513">
            <w:pPr>
              <w:pStyle w:val="ConsPlusNormal"/>
              <w:jc w:val="both"/>
            </w:pPr>
            <w:r>
              <w:t xml:space="preserve">(в ред. </w:t>
            </w:r>
            <w:hyperlink r:id="rId1306">
              <w:r>
                <w:rPr>
                  <w:color w:val="0000FF"/>
                </w:rPr>
                <w:t>Изменения N 3</w:t>
              </w:r>
            </w:hyperlink>
            <w:r>
              <w:t>, утв. Приказом Минстроя России от 29.12.2020 N 891/пр)</w:t>
            </w:r>
          </w:p>
        </w:tc>
      </w:tr>
      <w:tr w:rsidR="00212513">
        <w:tblPrEx>
          <w:tblBorders>
            <w:insideH w:val="none" w:sz="0" w:space="0" w:color="auto"/>
          </w:tblBorders>
        </w:tblPrEx>
        <w:tc>
          <w:tcPr>
            <w:tcW w:w="9071" w:type="dxa"/>
            <w:gridSpan w:val="3"/>
            <w:tcBorders>
              <w:top w:val="nil"/>
              <w:bottom w:val="nil"/>
            </w:tcBorders>
          </w:tcPr>
          <w:p w:rsidR="00212513" w:rsidRDefault="00212513">
            <w:pPr>
              <w:pStyle w:val="ConsPlusNormal"/>
              <w:ind w:firstLine="283"/>
              <w:jc w:val="both"/>
            </w:pPr>
            <w:bookmarkStart w:id="240" w:name="P5533"/>
            <w:bookmarkEnd w:id="240"/>
            <w:r>
              <w:t>&lt;**&gt; Для труб диаметром 0,5 и 0,75 м допускается принимать толщину стенок равной 8 см.</w:t>
            </w:r>
          </w:p>
        </w:tc>
      </w:tr>
      <w:tr w:rsidR="00212513">
        <w:tblPrEx>
          <w:tblBorders>
            <w:insideH w:val="none" w:sz="0" w:space="0" w:color="auto"/>
          </w:tblBorders>
        </w:tblPrEx>
        <w:tc>
          <w:tcPr>
            <w:tcW w:w="9071" w:type="dxa"/>
            <w:gridSpan w:val="3"/>
            <w:tcBorders>
              <w:top w:val="nil"/>
              <w:bottom w:val="single" w:sz="4" w:space="0" w:color="auto"/>
            </w:tcBorders>
          </w:tcPr>
          <w:p w:rsidR="00212513" w:rsidRDefault="00212513">
            <w:pPr>
              <w:pStyle w:val="ConsPlusNormal"/>
              <w:ind w:firstLine="283"/>
              <w:jc w:val="both"/>
            </w:pPr>
            <w:r>
              <w:t xml:space="preserve">Примечание - Минимальные размеры сборных железобетонных элементов, </w:t>
            </w:r>
            <w:r>
              <w:lastRenderedPageBreak/>
              <w:t>изготавливаемых в существующих на предприятиях ЖБК опалубочных формах, можно принимать менее указанных в таблице при соответствующем обосновании.</w:t>
            </w:r>
          </w:p>
        </w:tc>
      </w:tr>
    </w:tbl>
    <w:p w:rsidR="00212513" w:rsidRDefault="00212513">
      <w:pPr>
        <w:pStyle w:val="ConsPlusNormal"/>
        <w:ind w:firstLine="540"/>
        <w:jc w:val="both"/>
      </w:pPr>
    </w:p>
    <w:p w:rsidR="00212513" w:rsidRDefault="00212513">
      <w:pPr>
        <w:pStyle w:val="ConsPlusTitle"/>
        <w:ind w:firstLine="540"/>
        <w:jc w:val="both"/>
        <w:outlineLvl w:val="3"/>
      </w:pPr>
      <w:r>
        <w:t>Наименьшие диаметры ненапрягаемой арматуры</w:t>
      </w:r>
    </w:p>
    <w:p w:rsidR="00212513" w:rsidRDefault="00212513">
      <w:pPr>
        <w:pStyle w:val="ConsPlusNormal"/>
        <w:ind w:firstLine="540"/>
        <w:jc w:val="both"/>
      </w:pPr>
    </w:p>
    <w:p w:rsidR="00212513" w:rsidRDefault="00212513">
      <w:pPr>
        <w:pStyle w:val="ConsPlusNormal"/>
        <w:ind w:firstLine="540"/>
        <w:jc w:val="both"/>
      </w:pPr>
      <w:r>
        <w:t>7.118 Наименьшие диаметры ненапрягаемой арматуры следует принимать по таблице 7.28.</w:t>
      </w:r>
    </w:p>
    <w:p w:rsidR="00212513" w:rsidRDefault="00212513">
      <w:pPr>
        <w:pStyle w:val="ConsPlusNormal"/>
        <w:ind w:firstLine="540"/>
        <w:jc w:val="both"/>
      </w:pPr>
    </w:p>
    <w:p w:rsidR="00212513" w:rsidRDefault="00212513">
      <w:pPr>
        <w:pStyle w:val="ConsPlusNormal"/>
        <w:jc w:val="right"/>
      </w:pPr>
      <w:r>
        <w:t>Таблица 7.28</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520"/>
        <w:gridCol w:w="2551"/>
      </w:tblGrid>
      <w:tr w:rsidR="00212513">
        <w:tc>
          <w:tcPr>
            <w:tcW w:w="6520" w:type="dxa"/>
            <w:tcBorders>
              <w:top w:val="single" w:sz="4" w:space="0" w:color="auto"/>
              <w:bottom w:val="single" w:sz="4" w:space="0" w:color="auto"/>
            </w:tcBorders>
            <w:vAlign w:val="center"/>
          </w:tcPr>
          <w:p w:rsidR="00212513" w:rsidRDefault="00212513">
            <w:pPr>
              <w:pStyle w:val="ConsPlusNormal"/>
              <w:jc w:val="center"/>
            </w:pPr>
            <w:r>
              <w:t>Вид арматуры</w:t>
            </w:r>
          </w:p>
        </w:tc>
        <w:tc>
          <w:tcPr>
            <w:tcW w:w="2551" w:type="dxa"/>
            <w:tcBorders>
              <w:top w:val="single" w:sz="4" w:space="0" w:color="auto"/>
              <w:bottom w:val="single" w:sz="4" w:space="0" w:color="auto"/>
            </w:tcBorders>
            <w:vAlign w:val="center"/>
          </w:tcPr>
          <w:p w:rsidR="00212513" w:rsidRDefault="00212513">
            <w:pPr>
              <w:pStyle w:val="ConsPlusNormal"/>
              <w:jc w:val="center"/>
            </w:pPr>
            <w:r>
              <w:t>Наименьший диаметр арматуры, мм</w:t>
            </w:r>
          </w:p>
        </w:tc>
      </w:tr>
      <w:tr w:rsidR="00212513">
        <w:tblPrEx>
          <w:tblBorders>
            <w:insideH w:val="none" w:sz="0" w:space="0" w:color="auto"/>
          </w:tblBorders>
        </w:tblPrEx>
        <w:tc>
          <w:tcPr>
            <w:tcW w:w="6520" w:type="dxa"/>
            <w:tcBorders>
              <w:top w:val="single" w:sz="4" w:space="0" w:color="auto"/>
              <w:bottom w:val="nil"/>
            </w:tcBorders>
          </w:tcPr>
          <w:p w:rsidR="00212513" w:rsidRDefault="00212513">
            <w:pPr>
              <w:pStyle w:val="ConsPlusNormal"/>
            </w:pPr>
            <w:r>
              <w:t>1 Расчетная продольная в элементах мостов (кроме элементов, указанных ниже) и прямоугольных труб</w:t>
            </w:r>
          </w:p>
        </w:tc>
        <w:tc>
          <w:tcPr>
            <w:tcW w:w="2551" w:type="dxa"/>
            <w:tcBorders>
              <w:top w:val="single" w:sz="4" w:space="0" w:color="auto"/>
              <w:bottom w:val="nil"/>
            </w:tcBorders>
          </w:tcPr>
          <w:p w:rsidR="00212513" w:rsidRDefault="00212513">
            <w:pPr>
              <w:pStyle w:val="ConsPlusNormal"/>
              <w:jc w:val="center"/>
            </w:pPr>
            <w:r>
              <w:t>12</w:t>
            </w:r>
          </w:p>
        </w:tc>
      </w:tr>
      <w:tr w:rsidR="00212513">
        <w:tblPrEx>
          <w:tblBorders>
            <w:insideH w:val="none" w:sz="0" w:space="0" w:color="auto"/>
          </w:tblBorders>
        </w:tblPrEx>
        <w:tc>
          <w:tcPr>
            <w:tcW w:w="6520" w:type="dxa"/>
            <w:tcBorders>
              <w:top w:val="nil"/>
              <w:bottom w:val="nil"/>
            </w:tcBorders>
          </w:tcPr>
          <w:p w:rsidR="00212513" w:rsidRDefault="00212513">
            <w:pPr>
              <w:pStyle w:val="ConsPlusNormal"/>
            </w:pPr>
            <w:r>
              <w:t>2 Расчетная проезжей части (включая тротуары) автодорожных мостов</w:t>
            </w:r>
          </w:p>
        </w:tc>
        <w:tc>
          <w:tcPr>
            <w:tcW w:w="2551" w:type="dxa"/>
            <w:tcBorders>
              <w:top w:val="nil"/>
              <w:bottom w:val="nil"/>
            </w:tcBorders>
          </w:tcPr>
          <w:p w:rsidR="00212513" w:rsidRDefault="00212513">
            <w:pPr>
              <w:pStyle w:val="ConsPlusNormal"/>
              <w:jc w:val="center"/>
            </w:pPr>
            <w:r>
              <w:t>10</w:t>
            </w:r>
          </w:p>
        </w:tc>
      </w:tr>
      <w:tr w:rsidR="00212513">
        <w:tblPrEx>
          <w:tblBorders>
            <w:insideH w:val="none" w:sz="0" w:space="0" w:color="auto"/>
          </w:tblBorders>
        </w:tblPrEx>
        <w:tc>
          <w:tcPr>
            <w:tcW w:w="6520" w:type="dxa"/>
            <w:tcBorders>
              <w:top w:val="nil"/>
              <w:bottom w:val="nil"/>
            </w:tcBorders>
          </w:tcPr>
          <w:p w:rsidR="00212513" w:rsidRDefault="00212513">
            <w:pPr>
              <w:pStyle w:val="ConsPlusNormal"/>
            </w:pPr>
            <w:r>
              <w:t>3 Расчетная и конструктивная звеньев круглых труб; конструктивная продольная и поперечная в элементах мостов (кроме плит); хомуты стенок балок и уширений поясов на всей длине</w:t>
            </w:r>
          </w:p>
        </w:tc>
        <w:tc>
          <w:tcPr>
            <w:tcW w:w="2551" w:type="dxa"/>
            <w:tcBorders>
              <w:top w:val="nil"/>
              <w:bottom w:val="nil"/>
            </w:tcBorders>
          </w:tcPr>
          <w:p w:rsidR="00212513" w:rsidRDefault="00212513">
            <w:pPr>
              <w:pStyle w:val="ConsPlusNormal"/>
              <w:jc w:val="center"/>
            </w:pPr>
            <w:r>
              <w:t>8</w:t>
            </w:r>
          </w:p>
        </w:tc>
      </w:tr>
      <w:tr w:rsidR="00212513">
        <w:tblPrEx>
          <w:tblBorders>
            <w:insideH w:val="none" w:sz="0" w:space="0" w:color="auto"/>
          </w:tblBorders>
        </w:tblPrEx>
        <w:tc>
          <w:tcPr>
            <w:tcW w:w="6520" w:type="dxa"/>
            <w:tcBorders>
              <w:top w:val="nil"/>
              <w:bottom w:val="nil"/>
            </w:tcBorders>
          </w:tcPr>
          <w:p w:rsidR="00212513" w:rsidRDefault="00212513">
            <w:pPr>
              <w:pStyle w:val="ConsPlusNormal"/>
            </w:pPr>
            <w:r>
              <w:t xml:space="preserve">4 Проволочная класса Вр для плит укрепления откосов и хомутов арматуры свай (см. </w:t>
            </w:r>
            <w:hyperlink w:anchor="P3239">
              <w:r>
                <w:rPr>
                  <w:color w:val="0000FF"/>
                </w:rPr>
                <w:t>7.35</w:t>
              </w:r>
            </w:hyperlink>
            <w:r>
              <w:t>)</w:t>
            </w:r>
          </w:p>
        </w:tc>
        <w:tc>
          <w:tcPr>
            <w:tcW w:w="2551" w:type="dxa"/>
            <w:tcBorders>
              <w:top w:val="nil"/>
              <w:bottom w:val="nil"/>
            </w:tcBorders>
          </w:tcPr>
          <w:p w:rsidR="00212513" w:rsidRDefault="00212513">
            <w:pPr>
              <w:pStyle w:val="ConsPlusNormal"/>
              <w:jc w:val="center"/>
            </w:pPr>
            <w:r>
              <w:t>5</w:t>
            </w:r>
          </w:p>
        </w:tc>
      </w:tr>
      <w:tr w:rsidR="00212513">
        <w:tblPrEx>
          <w:tblBorders>
            <w:insideH w:val="none" w:sz="0" w:space="0" w:color="auto"/>
          </w:tblBorders>
        </w:tblPrEx>
        <w:tc>
          <w:tcPr>
            <w:tcW w:w="6520" w:type="dxa"/>
            <w:tcBorders>
              <w:top w:val="nil"/>
              <w:bottom w:val="single" w:sz="4" w:space="0" w:color="auto"/>
            </w:tcBorders>
          </w:tcPr>
          <w:p w:rsidR="00212513" w:rsidRDefault="00212513">
            <w:pPr>
              <w:pStyle w:val="ConsPlusNormal"/>
            </w:pPr>
            <w:r>
              <w:t>5 Конструктивная (распределительная) плит; хомуты свай и свай-оболочек; хомуты в пустотелых плитах</w:t>
            </w:r>
          </w:p>
        </w:tc>
        <w:tc>
          <w:tcPr>
            <w:tcW w:w="2551" w:type="dxa"/>
            <w:tcBorders>
              <w:top w:val="nil"/>
              <w:bottom w:val="single" w:sz="4" w:space="0" w:color="auto"/>
            </w:tcBorders>
          </w:tcPr>
          <w:p w:rsidR="00212513" w:rsidRDefault="00212513">
            <w:pPr>
              <w:pStyle w:val="ConsPlusNormal"/>
              <w:jc w:val="center"/>
            </w:pPr>
            <w:r>
              <w:t>6</w:t>
            </w:r>
          </w:p>
        </w:tc>
      </w:tr>
    </w:tbl>
    <w:p w:rsidR="00212513" w:rsidRDefault="00212513">
      <w:pPr>
        <w:pStyle w:val="ConsPlusNormal"/>
        <w:ind w:firstLine="540"/>
        <w:jc w:val="both"/>
      </w:pPr>
    </w:p>
    <w:p w:rsidR="00212513" w:rsidRDefault="00212513">
      <w:pPr>
        <w:pStyle w:val="ConsPlusNormal"/>
        <w:ind w:firstLine="540"/>
        <w:jc w:val="both"/>
      </w:pPr>
      <w:r>
        <w:t>Распределительная арматура в плитах и хомуты в сваях при продольной арматуре диаметром 28 мм и более должны иметь диаметр не менее четверти диаметра продольных стержней.</w:t>
      </w:r>
    </w:p>
    <w:p w:rsidR="00212513" w:rsidRDefault="00212513">
      <w:pPr>
        <w:pStyle w:val="ConsPlusNormal"/>
        <w:ind w:firstLine="540"/>
        <w:jc w:val="both"/>
      </w:pPr>
    </w:p>
    <w:p w:rsidR="00212513" w:rsidRDefault="00212513">
      <w:pPr>
        <w:pStyle w:val="ConsPlusTitle"/>
        <w:ind w:firstLine="540"/>
        <w:jc w:val="both"/>
        <w:outlineLvl w:val="3"/>
      </w:pPr>
      <w:r>
        <w:t>Защитный слой бетона</w:t>
      </w:r>
    </w:p>
    <w:p w:rsidR="00212513" w:rsidRDefault="00212513">
      <w:pPr>
        <w:pStyle w:val="ConsPlusNormal"/>
        <w:ind w:firstLine="540"/>
        <w:jc w:val="both"/>
      </w:pPr>
    </w:p>
    <w:p w:rsidR="00212513" w:rsidRDefault="00212513">
      <w:pPr>
        <w:pStyle w:val="ConsPlusNormal"/>
        <w:ind w:firstLine="540"/>
        <w:jc w:val="both"/>
      </w:pPr>
      <w:bookmarkStart w:id="241" w:name="P5559"/>
      <w:bookmarkEnd w:id="241"/>
      <w:r>
        <w:t>7.119 Толщина защитного слоя бетона от его наружной поверхности до поверхности арматурного элемента или канала (кроме реконструируемых сооружений и сооружений, подлежащих капитальному ремонту) должна быть не менее указанной в таблице 7.29.</w:t>
      </w:r>
    </w:p>
    <w:p w:rsidR="00212513" w:rsidRDefault="00212513">
      <w:pPr>
        <w:pStyle w:val="ConsPlusNormal"/>
        <w:jc w:val="both"/>
      </w:pPr>
      <w:r>
        <w:t xml:space="preserve">(в ред. </w:t>
      </w:r>
      <w:hyperlink r:id="rId1307">
        <w:r>
          <w:rPr>
            <w:color w:val="0000FF"/>
          </w:rPr>
          <w:t>Изменения N 3</w:t>
        </w:r>
      </w:hyperlink>
      <w:r>
        <w:t>, утв. Приказом Минстроя России от 29.12.2020 N 891/пр)</w:t>
      </w:r>
    </w:p>
    <w:p w:rsidR="00212513" w:rsidRDefault="00212513">
      <w:pPr>
        <w:pStyle w:val="ConsPlusNormal"/>
        <w:ind w:firstLine="540"/>
        <w:jc w:val="both"/>
      </w:pPr>
    </w:p>
    <w:p w:rsidR="00212513" w:rsidRDefault="00212513">
      <w:pPr>
        <w:pStyle w:val="ConsPlusNormal"/>
        <w:jc w:val="right"/>
      </w:pPr>
      <w:bookmarkStart w:id="242" w:name="P5562"/>
      <w:bookmarkEnd w:id="242"/>
      <w:r>
        <w:t>Таблица 7.29</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93"/>
        <w:gridCol w:w="2778"/>
      </w:tblGrid>
      <w:tr w:rsidR="00212513">
        <w:tc>
          <w:tcPr>
            <w:tcW w:w="6293" w:type="dxa"/>
            <w:tcBorders>
              <w:top w:val="single" w:sz="4" w:space="0" w:color="auto"/>
              <w:bottom w:val="single" w:sz="4" w:space="0" w:color="auto"/>
            </w:tcBorders>
            <w:vAlign w:val="center"/>
          </w:tcPr>
          <w:p w:rsidR="00212513" w:rsidRDefault="00212513">
            <w:pPr>
              <w:pStyle w:val="ConsPlusNormal"/>
              <w:jc w:val="center"/>
            </w:pPr>
            <w:r>
              <w:t>Вид арматуры и ее расположение</w:t>
            </w:r>
          </w:p>
        </w:tc>
        <w:tc>
          <w:tcPr>
            <w:tcW w:w="2778" w:type="dxa"/>
            <w:tcBorders>
              <w:top w:val="single" w:sz="4" w:space="0" w:color="auto"/>
              <w:bottom w:val="single" w:sz="4" w:space="0" w:color="auto"/>
            </w:tcBorders>
            <w:vAlign w:val="center"/>
          </w:tcPr>
          <w:p w:rsidR="00212513" w:rsidRDefault="00212513">
            <w:pPr>
              <w:pStyle w:val="ConsPlusNormal"/>
              <w:jc w:val="center"/>
            </w:pPr>
            <w:r>
              <w:t>Наименьшая толщина защитного слоя бетона, см</w:t>
            </w:r>
          </w:p>
        </w:tc>
      </w:tr>
      <w:tr w:rsidR="00212513">
        <w:tblPrEx>
          <w:tblBorders>
            <w:insideH w:val="none" w:sz="0" w:space="0" w:color="auto"/>
          </w:tblBorders>
        </w:tblPrEx>
        <w:tc>
          <w:tcPr>
            <w:tcW w:w="6293" w:type="dxa"/>
            <w:tcBorders>
              <w:top w:val="single" w:sz="4" w:space="0" w:color="auto"/>
              <w:bottom w:val="nil"/>
            </w:tcBorders>
          </w:tcPr>
          <w:p w:rsidR="00212513" w:rsidRDefault="00212513">
            <w:pPr>
              <w:pStyle w:val="ConsPlusNormal"/>
            </w:pPr>
            <w:r>
              <w:t>1 Ненапрягаемая рабочая арматура:</w:t>
            </w:r>
          </w:p>
        </w:tc>
        <w:tc>
          <w:tcPr>
            <w:tcW w:w="2778" w:type="dxa"/>
            <w:tcBorders>
              <w:top w:val="single" w:sz="4" w:space="0" w:color="auto"/>
              <w:bottom w:val="nil"/>
            </w:tcBorders>
          </w:tcPr>
          <w:p w:rsidR="00212513" w:rsidRDefault="00212513">
            <w:pPr>
              <w:pStyle w:val="ConsPlusNormal"/>
              <w:jc w:val="both"/>
            </w:pPr>
          </w:p>
        </w:tc>
      </w:tr>
      <w:tr w:rsidR="00212513">
        <w:tblPrEx>
          <w:tblBorders>
            <w:insideH w:val="none" w:sz="0" w:space="0" w:color="auto"/>
          </w:tblBorders>
        </w:tblPrEx>
        <w:tc>
          <w:tcPr>
            <w:tcW w:w="6293" w:type="dxa"/>
            <w:tcBorders>
              <w:top w:val="nil"/>
              <w:bottom w:val="nil"/>
            </w:tcBorders>
          </w:tcPr>
          <w:p w:rsidR="00212513" w:rsidRDefault="00212513">
            <w:pPr>
              <w:pStyle w:val="ConsPlusNormal"/>
              <w:ind w:left="283"/>
            </w:pPr>
            <w:r>
              <w:t>верхняя в плите проезжей части автодорожных и городских мостов</w:t>
            </w:r>
          </w:p>
        </w:tc>
        <w:tc>
          <w:tcPr>
            <w:tcW w:w="2778" w:type="dxa"/>
            <w:tcBorders>
              <w:top w:val="nil"/>
              <w:bottom w:val="nil"/>
            </w:tcBorders>
          </w:tcPr>
          <w:p w:rsidR="00212513" w:rsidRDefault="00212513">
            <w:pPr>
              <w:pStyle w:val="ConsPlusNormal"/>
              <w:jc w:val="center"/>
            </w:pPr>
            <w:r>
              <w:t>3</w:t>
            </w:r>
          </w:p>
        </w:tc>
      </w:tr>
      <w:tr w:rsidR="00212513">
        <w:tblPrEx>
          <w:tblBorders>
            <w:insideH w:val="none" w:sz="0" w:space="0" w:color="auto"/>
          </w:tblBorders>
        </w:tblPrEx>
        <w:tc>
          <w:tcPr>
            <w:tcW w:w="6293" w:type="dxa"/>
            <w:tcBorders>
              <w:top w:val="nil"/>
              <w:bottom w:val="nil"/>
            </w:tcBorders>
          </w:tcPr>
          <w:p w:rsidR="00212513" w:rsidRDefault="00212513">
            <w:pPr>
              <w:pStyle w:val="ConsPlusNormal"/>
              <w:ind w:left="283"/>
            </w:pPr>
            <w:r>
              <w:t>в ребристых и плитных пролетных строениях, а также в плитах высотой 30 см и более</w:t>
            </w:r>
          </w:p>
        </w:tc>
        <w:tc>
          <w:tcPr>
            <w:tcW w:w="2778" w:type="dxa"/>
            <w:tcBorders>
              <w:top w:val="nil"/>
              <w:bottom w:val="nil"/>
            </w:tcBorders>
          </w:tcPr>
          <w:p w:rsidR="00212513" w:rsidRDefault="00212513">
            <w:pPr>
              <w:pStyle w:val="ConsPlusNormal"/>
              <w:jc w:val="center"/>
            </w:pPr>
            <w:r>
              <w:t>3</w:t>
            </w:r>
          </w:p>
        </w:tc>
      </w:tr>
      <w:tr w:rsidR="00212513">
        <w:tblPrEx>
          <w:tblBorders>
            <w:insideH w:val="none" w:sz="0" w:space="0" w:color="auto"/>
          </w:tblBorders>
        </w:tblPrEx>
        <w:tc>
          <w:tcPr>
            <w:tcW w:w="6293" w:type="dxa"/>
            <w:tcBorders>
              <w:top w:val="nil"/>
              <w:bottom w:val="nil"/>
            </w:tcBorders>
          </w:tcPr>
          <w:p w:rsidR="00212513" w:rsidRDefault="00212513">
            <w:pPr>
              <w:pStyle w:val="ConsPlusNormal"/>
              <w:ind w:left="566"/>
            </w:pPr>
            <w:r>
              <w:lastRenderedPageBreak/>
              <w:t>в плитах высотой менее 30 см</w:t>
            </w:r>
          </w:p>
        </w:tc>
        <w:tc>
          <w:tcPr>
            <w:tcW w:w="2778" w:type="dxa"/>
            <w:tcBorders>
              <w:top w:val="nil"/>
              <w:bottom w:val="nil"/>
            </w:tcBorders>
          </w:tcPr>
          <w:p w:rsidR="00212513" w:rsidRDefault="00212513">
            <w:pPr>
              <w:pStyle w:val="ConsPlusNormal"/>
              <w:jc w:val="center"/>
            </w:pPr>
            <w:r>
              <w:t>2</w:t>
            </w:r>
          </w:p>
        </w:tc>
      </w:tr>
      <w:tr w:rsidR="00212513">
        <w:tblPrEx>
          <w:tblBorders>
            <w:insideH w:val="none" w:sz="0" w:space="0" w:color="auto"/>
          </w:tblBorders>
        </w:tblPrEx>
        <w:tc>
          <w:tcPr>
            <w:tcW w:w="6293" w:type="dxa"/>
            <w:tcBorders>
              <w:top w:val="nil"/>
              <w:bottom w:val="nil"/>
            </w:tcBorders>
          </w:tcPr>
          <w:p w:rsidR="00212513" w:rsidRDefault="00212513">
            <w:pPr>
              <w:pStyle w:val="ConsPlusNormal"/>
              <w:ind w:left="566"/>
            </w:pPr>
            <w:r>
              <w:t>в звеньях труб и полых сваях-оболочках</w:t>
            </w:r>
          </w:p>
        </w:tc>
        <w:tc>
          <w:tcPr>
            <w:tcW w:w="2778" w:type="dxa"/>
            <w:tcBorders>
              <w:top w:val="nil"/>
              <w:bottom w:val="nil"/>
            </w:tcBorders>
          </w:tcPr>
          <w:p w:rsidR="00212513" w:rsidRDefault="00212513">
            <w:pPr>
              <w:pStyle w:val="ConsPlusNormal"/>
              <w:jc w:val="center"/>
            </w:pPr>
            <w:r>
              <w:t xml:space="preserve">2 </w:t>
            </w:r>
            <w:hyperlink w:anchor="P5629">
              <w:r>
                <w:rPr>
                  <w:color w:val="0000FF"/>
                </w:rPr>
                <w:t>&lt;*&gt;</w:t>
              </w:r>
            </w:hyperlink>
          </w:p>
        </w:tc>
      </w:tr>
      <w:tr w:rsidR="00212513">
        <w:tblPrEx>
          <w:tblBorders>
            <w:insideH w:val="none" w:sz="0" w:space="0" w:color="auto"/>
          </w:tblBorders>
        </w:tblPrEx>
        <w:tc>
          <w:tcPr>
            <w:tcW w:w="6293" w:type="dxa"/>
            <w:tcBorders>
              <w:top w:val="nil"/>
              <w:bottom w:val="nil"/>
            </w:tcBorders>
          </w:tcPr>
          <w:p w:rsidR="00212513" w:rsidRDefault="00212513">
            <w:pPr>
              <w:pStyle w:val="ConsPlusNormal"/>
              <w:ind w:left="566"/>
            </w:pPr>
            <w:r>
              <w:t>в наружных блоках сборных опор</w:t>
            </w:r>
          </w:p>
        </w:tc>
        <w:tc>
          <w:tcPr>
            <w:tcW w:w="2778" w:type="dxa"/>
            <w:tcBorders>
              <w:top w:val="nil"/>
              <w:bottom w:val="nil"/>
            </w:tcBorders>
          </w:tcPr>
          <w:p w:rsidR="00212513" w:rsidRDefault="00212513">
            <w:pPr>
              <w:pStyle w:val="ConsPlusNormal"/>
              <w:jc w:val="center"/>
            </w:pPr>
            <w:r>
              <w:t>4</w:t>
            </w:r>
          </w:p>
        </w:tc>
      </w:tr>
      <w:tr w:rsidR="00212513">
        <w:tblPrEx>
          <w:tblBorders>
            <w:insideH w:val="none" w:sz="0" w:space="0" w:color="auto"/>
          </w:tblBorders>
        </w:tblPrEx>
        <w:tc>
          <w:tcPr>
            <w:tcW w:w="6293" w:type="dxa"/>
            <w:tcBorders>
              <w:top w:val="nil"/>
              <w:bottom w:val="nil"/>
            </w:tcBorders>
          </w:tcPr>
          <w:p w:rsidR="00212513" w:rsidRDefault="00212513">
            <w:pPr>
              <w:pStyle w:val="ConsPlusNormal"/>
              <w:ind w:left="566"/>
            </w:pPr>
            <w:r>
              <w:t>у наружных поверхностей монолитных опор:</w:t>
            </w:r>
          </w:p>
        </w:tc>
        <w:tc>
          <w:tcPr>
            <w:tcW w:w="2778"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6293" w:type="dxa"/>
            <w:tcBorders>
              <w:top w:val="nil"/>
              <w:bottom w:val="nil"/>
            </w:tcBorders>
          </w:tcPr>
          <w:p w:rsidR="00212513" w:rsidRDefault="00212513">
            <w:pPr>
              <w:pStyle w:val="ConsPlusNormal"/>
              <w:ind w:left="849"/>
            </w:pPr>
            <w:r>
              <w:t>а) в ледорезной части опоры</w:t>
            </w:r>
          </w:p>
        </w:tc>
        <w:tc>
          <w:tcPr>
            <w:tcW w:w="2778" w:type="dxa"/>
            <w:tcBorders>
              <w:top w:val="nil"/>
              <w:bottom w:val="nil"/>
            </w:tcBorders>
          </w:tcPr>
          <w:p w:rsidR="00212513" w:rsidRDefault="00212513">
            <w:pPr>
              <w:pStyle w:val="ConsPlusNormal"/>
              <w:jc w:val="center"/>
            </w:pPr>
            <w:r>
              <w:t>7</w:t>
            </w:r>
          </w:p>
        </w:tc>
      </w:tr>
      <w:tr w:rsidR="00212513">
        <w:tblPrEx>
          <w:tblBorders>
            <w:insideH w:val="none" w:sz="0" w:space="0" w:color="auto"/>
          </w:tblBorders>
        </w:tblPrEx>
        <w:tc>
          <w:tcPr>
            <w:tcW w:w="6293" w:type="dxa"/>
            <w:tcBorders>
              <w:top w:val="nil"/>
              <w:bottom w:val="nil"/>
            </w:tcBorders>
          </w:tcPr>
          <w:p w:rsidR="00212513" w:rsidRDefault="00212513">
            <w:pPr>
              <w:pStyle w:val="ConsPlusNormal"/>
              <w:ind w:left="849"/>
            </w:pPr>
            <w:r>
              <w:t>б) на остальных участках опоры</w:t>
            </w:r>
          </w:p>
        </w:tc>
        <w:tc>
          <w:tcPr>
            <w:tcW w:w="2778" w:type="dxa"/>
            <w:tcBorders>
              <w:top w:val="nil"/>
              <w:bottom w:val="nil"/>
            </w:tcBorders>
          </w:tcPr>
          <w:p w:rsidR="00212513" w:rsidRDefault="00212513">
            <w:pPr>
              <w:pStyle w:val="ConsPlusNormal"/>
              <w:jc w:val="center"/>
            </w:pPr>
            <w:r>
              <w:t>5</w:t>
            </w:r>
          </w:p>
        </w:tc>
      </w:tr>
      <w:tr w:rsidR="00212513">
        <w:tblPrEx>
          <w:tblBorders>
            <w:insideH w:val="none" w:sz="0" w:space="0" w:color="auto"/>
          </w:tblBorders>
        </w:tblPrEx>
        <w:tc>
          <w:tcPr>
            <w:tcW w:w="6293" w:type="dxa"/>
            <w:tcBorders>
              <w:top w:val="nil"/>
              <w:bottom w:val="nil"/>
            </w:tcBorders>
          </w:tcPr>
          <w:p w:rsidR="00212513" w:rsidRDefault="00212513">
            <w:pPr>
              <w:pStyle w:val="ConsPlusNormal"/>
              <w:ind w:left="849"/>
            </w:pPr>
            <w:r>
              <w:t>в) в сваях, колодцах и блоках сборных фундаментов</w:t>
            </w:r>
          </w:p>
        </w:tc>
        <w:tc>
          <w:tcPr>
            <w:tcW w:w="2778" w:type="dxa"/>
            <w:tcBorders>
              <w:top w:val="nil"/>
              <w:bottom w:val="nil"/>
            </w:tcBorders>
          </w:tcPr>
          <w:p w:rsidR="00212513" w:rsidRDefault="00212513">
            <w:pPr>
              <w:pStyle w:val="ConsPlusNormal"/>
              <w:jc w:val="center"/>
            </w:pPr>
            <w:r>
              <w:t>3</w:t>
            </w:r>
          </w:p>
        </w:tc>
      </w:tr>
      <w:tr w:rsidR="00212513">
        <w:tblPrEx>
          <w:tblBorders>
            <w:insideH w:val="none" w:sz="0" w:space="0" w:color="auto"/>
          </w:tblBorders>
        </w:tblPrEx>
        <w:tc>
          <w:tcPr>
            <w:tcW w:w="6293" w:type="dxa"/>
            <w:tcBorders>
              <w:top w:val="nil"/>
              <w:bottom w:val="nil"/>
            </w:tcBorders>
          </w:tcPr>
          <w:p w:rsidR="00212513" w:rsidRDefault="00212513">
            <w:pPr>
              <w:pStyle w:val="ConsPlusNormal"/>
              <w:ind w:left="566"/>
            </w:pPr>
            <w:r>
              <w:t>в опорных плитах фундаментов из монолитного железобетона:</w:t>
            </w:r>
          </w:p>
        </w:tc>
        <w:tc>
          <w:tcPr>
            <w:tcW w:w="2778"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6293" w:type="dxa"/>
            <w:tcBorders>
              <w:top w:val="nil"/>
              <w:bottom w:val="nil"/>
            </w:tcBorders>
          </w:tcPr>
          <w:p w:rsidR="00212513" w:rsidRDefault="00212513">
            <w:pPr>
              <w:pStyle w:val="ConsPlusNormal"/>
              <w:ind w:left="849"/>
            </w:pPr>
            <w:r>
              <w:t>а) при наличии бетонной подготовки</w:t>
            </w:r>
          </w:p>
        </w:tc>
        <w:tc>
          <w:tcPr>
            <w:tcW w:w="2778" w:type="dxa"/>
            <w:tcBorders>
              <w:top w:val="nil"/>
              <w:bottom w:val="nil"/>
            </w:tcBorders>
          </w:tcPr>
          <w:p w:rsidR="00212513" w:rsidRDefault="00212513">
            <w:pPr>
              <w:pStyle w:val="ConsPlusNormal"/>
              <w:jc w:val="center"/>
            </w:pPr>
            <w:r>
              <w:t>4</w:t>
            </w:r>
          </w:p>
        </w:tc>
      </w:tr>
      <w:tr w:rsidR="00212513">
        <w:tblPrEx>
          <w:tblBorders>
            <w:insideH w:val="none" w:sz="0" w:space="0" w:color="auto"/>
          </w:tblBorders>
        </w:tblPrEx>
        <w:tc>
          <w:tcPr>
            <w:tcW w:w="6293" w:type="dxa"/>
            <w:tcBorders>
              <w:top w:val="nil"/>
              <w:bottom w:val="nil"/>
            </w:tcBorders>
          </w:tcPr>
          <w:p w:rsidR="00212513" w:rsidRDefault="00212513">
            <w:pPr>
              <w:pStyle w:val="ConsPlusNormal"/>
              <w:ind w:left="849"/>
            </w:pPr>
            <w:r>
              <w:t>б) при отсутствии бетонной подготовки</w:t>
            </w:r>
          </w:p>
        </w:tc>
        <w:tc>
          <w:tcPr>
            <w:tcW w:w="2778" w:type="dxa"/>
            <w:tcBorders>
              <w:top w:val="nil"/>
              <w:bottom w:val="nil"/>
            </w:tcBorders>
          </w:tcPr>
          <w:p w:rsidR="00212513" w:rsidRDefault="00212513">
            <w:pPr>
              <w:pStyle w:val="ConsPlusNormal"/>
              <w:jc w:val="center"/>
            </w:pPr>
            <w:r>
              <w:t>7</w:t>
            </w:r>
          </w:p>
        </w:tc>
      </w:tr>
      <w:tr w:rsidR="00212513">
        <w:tblPrEx>
          <w:tblBorders>
            <w:insideH w:val="none" w:sz="0" w:space="0" w:color="auto"/>
          </w:tblBorders>
        </w:tblPrEx>
        <w:tc>
          <w:tcPr>
            <w:tcW w:w="6293" w:type="dxa"/>
            <w:tcBorders>
              <w:top w:val="nil"/>
              <w:bottom w:val="nil"/>
            </w:tcBorders>
          </w:tcPr>
          <w:p w:rsidR="00212513" w:rsidRDefault="00212513">
            <w:pPr>
              <w:pStyle w:val="ConsPlusNormal"/>
            </w:pPr>
            <w:r>
              <w:t>2 Ненапрягаемые хомуты:</w:t>
            </w:r>
          </w:p>
        </w:tc>
        <w:tc>
          <w:tcPr>
            <w:tcW w:w="2778"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6293" w:type="dxa"/>
            <w:tcBorders>
              <w:top w:val="nil"/>
              <w:bottom w:val="nil"/>
            </w:tcBorders>
          </w:tcPr>
          <w:p w:rsidR="00212513" w:rsidRDefault="00212513">
            <w:pPr>
              <w:pStyle w:val="ConsPlusNormal"/>
              <w:ind w:left="283"/>
            </w:pPr>
            <w:r>
              <w:t>в стенках (ребрах) балок</w:t>
            </w:r>
          </w:p>
        </w:tc>
        <w:tc>
          <w:tcPr>
            <w:tcW w:w="2778" w:type="dxa"/>
            <w:tcBorders>
              <w:top w:val="nil"/>
              <w:bottom w:val="nil"/>
            </w:tcBorders>
          </w:tcPr>
          <w:p w:rsidR="00212513" w:rsidRDefault="00212513">
            <w:pPr>
              <w:pStyle w:val="ConsPlusNormal"/>
              <w:jc w:val="center"/>
            </w:pPr>
            <w:r>
              <w:t>3</w:t>
            </w:r>
          </w:p>
        </w:tc>
      </w:tr>
      <w:tr w:rsidR="00212513">
        <w:tblPrEx>
          <w:tblBorders>
            <w:insideH w:val="none" w:sz="0" w:space="0" w:color="auto"/>
          </w:tblBorders>
        </w:tblPrEx>
        <w:tc>
          <w:tcPr>
            <w:tcW w:w="6293" w:type="dxa"/>
            <w:tcBorders>
              <w:top w:val="nil"/>
              <w:bottom w:val="nil"/>
            </w:tcBorders>
          </w:tcPr>
          <w:p w:rsidR="00212513" w:rsidRDefault="00212513">
            <w:pPr>
              <w:pStyle w:val="ConsPlusNormal"/>
              <w:ind w:left="283"/>
            </w:pPr>
            <w:r>
              <w:t>в стойках опор:</w:t>
            </w:r>
          </w:p>
        </w:tc>
        <w:tc>
          <w:tcPr>
            <w:tcW w:w="2778"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6293" w:type="dxa"/>
            <w:tcBorders>
              <w:top w:val="nil"/>
              <w:bottom w:val="nil"/>
            </w:tcBorders>
          </w:tcPr>
          <w:p w:rsidR="00212513" w:rsidRDefault="00212513">
            <w:pPr>
              <w:pStyle w:val="ConsPlusNormal"/>
              <w:ind w:left="566"/>
            </w:pPr>
            <w:r>
              <w:t>а) вне зоны переменного уровня воды</w:t>
            </w:r>
          </w:p>
        </w:tc>
        <w:tc>
          <w:tcPr>
            <w:tcW w:w="2778" w:type="dxa"/>
            <w:tcBorders>
              <w:top w:val="nil"/>
              <w:bottom w:val="nil"/>
            </w:tcBorders>
          </w:tcPr>
          <w:p w:rsidR="00212513" w:rsidRDefault="00212513">
            <w:pPr>
              <w:pStyle w:val="ConsPlusNormal"/>
              <w:jc w:val="center"/>
            </w:pPr>
            <w:r>
              <w:t>3</w:t>
            </w:r>
          </w:p>
        </w:tc>
      </w:tr>
      <w:tr w:rsidR="00212513">
        <w:tblPrEx>
          <w:tblBorders>
            <w:insideH w:val="none" w:sz="0" w:space="0" w:color="auto"/>
          </w:tblBorders>
        </w:tblPrEx>
        <w:tc>
          <w:tcPr>
            <w:tcW w:w="6293" w:type="dxa"/>
            <w:tcBorders>
              <w:top w:val="nil"/>
              <w:bottom w:val="nil"/>
            </w:tcBorders>
          </w:tcPr>
          <w:p w:rsidR="00212513" w:rsidRDefault="00212513">
            <w:pPr>
              <w:pStyle w:val="ConsPlusNormal"/>
              <w:ind w:left="566"/>
            </w:pPr>
            <w:r>
              <w:t>б) в зоне переменного уровня воды</w:t>
            </w:r>
          </w:p>
        </w:tc>
        <w:tc>
          <w:tcPr>
            <w:tcW w:w="2778" w:type="dxa"/>
            <w:tcBorders>
              <w:top w:val="nil"/>
              <w:bottom w:val="nil"/>
            </w:tcBorders>
          </w:tcPr>
          <w:p w:rsidR="00212513" w:rsidRDefault="00212513">
            <w:pPr>
              <w:pStyle w:val="ConsPlusNormal"/>
              <w:jc w:val="center"/>
            </w:pPr>
            <w:r>
              <w:t>3</w:t>
            </w:r>
          </w:p>
        </w:tc>
      </w:tr>
      <w:tr w:rsidR="00212513">
        <w:tblPrEx>
          <w:tblBorders>
            <w:insideH w:val="none" w:sz="0" w:space="0" w:color="auto"/>
          </w:tblBorders>
        </w:tblPrEx>
        <w:tc>
          <w:tcPr>
            <w:tcW w:w="6293" w:type="dxa"/>
            <w:tcBorders>
              <w:top w:val="nil"/>
              <w:bottom w:val="nil"/>
            </w:tcBorders>
          </w:tcPr>
          <w:p w:rsidR="00212513" w:rsidRDefault="00212513">
            <w:pPr>
              <w:pStyle w:val="ConsPlusNormal"/>
            </w:pPr>
            <w:r>
              <w:t>3 Ненапрягаемая, устанавливаемая в бетоне омоноличивания напрягаемой арматуры</w:t>
            </w:r>
          </w:p>
        </w:tc>
        <w:tc>
          <w:tcPr>
            <w:tcW w:w="2778" w:type="dxa"/>
            <w:tcBorders>
              <w:top w:val="nil"/>
              <w:bottom w:val="nil"/>
            </w:tcBorders>
          </w:tcPr>
          <w:p w:rsidR="00212513" w:rsidRDefault="00212513">
            <w:pPr>
              <w:pStyle w:val="ConsPlusNormal"/>
              <w:jc w:val="center"/>
            </w:pPr>
            <w:r>
              <w:t>3</w:t>
            </w:r>
          </w:p>
        </w:tc>
      </w:tr>
      <w:tr w:rsidR="00212513">
        <w:tblPrEx>
          <w:tblBorders>
            <w:insideH w:val="none" w:sz="0" w:space="0" w:color="auto"/>
          </w:tblBorders>
        </w:tblPrEx>
        <w:tc>
          <w:tcPr>
            <w:tcW w:w="6293" w:type="dxa"/>
            <w:tcBorders>
              <w:top w:val="nil"/>
              <w:bottom w:val="nil"/>
            </w:tcBorders>
          </w:tcPr>
          <w:p w:rsidR="00212513" w:rsidRDefault="00212513">
            <w:pPr>
              <w:pStyle w:val="ConsPlusNormal"/>
            </w:pPr>
            <w:r>
              <w:t>4 Напрягаемая в растянутой зоне сечения:</w:t>
            </w:r>
          </w:p>
        </w:tc>
        <w:tc>
          <w:tcPr>
            <w:tcW w:w="2778"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6293" w:type="dxa"/>
            <w:tcBorders>
              <w:top w:val="nil"/>
              <w:bottom w:val="nil"/>
            </w:tcBorders>
          </w:tcPr>
          <w:p w:rsidR="00212513" w:rsidRDefault="00212513">
            <w:pPr>
              <w:pStyle w:val="ConsPlusNormal"/>
              <w:ind w:left="283"/>
            </w:pPr>
            <w:r>
              <w:t>а) в виде пучков из высокопрочной проволоки и пучков из канатов класса К7</w:t>
            </w:r>
          </w:p>
        </w:tc>
        <w:tc>
          <w:tcPr>
            <w:tcW w:w="2778" w:type="dxa"/>
            <w:tcBorders>
              <w:top w:val="nil"/>
              <w:bottom w:val="nil"/>
            </w:tcBorders>
          </w:tcPr>
          <w:p w:rsidR="00212513" w:rsidRDefault="00212513">
            <w:pPr>
              <w:pStyle w:val="ConsPlusNormal"/>
              <w:jc w:val="center"/>
            </w:pPr>
            <w:r>
              <w:t xml:space="preserve">4 </w:t>
            </w:r>
            <w:hyperlink w:anchor="P5630">
              <w:r>
                <w:rPr>
                  <w:color w:val="0000FF"/>
                </w:rPr>
                <w:t>&lt;**&gt;</w:t>
              </w:r>
            </w:hyperlink>
          </w:p>
        </w:tc>
      </w:tr>
      <w:tr w:rsidR="00212513">
        <w:tblPrEx>
          <w:tblBorders>
            <w:insideH w:val="none" w:sz="0" w:space="0" w:color="auto"/>
          </w:tblBorders>
        </w:tblPrEx>
        <w:tc>
          <w:tcPr>
            <w:tcW w:w="6293" w:type="dxa"/>
            <w:tcBorders>
              <w:top w:val="nil"/>
              <w:bottom w:val="nil"/>
            </w:tcBorders>
          </w:tcPr>
          <w:p w:rsidR="00212513" w:rsidRDefault="00212513">
            <w:pPr>
              <w:pStyle w:val="ConsPlusNormal"/>
              <w:ind w:left="283"/>
            </w:pPr>
            <w:r>
              <w:t>б) из арматурной стали классов:</w:t>
            </w:r>
          </w:p>
        </w:tc>
        <w:tc>
          <w:tcPr>
            <w:tcW w:w="2778"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6293" w:type="dxa"/>
            <w:tcBorders>
              <w:top w:val="nil"/>
              <w:bottom w:val="nil"/>
            </w:tcBorders>
          </w:tcPr>
          <w:p w:rsidR="00212513" w:rsidRDefault="00212513">
            <w:pPr>
              <w:pStyle w:val="ConsPlusNormal"/>
              <w:ind w:left="566"/>
            </w:pPr>
            <w:r>
              <w:t>А600</w:t>
            </w:r>
          </w:p>
        </w:tc>
        <w:tc>
          <w:tcPr>
            <w:tcW w:w="2778" w:type="dxa"/>
            <w:tcBorders>
              <w:top w:val="nil"/>
              <w:bottom w:val="nil"/>
            </w:tcBorders>
          </w:tcPr>
          <w:p w:rsidR="00212513" w:rsidRDefault="00212513">
            <w:pPr>
              <w:pStyle w:val="ConsPlusNormal"/>
              <w:jc w:val="center"/>
            </w:pPr>
            <w:r>
              <w:t>4</w:t>
            </w:r>
          </w:p>
        </w:tc>
      </w:tr>
      <w:tr w:rsidR="00212513">
        <w:tblPrEx>
          <w:tblBorders>
            <w:insideH w:val="none" w:sz="0" w:space="0" w:color="auto"/>
          </w:tblBorders>
        </w:tblPrEx>
        <w:tc>
          <w:tcPr>
            <w:tcW w:w="6293" w:type="dxa"/>
            <w:tcBorders>
              <w:top w:val="nil"/>
              <w:bottom w:val="nil"/>
            </w:tcBorders>
          </w:tcPr>
          <w:p w:rsidR="00212513" w:rsidRDefault="00212513">
            <w:pPr>
              <w:pStyle w:val="ConsPlusNormal"/>
              <w:ind w:left="566"/>
            </w:pPr>
            <w:r>
              <w:t>А800</w:t>
            </w:r>
          </w:p>
        </w:tc>
        <w:tc>
          <w:tcPr>
            <w:tcW w:w="2778" w:type="dxa"/>
            <w:tcBorders>
              <w:top w:val="nil"/>
              <w:bottom w:val="nil"/>
            </w:tcBorders>
          </w:tcPr>
          <w:p w:rsidR="00212513" w:rsidRDefault="00212513">
            <w:pPr>
              <w:pStyle w:val="ConsPlusNormal"/>
              <w:jc w:val="center"/>
            </w:pPr>
            <w:r>
              <w:t>5</w:t>
            </w:r>
          </w:p>
        </w:tc>
      </w:tr>
      <w:tr w:rsidR="00212513">
        <w:tblPrEx>
          <w:tblBorders>
            <w:insideH w:val="none" w:sz="0" w:space="0" w:color="auto"/>
          </w:tblBorders>
        </w:tblPrEx>
        <w:tc>
          <w:tcPr>
            <w:tcW w:w="6293" w:type="dxa"/>
            <w:tcBorders>
              <w:top w:val="nil"/>
              <w:bottom w:val="nil"/>
            </w:tcBorders>
          </w:tcPr>
          <w:p w:rsidR="00212513" w:rsidRDefault="00212513">
            <w:pPr>
              <w:pStyle w:val="ConsPlusNormal"/>
              <w:ind w:left="283"/>
            </w:pPr>
            <w:r>
              <w:t xml:space="preserve">в) из стальных канатов (спиральных, двойной свивки и закрытых) диаметром </w:t>
            </w:r>
            <w:r>
              <w:rPr>
                <w:i/>
              </w:rPr>
              <w:t>d</w:t>
            </w:r>
            <w:r>
              <w:t xml:space="preserve"> &gt; 40 мм с анкерами на концах</w:t>
            </w:r>
          </w:p>
        </w:tc>
        <w:tc>
          <w:tcPr>
            <w:tcW w:w="2778" w:type="dxa"/>
            <w:tcBorders>
              <w:top w:val="nil"/>
              <w:bottom w:val="nil"/>
            </w:tcBorders>
          </w:tcPr>
          <w:p w:rsidR="00212513" w:rsidRDefault="00212513">
            <w:pPr>
              <w:pStyle w:val="ConsPlusNormal"/>
              <w:jc w:val="center"/>
            </w:pPr>
            <w:r>
              <w:rPr>
                <w:i/>
              </w:rPr>
              <w:t>d</w:t>
            </w:r>
          </w:p>
        </w:tc>
      </w:tr>
      <w:tr w:rsidR="00212513">
        <w:tblPrEx>
          <w:tblBorders>
            <w:insideH w:val="none" w:sz="0" w:space="0" w:color="auto"/>
          </w:tblBorders>
        </w:tblPrEx>
        <w:tc>
          <w:tcPr>
            <w:tcW w:w="6293" w:type="dxa"/>
            <w:tcBorders>
              <w:top w:val="nil"/>
              <w:bottom w:val="nil"/>
            </w:tcBorders>
          </w:tcPr>
          <w:p w:rsidR="00212513" w:rsidRDefault="00212513">
            <w:pPr>
              <w:pStyle w:val="ConsPlusNormal"/>
            </w:pPr>
            <w:r>
              <w:t>5 Напрягаемая всех видов в плите проезжей части, защищенной гидроизоляцией</w:t>
            </w:r>
          </w:p>
        </w:tc>
        <w:tc>
          <w:tcPr>
            <w:tcW w:w="2778" w:type="dxa"/>
            <w:tcBorders>
              <w:top w:val="nil"/>
              <w:bottom w:val="nil"/>
            </w:tcBorders>
          </w:tcPr>
          <w:p w:rsidR="00212513" w:rsidRDefault="00212513">
            <w:pPr>
              <w:pStyle w:val="ConsPlusNormal"/>
              <w:jc w:val="center"/>
            </w:pPr>
            <w:r>
              <w:t>5</w:t>
            </w:r>
          </w:p>
        </w:tc>
      </w:tr>
      <w:tr w:rsidR="00212513">
        <w:tblPrEx>
          <w:tblBorders>
            <w:insideH w:val="none" w:sz="0" w:space="0" w:color="auto"/>
          </w:tblBorders>
        </w:tblPrEx>
        <w:tc>
          <w:tcPr>
            <w:tcW w:w="6293" w:type="dxa"/>
            <w:tcBorders>
              <w:top w:val="nil"/>
              <w:bottom w:val="nil"/>
            </w:tcBorders>
          </w:tcPr>
          <w:p w:rsidR="00212513" w:rsidRDefault="00212513">
            <w:pPr>
              <w:pStyle w:val="ConsPlusNormal"/>
            </w:pPr>
            <w:r>
              <w:t>6 Напрягаемые хомуты в стенках (ребрах)</w:t>
            </w:r>
          </w:p>
        </w:tc>
        <w:tc>
          <w:tcPr>
            <w:tcW w:w="2778" w:type="dxa"/>
            <w:tcBorders>
              <w:top w:val="nil"/>
              <w:bottom w:val="nil"/>
            </w:tcBorders>
          </w:tcPr>
          <w:p w:rsidR="00212513" w:rsidRDefault="00212513">
            <w:pPr>
              <w:pStyle w:val="ConsPlusNormal"/>
              <w:jc w:val="center"/>
            </w:pPr>
            <w:r>
              <w:t>3</w:t>
            </w:r>
          </w:p>
        </w:tc>
      </w:tr>
      <w:tr w:rsidR="00212513">
        <w:tblPrEx>
          <w:tblBorders>
            <w:insideH w:val="none" w:sz="0" w:space="0" w:color="auto"/>
          </w:tblBorders>
        </w:tblPrEx>
        <w:tc>
          <w:tcPr>
            <w:tcW w:w="6293" w:type="dxa"/>
            <w:tcBorders>
              <w:top w:val="nil"/>
              <w:bottom w:val="nil"/>
            </w:tcBorders>
          </w:tcPr>
          <w:p w:rsidR="00212513" w:rsidRDefault="00212513">
            <w:pPr>
              <w:pStyle w:val="ConsPlusNormal"/>
            </w:pPr>
            <w:r>
              <w:t>7 Напрягаемая в струнобетонных конструкциях со стороны:</w:t>
            </w:r>
          </w:p>
        </w:tc>
        <w:tc>
          <w:tcPr>
            <w:tcW w:w="2778"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6293" w:type="dxa"/>
            <w:tcBorders>
              <w:top w:val="nil"/>
              <w:bottom w:val="nil"/>
            </w:tcBorders>
          </w:tcPr>
          <w:p w:rsidR="00212513" w:rsidRDefault="00212513">
            <w:pPr>
              <w:pStyle w:val="ConsPlusNormal"/>
              <w:ind w:left="283"/>
            </w:pPr>
            <w:r>
              <w:t>растянутой грани</w:t>
            </w:r>
          </w:p>
        </w:tc>
        <w:tc>
          <w:tcPr>
            <w:tcW w:w="2778" w:type="dxa"/>
            <w:tcBorders>
              <w:top w:val="nil"/>
              <w:bottom w:val="nil"/>
            </w:tcBorders>
          </w:tcPr>
          <w:p w:rsidR="00212513" w:rsidRDefault="00212513">
            <w:pPr>
              <w:pStyle w:val="ConsPlusNormal"/>
              <w:jc w:val="center"/>
            </w:pPr>
            <w:r>
              <w:t xml:space="preserve">3 </w:t>
            </w:r>
            <w:hyperlink w:anchor="P5631">
              <w:r>
                <w:rPr>
                  <w:color w:val="0000FF"/>
                </w:rPr>
                <w:t>&lt;***&gt;</w:t>
              </w:r>
            </w:hyperlink>
          </w:p>
        </w:tc>
      </w:tr>
      <w:tr w:rsidR="00212513">
        <w:tblPrEx>
          <w:tblBorders>
            <w:insideH w:val="none" w:sz="0" w:space="0" w:color="auto"/>
          </w:tblBorders>
        </w:tblPrEx>
        <w:tc>
          <w:tcPr>
            <w:tcW w:w="6293" w:type="dxa"/>
            <w:tcBorders>
              <w:top w:val="nil"/>
              <w:bottom w:val="nil"/>
            </w:tcBorders>
          </w:tcPr>
          <w:p w:rsidR="00212513" w:rsidRDefault="00212513">
            <w:pPr>
              <w:pStyle w:val="ConsPlusNormal"/>
              <w:ind w:left="283"/>
            </w:pPr>
            <w:r>
              <w:t>боковых граней</w:t>
            </w:r>
          </w:p>
        </w:tc>
        <w:tc>
          <w:tcPr>
            <w:tcW w:w="2778" w:type="dxa"/>
            <w:tcBorders>
              <w:top w:val="nil"/>
              <w:bottom w:val="nil"/>
            </w:tcBorders>
          </w:tcPr>
          <w:p w:rsidR="00212513" w:rsidRDefault="00212513">
            <w:pPr>
              <w:pStyle w:val="ConsPlusNormal"/>
              <w:jc w:val="center"/>
            </w:pPr>
            <w:r>
              <w:t>3</w:t>
            </w:r>
          </w:p>
        </w:tc>
      </w:tr>
      <w:tr w:rsidR="00212513">
        <w:tblPrEx>
          <w:tblBorders>
            <w:insideH w:val="none" w:sz="0" w:space="0" w:color="auto"/>
          </w:tblBorders>
        </w:tblPrEx>
        <w:tc>
          <w:tcPr>
            <w:tcW w:w="6293" w:type="dxa"/>
            <w:tcBorders>
              <w:top w:val="nil"/>
              <w:bottom w:val="nil"/>
            </w:tcBorders>
          </w:tcPr>
          <w:p w:rsidR="00212513" w:rsidRDefault="00212513">
            <w:pPr>
              <w:pStyle w:val="ConsPlusNormal"/>
            </w:pPr>
            <w:r>
              <w:lastRenderedPageBreak/>
              <w:t>8 Торцов арматурных стержней, проволок и канатов</w:t>
            </w:r>
          </w:p>
        </w:tc>
        <w:tc>
          <w:tcPr>
            <w:tcW w:w="2778" w:type="dxa"/>
            <w:tcBorders>
              <w:top w:val="nil"/>
              <w:bottom w:val="nil"/>
            </w:tcBorders>
          </w:tcPr>
          <w:p w:rsidR="00212513" w:rsidRDefault="00212513">
            <w:pPr>
              <w:pStyle w:val="ConsPlusNormal"/>
              <w:jc w:val="center"/>
            </w:pPr>
            <w:r>
              <w:t>2</w:t>
            </w:r>
          </w:p>
        </w:tc>
      </w:tr>
      <w:tr w:rsidR="00212513">
        <w:tblPrEx>
          <w:tblBorders>
            <w:insideH w:val="none" w:sz="0" w:space="0" w:color="auto"/>
          </w:tblBorders>
        </w:tblPrEx>
        <w:tc>
          <w:tcPr>
            <w:tcW w:w="9071" w:type="dxa"/>
            <w:gridSpan w:val="2"/>
            <w:tcBorders>
              <w:top w:val="nil"/>
              <w:bottom w:val="single" w:sz="4" w:space="0" w:color="auto"/>
            </w:tcBorders>
          </w:tcPr>
          <w:p w:rsidR="00212513" w:rsidRDefault="00212513">
            <w:pPr>
              <w:pStyle w:val="ConsPlusNormal"/>
              <w:jc w:val="both"/>
            </w:pPr>
            <w:r>
              <w:t xml:space="preserve">(позиция 8 введена </w:t>
            </w:r>
            <w:hyperlink r:id="rId1308">
              <w:r>
                <w:rPr>
                  <w:color w:val="0000FF"/>
                </w:rPr>
                <w:t>Изменением N 3</w:t>
              </w:r>
            </w:hyperlink>
            <w:r>
              <w:t>, утв. Приказом Минстроя России от 29.12.2020 N 891/пр)</w:t>
            </w:r>
          </w:p>
        </w:tc>
      </w:tr>
      <w:tr w:rsidR="00212513">
        <w:tblPrEx>
          <w:tblBorders>
            <w:insideH w:val="none" w:sz="0" w:space="0" w:color="auto"/>
          </w:tblBorders>
        </w:tblPrEx>
        <w:tc>
          <w:tcPr>
            <w:tcW w:w="9071" w:type="dxa"/>
            <w:gridSpan w:val="2"/>
            <w:tcBorders>
              <w:top w:val="single" w:sz="4" w:space="0" w:color="auto"/>
              <w:bottom w:val="nil"/>
            </w:tcBorders>
          </w:tcPr>
          <w:p w:rsidR="00212513" w:rsidRDefault="00212513">
            <w:pPr>
              <w:pStyle w:val="ConsPlusNormal"/>
              <w:ind w:firstLine="283"/>
              <w:jc w:val="both"/>
            </w:pPr>
            <w:bookmarkStart w:id="243" w:name="P5629"/>
            <w:bookmarkEnd w:id="243"/>
            <w:r>
              <w:t>&lt;*&gt; Для труб диаметром 3 м и более защитный слой с внутренней стороны 3 см.</w:t>
            </w:r>
          </w:p>
          <w:p w:rsidR="00212513" w:rsidRDefault="00212513">
            <w:pPr>
              <w:pStyle w:val="ConsPlusNormal"/>
              <w:ind w:firstLine="283"/>
              <w:jc w:val="both"/>
            </w:pPr>
            <w:bookmarkStart w:id="244" w:name="P5630"/>
            <w:bookmarkEnd w:id="244"/>
            <w:r>
              <w:t>&lt;**&gt; Для напрягаемой арматуры, размещаемой в закрытых каналах, защитный слой бетона принимается относительно поверхности канала. Для каналов диаметром 11 см защитный слой следует назначать равным 5 см. При диаметрах каналов свыше 11 см принимаемую толщину защитного слоя следует проверять расчетом на силовые воздействия и давление раствора при инъецировании.</w:t>
            </w:r>
          </w:p>
          <w:p w:rsidR="00212513" w:rsidRDefault="00212513">
            <w:pPr>
              <w:pStyle w:val="ConsPlusNormal"/>
              <w:ind w:firstLine="283"/>
              <w:jc w:val="both"/>
            </w:pPr>
            <w:bookmarkStart w:id="245" w:name="P5631"/>
            <w:bookmarkEnd w:id="245"/>
            <w:r>
              <w:t>&lt;***&gt; Для элементов толщиной менее 20 см допускается защитный слой уменьшать до 2 см.</w:t>
            </w:r>
          </w:p>
        </w:tc>
      </w:tr>
      <w:tr w:rsidR="00212513">
        <w:tblPrEx>
          <w:tblBorders>
            <w:insideH w:val="none" w:sz="0" w:space="0" w:color="auto"/>
          </w:tblBorders>
        </w:tblPrEx>
        <w:tc>
          <w:tcPr>
            <w:tcW w:w="9071" w:type="dxa"/>
            <w:gridSpan w:val="2"/>
            <w:tcBorders>
              <w:top w:val="nil"/>
              <w:bottom w:val="single" w:sz="4" w:space="0" w:color="auto"/>
            </w:tcBorders>
          </w:tcPr>
          <w:p w:rsidR="00212513" w:rsidRDefault="00212513">
            <w:pPr>
              <w:pStyle w:val="ConsPlusNormal"/>
              <w:ind w:firstLine="283"/>
              <w:jc w:val="both"/>
            </w:pPr>
            <w:r>
              <w:t>Примечание - Минимальные толщины защитного слоя сборных железобетонных элементов, изготавливаемых в существующих на предприятиях ЖБК опалубочных формах, можно принимать менее указанных в таблице при соответствующем обосновании.</w:t>
            </w:r>
          </w:p>
        </w:tc>
      </w:tr>
    </w:tbl>
    <w:p w:rsidR="00212513" w:rsidRDefault="00212513">
      <w:pPr>
        <w:pStyle w:val="ConsPlusNormal"/>
        <w:ind w:firstLine="540"/>
        <w:jc w:val="both"/>
      </w:pPr>
    </w:p>
    <w:p w:rsidR="00212513" w:rsidRDefault="00212513">
      <w:pPr>
        <w:pStyle w:val="ConsPlusNormal"/>
        <w:ind w:firstLine="540"/>
        <w:jc w:val="both"/>
      </w:pPr>
      <w:r>
        <w:t>При соответствующем обосновании допускаются защитные слои меньшей толщины при условии применения средств вторичной защиты бетона.</w:t>
      </w:r>
    </w:p>
    <w:p w:rsidR="00212513" w:rsidRDefault="00212513">
      <w:pPr>
        <w:pStyle w:val="ConsPlusNormal"/>
        <w:jc w:val="both"/>
      </w:pPr>
      <w:r>
        <w:t xml:space="preserve">(абзац введен </w:t>
      </w:r>
      <w:hyperlink r:id="rId1309">
        <w:r>
          <w:rPr>
            <w:color w:val="0000FF"/>
          </w:rPr>
          <w:t>Изменением N 3</w:t>
        </w:r>
      </w:hyperlink>
      <w:r>
        <w:t>, утв. Приказом Минстроя России от 29.12.2020 N 891/пр)</w:t>
      </w:r>
    </w:p>
    <w:p w:rsidR="00212513" w:rsidRDefault="00212513">
      <w:pPr>
        <w:pStyle w:val="ConsPlusNormal"/>
        <w:spacing w:before="220"/>
        <w:ind w:firstLine="540"/>
        <w:jc w:val="both"/>
      </w:pPr>
      <w:r>
        <w:t>Защитный слой, как правило, не должен превышать 8 см (в буровых сваях - 10 см).</w:t>
      </w:r>
    </w:p>
    <w:p w:rsidR="00212513" w:rsidRDefault="00212513">
      <w:pPr>
        <w:pStyle w:val="ConsPlusNormal"/>
        <w:jc w:val="both"/>
      </w:pPr>
      <w:r>
        <w:t xml:space="preserve">(абзац введен </w:t>
      </w:r>
      <w:hyperlink r:id="rId1310">
        <w:r>
          <w:rPr>
            <w:color w:val="0000FF"/>
          </w:rPr>
          <w:t>Изменением N 3</w:t>
        </w:r>
      </w:hyperlink>
      <w:r>
        <w:t>, утв. Приказом Минстроя России от 29.12.2020 N 891/пр)</w:t>
      </w:r>
    </w:p>
    <w:p w:rsidR="00212513" w:rsidRDefault="00212513">
      <w:pPr>
        <w:pStyle w:val="ConsPlusNormal"/>
        <w:spacing w:before="220"/>
        <w:ind w:firstLine="540"/>
        <w:jc w:val="both"/>
      </w:pPr>
      <w:r>
        <w:t>При необходимости создания между поверхностью бетона и рабочей арматурой слоя бетона большей толщины следует выполнять дополнительное армирование данного слоя арматурой, имеющей надежное сцепление с бетоном.</w:t>
      </w:r>
    </w:p>
    <w:p w:rsidR="00212513" w:rsidRDefault="00212513">
      <w:pPr>
        <w:pStyle w:val="ConsPlusNormal"/>
        <w:jc w:val="both"/>
      </w:pPr>
      <w:r>
        <w:t xml:space="preserve">(абзац введен </w:t>
      </w:r>
      <w:hyperlink r:id="rId1311">
        <w:r>
          <w:rPr>
            <w:color w:val="0000FF"/>
          </w:rPr>
          <w:t>Изменением N 3</w:t>
        </w:r>
      </w:hyperlink>
      <w:r>
        <w:t>, утв. Приказом Минстроя России от 29.12.2020 N 891/пр)</w:t>
      </w:r>
    </w:p>
    <w:p w:rsidR="00212513" w:rsidRDefault="00212513">
      <w:pPr>
        <w:pStyle w:val="ConsPlusNormal"/>
        <w:spacing w:before="220"/>
        <w:ind w:firstLine="540"/>
        <w:jc w:val="both"/>
      </w:pPr>
      <w:r>
        <w:t xml:space="preserve">7.120 Толщина защитного слоя бетона у концов предварительно напряженных элементов на длине зоны передачи усилий согласно </w:t>
      </w:r>
      <w:hyperlink w:anchor="P2032">
        <w:r>
          <w:rPr>
            <w:color w:val="0000FF"/>
          </w:rPr>
          <w:t>7.11</w:t>
        </w:r>
      </w:hyperlink>
      <w:r>
        <w:t xml:space="preserve"> должна составлять не менее двух диаметров арматуры.</w:t>
      </w:r>
    </w:p>
    <w:p w:rsidR="00212513" w:rsidRDefault="00212513">
      <w:pPr>
        <w:pStyle w:val="ConsPlusNormal"/>
        <w:spacing w:before="220"/>
        <w:ind w:firstLine="540"/>
        <w:jc w:val="both"/>
      </w:pPr>
      <w:r>
        <w:t xml:space="preserve">При применении стержневой напрягаемой арматурной стали классов А800, Ат800 и Ат1000 следует дополнительно на длине зоны передачи усилий по </w:t>
      </w:r>
      <w:hyperlink w:anchor="P2032">
        <w:r>
          <w:rPr>
            <w:color w:val="0000FF"/>
          </w:rPr>
          <w:t>7.11</w:t>
        </w:r>
      </w:hyperlink>
      <w:r>
        <w:t xml:space="preserve"> устанавливать сетки, спирали диаметром, на 4 см превышающим диаметр стержня, или замкнутые хомуты с шагом не более 5 см.</w:t>
      </w:r>
    </w:p>
    <w:p w:rsidR="00212513" w:rsidRDefault="00212513">
      <w:pPr>
        <w:pStyle w:val="ConsPlusNormal"/>
        <w:ind w:firstLine="540"/>
        <w:jc w:val="both"/>
      </w:pPr>
    </w:p>
    <w:p w:rsidR="00212513" w:rsidRDefault="00212513">
      <w:pPr>
        <w:pStyle w:val="ConsPlusTitle"/>
        <w:ind w:firstLine="540"/>
        <w:jc w:val="both"/>
        <w:outlineLvl w:val="3"/>
      </w:pPr>
      <w:r>
        <w:t>Минимальные расстояния между арматурными элементами</w:t>
      </w:r>
    </w:p>
    <w:p w:rsidR="00212513" w:rsidRDefault="00212513">
      <w:pPr>
        <w:pStyle w:val="ConsPlusNormal"/>
        <w:ind w:firstLine="540"/>
        <w:jc w:val="both"/>
      </w:pPr>
    </w:p>
    <w:p w:rsidR="00212513" w:rsidRDefault="00212513">
      <w:pPr>
        <w:pStyle w:val="ConsPlusNormal"/>
        <w:ind w:firstLine="540"/>
        <w:jc w:val="both"/>
      </w:pPr>
      <w:r>
        <w:t>7.121 Расстояния в свету между отдельными арматурными элементами, а также стенками каналов должны обеспечивать требуемое заполнение бетонной смесью всего объема конструкции. Дополнительно в предварительно напряженных конструкциях эти расстояния должны назначаться с учетом особенности передачи усилий с напрягаемой арматуры на бетон, размещения анкеров, габаритов применяемого натяжного оборудования.</w:t>
      </w:r>
    </w:p>
    <w:p w:rsidR="00212513" w:rsidRDefault="00212513">
      <w:pPr>
        <w:pStyle w:val="ConsPlusNormal"/>
        <w:spacing w:before="220"/>
        <w:ind w:firstLine="540"/>
        <w:jc w:val="both"/>
      </w:pPr>
      <w:bookmarkStart w:id="246" w:name="P5646"/>
      <w:bookmarkEnd w:id="246"/>
      <w:r>
        <w:t>7.122 Расстояние в свету между отдельными продольными рабочими стержнями ненапрягаемой и напрягаемой на упоры арматуры принимают:</w:t>
      </w:r>
    </w:p>
    <w:p w:rsidR="00212513" w:rsidRDefault="00212513">
      <w:pPr>
        <w:pStyle w:val="ConsPlusNormal"/>
        <w:jc w:val="both"/>
      </w:pPr>
      <w:r>
        <w:t xml:space="preserve">(в ред. </w:t>
      </w:r>
      <w:hyperlink r:id="rId1312">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а) если стержни занимают при бетонировании горизонтальное или наклонное положение, см, не менее, при расположении арматуры:</w:t>
      </w:r>
    </w:p>
    <w:p w:rsidR="00212513" w:rsidRDefault="00212513">
      <w:pPr>
        <w:pStyle w:val="ConsPlusNormal"/>
        <w:spacing w:before="220"/>
        <w:ind w:firstLine="540"/>
        <w:jc w:val="both"/>
      </w:pPr>
      <w:r>
        <w:t>4 - в один ряд;</w:t>
      </w:r>
    </w:p>
    <w:p w:rsidR="00212513" w:rsidRDefault="00212513">
      <w:pPr>
        <w:pStyle w:val="ConsPlusNormal"/>
        <w:spacing w:before="220"/>
        <w:ind w:firstLine="540"/>
        <w:jc w:val="both"/>
      </w:pPr>
      <w:r>
        <w:lastRenderedPageBreak/>
        <w:t>5 - в два ряда;</w:t>
      </w:r>
    </w:p>
    <w:p w:rsidR="00212513" w:rsidRDefault="00212513">
      <w:pPr>
        <w:pStyle w:val="ConsPlusNormal"/>
        <w:spacing w:before="220"/>
        <w:ind w:firstLine="540"/>
        <w:jc w:val="both"/>
      </w:pPr>
      <w:r>
        <w:t>6 - в три ряда или более;</w:t>
      </w:r>
    </w:p>
    <w:p w:rsidR="00212513" w:rsidRDefault="00212513">
      <w:pPr>
        <w:pStyle w:val="ConsPlusNormal"/>
        <w:spacing w:before="220"/>
        <w:ind w:firstLine="540"/>
        <w:jc w:val="both"/>
      </w:pPr>
      <w:r>
        <w:t>б) если стержни занимают при бетонировании вертикальное положение - 5 см.</w:t>
      </w:r>
    </w:p>
    <w:p w:rsidR="00212513" w:rsidRDefault="00212513">
      <w:pPr>
        <w:pStyle w:val="ConsPlusNormal"/>
        <w:spacing w:before="220"/>
        <w:ind w:firstLine="540"/>
        <w:jc w:val="both"/>
      </w:pPr>
      <w:r>
        <w:t>При стесненных условиях для размещения арматуры допускается располагать стержни ненапрягаемой арматуры группами (без зазора между стержнями) по два или по три стержня. Расстояние по ширине в свету между группами следует принимать, см, не менее:</w:t>
      </w:r>
    </w:p>
    <w:p w:rsidR="00212513" w:rsidRDefault="00212513">
      <w:pPr>
        <w:pStyle w:val="ConsPlusNormal"/>
        <w:spacing w:before="220"/>
        <w:ind w:firstLine="540"/>
        <w:jc w:val="both"/>
      </w:pPr>
      <w:r>
        <w:t>5 - при двух стержнях в группе;</w:t>
      </w:r>
    </w:p>
    <w:p w:rsidR="00212513" w:rsidRDefault="00212513">
      <w:pPr>
        <w:pStyle w:val="ConsPlusNormal"/>
        <w:spacing w:before="220"/>
        <w:ind w:firstLine="540"/>
        <w:jc w:val="both"/>
      </w:pPr>
      <w:r>
        <w:t>6 - при трех стержнях в группе.</w:t>
      </w:r>
    </w:p>
    <w:p w:rsidR="00212513" w:rsidRDefault="00212513">
      <w:pPr>
        <w:pStyle w:val="ConsPlusNormal"/>
        <w:spacing w:before="220"/>
        <w:ind w:firstLine="540"/>
        <w:jc w:val="both"/>
      </w:pPr>
      <w:r>
        <w:t>Указанные расстояния в свету между соседними стержнями следует увеличивать при нахлестах и перепусках стержней, а также при наличии стыковых муфт на 2 см.</w:t>
      </w:r>
    </w:p>
    <w:p w:rsidR="00212513" w:rsidRDefault="00212513">
      <w:pPr>
        <w:pStyle w:val="ConsPlusNormal"/>
        <w:jc w:val="both"/>
      </w:pPr>
      <w:r>
        <w:t xml:space="preserve">(п. 7.122 в ред. </w:t>
      </w:r>
      <w:hyperlink r:id="rId1313">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bookmarkStart w:id="247" w:name="P5658"/>
      <w:bookmarkEnd w:id="247"/>
      <w:r>
        <w:t>7.123 При назначении расстояний в свету между арматурными элементами в предварительно напряженных конструкциях следует соблюдать требования, указанные в таблице 7.30.</w:t>
      </w:r>
    </w:p>
    <w:p w:rsidR="00212513" w:rsidRDefault="00212513">
      <w:pPr>
        <w:pStyle w:val="ConsPlusNormal"/>
        <w:ind w:firstLine="540"/>
        <w:jc w:val="both"/>
      </w:pPr>
    </w:p>
    <w:p w:rsidR="00212513" w:rsidRDefault="00212513">
      <w:pPr>
        <w:pStyle w:val="ConsPlusNormal"/>
        <w:jc w:val="right"/>
      </w:pPr>
      <w:r>
        <w:t>Таблица 7.30</w:t>
      </w:r>
    </w:p>
    <w:p w:rsidR="00212513" w:rsidRDefault="00212513">
      <w:pPr>
        <w:pStyle w:val="ConsPlusNormal"/>
        <w:jc w:val="center"/>
      </w:pPr>
    </w:p>
    <w:p w:rsidR="00212513" w:rsidRDefault="00212513">
      <w:pPr>
        <w:pStyle w:val="ConsPlusNormal"/>
        <w:jc w:val="center"/>
      </w:pPr>
      <w:r>
        <w:t xml:space="preserve">(таблица 7.30 в ред. </w:t>
      </w:r>
      <w:hyperlink r:id="rId1314">
        <w:r>
          <w:rPr>
            <w:color w:val="0000FF"/>
          </w:rPr>
          <w:t>Изменения N 3</w:t>
        </w:r>
      </w:hyperlink>
      <w:r>
        <w:t>, утв. Приказом</w:t>
      </w:r>
    </w:p>
    <w:p w:rsidR="00212513" w:rsidRDefault="00212513">
      <w:pPr>
        <w:pStyle w:val="ConsPlusNormal"/>
        <w:jc w:val="center"/>
      </w:pPr>
      <w:r>
        <w:t>Минстроя России от 29.12.2020 N 891/пр)</w:t>
      </w:r>
    </w:p>
    <w:p w:rsidR="00212513" w:rsidRDefault="0021251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96"/>
        <w:gridCol w:w="1020"/>
        <w:gridCol w:w="2126"/>
      </w:tblGrid>
      <w:tr w:rsidR="00212513">
        <w:tc>
          <w:tcPr>
            <w:tcW w:w="5896" w:type="dxa"/>
            <w:vMerge w:val="restart"/>
            <w:tcBorders>
              <w:top w:val="single" w:sz="4" w:space="0" w:color="auto"/>
              <w:bottom w:val="single" w:sz="4" w:space="0" w:color="auto"/>
            </w:tcBorders>
            <w:vAlign w:val="center"/>
          </w:tcPr>
          <w:p w:rsidR="00212513" w:rsidRDefault="00212513">
            <w:pPr>
              <w:pStyle w:val="ConsPlusNormal"/>
              <w:jc w:val="center"/>
            </w:pPr>
            <w:r>
              <w:t>Назначаемые расстояния в свету</w:t>
            </w:r>
          </w:p>
        </w:tc>
        <w:tc>
          <w:tcPr>
            <w:tcW w:w="3146" w:type="dxa"/>
            <w:gridSpan w:val="2"/>
            <w:tcBorders>
              <w:top w:val="single" w:sz="4" w:space="0" w:color="auto"/>
              <w:bottom w:val="single" w:sz="4" w:space="0" w:color="auto"/>
            </w:tcBorders>
            <w:vAlign w:val="center"/>
          </w:tcPr>
          <w:p w:rsidR="00212513" w:rsidRDefault="00212513">
            <w:pPr>
              <w:pStyle w:val="ConsPlusNormal"/>
              <w:jc w:val="center"/>
            </w:pPr>
            <w:r>
              <w:t>Наименьшие размеры расстояний</w:t>
            </w:r>
          </w:p>
        </w:tc>
      </w:tr>
      <w:tr w:rsidR="00212513">
        <w:tc>
          <w:tcPr>
            <w:tcW w:w="5896" w:type="dxa"/>
            <w:vMerge/>
            <w:tcBorders>
              <w:top w:val="single" w:sz="4" w:space="0" w:color="auto"/>
              <w:bottom w:val="single" w:sz="4" w:space="0" w:color="auto"/>
            </w:tcBorders>
          </w:tcPr>
          <w:p w:rsidR="00212513" w:rsidRDefault="00212513">
            <w:pPr>
              <w:pStyle w:val="ConsPlusNormal"/>
            </w:pPr>
          </w:p>
        </w:tc>
        <w:tc>
          <w:tcPr>
            <w:tcW w:w="1020" w:type="dxa"/>
            <w:tcBorders>
              <w:top w:val="single" w:sz="4" w:space="0" w:color="auto"/>
              <w:bottom w:val="single" w:sz="4" w:space="0" w:color="auto"/>
            </w:tcBorders>
            <w:vAlign w:val="center"/>
          </w:tcPr>
          <w:p w:rsidR="00212513" w:rsidRDefault="00212513">
            <w:pPr>
              <w:pStyle w:val="ConsPlusNormal"/>
              <w:jc w:val="center"/>
            </w:pPr>
            <w:r>
              <w:t>по абсолютному значению, см</w:t>
            </w:r>
          </w:p>
        </w:tc>
        <w:tc>
          <w:tcPr>
            <w:tcW w:w="2126" w:type="dxa"/>
            <w:tcBorders>
              <w:top w:val="single" w:sz="4" w:space="0" w:color="auto"/>
              <w:bottom w:val="single" w:sz="4" w:space="0" w:color="auto"/>
            </w:tcBorders>
            <w:vAlign w:val="center"/>
          </w:tcPr>
          <w:p w:rsidR="00212513" w:rsidRDefault="00212513">
            <w:pPr>
              <w:pStyle w:val="ConsPlusNormal"/>
              <w:jc w:val="center"/>
            </w:pPr>
            <w:r>
              <w:t xml:space="preserve">в зависимости от диаметра </w:t>
            </w:r>
            <w:r>
              <w:rPr>
                <w:i/>
              </w:rPr>
              <w:t>d</w:t>
            </w:r>
            <w:r>
              <w:t xml:space="preserve"> арматурного элемента или диаметра </w:t>
            </w:r>
            <w:r>
              <w:rPr>
                <w:i/>
              </w:rPr>
              <w:t>d</w:t>
            </w:r>
            <w:r>
              <w:rPr>
                <w:i/>
                <w:vertAlign w:val="subscript"/>
              </w:rPr>
              <w:t>c</w:t>
            </w:r>
            <w:r>
              <w:t xml:space="preserve"> канала</w:t>
            </w:r>
          </w:p>
        </w:tc>
      </w:tr>
      <w:tr w:rsidR="00212513">
        <w:tblPrEx>
          <w:tblBorders>
            <w:insideH w:val="none" w:sz="0" w:space="0" w:color="auto"/>
          </w:tblBorders>
        </w:tblPrEx>
        <w:tc>
          <w:tcPr>
            <w:tcW w:w="9042" w:type="dxa"/>
            <w:gridSpan w:val="3"/>
            <w:tcBorders>
              <w:top w:val="single" w:sz="4" w:space="0" w:color="auto"/>
              <w:bottom w:val="nil"/>
            </w:tcBorders>
            <w:vAlign w:val="center"/>
          </w:tcPr>
          <w:p w:rsidR="00212513" w:rsidRDefault="00212513">
            <w:pPr>
              <w:pStyle w:val="ConsPlusNormal"/>
              <w:jc w:val="center"/>
            </w:pPr>
            <w:r>
              <w:rPr>
                <w:b/>
              </w:rPr>
              <w:t>В конструкциях с арматурой, напрягаемой на упоры</w:t>
            </w:r>
          </w:p>
        </w:tc>
      </w:tr>
      <w:tr w:rsidR="00212513">
        <w:tblPrEx>
          <w:tblBorders>
            <w:insideH w:val="none" w:sz="0" w:space="0" w:color="auto"/>
          </w:tblBorders>
        </w:tblPrEx>
        <w:tc>
          <w:tcPr>
            <w:tcW w:w="5896" w:type="dxa"/>
            <w:tcBorders>
              <w:top w:val="nil"/>
              <w:bottom w:val="nil"/>
            </w:tcBorders>
          </w:tcPr>
          <w:p w:rsidR="00212513" w:rsidRDefault="00212513">
            <w:pPr>
              <w:pStyle w:val="ConsPlusNormal"/>
            </w:pPr>
            <w:r>
              <w:t>1 Между арматурными пучками из параллельных высокопрочных проволок или пучками из канатов К7</w:t>
            </w:r>
          </w:p>
        </w:tc>
        <w:tc>
          <w:tcPr>
            <w:tcW w:w="1020" w:type="dxa"/>
            <w:tcBorders>
              <w:top w:val="nil"/>
              <w:bottom w:val="nil"/>
            </w:tcBorders>
            <w:vAlign w:val="bottom"/>
          </w:tcPr>
          <w:p w:rsidR="00212513" w:rsidRDefault="00212513">
            <w:pPr>
              <w:pStyle w:val="ConsPlusNormal"/>
              <w:jc w:val="center"/>
            </w:pPr>
            <w:r>
              <w:t>6</w:t>
            </w:r>
          </w:p>
        </w:tc>
        <w:tc>
          <w:tcPr>
            <w:tcW w:w="2126" w:type="dxa"/>
            <w:tcBorders>
              <w:top w:val="nil"/>
              <w:bottom w:val="nil"/>
            </w:tcBorders>
            <w:vAlign w:val="bottom"/>
          </w:tcPr>
          <w:p w:rsidR="00212513" w:rsidRDefault="00212513">
            <w:pPr>
              <w:pStyle w:val="ConsPlusNormal"/>
              <w:jc w:val="center"/>
            </w:pPr>
            <w:r>
              <w:rPr>
                <w:i/>
              </w:rPr>
              <w:t>d</w:t>
            </w:r>
          </w:p>
        </w:tc>
      </w:tr>
      <w:tr w:rsidR="00212513">
        <w:tblPrEx>
          <w:tblBorders>
            <w:insideH w:val="none" w:sz="0" w:space="0" w:color="auto"/>
          </w:tblBorders>
        </w:tblPrEx>
        <w:tc>
          <w:tcPr>
            <w:tcW w:w="5896" w:type="dxa"/>
            <w:tcBorders>
              <w:top w:val="nil"/>
              <w:bottom w:val="nil"/>
            </w:tcBorders>
          </w:tcPr>
          <w:p w:rsidR="00212513" w:rsidRDefault="00212513">
            <w:pPr>
              <w:pStyle w:val="ConsPlusNormal"/>
            </w:pPr>
            <w:r>
              <w:t>2 Между арматурными пучками и наружными поверхностями их внутренних анкеров</w:t>
            </w:r>
          </w:p>
        </w:tc>
        <w:tc>
          <w:tcPr>
            <w:tcW w:w="1020" w:type="dxa"/>
            <w:tcBorders>
              <w:top w:val="nil"/>
              <w:bottom w:val="nil"/>
            </w:tcBorders>
            <w:vAlign w:val="bottom"/>
          </w:tcPr>
          <w:p w:rsidR="00212513" w:rsidRDefault="00212513">
            <w:pPr>
              <w:pStyle w:val="ConsPlusNormal"/>
              <w:jc w:val="center"/>
            </w:pPr>
            <w:r>
              <w:t>4</w:t>
            </w:r>
          </w:p>
        </w:tc>
        <w:tc>
          <w:tcPr>
            <w:tcW w:w="2126" w:type="dxa"/>
            <w:tcBorders>
              <w:top w:val="nil"/>
              <w:bottom w:val="nil"/>
            </w:tcBorders>
            <w:vAlign w:val="bottom"/>
          </w:tcPr>
          <w:p w:rsidR="00212513" w:rsidRDefault="00212513">
            <w:pPr>
              <w:pStyle w:val="ConsPlusNormal"/>
              <w:jc w:val="center"/>
            </w:pPr>
            <w:r>
              <w:t>-</w:t>
            </w:r>
          </w:p>
        </w:tc>
      </w:tr>
      <w:tr w:rsidR="00212513">
        <w:tblPrEx>
          <w:tblBorders>
            <w:insideH w:val="none" w:sz="0" w:space="0" w:color="auto"/>
          </w:tblBorders>
        </w:tblPrEx>
        <w:tc>
          <w:tcPr>
            <w:tcW w:w="5896" w:type="dxa"/>
            <w:tcBorders>
              <w:top w:val="nil"/>
              <w:bottom w:val="nil"/>
            </w:tcBorders>
          </w:tcPr>
          <w:p w:rsidR="00212513" w:rsidRDefault="00212513">
            <w:pPr>
              <w:pStyle w:val="ConsPlusNormal"/>
            </w:pPr>
            <w:r>
              <w:t>3 Между наружными поверхностями внутренних анкеров арматурных пучков</w:t>
            </w:r>
          </w:p>
        </w:tc>
        <w:tc>
          <w:tcPr>
            <w:tcW w:w="1020" w:type="dxa"/>
            <w:tcBorders>
              <w:top w:val="nil"/>
              <w:bottom w:val="nil"/>
            </w:tcBorders>
            <w:vAlign w:val="bottom"/>
          </w:tcPr>
          <w:p w:rsidR="00212513" w:rsidRDefault="00212513">
            <w:pPr>
              <w:pStyle w:val="ConsPlusNormal"/>
              <w:jc w:val="center"/>
            </w:pPr>
            <w:r>
              <w:t>3</w:t>
            </w:r>
          </w:p>
        </w:tc>
        <w:tc>
          <w:tcPr>
            <w:tcW w:w="2126" w:type="dxa"/>
            <w:tcBorders>
              <w:top w:val="nil"/>
              <w:bottom w:val="nil"/>
            </w:tcBorders>
            <w:vAlign w:val="bottom"/>
          </w:tcPr>
          <w:p w:rsidR="00212513" w:rsidRDefault="00212513">
            <w:pPr>
              <w:pStyle w:val="ConsPlusNormal"/>
              <w:jc w:val="center"/>
            </w:pPr>
            <w:r>
              <w:t>-</w:t>
            </w:r>
          </w:p>
        </w:tc>
      </w:tr>
      <w:tr w:rsidR="00212513">
        <w:tblPrEx>
          <w:tblBorders>
            <w:insideH w:val="none" w:sz="0" w:space="0" w:color="auto"/>
          </w:tblBorders>
        </w:tblPrEx>
        <w:tc>
          <w:tcPr>
            <w:tcW w:w="5896" w:type="dxa"/>
            <w:tcBorders>
              <w:top w:val="nil"/>
              <w:bottom w:val="nil"/>
            </w:tcBorders>
          </w:tcPr>
          <w:p w:rsidR="00212513" w:rsidRDefault="00212513">
            <w:pPr>
              <w:pStyle w:val="ConsPlusNormal"/>
            </w:pPr>
            <w:r>
              <w:t xml:space="preserve">4 </w:t>
            </w:r>
            <w:hyperlink w:anchor="P5721">
              <w:r>
                <w:rPr>
                  <w:color w:val="0000FF"/>
                </w:rPr>
                <w:t>&lt;*&gt;</w:t>
              </w:r>
            </w:hyperlink>
            <w:r>
              <w:t xml:space="preserve"> Между отдельными арматурными канатами класса К7 при расположении их:</w:t>
            </w:r>
          </w:p>
        </w:tc>
        <w:tc>
          <w:tcPr>
            <w:tcW w:w="1020" w:type="dxa"/>
            <w:tcBorders>
              <w:top w:val="nil"/>
              <w:bottom w:val="nil"/>
            </w:tcBorders>
            <w:vAlign w:val="bottom"/>
          </w:tcPr>
          <w:p w:rsidR="00212513" w:rsidRDefault="00212513">
            <w:pPr>
              <w:pStyle w:val="ConsPlusNormal"/>
            </w:pPr>
          </w:p>
        </w:tc>
        <w:tc>
          <w:tcPr>
            <w:tcW w:w="2126" w:type="dxa"/>
            <w:tcBorders>
              <w:top w:val="nil"/>
              <w:bottom w:val="nil"/>
            </w:tcBorders>
            <w:vAlign w:val="bottom"/>
          </w:tcPr>
          <w:p w:rsidR="00212513" w:rsidRDefault="00212513">
            <w:pPr>
              <w:pStyle w:val="ConsPlusNormal"/>
            </w:pPr>
          </w:p>
        </w:tc>
      </w:tr>
      <w:tr w:rsidR="00212513">
        <w:tblPrEx>
          <w:tblBorders>
            <w:insideH w:val="none" w:sz="0" w:space="0" w:color="auto"/>
          </w:tblBorders>
        </w:tblPrEx>
        <w:tc>
          <w:tcPr>
            <w:tcW w:w="5896" w:type="dxa"/>
            <w:tcBorders>
              <w:top w:val="nil"/>
              <w:bottom w:val="nil"/>
            </w:tcBorders>
          </w:tcPr>
          <w:p w:rsidR="00212513" w:rsidRDefault="00212513">
            <w:pPr>
              <w:pStyle w:val="ConsPlusNormal"/>
              <w:ind w:firstLine="283"/>
              <w:jc w:val="both"/>
            </w:pPr>
            <w:r>
              <w:t>в один ряд</w:t>
            </w:r>
          </w:p>
        </w:tc>
        <w:tc>
          <w:tcPr>
            <w:tcW w:w="1020" w:type="dxa"/>
            <w:tcBorders>
              <w:top w:val="nil"/>
              <w:bottom w:val="nil"/>
            </w:tcBorders>
            <w:vAlign w:val="bottom"/>
          </w:tcPr>
          <w:p w:rsidR="00212513" w:rsidRDefault="00212513">
            <w:pPr>
              <w:pStyle w:val="ConsPlusNormal"/>
              <w:jc w:val="center"/>
            </w:pPr>
            <w:r>
              <w:t>4</w:t>
            </w:r>
          </w:p>
        </w:tc>
        <w:tc>
          <w:tcPr>
            <w:tcW w:w="2126" w:type="dxa"/>
            <w:tcBorders>
              <w:top w:val="nil"/>
              <w:bottom w:val="nil"/>
            </w:tcBorders>
            <w:vAlign w:val="bottom"/>
          </w:tcPr>
          <w:p w:rsidR="00212513" w:rsidRDefault="00212513">
            <w:pPr>
              <w:pStyle w:val="ConsPlusNormal"/>
              <w:jc w:val="center"/>
            </w:pPr>
            <w:r>
              <w:rPr>
                <w:i/>
              </w:rPr>
              <w:t>-</w:t>
            </w:r>
          </w:p>
        </w:tc>
      </w:tr>
      <w:tr w:rsidR="00212513">
        <w:tblPrEx>
          <w:tblBorders>
            <w:insideH w:val="none" w:sz="0" w:space="0" w:color="auto"/>
          </w:tblBorders>
        </w:tblPrEx>
        <w:tc>
          <w:tcPr>
            <w:tcW w:w="5896" w:type="dxa"/>
            <w:tcBorders>
              <w:top w:val="nil"/>
              <w:bottom w:val="nil"/>
            </w:tcBorders>
          </w:tcPr>
          <w:p w:rsidR="00212513" w:rsidRDefault="00212513">
            <w:pPr>
              <w:pStyle w:val="ConsPlusNormal"/>
              <w:ind w:firstLine="283"/>
              <w:jc w:val="both"/>
            </w:pPr>
            <w:r>
              <w:t>в два ряда и более</w:t>
            </w:r>
          </w:p>
        </w:tc>
        <w:tc>
          <w:tcPr>
            <w:tcW w:w="1020" w:type="dxa"/>
            <w:tcBorders>
              <w:top w:val="nil"/>
              <w:bottom w:val="nil"/>
            </w:tcBorders>
            <w:vAlign w:val="bottom"/>
          </w:tcPr>
          <w:p w:rsidR="00212513" w:rsidRDefault="00212513">
            <w:pPr>
              <w:pStyle w:val="ConsPlusNormal"/>
              <w:jc w:val="center"/>
            </w:pPr>
            <w:r>
              <w:t>3,5</w:t>
            </w:r>
          </w:p>
        </w:tc>
        <w:tc>
          <w:tcPr>
            <w:tcW w:w="2126" w:type="dxa"/>
            <w:tcBorders>
              <w:top w:val="nil"/>
              <w:bottom w:val="nil"/>
            </w:tcBorders>
            <w:vAlign w:val="bottom"/>
          </w:tcPr>
          <w:p w:rsidR="00212513" w:rsidRDefault="00212513">
            <w:pPr>
              <w:pStyle w:val="ConsPlusNormal"/>
              <w:jc w:val="center"/>
            </w:pPr>
            <w:r>
              <w:rPr>
                <w:i/>
              </w:rPr>
              <w:t>-</w:t>
            </w:r>
          </w:p>
        </w:tc>
      </w:tr>
      <w:tr w:rsidR="00212513">
        <w:tblPrEx>
          <w:tblBorders>
            <w:insideH w:val="none" w:sz="0" w:space="0" w:color="auto"/>
          </w:tblBorders>
        </w:tblPrEx>
        <w:tc>
          <w:tcPr>
            <w:tcW w:w="5896" w:type="dxa"/>
            <w:tcBorders>
              <w:top w:val="nil"/>
              <w:bottom w:val="nil"/>
            </w:tcBorders>
          </w:tcPr>
          <w:p w:rsidR="00212513" w:rsidRDefault="00212513">
            <w:pPr>
              <w:pStyle w:val="ConsPlusNormal"/>
            </w:pPr>
            <w:r>
              <w:t>5 Расстояние от торца внутреннего анкера до торца бетона</w:t>
            </w:r>
          </w:p>
        </w:tc>
        <w:tc>
          <w:tcPr>
            <w:tcW w:w="1020" w:type="dxa"/>
            <w:tcBorders>
              <w:top w:val="nil"/>
              <w:bottom w:val="nil"/>
            </w:tcBorders>
            <w:vAlign w:val="bottom"/>
          </w:tcPr>
          <w:p w:rsidR="00212513" w:rsidRDefault="00212513">
            <w:pPr>
              <w:pStyle w:val="ConsPlusNormal"/>
              <w:jc w:val="center"/>
            </w:pPr>
            <w:r>
              <w:t>5</w:t>
            </w:r>
          </w:p>
        </w:tc>
        <w:tc>
          <w:tcPr>
            <w:tcW w:w="2126" w:type="dxa"/>
            <w:tcBorders>
              <w:top w:val="nil"/>
              <w:bottom w:val="nil"/>
            </w:tcBorders>
            <w:vAlign w:val="bottom"/>
          </w:tcPr>
          <w:p w:rsidR="00212513" w:rsidRDefault="00212513">
            <w:pPr>
              <w:pStyle w:val="ConsPlusNormal"/>
              <w:jc w:val="center"/>
            </w:pPr>
            <w:r>
              <w:rPr>
                <w:i/>
              </w:rPr>
              <w:t>-</w:t>
            </w:r>
          </w:p>
        </w:tc>
      </w:tr>
      <w:tr w:rsidR="00212513">
        <w:tblPrEx>
          <w:tblBorders>
            <w:insideH w:val="none" w:sz="0" w:space="0" w:color="auto"/>
          </w:tblBorders>
        </w:tblPrEx>
        <w:tc>
          <w:tcPr>
            <w:tcW w:w="9042" w:type="dxa"/>
            <w:gridSpan w:val="3"/>
            <w:tcBorders>
              <w:top w:val="nil"/>
              <w:bottom w:val="nil"/>
            </w:tcBorders>
          </w:tcPr>
          <w:p w:rsidR="00212513" w:rsidRDefault="00212513">
            <w:pPr>
              <w:pStyle w:val="ConsPlusNormal"/>
              <w:jc w:val="center"/>
            </w:pPr>
            <w:r>
              <w:rPr>
                <w:b/>
              </w:rPr>
              <w:t>В конструкциях с арматурой, напрягаемой на бетон</w:t>
            </w:r>
          </w:p>
        </w:tc>
      </w:tr>
      <w:tr w:rsidR="00212513">
        <w:tblPrEx>
          <w:tblBorders>
            <w:insideH w:val="none" w:sz="0" w:space="0" w:color="auto"/>
          </w:tblBorders>
        </w:tblPrEx>
        <w:tc>
          <w:tcPr>
            <w:tcW w:w="5896" w:type="dxa"/>
            <w:tcBorders>
              <w:top w:val="nil"/>
              <w:bottom w:val="nil"/>
            </w:tcBorders>
          </w:tcPr>
          <w:p w:rsidR="00212513" w:rsidRDefault="00212513">
            <w:pPr>
              <w:pStyle w:val="ConsPlusNormal"/>
            </w:pPr>
            <w:r>
              <w:lastRenderedPageBreak/>
              <w:t>6 Между стенками круглых закрытых каналов при диаметрах каналов, см:</w:t>
            </w:r>
          </w:p>
        </w:tc>
        <w:tc>
          <w:tcPr>
            <w:tcW w:w="1020" w:type="dxa"/>
            <w:tcBorders>
              <w:top w:val="nil"/>
              <w:bottom w:val="nil"/>
            </w:tcBorders>
          </w:tcPr>
          <w:p w:rsidR="00212513" w:rsidRDefault="00212513">
            <w:pPr>
              <w:pStyle w:val="ConsPlusNormal"/>
            </w:pPr>
          </w:p>
        </w:tc>
        <w:tc>
          <w:tcPr>
            <w:tcW w:w="2126" w:type="dxa"/>
            <w:tcBorders>
              <w:top w:val="nil"/>
              <w:bottom w:val="nil"/>
            </w:tcBorders>
          </w:tcPr>
          <w:p w:rsidR="00212513" w:rsidRDefault="00212513">
            <w:pPr>
              <w:pStyle w:val="ConsPlusNormal"/>
            </w:pPr>
          </w:p>
        </w:tc>
      </w:tr>
      <w:tr w:rsidR="00212513">
        <w:tblPrEx>
          <w:tblBorders>
            <w:insideH w:val="none" w:sz="0" w:space="0" w:color="auto"/>
          </w:tblBorders>
        </w:tblPrEx>
        <w:tc>
          <w:tcPr>
            <w:tcW w:w="5896" w:type="dxa"/>
            <w:tcBorders>
              <w:top w:val="nil"/>
              <w:bottom w:val="nil"/>
            </w:tcBorders>
          </w:tcPr>
          <w:p w:rsidR="00212513" w:rsidRDefault="00212513">
            <w:pPr>
              <w:pStyle w:val="ConsPlusNormal"/>
              <w:ind w:firstLine="283"/>
              <w:jc w:val="both"/>
            </w:pPr>
            <w:r>
              <w:t>9 и менее</w:t>
            </w:r>
          </w:p>
        </w:tc>
        <w:tc>
          <w:tcPr>
            <w:tcW w:w="1020" w:type="dxa"/>
            <w:tcBorders>
              <w:top w:val="nil"/>
              <w:bottom w:val="nil"/>
            </w:tcBorders>
          </w:tcPr>
          <w:p w:rsidR="00212513" w:rsidRDefault="00212513">
            <w:pPr>
              <w:pStyle w:val="ConsPlusNormal"/>
              <w:jc w:val="center"/>
            </w:pPr>
            <w:r>
              <w:t>6</w:t>
            </w:r>
          </w:p>
        </w:tc>
        <w:tc>
          <w:tcPr>
            <w:tcW w:w="2126" w:type="dxa"/>
            <w:tcBorders>
              <w:top w:val="nil"/>
              <w:bottom w:val="nil"/>
            </w:tcBorders>
          </w:tcPr>
          <w:p w:rsidR="00212513" w:rsidRDefault="00212513">
            <w:pPr>
              <w:pStyle w:val="ConsPlusNormal"/>
              <w:jc w:val="center"/>
            </w:pPr>
            <w:r>
              <w:rPr>
                <w:i/>
              </w:rPr>
              <w:t>d</w:t>
            </w:r>
            <w:r>
              <w:rPr>
                <w:i/>
                <w:vertAlign w:val="subscript"/>
              </w:rPr>
              <w:t>c</w:t>
            </w:r>
            <w:r>
              <w:t xml:space="preserve"> - 1</w:t>
            </w:r>
          </w:p>
        </w:tc>
      </w:tr>
      <w:tr w:rsidR="00212513">
        <w:tblPrEx>
          <w:tblBorders>
            <w:insideH w:val="none" w:sz="0" w:space="0" w:color="auto"/>
          </w:tblBorders>
        </w:tblPrEx>
        <w:tc>
          <w:tcPr>
            <w:tcW w:w="5896" w:type="dxa"/>
            <w:tcBorders>
              <w:top w:val="nil"/>
              <w:bottom w:val="nil"/>
            </w:tcBorders>
          </w:tcPr>
          <w:p w:rsidR="00212513" w:rsidRDefault="00212513">
            <w:pPr>
              <w:pStyle w:val="ConsPlusNonformat"/>
              <w:jc w:val="both"/>
            </w:pPr>
            <w:r>
              <w:t xml:space="preserve">  свыше 9 до 11</w:t>
            </w:r>
          </w:p>
        </w:tc>
        <w:tc>
          <w:tcPr>
            <w:tcW w:w="1020" w:type="dxa"/>
            <w:tcBorders>
              <w:top w:val="nil"/>
              <w:bottom w:val="nil"/>
            </w:tcBorders>
          </w:tcPr>
          <w:p w:rsidR="00212513" w:rsidRDefault="00212513">
            <w:pPr>
              <w:pStyle w:val="ConsPlusNormal"/>
              <w:jc w:val="center"/>
            </w:pPr>
            <w:r>
              <w:t>8</w:t>
            </w:r>
          </w:p>
        </w:tc>
        <w:tc>
          <w:tcPr>
            <w:tcW w:w="2126" w:type="dxa"/>
            <w:tcBorders>
              <w:top w:val="nil"/>
              <w:bottom w:val="nil"/>
            </w:tcBorders>
          </w:tcPr>
          <w:p w:rsidR="00212513" w:rsidRDefault="00212513">
            <w:pPr>
              <w:pStyle w:val="ConsPlusNormal"/>
              <w:jc w:val="center"/>
            </w:pPr>
            <w:r>
              <w:t>-</w:t>
            </w:r>
          </w:p>
        </w:tc>
      </w:tr>
      <w:tr w:rsidR="00212513">
        <w:tblPrEx>
          <w:tblBorders>
            <w:insideH w:val="none" w:sz="0" w:space="0" w:color="auto"/>
          </w:tblBorders>
        </w:tblPrEx>
        <w:tc>
          <w:tcPr>
            <w:tcW w:w="5896" w:type="dxa"/>
            <w:tcBorders>
              <w:top w:val="nil"/>
              <w:bottom w:val="nil"/>
            </w:tcBorders>
          </w:tcPr>
          <w:p w:rsidR="00212513" w:rsidRDefault="00212513">
            <w:pPr>
              <w:pStyle w:val="ConsPlusNonformat"/>
              <w:jc w:val="both"/>
            </w:pPr>
            <w:r>
              <w:t xml:space="preserve">    "  11</w:t>
            </w:r>
          </w:p>
        </w:tc>
        <w:tc>
          <w:tcPr>
            <w:tcW w:w="3146" w:type="dxa"/>
            <w:gridSpan w:val="2"/>
            <w:tcBorders>
              <w:top w:val="nil"/>
              <w:bottom w:val="nil"/>
            </w:tcBorders>
          </w:tcPr>
          <w:p w:rsidR="00212513" w:rsidRDefault="00212513">
            <w:pPr>
              <w:pStyle w:val="ConsPlusNormal"/>
              <w:jc w:val="center"/>
            </w:pPr>
            <w:r>
              <w:t>По расчету</w:t>
            </w:r>
          </w:p>
        </w:tc>
      </w:tr>
      <w:tr w:rsidR="00212513">
        <w:tblPrEx>
          <w:tblBorders>
            <w:insideH w:val="none" w:sz="0" w:space="0" w:color="auto"/>
          </w:tblBorders>
        </w:tblPrEx>
        <w:tc>
          <w:tcPr>
            <w:tcW w:w="5896" w:type="dxa"/>
            <w:tcBorders>
              <w:top w:val="nil"/>
              <w:bottom w:val="nil"/>
            </w:tcBorders>
          </w:tcPr>
          <w:p w:rsidR="00212513" w:rsidRDefault="00212513">
            <w:pPr>
              <w:pStyle w:val="ConsPlusNormal"/>
            </w:pPr>
            <w:r>
              <w:t>7 Между пучками из параллельных высокопрочных проволок, пучками из арматурных канатов класса К7, а также стальными канатами (спиральными, двойной свивки и закрытыми) при расположении их в открытых каналах:</w:t>
            </w:r>
          </w:p>
        </w:tc>
        <w:tc>
          <w:tcPr>
            <w:tcW w:w="1020" w:type="dxa"/>
            <w:tcBorders>
              <w:top w:val="nil"/>
              <w:bottom w:val="nil"/>
            </w:tcBorders>
          </w:tcPr>
          <w:p w:rsidR="00212513" w:rsidRDefault="00212513">
            <w:pPr>
              <w:pStyle w:val="ConsPlusNormal"/>
            </w:pPr>
          </w:p>
        </w:tc>
        <w:tc>
          <w:tcPr>
            <w:tcW w:w="2126" w:type="dxa"/>
            <w:tcBorders>
              <w:top w:val="nil"/>
              <w:bottom w:val="nil"/>
            </w:tcBorders>
          </w:tcPr>
          <w:p w:rsidR="00212513" w:rsidRDefault="00212513">
            <w:pPr>
              <w:pStyle w:val="ConsPlusNormal"/>
            </w:pPr>
          </w:p>
        </w:tc>
      </w:tr>
      <w:tr w:rsidR="00212513">
        <w:tblPrEx>
          <w:tblBorders>
            <w:insideH w:val="none" w:sz="0" w:space="0" w:color="auto"/>
          </w:tblBorders>
        </w:tblPrEx>
        <w:tc>
          <w:tcPr>
            <w:tcW w:w="5896" w:type="dxa"/>
            <w:tcBorders>
              <w:top w:val="nil"/>
              <w:bottom w:val="nil"/>
            </w:tcBorders>
          </w:tcPr>
          <w:p w:rsidR="00212513" w:rsidRDefault="00212513">
            <w:pPr>
              <w:pStyle w:val="ConsPlusNormal"/>
              <w:ind w:firstLine="283"/>
              <w:jc w:val="both"/>
            </w:pPr>
            <w:r>
              <w:t>в один ряд</w:t>
            </w:r>
          </w:p>
        </w:tc>
        <w:tc>
          <w:tcPr>
            <w:tcW w:w="1020" w:type="dxa"/>
            <w:tcBorders>
              <w:top w:val="nil"/>
              <w:bottom w:val="nil"/>
            </w:tcBorders>
          </w:tcPr>
          <w:p w:rsidR="00212513" w:rsidRDefault="00212513">
            <w:pPr>
              <w:pStyle w:val="ConsPlusNormal"/>
              <w:jc w:val="center"/>
            </w:pPr>
            <w:r>
              <w:t>3</w:t>
            </w:r>
          </w:p>
        </w:tc>
        <w:tc>
          <w:tcPr>
            <w:tcW w:w="2126" w:type="dxa"/>
            <w:tcBorders>
              <w:top w:val="nil"/>
              <w:bottom w:val="nil"/>
            </w:tcBorders>
          </w:tcPr>
          <w:p w:rsidR="00212513" w:rsidRDefault="00212513">
            <w:pPr>
              <w:pStyle w:val="ConsPlusNormal"/>
              <w:jc w:val="center"/>
            </w:pPr>
            <w:r>
              <w:t>-</w:t>
            </w:r>
          </w:p>
        </w:tc>
      </w:tr>
      <w:tr w:rsidR="00212513">
        <w:tblPrEx>
          <w:tblBorders>
            <w:insideH w:val="none" w:sz="0" w:space="0" w:color="auto"/>
          </w:tblBorders>
        </w:tblPrEx>
        <w:tc>
          <w:tcPr>
            <w:tcW w:w="5896" w:type="dxa"/>
            <w:tcBorders>
              <w:top w:val="nil"/>
              <w:bottom w:val="nil"/>
            </w:tcBorders>
          </w:tcPr>
          <w:p w:rsidR="00212513" w:rsidRDefault="00212513">
            <w:pPr>
              <w:pStyle w:val="ConsPlusNormal"/>
              <w:ind w:firstLine="283"/>
              <w:jc w:val="both"/>
            </w:pPr>
            <w:r>
              <w:t>в два ряда</w:t>
            </w:r>
          </w:p>
        </w:tc>
        <w:tc>
          <w:tcPr>
            <w:tcW w:w="1020" w:type="dxa"/>
            <w:tcBorders>
              <w:top w:val="nil"/>
              <w:bottom w:val="nil"/>
            </w:tcBorders>
          </w:tcPr>
          <w:p w:rsidR="00212513" w:rsidRDefault="00212513">
            <w:pPr>
              <w:pStyle w:val="ConsPlusNormal"/>
              <w:jc w:val="center"/>
            </w:pPr>
            <w:r>
              <w:t>4</w:t>
            </w:r>
          </w:p>
        </w:tc>
        <w:tc>
          <w:tcPr>
            <w:tcW w:w="2126" w:type="dxa"/>
            <w:tcBorders>
              <w:top w:val="nil"/>
              <w:bottom w:val="nil"/>
            </w:tcBorders>
          </w:tcPr>
          <w:p w:rsidR="00212513" w:rsidRDefault="00212513">
            <w:pPr>
              <w:pStyle w:val="ConsPlusNormal"/>
              <w:jc w:val="center"/>
            </w:pPr>
            <w:r>
              <w:t>-</w:t>
            </w:r>
          </w:p>
        </w:tc>
      </w:tr>
      <w:tr w:rsidR="00212513">
        <w:tblPrEx>
          <w:tblBorders>
            <w:insideH w:val="none" w:sz="0" w:space="0" w:color="auto"/>
          </w:tblBorders>
        </w:tblPrEx>
        <w:tc>
          <w:tcPr>
            <w:tcW w:w="5896" w:type="dxa"/>
            <w:tcBorders>
              <w:top w:val="nil"/>
              <w:bottom w:val="nil"/>
            </w:tcBorders>
          </w:tcPr>
          <w:p w:rsidR="00212513" w:rsidRDefault="00212513">
            <w:pPr>
              <w:pStyle w:val="ConsPlusNormal"/>
            </w:pPr>
            <w:r>
              <w:t>8 Между стенками каналов с одиночными стержнями, напрягаемыми электротермическим способом, при каналах:</w:t>
            </w:r>
          </w:p>
        </w:tc>
        <w:tc>
          <w:tcPr>
            <w:tcW w:w="1020" w:type="dxa"/>
            <w:tcBorders>
              <w:top w:val="nil"/>
              <w:bottom w:val="nil"/>
            </w:tcBorders>
          </w:tcPr>
          <w:p w:rsidR="00212513" w:rsidRDefault="00212513">
            <w:pPr>
              <w:pStyle w:val="ConsPlusNormal"/>
            </w:pPr>
          </w:p>
        </w:tc>
        <w:tc>
          <w:tcPr>
            <w:tcW w:w="2126" w:type="dxa"/>
            <w:tcBorders>
              <w:top w:val="nil"/>
              <w:bottom w:val="nil"/>
            </w:tcBorders>
          </w:tcPr>
          <w:p w:rsidR="00212513" w:rsidRDefault="00212513">
            <w:pPr>
              <w:pStyle w:val="ConsPlusNormal"/>
            </w:pPr>
          </w:p>
        </w:tc>
      </w:tr>
      <w:tr w:rsidR="00212513">
        <w:tblPrEx>
          <w:tblBorders>
            <w:insideH w:val="none" w:sz="0" w:space="0" w:color="auto"/>
          </w:tblBorders>
        </w:tblPrEx>
        <w:tc>
          <w:tcPr>
            <w:tcW w:w="5896" w:type="dxa"/>
            <w:tcBorders>
              <w:top w:val="nil"/>
              <w:bottom w:val="nil"/>
            </w:tcBorders>
          </w:tcPr>
          <w:p w:rsidR="00212513" w:rsidRDefault="00212513">
            <w:pPr>
              <w:pStyle w:val="ConsPlusNormal"/>
              <w:ind w:firstLine="283"/>
            </w:pPr>
            <w:r>
              <w:t>закрытых</w:t>
            </w:r>
          </w:p>
        </w:tc>
        <w:tc>
          <w:tcPr>
            <w:tcW w:w="1020" w:type="dxa"/>
            <w:tcBorders>
              <w:top w:val="nil"/>
              <w:bottom w:val="nil"/>
            </w:tcBorders>
          </w:tcPr>
          <w:p w:rsidR="00212513" w:rsidRDefault="00212513">
            <w:pPr>
              <w:pStyle w:val="ConsPlusNormal"/>
              <w:jc w:val="center"/>
            </w:pPr>
            <w:r>
              <w:t>10</w:t>
            </w:r>
          </w:p>
        </w:tc>
        <w:tc>
          <w:tcPr>
            <w:tcW w:w="2126" w:type="dxa"/>
            <w:tcBorders>
              <w:top w:val="nil"/>
              <w:bottom w:val="nil"/>
            </w:tcBorders>
          </w:tcPr>
          <w:p w:rsidR="00212513" w:rsidRDefault="00212513">
            <w:pPr>
              <w:pStyle w:val="ConsPlusNormal"/>
              <w:jc w:val="center"/>
            </w:pPr>
            <w:r>
              <w:t>-</w:t>
            </w:r>
          </w:p>
        </w:tc>
      </w:tr>
      <w:tr w:rsidR="00212513">
        <w:tblPrEx>
          <w:tblBorders>
            <w:insideH w:val="none" w:sz="0" w:space="0" w:color="auto"/>
          </w:tblBorders>
        </w:tblPrEx>
        <w:tc>
          <w:tcPr>
            <w:tcW w:w="5896" w:type="dxa"/>
            <w:tcBorders>
              <w:top w:val="nil"/>
              <w:bottom w:val="single" w:sz="4" w:space="0" w:color="auto"/>
            </w:tcBorders>
          </w:tcPr>
          <w:p w:rsidR="00212513" w:rsidRDefault="00212513">
            <w:pPr>
              <w:pStyle w:val="ConsPlusNormal"/>
              <w:ind w:firstLine="283"/>
            </w:pPr>
            <w:r>
              <w:t>открытых</w:t>
            </w:r>
          </w:p>
        </w:tc>
        <w:tc>
          <w:tcPr>
            <w:tcW w:w="1020" w:type="dxa"/>
            <w:tcBorders>
              <w:top w:val="nil"/>
              <w:bottom w:val="single" w:sz="4" w:space="0" w:color="auto"/>
            </w:tcBorders>
          </w:tcPr>
          <w:p w:rsidR="00212513" w:rsidRDefault="00212513">
            <w:pPr>
              <w:pStyle w:val="ConsPlusNormal"/>
              <w:jc w:val="center"/>
            </w:pPr>
            <w:r>
              <w:t>13</w:t>
            </w:r>
          </w:p>
        </w:tc>
        <w:tc>
          <w:tcPr>
            <w:tcW w:w="2126" w:type="dxa"/>
            <w:tcBorders>
              <w:top w:val="nil"/>
              <w:bottom w:val="single" w:sz="4" w:space="0" w:color="auto"/>
            </w:tcBorders>
          </w:tcPr>
          <w:p w:rsidR="00212513" w:rsidRDefault="00212513">
            <w:pPr>
              <w:pStyle w:val="ConsPlusNormal"/>
              <w:jc w:val="center"/>
            </w:pPr>
            <w:r>
              <w:t>-</w:t>
            </w:r>
          </w:p>
        </w:tc>
      </w:tr>
      <w:tr w:rsidR="00212513">
        <w:tc>
          <w:tcPr>
            <w:tcW w:w="9042" w:type="dxa"/>
            <w:gridSpan w:val="3"/>
            <w:tcBorders>
              <w:top w:val="single" w:sz="4" w:space="0" w:color="auto"/>
              <w:bottom w:val="single" w:sz="4" w:space="0" w:color="auto"/>
            </w:tcBorders>
          </w:tcPr>
          <w:p w:rsidR="00212513" w:rsidRDefault="00212513">
            <w:pPr>
              <w:pStyle w:val="ConsPlusNormal"/>
              <w:ind w:firstLine="283"/>
              <w:jc w:val="both"/>
            </w:pPr>
            <w:bookmarkStart w:id="248" w:name="P5721"/>
            <w:bookmarkEnd w:id="248"/>
            <w:r>
              <w:t>&lt;*&gt; Если при натяжении на упоры один или оба элемента имеют изоляцию, допустимое расстояние между ними уменьшается на 0,5 см.</w:t>
            </w:r>
          </w:p>
        </w:tc>
      </w:tr>
    </w:tbl>
    <w:p w:rsidR="00212513" w:rsidRDefault="00212513">
      <w:pPr>
        <w:pStyle w:val="ConsPlusNormal"/>
        <w:ind w:firstLine="540"/>
        <w:jc w:val="both"/>
      </w:pPr>
    </w:p>
    <w:p w:rsidR="00212513" w:rsidRDefault="00212513">
      <w:pPr>
        <w:pStyle w:val="ConsPlusNormal"/>
        <w:ind w:firstLine="540"/>
        <w:jc w:val="both"/>
      </w:pPr>
      <w:r>
        <w:t>При смешанном армировании минимальное расстояние между ненапрягаемым арматурным стержнем и арматурным пучком или стенкой закрытого канала следует принимать не менее 3 см при условии ограничения размера максимальной фракции крупного заполнителя бетона.</w:t>
      </w:r>
    </w:p>
    <w:p w:rsidR="00212513" w:rsidRDefault="00212513">
      <w:pPr>
        <w:pStyle w:val="ConsPlusNormal"/>
        <w:jc w:val="both"/>
      </w:pPr>
      <w:r>
        <w:t xml:space="preserve">(в ред. </w:t>
      </w:r>
      <w:hyperlink r:id="rId1315">
        <w:r>
          <w:rPr>
            <w:color w:val="0000FF"/>
          </w:rPr>
          <w:t>Изменения N 4</w:t>
        </w:r>
      </w:hyperlink>
      <w:r>
        <w:t>, утв. Приказом Минстроя России от 30.05.2024 N 361/пр)</w:t>
      </w:r>
    </w:p>
    <w:p w:rsidR="00212513" w:rsidRDefault="00212513">
      <w:pPr>
        <w:pStyle w:val="ConsPlusNormal"/>
        <w:ind w:firstLine="540"/>
        <w:jc w:val="both"/>
      </w:pPr>
    </w:p>
    <w:p w:rsidR="00212513" w:rsidRDefault="00212513">
      <w:pPr>
        <w:pStyle w:val="ConsPlusTitle"/>
        <w:ind w:firstLine="540"/>
        <w:jc w:val="both"/>
        <w:outlineLvl w:val="3"/>
      </w:pPr>
      <w:r>
        <w:t>Анкеровка ненапрягаемой арматуры</w:t>
      </w:r>
    </w:p>
    <w:p w:rsidR="00212513" w:rsidRDefault="00212513">
      <w:pPr>
        <w:pStyle w:val="ConsPlusNormal"/>
        <w:ind w:firstLine="540"/>
        <w:jc w:val="both"/>
      </w:pPr>
    </w:p>
    <w:p w:rsidR="00212513" w:rsidRDefault="00212513">
      <w:pPr>
        <w:pStyle w:val="ConsPlusNormal"/>
        <w:ind w:firstLine="540"/>
        <w:jc w:val="both"/>
      </w:pPr>
      <w:bookmarkStart w:id="249" w:name="P5728"/>
      <w:bookmarkEnd w:id="249"/>
      <w:r>
        <w:t>7.124 Арматурные стержни периодического профиля, а также стержни гладкого профиля в сварных сетках и каркасах допускается применять без крюков на концах.</w:t>
      </w:r>
    </w:p>
    <w:p w:rsidR="00212513" w:rsidRDefault="00212513">
      <w:pPr>
        <w:pStyle w:val="ConsPlusNormal"/>
        <w:spacing w:before="220"/>
        <w:ind w:firstLine="540"/>
        <w:jc w:val="both"/>
      </w:pPr>
      <w:r>
        <w:t>Растянутые рабочие стержни арматуры гладкого профиля, а также гладкие рабочие стержни в вязаных сетках и каркасах должны иметь на концах полукруглые крюки с внутренним диаметром не менее 2,5 диаметра стержня и длиной прямолинейного участка после отгиба не менее трех диаметров стержня.</w:t>
      </w:r>
    </w:p>
    <w:p w:rsidR="00212513" w:rsidRDefault="00212513">
      <w:pPr>
        <w:pStyle w:val="ConsPlusNormal"/>
        <w:spacing w:before="220"/>
        <w:ind w:firstLine="540"/>
        <w:jc w:val="both"/>
      </w:pPr>
      <w:r>
        <w:t xml:space="preserve">7.125 Абзац исключен с 4 июня 2017 года. - </w:t>
      </w:r>
      <w:hyperlink r:id="rId1316">
        <w:r>
          <w:rPr>
            <w:color w:val="0000FF"/>
          </w:rPr>
          <w:t>Изменение N 1</w:t>
        </w:r>
      </w:hyperlink>
      <w:r>
        <w:t>, утв. Приказом Минстроя России от 03.12.2016 N 879/пр.</w:t>
      </w:r>
    </w:p>
    <w:p w:rsidR="00212513" w:rsidRDefault="00212513">
      <w:pPr>
        <w:pStyle w:val="ConsPlusNormal"/>
        <w:spacing w:before="220"/>
        <w:ind w:firstLine="540"/>
        <w:jc w:val="both"/>
      </w:pPr>
      <w:r>
        <w:t>Гладкие стержни, заводимые посредством отгибов в сжатую зону, следует заканчивать прямыми крюками, имеющими после загиба прямые участки длиной не менее трех диаметров арматуры.</w:t>
      </w:r>
    </w:p>
    <w:p w:rsidR="00212513" w:rsidRDefault="00212513">
      <w:pPr>
        <w:pStyle w:val="ConsPlusNormal"/>
        <w:spacing w:before="220"/>
        <w:ind w:firstLine="540"/>
        <w:jc w:val="both"/>
      </w:pPr>
      <w:r>
        <w:t>7.126 Начало отгибов продольных растянутых стержней арматуры периодического профиля в изгибаемых элементах или обрыв (начало анкеровки) таких стержней следует располагать за сечением, в котором стержни не учитывают по расчету.</w:t>
      </w:r>
    </w:p>
    <w:p w:rsidR="00212513" w:rsidRDefault="00212513">
      <w:pPr>
        <w:pStyle w:val="ConsPlusNormal"/>
        <w:jc w:val="both"/>
      </w:pPr>
      <w:r>
        <w:t xml:space="preserve">(в ред. </w:t>
      </w:r>
      <w:hyperlink r:id="rId1317">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lastRenderedPageBreak/>
        <w:t xml:space="preserve">Длина заводки стержня за сечение (длина заделки </w:t>
      </w:r>
      <w:r>
        <w:rPr>
          <w:i/>
        </w:rPr>
        <w:t>l</w:t>
      </w:r>
      <w:r>
        <w:rPr>
          <w:i/>
          <w:vertAlign w:val="subscript"/>
        </w:rPr>
        <w:t>s</w:t>
      </w:r>
      <w:r>
        <w:t>) для арматурных сталей класса А300 должна составлять не менее:</w:t>
      </w:r>
    </w:p>
    <w:p w:rsidR="00212513" w:rsidRDefault="00212513">
      <w:pPr>
        <w:pStyle w:val="ConsPlusNormal"/>
        <w:spacing w:before="220"/>
        <w:ind w:firstLine="540"/>
        <w:jc w:val="both"/>
      </w:pPr>
      <w:r>
        <w:t>25</w:t>
      </w:r>
      <w:r>
        <w:rPr>
          <w:i/>
        </w:rPr>
        <w:t>d</w:t>
      </w:r>
      <w:r>
        <w:t xml:space="preserve"> - при классе бетона B30 и выше;</w:t>
      </w:r>
    </w:p>
    <w:p w:rsidR="00212513" w:rsidRDefault="00212513">
      <w:pPr>
        <w:pStyle w:val="ConsPlusNormal"/>
        <w:spacing w:before="220"/>
        <w:ind w:firstLine="540"/>
        <w:jc w:val="both"/>
      </w:pPr>
      <w:r>
        <w:t>30</w:t>
      </w:r>
      <w:r>
        <w:rPr>
          <w:i/>
        </w:rPr>
        <w:t>d</w:t>
      </w:r>
      <w:r>
        <w:t xml:space="preserve"> - при классах бетона B20 - B27,5 (</w:t>
      </w:r>
      <w:r>
        <w:rPr>
          <w:i/>
        </w:rPr>
        <w:t>d</w:t>
      </w:r>
      <w:r>
        <w:t xml:space="preserve"> - диаметр стержня).</w:t>
      </w:r>
    </w:p>
    <w:p w:rsidR="00212513" w:rsidRDefault="00212513">
      <w:pPr>
        <w:pStyle w:val="ConsPlusNormal"/>
        <w:spacing w:before="220"/>
        <w:ind w:firstLine="540"/>
        <w:jc w:val="both"/>
      </w:pPr>
      <w:r>
        <w:t xml:space="preserve">Для арматурных сталей класса А400 и выше длину заделки </w:t>
      </w:r>
      <w:r>
        <w:rPr>
          <w:i/>
        </w:rPr>
        <w:t>l</w:t>
      </w:r>
      <w:r>
        <w:rPr>
          <w:i/>
          <w:vertAlign w:val="subscript"/>
        </w:rPr>
        <w:t>s</w:t>
      </w:r>
      <w:r>
        <w:t xml:space="preserve"> следует соответственно увеличивать на 4</w:t>
      </w:r>
      <w:r>
        <w:rPr>
          <w:i/>
        </w:rPr>
        <w:t>d</w:t>
      </w:r>
      <w:r>
        <w:t xml:space="preserve">. При пучке стержней </w:t>
      </w:r>
      <w:r>
        <w:rPr>
          <w:i/>
        </w:rPr>
        <w:t>d</w:t>
      </w:r>
      <w:r>
        <w:t xml:space="preserve"> определяется как диаметр условного стержня с площадью, равной суммарной площади стержней, образующих пучок.</w:t>
      </w:r>
    </w:p>
    <w:p w:rsidR="00212513" w:rsidRDefault="00212513">
      <w:pPr>
        <w:pStyle w:val="ConsPlusNormal"/>
        <w:spacing w:before="220"/>
        <w:ind w:firstLine="540"/>
        <w:jc w:val="both"/>
      </w:pPr>
      <w:r>
        <w:t>В целях уменьшения длины заделки разрешается применение анкеров, обеспечивающих передачу усилия с арматурного стержня на бетон. При этом должна быть обеспечена прочность бетона в зоне конструкции, примыкающей к анкеру.</w:t>
      </w:r>
    </w:p>
    <w:p w:rsidR="00212513" w:rsidRDefault="00212513">
      <w:pPr>
        <w:pStyle w:val="ConsPlusNormal"/>
        <w:jc w:val="both"/>
      </w:pPr>
      <w:r>
        <w:t xml:space="preserve">(п. 7.126 в ред. </w:t>
      </w:r>
      <w:hyperlink r:id="rId1318">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bookmarkStart w:id="250" w:name="P5740"/>
      <w:bookmarkEnd w:id="250"/>
      <w:r>
        <w:t>7.127 В разрезных балках и на концевых участках неразрезных балок заводимые за ось опорной части растянутые стержни продольной арматуры должны иметь прямые участки длиной не менее 8 диаметров стержня. Кроме того, крайние стержни, примыкающие к боковым поверхностям балки, должны быть отогнуты у торца под углом 90° и продолжены вверх до половины высоты балки.</w:t>
      </w:r>
    </w:p>
    <w:p w:rsidR="00212513" w:rsidRDefault="00212513">
      <w:pPr>
        <w:pStyle w:val="ConsPlusNormal"/>
        <w:spacing w:before="220"/>
        <w:ind w:firstLine="540"/>
        <w:jc w:val="both"/>
      </w:pPr>
      <w:r>
        <w:t>Необходимо обеспечить расстояние от торца балки до оси опирания, равное не менее 30 см, и до края опорной плиты - не менее 15 см.</w:t>
      </w:r>
    </w:p>
    <w:p w:rsidR="00212513" w:rsidRDefault="00212513">
      <w:pPr>
        <w:pStyle w:val="ConsPlusNormal"/>
        <w:spacing w:before="220"/>
        <w:ind w:firstLine="540"/>
        <w:jc w:val="both"/>
      </w:pPr>
      <w:r>
        <w:t>Монтажные вертикальные и горизонтальные стержни, используемые для образования объемных каркасов, должны обеспечивать жесткость каркаса как в процессе армирования конструкции, так и в процессе ее бетонирования.</w:t>
      </w:r>
    </w:p>
    <w:p w:rsidR="00212513" w:rsidRDefault="00212513">
      <w:pPr>
        <w:pStyle w:val="ConsPlusNormal"/>
        <w:jc w:val="both"/>
      </w:pPr>
      <w:r>
        <w:t xml:space="preserve">(абзац введен </w:t>
      </w:r>
      <w:hyperlink r:id="rId1319">
        <w:r>
          <w:rPr>
            <w:color w:val="0000FF"/>
          </w:rPr>
          <w:t>Изменением N 1</w:t>
        </w:r>
      </w:hyperlink>
      <w:r>
        <w:t>, утв. Приказом Минстроя России от 03.12.2016 N 879/пр)</w:t>
      </w:r>
    </w:p>
    <w:p w:rsidR="00212513" w:rsidRDefault="00212513">
      <w:pPr>
        <w:pStyle w:val="ConsPlusNormal"/>
        <w:spacing w:before="220"/>
        <w:ind w:firstLine="540"/>
        <w:jc w:val="both"/>
      </w:pPr>
      <w:r>
        <w:t xml:space="preserve">7.128 Перегибы растянутых стержней продольной арматуры по очертанию входящих углов, образующихся при переломе поверхности элемента, допускаются при условии устройства анкеров, воспринимающих отрывающие бетон усилия. Стержни продольной арматуры, расположенные вдоль плоскостей, образующих угол перелома, должны быть продолжены за точку их пересечения с обеспечением их анкеровки согласно требованиям </w:t>
      </w:r>
      <w:hyperlink w:anchor="P5728">
        <w:r>
          <w:rPr>
            <w:color w:val="0000FF"/>
          </w:rPr>
          <w:t>7.124</w:t>
        </w:r>
      </w:hyperlink>
      <w:r>
        <w:t xml:space="preserve"> - </w:t>
      </w:r>
      <w:hyperlink w:anchor="P5740">
        <w:r>
          <w:rPr>
            <w:color w:val="0000FF"/>
          </w:rPr>
          <w:t>7.127</w:t>
        </w:r>
      </w:hyperlink>
      <w:r>
        <w:t>.</w:t>
      </w:r>
    </w:p>
    <w:p w:rsidR="00212513" w:rsidRDefault="00212513">
      <w:pPr>
        <w:pStyle w:val="ConsPlusNormal"/>
        <w:jc w:val="both"/>
      </w:pPr>
      <w:r>
        <w:t xml:space="preserve">(в ред. </w:t>
      </w:r>
      <w:hyperlink r:id="rId1320">
        <w:r>
          <w:rPr>
            <w:color w:val="0000FF"/>
          </w:rPr>
          <w:t>Изменения N 1</w:t>
        </w:r>
      </w:hyperlink>
      <w:r>
        <w:t xml:space="preserve">, утв. Приказом Минстроя России от 03.12.2016 N 879/пр, </w:t>
      </w:r>
      <w:hyperlink r:id="rId1321">
        <w:r>
          <w:rPr>
            <w:color w:val="0000FF"/>
          </w:rPr>
          <w:t>Изменения N 4</w:t>
        </w:r>
      </w:hyperlink>
      <w:r>
        <w:t>, утв. Приказом Минстроя России от 30.05.2024 N 361/пр)</w:t>
      </w:r>
    </w:p>
    <w:p w:rsidR="00212513" w:rsidRDefault="00212513">
      <w:pPr>
        <w:pStyle w:val="ConsPlusNormal"/>
        <w:ind w:firstLine="540"/>
        <w:jc w:val="both"/>
      </w:pPr>
    </w:p>
    <w:p w:rsidR="00212513" w:rsidRDefault="00212513">
      <w:pPr>
        <w:pStyle w:val="ConsPlusTitle"/>
        <w:ind w:firstLine="540"/>
        <w:jc w:val="both"/>
        <w:outlineLvl w:val="3"/>
      </w:pPr>
      <w:r>
        <w:t>Анкеровка напрягаемой арматуры</w:t>
      </w:r>
    </w:p>
    <w:p w:rsidR="00212513" w:rsidRDefault="00212513">
      <w:pPr>
        <w:pStyle w:val="ConsPlusNormal"/>
        <w:ind w:firstLine="540"/>
        <w:jc w:val="both"/>
      </w:pPr>
    </w:p>
    <w:p w:rsidR="00212513" w:rsidRDefault="00212513">
      <w:pPr>
        <w:pStyle w:val="ConsPlusNormal"/>
        <w:ind w:firstLine="540"/>
        <w:jc w:val="both"/>
      </w:pPr>
      <w:r>
        <w:t>7.129 При применении в конструкциях арматуры из стержней периодического профиля диаметром до 36 мм, напрягаемой на упоры, устройство анкеров на стержнях не требуется.</w:t>
      </w:r>
    </w:p>
    <w:p w:rsidR="00212513" w:rsidRDefault="00212513">
      <w:pPr>
        <w:pStyle w:val="ConsPlusNormal"/>
        <w:spacing w:before="220"/>
        <w:ind w:firstLine="540"/>
        <w:jc w:val="both"/>
      </w:pPr>
      <w:r>
        <w:t>В элементах с арматурой, рассчитываемой на выносливость, вся арматура (за исключением указанной выше) должна иметь внутренние или наружные (концевые) анкеры.</w:t>
      </w:r>
    </w:p>
    <w:p w:rsidR="00212513" w:rsidRDefault="00212513">
      <w:pPr>
        <w:pStyle w:val="ConsPlusNormal"/>
        <w:spacing w:before="220"/>
        <w:ind w:firstLine="540"/>
        <w:jc w:val="both"/>
      </w:pPr>
      <w:r>
        <w:t xml:space="preserve">В элементах, напрягаемых на упоры, с арматурой, не рассчитываемой на выносливость, допускается применять без устройства анкеров (внутренних и наружных) отдельные высокопрочные проволоки периодического профиля и арматурные канаты класса К7, а также пучки не более чем из четырех канатов класса К7 по </w:t>
      </w:r>
      <w:hyperlink r:id="rId1322">
        <w:r>
          <w:rPr>
            <w:color w:val="0000FF"/>
          </w:rPr>
          <w:t>ГОСТ 13840</w:t>
        </w:r>
      </w:hyperlink>
      <w:r>
        <w:t>.</w:t>
      </w:r>
    </w:p>
    <w:p w:rsidR="00212513" w:rsidRDefault="00212513">
      <w:pPr>
        <w:pStyle w:val="ConsPlusNormal"/>
        <w:jc w:val="both"/>
      </w:pPr>
      <w:r>
        <w:t xml:space="preserve">(в ред. </w:t>
      </w:r>
      <w:hyperlink r:id="rId1323">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t>Прочность анкеров, соединительных муфт, опорных конструкций, анкерных зон бетона (армируемых косвенной арматурой) в конструкциях с натяжением на бетон должна составлять не менее 95% прочности арматурных элементов, закрепляемых анкерами.</w:t>
      </w:r>
    </w:p>
    <w:p w:rsidR="00212513" w:rsidRDefault="00212513">
      <w:pPr>
        <w:pStyle w:val="ConsPlusNormal"/>
        <w:jc w:val="both"/>
      </w:pPr>
      <w:r>
        <w:t xml:space="preserve">(в ред. </w:t>
      </w:r>
      <w:hyperlink r:id="rId1324">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lastRenderedPageBreak/>
        <w:t>7.130 В изгибаемых элементах следует избегать расположения анкеров арматуры в зонах бетона, где главные растягивающие и сжимающие напряжения составляют - свыше 90% предельных значений, установленных для этих напряжений.</w:t>
      </w:r>
    </w:p>
    <w:p w:rsidR="00212513" w:rsidRDefault="00212513">
      <w:pPr>
        <w:pStyle w:val="ConsPlusNormal"/>
        <w:spacing w:before="220"/>
        <w:ind w:firstLine="540"/>
        <w:jc w:val="both"/>
      </w:pPr>
      <w:r>
        <w:t>7.131 Наружные (концевые) анкеры на торцевой поверхности балок следует располагать, как правило, равномерно.</w:t>
      </w:r>
    </w:p>
    <w:p w:rsidR="00212513" w:rsidRDefault="00212513">
      <w:pPr>
        <w:pStyle w:val="ConsPlusNormal"/>
        <w:spacing w:before="220"/>
        <w:ind w:firstLine="540"/>
        <w:jc w:val="both"/>
      </w:pPr>
      <w:r>
        <w:t>7.132 В элементах с натяжением арматуры на бетон зону обетонирования наружных анкеров следует армировать поперечными сетками из стержней периодического профиля диаметром не менее 10 мм. Необходимо принимать меры по обеспечению связи бетона омоноличивания и бетона основной конструкции.</w:t>
      </w:r>
    </w:p>
    <w:p w:rsidR="00212513" w:rsidRDefault="00212513">
      <w:pPr>
        <w:pStyle w:val="ConsPlusNormal"/>
        <w:ind w:firstLine="540"/>
        <w:jc w:val="both"/>
      </w:pPr>
    </w:p>
    <w:p w:rsidR="00212513" w:rsidRDefault="00212513">
      <w:pPr>
        <w:pStyle w:val="ConsPlusTitle"/>
        <w:ind w:firstLine="540"/>
        <w:jc w:val="both"/>
        <w:outlineLvl w:val="3"/>
      </w:pPr>
      <w:r>
        <w:t>Продольное армирование элементов</w:t>
      </w:r>
    </w:p>
    <w:p w:rsidR="00212513" w:rsidRDefault="00212513">
      <w:pPr>
        <w:pStyle w:val="ConsPlusNormal"/>
        <w:ind w:firstLine="540"/>
        <w:jc w:val="both"/>
      </w:pPr>
    </w:p>
    <w:p w:rsidR="00212513" w:rsidRDefault="00212513">
      <w:pPr>
        <w:pStyle w:val="ConsPlusNormal"/>
        <w:ind w:firstLine="540"/>
        <w:jc w:val="both"/>
      </w:pPr>
      <w:bookmarkStart w:id="251" w:name="P5761"/>
      <w:bookmarkEnd w:id="251"/>
      <w:r>
        <w:t>7.133 В сварных арматурных каркасах арматура располагается группами, не более трех стержней в каждой. Стержни в группе объединяются между собой сварными односторонними связующими швами. Длина связующих швов между стержнями должна быть не менее 4 диаметров, а их толщина - не более 4 мм. Зазоры между группами стержней образуются постановкой продольных коротышей диаметром не менее 25 мм. Коротыши устанавливаются перед отгибами, не более чем через 2,5 м по длине, вразбежку по отношению друг к другу. Они привариваются к рабочей арматуре односторонними связующими швами толщиной не более 4 мм и длиной не менее двух диаметров рабочей арматуры.</w:t>
      </w:r>
    </w:p>
    <w:p w:rsidR="00212513" w:rsidRDefault="00212513">
      <w:pPr>
        <w:pStyle w:val="ConsPlusNormal"/>
        <w:spacing w:before="220"/>
        <w:ind w:firstLine="540"/>
        <w:jc w:val="both"/>
      </w:pPr>
      <w:r>
        <w:t>Связующие сварные швы между стержнями в группе располагаются вразбежку по отношению к коротышам и смежным связующим швам так, чтобы расстояние в свету между швами было не менее 40 см в случае, если смежные швы наложены на общий продольный стержень, и 10 см, если связующие швы относятся к разным продольным стержням каркаса. Кроме того, необходимо, чтобы любое поперечное сечение группы стержней пересекало не более одного сварного шва.</w:t>
      </w:r>
    </w:p>
    <w:p w:rsidR="00212513" w:rsidRDefault="00212513">
      <w:pPr>
        <w:pStyle w:val="ConsPlusNormal"/>
        <w:spacing w:before="220"/>
        <w:ind w:firstLine="540"/>
        <w:jc w:val="both"/>
      </w:pPr>
      <w:r>
        <w:t>Допускается, при соответствующем обосновании, вертикальные стержни сварных сеток в стенках балок приваривать контактной точечной сваркой к арматуре и к продольным коротышам, расположенным между группами стержней. Приварка дуговой электросваркой хомутов к основной арматуре не допускается.</w:t>
      </w:r>
    </w:p>
    <w:p w:rsidR="00212513" w:rsidRDefault="00212513">
      <w:pPr>
        <w:pStyle w:val="ConsPlusNormal"/>
        <w:spacing w:before="220"/>
        <w:ind w:firstLine="540"/>
        <w:jc w:val="both"/>
      </w:pPr>
      <w:r>
        <w:t xml:space="preserve">Указания по швам, прикрепляющим к рабочей арматуре, приведены в </w:t>
      </w:r>
      <w:hyperlink w:anchor="P5857">
        <w:r>
          <w:rPr>
            <w:color w:val="0000FF"/>
          </w:rPr>
          <w:t>7.160</w:t>
        </w:r>
      </w:hyperlink>
      <w:r>
        <w:t>.</w:t>
      </w:r>
    </w:p>
    <w:p w:rsidR="00212513" w:rsidRDefault="00212513">
      <w:pPr>
        <w:pStyle w:val="ConsPlusNormal"/>
        <w:spacing w:before="220"/>
        <w:ind w:firstLine="540"/>
        <w:jc w:val="both"/>
      </w:pPr>
      <w:r>
        <w:t>7.134 В разрезных балках и плитах следует доводить до опоры не менее трети рабочей арматуры, устанавливаемой в середине пролета. При этом в балках необходимо доводить до опоры не менее двух стержней, в плитах - не менее трех стержней на 1 м ширины плиты.</w:t>
      </w:r>
    </w:p>
    <w:p w:rsidR="00212513" w:rsidRDefault="00212513">
      <w:pPr>
        <w:pStyle w:val="ConsPlusNormal"/>
        <w:spacing w:before="220"/>
        <w:ind w:firstLine="540"/>
        <w:jc w:val="both"/>
      </w:pPr>
      <w:r>
        <w:t>Распределительную арматуру плит следует устанавливать с шагом, не превышающим 25 см.</w:t>
      </w:r>
    </w:p>
    <w:p w:rsidR="00212513" w:rsidRDefault="00212513">
      <w:pPr>
        <w:pStyle w:val="ConsPlusNormal"/>
        <w:spacing w:before="220"/>
        <w:ind w:firstLine="540"/>
        <w:jc w:val="both"/>
      </w:pPr>
      <w:r>
        <w:t xml:space="preserve">При смешанном армировании стержни ненапрягаемой арматуры допускается устанавливать попарно, при этом толщина защитного слоя этой арматуры должна соответствовать </w:t>
      </w:r>
      <w:hyperlink w:anchor="P5559">
        <w:r>
          <w:rPr>
            <w:color w:val="0000FF"/>
          </w:rPr>
          <w:t>7.119</w:t>
        </w:r>
      </w:hyperlink>
      <w:r>
        <w:t xml:space="preserve">, а расстояния между стержнями и пучками - </w:t>
      </w:r>
      <w:hyperlink w:anchor="P5646">
        <w:r>
          <w:rPr>
            <w:color w:val="0000FF"/>
          </w:rPr>
          <w:t>7.122</w:t>
        </w:r>
      </w:hyperlink>
      <w:r>
        <w:t xml:space="preserve"> и </w:t>
      </w:r>
      <w:hyperlink w:anchor="P5658">
        <w:r>
          <w:rPr>
            <w:color w:val="0000FF"/>
          </w:rPr>
          <w:t>7.123</w:t>
        </w:r>
      </w:hyperlink>
      <w:r>
        <w:t>.</w:t>
      </w:r>
    </w:p>
    <w:p w:rsidR="00212513" w:rsidRDefault="00212513">
      <w:pPr>
        <w:pStyle w:val="ConsPlusNormal"/>
        <w:spacing w:before="220"/>
        <w:ind w:firstLine="540"/>
        <w:jc w:val="both"/>
      </w:pPr>
      <w:r>
        <w:t>Распределительная арматура в плитах и хомуты в сваях должна иметь площадь не менее 20% площади продольной рабочей арматуры.</w:t>
      </w:r>
    </w:p>
    <w:p w:rsidR="00212513" w:rsidRDefault="00212513">
      <w:pPr>
        <w:pStyle w:val="ConsPlusNormal"/>
        <w:jc w:val="both"/>
      </w:pPr>
      <w:r>
        <w:t xml:space="preserve">(абзац введен </w:t>
      </w:r>
      <w:hyperlink r:id="rId1325">
        <w:r>
          <w:rPr>
            <w:color w:val="0000FF"/>
          </w:rPr>
          <w:t>Изменением N 3</w:t>
        </w:r>
      </w:hyperlink>
      <w:r>
        <w:t>, утв. Приказом Минстроя России от 29.12.2020 N 891/пр)</w:t>
      </w:r>
    </w:p>
    <w:p w:rsidR="00212513" w:rsidRDefault="00212513">
      <w:pPr>
        <w:pStyle w:val="ConsPlusNormal"/>
        <w:spacing w:before="220"/>
        <w:ind w:firstLine="540"/>
        <w:jc w:val="both"/>
      </w:pPr>
      <w:r>
        <w:t>7.135 В неразрезных балках и ригелях многопролетных рамных конструкций часть верхней и нижней рабочей арматуры должна быть непрерывной по длине или иметь стыки, перекрывающие разрывы армирования.</w:t>
      </w:r>
    </w:p>
    <w:p w:rsidR="00212513" w:rsidRDefault="00212513">
      <w:pPr>
        <w:pStyle w:val="ConsPlusNormal"/>
        <w:spacing w:before="220"/>
        <w:ind w:firstLine="540"/>
        <w:jc w:val="both"/>
      </w:pPr>
      <w:r>
        <w:t>Количество непрерывных арматурных элементов должно составлять:</w:t>
      </w:r>
    </w:p>
    <w:p w:rsidR="00212513" w:rsidRDefault="00212513">
      <w:pPr>
        <w:pStyle w:val="ConsPlusNormal"/>
        <w:spacing w:before="220"/>
        <w:ind w:firstLine="540"/>
        <w:jc w:val="both"/>
      </w:pPr>
      <w:r>
        <w:lastRenderedPageBreak/>
        <w:t>а) в конструкциях с ненапрягаемой арматурой - не менее 20% нижней и 15% верхней рабочей арматуры;</w:t>
      </w:r>
    </w:p>
    <w:p w:rsidR="00212513" w:rsidRDefault="00212513">
      <w:pPr>
        <w:pStyle w:val="ConsPlusNormal"/>
        <w:spacing w:before="220"/>
        <w:ind w:firstLine="540"/>
        <w:jc w:val="both"/>
      </w:pPr>
      <w:r>
        <w:t>б) в конструкциях с напрягаемой арматурой - не менее 10% нижней и 5% верхней рабочей арматуры. При этом непрерывность верхних и нижних арматурных элементов допускается обеспечивать напрягаемой, ненапрягаемой или комбинацией напрягаемой и ненапрягаемой арматуры. Причем в последних двух случаях суммарная площадь рабочей арматуры определяется как приведенная по расчетным сопротивлениям.</w:t>
      </w:r>
    </w:p>
    <w:p w:rsidR="00212513" w:rsidRDefault="00212513">
      <w:pPr>
        <w:pStyle w:val="ConsPlusNormal"/>
        <w:spacing w:before="220"/>
        <w:ind w:firstLine="540"/>
        <w:jc w:val="both"/>
      </w:pPr>
      <w:r>
        <w:t>7.136 Шаг (расстояние между осями) рабочей арматуры плиты в середине пролета и над ее опорами не должен превышать, см:</w:t>
      </w:r>
    </w:p>
    <w:p w:rsidR="00212513" w:rsidRDefault="00212513">
      <w:pPr>
        <w:pStyle w:val="ConsPlusNormal"/>
        <w:spacing w:before="220"/>
        <w:ind w:firstLine="540"/>
        <w:jc w:val="both"/>
      </w:pPr>
      <w:r>
        <w:t>15 - в плитах балластного корыта железнодорожных мостов;</w:t>
      </w:r>
    </w:p>
    <w:p w:rsidR="00212513" w:rsidRDefault="00212513">
      <w:pPr>
        <w:pStyle w:val="ConsPlusNormal"/>
        <w:spacing w:before="220"/>
        <w:ind w:firstLine="540"/>
        <w:jc w:val="both"/>
      </w:pPr>
      <w:r>
        <w:t>20 - в плитах проезжей части автодорожных мостов.</w:t>
      </w:r>
    </w:p>
    <w:p w:rsidR="00212513" w:rsidRDefault="00212513">
      <w:pPr>
        <w:pStyle w:val="ConsPlusNormal"/>
        <w:spacing w:before="220"/>
        <w:ind w:firstLine="540"/>
        <w:jc w:val="both"/>
      </w:pPr>
      <w:r>
        <w:t>Шаг распределительной арматуры плит не должен превышать 25 см.</w:t>
      </w:r>
    </w:p>
    <w:p w:rsidR="00212513" w:rsidRDefault="00212513">
      <w:pPr>
        <w:pStyle w:val="ConsPlusNormal"/>
        <w:jc w:val="both"/>
      </w:pPr>
      <w:r>
        <w:t xml:space="preserve">(абзац введен </w:t>
      </w:r>
      <w:hyperlink r:id="rId1326">
        <w:r>
          <w:rPr>
            <w:color w:val="0000FF"/>
          </w:rPr>
          <w:t>Изменением N 3</w:t>
        </w:r>
      </w:hyperlink>
      <w:r>
        <w:t>, утв. Приказом Минстроя России от 29.12.2020 N 891/пр)</w:t>
      </w:r>
    </w:p>
    <w:p w:rsidR="00212513" w:rsidRDefault="00212513">
      <w:pPr>
        <w:pStyle w:val="ConsPlusNormal"/>
        <w:ind w:firstLine="540"/>
        <w:jc w:val="both"/>
      </w:pPr>
    </w:p>
    <w:p w:rsidR="00212513" w:rsidRDefault="00212513">
      <w:pPr>
        <w:pStyle w:val="ConsPlusTitle"/>
        <w:ind w:firstLine="540"/>
        <w:jc w:val="both"/>
        <w:outlineLvl w:val="3"/>
      </w:pPr>
      <w:r>
        <w:t>Поперечное армирование элементов</w:t>
      </w:r>
    </w:p>
    <w:p w:rsidR="00212513" w:rsidRDefault="00212513">
      <w:pPr>
        <w:pStyle w:val="ConsPlusNormal"/>
        <w:ind w:firstLine="540"/>
        <w:jc w:val="both"/>
      </w:pPr>
    </w:p>
    <w:p w:rsidR="00212513" w:rsidRDefault="00212513">
      <w:pPr>
        <w:pStyle w:val="ConsPlusNormal"/>
        <w:ind w:firstLine="540"/>
        <w:jc w:val="both"/>
      </w:pPr>
      <w:r>
        <w:t>7.137 Армирование ненапрягаемых конструкций на восприятие поперечных сил следует осуществлять наклонными стержнями или нормальными к оси балки хомутами, а также их комбинацией. Хомуты следует объединять с продольной арматурой в пространственные каркасы.</w:t>
      </w:r>
    </w:p>
    <w:p w:rsidR="00212513" w:rsidRDefault="00212513">
      <w:pPr>
        <w:pStyle w:val="ConsPlusNormal"/>
        <w:jc w:val="both"/>
      </w:pPr>
      <w:r>
        <w:t xml:space="preserve">(п. 7.137 в ред. </w:t>
      </w:r>
      <w:hyperlink r:id="rId1327">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t>7.138 В ненапрягаемых балках устанавливаемые по расчету наклонные стержни следует располагать симметрично относительно продольной оси изгибаемого элемента. Стержни, как правило, должны иметь по отношению к продольной оси элемента угол наклона, близкий к 45° (не более 60° и не менее 30°). При этом на участке балки, где по расчету требуется установка наклонных стержней, любое сечение, перпендикулярное продольной оси балки, должно пересекать не менее одного стержня наклонной арматуры.</w:t>
      </w:r>
    </w:p>
    <w:p w:rsidR="00212513" w:rsidRDefault="00212513">
      <w:pPr>
        <w:pStyle w:val="ConsPlusNormal"/>
        <w:spacing w:before="220"/>
        <w:ind w:firstLine="540"/>
        <w:jc w:val="both"/>
      </w:pPr>
      <w:r>
        <w:t>7.139 Требуемые по расчету балок дополнительные наклонные стержни должны быть прикреплены к основной продольной рабочей арматуре. Если стержни арматуры изготовлены из стали классов А240, А300 и А400, то прикрепление дополнительных наклонных стержней можно выполнять посредством сварных швов.</w:t>
      </w:r>
    </w:p>
    <w:p w:rsidR="00212513" w:rsidRDefault="00212513">
      <w:pPr>
        <w:pStyle w:val="ConsPlusNormal"/>
        <w:spacing w:before="220"/>
        <w:ind w:firstLine="540"/>
        <w:jc w:val="both"/>
      </w:pPr>
      <w:r>
        <w:t>7.140 Наклонные стержни арматуры в балках следует отгибать по дуге круга радиусом не менее 10 диаметров арматуры.</w:t>
      </w:r>
    </w:p>
    <w:p w:rsidR="00212513" w:rsidRDefault="00212513">
      <w:pPr>
        <w:pStyle w:val="ConsPlusNormal"/>
        <w:spacing w:before="220"/>
        <w:ind w:firstLine="540"/>
        <w:jc w:val="both"/>
      </w:pPr>
      <w:r>
        <w:t>Отгибы продольной арматуры у торцов балки (за осью опорной части) допускается выполнять по дуге круга радиусом не менее трех диаметров арматуры.</w:t>
      </w:r>
    </w:p>
    <w:p w:rsidR="00212513" w:rsidRDefault="00212513">
      <w:pPr>
        <w:pStyle w:val="ConsPlusNormal"/>
        <w:spacing w:before="220"/>
        <w:ind w:firstLine="540"/>
        <w:jc w:val="both"/>
      </w:pPr>
      <w:r>
        <w:t>7.141 Продольную арматуру в стенках ненапрягаемых балок следует устанавливать:</w:t>
      </w:r>
    </w:p>
    <w:p w:rsidR="00212513" w:rsidRDefault="00212513">
      <w:pPr>
        <w:pStyle w:val="ConsPlusNormal"/>
        <w:spacing w:before="220"/>
        <w:ind w:firstLine="540"/>
        <w:jc w:val="both"/>
      </w:pPr>
      <w:r>
        <w:t>в пределах трети высоты стенки, считая от растянутой грани балки, - с шагом не более 12 диаметров применяемой арматуры (</w:t>
      </w:r>
      <w:r>
        <w:rPr>
          <w:i/>
        </w:rPr>
        <w:t>d</w:t>
      </w:r>
      <w:r>
        <w:t xml:space="preserve"> = 8 - 12 мм);</w:t>
      </w:r>
    </w:p>
    <w:p w:rsidR="00212513" w:rsidRDefault="00212513">
      <w:pPr>
        <w:pStyle w:val="ConsPlusNormal"/>
        <w:spacing w:before="220"/>
        <w:ind w:firstLine="540"/>
        <w:jc w:val="both"/>
      </w:pPr>
      <w:r>
        <w:t>в пределах остальной части высоты стенки - с шагом не более 20 диаметров арматуры (</w:t>
      </w:r>
      <w:r>
        <w:rPr>
          <w:i/>
        </w:rPr>
        <w:t>d</w:t>
      </w:r>
      <w:r>
        <w:t xml:space="preserve"> = 8 - 10 мм).</w:t>
      </w:r>
    </w:p>
    <w:p w:rsidR="00212513" w:rsidRDefault="00212513">
      <w:pPr>
        <w:pStyle w:val="ConsPlusNormal"/>
        <w:spacing w:before="220"/>
        <w:ind w:firstLine="540"/>
        <w:jc w:val="both"/>
      </w:pPr>
      <w:r>
        <w:t>7.142 Напрягаемые арматурные элементы, имеющие участки, направление которых не совпадает с направлением продольной оси балки, как правило, следует располагать симметрично относительно продольной оси балки.</w:t>
      </w:r>
    </w:p>
    <w:p w:rsidR="00212513" w:rsidRDefault="00212513">
      <w:pPr>
        <w:pStyle w:val="ConsPlusNormal"/>
        <w:spacing w:before="220"/>
        <w:ind w:firstLine="540"/>
        <w:jc w:val="both"/>
      </w:pPr>
      <w:r>
        <w:lastRenderedPageBreak/>
        <w:t>7.143 Хомуты в элементах, воспринимающих поперечную силу, устанавливаются по расчету, включая расчет по сечению между хомутами. В стенках толщиной до 50 см, в пределах приопорных участков длиной, равной 1/4 пролета, считая от оси опоры, шаг хомутов принимают не более 15 см.</w:t>
      </w:r>
    </w:p>
    <w:p w:rsidR="00212513" w:rsidRDefault="00212513">
      <w:pPr>
        <w:pStyle w:val="ConsPlusNormal"/>
        <w:spacing w:before="220"/>
        <w:ind w:firstLine="540"/>
        <w:jc w:val="both"/>
      </w:pPr>
      <w:r>
        <w:t>На среднем участке балки длиной, равной 1/2 пролета, шаг хомутов принимается не более 20 см.</w:t>
      </w:r>
    </w:p>
    <w:p w:rsidR="00212513" w:rsidRDefault="00212513">
      <w:pPr>
        <w:pStyle w:val="ConsPlusNormal"/>
        <w:spacing w:before="220"/>
        <w:ind w:firstLine="540"/>
        <w:jc w:val="both"/>
      </w:pPr>
      <w:r>
        <w:t>При толщине стенок более 50 см максимальный шаг хомутов допускается увеличивать на 5 см.</w:t>
      </w:r>
    </w:p>
    <w:p w:rsidR="00212513" w:rsidRDefault="00212513">
      <w:pPr>
        <w:pStyle w:val="ConsPlusNormal"/>
        <w:jc w:val="both"/>
      </w:pPr>
      <w:r>
        <w:t xml:space="preserve">(в ред. </w:t>
      </w:r>
      <w:hyperlink r:id="rId1328">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Допускается применение сдвоенных хомутов из арматуры одного класса и диаметра.</w:t>
      </w:r>
    </w:p>
    <w:p w:rsidR="00212513" w:rsidRDefault="00212513">
      <w:pPr>
        <w:pStyle w:val="ConsPlusNormal"/>
        <w:spacing w:before="220"/>
        <w:ind w:firstLine="540"/>
        <w:jc w:val="both"/>
      </w:pPr>
      <w:r>
        <w:t>Поперечная арматура, устанавливаемая по расчету, должна иметь надежную заделку по концам, которая обеспечивается заводкой или загибом за продольную арматуру, расположенную у граней железобетонного элемента, либо приваркой одного или двух горизонтальных стержней по концам. Рабочая длина хомута, учитываемая в расчете, равна расстоянию между точками начала зон анкеровки.</w:t>
      </w:r>
    </w:p>
    <w:p w:rsidR="00212513" w:rsidRDefault="00212513">
      <w:pPr>
        <w:pStyle w:val="ConsPlusNormal"/>
        <w:jc w:val="both"/>
      </w:pPr>
      <w:r>
        <w:t xml:space="preserve">(в ред. </w:t>
      </w:r>
      <w:hyperlink r:id="rId1329">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t>7.144 Хомуты в разрезных плитных пролетных строениях следует устанавливать с шагом, не превышающим, см:</w:t>
      </w:r>
    </w:p>
    <w:p w:rsidR="00212513" w:rsidRDefault="00212513">
      <w:pPr>
        <w:pStyle w:val="ConsPlusNormal"/>
        <w:spacing w:before="220"/>
        <w:ind w:firstLine="540"/>
        <w:jc w:val="both"/>
      </w:pPr>
      <w:r>
        <w:t>15 - на участках, примыкающих к опорным частям и имеющих длину, равную 1/4 пролета;</w:t>
      </w:r>
    </w:p>
    <w:p w:rsidR="00212513" w:rsidRDefault="00212513">
      <w:pPr>
        <w:pStyle w:val="ConsPlusNormal"/>
        <w:spacing w:before="220"/>
        <w:ind w:firstLine="540"/>
        <w:jc w:val="both"/>
      </w:pPr>
      <w:r>
        <w:t>25 - на среднем участке, имеющем длину, равную 1/2 пролета.</w:t>
      </w:r>
    </w:p>
    <w:p w:rsidR="00212513" w:rsidRDefault="00212513">
      <w:pPr>
        <w:pStyle w:val="ConsPlusNormal"/>
        <w:spacing w:before="220"/>
        <w:ind w:firstLine="540"/>
        <w:jc w:val="both"/>
      </w:pPr>
      <w:r>
        <w:t>В сплошных плитах балластного корыта железнодорожных мостов и проезжей части автодорожных мостов, имеющих высоту 30 см и менее, хомуты при отсутствии сжатой расчетной арматуры допускается не устанавливать.</w:t>
      </w:r>
    </w:p>
    <w:p w:rsidR="00212513" w:rsidRDefault="00212513">
      <w:pPr>
        <w:pStyle w:val="ConsPlusNormal"/>
        <w:spacing w:before="220"/>
        <w:ind w:firstLine="540"/>
        <w:jc w:val="both"/>
      </w:pPr>
      <w:r>
        <w:t xml:space="preserve">Примечание - В плитных пролетных строениях автодорожных и городских мостов допускается не ставить поперечную арматуру в плиты толщиной до 40 см, если касательные напряжения в бетоне не превышают </w:t>
      </w:r>
      <w:r>
        <w:rPr>
          <w:noProof/>
          <w:position w:val="-9"/>
        </w:rPr>
        <w:drawing>
          <wp:inline distT="0" distB="0" distL="0" distR="0">
            <wp:extent cx="628650" cy="262890"/>
            <wp:effectExtent l="0" t="0" r="0" b="0"/>
            <wp:docPr id="9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0" cstate="print">
                      <a:extLst>
                        <a:ext uri="{28A0092B-C50C-407E-A947-70E740481C1C}">
                          <a14:useLocalDpi xmlns:a14="http://schemas.microsoft.com/office/drawing/2010/main" val="0"/>
                        </a:ext>
                      </a:extLst>
                    </a:blip>
                    <a:srcRect/>
                    <a:stretch>
                      <a:fillRect/>
                    </a:stretch>
                  </pic:blipFill>
                  <pic:spPr bwMode="auto">
                    <a:xfrm>
                      <a:off x="0" y="0"/>
                      <a:ext cx="628650" cy="262890"/>
                    </a:xfrm>
                    <a:prstGeom prst="rect">
                      <a:avLst/>
                    </a:prstGeom>
                    <a:noFill/>
                    <a:ln>
                      <a:noFill/>
                    </a:ln>
                  </pic:spPr>
                </pic:pic>
              </a:graphicData>
            </a:graphic>
          </wp:inline>
        </w:drawing>
      </w:r>
      <w:r>
        <w:t xml:space="preserve"> (где </w:t>
      </w:r>
      <w:r>
        <w:rPr>
          <w:noProof/>
          <w:position w:val="-9"/>
        </w:rPr>
        <w:drawing>
          <wp:inline distT="0" distB="0" distL="0" distR="0">
            <wp:extent cx="314960" cy="262890"/>
            <wp:effectExtent l="0" t="0" r="0" b="0"/>
            <wp:docPr id="9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1" cstate="print">
                      <a:extLst>
                        <a:ext uri="{28A0092B-C50C-407E-A947-70E740481C1C}">
                          <a14:useLocalDpi xmlns:a14="http://schemas.microsoft.com/office/drawing/2010/main" val="0"/>
                        </a:ext>
                      </a:extLst>
                    </a:blip>
                    <a:srcRect/>
                    <a:stretch>
                      <a:fillRect/>
                    </a:stretch>
                  </pic:blipFill>
                  <pic:spPr bwMode="auto">
                    <a:xfrm>
                      <a:off x="0" y="0"/>
                      <a:ext cx="314960" cy="262890"/>
                    </a:xfrm>
                    <a:prstGeom prst="rect">
                      <a:avLst/>
                    </a:prstGeom>
                    <a:noFill/>
                    <a:ln>
                      <a:noFill/>
                    </a:ln>
                  </pic:spPr>
                </pic:pic>
              </a:graphicData>
            </a:graphic>
          </wp:inline>
        </w:drawing>
      </w:r>
      <w:r>
        <w:t xml:space="preserve"> - расчетное сопротивление бетона скалыванию при изгибе по </w:t>
      </w:r>
      <w:hyperlink w:anchor="P2350">
        <w:r>
          <w:rPr>
            <w:color w:val="0000FF"/>
          </w:rPr>
          <w:t>таблице 7.6</w:t>
        </w:r>
      </w:hyperlink>
      <w:r>
        <w:t>).</w:t>
      </w:r>
    </w:p>
    <w:p w:rsidR="00212513" w:rsidRDefault="00212513">
      <w:pPr>
        <w:pStyle w:val="ConsPlusNormal"/>
        <w:ind w:firstLine="540"/>
        <w:jc w:val="both"/>
      </w:pPr>
    </w:p>
    <w:p w:rsidR="00212513" w:rsidRDefault="00212513">
      <w:pPr>
        <w:pStyle w:val="ConsPlusNormal"/>
        <w:ind w:firstLine="540"/>
        <w:jc w:val="both"/>
      </w:pPr>
      <w:r>
        <w:t>7.145 Хомуты в поясах ненапрягаемых элементов должны охватывать ширину пояса не более 50 см и объединять не более пяти растянутых и не более трех сжатых стержней продольной арматуры, расположенной в крайних горизонтальных рядах.</w:t>
      </w:r>
    </w:p>
    <w:p w:rsidR="00212513" w:rsidRDefault="00212513">
      <w:pPr>
        <w:pStyle w:val="ConsPlusNormal"/>
        <w:spacing w:before="220"/>
        <w:ind w:firstLine="540"/>
        <w:jc w:val="both"/>
      </w:pPr>
      <w:r>
        <w:t>7.146 Уширение поясов должно быть армировано замкнутыми хомутами из арматурных стержней периодического профиля; ветви хомутов должны охватывать весь наружный контур поясов.</w:t>
      </w:r>
    </w:p>
    <w:p w:rsidR="00212513" w:rsidRDefault="00212513">
      <w:pPr>
        <w:pStyle w:val="ConsPlusNormal"/>
        <w:spacing w:before="220"/>
        <w:ind w:firstLine="540"/>
        <w:jc w:val="both"/>
      </w:pPr>
      <w:r>
        <w:t>7.147 Наибольший шаг замкнутых хомутов или поперечных стержней в сварных сетках обжимаемых поясов напрягаемых балок следует принимать не более 15 см в железнодорожных и 20 см в автодорожных мостах. Шаг хомутов в обжимаемых поясах не должен быть более шага хомутов в стенках балок.</w:t>
      </w:r>
    </w:p>
    <w:p w:rsidR="00212513" w:rsidRDefault="00212513">
      <w:pPr>
        <w:pStyle w:val="ConsPlusNormal"/>
        <w:spacing w:before="220"/>
        <w:ind w:firstLine="540"/>
        <w:jc w:val="both"/>
      </w:pPr>
      <w:r>
        <w:t>7.148 Хомуты в элементах, рассчитываемых на кручение, а также на кручение совместно с изгибом, сжатием или растяжением, должны быть замкнутыми с перепуском концов:</w:t>
      </w:r>
    </w:p>
    <w:p w:rsidR="00212513" w:rsidRDefault="00212513">
      <w:pPr>
        <w:pStyle w:val="ConsPlusNormal"/>
        <w:spacing w:before="220"/>
        <w:ind w:firstLine="540"/>
        <w:jc w:val="both"/>
      </w:pPr>
      <w:r>
        <w:t>при хомутах из гладкой арматурной стали - на 30 диаметров;</w:t>
      </w:r>
    </w:p>
    <w:p w:rsidR="00212513" w:rsidRDefault="00212513">
      <w:pPr>
        <w:pStyle w:val="ConsPlusNormal"/>
        <w:spacing w:before="220"/>
        <w:ind w:firstLine="540"/>
        <w:jc w:val="both"/>
      </w:pPr>
      <w:r>
        <w:t>то же, из арматурной стали периодического профиля - на 20 диаметров.</w:t>
      </w:r>
    </w:p>
    <w:p w:rsidR="00212513" w:rsidRDefault="00212513">
      <w:pPr>
        <w:pStyle w:val="ConsPlusNormal"/>
        <w:spacing w:before="220"/>
        <w:ind w:firstLine="540"/>
        <w:jc w:val="both"/>
      </w:pPr>
      <w:r>
        <w:lastRenderedPageBreak/>
        <w:t>В замкнутых хомутах из арматуры периодического профиля при отсутствии загибов по концам длина перехлеста должна составлять не менее 30 диаметров.</w:t>
      </w:r>
    </w:p>
    <w:p w:rsidR="00212513" w:rsidRDefault="00212513">
      <w:pPr>
        <w:pStyle w:val="ConsPlusNormal"/>
        <w:jc w:val="both"/>
      </w:pPr>
      <w:r>
        <w:t xml:space="preserve">(абзац введен </w:t>
      </w:r>
      <w:hyperlink r:id="rId1332">
        <w:r>
          <w:rPr>
            <w:color w:val="0000FF"/>
          </w:rPr>
          <w:t>Изменением N 3</w:t>
        </w:r>
      </w:hyperlink>
      <w:r>
        <w:t>, утв. Приказом Минстроя России от 29.12.2020 N 891/пр)</w:t>
      </w:r>
    </w:p>
    <w:p w:rsidR="00212513" w:rsidRDefault="00212513">
      <w:pPr>
        <w:pStyle w:val="ConsPlusNormal"/>
        <w:spacing w:before="220"/>
        <w:ind w:firstLine="540"/>
        <w:jc w:val="both"/>
      </w:pPr>
      <w:r>
        <w:t>7.149 В зоне расположения анкеров напрягаемых арматурных элементов под опорными плитами следует устанавливать косвенную арматуру в виде системы параллельно расположенных вдоль оси пучка сварных сеток или спиралей. Допускается использование арматуры класса А500С в качестве косвенного армирования.</w:t>
      </w:r>
    </w:p>
    <w:p w:rsidR="00212513" w:rsidRDefault="00212513">
      <w:pPr>
        <w:pStyle w:val="ConsPlusNormal"/>
        <w:spacing w:before="220"/>
        <w:ind w:firstLine="540"/>
        <w:jc w:val="both"/>
      </w:pPr>
      <w:r>
        <w:t>В зоне анкеровки одиночных арматурных канатов К7 и проволок периодического профиля, выполняемой без анкеров, косвенную арматуру допускается не устанавливать.</w:t>
      </w:r>
    </w:p>
    <w:p w:rsidR="00212513" w:rsidRDefault="00212513">
      <w:pPr>
        <w:pStyle w:val="ConsPlusNormal"/>
        <w:spacing w:before="220"/>
        <w:ind w:firstLine="540"/>
        <w:jc w:val="both"/>
      </w:pPr>
      <w:r>
        <w:t>На длине анкеровки пучков из четырех и менее арматурных канатов К7 установка косвенной арматуры обязательна.</w:t>
      </w:r>
    </w:p>
    <w:p w:rsidR="00212513" w:rsidRDefault="00212513">
      <w:pPr>
        <w:pStyle w:val="ConsPlusNormal"/>
        <w:spacing w:before="220"/>
        <w:ind w:firstLine="540"/>
        <w:jc w:val="both"/>
      </w:pPr>
      <w:r>
        <w:t>Кроме косвенной арматуры, устанавливаемой в зоне непосредственной передачи усилия на бетон, зону расположения анкеров необходимо армировать дополнительной (устанавливаемой по расчету) арматурой, воспринимающей местные напряжения.</w:t>
      </w:r>
    </w:p>
    <w:p w:rsidR="00212513" w:rsidRDefault="00212513">
      <w:pPr>
        <w:pStyle w:val="ConsPlusNormal"/>
        <w:jc w:val="both"/>
      </w:pPr>
      <w:r>
        <w:t xml:space="preserve">(п. 7.149 в ред. </w:t>
      </w:r>
      <w:hyperlink r:id="rId1333">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t xml:space="preserve">7.150 Продольную рабочую арматуру и хомуты в сжатых элементах конструкций следует объединять в каркасы. Шаг хомутов в зависимости от диаметра </w:t>
      </w:r>
      <w:r>
        <w:rPr>
          <w:i/>
        </w:rPr>
        <w:t>d</w:t>
      </w:r>
      <w:r>
        <w:t xml:space="preserve"> стержней продольной арматуры следует принимать не более:</w:t>
      </w:r>
    </w:p>
    <w:p w:rsidR="00212513" w:rsidRDefault="00212513">
      <w:pPr>
        <w:pStyle w:val="ConsPlusNormal"/>
        <w:spacing w:before="220"/>
        <w:ind w:firstLine="540"/>
        <w:jc w:val="both"/>
      </w:pPr>
      <w:r>
        <w:t>15</w:t>
      </w:r>
      <w:r>
        <w:rPr>
          <w:i/>
        </w:rPr>
        <w:t>d</w:t>
      </w:r>
      <w:r>
        <w:t xml:space="preserve"> - при сварных каркасах;</w:t>
      </w:r>
    </w:p>
    <w:p w:rsidR="00212513" w:rsidRDefault="00212513">
      <w:pPr>
        <w:pStyle w:val="ConsPlusNormal"/>
        <w:spacing w:before="220"/>
        <w:ind w:firstLine="540"/>
        <w:jc w:val="both"/>
      </w:pPr>
      <w:r>
        <w:t>12</w:t>
      </w:r>
      <w:r>
        <w:rPr>
          <w:i/>
        </w:rPr>
        <w:t>d</w:t>
      </w:r>
      <w:r>
        <w:t xml:space="preserve"> - при вязаных каркасах.</w:t>
      </w:r>
    </w:p>
    <w:p w:rsidR="00212513" w:rsidRDefault="00212513">
      <w:pPr>
        <w:pStyle w:val="ConsPlusNormal"/>
        <w:spacing w:before="220"/>
        <w:ind w:firstLine="540"/>
        <w:jc w:val="both"/>
      </w:pPr>
      <w:r>
        <w:t>Во всех случаях шаг хомутов следует назначать не более, см:</w:t>
      </w:r>
    </w:p>
    <w:p w:rsidR="00212513" w:rsidRDefault="00212513">
      <w:pPr>
        <w:pStyle w:val="ConsPlusNormal"/>
        <w:spacing w:before="220"/>
        <w:ind w:firstLine="540"/>
        <w:jc w:val="both"/>
      </w:pPr>
      <w:r>
        <w:t>при насыщении сечения продольной арматурой менее 3% - 40;</w:t>
      </w:r>
    </w:p>
    <w:p w:rsidR="00212513" w:rsidRDefault="00212513">
      <w:pPr>
        <w:pStyle w:val="ConsPlusNormal"/>
        <w:spacing w:before="220"/>
        <w:ind w:firstLine="540"/>
        <w:jc w:val="both"/>
      </w:pPr>
      <w:r>
        <w:t>то же, в размере 3% и более - 30.</w:t>
      </w:r>
    </w:p>
    <w:p w:rsidR="00212513" w:rsidRDefault="00212513">
      <w:pPr>
        <w:pStyle w:val="ConsPlusNormal"/>
        <w:spacing w:before="220"/>
        <w:ind w:firstLine="540"/>
        <w:jc w:val="both"/>
      </w:pPr>
      <w:r>
        <w:t>При значительном насыщении сечения продольной арматурой вместо отдельных хомутов рекомендуется принимать непрерывное поперечное армирование спиральными витками, повторяющими очертание поперечного сечения элемента.</w:t>
      </w:r>
    </w:p>
    <w:p w:rsidR="00212513" w:rsidRDefault="00212513">
      <w:pPr>
        <w:pStyle w:val="ConsPlusNormal"/>
        <w:jc w:val="both"/>
      </w:pPr>
      <w:r>
        <w:t xml:space="preserve">(в ред. </w:t>
      </w:r>
      <w:hyperlink r:id="rId1334">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7.151 Конструкция хомутов сжатых элементов опор с квадратной или прямоугольной формой поперечных сечений должна быть такой, чтобы продольные стержни располагались в местах перегиба хомутов, а ветви хомутов, устанавливаемые вдоль граней элементов, удерживали не более четырех стержней продольной арматуры и имели длину не более 40 см.</w:t>
      </w:r>
    </w:p>
    <w:p w:rsidR="00212513" w:rsidRDefault="00212513">
      <w:pPr>
        <w:pStyle w:val="ConsPlusNormal"/>
        <w:spacing w:before="220"/>
        <w:ind w:firstLine="540"/>
        <w:jc w:val="both"/>
      </w:pPr>
      <w:r>
        <w:t>Приведенные указания относятся к опорам с размерами граней не более 80 см. При больших размерах граней опор рабочие продольные стержни опор, расположенные на противоположных гранях, допускается не объединять между собой хомутами, пересекающими сечение опоры, а заменять такие хомуты расположенными по периметру цепочками конструктивных хомутов П-образной формы, каждый длиной по 40 см с боковыми анкерующими ветвями длиной не менее 20 см, располагающимися перпендикулярно к основной продольной ветви хомута по направлению внутрь сечения бетона. Концы коротких ветвей, заканчивающиеся полукруглыми крюками, прикрепляются к вертикальным монтажным стержням, устанавливаемым на всю высоту опоры. Хомуты между собой перехлестываются в местах перегиба. Цепочки хомутов, охватывающие опоры по периметру, располагаются по высоте через 40 см.</w:t>
      </w:r>
    </w:p>
    <w:p w:rsidR="00212513" w:rsidRDefault="00212513">
      <w:pPr>
        <w:pStyle w:val="ConsPlusNormal"/>
        <w:spacing w:before="220"/>
        <w:ind w:firstLine="540"/>
        <w:jc w:val="both"/>
      </w:pPr>
      <w:r>
        <w:lastRenderedPageBreak/>
        <w:t>Для хомутов и вертикальных стержней, обеспечивающих устойчивость сжатой рабочей арматуры, следует применять арматуру диаметром не менее 10 мм. Для повышения устойчивости сжатых рабочих стержней опоры кроме цепочек хомутов следует предусматривать постановку связей, соединяющих продольные вертикальные стержни на поперечных гранях опоры. Связи должны образовывать жесткую неизменяемую конструкцию из арматурных стержней диаметром не менее 16 мм и устанавливаться в плане и по высоте не реже чем через 1,6 м.</w:t>
      </w:r>
    </w:p>
    <w:p w:rsidR="00212513" w:rsidRDefault="00212513">
      <w:pPr>
        <w:pStyle w:val="ConsPlusNormal"/>
        <w:jc w:val="both"/>
      </w:pPr>
      <w:r>
        <w:t xml:space="preserve">(в ред. </w:t>
      </w:r>
      <w:hyperlink r:id="rId1335">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t>Во избежание затруднений, возникающих при бетонировании, из-за наличия стержней, пересекающих сечение, связи на каждом уровне допускается устанавливать и закреплять поочередно непосредственно перед укладкой каждого последующего слоя бетона.</w:t>
      </w:r>
    </w:p>
    <w:p w:rsidR="00212513" w:rsidRDefault="00212513">
      <w:pPr>
        <w:pStyle w:val="ConsPlusNormal"/>
        <w:spacing w:before="220"/>
        <w:ind w:firstLine="540"/>
        <w:jc w:val="both"/>
      </w:pPr>
      <w:r>
        <w:t>7.152 На концевых участках сжатых элементов, передающих нагрузку через торцы без выпусков стержней продольной арматуры, следует устанавливать поперечные сварные сетки в количестве не менее четырех (в сваях - пять). Длину концевых участков, армированных сетками, следует принимать не менее 20 диаметров стержней продольной арматуры, а расстояние между сетками назначать не более 10 см.</w:t>
      </w:r>
    </w:p>
    <w:p w:rsidR="00212513" w:rsidRDefault="00212513">
      <w:pPr>
        <w:pStyle w:val="ConsPlusNormal"/>
        <w:spacing w:before="220"/>
        <w:ind w:firstLine="540"/>
        <w:jc w:val="both"/>
      </w:pPr>
      <w:bookmarkStart w:id="252" w:name="P5832"/>
      <w:bookmarkEnd w:id="252"/>
      <w:r>
        <w:t xml:space="preserve">7.153 При косвенном армировании сжатых элементов ненапрягаемой арматурой (см. </w:t>
      </w:r>
      <w:hyperlink w:anchor="P4681">
        <w:r>
          <w:rPr>
            <w:color w:val="0000FF"/>
          </w:rPr>
          <w:t>7.72</w:t>
        </w:r>
      </w:hyperlink>
      <w:r>
        <w:t>) применяемые сварные поперечные сетки и спирали должны выполняться из арматурной стали классов А300 и А400 (диаметром не более 14 мм).</w:t>
      </w:r>
    </w:p>
    <w:p w:rsidR="00212513" w:rsidRDefault="00212513">
      <w:pPr>
        <w:pStyle w:val="ConsPlusNormal"/>
        <w:spacing w:before="220"/>
        <w:ind w:firstLine="540"/>
        <w:jc w:val="both"/>
      </w:pPr>
      <w:r>
        <w:t>Стержни поперечных сеток и витки спирали должны охватывать всю рабочую продольную арматуру элемента.</w:t>
      </w:r>
    </w:p>
    <w:p w:rsidR="00212513" w:rsidRDefault="00212513">
      <w:pPr>
        <w:pStyle w:val="ConsPlusNormal"/>
        <w:spacing w:before="220"/>
        <w:ind w:firstLine="540"/>
        <w:jc w:val="both"/>
      </w:pPr>
      <w:r>
        <w:t>Размеры ячеек поперечных сеток следует принимать не менее 5,5 см и не более 1/4 меньшей стороны сечения элемента или 10 см. Шаг поперечных сеток по длине элемента следует назначать не менее 6 см и не более 1/3 меньшей стороны сечения элемента или 10 см.</w:t>
      </w:r>
    </w:p>
    <w:p w:rsidR="00212513" w:rsidRDefault="00212513">
      <w:pPr>
        <w:pStyle w:val="ConsPlusNormal"/>
        <w:spacing w:before="220"/>
        <w:ind w:firstLine="540"/>
        <w:jc w:val="both"/>
      </w:pPr>
      <w:r>
        <w:t>Спирали должны иметь поперечный размер навивки не менее 20 см. Шаг витков спирали следует назначать не менее 4 см и не более 1/5 диаметра сечения элемента или 10 см.</w:t>
      </w:r>
    </w:p>
    <w:p w:rsidR="00212513" w:rsidRDefault="00212513">
      <w:pPr>
        <w:pStyle w:val="ConsPlusNormal"/>
        <w:jc w:val="both"/>
      </w:pPr>
      <w:r>
        <w:t xml:space="preserve">(в ред. </w:t>
      </w:r>
      <w:hyperlink r:id="rId1336">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t>7.154 В звеньях круглых труб и цилиндрических оболочек при их армировании двойными сетками стержни рабочей арматуры должны быть связаны в радиальном направлении соединительными стержнями-фиксаторами или объединены в каркасы.</w:t>
      </w:r>
    </w:p>
    <w:p w:rsidR="00212513" w:rsidRDefault="00212513">
      <w:pPr>
        <w:pStyle w:val="ConsPlusNormal"/>
        <w:ind w:firstLine="540"/>
        <w:jc w:val="both"/>
      </w:pPr>
    </w:p>
    <w:p w:rsidR="00212513" w:rsidRDefault="00212513">
      <w:pPr>
        <w:pStyle w:val="ConsPlusTitle"/>
        <w:ind w:firstLine="540"/>
        <w:jc w:val="both"/>
        <w:outlineLvl w:val="3"/>
      </w:pPr>
      <w:r>
        <w:t>Сварные соединения арматуры</w:t>
      </w:r>
    </w:p>
    <w:p w:rsidR="00212513" w:rsidRDefault="00212513">
      <w:pPr>
        <w:pStyle w:val="ConsPlusNormal"/>
        <w:ind w:firstLine="540"/>
        <w:jc w:val="both"/>
      </w:pPr>
    </w:p>
    <w:p w:rsidR="00212513" w:rsidRDefault="00212513">
      <w:pPr>
        <w:pStyle w:val="ConsPlusNormal"/>
        <w:ind w:firstLine="540"/>
        <w:jc w:val="both"/>
      </w:pPr>
      <w:r>
        <w:t xml:space="preserve">7.155 Сварные соединения арматуры должны отвечать требованиям </w:t>
      </w:r>
      <w:hyperlink r:id="rId1337">
        <w:r>
          <w:rPr>
            <w:color w:val="0000FF"/>
          </w:rPr>
          <w:t>ГОСТ 14098</w:t>
        </w:r>
      </w:hyperlink>
      <w:r>
        <w:t xml:space="preserve"> и </w:t>
      </w:r>
      <w:hyperlink r:id="rId1338">
        <w:r>
          <w:rPr>
            <w:color w:val="0000FF"/>
          </w:rPr>
          <w:t>ГОСТ Р 57997</w:t>
        </w:r>
      </w:hyperlink>
      <w:r>
        <w:t>. Для применяемых стыков должны указываться категория ответственности и соответствующая им категория требований к контролю качества сварных соединений.</w:t>
      </w:r>
    </w:p>
    <w:p w:rsidR="00212513" w:rsidRDefault="00212513">
      <w:pPr>
        <w:pStyle w:val="ConsPlusNormal"/>
        <w:jc w:val="both"/>
      </w:pPr>
      <w:r>
        <w:t xml:space="preserve">(в ред. </w:t>
      </w:r>
      <w:hyperlink r:id="rId1339">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t>Сварные соединения, несущая способность которых определяется из расчета по первому предельному состоянию, относят к I категории, по второму предельному состоянию - ко II категории, а в остальных случаях соединения - к III категории ответственности и, соответственно, к III категории качества стыков.</w:t>
      </w:r>
    </w:p>
    <w:p w:rsidR="00212513" w:rsidRDefault="00212513">
      <w:pPr>
        <w:pStyle w:val="ConsPlusNormal"/>
        <w:spacing w:before="220"/>
        <w:ind w:firstLine="540"/>
        <w:jc w:val="both"/>
      </w:pPr>
      <w:r>
        <w:t xml:space="preserve">Объем контроля для сварных соединений следует определять в соответствии с указаниями </w:t>
      </w:r>
      <w:hyperlink r:id="rId1340">
        <w:r>
          <w:rPr>
            <w:color w:val="0000FF"/>
          </w:rPr>
          <w:t>СП 70.13330</w:t>
        </w:r>
      </w:hyperlink>
      <w:r>
        <w:t>.</w:t>
      </w:r>
    </w:p>
    <w:p w:rsidR="00212513" w:rsidRDefault="00212513">
      <w:pPr>
        <w:pStyle w:val="ConsPlusNormal"/>
        <w:jc w:val="both"/>
      </w:pPr>
      <w:r>
        <w:t xml:space="preserve">(в ред. </w:t>
      </w:r>
      <w:hyperlink r:id="rId1341">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 xml:space="preserve">7.156 Горячекатаная стержневая арматурная сталь классов и марок, указанных в </w:t>
      </w:r>
      <w:hyperlink w:anchor="P2894">
        <w:r>
          <w:rPr>
            <w:color w:val="0000FF"/>
          </w:rPr>
          <w:t>таблице 7.14</w:t>
        </w:r>
      </w:hyperlink>
      <w:r>
        <w:t>, как правило, должна соединяться посредством контактной стыковой сварки.</w:t>
      </w:r>
    </w:p>
    <w:p w:rsidR="00212513" w:rsidRDefault="00212513">
      <w:pPr>
        <w:pStyle w:val="ConsPlusNormal"/>
        <w:jc w:val="both"/>
      </w:pPr>
      <w:r>
        <w:t xml:space="preserve">(в ред. </w:t>
      </w:r>
      <w:hyperlink r:id="rId1342">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lastRenderedPageBreak/>
        <w:t>Стыкование арматуры контактной сваркой допускается при отношении площадей стыкуемых стержней не более 1,15. В арматурных элементах, рассчитываемых на выносливость, как правило, необходимо устранять в зоне стыков возникшие в результате сварки концентраторы напряжений путем соответствующей механической продольной зачистки.</w:t>
      </w:r>
    </w:p>
    <w:p w:rsidR="00212513" w:rsidRDefault="00212513">
      <w:pPr>
        <w:pStyle w:val="ConsPlusNormal"/>
        <w:jc w:val="both"/>
      </w:pPr>
      <w:r>
        <w:t xml:space="preserve">(в ред. </w:t>
      </w:r>
      <w:hyperlink r:id="rId1343">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Допускается применять другие эффективные конструктивные решения сварных стыков при условии, что ограниченный предел выносливости этих стыков будет не менее нормативного предела выносливости свариваемых арматурных стержней.</w:t>
      </w:r>
    </w:p>
    <w:p w:rsidR="00212513" w:rsidRDefault="00212513">
      <w:pPr>
        <w:pStyle w:val="ConsPlusNormal"/>
        <w:spacing w:before="220"/>
        <w:ind w:firstLine="540"/>
        <w:jc w:val="both"/>
      </w:pPr>
      <w:r>
        <w:t xml:space="preserve">7.157 Сварные сетки, в том числе и по </w:t>
      </w:r>
      <w:hyperlink r:id="rId1344">
        <w:r>
          <w:rPr>
            <w:color w:val="0000FF"/>
          </w:rPr>
          <w:t>ГОСТ 23279</w:t>
        </w:r>
      </w:hyperlink>
      <w:r>
        <w:t>, а также каркасы следует, как правило, предусматривать с применением в пересечениях стержней контактной точечной сварки.</w:t>
      </w:r>
    </w:p>
    <w:p w:rsidR="00212513" w:rsidRDefault="00212513">
      <w:pPr>
        <w:pStyle w:val="ConsPlusNormal"/>
        <w:spacing w:before="220"/>
        <w:ind w:firstLine="540"/>
        <w:jc w:val="both"/>
      </w:pPr>
      <w:r>
        <w:t>В сварных сетках стыки (тип стыка - К1-Кт) разрешается располагать сварные стыки в шахматном порядке (не более 50% сварных стыков в расчетном сечении). Крайние стержни, а также все стержни сеток косвенного армирования необходимо сваривать во всех пересечениях.</w:t>
      </w:r>
    </w:p>
    <w:p w:rsidR="00212513" w:rsidRDefault="00212513">
      <w:pPr>
        <w:pStyle w:val="ConsPlusNormal"/>
        <w:jc w:val="both"/>
      </w:pPr>
      <w:r>
        <w:t xml:space="preserve">(в ред. </w:t>
      </w:r>
      <w:hyperlink r:id="rId1345">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t xml:space="preserve">7.158 При изготовлении из арматурной стали классов А240, А300 и А400 сеток и каркасов, которые в соответствии с указаниями </w:t>
      </w:r>
      <w:hyperlink w:anchor="P2894">
        <w:r>
          <w:rPr>
            <w:color w:val="0000FF"/>
          </w:rPr>
          <w:t>таблицы 7.14</w:t>
        </w:r>
      </w:hyperlink>
      <w:r>
        <w:t xml:space="preserve"> должны выполняться в вязаном варианте, применение сварных соединений для основной арматуры может быть допущено только в местах, где напряжения в стержнях арматуры не превышают 50% установленных расчетных сопротивлений.</w:t>
      </w:r>
    </w:p>
    <w:p w:rsidR="00212513" w:rsidRDefault="00212513">
      <w:pPr>
        <w:pStyle w:val="ConsPlusNormal"/>
        <w:spacing w:before="220"/>
        <w:ind w:firstLine="540"/>
        <w:jc w:val="both"/>
      </w:pPr>
      <w:r>
        <w:t>7.159 Число стыков в одном расчетном сечении элемента (в пределах участка длиной, равной 15 диаметрам стыкуемых стержней) не должно превышать в элементах, арматура которых рассчитывается на выносливость, 25%, в элементах, арматура которых не рассчитывается на выносливость, - 40% общего количества рабочей арматуры в растянутой зоне сечения.</w:t>
      </w:r>
    </w:p>
    <w:p w:rsidR="00212513" w:rsidRDefault="00212513">
      <w:pPr>
        <w:pStyle w:val="ConsPlusNormal"/>
        <w:spacing w:before="220"/>
        <w:ind w:firstLine="540"/>
        <w:jc w:val="both"/>
      </w:pPr>
      <w:r>
        <w:t>Сварные стыки арматуры допускается располагать без разбежки в монтажных стыках сборных элементов (без снижения расчетного сопротивления арматуры), а также на участках конструкции, где арматура используется не более чем на 50%.</w:t>
      </w:r>
    </w:p>
    <w:p w:rsidR="00212513" w:rsidRDefault="00212513">
      <w:pPr>
        <w:pStyle w:val="ConsPlusNormal"/>
        <w:spacing w:before="220"/>
        <w:ind w:firstLine="540"/>
        <w:jc w:val="both"/>
      </w:pPr>
      <w:bookmarkStart w:id="253" w:name="P5857"/>
      <w:bookmarkEnd w:id="253"/>
      <w:r>
        <w:t>7.160 Для стыков стержневой горячекатаной арматуры из стали классов А240, А300 и А400 при монтаже конструкций допускаются применение ванно-шовной сварки на стальной скобе накладке длиной не менее 5 диаметров стержней, а также применение нахлесточных стыков с парными смещенными накладками, приваренными односторонними или двусторонними швами суммарной длиной не менее 10 диаметров стыкуемых стержней. Ванно-шовную сварку следует применять при диаметре стержней не менее 20 мм.</w:t>
      </w:r>
    </w:p>
    <w:p w:rsidR="00212513" w:rsidRDefault="00212513">
      <w:pPr>
        <w:pStyle w:val="ConsPlusNormal"/>
        <w:jc w:val="both"/>
      </w:pPr>
      <w:r>
        <w:t xml:space="preserve">(в ред. </w:t>
      </w:r>
      <w:hyperlink r:id="rId1346">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t xml:space="preserve">Для не рассчитываемых на выносливость стыков сжатых стержней допускается также применение ванной сварки на коротких стальных накладках (подкладках) в соответствии с </w:t>
      </w:r>
      <w:hyperlink r:id="rId1347">
        <w:r>
          <w:rPr>
            <w:color w:val="0000FF"/>
          </w:rPr>
          <w:t>ГОСТ 14098</w:t>
        </w:r>
      </w:hyperlink>
      <w:r>
        <w:t>.</w:t>
      </w:r>
    </w:p>
    <w:p w:rsidR="00212513" w:rsidRDefault="00212513">
      <w:pPr>
        <w:pStyle w:val="ConsPlusNormal"/>
        <w:spacing w:before="220"/>
        <w:ind w:firstLine="540"/>
        <w:jc w:val="both"/>
      </w:pPr>
      <w:r>
        <w:t>Длина односторонних сварных швов, прикрепляющих наклонные стержни арматуры, должна быть не менее 12 диаметров при толщине швов не менее 0,25</w:t>
      </w:r>
      <w:r>
        <w:rPr>
          <w:i/>
        </w:rPr>
        <w:t>d</w:t>
      </w:r>
      <w:r>
        <w:t xml:space="preserve"> и не менее 4 мм; длину двусторонних швов допускается принимать вдвое меньшей.</w:t>
      </w:r>
    </w:p>
    <w:p w:rsidR="00212513" w:rsidRDefault="00212513">
      <w:pPr>
        <w:pStyle w:val="ConsPlusNormal"/>
        <w:spacing w:before="220"/>
        <w:ind w:firstLine="540"/>
        <w:jc w:val="both"/>
      </w:pPr>
      <w:r>
        <w:t xml:space="preserve">В сварных арматурных каркасах с применением элементов жесткости (обечаек) допускается выполнять объединение этих элементов (обечаек) с рабочей арматурой односторонним сварным швом типа Н1-Рш по </w:t>
      </w:r>
      <w:hyperlink r:id="rId1348">
        <w:r>
          <w:rPr>
            <w:color w:val="0000FF"/>
          </w:rPr>
          <w:t>ГОСТ 14098</w:t>
        </w:r>
      </w:hyperlink>
      <w:r>
        <w:t xml:space="preserve"> с длиной и катетом шва, определяемыми расчетом, но не менее 40 мм и 5 мм соответственно.</w:t>
      </w:r>
    </w:p>
    <w:p w:rsidR="00212513" w:rsidRDefault="00212513">
      <w:pPr>
        <w:pStyle w:val="ConsPlusNormal"/>
        <w:jc w:val="both"/>
      </w:pPr>
      <w:r>
        <w:t xml:space="preserve">(абзац введен </w:t>
      </w:r>
      <w:hyperlink r:id="rId1349">
        <w:r>
          <w:rPr>
            <w:color w:val="0000FF"/>
          </w:rPr>
          <w:t>Изменением N 4</w:t>
        </w:r>
      </w:hyperlink>
      <w:r>
        <w:t>, утв. Приказом Минстроя России от 30.05.2024 N 361/пр)</w:t>
      </w:r>
    </w:p>
    <w:p w:rsidR="00212513" w:rsidRDefault="00212513">
      <w:pPr>
        <w:pStyle w:val="ConsPlusNormal"/>
        <w:spacing w:before="220"/>
        <w:ind w:firstLine="540"/>
        <w:jc w:val="both"/>
      </w:pPr>
      <w:r>
        <w:t xml:space="preserve">7.161 Монтажные выпуски арматуры в стыках должны обеспечивать условия для </w:t>
      </w:r>
      <w:r>
        <w:lastRenderedPageBreak/>
        <w:t>качественного выполнения на монтаже ванно-шовной сварки на удлиненных накладках с плавным выводом продольных сварных швов на стыкуемые стержни.</w:t>
      </w:r>
    </w:p>
    <w:p w:rsidR="00212513" w:rsidRDefault="00212513">
      <w:pPr>
        <w:pStyle w:val="ConsPlusNormal"/>
        <w:spacing w:before="220"/>
        <w:ind w:firstLine="540"/>
        <w:jc w:val="both"/>
      </w:pPr>
      <w:r>
        <w:t>В вязаных арматурных каркасах конструкций автодорожных и городских мостов для закрепления арматуры в проектном положении и возможности их транспортирования, монтажа и бетонирования допускается в местах пересечения стержней арматуры устройство вспомогательных сварных соединений (прихваток). Как правило, соединения должны располагаться вне мест наибольшего использования арматуры таким образом, чтобы в одном расчетном сечении было не более 5% таких соединений. Тип прихваток, количество и места их расположения должны соответствовать технологическим регламентам.</w:t>
      </w:r>
    </w:p>
    <w:p w:rsidR="00212513" w:rsidRDefault="00212513">
      <w:pPr>
        <w:pStyle w:val="ConsPlusNormal"/>
        <w:jc w:val="both"/>
      </w:pPr>
      <w:r>
        <w:t xml:space="preserve">(в ред. </w:t>
      </w:r>
      <w:hyperlink r:id="rId1350">
        <w:r>
          <w:rPr>
            <w:color w:val="0000FF"/>
          </w:rPr>
          <w:t>Изменения N 3</w:t>
        </w:r>
      </w:hyperlink>
      <w:r>
        <w:t>, утв. Приказом Минстроя России от 29.12.2020 N 891/пр)</w:t>
      </w:r>
    </w:p>
    <w:p w:rsidR="00212513" w:rsidRDefault="00212513">
      <w:pPr>
        <w:pStyle w:val="ConsPlusNormal"/>
        <w:ind w:firstLine="540"/>
        <w:jc w:val="both"/>
      </w:pPr>
    </w:p>
    <w:p w:rsidR="00212513" w:rsidRDefault="00212513">
      <w:pPr>
        <w:pStyle w:val="ConsPlusTitle"/>
        <w:ind w:firstLine="540"/>
        <w:jc w:val="both"/>
        <w:outlineLvl w:val="3"/>
      </w:pPr>
      <w:r>
        <w:t>Стыки ненапрягаемой арматуры внахлестку (без сварки)</w:t>
      </w:r>
    </w:p>
    <w:p w:rsidR="00212513" w:rsidRDefault="00212513">
      <w:pPr>
        <w:pStyle w:val="ConsPlusNormal"/>
        <w:ind w:firstLine="540"/>
        <w:jc w:val="both"/>
      </w:pPr>
    </w:p>
    <w:p w:rsidR="00212513" w:rsidRDefault="00212513">
      <w:pPr>
        <w:pStyle w:val="ConsPlusNormal"/>
        <w:ind w:firstLine="540"/>
        <w:jc w:val="both"/>
      </w:pPr>
      <w:r>
        <w:t>7.162 Во внецентренно сжатых, изгибаемых и внецентренно растянутых элементах стержни арматурной стали периодического профиля диаметром до 36 мм и гладкие с полукруглыми крюками допускается стыковать внахлестку.</w:t>
      </w:r>
    </w:p>
    <w:p w:rsidR="00212513" w:rsidRDefault="00212513">
      <w:pPr>
        <w:pStyle w:val="ConsPlusNormal"/>
        <w:spacing w:before="220"/>
        <w:ind w:firstLine="540"/>
        <w:jc w:val="both"/>
      </w:pPr>
      <w:r>
        <w:t>В центрально-растянутых элементах не допускается стыкование растянутых арматурных стержней внахлестку.</w:t>
      </w:r>
    </w:p>
    <w:p w:rsidR="00212513" w:rsidRDefault="00212513">
      <w:pPr>
        <w:pStyle w:val="ConsPlusNormal"/>
        <w:spacing w:before="220"/>
        <w:ind w:firstLine="540"/>
        <w:jc w:val="both"/>
      </w:pPr>
      <w:r>
        <w:t xml:space="preserve">7.163 В стыках арматуры внахлестку длину </w:t>
      </w:r>
      <w:r>
        <w:rPr>
          <w:noProof/>
          <w:position w:val="-8"/>
        </w:rPr>
        <w:drawing>
          <wp:inline distT="0" distB="0" distL="0" distR="0">
            <wp:extent cx="137160" cy="250825"/>
            <wp:effectExtent l="0" t="0" r="0" b="0"/>
            <wp:docPr id="9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нахлестки (перепуска) стержней из арматурной стали класса А300 следует принимать не менее:</w:t>
      </w:r>
    </w:p>
    <w:p w:rsidR="00212513" w:rsidRDefault="00212513">
      <w:pPr>
        <w:pStyle w:val="ConsPlusNormal"/>
        <w:spacing w:before="220"/>
        <w:ind w:firstLine="540"/>
        <w:jc w:val="both"/>
      </w:pPr>
      <w:r>
        <w:t>30</w:t>
      </w:r>
      <w:r>
        <w:rPr>
          <w:i/>
        </w:rPr>
        <w:t>d</w:t>
      </w:r>
      <w:r>
        <w:t xml:space="preserve"> - при классах бетона В20 - В27,5;</w:t>
      </w:r>
    </w:p>
    <w:p w:rsidR="00212513" w:rsidRDefault="00212513">
      <w:pPr>
        <w:pStyle w:val="ConsPlusNormal"/>
        <w:spacing w:before="220"/>
        <w:ind w:firstLine="540"/>
        <w:jc w:val="both"/>
      </w:pPr>
      <w:r>
        <w:t>25</w:t>
      </w:r>
      <w:r>
        <w:rPr>
          <w:i/>
        </w:rPr>
        <w:t>d</w:t>
      </w:r>
      <w:r>
        <w:t xml:space="preserve"> - при классе бетона В30 и выше, где </w:t>
      </w:r>
      <w:r>
        <w:rPr>
          <w:i/>
        </w:rPr>
        <w:t>d</w:t>
      </w:r>
      <w:r>
        <w:t xml:space="preserve"> - диаметр стыкуемых стержней.</w:t>
      </w:r>
    </w:p>
    <w:p w:rsidR="00212513" w:rsidRDefault="00212513">
      <w:pPr>
        <w:pStyle w:val="ConsPlusNormal"/>
        <w:spacing w:before="220"/>
        <w:ind w:firstLine="540"/>
        <w:jc w:val="both"/>
      </w:pPr>
      <w:r>
        <w:t xml:space="preserve">Для арматуры из стали класса А400 длина нахлестки </w:t>
      </w:r>
      <w:r>
        <w:rPr>
          <w:noProof/>
          <w:position w:val="-8"/>
        </w:rPr>
        <w:drawing>
          <wp:inline distT="0" distB="0" distL="0" distR="0">
            <wp:extent cx="137160" cy="250825"/>
            <wp:effectExtent l="0" t="0" r="0" b="0"/>
            <wp:docPr id="9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должна быть соответственно увеличена на 4</w:t>
      </w:r>
      <w:r>
        <w:rPr>
          <w:i/>
        </w:rPr>
        <w:t>d</w:t>
      </w:r>
      <w:r>
        <w:t>.</w:t>
      </w:r>
    </w:p>
    <w:p w:rsidR="00212513" w:rsidRDefault="00212513">
      <w:pPr>
        <w:pStyle w:val="ConsPlusNormal"/>
        <w:spacing w:before="220"/>
        <w:ind w:firstLine="540"/>
        <w:jc w:val="both"/>
      </w:pPr>
      <w:r>
        <w:t xml:space="preserve">Для арматуры из стали класса А240 длину нахлестки </w:t>
      </w:r>
      <w:r>
        <w:rPr>
          <w:noProof/>
          <w:position w:val="-8"/>
        </w:rPr>
        <w:drawing>
          <wp:inline distT="0" distB="0" distL="0" distR="0">
            <wp:extent cx="137160" cy="250825"/>
            <wp:effectExtent l="0" t="0" r="0" b="0"/>
            <wp:docPr id="9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(между внутренними поверхностями полукруглых крюков) следует принимать такой же, как и для арматуры из стали класса А400.</w:t>
      </w:r>
    </w:p>
    <w:p w:rsidR="00212513" w:rsidRDefault="00212513">
      <w:pPr>
        <w:pStyle w:val="ConsPlusNormal"/>
        <w:spacing w:before="220"/>
        <w:ind w:firstLine="540"/>
        <w:jc w:val="both"/>
      </w:pPr>
      <w:r>
        <w:t xml:space="preserve">Для стыков, расположенных в сжатой зоне сечения, длину нахлестки </w:t>
      </w:r>
      <w:r>
        <w:rPr>
          <w:noProof/>
          <w:position w:val="-8"/>
        </w:rPr>
        <w:drawing>
          <wp:inline distT="0" distB="0" distL="0" distR="0">
            <wp:extent cx="137160" cy="250825"/>
            <wp:effectExtent l="0" t="0" r="0" b="0"/>
            <wp:docPr id="9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допускается принимать на 5</w:t>
      </w:r>
      <w:r>
        <w:rPr>
          <w:i/>
        </w:rPr>
        <w:t>d</w:t>
      </w:r>
      <w:r>
        <w:t xml:space="preserve"> менее установленной выше.</w:t>
      </w:r>
    </w:p>
    <w:p w:rsidR="00212513" w:rsidRDefault="00212513">
      <w:pPr>
        <w:pStyle w:val="ConsPlusNormal"/>
        <w:spacing w:before="220"/>
        <w:ind w:firstLine="540"/>
        <w:jc w:val="both"/>
      </w:pPr>
      <w:r>
        <w:t xml:space="preserve">Отдельные сварные сетки, имеющие продольные стержни периодического профиля, следует стыковать внахлестку на длину не менее </w:t>
      </w:r>
      <w:r>
        <w:rPr>
          <w:i/>
        </w:rPr>
        <w:t>l</w:t>
      </w:r>
      <w:r>
        <w:rPr>
          <w:i/>
          <w:vertAlign w:val="subscript"/>
        </w:rPr>
        <w:t>s</w:t>
      </w:r>
      <w:r>
        <w:t xml:space="preserve"> продольных стержней сетки и не менее 25 см.</w:t>
      </w:r>
    </w:p>
    <w:p w:rsidR="00212513" w:rsidRDefault="00212513">
      <w:pPr>
        <w:pStyle w:val="ConsPlusNormal"/>
        <w:jc w:val="both"/>
      </w:pPr>
      <w:r>
        <w:t xml:space="preserve">(в ред. </w:t>
      </w:r>
      <w:hyperlink r:id="rId1352">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В местах расположения стыков стержней арматуры внахлестку должна в обязательном порядке устанавливаться поперечная арматура, в том числе в виде хомутов. В местах, где стыкуется максимально допустимое количество арматуры, установленной по расчету на прочность, шаг поперечной арматуры следует назначать не более 10 см, а в буронабивных столбах шаг таких хомутов - 13 см.</w:t>
      </w:r>
    </w:p>
    <w:p w:rsidR="00212513" w:rsidRDefault="00212513">
      <w:pPr>
        <w:pStyle w:val="ConsPlusNormal"/>
        <w:jc w:val="both"/>
      </w:pPr>
      <w:r>
        <w:t xml:space="preserve">(в ред. </w:t>
      </w:r>
      <w:hyperlink r:id="rId1353">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t>Стыки арматуры внахлестку, как правило, следует располагать вразбежку. При этом площадь сечения рабочих стержней, стыкуемых на длине требуемой нахлестки, должна составлять при стержнях периодического профиля не более 50% общей площади сечения рабочей арматуры, при гладких стержнях - не более 25%.</w:t>
      </w:r>
    </w:p>
    <w:p w:rsidR="00212513" w:rsidRDefault="00212513">
      <w:pPr>
        <w:pStyle w:val="ConsPlusNormal"/>
        <w:spacing w:before="220"/>
        <w:ind w:firstLine="540"/>
        <w:jc w:val="both"/>
      </w:pPr>
      <w:r>
        <w:t xml:space="preserve">Допускается стыковать в одном сечении более 50% общей площади сечения рабочей </w:t>
      </w:r>
      <w:r>
        <w:lastRenderedPageBreak/>
        <w:t xml:space="preserve">арматуры, при этом длину нахлестки </w:t>
      </w:r>
      <w:r>
        <w:rPr>
          <w:noProof/>
          <w:position w:val="-8"/>
        </w:rPr>
        <w:drawing>
          <wp:inline distT="0" distB="0" distL="0" distR="0">
            <wp:extent cx="137160" cy="250825"/>
            <wp:effectExtent l="0" t="0" r="0" b="0"/>
            <wp:docPr id="9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следует увеличивать в два раза.</w:t>
      </w:r>
    </w:p>
    <w:p w:rsidR="00212513" w:rsidRDefault="00212513">
      <w:pPr>
        <w:pStyle w:val="ConsPlusNormal"/>
        <w:spacing w:before="220"/>
        <w:ind w:firstLine="540"/>
        <w:jc w:val="both"/>
      </w:pPr>
      <w:r>
        <w:t>7.164 Допускается стыковка стержней рабочей арматуры, в том числе разных диаметров, с использованием несварных муфт различной конструкции. Допускается использование муфт заводского изготовления, выпускаемых по техническим условиям, после всестороннего исследования (испытаний оценки соответствия) их свойств на прочность, коррозионную стойкость, стойкость к усталостным разрушениям (работа на выносливость) и т.п. Технические условия должны регламентировать среди прочего: область применения; порядок установки; значения усилий, передаваемых через муфту; долговечность работы соединения; методы контроля выполняемой стыковки и т.п. Срок службы используемых муфт должен быть не менее срока службы стыкуемых элементов.</w:t>
      </w:r>
    </w:p>
    <w:p w:rsidR="00212513" w:rsidRDefault="00212513">
      <w:pPr>
        <w:pStyle w:val="ConsPlusNormal"/>
        <w:jc w:val="both"/>
      </w:pPr>
      <w:r>
        <w:t xml:space="preserve">(п. 7.164 в ред. </w:t>
      </w:r>
      <w:hyperlink r:id="rId1354">
        <w:r>
          <w:rPr>
            <w:color w:val="0000FF"/>
          </w:rPr>
          <w:t>Изменения N 3</w:t>
        </w:r>
      </w:hyperlink>
      <w:r>
        <w:t>, утв. Приказом Минстроя России от 29.12.2020 N 891/пр)</w:t>
      </w:r>
    </w:p>
    <w:p w:rsidR="00212513" w:rsidRDefault="00212513">
      <w:pPr>
        <w:pStyle w:val="ConsPlusNormal"/>
        <w:ind w:firstLine="540"/>
        <w:jc w:val="both"/>
      </w:pPr>
    </w:p>
    <w:p w:rsidR="00212513" w:rsidRDefault="00212513">
      <w:pPr>
        <w:pStyle w:val="ConsPlusTitle"/>
        <w:ind w:firstLine="540"/>
        <w:jc w:val="both"/>
        <w:outlineLvl w:val="3"/>
      </w:pPr>
      <w:r>
        <w:t>Стыки элементов сборных конструкций</w:t>
      </w:r>
    </w:p>
    <w:p w:rsidR="00212513" w:rsidRDefault="00212513">
      <w:pPr>
        <w:pStyle w:val="ConsPlusNormal"/>
        <w:ind w:firstLine="540"/>
        <w:jc w:val="both"/>
      </w:pPr>
    </w:p>
    <w:p w:rsidR="00212513" w:rsidRDefault="00212513">
      <w:pPr>
        <w:pStyle w:val="ConsPlusNormal"/>
        <w:ind w:firstLine="540"/>
        <w:jc w:val="both"/>
      </w:pPr>
      <w:r>
        <w:t>7.165 В сборных конструкциях, как правило, следует применять стыки:</w:t>
      </w:r>
    </w:p>
    <w:p w:rsidR="00212513" w:rsidRDefault="00212513">
      <w:pPr>
        <w:pStyle w:val="ConsPlusNormal"/>
        <w:spacing w:before="220"/>
        <w:ind w:firstLine="540"/>
        <w:jc w:val="both"/>
      </w:pPr>
      <w:r>
        <w:t>бетонируемые широкие с расстоянием между торцами объединяемых элементов 10 см и более, с выпуском из элементов стержней рабочей арматуры или стальных закладных деталей;</w:t>
      </w:r>
    </w:p>
    <w:p w:rsidR="00212513" w:rsidRDefault="00212513">
      <w:pPr>
        <w:pStyle w:val="ConsPlusNormal"/>
        <w:spacing w:before="220"/>
        <w:ind w:firstLine="540"/>
        <w:jc w:val="both"/>
      </w:pPr>
      <w:r>
        <w:t>бетонируемые узкие (обжимаемые) шириной не более 3 см, без выпусков из элементов арматуры, с заполнением стыкового зазора цементным или полимерцементным раствором;</w:t>
      </w:r>
    </w:p>
    <w:p w:rsidR="00212513" w:rsidRDefault="00212513">
      <w:pPr>
        <w:pStyle w:val="ConsPlusNormal"/>
        <w:spacing w:before="220"/>
        <w:ind w:firstLine="540"/>
        <w:jc w:val="both"/>
      </w:pPr>
      <w:r>
        <w:t>клееные плотные (обжимаемые) с клеевой прослойкой толщиной не более 0,3 см для пролетных строений и не более 0,5 см для опор на основе эпоксидных смол или других долговечных полимерных композиций. Максимальная толщина клиновидных стыков не должна превышать 0,6 см в пролетных строениях и 0,9 см в опорах.</w:t>
      </w:r>
    </w:p>
    <w:p w:rsidR="00212513" w:rsidRDefault="00212513">
      <w:pPr>
        <w:pStyle w:val="ConsPlusNormal"/>
        <w:jc w:val="both"/>
      </w:pPr>
      <w:r>
        <w:t xml:space="preserve">(в ред. </w:t>
      </w:r>
      <w:hyperlink r:id="rId1355">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Применение сухих стыков (без заполнения швов между блоками клеевым составом, цементным или полимерным раствором) в пролетных строениях не допускается.</w:t>
      </w:r>
    </w:p>
    <w:p w:rsidR="00212513" w:rsidRDefault="00212513">
      <w:pPr>
        <w:pStyle w:val="ConsPlusNormal"/>
        <w:spacing w:before="220"/>
        <w:ind w:firstLine="540"/>
        <w:jc w:val="both"/>
      </w:pPr>
      <w:r>
        <w:t>7.166 Торцы блоков составных по длине пролетных строений при применении стыков без выпусков арматуры следует армировать дополнительными поперечными сетками из стержней диаметром не менее 6 мм. При устройстве зубчатого стыка или стыка с уступами расчетная арматура зуба и уступа должна иметь диаметр не менее 10 мм.</w:t>
      </w:r>
    </w:p>
    <w:p w:rsidR="00212513" w:rsidRDefault="00212513">
      <w:pPr>
        <w:pStyle w:val="ConsPlusNormal"/>
        <w:spacing w:before="220"/>
        <w:ind w:firstLine="540"/>
        <w:jc w:val="both"/>
      </w:pPr>
      <w:r>
        <w:t>7.167 В составных по длине (высоте) конструкциях с клееными плотными стыками для обеспечения точного совмещения стыкуемых поверхностей блоков следует, как правило, устраивать фиксаторы, в том числе в виде бетонных шпонок.</w:t>
      </w:r>
    </w:p>
    <w:p w:rsidR="00212513" w:rsidRDefault="00212513">
      <w:pPr>
        <w:pStyle w:val="ConsPlusNormal"/>
        <w:spacing w:before="220"/>
        <w:ind w:firstLine="540"/>
        <w:jc w:val="both"/>
      </w:pPr>
      <w:r>
        <w:t>7.168 Для верхних плит балок автодорожных, городских и участков совмещенных, не подвергающихся непосредственному воздействию подвижной железнодорожной нагрузки, мостов допускается применение бетонируемых стыков с выпусками арматуры периодического профиля класса не выше А400 из плит:</w:t>
      </w:r>
    </w:p>
    <w:p w:rsidR="00212513" w:rsidRDefault="00212513">
      <w:pPr>
        <w:pStyle w:val="ConsPlusNormal"/>
        <w:spacing w:before="220"/>
        <w:ind w:firstLine="540"/>
        <w:jc w:val="both"/>
      </w:pPr>
      <w:r>
        <w:t>а) с прямыми крюками на всю толщину плиты (за вычетом защитных слоев) с взаимным перепуском арматуры внахлестку на длину не менее 15 диаметров стержней и не менее 25 см;</w:t>
      </w:r>
    </w:p>
    <w:p w:rsidR="00212513" w:rsidRDefault="00212513">
      <w:pPr>
        <w:pStyle w:val="ConsPlusNormal"/>
        <w:spacing w:before="220"/>
        <w:ind w:firstLine="540"/>
        <w:jc w:val="both"/>
      </w:pPr>
      <w:r>
        <w:t>б) в виде петель с взаимным перепуском выпусков внахлестку с такой же длиной перепуска, как указано выше. Диаметр полукруглых петель следует принимать не менее 10 диаметров арматуры.</w:t>
      </w:r>
    </w:p>
    <w:p w:rsidR="00212513" w:rsidRDefault="00212513">
      <w:pPr>
        <w:pStyle w:val="ConsPlusNormal"/>
        <w:spacing w:before="220"/>
        <w:ind w:firstLine="540"/>
        <w:jc w:val="both"/>
      </w:pPr>
      <w:r>
        <w:t xml:space="preserve">В случае устройства широких стыков между балками допускается выполнение стыков арматуры внахлест с использованием арматурных вставок таким образом, чтобы каждая </w:t>
      </w:r>
      <w:r>
        <w:lastRenderedPageBreak/>
        <w:t>арматурная вставка образовывала по своим концам стыки внахлестку с выпусками стыкуемых плит балок. Тип арматурных вставок - с прямыми крюками или замкнутые петли - должен соответствовать типу выпусков из плит. При использовании арматурных вставок следует не допускать перехлест выпусков из плит.</w:t>
      </w:r>
    </w:p>
    <w:p w:rsidR="00212513" w:rsidRDefault="00212513">
      <w:pPr>
        <w:pStyle w:val="ConsPlusNormal"/>
        <w:jc w:val="both"/>
      </w:pPr>
      <w:r>
        <w:t xml:space="preserve">(п. 7.168 в ред. </w:t>
      </w:r>
      <w:hyperlink r:id="rId1356">
        <w:r>
          <w:rPr>
            <w:color w:val="0000FF"/>
          </w:rPr>
          <w:t>Изменения N 4</w:t>
        </w:r>
      </w:hyperlink>
      <w:r>
        <w:t>, утв. Приказом Минстроя России от 30.05.2024 N 361/пр)</w:t>
      </w:r>
    </w:p>
    <w:p w:rsidR="00212513" w:rsidRDefault="00212513">
      <w:pPr>
        <w:pStyle w:val="ConsPlusNormal"/>
        <w:ind w:firstLine="540"/>
        <w:jc w:val="both"/>
      </w:pPr>
    </w:p>
    <w:p w:rsidR="00212513" w:rsidRDefault="00212513">
      <w:pPr>
        <w:pStyle w:val="ConsPlusTitle"/>
        <w:ind w:firstLine="540"/>
        <w:jc w:val="both"/>
        <w:outlineLvl w:val="2"/>
      </w:pPr>
      <w:r>
        <w:t>Дополнительные указания по конструированию предварительно напряженных железобетонных элементов</w:t>
      </w:r>
    </w:p>
    <w:p w:rsidR="00212513" w:rsidRDefault="00212513">
      <w:pPr>
        <w:pStyle w:val="ConsPlusNormal"/>
        <w:ind w:firstLine="540"/>
        <w:jc w:val="both"/>
      </w:pPr>
    </w:p>
    <w:p w:rsidR="00212513" w:rsidRDefault="00212513">
      <w:pPr>
        <w:pStyle w:val="ConsPlusNormal"/>
        <w:ind w:firstLine="540"/>
        <w:jc w:val="both"/>
      </w:pPr>
      <w:r>
        <w:t xml:space="preserve">7.169 Абзац исключен с 4 июня 2017 года. - </w:t>
      </w:r>
      <w:hyperlink r:id="rId1357">
        <w:r>
          <w:rPr>
            <w:color w:val="0000FF"/>
          </w:rPr>
          <w:t>Изменение N 1</w:t>
        </w:r>
      </w:hyperlink>
      <w:r>
        <w:t>, утв. Приказом Минстроя России от 03.12.2016 N 879/пр.</w:t>
      </w:r>
    </w:p>
    <w:p w:rsidR="00212513" w:rsidRDefault="00212513">
      <w:pPr>
        <w:pStyle w:val="ConsPlusNormal"/>
        <w:spacing w:before="220"/>
        <w:ind w:firstLine="540"/>
        <w:jc w:val="both"/>
      </w:pPr>
      <w:r>
        <w:t>Для предварительно напряженных монолитных пролетных строений следует, как правило, применять пучки из одного, четырех, семи, двенадцати и девятнадцати арматурных канатов К7 диаметрами 15,2 и 15,7 мм. При соответствующем обосновании могут применяться пучки из большего числа канатов. При этом к расчетному сопротивлению арматуры следует вводить коэффициент условий работы 0,95.</w:t>
      </w:r>
    </w:p>
    <w:p w:rsidR="00212513" w:rsidRDefault="00212513">
      <w:pPr>
        <w:pStyle w:val="ConsPlusNormal"/>
        <w:spacing w:before="220"/>
        <w:ind w:firstLine="540"/>
        <w:jc w:val="both"/>
      </w:pPr>
      <w:r>
        <w:t>Напрягаемые арматурные элементы следует стыковать специальными устройствами - соединительными муфтами (куплерами). В местах расположения стыков пучков необходимо обеспечивать подвижность соединительных муфт относительно бетона при натяжении арматуры.</w:t>
      </w:r>
    </w:p>
    <w:p w:rsidR="00212513" w:rsidRDefault="00212513">
      <w:pPr>
        <w:pStyle w:val="ConsPlusNormal"/>
        <w:jc w:val="both"/>
      </w:pPr>
      <w:r>
        <w:t xml:space="preserve">(в ред. </w:t>
      </w:r>
      <w:hyperlink r:id="rId1358">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 xml:space="preserve">Абзац исключен с 4 июня 2017 года. - </w:t>
      </w:r>
      <w:hyperlink r:id="rId1359">
        <w:r>
          <w:rPr>
            <w:color w:val="0000FF"/>
          </w:rPr>
          <w:t>Изменение N 1</w:t>
        </w:r>
      </w:hyperlink>
      <w:r>
        <w:t>, утв. Приказом Минстроя России от 03.12.2016 N 879/пр.</w:t>
      </w:r>
    </w:p>
    <w:p w:rsidR="00212513" w:rsidRDefault="00212513">
      <w:pPr>
        <w:pStyle w:val="ConsPlusNormal"/>
        <w:spacing w:before="220"/>
        <w:ind w:firstLine="540"/>
        <w:jc w:val="both"/>
      </w:pPr>
      <w:bookmarkStart w:id="254" w:name="P5909"/>
      <w:bookmarkEnd w:id="254"/>
      <w:r>
        <w:t>7.170 Предварительно напрягаемые арматурные элементы монолитных пролетных строений (с натяжением на бетон) необходимо располагать в закрытых каналах, размещаемых, как правило, в пределах бетонной части поперечного сечения. После натяжения арматуры каналы следует инъецировать цементно-водным раствором, обеспечивающим защиту арматуры от коррозии и сцепление ее с основной конструкцией.</w:t>
      </w:r>
    </w:p>
    <w:p w:rsidR="00212513" w:rsidRDefault="00212513">
      <w:pPr>
        <w:pStyle w:val="ConsPlusNormal"/>
        <w:spacing w:before="220"/>
        <w:ind w:firstLine="540"/>
        <w:jc w:val="both"/>
      </w:pPr>
      <w:r>
        <w:t xml:space="preserve">Параметры каналообразователей рекомендуется назначать в соответствии со значениями, указанными в </w:t>
      </w:r>
      <w:hyperlink w:anchor="P5914">
        <w:r>
          <w:rPr>
            <w:color w:val="0000FF"/>
          </w:rPr>
          <w:t>таблицах 7.32</w:t>
        </w:r>
      </w:hyperlink>
      <w:r>
        <w:t xml:space="preserve"> и </w:t>
      </w:r>
      <w:hyperlink w:anchor="P5935">
        <w:r>
          <w:rPr>
            <w:color w:val="0000FF"/>
          </w:rPr>
          <w:t>7.33</w:t>
        </w:r>
      </w:hyperlink>
      <w:r>
        <w:t>.</w:t>
      </w:r>
    </w:p>
    <w:p w:rsidR="00212513" w:rsidRDefault="00212513">
      <w:pPr>
        <w:pStyle w:val="ConsPlusNormal"/>
        <w:jc w:val="both"/>
      </w:pPr>
      <w:r>
        <w:t xml:space="preserve">(в ред. </w:t>
      </w:r>
      <w:hyperlink r:id="rId1360">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t xml:space="preserve">Таблица 7.31 исключена с 30.06.2021. - </w:t>
      </w:r>
      <w:hyperlink r:id="rId1361">
        <w:r>
          <w:rPr>
            <w:color w:val="0000FF"/>
          </w:rPr>
          <w:t>Изменение N 3</w:t>
        </w:r>
      </w:hyperlink>
      <w:r>
        <w:t>, утв. Приказом Минстроя России от 29.12.2020 N 891/пр.</w:t>
      </w:r>
    </w:p>
    <w:p w:rsidR="00212513" w:rsidRDefault="00212513">
      <w:pPr>
        <w:pStyle w:val="ConsPlusNormal"/>
        <w:ind w:firstLine="540"/>
        <w:jc w:val="both"/>
      </w:pPr>
    </w:p>
    <w:p w:rsidR="00212513" w:rsidRDefault="00212513">
      <w:pPr>
        <w:pStyle w:val="ConsPlusNormal"/>
        <w:jc w:val="right"/>
      </w:pPr>
      <w:bookmarkStart w:id="255" w:name="P5914"/>
      <w:bookmarkEnd w:id="255"/>
      <w:r>
        <w:t>Таблица 7.32</w:t>
      </w:r>
    </w:p>
    <w:p w:rsidR="00212513" w:rsidRDefault="00212513">
      <w:pPr>
        <w:pStyle w:val="ConsPlusNormal"/>
        <w:jc w:val="center"/>
      </w:pPr>
    </w:p>
    <w:p w:rsidR="00212513" w:rsidRDefault="00212513">
      <w:pPr>
        <w:pStyle w:val="ConsPlusNormal"/>
        <w:jc w:val="center"/>
      </w:pPr>
      <w:r>
        <w:t xml:space="preserve">(таблица 7.32 введена </w:t>
      </w:r>
      <w:hyperlink r:id="rId1362">
        <w:r>
          <w:rPr>
            <w:color w:val="0000FF"/>
          </w:rPr>
          <w:t>Изменением N 3</w:t>
        </w:r>
      </w:hyperlink>
      <w:r>
        <w:t>, утв. Приказом</w:t>
      </w:r>
    </w:p>
    <w:p w:rsidR="00212513" w:rsidRDefault="00212513">
      <w:pPr>
        <w:pStyle w:val="ConsPlusNormal"/>
        <w:jc w:val="center"/>
      </w:pPr>
      <w:r>
        <w:t>Минстроя России от 29.12.2020 N 891/пр)</w:t>
      </w:r>
    </w:p>
    <w:p w:rsidR="00212513" w:rsidRDefault="0021251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85"/>
        <w:gridCol w:w="5386"/>
      </w:tblGrid>
      <w:tr w:rsidR="00212513">
        <w:tc>
          <w:tcPr>
            <w:tcW w:w="3685" w:type="dxa"/>
            <w:vAlign w:val="center"/>
          </w:tcPr>
          <w:p w:rsidR="00212513" w:rsidRDefault="00212513">
            <w:pPr>
              <w:pStyle w:val="ConsPlusNormal"/>
              <w:jc w:val="center"/>
            </w:pPr>
            <w:r>
              <w:t>Максимальное контролируемое усилие в пучке, кН</w:t>
            </w:r>
          </w:p>
        </w:tc>
        <w:tc>
          <w:tcPr>
            <w:tcW w:w="5386" w:type="dxa"/>
            <w:vAlign w:val="center"/>
          </w:tcPr>
          <w:p w:rsidR="00212513" w:rsidRDefault="00212513">
            <w:pPr>
              <w:pStyle w:val="ConsPlusNormal"/>
              <w:jc w:val="center"/>
            </w:pPr>
            <w:r>
              <w:t xml:space="preserve">Минимальный радиус перегиба </w:t>
            </w:r>
            <w:hyperlink w:anchor="P5931">
              <w:r>
                <w:rPr>
                  <w:color w:val="0000FF"/>
                </w:rPr>
                <w:t>&lt;1&gt;</w:t>
              </w:r>
            </w:hyperlink>
            <w:r>
              <w:t xml:space="preserve">, </w:t>
            </w:r>
            <w:hyperlink w:anchor="P5932">
              <w:r>
                <w:rPr>
                  <w:color w:val="0000FF"/>
                </w:rPr>
                <w:t>&lt;2&gt;</w:t>
              </w:r>
            </w:hyperlink>
            <w:r>
              <w:t xml:space="preserve">, </w:t>
            </w:r>
            <w:hyperlink w:anchor="P5933">
              <w:r>
                <w:rPr>
                  <w:color w:val="0000FF"/>
                </w:rPr>
                <w:t>&lt;3&gt;</w:t>
              </w:r>
            </w:hyperlink>
            <w:r>
              <w:t>, м</w:t>
            </w:r>
          </w:p>
        </w:tc>
      </w:tr>
      <w:tr w:rsidR="00212513">
        <w:tc>
          <w:tcPr>
            <w:tcW w:w="3685" w:type="dxa"/>
            <w:vAlign w:val="center"/>
          </w:tcPr>
          <w:p w:rsidR="00212513" w:rsidRDefault="00212513">
            <w:pPr>
              <w:pStyle w:val="ConsPlusNormal"/>
              <w:jc w:val="center"/>
            </w:pPr>
            <w:r>
              <w:t>151</w:t>
            </w:r>
          </w:p>
        </w:tc>
        <w:tc>
          <w:tcPr>
            <w:tcW w:w="5386" w:type="dxa"/>
            <w:vAlign w:val="center"/>
          </w:tcPr>
          <w:p w:rsidR="00212513" w:rsidRDefault="00212513">
            <w:pPr>
              <w:pStyle w:val="ConsPlusNormal"/>
              <w:jc w:val="center"/>
            </w:pPr>
            <w:r>
              <w:t>2,5</w:t>
            </w:r>
          </w:p>
        </w:tc>
      </w:tr>
      <w:tr w:rsidR="00212513">
        <w:tc>
          <w:tcPr>
            <w:tcW w:w="3685" w:type="dxa"/>
            <w:vAlign w:val="center"/>
          </w:tcPr>
          <w:p w:rsidR="00212513" w:rsidRDefault="00212513">
            <w:pPr>
              <w:pStyle w:val="ConsPlusNormal"/>
              <w:jc w:val="center"/>
            </w:pPr>
            <w:r>
              <w:t>603</w:t>
            </w:r>
          </w:p>
        </w:tc>
        <w:tc>
          <w:tcPr>
            <w:tcW w:w="5386" w:type="dxa"/>
            <w:vAlign w:val="center"/>
          </w:tcPr>
          <w:p w:rsidR="00212513" w:rsidRDefault="00212513">
            <w:pPr>
              <w:pStyle w:val="ConsPlusNormal"/>
              <w:jc w:val="center"/>
            </w:pPr>
            <w:r>
              <w:t>2,5</w:t>
            </w:r>
          </w:p>
        </w:tc>
      </w:tr>
      <w:tr w:rsidR="00212513">
        <w:tc>
          <w:tcPr>
            <w:tcW w:w="3685" w:type="dxa"/>
            <w:vAlign w:val="center"/>
          </w:tcPr>
          <w:p w:rsidR="00212513" w:rsidRDefault="00212513">
            <w:pPr>
              <w:pStyle w:val="ConsPlusNormal"/>
              <w:jc w:val="center"/>
            </w:pPr>
            <w:r>
              <w:t>1055</w:t>
            </w:r>
          </w:p>
        </w:tc>
        <w:tc>
          <w:tcPr>
            <w:tcW w:w="5386" w:type="dxa"/>
            <w:vAlign w:val="center"/>
          </w:tcPr>
          <w:p w:rsidR="00212513" w:rsidRDefault="00212513">
            <w:pPr>
              <w:pStyle w:val="ConsPlusNormal"/>
              <w:jc w:val="center"/>
            </w:pPr>
            <w:r>
              <w:t>3,0</w:t>
            </w:r>
          </w:p>
        </w:tc>
      </w:tr>
      <w:tr w:rsidR="00212513">
        <w:tc>
          <w:tcPr>
            <w:tcW w:w="3685" w:type="dxa"/>
            <w:vAlign w:val="center"/>
          </w:tcPr>
          <w:p w:rsidR="00212513" w:rsidRDefault="00212513">
            <w:pPr>
              <w:pStyle w:val="ConsPlusNormal"/>
              <w:jc w:val="center"/>
            </w:pPr>
            <w:r>
              <w:t>1808</w:t>
            </w:r>
          </w:p>
        </w:tc>
        <w:tc>
          <w:tcPr>
            <w:tcW w:w="5386" w:type="dxa"/>
            <w:vAlign w:val="center"/>
          </w:tcPr>
          <w:p w:rsidR="00212513" w:rsidRDefault="00212513">
            <w:pPr>
              <w:pStyle w:val="ConsPlusNormal"/>
              <w:jc w:val="center"/>
            </w:pPr>
            <w:r>
              <w:t>4,0</w:t>
            </w:r>
          </w:p>
        </w:tc>
      </w:tr>
      <w:tr w:rsidR="00212513">
        <w:tc>
          <w:tcPr>
            <w:tcW w:w="3685" w:type="dxa"/>
            <w:vAlign w:val="center"/>
          </w:tcPr>
          <w:p w:rsidR="00212513" w:rsidRDefault="00212513">
            <w:pPr>
              <w:pStyle w:val="ConsPlusNormal"/>
              <w:jc w:val="center"/>
            </w:pPr>
            <w:r>
              <w:lastRenderedPageBreak/>
              <w:t>2863</w:t>
            </w:r>
          </w:p>
        </w:tc>
        <w:tc>
          <w:tcPr>
            <w:tcW w:w="5386" w:type="dxa"/>
            <w:vAlign w:val="center"/>
          </w:tcPr>
          <w:p w:rsidR="00212513" w:rsidRDefault="00212513">
            <w:pPr>
              <w:pStyle w:val="ConsPlusNormal"/>
              <w:jc w:val="center"/>
            </w:pPr>
            <w:r>
              <w:t>5,5</w:t>
            </w:r>
          </w:p>
        </w:tc>
      </w:tr>
      <w:tr w:rsidR="00212513">
        <w:tc>
          <w:tcPr>
            <w:tcW w:w="9071" w:type="dxa"/>
            <w:gridSpan w:val="2"/>
          </w:tcPr>
          <w:p w:rsidR="00212513" w:rsidRDefault="00212513">
            <w:pPr>
              <w:pStyle w:val="ConsPlusNormal"/>
              <w:ind w:firstLine="283"/>
              <w:jc w:val="both"/>
            </w:pPr>
            <w:bookmarkStart w:id="256" w:name="P5931"/>
            <w:bookmarkEnd w:id="256"/>
            <w:r>
              <w:t>&lt;1&gt; При другом контролируемом усилии следует принимать по интерполяции или экстраполяции.</w:t>
            </w:r>
          </w:p>
          <w:p w:rsidR="00212513" w:rsidRDefault="00212513">
            <w:pPr>
              <w:pStyle w:val="ConsPlusNormal"/>
              <w:ind w:firstLine="283"/>
              <w:jc w:val="both"/>
            </w:pPr>
            <w:bookmarkStart w:id="257" w:name="P5932"/>
            <w:bookmarkEnd w:id="257"/>
            <w:r>
              <w:t>&lt;2&gt; При углах перегиба в пределах одной кривой свыше 90° следует увеличивать в три раза, свыше 180° - в шесть раз, промежуточные значения - по интерполяции.</w:t>
            </w:r>
          </w:p>
          <w:p w:rsidR="00212513" w:rsidRDefault="00212513">
            <w:pPr>
              <w:pStyle w:val="ConsPlusNormal"/>
              <w:ind w:firstLine="283"/>
              <w:jc w:val="both"/>
            </w:pPr>
            <w:bookmarkStart w:id="258" w:name="P5933"/>
            <w:bookmarkEnd w:id="258"/>
            <w:r>
              <w:t xml:space="preserve">&lt;3&gt; Для каналообразователей из металлических труб или иных стальных огибающих приспособлений допускается уменьшать в два раза (с учетом сноски </w:t>
            </w:r>
            <w:hyperlink w:anchor="P5932">
              <w:r>
                <w:rPr>
                  <w:color w:val="0000FF"/>
                </w:rPr>
                <w:t>&lt;2&gt;</w:t>
              </w:r>
            </w:hyperlink>
            <w:r>
              <w:t>).</w:t>
            </w:r>
          </w:p>
        </w:tc>
      </w:tr>
    </w:tbl>
    <w:p w:rsidR="00212513" w:rsidRDefault="00212513">
      <w:pPr>
        <w:pStyle w:val="ConsPlusNormal"/>
        <w:jc w:val="both"/>
      </w:pPr>
    </w:p>
    <w:p w:rsidR="00212513" w:rsidRDefault="00212513">
      <w:pPr>
        <w:pStyle w:val="ConsPlusNormal"/>
        <w:jc w:val="right"/>
      </w:pPr>
      <w:bookmarkStart w:id="259" w:name="P5935"/>
      <w:bookmarkEnd w:id="259"/>
      <w:r>
        <w:t>Таблица 7.33</w:t>
      </w:r>
    </w:p>
    <w:p w:rsidR="00212513" w:rsidRDefault="00212513">
      <w:pPr>
        <w:pStyle w:val="ConsPlusNormal"/>
        <w:jc w:val="center"/>
      </w:pPr>
    </w:p>
    <w:p w:rsidR="00212513" w:rsidRDefault="00212513">
      <w:pPr>
        <w:pStyle w:val="ConsPlusNormal"/>
        <w:jc w:val="center"/>
      </w:pPr>
      <w:r>
        <w:t xml:space="preserve">(таблица 7.33 введена </w:t>
      </w:r>
      <w:hyperlink r:id="rId1363">
        <w:r>
          <w:rPr>
            <w:color w:val="0000FF"/>
          </w:rPr>
          <w:t>Изменением N 3</w:t>
        </w:r>
      </w:hyperlink>
      <w:r>
        <w:t>, утв. Приказом</w:t>
      </w:r>
    </w:p>
    <w:p w:rsidR="00212513" w:rsidRDefault="00212513">
      <w:pPr>
        <w:pStyle w:val="ConsPlusNormal"/>
        <w:jc w:val="center"/>
      </w:pPr>
      <w:r>
        <w:t>Минстроя России от 29.12.2020 N 891/пр)</w:t>
      </w:r>
    </w:p>
    <w:p w:rsidR="00212513" w:rsidRDefault="0021251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3628"/>
        <w:gridCol w:w="3345"/>
      </w:tblGrid>
      <w:tr w:rsidR="00212513">
        <w:tc>
          <w:tcPr>
            <w:tcW w:w="2098" w:type="dxa"/>
            <w:vAlign w:val="center"/>
          </w:tcPr>
          <w:p w:rsidR="00212513" w:rsidRDefault="00212513">
            <w:pPr>
              <w:pStyle w:val="ConsPlusNormal"/>
              <w:jc w:val="center"/>
            </w:pPr>
            <w:r>
              <w:t>Число канатов К7 диаметром 15,2 - 15,7 мм в пучке</w:t>
            </w:r>
          </w:p>
        </w:tc>
        <w:tc>
          <w:tcPr>
            <w:tcW w:w="3628" w:type="dxa"/>
            <w:vAlign w:val="center"/>
          </w:tcPr>
          <w:p w:rsidR="00212513" w:rsidRDefault="00212513">
            <w:pPr>
              <w:pStyle w:val="ConsPlusNormal"/>
              <w:jc w:val="center"/>
            </w:pPr>
            <w:r>
              <w:t xml:space="preserve">Минимальное расстояние от анкера до начала перегиба </w:t>
            </w:r>
            <w:hyperlink w:anchor="P5958">
              <w:r>
                <w:rPr>
                  <w:color w:val="0000FF"/>
                </w:rPr>
                <w:t>&lt;1&gt;</w:t>
              </w:r>
            </w:hyperlink>
            <w:r>
              <w:t>, м</w:t>
            </w:r>
          </w:p>
        </w:tc>
        <w:tc>
          <w:tcPr>
            <w:tcW w:w="3345" w:type="dxa"/>
            <w:vAlign w:val="center"/>
          </w:tcPr>
          <w:p w:rsidR="00212513" w:rsidRDefault="00212513">
            <w:pPr>
              <w:pStyle w:val="ConsPlusNormal"/>
              <w:jc w:val="center"/>
            </w:pPr>
            <w:r>
              <w:t xml:space="preserve">Внутренний диаметр каналообразователя </w:t>
            </w:r>
            <w:hyperlink w:anchor="P5958">
              <w:r>
                <w:rPr>
                  <w:color w:val="0000FF"/>
                </w:rPr>
                <w:t>&lt;1&gt;</w:t>
              </w:r>
            </w:hyperlink>
            <w:r>
              <w:t>, мм</w:t>
            </w:r>
          </w:p>
        </w:tc>
      </w:tr>
      <w:tr w:rsidR="00212513">
        <w:tc>
          <w:tcPr>
            <w:tcW w:w="2098" w:type="dxa"/>
            <w:vAlign w:val="center"/>
          </w:tcPr>
          <w:p w:rsidR="00212513" w:rsidRDefault="00212513">
            <w:pPr>
              <w:pStyle w:val="ConsPlusNormal"/>
              <w:jc w:val="center"/>
            </w:pPr>
            <w:r>
              <w:t>1</w:t>
            </w:r>
          </w:p>
        </w:tc>
        <w:tc>
          <w:tcPr>
            <w:tcW w:w="3628" w:type="dxa"/>
            <w:vAlign w:val="center"/>
          </w:tcPr>
          <w:p w:rsidR="00212513" w:rsidRDefault="00212513">
            <w:pPr>
              <w:pStyle w:val="ConsPlusNormal"/>
              <w:jc w:val="center"/>
            </w:pPr>
            <w:r>
              <w:t>0,80</w:t>
            </w:r>
          </w:p>
        </w:tc>
        <w:tc>
          <w:tcPr>
            <w:tcW w:w="3345" w:type="dxa"/>
            <w:vAlign w:val="center"/>
          </w:tcPr>
          <w:p w:rsidR="00212513" w:rsidRDefault="00212513">
            <w:pPr>
              <w:pStyle w:val="ConsPlusNormal"/>
              <w:jc w:val="center"/>
            </w:pPr>
            <w:r>
              <w:t>25 - 30</w:t>
            </w:r>
          </w:p>
        </w:tc>
      </w:tr>
      <w:tr w:rsidR="00212513">
        <w:tc>
          <w:tcPr>
            <w:tcW w:w="2098" w:type="dxa"/>
            <w:vAlign w:val="center"/>
          </w:tcPr>
          <w:p w:rsidR="00212513" w:rsidRDefault="00212513">
            <w:pPr>
              <w:pStyle w:val="ConsPlusNormal"/>
              <w:jc w:val="center"/>
            </w:pPr>
            <w:r>
              <w:t>4</w:t>
            </w:r>
          </w:p>
        </w:tc>
        <w:tc>
          <w:tcPr>
            <w:tcW w:w="3628" w:type="dxa"/>
            <w:vAlign w:val="center"/>
          </w:tcPr>
          <w:p w:rsidR="00212513" w:rsidRDefault="00212513">
            <w:pPr>
              <w:pStyle w:val="ConsPlusNormal"/>
              <w:jc w:val="center"/>
            </w:pPr>
            <w:r>
              <w:t>0,80</w:t>
            </w:r>
          </w:p>
        </w:tc>
        <w:tc>
          <w:tcPr>
            <w:tcW w:w="3345" w:type="dxa"/>
            <w:vAlign w:val="center"/>
          </w:tcPr>
          <w:p w:rsidR="00212513" w:rsidRDefault="00212513">
            <w:pPr>
              <w:pStyle w:val="ConsPlusNormal"/>
              <w:jc w:val="center"/>
            </w:pPr>
            <w:r>
              <w:t>50 - 60</w:t>
            </w:r>
          </w:p>
        </w:tc>
      </w:tr>
      <w:tr w:rsidR="00212513">
        <w:tc>
          <w:tcPr>
            <w:tcW w:w="2098" w:type="dxa"/>
            <w:vAlign w:val="center"/>
          </w:tcPr>
          <w:p w:rsidR="00212513" w:rsidRDefault="00212513">
            <w:pPr>
              <w:pStyle w:val="ConsPlusNormal"/>
              <w:jc w:val="center"/>
            </w:pPr>
            <w:r>
              <w:t>7</w:t>
            </w:r>
          </w:p>
        </w:tc>
        <w:tc>
          <w:tcPr>
            <w:tcW w:w="3628" w:type="dxa"/>
            <w:vAlign w:val="center"/>
          </w:tcPr>
          <w:p w:rsidR="00212513" w:rsidRDefault="00212513">
            <w:pPr>
              <w:pStyle w:val="ConsPlusNormal"/>
              <w:jc w:val="center"/>
            </w:pPr>
            <w:r>
              <w:t>0,80</w:t>
            </w:r>
          </w:p>
        </w:tc>
        <w:tc>
          <w:tcPr>
            <w:tcW w:w="3345" w:type="dxa"/>
            <w:vAlign w:val="center"/>
          </w:tcPr>
          <w:p w:rsidR="00212513" w:rsidRDefault="00212513">
            <w:pPr>
              <w:pStyle w:val="ConsPlusNormal"/>
              <w:jc w:val="center"/>
            </w:pPr>
            <w:r>
              <w:t>60 - 70</w:t>
            </w:r>
          </w:p>
        </w:tc>
      </w:tr>
      <w:tr w:rsidR="00212513">
        <w:tc>
          <w:tcPr>
            <w:tcW w:w="2098" w:type="dxa"/>
            <w:vAlign w:val="center"/>
          </w:tcPr>
          <w:p w:rsidR="00212513" w:rsidRDefault="00212513">
            <w:pPr>
              <w:pStyle w:val="ConsPlusNormal"/>
              <w:jc w:val="center"/>
            </w:pPr>
            <w:r>
              <w:t>12</w:t>
            </w:r>
          </w:p>
        </w:tc>
        <w:tc>
          <w:tcPr>
            <w:tcW w:w="3628" w:type="dxa"/>
            <w:vAlign w:val="center"/>
          </w:tcPr>
          <w:p w:rsidR="00212513" w:rsidRDefault="00212513">
            <w:pPr>
              <w:pStyle w:val="ConsPlusNormal"/>
              <w:jc w:val="center"/>
            </w:pPr>
            <w:r>
              <w:t>1,00</w:t>
            </w:r>
          </w:p>
        </w:tc>
        <w:tc>
          <w:tcPr>
            <w:tcW w:w="3345" w:type="dxa"/>
            <w:vAlign w:val="center"/>
          </w:tcPr>
          <w:p w:rsidR="00212513" w:rsidRDefault="00212513">
            <w:pPr>
              <w:pStyle w:val="ConsPlusNormal"/>
              <w:jc w:val="center"/>
            </w:pPr>
            <w:r>
              <w:t>80 - 90</w:t>
            </w:r>
          </w:p>
        </w:tc>
      </w:tr>
      <w:tr w:rsidR="00212513">
        <w:tc>
          <w:tcPr>
            <w:tcW w:w="2098" w:type="dxa"/>
            <w:vAlign w:val="center"/>
          </w:tcPr>
          <w:p w:rsidR="00212513" w:rsidRDefault="00212513">
            <w:pPr>
              <w:pStyle w:val="ConsPlusNormal"/>
              <w:jc w:val="center"/>
            </w:pPr>
            <w:r>
              <w:t>19</w:t>
            </w:r>
          </w:p>
        </w:tc>
        <w:tc>
          <w:tcPr>
            <w:tcW w:w="3628" w:type="dxa"/>
            <w:vAlign w:val="center"/>
          </w:tcPr>
          <w:p w:rsidR="00212513" w:rsidRDefault="00212513">
            <w:pPr>
              <w:pStyle w:val="ConsPlusNormal"/>
              <w:jc w:val="center"/>
            </w:pPr>
            <w:r>
              <w:t>1,20</w:t>
            </w:r>
          </w:p>
        </w:tc>
        <w:tc>
          <w:tcPr>
            <w:tcW w:w="3345" w:type="dxa"/>
            <w:vAlign w:val="center"/>
          </w:tcPr>
          <w:p w:rsidR="00212513" w:rsidRDefault="00212513">
            <w:pPr>
              <w:pStyle w:val="ConsPlusNormal"/>
              <w:jc w:val="center"/>
            </w:pPr>
            <w:r>
              <w:t>95 - 110</w:t>
            </w:r>
          </w:p>
        </w:tc>
      </w:tr>
      <w:tr w:rsidR="00212513">
        <w:tc>
          <w:tcPr>
            <w:tcW w:w="9071" w:type="dxa"/>
            <w:gridSpan w:val="3"/>
          </w:tcPr>
          <w:p w:rsidR="00212513" w:rsidRDefault="00212513">
            <w:pPr>
              <w:pStyle w:val="ConsPlusNormal"/>
              <w:ind w:firstLine="283"/>
              <w:jc w:val="both"/>
            </w:pPr>
            <w:bookmarkStart w:id="260" w:name="P5958"/>
            <w:bookmarkEnd w:id="260"/>
            <w:r>
              <w:t>&lt;1&gt; При другом количестве канатов в пучке следует принимать по интерполяции.</w:t>
            </w:r>
          </w:p>
        </w:tc>
      </w:tr>
    </w:tbl>
    <w:p w:rsidR="00212513" w:rsidRDefault="00212513">
      <w:pPr>
        <w:pStyle w:val="ConsPlusNormal"/>
        <w:ind w:firstLine="540"/>
        <w:jc w:val="both"/>
      </w:pPr>
    </w:p>
    <w:p w:rsidR="00212513" w:rsidRDefault="00212513">
      <w:pPr>
        <w:pStyle w:val="ConsPlusNormal"/>
        <w:ind w:firstLine="540"/>
        <w:jc w:val="both"/>
      </w:pPr>
      <w:r>
        <w:t xml:space="preserve">При устройстве каналов с неизвлекаемыми каналообразователями рекомендуется применять неоцинкованные гибкие стальные рукава и гофрированные трубы. При этом материал заполнения каналов должен исключать увеличение его объема при замораживании, а величина защитного слоя бетона должна быть на 1 см более указанной в </w:t>
      </w:r>
      <w:hyperlink w:anchor="P5562">
        <w:r>
          <w:rPr>
            <w:color w:val="0000FF"/>
          </w:rPr>
          <w:t>таблице 7.29</w:t>
        </w:r>
      </w:hyperlink>
      <w:r>
        <w:t>.</w:t>
      </w:r>
    </w:p>
    <w:p w:rsidR="00212513" w:rsidRDefault="00212513">
      <w:pPr>
        <w:pStyle w:val="ConsPlusNormal"/>
        <w:spacing w:before="220"/>
        <w:ind w:firstLine="540"/>
        <w:jc w:val="both"/>
      </w:pPr>
      <w:r>
        <w:t>Неизвлекаемые каналообразователи из гладких стальных труб допускается применять только на коротких участках в стыках между сборными блоками составных по длине конструкций и в местах перегибов малого радиуса или больших углов перегиба и анкеровки напрягаемой арматуры. Муфты и сопряжения неизвлекаемых каналообразователей допускается изготавливать из полимерных материалов.</w:t>
      </w:r>
    </w:p>
    <w:p w:rsidR="00212513" w:rsidRDefault="00212513">
      <w:pPr>
        <w:pStyle w:val="ConsPlusNormal"/>
        <w:spacing w:before="220"/>
        <w:ind w:firstLine="540"/>
        <w:jc w:val="both"/>
      </w:pPr>
      <w:r>
        <w:t>Для обеспечения сцепления бетона омоноличивания в открытых каналах с бетоном предварительно напряженного элемента рекомендуется предусматривать:</w:t>
      </w:r>
    </w:p>
    <w:p w:rsidR="00212513" w:rsidRDefault="00212513">
      <w:pPr>
        <w:pStyle w:val="ConsPlusNormal"/>
        <w:spacing w:before="220"/>
        <w:ind w:firstLine="540"/>
        <w:jc w:val="both"/>
      </w:pPr>
      <w:r>
        <w:t>выпуски из тела бетона предварительно напряженных элементов арматурных стержней или концов хомутов с шагом не более 10 см;</w:t>
      </w:r>
    </w:p>
    <w:p w:rsidR="00212513" w:rsidRDefault="00212513">
      <w:pPr>
        <w:pStyle w:val="ConsPlusNormal"/>
        <w:spacing w:before="220"/>
        <w:ind w:firstLine="540"/>
        <w:jc w:val="both"/>
      </w:pPr>
      <w:r>
        <w:t>покрытие очищенной поверхности бетона, примыкающей к бетону омоноличивания, и напрягаемой арматуры цементным коллоидным или полимерцементным клеем;</w:t>
      </w:r>
    </w:p>
    <w:p w:rsidR="00212513" w:rsidRDefault="00212513">
      <w:pPr>
        <w:pStyle w:val="ConsPlusNormal"/>
        <w:spacing w:before="220"/>
        <w:ind w:firstLine="540"/>
        <w:jc w:val="both"/>
      </w:pPr>
      <w:r>
        <w:t>применение для омоноличивания бетона, имеющего водоцементное отношение не более 0,4;</w:t>
      </w:r>
    </w:p>
    <w:p w:rsidR="00212513" w:rsidRDefault="00212513">
      <w:pPr>
        <w:pStyle w:val="ConsPlusNormal"/>
        <w:spacing w:before="220"/>
        <w:ind w:firstLine="540"/>
        <w:jc w:val="both"/>
      </w:pPr>
      <w:r>
        <w:t>покрытие наружной поверхности бетона омоноличивания противоусадочным пароизолирующим составом.</w:t>
      </w:r>
    </w:p>
    <w:p w:rsidR="00212513" w:rsidRDefault="00212513">
      <w:pPr>
        <w:pStyle w:val="ConsPlusNormal"/>
        <w:ind w:firstLine="540"/>
        <w:jc w:val="both"/>
      </w:pPr>
    </w:p>
    <w:p w:rsidR="00212513" w:rsidRDefault="00212513">
      <w:pPr>
        <w:pStyle w:val="ConsPlusTitle"/>
        <w:ind w:firstLine="540"/>
        <w:jc w:val="both"/>
        <w:outlineLvl w:val="3"/>
      </w:pPr>
      <w:r>
        <w:t>Закладные изделия</w:t>
      </w:r>
    </w:p>
    <w:p w:rsidR="00212513" w:rsidRDefault="00212513">
      <w:pPr>
        <w:pStyle w:val="ConsPlusNormal"/>
        <w:spacing w:before="220"/>
        <w:ind w:firstLine="540"/>
        <w:jc w:val="both"/>
      </w:pPr>
      <w:r>
        <w:t xml:space="preserve">7.171 Закладные изделия из отдельных листов или фасонных профилей с приваренными к ним втавр или внахлестку анкерными стержнями из арматурных сталей класса А300 или А400 диаметром не более 25 мм должны проектироваться в соответствии с требованиями </w:t>
      </w:r>
      <w:hyperlink r:id="rId1364">
        <w:r>
          <w:rPr>
            <w:color w:val="0000FF"/>
          </w:rPr>
          <w:t>ГОСТ 14098</w:t>
        </w:r>
      </w:hyperlink>
      <w:r>
        <w:t xml:space="preserve">. Сварные соединения должны выполняться в соответствии с требованиями </w:t>
      </w:r>
      <w:hyperlink r:id="rId1365">
        <w:r>
          <w:rPr>
            <w:color w:val="0000FF"/>
          </w:rPr>
          <w:t>ГОСТ 14098</w:t>
        </w:r>
      </w:hyperlink>
      <w:r>
        <w:t xml:space="preserve"> и </w:t>
      </w:r>
      <w:hyperlink r:id="rId1366">
        <w:r>
          <w:rPr>
            <w:color w:val="0000FF"/>
          </w:rPr>
          <w:t>ГОСТ Р 57997</w:t>
        </w:r>
      </w:hyperlink>
      <w:r>
        <w:t>.</w:t>
      </w:r>
    </w:p>
    <w:p w:rsidR="00212513" w:rsidRDefault="00212513">
      <w:pPr>
        <w:pStyle w:val="ConsPlusNormal"/>
        <w:jc w:val="both"/>
      </w:pPr>
      <w:r>
        <w:t xml:space="preserve">(в ред. </w:t>
      </w:r>
      <w:hyperlink r:id="rId1367">
        <w:r>
          <w:rPr>
            <w:color w:val="0000FF"/>
          </w:rPr>
          <w:t>Изменения N 3</w:t>
        </w:r>
      </w:hyperlink>
      <w:r>
        <w:t xml:space="preserve">, утв. Приказом Минстроя России от 29.12.2020 N 891/пр, </w:t>
      </w:r>
      <w:hyperlink r:id="rId1368">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7.172 Длину растянутых анкеруемых стержней, заделываемых в бетон, следует принимать в зависимости от напряженного состояния бетона в направлении, перпендикулярном анкеруемым стержням.</w:t>
      </w:r>
    </w:p>
    <w:p w:rsidR="00212513" w:rsidRDefault="00212513">
      <w:pPr>
        <w:pStyle w:val="ConsPlusNormal"/>
        <w:jc w:val="both"/>
      </w:pPr>
      <w:r>
        <w:t xml:space="preserve">(в ред. </w:t>
      </w:r>
      <w:hyperlink r:id="rId1369">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 xml:space="preserve">Если от постоянно действующих нагрузок (при коэффициенте надежности по нагрузке, равном 1) в зоне анкерных стержней возникают сжимающие напряжения </w:t>
      </w:r>
      <w:r>
        <w:rPr>
          <w:noProof/>
          <w:position w:val="-8"/>
        </w:rPr>
        <w:drawing>
          <wp:inline distT="0" distB="0" distL="0" distR="0">
            <wp:extent cx="251460" cy="251460"/>
            <wp:effectExtent l="0" t="0" r="0" b="0"/>
            <wp:docPr id="9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наибольшие значения которых отвечают условию</w:t>
      </w:r>
    </w:p>
    <w:p w:rsidR="00212513" w:rsidRDefault="00212513">
      <w:pPr>
        <w:pStyle w:val="ConsPlusNormal"/>
        <w:ind w:firstLine="540"/>
        <w:jc w:val="both"/>
      </w:pPr>
    </w:p>
    <w:p w:rsidR="00212513" w:rsidRDefault="00212513">
      <w:pPr>
        <w:pStyle w:val="ConsPlusNormal"/>
        <w:jc w:val="center"/>
      </w:pPr>
      <w:r>
        <w:rPr>
          <w:noProof/>
          <w:position w:val="-26"/>
        </w:rPr>
        <w:drawing>
          <wp:inline distT="0" distB="0" distL="0" distR="0">
            <wp:extent cx="1241425" cy="470535"/>
            <wp:effectExtent l="0" t="0" r="0" b="0"/>
            <wp:docPr id="9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1" cstate="print">
                      <a:extLst>
                        <a:ext uri="{28A0092B-C50C-407E-A947-70E740481C1C}">
                          <a14:useLocalDpi xmlns:a14="http://schemas.microsoft.com/office/drawing/2010/main" val="0"/>
                        </a:ext>
                      </a:extLst>
                    </a:blip>
                    <a:srcRect/>
                    <a:stretch>
                      <a:fillRect/>
                    </a:stretch>
                  </pic:blipFill>
                  <pic:spPr bwMode="auto">
                    <a:xfrm>
                      <a:off x="0" y="0"/>
                      <a:ext cx="1241425" cy="470535"/>
                    </a:xfrm>
                    <a:prstGeom prst="rect">
                      <a:avLst/>
                    </a:prstGeom>
                    <a:noFill/>
                    <a:ln>
                      <a:noFill/>
                    </a:ln>
                  </pic:spPr>
                </pic:pic>
              </a:graphicData>
            </a:graphic>
          </wp:inline>
        </w:drawing>
      </w:r>
      <w:r>
        <w:t>, (7.108)</w:t>
      </w:r>
    </w:p>
    <w:p w:rsidR="00212513" w:rsidRDefault="00212513">
      <w:pPr>
        <w:pStyle w:val="ConsPlusNormal"/>
        <w:ind w:firstLine="540"/>
        <w:jc w:val="both"/>
      </w:pPr>
    </w:p>
    <w:p w:rsidR="00212513" w:rsidRDefault="00212513">
      <w:pPr>
        <w:pStyle w:val="ConsPlusNormal"/>
        <w:ind w:firstLine="540"/>
        <w:jc w:val="both"/>
      </w:pPr>
      <w:r>
        <w:t>то длина заделки стержней должна составлять не менее:</w:t>
      </w:r>
    </w:p>
    <w:p w:rsidR="00212513" w:rsidRDefault="00212513">
      <w:pPr>
        <w:pStyle w:val="ConsPlusNormal"/>
        <w:spacing w:before="220"/>
        <w:ind w:firstLine="540"/>
        <w:jc w:val="both"/>
      </w:pPr>
      <w:r>
        <w:t>при стержнях из арматуры периодического профиля - 12</w:t>
      </w:r>
      <w:r>
        <w:rPr>
          <w:i/>
        </w:rPr>
        <w:t>d</w:t>
      </w:r>
      <w:r>
        <w:t xml:space="preserve"> (</w:t>
      </w:r>
      <w:r>
        <w:rPr>
          <w:i/>
        </w:rPr>
        <w:t>d</w:t>
      </w:r>
      <w:r>
        <w:t xml:space="preserve"> - диаметр стержня);</w:t>
      </w:r>
    </w:p>
    <w:p w:rsidR="00212513" w:rsidRDefault="00212513">
      <w:pPr>
        <w:pStyle w:val="ConsPlusNormal"/>
        <w:spacing w:before="220"/>
        <w:ind w:firstLine="540"/>
        <w:jc w:val="both"/>
      </w:pPr>
      <w:r>
        <w:t>при стержнях из гладкой арматуры - 20</w:t>
      </w:r>
      <w:r>
        <w:rPr>
          <w:i/>
        </w:rPr>
        <w:t>d</w:t>
      </w:r>
      <w:r>
        <w:t>, но не менее 25 см.</w:t>
      </w:r>
    </w:p>
    <w:p w:rsidR="00212513" w:rsidRDefault="00212513">
      <w:pPr>
        <w:pStyle w:val="ConsPlusNormal"/>
        <w:spacing w:before="220"/>
        <w:ind w:firstLine="540"/>
        <w:jc w:val="both"/>
      </w:pPr>
      <w:r>
        <w:t xml:space="preserve">Если напряжения в бетоне </w:t>
      </w:r>
      <w:r>
        <w:rPr>
          <w:noProof/>
          <w:position w:val="-8"/>
        </w:rPr>
        <w:drawing>
          <wp:inline distT="0" distB="0" distL="0" distR="0">
            <wp:extent cx="251460" cy="251460"/>
            <wp:effectExtent l="0" t="0" r="0" b="0"/>
            <wp:docPr id="9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в зоне заделки не отвечают приведенному выше условию или характер напряжений не установлен, то длина заделки растянутых арматурных стержней должна приниматься не менее:</w:t>
      </w:r>
    </w:p>
    <w:p w:rsidR="00212513" w:rsidRDefault="00212513">
      <w:pPr>
        <w:pStyle w:val="ConsPlusNonformat"/>
        <w:spacing w:before="200"/>
        <w:jc w:val="both"/>
      </w:pPr>
      <w:r>
        <w:t xml:space="preserve">    при классе арматурной стали А300 - 25</w:t>
      </w:r>
      <w:r>
        <w:rPr>
          <w:i/>
        </w:rPr>
        <w:t>d</w:t>
      </w:r>
      <w:r>
        <w:t>;</w:t>
      </w:r>
    </w:p>
    <w:p w:rsidR="00212513" w:rsidRDefault="00212513">
      <w:pPr>
        <w:pStyle w:val="ConsPlusNonformat"/>
        <w:jc w:val="both"/>
      </w:pPr>
      <w:r>
        <w:t xml:space="preserve">    то же,                      А400 - 30</w:t>
      </w:r>
      <w:r>
        <w:rPr>
          <w:i/>
        </w:rPr>
        <w:t>d</w:t>
      </w:r>
      <w:r>
        <w:t>.</w:t>
      </w:r>
    </w:p>
    <w:p w:rsidR="00212513" w:rsidRDefault="00212513">
      <w:pPr>
        <w:pStyle w:val="ConsPlusNormal"/>
        <w:ind w:firstLine="540"/>
        <w:jc w:val="both"/>
      </w:pPr>
      <w:r>
        <w:t>Длина заделки растянутых анкерных стержней может быть уменьшена посредством приварки на концах стержней плоских металлических элементов или устройством на концах стержней головок, высаженных горячим способом. При этом диаметр головок должен быть не менее:</w:t>
      </w:r>
    </w:p>
    <w:p w:rsidR="00212513" w:rsidRDefault="00212513">
      <w:pPr>
        <w:pStyle w:val="ConsPlusNonformat"/>
        <w:spacing w:before="200"/>
        <w:jc w:val="both"/>
      </w:pPr>
      <w:r>
        <w:t xml:space="preserve">    при арматуре из стали класса А300 - 2</w:t>
      </w:r>
      <w:r>
        <w:rPr>
          <w:i/>
        </w:rPr>
        <w:t>d</w:t>
      </w:r>
      <w:r>
        <w:t>;</w:t>
      </w:r>
    </w:p>
    <w:p w:rsidR="00212513" w:rsidRDefault="00212513">
      <w:pPr>
        <w:pStyle w:val="ConsPlusNonformat"/>
        <w:jc w:val="both"/>
      </w:pPr>
      <w:r>
        <w:t xml:space="preserve">    то же,                       А400 - 3</w:t>
      </w:r>
      <w:r>
        <w:rPr>
          <w:i/>
        </w:rPr>
        <w:t>d</w:t>
      </w:r>
      <w:r>
        <w:t>.</w:t>
      </w:r>
    </w:p>
    <w:p w:rsidR="00212513" w:rsidRDefault="00212513">
      <w:pPr>
        <w:pStyle w:val="ConsPlusNormal"/>
        <w:ind w:firstLine="540"/>
        <w:jc w:val="both"/>
      </w:pPr>
      <w:r>
        <w:t>В этих случаях длина заделки анкеруемого стержня определяется расчетом на выкалывание и смятие бетона и принимается не менее 10</w:t>
      </w:r>
      <w:r>
        <w:rPr>
          <w:i/>
        </w:rPr>
        <w:t>d</w:t>
      </w:r>
      <w:r>
        <w:t>.</w:t>
      </w:r>
    </w:p>
    <w:p w:rsidR="00212513" w:rsidRDefault="00212513">
      <w:pPr>
        <w:pStyle w:val="ConsPlusNormal"/>
        <w:spacing w:before="220"/>
        <w:ind w:firstLine="540"/>
        <w:jc w:val="both"/>
      </w:pPr>
      <w:r>
        <w:t xml:space="preserve">7.173 Отношение толщины </w:t>
      </w:r>
      <w:r>
        <w:rPr>
          <w:noProof/>
          <w:position w:val="-4"/>
        </w:rPr>
        <w:drawing>
          <wp:inline distT="0" distB="0" distL="0" distR="0">
            <wp:extent cx="156845" cy="198755"/>
            <wp:effectExtent l="0" t="0" r="0" b="0"/>
            <wp:docPr id="9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2"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плоского стального элемента закладной детали к диаметру </w:t>
      </w:r>
      <w:r>
        <w:rPr>
          <w:i/>
        </w:rPr>
        <w:t>d</w:t>
      </w:r>
      <w:r>
        <w:t xml:space="preserve"> анкерного стержня этой детали </w:t>
      </w:r>
      <w:r>
        <w:rPr>
          <w:noProof/>
          <w:position w:val="-6"/>
        </w:rPr>
        <w:drawing>
          <wp:inline distT="0" distB="0" distL="0" distR="0">
            <wp:extent cx="470535" cy="220980"/>
            <wp:effectExtent l="0" t="0" r="0" b="0"/>
            <wp:docPr id="9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3" cstate="print">
                      <a:extLst>
                        <a:ext uri="{28A0092B-C50C-407E-A947-70E740481C1C}">
                          <a14:useLocalDpi xmlns:a14="http://schemas.microsoft.com/office/drawing/2010/main" val="0"/>
                        </a:ext>
                      </a:extLst>
                    </a:blip>
                    <a:srcRect/>
                    <a:stretch>
                      <a:fillRect/>
                    </a:stretch>
                  </pic:blipFill>
                  <pic:spPr bwMode="auto">
                    <a:xfrm>
                      <a:off x="0" y="0"/>
                      <a:ext cx="470535" cy="220980"/>
                    </a:xfrm>
                    <a:prstGeom prst="rect">
                      <a:avLst/>
                    </a:prstGeom>
                    <a:noFill/>
                    <a:ln>
                      <a:noFill/>
                    </a:ln>
                  </pic:spPr>
                </pic:pic>
              </a:graphicData>
            </a:graphic>
          </wp:inline>
        </w:drawing>
      </w:r>
      <w:r>
        <w:t xml:space="preserve"> следует принимать равным при сварке:</w:t>
      </w:r>
    </w:p>
    <w:p w:rsidR="00212513" w:rsidRDefault="00212513">
      <w:pPr>
        <w:pStyle w:val="ConsPlusNormal"/>
        <w:spacing w:before="220"/>
        <w:ind w:firstLine="540"/>
        <w:jc w:val="both"/>
      </w:pPr>
      <w:r>
        <w:t>а) автоматической, втавр под флюсом - не менее:</w:t>
      </w:r>
    </w:p>
    <w:p w:rsidR="00212513" w:rsidRDefault="00212513">
      <w:pPr>
        <w:pStyle w:val="ConsPlusNormal"/>
        <w:spacing w:before="220"/>
        <w:ind w:firstLine="540"/>
        <w:jc w:val="both"/>
      </w:pPr>
      <w:r>
        <w:t>0,55 - 0,65 - для арматуры класса А300;</w:t>
      </w:r>
    </w:p>
    <w:p w:rsidR="00212513" w:rsidRDefault="00212513">
      <w:pPr>
        <w:pStyle w:val="ConsPlusNormal"/>
        <w:spacing w:before="220"/>
        <w:ind w:firstLine="540"/>
        <w:jc w:val="both"/>
      </w:pPr>
      <w:r>
        <w:t>0,65 - 0,75 - то же, А400;</w:t>
      </w:r>
    </w:p>
    <w:p w:rsidR="00212513" w:rsidRDefault="00212513">
      <w:pPr>
        <w:pStyle w:val="ConsPlusNormal"/>
        <w:spacing w:before="220"/>
        <w:ind w:firstLine="540"/>
        <w:jc w:val="both"/>
      </w:pPr>
      <w:r>
        <w:t>б) ручной, втавр под флюсом - не менее 0,75 для всех классов арматуры;</w:t>
      </w:r>
    </w:p>
    <w:p w:rsidR="00212513" w:rsidRDefault="00212513">
      <w:pPr>
        <w:pStyle w:val="ConsPlusNormal"/>
        <w:spacing w:before="220"/>
        <w:ind w:firstLine="540"/>
        <w:jc w:val="both"/>
      </w:pPr>
      <w:r>
        <w:lastRenderedPageBreak/>
        <w:t>в) ручной, в раззенкованное отверстие - не менее:</w:t>
      </w:r>
    </w:p>
    <w:p w:rsidR="00212513" w:rsidRDefault="00212513">
      <w:pPr>
        <w:pStyle w:val="ConsPlusNormal"/>
        <w:spacing w:before="220"/>
        <w:ind w:firstLine="540"/>
        <w:jc w:val="both"/>
      </w:pPr>
      <w:r>
        <w:t>0,65 - для арматуры класса А300;</w:t>
      </w:r>
    </w:p>
    <w:p w:rsidR="00212513" w:rsidRDefault="00212513">
      <w:pPr>
        <w:pStyle w:val="ConsPlusNormal"/>
        <w:spacing w:before="220"/>
        <w:ind w:firstLine="540"/>
        <w:jc w:val="both"/>
      </w:pPr>
      <w:r>
        <w:t>0,75 - то же, А400;</w:t>
      </w:r>
    </w:p>
    <w:p w:rsidR="00212513" w:rsidRDefault="00212513">
      <w:pPr>
        <w:pStyle w:val="ConsPlusNormal"/>
        <w:spacing w:before="220"/>
        <w:ind w:firstLine="540"/>
        <w:jc w:val="both"/>
      </w:pPr>
      <w:r>
        <w:t>г) дуговой, внахлестку фланговыми швами - не менее 0,3 для арматуры всех классов.</w:t>
      </w:r>
    </w:p>
    <w:p w:rsidR="00212513" w:rsidRDefault="00212513">
      <w:pPr>
        <w:pStyle w:val="ConsPlusNormal"/>
        <w:ind w:firstLine="540"/>
        <w:jc w:val="both"/>
      </w:pPr>
    </w:p>
    <w:p w:rsidR="00212513" w:rsidRDefault="00212513">
      <w:pPr>
        <w:pStyle w:val="ConsPlusTitle"/>
        <w:ind w:firstLine="540"/>
        <w:jc w:val="both"/>
        <w:outlineLvl w:val="3"/>
      </w:pPr>
      <w:r>
        <w:t>Конструирование опор</w:t>
      </w:r>
    </w:p>
    <w:p w:rsidR="00212513" w:rsidRDefault="00212513">
      <w:pPr>
        <w:pStyle w:val="ConsPlusNormal"/>
        <w:ind w:firstLine="540"/>
        <w:jc w:val="both"/>
      </w:pPr>
    </w:p>
    <w:p w:rsidR="00212513" w:rsidRDefault="00212513">
      <w:pPr>
        <w:pStyle w:val="ConsPlusNormal"/>
        <w:ind w:firstLine="540"/>
        <w:jc w:val="both"/>
      </w:pPr>
      <w:r>
        <w:t>7.174 Элементы опор железнодорожных мостов, находящиеся в зонах возможного замерзания воды (свободной или имеющейся в грунте), а также элементы, состоящие из бетонов разных классов по прочности на сжатие, должны иметь сплошное сечение.</w:t>
      </w:r>
    </w:p>
    <w:p w:rsidR="00212513" w:rsidRDefault="00212513">
      <w:pPr>
        <w:pStyle w:val="ConsPlusNormal"/>
        <w:jc w:val="both"/>
      </w:pPr>
      <w:r>
        <w:t xml:space="preserve">(в ред. </w:t>
      </w:r>
      <w:hyperlink r:id="rId1374">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В опорах автодорожных и городских мостов допускается в указанных зонах применение железобетонных элементов в виде полых свай-оболочек при обеспечении мер (например, дренажных отверстий) против образования в стенках оболочек трещин от силового воздействия замерзающей воды и льда во внутренних полостях оболочек.</w:t>
      </w:r>
    </w:p>
    <w:p w:rsidR="00212513" w:rsidRDefault="00212513">
      <w:pPr>
        <w:pStyle w:val="ConsPlusNormal"/>
        <w:spacing w:before="220"/>
        <w:ind w:firstLine="540"/>
        <w:jc w:val="both"/>
      </w:pPr>
      <w:r>
        <w:t>7.175 В пределах уровня ледохода телу опоры следует придавать форму с учетом направления воздействия ледохода.</w:t>
      </w:r>
    </w:p>
    <w:p w:rsidR="00212513" w:rsidRDefault="00212513">
      <w:pPr>
        <w:pStyle w:val="ConsPlusNormal"/>
        <w:spacing w:before="220"/>
        <w:ind w:firstLine="540"/>
        <w:jc w:val="both"/>
      </w:pPr>
      <w:r>
        <w:t>Сопряжение граней опоры следует выполнять по цилиндрической поверхности радиусом 0,75 м. При обосновании этот радиус может быть уменьшен до 0,3 м или увеличен до 3 м.</w:t>
      </w:r>
    </w:p>
    <w:p w:rsidR="00212513" w:rsidRDefault="00212513">
      <w:pPr>
        <w:pStyle w:val="ConsPlusNormal"/>
        <w:jc w:val="both"/>
      </w:pPr>
      <w:r>
        <w:t xml:space="preserve">(в ред. </w:t>
      </w:r>
      <w:hyperlink r:id="rId1375">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 xml:space="preserve">7.176 Абзац исключен с 30.06.2021. - </w:t>
      </w:r>
      <w:hyperlink r:id="rId1376">
        <w:r>
          <w:rPr>
            <w:color w:val="0000FF"/>
          </w:rPr>
          <w:t>Изменение N 3</w:t>
        </w:r>
      </w:hyperlink>
      <w:r>
        <w:t>, утв. Приказом Минстроя России от 29.12.2020 N 891/пр.</w:t>
      </w:r>
    </w:p>
    <w:p w:rsidR="00212513" w:rsidRDefault="00212513">
      <w:pPr>
        <w:pStyle w:val="ConsPlusNormal"/>
        <w:spacing w:before="220"/>
        <w:ind w:firstLine="540"/>
        <w:jc w:val="both"/>
      </w:pPr>
      <w:r>
        <w:t>Для русловых опор мостов на реках с интенсивным перемещением речных наносов (количество взвешенных наносов более 1 кг в 1 м</w:t>
      </w:r>
      <w:r>
        <w:rPr>
          <w:vertAlign w:val="superscript"/>
        </w:rPr>
        <w:t>3</w:t>
      </w:r>
      <w:r>
        <w:t xml:space="preserve"> потока и скорость течения более 2,5 м/с) опоры со стойками из свай-столбов или свай-оболочек следует применять со специальной защитой (металлические оболочки-бандажи, изготовленные из износостойкого бетона и др.) в зонах движения наносов. Массивные опоры могут применяться без дополнительной защиты их поверхностей.</w:t>
      </w:r>
    </w:p>
    <w:p w:rsidR="00212513" w:rsidRDefault="00212513">
      <w:pPr>
        <w:pStyle w:val="ConsPlusNormal"/>
        <w:spacing w:before="220"/>
        <w:ind w:firstLine="540"/>
        <w:jc w:val="both"/>
      </w:pPr>
      <w:r>
        <w:t>Поверхности промежуточных бетонных, железобетонных опор мостов, расположенных в районах, где среднемесячная температура наружного воздуха наиболее холодного месяца минус 20 °C и ниже, а также опоры на реках, вскрывающихся при отрицательных среднесуточных температурах наружного воздуха, должны быть облицованы в пределах зоны переменного уровня ледохода. При этом толщина, а также высота облицовочных блоков должны быть не менее 40 см. Армирование облицовочных блоков следует применять в том случае, если это требуется по условиям их транспортирования и заанкеривания на отрывающее воздействие льда.</w:t>
      </w:r>
    </w:p>
    <w:p w:rsidR="00212513" w:rsidRDefault="00212513">
      <w:pPr>
        <w:pStyle w:val="ConsPlusNormal"/>
        <w:jc w:val="both"/>
      </w:pPr>
      <w:r>
        <w:t xml:space="preserve">(в ред. </w:t>
      </w:r>
      <w:hyperlink r:id="rId1377">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Ширина заполняемых раствором вертикальных швов должна быть 2,5 +/- 0,5 см, а горизонтальных - 1 +/- 0,5 см.</w:t>
      </w:r>
    </w:p>
    <w:p w:rsidR="00212513" w:rsidRDefault="00212513">
      <w:pPr>
        <w:pStyle w:val="ConsPlusNormal"/>
        <w:spacing w:before="220"/>
        <w:ind w:firstLine="540"/>
        <w:jc w:val="both"/>
      </w:pPr>
      <w:r>
        <w:t>7.177 При отсутствии бетонных облицовочных блоков должного качества допускается при технико-экономическом обосновании применение для опор облицовки из естественного морозостойкого камня с прочностью на сжатие не ниже 59 МПа, при мощном ледоходе - не ниже 98 МПа. Также допускается облицовка опор естественным морозостойким камнем по архитектурным соображениям.</w:t>
      </w:r>
    </w:p>
    <w:p w:rsidR="00212513" w:rsidRDefault="00212513">
      <w:pPr>
        <w:pStyle w:val="ConsPlusNormal"/>
        <w:jc w:val="both"/>
      </w:pPr>
      <w:r>
        <w:t xml:space="preserve">(п. 7.177 в ред. </w:t>
      </w:r>
      <w:hyperlink r:id="rId1378">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lastRenderedPageBreak/>
        <w:t>7.178 Соединение железобетонных стоек и элементов опор с ригелем (насадкой) допускается осуществлять омоноличиванием арматурных выпусков в нишах или отверстиях. При этом стенки башмаков стаканного типа должны быть армированы из расчета на воздействие продольных и поперечных сил.</w:t>
      </w:r>
    </w:p>
    <w:p w:rsidR="00212513" w:rsidRDefault="00212513">
      <w:pPr>
        <w:pStyle w:val="ConsPlusNormal"/>
        <w:spacing w:before="220"/>
        <w:ind w:firstLine="540"/>
        <w:jc w:val="both"/>
      </w:pPr>
      <w:r>
        <w:t>Длина арматурных выпусков, заводимых в нишу или отверстие, должна быть не менее длины заделки стержней.</w:t>
      </w:r>
    </w:p>
    <w:p w:rsidR="00212513" w:rsidRDefault="00212513">
      <w:pPr>
        <w:pStyle w:val="ConsPlusNormal"/>
        <w:jc w:val="both"/>
      </w:pPr>
      <w:r>
        <w:t xml:space="preserve">(в ред. </w:t>
      </w:r>
      <w:hyperlink r:id="rId1379">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t>7.179 Для массивных бетонных опор и устоев следует предусматривать устройство железобетонных оголовков толщиной не менее 0,4 м.</w:t>
      </w:r>
    </w:p>
    <w:p w:rsidR="00212513" w:rsidRDefault="00212513">
      <w:pPr>
        <w:pStyle w:val="ConsPlusNormal"/>
        <w:jc w:val="both"/>
      </w:pPr>
      <w:r>
        <w:t xml:space="preserve">(в ред. </w:t>
      </w:r>
      <w:hyperlink r:id="rId1380">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Участки элементов (ригелей, насадок и т.п.) в местах передачи на них давления от пролетных строений (от домкратов, страховочных пакетов), при необходимости, должны быть армированы дополнительной косвенной арматурой, требуемой по расчету на местное сжатие (смятие). На этих участках, а также под монолитными стыками пролетных строений (от домкратов, страховочных пакетов) и на оголовках опор не должно быть мест, где возможен застой попадающей воды.</w:t>
      </w:r>
    </w:p>
    <w:p w:rsidR="00212513" w:rsidRDefault="00212513">
      <w:pPr>
        <w:pStyle w:val="ConsPlusNormal"/>
        <w:jc w:val="both"/>
      </w:pPr>
      <w:r>
        <w:t xml:space="preserve">(в ред. </w:t>
      </w:r>
      <w:hyperlink r:id="rId1381">
        <w:r>
          <w:rPr>
            <w:color w:val="0000FF"/>
          </w:rPr>
          <w:t>Изменения N 3</w:t>
        </w:r>
      </w:hyperlink>
      <w:r>
        <w:t xml:space="preserve">, утв. Приказом Минстроя России от 29.12.2020 N 891/пр, </w:t>
      </w:r>
      <w:hyperlink r:id="rId1382">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В местах расположения деформационных швов верхним поверхностям опор рекомендуется придавать уклоны (не менее 1:10), обеспечивающие сток воды.</w:t>
      </w:r>
    </w:p>
    <w:p w:rsidR="00212513" w:rsidRDefault="00212513">
      <w:pPr>
        <w:pStyle w:val="ConsPlusNormal"/>
        <w:jc w:val="both"/>
      </w:pPr>
      <w:r>
        <w:t xml:space="preserve">(в ред. </w:t>
      </w:r>
      <w:hyperlink r:id="rId1383">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Уклон верха оголовков и ригелей опор должен выполняться одновременно с их бетонированием.</w:t>
      </w:r>
    </w:p>
    <w:p w:rsidR="00212513" w:rsidRDefault="00212513">
      <w:pPr>
        <w:pStyle w:val="ConsPlusNormal"/>
        <w:spacing w:before="220"/>
        <w:ind w:firstLine="540"/>
        <w:jc w:val="both"/>
      </w:pPr>
      <w:r>
        <w:t>7.180 Нагрузку от опорных частей пролетных строений при наличии уклонов на верхней поверхности массивных опор, а для железнодорожных мостов - во всех случаях следует передавать на железобетонные подферменные площадки. Рекомендуется обеспечивать возвышение верхней грани этих площадок над опорой не менее чем на 15 см.</w:t>
      </w:r>
    </w:p>
    <w:p w:rsidR="00212513" w:rsidRDefault="00212513">
      <w:pPr>
        <w:pStyle w:val="ConsPlusNormal"/>
        <w:jc w:val="both"/>
      </w:pPr>
      <w:r>
        <w:t xml:space="preserve">(в ред. </w:t>
      </w:r>
      <w:hyperlink r:id="rId1384">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Расстояние от нижних плит опорных частей до боковых граней подферменных площадок или до боковых граней железобетонных элементов (ригелей, насадок и т.п.) должно быть не менее 15 см.</w:t>
      </w:r>
    </w:p>
    <w:p w:rsidR="00212513" w:rsidRDefault="00212513">
      <w:pPr>
        <w:pStyle w:val="ConsPlusNormal"/>
        <w:spacing w:before="220"/>
        <w:ind w:firstLine="540"/>
        <w:jc w:val="both"/>
      </w:pPr>
      <w:r>
        <w:t>Расстояние от граней подферменных площадок до граней оголовка рекомендуется назначать с учетом возможности установки домкратов для подъема концов пролетных строений и принимать, см, не менее:</w:t>
      </w:r>
    </w:p>
    <w:p w:rsidR="00212513" w:rsidRDefault="00212513">
      <w:pPr>
        <w:pStyle w:val="ConsPlusNormal"/>
        <w:jc w:val="both"/>
      </w:pPr>
      <w:r>
        <w:t xml:space="preserve">(в ред. </w:t>
      </w:r>
      <w:hyperlink r:id="rId1385">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bookmarkStart w:id="261" w:name="P6027"/>
      <w:bookmarkEnd w:id="261"/>
      <w:r>
        <w:t>а) вдоль моста:</w:t>
      </w:r>
    </w:p>
    <w:p w:rsidR="00212513" w:rsidRDefault="00212513">
      <w:pPr>
        <w:pStyle w:val="ConsPlusNonformat"/>
        <w:spacing w:before="200"/>
        <w:jc w:val="both"/>
      </w:pPr>
      <w:r>
        <w:t xml:space="preserve">    при  пролетах  от 15  до 30 м - 15;</w:t>
      </w:r>
    </w:p>
    <w:p w:rsidR="00212513" w:rsidRDefault="00212513">
      <w:pPr>
        <w:pStyle w:val="ConsPlusNonformat"/>
        <w:jc w:val="both"/>
      </w:pPr>
      <w:r>
        <w:t xml:space="preserve">    "    "         "  30  "  100 м - 25;</w:t>
      </w:r>
    </w:p>
    <w:p w:rsidR="00212513" w:rsidRDefault="00212513">
      <w:pPr>
        <w:pStyle w:val="ConsPlusNonformat"/>
        <w:jc w:val="both"/>
      </w:pPr>
      <w:r>
        <w:t xml:space="preserve">    "    "         свыше 100 м - 35;</w:t>
      </w:r>
    </w:p>
    <w:p w:rsidR="00212513" w:rsidRDefault="00212513">
      <w:pPr>
        <w:pStyle w:val="ConsPlusNormal"/>
        <w:ind w:firstLine="540"/>
        <w:jc w:val="both"/>
      </w:pPr>
      <w:r>
        <w:t>б) поперек моста:</w:t>
      </w:r>
    </w:p>
    <w:p w:rsidR="00212513" w:rsidRDefault="00212513">
      <w:pPr>
        <w:pStyle w:val="ConsPlusNormal"/>
        <w:spacing w:before="220"/>
        <w:ind w:firstLine="540"/>
        <w:jc w:val="both"/>
      </w:pPr>
      <w:r>
        <w:t xml:space="preserve">при закругленной форме оголовка от угла подферменной площадки до ближайшей грани оголовка - не менее указанных в </w:t>
      </w:r>
      <w:hyperlink w:anchor="P6027">
        <w:r>
          <w:rPr>
            <w:color w:val="0000FF"/>
          </w:rPr>
          <w:t>перечислении а)</w:t>
        </w:r>
      </w:hyperlink>
      <w:r>
        <w:t>;</w:t>
      </w:r>
    </w:p>
    <w:p w:rsidR="00212513" w:rsidRDefault="00212513">
      <w:pPr>
        <w:pStyle w:val="ConsPlusNormal"/>
        <w:spacing w:before="220"/>
        <w:ind w:firstLine="540"/>
        <w:jc w:val="both"/>
      </w:pPr>
      <w:r>
        <w:t>при прямоугольной форме оголовка, см, не менее:</w:t>
      </w:r>
    </w:p>
    <w:p w:rsidR="00212513" w:rsidRDefault="00212513">
      <w:pPr>
        <w:pStyle w:val="ConsPlusNonformat"/>
        <w:spacing w:before="200"/>
        <w:jc w:val="both"/>
      </w:pPr>
      <w:r>
        <w:t xml:space="preserve">    для плитных пролетных строений        - 20;</w:t>
      </w:r>
    </w:p>
    <w:p w:rsidR="00212513" w:rsidRDefault="00212513">
      <w:pPr>
        <w:pStyle w:val="ConsPlusNonformat"/>
        <w:jc w:val="both"/>
      </w:pPr>
      <w:r>
        <w:lastRenderedPageBreak/>
        <w:t xml:space="preserve">    для всех пролетных строений, кроме плитных, при опорных частях:</w:t>
      </w:r>
    </w:p>
    <w:p w:rsidR="00212513" w:rsidRDefault="00212513">
      <w:pPr>
        <w:pStyle w:val="ConsPlusNonformat"/>
        <w:jc w:val="both"/>
      </w:pPr>
      <w:r>
        <w:t xml:space="preserve">    резиностальных                        - 20;</w:t>
      </w:r>
    </w:p>
    <w:p w:rsidR="00212513" w:rsidRDefault="00212513">
      <w:pPr>
        <w:pStyle w:val="ConsPlusNonformat"/>
        <w:jc w:val="both"/>
      </w:pPr>
      <w:r>
        <w:t xml:space="preserve">    плоских, тангенциальных, а также</w:t>
      </w:r>
    </w:p>
    <w:p w:rsidR="00212513" w:rsidRDefault="00212513">
      <w:pPr>
        <w:pStyle w:val="ConsPlusNonformat"/>
        <w:jc w:val="both"/>
      </w:pPr>
      <w:r>
        <w:t xml:space="preserve">    с листом скольжения из полимерных</w:t>
      </w:r>
    </w:p>
    <w:p w:rsidR="00212513" w:rsidRDefault="00212513">
      <w:pPr>
        <w:pStyle w:val="ConsPlusNonformat"/>
        <w:jc w:val="both"/>
      </w:pPr>
      <w:r>
        <w:t xml:space="preserve">    материалов                            - 30;</w:t>
      </w:r>
    </w:p>
    <w:p w:rsidR="00212513" w:rsidRDefault="00212513">
      <w:pPr>
        <w:pStyle w:val="ConsPlusNonformat"/>
        <w:jc w:val="both"/>
      </w:pPr>
      <w:r>
        <w:t xml:space="preserve">    катковых и секторных                  - 50.</w:t>
      </w:r>
    </w:p>
    <w:p w:rsidR="00212513" w:rsidRDefault="00212513">
      <w:pPr>
        <w:pStyle w:val="ConsPlusNormal"/>
        <w:jc w:val="both"/>
      </w:pPr>
      <w:r>
        <w:t xml:space="preserve">(в ред. </w:t>
      </w:r>
      <w:hyperlink r:id="rId1386">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t>7.181 Применение железобетонных конструкций в опорах допускается для мостов, расположенных на суходолах, для путепроводов, виадуков и эстакад, на водотоках - при условии армирования стержневой арматурой и защиты поверхности от возможных механических повреждений. В опорах на водотоках применение напрягаемой проволочной арматуры не допускается.</w:t>
      </w:r>
    </w:p>
    <w:p w:rsidR="00212513" w:rsidRDefault="00212513">
      <w:pPr>
        <w:pStyle w:val="ConsPlusNormal"/>
        <w:spacing w:before="220"/>
        <w:ind w:firstLine="540"/>
        <w:jc w:val="both"/>
      </w:pPr>
      <w:r>
        <w:t>Железобетонные элементы опор в пределах водотоков надлежит защищать от истирания льдом и перемещающимися донными отложениями, от повреждений при навале судов или плотов, а также от механических повреждений, возможных в случае заторов бревен при молевом способе сплава. В качестве защитных мероприятий рекомендуется применять бетон с повышенной износостойкостью, увеличивать толщину защитного слоя бетона железобетонных элементов, а при особо тяжелых условиях (мощном ледоходе и карчеходе) допускается применять покрытие железобетонных элементов стальными листами. Необходимость защиты или ее способ в каждом отдельном случае в зависимости от конкретных условий водотока предоставляется выбирать проектной организации.</w:t>
      </w:r>
    </w:p>
    <w:p w:rsidR="00212513" w:rsidRDefault="00212513">
      <w:pPr>
        <w:pStyle w:val="ConsPlusNormal"/>
        <w:ind w:firstLine="540"/>
        <w:jc w:val="both"/>
      </w:pPr>
    </w:p>
    <w:p w:rsidR="00212513" w:rsidRDefault="00212513">
      <w:pPr>
        <w:pStyle w:val="ConsPlusTitle"/>
        <w:ind w:firstLine="540"/>
        <w:jc w:val="both"/>
        <w:outlineLvl w:val="3"/>
      </w:pPr>
      <w:r>
        <w:t>Гидроизоляция конструкций</w:t>
      </w:r>
    </w:p>
    <w:p w:rsidR="00212513" w:rsidRDefault="00212513">
      <w:pPr>
        <w:pStyle w:val="ConsPlusNormal"/>
        <w:ind w:firstLine="540"/>
        <w:jc w:val="both"/>
      </w:pPr>
    </w:p>
    <w:p w:rsidR="00212513" w:rsidRDefault="00212513">
      <w:pPr>
        <w:pStyle w:val="ConsPlusNormal"/>
        <w:ind w:firstLine="540"/>
        <w:jc w:val="both"/>
      </w:pPr>
      <w:r>
        <w:t>7.182 Все внутренние поверхности балластных корыт пролетных строений железнодорожных мостов и опор, в автодорожных мостах - вся ширина пролетного строения (включая тротуары), переходные плиты, а также засыпаемые грунтом поверхности опор, водопропускных труб (лотков) должны быть защищены изоляцией, препятствующей проникновению воды к защищаемым поверхностям бетона.</w:t>
      </w:r>
    </w:p>
    <w:p w:rsidR="00212513" w:rsidRDefault="00212513">
      <w:pPr>
        <w:pStyle w:val="ConsPlusNormal"/>
        <w:jc w:val="both"/>
      </w:pPr>
      <w:r>
        <w:t xml:space="preserve">(п. 7.182 в ред. </w:t>
      </w:r>
      <w:hyperlink r:id="rId1387">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bookmarkStart w:id="262" w:name="P6049"/>
      <w:bookmarkEnd w:id="262"/>
      <w:r>
        <w:t>7.183 Гидроизоляция должна быть: водонепроницаемой по всей изолируемой поверхности; водо-, био-, тепло-, морозо- и химически стойкой; сплошной и неповреждаемой при возможном образовании на изолируемой поверхности бетона трещин с раскрытием, принятым в нормах проектирования; прочной при длительных воздействиях постоянной и временной нагрузок и возможных деформациях бетона, а для труб - при наличии давления грунта насыпи и гидростатического давления воды; герметичной в местах перекрытия строповочных отверстий и в сопряжениях с бортиками балластных корыт, а также с водоотводными и ограждающими устройствами, конструкциями деформационных швов, тротуарными блоками, карнизами, перилами, столбами и т.п.</w:t>
      </w:r>
    </w:p>
    <w:p w:rsidR="00212513" w:rsidRDefault="00212513">
      <w:pPr>
        <w:pStyle w:val="ConsPlusNormal"/>
        <w:spacing w:before="220"/>
        <w:ind w:firstLine="540"/>
        <w:jc w:val="both"/>
      </w:pPr>
      <w:bookmarkStart w:id="263" w:name="P6050"/>
      <w:bookmarkEnd w:id="263"/>
      <w:r>
        <w:t xml:space="preserve">7.184 Конструкцию гидроизоляции и применяемые для ее устройства материалы следует принимать исходя из требований обеспечения эксплуатационной надежности гидрозащиты в интервале температуры наружного воздуха в районе строительства (по </w:t>
      </w:r>
      <w:hyperlink r:id="rId1388">
        <w:r>
          <w:rPr>
            <w:color w:val="0000FF"/>
          </w:rPr>
          <w:t>СП 131.13330</w:t>
        </w:r>
      </w:hyperlink>
      <w:r>
        <w:t>) от абсолютной максимальной до средней наиболее холодных суток.</w:t>
      </w:r>
    </w:p>
    <w:p w:rsidR="00212513" w:rsidRDefault="00212513">
      <w:pPr>
        <w:pStyle w:val="ConsPlusNormal"/>
        <w:jc w:val="both"/>
      </w:pPr>
      <w:r>
        <w:t xml:space="preserve">(в ред. </w:t>
      </w:r>
      <w:hyperlink r:id="rId1389">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При назначении гидроизоляции балластных корыт и проезжей части пролетных строений мостов, устоев, водопропускных труб должны учитываться также другие особенности климатических условий в районе строительства.</w:t>
      </w:r>
    </w:p>
    <w:p w:rsidR="00212513" w:rsidRDefault="00212513">
      <w:pPr>
        <w:pStyle w:val="ConsPlusNormal"/>
        <w:spacing w:before="220"/>
        <w:ind w:firstLine="540"/>
        <w:jc w:val="both"/>
      </w:pPr>
      <w:r>
        <w:t>7.185 Выравнивающий слой следует выполнять из бетона на мелком заполнителе. Класс бетона по прочности на сжатие следует принимать для мостов не ниже В25 и для труб - не ниже В20.</w:t>
      </w:r>
    </w:p>
    <w:p w:rsidR="00212513" w:rsidRDefault="00212513">
      <w:pPr>
        <w:pStyle w:val="ConsPlusNormal"/>
        <w:spacing w:before="220"/>
        <w:ind w:firstLine="540"/>
        <w:jc w:val="both"/>
      </w:pPr>
      <w:r>
        <w:lastRenderedPageBreak/>
        <w:t>Если в составе дорожной одежды ездового полотна предусматривается выполнение бетонного защитного слоя, то его следует армировать. Применение плетеных сеток для армирования защитного слоя не допускается.</w:t>
      </w:r>
    </w:p>
    <w:p w:rsidR="00212513" w:rsidRDefault="00212513">
      <w:pPr>
        <w:pStyle w:val="ConsPlusNormal"/>
        <w:spacing w:before="220"/>
        <w:ind w:firstLine="540"/>
        <w:jc w:val="both"/>
      </w:pPr>
      <w:r>
        <w:t xml:space="preserve">7.186 Допускается применение других типов гидроизоляции пролетных строений, устоев мостов и водопропускных труб, отвечающих требованиям </w:t>
      </w:r>
      <w:hyperlink w:anchor="P6049">
        <w:r>
          <w:rPr>
            <w:color w:val="0000FF"/>
          </w:rPr>
          <w:t>7.183</w:t>
        </w:r>
      </w:hyperlink>
      <w:r>
        <w:t xml:space="preserve"> и </w:t>
      </w:r>
      <w:hyperlink w:anchor="P6050">
        <w:r>
          <w:rPr>
            <w:color w:val="0000FF"/>
          </w:rPr>
          <w:t>7.184</w:t>
        </w:r>
      </w:hyperlink>
      <w:r>
        <w:t>.</w:t>
      </w:r>
    </w:p>
    <w:p w:rsidR="00212513" w:rsidRDefault="00212513">
      <w:pPr>
        <w:pStyle w:val="ConsPlusNormal"/>
        <w:ind w:firstLine="540"/>
        <w:jc w:val="both"/>
      </w:pPr>
    </w:p>
    <w:p w:rsidR="00212513" w:rsidRDefault="00212513">
      <w:pPr>
        <w:pStyle w:val="ConsPlusTitle"/>
        <w:ind w:firstLine="540"/>
        <w:jc w:val="both"/>
        <w:outlineLvl w:val="1"/>
      </w:pPr>
      <w:bookmarkStart w:id="264" w:name="P6057"/>
      <w:bookmarkEnd w:id="264"/>
      <w:r>
        <w:t>8 Стальные конструкции</w:t>
      </w:r>
    </w:p>
    <w:p w:rsidR="00212513" w:rsidRDefault="00212513">
      <w:pPr>
        <w:pStyle w:val="ConsPlusNormal"/>
        <w:ind w:firstLine="540"/>
        <w:jc w:val="both"/>
      </w:pPr>
    </w:p>
    <w:p w:rsidR="00212513" w:rsidRDefault="00212513">
      <w:pPr>
        <w:pStyle w:val="ConsPlusTitle"/>
        <w:ind w:firstLine="540"/>
        <w:jc w:val="both"/>
        <w:outlineLvl w:val="2"/>
      </w:pPr>
      <w:r>
        <w:t>Общие положения</w:t>
      </w:r>
    </w:p>
    <w:p w:rsidR="00212513" w:rsidRDefault="00212513">
      <w:pPr>
        <w:pStyle w:val="ConsPlusNormal"/>
        <w:ind w:firstLine="540"/>
        <w:jc w:val="both"/>
      </w:pPr>
    </w:p>
    <w:p w:rsidR="00212513" w:rsidRDefault="00212513">
      <w:pPr>
        <w:pStyle w:val="ConsPlusNormal"/>
        <w:ind w:firstLine="540"/>
        <w:jc w:val="both"/>
      </w:pPr>
      <w:r>
        <w:t>8.1 Тип исполнения стальных пролетных строений, опор и труб в зависимости от значения расчетной минимальной температуры следует назначать в соответствии с таблицей 8.1.</w:t>
      </w:r>
    </w:p>
    <w:p w:rsidR="00212513" w:rsidRDefault="00212513">
      <w:pPr>
        <w:pStyle w:val="ConsPlusNormal"/>
        <w:ind w:firstLine="540"/>
        <w:jc w:val="both"/>
      </w:pPr>
    </w:p>
    <w:p w:rsidR="00212513" w:rsidRDefault="00212513">
      <w:pPr>
        <w:pStyle w:val="ConsPlusNormal"/>
        <w:jc w:val="right"/>
      </w:pPr>
      <w:r>
        <w:t>Таблица 8.1</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16"/>
        <w:gridCol w:w="2721"/>
      </w:tblGrid>
      <w:tr w:rsidR="00212513">
        <w:tc>
          <w:tcPr>
            <w:tcW w:w="5216" w:type="dxa"/>
            <w:tcBorders>
              <w:top w:val="single" w:sz="4" w:space="0" w:color="auto"/>
              <w:bottom w:val="single" w:sz="4" w:space="0" w:color="auto"/>
            </w:tcBorders>
            <w:vAlign w:val="center"/>
          </w:tcPr>
          <w:p w:rsidR="00212513" w:rsidRDefault="00212513">
            <w:pPr>
              <w:pStyle w:val="ConsPlusNormal"/>
              <w:jc w:val="center"/>
            </w:pPr>
            <w:r>
              <w:t>Расчетная минимальная температура, °C</w:t>
            </w:r>
          </w:p>
        </w:tc>
        <w:tc>
          <w:tcPr>
            <w:tcW w:w="2721" w:type="dxa"/>
            <w:tcBorders>
              <w:top w:val="single" w:sz="4" w:space="0" w:color="auto"/>
              <w:bottom w:val="single" w:sz="4" w:space="0" w:color="auto"/>
            </w:tcBorders>
            <w:vAlign w:val="center"/>
          </w:tcPr>
          <w:p w:rsidR="00212513" w:rsidRDefault="00212513">
            <w:pPr>
              <w:pStyle w:val="ConsPlusNormal"/>
              <w:jc w:val="center"/>
            </w:pPr>
            <w:r>
              <w:t>Тип исполнения</w:t>
            </w:r>
          </w:p>
        </w:tc>
      </w:tr>
      <w:tr w:rsidR="00212513">
        <w:tblPrEx>
          <w:tblBorders>
            <w:insideH w:val="none" w:sz="0" w:space="0" w:color="auto"/>
          </w:tblBorders>
        </w:tblPrEx>
        <w:tc>
          <w:tcPr>
            <w:tcW w:w="5216" w:type="dxa"/>
            <w:tcBorders>
              <w:top w:val="single" w:sz="4" w:space="0" w:color="auto"/>
              <w:bottom w:val="nil"/>
            </w:tcBorders>
          </w:tcPr>
          <w:p w:rsidR="00212513" w:rsidRDefault="00212513">
            <w:pPr>
              <w:pStyle w:val="ConsPlusNormal"/>
            </w:pPr>
            <w:r>
              <w:t>До минус 40 включительно</w:t>
            </w:r>
          </w:p>
        </w:tc>
        <w:tc>
          <w:tcPr>
            <w:tcW w:w="2721" w:type="dxa"/>
            <w:tcBorders>
              <w:top w:val="single" w:sz="4" w:space="0" w:color="auto"/>
              <w:bottom w:val="nil"/>
            </w:tcBorders>
          </w:tcPr>
          <w:p w:rsidR="00212513" w:rsidRDefault="00212513">
            <w:pPr>
              <w:pStyle w:val="ConsPlusNormal"/>
              <w:jc w:val="center"/>
            </w:pPr>
            <w:r>
              <w:t>Обычное</w:t>
            </w:r>
          </w:p>
        </w:tc>
      </w:tr>
      <w:tr w:rsidR="00212513">
        <w:tblPrEx>
          <w:tblBorders>
            <w:insideH w:val="none" w:sz="0" w:space="0" w:color="auto"/>
          </w:tblBorders>
        </w:tblPrEx>
        <w:tc>
          <w:tcPr>
            <w:tcW w:w="5216" w:type="dxa"/>
            <w:tcBorders>
              <w:top w:val="nil"/>
              <w:bottom w:val="nil"/>
            </w:tcBorders>
          </w:tcPr>
          <w:p w:rsidR="00212513" w:rsidRDefault="00212513">
            <w:pPr>
              <w:pStyle w:val="ConsPlusNormal"/>
            </w:pPr>
            <w:r>
              <w:t>Ниже минус 40 до минус 50 включительно</w:t>
            </w:r>
          </w:p>
        </w:tc>
        <w:tc>
          <w:tcPr>
            <w:tcW w:w="2721" w:type="dxa"/>
            <w:tcBorders>
              <w:top w:val="nil"/>
              <w:bottom w:val="nil"/>
            </w:tcBorders>
          </w:tcPr>
          <w:p w:rsidR="00212513" w:rsidRDefault="00212513">
            <w:pPr>
              <w:pStyle w:val="ConsPlusNormal"/>
              <w:jc w:val="center"/>
            </w:pPr>
            <w:r>
              <w:t>Северное А</w:t>
            </w:r>
          </w:p>
        </w:tc>
      </w:tr>
      <w:tr w:rsidR="00212513">
        <w:tblPrEx>
          <w:tblBorders>
            <w:insideH w:val="none" w:sz="0" w:space="0" w:color="auto"/>
          </w:tblBorders>
        </w:tblPrEx>
        <w:tc>
          <w:tcPr>
            <w:tcW w:w="5216" w:type="dxa"/>
            <w:tcBorders>
              <w:top w:val="nil"/>
              <w:bottom w:val="single" w:sz="4" w:space="0" w:color="auto"/>
            </w:tcBorders>
          </w:tcPr>
          <w:p w:rsidR="00212513" w:rsidRDefault="00212513">
            <w:pPr>
              <w:pStyle w:val="ConsPlusNormal"/>
            </w:pPr>
            <w:r>
              <w:t>Ниже минус 50</w:t>
            </w:r>
          </w:p>
        </w:tc>
        <w:tc>
          <w:tcPr>
            <w:tcW w:w="2721" w:type="dxa"/>
            <w:tcBorders>
              <w:top w:val="nil"/>
              <w:bottom w:val="single" w:sz="4" w:space="0" w:color="auto"/>
            </w:tcBorders>
          </w:tcPr>
          <w:p w:rsidR="00212513" w:rsidRDefault="00212513">
            <w:pPr>
              <w:pStyle w:val="ConsPlusNormal"/>
              <w:jc w:val="center"/>
            </w:pPr>
            <w:r>
              <w:t>Северное Б</w:t>
            </w:r>
          </w:p>
        </w:tc>
      </w:tr>
    </w:tbl>
    <w:p w:rsidR="00212513" w:rsidRDefault="00212513">
      <w:pPr>
        <w:pStyle w:val="ConsPlusNormal"/>
        <w:ind w:firstLine="540"/>
        <w:jc w:val="both"/>
      </w:pPr>
    </w:p>
    <w:p w:rsidR="00212513" w:rsidRDefault="00212513">
      <w:pPr>
        <w:pStyle w:val="ConsPlusNormal"/>
        <w:ind w:firstLine="540"/>
        <w:jc w:val="both"/>
      </w:pPr>
      <w:r>
        <w:t>8.2 При проектировании стальных конструкций мостов необходимо:</w:t>
      </w:r>
    </w:p>
    <w:p w:rsidR="00212513" w:rsidRDefault="00212513">
      <w:pPr>
        <w:pStyle w:val="ConsPlusNormal"/>
        <w:spacing w:before="220"/>
        <w:ind w:firstLine="540"/>
        <w:jc w:val="both"/>
      </w:pPr>
      <w:r>
        <w:t>выбирать оптимальные в технико-экономическом отношении схемы, системы и конструкции пролетных строений и опор, рациональные и эффективные сечения элементов, профили проката и марки сталей;</w:t>
      </w:r>
    </w:p>
    <w:p w:rsidR="00212513" w:rsidRDefault="00212513">
      <w:pPr>
        <w:pStyle w:val="ConsPlusNormal"/>
        <w:spacing w:before="220"/>
        <w:ind w:firstLine="540"/>
        <w:jc w:val="both"/>
      </w:pPr>
      <w:r>
        <w:t>обеспечивать технологичность конструкций при заводском изготовлении и монтаже;</w:t>
      </w:r>
    </w:p>
    <w:p w:rsidR="00212513" w:rsidRDefault="00212513">
      <w:pPr>
        <w:pStyle w:val="ConsPlusNormal"/>
        <w:spacing w:before="220"/>
        <w:ind w:firstLine="540"/>
        <w:jc w:val="both"/>
      </w:pPr>
      <w:r>
        <w:t>предусматривать унификацию деталей, узлов, соединений, отправочных марок, профилей проката с минимальной номенклатурой и минимальными отходами при раскрое;</w:t>
      </w:r>
    </w:p>
    <w:p w:rsidR="00212513" w:rsidRDefault="00212513">
      <w:pPr>
        <w:pStyle w:val="ConsPlusNormal"/>
        <w:spacing w:before="220"/>
        <w:ind w:firstLine="540"/>
        <w:jc w:val="both"/>
      </w:pPr>
      <w:r>
        <w:t>применять отправочные марки и укрупненные монтажные блоки максимальной заводской готовности с минимальными объемами работ по образованию соединений на монтаже;</w:t>
      </w:r>
    </w:p>
    <w:p w:rsidR="00212513" w:rsidRDefault="00212513">
      <w:pPr>
        <w:pStyle w:val="ConsPlusNormal"/>
        <w:spacing w:before="220"/>
        <w:ind w:firstLine="540"/>
        <w:jc w:val="both"/>
      </w:pPr>
      <w:r>
        <w:t>назначать допуски на линейные размеры и геометрическую форму отправочных марок исходя в первую очередь из обеспечения беспрепятственной и нетрудоемкой собираемости конструкций на монтаже;</w:t>
      </w:r>
    </w:p>
    <w:p w:rsidR="00212513" w:rsidRDefault="00212513">
      <w:pPr>
        <w:pStyle w:val="ConsPlusNormal"/>
        <w:spacing w:before="220"/>
        <w:ind w:firstLine="540"/>
        <w:jc w:val="both"/>
      </w:pPr>
      <w:r>
        <w:t>предусматривать применение наиболее надежных экономичных и нетрудоемких заводских и монтажных соединений: сварных, фрикционных, болтовых, шарнирных и комбинированных (фрикционно-сварных и болтосварных);</w:t>
      </w:r>
    </w:p>
    <w:p w:rsidR="00212513" w:rsidRDefault="00212513">
      <w:pPr>
        <w:pStyle w:val="ConsPlusNormal"/>
        <w:spacing w:before="220"/>
        <w:ind w:firstLine="540"/>
        <w:jc w:val="both"/>
      </w:pPr>
      <w:r>
        <w:t>обеспечивать возможность осмотра, очистки, окраски и ремонта конструкций; исключать в элементах, узлах и соединениях зоны, в которых возможно скопление воды и других загрязнений;</w:t>
      </w:r>
    </w:p>
    <w:p w:rsidR="00212513" w:rsidRDefault="00212513">
      <w:pPr>
        <w:pStyle w:val="ConsPlusNormal"/>
        <w:spacing w:before="220"/>
        <w:ind w:firstLine="540"/>
        <w:jc w:val="both"/>
      </w:pPr>
      <w:r>
        <w:t>предусматривать защитные покрытия со стороны грунтовой засыпки для мостовых сооружений из металлических гофрированных элементов;</w:t>
      </w:r>
    </w:p>
    <w:p w:rsidR="00212513" w:rsidRDefault="00212513">
      <w:pPr>
        <w:pStyle w:val="ConsPlusNormal"/>
        <w:jc w:val="both"/>
      </w:pPr>
      <w:r>
        <w:t xml:space="preserve">(абзац введен </w:t>
      </w:r>
      <w:hyperlink r:id="rId1390">
        <w:r>
          <w:rPr>
            <w:color w:val="0000FF"/>
          </w:rPr>
          <w:t>Изменением N 1</w:t>
        </w:r>
      </w:hyperlink>
      <w:r>
        <w:t>, утв. Приказом Минстроя России от 03.12.2016 N 879/пр)</w:t>
      </w:r>
    </w:p>
    <w:p w:rsidR="00212513" w:rsidRDefault="00212513">
      <w:pPr>
        <w:pStyle w:val="ConsPlusNormal"/>
        <w:spacing w:before="220"/>
        <w:ind w:firstLine="540"/>
        <w:jc w:val="both"/>
      </w:pPr>
      <w:r>
        <w:t>предусматривать дренажные отверстия в местах скопления воды, проветривание внутренних зон и герметизацию полностью замкнутых профилей, элементов и блоков;</w:t>
      </w:r>
    </w:p>
    <w:p w:rsidR="00212513" w:rsidRDefault="00212513">
      <w:pPr>
        <w:pStyle w:val="ConsPlusNormal"/>
        <w:spacing w:before="220"/>
        <w:ind w:firstLine="540"/>
        <w:jc w:val="both"/>
      </w:pPr>
      <w:r>
        <w:lastRenderedPageBreak/>
        <w:t>указывать в документации КМ: марки сталей и требования к ним в соответствии с действующими нормативными документами; типы и размеры заводских и монтажных сварных соединений, участки сварных швов с полным проплавлением толщины детали; угловые швы с роспусками; способы защиты от коррозии. Документация КМ должна содержать все данные для заказа металлопроката, метизов, деформационных швов, опорных частей, защитных и гидроизоляционных материалов;</w:t>
      </w:r>
    </w:p>
    <w:p w:rsidR="00212513" w:rsidRDefault="00212513">
      <w:pPr>
        <w:pStyle w:val="ConsPlusNormal"/>
        <w:spacing w:before="220"/>
        <w:ind w:firstLine="540"/>
        <w:jc w:val="both"/>
      </w:pPr>
      <w:r>
        <w:t>не допускать использование восстановленных бывших в употреблении видов металлоконструкций (профилей, балок, листов, труб и др.).</w:t>
      </w:r>
    </w:p>
    <w:p w:rsidR="00212513" w:rsidRDefault="00212513">
      <w:pPr>
        <w:pStyle w:val="ConsPlusNormal"/>
        <w:jc w:val="both"/>
      </w:pPr>
      <w:r>
        <w:t xml:space="preserve">(абзац введен </w:t>
      </w:r>
      <w:hyperlink r:id="rId1391">
        <w:r>
          <w:rPr>
            <w:color w:val="0000FF"/>
          </w:rPr>
          <w:t>Изменением N 1</w:t>
        </w:r>
      </w:hyperlink>
      <w:r>
        <w:t>, утв. Приказом Минстроя России от 03.12.2016 N 879/пр)</w:t>
      </w:r>
    </w:p>
    <w:p w:rsidR="00212513" w:rsidRDefault="00212513">
      <w:pPr>
        <w:pStyle w:val="ConsPlusNormal"/>
        <w:spacing w:before="220"/>
        <w:ind w:firstLine="540"/>
        <w:jc w:val="both"/>
      </w:pPr>
      <w:r>
        <w:t>В заводских и монтажных соединениях листового проката из атмосферостойкой стали марки 14ХГНДЦ допускается применение сварных стыковых и угловых швов, выполняемых во всех пространственных положениях. При этом допускается применение монтажных сварных стыковых и тавровых соединений элементов несущих конструкций из стали марки 14ХГНДЦ, выполняемых автоматической сваркой под флюсом, в том числе с применением гранулированной металлохимической присадки, механизированной сваркой в смеси защитных газов и ручной дуговой сваркой.</w:t>
      </w:r>
    </w:p>
    <w:p w:rsidR="00212513" w:rsidRDefault="00212513">
      <w:pPr>
        <w:pStyle w:val="ConsPlusNormal"/>
        <w:jc w:val="both"/>
      </w:pPr>
      <w:r>
        <w:t xml:space="preserve">(абзац введен </w:t>
      </w:r>
      <w:hyperlink r:id="rId1392">
        <w:r>
          <w:rPr>
            <w:color w:val="0000FF"/>
          </w:rPr>
          <w:t>Изменением N 3</w:t>
        </w:r>
      </w:hyperlink>
      <w:r>
        <w:t>, утв. Приказом Минстроя России от 29.12.2020 N 891/пр)</w:t>
      </w:r>
    </w:p>
    <w:p w:rsidR="00212513" w:rsidRDefault="00212513">
      <w:pPr>
        <w:pStyle w:val="ConsPlusNormal"/>
        <w:spacing w:before="220"/>
        <w:ind w:firstLine="540"/>
        <w:jc w:val="both"/>
      </w:pPr>
      <w:r>
        <w:t>При проектировании автодорожных, железнодорожных и пешеходных стальных конструкций мостов, путепроводов и эстакад из атмосферостойкой стали марки 14ХГНДЦ необходимо учитывать возможность антикоррозионной защиты во время эксплуатации в случае недостаточной коррозионной стойкости.</w:t>
      </w:r>
    </w:p>
    <w:p w:rsidR="00212513" w:rsidRDefault="00212513">
      <w:pPr>
        <w:pStyle w:val="ConsPlusNormal"/>
        <w:jc w:val="both"/>
      </w:pPr>
      <w:r>
        <w:t xml:space="preserve">(абзац введен </w:t>
      </w:r>
      <w:hyperlink r:id="rId1393">
        <w:r>
          <w:rPr>
            <w:color w:val="0000FF"/>
          </w:rPr>
          <w:t>Изменением N 3</w:t>
        </w:r>
      </w:hyperlink>
      <w:r>
        <w:t>, утв. Приказом Минстроя России от 29.12.2020 N 891/пр)</w:t>
      </w:r>
    </w:p>
    <w:p w:rsidR="00212513" w:rsidRDefault="00212513">
      <w:pPr>
        <w:pStyle w:val="ConsPlusNormal"/>
        <w:spacing w:before="220"/>
        <w:ind w:firstLine="540"/>
        <w:jc w:val="both"/>
      </w:pPr>
      <w:r>
        <w:t>8.3 Сечения элементов стальных мостовых конструкций должны быть оптимальными из условий расчета их на прочность, устойчивость, выносливость и деформативность.</w:t>
      </w:r>
    </w:p>
    <w:p w:rsidR="00212513" w:rsidRDefault="00212513">
      <w:pPr>
        <w:pStyle w:val="ConsPlusNormal"/>
        <w:spacing w:before="220"/>
        <w:ind w:firstLine="540"/>
        <w:jc w:val="both"/>
      </w:pPr>
      <w:r>
        <w:t>При проектировании стальных мостов с пролетами более 100 м следует предусматривать поперечные сечения пролетных строений и конструкции барьерных удерживающих ограждений, обеспечивающие наилучшее обтекание ветровым потоком.</w:t>
      </w:r>
    </w:p>
    <w:p w:rsidR="00212513" w:rsidRDefault="00212513">
      <w:pPr>
        <w:pStyle w:val="ConsPlusNormal"/>
        <w:ind w:firstLine="540"/>
        <w:jc w:val="both"/>
      </w:pPr>
    </w:p>
    <w:p w:rsidR="00212513" w:rsidRDefault="00212513">
      <w:pPr>
        <w:pStyle w:val="ConsPlusTitle"/>
        <w:ind w:firstLine="540"/>
        <w:jc w:val="both"/>
        <w:outlineLvl w:val="2"/>
      </w:pPr>
      <w:r>
        <w:t>Материалы и полуфабрикаты</w:t>
      </w:r>
    </w:p>
    <w:p w:rsidR="00212513" w:rsidRDefault="00212513">
      <w:pPr>
        <w:pStyle w:val="ConsPlusNormal"/>
        <w:ind w:firstLine="540"/>
        <w:jc w:val="both"/>
      </w:pPr>
    </w:p>
    <w:p w:rsidR="00212513" w:rsidRDefault="00212513">
      <w:pPr>
        <w:pStyle w:val="ConsPlusNormal"/>
        <w:ind w:firstLine="540"/>
        <w:jc w:val="both"/>
      </w:pPr>
      <w:bookmarkStart w:id="265" w:name="P6097"/>
      <w:bookmarkEnd w:id="265"/>
      <w:r>
        <w:t>8.4 В стальных конструкциях мостов со сварными, фрикционными, болтовыми, комбинированными фрикционно-сварными, фланцевыми и шарнирными соединениями в обычном и северном исполнениях следует применять:</w:t>
      </w:r>
    </w:p>
    <w:p w:rsidR="00212513" w:rsidRDefault="00212513">
      <w:pPr>
        <w:pStyle w:val="ConsPlusNormal"/>
        <w:spacing w:before="220"/>
        <w:ind w:firstLine="540"/>
        <w:jc w:val="both"/>
      </w:pPr>
      <w:r>
        <w:t xml:space="preserve">а) для элементов из прокатного металла (сталь в соответствии с </w:t>
      </w:r>
      <w:hyperlink w:anchor="P6128">
        <w:r>
          <w:rPr>
            <w:color w:val="0000FF"/>
          </w:rPr>
          <w:t>таблицей 8.2</w:t>
        </w:r>
      </w:hyperlink>
      <w:r>
        <w:t xml:space="preserve">) допускается применять сталь марок, не указанных в </w:t>
      </w:r>
      <w:hyperlink w:anchor="P6128">
        <w:r>
          <w:rPr>
            <w:color w:val="0000FF"/>
          </w:rPr>
          <w:t>таблице 8.2</w:t>
        </w:r>
      </w:hyperlink>
      <w:r>
        <w:t xml:space="preserve">, в том числе высокопрочных наноструктурированных, после проверки в опытных конструкциях в порядке, предусмотренном законодательством Российской Федерации в области технического регулирования и санитарно-эпидемиологического благополучия населения. Расчетные характеристики в этом случае следует определять в соответствии с </w:t>
      </w:r>
      <w:hyperlink w:anchor="P6355">
        <w:r>
          <w:rPr>
            <w:color w:val="0000FF"/>
          </w:rPr>
          <w:t>8.8</w:t>
        </w:r>
      </w:hyperlink>
      <w:r>
        <w:t>;</w:t>
      </w:r>
    </w:p>
    <w:p w:rsidR="00212513" w:rsidRDefault="00212513">
      <w:pPr>
        <w:pStyle w:val="ConsPlusNormal"/>
        <w:spacing w:before="220"/>
        <w:ind w:firstLine="540"/>
        <w:jc w:val="both"/>
      </w:pPr>
      <w:r>
        <w:t xml:space="preserve">б) сварочные материалы для заводских и монтажных цельносварных и комбинированных соединений - по указаниям </w:t>
      </w:r>
      <w:hyperlink w:anchor="P19071">
        <w:r>
          <w:rPr>
            <w:color w:val="0000FF"/>
          </w:rPr>
          <w:t>[2]</w:t>
        </w:r>
      </w:hyperlink>
      <w:r>
        <w:t xml:space="preserve"> и </w:t>
      </w:r>
      <w:hyperlink w:anchor="P19073">
        <w:r>
          <w:rPr>
            <w:color w:val="0000FF"/>
          </w:rPr>
          <w:t>[3]</w:t>
        </w:r>
      </w:hyperlink>
      <w:r>
        <w:t>;</w:t>
      </w:r>
    </w:p>
    <w:p w:rsidR="00212513" w:rsidRDefault="00212513">
      <w:pPr>
        <w:pStyle w:val="ConsPlusNormal"/>
        <w:spacing w:before="220"/>
        <w:ind w:firstLine="540"/>
        <w:jc w:val="both"/>
      </w:pPr>
      <w:r>
        <w:t xml:space="preserve">в) высокопрочные болты, гайки и шайбы - по </w:t>
      </w:r>
      <w:hyperlink r:id="rId1394">
        <w:r>
          <w:rPr>
            <w:color w:val="0000FF"/>
          </w:rPr>
          <w:t>ГОСТ Р 53664</w:t>
        </w:r>
      </w:hyperlink>
      <w:r>
        <w:t>;</w:t>
      </w:r>
    </w:p>
    <w:p w:rsidR="00212513" w:rsidRDefault="00212513">
      <w:pPr>
        <w:pStyle w:val="ConsPlusNormal"/>
        <w:jc w:val="both"/>
      </w:pPr>
      <w:r>
        <w:t xml:space="preserve">(в ред. </w:t>
      </w:r>
      <w:hyperlink r:id="rId1395">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 xml:space="preserve">г) стальное литье группы 3, марок 25Л, 30Л, 35Л, 20ГЛ, 20ФЛ, 35ГЛ по </w:t>
      </w:r>
      <w:hyperlink r:id="rId1396">
        <w:r>
          <w:rPr>
            <w:color w:val="0000FF"/>
          </w:rPr>
          <w:t>ГОСТ 977</w:t>
        </w:r>
      </w:hyperlink>
      <w:r>
        <w:t xml:space="preserve"> - для литых элементов мостовых конструкций, в том числе опорных частей;</w:t>
      </w:r>
    </w:p>
    <w:p w:rsidR="00212513" w:rsidRDefault="00212513">
      <w:pPr>
        <w:pStyle w:val="ConsPlusNormal"/>
        <w:spacing w:before="220"/>
        <w:ind w:firstLine="540"/>
        <w:jc w:val="both"/>
      </w:pPr>
      <w:r>
        <w:t xml:space="preserve">д) поковки группы IV по </w:t>
      </w:r>
      <w:hyperlink r:id="rId1397">
        <w:r>
          <w:rPr>
            <w:color w:val="0000FF"/>
          </w:rPr>
          <w:t>ГОСТ 8479</w:t>
        </w:r>
      </w:hyperlink>
      <w:r>
        <w:t xml:space="preserve"> - для шарниров-болтов, шарниров-осей, катков, валков - </w:t>
      </w:r>
      <w:r>
        <w:lastRenderedPageBreak/>
        <w:t>следующих категорий прочности и марок сталей:</w:t>
      </w:r>
    </w:p>
    <w:p w:rsidR="00212513" w:rsidRDefault="00212513">
      <w:pPr>
        <w:pStyle w:val="ConsPlusNormal"/>
        <w:spacing w:before="220"/>
        <w:ind w:firstLine="540"/>
        <w:jc w:val="both"/>
      </w:pPr>
      <w:r>
        <w:t xml:space="preserve">КП275 из стали марок 40*, 45* по </w:t>
      </w:r>
      <w:hyperlink r:id="rId1398">
        <w:r>
          <w:rPr>
            <w:color w:val="0000FF"/>
          </w:rPr>
          <w:t>ГОСТ 1050</w:t>
        </w:r>
      </w:hyperlink>
      <w:r>
        <w:t xml:space="preserve"> в нормализованном состоянии;</w:t>
      </w:r>
    </w:p>
    <w:p w:rsidR="00212513" w:rsidRDefault="00212513">
      <w:pPr>
        <w:pStyle w:val="ConsPlusNormal"/>
        <w:spacing w:before="220"/>
        <w:ind w:firstLine="540"/>
        <w:jc w:val="both"/>
      </w:pPr>
      <w:r>
        <w:t xml:space="preserve">КП315 из стали марки 40Х* по </w:t>
      </w:r>
      <w:hyperlink r:id="rId1399">
        <w:r>
          <w:rPr>
            <w:color w:val="0000FF"/>
          </w:rPr>
          <w:t>ГОСТ 4543</w:t>
        </w:r>
      </w:hyperlink>
      <w:r>
        <w:t xml:space="preserve"> в нормализованном состоянии;</w:t>
      </w:r>
    </w:p>
    <w:p w:rsidR="00212513" w:rsidRDefault="00212513">
      <w:pPr>
        <w:pStyle w:val="ConsPlusNormal"/>
        <w:spacing w:before="220"/>
        <w:ind w:firstLine="540"/>
        <w:jc w:val="both"/>
      </w:pPr>
      <w:r>
        <w:t xml:space="preserve">КП345 из стали марки 40Х по </w:t>
      </w:r>
      <w:hyperlink r:id="rId1400">
        <w:r>
          <w:rPr>
            <w:color w:val="0000FF"/>
          </w:rPr>
          <w:t>ГОСТ 4543</w:t>
        </w:r>
      </w:hyperlink>
      <w:r>
        <w:t>, закалка плюс отпуск;</w:t>
      </w:r>
    </w:p>
    <w:p w:rsidR="00212513" w:rsidRDefault="00212513">
      <w:pPr>
        <w:pStyle w:val="ConsPlusNormal"/>
        <w:spacing w:before="220"/>
        <w:ind w:firstLine="540"/>
        <w:jc w:val="both"/>
      </w:pPr>
      <w:r>
        <w:t xml:space="preserve">КП590, КП640, КП785 из стали марки 40ХН2МА по </w:t>
      </w:r>
      <w:hyperlink r:id="rId1401">
        <w:r>
          <w:rPr>
            <w:color w:val="0000FF"/>
          </w:rPr>
          <w:t>ГОСТ 4543</w:t>
        </w:r>
      </w:hyperlink>
      <w:r>
        <w:t>, закалка плюс отпуск;</w:t>
      </w:r>
    </w:p>
    <w:p w:rsidR="00212513" w:rsidRDefault="00212513">
      <w:pPr>
        <w:pStyle w:val="ConsPlusNormal"/>
        <w:spacing w:before="220"/>
        <w:ind w:firstLine="540"/>
        <w:jc w:val="both"/>
      </w:pPr>
      <w:r>
        <w:t>е) металлические гофрированные структурные элементы и детали для их соединения.</w:t>
      </w:r>
    </w:p>
    <w:p w:rsidR="00212513" w:rsidRDefault="00212513">
      <w:pPr>
        <w:pStyle w:val="ConsPlusNormal"/>
        <w:jc w:val="both"/>
      </w:pPr>
      <w:r>
        <w:t xml:space="preserve">(перечисление "е" введено </w:t>
      </w:r>
      <w:hyperlink r:id="rId1402">
        <w:r>
          <w:rPr>
            <w:color w:val="0000FF"/>
          </w:rPr>
          <w:t>Изменением N 1</w:t>
        </w:r>
      </w:hyperlink>
      <w:r>
        <w:t>, утв. Приказом Минстроя России от 03.12.2016 N 879/пр)</w:t>
      </w:r>
    </w:p>
    <w:p w:rsidR="00212513" w:rsidRDefault="00212513">
      <w:pPr>
        <w:pStyle w:val="ConsPlusNormal"/>
        <w:spacing w:before="220"/>
        <w:ind w:firstLine="540"/>
        <w:jc w:val="both"/>
      </w:pPr>
      <w:r>
        <w:t xml:space="preserve">Второй, третий абзацы исключены с 01.07.2024. - </w:t>
      </w:r>
      <w:hyperlink r:id="rId1403">
        <w:r>
          <w:rPr>
            <w:color w:val="0000FF"/>
          </w:rPr>
          <w:t>Изменение N 4</w:t>
        </w:r>
      </w:hyperlink>
      <w:r>
        <w:t>, утв. Приказом Минстроя России от 30.05.2024 N 361/пр.</w:t>
      </w:r>
    </w:p>
    <w:p w:rsidR="00212513" w:rsidRDefault="00212513">
      <w:pPr>
        <w:pStyle w:val="ConsPlusNormal"/>
        <w:spacing w:before="220"/>
        <w:ind w:firstLine="540"/>
        <w:jc w:val="both"/>
      </w:pPr>
      <w:r>
        <w:t>Примечания</w:t>
      </w:r>
    </w:p>
    <w:p w:rsidR="00212513" w:rsidRDefault="00212513">
      <w:pPr>
        <w:pStyle w:val="ConsPlusNormal"/>
        <w:spacing w:before="220"/>
        <w:ind w:firstLine="540"/>
        <w:jc w:val="both"/>
      </w:pPr>
      <w:r>
        <w:t xml:space="preserve">1 Для несущих сварных элементов тротуаров и смотровых приспособлений (консолей и балок тротуаров, стоек и поручней перил, балок лестниц, переходных площадок, смотровых тележек и подъемных люлек), а также для элементов мостового полотна допускается применение стали Ст3сп5, а для указанных элементов без сварных соединений - стали марки Ст3сп4 по </w:t>
      </w:r>
      <w:hyperlink r:id="rId1404">
        <w:r>
          <w:rPr>
            <w:color w:val="0000FF"/>
          </w:rPr>
          <w:t>ГОСТ 535</w:t>
        </w:r>
      </w:hyperlink>
      <w:r>
        <w:t xml:space="preserve"> и </w:t>
      </w:r>
      <w:hyperlink r:id="rId1405">
        <w:r>
          <w:rPr>
            <w:color w:val="0000FF"/>
          </w:rPr>
          <w:t>ГОСТ 14637</w:t>
        </w:r>
      </w:hyperlink>
      <w:r>
        <w:t xml:space="preserve">. Для эксплуатационных обустройств допускается применение стали 09Г2С по </w:t>
      </w:r>
      <w:hyperlink r:id="rId1406">
        <w:r>
          <w:rPr>
            <w:color w:val="0000FF"/>
          </w:rPr>
          <w:t>ГОСТ 19281</w:t>
        </w:r>
      </w:hyperlink>
      <w:r>
        <w:t xml:space="preserve">. При толщине проката до 10 мм включительно допускается применение полуспокойной стали тех же категорий. При этом применение круглых труб допускается без ограничений, а прямоугольных сварных - с соблюдением требований </w:t>
      </w:r>
      <w:hyperlink r:id="rId1407">
        <w:r>
          <w:rPr>
            <w:color w:val="0000FF"/>
          </w:rPr>
          <w:t>СП 70.13330</w:t>
        </w:r>
      </w:hyperlink>
      <w:r>
        <w:t xml:space="preserve"> к радиусу гибки для конструкций, воспринимающих динамическую нагрузку. Механические свойства металла труб должны быть указаны в проекте и обеспечены заводом - изготовителем конструкций.</w:t>
      </w:r>
    </w:p>
    <w:p w:rsidR="00212513" w:rsidRDefault="00212513">
      <w:pPr>
        <w:pStyle w:val="ConsPlusNormal"/>
        <w:spacing w:before="220"/>
        <w:ind w:firstLine="540"/>
        <w:jc w:val="both"/>
      </w:pPr>
      <w:r>
        <w:t xml:space="preserve">2 В перилах и смотровых приспособлениях уголки с полкой 70 мм и менее допускается применять из стали марки Ст3пс2 по </w:t>
      </w:r>
      <w:hyperlink r:id="rId1408">
        <w:r>
          <w:rPr>
            <w:color w:val="0000FF"/>
          </w:rPr>
          <w:t>ГОСТ 535</w:t>
        </w:r>
      </w:hyperlink>
      <w:r>
        <w:t>.</w:t>
      </w:r>
    </w:p>
    <w:p w:rsidR="00212513" w:rsidRDefault="00212513">
      <w:pPr>
        <w:pStyle w:val="ConsPlusNormal"/>
        <w:spacing w:before="220"/>
        <w:ind w:firstLine="540"/>
        <w:jc w:val="both"/>
      </w:pPr>
      <w:r>
        <w:t xml:space="preserve">3 Для футляров (кожухов) опорных частей допускается применение стали марки Ст0 по </w:t>
      </w:r>
      <w:hyperlink r:id="rId1409">
        <w:r>
          <w:rPr>
            <w:color w:val="0000FF"/>
          </w:rPr>
          <w:t>ГОСТ 14637</w:t>
        </w:r>
      </w:hyperlink>
      <w:r>
        <w:t>.</w:t>
      </w:r>
    </w:p>
    <w:p w:rsidR="00212513" w:rsidRDefault="00212513">
      <w:pPr>
        <w:pStyle w:val="ConsPlusNormal"/>
        <w:spacing w:before="220"/>
        <w:ind w:firstLine="540"/>
        <w:jc w:val="both"/>
      </w:pPr>
      <w:r>
        <w:t xml:space="preserve">4 Для нерабочих прокладок и элементов заполнения перил допускается применение стали марки Ст3кп2 по </w:t>
      </w:r>
      <w:hyperlink r:id="rId1410">
        <w:r>
          <w:rPr>
            <w:color w:val="0000FF"/>
          </w:rPr>
          <w:t>ГОСТ 535</w:t>
        </w:r>
      </w:hyperlink>
      <w:r>
        <w:t xml:space="preserve"> и </w:t>
      </w:r>
      <w:hyperlink r:id="rId1411">
        <w:r>
          <w:rPr>
            <w:color w:val="0000FF"/>
          </w:rPr>
          <w:t>ГОСТ 14637</w:t>
        </w:r>
      </w:hyperlink>
      <w:r>
        <w:t xml:space="preserve">, для настила и смотровых ходов и приспособлений - сталь марки Ст3пс2 по </w:t>
      </w:r>
      <w:hyperlink r:id="rId1412">
        <w:r>
          <w:rPr>
            <w:color w:val="0000FF"/>
          </w:rPr>
          <w:t>ГОСТ 14637</w:t>
        </w:r>
      </w:hyperlink>
      <w:r>
        <w:t>.</w:t>
      </w:r>
    </w:p>
    <w:p w:rsidR="00212513" w:rsidRDefault="00212513">
      <w:pPr>
        <w:pStyle w:val="ConsPlusNormal"/>
        <w:spacing w:before="220"/>
        <w:ind w:firstLine="540"/>
        <w:jc w:val="both"/>
      </w:pPr>
      <w:r>
        <w:t>5 Для всех перечисленных выше элементов обязательно обеспечение антикоррозионной защиты по ГОСТ 34667.</w:t>
      </w:r>
    </w:p>
    <w:p w:rsidR="00212513" w:rsidRDefault="00212513">
      <w:pPr>
        <w:pStyle w:val="ConsPlusNormal"/>
        <w:jc w:val="both"/>
      </w:pPr>
      <w:r>
        <w:t xml:space="preserve">(примечания введены </w:t>
      </w:r>
      <w:hyperlink r:id="rId1413">
        <w:r>
          <w:rPr>
            <w:color w:val="0000FF"/>
          </w:rPr>
          <w:t>Изменением N 4</w:t>
        </w:r>
      </w:hyperlink>
      <w:r>
        <w:t>, утв. Приказом Минстроя России от 30.05.2024 N 361/пр)</w:t>
      </w:r>
    </w:p>
    <w:p w:rsidR="00212513" w:rsidRDefault="00212513">
      <w:pPr>
        <w:pStyle w:val="ConsPlusNormal"/>
        <w:ind w:firstLine="540"/>
        <w:jc w:val="both"/>
      </w:pPr>
    </w:p>
    <w:p w:rsidR="00212513" w:rsidRDefault="00212513">
      <w:pPr>
        <w:pStyle w:val="ConsPlusNormal"/>
        <w:ind w:firstLine="540"/>
        <w:jc w:val="both"/>
      </w:pPr>
      <w:r>
        <w:t xml:space="preserve">8.4а В стальных конструкциях мостов из атмосферостойкой стали марки 14ХГНДЦ-2,3 по </w:t>
      </w:r>
      <w:hyperlink r:id="rId1414">
        <w:r>
          <w:rPr>
            <w:color w:val="0000FF"/>
          </w:rPr>
          <w:t>ГОСТ Р 55374</w:t>
        </w:r>
      </w:hyperlink>
      <w:r>
        <w:t xml:space="preserve"> и </w:t>
      </w:r>
      <w:hyperlink r:id="rId1415">
        <w:r>
          <w:rPr>
            <w:color w:val="0000FF"/>
          </w:rPr>
          <w:t>ГОСТ 6713</w:t>
        </w:r>
      </w:hyperlink>
      <w:r>
        <w:t xml:space="preserve"> с фрикционными, болтовыми, комбинированными фрикционно-сварными и фланцевыми соединениями в обычном и северном исполнениях возможно применение высокопрочных болтов, гаек и шайб из атмосферостойкой стали марки 40ХГНМДФ.</w:t>
      </w:r>
    </w:p>
    <w:p w:rsidR="00212513" w:rsidRDefault="00212513">
      <w:pPr>
        <w:pStyle w:val="ConsPlusNormal"/>
        <w:jc w:val="both"/>
      </w:pPr>
      <w:r>
        <w:t xml:space="preserve">(п. 8.4а введен </w:t>
      </w:r>
      <w:hyperlink r:id="rId1416">
        <w:r>
          <w:rPr>
            <w:color w:val="0000FF"/>
          </w:rPr>
          <w:t>Изменением N 3</w:t>
        </w:r>
      </w:hyperlink>
      <w:r>
        <w:t xml:space="preserve">, утв. Приказом Минстроя России от 29.12.2020 N 891/пр; в ред. </w:t>
      </w:r>
      <w:hyperlink r:id="rId1417">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 xml:space="preserve">8.5 Для подвижных катковых и валковых опорных частей прокладные листы под катки следует изготавливать из высокопрочных легированных сталей марок 40ХН2МА по </w:t>
      </w:r>
      <w:hyperlink r:id="rId1418">
        <w:r>
          <w:rPr>
            <w:color w:val="0000FF"/>
          </w:rPr>
          <w:t>ГОСТ 4543</w:t>
        </w:r>
      </w:hyperlink>
      <w:r>
        <w:t xml:space="preserve">, 12ХГН2МА по </w:t>
      </w:r>
      <w:hyperlink w:anchor="P19075">
        <w:r>
          <w:rPr>
            <w:color w:val="0000FF"/>
          </w:rPr>
          <w:t>[4]</w:t>
        </w:r>
      </w:hyperlink>
      <w:r>
        <w:t xml:space="preserve">, 17ХГН2МФБТ по </w:t>
      </w:r>
      <w:hyperlink w:anchor="P19076">
        <w:r>
          <w:rPr>
            <w:color w:val="0000FF"/>
          </w:rPr>
          <w:t>[5]</w:t>
        </w:r>
      </w:hyperlink>
      <w:r>
        <w:t xml:space="preserve">. Допускается прокатный лист из стали 09Г2С по </w:t>
      </w:r>
      <w:hyperlink r:id="rId1419">
        <w:r>
          <w:rPr>
            <w:color w:val="0000FF"/>
          </w:rPr>
          <w:t>ГОСТ 19281</w:t>
        </w:r>
      </w:hyperlink>
      <w:r>
        <w:t xml:space="preserve"> с наплавкой рабочих поверхностей проволокой марки Св-20Х13 по </w:t>
      </w:r>
      <w:hyperlink r:id="rId1420">
        <w:r>
          <w:rPr>
            <w:color w:val="0000FF"/>
          </w:rPr>
          <w:t>ГОСТ 2246</w:t>
        </w:r>
      </w:hyperlink>
      <w:r>
        <w:t>.</w:t>
      </w:r>
    </w:p>
    <w:p w:rsidR="00212513" w:rsidRDefault="00212513">
      <w:pPr>
        <w:pStyle w:val="ConsPlusNormal"/>
        <w:spacing w:before="220"/>
        <w:ind w:firstLine="540"/>
        <w:jc w:val="both"/>
      </w:pPr>
      <w:bookmarkStart w:id="266" w:name="P6122"/>
      <w:bookmarkEnd w:id="266"/>
      <w:r>
        <w:lastRenderedPageBreak/>
        <w:t>8.6 При проектировании вантовых, висячих и предварительно напряженных мостов следует применять системы в виде заводской серийно выпускаемой продукции в соответствии с требованиями нормативных документов, утвержденных в установленном порядке, определяющих параметры и требования к материалам и полуфабрикатам системы.</w:t>
      </w:r>
    </w:p>
    <w:p w:rsidR="00212513" w:rsidRDefault="00212513">
      <w:pPr>
        <w:pStyle w:val="ConsPlusNormal"/>
        <w:spacing w:before="220"/>
        <w:ind w:firstLine="540"/>
        <w:jc w:val="both"/>
      </w:pPr>
      <w:r>
        <w:t>В случае использования алюминиевых элементов в составе вантовых систем и систем предварительного напряжения для исключения электрохимической коррозии контактирующие с алюминием стальные канаты и стальные детали указанных выше устройств должны быть защищены покрытиями из цинка или кадмия толщиной не менее 20 мкм.</w:t>
      </w:r>
    </w:p>
    <w:p w:rsidR="00212513" w:rsidRDefault="00212513">
      <w:pPr>
        <w:pStyle w:val="ConsPlusNormal"/>
        <w:jc w:val="both"/>
      </w:pPr>
      <w:r>
        <w:t xml:space="preserve">(п. 8.6 в ред. </w:t>
      </w:r>
      <w:hyperlink r:id="rId1421">
        <w:r>
          <w:rPr>
            <w:color w:val="0000FF"/>
          </w:rPr>
          <w:t>Изменения N 5</w:t>
        </w:r>
      </w:hyperlink>
      <w:r>
        <w:t>, утв. Приказом Минстроя России от 20.09.2024 N 636/пр)</w:t>
      </w:r>
    </w:p>
    <w:p w:rsidR="00212513" w:rsidRDefault="00212513">
      <w:pPr>
        <w:pStyle w:val="ConsPlusNormal"/>
        <w:spacing w:before="220"/>
        <w:ind w:firstLine="540"/>
        <w:jc w:val="both"/>
      </w:pPr>
      <w:r>
        <w:t xml:space="preserve">8.7 Профили холодногнутые сварные квадратные, прямоугольные и корытные (трапецеидальные) должны соответствовать требованиям </w:t>
      </w:r>
      <w:hyperlink r:id="rId1422">
        <w:r>
          <w:rPr>
            <w:color w:val="0000FF"/>
          </w:rPr>
          <w:t>ГОСТ 8639</w:t>
        </w:r>
      </w:hyperlink>
      <w:r>
        <w:t xml:space="preserve"> и </w:t>
      </w:r>
      <w:hyperlink w:anchor="P19097">
        <w:r>
          <w:rPr>
            <w:color w:val="0000FF"/>
          </w:rPr>
          <w:t>[20]</w:t>
        </w:r>
      </w:hyperlink>
      <w:r>
        <w:t>. Внутренний радиус гибки должен быть не менее 2,5 толщины листа для основных несущих элементов и не менее 1,2 толщины для вспомогательных конструкций обычного и северного исполнений. Марки сталей для холодногнутых профилей следует принимать по таблице 8.2.</w:t>
      </w:r>
    </w:p>
    <w:p w:rsidR="00212513" w:rsidRDefault="00212513">
      <w:pPr>
        <w:pStyle w:val="ConsPlusNormal"/>
        <w:jc w:val="both"/>
      </w:pPr>
      <w:r>
        <w:t xml:space="preserve">(в ред. </w:t>
      </w:r>
      <w:hyperlink r:id="rId1423">
        <w:r>
          <w:rPr>
            <w:color w:val="0000FF"/>
          </w:rPr>
          <w:t>Изменения N 5</w:t>
        </w:r>
      </w:hyperlink>
      <w:r>
        <w:t>, утв. Приказом Минстроя России от 20.09.2024 N 636/пр)</w:t>
      </w:r>
    </w:p>
    <w:p w:rsidR="00212513" w:rsidRDefault="00212513">
      <w:pPr>
        <w:pStyle w:val="ConsPlusNormal"/>
        <w:ind w:firstLine="540"/>
        <w:jc w:val="both"/>
      </w:pPr>
    </w:p>
    <w:p w:rsidR="00212513" w:rsidRDefault="00212513">
      <w:pPr>
        <w:pStyle w:val="ConsPlusNormal"/>
        <w:jc w:val="right"/>
      </w:pPr>
      <w:bookmarkStart w:id="267" w:name="P6128"/>
      <w:bookmarkEnd w:id="267"/>
      <w:r>
        <w:t>Таблица 8.2</w:t>
      </w:r>
    </w:p>
    <w:p w:rsidR="00212513" w:rsidRDefault="00212513">
      <w:pPr>
        <w:pStyle w:val="ConsPlusNormal"/>
        <w:jc w:val="center"/>
      </w:pPr>
    </w:p>
    <w:p w:rsidR="00212513" w:rsidRDefault="00212513">
      <w:pPr>
        <w:pStyle w:val="ConsPlusNormal"/>
        <w:jc w:val="center"/>
      </w:pPr>
      <w:r>
        <w:t xml:space="preserve">(таблица 8.2 в ред. </w:t>
      </w:r>
      <w:hyperlink r:id="rId1424">
        <w:r>
          <w:rPr>
            <w:color w:val="0000FF"/>
          </w:rPr>
          <w:t>Изменения N 4</w:t>
        </w:r>
      </w:hyperlink>
      <w:r>
        <w:t>, утв. Приказом</w:t>
      </w:r>
    </w:p>
    <w:p w:rsidR="00212513" w:rsidRDefault="00212513">
      <w:pPr>
        <w:pStyle w:val="ConsPlusNormal"/>
        <w:jc w:val="center"/>
      </w:pPr>
      <w:r>
        <w:t>Минстроя России от 30.05.2024 N 361/пр)</w:t>
      </w:r>
    </w:p>
    <w:p w:rsidR="00212513" w:rsidRDefault="00212513">
      <w:pPr>
        <w:pStyle w:val="ConsPlusNormal"/>
        <w:jc w:val="center"/>
      </w:pPr>
    </w:p>
    <w:p w:rsidR="00212513" w:rsidRDefault="00212513">
      <w:pPr>
        <w:pStyle w:val="ConsPlusNormal"/>
        <w:sectPr w:rsidR="00212513">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1191"/>
        <w:gridCol w:w="1928"/>
        <w:gridCol w:w="1701"/>
        <w:gridCol w:w="1474"/>
        <w:gridCol w:w="1247"/>
        <w:gridCol w:w="1871"/>
        <w:gridCol w:w="1644"/>
        <w:gridCol w:w="1474"/>
        <w:gridCol w:w="1247"/>
      </w:tblGrid>
      <w:tr w:rsidR="00212513">
        <w:tc>
          <w:tcPr>
            <w:tcW w:w="1077" w:type="dxa"/>
            <w:vMerge w:val="restart"/>
            <w:vAlign w:val="center"/>
          </w:tcPr>
          <w:p w:rsidR="00212513" w:rsidRDefault="00212513">
            <w:pPr>
              <w:pStyle w:val="ConsPlusNormal"/>
              <w:jc w:val="center"/>
            </w:pPr>
            <w:r>
              <w:lastRenderedPageBreak/>
              <w:t>Тип исполнения</w:t>
            </w:r>
          </w:p>
        </w:tc>
        <w:tc>
          <w:tcPr>
            <w:tcW w:w="13777" w:type="dxa"/>
            <w:gridSpan w:val="9"/>
            <w:vAlign w:val="center"/>
          </w:tcPr>
          <w:p w:rsidR="00212513" w:rsidRDefault="00212513">
            <w:pPr>
              <w:pStyle w:val="ConsPlusNormal"/>
              <w:jc w:val="center"/>
            </w:pPr>
            <w:r>
              <w:t>Сталь несущих элементов пролетных строений, опор, опорных частей и эксплуатационных обустройств, применяемая в заводских и монтажных соединениях</w:t>
            </w:r>
          </w:p>
        </w:tc>
      </w:tr>
      <w:tr w:rsidR="00212513">
        <w:tc>
          <w:tcPr>
            <w:tcW w:w="1077" w:type="dxa"/>
            <w:vMerge/>
          </w:tcPr>
          <w:p w:rsidR="00212513" w:rsidRDefault="00212513">
            <w:pPr>
              <w:pStyle w:val="ConsPlusNormal"/>
            </w:pPr>
          </w:p>
        </w:tc>
        <w:tc>
          <w:tcPr>
            <w:tcW w:w="6294" w:type="dxa"/>
            <w:gridSpan w:val="4"/>
            <w:vAlign w:val="center"/>
          </w:tcPr>
          <w:p w:rsidR="00212513" w:rsidRDefault="00212513">
            <w:pPr>
              <w:pStyle w:val="ConsPlusNormal"/>
              <w:jc w:val="center"/>
            </w:pPr>
            <w:r>
              <w:t>сварных швов железнодорожных и совмещенных мостов, включая стыковые, элементов из листового проката</w:t>
            </w:r>
          </w:p>
        </w:tc>
        <w:tc>
          <w:tcPr>
            <w:tcW w:w="7483" w:type="dxa"/>
            <w:gridSpan w:val="5"/>
            <w:vAlign w:val="center"/>
          </w:tcPr>
          <w:p w:rsidR="00212513" w:rsidRDefault="00212513">
            <w:pPr>
              <w:pStyle w:val="ConsPlusNormal"/>
              <w:jc w:val="center"/>
            </w:pPr>
            <w:r>
              <w:t xml:space="preserve">сварных швов и высокопрочных болтов элементов автодорожных, городских и пешеходных мостов и сварных швов и высокопрочных болтов в заводских соединениях и высокопрочных болтов в монтажных соединениях элементов железнодорожных и совмещенных мостов </w:t>
            </w:r>
            <w:hyperlink w:anchor="P6335">
              <w:r>
                <w:rPr>
                  <w:color w:val="0000FF"/>
                </w:rPr>
                <w:t>&lt;1&gt;</w:t>
              </w:r>
            </w:hyperlink>
          </w:p>
        </w:tc>
      </w:tr>
      <w:tr w:rsidR="00212513">
        <w:tc>
          <w:tcPr>
            <w:tcW w:w="1077" w:type="dxa"/>
            <w:vMerge/>
          </w:tcPr>
          <w:p w:rsidR="00212513" w:rsidRDefault="00212513">
            <w:pPr>
              <w:pStyle w:val="ConsPlusNormal"/>
            </w:pPr>
          </w:p>
        </w:tc>
        <w:tc>
          <w:tcPr>
            <w:tcW w:w="1191" w:type="dxa"/>
            <w:vMerge w:val="restart"/>
            <w:vAlign w:val="center"/>
          </w:tcPr>
          <w:p w:rsidR="00212513" w:rsidRDefault="00212513">
            <w:pPr>
              <w:pStyle w:val="ConsPlusNormal"/>
              <w:jc w:val="center"/>
            </w:pPr>
            <w:r>
              <w:t>Толщина проката, мм</w:t>
            </w:r>
          </w:p>
        </w:tc>
        <w:tc>
          <w:tcPr>
            <w:tcW w:w="1928" w:type="dxa"/>
            <w:vMerge w:val="restart"/>
            <w:vAlign w:val="center"/>
          </w:tcPr>
          <w:p w:rsidR="00212513" w:rsidRDefault="00212513">
            <w:pPr>
              <w:pStyle w:val="ConsPlusNormal"/>
              <w:jc w:val="center"/>
            </w:pPr>
            <w:r>
              <w:t>Марка стали</w:t>
            </w:r>
          </w:p>
        </w:tc>
        <w:tc>
          <w:tcPr>
            <w:tcW w:w="3175" w:type="dxa"/>
            <w:gridSpan w:val="2"/>
            <w:vAlign w:val="center"/>
          </w:tcPr>
          <w:p w:rsidR="00212513" w:rsidRDefault="00212513">
            <w:pPr>
              <w:pStyle w:val="ConsPlusNormal"/>
              <w:jc w:val="center"/>
            </w:pPr>
            <w:r>
              <w:t>Нормативный документ</w:t>
            </w:r>
          </w:p>
        </w:tc>
        <w:tc>
          <w:tcPr>
            <w:tcW w:w="1247" w:type="dxa"/>
            <w:vMerge w:val="restart"/>
            <w:vAlign w:val="center"/>
          </w:tcPr>
          <w:p w:rsidR="00212513" w:rsidRDefault="00212513">
            <w:pPr>
              <w:pStyle w:val="ConsPlusNormal"/>
              <w:jc w:val="center"/>
            </w:pPr>
            <w:r>
              <w:t>Вид проката</w:t>
            </w:r>
          </w:p>
        </w:tc>
        <w:tc>
          <w:tcPr>
            <w:tcW w:w="1871" w:type="dxa"/>
            <w:vMerge w:val="restart"/>
            <w:vAlign w:val="center"/>
          </w:tcPr>
          <w:p w:rsidR="00212513" w:rsidRDefault="00212513">
            <w:pPr>
              <w:pStyle w:val="ConsPlusNormal"/>
              <w:jc w:val="center"/>
            </w:pPr>
            <w:r>
              <w:t>Марка стали</w:t>
            </w:r>
          </w:p>
        </w:tc>
        <w:tc>
          <w:tcPr>
            <w:tcW w:w="3118" w:type="dxa"/>
            <w:gridSpan w:val="2"/>
            <w:vAlign w:val="center"/>
          </w:tcPr>
          <w:p w:rsidR="00212513" w:rsidRDefault="00212513">
            <w:pPr>
              <w:pStyle w:val="ConsPlusNormal"/>
              <w:jc w:val="center"/>
            </w:pPr>
            <w:r>
              <w:t>Нормативный документ</w:t>
            </w:r>
          </w:p>
        </w:tc>
        <w:tc>
          <w:tcPr>
            <w:tcW w:w="1247" w:type="dxa"/>
            <w:vMerge w:val="restart"/>
            <w:vAlign w:val="center"/>
          </w:tcPr>
          <w:p w:rsidR="00212513" w:rsidRDefault="00212513">
            <w:pPr>
              <w:pStyle w:val="ConsPlusNormal"/>
              <w:jc w:val="center"/>
            </w:pPr>
            <w:r>
              <w:t>Толщина проката, мм</w:t>
            </w:r>
          </w:p>
        </w:tc>
      </w:tr>
      <w:tr w:rsidR="00212513">
        <w:tc>
          <w:tcPr>
            <w:tcW w:w="1077" w:type="dxa"/>
            <w:vMerge/>
          </w:tcPr>
          <w:p w:rsidR="00212513" w:rsidRDefault="00212513">
            <w:pPr>
              <w:pStyle w:val="ConsPlusNormal"/>
            </w:pPr>
          </w:p>
        </w:tc>
        <w:tc>
          <w:tcPr>
            <w:tcW w:w="1191" w:type="dxa"/>
            <w:vMerge/>
          </w:tcPr>
          <w:p w:rsidR="00212513" w:rsidRDefault="00212513">
            <w:pPr>
              <w:pStyle w:val="ConsPlusNormal"/>
            </w:pPr>
          </w:p>
        </w:tc>
        <w:tc>
          <w:tcPr>
            <w:tcW w:w="1928" w:type="dxa"/>
            <w:vMerge/>
          </w:tcPr>
          <w:p w:rsidR="00212513" w:rsidRDefault="00212513">
            <w:pPr>
              <w:pStyle w:val="ConsPlusNormal"/>
            </w:pPr>
          </w:p>
        </w:tc>
        <w:tc>
          <w:tcPr>
            <w:tcW w:w="1701" w:type="dxa"/>
            <w:vAlign w:val="center"/>
          </w:tcPr>
          <w:p w:rsidR="00212513" w:rsidRDefault="00212513">
            <w:pPr>
              <w:pStyle w:val="ConsPlusNormal"/>
              <w:jc w:val="center"/>
            </w:pPr>
            <w:r>
              <w:t>Обозначение</w:t>
            </w:r>
          </w:p>
        </w:tc>
        <w:tc>
          <w:tcPr>
            <w:tcW w:w="1474" w:type="dxa"/>
            <w:vAlign w:val="center"/>
          </w:tcPr>
          <w:p w:rsidR="00212513" w:rsidRDefault="00212513">
            <w:pPr>
              <w:pStyle w:val="ConsPlusNormal"/>
              <w:jc w:val="center"/>
            </w:pPr>
            <w:r>
              <w:t>Дополнительные требования</w:t>
            </w:r>
          </w:p>
        </w:tc>
        <w:tc>
          <w:tcPr>
            <w:tcW w:w="1247" w:type="dxa"/>
            <w:vMerge/>
          </w:tcPr>
          <w:p w:rsidR="00212513" w:rsidRDefault="00212513">
            <w:pPr>
              <w:pStyle w:val="ConsPlusNormal"/>
            </w:pPr>
          </w:p>
        </w:tc>
        <w:tc>
          <w:tcPr>
            <w:tcW w:w="1871" w:type="dxa"/>
            <w:vMerge/>
          </w:tcPr>
          <w:p w:rsidR="00212513" w:rsidRDefault="00212513">
            <w:pPr>
              <w:pStyle w:val="ConsPlusNormal"/>
            </w:pPr>
          </w:p>
        </w:tc>
        <w:tc>
          <w:tcPr>
            <w:tcW w:w="1644" w:type="dxa"/>
            <w:vAlign w:val="center"/>
          </w:tcPr>
          <w:p w:rsidR="00212513" w:rsidRDefault="00212513">
            <w:pPr>
              <w:pStyle w:val="ConsPlusNormal"/>
              <w:jc w:val="center"/>
            </w:pPr>
            <w:r>
              <w:t>Обозначение</w:t>
            </w:r>
          </w:p>
        </w:tc>
        <w:tc>
          <w:tcPr>
            <w:tcW w:w="1474" w:type="dxa"/>
            <w:vAlign w:val="center"/>
          </w:tcPr>
          <w:p w:rsidR="00212513" w:rsidRDefault="00212513">
            <w:pPr>
              <w:pStyle w:val="ConsPlusNormal"/>
              <w:jc w:val="center"/>
            </w:pPr>
            <w:r>
              <w:t>Дополнительные требования</w:t>
            </w:r>
          </w:p>
        </w:tc>
        <w:tc>
          <w:tcPr>
            <w:tcW w:w="1247" w:type="dxa"/>
            <w:vMerge/>
          </w:tcPr>
          <w:p w:rsidR="00212513" w:rsidRDefault="00212513">
            <w:pPr>
              <w:pStyle w:val="ConsPlusNormal"/>
            </w:pPr>
          </w:p>
        </w:tc>
      </w:tr>
      <w:tr w:rsidR="00212513">
        <w:tc>
          <w:tcPr>
            <w:tcW w:w="1077" w:type="dxa"/>
            <w:vMerge w:val="restart"/>
          </w:tcPr>
          <w:p w:rsidR="00212513" w:rsidRDefault="00212513">
            <w:pPr>
              <w:pStyle w:val="ConsPlusNormal"/>
            </w:pPr>
            <w:r>
              <w:t>Обычное</w:t>
            </w:r>
          </w:p>
        </w:tc>
        <w:tc>
          <w:tcPr>
            <w:tcW w:w="1191" w:type="dxa"/>
            <w:vMerge w:val="restart"/>
            <w:vAlign w:val="center"/>
          </w:tcPr>
          <w:p w:rsidR="00212513" w:rsidRDefault="00212513">
            <w:pPr>
              <w:pStyle w:val="ConsPlusNormal"/>
              <w:jc w:val="center"/>
            </w:pPr>
            <w:r>
              <w:t xml:space="preserve">8 - 50 </w:t>
            </w:r>
            <w:hyperlink w:anchor="P6336">
              <w:r>
                <w:rPr>
                  <w:color w:val="0000FF"/>
                </w:rPr>
                <w:t>&lt;2&gt;</w:t>
              </w:r>
            </w:hyperlink>
          </w:p>
        </w:tc>
        <w:tc>
          <w:tcPr>
            <w:tcW w:w="1928" w:type="dxa"/>
            <w:vMerge w:val="restart"/>
            <w:vAlign w:val="center"/>
          </w:tcPr>
          <w:p w:rsidR="00212513" w:rsidRDefault="00212513">
            <w:pPr>
              <w:pStyle w:val="ConsPlusNormal"/>
              <w:jc w:val="center"/>
            </w:pPr>
            <w:r>
              <w:t>15ХСНД-2</w:t>
            </w:r>
          </w:p>
        </w:tc>
        <w:tc>
          <w:tcPr>
            <w:tcW w:w="1701" w:type="dxa"/>
            <w:vMerge w:val="restart"/>
            <w:vAlign w:val="center"/>
          </w:tcPr>
          <w:p w:rsidR="00212513" w:rsidRDefault="00212513">
            <w:pPr>
              <w:pStyle w:val="ConsPlusNormal"/>
              <w:jc w:val="center"/>
            </w:pPr>
            <w:hyperlink r:id="rId1425">
              <w:r>
                <w:rPr>
                  <w:color w:val="0000FF"/>
                </w:rPr>
                <w:t>ГОСТ Р 55374</w:t>
              </w:r>
            </w:hyperlink>
          </w:p>
          <w:p w:rsidR="00212513" w:rsidRDefault="00212513">
            <w:pPr>
              <w:pStyle w:val="ConsPlusNormal"/>
              <w:jc w:val="center"/>
            </w:pPr>
            <w:hyperlink r:id="rId1426">
              <w:r>
                <w:rPr>
                  <w:color w:val="0000FF"/>
                </w:rPr>
                <w:t>ГОСТ 6713</w:t>
              </w:r>
            </w:hyperlink>
          </w:p>
        </w:tc>
        <w:tc>
          <w:tcPr>
            <w:tcW w:w="1474" w:type="dxa"/>
            <w:vMerge w:val="restart"/>
          </w:tcPr>
          <w:p w:rsidR="00212513" w:rsidRDefault="00212513">
            <w:pPr>
              <w:pStyle w:val="ConsPlusNormal"/>
            </w:pPr>
          </w:p>
        </w:tc>
        <w:tc>
          <w:tcPr>
            <w:tcW w:w="1247" w:type="dxa"/>
            <w:vAlign w:val="center"/>
          </w:tcPr>
          <w:p w:rsidR="00212513" w:rsidRDefault="00212513">
            <w:pPr>
              <w:pStyle w:val="ConsPlusNormal"/>
              <w:jc w:val="center"/>
            </w:pPr>
            <w:r>
              <w:t>Любой</w:t>
            </w:r>
          </w:p>
        </w:tc>
        <w:tc>
          <w:tcPr>
            <w:tcW w:w="1871" w:type="dxa"/>
            <w:vAlign w:val="center"/>
          </w:tcPr>
          <w:p w:rsidR="00212513" w:rsidRDefault="00212513">
            <w:pPr>
              <w:pStyle w:val="ConsPlusNormal"/>
              <w:jc w:val="center"/>
            </w:pPr>
            <w:r>
              <w:t xml:space="preserve">16Д </w:t>
            </w:r>
            <w:hyperlink w:anchor="P6341">
              <w:r>
                <w:rPr>
                  <w:color w:val="0000FF"/>
                </w:rPr>
                <w:t>&lt;7&gt;</w:t>
              </w:r>
            </w:hyperlink>
          </w:p>
        </w:tc>
        <w:tc>
          <w:tcPr>
            <w:tcW w:w="1644" w:type="dxa"/>
            <w:vAlign w:val="center"/>
          </w:tcPr>
          <w:p w:rsidR="00212513" w:rsidRDefault="00212513">
            <w:pPr>
              <w:pStyle w:val="ConsPlusNormal"/>
              <w:jc w:val="center"/>
            </w:pPr>
            <w:hyperlink r:id="rId1427">
              <w:r>
                <w:rPr>
                  <w:color w:val="0000FF"/>
                </w:rPr>
                <w:t>ГОСТ 6713</w:t>
              </w:r>
            </w:hyperlink>
          </w:p>
        </w:tc>
        <w:tc>
          <w:tcPr>
            <w:tcW w:w="1474" w:type="dxa"/>
            <w:vAlign w:val="center"/>
          </w:tcPr>
          <w:p w:rsidR="00212513" w:rsidRDefault="00212513">
            <w:pPr>
              <w:pStyle w:val="ConsPlusNormal"/>
              <w:jc w:val="center"/>
            </w:pPr>
            <w:r>
              <w:t>-</w:t>
            </w:r>
          </w:p>
        </w:tc>
        <w:tc>
          <w:tcPr>
            <w:tcW w:w="1247" w:type="dxa"/>
            <w:vAlign w:val="center"/>
          </w:tcPr>
          <w:p w:rsidR="00212513" w:rsidRDefault="00212513">
            <w:pPr>
              <w:pStyle w:val="ConsPlusNormal"/>
              <w:jc w:val="center"/>
            </w:pPr>
            <w:r>
              <w:t>До 20 вкл.</w:t>
            </w:r>
          </w:p>
        </w:tc>
      </w:tr>
      <w:tr w:rsidR="00212513">
        <w:trPr>
          <w:trHeight w:val="269"/>
        </w:trPr>
        <w:tc>
          <w:tcPr>
            <w:tcW w:w="1077" w:type="dxa"/>
            <w:vMerge/>
          </w:tcPr>
          <w:p w:rsidR="00212513" w:rsidRDefault="00212513">
            <w:pPr>
              <w:pStyle w:val="ConsPlusNormal"/>
            </w:pPr>
          </w:p>
        </w:tc>
        <w:tc>
          <w:tcPr>
            <w:tcW w:w="1191" w:type="dxa"/>
            <w:vMerge/>
          </w:tcPr>
          <w:p w:rsidR="00212513" w:rsidRDefault="00212513">
            <w:pPr>
              <w:pStyle w:val="ConsPlusNormal"/>
            </w:pPr>
          </w:p>
        </w:tc>
        <w:tc>
          <w:tcPr>
            <w:tcW w:w="1928" w:type="dxa"/>
            <w:vMerge/>
          </w:tcPr>
          <w:p w:rsidR="00212513" w:rsidRDefault="00212513">
            <w:pPr>
              <w:pStyle w:val="ConsPlusNormal"/>
            </w:pPr>
          </w:p>
        </w:tc>
        <w:tc>
          <w:tcPr>
            <w:tcW w:w="1701" w:type="dxa"/>
            <w:vMerge/>
          </w:tcPr>
          <w:p w:rsidR="00212513" w:rsidRDefault="00212513">
            <w:pPr>
              <w:pStyle w:val="ConsPlusNormal"/>
            </w:pPr>
          </w:p>
        </w:tc>
        <w:tc>
          <w:tcPr>
            <w:tcW w:w="1474" w:type="dxa"/>
            <w:vMerge/>
          </w:tcPr>
          <w:p w:rsidR="00212513" w:rsidRDefault="00212513">
            <w:pPr>
              <w:pStyle w:val="ConsPlusNormal"/>
            </w:pPr>
          </w:p>
        </w:tc>
        <w:tc>
          <w:tcPr>
            <w:tcW w:w="1247" w:type="dxa"/>
            <w:vMerge w:val="restart"/>
            <w:vAlign w:val="center"/>
          </w:tcPr>
          <w:p w:rsidR="00212513" w:rsidRDefault="00212513">
            <w:pPr>
              <w:pStyle w:val="ConsPlusNormal"/>
              <w:jc w:val="center"/>
            </w:pPr>
            <w:r>
              <w:t>Листовой</w:t>
            </w:r>
          </w:p>
        </w:tc>
        <w:tc>
          <w:tcPr>
            <w:tcW w:w="1871" w:type="dxa"/>
            <w:vMerge w:val="restart"/>
            <w:vAlign w:val="center"/>
          </w:tcPr>
          <w:p w:rsidR="00212513" w:rsidRDefault="00212513">
            <w:pPr>
              <w:pStyle w:val="ConsPlusNormal"/>
              <w:jc w:val="center"/>
            </w:pPr>
            <w:r>
              <w:t>15ХСНД</w:t>
            </w:r>
          </w:p>
        </w:tc>
        <w:tc>
          <w:tcPr>
            <w:tcW w:w="1644" w:type="dxa"/>
            <w:vMerge w:val="restart"/>
            <w:vAlign w:val="center"/>
          </w:tcPr>
          <w:p w:rsidR="00212513" w:rsidRDefault="00212513">
            <w:pPr>
              <w:pStyle w:val="ConsPlusNormal"/>
              <w:jc w:val="center"/>
            </w:pPr>
            <w:hyperlink r:id="rId1428">
              <w:r>
                <w:rPr>
                  <w:color w:val="0000FF"/>
                </w:rPr>
                <w:t>ГОСТ Р 55374</w:t>
              </w:r>
            </w:hyperlink>
          </w:p>
          <w:p w:rsidR="00212513" w:rsidRDefault="00212513">
            <w:pPr>
              <w:pStyle w:val="ConsPlusNormal"/>
              <w:jc w:val="center"/>
            </w:pPr>
            <w:hyperlink r:id="rId1429">
              <w:r>
                <w:rPr>
                  <w:color w:val="0000FF"/>
                </w:rPr>
                <w:t>ГОСТ 6713</w:t>
              </w:r>
            </w:hyperlink>
          </w:p>
        </w:tc>
        <w:tc>
          <w:tcPr>
            <w:tcW w:w="1474" w:type="dxa"/>
            <w:vMerge w:val="restart"/>
            <w:vAlign w:val="center"/>
          </w:tcPr>
          <w:p w:rsidR="00212513" w:rsidRDefault="00212513">
            <w:pPr>
              <w:pStyle w:val="ConsPlusNormal"/>
              <w:jc w:val="center"/>
            </w:pPr>
            <w:r>
              <w:t>-</w:t>
            </w:r>
          </w:p>
        </w:tc>
        <w:tc>
          <w:tcPr>
            <w:tcW w:w="1247" w:type="dxa"/>
            <w:vMerge w:val="restart"/>
            <w:vAlign w:val="center"/>
          </w:tcPr>
          <w:p w:rsidR="00212513" w:rsidRDefault="00212513">
            <w:pPr>
              <w:pStyle w:val="ConsPlusNormal"/>
              <w:jc w:val="center"/>
            </w:pPr>
            <w:r>
              <w:t>8 - 15</w:t>
            </w:r>
          </w:p>
        </w:tc>
      </w:tr>
      <w:tr w:rsidR="00212513">
        <w:trPr>
          <w:trHeight w:val="269"/>
        </w:trPr>
        <w:tc>
          <w:tcPr>
            <w:tcW w:w="1077" w:type="dxa"/>
            <w:vMerge/>
          </w:tcPr>
          <w:p w:rsidR="00212513" w:rsidRDefault="00212513">
            <w:pPr>
              <w:pStyle w:val="ConsPlusNormal"/>
            </w:pPr>
          </w:p>
        </w:tc>
        <w:tc>
          <w:tcPr>
            <w:tcW w:w="1191" w:type="dxa"/>
            <w:vMerge w:val="restart"/>
            <w:vAlign w:val="center"/>
          </w:tcPr>
          <w:p w:rsidR="00212513" w:rsidRDefault="00212513">
            <w:pPr>
              <w:pStyle w:val="ConsPlusNormal"/>
              <w:jc w:val="center"/>
            </w:pPr>
            <w:r>
              <w:t xml:space="preserve">8 - 50 </w:t>
            </w:r>
            <w:hyperlink w:anchor="P6336">
              <w:r>
                <w:rPr>
                  <w:color w:val="0000FF"/>
                </w:rPr>
                <w:t>&lt;2&gt;</w:t>
              </w:r>
            </w:hyperlink>
          </w:p>
        </w:tc>
        <w:tc>
          <w:tcPr>
            <w:tcW w:w="1928" w:type="dxa"/>
            <w:vMerge w:val="restart"/>
            <w:vAlign w:val="center"/>
          </w:tcPr>
          <w:p w:rsidR="00212513" w:rsidRDefault="00212513">
            <w:pPr>
              <w:pStyle w:val="ConsPlusNormal"/>
              <w:jc w:val="center"/>
            </w:pPr>
            <w:r>
              <w:t>10ХСНД-2</w:t>
            </w:r>
          </w:p>
        </w:tc>
        <w:tc>
          <w:tcPr>
            <w:tcW w:w="1701" w:type="dxa"/>
            <w:vMerge w:val="restart"/>
            <w:vAlign w:val="center"/>
          </w:tcPr>
          <w:p w:rsidR="00212513" w:rsidRDefault="00212513">
            <w:pPr>
              <w:pStyle w:val="ConsPlusNormal"/>
              <w:jc w:val="center"/>
            </w:pPr>
            <w:hyperlink r:id="rId1430">
              <w:r>
                <w:rPr>
                  <w:color w:val="0000FF"/>
                </w:rPr>
                <w:t>ГОСТ Р 55374</w:t>
              </w:r>
            </w:hyperlink>
          </w:p>
          <w:p w:rsidR="00212513" w:rsidRDefault="00212513">
            <w:pPr>
              <w:pStyle w:val="ConsPlusNormal"/>
              <w:jc w:val="center"/>
            </w:pPr>
            <w:hyperlink r:id="rId1431">
              <w:r>
                <w:rPr>
                  <w:color w:val="0000FF"/>
                </w:rPr>
                <w:t>ГОСТ 6713</w:t>
              </w:r>
            </w:hyperlink>
          </w:p>
        </w:tc>
        <w:tc>
          <w:tcPr>
            <w:tcW w:w="1474" w:type="dxa"/>
            <w:vMerge/>
          </w:tcPr>
          <w:p w:rsidR="00212513" w:rsidRDefault="00212513">
            <w:pPr>
              <w:pStyle w:val="ConsPlusNormal"/>
            </w:pPr>
          </w:p>
        </w:tc>
        <w:tc>
          <w:tcPr>
            <w:tcW w:w="1247" w:type="dxa"/>
            <w:vMerge/>
          </w:tcPr>
          <w:p w:rsidR="00212513" w:rsidRDefault="00212513">
            <w:pPr>
              <w:pStyle w:val="ConsPlusNormal"/>
            </w:pPr>
          </w:p>
        </w:tc>
        <w:tc>
          <w:tcPr>
            <w:tcW w:w="1871" w:type="dxa"/>
            <w:vMerge/>
          </w:tcPr>
          <w:p w:rsidR="00212513" w:rsidRDefault="00212513">
            <w:pPr>
              <w:pStyle w:val="ConsPlusNormal"/>
            </w:pPr>
          </w:p>
        </w:tc>
        <w:tc>
          <w:tcPr>
            <w:tcW w:w="1644" w:type="dxa"/>
            <w:vMerge/>
          </w:tcPr>
          <w:p w:rsidR="00212513" w:rsidRDefault="00212513">
            <w:pPr>
              <w:pStyle w:val="ConsPlusNormal"/>
            </w:pPr>
          </w:p>
        </w:tc>
        <w:tc>
          <w:tcPr>
            <w:tcW w:w="1474" w:type="dxa"/>
            <w:vMerge/>
          </w:tcPr>
          <w:p w:rsidR="00212513" w:rsidRDefault="00212513">
            <w:pPr>
              <w:pStyle w:val="ConsPlusNormal"/>
            </w:pPr>
          </w:p>
        </w:tc>
        <w:tc>
          <w:tcPr>
            <w:tcW w:w="1247" w:type="dxa"/>
            <w:vMerge/>
          </w:tcPr>
          <w:p w:rsidR="00212513" w:rsidRDefault="00212513">
            <w:pPr>
              <w:pStyle w:val="ConsPlusNormal"/>
            </w:pPr>
          </w:p>
        </w:tc>
      </w:tr>
      <w:tr w:rsidR="00212513">
        <w:tc>
          <w:tcPr>
            <w:tcW w:w="1077" w:type="dxa"/>
            <w:vMerge/>
          </w:tcPr>
          <w:p w:rsidR="00212513" w:rsidRDefault="00212513">
            <w:pPr>
              <w:pStyle w:val="ConsPlusNormal"/>
            </w:pPr>
          </w:p>
        </w:tc>
        <w:tc>
          <w:tcPr>
            <w:tcW w:w="1191" w:type="dxa"/>
            <w:vMerge/>
          </w:tcPr>
          <w:p w:rsidR="00212513" w:rsidRDefault="00212513">
            <w:pPr>
              <w:pStyle w:val="ConsPlusNormal"/>
            </w:pPr>
          </w:p>
        </w:tc>
        <w:tc>
          <w:tcPr>
            <w:tcW w:w="1928" w:type="dxa"/>
            <w:vMerge/>
          </w:tcPr>
          <w:p w:rsidR="00212513" w:rsidRDefault="00212513">
            <w:pPr>
              <w:pStyle w:val="ConsPlusNormal"/>
            </w:pPr>
          </w:p>
        </w:tc>
        <w:tc>
          <w:tcPr>
            <w:tcW w:w="1701" w:type="dxa"/>
            <w:vMerge/>
          </w:tcPr>
          <w:p w:rsidR="00212513" w:rsidRDefault="00212513">
            <w:pPr>
              <w:pStyle w:val="ConsPlusNormal"/>
            </w:pPr>
          </w:p>
        </w:tc>
        <w:tc>
          <w:tcPr>
            <w:tcW w:w="1474" w:type="dxa"/>
            <w:vMerge/>
          </w:tcPr>
          <w:p w:rsidR="00212513" w:rsidRDefault="00212513">
            <w:pPr>
              <w:pStyle w:val="ConsPlusNormal"/>
            </w:pPr>
          </w:p>
        </w:tc>
        <w:tc>
          <w:tcPr>
            <w:tcW w:w="1247" w:type="dxa"/>
            <w:vMerge/>
          </w:tcPr>
          <w:p w:rsidR="00212513" w:rsidRDefault="00212513">
            <w:pPr>
              <w:pStyle w:val="ConsPlusNormal"/>
            </w:pPr>
          </w:p>
        </w:tc>
        <w:tc>
          <w:tcPr>
            <w:tcW w:w="1871" w:type="dxa"/>
            <w:vAlign w:val="center"/>
          </w:tcPr>
          <w:p w:rsidR="00212513" w:rsidRDefault="00212513">
            <w:pPr>
              <w:pStyle w:val="ConsPlusNormal"/>
              <w:jc w:val="center"/>
            </w:pPr>
            <w:r>
              <w:t>15ХСНД-2</w:t>
            </w:r>
          </w:p>
        </w:tc>
        <w:tc>
          <w:tcPr>
            <w:tcW w:w="1644" w:type="dxa"/>
            <w:vAlign w:val="center"/>
          </w:tcPr>
          <w:p w:rsidR="00212513" w:rsidRDefault="00212513">
            <w:pPr>
              <w:pStyle w:val="ConsPlusNormal"/>
              <w:jc w:val="center"/>
            </w:pPr>
            <w:hyperlink r:id="rId1432">
              <w:r>
                <w:rPr>
                  <w:color w:val="0000FF"/>
                </w:rPr>
                <w:t>ГОСТ Р 55374</w:t>
              </w:r>
            </w:hyperlink>
          </w:p>
          <w:p w:rsidR="00212513" w:rsidRDefault="00212513">
            <w:pPr>
              <w:pStyle w:val="ConsPlusNormal"/>
              <w:jc w:val="center"/>
            </w:pPr>
            <w:hyperlink r:id="rId1433">
              <w:r>
                <w:rPr>
                  <w:color w:val="0000FF"/>
                </w:rPr>
                <w:t>ГОСТ 6713</w:t>
              </w:r>
            </w:hyperlink>
          </w:p>
        </w:tc>
        <w:tc>
          <w:tcPr>
            <w:tcW w:w="1474" w:type="dxa"/>
            <w:vAlign w:val="center"/>
          </w:tcPr>
          <w:p w:rsidR="00212513" w:rsidRDefault="00212513">
            <w:pPr>
              <w:pStyle w:val="ConsPlusNormal"/>
              <w:jc w:val="center"/>
            </w:pPr>
            <w:r>
              <w:t>-</w:t>
            </w:r>
          </w:p>
        </w:tc>
        <w:tc>
          <w:tcPr>
            <w:tcW w:w="1247" w:type="dxa"/>
            <w:vAlign w:val="center"/>
          </w:tcPr>
          <w:p w:rsidR="00212513" w:rsidRDefault="00212513">
            <w:pPr>
              <w:pStyle w:val="ConsPlusNormal"/>
              <w:jc w:val="center"/>
            </w:pPr>
            <w:r>
              <w:t xml:space="preserve">8 - 50 </w:t>
            </w:r>
            <w:hyperlink w:anchor="P6336">
              <w:r>
                <w:rPr>
                  <w:color w:val="0000FF"/>
                </w:rPr>
                <w:t>&lt;2&gt;</w:t>
              </w:r>
            </w:hyperlink>
          </w:p>
        </w:tc>
      </w:tr>
      <w:tr w:rsidR="00212513">
        <w:tc>
          <w:tcPr>
            <w:tcW w:w="1077" w:type="dxa"/>
            <w:vMerge/>
          </w:tcPr>
          <w:p w:rsidR="00212513" w:rsidRDefault="00212513">
            <w:pPr>
              <w:pStyle w:val="ConsPlusNormal"/>
            </w:pPr>
          </w:p>
        </w:tc>
        <w:tc>
          <w:tcPr>
            <w:tcW w:w="1191" w:type="dxa"/>
            <w:vMerge w:val="restart"/>
            <w:vAlign w:val="center"/>
          </w:tcPr>
          <w:p w:rsidR="00212513" w:rsidRDefault="00212513">
            <w:pPr>
              <w:pStyle w:val="ConsPlusNormal"/>
              <w:jc w:val="center"/>
            </w:pPr>
            <w:r>
              <w:t xml:space="preserve">8 - 50 </w:t>
            </w:r>
            <w:hyperlink w:anchor="P6336">
              <w:r>
                <w:rPr>
                  <w:color w:val="0000FF"/>
                </w:rPr>
                <w:t>&lt;2&gt;</w:t>
              </w:r>
            </w:hyperlink>
          </w:p>
        </w:tc>
        <w:tc>
          <w:tcPr>
            <w:tcW w:w="1928" w:type="dxa"/>
            <w:vMerge w:val="restart"/>
            <w:vAlign w:val="center"/>
          </w:tcPr>
          <w:p w:rsidR="00212513" w:rsidRDefault="00212513">
            <w:pPr>
              <w:pStyle w:val="ConsPlusNormal"/>
              <w:jc w:val="center"/>
            </w:pPr>
            <w:r>
              <w:t>345-14ХГНДЦ-2</w:t>
            </w:r>
          </w:p>
        </w:tc>
        <w:tc>
          <w:tcPr>
            <w:tcW w:w="1701" w:type="dxa"/>
            <w:vMerge w:val="restart"/>
            <w:vAlign w:val="center"/>
          </w:tcPr>
          <w:p w:rsidR="00212513" w:rsidRDefault="00212513">
            <w:pPr>
              <w:pStyle w:val="ConsPlusNormal"/>
              <w:jc w:val="center"/>
            </w:pPr>
            <w:hyperlink w:anchor="P19080">
              <w:r>
                <w:rPr>
                  <w:color w:val="0000FF"/>
                </w:rPr>
                <w:t>[7]</w:t>
              </w:r>
            </w:hyperlink>
          </w:p>
          <w:p w:rsidR="00212513" w:rsidRDefault="00212513">
            <w:pPr>
              <w:pStyle w:val="ConsPlusNormal"/>
              <w:jc w:val="center"/>
            </w:pPr>
            <w:hyperlink r:id="rId1434">
              <w:r>
                <w:rPr>
                  <w:color w:val="0000FF"/>
                </w:rPr>
                <w:t>ГОСТ Р 55374</w:t>
              </w:r>
            </w:hyperlink>
          </w:p>
          <w:p w:rsidR="00212513" w:rsidRDefault="00212513">
            <w:pPr>
              <w:pStyle w:val="ConsPlusNormal"/>
              <w:jc w:val="center"/>
            </w:pPr>
            <w:hyperlink r:id="rId1435">
              <w:r>
                <w:rPr>
                  <w:color w:val="0000FF"/>
                </w:rPr>
                <w:t>ГОСТ 6713</w:t>
              </w:r>
            </w:hyperlink>
          </w:p>
        </w:tc>
        <w:tc>
          <w:tcPr>
            <w:tcW w:w="1474" w:type="dxa"/>
            <w:vMerge/>
          </w:tcPr>
          <w:p w:rsidR="00212513" w:rsidRDefault="00212513">
            <w:pPr>
              <w:pStyle w:val="ConsPlusNormal"/>
            </w:pPr>
          </w:p>
        </w:tc>
        <w:tc>
          <w:tcPr>
            <w:tcW w:w="1247" w:type="dxa"/>
            <w:vMerge/>
          </w:tcPr>
          <w:p w:rsidR="00212513" w:rsidRDefault="00212513">
            <w:pPr>
              <w:pStyle w:val="ConsPlusNormal"/>
            </w:pPr>
          </w:p>
        </w:tc>
        <w:tc>
          <w:tcPr>
            <w:tcW w:w="1871" w:type="dxa"/>
            <w:vAlign w:val="center"/>
          </w:tcPr>
          <w:p w:rsidR="00212513" w:rsidRDefault="00212513">
            <w:pPr>
              <w:pStyle w:val="ConsPlusNormal"/>
              <w:jc w:val="center"/>
            </w:pPr>
            <w:r>
              <w:t>10ХСНД</w:t>
            </w:r>
          </w:p>
        </w:tc>
        <w:tc>
          <w:tcPr>
            <w:tcW w:w="1644" w:type="dxa"/>
            <w:vAlign w:val="center"/>
          </w:tcPr>
          <w:p w:rsidR="00212513" w:rsidRDefault="00212513">
            <w:pPr>
              <w:pStyle w:val="ConsPlusNormal"/>
              <w:jc w:val="center"/>
            </w:pPr>
            <w:hyperlink r:id="rId1436">
              <w:r>
                <w:rPr>
                  <w:color w:val="0000FF"/>
                </w:rPr>
                <w:t>ГОСТ Р 55374</w:t>
              </w:r>
            </w:hyperlink>
          </w:p>
          <w:p w:rsidR="00212513" w:rsidRDefault="00212513">
            <w:pPr>
              <w:pStyle w:val="ConsPlusNormal"/>
              <w:jc w:val="center"/>
            </w:pPr>
            <w:hyperlink r:id="rId1437">
              <w:r>
                <w:rPr>
                  <w:color w:val="0000FF"/>
                </w:rPr>
                <w:t>ГОСТ 6713</w:t>
              </w:r>
            </w:hyperlink>
          </w:p>
        </w:tc>
        <w:tc>
          <w:tcPr>
            <w:tcW w:w="1474" w:type="dxa"/>
            <w:vAlign w:val="center"/>
          </w:tcPr>
          <w:p w:rsidR="00212513" w:rsidRDefault="00212513">
            <w:pPr>
              <w:pStyle w:val="ConsPlusNormal"/>
              <w:jc w:val="center"/>
            </w:pPr>
            <w:r>
              <w:t>-</w:t>
            </w:r>
          </w:p>
        </w:tc>
        <w:tc>
          <w:tcPr>
            <w:tcW w:w="1247" w:type="dxa"/>
            <w:vAlign w:val="center"/>
          </w:tcPr>
          <w:p w:rsidR="00212513" w:rsidRDefault="00212513">
            <w:pPr>
              <w:pStyle w:val="ConsPlusNormal"/>
              <w:jc w:val="center"/>
            </w:pPr>
            <w:r>
              <w:t>8 - 15</w:t>
            </w:r>
          </w:p>
        </w:tc>
      </w:tr>
      <w:tr w:rsidR="00212513">
        <w:trPr>
          <w:trHeight w:val="269"/>
        </w:trPr>
        <w:tc>
          <w:tcPr>
            <w:tcW w:w="1077" w:type="dxa"/>
            <w:vMerge/>
          </w:tcPr>
          <w:p w:rsidR="00212513" w:rsidRDefault="00212513">
            <w:pPr>
              <w:pStyle w:val="ConsPlusNormal"/>
            </w:pPr>
          </w:p>
        </w:tc>
        <w:tc>
          <w:tcPr>
            <w:tcW w:w="1191" w:type="dxa"/>
            <w:vMerge/>
          </w:tcPr>
          <w:p w:rsidR="00212513" w:rsidRDefault="00212513">
            <w:pPr>
              <w:pStyle w:val="ConsPlusNormal"/>
            </w:pPr>
          </w:p>
        </w:tc>
        <w:tc>
          <w:tcPr>
            <w:tcW w:w="1928" w:type="dxa"/>
            <w:vMerge/>
          </w:tcPr>
          <w:p w:rsidR="00212513" w:rsidRDefault="00212513">
            <w:pPr>
              <w:pStyle w:val="ConsPlusNormal"/>
            </w:pPr>
          </w:p>
        </w:tc>
        <w:tc>
          <w:tcPr>
            <w:tcW w:w="1701" w:type="dxa"/>
            <w:vMerge/>
          </w:tcPr>
          <w:p w:rsidR="00212513" w:rsidRDefault="00212513">
            <w:pPr>
              <w:pStyle w:val="ConsPlusNormal"/>
            </w:pPr>
          </w:p>
        </w:tc>
        <w:tc>
          <w:tcPr>
            <w:tcW w:w="1474" w:type="dxa"/>
            <w:vMerge/>
          </w:tcPr>
          <w:p w:rsidR="00212513" w:rsidRDefault="00212513">
            <w:pPr>
              <w:pStyle w:val="ConsPlusNormal"/>
            </w:pPr>
          </w:p>
        </w:tc>
        <w:tc>
          <w:tcPr>
            <w:tcW w:w="1247" w:type="dxa"/>
            <w:vMerge/>
          </w:tcPr>
          <w:p w:rsidR="00212513" w:rsidRDefault="00212513">
            <w:pPr>
              <w:pStyle w:val="ConsPlusNormal"/>
            </w:pPr>
          </w:p>
        </w:tc>
        <w:tc>
          <w:tcPr>
            <w:tcW w:w="1871" w:type="dxa"/>
            <w:vMerge w:val="restart"/>
            <w:vAlign w:val="center"/>
          </w:tcPr>
          <w:p w:rsidR="00212513" w:rsidRDefault="00212513">
            <w:pPr>
              <w:pStyle w:val="ConsPlusNormal"/>
              <w:jc w:val="center"/>
            </w:pPr>
            <w:r>
              <w:t>10ХСНД-2</w:t>
            </w:r>
          </w:p>
        </w:tc>
        <w:tc>
          <w:tcPr>
            <w:tcW w:w="1644" w:type="dxa"/>
            <w:vMerge w:val="restart"/>
            <w:vAlign w:val="center"/>
          </w:tcPr>
          <w:p w:rsidR="00212513" w:rsidRDefault="00212513">
            <w:pPr>
              <w:pStyle w:val="ConsPlusNormal"/>
              <w:jc w:val="center"/>
            </w:pPr>
            <w:hyperlink r:id="rId1438">
              <w:r>
                <w:rPr>
                  <w:color w:val="0000FF"/>
                </w:rPr>
                <w:t>ГОСТ Р 55374</w:t>
              </w:r>
            </w:hyperlink>
          </w:p>
          <w:p w:rsidR="00212513" w:rsidRDefault="00212513">
            <w:pPr>
              <w:pStyle w:val="ConsPlusNormal"/>
              <w:jc w:val="center"/>
            </w:pPr>
            <w:hyperlink r:id="rId1439">
              <w:r>
                <w:rPr>
                  <w:color w:val="0000FF"/>
                </w:rPr>
                <w:t>ГОСТ 6713</w:t>
              </w:r>
            </w:hyperlink>
          </w:p>
        </w:tc>
        <w:tc>
          <w:tcPr>
            <w:tcW w:w="1474" w:type="dxa"/>
            <w:vMerge w:val="restart"/>
            <w:vAlign w:val="center"/>
          </w:tcPr>
          <w:p w:rsidR="00212513" w:rsidRDefault="00212513">
            <w:pPr>
              <w:pStyle w:val="ConsPlusNormal"/>
              <w:jc w:val="center"/>
            </w:pPr>
            <w:r>
              <w:t>-</w:t>
            </w:r>
          </w:p>
        </w:tc>
        <w:tc>
          <w:tcPr>
            <w:tcW w:w="1247" w:type="dxa"/>
            <w:vMerge w:val="restart"/>
            <w:vAlign w:val="center"/>
          </w:tcPr>
          <w:p w:rsidR="00212513" w:rsidRDefault="00212513">
            <w:pPr>
              <w:pStyle w:val="ConsPlusNormal"/>
              <w:jc w:val="center"/>
            </w:pPr>
            <w:r>
              <w:t xml:space="preserve">8 - 50 </w:t>
            </w:r>
            <w:hyperlink w:anchor="P6336">
              <w:r>
                <w:rPr>
                  <w:color w:val="0000FF"/>
                </w:rPr>
                <w:t>&lt;2&gt;</w:t>
              </w:r>
            </w:hyperlink>
          </w:p>
        </w:tc>
      </w:tr>
      <w:tr w:rsidR="00212513">
        <w:trPr>
          <w:trHeight w:val="269"/>
        </w:trPr>
        <w:tc>
          <w:tcPr>
            <w:tcW w:w="1077" w:type="dxa"/>
            <w:vMerge/>
          </w:tcPr>
          <w:p w:rsidR="00212513" w:rsidRDefault="00212513">
            <w:pPr>
              <w:pStyle w:val="ConsPlusNormal"/>
            </w:pPr>
          </w:p>
        </w:tc>
        <w:tc>
          <w:tcPr>
            <w:tcW w:w="1191" w:type="dxa"/>
            <w:vMerge w:val="restart"/>
            <w:vAlign w:val="center"/>
          </w:tcPr>
          <w:p w:rsidR="00212513" w:rsidRDefault="00212513">
            <w:pPr>
              <w:pStyle w:val="ConsPlusNormal"/>
              <w:jc w:val="center"/>
            </w:pPr>
            <w:r>
              <w:t xml:space="preserve">8 - 50 </w:t>
            </w:r>
            <w:hyperlink w:anchor="P6336">
              <w:r>
                <w:rPr>
                  <w:color w:val="0000FF"/>
                </w:rPr>
                <w:t>&lt;2&gt;</w:t>
              </w:r>
            </w:hyperlink>
          </w:p>
        </w:tc>
        <w:tc>
          <w:tcPr>
            <w:tcW w:w="1928" w:type="dxa"/>
            <w:vMerge w:val="restart"/>
            <w:vAlign w:val="center"/>
          </w:tcPr>
          <w:p w:rsidR="00212513" w:rsidRDefault="00212513">
            <w:pPr>
              <w:pStyle w:val="ConsPlusNormal"/>
              <w:jc w:val="center"/>
            </w:pPr>
            <w:r>
              <w:t>390-14ХГНДЦ-2</w:t>
            </w:r>
          </w:p>
        </w:tc>
        <w:tc>
          <w:tcPr>
            <w:tcW w:w="1701" w:type="dxa"/>
            <w:vMerge w:val="restart"/>
            <w:vAlign w:val="center"/>
          </w:tcPr>
          <w:p w:rsidR="00212513" w:rsidRDefault="00212513">
            <w:pPr>
              <w:pStyle w:val="ConsPlusNormal"/>
              <w:jc w:val="center"/>
            </w:pPr>
            <w:hyperlink w:anchor="P19080">
              <w:r>
                <w:rPr>
                  <w:color w:val="0000FF"/>
                </w:rPr>
                <w:t>[7]</w:t>
              </w:r>
            </w:hyperlink>
          </w:p>
        </w:tc>
        <w:tc>
          <w:tcPr>
            <w:tcW w:w="1474" w:type="dxa"/>
            <w:vMerge/>
          </w:tcPr>
          <w:p w:rsidR="00212513" w:rsidRDefault="00212513">
            <w:pPr>
              <w:pStyle w:val="ConsPlusNormal"/>
            </w:pPr>
          </w:p>
        </w:tc>
        <w:tc>
          <w:tcPr>
            <w:tcW w:w="1247" w:type="dxa"/>
            <w:vMerge/>
          </w:tcPr>
          <w:p w:rsidR="00212513" w:rsidRDefault="00212513">
            <w:pPr>
              <w:pStyle w:val="ConsPlusNormal"/>
            </w:pPr>
          </w:p>
        </w:tc>
        <w:tc>
          <w:tcPr>
            <w:tcW w:w="1871" w:type="dxa"/>
            <w:vMerge/>
          </w:tcPr>
          <w:p w:rsidR="00212513" w:rsidRDefault="00212513">
            <w:pPr>
              <w:pStyle w:val="ConsPlusNormal"/>
            </w:pPr>
          </w:p>
        </w:tc>
        <w:tc>
          <w:tcPr>
            <w:tcW w:w="1644" w:type="dxa"/>
            <w:vMerge/>
          </w:tcPr>
          <w:p w:rsidR="00212513" w:rsidRDefault="00212513">
            <w:pPr>
              <w:pStyle w:val="ConsPlusNormal"/>
            </w:pPr>
          </w:p>
        </w:tc>
        <w:tc>
          <w:tcPr>
            <w:tcW w:w="1474" w:type="dxa"/>
            <w:vMerge/>
          </w:tcPr>
          <w:p w:rsidR="00212513" w:rsidRDefault="00212513">
            <w:pPr>
              <w:pStyle w:val="ConsPlusNormal"/>
            </w:pPr>
          </w:p>
        </w:tc>
        <w:tc>
          <w:tcPr>
            <w:tcW w:w="1247" w:type="dxa"/>
            <w:vMerge/>
          </w:tcPr>
          <w:p w:rsidR="00212513" w:rsidRDefault="00212513">
            <w:pPr>
              <w:pStyle w:val="ConsPlusNormal"/>
            </w:pPr>
          </w:p>
        </w:tc>
      </w:tr>
      <w:tr w:rsidR="00212513">
        <w:tc>
          <w:tcPr>
            <w:tcW w:w="1077" w:type="dxa"/>
            <w:vMerge/>
          </w:tcPr>
          <w:p w:rsidR="00212513" w:rsidRDefault="00212513">
            <w:pPr>
              <w:pStyle w:val="ConsPlusNormal"/>
            </w:pPr>
          </w:p>
        </w:tc>
        <w:tc>
          <w:tcPr>
            <w:tcW w:w="1191" w:type="dxa"/>
            <w:vMerge/>
          </w:tcPr>
          <w:p w:rsidR="00212513" w:rsidRDefault="00212513">
            <w:pPr>
              <w:pStyle w:val="ConsPlusNormal"/>
            </w:pPr>
          </w:p>
        </w:tc>
        <w:tc>
          <w:tcPr>
            <w:tcW w:w="1928" w:type="dxa"/>
            <w:vMerge/>
          </w:tcPr>
          <w:p w:rsidR="00212513" w:rsidRDefault="00212513">
            <w:pPr>
              <w:pStyle w:val="ConsPlusNormal"/>
            </w:pPr>
          </w:p>
        </w:tc>
        <w:tc>
          <w:tcPr>
            <w:tcW w:w="1701" w:type="dxa"/>
            <w:vMerge/>
          </w:tcPr>
          <w:p w:rsidR="00212513" w:rsidRDefault="00212513">
            <w:pPr>
              <w:pStyle w:val="ConsPlusNormal"/>
            </w:pPr>
          </w:p>
        </w:tc>
        <w:tc>
          <w:tcPr>
            <w:tcW w:w="1474" w:type="dxa"/>
            <w:vMerge/>
          </w:tcPr>
          <w:p w:rsidR="00212513" w:rsidRDefault="00212513">
            <w:pPr>
              <w:pStyle w:val="ConsPlusNormal"/>
            </w:pPr>
          </w:p>
        </w:tc>
        <w:tc>
          <w:tcPr>
            <w:tcW w:w="1247" w:type="dxa"/>
            <w:vMerge/>
          </w:tcPr>
          <w:p w:rsidR="00212513" w:rsidRDefault="00212513">
            <w:pPr>
              <w:pStyle w:val="ConsPlusNormal"/>
            </w:pPr>
          </w:p>
        </w:tc>
        <w:tc>
          <w:tcPr>
            <w:tcW w:w="1871" w:type="dxa"/>
            <w:vAlign w:val="center"/>
          </w:tcPr>
          <w:p w:rsidR="00212513" w:rsidRDefault="00212513">
            <w:pPr>
              <w:pStyle w:val="ConsPlusNormal"/>
              <w:jc w:val="center"/>
            </w:pPr>
            <w:r>
              <w:t>15ХСНДА-2</w:t>
            </w:r>
          </w:p>
        </w:tc>
        <w:tc>
          <w:tcPr>
            <w:tcW w:w="1644" w:type="dxa"/>
            <w:vAlign w:val="center"/>
          </w:tcPr>
          <w:p w:rsidR="00212513" w:rsidRDefault="00212513">
            <w:pPr>
              <w:pStyle w:val="ConsPlusNormal"/>
              <w:jc w:val="center"/>
            </w:pPr>
            <w:hyperlink w:anchor="P19080">
              <w:r>
                <w:rPr>
                  <w:color w:val="0000FF"/>
                </w:rPr>
                <w:t>[7]</w:t>
              </w:r>
            </w:hyperlink>
          </w:p>
        </w:tc>
        <w:tc>
          <w:tcPr>
            <w:tcW w:w="1474" w:type="dxa"/>
            <w:vAlign w:val="center"/>
          </w:tcPr>
          <w:p w:rsidR="00212513" w:rsidRDefault="00212513">
            <w:pPr>
              <w:pStyle w:val="ConsPlusNormal"/>
              <w:jc w:val="center"/>
            </w:pPr>
            <w:r>
              <w:t>-</w:t>
            </w:r>
          </w:p>
        </w:tc>
        <w:tc>
          <w:tcPr>
            <w:tcW w:w="1247" w:type="dxa"/>
            <w:vAlign w:val="center"/>
          </w:tcPr>
          <w:p w:rsidR="00212513" w:rsidRDefault="00212513">
            <w:pPr>
              <w:pStyle w:val="ConsPlusNormal"/>
              <w:jc w:val="center"/>
            </w:pPr>
            <w:r>
              <w:t xml:space="preserve">8 - 50 </w:t>
            </w:r>
            <w:hyperlink w:anchor="P6336">
              <w:r>
                <w:rPr>
                  <w:color w:val="0000FF"/>
                </w:rPr>
                <w:t>&lt;2&gt;</w:t>
              </w:r>
            </w:hyperlink>
          </w:p>
        </w:tc>
      </w:tr>
      <w:tr w:rsidR="00212513">
        <w:tc>
          <w:tcPr>
            <w:tcW w:w="1077" w:type="dxa"/>
            <w:vMerge/>
          </w:tcPr>
          <w:p w:rsidR="00212513" w:rsidRDefault="00212513">
            <w:pPr>
              <w:pStyle w:val="ConsPlusNormal"/>
            </w:pPr>
          </w:p>
        </w:tc>
        <w:tc>
          <w:tcPr>
            <w:tcW w:w="1191" w:type="dxa"/>
            <w:vMerge/>
          </w:tcPr>
          <w:p w:rsidR="00212513" w:rsidRDefault="00212513">
            <w:pPr>
              <w:pStyle w:val="ConsPlusNormal"/>
            </w:pPr>
          </w:p>
        </w:tc>
        <w:tc>
          <w:tcPr>
            <w:tcW w:w="1928" w:type="dxa"/>
            <w:vMerge/>
          </w:tcPr>
          <w:p w:rsidR="00212513" w:rsidRDefault="00212513">
            <w:pPr>
              <w:pStyle w:val="ConsPlusNormal"/>
            </w:pPr>
          </w:p>
        </w:tc>
        <w:tc>
          <w:tcPr>
            <w:tcW w:w="1701" w:type="dxa"/>
            <w:vMerge/>
          </w:tcPr>
          <w:p w:rsidR="00212513" w:rsidRDefault="00212513">
            <w:pPr>
              <w:pStyle w:val="ConsPlusNormal"/>
            </w:pPr>
          </w:p>
        </w:tc>
        <w:tc>
          <w:tcPr>
            <w:tcW w:w="1474" w:type="dxa"/>
            <w:vMerge/>
          </w:tcPr>
          <w:p w:rsidR="00212513" w:rsidRDefault="00212513">
            <w:pPr>
              <w:pStyle w:val="ConsPlusNormal"/>
            </w:pPr>
          </w:p>
        </w:tc>
        <w:tc>
          <w:tcPr>
            <w:tcW w:w="1247" w:type="dxa"/>
            <w:vMerge/>
          </w:tcPr>
          <w:p w:rsidR="00212513" w:rsidRDefault="00212513">
            <w:pPr>
              <w:pStyle w:val="ConsPlusNormal"/>
            </w:pPr>
          </w:p>
        </w:tc>
        <w:tc>
          <w:tcPr>
            <w:tcW w:w="1871" w:type="dxa"/>
            <w:vAlign w:val="center"/>
          </w:tcPr>
          <w:p w:rsidR="00212513" w:rsidRDefault="00212513">
            <w:pPr>
              <w:pStyle w:val="ConsPlusNormal"/>
              <w:jc w:val="center"/>
            </w:pPr>
            <w:r>
              <w:t>10ХСНДА-2</w:t>
            </w:r>
          </w:p>
        </w:tc>
        <w:tc>
          <w:tcPr>
            <w:tcW w:w="1644" w:type="dxa"/>
            <w:vAlign w:val="center"/>
          </w:tcPr>
          <w:p w:rsidR="00212513" w:rsidRDefault="00212513">
            <w:pPr>
              <w:pStyle w:val="ConsPlusNormal"/>
              <w:jc w:val="center"/>
            </w:pPr>
            <w:hyperlink w:anchor="P19080">
              <w:r>
                <w:rPr>
                  <w:color w:val="0000FF"/>
                </w:rPr>
                <w:t>[7]</w:t>
              </w:r>
            </w:hyperlink>
          </w:p>
        </w:tc>
        <w:tc>
          <w:tcPr>
            <w:tcW w:w="1474" w:type="dxa"/>
            <w:vAlign w:val="center"/>
          </w:tcPr>
          <w:p w:rsidR="00212513" w:rsidRDefault="00212513">
            <w:pPr>
              <w:pStyle w:val="ConsPlusNormal"/>
              <w:jc w:val="center"/>
            </w:pPr>
            <w:r>
              <w:t>-</w:t>
            </w:r>
          </w:p>
        </w:tc>
        <w:tc>
          <w:tcPr>
            <w:tcW w:w="1247" w:type="dxa"/>
            <w:vAlign w:val="center"/>
          </w:tcPr>
          <w:p w:rsidR="00212513" w:rsidRDefault="00212513">
            <w:pPr>
              <w:pStyle w:val="ConsPlusNormal"/>
              <w:jc w:val="center"/>
            </w:pPr>
            <w:r>
              <w:t xml:space="preserve">8 - 50 </w:t>
            </w:r>
            <w:hyperlink w:anchor="P6336">
              <w:r>
                <w:rPr>
                  <w:color w:val="0000FF"/>
                </w:rPr>
                <w:t>&lt;2&gt;</w:t>
              </w:r>
            </w:hyperlink>
          </w:p>
        </w:tc>
      </w:tr>
      <w:tr w:rsidR="00212513">
        <w:tc>
          <w:tcPr>
            <w:tcW w:w="1077" w:type="dxa"/>
            <w:vMerge/>
          </w:tcPr>
          <w:p w:rsidR="00212513" w:rsidRDefault="00212513">
            <w:pPr>
              <w:pStyle w:val="ConsPlusNormal"/>
            </w:pPr>
          </w:p>
        </w:tc>
        <w:tc>
          <w:tcPr>
            <w:tcW w:w="1191" w:type="dxa"/>
            <w:vMerge/>
          </w:tcPr>
          <w:p w:rsidR="00212513" w:rsidRDefault="00212513">
            <w:pPr>
              <w:pStyle w:val="ConsPlusNormal"/>
            </w:pPr>
          </w:p>
        </w:tc>
        <w:tc>
          <w:tcPr>
            <w:tcW w:w="1928" w:type="dxa"/>
            <w:vMerge/>
          </w:tcPr>
          <w:p w:rsidR="00212513" w:rsidRDefault="00212513">
            <w:pPr>
              <w:pStyle w:val="ConsPlusNormal"/>
            </w:pPr>
          </w:p>
        </w:tc>
        <w:tc>
          <w:tcPr>
            <w:tcW w:w="1701" w:type="dxa"/>
            <w:vMerge/>
          </w:tcPr>
          <w:p w:rsidR="00212513" w:rsidRDefault="00212513">
            <w:pPr>
              <w:pStyle w:val="ConsPlusNormal"/>
            </w:pPr>
          </w:p>
        </w:tc>
        <w:tc>
          <w:tcPr>
            <w:tcW w:w="1474" w:type="dxa"/>
            <w:vMerge/>
          </w:tcPr>
          <w:p w:rsidR="00212513" w:rsidRDefault="00212513">
            <w:pPr>
              <w:pStyle w:val="ConsPlusNormal"/>
            </w:pPr>
          </w:p>
        </w:tc>
        <w:tc>
          <w:tcPr>
            <w:tcW w:w="1247" w:type="dxa"/>
            <w:vMerge/>
          </w:tcPr>
          <w:p w:rsidR="00212513" w:rsidRDefault="00212513">
            <w:pPr>
              <w:pStyle w:val="ConsPlusNormal"/>
            </w:pPr>
          </w:p>
        </w:tc>
        <w:tc>
          <w:tcPr>
            <w:tcW w:w="1871" w:type="dxa"/>
            <w:vAlign w:val="center"/>
          </w:tcPr>
          <w:p w:rsidR="00212513" w:rsidRDefault="00212513">
            <w:pPr>
              <w:pStyle w:val="ConsPlusNormal"/>
              <w:jc w:val="center"/>
            </w:pPr>
            <w:r>
              <w:t>345-14ХГНДЦ-2</w:t>
            </w:r>
          </w:p>
        </w:tc>
        <w:tc>
          <w:tcPr>
            <w:tcW w:w="1644" w:type="dxa"/>
            <w:vAlign w:val="center"/>
          </w:tcPr>
          <w:p w:rsidR="00212513" w:rsidRDefault="00212513">
            <w:pPr>
              <w:pStyle w:val="ConsPlusNormal"/>
              <w:jc w:val="center"/>
            </w:pPr>
            <w:hyperlink w:anchor="P19080">
              <w:r>
                <w:rPr>
                  <w:color w:val="0000FF"/>
                </w:rPr>
                <w:t>[7]</w:t>
              </w:r>
            </w:hyperlink>
          </w:p>
          <w:p w:rsidR="00212513" w:rsidRDefault="00212513">
            <w:pPr>
              <w:pStyle w:val="ConsPlusNormal"/>
              <w:jc w:val="center"/>
            </w:pPr>
            <w:hyperlink r:id="rId1440">
              <w:r>
                <w:rPr>
                  <w:color w:val="0000FF"/>
                </w:rPr>
                <w:t>ГОСТ Р 55374</w:t>
              </w:r>
            </w:hyperlink>
          </w:p>
          <w:p w:rsidR="00212513" w:rsidRDefault="00212513">
            <w:pPr>
              <w:pStyle w:val="ConsPlusNormal"/>
              <w:jc w:val="center"/>
            </w:pPr>
            <w:hyperlink r:id="rId1441">
              <w:r>
                <w:rPr>
                  <w:color w:val="0000FF"/>
                </w:rPr>
                <w:t>ГОСТ 6713</w:t>
              </w:r>
            </w:hyperlink>
          </w:p>
        </w:tc>
        <w:tc>
          <w:tcPr>
            <w:tcW w:w="1474" w:type="dxa"/>
            <w:vAlign w:val="center"/>
          </w:tcPr>
          <w:p w:rsidR="00212513" w:rsidRDefault="00212513">
            <w:pPr>
              <w:pStyle w:val="ConsPlusNormal"/>
              <w:jc w:val="center"/>
            </w:pPr>
            <w:r>
              <w:lastRenderedPageBreak/>
              <w:t>-</w:t>
            </w:r>
          </w:p>
        </w:tc>
        <w:tc>
          <w:tcPr>
            <w:tcW w:w="1247" w:type="dxa"/>
            <w:vAlign w:val="center"/>
          </w:tcPr>
          <w:p w:rsidR="00212513" w:rsidRDefault="00212513">
            <w:pPr>
              <w:pStyle w:val="ConsPlusNormal"/>
              <w:jc w:val="center"/>
            </w:pPr>
            <w:r>
              <w:t xml:space="preserve">8 - 50 </w:t>
            </w:r>
            <w:hyperlink w:anchor="P6336">
              <w:r>
                <w:rPr>
                  <w:color w:val="0000FF"/>
                </w:rPr>
                <w:t>&lt;2&gt;</w:t>
              </w:r>
            </w:hyperlink>
          </w:p>
        </w:tc>
      </w:tr>
      <w:tr w:rsidR="00212513">
        <w:tc>
          <w:tcPr>
            <w:tcW w:w="1077" w:type="dxa"/>
            <w:vMerge/>
          </w:tcPr>
          <w:p w:rsidR="00212513" w:rsidRDefault="00212513">
            <w:pPr>
              <w:pStyle w:val="ConsPlusNormal"/>
            </w:pPr>
          </w:p>
        </w:tc>
        <w:tc>
          <w:tcPr>
            <w:tcW w:w="1191" w:type="dxa"/>
            <w:vMerge/>
          </w:tcPr>
          <w:p w:rsidR="00212513" w:rsidRDefault="00212513">
            <w:pPr>
              <w:pStyle w:val="ConsPlusNormal"/>
            </w:pPr>
          </w:p>
        </w:tc>
        <w:tc>
          <w:tcPr>
            <w:tcW w:w="1928" w:type="dxa"/>
            <w:vMerge/>
          </w:tcPr>
          <w:p w:rsidR="00212513" w:rsidRDefault="00212513">
            <w:pPr>
              <w:pStyle w:val="ConsPlusNormal"/>
            </w:pPr>
          </w:p>
        </w:tc>
        <w:tc>
          <w:tcPr>
            <w:tcW w:w="1701" w:type="dxa"/>
            <w:vMerge/>
          </w:tcPr>
          <w:p w:rsidR="00212513" w:rsidRDefault="00212513">
            <w:pPr>
              <w:pStyle w:val="ConsPlusNormal"/>
            </w:pPr>
          </w:p>
        </w:tc>
        <w:tc>
          <w:tcPr>
            <w:tcW w:w="1474" w:type="dxa"/>
            <w:vMerge/>
          </w:tcPr>
          <w:p w:rsidR="00212513" w:rsidRDefault="00212513">
            <w:pPr>
              <w:pStyle w:val="ConsPlusNormal"/>
            </w:pPr>
          </w:p>
        </w:tc>
        <w:tc>
          <w:tcPr>
            <w:tcW w:w="1247" w:type="dxa"/>
            <w:vMerge/>
          </w:tcPr>
          <w:p w:rsidR="00212513" w:rsidRDefault="00212513">
            <w:pPr>
              <w:pStyle w:val="ConsPlusNormal"/>
            </w:pPr>
          </w:p>
        </w:tc>
        <w:tc>
          <w:tcPr>
            <w:tcW w:w="1871" w:type="dxa"/>
            <w:vAlign w:val="center"/>
          </w:tcPr>
          <w:p w:rsidR="00212513" w:rsidRDefault="00212513">
            <w:pPr>
              <w:pStyle w:val="ConsPlusNormal"/>
              <w:jc w:val="center"/>
            </w:pPr>
            <w:r>
              <w:t>390-14ХГНДЦ-2</w:t>
            </w:r>
          </w:p>
        </w:tc>
        <w:tc>
          <w:tcPr>
            <w:tcW w:w="1644" w:type="dxa"/>
            <w:vAlign w:val="center"/>
          </w:tcPr>
          <w:p w:rsidR="00212513" w:rsidRDefault="00212513">
            <w:pPr>
              <w:pStyle w:val="ConsPlusNormal"/>
              <w:jc w:val="center"/>
            </w:pPr>
            <w:hyperlink w:anchor="P19080">
              <w:r>
                <w:rPr>
                  <w:color w:val="0000FF"/>
                </w:rPr>
                <w:t>[7]</w:t>
              </w:r>
            </w:hyperlink>
          </w:p>
        </w:tc>
        <w:tc>
          <w:tcPr>
            <w:tcW w:w="1474" w:type="dxa"/>
            <w:vAlign w:val="center"/>
          </w:tcPr>
          <w:p w:rsidR="00212513" w:rsidRDefault="00212513">
            <w:pPr>
              <w:pStyle w:val="ConsPlusNormal"/>
              <w:jc w:val="center"/>
            </w:pPr>
            <w:r>
              <w:t>-</w:t>
            </w:r>
          </w:p>
        </w:tc>
        <w:tc>
          <w:tcPr>
            <w:tcW w:w="1247" w:type="dxa"/>
            <w:vAlign w:val="center"/>
          </w:tcPr>
          <w:p w:rsidR="00212513" w:rsidRDefault="00212513">
            <w:pPr>
              <w:pStyle w:val="ConsPlusNormal"/>
              <w:jc w:val="center"/>
            </w:pPr>
            <w:r>
              <w:t xml:space="preserve">8 - 50 </w:t>
            </w:r>
            <w:hyperlink w:anchor="P6336">
              <w:r>
                <w:rPr>
                  <w:color w:val="0000FF"/>
                </w:rPr>
                <w:t>&lt;2&gt;</w:t>
              </w:r>
            </w:hyperlink>
          </w:p>
        </w:tc>
      </w:tr>
      <w:tr w:rsidR="00212513">
        <w:tc>
          <w:tcPr>
            <w:tcW w:w="1077" w:type="dxa"/>
            <w:vMerge/>
          </w:tcPr>
          <w:p w:rsidR="00212513" w:rsidRDefault="00212513">
            <w:pPr>
              <w:pStyle w:val="ConsPlusNormal"/>
            </w:pPr>
          </w:p>
        </w:tc>
        <w:tc>
          <w:tcPr>
            <w:tcW w:w="1191" w:type="dxa"/>
            <w:vMerge/>
          </w:tcPr>
          <w:p w:rsidR="00212513" w:rsidRDefault="00212513">
            <w:pPr>
              <w:pStyle w:val="ConsPlusNormal"/>
            </w:pPr>
          </w:p>
        </w:tc>
        <w:tc>
          <w:tcPr>
            <w:tcW w:w="1928" w:type="dxa"/>
            <w:vMerge/>
          </w:tcPr>
          <w:p w:rsidR="00212513" w:rsidRDefault="00212513">
            <w:pPr>
              <w:pStyle w:val="ConsPlusNormal"/>
            </w:pPr>
          </w:p>
        </w:tc>
        <w:tc>
          <w:tcPr>
            <w:tcW w:w="1701" w:type="dxa"/>
            <w:vMerge/>
          </w:tcPr>
          <w:p w:rsidR="00212513" w:rsidRDefault="00212513">
            <w:pPr>
              <w:pStyle w:val="ConsPlusNormal"/>
            </w:pPr>
          </w:p>
        </w:tc>
        <w:tc>
          <w:tcPr>
            <w:tcW w:w="1474" w:type="dxa"/>
            <w:vMerge/>
          </w:tcPr>
          <w:p w:rsidR="00212513" w:rsidRDefault="00212513">
            <w:pPr>
              <w:pStyle w:val="ConsPlusNormal"/>
            </w:pPr>
          </w:p>
        </w:tc>
        <w:tc>
          <w:tcPr>
            <w:tcW w:w="1247" w:type="dxa"/>
            <w:vMerge/>
          </w:tcPr>
          <w:p w:rsidR="00212513" w:rsidRDefault="00212513">
            <w:pPr>
              <w:pStyle w:val="ConsPlusNormal"/>
            </w:pPr>
          </w:p>
        </w:tc>
        <w:tc>
          <w:tcPr>
            <w:tcW w:w="1871" w:type="dxa"/>
            <w:vAlign w:val="center"/>
          </w:tcPr>
          <w:p w:rsidR="00212513" w:rsidRDefault="00212513">
            <w:pPr>
              <w:pStyle w:val="ConsPlusNormal"/>
              <w:jc w:val="center"/>
            </w:pPr>
            <w:r>
              <w:t xml:space="preserve">345-12Г2СБД-2 </w:t>
            </w:r>
            <w:hyperlink w:anchor="P6341">
              <w:r>
                <w:rPr>
                  <w:color w:val="0000FF"/>
                </w:rPr>
                <w:t>&lt;7&gt;</w:t>
              </w:r>
            </w:hyperlink>
            <w:r>
              <w:t xml:space="preserve">, </w:t>
            </w:r>
            <w:hyperlink w:anchor="P6342">
              <w:r>
                <w:rPr>
                  <w:color w:val="0000FF"/>
                </w:rPr>
                <w:t>&lt;8&gt;</w:t>
              </w:r>
            </w:hyperlink>
          </w:p>
        </w:tc>
        <w:tc>
          <w:tcPr>
            <w:tcW w:w="1644" w:type="dxa"/>
            <w:vAlign w:val="center"/>
          </w:tcPr>
          <w:p w:rsidR="00212513" w:rsidRDefault="00212513">
            <w:pPr>
              <w:pStyle w:val="ConsPlusNormal"/>
              <w:jc w:val="center"/>
            </w:pPr>
            <w:hyperlink w:anchor="P19080">
              <w:r>
                <w:rPr>
                  <w:color w:val="0000FF"/>
                </w:rPr>
                <w:t>[7]</w:t>
              </w:r>
            </w:hyperlink>
          </w:p>
        </w:tc>
        <w:tc>
          <w:tcPr>
            <w:tcW w:w="1474" w:type="dxa"/>
            <w:vAlign w:val="center"/>
          </w:tcPr>
          <w:p w:rsidR="00212513" w:rsidRDefault="00212513">
            <w:pPr>
              <w:pStyle w:val="ConsPlusNormal"/>
              <w:jc w:val="center"/>
            </w:pPr>
            <w:r>
              <w:t>-</w:t>
            </w:r>
          </w:p>
        </w:tc>
        <w:tc>
          <w:tcPr>
            <w:tcW w:w="1247" w:type="dxa"/>
            <w:vAlign w:val="center"/>
          </w:tcPr>
          <w:p w:rsidR="00212513" w:rsidRDefault="00212513">
            <w:pPr>
              <w:pStyle w:val="ConsPlusNormal"/>
              <w:jc w:val="center"/>
            </w:pPr>
            <w:r>
              <w:t xml:space="preserve">8 - 50 </w:t>
            </w:r>
            <w:hyperlink w:anchor="P6336">
              <w:r>
                <w:rPr>
                  <w:color w:val="0000FF"/>
                </w:rPr>
                <w:t>&lt;2&gt;</w:t>
              </w:r>
            </w:hyperlink>
          </w:p>
        </w:tc>
      </w:tr>
      <w:tr w:rsidR="00212513">
        <w:tc>
          <w:tcPr>
            <w:tcW w:w="1077" w:type="dxa"/>
            <w:vMerge/>
          </w:tcPr>
          <w:p w:rsidR="00212513" w:rsidRDefault="00212513">
            <w:pPr>
              <w:pStyle w:val="ConsPlusNormal"/>
            </w:pPr>
          </w:p>
        </w:tc>
        <w:tc>
          <w:tcPr>
            <w:tcW w:w="1191" w:type="dxa"/>
            <w:vMerge/>
          </w:tcPr>
          <w:p w:rsidR="00212513" w:rsidRDefault="00212513">
            <w:pPr>
              <w:pStyle w:val="ConsPlusNormal"/>
            </w:pPr>
          </w:p>
        </w:tc>
        <w:tc>
          <w:tcPr>
            <w:tcW w:w="1928" w:type="dxa"/>
            <w:vMerge/>
          </w:tcPr>
          <w:p w:rsidR="00212513" w:rsidRDefault="00212513">
            <w:pPr>
              <w:pStyle w:val="ConsPlusNormal"/>
            </w:pPr>
          </w:p>
        </w:tc>
        <w:tc>
          <w:tcPr>
            <w:tcW w:w="1701" w:type="dxa"/>
            <w:vMerge/>
          </w:tcPr>
          <w:p w:rsidR="00212513" w:rsidRDefault="00212513">
            <w:pPr>
              <w:pStyle w:val="ConsPlusNormal"/>
            </w:pPr>
          </w:p>
        </w:tc>
        <w:tc>
          <w:tcPr>
            <w:tcW w:w="1474" w:type="dxa"/>
            <w:vMerge/>
          </w:tcPr>
          <w:p w:rsidR="00212513" w:rsidRDefault="00212513">
            <w:pPr>
              <w:pStyle w:val="ConsPlusNormal"/>
            </w:pPr>
          </w:p>
        </w:tc>
        <w:tc>
          <w:tcPr>
            <w:tcW w:w="1247" w:type="dxa"/>
            <w:vMerge w:val="restart"/>
            <w:vAlign w:val="center"/>
          </w:tcPr>
          <w:p w:rsidR="00212513" w:rsidRDefault="00212513">
            <w:pPr>
              <w:pStyle w:val="ConsPlusNormal"/>
              <w:jc w:val="center"/>
            </w:pPr>
            <w:r>
              <w:t>Фасонный</w:t>
            </w:r>
          </w:p>
        </w:tc>
        <w:tc>
          <w:tcPr>
            <w:tcW w:w="1871" w:type="dxa"/>
            <w:vAlign w:val="center"/>
          </w:tcPr>
          <w:p w:rsidR="00212513" w:rsidRDefault="00212513">
            <w:pPr>
              <w:pStyle w:val="ConsPlusNormal"/>
              <w:jc w:val="center"/>
            </w:pPr>
            <w:r>
              <w:t>15ХСНД</w:t>
            </w:r>
          </w:p>
        </w:tc>
        <w:tc>
          <w:tcPr>
            <w:tcW w:w="1644" w:type="dxa"/>
            <w:vAlign w:val="center"/>
          </w:tcPr>
          <w:p w:rsidR="00212513" w:rsidRDefault="00212513">
            <w:pPr>
              <w:pStyle w:val="ConsPlusNormal"/>
              <w:jc w:val="center"/>
            </w:pPr>
            <w:hyperlink r:id="rId1442">
              <w:r>
                <w:rPr>
                  <w:color w:val="0000FF"/>
                </w:rPr>
                <w:t>ГОСТ Р 55374</w:t>
              </w:r>
            </w:hyperlink>
          </w:p>
          <w:p w:rsidR="00212513" w:rsidRDefault="00212513">
            <w:pPr>
              <w:pStyle w:val="ConsPlusNormal"/>
              <w:jc w:val="center"/>
            </w:pPr>
            <w:hyperlink r:id="rId1443">
              <w:r>
                <w:rPr>
                  <w:color w:val="0000FF"/>
                </w:rPr>
                <w:t>ГОСТ 6713</w:t>
              </w:r>
            </w:hyperlink>
          </w:p>
        </w:tc>
        <w:tc>
          <w:tcPr>
            <w:tcW w:w="1474" w:type="dxa"/>
            <w:vAlign w:val="center"/>
          </w:tcPr>
          <w:p w:rsidR="00212513" w:rsidRDefault="00212513">
            <w:pPr>
              <w:pStyle w:val="ConsPlusNormal"/>
              <w:jc w:val="center"/>
            </w:pPr>
            <w:r>
              <w:t>-</w:t>
            </w:r>
          </w:p>
        </w:tc>
        <w:tc>
          <w:tcPr>
            <w:tcW w:w="1247" w:type="dxa"/>
            <w:vAlign w:val="center"/>
          </w:tcPr>
          <w:p w:rsidR="00212513" w:rsidRDefault="00212513">
            <w:pPr>
              <w:pStyle w:val="ConsPlusNormal"/>
              <w:jc w:val="center"/>
            </w:pPr>
            <w:r>
              <w:t>8 - 32</w:t>
            </w:r>
          </w:p>
        </w:tc>
      </w:tr>
      <w:tr w:rsidR="00212513">
        <w:tc>
          <w:tcPr>
            <w:tcW w:w="1077" w:type="dxa"/>
            <w:vMerge/>
          </w:tcPr>
          <w:p w:rsidR="00212513" w:rsidRDefault="00212513">
            <w:pPr>
              <w:pStyle w:val="ConsPlusNormal"/>
            </w:pPr>
          </w:p>
        </w:tc>
        <w:tc>
          <w:tcPr>
            <w:tcW w:w="1191" w:type="dxa"/>
            <w:vMerge/>
          </w:tcPr>
          <w:p w:rsidR="00212513" w:rsidRDefault="00212513">
            <w:pPr>
              <w:pStyle w:val="ConsPlusNormal"/>
            </w:pPr>
          </w:p>
        </w:tc>
        <w:tc>
          <w:tcPr>
            <w:tcW w:w="1928" w:type="dxa"/>
            <w:vMerge/>
          </w:tcPr>
          <w:p w:rsidR="00212513" w:rsidRDefault="00212513">
            <w:pPr>
              <w:pStyle w:val="ConsPlusNormal"/>
            </w:pPr>
          </w:p>
        </w:tc>
        <w:tc>
          <w:tcPr>
            <w:tcW w:w="1701" w:type="dxa"/>
            <w:vMerge/>
          </w:tcPr>
          <w:p w:rsidR="00212513" w:rsidRDefault="00212513">
            <w:pPr>
              <w:pStyle w:val="ConsPlusNormal"/>
            </w:pPr>
          </w:p>
        </w:tc>
        <w:tc>
          <w:tcPr>
            <w:tcW w:w="1474" w:type="dxa"/>
            <w:vMerge/>
          </w:tcPr>
          <w:p w:rsidR="00212513" w:rsidRDefault="00212513">
            <w:pPr>
              <w:pStyle w:val="ConsPlusNormal"/>
            </w:pPr>
          </w:p>
        </w:tc>
        <w:tc>
          <w:tcPr>
            <w:tcW w:w="1247" w:type="dxa"/>
            <w:vMerge/>
          </w:tcPr>
          <w:p w:rsidR="00212513" w:rsidRDefault="00212513">
            <w:pPr>
              <w:pStyle w:val="ConsPlusNormal"/>
            </w:pPr>
          </w:p>
        </w:tc>
        <w:tc>
          <w:tcPr>
            <w:tcW w:w="1871" w:type="dxa"/>
            <w:vAlign w:val="center"/>
          </w:tcPr>
          <w:p w:rsidR="00212513" w:rsidRDefault="00212513">
            <w:pPr>
              <w:pStyle w:val="ConsPlusNormal"/>
              <w:jc w:val="center"/>
            </w:pPr>
            <w:r>
              <w:t>10ХСНД</w:t>
            </w:r>
          </w:p>
        </w:tc>
        <w:tc>
          <w:tcPr>
            <w:tcW w:w="1644" w:type="dxa"/>
            <w:vAlign w:val="center"/>
          </w:tcPr>
          <w:p w:rsidR="00212513" w:rsidRDefault="00212513">
            <w:pPr>
              <w:pStyle w:val="ConsPlusNormal"/>
              <w:jc w:val="center"/>
            </w:pPr>
            <w:hyperlink r:id="rId1444">
              <w:r>
                <w:rPr>
                  <w:color w:val="0000FF"/>
                </w:rPr>
                <w:t>ГОСТ Р 55374</w:t>
              </w:r>
            </w:hyperlink>
          </w:p>
          <w:p w:rsidR="00212513" w:rsidRDefault="00212513">
            <w:pPr>
              <w:pStyle w:val="ConsPlusNormal"/>
              <w:jc w:val="center"/>
            </w:pPr>
            <w:hyperlink r:id="rId1445">
              <w:r>
                <w:rPr>
                  <w:color w:val="0000FF"/>
                </w:rPr>
                <w:t>ГОСТ 6713</w:t>
              </w:r>
            </w:hyperlink>
          </w:p>
        </w:tc>
        <w:tc>
          <w:tcPr>
            <w:tcW w:w="1474" w:type="dxa"/>
            <w:vAlign w:val="center"/>
          </w:tcPr>
          <w:p w:rsidR="00212513" w:rsidRDefault="00212513">
            <w:pPr>
              <w:pStyle w:val="ConsPlusNormal"/>
              <w:jc w:val="center"/>
            </w:pPr>
            <w:r>
              <w:t>-</w:t>
            </w:r>
          </w:p>
        </w:tc>
        <w:tc>
          <w:tcPr>
            <w:tcW w:w="1247" w:type="dxa"/>
            <w:vAlign w:val="center"/>
          </w:tcPr>
          <w:p w:rsidR="00212513" w:rsidRDefault="00212513">
            <w:pPr>
              <w:pStyle w:val="ConsPlusNormal"/>
              <w:jc w:val="center"/>
            </w:pPr>
            <w:r>
              <w:t>8 - 15</w:t>
            </w:r>
          </w:p>
        </w:tc>
      </w:tr>
      <w:tr w:rsidR="00212513">
        <w:tc>
          <w:tcPr>
            <w:tcW w:w="1077" w:type="dxa"/>
            <w:vMerge/>
          </w:tcPr>
          <w:p w:rsidR="00212513" w:rsidRDefault="00212513">
            <w:pPr>
              <w:pStyle w:val="ConsPlusNormal"/>
            </w:pPr>
          </w:p>
        </w:tc>
        <w:tc>
          <w:tcPr>
            <w:tcW w:w="1191" w:type="dxa"/>
            <w:vMerge/>
          </w:tcPr>
          <w:p w:rsidR="00212513" w:rsidRDefault="00212513">
            <w:pPr>
              <w:pStyle w:val="ConsPlusNormal"/>
            </w:pPr>
          </w:p>
        </w:tc>
        <w:tc>
          <w:tcPr>
            <w:tcW w:w="1928" w:type="dxa"/>
            <w:vMerge/>
          </w:tcPr>
          <w:p w:rsidR="00212513" w:rsidRDefault="00212513">
            <w:pPr>
              <w:pStyle w:val="ConsPlusNormal"/>
            </w:pPr>
          </w:p>
        </w:tc>
        <w:tc>
          <w:tcPr>
            <w:tcW w:w="1701" w:type="dxa"/>
            <w:vMerge/>
          </w:tcPr>
          <w:p w:rsidR="00212513" w:rsidRDefault="00212513">
            <w:pPr>
              <w:pStyle w:val="ConsPlusNormal"/>
            </w:pPr>
          </w:p>
        </w:tc>
        <w:tc>
          <w:tcPr>
            <w:tcW w:w="1474" w:type="dxa"/>
            <w:vMerge/>
          </w:tcPr>
          <w:p w:rsidR="00212513" w:rsidRDefault="00212513">
            <w:pPr>
              <w:pStyle w:val="ConsPlusNormal"/>
            </w:pPr>
          </w:p>
        </w:tc>
        <w:tc>
          <w:tcPr>
            <w:tcW w:w="1247" w:type="dxa"/>
            <w:vMerge/>
          </w:tcPr>
          <w:p w:rsidR="00212513" w:rsidRDefault="00212513">
            <w:pPr>
              <w:pStyle w:val="ConsPlusNormal"/>
            </w:pPr>
          </w:p>
        </w:tc>
        <w:tc>
          <w:tcPr>
            <w:tcW w:w="1871" w:type="dxa"/>
            <w:vAlign w:val="center"/>
          </w:tcPr>
          <w:p w:rsidR="00212513" w:rsidRDefault="00212513">
            <w:pPr>
              <w:pStyle w:val="ConsPlusNormal"/>
              <w:jc w:val="center"/>
            </w:pPr>
            <w:r>
              <w:t xml:space="preserve">345-14ХГНДЦ-2 </w:t>
            </w:r>
            <w:hyperlink w:anchor="P6337">
              <w:r>
                <w:rPr>
                  <w:color w:val="0000FF"/>
                </w:rPr>
                <w:t>&lt;3&gt;</w:t>
              </w:r>
            </w:hyperlink>
          </w:p>
        </w:tc>
        <w:tc>
          <w:tcPr>
            <w:tcW w:w="1644" w:type="dxa"/>
            <w:vAlign w:val="center"/>
          </w:tcPr>
          <w:p w:rsidR="00212513" w:rsidRDefault="00212513">
            <w:pPr>
              <w:pStyle w:val="ConsPlusNormal"/>
              <w:jc w:val="center"/>
            </w:pPr>
            <w:hyperlink r:id="rId1446">
              <w:r>
                <w:rPr>
                  <w:color w:val="0000FF"/>
                </w:rPr>
                <w:t>ГОСТ Р 55374</w:t>
              </w:r>
            </w:hyperlink>
          </w:p>
          <w:p w:rsidR="00212513" w:rsidRDefault="00212513">
            <w:pPr>
              <w:pStyle w:val="ConsPlusNormal"/>
              <w:jc w:val="center"/>
            </w:pPr>
            <w:hyperlink r:id="rId1447">
              <w:r>
                <w:rPr>
                  <w:color w:val="0000FF"/>
                </w:rPr>
                <w:t>ГОСТ 6713</w:t>
              </w:r>
            </w:hyperlink>
          </w:p>
        </w:tc>
        <w:tc>
          <w:tcPr>
            <w:tcW w:w="1474" w:type="dxa"/>
            <w:vMerge w:val="restart"/>
            <w:vAlign w:val="center"/>
          </w:tcPr>
          <w:p w:rsidR="00212513" w:rsidRDefault="00212513">
            <w:pPr>
              <w:pStyle w:val="ConsPlusNormal"/>
              <w:jc w:val="center"/>
            </w:pPr>
            <w:r>
              <w:t xml:space="preserve">По </w:t>
            </w:r>
            <w:hyperlink r:id="rId1448">
              <w:r>
                <w:rPr>
                  <w:color w:val="0000FF"/>
                </w:rPr>
                <w:t>таблице 6</w:t>
              </w:r>
            </w:hyperlink>
            <w:r>
              <w:t xml:space="preserve"> ГОСТ Р 55374-2012 с проверкой ударной вязкости для 2-й категории</w:t>
            </w:r>
          </w:p>
        </w:tc>
        <w:tc>
          <w:tcPr>
            <w:tcW w:w="1247" w:type="dxa"/>
            <w:vAlign w:val="center"/>
          </w:tcPr>
          <w:p w:rsidR="00212513" w:rsidRDefault="00212513">
            <w:pPr>
              <w:pStyle w:val="ConsPlusNormal"/>
              <w:jc w:val="center"/>
            </w:pPr>
            <w:r>
              <w:t>8 - 20</w:t>
            </w:r>
          </w:p>
        </w:tc>
      </w:tr>
      <w:tr w:rsidR="00212513">
        <w:tc>
          <w:tcPr>
            <w:tcW w:w="1077" w:type="dxa"/>
            <w:vMerge/>
          </w:tcPr>
          <w:p w:rsidR="00212513" w:rsidRDefault="00212513">
            <w:pPr>
              <w:pStyle w:val="ConsPlusNormal"/>
            </w:pPr>
          </w:p>
        </w:tc>
        <w:tc>
          <w:tcPr>
            <w:tcW w:w="1191" w:type="dxa"/>
            <w:vMerge/>
          </w:tcPr>
          <w:p w:rsidR="00212513" w:rsidRDefault="00212513">
            <w:pPr>
              <w:pStyle w:val="ConsPlusNormal"/>
            </w:pPr>
          </w:p>
        </w:tc>
        <w:tc>
          <w:tcPr>
            <w:tcW w:w="1928" w:type="dxa"/>
            <w:vMerge/>
          </w:tcPr>
          <w:p w:rsidR="00212513" w:rsidRDefault="00212513">
            <w:pPr>
              <w:pStyle w:val="ConsPlusNormal"/>
            </w:pPr>
          </w:p>
        </w:tc>
        <w:tc>
          <w:tcPr>
            <w:tcW w:w="1701" w:type="dxa"/>
            <w:vMerge/>
          </w:tcPr>
          <w:p w:rsidR="00212513" w:rsidRDefault="00212513">
            <w:pPr>
              <w:pStyle w:val="ConsPlusNormal"/>
            </w:pPr>
          </w:p>
        </w:tc>
        <w:tc>
          <w:tcPr>
            <w:tcW w:w="1474" w:type="dxa"/>
            <w:vMerge/>
          </w:tcPr>
          <w:p w:rsidR="00212513" w:rsidRDefault="00212513">
            <w:pPr>
              <w:pStyle w:val="ConsPlusNormal"/>
            </w:pPr>
          </w:p>
        </w:tc>
        <w:tc>
          <w:tcPr>
            <w:tcW w:w="1247" w:type="dxa"/>
            <w:vMerge/>
          </w:tcPr>
          <w:p w:rsidR="00212513" w:rsidRDefault="00212513">
            <w:pPr>
              <w:pStyle w:val="ConsPlusNormal"/>
            </w:pPr>
          </w:p>
        </w:tc>
        <w:tc>
          <w:tcPr>
            <w:tcW w:w="1871" w:type="dxa"/>
            <w:vAlign w:val="center"/>
          </w:tcPr>
          <w:p w:rsidR="00212513" w:rsidRDefault="00212513">
            <w:pPr>
              <w:pStyle w:val="ConsPlusNormal"/>
              <w:jc w:val="center"/>
            </w:pPr>
            <w:r>
              <w:t xml:space="preserve">09Г2СД-2 </w:t>
            </w:r>
            <w:hyperlink w:anchor="P6337">
              <w:r>
                <w:rPr>
                  <w:color w:val="0000FF"/>
                </w:rPr>
                <w:t>&lt;3&gt;</w:t>
              </w:r>
            </w:hyperlink>
          </w:p>
        </w:tc>
        <w:tc>
          <w:tcPr>
            <w:tcW w:w="1644" w:type="dxa"/>
            <w:vAlign w:val="center"/>
          </w:tcPr>
          <w:p w:rsidR="00212513" w:rsidRDefault="00212513">
            <w:pPr>
              <w:pStyle w:val="ConsPlusNormal"/>
              <w:jc w:val="center"/>
            </w:pPr>
            <w:hyperlink r:id="rId1449">
              <w:r>
                <w:rPr>
                  <w:color w:val="0000FF"/>
                </w:rPr>
                <w:t>ГОСТ Р 55374</w:t>
              </w:r>
            </w:hyperlink>
          </w:p>
          <w:p w:rsidR="00212513" w:rsidRDefault="00212513">
            <w:pPr>
              <w:pStyle w:val="ConsPlusNormal"/>
              <w:jc w:val="center"/>
            </w:pPr>
            <w:hyperlink r:id="rId1450">
              <w:r>
                <w:rPr>
                  <w:color w:val="0000FF"/>
                </w:rPr>
                <w:t>ГОСТ 6713</w:t>
              </w:r>
            </w:hyperlink>
          </w:p>
        </w:tc>
        <w:tc>
          <w:tcPr>
            <w:tcW w:w="1474" w:type="dxa"/>
            <w:vMerge/>
          </w:tcPr>
          <w:p w:rsidR="00212513" w:rsidRDefault="00212513">
            <w:pPr>
              <w:pStyle w:val="ConsPlusNormal"/>
            </w:pPr>
          </w:p>
        </w:tc>
        <w:tc>
          <w:tcPr>
            <w:tcW w:w="1247" w:type="dxa"/>
            <w:vAlign w:val="center"/>
          </w:tcPr>
          <w:p w:rsidR="00212513" w:rsidRDefault="00212513">
            <w:pPr>
              <w:pStyle w:val="ConsPlusNormal"/>
              <w:jc w:val="center"/>
            </w:pPr>
            <w:r>
              <w:t>4 - 20</w:t>
            </w:r>
          </w:p>
        </w:tc>
      </w:tr>
      <w:tr w:rsidR="00212513">
        <w:tc>
          <w:tcPr>
            <w:tcW w:w="1077" w:type="dxa"/>
            <w:vMerge/>
          </w:tcPr>
          <w:p w:rsidR="00212513" w:rsidRDefault="00212513">
            <w:pPr>
              <w:pStyle w:val="ConsPlusNormal"/>
            </w:pPr>
          </w:p>
        </w:tc>
        <w:tc>
          <w:tcPr>
            <w:tcW w:w="1191" w:type="dxa"/>
            <w:vMerge/>
          </w:tcPr>
          <w:p w:rsidR="00212513" w:rsidRDefault="00212513">
            <w:pPr>
              <w:pStyle w:val="ConsPlusNormal"/>
            </w:pPr>
          </w:p>
        </w:tc>
        <w:tc>
          <w:tcPr>
            <w:tcW w:w="1928" w:type="dxa"/>
            <w:vMerge/>
          </w:tcPr>
          <w:p w:rsidR="00212513" w:rsidRDefault="00212513">
            <w:pPr>
              <w:pStyle w:val="ConsPlusNormal"/>
            </w:pPr>
          </w:p>
        </w:tc>
        <w:tc>
          <w:tcPr>
            <w:tcW w:w="1701" w:type="dxa"/>
            <w:vMerge/>
          </w:tcPr>
          <w:p w:rsidR="00212513" w:rsidRDefault="00212513">
            <w:pPr>
              <w:pStyle w:val="ConsPlusNormal"/>
            </w:pPr>
          </w:p>
        </w:tc>
        <w:tc>
          <w:tcPr>
            <w:tcW w:w="1474" w:type="dxa"/>
            <w:vMerge/>
          </w:tcPr>
          <w:p w:rsidR="00212513" w:rsidRDefault="00212513">
            <w:pPr>
              <w:pStyle w:val="ConsPlusNormal"/>
            </w:pPr>
          </w:p>
        </w:tc>
        <w:tc>
          <w:tcPr>
            <w:tcW w:w="1247" w:type="dxa"/>
            <w:vMerge/>
          </w:tcPr>
          <w:p w:rsidR="00212513" w:rsidRDefault="00212513">
            <w:pPr>
              <w:pStyle w:val="ConsPlusNormal"/>
            </w:pPr>
          </w:p>
        </w:tc>
        <w:tc>
          <w:tcPr>
            <w:tcW w:w="1871" w:type="dxa"/>
            <w:vAlign w:val="center"/>
          </w:tcPr>
          <w:p w:rsidR="00212513" w:rsidRDefault="00212513">
            <w:pPr>
              <w:pStyle w:val="ConsPlusNormal"/>
              <w:jc w:val="center"/>
            </w:pPr>
            <w:r>
              <w:t>09Г2СД-12</w:t>
            </w:r>
          </w:p>
        </w:tc>
        <w:tc>
          <w:tcPr>
            <w:tcW w:w="1644" w:type="dxa"/>
            <w:vAlign w:val="center"/>
          </w:tcPr>
          <w:p w:rsidR="00212513" w:rsidRDefault="00212513">
            <w:pPr>
              <w:pStyle w:val="ConsPlusNormal"/>
              <w:jc w:val="center"/>
            </w:pPr>
            <w:hyperlink r:id="rId1451">
              <w:r>
                <w:rPr>
                  <w:color w:val="0000FF"/>
                </w:rPr>
                <w:t>ГОСТ 19281</w:t>
              </w:r>
            </w:hyperlink>
          </w:p>
        </w:tc>
        <w:tc>
          <w:tcPr>
            <w:tcW w:w="1474" w:type="dxa"/>
            <w:vAlign w:val="center"/>
          </w:tcPr>
          <w:p w:rsidR="00212513" w:rsidRDefault="00212513">
            <w:pPr>
              <w:pStyle w:val="ConsPlusNormal"/>
              <w:jc w:val="center"/>
            </w:pPr>
            <w:r>
              <w:t>-</w:t>
            </w:r>
          </w:p>
        </w:tc>
        <w:tc>
          <w:tcPr>
            <w:tcW w:w="1247" w:type="dxa"/>
            <w:vAlign w:val="center"/>
          </w:tcPr>
          <w:p w:rsidR="00212513" w:rsidRDefault="00212513">
            <w:pPr>
              <w:pStyle w:val="ConsPlusNormal"/>
              <w:jc w:val="center"/>
            </w:pPr>
            <w:r>
              <w:t>8 - 20</w:t>
            </w:r>
          </w:p>
        </w:tc>
      </w:tr>
      <w:tr w:rsidR="00212513">
        <w:tc>
          <w:tcPr>
            <w:tcW w:w="1077" w:type="dxa"/>
            <w:vMerge w:val="restart"/>
          </w:tcPr>
          <w:p w:rsidR="00212513" w:rsidRDefault="00212513">
            <w:pPr>
              <w:pStyle w:val="ConsPlusNormal"/>
            </w:pPr>
            <w:r>
              <w:t>Северное А</w:t>
            </w:r>
          </w:p>
        </w:tc>
        <w:tc>
          <w:tcPr>
            <w:tcW w:w="1191" w:type="dxa"/>
            <w:vAlign w:val="center"/>
          </w:tcPr>
          <w:p w:rsidR="00212513" w:rsidRDefault="00212513">
            <w:pPr>
              <w:pStyle w:val="ConsPlusNormal"/>
              <w:jc w:val="center"/>
            </w:pPr>
            <w:r>
              <w:t xml:space="preserve">8 - 50 </w:t>
            </w:r>
            <w:hyperlink w:anchor="P6336">
              <w:r>
                <w:rPr>
                  <w:color w:val="0000FF"/>
                </w:rPr>
                <w:t>&lt;2&gt;</w:t>
              </w:r>
            </w:hyperlink>
          </w:p>
        </w:tc>
        <w:tc>
          <w:tcPr>
            <w:tcW w:w="1928" w:type="dxa"/>
            <w:vAlign w:val="center"/>
          </w:tcPr>
          <w:p w:rsidR="00212513" w:rsidRDefault="00212513">
            <w:pPr>
              <w:pStyle w:val="ConsPlusNormal"/>
              <w:jc w:val="center"/>
            </w:pPr>
            <w:r>
              <w:t>15ХСНД-3</w:t>
            </w:r>
          </w:p>
        </w:tc>
        <w:tc>
          <w:tcPr>
            <w:tcW w:w="1701" w:type="dxa"/>
            <w:vAlign w:val="center"/>
          </w:tcPr>
          <w:p w:rsidR="00212513" w:rsidRDefault="00212513">
            <w:pPr>
              <w:pStyle w:val="ConsPlusNormal"/>
              <w:jc w:val="center"/>
            </w:pPr>
            <w:hyperlink r:id="rId1452">
              <w:r>
                <w:rPr>
                  <w:color w:val="0000FF"/>
                </w:rPr>
                <w:t>ГОСТ Р 55374</w:t>
              </w:r>
            </w:hyperlink>
          </w:p>
          <w:p w:rsidR="00212513" w:rsidRDefault="00212513">
            <w:pPr>
              <w:pStyle w:val="ConsPlusNormal"/>
              <w:jc w:val="center"/>
            </w:pPr>
            <w:hyperlink r:id="rId1453">
              <w:r>
                <w:rPr>
                  <w:color w:val="0000FF"/>
                </w:rPr>
                <w:t>ГОСТ 6713</w:t>
              </w:r>
            </w:hyperlink>
          </w:p>
        </w:tc>
        <w:tc>
          <w:tcPr>
            <w:tcW w:w="1474" w:type="dxa"/>
            <w:vAlign w:val="center"/>
          </w:tcPr>
          <w:p w:rsidR="00212513" w:rsidRDefault="00212513">
            <w:pPr>
              <w:pStyle w:val="ConsPlusNormal"/>
            </w:pPr>
          </w:p>
        </w:tc>
        <w:tc>
          <w:tcPr>
            <w:tcW w:w="1247" w:type="dxa"/>
            <w:vMerge w:val="restart"/>
            <w:vAlign w:val="center"/>
          </w:tcPr>
          <w:p w:rsidR="00212513" w:rsidRDefault="00212513">
            <w:pPr>
              <w:pStyle w:val="ConsPlusNormal"/>
              <w:jc w:val="center"/>
            </w:pPr>
            <w:r>
              <w:t>Листовой</w:t>
            </w:r>
          </w:p>
        </w:tc>
        <w:tc>
          <w:tcPr>
            <w:tcW w:w="1871" w:type="dxa"/>
            <w:vAlign w:val="center"/>
          </w:tcPr>
          <w:p w:rsidR="00212513" w:rsidRDefault="00212513">
            <w:pPr>
              <w:pStyle w:val="ConsPlusNormal"/>
              <w:jc w:val="center"/>
            </w:pPr>
            <w:r>
              <w:t>15ХСНД-2</w:t>
            </w:r>
          </w:p>
        </w:tc>
        <w:tc>
          <w:tcPr>
            <w:tcW w:w="1644" w:type="dxa"/>
            <w:vAlign w:val="center"/>
          </w:tcPr>
          <w:p w:rsidR="00212513" w:rsidRDefault="00212513">
            <w:pPr>
              <w:pStyle w:val="ConsPlusNormal"/>
              <w:jc w:val="center"/>
            </w:pPr>
            <w:hyperlink r:id="rId1454">
              <w:r>
                <w:rPr>
                  <w:color w:val="0000FF"/>
                </w:rPr>
                <w:t>ГОСТ Р 55374</w:t>
              </w:r>
            </w:hyperlink>
          </w:p>
          <w:p w:rsidR="00212513" w:rsidRDefault="00212513">
            <w:pPr>
              <w:pStyle w:val="ConsPlusNormal"/>
              <w:jc w:val="center"/>
            </w:pPr>
            <w:hyperlink r:id="rId1455">
              <w:r>
                <w:rPr>
                  <w:color w:val="0000FF"/>
                </w:rPr>
                <w:t>ГОСТ 6713</w:t>
              </w:r>
            </w:hyperlink>
          </w:p>
        </w:tc>
        <w:tc>
          <w:tcPr>
            <w:tcW w:w="1474" w:type="dxa"/>
            <w:vMerge w:val="restart"/>
            <w:vAlign w:val="center"/>
          </w:tcPr>
          <w:p w:rsidR="00212513" w:rsidRDefault="00212513">
            <w:pPr>
              <w:pStyle w:val="ConsPlusNormal"/>
              <w:jc w:val="center"/>
            </w:pPr>
            <w:r>
              <w:t>-</w:t>
            </w:r>
          </w:p>
        </w:tc>
        <w:tc>
          <w:tcPr>
            <w:tcW w:w="1247" w:type="dxa"/>
            <w:vAlign w:val="center"/>
          </w:tcPr>
          <w:p w:rsidR="00212513" w:rsidRDefault="00212513">
            <w:pPr>
              <w:pStyle w:val="ConsPlusNormal"/>
              <w:jc w:val="center"/>
            </w:pPr>
            <w:r>
              <w:t xml:space="preserve">8 - 50 </w:t>
            </w:r>
            <w:hyperlink w:anchor="P6336">
              <w:r>
                <w:rPr>
                  <w:color w:val="0000FF"/>
                </w:rPr>
                <w:t>&lt;2&gt;</w:t>
              </w:r>
            </w:hyperlink>
          </w:p>
        </w:tc>
      </w:tr>
      <w:tr w:rsidR="00212513">
        <w:tc>
          <w:tcPr>
            <w:tcW w:w="1077" w:type="dxa"/>
            <w:vMerge/>
          </w:tcPr>
          <w:p w:rsidR="00212513" w:rsidRDefault="00212513">
            <w:pPr>
              <w:pStyle w:val="ConsPlusNormal"/>
            </w:pPr>
          </w:p>
        </w:tc>
        <w:tc>
          <w:tcPr>
            <w:tcW w:w="1191" w:type="dxa"/>
            <w:vAlign w:val="center"/>
          </w:tcPr>
          <w:p w:rsidR="00212513" w:rsidRDefault="00212513">
            <w:pPr>
              <w:pStyle w:val="ConsPlusNormal"/>
              <w:jc w:val="center"/>
            </w:pPr>
            <w:r>
              <w:t xml:space="preserve">8 - 50 </w:t>
            </w:r>
            <w:hyperlink w:anchor="P6336">
              <w:r>
                <w:rPr>
                  <w:color w:val="0000FF"/>
                </w:rPr>
                <w:t>&lt;2&gt;</w:t>
              </w:r>
            </w:hyperlink>
          </w:p>
        </w:tc>
        <w:tc>
          <w:tcPr>
            <w:tcW w:w="1928" w:type="dxa"/>
            <w:vAlign w:val="center"/>
          </w:tcPr>
          <w:p w:rsidR="00212513" w:rsidRDefault="00212513">
            <w:pPr>
              <w:pStyle w:val="ConsPlusNormal"/>
              <w:jc w:val="center"/>
            </w:pPr>
            <w:r>
              <w:t>10ХСНД-3</w:t>
            </w:r>
          </w:p>
        </w:tc>
        <w:tc>
          <w:tcPr>
            <w:tcW w:w="1701" w:type="dxa"/>
            <w:vAlign w:val="center"/>
          </w:tcPr>
          <w:p w:rsidR="00212513" w:rsidRDefault="00212513">
            <w:pPr>
              <w:pStyle w:val="ConsPlusNormal"/>
              <w:jc w:val="center"/>
            </w:pPr>
            <w:hyperlink r:id="rId1456">
              <w:r>
                <w:rPr>
                  <w:color w:val="0000FF"/>
                </w:rPr>
                <w:t>ГОСТ Р 55374</w:t>
              </w:r>
            </w:hyperlink>
          </w:p>
          <w:p w:rsidR="00212513" w:rsidRDefault="00212513">
            <w:pPr>
              <w:pStyle w:val="ConsPlusNormal"/>
              <w:jc w:val="center"/>
            </w:pPr>
            <w:hyperlink r:id="rId1457">
              <w:r>
                <w:rPr>
                  <w:color w:val="0000FF"/>
                </w:rPr>
                <w:t>ГОСТ 6713</w:t>
              </w:r>
            </w:hyperlink>
          </w:p>
        </w:tc>
        <w:tc>
          <w:tcPr>
            <w:tcW w:w="1474" w:type="dxa"/>
            <w:vAlign w:val="center"/>
          </w:tcPr>
          <w:p w:rsidR="00212513" w:rsidRDefault="00212513">
            <w:pPr>
              <w:pStyle w:val="ConsPlusNormal"/>
            </w:pPr>
          </w:p>
        </w:tc>
        <w:tc>
          <w:tcPr>
            <w:tcW w:w="1247" w:type="dxa"/>
            <w:vMerge/>
          </w:tcPr>
          <w:p w:rsidR="00212513" w:rsidRDefault="00212513">
            <w:pPr>
              <w:pStyle w:val="ConsPlusNormal"/>
            </w:pPr>
          </w:p>
        </w:tc>
        <w:tc>
          <w:tcPr>
            <w:tcW w:w="1871" w:type="dxa"/>
            <w:vAlign w:val="center"/>
          </w:tcPr>
          <w:p w:rsidR="00212513" w:rsidRDefault="00212513">
            <w:pPr>
              <w:pStyle w:val="ConsPlusNormal"/>
              <w:jc w:val="center"/>
            </w:pPr>
            <w:r>
              <w:t>10ХСНД-2</w:t>
            </w:r>
          </w:p>
        </w:tc>
        <w:tc>
          <w:tcPr>
            <w:tcW w:w="1644" w:type="dxa"/>
            <w:vAlign w:val="center"/>
          </w:tcPr>
          <w:p w:rsidR="00212513" w:rsidRDefault="00212513">
            <w:pPr>
              <w:pStyle w:val="ConsPlusNormal"/>
              <w:jc w:val="center"/>
            </w:pPr>
            <w:hyperlink r:id="rId1458">
              <w:r>
                <w:rPr>
                  <w:color w:val="0000FF"/>
                </w:rPr>
                <w:t>ГОСТ Р 55374</w:t>
              </w:r>
            </w:hyperlink>
          </w:p>
          <w:p w:rsidR="00212513" w:rsidRDefault="00212513">
            <w:pPr>
              <w:pStyle w:val="ConsPlusNormal"/>
              <w:jc w:val="center"/>
            </w:pPr>
            <w:hyperlink r:id="rId1459">
              <w:r>
                <w:rPr>
                  <w:color w:val="0000FF"/>
                </w:rPr>
                <w:t>ГОСТ 6713</w:t>
              </w:r>
            </w:hyperlink>
          </w:p>
        </w:tc>
        <w:tc>
          <w:tcPr>
            <w:tcW w:w="1474" w:type="dxa"/>
            <w:vMerge/>
          </w:tcPr>
          <w:p w:rsidR="00212513" w:rsidRDefault="00212513">
            <w:pPr>
              <w:pStyle w:val="ConsPlusNormal"/>
            </w:pPr>
          </w:p>
        </w:tc>
        <w:tc>
          <w:tcPr>
            <w:tcW w:w="1247" w:type="dxa"/>
            <w:vAlign w:val="center"/>
          </w:tcPr>
          <w:p w:rsidR="00212513" w:rsidRDefault="00212513">
            <w:pPr>
              <w:pStyle w:val="ConsPlusNormal"/>
              <w:jc w:val="center"/>
            </w:pPr>
            <w:r>
              <w:t xml:space="preserve">8 - 50 </w:t>
            </w:r>
            <w:hyperlink w:anchor="P6336">
              <w:r>
                <w:rPr>
                  <w:color w:val="0000FF"/>
                </w:rPr>
                <w:t>&lt;2&gt;</w:t>
              </w:r>
            </w:hyperlink>
          </w:p>
        </w:tc>
      </w:tr>
      <w:tr w:rsidR="00212513">
        <w:tc>
          <w:tcPr>
            <w:tcW w:w="1077" w:type="dxa"/>
            <w:vMerge/>
          </w:tcPr>
          <w:p w:rsidR="00212513" w:rsidRDefault="00212513">
            <w:pPr>
              <w:pStyle w:val="ConsPlusNormal"/>
            </w:pPr>
          </w:p>
        </w:tc>
        <w:tc>
          <w:tcPr>
            <w:tcW w:w="1191" w:type="dxa"/>
            <w:vMerge w:val="restart"/>
            <w:vAlign w:val="center"/>
          </w:tcPr>
          <w:p w:rsidR="00212513" w:rsidRDefault="00212513">
            <w:pPr>
              <w:pStyle w:val="ConsPlusNormal"/>
              <w:jc w:val="center"/>
            </w:pPr>
            <w:r>
              <w:t xml:space="preserve">8 - 50 </w:t>
            </w:r>
            <w:hyperlink w:anchor="P6336">
              <w:r>
                <w:rPr>
                  <w:color w:val="0000FF"/>
                </w:rPr>
                <w:t>&lt;2&gt;</w:t>
              </w:r>
            </w:hyperlink>
          </w:p>
        </w:tc>
        <w:tc>
          <w:tcPr>
            <w:tcW w:w="1928" w:type="dxa"/>
            <w:vMerge w:val="restart"/>
            <w:vAlign w:val="center"/>
          </w:tcPr>
          <w:p w:rsidR="00212513" w:rsidRDefault="00212513">
            <w:pPr>
              <w:pStyle w:val="ConsPlusNormal"/>
              <w:jc w:val="center"/>
            </w:pPr>
            <w:r>
              <w:t>345-14ХГНДЦ-3</w:t>
            </w:r>
          </w:p>
        </w:tc>
        <w:tc>
          <w:tcPr>
            <w:tcW w:w="1701" w:type="dxa"/>
            <w:vMerge w:val="restart"/>
            <w:vAlign w:val="center"/>
          </w:tcPr>
          <w:p w:rsidR="00212513" w:rsidRDefault="00212513">
            <w:pPr>
              <w:pStyle w:val="ConsPlusNormal"/>
              <w:jc w:val="center"/>
            </w:pPr>
            <w:hyperlink w:anchor="P19080">
              <w:r>
                <w:rPr>
                  <w:color w:val="0000FF"/>
                </w:rPr>
                <w:t>[7]</w:t>
              </w:r>
            </w:hyperlink>
          </w:p>
          <w:p w:rsidR="00212513" w:rsidRDefault="00212513">
            <w:pPr>
              <w:pStyle w:val="ConsPlusNormal"/>
              <w:jc w:val="center"/>
            </w:pPr>
            <w:hyperlink r:id="rId1460">
              <w:r>
                <w:rPr>
                  <w:color w:val="0000FF"/>
                </w:rPr>
                <w:t>ГОСТ Р 55374</w:t>
              </w:r>
            </w:hyperlink>
          </w:p>
          <w:p w:rsidR="00212513" w:rsidRDefault="00212513">
            <w:pPr>
              <w:pStyle w:val="ConsPlusNormal"/>
              <w:jc w:val="center"/>
            </w:pPr>
            <w:hyperlink r:id="rId1461">
              <w:r>
                <w:rPr>
                  <w:color w:val="0000FF"/>
                </w:rPr>
                <w:t>ГОСТ 6713</w:t>
              </w:r>
            </w:hyperlink>
          </w:p>
        </w:tc>
        <w:tc>
          <w:tcPr>
            <w:tcW w:w="1474" w:type="dxa"/>
            <w:vMerge w:val="restart"/>
            <w:vAlign w:val="center"/>
          </w:tcPr>
          <w:p w:rsidR="00212513" w:rsidRDefault="00212513">
            <w:pPr>
              <w:pStyle w:val="ConsPlusNormal"/>
              <w:jc w:val="center"/>
            </w:pPr>
            <w:r>
              <w:t xml:space="preserve">С полистным контролем по </w:t>
            </w:r>
            <w:hyperlink r:id="rId1462">
              <w:r>
                <w:rPr>
                  <w:color w:val="0000FF"/>
                </w:rPr>
                <w:t>пункту 6.4.1</w:t>
              </w:r>
            </w:hyperlink>
            <w:r>
              <w:t xml:space="preserve"> ГОСТ Р 55374-2012 </w:t>
            </w:r>
            <w:hyperlink w:anchor="P6338">
              <w:r>
                <w:rPr>
                  <w:color w:val="0000FF"/>
                </w:rPr>
                <w:t>&lt;4&gt;</w:t>
              </w:r>
            </w:hyperlink>
            <w:r>
              <w:t xml:space="preserve"> и </w:t>
            </w:r>
            <w:hyperlink r:id="rId1463">
              <w:r>
                <w:rPr>
                  <w:color w:val="0000FF"/>
                </w:rPr>
                <w:t>пункту 6.4.1</w:t>
              </w:r>
            </w:hyperlink>
            <w:r>
              <w:t xml:space="preserve"> </w:t>
            </w:r>
            <w:r>
              <w:lastRenderedPageBreak/>
              <w:t xml:space="preserve">ГОСТ 6713-2021 </w:t>
            </w:r>
            <w:hyperlink w:anchor="P6338">
              <w:r>
                <w:rPr>
                  <w:color w:val="0000FF"/>
                </w:rPr>
                <w:t>&lt;4&gt;</w:t>
              </w:r>
            </w:hyperlink>
          </w:p>
        </w:tc>
        <w:tc>
          <w:tcPr>
            <w:tcW w:w="1247" w:type="dxa"/>
            <w:vMerge/>
          </w:tcPr>
          <w:p w:rsidR="00212513" w:rsidRDefault="00212513">
            <w:pPr>
              <w:pStyle w:val="ConsPlusNormal"/>
            </w:pPr>
          </w:p>
        </w:tc>
        <w:tc>
          <w:tcPr>
            <w:tcW w:w="1871" w:type="dxa"/>
            <w:vAlign w:val="center"/>
          </w:tcPr>
          <w:p w:rsidR="00212513" w:rsidRDefault="00212513">
            <w:pPr>
              <w:pStyle w:val="ConsPlusNormal"/>
              <w:jc w:val="center"/>
            </w:pPr>
            <w:r>
              <w:t>15ХСНДА-3</w:t>
            </w:r>
          </w:p>
        </w:tc>
        <w:tc>
          <w:tcPr>
            <w:tcW w:w="1644" w:type="dxa"/>
            <w:vAlign w:val="center"/>
          </w:tcPr>
          <w:p w:rsidR="00212513" w:rsidRDefault="00212513">
            <w:pPr>
              <w:pStyle w:val="ConsPlusNormal"/>
              <w:jc w:val="center"/>
            </w:pPr>
            <w:hyperlink w:anchor="P19080">
              <w:r>
                <w:rPr>
                  <w:color w:val="0000FF"/>
                </w:rPr>
                <w:t>[7]</w:t>
              </w:r>
            </w:hyperlink>
          </w:p>
        </w:tc>
        <w:tc>
          <w:tcPr>
            <w:tcW w:w="1474" w:type="dxa"/>
            <w:vAlign w:val="center"/>
          </w:tcPr>
          <w:p w:rsidR="00212513" w:rsidRDefault="00212513">
            <w:pPr>
              <w:pStyle w:val="ConsPlusNormal"/>
              <w:jc w:val="center"/>
            </w:pPr>
            <w:r>
              <w:t>-</w:t>
            </w:r>
          </w:p>
        </w:tc>
        <w:tc>
          <w:tcPr>
            <w:tcW w:w="1247" w:type="dxa"/>
            <w:vAlign w:val="center"/>
          </w:tcPr>
          <w:p w:rsidR="00212513" w:rsidRDefault="00212513">
            <w:pPr>
              <w:pStyle w:val="ConsPlusNormal"/>
              <w:jc w:val="center"/>
            </w:pPr>
            <w:r>
              <w:t xml:space="preserve">8 - 50 </w:t>
            </w:r>
            <w:hyperlink w:anchor="P6336">
              <w:r>
                <w:rPr>
                  <w:color w:val="0000FF"/>
                </w:rPr>
                <w:t>&lt;2&gt;</w:t>
              </w:r>
            </w:hyperlink>
          </w:p>
        </w:tc>
      </w:tr>
      <w:tr w:rsidR="00212513">
        <w:tc>
          <w:tcPr>
            <w:tcW w:w="1077" w:type="dxa"/>
            <w:vMerge/>
          </w:tcPr>
          <w:p w:rsidR="00212513" w:rsidRDefault="00212513">
            <w:pPr>
              <w:pStyle w:val="ConsPlusNormal"/>
            </w:pPr>
          </w:p>
        </w:tc>
        <w:tc>
          <w:tcPr>
            <w:tcW w:w="1191" w:type="dxa"/>
            <w:vMerge/>
          </w:tcPr>
          <w:p w:rsidR="00212513" w:rsidRDefault="00212513">
            <w:pPr>
              <w:pStyle w:val="ConsPlusNormal"/>
            </w:pPr>
          </w:p>
        </w:tc>
        <w:tc>
          <w:tcPr>
            <w:tcW w:w="1928" w:type="dxa"/>
            <w:vMerge/>
          </w:tcPr>
          <w:p w:rsidR="00212513" w:rsidRDefault="00212513">
            <w:pPr>
              <w:pStyle w:val="ConsPlusNormal"/>
            </w:pPr>
          </w:p>
        </w:tc>
        <w:tc>
          <w:tcPr>
            <w:tcW w:w="1701" w:type="dxa"/>
            <w:vMerge/>
          </w:tcPr>
          <w:p w:rsidR="00212513" w:rsidRDefault="00212513">
            <w:pPr>
              <w:pStyle w:val="ConsPlusNormal"/>
            </w:pPr>
          </w:p>
        </w:tc>
        <w:tc>
          <w:tcPr>
            <w:tcW w:w="1474" w:type="dxa"/>
            <w:vMerge/>
          </w:tcPr>
          <w:p w:rsidR="00212513" w:rsidRDefault="00212513">
            <w:pPr>
              <w:pStyle w:val="ConsPlusNormal"/>
            </w:pPr>
          </w:p>
        </w:tc>
        <w:tc>
          <w:tcPr>
            <w:tcW w:w="1247" w:type="dxa"/>
            <w:vMerge/>
          </w:tcPr>
          <w:p w:rsidR="00212513" w:rsidRDefault="00212513">
            <w:pPr>
              <w:pStyle w:val="ConsPlusNormal"/>
            </w:pPr>
          </w:p>
        </w:tc>
        <w:tc>
          <w:tcPr>
            <w:tcW w:w="1871" w:type="dxa"/>
            <w:vAlign w:val="center"/>
          </w:tcPr>
          <w:p w:rsidR="00212513" w:rsidRDefault="00212513">
            <w:pPr>
              <w:pStyle w:val="ConsPlusNormal"/>
              <w:jc w:val="center"/>
            </w:pPr>
            <w:r>
              <w:t>10ХСНДА-3</w:t>
            </w:r>
          </w:p>
        </w:tc>
        <w:tc>
          <w:tcPr>
            <w:tcW w:w="1644" w:type="dxa"/>
            <w:vAlign w:val="center"/>
          </w:tcPr>
          <w:p w:rsidR="00212513" w:rsidRDefault="00212513">
            <w:pPr>
              <w:pStyle w:val="ConsPlusNormal"/>
              <w:jc w:val="center"/>
            </w:pPr>
            <w:hyperlink w:anchor="P19080">
              <w:r>
                <w:rPr>
                  <w:color w:val="0000FF"/>
                </w:rPr>
                <w:t>[7]</w:t>
              </w:r>
            </w:hyperlink>
          </w:p>
        </w:tc>
        <w:tc>
          <w:tcPr>
            <w:tcW w:w="1474" w:type="dxa"/>
            <w:vAlign w:val="center"/>
          </w:tcPr>
          <w:p w:rsidR="00212513" w:rsidRDefault="00212513">
            <w:pPr>
              <w:pStyle w:val="ConsPlusNormal"/>
              <w:jc w:val="center"/>
            </w:pPr>
            <w:r>
              <w:t>-</w:t>
            </w:r>
          </w:p>
        </w:tc>
        <w:tc>
          <w:tcPr>
            <w:tcW w:w="1247" w:type="dxa"/>
            <w:vAlign w:val="center"/>
          </w:tcPr>
          <w:p w:rsidR="00212513" w:rsidRDefault="00212513">
            <w:pPr>
              <w:pStyle w:val="ConsPlusNormal"/>
              <w:jc w:val="center"/>
            </w:pPr>
            <w:r>
              <w:t xml:space="preserve">8 - 50 </w:t>
            </w:r>
            <w:hyperlink w:anchor="P6336">
              <w:r>
                <w:rPr>
                  <w:color w:val="0000FF"/>
                </w:rPr>
                <w:t>&lt;2&gt;</w:t>
              </w:r>
            </w:hyperlink>
          </w:p>
        </w:tc>
      </w:tr>
      <w:tr w:rsidR="00212513">
        <w:tc>
          <w:tcPr>
            <w:tcW w:w="1077" w:type="dxa"/>
            <w:vMerge/>
          </w:tcPr>
          <w:p w:rsidR="00212513" w:rsidRDefault="00212513">
            <w:pPr>
              <w:pStyle w:val="ConsPlusNormal"/>
            </w:pPr>
          </w:p>
        </w:tc>
        <w:tc>
          <w:tcPr>
            <w:tcW w:w="1191" w:type="dxa"/>
            <w:vMerge w:val="restart"/>
            <w:vAlign w:val="center"/>
          </w:tcPr>
          <w:p w:rsidR="00212513" w:rsidRDefault="00212513">
            <w:pPr>
              <w:pStyle w:val="ConsPlusNormal"/>
              <w:jc w:val="center"/>
            </w:pPr>
            <w:r>
              <w:t xml:space="preserve">8 - 50 </w:t>
            </w:r>
            <w:hyperlink w:anchor="P6336">
              <w:r>
                <w:rPr>
                  <w:color w:val="0000FF"/>
                </w:rPr>
                <w:t>&lt;2&gt;</w:t>
              </w:r>
            </w:hyperlink>
          </w:p>
        </w:tc>
        <w:tc>
          <w:tcPr>
            <w:tcW w:w="1928" w:type="dxa"/>
            <w:vMerge w:val="restart"/>
            <w:vAlign w:val="center"/>
          </w:tcPr>
          <w:p w:rsidR="00212513" w:rsidRDefault="00212513">
            <w:pPr>
              <w:pStyle w:val="ConsPlusNormal"/>
              <w:jc w:val="center"/>
            </w:pPr>
            <w:r>
              <w:t>390-14ХГНДЦ-3</w:t>
            </w:r>
          </w:p>
        </w:tc>
        <w:tc>
          <w:tcPr>
            <w:tcW w:w="1701" w:type="dxa"/>
            <w:vMerge w:val="restart"/>
            <w:vAlign w:val="center"/>
          </w:tcPr>
          <w:p w:rsidR="00212513" w:rsidRDefault="00212513">
            <w:pPr>
              <w:pStyle w:val="ConsPlusNormal"/>
              <w:jc w:val="center"/>
            </w:pPr>
            <w:hyperlink w:anchor="P19080">
              <w:r>
                <w:rPr>
                  <w:color w:val="0000FF"/>
                </w:rPr>
                <w:t>[7]</w:t>
              </w:r>
            </w:hyperlink>
          </w:p>
        </w:tc>
        <w:tc>
          <w:tcPr>
            <w:tcW w:w="1474" w:type="dxa"/>
            <w:vMerge w:val="restart"/>
            <w:vAlign w:val="center"/>
          </w:tcPr>
          <w:p w:rsidR="00212513" w:rsidRDefault="00212513">
            <w:pPr>
              <w:pStyle w:val="ConsPlusNormal"/>
              <w:jc w:val="center"/>
            </w:pPr>
            <w:r>
              <w:t xml:space="preserve">С полистным контролем по </w:t>
            </w:r>
            <w:hyperlink r:id="rId1464">
              <w:r>
                <w:rPr>
                  <w:color w:val="0000FF"/>
                </w:rPr>
                <w:t>пункту 6.4.1</w:t>
              </w:r>
            </w:hyperlink>
            <w:r>
              <w:t xml:space="preserve"> ГОСТ 6713-2021 </w:t>
            </w:r>
            <w:hyperlink w:anchor="P6338">
              <w:r>
                <w:rPr>
                  <w:color w:val="0000FF"/>
                </w:rPr>
                <w:t>&lt;4&gt;</w:t>
              </w:r>
            </w:hyperlink>
          </w:p>
        </w:tc>
        <w:tc>
          <w:tcPr>
            <w:tcW w:w="1247" w:type="dxa"/>
            <w:vMerge w:val="restart"/>
            <w:vAlign w:val="center"/>
          </w:tcPr>
          <w:p w:rsidR="00212513" w:rsidRDefault="00212513">
            <w:pPr>
              <w:pStyle w:val="ConsPlusNormal"/>
              <w:jc w:val="center"/>
            </w:pPr>
            <w:r>
              <w:t>Листовой</w:t>
            </w:r>
          </w:p>
        </w:tc>
        <w:tc>
          <w:tcPr>
            <w:tcW w:w="1871" w:type="dxa"/>
            <w:vAlign w:val="center"/>
          </w:tcPr>
          <w:p w:rsidR="00212513" w:rsidRDefault="00212513">
            <w:pPr>
              <w:pStyle w:val="ConsPlusNormal"/>
              <w:jc w:val="center"/>
            </w:pPr>
            <w:r>
              <w:t>345-14ХГНДЦ-3</w:t>
            </w:r>
          </w:p>
        </w:tc>
        <w:tc>
          <w:tcPr>
            <w:tcW w:w="1644" w:type="dxa"/>
            <w:vAlign w:val="center"/>
          </w:tcPr>
          <w:p w:rsidR="00212513" w:rsidRDefault="00212513">
            <w:pPr>
              <w:pStyle w:val="ConsPlusNormal"/>
              <w:jc w:val="center"/>
            </w:pPr>
            <w:hyperlink w:anchor="P19080">
              <w:r>
                <w:rPr>
                  <w:color w:val="0000FF"/>
                </w:rPr>
                <w:t>[7]</w:t>
              </w:r>
            </w:hyperlink>
          </w:p>
          <w:p w:rsidR="00212513" w:rsidRDefault="00212513">
            <w:pPr>
              <w:pStyle w:val="ConsPlusNormal"/>
              <w:jc w:val="center"/>
            </w:pPr>
            <w:hyperlink r:id="rId1465">
              <w:r>
                <w:rPr>
                  <w:color w:val="0000FF"/>
                </w:rPr>
                <w:t>ГОСТ Р 55374</w:t>
              </w:r>
            </w:hyperlink>
          </w:p>
          <w:p w:rsidR="00212513" w:rsidRDefault="00212513">
            <w:pPr>
              <w:pStyle w:val="ConsPlusNormal"/>
              <w:jc w:val="center"/>
            </w:pPr>
            <w:hyperlink r:id="rId1466">
              <w:r>
                <w:rPr>
                  <w:color w:val="0000FF"/>
                </w:rPr>
                <w:t>ГОСТ 6713</w:t>
              </w:r>
            </w:hyperlink>
          </w:p>
        </w:tc>
        <w:tc>
          <w:tcPr>
            <w:tcW w:w="1474" w:type="dxa"/>
            <w:vAlign w:val="center"/>
          </w:tcPr>
          <w:p w:rsidR="00212513" w:rsidRDefault="00212513">
            <w:pPr>
              <w:pStyle w:val="ConsPlusNormal"/>
              <w:jc w:val="center"/>
            </w:pPr>
            <w:r>
              <w:t>-</w:t>
            </w:r>
          </w:p>
        </w:tc>
        <w:tc>
          <w:tcPr>
            <w:tcW w:w="1247" w:type="dxa"/>
            <w:vAlign w:val="center"/>
          </w:tcPr>
          <w:p w:rsidR="00212513" w:rsidRDefault="00212513">
            <w:pPr>
              <w:pStyle w:val="ConsPlusNormal"/>
              <w:jc w:val="center"/>
            </w:pPr>
            <w:r>
              <w:t xml:space="preserve">8 - 50 </w:t>
            </w:r>
            <w:hyperlink w:anchor="P6336">
              <w:r>
                <w:rPr>
                  <w:color w:val="0000FF"/>
                </w:rPr>
                <w:t>&lt;2&gt;</w:t>
              </w:r>
            </w:hyperlink>
          </w:p>
        </w:tc>
      </w:tr>
      <w:tr w:rsidR="00212513">
        <w:tc>
          <w:tcPr>
            <w:tcW w:w="1077" w:type="dxa"/>
            <w:vMerge/>
          </w:tcPr>
          <w:p w:rsidR="00212513" w:rsidRDefault="00212513">
            <w:pPr>
              <w:pStyle w:val="ConsPlusNormal"/>
            </w:pPr>
          </w:p>
        </w:tc>
        <w:tc>
          <w:tcPr>
            <w:tcW w:w="1191" w:type="dxa"/>
            <w:vMerge/>
          </w:tcPr>
          <w:p w:rsidR="00212513" w:rsidRDefault="00212513">
            <w:pPr>
              <w:pStyle w:val="ConsPlusNormal"/>
            </w:pPr>
          </w:p>
        </w:tc>
        <w:tc>
          <w:tcPr>
            <w:tcW w:w="1928" w:type="dxa"/>
            <w:vMerge/>
          </w:tcPr>
          <w:p w:rsidR="00212513" w:rsidRDefault="00212513">
            <w:pPr>
              <w:pStyle w:val="ConsPlusNormal"/>
            </w:pPr>
          </w:p>
        </w:tc>
        <w:tc>
          <w:tcPr>
            <w:tcW w:w="1701" w:type="dxa"/>
            <w:vMerge/>
          </w:tcPr>
          <w:p w:rsidR="00212513" w:rsidRDefault="00212513">
            <w:pPr>
              <w:pStyle w:val="ConsPlusNormal"/>
            </w:pPr>
          </w:p>
        </w:tc>
        <w:tc>
          <w:tcPr>
            <w:tcW w:w="1474" w:type="dxa"/>
            <w:vMerge/>
          </w:tcPr>
          <w:p w:rsidR="00212513" w:rsidRDefault="00212513">
            <w:pPr>
              <w:pStyle w:val="ConsPlusNormal"/>
            </w:pPr>
          </w:p>
        </w:tc>
        <w:tc>
          <w:tcPr>
            <w:tcW w:w="1247" w:type="dxa"/>
            <w:vMerge/>
          </w:tcPr>
          <w:p w:rsidR="00212513" w:rsidRDefault="00212513">
            <w:pPr>
              <w:pStyle w:val="ConsPlusNormal"/>
            </w:pPr>
          </w:p>
        </w:tc>
        <w:tc>
          <w:tcPr>
            <w:tcW w:w="1871" w:type="dxa"/>
            <w:vAlign w:val="center"/>
          </w:tcPr>
          <w:p w:rsidR="00212513" w:rsidRDefault="00212513">
            <w:pPr>
              <w:pStyle w:val="ConsPlusNormal"/>
              <w:jc w:val="center"/>
            </w:pPr>
            <w:r>
              <w:t>390-14ХГНДЦ-3</w:t>
            </w:r>
          </w:p>
        </w:tc>
        <w:tc>
          <w:tcPr>
            <w:tcW w:w="1644" w:type="dxa"/>
            <w:vAlign w:val="center"/>
          </w:tcPr>
          <w:p w:rsidR="00212513" w:rsidRDefault="00212513">
            <w:pPr>
              <w:pStyle w:val="ConsPlusNormal"/>
              <w:jc w:val="center"/>
            </w:pPr>
            <w:hyperlink w:anchor="P19080">
              <w:r>
                <w:rPr>
                  <w:color w:val="0000FF"/>
                </w:rPr>
                <w:t>[7]</w:t>
              </w:r>
            </w:hyperlink>
          </w:p>
        </w:tc>
        <w:tc>
          <w:tcPr>
            <w:tcW w:w="1474" w:type="dxa"/>
            <w:vAlign w:val="center"/>
          </w:tcPr>
          <w:p w:rsidR="00212513" w:rsidRDefault="00212513">
            <w:pPr>
              <w:pStyle w:val="ConsPlusNormal"/>
              <w:jc w:val="center"/>
            </w:pPr>
            <w:r>
              <w:t>-</w:t>
            </w:r>
          </w:p>
        </w:tc>
        <w:tc>
          <w:tcPr>
            <w:tcW w:w="1247" w:type="dxa"/>
            <w:vAlign w:val="center"/>
          </w:tcPr>
          <w:p w:rsidR="00212513" w:rsidRDefault="00212513">
            <w:pPr>
              <w:pStyle w:val="ConsPlusNormal"/>
              <w:jc w:val="center"/>
            </w:pPr>
            <w:r>
              <w:t xml:space="preserve">8 - 50 </w:t>
            </w:r>
            <w:hyperlink w:anchor="P6336">
              <w:r>
                <w:rPr>
                  <w:color w:val="0000FF"/>
                </w:rPr>
                <w:t>&lt;2&gt;</w:t>
              </w:r>
            </w:hyperlink>
          </w:p>
        </w:tc>
      </w:tr>
      <w:tr w:rsidR="00212513">
        <w:tc>
          <w:tcPr>
            <w:tcW w:w="1077" w:type="dxa"/>
            <w:vMerge/>
          </w:tcPr>
          <w:p w:rsidR="00212513" w:rsidRDefault="00212513">
            <w:pPr>
              <w:pStyle w:val="ConsPlusNormal"/>
            </w:pPr>
          </w:p>
        </w:tc>
        <w:tc>
          <w:tcPr>
            <w:tcW w:w="1191" w:type="dxa"/>
            <w:vMerge/>
          </w:tcPr>
          <w:p w:rsidR="00212513" w:rsidRDefault="00212513">
            <w:pPr>
              <w:pStyle w:val="ConsPlusNormal"/>
            </w:pPr>
          </w:p>
        </w:tc>
        <w:tc>
          <w:tcPr>
            <w:tcW w:w="1928" w:type="dxa"/>
            <w:vMerge/>
          </w:tcPr>
          <w:p w:rsidR="00212513" w:rsidRDefault="00212513">
            <w:pPr>
              <w:pStyle w:val="ConsPlusNormal"/>
            </w:pPr>
          </w:p>
        </w:tc>
        <w:tc>
          <w:tcPr>
            <w:tcW w:w="1701" w:type="dxa"/>
            <w:vMerge/>
          </w:tcPr>
          <w:p w:rsidR="00212513" w:rsidRDefault="00212513">
            <w:pPr>
              <w:pStyle w:val="ConsPlusNormal"/>
            </w:pPr>
          </w:p>
        </w:tc>
        <w:tc>
          <w:tcPr>
            <w:tcW w:w="1474" w:type="dxa"/>
            <w:vMerge/>
          </w:tcPr>
          <w:p w:rsidR="00212513" w:rsidRDefault="00212513">
            <w:pPr>
              <w:pStyle w:val="ConsPlusNormal"/>
            </w:pPr>
          </w:p>
        </w:tc>
        <w:tc>
          <w:tcPr>
            <w:tcW w:w="1247" w:type="dxa"/>
            <w:vMerge w:val="restart"/>
            <w:vAlign w:val="center"/>
          </w:tcPr>
          <w:p w:rsidR="00212513" w:rsidRDefault="00212513">
            <w:pPr>
              <w:pStyle w:val="ConsPlusNormal"/>
              <w:jc w:val="center"/>
            </w:pPr>
            <w:r>
              <w:t>Фасонный</w:t>
            </w:r>
          </w:p>
        </w:tc>
        <w:tc>
          <w:tcPr>
            <w:tcW w:w="1871" w:type="dxa"/>
            <w:vAlign w:val="center"/>
          </w:tcPr>
          <w:p w:rsidR="00212513" w:rsidRDefault="00212513">
            <w:pPr>
              <w:pStyle w:val="ConsPlusNormal"/>
              <w:jc w:val="center"/>
            </w:pPr>
            <w:r>
              <w:t xml:space="preserve">15ХСНД-2 </w:t>
            </w:r>
            <w:hyperlink w:anchor="P6337">
              <w:r>
                <w:rPr>
                  <w:color w:val="0000FF"/>
                </w:rPr>
                <w:t>&lt;3&gt;</w:t>
              </w:r>
            </w:hyperlink>
          </w:p>
        </w:tc>
        <w:tc>
          <w:tcPr>
            <w:tcW w:w="1644" w:type="dxa"/>
            <w:vAlign w:val="center"/>
          </w:tcPr>
          <w:p w:rsidR="00212513" w:rsidRDefault="00212513">
            <w:pPr>
              <w:pStyle w:val="ConsPlusNormal"/>
              <w:jc w:val="center"/>
            </w:pPr>
            <w:hyperlink r:id="rId1467">
              <w:r>
                <w:rPr>
                  <w:color w:val="0000FF"/>
                </w:rPr>
                <w:t>ГОСТ Р 55374</w:t>
              </w:r>
            </w:hyperlink>
          </w:p>
          <w:p w:rsidR="00212513" w:rsidRDefault="00212513">
            <w:pPr>
              <w:pStyle w:val="ConsPlusNormal"/>
              <w:jc w:val="center"/>
            </w:pPr>
            <w:hyperlink r:id="rId1468">
              <w:r>
                <w:rPr>
                  <w:color w:val="0000FF"/>
                </w:rPr>
                <w:t>ГОСТ 6713</w:t>
              </w:r>
            </w:hyperlink>
          </w:p>
        </w:tc>
        <w:tc>
          <w:tcPr>
            <w:tcW w:w="1474" w:type="dxa"/>
            <w:vMerge w:val="restart"/>
            <w:vAlign w:val="center"/>
          </w:tcPr>
          <w:p w:rsidR="00212513" w:rsidRDefault="00212513">
            <w:pPr>
              <w:pStyle w:val="ConsPlusNormal"/>
              <w:jc w:val="center"/>
            </w:pPr>
            <w:r>
              <w:t xml:space="preserve">По </w:t>
            </w:r>
            <w:hyperlink r:id="rId1469">
              <w:r>
                <w:rPr>
                  <w:color w:val="0000FF"/>
                </w:rPr>
                <w:t>таблице 6</w:t>
              </w:r>
            </w:hyperlink>
            <w:r>
              <w:t xml:space="preserve"> ГОСТ Р 55374-2012 с проверкой ударной вязкости для 2-й категории</w:t>
            </w:r>
          </w:p>
        </w:tc>
        <w:tc>
          <w:tcPr>
            <w:tcW w:w="1247" w:type="dxa"/>
            <w:vAlign w:val="center"/>
          </w:tcPr>
          <w:p w:rsidR="00212513" w:rsidRDefault="00212513">
            <w:pPr>
              <w:pStyle w:val="ConsPlusNormal"/>
              <w:jc w:val="center"/>
            </w:pPr>
            <w:r>
              <w:t>8 - 32</w:t>
            </w:r>
          </w:p>
        </w:tc>
      </w:tr>
      <w:tr w:rsidR="00212513">
        <w:tc>
          <w:tcPr>
            <w:tcW w:w="1077" w:type="dxa"/>
            <w:vMerge/>
          </w:tcPr>
          <w:p w:rsidR="00212513" w:rsidRDefault="00212513">
            <w:pPr>
              <w:pStyle w:val="ConsPlusNormal"/>
            </w:pPr>
          </w:p>
        </w:tc>
        <w:tc>
          <w:tcPr>
            <w:tcW w:w="1191" w:type="dxa"/>
            <w:vMerge/>
          </w:tcPr>
          <w:p w:rsidR="00212513" w:rsidRDefault="00212513">
            <w:pPr>
              <w:pStyle w:val="ConsPlusNormal"/>
            </w:pPr>
          </w:p>
        </w:tc>
        <w:tc>
          <w:tcPr>
            <w:tcW w:w="1928" w:type="dxa"/>
            <w:vMerge/>
          </w:tcPr>
          <w:p w:rsidR="00212513" w:rsidRDefault="00212513">
            <w:pPr>
              <w:pStyle w:val="ConsPlusNormal"/>
            </w:pPr>
          </w:p>
        </w:tc>
        <w:tc>
          <w:tcPr>
            <w:tcW w:w="1701" w:type="dxa"/>
            <w:vMerge/>
          </w:tcPr>
          <w:p w:rsidR="00212513" w:rsidRDefault="00212513">
            <w:pPr>
              <w:pStyle w:val="ConsPlusNormal"/>
            </w:pPr>
          </w:p>
        </w:tc>
        <w:tc>
          <w:tcPr>
            <w:tcW w:w="1474" w:type="dxa"/>
            <w:vMerge/>
          </w:tcPr>
          <w:p w:rsidR="00212513" w:rsidRDefault="00212513">
            <w:pPr>
              <w:pStyle w:val="ConsPlusNormal"/>
            </w:pPr>
          </w:p>
        </w:tc>
        <w:tc>
          <w:tcPr>
            <w:tcW w:w="1247" w:type="dxa"/>
            <w:vMerge/>
          </w:tcPr>
          <w:p w:rsidR="00212513" w:rsidRDefault="00212513">
            <w:pPr>
              <w:pStyle w:val="ConsPlusNormal"/>
            </w:pPr>
          </w:p>
        </w:tc>
        <w:tc>
          <w:tcPr>
            <w:tcW w:w="1871" w:type="dxa"/>
            <w:vAlign w:val="center"/>
          </w:tcPr>
          <w:p w:rsidR="00212513" w:rsidRDefault="00212513">
            <w:pPr>
              <w:pStyle w:val="ConsPlusNormal"/>
              <w:jc w:val="center"/>
            </w:pPr>
            <w:r>
              <w:t xml:space="preserve">10ХСНД-2 </w:t>
            </w:r>
            <w:hyperlink w:anchor="P6337">
              <w:r>
                <w:rPr>
                  <w:color w:val="0000FF"/>
                </w:rPr>
                <w:t>&lt;3&gt;</w:t>
              </w:r>
            </w:hyperlink>
          </w:p>
        </w:tc>
        <w:tc>
          <w:tcPr>
            <w:tcW w:w="1644" w:type="dxa"/>
            <w:vAlign w:val="center"/>
          </w:tcPr>
          <w:p w:rsidR="00212513" w:rsidRDefault="00212513">
            <w:pPr>
              <w:pStyle w:val="ConsPlusNormal"/>
              <w:jc w:val="center"/>
            </w:pPr>
            <w:hyperlink r:id="rId1470">
              <w:r>
                <w:rPr>
                  <w:color w:val="0000FF"/>
                </w:rPr>
                <w:t>ГОСТ Р 55374</w:t>
              </w:r>
            </w:hyperlink>
          </w:p>
          <w:p w:rsidR="00212513" w:rsidRDefault="00212513">
            <w:pPr>
              <w:pStyle w:val="ConsPlusNormal"/>
              <w:jc w:val="center"/>
            </w:pPr>
            <w:hyperlink r:id="rId1471">
              <w:r>
                <w:rPr>
                  <w:color w:val="0000FF"/>
                </w:rPr>
                <w:t>ГОСТ 6713</w:t>
              </w:r>
            </w:hyperlink>
          </w:p>
        </w:tc>
        <w:tc>
          <w:tcPr>
            <w:tcW w:w="1474" w:type="dxa"/>
            <w:vMerge/>
          </w:tcPr>
          <w:p w:rsidR="00212513" w:rsidRDefault="00212513">
            <w:pPr>
              <w:pStyle w:val="ConsPlusNormal"/>
            </w:pPr>
          </w:p>
        </w:tc>
        <w:tc>
          <w:tcPr>
            <w:tcW w:w="1247" w:type="dxa"/>
            <w:vAlign w:val="center"/>
          </w:tcPr>
          <w:p w:rsidR="00212513" w:rsidRDefault="00212513">
            <w:pPr>
              <w:pStyle w:val="ConsPlusNormal"/>
              <w:jc w:val="center"/>
            </w:pPr>
            <w:r>
              <w:t>8 - 15</w:t>
            </w:r>
          </w:p>
        </w:tc>
      </w:tr>
      <w:tr w:rsidR="00212513">
        <w:tc>
          <w:tcPr>
            <w:tcW w:w="1077" w:type="dxa"/>
            <w:vMerge/>
          </w:tcPr>
          <w:p w:rsidR="00212513" w:rsidRDefault="00212513">
            <w:pPr>
              <w:pStyle w:val="ConsPlusNormal"/>
            </w:pPr>
          </w:p>
        </w:tc>
        <w:tc>
          <w:tcPr>
            <w:tcW w:w="1191" w:type="dxa"/>
            <w:vMerge/>
          </w:tcPr>
          <w:p w:rsidR="00212513" w:rsidRDefault="00212513">
            <w:pPr>
              <w:pStyle w:val="ConsPlusNormal"/>
            </w:pPr>
          </w:p>
        </w:tc>
        <w:tc>
          <w:tcPr>
            <w:tcW w:w="1928" w:type="dxa"/>
            <w:vMerge/>
          </w:tcPr>
          <w:p w:rsidR="00212513" w:rsidRDefault="00212513">
            <w:pPr>
              <w:pStyle w:val="ConsPlusNormal"/>
            </w:pPr>
          </w:p>
        </w:tc>
        <w:tc>
          <w:tcPr>
            <w:tcW w:w="1701" w:type="dxa"/>
            <w:vMerge/>
          </w:tcPr>
          <w:p w:rsidR="00212513" w:rsidRDefault="00212513">
            <w:pPr>
              <w:pStyle w:val="ConsPlusNormal"/>
            </w:pPr>
          </w:p>
        </w:tc>
        <w:tc>
          <w:tcPr>
            <w:tcW w:w="1474" w:type="dxa"/>
            <w:vMerge/>
          </w:tcPr>
          <w:p w:rsidR="00212513" w:rsidRDefault="00212513">
            <w:pPr>
              <w:pStyle w:val="ConsPlusNormal"/>
            </w:pPr>
          </w:p>
        </w:tc>
        <w:tc>
          <w:tcPr>
            <w:tcW w:w="1247" w:type="dxa"/>
            <w:vMerge/>
          </w:tcPr>
          <w:p w:rsidR="00212513" w:rsidRDefault="00212513">
            <w:pPr>
              <w:pStyle w:val="ConsPlusNormal"/>
            </w:pPr>
          </w:p>
        </w:tc>
        <w:tc>
          <w:tcPr>
            <w:tcW w:w="1871" w:type="dxa"/>
            <w:vAlign w:val="center"/>
          </w:tcPr>
          <w:p w:rsidR="00212513" w:rsidRDefault="00212513">
            <w:pPr>
              <w:pStyle w:val="ConsPlusNormal"/>
              <w:jc w:val="center"/>
            </w:pPr>
            <w:r>
              <w:t xml:space="preserve">345-14ХГНДЦ-3 </w:t>
            </w:r>
            <w:hyperlink w:anchor="P6337">
              <w:r>
                <w:rPr>
                  <w:color w:val="0000FF"/>
                </w:rPr>
                <w:t>&lt;3&gt;</w:t>
              </w:r>
            </w:hyperlink>
          </w:p>
        </w:tc>
        <w:tc>
          <w:tcPr>
            <w:tcW w:w="1644" w:type="dxa"/>
            <w:vAlign w:val="center"/>
          </w:tcPr>
          <w:p w:rsidR="00212513" w:rsidRDefault="00212513">
            <w:pPr>
              <w:pStyle w:val="ConsPlusNormal"/>
              <w:jc w:val="center"/>
            </w:pPr>
            <w:hyperlink r:id="rId1472">
              <w:r>
                <w:rPr>
                  <w:color w:val="0000FF"/>
                </w:rPr>
                <w:t>ГОСТ Р 55374</w:t>
              </w:r>
            </w:hyperlink>
          </w:p>
          <w:p w:rsidR="00212513" w:rsidRDefault="00212513">
            <w:pPr>
              <w:pStyle w:val="ConsPlusNormal"/>
              <w:jc w:val="center"/>
            </w:pPr>
            <w:hyperlink r:id="rId1473">
              <w:r>
                <w:rPr>
                  <w:color w:val="0000FF"/>
                </w:rPr>
                <w:t>ГОСТ 6713</w:t>
              </w:r>
            </w:hyperlink>
          </w:p>
        </w:tc>
        <w:tc>
          <w:tcPr>
            <w:tcW w:w="1474" w:type="dxa"/>
            <w:vMerge w:val="restart"/>
            <w:vAlign w:val="center"/>
          </w:tcPr>
          <w:p w:rsidR="00212513" w:rsidRDefault="00212513">
            <w:pPr>
              <w:pStyle w:val="ConsPlusNormal"/>
              <w:jc w:val="center"/>
            </w:pPr>
            <w:r>
              <w:t xml:space="preserve">По </w:t>
            </w:r>
            <w:hyperlink r:id="rId1474">
              <w:r>
                <w:rPr>
                  <w:color w:val="0000FF"/>
                </w:rPr>
                <w:t>таблице 6</w:t>
              </w:r>
            </w:hyperlink>
            <w:r>
              <w:t xml:space="preserve"> ГОСТ Р 55374-2012 с проверкой ударной вязкости для 3-й категории</w:t>
            </w:r>
          </w:p>
        </w:tc>
        <w:tc>
          <w:tcPr>
            <w:tcW w:w="1247" w:type="dxa"/>
            <w:vAlign w:val="center"/>
          </w:tcPr>
          <w:p w:rsidR="00212513" w:rsidRDefault="00212513">
            <w:pPr>
              <w:pStyle w:val="ConsPlusNormal"/>
              <w:jc w:val="center"/>
            </w:pPr>
            <w:r>
              <w:t>8 - 20</w:t>
            </w:r>
          </w:p>
        </w:tc>
      </w:tr>
      <w:tr w:rsidR="00212513">
        <w:tc>
          <w:tcPr>
            <w:tcW w:w="1077" w:type="dxa"/>
            <w:vMerge/>
          </w:tcPr>
          <w:p w:rsidR="00212513" w:rsidRDefault="00212513">
            <w:pPr>
              <w:pStyle w:val="ConsPlusNormal"/>
            </w:pPr>
          </w:p>
        </w:tc>
        <w:tc>
          <w:tcPr>
            <w:tcW w:w="1191" w:type="dxa"/>
            <w:vMerge/>
          </w:tcPr>
          <w:p w:rsidR="00212513" w:rsidRDefault="00212513">
            <w:pPr>
              <w:pStyle w:val="ConsPlusNormal"/>
            </w:pPr>
          </w:p>
        </w:tc>
        <w:tc>
          <w:tcPr>
            <w:tcW w:w="1928" w:type="dxa"/>
            <w:vMerge/>
          </w:tcPr>
          <w:p w:rsidR="00212513" w:rsidRDefault="00212513">
            <w:pPr>
              <w:pStyle w:val="ConsPlusNormal"/>
            </w:pPr>
          </w:p>
        </w:tc>
        <w:tc>
          <w:tcPr>
            <w:tcW w:w="1701" w:type="dxa"/>
            <w:vMerge/>
          </w:tcPr>
          <w:p w:rsidR="00212513" w:rsidRDefault="00212513">
            <w:pPr>
              <w:pStyle w:val="ConsPlusNormal"/>
            </w:pPr>
          </w:p>
        </w:tc>
        <w:tc>
          <w:tcPr>
            <w:tcW w:w="1474" w:type="dxa"/>
            <w:vMerge/>
          </w:tcPr>
          <w:p w:rsidR="00212513" w:rsidRDefault="00212513">
            <w:pPr>
              <w:pStyle w:val="ConsPlusNormal"/>
            </w:pPr>
          </w:p>
        </w:tc>
        <w:tc>
          <w:tcPr>
            <w:tcW w:w="1247" w:type="dxa"/>
            <w:vMerge/>
          </w:tcPr>
          <w:p w:rsidR="00212513" w:rsidRDefault="00212513">
            <w:pPr>
              <w:pStyle w:val="ConsPlusNormal"/>
            </w:pPr>
          </w:p>
        </w:tc>
        <w:tc>
          <w:tcPr>
            <w:tcW w:w="1871" w:type="dxa"/>
            <w:vAlign w:val="center"/>
          </w:tcPr>
          <w:p w:rsidR="00212513" w:rsidRDefault="00212513">
            <w:pPr>
              <w:pStyle w:val="ConsPlusNormal"/>
              <w:jc w:val="center"/>
            </w:pPr>
            <w:r>
              <w:t xml:space="preserve">09Г2СД-3 </w:t>
            </w:r>
            <w:hyperlink w:anchor="P6337">
              <w:r>
                <w:rPr>
                  <w:color w:val="0000FF"/>
                </w:rPr>
                <w:t>&lt;3&gt;</w:t>
              </w:r>
            </w:hyperlink>
          </w:p>
        </w:tc>
        <w:tc>
          <w:tcPr>
            <w:tcW w:w="1644" w:type="dxa"/>
            <w:vAlign w:val="center"/>
          </w:tcPr>
          <w:p w:rsidR="00212513" w:rsidRDefault="00212513">
            <w:pPr>
              <w:pStyle w:val="ConsPlusNormal"/>
              <w:jc w:val="center"/>
            </w:pPr>
            <w:hyperlink r:id="rId1475">
              <w:r>
                <w:rPr>
                  <w:color w:val="0000FF"/>
                </w:rPr>
                <w:t>ГОСТ Р 55374</w:t>
              </w:r>
            </w:hyperlink>
          </w:p>
          <w:p w:rsidR="00212513" w:rsidRDefault="00212513">
            <w:pPr>
              <w:pStyle w:val="ConsPlusNormal"/>
              <w:jc w:val="center"/>
            </w:pPr>
            <w:hyperlink r:id="rId1476">
              <w:r>
                <w:rPr>
                  <w:color w:val="0000FF"/>
                </w:rPr>
                <w:t>ГОСТ 6713</w:t>
              </w:r>
            </w:hyperlink>
          </w:p>
        </w:tc>
        <w:tc>
          <w:tcPr>
            <w:tcW w:w="1474" w:type="dxa"/>
            <w:vMerge/>
          </w:tcPr>
          <w:p w:rsidR="00212513" w:rsidRDefault="00212513">
            <w:pPr>
              <w:pStyle w:val="ConsPlusNormal"/>
            </w:pPr>
          </w:p>
        </w:tc>
        <w:tc>
          <w:tcPr>
            <w:tcW w:w="1247" w:type="dxa"/>
            <w:vAlign w:val="center"/>
          </w:tcPr>
          <w:p w:rsidR="00212513" w:rsidRDefault="00212513">
            <w:pPr>
              <w:pStyle w:val="ConsPlusNormal"/>
              <w:jc w:val="center"/>
            </w:pPr>
            <w:r>
              <w:t>4 - 20</w:t>
            </w:r>
          </w:p>
        </w:tc>
      </w:tr>
      <w:tr w:rsidR="00212513">
        <w:tc>
          <w:tcPr>
            <w:tcW w:w="1077" w:type="dxa"/>
            <w:vMerge/>
          </w:tcPr>
          <w:p w:rsidR="00212513" w:rsidRDefault="00212513">
            <w:pPr>
              <w:pStyle w:val="ConsPlusNormal"/>
            </w:pPr>
          </w:p>
        </w:tc>
        <w:tc>
          <w:tcPr>
            <w:tcW w:w="1191" w:type="dxa"/>
            <w:vMerge/>
          </w:tcPr>
          <w:p w:rsidR="00212513" w:rsidRDefault="00212513">
            <w:pPr>
              <w:pStyle w:val="ConsPlusNormal"/>
            </w:pPr>
          </w:p>
        </w:tc>
        <w:tc>
          <w:tcPr>
            <w:tcW w:w="1928" w:type="dxa"/>
            <w:vMerge/>
          </w:tcPr>
          <w:p w:rsidR="00212513" w:rsidRDefault="00212513">
            <w:pPr>
              <w:pStyle w:val="ConsPlusNormal"/>
            </w:pPr>
          </w:p>
        </w:tc>
        <w:tc>
          <w:tcPr>
            <w:tcW w:w="1701" w:type="dxa"/>
            <w:vMerge/>
          </w:tcPr>
          <w:p w:rsidR="00212513" w:rsidRDefault="00212513">
            <w:pPr>
              <w:pStyle w:val="ConsPlusNormal"/>
            </w:pPr>
          </w:p>
        </w:tc>
        <w:tc>
          <w:tcPr>
            <w:tcW w:w="1474" w:type="dxa"/>
            <w:vMerge/>
          </w:tcPr>
          <w:p w:rsidR="00212513" w:rsidRDefault="00212513">
            <w:pPr>
              <w:pStyle w:val="ConsPlusNormal"/>
            </w:pPr>
          </w:p>
        </w:tc>
        <w:tc>
          <w:tcPr>
            <w:tcW w:w="1247" w:type="dxa"/>
            <w:vMerge/>
          </w:tcPr>
          <w:p w:rsidR="00212513" w:rsidRDefault="00212513">
            <w:pPr>
              <w:pStyle w:val="ConsPlusNormal"/>
            </w:pPr>
          </w:p>
        </w:tc>
        <w:tc>
          <w:tcPr>
            <w:tcW w:w="1871" w:type="dxa"/>
            <w:vAlign w:val="center"/>
          </w:tcPr>
          <w:p w:rsidR="00212513" w:rsidRDefault="00212513">
            <w:pPr>
              <w:pStyle w:val="ConsPlusNormal"/>
              <w:jc w:val="center"/>
            </w:pPr>
            <w:r>
              <w:t xml:space="preserve">09Г2СД-14 </w:t>
            </w:r>
            <w:hyperlink w:anchor="P6337">
              <w:r>
                <w:rPr>
                  <w:color w:val="0000FF"/>
                </w:rPr>
                <w:t>&lt;3&gt;</w:t>
              </w:r>
            </w:hyperlink>
          </w:p>
        </w:tc>
        <w:tc>
          <w:tcPr>
            <w:tcW w:w="1644" w:type="dxa"/>
            <w:vAlign w:val="center"/>
          </w:tcPr>
          <w:p w:rsidR="00212513" w:rsidRDefault="00212513">
            <w:pPr>
              <w:pStyle w:val="ConsPlusNormal"/>
              <w:jc w:val="center"/>
            </w:pPr>
            <w:hyperlink r:id="rId1477">
              <w:r>
                <w:rPr>
                  <w:color w:val="0000FF"/>
                </w:rPr>
                <w:t>ГОСТ 19281</w:t>
              </w:r>
            </w:hyperlink>
          </w:p>
        </w:tc>
        <w:tc>
          <w:tcPr>
            <w:tcW w:w="1474" w:type="dxa"/>
            <w:vAlign w:val="center"/>
          </w:tcPr>
          <w:p w:rsidR="00212513" w:rsidRDefault="00212513">
            <w:pPr>
              <w:pStyle w:val="ConsPlusNormal"/>
              <w:jc w:val="center"/>
            </w:pPr>
            <w:r>
              <w:t>-</w:t>
            </w:r>
          </w:p>
        </w:tc>
        <w:tc>
          <w:tcPr>
            <w:tcW w:w="1247" w:type="dxa"/>
            <w:vAlign w:val="center"/>
          </w:tcPr>
          <w:p w:rsidR="00212513" w:rsidRDefault="00212513">
            <w:pPr>
              <w:pStyle w:val="ConsPlusNormal"/>
              <w:jc w:val="center"/>
            </w:pPr>
            <w:r>
              <w:t>8 - 20</w:t>
            </w:r>
          </w:p>
        </w:tc>
      </w:tr>
      <w:tr w:rsidR="00212513">
        <w:tc>
          <w:tcPr>
            <w:tcW w:w="1077" w:type="dxa"/>
            <w:vMerge w:val="restart"/>
          </w:tcPr>
          <w:p w:rsidR="00212513" w:rsidRDefault="00212513">
            <w:pPr>
              <w:pStyle w:val="ConsPlusNormal"/>
            </w:pPr>
            <w:r>
              <w:t>Северное Б</w:t>
            </w:r>
          </w:p>
        </w:tc>
        <w:tc>
          <w:tcPr>
            <w:tcW w:w="1191" w:type="dxa"/>
            <w:vMerge w:val="restart"/>
            <w:vAlign w:val="center"/>
          </w:tcPr>
          <w:p w:rsidR="00212513" w:rsidRDefault="00212513">
            <w:pPr>
              <w:pStyle w:val="ConsPlusNormal"/>
              <w:jc w:val="center"/>
            </w:pPr>
            <w:r>
              <w:t xml:space="preserve">8 - 50 </w:t>
            </w:r>
            <w:hyperlink w:anchor="P6336">
              <w:r>
                <w:rPr>
                  <w:color w:val="0000FF"/>
                </w:rPr>
                <w:t>&lt;2&gt;</w:t>
              </w:r>
            </w:hyperlink>
          </w:p>
        </w:tc>
        <w:tc>
          <w:tcPr>
            <w:tcW w:w="1928" w:type="dxa"/>
            <w:vMerge w:val="restart"/>
            <w:vAlign w:val="center"/>
          </w:tcPr>
          <w:p w:rsidR="00212513" w:rsidRDefault="00212513">
            <w:pPr>
              <w:pStyle w:val="ConsPlusNormal"/>
              <w:jc w:val="center"/>
            </w:pPr>
            <w:r>
              <w:t xml:space="preserve">10ХСНД-3 </w:t>
            </w:r>
            <w:hyperlink w:anchor="P6340">
              <w:r>
                <w:rPr>
                  <w:color w:val="0000FF"/>
                </w:rPr>
                <w:t>&lt;6&gt;</w:t>
              </w:r>
            </w:hyperlink>
          </w:p>
        </w:tc>
        <w:tc>
          <w:tcPr>
            <w:tcW w:w="1701" w:type="dxa"/>
            <w:vMerge w:val="restart"/>
            <w:vAlign w:val="center"/>
          </w:tcPr>
          <w:p w:rsidR="00212513" w:rsidRDefault="00212513">
            <w:pPr>
              <w:pStyle w:val="ConsPlusNormal"/>
              <w:jc w:val="center"/>
            </w:pPr>
            <w:hyperlink r:id="rId1478">
              <w:r>
                <w:rPr>
                  <w:color w:val="0000FF"/>
                </w:rPr>
                <w:t>ГОСТ Р 55374</w:t>
              </w:r>
            </w:hyperlink>
          </w:p>
          <w:p w:rsidR="00212513" w:rsidRDefault="00212513">
            <w:pPr>
              <w:pStyle w:val="ConsPlusNormal"/>
              <w:jc w:val="center"/>
            </w:pPr>
            <w:hyperlink r:id="rId1479">
              <w:r>
                <w:rPr>
                  <w:color w:val="0000FF"/>
                </w:rPr>
                <w:t>ГОСТ 6713</w:t>
              </w:r>
            </w:hyperlink>
          </w:p>
        </w:tc>
        <w:tc>
          <w:tcPr>
            <w:tcW w:w="1474" w:type="dxa"/>
            <w:vMerge w:val="restart"/>
            <w:vAlign w:val="center"/>
          </w:tcPr>
          <w:p w:rsidR="00212513" w:rsidRDefault="00212513">
            <w:pPr>
              <w:pStyle w:val="ConsPlusNormal"/>
              <w:jc w:val="center"/>
            </w:pPr>
            <w:r>
              <w:t xml:space="preserve">С полистным контролем по </w:t>
            </w:r>
            <w:hyperlink r:id="rId1480">
              <w:r>
                <w:rPr>
                  <w:color w:val="0000FF"/>
                </w:rPr>
                <w:t>пункту 6.4.1</w:t>
              </w:r>
            </w:hyperlink>
            <w:r>
              <w:t xml:space="preserve"> ГОСТ Р 55374-2012 </w:t>
            </w:r>
            <w:hyperlink w:anchor="P6339">
              <w:r>
                <w:rPr>
                  <w:color w:val="0000FF"/>
                </w:rPr>
                <w:t>&lt;5&gt;</w:t>
              </w:r>
            </w:hyperlink>
            <w:r>
              <w:t xml:space="preserve"> и </w:t>
            </w:r>
            <w:hyperlink r:id="rId1481">
              <w:r>
                <w:rPr>
                  <w:color w:val="0000FF"/>
                </w:rPr>
                <w:t>пункту 6.4.1</w:t>
              </w:r>
            </w:hyperlink>
            <w:r>
              <w:t xml:space="preserve"> ГОСТ 6713-2021 </w:t>
            </w:r>
            <w:hyperlink w:anchor="P6339">
              <w:r>
                <w:rPr>
                  <w:color w:val="0000FF"/>
                </w:rPr>
                <w:t>&lt;5&gt;</w:t>
              </w:r>
            </w:hyperlink>
          </w:p>
        </w:tc>
        <w:tc>
          <w:tcPr>
            <w:tcW w:w="1247" w:type="dxa"/>
            <w:vAlign w:val="center"/>
          </w:tcPr>
          <w:p w:rsidR="00212513" w:rsidRDefault="00212513">
            <w:pPr>
              <w:pStyle w:val="ConsPlusNormal"/>
              <w:jc w:val="center"/>
            </w:pPr>
            <w:r>
              <w:t>Листовой</w:t>
            </w:r>
          </w:p>
        </w:tc>
        <w:tc>
          <w:tcPr>
            <w:tcW w:w="1871" w:type="dxa"/>
            <w:vAlign w:val="center"/>
          </w:tcPr>
          <w:p w:rsidR="00212513" w:rsidRDefault="00212513">
            <w:pPr>
              <w:pStyle w:val="ConsPlusNormal"/>
              <w:jc w:val="center"/>
            </w:pPr>
            <w:r>
              <w:t>10ХСНД-3</w:t>
            </w:r>
          </w:p>
        </w:tc>
        <w:tc>
          <w:tcPr>
            <w:tcW w:w="1644" w:type="dxa"/>
            <w:vAlign w:val="center"/>
          </w:tcPr>
          <w:p w:rsidR="00212513" w:rsidRDefault="00212513">
            <w:pPr>
              <w:pStyle w:val="ConsPlusNormal"/>
              <w:jc w:val="center"/>
            </w:pPr>
            <w:hyperlink r:id="rId1482">
              <w:r>
                <w:rPr>
                  <w:color w:val="0000FF"/>
                </w:rPr>
                <w:t>ГОСТ Р 55374</w:t>
              </w:r>
            </w:hyperlink>
            <w:r>
              <w:t xml:space="preserve"> </w:t>
            </w:r>
            <w:hyperlink r:id="rId1483">
              <w:r>
                <w:rPr>
                  <w:color w:val="0000FF"/>
                </w:rPr>
                <w:t>ГОСТ 6713</w:t>
              </w:r>
            </w:hyperlink>
          </w:p>
        </w:tc>
        <w:tc>
          <w:tcPr>
            <w:tcW w:w="1474" w:type="dxa"/>
            <w:vAlign w:val="center"/>
          </w:tcPr>
          <w:p w:rsidR="00212513" w:rsidRDefault="00212513">
            <w:pPr>
              <w:pStyle w:val="ConsPlusNormal"/>
              <w:jc w:val="center"/>
            </w:pPr>
            <w:r>
              <w:t xml:space="preserve">С полистным контролем по </w:t>
            </w:r>
            <w:hyperlink r:id="rId1484">
              <w:r>
                <w:rPr>
                  <w:color w:val="0000FF"/>
                </w:rPr>
                <w:t>пункту 6.4.1</w:t>
              </w:r>
            </w:hyperlink>
            <w:r>
              <w:t xml:space="preserve"> ГОСТ Р 55374-2012 </w:t>
            </w:r>
            <w:hyperlink w:anchor="P6339">
              <w:r>
                <w:rPr>
                  <w:color w:val="0000FF"/>
                </w:rPr>
                <w:t>&lt;5&gt;</w:t>
              </w:r>
            </w:hyperlink>
            <w:r>
              <w:t xml:space="preserve"> и </w:t>
            </w:r>
            <w:hyperlink r:id="rId1485">
              <w:r>
                <w:rPr>
                  <w:color w:val="0000FF"/>
                </w:rPr>
                <w:t>пункту 6.4.1</w:t>
              </w:r>
            </w:hyperlink>
            <w:r>
              <w:t xml:space="preserve"> ГОСТ 6713-2021 </w:t>
            </w:r>
            <w:hyperlink w:anchor="P6339">
              <w:r>
                <w:rPr>
                  <w:color w:val="0000FF"/>
                </w:rPr>
                <w:t>&lt;5&gt;</w:t>
              </w:r>
            </w:hyperlink>
          </w:p>
        </w:tc>
        <w:tc>
          <w:tcPr>
            <w:tcW w:w="1247" w:type="dxa"/>
            <w:vAlign w:val="center"/>
          </w:tcPr>
          <w:p w:rsidR="00212513" w:rsidRDefault="00212513">
            <w:pPr>
              <w:pStyle w:val="ConsPlusNormal"/>
              <w:jc w:val="center"/>
            </w:pPr>
            <w:r>
              <w:t xml:space="preserve">8 - 50 </w:t>
            </w:r>
            <w:hyperlink w:anchor="P6336">
              <w:r>
                <w:rPr>
                  <w:color w:val="0000FF"/>
                </w:rPr>
                <w:t>&lt;2&gt;</w:t>
              </w:r>
            </w:hyperlink>
          </w:p>
        </w:tc>
      </w:tr>
      <w:tr w:rsidR="00212513">
        <w:tc>
          <w:tcPr>
            <w:tcW w:w="1077" w:type="dxa"/>
            <w:vMerge/>
          </w:tcPr>
          <w:p w:rsidR="00212513" w:rsidRDefault="00212513">
            <w:pPr>
              <w:pStyle w:val="ConsPlusNormal"/>
            </w:pPr>
          </w:p>
        </w:tc>
        <w:tc>
          <w:tcPr>
            <w:tcW w:w="1191" w:type="dxa"/>
            <w:vMerge/>
          </w:tcPr>
          <w:p w:rsidR="00212513" w:rsidRDefault="00212513">
            <w:pPr>
              <w:pStyle w:val="ConsPlusNormal"/>
            </w:pPr>
          </w:p>
        </w:tc>
        <w:tc>
          <w:tcPr>
            <w:tcW w:w="1928" w:type="dxa"/>
            <w:vMerge/>
          </w:tcPr>
          <w:p w:rsidR="00212513" w:rsidRDefault="00212513">
            <w:pPr>
              <w:pStyle w:val="ConsPlusNormal"/>
            </w:pPr>
          </w:p>
        </w:tc>
        <w:tc>
          <w:tcPr>
            <w:tcW w:w="1701" w:type="dxa"/>
            <w:vMerge/>
          </w:tcPr>
          <w:p w:rsidR="00212513" w:rsidRDefault="00212513">
            <w:pPr>
              <w:pStyle w:val="ConsPlusNormal"/>
            </w:pPr>
          </w:p>
        </w:tc>
        <w:tc>
          <w:tcPr>
            <w:tcW w:w="1474" w:type="dxa"/>
            <w:vMerge/>
          </w:tcPr>
          <w:p w:rsidR="00212513" w:rsidRDefault="00212513">
            <w:pPr>
              <w:pStyle w:val="ConsPlusNormal"/>
            </w:pPr>
          </w:p>
        </w:tc>
        <w:tc>
          <w:tcPr>
            <w:tcW w:w="1247" w:type="dxa"/>
            <w:vMerge w:val="restart"/>
            <w:vAlign w:val="center"/>
          </w:tcPr>
          <w:p w:rsidR="00212513" w:rsidRDefault="00212513">
            <w:pPr>
              <w:pStyle w:val="ConsPlusNormal"/>
              <w:jc w:val="center"/>
            </w:pPr>
            <w:r>
              <w:t>Фасонный</w:t>
            </w:r>
          </w:p>
        </w:tc>
        <w:tc>
          <w:tcPr>
            <w:tcW w:w="1871" w:type="dxa"/>
            <w:vAlign w:val="center"/>
          </w:tcPr>
          <w:p w:rsidR="00212513" w:rsidRDefault="00212513">
            <w:pPr>
              <w:pStyle w:val="ConsPlusNormal"/>
              <w:jc w:val="center"/>
            </w:pPr>
            <w:r>
              <w:t xml:space="preserve">15ХСНД-3 </w:t>
            </w:r>
            <w:hyperlink w:anchor="P6337">
              <w:r>
                <w:rPr>
                  <w:color w:val="0000FF"/>
                </w:rPr>
                <w:t>&lt;3&gt;</w:t>
              </w:r>
            </w:hyperlink>
          </w:p>
        </w:tc>
        <w:tc>
          <w:tcPr>
            <w:tcW w:w="1644" w:type="dxa"/>
            <w:tcBorders>
              <w:bottom w:val="nil"/>
            </w:tcBorders>
            <w:vAlign w:val="center"/>
          </w:tcPr>
          <w:p w:rsidR="00212513" w:rsidRDefault="00212513">
            <w:pPr>
              <w:pStyle w:val="ConsPlusNormal"/>
              <w:jc w:val="center"/>
            </w:pPr>
            <w:hyperlink r:id="rId1486">
              <w:r>
                <w:rPr>
                  <w:color w:val="0000FF"/>
                </w:rPr>
                <w:t>ГОСТ Р 55374</w:t>
              </w:r>
            </w:hyperlink>
          </w:p>
          <w:p w:rsidR="00212513" w:rsidRDefault="00212513">
            <w:pPr>
              <w:pStyle w:val="ConsPlusNormal"/>
              <w:jc w:val="center"/>
            </w:pPr>
            <w:hyperlink r:id="rId1487">
              <w:r>
                <w:rPr>
                  <w:color w:val="0000FF"/>
                </w:rPr>
                <w:t>ГОСТ 6713</w:t>
              </w:r>
            </w:hyperlink>
          </w:p>
        </w:tc>
        <w:tc>
          <w:tcPr>
            <w:tcW w:w="1474" w:type="dxa"/>
            <w:vMerge w:val="restart"/>
            <w:vAlign w:val="center"/>
          </w:tcPr>
          <w:p w:rsidR="00212513" w:rsidRDefault="00212513">
            <w:pPr>
              <w:pStyle w:val="ConsPlusNormal"/>
              <w:jc w:val="center"/>
            </w:pPr>
            <w:r>
              <w:t xml:space="preserve">По </w:t>
            </w:r>
            <w:hyperlink r:id="rId1488">
              <w:r>
                <w:rPr>
                  <w:color w:val="0000FF"/>
                </w:rPr>
                <w:t>таблице 6</w:t>
              </w:r>
            </w:hyperlink>
            <w:r>
              <w:t xml:space="preserve"> ГОСТ Р 55374-2012 с проверкой ударной вязкости для 3-й категории</w:t>
            </w:r>
          </w:p>
        </w:tc>
        <w:tc>
          <w:tcPr>
            <w:tcW w:w="1247" w:type="dxa"/>
            <w:vAlign w:val="center"/>
          </w:tcPr>
          <w:p w:rsidR="00212513" w:rsidRDefault="00212513">
            <w:pPr>
              <w:pStyle w:val="ConsPlusNormal"/>
              <w:jc w:val="center"/>
            </w:pPr>
            <w:r>
              <w:t>8 - 32</w:t>
            </w:r>
          </w:p>
        </w:tc>
      </w:tr>
      <w:tr w:rsidR="00212513">
        <w:tc>
          <w:tcPr>
            <w:tcW w:w="1077" w:type="dxa"/>
            <w:vMerge/>
          </w:tcPr>
          <w:p w:rsidR="00212513" w:rsidRDefault="00212513">
            <w:pPr>
              <w:pStyle w:val="ConsPlusNormal"/>
            </w:pPr>
          </w:p>
        </w:tc>
        <w:tc>
          <w:tcPr>
            <w:tcW w:w="1191" w:type="dxa"/>
            <w:vMerge/>
          </w:tcPr>
          <w:p w:rsidR="00212513" w:rsidRDefault="00212513">
            <w:pPr>
              <w:pStyle w:val="ConsPlusNormal"/>
            </w:pPr>
          </w:p>
        </w:tc>
        <w:tc>
          <w:tcPr>
            <w:tcW w:w="1928" w:type="dxa"/>
            <w:vMerge/>
          </w:tcPr>
          <w:p w:rsidR="00212513" w:rsidRDefault="00212513">
            <w:pPr>
              <w:pStyle w:val="ConsPlusNormal"/>
            </w:pPr>
          </w:p>
        </w:tc>
        <w:tc>
          <w:tcPr>
            <w:tcW w:w="1701" w:type="dxa"/>
            <w:vMerge/>
          </w:tcPr>
          <w:p w:rsidR="00212513" w:rsidRDefault="00212513">
            <w:pPr>
              <w:pStyle w:val="ConsPlusNormal"/>
            </w:pPr>
          </w:p>
        </w:tc>
        <w:tc>
          <w:tcPr>
            <w:tcW w:w="1474" w:type="dxa"/>
            <w:vMerge/>
          </w:tcPr>
          <w:p w:rsidR="00212513" w:rsidRDefault="00212513">
            <w:pPr>
              <w:pStyle w:val="ConsPlusNormal"/>
            </w:pPr>
          </w:p>
        </w:tc>
        <w:tc>
          <w:tcPr>
            <w:tcW w:w="1247" w:type="dxa"/>
            <w:vMerge/>
          </w:tcPr>
          <w:p w:rsidR="00212513" w:rsidRDefault="00212513">
            <w:pPr>
              <w:pStyle w:val="ConsPlusNormal"/>
            </w:pPr>
          </w:p>
        </w:tc>
        <w:tc>
          <w:tcPr>
            <w:tcW w:w="1871" w:type="dxa"/>
            <w:vAlign w:val="center"/>
          </w:tcPr>
          <w:p w:rsidR="00212513" w:rsidRDefault="00212513">
            <w:pPr>
              <w:pStyle w:val="ConsPlusNormal"/>
              <w:jc w:val="center"/>
            </w:pPr>
            <w:r>
              <w:t xml:space="preserve">10ХСНД-3 </w:t>
            </w:r>
            <w:hyperlink w:anchor="P6337">
              <w:r>
                <w:rPr>
                  <w:color w:val="0000FF"/>
                </w:rPr>
                <w:t>&lt;3&gt;</w:t>
              </w:r>
            </w:hyperlink>
          </w:p>
        </w:tc>
        <w:tc>
          <w:tcPr>
            <w:tcW w:w="1644" w:type="dxa"/>
            <w:tcBorders>
              <w:top w:val="nil"/>
              <w:bottom w:val="nil"/>
            </w:tcBorders>
            <w:vAlign w:val="center"/>
          </w:tcPr>
          <w:p w:rsidR="00212513" w:rsidRDefault="00212513">
            <w:pPr>
              <w:pStyle w:val="ConsPlusNormal"/>
              <w:jc w:val="center"/>
            </w:pPr>
            <w:hyperlink r:id="rId1489">
              <w:r>
                <w:rPr>
                  <w:color w:val="0000FF"/>
                </w:rPr>
                <w:t>ГОСТ Р 55374</w:t>
              </w:r>
            </w:hyperlink>
          </w:p>
          <w:p w:rsidR="00212513" w:rsidRDefault="00212513">
            <w:pPr>
              <w:pStyle w:val="ConsPlusNormal"/>
              <w:jc w:val="center"/>
            </w:pPr>
            <w:hyperlink r:id="rId1490">
              <w:r>
                <w:rPr>
                  <w:color w:val="0000FF"/>
                </w:rPr>
                <w:t>ГОСТ 6713</w:t>
              </w:r>
            </w:hyperlink>
          </w:p>
        </w:tc>
        <w:tc>
          <w:tcPr>
            <w:tcW w:w="1474" w:type="dxa"/>
            <w:vMerge/>
          </w:tcPr>
          <w:p w:rsidR="00212513" w:rsidRDefault="00212513">
            <w:pPr>
              <w:pStyle w:val="ConsPlusNormal"/>
            </w:pPr>
          </w:p>
        </w:tc>
        <w:tc>
          <w:tcPr>
            <w:tcW w:w="1247" w:type="dxa"/>
            <w:vAlign w:val="center"/>
          </w:tcPr>
          <w:p w:rsidR="00212513" w:rsidRDefault="00212513">
            <w:pPr>
              <w:pStyle w:val="ConsPlusNormal"/>
              <w:jc w:val="center"/>
            </w:pPr>
            <w:r>
              <w:t>8 - 15</w:t>
            </w:r>
          </w:p>
        </w:tc>
      </w:tr>
      <w:tr w:rsidR="00212513">
        <w:tc>
          <w:tcPr>
            <w:tcW w:w="1077" w:type="dxa"/>
            <w:vMerge/>
          </w:tcPr>
          <w:p w:rsidR="00212513" w:rsidRDefault="00212513">
            <w:pPr>
              <w:pStyle w:val="ConsPlusNormal"/>
            </w:pPr>
          </w:p>
        </w:tc>
        <w:tc>
          <w:tcPr>
            <w:tcW w:w="1191" w:type="dxa"/>
            <w:vMerge/>
          </w:tcPr>
          <w:p w:rsidR="00212513" w:rsidRDefault="00212513">
            <w:pPr>
              <w:pStyle w:val="ConsPlusNormal"/>
            </w:pPr>
          </w:p>
        </w:tc>
        <w:tc>
          <w:tcPr>
            <w:tcW w:w="1928" w:type="dxa"/>
            <w:vMerge/>
          </w:tcPr>
          <w:p w:rsidR="00212513" w:rsidRDefault="00212513">
            <w:pPr>
              <w:pStyle w:val="ConsPlusNormal"/>
            </w:pPr>
          </w:p>
        </w:tc>
        <w:tc>
          <w:tcPr>
            <w:tcW w:w="1701" w:type="dxa"/>
            <w:vMerge/>
          </w:tcPr>
          <w:p w:rsidR="00212513" w:rsidRDefault="00212513">
            <w:pPr>
              <w:pStyle w:val="ConsPlusNormal"/>
            </w:pPr>
          </w:p>
        </w:tc>
        <w:tc>
          <w:tcPr>
            <w:tcW w:w="1474" w:type="dxa"/>
            <w:vMerge/>
          </w:tcPr>
          <w:p w:rsidR="00212513" w:rsidRDefault="00212513">
            <w:pPr>
              <w:pStyle w:val="ConsPlusNormal"/>
            </w:pPr>
          </w:p>
        </w:tc>
        <w:tc>
          <w:tcPr>
            <w:tcW w:w="1247" w:type="dxa"/>
            <w:vMerge/>
          </w:tcPr>
          <w:p w:rsidR="00212513" w:rsidRDefault="00212513">
            <w:pPr>
              <w:pStyle w:val="ConsPlusNormal"/>
            </w:pPr>
          </w:p>
        </w:tc>
        <w:tc>
          <w:tcPr>
            <w:tcW w:w="1871" w:type="dxa"/>
            <w:vAlign w:val="center"/>
          </w:tcPr>
          <w:p w:rsidR="00212513" w:rsidRDefault="00212513">
            <w:pPr>
              <w:pStyle w:val="ConsPlusNormal"/>
              <w:jc w:val="center"/>
            </w:pPr>
            <w:r>
              <w:t xml:space="preserve">09Г2СД-15 </w:t>
            </w:r>
            <w:hyperlink w:anchor="P6337">
              <w:r>
                <w:rPr>
                  <w:color w:val="0000FF"/>
                </w:rPr>
                <w:t>&lt;3&gt;</w:t>
              </w:r>
            </w:hyperlink>
          </w:p>
        </w:tc>
        <w:tc>
          <w:tcPr>
            <w:tcW w:w="1644" w:type="dxa"/>
            <w:tcBorders>
              <w:top w:val="nil"/>
            </w:tcBorders>
            <w:vAlign w:val="center"/>
          </w:tcPr>
          <w:p w:rsidR="00212513" w:rsidRDefault="00212513">
            <w:pPr>
              <w:pStyle w:val="ConsPlusNormal"/>
              <w:jc w:val="center"/>
            </w:pPr>
            <w:hyperlink r:id="rId1491">
              <w:r>
                <w:rPr>
                  <w:color w:val="0000FF"/>
                </w:rPr>
                <w:t>ГОСТ 19281</w:t>
              </w:r>
            </w:hyperlink>
          </w:p>
        </w:tc>
        <w:tc>
          <w:tcPr>
            <w:tcW w:w="1474" w:type="dxa"/>
            <w:vMerge/>
          </w:tcPr>
          <w:p w:rsidR="00212513" w:rsidRDefault="00212513">
            <w:pPr>
              <w:pStyle w:val="ConsPlusNormal"/>
            </w:pPr>
          </w:p>
        </w:tc>
        <w:tc>
          <w:tcPr>
            <w:tcW w:w="1247" w:type="dxa"/>
            <w:vAlign w:val="center"/>
          </w:tcPr>
          <w:p w:rsidR="00212513" w:rsidRDefault="00212513">
            <w:pPr>
              <w:pStyle w:val="ConsPlusNormal"/>
              <w:jc w:val="center"/>
            </w:pPr>
            <w:r>
              <w:t>8 - 15</w:t>
            </w:r>
          </w:p>
        </w:tc>
      </w:tr>
      <w:tr w:rsidR="00212513">
        <w:tc>
          <w:tcPr>
            <w:tcW w:w="14854" w:type="dxa"/>
            <w:gridSpan w:val="10"/>
          </w:tcPr>
          <w:p w:rsidR="00212513" w:rsidRDefault="00212513">
            <w:pPr>
              <w:pStyle w:val="ConsPlusNormal"/>
              <w:ind w:firstLine="540"/>
              <w:jc w:val="both"/>
            </w:pPr>
            <w:bookmarkStart w:id="268" w:name="P6335"/>
            <w:bookmarkEnd w:id="268"/>
            <w:r>
              <w:t xml:space="preserve">&lt;1&gt; В плите балластного корыта железнодорожных мостов с монтажными соединениями на высокопрочных болтах обычного и северного А исполнений допускается использовать листовой прокат толщиной не менее 12 мм из двухслойной коррозионно-стойкой стали с основным слоем из низколегированной стали и плакирующим слоем из коррозионно-стойкой стали по </w:t>
            </w:r>
            <w:hyperlink r:id="rId1492">
              <w:r>
                <w:rPr>
                  <w:color w:val="0000FF"/>
                </w:rPr>
                <w:t>ГОСТ 10885</w:t>
              </w:r>
            </w:hyperlink>
            <w:r>
              <w:t>.</w:t>
            </w:r>
          </w:p>
          <w:p w:rsidR="00212513" w:rsidRDefault="00212513">
            <w:pPr>
              <w:pStyle w:val="ConsPlusNormal"/>
              <w:ind w:firstLine="540"/>
              <w:jc w:val="both"/>
            </w:pPr>
            <w:bookmarkStart w:id="269" w:name="P6336"/>
            <w:bookmarkEnd w:id="269"/>
            <w:r>
              <w:t>&lt;2&gt; Для сварных стыковых швов, выполняемых в вертикальном положении, толщину листового проката следует принимать в пределах 12 - 32 мм. При этом листовой прокат следует принимать не ниже 2-й категории.</w:t>
            </w:r>
          </w:p>
          <w:p w:rsidR="00212513" w:rsidRDefault="00212513">
            <w:pPr>
              <w:pStyle w:val="ConsPlusNormal"/>
              <w:ind w:firstLine="540"/>
              <w:jc w:val="both"/>
            </w:pPr>
            <w:bookmarkStart w:id="270" w:name="P6337"/>
            <w:bookmarkEnd w:id="270"/>
            <w:r>
              <w:t xml:space="preserve">&lt;3&gt; В конструкциях автодорожных, городских и пешеходных мостов любого типа исполнения допускается применять прокатные двутавры, тавры и швеллеры без термообработки при условии выполнения дополнительных требований по ударной вязкости; применение указанных профилей в железнодорожных мостах без термообработки, соответствующей 2-й и 3-й категориям, не разрешается. В мостах всех назначений допускается применять уголки по </w:t>
            </w:r>
            <w:hyperlink r:id="rId1493">
              <w:r>
                <w:rPr>
                  <w:color w:val="0000FF"/>
                </w:rPr>
                <w:t>ГОСТ 8509</w:t>
              </w:r>
            </w:hyperlink>
            <w:r>
              <w:t xml:space="preserve"> и </w:t>
            </w:r>
            <w:hyperlink r:id="rId1494">
              <w:r>
                <w:rPr>
                  <w:color w:val="0000FF"/>
                </w:rPr>
                <w:t>ГОСТ 8510</w:t>
              </w:r>
            </w:hyperlink>
            <w:r>
              <w:t xml:space="preserve">, двутавры, сортовой прокат (кроме полосового) и трубы без термообработки - прокат категории 1 по </w:t>
            </w:r>
            <w:hyperlink r:id="rId1495">
              <w:r>
                <w:rPr>
                  <w:color w:val="0000FF"/>
                </w:rPr>
                <w:t>ГОСТ Р 55374</w:t>
              </w:r>
            </w:hyperlink>
            <w:r>
              <w:t xml:space="preserve">, </w:t>
            </w:r>
            <w:hyperlink r:id="rId1496">
              <w:r>
                <w:rPr>
                  <w:color w:val="0000FF"/>
                </w:rPr>
                <w:t>ГОСТ 6713</w:t>
              </w:r>
            </w:hyperlink>
            <w:r>
              <w:t xml:space="preserve"> при условии выполнения дополнительных требований по ударной вязкости.</w:t>
            </w:r>
          </w:p>
          <w:p w:rsidR="00212513" w:rsidRDefault="00212513">
            <w:pPr>
              <w:pStyle w:val="ConsPlusNormal"/>
              <w:ind w:firstLine="540"/>
              <w:jc w:val="both"/>
            </w:pPr>
            <w:bookmarkStart w:id="271" w:name="P6338"/>
            <w:bookmarkEnd w:id="271"/>
            <w:r>
              <w:t>&lt;4&gt; Требование полистного испытания следует предъявлять при расчетной минимальной температуре наружного воздуха минус 45 °C и ниже.</w:t>
            </w:r>
          </w:p>
          <w:p w:rsidR="00212513" w:rsidRDefault="00212513">
            <w:pPr>
              <w:pStyle w:val="ConsPlusNormal"/>
              <w:ind w:firstLine="540"/>
              <w:jc w:val="both"/>
            </w:pPr>
            <w:bookmarkStart w:id="272" w:name="P6339"/>
            <w:bookmarkEnd w:id="272"/>
            <w:r>
              <w:t>&lt;5&gt; В конструкциях автодорожных, городских и пешеходных мостов требование полистного испытания следует предъявлять при расчетной минимальной температуре наружного воздуха минус 60 °C и ниже, в конструкциях железнодорожных мостов - минус 55 °C и ниже.</w:t>
            </w:r>
          </w:p>
          <w:p w:rsidR="00212513" w:rsidRDefault="00212513">
            <w:pPr>
              <w:pStyle w:val="ConsPlusNormal"/>
              <w:ind w:firstLine="540"/>
              <w:jc w:val="both"/>
            </w:pPr>
            <w:bookmarkStart w:id="273" w:name="P6340"/>
            <w:bookmarkEnd w:id="273"/>
            <w:r>
              <w:t>&lt;6&gt; Применение монтажных соединений на сварке в железнодорожных мостах следует ограничивать сваркой стыков покрывного листа стальной ортотропной плиты балластного корыта и примыкающих к ней роспусков других элементов и допускается выполнять только при наличии технологического регламента по сварке и указания в проекте об обязательном научно-техническом сопровождении в процессе сварочных работ. Применение монтажных соединений на сварке для других конструктивных элементов не допускается.</w:t>
            </w:r>
          </w:p>
          <w:p w:rsidR="00212513" w:rsidRDefault="00212513">
            <w:pPr>
              <w:pStyle w:val="ConsPlusNormal"/>
              <w:ind w:firstLine="540"/>
              <w:jc w:val="both"/>
            </w:pPr>
            <w:bookmarkStart w:id="274" w:name="P6341"/>
            <w:bookmarkEnd w:id="274"/>
            <w:r>
              <w:t>&lt;7&gt; В заводских и монтажных соединениях листового проката из сталей марок 16Д, 345-12Г2СБД категории 2 применение сварных стыковых швов, выполненных в вертикальном положении, не допускается.</w:t>
            </w:r>
          </w:p>
          <w:p w:rsidR="00212513" w:rsidRDefault="00212513">
            <w:pPr>
              <w:pStyle w:val="ConsPlusNormal"/>
              <w:ind w:firstLine="540"/>
              <w:jc w:val="both"/>
            </w:pPr>
            <w:bookmarkStart w:id="275" w:name="P6342"/>
            <w:bookmarkEnd w:id="275"/>
            <w:r>
              <w:t>&lt;9&gt; Сталь марки 345-12Г2СБД категории 2 допускается применять в автодорожных, городских и пешеходных мостах.</w:t>
            </w:r>
          </w:p>
          <w:p w:rsidR="00212513" w:rsidRDefault="00212513">
            <w:pPr>
              <w:pStyle w:val="ConsPlusNormal"/>
            </w:pPr>
          </w:p>
          <w:p w:rsidR="00212513" w:rsidRDefault="00212513">
            <w:pPr>
              <w:pStyle w:val="ConsPlusNormal"/>
              <w:ind w:firstLine="540"/>
              <w:jc w:val="both"/>
            </w:pPr>
            <w:r>
              <w:t>Примечания</w:t>
            </w:r>
          </w:p>
          <w:p w:rsidR="00212513" w:rsidRDefault="00212513">
            <w:pPr>
              <w:pStyle w:val="ConsPlusNormal"/>
              <w:ind w:firstLine="540"/>
              <w:jc w:val="both"/>
            </w:pPr>
            <w:r>
              <w:t>1 Допускается применение проката марок 15ХСНДА и 10ХСНДА категории 3 в нормализованном состоянии для заводских и монтажных сварных и болтовых соединений автодорожных мостов, путепроводов и эстакад обычного и северного А исполнений, при этом для северного А исполнения нормативное значение ударной вязкости (KCU) такого проката при минус 60 °C (KCU</w:t>
            </w:r>
            <w:r>
              <w:rPr>
                <w:vertAlign w:val="superscript"/>
              </w:rPr>
              <w:t>-60</w:t>
            </w:r>
            <w:r>
              <w:t>) должно быть не менее 120 Дж/см</w:t>
            </w:r>
            <w:r>
              <w:rPr>
                <w:vertAlign w:val="superscript"/>
              </w:rPr>
              <w:t>2</w:t>
            </w:r>
            <w:r>
              <w:t>.</w:t>
            </w:r>
          </w:p>
          <w:p w:rsidR="00212513" w:rsidRDefault="00212513">
            <w:pPr>
              <w:pStyle w:val="ConsPlusNormal"/>
              <w:ind w:firstLine="540"/>
              <w:jc w:val="both"/>
            </w:pPr>
            <w:r>
              <w:t xml:space="preserve">2 Допускается для несущих конструкций наплавных мостов применение проката толщиной 4 - 5 мм по </w:t>
            </w:r>
            <w:hyperlink r:id="rId1497">
              <w:r>
                <w:rPr>
                  <w:color w:val="0000FF"/>
                </w:rPr>
                <w:t>ГОСТ 6713</w:t>
              </w:r>
            </w:hyperlink>
            <w:r>
              <w:t xml:space="preserve">, </w:t>
            </w:r>
            <w:hyperlink r:id="rId1498">
              <w:r>
                <w:rPr>
                  <w:color w:val="0000FF"/>
                </w:rPr>
                <w:t>ГОСТ Р 55374</w:t>
              </w:r>
            </w:hyperlink>
            <w:r>
              <w:t>.</w:t>
            </w:r>
          </w:p>
          <w:p w:rsidR="00212513" w:rsidRDefault="00212513">
            <w:pPr>
              <w:pStyle w:val="ConsPlusNormal"/>
              <w:ind w:firstLine="540"/>
              <w:jc w:val="both"/>
            </w:pPr>
            <w:r>
              <w:lastRenderedPageBreak/>
              <w:t>3 Допускается для некоторых элементов основных несущих конструкций пролетных строений прокат толщиной 6 - 7 мм по указанию проектной организации.</w:t>
            </w:r>
          </w:p>
          <w:p w:rsidR="00212513" w:rsidRDefault="00212513">
            <w:pPr>
              <w:pStyle w:val="ConsPlusNormal"/>
              <w:ind w:firstLine="540"/>
              <w:jc w:val="both"/>
            </w:pPr>
            <w:r>
              <w:t xml:space="preserve">4 Допускается применение листового проката толщиной до 50 мм включительно, изготовленного по </w:t>
            </w:r>
            <w:hyperlink r:id="rId1499">
              <w:r>
                <w:rPr>
                  <w:color w:val="0000FF"/>
                </w:rPr>
                <w:t>ГОСТ 6713</w:t>
              </w:r>
            </w:hyperlink>
            <w:r>
              <w:t>, в части следующих состояний поставки:</w:t>
            </w:r>
          </w:p>
          <w:p w:rsidR="00212513" w:rsidRDefault="00212513">
            <w:pPr>
              <w:pStyle w:val="ConsPlusNormal"/>
              <w:ind w:firstLine="540"/>
              <w:jc w:val="both"/>
            </w:pPr>
            <w:r>
              <w:t>а) в горячекатаном (без термической обработки) состоянии;</w:t>
            </w:r>
          </w:p>
          <w:p w:rsidR="00212513" w:rsidRDefault="00212513">
            <w:pPr>
              <w:pStyle w:val="ConsPlusNormal"/>
              <w:ind w:firstLine="540"/>
              <w:jc w:val="both"/>
            </w:pPr>
            <w:r>
              <w:t>б) в термически обработанном состоянии после: нормализации; закалки с отпуском;</w:t>
            </w:r>
          </w:p>
          <w:p w:rsidR="00212513" w:rsidRDefault="00212513">
            <w:pPr>
              <w:pStyle w:val="ConsPlusNormal"/>
              <w:ind w:firstLine="540"/>
              <w:jc w:val="both"/>
            </w:pPr>
            <w:r>
              <w:t>в) в термомеханически обработанном состоянии после контролируемой прокатки с ускоренным охлаждением для листового проката из стали 10ХСНД, 15ХСНД.</w:t>
            </w:r>
          </w:p>
        </w:tc>
      </w:tr>
    </w:tbl>
    <w:p w:rsidR="00212513" w:rsidRDefault="00212513">
      <w:pPr>
        <w:pStyle w:val="ConsPlusNormal"/>
        <w:sectPr w:rsidR="00212513">
          <w:pgSz w:w="16838" w:h="11905" w:orient="landscape"/>
          <w:pgMar w:top="1701" w:right="397" w:bottom="850" w:left="397" w:header="0" w:footer="0" w:gutter="0"/>
          <w:cols w:space="720"/>
          <w:titlePg/>
        </w:sectPr>
      </w:pPr>
    </w:p>
    <w:p w:rsidR="00212513" w:rsidRDefault="00212513">
      <w:pPr>
        <w:pStyle w:val="ConsPlusNormal"/>
      </w:pPr>
    </w:p>
    <w:p w:rsidR="00212513" w:rsidRDefault="00212513">
      <w:pPr>
        <w:pStyle w:val="ConsPlusTitle"/>
        <w:ind w:firstLine="540"/>
        <w:jc w:val="both"/>
        <w:outlineLvl w:val="2"/>
      </w:pPr>
      <w:r>
        <w:t>Расчетные характеристики материалов и соединений</w:t>
      </w:r>
    </w:p>
    <w:p w:rsidR="00212513" w:rsidRDefault="00212513">
      <w:pPr>
        <w:pStyle w:val="ConsPlusNormal"/>
        <w:ind w:firstLine="540"/>
        <w:jc w:val="both"/>
      </w:pPr>
    </w:p>
    <w:p w:rsidR="00212513" w:rsidRDefault="00212513">
      <w:pPr>
        <w:pStyle w:val="ConsPlusNormal"/>
        <w:ind w:firstLine="540"/>
        <w:jc w:val="both"/>
      </w:pPr>
      <w:bookmarkStart w:id="276" w:name="P6355"/>
      <w:bookmarkEnd w:id="276"/>
      <w:r>
        <w:t xml:space="preserve">8.8 Расчетные сопротивления проката для различных видов напряженных состояний необходимо определять по формулам, приведенным в таблице 8.3. Значения коэффициентов надежности по материалу </w:t>
      </w:r>
      <w:r>
        <w:rPr>
          <w:noProof/>
          <w:position w:val="-8"/>
        </w:rPr>
        <w:drawing>
          <wp:inline distT="0" distB="0" distL="0" distR="0">
            <wp:extent cx="209550" cy="251460"/>
            <wp:effectExtent l="0" t="0" r="0" b="0"/>
            <wp:docPr id="9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при вычислении расчетных сопротивлений следует принимать по </w:t>
      </w:r>
      <w:hyperlink w:anchor="P6382">
        <w:r>
          <w:rPr>
            <w:color w:val="0000FF"/>
          </w:rPr>
          <w:t>таблице 8.4</w:t>
        </w:r>
      </w:hyperlink>
      <w:r>
        <w:t>.</w:t>
      </w:r>
    </w:p>
    <w:p w:rsidR="00212513" w:rsidRDefault="00212513">
      <w:pPr>
        <w:pStyle w:val="ConsPlusNormal"/>
        <w:ind w:firstLine="540"/>
        <w:jc w:val="both"/>
      </w:pPr>
    </w:p>
    <w:p w:rsidR="00212513" w:rsidRDefault="00212513">
      <w:pPr>
        <w:pStyle w:val="ConsPlusNormal"/>
        <w:jc w:val="right"/>
      </w:pPr>
      <w:bookmarkStart w:id="277" w:name="P6357"/>
      <w:bookmarkEnd w:id="277"/>
      <w:r>
        <w:t>Таблица 8.3</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1"/>
        <w:gridCol w:w="6009"/>
      </w:tblGrid>
      <w:tr w:rsidR="00212513">
        <w:tc>
          <w:tcPr>
            <w:tcW w:w="3061" w:type="dxa"/>
            <w:vAlign w:val="center"/>
          </w:tcPr>
          <w:p w:rsidR="00212513" w:rsidRDefault="00212513">
            <w:pPr>
              <w:pStyle w:val="ConsPlusNormal"/>
              <w:jc w:val="center"/>
            </w:pPr>
            <w:r>
              <w:t>Напряженное состояние</w:t>
            </w:r>
          </w:p>
        </w:tc>
        <w:tc>
          <w:tcPr>
            <w:tcW w:w="6009" w:type="dxa"/>
            <w:vAlign w:val="center"/>
          </w:tcPr>
          <w:p w:rsidR="00212513" w:rsidRDefault="00212513">
            <w:pPr>
              <w:pStyle w:val="ConsPlusNormal"/>
              <w:jc w:val="center"/>
            </w:pPr>
            <w:r>
              <w:t>Расчетные сопротивления проката</w:t>
            </w:r>
          </w:p>
        </w:tc>
      </w:tr>
      <w:tr w:rsidR="00212513">
        <w:tblPrEx>
          <w:tblBorders>
            <w:insideH w:val="nil"/>
          </w:tblBorders>
        </w:tblPrEx>
        <w:tc>
          <w:tcPr>
            <w:tcW w:w="3061" w:type="dxa"/>
            <w:tcBorders>
              <w:bottom w:val="nil"/>
            </w:tcBorders>
          </w:tcPr>
          <w:p w:rsidR="00212513" w:rsidRDefault="00212513">
            <w:pPr>
              <w:pStyle w:val="ConsPlusNormal"/>
            </w:pPr>
            <w:r>
              <w:t>Растяжение, сжатие и изгиб:</w:t>
            </w:r>
          </w:p>
        </w:tc>
        <w:tc>
          <w:tcPr>
            <w:tcW w:w="6009" w:type="dxa"/>
            <w:tcBorders>
              <w:bottom w:val="nil"/>
            </w:tcBorders>
          </w:tcPr>
          <w:p w:rsidR="00212513" w:rsidRDefault="00212513">
            <w:pPr>
              <w:pStyle w:val="ConsPlusNormal"/>
              <w:jc w:val="center"/>
            </w:pPr>
          </w:p>
        </w:tc>
      </w:tr>
      <w:tr w:rsidR="00212513">
        <w:tblPrEx>
          <w:tblBorders>
            <w:insideH w:val="nil"/>
          </w:tblBorders>
        </w:tblPrEx>
        <w:tc>
          <w:tcPr>
            <w:tcW w:w="3061" w:type="dxa"/>
            <w:tcBorders>
              <w:top w:val="nil"/>
              <w:bottom w:val="nil"/>
            </w:tcBorders>
          </w:tcPr>
          <w:p w:rsidR="00212513" w:rsidRDefault="00212513">
            <w:pPr>
              <w:pStyle w:val="ConsPlusNormal"/>
              <w:ind w:firstLine="283"/>
            </w:pPr>
            <w:r>
              <w:t>по пределу текучести</w:t>
            </w:r>
          </w:p>
        </w:tc>
        <w:tc>
          <w:tcPr>
            <w:tcW w:w="6009" w:type="dxa"/>
            <w:tcBorders>
              <w:top w:val="nil"/>
              <w:bottom w:val="nil"/>
            </w:tcBorders>
          </w:tcPr>
          <w:p w:rsidR="00212513" w:rsidRDefault="00212513">
            <w:pPr>
              <w:pStyle w:val="ConsPlusNormal"/>
              <w:jc w:val="center"/>
            </w:pPr>
            <w:r>
              <w:rPr>
                <w:noProof/>
                <w:position w:val="-9"/>
              </w:rPr>
              <w:drawing>
                <wp:inline distT="0" distB="0" distL="0" distR="0">
                  <wp:extent cx="880110" cy="262255"/>
                  <wp:effectExtent l="0" t="0" r="0" b="0"/>
                  <wp:docPr id="9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1" cstate="print">
                            <a:extLst>
                              <a:ext uri="{28A0092B-C50C-407E-A947-70E740481C1C}">
                                <a14:useLocalDpi xmlns:a14="http://schemas.microsoft.com/office/drawing/2010/main" val="0"/>
                              </a:ext>
                            </a:extLst>
                          </a:blip>
                          <a:srcRect/>
                          <a:stretch>
                            <a:fillRect/>
                          </a:stretch>
                        </pic:blipFill>
                        <pic:spPr bwMode="auto">
                          <a:xfrm>
                            <a:off x="0" y="0"/>
                            <a:ext cx="880110" cy="262255"/>
                          </a:xfrm>
                          <a:prstGeom prst="rect">
                            <a:avLst/>
                          </a:prstGeom>
                          <a:noFill/>
                          <a:ln>
                            <a:noFill/>
                          </a:ln>
                        </pic:spPr>
                      </pic:pic>
                    </a:graphicData>
                  </a:graphic>
                </wp:inline>
              </w:drawing>
            </w:r>
          </w:p>
        </w:tc>
      </w:tr>
      <w:tr w:rsidR="00212513">
        <w:tblPrEx>
          <w:tblBorders>
            <w:insideH w:val="nil"/>
          </w:tblBorders>
        </w:tblPrEx>
        <w:tc>
          <w:tcPr>
            <w:tcW w:w="3061" w:type="dxa"/>
            <w:tcBorders>
              <w:top w:val="nil"/>
            </w:tcBorders>
          </w:tcPr>
          <w:p w:rsidR="00212513" w:rsidRDefault="00212513">
            <w:pPr>
              <w:pStyle w:val="ConsPlusNormal"/>
              <w:ind w:firstLine="283"/>
            </w:pPr>
            <w:r>
              <w:t>по временному сопротивлению</w:t>
            </w:r>
          </w:p>
        </w:tc>
        <w:tc>
          <w:tcPr>
            <w:tcW w:w="6009" w:type="dxa"/>
            <w:tcBorders>
              <w:top w:val="nil"/>
            </w:tcBorders>
          </w:tcPr>
          <w:p w:rsidR="00212513" w:rsidRDefault="00212513">
            <w:pPr>
              <w:pStyle w:val="ConsPlusNormal"/>
              <w:jc w:val="center"/>
            </w:pPr>
            <w:r>
              <w:rPr>
                <w:noProof/>
                <w:position w:val="-8"/>
              </w:rPr>
              <w:drawing>
                <wp:inline distT="0" distB="0" distL="0" distR="0">
                  <wp:extent cx="869950" cy="251460"/>
                  <wp:effectExtent l="0" t="0" r="0" b="0"/>
                  <wp:docPr id="9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2" cstate="print">
                            <a:extLst>
                              <a:ext uri="{28A0092B-C50C-407E-A947-70E740481C1C}">
                                <a14:useLocalDpi xmlns:a14="http://schemas.microsoft.com/office/drawing/2010/main" val="0"/>
                              </a:ext>
                            </a:extLst>
                          </a:blip>
                          <a:srcRect/>
                          <a:stretch>
                            <a:fillRect/>
                          </a:stretch>
                        </pic:blipFill>
                        <pic:spPr bwMode="auto">
                          <a:xfrm>
                            <a:off x="0" y="0"/>
                            <a:ext cx="869950" cy="251460"/>
                          </a:xfrm>
                          <a:prstGeom prst="rect">
                            <a:avLst/>
                          </a:prstGeom>
                          <a:noFill/>
                          <a:ln>
                            <a:noFill/>
                          </a:ln>
                        </pic:spPr>
                      </pic:pic>
                    </a:graphicData>
                  </a:graphic>
                </wp:inline>
              </w:drawing>
            </w:r>
          </w:p>
        </w:tc>
      </w:tr>
      <w:tr w:rsidR="00212513">
        <w:tc>
          <w:tcPr>
            <w:tcW w:w="3061" w:type="dxa"/>
          </w:tcPr>
          <w:p w:rsidR="00212513" w:rsidRDefault="00212513">
            <w:pPr>
              <w:pStyle w:val="ConsPlusNormal"/>
            </w:pPr>
            <w:r>
              <w:t>Сдвиг (срез)</w:t>
            </w:r>
          </w:p>
        </w:tc>
        <w:tc>
          <w:tcPr>
            <w:tcW w:w="6009" w:type="dxa"/>
          </w:tcPr>
          <w:p w:rsidR="00212513" w:rsidRDefault="00212513">
            <w:pPr>
              <w:pStyle w:val="ConsPlusNormal"/>
              <w:jc w:val="center"/>
            </w:pPr>
            <w:r>
              <w:rPr>
                <w:noProof/>
                <w:position w:val="-9"/>
              </w:rPr>
              <w:drawing>
                <wp:inline distT="0" distB="0" distL="0" distR="0">
                  <wp:extent cx="1184275" cy="262255"/>
                  <wp:effectExtent l="0" t="0" r="0" b="0"/>
                  <wp:docPr id="9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3" cstate="print">
                            <a:extLst>
                              <a:ext uri="{28A0092B-C50C-407E-A947-70E740481C1C}">
                                <a14:useLocalDpi xmlns:a14="http://schemas.microsoft.com/office/drawing/2010/main" val="0"/>
                              </a:ext>
                            </a:extLst>
                          </a:blip>
                          <a:srcRect/>
                          <a:stretch>
                            <a:fillRect/>
                          </a:stretch>
                        </pic:blipFill>
                        <pic:spPr bwMode="auto">
                          <a:xfrm>
                            <a:off x="0" y="0"/>
                            <a:ext cx="1184275" cy="262255"/>
                          </a:xfrm>
                          <a:prstGeom prst="rect">
                            <a:avLst/>
                          </a:prstGeom>
                          <a:noFill/>
                          <a:ln>
                            <a:noFill/>
                          </a:ln>
                        </pic:spPr>
                      </pic:pic>
                    </a:graphicData>
                  </a:graphic>
                </wp:inline>
              </w:drawing>
            </w:r>
          </w:p>
        </w:tc>
      </w:tr>
      <w:tr w:rsidR="00212513">
        <w:tc>
          <w:tcPr>
            <w:tcW w:w="3061" w:type="dxa"/>
          </w:tcPr>
          <w:p w:rsidR="00212513" w:rsidRDefault="00212513">
            <w:pPr>
              <w:pStyle w:val="ConsPlusNormal"/>
            </w:pPr>
            <w:r>
              <w:t>Смятие торцевой поверхности при наличии пригонки</w:t>
            </w:r>
          </w:p>
        </w:tc>
        <w:tc>
          <w:tcPr>
            <w:tcW w:w="6009" w:type="dxa"/>
          </w:tcPr>
          <w:p w:rsidR="00212513" w:rsidRDefault="00212513">
            <w:pPr>
              <w:pStyle w:val="ConsPlusNormal"/>
              <w:jc w:val="center"/>
            </w:pPr>
            <w:r>
              <w:rPr>
                <w:noProof/>
                <w:position w:val="-9"/>
              </w:rPr>
              <w:drawing>
                <wp:inline distT="0" distB="0" distL="0" distR="0">
                  <wp:extent cx="869950" cy="262255"/>
                  <wp:effectExtent l="0" t="0" r="0" b="0"/>
                  <wp:docPr id="9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869950" cy="262255"/>
                          </a:xfrm>
                          <a:prstGeom prst="rect">
                            <a:avLst/>
                          </a:prstGeom>
                          <a:noFill/>
                          <a:ln>
                            <a:noFill/>
                          </a:ln>
                        </pic:spPr>
                      </pic:pic>
                    </a:graphicData>
                  </a:graphic>
                </wp:inline>
              </w:drawing>
            </w:r>
          </w:p>
        </w:tc>
      </w:tr>
      <w:tr w:rsidR="00212513">
        <w:tc>
          <w:tcPr>
            <w:tcW w:w="3061" w:type="dxa"/>
          </w:tcPr>
          <w:p w:rsidR="00212513" w:rsidRDefault="00212513">
            <w:pPr>
              <w:pStyle w:val="ConsPlusNormal"/>
            </w:pPr>
            <w:r>
              <w:t>Смятие местное в цилиндрических шарнирах (цапфах) при плотном касании</w:t>
            </w:r>
          </w:p>
        </w:tc>
        <w:tc>
          <w:tcPr>
            <w:tcW w:w="6009" w:type="dxa"/>
          </w:tcPr>
          <w:p w:rsidR="00212513" w:rsidRDefault="00212513">
            <w:pPr>
              <w:pStyle w:val="ConsPlusNormal"/>
              <w:jc w:val="center"/>
            </w:pPr>
            <w:r>
              <w:rPr>
                <w:noProof/>
                <w:position w:val="-9"/>
              </w:rPr>
              <w:drawing>
                <wp:inline distT="0" distB="0" distL="0" distR="0">
                  <wp:extent cx="1121410" cy="262255"/>
                  <wp:effectExtent l="0" t="0" r="0" b="0"/>
                  <wp:docPr id="9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5" cstate="print">
                            <a:extLst>
                              <a:ext uri="{28A0092B-C50C-407E-A947-70E740481C1C}">
                                <a14:useLocalDpi xmlns:a14="http://schemas.microsoft.com/office/drawing/2010/main" val="0"/>
                              </a:ext>
                            </a:extLst>
                          </a:blip>
                          <a:srcRect/>
                          <a:stretch>
                            <a:fillRect/>
                          </a:stretch>
                        </pic:blipFill>
                        <pic:spPr bwMode="auto">
                          <a:xfrm>
                            <a:off x="0" y="0"/>
                            <a:ext cx="1121410" cy="262255"/>
                          </a:xfrm>
                          <a:prstGeom prst="rect">
                            <a:avLst/>
                          </a:prstGeom>
                          <a:noFill/>
                          <a:ln>
                            <a:noFill/>
                          </a:ln>
                        </pic:spPr>
                      </pic:pic>
                    </a:graphicData>
                  </a:graphic>
                </wp:inline>
              </w:drawing>
            </w:r>
          </w:p>
        </w:tc>
      </w:tr>
      <w:tr w:rsidR="00212513">
        <w:tblPrEx>
          <w:tblBorders>
            <w:insideH w:val="nil"/>
          </w:tblBorders>
        </w:tblPrEx>
        <w:tc>
          <w:tcPr>
            <w:tcW w:w="3061" w:type="dxa"/>
            <w:tcBorders>
              <w:bottom w:val="nil"/>
            </w:tcBorders>
          </w:tcPr>
          <w:p w:rsidR="00212513" w:rsidRDefault="00212513">
            <w:pPr>
              <w:pStyle w:val="ConsPlusNormal"/>
            </w:pPr>
            <w:r>
              <w:t>Диаметральное сжатие катков при свободном касании в конструкциях с ограниченной подвижностью:</w:t>
            </w:r>
          </w:p>
        </w:tc>
        <w:tc>
          <w:tcPr>
            <w:tcW w:w="6009" w:type="dxa"/>
            <w:tcBorders>
              <w:bottom w:val="nil"/>
            </w:tcBorders>
          </w:tcPr>
          <w:p w:rsidR="00212513" w:rsidRDefault="00212513">
            <w:pPr>
              <w:pStyle w:val="ConsPlusNormal"/>
              <w:jc w:val="center"/>
            </w:pPr>
          </w:p>
        </w:tc>
      </w:tr>
      <w:tr w:rsidR="00212513">
        <w:tblPrEx>
          <w:tblBorders>
            <w:insideH w:val="nil"/>
          </w:tblBorders>
        </w:tblPrEx>
        <w:tc>
          <w:tcPr>
            <w:tcW w:w="3061" w:type="dxa"/>
            <w:tcBorders>
              <w:top w:val="nil"/>
              <w:bottom w:val="nil"/>
            </w:tcBorders>
          </w:tcPr>
          <w:p w:rsidR="00212513" w:rsidRDefault="00212513">
            <w:pPr>
              <w:pStyle w:val="ConsPlusNormal"/>
              <w:ind w:firstLine="283"/>
            </w:pPr>
            <w:r>
              <w:t>при </w:t>
            </w:r>
            <w:r>
              <w:rPr>
                <w:noProof/>
                <w:position w:val="-8"/>
              </w:rPr>
              <w:drawing>
                <wp:inline distT="0" distB="0" distL="0" distR="0">
                  <wp:extent cx="1089660" cy="251460"/>
                  <wp:effectExtent l="0" t="0" r="0" b="0"/>
                  <wp:docPr id="9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6" cstate="print">
                            <a:extLst>
                              <a:ext uri="{28A0092B-C50C-407E-A947-70E740481C1C}">
                                <a14:useLocalDpi xmlns:a14="http://schemas.microsoft.com/office/drawing/2010/main" val="0"/>
                              </a:ext>
                            </a:extLst>
                          </a:blip>
                          <a:srcRect/>
                          <a:stretch>
                            <a:fillRect/>
                          </a:stretch>
                        </pic:blipFill>
                        <pic:spPr bwMode="auto">
                          <a:xfrm>
                            <a:off x="0" y="0"/>
                            <a:ext cx="1089660" cy="251460"/>
                          </a:xfrm>
                          <a:prstGeom prst="rect">
                            <a:avLst/>
                          </a:prstGeom>
                          <a:noFill/>
                          <a:ln>
                            <a:noFill/>
                          </a:ln>
                        </pic:spPr>
                      </pic:pic>
                    </a:graphicData>
                  </a:graphic>
                </wp:inline>
              </w:drawing>
            </w:r>
          </w:p>
        </w:tc>
        <w:tc>
          <w:tcPr>
            <w:tcW w:w="6009" w:type="dxa"/>
            <w:tcBorders>
              <w:top w:val="nil"/>
              <w:bottom w:val="nil"/>
            </w:tcBorders>
          </w:tcPr>
          <w:p w:rsidR="00212513" w:rsidRDefault="00212513">
            <w:pPr>
              <w:pStyle w:val="ConsPlusNormal"/>
              <w:jc w:val="center"/>
            </w:pPr>
            <w:r>
              <w:rPr>
                <w:noProof/>
                <w:position w:val="-8"/>
              </w:rPr>
              <w:drawing>
                <wp:inline distT="0" distB="0" distL="0" distR="0">
                  <wp:extent cx="1310005" cy="251460"/>
                  <wp:effectExtent l="0" t="0" r="0" b="0"/>
                  <wp:docPr id="9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7" cstate="print">
                            <a:extLst>
                              <a:ext uri="{28A0092B-C50C-407E-A947-70E740481C1C}">
                                <a14:useLocalDpi xmlns:a14="http://schemas.microsoft.com/office/drawing/2010/main" val="0"/>
                              </a:ext>
                            </a:extLst>
                          </a:blip>
                          <a:srcRect/>
                          <a:stretch>
                            <a:fillRect/>
                          </a:stretch>
                        </pic:blipFill>
                        <pic:spPr bwMode="auto">
                          <a:xfrm>
                            <a:off x="0" y="0"/>
                            <a:ext cx="1310005" cy="251460"/>
                          </a:xfrm>
                          <a:prstGeom prst="rect">
                            <a:avLst/>
                          </a:prstGeom>
                          <a:noFill/>
                          <a:ln>
                            <a:noFill/>
                          </a:ln>
                        </pic:spPr>
                      </pic:pic>
                    </a:graphicData>
                  </a:graphic>
                </wp:inline>
              </w:drawing>
            </w:r>
          </w:p>
        </w:tc>
      </w:tr>
      <w:tr w:rsidR="00212513">
        <w:tblPrEx>
          <w:tblBorders>
            <w:insideH w:val="nil"/>
          </w:tblBorders>
        </w:tblPrEx>
        <w:tc>
          <w:tcPr>
            <w:tcW w:w="3061" w:type="dxa"/>
            <w:tcBorders>
              <w:top w:val="nil"/>
            </w:tcBorders>
          </w:tcPr>
          <w:p w:rsidR="00212513" w:rsidRDefault="00212513">
            <w:pPr>
              <w:pStyle w:val="ConsPlusNormal"/>
              <w:ind w:firstLine="283"/>
            </w:pPr>
            <w:r>
              <w:t>при </w:t>
            </w:r>
            <w:r>
              <w:rPr>
                <w:noProof/>
                <w:position w:val="-8"/>
              </w:rPr>
              <w:drawing>
                <wp:inline distT="0" distB="0" distL="0" distR="0">
                  <wp:extent cx="1089660" cy="251460"/>
                  <wp:effectExtent l="0" t="0" r="0" b="0"/>
                  <wp:docPr id="9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8" cstate="print">
                            <a:extLst>
                              <a:ext uri="{28A0092B-C50C-407E-A947-70E740481C1C}">
                                <a14:useLocalDpi xmlns:a14="http://schemas.microsoft.com/office/drawing/2010/main" val="0"/>
                              </a:ext>
                            </a:extLst>
                          </a:blip>
                          <a:srcRect/>
                          <a:stretch>
                            <a:fillRect/>
                          </a:stretch>
                        </pic:blipFill>
                        <pic:spPr bwMode="auto">
                          <a:xfrm>
                            <a:off x="0" y="0"/>
                            <a:ext cx="1089660" cy="251460"/>
                          </a:xfrm>
                          <a:prstGeom prst="rect">
                            <a:avLst/>
                          </a:prstGeom>
                          <a:noFill/>
                          <a:ln>
                            <a:noFill/>
                          </a:ln>
                        </pic:spPr>
                      </pic:pic>
                    </a:graphicData>
                  </a:graphic>
                </wp:inline>
              </w:drawing>
            </w:r>
          </w:p>
        </w:tc>
        <w:tc>
          <w:tcPr>
            <w:tcW w:w="6009" w:type="dxa"/>
            <w:tcBorders>
              <w:top w:val="nil"/>
            </w:tcBorders>
          </w:tcPr>
          <w:p w:rsidR="00212513" w:rsidRDefault="00212513">
            <w:pPr>
              <w:pStyle w:val="ConsPlusNormal"/>
              <w:jc w:val="center"/>
            </w:pPr>
            <w:r>
              <w:rPr>
                <w:noProof/>
                <w:position w:val="-17"/>
              </w:rPr>
              <w:drawing>
                <wp:inline distT="0" distB="0" distL="0" distR="0">
                  <wp:extent cx="3195955" cy="367030"/>
                  <wp:effectExtent l="0" t="0" r="0" b="0"/>
                  <wp:docPr id="9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3195955" cy="367030"/>
                          </a:xfrm>
                          <a:prstGeom prst="rect">
                            <a:avLst/>
                          </a:prstGeom>
                          <a:noFill/>
                          <a:ln>
                            <a:noFill/>
                          </a:ln>
                        </pic:spPr>
                      </pic:pic>
                    </a:graphicData>
                  </a:graphic>
                </wp:inline>
              </w:drawing>
            </w:r>
          </w:p>
        </w:tc>
      </w:tr>
      <w:tr w:rsidR="00212513">
        <w:tc>
          <w:tcPr>
            <w:tcW w:w="3061" w:type="dxa"/>
          </w:tcPr>
          <w:p w:rsidR="00212513" w:rsidRDefault="00212513">
            <w:pPr>
              <w:pStyle w:val="ConsPlusNormal"/>
            </w:pPr>
            <w:r>
              <w:t xml:space="preserve">Растяжение в направлении толщины проката </w:t>
            </w:r>
            <w:r>
              <w:rPr>
                <w:i/>
              </w:rPr>
              <w:t>t</w:t>
            </w:r>
            <w:r>
              <w:t xml:space="preserve"> при </w:t>
            </w:r>
            <w:r>
              <w:rPr>
                <w:i/>
              </w:rPr>
              <w:t>t</w:t>
            </w:r>
            <w:r>
              <w:t xml:space="preserve"> до 60 мм</w:t>
            </w:r>
          </w:p>
        </w:tc>
        <w:tc>
          <w:tcPr>
            <w:tcW w:w="6009" w:type="dxa"/>
          </w:tcPr>
          <w:p w:rsidR="00212513" w:rsidRDefault="00212513">
            <w:pPr>
              <w:pStyle w:val="ConsPlusNormal"/>
              <w:jc w:val="center"/>
            </w:pPr>
            <w:r>
              <w:rPr>
                <w:noProof/>
                <w:position w:val="-8"/>
              </w:rPr>
              <w:drawing>
                <wp:inline distT="0" distB="0" distL="0" distR="0">
                  <wp:extent cx="1121410" cy="251460"/>
                  <wp:effectExtent l="0" t="0" r="0" b="0"/>
                  <wp:docPr id="9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0" cstate="print">
                            <a:extLst>
                              <a:ext uri="{28A0092B-C50C-407E-A947-70E740481C1C}">
                                <a14:useLocalDpi xmlns:a14="http://schemas.microsoft.com/office/drawing/2010/main" val="0"/>
                              </a:ext>
                            </a:extLst>
                          </a:blip>
                          <a:srcRect/>
                          <a:stretch>
                            <a:fillRect/>
                          </a:stretch>
                        </pic:blipFill>
                        <pic:spPr bwMode="auto">
                          <a:xfrm>
                            <a:off x="0" y="0"/>
                            <a:ext cx="1121410" cy="251460"/>
                          </a:xfrm>
                          <a:prstGeom prst="rect">
                            <a:avLst/>
                          </a:prstGeom>
                          <a:noFill/>
                          <a:ln>
                            <a:noFill/>
                          </a:ln>
                        </pic:spPr>
                      </pic:pic>
                    </a:graphicData>
                  </a:graphic>
                </wp:inline>
              </w:drawing>
            </w:r>
          </w:p>
        </w:tc>
      </w:tr>
    </w:tbl>
    <w:p w:rsidR="00212513" w:rsidRDefault="00212513">
      <w:pPr>
        <w:pStyle w:val="ConsPlusNormal"/>
        <w:ind w:firstLine="540"/>
        <w:jc w:val="both"/>
      </w:pPr>
    </w:p>
    <w:p w:rsidR="00212513" w:rsidRDefault="00212513">
      <w:pPr>
        <w:pStyle w:val="ConsPlusNormal"/>
        <w:jc w:val="right"/>
      </w:pPr>
      <w:bookmarkStart w:id="278" w:name="P6382"/>
      <w:bookmarkEnd w:id="278"/>
      <w:r>
        <w:t>Таблица 8.4</w:t>
      </w:r>
    </w:p>
    <w:p w:rsidR="00212513" w:rsidRDefault="00212513">
      <w:pPr>
        <w:pStyle w:val="ConsPlusNormal"/>
        <w:jc w:val="center"/>
      </w:pPr>
    </w:p>
    <w:p w:rsidR="00212513" w:rsidRDefault="00212513">
      <w:pPr>
        <w:pStyle w:val="ConsPlusNormal"/>
        <w:jc w:val="center"/>
      </w:pPr>
      <w:r>
        <w:t xml:space="preserve">(таблица 8.4 в ред. </w:t>
      </w:r>
      <w:hyperlink r:id="rId1511">
        <w:r>
          <w:rPr>
            <w:color w:val="0000FF"/>
          </w:rPr>
          <w:t>Изменения N 1</w:t>
        </w:r>
      </w:hyperlink>
      <w:r>
        <w:t>, утв. Приказом</w:t>
      </w:r>
    </w:p>
    <w:p w:rsidR="00212513" w:rsidRDefault="00212513">
      <w:pPr>
        <w:pStyle w:val="ConsPlusNormal"/>
        <w:jc w:val="center"/>
      </w:pPr>
      <w:r>
        <w:t>Минстроя России от 03.12.2016 N 879/пр)</w:t>
      </w:r>
    </w:p>
    <w:p w:rsidR="00212513" w:rsidRDefault="0021251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123"/>
        <w:gridCol w:w="2948"/>
      </w:tblGrid>
      <w:tr w:rsidR="00212513">
        <w:tc>
          <w:tcPr>
            <w:tcW w:w="6123" w:type="dxa"/>
            <w:vAlign w:val="center"/>
          </w:tcPr>
          <w:p w:rsidR="00212513" w:rsidRDefault="00212513">
            <w:pPr>
              <w:pStyle w:val="ConsPlusNormal"/>
              <w:jc w:val="center"/>
            </w:pPr>
            <w:r>
              <w:t>Обозначение нормативного документа (марка стали, или/и значение предела текучести, или/и вид проката)</w:t>
            </w:r>
          </w:p>
        </w:tc>
        <w:tc>
          <w:tcPr>
            <w:tcW w:w="2948" w:type="dxa"/>
            <w:vAlign w:val="center"/>
          </w:tcPr>
          <w:p w:rsidR="00212513" w:rsidRDefault="00212513">
            <w:pPr>
              <w:pStyle w:val="ConsPlusNormal"/>
              <w:jc w:val="center"/>
            </w:pPr>
            <w:r>
              <w:t>Коэффициент надежности по материалу </w:t>
            </w:r>
            <w:r>
              <w:rPr>
                <w:noProof/>
                <w:position w:val="-8"/>
              </w:rPr>
              <w:drawing>
                <wp:inline distT="0" distB="0" distL="0" distR="0">
                  <wp:extent cx="209550" cy="251460"/>
                  <wp:effectExtent l="0" t="0" r="0" b="0"/>
                  <wp:docPr id="9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r>
      <w:tr w:rsidR="00212513">
        <w:tc>
          <w:tcPr>
            <w:tcW w:w="6123" w:type="dxa"/>
          </w:tcPr>
          <w:p w:rsidR="00212513" w:rsidRDefault="00212513">
            <w:pPr>
              <w:pStyle w:val="ConsPlusNormal"/>
            </w:pPr>
            <w:hyperlink r:id="rId1513">
              <w:r>
                <w:rPr>
                  <w:color w:val="0000FF"/>
                </w:rPr>
                <w:t>ГОСТ 6713</w:t>
              </w:r>
            </w:hyperlink>
            <w:r>
              <w:t>(16Д)</w:t>
            </w:r>
          </w:p>
        </w:tc>
        <w:tc>
          <w:tcPr>
            <w:tcW w:w="2948" w:type="dxa"/>
            <w:vAlign w:val="center"/>
          </w:tcPr>
          <w:p w:rsidR="00212513" w:rsidRDefault="00212513">
            <w:pPr>
              <w:pStyle w:val="ConsPlusNormal"/>
              <w:jc w:val="center"/>
            </w:pPr>
            <w:r>
              <w:t>1,09</w:t>
            </w:r>
          </w:p>
        </w:tc>
      </w:tr>
      <w:tr w:rsidR="00212513">
        <w:tc>
          <w:tcPr>
            <w:tcW w:w="6123" w:type="dxa"/>
          </w:tcPr>
          <w:p w:rsidR="00212513" w:rsidRDefault="00212513">
            <w:pPr>
              <w:pStyle w:val="ConsPlusNormal"/>
            </w:pPr>
            <w:hyperlink r:id="rId1514">
              <w:r>
                <w:rPr>
                  <w:color w:val="0000FF"/>
                </w:rPr>
                <w:t>ГОСТ 535</w:t>
              </w:r>
            </w:hyperlink>
            <w:r>
              <w:t xml:space="preserve"> и </w:t>
            </w:r>
            <w:hyperlink r:id="rId1515">
              <w:r>
                <w:rPr>
                  <w:color w:val="0000FF"/>
                </w:rPr>
                <w:t>ГОСТ 14637</w:t>
              </w:r>
            </w:hyperlink>
            <w:r>
              <w:t xml:space="preserve"> (Ст3сп, Ст3пс, Ст3кп)</w:t>
            </w:r>
          </w:p>
          <w:p w:rsidR="00212513" w:rsidRDefault="00212513">
            <w:pPr>
              <w:pStyle w:val="ConsPlusNormal"/>
            </w:pPr>
            <w:hyperlink r:id="rId1516">
              <w:r>
                <w:rPr>
                  <w:color w:val="0000FF"/>
                </w:rPr>
                <w:t>ГОСТ 19281</w:t>
              </w:r>
            </w:hyperlink>
            <w:r>
              <w:t xml:space="preserve"> (до 380 МПа)</w:t>
            </w:r>
          </w:p>
        </w:tc>
        <w:tc>
          <w:tcPr>
            <w:tcW w:w="2948" w:type="dxa"/>
            <w:vAlign w:val="center"/>
          </w:tcPr>
          <w:p w:rsidR="00212513" w:rsidRDefault="00212513">
            <w:pPr>
              <w:pStyle w:val="ConsPlusNormal"/>
              <w:jc w:val="center"/>
            </w:pPr>
            <w:r>
              <w:t>1,05</w:t>
            </w:r>
          </w:p>
        </w:tc>
      </w:tr>
      <w:tr w:rsidR="00212513">
        <w:tc>
          <w:tcPr>
            <w:tcW w:w="6123" w:type="dxa"/>
          </w:tcPr>
          <w:p w:rsidR="00212513" w:rsidRDefault="00212513">
            <w:pPr>
              <w:pStyle w:val="ConsPlusNormal"/>
            </w:pPr>
            <w:hyperlink r:id="rId1517">
              <w:r>
                <w:rPr>
                  <w:color w:val="0000FF"/>
                </w:rPr>
                <w:t>ГОСТ 19281</w:t>
              </w:r>
            </w:hyperlink>
            <w:r>
              <w:t xml:space="preserve"> (св. 380 МПа)</w:t>
            </w:r>
          </w:p>
        </w:tc>
        <w:tc>
          <w:tcPr>
            <w:tcW w:w="2948" w:type="dxa"/>
            <w:vAlign w:val="center"/>
          </w:tcPr>
          <w:p w:rsidR="00212513" w:rsidRDefault="00212513">
            <w:pPr>
              <w:pStyle w:val="ConsPlusNormal"/>
              <w:jc w:val="center"/>
            </w:pPr>
            <w:r>
              <w:t>1,10</w:t>
            </w:r>
          </w:p>
        </w:tc>
      </w:tr>
      <w:tr w:rsidR="00212513">
        <w:tblPrEx>
          <w:tblBorders>
            <w:insideH w:val="nil"/>
          </w:tblBorders>
        </w:tblPrEx>
        <w:tc>
          <w:tcPr>
            <w:tcW w:w="6123" w:type="dxa"/>
            <w:tcBorders>
              <w:bottom w:val="nil"/>
            </w:tcBorders>
          </w:tcPr>
          <w:p w:rsidR="00212513" w:rsidRDefault="00212513">
            <w:pPr>
              <w:pStyle w:val="ConsPlusNormal"/>
            </w:pPr>
            <w:hyperlink r:id="rId1518">
              <w:r>
                <w:rPr>
                  <w:color w:val="0000FF"/>
                </w:rPr>
                <w:t>ГОСТ Р 55374</w:t>
              </w:r>
            </w:hyperlink>
            <w:r>
              <w:t xml:space="preserve">, </w:t>
            </w:r>
            <w:hyperlink r:id="rId1519">
              <w:r>
                <w:rPr>
                  <w:color w:val="0000FF"/>
                </w:rPr>
                <w:t>ГОСТ 6713</w:t>
              </w:r>
            </w:hyperlink>
            <w:r>
              <w:t xml:space="preserve"> (15ХСНД; 09Г2СД)</w:t>
            </w:r>
          </w:p>
          <w:p w:rsidR="00212513" w:rsidRDefault="00212513">
            <w:pPr>
              <w:pStyle w:val="ConsPlusNormal"/>
            </w:pPr>
            <w:hyperlink r:id="rId1520">
              <w:r>
                <w:rPr>
                  <w:color w:val="0000FF"/>
                </w:rPr>
                <w:t>ГОСТ Р 55374</w:t>
              </w:r>
            </w:hyperlink>
            <w:r>
              <w:t xml:space="preserve">; </w:t>
            </w:r>
            <w:hyperlink w:anchor="P19080">
              <w:r>
                <w:rPr>
                  <w:color w:val="0000FF"/>
                </w:rPr>
                <w:t>[7]</w:t>
              </w:r>
            </w:hyperlink>
            <w:r>
              <w:t xml:space="preserve"> (345-14ХГНДЦ)</w:t>
            </w:r>
          </w:p>
          <w:p w:rsidR="00212513" w:rsidRDefault="00212513">
            <w:pPr>
              <w:pStyle w:val="ConsPlusNormal"/>
            </w:pPr>
            <w:hyperlink w:anchor="P19080">
              <w:r>
                <w:rPr>
                  <w:color w:val="0000FF"/>
                </w:rPr>
                <w:t>[7]</w:t>
              </w:r>
            </w:hyperlink>
            <w:r>
              <w:t xml:space="preserve"> (15ХСНДА)</w:t>
            </w:r>
          </w:p>
        </w:tc>
        <w:tc>
          <w:tcPr>
            <w:tcW w:w="2948" w:type="dxa"/>
            <w:tcBorders>
              <w:bottom w:val="nil"/>
            </w:tcBorders>
            <w:vAlign w:val="center"/>
          </w:tcPr>
          <w:p w:rsidR="00212513" w:rsidRDefault="00212513">
            <w:pPr>
              <w:pStyle w:val="ConsPlusNormal"/>
              <w:jc w:val="center"/>
            </w:pPr>
            <w:r>
              <w:t>1,165</w:t>
            </w:r>
          </w:p>
        </w:tc>
      </w:tr>
      <w:tr w:rsidR="00212513">
        <w:tblPrEx>
          <w:tblBorders>
            <w:insideH w:val="nil"/>
          </w:tblBorders>
        </w:tblPrEx>
        <w:tc>
          <w:tcPr>
            <w:tcW w:w="9071" w:type="dxa"/>
            <w:gridSpan w:val="2"/>
            <w:tcBorders>
              <w:top w:val="nil"/>
            </w:tcBorders>
          </w:tcPr>
          <w:p w:rsidR="00212513" w:rsidRDefault="00212513">
            <w:pPr>
              <w:pStyle w:val="ConsPlusNormal"/>
              <w:jc w:val="both"/>
            </w:pPr>
            <w:r>
              <w:t xml:space="preserve">(в ред. </w:t>
            </w:r>
            <w:hyperlink r:id="rId1521">
              <w:r>
                <w:rPr>
                  <w:color w:val="0000FF"/>
                </w:rPr>
                <w:t>Изменения N 3</w:t>
              </w:r>
            </w:hyperlink>
            <w:r>
              <w:t>, утв. Приказом Минстроя России от 29.12.2020 N 891/пр)</w:t>
            </w:r>
          </w:p>
        </w:tc>
      </w:tr>
      <w:tr w:rsidR="00212513">
        <w:tblPrEx>
          <w:tblBorders>
            <w:insideH w:val="nil"/>
          </w:tblBorders>
        </w:tblPrEx>
        <w:tc>
          <w:tcPr>
            <w:tcW w:w="6123" w:type="dxa"/>
            <w:tcBorders>
              <w:bottom w:val="nil"/>
            </w:tcBorders>
          </w:tcPr>
          <w:p w:rsidR="00212513" w:rsidRDefault="00212513">
            <w:pPr>
              <w:pStyle w:val="ConsPlusNormal"/>
            </w:pPr>
            <w:hyperlink r:id="rId1522">
              <w:r>
                <w:rPr>
                  <w:color w:val="0000FF"/>
                </w:rPr>
                <w:t>ГОСТ Р 55374</w:t>
              </w:r>
            </w:hyperlink>
            <w:r>
              <w:t xml:space="preserve">, </w:t>
            </w:r>
            <w:hyperlink r:id="rId1523">
              <w:r>
                <w:rPr>
                  <w:color w:val="0000FF"/>
                </w:rPr>
                <w:t>ГОСТ 6713</w:t>
              </w:r>
            </w:hyperlink>
            <w:r>
              <w:t xml:space="preserve"> (10ХСНД)</w:t>
            </w:r>
          </w:p>
          <w:p w:rsidR="00212513" w:rsidRDefault="00212513">
            <w:pPr>
              <w:pStyle w:val="ConsPlusNormal"/>
            </w:pPr>
            <w:hyperlink r:id="rId1524">
              <w:r>
                <w:rPr>
                  <w:color w:val="0000FF"/>
                </w:rPr>
                <w:t>ГОСТ 6713</w:t>
              </w:r>
            </w:hyperlink>
            <w:r>
              <w:t xml:space="preserve">, </w:t>
            </w:r>
            <w:hyperlink w:anchor="P19080">
              <w:r>
                <w:rPr>
                  <w:color w:val="0000FF"/>
                </w:rPr>
                <w:t>[7]</w:t>
              </w:r>
            </w:hyperlink>
            <w:r>
              <w:t xml:space="preserve"> (390-14ХГНДЦ)</w:t>
            </w:r>
          </w:p>
          <w:p w:rsidR="00212513" w:rsidRDefault="00212513">
            <w:pPr>
              <w:pStyle w:val="ConsPlusNormal"/>
            </w:pPr>
            <w:hyperlink w:anchor="P19080">
              <w:r>
                <w:rPr>
                  <w:color w:val="0000FF"/>
                </w:rPr>
                <w:t>[7]</w:t>
              </w:r>
            </w:hyperlink>
            <w:r>
              <w:t xml:space="preserve"> (10ХСНДА)</w:t>
            </w:r>
          </w:p>
        </w:tc>
        <w:tc>
          <w:tcPr>
            <w:tcW w:w="2948" w:type="dxa"/>
            <w:tcBorders>
              <w:bottom w:val="nil"/>
            </w:tcBorders>
            <w:vAlign w:val="center"/>
          </w:tcPr>
          <w:p w:rsidR="00212513" w:rsidRDefault="00212513">
            <w:pPr>
              <w:pStyle w:val="ConsPlusNormal"/>
              <w:jc w:val="center"/>
            </w:pPr>
            <w:r>
              <w:t>1,125</w:t>
            </w:r>
          </w:p>
        </w:tc>
      </w:tr>
      <w:tr w:rsidR="00212513">
        <w:tblPrEx>
          <w:tblBorders>
            <w:insideH w:val="nil"/>
          </w:tblBorders>
        </w:tblPrEx>
        <w:tc>
          <w:tcPr>
            <w:tcW w:w="9071" w:type="dxa"/>
            <w:gridSpan w:val="2"/>
            <w:tcBorders>
              <w:top w:val="nil"/>
            </w:tcBorders>
          </w:tcPr>
          <w:p w:rsidR="00212513" w:rsidRDefault="00212513">
            <w:pPr>
              <w:pStyle w:val="ConsPlusNormal"/>
              <w:jc w:val="both"/>
            </w:pPr>
            <w:r>
              <w:t xml:space="preserve">(в ред. </w:t>
            </w:r>
            <w:hyperlink r:id="rId1525">
              <w:r>
                <w:rPr>
                  <w:color w:val="0000FF"/>
                </w:rPr>
                <w:t>Изменения N 3</w:t>
              </w:r>
            </w:hyperlink>
            <w:r>
              <w:t xml:space="preserve">, утв. Приказом Минстроя России от 29.12.2020 N 891/пр, </w:t>
            </w:r>
            <w:hyperlink r:id="rId1526">
              <w:r>
                <w:rPr>
                  <w:color w:val="0000FF"/>
                </w:rPr>
                <w:t>Изменения N 4</w:t>
              </w:r>
            </w:hyperlink>
            <w:r>
              <w:t>, утв. Приказом Минстроя России от 30.05.2024 N 361/пр)</w:t>
            </w:r>
          </w:p>
        </w:tc>
      </w:tr>
      <w:tr w:rsidR="00212513">
        <w:tblPrEx>
          <w:tblBorders>
            <w:insideH w:val="nil"/>
          </w:tblBorders>
        </w:tblPrEx>
        <w:tc>
          <w:tcPr>
            <w:tcW w:w="6123" w:type="dxa"/>
            <w:tcBorders>
              <w:bottom w:val="nil"/>
            </w:tcBorders>
          </w:tcPr>
          <w:p w:rsidR="00212513" w:rsidRDefault="00212513">
            <w:pPr>
              <w:pStyle w:val="ConsPlusNormal"/>
            </w:pPr>
            <w:hyperlink w:anchor="P19080">
              <w:r>
                <w:rPr>
                  <w:color w:val="0000FF"/>
                </w:rPr>
                <w:t>[7]</w:t>
              </w:r>
            </w:hyperlink>
            <w:r>
              <w:t xml:space="preserve"> (345-12Г2СБД)</w:t>
            </w:r>
          </w:p>
        </w:tc>
        <w:tc>
          <w:tcPr>
            <w:tcW w:w="2948" w:type="dxa"/>
            <w:tcBorders>
              <w:bottom w:val="nil"/>
            </w:tcBorders>
          </w:tcPr>
          <w:p w:rsidR="00212513" w:rsidRDefault="00212513">
            <w:pPr>
              <w:pStyle w:val="ConsPlusNormal"/>
              <w:jc w:val="center"/>
            </w:pPr>
            <w:r>
              <w:t>1,165</w:t>
            </w:r>
          </w:p>
        </w:tc>
      </w:tr>
      <w:tr w:rsidR="00212513">
        <w:tblPrEx>
          <w:tblBorders>
            <w:insideH w:val="nil"/>
          </w:tblBorders>
        </w:tblPrEx>
        <w:tc>
          <w:tcPr>
            <w:tcW w:w="9071" w:type="dxa"/>
            <w:gridSpan w:val="2"/>
            <w:tcBorders>
              <w:top w:val="nil"/>
            </w:tcBorders>
          </w:tcPr>
          <w:p w:rsidR="00212513" w:rsidRDefault="00212513">
            <w:pPr>
              <w:pStyle w:val="ConsPlusNormal"/>
              <w:jc w:val="both"/>
            </w:pPr>
            <w:r>
              <w:t xml:space="preserve">(введено </w:t>
            </w:r>
            <w:hyperlink r:id="rId1527">
              <w:r>
                <w:rPr>
                  <w:color w:val="0000FF"/>
                </w:rPr>
                <w:t>Изменением N 4</w:t>
              </w:r>
            </w:hyperlink>
            <w:r>
              <w:t>, утв. Приказом Минстроя России от 30.05.2024 N 361/пр)</w:t>
            </w:r>
          </w:p>
        </w:tc>
      </w:tr>
    </w:tbl>
    <w:p w:rsidR="00212513" w:rsidRDefault="00212513">
      <w:pPr>
        <w:pStyle w:val="ConsPlusNormal"/>
        <w:ind w:firstLine="540"/>
        <w:jc w:val="both"/>
      </w:pPr>
    </w:p>
    <w:p w:rsidR="00212513" w:rsidRDefault="00212513">
      <w:pPr>
        <w:pStyle w:val="ConsPlusNormal"/>
        <w:ind w:firstLine="540"/>
        <w:jc w:val="both"/>
      </w:pPr>
      <w:bookmarkStart w:id="279" w:name="P6410"/>
      <w:bookmarkEnd w:id="279"/>
      <w:r>
        <w:t xml:space="preserve">8.9 Нормативные и расчетные сопротивления проката из сталей, приведенных в </w:t>
      </w:r>
      <w:hyperlink w:anchor="P6128">
        <w:r>
          <w:rPr>
            <w:color w:val="0000FF"/>
          </w:rPr>
          <w:t>таблице 8.2</w:t>
        </w:r>
      </w:hyperlink>
      <w:r>
        <w:t>, следует принимать по таблице 8.5.</w:t>
      </w:r>
    </w:p>
    <w:p w:rsidR="00212513" w:rsidRDefault="00212513">
      <w:pPr>
        <w:pStyle w:val="ConsPlusNormal"/>
        <w:ind w:firstLine="540"/>
        <w:jc w:val="both"/>
      </w:pPr>
    </w:p>
    <w:p w:rsidR="00212513" w:rsidRDefault="00212513">
      <w:pPr>
        <w:pStyle w:val="ConsPlusNormal"/>
        <w:jc w:val="right"/>
      </w:pPr>
      <w:bookmarkStart w:id="280" w:name="P6412"/>
      <w:bookmarkEnd w:id="280"/>
      <w:r>
        <w:t>Таблица 8.5</w:t>
      </w:r>
    </w:p>
    <w:p w:rsidR="00212513" w:rsidRDefault="00212513">
      <w:pPr>
        <w:pStyle w:val="ConsPlusNormal"/>
        <w:jc w:val="center"/>
      </w:pPr>
    </w:p>
    <w:p w:rsidR="00212513" w:rsidRDefault="00212513">
      <w:pPr>
        <w:pStyle w:val="ConsPlusNormal"/>
        <w:jc w:val="center"/>
      </w:pPr>
      <w:r>
        <w:t xml:space="preserve">(таблица 8.5 в ред. </w:t>
      </w:r>
      <w:hyperlink r:id="rId1528">
        <w:r>
          <w:rPr>
            <w:color w:val="0000FF"/>
          </w:rPr>
          <w:t>Изменения N 4</w:t>
        </w:r>
      </w:hyperlink>
      <w:r>
        <w:t>, утв. Приказом</w:t>
      </w:r>
    </w:p>
    <w:p w:rsidR="00212513" w:rsidRDefault="00212513">
      <w:pPr>
        <w:pStyle w:val="ConsPlusNormal"/>
        <w:jc w:val="center"/>
      </w:pPr>
      <w:r>
        <w:t>Минстроя России от 30.05.2024 N 361/пр)</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04"/>
        <w:gridCol w:w="1531"/>
        <w:gridCol w:w="1304"/>
        <w:gridCol w:w="1191"/>
        <w:gridCol w:w="1020"/>
        <w:gridCol w:w="850"/>
        <w:gridCol w:w="1020"/>
        <w:gridCol w:w="850"/>
      </w:tblGrid>
      <w:tr w:rsidR="00212513">
        <w:tc>
          <w:tcPr>
            <w:tcW w:w="1304" w:type="dxa"/>
            <w:vMerge w:val="restart"/>
            <w:tcBorders>
              <w:top w:val="single" w:sz="4" w:space="0" w:color="auto"/>
              <w:bottom w:val="single" w:sz="4" w:space="0" w:color="auto"/>
            </w:tcBorders>
            <w:vAlign w:val="center"/>
          </w:tcPr>
          <w:p w:rsidR="00212513" w:rsidRDefault="00212513">
            <w:pPr>
              <w:pStyle w:val="ConsPlusNormal"/>
              <w:jc w:val="center"/>
            </w:pPr>
            <w:r>
              <w:t>Марка стали</w:t>
            </w:r>
          </w:p>
        </w:tc>
        <w:tc>
          <w:tcPr>
            <w:tcW w:w="1531" w:type="dxa"/>
            <w:vMerge w:val="restart"/>
            <w:tcBorders>
              <w:top w:val="single" w:sz="4" w:space="0" w:color="auto"/>
              <w:bottom w:val="single" w:sz="4" w:space="0" w:color="auto"/>
            </w:tcBorders>
            <w:vAlign w:val="center"/>
          </w:tcPr>
          <w:p w:rsidR="00212513" w:rsidRDefault="00212513">
            <w:pPr>
              <w:pStyle w:val="ConsPlusNormal"/>
              <w:jc w:val="center"/>
            </w:pPr>
            <w:r>
              <w:t>Обозначение нормативного документа</w:t>
            </w:r>
          </w:p>
        </w:tc>
        <w:tc>
          <w:tcPr>
            <w:tcW w:w="1304" w:type="dxa"/>
            <w:vMerge w:val="restart"/>
            <w:tcBorders>
              <w:top w:val="single" w:sz="4" w:space="0" w:color="auto"/>
              <w:bottom w:val="single" w:sz="4" w:space="0" w:color="auto"/>
            </w:tcBorders>
            <w:vAlign w:val="center"/>
          </w:tcPr>
          <w:p w:rsidR="00212513" w:rsidRDefault="00212513">
            <w:pPr>
              <w:pStyle w:val="ConsPlusNormal"/>
              <w:jc w:val="center"/>
            </w:pPr>
            <w:r>
              <w:t>Прокат</w:t>
            </w:r>
          </w:p>
        </w:tc>
        <w:tc>
          <w:tcPr>
            <w:tcW w:w="1191" w:type="dxa"/>
            <w:vMerge w:val="restart"/>
            <w:tcBorders>
              <w:top w:val="single" w:sz="4" w:space="0" w:color="auto"/>
              <w:bottom w:val="single" w:sz="4" w:space="0" w:color="auto"/>
            </w:tcBorders>
            <w:vAlign w:val="center"/>
          </w:tcPr>
          <w:p w:rsidR="00212513" w:rsidRDefault="00212513">
            <w:pPr>
              <w:pStyle w:val="ConsPlusNormal"/>
              <w:jc w:val="center"/>
            </w:pPr>
            <w:r>
              <w:t xml:space="preserve">Толщина проката </w:t>
            </w:r>
            <w:hyperlink w:anchor="P6535">
              <w:r>
                <w:rPr>
                  <w:color w:val="0000FF"/>
                </w:rPr>
                <w:t>&lt;1&gt;</w:t>
              </w:r>
            </w:hyperlink>
            <w:r>
              <w:t>, мм</w:t>
            </w:r>
          </w:p>
        </w:tc>
        <w:tc>
          <w:tcPr>
            <w:tcW w:w="1870" w:type="dxa"/>
            <w:gridSpan w:val="2"/>
            <w:tcBorders>
              <w:top w:val="single" w:sz="4" w:space="0" w:color="auto"/>
              <w:bottom w:val="single" w:sz="4" w:space="0" w:color="auto"/>
            </w:tcBorders>
            <w:vAlign w:val="center"/>
          </w:tcPr>
          <w:p w:rsidR="00212513" w:rsidRDefault="00212513">
            <w:pPr>
              <w:pStyle w:val="ConsPlusNormal"/>
              <w:jc w:val="center"/>
            </w:pPr>
            <w:r>
              <w:t xml:space="preserve">Нормативное сопротивление </w:t>
            </w:r>
            <w:hyperlink w:anchor="P6536">
              <w:r>
                <w:rPr>
                  <w:color w:val="0000FF"/>
                </w:rPr>
                <w:t>&lt;2&gt;</w:t>
              </w:r>
            </w:hyperlink>
            <w:r>
              <w:t>, МПа</w:t>
            </w:r>
          </w:p>
        </w:tc>
        <w:tc>
          <w:tcPr>
            <w:tcW w:w="1870" w:type="dxa"/>
            <w:gridSpan w:val="2"/>
            <w:tcBorders>
              <w:top w:val="single" w:sz="4" w:space="0" w:color="auto"/>
              <w:bottom w:val="single" w:sz="4" w:space="0" w:color="auto"/>
            </w:tcBorders>
            <w:vAlign w:val="center"/>
          </w:tcPr>
          <w:p w:rsidR="00212513" w:rsidRDefault="00212513">
            <w:pPr>
              <w:pStyle w:val="ConsPlusNormal"/>
              <w:jc w:val="center"/>
            </w:pPr>
            <w:r>
              <w:t xml:space="preserve">Расчетное сопротивление </w:t>
            </w:r>
            <w:hyperlink w:anchor="P6537">
              <w:r>
                <w:rPr>
                  <w:color w:val="0000FF"/>
                </w:rPr>
                <w:t>&lt;3&gt;</w:t>
              </w:r>
            </w:hyperlink>
            <w:r>
              <w:t>, МПа</w:t>
            </w:r>
          </w:p>
        </w:tc>
      </w:tr>
      <w:tr w:rsidR="00212513">
        <w:tc>
          <w:tcPr>
            <w:tcW w:w="1304" w:type="dxa"/>
            <w:vMerge/>
            <w:tcBorders>
              <w:top w:val="single" w:sz="4" w:space="0" w:color="auto"/>
              <w:bottom w:val="single" w:sz="4" w:space="0" w:color="auto"/>
            </w:tcBorders>
          </w:tcPr>
          <w:p w:rsidR="00212513" w:rsidRDefault="00212513">
            <w:pPr>
              <w:pStyle w:val="ConsPlusNormal"/>
            </w:pPr>
          </w:p>
        </w:tc>
        <w:tc>
          <w:tcPr>
            <w:tcW w:w="1531" w:type="dxa"/>
            <w:vMerge/>
            <w:tcBorders>
              <w:top w:val="single" w:sz="4" w:space="0" w:color="auto"/>
              <w:bottom w:val="single" w:sz="4" w:space="0" w:color="auto"/>
            </w:tcBorders>
          </w:tcPr>
          <w:p w:rsidR="00212513" w:rsidRDefault="00212513">
            <w:pPr>
              <w:pStyle w:val="ConsPlusNormal"/>
            </w:pPr>
          </w:p>
        </w:tc>
        <w:tc>
          <w:tcPr>
            <w:tcW w:w="1304" w:type="dxa"/>
            <w:vMerge/>
            <w:tcBorders>
              <w:top w:val="single" w:sz="4" w:space="0" w:color="auto"/>
              <w:bottom w:val="single" w:sz="4" w:space="0" w:color="auto"/>
            </w:tcBorders>
          </w:tcPr>
          <w:p w:rsidR="00212513" w:rsidRDefault="00212513">
            <w:pPr>
              <w:pStyle w:val="ConsPlusNormal"/>
            </w:pPr>
          </w:p>
        </w:tc>
        <w:tc>
          <w:tcPr>
            <w:tcW w:w="1191" w:type="dxa"/>
            <w:vMerge/>
            <w:tcBorders>
              <w:top w:val="single" w:sz="4" w:space="0" w:color="auto"/>
              <w:bottom w:val="single" w:sz="4" w:space="0" w:color="auto"/>
            </w:tcBorders>
          </w:tcPr>
          <w:p w:rsidR="00212513" w:rsidRDefault="00212513">
            <w:pPr>
              <w:pStyle w:val="ConsPlusNormal"/>
            </w:pPr>
          </w:p>
        </w:tc>
        <w:tc>
          <w:tcPr>
            <w:tcW w:w="1020" w:type="dxa"/>
            <w:tcBorders>
              <w:top w:val="single" w:sz="4" w:space="0" w:color="auto"/>
              <w:bottom w:val="single" w:sz="4" w:space="0" w:color="auto"/>
            </w:tcBorders>
            <w:vAlign w:val="center"/>
          </w:tcPr>
          <w:p w:rsidR="00212513" w:rsidRDefault="00212513">
            <w:pPr>
              <w:pStyle w:val="ConsPlusNormal"/>
              <w:jc w:val="center"/>
            </w:pPr>
            <w:r>
              <w:t xml:space="preserve">по пределу текучести </w:t>
            </w:r>
            <w:r>
              <w:rPr>
                <w:i/>
              </w:rPr>
              <w:t>R</w:t>
            </w:r>
            <w:r>
              <w:rPr>
                <w:i/>
                <w:vertAlign w:val="subscript"/>
              </w:rPr>
              <w:t>yn</w:t>
            </w:r>
          </w:p>
        </w:tc>
        <w:tc>
          <w:tcPr>
            <w:tcW w:w="850" w:type="dxa"/>
            <w:tcBorders>
              <w:top w:val="single" w:sz="4" w:space="0" w:color="auto"/>
              <w:bottom w:val="single" w:sz="4" w:space="0" w:color="auto"/>
            </w:tcBorders>
            <w:vAlign w:val="center"/>
          </w:tcPr>
          <w:p w:rsidR="00212513" w:rsidRDefault="00212513">
            <w:pPr>
              <w:pStyle w:val="ConsPlusNormal"/>
              <w:jc w:val="center"/>
            </w:pPr>
            <w:r>
              <w:t xml:space="preserve">по временному сопротивлению </w:t>
            </w:r>
            <w:r>
              <w:rPr>
                <w:i/>
              </w:rPr>
              <w:t>R</w:t>
            </w:r>
            <w:r>
              <w:rPr>
                <w:i/>
                <w:vertAlign w:val="subscript"/>
              </w:rPr>
              <w:t>un</w:t>
            </w:r>
          </w:p>
        </w:tc>
        <w:tc>
          <w:tcPr>
            <w:tcW w:w="1020" w:type="dxa"/>
            <w:tcBorders>
              <w:top w:val="single" w:sz="4" w:space="0" w:color="auto"/>
              <w:bottom w:val="single" w:sz="4" w:space="0" w:color="auto"/>
            </w:tcBorders>
            <w:vAlign w:val="center"/>
          </w:tcPr>
          <w:p w:rsidR="00212513" w:rsidRDefault="00212513">
            <w:pPr>
              <w:pStyle w:val="ConsPlusNormal"/>
              <w:jc w:val="center"/>
            </w:pPr>
            <w:r>
              <w:t xml:space="preserve">по пределу текучести </w:t>
            </w:r>
            <w:r>
              <w:rPr>
                <w:i/>
              </w:rPr>
              <w:t>R</w:t>
            </w:r>
            <w:r>
              <w:rPr>
                <w:i/>
                <w:vertAlign w:val="subscript"/>
              </w:rPr>
              <w:t>y</w:t>
            </w:r>
          </w:p>
        </w:tc>
        <w:tc>
          <w:tcPr>
            <w:tcW w:w="850" w:type="dxa"/>
            <w:tcBorders>
              <w:top w:val="single" w:sz="4" w:space="0" w:color="auto"/>
              <w:bottom w:val="single" w:sz="4" w:space="0" w:color="auto"/>
            </w:tcBorders>
            <w:vAlign w:val="center"/>
          </w:tcPr>
          <w:p w:rsidR="00212513" w:rsidRDefault="00212513">
            <w:pPr>
              <w:pStyle w:val="ConsPlusNormal"/>
              <w:jc w:val="center"/>
            </w:pPr>
            <w:r>
              <w:t xml:space="preserve">по временному сопротивлению </w:t>
            </w:r>
            <w:r>
              <w:rPr>
                <w:i/>
              </w:rPr>
              <w:t>R</w:t>
            </w:r>
            <w:r>
              <w:rPr>
                <w:i/>
                <w:vertAlign w:val="subscript"/>
              </w:rPr>
              <w:t>u</w:t>
            </w:r>
          </w:p>
        </w:tc>
      </w:tr>
      <w:tr w:rsidR="00212513">
        <w:tblPrEx>
          <w:tblBorders>
            <w:insideH w:val="none" w:sz="0" w:space="0" w:color="auto"/>
          </w:tblBorders>
        </w:tblPrEx>
        <w:tc>
          <w:tcPr>
            <w:tcW w:w="1304" w:type="dxa"/>
            <w:tcBorders>
              <w:top w:val="single" w:sz="4" w:space="0" w:color="auto"/>
              <w:bottom w:val="nil"/>
            </w:tcBorders>
          </w:tcPr>
          <w:p w:rsidR="00212513" w:rsidRDefault="00212513">
            <w:pPr>
              <w:pStyle w:val="ConsPlusNormal"/>
            </w:pPr>
            <w:r>
              <w:t>16Д</w:t>
            </w:r>
          </w:p>
        </w:tc>
        <w:tc>
          <w:tcPr>
            <w:tcW w:w="1531" w:type="dxa"/>
            <w:tcBorders>
              <w:top w:val="single" w:sz="4" w:space="0" w:color="auto"/>
              <w:bottom w:val="nil"/>
            </w:tcBorders>
          </w:tcPr>
          <w:p w:rsidR="00212513" w:rsidRDefault="00212513">
            <w:pPr>
              <w:pStyle w:val="ConsPlusNormal"/>
            </w:pPr>
            <w:hyperlink r:id="rId1529">
              <w:r>
                <w:rPr>
                  <w:color w:val="0000FF"/>
                </w:rPr>
                <w:t>ГОСТ 6713</w:t>
              </w:r>
            </w:hyperlink>
          </w:p>
        </w:tc>
        <w:tc>
          <w:tcPr>
            <w:tcW w:w="1304" w:type="dxa"/>
            <w:tcBorders>
              <w:top w:val="single" w:sz="4" w:space="0" w:color="auto"/>
              <w:bottom w:val="nil"/>
            </w:tcBorders>
          </w:tcPr>
          <w:p w:rsidR="00212513" w:rsidRDefault="00212513">
            <w:pPr>
              <w:pStyle w:val="ConsPlusNormal"/>
              <w:jc w:val="center"/>
            </w:pPr>
            <w:r>
              <w:t>Любой</w:t>
            </w:r>
          </w:p>
        </w:tc>
        <w:tc>
          <w:tcPr>
            <w:tcW w:w="1191" w:type="dxa"/>
            <w:tcBorders>
              <w:top w:val="single" w:sz="4" w:space="0" w:color="auto"/>
              <w:bottom w:val="nil"/>
            </w:tcBorders>
          </w:tcPr>
          <w:p w:rsidR="00212513" w:rsidRDefault="00212513">
            <w:pPr>
              <w:pStyle w:val="ConsPlusNormal"/>
              <w:jc w:val="center"/>
            </w:pPr>
            <w:r>
              <w:t>До 20 вкл.</w:t>
            </w:r>
          </w:p>
        </w:tc>
        <w:tc>
          <w:tcPr>
            <w:tcW w:w="1020" w:type="dxa"/>
            <w:tcBorders>
              <w:top w:val="single" w:sz="4" w:space="0" w:color="auto"/>
              <w:bottom w:val="nil"/>
            </w:tcBorders>
          </w:tcPr>
          <w:p w:rsidR="00212513" w:rsidRDefault="00212513">
            <w:pPr>
              <w:pStyle w:val="ConsPlusNormal"/>
              <w:jc w:val="center"/>
            </w:pPr>
            <w:r>
              <w:t>235</w:t>
            </w:r>
          </w:p>
        </w:tc>
        <w:tc>
          <w:tcPr>
            <w:tcW w:w="850" w:type="dxa"/>
            <w:tcBorders>
              <w:top w:val="single" w:sz="4" w:space="0" w:color="auto"/>
              <w:bottom w:val="nil"/>
            </w:tcBorders>
          </w:tcPr>
          <w:p w:rsidR="00212513" w:rsidRDefault="00212513">
            <w:pPr>
              <w:pStyle w:val="ConsPlusNormal"/>
              <w:jc w:val="center"/>
            </w:pPr>
            <w:r>
              <w:t>370</w:t>
            </w:r>
          </w:p>
        </w:tc>
        <w:tc>
          <w:tcPr>
            <w:tcW w:w="1020" w:type="dxa"/>
            <w:tcBorders>
              <w:top w:val="single" w:sz="4" w:space="0" w:color="auto"/>
              <w:bottom w:val="nil"/>
            </w:tcBorders>
          </w:tcPr>
          <w:p w:rsidR="00212513" w:rsidRDefault="00212513">
            <w:pPr>
              <w:pStyle w:val="ConsPlusNormal"/>
              <w:jc w:val="center"/>
            </w:pPr>
            <w:r>
              <w:t>215</w:t>
            </w:r>
          </w:p>
        </w:tc>
        <w:tc>
          <w:tcPr>
            <w:tcW w:w="850" w:type="dxa"/>
            <w:tcBorders>
              <w:top w:val="single" w:sz="4" w:space="0" w:color="auto"/>
              <w:bottom w:val="nil"/>
            </w:tcBorders>
          </w:tcPr>
          <w:p w:rsidR="00212513" w:rsidRDefault="00212513">
            <w:pPr>
              <w:pStyle w:val="ConsPlusNormal"/>
              <w:jc w:val="center"/>
            </w:pPr>
            <w:r>
              <w:t>340</w:t>
            </w:r>
          </w:p>
        </w:tc>
      </w:tr>
      <w:tr w:rsidR="00212513">
        <w:tblPrEx>
          <w:tblBorders>
            <w:insideH w:val="none" w:sz="0" w:space="0" w:color="auto"/>
          </w:tblBorders>
        </w:tblPrEx>
        <w:tc>
          <w:tcPr>
            <w:tcW w:w="1304" w:type="dxa"/>
            <w:tcBorders>
              <w:top w:val="nil"/>
              <w:bottom w:val="nil"/>
            </w:tcBorders>
          </w:tcPr>
          <w:p w:rsidR="00212513" w:rsidRDefault="00212513">
            <w:pPr>
              <w:pStyle w:val="ConsPlusNormal"/>
            </w:pPr>
            <w:r>
              <w:t>09Г2СД</w:t>
            </w:r>
          </w:p>
        </w:tc>
        <w:tc>
          <w:tcPr>
            <w:tcW w:w="1531" w:type="dxa"/>
            <w:tcBorders>
              <w:top w:val="nil"/>
              <w:bottom w:val="nil"/>
            </w:tcBorders>
          </w:tcPr>
          <w:p w:rsidR="00212513" w:rsidRDefault="00212513">
            <w:pPr>
              <w:pStyle w:val="ConsPlusNormal"/>
            </w:pPr>
            <w:hyperlink r:id="rId1530">
              <w:r>
                <w:rPr>
                  <w:color w:val="0000FF"/>
                </w:rPr>
                <w:t>ГОСТ Р 55374</w:t>
              </w:r>
            </w:hyperlink>
            <w:r>
              <w:t xml:space="preserve">, </w:t>
            </w:r>
            <w:hyperlink r:id="rId1531">
              <w:r>
                <w:rPr>
                  <w:color w:val="0000FF"/>
                </w:rPr>
                <w:t>ГОСТ 19281</w:t>
              </w:r>
            </w:hyperlink>
          </w:p>
        </w:tc>
        <w:tc>
          <w:tcPr>
            <w:tcW w:w="1304" w:type="dxa"/>
            <w:tcBorders>
              <w:top w:val="nil"/>
              <w:bottom w:val="nil"/>
            </w:tcBorders>
          </w:tcPr>
          <w:p w:rsidR="00212513" w:rsidRDefault="00212513">
            <w:pPr>
              <w:pStyle w:val="ConsPlusNormal"/>
              <w:jc w:val="center"/>
            </w:pPr>
            <w:r>
              <w:t>Фасонный</w:t>
            </w:r>
          </w:p>
        </w:tc>
        <w:tc>
          <w:tcPr>
            <w:tcW w:w="1191" w:type="dxa"/>
            <w:tcBorders>
              <w:top w:val="nil"/>
              <w:bottom w:val="nil"/>
            </w:tcBorders>
          </w:tcPr>
          <w:p w:rsidR="00212513" w:rsidRDefault="00212513">
            <w:pPr>
              <w:pStyle w:val="ConsPlusNormal"/>
              <w:jc w:val="center"/>
            </w:pPr>
            <w:r>
              <w:t>4 - 20</w:t>
            </w:r>
          </w:p>
        </w:tc>
        <w:tc>
          <w:tcPr>
            <w:tcW w:w="1020" w:type="dxa"/>
            <w:tcBorders>
              <w:top w:val="nil"/>
              <w:bottom w:val="nil"/>
            </w:tcBorders>
          </w:tcPr>
          <w:p w:rsidR="00212513" w:rsidRDefault="00212513">
            <w:pPr>
              <w:pStyle w:val="ConsPlusNormal"/>
              <w:jc w:val="center"/>
            </w:pPr>
            <w:r>
              <w:t>325</w:t>
            </w:r>
          </w:p>
        </w:tc>
        <w:tc>
          <w:tcPr>
            <w:tcW w:w="850" w:type="dxa"/>
            <w:tcBorders>
              <w:top w:val="nil"/>
              <w:bottom w:val="nil"/>
            </w:tcBorders>
          </w:tcPr>
          <w:p w:rsidR="00212513" w:rsidRDefault="00212513">
            <w:pPr>
              <w:pStyle w:val="ConsPlusNormal"/>
              <w:jc w:val="center"/>
            </w:pPr>
            <w:r>
              <w:t>450</w:t>
            </w:r>
          </w:p>
        </w:tc>
        <w:tc>
          <w:tcPr>
            <w:tcW w:w="1020" w:type="dxa"/>
            <w:tcBorders>
              <w:top w:val="nil"/>
              <w:bottom w:val="nil"/>
            </w:tcBorders>
          </w:tcPr>
          <w:p w:rsidR="00212513" w:rsidRDefault="00212513">
            <w:pPr>
              <w:pStyle w:val="ConsPlusNormal"/>
              <w:jc w:val="center"/>
            </w:pPr>
            <w:r>
              <w:t>280</w:t>
            </w:r>
          </w:p>
        </w:tc>
        <w:tc>
          <w:tcPr>
            <w:tcW w:w="850" w:type="dxa"/>
            <w:tcBorders>
              <w:top w:val="nil"/>
              <w:bottom w:val="nil"/>
            </w:tcBorders>
          </w:tcPr>
          <w:p w:rsidR="00212513" w:rsidRDefault="00212513">
            <w:pPr>
              <w:pStyle w:val="ConsPlusNormal"/>
              <w:jc w:val="center"/>
            </w:pPr>
            <w:r>
              <w:t>385</w:t>
            </w:r>
          </w:p>
        </w:tc>
      </w:tr>
      <w:tr w:rsidR="00212513">
        <w:tblPrEx>
          <w:tblBorders>
            <w:insideH w:val="none" w:sz="0" w:space="0" w:color="auto"/>
          </w:tblBorders>
        </w:tblPrEx>
        <w:tc>
          <w:tcPr>
            <w:tcW w:w="1304" w:type="dxa"/>
            <w:tcBorders>
              <w:top w:val="nil"/>
              <w:bottom w:val="nil"/>
            </w:tcBorders>
          </w:tcPr>
          <w:p w:rsidR="00212513" w:rsidRDefault="00212513">
            <w:pPr>
              <w:pStyle w:val="ConsPlusNormal"/>
            </w:pPr>
            <w:r>
              <w:t>345-</w:t>
            </w:r>
          </w:p>
          <w:p w:rsidR="00212513" w:rsidRDefault="00212513">
            <w:pPr>
              <w:pStyle w:val="ConsPlusNormal"/>
            </w:pPr>
            <w:r>
              <w:t>12Г2СБД</w:t>
            </w:r>
          </w:p>
        </w:tc>
        <w:tc>
          <w:tcPr>
            <w:tcW w:w="1531" w:type="dxa"/>
            <w:tcBorders>
              <w:top w:val="nil"/>
              <w:bottom w:val="nil"/>
            </w:tcBorders>
          </w:tcPr>
          <w:p w:rsidR="00212513" w:rsidRDefault="00212513">
            <w:pPr>
              <w:pStyle w:val="ConsPlusNormal"/>
            </w:pPr>
            <w:hyperlink w:anchor="P19080">
              <w:r>
                <w:rPr>
                  <w:color w:val="0000FF"/>
                </w:rPr>
                <w:t>[7]</w:t>
              </w:r>
            </w:hyperlink>
          </w:p>
        </w:tc>
        <w:tc>
          <w:tcPr>
            <w:tcW w:w="1304" w:type="dxa"/>
            <w:tcBorders>
              <w:top w:val="nil"/>
              <w:bottom w:val="nil"/>
            </w:tcBorders>
          </w:tcPr>
          <w:p w:rsidR="00212513" w:rsidRDefault="00212513">
            <w:pPr>
              <w:pStyle w:val="ConsPlusNormal"/>
              <w:jc w:val="center"/>
            </w:pPr>
            <w:r>
              <w:t>Листовой</w:t>
            </w:r>
          </w:p>
        </w:tc>
        <w:tc>
          <w:tcPr>
            <w:tcW w:w="1191" w:type="dxa"/>
            <w:tcBorders>
              <w:top w:val="nil"/>
              <w:bottom w:val="nil"/>
            </w:tcBorders>
          </w:tcPr>
          <w:p w:rsidR="00212513" w:rsidRDefault="00212513">
            <w:pPr>
              <w:pStyle w:val="ConsPlusNormal"/>
              <w:jc w:val="center"/>
            </w:pPr>
            <w:r>
              <w:t>8 - 50</w:t>
            </w:r>
          </w:p>
        </w:tc>
        <w:tc>
          <w:tcPr>
            <w:tcW w:w="1020" w:type="dxa"/>
            <w:tcBorders>
              <w:top w:val="nil"/>
              <w:bottom w:val="nil"/>
            </w:tcBorders>
          </w:tcPr>
          <w:p w:rsidR="00212513" w:rsidRDefault="00212513">
            <w:pPr>
              <w:pStyle w:val="ConsPlusNormal"/>
              <w:jc w:val="center"/>
            </w:pPr>
            <w:r>
              <w:t>345</w:t>
            </w:r>
          </w:p>
        </w:tc>
        <w:tc>
          <w:tcPr>
            <w:tcW w:w="850" w:type="dxa"/>
            <w:tcBorders>
              <w:top w:val="nil"/>
              <w:bottom w:val="nil"/>
            </w:tcBorders>
          </w:tcPr>
          <w:p w:rsidR="00212513" w:rsidRDefault="00212513">
            <w:pPr>
              <w:pStyle w:val="ConsPlusNormal"/>
              <w:jc w:val="center"/>
            </w:pPr>
            <w:r>
              <w:t>490</w:t>
            </w:r>
          </w:p>
        </w:tc>
        <w:tc>
          <w:tcPr>
            <w:tcW w:w="1020" w:type="dxa"/>
            <w:tcBorders>
              <w:top w:val="nil"/>
              <w:bottom w:val="nil"/>
            </w:tcBorders>
          </w:tcPr>
          <w:p w:rsidR="00212513" w:rsidRDefault="00212513">
            <w:pPr>
              <w:pStyle w:val="ConsPlusNormal"/>
              <w:jc w:val="center"/>
            </w:pPr>
            <w:r>
              <w:t>295</w:t>
            </w:r>
          </w:p>
        </w:tc>
        <w:tc>
          <w:tcPr>
            <w:tcW w:w="850" w:type="dxa"/>
            <w:tcBorders>
              <w:top w:val="nil"/>
              <w:bottom w:val="nil"/>
            </w:tcBorders>
          </w:tcPr>
          <w:p w:rsidR="00212513" w:rsidRDefault="00212513">
            <w:pPr>
              <w:pStyle w:val="ConsPlusNormal"/>
              <w:jc w:val="center"/>
            </w:pPr>
            <w:r>
              <w:t>415</w:t>
            </w:r>
          </w:p>
        </w:tc>
      </w:tr>
      <w:tr w:rsidR="00212513">
        <w:tblPrEx>
          <w:tblBorders>
            <w:insideH w:val="none" w:sz="0" w:space="0" w:color="auto"/>
          </w:tblBorders>
        </w:tblPrEx>
        <w:tc>
          <w:tcPr>
            <w:tcW w:w="1304" w:type="dxa"/>
            <w:tcBorders>
              <w:top w:val="nil"/>
              <w:bottom w:val="nil"/>
            </w:tcBorders>
          </w:tcPr>
          <w:p w:rsidR="00212513" w:rsidRDefault="00212513">
            <w:pPr>
              <w:pStyle w:val="ConsPlusNormal"/>
            </w:pPr>
            <w:r>
              <w:t>15ХСНД</w:t>
            </w:r>
          </w:p>
        </w:tc>
        <w:tc>
          <w:tcPr>
            <w:tcW w:w="1531" w:type="dxa"/>
            <w:tcBorders>
              <w:top w:val="nil"/>
              <w:bottom w:val="nil"/>
            </w:tcBorders>
          </w:tcPr>
          <w:p w:rsidR="00212513" w:rsidRDefault="00212513">
            <w:pPr>
              <w:pStyle w:val="ConsPlusNormal"/>
            </w:pPr>
            <w:hyperlink r:id="rId1532">
              <w:r>
                <w:rPr>
                  <w:color w:val="0000FF"/>
                </w:rPr>
                <w:t>ГОСТ Р 55374</w:t>
              </w:r>
            </w:hyperlink>
            <w:r>
              <w:t xml:space="preserve">, </w:t>
            </w:r>
            <w:hyperlink r:id="rId1533">
              <w:r>
                <w:rPr>
                  <w:color w:val="0000FF"/>
                </w:rPr>
                <w:t>ГОСТ 6713</w:t>
              </w:r>
            </w:hyperlink>
          </w:p>
        </w:tc>
        <w:tc>
          <w:tcPr>
            <w:tcW w:w="1304" w:type="dxa"/>
            <w:tcBorders>
              <w:top w:val="nil"/>
              <w:bottom w:val="nil"/>
            </w:tcBorders>
          </w:tcPr>
          <w:p w:rsidR="00212513" w:rsidRDefault="00212513">
            <w:pPr>
              <w:pStyle w:val="ConsPlusNormal"/>
              <w:jc w:val="center"/>
            </w:pPr>
            <w:r>
              <w:t>Листовой</w:t>
            </w:r>
          </w:p>
        </w:tc>
        <w:tc>
          <w:tcPr>
            <w:tcW w:w="1191" w:type="dxa"/>
            <w:tcBorders>
              <w:top w:val="nil"/>
              <w:bottom w:val="nil"/>
            </w:tcBorders>
          </w:tcPr>
          <w:p w:rsidR="00212513" w:rsidRDefault="00212513">
            <w:pPr>
              <w:pStyle w:val="ConsPlusNormal"/>
              <w:jc w:val="center"/>
            </w:pPr>
            <w:r>
              <w:t>8 - 50</w:t>
            </w:r>
          </w:p>
        </w:tc>
        <w:tc>
          <w:tcPr>
            <w:tcW w:w="1020" w:type="dxa"/>
            <w:tcBorders>
              <w:top w:val="nil"/>
              <w:bottom w:val="nil"/>
            </w:tcBorders>
          </w:tcPr>
          <w:p w:rsidR="00212513" w:rsidRDefault="00212513">
            <w:pPr>
              <w:pStyle w:val="ConsPlusNormal"/>
              <w:jc w:val="center"/>
            </w:pPr>
            <w:r>
              <w:t>345</w:t>
            </w:r>
          </w:p>
        </w:tc>
        <w:tc>
          <w:tcPr>
            <w:tcW w:w="850" w:type="dxa"/>
            <w:tcBorders>
              <w:top w:val="nil"/>
              <w:bottom w:val="nil"/>
            </w:tcBorders>
          </w:tcPr>
          <w:p w:rsidR="00212513" w:rsidRDefault="00212513">
            <w:pPr>
              <w:pStyle w:val="ConsPlusNormal"/>
              <w:jc w:val="center"/>
            </w:pPr>
            <w:r>
              <w:t>490</w:t>
            </w:r>
          </w:p>
        </w:tc>
        <w:tc>
          <w:tcPr>
            <w:tcW w:w="1020" w:type="dxa"/>
            <w:tcBorders>
              <w:top w:val="nil"/>
              <w:bottom w:val="nil"/>
            </w:tcBorders>
          </w:tcPr>
          <w:p w:rsidR="00212513" w:rsidRDefault="00212513">
            <w:pPr>
              <w:pStyle w:val="ConsPlusNormal"/>
              <w:jc w:val="center"/>
            </w:pPr>
            <w:r>
              <w:t>295</w:t>
            </w:r>
          </w:p>
        </w:tc>
        <w:tc>
          <w:tcPr>
            <w:tcW w:w="850" w:type="dxa"/>
            <w:tcBorders>
              <w:top w:val="nil"/>
              <w:bottom w:val="nil"/>
            </w:tcBorders>
          </w:tcPr>
          <w:p w:rsidR="00212513" w:rsidRDefault="00212513">
            <w:pPr>
              <w:pStyle w:val="ConsPlusNormal"/>
              <w:jc w:val="center"/>
            </w:pPr>
            <w:r>
              <w:t>415</w:t>
            </w:r>
          </w:p>
        </w:tc>
      </w:tr>
      <w:tr w:rsidR="00212513">
        <w:tblPrEx>
          <w:tblBorders>
            <w:insideH w:val="none" w:sz="0" w:space="0" w:color="auto"/>
          </w:tblBorders>
        </w:tblPrEx>
        <w:tc>
          <w:tcPr>
            <w:tcW w:w="1304" w:type="dxa"/>
            <w:tcBorders>
              <w:top w:val="nil"/>
              <w:bottom w:val="nil"/>
            </w:tcBorders>
          </w:tcPr>
          <w:p w:rsidR="00212513" w:rsidRDefault="00212513">
            <w:pPr>
              <w:pStyle w:val="ConsPlusNormal"/>
            </w:pPr>
            <w:r>
              <w:t>15ХСНД</w:t>
            </w:r>
          </w:p>
        </w:tc>
        <w:tc>
          <w:tcPr>
            <w:tcW w:w="1531" w:type="dxa"/>
            <w:tcBorders>
              <w:top w:val="nil"/>
              <w:bottom w:val="nil"/>
            </w:tcBorders>
          </w:tcPr>
          <w:p w:rsidR="00212513" w:rsidRDefault="00212513">
            <w:pPr>
              <w:pStyle w:val="ConsPlusNormal"/>
            </w:pPr>
            <w:hyperlink r:id="rId1534">
              <w:r>
                <w:rPr>
                  <w:color w:val="0000FF"/>
                </w:rPr>
                <w:t>ГОСТ Р 55374</w:t>
              </w:r>
            </w:hyperlink>
            <w:r>
              <w:t xml:space="preserve">, </w:t>
            </w:r>
            <w:hyperlink r:id="rId1535">
              <w:r>
                <w:rPr>
                  <w:color w:val="0000FF"/>
                </w:rPr>
                <w:t>ГОСТ 6713</w:t>
              </w:r>
            </w:hyperlink>
          </w:p>
        </w:tc>
        <w:tc>
          <w:tcPr>
            <w:tcW w:w="1304" w:type="dxa"/>
            <w:tcBorders>
              <w:top w:val="nil"/>
              <w:bottom w:val="nil"/>
            </w:tcBorders>
          </w:tcPr>
          <w:p w:rsidR="00212513" w:rsidRDefault="00212513">
            <w:pPr>
              <w:pStyle w:val="ConsPlusNormal"/>
              <w:jc w:val="center"/>
            </w:pPr>
            <w:r>
              <w:t>Фасонный</w:t>
            </w:r>
          </w:p>
        </w:tc>
        <w:tc>
          <w:tcPr>
            <w:tcW w:w="1191" w:type="dxa"/>
            <w:tcBorders>
              <w:top w:val="nil"/>
              <w:bottom w:val="nil"/>
            </w:tcBorders>
          </w:tcPr>
          <w:p w:rsidR="00212513" w:rsidRDefault="00212513">
            <w:pPr>
              <w:pStyle w:val="ConsPlusNormal"/>
              <w:jc w:val="center"/>
            </w:pPr>
            <w:r>
              <w:t>8 - 32</w:t>
            </w:r>
          </w:p>
        </w:tc>
        <w:tc>
          <w:tcPr>
            <w:tcW w:w="1020" w:type="dxa"/>
            <w:tcBorders>
              <w:top w:val="nil"/>
              <w:bottom w:val="nil"/>
            </w:tcBorders>
          </w:tcPr>
          <w:p w:rsidR="00212513" w:rsidRDefault="00212513">
            <w:pPr>
              <w:pStyle w:val="ConsPlusNormal"/>
              <w:jc w:val="center"/>
            </w:pPr>
            <w:r>
              <w:t>345</w:t>
            </w:r>
          </w:p>
        </w:tc>
        <w:tc>
          <w:tcPr>
            <w:tcW w:w="850" w:type="dxa"/>
            <w:tcBorders>
              <w:top w:val="nil"/>
              <w:bottom w:val="nil"/>
            </w:tcBorders>
          </w:tcPr>
          <w:p w:rsidR="00212513" w:rsidRDefault="00212513">
            <w:pPr>
              <w:pStyle w:val="ConsPlusNormal"/>
              <w:jc w:val="center"/>
            </w:pPr>
            <w:r>
              <w:t>490</w:t>
            </w:r>
          </w:p>
        </w:tc>
        <w:tc>
          <w:tcPr>
            <w:tcW w:w="1020" w:type="dxa"/>
            <w:tcBorders>
              <w:top w:val="nil"/>
              <w:bottom w:val="nil"/>
            </w:tcBorders>
          </w:tcPr>
          <w:p w:rsidR="00212513" w:rsidRDefault="00212513">
            <w:pPr>
              <w:pStyle w:val="ConsPlusNormal"/>
              <w:jc w:val="center"/>
            </w:pPr>
            <w:r>
              <w:t>295</w:t>
            </w:r>
          </w:p>
        </w:tc>
        <w:tc>
          <w:tcPr>
            <w:tcW w:w="850" w:type="dxa"/>
            <w:tcBorders>
              <w:top w:val="nil"/>
              <w:bottom w:val="nil"/>
            </w:tcBorders>
          </w:tcPr>
          <w:p w:rsidR="00212513" w:rsidRDefault="00212513">
            <w:pPr>
              <w:pStyle w:val="ConsPlusNormal"/>
              <w:jc w:val="center"/>
            </w:pPr>
            <w:r>
              <w:t>415</w:t>
            </w:r>
          </w:p>
        </w:tc>
      </w:tr>
      <w:tr w:rsidR="00212513">
        <w:tblPrEx>
          <w:tblBorders>
            <w:insideH w:val="none" w:sz="0" w:space="0" w:color="auto"/>
          </w:tblBorders>
        </w:tblPrEx>
        <w:tc>
          <w:tcPr>
            <w:tcW w:w="1304" w:type="dxa"/>
            <w:tcBorders>
              <w:top w:val="nil"/>
              <w:bottom w:val="nil"/>
            </w:tcBorders>
          </w:tcPr>
          <w:p w:rsidR="00212513" w:rsidRDefault="00212513">
            <w:pPr>
              <w:pStyle w:val="ConsPlusNormal"/>
            </w:pPr>
            <w:r>
              <w:lastRenderedPageBreak/>
              <w:t>15ХСНДА</w:t>
            </w:r>
          </w:p>
        </w:tc>
        <w:tc>
          <w:tcPr>
            <w:tcW w:w="1531" w:type="dxa"/>
            <w:tcBorders>
              <w:top w:val="nil"/>
              <w:bottom w:val="nil"/>
            </w:tcBorders>
          </w:tcPr>
          <w:p w:rsidR="00212513" w:rsidRDefault="00212513">
            <w:pPr>
              <w:pStyle w:val="ConsPlusNormal"/>
            </w:pPr>
            <w:hyperlink w:anchor="P19080">
              <w:r>
                <w:rPr>
                  <w:color w:val="0000FF"/>
                </w:rPr>
                <w:t>[7]</w:t>
              </w:r>
            </w:hyperlink>
          </w:p>
        </w:tc>
        <w:tc>
          <w:tcPr>
            <w:tcW w:w="1304" w:type="dxa"/>
            <w:tcBorders>
              <w:top w:val="nil"/>
              <w:bottom w:val="nil"/>
            </w:tcBorders>
          </w:tcPr>
          <w:p w:rsidR="00212513" w:rsidRDefault="00212513">
            <w:pPr>
              <w:pStyle w:val="ConsPlusNormal"/>
              <w:jc w:val="center"/>
            </w:pPr>
            <w:r>
              <w:t>Листовой</w:t>
            </w:r>
          </w:p>
        </w:tc>
        <w:tc>
          <w:tcPr>
            <w:tcW w:w="1191" w:type="dxa"/>
            <w:tcBorders>
              <w:top w:val="nil"/>
              <w:bottom w:val="nil"/>
            </w:tcBorders>
          </w:tcPr>
          <w:p w:rsidR="00212513" w:rsidRDefault="00212513">
            <w:pPr>
              <w:pStyle w:val="ConsPlusNormal"/>
              <w:jc w:val="center"/>
            </w:pPr>
            <w:r>
              <w:t>8 - 50</w:t>
            </w:r>
          </w:p>
        </w:tc>
        <w:tc>
          <w:tcPr>
            <w:tcW w:w="1020" w:type="dxa"/>
            <w:tcBorders>
              <w:top w:val="nil"/>
              <w:bottom w:val="nil"/>
            </w:tcBorders>
          </w:tcPr>
          <w:p w:rsidR="00212513" w:rsidRDefault="00212513">
            <w:pPr>
              <w:pStyle w:val="ConsPlusNormal"/>
              <w:jc w:val="center"/>
            </w:pPr>
            <w:r>
              <w:t>345</w:t>
            </w:r>
          </w:p>
        </w:tc>
        <w:tc>
          <w:tcPr>
            <w:tcW w:w="850" w:type="dxa"/>
            <w:tcBorders>
              <w:top w:val="nil"/>
              <w:bottom w:val="nil"/>
            </w:tcBorders>
          </w:tcPr>
          <w:p w:rsidR="00212513" w:rsidRDefault="00212513">
            <w:pPr>
              <w:pStyle w:val="ConsPlusNormal"/>
              <w:jc w:val="center"/>
            </w:pPr>
            <w:r>
              <w:t>490</w:t>
            </w:r>
          </w:p>
        </w:tc>
        <w:tc>
          <w:tcPr>
            <w:tcW w:w="1020" w:type="dxa"/>
            <w:tcBorders>
              <w:top w:val="nil"/>
              <w:bottom w:val="nil"/>
            </w:tcBorders>
          </w:tcPr>
          <w:p w:rsidR="00212513" w:rsidRDefault="00212513">
            <w:pPr>
              <w:pStyle w:val="ConsPlusNormal"/>
              <w:jc w:val="center"/>
            </w:pPr>
            <w:r>
              <w:t>295</w:t>
            </w:r>
          </w:p>
        </w:tc>
        <w:tc>
          <w:tcPr>
            <w:tcW w:w="850" w:type="dxa"/>
            <w:tcBorders>
              <w:top w:val="nil"/>
              <w:bottom w:val="nil"/>
            </w:tcBorders>
          </w:tcPr>
          <w:p w:rsidR="00212513" w:rsidRDefault="00212513">
            <w:pPr>
              <w:pStyle w:val="ConsPlusNormal"/>
              <w:jc w:val="center"/>
            </w:pPr>
            <w:r>
              <w:t>415</w:t>
            </w:r>
          </w:p>
        </w:tc>
      </w:tr>
      <w:tr w:rsidR="00212513">
        <w:tblPrEx>
          <w:tblBorders>
            <w:insideH w:val="none" w:sz="0" w:space="0" w:color="auto"/>
          </w:tblBorders>
        </w:tblPrEx>
        <w:tc>
          <w:tcPr>
            <w:tcW w:w="1304" w:type="dxa"/>
            <w:tcBorders>
              <w:top w:val="nil"/>
              <w:bottom w:val="nil"/>
            </w:tcBorders>
          </w:tcPr>
          <w:p w:rsidR="00212513" w:rsidRDefault="00212513">
            <w:pPr>
              <w:pStyle w:val="ConsPlusNormal"/>
            </w:pPr>
            <w:r>
              <w:t>345-</w:t>
            </w:r>
          </w:p>
          <w:p w:rsidR="00212513" w:rsidRDefault="00212513">
            <w:pPr>
              <w:pStyle w:val="ConsPlusNormal"/>
            </w:pPr>
            <w:r>
              <w:t>14ХГНДЦ</w:t>
            </w:r>
          </w:p>
        </w:tc>
        <w:tc>
          <w:tcPr>
            <w:tcW w:w="1531" w:type="dxa"/>
            <w:tcBorders>
              <w:top w:val="nil"/>
              <w:bottom w:val="nil"/>
            </w:tcBorders>
          </w:tcPr>
          <w:p w:rsidR="00212513" w:rsidRDefault="00212513">
            <w:pPr>
              <w:pStyle w:val="ConsPlusNormal"/>
            </w:pPr>
            <w:hyperlink r:id="rId1536">
              <w:r>
                <w:rPr>
                  <w:color w:val="0000FF"/>
                </w:rPr>
                <w:t>ГОСТ Р 55374</w:t>
              </w:r>
            </w:hyperlink>
            <w:r>
              <w:t xml:space="preserve">, </w:t>
            </w:r>
            <w:hyperlink w:anchor="P19080">
              <w:r>
                <w:rPr>
                  <w:color w:val="0000FF"/>
                </w:rPr>
                <w:t>[7]</w:t>
              </w:r>
            </w:hyperlink>
            <w:r>
              <w:t xml:space="preserve">, </w:t>
            </w:r>
            <w:hyperlink r:id="rId1537">
              <w:r>
                <w:rPr>
                  <w:color w:val="0000FF"/>
                </w:rPr>
                <w:t>ГОСТ 6713</w:t>
              </w:r>
            </w:hyperlink>
          </w:p>
        </w:tc>
        <w:tc>
          <w:tcPr>
            <w:tcW w:w="1304" w:type="dxa"/>
            <w:tcBorders>
              <w:top w:val="nil"/>
              <w:bottom w:val="nil"/>
            </w:tcBorders>
          </w:tcPr>
          <w:p w:rsidR="00212513" w:rsidRDefault="00212513">
            <w:pPr>
              <w:pStyle w:val="ConsPlusNormal"/>
              <w:jc w:val="center"/>
            </w:pPr>
            <w:r>
              <w:t>Листовой</w:t>
            </w:r>
          </w:p>
        </w:tc>
        <w:tc>
          <w:tcPr>
            <w:tcW w:w="1191" w:type="dxa"/>
            <w:tcBorders>
              <w:top w:val="nil"/>
              <w:bottom w:val="nil"/>
            </w:tcBorders>
          </w:tcPr>
          <w:p w:rsidR="00212513" w:rsidRDefault="00212513">
            <w:pPr>
              <w:pStyle w:val="ConsPlusNormal"/>
              <w:jc w:val="center"/>
            </w:pPr>
            <w:r>
              <w:t>8 - 50</w:t>
            </w:r>
          </w:p>
        </w:tc>
        <w:tc>
          <w:tcPr>
            <w:tcW w:w="1020" w:type="dxa"/>
            <w:tcBorders>
              <w:top w:val="nil"/>
              <w:bottom w:val="nil"/>
            </w:tcBorders>
          </w:tcPr>
          <w:p w:rsidR="00212513" w:rsidRDefault="00212513">
            <w:pPr>
              <w:pStyle w:val="ConsPlusNormal"/>
              <w:jc w:val="center"/>
            </w:pPr>
            <w:r>
              <w:t>345</w:t>
            </w:r>
          </w:p>
        </w:tc>
        <w:tc>
          <w:tcPr>
            <w:tcW w:w="850" w:type="dxa"/>
            <w:tcBorders>
              <w:top w:val="nil"/>
              <w:bottom w:val="nil"/>
            </w:tcBorders>
          </w:tcPr>
          <w:p w:rsidR="00212513" w:rsidRDefault="00212513">
            <w:pPr>
              <w:pStyle w:val="ConsPlusNormal"/>
              <w:jc w:val="center"/>
            </w:pPr>
            <w:r>
              <w:t>490</w:t>
            </w:r>
          </w:p>
        </w:tc>
        <w:tc>
          <w:tcPr>
            <w:tcW w:w="1020" w:type="dxa"/>
            <w:tcBorders>
              <w:top w:val="nil"/>
              <w:bottom w:val="nil"/>
            </w:tcBorders>
          </w:tcPr>
          <w:p w:rsidR="00212513" w:rsidRDefault="00212513">
            <w:pPr>
              <w:pStyle w:val="ConsPlusNormal"/>
              <w:jc w:val="center"/>
            </w:pPr>
            <w:r>
              <w:t>295</w:t>
            </w:r>
          </w:p>
        </w:tc>
        <w:tc>
          <w:tcPr>
            <w:tcW w:w="850" w:type="dxa"/>
            <w:tcBorders>
              <w:top w:val="nil"/>
              <w:bottom w:val="nil"/>
            </w:tcBorders>
          </w:tcPr>
          <w:p w:rsidR="00212513" w:rsidRDefault="00212513">
            <w:pPr>
              <w:pStyle w:val="ConsPlusNormal"/>
              <w:jc w:val="center"/>
            </w:pPr>
            <w:r>
              <w:t>415</w:t>
            </w:r>
          </w:p>
        </w:tc>
      </w:tr>
      <w:tr w:rsidR="00212513">
        <w:tblPrEx>
          <w:tblBorders>
            <w:insideH w:val="none" w:sz="0" w:space="0" w:color="auto"/>
          </w:tblBorders>
        </w:tblPrEx>
        <w:tc>
          <w:tcPr>
            <w:tcW w:w="1304" w:type="dxa"/>
            <w:tcBorders>
              <w:top w:val="nil"/>
              <w:bottom w:val="nil"/>
            </w:tcBorders>
          </w:tcPr>
          <w:p w:rsidR="00212513" w:rsidRDefault="00212513">
            <w:pPr>
              <w:pStyle w:val="ConsPlusNormal"/>
            </w:pPr>
            <w:r>
              <w:t>345-</w:t>
            </w:r>
          </w:p>
          <w:p w:rsidR="00212513" w:rsidRDefault="00212513">
            <w:pPr>
              <w:pStyle w:val="ConsPlusNormal"/>
            </w:pPr>
            <w:r>
              <w:t>14ХГНДЦ</w:t>
            </w:r>
          </w:p>
        </w:tc>
        <w:tc>
          <w:tcPr>
            <w:tcW w:w="1531" w:type="dxa"/>
            <w:tcBorders>
              <w:top w:val="nil"/>
              <w:bottom w:val="nil"/>
            </w:tcBorders>
          </w:tcPr>
          <w:p w:rsidR="00212513" w:rsidRDefault="00212513">
            <w:pPr>
              <w:pStyle w:val="ConsPlusNormal"/>
            </w:pPr>
            <w:hyperlink r:id="rId1538">
              <w:r>
                <w:rPr>
                  <w:color w:val="0000FF"/>
                </w:rPr>
                <w:t>ГОСТ Р 55374</w:t>
              </w:r>
            </w:hyperlink>
            <w:r>
              <w:t xml:space="preserve">, </w:t>
            </w:r>
            <w:hyperlink w:anchor="P19080">
              <w:r>
                <w:rPr>
                  <w:color w:val="0000FF"/>
                </w:rPr>
                <w:t>[7]</w:t>
              </w:r>
            </w:hyperlink>
            <w:r>
              <w:t xml:space="preserve">, </w:t>
            </w:r>
            <w:hyperlink r:id="rId1539">
              <w:r>
                <w:rPr>
                  <w:color w:val="0000FF"/>
                </w:rPr>
                <w:t>ГОСТ 6713</w:t>
              </w:r>
            </w:hyperlink>
          </w:p>
        </w:tc>
        <w:tc>
          <w:tcPr>
            <w:tcW w:w="1304" w:type="dxa"/>
            <w:tcBorders>
              <w:top w:val="nil"/>
              <w:bottom w:val="nil"/>
            </w:tcBorders>
          </w:tcPr>
          <w:p w:rsidR="00212513" w:rsidRDefault="00212513">
            <w:pPr>
              <w:pStyle w:val="ConsPlusNormal"/>
              <w:jc w:val="center"/>
            </w:pPr>
            <w:r>
              <w:t>Фасонный</w:t>
            </w:r>
          </w:p>
        </w:tc>
        <w:tc>
          <w:tcPr>
            <w:tcW w:w="1191" w:type="dxa"/>
            <w:tcBorders>
              <w:top w:val="nil"/>
              <w:bottom w:val="nil"/>
            </w:tcBorders>
          </w:tcPr>
          <w:p w:rsidR="00212513" w:rsidRDefault="00212513">
            <w:pPr>
              <w:pStyle w:val="ConsPlusNormal"/>
              <w:jc w:val="center"/>
            </w:pPr>
            <w:r>
              <w:t>8 - 20</w:t>
            </w:r>
          </w:p>
        </w:tc>
        <w:tc>
          <w:tcPr>
            <w:tcW w:w="1020" w:type="dxa"/>
            <w:tcBorders>
              <w:top w:val="nil"/>
              <w:bottom w:val="nil"/>
            </w:tcBorders>
          </w:tcPr>
          <w:p w:rsidR="00212513" w:rsidRDefault="00212513">
            <w:pPr>
              <w:pStyle w:val="ConsPlusNormal"/>
              <w:jc w:val="center"/>
            </w:pPr>
            <w:r>
              <w:t>345</w:t>
            </w:r>
          </w:p>
        </w:tc>
        <w:tc>
          <w:tcPr>
            <w:tcW w:w="850" w:type="dxa"/>
            <w:tcBorders>
              <w:top w:val="nil"/>
              <w:bottom w:val="nil"/>
            </w:tcBorders>
          </w:tcPr>
          <w:p w:rsidR="00212513" w:rsidRDefault="00212513">
            <w:pPr>
              <w:pStyle w:val="ConsPlusNormal"/>
              <w:jc w:val="center"/>
            </w:pPr>
            <w:r>
              <w:t>490</w:t>
            </w:r>
          </w:p>
        </w:tc>
        <w:tc>
          <w:tcPr>
            <w:tcW w:w="1020" w:type="dxa"/>
            <w:tcBorders>
              <w:top w:val="nil"/>
              <w:bottom w:val="nil"/>
            </w:tcBorders>
          </w:tcPr>
          <w:p w:rsidR="00212513" w:rsidRDefault="00212513">
            <w:pPr>
              <w:pStyle w:val="ConsPlusNormal"/>
              <w:jc w:val="center"/>
            </w:pPr>
            <w:r>
              <w:t>295</w:t>
            </w:r>
          </w:p>
        </w:tc>
        <w:tc>
          <w:tcPr>
            <w:tcW w:w="850" w:type="dxa"/>
            <w:tcBorders>
              <w:top w:val="nil"/>
              <w:bottom w:val="nil"/>
            </w:tcBorders>
          </w:tcPr>
          <w:p w:rsidR="00212513" w:rsidRDefault="00212513">
            <w:pPr>
              <w:pStyle w:val="ConsPlusNormal"/>
              <w:jc w:val="center"/>
            </w:pPr>
            <w:r>
              <w:t>415</w:t>
            </w:r>
          </w:p>
        </w:tc>
      </w:tr>
      <w:tr w:rsidR="00212513">
        <w:tblPrEx>
          <w:tblBorders>
            <w:insideH w:val="none" w:sz="0" w:space="0" w:color="auto"/>
          </w:tblBorders>
        </w:tblPrEx>
        <w:tc>
          <w:tcPr>
            <w:tcW w:w="1304" w:type="dxa"/>
            <w:tcBorders>
              <w:top w:val="nil"/>
              <w:bottom w:val="nil"/>
            </w:tcBorders>
          </w:tcPr>
          <w:p w:rsidR="00212513" w:rsidRDefault="00212513">
            <w:pPr>
              <w:pStyle w:val="ConsPlusNormal"/>
            </w:pPr>
            <w:r>
              <w:t>10ХСНД</w:t>
            </w:r>
          </w:p>
        </w:tc>
        <w:tc>
          <w:tcPr>
            <w:tcW w:w="1531" w:type="dxa"/>
            <w:tcBorders>
              <w:top w:val="nil"/>
              <w:bottom w:val="nil"/>
            </w:tcBorders>
          </w:tcPr>
          <w:p w:rsidR="00212513" w:rsidRDefault="00212513">
            <w:pPr>
              <w:pStyle w:val="ConsPlusNormal"/>
            </w:pPr>
            <w:hyperlink r:id="rId1540">
              <w:r>
                <w:rPr>
                  <w:color w:val="0000FF"/>
                </w:rPr>
                <w:t>ГОСТ Р 55374</w:t>
              </w:r>
            </w:hyperlink>
            <w:r>
              <w:t xml:space="preserve">, </w:t>
            </w:r>
            <w:hyperlink r:id="rId1541">
              <w:r>
                <w:rPr>
                  <w:color w:val="0000FF"/>
                </w:rPr>
                <w:t>ГОСТ 6713</w:t>
              </w:r>
            </w:hyperlink>
          </w:p>
        </w:tc>
        <w:tc>
          <w:tcPr>
            <w:tcW w:w="1304" w:type="dxa"/>
            <w:tcBorders>
              <w:top w:val="nil"/>
              <w:bottom w:val="nil"/>
            </w:tcBorders>
          </w:tcPr>
          <w:p w:rsidR="00212513" w:rsidRDefault="00212513">
            <w:pPr>
              <w:pStyle w:val="ConsPlusNormal"/>
              <w:jc w:val="center"/>
            </w:pPr>
            <w:r>
              <w:t>Листовой</w:t>
            </w:r>
          </w:p>
        </w:tc>
        <w:tc>
          <w:tcPr>
            <w:tcW w:w="1191" w:type="dxa"/>
            <w:tcBorders>
              <w:top w:val="nil"/>
              <w:bottom w:val="nil"/>
            </w:tcBorders>
          </w:tcPr>
          <w:p w:rsidR="00212513" w:rsidRDefault="00212513">
            <w:pPr>
              <w:pStyle w:val="ConsPlusNormal"/>
              <w:jc w:val="center"/>
            </w:pPr>
            <w:r>
              <w:t>8 - 50</w:t>
            </w:r>
          </w:p>
        </w:tc>
        <w:tc>
          <w:tcPr>
            <w:tcW w:w="1020" w:type="dxa"/>
            <w:tcBorders>
              <w:top w:val="nil"/>
              <w:bottom w:val="nil"/>
            </w:tcBorders>
          </w:tcPr>
          <w:p w:rsidR="00212513" w:rsidRDefault="00212513">
            <w:pPr>
              <w:pStyle w:val="ConsPlusNormal"/>
              <w:jc w:val="center"/>
            </w:pPr>
            <w:r>
              <w:t>390</w:t>
            </w:r>
          </w:p>
        </w:tc>
        <w:tc>
          <w:tcPr>
            <w:tcW w:w="850" w:type="dxa"/>
            <w:tcBorders>
              <w:top w:val="nil"/>
              <w:bottom w:val="nil"/>
            </w:tcBorders>
          </w:tcPr>
          <w:p w:rsidR="00212513" w:rsidRDefault="00212513">
            <w:pPr>
              <w:pStyle w:val="ConsPlusNormal"/>
              <w:jc w:val="center"/>
            </w:pPr>
            <w:r>
              <w:t>530</w:t>
            </w:r>
          </w:p>
        </w:tc>
        <w:tc>
          <w:tcPr>
            <w:tcW w:w="1020" w:type="dxa"/>
            <w:tcBorders>
              <w:top w:val="nil"/>
              <w:bottom w:val="nil"/>
            </w:tcBorders>
          </w:tcPr>
          <w:p w:rsidR="00212513" w:rsidRDefault="00212513">
            <w:pPr>
              <w:pStyle w:val="ConsPlusNormal"/>
              <w:jc w:val="center"/>
            </w:pPr>
            <w:r>
              <w:t>350</w:t>
            </w:r>
          </w:p>
        </w:tc>
        <w:tc>
          <w:tcPr>
            <w:tcW w:w="850" w:type="dxa"/>
            <w:tcBorders>
              <w:top w:val="nil"/>
              <w:bottom w:val="nil"/>
            </w:tcBorders>
          </w:tcPr>
          <w:p w:rsidR="00212513" w:rsidRDefault="00212513">
            <w:pPr>
              <w:pStyle w:val="ConsPlusNormal"/>
              <w:jc w:val="center"/>
            </w:pPr>
            <w:r>
              <w:t>470</w:t>
            </w:r>
          </w:p>
        </w:tc>
      </w:tr>
      <w:tr w:rsidR="00212513">
        <w:tblPrEx>
          <w:tblBorders>
            <w:insideH w:val="none" w:sz="0" w:space="0" w:color="auto"/>
          </w:tblBorders>
        </w:tblPrEx>
        <w:tc>
          <w:tcPr>
            <w:tcW w:w="1304" w:type="dxa"/>
            <w:tcBorders>
              <w:top w:val="nil"/>
              <w:bottom w:val="nil"/>
            </w:tcBorders>
          </w:tcPr>
          <w:p w:rsidR="00212513" w:rsidRDefault="00212513">
            <w:pPr>
              <w:pStyle w:val="ConsPlusNormal"/>
            </w:pPr>
            <w:r>
              <w:t>10ХСНД</w:t>
            </w:r>
          </w:p>
        </w:tc>
        <w:tc>
          <w:tcPr>
            <w:tcW w:w="1531" w:type="dxa"/>
            <w:tcBorders>
              <w:top w:val="nil"/>
              <w:bottom w:val="nil"/>
            </w:tcBorders>
          </w:tcPr>
          <w:p w:rsidR="00212513" w:rsidRDefault="00212513">
            <w:pPr>
              <w:pStyle w:val="ConsPlusNormal"/>
            </w:pPr>
            <w:hyperlink r:id="rId1542">
              <w:r>
                <w:rPr>
                  <w:color w:val="0000FF"/>
                </w:rPr>
                <w:t>ГОСТ Р 55374</w:t>
              </w:r>
            </w:hyperlink>
            <w:r>
              <w:t xml:space="preserve">, </w:t>
            </w:r>
            <w:hyperlink r:id="rId1543">
              <w:r>
                <w:rPr>
                  <w:color w:val="0000FF"/>
                </w:rPr>
                <w:t>ГОСТ 6713</w:t>
              </w:r>
            </w:hyperlink>
          </w:p>
        </w:tc>
        <w:tc>
          <w:tcPr>
            <w:tcW w:w="1304" w:type="dxa"/>
            <w:tcBorders>
              <w:top w:val="nil"/>
              <w:bottom w:val="nil"/>
            </w:tcBorders>
          </w:tcPr>
          <w:p w:rsidR="00212513" w:rsidRDefault="00212513">
            <w:pPr>
              <w:pStyle w:val="ConsPlusNormal"/>
              <w:jc w:val="center"/>
            </w:pPr>
            <w:r>
              <w:t>Фасонный</w:t>
            </w:r>
          </w:p>
        </w:tc>
        <w:tc>
          <w:tcPr>
            <w:tcW w:w="1191" w:type="dxa"/>
            <w:tcBorders>
              <w:top w:val="nil"/>
              <w:bottom w:val="nil"/>
            </w:tcBorders>
          </w:tcPr>
          <w:p w:rsidR="00212513" w:rsidRDefault="00212513">
            <w:pPr>
              <w:pStyle w:val="ConsPlusNormal"/>
              <w:jc w:val="center"/>
            </w:pPr>
            <w:r>
              <w:t>8 - 15</w:t>
            </w:r>
          </w:p>
        </w:tc>
        <w:tc>
          <w:tcPr>
            <w:tcW w:w="1020" w:type="dxa"/>
            <w:tcBorders>
              <w:top w:val="nil"/>
              <w:bottom w:val="nil"/>
            </w:tcBorders>
          </w:tcPr>
          <w:p w:rsidR="00212513" w:rsidRDefault="00212513">
            <w:pPr>
              <w:pStyle w:val="ConsPlusNormal"/>
              <w:jc w:val="center"/>
            </w:pPr>
            <w:r>
              <w:t>390</w:t>
            </w:r>
          </w:p>
        </w:tc>
        <w:tc>
          <w:tcPr>
            <w:tcW w:w="850" w:type="dxa"/>
            <w:tcBorders>
              <w:top w:val="nil"/>
              <w:bottom w:val="nil"/>
            </w:tcBorders>
          </w:tcPr>
          <w:p w:rsidR="00212513" w:rsidRDefault="00212513">
            <w:pPr>
              <w:pStyle w:val="ConsPlusNormal"/>
              <w:jc w:val="center"/>
            </w:pPr>
            <w:r>
              <w:t>530</w:t>
            </w:r>
          </w:p>
        </w:tc>
        <w:tc>
          <w:tcPr>
            <w:tcW w:w="1020" w:type="dxa"/>
            <w:tcBorders>
              <w:top w:val="nil"/>
              <w:bottom w:val="nil"/>
            </w:tcBorders>
          </w:tcPr>
          <w:p w:rsidR="00212513" w:rsidRDefault="00212513">
            <w:pPr>
              <w:pStyle w:val="ConsPlusNormal"/>
              <w:jc w:val="center"/>
            </w:pPr>
            <w:r>
              <w:t>350</w:t>
            </w:r>
          </w:p>
        </w:tc>
        <w:tc>
          <w:tcPr>
            <w:tcW w:w="850" w:type="dxa"/>
            <w:tcBorders>
              <w:top w:val="nil"/>
              <w:bottom w:val="nil"/>
            </w:tcBorders>
          </w:tcPr>
          <w:p w:rsidR="00212513" w:rsidRDefault="00212513">
            <w:pPr>
              <w:pStyle w:val="ConsPlusNormal"/>
              <w:jc w:val="center"/>
            </w:pPr>
            <w:r>
              <w:t>470</w:t>
            </w:r>
          </w:p>
        </w:tc>
      </w:tr>
      <w:tr w:rsidR="00212513">
        <w:tblPrEx>
          <w:tblBorders>
            <w:insideH w:val="none" w:sz="0" w:space="0" w:color="auto"/>
          </w:tblBorders>
        </w:tblPrEx>
        <w:tc>
          <w:tcPr>
            <w:tcW w:w="1304" w:type="dxa"/>
            <w:tcBorders>
              <w:top w:val="nil"/>
              <w:bottom w:val="nil"/>
            </w:tcBorders>
          </w:tcPr>
          <w:p w:rsidR="00212513" w:rsidRDefault="00212513">
            <w:pPr>
              <w:pStyle w:val="ConsPlusNormal"/>
            </w:pPr>
            <w:r>
              <w:t>10ХСНДА</w:t>
            </w:r>
          </w:p>
        </w:tc>
        <w:tc>
          <w:tcPr>
            <w:tcW w:w="1531" w:type="dxa"/>
            <w:tcBorders>
              <w:top w:val="nil"/>
              <w:bottom w:val="nil"/>
            </w:tcBorders>
          </w:tcPr>
          <w:p w:rsidR="00212513" w:rsidRDefault="00212513">
            <w:pPr>
              <w:pStyle w:val="ConsPlusNormal"/>
            </w:pPr>
            <w:hyperlink w:anchor="P19080">
              <w:r>
                <w:rPr>
                  <w:color w:val="0000FF"/>
                </w:rPr>
                <w:t>[7]</w:t>
              </w:r>
            </w:hyperlink>
          </w:p>
        </w:tc>
        <w:tc>
          <w:tcPr>
            <w:tcW w:w="1304" w:type="dxa"/>
            <w:tcBorders>
              <w:top w:val="nil"/>
              <w:bottom w:val="nil"/>
            </w:tcBorders>
          </w:tcPr>
          <w:p w:rsidR="00212513" w:rsidRDefault="00212513">
            <w:pPr>
              <w:pStyle w:val="ConsPlusNormal"/>
              <w:jc w:val="center"/>
            </w:pPr>
            <w:r>
              <w:t>Листовой</w:t>
            </w:r>
          </w:p>
        </w:tc>
        <w:tc>
          <w:tcPr>
            <w:tcW w:w="1191" w:type="dxa"/>
            <w:tcBorders>
              <w:top w:val="nil"/>
              <w:bottom w:val="nil"/>
            </w:tcBorders>
          </w:tcPr>
          <w:p w:rsidR="00212513" w:rsidRDefault="00212513">
            <w:pPr>
              <w:pStyle w:val="ConsPlusNormal"/>
              <w:jc w:val="center"/>
            </w:pPr>
            <w:r>
              <w:t>8 - 50</w:t>
            </w:r>
          </w:p>
        </w:tc>
        <w:tc>
          <w:tcPr>
            <w:tcW w:w="1020" w:type="dxa"/>
            <w:tcBorders>
              <w:top w:val="nil"/>
              <w:bottom w:val="nil"/>
            </w:tcBorders>
          </w:tcPr>
          <w:p w:rsidR="00212513" w:rsidRDefault="00212513">
            <w:pPr>
              <w:pStyle w:val="ConsPlusNormal"/>
              <w:jc w:val="center"/>
            </w:pPr>
            <w:r>
              <w:t>390</w:t>
            </w:r>
          </w:p>
        </w:tc>
        <w:tc>
          <w:tcPr>
            <w:tcW w:w="850" w:type="dxa"/>
            <w:tcBorders>
              <w:top w:val="nil"/>
              <w:bottom w:val="nil"/>
            </w:tcBorders>
          </w:tcPr>
          <w:p w:rsidR="00212513" w:rsidRDefault="00212513">
            <w:pPr>
              <w:pStyle w:val="ConsPlusNormal"/>
              <w:jc w:val="center"/>
            </w:pPr>
            <w:r>
              <w:t>530</w:t>
            </w:r>
          </w:p>
        </w:tc>
        <w:tc>
          <w:tcPr>
            <w:tcW w:w="1020" w:type="dxa"/>
            <w:tcBorders>
              <w:top w:val="nil"/>
              <w:bottom w:val="nil"/>
            </w:tcBorders>
          </w:tcPr>
          <w:p w:rsidR="00212513" w:rsidRDefault="00212513">
            <w:pPr>
              <w:pStyle w:val="ConsPlusNormal"/>
              <w:jc w:val="center"/>
            </w:pPr>
            <w:r>
              <w:t>350</w:t>
            </w:r>
          </w:p>
        </w:tc>
        <w:tc>
          <w:tcPr>
            <w:tcW w:w="850" w:type="dxa"/>
            <w:tcBorders>
              <w:top w:val="nil"/>
              <w:bottom w:val="nil"/>
            </w:tcBorders>
          </w:tcPr>
          <w:p w:rsidR="00212513" w:rsidRDefault="00212513">
            <w:pPr>
              <w:pStyle w:val="ConsPlusNormal"/>
              <w:jc w:val="center"/>
            </w:pPr>
            <w:r>
              <w:t>470</w:t>
            </w:r>
          </w:p>
        </w:tc>
      </w:tr>
      <w:tr w:rsidR="00212513">
        <w:tblPrEx>
          <w:tblBorders>
            <w:insideH w:val="none" w:sz="0" w:space="0" w:color="auto"/>
          </w:tblBorders>
        </w:tblPrEx>
        <w:tc>
          <w:tcPr>
            <w:tcW w:w="1304" w:type="dxa"/>
            <w:tcBorders>
              <w:top w:val="nil"/>
              <w:bottom w:val="nil"/>
            </w:tcBorders>
          </w:tcPr>
          <w:p w:rsidR="00212513" w:rsidRDefault="00212513">
            <w:pPr>
              <w:pStyle w:val="ConsPlusNormal"/>
            </w:pPr>
            <w:r>
              <w:t>390-</w:t>
            </w:r>
          </w:p>
          <w:p w:rsidR="00212513" w:rsidRDefault="00212513">
            <w:pPr>
              <w:pStyle w:val="ConsPlusNormal"/>
            </w:pPr>
            <w:r>
              <w:t>14ХГНДЦ</w:t>
            </w:r>
          </w:p>
        </w:tc>
        <w:tc>
          <w:tcPr>
            <w:tcW w:w="1531" w:type="dxa"/>
            <w:tcBorders>
              <w:top w:val="nil"/>
              <w:bottom w:val="nil"/>
            </w:tcBorders>
          </w:tcPr>
          <w:p w:rsidR="00212513" w:rsidRDefault="00212513">
            <w:pPr>
              <w:pStyle w:val="ConsPlusNormal"/>
            </w:pPr>
            <w:hyperlink w:anchor="P19080">
              <w:r>
                <w:rPr>
                  <w:color w:val="0000FF"/>
                </w:rPr>
                <w:t>[7]</w:t>
              </w:r>
            </w:hyperlink>
            <w:r>
              <w:t xml:space="preserve">, </w:t>
            </w:r>
            <w:hyperlink r:id="rId1544">
              <w:r>
                <w:rPr>
                  <w:color w:val="0000FF"/>
                </w:rPr>
                <w:t>ГОСТ 6713</w:t>
              </w:r>
            </w:hyperlink>
          </w:p>
        </w:tc>
        <w:tc>
          <w:tcPr>
            <w:tcW w:w="1304" w:type="dxa"/>
            <w:tcBorders>
              <w:top w:val="nil"/>
              <w:bottom w:val="nil"/>
            </w:tcBorders>
          </w:tcPr>
          <w:p w:rsidR="00212513" w:rsidRDefault="00212513">
            <w:pPr>
              <w:pStyle w:val="ConsPlusNormal"/>
              <w:jc w:val="center"/>
            </w:pPr>
            <w:r>
              <w:t>Листовой</w:t>
            </w:r>
          </w:p>
        </w:tc>
        <w:tc>
          <w:tcPr>
            <w:tcW w:w="1191" w:type="dxa"/>
            <w:tcBorders>
              <w:top w:val="nil"/>
              <w:bottom w:val="nil"/>
            </w:tcBorders>
          </w:tcPr>
          <w:p w:rsidR="00212513" w:rsidRDefault="00212513">
            <w:pPr>
              <w:pStyle w:val="ConsPlusNormal"/>
              <w:jc w:val="center"/>
            </w:pPr>
            <w:r>
              <w:t>8 - 50</w:t>
            </w:r>
          </w:p>
        </w:tc>
        <w:tc>
          <w:tcPr>
            <w:tcW w:w="1020" w:type="dxa"/>
            <w:tcBorders>
              <w:top w:val="nil"/>
              <w:bottom w:val="nil"/>
            </w:tcBorders>
          </w:tcPr>
          <w:p w:rsidR="00212513" w:rsidRDefault="00212513">
            <w:pPr>
              <w:pStyle w:val="ConsPlusNormal"/>
              <w:jc w:val="center"/>
            </w:pPr>
            <w:r>
              <w:t>390</w:t>
            </w:r>
          </w:p>
        </w:tc>
        <w:tc>
          <w:tcPr>
            <w:tcW w:w="850" w:type="dxa"/>
            <w:tcBorders>
              <w:top w:val="nil"/>
              <w:bottom w:val="nil"/>
            </w:tcBorders>
          </w:tcPr>
          <w:p w:rsidR="00212513" w:rsidRDefault="00212513">
            <w:pPr>
              <w:pStyle w:val="ConsPlusNormal"/>
              <w:jc w:val="center"/>
            </w:pPr>
            <w:r>
              <w:t>530</w:t>
            </w:r>
          </w:p>
        </w:tc>
        <w:tc>
          <w:tcPr>
            <w:tcW w:w="1020" w:type="dxa"/>
            <w:tcBorders>
              <w:top w:val="nil"/>
              <w:bottom w:val="nil"/>
            </w:tcBorders>
          </w:tcPr>
          <w:p w:rsidR="00212513" w:rsidRDefault="00212513">
            <w:pPr>
              <w:pStyle w:val="ConsPlusNormal"/>
              <w:jc w:val="center"/>
            </w:pPr>
            <w:r>
              <w:t>350</w:t>
            </w:r>
          </w:p>
        </w:tc>
        <w:tc>
          <w:tcPr>
            <w:tcW w:w="850" w:type="dxa"/>
            <w:tcBorders>
              <w:top w:val="nil"/>
              <w:bottom w:val="nil"/>
            </w:tcBorders>
          </w:tcPr>
          <w:p w:rsidR="00212513" w:rsidRDefault="00212513">
            <w:pPr>
              <w:pStyle w:val="ConsPlusNormal"/>
              <w:jc w:val="center"/>
            </w:pPr>
            <w:r>
              <w:t>470</w:t>
            </w:r>
          </w:p>
        </w:tc>
      </w:tr>
      <w:tr w:rsidR="00212513">
        <w:tblPrEx>
          <w:tblBorders>
            <w:insideH w:val="none" w:sz="0" w:space="0" w:color="auto"/>
          </w:tblBorders>
        </w:tblPrEx>
        <w:tc>
          <w:tcPr>
            <w:tcW w:w="1304" w:type="dxa"/>
            <w:tcBorders>
              <w:top w:val="nil"/>
              <w:bottom w:val="single" w:sz="4" w:space="0" w:color="auto"/>
            </w:tcBorders>
          </w:tcPr>
          <w:p w:rsidR="00212513" w:rsidRDefault="00212513">
            <w:pPr>
              <w:pStyle w:val="ConsPlusNormal"/>
            </w:pPr>
            <w:r>
              <w:t>40Х13</w:t>
            </w:r>
          </w:p>
        </w:tc>
        <w:tc>
          <w:tcPr>
            <w:tcW w:w="1531" w:type="dxa"/>
            <w:tcBorders>
              <w:top w:val="nil"/>
              <w:bottom w:val="single" w:sz="4" w:space="0" w:color="auto"/>
            </w:tcBorders>
          </w:tcPr>
          <w:p w:rsidR="00212513" w:rsidRDefault="00212513">
            <w:pPr>
              <w:pStyle w:val="ConsPlusNormal"/>
            </w:pPr>
            <w:hyperlink r:id="rId1545">
              <w:r>
                <w:rPr>
                  <w:color w:val="0000FF"/>
                </w:rPr>
                <w:t>ГОСТ 5632</w:t>
              </w:r>
            </w:hyperlink>
          </w:p>
        </w:tc>
        <w:tc>
          <w:tcPr>
            <w:tcW w:w="1304" w:type="dxa"/>
            <w:tcBorders>
              <w:top w:val="nil"/>
              <w:bottom w:val="single" w:sz="4" w:space="0" w:color="auto"/>
            </w:tcBorders>
          </w:tcPr>
          <w:p w:rsidR="00212513" w:rsidRDefault="00212513">
            <w:pPr>
              <w:pStyle w:val="ConsPlusNormal"/>
              <w:jc w:val="center"/>
            </w:pPr>
            <w:r>
              <w:t>Круглый</w:t>
            </w:r>
          </w:p>
        </w:tc>
        <w:tc>
          <w:tcPr>
            <w:tcW w:w="1191" w:type="dxa"/>
            <w:tcBorders>
              <w:top w:val="nil"/>
              <w:bottom w:val="single" w:sz="4" w:space="0" w:color="auto"/>
            </w:tcBorders>
          </w:tcPr>
          <w:p w:rsidR="00212513" w:rsidRDefault="00212513">
            <w:pPr>
              <w:pStyle w:val="ConsPlusNormal"/>
              <w:jc w:val="center"/>
            </w:pPr>
            <w:r>
              <w:t>До 250</w:t>
            </w:r>
          </w:p>
        </w:tc>
        <w:tc>
          <w:tcPr>
            <w:tcW w:w="1020" w:type="dxa"/>
            <w:tcBorders>
              <w:top w:val="nil"/>
              <w:bottom w:val="single" w:sz="4" w:space="0" w:color="auto"/>
            </w:tcBorders>
          </w:tcPr>
          <w:p w:rsidR="00212513" w:rsidRDefault="00212513">
            <w:pPr>
              <w:pStyle w:val="ConsPlusNormal"/>
              <w:jc w:val="center"/>
            </w:pPr>
            <w:r>
              <w:t>1200</w:t>
            </w:r>
          </w:p>
        </w:tc>
        <w:tc>
          <w:tcPr>
            <w:tcW w:w="850" w:type="dxa"/>
            <w:tcBorders>
              <w:top w:val="nil"/>
              <w:bottom w:val="single" w:sz="4" w:space="0" w:color="auto"/>
            </w:tcBorders>
          </w:tcPr>
          <w:p w:rsidR="00212513" w:rsidRDefault="00212513">
            <w:pPr>
              <w:pStyle w:val="ConsPlusNormal"/>
              <w:jc w:val="center"/>
            </w:pPr>
            <w:r>
              <w:t>1540</w:t>
            </w:r>
          </w:p>
        </w:tc>
        <w:tc>
          <w:tcPr>
            <w:tcW w:w="1020" w:type="dxa"/>
            <w:tcBorders>
              <w:top w:val="nil"/>
              <w:bottom w:val="single" w:sz="4" w:space="0" w:color="auto"/>
            </w:tcBorders>
          </w:tcPr>
          <w:p w:rsidR="00212513" w:rsidRDefault="00212513">
            <w:pPr>
              <w:pStyle w:val="ConsPlusNormal"/>
              <w:jc w:val="center"/>
            </w:pPr>
            <w:r>
              <w:t>1050</w:t>
            </w:r>
          </w:p>
        </w:tc>
        <w:tc>
          <w:tcPr>
            <w:tcW w:w="850" w:type="dxa"/>
            <w:tcBorders>
              <w:top w:val="nil"/>
              <w:bottom w:val="single" w:sz="4" w:space="0" w:color="auto"/>
            </w:tcBorders>
          </w:tcPr>
          <w:p w:rsidR="00212513" w:rsidRDefault="00212513">
            <w:pPr>
              <w:pStyle w:val="ConsPlusNormal"/>
              <w:jc w:val="center"/>
            </w:pPr>
            <w:r>
              <w:t>1365</w:t>
            </w:r>
          </w:p>
        </w:tc>
      </w:tr>
      <w:tr w:rsidR="00212513">
        <w:tc>
          <w:tcPr>
            <w:tcW w:w="9070" w:type="dxa"/>
            <w:gridSpan w:val="8"/>
            <w:tcBorders>
              <w:top w:val="single" w:sz="4" w:space="0" w:color="auto"/>
              <w:bottom w:val="single" w:sz="4" w:space="0" w:color="auto"/>
            </w:tcBorders>
          </w:tcPr>
          <w:p w:rsidR="00212513" w:rsidRDefault="00212513">
            <w:pPr>
              <w:pStyle w:val="ConsPlusNormal"/>
              <w:ind w:firstLine="283"/>
              <w:jc w:val="both"/>
            </w:pPr>
            <w:bookmarkStart w:id="281" w:name="P6535"/>
            <w:bookmarkEnd w:id="281"/>
            <w:r>
              <w:t>&lt;1&gt; За толщину фасонного проката следует принимать толщину полки.</w:t>
            </w:r>
          </w:p>
          <w:p w:rsidR="00212513" w:rsidRDefault="00212513">
            <w:pPr>
              <w:pStyle w:val="ConsPlusNormal"/>
              <w:ind w:firstLine="283"/>
              <w:jc w:val="both"/>
            </w:pPr>
            <w:bookmarkStart w:id="282" w:name="P6536"/>
            <w:bookmarkEnd w:id="282"/>
            <w:r>
              <w:t xml:space="preserve">&lt;2&gt; За нормативные сопротивления приняты минимальные значения предела текучести и временного сопротивления, приведенные в </w:t>
            </w:r>
            <w:hyperlink r:id="rId1546">
              <w:r>
                <w:rPr>
                  <w:color w:val="0000FF"/>
                </w:rPr>
                <w:t>ГОСТ 6713</w:t>
              </w:r>
            </w:hyperlink>
            <w:r>
              <w:t xml:space="preserve">, </w:t>
            </w:r>
            <w:hyperlink r:id="rId1547">
              <w:r>
                <w:rPr>
                  <w:color w:val="0000FF"/>
                </w:rPr>
                <w:t>ГОСТ 19281</w:t>
              </w:r>
            </w:hyperlink>
            <w:r>
              <w:t xml:space="preserve">, </w:t>
            </w:r>
            <w:hyperlink r:id="rId1548">
              <w:r>
                <w:rPr>
                  <w:color w:val="0000FF"/>
                </w:rPr>
                <w:t>ГОСТ 5632</w:t>
              </w:r>
            </w:hyperlink>
            <w:r>
              <w:t xml:space="preserve"> (40Х13), </w:t>
            </w:r>
            <w:hyperlink w:anchor="P19080">
              <w:r>
                <w:rPr>
                  <w:color w:val="0000FF"/>
                </w:rPr>
                <w:t>[7]</w:t>
              </w:r>
            </w:hyperlink>
            <w:r>
              <w:t>.</w:t>
            </w:r>
          </w:p>
          <w:p w:rsidR="00212513" w:rsidRDefault="00212513">
            <w:pPr>
              <w:pStyle w:val="ConsPlusNormal"/>
              <w:ind w:firstLine="283"/>
              <w:jc w:val="both"/>
            </w:pPr>
            <w:bookmarkStart w:id="283" w:name="P6537"/>
            <w:bookmarkEnd w:id="283"/>
            <w:r>
              <w:t xml:space="preserve">&lt;3&gt; Здесь указаны расчетные сопротивления растяжению, сжатию и изгибу </w:t>
            </w:r>
            <w:r>
              <w:rPr>
                <w:i/>
              </w:rPr>
              <w:t>R</w:t>
            </w:r>
            <w:r>
              <w:rPr>
                <w:i/>
                <w:vertAlign w:val="subscript"/>
              </w:rPr>
              <w:t>y</w:t>
            </w:r>
            <w:r>
              <w:t xml:space="preserve"> и </w:t>
            </w:r>
            <w:r>
              <w:rPr>
                <w:i/>
              </w:rPr>
              <w:t>R</w:t>
            </w:r>
            <w:r>
              <w:rPr>
                <w:i/>
                <w:vertAlign w:val="subscript"/>
              </w:rPr>
              <w:t>u</w:t>
            </w:r>
            <w:r>
              <w:t xml:space="preserve">. Остальные расчетные сопротивления определяются по формулам </w:t>
            </w:r>
            <w:hyperlink w:anchor="P6357">
              <w:r>
                <w:rPr>
                  <w:color w:val="0000FF"/>
                </w:rPr>
                <w:t>таблицы 8.3</w:t>
              </w:r>
            </w:hyperlink>
            <w:r>
              <w:t>.</w:t>
            </w:r>
          </w:p>
          <w:p w:rsidR="00212513" w:rsidRDefault="00212513">
            <w:pPr>
              <w:pStyle w:val="ConsPlusNormal"/>
            </w:pPr>
          </w:p>
          <w:p w:rsidR="00212513" w:rsidRDefault="00212513">
            <w:pPr>
              <w:pStyle w:val="ConsPlusNormal"/>
              <w:ind w:firstLine="283"/>
              <w:jc w:val="both"/>
            </w:pPr>
            <w:r>
              <w:t>Примечания</w:t>
            </w:r>
          </w:p>
          <w:p w:rsidR="00212513" w:rsidRDefault="00212513">
            <w:pPr>
              <w:pStyle w:val="ConsPlusNormal"/>
              <w:ind w:firstLine="283"/>
              <w:jc w:val="both"/>
            </w:pPr>
            <w:r>
              <w:t>1 Значения расчетных сопротивлений получены делением нормативных сопротивлений на коэффициент надежности по материалу, определяемый но таблице 8.4, и округлением до 5 МПа.</w:t>
            </w:r>
          </w:p>
          <w:p w:rsidR="00212513" w:rsidRDefault="00212513">
            <w:pPr>
              <w:pStyle w:val="ConsPlusNormal"/>
              <w:ind w:firstLine="283"/>
              <w:jc w:val="both"/>
            </w:pPr>
            <w:r>
              <w:t xml:space="preserve">2 Расчетные сопротивления двухслойной коррозионно-стойкой стали по </w:t>
            </w:r>
            <w:hyperlink r:id="rId1549">
              <w:r>
                <w:rPr>
                  <w:color w:val="0000FF"/>
                </w:rPr>
                <w:t>ГОСТ 10885</w:t>
              </w:r>
            </w:hyperlink>
            <w:r>
              <w:t xml:space="preserve"> следует принимать по основному слою, без учета толщины плакирующего слоя.</w:t>
            </w:r>
          </w:p>
        </w:tc>
      </w:tr>
    </w:tbl>
    <w:p w:rsidR="00212513" w:rsidRDefault="00212513">
      <w:pPr>
        <w:pStyle w:val="ConsPlusNormal"/>
        <w:ind w:firstLine="540"/>
        <w:jc w:val="both"/>
      </w:pPr>
    </w:p>
    <w:p w:rsidR="00212513" w:rsidRDefault="00212513">
      <w:pPr>
        <w:pStyle w:val="ConsPlusNormal"/>
        <w:ind w:firstLine="540"/>
        <w:jc w:val="both"/>
      </w:pPr>
      <w:r>
        <w:t>Расчетные сопротивления отливок из углеродистой и легированной сталей следует принимать по таблице 8.6.</w:t>
      </w:r>
    </w:p>
    <w:p w:rsidR="00212513" w:rsidRDefault="00212513">
      <w:pPr>
        <w:pStyle w:val="ConsPlusNormal"/>
        <w:ind w:firstLine="540"/>
        <w:jc w:val="both"/>
      </w:pPr>
    </w:p>
    <w:p w:rsidR="00212513" w:rsidRDefault="00212513">
      <w:pPr>
        <w:pStyle w:val="ConsPlusNormal"/>
        <w:jc w:val="right"/>
      </w:pPr>
      <w:r>
        <w:t>Таблица 8.6</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2"/>
        <w:gridCol w:w="1531"/>
        <w:gridCol w:w="689"/>
        <w:gridCol w:w="624"/>
        <w:gridCol w:w="689"/>
        <w:gridCol w:w="689"/>
        <w:gridCol w:w="737"/>
        <w:gridCol w:w="692"/>
      </w:tblGrid>
      <w:tr w:rsidR="00212513">
        <w:tc>
          <w:tcPr>
            <w:tcW w:w="3402" w:type="dxa"/>
            <w:vMerge w:val="restart"/>
            <w:vAlign w:val="center"/>
          </w:tcPr>
          <w:p w:rsidR="00212513" w:rsidRDefault="00212513">
            <w:pPr>
              <w:pStyle w:val="ConsPlusNormal"/>
              <w:jc w:val="center"/>
            </w:pPr>
            <w:r>
              <w:t>Напряженное состояние</w:t>
            </w:r>
          </w:p>
        </w:tc>
        <w:tc>
          <w:tcPr>
            <w:tcW w:w="5651" w:type="dxa"/>
            <w:gridSpan w:val="7"/>
            <w:vAlign w:val="center"/>
          </w:tcPr>
          <w:p w:rsidR="00212513" w:rsidRDefault="00212513">
            <w:pPr>
              <w:pStyle w:val="ConsPlusNormal"/>
              <w:jc w:val="center"/>
            </w:pPr>
            <w:r>
              <w:t>Расчетные сопротивления отливок, МПа</w:t>
            </w:r>
          </w:p>
        </w:tc>
      </w:tr>
      <w:tr w:rsidR="00212513">
        <w:tc>
          <w:tcPr>
            <w:tcW w:w="3402" w:type="dxa"/>
            <w:vMerge/>
          </w:tcPr>
          <w:p w:rsidR="00212513" w:rsidRDefault="00212513">
            <w:pPr>
              <w:pStyle w:val="ConsPlusNormal"/>
            </w:pPr>
          </w:p>
        </w:tc>
        <w:tc>
          <w:tcPr>
            <w:tcW w:w="1531" w:type="dxa"/>
            <w:vMerge w:val="restart"/>
            <w:vAlign w:val="center"/>
          </w:tcPr>
          <w:p w:rsidR="00212513" w:rsidRDefault="00212513">
            <w:pPr>
              <w:pStyle w:val="ConsPlusNormal"/>
              <w:jc w:val="center"/>
            </w:pPr>
            <w:r>
              <w:t>обозначение</w:t>
            </w:r>
          </w:p>
        </w:tc>
        <w:tc>
          <w:tcPr>
            <w:tcW w:w="4120" w:type="dxa"/>
            <w:gridSpan w:val="6"/>
            <w:vAlign w:val="center"/>
          </w:tcPr>
          <w:p w:rsidR="00212513" w:rsidRDefault="00212513">
            <w:pPr>
              <w:pStyle w:val="ConsPlusNormal"/>
              <w:jc w:val="center"/>
            </w:pPr>
            <w:r>
              <w:t>из стали марки</w:t>
            </w:r>
          </w:p>
        </w:tc>
      </w:tr>
      <w:tr w:rsidR="00212513">
        <w:tc>
          <w:tcPr>
            <w:tcW w:w="3402" w:type="dxa"/>
            <w:vMerge/>
          </w:tcPr>
          <w:p w:rsidR="00212513" w:rsidRDefault="00212513">
            <w:pPr>
              <w:pStyle w:val="ConsPlusNormal"/>
            </w:pPr>
          </w:p>
        </w:tc>
        <w:tc>
          <w:tcPr>
            <w:tcW w:w="1531" w:type="dxa"/>
            <w:vMerge/>
          </w:tcPr>
          <w:p w:rsidR="00212513" w:rsidRDefault="00212513">
            <w:pPr>
              <w:pStyle w:val="ConsPlusNormal"/>
            </w:pPr>
          </w:p>
        </w:tc>
        <w:tc>
          <w:tcPr>
            <w:tcW w:w="689" w:type="dxa"/>
            <w:vAlign w:val="center"/>
          </w:tcPr>
          <w:p w:rsidR="00212513" w:rsidRDefault="00212513">
            <w:pPr>
              <w:pStyle w:val="ConsPlusNormal"/>
              <w:jc w:val="center"/>
            </w:pPr>
            <w:r>
              <w:t>25Л</w:t>
            </w:r>
          </w:p>
        </w:tc>
        <w:tc>
          <w:tcPr>
            <w:tcW w:w="624" w:type="dxa"/>
            <w:vAlign w:val="center"/>
          </w:tcPr>
          <w:p w:rsidR="00212513" w:rsidRDefault="00212513">
            <w:pPr>
              <w:pStyle w:val="ConsPlusNormal"/>
              <w:jc w:val="center"/>
            </w:pPr>
            <w:r>
              <w:t>30Л</w:t>
            </w:r>
          </w:p>
        </w:tc>
        <w:tc>
          <w:tcPr>
            <w:tcW w:w="689" w:type="dxa"/>
            <w:vAlign w:val="center"/>
          </w:tcPr>
          <w:p w:rsidR="00212513" w:rsidRDefault="00212513">
            <w:pPr>
              <w:pStyle w:val="ConsPlusNormal"/>
              <w:jc w:val="center"/>
            </w:pPr>
            <w:r>
              <w:t>35Л</w:t>
            </w:r>
          </w:p>
        </w:tc>
        <w:tc>
          <w:tcPr>
            <w:tcW w:w="689" w:type="dxa"/>
            <w:vAlign w:val="center"/>
          </w:tcPr>
          <w:p w:rsidR="00212513" w:rsidRDefault="00212513">
            <w:pPr>
              <w:pStyle w:val="ConsPlusNormal"/>
              <w:jc w:val="center"/>
            </w:pPr>
            <w:r>
              <w:t>20ГЛ</w:t>
            </w:r>
          </w:p>
        </w:tc>
        <w:tc>
          <w:tcPr>
            <w:tcW w:w="737" w:type="dxa"/>
            <w:vAlign w:val="center"/>
          </w:tcPr>
          <w:p w:rsidR="00212513" w:rsidRDefault="00212513">
            <w:pPr>
              <w:pStyle w:val="ConsPlusNormal"/>
              <w:jc w:val="center"/>
            </w:pPr>
            <w:r>
              <w:t>20ФЛ</w:t>
            </w:r>
          </w:p>
        </w:tc>
        <w:tc>
          <w:tcPr>
            <w:tcW w:w="692" w:type="dxa"/>
            <w:vAlign w:val="center"/>
          </w:tcPr>
          <w:p w:rsidR="00212513" w:rsidRDefault="00212513">
            <w:pPr>
              <w:pStyle w:val="ConsPlusNormal"/>
              <w:jc w:val="center"/>
            </w:pPr>
            <w:r>
              <w:t>35ГЛ</w:t>
            </w:r>
          </w:p>
        </w:tc>
      </w:tr>
      <w:tr w:rsidR="00212513">
        <w:tc>
          <w:tcPr>
            <w:tcW w:w="3402" w:type="dxa"/>
          </w:tcPr>
          <w:p w:rsidR="00212513" w:rsidRDefault="00212513">
            <w:pPr>
              <w:pStyle w:val="ConsPlusNormal"/>
            </w:pPr>
            <w:r>
              <w:t>Растяжение, сжатие и изгиб</w:t>
            </w:r>
          </w:p>
        </w:tc>
        <w:tc>
          <w:tcPr>
            <w:tcW w:w="1531" w:type="dxa"/>
          </w:tcPr>
          <w:p w:rsidR="00212513" w:rsidRDefault="00212513">
            <w:pPr>
              <w:pStyle w:val="ConsPlusNormal"/>
              <w:jc w:val="center"/>
            </w:pPr>
            <w:r>
              <w:rPr>
                <w:i/>
              </w:rPr>
              <w:t>R</w:t>
            </w:r>
            <w:r>
              <w:rPr>
                <w:i/>
                <w:vertAlign w:val="subscript"/>
              </w:rPr>
              <w:t>y</w:t>
            </w:r>
          </w:p>
        </w:tc>
        <w:tc>
          <w:tcPr>
            <w:tcW w:w="689" w:type="dxa"/>
          </w:tcPr>
          <w:p w:rsidR="00212513" w:rsidRDefault="00212513">
            <w:pPr>
              <w:pStyle w:val="ConsPlusNormal"/>
              <w:jc w:val="center"/>
            </w:pPr>
            <w:r>
              <w:t>175</w:t>
            </w:r>
          </w:p>
        </w:tc>
        <w:tc>
          <w:tcPr>
            <w:tcW w:w="624" w:type="dxa"/>
          </w:tcPr>
          <w:p w:rsidR="00212513" w:rsidRDefault="00212513">
            <w:pPr>
              <w:pStyle w:val="ConsPlusNormal"/>
              <w:jc w:val="center"/>
            </w:pPr>
            <w:r>
              <w:t>190</w:t>
            </w:r>
          </w:p>
        </w:tc>
        <w:tc>
          <w:tcPr>
            <w:tcW w:w="689" w:type="dxa"/>
          </w:tcPr>
          <w:p w:rsidR="00212513" w:rsidRDefault="00212513">
            <w:pPr>
              <w:pStyle w:val="ConsPlusNormal"/>
              <w:jc w:val="center"/>
            </w:pPr>
            <w:r>
              <w:t>205</w:t>
            </w:r>
          </w:p>
        </w:tc>
        <w:tc>
          <w:tcPr>
            <w:tcW w:w="689" w:type="dxa"/>
          </w:tcPr>
          <w:p w:rsidR="00212513" w:rsidRDefault="00212513">
            <w:pPr>
              <w:pStyle w:val="ConsPlusNormal"/>
              <w:jc w:val="center"/>
            </w:pPr>
            <w:r>
              <w:t>205</w:t>
            </w:r>
          </w:p>
        </w:tc>
        <w:tc>
          <w:tcPr>
            <w:tcW w:w="737" w:type="dxa"/>
          </w:tcPr>
          <w:p w:rsidR="00212513" w:rsidRDefault="00212513">
            <w:pPr>
              <w:pStyle w:val="ConsPlusNormal"/>
              <w:jc w:val="center"/>
            </w:pPr>
            <w:r>
              <w:t>220</w:t>
            </w:r>
          </w:p>
        </w:tc>
        <w:tc>
          <w:tcPr>
            <w:tcW w:w="692" w:type="dxa"/>
          </w:tcPr>
          <w:p w:rsidR="00212513" w:rsidRDefault="00212513">
            <w:pPr>
              <w:pStyle w:val="ConsPlusNormal"/>
              <w:jc w:val="center"/>
            </w:pPr>
            <w:r>
              <w:t>220</w:t>
            </w:r>
          </w:p>
        </w:tc>
      </w:tr>
      <w:tr w:rsidR="00212513">
        <w:tc>
          <w:tcPr>
            <w:tcW w:w="3402" w:type="dxa"/>
          </w:tcPr>
          <w:p w:rsidR="00212513" w:rsidRDefault="00212513">
            <w:pPr>
              <w:pStyle w:val="ConsPlusNormal"/>
            </w:pPr>
            <w:r>
              <w:t>Сдвиг</w:t>
            </w:r>
          </w:p>
        </w:tc>
        <w:tc>
          <w:tcPr>
            <w:tcW w:w="1531" w:type="dxa"/>
          </w:tcPr>
          <w:p w:rsidR="00212513" w:rsidRDefault="00212513">
            <w:pPr>
              <w:pStyle w:val="ConsPlusNormal"/>
              <w:jc w:val="center"/>
            </w:pPr>
            <w:r>
              <w:rPr>
                <w:i/>
              </w:rPr>
              <w:t>R</w:t>
            </w:r>
            <w:r>
              <w:rPr>
                <w:i/>
                <w:vertAlign w:val="subscript"/>
              </w:rPr>
              <w:t>s</w:t>
            </w:r>
          </w:p>
        </w:tc>
        <w:tc>
          <w:tcPr>
            <w:tcW w:w="689" w:type="dxa"/>
          </w:tcPr>
          <w:p w:rsidR="00212513" w:rsidRDefault="00212513">
            <w:pPr>
              <w:pStyle w:val="ConsPlusNormal"/>
              <w:jc w:val="center"/>
            </w:pPr>
            <w:r>
              <w:t>105</w:t>
            </w:r>
          </w:p>
        </w:tc>
        <w:tc>
          <w:tcPr>
            <w:tcW w:w="624" w:type="dxa"/>
          </w:tcPr>
          <w:p w:rsidR="00212513" w:rsidRDefault="00212513">
            <w:pPr>
              <w:pStyle w:val="ConsPlusNormal"/>
              <w:jc w:val="center"/>
            </w:pPr>
            <w:r>
              <w:t>115</w:t>
            </w:r>
          </w:p>
        </w:tc>
        <w:tc>
          <w:tcPr>
            <w:tcW w:w="689" w:type="dxa"/>
          </w:tcPr>
          <w:p w:rsidR="00212513" w:rsidRDefault="00212513">
            <w:pPr>
              <w:pStyle w:val="ConsPlusNormal"/>
              <w:jc w:val="center"/>
            </w:pPr>
            <w:r>
              <w:t>125</w:t>
            </w:r>
          </w:p>
        </w:tc>
        <w:tc>
          <w:tcPr>
            <w:tcW w:w="689" w:type="dxa"/>
          </w:tcPr>
          <w:p w:rsidR="00212513" w:rsidRDefault="00212513">
            <w:pPr>
              <w:pStyle w:val="ConsPlusNormal"/>
              <w:jc w:val="center"/>
            </w:pPr>
            <w:r>
              <w:t>123</w:t>
            </w:r>
          </w:p>
        </w:tc>
        <w:tc>
          <w:tcPr>
            <w:tcW w:w="737" w:type="dxa"/>
          </w:tcPr>
          <w:p w:rsidR="00212513" w:rsidRDefault="00212513">
            <w:pPr>
              <w:pStyle w:val="ConsPlusNormal"/>
              <w:jc w:val="center"/>
            </w:pPr>
            <w:r>
              <w:t>130</w:t>
            </w:r>
          </w:p>
        </w:tc>
        <w:tc>
          <w:tcPr>
            <w:tcW w:w="692" w:type="dxa"/>
          </w:tcPr>
          <w:p w:rsidR="00212513" w:rsidRDefault="00212513">
            <w:pPr>
              <w:pStyle w:val="ConsPlusNormal"/>
              <w:jc w:val="center"/>
            </w:pPr>
            <w:r>
              <w:t>130</w:t>
            </w:r>
          </w:p>
        </w:tc>
      </w:tr>
      <w:tr w:rsidR="00212513">
        <w:tc>
          <w:tcPr>
            <w:tcW w:w="3402" w:type="dxa"/>
          </w:tcPr>
          <w:p w:rsidR="00212513" w:rsidRDefault="00212513">
            <w:pPr>
              <w:pStyle w:val="ConsPlusNormal"/>
            </w:pPr>
            <w:r>
              <w:t>Смятие торцевой поверхности (при наличии пригонки)</w:t>
            </w:r>
          </w:p>
        </w:tc>
        <w:tc>
          <w:tcPr>
            <w:tcW w:w="1531" w:type="dxa"/>
          </w:tcPr>
          <w:p w:rsidR="00212513" w:rsidRDefault="00212513">
            <w:pPr>
              <w:pStyle w:val="ConsPlusNormal"/>
              <w:jc w:val="center"/>
            </w:pPr>
            <w:r>
              <w:rPr>
                <w:i/>
              </w:rPr>
              <w:t>R</w:t>
            </w:r>
            <w:r>
              <w:rPr>
                <w:i/>
                <w:vertAlign w:val="subscript"/>
              </w:rPr>
              <w:t>p</w:t>
            </w:r>
          </w:p>
        </w:tc>
        <w:tc>
          <w:tcPr>
            <w:tcW w:w="689" w:type="dxa"/>
          </w:tcPr>
          <w:p w:rsidR="00212513" w:rsidRDefault="00212513">
            <w:pPr>
              <w:pStyle w:val="ConsPlusNormal"/>
              <w:jc w:val="center"/>
            </w:pPr>
            <w:r>
              <w:t>265</w:t>
            </w:r>
          </w:p>
        </w:tc>
        <w:tc>
          <w:tcPr>
            <w:tcW w:w="624" w:type="dxa"/>
          </w:tcPr>
          <w:p w:rsidR="00212513" w:rsidRDefault="00212513">
            <w:pPr>
              <w:pStyle w:val="ConsPlusNormal"/>
              <w:jc w:val="center"/>
            </w:pPr>
            <w:r>
              <w:t>300</w:t>
            </w:r>
          </w:p>
        </w:tc>
        <w:tc>
          <w:tcPr>
            <w:tcW w:w="689" w:type="dxa"/>
          </w:tcPr>
          <w:p w:rsidR="00212513" w:rsidRDefault="00212513">
            <w:pPr>
              <w:pStyle w:val="ConsPlusNormal"/>
              <w:jc w:val="center"/>
            </w:pPr>
            <w:r>
              <w:t>315</w:t>
            </w:r>
          </w:p>
        </w:tc>
        <w:tc>
          <w:tcPr>
            <w:tcW w:w="689" w:type="dxa"/>
          </w:tcPr>
          <w:p w:rsidR="00212513" w:rsidRDefault="00212513">
            <w:pPr>
              <w:pStyle w:val="ConsPlusNormal"/>
              <w:jc w:val="center"/>
            </w:pPr>
            <w:r>
              <w:t>345</w:t>
            </w:r>
          </w:p>
        </w:tc>
        <w:tc>
          <w:tcPr>
            <w:tcW w:w="737" w:type="dxa"/>
          </w:tcPr>
          <w:p w:rsidR="00212513" w:rsidRDefault="00212513">
            <w:pPr>
              <w:pStyle w:val="ConsPlusNormal"/>
              <w:jc w:val="center"/>
            </w:pPr>
            <w:r>
              <w:t>315</w:t>
            </w:r>
          </w:p>
        </w:tc>
        <w:tc>
          <w:tcPr>
            <w:tcW w:w="692" w:type="dxa"/>
          </w:tcPr>
          <w:p w:rsidR="00212513" w:rsidRDefault="00212513">
            <w:pPr>
              <w:pStyle w:val="ConsPlusNormal"/>
              <w:jc w:val="center"/>
            </w:pPr>
            <w:r>
              <w:t>345</w:t>
            </w:r>
          </w:p>
        </w:tc>
      </w:tr>
      <w:tr w:rsidR="00212513">
        <w:tc>
          <w:tcPr>
            <w:tcW w:w="3402" w:type="dxa"/>
          </w:tcPr>
          <w:p w:rsidR="00212513" w:rsidRDefault="00212513">
            <w:pPr>
              <w:pStyle w:val="ConsPlusNormal"/>
            </w:pPr>
            <w:r>
              <w:t>Смятие местное в цилиндрических шарнирах (цапфах) при плотном касании</w:t>
            </w:r>
          </w:p>
        </w:tc>
        <w:tc>
          <w:tcPr>
            <w:tcW w:w="1531" w:type="dxa"/>
          </w:tcPr>
          <w:p w:rsidR="00212513" w:rsidRDefault="00212513">
            <w:pPr>
              <w:pStyle w:val="ConsPlusNormal"/>
              <w:jc w:val="center"/>
            </w:pPr>
            <w:r>
              <w:rPr>
                <w:i/>
              </w:rPr>
              <w:t>R</w:t>
            </w:r>
            <w:r>
              <w:rPr>
                <w:i/>
                <w:vertAlign w:val="subscript"/>
              </w:rPr>
              <w:t>lp</w:t>
            </w:r>
          </w:p>
        </w:tc>
        <w:tc>
          <w:tcPr>
            <w:tcW w:w="689" w:type="dxa"/>
          </w:tcPr>
          <w:p w:rsidR="00212513" w:rsidRDefault="00212513">
            <w:pPr>
              <w:pStyle w:val="ConsPlusNormal"/>
              <w:jc w:val="center"/>
            </w:pPr>
            <w:r>
              <w:t>125</w:t>
            </w:r>
          </w:p>
        </w:tc>
        <w:tc>
          <w:tcPr>
            <w:tcW w:w="624" w:type="dxa"/>
          </w:tcPr>
          <w:p w:rsidR="00212513" w:rsidRDefault="00212513">
            <w:pPr>
              <w:pStyle w:val="ConsPlusNormal"/>
              <w:jc w:val="center"/>
            </w:pPr>
            <w:r>
              <w:t>145</w:t>
            </w:r>
          </w:p>
        </w:tc>
        <w:tc>
          <w:tcPr>
            <w:tcW w:w="689" w:type="dxa"/>
          </w:tcPr>
          <w:p w:rsidR="00212513" w:rsidRDefault="00212513">
            <w:pPr>
              <w:pStyle w:val="ConsPlusNormal"/>
              <w:jc w:val="center"/>
            </w:pPr>
            <w:r>
              <w:t>155</w:t>
            </w:r>
          </w:p>
        </w:tc>
        <w:tc>
          <w:tcPr>
            <w:tcW w:w="689" w:type="dxa"/>
          </w:tcPr>
          <w:p w:rsidR="00212513" w:rsidRDefault="00212513">
            <w:pPr>
              <w:pStyle w:val="ConsPlusNormal"/>
              <w:jc w:val="center"/>
            </w:pPr>
            <w:r>
              <w:t>170</w:t>
            </w:r>
          </w:p>
        </w:tc>
        <w:tc>
          <w:tcPr>
            <w:tcW w:w="737" w:type="dxa"/>
          </w:tcPr>
          <w:p w:rsidR="00212513" w:rsidRDefault="00212513">
            <w:pPr>
              <w:pStyle w:val="ConsPlusNormal"/>
              <w:jc w:val="center"/>
            </w:pPr>
            <w:r>
              <w:t>155</w:t>
            </w:r>
          </w:p>
        </w:tc>
        <w:tc>
          <w:tcPr>
            <w:tcW w:w="692" w:type="dxa"/>
          </w:tcPr>
          <w:p w:rsidR="00212513" w:rsidRDefault="00212513">
            <w:pPr>
              <w:pStyle w:val="ConsPlusNormal"/>
              <w:jc w:val="center"/>
            </w:pPr>
            <w:r>
              <w:t>170</w:t>
            </w:r>
          </w:p>
        </w:tc>
      </w:tr>
      <w:tr w:rsidR="00212513">
        <w:tc>
          <w:tcPr>
            <w:tcW w:w="3402" w:type="dxa"/>
          </w:tcPr>
          <w:p w:rsidR="00212513" w:rsidRDefault="00212513">
            <w:pPr>
              <w:pStyle w:val="ConsPlusNormal"/>
            </w:pPr>
            <w:r>
              <w:lastRenderedPageBreak/>
              <w:t>Диаметральное сжатие катков (при свободном касании в конструкциях с ограниченной подвижностью)</w:t>
            </w:r>
          </w:p>
        </w:tc>
        <w:tc>
          <w:tcPr>
            <w:tcW w:w="1531" w:type="dxa"/>
          </w:tcPr>
          <w:p w:rsidR="00212513" w:rsidRDefault="00212513">
            <w:pPr>
              <w:pStyle w:val="ConsPlusNormal"/>
              <w:jc w:val="center"/>
            </w:pPr>
            <w:r>
              <w:rPr>
                <w:i/>
              </w:rPr>
              <w:t>R</w:t>
            </w:r>
            <w:r>
              <w:rPr>
                <w:i/>
                <w:vertAlign w:val="subscript"/>
              </w:rPr>
              <w:t>cd</w:t>
            </w:r>
          </w:p>
        </w:tc>
        <w:tc>
          <w:tcPr>
            <w:tcW w:w="689" w:type="dxa"/>
          </w:tcPr>
          <w:p w:rsidR="00212513" w:rsidRDefault="00212513">
            <w:pPr>
              <w:pStyle w:val="ConsPlusNormal"/>
              <w:jc w:val="center"/>
            </w:pPr>
            <w:r>
              <w:t>7</w:t>
            </w:r>
          </w:p>
        </w:tc>
        <w:tc>
          <w:tcPr>
            <w:tcW w:w="624" w:type="dxa"/>
          </w:tcPr>
          <w:p w:rsidR="00212513" w:rsidRDefault="00212513">
            <w:pPr>
              <w:pStyle w:val="ConsPlusNormal"/>
              <w:jc w:val="center"/>
            </w:pPr>
            <w:r>
              <w:t>7,5</w:t>
            </w:r>
          </w:p>
        </w:tc>
        <w:tc>
          <w:tcPr>
            <w:tcW w:w="689" w:type="dxa"/>
          </w:tcPr>
          <w:p w:rsidR="00212513" w:rsidRDefault="00212513">
            <w:pPr>
              <w:pStyle w:val="ConsPlusNormal"/>
              <w:jc w:val="center"/>
            </w:pPr>
            <w:r>
              <w:t>8</w:t>
            </w:r>
          </w:p>
        </w:tc>
        <w:tc>
          <w:tcPr>
            <w:tcW w:w="689" w:type="dxa"/>
          </w:tcPr>
          <w:p w:rsidR="00212513" w:rsidRDefault="00212513">
            <w:pPr>
              <w:pStyle w:val="ConsPlusNormal"/>
              <w:jc w:val="center"/>
            </w:pPr>
            <w:r>
              <w:t>9</w:t>
            </w:r>
          </w:p>
        </w:tc>
        <w:tc>
          <w:tcPr>
            <w:tcW w:w="737" w:type="dxa"/>
          </w:tcPr>
          <w:p w:rsidR="00212513" w:rsidRDefault="00212513">
            <w:pPr>
              <w:pStyle w:val="ConsPlusNormal"/>
              <w:jc w:val="center"/>
            </w:pPr>
            <w:r>
              <w:t>8</w:t>
            </w:r>
          </w:p>
        </w:tc>
        <w:tc>
          <w:tcPr>
            <w:tcW w:w="692" w:type="dxa"/>
          </w:tcPr>
          <w:p w:rsidR="00212513" w:rsidRDefault="00212513">
            <w:pPr>
              <w:pStyle w:val="ConsPlusNormal"/>
              <w:jc w:val="center"/>
            </w:pPr>
            <w:r>
              <w:t>9</w:t>
            </w:r>
          </w:p>
        </w:tc>
      </w:tr>
    </w:tbl>
    <w:p w:rsidR="00212513" w:rsidRDefault="00212513">
      <w:pPr>
        <w:pStyle w:val="ConsPlusNormal"/>
        <w:ind w:firstLine="540"/>
        <w:jc w:val="both"/>
      </w:pPr>
    </w:p>
    <w:p w:rsidR="00212513" w:rsidRDefault="00212513">
      <w:pPr>
        <w:pStyle w:val="ConsPlusNormal"/>
        <w:ind w:firstLine="540"/>
        <w:jc w:val="both"/>
      </w:pPr>
      <w:r>
        <w:t xml:space="preserve">Расчетные сопротивления поковок из сталей, приведенных в </w:t>
      </w:r>
      <w:hyperlink w:anchor="P6097">
        <w:r>
          <w:rPr>
            <w:color w:val="0000FF"/>
          </w:rPr>
          <w:t>8.4</w:t>
        </w:r>
      </w:hyperlink>
      <w:r>
        <w:t>, следует принимать по таблице 8.7.</w:t>
      </w:r>
    </w:p>
    <w:p w:rsidR="00212513" w:rsidRDefault="00212513">
      <w:pPr>
        <w:pStyle w:val="ConsPlusNormal"/>
        <w:ind w:firstLine="540"/>
        <w:jc w:val="both"/>
      </w:pPr>
    </w:p>
    <w:p w:rsidR="00212513" w:rsidRDefault="00212513">
      <w:pPr>
        <w:pStyle w:val="ConsPlusNormal"/>
        <w:jc w:val="right"/>
      </w:pPr>
      <w:bookmarkStart w:id="284" w:name="P6600"/>
      <w:bookmarkEnd w:id="284"/>
      <w:r>
        <w:t>Таблица 8.7</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57"/>
        <w:gridCol w:w="1191"/>
        <w:gridCol w:w="964"/>
        <w:gridCol w:w="850"/>
        <w:gridCol w:w="1417"/>
        <w:gridCol w:w="1417"/>
        <w:gridCol w:w="1474"/>
      </w:tblGrid>
      <w:tr w:rsidR="00212513">
        <w:tc>
          <w:tcPr>
            <w:tcW w:w="1757" w:type="dxa"/>
            <w:vMerge w:val="restart"/>
            <w:vAlign w:val="center"/>
          </w:tcPr>
          <w:p w:rsidR="00212513" w:rsidRDefault="00212513">
            <w:pPr>
              <w:pStyle w:val="ConsPlusNormal"/>
              <w:jc w:val="center"/>
            </w:pPr>
            <w:r>
              <w:t>Напряженное состояние</w:t>
            </w:r>
          </w:p>
        </w:tc>
        <w:tc>
          <w:tcPr>
            <w:tcW w:w="7313" w:type="dxa"/>
            <w:gridSpan w:val="6"/>
            <w:vAlign w:val="center"/>
          </w:tcPr>
          <w:p w:rsidR="00212513" w:rsidRDefault="00212513">
            <w:pPr>
              <w:pStyle w:val="ConsPlusNormal"/>
              <w:jc w:val="center"/>
            </w:pPr>
            <w:r>
              <w:t>Расчетные сопротивления поковок, МПа, для категорий прочности (марок стали)</w:t>
            </w:r>
          </w:p>
        </w:tc>
      </w:tr>
      <w:tr w:rsidR="00212513">
        <w:tc>
          <w:tcPr>
            <w:tcW w:w="1757" w:type="dxa"/>
            <w:vMerge/>
          </w:tcPr>
          <w:p w:rsidR="00212513" w:rsidRDefault="00212513">
            <w:pPr>
              <w:pStyle w:val="ConsPlusNormal"/>
            </w:pPr>
          </w:p>
        </w:tc>
        <w:tc>
          <w:tcPr>
            <w:tcW w:w="1191" w:type="dxa"/>
            <w:vAlign w:val="center"/>
          </w:tcPr>
          <w:p w:rsidR="00212513" w:rsidRDefault="00212513">
            <w:pPr>
              <w:pStyle w:val="ConsPlusNormal"/>
              <w:jc w:val="center"/>
            </w:pPr>
            <w:r>
              <w:t>КП275 (40*, 45*)</w:t>
            </w:r>
          </w:p>
        </w:tc>
        <w:tc>
          <w:tcPr>
            <w:tcW w:w="964" w:type="dxa"/>
            <w:vAlign w:val="center"/>
          </w:tcPr>
          <w:p w:rsidR="00212513" w:rsidRDefault="00212513">
            <w:pPr>
              <w:pStyle w:val="ConsPlusNormal"/>
              <w:jc w:val="center"/>
            </w:pPr>
            <w:r>
              <w:t>КП315 (40Х*)</w:t>
            </w:r>
          </w:p>
        </w:tc>
        <w:tc>
          <w:tcPr>
            <w:tcW w:w="850" w:type="dxa"/>
            <w:vAlign w:val="center"/>
          </w:tcPr>
          <w:p w:rsidR="00212513" w:rsidRDefault="00212513">
            <w:pPr>
              <w:pStyle w:val="ConsPlusNormal"/>
              <w:jc w:val="center"/>
            </w:pPr>
            <w:r>
              <w:t>КП345 (40Х)</w:t>
            </w:r>
          </w:p>
        </w:tc>
        <w:tc>
          <w:tcPr>
            <w:tcW w:w="1417" w:type="dxa"/>
            <w:vAlign w:val="center"/>
          </w:tcPr>
          <w:p w:rsidR="00212513" w:rsidRDefault="00212513">
            <w:pPr>
              <w:pStyle w:val="ConsPlusNormal"/>
              <w:jc w:val="center"/>
            </w:pPr>
            <w:r>
              <w:t>КП590 (40Х2НМА)</w:t>
            </w:r>
          </w:p>
        </w:tc>
        <w:tc>
          <w:tcPr>
            <w:tcW w:w="1417" w:type="dxa"/>
            <w:vAlign w:val="center"/>
          </w:tcPr>
          <w:p w:rsidR="00212513" w:rsidRDefault="00212513">
            <w:pPr>
              <w:pStyle w:val="ConsPlusNormal"/>
              <w:jc w:val="center"/>
            </w:pPr>
            <w:r>
              <w:t>КП640 (40ХН2МА)</w:t>
            </w:r>
          </w:p>
        </w:tc>
        <w:tc>
          <w:tcPr>
            <w:tcW w:w="1474" w:type="dxa"/>
            <w:vAlign w:val="center"/>
          </w:tcPr>
          <w:p w:rsidR="00212513" w:rsidRDefault="00212513">
            <w:pPr>
              <w:pStyle w:val="ConsPlusNormal"/>
              <w:jc w:val="center"/>
            </w:pPr>
            <w:r>
              <w:t>КП785 (40ХН2МА)</w:t>
            </w:r>
          </w:p>
        </w:tc>
      </w:tr>
      <w:tr w:rsidR="00212513">
        <w:tc>
          <w:tcPr>
            <w:tcW w:w="1757" w:type="dxa"/>
          </w:tcPr>
          <w:p w:rsidR="00212513" w:rsidRDefault="00212513">
            <w:pPr>
              <w:pStyle w:val="ConsPlusNormal"/>
            </w:pPr>
            <w:r>
              <w:t xml:space="preserve">Растяжение, сжатие и изгиб </w:t>
            </w:r>
            <w:r>
              <w:rPr>
                <w:i/>
              </w:rPr>
              <w:t>R</w:t>
            </w:r>
            <w:r>
              <w:rPr>
                <w:i/>
                <w:vertAlign w:val="subscript"/>
              </w:rPr>
              <w:t>y</w:t>
            </w:r>
          </w:p>
        </w:tc>
        <w:tc>
          <w:tcPr>
            <w:tcW w:w="1191" w:type="dxa"/>
          </w:tcPr>
          <w:p w:rsidR="00212513" w:rsidRDefault="00212513">
            <w:pPr>
              <w:pStyle w:val="ConsPlusNormal"/>
              <w:jc w:val="center"/>
            </w:pPr>
            <w:r>
              <w:t>215</w:t>
            </w:r>
          </w:p>
        </w:tc>
        <w:tc>
          <w:tcPr>
            <w:tcW w:w="964" w:type="dxa"/>
          </w:tcPr>
          <w:p w:rsidR="00212513" w:rsidRDefault="00212513">
            <w:pPr>
              <w:pStyle w:val="ConsPlusNormal"/>
              <w:jc w:val="center"/>
            </w:pPr>
            <w:r>
              <w:t>260</w:t>
            </w:r>
          </w:p>
        </w:tc>
        <w:tc>
          <w:tcPr>
            <w:tcW w:w="850" w:type="dxa"/>
          </w:tcPr>
          <w:p w:rsidR="00212513" w:rsidRDefault="00212513">
            <w:pPr>
              <w:pStyle w:val="ConsPlusNormal"/>
              <w:jc w:val="center"/>
            </w:pPr>
            <w:r>
              <w:t>280</w:t>
            </w:r>
          </w:p>
        </w:tc>
        <w:tc>
          <w:tcPr>
            <w:tcW w:w="1417" w:type="dxa"/>
          </w:tcPr>
          <w:p w:rsidR="00212513" w:rsidRDefault="00212513">
            <w:pPr>
              <w:pStyle w:val="ConsPlusNormal"/>
              <w:jc w:val="center"/>
            </w:pPr>
            <w:r>
              <w:t>460</w:t>
            </w:r>
          </w:p>
        </w:tc>
        <w:tc>
          <w:tcPr>
            <w:tcW w:w="1417" w:type="dxa"/>
          </w:tcPr>
          <w:p w:rsidR="00212513" w:rsidRDefault="00212513">
            <w:pPr>
              <w:pStyle w:val="ConsPlusNormal"/>
              <w:jc w:val="center"/>
            </w:pPr>
            <w:r>
              <w:t>490</w:t>
            </w:r>
          </w:p>
        </w:tc>
        <w:tc>
          <w:tcPr>
            <w:tcW w:w="1474" w:type="dxa"/>
          </w:tcPr>
          <w:p w:rsidR="00212513" w:rsidRDefault="00212513">
            <w:pPr>
              <w:pStyle w:val="ConsPlusNormal"/>
              <w:jc w:val="center"/>
            </w:pPr>
            <w:r>
              <w:t>605</w:t>
            </w:r>
          </w:p>
        </w:tc>
      </w:tr>
      <w:tr w:rsidR="00212513">
        <w:tc>
          <w:tcPr>
            <w:tcW w:w="1757" w:type="dxa"/>
          </w:tcPr>
          <w:p w:rsidR="00212513" w:rsidRDefault="00212513">
            <w:pPr>
              <w:pStyle w:val="ConsPlusNormal"/>
            </w:pPr>
            <w:r>
              <w:t xml:space="preserve">Сдвиг (срез), </w:t>
            </w:r>
            <w:r>
              <w:rPr>
                <w:i/>
              </w:rPr>
              <w:t>R</w:t>
            </w:r>
            <w:r>
              <w:rPr>
                <w:i/>
                <w:vertAlign w:val="subscript"/>
              </w:rPr>
              <w:t>s</w:t>
            </w:r>
          </w:p>
        </w:tc>
        <w:tc>
          <w:tcPr>
            <w:tcW w:w="1191" w:type="dxa"/>
          </w:tcPr>
          <w:p w:rsidR="00212513" w:rsidRDefault="00212513">
            <w:pPr>
              <w:pStyle w:val="ConsPlusNormal"/>
              <w:jc w:val="center"/>
            </w:pPr>
            <w:r>
              <w:t>120</w:t>
            </w:r>
          </w:p>
        </w:tc>
        <w:tc>
          <w:tcPr>
            <w:tcW w:w="964" w:type="dxa"/>
          </w:tcPr>
          <w:p w:rsidR="00212513" w:rsidRDefault="00212513">
            <w:pPr>
              <w:pStyle w:val="ConsPlusNormal"/>
              <w:jc w:val="center"/>
            </w:pPr>
            <w:r>
              <w:t>145</w:t>
            </w:r>
          </w:p>
        </w:tc>
        <w:tc>
          <w:tcPr>
            <w:tcW w:w="850" w:type="dxa"/>
          </w:tcPr>
          <w:p w:rsidR="00212513" w:rsidRDefault="00212513">
            <w:pPr>
              <w:pStyle w:val="ConsPlusNormal"/>
              <w:jc w:val="center"/>
            </w:pPr>
            <w:r>
              <w:t>160</w:t>
            </w:r>
          </w:p>
        </w:tc>
        <w:tc>
          <w:tcPr>
            <w:tcW w:w="1417" w:type="dxa"/>
          </w:tcPr>
          <w:p w:rsidR="00212513" w:rsidRDefault="00212513">
            <w:pPr>
              <w:pStyle w:val="ConsPlusNormal"/>
              <w:jc w:val="center"/>
            </w:pPr>
            <w:r>
              <w:t>260</w:t>
            </w:r>
          </w:p>
        </w:tc>
        <w:tc>
          <w:tcPr>
            <w:tcW w:w="1417" w:type="dxa"/>
          </w:tcPr>
          <w:p w:rsidR="00212513" w:rsidRDefault="00212513">
            <w:pPr>
              <w:pStyle w:val="ConsPlusNormal"/>
              <w:jc w:val="center"/>
            </w:pPr>
            <w:r>
              <w:t>285</w:t>
            </w:r>
          </w:p>
        </w:tc>
        <w:tc>
          <w:tcPr>
            <w:tcW w:w="1474" w:type="dxa"/>
          </w:tcPr>
          <w:p w:rsidR="00212513" w:rsidRDefault="00212513">
            <w:pPr>
              <w:pStyle w:val="ConsPlusNormal"/>
              <w:jc w:val="center"/>
            </w:pPr>
            <w:r>
              <w:t>350</w:t>
            </w:r>
          </w:p>
        </w:tc>
      </w:tr>
      <w:tr w:rsidR="00212513">
        <w:tc>
          <w:tcPr>
            <w:tcW w:w="1757" w:type="dxa"/>
          </w:tcPr>
          <w:p w:rsidR="00212513" w:rsidRDefault="00212513">
            <w:pPr>
              <w:pStyle w:val="ConsPlusNormal"/>
            </w:pPr>
            <w:r>
              <w:t xml:space="preserve">Смятие торцевой поверхности при наличии пригонки </w:t>
            </w:r>
            <w:r>
              <w:rPr>
                <w:i/>
              </w:rPr>
              <w:t>R</w:t>
            </w:r>
            <w:r>
              <w:rPr>
                <w:i/>
                <w:vertAlign w:val="subscript"/>
              </w:rPr>
              <w:t>p</w:t>
            </w:r>
          </w:p>
        </w:tc>
        <w:tc>
          <w:tcPr>
            <w:tcW w:w="1191" w:type="dxa"/>
          </w:tcPr>
          <w:p w:rsidR="00212513" w:rsidRDefault="00212513">
            <w:pPr>
              <w:pStyle w:val="ConsPlusNormal"/>
              <w:jc w:val="center"/>
            </w:pPr>
            <w:r>
              <w:t>325</w:t>
            </w:r>
          </w:p>
        </w:tc>
        <w:tc>
          <w:tcPr>
            <w:tcW w:w="964" w:type="dxa"/>
          </w:tcPr>
          <w:p w:rsidR="00212513" w:rsidRDefault="00212513">
            <w:pPr>
              <w:pStyle w:val="ConsPlusNormal"/>
              <w:jc w:val="center"/>
            </w:pPr>
            <w:r>
              <w:t>395</w:t>
            </w:r>
          </w:p>
        </w:tc>
        <w:tc>
          <w:tcPr>
            <w:tcW w:w="850" w:type="dxa"/>
          </w:tcPr>
          <w:p w:rsidR="00212513" w:rsidRDefault="00212513">
            <w:pPr>
              <w:pStyle w:val="ConsPlusNormal"/>
              <w:jc w:val="center"/>
            </w:pPr>
            <w:r>
              <w:t>420</w:t>
            </w:r>
          </w:p>
        </w:tc>
        <w:tc>
          <w:tcPr>
            <w:tcW w:w="1417" w:type="dxa"/>
          </w:tcPr>
          <w:p w:rsidR="00212513" w:rsidRDefault="00212513">
            <w:pPr>
              <w:pStyle w:val="ConsPlusNormal"/>
              <w:jc w:val="center"/>
            </w:pPr>
            <w:r>
              <w:t>680</w:t>
            </w:r>
          </w:p>
        </w:tc>
        <w:tc>
          <w:tcPr>
            <w:tcW w:w="1417" w:type="dxa"/>
          </w:tcPr>
          <w:p w:rsidR="00212513" w:rsidRDefault="00212513">
            <w:pPr>
              <w:pStyle w:val="ConsPlusNormal"/>
              <w:jc w:val="center"/>
            </w:pPr>
            <w:r>
              <w:t>730</w:t>
            </w:r>
          </w:p>
        </w:tc>
        <w:tc>
          <w:tcPr>
            <w:tcW w:w="1474" w:type="dxa"/>
          </w:tcPr>
          <w:p w:rsidR="00212513" w:rsidRDefault="00212513">
            <w:pPr>
              <w:pStyle w:val="ConsPlusNormal"/>
              <w:jc w:val="center"/>
            </w:pPr>
            <w:r>
              <w:t>905</w:t>
            </w:r>
          </w:p>
        </w:tc>
      </w:tr>
      <w:tr w:rsidR="00212513">
        <w:tc>
          <w:tcPr>
            <w:tcW w:w="1757" w:type="dxa"/>
          </w:tcPr>
          <w:p w:rsidR="00212513" w:rsidRDefault="00212513">
            <w:pPr>
              <w:pStyle w:val="ConsPlusNormal"/>
            </w:pPr>
            <w:r>
              <w:t xml:space="preserve">Смятие местное в цилиндрических шарнирах (цапфах) при плотном касании </w:t>
            </w:r>
            <w:r>
              <w:rPr>
                <w:i/>
              </w:rPr>
              <w:t>R</w:t>
            </w:r>
            <w:r>
              <w:rPr>
                <w:i/>
                <w:vertAlign w:val="subscript"/>
              </w:rPr>
              <w:t>lp</w:t>
            </w:r>
          </w:p>
        </w:tc>
        <w:tc>
          <w:tcPr>
            <w:tcW w:w="1191" w:type="dxa"/>
          </w:tcPr>
          <w:p w:rsidR="00212513" w:rsidRDefault="00212513">
            <w:pPr>
              <w:pStyle w:val="ConsPlusNormal"/>
              <w:jc w:val="center"/>
            </w:pPr>
            <w:r>
              <w:t>160</w:t>
            </w:r>
          </w:p>
        </w:tc>
        <w:tc>
          <w:tcPr>
            <w:tcW w:w="964" w:type="dxa"/>
          </w:tcPr>
          <w:p w:rsidR="00212513" w:rsidRDefault="00212513">
            <w:pPr>
              <w:pStyle w:val="ConsPlusNormal"/>
              <w:jc w:val="center"/>
            </w:pPr>
            <w:r>
              <w:t>195</w:t>
            </w:r>
          </w:p>
        </w:tc>
        <w:tc>
          <w:tcPr>
            <w:tcW w:w="850" w:type="dxa"/>
          </w:tcPr>
          <w:p w:rsidR="00212513" w:rsidRDefault="00212513">
            <w:pPr>
              <w:pStyle w:val="ConsPlusNormal"/>
              <w:jc w:val="center"/>
            </w:pPr>
            <w:r>
              <w:t>205</w:t>
            </w:r>
          </w:p>
        </w:tc>
        <w:tc>
          <w:tcPr>
            <w:tcW w:w="1417" w:type="dxa"/>
          </w:tcPr>
          <w:p w:rsidR="00212513" w:rsidRDefault="00212513">
            <w:pPr>
              <w:pStyle w:val="ConsPlusNormal"/>
              <w:jc w:val="center"/>
            </w:pPr>
            <w:r>
              <w:t>340</w:t>
            </w:r>
          </w:p>
        </w:tc>
        <w:tc>
          <w:tcPr>
            <w:tcW w:w="1417" w:type="dxa"/>
          </w:tcPr>
          <w:p w:rsidR="00212513" w:rsidRDefault="00212513">
            <w:pPr>
              <w:pStyle w:val="ConsPlusNormal"/>
              <w:jc w:val="center"/>
            </w:pPr>
            <w:r>
              <w:t>360</w:t>
            </w:r>
          </w:p>
        </w:tc>
        <w:tc>
          <w:tcPr>
            <w:tcW w:w="1474" w:type="dxa"/>
          </w:tcPr>
          <w:p w:rsidR="00212513" w:rsidRDefault="00212513">
            <w:pPr>
              <w:pStyle w:val="ConsPlusNormal"/>
              <w:jc w:val="center"/>
            </w:pPr>
            <w:r>
              <w:t>450</w:t>
            </w:r>
          </w:p>
        </w:tc>
      </w:tr>
      <w:tr w:rsidR="00212513">
        <w:tc>
          <w:tcPr>
            <w:tcW w:w="1757" w:type="dxa"/>
          </w:tcPr>
          <w:p w:rsidR="00212513" w:rsidRDefault="00212513">
            <w:pPr>
              <w:pStyle w:val="ConsPlusNormal"/>
            </w:pPr>
            <w:r>
              <w:t xml:space="preserve">Диаметральное сжатие катков при свободном касании в конструкциях с ограниченной подвижностью </w:t>
            </w:r>
            <w:r>
              <w:rPr>
                <w:i/>
              </w:rPr>
              <w:t>R</w:t>
            </w:r>
            <w:r>
              <w:rPr>
                <w:i/>
                <w:vertAlign w:val="subscript"/>
              </w:rPr>
              <w:t>cd</w:t>
            </w:r>
          </w:p>
        </w:tc>
        <w:tc>
          <w:tcPr>
            <w:tcW w:w="1191" w:type="dxa"/>
          </w:tcPr>
          <w:p w:rsidR="00212513" w:rsidRDefault="00212513">
            <w:pPr>
              <w:pStyle w:val="ConsPlusNormal"/>
              <w:jc w:val="center"/>
            </w:pPr>
            <w:r>
              <w:t>8</w:t>
            </w:r>
          </w:p>
        </w:tc>
        <w:tc>
          <w:tcPr>
            <w:tcW w:w="964" w:type="dxa"/>
          </w:tcPr>
          <w:p w:rsidR="00212513" w:rsidRDefault="00212513">
            <w:pPr>
              <w:pStyle w:val="ConsPlusNormal"/>
              <w:jc w:val="center"/>
            </w:pPr>
            <w:r>
              <w:t>10</w:t>
            </w:r>
          </w:p>
        </w:tc>
        <w:tc>
          <w:tcPr>
            <w:tcW w:w="850" w:type="dxa"/>
          </w:tcPr>
          <w:p w:rsidR="00212513" w:rsidRDefault="00212513">
            <w:pPr>
              <w:pStyle w:val="ConsPlusNormal"/>
              <w:jc w:val="center"/>
            </w:pPr>
            <w:r>
              <w:t>10</w:t>
            </w:r>
          </w:p>
        </w:tc>
        <w:tc>
          <w:tcPr>
            <w:tcW w:w="1417" w:type="dxa"/>
          </w:tcPr>
          <w:p w:rsidR="00212513" w:rsidRDefault="00212513">
            <w:pPr>
              <w:pStyle w:val="ConsPlusNormal"/>
              <w:jc w:val="center"/>
            </w:pPr>
            <w:r>
              <w:t>17</w:t>
            </w:r>
          </w:p>
        </w:tc>
        <w:tc>
          <w:tcPr>
            <w:tcW w:w="1417" w:type="dxa"/>
          </w:tcPr>
          <w:p w:rsidR="00212513" w:rsidRDefault="00212513">
            <w:pPr>
              <w:pStyle w:val="ConsPlusNormal"/>
              <w:jc w:val="center"/>
            </w:pPr>
            <w:r>
              <w:t>19</w:t>
            </w:r>
          </w:p>
        </w:tc>
        <w:tc>
          <w:tcPr>
            <w:tcW w:w="1474" w:type="dxa"/>
          </w:tcPr>
          <w:p w:rsidR="00212513" w:rsidRDefault="00212513">
            <w:pPr>
              <w:pStyle w:val="ConsPlusNormal"/>
              <w:jc w:val="center"/>
            </w:pPr>
            <w:r>
              <w:t>23</w:t>
            </w:r>
          </w:p>
        </w:tc>
      </w:tr>
    </w:tbl>
    <w:p w:rsidR="00212513" w:rsidRDefault="00212513">
      <w:pPr>
        <w:pStyle w:val="ConsPlusNormal"/>
        <w:ind w:firstLine="540"/>
        <w:jc w:val="both"/>
      </w:pPr>
    </w:p>
    <w:p w:rsidR="00212513" w:rsidRDefault="00212513">
      <w:pPr>
        <w:pStyle w:val="ConsPlusNormal"/>
        <w:ind w:firstLine="540"/>
        <w:jc w:val="both"/>
      </w:pPr>
      <w:r>
        <w:t>8.10 Расчетные сопротивления сварных соединений для различных видов соединений и напряженных состояний следует определять по формулам, приведенным в таблице 8.8.</w:t>
      </w:r>
    </w:p>
    <w:p w:rsidR="00212513" w:rsidRDefault="00212513">
      <w:pPr>
        <w:pStyle w:val="ConsPlusNormal"/>
        <w:ind w:firstLine="540"/>
        <w:jc w:val="both"/>
      </w:pPr>
    </w:p>
    <w:p w:rsidR="00212513" w:rsidRDefault="00212513">
      <w:pPr>
        <w:pStyle w:val="ConsPlusNormal"/>
        <w:jc w:val="right"/>
      </w:pPr>
      <w:r>
        <w:t>Таблица 8.8</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45"/>
        <w:gridCol w:w="3231"/>
        <w:gridCol w:w="3685"/>
      </w:tblGrid>
      <w:tr w:rsidR="00212513">
        <w:tc>
          <w:tcPr>
            <w:tcW w:w="2145" w:type="dxa"/>
            <w:tcBorders>
              <w:top w:val="single" w:sz="4" w:space="0" w:color="auto"/>
              <w:bottom w:val="single" w:sz="4" w:space="0" w:color="auto"/>
            </w:tcBorders>
            <w:vAlign w:val="center"/>
          </w:tcPr>
          <w:p w:rsidR="00212513" w:rsidRDefault="00212513">
            <w:pPr>
              <w:pStyle w:val="ConsPlusNormal"/>
              <w:jc w:val="center"/>
            </w:pPr>
            <w:r>
              <w:t>Тип сварного соединения</w:t>
            </w:r>
          </w:p>
        </w:tc>
        <w:tc>
          <w:tcPr>
            <w:tcW w:w="3231" w:type="dxa"/>
            <w:tcBorders>
              <w:top w:val="single" w:sz="4" w:space="0" w:color="auto"/>
              <w:bottom w:val="single" w:sz="4" w:space="0" w:color="auto"/>
            </w:tcBorders>
            <w:vAlign w:val="center"/>
          </w:tcPr>
          <w:p w:rsidR="00212513" w:rsidRDefault="00212513">
            <w:pPr>
              <w:pStyle w:val="ConsPlusNormal"/>
              <w:jc w:val="center"/>
            </w:pPr>
            <w:r>
              <w:t>Напряженное состояние</w:t>
            </w:r>
          </w:p>
        </w:tc>
        <w:tc>
          <w:tcPr>
            <w:tcW w:w="3685" w:type="dxa"/>
            <w:tcBorders>
              <w:top w:val="single" w:sz="4" w:space="0" w:color="auto"/>
              <w:bottom w:val="single" w:sz="4" w:space="0" w:color="auto"/>
            </w:tcBorders>
            <w:vAlign w:val="center"/>
          </w:tcPr>
          <w:p w:rsidR="00212513" w:rsidRDefault="00212513">
            <w:pPr>
              <w:pStyle w:val="ConsPlusNormal"/>
              <w:jc w:val="center"/>
            </w:pPr>
            <w:r>
              <w:t>Расчетные сопротивления</w:t>
            </w:r>
          </w:p>
        </w:tc>
      </w:tr>
      <w:tr w:rsidR="00212513">
        <w:tc>
          <w:tcPr>
            <w:tcW w:w="2145" w:type="dxa"/>
            <w:vMerge w:val="restart"/>
            <w:tcBorders>
              <w:top w:val="single" w:sz="4" w:space="0" w:color="auto"/>
              <w:bottom w:val="single" w:sz="4" w:space="0" w:color="auto"/>
            </w:tcBorders>
          </w:tcPr>
          <w:p w:rsidR="00212513" w:rsidRDefault="00212513">
            <w:pPr>
              <w:pStyle w:val="ConsPlusNormal"/>
            </w:pPr>
            <w:r>
              <w:t>Стыковые</w:t>
            </w:r>
          </w:p>
        </w:tc>
        <w:tc>
          <w:tcPr>
            <w:tcW w:w="3231" w:type="dxa"/>
            <w:tcBorders>
              <w:top w:val="single" w:sz="4" w:space="0" w:color="auto"/>
              <w:bottom w:val="nil"/>
            </w:tcBorders>
          </w:tcPr>
          <w:p w:rsidR="00212513" w:rsidRDefault="00212513">
            <w:pPr>
              <w:pStyle w:val="ConsPlusNormal"/>
            </w:pPr>
            <w:r>
              <w:t>Растяжение, сжатие и изгиб:</w:t>
            </w:r>
          </w:p>
        </w:tc>
        <w:tc>
          <w:tcPr>
            <w:tcW w:w="3685" w:type="dxa"/>
            <w:tcBorders>
              <w:top w:val="single" w:sz="4" w:space="0" w:color="auto"/>
              <w:bottom w:val="nil"/>
            </w:tcBorders>
          </w:tcPr>
          <w:p w:rsidR="00212513" w:rsidRDefault="00212513">
            <w:pPr>
              <w:pStyle w:val="ConsPlusNormal"/>
              <w:jc w:val="center"/>
            </w:pPr>
          </w:p>
        </w:tc>
      </w:tr>
      <w:tr w:rsidR="00212513">
        <w:tblPrEx>
          <w:tblBorders>
            <w:insideH w:val="none" w:sz="0" w:space="0" w:color="auto"/>
          </w:tblBorders>
        </w:tblPrEx>
        <w:tc>
          <w:tcPr>
            <w:tcW w:w="2145" w:type="dxa"/>
            <w:vMerge/>
            <w:tcBorders>
              <w:top w:val="single" w:sz="4" w:space="0" w:color="auto"/>
              <w:bottom w:val="single" w:sz="4" w:space="0" w:color="auto"/>
            </w:tcBorders>
          </w:tcPr>
          <w:p w:rsidR="00212513" w:rsidRDefault="00212513">
            <w:pPr>
              <w:pStyle w:val="ConsPlusNormal"/>
            </w:pPr>
          </w:p>
        </w:tc>
        <w:tc>
          <w:tcPr>
            <w:tcW w:w="3231" w:type="dxa"/>
            <w:tcBorders>
              <w:top w:val="nil"/>
              <w:bottom w:val="nil"/>
            </w:tcBorders>
          </w:tcPr>
          <w:p w:rsidR="00212513" w:rsidRDefault="00212513">
            <w:pPr>
              <w:pStyle w:val="ConsPlusNormal"/>
              <w:ind w:left="283"/>
            </w:pPr>
            <w:r>
              <w:t>по пределу текучести</w:t>
            </w:r>
          </w:p>
        </w:tc>
        <w:tc>
          <w:tcPr>
            <w:tcW w:w="3685" w:type="dxa"/>
            <w:tcBorders>
              <w:top w:val="nil"/>
              <w:bottom w:val="nil"/>
            </w:tcBorders>
          </w:tcPr>
          <w:p w:rsidR="00212513" w:rsidRDefault="00212513">
            <w:pPr>
              <w:pStyle w:val="ConsPlusNormal"/>
              <w:jc w:val="center"/>
            </w:pPr>
            <w:r>
              <w:rPr>
                <w:noProof/>
                <w:position w:val="-9"/>
              </w:rPr>
              <w:drawing>
                <wp:inline distT="0" distB="0" distL="0" distR="0">
                  <wp:extent cx="618490" cy="262255"/>
                  <wp:effectExtent l="0" t="0" r="0" b="0"/>
                  <wp:docPr id="9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0" cstate="print">
                            <a:extLst>
                              <a:ext uri="{28A0092B-C50C-407E-A947-70E740481C1C}">
                                <a14:useLocalDpi xmlns:a14="http://schemas.microsoft.com/office/drawing/2010/main" val="0"/>
                              </a:ext>
                            </a:extLst>
                          </a:blip>
                          <a:srcRect/>
                          <a:stretch>
                            <a:fillRect/>
                          </a:stretch>
                        </pic:blipFill>
                        <pic:spPr bwMode="auto">
                          <a:xfrm>
                            <a:off x="0" y="0"/>
                            <a:ext cx="618490" cy="262255"/>
                          </a:xfrm>
                          <a:prstGeom prst="rect">
                            <a:avLst/>
                          </a:prstGeom>
                          <a:noFill/>
                          <a:ln>
                            <a:noFill/>
                          </a:ln>
                        </pic:spPr>
                      </pic:pic>
                    </a:graphicData>
                  </a:graphic>
                </wp:inline>
              </w:drawing>
            </w:r>
          </w:p>
        </w:tc>
      </w:tr>
      <w:tr w:rsidR="00212513">
        <w:tblPrEx>
          <w:tblBorders>
            <w:insideH w:val="none" w:sz="0" w:space="0" w:color="auto"/>
          </w:tblBorders>
        </w:tblPrEx>
        <w:tc>
          <w:tcPr>
            <w:tcW w:w="2145" w:type="dxa"/>
            <w:vMerge/>
            <w:tcBorders>
              <w:top w:val="single" w:sz="4" w:space="0" w:color="auto"/>
              <w:bottom w:val="single" w:sz="4" w:space="0" w:color="auto"/>
            </w:tcBorders>
          </w:tcPr>
          <w:p w:rsidR="00212513" w:rsidRDefault="00212513">
            <w:pPr>
              <w:pStyle w:val="ConsPlusNormal"/>
            </w:pPr>
          </w:p>
        </w:tc>
        <w:tc>
          <w:tcPr>
            <w:tcW w:w="3231" w:type="dxa"/>
            <w:tcBorders>
              <w:top w:val="nil"/>
              <w:bottom w:val="nil"/>
            </w:tcBorders>
          </w:tcPr>
          <w:p w:rsidR="00212513" w:rsidRDefault="00212513">
            <w:pPr>
              <w:pStyle w:val="ConsPlusNormal"/>
              <w:ind w:left="283"/>
            </w:pPr>
            <w:r>
              <w:t>по временному сопротивлению</w:t>
            </w:r>
          </w:p>
        </w:tc>
        <w:tc>
          <w:tcPr>
            <w:tcW w:w="3685" w:type="dxa"/>
            <w:tcBorders>
              <w:top w:val="nil"/>
              <w:bottom w:val="nil"/>
            </w:tcBorders>
          </w:tcPr>
          <w:p w:rsidR="00212513" w:rsidRDefault="00212513">
            <w:pPr>
              <w:pStyle w:val="ConsPlusNormal"/>
              <w:jc w:val="center"/>
            </w:pPr>
            <w:r>
              <w:rPr>
                <w:noProof/>
                <w:position w:val="-8"/>
              </w:rPr>
              <w:drawing>
                <wp:inline distT="0" distB="0" distL="0" distR="0">
                  <wp:extent cx="618490" cy="251460"/>
                  <wp:effectExtent l="0" t="0" r="0" b="0"/>
                  <wp:docPr id="9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1" cstate="print">
                            <a:extLst>
                              <a:ext uri="{28A0092B-C50C-407E-A947-70E740481C1C}">
                                <a14:useLocalDpi xmlns:a14="http://schemas.microsoft.com/office/drawing/2010/main" val="0"/>
                              </a:ext>
                            </a:extLst>
                          </a:blip>
                          <a:srcRect/>
                          <a:stretch>
                            <a:fillRect/>
                          </a:stretch>
                        </pic:blipFill>
                        <pic:spPr bwMode="auto">
                          <a:xfrm>
                            <a:off x="0" y="0"/>
                            <a:ext cx="618490" cy="251460"/>
                          </a:xfrm>
                          <a:prstGeom prst="rect">
                            <a:avLst/>
                          </a:prstGeom>
                          <a:noFill/>
                          <a:ln>
                            <a:noFill/>
                          </a:ln>
                        </pic:spPr>
                      </pic:pic>
                    </a:graphicData>
                  </a:graphic>
                </wp:inline>
              </w:drawing>
            </w:r>
          </w:p>
        </w:tc>
      </w:tr>
      <w:tr w:rsidR="00212513">
        <w:tc>
          <w:tcPr>
            <w:tcW w:w="2145" w:type="dxa"/>
            <w:vMerge/>
            <w:tcBorders>
              <w:top w:val="single" w:sz="4" w:space="0" w:color="auto"/>
              <w:bottom w:val="single" w:sz="4" w:space="0" w:color="auto"/>
            </w:tcBorders>
          </w:tcPr>
          <w:p w:rsidR="00212513" w:rsidRDefault="00212513">
            <w:pPr>
              <w:pStyle w:val="ConsPlusNormal"/>
            </w:pPr>
          </w:p>
        </w:tc>
        <w:tc>
          <w:tcPr>
            <w:tcW w:w="3231" w:type="dxa"/>
            <w:tcBorders>
              <w:top w:val="nil"/>
              <w:bottom w:val="single" w:sz="4" w:space="0" w:color="auto"/>
            </w:tcBorders>
          </w:tcPr>
          <w:p w:rsidR="00212513" w:rsidRDefault="00212513">
            <w:pPr>
              <w:pStyle w:val="ConsPlusNormal"/>
            </w:pPr>
            <w:r>
              <w:t>Сдвиг</w:t>
            </w:r>
          </w:p>
        </w:tc>
        <w:tc>
          <w:tcPr>
            <w:tcW w:w="3685" w:type="dxa"/>
            <w:tcBorders>
              <w:top w:val="nil"/>
              <w:bottom w:val="single" w:sz="4" w:space="0" w:color="auto"/>
            </w:tcBorders>
          </w:tcPr>
          <w:p w:rsidR="00212513" w:rsidRDefault="00212513">
            <w:pPr>
              <w:pStyle w:val="ConsPlusNormal"/>
              <w:jc w:val="center"/>
            </w:pPr>
            <w:r>
              <w:rPr>
                <w:noProof/>
                <w:position w:val="-8"/>
              </w:rPr>
              <w:drawing>
                <wp:inline distT="0" distB="0" distL="0" distR="0">
                  <wp:extent cx="597535" cy="251460"/>
                  <wp:effectExtent l="0" t="0" r="0" b="0"/>
                  <wp:docPr id="9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2" cstate="print">
                            <a:extLst>
                              <a:ext uri="{28A0092B-C50C-407E-A947-70E740481C1C}">
                                <a14:useLocalDpi xmlns:a14="http://schemas.microsoft.com/office/drawing/2010/main" val="0"/>
                              </a:ext>
                            </a:extLst>
                          </a:blip>
                          <a:srcRect/>
                          <a:stretch>
                            <a:fillRect/>
                          </a:stretch>
                        </pic:blipFill>
                        <pic:spPr bwMode="auto">
                          <a:xfrm>
                            <a:off x="0" y="0"/>
                            <a:ext cx="597535" cy="251460"/>
                          </a:xfrm>
                          <a:prstGeom prst="rect">
                            <a:avLst/>
                          </a:prstGeom>
                          <a:noFill/>
                          <a:ln>
                            <a:noFill/>
                          </a:ln>
                        </pic:spPr>
                      </pic:pic>
                    </a:graphicData>
                  </a:graphic>
                </wp:inline>
              </w:drawing>
            </w:r>
          </w:p>
        </w:tc>
      </w:tr>
      <w:tr w:rsidR="00212513">
        <w:tc>
          <w:tcPr>
            <w:tcW w:w="2145" w:type="dxa"/>
            <w:vMerge w:val="restart"/>
            <w:tcBorders>
              <w:top w:val="single" w:sz="4" w:space="0" w:color="auto"/>
              <w:bottom w:val="single" w:sz="4" w:space="0" w:color="auto"/>
            </w:tcBorders>
          </w:tcPr>
          <w:p w:rsidR="00212513" w:rsidRDefault="00212513">
            <w:pPr>
              <w:pStyle w:val="ConsPlusNormal"/>
            </w:pPr>
            <w:r>
              <w:t>С угловыми швами</w:t>
            </w:r>
          </w:p>
        </w:tc>
        <w:tc>
          <w:tcPr>
            <w:tcW w:w="3231" w:type="dxa"/>
            <w:tcBorders>
              <w:top w:val="single" w:sz="4" w:space="0" w:color="auto"/>
              <w:bottom w:val="nil"/>
            </w:tcBorders>
          </w:tcPr>
          <w:p w:rsidR="00212513" w:rsidRDefault="00212513">
            <w:pPr>
              <w:pStyle w:val="ConsPlusNormal"/>
            </w:pPr>
            <w:r>
              <w:t>Срез (условный):</w:t>
            </w:r>
          </w:p>
        </w:tc>
        <w:tc>
          <w:tcPr>
            <w:tcW w:w="3685" w:type="dxa"/>
            <w:tcBorders>
              <w:top w:val="single" w:sz="4" w:space="0" w:color="auto"/>
              <w:bottom w:val="nil"/>
            </w:tcBorders>
          </w:tcPr>
          <w:p w:rsidR="00212513" w:rsidRDefault="00212513">
            <w:pPr>
              <w:pStyle w:val="ConsPlusNormal"/>
              <w:jc w:val="center"/>
            </w:pPr>
          </w:p>
        </w:tc>
      </w:tr>
      <w:tr w:rsidR="00212513">
        <w:tblPrEx>
          <w:tblBorders>
            <w:insideH w:val="none" w:sz="0" w:space="0" w:color="auto"/>
          </w:tblBorders>
        </w:tblPrEx>
        <w:tc>
          <w:tcPr>
            <w:tcW w:w="2145" w:type="dxa"/>
            <w:vMerge/>
            <w:tcBorders>
              <w:top w:val="single" w:sz="4" w:space="0" w:color="auto"/>
              <w:bottom w:val="single" w:sz="4" w:space="0" w:color="auto"/>
            </w:tcBorders>
          </w:tcPr>
          <w:p w:rsidR="00212513" w:rsidRDefault="00212513">
            <w:pPr>
              <w:pStyle w:val="ConsPlusNormal"/>
            </w:pPr>
          </w:p>
        </w:tc>
        <w:tc>
          <w:tcPr>
            <w:tcW w:w="3231" w:type="dxa"/>
            <w:tcBorders>
              <w:top w:val="nil"/>
              <w:bottom w:val="nil"/>
            </w:tcBorders>
          </w:tcPr>
          <w:p w:rsidR="00212513" w:rsidRDefault="00212513">
            <w:pPr>
              <w:pStyle w:val="ConsPlusNormal"/>
              <w:ind w:left="283"/>
            </w:pPr>
            <w:r>
              <w:t>по металлу шва</w:t>
            </w:r>
          </w:p>
        </w:tc>
        <w:tc>
          <w:tcPr>
            <w:tcW w:w="3685" w:type="dxa"/>
            <w:tcBorders>
              <w:top w:val="nil"/>
              <w:bottom w:val="nil"/>
            </w:tcBorders>
          </w:tcPr>
          <w:p w:rsidR="00212513" w:rsidRDefault="00212513">
            <w:pPr>
              <w:pStyle w:val="ConsPlusNormal"/>
              <w:jc w:val="center"/>
            </w:pPr>
            <w:r>
              <w:rPr>
                <w:noProof/>
                <w:position w:val="-11"/>
              </w:rPr>
              <w:drawing>
                <wp:inline distT="0" distB="0" distL="0" distR="0">
                  <wp:extent cx="1508760" cy="283210"/>
                  <wp:effectExtent l="0" t="0" r="0" b="0"/>
                  <wp:docPr id="9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3" cstate="print">
                            <a:extLst>
                              <a:ext uri="{28A0092B-C50C-407E-A947-70E740481C1C}">
                                <a14:useLocalDpi xmlns:a14="http://schemas.microsoft.com/office/drawing/2010/main" val="0"/>
                              </a:ext>
                            </a:extLst>
                          </a:blip>
                          <a:srcRect/>
                          <a:stretch>
                            <a:fillRect/>
                          </a:stretch>
                        </pic:blipFill>
                        <pic:spPr bwMode="auto">
                          <a:xfrm>
                            <a:off x="0" y="0"/>
                            <a:ext cx="1508760" cy="283210"/>
                          </a:xfrm>
                          <a:prstGeom prst="rect">
                            <a:avLst/>
                          </a:prstGeom>
                          <a:noFill/>
                          <a:ln>
                            <a:noFill/>
                          </a:ln>
                        </pic:spPr>
                      </pic:pic>
                    </a:graphicData>
                  </a:graphic>
                </wp:inline>
              </w:drawing>
            </w:r>
          </w:p>
        </w:tc>
      </w:tr>
      <w:tr w:rsidR="00212513">
        <w:tc>
          <w:tcPr>
            <w:tcW w:w="2145" w:type="dxa"/>
            <w:vMerge/>
            <w:tcBorders>
              <w:top w:val="single" w:sz="4" w:space="0" w:color="auto"/>
              <w:bottom w:val="single" w:sz="4" w:space="0" w:color="auto"/>
            </w:tcBorders>
          </w:tcPr>
          <w:p w:rsidR="00212513" w:rsidRDefault="00212513">
            <w:pPr>
              <w:pStyle w:val="ConsPlusNormal"/>
            </w:pPr>
          </w:p>
        </w:tc>
        <w:tc>
          <w:tcPr>
            <w:tcW w:w="3231" w:type="dxa"/>
            <w:tcBorders>
              <w:top w:val="nil"/>
              <w:bottom w:val="single" w:sz="4" w:space="0" w:color="auto"/>
            </w:tcBorders>
          </w:tcPr>
          <w:p w:rsidR="00212513" w:rsidRDefault="00212513">
            <w:pPr>
              <w:pStyle w:val="ConsPlusNormal"/>
              <w:ind w:left="283"/>
            </w:pPr>
            <w:r>
              <w:t>по металлу границы сплавления</w:t>
            </w:r>
          </w:p>
        </w:tc>
        <w:tc>
          <w:tcPr>
            <w:tcW w:w="3685" w:type="dxa"/>
            <w:tcBorders>
              <w:top w:val="nil"/>
              <w:bottom w:val="single" w:sz="4" w:space="0" w:color="auto"/>
            </w:tcBorders>
          </w:tcPr>
          <w:p w:rsidR="00212513" w:rsidRDefault="00212513">
            <w:pPr>
              <w:pStyle w:val="ConsPlusNormal"/>
              <w:jc w:val="center"/>
            </w:pPr>
            <w:r>
              <w:rPr>
                <w:noProof/>
                <w:position w:val="-8"/>
              </w:rPr>
              <w:drawing>
                <wp:inline distT="0" distB="0" distL="0" distR="0">
                  <wp:extent cx="963930" cy="251460"/>
                  <wp:effectExtent l="0" t="0" r="0" b="0"/>
                  <wp:docPr id="9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4" cstate="print">
                            <a:extLst>
                              <a:ext uri="{28A0092B-C50C-407E-A947-70E740481C1C}">
                                <a14:useLocalDpi xmlns:a14="http://schemas.microsoft.com/office/drawing/2010/main" val="0"/>
                              </a:ext>
                            </a:extLst>
                          </a:blip>
                          <a:srcRect/>
                          <a:stretch>
                            <a:fillRect/>
                          </a:stretch>
                        </pic:blipFill>
                        <pic:spPr bwMode="auto">
                          <a:xfrm>
                            <a:off x="0" y="0"/>
                            <a:ext cx="963930" cy="251460"/>
                          </a:xfrm>
                          <a:prstGeom prst="rect">
                            <a:avLst/>
                          </a:prstGeom>
                          <a:noFill/>
                          <a:ln>
                            <a:noFill/>
                          </a:ln>
                        </pic:spPr>
                      </pic:pic>
                    </a:graphicData>
                  </a:graphic>
                </wp:inline>
              </w:drawing>
            </w:r>
          </w:p>
        </w:tc>
      </w:tr>
      <w:tr w:rsidR="00212513">
        <w:tc>
          <w:tcPr>
            <w:tcW w:w="9061" w:type="dxa"/>
            <w:gridSpan w:val="3"/>
            <w:tcBorders>
              <w:top w:val="single" w:sz="4" w:space="0" w:color="auto"/>
              <w:bottom w:val="single" w:sz="4" w:space="0" w:color="auto"/>
            </w:tcBorders>
          </w:tcPr>
          <w:p w:rsidR="00212513" w:rsidRDefault="00212513">
            <w:pPr>
              <w:pStyle w:val="ConsPlusNormal"/>
              <w:ind w:firstLine="283"/>
              <w:jc w:val="both"/>
            </w:pPr>
            <w:r>
              <w:t>Примечания</w:t>
            </w:r>
          </w:p>
          <w:p w:rsidR="00212513" w:rsidRDefault="00212513">
            <w:pPr>
              <w:pStyle w:val="ConsPlusNormal"/>
              <w:ind w:firstLine="283"/>
              <w:jc w:val="both"/>
            </w:pPr>
            <w:r>
              <w:t xml:space="preserve">1 Для швов, выполняемых ручной сваркой, значения </w:t>
            </w:r>
            <w:r>
              <w:rPr>
                <w:noProof/>
                <w:position w:val="-8"/>
              </w:rPr>
              <w:drawing>
                <wp:inline distT="0" distB="0" distL="0" distR="0">
                  <wp:extent cx="325120" cy="251460"/>
                  <wp:effectExtent l="0" t="0" r="0" b="0"/>
                  <wp:docPr id="9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5" cstate="print">
                            <a:extLst>
                              <a:ext uri="{28A0092B-C50C-407E-A947-70E740481C1C}">
                                <a14:useLocalDpi xmlns:a14="http://schemas.microsoft.com/office/drawing/2010/main" val="0"/>
                              </a:ext>
                            </a:extLst>
                          </a:blip>
                          <a:srcRect/>
                          <a:stretch>
                            <a:fillRect/>
                          </a:stretch>
                        </pic:blipFill>
                        <pic:spPr bwMode="auto">
                          <a:xfrm>
                            <a:off x="0" y="0"/>
                            <a:ext cx="325120" cy="251460"/>
                          </a:xfrm>
                          <a:prstGeom prst="rect">
                            <a:avLst/>
                          </a:prstGeom>
                          <a:noFill/>
                          <a:ln>
                            <a:noFill/>
                          </a:ln>
                        </pic:spPr>
                      </pic:pic>
                    </a:graphicData>
                  </a:graphic>
                </wp:inline>
              </w:drawing>
            </w:r>
            <w:r>
              <w:t xml:space="preserve"> следует принимать равными значениям временного сопротивления разрыву металла шва, указанным в </w:t>
            </w:r>
            <w:hyperlink r:id="rId1556">
              <w:r>
                <w:rPr>
                  <w:color w:val="0000FF"/>
                </w:rPr>
                <w:t>ГОСТ 9467</w:t>
              </w:r>
            </w:hyperlink>
            <w:r>
              <w:t>.</w:t>
            </w:r>
          </w:p>
          <w:p w:rsidR="00212513" w:rsidRDefault="00212513">
            <w:pPr>
              <w:pStyle w:val="ConsPlusNormal"/>
              <w:ind w:firstLine="283"/>
              <w:jc w:val="both"/>
            </w:pPr>
            <w:r>
              <w:t xml:space="preserve">2 Для швов, выполняемых автоматической или полуавтоматической сваркой, значения </w:t>
            </w:r>
            <w:r>
              <w:rPr>
                <w:noProof/>
                <w:position w:val="-8"/>
              </w:rPr>
              <w:drawing>
                <wp:inline distT="0" distB="0" distL="0" distR="0">
                  <wp:extent cx="325120" cy="251460"/>
                  <wp:effectExtent l="0" t="0" r="0" b="0"/>
                  <wp:docPr id="9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7" cstate="print">
                            <a:extLst>
                              <a:ext uri="{28A0092B-C50C-407E-A947-70E740481C1C}">
                                <a14:useLocalDpi xmlns:a14="http://schemas.microsoft.com/office/drawing/2010/main" val="0"/>
                              </a:ext>
                            </a:extLst>
                          </a:blip>
                          <a:srcRect/>
                          <a:stretch>
                            <a:fillRect/>
                          </a:stretch>
                        </pic:blipFill>
                        <pic:spPr bwMode="auto">
                          <a:xfrm>
                            <a:off x="0" y="0"/>
                            <a:ext cx="325120" cy="251460"/>
                          </a:xfrm>
                          <a:prstGeom prst="rect">
                            <a:avLst/>
                          </a:prstGeom>
                          <a:noFill/>
                          <a:ln>
                            <a:noFill/>
                          </a:ln>
                        </pic:spPr>
                      </pic:pic>
                    </a:graphicData>
                  </a:graphic>
                </wp:inline>
              </w:drawing>
            </w:r>
            <w:r>
              <w:t xml:space="preserve"> следует принимать по </w:t>
            </w:r>
            <w:hyperlink r:id="rId1558">
              <w:r>
                <w:rPr>
                  <w:color w:val="0000FF"/>
                </w:rPr>
                <w:t>СП 16.13330</w:t>
              </w:r>
            </w:hyperlink>
            <w:r>
              <w:t>.</w:t>
            </w:r>
          </w:p>
          <w:p w:rsidR="00212513" w:rsidRDefault="00212513">
            <w:pPr>
              <w:pStyle w:val="ConsPlusNormal"/>
              <w:ind w:firstLine="283"/>
              <w:jc w:val="both"/>
            </w:pPr>
            <w:r>
              <w:t xml:space="preserve">3 Значение коэффициента надежности по материалу шва </w:t>
            </w:r>
            <w:r>
              <w:rPr>
                <w:noProof/>
                <w:position w:val="-8"/>
              </w:rPr>
              <w:drawing>
                <wp:inline distT="0" distB="0" distL="0" distR="0">
                  <wp:extent cx="283210" cy="251460"/>
                  <wp:effectExtent l="0" t="0" r="0" b="0"/>
                  <wp:docPr id="9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9" cstate="print">
                            <a:extLst>
                              <a:ext uri="{28A0092B-C50C-407E-A947-70E740481C1C}">
                                <a14:useLocalDpi xmlns:a14="http://schemas.microsoft.com/office/drawing/2010/main" val="0"/>
                              </a:ext>
                            </a:extLst>
                          </a:blip>
                          <a:srcRect/>
                          <a:stretch>
                            <a:fillRect/>
                          </a:stretch>
                        </pic:blipFill>
                        <pic:spPr bwMode="auto">
                          <a:xfrm>
                            <a:off x="0" y="0"/>
                            <a:ext cx="283210" cy="251460"/>
                          </a:xfrm>
                          <a:prstGeom prst="rect">
                            <a:avLst/>
                          </a:prstGeom>
                          <a:noFill/>
                          <a:ln>
                            <a:noFill/>
                          </a:ln>
                        </pic:spPr>
                      </pic:pic>
                    </a:graphicData>
                  </a:graphic>
                </wp:inline>
              </w:drawing>
            </w:r>
            <w:r>
              <w:t xml:space="preserve"> следует принимать равным 1,25.</w:t>
            </w:r>
          </w:p>
        </w:tc>
      </w:tr>
    </w:tbl>
    <w:p w:rsidR="00212513" w:rsidRDefault="00212513">
      <w:pPr>
        <w:pStyle w:val="ConsPlusNormal"/>
        <w:ind w:firstLine="540"/>
        <w:jc w:val="both"/>
      </w:pPr>
    </w:p>
    <w:p w:rsidR="00212513" w:rsidRDefault="00212513">
      <w:pPr>
        <w:pStyle w:val="ConsPlusNormal"/>
        <w:ind w:firstLine="540"/>
        <w:jc w:val="both"/>
      </w:pPr>
      <w:r>
        <w:t>Расчетные сопротивления стыковых сварных соединений элементов из сталей с разными расчетными сопротивлениями следует принимать как для стыковых соединений из стали с меньшим значением расчетного сопротивления.</w:t>
      </w:r>
    </w:p>
    <w:p w:rsidR="00212513" w:rsidRDefault="00212513">
      <w:pPr>
        <w:pStyle w:val="ConsPlusNormal"/>
        <w:spacing w:before="220"/>
        <w:ind w:firstLine="540"/>
        <w:jc w:val="both"/>
      </w:pPr>
      <w:r>
        <w:t xml:space="preserve">Расчетные сопротивления металла швов сварных соединений с угловыми швами следует принимать по </w:t>
      </w:r>
      <w:hyperlink r:id="rId1560">
        <w:r>
          <w:rPr>
            <w:color w:val="0000FF"/>
          </w:rPr>
          <w:t>СП 16.13330</w:t>
        </w:r>
      </w:hyperlink>
      <w:r>
        <w:t>.</w:t>
      </w:r>
    </w:p>
    <w:p w:rsidR="00212513" w:rsidRDefault="00212513">
      <w:pPr>
        <w:pStyle w:val="ConsPlusNormal"/>
        <w:spacing w:before="220"/>
        <w:ind w:firstLine="540"/>
        <w:jc w:val="both"/>
      </w:pPr>
      <w:r>
        <w:t>8.11 Расчетные сопротивления одноболтовых соединений следует определять по формулам, приведенным в таблице 8.9.</w:t>
      </w:r>
    </w:p>
    <w:p w:rsidR="00212513" w:rsidRDefault="00212513">
      <w:pPr>
        <w:pStyle w:val="ConsPlusNormal"/>
        <w:ind w:firstLine="540"/>
        <w:jc w:val="both"/>
      </w:pPr>
    </w:p>
    <w:p w:rsidR="00212513" w:rsidRDefault="00212513">
      <w:pPr>
        <w:pStyle w:val="ConsPlusNormal"/>
        <w:jc w:val="right"/>
      </w:pPr>
      <w:r>
        <w:t>Таблица 8.9</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87"/>
        <w:gridCol w:w="1644"/>
        <w:gridCol w:w="1474"/>
        <w:gridCol w:w="1531"/>
        <w:gridCol w:w="2835"/>
      </w:tblGrid>
      <w:tr w:rsidR="00212513">
        <w:tc>
          <w:tcPr>
            <w:tcW w:w="1587" w:type="dxa"/>
            <w:vMerge w:val="restart"/>
            <w:vAlign w:val="center"/>
          </w:tcPr>
          <w:p w:rsidR="00212513" w:rsidRDefault="00212513">
            <w:pPr>
              <w:pStyle w:val="ConsPlusNormal"/>
              <w:jc w:val="center"/>
            </w:pPr>
            <w:r>
              <w:t>Напряженное состояние</w:t>
            </w:r>
          </w:p>
        </w:tc>
        <w:tc>
          <w:tcPr>
            <w:tcW w:w="7484" w:type="dxa"/>
            <w:gridSpan w:val="4"/>
            <w:vAlign w:val="center"/>
          </w:tcPr>
          <w:p w:rsidR="00212513" w:rsidRDefault="00212513">
            <w:pPr>
              <w:pStyle w:val="ConsPlusNormal"/>
              <w:jc w:val="center"/>
            </w:pPr>
            <w:r>
              <w:t>Расчетные сопротивления одноболтовых соединений, МПа</w:t>
            </w:r>
          </w:p>
        </w:tc>
      </w:tr>
      <w:tr w:rsidR="00212513">
        <w:tc>
          <w:tcPr>
            <w:tcW w:w="1587" w:type="dxa"/>
            <w:vMerge/>
          </w:tcPr>
          <w:p w:rsidR="00212513" w:rsidRDefault="00212513">
            <w:pPr>
              <w:pStyle w:val="ConsPlusNormal"/>
            </w:pPr>
          </w:p>
        </w:tc>
        <w:tc>
          <w:tcPr>
            <w:tcW w:w="4649" w:type="dxa"/>
            <w:gridSpan w:val="3"/>
            <w:vAlign w:val="center"/>
          </w:tcPr>
          <w:p w:rsidR="00212513" w:rsidRDefault="00212513">
            <w:pPr>
              <w:pStyle w:val="ConsPlusNormal"/>
              <w:jc w:val="center"/>
            </w:pPr>
            <w:r>
              <w:t>срезу и растяжению болтов классов прочности</w:t>
            </w:r>
          </w:p>
        </w:tc>
        <w:tc>
          <w:tcPr>
            <w:tcW w:w="2835" w:type="dxa"/>
            <w:vMerge w:val="restart"/>
            <w:vAlign w:val="center"/>
          </w:tcPr>
          <w:p w:rsidR="00212513" w:rsidRDefault="00212513">
            <w:pPr>
              <w:pStyle w:val="ConsPlusNormal"/>
              <w:jc w:val="center"/>
            </w:pPr>
            <w:r>
              <w:t>смятию соединяемых элементов из стали с классом прочности до 440 МПа</w:t>
            </w:r>
          </w:p>
        </w:tc>
      </w:tr>
      <w:tr w:rsidR="00212513">
        <w:tc>
          <w:tcPr>
            <w:tcW w:w="1587" w:type="dxa"/>
            <w:vMerge/>
          </w:tcPr>
          <w:p w:rsidR="00212513" w:rsidRDefault="00212513">
            <w:pPr>
              <w:pStyle w:val="ConsPlusNormal"/>
            </w:pPr>
          </w:p>
        </w:tc>
        <w:tc>
          <w:tcPr>
            <w:tcW w:w="1644" w:type="dxa"/>
            <w:vAlign w:val="center"/>
          </w:tcPr>
          <w:p w:rsidR="00212513" w:rsidRDefault="00212513">
            <w:pPr>
              <w:pStyle w:val="ConsPlusNormal"/>
              <w:jc w:val="center"/>
            </w:pPr>
            <w:r>
              <w:t>4.6; 5.6; 6.6</w:t>
            </w:r>
          </w:p>
        </w:tc>
        <w:tc>
          <w:tcPr>
            <w:tcW w:w="1474" w:type="dxa"/>
            <w:vAlign w:val="center"/>
          </w:tcPr>
          <w:p w:rsidR="00212513" w:rsidRDefault="00212513">
            <w:pPr>
              <w:pStyle w:val="ConsPlusNormal"/>
              <w:jc w:val="center"/>
            </w:pPr>
            <w:r>
              <w:t>4.8; 5.8</w:t>
            </w:r>
          </w:p>
        </w:tc>
        <w:tc>
          <w:tcPr>
            <w:tcW w:w="1531" w:type="dxa"/>
            <w:vAlign w:val="center"/>
          </w:tcPr>
          <w:p w:rsidR="00212513" w:rsidRDefault="00212513">
            <w:pPr>
              <w:pStyle w:val="ConsPlusNormal"/>
              <w:jc w:val="center"/>
            </w:pPr>
            <w:r>
              <w:t>8.8; 10.9</w:t>
            </w:r>
          </w:p>
        </w:tc>
        <w:tc>
          <w:tcPr>
            <w:tcW w:w="2835" w:type="dxa"/>
            <w:vMerge/>
          </w:tcPr>
          <w:p w:rsidR="00212513" w:rsidRDefault="00212513">
            <w:pPr>
              <w:pStyle w:val="ConsPlusNormal"/>
            </w:pPr>
          </w:p>
        </w:tc>
      </w:tr>
      <w:tr w:rsidR="00212513">
        <w:tc>
          <w:tcPr>
            <w:tcW w:w="1587" w:type="dxa"/>
          </w:tcPr>
          <w:p w:rsidR="00212513" w:rsidRDefault="00212513">
            <w:pPr>
              <w:pStyle w:val="ConsPlusNormal"/>
            </w:pPr>
            <w:r>
              <w:t>Срез</w:t>
            </w:r>
          </w:p>
        </w:tc>
        <w:tc>
          <w:tcPr>
            <w:tcW w:w="1644" w:type="dxa"/>
          </w:tcPr>
          <w:p w:rsidR="00212513" w:rsidRDefault="00212513">
            <w:pPr>
              <w:pStyle w:val="ConsPlusNormal"/>
              <w:jc w:val="center"/>
            </w:pPr>
            <w:r>
              <w:rPr>
                <w:i/>
              </w:rPr>
              <w:t>R</w:t>
            </w:r>
            <w:r>
              <w:rPr>
                <w:i/>
                <w:vertAlign w:val="subscript"/>
              </w:rPr>
              <w:t>bs</w:t>
            </w:r>
            <w:r>
              <w:t xml:space="preserve"> = 0,38</w:t>
            </w:r>
            <w:r>
              <w:rPr>
                <w:i/>
              </w:rPr>
              <w:t>R</w:t>
            </w:r>
            <w:r>
              <w:rPr>
                <w:i/>
                <w:vertAlign w:val="subscript"/>
              </w:rPr>
              <w:t>bun</w:t>
            </w:r>
          </w:p>
        </w:tc>
        <w:tc>
          <w:tcPr>
            <w:tcW w:w="1474" w:type="dxa"/>
          </w:tcPr>
          <w:p w:rsidR="00212513" w:rsidRDefault="00212513">
            <w:pPr>
              <w:pStyle w:val="ConsPlusNormal"/>
              <w:jc w:val="center"/>
            </w:pPr>
            <w:r>
              <w:rPr>
                <w:i/>
              </w:rPr>
              <w:t>R</w:t>
            </w:r>
            <w:r>
              <w:rPr>
                <w:i/>
                <w:vertAlign w:val="subscript"/>
              </w:rPr>
              <w:t>bs</w:t>
            </w:r>
            <w:r>
              <w:t xml:space="preserve"> = 0,4</w:t>
            </w:r>
            <w:r>
              <w:rPr>
                <w:i/>
              </w:rPr>
              <w:t>R</w:t>
            </w:r>
            <w:r>
              <w:rPr>
                <w:i/>
                <w:vertAlign w:val="subscript"/>
              </w:rPr>
              <w:t>bun</w:t>
            </w:r>
          </w:p>
        </w:tc>
        <w:tc>
          <w:tcPr>
            <w:tcW w:w="1531" w:type="dxa"/>
          </w:tcPr>
          <w:p w:rsidR="00212513" w:rsidRDefault="00212513">
            <w:pPr>
              <w:pStyle w:val="ConsPlusNormal"/>
              <w:jc w:val="center"/>
            </w:pPr>
            <w:r>
              <w:rPr>
                <w:i/>
              </w:rPr>
              <w:t>R</w:t>
            </w:r>
            <w:r>
              <w:rPr>
                <w:i/>
                <w:vertAlign w:val="subscript"/>
              </w:rPr>
              <w:t>bs</w:t>
            </w:r>
            <w:r>
              <w:t xml:space="preserve"> = 0,4</w:t>
            </w:r>
            <w:r>
              <w:rPr>
                <w:i/>
              </w:rPr>
              <w:t>R</w:t>
            </w:r>
            <w:r>
              <w:rPr>
                <w:i/>
                <w:vertAlign w:val="subscript"/>
              </w:rPr>
              <w:t>bun</w:t>
            </w:r>
          </w:p>
        </w:tc>
        <w:tc>
          <w:tcPr>
            <w:tcW w:w="2835" w:type="dxa"/>
          </w:tcPr>
          <w:p w:rsidR="00212513" w:rsidRDefault="00212513">
            <w:pPr>
              <w:pStyle w:val="ConsPlusNormal"/>
              <w:jc w:val="center"/>
            </w:pPr>
            <w:r>
              <w:t>-</w:t>
            </w:r>
          </w:p>
        </w:tc>
      </w:tr>
      <w:tr w:rsidR="00212513">
        <w:tc>
          <w:tcPr>
            <w:tcW w:w="1587" w:type="dxa"/>
          </w:tcPr>
          <w:p w:rsidR="00212513" w:rsidRDefault="00212513">
            <w:pPr>
              <w:pStyle w:val="ConsPlusNormal"/>
            </w:pPr>
            <w:r>
              <w:t>Растяжение</w:t>
            </w:r>
          </w:p>
        </w:tc>
        <w:tc>
          <w:tcPr>
            <w:tcW w:w="1644" w:type="dxa"/>
          </w:tcPr>
          <w:p w:rsidR="00212513" w:rsidRDefault="00212513">
            <w:pPr>
              <w:pStyle w:val="ConsPlusNormal"/>
              <w:jc w:val="center"/>
            </w:pPr>
            <w:r>
              <w:rPr>
                <w:i/>
              </w:rPr>
              <w:t>R</w:t>
            </w:r>
            <w:r>
              <w:rPr>
                <w:i/>
                <w:vertAlign w:val="subscript"/>
              </w:rPr>
              <w:t>bt</w:t>
            </w:r>
            <w:r>
              <w:t xml:space="preserve"> = 0,42</w:t>
            </w:r>
            <w:r>
              <w:rPr>
                <w:i/>
              </w:rPr>
              <w:t>R</w:t>
            </w:r>
            <w:r>
              <w:rPr>
                <w:i/>
                <w:vertAlign w:val="subscript"/>
              </w:rPr>
              <w:t>bun</w:t>
            </w:r>
          </w:p>
        </w:tc>
        <w:tc>
          <w:tcPr>
            <w:tcW w:w="1474" w:type="dxa"/>
          </w:tcPr>
          <w:p w:rsidR="00212513" w:rsidRDefault="00212513">
            <w:pPr>
              <w:pStyle w:val="ConsPlusNormal"/>
              <w:jc w:val="center"/>
            </w:pPr>
            <w:r>
              <w:rPr>
                <w:i/>
              </w:rPr>
              <w:t>R</w:t>
            </w:r>
            <w:r>
              <w:rPr>
                <w:i/>
                <w:vertAlign w:val="subscript"/>
              </w:rPr>
              <w:t>bt</w:t>
            </w:r>
            <w:r>
              <w:t xml:space="preserve"> = 0,4</w:t>
            </w:r>
            <w:r>
              <w:rPr>
                <w:i/>
              </w:rPr>
              <w:t>R</w:t>
            </w:r>
            <w:r>
              <w:rPr>
                <w:i/>
                <w:vertAlign w:val="subscript"/>
              </w:rPr>
              <w:t>bun</w:t>
            </w:r>
          </w:p>
        </w:tc>
        <w:tc>
          <w:tcPr>
            <w:tcW w:w="1531" w:type="dxa"/>
          </w:tcPr>
          <w:p w:rsidR="00212513" w:rsidRDefault="00212513">
            <w:pPr>
              <w:pStyle w:val="ConsPlusNormal"/>
              <w:jc w:val="center"/>
            </w:pPr>
            <w:r>
              <w:rPr>
                <w:i/>
              </w:rPr>
              <w:t>R</w:t>
            </w:r>
            <w:r>
              <w:rPr>
                <w:i/>
                <w:vertAlign w:val="subscript"/>
              </w:rPr>
              <w:t>bt</w:t>
            </w:r>
            <w:r>
              <w:t xml:space="preserve"> = 0,5</w:t>
            </w:r>
            <w:r>
              <w:rPr>
                <w:i/>
              </w:rPr>
              <w:t>R</w:t>
            </w:r>
            <w:r>
              <w:rPr>
                <w:i/>
                <w:vertAlign w:val="subscript"/>
              </w:rPr>
              <w:t>bun</w:t>
            </w:r>
          </w:p>
        </w:tc>
        <w:tc>
          <w:tcPr>
            <w:tcW w:w="2835" w:type="dxa"/>
          </w:tcPr>
          <w:p w:rsidR="00212513" w:rsidRDefault="00212513">
            <w:pPr>
              <w:pStyle w:val="ConsPlusNormal"/>
              <w:jc w:val="center"/>
            </w:pPr>
            <w:r>
              <w:t>-</w:t>
            </w:r>
          </w:p>
        </w:tc>
      </w:tr>
      <w:tr w:rsidR="00212513">
        <w:tblPrEx>
          <w:tblBorders>
            <w:insideH w:val="nil"/>
          </w:tblBorders>
        </w:tblPrEx>
        <w:tc>
          <w:tcPr>
            <w:tcW w:w="1587" w:type="dxa"/>
            <w:tcBorders>
              <w:bottom w:val="nil"/>
            </w:tcBorders>
          </w:tcPr>
          <w:p w:rsidR="00212513" w:rsidRDefault="00212513">
            <w:pPr>
              <w:pStyle w:val="ConsPlusNormal"/>
            </w:pPr>
            <w:r>
              <w:t>Смятие:</w:t>
            </w:r>
          </w:p>
        </w:tc>
        <w:tc>
          <w:tcPr>
            <w:tcW w:w="1644" w:type="dxa"/>
            <w:tcBorders>
              <w:bottom w:val="nil"/>
            </w:tcBorders>
          </w:tcPr>
          <w:p w:rsidR="00212513" w:rsidRDefault="00212513">
            <w:pPr>
              <w:pStyle w:val="ConsPlusNormal"/>
              <w:jc w:val="center"/>
            </w:pPr>
          </w:p>
        </w:tc>
        <w:tc>
          <w:tcPr>
            <w:tcW w:w="1474" w:type="dxa"/>
            <w:tcBorders>
              <w:bottom w:val="nil"/>
            </w:tcBorders>
          </w:tcPr>
          <w:p w:rsidR="00212513" w:rsidRDefault="00212513">
            <w:pPr>
              <w:pStyle w:val="ConsPlusNormal"/>
              <w:jc w:val="center"/>
            </w:pPr>
          </w:p>
        </w:tc>
        <w:tc>
          <w:tcPr>
            <w:tcW w:w="1531" w:type="dxa"/>
            <w:tcBorders>
              <w:bottom w:val="nil"/>
            </w:tcBorders>
          </w:tcPr>
          <w:p w:rsidR="00212513" w:rsidRDefault="00212513">
            <w:pPr>
              <w:pStyle w:val="ConsPlusNormal"/>
              <w:jc w:val="center"/>
            </w:pPr>
          </w:p>
        </w:tc>
        <w:tc>
          <w:tcPr>
            <w:tcW w:w="2835" w:type="dxa"/>
            <w:tcBorders>
              <w:bottom w:val="nil"/>
            </w:tcBorders>
          </w:tcPr>
          <w:p w:rsidR="00212513" w:rsidRDefault="00212513">
            <w:pPr>
              <w:pStyle w:val="ConsPlusNormal"/>
              <w:jc w:val="center"/>
            </w:pPr>
          </w:p>
        </w:tc>
      </w:tr>
      <w:tr w:rsidR="00212513">
        <w:tblPrEx>
          <w:tblBorders>
            <w:insideH w:val="nil"/>
          </w:tblBorders>
        </w:tblPrEx>
        <w:tc>
          <w:tcPr>
            <w:tcW w:w="1587" w:type="dxa"/>
            <w:tcBorders>
              <w:top w:val="nil"/>
              <w:bottom w:val="nil"/>
            </w:tcBorders>
          </w:tcPr>
          <w:p w:rsidR="00212513" w:rsidRDefault="00212513">
            <w:pPr>
              <w:pStyle w:val="ConsPlusNormal"/>
            </w:pPr>
            <w:r>
              <w:t>а) болты класса точности A</w:t>
            </w:r>
          </w:p>
        </w:tc>
        <w:tc>
          <w:tcPr>
            <w:tcW w:w="1644" w:type="dxa"/>
            <w:tcBorders>
              <w:top w:val="nil"/>
              <w:bottom w:val="nil"/>
            </w:tcBorders>
          </w:tcPr>
          <w:p w:rsidR="00212513" w:rsidRDefault="00212513">
            <w:pPr>
              <w:pStyle w:val="ConsPlusNormal"/>
              <w:jc w:val="center"/>
            </w:pPr>
            <w:r>
              <w:t>-</w:t>
            </w:r>
          </w:p>
        </w:tc>
        <w:tc>
          <w:tcPr>
            <w:tcW w:w="1474" w:type="dxa"/>
            <w:tcBorders>
              <w:top w:val="nil"/>
              <w:bottom w:val="nil"/>
            </w:tcBorders>
          </w:tcPr>
          <w:p w:rsidR="00212513" w:rsidRDefault="00212513">
            <w:pPr>
              <w:pStyle w:val="ConsPlusNormal"/>
              <w:jc w:val="center"/>
            </w:pPr>
            <w:r>
              <w:t>-</w:t>
            </w:r>
          </w:p>
        </w:tc>
        <w:tc>
          <w:tcPr>
            <w:tcW w:w="1531" w:type="dxa"/>
            <w:tcBorders>
              <w:top w:val="nil"/>
              <w:bottom w:val="nil"/>
            </w:tcBorders>
          </w:tcPr>
          <w:p w:rsidR="00212513" w:rsidRDefault="00212513">
            <w:pPr>
              <w:pStyle w:val="ConsPlusNormal"/>
              <w:jc w:val="center"/>
            </w:pPr>
            <w:r>
              <w:t>-</w:t>
            </w:r>
          </w:p>
        </w:tc>
        <w:tc>
          <w:tcPr>
            <w:tcW w:w="2835" w:type="dxa"/>
            <w:tcBorders>
              <w:top w:val="nil"/>
              <w:bottom w:val="nil"/>
            </w:tcBorders>
          </w:tcPr>
          <w:p w:rsidR="00212513" w:rsidRDefault="00212513">
            <w:pPr>
              <w:pStyle w:val="ConsPlusNormal"/>
              <w:jc w:val="center"/>
            </w:pPr>
            <w:r>
              <w:rPr>
                <w:i/>
              </w:rPr>
              <w:t>R</w:t>
            </w:r>
            <w:r>
              <w:rPr>
                <w:i/>
                <w:vertAlign w:val="subscript"/>
              </w:rPr>
              <w:t>bp</w:t>
            </w:r>
            <w:r>
              <w:t xml:space="preserve"> = (0,6 + 410</w:t>
            </w:r>
            <w:r>
              <w:rPr>
                <w:i/>
              </w:rPr>
              <w:t>R</w:t>
            </w:r>
            <w:r>
              <w:rPr>
                <w:i/>
                <w:vertAlign w:val="subscript"/>
              </w:rPr>
              <w:t>un</w:t>
            </w:r>
            <w:r>
              <w:rPr>
                <w:i/>
              </w:rPr>
              <w:t>/E</w:t>
            </w:r>
            <w:r>
              <w:t xml:space="preserve">) </w:t>
            </w:r>
            <w:r>
              <w:rPr>
                <w:i/>
              </w:rPr>
              <w:t>R</w:t>
            </w:r>
            <w:r>
              <w:rPr>
                <w:i/>
                <w:vertAlign w:val="subscript"/>
              </w:rPr>
              <w:t>un</w:t>
            </w:r>
          </w:p>
        </w:tc>
      </w:tr>
      <w:tr w:rsidR="00212513">
        <w:tblPrEx>
          <w:tblBorders>
            <w:insideH w:val="nil"/>
          </w:tblBorders>
        </w:tblPrEx>
        <w:tc>
          <w:tcPr>
            <w:tcW w:w="1587" w:type="dxa"/>
            <w:tcBorders>
              <w:top w:val="nil"/>
            </w:tcBorders>
          </w:tcPr>
          <w:p w:rsidR="00212513" w:rsidRDefault="00212513">
            <w:pPr>
              <w:pStyle w:val="ConsPlusNormal"/>
            </w:pPr>
            <w:r>
              <w:t xml:space="preserve">б) болты классов </w:t>
            </w:r>
            <w:r>
              <w:lastRenderedPageBreak/>
              <w:t>точности B и C</w:t>
            </w:r>
          </w:p>
        </w:tc>
        <w:tc>
          <w:tcPr>
            <w:tcW w:w="1644" w:type="dxa"/>
            <w:tcBorders>
              <w:top w:val="nil"/>
            </w:tcBorders>
          </w:tcPr>
          <w:p w:rsidR="00212513" w:rsidRDefault="00212513">
            <w:pPr>
              <w:pStyle w:val="ConsPlusNormal"/>
              <w:jc w:val="center"/>
            </w:pPr>
            <w:r>
              <w:lastRenderedPageBreak/>
              <w:t>-</w:t>
            </w:r>
          </w:p>
        </w:tc>
        <w:tc>
          <w:tcPr>
            <w:tcW w:w="1474" w:type="dxa"/>
            <w:tcBorders>
              <w:top w:val="nil"/>
            </w:tcBorders>
          </w:tcPr>
          <w:p w:rsidR="00212513" w:rsidRDefault="00212513">
            <w:pPr>
              <w:pStyle w:val="ConsPlusNormal"/>
              <w:jc w:val="center"/>
            </w:pPr>
            <w:r>
              <w:t>-</w:t>
            </w:r>
          </w:p>
        </w:tc>
        <w:tc>
          <w:tcPr>
            <w:tcW w:w="1531" w:type="dxa"/>
            <w:tcBorders>
              <w:top w:val="nil"/>
            </w:tcBorders>
          </w:tcPr>
          <w:p w:rsidR="00212513" w:rsidRDefault="00212513">
            <w:pPr>
              <w:pStyle w:val="ConsPlusNormal"/>
              <w:jc w:val="center"/>
            </w:pPr>
            <w:r>
              <w:t>-</w:t>
            </w:r>
          </w:p>
        </w:tc>
        <w:tc>
          <w:tcPr>
            <w:tcW w:w="2835" w:type="dxa"/>
            <w:tcBorders>
              <w:top w:val="nil"/>
            </w:tcBorders>
          </w:tcPr>
          <w:p w:rsidR="00212513" w:rsidRDefault="00212513">
            <w:pPr>
              <w:pStyle w:val="ConsPlusNormal"/>
              <w:jc w:val="center"/>
            </w:pPr>
            <w:r>
              <w:rPr>
                <w:i/>
              </w:rPr>
              <w:t>R</w:t>
            </w:r>
            <w:r>
              <w:rPr>
                <w:i/>
                <w:vertAlign w:val="subscript"/>
              </w:rPr>
              <w:t>bp</w:t>
            </w:r>
            <w:r>
              <w:t xml:space="preserve"> = (0,6 + 340</w:t>
            </w:r>
            <w:r>
              <w:rPr>
                <w:i/>
              </w:rPr>
              <w:t>R</w:t>
            </w:r>
            <w:r>
              <w:rPr>
                <w:i/>
                <w:vertAlign w:val="subscript"/>
              </w:rPr>
              <w:t>un</w:t>
            </w:r>
            <w:r>
              <w:rPr>
                <w:i/>
              </w:rPr>
              <w:t>/E</w:t>
            </w:r>
            <w:r>
              <w:t xml:space="preserve">) </w:t>
            </w:r>
            <w:r>
              <w:rPr>
                <w:i/>
              </w:rPr>
              <w:t>R</w:t>
            </w:r>
            <w:r>
              <w:rPr>
                <w:i/>
                <w:vertAlign w:val="subscript"/>
              </w:rPr>
              <w:t>un</w:t>
            </w:r>
          </w:p>
        </w:tc>
      </w:tr>
    </w:tbl>
    <w:p w:rsidR="00212513" w:rsidRDefault="00212513">
      <w:pPr>
        <w:pStyle w:val="ConsPlusNormal"/>
        <w:ind w:firstLine="540"/>
        <w:jc w:val="both"/>
      </w:pPr>
    </w:p>
    <w:p w:rsidR="00212513" w:rsidRDefault="00212513">
      <w:pPr>
        <w:pStyle w:val="ConsPlusNormal"/>
        <w:ind w:firstLine="540"/>
        <w:jc w:val="both"/>
      </w:pPr>
      <w:r>
        <w:t>Расчетные сопротивления срезу и растяжению болтов следует принимать по таблице 8.10.</w:t>
      </w:r>
    </w:p>
    <w:p w:rsidR="00212513" w:rsidRDefault="00212513">
      <w:pPr>
        <w:pStyle w:val="ConsPlusNormal"/>
        <w:ind w:firstLine="540"/>
        <w:jc w:val="both"/>
      </w:pPr>
    </w:p>
    <w:p w:rsidR="00212513" w:rsidRDefault="00212513">
      <w:pPr>
        <w:pStyle w:val="ConsPlusNormal"/>
        <w:jc w:val="right"/>
      </w:pPr>
      <w:r>
        <w:t>Таблица 8.10</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87"/>
        <w:gridCol w:w="1485"/>
        <w:gridCol w:w="850"/>
        <w:gridCol w:w="964"/>
        <w:gridCol w:w="1529"/>
        <w:gridCol w:w="1530"/>
        <w:gridCol w:w="1134"/>
      </w:tblGrid>
      <w:tr w:rsidR="00212513">
        <w:tc>
          <w:tcPr>
            <w:tcW w:w="1587" w:type="dxa"/>
            <w:vMerge w:val="restart"/>
            <w:vAlign w:val="center"/>
          </w:tcPr>
          <w:p w:rsidR="00212513" w:rsidRDefault="00212513">
            <w:pPr>
              <w:pStyle w:val="ConsPlusNormal"/>
              <w:jc w:val="center"/>
            </w:pPr>
            <w:r>
              <w:t>Напряженное состояние</w:t>
            </w:r>
          </w:p>
        </w:tc>
        <w:tc>
          <w:tcPr>
            <w:tcW w:w="7492" w:type="dxa"/>
            <w:gridSpan w:val="6"/>
            <w:vAlign w:val="center"/>
          </w:tcPr>
          <w:p w:rsidR="00212513" w:rsidRDefault="00212513">
            <w:pPr>
              <w:pStyle w:val="ConsPlusNormal"/>
              <w:jc w:val="center"/>
            </w:pPr>
            <w:r>
              <w:t>Расчетное сопротивление болтов, МПа, при классе прочности или марке стали</w:t>
            </w:r>
          </w:p>
        </w:tc>
      </w:tr>
      <w:tr w:rsidR="00212513">
        <w:tc>
          <w:tcPr>
            <w:tcW w:w="1587" w:type="dxa"/>
            <w:vMerge/>
          </w:tcPr>
          <w:p w:rsidR="00212513" w:rsidRDefault="00212513">
            <w:pPr>
              <w:pStyle w:val="ConsPlusNormal"/>
            </w:pPr>
          </w:p>
        </w:tc>
        <w:tc>
          <w:tcPr>
            <w:tcW w:w="1485" w:type="dxa"/>
            <w:vAlign w:val="center"/>
          </w:tcPr>
          <w:p w:rsidR="00212513" w:rsidRDefault="00212513">
            <w:pPr>
              <w:pStyle w:val="ConsPlusNormal"/>
              <w:jc w:val="center"/>
            </w:pPr>
            <w:r>
              <w:t>обозначение</w:t>
            </w:r>
          </w:p>
        </w:tc>
        <w:tc>
          <w:tcPr>
            <w:tcW w:w="850" w:type="dxa"/>
            <w:vAlign w:val="center"/>
          </w:tcPr>
          <w:p w:rsidR="00212513" w:rsidRDefault="00212513">
            <w:pPr>
              <w:pStyle w:val="ConsPlusNormal"/>
              <w:jc w:val="center"/>
            </w:pPr>
            <w:r>
              <w:t>4.6</w:t>
            </w:r>
          </w:p>
        </w:tc>
        <w:tc>
          <w:tcPr>
            <w:tcW w:w="964" w:type="dxa"/>
            <w:vAlign w:val="center"/>
          </w:tcPr>
          <w:p w:rsidR="00212513" w:rsidRDefault="00212513">
            <w:pPr>
              <w:pStyle w:val="ConsPlusNormal"/>
              <w:jc w:val="center"/>
            </w:pPr>
            <w:r>
              <w:t>Ст3сп4</w:t>
            </w:r>
          </w:p>
        </w:tc>
        <w:tc>
          <w:tcPr>
            <w:tcW w:w="1529" w:type="dxa"/>
            <w:vAlign w:val="center"/>
          </w:tcPr>
          <w:p w:rsidR="00212513" w:rsidRDefault="00212513">
            <w:pPr>
              <w:pStyle w:val="ConsPlusNormal"/>
              <w:jc w:val="center"/>
            </w:pPr>
            <w:r>
              <w:t>09Г2</w:t>
            </w:r>
          </w:p>
          <w:p w:rsidR="00212513" w:rsidRDefault="00212513">
            <w:pPr>
              <w:pStyle w:val="ConsPlusNormal"/>
              <w:jc w:val="center"/>
            </w:pPr>
            <w:r>
              <w:t>295-09Г2-4</w:t>
            </w:r>
          </w:p>
          <w:p w:rsidR="00212513" w:rsidRDefault="00212513">
            <w:pPr>
              <w:pStyle w:val="ConsPlusNormal"/>
              <w:jc w:val="center"/>
            </w:pPr>
            <w:r>
              <w:t>295-09Г2-6</w:t>
            </w:r>
          </w:p>
        </w:tc>
        <w:tc>
          <w:tcPr>
            <w:tcW w:w="1530" w:type="dxa"/>
            <w:vAlign w:val="center"/>
          </w:tcPr>
          <w:p w:rsidR="00212513" w:rsidRDefault="00212513">
            <w:pPr>
              <w:pStyle w:val="ConsPlusNormal"/>
              <w:jc w:val="center"/>
            </w:pPr>
            <w:r>
              <w:t>325-09Г2С-4</w:t>
            </w:r>
          </w:p>
          <w:p w:rsidR="00212513" w:rsidRDefault="00212513">
            <w:pPr>
              <w:pStyle w:val="ConsPlusNormal"/>
              <w:jc w:val="center"/>
            </w:pPr>
            <w:r>
              <w:t>325-09Г2С-6</w:t>
            </w:r>
          </w:p>
        </w:tc>
        <w:tc>
          <w:tcPr>
            <w:tcW w:w="1134" w:type="dxa"/>
            <w:vAlign w:val="center"/>
          </w:tcPr>
          <w:p w:rsidR="00212513" w:rsidRDefault="00212513">
            <w:pPr>
              <w:pStyle w:val="ConsPlusNormal"/>
              <w:jc w:val="center"/>
            </w:pPr>
            <w:r>
              <w:t>40Х</w:t>
            </w:r>
          </w:p>
        </w:tc>
      </w:tr>
      <w:tr w:rsidR="00212513">
        <w:tc>
          <w:tcPr>
            <w:tcW w:w="1587" w:type="dxa"/>
          </w:tcPr>
          <w:p w:rsidR="00212513" w:rsidRDefault="00212513">
            <w:pPr>
              <w:pStyle w:val="ConsPlusNormal"/>
            </w:pPr>
            <w:r>
              <w:t>Срез</w:t>
            </w:r>
          </w:p>
        </w:tc>
        <w:tc>
          <w:tcPr>
            <w:tcW w:w="1485" w:type="dxa"/>
          </w:tcPr>
          <w:p w:rsidR="00212513" w:rsidRDefault="00212513">
            <w:pPr>
              <w:pStyle w:val="ConsPlusNormal"/>
              <w:jc w:val="center"/>
            </w:pPr>
            <w:r>
              <w:rPr>
                <w:i/>
              </w:rPr>
              <w:t>R</w:t>
            </w:r>
            <w:r>
              <w:rPr>
                <w:i/>
                <w:vertAlign w:val="subscript"/>
              </w:rPr>
              <w:t>bs</w:t>
            </w:r>
          </w:p>
        </w:tc>
        <w:tc>
          <w:tcPr>
            <w:tcW w:w="850" w:type="dxa"/>
          </w:tcPr>
          <w:p w:rsidR="00212513" w:rsidRDefault="00212513">
            <w:pPr>
              <w:pStyle w:val="ConsPlusNormal"/>
              <w:jc w:val="center"/>
            </w:pPr>
            <w:r>
              <w:t>145</w:t>
            </w:r>
          </w:p>
        </w:tc>
        <w:tc>
          <w:tcPr>
            <w:tcW w:w="964" w:type="dxa"/>
          </w:tcPr>
          <w:p w:rsidR="00212513" w:rsidRDefault="00212513">
            <w:pPr>
              <w:pStyle w:val="ConsPlusNormal"/>
              <w:jc w:val="center"/>
            </w:pPr>
            <w:r>
              <w:t>140</w:t>
            </w:r>
          </w:p>
        </w:tc>
        <w:tc>
          <w:tcPr>
            <w:tcW w:w="1529" w:type="dxa"/>
          </w:tcPr>
          <w:p w:rsidR="00212513" w:rsidRDefault="00212513">
            <w:pPr>
              <w:pStyle w:val="ConsPlusNormal"/>
              <w:jc w:val="center"/>
            </w:pPr>
            <w:r>
              <w:t>165</w:t>
            </w:r>
          </w:p>
        </w:tc>
        <w:tc>
          <w:tcPr>
            <w:tcW w:w="1530" w:type="dxa"/>
          </w:tcPr>
          <w:p w:rsidR="00212513" w:rsidRDefault="00212513">
            <w:pPr>
              <w:pStyle w:val="ConsPlusNormal"/>
              <w:jc w:val="center"/>
            </w:pPr>
            <w:r>
              <w:t>175</w:t>
            </w:r>
          </w:p>
        </w:tc>
        <w:tc>
          <w:tcPr>
            <w:tcW w:w="1134" w:type="dxa"/>
          </w:tcPr>
          <w:p w:rsidR="00212513" w:rsidRDefault="00212513">
            <w:pPr>
              <w:pStyle w:val="ConsPlusNormal"/>
              <w:jc w:val="center"/>
            </w:pPr>
            <w:r>
              <w:t>395</w:t>
            </w:r>
          </w:p>
        </w:tc>
      </w:tr>
      <w:tr w:rsidR="00212513">
        <w:tc>
          <w:tcPr>
            <w:tcW w:w="1587" w:type="dxa"/>
          </w:tcPr>
          <w:p w:rsidR="00212513" w:rsidRDefault="00212513">
            <w:pPr>
              <w:pStyle w:val="ConsPlusNormal"/>
            </w:pPr>
            <w:r>
              <w:t>Растяжение</w:t>
            </w:r>
          </w:p>
        </w:tc>
        <w:tc>
          <w:tcPr>
            <w:tcW w:w="1485" w:type="dxa"/>
          </w:tcPr>
          <w:p w:rsidR="00212513" w:rsidRDefault="00212513">
            <w:pPr>
              <w:pStyle w:val="ConsPlusNormal"/>
              <w:jc w:val="center"/>
            </w:pPr>
            <w:r>
              <w:rPr>
                <w:i/>
              </w:rPr>
              <w:t>R</w:t>
            </w:r>
            <w:r>
              <w:rPr>
                <w:i/>
                <w:vertAlign w:val="subscript"/>
              </w:rPr>
              <w:t>bt</w:t>
            </w:r>
          </w:p>
        </w:tc>
        <w:tc>
          <w:tcPr>
            <w:tcW w:w="850" w:type="dxa"/>
          </w:tcPr>
          <w:p w:rsidR="00212513" w:rsidRDefault="00212513">
            <w:pPr>
              <w:pStyle w:val="ConsPlusNormal"/>
              <w:jc w:val="center"/>
            </w:pPr>
            <w:r>
              <w:t>160</w:t>
            </w:r>
          </w:p>
        </w:tc>
        <w:tc>
          <w:tcPr>
            <w:tcW w:w="964" w:type="dxa"/>
          </w:tcPr>
          <w:p w:rsidR="00212513" w:rsidRDefault="00212513">
            <w:pPr>
              <w:pStyle w:val="ConsPlusNormal"/>
              <w:jc w:val="center"/>
            </w:pPr>
            <w:r>
              <w:t>155</w:t>
            </w:r>
          </w:p>
        </w:tc>
        <w:tc>
          <w:tcPr>
            <w:tcW w:w="1529" w:type="dxa"/>
          </w:tcPr>
          <w:p w:rsidR="00212513" w:rsidRDefault="00212513">
            <w:pPr>
              <w:pStyle w:val="ConsPlusNormal"/>
              <w:jc w:val="center"/>
            </w:pPr>
            <w:r>
              <w:t>185</w:t>
            </w:r>
          </w:p>
        </w:tc>
        <w:tc>
          <w:tcPr>
            <w:tcW w:w="1530" w:type="dxa"/>
          </w:tcPr>
          <w:p w:rsidR="00212513" w:rsidRDefault="00212513">
            <w:pPr>
              <w:pStyle w:val="ConsPlusNormal"/>
              <w:jc w:val="center"/>
            </w:pPr>
            <w:r>
              <w:t>195</w:t>
            </w:r>
          </w:p>
        </w:tc>
        <w:tc>
          <w:tcPr>
            <w:tcW w:w="1134" w:type="dxa"/>
          </w:tcPr>
          <w:p w:rsidR="00212513" w:rsidRDefault="00212513">
            <w:pPr>
              <w:pStyle w:val="ConsPlusNormal"/>
              <w:jc w:val="center"/>
            </w:pPr>
            <w:r>
              <w:t>495</w:t>
            </w:r>
          </w:p>
        </w:tc>
      </w:tr>
    </w:tbl>
    <w:p w:rsidR="00212513" w:rsidRDefault="00212513">
      <w:pPr>
        <w:pStyle w:val="ConsPlusNormal"/>
        <w:ind w:firstLine="540"/>
        <w:jc w:val="both"/>
      </w:pPr>
    </w:p>
    <w:p w:rsidR="00212513" w:rsidRDefault="00212513">
      <w:pPr>
        <w:pStyle w:val="ConsPlusNormal"/>
        <w:ind w:firstLine="540"/>
        <w:jc w:val="both"/>
      </w:pPr>
      <w:r>
        <w:t xml:space="preserve">Расчетные сопротивления смятию элементов, соединяемых болтами, следует определять по </w:t>
      </w:r>
      <w:hyperlink r:id="rId1561">
        <w:r>
          <w:rPr>
            <w:color w:val="0000FF"/>
          </w:rPr>
          <w:t>СП 16.13330</w:t>
        </w:r>
      </w:hyperlink>
      <w:r>
        <w:t>.</w:t>
      </w:r>
    </w:p>
    <w:p w:rsidR="00212513" w:rsidRDefault="00212513">
      <w:pPr>
        <w:pStyle w:val="ConsPlusNormal"/>
        <w:spacing w:before="220"/>
        <w:ind w:firstLine="540"/>
        <w:jc w:val="both"/>
      </w:pPr>
      <w:r>
        <w:t xml:space="preserve">8.12 Расчетное сопротивление растяжению фундаментных (анкерных) болтов </w:t>
      </w:r>
      <w:r>
        <w:rPr>
          <w:noProof/>
          <w:position w:val="-8"/>
        </w:rPr>
        <w:drawing>
          <wp:inline distT="0" distB="0" distL="0" distR="0">
            <wp:extent cx="251460" cy="251460"/>
            <wp:effectExtent l="0" t="0" r="0" b="0"/>
            <wp:docPr id="9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2"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следует определять по формуле (и принимать по таблице 8.11)</w:t>
      </w:r>
    </w:p>
    <w:p w:rsidR="00212513" w:rsidRDefault="00212513">
      <w:pPr>
        <w:pStyle w:val="ConsPlusNormal"/>
        <w:ind w:firstLine="540"/>
        <w:jc w:val="both"/>
      </w:pPr>
    </w:p>
    <w:p w:rsidR="00212513" w:rsidRDefault="00212513">
      <w:pPr>
        <w:pStyle w:val="ConsPlusNormal"/>
        <w:jc w:val="center"/>
      </w:pPr>
      <w:r>
        <w:rPr>
          <w:noProof/>
          <w:position w:val="-8"/>
        </w:rPr>
        <w:drawing>
          <wp:inline distT="0" distB="0" distL="0" distR="0">
            <wp:extent cx="857250" cy="251460"/>
            <wp:effectExtent l="0" t="0" r="0" b="0"/>
            <wp:docPr id="9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3" cstate="print">
                      <a:extLst>
                        <a:ext uri="{28A0092B-C50C-407E-A947-70E740481C1C}">
                          <a14:useLocalDpi xmlns:a14="http://schemas.microsoft.com/office/drawing/2010/main" val="0"/>
                        </a:ext>
                      </a:extLst>
                    </a:blip>
                    <a:srcRect/>
                    <a:stretch>
                      <a:fillRect/>
                    </a:stretch>
                  </pic:blipFill>
                  <pic:spPr bwMode="auto">
                    <a:xfrm>
                      <a:off x="0" y="0"/>
                      <a:ext cx="857250" cy="251460"/>
                    </a:xfrm>
                    <a:prstGeom prst="rect">
                      <a:avLst/>
                    </a:prstGeom>
                    <a:noFill/>
                    <a:ln>
                      <a:noFill/>
                    </a:ln>
                  </pic:spPr>
                </pic:pic>
              </a:graphicData>
            </a:graphic>
          </wp:inline>
        </w:drawing>
      </w:r>
      <w:r>
        <w:t>. (8.1)</w:t>
      </w:r>
    </w:p>
    <w:p w:rsidR="00212513" w:rsidRDefault="00212513">
      <w:pPr>
        <w:pStyle w:val="ConsPlusNormal"/>
        <w:ind w:firstLine="540"/>
        <w:jc w:val="both"/>
      </w:pPr>
    </w:p>
    <w:p w:rsidR="00212513" w:rsidRDefault="00212513">
      <w:pPr>
        <w:pStyle w:val="ConsPlusNormal"/>
        <w:jc w:val="right"/>
      </w:pPr>
      <w:r>
        <w:t>Таблица 8.11</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13"/>
        <w:gridCol w:w="1813"/>
        <w:gridCol w:w="1813"/>
        <w:gridCol w:w="1813"/>
        <w:gridCol w:w="1815"/>
      </w:tblGrid>
      <w:tr w:rsidR="00212513">
        <w:tc>
          <w:tcPr>
            <w:tcW w:w="1813" w:type="dxa"/>
            <w:vMerge w:val="restart"/>
            <w:vAlign w:val="center"/>
          </w:tcPr>
          <w:p w:rsidR="00212513" w:rsidRDefault="00212513">
            <w:pPr>
              <w:pStyle w:val="ConsPlusNormal"/>
              <w:jc w:val="center"/>
            </w:pPr>
            <w:r>
              <w:t xml:space="preserve">Диаметр болтов </w:t>
            </w:r>
            <w:r>
              <w:rPr>
                <w:i/>
              </w:rPr>
              <w:t>d</w:t>
            </w:r>
            <w:r>
              <w:t>, мм</w:t>
            </w:r>
          </w:p>
        </w:tc>
        <w:tc>
          <w:tcPr>
            <w:tcW w:w="7254" w:type="dxa"/>
            <w:gridSpan w:val="4"/>
            <w:vAlign w:val="center"/>
          </w:tcPr>
          <w:p w:rsidR="00212513" w:rsidRDefault="00212513">
            <w:pPr>
              <w:pStyle w:val="ConsPlusNormal"/>
              <w:jc w:val="center"/>
            </w:pPr>
            <w:r>
              <w:t>Расчетные сопротивления, МПа, фундаментных (анкерных) болтов из стали марок</w:t>
            </w:r>
          </w:p>
        </w:tc>
      </w:tr>
      <w:tr w:rsidR="00212513">
        <w:tc>
          <w:tcPr>
            <w:tcW w:w="1813" w:type="dxa"/>
            <w:vMerge/>
          </w:tcPr>
          <w:p w:rsidR="00212513" w:rsidRDefault="00212513">
            <w:pPr>
              <w:pStyle w:val="ConsPlusNormal"/>
            </w:pPr>
          </w:p>
        </w:tc>
        <w:tc>
          <w:tcPr>
            <w:tcW w:w="1813" w:type="dxa"/>
            <w:vAlign w:val="center"/>
          </w:tcPr>
          <w:p w:rsidR="00212513" w:rsidRDefault="00212513">
            <w:pPr>
              <w:pStyle w:val="ConsPlusNormal"/>
              <w:jc w:val="center"/>
            </w:pPr>
            <w:r>
              <w:t>20</w:t>
            </w:r>
          </w:p>
        </w:tc>
        <w:tc>
          <w:tcPr>
            <w:tcW w:w="1813" w:type="dxa"/>
            <w:vAlign w:val="center"/>
          </w:tcPr>
          <w:p w:rsidR="00212513" w:rsidRDefault="00212513">
            <w:pPr>
              <w:pStyle w:val="ConsPlusNormal"/>
              <w:jc w:val="center"/>
            </w:pPr>
            <w:r>
              <w:t>09Г2; 295-08Г2-6</w:t>
            </w:r>
          </w:p>
        </w:tc>
        <w:tc>
          <w:tcPr>
            <w:tcW w:w="1813" w:type="dxa"/>
            <w:vAlign w:val="center"/>
          </w:tcPr>
          <w:p w:rsidR="00212513" w:rsidRDefault="00212513">
            <w:pPr>
              <w:pStyle w:val="ConsPlusNormal"/>
              <w:jc w:val="center"/>
            </w:pPr>
            <w:r>
              <w:t>325-09Г2С-6</w:t>
            </w:r>
          </w:p>
        </w:tc>
        <w:tc>
          <w:tcPr>
            <w:tcW w:w="1815" w:type="dxa"/>
            <w:vAlign w:val="center"/>
          </w:tcPr>
          <w:p w:rsidR="00212513" w:rsidRDefault="00212513">
            <w:pPr>
              <w:pStyle w:val="ConsPlusNormal"/>
              <w:jc w:val="center"/>
            </w:pPr>
            <w:r>
              <w:t>40Х</w:t>
            </w:r>
          </w:p>
        </w:tc>
      </w:tr>
      <w:tr w:rsidR="00212513">
        <w:tc>
          <w:tcPr>
            <w:tcW w:w="1813" w:type="dxa"/>
          </w:tcPr>
          <w:p w:rsidR="00212513" w:rsidRDefault="00212513">
            <w:pPr>
              <w:pStyle w:val="ConsPlusNormal"/>
              <w:jc w:val="center"/>
            </w:pPr>
            <w:r>
              <w:t>12 - 20</w:t>
            </w:r>
          </w:p>
        </w:tc>
        <w:tc>
          <w:tcPr>
            <w:tcW w:w="1813" w:type="dxa"/>
          </w:tcPr>
          <w:p w:rsidR="00212513" w:rsidRDefault="00212513">
            <w:pPr>
              <w:pStyle w:val="ConsPlusNormal"/>
              <w:jc w:val="center"/>
            </w:pPr>
            <w:r>
              <w:t>160</w:t>
            </w:r>
          </w:p>
        </w:tc>
        <w:tc>
          <w:tcPr>
            <w:tcW w:w="1813" w:type="dxa"/>
          </w:tcPr>
          <w:p w:rsidR="00212513" w:rsidRDefault="00212513">
            <w:pPr>
              <w:pStyle w:val="ConsPlusNormal"/>
              <w:jc w:val="center"/>
            </w:pPr>
            <w:r>
              <w:t>175</w:t>
            </w:r>
          </w:p>
        </w:tc>
        <w:tc>
          <w:tcPr>
            <w:tcW w:w="1813" w:type="dxa"/>
          </w:tcPr>
          <w:p w:rsidR="00212513" w:rsidRDefault="00212513">
            <w:pPr>
              <w:pStyle w:val="ConsPlusNormal"/>
              <w:jc w:val="center"/>
            </w:pPr>
            <w:r>
              <w:t>185</w:t>
            </w:r>
          </w:p>
        </w:tc>
        <w:tc>
          <w:tcPr>
            <w:tcW w:w="1815" w:type="dxa"/>
          </w:tcPr>
          <w:p w:rsidR="00212513" w:rsidRDefault="00212513">
            <w:pPr>
              <w:pStyle w:val="ConsPlusNormal"/>
              <w:jc w:val="center"/>
            </w:pPr>
            <w:r>
              <w:t>-</w:t>
            </w:r>
          </w:p>
        </w:tc>
      </w:tr>
      <w:tr w:rsidR="00212513">
        <w:tc>
          <w:tcPr>
            <w:tcW w:w="1813" w:type="dxa"/>
          </w:tcPr>
          <w:p w:rsidR="00212513" w:rsidRDefault="00212513">
            <w:pPr>
              <w:pStyle w:val="ConsPlusNormal"/>
              <w:jc w:val="center"/>
            </w:pPr>
            <w:r>
              <w:t>16 - 27</w:t>
            </w:r>
          </w:p>
        </w:tc>
        <w:tc>
          <w:tcPr>
            <w:tcW w:w="1813" w:type="dxa"/>
          </w:tcPr>
          <w:p w:rsidR="00212513" w:rsidRDefault="00212513">
            <w:pPr>
              <w:pStyle w:val="ConsPlusNormal"/>
              <w:jc w:val="center"/>
            </w:pPr>
            <w:r>
              <w:t>-</w:t>
            </w:r>
          </w:p>
        </w:tc>
        <w:tc>
          <w:tcPr>
            <w:tcW w:w="1813" w:type="dxa"/>
          </w:tcPr>
          <w:p w:rsidR="00212513" w:rsidRDefault="00212513">
            <w:pPr>
              <w:pStyle w:val="ConsPlusNormal"/>
              <w:jc w:val="center"/>
            </w:pPr>
            <w:r>
              <w:t>-</w:t>
            </w:r>
          </w:p>
        </w:tc>
        <w:tc>
          <w:tcPr>
            <w:tcW w:w="1813" w:type="dxa"/>
          </w:tcPr>
          <w:p w:rsidR="00212513" w:rsidRDefault="00212513">
            <w:pPr>
              <w:pStyle w:val="ConsPlusNormal"/>
              <w:jc w:val="center"/>
            </w:pPr>
            <w:r>
              <w:t>-</w:t>
            </w:r>
          </w:p>
        </w:tc>
        <w:tc>
          <w:tcPr>
            <w:tcW w:w="1815" w:type="dxa"/>
          </w:tcPr>
          <w:p w:rsidR="00212513" w:rsidRDefault="00212513">
            <w:pPr>
              <w:pStyle w:val="ConsPlusNormal"/>
              <w:jc w:val="center"/>
            </w:pPr>
            <w:r>
              <w:t>430</w:t>
            </w:r>
          </w:p>
        </w:tc>
      </w:tr>
      <w:tr w:rsidR="00212513">
        <w:tc>
          <w:tcPr>
            <w:tcW w:w="1813" w:type="dxa"/>
          </w:tcPr>
          <w:p w:rsidR="00212513" w:rsidRDefault="00212513">
            <w:pPr>
              <w:pStyle w:val="ConsPlusNormal"/>
              <w:jc w:val="center"/>
            </w:pPr>
            <w:r>
              <w:t>21 - 32</w:t>
            </w:r>
          </w:p>
        </w:tc>
        <w:tc>
          <w:tcPr>
            <w:tcW w:w="1813" w:type="dxa"/>
          </w:tcPr>
          <w:p w:rsidR="00212513" w:rsidRDefault="00212513">
            <w:pPr>
              <w:pStyle w:val="ConsPlusNormal"/>
              <w:jc w:val="center"/>
            </w:pPr>
            <w:r>
              <w:t>160</w:t>
            </w:r>
          </w:p>
        </w:tc>
        <w:tc>
          <w:tcPr>
            <w:tcW w:w="1813" w:type="dxa"/>
          </w:tcPr>
          <w:p w:rsidR="00212513" w:rsidRDefault="00212513">
            <w:pPr>
              <w:pStyle w:val="ConsPlusNormal"/>
              <w:jc w:val="center"/>
            </w:pPr>
            <w:r>
              <w:t>175</w:t>
            </w:r>
          </w:p>
        </w:tc>
        <w:tc>
          <w:tcPr>
            <w:tcW w:w="1813" w:type="dxa"/>
          </w:tcPr>
          <w:p w:rsidR="00212513" w:rsidRDefault="00212513">
            <w:pPr>
              <w:pStyle w:val="ConsPlusNormal"/>
              <w:jc w:val="center"/>
            </w:pPr>
            <w:r>
              <w:t>180</w:t>
            </w:r>
          </w:p>
        </w:tc>
        <w:tc>
          <w:tcPr>
            <w:tcW w:w="1815" w:type="dxa"/>
          </w:tcPr>
          <w:p w:rsidR="00212513" w:rsidRDefault="00212513">
            <w:pPr>
              <w:pStyle w:val="ConsPlusNormal"/>
              <w:jc w:val="center"/>
            </w:pPr>
            <w:r>
              <w:t>-</w:t>
            </w:r>
          </w:p>
        </w:tc>
      </w:tr>
      <w:tr w:rsidR="00212513">
        <w:tc>
          <w:tcPr>
            <w:tcW w:w="1813" w:type="dxa"/>
          </w:tcPr>
          <w:p w:rsidR="00212513" w:rsidRDefault="00212513">
            <w:pPr>
              <w:pStyle w:val="ConsPlusNormal"/>
              <w:jc w:val="center"/>
            </w:pPr>
            <w:r>
              <w:t>30</w:t>
            </w:r>
          </w:p>
        </w:tc>
        <w:tc>
          <w:tcPr>
            <w:tcW w:w="1813" w:type="dxa"/>
          </w:tcPr>
          <w:p w:rsidR="00212513" w:rsidRDefault="00212513">
            <w:pPr>
              <w:pStyle w:val="ConsPlusNormal"/>
              <w:jc w:val="center"/>
            </w:pPr>
            <w:r>
              <w:t>-</w:t>
            </w:r>
          </w:p>
        </w:tc>
        <w:tc>
          <w:tcPr>
            <w:tcW w:w="1813" w:type="dxa"/>
          </w:tcPr>
          <w:p w:rsidR="00212513" w:rsidRDefault="00212513">
            <w:pPr>
              <w:pStyle w:val="ConsPlusNormal"/>
              <w:jc w:val="center"/>
            </w:pPr>
            <w:r>
              <w:t>-</w:t>
            </w:r>
          </w:p>
        </w:tc>
        <w:tc>
          <w:tcPr>
            <w:tcW w:w="1813" w:type="dxa"/>
          </w:tcPr>
          <w:p w:rsidR="00212513" w:rsidRDefault="00212513">
            <w:pPr>
              <w:pStyle w:val="ConsPlusNormal"/>
              <w:jc w:val="center"/>
            </w:pPr>
            <w:r>
              <w:t>-</w:t>
            </w:r>
          </w:p>
        </w:tc>
        <w:tc>
          <w:tcPr>
            <w:tcW w:w="1815" w:type="dxa"/>
          </w:tcPr>
          <w:p w:rsidR="00212513" w:rsidRDefault="00212513">
            <w:pPr>
              <w:pStyle w:val="ConsPlusNormal"/>
              <w:jc w:val="center"/>
            </w:pPr>
            <w:r>
              <w:t>370</w:t>
            </w:r>
          </w:p>
        </w:tc>
      </w:tr>
      <w:tr w:rsidR="00212513">
        <w:tc>
          <w:tcPr>
            <w:tcW w:w="1813" w:type="dxa"/>
          </w:tcPr>
          <w:p w:rsidR="00212513" w:rsidRDefault="00212513">
            <w:pPr>
              <w:pStyle w:val="ConsPlusNormal"/>
              <w:jc w:val="center"/>
            </w:pPr>
            <w:r>
              <w:t>36</w:t>
            </w:r>
          </w:p>
        </w:tc>
        <w:tc>
          <w:tcPr>
            <w:tcW w:w="1813" w:type="dxa"/>
          </w:tcPr>
          <w:p w:rsidR="00212513" w:rsidRDefault="00212513">
            <w:pPr>
              <w:pStyle w:val="ConsPlusNormal"/>
              <w:jc w:val="center"/>
            </w:pPr>
            <w:r>
              <w:t>-</w:t>
            </w:r>
          </w:p>
        </w:tc>
        <w:tc>
          <w:tcPr>
            <w:tcW w:w="1813" w:type="dxa"/>
          </w:tcPr>
          <w:p w:rsidR="00212513" w:rsidRDefault="00212513">
            <w:pPr>
              <w:pStyle w:val="ConsPlusNormal"/>
              <w:jc w:val="center"/>
            </w:pPr>
            <w:r>
              <w:t>-</w:t>
            </w:r>
          </w:p>
        </w:tc>
        <w:tc>
          <w:tcPr>
            <w:tcW w:w="1813" w:type="dxa"/>
          </w:tcPr>
          <w:p w:rsidR="00212513" w:rsidRDefault="00212513">
            <w:pPr>
              <w:pStyle w:val="ConsPlusNormal"/>
              <w:jc w:val="center"/>
            </w:pPr>
            <w:r>
              <w:t>-</w:t>
            </w:r>
          </w:p>
        </w:tc>
        <w:tc>
          <w:tcPr>
            <w:tcW w:w="1815" w:type="dxa"/>
          </w:tcPr>
          <w:p w:rsidR="00212513" w:rsidRDefault="00212513">
            <w:pPr>
              <w:pStyle w:val="ConsPlusNormal"/>
              <w:jc w:val="center"/>
            </w:pPr>
            <w:r>
              <w:t>295</w:t>
            </w:r>
          </w:p>
        </w:tc>
      </w:tr>
      <w:tr w:rsidR="00212513">
        <w:tc>
          <w:tcPr>
            <w:tcW w:w="1813" w:type="dxa"/>
          </w:tcPr>
          <w:p w:rsidR="00212513" w:rsidRDefault="00212513">
            <w:pPr>
              <w:pStyle w:val="ConsPlusNormal"/>
              <w:jc w:val="center"/>
            </w:pPr>
            <w:r>
              <w:t>33 - 60</w:t>
            </w:r>
          </w:p>
        </w:tc>
        <w:tc>
          <w:tcPr>
            <w:tcW w:w="1813" w:type="dxa"/>
          </w:tcPr>
          <w:p w:rsidR="00212513" w:rsidRDefault="00212513">
            <w:pPr>
              <w:pStyle w:val="ConsPlusNormal"/>
              <w:jc w:val="center"/>
            </w:pPr>
            <w:r>
              <w:t>160</w:t>
            </w:r>
          </w:p>
        </w:tc>
        <w:tc>
          <w:tcPr>
            <w:tcW w:w="1813" w:type="dxa"/>
          </w:tcPr>
          <w:p w:rsidR="00212513" w:rsidRDefault="00212513">
            <w:pPr>
              <w:pStyle w:val="ConsPlusNormal"/>
              <w:jc w:val="center"/>
            </w:pPr>
            <w:r>
              <w:t>-</w:t>
            </w:r>
          </w:p>
        </w:tc>
        <w:tc>
          <w:tcPr>
            <w:tcW w:w="1813" w:type="dxa"/>
          </w:tcPr>
          <w:p w:rsidR="00212513" w:rsidRDefault="00212513">
            <w:pPr>
              <w:pStyle w:val="ConsPlusNormal"/>
              <w:jc w:val="center"/>
            </w:pPr>
            <w:r>
              <w:t>180</w:t>
            </w:r>
          </w:p>
        </w:tc>
        <w:tc>
          <w:tcPr>
            <w:tcW w:w="1815" w:type="dxa"/>
          </w:tcPr>
          <w:p w:rsidR="00212513" w:rsidRDefault="00212513">
            <w:pPr>
              <w:pStyle w:val="ConsPlusNormal"/>
              <w:jc w:val="center"/>
            </w:pPr>
            <w:r>
              <w:t>-</w:t>
            </w:r>
          </w:p>
        </w:tc>
      </w:tr>
      <w:tr w:rsidR="00212513">
        <w:tc>
          <w:tcPr>
            <w:tcW w:w="1813" w:type="dxa"/>
          </w:tcPr>
          <w:p w:rsidR="00212513" w:rsidRDefault="00212513">
            <w:pPr>
              <w:pStyle w:val="ConsPlusNormal"/>
              <w:jc w:val="center"/>
            </w:pPr>
            <w:r>
              <w:t>42</w:t>
            </w:r>
          </w:p>
        </w:tc>
        <w:tc>
          <w:tcPr>
            <w:tcW w:w="1813" w:type="dxa"/>
          </w:tcPr>
          <w:p w:rsidR="00212513" w:rsidRDefault="00212513">
            <w:pPr>
              <w:pStyle w:val="ConsPlusNormal"/>
              <w:jc w:val="center"/>
            </w:pPr>
            <w:r>
              <w:t>-</w:t>
            </w:r>
          </w:p>
        </w:tc>
        <w:tc>
          <w:tcPr>
            <w:tcW w:w="1813" w:type="dxa"/>
          </w:tcPr>
          <w:p w:rsidR="00212513" w:rsidRDefault="00212513">
            <w:pPr>
              <w:pStyle w:val="ConsPlusNormal"/>
              <w:jc w:val="center"/>
            </w:pPr>
            <w:r>
              <w:t>-</w:t>
            </w:r>
          </w:p>
        </w:tc>
        <w:tc>
          <w:tcPr>
            <w:tcW w:w="1813" w:type="dxa"/>
          </w:tcPr>
          <w:p w:rsidR="00212513" w:rsidRDefault="00212513">
            <w:pPr>
              <w:pStyle w:val="ConsPlusNormal"/>
              <w:jc w:val="center"/>
            </w:pPr>
            <w:r>
              <w:t>-</w:t>
            </w:r>
          </w:p>
        </w:tc>
        <w:tc>
          <w:tcPr>
            <w:tcW w:w="1815" w:type="dxa"/>
          </w:tcPr>
          <w:p w:rsidR="00212513" w:rsidRDefault="00212513">
            <w:pPr>
              <w:pStyle w:val="ConsPlusNormal"/>
              <w:jc w:val="center"/>
            </w:pPr>
            <w:r>
              <w:t>255</w:t>
            </w:r>
          </w:p>
        </w:tc>
      </w:tr>
      <w:tr w:rsidR="00212513">
        <w:tc>
          <w:tcPr>
            <w:tcW w:w="1813" w:type="dxa"/>
          </w:tcPr>
          <w:p w:rsidR="00212513" w:rsidRDefault="00212513">
            <w:pPr>
              <w:pStyle w:val="ConsPlusNormal"/>
              <w:jc w:val="center"/>
            </w:pPr>
            <w:r>
              <w:t>48</w:t>
            </w:r>
          </w:p>
        </w:tc>
        <w:tc>
          <w:tcPr>
            <w:tcW w:w="1813" w:type="dxa"/>
          </w:tcPr>
          <w:p w:rsidR="00212513" w:rsidRDefault="00212513">
            <w:pPr>
              <w:pStyle w:val="ConsPlusNormal"/>
              <w:jc w:val="center"/>
            </w:pPr>
            <w:r>
              <w:t>-</w:t>
            </w:r>
          </w:p>
        </w:tc>
        <w:tc>
          <w:tcPr>
            <w:tcW w:w="1813" w:type="dxa"/>
          </w:tcPr>
          <w:p w:rsidR="00212513" w:rsidRDefault="00212513">
            <w:pPr>
              <w:pStyle w:val="ConsPlusNormal"/>
              <w:jc w:val="center"/>
            </w:pPr>
            <w:r>
              <w:t>-</w:t>
            </w:r>
          </w:p>
        </w:tc>
        <w:tc>
          <w:tcPr>
            <w:tcW w:w="1813" w:type="dxa"/>
          </w:tcPr>
          <w:p w:rsidR="00212513" w:rsidRDefault="00212513">
            <w:pPr>
              <w:pStyle w:val="ConsPlusNormal"/>
              <w:jc w:val="center"/>
            </w:pPr>
            <w:r>
              <w:t>-</w:t>
            </w:r>
          </w:p>
        </w:tc>
        <w:tc>
          <w:tcPr>
            <w:tcW w:w="1815" w:type="dxa"/>
          </w:tcPr>
          <w:p w:rsidR="00212513" w:rsidRDefault="00212513">
            <w:pPr>
              <w:pStyle w:val="ConsPlusNormal"/>
              <w:jc w:val="center"/>
            </w:pPr>
            <w:r>
              <w:t>235</w:t>
            </w:r>
          </w:p>
        </w:tc>
      </w:tr>
      <w:tr w:rsidR="00212513">
        <w:tc>
          <w:tcPr>
            <w:tcW w:w="1813" w:type="dxa"/>
          </w:tcPr>
          <w:p w:rsidR="00212513" w:rsidRDefault="00212513">
            <w:pPr>
              <w:pStyle w:val="ConsPlusNormal"/>
              <w:jc w:val="center"/>
            </w:pPr>
            <w:r>
              <w:t>61 - 80</w:t>
            </w:r>
          </w:p>
        </w:tc>
        <w:tc>
          <w:tcPr>
            <w:tcW w:w="1813" w:type="dxa"/>
          </w:tcPr>
          <w:p w:rsidR="00212513" w:rsidRDefault="00212513">
            <w:pPr>
              <w:pStyle w:val="ConsPlusNormal"/>
              <w:jc w:val="center"/>
            </w:pPr>
            <w:r>
              <w:t>160</w:t>
            </w:r>
          </w:p>
        </w:tc>
        <w:tc>
          <w:tcPr>
            <w:tcW w:w="1813" w:type="dxa"/>
          </w:tcPr>
          <w:p w:rsidR="00212513" w:rsidRDefault="00212513">
            <w:pPr>
              <w:pStyle w:val="ConsPlusNormal"/>
              <w:jc w:val="center"/>
            </w:pPr>
            <w:r>
              <w:t>-</w:t>
            </w:r>
          </w:p>
        </w:tc>
        <w:tc>
          <w:tcPr>
            <w:tcW w:w="1813" w:type="dxa"/>
          </w:tcPr>
          <w:p w:rsidR="00212513" w:rsidRDefault="00212513">
            <w:pPr>
              <w:pStyle w:val="ConsPlusNormal"/>
              <w:jc w:val="center"/>
            </w:pPr>
            <w:r>
              <w:t>175</w:t>
            </w:r>
          </w:p>
        </w:tc>
        <w:tc>
          <w:tcPr>
            <w:tcW w:w="1815" w:type="dxa"/>
          </w:tcPr>
          <w:p w:rsidR="00212513" w:rsidRDefault="00212513">
            <w:pPr>
              <w:pStyle w:val="ConsPlusNormal"/>
              <w:jc w:val="center"/>
            </w:pPr>
            <w:r>
              <w:t>-</w:t>
            </w:r>
          </w:p>
        </w:tc>
      </w:tr>
      <w:tr w:rsidR="00212513">
        <w:tc>
          <w:tcPr>
            <w:tcW w:w="1813" w:type="dxa"/>
          </w:tcPr>
          <w:p w:rsidR="00212513" w:rsidRDefault="00212513">
            <w:pPr>
              <w:pStyle w:val="ConsPlusNormal"/>
              <w:jc w:val="center"/>
            </w:pPr>
            <w:r>
              <w:t>81 - 100</w:t>
            </w:r>
          </w:p>
        </w:tc>
        <w:tc>
          <w:tcPr>
            <w:tcW w:w="1813" w:type="dxa"/>
          </w:tcPr>
          <w:p w:rsidR="00212513" w:rsidRDefault="00212513">
            <w:pPr>
              <w:pStyle w:val="ConsPlusNormal"/>
              <w:jc w:val="center"/>
            </w:pPr>
            <w:r>
              <w:t>160</w:t>
            </w:r>
          </w:p>
        </w:tc>
        <w:tc>
          <w:tcPr>
            <w:tcW w:w="1813" w:type="dxa"/>
          </w:tcPr>
          <w:p w:rsidR="00212513" w:rsidRDefault="00212513">
            <w:pPr>
              <w:pStyle w:val="ConsPlusNormal"/>
              <w:jc w:val="center"/>
            </w:pPr>
            <w:r>
              <w:t>-</w:t>
            </w:r>
          </w:p>
        </w:tc>
        <w:tc>
          <w:tcPr>
            <w:tcW w:w="1813" w:type="dxa"/>
          </w:tcPr>
          <w:p w:rsidR="00212513" w:rsidRDefault="00212513">
            <w:pPr>
              <w:pStyle w:val="ConsPlusNormal"/>
              <w:jc w:val="center"/>
            </w:pPr>
            <w:r>
              <w:t>170</w:t>
            </w:r>
          </w:p>
        </w:tc>
        <w:tc>
          <w:tcPr>
            <w:tcW w:w="1815" w:type="dxa"/>
          </w:tcPr>
          <w:p w:rsidR="00212513" w:rsidRDefault="00212513">
            <w:pPr>
              <w:pStyle w:val="ConsPlusNormal"/>
              <w:jc w:val="center"/>
            </w:pPr>
            <w:r>
              <w:t>-</w:t>
            </w:r>
          </w:p>
        </w:tc>
      </w:tr>
      <w:tr w:rsidR="00212513">
        <w:tc>
          <w:tcPr>
            <w:tcW w:w="1813" w:type="dxa"/>
          </w:tcPr>
          <w:p w:rsidR="00212513" w:rsidRDefault="00212513">
            <w:pPr>
              <w:pStyle w:val="ConsPlusNormal"/>
              <w:jc w:val="center"/>
            </w:pPr>
            <w:r>
              <w:t>101 - 160</w:t>
            </w:r>
          </w:p>
        </w:tc>
        <w:tc>
          <w:tcPr>
            <w:tcW w:w="1813" w:type="dxa"/>
          </w:tcPr>
          <w:p w:rsidR="00212513" w:rsidRDefault="00212513">
            <w:pPr>
              <w:pStyle w:val="ConsPlusNormal"/>
              <w:jc w:val="center"/>
            </w:pPr>
            <w:r>
              <w:t>160</w:t>
            </w:r>
          </w:p>
        </w:tc>
        <w:tc>
          <w:tcPr>
            <w:tcW w:w="1813" w:type="dxa"/>
          </w:tcPr>
          <w:p w:rsidR="00212513" w:rsidRDefault="00212513">
            <w:pPr>
              <w:pStyle w:val="ConsPlusNormal"/>
              <w:jc w:val="center"/>
            </w:pPr>
            <w:r>
              <w:t>-</w:t>
            </w:r>
          </w:p>
        </w:tc>
        <w:tc>
          <w:tcPr>
            <w:tcW w:w="1813" w:type="dxa"/>
          </w:tcPr>
          <w:p w:rsidR="00212513" w:rsidRDefault="00212513">
            <w:pPr>
              <w:pStyle w:val="ConsPlusNormal"/>
              <w:jc w:val="center"/>
            </w:pPr>
            <w:r>
              <w:t>170</w:t>
            </w:r>
          </w:p>
        </w:tc>
        <w:tc>
          <w:tcPr>
            <w:tcW w:w="1815" w:type="dxa"/>
          </w:tcPr>
          <w:p w:rsidR="00212513" w:rsidRDefault="00212513">
            <w:pPr>
              <w:pStyle w:val="ConsPlusNormal"/>
              <w:jc w:val="center"/>
            </w:pPr>
            <w:r>
              <w:t>-</w:t>
            </w:r>
          </w:p>
        </w:tc>
      </w:tr>
      <w:tr w:rsidR="00212513">
        <w:tc>
          <w:tcPr>
            <w:tcW w:w="1813" w:type="dxa"/>
          </w:tcPr>
          <w:p w:rsidR="00212513" w:rsidRDefault="00212513">
            <w:pPr>
              <w:pStyle w:val="ConsPlusNormal"/>
              <w:jc w:val="center"/>
            </w:pPr>
            <w:r>
              <w:lastRenderedPageBreak/>
              <w:t>161 - 250</w:t>
            </w:r>
          </w:p>
        </w:tc>
        <w:tc>
          <w:tcPr>
            <w:tcW w:w="1813" w:type="dxa"/>
          </w:tcPr>
          <w:p w:rsidR="00212513" w:rsidRDefault="00212513">
            <w:pPr>
              <w:pStyle w:val="ConsPlusNormal"/>
              <w:jc w:val="center"/>
            </w:pPr>
            <w:r>
              <w:t>160</w:t>
            </w:r>
          </w:p>
        </w:tc>
        <w:tc>
          <w:tcPr>
            <w:tcW w:w="1813" w:type="dxa"/>
          </w:tcPr>
          <w:p w:rsidR="00212513" w:rsidRDefault="00212513">
            <w:pPr>
              <w:pStyle w:val="ConsPlusNormal"/>
              <w:jc w:val="both"/>
            </w:pPr>
          </w:p>
        </w:tc>
        <w:tc>
          <w:tcPr>
            <w:tcW w:w="1813" w:type="dxa"/>
          </w:tcPr>
          <w:p w:rsidR="00212513" w:rsidRDefault="00212513">
            <w:pPr>
              <w:pStyle w:val="ConsPlusNormal"/>
              <w:jc w:val="both"/>
            </w:pPr>
          </w:p>
        </w:tc>
        <w:tc>
          <w:tcPr>
            <w:tcW w:w="1815" w:type="dxa"/>
          </w:tcPr>
          <w:p w:rsidR="00212513" w:rsidRDefault="00212513">
            <w:pPr>
              <w:pStyle w:val="ConsPlusNormal"/>
              <w:jc w:val="both"/>
            </w:pPr>
          </w:p>
        </w:tc>
      </w:tr>
    </w:tbl>
    <w:p w:rsidR="00212513" w:rsidRDefault="00212513">
      <w:pPr>
        <w:pStyle w:val="ConsPlusNormal"/>
        <w:ind w:firstLine="540"/>
        <w:jc w:val="both"/>
      </w:pPr>
    </w:p>
    <w:p w:rsidR="00212513" w:rsidRDefault="00212513">
      <w:pPr>
        <w:pStyle w:val="ConsPlusNormal"/>
        <w:ind w:firstLine="540"/>
        <w:jc w:val="both"/>
      </w:pPr>
      <w:r>
        <w:t>8.13 Расчетное сопротивление срезу для сплава ЦАМ 9-1,5Л следует принимать равным 50 МПа.</w:t>
      </w:r>
    </w:p>
    <w:p w:rsidR="00212513" w:rsidRDefault="00212513">
      <w:pPr>
        <w:pStyle w:val="ConsPlusNormal"/>
        <w:spacing w:before="220"/>
        <w:ind w:firstLine="540"/>
        <w:jc w:val="both"/>
      </w:pPr>
      <w:r>
        <w:t xml:space="preserve">8.14 Расчетное сопротивление высокопрочных болтов по </w:t>
      </w:r>
      <w:hyperlink r:id="rId1564">
        <w:r>
          <w:rPr>
            <w:color w:val="0000FF"/>
          </w:rPr>
          <w:t>ГОСТ Р 53664</w:t>
        </w:r>
      </w:hyperlink>
      <w:r>
        <w:t xml:space="preserve"> растяжению </w:t>
      </w:r>
      <w:r>
        <w:rPr>
          <w:i/>
        </w:rPr>
        <w:t>R</w:t>
      </w:r>
      <w:r>
        <w:rPr>
          <w:i/>
          <w:vertAlign w:val="subscript"/>
        </w:rPr>
        <w:t>bh</w:t>
      </w:r>
      <w:r>
        <w:t xml:space="preserve"> следует определять по формуле</w:t>
      </w:r>
    </w:p>
    <w:p w:rsidR="00212513" w:rsidRDefault="00212513">
      <w:pPr>
        <w:pStyle w:val="ConsPlusNormal"/>
        <w:jc w:val="both"/>
      </w:pPr>
      <w:r>
        <w:t xml:space="preserve">(в ред. </w:t>
      </w:r>
      <w:hyperlink r:id="rId1565">
        <w:r>
          <w:rPr>
            <w:color w:val="0000FF"/>
          </w:rPr>
          <w:t>Изменения N 4</w:t>
        </w:r>
      </w:hyperlink>
      <w:r>
        <w:t>, утв. Приказом Минстроя России от 30.05.2024 N 361/пр)</w:t>
      </w:r>
    </w:p>
    <w:p w:rsidR="00212513" w:rsidRDefault="00212513">
      <w:pPr>
        <w:pStyle w:val="ConsPlusNormal"/>
        <w:jc w:val="both"/>
      </w:pPr>
    </w:p>
    <w:p w:rsidR="00212513" w:rsidRDefault="00212513">
      <w:pPr>
        <w:pStyle w:val="ConsPlusNormal"/>
        <w:jc w:val="center"/>
      </w:pPr>
      <w:bookmarkStart w:id="285" w:name="P6821"/>
      <w:bookmarkEnd w:id="285"/>
      <w:r>
        <w:rPr>
          <w:i/>
        </w:rPr>
        <w:t>R</w:t>
      </w:r>
      <w:r>
        <w:rPr>
          <w:i/>
          <w:vertAlign w:val="subscript"/>
        </w:rPr>
        <w:t>bh</w:t>
      </w:r>
      <w:r>
        <w:t xml:space="preserve"> = 0,7</w:t>
      </w:r>
      <w:r>
        <w:rPr>
          <w:i/>
        </w:rPr>
        <w:t>R</w:t>
      </w:r>
      <w:r>
        <w:rPr>
          <w:i/>
          <w:vertAlign w:val="subscript"/>
        </w:rPr>
        <w:t>bun</w:t>
      </w:r>
      <w:r>
        <w:t>, (8.2)</w:t>
      </w:r>
    </w:p>
    <w:p w:rsidR="00212513" w:rsidRDefault="00212513">
      <w:pPr>
        <w:pStyle w:val="ConsPlusNormal"/>
        <w:jc w:val="both"/>
      </w:pPr>
    </w:p>
    <w:p w:rsidR="00212513" w:rsidRDefault="00212513">
      <w:pPr>
        <w:pStyle w:val="ConsPlusNormal"/>
        <w:ind w:firstLine="540"/>
        <w:jc w:val="both"/>
      </w:pPr>
      <w:r>
        <w:t xml:space="preserve">где </w:t>
      </w:r>
      <w:r>
        <w:rPr>
          <w:i/>
        </w:rPr>
        <w:t>R</w:t>
      </w:r>
      <w:r>
        <w:rPr>
          <w:i/>
          <w:vertAlign w:val="subscript"/>
        </w:rPr>
        <w:t>bun</w:t>
      </w:r>
      <w:r>
        <w:t xml:space="preserve"> - нормативное сопротивление стали болтов, принимаемое равным временному сопротивлению </w:t>
      </w:r>
      <w:r>
        <w:rPr>
          <w:noProof/>
          <w:position w:val="-8"/>
        </w:rPr>
        <w:drawing>
          <wp:inline distT="0" distB="0" distL="0" distR="0">
            <wp:extent cx="209550" cy="251460"/>
            <wp:effectExtent l="0" t="0" r="0" b="0"/>
            <wp:docPr id="9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по стандартам и техническим условиям на болты.</w:t>
      </w:r>
    </w:p>
    <w:p w:rsidR="00212513" w:rsidRDefault="00212513">
      <w:pPr>
        <w:pStyle w:val="ConsPlusNormal"/>
        <w:jc w:val="both"/>
      </w:pPr>
      <w:r>
        <w:t xml:space="preserve">(п. 8.14 в ред. </w:t>
      </w:r>
      <w:hyperlink r:id="rId1567">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t xml:space="preserve">8.15 Значения коэффициента трения </w:t>
      </w:r>
      <w:r>
        <w:rPr>
          <w:noProof/>
          <w:position w:val="-3"/>
        </w:rPr>
        <w:drawing>
          <wp:inline distT="0" distB="0" distL="0" distR="0">
            <wp:extent cx="167640" cy="177800"/>
            <wp:effectExtent l="0" t="0" r="0" b="0"/>
            <wp:docPr id="9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8"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по контактным поверхностям элементов во фрикционных соединениях и соответствующих коэффициентов надежности </w:t>
      </w:r>
      <w:r>
        <w:rPr>
          <w:noProof/>
          <w:position w:val="-8"/>
        </w:rPr>
        <w:drawing>
          <wp:inline distT="0" distB="0" distL="0" distR="0">
            <wp:extent cx="254000" cy="251460"/>
            <wp:effectExtent l="0" t="0" r="0" b="0"/>
            <wp:docPr id="9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9" cstate="print">
                      <a:extLst>
                        <a:ext uri="{28A0092B-C50C-407E-A947-70E740481C1C}">
                          <a14:useLocalDpi xmlns:a14="http://schemas.microsoft.com/office/drawing/2010/main" val="0"/>
                        </a:ext>
                      </a:extLst>
                    </a:blip>
                    <a:srcRect/>
                    <a:stretch>
                      <a:fillRect/>
                    </a:stretch>
                  </pic:blipFill>
                  <pic:spPr bwMode="auto">
                    <a:xfrm>
                      <a:off x="0" y="0"/>
                      <a:ext cx="254000" cy="251460"/>
                    </a:xfrm>
                    <a:prstGeom prst="rect">
                      <a:avLst/>
                    </a:prstGeom>
                    <a:noFill/>
                    <a:ln>
                      <a:noFill/>
                    </a:ln>
                  </pic:spPr>
                </pic:pic>
              </a:graphicData>
            </a:graphic>
          </wp:inline>
        </w:drawing>
      </w:r>
      <w:r>
        <w:t xml:space="preserve"> следует принимать по таблице 8.12. Способ обработки контактных поверхностей должен быть указан в чертежах КМ.</w:t>
      </w:r>
    </w:p>
    <w:p w:rsidR="00212513" w:rsidRDefault="00212513">
      <w:pPr>
        <w:pStyle w:val="ConsPlusNormal"/>
        <w:ind w:firstLine="540"/>
        <w:jc w:val="both"/>
      </w:pPr>
    </w:p>
    <w:p w:rsidR="00212513" w:rsidRDefault="00212513">
      <w:pPr>
        <w:pStyle w:val="ConsPlusNormal"/>
        <w:jc w:val="right"/>
      </w:pPr>
      <w:bookmarkStart w:id="286" w:name="P6827"/>
      <w:bookmarkEnd w:id="286"/>
      <w:r>
        <w:t>Таблица 8.12</w:t>
      </w:r>
    </w:p>
    <w:p w:rsidR="00212513" w:rsidRDefault="00212513">
      <w:pPr>
        <w:pStyle w:val="ConsPlusNormal"/>
        <w:jc w:val="center"/>
      </w:pPr>
    </w:p>
    <w:p w:rsidR="00212513" w:rsidRDefault="00212513">
      <w:pPr>
        <w:pStyle w:val="ConsPlusNormal"/>
        <w:jc w:val="center"/>
      </w:pPr>
      <w:r>
        <w:t xml:space="preserve">(таблица 8.12 в ред. </w:t>
      </w:r>
      <w:hyperlink r:id="rId1570">
        <w:r>
          <w:rPr>
            <w:color w:val="0000FF"/>
          </w:rPr>
          <w:t>Изменения N 1</w:t>
        </w:r>
      </w:hyperlink>
      <w:r>
        <w:t>, утв. Приказом</w:t>
      </w:r>
    </w:p>
    <w:p w:rsidR="00212513" w:rsidRDefault="00212513">
      <w:pPr>
        <w:pStyle w:val="ConsPlusNormal"/>
        <w:jc w:val="center"/>
      </w:pPr>
      <w:r>
        <w:t>Минстроя России от 03.12.2016 N 879/пр)</w:t>
      </w:r>
    </w:p>
    <w:p w:rsidR="00212513" w:rsidRDefault="0021251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932"/>
        <w:gridCol w:w="1134"/>
        <w:gridCol w:w="1022"/>
        <w:gridCol w:w="1001"/>
        <w:gridCol w:w="986"/>
      </w:tblGrid>
      <w:tr w:rsidR="00212513">
        <w:tc>
          <w:tcPr>
            <w:tcW w:w="4932" w:type="dxa"/>
            <w:vMerge w:val="restart"/>
            <w:vAlign w:val="center"/>
          </w:tcPr>
          <w:p w:rsidR="00212513" w:rsidRDefault="00212513">
            <w:pPr>
              <w:pStyle w:val="ConsPlusNormal"/>
              <w:jc w:val="center"/>
            </w:pPr>
            <w:r>
              <w:t>Способ подготовки контактных поверхностей во фрикционных соединениях</w:t>
            </w:r>
          </w:p>
        </w:tc>
        <w:tc>
          <w:tcPr>
            <w:tcW w:w="1134" w:type="dxa"/>
            <w:vMerge w:val="restart"/>
            <w:vAlign w:val="center"/>
          </w:tcPr>
          <w:p w:rsidR="00212513" w:rsidRDefault="00212513">
            <w:pPr>
              <w:pStyle w:val="ConsPlusNormal"/>
              <w:jc w:val="center"/>
            </w:pPr>
            <w:r>
              <w:t>Коэффициент трения </w:t>
            </w:r>
            <w:r>
              <w:rPr>
                <w:noProof/>
                <w:position w:val="-3"/>
              </w:rPr>
              <w:drawing>
                <wp:inline distT="0" distB="0" distL="0" distR="0">
                  <wp:extent cx="167640" cy="185420"/>
                  <wp:effectExtent l="0" t="0" r="0" b="0"/>
                  <wp:docPr id="9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1"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p>
        </w:tc>
        <w:tc>
          <w:tcPr>
            <w:tcW w:w="3009" w:type="dxa"/>
            <w:gridSpan w:val="3"/>
            <w:vAlign w:val="center"/>
          </w:tcPr>
          <w:p w:rsidR="00212513" w:rsidRDefault="00212513">
            <w:pPr>
              <w:pStyle w:val="ConsPlusNormal"/>
              <w:jc w:val="center"/>
            </w:pPr>
            <w:r>
              <w:t xml:space="preserve">Коэффициент надежности </w:t>
            </w:r>
            <w:r>
              <w:rPr>
                <w:noProof/>
                <w:position w:val="-8"/>
              </w:rPr>
              <w:drawing>
                <wp:inline distT="0" distB="0" distL="0" distR="0">
                  <wp:extent cx="234950" cy="251460"/>
                  <wp:effectExtent l="0" t="0" r="0" b="0"/>
                  <wp:docPr id="9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2" cstate="print">
                            <a:extLst>
                              <a:ext uri="{28A0092B-C50C-407E-A947-70E740481C1C}">
                                <a14:useLocalDpi xmlns:a14="http://schemas.microsoft.com/office/drawing/2010/main" val="0"/>
                              </a:ext>
                            </a:extLst>
                          </a:blip>
                          <a:srcRect/>
                          <a:stretch>
                            <a:fillRect/>
                          </a:stretch>
                        </pic:blipFill>
                        <pic:spPr bwMode="auto">
                          <a:xfrm>
                            <a:off x="0" y="0"/>
                            <a:ext cx="234950" cy="251460"/>
                          </a:xfrm>
                          <a:prstGeom prst="rect">
                            <a:avLst/>
                          </a:prstGeom>
                          <a:noFill/>
                          <a:ln>
                            <a:noFill/>
                          </a:ln>
                        </pic:spPr>
                      </pic:pic>
                    </a:graphicData>
                  </a:graphic>
                </wp:inline>
              </w:drawing>
            </w:r>
            <w:r>
              <w:t xml:space="preserve"> при числе болтов в полустыке</w:t>
            </w:r>
          </w:p>
        </w:tc>
      </w:tr>
      <w:tr w:rsidR="00212513">
        <w:tc>
          <w:tcPr>
            <w:tcW w:w="4932" w:type="dxa"/>
            <w:vMerge/>
          </w:tcPr>
          <w:p w:rsidR="00212513" w:rsidRDefault="00212513">
            <w:pPr>
              <w:pStyle w:val="ConsPlusNormal"/>
            </w:pPr>
          </w:p>
        </w:tc>
        <w:tc>
          <w:tcPr>
            <w:tcW w:w="1134" w:type="dxa"/>
            <w:vMerge/>
          </w:tcPr>
          <w:p w:rsidR="00212513" w:rsidRDefault="00212513">
            <w:pPr>
              <w:pStyle w:val="ConsPlusNormal"/>
            </w:pPr>
          </w:p>
        </w:tc>
        <w:tc>
          <w:tcPr>
            <w:tcW w:w="1022" w:type="dxa"/>
            <w:vAlign w:val="center"/>
          </w:tcPr>
          <w:p w:rsidR="00212513" w:rsidRDefault="00212513">
            <w:pPr>
              <w:pStyle w:val="ConsPlusNormal"/>
              <w:jc w:val="center"/>
            </w:pPr>
            <w:r>
              <w:t>2 - 4</w:t>
            </w:r>
          </w:p>
        </w:tc>
        <w:tc>
          <w:tcPr>
            <w:tcW w:w="1001" w:type="dxa"/>
            <w:vAlign w:val="center"/>
          </w:tcPr>
          <w:p w:rsidR="00212513" w:rsidRDefault="00212513">
            <w:pPr>
              <w:pStyle w:val="ConsPlusNormal"/>
              <w:jc w:val="center"/>
            </w:pPr>
            <w:r>
              <w:t>5 - 19</w:t>
            </w:r>
          </w:p>
        </w:tc>
        <w:tc>
          <w:tcPr>
            <w:tcW w:w="986" w:type="dxa"/>
            <w:vAlign w:val="center"/>
          </w:tcPr>
          <w:p w:rsidR="00212513" w:rsidRDefault="00212513">
            <w:pPr>
              <w:pStyle w:val="ConsPlusNormal"/>
              <w:jc w:val="center"/>
            </w:pPr>
            <w:r>
              <w:t>20 и более</w:t>
            </w:r>
          </w:p>
        </w:tc>
      </w:tr>
      <w:tr w:rsidR="00212513">
        <w:tc>
          <w:tcPr>
            <w:tcW w:w="4932" w:type="dxa"/>
          </w:tcPr>
          <w:p w:rsidR="00212513" w:rsidRDefault="00212513">
            <w:pPr>
              <w:pStyle w:val="ConsPlusNormal"/>
            </w:pPr>
            <w:r>
              <w:t xml:space="preserve">1 Дробеструйный или пескоструйный двух поверхностей с шероховатостью </w:t>
            </w:r>
            <w:r>
              <w:rPr>
                <w:i/>
              </w:rPr>
              <w:t>R</w:t>
            </w:r>
            <w:r>
              <w:rPr>
                <w:i/>
                <w:vertAlign w:val="subscript"/>
              </w:rPr>
              <w:t>z</w:t>
            </w:r>
            <w:r>
              <w:t xml:space="preserve"> = 50 - 80 мкм без нанесения фрикционной грунтовки или с последующим нанесением цинконаполненной грунтовки на этилсиликатной основе на обе поверхности толщиной по 60 - 80 мкм</w:t>
            </w:r>
          </w:p>
        </w:tc>
        <w:tc>
          <w:tcPr>
            <w:tcW w:w="1134" w:type="dxa"/>
            <w:vAlign w:val="bottom"/>
          </w:tcPr>
          <w:p w:rsidR="00212513" w:rsidRDefault="00212513">
            <w:pPr>
              <w:pStyle w:val="ConsPlusNormal"/>
              <w:jc w:val="center"/>
            </w:pPr>
            <w:r>
              <w:t>0,58</w:t>
            </w:r>
          </w:p>
        </w:tc>
        <w:tc>
          <w:tcPr>
            <w:tcW w:w="1022" w:type="dxa"/>
            <w:vAlign w:val="bottom"/>
          </w:tcPr>
          <w:p w:rsidR="00212513" w:rsidRDefault="00212513">
            <w:pPr>
              <w:pStyle w:val="ConsPlusNormal"/>
              <w:jc w:val="center"/>
            </w:pPr>
            <w:r>
              <w:t>1,4</w:t>
            </w:r>
          </w:p>
        </w:tc>
        <w:tc>
          <w:tcPr>
            <w:tcW w:w="1001" w:type="dxa"/>
            <w:vAlign w:val="bottom"/>
          </w:tcPr>
          <w:p w:rsidR="00212513" w:rsidRDefault="00212513">
            <w:pPr>
              <w:pStyle w:val="ConsPlusNormal"/>
              <w:jc w:val="center"/>
            </w:pPr>
            <w:r>
              <w:t>1,3</w:t>
            </w:r>
          </w:p>
        </w:tc>
        <w:tc>
          <w:tcPr>
            <w:tcW w:w="986" w:type="dxa"/>
            <w:vAlign w:val="bottom"/>
          </w:tcPr>
          <w:p w:rsidR="00212513" w:rsidRDefault="00212513">
            <w:pPr>
              <w:pStyle w:val="ConsPlusNormal"/>
              <w:jc w:val="center"/>
            </w:pPr>
            <w:r>
              <w:t>1,2</w:t>
            </w:r>
          </w:p>
        </w:tc>
      </w:tr>
      <w:tr w:rsidR="00212513">
        <w:tblPrEx>
          <w:tblBorders>
            <w:insideH w:val="nil"/>
          </w:tblBorders>
        </w:tblPrEx>
        <w:tc>
          <w:tcPr>
            <w:tcW w:w="4932" w:type="dxa"/>
            <w:tcBorders>
              <w:bottom w:val="nil"/>
            </w:tcBorders>
          </w:tcPr>
          <w:p w:rsidR="00212513" w:rsidRDefault="00212513">
            <w:pPr>
              <w:pStyle w:val="ConsPlusNormal"/>
            </w:pPr>
            <w:r>
              <w:t>2 Дробеструйный или дробеметный двух поверхностей с последующим их газопламенным нагревом (до температуры 250 °C - 300 °C) на кольцевых зонах вблизи отверстий площадью не менее площади шайбы (диаметр 60 мм) без нанесения фрикционной грунтовки или с последующим нанесением грунтовки на этилсиликатной основе на обе поверхности толщиной по 60 - 80 мкм.</w:t>
            </w:r>
          </w:p>
        </w:tc>
        <w:tc>
          <w:tcPr>
            <w:tcW w:w="1134" w:type="dxa"/>
            <w:tcBorders>
              <w:bottom w:val="nil"/>
            </w:tcBorders>
            <w:vAlign w:val="bottom"/>
          </w:tcPr>
          <w:p w:rsidR="00212513" w:rsidRDefault="00212513">
            <w:pPr>
              <w:pStyle w:val="ConsPlusNormal"/>
              <w:jc w:val="center"/>
            </w:pPr>
            <w:r>
              <w:t>0,60</w:t>
            </w:r>
          </w:p>
        </w:tc>
        <w:tc>
          <w:tcPr>
            <w:tcW w:w="1022" w:type="dxa"/>
            <w:tcBorders>
              <w:bottom w:val="nil"/>
            </w:tcBorders>
            <w:vAlign w:val="bottom"/>
          </w:tcPr>
          <w:p w:rsidR="00212513" w:rsidRDefault="00212513">
            <w:pPr>
              <w:pStyle w:val="ConsPlusNormal"/>
              <w:jc w:val="center"/>
            </w:pPr>
            <w:r>
              <w:t>1,4</w:t>
            </w:r>
          </w:p>
        </w:tc>
        <w:tc>
          <w:tcPr>
            <w:tcW w:w="1001" w:type="dxa"/>
            <w:tcBorders>
              <w:bottom w:val="nil"/>
            </w:tcBorders>
            <w:vAlign w:val="bottom"/>
          </w:tcPr>
          <w:p w:rsidR="00212513" w:rsidRDefault="00212513">
            <w:pPr>
              <w:pStyle w:val="ConsPlusNormal"/>
              <w:jc w:val="center"/>
            </w:pPr>
            <w:r>
              <w:t>1,3</w:t>
            </w:r>
          </w:p>
        </w:tc>
        <w:tc>
          <w:tcPr>
            <w:tcW w:w="986" w:type="dxa"/>
            <w:tcBorders>
              <w:bottom w:val="nil"/>
            </w:tcBorders>
            <w:vAlign w:val="bottom"/>
          </w:tcPr>
          <w:p w:rsidR="00212513" w:rsidRDefault="00212513">
            <w:pPr>
              <w:pStyle w:val="ConsPlusNormal"/>
              <w:jc w:val="center"/>
            </w:pPr>
            <w:r>
              <w:t>1,2</w:t>
            </w:r>
          </w:p>
        </w:tc>
      </w:tr>
      <w:tr w:rsidR="00212513">
        <w:tblPrEx>
          <w:tblBorders>
            <w:insideH w:val="nil"/>
          </w:tblBorders>
        </w:tblPrEx>
        <w:tc>
          <w:tcPr>
            <w:tcW w:w="9075" w:type="dxa"/>
            <w:gridSpan w:val="5"/>
            <w:tcBorders>
              <w:top w:val="nil"/>
            </w:tcBorders>
          </w:tcPr>
          <w:p w:rsidR="00212513" w:rsidRDefault="00212513">
            <w:pPr>
              <w:pStyle w:val="ConsPlusNormal"/>
              <w:jc w:val="both"/>
            </w:pPr>
            <w:r>
              <w:t xml:space="preserve">(в ред. </w:t>
            </w:r>
            <w:hyperlink r:id="rId1573">
              <w:r>
                <w:rPr>
                  <w:color w:val="0000FF"/>
                </w:rPr>
                <w:t>Изменения N 4</w:t>
              </w:r>
            </w:hyperlink>
            <w:r>
              <w:t>, утв. Приказом Минстроя России от 30.05.2024 N 361/пр)</w:t>
            </w:r>
          </w:p>
        </w:tc>
      </w:tr>
      <w:tr w:rsidR="00212513">
        <w:tc>
          <w:tcPr>
            <w:tcW w:w="4932" w:type="dxa"/>
          </w:tcPr>
          <w:p w:rsidR="00212513" w:rsidRDefault="00212513">
            <w:pPr>
              <w:pStyle w:val="ConsPlusNormal"/>
            </w:pPr>
            <w:r>
              <w:t xml:space="preserve">3 Очистка стальными механизированными щетками двух поверхностей (без эффекта </w:t>
            </w:r>
            <w:r>
              <w:lastRenderedPageBreak/>
              <w:t>шлифовки)</w:t>
            </w:r>
          </w:p>
        </w:tc>
        <w:tc>
          <w:tcPr>
            <w:tcW w:w="1134" w:type="dxa"/>
            <w:vAlign w:val="bottom"/>
          </w:tcPr>
          <w:p w:rsidR="00212513" w:rsidRDefault="00212513">
            <w:pPr>
              <w:pStyle w:val="ConsPlusNormal"/>
              <w:jc w:val="center"/>
            </w:pPr>
            <w:r>
              <w:lastRenderedPageBreak/>
              <w:t>0,35</w:t>
            </w:r>
          </w:p>
        </w:tc>
        <w:tc>
          <w:tcPr>
            <w:tcW w:w="1022" w:type="dxa"/>
            <w:vAlign w:val="bottom"/>
          </w:tcPr>
          <w:p w:rsidR="00212513" w:rsidRDefault="00212513">
            <w:pPr>
              <w:pStyle w:val="ConsPlusNormal"/>
              <w:jc w:val="center"/>
            </w:pPr>
            <w:r>
              <w:t>2,5</w:t>
            </w:r>
          </w:p>
        </w:tc>
        <w:tc>
          <w:tcPr>
            <w:tcW w:w="1001" w:type="dxa"/>
            <w:vAlign w:val="bottom"/>
          </w:tcPr>
          <w:p w:rsidR="00212513" w:rsidRDefault="00212513">
            <w:pPr>
              <w:pStyle w:val="ConsPlusNormal"/>
              <w:jc w:val="center"/>
            </w:pPr>
            <w:r>
              <w:t>1,8</w:t>
            </w:r>
          </w:p>
        </w:tc>
        <w:tc>
          <w:tcPr>
            <w:tcW w:w="986" w:type="dxa"/>
            <w:vAlign w:val="bottom"/>
          </w:tcPr>
          <w:p w:rsidR="00212513" w:rsidRDefault="00212513">
            <w:pPr>
              <w:pStyle w:val="ConsPlusNormal"/>
              <w:jc w:val="center"/>
            </w:pPr>
            <w:r>
              <w:t>1,4</w:t>
            </w:r>
          </w:p>
        </w:tc>
      </w:tr>
    </w:tbl>
    <w:p w:rsidR="00212513" w:rsidRDefault="00212513">
      <w:pPr>
        <w:pStyle w:val="ConsPlusNormal"/>
        <w:ind w:firstLine="540"/>
        <w:jc w:val="both"/>
      </w:pPr>
    </w:p>
    <w:p w:rsidR="00212513" w:rsidRDefault="00212513">
      <w:pPr>
        <w:pStyle w:val="ConsPlusNormal"/>
        <w:ind w:firstLine="540"/>
        <w:jc w:val="both"/>
      </w:pPr>
      <w:r>
        <w:t xml:space="preserve">8.16 Расчетное сопротивление растяжению </w:t>
      </w:r>
      <w:r>
        <w:rPr>
          <w:noProof/>
          <w:position w:val="-8"/>
        </w:rPr>
        <w:drawing>
          <wp:inline distT="0" distB="0" distL="0" distR="0">
            <wp:extent cx="251460" cy="251460"/>
            <wp:effectExtent l="0" t="0" r="0" b="0"/>
            <wp:docPr id="9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4"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высокопрочной стальной проволоки, применяемой в пучках и канатах из параллельно уложенных проволок, следует определять по формуле</w:t>
      </w:r>
    </w:p>
    <w:p w:rsidR="00212513" w:rsidRDefault="00212513">
      <w:pPr>
        <w:pStyle w:val="ConsPlusNormal"/>
        <w:ind w:firstLine="540"/>
        <w:jc w:val="both"/>
      </w:pPr>
    </w:p>
    <w:p w:rsidR="00212513" w:rsidRDefault="00212513">
      <w:pPr>
        <w:pStyle w:val="ConsPlusNormal"/>
        <w:jc w:val="center"/>
      </w:pPr>
      <w:bookmarkStart w:id="287" w:name="P6857"/>
      <w:bookmarkEnd w:id="287"/>
      <w:r>
        <w:rPr>
          <w:noProof/>
          <w:position w:val="-8"/>
        </w:rPr>
        <w:drawing>
          <wp:inline distT="0" distB="0" distL="0" distR="0">
            <wp:extent cx="939800" cy="251460"/>
            <wp:effectExtent l="0" t="0" r="0" b="0"/>
            <wp:docPr id="9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5" cstate="print">
                      <a:extLst>
                        <a:ext uri="{28A0092B-C50C-407E-A947-70E740481C1C}">
                          <a14:useLocalDpi xmlns:a14="http://schemas.microsoft.com/office/drawing/2010/main" val="0"/>
                        </a:ext>
                      </a:extLst>
                    </a:blip>
                    <a:srcRect/>
                    <a:stretch>
                      <a:fillRect/>
                    </a:stretch>
                  </pic:blipFill>
                  <pic:spPr bwMode="auto">
                    <a:xfrm>
                      <a:off x="0" y="0"/>
                      <a:ext cx="939800" cy="251460"/>
                    </a:xfrm>
                    <a:prstGeom prst="rect">
                      <a:avLst/>
                    </a:prstGeom>
                    <a:noFill/>
                    <a:ln>
                      <a:noFill/>
                    </a:ln>
                  </pic:spPr>
                </pic:pic>
              </a:graphicData>
            </a:graphic>
          </wp:inline>
        </w:drawing>
      </w:r>
      <w:r>
        <w:t>, (8.3)</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8"/>
        </w:rPr>
        <w:drawing>
          <wp:inline distT="0" distB="0" distL="0" distR="0">
            <wp:extent cx="251460" cy="251460"/>
            <wp:effectExtent l="0" t="0" r="0" b="0"/>
            <wp:docPr id="9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6"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наименьшее временное сопротивление проволоки разрыву по государственным стандартам или техническим условиям.</w:t>
      </w:r>
    </w:p>
    <w:p w:rsidR="00212513" w:rsidRDefault="00212513">
      <w:pPr>
        <w:pStyle w:val="ConsPlusNormal"/>
        <w:spacing w:before="220"/>
        <w:ind w:firstLine="540"/>
        <w:jc w:val="both"/>
      </w:pPr>
      <w:bookmarkStart w:id="288" w:name="P6860"/>
      <w:bookmarkEnd w:id="288"/>
      <w:r>
        <w:t xml:space="preserve">8.17 При определении расчетного сопротивления стального витого каната с металлическим сердечником в качестве нормативного принимается значение разрывного усилия каната в целом, установленное государственным стандартом или техническими условиями на канаты (а при его отсутствии в нормах - значение агрегатной прочности витого каната), и коэффициент надежности по материалу </w:t>
      </w:r>
      <w:r>
        <w:rPr>
          <w:noProof/>
          <w:position w:val="-8"/>
        </w:rPr>
        <w:drawing>
          <wp:inline distT="0" distB="0" distL="0" distR="0">
            <wp:extent cx="586740" cy="251460"/>
            <wp:effectExtent l="0" t="0" r="0" b="0"/>
            <wp:docPr id="9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7"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t>.</w:t>
      </w:r>
    </w:p>
    <w:p w:rsidR="00212513" w:rsidRDefault="00212513">
      <w:pPr>
        <w:pStyle w:val="ConsPlusNormal"/>
        <w:jc w:val="both"/>
      </w:pPr>
      <w:r>
        <w:t xml:space="preserve">(в ред. </w:t>
      </w:r>
      <w:hyperlink r:id="rId1578">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8.18 Модуль упругости или модуль сдвига прокатной стали, стального литья, пучков и канатов из параллельно уложенных проволок следует принимать по таблице 8.13.</w:t>
      </w:r>
    </w:p>
    <w:p w:rsidR="00212513" w:rsidRDefault="00212513">
      <w:pPr>
        <w:pStyle w:val="ConsPlusNormal"/>
        <w:ind w:firstLine="540"/>
        <w:jc w:val="both"/>
      </w:pPr>
    </w:p>
    <w:p w:rsidR="00212513" w:rsidRDefault="00212513">
      <w:pPr>
        <w:pStyle w:val="ConsPlusNormal"/>
        <w:jc w:val="right"/>
      </w:pPr>
      <w:bookmarkStart w:id="289" w:name="P6864"/>
      <w:bookmarkEnd w:id="289"/>
      <w:r>
        <w:t>Таблица 8.13</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65"/>
        <w:gridCol w:w="4706"/>
      </w:tblGrid>
      <w:tr w:rsidR="00212513">
        <w:tc>
          <w:tcPr>
            <w:tcW w:w="4365" w:type="dxa"/>
            <w:vAlign w:val="center"/>
          </w:tcPr>
          <w:p w:rsidR="00212513" w:rsidRDefault="00212513">
            <w:pPr>
              <w:pStyle w:val="ConsPlusNormal"/>
              <w:jc w:val="center"/>
            </w:pPr>
            <w:r>
              <w:t>Полуфабрикаты</w:t>
            </w:r>
          </w:p>
        </w:tc>
        <w:tc>
          <w:tcPr>
            <w:tcW w:w="4706" w:type="dxa"/>
            <w:vAlign w:val="center"/>
          </w:tcPr>
          <w:p w:rsidR="00212513" w:rsidRDefault="00212513">
            <w:pPr>
              <w:pStyle w:val="ConsPlusNormal"/>
              <w:jc w:val="center"/>
            </w:pPr>
            <w:r>
              <w:t xml:space="preserve">Модуль упругости </w:t>
            </w:r>
            <w:r>
              <w:rPr>
                <w:i/>
              </w:rPr>
              <w:t>E</w:t>
            </w:r>
            <w:r>
              <w:t xml:space="preserve"> или модуль сдвига </w:t>
            </w:r>
            <w:r>
              <w:rPr>
                <w:i/>
              </w:rPr>
              <w:t>G</w:t>
            </w:r>
            <w:r>
              <w:t>, МПа</w:t>
            </w:r>
          </w:p>
        </w:tc>
      </w:tr>
      <w:tr w:rsidR="00212513">
        <w:tc>
          <w:tcPr>
            <w:tcW w:w="4365" w:type="dxa"/>
          </w:tcPr>
          <w:p w:rsidR="00212513" w:rsidRDefault="00212513">
            <w:pPr>
              <w:pStyle w:val="ConsPlusNormal"/>
            </w:pPr>
            <w:r>
              <w:t>1 Прокатная сталь и стальное литье</w:t>
            </w:r>
          </w:p>
        </w:tc>
        <w:tc>
          <w:tcPr>
            <w:tcW w:w="4706" w:type="dxa"/>
          </w:tcPr>
          <w:p w:rsidR="00212513" w:rsidRDefault="00212513">
            <w:pPr>
              <w:pStyle w:val="ConsPlusNormal"/>
            </w:pPr>
            <w:r>
              <w:rPr>
                <w:i/>
              </w:rPr>
              <w:t>E</w:t>
            </w:r>
            <w:r>
              <w:t xml:space="preserve"> = 2,06·10</w:t>
            </w:r>
            <w:r>
              <w:rPr>
                <w:vertAlign w:val="superscript"/>
              </w:rPr>
              <w:t>5</w:t>
            </w:r>
          </w:p>
        </w:tc>
      </w:tr>
      <w:tr w:rsidR="00212513">
        <w:tc>
          <w:tcPr>
            <w:tcW w:w="4365" w:type="dxa"/>
          </w:tcPr>
          <w:p w:rsidR="00212513" w:rsidRDefault="00212513">
            <w:pPr>
              <w:pStyle w:val="ConsPlusNormal"/>
            </w:pPr>
            <w:r>
              <w:t>2 То же</w:t>
            </w:r>
          </w:p>
        </w:tc>
        <w:tc>
          <w:tcPr>
            <w:tcW w:w="4706" w:type="dxa"/>
          </w:tcPr>
          <w:p w:rsidR="00212513" w:rsidRDefault="00212513">
            <w:pPr>
              <w:pStyle w:val="ConsPlusNormal"/>
            </w:pPr>
            <w:r>
              <w:rPr>
                <w:i/>
              </w:rPr>
              <w:t>G</w:t>
            </w:r>
            <w:r>
              <w:t xml:space="preserve"> = 0,78·10</w:t>
            </w:r>
            <w:r>
              <w:rPr>
                <w:vertAlign w:val="superscript"/>
              </w:rPr>
              <w:t>5</w:t>
            </w:r>
          </w:p>
        </w:tc>
      </w:tr>
      <w:tr w:rsidR="00212513">
        <w:tc>
          <w:tcPr>
            <w:tcW w:w="4365" w:type="dxa"/>
          </w:tcPr>
          <w:p w:rsidR="00212513" w:rsidRDefault="00212513">
            <w:pPr>
              <w:pStyle w:val="ConsPlusNormal"/>
            </w:pPr>
            <w:r>
              <w:t>3 Пучки и канаты из параллельно уложенных оцинкованных проволок</w:t>
            </w:r>
          </w:p>
        </w:tc>
        <w:tc>
          <w:tcPr>
            <w:tcW w:w="4706" w:type="dxa"/>
          </w:tcPr>
          <w:p w:rsidR="00212513" w:rsidRDefault="00212513">
            <w:pPr>
              <w:pStyle w:val="ConsPlusNormal"/>
            </w:pPr>
            <w:r>
              <w:rPr>
                <w:i/>
              </w:rPr>
              <w:t>E</w:t>
            </w:r>
            <w:r>
              <w:t xml:space="preserve"> = 2,01·10</w:t>
            </w:r>
            <w:r>
              <w:rPr>
                <w:vertAlign w:val="superscript"/>
              </w:rPr>
              <w:t>5</w:t>
            </w:r>
          </w:p>
        </w:tc>
      </w:tr>
    </w:tbl>
    <w:p w:rsidR="00212513" w:rsidRDefault="00212513">
      <w:pPr>
        <w:pStyle w:val="ConsPlusNormal"/>
        <w:ind w:firstLine="540"/>
        <w:jc w:val="both"/>
      </w:pPr>
    </w:p>
    <w:p w:rsidR="00212513" w:rsidRDefault="00212513">
      <w:pPr>
        <w:pStyle w:val="ConsPlusNormal"/>
        <w:ind w:firstLine="540"/>
        <w:jc w:val="both"/>
      </w:pPr>
      <w:r>
        <w:t>Модуль упругости стальных оцинкованных витых канатов с металлическим сердечником, подвергнутых предварительной вытяжке усилием, равным половине разрывного усилия каната в целом, следует принимать по таблице 8.14.</w:t>
      </w:r>
    </w:p>
    <w:p w:rsidR="00212513" w:rsidRDefault="00212513">
      <w:pPr>
        <w:pStyle w:val="ConsPlusNormal"/>
        <w:ind w:firstLine="540"/>
        <w:jc w:val="both"/>
      </w:pPr>
    </w:p>
    <w:p w:rsidR="00212513" w:rsidRDefault="00212513">
      <w:pPr>
        <w:pStyle w:val="ConsPlusNormal"/>
        <w:jc w:val="right"/>
      </w:pPr>
      <w:bookmarkStart w:id="290" w:name="P6877"/>
      <w:bookmarkEnd w:id="290"/>
      <w:r>
        <w:t>Таблица 8.14</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98"/>
        <w:gridCol w:w="2154"/>
        <w:gridCol w:w="3118"/>
      </w:tblGrid>
      <w:tr w:rsidR="00212513">
        <w:tc>
          <w:tcPr>
            <w:tcW w:w="3798" w:type="dxa"/>
            <w:tcBorders>
              <w:top w:val="single" w:sz="4" w:space="0" w:color="auto"/>
              <w:bottom w:val="single" w:sz="4" w:space="0" w:color="auto"/>
            </w:tcBorders>
            <w:vAlign w:val="center"/>
          </w:tcPr>
          <w:p w:rsidR="00212513" w:rsidRDefault="00212513">
            <w:pPr>
              <w:pStyle w:val="ConsPlusNormal"/>
              <w:jc w:val="center"/>
            </w:pPr>
            <w:r>
              <w:t>Канаты</w:t>
            </w:r>
          </w:p>
        </w:tc>
        <w:tc>
          <w:tcPr>
            <w:tcW w:w="2154" w:type="dxa"/>
            <w:tcBorders>
              <w:top w:val="single" w:sz="4" w:space="0" w:color="auto"/>
              <w:bottom w:val="single" w:sz="4" w:space="0" w:color="auto"/>
            </w:tcBorders>
            <w:vAlign w:val="center"/>
          </w:tcPr>
          <w:p w:rsidR="00212513" w:rsidRDefault="00212513">
            <w:pPr>
              <w:pStyle w:val="ConsPlusNormal"/>
              <w:jc w:val="center"/>
            </w:pPr>
            <w:r>
              <w:t>Кратность свивки</w:t>
            </w:r>
          </w:p>
        </w:tc>
        <w:tc>
          <w:tcPr>
            <w:tcW w:w="3118" w:type="dxa"/>
            <w:tcBorders>
              <w:top w:val="single" w:sz="4" w:space="0" w:color="auto"/>
              <w:bottom w:val="single" w:sz="4" w:space="0" w:color="auto"/>
            </w:tcBorders>
            <w:vAlign w:val="center"/>
          </w:tcPr>
          <w:p w:rsidR="00212513" w:rsidRDefault="00212513">
            <w:pPr>
              <w:pStyle w:val="ConsPlusNormal"/>
              <w:jc w:val="center"/>
            </w:pPr>
            <w:r>
              <w:t xml:space="preserve">Модуль упругости </w:t>
            </w:r>
            <w:r>
              <w:rPr>
                <w:i/>
              </w:rPr>
              <w:t>E</w:t>
            </w:r>
            <w:r>
              <w:t>, МПа</w:t>
            </w:r>
          </w:p>
        </w:tc>
      </w:tr>
      <w:tr w:rsidR="00212513">
        <w:tc>
          <w:tcPr>
            <w:tcW w:w="3798" w:type="dxa"/>
            <w:vMerge w:val="restart"/>
            <w:tcBorders>
              <w:top w:val="single" w:sz="4" w:space="0" w:color="auto"/>
              <w:bottom w:val="single" w:sz="4" w:space="0" w:color="auto"/>
            </w:tcBorders>
          </w:tcPr>
          <w:p w:rsidR="00212513" w:rsidRDefault="00212513">
            <w:pPr>
              <w:pStyle w:val="ConsPlusNormal"/>
            </w:pPr>
            <w:r>
              <w:t xml:space="preserve">Одинарной свивки по </w:t>
            </w:r>
            <w:hyperlink r:id="rId1579">
              <w:r>
                <w:rPr>
                  <w:color w:val="0000FF"/>
                </w:rPr>
                <w:t>ГОСТ 3064</w:t>
              </w:r>
            </w:hyperlink>
            <w:r>
              <w:t xml:space="preserve"> и закрытые несущие по </w:t>
            </w:r>
            <w:hyperlink r:id="rId1580">
              <w:r>
                <w:rPr>
                  <w:color w:val="0000FF"/>
                </w:rPr>
                <w:t>ГОСТ 18899</w:t>
              </w:r>
            </w:hyperlink>
            <w:r>
              <w:t xml:space="preserve"> и </w:t>
            </w:r>
            <w:hyperlink w:anchor="P19083">
              <w:r>
                <w:rPr>
                  <w:color w:val="0000FF"/>
                </w:rPr>
                <w:t>[9]</w:t>
              </w:r>
            </w:hyperlink>
          </w:p>
        </w:tc>
        <w:tc>
          <w:tcPr>
            <w:tcW w:w="2154" w:type="dxa"/>
            <w:tcBorders>
              <w:top w:val="single" w:sz="4" w:space="0" w:color="auto"/>
              <w:bottom w:val="nil"/>
            </w:tcBorders>
          </w:tcPr>
          <w:p w:rsidR="00212513" w:rsidRDefault="00212513">
            <w:pPr>
              <w:pStyle w:val="ConsPlusNormal"/>
              <w:jc w:val="center"/>
            </w:pPr>
            <w:r>
              <w:t>6</w:t>
            </w:r>
          </w:p>
        </w:tc>
        <w:tc>
          <w:tcPr>
            <w:tcW w:w="3118" w:type="dxa"/>
            <w:tcBorders>
              <w:top w:val="single" w:sz="4" w:space="0" w:color="auto"/>
              <w:bottom w:val="nil"/>
            </w:tcBorders>
          </w:tcPr>
          <w:p w:rsidR="00212513" w:rsidRDefault="00212513">
            <w:pPr>
              <w:pStyle w:val="ConsPlusNormal"/>
              <w:jc w:val="center"/>
            </w:pPr>
            <w:r>
              <w:t>1,18·10</w:t>
            </w:r>
            <w:r>
              <w:rPr>
                <w:vertAlign w:val="superscript"/>
              </w:rPr>
              <w:t>5</w:t>
            </w:r>
          </w:p>
        </w:tc>
      </w:tr>
      <w:tr w:rsidR="00212513">
        <w:tblPrEx>
          <w:tblBorders>
            <w:insideH w:val="none" w:sz="0" w:space="0" w:color="auto"/>
          </w:tblBorders>
        </w:tblPrEx>
        <w:tc>
          <w:tcPr>
            <w:tcW w:w="3798" w:type="dxa"/>
            <w:vMerge/>
            <w:tcBorders>
              <w:top w:val="single" w:sz="4" w:space="0" w:color="auto"/>
              <w:bottom w:val="single" w:sz="4" w:space="0" w:color="auto"/>
            </w:tcBorders>
          </w:tcPr>
          <w:p w:rsidR="00212513" w:rsidRDefault="00212513">
            <w:pPr>
              <w:pStyle w:val="ConsPlusNormal"/>
            </w:pPr>
          </w:p>
        </w:tc>
        <w:tc>
          <w:tcPr>
            <w:tcW w:w="2154" w:type="dxa"/>
            <w:tcBorders>
              <w:top w:val="nil"/>
              <w:bottom w:val="nil"/>
            </w:tcBorders>
          </w:tcPr>
          <w:p w:rsidR="00212513" w:rsidRDefault="00212513">
            <w:pPr>
              <w:pStyle w:val="ConsPlusNormal"/>
              <w:jc w:val="center"/>
            </w:pPr>
            <w:r>
              <w:t>8</w:t>
            </w:r>
          </w:p>
        </w:tc>
        <w:tc>
          <w:tcPr>
            <w:tcW w:w="3118" w:type="dxa"/>
            <w:tcBorders>
              <w:top w:val="nil"/>
              <w:bottom w:val="nil"/>
            </w:tcBorders>
          </w:tcPr>
          <w:p w:rsidR="00212513" w:rsidRDefault="00212513">
            <w:pPr>
              <w:pStyle w:val="ConsPlusNormal"/>
              <w:jc w:val="center"/>
            </w:pPr>
            <w:r>
              <w:t>1,45·10</w:t>
            </w:r>
            <w:r>
              <w:rPr>
                <w:vertAlign w:val="superscript"/>
              </w:rPr>
              <w:t>5</w:t>
            </w:r>
          </w:p>
        </w:tc>
      </w:tr>
      <w:tr w:rsidR="00212513">
        <w:tblPrEx>
          <w:tblBorders>
            <w:insideH w:val="none" w:sz="0" w:space="0" w:color="auto"/>
          </w:tblBorders>
        </w:tblPrEx>
        <w:tc>
          <w:tcPr>
            <w:tcW w:w="3798" w:type="dxa"/>
            <w:vMerge/>
            <w:tcBorders>
              <w:top w:val="single" w:sz="4" w:space="0" w:color="auto"/>
              <w:bottom w:val="single" w:sz="4" w:space="0" w:color="auto"/>
            </w:tcBorders>
          </w:tcPr>
          <w:p w:rsidR="00212513" w:rsidRDefault="00212513">
            <w:pPr>
              <w:pStyle w:val="ConsPlusNormal"/>
            </w:pPr>
          </w:p>
        </w:tc>
        <w:tc>
          <w:tcPr>
            <w:tcW w:w="2154" w:type="dxa"/>
            <w:tcBorders>
              <w:top w:val="nil"/>
              <w:bottom w:val="nil"/>
            </w:tcBorders>
          </w:tcPr>
          <w:p w:rsidR="00212513" w:rsidRDefault="00212513">
            <w:pPr>
              <w:pStyle w:val="ConsPlusNormal"/>
              <w:jc w:val="center"/>
            </w:pPr>
            <w:r>
              <w:t>10</w:t>
            </w:r>
          </w:p>
        </w:tc>
        <w:tc>
          <w:tcPr>
            <w:tcW w:w="3118" w:type="dxa"/>
            <w:tcBorders>
              <w:top w:val="nil"/>
              <w:bottom w:val="nil"/>
            </w:tcBorders>
          </w:tcPr>
          <w:p w:rsidR="00212513" w:rsidRDefault="00212513">
            <w:pPr>
              <w:pStyle w:val="ConsPlusNormal"/>
              <w:jc w:val="center"/>
            </w:pPr>
            <w:r>
              <w:t>1,61·10</w:t>
            </w:r>
            <w:r>
              <w:rPr>
                <w:vertAlign w:val="superscript"/>
              </w:rPr>
              <w:t>5</w:t>
            </w:r>
          </w:p>
        </w:tc>
      </w:tr>
      <w:tr w:rsidR="00212513">
        <w:tblPrEx>
          <w:tblBorders>
            <w:insideH w:val="none" w:sz="0" w:space="0" w:color="auto"/>
          </w:tblBorders>
        </w:tblPrEx>
        <w:tc>
          <w:tcPr>
            <w:tcW w:w="3798" w:type="dxa"/>
            <w:vMerge/>
            <w:tcBorders>
              <w:top w:val="single" w:sz="4" w:space="0" w:color="auto"/>
              <w:bottom w:val="single" w:sz="4" w:space="0" w:color="auto"/>
            </w:tcBorders>
          </w:tcPr>
          <w:p w:rsidR="00212513" w:rsidRDefault="00212513">
            <w:pPr>
              <w:pStyle w:val="ConsPlusNormal"/>
            </w:pPr>
          </w:p>
        </w:tc>
        <w:tc>
          <w:tcPr>
            <w:tcW w:w="2154" w:type="dxa"/>
            <w:tcBorders>
              <w:top w:val="nil"/>
              <w:bottom w:val="nil"/>
            </w:tcBorders>
          </w:tcPr>
          <w:p w:rsidR="00212513" w:rsidRDefault="00212513">
            <w:pPr>
              <w:pStyle w:val="ConsPlusNormal"/>
              <w:jc w:val="center"/>
            </w:pPr>
            <w:r>
              <w:t>11</w:t>
            </w:r>
          </w:p>
        </w:tc>
        <w:tc>
          <w:tcPr>
            <w:tcW w:w="3118" w:type="dxa"/>
            <w:tcBorders>
              <w:top w:val="nil"/>
              <w:bottom w:val="nil"/>
            </w:tcBorders>
          </w:tcPr>
          <w:p w:rsidR="00212513" w:rsidRDefault="00212513">
            <w:pPr>
              <w:pStyle w:val="ConsPlusNormal"/>
              <w:jc w:val="center"/>
            </w:pPr>
            <w:r>
              <w:t>1,65·10</w:t>
            </w:r>
            <w:r>
              <w:rPr>
                <w:vertAlign w:val="superscript"/>
              </w:rPr>
              <w:t>5</w:t>
            </w:r>
          </w:p>
        </w:tc>
      </w:tr>
      <w:tr w:rsidR="00212513">
        <w:tblPrEx>
          <w:tblBorders>
            <w:insideH w:val="none" w:sz="0" w:space="0" w:color="auto"/>
          </w:tblBorders>
        </w:tblPrEx>
        <w:tc>
          <w:tcPr>
            <w:tcW w:w="3798" w:type="dxa"/>
            <w:vMerge/>
            <w:tcBorders>
              <w:top w:val="single" w:sz="4" w:space="0" w:color="auto"/>
              <w:bottom w:val="single" w:sz="4" w:space="0" w:color="auto"/>
            </w:tcBorders>
          </w:tcPr>
          <w:p w:rsidR="00212513" w:rsidRDefault="00212513">
            <w:pPr>
              <w:pStyle w:val="ConsPlusNormal"/>
            </w:pPr>
          </w:p>
        </w:tc>
        <w:tc>
          <w:tcPr>
            <w:tcW w:w="2154" w:type="dxa"/>
            <w:tcBorders>
              <w:top w:val="nil"/>
              <w:bottom w:val="nil"/>
            </w:tcBorders>
          </w:tcPr>
          <w:p w:rsidR="00212513" w:rsidRDefault="00212513">
            <w:pPr>
              <w:pStyle w:val="ConsPlusNormal"/>
              <w:jc w:val="center"/>
            </w:pPr>
            <w:r>
              <w:t>12</w:t>
            </w:r>
          </w:p>
        </w:tc>
        <w:tc>
          <w:tcPr>
            <w:tcW w:w="3118" w:type="dxa"/>
            <w:tcBorders>
              <w:top w:val="nil"/>
              <w:bottom w:val="nil"/>
            </w:tcBorders>
          </w:tcPr>
          <w:p w:rsidR="00212513" w:rsidRDefault="00212513">
            <w:pPr>
              <w:pStyle w:val="ConsPlusNormal"/>
              <w:jc w:val="center"/>
            </w:pPr>
            <w:r>
              <w:t>1,70·10</w:t>
            </w:r>
            <w:r>
              <w:rPr>
                <w:vertAlign w:val="superscript"/>
              </w:rPr>
              <w:t>5</w:t>
            </w:r>
          </w:p>
        </w:tc>
      </w:tr>
      <w:tr w:rsidR="00212513">
        <w:tblPrEx>
          <w:tblBorders>
            <w:insideH w:val="none" w:sz="0" w:space="0" w:color="auto"/>
          </w:tblBorders>
        </w:tblPrEx>
        <w:tc>
          <w:tcPr>
            <w:tcW w:w="3798" w:type="dxa"/>
            <w:vMerge/>
            <w:tcBorders>
              <w:top w:val="single" w:sz="4" w:space="0" w:color="auto"/>
              <w:bottom w:val="single" w:sz="4" w:space="0" w:color="auto"/>
            </w:tcBorders>
          </w:tcPr>
          <w:p w:rsidR="00212513" w:rsidRDefault="00212513">
            <w:pPr>
              <w:pStyle w:val="ConsPlusNormal"/>
            </w:pPr>
          </w:p>
        </w:tc>
        <w:tc>
          <w:tcPr>
            <w:tcW w:w="2154" w:type="dxa"/>
            <w:tcBorders>
              <w:top w:val="nil"/>
              <w:bottom w:val="nil"/>
            </w:tcBorders>
          </w:tcPr>
          <w:p w:rsidR="00212513" w:rsidRDefault="00212513">
            <w:pPr>
              <w:pStyle w:val="ConsPlusNormal"/>
              <w:jc w:val="center"/>
            </w:pPr>
            <w:r>
              <w:t>14</w:t>
            </w:r>
          </w:p>
        </w:tc>
        <w:tc>
          <w:tcPr>
            <w:tcW w:w="3118" w:type="dxa"/>
            <w:tcBorders>
              <w:top w:val="nil"/>
              <w:bottom w:val="nil"/>
            </w:tcBorders>
          </w:tcPr>
          <w:p w:rsidR="00212513" w:rsidRDefault="00212513">
            <w:pPr>
              <w:pStyle w:val="ConsPlusNormal"/>
              <w:jc w:val="center"/>
            </w:pPr>
            <w:r>
              <w:t>1,75·10</w:t>
            </w:r>
            <w:r>
              <w:rPr>
                <w:vertAlign w:val="superscript"/>
              </w:rPr>
              <w:t>5</w:t>
            </w:r>
          </w:p>
        </w:tc>
      </w:tr>
      <w:tr w:rsidR="00212513">
        <w:tblPrEx>
          <w:tblBorders>
            <w:insideH w:val="none" w:sz="0" w:space="0" w:color="auto"/>
          </w:tblBorders>
        </w:tblPrEx>
        <w:tc>
          <w:tcPr>
            <w:tcW w:w="3798" w:type="dxa"/>
            <w:vMerge/>
            <w:tcBorders>
              <w:top w:val="single" w:sz="4" w:space="0" w:color="auto"/>
              <w:bottom w:val="single" w:sz="4" w:space="0" w:color="auto"/>
            </w:tcBorders>
          </w:tcPr>
          <w:p w:rsidR="00212513" w:rsidRDefault="00212513">
            <w:pPr>
              <w:pStyle w:val="ConsPlusNormal"/>
            </w:pPr>
          </w:p>
        </w:tc>
        <w:tc>
          <w:tcPr>
            <w:tcW w:w="2154" w:type="dxa"/>
            <w:tcBorders>
              <w:top w:val="nil"/>
              <w:bottom w:val="single" w:sz="4" w:space="0" w:color="auto"/>
            </w:tcBorders>
          </w:tcPr>
          <w:p w:rsidR="00212513" w:rsidRDefault="00212513">
            <w:pPr>
              <w:pStyle w:val="ConsPlusNormal"/>
              <w:jc w:val="center"/>
            </w:pPr>
            <w:r>
              <w:t>16</w:t>
            </w:r>
          </w:p>
        </w:tc>
        <w:tc>
          <w:tcPr>
            <w:tcW w:w="3118" w:type="dxa"/>
            <w:tcBorders>
              <w:top w:val="nil"/>
              <w:bottom w:val="single" w:sz="4" w:space="0" w:color="auto"/>
            </w:tcBorders>
          </w:tcPr>
          <w:p w:rsidR="00212513" w:rsidRDefault="00212513">
            <w:pPr>
              <w:pStyle w:val="ConsPlusNormal"/>
              <w:jc w:val="center"/>
            </w:pPr>
            <w:r>
              <w:t>1,77·10</w:t>
            </w:r>
            <w:r>
              <w:rPr>
                <w:vertAlign w:val="superscript"/>
              </w:rPr>
              <w:t>5</w:t>
            </w:r>
          </w:p>
        </w:tc>
      </w:tr>
    </w:tbl>
    <w:p w:rsidR="00212513" w:rsidRDefault="00212513">
      <w:pPr>
        <w:pStyle w:val="ConsPlusNormal"/>
        <w:ind w:firstLine="540"/>
        <w:jc w:val="both"/>
      </w:pPr>
    </w:p>
    <w:p w:rsidR="00212513" w:rsidRDefault="00212513">
      <w:pPr>
        <w:pStyle w:val="ConsPlusTitle"/>
        <w:ind w:firstLine="540"/>
        <w:jc w:val="both"/>
        <w:outlineLvl w:val="2"/>
      </w:pPr>
      <w:r>
        <w:t>Учет условий работы и назначения конструкций</w:t>
      </w:r>
    </w:p>
    <w:p w:rsidR="00212513" w:rsidRDefault="00212513">
      <w:pPr>
        <w:pStyle w:val="ConsPlusNormal"/>
        <w:ind w:firstLine="540"/>
        <w:jc w:val="both"/>
      </w:pPr>
    </w:p>
    <w:p w:rsidR="00212513" w:rsidRDefault="00212513">
      <w:pPr>
        <w:pStyle w:val="ConsPlusNormal"/>
        <w:ind w:firstLine="540"/>
        <w:jc w:val="both"/>
      </w:pPr>
      <w:bookmarkStart w:id="291" w:name="P6900"/>
      <w:bookmarkEnd w:id="291"/>
      <w:r>
        <w:t>8.19 При расчете стальных конструкций и соединений мостов надлежит учитывать:</w:t>
      </w:r>
    </w:p>
    <w:p w:rsidR="00212513" w:rsidRDefault="00212513">
      <w:pPr>
        <w:pStyle w:val="ConsPlusNormal"/>
        <w:spacing w:before="220"/>
        <w:ind w:firstLine="540"/>
        <w:jc w:val="both"/>
      </w:pPr>
      <w:r>
        <w:t xml:space="preserve">коэффициент надежности по временному сопротивлению </w:t>
      </w:r>
      <w:r>
        <w:rPr>
          <w:noProof/>
          <w:position w:val="-8"/>
        </w:rPr>
        <w:drawing>
          <wp:inline distT="0" distB="0" distL="0" distR="0">
            <wp:extent cx="553085" cy="251460"/>
            <wp:effectExtent l="0" t="0" r="0" b="0"/>
            <wp:docPr id="9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1" cstate="print">
                      <a:extLst>
                        <a:ext uri="{28A0092B-C50C-407E-A947-70E740481C1C}">
                          <a14:useLocalDpi xmlns:a14="http://schemas.microsoft.com/office/drawing/2010/main" val="0"/>
                        </a:ext>
                      </a:extLst>
                    </a:blip>
                    <a:srcRect/>
                    <a:stretch>
                      <a:fillRect/>
                    </a:stretch>
                  </pic:blipFill>
                  <pic:spPr bwMode="auto">
                    <a:xfrm>
                      <a:off x="0" y="0"/>
                      <a:ext cx="553085" cy="251460"/>
                    </a:xfrm>
                    <a:prstGeom prst="rect">
                      <a:avLst/>
                    </a:prstGeom>
                    <a:noFill/>
                    <a:ln>
                      <a:noFill/>
                    </a:ln>
                  </pic:spPr>
                </pic:pic>
              </a:graphicData>
            </a:graphic>
          </wp:inline>
        </w:drawing>
      </w:r>
      <w:r>
        <w:t xml:space="preserve"> для элементов конструкций, рассчитываемых по прочности с использованием расчетных сопротивлений </w:t>
      </w:r>
      <w:r>
        <w:rPr>
          <w:noProof/>
          <w:position w:val="-8"/>
        </w:rPr>
        <w:drawing>
          <wp:inline distT="0" distB="0" distL="0" distR="0">
            <wp:extent cx="209550" cy="251460"/>
            <wp:effectExtent l="0" t="0" r="0" b="0"/>
            <wp:docPr id="9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w:t>
      </w:r>
    </w:p>
    <w:p w:rsidR="00212513" w:rsidRDefault="00212513">
      <w:pPr>
        <w:pStyle w:val="ConsPlusNormal"/>
        <w:jc w:val="both"/>
      </w:pPr>
      <w:r>
        <w:t xml:space="preserve">(в ред. </w:t>
      </w:r>
      <w:hyperlink r:id="rId1583">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 xml:space="preserve">коэффициент условий работы </w:t>
      </w:r>
      <w:r>
        <w:rPr>
          <w:i/>
        </w:rPr>
        <w:t>m</w:t>
      </w:r>
      <w:r>
        <w:t xml:space="preserve">, принимаемый по таблицам 8.15 и </w:t>
      </w:r>
      <w:hyperlink w:anchor="P8764">
        <w:r>
          <w:rPr>
            <w:color w:val="0000FF"/>
          </w:rPr>
          <w:t>8.36</w:t>
        </w:r>
      </w:hyperlink>
      <w:r>
        <w:t xml:space="preserve"> и подразделам настоящих норм, а для канатов в зоне отгибов на отклоняющих устройствах, хомутов, стяжек, сжимов и анкеров - по </w:t>
      </w:r>
      <w:hyperlink w:anchor="P14732">
        <w:r>
          <w:rPr>
            <w:color w:val="0000FF"/>
          </w:rPr>
          <w:t>приложению У</w:t>
        </w:r>
      </w:hyperlink>
      <w:r>
        <w:t>.</w:t>
      </w:r>
    </w:p>
    <w:p w:rsidR="00212513" w:rsidRDefault="00212513">
      <w:pPr>
        <w:pStyle w:val="ConsPlusNormal"/>
        <w:ind w:firstLine="540"/>
        <w:jc w:val="both"/>
      </w:pPr>
    </w:p>
    <w:p w:rsidR="00212513" w:rsidRDefault="00212513">
      <w:pPr>
        <w:pStyle w:val="ConsPlusNormal"/>
        <w:jc w:val="right"/>
      </w:pPr>
      <w:bookmarkStart w:id="292" w:name="P6905"/>
      <w:bookmarkEnd w:id="292"/>
      <w:r>
        <w:t>Таблица 8.15</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90"/>
        <w:gridCol w:w="2381"/>
      </w:tblGrid>
      <w:tr w:rsidR="00212513">
        <w:tc>
          <w:tcPr>
            <w:tcW w:w="6690" w:type="dxa"/>
            <w:vAlign w:val="center"/>
          </w:tcPr>
          <w:p w:rsidR="00212513" w:rsidRDefault="00212513">
            <w:pPr>
              <w:pStyle w:val="ConsPlusNormal"/>
              <w:jc w:val="center"/>
            </w:pPr>
            <w:r>
              <w:t>Область применения</w:t>
            </w:r>
          </w:p>
        </w:tc>
        <w:tc>
          <w:tcPr>
            <w:tcW w:w="2381" w:type="dxa"/>
            <w:vAlign w:val="center"/>
          </w:tcPr>
          <w:p w:rsidR="00212513" w:rsidRDefault="00212513">
            <w:pPr>
              <w:pStyle w:val="ConsPlusNormal"/>
              <w:jc w:val="center"/>
            </w:pPr>
            <w:r>
              <w:t xml:space="preserve">Коэффициент условий работы </w:t>
            </w:r>
            <w:r>
              <w:rPr>
                <w:i/>
              </w:rPr>
              <w:t>m</w:t>
            </w:r>
          </w:p>
        </w:tc>
      </w:tr>
      <w:tr w:rsidR="00212513">
        <w:tc>
          <w:tcPr>
            <w:tcW w:w="6690" w:type="dxa"/>
          </w:tcPr>
          <w:p w:rsidR="00212513" w:rsidRDefault="00212513">
            <w:pPr>
              <w:pStyle w:val="ConsPlusNormal"/>
            </w:pPr>
            <w:bookmarkStart w:id="293" w:name="P6909"/>
            <w:bookmarkEnd w:id="293"/>
            <w:r>
              <w:t>1 Элементы и их соединения в пролетных строениях и опорах железнодорожных и пешеходных мостов при расчете на стадии эксплуатации</w:t>
            </w:r>
          </w:p>
        </w:tc>
        <w:tc>
          <w:tcPr>
            <w:tcW w:w="2381" w:type="dxa"/>
          </w:tcPr>
          <w:p w:rsidR="00212513" w:rsidRDefault="00212513">
            <w:pPr>
              <w:pStyle w:val="ConsPlusNormal"/>
              <w:jc w:val="center"/>
            </w:pPr>
            <w:r>
              <w:t>0,9</w:t>
            </w:r>
          </w:p>
        </w:tc>
      </w:tr>
      <w:tr w:rsidR="00212513">
        <w:tc>
          <w:tcPr>
            <w:tcW w:w="6690" w:type="dxa"/>
          </w:tcPr>
          <w:p w:rsidR="00212513" w:rsidRDefault="00212513">
            <w:pPr>
              <w:pStyle w:val="ConsPlusNormal"/>
            </w:pPr>
            <w:bookmarkStart w:id="294" w:name="P6911"/>
            <w:bookmarkEnd w:id="294"/>
            <w:r>
              <w:t>2 То же, при расчете на нагрузки, возникающие при изготовлении, транспортировке и монтаже</w:t>
            </w:r>
          </w:p>
        </w:tc>
        <w:tc>
          <w:tcPr>
            <w:tcW w:w="2381" w:type="dxa"/>
          </w:tcPr>
          <w:p w:rsidR="00212513" w:rsidRDefault="00212513">
            <w:pPr>
              <w:pStyle w:val="ConsPlusNormal"/>
              <w:jc w:val="center"/>
            </w:pPr>
            <w:r>
              <w:t>1,0</w:t>
            </w:r>
          </w:p>
        </w:tc>
      </w:tr>
      <w:tr w:rsidR="00212513">
        <w:tc>
          <w:tcPr>
            <w:tcW w:w="6690" w:type="dxa"/>
          </w:tcPr>
          <w:p w:rsidR="00212513" w:rsidRDefault="00212513">
            <w:pPr>
              <w:pStyle w:val="ConsPlusNormal"/>
            </w:pPr>
            <w:bookmarkStart w:id="295" w:name="P6913"/>
            <w:bookmarkEnd w:id="295"/>
            <w:r>
              <w:t>3 Элементы и их соединения в пролетных строениях и опорах автодорожных и городских мостов при расчете на эксплуатационные нагрузки, а также на нагрузки, возникающие при изготовлении, транспортировке и монтаже</w:t>
            </w:r>
          </w:p>
        </w:tc>
        <w:tc>
          <w:tcPr>
            <w:tcW w:w="2381" w:type="dxa"/>
          </w:tcPr>
          <w:p w:rsidR="00212513" w:rsidRDefault="00212513">
            <w:pPr>
              <w:pStyle w:val="ConsPlusNormal"/>
              <w:jc w:val="center"/>
            </w:pPr>
            <w:r>
              <w:t>1,0</w:t>
            </w:r>
          </w:p>
        </w:tc>
      </w:tr>
      <w:tr w:rsidR="00212513">
        <w:tc>
          <w:tcPr>
            <w:tcW w:w="6690" w:type="dxa"/>
          </w:tcPr>
          <w:p w:rsidR="00212513" w:rsidRDefault="00212513">
            <w:pPr>
              <w:pStyle w:val="ConsPlusNormal"/>
            </w:pPr>
            <w:bookmarkStart w:id="296" w:name="P6915"/>
            <w:bookmarkEnd w:id="296"/>
            <w:r>
              <w:t>4 Канаты гибких несущих элементов в вантовых и висячих мостах</w:t>
            </w:r>
          </w:p>
        </w:tc>
        <w:tc>
          <w:tcPr>
            <w:tcW w:w="2381" w:type="dxa"/>
          </w:tcPr>
          <w:p w:rsidR="00212513" w:rsidRDefault="00212513">
            <w:pPr>
              <w:pStyle w:val="ConsPlusNormal"/>
              <w:jc w:val="center"/>
            </w:pPr>
            <w:r>
              <w:t>0,8</w:t>
            </w:r>
          </w:p>
        </w:tc>
      </w:tr>
      <w:tr w:rsidR="00212513">
        <w:tc>
          <w:tcPr>
            <w:tcW w:w="6690" w:type="dxa"/>
          </w:tcPr>
          <w:p w:rsidR="00212513" w:rsidRDefault="00212513">
            <w:pPr>
              <w:pStyle w:val="ConsPlusNormal"/>
            </w:pPr>
            <w:r>
              <w:t>5 Канаты напрягаемых элементов предварительно напряженных конструкций</w:t>
            </w:r>
          </w:p>
        </w:tc>
        <w:tc>
          <w:tcPr>
            <w:tcW w:w="2381" w:type="dxa"/>
          </w:tcPr>
          <w:p w:rsidR="00212513" w:rsidRDefault="00212513">
            <w:pPr>
              <w:pStyle w:val="ConsPlusNormal"/>
              <w:jc w:val="center"/>
            </w:pPr>
            <w:r>
              <w:t>0,9</w:t>
            </w:r>
          </w:p>
        </w:tc>
      </w:tr>
      <w:tr w:rsidR="00212513">
        <w:tblPrEx>
          <w:tblBorders>
            <w:insideH w:val="nil"/>
          </w:tblBorders>
        </w:tblPrEx>
        <w:tc>
          <w:tcPr>
            <w:tcW w:w="6690" w:type="dxa"/>
            <w:tcBorders>
              <w:bottom w:val="nil"/>
            </w:tcBorders>
          </w:tcPr>
          <w:p w:rsidR="00212513" w:rsidRDefault="00212513">
            <w:pPr>
              <w:pStyle w:val="ConsPlusNormal"/>
            </w:pPr>
            <w:bookmarkStart w:id="297" w:name="P6919"/>
            <w:bookmarkEnd w:id="297"/>
            <w:r>
              <w:t>6 Растянутые и сжатые элементы из одиночных профилей, прикрепленных одной полкой (или стенкой):</w:t>
            </w:r>
          </w:p>
        </w:tc>
        <w:tc>
          <w:tcPr>
            <w:tcW w:w="2381" w:type="dxa"/>
            <w:tcBorders>
              <w:bottom w:val="nil"/>
            </w:tcBorders>
          </w:tcPr>
          <w:p w:rsidR="00212513" w:rsidRDefault="00212513">
            <w:pPr>
              <w:pStyle w:val="ConsPlusNormal"/>
              <w:jc w:val="both"/>
            </w:pPr>
          </w:p>
        </w:tc>
      </w:tr>
      <w:tr w:rsidR="00212513">
        <w:tblPrEx>
          <w:tblBorders>
            <w:insideH w:val="nil"/>
          </w:tblBorders>
        </w:tblPrEx>
        <w:tc>
          <w:tcPr>
            <w:tcW w:w="6690" w:type="dxa"/>
            <w:tcBorders>
              <w:top w:val="nil"/>
              <w:bottom w:val="nil"/>
            </w:tcBorders>
          </w:tcPr>
          <w:p w:rsidR="00212513" w:rsidRDefault="00212513">
            <w:pPr>
              <w:pStyle w:val="ConsPlusNormal"/>
              <w:ind w:left="283"/>
            </w:pPr>
            <w:r>
              <w:t>неравнополочный уголок, прикрепленный меньшей полкой</w:t>
            </w:r>
          </w:p>
        </w:tc>
        <w:tc>
          <w:tcPr>
            <w:tcW w:w="2381" w:type="dxa"/>
            <w:tcBorders>
              <w:top w:val="nil"/>
              <w:bottom w:val="nil"/>
            </w:tcBorders>
          </w:tcPr>
          <w:p w:rsidR="00212513" w:rsidRDefault="00212513">
            <w:pPr>
              <w:pStyle w:val="ConsPlusNormal"/>
              <w:jc w:val="center"/>
            </w:pPr>
            <w:r>
              <w:t>0,7</w:t>
            </w:r>
          </w:p>
        </w:tc>
      </w:tr>
      <w:tr w:rsidR="00212513">
        <w:tblPrEx>
          <w:tblBorders>
            <w:insideH w:val="nil"/>
          </w:tblBorders>
        </w:tblPrEx>
        <w:tc>
          <w:tcPr>
            <w:tcW w:w="6690" w:type="dxa"/>
            <w:tcBorders>
              <w:top w:val="nil"/>
              <w:bottom w:val="nil"/>
            </w:tcBorders>
          </w:tcPr>
          <w:p w:rsidR="00212513" w:rsidRDefault="00212513">
            <w:pPr>
              <w:pStyle w:val="ConsPlusNormal"/>
              <w:ind w:left="283"/>
            </w:pPr>
            <w:r>
              <w:t>неравнополочный уголок, прикрепленный большей полкой</w:t>
            </w:r>
          </w:p>
        </w:tc>
        <w:tc>
          <w:tcPr>
            <w:tcW w:w="2381" w:type="dxa"/>
            <w:tcBorders>
              <w:top w:val="nil"/>
              <w:bottom w:val="nil"/>
            </w:tcBorders>
          </w:tcPr>
          <w:p w:rsidR="00212513" w:rsidRDefault="00212513">
            <w:pPr>
              <w:pStyle w:val="ConsPlusNormal"/>
              <w:jc w:val="center"/>
            </w:pPr>
            <w:r>
              <w:t>0,8</w:t>
            </w:r>
          </w:p>
        </w:tc>
      </w:tr>
      <w:tr w:rsidR="00212513">
        <w:tblPrEx>
          <w:tblBorders>
            <w:insideH w:val="nil"/>
          </w:tblBorders>
        </w:tblPrEx>
        <w:tc>
          <w:tcPr>
            <w:tcW w:w="6690" w:type="dxa"/>
            <w:tcBorders>
              <w:top w:val="nil"/>
              <w:bottom w:val="nil"/>
            </w:tcBorders>
          </w:tcPr>
          <w:p w:rsidR="00212513" w:rsidRDefault="00212513">
            <w:pPr>
              <w:pStyle w:val="ConsPlusNormal"/>
              <w:ind w:left="283"/>
            </w:pPr>
            <w:r>
              <w:t>равнополочный уголок</w:t>
            </w:r>
          </w:p>
        </w:tc>
        <w:tc>
          <w:tcPr>
            <w:tcW w:w="2381" w:type="dxa"/>
            <w:tcBorders>
              <w:top w:val="nil"/>
              <w:bottom w:val="nil"/>
            </w:tcBorders>
          </w:tcPr>
          <w:p w:rsidR="00212513" w:rsidRDefault="00212513">
            <w:pPr>
              <w:pStyle w:val="ConsPlusNormal"/>
              <w:jc w:val="center"/>
            </w:pPr>
            <w:r>
              <w:t>0,75</w:t>
            </w:r>
          </w:p>
        </w:tc>
      </w:tr>
      <w:tr w:rsidR="00212513">
        <w:tblPrEx>
          <w:tblBorders>
            <w:insideH w:val="nil"/>
          </w:tblBorders>
        </w:tblPrEx>
        <w:tc>
          <w:tcPr>
            <w:tcW w:w="6690" w:type="dxa"/>
            <w:tcBorders>
              <w:top w:val="nil"/>
            </w:tcBorders>
          </w:tcPr>
          <w:p w:rsidR="00212513" w:rsidRDefault="00212513">
            <w:pPr>
              <w:pStyle w:val="ConsPlusNormal"/>
              <w:ind w:left="283"/>
            </w:pPr>
            <w:r>
              <w:t>прокатный или составной швеллер, прикрепленный стенкой, или тавр, прикрепленный полкой</w:t>
            </w:r>
          </w:p>
        </w:tc>
        <w:tc>
          <w:tcPr>
            <w:tcW w:w="2381" w:type="dxa"/>
            <w:tcBorders>
              <w:top w:val="nil"/>
            </w:tcBorders>
          </w:tcPr>
          <w:p w:rsidR="00212513" w:rsidRDefault="00212513">
            <w:pPr>
              <w:pStyle w:val="ConsPlusNormal"/>
              <w:jc w:val="center"/>
            </w:pPr>
            <w:r>
              <w:t>0,9</w:t>
            </w:r>
          </w:p>
        </w:tc>
      </w:tr>
      <w:tr w:rsidR="00212513">
        <w:tc>
          <w:tcPr>
            <w:tcW w:w="6690" w:type="dxa"/>
          </w:tcPr>
          <w:p w:rsidR="00212513" w:rsidRDefault="00212513">
            <w:pPr>
              <w:pStyle w:val="ConsPlusNormal"/>
            </w:pPr>
            <w:bookmarkStart w:id="298" w:name="P6929"/>
            <w:bookmarkEnd w:id="298"/>
            <w:r>
              <w:t>7 Элементы и их сварные соединения в пролетных строениях и опорах северного "Б" исполнения</w:t>
            </w:r>
          </w:p>
        </w:tc>
        <w:tc>
          <w:tcPr>
            <w:tcW w:w="2381" w:type="dxa"/>
          </w:tcPr>
          <w:p w:rsidR="00212513" w:rsidRDefault="00212513">
            <w:pPr>
              <w:pStyle w:val="ConsPlusNormal"/>
              <w:jc w:val="center"/>
            </w:pPr>
            <w:r>
              <w:t>0,85</w:t>
            </w:r>
          </w:p>
        </w:tc>
      </w:tr>
      <w:tr w:rsidR="00212513">
        <w:tc>
          <w:tcPr>
            <w:tcW w:w="6690" w:type="dxa"/>
          </w:tcPr>
          <w:p w:rsidR="00212513" w:rsidRDefault="00212513">
            <w:pPr>
              <w:pStyle w:val="ConsPlusNormal"/>
            </w:pPr>
            <w:r>
              <w:t xml:space="preserve">8 В случаях, не оговоренных в </w:t>
            </w:r>
            <w:hyperlink w:anchor="P6909">
              <w:r>
                <w:rPr>
                  <w:color w:val="0000FF"/>
                </w:rPr>
                <w:t>позициях 1</w:t>
              </w:r>
            </w:hyperlink>
            <w:r>
              <w:t xml:space="preserve"> - 7</w:t>
            </w:r>
          </w:p>
        </w:tc>
        <w:tc>
          <w:tcPr>
            <w:tcW w:w="2381" w:type="dxa"/>
          </w:tcPr>
          <w:p w:rsidR="00212513" w:rsidRDefault="00212513">
            <w:pPr>
              <w:pStyle w:val="ConsPlusNormal"/>
              <w:jc w:val="center"/>
            </w:pPr>
            <w:r>
              <w:t>1,0</w:t>
            </w:r>
          </w:p>
        </w:tc>
      </w:tr>
      <w:tr w:rsidR="00212513">
        <w:tblPrEx>
          <w:tblBorders>
            <w:insideH w:val="nil"/>
          </w:tblBorders>
        </w:tblPrEx>
        <w:tc>
          <w:tcPr>
            <w:tcW w:w="9071" w:type="dxa"/>
            <w:gridSpan w:val="2"/>
            <w:tcBorders>
              <w:bottom w:val="nil"/>
            </w:tcBorders>
          </w:tcPr>
          <w:p w:rsidR="00212513" w:rsidRDefault="00212513">
            <w:pPr>
              <w:pStyle w:val="ConsPlusNormal"/>
              <w:ind w:firstLine="283"/>
              <w:jc w:val="both"/>
            </w:pPr>
            <w:r>
              <w:t>Примечания</w:t>
            </w:r>
          </w:p>
          <w:p w:rsidR="00212513" w:rsidRDefault="00212513">
            <w:pPr>
              <w:pStyle w:val="ConsPlusNormal"/>
              <w:ind w:firstLine="283"/>
              <w:jc w:val="both"/>
            </w:pPr>
            <w:r>
              <w:lastRenderedPageBreak/>
              <w:t>1 В случае использования в расчетах коэффициента надежности по ответственности не менее 1,1 коэффициент условий работы по позиции 1 следует принимать равным 1,0.</w:t>
            </w:r>
          </w:p>
          <w:p w:rsidR="00212513" w:rsidRDefault="00212513">
            <w:pPr>
              <w:pStyle w:val="ConsPlusNormal"/>
              <w:ind w:firstLine="283"/>
              <w:jc w:val="both"/>
            </w:pPr>
            <w:r>
              <w:t xml:space="preserve">2 Значение коэффициента условий работы по </w:t>
            </w:r>
            <w:hyperlink w:anchor="P6909">
              <w:r>
                <w:rPr>
                  <w:color w:val="0000FF"/>
                </w:rPr>
                <w:t>позициям 1</w:t>
              </w:r>
            </w:hyperlink>
            <w:r>
              <w:t xml:space="preserve">, </w:t>
            </w:r>
            <w:hyperlink w:anchor="P6911">
              <w:r>
                <w:rPr>
                  <w:color w:val="0000FF"/>
                </w:rPr>
                <w:t>2</w:t>
              </w:r>
            </w:hyperlink>
            <w:r>
              <w:t xml:space="preserve"> и </w:t>
            </w:r>
            <w:hyperlink w:anchor="P6913">
              <w:r>
                <w:rPr>
                  <w:color w:val="0000FF"/>
                </w:rPr>
                <w:t>3</w:t>
              </w:r>
            </w:hyperlink>
            <w:r>
              <w:t xml:space="preserve"> в соответствующих случаях применяют совместно с коэффициентами по </w:t>
            </w:r>
            <w:hyperlink w:anchor="P6915">
              <w:r>
                <w:rPr>
                  <w:color w:val="0000FF"/>
                </w:rPr>
                <w:t>позициям 4</w:t>
              </w:r>
            </w:hyperlink>
            <w:r>
              <w:t xml:space="preserve"> - </w:t>
            </w:r>
            <w:hyperlink w:anchor="P6929">
              <w:r>
                <w:rPr>
                  <w:color w:val="0000FF"/>
                </w:rPr>
                <w:t>7</w:t>
              </w:r>
            </w:hyperlink>
            <w:r>
              <w:t xml:space="preserve">. Коэффициент условий работы по </w:t>
            </w:r>
            <w:hyperlink w:anchor="P6929">
              <w:r>
                <w:rPr>
                  <w:color w:val="0000FF"/>
                </w:rPr>
                <w:t>позиции 7</w:t>
              </w:r>
            </w:hyperlink>
            <w:r>
              <w:t xml:space="preserve"> в соответствующих случаях применяют совместно с коэффициентами по </w:t>
            </w:r>
            <w:hyperlink w:anchor="P6915">
              <w:r>
                <w:rPr>
                  <w:color w:val="0000FF"/>
                </w:rPr>
                <w:t>позициям 4</w:t>
              </w:r>
            </w:hyperlink>
            <w:r>
              <w:t xml:space="preserve"> - </w:t>
            </w:r>
            <w:hyperlink w:anchor="P6919">
              <w:r>
                <w:rPr>
                  <w:color w:val="0000FF"/>
                </w:rPr>
                <w:t>6</w:t>
              </w:r>
            </w:hyperlink>
            <w:r>
              <w:t>.</w:t>
            </w:r>
          </w:p>
        </w:tc>
      </w:tr>
      <w:tr w:rsidR="00212513">
        <w:tblPrEx>
          <w:tblBorders>
            <w:insideH w:val="nil"/>
          </w:tblBorders>
        </w:tblPrEx>
        <w:tc>
          <w:tcPr>
            <w:tcW w:w="9071" w:type="dxa"/>
            <w:gridSpan w:val="2"/>
            <w:tcBorders>
              <w:top w:val="nil"/>
            </w:tcBorders>
          </w:tcPr>
          <w:p w:rsidR="00212513" w:rsidRDefault="00212513">
            <w:pPr>
              <w:pStyle w:val="ConsPlusNormal"/>
              <w:jc w:val="both"/>
            </w:pPr>
            <w:r>
              <w:lastRenderedPageBreak/>
              <w:t xml:space="preserve">(примечания в ред. </w:t>
            </w:r>
            <w:hyperlink r:id="rId1584">
              <w:r>
                <w:rPr>
                  <w:color w:val="0000FF"/>
                </w:rPr>
                <w:t>Изменения N 1</w:t>
              </w:r>
            </w:hyperlink>
            <w:r>
              <w:t>, утв. Приказом Минстроя России от 03.12.2016 N 879/пр)</w:t>
            </w:r>
          </w:p>
        </w:tc>
      </w:tr>
    </w:tbl>
    <w:p w:rsidR="00212513" w:rsidRDefault="00212513">
      <w:pPr>
        <w:pStyle w:val="ConsPlusNormal"/>
        <w:ind w:firstLine="540"/>
        <w:jc w:val="both"/>
      </w:pPr>
    </w:p>
    <w:p w:rsidR="00212513" w:rsidRDefault="00212513">
      <w:pPr>
        <w:pStyle w:val="ConsPlusTitle"/>
        <w:ind w:firstLine="540"/>
        <w:jc w:val="both"/>
        <w:outlineLvl w:val="3"/>
      </w:pPr>
      <w:r>
        <w:t>Расчеты</w:t>
      </w:r>
    </w:p>
    <w:p w:rsidR="00212513" w:rsidRDefault="00212513">
      <w:pPr>
        <w:pStyle w:val="ConsPlusNormal"/>
        <w:jc w:val="center"/>
      </w:pPr>
    </w:p>
    <w:p w:rsidR="00212513" w:rsidRDefault="00212513">
      <w:pPr>
        <w:pStyle w:val="ConsPlusTitle"/>
        <w:ind w:firstLine="540"/>
        <w:jc w:val="both"/>
        <w:outlineLvl w:val="3"/>
      </w:pPr>
      <w:r>
        <w:t>Общие положения</w:t>
      </w:r>
    </w:p>
    <w:p w:rsidR="00212513" w:rsidRDefault="00212513">
      <w:pPr>
        <w:pStyle w:val="ConsPlusNormal"/>
        <w:ind w:firstLine="540"/>
        <w:jc w:val="both"/>
      </w:pPr>
    </w:p>
    <w:p w:rsidR="00212513" w:rsidRDefault="00212513">
      <w:pPr>
        <w:pStyle w:val="ConsPlusNormal"/>
        <w:ind w:firstLine="540"/>
        <w:jc w:val="both"/>
      </w:pPr>
      <w:r>
        <w:t>8.20 Расчетную схему конструкции следует принимать в соответствии с ее проектной геометрической схемой, при этом строительный подъем и деформации под нагрузкой допускается не учитывать (кроме пилонов вантово-балочных мостов).</w:t>
      </w:r>
    </w:p>
    <w:p w:rsidR="00212513" w:rsidRDefault="00212513">
      <w:pPr>
        <w:pStyle w:val="ConsPlusNormal"/>
        <w:spacing w:before="220"/>
        <w:ind w:firstLine="540"/>
        <w:jc w:val="both"/>
      </w:pPr>
      <w:r>
        <w:t>Усилия в элементах и перемещения стальных мостовых конструкций определяются из условия их работы с сечениями брутто.</w:t>
      </w:r>
    </w:p>
    <w:p w:rsidR="00212513" w:rsidRDefault="00212513">
      <w:pPr>
        <w:pStyle w:val="ConsPlusNormal"/>
        <w:spacing w:before="220"/>
        <w:ind w:firstLine="540"/>
        <w:jc w:val="both"/>
      </w:pPr>
      <w:r>
        <w:t>Геометрическую нелинейность, вызванную перемещением элементов конструкций, следует учитывать при расчете систем, в которых ее учет вызывает изменение усилий и перемещений более чем на 5%. При выполнении расчетов с учетом геометрической нелинейности следует определять изменения в направлении действия сил, связанные с общими деформациями системы (следящий эффект).</w:t>
      </w:r>
    </w:p>
    <w:p w:rsidR="00212513" w:rsidRDefault="00212513">
      <w:pPr>
        <w:pStyle w:val="ConsPlusNormal"/>
        <w:jc w:val="both"/>
      </w:pPr>
      <w:r>
        <w:t xml:space="preserve">(в ред. </w:t>
      </w:r>
      <w:hyperlink r:id="rId1585">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При определении усилий в элементах конструкций соединения сварные и фрикционные на высокопрочных болтах допускается рассматривать как неподатливые.</w:t>
      </w:r>
    </w:p>
    <w:p w:rsidR="00212513" w:rsidRDefault="00212513">
      <w:pPr>
        <w:pStyle w:val="ConsPlusNormal"/>
        <w:spacing w:before="220"/>
        <w:ind w:firstLine="540"/>
        <w:jc w:val="both"/>
      </w:pPr>
      <w:r>
        <w:t xml:space="preserve">При расчете вантовых и висячих мостов с гибкими несущими элементами из витых канатов с металлическим сердечником - одинарной свивки и закрытых несущих, подвергнутых предварительной вытяжке согласно </w:t>
      </w:r>
      <w:hyperlink w:anchor="P6122">
        <w:r>
          <w:rPr>
            <w:color w:val="0000FF"/>
          </w:rPr>
          <w:t>8.6</w:t>
        </w:r>
      </w:hyperlink>
      <w:r>
        <w:t xml:space="preserve">, - надлежит учитывать их продольную и поперечную ползучесть в соответствии с указаниями </w:t>
      </w:r>
      <w:hyperlink w:anchor="P7573">
        <w:r>
          <w:rPr>
            <w:color w:val="0000FF"/>
          </w:rPr>
          <w:t>8.34</w:t>
        </w:r>
      </w:hyperlink>
      <w:r>
        <w:t xml:space="preserve"> и </w:t>
      </w:r>
      <w:hyperlink w:anchor="P7582">
        <w:r>
          <w:rPr>
            <w:color w:val="0000FF"/>
          </w:rPr>
          <w:t>8.35</w:t>
        </w:r>
      </w:hyperlink>
      <w:r>
        <w:t>.</w:t>
      </w:r>
    </w:p>
    <w:p w:rsidR="00212513" w:rsidRDefault="00212513">
      <w:pPr>
        <w:pStyle w:val="ConsPlusNormal"/>
        <w:spacing w:before="220"/>
        <w:ind w:firstLine="540"/>
        <w:jc w:val="both"/>
      </w:pPr>
      <w:r>
        <w:t>8.21 Жесткие соединения элементов в узлах решетчатых ферм допускается принимать при расчете шарнирными, если при таком допущении конструкция сохраняет свою неизменяемость, при этом для главных ферм отношение высоты сечения к длине элементов не должно, как правило, превышать 1:15.</w:t>
      </w:r>
    </w:p>
    <w:p w:rsidR="00212513" w:rsidRDefault="00212513">
      <w:pPr>
        <w:pStyle w:val="ConsPlusNormal"/>
        <w:spacing w:before="220"/>
        <w:ind w:firstLine="540"/>
        <w:jc w:val="both"/>
      </w:pPr>
      <w:r>
        <w:t>Дополнительные напряжения в поясах ферм от деформации подвесок следует учитывать независимо от отношения высоты сечения к длине элемента пояса.</w:t>
      </w:r>
    </w:p>
    <w:p w:rsidR="00212513" w:rsidRDefault="00212513">
      <w:pPr>
        <w:pStyle w:val="ConsPlusNormal"/>
        <w:spacing w:before="220"/>
        <w:ind w:firstLine="540"/>
        <w:jc w:val="both"/>
      </w:pPr>
      <w:r>
        <w:t>Учет жесткости узлов в решетчатых фермах допускается осуществлять приближенными методами, при этом допускается определение осевых усилий выполнять по шарнирной расчетной схеме.</w:t>
      </w:r>
    </w:p>
    <w:p w:rsidR="00212513" w:rsidRDefault="00212513">
      <w:pPr>
        <w:pStyle w:val="ConsPlusNormal"/>
        <w:spacing w:before="220"/>
        <w:ind w:firstLine="540"/>
        <w:jc w:val="both"/>
      </w:pPr>
      <w:bookmarkStart w:id="299" w:name="P6951"/>
      <w:bookmarkEnd w:id="299"/>
      <w:r>
        <w:t>8.22 За ось элемента пролетных строений принимается линия, соединяющая центры тяжести его сечений. При определении положения центра тяжести сечения его ослабление отверстиями болтовых соединений не учитывается, а ослабление перфораций учитывается и принимается постоянным по всей длине элемента. При смещении оси элемента сквозных ферм относительно линии, соединяющей центры узлов, эксцентриситет следует учитывать в расчете, если он превосходит:</w:t>
      </w:r>
    </w:p>
    <w:p w:rsidR="00212513" w:rsidRDefault="00212513">
      <w:pPr>
        <w:pStyle w:val="ConsPlusNormal"/>
        <w:spacing w:before="220"/>
        <w:ind w:firstLine="540"/>
        <w:jc w:val="both"/>
      </w:pPr>
      <w:r>
        <w:t xml:space="preserve">для П-образных, коробчатых, двухшвеллерных и двутавровых элементов - 1,5% высоты </w:t>
      </w:r>
      <w:r>
        <w:lastRenderedPageBreak/>
        <w:t>сечения;</w:t>
      </w:r>
    </w:p>
    <w:p w:rsidR="00212513" w:rsidRDefault="00212513">
      <w:pPr>
        <w:pStyle w:val="ConsPlusNormal"/>
        <w:spacing w:before="220"/>
        <w:ind w:firstLine="540"/>
        <w:jc w:val="both"/>
      </w:pPr>
      <w:r>
        <w:t>для тавровых и Н-образных элементов - 0,7% высоты сечения.</w:t>
      </w:r>
    </w:p>
    <w:p w:rsidR="00212513" w:rsidRDefault="00212513">
      <w:pPr>
        <w:pStyle w:val="ConsPlusNormal"/>
        <w:spacing w:before="220"/>
        <w:ind w:firstLine="540"/>
        <w:jc w:val="both"/>
      </w:pPr>
      <w:r>
        <w:t>Изгибающие моменты от смещения осей элементов распределяются между всеми сходящимися в узле элементами пропорционально их жесткости и обратно пропорционально длине. При этом каждый изгибающий момент следует принимать равным произведению эксцентриситета на максимальное значение усилия в данном элементе в основной расчетной схеме.</w:t>
      </w:r>
    </w:p>
    <w:p w:rsidR="00212513" w:rsidRDefault="00212513">
      <w:pPr>
        <w:pStyle w:val="ConsPlusNormal"/>
        <w:spacing w:before="220"/>
        <w:ind w:firstLine="540"/>
        <w:jc w:val="both"/>
      </w:pPr>
      <w:r>
        <w:t>В элементах связей из уголков с болтовыми соединениями, центрированных по рискам, ближайшим к обушку, допускается возникающий при этом эксцентриситет не учитывать.</w:t>
      </w:r>
    </w:p>
    <w:p w:rsidR="00212513" w:rsidRDefault="00212513">
      <w:pPr>
        <w:pStyle w:val="ConsPlusNormal"/>
        <w:spacing w:before="220"/>
        <w:ind w:firstLine="540"/>
        <w:jc w:val="both"/>
      </w:pPr>
      <w:r>
        <w:t>8.23 Распределение временной нагрузки в элементах многобалочных пролетных строений со сплошными главными балками, объединенными жесткими поперечными связями, при отношении длины пролета к ширине свыше 4 допускается определять по теории тонкостенных стержней, принимая при этом гипотезу о недеформируемости контура поперечного сечения балки. В остальных случаях следует учитывать деформации контура поперечного сечения.</w:t>
      </w:r>
    </w:p>
    <w:p w:rsidR="00212513" w:rsidRDefault="00212513">
      <w:pPr>
        <w:pStyle w:val="ConsPlusNormal"/>
        <w:spacing w:before="220"/>
        <w:ind w:firstLine="540"/>
        <w:jc w:val="both"/>
      </w:pPr>
      <w:bookmarkStart w:id="300" w:name="P6957"/>
      <w:bookmarkEnd w:id="300"/>
      <w:r>
        <w:t>8.24 При проектировании необходимо обеспечивать пространственную неизменяемость, прочность, общую и местную устойчивость пролетных строений и опор в целом, блоков, отдельных элементов, их частей, деталей и соединений под воздействием нагрузок, возникающих при изготовлении, транспортировании и монтаже, под воздействием эксплуатационных нагрузок, и выносливость.</w:t>
      </w:r>
    </w:p>
    <w:p w:rsidR="00212513" w:rsidRDefault="00212513">
      <w:pPr>
        <w:pStyle w:val="ConsPlusNormal"/>
        <w:spacing w:before="220"/>
        <w:ind w:firstLine="540"/>
        <w:jc w:val="both"/>
      </w:pPr>
      <w:r>
        <w:t>Для элементов, ослабленных отверстиями под обычные болты, при расчетах на прочность и выносливость следует принимать сечения нетто, на устойчивость и жесткость - сечения брутто.</w:t>
      </w:r>
    </w:p>
    <w:p w:rsidR="00212513" w:rsidRDefault="00212513">
      <w:pPr>
        <w:pStyle w:val="ConsPlusNormal"/>
        <w:spacing w:before="220"/>
        <w:ind w:firstLine="540"/>
        <w:jc w:val="both"/>
      </w:pPr>
      <w:r>
        <w:t>При расчетах элементов с фрикционными соединениями на высокопрочных болтах на выносливость, устойчивость и жесткость следует принимать сечения брутто, при расчетах по прочности - сечения нетто с учетом того, что половина усилия, приходящегося на данный болт, в рассматриваемом сечении уже передана силами трения.</w:t>
      </w:r>
    </w:p>
    <w:p w:rsidR="00212513" w:rsidRDefault="00212513">
      <w:pPr>
        <w:pStyle w:val="ConsPlusNormal"/>
        <w:spacing w:before="220"/>
        <w:ind w:firstLine="540"/>
        <w:jc w:val="both"/>
      </w:pPr>
      <w:r>
        <w:t>Геометрические характеристики сечения нетто элементов конструкций следует находить, определяя наиболее невыгодное ослабление.</w:t>
      </w:r>
    </w:p>
    <w:p w:rsidR="00212513" w:rsidRDefault="00212513">
      <w:pPr>
        <w:pStyle w:val="ConsPlusNormal"/>
        <w:ind w:firstLine="540"/>
        <w:jc w:val="both"/>
      </w:pPr>
    </w:p>
    <w:p w:rsidR="00212513" w:rsidRDefault="00212513">
      <w:pPr>
        <w:pStyle w:val="ConsPlusTitle"/>
        <w:ind w:firstLine="540"/>
        <w:jc w:val="both"/>
        <w:outlineLvl w:val="3"/>
      </w:pPr>
      <w:r>
        <w:t>Расчеты по прочности</w:t>
      </w:r>
    </w:p>
    <w:p w:rsidR="00212513" w:rsidRDefault="00212513">
      <w:pPr>
        <w:pStyle w:val="ConsPlusNormal"/>
        <w:jc w:val="center"/>
      </w:pPr>
    </w:p>
    <w:p w:rsidR="00212513" w:rsidRDefault="00212513">
      <w:pPr>
        <w:pStyle w:val="ConsPlusTitle"/>
        <w:ind w:firstLine="540"/>
        <w:jc w:val="both"/>
        <w:outlineLvl w:val="3"/>
      </w:pPr>
      <w:r>
        <w:t>Центрально-растянутые и центрально-сжатые элементы</w:t>
      </w:r>
    </w:p>
    <w:p w:rsidR="00212513" w:rsidRDefault="00212513">
      <w:pPr>
        <w:pStyle w:val="ConsPlusNormal"/>
        <w:jc w:val="center"/>
      </w:pPr>
    </w:p>
    <w:p w:rsidR="00212513" w:rsidRDefault="00212513">
      <w:pPr>
        <w:pStyle w:val="ConsPlusNormal"/>
        <w:ind w:firstLine="540"/>
        <w:jc w:val="both"/>
      </w:pPr>
      <w:r>
        <w:t>8.25 Расчет по прочности элементов, подверженных центральному растяжению или сжатию силой N, следует выполнять по формуле</w:t>
      </w:r>
    </w:p>
    <w:p w:rsidR="00212513" w:rsidRDefault="00212513">
      <w:pPr>
        <w:pStyle w:val="ConsPlusNormal"/>
        <w:ind w:firstLine="540"/>
        <w:jc w:val="both"/>
      </w:pPr>
    </w:p>
    <w:p w:rsidR="00212513" w:rsidRDefault="00212513">
      <w:pPr>
        <w:pStyle w:val="ConsPlusNormal"/>
        <w:jc w:val="center"/>
      </w:pPr>
      <w:bookmarkStart w:id="301" w:name="P6968"/>
      <w:bookmarkEnd w:id="301"/>
      <w:r>
        <w:rPr>
          <w:noProof/>
          <w:position w:val="-26"/>
        </w:rPr>
        <w:drawing>
          <wp:inline distT="0" distB="0" distL="0" distR="0">
            <wp:extent cx="704850" cy="470535"/>
            <wp:effectExtent l="0" t="0" r="0" b="0"/>
            <wp:docPr id="9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6" cstate="print">
                      <a:extLst>
                        <a:ext uri="{28A0092B-C50C-407E-A947-70E740481C1C}">
                          <a14:useLocalDpi xmlns:a14="http://schemas.microsoft.com/office/drawing/2010/main" val="0"/>
                        </a:ext>
                      </a:extLst>
                    </a:blip>
                    <a:srcRect/>
                    <a:stretch>
                      <a:fillRect/>
                    </a:stretch>
                  </pic:blipFill>
                  <pic:spPr bwMode="auto">
                    <a:xfrm>
                      <a:off x="0" y="0"/>
                      <a:ext cx="704850" cy="470535"/>
                    </a:xfrm>
                    <a:prstGeom prst="rect">
                      <a:avLst/>
                    </a:prstGeom>
                    <a:noFill/>
                    <a:ln>
                      <a:noFill/>
                    </a:ln>
                  </pic:spPr>
                </pic:pic>
              </a:graphicData>
            </a:graphic>
          </wp:inline>
        </w:drawing>
      </w:r>
      <w:r>
        <w:t>. (8.4)</w:t>
      </w:r>
    </w:p>
    <w:p w:rsidR="00212513" w:rsidRDefault="00212513">
      <w:pPr>
        <w:pStyle w:val="ConsPlusNormal"/>
        <w:ind w:firstLine="540"/>
        <w:jc w:val="both"/>
      </w:pPr>
    </w:p>
    <w:p w:rsidR="00212513" w:rsidRDefault="00212513">
      <w:pPr>
        <w:pStyle w:val="ConsPlusNormal"/>
        <w:ind w:firstLine="540"/>
        <w:jc w:val="both"/>
      </w:pPr>
      <w:r>
        <w:t xml:space="preserve">Здесь и в </w:t>
      </w:r>
      <w:hyperlink w:anchor="P6974">
        <w:r>
          <w:rPr>
            <w:color w:val="0000FF"/>
          </w:rPr>
          <w:t>8.26</w:t>
        </w:r>
      </w:hyperlink>
      <w:r>
        <w:t xml:space="preserve"> - </w:t>
      </w:r>
      <w:hyperlink w:anchor="P7520">
        <w:r>
          <w:rPr>
            <w:color w:val="0000FF"/>
          </w:rPr>
          <w:t>8.32</w:t>
        </w:r>
      </w:hyperlink>
      <w:r>
        <w:t xml:space="preserve"> </w:t>
      </w:r>
      <w:r>
        <w:rPr>
          <w:i/>
        </w:rPr>
        <w:t>m</w:t>
      </w:r>
      <w:r>
        <w:t xml:space="preserve"> - коэффициент условий работы, принимаемый по </w:t>
      </w:r>
      <w:hyperlink w:anchor="P6905">
        <w:r>
          <w:rPr>
            <w:color w:val="0000FF"/>
          </w:rPr>
          <w:t>таблице 8.15</w:t>
        </w:r>
      </w:hyperlink>
      <w:r>
        <w:t>.</w:t>
      </w:r>
    </w:p>
    <w:p w:rsidR="00212513" w:rsidRDefault="00212513">
      <w:pPr>
        <w:pStyle w:val="ConsPlusNormal"/>
        <w:ind w:firstLine="540"/>
        <w:jc w:val="both"/>
      </w:pPr>
    </w:p>
    <w:p w:rsidR="00212513" w:rsidRDefault="00212513">
      <w:pPr>
        <w:pStyle w:val="ConsPlusTitle"/>
        <w:ind w:firstLine="540"/>
        <w:jc w:val="both"/>
        <w:outlineLvl w:val="3"/>
      </w:pPr>
      <w:r>
        <w:t>Изгибаемые элементы</w:t>
      </w:r>
    </w:p>
    <w:p w:rsidR="00212513" w:rsidRDefault="00212513">
      <w:pPr>
        <w:pStyle w:val="ConsPlusNormal"/>
        <w:ind w:firstLine="540"/>
        <w:jc w:val="both"/>
      </w:pPr>
    </w:p>
    <w:p w:rsidR="00212513" w:rsidRDefault="00212513">
      <w:pPr>
        <w:pStyle w:val="ConsPlusNormal"/>
        <w:ind w:firstLine="540"/>
        <w:jc w:val="both"/>
      </w:pPr>
      <w:bookmarkStart w:id="302" w:name="P6974"/>
      <w:bookmarkEnd w:id="302"/>
      <w:r>
        <w:t>8.26 Расчет по прочности элементов, изгибаемых в одной из главных плоскостей, следует выполнять по формуле</w:t>
      </w:r>
    </w:p>
    <w:p w:rsidR="00212513" w:rsidRDefault="00212513">
      <w:pPr>
        <w:pStyle w:val="ConsPlusNormal"/>
        <w:ind w:firstLine="540"/>
        <w:jc w:val="both"/>
      </w:pPr>
    </w:p>
    <w:p w:rsidR="00212513" w:rsidRDefault="00212513">
      <w:pPr>
        <w:pStyle w:val="ConsPlusNormal"/>
        <w:jc w:val="center"/>
      </w:pPr>
      <w:bookmarkStart w:id="303" w:name="P6976"/>
      <w:bookmarkEnd w:id="303"/>
      <w:r>
        <w:rPr>
          <w:noProof/>
          <w:position w:val="-26"/>
        </w:rPr>
        <w:lastRenderedPageBreak/>
        <w:drawing>
          <wp:inline distT="0" distB="0" distL="0" distR="0">
            <wp:extent cx="859790" cy="470535"/>
            <wp:effectExtent l="0" t="0" r="0" b="0"/>
            <wp:docPr id="9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7" cstate="print">
                      <a:extLst>
                        <a:ext uri="{28A0092B-C50C-407E-A947-70E740481C1C}">
                          <a14:useLocalDpi xmlns:a14="http://schemas.microsoft.com/office/drawing/2010/main" val="0"/>
                        </a:ext>
                      </a:extLst>
                    </a:blip>
                    <a:srcRect/>
                    <a:stretch>
                      <a:fillRect/>
                    </a:stretch>
                  </pic:blipFill>
                  <pic:spPr bwMode="auto">
                    <a:xfrm>
                      <a:off x="0" y="0"/>
                      <a:ext cx="859790" cy="470535"/>
                    </a:xfrm>
                    <a:prstGeom prst="rect">
                      <a:avLst/>
                    </a:prstGeom>
                    <a:noFill/>
                    <a:ln>
                      <a:noFill/>
                    </a:ln>
                  </pic:spPr>
                </pic:pic>
              </a:graphicData>
            </a:graphic>
          </wp:inline>
        </w:drawing>
      </w:r>
      <w:r>
        <w:t>, (8.5)</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1"/>
        </w:rPr>
        <w:drawing>
          <wp:inline distT="0" distB="0" distL="0" distR="0">
            <wp:extent cx="167640" cy="156845"/>
            <wp:effectExtent l="0" t="0" r="0" b="0"/>
            <wp:docPr id="9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8"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 коэффициент, учитывающий ограниченное развитие пластических деформаций в сечении и определяемый по </w:t>
      </w:r>
      <w:hyperlink w:anchor="P6983">
        <w:r>
          <w:rPr>
            <w:color w:val="0000FF"/>
          </w:rPr>
          <w:t>формулам (8.6)</w:t>
        </w:r>
      </w:hyperlink>
      <w:r>
        <w:t xml:space="preserve"> и </w:t>
      </w:r>
      <w:hyperlink w:anchor="P6987">
        <w:r>
          <w:rPr>
            <w:color w:val="0000FF"/>
          </w:rPr>
          <w:t>(8.7)</w:t>
        </w:r>
      </w:hyperlink>
      <w:r>
        <w:t xml:space="preserve"> при условии выполнения требований </w:t>
      </w:r>
      <w:hyperlink w:anchor="P7520">
        <w:r>
          <w:rPr>
            <w:color w:val="0000FF"/>
          </w:rPr>
          <w:t>8.32</w:t>
        </w:r>
      </w:hyperlink>
      <w:r>
        <w:t>;</w:t>
      </w:r>
    </w:p>
    <w:p w:rsidR="00212513" w:rsidRDefault="00212513">
      <w:pPr>
        <w:pStyle w:val="ConsPlusNormal"/>
        <w:spacing w:before="220"/>
        <w:ind w:firstLine="540"/>
        <w:jc w:val="both"/>
      </w:pPr>
      <w:r>
        <w:rPr>
          <w:noProof/>
          <w:position w:val="-8"/>
        </w:rPr>
        <w:drawing>
          <wp:inline distT="0" distB="0" distL="0" distR="0">
            <wp:extent cx="220980" cy="251460"/>
            <wp:effectExtent l="0" t="0" r="0" b="0"/>
            <wp:docPr id="9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9"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здесь и далее в расчетах по прочности минимальный момент сопротивления сечения нетто, определяемый с учетом эффективной ширины пояса </w:t>
      </w:r>
      <w:r>
        <w:rPr>
          <w:noProof/>
          <w:position w:val="-9"/>
        </w:rPr>
        <w:drawing>
          <wp:inline distT="0" distB="0" distL="0" distR="0">
            <wp:extent cx="220980" cy="262890"/>
            <wp:effectExtent l="0" t="0" r="0" b="0"/>
            <wp:docPr id="9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При одновременном действии в сечении момента </w:t>
      </w:r>
      <w:r>
        <w:rPr>
          <w:i/>
        </w:rPr>
        <w:t>M</w:t>
      </w:r>
      <w:r>
        <w:t xml:space="preserve"> и поперечной силы </w:t>
      </w:r>
      <w:r>
        <w:rPr>
          <w:i/>
        </w:rPr>
        <w:t>Q</w:t>
      </w:r>
      <w:r>
        <w:t xml:space="preserve"> коэффициент </w:t>
      </w:r>
      <w:r>
        <w:rPr>
          <w:noProof/>
          <w:position w:val="-1"/>
        </w:rPr>
        <w:drawing>
          <wp:inline distT="0" distB="0" distL="0" distR="0">
            <wp:extent cx="167640" cy="156845"/>
            <wp:effectExtent l="0" t="0" r="0" b="0"/>
            <wp:docPr id="9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8"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следует определять по формулам:</w:t>
      </w:r>
    </w:p>
    <w:p w:rsidR="00212513" w:rsidRDefault="00212513">
      <w:pPr>
        <w:pStyle w:val="ConsPlusNormal"/>
        <w:spacing w:before="220"/>
        <w:ind w:firstLine="540"/>
        <w:jc w:val="both"/>
      </w:pPr>
      <w:r>
        <w:t>при </w:t>
      </w:r>
      <w:r>
        <w:rPr>
          <w:noProof/>
          <w:position w:val="-8"/>
        </w:rPr>
        <w:drawing>
          <wp:inline distT="0" distB="0" distL="0" distR="0">
            <wp:extent cx="838200" cy="251460"/>
            <wp:effectExtent l="0" t="0" r="0" b="0"/>
            <wp:docPr id="9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1" cstate="print">
                      <a:extLst>
                        <a:ext uri="{28A0092B-C50C-407E-A947-70E740481C1C}">
                          <a14:useLocalDpi xmlns:a14="http://schemas.microsoft.com/office/drawing/2010/main" val="0"/>
                        </a:ext>
                      </a:extLst>
                    </a:blip>
                    <a:srcRect/>
                    <a:stretch>
                      <a:fillRect/>
                    </a:stretch>
                  </pic:blipFill>
                  <pic:spPr bwMode="auto">
                    <a:xfrm>
                      <a:off x="0" y="0"/>
                      <a:ext cx="838200" cy="251460"/>
                    </a:xfrm>
                    <a:prstGeom prst="rect">
                      <a:avLst/>
                    </a:prstGeom>
                    <a:noFill/>
                    <a:ln>
                      <a:noFill/>
                    </a:ln>
                  </pic:spPr>
                </pic:pic>
              </a:graphicData>
            </a:graphic>
          </wp:inline>
        </w:drawing>
      </w:r>
    </w:p>
    <w:p w:rsidR="00212513" w:rsidRDefault="00212513">
      <w:pPr>
        <w:pStyle w:val="ConsPlusNormal"/>
        <w:ind w:firstLine="540"/>
        <w:jc w:val="both"/>
      </w:pPr>
    </w:p>
    <w:p w:rsidR="00212513" w:rsidRDefault="00212513">
      <w:pPr>
        <w:pStyle w:val="ConsPlusNormal"/>
        <w:jc w:val="center"/>
      </w:pPr>
      <w:bookmarkStart w:id="304" w:name="P6983"/>
      <w:bookmarkEnd w:id="304"/>
      <w:r>
        <w:rPr>
          <w:noProof/>
          <w:position w:val="-8"/>
        </w:rPr>
        <w:drawing>
          <wp:inline distT="0" distB="0" distL="0" distR="0">
            <wp:extent cx="483870" cy="251460"/>
            <wp:effectExtent l="0" t="0" r="0" b="0"/>
            <wp:docPr id="9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2" cstate="print">
                      <a:extLst>
                        <a:ext uri="{28A0092B-C50C-407E-A947-70E740481C1C}">
                          <a14:useLocalDpi xmlns:a14="http://schemas.microsoft.com/office/drawing/2010/main" val="0"/>
                        </a:ext>
                      </a:extLst>
                    </a:blip>
                    <a:srcRect/>
                    <a:stretch>
                      <a:fillRect/>
                    </a:stretch>
                  </pic:blipFill>
                  <pic:spPr bwMode="auto">
                    <a:xfrm>
                      <a:off x="0" y="0"/>
                      <a:ext cx="483870" cy="251460"/>
                    </a:xfrm>
                    <a:prstGeom prst="rect">
                      <a:avLst/>
                    </a:prstGeom>
                    <a:noFill/>
                    <a:ln>
                      <a:noFill/>
                    </a:ln>
                  </pic:spPr>
                </pic:pic>
              </a:graphicData>
            </a:graphic>
          </wp:inline>
        </w:drawing>
      </w:r>
      <w:r>
        <w:t>; (8.6)</w:t>
      </w:r>
    </w:p>
    <w:p w:rsidR="00212513" w:rsidRDefault="00212513">
      <w:pPr>
        <w:pStyle w:val="ConsPlusNormal"/>
        <w:ind w:firstLine="540"/>
        <w:jc w:val="both"/>
      </w:pPr>
    </w:p>
    <w:p w:rsidR="00212513" w:rsidRDefault="00212513">
      <w:pPr>
        <w:pStyle w:val="ConsPlusNormal"/>
        <w:ind w:firstLine="540"/>
        <w:jc w:val="both"/>
      </w:pPr>
      <w:r>
        <w:t>при </w:t>
      </w:r>
      <w:r>
        <w:rPr>
          <w:noProof/>
          <w:position w:val="-8"/>
        </w:rPr>
        <w:drawing>
          <wp:inline distT="0" distB="0" distL="0" distR="0">
            <wp:extent cx="1148080" cy="251460"/>
            <wp:effectExtent l="0" t="0" r="0" b="0"/>
            <wp:docPr id="9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3" cstate="print">
                      <a:extLst>
                        <a:ext uri="{28A0092B-C50C-407E-A947-70E740481C1C}">
                          <a14:useLocalDpi xmlns:a14="http://schemas.microsoft.com/office/drawing/2010/main" val="0"/>
                        </a:ext>
                      </a:extLst>
                    </a:blip>
                    <a:srcRect/>
                    <a:stretch>
                      <a:fillRect/>
                    </a:stretch>
                  </pic:blipFill>
                  <pic:spPr bwMode="auto">
                    <a:xfrm>
                      <a:off x="0" y="0"/>
                      <a:ext cx="1148080" cy="251460"/>
                    </a:xfrm>
                    <a:prstGeom prst="rect">
                      <a:avLst/>
                    </a:prstGeom>
                    <a:noFill/>
                    <a:ln>
                      <a:noFill/>
                    </a:ln>
                  </pic:spPr>
                </pic:pic>
              </a:graphicData>
            </a:graphic>
          </wp:inline>
        </w:drawing>
      </w:r>
    </w:p>
    <w:p w:rsidR="00212513" w:rsidRDefault="00212513">
      <w:pPr>
        <w:pStyle w:val="ConsPlusNormal"/>
        <w:ind w:firstLine="540"/>
        <w:jc w:val="both"/>
      </w:pPr>
    </w:p>
    <w:p w:rsidR="00212513" w:rsidRDefault="00212513">
      <w:pPr>
        <w:pStyle w:val="ConsPlusNormal"/>
        <w:jc w:val="center"/>
      </w:pPr>
      <w:bookmarkStart w:id="305" w:name="P6987"/>
      <w:bookmarkEnd w:id="305"/>
      <w:r>
        <w:rPr>
          <w:noProof/>
          <w:position w:val="-27"/>
        </w:rPr>
        <w:drawing>
          <wp:inline distT="0" distB="0" distL="0" distR="0">
            <wp:extent cx="1466850" cy="483870"/>
            <wp:effectExtent l="0" t="0" r="0" b="0"/>
            <wp:docPr id="9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466850" cy="483870"/>
                    </a:xfrm>
                    <a:prstGeom prst="rect">
                      <a:avLst/>
                    </a:prstGeom>
                    <a:noFill/>
                    <a:ln>
                      <a:noFill/>
                    </a:ln>
                  </pic:spPr>
                </pic:pic>
              </a:graphicData>
            </a:graphic>
          </wp:inline>
        </w:drawing>
      </w:r>
      <w:r>
        <w:t xml:space="preserve"> при </w:t>
      </w:r>
      <w:r>
        <w:rPr>
          <w:noProof/>
          <w:position w:val="-8"/>
        </w:rPr>
        <w:drawing>
          <wp:inline distT="0" distB="0" distL="0" distR="0">
            <wp:extent cx="733425" cy="251460"/>
            <wp:effectExtent l="0" t="0" r="0" b="0"/>
            <wp:docPr id="9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733425" cy="251460"/>
                    </a:xfrm>
                    <a:prstGeom prst="rect">
                      <a:avLst/>
                    </a:prstGeom>
                    <a:noFill/>
                    <a:ln>
                      <a:noFill/>
                    </a:ln>
                  </pic:spPr>
                </pic:pic>
              </a:graphicData>
            </a:graphic>
          </wp:inline>
        </w:drawing>
      </w:r>
      <w:r>
        <w:t>, (8.7)</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8"/>
        </w:rPr>
        <w:drawing>
          <wp:inline distT="0" distB="0" distL="0" distR="0">
            <wp:extent cx="198755" cy="250825"/>
            <wp:effectExtent l="0" t="0" r="0" b="0"/>
            <wp:docPr id="9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коэффициент, принимаемый у двутавровых, коробчатых и тавровых сечений - по </w:t>
      </w:r>
      <w:hyperlink w:anchor="P7009">
        <w:r>
          <w:rPr>
            <w:color w:val="0000FF"/>
          </w:rPr>
          <w:t>таблице 8.16</w:t>
        </w:r>
      </w:hyperlink>
      <w:r>
        <w:t>, для кольцевых сечений - 1,15, для прямоугольных сплошных и Н-образных - 1,25;</w:t>
      </w:r>
    </w:p>
    <w:p w:rsidR="00212513" w:rsidRDefault="00212513">
      <w:pPr>
        <w:pStyle w:val="ConsPlusNormal"/>
        <w:ind w:firstLine="540"/>
        <w:jc w:val="both"/>
      </w:pPr>
    </w:p>
    <w:p w:rsidR="00212513" w:rsidRDefault="00212513">
      <w:pPr>
        <w:pStyle w:val="ConsPlusNormal"/>
        <w:ind w:firstLine="540"/>
        <w:jc w:val="both"/>
      </w:pPr>
      <w:r>
        <w:rPr>
          <w:noProof/>
          <w:position w:val="-26"/>
        </w:rPr>
        <w:drawing>
          <wp:inline distT="0" distB="0" distL="0" distR="0">
            <wp:extent cx="691515" cy="470535"/>
            <wp:effectExtent l="0" t="0" r="0" b="0"/>
            <wp:docPr id="9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7" cstate="print">
                      <a:extLst>
                        <a:ext uri="{28A0092B-C50C-407E-A947-70E740481C1C}">
                          <a14:useLocalDpi xmlns:a14="http://schemas.microsoft.com/office/drawing/2010/main" val="0"/>
                        </a:ext>
                      </a:extLst>
                    </a:blip>
                    <a:srcRect/>
                    <a:stretch>
                      <a:fillRect/>
                    </a:stretch>
                  </pic:blipFill>
                  <pic:spPr bwMode="auto">
                    <a:xfrm>
                      <a:off x="0" y="0"/>
                      <a:ext cx="691515" cy="470535"/>
                    </a:xfrm>
                    <a:prstGeom prst="rect">
                      <a:avLst/>
                    </a:prstGeom>
                    <a:noFill/>
                    <a:ln>
                      <a:noFill/>
                    </a:ln>
                  </pic:spPr>
                </pic:pic>
              </a:graphicData>
            </a:graphic>
          </wp:inline>
        </w:drawing>
      </w:r>
      <w:r>
        <w:t xml:space="preserve"> - среднее касательное напряжение в стенке балки;</w:t>
      </w:r>
    </w:p>
    <w:p w:rsidR="00212513" w:rsidRDefault="00212513">
      <w:pPr>
        <w:pStyle w:val="ConsPlusNormal"/>
        <w:ind w:firstLine="540"/>
        <w:jc w:val="both"/>
      </w:pPr>
    </w:p>
    <w:p w:rsidR="00212513" w:rsidRDefault="00212513">
      <w:pPr>
        <w:pStyle w:val="ConsPlusNormal"/>
        <w:ind w:firstLine="540"/>
        <w:jc w:val="both"/>
      </w:pPr>
      <w:r>
        <w:rPr>
          <w:noProof/>
          <w:position w:val="-26"/>
        </w:rPr>
        <w:drawing>
          <wp:inline distT="0" distB="0" distL="0" distR="0">
            <wp:extent cx="535940" cy="470535"/>
            <wp:effectExtent l="0" t="0" r="0" b="0"/>
            <wp:docPr id="9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8" cstate="print">
                      <a:extLst>
                        <a:ext uri="{28A0092B-C50C-407E-A947-70E740481C1C}">
                          <a14:useLocalDpi xmlns:a14="http://schemas.microsoft.com/office/drawing/2010/main" val="0"/>
                        </a:ext>
                      </a:extLst>
                    </a:blip>
                    <a:srcRect/>
                    <a:stretch>
                      <a:fillRect/>
                    </a:stretch>
                  </pic:blipFill>
                  <pic:spPr bwMode="auto">
                    <a:xfrm>
                      <a:off x="0" y="0"/>
                      <a:ext cx="535940" cy="470535"/>
                    </a:xfrm>
                    <a:prstGeom prst="rect">
                      <a:avLst/>
                    </a:prstGeom>
                    <a:noFill/>
                    <a:ln>
                      <a:noFill/>
                    </a:ln>
                  </pic:spPr>
                </pic:pic>
              </a:graphicData>
            </a:graphic>
          </wp:inline>
        </w:drawing>
      </w:r>
      <w:r>
        <w:t xml:space="preserve">; </w:t>
      </w:r>
      <w:r>
        <w:rPr>
          <w:noProof/>
          <w:position w:val="-31"/>
        </w:rPr>
        <w:drawing>
          <wp:inline distT="0" distB="0" distL="0" distR="0">
            <wp:extent cx="733425" cy="535940"/>
            <wp:effectExtent l="0" t="0" r="0" b="0"/>
            <wp:docPr id="9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733425" cy="535940"/>
                    </a:xfrm>
                    <a:prstGeom prst="rect">
                      <a:avLst/>
                    </a:prstGeom>
                    <a:noFill/>
                    <a:ln>
                      <a:noFill/>
                    </a:ln>
                  </pic:spPr>
                </pic:pic>
              </a:graphicData>
            </a:graphic>
          </wp:inline>
        </w:drawing>
      </w:r>
      <w:r>
        <w:t xml:space="preserve">; </w:t>
      </w:r>
      <w:r>
        <w:rPr>
          <w:noProof/>
          <w:position w:val="-12"/>
        </w:rPr>
        <w:drawing>
          <wp:inline distT="0" distB="0" distL="0" distR="0">
            <wp:extent cx="1105535" cy="293370"/>
            <wp:effectExtent l="0" t="0" r="0" b="0"/>
            <wp:docPr id="9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0" cstate="print">
                      <a:extLst>
                        <a:ext uri="{28A0092B-C50C-407E-A947-70E740481C1C}">
                          <a14:useLocalDpi xmlns:a14="http://schemas.microsoft.com/office/drawing/2010/main" val="0"/>
                        </a:ext>
                      </a:extLst>
                    </a:blip>
                    <a:srcRect/>
                    <a:stretch>
                      <a:fillRect/>
                    </a:stretch>
                  </pic:blipFill>
                  <pic:spPr bwMode="auto">
                    <a:xfrm>
                      <a:off x="0" y="0"/>
                      <a:ext cx="1105535" cy="293370"/>
                    </a:xfrm>
                    <a:prstGeom prst="rect">
                      <a:avLst/>
                    </a:prstGeom>
                    <a:noFill/>
                    <a:ln>
                      <a:noFill/>
                    </a:ln>
                  </pic:spPr>
                </pic:pic>
              </a:graphicData>
            </a:graphic>
          </wp:inline>
        </w:drawing>
      </w:r>
      <w:r>
        <w:t xml:space="preserve"> - для коробчатых сечений;</w:t>
      </w:r>
    </w:p>
    <w:p w:rsidR="00212513" w:rsidRDefault="00212513">
      <w:pPr>
        <w:pStyle w:val="ConsPlusNormal"/>
        <w:ind w:firstLine="540"/>
        <w:jc w:val="both"/>
      </w:pPr>
    </w:p>
    <w:p w:rsidR="00212513" w:rsidRDefault="00212513">
      <w:pPr>
        <w:pStyle w:val="ConsPlusNormal"/>
        <w:ind w:firstLine="540"/>
        <w:jc w:val="both"/>
      </w:pPr>
      <w:r>
        <w:rPr>
          <w:noProof/>
          <w:position w:val="-12"/>
        </w:rPr>
        <w:drawing>
          <wp:inline distT="0" distB="0" distL="0" distR="0">
            <wp:extent cx="1284605" cy="293370"/>
            <wp:effectExtent l="0" t="0" r="0" b="0"/>
            <wp:docPr id="9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1" cstate="print">
                      <a:extLst>
                        <a:ext uri="{28A0092B-C50C-407E-A947-70E740481C1C}">
                          <a14:useLocalDpi xmlns:a14="http://schemas.microsoft.com/office/drawing/2010/main" val="0"/>
                        </a:ext>
                      </a:extLst>
                    </a:blip>
                    <a:srcRect/>
                    <a:stretch>
                      <a:fillRect/>
                    </a:stretch>
                  </pic:blipFill>
                  <pic:spPr bwMode="auto">
                    <a:xfrm>
                      <a:off x="0" y="0"/>
                      <a:ext cx="1284605" cy="293370"/>
                    </a:xfrm>
                    <a:prstGeom prst="rect">
                      <a:avLst/>
                    </a:prstGeom>
                    <a:noFill/>
                    <a:ln>
                      <a:noFill/>
                    </a:ln>
                  </pic:spPr>
                </pic:pic>
              </a:graphicData>
            </a:graphic>
          </wp:inline>
        </w:drawing>
      </w:r>
      <w:r>
        <w:t xml:space="preserve"> - для двутавровых сечений,</w:t>
      </w:r>
    </w:p>
    <w:p w:rsidR="00212513" w:rsidRDefault="00212513">
      <w:pPr>
        <w:pStyle w:val="ConsPlusNormal"/>
        <w:spacing w:before="220"/>
        <w:ind w:firstLine="540"/>
        <w:jc w:val="both"/>
      </w:pPr>
      <w:r>
        <w:t xml:space="preserve">здесь </w:t>
      </w:r>
      <w:r>
        <w:rPr>
          <w:noProof/>
          <w:position w:val="-8"/>
        </w:rPr>
        <w:drawing>
          <wp:inline distT="0" distB="0" distL="0" distR="0">
            <wp:extent cx="209550" cy="251460"/>
            <wp:effectExtent l="0" t="0" r="0" b="0"/>
            <wp:docPr id="9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предельная поперечная сила, определяемая по формуле</w:t>
      </w:r>
    </w:p>
    <w:p w:rsidR="00212513" w:rsidRDefault="00212513">
      <w:pPr>
        <w:pStyle w:val="ConsPlusNormal"/>
        <w:ind w:firstLine="540"/>
        <w:jc w:val="both"/>
      </w:pPr>
    </w:p>
    <w:p w:rsidR="00212513" w:rsidRDefault="00212513">
      <w:pPr>
        <w:pStyle w:val="ConsPlusNormal"/>
        <w:jc w:val="center"/>
      </w:pPr>
      <w:r>
        <w:rPr>
          <w:noProof/>
          <w:position w:val="-28"/>
        </w:rPr>
        <w:drawing>
          <wp:inline distT="0" distB="0" distL="0" distR="0">
            <wp:extent cx="1592580" cy="502920"/>
            <wp:effectExtent l="0" t="0" r="0" b="0"/>
            <wp:docPr id="9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3" cstate="print">
                      <a:extLst>
                        <a:ext uri="{28A0092B-C50C-407E-A947-70E740481C1C}">
                          <a14:useLocalDpi xmlns:a14="http://schemas.microsoft.com/office/drawing/2010/main" val="0"/>
                        </a:ext>
                      </a:extLst>
                    </a:blip>
                    <a:srcRect/>
                    <a:stretch>
                      <a:fillRect/>
                    </a:stretch>
                  </pic:blipFill>
                  <pic:spPr bwMode="auto">
                    <a:xfrm>
                      <a:off x="0" y="0"/>
                      <a:ext cx="1592580" cy="502920"/>
                    </a:xfrm>
                    <a:prstGeom prst="rect">
                      <a:avLst/>
                    </a:prstGeom>
                    <a:noFill/>
                    <a:ln>
                      <a:noFill/>
                    </a:ln>
                  </pic:spPr>
                </pic:pic>
              </a:graphicData>
            </a:graphic>
          </wp:inline>
        </w:drawing>
      </w:r>
      <w:r>
        <w:t xml:space="preserve"> (8.8)</w:t>
      </w:r>
    </w:p>
    <w:p w:rsidR="00212513" w:rsidRDefault="00212513">
      <w:pPr>
        <w:pStyle w:val="ConsPlusNormal"/>
        <w:jc w:val="center"/>
      </w:pPr>
    </w:p>
    <w:p w:rsidR="00212513" w:rsidRDefault="00212513">
      <w:pPr>
        <w:pStyle w:val="ConsPlusNormal"/>
        <w:jc w:val="center"/>
      </w:pPr>
      <w:r>
        <w:t xml:space="preserve">(формула 8.8 в ред. </w:t>
      </w:r>
      <w:hyperlink r:id="rId1604">
        <w:r>
          <w:rPr>
            <w:color w:val="0000FF"/>
          </w:rPr>
          <w:t>Изменения N 4</w:t>
        </w:r>
      </w:hyperlink>
      <w:r>
        <w:t>, утв. Приказом</w:t>
      </w:r>
    </w:p>
    <w:p w:rsidR="00212513" w:rsidRDefault="00212513">
      <w:pPr>
        <w:pStyle w:val="ConsPlusNormal"/>
        <w:jc w:val="center"/>
      </w:pPr>
      <w:r>
        <w:t>Минстроя России от 30.05.2024 N 361/пр)</w:t>
      </w:r>
    </w:p>
    <w:p w:rsidR="00212513" w:rsidRDefault="00212513">
      <w:pPr>
        <w:pStyle w:val="ConsPlusNormal"/>
        <w:jc w:val="center"/>
      </w:pPr>
    </w:p>
    <w:p w:rsidR="00212513" w:rsidRDefault="00212513">
      <w:pPr>
        <w:pStyle w:val="ConsPlusNormal"/>
        <w:ind w:firstLine="540"/>
        <w:jc w:val="both"/>
      </w:pPr>
      <w:r>
        <w:t xml:space="preserve">где </w:t>
      </w:r>
      <w:r>
        <w:rPr>
          <w:noProof/>
          <w:position w:val="-8"/>
        </w:rPr>
        <w:drawing>
          <wp:inline distT="0" distB="0" distL="0" distR="0">
            <wp:extent cx="231140" cy="251460"/>
            <wp:effectExtent l="0" t="0" r="0" b="0"/>
            <wp:docPr id="10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5" cstate="print">
                      <a:extLst>
                        <a:ext uri="{28A0092B-C50C-407E-A947-70E740481C1C}">
                          <a14:useLocalDpi xmlns:a14="http://schemas.microsoft.com/office/drawing/2010/main" val="0"/>
                        </a:ext>
                      </a:extLst>
                    </a:blip>
                    <a:srcRect/>
                    <a:stretch>
                      <a:fillRect/>
                    </a:stretch>
                  </pic:blipFill>
                  <pic:spPr bwMode="auto">
                    <a:xfrm>
                      <a:off x="0" y="0"/>
                      <a:ext cx="231140" cy="251460"/>
                    </a:xfrm>
                    <a:prstGeom prst="rect">
                      <a:avLst/>
                    </a:prstGeom>
                    <a:noFill/>
                    <a:ln>
                      <a:noFill/>
                    </a:ln>
                  </pic:spPr>
                </pic:pic>
              </a:graphicData>
            </a:graphic>
          </wp:inline>
        </w:drawing>
      </w:r>
      <w:r>
        <w:t xml:space="preserve"> - принимается по </w:t>
      </w:r>
      <w:hyperlink w:anchor="P7504">
        <w:r>
          <w:rPr>
            <w:color w:val="0000FF"/>
          </w:rPr>
          <w:t>формуле (8.27)</w:t>
        </w:r>
      </w:hyperlink>
      <w:r>
        <w:t>;</w:t>
      </w:r>
    </w:p>
    <w:p w:rsidR="00212513" w:rsidRDefault="00212513">
      <w:pPr>
        <w:pStyle w:val="ConsPlusNormal"/>
        <w:spacing w:before="220"/>
        <w:ind w:firstLine="540"/>
        <w:jc w:val="both"/>
      </w:pPr>
      <w:r>
        <w:rPr>
          <w:i/>
        </w:rPr>
        <w:t>I</w:t>
      </w:r>
      <w:r>
        <w:rPr>
          <w:vertAlign w:val="subscript"/>
        </w:rPr>
        <w:t>бр</w:t>
      </w:r>
      <w:r>
        <w:t xml:space="preserve"> - момент инерции сечения брутто;</w:t>
      </w:r>
    </w:p>
    <w:p w:rsidR="00212513" w:rsidRDefault="00212513">
      <w:pPr>
        <w:pStyle w:val="ConsPlusNormal"/>
        <w:spacing w:before="220"/>
        <w:ind w:firstLine="540"/>
        <w:jc w:val="both"/>
      </w:pPr>
      <w:r>
        <w:rPr>
          <w:i/>
        </w:rPr>
        <w:t>t</w:t>
      </w:r>
      <w:r>
        <w:rPr>
          <w:vertAlign w:val="subscript"/>
        </w:rPr>
        <w:t>2</w:t>
      </w:r>
      <w:r>
        <w:t xml:space="preserve"> - толщина стенки рассчитываемого элемента в рассматриваемом сечении;</w:t>
      </w:r>
    </w:p>
    <w:p w:rsidR="00212513" w:rsidRDefault="00212513">
      <w:pPr>
        <w:pStyle w:val="ConsPlusNormal"/>
        <w:spacing w:before="220"/>
        <w:ind w:firstLine="540"/>
        <w:jc w:val="both"/>
      </w:pPr>
      <w:r>
        <w:rPr>
          <w:i/>
        </w:rPr>
        <w:lastRenderedPageBreak/>
        <w:t>S</w:t>
      </w:r>
      <w:r>
        <w:rPr>
          <w:vertAlign w:val="subscript"/>
        </w:rPr>
        <w:t>бр</w:t>
      </w:r>
      <w:r>
        <w:t xml:space="preserve"> - статический момент части сечения брутто относительно центральной нейтральной оси.</w:t>
      </w:r>
    </w:p>
    <w:p w:rsidR="00212513" w:rsidRDefault="00212513">
      <w:pPr>
        <w:pStyle w:val="ConsPlusNormal"/>
        <w:jc w:val="both"/>
      </w:pPr>
      <w:r>
        <w:t xml:space="preserve">(в ред. </w:t>
      </w:r>
      <w:hyperlink r:id="rId1606">
        <w:r>
          <w:rPr>
            <w:color w:val="0000FF"/>
          </w:rPr>
          <w:t>Изменения N 4</w:t>
        </w:r>
      </w:hyperlink>
      <w:r>
        <w:t>, утв. Приказом Минстроя России от 30.05.2024 N 361/пр)</w:t>
      </w:r>
    </w:p>
    <w:p w:rsidR="00212513" w:rsidRDefault="00212513">
      <w:pPr>
        <w:pStyle w:val="ConsPlusNormal"/>
        <w:ind w:firstLine="540"/>
        <w:jc w:val="both"/>
      </w:pPr>
    </w:p>
    <w:p w:rsidR="00212513" w:rsidRDefault="00212513">
      <w:pPr>
        <w:pStyle w:val="ConsPlusNormal"/>
        <w:jc w:val="right"/>
      </w:pPr>
      <w:bookmarkStart w:id="306" w:name="P7009"/>
      <w:bookmarkEnd w:id="306"/>
      <w:r>
        <w:t>Таблица 8.16</w:t>
      </w:r>
    </w:p>
    <w:p w:rsidR="00212513" w:rsidRDefault="00212513">
      <w:pPr>
        <w:pStyle w:val="ConsPlusNormal"/>
        <w:ind w:firstLine="540"/>
        <w:jc w:val="both"/>
      </w:pPr>
    </w:p>
    <w:p w:rsidR="00212513" w:rsidRDefault="00212513">
      <w:pPr>
        <w:pStyle w:val="ConsPlusNormal"/>
        <w:sectPr w:rsidR="00212513">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21"/>
        <w:gridCol w:w="921"/>
        <w:gridCol w:w="921"/>
        <w:gridCol w:w="921"/>
        <w:gridCol w:w="921"/>
        <w:gridCol w:w="921"/>
        <w:gridCol w:w="921"/>
        <w:gridCol w:w="921"/>
        <w:gridCol w:w="921"/>
        <w:gridCol w:w="921"/>
        <w:gridCol w:w="921"/>
        <w:gridCol w:w="928"/>
      </w:tblGrid>
      <w:tr w:rsidR="00212513">
        <w:tc>
          <w:tcPr>
            <w:tcW w:w="921" w:type="dxa"/>
            <w:vMerge w:val="restart"/>
            <w:vAlign w:val="center"/>
          </w:tcPr>
          <w:p w:rsidR="00212513" w:rsidRDefault="00212513">
            <w:pPr>
              <w:pStyle w:val="ConsPlusNormal"/>
              <w:jc w:val="center"/>
            </w:pPr>
            <w:r>
              <w:rPr>
                <w:noProof/>
                <w:position w:val="-28"/>
              </w:rPr>
              <w:lastRenderedPageBreak/>
              <w:drawing>
                <wp:inline distT="0" distB="0" distL="0" distR="0">
                  <wp:extent cx="461010" cy="502920"/>
                  <wp:effectExtent l="0" t="0" r="0" b="0"/>
                  <wp:docPr id="10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7" cstate="print">
                            <a:extLst>
                              <a:ext uri="{28A0092B-C50C-407E-A947-70E740481C1C}">
                                <a14:useLocalDpi xmlns:a14="http://schemas.microsoft.com/office/drawing/2010/main" val="0"/>
                              </a:ext>
                            </a:extLst>
                          </a:blip>
                          <a:srcRect/>
                          <a:stretch>
                            <a:fillRect/>
                          </a:stretch>
                        </pic:blipFill>
                        <pic:spPr bwMode="auto">
                          <a:xfrm>
                            <a:off x="0" y="0"/>
                            <a:ext cx="461010" cy="502920"/>
                          </a:xfrm>
                          <a:prstGeom prst="rect">
                            <a:avLst/>
                          </a:prstGeom>
                          <a:noFill/>
                          <a:ln>
                            <a:noFill/>
                          </a:ln>
                        </pic:spPr>
                      </pic:pic>
                    </a:graphicData>
                  </a:graphic>
                </wp:inline>
              </w:drawing>
            </w:r>
          </w:p>
        </w:tc>
        <w:tc>
          <w:tcPr>
            <w:tcW w:w="10138" w:type="dxa"/>
            <w:gridSpan w:val="11"/>
            <w:vAlign w:val="center"/>
          </w:tcPr>
          <w:p w:rsidR="00212513" w:rsidRDefault="00212513">
            <w:pPr>
              <w:pStyle w:val="ConsPlusNormal"/>
              <w:jc w:val="center"/>
            </w:pPr>
            <w:r>
              <w:t xml:space="preserve">Значения коэффициента </w:t>
            </w:r>
            <w:r>
              <w:rPr>
                <w:noProof/>
                <w:position w:val="-8"/>
              </w:rPr>
              <w:drawing>
                <wp:inline distT="0" distB="0" distL="0" distR="0">
                  <wp:extent cx="198755" cy="250825"/>
                  <wp:effectExtent l="0" t="0" r="0" b="0"/>
                  <wp:docPr id="10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при отношении площадей </w:t>
            </w:r>
            <w:r>
              <w:rPr>
                <w:i/>
              </w:rPr>
              <w:t>(A</w:t>
            </w:r>
            <w:r>
              <w:rPr>
                <w:i/>
                <w:vertAlign w:val="subscript"/>
              </w:rPr>
              <w:t>f,</w:t>
            </w:r>
            <w:r>
              <w:rPr>
                <w:vertAlign w:val="subscript"/>
              </w:rPr>
              <w:t>min</w:t>
            </w:r>
            <w:r>
              <w:t xml:space="preserve"> + </w:t>
            </w:r>
            <w:r>
              <w:rPr>
                <w:i/>
              </w:rPr>
              <w:t>A</w:t>
            </w:r>
            <w:r>
              <w:rPr>
                <w:i/>
                <w:vertAlign w:val="subscript"/>
              </w:rPr>
              <w:t>w</w:t>
            </w:r>
            <w:r>
              <w:t>)/</w:t>
            </w:r>
            <w:r>
              <w:rPr>
                <w:i/>
              </w:rPr>
              <w:t>A</w:t>
            </w:r>
            <w:r>
              <w:t>, равном</w:t>
            </w:r>
          </w:p>
        </w:tc>
      </w:tr>
      <w:tr w:rsidR="00212513">
        <w:tc>
          <w:tcPr>
            <w:tcW w:w="921" w:type="dxa"/>
            <w:vMerge/>
          </w:tcPr>
          <w:p w:rsidR="00212513" w:rsidRDefault="00212513">
            <w:pPr>
              <w:pStyle w:val="ConsPlusNormal"/>
            </w:pPr>
          </w:p>
        </w:tc>
        <w:tc>
          <w:tcPr>
            <w:tcW w:w="921" w:type="dxa"/>
            <w:vAlign w:val="center"/>
          </w:tcPr>
          <w:p w:rsidR="00212513" w:rsidRDefault="00212513">
            <w:pPr>
              <w:pStyle w:val="ConsPlusNormal"/>
              <w:jc w:val="center"/>
            </w:pPr>
            <w:r>
              <w:t>0,01</w:t>
            </w:r>
          </w:p>
        </w:tc>
        <w:tc>
          <w:tcPr>
            <w:tcW w:w="921" w:type="dxa"/>
            <w:vAlign w:val="center"/>
          </w:tcPr>
          <w:p w:rsidR="00212513" w:rsidRDefault="00212513">
            <w:pPr>
              <w:pStyle w:val="ConsPlusNormal"/>
              <w:jc w:val="center"/>
            </w:pPr>
            <w:r>
              <w:t>0,1</w:t>
            </w:r>
          </w:p>
        </w:tc>
        <w:tc>
          <w:tcPr>
            <w:tcW w:w="921" w:type="dxa"/>
            <w:vAlign w:val="center"/>
          </w:tcPr>
          <w:p w:rsidR="00212513" w:rsidRDefault="00212513">
            <w:pPr>
              <w:pStyle w:val="ConsPlusNormal"/>
              <w:jc w:val="center"/>
            </w:pPr>
            <w:r>
              <w:t>0,2</w:t>
            </w:r>
          </w:p>
        </w:tc>
        <w:tc>
          <w:tcPr>
            <w:tcW w:w="921" w:type="dxa"/>
            <w:vAlign w:val="center"/>
          </w:tcPr>
          <w:p w:rsidR="00212513" w:rsidRDefault="00212513">
            <w:pPr>
              <w:pStyle w:val="ConsPlusNormal"/>
              <w:jc w:val="center"/>
            </w:pPr>
            <w:r>
              <w:t>0,3</w:t>
            </w:r>
          </w:p>
        </w:tc>
        <w:tc>
          <w:tcPr>
            <w:tcW w:w="921" w:type="dxa"/>
            <w:vAlign w:val="center"/>
          </w:tcPr>
          <w:p w:rsidR="00212513" w:rsidRDefault="00212513">
            <w:pPr>
              <w:pStyle w:val="ConsPlusNormal"/>
              <w:jc w:val="center"/>
            </w:pPr>
            <w:r>
              <w:t>0,4</w:t>
            </w:r>
          </w:p>
        </w:tc>
        <w:tc>
          <w:tcPr>
            <w:tcW w:w="921" w:type="dxa"/>
            <w:vAlign w:val="center"/>
          </w:tcPr>
          <w:p w:rsidR="00212513" w:rsidRDefault="00212513">
            <w:pPr>
              <w:pStyle w:val="ConsPlusNormal"/>
              <w:jc w:val="center"/>
            </w:pPr>
            <w:r>
              <w:t>0,5</w:t>
            </w:r>
          </w:p>
        </w:tc>
        <w:tc>
          <w:tcPr>
            <w:tcW w:w="921" w:type="dxa"/>
            <w:vAlign w:val="center"/>
          </w:tcPr>
          <w:p w:rsidR="00212513" w:rsidRDefault="00212513">
            <w:pPr>
              <w:pStyle w:val="ConsPlusNormal"/>
              <w:jc w:val="center"/>
            </w:pPr>
            <w:r>
              <w:t>0,6</w:t>
            </w:r>
          </w:p>
        </w:tc>
        <w:tc>
          <w:tcPr>
            <w:tcW w:w="921" w:type="dxa"/>
            <w:vAlign w:val="center"/>
          </w:tcPr>
          <w:p w:rsidR="00212513" w:rsidRDefault="00212513">
            <w:pPr>
              <w:pStyle w:val="ConsPlusNormal"/>
              <w:jc w:val="center"/>
            </w:pPr>
            <w:r>
              <w:t>0,7</w:t>
            </w:r>
          </w:p>
        </w:tc>
        <w:tc>
          <w:tcPr>
            <w:tcW w:w="921" w:type="dxa"/>
            <w:vAlign w:val="center"/>
          </w:tcPr>
          <w:p w:rsidR="00212513" w:rsidRDefault="00212513">
            <w:pPr>
              <w:pStyle w:val="ConsPlusNormal"/>
              <w:jc w:val="center"/>
            </w:pPr>
            <w:r>
              <w:t>0,8</w:t>
            </w:r>
          </w:p>
        </w:tc>
        <w:tc>
          <w:tcPr>
            <w:tcW w:w="921" w:type="dxa"/>
            <w:vAlign w:val="center"/>
          </w:tcPr>
          <w:p w:rsidR="00212513" w:rsidRDefault="00212513">
            <w:pPr>
              <w:pStyle w:val="ConsPlusNormal"/>
              <w:jc w:val="center"/>
            </w:pPr>
            <w:r>
              <w:t>0,9</w:t>
            </w:r>
          </w:p>
        </w:tc>
        <w:tc>
          <w:tcPr>
            <w:tcW w:w="928" w:type="dxa"/>
            <w:vAlign w:val="center"/>
          </w:tcPr>
          <w:p w:rsidR="00212513" w:rsidRDefault="00212513">
            <w:pPr>
              <w:pStyle w:val="ConsPlusNormal"/>
              <w:jc w:val="center"/>
            </w:pPr>
            <w:r>
              <w:t>1,0</w:t>
            </w:r>
          </w:p>
        </w:tc>
      </w:tr>
      <w:tr w:rsidR="00212513">
        <w:tc>
          <w:tcPr>
            <w:tcW w:w="921" w:type="dxa"/>
          </w:tcPr>
          <w:p w:rsidR="00212513" w:rsidRDefault="00212513">
            <w:pPr>
              <w:pStyle w:val="ConsPlusNormal"/>
              <w:jc w:val="center"/>
            </w:pPr>
            <w:r>
              <w:t>0</w:t>
            </w:r>
          </w:p>
        </w:tc>
        <w:tc>
          <w:tcPr>
            <w:tcW w:w="921" w:type="dxa"/>
          </w:tcPr>
          <w:p w:rsidR="00212513" w:rsidRDefault="00212513">
            <w:pPr>
              <w:pStyle w:val="ConsPlusNormal"/>
              <w:jc w:val="center"/>
            </w:pPr>
            <w:r>
              <w:t>1,243</w:t>
            </w:r>
          </w:p>
        </w:tc>
        <w:tc>
          <w:tcPr>
            <w:tcW w:w="921" w:type="dxa"/>
          </w:tcPr>
          <w:p w:rsidR="00212513" w:rsidRDefault="00212513">
            <w:pPr>
              <w:pStyle w:val="ConsPlusNormal"/>
              <w:jc w:val="center"/>
            </w:pPr>
            <w:r>
              <w:t>1,248</w:t>
            </w:r>
          </w:p>
        </w:tc>
        <w:tc>
          <w:tcPr>
            <w:tcW w:w="921" w:type="dxa"/>
          </w:tcPr>
          <w:p w:rsidR="00212513" w:rsidRDefault="00212513">
            <w:pPr>
              <w:pStyle w:val="ConsPlusNormal"/>
              <w:jc w:val="center"/>
            </w:pPr>
            <w:r>
              <w:t>1,253</w:t>
            </w:r>
          </w:p>
        </w:tc>
        <w:tc>
          <w:tcPr>
            <w:tcW w:w="921" w:type="dxa"/>
          </w:tcPr>
          <w:p w:rsidR="00212513" w:rsidRDefault="00212513">
            <w:pPr>
              <w:pStyle w:val="ConsPlusNormal"/>
              <w:jc w:val="center"/>
            </w:pPr>
            <w:r>
              <w:t>1,258</w:t>
            </w:r>
          </w:p>
        </w:tc>
        <w:tc>
          <w:tcPr>
            <w:tcW w:w="921" w:type="dxa"/>
          </w:tcPr>
          <w:p w:rsidR="00212513" w:rsidRDefault="00212513">
            <w:pPr>
              <w:pStyle w:val="ConsPlusNormal"/>
              <w:jc w:val="center"/>
            </w:pPr>
            <w:r>
              <w:t>1,264</w:t>
            </w:r>
          </w:p>
        </w:tc>
        <w:tc>
          <w:tcPr>
            <w:tcW w:w="921" w:type="dxa"/>
          </w:tcPr>
          <w:p w:rsidR="00212513" w:rsidRDefault="00212513">
            <w:pPr>
              <w:pStyle w:val="ConsPlusNormal"/>
              <w:jc w:val="center"/>
            </w:pPr>
            <w:r>
              <w:t>1,269</w:t>
            </w:r>
          </w:p>
        </w:tc>
        <w:tc>
          <w:tcPr>
            <w:tcW w:w="921" w:type="dxa"/>
          </w:tcPr>
          <w:p w:rsidR="00212513" w:rsidRDefault="00212513">
            <w:pPr>
              <w:pStyle w:val="ConsPlusNormal"/>
              <w:jc w:val="center"/>
            </w:pPr>
            <w:r>
              <w:t>1,274</w:t>
            </w:r>
          </w:p>
        </w:tc>
        <w:tc>
          <w:tcPr>
            <w:tcW w:w="921" w:type="dxa"/>
          </w:tcPr>
          <w:p w:rsidR="00212513" w:rsidRDefault="00212513">
            <w:pPr>
              <w:pStyle w:val="ConsPlusNormal"/>
              <w:jc w:val="center"/>
            </w:pPr>
            <w:r>
              <w:t>1,279</w:t>
            </w:r>
          </w:p>
        </w:tc>
        <w:tc>
          <w:tcPr>
            <w:tcW w:w="921" w:type="dxa"/>
          </w:tcPr>
          <w:p w:rsidR="00212513" w:rsidRDefault="00212513">
            <w:pPr>
              <w:pStyle w:val="ConsPlusNormal"/>
              <w:jc w:val="center"/>
            </w:pPr>
            <w:r>
              <w:t>1,283</w:t>
            </w:r>
          </w:p>
        </w:tc>
        <w:tc>
          <w:tcPr>
            <w:tcW w:w="921" w:type="dxa"/>
          </w:tcPr>
          <w:p w:rsidR="00212513" w:rsidRDefault="00212513">
            <w:pPr>
              <w:pStyle w:val="ConsPlusNormal"/>
              <w:jc w:val="center"/>
            </w:pPr>
            <w:r>
              <w:t>1,267</w:t>
            </w:r>
          </w:p>
        </w:tc>
        <w:tc>
          <w:tcPr>
            <w:tcW w:w="928" w:type="dxa"/>
          </w:tcPr>
          <w:p w:rsidR="00212513" w:rsidRDefault="00212513">
            <w:pPr>
              <w:pStyle w:val="ConsPlusNormal"/>
              <w:jc w:val="center"/>
            </w:pPr>
            <w:r>
              <w:t>1,243</w:t>
            </w:r>
          </w:p>
        </w:tc>
      </w:tr>
      <w:tr w:rsidR="00212513">
        <w:tc>
          <w:tcPr>
            <w:tcW w:w="921" w:type="dxa"/>
          </w:tcPr>
          <w:p w:rsidR="00212513" w:rsidRDefault="00212513">
            <w:pPr>
              <w:pStyle w:val="ConsPlusNormal"/>
              <w:jc w:val="center"/>
            </w:pPr>
            <w:r>
              <w:t>0,1</w:t>
            </w:r>
          </w:p>
        </w:tc>
        <w:tc>
          <w:tcPr>
            <w:tcW w:w="921" w:type="dxa"/>
          </w:tcPr>
          <w:p w:rsidR="00212513" w:rsidRDefault="00212513">
            <w:pPr>
              <w:pStyle w:val="ConsPlusNormal"/>
              <w:jc w:val="center"/>
            </w:pPr>
            <w:r>
              <w:t>1,187</w:t>
            </w:r>
          </w:p>
        </w:tc>
        <w:tc>
          <w:tcPr>
            <w:tcW w:w="921" w:type="dxa"/>
          </w:tcPr>
          <w:p w:rsidR="00212513" w:rsidRDefault="00212513">
            <w:pPr>
              <w:pStyle w:val="ConsPlusNormal"/>
              <w:jc w:val="center"/>
            </w:pPr>
            <w:r>
              <w:t>1,191</w:t>
            </w:r>
          </w:p>
        </w:tc>
        <w:tc>
          <w:tcPr>
            <w:tcW w:w="921" w:type="dxa"/>
          </w:tcPr>
          <w:p w:rsidR="00212513" w:rsidRDefault="00212513">
            <w:pPr>
              <w:pStyle w:val="ConsPlusNormal"/>
              <w:jc w:val="center"/>
            </w:pPr>
            <w:r>
              <w:t>1,195</w:t>
            </w:r>
          </w:p>
        </w:tc>
        <w:tc>
          <w:tcPr>
            <w:tcW w:w="921" w:type="dxa"/>
          </w:tcPr>
          <w:p w:rsidR="00212513" w:rsidRDefault="00212513">
            <w:pPr>
              <w:pStyle w:val="ConsPlusNormal"/>
              <w:jc w:val="center"/>
            </w:pPr>
            <w:r>
              <w:t>1,199</w:t>
            </w:r>
          </w:p>
        </w:tc>
        <w:tc>
          <w:tcPr>
            <w:tcW w:w="921" w:type="dxa"/>
          </w:tcPr>
          <w:p w:rsidR="00212513" w:rsidRDefault="00212513">
            <w:pPr>
              <w:pStyle w:val="ConsPlusNormal"/>
              <w:jc w:val="center"/>
            </w:pPr>
            <w:r>
              <w:t>1,202</w:t>
            </w:r>
          </w:p>
        </w:tc>
        <w:tc>
          <w:tcPr>
            <w:tcW w:w="921" w:type="dxa"/>
          </w:tcPr>
          <w:p w:rsidR="00212513" w:rsidRDefault="00212513">
            <w:pPr>
              <w:pStyle w:val="ConsPlusNormal"/>
              <w:jc w:val="center"/>
            </w:pPr>
            <w:r>
              <w:t>1,206</w:t>
            </w:r>
          </w:p>
        </w:tc>
        <w:tc>
          <w:tcPr>
            <w:tcW w:w="921" w:type="dxa"/>
          </w:tcPr>
          <w:p w:rsidR="00212513" w:rsidRDefault="00212513">
            <w:pPr>
              <w:pStyle w:val="ConsPlusNormal"/>
              <w:jc w:val="center"/>
            </w:pPr>
            <w:r>
              <w:t>1,209</w:t>
            </w:r>
          </w:p>
        </w:tc>
        <w:tc>
          <w:tcPr>
            <w:tcW w:w="921" w:type="dxa"/>
          </w:tcPr>
          <w:p w:rsidR="00212513" w:rsidRDefault="00212513">
            <w:pPr>
              <w:pStyle w:val="ConsPlusNormal"/>
              <w:jc w:val="center"/>
            </w:pPr>
            <w:r>
              <w:t>1,212</w:t>
            </w:r>
          </w:p>
        </w:tc>
        <w:tc>
          <w:tcPr>
            <w:tcW w:w="921" w:type="dxa"/>
          </w:tcPr>
          <w:p w:rsidR="00212513" w:rsidRDefault="00212513">
            <w:pPr>
              <w:pStyle w:val="ConsPlusNormal"/>
              <w:jc w:val="center"/>
            </w:pPr>
            <w:r>
              <w:t>1,214</w:t>
            </w:r>
          </w:p>
        </w:tc>
        <w:tc>
          <w:tcPr>
            <w:tcW w:w="921" w:type="dxa"/>
          </w:tcPr>
          <w:p w:rsidR="00212513" w:rsidRDefault="00212513">
            <w:pPr>
              <w:pStyle w:val="ConsPlusNormal"/>
              <w:jc w:val="center"/>
            </w:pPr>
            <w:r>
              <w:t>1,160</w:t>
            </w:r>
          </w:p>
        </w:tc>
        <w:tc>
          <w:tcPr>
            <w:tcW w:w="928" w:type="dxa"/>
          </w:tcPr>
          <w:p w:rsidR="00212513" w:rsidRDefault="00212513">
            <w:pPr>
              <w:pStyle w:val="ConsPlusNormal"/>
              <w:jc w:val="center"/>
            </w:pPr>
            <w:r>
              <w:t>-</w:t>
            </w:r>
          </w:p>
        </w:tc>
      </w:tr>
      <w:tr w:rsidR="00212513">
        <w:tc>
          <w:tcPr>
            <w:tcW w:w="921" w:type="dxa"/>
          </w:tcPr>
          <w:p w:rsidR="00212513" w:rsidRDefault="00212513">
            <w:pPr>
              <w:pStyle w:val="ConsPlusNormal"/>
              <w:jc w:val="center"/>
            </w:pPr>
            <w:r>
              <w:t>0,2</w:t>
            </w:r>
          </w:p>
        </w:tc>
        <w:tc>
          <w:tcPr>
            <w:tcW w:w="921" w:type="dxa"/>
          </w:tcPr>
          <w:p w:rsidR="00212513" w:rsidRDefault="00212513">
            <w:pPr>
              <w:pStyle w:val="ConsPlusNormal"/>
              <w:jc w:val="center"/>
            </w:pPr>
            <w:r>
              <w:t>1,152</w:t>
            </w:r>
          </w:p>
        </w:tc>
        <w:tc>
          <w:tcPr>
            <w:tcW w:w="921" w:type="dxa"/>
          </w:tcPr>
          <w:p w:rsidR="00212513" w:rsidRDefault="00212513">
            <w:pPr>
              <w:pStyle w:val="ConsPlusNormal"/>
              <w:jc w:val="center"/>
            </w:pPr>
            <w:r>
              <w:t>1,155</w:t>
            </w:r>
          </w:p>
        </w:tc>
        <w:tc>
          <w:tcPr>
            <w:tcW w:w="921" w:type="dxa"/>
          </w:tcPr>
          <w:p w:rsidR="00212513" w:rsidRDefault="00212513">
            <w:pPr>
              <w:pStyle w:val="ConsPlusNormal"/>
              <w:jc w:val="center"/>
            </w:pPr>
            <w:r>
              <w:t>1,158</w:t>
            </w:r>
          </w:p>
        </w:tc>
        <w:tc>
          <w:tcPr>
            <w:tcW w:w="921" w:type="dxa"/>
          </w:tcPr>
          <w:p w:rsidR="00212513" w:rsidRDefault="00212513">
            <w:pPr>
              <w:pStyle w:val="ConsPlusNormal"/>
              <w:jc w:val="center"/>
            </w:pPr>
            <w:r>
              <w:t>1,162</w:t>
            </w:r>
          </w:p>
        </w:tc>
        <w:tc>
          <w:tcPr>
            <w:tcW w:w="921" w:type="dxa"/>
          </w:tcPr>
          <w:p w:rsidR="00212513" w:rsidRDefault="00212513">
            <w:pPr>
              <w:pStyle w:val="ConsPlusNormal"/>
              <w:jc w:val="center"/>
            </w:pPr>
            <w:r>
              <w:t>1,165</w:t>
            </w:r>
          </w:p>
        </w:tc>
        <w:tc>
          <w:tcPr>
            <w:tcW w:w="921" w:type="dxa"/>
          </w:tcPr>
          <w:p w:rsidR="00212513" w:rsidRDefault="00212513">
            <w:pPr>
              <w:pStyle w:val="ConsPlusNormal"/>
              <w:jc w:val="center"/>
            </w:pPr>
            <w:r>
              <w:t>1,168</w:t>
            </w:r>
          </w:p>
        </w:tc>
        <w:tc>
          <w:tcPr>
            <w:tcW w:w="921" w:type="dxa"/>
          </w:tcPr>
          <w:p w:rsidR="00212513" w:rsidRDefault="00212513">
            <w:pPr>
              <w:pStyle w:val="ConsPlusNormal"/>
              <w:jc w:val="center"/>
            </w:pPr>
            <w:r>
              <w:t>1,170</w:t>
            </w:r>
          </w:p>
        </w:tc>
        <w:tc>
          <w:tcPr>
            <w:tcW w:w="921" w:type="dxa"/>
          </w:tcPr>
          <w:p w:rsidR="00212513" w:rsidRDefault="00212513">
            <w:pPr>
              <w:pStyle w:val="ConsPlusNormal"/>
              <w:jc w:val="center"/>
            </w:pPr>
            <w:r>
              <w:t>1,172</w:t>
            </w:r>
          </w:p>
        </w:tc>
        <w:tc>
          <w:tcPr>
            <w:tcW w:w="921" w:type="dxa"/>
          </w:tcPr>
          <w:p w:rsidR="00212513" w:rsidRDefault="00212513">
            <w:pPr>
              <w:pStyle w:val="ConsPlusNormal"/>
              <w:jc w:val="center"/>
            </w:pPr>
            <w:r>
              <w:t>1,150</w:t>
            </w:r>
          </w:p>
        </w:tc>
        <w:tc>
          <w:tcPr>
            <w:tcW w:w="921" w:type="dxa"/>
          </w:tcPr>
          <w:p w:rsidR="00212513" w:rsidRDefault="00212513">
            <w:pPr>
              <w:pStyle w:val="ConsPlusNormal"/>
              <w:jc w:val="center"/>
            </w:pPr>
            <w:r>
              <w:t>-</w:t>
            </w:r>
          </w:p>
        </w:tc>
        <w:tc>
          <w:tcPr>
            <w:tcW w:w="928" w:type="dxa"/>
          </w:tcPr>
          <w:p w:rsidR="00212513" w:rsidRDefault="00212513">
            <w:pPr>
              <w:pStyle w:val="ConsPlusNormal"/>
              <w:jc w:val="center"/>
            </w:pPr>
            <w:r>
              <w:t>-</w:t>
            </w:r>
          </w:p>
        </w:tc>
      </w:tr>
      <w:tr w:rsidR="00212513">
        <w:tc>
          <w:tcPr>
            <w:tcW w:w="921" w:type="dxa"/>
          </w:tcPr>
          <w:p w:rsidR="00212513" w:rsidRDefault="00212513">
            <w:pPr>
              <w:pStyle w:val="ConsPlusNormal"/>
              <w:jc w:val="center"/>
            </w:pPr>
            <w:r>
              <w:t>0,3</w:t>
            </w:r>
          </w:p>
        </w:tc>
        <w:tc>
          <w:tcPr>
            <w:tcW w:w="921" w:type="dxa"/>
          </w:tcPr>
          <w:p w:rsidR="00212513" w:rsidRDefault="00212513">
            <w:pPr>
              <w:pStyle w:val="ConsPlusNormal"/>
              <w:jc w:val="center"/>
            </w:pPr>
            <w:r>
              <w:t>1,128</w:t>
            </w:r>
          </w:p>
        </w:tc>
        <w:tc>
          <w:tcPr>
            <w:tcW w:w="921" w:type="dxa"/>
          </w:tcPr>
          <w:p w:rsidR="00212513" w:rsidRDefault="00212513">
            <w:pPr>
              <w:pStyle w:val="ConsPlusNormal"/>
              <w:jc w:val="center"/>
            </w:pPr>
            <w:r>
              <w:t>1,131</w:t>
            </w:r>
          </w:p>
        </w:tc>
        <w:tc>
          <w:tcPr>
            <w:tcW w:w="921" w:type="dxa"/>
          </w:tcPr>
          <w:p w:rsidR="00212513" w:rsidRDefault="00212513">
            <w:pPr>
              <w:pStyle w:val="ConsPlusNormal"/>
              <w:jc w:val="center"/>
            </w:pPr>
            <w:r>
              <w:t>1,133</w:t>
            </w:r>
          </w:p>
        </w:tc>
        <w:tc>
          <w:tcPr>
            <w:tcW w:w="921" w:type="dxa"/>
          </w:tcPr>
          <w:p w:rsidR="00212513" w:rsidRDefault="00212513">
            <w:pPr>
              <w:pStyle w:val="ConsPlusNormal"/>
              <w:jc w:val="center"/>
            </w:pPr>
            <w:r>
              <w:t>1,136</w:t>
            </w:r>
          </w:p>
        </w:tc>
        <w:tc>
          <w:tcPr>
            <w:tcW w:w="921" w:type="dxa"/>
          </w:tcPr>
          <w:p w:rsidR="00212513" w:rsidRDefault="00212513">
            <w:pPr>
              <w:pStyle w:val="ConsPlusNormal"/>
              <w:jc w:val="center"/>
            </w:pPr>
            <w:r>
              <w:t>1,139</w:t>
            </w:r>
          </w:p>
        </w:tc>
        <w:tc>
          <w:tcPr>
            <w:tcW w:w="921" w:type="dxa"/>
          </w:tcPr>
          <w:p w:rsidR="00212513" w:rsidRDefault="00212513">
            <w:pPr>
              <w:pStyle w:val="ConsPlusNormal"/>
              <w:jc w:val="center"/>
            </w:pPr>
            <w:r>
              <w:t>1,142</w:t>
            </w:r>
          </w:p>
        </w:tc>
        <w:tc>
          <w:tcPr>
            <w:tcW w:w="921" w:type="dxa"/>
          </w:tcPr>
          <w:p w:rsidR="00212513" w:rsidRDefault="00212513">
            <w:pPr>
              <w:pStyle w:val="ConsPlusNormal"/>
              <w:jc w:val="center"/>
            </w:pPr>
            <w:r>
              <w:t>1,144</w:t>
            </w:r>
          </w:p>
        </w:tc>
        <w:tc>
          <w:tcPr>
            <w:tcW w:w="921" w:type="dxa"/>
          </w:tcPr>
          <w:p w:rsidR="00212513" w:rsidRDefault="00212513">
            <w:pPr>
              <w:pStyle w:val="ConsPlusNormal"/>
              <w:jc w:val="center"/>
            </w:pPr>
            <w:r>
              <w:t>1,145</w:t>
            </w:r>
          </w:p>
        </w:tc>
        <w:tc>
          <w:tcPr>
            <w:tcW w:w="921" w:type="dxa"/>
          </w:tcPr>
          <w:p w:rsidR="00212513" w:rsidRDefault="00212513">
            <w:pPr>
              <w:pStyle w:val="ConsPlusNormal"/>
              <w:jc w:val="center"/>
            </w:pPr>
            <w:r>
              <w:t>1,097</w:t>
            </w:r>
          </w:p>
        </w:tc>
        <w:tc>
          <w:tcPr>
            <w:tcW w:w="921" w:type="dxa"/>
          </w:tcPr>
          <w:p w:rsidR="00212513" w:rsidRDefault="00212513">
            <w:pPr>
              <w:pStyle w:val="ConsPlusNormal"/>
              <w:jc w:val="center"/>
            </w:pPr>
            <w:r>
              <w:t>-</w:t>
            </w:r>
          </w:p>
        </w:tc>
        <w:tc>
          <w:tcPr>
            <w:tcW w:w="928" w:type="dxa"/>
          </w:tcPr>
          <w:p w:rsidR="00212513" w:rsidRDefault="00212513">
            <w:pPr>
              <w:pStyle w:val="ConsPlusNormal"/>
              <w:jc w:val="center"/>
            </w:pPr>
            <w:r>
              <w:t>-</w:t>
            </w:r>
          </w:p>
        </w:tc>
      </w:tr>
      <w:tr w:rsidR="00212513">
        <w:tc>
          <w:tcPr>
            <w:tcW w:w="921" w:type="dxa"/>
          </w:tcPr>
          <w:p w:rsidR="00212513" w:rsidRDefault="00212513">
            <w:pPr>
              <w:pStyle w:val="ConsPlusNormal"/>
              <w:jc w:val="center"/>
            </w:pPr>
            <w:r>
              <w:t>0,4</w:t>
            </w:r>
          </w:p>
        </w:tc>
        <w:tc>
          <w:tcPr>
            <w:tcW w:w="921" w:type="dxa"/>
          </w:tcPr>
          <w:p w:rsidR="00212513" w:rsidRDefault="00212513">
            <w:pPr>
              <w:pStyle w:val="ConsPlusNormal"/>
              <w:jc w:val="center"/>
            </w:pPr>
            <w:r>
              <w:t>1,110</w:t>
            </w:r>
          </w:p>
        </w:tc>
        <w:tc>
          <w:tcPr>
            <w:tcW w:w="921" w:type="dxa"/>
          </w:tcPr>
          <w:p w:rsidR="00212513" w:rsidRDefault="00212513">
            <w:pPr>
              <w:pStyle w:val="ConsPlusNormal"/>
              <w:jc w:val="center"/>
            </w:pPr>
            <w:r>
              <w:t>1,113</w:t>
            </w:r>
          </w:p>
        </w:tc>
        <w:tc>
          <w:tcPr>
            <w:tcW w:w="921" w:type="dxa"/>
          </w:tcPr>
          <w:p w:rsidR="00212513" w:rsidRDefault="00212513">
            <w:pPr>
              <w:pStyle w:val="ConsPlusNormal"/>
              <w:jc w:val="center"/>
            </w:pPr>
            <w:r>
              <w:t>1,115</w:t>
            </w:r>
          </w:p>
        </w:tc>
        <w:tc>
          <w:tcPr>
            <w:tcW w:w="921" w:type="dxa"/>
          </w:tcPr>
          <w:p w:rsidR="00212513" w:rsidRDefault="00212513">
            <w:pPr>
              <w:pStyle w:val="ConsPlusNormal"/>
              <w:jc w:val="center"/>
            </w:pPr>
            <w:r>
              <w:t>1,118</w:t>
            </w:r>
          </w:p>
        </w:tc>
        <w:tc>
          <w:tcPr>
            <w:tcW w:w="921" w:type="dxa"/>
          </w:tcPr>
          <w:p w:rsidR="00212513" w:rsidRDefault="00212513">
            <w:pPr>
              <w:pStyle w:val="ConsPlusNormal"/>
              <w:jc w:val="center"/>
            </w:pPr>
            <w:r>
              <w:t>1,120</w:t>
            </w:r>
          </w:p>
        </w:tc>
        <w:tc>
          <w:tcPr>
            <w:tcW w:w="921" w:type="dxa"/>
          </w:tcPr>
          <w:p w:rsidR="00212513" w:rsidRDefault="00212513">
            <w:pPr>
              <w:pStyle w:val="ConsPlusNormal"/>
              <w:jc w:val="center"/>
            </w:pPr>
            <w:r>
              <w:t>1,123</w:t>
            </w:r>
          </w:p>
        </w:tc>
        <w:tc>
          <w:tcPr>
            <w:tcW w:w="921" w:type="dxa"/>
          </w:tcPr>
          <w:p w:rsidR="00212513" w:rsidRDefault="00212513">
            <w:pPr>
              <w:pStyle w:val="ConsPlusNormal"/>
              <w:jc w:val="center"/>
            </w:pPr>
            <w:r>
              <w:t>1,125</w:t>
            </w:r>
          </w:p>
        </w:tc>
        <w:tc>
          <w:tcPr>
            <w:tcW w:w="921" w:type="dxa"/>
          </w:tcPr>
          <w:p w:rsidR="00212513" w:rsidRDefault="00212513">
            <w:pPr>
              <w:pStyle w:val="ConsPlusNormal"/>
              <w:jc w:val="center"/>
            </w:pPr>
            <w:r>
              <w:t>1,126</w:t>
            </w:r>
          </w:p>
        </w:tc>
        <w:tc>
          <w:tcPr>
            <w:tcW w:w="921" w:type="dxa"/>
          </w:tcPr>
          <w:p w:rsidR="00212513" w:rsidRDefault="00212513">
            <w:pPr>
              <w:pStyle w:val="ConsPlusNormal"/>
              <w:jc w:val="center"/>
            </w:pPr>
            <w:r>
              <w:t>1,069</w:t>
            </w:r>
          </w:p>
        </w:tc>
        <w:tc>
          <w:tcPr>
            <w:tcW w:w="921" w:type="dxa"/>
          </w:tcPr>
          <w:p w:rsidR="00212513" w:rsidRDefault="00212513">
            <w:pPr>
              <w:pStyle w:val="ConsPlusNormal"/>
              <w:jc w:val="center"/>
            </w:pPr>
            <w:r>
              <w:t>-</w:t>
            </w:r>
          </w:p>
        </w:tc>
        <w:tc>
          <w:tcPr>
            <w:tcW w:w="928" w:type="dxa"/>
          </w:tcPr>
          <w:p w:rsidR="00212513" w:rsidRDefault="00212513">
            <w:pPr>
              <w:pStyle w:val="ConsPlusNormal"/>
              <w:jc w:val="center"/>
            </w:pPr>
            <w:r>
              <w:t>-</w:t>
            </w:r>
          </w:p>
        </w:tc>
      </w:tr>
      <w:tr w:rsidR="00212513">
        <w:tc>
          <w:tcPr>
            <w:tcW w:w="921" w:type="dxa"/>
          </w:tcPr>
          <w:p w:rsidR="00212513" w:rsidRDefault="00212513">
            <w:pPr>
              <w:pStyle w:val="ConsPlusNormal"/>
              <w:jc w:val="center"/>
            </w:pPr>
            <w:r>
              <w:t>0,5</w:t>
            </w:r>
          </w:p>
        </w:tc>
        <w:tc>
          <w:tcPr>
            <w:tcW w:w="921" w:type="dxa"/>
          </w:tcPr>
          <w:p w:rsidR="00212513" w:rsidRDefault="00212513">
            <w:pPr>
              <w:pStyle w:val="ConsPlusNormal"/>
              <w:jc w:val="center"/>
            </w:pPr>
            <w:r>
              <w:t>1,097</w:t>
            </w:r>
          </w:p>
        </w:tc>
        <w:tc>
          <w:tcPr>
            <w:tcW w:w="921" w:type="dxa"/>
          </w:tcPr>
          <w:p w:rsidR="00212513" w:rsidRDefault="00212513">
            <w:pPr>
              <w:pStyle w:val="ConsPlusNormal"/>
              <w:jc w:val="center"/>
            </w:pPr>
            <w:r>
              <w:t>1,099</w:t>
            </w:r>
          </w:p>
        </w:tc>
        <w:tc>
          <w:tcPr>
            <w:tcW w:w="921" w:type="dxa"/>
          </w:tcPr>
          <w:p w:rsidR="00212513" w:rsidRDefault="00212513">
            <w:pPr>
              <w:pStyle w:val="ConsPlusNormal"/>
              <w:jc w:val="center"/>
            </w:pPr>
            <w:r>
              <w:t>1,102</w:t>
            </w:r>
          </w:p>
        </w:tc>
        <w:tc>
          <w:tcPr>
            <w:tcW w:w="921" w:type="dxa"/>
          </w:tcPr>
          <w:p w:rsidR="00212513" w:rsidRDefault="00212513">
            <w:pPr>
              <w:pStyle w:val="ConsPlusNormal"/>
              <w:jc w:val="center"/>
            </w:pPr>
            <w:r>
              <w:t>1,104</w:t>
            </w:r>
          </w:p>
        </w:tc>
        <w:tc>
          <w:tcPr>
            <w:tcW w:w="921" w:type="dxa"/>
          </w:tcPr>
          <w:p w:rsidR="00212513" w:rsidRDefault="00212513">
            <w:pPr>
              <w:pStyle w:val="ConsPlusNormal"/>
              <w:jc w:val="center"/>
            </w:pPr>
            <w:r>
              <w:t>1,106</w:t>
            </w:r>
          </w:p>
        </w:tc>
        <w:tc>
          <w:tcPr>
            <w:tcW w:w="921" w:type="dxa"/>
          </w:tcPr>
          <w:p w:rsidR="00212513" w:rsidRDefault="00212513">
            <w:pPr>
              <w:pStyle w:val="ConsPlusNormal"/>
              <w:jc w:val="center"/>
            </w:pPr>
            <w:r>
              <w:t>1,109</w:t>
            </w:r>
          </w:p>
        </w:tc>
        <w:tc>
          <w:tcPr>
            <w:tcW w:w="921" w:type="dxa"/>
          </w:tcPr>
          <w:p w:rsidR="00212513" w:rsidRDefault="00212513">
            <w:pPr>
              <w:pStyle w:val="ConsPlusNormal"/>
              <w:jc w:val="center"/>
            </w:pPr>
            <w:r>
              <w:t>1,110</w:t>
            </w:r>
          </w:p>
        </w:tc>
        <w:tc>
          <w:tcPr>
            <w:tcW w:w="921" w:type="dxa"/>
          </w:tcPr>
          <w:p w:rsidR="00212513" w:rsidRDefault="00212513">
            <w:pPr>
              <w:pStyle w:val="ConsPlusNormal"/>
              <w:jc w:val="center"/>
            </w:pPr>
            <w:r>
              <w:t>1,106</w:t>
            </w:r>
          </w:p>
        </w:tc>
        <w:tc>
          <w:tcPr>
            <w:tcW w:w="921" w:type="dxa"/>
          </w:tcPr>
          <w:p w:rsidR="00212513" w:rsidRDefault="00212513">
            <w:pPr>
              <w:pStyle w:val="ConsPlusNormal"/>
              <w:jc w:val="center"/>
            </w:pPr>
            <w:r>
              <w:t>1,061</w:t>
            </w:r>
          </w:p>
        </w:tc>
        <w:tc>
          <w:tcPr>
            <w:tcW w:w="921" w:type="dxa"/>
          </w:tcPr>
          <w:p w:rsidR="00212513" w:rsidRDefault="00212513">
            <w:pPr>
              <w:pStyle w:val="ConsPlusNormal"/>
              <w:jc w:val="center"/>
            </w:pPr>
            <w:r>
              <w:t>-</w:t>
            </w:r>
          </w:p>
        </w:tc>
        <w:tc>
          <w:tcPr>
            <w:tcW w:w="928" w:type="dxa"/>
          </w:tcPr>
          <w:p w:rsidR="00212513" w:rsidRDefault="00212513">
            <w:pPr>
              <w:pStyle w:val="ConsPlusNormal"/>
              <w:jc w:val="center"/>
            </w:pPr>
            <w:r>
              <w:t>-</w:t>
            </w:r>
          </w:p>
        </w:tc>
      </w:tr>
      <w:tr w:rsidR="00212513">
        <w:tc>
          <w:tcPr>
            <w:tcW w:w="921" w:type="dxa"/>
          </w:tcPr>
          <w:p w:rsidR="00212513" w:rsidRDefault="00212513">
            <w:pPr>
              <w:pStyle w:val="ConsPlusNormal"/>
              <w:jc w:val="center"/>
            </w:pPr>
            <w:r>
              <w:t>0,6</w:t>
            </w:r>
          </w:p>
        </w:tc>
        <w:tc>
          <w:tcPr>
            <w:tcW w:w="921" w:type="dxa"/>
          </w:tcPr>
          <w:p w:rsidR="00212513" w:rsidRDefault="00212513">
            <w:pPr>
              <w:pStyle w:val="ConsPlusNormal"/>
              <w:jc w:val="center"/>
            </w:pPr>
            <w:r>
              <w:t>1,087</w:t>
            </w:r>
          </w:p>
        </w:tc>
        <w:tc>
          <w:tcPr>
            <w:tcW w:w="921" w:type="dxa"/>
          </w:tcPr>
          <w:p w:rsidR="00212513" w:rsidRDefault="00212513">
            <w:pPr>
              <w:pStyle w:val="ConsPlusNormal"/>
              <w:jc w:val="center"/>
            </w:pPr>
            <w:r>
              <w:t>1,089</w:t>
            </w:r>
          </w:p>
        </w:tc>
        <w:tc>
          <w:tcPr>
            <w:tcW w:w="921" w:type="dxa"/>
          </w:tcPr>
          <w:p w:rsidR="00212513" w:rsidRDefault="00212513">
            <w:pPr>
              <w:pStyle w:val="ConsPlusNormal"/>
              <w:jc w:val="center"/>
            </w:pPr>
            <w:r>
              <w:t>1,091</w:t>
            </w:r>
          </w:p>
        </w:tc>
        <w:tc>
          <w:tcPr>
            <w:tcW w:w="921" w:type="dxa"/>
          </w:tcPr>
          <w:p w:rsidR="00212513" w:rsidRDefault="00212513">
            <w:pPr>
              <w:pStyle w:val="ConsPlusNormal"/>
              <w:jc w:val="center"/>
            </w:pPr>
            <w:r>
              <w:t>1,093</w:t>
            </w:r>
          </w:p>
        </w:tc>
        <w:tc>
          <w:tcPr>
            <w:tcW w:w="921" w:type="dxa"/>
          </w:tcPr>
          <w:p w:rsidR="00212513" w:rsidRDefault="00212513">
            <w:pPr>
              <w:pStyle w:val="ConsPlusNormal"/>
              <w:jc w:val="center"/>
            </w:pPr>
            <w:r>
              <w:t>1,095</w:t>
            </w:r>
          </w:p>
        </w:tc>
        <w:tc>
          <w:tcPr>
            <w:tcW w:w="921" w:type="dxa"/>
          </w:tcPr>
          <w:p w:rsidR="00212513" w:rsidRDefault="00212513">
            <w:pPr>
              <w:pStyle w:val="ConsPlusNormal"/>
              <w:jc w:val="center"/>
            </w:pPr>
            <w:r>
              <w:t>1,097</w:t>
            </w:r>
          </w:p>
        </w:tc>
        <w:tc>
          <w:tcPr>
            <w:tcW w:w="921" w:type="dxa"/>
          </w:tcPr>
          <w:p w:rsidR="00212513" w:rsidRDefault="00212513">
            <w:pPr>
              <w:pStyle w:val="ConsPlusNormal"/>
              <w:jc w:val="center"/>
            </w:pPr>
            <w:r>
              <w:t>1,099</w:t>
            </w:r>
          </w:p>
        </w:tc>
        <w:tc>
          <w:tcPr>
            <w:tcW w:w="921" w:type="dxa"/>
          </w:tcPr>
          <w:p w:rsidR="00212513" w:rsidRDefault="00212513">
            <w:pPr>
              <w:pStyle w:val="ConsPlusNormal"/>
              <w:jc w:val="center"/>
            </w:pPr>
            <w:r>
              <w:t>1,079</w:t>
            </w:r>
          </w:p>
        </w:tc>
        <w:tc>
          <w:tcPr>
            <w:tcW w:w="921" w:type="dxa"/>
          </w:tcPr>
          <w:p w:rsidR="00212513" w:rsidRDefault="00212513">
            <w:pPr>
              <w:pStyle w:val="ConsPlusNormal"/>
              <w:jc w:val="center"/>
            </w:pPr>
            <w:r>
              <w:t>-</w:t>
            </w:r>
          </w:p>
        </w:tc>
        <w:tc>
          <w:tcPr>
            <w:tcW w:w="921" w:type="dxa"/>
          </w:tcPr>
          <w:p w:rsidR="00212513" w:rsidRDefault="00212513">
            <w:pPr>
              <w:pStyle w:val="ConsPlusNormal"/>
              <w:jc w:val="center"/>
            </w:pPr>
            <w:r>
              <w:t>-</w:t>
            </w:r>
          </w:p>
        </w:tc>
        <w:tc>
          <w:tcPr>
            <w:tcW w:w="928" w:type="dxa"/>
          </w:tcPr>
          <w:p w:rsidR="00212513" w:rsidRDefault="00212513">
            <w:pPr>
              <w:pStyle w:val="ConsPlusNormal"/>
              <w:jc w:val="center"/>
            </w:pPr>
            <w:r>
              <w:t>-</w:t>
            </w:r>
          </w:p>
        </w:tc>
      </w:tr>
      <w:tr w:rsidR="00212513">
        <w:tc>
          <w:tcPr>
            <w:tcW w:w="921" w:type="dxa"/>
          </w:tcPr>
          <w:p w:rsidR="00212513" w:rsidRDefault="00212513">
            <w:pPr>
              <w:pStyle w:val="ConsPlusNormal"/>
              <w:jc w:val="center"/>
            </w:pPr>
            <w:r>
              <w:t>0,7</w:t>
            </w:r>
          </w:p>
        </w:tc>
        <w:tc>
          <w:tcPr>
            <w:tcW w:w="921" w:type="dxa"/>
          </w:tcPr>
          <w:p w:rsidR="00212513" w:rsidRDefault="00212513">
            <w:pPr>
              <w:pStyle w:val="ConsPlusNormal"/>
              <w:jc w:val="center"/>
            </w:pPr>
            <w:r>
              <w:t>1,078</w:t>
            </w:r>
          </w:p>
        </w:tc>
        <w:tc>
          <w:tcPr>
            <w:tcW w:w="921" w:type="dxa"/>
          </w:tcPr>
          <w:p w:rsidR="00212513" w:rsidRDefault="00212513">
            <w:pPr>
              <w:pStyle w:val="ConsPlusNormal"/>
              <w:jc w:val="center"/>
            </w:pPr>
            <w:r>
              <w:t>1,080</w:t>
            </w:r>
          </w:p>
        </w:tc>
        <w:tc>
          <w:tcPr>
            <w:tcW w:w="921" w:type="dxa"/>
          </w:tcPr>
          <w:p w:rsidR="00212513" w:rsidRDefault="00212513">
            <w:pPr>
              <w:pStyle w:val="ConsPlusNormal"/>
              <w:jc w:val="center"/>
            </w:pPr>
            <w:r>
              <w:t>1,082</w:t>
            </w:r>
          </w:p>
        </w:tc>
        <w:tc>
          <w:tcPr>
            <w:tcW w:w="921" w:type="dxa"/>
          </w:tcPr>
          <w:p w:rsidR="00212513" w:rsidRDefault="00212513">
            <w:pPr>
              <w:pStyle w:val="ConsPlusNormal"/>
              <w:jc w:val="center"/>
            </w:pPr>
            <w:r>
              <w:t>1,084</w:t>
            </w:r>
          </w:p>
        </w:tc>
        <w:tc>
          <w:tcPr>
            <w:tcW w:w="921" w:type="dxa"/>
          </w:tcPr>
          <w:p w:rsidR="00212513" w:rsidRDefault="00212513">
            <w:pPr>
              <w:pStyle w:val="ConsPlusNormal"/>
              <w:jc w:val="center"/>
            </w:pPr>
            <w:r>
              <w:t>1,086</w:t>
            </w:r>
          </w:p>
        </w:tc>
        <w:tc>
          <w:tcPr>
            <w:tcW w:w="921" w:type="dxa"/>
          </w:tcPr>
          <w:p w:rsidR="00212513" w:rsidRDefault="00212513">
            <w:pPr>
              <w:pStyle w:val="ConsPlusNormal"/>
              <w:jc w:val="center"/>
            </w:pPr>
            <w:r>
              <w:t>1,088</w:t>
            </w:r>
          </w:p>
        </w:tc>
        <w:tc>
          <w:tcPr>
            <w:tcW w:w="921" w:type="dxa"/>
          </w:tcPr>
          <w:p w:rsidR="00212513" w:rsidRDefault="00212513">
            <w:pPr>
              <w:pStyle w:val="ConsPlusNormal"/>
              <w:jc w:val="center"/>
            </w:pPr>
            <w:r>
              <w:t>1,090</w:t>
            </w:r>
          </w:p>
        </w:tc>
        <w:tc>
          <w:tcPr>
            <w:tcW w:w="921" w:type="dxa"/>
          </w:tcPr>
          <w:p w:rsidR="00212513" w:rsidRDefault="00212513">
            <w:pPr>
              <w:pStyle w:val="ConsPlusNormal"/>
              <w:jc w:val="center"/>
            </w:pPr>
            <w:r>
              <w:t>1,055</w:t>
            </w:r>
          </w:p>
        </w:tc>
        <w:tc>
          <w:tcPr>
            <w:tcW w:w="921" w:type="dxa"/>
          </w:tcPr>
          <w:p w:rsidR="00212513" w:rsidRDefault="00212513">
            <w:pPr>
              <w:pStyle w:val="ConsPlusNormal"/>
              <w:jc w:val="center"/>
            </w:pPr>
            <w:r>
              <w:t>-</w:t>
            </w:r>
          </w:p>
        </w:tc>
        <w:tc>
          <w:tcPr>
            <w:tcW w:w="921" w:type="dxa"/>
          </w:tcPr>
          <w:p w:rsidR="00212513" w:rsidRDefault="00212513">
            <w:pPr>
              <w:pStyle w:val="ConsPlusNormal"/>
              <w:jc w:val="center"/>
            </w:pPr>
            <w:r>
              <w:t>-</w:t>
            </w:r>
          </w:p>
        </w:tc>
        <w:tc>
          <w:tcPr>
            <w:tcW w:w="928" w:type="dxa"/>
          </w:tcPr>
          <w:p w:rsidR="00212513" w:rsidRDefault="00212513">
            <w:pPr>
              <w:pStyle w:val="ConsPlusNormal"/>
              <w:jc w:val="center"/>
            </w:pPr>
            <w:r>
              <w:t>-</w:t>
            </w:r>
          </w:p>
        </w:tc>
      </w:tr>
      <w:tr w:rsidR="00212513">
        <w:tc>
          <w:tcPr>
            <w:tcW w:w="921" w:type="dxa"/>
          </w:tcPr>
          <w:p w:rsidR="00212513" w:rsidRDefault="00212513">
            <w:pPr>
              <w:pStyle w:val="ConsPlusNormal"/>
              <w:jc w:val="center"/>
            </w:pPr>
            <w:r>
              <w:t>0,8</w:t>
            </w:r>
          </w:p>
        </w:tc>
        <w:tc>
          <w:tcPr>
            <w:tcW w:w="921" w:type="dxa"/>
          </w:tcPr>
          <w:p w:rsidR="00212513" w:rsidRDefault="00212513">
            <w:pPr>
              <w:pStyle w:val="ConsPlusNormal"/>
              <w:jc w:val="center"/>
            </w:pPr>
            <w:r>
              <w:t>1,071</w:t>
            </w:r>
          </w:p>
        </w:tc>
        <w:tc>
          <w:tcPr>
            <w:tcW w:w="921" w:type="dxa"/>
          </w:tcPr>
          <w:p w:rsidR="00212513" w:rsidRDefault="00212513">
            <w:pPr>
              <w:pStyle w:val="ConsPlusNormal"/>
              <w:jc w:val="center"/>
            </w:pPr>
            <w:r>
              <w:t>1,073</w:t>
            </w:r>
          </w:p>
        </w:tc>
        <w:tc>
          <w:tcPr>
            <w:tcW w:w="921" w:type="dxa"/>
          </w:tcPr>
          <w:p w:rsidR="00212513" w:rsidRDefault="00212513">
            <w:pPr>
              <w:pStyle w:val="ConsPlusNormal"/>
              <w:jc w:val="center"/>
            </w:pPr>
            <w:r>
              <w:t>1,075</w:t>
            </w:r>
          </w:p>
        </w:tc>
        <w:tc>
          <w:tcPr>
            <w:tcW w:w="921" w:type="dxa"/>
          </w:tcPr>
          <w:p w:rsidR="00212513" w:rsidRDefault="00212513">
            <w:pPr>
              <w:pStyle w:val="ConsPlusNormal"/>
              <w:jc w:val="center"/>
            </w:pPr>
            <w:r>
              <w:t>1,077</w:t>
            </w:r>
          </w:p>
        </w:tc>
        <w:tc>
          <w:tcPr>
            <w:tcW w:w="921" w:type="dxa"/>
          </w:tcPr>
          <w:p w:rsidR="00212513" w:rsidRDefault="00212513">
            <w:pPr>
              <w:pStyle w:val="ConsPlusNormal"/>
              <w:jc w:val="center"/>
            </w:pPr>
            <w:r>
              <w:t>1,079</w:t>
            </w:r>
          </w:p>
        </w:tc>
        <w:tc>
          <w:tcPr>
            <w:tcW w:w="921" w:type="dxa"/>
          </w:tcPr>
          <w:p w:rsidR="00212513" w:rsidRDefault="00212513">
            <w:pPr>
              <w:pStyle w:val="ConsPlusNormal"/>
              <w:jc w:val="center"/>
            </w:pPr>
            <w:r>
              <w:t>1,081</w:t>
            </w:r>
          </w:p>
        </w:tc>
        <w:tc>
          <w:tcPr>
            <w:tcW w:w="921" w:type="dxa"/>
          </w:tcPr>
          <w:p w:rsidR="00212513" w:rsidRDefault="00212513">
            <w:pPr>
              <w:pStyle w:val="ConsPlusNormal"/>
              <w:jc w:val="center"/>
            </w:pPr>
            <w:r>
              <w:t>1,082</w:t>
            </w:r>
          </w:p>
        </w:tc>
        <w:tc>
          <w:tcPr>
            <w:tcW w:w="921" w:type="dxa"/>
          </w:tcPr>
          <w:p w:rsidR="00212513" w:rsidRDefault="00212513">
            <w:pPr>
              <w:pStyle w:val="ConsPlusNormal"/>
              <w:jc w:val="center"/>
            </w:pPr>
            <w:r>
              <w:t>1,044</w:t>
            </w:r>
          </w:p>
        </w:tc>
        <w:tc>
          <w:tcPr>
            <w:tcW w:w="921" w:type="dxa"/>
          </w:tcPr>
          <w:p w:rsidR="00212513" w:rsidRDefault="00212513">
            <w:pPr>
              <w:pStyle w:val="ConsPlusNormal"/>
              <w:jc w:val="center"/>
            </w:pPr>
            <w:r>
              <w:t>-</w:t>
            </w:r>
          </w:p>
        </w:tc>
        <w:tc>
          <w:tcPr>
            <w:tcW w:w="921" w:type="dxa"/>
          </w:tcPr>
          <w:p w:rsidR="00212513" w:rsidRDefault="00212513">
            <w:pPr>
              <w:pStyle w:val="ConsPlusNormal"/>
              <w:jc w:val="center"/>
            </w:pPr>
            <w:r>
              <w:t>-</w:t>
            </w:r>
          </w:p>
        </w:tc>
        <w:tc>
          <w:tcPr>
            <w:tcW w:w="928" w:type="dxa"/>
          </w:tcPr>
          <w:p w:rsidR="00212513" w:rsidRDefault="00212513">
            <w:pPr>
              <w:pStyle w:val="ConsPlusNormal"/>
              <w:jc w:val="center"/>
            </w:pPr>
            <w:r>
              <w:t>-</w:t>
            </w:r>
          </w:p>
        </w:tc>
      </w:tr>
      <w:tr w:rsidR="00212513">
        <w:tc>
          <w:tcPr>
            <w:tcW w:w="921" w:type="dxa"/>
          </w:tcPr>
          <w:p w:rsidR="00212513" w:rsidRDefault="00212513">
            <w:pPr>
              <w:pStyle w:val="ConsPlusNormal"/>
              <w:jc w:val="center"/>
            </w:pPr>
            <w:r>
              <w:t>0,9</w:t>
            </w:r>
          </w:p>
        </w:tc>
        <w:tc>
          <w:tcPr>
            <w:tcW w:w="921" w:type="dxa"/>
          </w:tcPr>
          <w:p w:rsidR="00212513" w:rsidRDefault="00212513">
            <w:pPr>
              <w:pStyle w:val="ConsPlusNormal"/>
              <w:jc w:val="center"/>
            </w:pPr>
            <w:r>
              <w:t>1,065</w:t>
            </w:r>
          </w:p>
        </w:tc>
        <w:tc>
          <w:tcPr>
            <w:tcW w:w="921" w:type="dxa"/>
          </w:tcPr>
          <w:p w:rsidR="00212513" w:rsidRDefault="00212513">
            <w:pPr>
              <w:pStyle w:val="ConsPlusNormal"/>
              <w:jc w:val="center"/>
            </w:pPr>
            <w:r>
              <w:t>1,067</w:t>
            </w:r>
          </w:p>
        </w:tc>
        <w:tc>
          <w:tcPr>
            <w:tcW w:w="921" w:type="dxa"/>
          </w:tcPr>
          <w:p w:rsidR="00212513" w:rsidRDefault="00212513">
            <w:pPr>
              <w:pStyle w:val="ConsPlusNormal"/>
              <w:jc w:val="center"/>
            </w:pPr>
            <w:r>
              <w:t>1,069</w:t>
            </w:r>
          </w:p>
        </w:tc>
        <w:tc>
          <w:tcPr>
            <w:tcW w:w="921" w:type="dxa"/>
          </w:tcPr>
          <w:p w:rsidR="00212513" w:rsidRDefault="00212513">
            <w:pPr>
              <w:pStyle w:val="ConsPlusNormal"/>
              <w:jc w:val="center"/>
            </w:pPr>
            <w:r>
              <w:t>1,071</w:t>
            </w:r>
          </w:p>
        </w:tc>
        <w:tc>
          <w:tcPr>
            <w:tcW w:w="921" w:type="dxa"/>
          </w:tcPr>
          <w:p w:rsidR="00212513" w:rsidRDefault="00212513">
            <w:pPr>
              <w:pStyle w:val="ConsPlusNormal"/>
              <w:jc w:val="center"/>
            </w:pPr>
            <w:r>
              <w:t>1,073</w:t>
            </w:r>
          </w:p>
        </w:tc>
        <w:tc>
          <w:tcPr>
            <w:tcW w:w="921" w:type="dxa"/>
          </w:tcPr>
          <w:p w:rsidR="00212513" w:rsidRDefault="00212513">
            <w:pPr>
              <w:pStyle w:val="ConsPlusNormal"/>
              <w:jc w:val="center"/>
            </w:pPr>
            <w:r>
              <w:t>1,074</w:t>
            </w:r>
          </w:p>
        </w:tc>
        <w:tc>
          <w:tcPr>
            <w:tcW w:w="921" w:type="dxa"/>
          </w:tcPr>
          <w:p w:rsidR="00212513" w:rsidRDefault="00212513">
            <w:pPr>
              <w:pStyle w:val="ConsPlusNormal"/>
              <w:jc w:val="center"/>
            </w:pPr>
            <w:r>
              <w:t>1,076</w:t>
            </w:r>
          </w:p>
        </w:tc>
        <w:tc>
          <w:tcPr>
            <w:tcW w:w="921" w:type="dxa"/>
          </w:tcPr>
          <w:p w:rsidR="00212513" w:rsidRDefault="00212513">
            <w:pPr>
              <w:pStyle w:val="ConsPlusNormal"/>
              <w:jc w:val="center"/>
            </w:pPr>
            <w:r>
              <w:t>1,036</w:t>
            </w:r>
          </w:p>
        </w:tc>
        <w:tc>
          <w:tcPr>
            <w:tcW w:w="921" w:type="dxa"/>
          </w:tcPr>
          <w:p w:rsidR="00212513" w:rsidRDefault="00212513">
            <w:pPr>
              <w:pStyle w:val="ConsPlusNormal"/>
              <w:jc w:val="center"/>
            </w:pPr>
            <w:r>
              <w:t>-</w:t>
            </w:r>
          </w:p>
        </w:tc>
        <w:tc>
          <w:tcPr>
            <w:tcW w:w="921" w:type="dxa"/>
          </w:tcPr>
          <w:p w:rsidR="00212513" w:rsidRDefault="00212513">
            <w:pPr>
              <w:pStyle w:val="ConsPlusNormal"/>
              <w:jc w:val="center"/>
            </w:pPr>
            <w:r>
              <w:t>-</w:t>
            </w:r>
          </w:p>
        </w:tc>
        <w:tc>
          <w:tcPr>
            <w:tcW w:w="928" w:type="dxa"/>
          </w:tcPr>
          <w:p w:rsidR="00212513" w:rsidRDefault="00212513">
            <w:pPr>
              <w:pStyle w:val="ConsPlusNormal"/>
              <w:jc w:val="center"/>
            </w:pPr>
            <w:r>
              <w:t>-</w:t>
            </w:r>
          </w:p>
        </w:tc>
      </w:tr>
      <w:tr w:rsidR="00212513">
        <w:tc>
          <w:tcPr>
            <w:tcW w:w="921" w:type="dxa"/>
          </w:tcPr>
          <w:p w:rsidR="00212513" w:rsidRDefault="00212513">
            <w:pPr>
              <w:pStyle w:val="ConsPlusNormal"/>
              <w:jc w:val="center"/>
            </w:pPr>
            <w:r>
              <w:t>1,0</w:t>
            </w:r>
          </w:p>
        </w:tc>
        <w:tc>
          <w:tcPr>
            <w:tcW w:w="921" w:type="dxa"/>
          </w:tcPr>
          <w:p w:rsidR="00212513" w:rsidRDefault="00212513">
            <w:pPr>
              <w:pStyle w:val="ConsPlusNormal"/>
              <w:jc w:val="center"/>
            </w:pPr>
            <w:r>
              <w:t>1,060</w:t>
            </w:r>
          </w:p>
        </w:tc>
        <w:tc>
          <w:tcPr>
            <w:tcW w:w="921" w:type="dxa"/>
          </w:tcPr>
          <w:p w:rsidR="00212513" w:rsidRDefault="00212513">
            <w:pPr>
              <w:pStyle w:val="ConsPlusNormal"/>
              <w:jc w:val="center"/>
            </w:pPr>
            <w:r>
              <w:t>1,062</w:t>
            </w:r>
          </w:p>
        </w:tc>
        <w:tc>
          <w:tcPr>
            <w:tcW w:w="921" w:type="dxa"/>
          </w:tcPr>
          <w:p w:rsidR="00212513" w:rsidRDefault="00212513">
            <w:pPr>
              <w:pStyle w:val="ConsPlusNormal"/>
              <w:jc w:val="center"/>
            </w:pPr>
            <w:r>
              <w:t>1,064</w:t>
            </w:r>
          </w:p>
        </w:tc>
        <w:tc>
          <w:tcPr>
            <w:tcW w:w="921" w:type="dxa"/>
          </w:tcPr>
          <w:p w:rsidR="00212513" w:rsidRDefault="00212513">
            <w:pPr>
              <w:pStyle w:val="ConsPlusNormal"/>
              <w:jc w:val="center"/>
            </w:pPr>
            <w:r>
              <w:t>1,066</w:t>
            </w:r>
          </w:p>
        </w:tc>
        <w:tc>
          <w:tcPr>
            <w:tcW w:w="921" w:type="dxa"/>
          </w:tcPr>
          <w:p w:rsidR="00212513" w:rsidRDefault="00212513">
            <w:pPr>
              <w:pStyle w:val="ConsPlusNormal"/>
              <w:jc w:val="center"/>
            </w:pPr>
            <w:r>
              <w:t>1,067</w:t>
            </w:r>
          </w:p>
        </w:tc>
        <w:tc>
          <w:tcPr>
            <w:tcW w:w="921" w:type="dxa"/>
          </w:tcPr>
          <w:p w:rsidR="00212513" w:rsidRDefault="00212513">
            <w:pPr>
              <w:pStyle w:val="ConsPlusNormal"/>
              <w:jc w:val="center"/>
            </w:pPr>
            <w:r>
              <w:t>1,069</w:t>
            </w:r>
          </w:p>
        </w:tc>
        <w:tc>
          <w:tcPr>
            <w:tcW w:w="921" w:type="dxa"/>
          </w:tcPr>
          <w:p w:rsidR="00212513" w:rsidRDefault="00212513">
            <w:pPr>
              <w:pStyle w:val="ConsPlusNormal"/>
              <w:jc w:val="center"/>
            </w:pPr>
            <w:r>
              <w:t>1,071</w:t>
            </w:r>
          </w:p>
        </w:tc>
        <w:tc>
          <w:tcPr>
            <w:tcW w:w="921" w:type="dxa"/>
          </w:tcPr>
          <w:p w:rsidR="00212513" w:rsidRDefault="00212513">
            <w:pPr>
              <w:pStyle w:val="ConsPlusNormal"/>
              <w:jc w:val="center"/>
            </w:pPr>
            <w:r>
              <w:t>1,031</w:t>
            </w:r>
          </w:p>
        </w:tc>
        <w:tc>
          <w:tcPr>
            <w:tcW w:w="921" w:type="dxa"/>
          </w:tcPr>
          <w:p w:rsidR="00212513" w:rsidRDefault="00212513">
            <w:pPr>
              <w:pStyle w:val="ConsPlusNormal"/>
              <w:jc w:val="center"/>
            </w:pPr>
            <w:r>
              <w:t>-</w:t>
            </w:r>
          </w:p>
        </w:tc>
        <w:tc>
          <w:tcPr>
            <w:tcW w:w="921" w:type="dxa"/>
          </w:tcPr>
          <w:p w:rsidR="00212513" w:rsidRDefault="00212513">
            <w:pPr>
              <w:pStyle w:val="ConsPlusNormal"/>
              <w:jc w:val="center"/>
            </w:pPr>
            <w:r>
              <w:t>-</w:t>
            </w:r>
          </w:p>
        </w:tc>
        <w:tc>
          <w:tcPr>
            <w:tcW w:w="928" w:type="dxa"/>
          </w:tcPr>
          <w:p w:rsidR="00212513" w:rsidRDefault="00212513">
            <w:pPr>
              <w:pStyle w:val="ConsPlusNormal"/>
              <w:jc w:val="center"/>
            </w:pPr>
            <w:r>
              <w:t>-</w:t>
            </w:r>
          </w:p>
        </w:tc>
      </w:tr>
      <w:tr w:rsidR="00212513">
        <w:tc>
          <w:tcPr>
            <w:tcW w:w="921" w:type="dxa"/>
          </w:tcPr>
          <w:p w:rsidR="00212513" w:rsidRDefault="00212513">
            <w:pPr>
              <w:pStyle w:val="ConsPlusNormal"/>
              <w:jc w:val="center"/>
            </w:pPr>
            <w:r>
              <w:t>2,0</w:t>
            </w:r>
          </w:p>
        </w:tc>
        <w:tc>
          <w:tcPr>
            <w:tcW w:w="921" w:type="dxa"/>
          </w:tcPr>
          <w:p w:rsidR="00212513" w:rsidRDefault="00212513">
            <w:pPr>
              <w:pStyle w:val="ConsPlusNormal"/>
              <w:jc w:val="center"/>
            </w:pPr>
            <w:r>
              <w:t>1,035</w:t>
            </w:r>
          </w:p>
        </w:tc>
        <w:tc>
          <w:tcPr>
            <w:tcW w:w="921" w:type="dxa"/>
          </w:tcPr>
          <w:p w:rsidR="00212513" w:rsidRDefault="00212513">
            <w:pPr>
              <w:pStyle w:val="ConsPlusNormal"/>
              <w:jc w:val="center"/>
            </w:pPr>
            <w:r>
              <w:t>1,036</w:t>
            </w:r>
          </w:p>
        </w:tc>
        <w:tc>
          <w:tcPr>
            <w:tcW w:w="921" w:type="dxa"/>
          </w:tcPr>
          <w:p w:rsidR="00212513" w:rsidRDefault="00212513">
            <w:pPr>
              <w:pStyle w:val="ConsPlusNormal"/>
              <w:jc w:val="center"/>
            </w:pPr>
            <w:r>
              <w:t>1,037</w:t>
            </w:r>
          </w:p>
        </w:tc>
        <w:tc>
          <w:tcPr>
            <w:tcW w:w="921" w:type="dxa"/>
          </w:tcPr>
          <w:p w:rsidR="00212513" w:rsidRDefault="00212513">
            <w:pPr>
              <w:pStyle w:val="ConsPlusNormal"/>
              <w:jc w:val="center"/>
            </w:pPr>
            <w:r>
              <w:t>1,038</w:t>
            </w:r>
          </w:p>
        </w:tc>
        <w:tc>
          <w:tcPr>
            <w:tcW w:w="921" w:type="dxa"/>
          </w:tcPr>
          <w:p w:rsidR="00212513" w:rsidRDefault="00212513">
            <w:pPr>
              <w:pStyle w:val="ConsPlusNormal"/>
              <w:jc w:val="center"/>
            </w:pPr>
            <w:r>
              <w:t>1,039</w:t>
            </w:r>
          </w:p>
        </w:tc>
        <w:tc>
          <w:tcPr>
            <w:tcW w:w="921" w:type="dxa"/>
          </w:tcPr>
          <w:p w:rsidR="00212513" w:rsidRDefault="00212513">
            <w:pPr>
              <w:pStyle w:val="ConsPlusNormal"/>
              <w:jc w:val="center"/>
            </w:pPr>
            <w:r>
              <w:t>1,040</w:t>
            </w:r>
          </w:p>
        </w:tc>
        <w:tc>
          <w:tcPr>
            <w:tcW w:w="921" w:type="dxa"/>
          </w:tcPr>
          <w:p w:rsidR="00212513" w:rsidRDefault="00212513">
            <w:pPr>
              <w:pStyle w:val="ConsPlusNormal"/>
              <w:jc w:val="center"/>
            </w:pPr>
            <w:r>
              <w:t>1,019</w:t>
            </w:r>
          </w:p>
        </w:tc>
        <w:tc>
          <w:tcPr>
            <w:tcW w:w="921" w:type="dxa"/>
          </w:tcPr>
          <w:p w:rsidR="00212513" w:rsidRDefault="00212513">
            <w:pPr>
              <w:pStyle w:val="ConsPlusNormal"/>
              <w:jc w:val="center"/>
            </w:pPr>
            <w:r>
              <w:t>-</w:t>
            </w:r>
          </w:p>
        </w:tc>
        <w:tc>
          <w:tcPr>
            <w:tcW w:w="921" w:type="dxa"/>
          </w:tcPr>
          <w:p w:rsidR="00212513" w:rsidRDefault="00212513">
            <w:pPr>
              <w:pStyle w:val="ConsPlusNormal"/>
              <w:jc w:val="center"/>
            </w:pPr>
            <w:r>
              <w:t>-</w:t>
            </w:r>
          </w:p>
        </w:tc>
        <w:tc>
          <w:tcPr>
            <w:tcW w:w="921" w:type="dxa"/>
          </w:tcPr>
          <w:p w:rsidR="00212513" w:rsidRDefault="00212513">
            <w:pPr>
              <w:pStyle w:val="ConsPlusNormal"/>
              <w:jc w:val="center"/>
            </w:pPr>
            <w:r>
              <w:t>-</w:t>
            </w:r>
          </w:p>
        </w:tc>
        <w:tc>
          <w:tcPr>
            <w:tcW w:w="928" w:type="dxa"/>
          </w:tcPr>
          <w:p w:rsidR="00212513" w:rsidRDefault="00212513">
            <w:pPr>
              <w:pStyle w:val="ConsPlusNormal"/>
              <w:jc w:val="center"/>
            </w:pPr>
            <w:r>
              <w:t>-</w:t>
            </w:r>
          </w:p>
        </w:tc>
      </w:tr>
      <w:tr w:rsidR="00212513">
        <w:tc>
          <w:tcPr>
            <w:tcW w:w="921" w:type="dxa"/>
          </w:tcPr>
          <w:p w:rsidR="00212513" w:rsidRDefault="00212513">
            <w:pPr>
              <w:pStyle w:val="ConsPlusNormal"/>
              <w:jc w:val="center"/>
            </w:pPr>
            <w:r>
              <w:t>3,0</w:t>
            </w:r>
          </w:p>
        </w:tc>
        <w:tc>
          <w:tcPr>
            <w:tcW w:w="921" w:type="dxa"/>
          </w:tcPr>
          <w:p w:rsidR="00212513" w:rsidRDefault="00212513">
            <w:pPr>
              <w:pStyle w:val="ConsPlusNormal"/>
              <w:jc w:val="center"/>
            </w:pPr>
            <w:r>
              <w:t>1,024</w:t>
            </w:r>
          </w:p>
        </w:tc>
        <w:tc>
          <w:tcPr>
            <w:tcW w:w="921" w:type="dxa"/>
          </w:tcPr>
          <w:p w:rsidR="00212513" w:rsidRDefault="00212513">
            <w:pPr>
              <w:pStyle w:val="ConsPlusNormal"/>
              <w:jc w:val="center"/>
            </w:pPr>
            <w:r>
              <w:t>1,025</w:t>
            </w:r>
          </w:p>
        </w:tc>
        <w:tc>
          <w:tcPr>
            <w:tcW w:w="921" w:type="dxa"/>
          </w:tcPr>
          <w:p w:rsidR="00212513" w:rsidRDefault="00212513">
            <w:pPr>
              <w:pStyle w:val="ConsPlusNormal"/>
              <w:jc w:val="center"/>
            </w:pPr>
            <w:r>
              <w:t>1,026</w:t>
            </w:r>
          </w:p>
        </w:tc>
        <w:tc>
          <w:tcPr>
            <w:tcW w:w="921" w:type="dxa"/>
          </w:tcPr>
          <w:p w:rsidR="00212513" w:rsidRDefault="00212513">
            <w:pPr>
              <w:pStyle w:val="ConsPlusNormal"/>
              <w:jc w:val="center"/>
            </w:pPr>
            <w:r>
              <w:t>1,027</w:t>
            </w:r>
          </w:p>
        </w:tc>
        <w:tc>
          <w:tcPr>
            <w:tcW w:w="921" w:type="dxa"/>
          </w:tcPr>
          <w:p w:rsidR="00212513" w:rsidRDefault="00212513">
            <w:pPr>
              <w:pStyle w:val="ConsPlusNormal"/>
              <w:jc w:val="center"/>
            </w:pPr>
            <w:r>
              <w:t>1,028</w:t>
            </w:r>
          </w:p>
        </w:tc>
        <w:tc>
          <w:tcPr>
            <w:tcW w:w="921" w:type="dxa"/>
          </w:tcPr>
          <w:p w:rsidR="00212513" w:rsidRDefault="00212513">
            <w:pPr>
              <w:pStyle w:val="ConsPlusNormal"/>
              <w:jc w:val="center"/>
            </w:pPr>
            <w:r>
              <w:t>1,029</w:t>
            </w:r>
          </w:p>
        </w:tc>
        <w:tc>
          <w:tcPr>
            <w:tcW w:w="921" w:type="dxa"/>
          </w:tcPr>
          <w:p w:rsidR="00212513" w:rsidRDefault="00212513">
            <w:pPr>
              <w:pStyle w:val="ConsPlusNormal"/>
              <w:jc w:val="center"/>
            </w:pPr>
            <w:r>
              <w:t>1,017</w:t>
            </w:r>
          </w:p>
        </w:tc>
        <w:tc>
          <w:tcPr>
            <w:tcW w:w="921" w:type="dxa"/>
          </w:tcPr>
          <w:p w:rsidR="00212513" w:rsidRDefault="00212513">
            <w:pPr>
              <w:pStyle w:val="ConsPlusNormal"/>
              <w:jc w:val="center"/>
            </w:pPr>
            <w:r>
              <w:t>-</w:t>
            </w:r>
          </w:p>
        </w:tc>
        <w:tc>
          <w:tcPr>
            <w:tcW w:w="921" w:type="dxa"/>
          </w:tcPr>
          <w:p w:rsidR="00212513" w:rsidRDefault="00212513">
            <w:pPr>
              <w:pStyle w:val="ConsPlusNormal"/>
              <w:jc w:val="center"/>
            </w:pPr>
            <w:r>
              <w:t>-</w:t>
            </w:r>
          </w:p>
        </w:tc>
        <w:tc>
          <w:tcPr>
            <w:tcW w:w="921" w:type="dxa"/>
          </w:tcPr>
          <w:p w:rsidR="00212513" w:rsidRDefault="00212513">
            <w:pPr>
              <w:pStyle w:val="ConsPlusNormal"/>
              <w:jc w:val="center"/>
            </w:pPr>
            <w:r>
              <w:t>-</w:t>
            </w:r>
          </w:p>
        </w:tc>
        <w:tc>
          <w:tcPr>
            <w:tcW w:w="928" w:type="dxa"/>
          </w:tcPr>
          <w:p w:rsidR="00212513" w:rsidRDefault="00212513">
            <w:pPr>
              <w:pStyle w:val="ConsPlusNormal"/>
              <w:jc w:val="center"/>
            </w:pPr>
            <w:r>
              <w:t>-</w:t>
            </w:r>
          </w:p>
        </w:tc>
      </w:tr>
      <w:tr w:rsidR="00212513">
        <w:tc>
          <w:tcPr>
            <w:tcW w:w="921" w:type="dxa"/>
          </w:tcPr>
          <w:p w:rsidR="00212513" w:rsidRDefault="00212513">
            <w:pPr>
              <w:pStyle w:val="ConsPlusNormal"/>
              <w:jc w:val="center"/>
            </w:pPr>
            <w:r>
              <w:t>4,0</w:t>
            </w:r>
          </w:p>
        </w:tc>
        <w:tc>
          <w:tcPr>
            <w:tcW w:w="921" w:type="dxa"/>
          </w:tcPr>
          <w:p w:rsidR="00212513" w:rsidRDefault="00212513">
            <w:pPr>
              <w:pStyle w:val="ConsPlusNormal"/>
              <w:jc w:val="center"/>
            </w:pPr>
            <w:r>
              <w:t>1,019</w:t>
            </w:r>
          </w:p>
        </w:tc>
        <w:tc>
          <w:tcPr>
            <w:tcW w:w="921" w:type="dxa"/>
          </w:tcPr>
          <w:p w:rsidR="00212513" w:rsidRDefault="00212513">
            <w:pPr>
              <w:pStyle w:val="ConsPlusNormal"/>
              <w:jc w:val="center"/>
            </w:pPr>
            <w:r>
              <w:t>1,019</w:t>
            </w:r>
          </w:p>
        </w:tc>
        <w:tc>
          <w:tcPr>
            <w:tcW w:w="921" w:type="dxa"/>
          </w:tcPr>
          <w:p w:rsidR="00212513" w:rsidRDefault="00212513">
            <w:pPr>
              <w:pStyle w:val="ConsPlusNormal"/>
              <w:jc w:val="center"/>
            </w:pPr>
            <w:r>
              <w:t>1,020</w:t>
            </w:r>
          </w:p>
        </w:tc>
        <w:tc>
          <w:tcPr>
            <w:tcW w:w="921" w:type="dxa"/>
          </w:tcPr>
          <w:p w:rsidR="00212513" w:rsidRDefault="00212513">
            <w:pPr>
              <w:pStyle w:val="ConsPlusNormal"/>
              <w:jc w:val="center"/>
            </w:pPr>
            <w:r>
              <w:t>1,021</w:t>
            </w:r>
          </w:p>
        </w:tc>
        <w:tc>
          <w:tcPr>
            <w:tcW w:w="921" w:type="dxa"/>
          </w:tcPr>
          <w:p w:rsidR="00212513" w:rsidRDefault="00212513">
            <w:pPr>
              <w:pStyle w:val="ConsPlusNormal"/>
              <w:jc w:val="center"/>
            </w:pPr>
            <w:r>
              <w:t>1,021</w:t>
            </w:r>
          </w:p>
        </w:tc>
        <w:tc>
          <w:tcPr>
            <w:tcW w:w="921" w:type="dxa"/>
          </w:tcPr>
          <w:p w:rsidR="00212513" w:rsidRDefault="00212513">
            <w:pPr>
              <w:pStyle w:val="ConsPlusNormal"/>
              <w:jc w:val="center"/>
            </w:pPr>
            <w:r>
              <w:t>1,022</w:t>
            </w:r>
          </w:p>
        </w:tc>
        <w:tc>
          <w:tcPr>
            <w:tcW w:w="921" w:type="dxa"/>
          </w:tcPr>
          <w:p w:rsidR="00212513" w:rsidRDefault="00212513">
            <w:pPr>
              <w:pStyle w:val="ConsPlusNormal"/>
              <w:jc w:val="center"/>
            </w:pPr>
            <w:r>
              <w:t>1,015</w:t>
            </w:r>
          </w:p>
        </w:tc>
        <w:tc>
          <w:tcPr>
            <w:tcW w:w="921" w:type="dxa"/>
          </w:tcPr>
          <w:p w:rsidR="00212513" w:rsidRDefault="00212513">
            <w:pPr>
              <w:pStyle w:val="ConsPlusNormal"/>
              <w:jc w:val="center"/>
            </w:pPr>
            <w:r>
              <w:t>-</w:t>
            </w:r>
          </w:p>
        </w:tc>
        <w:tc>
          <w:tcPr>
            <w:tcW w:w="921" w:type="dxa"/>
          </w:tcPr>
          <w:p w:rsidR="00212513" w:rsidRDefault="00212513">
            <w:pPr>
              <w:pStyle w:val="ConsPlusNormal"/>
              <w:jc w:val="center"/>
            </w:pPr>
            <w:r>
              <w:t>-</w:t>
            </w:r>
          </w:p>
        </w:tc>
        <w:tc>
          <w:tcPr>
            <w:tcW w:w="921" w:type="dxa"/>
          </w:tcPr>
          <w:p w:rsidR="00212513" w:rsidRDefault="00212513">
            <w:pPr>
              <w:pStyle w:val="ConsPlusNormal"/>
              <w:jc w:val="center"/>
            </w:pPr>
            <w:r>
              <w:t>-</w:t>
            </w:r>
          </w:p>
        </w:tc>
        <w:tc>
          <w:tcPr>
            <w:tcW w:w="928" w:type="dxa"/>
          </w:tcPr>
          <w:p w:rsidR="00212513" w:rsidRDefault="00212513">
            <w:pPr>
              <w:pStyle w:val="ConsPlusNormal"/>
              <w:jc w:val="center"/>
            </w:pPr>
            <w:r>
              <w:t>-</w:t>
            </w:r>
          </w:p>
        </w:tc>
      </w:tr>
      <w:tr w:rsidR="00212513">
        <w:tc>
          <w:tcPr>
            <w:tcW w:w="921" w:type="dxa"/>
          </w:tcPr>
          <w:p w:rsidR="00212513" w:rsidRDefault="00212513">
            <w:pPr>
              <w:pStyle w:val="ConsPlusNormal"/>
              <w:jc w:val="center"/>
            </w:pPr>
            <w:r>
              <w:t>5,0</w:t>
            </w:r>
          </w:p>
        </w:tc>
        <w:tc>
          <w:tcPr>
            <w:tcW w:w="921" w:type="dxa"/>
          </w:tcPr>
          <w:p w:rsidR="00212513" w:rsidRDefault="00212513">
            <w:pPr>
              <w:pStyle w:val="ConsPlusNormal"/>
              <w:jc w:val="center"/>
            </w:pPr>
            <w:r>
              <w:t>1,015</w:t>
            </w:r>
          </w:p>
        </w:tc>
        <w:tc>
          <w:tcPr>
            <w:tcW w:w="921" w:type="dxa"/>
          </w:tcPr>
          <w:p w:rsidR="00212513" w:rsidRDefault="00212513">
            <w:pPr>
              <w:pStyle w:val="ConsPlusNormal"/>
              <w:jc w:val="center"/>
            </w:pPr>
            <w:r>
              <w:t>1,015</w:t>
            </w:r>
          </w:p>
        </w:tc>
        <w:tc>
          <w:tcPr>
            <w:tcW w:w="921" w:type="dxa"/>
          </w:tcPr>
          <w:p w:rsidR="00212513" w:rsidRDefault="00212513">
            <w:pPr>
              <w:pStyle w:val="ConsPlusNormal"/>
              <w:jc w:val="center"/>
            </w:pPr>
            <w:r>
              <w:t>1,016</w:t>
            </w:r>
          </w:p>
        </w:tc>
        <w:tc>
          <w:tcPr>
            <w:tcW w:w="921" w:type="dxa"/>
          </w:tcPr>
          <w:p w:rsidR="00212513" w:rsidRDefault="00212513">
            <w:pPr>
              <w:pStyle w:val="ConsPlusNormal"/>
              <w:jc w:val="center"/>
            </w:pPr>
            <w:r>
              <w:t>1,017</w:t>
            </w:r>
          </w:p>
        </w:tc>
        <w:tc>
          <w:tcPr>
            <w:tcW w:w="921" w:type="dxa"/>
          </w:tcPr>
          <w:p w:rsidR="00212513" w:rsidRDefault="00212513">
            <w:pPr>
              <w:pStyle w:val="ConsPlusNormal"/>
              <w:jc w:val="center"/>
            </w:pPr>
            <w:r>
              <w:t>1,018</w:t>
            </w:r>
          </w:p>
        </w:tc>
        <w:tc>
          <w:tcPr>
            <w:tcW w:w="921" w:type="dxa"/>
          </w:tcPr>
          <w:p w:rsidR="00212513" w:rsidRDefault="00212513">
            <w:pPr>
              <w:pStyle w:val="ConsPlusNormal"/>
              <w:jc w:val="center"/>
            </w:pPr>
            <w:r>
              <w:t>1,018</w:t>
            </w:r>
          </w:p>
        </w:tc>
        <w:tc>
          <w:tcPr>
            <w:tcW w:w="921" w:type="dxa"/>
          </w:tcPr>
          <w:p w:rsidR="00212513" w:rsidRDefault="00212513">
            <w:pPr>
              <w:pStyle w:val="ConsPlusNormal"/>
              <w:jc w:val="center"/>
            </w:pPr>
            <w:r>
              <w:t>-</w:t>
            </w:r>
          </w:p>
        </w:tc>
        <w:tc>
          <w:tcPr>
            <w:tcW w:w="921" w:type="dxa"/>
          </w:tcPr>
          <w:p w:rsidR="00212513" w:rsidRDefault="00212513">
            <w:pPr>
              <w:pStyle w:val="ConsPlusNormal"/>
              <w:jc w:val="center"/>
            </w:pPr>
            <w:r>
              <w:t>-</w:t>
            </w:r>
          </w:p>
        </w:tc>
        <w:tc>
          <w:tcPr>
            <w:tcW w:w="921" w:type="dxa"/>
          </w:tcPr>
          <w:p w:rsidR="00212513" w:rsidRDefault="00212513">
            <w:pPr>
              <w:pStyle w:val="ConsPlusNormal"/>
              <w:jc w:val="center"/>
            </w:pPr>
            <w:r>
              <w:t>-</w:t>
            </w:r>
          </w:p>
        </w:tc>
        <w:tc>
          <w:tcPr>
            <w:tcW w:w="921" w:type="dxa"/>
          </w:tcPr>
          <w:p w:rsidR="00212513" w:rsidRDefault="00212513">
            <w:pPr>
              <w:pStyle w:val="ConsPlusNormal"/>
              <w:jc w:val="center"/>
            </w:pPr>
            <w:r>
              <w:t>-</w:t>
            </w:r>
          </w:p>
        </w:tc>
        <w:tc>
          <w:tcPr>
            <w:tcW w:w="928" w:type="dxa"/>
          </w:tcPr>
          <w:p w:rsidR="00212513" w:rsidRDefault="00212513">
            <w:pPr>
              <w:pStyle w:val="ConsPlusNormal"/>
              <w:jc w:val="center"/>
            </w:pPr>
            <w:r>
              <w:t>-</w:t>
            </w:r>
          </w:p>
        </w:tc>
      </w:tr>
      <w:tr w:rsidR="00212513">
        <w:tblPrEx>
          <w:tblBorders>
            <w:insideH w:val="nil"/>
          </w:tblBorders>
        </w:tblPrEx>
        <w:tc>
          <w:tcPr>
            <w:tcW w:w="11059" w:type="dxa"/>
            <w:gridSpan w:val="12"/>
            <w:tcBorders>
              <w:bottom w:val="nil"/>
            </w:tcBorders>
          </w:tcPr>
          <w:p w:rsidR="00212513" w:rsidRDefault="00212513">
            <w:pPr>
              <w:pStyle w:val="ConsPlusNormal"/>
              <w:ind w:firstLine="283"/>
              <w:jc w:val="both"/>
            </w:pPr>
            <w:r>
              <w:t>Примечания</w:t>
            </w:r>
          </w:p>
          <w:p w:rsidR="00212513" w:rsidRDefault="00212513">
            <w:pPr>
              <w:pStyle w:val="ConsPlusNormal"/>
              <w:ind w:firstLine="283"/>
              <w:jc w:val="both"/>
            </w:pPr>
            <w:r>
              <w:t xml:space="preserve">1 Для коробчатых сечений площадь </w:t>
            </w:r>
            <w:r>
              <w:rPr>
                <w:i/>
              </w:rPr>
              <w:t>A</w:t>
            </w:r>
            <w:r>
              <w:rPr>
                <w:i/>
                <w:vertAlign w:val="subscript"/>
              </w:rPr>
              <w:t>w</w:t>
            </w:r>
            <w:r>
              <w:t xml:space="preserve"> следует принимать равной сумме площадей стенок.</w:t>
            </w:r>
          </w:p>
          <w:p w:rsidR="00212513" w:rsidRDefault="00212513">
            <w:pPr>
              <w:pStyle w:val="ConsPlusNormal"/>
              <w:ind w:firstLine="283"/>
              <w:jc w:val="both"/>
            </w:pPr>
            <w:r>
              <w:t xml:space="preserve">2 Для таврового сечения площадь </w:t>
            </w:r>
            <w:r>
              <w:rPr>
                <w:i/>
              </w:rPr>
              <w:t>A</w:t>
            </w:r>
            <w:r>
              <w:rPr>
                <w:i/>
                <w:vertAlign w:val="subscript"/>
              </w:rPr>
              <w:t>f</w:t>
            </w:r>
            <w:r>
              <w:rPr>
                <w:vertAlign w:val="subscript"/>
              </w:rPr>
              <w:t>,min</w:t>
            </w:r>
            <w:r>
              <w:t xml:space="preserve"> = 0.</w:t>
            </w:r>
          </w:p>
          <w:p w:rsidR="00212513" w:rsidRDefault="00212513">
            <w:pPr>
              <w:pStyle w:val="ConsPlusNormal"/>
              <w:ind w:firstLine="283"/>
              <w:jc w:val="both"/>
            </w:pPr>
            <w:r>
              <w:lastRenderedPageBreak/>
              <w:t>3 При указанных соотношениях площадей в местах, обозначенных прочерком, нельзя выполнять расчет с учетом развития ограниченных пластических деформаций.</w:t>
            </w:r>
          </w:p>
        </w:tc>
      </w:tr>
      <w:tr w:rsidR="00212513">
        <w:tblPrEx>
          <w:tblBorders>
            <w:insideH w:val="nil"/>
          </w:tblBorders>
        </w:tblPrEx>
        <w:tc>
          <w:tcPr>
            <w:tcW w:w="11059" w:type="dxa"/>
            <w:gridSpan w:val="12"/>
            <w:tcBorders>
              <w:top w:val="nil"/>
            </w:tcBorders>
          </w:tcPr>
          <w:p w:rsidR="00212513" w:rsidRDefault="00212513">
            <w:pPr>
              <w:pStyle w:val="ConsPlusNormal"/>
              <w:jc w:val="both"/>
            </w:pPr>
            <w:r>
              <w:lastRenderedPageBreak/>
              <w:t xml:space="preserve">(примечание 3 введено </w:t>
            </w:r>
            <w:hyperlink r:id="rId1608">
              <w:r>
                <w:rPr>
                  <w:color w:val="0000FF"/>
                </w:rPr>
                <w:t>Изменением N 3</w:t>
              </w:r>
            </w:hyperlink>
            <w:r>
              <w:t>, утв. Приказом Минстроя России от 29.12.2020</w:t>
            </w:r>
          </w:p>
          <w:p w:rsidR="00212513" w:rsidRDefault="00212513">
            <w:pPr>
              <w:pStyle w:val="ConsPlusNormal"/>
              <w:jc w:val="both"/>
            </w:pPr>
            <w:r>
              <w:t>N 891/пр)</w:t>
            </w:r>
          </w:p>
        </w:tc>
      </w:tr>
    </w:tbl>
    <w:p w:rsidR="00212513" w:rsidRDefault="00212513">
      <w:pPr>
        <w:pStyle w:val="ConsPlusNormal"/>
        <w:sectPr w:rsidR="00212513">
          <w:pgSz w:w="16838" w:h="11905" w:orient="landscape"/>
          <w:pgMar w:top="1701" w:right="1134" w:bottom="850" w:left="1134" w:header="0" w:footer="0" w:gutter="0"/>
          <w:cols w:space="720"/>
          <w:titlePg/>
        </w:sectPr>
      </w:pPr>
    </w:p>
    <w:p w:rsidR="00212513" w:rsidRDefault="00212513">
      <w:pPr>
        <w:pStyle w:val="ConsPlusNormal"/>
        <w:ind w:firstLine="540"/>
        <w:jc w:val="both"/>
      </w:pPr>
    </w:p>
    <w:p w:rsidR="00212513" w:rsidRDefault="00212513">
      <w:pPr>
        <w:pStyle w:val="ConsPlusNormal"/>
        <w:ind w:firstLine="540"/>
        <w:jc w:val="both"/>
      </w:pPr>
      <w:r>
        <w:t xml:space="preserve">Эффективную ширину пояса </w:t>
      </w:r>
      <w:r>
        <w:rPr>
          <w:noProof/>
          <w:position w:val="-9"/>
        </w:rPr>
        <w:drawing>
          <wp:inline distT="0" distB="0" distL="0" distR="0">
            <wp:extent cx="220980" cy="262890"/>
            <wp:effectExtent l="0" t="0" r="0" b="0"/>
            <wp:docPr id="10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при вычислении </w:t>
      </w:r>
      <w:r>
        <w:rPr>
          <w:noProof/>
          <w:position w:val="-8"/>
        </w:rPr>
        <w:drawing>
          <wp:inline distT="0" distB="0" distL="0" distR="0">
            <wp:extent cx="220980" cy="251460"/>
            <wp:effectExtent l="0" t="0" r="0" b="0"/>
            <wp:docPr id="10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9"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следует определять по формуле</w:t>
      </w:r>
    </w:p>
    <w:p w:rsidR="00212513" w:rsidRDefault="00212513">
      <w:pPr>
        <w:pStyle w:val="ConsPlusNormal"/>
        <w:ind w:firstLine="540"/>
        <w:jc w:val="both"/>
      </w:pPr>
    </w:p>
    <w:p w:rsidR="00212513" w:rsidRDefault="00212513">
      <w:pPr>
        <w:pStyle w:val="ConsPlusNormal"/>
        <w:jc w:val="center"/>
      </w:pPr>
      <w:r>
        <w:rPr>
          <w:noProof/>
          <w:position w:val="-11"/>
        </w:rPr>
        <w:drawing>
          <wp:inline distT="0" distB="0" distL="0" distR="0">
            <wp:extent cx="796290" cy="281940"/>
            <wp:effectExtent l="0" t="0" r="0" b="0"/>
            <wp:docPr id="10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9" cstate="print">
                      <a:extLst>
                        <a:ext uri="{28A0092B-C50C-407E-A947-70E740481C1C}">
                          <a14:useLocalDpi xmlns:a14="http://schemas.microsoft.com/office/drawing/2010/main" val="0"/>
                        </a:ext>
                      </a:extLst>
                    </a:blip>
                    <a:srcRect/>
                    <a:stretch>
                      <a:fillRect/>
                    </a:stretch>
                  </pic:blipFill>
                  <pic:spPr bwMode="auto">
                    <a:xfrm>
                      <a:off x="0" y="0"/>
                      <a:ext cx="796290" cy="281940"/>
                    </a:xfrm>
                    <a:prstGeom prst="rect">
                      <a:avLst/>
                    </a:prstGeom>
                    <a:noFill/>
                    <a:ln>
                      <a:noFill/>
                    </a:ln>
                  </pic:spPr>
                </pic:pic>
              </a:graphicData>
            </a:graphic>
          </wp:inline>
        </w:drawing>
      </w:r>
      <w:r>
        <w:t>, (8.9)</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1"/>
        </w:rPr>
        <w:drawing>
          <wp:inline distT="0" distB="0" distL="0" distR="0">
            <wp:extent cx="146685" cy="156845"/>
            <wp:effectExtent l="0" t="0" r="0" b="0"/>
            <wp:docPr id="10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0" cstate="print">
                      <a:extLst>
                        <a:ext uri="{28A0092B-C50C-407E-A947-70E740481C1C}">
                          <a14:useLocalDpi xmlns:a14="http://schemas.microsoft.com/office/drawing/2010/main" val="0"/>
                        </a:ext>
                      </a:extLst>
                    </a:blip>
                    <a:srcRect/>
                    <a:stretch>
                      <a:fillRect/>
                    </a:stretch>
                  </pic:blipFill>
                  <pic:spPr bwMode="auto">
                    <a:xfrm>
                      <a:off x="0" y="0"/>
                      <a:ext cx="146685" cy="156845"/>
                    </a:xfrm>
                    <a:prstGeom prst="rect">
                      <a:avLst/>
                    </a:prstGeom>
                    <a:noFill/>
                    <a:ln>
                      <a:noFill/>
                    </a:ln>
                  </pic:spPr>
                </pic:pic>
              </a:graphicData>
            </a:graphic>
          </wp:inline>
        </w:drawing>
      </w:r>
      <w:r>
        <w:t xml:space="preserve"> - коэффициент приведения неравномерно распределенных напряжений на ширине участков пояса </w:t>
      </w:r>
      <w:r>
        <w:rPr>
          <w:noProof/>
          <w:position w:val="-8"/>
        </w:rPr>
        <w:drawing>
          <wp:inline distT="0" distB="0" distL="0" distR="0">
            <wp:extent cx="156845" cy="251460"/>
            <wp:effectExtent l="0" t="0" r="0" b="0"/>
            <wp:docPr id="10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к условным равномерно распределенным напряжениям по всей эффективной ширине пояса </w:t>
      </w:r>
      <w:r>
        <w:rPr>
          <w:noProof/>
          <w:position w:val="-9"/>
        </w:rPr>
        <w:drawing>
          <wp:inline distT="0" distB="0" distL="0" distR="0">
            <wp:extent cx="220980" cy="262890"/>
            <wp:effectExtent l="0" t="0" r="0" b="0"/>
            <wp:docPr id="10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принимаемый по </w:t>
      </w:r>
      <w:hyperlink w:anchor="P7219">
        <w:r>
          <w:rPr>
            <w:color w:val="0000FF"/>
          </w:rPr>
          <w:t>таблице 8.17</w:t>
        </w:r>
      </w:hyperlink>
      <w:r>
        <w:t>;</w:t>
      </w:r>
    </w:p>
    <w:p w:rsidR="00212513" w:rsidRDefault="00212513">
      <w:pPr>
        <w:pStyle w:val="ConsPlusNormal"/>
        <w:spacing w:before="220"/>
        <w:ind w:firstLine="540"/>
        <w:jc w:val="both"/>
      </w:pPr>
      <w:r>
        <w:rPr>
          <w:noProof/>
          <w:position w:val="-8"/>
        </w:rPr>
        <w:drawing>
          <wp:inline distT="0" distB="0" distL="0" distR="0">
            <wp:extent cx="156845" cy="251460"/>
            <wp:effectExtent l="0" t="0" r="0" b="0"/>
            <wp:docPr id="10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 ширина участка пояса, заключенная в рассматриваемом сечении между двумя точками с максимальными напряжениями </w:t>
      </w:r>
      <w:r>
        <w:rPr>
          <w:noProof/>
          <w:position w:val="-8"/>
        </w:rPr>
        <w:drawing>
          <wp:inline distT="0" distB="0" distL="0" distR="0">
            <wp:extent cx="293370" cy="251460"/>
            <wp:effectExtent l="0" t="0" r="0" b="0"/>
            <wp:docPr id="10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2"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(тогда </w:t>
      </w:r>
      <w:r>
        <w:rPr>
          <w:noProof/>
          <w:position w:val="-8"/>
        </w:rPr>
        <w:drawing>
          <wp:inline distT="0" distB="0" distL="0" distR="0">
            <wp:extent cx="419100" cy="251460"/>
            <wp:effectExtent l="0" t="0" r="0" b="0"/>
            <wp:docPr id="10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r>
        <w:t xml:space="preserve">) или между такой точкой и краем пояса </w:t>
      </w:r>
      <w:r>
        <w:rPr>
          <w:noProof/>
          <w:position w:val="-8"/>
        </w:rPr>
        <w:drawing>
          <wp:inline distT="0" distB="0" distL="0" distR="0">
            <wp:extent cx="461010" cy="251460"/>
            <wp:effectExtent l="0" t="0" r="0" b="0"/>
            <wp:docPr id="10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4" cstate="print">
                      <a:extLst>
                        <a:ext uri="{28A0092B-C50C-407E-A947-70E740481C1C}">
                          <a14:useLocalDpi xmlns:a14="http://schemas.microsoft.com/office/drawing/2010/main" val="0"/>
                        </a:ext>
                      </a:extLst>
                    </a:blip>
                    <a:srcRect/>
                    <a:stretch>
                      <a:fillRect/>
                    </a:stretch>
                  </pic:blipFill>
                  <pic:spPr bwMode="auto">
                    <a:xfrm>
                      <a:off x="0" y="0"/>
                      <a:ext cx="461010" cy="251460"/>
                    </a:xfrm>
                    <a:prstGeom prst="rect">
                      <a:avLst/>
                    </a:prstGeom>
                    <a:noFill/>
                    <a:ln>
                      <a:noFill/>
                    </a:ln>
                  </pic:spPr>
                </pic:pic>
              </a:graphicData>
            </a:graphic>
          </wp:inline>
        </w:drawing>
      </w:r>
      <w:r>
        <w:t xml:space="preserve">, при этом должны выполняться условия </w:t>
      </w:r>
      <w:r>
        <w:rPr>
          <w:i/>
        </w:rPr>
        <w:t>b</w:t>
      </w:r>
      <w:r>
        <w:t xml:space="preserve"> &gt;= 0,04</w:t>
      </w:r>
      <w:r>
        <w:rPr>
          <w:i/>
        </w:rPr>
        <w:t>l</w:t>
      </w:r>
      <w:r>
        <w:t xml:space="preserve"> и </w:t>
      </w:r>
      <w:r>
        <w:rPr>
          <w:noProof/>
          <w:position w:val="-8"/>
        </w:rPr>
        <w:drawing>
          <wp:inline distT="0" distB="0" distL="0" distR="0">
            <wp:extent cx="712470" cy="251460"/>
            <wp:effectExtent l="0" t="0" r="0" b="0"/>
            <wp:docPr id="10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5" cstate="print">
                      <a:extLst>
                        <a:ext uri="{28A0092B-C50C-407E-A947-70E740481C1C}">
                          <a14:useLocalDpi xmlns:a14="http://schemas.microsoft.com/office/drawing/2010/main" val="0"/>
                        </a:ext>
                      </a:extLst>
                    </a:blip>
                    <a:srcRect/>
                    <a:stretch>
                      <a:fillRect/>
                    </a:stretch>
                  </pic:blipFill>
                  <pic:spPr bwMode="auto">
                    <a:xfrm>
                      <a:off x="0" y="0"/>
                      <a:ext cx="712470" cy="251460"/>
                    </a:xfrm>
                    <a:prstGeom prst="rect">
                      <a:avLst/>
                    </a:prstGeom>
                    <a:noFill/>
                    <a:ln>
                      <a:noFill/>
                    </a:ln>
                  </pic:spPr>
                </pic:pic>
              </a:graphicData>
            </a:graphic>
          </wp:inline>
        </w:drawing>
      </w:r>
      <w:r>
        <w:t xml:space="preserve"> (в противном случае </w:t>
      </w:r>
      <w:r>
        <w:rPr>
          <w:noProof/>
          <w:position w:val="-4"/>
        </w:rPr>
        <w:drawing>
          <wp:inline distT="0" distB="0" distL="0" distR="0">
            <wp:extent cx="366395" cy="198755"/>
            <wp:effectExtent l="0" t="0" r="0" b="0"/>
            <wp:docPr id="10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366395" cy="198755"/>
                    </a:xfrm>
                    <a:prstGeom prst="rect">
                      <a:avLst/>
                    </a:prstGeom>
                    <a:noFill/>
                    <a:ln>
                      <a:noFill/>
                    </a:ln>
                  </pic:spPr>
                </pic:pic>
              </a:graphicData>
            </a:graphic>
          </wp:inline>
        </w:drawing>
      </w:r>
      <w:r>
        <w:t>);</w:t>
      </w:r>
    </w:p>
    <w:p w:rsidR="00212513" w:rsidRDefault="00212513">
      <w:pPr>
        <w:pStyle w:val="ConsPlusNormal"/>
        <w:spacing w:before="220"/>
        <w:ind w:firstLine="540"/>
        <w:jc w:val="both"/>
      </w:pPr>
      <w:r>
        <w:rPr>
          <w:i/>
        </w:rPr>
        <w:t>l</w:t>
      </w:r>
      <w:r>
        <w:t xml:space="preserve"> - длина пролета разрезной балки или расстояние между точками нулевых моментов в неразрезной балке.</w:t>
      </w:r>
    </w:p>
    <w:p w:rsidR="00212513" w:rsidRDefault="00212513">
      <w:pPr>
        <w:pStyle w:val="ConsPlusNormal"/>
        <w:ind w:firstLine="540"/>
        <w:jc w:val="both"/>
      </w:pPr>
    </w:p>
    <w:p w:rsidR="00212513" w:rsidRDefault="00212513">
      <w:pPr>
        <w:pStyle w:val="ConsPlusNormal"/>
        <w:jc w:val="right"/>
      </w:pPr>
      <w:bookmarkStart w:id="307" w:name="P7219"/>
      <w:bookmarkEnd w:id="307"/>
      <w:r>
        <w:t>Таблица 8.17</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59"/>
        <w:gridCol w:w="2259"/>
        <w:gridCol w:w="2259"/>
        <w:gridCol w:w="2262"/>
      </w:tblGrid>
      <w:tr w:rsidR="00212513">
        <w:tc>
          <w:tcPr>
            <w:tcW w:w="2259" w:type="dxa"/>
            <w:tcBorders>
              <w:top w:val="single" w:sz="4" w:space="0" w:color="auto"/>
              <w:bottom w:val="single" w:sz="4" w:space="0" w:color="auto"/>
            </w:tcBorders>
            <w:vAlign w:val="center"/>
          </w:tcPr>
          <w:p w:rsidR="00212513" w:rsidRDefault="00212513">
            <w:pPr>
              <w:pStyle w:val="ConsPlusNormal"/>
              <w:jc w:val="center"/>
            </w:pPr>
            <w:r>
              <w:rPr>
                <w:noProof/>
                <w:position w:val="-8"/>
              </w:rPr>
              <w:drawing>
                <wp:inline distT="0" distB="0" distL="0" distR="0">
                  <wp:extent cx="702310" cy="251460"/>
                  <wp:effectExtent l="0" t="0" r="0" b="0"/>
                  <wp:docPr id="10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7" cstate="print">
                            <a:extLst>
                              <a:ext uri="{28A0092B-C50C-407E-A947-70E740481C1C}">
                                <a14:useLocalDpi xmlns:a14="http://schemas.microsoft.com/office/drawing/2010/main" val="0"/>
                              </a:ext>
                            </a:extLst>
                          </a:blip>
                          <a:srcRect/>
                          <a:stretch>
                            <a:fillRect/>
                          </a:stretch>
                        </pic:blipFill>
                        <pic:spPr bwMode="auto">
                          <a:xfrm>
                            <a:off x="0" y="0"/>
                            <a:ext cx="702310" cy="251460"/>
                          </a:xfrm>
                          <a:prstGeom prst="rect">
                            <a:avLst/>
                          </a:prstGeom>
                          <a:noFill/>
                          <a:ln>
                            <a:noFill/>
                          </a:ln>
                        </pic:spPr>
                      </pic:pic>
                    </a:graphicData>
                  </a:graphic>
                </wp:inline>
              </w:drawing>
            </w:r>
          </w:p>
        </w:tc>
        <w:tc>
          <w:tcPr>
            <w:tcW w:w="2259" w:type="dxa"/>
            <w:tcBorders>
              <w:top w:val="single" w:sz="4" w:space="0" w:color="auto"/>
              <w:bottom w:val="single" w:sz="4" w:space="0" w:color="auto"/>
            </w:tcBorders>
            <w:vAlign w:val="center"/>
          </w:tcPr>
          <w:p w:rsidR="00212513" w:rsidRDefault="00212513">
            <w:pPr>
              <w:pStyle w:val="ConsPlusNormal"/>
              <w:jc w:val="center"/>
            </w:pPr>
            <w:r>
              <w:t>Коэффициент </w:t>
            </w:r>
            <w:r>
              <w:rPr>
                <w:noProof/>
                <w:position w:val="-1"/>
              </w:rPr>
              <w:drawing>
                <wp:inline distT="0" distB="0" distL="0" distR="0">
                  <wp:extent cx="136525" cy="157480"/>
                  <wp:effectExtent l="0" t="0" r="0" b="0"/>
                  <wp:docPr id="10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8"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p>
        </w:tc>
        <w:tc>
          <w:tcPr>
            <w:tcW w:w="2259" w:type="dxa"/>
            <w:tcBorders>
              <w:top w:val="single" w:sz="4" w:space="0" w:color="auto"/>
              <w:bottom w:val="single" w:sz="4" w:space="0" w:color="auto"/>
            </w:tcBorders>
            <w:vAlign w:val="center"/>
          </w:tcPr>
          <w:p w:rsidR="00212513" w:rsidRDefault="00212513">
            <w:pPr>
              <w:pStyle w:val="ConsPlusNormal"/>
              <w:jc w:val="center"/>
            </w:pPr>
            <w:r>
              <w:rPr>
                <w:noProof/>
                <w:position w:val="-8"/>
              </w:rPr>
              <w:drawing>
                <wp:inline distT="0" distB="0" distL="0" distR="0">
                  <wp:extent cx="702310" cy="251460"/>
                  <wp:effectExtent l="0" t="0" r="0" b="0"/>
                  <wp:docPr id="10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7" cstate="print">
                            <a:extLst>
                              <a:ext uri="{28A0092B-C50C-407E-A947-70E740481C1C}">
                                <a14:useLocalDpi xmlns:a14="http://schemas.microsoft.com/office/drawing/2010/main" val="0"/>
                              </a:ext>
                            </a:extLst>
                          </a:blip>
                          <a:srcRect/>
                          <a:stretch>
                            <a:fillRect/>
                          </a:stretch>
                        </pic:blipFill>
                        <pic:spPr bwMode="auto">
                          <a:xfrm>
                            <a:off x="0" y="0"/>
                            <a:ext cx="702310" cy="251460"/>
                          </a:xfrm>
                          <a:prstGeom prst="rect">
                            <a:avLst/>
                          </a:prstGeom>
                          <a:noFill/>
                          <a:ln>
                            <a:noFill/>
                          </a:ln>
                        </pic:spPr>
                      </pic:pic>
                    </a:graphicData>
                  </a:graphic>
                </wp:inline>
              </w:drawing>
            </w:r>
          </w:p>
        </w:tc>
        <w:tc>
          <w:tcPr>
            <w:tcW w:w="2262" w:type="dxa"/>
            <w:tcBorders>
              <w:top w:val="single" w:sz="4" w:space="0" w:color="auto"/>
              <w:bottom w:val="single" w:sz="4" w:space="0" w:color="auto"/>
            </w:tcBorders>
            <w:vAlign w:val="center"/>
          </w:tcPr>
          <w:p w:rsidR="00212513" w:rsidRDefault="00212513">
            <w:pPr>
              <w:pStyle w:val="ConsPlusNormal"/>
              <w:jc w:val="center"/>
            </w:pPr>
            <w:r>
              <w:t>Коэффициент </w:t>
            </w:r>
            <w:r>
              <w:rPr>
                <w:noProof/>
                <w:position w:val="-1"/>
              </w:rPr>
              <w:drawing>
                <wp:inline distT="0" distB="0" distL="0" distR="0">
                  <wp:extent cx="136525" cy="157480"/>
                  <wp:effectExtent l="0" t="0" r="0" b="0"/>
                  <wp:docPr id="10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8"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p>
        </w:tc>
      </w:tr>
      <w:tr w:rsidR="00212513">
        <w:tblPrEx>
          <w:tblBorders>
            <w:insideH w:val="none" w:sz="0" w:space="0" w:color="auto"/>
          </w:tblBorders>
        </w:tblPrEx>
        <w:tc>
          <w:tcPr>
            <w:tcW w:w="2259" w:type="dxa"/>
            <w:tcBorders>
              <w:top w:val="single" w:sz="4" w:space="0" w:color="auto"/>
              <w:bottom w:val="nil"/>
            </w:tcBorders>
          </w:tcPr>
          <w:p w:rsidR="00212513" w:rsidRDefault="00212513">
            <w:pPr>
              <w:pStyle w:val="ConsPlusNormal"/>
              <w:jc w:val="center"/>
            </w:pPr>
            <w:r>
              <w:t>1,0</w:t>
            </w:r>
          </w:p>
        </w:tc>
        <w:tc>
          <w:tcPr>
            <w:tcW w:w="2259" w:type="dxa"/>
            <w:tcBorders>
              <w:top w:val="single" w:sz="4" w:space="0" w:color="auto"/>
              <w:bottom w:val="nil"/>
            </w:tcBorders>
          </w:tcPr>
          <w:p w:rsidR="00212513" w:rsidRDefault="00212513">
            <w:pPr>
              <w:pStyle w:val="ConsPlusNormal"/>
              <w:jc w:val="center"/>
            </w:pPr>
            <w:r>
              <w:t>1</w:t>
            </w:r>
          </w:p>
        </w:tc>
        <w:tc>
          <w:tcPr>
            <w:tcW w:w="2259" w:type="dxa"/>
            <w:tcBorders>
              <w:top w:val="single" w:sz="4" w:space="0" w:color="auto"/>
              <w:bottom w:val="nil"/>
            </w:tcBorders>
          </w:tcPr>
          <w:p w:rsidR="00212513" w:rsidRDefault="00212513">
            <w:pPr>
              <w:pStyle w:val="ConsPlusNormal"/>
              <w:jc w:val="center"/>
            </w:pPr>
            <w:r>
              <w:t>0,25</w:t>
            </w:r>
          </w:p>
        </w:tc>
        <w:tc>
          <w:tcPr>
            <w:tcW w:w="2262" w:type="dxa"/>
            <w:tcBorders>
              <w:top w:val="single" w:sz="4" w:space="0" w:color="auto"/>
              <w:bottom w:val="nil"/>
            </w:tcBorders>
          </w:tcPr>
          <w:p w:rsidR="00212513" w:rsidRDefault="00212513">
            <w:pPr>
              <w:pStyle w:val="ConsPlusNormal"/>
              <w:jc w:val="center"/>
            </w:pPr>
            <w:r>
              <w:t>0,65</w:t>
            </w:r>
          </w:p>
        </w:tc>
      </w:tr>
      <w:tr w:rsidR="00212513">
        <w:tblPrEx>
          <w:tblBorders>
            <w:insideH w:val="none" w:sz="0" w:space="0" w:color="auto"/>
          </w:tblBorders>
        </w:tblPrEx>
        <w:tc>
          <w:tcPr>
            <w:tcW w:w="2259" w:type="dxa"/>
            <w:tcBorders>
              <w:top w:val="nil"/>
              <w:bottom w:val="nil"/>
            </w:tcBorders>
          </w:tcPr>
          <w:p w:rsidR="00212513" w:rsidRDefault="00212513">
            <w:pPr>
              <w:pStyle w:val="ConsPlusNormal"/>
              <w:jc w:val="center"/>
            </w:pPr>
            <w:r>
              <w:t>0,7</w:t>
            </w:r>
          </w:p>
        </w:tc>
        <w:tc>
          <w:tcPr>
            <w:tcW w:w="2259" w:type="dxa"/>
            <w:tcBorders>
              <w:top w:val="nil"/>
              <w:bottom w:val="nil"/>
            </w:tcBorders>
          </w:tcPr>
          <w:p w:rsidR="00212513" w:rsidRDefault="00212513">
            <w:pPr>
              <w:pStyle w:val="ConsPlusNormal"/>
              <w:jc w:val="center"/>
            </w:pPr>
            <w:r>
              <w:t>1</w:t>
            </w:r>
          </w:p>
        </w:tc>
        <w:tc>
          <w:tcPr>
            <w:tcW w:w="2259" w:type="dxa"/>
            <w:tcBorders>
              <w:top w:val="nil"/>
              <w:bottom w:val="nil"/>
            </w:tcBorders>
          </w:tcPr>
          <w:p w:rsidR="00212513" w:rsidRDefault="00212513">
            <w:pPr>
              <w:pStyle w:val="ConsPlusNormal"/>
              <w:jc w:val="center"/>
            </w:pPr>
            <w:r>
              <w:t>0,20</w:t>
            </w:r>
          </w:p>
        </w:tc>
        <w:tc>
          <w:tcPr>
            <w:tcW w:w="2262" w:type="dxa"/>
            <w:tcBorders>
              <w:top w:val="nil"/>
              <w:bottom w:val="nil"/>
            </w:tcBorders>
          </w:tcPr>
          <w:p w:rsidR="00212513" w:rsidRDefault="00212513">
            <w:pPr>
              <w:pStyle w:val="ConsPlusNormal"/>
              <w:jc w:val="center"/>
            </w:pPr>
            <w:r>
              <w:t>0,60</w:t>
            </w:r>
          </w:p>
        </w:tc>
      </w:tr>
      <w:tr w:rsidR="00212513">
        <w:tblPrEx>
          <w:tblBorders>
            <w:insideH w:val="none" w:sz="0" w:space="0" w:color="auto"/>
          </w:tblBorders>
        </w:tblPrEx>
        <w:tc>
          <w:tcPr>
            <w:tcW w:w="2259" w:type="dxa"/>
            <w:tcBorders>
              <w:top w:val="nil"/>
              <w:bottom w:val="nil"/>
            </w:tcBorders>
          </w:tcPr>
          <w:p w:rsidR="00212513" w:rsidRDefault="00212513">
            <w:pPr>
              <w:pStyle w:val="ConsPlusNormal"/>
              <w:jc w:val="center"/>
            </w:pPr>
            <w:r>
              <w:t>0,5</w:t>
            </w:r>
          </w:p>
        </w:tc>
        <w:tc>
          <w:tcPr>
            <w:tcW w:w="2259" w:type="dxa"/>
            <w:tcBorders>
              <w:top w:val="nil"/>
              <w:bottom w:val="nil"/>
            </w:tcBorders>
          </w:tcPr>
          <w:p w:rsidR="00212513" w:rsidRDefault="00212513">
            <w:pPr>
              <w:pStyle w:val="ConsPlusNormal"/>
              <w:jc w:val="center"/>
            </w:pPr>
            <w:r>
              <w:t>0,85</w:t>
            </w:r>
          </w:p>
        </w:tc>
        <w:tc>
          <w:tcPr>
            <w:tcW w:w="2259" w:type="dxa"/>
            <w:tcBorders>
              <w:top w:val="nil"/>
              <w:bottom w:val="nil"/>
            </w:tcBorders>
          </w:tcPr>
          <w:p w:rsidR="00212513" w:rsidRDefault="00212513">
            <w:pPr>
              <w:pStyle w:val="ConsPlusNormal"/>
              <w:jc w:val="center"/>
            </w:pPr>
            <w:r>
              <w:t>0,10</w:t>
            </w:r>
          </w:p>
        </w:tc>
        <w:tc>
          <w:tcPr>
            <w:tcW w:w="2262" w:type="dxa"/>
            <w:tcBorders>
              <w:top w:val="nil"/>
              <w:bottom w:val="nil"/>
            </w:tcBorders>
          </w:tcPr>
          <w:p w:rsidR="00212513" w:rsidRDefault="00212513">
            <w:pPr>
              <w:pStyle w:val="ConsPlusNormal"/>
              <w:jc w:val="center"/>
            </w:pPr>
            <w:r>
              <w:t>0,52</w:t>
            </w:r>
          </w:p>
        </w:tc>
      </w:tr>
      <w:tr w:rsidR="00212513">
        <w:tblPrEx>
          <w:tblBorders>
            <w:insideH w:val="none" w:sz="0" w:space="0" w:color="auto"/>
          </w:tblBorders>
        </w:tblPrEx>
        <w:tc>
          <w:tcPr>
            <w:tcW w:w="2259" w:type="dxa"/>
            <w:tcBorders>
              <w:top w:val="nil"/>
              <w:bottom w:val="single" w:sz="4" w:space="0" w:color="auto"/>
            </w:tcBorders>
          </w:tcPr>
          <w:p w:rsidR="00212513" w:rsidRDefault="00212513">
            <w:pPr>
              <w:pStyle w:val="ConsPlusNormal"/>
              <w:jc w:val="center"/>
            </w:pPr>
            <w:r>
              <w:t>0,33</w:t>
            </w:r>
          </w:p>
        </w:tc>
        <w:tc>
          <w:tcPr>
            <w:tcW w:w="2259" w:type="dxa"/>
            <w:tcBorders>
              <w:top w:val="nil"/>
              <w:bottom w:val="single" w:sz="4" w:space="0" w:color="auto"/>
            </w:tcBorders>
          </w:tcPr>
          <w:p w:rsidR="00212513" w:rsidRDefault="00212513">
            <w:pPr>
              <w:pStyle w:val="ConsPlusNormal"/>
              <w:jc w:val="center"/>
            </w:pPr>
            <w:r>
              <w:t>0,72</w:t>
            </w:r>
          </w:p>
        </w:tc>
        <w:tc>
          <w:tcPr>
            <w:tcW w:w="2259" w:type="dxa"/>
            <w:tcBorders>
              <w:top w:val="nil"/>
              <w:bottom w:val="single" w:sz="4" w:space="0" w:color="auto"/>
            </w:tcBorders>
          </w:tcPr>
          <w:p w:rsidR="00212513" w:rsidRDefault="00212513">
            <w:pPr>
              <w:pStyle w:val="ConsPlusNormal"/>
              <w:jc w:val="center"/>
            </w:pPr>
            <w:r>
              <w:t>0</w:t>
            </w:r>
          </w:p>
        </w:tc>
        <w:tc>
          <w:tcPr>
            <w:tcW w:w="2262" w:type="dxa"/>
            <w:tcBorders>
              <w:top w:val="nil"/>
              <w:bottom w:val="single" w:sz="4" w:space="0" w:color="auto"/>
            </w:tcBorders>
          </w:tcPr>
          <w:p w:rsidR="00212513" w:rsidRDefault="00212513">
            <w:pPr>
              <w:pStyle w:val="ConsPlusNormal"/>
              <w:jc w:val="center"/>
            </w:pPr>
            <w:r>
              <w:t>0,43</w:t>
            </w:r>
          </w:p>
        </w:tc>
      </w:tr>
      <w:tr w:rsidR="00212513">
        <w:tblPrEx>
          <w:tblBorders>
            <w:insideH w:val="none" w:sz="0" w:space="0" w:color="auto"/>
          </w:tblBorders>
        </w:tblPrEx>
        <w:tc>
          <w:tcPr>
            <w:tcW w:w="9039" w:type="dxa"/>
            <w:gridSpan w:val="4"/>
            <w:tcBorders>
              <w:top w:val="single" w:sz="4" w:space="0" w:color="auto"/>
              <w:bottom w:val="nil"/>
            </w:tcBorders>
          </w:tcPr>
          <w:p w:rsidR="00212513" w:rsidRDefault="00212513">
            <w:pPr>
              <w:pStyle w:val="ConsPlusNormal"/>
              <w:ind w:firstLine="283"/>
              <w:jc w:val="both"/>
            </w:pPr>
            <w:r>
              <w:t xml:space="preserve">Обозначения, принятые в </w:t>
            </w:r>
            <w:hyperlink w:anchor="P7219">
              <w:r>
                <w:rPr>
                  <w:color w:val="0000FF"/>
                </w:rPr>
                <w:t>таблице 8.17</w:t>
              </w:r>
            </w:hyperlink>
            <w:r>
              <w:t>:</w:t>
            </w:r>
          </w:p>
          <w:p w:rsidR="00212513" w:rsidRDefault="00212513">
            <w:pPr>
              <w:pStyle w:val="ConsPlusNormal"/>
              <w:ind w:firstLine="283"/>
              <w:jc w:val="both"/>
            </w:pPr>
            <w:r>
              <w:rPr>
                <w:noProof/>
                <w:position w:val="-8"/>
              </w:rPr>
              <w:drawing>
                <wp:inline distT="0" distB="0" distL="0" distR="0">
                  <wp:extent cx="335280" cy="251460"/>
                  <wp:effectExtent l="0" t="0" r="0" b="0"/>
                  <wp:docPr id="10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9" cstate="print">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r>
              <w:t xml:space="preserve">, </w:t>
            </w:r>
            <w:r>
              <w:rPr>
                <w:noProof/>
                <w:position w:val="-8"/>
              </w:rPr>
              <w:drawing>
                <wp:inline distT="0" distB="0" distL="0" distR="0">
                  <wp:extent cx="325120" cy="251460"/>
                  <wp:effectExtent l="0" t="0" r="0" b="0"/>
                  <wp:docPr id="10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0" cstate="print">
                            <a:extLst>
                              <a:ext uri="{28A0092B-C50C-407E-A947-70E740481C1C}">
                                <a14:useLocalDpi xmlns:a14="http://schemas.microsoft.com/office/drawing/2010/main" val="0"/>
                              </a:ext>
                            </a:extLst>
                          </a:blip>
                          <a:srcRect/>
                          <a:stretch>
                            <a:fillRect/>
                          </a:stretch>
                        </pic:blipFill>
                        <pic:spPr bwMode="auto">
                          <a:xfrm>
                            <a:off x="0" y="0"/>
                            <a:ext cx="325120" cy="251460"/>
                          </a:xfrm>
                          <a:prstGeom prst="rect">
                            <a:avLst/>
                          </a:prstGeom>
                          <a:noFill/>
                          <a:ln>
                            <a:noFill/>
                          </a:ln>
                        </pic:spPr>
                      </pic:pic>
                    </a:graphicData>
                  </a:graphic>
                </wp:inline>
              </w:drawing>
            </w:r>
            <w:r>
              <w:t xml:space="preserve"> - максимальное и минимальное напряжения на данном участке пояса шириной </w:t>
            </w:r>
            <w:r>
              <w:rPr>
                <w:noProof/>
                <w:position w:val="-8"/>
              </w:rPr>
              <w:drawing>
                <wp:inline distT="0" distB="0" distL="0" distR="0">
                  <wp:extent cx="157480" cy="251460"/>
                  <wp:effectExtent l="0" t="0" r="0" b="0"/>
                  <wp:docPr id="10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1" cstate="print">
                            <a:extLst>
                              <a:ext uri="{28A0092B-C50C-407E-A947-70E740481C1C}">
                                <a14:useLocalDpi xmlns:a14="http://schemas.microsoft.com/office/drawing/2010/main" val="0"/>
                              </a:ext>
                            </a:extLst>
                          </a:blip>
                          <a:srcRect/>
                          <a:stretch>
                            <a:fillRect/>
                          </a:stretch>
                        </pic:blipFill>
                        <pic:spPr bwMode="auto">
                          <a:xfrm>
                            <a:off x="0" y="0"/>
                            <a:ext cx="157480" cy="251460"/>
                          </a:xfrm>
                          <a:prstGeom prst="rect">
                            <a:avLst/>
                          </a:prstGeom>
                          <a:noFill/>
                          <a:ln>
                            <a:noFill/>
                          </a:ln>
                        </pic:spPr>
                      </pic:pic>
                    </a:graphicData>
                  </a:graphic>
                </wp:inline>
              </w:drawing>
            </w:r>
            <w:r>
              <w:t>, определяемые расчетом пространственной конструкции в упругой стадии.</w:t>
            </w:r>
          </w:p>
        </w:tc>
      </w:tr>
      <w:tr w:rsidR="00212513">
        <w:tblPrEx>
          <w:tblBorders>
            <w:insideH w:val="none" w:sz="0" w:space="0" w:color="auto"/>
          </w:tblBorders>
        </w:tblPrEx>
        <w:tc>
          <w:tcPr>
            <w:tcW w:w="9039" w:type="dxa"/>
            <w:gridSpan w:val="4"/>
            <w:tcBorders>
              <w:top w:val="nil"/>
              <w:bottom w:val="single" w:sz="4" w:space="0" w:color="auto"/>
            </w:tcBorders>
          </w:tcPr>
          <w:p w:rsidR="00212513" w:rsidRDefault="00212513">
            <w:pPr>
              <w:pStyle w:val="ConsPlusNormal"/>
              <w:ind w:firstLine="283"/>
              <w:jc w:val="both"/>
            </w:pPr>
            <w:r>
              <w:t>Примечание - При наличии вырезов в ортотропных плитах для пропуска тела пилона, обрывов плиты в отсеках многосекционного коробчатого сечения, при других нарушениях регулярности конструкции, а также в сечениях, где приложены сосредоточенные силы, значения коэффициента ню следует определять по расчету.</w:t>
            </w:r>
          </w:p>
        </w:tc>
      </w:tr>
    </w:tbl>
    <w:p w:rsidR="00212513" w:rsidRDefault="00212513">
      <w:pPr>
        <w:pStyle w:val="ConsPlusNormal"/>
        <w:ind w:firstLine="540"/>
        <w:jc w:val="both"/>
      </w:pPr>
    </w:p>
    <w:p w:rsidR="00212513" w:rsidRDefault="00212513">
      <w:pPr>
        <w:pStyle w:val="ConsPlusNormal"/>
        <w:ind w:firstLine="540"/>
        <w:jc w:val="both"/>
      </w:pPr>
      <w:r>
        <w:t>8.27 Расчет по прочности элементов, изгибаемых в двух главных плоскостях, следует выполнять:</w:t>
      </w:r>
    </w:p>
    <w:p w:rsidR="00212513" w:rsidRDefault="00212513">
      <w:pPr>
        <w:pStyle w:val="ConsPlusNormal"/>
        <w:spacing w:before="220"/>
        <w:ind w:firstLine="540"/>
        <w:jc w:val="both"/>
      </w:pPr>
      <w:r>
        <w:t>с двутавровыми и коробчатыми сечениями с двумя осями симметрии - по формуле</w:t>
      </w:r>
    </w:p>
    <w:p w:rsidR="00212513" w:rsidRDefault="00212513">
      <w:pPr>
        <w:pStyle w:val="ConsPlusNormal"/>
        <w:ind w:firstLine="540"/>
        <w:jc w:val="both"/>
      </w:pPr>
    </w:p>
    <w:p w:rsidR="00212513" w:rsidRDefault="00212513">
      <w:pPr>
        <w:pStyle w:val="ConsPlusNormal"/>
        <w:jc w:val="center"/>
      </w:pPr>
      <w:bookmarkStart w:id="308" w:name="P7248"/>
      <w:bookmarkEnd w:id="308"/>
      <w:r>
        <w:rPr>
          <w:noProof/>
          <w:position w:val="-32"/>
        </w:rPr>
        <w:drawing>
          <wp:inline distT="0" distB="0" distL="0" distR="0">
            <wp:extent cx="1941830" cy="553085"/>
            <wp:effectExtent l="0" t="0" r="0" b="0"/>
            <wp:docPr id="10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2" cstate="print">
                      <a:extLst>
                        <a:ext uri="{28A0092B-C50C-407E-A947-70E740481C1C}">
                          <a14:useLocalDpi xmlns:a14="http://schemas.microsoft.com/office/drawing/2010/main" val="0"/>
                        </a:ext>
                      </a:extLst>
                    </a:blip>
                    <a:srcRect/>
                    <a:stretch>
                      <a:fillRect/>
                    </a:stretch>
                  </pic:blipFill>
                  <pic:spPr bwMode="auto">
                    <a:xfrm>
                      <a:off x="0" y="0"/>
                      <a:ext cx="1941830" cy="553085"/>
                    </a:xfrm>
                    <a:prstGeom prst="rect">
                      <a:avLst/>
                    </a:prstGeom>
                    <a:noFill/>
                    <a:ln>
                      <a:noFill/>
                    </a:ln>
                  </pic:spPr>
                </pic:pic>
              </a:graphicData>
            </a:graphic>
          </wp:inline>
        </w:drawing>
      </w:r>
      <w:r>
        <w:t>; (8.10)</w:t>
      </w:r>
    </w:p>
    <w:p w:rsidR="00212513" w:rsidRDefault="00212513">
      <w:pPr>
        <w:pStyle w:val="ConsPlusNormal"/>
        <w:ind w:firstLine="540"/>
        <w:jc w:val="both"/>
      </w:pPr>
    </w:p>
    <w:p w:rsidR="00212513" w:rsidRDefault="00212513">
      <w:pPr>
        <w:pStyle w:val="ConsPlusNormal"/>
        <w:ind w:firstLine="540"/>
        <w:jc w:val="both"/>
      </w:pPr>
      <w:r>
        <w:t>с сечениями других типов - по формуле</w:t>
      </w:r>
    </w:p>
    <w:p w:rsidR="00212513" w:rsidRDefault="00212513">
      <w:pPr>
        <w:pStyle w:val="ConsPlusNormal"/>
        <w:ind w:firstLine="540"/>
        <w:jc w:val="both"/>
      </w:pPr>
    </w:p>
    <w:p w:rsidR="00212513" w:rsidRDefault="00212513">
      <w:pPr>
        <w:pStyle w:val="ConsPlusNormal"/>
        <w:jc w:val="center"/>
      </w:pPr>
      <w:r>
        <w:rPr>
          <w:noProof/>
          <w:position w:val="-29"/>
        </w:rPr>
        <w:lastRenderedPageBreak/>
        <w:drawing>
          <wp:inline distT="0" distB="0" distL="0" distR="0">
            <wp:extent cx="1438910" cy="511810"/>
            <wp:effectExtent l="0" t="0" r="0" b="0"/>
            <wp:docPr id="10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3" cstate="print">
                      <a:extLst>
                        <a:ext uri="{28A0092B-C50C-407E-A947-70E740481C1C}">
                          <a14:useLocalDpi xmlns:a14="http://schemas.microsoft.com/office/drawing/2010/main" val="0"/>
                        </a:ext>
                      </a:extLst>
                    </a:blip>
                    <a:srcRect/>
                    <a:stretch>
                      <a:fillRect/>
                    </a:stretch>
                  </pic:blipFill>
                  <pic:spPr bwMode="auto">
                    <a:xfrm>
                      <a:off x="0" y="0"/>
                      <a:ext cx="1438910" cy="511810"/>
                    </a:xfrm>
                    <a:prstGeom prst="rect">
                      <a:avLst/>
                    </a:prstGeom>
                    <a:noFill/>
                    <a:ln>
                      <a:noFill/>
                    </a:ln>
                  </pic:spPr>
                </pic:pic>
              </a:graphicData>
            </a:graphic>
          </wp:inline>
        </w:drawing>
      </w:r>
      <w:r>
        <w:t>, (8.11)</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8"/>
        </w:rPr>
        <w:drawing>
          <wp:inline distT="0" distB="0" distL="0" distR="0">
            <wp:extent cx="220980" cy="251460"/>
            <wp:effectExtent l="0" t="0" r="0" b="0"/>
            <wp:docPr id="10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4"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10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5"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коэффициенты, определяемые по </w:t>
      </w:r>
      <w:hyperlink w:anchor="P6983">
        <w:r>
          <w:rPr>
            <w:color w:val="0000FF"/>
          </w:rPr>
          <w:t>формулам (8.6)</w:t>
        </w:r>
      </w:hyperlink>
      <w:r>
        <w:t xml:space="preserve"> и </w:t>
      </w:r>
      <w:hyperlink w:anchor="P6987">
        <w:r>
          <w:rPr>
            <w:color w:val="0000FF"/>
          </w:rPr>
          <w:t>(8.7)</w:t>
        </w:r>
      </w:hyperlink>
      <w:r>
        <w:t xml:space="preserve"> как независимые величины для случаев изгиба относительно осей </w:t>
      </w:r>
      <w:r>
        <w:rPr>
          <w:i/>
        </w:rPr>
        <w:t>x</w:t>
      </w:r>
      <w:r>
        <w:t xml:space="preserve"> и </w:t>
      </w:r>
      <w:r>
        <w:rPr>
          <w:i/>
        </w:rPr>
        <w:t>y</w:t>
      </w:r>
      <w:r>
        <w:t>;</w:t>
      </w:r>
    </w:p>
    <w:p w:rsidR="00212513" w:rsidRDefault="00212513">
      <w:pPr>
        <w:pStyle w:val="ConsPlusNormal"/>
        <w:spacing w:before="220"/>
        <w:ind w:firstLine="540"/>
        <w:jc w:val="both"/>
      </w:pPr>
      <w:r>
        <w:rPr>
          <w:noProof/>
          <w:position w:val="-8"/>
        </w:rPr>
        <w:drawing>
          <wp:inline distT="0" distB="0" distL="0" distR="0">
            <wp:extent cx="209550" cy="251460"/>
            <wp:effectExtent l="0" t="0" r="0" b="0"/>
            <wp:docPr id="10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10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7"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коэффициенты, определяемые:</w:t>
      </w:r>
    </w:p>
    <w:p w:rsidR="00212513" w:rsidRDefault="00212513">
      <w:pPr>
        <w:pStyle w:val="ConsPlusNormal"/>
        <w:spacing w:before="220"/>
        <w:ind w:firstLine="540"/>
        <w:jc w:val="both"/>
      </w:pPr>
      <w:r>
        <w:t>для двутавровых сечений с двумя осями симметрии - по формулам:</w:t>
      </w:r>
    </w:p>
    <w:p w:rsidR="00212513" w:rsidRDefault="00212513">
      <w:pPr>
        <w:pStyle w:val="ConsPlusNormal"/>
        <w:ind w:firstLine="540"/>
        <w:jc w:val="both"/>
      </w:pPr>
    </w:p>
    <w:p w:rsidR="00212513" w:rsidRDefault="00212513">
      <w:pPr>
        <w:pStyle w:val="ConsPlusNormal"/>
        <w:jc w:val="center"/>
      </w:pPr>
      <w:r>
        <w:rPr>
          <w:noProof/>
          <w:position w:val="-29"/>
        </w:rPr>
        <w:drawing>
          <wp:inline distT="0" distB="0" distL="0" distR="0">
            <wp:extent cx="1106170" cy="511810"/>
            <wp:effectExtent l="0" t="0" r="0" b="0"/>
            <wp:docPr id="10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8" cstate="print">
                      <a:extLst>
                        <a:ext uri="{28A0092B-C50C-407E-A947-70E740481C1C}">
                          <a14:useLocalDpi xmlns:a14="http://schemas.microsoft.com/office/drawing/2010/main" val="0"/>
                        </a:ext>
                      </a:extLst>
                    </a:blip>
                    <a:srcRect/>
                    <a:stretch>
                      <a:fillRect/>
                    </a:stretch>
                  </pic:blipFill>
                  <pic:spPr bwMode="auto">
                    <a:xfrm>
                      <a:off x="0" y="0"/>
                      <a:ext cx="1106170" cy="511810"/>
                    </a:xfrm>
                    <a:prstGeom prst="rect">
                      <a:avLst/>
                    </a:prstGeom>
                    <a:noFill/>
                    <a:ln>
                      <a:noFill/>
                    </a:ln>
                  </pic:spPr>
                </pic:pic>
              </a:graphicData>
            </a:graphic>
          </wp:inline>
        </w:drawing>
      </w:r>
      <w:r>
        <w:t xml:space="preserve">; (8.12) </w:t>
      </w:r>
      <w:r>
        <w:rPr>
          <w:noProof/>
          <w:position w:val="-9"/>
        </w:rPr>
        <w:drawing>
          <wp:inline distT="0" distB="0" distL="0" distR="0">
            <wp:extent cx="461010" cy="262890"/>
            <wp:effectExtent l="0" t="0" r="0" b="0"/>
            <wp:docPr id="10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9" cstate="print">
                      <a:extLst>
                        <a:ext uri="{28A0092B-C50C-407E-A947-70E740481C1C}">
                          <a14:useLocalDpi xmlns:a14="http://schemas.microsoft.com/office/drawing/2010/main" val="0"/>
                        </a:ext>
                      </a:extLst>
                    </a:blip>
                    <a:srcRect/>
                    <a:stretch>
                      <a:fillRect/>
                    </a:stretch>
                  </pic:blipFill>
                  <pic:spPr bwMode="auto">
                    <a:xfrm>
                      <a:off x="0" y="0"/>
                      <a:ext cx="461010" cy="262890"/>
                    </a:xfrm>
                    <a:prstGeom prst="rect">
                      <a:avLst/>
                    </a:prstGeom>
                    <a:noFill/>
                    <a:ln>
                      <a:noFill/>
                    </a:ln>
                  </pic:spPr>
                </pic:pic>
              </a:graphicData>
            </a:graphic>
          </wp:inline>
        </w:drawing>
      </w:r>
      <w:r>
        <w:t>; (8.13)</w:t>
      </w:r>
    </w:p>
    <w:p w:rsidR="00212513" w:rsidRDefault="00212513">
      <w:pPr>
        <w:pStyle w:val="ConsPlusNormal"/>
        <w:ind w:firstLine="540"/>
        <w:jc w:val="both"/>
      </w:pPr>
    </w:p>
    <w:p w:rsidR="00212513" w:rsidRDefault="00212513">
      <w:pPr>
        <w:pStyle w:val="ConsPlusNormal"/>
        <w:ind w:firstLine="540"/>
        <w:jc w:val="both"/>
      </w:pPr>
      <w:r>
        <w:t>для коробчатых сечений с двумя осями симметрии - по формулам:</w:t>
      </w:r>
    </w:p>
    <w:p w:rsidR="00212513" w:rsidRDefault="00212513">
      <w:pPr>
        <w:pStyle w:val="ConsPlusNormal"/>
        <w:ind w:firstLine="540"/>
        <w:jc w:val="both"/>
      </w:pPr>
    </w:p>
    <w:p w:rsidR="00212513" w:rsidRDefault="00212513">
      <w:pPr>
        <w:pStyle w:val="ConsPlusNormal"/>
        <w:jc w:val="center"/>
      </w:pPr>
      <w:r>
        <w:rPr>
          <w:noProof/>
          <w:position w:val="-28"/>
        </w:rPr>
        <w:drawing>
          <wp:inline distT="0" distB="0" distL="0" distR="0">
            <wp:extent cx="1148080" cy="502920"/>
            <wp:effectExtent l="0" t="0" r="0" b="0"/>
            <wp:docPr id="10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0" cstate="print">
                      <a:extLst>
                        <a:ext uri="{28A0092B-C50C-407E-A947-70E740481C1C}">
                          <a14:useLocalDpi xmlns:a14="http://schemas.microsoft.com/office/drawing/2010/main" val="0"/>
                        </a:ext>
                      </a:extLst>
                    </a:blip>
                    <a:srcRect/>
                    <a:stretch>
                      <a:fillRect/>
                    </a:stretch>
                  </pic:blipFill>
                  <pic:spPr bwMode="auto">
                    <a:xfrm>
                      <a:off x="0" y="0"/>
                      <a:ext cx="1148080" cy="502920"/>
                    </a:xfrm>
                    <a:prstGeom prst="rect">
                      <a:avLst/>
                    </a:prstGeom>
                    <a:noFill/>
                    <a:ln>
                      <a:noFill/>
                    </a:ln>
                  </pic:spPr>
                </pic:pic>
              </a:graphicData>
            </a:graphic>
          </wp:inline>
        </w:drawing>
      </w:r>
      <w:r>
        <w:t xml:space="preserve">; (8.14) </w:t>
      </w:r>
      <w:r>
        <w:rPr>
          <w:noProof/>
          <w:position w:val="-31"/>
        </w:rPr>
        <w:drawing>
          <wp:inline distT="0" distB="0" distL="0" distR="0">
            <wp:extent cx="1173480" cy="535940"/>
            <wp:effectExtent l="0" t="0" r="0" b="0"/>
            <wp:docPr id="10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1" cstate="print">
                      <a:extLst>
                        <a:ext uri="{28A0092B-C50C-407E-A947-70E740481C1C}">
                          <a14:useLocalDpi xmlns:a14="http://schemas.microsoft.com/office/drawing/2010/main" val="0"/>
                        </a:ext>
                      </a:extLst>
                    </a:blip>
                    <a:srcRect/>
                    <a:stretch>
                      <a:fillRect/>
                    </a:stretch>
                  </pic:blipFill>
                  <pic:spPr bwMode="auto">
                    <a:xfrm>
                      <a:off x="0" y="0"/>
                      <a:ext cx="1173480" cy="535940"/>
                    </a:xfrm>
                    <a:prstGeom prst="rect">
                      <a:avLst/>
                    </a:prstGeom>
                    <a:noFill/>
                    <a:ln>
                      <a:noFill/>
                    </a:ln>
                  </pic:spPr>
                </pic:pic>
              </a:graphicData>
            </a:graphic>
          </wp:inline>
        </w:drawing>
      </w:r>
      <w:r>
        <w:t>, (8.15)</w:t>
      </w:r>
    </w:p>
    <w:p w:rsidR="00212513" w:rsidRDefault="00212513">
      <w:pPr>
        <w:pStyle w:val="ConsPlusNormal"/>
        <w:ind w:firstLine="540"/>
        <w:jc w:val="both"/>
      </w:pPr>
    </w:p>
    <w:p w:rsidR="00212513" w:rsidRDefault="00212513">
      <w:pPr>
        <w:pStyle w:val="ConsPlusNormal"/>
        <w:ind w:firstLine="540"/>
        <w:jc w:val="both"/>
      </w:pPr>
      <w:r>
        <w:t>где</w:t>
      </w:r>
    </w:p>
    <w:p w:rsidR="00212513" w:rsidRDefault="00212513">
      <w:pPr>
        <w:pStyle w:val="ConsPlusNormal"/>
        <w:ind w:firstLine="540"/>
        <w:jc w:val="both"/>
      </w:pPr>
    </w:p>
    <w:p w:rsidR="00212513" w:rsidRDefault="00212513">
      <w:pPr>
        <w:pStyle w:val="ConsPlusNormal"/>
        <w:jc w:val="center"/>
      </w:pPr>
      <w:bookmarkStart w:id="309" w:name="P7266"/>
      <w:bookmarkEnd w:id="309"/>
      <w:r>
        <w:rPr>
          <w:noProof/>
          <w:position w:val="-29"/>
        </w:rPr>
        <w:drawing>
          <wp:inline distT="0" distB="0" distL="0" distR="0">
            <wp:extent cx="1113790" cy="511810"/>
            <wp:effectExtent l="0" t="0" r="0" b="0"/>
            <wp:docPr id="10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1113790" cy="511810"/>
                    </a:xfrm>
                    <a:prstGeom prst="rect">
                      <a:avLst/>
                    </a:prstGeom>
                    <a:noFill/>
                    <a:ln>
                      <a:noFill/>
                    </a:ln>
                  </pic:spPr>
                </pic:pic>
              </a:graphicData>
            </a:graphic>
          </wp:inline>
        </w:drawing>
      </w:r>
      <w:r>
        <w:t xml:space="preserve">; (8.16) </w:t>
      </w:r>
      <w:r>
        <w:rPr>
          <w:noProof/>
          <w:position w:val="-32"/>
        </w:rPr>
        <w:drawing>
          <wp:inline distT="0" distB="0" distL="0" distR="0">
            <wp:extent cx="1106170" cy="553085"/>
            <wp:effectExtent l="0" t="0" r="0" b="0"/>
            <wp:docPr id="10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1106170" cy="553085"/>
                    </a:xfrm>
                    <a:prstGeom prst="rect">
                      <a:avLst/>
                    </a:prstGeom>
                    <a:noFill/>
                    <a:ln>
                      <a:noFill/>
                    </a:ln>
                  </pic:spPr>
                </pic:pic>
              </a:graphicData>
            </a:graphic>
          </wp:inline>
        </w:drawing>
      </w:r>
      <w:r>
        <w:t>. (8.17)</w:t>
      </w:r>
    </w:p>
    <w:p w:rsidR="00212513" w:rsidRDefault="00212513">
      <w:pPr>
        <w:pStyle w:val="ConsPlusNormal"/>
        <w:ind w:firstLine="540"/>
        <w:jc w:val="both"/>
      </w:pPr>
    </w:p>
    <w:p w:rsidR="00212513" w:rsidRDefault="00212513">
      <w:pPr>
        <w:pStyle w:val="ConsPlusTitle"/>
        <w:ind w:firstLine="540"/>
        <w:jc w:val="both"/>
        <w:outlineLvl w:val="3"/>
      </w:pPr>
      <w:r>
        <w:t>Элементы, подверженные действию осевой силы с изгибом</w:t>
      </w:r>
    </w:p>
    <w:p w:rsidR="00212513" w:rsidRDefault="00212513">
      <w:pPr>
        <w:pStyle w:val="ConsPlusNormal"/>
        <w:ind w:firstLine="540"/>
        <w:jc w:val="both"/>
      </w:pPr>
    </w:p>
    <w:p w:rsidR="00212513" w:rsidRDefault="00212513">
      <w:pPr>
        <w:pStyle w:val="ConsPlusNormal"/>
        <w:ind w:firstLine="540"/>
        <w:jc w:val="both"/>
      </w:pPr>
      <w:bookmarkStart w:id="310" w:name="P7270"/>
      <w:bookmarkEnd w:id="310"/>
      <w:r>
        <w:t>8.28 Расчет по прочности внецентренно сжатых, сжато-изгибаемых, внецентренно растянутых и растянуто-изгибаемых элементов при изгибе в одной из главных плоскостей следует выполнять по формуле</w:t>
      </w:r>
    </w:p>
    <w:p w:rsidR="00212513" w:rsidRDefault="00212513">
      <w:pPr>
        <w:pStyle w:val="ConsPlusNormal"/>
        <w:ind w:firstLine="540"/>
        <w:jc w:val="both"/>
      </w:pPr>
    </w:p>
    <w:p w:rsidR="00212513" w:rsidRDefault="00212513">
      <w:pPr>
        <w:pStyle w:val="ConsPlusNormal"/>
        <w:jc w:val="center"/>
      </w:pPr>
      <w:bookmarkStart w:id="311" w:name="P7272"/>
      <w:bookmarkEnd w:id="311"/>
      <w:r>
        <w:rPr>
          <w:noProof/>
          <w:position w:val="-28"/>
        </w:rPr>
        <w:drawing>
          <wp:inline distT="0" distB="0" distL="0" distR="0">
            <wp:extent cx="1313815" cy="502920"/>
            <wp:effectExtent l="0" t="0" r="0" b="0"/>
            <wp:docPr id="10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4" cstate="print">
                      <a:extLst>
                        <a:ext uri="{28A0092B-C50C-407E-A947-70E740481C1C}">
                          <a14:useLocalDpi xmlns:a14="http://schemas.microsoft.com/office/drawing/2010/main" val="0"/>
                        </a:ext>
                      </a:extLst>
                    </a:blip>
                    <a:srcRect/>
                    <a:stretch>
                      <a:fillRect/>
                    </a:stretch>
                  </pic:blipFill>
                  <pic:spPr bwMode="auto">
                    <a:xfrm>
                      <a:off x="0" y="0"/>
                      <a:ext cx="1313815" cy="502920"/>
                    </a:xfrm>
                    <a:prstGeom prst="rect">
                      <a:avLst/>
                    </a:prstGeom>
                    <a:noFill/>
                    <a:ln>
                      <a:noFill/>
                    </a:ln>
                  </pic:spPr>
                </pic:pic>
              </a:graphicData>
            </a:graphic>
          </wp:inline>
        </w:drawing>
      </w:r>
      <w:r>
        <w:t>, (8.18)</w:t>
      </w:r>
    </w:p>
    <w:p w:rsidR="00212513" w:rsidRDefault="00212513">
      <w:pPr>
        <w:pStyle w:val="ConsPlusNormal"/>
        <w:ind w:firstLine="540"/>
        <w:jc w:val="both"/>
      </w:pPr>
    </w:p>
    <w:p w:rsidR="00212513" w:rsidRDefault="00212513">
      <w:pPr>
        <w:pStyle w:val="ConsPlusNormal"/>
        <w:ind w:firstLine="540"/>
        <w:jc w:val="both"/>
      </w:pPr>
      <w:r>
        <w:t xml:space="preserve">где </w:t>
      </w:r>
      <w:r>
        <w:rPr>
          <w:i/>
        </w:rPr>
        <w:t>M</w:t>
      </w:r>
      <w:r>
        <w:t xml:space="preserve"> - приведенный изгибающий момент;</w:t>
      </w:r>
    </w:p>
    <w:p w:rsidR="00212513" w:rsidRDefault="00212513">
      <w:pPr>
        <w:pStyle w:val="ConsPlusNormal"/>
        <w:spacing w:before="220"/>
        <w:ind w:firstLine="540"/>
        <w:jc w:val="both"/>
      </w:pPr>
      <w:r>
        <w:rPr>
          <w:noProof/>
          <w:position w:val="-3"/>
        </w:rPr>
        <w:drawing>
          <wp:inline distT="0" distB="0" distL="0" distR="0">
            <wp:extent cx="167640" cy="177800"/>
            <wp:effectExtent l="0" t="0" r="0" b="0"/>
            <wp:docPr id="10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5"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коэффициент;</w:t>
      </w:r>
    </w:p>
    <w:p w:rsidR="00212513" w:rsidRDefault="00212513">
      <w:pPr>
        <w:pStyle w:val="ConsPlusNormal"/>
        <w:spacing w:before="220"/>
        <w:ind w:firstLine="540"/>
        <w:jc w:val="both"/>
      </w:pPr>
      <w:r>
        <w:rPr>
          <w:noProof/>
          <w:position w:val="-1"/>
        </w:rPr>
        <w:drawing>
          <wp:inline distT="0" distB="0" distL="0" distR="0">
            <wp:extent cx="167640" cy="156845"/>
            <wp:effectExtent l="0" t="0" r="0" b="0"/>
            <wp:docPr id="10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8"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 коэффициент, определяемый по </w:t>
      </w:r>
      <w:hyperlink w:anchor="P6983">
        <w:r>
          <w:rPr>
            <w:color w:val="0000FF"/>
          </w:rPr>
          <w:t>формулам (8.6)</w:t>
        </w:r>
      </w:hyperlink>
      <w:r>
        <w:t xml:space="preserve"> и </w:t>
      </w:r>
      <w:hyperlink w:anchor="P6987">
        <w:r>
          <w:rPr>
            <w:color w:val="0000FF"/>
          </w:rPr>
          <w:t>(8.7)</w:t>
        </w:r>
      </w:hyperlink>
      <w:r>
        <w:t>.</w:t>
      </w:r>
    </w:p>
    <w:p w:rsidR="00212513" w:rsidRDefault="00212513">
      <w:pPr>
        <w:pStyle w:val="ConsPlusNormal"/>
        <w:spacing w:before="220"/>
        <w:ind w:firstLine="540"/>
        <w:jc w:val="both"/>
      </w:pPr>
      <w:r>
        <w:t xml:space="preserve">Приведенный изгибающий момент </w:t>
      </w:r>
      <w:r>
        <w:rPr>
          <w:i/>
        </w:rPr>
        <w:t>M</w:t>
      </w:r>
      <w:r>
        <w:t xml:space="preserve"> при гибкости элементов </w:t>
      </w:r>
      <w:r>
        <w:rPr>
          <w:noProof/>
          <w:position w:val="-4"/>
        </w:rPr>
        <w:drawing>
          <wp:inline distT="0" distB="0" distL="0" distR="0">
            <wp:extent cx="494030" cy="198755"/>
            <wp:effectExtent l="0" t="0" r="0" b="0"/>
            <wp:docPr id="10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494030" cy="198755"/>
                    </a:xfrm>
                    <a:prstGeom prst="rect">
                      <a:avLst/>
                    </a:prstGeom>
                    <a:noFill/>
                    <a:ln>
                      <a:noFill/>
                    </a:ln>
                  </pic:spPr>
                </pic:pic>
              </a:graphicData>
            </a:graphic>
          </wp:inline>
        </w:drawing>
      </w:r>
      <w:r>
        <w:t xml:space="preserve"> для сечений, находящихся в пределах двух средних четвертей длины шарнирно-опертого стержня и всей длины стержня, защемленного по концам, следует определять по формуле</w:t>
      </w:r>
    </w:p>
    <w:p w:rsidR="00212513" w:rsidRDefault="00212513">
      <w:pPr>
        <w:pStyle w:val="ConsPlusNormal"/>
        <w:ind w:firstLine="540"/>
        <w:jc w:val="both"/>
      </w:pPr>
    </w:p>
    <w:p w:rsidR="00212513" w:rsidRDefault="00212513">
      <w:pPr>
        <w:pStyle w:val="ConsPlusNormal"/>
        <w:jc w:val="center"/>
      </w:pPr>
      <w:r>
        <w:rPr>
          <w:noProof/>
          <w:position w:val="-43"/>
        </w:rPr>
        <w:drawing>
          <wp:inline distT="0" distB="0" distL="0" distR="0">
            <wp:extent cx="838200" cy="691515"/>
            <wp:effectExtent l="0" t="0" r="0" b="0"/>
            <wp:docPr id="10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838200" cy="691515"/>
                    </a:xfrm>
                    <a:prstGeom prst="rect">
                      <a:avLst/>
                    </a:prstGeom>
                    <a:noFill/>
                    <a:ln>
                      <a:noFill/>
                    </a:ln>
                  </pic:spPr>
                </pic:pic>
              </a:graphicData>
            </a:graphic>
          </wp:inline>
        </w:drawing>
      </w:r>
      <w:r>
        <w:t>, (8.19)</w:t>
      </w:r>
    </w:p>
    <w:p w:rsidR="00212513" w:rsidRDefault="00212513">
      <w:pPr>
        <w:pStyle w:val="ConsPlusNormal"/>
        <w:ind w:firstLine="540"/>
        <w:jc w:val="both"/>
      </w:pPr>
    </w:p>
    <w:p w:rsidR="00212513" w:rsidRDefault="00212513">
      <w:pPr>
        <w:pStyle w:val="ConsPlusNormal"/>
        <w:ind w:firstLine="540"/>
        <w:jc w:val="both"/>
      </w:pPr>
      <w:r>
        <w:lastRenderedPageBreak/>
        <w:t xml:space="preserve">где </w:t>
      </w:r>
      <w:r>
        <w:rPr>
          <w:noProof/>
          <w:position w:val="-8"/>
        </w:rPr>
        <w:drawing>
          <wp:inline distT="0" distB="0" distL="0" distR="0">
            <wp:extent cx="251460" cy="251460"/>
            <wp:effectExtent l="0" t="0" r="0" b="0"/>
            <wp:docPr id="10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момент, действующий в проверяемом сечении;</w:t>
      </w:r>
    </w:p>
    <w:p w:rsidR="00212513" w:rsidRDefault="00212513">
      <w:pPr>
        <w:pStyle w:val="ConsPlusNormal"/>
        <w:spacing w:before="220"/>
        <w:ind w:firstLine="540"/>
        <w:jc w:val="both"/>
      </w:pPr>
      <w:r>
        <w:rPr>
          <w:i/>
        </w:rPr>
        <w:t>N</w:t>
      </w:r>
      <w:r>
        <w:t xml:space="preserve"> - продольная сила, действующая в проверяемом сечении со своим знаком ("плюс" - растяжение);</w:t>
      </w:r>
    </w:p>
    <w:p w:rsidR="00212513" w:rsidRDefault="00212513">
      <w:pPr>
        <w:pStyle w:val="ConsPlusNormal"/>
        <w:spacing w:before="220"/>
        <w:ind w:firstLine="540"/>
        <w:jc w:val="both"/>
      </w:pPr>
      <w:r>
        <w:rPr>
          <w:noProof/>
          <w:position w:val="-8"/>
        </w:rPr>
        <w:drawing>
          <wp:inline distT="0" distB="0" distL="0" distR="0">
            <wp:extent cx="220980" cy="251460"/>
            <wp:effectExtent l="0" t="0" r="0" b="0"/>
            <wp:docPr id="10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эйлерова критическая сила в плоскости действия момента, вычисленная для соответствующих закреплений стержня;</w:t>
      </w:r>
    </w:p>
    <w:p w:rsidR="00212513" w:rsidRDefault="00212513">
      <w:pPr>
        <w:pStyle w:val="ConsPlusNormal"/>
        <w:spacing w:before="220"/>
        <w:ind w:firstLine="540"/>
        <w:jc w:val="both"/>
      </w:pPr>
      <w:r>
        <w:t xml:space="preserve">при </w:t>
      </w:r>
      <w:r>
        <w:rPr>
          <w:noProof/>
          <w:position w:val="-4"/>
        </w:rPr>
        <w:drawing>
          <wp:inline distT="0" distB="0" distL="0" distR="0">
            <wp:extent cx="494030" cy="198755"/>
            <wp:effectExtent l="0" t="0" r="0" b="0"/>
            <wp:docPr id="10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494030" cy="198755"/>
                    </a:xfrm>
                    <a:prstGeom prst="rect">
                      <a:avLst/>
                    </a:prstGeom>
                    <a:noFill/>
                    <a:ln>
                      <a:noFill/>
                    </a:ln>
                  </pic:spPr>
                </pic:pic>
              </a:graphicData>
            </a:graphic>
          </wp:inline>
        </w:drawing>
      </w:r>
      <w:r>
        <w:t xml:space="preserve"> допускается принимать </w:t>
      </w:r>
      <w:r>
        <w:rPr>
          <w:noProof/>
          <w:position w:val="-8"/>
        </w:rPr>
        <w:drawing>
          <wp:inline distT="0" distB="0" distL="0" distR="0">
            <wp:extent cx="586740" cy="251460"/>
            <wp:effectExtent l="0" t="0" r="0" b="0"/>
            <wp:docPr id="10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1"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Коэффициент </w:t>
      </w:r>
      <w:r>
        <w:rPr>
          <w:noProof/>
          <w:position w:val="-3"/>
        </w:rPr>
        <w:drawing>
          <wp:inline distT="0" distB="0" distL="0" distR="0">
            <wp:extent cx="167640" cy="177800"/>
            <wp:effectExtent l="0" t="0" r="0" b="0"/>
            <wp:docPr id="10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5"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следует определять:</w:t>
      </w:r>
    </w:p>
    <w:p w:rsidR="00212513" w:rsidRDefault="00212513">
      <w:pPr>
        <w:pStyle w:val="ConsPlusNormal"/>
        <w:spacing w:before="220"/>
        <w:ind w:firstLine="540"/>
        <w:jc w:val="both"/>
      </w:pPr>
      <w:r>
        <w:t xml:space="preserve">для элементов двутаврового, коробчатого и таврового сечений с одной осью симметрии по </w:t>
      </w:r>
      <w:hyperlink w:anchor="P7297">
        <w:r>
          <w:rPr>
            <w:color w:val="0000FF"/>
          </w:rPr>
          <w:t>таблице 8.18</w:t>
        </w:r>
      </w:hyperlink>
      <w:r>
        <w:t xml:space="preserve"> - в случае если напряжения в меньшем поясе (с площадью </w:t>
      </w:r>
      <w:r>
        <w:rPr>
          <w:noProof/>
          <w:position w:val="-9"/>
        </w:rPr>
        <w:drawing>
          <wp:inline distT="0" distB="0" distL="0" distR="0">
            <wp:extent cx="419100" cy="262890"/>
            <wp:effectExtent l="0" t="0" r="0" b="0"/>
            <wp:docPr id="10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2" cstate="print">
                      <a:extLst>
                        <a:ext uri="{28A0092B-C50C-407E-A947-70E740481C1C}">
                          <a14:useLocalDpi xmlns:a14="http://schemas.microsoft.com/office/drawing/2010/main" val="0"/>
                        </a:ext>
                      </a:extLst>
                    </a:blip>
                    <a:srcRect/>
                    <a:stretch>
                      <a:fillRect/>
                    </a:stretch>
                  </pic:blipFill>
                  <pic:spPr bwMode="auto">
                    <a:xfrm>
                      <a:off x="0" y="0"/>
                      <a:ext cx="419100" cy="262890"/>
                    </a:xfrm>
                    <a:prstGeom prst="rect">
                      <a:avLst/>
                    </a:prstGeom>
                    <a:noFill/>
                    <a:ln>
                      <a:noFill/>
                    </a:ln>
                  </pic:spPr>
                </pic:pic>
              </a:graphicData>
            </a:graphic>
          </wp:inline>
        </w:drawing>
      </w:r>
      <w:r>
        <w:t xml:space="preserve">) от момента и продольной силы одинаковых знаков, и по </w:t>
      </w:r>
      <w:hyperlink w:anchor="P7388">
        <w:r>
          <w:rPr>
            <w:color w:val="0000FF"/>
          </w:rPr>
          <w:t>таблице 8.19</w:t>
        </w:r>
      </w:hyperlink>
      <w:r>
        <w:t xml:space="preserve"> - в случае если напряжения в меньшем поясе от момента и продольной силы разных знаков;</w:t>
      </w:r>
    </w:p>
    <w:p w:rsidR="00212513" w:rsidRDefault="00212513">
      <w:pPr>
        <w:pStyle w:val="ConsPlusNormal"/>
        <w:spacing w:before="220"/>
        <w:ind w:firstLine="540"/>
        <w:jc w:val="both"/>
      </w:pPr>
      <w:r>
        <w:t>для элементов сплошного прямоугольного и Н-образного сечений - по формуле</w:t>
      </w:r>
    </w:p>
    <w:p w:rsidR="00212513" w:rsidRDefault="00212513">
      <w:pPr>
        <w:pStyle w:val="ConsPlusNormal"/>
        <w:ind w:firstLine="540"/>
        <w:jc w:val="both"/>
      </w:pPr>
    </w:p>
    <w:p w:rsidR="00212513" w:rsidRDefault="00212513">
      <w:pPr>
        <w:pStyle w:val="ConsPlusNormal"/>
        <w:jc w:val="center"/>
      </w:pPr>
      <w:bookmarkStart w:id="312" w:name="P7289"/>
      <w:bookmarkEnd w:id="312"/>
      <w:r>
        <w:rPr>
          <w:noProof/>
          <w:position w:val="-29"/>
        </w:rPr>
        <w:drawing>
          <wp:inline distT="0" distB="0" distL="0" distR="0">
            <wp:extent cx="818515" cy="511810"/>
            <wp:effectExtent l="0" t="0" r="0" b="0"/>
            <wp:docPr id="10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818515" cy="511810"/>
                    </a:xfrm>
                    <a:prstGeom prst="rect">
                      <a:avLst/>
                    </a:prstGeom>
                    <a:noFill/>
                    <a:ln>
                      <a:noFill/>
                    </a:ln>
                  </pic:spPr>
                </pic:pic>
              </a:graphicData>
            </a:graphic>
          </wp:inline>
        </w:drawing>
      </w:r>
      <w:r>
        <w:t>; (8.20)</w:t>
      </w:r>
    </w:p>
    <w:p w:rsidR="00212513" w:rsidRDefault="00212513">
      <w:pPr>
        <w:pStyle w:val="ConsPlusNormal"/>
        <w:ind w:firstLine="540"/>
        <w:jc w:val="both"/>
      </w:pPr>
    </w:p>
    <w:p w:rsidR="00212513" w:rsidRDefault="00212513">
      <w:pPr>
        <w:pStyle w:val="ConsPlusNormal"/>
        <w:ind w:firstLine="540"/>
        <w:jc w:val="both"/>
      </w:pPr>
      <w:r>
        <w:t>для элементов кольцевого сечения - по формуле</w:t>
      </w:r>
    </w:p>
    <w:p w:rsidR="00212513" w:rsidRDefault="00212513">
      <w:pPr>
        <w:pStyle w:val="ConsPlusNormal"/>
        <w:ind w:firstLine="540"/>
        <w:jc w:val="both"/>
      </w:pPr>
    </w:p>
    <w:p w:rsidR="00212513" w:rsidRDefault="00212513">
      <w:pPr>
        <w:pStyle w:val="ConsPlusNormal"/>
        <w:jc w:val="center"/>
      </w:pPr>
      <w:r>
        <w:rPr>
          <w:noProof/>
          <w:position w:val="-26"/>
        </w:rPr>
        <w:drawing>
          <wp:inline distT="0" distB="0" distL="0" distR="0">
            <wp:extent cx="1383030" cy="470535"/>
            <wp:effectExtent l="0" t="0" r="0" b="0"/>
            <wp:docPr id="10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4" cstate="print">
                      <a:extLst>
                        <a:ext uri="{28A0092B-C50C-407E-A947-70E740481C1C}">
                          <a14:useLocalDpi xmlns:a14="http://schemas.microsoft.com/office/drawing/2010/main" val="0"/>
                        </a:ext>
                      </a:extLst>
                    </a:blip>
                    <a:srcRect/>
                    <a:stretch>
                      <a:fillRect/>
                    </a:stretch>
                  </pic:blipFill>
                  <pic:spPr bwMode="auto">
                    <a:xfrm>
                      <a:off x="0" y="0"/>
                      <a:ext cx="1383030" cy="470535"/>
                    </a:xfrm>
                    <a:prstGeom prst="rect">
                      <a:avLst/>
                    </a:prstGeom>
                    <a:noFill/>
                    <a:ln>
                      <a:noFill/>
                    </a:ln>
                  </pic:spPr>
                </pic:pic>
              </a:graphicData>
            </a:graphic>
          </wp:inline>
        </w:drawing>
      </w:r>
      <w:r>
        <w:t>, (8.21)</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29"/>
        </w:rPr>
        <w:drawing>
          <wp:inline distT="0" distB="0" distL="0" distR="0">
            <wp:extent cx="818515" cy="511810"/>
            <wp:effectExtent l="0" t="0" r="0" b="0"/>
            <wp:docPr id="10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5" cstate="print">
                      <a:extLst>
                        <a:ext uri="{28A0092B-C50C-407E-A947-70E740481C1C}">
                          <a14:useLocalDpi xmlns:a14="http://schemas.microsoft.com/office/drawing/2010/main" val="0"/>
                        </a:ext>
                      </a:extLst>
                    </a:blip>
                    <a:srcRect/>
                    <a:stretch>
                      <a:fillRect/>
                    </a:stretch>
                  </pic:blipFill>
                  <pic:spPr bwMode="auto">
                    <a:xfrm>
                      <a:off x="0" y="0"/>
                      <a:ext cx="818515" cy="511810"/>
                    </a:xfrm>
                    <a:prstGeom prst="rect">
                      <a:avLst/>
                    </a:prstGeom>
                    <a:noFill/>
                    <a:ln>
                      <a:noFill/>
                    </a:ln>
                  </pic:spPr>
                </pic:pic>
              </a:graphicData>
            </a:graphic>
          </wp:inline>
        </w:drawing>
      </w:r>
      <w:r>
        <w:t>.</w:t>
      </w:r>
    </w:p>
    <w:p w:rsidR="00212513" w:rsidRDefault="00212513">
      <w:pPr>
        <w:pStyle w:val="ConsPlusNormal"/>
        <w:ind w:firstLine="540"/>
        <w:jc w:val="both"/>
      </w:pPr>
    </w:p>
    <w:p w:rsidR="00212513" w:rsidRDefault="00212513">
      <w:pPr>
        <w:pStyle w:val="ConsPlusNormal"/>
        <w:jc w:val="right"/>
      </w:pPr>
      <w:bookmarkStart w:id="313" w:name="P7297"/>
      <w:bookmarkEnd w:id="313"/>
      <w:r>
        <w:t>Таблица 8.18</w:t>
      </w:r>
    </w:p>
    <w:p w:rsidR="00212513" w:rsidRDefault="00212513">
      <w:pPr>
        <w:pStyle w:val="ConsPlusNormal"/>
        <w:ind w:firstLine="540"/>
        <w:jc w:val="both"/>
      </w:pPr>
    </w:p>
    <w:p w:rsidR="00212513" w:rsidRDefault="00212513">
      <w:pPr>
        <w:pStyle w:val="ConsPlusNormal"/>
        <w:sectPr w:rsidR="00212513">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694"/>
        <w:gridCol w:w="694"/>
        <w:gridCol w:w="694"/>
        <w:gridCol w:w="694"/>
        <w:gridCol w:w="694"/>
        <w:gridCol w:w="694"/>
        <w:gridCol w:w="694"/>
        <w:gridCol w:w="694"/>
        <w:gridCol w:w="694"/>
        <w:gridCol w:w="694"/>
        <w:gridCol w:w="694"/>
        <w:gridCol w:w="694"/>
        <w:gridCol w:w="694"/>
        <w:gridCol w:w="694"/>
        <w:gridCol w:w="694"/>
        <w:gridCol w:w="694"/>
        <w:gridCol w:w="694"/>
        <w:gridCol w:w="794"/>
      </w:tblGrid>
      <w:tr w:rsidR="00212513">
        <w:tc>
          <w:tcPr>
            <w:tcW w:w="964" w:type="dxa"/>
            <w:vMerge w:val="restart"/>
            <w:vAlign w:val="center"/>
          </w:tcPr>
          <w:p w:rsidR="00212513" w:rsidRDefault="00212513">
            <w:pPr>
              <w:pStyle w:val="ConsPlusNormal"/>
              <w:jc w:val="center"/>
            </w:pPr>
            <w:r>
              <w:rPr>
                <w:noProof/>
                <w:position w:val="-29"/>
              </w:rPr>
              <w:lastRenderedPageBreak/>
              <w:drawing>
                <wp:inline distT="0" distB="0" distL="0" distR="0">
                  <wp:extent cx="471805" cy="513715"/>
                  <wp:effectExtent l="0" t="0" r="0" b="0"/>
                  <wp:docPr id="10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6" cstate="print">
                            <a:extLst>
                              <a:ext uri="{28A0092B-C50C-407E-A947-70E740481C1C}">
                                <a14:useLocalDpi xmlns:a14="http://schemas.microsoft.com/office/drawing/2010/main" val="0"/>
                              </a:ext>
                            </a:extLst>
                          </a:blip>
                          <a:srcRect/>
                          <a:stretch>
                            <a:fillRect/>
                          </a:stretch>
                        </pic:blipFill>
                        <pic:spPr bwMode="auto">
                          <a:xfrm>
                            <a:off x="0" y="0"/>
                            <a:ext cx="471805" cy="513715"/>
                          </a:xfrm>
                          <a:prstGeom prst="rect">
                            <a:avLst/>
                          </a:prstGeom>
                          <a:noFill/>
                          <a:ln>
                            <a:noFill/>
                          </a:ln>
                        </pic:spPr>
                      </pic:pic>
                    </a:graphicData>
                  </a:graphic>
                </wp:inline>
              </w:drawing>
            </w:r>
          </w:p>
        </w:tc>
        <w:tc>
          <w:tcPr>
            <w:tcW w:w="12592" w:type="dxa"/>
            <w:gridSpan w:val="18"/>
            <w:vAlign w:val="center"/>
          </w:tcPr>
          <w:p w:rsidR="00212513" w:rsidRDefault="00212513">
            <w:pPr>
              <w:pStyle w:val="ConsPlusNormal"/>
              <w:jc w:val="center"/>
            </w:pPr>
            <w:r>
              <w:t xml:space="preserve">Значения коэффициента </w:t>
            </w:r>
            <w:r>
              <w:rPr>
                <w:noProof/>
                <w:position w:val="-3"/>
              </w:rPr>
              <w:drawing>
                <wp:inline distT="0" distB="0" distL="0" distR="0">
                  <wp:extent cx="167640" cy="178435"/>
                  <wp:effectExtent l="0" t="0" r="0" b="0"/>
                  <wp:docPr id="10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7"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r>
              <w:t xml:space="preserve"> при </w:t>
            </w:r>
            <w:r>
              <w:rPr>
                <w:noProof/>
                <w:position w:val="-1"/>
              </w:rPr>
              <w:drawing>
                <wp:inline distT="0" distB="0" distL="0" distR="0">
                  <wp:extent cx="167640" cy="157480"/>
                  <wp:effectExtent l="0" t="0" r="0" b="0"/>
                  <wp:docPr id="10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8"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p>
        </w:tc>
      </w:tr>
      <w:tr w:rsidR="00212513">
        <w:tc>
          <w:tcPr>
            <w:tcW w:w="964" w:type="dxa"/>
            <w:vMerge/>
          </w:tcPr>
          <w:p w:rsidR="00212513" w:rsidRDefault="00212513">
            <w:pPr>
              <w:pStyle w:val="ConsPlusNormal"/>
            </w:pPr>
          </w:p>
        </w:tc>
        <w:tc>
          <w:tcPr>
            <w:tcW w:w="2082" w:type="dxa"/>
            <w:gridSpan w:val="3"/>
            <w:vAlign w:val="center"/>
          </w:tcPr>
          <w:p w:rsidR="00212513" w:rsidRDefault="00212513">
            <w:pPr>
              <w:pStyle w:val="ConsPlusNormal"/>
              <w:jc w:val="center"/>
            </w:pPr>
            <w:r>
              <w:t>0,05</w:t>
            </w:r>
          </w:p>
        </w:tc>
        <w:tc>
          <w:tcPr>
            <w:tcW w:w="2082" w:type="dxa"/>
            <w:gridSpan w:val="3"/>
            <w:vAlign w:val="center"/>
          </w:tcPr>
          <w:p w:rsidR="00212513" w:rsidRDefault="00212513">
            <w:pPr>
              <w:pStyle w:val="ConsPlusNormal"/>
              <w:jc w:val="center"/>
            </w:pPr>
            <w:r>
              <w:t>0,2</w:t>
            </w:r>
          </w:p>
        </w:tc>
        <w:tc>
          <w:tcPr>
            <w:tcW w:w="2082" w:type="dxa"/>
            <w:gridSpan w:val="3"/>
            <w:vAlign w:val="center"/>
          </w:tcPr>
          <w:p w:rsidR="00212513" w:rsidRDefault="00212513">
            <w:pPr>
              <w:pStyle w:val="ConsPlusNormal"/>
              <w:jc w:val="center"/>
            </w:pPr>
            <w:r>
              <w:t>0,4</w:t>
            </w:r>
          </w:p>
        </w:tc>
        <w:tc>
          <w:tcPr>
            <w:tcW w:w="2082" w:type="dxa"/>
            <w:gridSpan w:val="3"/>
            <w:vAlign w:val="center"/>
          </w:tcPr>
          <w:p w:rsidR="00212513" w:rsidRDefault="00212513">
            <w:pPr>
              <w:pStyle w:val="ConsPlusNormal"/>
              <w:jc w:val="center"/>
            </w:pPr>
            <w:r>
              <w:t>0,6</w:t>
            </w:r>
          </w:p>
        </w:tc>
        <w:tc>
          <w:tcPr>
            <w:tcW w:w="2082" w:type="dxa"/>
            <w:gridSpan w:val="3"/>
            <w:vAlign w:val="center"/>
          </w:tcPr>
          <w:p w:rsidR="00212513" w:rsidRDefault="00212513">
            <w:pPr>
              <w:pStyle w:val="ConsPlusNormal"/>
              <w:jc w:val="center"/>
            </w:pPr>
            <w:r>
              <w:t>0,8</w:t>
            </w:r>
          </w:p>
        </w:tc>
        <w:tc>
          <w:tcPr>
            <w:tcW w:w="2182" w:type="dxa"/>
            <w:gridSpan w:val="3"/>
            <w:vAlign w:val="center"/>
          </w:tcPr>
          <w:p w:rsidR="00212513" w:rsidRDefault="00212513">
            <w:pPr>
              <w:pStyle w:val="ConsPlusNormal"/>
              <w:jc w:val="center"/>
            </w:pPr>
            <w:r>
              <w:t>0,95</w:t>
            </w:r>
          </w:p>
        </w:tc>
      </w:tr>
      <w:tr w:rsidR="00212513">
        <w:tc>
          <w:tcPr>
            <w:tcW w:w="964" w:type="dxa"/>
            <w:vMerge/>
          </w:tcPr>
          <w:p w:rsidR="00212513" w:rsidRDefault="00212513">
            <w:pPr>
              <w:pStyle w:val="ConsPlusNormal"/>
            </w:pPr>
          </w:p>
        </w:tc>
        <w:tc>
          <w:tcPr>
            <w:tcW w:w="12592" w:type="dxa"/>
            <w:gridSpan w:val="18"/>
            <w:vAlign w:val="center"/>
          </w:tcPr>
          <w:p w:rsidR="00212513" w:rsidRDefault="00212513">
            <w:pPr>
              <w:pStyle w:val="ConsPlusNormal"/>
              <w:jc w:val="center"/>
            </w:pPr>
            <w:r>
              <w:t>При </w:t>
            </w:r>
            <w:r>
              <w:rPr>
                <w:noProof/>
                <w:position w:val="-9"/>
              </w:rPr>
              <w:drawing>
                <wp:inline distT="0" distB="0" distL="0" distR="0">
                  <wp:extent cx="712470" cy="262255"/>
                  <wp:effectExtent l="0" t="0" r="0" b="0"/>
                  <wp:docPr id="10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9" cstate="print">
                            <a:extLst>
                              <a:ext uri="{28A0092B-C50C-407E-A947-70E740481C1C}">
                                <a14:useLocalDpi xmlns:a14="http://schemas.microsoft.com/office/drawing/2010/main" val="0"/>
                              </a:ext>
                            </a:extLst>
                          </a:blip>
                          <a:srcRect/>
                          <a:stretch>
                            <a:fillRect/>
                          </a:stretch>
                        </pic:blipFill>
                        <pic:spPr bwMode="auto">
                          <a:xfrm>
                            <a:off x="0" y="0"/>
                            <a:ext cx="712470" cy="262255"/>
                          </a:xfrm>
                          <a:prstGeom prst="rect">
                            <a:avLst/>
                          </a:prstGeom>
                          <a:noFill/>
                          <a:ln>
                            <a:noFill/>
                          </a:ln>
                        </pic:spPr>
                      </pic:pic>
                    </a:graphicData>
                  </a:graphic>
                </wp:inline>
              </w:drawing>
            </w:r>
          </w:p>
        </w:tc>
      </w:tr>
      <w:tr w:rsidR="00212513">
        <w:tc>
          <w:tcPr>
            <w:tcW w:w="964" w:type="dxa"/>
            <w:vMerge/>
          </w:tcPr>
          <w:p w:rsidR="00212513" w:rsidRDefault="00212513">
            <w:pPr>
              <w:pStyle w:val="ConsPlusNormal"/>
            </w:pPr>
          </w:p>
        </w:tc>
        <w:tc>
          <w:tcPr>
            <w:tcW w:w="694" w:type="dxa"/>
            <w:vAlign w:val="center"/>
          </w:tcPr>
          <w:p w:rsidR="00212513" w:rsidRDefault="00212513">
            <w:pPr>
              <w:pStyle w:val="ConsPlusNormal"/>
              <w:jc w:val="center"/>
            </w:pPr>
            <w:r>
              <w:t>0,5</w:t>
            </w:r>
          </w:p>
        </w:tc>
        <w:tc>
          <w:tcPr>
            <w:tcW w:w="694" w:type="dxa"/>
            <w:vAlign w:val="center"/>
          </w:tcPr>
          <w:p w:rsidR="00212513" w:rsidRDefault="00212513">
            <w:pPr>
              <w:pStyle w:val="ConsPlusNormal"/>
              <w:jc w:val="center"/>
            </w:pPr>
            <w:r>
              <w:t>1</w:t>
            </w:r>
          </w:p>
        </w:tc>
        <w:tc>
          <w:tcPr>
            <w:tcW w:w="694" w:type="dxa"/>
            <w:vAlign w:val="center"/>
          </w:tcPr>
          <w:p w:rsidR="00212513" w:rsidRDefault="00212513">
            <w:pPr>
              <w:pStyle w:val="ConsPlusNormal"/>
              <w:jc w:val="center"/>
            </w:pPr>
            <w:r>
              <w:t>2</w:t>
            </w:r>
          </w:p>
        </w:tc>
        <w:tc>
          <w:tcPr>
            <w:tcW w:w="694" w:type="dxa"/>
            <w:vAlign w:val="center"/>
          </w:tcPr>
          <w:p w:rsidR="00212513" w:rsidRDefault="00212513">
            <w:pPr>
              <w:pStyle w:val="ConsPlusNormal"/>
              <w:jc w:val="center"/>
            </w:pPr>
            <w:r>
              <w:t>0,5</w:t>
            </w:r>
          </w:p>
        </w:tc>
        <w:tc>
          <w:tcPr>
            <w:tcW w:w="694" w:type="dxa"/>
            <w:vAlign w:val="center"/>
          </w:tcPr>
          <w:p w:rsidR="00212513" w:rsidRDefault="00212513">
            <w:pPr>
              <w:pStyle w:val="ConsPlusNormal"/>
              <w:jc w:val="center"/>
            </w:pPr>
            <w:r>
              <w:t>1</w:t>
            </w:r>
          </w:p>
        </w:tc>
        <w:tc>
          <w:tcPr>
            <w:tcW w:w="694" w:type="dxa"/>
            <w:vAlign w:val="center"/>
          </w:tcPr>
          <w:p w:rsidR="00212513" w:rsidRDefault="00212513">
            <w:pPr>
              <w:pStyle w:val="ConsPlusNormal"/>
              <w:jc w:val="center"/>
            </w:pPr>
            <w:r>
              <w:t>2</w:t>
            </w:r>
          </w:p>
        </w:tc>
        <w:tc>
          <w:tcPr>
            <w:tcW w:w="694" w:type="dxa"/>
            <w:vAlign w:val="center"/>
          </w:tcPr>
          <w:p w:rsidR="00212513" w:rsidRDefault="00212513">
            <w:pPr>
              <w:pStyle w:val="ConsPlusNormal"/>
              <w:jc w:val="center"/>
            </w:pPr>
            <w:r>
              <w:t>0,5</w:t>
            </w:r>
          </w:p>
        </w:tc>
        <w:tc>
          <w:tcPr>
            <w:tcW w:w="694" w:type="dxa"/>
            <w:vAlign w:val="center"/>
          </w:tcPr>
          <w:p w:rsidR="00212513" w:rsidRDefault="00212513">
            <w:pPr>
              <w:pStyle w:val="ConsPlusNormal"/>
              <w:jc w:val="center"/>
            </w:pPr>
            <w:r>
              <w:t>1</w:t>
            </w:r>
          </w:p>
        </w:tc>
        <w:tc>
          <w:tcPr>
            <w:tcW w:w="694" w:type="dxa"/>
            <w:vAlign w:val="center"/>
          </w:tcPr>
          <w:p w:rsidR="00212513" w:rsidRDefault="00212513">
            <w:pPr>
              <w:pStyle w:val="ConsPlusNormal"/>
              <w:jc w:val="center"/>
            </w:pPr>
            <w:r>
              <w:t>2</w:t>
            </w:r>
          </w:p>
        </w:tc>
        <w:tc>
          <w:tcPr>
            <w:tcW w:w="694" w:type="dxa"/>
            <w:vAlign w:val="center"/>
          </w:tcPr>
          <w:p w:rsidR="00212513" w:rsidRDefault="00212513">
            <w:pPr>
              <w:pStyle w:val="ConsPlusNormal"/>
              <w:jc w:val="center"/>
            </w:pPr>
            <w:r>
              <w:t>0,5</w:t>
            </w:r>
          </w:p>
        </w:tc>
        <w:tc>
          <w:tcPr>
            <w:tcW w:w="694" w:type="dxa"/>
            <w:vAlign w:val="center"/>
          </w:tcPr>
          <w:p w:rsidR="00212513" w:rsidRDefault="00212513">
            <w:pPr>
              <w:pStyle w:val="ConsPlusNormal"/>
              <w:jc w:val="center"/>
            </w:pPr>
            <w:r>
              <w:t>1</w:t>
            </w:r>
          </w:p>
        </w:tc>
        <w:tc>
          <w:tcPr>
            <w:tcW w:w="694" w:type="dxa"/>
            <w:vAlign w:val="center"/>
          </w:tcPr>
          <w:p w:rsidR="00212513" w:rsidRDefault="00212513">
            <w:pPr>
              <w:pStyle w:val="ConsPlusNormal"/>
              <w:jc w:val="center"/>
            </w:pPr>
            <w:r>
              <w:t>2</w:t>
            </w:r>
          </w:p>
        </w:tc>
        <w:tc>
          <w:tcPr>
            <w:tcW w:w="694" w:type="dxa"/>
            <w:vAlign w:val="center"/>
          </w:tcPr>
          <w:p w:rsidR="00212513" w:rsidRDefault="00212513">
            <w:pPr>
              <w:pStyle w:val="ConsPlusNormal"/>
              <w:jc w:val="center"/>
            </w:pPr>
            <w:r>
              <w:t>0,5</w:t>
            </w:r>
          </w:p>
        </w:tc>
        <w:tc>
          <w:tcPr>
            <w:tcW w:w="694" w:type="dxa"/>
            <w:vAlign w:val="center"/>
          </w:tcPr>
          <w:p w:rsidR="00212513" w:rsidRDefault="00212513">
            <w:pPr>
              <w:pStyle w:val="ConsPlusNormal"/>
              <w:jc w:val="center"/>
            </w:pPr>
            <w:r>
              <w:t>1</w:t>
            </w:r>
          </w:p>
        </w:tc>
        <w:tc>
          <w:tcPr>
            <w:tcW w:w="694" w:type="dxa"/>
            <w:vAlign w:val="center"/>
          </w:tcPr>
          <w:p w:rsidR="00212513" w:rsidRDefault="00212513">
            <w:pPr>
              <w:pStyle w:val="ConsPlusNormal"/>
              <w:jc w:val="center"/>
            </w:pPr>
            <w:r>
              <w:t>2</w:t>
            </w:r>
          </w:p>
        </w:tc>
        <w:tc>
          <w:tcPr>
            <w:tcW w:w="694" w:type="dxa"/>
            <w:vAlign w:val="center"/>
          </w:tcPr>
          <w:p w:rsidR="00212513" w:rsidRDefault="00212513">
            <w:pPr>
              <w:pStyle w:val="ConsPlusNormal"/>
              <w:jc w:val="center"/>
            </w:pPr>
            <w:r>
              <w:t>0,5</w:t>
            </w:r>
          </w:p>
        </w:tc>
        <w:tc>
          <w:tcPr>
            <w:tcW w:w="694" w:type="dxa"/>
            <w:vAlign w:val="center"/>
          </w:tcPr>
          <w:p w:rsidR="00212513" w:rsidRDefault="00212513">
            <w:pPr>
              <w:pStyle w:val="ConsPlusNormal"/>
              <w:jc w:val="center"/>
            </w:pPr>
            <w:r>
              <w:t>1</w:t>
            </w:r>
          </w:p>
        </w:tc>
        <w:tc>
          <w:tcPr>
            <w:tcW w:w="794" w:type="dxa"/>
            <w:vAlign w:val="center"/>
          </w:tcPr>
          <w:p w:rsidR="00212513" w:rsidRDefault="00212513">
            <w:pPr>
              <w:pStyle w:val="ConsPlusNormal"/>
              <w:jc w:val="center"/>
            </w:pPr>
            <w:r>
              <w:t>2</w:t>
            </w:r>
          </w:p>
        </w:tc>
      </w:tr>
      <w:tr w:rsidR="00212513">
        <w:tblPrEx>
          <w:tblBorders>
            <w:insideH w:val="nil"/>
          </w:tblBorders>
        </w:tblPrEx>
        <w:tc>
          <w:tcPr>
            <w:tcW w:w="964" w:type="dxa"/>
            <w:tcBorders>
              <w:bottom w:val="nil"/>
            </w:tcBorders>
          </w:tcPr>
          <w:p w:rsidR="00212513" w:rsidRDefault="00212513">
            <w:pPr>
              <w:pStyle w:val="ConsPlusNormal"/>
              <w:jc w:val="center"/>
            </w:pPr>
            <w:r>
              <w:t>0</w:t>
            </w:r>
          </w:p>
        </w:tc>
        <w:tc>
          <w:tcPr>
            <w:tcW w:w="694" w:type="dxa"/>
            <w:tcBorders>
              <w:bottom w:val="nil"/>
            </w:tcBorders>
          </w:tcPr>
          <w:p w:rsidR="00212513" w:rsidRDefault="00212513">
            <w:pPr>
              <w:pStyle w:val="ConsPlusNormal"/>
              <w:jc w:val="center"/>
            </w:pPr>
            <w:r>
              <w:t>1</w:t>
            </w:r>
          </w:p>
        </w:tc>
        <w:tc>
          <w:tcPr>
            <w:tcW w:w="694" w:type="dxa"/>
            <w:tcBorders>
              <w:bottom w:val="nil"/>
            </w:tcBorders>
          </w:tcPr>
          <w:p w:rsidR="00212513" w:rsidRDefault="00212513">
            <w:pPr>
              <w:pStyle w:val="ConsPlusNormal"/>
              <w:jc w:val="center"/>
            </w:pPr>
            <w:r>
              <w:t>1</w:t>
            </w:r>
          </w:p>
        </w:tc>
        <w:tc>
          <w:tcPr>
            <w:tcW w:w="694" w:type="dxa"/>
            <w:tcBorders>
              <w:bottom w:val="nil"/>
            </w:tcBorders>
          </w:tcPr>
          <w:p w:rsidR="00212513" w:rsidRDefault="00212513">
            <w:pPr>
              <w:pStyle w:val="ConsPlusNormal"/>
              <w:jc w:val="center"/>
            </w:pPr>
            <w:r>
              <w:t>1</w:t>
            </w:r>
          </w:p>
        </w:tc>
        <w:tc>
          <w:tcPr>
            <w:tcW w:w="694" w:type="dxa"/>
            <w:tcBorders>
              <w:bottom w:val="nil"/>
            </w:tcBorders>
          </w:tcPr>
          <w:p w:rsidR="00212513" w:rsidRDefault="00212513">
            <w:pPr>
              <w:pStyle w:val="ConsPlusNormal"/>
              <w:jc w:val="center"/>
            </w:pPr>
            <w:r>
              <w:t>1</w:t>
            </w:r>
          </w:p>
        </w:tc>
        <w:tc>
          <w:tcPr>
            <w:tcW w:w="694" w:type="dxa"/>
            <w:tcBorders>
              <w:bottom w:val="nil"/>
            </w:tcBorders>
          </w:tcPr>
          <w:p w:rsidR="00212513" w:rsidRDefault="00212513">
            <w:pPr>
              <w:pStyle w:val="ConsPlusNormal"/>
              <w:jc w:val="center"/>
            </w:pPr>
            <w:r>
              <w:t>1</w:t>
            </w:r>
          </w:p>
        </w:tc>
        <w:tc>
          <w:tcPr>
            <w:tcW w:w="694" w:type="dxa"/>
            <w:tcBorders>
              <w:bottom w:val="nil"/>
            </w:tcBorders>
          </w:tcPr>
          <w:p w:rsidR="00212513" w:rsidRDefault="00212513">
            <w:pPr>
              <w:pStyle w:val="ConsPlusNormal"/>
              <w:jc w:val="center"/>
            </w:pPr>
            <w:r>
              <w:t>1</w:t>
            </w:r>
          </w:p>
        </w:tc>
        <w:tc>
          <w:tcPr>
            <w:tcW w:w="694" w:type="dxa"/>
            <w:tcBorders>
              <w:bottom w:val="nil"/>
            </w:tcBorders>
          </w:tcPr>
          <w:p w:rsidR="00212513" w:rsidRDefault="00212513">
            <w:pPr>
              <w:pStyle w:val="ConsPlusNormal"/>
              <w:jc w:val="center"/>
            </w:pPr>
            <w:r>
              <w:t>1</w:t>
            </w:r>
          </w:p>
        </w:tc>
        <w:tc>
          <w:tcPr>
            <w:tcW w:w="694" w:type="dxa"/>
            <w:tcBorders>
              <w:bottom w:val="nil"/>
            </w:tcBorders>
          </w:tcPr>
          <w:p w:rsidR="00212513" w:rsidRDefault="00212513">
            <w:pPr>
              <w:pStyle w:val="ConsPlusNormal"/>
              <w:jc w:val="center"/>
            </w:pPr>
            <w:r>
              <w:t>1</w:t>
            </w:r>
          </w:p>
        </w:tc>
        <w:tc>
          <w:tcPr>
            <w:tcW w:w="694" w:type="dxa"/>
            <w:tcBorders>
              <w:bottom w:val="nil"/>
            </w:tcBorders>
          </w:tcPr>
          <w:p w:rsidR="00212513" w:rsidRDefault="00212513">
            <w:pPr>
              <w:pStyle w:val="ConsPlusNormal"/>
              <w:jc w:val="center"/>
            </w:pPr>
            <w:r>
              <w:t>1</w:t>
            </w:r>
          </w:p>
        </w:tc>
        <w:tc>
          <w:tcPr>
            <w:tcW w:w="694" w:type="dxa"/>
            <w:tcBorders>
              <w:bottom w:val="nil"/>
            </w:tcBorders>
          </w:tcPr>
          <w:p w:rsidR="00212513" w:rsidRDefault="00212513">
            <w:pPr>
              <w:pStyle w:val="ConsPlusNormal"/>
              <w:jc w:val="center"/>
            </w:pPr>
            <w:r>
              <w:t>1</w:t>
            </w:r>
          </w:p>
        </w:tc>
        <w:tc>
          <w:tcPr>
            <w:tcW w:w="694" w:type="dxa"/>
            <w:tcBorders>
              <w:bottom w:val="nil"/>
            </w:tcBorders>
          </w:tcPr>
          <w:p w:rsidR="00212513" w:rsidRDefault="00212513">
            <w:pPr>
              <w:pStyle w:val="ConsPlusNormal"/>
              <w:jc w:val="center"/>
            </w:pPr>
            <w:r>
              <w:t>1</w:t>
            </w:r>
          </w:p>
        </w:tc>
        <w:tc>
          <w:tcPr>
            <w:tcW w:w="694" w:type="dxa"/>
            <w:tcBorders>
              <w:bottom w:val="nil"/>
            </w:tcBorders>
          </w:tcPr>
          <w:p w:rsidR="00212513" w:rsidRDefault="00212513">
            <w:pPr>
              <w:pStyle w:val="ConsPlusNormal"/>
              <w:jc w:val="center"/>
            </w:pPr>
            <w:r>
              <w:t>1</w:t>
            </w:r>
          </w:p>
        </w:tc>
        <w:tc>
          <w:tcPr>
            <w:tcW w:w="694" w:type="dxa"/>
            <w:tcBorders>
              <w:bottom w:val="nil"/>
            </w:tcBorders>
          </w:tcPr>
          <w:p w:rsidR="00212513" w:rsidRDefault="00212513">
            <w:pPr>
              <w:pStyle w:val="ConsPlusNormal"/>
              <w:jc w:val="center"/>
            </w:pPr>
            <w:r>
              <w:t>1</w:t>
            </w:r>
          </w:p>
        </w:tc>
        <w:tc>
          <w:tcPr>
            <w:tcW w:w="694" w:type="dxa"/>
            <w:tcBorders>
              <w:bottom w:val="nil"/>
            </w:tcBorders>
          </w:tcPr>
          <w:p w:rsidR="00212513" w:rsidRDefault="00212513">
            <w:pPr>
              <w:pStyle w:val="ConsPlusNormal"/>
              <w:jc w:val="center"/>
            </w:pPr>
            <w:r>
              <w:t>1</w:t>
            </w:r>
          </w:p>
        </w:tc>
        <w:tc>
          <w:tcPr>
            <w:tcW w:w="694" w:type="dxa"/>
            <w:tcBorders>
              <w:bottom w:val="nil"/>
            </w:tcBorders>
          </w:tcPr>
          <w:p w:rsidR="00212513" w:rsidRDefault="00212513">
            <w:pPr>
              <w:pStyle w:val="ConsPlusNormal"/>
              <w:jc w:val="center"/>
            </w:pPr>
            <w:r>
              <w:t>1</w:t>
            </w:r>
          </w:p>
        </w:tc>
        <w:tc>
          <w:tcPr>
            <w:tcW w:w="694" w:type="dxa"/>
            <w:tcBorders>
              <w:bottom w:val="nil"/>
            </w:tcBorders>
          </w:tcPr>
          <w:p w:rsidR="00212513" w:rsidRDefault="00212513">
            <w:pPr>
              <w:pStyle w:val="ConsPlusNormal"/>
              <w:jc w:val="center"/>
            </w:pPr>
            <w:r>
              <w:t>1</w:t>
            </w:r>
          </w:p>
        </w:tc>
        <w:tc>
          <w:tcPr>
            <w:tcW w:w="694" w:type="dxa"/>
            <w:tcBorders>
              <w:bottom w:val="nil"/>
            </w:tcBorders>
          </w:tcPr>
          <w:p w:rsidR="00212513" w:rsidRDefault="00212513">
            <w:pPr>
              <w:pStyle w:val="ConsPlusNormal"/>
              <w:jc w:val="center"/>
            </w:pPr>
            <w:r>
              <w:t>1</w:t>
            </w:r>
          </w:p>
        </w:tc>
        <w:tc>
          <w:tcPr>
            <w:tcW w:w="794" w:type="dxa"/>
            <w:tcBorders>
              <w:bottom w:val="nil"/>
            </w:tcBorders>
          </w:tcPr>
          <w:p w:rsidR="00212513" w:rsidRDefault="00212513">
            <w:pPr>
              <w:pStyle w:val="ConsPlusNormal"/>
              <w:jc w:val="center"/>
            </w:pPr>
            <w:r>
              <w:t>1</w:t>
            </w:r>
          </w:p>
        </w:tc>
      </w:tr>
      <w:tr w:rsidR="00212513">
        <w:tblPrEx>
          <w:tblBorders>
            <w:insideH w:val="nil"/>
          </w:tblBorders>
        </w:tblPrEx>
        <w:tc>
          <w:tcPr>
            <w:tcW w:w="964" w:type="dxa"/>
            <w:tcBorders>
              <w:top w:val="nil"/>
              <w:bottom w:val="nil"/>
            </w:tcBorders>
          </w:tcPr>
          <w:p w:rsidR="00212513" w:rsidRDefault="00212513">
            <w:pPr>
              <w:pStyle w:val="ConsPlusNormal"/>
              <w:jc w:val="center"/>
            </w:pPr>
            <w:r>
              <w:t>0,5</w:t>
            </w:r>
          </w:p>
        </w:tc>
        <w:tc>
          <w:tcPr>
            <w:tcW w:w="694" w:type="dxa"/>
            <w:tcBorders>
              <w:top w:val="nil"/>
              <w:bottom w:val="nil"/>
            </w:tcBorders>
          </w:tcPr>
          <w:p w:rsidR="00212513" w:rsidRDefault="00212513">
            <w:pPr>
              <w:pStyle w:val="ConsPlusNormal"/>
              <w:jc w:val="center"/>
            </w:pPr>
            <w:r>
              <w:t>0,53</w:t>
            </w:r>
          </w:p>
        </w:tc>
        <w:tc>
          <w:tcPr>
            <w:tcW w:w="694" w:type="dxa"/>
            <w:tcBorders>
              <w:top w:val="nil"/>
              <w:bottom w:val="nil"/>
            </w:tcBorders>
          </w:tcPr>
          <w:p w:rsidR="00212513" w:rsidRDefault="00212513">
            <w:pPr>
              <w:pStyle w:val="ConsPlusNormal"/>
              <w:jc w:val="center"/>
            </w:pPr>
            <w:r>
              <w:t>0,55</w:t>
            </w:r>
          </w:p>
        </w:tc>
        <w:tc>
          <w:tcPr>
            <w:tcW w:w="694" w:type="dxa"/>
            <w:tcBorders>
              <w:top w:val="nil"/>
              <w:bottom w:val="nil"/>
            </w:tcBorders>
          </w:tcPr>
          <w:p w:rsidR="00212513" w:rsidRDefault="00212513">
            <w:pPr>
              <w:pStyle w:val="ConsPlusNormal"/>
              <w:jc w:val="center"/>
            </w:pPr>
            <w:r>
              <w:t>0,57</w:t>
            </w:r>
          </w:p>
        </w:tc>
        <w:tc>
          <w:tcPr>
            <w:tcW w:w="694" w:type="dxa"/>
            <w:tcBorders>
              <w:top w:val="nil"/>
              <w:bottom w:val="nil"/>
            </w:tcBorders>
          </w:tcPr>
          <w:p w:rsidR="00212513" w:rsidRDefault="00212513">
            <w:pPr>
              <w:pStyle w:val="ConsPlusNormal"/>
              <w:jc w:val="center"/>
            </w:pPr>
            <w:r>
              <w:t>0,63</w:t>
            </w:r>
          </w:p>
        </w:tc>
        <w:tc>
          <w:tcPr>
            <w:tcW w:w="694" w:type="dxa"/>
            <w:tcBorders>
              <w:top w:val="nil"/>
              <w:bottom w:val="nil"/>
            </w:tcBorders>
          </w:tcPr>
          <w:p w:rsidR="00212513" w:rsidRDefault="00212513">
            <w:pPr>
              <w:pStyle w:val="ConsPlusNormal"/>
              <w:jc w:val="center"/>
            </w:pPr>
            <w:r>
              <w:t>0,68</w:t>
            </w:r>
          </w:p>
        </w:tc>
        <w:tc>
          <w:tcPr>
            <w:tcW w:w="694" w:type="dxa"/>
            <w:tcBorders>
              <w:top w:val="nil"/>
              <w:bottom w:val="nil"/>
            </w:tcBorders>
          </w:tcPr>
          <w:p w:rsidR="00212513" w:rsidRDefault="00212513">
            <w:pPr>
              <w:pStyle w:val="ConsPlusNormal"/>
              <w:jc w:val="center"/>
            </w:pPr>
            <w:r>
              <w:t>0,78</w:t>
            </w:r>
          </w:p>
        </w:tc>
        <w:tc>
          <w:tcPr>
            <w:tcW w:w="694" w:type="dxa"/>
            <w:tcBorders>
              <w:top w:val="nil"/>
              <w:bottom w:val="nil"/>
            </w:tcBorders>
          </w:tcPr>
          <w:p w:rsidR="00212513" w:rsidRDefault="00212513">
            <w:pPr>
              <w:pStyle w:val="ConsPlusNormal"/>
              <w:jc w:val="center"/>
            </w:pPr>
            <w:r>
              <w:t>0,77</w:t>
            </w:r>
          </w:p>
        </w:tc>
        <w:tc>
          <w:tcPr>
            <w:tcW w:w="694" w:type="dxa"/>
            <w:tcBorders>
              <w:top w:val="nil"/>
              <w:bottom w:val="nil"/>
            </w:tcBorders>
          </w:tcPr>
          <w:p w:rsidR="00212513" w:rsidRDefault="00212513">
            <w:pPr>
              <w:pStyle w:val="ConsPlusNormal"/>
              <w:jc w:val="center"/>
            </w:pPr>
            <w:r>
              <w:t>0,85</w:t>
            </w:r>
          </w:p>
        </w:tc>
        <w:tc>
          <w:tcPr>
            <w:tcW w:w="694" w:type="dxa"/>
            <w:tcBorders>
              <w:top w:val="nil"/>
              <w:bottom w:val="nil"/>
            </w:tcBorders>
          </w:tcPr>
          <w:p w:rsidR="00212513" w:rsidRDefault="00212513">
            <w:pPr>
              <w:pStyle w:val="ConsPlusNormal"/>
              <w:jc w:val="center"/>
            </w:pPr>
            <w:r>
              <w:t>0,92</w:t>
            </w:r>
          </w:p>
        </w:tc>
        <w:tc>
          <w:tcPr>
            <w:tcW w:w="694" w:type="dxa"/>
            <w:tcBorders>
              <w:top w:val="nil"/>
              <w:bottom w:val="nil"/>
            </w:tcBorders>
          </w:tcPr>
          <w:p w:rsidR="00212513" w:rsidRDefault="00212513">
            <w:pPr>
              <w:pStyle w:val="ConsPlusNormal"/>
              <w:jc w:val="center"/>
            </w:pPr>
            <w:r>
              <w:t>0,89</w:t>
            </w:r>
          </w:p>
        </w:tc>
        <w:tc>
          <w:tcPr>
            <w:tcW w:w="694" w:type="dxa"/>
            <w:tcBorders>
              <w:top w:val="nil"/>
              <w:bottom w:val="nil"/>
            </w:tcBorders>
          </w:tcPr>
          <w:p w:rsidR="00212513" w:rsidRDefault="00212513">
            <w:pPr>
              <w:pStyle w:val="ConsPlusNormal"/>
              <w:jc w:val="center"/>
            </w:pPr>
            <w:r>
              <w:t>0,93</w:t>
            </w:r>
          </w:p>
        </w:tc>
        <w:tc>
          <w:tcPr>
            <w:tcW w:w="694" w:type="dxa"/>
            <w:tcBorders>
              <w:top w:val="nil"/>
              <w:bottom w:val="nil"/>
            </w:tcBorders>
          </w:tcPr>
          <w:p w:rsidR="00212513" w:rsidRDefault="00212513">
            <w:pPr>
              <w:pStyle w:val="ConsPlusNormal"/>
              <w:jc w:val="center"/>
            </w:pPr>
            <w:r>
              <w:t>0,96</w:t>
            </w:r>
          </w:p>
        </w:tc>
        <w:tc>
          <w:tcPr>
            <w:tcW w:w="694" w:type="dxa"/>
            <w:tcBorders>
              <w:top w:val="nil"/>
              <w:bottom w:val="nil"/>
            </w:tcBorders>
          </w:tcPr>
          <w:p w:rsidR="00212513" w:rsidRDefault="00212513">
            <w:pPr>
              <w:pStyle w:val="ConsPlusNormal"/>
              <w:jc w:val="center"/>
            </w:pPr>
            <w:r>
              <w:t>0,96</w:t>
            </w:r>
          </w:p>
        </w:tc>
        <w:tc>
          <w:tcPr>
            <w:tcW w:w="694" w:type="dxa"/>
            <w:tcBorders>
              <w:top w:val="nil"/>
              <w:bottom w:val="nil"/>
            </w:tcBorders>
          </w:tcPr>
          <w:p w:rsidR="00212513" w:rsidRDefault="00212513">
            <w:pPr>
              <w:pStyle w:val="ConsPlusNormal"/>
              <w:jc w:val="center"/>
            </w:pPr>
            <w:r>
              <w:t>0,98</w:t>
            </w:r>
          </w:p>
        </w:tc>
        <w:tc>
          <w:tcPr>
            <w:tcW w:w="694" w:type="dxa"/>
            <w:tcBorders>
              <w:top w:val="nil"/>
              <w:bottom w:val="nil"/>
            </w:tcBorders>
          </w:tcPr>
          <w:p w:rsidR="00212513" w:rsidRDefault="00212513">
            <w:pPr>
              <w:pStyle w:val="ConsPlusNormal"/>
              <w:jc w:val="center"/>
            </w:pPr>
            <w:r>
              <w:t>0,99</w:t>
            </w:r>
          </w:p>
        </w:tc>
        <w:tc>
          <w:tcPr>
            <w:tcW w:w="694" w:type="dxa"/>
            <w:tcBorders>
              <w:top w:val="nil"/>
              <w:bottom w:val="nil"/>
            </w:tcBorders>
          </w:tcPr>
          <w:p w:rsidR="00212513" w:rsidRDefault="00212513">
            <w:pPr>
              <w:pStyle w:val="ConsPlusNormal"/>
              <w:jc w:val="center"/>
            </w:pPr>
            <w:r>
              <w:t>0,99</w:t>
            </w:r>
          </w:p>
        </w:tc>
        <w:tc>
          <w:tcPr>
            <w:tcW w:w="694" w:type="dxa"/>
            <w:tcBorders>
              <w:top w:val="nil"/>
              <w:bottom w:val="nil"/>
            </w:tcBorders>
          </w:tcPr>
          <w:p w:rsidR="00212513" w:rsidRDefault="00212513">
            <w:pPr>
              <w:pStyle w:val="ConsPlusNormal"/>
              <w:jc w:val="center"/>
            </w:pPr>
            <w:r>
              <w:t>0,99</w:t>
            </w:r>
          </w:p>
        </w:tc>
        <w:tc>
          <w:tcPr>
            <w:tcW w:w="794" w:type="dxa"/>
            <w:tcBorders>
              <w:top w:val="nil"/>
              <w:bottom w:val="nil"/>
            </w:tcBorders>
          </w:tcPr>
          <w:p w:rsidR="00212513" w:rsidRDefault="00212513">
            <w:pPr>
              <w:pStyle w:val="ConsPlusNormal"/>
              <w:jc w:val="center"/>
            </w:pPr>
            <w:r>
              <w:t>0,997</w:t>
            </w:r>
          </w:p>
        </w:tc>
      </w:tr>
      <w:tr w:rsidR="00212513">
        <w:tblPrEx>
          <w:tblBorders>
            <w:insideH w:val="nil"/>
          </w:tblBorders>
        </w:tblPrEx>
        <w:tc>
          <w:tcPr>
            <w:tcW w:w="964" w:type="dxa"/>
            <w:tcBorders>
              <w:top w:val="nil"/>
            </w:tcBorders>
          </w:tcPr>
          <w:p w:rsidR="00212513" w:rsidRDefault="00212513">
            <w:pPr>
              <w:pStyle w:val="ConsPlusNormal"/>
              <w:jc w:val="center"/>
            </w:pPr>
            <w:r>
              <w:t>1</w:t>
            </w:r>
          </w:p>
        </w:tc>
        <w:tc>
          <w:tcPr>
            <w:tcW w:w="694" w:type="dxa"/>
            <w:tcBorders>
              <w:top w:val="nil"/>
            </w:tcBorders>
          </w:tcPr>
          <w:p w:rsidR="00212513" w:rsidRDefault="00212513">
            <w:pPr>
              <w:pStyle w:val="ConsPlusNormal"/>
              <w:jc w:val="center"/>
            </w:pPr>
            <w:r>
              <w:t>0,067</w:t>
            </w:r>
          </w:p>
        </w:tc>
        <w:tc>
          <w:tcPr>
            <w:tcW w:w="694" w:type="dxa"/>
            <w:tcBorders>
              <w:top w:val="nil"/>
            </w:tcBorders>
          </w:tcPr>
          <w:p w:rsidR="00212513" w:rsidRDefault="00212513">
            <w:pPr>
              <w:pStyle w:val="ConsPlusNormal"/>
              <w:jc w:val="center"/>
            </w:pPr>
            <w:r>
              <w:t>0,09</w:t>
            </w:r>
          </w:p>
        </w:tc>
        <w:tc>
          <w:tcPr>
            <w:tcW w:w="694" w:type="dxa"/>
            <w:tcBorders>
              <w:top w:val="nil"/>
            </w:tcBorders>
          </w:tcPr>
          <w:p w:rsidR="00212513" w:rsidRDefault="00212513">
            <w:pPr>
              <w:pStyle w:val="ConsPlusNormal"/>
              <w:jc w:val="center"/>
            </w:pPr>
            <w:r>
              <w:t>0,14</w:t>
            </w:r>
          </w:p>
        </w:tc>
        <w:tc>
          <w:tcPr>
            <w:tcW w:w="694" w:type="dxa"/>
            <w:tcBorders>
              <w:top w:val="nil"/>
            </w:tcBorders>
          </w:tcPr>
          <w:p w:rsidR="00212513" w:rsidRDefault="00212513">
            <w:pPr>
              <w:pStyle w:val="ConsPlusNormal"/>
              <w:jc w:val="center"/>
            </w:pPr>
            <w:r>
              <w:t>0,26</w:t>
            </w:r>
          </w:p>
        </w:tc>
        <w:tc>
          <w:tcPr>
            <w:tcW w:w="694" w:type="dxa"/>
            <w:tcBorders>
              <w:top w:val="nil"/>
            </w:tcBorders>
          </w:tcPr>
          <w:p w:rsidR="00212513" w:rsidRDefault="00212513">
            <w:pPr>
              <w:pStyle w:val="ConsPlusNormal"/>
              <w:jc w:val="center"/>
            </w:pPr>
            <w:r>
              <w:t>0,36</w:t>
            </w:r>
          </w:p>
        </w:tc>
        <w:tc>
          <w:tcPr>
            <w:tcW w:w="694" w:type="dxa"/>
            <w:tcBorders>
              <w:top w:val="nil"/>
            </w:tcBorders>
          </w:tcPr>
          <w:p w:rsidR="00212513" w:rsidRDefault="00212513">
            <w:pPr>
              <w:pStyle w:val="ConsPlusNormal"/>
              <w:jc w:val="center"/>
            </w:pPr>
            <w:r>
              <w:t>0,56</w:t>
            </w:r>
          </w:p>
        </w:tc>
        <w:tc>
          <w:tcPr>
            <w:tcW w:w="694" w:type="dxa"/>
            <w:tcBorders>
              <w:top w:val="nil"/>
            </w:tcBorders>
          </w:tcPr>
          <w:p w:rsidR="00212513" w:rsidRDefault="00212513">
            <w:pPr>
              <w:pStyle w:val="ConsPlusNormal"/>
              <w:jc w:val="center"/>
            </w:pPr>
            <w:r>
              <w:t>0,53</w:t>
            </w:r>
          </w:p>
        </w:tc>
        <w:tc>
          <w:tcPr>
            <w:tcW w:w="694" w:type="dxa"/>
            <w:tcBorders>
              <w:top w:val="nil"/>
            </w:tcBorders>
          </w:tcPr>
          <w:p w:rsidR="00212513" w:rsidRDefault="00212513">
            <w:pPr>
              <w:pStyle w:val="ConsPlusNormal"/>
              <w:jc w:val="center"/>
            </w:pPr>
            <w:r>
              <w:t>0,70</w:t>
            </w:r>
          </w:p>
        </w:tc>
        <w:tc>
          <w:tcPr>
            <w:tcW w:w="694" w:type="dxa"/>
            <w:tcBorders>
              <w:top w:val="nil"/>
            </w:tcBorders>
          </w:tcPr>
          <w:p w:rsidR="00212513" w:rsidRDefault="00212513">
            <w:pPr>
              <w:pStyle w:val="ConsPlusNormal"/>
              <w:jc w:val="center"/>
            </w:pPr>
            <w:r>
              <w:t>0,83</w:t>
            </w:r>
          </w:p>
        </w:tc>
        <w:tc>
          <w:tcPr>
            <w:tcW w:w="694" w:type="dxa"/>
            <w:tcBorders>
              <w:top w:val="nil"/>
            </w:tcBorders>
          </w:tcPr>
          <w:p w:rsidR="00212513" w:rsidRDefault="00212513">
            <w:pPr>
              <w:pStyle w:val="ConsPlusNormal"/>
              <w:jc w:val="center"/>
            </w:pPr>
            <w:r>
              <w:t>0,78</w:t>
            </w:r>
          </w:p>
        </w:tc>
        <w:tc>
          <w:tcPr>
            <w:tcW w:w="694" w:type="dxa"/>
            <w:tcBorders>
              <w:top w:val="nil"/>
            </w:tcBorders>
          </w:tcPr>
          <w:p w:rsidR="00212513" w:rsidRDefault="00212513">
            <w:pPr>
              <w:pStyle w:val="ConsPlusNormal"/>
              <w:jc w:val="center"/>
            </w:pPr>
            <w:r>
              <w:t>0,87</w:t>
            </w:r>
          </w:p>
        </w:tc>
        <w:tc>
          <w:tcPr>
            <w:tcW w:w="694" w:type="dxa"/>
            <w:tcBorders>
              <w:top w:val="nil"/>
            </w:tcBorders>
          </w:tcPr>
          <w:p w:rsidR="00212513" w:rsidRDefault="00212513">
            <w:pPr>
              <w:pStyle w:val="ConsPlusNormal"/>
              <w:jc w:val="center"/>
            </w:pPr>
            <w:r>
              <w:t>0,93</w:t>
            </w:r>
          </w:p>
        </w:tc>
        <w:tc>
          <w:tcPr>
            <w:tcW w:w="694" w:type="dxa"/>
            <w:tcBorders>
              <w:top w:val="nil"/>
            </w:tcBorders>
          </w:tcPr>
          <w:p w:rsidR="00212513" w:rsidRDefault="00212513">
            <w:pPr>
              <w:pStyle w:val="ConsPlusNormal"/>
              <w:jc w:val="center"/>
            </w:pPr>
            <w:r>
              <w:t>0,92</w:t>
            </w:r>
          </w:p>
        </w:tc>
        <w:tc>
          <w:tcPr>
            <w:tcW w:w="694" w:type="dxa"/>
            <w:tcBorders>
              <w:top w:val="nil"/>
            </w:tcBorders>
          </w:tcPr>
          <w:p w:rsidR="00212513" w:rsidRDefault="00212513">
            <w:pPr>
              <w:pStyle w:val="ConsPlusNormal"/>
              <w:jc w:val="center"/>
            </w:pPr>
            <w:r>
              <w:t>0,95</w:t>
            </w:r>
          </w:p>
        </w:tc>
        <w:tc>
          <w:tcPr>
            <w:tcW w:w="694" w:type="dxa"/>
            <w:tcBorders>
              <w:top w:val="nil"/>
            </w:tcBorders>
          </w:tcPr>
          <w:p w:rsidR="00212513" w:rsidRDefault="00212513">
            <w:pPr>
              <w:pStyle w:val="ConsPlusNormal"/>
              <w:jc w:val="center"/>
            </w:pPr>
            <w:r>
              <w:t>0,97</w:t>
            </w:r>
          </w:p>
        </w:tc>
        <w:tc>
          <w:tcPr>
            <w:tcW w:w="694" w:type="dxa"/>
            <w:tcBorders>
              <w:top w:val="nil"/>
            </w:tcBorders>
          </w:tcPr>
          <w:p w:rsidR="00212513" w:rsidRDefault="00212513">
            <w:pPr>
              <w:pStyle w:val="ConsPlusNormal"/>
              <w:jc w:val="center"/>
            </w:pPr>
            <w:r>
              <w:t>0,98</w:t>
            </w:r>
          </w:p>
        </w:tc>
        <w:tc>
          <w:tcPr>
            <w:tcW w:w="694" w:type="dxa"/>
            <w:tcBorders>
              <w:top w:val="nil"/>
            </w:tcBorders>
          </w:tcPr>
          <w:p w:rsidR="00212513" w:rsidRDefault="00212513">
            <w:pPr>
              <w:pStyle w:val="ConsPlusNormal"/>
              <w:jc w:val="center"/>
            </w:pPr>
            <w:r>
              <w:t>0,99</w:t>
            </w:r>
          </w:p>
        </w:tc>
        <w:tc>
          <w:tcPr>
            <w:tcW w:w="794" w:type="dxa"/>
            <w:tcBorders>
              <w:top w:val="nil"/>
            </w:tcBorders>
          </w:tcPr>
          <w:p w:rsidR="00212513" w:rsidRDefault="00212513">
            <w:pPr>
              <w:pStyle w:val="ConsPlusNormal"/>
              <w:jc w:val="center"/>
            </w:pPr>
            <w:r>
              <w:t>0,994</w:t>
            </w:r>
          </w:p>
        </w:tc>
      </w:tr>
      <w:tr w:rsidR="00212513">
        <w:tc>
          <w:tcPr>
            <w:tcW w:w="13556" w:type="dxa"/>
            <w:gridSpan w:val="19"/>
          </w:tcPr>
          <w:p w:rsidR="00212513" w:rsidRDefault="00212513">
            <w:pPr>
              <w:pStyle w:val="ConsPlusNormal"/>
              <w:ind w:firstLine="283"/>
              <w:jc w:val="both"/>
            </w:pPr>
            <w:r>
              <w:t>Примечания</w:t>
            </w:r>
          </w:p>
          <w:p w:rsidR="00212513" w:rsidRDefault="00212513">
            <w:pPr>
              <w:pStyle w:val="ConsPlusNormal"/>
              <w:ind w:firstLine="283"/>
              <w:jc w:val="both"/>
            </w:pPr>
            <w:r>
              <w:t xml:space="preserve">1 </w:t>
            </w:r>
            <w:r>
              <w:rPr>
                <w:noProof/>
                <w:position w:val="-12"/>
              </w:rPr>
              <w:drawing>
                <wp:inline distT="0" distB="0" distL="0" distR="0">
                  <wp:extent cx="1131570" cy="304165"/>
                  <wp:effectExtent l="0" t="0" r="0" b="0"/>
                  <wp:docPr id="10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0" cstate="print">
                            <a:extLst>
                              <a:ext uri="{28A0092B-C50C-407E-A947-70E740481C1C}">
                                <a14:useLocalDpi xmlns:a14="http://schemas.microsoft.com/office/drawing/2010/main" val="0"/>
                              </a:ext>
                            </a:extLst>
                          </a:blip>
                          <a:srcRect/>
                          <a:stretch>
                            <a:fillRect/>
                          </a:stretch>
                        </pic:blipFill>
                        <pic:spPr bwMode="auto">
                          <a:xfrm>
                            <a:off x="0" y="0"/>
                            <a:ext cx="1131570" cy="304165"/>
                          </a:xfrm>
                          <a:prstGeom prst="rect">
                            <a:avLst/>
                          </a:prstGeom>
                          <a:noFill/>
                          <a:ln>
                            <a:noFill/>
                          </a:ln>
                        </pic:spPr>
                      </pic:pic>
                    </a:graphicData>
                  </a:graphic>
                </wp:inline>
              </w:drawing>
            </w:r>
            <w:r>
              <w:t>.</w:t>
            </w:r>
          </w:p>
          <w:p w:rsidR="00212513" w:rsidRDefault="00212513">
            <w:pPr>
              <w:pStyle w:val="ConsPlusNormal"/>
              <w:ind w:firstLine="283"/>
              <w:jc w:val="both"/>
            </w:pPr>
            <w:r>
              <w:t>2 Силу N следует принимать со знаком "плюс".</w:t>
            </w:r>
          </w:p>
          <w:p w:rsidR="00212513" w:rsidRDefault="00212513">
            <w:pPr>
              <w:pStyle w:val="ConsPlusNormal"/>
              <w:ind w:firstLine="283"/>
              <w:jc w:val="both"/>
            </w:pPr>
            <w:r>
              <w:t>3 Промежуточные значения коэффициента пси определяются линейной интерполяцией.</w:t>
            </w:r>
          </w:p>
        </w:tc>
      </w:tr>
    </w:tbl>
    <w:p w:rsidR="00212513" w:rsidRDefault="00212513">
      <w:pPr>
        <w:pStyle w:val="ConsPlusNormal"/>
        <w:ind w:firstLine="540"/>
        <w:jc w:val="both"/>
      </w:pPr>
    </w:p>
    <w:p w:rsidR="00212513" w:rsidRDefault="00212513">
      <w:pPr>
        <w:pStyle w:val="ConsPlusNormal"/>
        <w:jc w:val="right"/>
      </w:pPr>
      <w:bookmarkStart w:id="314" w:name="P7388"/>
      <w:bookmarkEnd w:id="314"/>
      <w:r>
        <w:t>Таблица 8.19</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698"/>
        <w:gridCol w:w="698"/>
        <w:gridCol w:w="698"/>
        <w:gridCol w:w="698"/>
        <w:gridCol w:w="698"/>
        <w:gridCol w:w="698"/>
        <w:gridCol w:w="698"/>
        <w:gridCol w:w="698"/>
        <w:gridCol w:w="698"/>
        <w:gridCol w:w="698"/>
        <w:gridCol w:w="698"/>
        <w:gridCol w:w="698"/>
        <w:gridCol w:w="698"/>
        <w:gridCol w:w="698"/>
        <w:gridCol w:w="698"/>
        <w:gridCol w:w="698"/>
        <w:gridCol w:w="698"/>
        <w:gridCol w:w="707"/>
      </w:tblGrid>
      <w:tr w:rsidR="00212513">
        <w:tc>
          <w:tcPr>
            <w:tcW w:w="964" w:type="dxa"/>
            <w:vMerge w:val="restart"/>
            <w:vAlign w:val="center"/>
          </w:tcPr>
          <w:p w:rsidR="00212513" w:rsidRDefault="00212513">
            <w:pPr>
              <w:pStyle w:val="ConsPlusNormal"/>
              <w:jc w:val="center"/>
            </w:pPr>
            <w:r>
              <w:rPr>
                <w:noProof/>
                <w:position w:val="-29"/>
              </w:rPr>
              <w:drawing>
                <wp:inline distT="0" distB="0" distL="0" distR="0">
                  <wp:extent cx="471805" cy="513715"/>
                  <wp:effectExtent l="0" t="0" r="0" b="0"/>
                  <wp:docPr id="10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6" cstate="print">
                            <a:extLst>
                              <a:ext uri="{28A0092B-C50C-407E-A947-70E740481C1C}">
                                <a14:useLocalDpi xmlns:a14="http://schemas.microsoft.com/office/drawing/2010/main" val="0"/>
                              </a:ext>
                            </a:extLst>
                          </a:blip>
                          <a:srcRect/>
                          <a:stretch>
                            <a:fillRect/>
                          </a:stretch>
                        </pic:blipFill>
                        <pic:spPr bwMode="auto">
                          <a:xfrm>
                            <a:off x="0" y="0"/>
                            <a:ext cx="471805" cy="513715"/>
                          </a:xfrm>
                          <a:prstGeom prst="rect">
                            <a:avLst/>
                          </a:prstGeom>
                          <a:noFill/>
                          <a:ln>
                            <a:noFill/>
                          </a:ln>
                        </pic:spPr>
                      </pic:pic>
                    </a:graphicData>
                  </a:graphic>
                </wp:inline>
              </w:drawing>
            </w:r>
          </w:p>
        </w:tc>
        <w:tc>
          <w:tcPr>
            <w:tcW w:w="12573" w:type="dxa"/>
            <w:gridSpan w:val="18"/>
            <w:vAlign w:val="center"/>
          </w:tcPr>
          <w:p w:rsidR="00212513" w:rsidRDefault="00212513">
            <w:pPr>
              <w:pStyle w:val="ConsPlusNormal"/>
              <w:jc w:val="center"/>
            </w:pPr>
            <w:r>
              <w:t xml:space="preserve">Значения коэффициента </w:t>
            </w:r>
            <w:r>
              <w:rPr>
                <w:noProof/>
                <w:position w:val="-3"/>
              </w:rPr>
              <w:drawing>
                <wp:inline distT="0" distB="0" distL="0" distR="0">
                  <wp:extent cx="167640" cy="178435"/>
                  <wp:effectExtent l="0" t="0" r="0" b="0"/>
                  <wp:docPr id="10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7"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r>
              <w:t xml:space="preserve"> при </w:t>
            </w:r>
            <w:r>
              <w:rPr>
                <w:noProof/>
                <w:position w:val="-1"/>
              </w:rPr>
              <w:drawing>
                <wp:inline distT="0" distB="0" distL="0" distR="0">
                  <wp:extent cx="167640" cy="157480"/>
                  <wp:effectExtent l="0" t="0" r="0" b="0"/>
                  <wp:docPr id="10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8"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p>
        </w:tc>
      </w:tr>
      <w:tr w:rsidR="00212513">
        <w:tc>
          <w:tcPr>
            <w:tcW w:w="964" w:type="dxa"/>
            <w:vMerge/>
          </w:tcPr>
          <w:p w:rsidR="00212513" w:rsidRDefault="00212513">
            <w:pPr>
              <w:pStyle w:val="ConsPlusNormal"/>
            </w:pPr>
          </w:p>
        </w:tc>
        <w:tc>
          <w:tcPr>
            <w:tcW w:w="2094" w:type="dxa"/>
            <w:gridSpan w:val="3"/>
            <w:vAlign w:val="center"/>
          </w:tcPr>
          <w:p w:rsidR="00212513" w:rsidRDefault="00212513">
            <w:pPr>
              <w:pStyle w:val="ConsPlusNormal"/>
              <w:jc w:val="center"/>
            </w:pPr>
            <w:r>
              <w:t>-0,05</w:t>
            </w:r>
          </w:p>
        </w:tc>
        <w:tc>
          <w:tcPr>
            <w:tcW w:w="2094" w:type="dxa"/>
            <w:gridSpan w:val="3"/>
            <w:vAlign w:val="center"/>
          </w:tcPr>
          <w:p w:rsidR="00212513" w:rsidRDefault="00212513">
            <w:pPr>
              <w:pStyle w:val="ConsPlusNormal"/>
              <w:jc w:val="center"/>
            </w:pPr>
            <w:r>
              <w:t>-0,2</w:t>
            </w:r>
          </w:p>
        </w:tc>
        <w:tc>
          <w:tcPr>
            <w:tcW w:w="2094" w:type="dxa"/>
            <w:gridSpan w:val="3"/>
            <w:vAlign w:val="center"/>
          </w:tcPr>
          <w:p w:rsidR="00212513" w:rsidRDefault="00212513">
            <w:pPr>
              <w:pStyle w:val="ConsPlusNormal"/>
              <w:jc w:val="center"/>
            </w:pPr>
            <w:r>
              <w:t>-0,4</w:t>
            </w:r>
          </w:p>
        </w:tc>
        <w:tc>
          <w:tcPr>
            <w:tcW w:w="2094" w:type="dxa"/>
            <w:gridSpan w:val="3"/>
            <w:vAlign w:val="center"/>
          </w:tcPr>
          <w:p w:rsidR="00212513" w:rsidRDefault="00212513">
            <w:pPr>
              <w:pStyle w:val="ConsPlusNormal"/>
              <w:jc w:val="center"/>
            </w:pPr>
            <w:r>
              <w:t>-0,6</w:t>
            </w:r>
          </w:p>
        </w:tc>
        <w:tc>
          <w:tcPr>
            <w:tcW w:w="2094" w:type="dxa"/>
            <w:gridSpan w:val="3"/>
            <w:vAlign w:val="center"/>
          </w:tcPr>
          <w:p w:rsidR="00212513" w:rsidRDefault="00212513">
            <w:pPr>
              <w:pStyle w:val="ConsPlusNormal"/>
              <w:jc w:val="center"/>
            </w:pPr>
            <w:r>
              <w:t>-0,8</w:t>
            </w:r>
          </w:p>
        </w:tc>
        <w:tc>
          <w:tcPr>
            <w:tcW w:w="2103" w:type="dxa"/>
            <w:gridSpan w:val="3"/>
            <w:vAlign w:val="center"/>
          </w:tcPr>
          <w:p w:rsidR="00212513" w:rsidRDefault="00212513">
            <w:pPr>
              <w:pStyle w:val="ConsPlusNormal"/>
              <w:jc w:val="center"/>
            </w:pPr>
            <w:r>
              <w:t>-0,95</w:t>
            </w:r>
          </w:p>
        </w:tc>
      </w:tr>
      <w:tr w:rsidR="00212513">
        <w:tc>
          <w:tcPr>
            <w:tcW w:w="964" w:type="dxa"/>
            <w:vMerge/>
          </w:tcPr>
          <w:p w:rsidR="00212513" w:rsidRDefault="00212513">
            <w:pPr>
              <w:pStyle w:val="ConsPlusNormal"/>
            </w:pPr>
          </w:p>
        </w:tc>
        <w:tc>
          <w:tcPr>
            <w:tcW w:w="12573" w:type="dxa"/>
            <w:gridSpan w:val="18"/>
            <w:vAlign w:val="center"/>
          </w:tcPr>
          <w:p w:rsidR="00212513" w:rsidRDefault="00212513">
            <w:pPr>
              <w:pStyle w:val="ConsPlusNormal"/>
              <w:jc w:val="center"/>
            </w:pPr>
            <w:r>
              <w:t>При </w:t>
            </w:r>
            <w:r>
              <w:rPr>
                <w:noProof/>
                <w:position w:val="-9"/>
              </w:rPr>
              <w:drawing>
                <wp:inline distT="0" distB="0" distL="0" distR="0">
                  <wp:extent cx="712470" cy="262255"/>
                  <wp:effectExtent l="0" t="0" r="0" b="0"/>
                  <wp:docPr id="10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9" cstate="print">
                            <a:extLst>
                              <a:ext uri="{28A0092B-C50C-407E-A947-70E740481C1C}">
                                <a14:useLocalDpi xmlns:a14="http://schemas.microsoft.com/office/drawing/2010/main" val="0"/>
                              </a:ext>
                            </a:extLst>
                          </a:blip>
                          <a:srcRect/>
                          <a:stretch>
                            <a:fillRect/>
                          </a:stretch>
                        </pic:blipFill>
                        <pic:spPr bwMode="auto">
                          <a:xfrm>
                            <a:off x="0" y="0"/>
                            <a:ext cx="712470" cy="262255"/>
                          </a:xfrm>
                          <a:prstGeom prst="rect">
                            <a:avLst/>
                          </a:prstGeom>
                          <a:noFill/>
                          <a:ln>
                            <a:noFill/>
                          </a:ln>
                        </pic:spPr>
                      </pic:pic>
                    </a:graphicData>
                  </a:graphic>
                </wp:inline>
              </w:drawing>
            </w:r>
          </w:p>
        </w:tc>
      </w:tr>
      <w:tr w:rsidR="00212513">
        <w:tc>
          <w:tcPr>
            <w:tcW w:w="964" w:type="dxa"/>
            <w:vMerge/>
          </w:tcPr>
          <w:p w:rsidR="00212513" w:rsidRDefault="00212513">
            <w:pPr>
              <w:pStyle w:val="ConsPlusNormal"/>
            </w:pPr>
          </w:p>
        </w:tc>
        <w:tc>
          <w:tcPr>
            <w:tcW w:w="698" w:type="dxa"/>
            <w:vAlign w:val="center"/>
          </w:tcPr>
          <w:p w:rsidR="00212513" w:rsidRDefault="00212513">
            <w:pPr>
              <w:pStyle w:val="ConsPlusNormal"/>
              <w:jc w:val="center"/>
            </w:pPr>
            <w:r>
              <w:t>0,5</w:t>
            </w:r>
          </w:p>
        </w:tc>
        <w:tc>
          <w:tcPr>
            <w:tcW w:w="698" w:type="dxa"/>
            <w:vAlign w:val="center"/>
          </w:tcPr>
          <w:p w:rsidR="00212513" w:rsidRDefault="00212513">
            <w:pPr>
              <w:pStyle w:val="ConsPlusNormal"/>
              <w:jc w:val="center"/>
            </w:pPr>
            <w:r>
              <w:t>1</w:t>
            </w:r>
          </w:p>
        </w:tc>
        <w:tc>
          <w:tcPr>
            <w:tcW w:w="698" w:type="dxa"/>
            <w:vAlign w:val="center"/>
          </w:tcPr>
          <w:p w:rsidR="00212513" w:rsidRDefault="00212513">
            <w:pPr>
              <w:pStyle w:val="ConsPlusNormal"/>
              <w:jc w:val="center"/>
            </w:pPr>
            <w:r>
              <w:t>2</w:t>
            </w:r>
          </w:p>
        </w:tc>
        <w:tc>
          <w:tcPr>
            <w:tcW w:w="698" w:type="dxa"/>
            <w:vAlign w:val="center"/>
          </w:tcPr>
          <w:p w:rsidR="00212513" w:rsidRDefault="00212513">
            <w:pPr>
              <w:pStyle w:val="ConsPlusNormal"/>
              <w:jc w:val="center"/>
            </w:pPr>
            <w:r>
              <w:t>0,5</w:t>
            </w:r>
          </w:p>
        </w:tc>
        <w:tc>
          <w:tcPr>
            <w:tcW w:w="698" w:type="dxa"/>
            <w:vAlign w:val="center"/>
          </w:tcPr>
          <w:p w:rsidR="00212513" w:rsidRDefault="00212513">
            <w:pPr>
              <w:pStyle w:val="ConsPlusNormal"/>
              <w:jc w:val="center"/>
            </w:pPr>
            <w:r>
              <w:t>1</w:t>
            </w:r>
          </w:p>
        </w:tc>
        <w:tc>
          <w:tcPr>
            <w:tcW w:w="698" w:type="dxa"/>
            <w:vAlign w:val="center"/>
          </w:tcPr>
          <w:p w:rsidR="00212513" w:rsidRDefault="00212513">
            <w:pPr>
              <w:pStyle w:val="ConsPlusNormal"/>
              <w:jc w:val="center"/>
            </w:pPr>
            <w:r>
              <w:t>2</w:t>
            </w:r>
          </w:p>
        </w:tc>
        <w:tc>
          <w:tcPr>
            <w:tcW w:w="698" w:type="dxa"/>
            <w:vAlign w:val="center"/>
          </w:tcPr>
          <w:p w:rsidR="00212513" w:rsidRDefault="00212513">
            <w:pPr>
              <w:pStyle w:val="ConsPlusNormal"/>
              <w:jc w:val="center"/>
            </w:pPr>
            <w:r>
              <w:t>0,5</w:t>
            </w:r>
          </w:p>
        </w:tc>
        <w:tc>
          <w:tcPr>
            <w:tcW w:w="698" w:type="dxa"/>
            <w:vAlign w:val="center"/>
          </w:tcPr>
          <w:p w:rsidR="00212513" w:rsidRDefault="00212513">
            <w:pPr>
              <w:pStyle w:val="ConsPlusNormal"/>
              <w:jc w:val="center"/>
            </w:pPr>
            <w:r>
              <w:t>1</w:t>
            </w:r>
          </w:p>
        </w:tc>
        <w:tc>
          <w:tcPr>
            <w:tcW w:w="698" w:type="dxa"/>
            <w:vAlign w:val="center"/>
          </w:tcPr>
          <w:p w:rsidR="00212513" w:rsidRDefault="00212513">
            <w:pPr>
              <w:pStyle w:val="ConsPlusNormal"/>
              <w:jc w:val="center"/>
            </w:pPr>
            <w:r>
              <w:t>2</w:t>
            </w:r>
          </w:p>
        </w:tc>
        <w:tc>
          <w:tcPr>
            <w:tcW w:w="698" w:type="dxa"/>
            <w:vAlign w:val="center"/>
          </w:tcPr>
          <w:p w:rsidR="00212513" w:rsidRDefault="00212513">
            <w:pPr>
              <w:pStyle w:val="ConsPlusNormal"/>
              <w:jc w:val="center"/>
            </w:pPr>
            <w:r>
              <w:t>0,5</w:t>
            </w:r>
          </w:p>
        </w:tc>
        <w:tc>
          <w:tcPr>
            <w:tcW w:w="698" w:type="dxa"/>
            <w:vAlign w:val="center"/>
          </w:tcPr>
          <w:p w:rsidR="00212513" w:rsidRDefault="00212513">
            <w:pPr>
              <w:pStyle w:val="ConsPlusNormal"/>
              <w:jc w:val="center"/>
            </w:pPr>
            <w:r>
              <w:t>1</w:t>
            </w:r>
          </w:p>
        </w:tc>
        <w:tc>
          <w:tcPr>
            <w:tcW w:w="698" w:type="dxa"/>
            <w:vAlign w:val="center"/>
          </w:tcPr>
          <w:p w:rsidR="00212513" w:rsidRDefault="00212513">
            <w:pPr>
              <w:pStyle w:val="ConsPlusNormal"/>
              <w:jc w:val="center"/>
            </w:pPr>
            <w:r>
              <w:t>2</w:t>
            </w:r>
          </w:p>
        </w:tc>
        <w:tc>
          <w:tcPr>
            <w:tcW w:w="698" w:type="dxa"/>
            <w:vAlign w:val="center"/>
          </w:tcPr>
          <w:p w:rsidR="00212513" w:rsidRDefault="00212513">
            <w:pPr>
              <w:pStyle w:val="ConsPlusNormal"/>
              <w:jc w:val="center"/>
            </w:pPr>
            <w:r>
              <w:t>0,5</w:t>
            </w:r>
          </w:p>
        </w:tc>
        <w:tc>
          <w:tcPr>
            <w:tcW w:w="698" w:type="dxa"/>
            <w:vAlign w:val="center"/>
          </w:tcPr>
          <w:p w:rsidR="00212513" w:rsidRDefault="00212513">
            <w:pPr>
              <w:pStyle w:val="ConsPlusNormal"/>
              <w:jc w:val="center"/>
            </w:pPr>
            <w:r>
              <w:t>1</w:t>
            </w:r>
          </w:p>
        </w:tc>
        <w:tc>
          <w:tcPr>
            <w:tcW w:w="698" w:type="dxa"/>
            <w:vAlign w:val="center"/>
          </w:tcPr>
          <w:p w:rsidR="00212513" w:rsidRDefault="00212513">
            <w:pPr>
              <w:pStyle w:val="ConsPlusNormal"/>
              <w:jc w:val="center"/>
            </w:pPr>
            <w:r>
              <w:t>2</w:t>
            </w:r>
          </w:p>
        </w:tc>
        <w:tc>
          <w:tcPr>
            <w:tcW w:w="698" w:type="dxa"/>
            <w:vAlign w:val="center"/>
          </w:tcPr>
          <w:p w:rsidR="00212513" w:rsidRDefault="00212513">
            <w:pPr>
              <w:pStyle w:val="ConsPlusNormal"/>
              <w:jc w:val="center"/>
            </w:pPr>
            <w:r>
              <w:t>0,5</w:t>
            </w:r>
          </w:p>
        </w:tc>
        <w:tc>
          <w:tcPr>
            <w:tcW w:w="698" w:type="dxa"/>
            <w:vAlign w:val="center"/>
          </w:tcPr>
          <w:p w:rsidR="00212513" w:rsidRDefault="00212513">
            <w:pPr>
              <w:pStyle w:val="ConsPlusNormal"/>
              <w:jc w:val="center"/>
            </w:pPr>
            <w:r>
              <w:t>1</w:t>
            </w:r>
          </w:p>
        </w:tc>
        <w:tc>
          <w:tcPr>
            <w:tcW w:w="707" w:type="dxa"/>
            <w:vAlign w:val="center"/>
          </w:tcPr>
          <w:p w:rsidR="00212513" w:rsidRDefault="00212513">
            <w:pPr>
              <w:pStyle w:val="ConsPlusNormal"/>
              <w:jc w:val="center"/>
            </w:pPr>
            <w:r>
              <w:t>2</w:t>
            </w:r>
          </w:p>
        </w:tc>
      </w:tr>
      <w:tr w:rsidR="00212513">
        <w:tblPrEx>
          <w:tblBorders>
            <w:insideH w:val="nil"/>
          </w:tblBorders>
        </w:tblPrEx>
        <w:tc>
          <w:tcPr>
            <w:tcW w:w="964" w:type="dxa"/>
            <w:tcBorders>
              <w:bottom w:val="nil"/>
            </w:tcBorders>
          </w:tcPr>
          <w:p w:rsidR="00212513" w:rsidRDefault="00212513">
            <w:pPr>
              <w:pStyle w:val="ConsPlusNormal"/>
              <w:jc w:val="center"/>
            </w:pPr>
            <w:r>
              <w:t>0</w:t>
            </w:r>
          </w:p>
        </w:tc>
        <w:tc>
          <w:tcPr>
            <w:tcW w:w="698" w:type="dxa"/>
            <w:tcBorders>
              <w:bottom w:val="nil"/>
            </w:tcBorders>
          </w:tcPr>
          <w:p w:rsidR="00212513" w:rsidRDefault="00212513">
            <w:pPr>
              <w:pStyle w:val="ConsPlusNormal"/>
              <w:jc w:val="center"/>
            </w:pPr>
            <w:r>
              <w:t>0,9</w:t>
            </w:r>
          </w:p>
        </w:tc>
        <w:tc>
          <w:tcPr>
            <w:tcW w:w="698" w:type="dxa"/>
            <w:tcBorders>
              <w:bottom w:val="nil"/>
            </w:tcBorders>
          </w:tcPr>
          <w:p w:rsidR="00212513" w:rsidRDefault="00212513">
            <w:pPr>
              <w:pStyle w:val="ConsPlusNormal"/>
              <w:jc w:val="center"/>
            </w:pPr>
            <w:r>
              <w:t>0,9</w:t>
            </w:r>
          </w:p>
        </w:tc>
        <w:tc>
          <w:tcPr>
            <w:tcW w:w="698" w:type="dxa"/>
            <w:tcBorders>
              <w:bottom w:val="nil"/>
            </w:tcBorders>
          </w:tcPr>
          <w:p w:rsidR="00212513" w:rsidRDefault="00212513">
            <w:pPr>
              <w:pStyle w:val="ConsPlusNormal"/>
              <w:jc w:val="center"/>
            </w:pPr>
            <w:r>
              <w:t>0,9</w:t>
            </w:r>
          </w:p>
        </w:tc>
        <w:tc>
          <w:tcPr>
            <w:tcW w:w="698" w:type="dxa"/>
            <w:tcBorders>
              <w:bottom w:val="nil"/>
            </w:tcBorders>
          </w:tcPr>
          <w:p w:rsidR="00212513" w:rsidRDefault="00212513">
            <w:pPr>
              <w:pStyle w:val="ConsPlusNormal"/>
              <w:jc w:val="center"/>
            </w:pPr>
            <w:r>
              <w:t>0,6</w:t>
            </w:r>
          </w:p>
        </w:tc>
        <w:tc>
          <w:tcPr>
            <w:tcW w:w="698" w:type="dxa"/>
            <w:tcBorders>
              <w:bottom w:val="nil"/>
            </w:tcBorders>
          </w:tcPr>
          <w:p w:rsidR="00212513" w:rsidRDefault="00212513">
            <w:pPr>
              <w:pStyle w:val="ConsPlusNormal"/>
              <w:jc w:val="center"/>
            </w:pPr>
            <w:r>
              <w:t>0,6</w:t>
            </w:r>
          </w:p>
        </w:tc>
        <w:tc>
          <w:tcPr>
            <w:tcW w:w="698" w:type="dxa"/>
            <w:tcBorders>
              <w:bottom w:val="nil"/>
            </w:tcBorders>
          </w:tcPr>
          <w:p w:rsidR="00212513" w:rsidRDefault="00212513">
            <w:pPr>
              <w:pStyle w:val="ConsPlusNormal"/>
              <w:jc w:val="center"/>
            </w:pPr>
            <w:r>
              <w:t>0,6</w:t>
            </w:r>
          </w:p>
        </w:tc>
        <w:tc>
          <w:tcPr>
            <w:tcW w:w="698" w:type="dxa"/>
            <w:tcBorders>
              <w:bottom w:val="nil"/>
            </w:tcBorders>
          </w:tcPr>
          <w:p w:rsidR="00212513" w:rsidRDefault="00212513">
            <w:pPr>
              <w:pStyle w:val="ConsPlusNormal"/>
              <w:jc w:val="center"/>
            </w:pPr>
            <w:r>
              <w:t>0,2</w:t>
            </w:r>
          </w:p>
        </w:tc>
        <w:tc>
          <w:tcPr>
            <w:tcW w:w="698" w:type="dxa"/>
            <w:tcBorders>
              <w:bottom w:val="nil"/>
            </w:tcBorders>
          </w:tcPr>
          <w:p w:rsidR="00212513" w:rsidRDefault="00212513">
            <w:pPr>
              <w:pStyle w:val="ConsPlusNormal"/>
              <w:jc w:val="center"/>
            </w:pPr>
            <w:r>
              <w:t>0,2</w:t>
            </w:r>
          </w:p>
        </w:tc>
        <w:tc>
          <w:tcPr>
            <w:tcW w:w="698" w:type="dxa"/>
            <w:tcBorders>
              <w:bottom w:val="nil"/>
            </w:tcBorders>
          </w:tcPr>
          <w:p w:rsidR="00212513" w:rsidRDefault="00212513">
            <w:pPr>
              <w:pStyle w:val="ConsPlusNormal"/>
              <w:jc w:val="center"/>
            </w:pPr>
            <w:r>
              <w:t>0,2</w:t>
            </w:r>
          </w:p>
        </w:tc>
        <w:tc>
          <w:tcPr>
            <w:tcW w:w="698" w:type="dxa"/>
            <w:tcBorders>
              <w:bottom w:val="nil"/>
            </w:tcBorders>
          </w:tcPr>
          <w:p w:rsidR="00212513" w:rsidRDefault="00212513">
            <w:pPr>
              <w:pStyle w:val="ConsPlusNormal"/>
              <w:jc w:val="center"/>
            </w:pPr>
            <w:r>
              <w:t>-0,2</w:t>
            </w:r>
          </w:p>
        </w:tc>
        <w:tc>
          <w:tcPr>
            <w:tcW w:w="698" w:type="dxa"/>
            <w:tcBorders>
              <w:bottom w:val="nil"/>
            </w:tcBorders>
          </w:tcPr>
          <w:p w:rsidR="00212513" w:rsidRDefault="00212513">
            <w:pPr>
              <w:pStyle w:val="ConsPlusNormal"/>
              <w:jc w:val="center"/>
            </w:pPr>
            <w:r>
              <w:t>-0,2</w:t>
            </w:r>
          </w:p>
        </w:tc>
        <w:tc>
          <w:tcPr>
            <w:tcW w:w="698" w:type="dxa"/>
            <w:tcBorders>
              <w:bottom w:val="nil"/>
            </w:tcBorders>
          </w:tcPr>
          <w:p w:rsidR="00212513" w:rsidRDefault="00212513">
            <w:pPr>
              <w:pStyle w:val="ConsPlusNormal"/>
              <w:jc w:val="center"/>
            </w:pPr>
            <w:r>
              <w:t>-0,2</w:t>
            </w:r>
          </w:p>
        </w:tc>
        <w:tc>
          <w:tcPr>
            <w:tcW w:w="698" w:type="dxa"/>
            <w:tcBorders>
              <w:bottom w:val="nil"/>
            </w:tcBorders>
          </w:tcPr>
          <w:p w:rsidR="00212513" w:rsidRDefault="00212513">
            <w:pPr>
              <w:pStyle w:val="ConsPlusNormal"/>
              <w:jc w:val="center"/>
            </w:pPr>
            <w:r>
              <w:t>-0,6</w:t>
            </w:r>
          </w:p>
        </w:tc>
        <w:tc>
          <w:tcPr>
            <w:tcW w:w="698" w:type="dxa"/>
            <w:tcBorders>
              <w:bottom w:val="nil"/>
            </w:tcBorders>
          </w:tcPr>
          <w:p w:rsidR="00212513" w:rsidRDefault="00212513">
            <w:pPr>
              <w:pStyle w:val="ConsPlusNormal"/>
              <w:jc w:val="center"/>
            </w:pPr>
            <w:r>
              <w:t>-0,6</w:t>
            </w:r>
          </w:p>
        </w:tc>
        <w:tc>
          <w:tcPr>
            <w:tcW w:w="698" w:type="dxa"/>
            <w:tcBorders>
              <w:bottom w:val="nil"/>
            </w:tcBorders>
          </w:tcPr>
          <w:p w:rsidR="00212513" w:rsidRDefault="00212513">
            <w:pPr>
              <w:pStyle w:val="ConsPlusNormal"/>
              <w:jc w:val="center"/>
            </w:pPr>
            <w:r>
              <w:t>-0,6</w:t>
            </w:r>
          </w:p>
        </w:tc>
        <w:tc>
          <w:tcPr>
            <w:tcW w:w="698" w:type="dxa"/>
            <w:tcBorders>
              <w:bottom w:val="nil"/>
            </w:tcBorders>
          </w:tcPr>
          <w:p w:rsidR="00212513" w:rsidRDefault="00212513">
            <w:pPr>
              <w:pStyle w:val="ConsPlusNormal"/>
              <w:jc w:val="center"/>
            </w:pPr>
            <w:r>
              <w:t>-0,9</w:t>
            </w:r>
          </w:p>
        </w:tc>
        <w:tc>
          <w:tcPr>
            <w:tcW w:w="698" w:type="dxa"/>
            <w:tcBorders>
              <w:bottom w:val="nil"/>
            </w:tcBorders>
          </w:tcPr>
          <w:p w:rsidR="00212513" w:rsidRDefault="00212513">
            <w:pPr>
              <w:pStyle w:val="ConsPlusNormal"/>
              <w:jc w:val="center"/>
            </w:pPr>
            <w:r>
              <w:t>-0,9</w:t>
            </w:r>
          </w:p>
        </w:tc>
        <w:tc>
          <w:tcPr>
            <w:tcW w:w="707" w:type="dxa"/>
            <w:tcBorders>
              <w:bottom w:val="nil"/>
            </w:tcBorders>
          </w:tcPr>
          <w:p w:rsidR="00212513" w:rsidRDefault="00212513">
            <w:pPr>
              <w:pStyle w:val="ConsPlusNormal"/>
              <w:jc w:val="center"/>
            </w:pPr>
            <w:r>
              <w:t>-0,9</w:t>
            </w:r>
          </w:p>
        </w:tc>
      </w:tr>
      <w:tr w:rsidR="00212513">
        <w:tblPrEx>
          <w:tblBorders>
            <w:insideH w:val="nil"/>
          </w:tblBorders>
        </w:tblPrEx>
        <w:tc>
          <w:tcPr>
            <w:tcW w:w="964" w:type="dxa"/>
            <w:tcBorders>
              <w:top w:val="nil"/>
              <w:bottom w:val="nil"/>
            </w:tcBorders>
          </w:tcPr>
          <w:p w:rsidR="00212513" w:rsidRDefault="00212513">
            <w:pPr>
              <w:pStyle w:val="ConsPlusNormal"/>
              <w:jc w:val="center"/>
            </w:pPr>
            <w:r>
              <w:t>0,5</w:t>
            </w:r>
          </w:p>
        </w:tc>
        <w:tc>
          <w:tcPr>
            <w:tcW w:w="698" w:type="dxa"/>
            <w:tcBorders>
              <w:top w:val="nil"/>
              <w:bottom w:val="nil"/>
            </w:tcBorders>
          </w:tcPr>
          <w:p w:rsidR="00212513" w:rsidRDefault="00212513">
            <w:pPr>
              <w:pStyle w:val="ConsPlusNormal"/>
              <w:jc w:val="center"/>
            </w:pPr>
            <w:r>
              <w:t>0,42</w:t>
            </w:r>
          </w:p>
        </w:tc>
        <w:tc>
          <w:tcPr>
            <w:tcW w:w="698" w:type="dxa"/>
            <w:tcBorders>
              <w:top w:val="nil"/>
              <w:bottom w:val="nil"/>
            </w:tcBorders>
          </w:tcPr>
          <w:p w:rsidR="00212513" w:rsidRDefault="00212513">
            <w:pPr>
              <w:pStyle w:val="ConsPlusNormal"/>
              <w:jc w:val="center"/>
            </w:pPr>
            <w:r>
              <w:t>0,40</w:t>
            </w:r>
          </w:p>
        </w:tc>
        <w:tc>
          <w:tcPr>
            <w:tcW w:w="698" w:type="dxa"/>
            <w:tcBorders>
              <w:top w:val="nil"/>
              <w:bottom w:val="nil"/>
            </w:tcBorders>
          </w:tcPr>
          <w:p w:rsidR="00212513" w:rsidRDefault="00212513">
            <w:pPr>
              <w:pStyle w:val="ConsPlusNormal"/>
              <w:jc w:val="center"/>
            </w:pPr>
            <w:r>
              <w:t>0,38</w:t>
            </w:r>
          </w:p>
        </w:tc>
        <w:tc>
          <w:tcPr>
            <w:tcW w:w="698" w:type="dxa"/>
            <w:tcBorders>
              <w:top w:val="nil"/>
              <w:bottom w:val="nil"/>
            </w:tcBorders>
          </w:tcPr>
          <w:p w:rsidR="00212513" w:rsidRDefault="00212513">
            <w:pPr>
              <w:pStyle w:val="ConsPlusNormal"/>
              <w:jc w:val="center"/>
            </w:pPr>
            <w:r>
              <w:t>0,17</w:t>
            </w:r>
          </w:p>
        </w:tc>
        <w:tc>
          <w:tcPr>
            <w:tcW w:w="698" w:type="dxa"/>
            <w:tcBorders>
              <w:top w:val="nil"/>
              <w:bottom w:val="nil"/>
            </w:tcBorders>
          </w:tcPr>
          <w:p w:rsidR="00212513" w:rsidRDefault="00212513">
            <w:pPr>
              <w:pStyle w:val="ConsPlusNormal"/>
              <w:jc w:val="center"/>
            </w:pPr>
            <w:r>
              <w:t>0,12</w:t>
            </w:r>
          </w:p>
        </w:tc>
        <w:tc>
          <w:tcPr>
            <w:tcW w:w="698" w:type="dxa"/>
            <w:tcBorders>
              <w:top w:val="nil"/>
              <w:bottom w:val="nil"/>
            </w:tcBorders>
          </w:tcPr>
          <w:p w:rsidR="00212513" w:rsidRDefault="00212513">
            <w:pPr>
              <w:pStyle w:val="ConsPlusNormal"/>
              <w:jc w:val="center"/>
            </w:pPr>
            <w:r>
              <w:t>0,02</w:t>
            </w:r>
          </w:p>
        </w:tc>
        <w:tc>
          <w:tcPr>
            <w:tcW w:w="698" w:type="dxa"/>
            <w:tcBorders>
              <w:top w:val="nil"/>
              <w:bottom w:val="nil"/>
            </w:tcBorders>
          </w:tcPr>
          <w:p w:rsidR="00212513" w:rsidRDefault="00212513">
            <w:pPr>
              <w:pStyle w:val="ConsPlusNormal"/>
              <w:jc w:val="center"/>
            </w:pPr>
            <w:r>
              <w:t>-0,17</w:t>
            </w:r>
          </w:p>
        </w:tc>
        <w:tc>
          <w:tcPr>
            <w:tcW w:w="698" w:type="dxa"/>
            <w:tcBorders>
              <w:top w:val="nil"/>
              <w:bottom w:val="nil"/>
            </w:tcBorders>
          </w:tcPr>
          <w:p w:rsidR="00212513" w:rsidRDefault="00212513">
            <w:pPr>
              <w:pStyle w:val="ConsPlusNormal"/>
              <w:jc w:val="center"/>
            </w:pPr>
            <w:r>
              <w:t>-0,25</w:t>
            </w:r>
          </w:p>
        </w:tc>
        <w:tc>
          <w:tcPr>
            <w:tcW w:w="698" w:type="dxa"/>
            <w:tcBorders>
              <w:top w:val="nil"/>
              <w:bottom w:val="nil"/>
            </w:tcBorders>
          </w:tcPr>
          <w:p w:rsidR="00212513" w:rsidRDefault="00212513">
            <w:pPr>
              <w:pStyle w:val="ConsPlusNormal"/>
              <w:jc w:val="center"/>
            </w:pPr>
            <w:r>
              <w:t>-0,32</w:t>
            </w:r>
          </w:p>
        </w:tc>
        <w:tc>
          <w:tcPr>
            <w:tcW w:w="698" w:type="dxa"/>
            <w:tcBorders>
              <w:top w:val="nil"/>
              <w:bottom w:val="nil"/>
            </w:tcBorders>
          </w:tcPr>
          <w:p w:rsidR="00212513" w:rsidRDefault="00212513">
            <w:pPr>
              <w:pStyle w:val="ConsPlusNormal"/>
              <w:jc w:val="center"/>
            </w:pPr>
            <w:r>
              <w:t>-0,49</w:t>
            </w:r>
          </w:p>
        </w:tc>
        <w:tc>
          <w:tcPr>
            <w:tcW w:w="698" w:type="dxa"/>
            <w:tcBorders>
              <w:top w:val="nil"/>
              <w:bottom w:val="nil"/>
            </w:tcBorders>
          </w:tcPr>
          <w:p w:rsidR="00212513" w:rsidRDefault="00212513">
            <w:pPr>
              <w:pStyle w:val="ConsPlusNormal"/>
              <w:jc w:val="center"/>
            </w:pPr>
            <w:r>
              <w:t>-0,53</w:t>
            </w:r>
          </w:p>
        </w:tc>
        <w:tc>
          <w:tcPr>
            <w:tcW w:w="698" w:type="dxa"/>
            <w:tcBorders>
              <w:top w:val="nil"/>
              <w:bottom w:val="nil"/>
            </w:tcBorders>
          </w:tcPr>
          <w:p w:rsidR="00212513" w:rsidRDefault="00212513">
            <w:pPr>
              <w:pStyle w:val="ConsPlusNormal"/>
              <w:jc w:val="center"/>
            </w:pPr>
            <w:r>
              <w:t>-0,56</w:t>
            </w:r>
          </w:p>
        </w:tc>
        <w:tc>
          <w:tcPr>
            <w:tcW w:w="698" w:type="dxa"/>
            <w:tcBorders>
              <w:top w:val="nil"/>
              <w:bottom w:val="nil"/>
            </w:tcBorders>
          </w:tcPr>
          <w:p w:rsidR="00212513" w:rsidRDefault="00212513">
            <w:pPr>
              <w:pStyle w:val="ConsPlusNormal"/>
              <w:jc w:val="center"/>
            </w:pPr>
            <w:r>
              <w:t>-0,76</w:t>
            </w:r>
          </w:p>
        </w:tc>
        <w:tc>
          <w:tcPr>
            <w:tcW w:w="698" w:type="dxa"/>
            <w:tcBorders>
              <w:top w:val="nil"/>
              <w:bottom w:val="nil"/>
            </w:tcBorders>
          </w:tcPr>
          <w:p w:rsidR="00212513" w:rsidRDefault="00212513">
            <w:pPr>
              <w:pStyle w:val="ConsPlusNormal"/>
              <w:jc w:val="center"/>
            </w:pPr>
            <w:r>
              <w:t>-0,78</w:t>
            </w:r>
          </w:p>
        </w:tc>
        <w:tc>
          <w:tcPr>
            <w:tcW w:w="698" w:type="dxa"/>
            <w:tcBorders>
              <w:top w:val="nil"/>
              <w:bottom w:val="nil"/>
            </w:tcBorders>
          </w:tcPr>
          <w:p w:rsidR="00212513" w:rsidRDefault="00212513">
            <w:pPr>
              <w:pStyle w:val="ConsPlusNormal"/>
              <w:jc w:val="center"/>
            </w:pPr>
            <w:r>
              <w:t>-0,79</w:t>
            </w:r>
          </w:p>
        </w:tc>
        <w:tc>
          <w:tcPr>
            <w:tcW w:w="698" w:type="dxa"/>
            <w:tcBorders>
              <w:top w:val="nil"/>
              <w:bottom w:val="nil"/>
            </w:tcBorders>
          </w:tcPr>
          <w:p w:rsidR="00212513" w:rsidRDefault="00212513">
            <w:pPr>
              <w:pStyle w:val="ConsPlusNormal"/>
              <w:jc w:val="center"/>
            </w:pPr>
            <w:r>
              <w:t>-0,94</w:t>
            </w:r>
          </w:p>
        </w:tc>
        <w:tc>
          <w:tcPr>
            <w:tcW w:w="698" w:type="dxa"/>
            <w:tcBorders>
              <w:top w:val="nil"/>
              <w:bottom w:val="nil"/>
            </w:tcBorders>
          </w:tcPr>
          <w:p w:rsidR="00212513" w:rsidRDefault="00212513">
            <w:pPr>
              <w:pStyle w:val="ConsPlusNormal"/>
              <w:jc w:val="center"/>
            </w:pPr>
            <w:r>
              <w:t>-0,94</w:t>
            </w:r>
          </w:p>
        </w:tc>
        <w:tc>
          <w:tcPr>
            <w:tcW w:w="707" w:type="dxa"/>
            <w:tcBorders>
              <w:top w:val="nil"/>
              <w:bottom w:val="nil"/>
            </w:tcBorders>
          </w:tcPr>
          <w:p w:rsidR="00212513" w:rsidRDefault="00212513">
            <w:pPr>
              <w:pStyle w:val="ConsPlusNormal"/>
              <w:jc w:val="center"/>
            </w:pPr>
            <w:r>
              <w:t>-0,95</w:t>
            </w:r>
          </w:p>
        </w:tc>
      </w:tr>
      <w:tr w:rsidR="00212513">
        <w:tblPrEx>
          <w:tblBorders>
            <w:insideH w:val="nil"/>
          </w:tblBorders>
        </w:tblPrEx>
        <w:tc>
          <w:tcPr>
            <w:tcW w:w="964" w:type="dxa"/>
            <w:tcBorders>
              <w:top w:val="nil"/>
            </w:tcBorders>
          </w:tcPr>
          <w:p w:rsidR="00212513" w:rsidRDefault="00212513">
            <w:pPr>
              <w:pStyle w:val="ConsPlusNormal"/>
              <w:jc w:val="center"/>
            </w:pPr>
            <w:r>
              <w:lastRenderedPageBreak/>
              <w:t>1</w:t>
            </w:r>
          </w:p>
        </w:tc>
        <w:tc>
          <w:tcPr>
            <w:tcW w:w="698" w:type="dxa"/>
            <w:tcBorders>
              <w:top w:val="nil"/>
            </w:tcBorders>
          </w:tcPr>
          <w:p w:rsidR="00212513" w:rsidRDefault="00212513">
            <w:pPr>
              <w:pStyle w:val="ConsPlusNormal"/>
              <w:jc w:val="center"/>
            </w:pPr>
            <w:r>
              <w:t>-0,07</w:t>
            </w:r>
          </w:p>
        </w:tc>
        <w:tc>
          <w:tcPr>
            <w:tcW w:w="698" w:type="dxa"/>
            <w:tcBorders>
              <w:top w:val="nil"/>
            </w:tcBorders>
          </w:tcPr>
          <w:p w:rsidR="00212513" w:rsidRDefault="00212513">
            <w:pPr>
              <w:pStyle w:val="ConsPlusNormal"/>
              <w:jc w:val="center"/>
            </w:pPr>
            <w:r>
              <w:t>-0,09</w:t>
            </w:r>
          </w:p>
        </w:tc>
        <w:tc>
          <w:tcPr>
            <w:tcW w:w="698" w:type="dxa"/>
            <w:tcBorders>
              <w:top w:val="nil"/>
            </w:tcBorders>
          </w:tcPr>
          <w:p w:rsidR="00212513" w:rsidRDefault="00212513">
            <w:pPr>
              <w:pStyle w:val="ConsPlusNormal"/>
              <w:jc w:val="center"/>
            </w:pPr>
            <w:r>
              <w:t>-0,14</w:t>
            </w:r>
          </w:p>
        </w:tc>
        <w:tc>
          <w:tcPr>
            <w:tcW w:w="698" w:type="dxa"/>
            <w:tcBorders>
              <w:top w:val="nil"/>
            </w:tcBorders>
          </w:tcPr>
          <w:p w:rsidR="00212513" w:rsidRDefault="00212513">
            <w:pPr>
              <w:pStyle w:val="ConsPlusNormal"/>
              <w:jc w:val="center"/>
            </w:pPr>
            <w:r>
              <w:t>-0,27</w:t>
            </w:r>
          </w:p>
        </w:tc>
        <w:tc>
          <w:tcPr>
            <w:tcW w:w="698" w:type="dxa"/>
            <w:tcBorders>
              <w:top w:val="nil"/>
            </w:tcBorders>
          </w:tcPr>
          <w:p w:rsidR="00212513" w:rsidRDefault="00212513">
            <w:pPr>
              <w:pStyle w:val="ConsPlusNormal"/>
              <w:jc w:val="center"/>
            </w:pPr>
            <w:r>
              <w:t>-0,36</w:t>
            </w:r>
          </w:p>
        </w:tc>
        <w:tc>
          <w:tcPr>
            <w:tcW w:w="698" w:type="dxa"/>
            <w:tcBorders>
              <w:top w:val="nil"/>
            </w:tcBorders>
          </w:tcPr>
          <w:p w:rsidR="00212513" w:rsidRDefault="00212513">
            <w:pPr>
              <w:pStyle w:val="ConsPlusNormal"/>
              <w:jc w:val="center"/>
            </w:pPr>
            <w:r>
              <w:t>-0,56</w:t>
            </w:r>
          </w:p>
        </w:tc>
        <w:tc>
          <w:tcPr>
            <w:tcW w:w="698" w:type="dxa"/>
            <w:tcBorders>
              <w:top w:val="nil"/>
            </w:tcBorders>
          </w:tcPr>
          <w:p w:rsidR="00212513" w:rsidRDefault="00212513">
            <w:pPr>
              <w:pStyle w:val="ConsPlusNormal"/>
              <w:jc w:val="center"/>
            </w:pPr>
            <w:r>
              <w:t>-0,53</w:t>
            </w:r>
          </w:p>
        </w:tc>
        <w:tc>
          <w:tcPr>
            <w:tcW w:w="698" w:type="dxa"/>
            <w:tcBorders>
              <w:top w:val="nil"/>
            </w:tcBorders>
          </w:tcPr>
          <w:p w:rsidR="00212513" w:rsidRDefault="00212513">
            <w:pPr>
              <w:pStyle w:val="ConsPlusNormal"/>
              <w:jc w:val="center"/>
            </w:pPr>
            <w:r>
              <w:t>-0,70</w:t>
            </w:r>
          </w:p>
        </w:tc>
        <w:tc>
          <w:tcPr>
            <w:tcW w:w="698" w:type="dxa"/>
            <w:tcBorders>
              <w:top w:val="nil"/>
            </w:tcBorders>
          </w:tcPr>
          <w:p w:rsidR="00212513" w:rsidRDefault="00212513">
            <w:pPr>
              <w:pStyle w:val="ConsPlusNormal"/>
              <w:jc w:val="center"/>
            </w:pPr>
            <w:r>
              <w:t>-0,83</w:t>
            </w:r>
          </w:p>
        </w:tc>
        <w:tc>
          <w:tcPr>
            <w:tcW w:w="698" w:type="dxa"/>
            <w:tcBorders>
              <w:top w:val="nil"/>
            </w:tcBorders>
          </w:tcPr>
          <w:p w:rsidR="00212513" w:rsidRDefault="00212513">
            <w:pPr>
              <w:pStyle w:val="ConsPlusNormal"/>
              <w:jc w:val="center"/>
            </w:pPr>
            <w:r>
              <w:t>-0,78</w:t>
            </w:r>
          </w:p>
        </w:tc>
        <w:tc>
          <w:tcPr>
            <w:tcW w:w="698" w:type="dxa"/>
            <w:tcBorders>
              <w:top w:val="nil"/>
            </w:tcBorders>
          </w:tcPr>
          <w:p w:rsidR="00212513" w:rsidRDefault="00212513">
            <w:pPr>
              <w:pStyle w:val="ConsPlusNormal"/>
              <w:jc w:val="center"/>
            </w:pPr>
            <w:r>
              <w:t>-0,87</w:t>
            </w:r>
          </w:p>
        </w:tc>
        <w:tc>
          <w:tcPr>
            <w:tcW w:w="698" w:type="dxa"/>
            <w:tcBorders>
              <w:top w:val="nil"/>
            </w:tcBorders>
          </w:tcPr>
          <w:p w:rsidR="00212513" w:rsidRDefault="00212513">
            <w:pPr>
              <w:pStyle w:val="ConsPlusNormal"/>
              <w:jc w:val="center"/>
            </w:pPr>
            <w:r>
              <w:t>-0,93</w:t>
            </w:r>
          </w:p>
        </w:tc>
        <w:tc>
          <w:tcPr>
            <w:tcW w:w="698" w:type="dxa"/>
            <w:tcBorders>
              <w:top w:val="nil"/>
            </w:tcBorders>
          </w:tcPr>
          <w:p w:rsidR="00212513" w:rsidRDefault="00212513">
            <w:pPr>
              <w:pStyle w:val="ConsPlusNormal"/>
              <w:jc w:val="center"/>
            </w:pPr>
            <w:r>
              <w:t>-0,92</w:t>
            </w:r>
          </w:p>
        </w:tc>
        <w:tc>
          <w:tcPr>
            <w:tcW w:w="698" w:type="dxa"/>
            <w:tcBorders>
              <w:top w:val="nil"/>
            </w:tcBorders>
          </w:tcPr>
          <w:p w:rsidR="00212513" w:rsidRDefault="00212513">
            <w:pPr>
              <w:pStyle w:val="ConsPlusNormal"/>
              <w:jc w:val="center"/>
            </w:pPr>
            <w:r>
              <w:t>-0,95</w:t>
            </w:r>
          </w:p>
        </w:tc>
        <w:tc>
          <w:tcPr>
            <w:tcW w:w="698" w:type="dxa"/>
            <w:tcBorders>
              <w:top w:val="nil"/>
            </w:tcBorders>
          </w:tcPr>
          <w:p w:rsidR="00212513" w:rsidRDefault="00212513">
            <w:pPr>
              <w:pStyle w:val="ConsPlusNormal"/>
              <w:jc w:val="center"/>
            </w:pPr>
            <w:r>
              <w:t>-0,97</w:t>
            </w:r>
          </w:p>
        </w:tc>
        <w:tc>
          <w:tcPr>
            <w:tcW w:w="698" w:type="dxa"/>
            <w:tcBorders>
              <w:top w:val="nil"/>
            </w:tcBorders>
          </w:tcPr>
          <w:p w:rsidR="00212513" w:rsidRDefault="00212513">
            <w:pPr>
              <w:pStyle w:val="ConsPlusNormal"/>
              <w:jc w:val="center"/>
            </w:pPr>
            <w:r>
              <w:t>-0,98</w:t>
            </w:r>
          </w:p>
        </w:tc>
        <w:tc>
          <w:tcPr>
            <w:tcW w:w="698" w:type="dxa"/>
            <w:tcBorders>
              <w:top w:val="nil"/>
            </w:tcBorders>
          </w:tcPr>
          <w:p w:rsidR="00212513" w:rsidRDefault="00212513">
            <w:pPr>
              <w:pStyle w:val="ConsPlusNormal"/>
              <w:jc w:val="center"/>
            </w:pPr>
            <w:r>
              <w:t>-0,99</w:t>
            </w:r>
          </w:p>
        </w:tc>
        <w:tc>
          <w:tcPr>
            <w:tcW w:w="707" w:type="dxa"/>
            <w:tcBorders>
              <w:top w:val="nil"/>
            </w:tcBorders>
          </w:tcPr>
          <w:p w:rsidR="00212513" w:rsidRDefault="00212513">
            <w:pPr>
              <w:pStyle w:val="ConsPlusNormal"/>
              <w:jc w:val="center"/>
            </w:pPr>
            <w:r>
              <w:t>-0,99</w:t>
            </w:r>
          </w:p>
        </w:tc>
      </w:tr>
      <w:tr w:rsidR="00212513">
        <w:tc>
          <w:tcPr>
            <w:tcW w:w="13537" w:type="dxa"/>
            <w:gridSpan w:val="19"/>
          </w:tcPr>
          <w:p w:rsidR="00212513" w:rsidRDefault="00212513">
            <w:pPr>
              <w:pStyle w:val="ConsPlusNormal"/>
              <w:ind w:firstLine="283"/>
              <w:jc w:val="both"/>
            </w:pPr>
            <w:r>
              <w:t>Примечания</w:t>
            </w:r>
          </w:p>
          <w:p w:rsidR="00212513" w:rsidRDefault="00212513">
            <w:pPr>
              <w:pStyle w:val="ConsPlusNormal"/>
              <w:ind w:firstLine="283"/>
              <w:jc w:val="both"/>
            </w:pPr>
            <w:r>
              <w:t xml:space="preserve">1 </w:t>
            </w:r>
            <w:r>
              <w:rPr>
                <w:noProof/>
                <w:position w:val="-12"/>
              </w:rPr>
              <w:drawing>
                <wp:inline distT="0" distB="0" distL="0" distR="0">
                  <wp:extent cx="1131570" cy="304165"/>
                  <wp:effectExtent l="0" t="0" r="0" b="0"/>
                  <wp:docPr id="10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0" cstate="print">
                            <a:extLst>
                              <a:ext uri="{28A0092B-C50C-407E-A947-70E740481C1C}">
                                <a14:useLocalDpi xmlns:a14="http://schemas.microsoft.com/office/drawing/2010/main" val="0"/>
                              </a:ext>
                            </a:extLst>
                          </a:blip>
                          <a:srcRect/>
                          <a:stretch>
                            <a:fillRect/>
                          </a:stretch>
                        </pic:blipFill>
                        <pic:spPr bwMode="auto">
                          <a:xfrm>
                            <a:off x="0" y="0"/>
                            <a:ext cx="1131570" cy="304165"/>
                          </a:xfrm>
                          <a:prstGeom prst="rect">
                            <a:avLst/>
                          </a:prstGeom>
                          <a:noFill/>
                          <a:ln>
                            <a:noFill/>
                          </a:ln>
                        </pic:spPr>
                      </pic:pic>
                    </a:graphicData>
                  </a:graphic>
                </wp:inline>
              </w:drawing>
            </w:r>
            <w:r>
              <w:t>.</w:t>
            </w:r>
          </w:p>
          <w:p w:rsidR="00212513" w:rsidRDefault="00212513">
            <w:pPr>
              <w:pStyle w:val="ConsPlusNormal"/>
              <w:ind w:firstLine="283"/>
              <w:jc w:val="both"/>
            </w:pPr>
            <w:r>
              <w:t>2 Силу N следует принимать со знаком "минус".</w:t>
            </w:r>
          </w:p>
          <w:p w:rsidR="00212513" w:rsidRDefault="00212513">
            <w:pPr>
              <w:pStyle w:val="ConsPlusNormal"/>
              <w:ind w:firstLine="283"/>
              <w:jc w:val="both"/>
            </w:pPr>
            <w:r>
              <w:t>3 Промежуточные значения коэффициента пси определяются линейной интерполяцией.</w:t>
            </w:r>
          </w:p>
        </w:tc>
      </w:tr>
    </w:tbl>
    <w:p w:rsidR="00212513" w:rsidRDefault="00212513">
      <w:pPr>
        <w:pStyle w:val="ConsPlusNormal"/>
        <w:sectPr w:rsidR="00212513">
          <w:pgSz w:w="16838" w:h="11905" w:orient="landscape"/>
          <w:pgMar w:top="1701" w:right="1134" w:bottom="850" w:left="1134" w:header="0" w:footer="0" w:gutter="0"/>
          <w:cols w:space="720"/>
          <w:titlePg/>
        </w:sectPr>
      </w:pPr>
    </w:p>
    <w:p w:rsidR="00212513" w:rsidRDefault="00212513">
      <w:pPr>
        <w:pStyle w:val="ConsPlusNormal"/>
        <w:ind w:firstLine="540"/>
        <w:jc w:val="both"/>
      </w:pPr>
    </w:p>
    <w:p w:rsidR="00212513" w:rsidRDefault="00212513">
      <w:pPr>
        <w:pStyle w:val="ConsPlusNormal"/>
        <w:ind w:firstLine="540"/>
        <w:jc w:val="both"/>
      </w:pPr>
      <w:r>
        <w:t>Для других сечений, а также при других закреплениях концов элементов расчет по прочности следует производить по формуле</w:t>
      </w:r>
    </w:p>
    <w:p w:rsidR="00212513" w:rsidRDefault="00212513">
      <w:pPr>
        <w:pStyle w:val="ConsPlusNormal"/>
        <w:ind w:firstLine="540"/>
        <w:jc w:val="both"/>
      </w:pPr>
    </w:p>
    <w:p w:rsidR="00212513" w:rsidRDefault="00212513">
      <w:pPr>
        <w:pStyle w:val="ConsPlusNormal"/>
        <w:jc w:val="center"/>
      </w:pPr>
      <w:r>
        <w:rPr>
          <w:noProof/>
          <w:position w:val="-26"/>
        </w:rPr>
        <w:drawing>
          <wp:inline distT="0" distB="0" distL="0" distR="0">
            <wp:extent cx="1173480" cy="470535"/>
            <wp:effectExtent l="0" t="0" r="0" b="0"/>
            <wp:docPr id="10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1" cstate="print">
                      <a:extLst>
                        <a:ext uri="{28A0092B-C50C-407E-A947-70E740481C1C}">
                          <a14:useLocalDpi xmlns:a14="http://schemas.microsoft.com/office/drawing/2010/main" val="0"/>
                        </a:ext>
                      </a:extLst>
                    </a:blip>
                    <a:srcRect/>
                    <a:stretch>
                      <a:fillRect/>
                    </a:stretch>
                  </pic:blipFill>
                  <pic:spPr bwMode="auto">
                    <a:xfrm>
                      <a:off x="0" y="0"/>
                      <a:ext cx="1173480" cy="470535"/>
                    </a:xfrm>
                    <a:prstGeom prst="rect">
                      <a:avLst/>
                    </a:prstGeom>
                    <a:noFill/>
                    <a:ln>
                      <a:noFill/>
                    </a:ln>
                  </pic:spPr>
                </pic:pic>
              </a:graphicData>
            </a:graphic>
          </wp:inline>
        </w:drawing>
      </w:r>
      <w:r>
        <w:t>. (8.22)</w:t>
      </w:r>
    </w:p>
    <w:p w:rsidR="00212513" w:rsidRDefault="00212513">
      <w:pPr>
        <w:pStyle w:val="ConsPlusNormal"/>
        <w:ind w:firstLine="540"/>
        <w:jc w:val="both"/>
      </w:pPr>
    </w:p>
    <w:p w:rsidR="00212513" w:rsidRDefault="00212513">
      <w:pPr>
        <w:pStyle w:val="ConsPlusNormal"/>
        <w:ind w:firstLine="540"/>
        <w:jc w:val="both"/>
      </w:pPr>
      <w:r>
        <w:t xml:space="preserve">В </w:t>
      </w:r>
      <w:hyperlink w:anchor="P7289">
        <w:r>
          <w:rPr>
            <w:color w:val="0000FF"/>
          </w:rPr>
          <w:t>формулах (8.20)</w:t>
        </w:r>
      </w:hyperlink>
      <w:r>
        <w:t xml:space="preserve"> - (8.22) обозначения те же, что и в </w:t>
      </w:r>
      <w:hyperlink w:anchor="P7272">
        <w:r>
          <w:rPr>
            <w:color w:val="0000FF"/>
          </w:rPr>
          <w:t>формуле (8.18)</w:t>
        </w:r>
      </w:hyperlink>
      <w:r>
        <w:t>.</w:t>
      </w:r>
    </w:p>
    <w:p w:rsidR="00212513" w:rsidRDefault="00212513">
      <w:pPr>
        <w:pStyle w:val="ConsPlusNormal"/>
        <w:spacing w:before="220"/>
        <w:ind w:firstLine="540"/>
        <w:jc w:val="both"/>
      </w:pPr>
      <w:bookmarkStart w:id="315" w:name="P7484"/>
      <w:bookmarkEnd w:id="315"/>
      <w:r>
        <w:t>8.29 Расчет по прочности внецентренно сжатых, сжато-изгибаемых, внецентренно растянутых и растянуто-изгибаемых элементов при изгибе в двух главных плоскостях следует выполнять:</w:t>
      </w:r>
    </w:p>
    <w:p w:rsidR="00212513" w:rsidRDefault="00212513">
      <w:pPr>
        <w:pStyle w:val="ConsPlusNormal"/>
        <w:spacing w:before="220"/>
        <w:ind w:firstLine="540"/>
        <w:jc w:val="both"/>
      </w:pPr>
      <w:r>
        <w:t>для элементов двутаврового, коробчатого и таврового сечений с одной осью симметрии, а также для элементов сплошного прямоугольного и кольцевого сечений - по формуле</w:t>
      </w:r>
    </w:p>
    <w:p w:rsidR="00212513" w:rsidRDefault="00212513">
      <w:pPr>
        <w:pStyle w:val="ConsPlusNormal"/>
        <w:ind w:firstLine="540"/>
        <w:jc w:val="both"/>
      </w:pPr>
    </w:p>
    <w:p w:rsidR="00212513" w:rsidRDefault="00212513">
      <w:pPr>
        <w:pStyle w:val="ConsPlusNormal"/>
        <w:jc w:val="center"/>
      </w:pPr>
      <w:r>
        <w:rPr>
          <w:noProof/>
          <w:position w:val="-31"/>
        </w:rPr>
        <w:drawing>
          <wp:inline distT="0" distB="0" distL="0" distR="0">
            <wp:extent cx="1750060" cy="534670"/>
            <wp:effectExtent l="0" t="0" r="0" b="0"/>
            <wp:docPr id="10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2">
                      <a:extLst>
                        <a:ext uri="{28A0092B-C50C-407E-A947-70E740481C1C}">
                          <a14:useLocalDpi xmlns:a14="http://schemas.microsoft.com/office/drawing/2010/main" val="0"/>
                        </a:ext>
                      </a:extLst>
                    </a:blip>
                    <a:srcRect/>
                    <a:stretch>
                      <a:fillRect/>
                    </a:stretch>
                  </pic:blipFill>
                  <pic:spPr bwMode="auto">
                    <a:xfrm>
                      <a:off x="0" y="0"/>
                      <a:ext cx="1750060" cy="534670"/>
                    </a:xfrm>
                    <a:prstGeom prst="rect">
                      <a:avLst/>
                    </a:prstGeom>
                    <a:noFill/>
                    <a:ln>
                      <a:noFill/>
                    </a:ln>
                  </pic:spPr>
                </pic:pic>
              </a:graphicData>
            </a:graphic>
          </wp:inline>
        </w:drawing>
      </w:r>
      <w:r>
        <w:t>, (8.23)</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32"/>
        </w:rPr>
        <w:drawing>
          <wp:inline distT="0" distB="0" distL="0" distR="0">
            <wp:extent cx="1256030" cy="553085"/>
            <wp:effectExtent l="0" t="0" r="0" b="0"/>
            <wp:docPr id="10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3" cstate="print">
                      <a:extLst>
                        <a:ext uri="{28A0092B-C50C-407E-A947-70E740481C1C}">
                          <a14:useLocalDpi xmlns:a14="http://schemas.microsoft.com/office/drawing/2010/main" val="0"/>
                        </a:ext>
                      </a:extLst>
                    </a:blip>
                    <a:srcRect/>
                    <a:stretch>
                      <a:fillRect/>
                    </a:stretch>
                  </pic:blipFill>
                  <pic:spPr bwMode="auto">
                    <a:xfrm>
                      <a:off x="0" y="0"/>
                      <a:ext cx="1256030" cy="553085"/>
                    </a:xfrm>
                    <a:prstGeom prst="rect">
                      <a:avLst/>
                    </a:prstGeom>
                    <a:noFill/>
                    <a:ln>
                      <a:noFill/>
                    </a:ln>
                  </pic:spPr>
                </pic:pic>
              </a:graphicData>
            </a:graphic>
          </wp:inline>
        </w:drawing>
      </w:r>
      <w:r>
        <w:t>, (8.24)</w:t>
      </w:r>
    </w:p>
    <w:p w:rsidR="00212513" w:rsidRDefault="00212513">
      <w:pPr>
        <w:pStyle w:val="ConsPlusNormal"/>
        <w:spacing w:before="220"/>
        <w:ind w:firstLine="540"/>
        <w:jc w:val="both"/>
      </w:pPr>
      <w:r>
        <w:rPr>
          <w:noProof/>
          <w:position w:val="-8"/>
        </w:rPr>
        <w:drawing>
          <wp:inline distT="0" distB="0" distL="0" distR="0">
            <wp:extent cx="262890" cy="251460"/>
            <wp:effectExtent l="0" t="0" r="0" b="0"/>
            <wp:docPr id="10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4"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w:t>
      </w:r>
      <w:r>
        <w:rPr>
          <w:noProof/>
          <w:position w:val="-9"/>
        </w:rPr>
        <w:drawing>
          <wp:inline distT="0" distB="0" distL="0" distR="0">
            <wp:extent cx="262890" cy="262890"/>
            <wp:effectExtent l="0" t="0" r="0" b="0"/>
            <wp:docPr id="10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5"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приведенные изгибающие моменты по </w:t>
      </w:r>
      <w:hyperlink w:anchor="P7270">
        <w:r>
          <w:rPr>
            <w:color w:val="0000FF"/>
          </w:rPr>
          <w:t>8.28</w:t>
        </w:r>
      </w:hyperlink>
      <w:r>
        <w:t>;</w:t>
      </w:r>
    </w:p>
    <w:p w:rsidR="00212513" w:rsidRDefault="00212513">
      <w:pPr>
        <w:pStyle w:val="ConsPlusNormal"/>
        <w:spacing w:before="220"/>
        <w:ind w:firstLine="540"/>
        <w:jc w:val="both"/>
      </w:pPr>
      <w:r>
        <w:rPr>
          <w:noProof/>
          <w:position w:val="-3"/>
        </w:rPr>
        <w:drawing>
          <wp:inline distT="0" distB="0" distL="0" distR="0">
            <wp:extent cx="167640" cy="177800"/>
            <wp:effectExtent l="0" t="0" r="0" b="0"/>
            <wp:docPr id="10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6"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w:t>
      </w:r>
      <w:r>
        <w:rPr>
          <w:noProof/>
          <w:position w:val="-8"/>
        </w:rPr>
        <w:drawing>
          <wp:inline distT="0" distB="0" distL="0" distR="0">
            <wp:extent cx="220980" cy="251460"/>
            <wp:effectExtent l="0" t="0" r="0" b="0"/>
            <wp:docPr id="10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7"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10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8"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коэффициенты, принимаемые по </w:t>
      </w:r>
      <w:hyperlink w:anchor="P7270">
        <w:r>
          <w:rPr>
            <w:color w:val="0000FF"/>
          </w:rPr>
          <w:t>8.28</w:t>
        </w:r>
      </w:hyperlink>
      <w:r>
        <w:t xml:space="preserve"> и </w:t>
      </w:r>
      <w:hyperlink w:anchor="P6974">
        <w:r>
          <w:rPr>
            <w:color w:val="0000FF"/>
          </w:rPr>
          <w:t>8.26</w:t>
        </w:r>
      </w:hyperlink>
      <w:r>
        <w:t>, причем</w:t>
      </w:r>
    </w:p>
    <w:p w:rsidR="00212513" w:rsidRDefault="00212513">
      <w:pPr>
        <w:pStyle w:val="ConsPlusNormal"/>
        <w:ind w:firstLine="540"/>
        <w:jc w:val="both"/>
      </w:pPr>
    </w:p>
    <w:p w:rsidR="00212513" w:rsidRDefault="00212513">
      <w:pPr>
        <w:pStyle w:val="ConsPlusNormal"/>
        <w:jc w:val="center"/>
      </w:pPr>
      <w:r>
        <w:rPr>
          <w:noProof/>
          <w:position w:val="-27"/>
        </w:rPr>
        <w:drawing>
          <wp:inline distT="0" distB="0" distL="0" distR="0">
            <wp:extent cx="898525" cy="483870"/>
            <wp:effectExtent l="0" t="0" r="0" b="0"/>
            <wp:docPr id="10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9" cstate="print">
                      <a:extLst>
                        <a:ext uri="{28A0092B-C50C-407E-A947-70E740481C1C}">
                          <a14:useLocalDpi xmlns:a14="http://schemas.microsoft.com/office/drawing/2010/main" val="0"/>
                        </a:ext>
                      </a:extLst>
                    </a:blip>
                    <a:srcRect/>
                    <a:stretch>
                      <a:fillRect/>
                    </a:stretch>
                  </pic:blipFill>
                  <pic:spPr bwMode="auto">
                    <a:xfrm>
                      <a:off x="0" y="0"/>
                      <a:ext cx="898525" cy="483870"/>
                    </a:xfrm>
                    <a:prstGeom prst="rect">
                      <a:avLst/>
                    </a:prstGeom>
                    <a:noFill/>
                    <a:ln>
                      <a:noFill/>
                    </a:ln>
                  </pic:spPr>
                </pic:pic>
              </a:graphicData>
            </a:graphic>
          </wp:inline>
        </w:drawing>
      </w:r>
      <w:r>
        <w:t>;</w:t>
      </w:r>
    </w:p>
    <w:p w:rsidR="00212513" w:rsidRDefault="00212513">
      <w:pPr>
        <w:pStyle w:val="ConsPlusNormal"/>
        <w:jc w:val="center"/>
      </w:pPr>
    </w:p>
    <w:p w:rsidR="00212513" w:rsidRDefault="00212513">
      <w:pPr>
        <w:pStyle w:val="ConsPlusNormal"/>
        <w:ind w:firstLine="540"/>
        <w:jc w:val="both"/>
      </w:pPr>
      <w:r>
        <w:t>для других сечений, а также при других закреплениях концов элементов расчет по прочности следует производить по формуле</w:t>
      </w:r>
    </w:p>
    <w:p w:rsidR="00212513" w:rsidRDefault="00212513">
      <w:pPr>
        <w:pStyle w:val="ConsPlusNormal"/>
        <w:ind w:firstLine="540"/>
        <w:jc w:val="both"/>
      </w:pPr>
    </w:p>
    <w:p w:rsidR="00212513" w:rsidRDefault="00212513">
      <w:pPr>
        <w:pStyle w:val="ConsPlusNormal"/>
        <w:jc w:val="center"/>
      </w:pPr>
      <w:bookmarkStart w:id="316" w:name="P7497"/>
      <w:bookmarkEnd w:id="316"/>
      <w:r>
        <w:rPr>
          <w:noProof/>
          <w:position w:val="-29"/>
        </w:rPr>
        <w:drawing>
          <wp:inline distT="0" distB="0" distL="0" distR="0">
            <wp:extent cx="2011680" cy="511810"/>
            <wp:effectExtent l="0" t="0" r="0" b="0"/>
            <wp:docPr id="10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0" cstate="print">
                      <a:extLst>
                        <a:ext uri="{28A0092B-C50C-407E-A947-70E740481C1C}">
                          <a14:useLocalDpi xmlns:a14="http://schemas.microsoft.com/office/drawing/2010/main" val="0"/>
                        </a:ext>
                      </a:extLst>
                    </a:blip>
                    <a:srcRect/>
                    <a:stretch>
                      <a:fillRect/>
                    </a:stretch>
                  </pic:blipFill>
                  <pic:spPr bwMode="auto">
                    <a:xfrm>
                      <a:off x="0" y="0"/>
                      <a:ext cx="2011680" cy="511810"/>
                    </a:xfrm>
                    <a:prstGeom prst="rect">
                      <a:avLst/>
                    </a:prstGeom>
                    <a:noFill/>
                    <a:ln>
                      <a:noFill/>
                    </a:ln>
                  </pic:spPr>
                </pic:pic>
              </a:graphicData>
            </a:graphic>
          </wp:inline>
        </w:drawing>
      </w:r>
      <w:r>
        <w:t>. (8.25)</w:t>
      </w:r>
    </w:p>
    <w:p w:rsidR="00212513" w:rsidRDefault="00212513">
      <w:pPr>
        <w:pStyle w:val="ConsPlusNormal"/>
        <w:ind w:firstLine="540"/>
        <w:jc w:val="both"/>
      </w:pPr>
    </w:p>
    <w:p w:rsidR="00212513" w:rsidRDefault="00212513">
      <w:pPr>
        <w:pStyle w:val="ConsPlusNormal"/>
        <w:ind w:firstLine="540"/>
        <w:jc w:val="both"/>
      </w:pPr>
      <w:r>
        <w:t xml:space="preserve">В основных случаях, когда приведенных данных для определения </w:t>
      </w:r>
      <w:r>
        <w:rPr>
          <w:noProof/>
          <w:position w:val="-8"/>
        </w:rPr>
        <w:drawing>
          <wp:inline distT="0" distB="0" distL="0" distR="0">
            <wp:extent cx="220980" cy="251460"/>
            <wp:effectExtent l="0" t="0" r="0" b="0"/>
            <wp:docPr id="10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7"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и </w:t>
      </w:r>
      <w:r>
        <w:rPr>
          <w:noProof/>
          <w:position w:val="-9"/>
        </w:rPr>
        <w:drawing>
          <wp:inline distT="0" distB="0" distL="0" distR="0">
            <wp:extent cx="220980" cy="262890"/>
            <wp:effectExtent l="0" t="0" r="0" b="0"/>
            <wp:docPr id="10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8"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недостаточно, расчет на прочность производят по </w:t>
      </w:r>
      <w:hyperlink w:anchor="P7497">
        <w:r>
          <w:rPr>
            <w:color w:val="0000FF"/>
          </w:rPr>
          <w:t>формуле (8.25)</w:t>
        </w:r>
      </w:hyperlink>
      <w:r>
        <w:t xml:space="preserve">, принимая </w:t>
      </w:r>
      <w:r>
        <w:rPr>
          <w:noProof/>
          <w:position w:val="-9"/>
        </w:rPr>
        <w:drawing>
          <wp:inline distT="0" distB="0" distL="0" distR="0">
            <wp:extent cx="818515" cy="262890"/>
            <wp:effectExtent l="0" t="0" r="0" b="0"/>
            <wp:docPr id="10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1" cstate="print">
                      <a:extLst>
                        <a:ext uri="{28A0092B-C50C-407E-A947-70E740481C1C}">
                          <a14:useLocalDpi xmlns:a14="http://schemas.microsoft.com/office/drawing/2010/main" val="0"/>
                        </a:ext>
                      </a:extLst>
                    </a:blip>
                    <a:srcRect/>
                    <a:stretch>
                      <a:fillRect/>
                    </a:stretch>
                  </pic:blipFill>
                  <pic:spPr bwMode="auto">
                    <a:xfrm>
                      <a:off x="0" y="0"/>
                      <a:ext cx="818515" cy="262890"/>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8.30 Значения касательных напряжений </w:t>
      </w:r>
      <w:r>
        <w:rPr>
          <w:noProof/>
          <w:position w:val="-1"/>
        </w:rPr>
        <w:drawing>
          <wp:inline distT="0" distB="0" distL="0" distR="0">
            <wp:extent cx="146685" cy="156845"/>
            <wp:effectExtent l="0" t="0" r="0" b="0"/>
            <wp:docPr id="10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2" cstate="print">
                      <a:extLst>
                        <a:ext uri="{28A0092B-C50C-407E-A947-70E740481C1C}">
                          <a14:useLocalDpi xmlns:a14="http://schemas.microsoft.com/office/drawing/2010/main" val="0"/>
                        </a:ext>
                      </a:extLst>
                    </a:blip>
                    <a:srcRect/>
                    <a:stretch>
                      <a:fillRect/>
                    </a:stretch>
                  </pic:blipFill>
                  <pic:spPr bwMode="auto">
                    <a:xfrm>
                      <a:off x="0" y="0"/>
                      <a:ext cx="146685" cy="156845"/>
                    </a:xfrm>
                    <a:prstGeom prst="rect">
                      <a:avLst/>
                    </a:prstGeom>
                    <a:noFill/>
                    <a:ln>
                      <a:noFill/>
                    </a:ln>
                  </pic:spPr>
                </pic:pic>
              </a:graphicData>
            </a:graphic>
          </wp:inline>
        </w:drawing>
      </w:r>
      <w:r>
        <w:t xml:space="preserve"> в сечениях стенки изгибаемых элементов при </w:t>
      </w:r>
      <w:r>
        <w:rPr>
          <w:noProof/>
          <w:position w:val="-9"/>
        </w:rPr>
        <w:drawing>
          <wp:inline distT="0" distB="0" distL="0" distR="0">
            <wp:extent cx="1283970" cy="262890"/>
            <wp:effectExtent l="0" t="0" r="0" b="0"/>
            <wp:docPr id="10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3" cstate="print">
                      <a:extLst>
                        <a:ext uri="{28A0092B-C50C-407E-A947-70E740481C1C}">
                          <a14:useLocalDpi xmlns:a14="http://schemas.microsoft.com/office/drawing/2010/main" val="0"/>
                        </a:ext>
                      </a:extLst>
                    </a:blip>
                    <a:srcRect/>
                    <a:stretch>
                      <a:fillRect/>
                    </a:stretch>
                  </pic:blipFill>
                  <pic:spPr bwMode="auto">
                    <a:xfrm>
                      <a:off x="0" y="0"/>
                      <a:ext cx="1283970" cy="262890"/>
                    </a:xfrm>
                    <a:prstGeom prst="rect">
                      <a:avLst/>
                    </a:prstGeom>
                    <a:noFill/>
                    <a:ln>
                      <a:noFill/>
                    </a:ln>
                  </pic:spPr>
                </pic:pic>
              </a:graphicData>
            </a:graphic>
          </wp:inline>
        </w:drawing>
      </w:r>
      <w:r>
        <w:t xml:space="preserve"> должны удовлетворять условию</w:t>
      </w:r>
    </w:p>
    <w:p w:rsidR="00212513" w:rsidRDefault="00212513">
      <w:pPr>
        <w:pStyle w:val="ConsPlusNormal"/>
        <w:ind w:firstLine="540"/>
        <w:jc w:val="both"/>
      </w:pPr>
    </w:p>
    <w:p w:rsidR="00212513" w:rsidRDefault="00212513">
      <w:pPr>
        <w:pStyle w:val="ConsPlusNormal"/>
        <w:jc w:val="center"/>
      </w:pPr>
      <w:bookmarkStart w:id="317" w:name="P7502"/>
      <w:bookmarkEnd w:id="317"/>
      <w:r>
        <w:rPr>
          <w:noProof/>
          <w:position w:val="-26"/>
        </w:rPr>
        <w:drawing>
          <wp:inline distT="0" distB="0" distL="0" distR="0">
            <wp:extent cx="1072515" cy="470535"/>
            <wp:effectExtent l="0" t="0" r="0" b="0"/>
            <wp:docPr id="10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4" cstate="print">
                      <a:extLst>
                        <a:ext uri="{28A0092B-C50C-407E-A947-70E740481C1C}">
                          <a14:useLocalDpi xmlns:a14="http://schemas.microsoft.com/office/drawing/2010/main" val="0"/>
                        </a:ext>
                      </a:extLst>
                    </a:blip>
                    <a:srcRect/>
                    <a:stretch>
                      <a:fillRect/>
                    </a:stretch>
                  </pic:blipFill>
                  <pic:spPr bwMode="auto">
                    <a:xfrm>
                      <a:off x="0" y="0"/>
                      <a:ext cx="1072515" cy="470535"/>
                    </a:xfrm>
                    <a:prstGeom prst="rect">
                      <a:avLst/>
                    </a:prstGeom>
                    <a:noFill/>
                    <a:ln>
                      <a:noFill/>
                    </a:ln>
                  </pic:spPr>
                </pic:pic>
              </a:graphicData>
            </a:graphic>
          </wp:inline>
        </w:drawing>
      </w:r>
      <w:r>
        <w:t>, (8.26)</w:t>
      </w:r>
    </w:p>
    <w:p w:rsidR="00212513" w:rsidRDefault="00212513">
      <w:pPr>
        <w:pStyle w:val="ConsPlusNormal"/>
        <w:ind w:firstLine="540"/>
        <w:jc w:val="both"/>
      </w:pPr>
    </w:p>
    <w:p w:rsidR="00212513" w:rsidRDefault="00212513">
      <w:pPr>
        <w:pStyle w:val="ConsPlusNormal"/>
        <w:ind w:firstLine="540"/>
        <w:jc w:val="both"/>
      </w:pPr>
      <w:bookmarkStart w:id="318" w:name="P7504"/>
      <w:bookmarkEnd w:id="318"/>
      <w:r>
        <w:t xml:space="preserve">где </w:t>
      </w:r>
      <w:r>
        <w:rPr>
          <w:noProof/>
          <w:position w:val="-9"/>
        </w:rPr>
        <w:drawing>
          <wp:inline distT="0" distB="0" distL="0" distR="0">
            <wp:extent cx="1975485" cy="262890"/>
            <wp:effectExtent l="0" t="0" r="0" b="0"/>
            <wp:docPr id="10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1975485" cy="262890"/>
                    </a:xfrm>
                    <a:prstGeom prst="rect">
                      <a:avLst/>
                    </a:prstGeom>
                    <a:noFill/>
                    <a:ln>
                      <a:noFill/>
                    </a:ln>
                  </pic:spPr>
                </pic:pic>
              </a:graphicData>
            </a:graphic>
          </wp:inline>
        </w:drawing>
      </w:r>
      <w:r>
        <w:t>; (8.27)</w:t>
      </w:r>
    </w:p>
    <w:p w:rsidR="00212513" w:rsidRDefault="00212513">
      <w:pPr>
        <w:pStyle w:val="ConsPlusNormal"/>
        <w:spacing w:before="220"/>
        <w:ind w:firstLine="540"/>
        <w:jc w:val="both"/>
      </w:pPr>
      <w:r>
        <w:rPr>
          <w:noProof/>
          <w:position w:val="-9"/>
        </w:rPr>
        <w:lastRenderedPageBreak/>
        <w:drawing>
          <wp:inline distT="0" distB="0" distL="0" distR="0">
            <wp:extent cx="387985" cy="262255"/>
            <wp:effectExtent l="0" t="0" r="0" b="0"/>
            <wp:docPr id="10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6">
                      <a:extLst>
                        <a:ext uri="{28A0092B-C50C-407E-A947-70E740481C1C}">
                          <a14:useLocalDpi xmlns:a14="http://schemas.microsoft.com/office/drawing/2010/main" val="0"/>
                        </a:ext>
                      </a:extLst>
                    </a:blip>
                    <a:srcRect/>
                    <a:stretch>
                      <a:fillRect/>
                    </a:stretch>
                  </pic:blipFill>
                  <pic:spPr bwMode="auto">
                    <a:xfrm>
                      <a:off x="0" y="0"/>
                      <a:ext cx="387985" cy="262255"/>
                    </a:xfrm>
                    <a:prstGeom prst="rect">
                      <a:avLst/>
                    </a:prstGeom>
                    <a:noFill/>
                    <a:ln>
                      <a:noFill/>
                    </a:ln>
                  </pic:spPr>
                </pic:pic>
              </a:graphicData>
            </a:graphic>
          </wp:inline>
        </w:drawing>
      </w:r>
      <w:r>
        <w:t xml:space="preserve">, </w:t>
      </w:r>
      <w:r>
        <w:rPr>
          <w:noProof/>
          <w:position w:val="-9"/>
        </w:rPr>
        <w:drawing>
          <wp:inline distT="0" distB="0" distL="0" distR="0">
            <wp:extent cx="419100" cy="262255"/>
            <wp:effectExtent l="0" t="0" r="0" b="0"/>
            <wp:docPr id="10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7">
                      <a:extLst>
                        <a:ext uri="{28A0092B-C50C-407E-A947-70E740481C1C}">
                          <a14:useLocalDpi xmlns:a14="http://schemas.microsoft.com/office/drawing/2010/main" val="0"/>
                        </a:ext>
                      </a:extLst>
                    </a:blip>
                    <a:srcRect/>
                    <a:stretch>
                      <a:fillRect/>
                    </a:stretch>
                  </pic:blipFill>
                  <pic:spPr bwMode="auto">
                    <a:xfrm>
                      <a:off x="0" y="0"/>
                      <a:ext cx="419100" cy="262255"/>
                    </a:xfrm>
                    <a:prstGeom prst="rect">
                      <a:avLst/>
                    </a:prstGeom>
                    <a:noFill/>
                    <a:ln>
                      <a:noFill/>
                    </a:ln>
                  </pic:spPr>
                </pic:pic>
              </a:graphicData>
            </a:graphic>
          </wp:inline>
        </w:drawing>
      </w:r>
      <w:r>
        <w:t xml:space="preserve"> - значения минимального и максимального касательных напряжений в сечении стенки, вычисленные в предположении упругой работы.</w:t>
      </w:r>
    </w:p>
    <w:p w:rsidR="00212513" w:rsidRDefault="00212513">
      <w:pPr>
        <w:pStyle w:val="ConsPlusNormal"/>
        <w:spacing w:before="220"/>
        <w:ind w:firstLine="540"/>
        <w:jc w:val="both"/>
      </w:pPr>
      <w:r>
        <w:t xml:space="preserve">При наличии ослабления стенки отверстиями болтовых соединений вместо </w:t>
      </w:r>
      <w:r>
        <w:rPr>
          <w:i/>
        </w:rPr>
        <w:t>t</w:t>
      </w:r>
      <w:r>
        <w:t xml:space="preserve"> в </w:t>
      </w:r>
      <w:hyperlink w:anchor="P7502">
        <w:r>
          <w:rPr>
            <w:color w:val="0000FF"/>
          </w:rPr>
          <w:t>формулу (8.26)</w:t>
        </w:r>
      </w:hyperlink>
      <w:r>
        <w:t xml:space="preserve"> следует подставлять значение</w:t>
      </w:r>
    </w:p>
    <w:p w:rsidR="00212513" w:rsidRDefault="00212513">
      <w:pPr>
        <w:pStyle w:val="ConsPlusNormal"/>
        <w:ind w:firstLine="540"/>
        <w:jc w:val="both"/>
      </w:pPr>
    </w:p>
    <w:p w:rsidR="00212513" w:rsidRDefault="00212513">
      <w:pPr>
        <w:pStyle w:val="ConsPlusNormal"/>
        <w:jc w:val="center"/>
      </w:pPr>
      <w:r>
        <w:rPr>
          <w:noProof/>
          <w:position w:val="-23"/>
        </w:rPr>
        <w:drawing>
          <wp:inline distT="0" distB="0" distL="0" distR="0">
            <wp:extent cx="817880" cy="441960"/>
            <wp:effectExtent l="0" t="0" r="0" b="0"/>
            <wp:docPr id="10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8" cstate="print">
                      <a:extLst>
                        <a:ext uri="{28A0092B-C50C-407E-A947-70E740481C1C}">
                          <a14:useLocalDpi xmlns:a14="http://schemas.microsoft.com/office/drawing/2010/main" val="0"/>
                        </a:ext>
                      </a:extLst>
                    </a:blip>
                    <a:srcRect/>
                    <a:stretch>
                      <a:fillRect/>
                    </a:stretch>
                  </pic:blipFill>
                  <pic:spPr bwMode="auto">
                    <a:xfrm>
                      <a:off x="0" y="0"/>
                      <a:ext cx="817880" cy="441960"/>
                    </a:xfrm>
                    <a:prstGeom prst="rect">
                      <a:avLst/>
                    </a:prstGeom>
                    <a:noFill/>
                    <a:ln>
                      <a:noFill/>
                    </a:ln>
                  </pic:spPr>
                </pic:pic>
              </a:graphicData>
            </a:graphic>
          </wp:inline>
        </w:drawing>
      </w:r>
      <w:r>
        <w:t>, (8.28)</w:t>
      </w:r>
    </w:p>
    <w:p w:rsidR="00212513" w:rsidRDefault="00212513">
      <w:pPr>
        <w:pStyle w:val="ConsPlusNormal"/>
        <w:ind w:firstLine="540"/>
        <w:jc w:val="both"/>
      </w:pPr>
    </w:p>
    <w:p w:rsidR="00212513" w:rsidRDefault="00212513">
      <w:pPr>
        <w:pStyle w:val="ConsPlusNormal"/>
        <w:ind w:firstLine="540"/>
        <w:jc w:val="both"/>
      </w:pPr>
      <w:r>
        <w:t xml:space="preserve">здесь </w:t>
      </w:r>
      <w:r>
        <w:rPr>
          <w:i/>
        </w:rPr>
        <w:t>a</w:t>
      </w:r>
      <w:r>
        <w:t xml:space="preserve"> - шаг болтов; </w:t>
      </w:r>
      <w:r>
        <w:rPr>
          <w:i/>
        </w:rPr>
        <w:t>d</w:t>
      </w:r>
      <w:r>
        <w:t xml:space="preserve"> - диаметр отверстий.</w:t>
      </w:r>
    </w:p>
    <w:p w:rsidR="00212513" w:rsidRDefault="00212513">
      <w:pPr>
        <w:pStyle w:val="ConsPlusNormal"/>
        <w:spacing w:before="220"/>
        <w:ind w:firstLine="540"/>
        <w:jc w:val="both"/>
      </w:pPr>
      <w:r>
        <w:t xml:space="preserve">8.31 Для стенок балок, рассчитываемых в </w:t>
      </w:r>
      <w:hyperlink w:anchor="P6974">
        <w:r>
          <w:rPr>
            <w:color w:val="0000FF"/>
          </w:rPr>
          <w:t>8.26</w:t>
        </w:r>
      </w:hyperlink>
      <w:r>
        <w:t xml:space="preserve"> - </w:t>
      </w:r>
      <w:hyperlink w:anchor="P7484">
        <w:r>
          <w:rPr>
            <w:color w:val="0000FF"/>
          </w:rPr>
          <w:t>8.29</w:t>
        </w:r>
      </w:hyperlink>
      <w:r>
        <w:t>, должно выполняться условие</w:t>
      </w:r>
    </w:p>
    <w:p w:rsidR="00212513" w:rsidRDefault="00212513">
      <w:pPr>
        <w:pStyle w:val="ConsPlusNormal"/>
        <w:ind w:firstLine="540"/>
        <w:jc w:val="both"/>
      </w:pPr>
    </w:p>
    <w:p w:rsidR="00212513" w:rsidRDefault="00212513">
      <w:pPr>
        <w:pStyle w:val="ConsPlusNormal"/>
        <w:jc w:val="center"/>
      </w:pPr>
      <w:bookmarkStart w:id="319" w:name="P7513"/>
      <w:bookmarkEnd w:id="319"/>
      <w:r>
        <w:rPr>
          <w:noProof/>
          <w:position w:val="-15"/>
        </w:rPr>
        <w:drawing>
          <wp:inline distT="0" distB="0" distL="0" distR="0">
            <wp:extent cx="2179320" cy="335280"/>
            <wp:effectExtent l="0" t="0" r="0" b="0"/>
            <wp:docPr id="10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9" cstate="print">
                      <a:extLst>
                        <a:ext uri="{28A0092B-C50C-407E-A947-70E740481C1C}">
                          <a14:useLocalDpi xmlns:a14="http://schemas.microsoft.com/office/drawing/2010/main" val="0"/>
                        </a:ext>
                      </a:extLst>
                    </a:blip>
                    <a:srcRect/>
                    <a:stretch>
                      <a:fillRect/>
                    </a:stretch>
                  </pic:blipFill>
                  <pic:spPr bwMode="auto">
                    <a:xfrm>
                      <a:off x="0" y="0"/>
                      <a:ext cx="2179320" cy="335280"/>
                    </a:xfrm>
                    <a:prstGeom prst="rect">
                      <a:avLst/>
                    </a:prstGeom>
                    <a:noFill/>
                    <a:ln>
                      <a:noFill/>
                    </a:ln>
                  </pic:spPr>
                </pic:pic>
              </a:graphicData>
            </a:graphic>
          </wp:inline>
        </w:drawing>
      </w:r>
      <w:r>
        <w:t xml:space="preserve">, </w:t>
      </w:r>
      <w:r>
        <w:rPr>
          <w:noProof/>
          <w:position w:val="-9"/>
        </w:rPr>
        <w:drawing>
          <wp:inline distT="0" distB="0" distL="0" distR="0">
            <wp:extent cx="691515" cy="262890"/>
            <wp:effectExtent l="0" t="0" r="0" b="0"/>
            <wp:docPr id="10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0" cstate="print">
                      <a:extLst>
                        <a:ext uri="{28A0092B-C50C-407E-A947-70E740481C1C}">
                          <a14:useLocalDpi xmlns:a14="http://schemas.microsoft.com/office/drawing/2010/main" val="0"/>
                        </a:ext>
                      </a:extLst>
                    </a:blip>
                    <a:srcRect/>
                    <a:stretch>
                      <a:fillRect/>
                    </a:stretch>
                  </pic:blipFill>
                  <pic:spPr bwMode="auto">
                    <a:xfrm>
                      <a:off x="0" y="0"/>
                      <a:ext cx="691515" cy="262890"/>
                    </a:xfrm>
                    <a:prstGeom prst="rect">
                      <a:avLst/>
                    </a:prstGeom>
                    <a:noFill/>
                    <a:ln>
                      <a:noFill/>
                    </a:ln>
                  </pic:spPr>
                </pic:pic>
              </a:graphicData>
            </a:graphic>
          </wp:inline>
        </w:drawing>
      </w:r>
      <w:r>
        <w:t>, (8.29)</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8"/>
        </w:rPr>
        <w:drawing>
          <wp:inline distT="0" distB="0" distL="0" distR="0">
            <wp:extent cx="209550" cy="251460"/>
            <wp:effectExtent l="0" t="0" r="0" b="0"/>
            <wp:docPr id="10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нормальные (положительные при сжатии) напряжения в проверяемой точке (</w:t>
      </w:r>
      <w:r>
        <w:rPr>
          <w:i/>
        </w:rPr>
        <w:t>x</w:t>
      </w:r>
      <w:r>
        <w:t xml:space="preserve">, </w:t>
      </w:r>
      <w:r>
        <w:rPr>
          <w:i/>
        </w:rPr>
        <w:t>y</w:t>
      </w:r>
      <w:r>
        <w:t>) срединной плоскости стенки, параллельные оси балки;</w:t>
      </w:r>
    </w:p>
    <w:p w:rsidR="00212513" w:rsidRDefault="00212513">
      <w:pPr>
        <w:pStyle w:val="ConsPlusNormal"/>
        <w:spacing w:before="220"/>
        <w:ind w:firstLine="540"/>
        <w:jc w:val="both"/>
      </w:pPr>
      <w:r>
        <w:rPr>
          <w:noProof/>
          <w:position w:val="-9"/>
        </w:rPr>
        <w:drawing>
          <wp:inline distT="0" distB="0" distL="0" distR="0">
            <wp:extent cx="220980" cy="262890"/>
            <wp:effectExtent l="0" t="0" r="0" b="0"/>
            <wp:docPr id="10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2"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такие же напряжения, перпендикулярные оси балки, определяемые согласно </w:t>
      </w:r>
      <w:hyperlink w:anchor="P15760">
        <w:r>
          <w:rPr>
            <w:color w:val="0000FF"/>
          </w:rPr>
          <w:t>приложению X</w:t>
        </w:r>
      </w:hyperlink>
      <w:r>
        <w:t>;</w:t>
      </w:r>
    </w:p>
    <w:p w:rsidR="00212513" w:rsidRDefault="00212513">
      <w:pPr>
        <w:pStyle w:val="ConsPlusNormal"/>
        <w:spacing w:before="220"/>
        <w:ind w:firstLine="540"/>
        <w:jc w:val="both"/>
      </w:pPr>
      <w:r>
        <w:rPr>
          <w:noProof/>
          <w:position w:val="-6"/>
        </w:rPr>
        <w:drawing>
          <wp:inline distT="0" distB="0" distL="0" distR="0">
            <wp:extent cx="177800" cy="220980"/>
            <wp:effectExtent l="0" t="0" r="0" b="0"/>
            <wp:docPr id="10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3" cstate="print">
                      <a:extLst>
                        <a:ext uri="{28A0092B-C50C-407E-A947-70E740481C1C}">
                          <a14:useLocalDpi xmlns:a14="http://schemas.microsoft.com/office/drawing/2010/main" val="0"/>
                        </a:ext>
                      </a:extLst>
                    </a:blip>
                    <a:srcRect/>
                    <a:stretch>
                      <a:fillRect/>
                    </a:stretch>
                  </pic:blipFill>
                  <pic:spPr bwMode="auto">
                    <a:xfrm>
                      <a:off x="0" y="0"/>
                      <a:ext cx="177800" cy="220980"/>
                    </a:xfrm>
                    <a:prstGeom prst="rect">
                      <a:avLst/>
                    </a:prstGeom>
                    <a:noFill/>
                    <a:ln>
                      <a:noFill/>
                    </a:ln>
                  </pic:spPr>
                </pic:pic>
              </a:graphicData>
            </a:graphic>
          </wp:inline>
        </w:drawing>
      </w:r>
      <w:r>
        <w:t xml:space="preserve"> - коэффициент, равный 1,15 при </w:t>
      </w:r>
      <w:r>
        <w:rPr>
          <w:noProof/>
          <w:position w:val="-10"/>
        </w:rPr>
        <w:drawing>
          <wp:inline distT="0" distB="0" distL="0" distR="0">
            <wp:extent cx="484505" cy="267970"/>
            <wp:effectExtent l="0" t="0" r="0" b="0"/>
            <wp:docPr id="10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4" cstate="print">
                      <a:extLst>
                        <a:ext uri="{28A0092B-C50C-407E-A947-70E740481C1C}">
                          <a14:useLocalDpi xmlns:a14="http://schemas.microsoft.com/office/drawing/2010/main" val="0"/>
                        </a:ext>
                      </a:extLst>
                    </a:blip>
                    <a:srcRect/>
                    <a:stretch>
                      <a:fillRect/>
                    </a:stretch>
                  </pic:blipFill>
                  <pic:spPr bwMode="auto">
                    <a:xfrm>
                      <a:off x="0" y="0"/>
                      <a:ext cx="484505" cy="267970"/>
                    </a:xfrm>
                    <a:prstGeom prst="rect">
                      <a:avLst/>
                    </a:prstGeom>
                    <a:noFill/>
                    <a:ln>
                      <a:noFill/>
                    </a:ln>
                  </pic:spPr>
                </pic:pic>
              </a:graphicData>
            </a:graphic>
          </wp:inline>
        </w:drawing>
      </w:r>
      <w:r>
        <w:t xml:space="preserve"> и 1,10 при </w:t>
      </w:r>
      <w:r>
        <w:rPr>
          <w:noProof/>
          <w:position w:val="-9"/>
        </w:rPr>
        <w:drawing>
          <wp:inline distT="0" distB="0" distL="0" distR="0">
            <wp:extent cx="483870" cy="262890"/>
            <wp:effectExtent l="0" t="0" r="0" b="0"/>
            <wp:docPr id="10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5" cstate="print">
                      <a:extLst>
                        <a:ext uri="{28A0092B-C50C-407E-A947-70E740481C1C}">
                          <a14:useLocalDpi xmlns:a14="http://schemas.microsoft.com/office/drawing/2010/main" val="0"/>
                        </a:ext>
                      </a:extLst>
                    </a:blip>
                    <a:srcRect/>
                    <a:stretch>
                      <a:fillRect/>
                    </a:stretch>
                  </pic:blipFill>
                  <pic:spPr bwMode="auto">
                    <a:xfrm>
                      <a:off x="0" y="0"/>
                      <a:ext cx="483870" cy="262890"/>
                    </a:xfrm>
                    <a:prstGeom prst="rect">
                      <a:avLst/>
                    </a:prstGeom>
                    <a:noFill/>
                    <a:ln>
                      <a:noFill/>
                    </a:ln>
                  </pic:spPr>
                </pic:pic>
              </a:graphicData>
            </a:graphic>
          </wp:inline>
        </w:drawing>
      </w:r>
      <w:r>
        <w:t>;</w:t>
      </w:r>
    </w:p>
    <w:p w:rsidR="00212513" w:rsidRDefault="00212513">
      <w:pPr>
        <w:pStyle w:val="ConsPlusNormal"/>
        <w:jc w:val="both"/>
      </w:pPr>
      <w:r>
        <w:t xml:space="preserve">(в ред. </w:t>
      </w:r>
      <w:hyperlink r:id="rId1676">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rPr>
          <w:noProof/>
          <w:position w:val="-9"/>
        </w:rPr>
        <w:drawing>
          <wp:inline distT="0" distB="0" distL="0" distR="0">
            <wp:extent cx="220980" cy="262890"/>
            <wp:effectExtent l="0" t="0" r="0" b="0"/>
            <wp:docPr id="10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7"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касательное напряжение в проверяемой точке стенки балки.</w:t>
      </w:r>
    </w:p>
    <w:p w:rsidR="00212513" w:rsidRDefault="00212513">
      <w:pPr>
        <w:pStyle w:val="ConsPlusNormal"/>
        <w:spacing w:before="220"/>
        <w:ind w:firstLine="540"/>
        <w:jc w:val="both"/>
      </w:pPr>
      <w:bookmarkStart w:id="320" w:name="P7520"/>
      <w:bookmarkEnd w:id="320"/>
      <w:r>
        <w:t xml:space="preserve">8.32 Элементы, воспринимающие усилия разных знаков, после проверки прочности с учетом допущения развития ограниченных пластических деформаций </w:t>
      </w:r>
      <w:r>
        <w:rPr>
          <w:noProof/>
          <w:position w:val="-6"/>
        </w:rPr>
        <w:drawing>
          <wp:inline distT="0" distB="0" distL="0" distR="0">
            <wp:extent cx="502285" cy="220980"/>
            <wp:effectExtent l="0" t="0" r="0" b="0"/>
            <wp:docPr id="10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8" cstate="print">
                      <a:extLst>
                        <a:ext uri="{28A0092B-C50C-407E-A947-70E740481C1C}">
                          <a14:useLocalDpi xmlns:a14="http://schemas.microsoft.com/office/drawing/2010/main" val="0"/>
                        </a:ext>
                      </a:extLst>
                    </a:blip>
                    <a:srcRect/>
                    <a:stretch>
                      <a:fillRect/>
                    </a:stretch>
                  </pic:blipFill>
                  <pic:spPr bwMode="auto">
                    <a:xfrm>
                      <a:off x="0" y="0"/>
                      <a:ext cx="502285" cy="220980"/>
                    </a:xfrm>
                    <a:prstGeom prst="rect">
                      <a:avLst/>
                    </a:prstGeom>
                    <a:noFill/>
                    <a:ln>
                      <a:noFill/>
                    </a:ln>
                  </pic:spPr>
                </pic:pic>
              </a:graphicData>
            </a:graphic>
          </wp:inline>
        </w:drawing>
      </w:r>
      <w:r>
        <w:t xml:space="preserve"> должны быть проверены также по формуле</w:t>
      </w:r>
    </w:p>
    <w:p w:rsidR="00212513" w:rsidRDefault="00212513">
      <w:pPr>
        <w:pStyle w:val="ConsPlusNormal"/>
        <w:jc w:val="both"/>
      </w:pPr>
      <w:r>
        <w:t xml:space="preserve">(в ред. </w:t>
      </w:r>
      <w:hyperlink r:id="rId1679">
        <w:r>
          <w:rPr>
            <w:color w:val="0000FF"/>
          </w:rPr>
          <w:t>Изменения N 4</w:t>
        </w:r>
      </w:hyperlink>
      <w:r>
        <w:t>, утв. Приказом Минстроя России от 30.05.2024 N 361/пр)</w:t>
      </w:r>
    </w:p>
    <w:p w:rsidR="00212513" w:rsidRDefault="00212513">
      <w:pPr>
        <w:pStyle w:val="ConsPlusNormal"/>
        <w:ind w:firstLine="540"/>
        <w:jc w:val="both"/>
      </w:pPr>
    </w:p>
    <w:p w:rsidR="00212513" w:rsidRDefault="00212513">
      <w:pPr>
        <w:pStyle w:val="ConsPlusNormal"/>
        <w:jc w:val="center"/>
      </w:pPr>
      <w:r>
        <w:rPr>
          <w:noProof/>
          <w:position w:val="-14"/>
        </w:rPr>
        <w:drawing>
          <wp:inline distT="0" distB="0" distL="0" distR="0">
            <wp:extent cx="2542540" cy="324485"/>
            <wp:effectExtent l="0" t="0" r="0" b="0"/>
            <wp:docPr id="10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2542540" cy="324485"/>
                    </a:xfrm>
                    <a:prstGeom prst="rect">
                      <a:avLst/>
                    </a:prstGeom>
                    <a:noFill/>
                    <a:ln>
                      <a:noFill/>
                    </a:ln>
                  </pic:spPr>
                </pic:pic>
              </a:graphicData>
            </a:graphic>
          </wp:inline>
        </w:drawing>
      </w:r>
      <w:r>
        <w:t>, (8.30)</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8"/>
        </w:rPr>
        <w:drawing>
          <wp:inline distT="0" distB="0" distL="0" distR="0">
            <wp:extent cx="324485" cy="251460"/>
            <wp:effectExtent l="0" t="0" r="0" b="0"/>
            <wp:docPr id="10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1" cstate="print">
                      <a:extLst>
                        <a:ext uri="{28A0092B-C50C-407E-A947-70E740481C1C}">
                          <a14:useLocalDpi xmlns:a14="http://schemas.microsoft.com/office/drawing/2010/main" val="0"/>
                        </a:ext>
                      </a:extLst>
                    </a:blip>
                    <a:srcRect/>
                    <a:stretch>
                      <a:fillRect/>
                    </a:stretch>
                  </pic:blipFill>
                  <pic:spPr bwMode="auto">
                    <a:xfrm>
                      <a:off x="0" y="0"/>
                      <a:ext cx="324485" cy="251460"/>
                    </a:xfrm>
                    <a:prstGeom prst="rect">
                      <a:avLst/>
                    </a:prstGeom>
                    <a:noFill/>
                    <a:ln>
                      <a:noFill/>
                    </a:ln>
                  </pic:spPr>
                </pic:pic>
              </a:graphicData>
            </a:graphic>
          </wp:inline>
        </w:drawing>
      </w:r>
      <w:r>
        <w:t xml:space="preserve">, </w:t>
      </w:r>
      <w:r>
        <w:rPr>
          <w:noProof/>
          <w:position w:val="-8"/>
        </w:rPr>
        <w:drawing>
          <wp:inline distT="0" distB="0" distL="0" distR="0">
            <wp:extent cx="335280" cy="251460"/>
            <wp:effectExtent l="0" t="0" r="0" b="0"/>
            <wp:docPr id="10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2" cstate="print">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r>
        <w:t xml:space="preserve"> - соответственно расчетные минимальные и максимальные (со своими знаками) нормальные напряжения в проверяемой точке, вычисленные в предположении упругой работы материала;</w:t>
      </w:r>
    </w:p>
    <w:p w:rsidR="00212513" w:rsidRDefault="00212513">
      <w:pPr>
        <w:pStyle w:val="ConsPlusNormal"/>
        <w:jc w:val="both"/>
      </w:pPr>
      <w:r>
        <w:t xml:space="preserve">(в ред. </w:t>
      </w:r>
      <w:hyperlink r:id="rId1683">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rPr>
          <w:noProof/>
          <w:position w:val="-8"/>
        </w:rPr>
        <w:drawing>
          <wp:inline distT="0" distB="0" distL="0" distR="0">
            <wp:extent cx="156845" cy="251460"/>
            <wp:effectExtent l="0" t="0" r="0" b="0"/>
            <wp:docPr id="10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4"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w:t>
      </w:r>
      <w:r>
        <w:rPr>
          <w:noProof/>
          <w:position w:val="-8"/>
        </w:rPr>
        <w:drawing>
          <wp:inline distT="0" distB="0" distL="0" distR="0">
            <wp:extent cx="177800" cy="251460"/>
            <wp:effectExtent l="0" t="0" r="0" b="0"/>
            <wp:docPr id="10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5"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касательные напряжения в проверяемой точке (с учетом их знаков), вычисленные соответственно от тех же нагрузок, что </w:t>
      </w:r>
      <w:r>
        <w:rPr>
          <w:noProof/>
          <w:position w:val="-8"/>
        </w:rPr>
        <w:drawing>
          <wp:inline distT="0" distB="0" distL="0" distR="0">
            <wp:extent cx="324485" cy="251460"/>
            <wp:effectExtent l="0" t="0" r="0" b="0"/>
            <wp:docPr id="10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1" cstate="print">
                      <a:extLst>
                        <a:ext uri="{28A0092B-C50C-407E-A947-70E740481C1C}">
                          <a14:useLocalDpi xmlns:a14="http://schemas.microsoft.com/office/drawing/2010/main" val="0"/>
                        </a:ext>
                      </a:extLst>
                    </a:blip>
                    <a:srcRect/>
                    <a:stretch>
                      <a:fillRect/>
                    </a:stretch>
                  </pic:blipFill>
                  <pic:spPr bwMode="auto">
                    <a:xfrm>
                      <a:off x="0" y="0"/>
                      <a:ext cx="324485" cy="251460"/>
                    </a:xfrm>
                    <a:prstGeom prst="rect">
                      <a:avLst/>
                    </a:prstGeom>
                    <a:noFill/>
                    <a:ln>
                      <a:noFill/>
                    </a:ln>
                  </pic:spPr>
                </pic:pic>
              </a:graphicData>
            </a:graphic>
          </wp:inline>
        </w:drawing>
      </w:r>
      <w:r>
        <w:t xml:space="preserve"> и </w:t>
      </w:r>
      <w:r>
        <w:rPr>
          <w:noProof/>
          <w:position w:val="-8"/>
        </w:rPr>
        <w:drawing>
          <wp:inline distT="0" distB="0" distL="0" distR="0">
            <wp:extent cx="335280" cy="251460"/>
            <wp:effectExtent l="0" t="0" r="0" b="0"/>
            <wp:docPr id="10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2" cstate="print">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r>
        <w:t>.</w:t>
      </w:r>
    </w:p>
    <w:p w:rsidR="00212513" w:rsidRDefault="00212513">
      <w:pPr>
        <w:pStyle w:val="ConsPlusNormal"/>
        <w:spacing w:before="220"/>
        <w:ind w:firstLine="540"/>
        <w:jc w:val="both"/>
      </w:pPr>
      <w:r>
        <w:t>При невыполнении указанного условия расчет по прочности следует выполнить на наибольшие усилия для упругой стадии работы.</w:t>
      </w:r>
    </w:p>
    <w:p w:rsidR="00212513" w:rsidRDefault="00212513">
      <w:pPr>
        <w:pStyle w:val="ConsPlusNormal"/>
        <w:ind w:firstLine="540"/>
        <w:jc w:val="both"/>
      </w:pPr>
    </w:p>
    <w:p w:rsidR="00212513" w:rsidRDefault="00212513">
      <w:pPr>
        <w:pStyle w:val="ConsPlusTitle"/>
        <w:ind w:firstLine="540"/>
        <w:jc w:val="both"/>
        <w:outlineLvl w:val="2"/>
      </w:pPr>
      <w:r>
        <w:t>Расчет на прочность и ползучесть стальных канатов</w:t>
      </w:r>
    </w:p>
    <w:p w:rsidR="00212513" w:rsidRDefault="00212513">
      <w:pPr>
        <w:pStyle w:val="ConsPlusNormal"/>
        <w:ind w:firstLine="540"/>
        <w:jc w:val="both"/>
      </w:pPr>
    </w:p>
    <w:p w:rsidR="00212513" w:rsidRDefault="00212513">
      <w:pPr>
        <w:pStyle w:val="ConsPlusNormal"/>
        <w:ind w:firstLine="540"/>
        <w:jc w:val="both"/>
      </w:pPr>
      <w:bookmarkStart w:id="321" w:name="P7532"/>
      <w:bookmarkEnd w:id="321"/>
      <w:r>
        <w:t xml:space="preserve">8.33 Расчет по прочности стальных канатов гибких несущих элементов в вантовых и висячих мостах, а также напрягаемых элементов предварительно напряженных конструкций следует </w:t>
      </w:r>
      <w:r>
        <w:lastRenderedPageBreak/>
        <w:t>выполнять по формуле</w:t>
      </w:r>
    </w:p>
    <w:p w:rsidR="00212513" w:rsidRDefault="00212513">
      <w:pPr>
        <w:pStyle w:val="ConsPlusNormal"/>
        <w:ind w:firstLine="540"/>
        <w:jc w:val="both"/>
      </w:pPr>
    </w:p>
    <w:p w:rsidR="00212513" w:rsidRDefault="00212513">
      <w:pPr>
        <w:pStyle w:val="ConsPlusNormal"/>
        <w:jc w:val="center"/>
      </w:pPr>
      <w:r>
        <w:rPr>
          <w:noProof/>
          <w:position w:val="-23"/>
        </w:rPr>
        <w:drawing>
          <wp:inline distT="0" distB="0" distL="0" distR="0">
            <wp:extent cx="856615" cy="441960"/>
            <wp:effectExtent l="0" t="0" r="0" b="0"/>
            <wp:docPr id="10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6" cstate="print">
                      <a:extLst>
                        <a:ext uri="{28A0092B-C50C-407E-A947-70E740481C1C}">
                          <a14:useLocalDpi xmlns:a14="http://schemas.microsoft.com/office/drawing/2010/main" val="0"/>
                        </a:ext>
                      </a:extLst>
                    </a:blip>
                    <a:srcRect/>
                    <a:stretch>
                      <a:fillRect/>
                    </a:stretch>
                  </pic:blipFill>
                  <pic:spPr bwMode="auto">
                    <a:xfrm>
                      <a:off x="0" y="0"/>
                      <a:ext cx="856615" cy="441960"/>
                    </a:xfrm>
                    <a:prstGeom prst="rect">
                      <a:avLst/>
                    </a:prstGeom>
                    <a:noFill/>
                    <a:ln>
                      <a:noFill/>
                    </a:ln>
                  </pic:spPr>
                </pic:pic>
              </a:graphicData>
            </a:graphic>
          </wp:inline>
        </w:drawing>
      </w:r>
      <w:r>
        <w:t>, (8.31)</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8"/>
        </w:rPr>
        <w:drawing>
          <wp:inline distT="0" distB="0" distL="0" distR="0">
            <wp:extent cx="251460" cy="251460"/>
            <wp:effectExtent l="0" t="0" r="0" b="0"/>
            <wp:docPr id="10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расчетное сопротивление канатов;</w:t>
      </w:r>
    </w:p>
    <w:p w:rsidR="00212513" w:rsidRDefault="00212513">
      <w:pPr>
        <w:pStyle w:val="ConsPlusNormal"/>
        <w:spacing w:before="220"/>
        <w:ind w:firstLine="540"/>
        <w:jc w:val="both"/>
      </w:pPr>
      <w:r>
        <w:rPr>
          <w:i/>
        </w:rPr>
        <w:t>m</w:t>
      </w:r>
      <w:r>
        <w:t xml:space="preserve"> - коэффициент условий работы, принимаемый по </w:t>
      </w:r>
      <w:hyperlink w:anchor="P6905">
        <w:r>
          <w:rPr>
            <w:color w:val="0000FF"/>
          </w:rPr>
          <w:t>таблице 8.15</w:t>
        </w:r>
      </w:hyperlink>
      <w:r>
        <w:t>;</w:t>
      </w:r>
    </w:p>
    <w:p w:rsidR="00212513" w:rsidRDefault="00212513">
      <w:pPr>
        <w:pStyle w:val="ConsPlusNormal"/>
        <w:spacing w:before="220"/>
        <w:ind w:firstLine="540"/>
        <w:jc w:val="both"/>
      </w:pPr>
      <w:r>
        <w:rPr>
          <w:noProof/>
          <w:position w:val="-8"/>
        </w:rPr>
        <w:drawing>
          <wp:inline distT="0" distB="0" distL="0" distR="0">
            <wp:extent cx="209550" cy="251460"/>
            <wp:effectExtent l="0" t="0" r="0" b="0"/>
            <wp:docPr id="10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 условий работы, определяемый по </w:t>
      </w:r>
      <w:hyperlink w:anchor="P14732">
        <w:r>
          <w:rPr>
            <w:color w:val="0000FF"/>
          </w:rPr>
          <w:t>приложению У</w:t>
        </w:r>
      </w:hyperlink>
      <w:r>
        <w:t>.</w:t>
      </w:r>
    </w:p>
    <w:p w:rsidR="00212513" w:rsidRDefault="00212513">
      <w:pPr>
        <w:pStyle w:val="ConsPlusNormal"/>
        <w:spacing w:before="220"/>
        <w:ind w:firstLine="540"/>
        <w:jc w:val="both"/>
      </w:pPr>
      <w:r>
        <w:t xml:space="preserve">Расчетное сопротивление </w:t>
      </w:r>
      <w:r>
        <w:rPr>
          <w:noProof/>
          <w:position w:val="-8"/>
        </w:rPr>
        <w:drawing>
          <wp:inline distT="0" distB="0" distL="0" distR="0">
            <wp:extent cx="251460" cy="251460"/>
            <wp:effectExtent l="0" t="0" r="0" b="0"/>
            <wp:docPr id="10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для канатов и пучков из параллельно уложенных высокопрочных проволок определяется по </w:t>
      </w:r>
      <w:hyperlink w:anchor="P6857">
        <w:r>
          <w:rPr>
            <w:color w:val="0000FF"/>
          </w:rPr>
          <w:t>формуле (8.3)</w:t>
        </w:r>
      </w:hyperlink>
      <w:r>
        <w:t>, для канатов одинарной свивки и закрытых несущих - по формулам</w:t>
      </w:r>
    </w:p>
    <w:p w:rsidR="00212513" w:rsidRDefault="00212513">
      <w:pPr>
        <w:pStyle w:val="ConsPlusNormal"/>
        <w:ind w:firstLine="540"/>
        <w:jc w:val="both"/>
      </w:pPr>
    </w:p>
    <w:p w:rsidR="00212513" w:rsidRDefault="00212513">
      <w:pPr>
        <w:pStyle w:val="ConsPlusNormal"/>
        <w:jc w:val="center"/>
      </w:pPr>
      <w:r>
        <w:rPr>
          <w:noProof/>
          <w:position w:val="-31"/>
        </w:rPr>
        <w:drawing>
          <wp:inline distT="0" distB="0" distL="0" distR="0">
            <wp:extent cx="1005840" cy="544830"/>
            <wp:effectExtent l="0" t="0" r="0" b="0"/>
            <wp:docPr id="10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9" cstate="print">
                      <a:extLst>
                        <a:ext uri="{28A0092B-C50C-407E-A947-70E740481C1C}">
                          <a14:useLocalDpi xmlns:a14="http://schemas.microsoft.com/office/drawing/2010/main" val="0"/>
                        </a:ext>
                      </a:extLst>
                    </a:blip>
                    <a:srcRect/>
                    <a:stretch>
                      <a:fillRect/>
                    </a:stretch>
                  </pic:blipFill>
                  <pic:spPr bwMode="auto">
                    <a:xfrm>
                      <a:off x="0" y="0"/>
                      <a:ext cx="1005840" cy="544830"/>
                    </a:xfrm>
                    <a:prstGeom prst="rect">
                      <a:avLst/>
                    </a:prstGeom>
                    <a:noFill/>
                    <a:ln>
                      <a:noFill/>
                    </a:ln>
                  </pic:spPr>
                </pic:pic>
              </a:graphicData>
            </a:graphic>
          </wp:inline>
        </w:drawing>
      </w:r>
      <w:r>
        <w:t xml:space="preserve"> или </w:t>
      </w:r>
      <w:r>
        <w:rPr>
          <w:noProof/>
          <w:position w:val="-29"/>
        </w:rPr>
        <w:drawing>
          <wp:inline distT="0" distB="0" distL="0" distR="0">
            <wp:extent cx="987425" cy="511810"/>
            <wp:effectExtent l="0" t="0" r="0" b="0"/>
            <wp:docPr id="10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0" cstate="print">
                      <a:extLst>
                        <a:ext uri="{28A0092B-C50C-407E-A947-70E740481C1C}">
                          <a14:useLocalDpi xmlns:a14="http://schemas.microsoft.com/office/drawing/2010/main" val="0"/>
                        </a:ext>
                      </a:extLst>
                    </a:blip>
                    <a:srcRect/>
                    <a:stretch>
                      <a:fillRect/>
                    </a:stretch>
                  </pic:blipFill>
                  <pic:spPr bwMode="auto">
                    <a:xfrm>
                      <a:off x="0" y="0"/>
                      <a:ext cx="987425" cy="511810"/>
                    </a:xfrm>
                    <a:prstGeom prst="rect">
                      <a:avLst/>
                    </a:prstGeom>
                    <a:noFill/>
                    <a:ln>
                      <a:noFill/>
                    </a:ln>
                  </pic:spPr>
                </pic:pic>
              </a:graphicData>
            </a:graphic>
          </wp:inline>
        </w:drawing>
      </w:r>
      <w:r>
        <w:t>, (8.32)</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13"/>
        </w:rPr>
        <w:drawing>
          <wp:inline distT="0" distB="0" distL="0" distR="0">
            <wp:extent cx="593725" cy="313690"/>
            <wp:effectExtent l="0" t="0" r="0" b="0"/>
            <wp:docPr id="1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1" cstate="print">
                      <a:extLst>
                        <a:ext uri="{28A0092B-C50C-407E-A947-70E740481C1C}">
                          <a14:useLocalDpi xmlns:a14="http://schemas.microsoft.com/office/drawing/2010/main" val="0"/>
                        </a:ext>
                      </a:extLst>
                    </a:blip>
                    <a:srcRect/>
                    <a:stretch>
                      <a:fillRect/>
                    </a:stretch>
                  </pic:blipFill>
                  <pic:spPr bwMode="auto">
                    <a:xfrm>
                      <a:off x="0" y="0"/>
                      <a:ext cx="593725" cy="313690"/>
                    </a:xfrm>
                    <a:prstGeom prst="rect">
                      <a:avLst/>
                    </a:prstGeom>
                    <a:noFill/>
                    <a:ln>
                      <a:noFill/>
                    </a:ln>
                  </pic:spPr>
                </pic:pic>
              </a:graphicData>
            </a:graphic>
          </wp:inline>
        </w:drawing>
      </w:r>
      <w:r>
        <w:t xml:space="preserve"> - значение разрывного усилия каната в целом, указанное в государственном стандарте или технических условиях;</w:t>
      </w:r>
    </w:p>
    <w:p w:rsidR="00212513" w:rsidRDefault="00212513">
      <w:pPr>
        <w:pStyle w:val="ConsPlusNormal"/>
        <w:spacing w:before="220"/>
        <w:ind w:firstLine="540"/>
        <w:jc w:val="both"/>
      </w:pPr>
      <w:r>
        <w:rPr>
          <w:noProof/>
          <w:position w:val="-8"/>
        </w:rPr>
        <w:drawing>
          <wp:inline distT="0" distB="0" distL="0" distR="0">
            <wp:extent cx="586740" cy="251460"/>
            <wp:effectExtent l="0" t="0" r="0" b="0"/>
            <wp:docPr id="1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2"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t xml:space="preserve"> согласно </w:t>
      </w:r>
      <w:hyperlink w:anchor="P6860">
        <w:r>
          <w:rPr>
            <w:color w:val="0000FF"/>
          </w:rPr>
          <w:t>8.17</w:t>
        </w:r>
      </w:hyperlink>
      <w:r>
        <w:t>;</w:t>
      </w:r>
    </w:p>
    <w:p w:rsidR="00212513" w:rsidRDefault="00212513">
      <w:pPr>
        <w:pStyle w:val="ConsPlusNormal"/>
        <w:spacing w:before="220"/>
        <w:ind w:firstLine="540"/>
        <w:jc w:val="both"/>
      </w:pPr>
      <w:r>
        <w:rPr>
          <w:noProof/>
          <w:position w:val="-11"/>
        </w:rPr>
        <w:drawing>
          <wp:inline distT="0" distB="0" distL="0" distR="0">
            <wp:extent cx="450850" cy="281940"/>
            <wp:effectExtent l="0" t="0" r="0" b="0"/>
            <wp:docPr id="1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3" cstate="print">
                      <a:extLst>
                        <a:ext uri="{28A0092B-C50C-407E-A947-70E740481C1C}">
                          <a14:useLocalDpi xmlns:a14="http://schemas.microsoft.com/office/drawing/2010/main" val="0"/>
                        </a:ext>
                      </a:extLst>
                    </a:blip>
                    <a:srcRect/>
                    <a:stretch>
                      <a:fillRect/>
                    </a:stretch>
                  </pic:blipFill>
                  <pic:spPr bwMode="auto">
                    <a:xfrm>
                      <a:off x="0" y="0"/>
                      <a:ext cx="450850" cy="281940"/>
                    </a:xfrm>
                    <a:prstGeom prst="rect">
                      <a:avLst/>
                    </a:prstGeom>
                    <a:noFill/>
                    <a:ln>
                      <a:noFill/>
                    </a:ln>
                  </pic:spPr>
                </pic:pic>
              </a:graphicData>
            </a:graphic>
          </wp:inline>
        </w:drawing>
      </w:r>
      <w:r>
        <w:t xml:space="preserve"> - сумма разрывных усилий всех проволок в канате;</w:t>
      </w:r>
    </w:p>
    <w:p w:rsidR="00212513" w:rsidRDefault="00212513">
      <w:pPr>
        <w:pStyle w:val="ConsPlusNormal"/>
        <w:spacing w:before="220"/>
        <w:ind w:firstLine="540"/>
        <w:jc w:val="both"/>
      </w:pPr>
      <w:r>
        <w:rPr>
          <w:i/>
        </w:rPr>
        <w:t>k</w:t>
      </w:r>
      <w:r>
        <w:t xml:space="preserve"> - коэффициент агрегатной прочности витого каната, определяемый по таблице 8.20.</w:t>
      </w:r>
    </w:p>
    <w:p w:rsidR="00212513" w:rsidRDefault="00212513">
      <w:pPr>
        <w:pStyle w:val="ConsPlusNormal"/>
        <w:ind w:firstLine="540"/>
        <w:jc w:val="both"/>
      </w:pPr>
    </w:p>
    <w:p w:rsidR="00212513" w:rsidRDefault="00212513">
      <w:pPr>
        <w:pStyle w:val="ConsPlusNormal"/>
        <w:jc w:val="right"/>
      </w:pPr>
      <w:r>
        <w:t>Таблица 8.20</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1078"/>
        <w:gridCol w:w="1078"/>
        <w:gridCol w:w="1078"/>
        <w:gridCol w:w="1078"/>
        <w:gridCol w:w="1078"/>
        <w:gridCol w:w="1082"/>
      </w:tblGrid>
      <w:tr w:rsidR="00212513">
        <w:tc>
          <w:tcPr>
            <w:tcW w:w="2551" w:type="dxa"/>
            <w:vMerge w:val="restart"/>
            <w:vAlign w:val="center"/>
          </w:tcPr>
          <w:p w:rsidR="00212513" w:rsidRDefault="00212513">
            <w:pPr>
              <w:pStyle w:val="ConsPlusNormal"/>
              <w:jc w:val="center"/>
            </w:pPr>
            <w:r>
              <w:t>Канат</w:t>
            </w:r>
          </w:p>
        </w:tc>
        <w:tc>
          <w:tcPr>
            <w:tcW w:w="6472" w:type="dxa"/>
            <w:gridSpan w:val="6"/>
            <w:vAlign w:val="center"/>
          </w:tcPr>
          <w:p w:rsidR="00212513" w:rsidRDefault="00212513">
            <w:pPr>
              <w:pStyle w:val="ConsPlusNormal"/>
              <w:jc w:val="center"/>
            </w:pPr>
            <w:r>
              <w:t xml:space="preserve">Коэффициент </w:t>
            </w:r>
            <w:r>
              <w:rPr>
                <w:i/>
              </w:rPr>
              <w:t>k</w:t>
            </w:r>
            <w:r>
              <w:t xml:space="preserve"> при кратности свивки</w:t>
            </w:r>
          </w:p>
        </w:tc>
      </w:tr>
      <w:tr w:rsidR="00212513">
        <w:tc>
          <w:tcPr>
            <w:tcW w:w="2551" w:type="dxa"/>
            <w:vMerge/>
          </w:tcPr>
          <w:p w:rsidR="00212513" w:rsidRDefault="00212513">
            <w:pPr>
              <w:pStyle w:val="ConsPlusNormal"/>
            </w:pPr>
          </w:p>
        </w:tc>
        <w:tc>
          <w:tcPr>
            <w:tcW w:w="1078" w:type="dxa"/>
            <w:vAlign w:val="center"/>
          </w:tcPr>
          <w:p w:rsidR="00212513" w:rsidRDefault="00212513">
            <w:pPr>
              <w:pStyle w:val="ConsPlusNormal"/>
              <w:jc w:val="center"/>
            </w:pPr>
            <w:r>
              <w:t>6</w:t>
            </w:r>
          </w:p>
        </w:tc>
        <w:tc>
          <w:tcPr>
            <w:tcW w:w="1078" w:type="dxa"/>
            <w:vAlign w:val="center"/>
          </w:tcPr>
          <w:p w:rsidR="00212513" w:rsidRDefault="00212513">
            <w:pPr>
              <w:pStyle w:val="ConsPlusNormal"/>
              <w:jc w:val="center"/>
            </w:pPr>
            <w:r>
              <w:t>8</w:t>
            </w:r>
          </w:p>
        </w:tc>
        <w:tc>
          <w:tcPr>
            <w:tcW w:w="1078" w:type="dxa"/>
            <w:vAlign w:val="center"/>
          </w:tcPr>
          <w:p w:rsidR="00212513" w:rsidRDefault="00212513">
            <w:pPr>
              <w:pStyle w:val="ConsPlusNormal"/>
              <w:jc w:val="center"/>
            </w:pPr>
            <w:r>
              <w:t>10</w:t>
            </w:r>
          </w:p>
        </w:tc>
        <w:tc>
          <w:tcPr>
            <w:tcW w:w="1078" w:type="dxa"/>
            <w:vAlign w:val="center"/>
          </w:tcPr>
          <w:p w:rsidR="00212513" w:rsidRDefault="00212513">
            <w:pPr>
              <w:pStyle w:val="ConsPlusNormal"/>
              <w:jc w:val="center"/>
            </w:pPr>
            <w:r>
              <w:t>12</w:t>
            </w:r>
          </w:p>
        </w:tc>
        <w:tc>
          <w:tcPr>
            <w:tcW w:w="1078" w:type="dxa"/>
            <w:vAlign w:val="center"/>
          </w:tcPr>
          <w:p w:rsidR="00212513" w:rsidRDefault="00212513">
            <w:pPr>
              <w:pStyle w:val="ConsPlusNormal"/>
              <w:jc w:val="center"/>
            </w:pPr>
            <w:r>
              <w:t>14</w:t>
            </w:r>
          </w:p>
        </w:tc>
        <w:tc>
          <w:tcPr>
            <w:tcW w:w="1082" w:type="dxa"/>
            <w:vAlign w:val="center"/>
          </w:tcPr>
          <w:p w:rsidR="00212513" w:rsidRDefault="00212513">
            <w:pPr>
              <w:pStyle w:val="ConsPlusNormal"/>
              <w:jc w:val="center"/>
            </w:pPr>
            <w:r>
              <w:t>16</w:t>
            </w:r>
          </w:p>
        </w:tc>
      </w:tr>
      <w:tr w:rsidR="00212513">
        <w:tblPrEx>
          <w:tblBorders>
            <w:insideH w:val="nil"/>
          </w:tblBorders>
        </w:tblPrEx>
        <w:tc>
          <w:tcPr>
            <w:tcW w:w="2551" w:type="dxa"/>
            <w:tcBorders>
              <w:bottom w:val="nil"/>
            </w:tcBorders>
          </w:tcPr>
          <w:p w:rsidR="00212513" w:rsidRDefault="00212513">
            <w:pPr>
              <w:pStyle w:val="ConsPlusNormal"/>
              <w:jc w:val="both"/>
            </w:pPr>
            <w:r>
              <w:t>Одинарной свивки</w:t>
            </w:r>
          </w:p>
        </w:tc>
        <w:tc>
          <w:tcPr>
            <w:tcW w:w="1078" w:type="dxa"/>
            <w:tcBorders>
              <w:bottom w:val="nil"/>
            </w:tcBorders>
          </w:tcPr>
          <w:p w:rsidR="00212513" w:rsidRDefault="00212513">
            <w:pPr>
              <w:pStyle w:val="ConsPlusNormal"/>
              <w:jc w:val="center"/>
            </w:pPr>
            <w:r>
              <w:t>0,89</w:t>
            </w:r>
          </w:p>
        </w:tc>
        <w:tc>
          <w:tcPr>
            <w:tcW w:w="1078" w:type="dxa"/>
            <w:tcBorders>
              <w:bottom w:val="nil"/>
            </w:tcBorders>
          </w:tcPr>
          <w:p w:rsidR="00212513" w:rsidRDefault="00212513">
            <w:pPr>
              <w:pStyle w:val="ConsPlusNormal"/>
              <w:jc w:val="center"/>
            </w:pPr>
            <w:r>
              <w:t>0,93</w:t>
            </w:r>
          </w:p>
        </w:tc>
        <w:tc>
          <w:tcPr>
            <w:tcW w:w="1078" w:type="dxa"/>
            <w:tcBorders>
              <w:bottom w:val="nil"/>
            </w:tcBorders>
          </w:tcPr>
          <w:p w:rsidR="00212513" w:rsidRDefault="00212513">
            <w:pPr>
              <w:pStyle w:val="ConsPlusNormal"/>
              <w:jc w:val="center"/>
            </w:pPr>
            <w:r>
              <w:t>0,96</w:t>
            </w:r>
          </w:p>
        </w:tc>
        <w:tc>
          <w:tcPr>
            <w:tcW w:w="1078" w:type="dxa"/>
            <w:tcBorders>
              <w:bottom w:val="nil"/>
            </w:tcBorders>
          </w:tcPr>
          <w:p w:rsidR="00212513" w:rsidRDefault="00212513">
            <w:pPr>
              <w:pStyle w:val="ConsPlusNormal"/>
              <w:jc w:val="center"/>
            </w:pPr>
            <w:r>
              <w:t>0,97</w:t>
            </w:r>
          </w:p>
        </w:tc>
        <w:tc>
          <w:tcPr>
            <w:tcW w:w="1078" w:type="dxa"/>
            <w:tcBorders>
              <w:bottom w:val="nil"/>
            </w:tcBorders>
          </w:tcPr>
          <w:p w:rsidR="00212513" w:rsidRDefault="00212513">
            <w:pPr>
              <w:pStyle w:val="ConsPlusNormal"/>
              <w:jc w:val="center"/>
            </w:pPr>
            <w:r>
              <w:t>0,98</w:t>
            </w:r>
          </w:p>
        </w:tc>
        <w:tc>
          <w:tcPr>
            <w:tcW w:w="1082" w:type="dxa"/>
            <w:tcBorders>
              <w:bottom w:val="nil"/>
            </w:tcBorders>
          </w:tcPr>
          <w:p w:rsidR="00212513" w:rsidRDefault="00212513">
            <w:pPr>
              <w:pStyle w:val="ConsPlusNormal"/>
              <w:jc w:val="center"/>
            </w:pPr>
            <w:r>
              <w:t>0,99</w:t>
            </w:r>
          </w:p>
        </w:tc>
      </w:tr>
      <w:tr w:rsidR="00212513">
        <w:tblPrEx>
          <w:tblBorders>
            <w:insideH w:val="nil"/>
          </w:tblBorders>
        </w:tblPrEx>
        <w:tc>
          <w:tcPr>
            <w:tcW w:w="2551" w:type="dxa"/>
            <w:tcBorders>
              <w:top w:val="nil"/>
            </w:tcBorders>
          </w:tcPr>
          <w:p w:rsidR="00212513" w:rsidRDefault="00212513">
            <w:pPr>
              <w:pStyle w:val="ConsPlusNormal"/>
              <w:jc w:val="both"/>
            </w:pPr>
            <w:r>
              <w:t>Закрытый несущий</w:t>
            </w:r>
          </w:p>
        </w:tc>
        <w:tc>
          <w:tcPr>
            <w:tcW w:w="1078" w:type="dxa"/>
            <w:tcBorders>
              <w:top w:val="nil"/>
            </w:tcBorders>
          </w:tcPr>
          <w:p w:rsidR="00212513" w:rsidRDefault="00212513">
            <w:pPr>
              <w:pStyle w:val="ConsPlusNormal"/>
              <w:jc w:val="center"/>
            </w:pPr>
            <w:r>
              <w:t>0,87</w:t>
            </w:r>
          </w:p>
        </w:tc>
        <w:tc>
          <w:tcPr>
            <w:tcW w:w="1078" w:type="dxa"/>
            <w:tcBorders>
              <w:top w:val="nil"/>
            </w:tcBorders>
          </w:tcPr>
          <w:p w:rsidR="00212513" w:rsidRDefault="00212513">
            <w:pPr>
              <w:pStyle w:val="ConsPlusNormal"/>
              <w:jc w:val="center"/>
            </w:pPr>
            <w:r>
              <w:t>0,91</w:t>
            </w:r>
          </w:p>
        </w:tc>
        <w:tc>
          <w:tcPr>
            <w:tcW w:w="1078" w:type="dxa"/>
            <w:tcBorders>
              <w:top w:val="nil"/>
            </w:tcBorders>
          </w:tcPr>
          <w:p w:rsidR="00212513" w:rsidRDefault="00212513">
            <w:pPr>
              <w:pStyle w:val="ConsPlusNormal"/>
              <w:jc w:val="center"/>
            </w:pPr>
            <w:r>
              <w:t>0,94</w:t>
            </w:r>
          </w:p>
        </w:tc>
        <w:tc>
          <w:tcPr>
            <w:tcW w:w="1078" w:type="dxa"/>
            <w:tcBorders>
              <w:top w:val="nil"/>
            </w:tcBorders>
          </w:tcPr>
          <w:p w:rsidR="00212513" w:rsidRDefault="00212513">
            <w:pPr>
              <w:pStyle w:val="ConsPlusNormal"/>
              <w:jc w:val="center"/>
            </w:pPr>
            <w:r>
              <w:t>0,95</w:t>
            </w:r>
          </w:p>
        </w:tc>
        <w:tc>
          <w:tcPr>
            <w:tcW w:w="1078" w:type="dxa"/>
            <w:tcBorders>
              <w:top w:val="nil"/>
            </w:tcBorders>
          </w:tcPr>
          <w:p w:rsidR="00212513" w:rsidRDefault="00212513">
            <w:pPr>
              <w:pStyle w:val="ConsPlusNormal"/>
              <w:jc w:val="center"/>
            </w:pPr>
            <w:r>
              <w:t>0,96</w:t>
            </w:r>
          </w:p>
        </w:tc>
        <w:tc>
          <w:tcPr>
            <w:tcW w:w="1082" w:type="dxa"/>
            <w:tcBorders>
              <w:top w:val="nil"/>
            </w:tcBorders>
          </w:tcPr>
          <w:p w:rsidR="00212513" w:rsidRDefault="00212513">
            <w:pPr>
              <w:pStyle w:val="ConsPlusNormal"/>
              <w:jc w:val="center"/>
            </w:pPr>
            <w:r>
              <w:t>0,97</w:t>
            </w:r>
          </w:p>
        </w:tc>
      </w:tr>
    </w:tbl>
    <w:p w:rsidR="00212513" w:rsidRDefault="00212513">
      <w:pPr>
        <w:pStyle w:val="ConsPlusNormal"/>
        <w:ind w:firstLine="540"/>
        <w:jc w:val="both"/>
      </w:pPr>
    </w:p>
    <w:p w:rsidR="00212513" w:rsidRDefault="00212513">
      <w:pPr>
        <w:pStyle w:val="ConsPlusNormal"/>
        <w:ind w:firstLine="540"/>
        <w:jc w:val="both"/>
      </w:pPr>
      <w:bookmarkStart w:id="322" w:name="P7573"/>
      <w:bookmarkEnd w:id="322"/>
      <w:r>
        <w:t xml:space="preserve">8.34 Продольную ползучесть </w:t>
      </w:r>
      <w:r>
        <w:rPr>
          <w:noProof/>
          <w:position w:val="-9"/>
        </w:rPr>
        <w:drawing>
          <wp:inline distT="0" distB="0" distL="0" distR="0">
            <wp:extent cx="324485" cy="262890"/>
            <wp:effectExtent l="0" t="0" r="0" b="0"/>
            <wp:docPr id="1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4" cstate="print">
                      <a:extLst>
                        <a:ext uri="{28A0092B-C50C-407E-A947-70E740481C1C}">
                          <a14:useLocalDpi xmlns:a14="http://schemas.microsoft.com/office/drawing/2010/main" val="0"/>
                        </a:ext>
                      </a:extLst>
                    </a:blip>
                    <a:srcRect/>
                    <a:stretch>
                      <a:fillRect/>
                    </a:stretch>
                  </pic:blipFill>
                  <pic:spPr bwMode="auto">
                    <a:xfrm>
                      <a:off x="0" y="0"/>
                      <a:ext cx="324485" cy="262890"/>
                    </a:xfrm>
                    <a:prstGeom prst="rect">
                      <a:avLst/>
                    </a:prstGeom>
                    <a:noFill/>
                    <a:ln>
                      <a:noFill/>
                    </a:ln>
                  </pic:spPr>
                </pic:pic>
              </a:graphicData>
            </a:graphic>
          </wp:inline>
        </w:drawing>
      </w:r>
      <w:r>
        <w:t xml:space="preserve"> стальных оцинкованных витых канатов с металлическим сердечником - одинарной свивки и закрытых несущих, подвергнутых предварительной вытяжке, следует определять по формуле</w:t>
      </w:r>
    </w:p>
    <w:p w:rsidR="00212513" w:rsidRDefault="0021251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21251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12513" w:rsidRDefault="0021251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12513" w:rsidRDefault="0021251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12513" w:rsidRDefault="00212513">
            <w:pPr>
              <w:pStyle w:val="ConsPlusNormal"/>
              <w:jc w:val="both"/>
            </w:pPr>
            <w:r>
              <w:rPr>
                <w:color w:val="392C69"/>
              </w:rPr>
              <w:t>КонсультантПлюс: примечание.</w:t>
            </w:r>
          </w:p>
          <w:p w:rsidR="00212513" w:rsidRDefault="00212513">
            <w:pPr>
              <w:pStyle w:val="ConsPlusNormal"/>
              <w:jc w:val="both"/>
            </w:pPr>
            <w:r>
              <w:rPr>
                <w:color w:val="392C69"/>
              </w:rPr>
              <w:t>Обозначение продольной ползучести дано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212513" w:rsidRDefault="00212513">
            <w:pPr>
              <w:pStyle w:val="ConsPlusNormal"/>
            </w:pPr>
          </w:p>
        </w:tc>
      </w:tr>
    </w:tbl>
    <w:p w:rsidR="00212513" w:rsidRDefault="00212513">
      <w:pPr>
        <w:pStyle w:val="ConsPlusNormal"/>
        <w:spacing w:before="280"/>
        <w:jc w:val="center"/>
      </w:pPr>
      <w:r>
        <w:rPr>
          <w:noProof/>
          <w:position w:val="-35"/>
        </w:rPr>
        <w:drawing>
          <wp:inline distT="0" distB="0" distL="0" distR="0">
            <wp:extent cx="1522730" cy="586740"/>
            <wp:effectExtent l="0" t="0" r="0" b="0"/>
            <wp:docPr id="1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5" cstate="print">
                      <a:extLst>
                        <a:ext uri="{28A0092B-C50C-407E-A947-70E740481C1C}">
                          <a14:useLocalDpi xmlns:a14="http://schemas.microsoft.com/office/drawing/2010/main" val="0"/>
                        </a:ext>
                      </a:extLst>
                    </a:blip>
                    <a:srcRect/>
                    <a:stretch>
                      <a:fillRect/>
                    </a:stretch>
                  </pic:blipFill>
                  <pic:spPr bwMode="auto">
                    <a:xfrm>
                      <a:off x="0" y="0"/>
                      <a:ext cx="1522730" cy="586740"/>
                    </a:xfrm>
                    <a:prstGeom prst="rect">
                      <a:avLst/>
                    </a:prstGeom>
                    <a:noFill/>
                    <a:ln>
                      <a:noFill/>
                    </a:ln>
                  </pic:spPr>
                </pic:pic>
              </a:graphicData>
            </a:graphic>
          </wp:inline>
        </w:drawing>
      </w:r>
      <w:r>
        <w:t>, (8.33)</w:t>
      </w:r>
    </w:p>
    <w:p w:rsidR="00212513" w:rsidRDefault="00212513">
      <w:pPr>
        <w:pStyle w:val="ConsPlusNormal"/>
        <w:ind w:firstLine="540"/>
        <w:jc w:val="both"/>
      </w:pPr>
    </w:p>
    <w:p w:rsidR="00212513" w:rsidRDefault="00212513">
      <w:pPr>
        <w:pStyle w:val="ConsPlusNormal"/>
        <w:ind w:firstLine="540"/>
        <w:jc w:val="both"/>
      </w:pPr>
      <w:r>
        <w:lastRenderedPageBreak/>
        <w:t xml:space="preserve">где </w:t>
      </w:r>
      <w:r>
        <w:rPr>
          <w:noProof/>
          <w:position w:val="-1"/>
        </w:rPr>
        <w:drawing>
          <wp:inline distT="0" distB="0" distL="0" distR="0">
            <wp:extent cx="167640" cy="156845"/>
            <wp:effectExtent l="0" t="0" r="0" b="0"/>
            <wp:docPr id="1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6"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 напряжение в канате от усилия, подсчитанного от воздействия нормативных постоянных нагрузок и 1/3 нормативной временной нагрузки;</w:t>
      </w:r>
    </w:p>
    <w:p w:rsidR="00212513" w:rsidRDefault="00212513">
      <w:pPr>
        <w:pStyle w:val="ConsPlusNormal"/>
        <w:spacing w:before="220"/>
        <w:ind w:firstLine="540"/>
        <w:jc w:val="both"/>
      </w:pPr>
      <w:r>
        <w:rPr>
          <w:noProof/>
          <w:position w:val="-28"/>
        </w:rPr>
        <w:drawing>
          <wp:inline distT="0" distB="0" distL="0" distR="0">
            <wp:extent cx="1005840" cy="502920"/>
            <wp:effectExtent l="0" t="0" r="0" b="0"/>
            <wp:docPr id="1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7" cstate="print">
                      <a:extLst>
                        <a:ext uri="{28A0092B-C50C-407E-A947-70E740481C1C}">
                          <a14:useLocalDpi xmlns:a14="http://schemas.microsoft.com/office/drawing/2010/main" val="0"/>
                        </a:ext>
                      </a:extLst>
                    </a:blip>
                    <a:srcRect/>
                    <a:stretch>
                      <a:fillRect/>
                    </a:stretch>
                  </pic:blipFill>
                  <pic:spPr bwMode="auto">
                    <a:xfrm>
                      <a:off x="0" y="0"/>
                      <a:ext cx="1005840" cy="502920"/>
                    </a:xfrm>
                    <a:prstGeom prst="rect">
                      <a:avLst/>
                    </a:prstGeom>
                    <a:noFill/>
                    <a:ln>
                      <a:noFill/>
                    </a:ln>
                  </pic:spPr>
                </pic:pic>
              </a:graphicData>
            </a:graphic>
          </wp:inline>
        </w:drawing>
      </w:r>
      <w:r>
        <w:t xml:space="preserve"> - нормативное сопротивление каната;</w:t>
      </w:r>
    </w:p>
    <w:p w:rsidR="00212513" w:rsidRDefault="00212513">
      <w:pPr>
        <w:pStyle w:val="ConsPlusNormal"/>
        <w:spacing w:before="220"/>
        <w:ind w:firstLine="540"/>
        <w:jc w:val="both"/>
      </w:pPr>
      <w:r>
        <w:rPr>
          <w:i/>
        </w:rPr>
        <w:t>e</w:t>
      </w:r>
      <w:r>
        <w:t xml:space="preserve"> - основание натуральных логарифмов.</w:t>
      </w:r>
    </w:p>
    <w:p w:rsidR="00212513" w:rsidRDefault="00212513">
      <w:pPr>
        <w:pStyle w:val="ConsPlusNormal"/>
        <w:spacing w:before="220"/>
        <w:ind w:firstLine="540"/>
        <w:jc w:val="both"/>
      </w:pPr>
      <w:bookmarkStart w:id="323" w:name="P7582"/>
      <w:bookmarkEnd w:id="323"/>
      <w:r>
        <w:t xml:space="preserve">8.35 Поперечную ползучесть </w:t>
      </w:r>
      <w:r>
        <w:rPr>
          <w:noProof/>
          <w:position w:val="-9"/>
        </w:rPr>
        <w:drawing>
          <wp:inline distT="0" distB="0" distL="0" distR="0">
            <wp:extent cx="324485" cy="262890"/>
            <wp:effectExtent l="0" t="0" r="0" b="0"/>
            <wp:docPr id="1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8" cstate="print">
                      <a:extLst>
                        <a:ext uri="{28A0092B-C50C-407E-A947-70E740481C1C}">
                          <a14:useLocalDpi xmlns:a14="http://schemas.microsoft.com/office/drawing/2010/main" val="0"/>
                        </a:ext>
                      </a:extLst>
                    </a:blip>
                    <a:srcRect/>
                    <a:stretch>
                      <a:fillRect/>
                    </a:stretch>
                  </pic:blipFill>
                  <pic:spPr bwMode="auto">
                    <a:xfrm>
                      <a:off x="0" y="0"/>
                      <a:ext cx="324485" cy="262890"/>
                    </a:xfrm>
                    <a:prstGeom prst="rect">
                      <a:avLst/>
                    </a:prstGeom>
                    <a:noFill/>
                    <a:ln>
                      <a:noFill/>
                    </a:ln>
                  </pic:spPr>
                </pic:pic>
              </a:graphicData>
            </a:graphic>
          </wp:inline>
        </w:drawing>
      </w:r>
      <w:r>
        <w:t xml:space="preserve"> канатов, указанных в </w:t>
      </w:r>
      <w:hyperlink w:anchor="P7573">
        <w:r>
          <w:rPr>
            <w:color w:val="0000FF"/>
          </w:rPr>
          <w:t>8.34</w:t>
        </w:r>
      </w:hyperlink>
      <w:r>
        <w:t>, следует определять по формуле</w:t>
      </w:r>
    </w:p>
    <w:p w:rsidR="00212513" w:rsidRDefault="00212513">
      <w:pPr>
        <w:pStyle w:val="ConsPlusNormal"/>
        <w:ind w:firstLine="540"/>
        <w:jc w:val="both"/>
      </w:pPr>
    </w:p>
    <w:p w:rsidR="00212513" w:rsidRDefault="00212513">
      <w:pPr>
        <w:pStyle w:val="ConsPlusNormal"/>
        <w:jc w:val="center"/>
      </w:pPr>
      <w:r>
        <w:rPr>
          <w:noProof/>
          <w:position w:val="-31"/>
        </w:rPr>
        <w:drawing>
          <wp:inline distT="0" distB="0" distL="0" distR="0">
            <wp:extent cx="1452245" cy="535940"/>
            <wp:effectExtent l="0" t="0" r="0" b="0"/>
            <wp:docPr id="1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9" cstate="print">
                      <a:extLst>
                        <a:ext uri="{28A0092B-C50C-407E-A947-70E740481C1C}">
                          <a14:useLocalDpi xmlns:a14="http://schemas.microsoft.com/office/drawing/2010/main" val="0"/>
                        </a:ext>
                      </a:extLst>
                    </a:blip>
                    <a:srcRect/>
                    <a:stretch>
                      <a:fillRect/>
                    </a:stretch>
                  </pic:blipFill>
                  <pic:spPr bwMode="auto">
                    <a:xfrm>
                      <a:off x="0" y="0"/>
                      <a:ext cx="1452245" cy="535940"/>
                    </a:xfrm>
                    <a:prstGeom prst="rect">
                      <a:avLst/>
                    </a:prstGeom>
                    <a:noFill/>
                    <a:ln>
                      <a:noFill/>
                    </a:ln>
                  </pic:spPr>
                </pic:pic>
              </a:graphicData>
            </a:graphic>
          </wp:inline>
        </w:drawing>
      </w:r>
      <w:r>
        <w:t>. (8.34)</w:t>
      </w:r>
    </w:p>
    <w:p w:rsidR="00212513" w:rsidRDefault="00212513">
      <w:pPr>
        <w:pStyle w:val="ConsPlusNormal"/>
        <w:ind w:firstLine="540"/>
        <w:jc w:val="both"/>
      </w:pPr>
    </w:p>
    <w:p w:rsidR="00212513" w:rsidRDefault="00212513">
      <w:pPr>
        <w:pStyle w:val="ConsPlusTitle"/>
        <w:ind w:firstLine="540"/>
        <w:jc w:val="both"/>
        <w:outlineLvl w:val="2"/>
      </w:pPr>
      <w:r>
        <w:t>Расчеты по устойчивости</w:t>
      </w:r>
    </w:p>
    <w:p w:rsidR="00212513" w:rsidRDefault="00212513">
      <w:pPr>
        <w:pStyle w:val="ConsPlusNormal"/>
        <w:ind w:firstLine="540"/>
        <w:jc w:val="both"/>
      </w:pPr>
    </w:p>
    <w:p w:rsidR="00212513" w:rsidRDefault="00212513">
      <w:pPr>
        <w:pStyle w:val="ConsPlusNormal"/>
        <w:ind w:firstLine="540"/>
        <w:jc w:val="both"/>
      </w:pPr>
      <w:r>
        <w:t>8.36 Расчет при плоской форме потери устойчивости сплошностенчатых элементов замкнутого и открытого сечений, подверженных центральному сжатию, сжатию с изгибом и внецентренному сжатию при изгибе в плоскости наибольшей гибкости, следует выполнять по формуле</w:t>
      </w:r>
    </w:p>
    <w:p w:rsidR="00212513" w:rsidRDefault="00212513">
      <w:pPr>
        <w:pStyle w:val="ConsPlusNormal"/>
        <w:ind w:firstLine="540"/>
        <w:jc w:val="both"/>
      </w:pPr>
    </w:p>
    <w:p w:rsidR="00212513" w:rsidRDefault="00212513">
      <w:pPr>
        <w:pStyle w:val="ConsPlusNormal"/>
        <w:jc w:val="center"/>
      </w:pPr>
      <w:bookmarkStart w:id="324" w:name="P7590"/>
      <w:bookmarkEnd w:id="324"/>
      <w:r>
        <w:rPr>
          <w:noProof/>
          <w:position w:val="-23"/>
        </w:rPr>
        <w:drawing>
          <wp:inline distT="0" distB="0" distL="0" distR="0">
            <wp:extent cx="752475" cy="441960"/>
            <wp:effectExtent l="0" t="0" r="0" b="0"/>
            <wp:docPr id="1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0" cstate="print">
                      <a:extLst>
                        <a:ext uri="{28A0092B-C50C-407E-A947-70E740481C1C}">
                          <a14:useLocalDpi xmlns:a14="http://schemas.microsoft.com/office/drawing/2010/main" val="0"/>
                        </a:ext>
                      </a:extLst>
                    </a:blip>
                    <a:srcRect/>
                    <a:stretch>
                      <a:fillRect/>
                    </a:stretch>
                  </pic:blipFill>
                  <pic:spPr bwMode="auto">
                    <a:xfrm>
                      <a:off x="0" y="0"/>
                      <a:ext cx="752475" cy="441960"/>
                    </a:xfrm>
                    <a:prstGeom prst="rect">
                      <a:avLst/>
                    </a:prstGeom>
                    <a:noFill/>
                    <a:ln>
                      <a:noFill/>
                    </a:ln>
                  </pic:spPr>
                </pic:pic>
              </a:graphicData>
            </a:graphic>
          </wp:inline>
        </w:drawing>
      </w:r>
      <w:r>
        <w:t>, (8.35)</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3"/>
        </w:rPr>
        <w:drawing>
          <wp:inline distT="0" distB="0" distL="0" distR="0">
            <wp:extent cx="156845" cy="177800"/>
            <wp:effectExtent l="0" t="0" r="0" b="0"/>
            <wp:docPr id="1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1" cstate="print">
                      <a:extLst>
                        <a:ext uri="{28A0092B-C50C-407E-A947-70E740481C1C}">
                          <a14:useLocalDpi xmlns:a14="http://schemas.microsoft.com/office/drawing/2010/main" val="0"/>
                        </a:ext>
                      </a:extLst>
                    </a:blip>
                    <a:srcRect/>
                    <a:stretch>
                      <a:fillRect/>
                    </a:stretch>
                  </pic:blipFill>
                  <pic:spPr bwMode="auto">
                    <a:xfrm>
                      <a:off x="0" y="0"/>
                      <a:ext cx="156845" cy="177800"/>
                    </a:xfrm>
                    <a:prstGeom prst="rect">
                      <a:avLst/>
                    </a:prstGeom>
                    <a:noFill/>
                    <a:ln>
                      <a:noFill/>
                    </a:ln>
                  </pic:spPr>
                </pic:pic>
              </a:graphicData>
            </a:graphic>
          </wp:inline>
        </w:drawing>
      </w:r>
      <w:r>
        <w:t xml:space="preserve"> - коэффициент продольного изгиба, определяемый по </w:t>
      </w:r>
      <w:hyperlink w:anchor="P14781">
        <w:r>
          <w:rPr>
            <w:color w:val="0000FF"/>
          </w:rPr>
          <w:t>таблицам Ф.1</w:t>
        </w:r>
      </w:hyperlink>
      <w:r>
        <w:t xml:space="preserve"> - </w:t>
      </w:r>
      <w:hyperlink w:anchor="P15409">
        <w:r>
          <w:rPr>
            <w:color w:val="0000FF"/>
          </w:rPr>
          <w:t>Ф.3</w:t>
        </w:r>
      </w:hyperlink>
      <w:r>
        <w:t xml:space="preserve"> приложения Ф в зависимости от гибкости элемента </w:t>
      </w:r>
      <w:r>
        <w:rPr>
          <w:noProof/>
          <w:position w:val="-4"/>
        </w:rPr>
        <w:drawing>
          <wp:inline distT="0" distB="0" distL="0" distR="0">
            <wp:extent cx="156845" cy="198755"/>
            <wp:effectExtent l="0" t="0" r="0" b="0"/>
            <wp:docPr id="1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2"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и приведенного относительного эксцентриситета </w:t>
      </w:r>
      <w:r>
        <w:rPr>
          <w:noProof/>
          <w:position w:val="-9"/>
        </w:rPr>
        <w:drawing>
          <wp:inline distT="0" distB="0" distL="0" distR="0">
            <wp:extent cx="209550" cy="262890"/>
            <wp:effectExtent l="0" t="0" r="0" b="0"/>
            <wp:docPr id="1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3"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w:t>
      </w:r>
    </w:p>
    <w:p w:rsidR="00212513" w:rsidRDefault="00212513">
      <w:pPr>
        <w:pStyle w:val="ConsPlusNormal"/>
        <w:spacing w:before="220"/>
        <w:ind w:firstLine="540"/>
        <w:jc w:val="both"/>
      </w:pPr>
      <w:r>
        <w:rPr>
          <w:i/>
        </w:rPr>
        <w:t>m</w:t>
      </w:r>
      <w:r>
        <w:t xml:space="preserve"> - здесь и в </w:t>
      </w:r>
      <w:hyperlink w:anchor="P7681">
        <w:r>
          <w:rPr>
            <w:color w:val="0000FF"/>
          </w:rPr>
          <w:t>8.38</w:t>
        </w:r>
      </w:hyperlink>
      <w:r>
        <w:t xml:space="preserve"> - </w:t>
      </w:r>
      <w:hyperlink w:anchor="P7710">
        <w:r>
          <w:rPr>
            <w:color w:val="0000FF"/>
          </w:rPr>
          <w:t>8.41</w:t>
        </w:r>
      </w:hyperlink>
      <w:r>
        <w:t xml:space="preserve"> - коэффициент условий работы, принимаемый по </w:t>
      </w:r>
      <w:hyperlink w:anchor="P6905">
        <w:r>
          <w:rPr>
            <w:color w:val="0000FF"/>
          </w:rPr>
          <w:t>таблице 8.15</w:t>
        </w:r>
      </w:hyperlink>
      <w:r>
        <w:t>.</w:t>
      </w:r>
    </w:p>
    <w:p w:rsidR="00212513" w:rsidRDefault="00212513">
      <w:pPr>
        <w:pStyle w:val="ConsPlusNormal"/>
        <w:spacing w:before="220"/>
        <w:ind w:firstLine="540"/>
        <w:jc w:val="both"/>
      </w:pPr>
      <w:r>
        <w:t xml:space="preserve">Гибкость элемента </w:t>
      </w:r>
      <w:r>
        <w:rPr>
          <w:noProof/>
          <w:position w:val="-4"/>
        </w:rPr>
        <w:drawing>
          <wp:inline distT="0" distB="0" distL="0" distR="0">
            <wp:extent cx="156845" cy="198755"/>
            <wp:effectExtent l="0" t="0" r="0" b="0"/>
            <wp:docPr id="1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2"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следует определять по формуле</w:t>
      </w:r>
    </w:p>
    <w:p w:rsidR="00212513" w:rsidRDefault="00212513">
      <w:pPr>
        <w:pStyle w:val="ConsPlusNormal"/>
        <w:ind w:firstLine="540"/>
        <w:jc w:val="both"/>
      </w:pPr>
    </w:p>
    <w:p w:rsidR="00212513" w:rsidRDefault="00212513">
      <w:pPr>
        <w:pStyle w:val="ConsPlusNormal"/>
        <w:jc w:val="center"/>
      </w:pPr>
      <w:bookmarkStart w:id="325" w:name="P7596"/>
      <w:bookmarkEnd w:id="325"/>
      <w:r>
        <w:rPr>
          <w:noProof/>
          <w:position w:val="-25"/>
        </w:rPr>
        <w:drawing>
          <wp:inline distT="0" distB="0" distL="0" distR="0">
            <wp:extent cx="502920" cy="461010"/>
            <wp:effectExtent l="0" t="0" r="0" b="0"/>
            <wp:docPr id="1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4" cstate="print">
                      <a:extLst>
                        <a:ext uri="{28A0092B-C50C-407E-A947-70E740481C1C}">
                          <a14:useLocalDpi xmlns:a14="http://schemas.microsoft.com/office/drawing/2010/main" val="0"/>
                        </a:ext>
                      </a:extLst>
                    </a:blip>
                    <a:srcRect/>
                    <a:stretch>
                      <a:fillRect/>
                    </a:stretch>
                  </pic:blipFill>
                  <pic:spPr bwMode="auto">
                    <a:xfrm>
                      <a:off x="0" y="0"/>
                      <a:ext cx="502920" cy="461010"/>
                    </a:xfrm>
                    <a:prstGeom prst="rect">
                      <a:avLst/>
                    </a:prstGeom>
                    <a:noFill/>
                    <a:ln>
                      <a:noFill/>
                    </a:ln>
                  </pic:spPr>
                </pic:pic>
              </a:graphicData>
            </a:graphic>
          </wp:inline>
        </w:drawing>
      </w:r>
      <w:r>
        <w:t>, (8.36)</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9"/>
        </w:rPr>
        <w:drawing>
          <wp:inline distT="0" distB="0" distL="0" distR="0">
            <wp:extent cx="177800" cy="262890"/>
            <wp:effectExtent l="0" t="0" r="0" b="0"/>
            <wp:docPr id="1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5"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 расчетная длина;</w:t>
      </w:r>
    </w:p>
    <w:p w:rsidR="00212513" w:rsidRDefault="00212513">
      <w:pPr>
        <w:pStyle w:val="ConsPlusNormal"/>
        <w:spacing w:before="220"/>
        <w:ind w:firstLine="540"/>
        <w:jc w:val="both"/>
      </w:pPr>
      <w:r>
        <w:rPr>
          <w:i/>
        </w:rPr>
        <w:t>i</w:t>
      </w:r>
      <w:r>
        <w:t xml:space="preserve"> - радиус инерции сечения относительно оси, перпендикулярной плоскости наибольшей гибкости (плоскости изгиба).</w:t>
      </w:r>
    </w:p>
    <w:p w:rsidR="00212513" w:rsidRDefault="00212513">
      <w:pPr>
        <w:pStyle w:val="ConsPlusNormal"/>
        <w:spacing w:before="220"/>
        <w:ind w:firstLine="540"/>
        <w:jc w:val="both"/>
      </w:pPr>
      <w:r>
        <w:t xml:space="preserve">Приведенный относительный эксцентриситет </w:t>
      </w:r>
      <w:r>
        <w:rPr>
          <w:noProof/>
          <w:position w:val="-9"/>
        </w:rPr>
        <w:drawing>
          <wp:inline distT="0" distB="0" distL="0" distR="0">
            <wp:extent cx="209550" cy="262890"/>
            <wp:effectExtent l="0" t="0" r="0" b="0"/>
            <wp:docPr id="1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3"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следует определять по формуле</w:t>
      </w:r>
    </w:p>
    <w:p w:rsidR="00212513" w:rsidRDefault="00212513">
      <w:pPr>
        <w:pStyle w:val="ConsPlusNormal"/>
        <w:ind w:firstLine="540"/>
        <w:jc w:val="both"/>
      </w:pPr>
    </w:p>
    <w:p w:rsidR="00212513" w:rsidRDefault="00212513">
      <w:pPr>
        <w:pStyle w:val="ConsPlusNormal"/>
        <w:jc w:val="center"/>
      </w:pPr>
      <w:r>
        <w:rPr>
          <w:noProof/>
          <w:position w:val="-9"/>
        </w:rPr>
        <w:drawing>
          <wp:inline distT="0" distB="0" distL="0" distR="0">
            <wp:extent cx="670560" cy="262890"/>
            <wp:effectExtent l="0" t="0" r="0" b="0"/>
            <wp:docPr id="1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6" cstate="print">
                      <a:extLst>
                        <a:ext uri="{28A0092B-C50C-407E-A947-70E740481C1C}">
                          <a14:useLocalDpi xmlns:a14="http://schemas.microsoft.com/office/drawing/2010/main" val="0"/>
                        </a:ext>
                      </a:extLst>
                    </a:blip>
                    <a:srcRect/>
                    <a:stretch>
                      <a:fillRect/>
                    </a:stretch>
                  </pic:blipFill>
                  <pic:spPr bwMode="auto">
                    <a:xfrm>
                      <a:off x="0" y="0"/>
                      <a:ext cx="670560" cy="262890"/>
                    </a:xfrm>
                    <a:prstGeom prst="rect">
                      <a:avLst/>
                    </a:prstGeom>
                    <a:noFill/>
                    <a:ln>
                      <a:noFill/>
                    </a:ln>
                  </pic:spPr>
                </pic:pic>
              </a:graphicData>
            </a:graphic>
          </wp:inline>
        </w:drawing>
      </w:r>
      <w:r>
        <w:t>, (8.37)</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3"/>
        </w:rPr>
        <w:drawing>
          <wp:inline distT="0" distB="0" distL="0" distR="0">
            <wp:extent cx="146685" cy="177800"/>
            <wp:effectExtent l="0" t="0" r="0" b="0"/>
            <wp:docPr id="1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7" cstate="print">
                      <a:extLst>
                        <a:ext uri="{28A0092B-C50C-407E-A947-70E740481C1C}">
                          <a14:useLocalDpi xmlns:a14="http://schemas.microsoft.com/office/drawing/2010/main" val="0"/>
                        </a:ext>
                      </a:extLst>
                    </a:blip>
                    <a:srcRect/>
                    <a:stretch>
                      <a:fillRect/>
                    </a:stretch>
                  </pic:blipFill>
                  <pic:spPr bwMode="auto">
                    <a:xfrm>
                      <a:off x="0" y="0"/>
                      <a:ext cx="146685" cy="177800"/>
                    </a:xfrm>
                    <a:prstGeom prst="rect">
                      <a:avLst/>
                    </a:prstGeom>
                    <a:noFill/>
                    <a:ln>
                      <a:noFill/>
                    </a:ln>
                  </pic:spPr>
                </pic:pic>
              </a:graphicData>
            </a:graphic>
          </wp:inline>
        </w:drawing>
      </w:r>
      <w:r>
        <w:t xml:space="preserve"> - коэффициент влияния формы сечения, определяемый по </w:t>
      </w:r>
      <w:hyperlink w:anchor="P14779">
        <w:r>
          <w:rPr>
            <w:color w:val="0000FF"/>
          </w:rPr>
          <w:t>приложению Ф</w:t>
        </w:r>
      </w:hyperlink>
      <w:r>
        <w:t>;</w:t>
      </w:r>
    </w:p>
    <w:p w:rsidR="00212513" w:rsidRDefault="00212513">
      <w:pPr>
        <w:pStyle w:val="ConsPlusNormal"/>
        <w:spacing w:before="220"/>
        <w:ind w:firstLine="540"/>
        <w:jc w:val="both"/>
      </w:pPr>
      <w:r>
        <w:rPr>
          <w:noProof/>
          <w:position w:val="-8"/>
        </w:rPr>
        <w:drawing>
          <wp:inline distT="0" distB="0" distL="0" distR="0">
            <wp:extent cx="704850" cy="251460"/>
            <wp:effectExtent l="0" t="0" r="0" b="0"/>
            <wp:docPr id="1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8" cstate="print">
                      <a:extLst>
                        <a:ext uri="{28A0092B-C50C-407E-A947-70E740481C1C}">
                          <a14:useLocalDpi xmlns:a14="http://schemas.microsoft.com/office/drawing/2010/main" val="0"/>
                        </a:ext>
                      </a:extLst>
                    </a:blip>
                    <a:srcRect/>
                    <a:stretch>
                      <a:fillRect/>
                    </a:stretch>
                  </pic:blipFill>
                  <pic:spPr bwMode="auto">
                    <a:xfrm>
                      <a:off x="0" y="0"/>
                      <a:ext cx="704850" cy="251460"/>
                    </a:xfrm>
                    <a:prstGeom prst="rect">
                      <a:avLst/>
                    </a:prstGeom>
                    <a:noFill/>
                    <a:ln>
                      <a:noFill/>
                    </a:ln>
                  </pic:spPr>
                </pic:pic>
              </a:graphicData>
            </a:graphic>
          </wp:inline>
        </w:drawing>
      </w:r>
      <w:r>
        <w:t xml:space="preserve"> - относительный эксцентриситет плоскости изгиба, принимаемый при центральном сжатии равным нулю;</w:t>
      </w:r>
    </w:p>
    <w:p w:rsidR="00212513" w:rsidRDefault="00212513">
      <w:pPr>
        <w:pStyle w:val="ConsPlusNormal"/>
        <w:spacing w:before="220"/>
        <w:ind w:firstLine="540"/>
        <w:jc w:val="both"/>
      </w:pPr>
      <w:r>
        <w:rPr>
          <w:i/>
        </w:rPr>
        <w:lastRenderedPageBreak/>
        <w:t>e</w:t>
      </w:r>
      <w:r>
        <w:t xml:space="preserve"> - действительный эксцентриситет силы N при внецентренном сжатии и расчетный эксцентриситет при сжатии с изгибом;</w:t>
      </w:r>
    </w:p>
    <w:p w:rsidR="00212513" w:rsidRDefault="00212513">
      <w:pPr>
        <w:pStyle w:val="ConsPlusNormal"/>
        <w:spacing w:before="220"/>
        <w:ind w:firstLine="540"/>
        <w:jc w:val="both"/>
      </w:pPr>
      <w:r>
        <w:rPr>
          <w:noProof/>
          <w:position w:val="-3"/>
        </w:rPr>
        <w:drawing>
          <wp:inline distT="0" distB="0" distL="0" distR="0">
            <wp:extent cx="167640" cy="177800"/>
            <wp:effectExtent l="0" t="0" r="0" b="0"/>
            <wp:docPr id="1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9"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ядровое расстояние.</w:t>
      </w:r>
    </w:p>
    <w:p w:rsidR="00212513" w:rsidRDefault="00212513">
      <w:pPr>
        <w:pStyle w:val="ConsPlusNormal"/>
        <w:spacing w:before="220"/>
        <w:ind w:firstLine="540"/>
        <w:jc w:val="both"/>
      </w:pPr>
      <w:r>
        <w:t xml:space="preserve">Расчетный эксцентриситет </w:t>
      </w:r>
      <w:r>
        <w:rPr>
          <w:i/>
        </w:rPr>
        <w:t>e</w:t>
      </w:r>
      <w:r>
        <w:t xml:space="preserve"> в плоскости изгиба при сжатии с изгибом следует определять по формуле</w:t>
      </w:r>
    </w:p>
    <w:p w:rsidR="00212513" w:rsidRDefault="00212513">
      <w:pPr>
        <w:pStyle w:val="ConsPlusNormal"/>
        <w:ind w:firstLine="540"/>
        <w:jc w:val="both"/>
      </w:pPr>
    </w:p>
    <w:p w:rsidR="00212513" w:rsidRDefault="00212513">
      <w:pPr>
        <w:pStyle w:val="ConsPlusNormal"/>
        <w:jc w:val="center"/>
      </w:pPr>
      <w:r>
        <w:rPr>
          <w:noProof/>
          <w:position w:val="-23"/>
        </w:rPr>
        <w:drawing>
          <wp:inline distT="0" distB="0" distL="0" distR="0">
            <wp:extent cx="483870" cy="441960"/>
            <wp:effectExtent l="0" t="0" r="0" b="0"/>
            <wp:docPr id="1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0" cstate="print">
                      <a:extLst>
                        <a:ext uri="{28A0092B-C50C-407E-A947-70E740481C1C}">
                          <a14:useLocalDpi xmlns:a14="http://schemas.microsoft.com/office/drawing/2010/main" val="0"/>
                        </a:ext>
                      </a:extLst>
                    </a:blip>
                    <a:srcRect/>
                    <a:stretch>
                      <a:fillRect/>
                    </a:stretch>
                  </pic:blipFill>
                  <pic:spPr bwMode="auto">
                    <a:xfrm>
                      <a:off x="0" y="0"/>
                      <a:ext cx="483870" cy="441960"/>
                    </a:xfrm>
                    <a:prstGeom prst="rect">
                      <a:avLst/>
                    </a:prstGeom>
                    <a:noFill/>
                    <a:ln>
                      <a:noFill/>
                    </a:ln>
                  </pic:spPr>
                </pic:pic>
              </a:graphicData>
            </a:graphic>
          </wp:inline>
        </w:drawing>
      </w:r>
      <w:r>
        <w:t>, (8.38)</w:t>
      </w:r>
    </w:p>
    <w:p w:rsidR="00212513" w:rsidRDefault="00212513">
      <w:pPr>
        <w:pStyle w:val="ConsPlusNormal"/>
        <w:ind w:firstLine="540"/>
        <w:jc w:val="both"/>
      </w:pPr>
    </w:p>
    <w:p w:rsidR="00212513" w:rsidRDefault="00212513">
      <w:pPr>
        <w:pStyle w:val="ConsPlusNormal"/>
        <w:ind w:firstLine="540"/>
        <w:jc w:val="both"/>
      </w:pPr>
      <w:r>
        <w:t xml:space="preserve">где </w:t>
      </w:r>
      <w:r>
        <w:rPr>
          <w:i/>
        </w:rPr>
        <w:t>N</w:t>
      </w:r>
      <w:r>
        <w:t xml:space="preserve">, </w:t>
      </w:r>
      <w:r>
        <w:rPr>
          <w:i/>
        </w:rPr>
        <w:t>M</w:t>
      </w:r>
      <w:r>
        <w:t xml:space="preserve"> - расчетные значения продольной силы и изгибающего момента.</w:t>
      </w:r>
    </w:p>
    <w:p w:rsidR="00212513" w:rsidRDefault="00212513">
      <w:pPr>
        <w:pStyle w:val="ConsPlusNormal"/>
        <w:spacing w:before="220"/>
        <w:ind w:firstLine="540"/>
        <w:jc w:val="both"/>
      </w:pPr>
      <w:r>
        <w:t xml:space="preserve">Ядровое расстояние </w:t>
      </w:r>
      <w:r>
        <w:rPr>
          <w:noProof/>
          <w:position w:val="-3"/>
        </w:rPr>
        <w:drawing>
          <wp:inline distT="0" distB="0" distL="0" distR="0">
            <wp:extent cx="167640" cy="177800"/>
            <wp:effectExtent l="0" t="0" r="0" b="0"/>
            <wp:docPr id="1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9"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по направлению эксцентриситета следует определять по формуле</w:t>
      </w:r>
    </w:p>
    <w:p w:rsidR="00212513" w:rsidRDefault="00212513">
      <w:pPr>
        <w:pStyle w:val="ConsPlusNormal"/>
        <w:ind w:firstLine="540"/>
        <w:jc w:val="both"/>
      </w:pPr>
    </w:p>
    <w:p w:rsidR="00212513" w:rsidRDefault="00212513">
      <w:pPr>
        <w:pStyle w:val="ConsPlusNormal"/>
        <w:jc w:val="center"/>
      </w:pPr>
      <w:r>
        <w:rPr>
          <w:noProof/>
          <w:position w:val="-23"/>
        </w:rPr>
        <w:drawing>
          <wp:inline distT="0" distB="0" distL="0" distR="0">
            <wp:extent cx="544830" cy="441960"/>
            <wp:effectExtent l="0" t="0" r="0" b="0"/>
            <wp:docPr id="1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1" cstate="print">
                      <a:extLst>
                        <a:ext uri="{28A0092B-C50C-407E-A947-70E740481C1C}">
                          <a14:useLocalDpi xmlns:a14="http://schemas.microsoft.com/office/drawing/2010/main" val="0"/>
                        </a:ext>
                      </a:extLst>
                    </a:blip>
                    <a:srcRect/>
                    <a:stretch>
                      <a:fillRect/>
                    </a:stretch>
                  </pic:blipFill>
                  <pic:spPr bwMode="auto">
                    <a:xfrm>
                      <a:off x="0" y="0"/>
                      <a:ext cx="544830" cy="441960"/>
                    </a:xfrm>
                    <a:prstGeom prst="rect">
                      <a:avLst/>
                    </a:prstGeom>
                    <a:noFill/>
                    <a:ln>
                      <a:noFill/>
                    </a:ln>
                  </pic:spPr>
                </pic:pic>
              </a:graphicData>
            </a:graphic>
          </wp:inline>
        </w:drawing>
      </w:r>
      <w:r>
        <w:t>, (8.39)</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8"/>
        </w:rPr>
        <w:drawing>
          <wp:inline distT="0" distB="0" distL="0" distR="0">
            <wp:extent cx="220980" cy="251460"/>
            <wp:effectExtent l="0" t="0" r="0" b="0"/>
            <wp:docPr id="1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2"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момент сопротивления сечения брутто, вычисляемый для наиболее сжатого волокна.</w:t>
      </w:r>
    </w:p>
    <w:p w:rsidR="00212513" w:rsidRDefault="00212513">
      <w:pPr>
        <w:pStyle w:val="ConsPlusNormal"/>
        <w:spacing w:before="220"/>
        <w:ind w:firstLine="540"/>
        <w:jc w:val="both"/>
      </w:pPr>
      <w:r>
        <w:t xml:space="preserve">Расчетные значения продольной силы N и изгибающего момента </w:t>
      </w:r>
      <w:r>
        <w:rPr>
          <w:i/>
        </w:rPr>
        <w:t>M</w:t>
      </w:r>
      <w:r>
        <w:t xml:space="preserve"> в элементе следует принимать для одного и того же сочетания нагрузок из расчета системы по недеформированной схеме в предположении упругих деформаций стали.</w:t>
      </w:r>
    </w:p>
    <w:p w:rsidR="00212513" w:rsidRDefault="00212513">
      <w:pPr>
        <w:pStyle w:val="ConsPlusNormal"/>
        <w:spacing w:before="220"/>
        <w:ind w:firstLine="540"/>
        <w:jc w:val="both"/>
      </w:pPr>
      <w:r>
        <w:t xml:space="preserve">При этом значения </w:t>
      </w:r>
      <w:r>
        <w:rPr>
          <w:i/>
        </w:rPr>
        <w:t>M</w:t>
      </w:r>
      <w:r>
        <w:t xml:space="preserve"> следует принимать равными:</w:t>
      </w:r>
    </w:p>
    <w:p w:rsidR="00212513" w:rsidRDefault="00212513">
      <w:pPr>
        <w:pStyle w:val="ConsPlusNormal"/>
        <w:spacing w:before="220"/>
        <w:ind w:firstLine="540"/>
        <w:jc w:val="both"/>
      </w:pPr>
      <w:r>
        <w:t>для элементов постоянного сечения рамных систем - наибольшему моменту в пределах длины элемента;</w:t>
      </w:r>
    </w:p>
    <w:p w:rsidR="00212513" w:rsidRDefault="00212513">
      <w:pPr>
        <w:pStyle w:val="ConsPlusNormal"/>
        <w:spacing w:before="220"/>
        <w:ind w:firstLine="540"/>
        <w:jc w:val="both"/>
      </w:pPr>
      <w:r>
        <w:t>для элементов с одним защемленным, а другим свободным концом - моменту в заделке, но не менее момента в сечении, отстоящем на треть длины элемента от заделки;</w:t>
      </w:r>
    </w:p>
    <w:p w:rsidR="00212513" w:rsidRDefault="00212513">
      <w:pPr>
        <w:pStyle w:val="ConsPlusNormal"/>
        <w:spacing w:before="220"/>
        <w:ind w:firstLine="540"/>
        <w:jc w:val="both"/>
      </w:pPr>
      <w:r>
        <w:t>для сжатых поясов ферм, воспринимающих внеузловую нагрузку, - наибольшему моменту в пределах средней трети длины панели пояса, определяемому из расчета пояса как упругой неразрезной балки;</w:t>
      </w:r>
    </w:p>
    <w:p w:rsidR="00212513" w:rsidRDefault="00212513">
      <w:pPr>
        <w:pStyle w:val="ConsPlusNormal"/>
        <w:spacing w:before="220"/>
        <w:ind w:firstLine="540"/>
        <w:jc w:val="both"/>
      </w:pPr>
      <w:r>
        <w:t>для сжатых стержней с шарнирно опертыми концами и сечениями, имеющими одну ось симметрии, совпадающую с плоскостью изгиба, - моменту, определяемому по формулам таблицы 8.21.</w:t>
      </w:r>
    </w:p>
    <w:p w:rsidR="00212513" w:rsidRDefault="00212513">
      <w:pPr>
        <w:pStyle w:val="ConsPlusNormal"/>
        <w:ind w:firstLine="540"/>
        <w:jc w:val="both"/>
      </w:pPr>
    </w:p>
    <w:p w:rsidR="00212513" w:rsidRDefault="00212513">
      <w:pPr>
        <w:pStyle w:val="ConsPlusNormal"/>
        <w:jc w:val="right"/>
      </w:pPr>
      <w:bookmarkStart w:id="326" w:name="P7625"/>
      <w:bookmarkEnd w:id="326"/>
      <w:r>
        <w:t>Таблица 8.21</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1"/>
        <w:gridCol w:w="3572"/>
        <w:gridCol w:w="3458"/>
      </w:tblGrid>
      <w:tr w:rsidR="00212513">
        <w:tc>
          <w:tcPr>
            <w:tcW w:w="2041" w:type="dxa"/>
            <w:vMerge w:val="restart"/>
            <w:vAlign w:val="center"/>
          </w:tcPr>
          <w:p w:rsidR="00212513" w:rsidRDefault="00212513">
            <w:pPr>
              <w:pStyle w:val="ConsPlusNormal"/>
              <w:jc w:val="center"/>
            </w:pPr>
            <w:r>
              <w:t>Относительный эксцентриситет, соответствующий </w:t>
            </w:r>
            <w:r>
              <w:rPr>
                <w:noProof/>
                <w:position w:val="-8"/>
              </w:rPr>
              <w:drawing>
                <wp:inline distT="0" distB="0" distL="0" distR="0">
                  <wp:extent cx="387350" cy="251460"/>
                  <wp:effectExtent l="0" t="0" r="0" b="0"/>
                  <wp:docPr id="1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3" cstate="print">
                            <a:extLst>
                              <a:ext uri="{28A0092B-C50C-407E-A947-70E740481C1C}">
                                <a14:useLocalDpi xmlns:a14="http://schemas.microsoft.com/office/drawing/2010/main" val="0"/>
                              </a:ext>
                            </a:extLst>
                          </a:blip>
                          <a:srcRect/>
                          <a:stretch>
                            <a:fillRect/>
                          </a:stretch>
                        </pic:blipFill>
                        <pic:spPr bwMode="auto">
                          <a:xfrm>
                            <a:off x="0" y="0"/>
                            <a:ext cx="387350" cy="251460"/>
                          </a:xfrm>
                          <a:prstGeom prst="rect">
                            <a:avLst/>
                          </a:prstGeom>
                          <a:noFill/>
                          <a:ln>
                            <a:noFill/>
                          </a:ln>
                        </pic:spPr>
                      </pic:pic>
                    </a:graphicData>
                  </a:graphic>
                </wp:inline>
              </w:drawing>
            </w:r>
          </w:p>
        </w:tc>
        <w:tc>
          <w:tcPr>
            <w:tcW w:w="7030" w:type="dxa"/>
            <w:gridSpan w:val="2"/>
            <w:vAlign w:val="center"/>
          </w:tcPr>
          <w:p w:rsidR="00212513" w:rsidRDefault="00212513">
            <w:pPr>
              <w:pStyle w:val="ConsPlusNormal"/>
              <w:jc w:val="center"/>
            </w:pPr>
            <w:r>
              <w:t xml:space="preserve">Расчетные значения </w:t>
            </w:r>
            <w:r>
              <w:rPr>
                <w:i/>
              </w:rPr>
              <w:t>M</w:t>
            </w:r>
            <w:r>
              <w:t xml:space="preserve"> при условной гибкости стержня</w:t>
            </w:r>
          </w:p>
        </w:tc>
      </w:tr>
      <w:tr w:rsidR="00212513">
        <w:tc>
          <w:tcPr>
            <w:tcW w:w="2041" w:type="dxa"/>
            <w:vMerge/>
          </w:tcPr>
          <w:p w:rsidR="00212513" w:rsidRDefault="00212513">
            <w:pPr>
              <w:pStyle w:val="ConsPlusNormal"/>
            </w:pPr>
          </w:p>
        </w:tc>
        <w:tc>
          <w:tcPr>
            <w:tcW w:w="3572" w:type="dxa"/>
            <w:vAlign w:val="center"/>
          </w:tcPr>
          <w:p w:rsidR="00212513" w:rsidRDefault="00212513">
            <w:pPr>
              <w:pStyle w:val="ConsPlusNormal"/>
              <w:jc w:val="center"/>
            </w:pPr>
            <w:r>
              <w:rPr>
                <w:noProof/>
                <w:position w:val="-6"/>
              </w:rPr>
              <w:drawing>
                <wp:inline distT="0" distB="0" distL="0" distR="0">
                  <wp:extent cx="419100" cy="220980"/>
                  <wp:effectExtent l="0" t="0" r="0" b="0"/>
                  <wp:docPr id="1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4" cstate="print">
                            <a:extLst>
                              <a:ext uri="{28A0092B-C50C-407E-A947-70E740481C1C}">
                                <a14:useLocalDpi xmlns:a14="http://schemas.microsoft.com/office/drawing/2010/main" val="0"/>
                              </a:ext>
                            </a:extLst>
                          </a:blip>
                          <a:srcRect/>
                          <a:stretch>
                            <a:fillRect/>
                          </a:stretch>
                        </pic:blipFill>
                        <pic:spPr bwMode="auto">
                          <a:xfrm>
                            <a:off x="0" y="0"/>
                            <a:ext cx="419100" cy="220980"/>
                          </a:xfrm>
                          <a:prstGeom prst="rect">
                            <a:avLst/>
                          </a:prstGeom>
                          <a:noFill/>
                          <a:ln>
                            <a:noFill/>
                          </a:ln>
                        </pic:spPr>
                      </pic:pic>
                    </a:graphicData>
                  </a:graphic>
                </wp:inline>
              </w:drawing>
            </w:r>
          </w:p>
        </w:tc>
        <w:tc>
          <w:tcPr>
            <w:tcW w:w="3458" w:type="dxa"/>
            <w:vAlign w:val="center"/>
          </w:tcPr>
          <w:p w:rsidR="00212513" w:rsidRDefault="00212513">
            <w:pPr>
              <w:pStyle w:val="ConsPlusNormal"/>
              <w:jc w:val="center"/>
            </w:pPr>
            <w:r>
              <w:rPr>
                <w:noProof/>
                <w:position w:val="-6"/>
              </w:rPr>
              <w:drawing>
                <wp:inline distT="0" distB="0" distL="0" distR="0">
                  <wp:extent cx="419100" cy="220980"/>
                  <wp:effectExtent l="0" t="0" r="0" b="0"/>
                  <wp:docPr id="1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5" cstate="print">
                            <a:extLst>
                              <a:ext uri="{28A0092B-C50C-407E-A947-70E740481C1C}">
                                <a14:useLocalDpi xmlns:a14="http://schemas.microsoft.com/office/drawing/2010/main" val="0"/>
                              </a:ext>
                            </a:extLst>
                          </a:blip>
                          <a:srcRect/>
                          <a:stretch>
                            <a:fillRect/>
                          </a:stretch>
                        </pic:blipFill>
                        <pic:spPr bwMode="auto">
                          <a:xfrm>
                            <a:off x="0" y="0"/>
                            <a:ext cx="419100" cy="220980"/>
                          </a:xfrm>
                          <a:prstGeom prst="rect">
                            <a:avLst/>
                          </a:prstGeom>
                          <a:noFill/>
                          <a:ln>
                            <a:noFill/>
                          </a:ln>
                        </pic:spPr>
                      </pic:pic>
                    </a:graphicData>
                  </a:graphic>
                </wp:inline>
              </w:drawing>
            </w:r>
          </w:p>
        </w:tc>
      </w:tr>
      <w:tr w:rsidR="00212513">
        <w:tc>
          <w:tcPr>
            <w:tcW w:w="2041" w:type="dxa"/>
          </w:tcPr>
          <w:p w:rsidR="00212513" w:rsidRDefault="00212513">
            <w:pPr>
              <w:pStyle w:val="ConsPlusNormal"/>
              <w:jc w:val="center"/>
            </w:pPr>
            <w:r>
              <w:rPr>
                <w:noProof/>
                <w:position w:val="-8"/>
              </w:rPr>
              <w:drawing>
                <wp:inline distT="0" distB="0" distL="0" distR="0">
                  <wp:extent cx="483870" cy="251460"/>
                  <wp:effectExtent l="0" t="0" r="0" b="0"/>
                  <wp:docPr id="1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6" cstate="print">
                            <a:extLst>
                              <a:ext uri="{28A0092B-C50C-407E-A947-70E740481C1C}">
                                <a14:useLocalDpi xmlns:a14="http://schemas.microsoft.com/office/drawing/2010/main" val="0"/>
                              </a:ext>
                            </a:extLst>
                          </a:blip>
                          <a:srcRect/>
                          <a:stretch>
                            <a:fillRect/>
                          </a:stretch>
                        </pic:blipFill>
                        <pic:spPr bwMode="auto">
                          <a:xfrm>
                            <a:off x="0" y="0"/>
                            <a:ext cx="483870" cy="251460"/>
                          </a:xfrm>
                          <a:prstGeom prst="rect">
                            <a:avLst/>
                          </a:prstGeom>
                          <a:noFill/>
                          <a:ln>
                            <a:noFill/>
                          </a:ln>
                        </pic:spPr>
                      </pic:pic>
                    </a:graphicData>
                  </a:graphic>
                </wp:inline>
              </w:drawing>
            </w:r>
          </w:p>
        </w:tc>
        <w:tc>
          <w:tcPr>
            <w:tcW w:w="3572" w:type="dxa"/>
          </w:tcPr>
          <w:p w:rsidR="00212513" w:rsidRDefault="00212513">
            <w:pPr>
              <w:pStyle w:val="ConsPlusNormal"/>
              <w:jc w:val="center"/>
            </w:pPr>
            <w:r>
              <w:rPr>
                <w:noProof/>
                <w:position w:val="-24"/>
              </w:rPr>
              <w:drawing>
                <wp:inline distT="0" distB="0" distL="0" distR="0">
                  <wp:extent cx="2189480" cy="447675"/>
                  <wp:effectExtent l="0" t="0" r="0" b="0"/>
                  <wp:docPr id="1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7" cstate="print">
                            <a:extLst>
                              <a:ext uri="{28A0092B-C50C-407E-A947-70E740481C1C}">
                                <a14:useLocalDpi xmlns:a14="http://schemas.microsoft.com/office/drawing/2010/main" val="0"/>
                              </a:ext>
                            </a:extLst>
                          </a:blip>
                          <a:srcRect/>
                          <a:stretch>
                            <a:fillRect/>
                          </a:stretch>
                        </pic:blipFill>
                        <pic:spPr bwMode="auto">
                          <a:xfrm>
                            <a:off x="0" y="0"/>
                            <a:ext cx="2189480" cy="447675"/>
                          </a:xfrm>
                          <a:prstGeom prst="rect">
                            <a:avLst/>
                          </a:prstGeom>
                          <a:noFill/>
                          <a:ln>
                            <a:noFill/>
                          </a:ln>
                        </pic:spPr>
                      </pic:pic>
                    </a:graphicData>
                  </a:graphic>
                </wp:inline>
              </w:drawing>
            </w:r>
          </w:p>
        </w:tc>
        <w:tc>
          <w:tcPr>
            <w:tcW w:w="3458" w:type="dxa"/>
          </w:tcPr>
          <w:p w:rsidR="00212513" w:rsidRDefault="00212513">
            <w:pPr>
              <w:pStyle w:val="ConsPlusNormal"/>
              <w:jc w:val="center"/>
            </w:pPr>
            <w:r>
              <w:rPr>
                <w:noProof/>
                <w:position w:val="-8"/>
              </w:rPr>
              <w:drawing>
                <wp:inline distT="0" distB="0" distL="0" distR="0">
                  <wp:extent cx="586740" cy="251460"/>
                  <wp:effectExtent l="0" t="0" r="0" b="0"/>
                  <wp:docPr id="1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8"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p>
        </w:tc>
      </w:tr>
      <w:tr w:rsidR="00212513">
        <w:tc>
          <w:tcPr>
            <w:tcW w:w="2041" w:type="dxa"/>
          </w:tcPr>
          <w:p w:rsidR="00212513" w:rsidRDefault="00212513">
            <w:pPr>
              <w:pStyle w:val="ConsPlusNormal"/>
              <w:jc w:val="center"/>
            </w:pPr>
            <w:r>
              <w:rPr>
                <w:noProof/>
                <w:position w:val="-8"/>
              </w:rPr>
              <w:lastRenderedPageBreak/>
              <w:drawing>
                <wp:inline distT="0" distB="0" distL="0" distR="0">
                  <wp:extent cx="815975" cy="251460"/>
                  <wp:effectExtent l="0" t="0" r="0" b="0"/>
                  <wp:docPr id="1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9" cstate="print">
                            <a:extLst>
                              <a:ext uri="{28A0092B-C50C-407E-A947-70E740481C1C}">
                                <a14:useLocalDpi xmlns:a14="http://schemas.microsoft.com/office/drawing/2010/main" val="0"/>
                              </a:ext>
                            </a:extLst>
                          </a:blip>
                          <a:srcRect/>
                          <a:stretch>
                            <a:fillRect/>
                          </a:stretch>
                        </pic:blipFill>
                        <pic:spPr bwMode="auto">
                          <a:xfrm>
                            <a:off x="0" y="0"/>
                            <a:ext cx="815975" cy="251460"/>
                          </a:xfrm>
                          <a:prstGeom prst="rect">
                            <a:avLst/>
                          </a:prstGeom>
                          <a:noFill/>
                          <a:ln>
                            <a:noFill/>
                          </a:ln>
                        </pic:spPr>
                      </pic:pic>
                    </a:graphicData>
                  </a:graphic>
                </wp:inline>
              </w:drawing>
            </w:r>
          </w:p>
        </w:tc>
        <w:tc>
          <w:tcPr>
            <w:tcW w:w="3572" w:type="dxa"/>
          </w:tcPr>
          <w:p w:rsidR="00212513" w:rsidRDefault="00212513">
            <w:pPr>
              <w:pStyle w:val="ConsPlusNormal"/>
              <w:jc w:val="center"/>
            </w:pPr>
            <w:r>
              <w:rPr>
                <w:noProof/>
                <w:position w:val="-23"/>
              </w:rPr>
              <w:drawing>
                <wp:inline distT="0" distB="0" distL="0" distR="0">
                  <wp:extent cx="2081530" cy="441960"/>
                  <wp:effectExtent l="0" t="0" r="0" b="0"/>
                  <wp:docPr id="1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0" cstate="print">
                            <a:extLst>
                              <a:ext uri="{28A0092B-C50C-407E-A947-70E740481C1C}">
                                <a14:useLocalDpi xmlns:a14="http://schemas.microsoft.com/office/drawing/2010/main" val="0"/>
                              </a:ext>
                            </a:extLst>
                          </a:blip>
                          <a:srcRect/>
                          <a:stretch>
                            <a:fillRect/>
                          </a:stretch>
                        </pic:blipFill>
                        <pic:spPr bwMode="auto">
                          <a:xfrm>
                            <a:off x="0" y="0"/>
                            <a:ext cx="2081530" cy="441960"/>
                          </a:xfrm>
                          <a:prstGeom prst="rect">
                            <a:avLst/>
                          </a:prstGeom>
                          <a:noFill/>
                          <a:ln>
                            <a:noFill/>
                          </a:ln>
                        </pic:spPr>
                      </pic:pic>
                    </a:graphicData>
                  </a:graphic>
                </wp:inline>
              </w:drawing>
            </w:r>
          </w:p>
        </w:tc>
        <w:tc>
          <w:tcPr>
            <w:tcW w:w="3458" w:type="dxa"/>
          </w:tcPr>
          <w:p w:rsidR="00212513" w:rsidRDefault="00212513">
            <w:pPr>
              <w:pStyle w:val="ConsPlusNormal"/>
              <w:jc w:val="center"/>
            </w:pPr>
            <w:r>
              <w:rPr>
                <w:noProof/>
                <w:position w:val="-23"/>
              </w:rPr>
              <w:drawing>
                <wp:inline distT="0" distB="0" distL="0" distR="0">
                  <wp:extent cx="2081530" cy="441960"/>
                  <wp:effectExtent l="0" t="0" r="0" b="0"/>
                  <wp:docPr id="1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1" cstate="print">
                            <a:extLst>
                              <a:ext uri="{28A0092B-C50C-407E-A947-70E740481C1C}">
                                <a14:useLocalDpi xmlns:a14="http://schemas.microsoft.com/office/drawing/2010/main" val="0"/>
                              </a:ext>
                            </a:extLst>
                          </a:blip>
                          <a:srcRect/>
                          <a:stretch>
                            <a:fillRect/>
                          </a:stretch>
                        </pic:blipFill>
                        <pic:spPr bwMode="auto">
                          <a:xfrm>
                            <a:off x="0" y="0"/>
                            <a:ext cx="2081530" cy="441960"/>
                          </a:xfrm>
                          <a:prstGeom prst="rect">
                            <a:avLst/>
                          </a:prstGeom>
                          <a:noFill/>
                          <a:ln>
                            <a:noFill/>
                          </a:ln>
                        </pic:spPr>
                      </pic:pic>
                    </a:graphicData>
                  </a:graphic>
                </wp:inline>
              </w:drawing>
            </w:r>
          </w:p>
        </w:tc>
      </w:tr>
      <w:tr w:rsidR="00212513">
        <w:tblPrEx>
          <w:tblBorders>
            <w:insideH w:val="nil"/>
          </w:tblBorders>
        </w:tblPrEx>
        <w:tc>
          <w:tcPr>
            <w:tcW w:w="9071" w:type="dxa"/>
            <w:gridSpan w:val="3"/>
            <w:tcBorders>
              <w:bottom w:val="nil"/>
            </w:tcBorders>
          </w:tcPr>
          <w:p w:rsidR="00212513" w:rsidRDefault="00212513">
            <w:pPr>
              <w:pStyle w:val="ConsPlusNormal"/>
              <w:ind w:firstLine="283"/>
              <w:jc w:val="both"/>
            </w:pPr>
            <w:r>
              <w:t xml:space="preserve">Обозначения, принятые в </w:t>
            </w:r>
            <w:hyperlink w:anchor="P7625">
              <w:r>
                <w:rPr>
                  <w:color w:val="0000FF"/>
                </w:rPr>
                <w:t>таблице 8.21</w:t>
              </w:r>
            </w:hyperlink>
            <w:r>
              <w:t>:</w:t>
            </w:r>
          </w:p>
          <w:p w:rsidR="00212513" w:rsidRDefault="00212513">
            <w:pPr>
              <w:pStyle w:val="ConsPlusNormal"/>
              <w:ind w:firstLine="283"/>
              <w:jc w:val="both"/>
            </w:pPr>
            <w:r>
              <w:rPr>
                <w:noProof/>
                <w:position w:val="-8"/>
              </w:rPr>
              <w:drawing>
                <wp:inline distT="0" distB="0" distL="0" distR="0">
                  <wp:extent cx="387350" cy="251460"/>
                  <wp:effectExtent l="0" t="0" r="0" b="0"/>
                  <wp:docPr id="1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2" cstate="print">
                            <a:extLst>
                              <a:ext uri="{28A0092B-C50C-407E-A947-70E740481C1C}">
                                <a14:useLocalDpi xmlns:a14="http://schemas.microsoft.com/office/drawing/2010/main" val="0"/>
                              </a:ext>
                            </a:extLst>
                          </a:blip>
                          <a:srcRect/>
                          <a:stretch>
                            <a:fillRect/>
                          </a:stretch>
                        </pic:blipFill>
                        <pic:spPr bwMode="auto">
                          <a:xfrm>
                            <a:off x="0" y="0"/>
                            <a:ext cx="387350" cy="251460"/>
                          </a:xfrm>
                          <a:prstGeom prst="rect">
                            <a:avLst/>
                          </a:prstGeom>
                          <a:noFill/>
                          <a:ln>
                            <a:noFill/>
                          </a:ln>
                        </pic:spPr>
                      </pic:pic>
                    </a:graphicData>
                  </a:graphic>
                </wp:inline>
              </w:drawing>
            </w:r>
            <w:r>
              <w:t xml:space="preserve"> - наибольший изгибающий момент в пределах длины стержня;</w:t>
            </w:r>
          </w:p>
          <w:p w:rsidR="00212513" w:rsidRDefault="00212513">
            <w:pPr>
              <w:pStyle w:val="ConsPlusNormal"/>
              <w:ind w:firstLine="283"/>
              <w:jc w:val="both"/>
            </w:pPr>
            <w:r>
              <w:rPr>
                <w:noProof/>
                <w:position w:val="-8"/>
              </w:rPr>
              <w:drawing>
                <wp:inline distT="0" distB="0" distL="0" distR="0">
                  <wp:extent cx="251460" cy="251460"/>
                  <wp:effectExtent l="0" t="0" r="0" b="0"/>
                  <wp:docPr id="1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наибольший изгибающий момент в пределах средней трети длины стержня, но не менее </w:t>
            </w:r>
            <w:r>
              <w:rPr>
                <w:noProof/>
                <w:position w:val="-8"/>
              </w:rPr>
              <w:drawing>
                <wp:inline distT="0" distB="0" distL="0" distR="0">
                  <wp:extent cx="593725" cy="251460"/>
                  <wp:effectExtent l="0" t="0" r="0" b="0"/>
                  <wp:docPr id="1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4" cstate="print">
                            <a:extLst>
                              <a:ext uri="{28A0092B-C50C-407E-A947-70E740481C1C}">
                                <a14:useLocalDpi xmlns:a14="http://schemas.microsoft.com/office/drawing/2010/main" val="0"/>
                              </a:ext>
                            </a:extLst>
                          </a:blip>
                          <a:srcRect/>
                          <a:stretch>
                            <a:fillRect/>
                          </a:stretch>
                        </pic:blipFill>
                        <pic:spPr bwMode="auto">
                          <a:xfrm>
                            <a:off x="0" y="0"/>
                            <a:ext cx="593725" cy="251460"/>
                          </a:xfrm>
                          <a:prstGeom prst="rect">
                            <a:avLst/>
                          </a:prstGeom>
                          <a:noFill/>
                          <a:ln>
                            <a:noFill/>
                          </a:ln>
                        </pic:spPr>
                      </pic:pic>
                    </a:graphicData>
                  </a:graphic>
                </wp:inline>
              </w:drawing>
            </w:r>
            <w:r>
              <w:t>;</w:t>
            </w:r>
          </w:p>
          <w:p w:rsidR="00212513" w:rsidRDefault="00212513">
            <w:pPr>
              <w:pStyle w:val="ConsPlusNormal"/>
              <w:ind w:firstLine="283"/>
              <w:jc w:val="both"/>
            </w:pPr>
            <w:r>
              <w:rPr>
                <w:noProof/>
                <w:position w:val="-8"/>
              </w:rPr>
              <w:drawing>
                <wp:inline distT="0" distB="0" distL="0" distR="0">
                  <wp:extent cx="254000" cy="251460"/>
                  <wp:effectExtent l="0" t="0" r="0" b="0"/>
                  <wp:docPr id="1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5" cstate="print">
                            <a:extLst>
                              <a:ext uri="{28A0092B-C50C-407E-A947-70E740481C1C}">
                                <a14:useLocalDpi xmlns:a14="http://schemas.microsoft.com/office/drawing/2010/main" val="0"/>
                              </a:ext>
                            </a:extLst>
                          </a:blip>
                          <a:srcRect/>
                          <a:stretch>
                            <a:fillRect/>
                          </a:stretch>
                        </pic:blipFill>
                        <pic:spPr bwMode="auto">
                          <a:xfrm>
                            <a:off x="0" y="0"/>
                            <a:ext cx="254000" cy="251460"/>
                          </a:xfrm>
                          <a:prstGeom prst="rect">
                            <a:avLst/>
                          </a:prstGeom>
                          <a:noFill/>
                          <a:ln>
                            <a:noFill/>
                          </a:ln>
                        </pic:spPr>
                      </pic:pic>
                    </a:graphicData>
                  </a:graphic>
                </wp:inline>
              </w:drawing>
            </w:r>
            <w:r>
              <w:t xml:space="preserve"> - относительный эксцентриситет, определяемый по формуле</w:t>
            </w:r>
          </w:p>
          <w:p w:rsidR="00212513" w:rsidRDefault="00212513">
            <w:pPr>
              <w:pStyle w:val="ConsPlusNormal"/>
              <w:ind w:firstLine="283"/>
              <w:jc w:val="both"/>
            </w:pPr>
          </w:p>
          <w:p w:rsidR="00212513" w:rsidRDefault="00212513">
            <w:pPr>
              <w:pStyle w:val="ConsPlusNormal"/>
              <w:jc w:val="center"/>
            </w:pPr>
            <w:r>
              <w:rPr>
                <w:noProof/>
                <w:position w:val="-26"/>
              </w:rPr>
              <w:drawing>
                <wp:inline distT="0" distB="0" distL="0" distR="0">
                  <wp:extent cx="902970" cy="470535"/>
                  <wp:effectExtent l="0" t="0" r="0" b="0"/>
                  <wp:docPr id="1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6" cstate="print">
                            <a:extLst>
                              <a:ext uri="{28A0092B-C50C-407E-A947-70E740481C1C}">
                                <a14:useLocalDpi xmlns:a14="http://schemas.microsoft.com/office/drawing/2010/main" val="0"/>
                              </a:ext>
                            </a:extLst>
                          </a:blip>
                          <a:srcRect/>
                          <a:stretch>
                            <a:fillRect/>
                          </a:stretch>
                        </pic:blipFill>
                        <pic:spPr bwMode="auto">
                          <a:xfrm>
                            <a:off x="0" y="0"/>
                            <a:ext cx="902970" cy="470535"/>
                          </a:xfrm>
                          <a:prstGeom prst="rect">
                            <a:avLst/>
                          </a:prstGeom>
                          <a:noFill/>
                          <a:ln>
                            <a:noFill/>
                          </a:ln>
                        </pic:spPr>
                      </pic:pic>
                    </a:graphicData>
                  </a:graphic>
                </wp:inline>
              </w:drawing>
            </w:r>
            <w:r>
              <w:t>;</w:t>
            </w:r>
          </w:p>
          <w:p w:rsidR="00212513" w:rsidRDefault="00212513">
            <w:pPr>
              <w:pStyle w:val="ConsPlusNormal"/>
              <w:jc w:val="center"/>
            </w:pPr>
          </w:p>
          <w:p w:rsidR="00212513" w:rsidRDefault="00212513">
            <w:pPr>
              <w:pStyle w:val="ConsPlusNormal"/>
              <w:ind w:firstLine="283"/>
              <w:jc w:val="both"/>
            </w:pPr>
            <w:r>
              <w:rPr>
                <w:noProof/>
                <w:position w:val="-6"/>
              </w:rPr>
              <w:drawing>
                <wp:inline distT="0" distB="0" distL="0" distR="0">
                  <wp:extent cx="167640" cy="220980"/>
                  <wp:effectExtent l="0" t="0" r="0" b="0"/>
                  <wp:docPr id="1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7" cstate="print">
                            <a:extLst>
                              <a:ext uri="{28A0092B-C50C-407E-A947-70E740481C1C}">
                                <a14:useLocalDpi xmlns:a14="http://schemas.microsoft.com/office/drawing/2010/main" val="0"/>
                              </a:ext>
                            </a:extLst>
                          </a:blip>
                          <a:srcRect/>
                          <a:stretch>
                            <a:fillRect/>
                          </a:stretch>
                        </pic:blipFill>
                        <pic:spPr bwMode="auto">
                          <a:xfrm>
                            <a:off x="0" y="0"/>
                            <a:ext cx="167640" cy="220980"/>
                          </a:xfrm>
                          <a:prstGeom prst="rect">
                            <a:avLst/>
                          </a:prstGeom>
                          <a:noFill/>
                          <a:ln>
                            <a:noFill/>
                          </a:ln>
                        </pic:spPr>
                      </pic:pic>
                    </a:graphicData>
                  </a:graphic>
                </wp:inline>
              </w:drawing>
            </w:r>
            <w:r>
              <w:t xml:space="preserve"> - условная гибкость, определяемая по формуле </w:t>
            </w:r>
            <w:r>
              <w:rPr>
                <w:noProof/>
                <w:position w:val="-9"/>
              </w:rPr>
              <w:drawing>
                <wp:inline distT="0" distB="0" distL="0" distR="0">
                  <wp:extent cx="621030" cy="262890"/>
                  <wp:effectExtent l="0" t="0" r="0" b="0"/>
                  <wp:docPr id="1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8" cstate="print">
                            <a:extLst>
                              <a:ext uri="{28A0092B-C50C-407E-A947-70E740481C1C}">
                                <a14:useLocalDpi xmlns:a14="http://schemas.microsoft.com/office/drawing/2010/main" val="0"/>
                              </a:ext>
                            </a:extLst>
                          </a:blip>
                          <a:srcRect/>
                          <a:stretch>
                            <a:fillRect/>
                          </a:stretch>
                        </pic:blipFill>
                        <pic:spPr bwMode="auto">
                          <a:xfrm>
                            <a:off x="0" y="0"/>
                            <a:ext cx="621030" cy="262890"/>
                          </a:xfrm>
                          <a:prstGeom prst="rect">
                            <a:avLst/>
                          </a:prstGeom>
                          <a:noFill/>
                          <a:ln>
                            <a:noFill/>
                          </a:ln>
                        </pic:spPr>
                      </pic:pic>
                    </a:graphicData>
                  </a:graphic>
                </wp:inline>
              </w:drawing>
            </w:r>
            <w:r>
              <w:t>,</w:t>
            </w:r>
          </w:p>
          <w:p w:rsidR="00212513" w:rsidRDefault="00212513">
            <w:pPr>
              <w:pStyle w:val="ConsPlusNormal"/>
              <w:ind w:firstLine="283"/>
              <w:jc w:val="both"/>
            </w:pPr>
            <w:r>
              <w:t xml:space="preserve">где </w:t>
            </w:r>
            <w:r>
              <w:rPr>
                <w:noProof/>
                <w:position w:val="-8"/>
              </w:rPr>
              <w:drawing>
                <wp:inline distT="0" distB="0" distL="0" distR="0">
                  <wp:extent cx="220980" cy="251460"/>
                  <wp:effectExtent l="0" t="0" r="0" b="0"/>
                  <wp:docPr id="1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9"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коэффициент, принимаемый по </w:t>
            </w:r>
            <w:hyperlink w:anchor="P15732">
              <w:r>
                <w:rPr>
                  <w:color w:val="0000FF"/>
                </w:rPr>
                <w:t>таблице Ф.4</w:t>
              </w:r>
            </w:hyperlink>
            <w:r>
              <w:t xml:space="preserve"> приложения Ф.</w:t>
            </w:r>
          </w:p>
        </w:tc>
      </w:tr>
      <w:tr w:rsidR="00212513">
        <w:tblPrEx>
          <w:tblBorders>
            <w:insideH w:val="nil"/>
          </w:tblBorders>
        </w:tblPrEx>
        <w:tc>
          <w:tcPr>
            <w:tcW w:w="9071" w:type="dxa"/>
            <w:gridSpan w:val="3"/>
            <w:tcBorders>
              <w:top w:val="nil"/>
            </w:tcBorders>
          </w:tcPr>
          <w:p w:rsidR="00212513" w:rsidRDefault="00212513">
            <w:pPr>
              <w:pStyle w:val="ConsPlusNormal"/>
              <w:ind w:firstLine="283"/>
              <w:jc w:val="both"/>
            </w:pPr>
            <w:r>
              <w:t xml:space="preserve">Примечание - Во всех случаях следует принимать </w:t>
            </w:r>
            <w:r>
              <w:rPr>
                <w:noProof/>
                <w:position w:val="-8"/>
              </w:rPr>
              <w:drawing>
                <wp:inline distT="0" distB="0" distL="0" distR="0">
                  <wp:extent cx="945515" cy="251460"/>
                  <wp:effectExtent l="0" t="0" r="0" b="0"/>
                  <wp:docPr id="1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0" cstate="print">
                            <a:extLst>
                              <a:ext uri="{28A0092B-C50C-407E-A947-70E740481C1C}">
                                <a14:useLocalDpi xmlns:a14="http://schemas.microsoft.com/office/drawing/2010/main" val="0"/>
                              </a:ext>
                            </a:extLst>
                          </a:blip>
                          <a:srcRect/>
                          <a:stretch>
                            <a:fillRect/>
                          </a:stretch>
                        </pic:blipFill>
                        <pic:spPr bwMode="auto">
                          <a:xfrm>
                            <a:off x="0" y="0"/>
                            <a:ext cx="945515" cy="251460"/>
                          </a:xfrm>
                          <a:prstGeom prst="rect">
                            <a:avLst/>
                          </a:prstGeom>
                          <a:noFill/>
                          <a:ln>
                            <a:noFill/>
                          </a:ln>
                        </pic:spPr>
                      </pic:pic>
                    </a:graphicData>
                  </a:graphic>
                </wp:inline>
              </w:drawing>
            </w:r>
            <w:r>
              <w:t>.</w:t>
            </w:r>
          </w:p>
        </w:tc>
      </w:tr>
    </w:tbl>
    <w:p w:rsidR="00212513" w:rsidRDefault="00212513">
      <w:pPr>
        <w:pStyle w:val="ConsPlusNormal"/>
        <w:ind w:firstLine="540"/>
        <w:jc w:val="both"/>
      </w:pPr>
    </w:p>
    <w:p w:rsidR="00212513" w:rsidRDefault="00212513">
      <w:pPr>
        <w:pStyle w:val="ConsPlusNormal"/>
        <w:ind w:firstLine="540"/>
        <w:jc w:val="both"/>
      </w:pPr>
      <w:r>
        <w:t xml:space="preserve">Для сжатых стержней с шарнирно-опертыми концами и сечениями, имеющими две оси симметрии, расчетные значения приведенных относительных эксцентриситетов </w:t>
      </w:r>
      <w:r>
        <w:rPr>
          <w:noProof/>
          <w:position w:val="-9"/>
        </w:rPr>
        <w:drawing>
          <wp:inline distT="0" distB="0" distL="0" distR="0">
            <wp:extent cx="209550" cy="262890"/>
            <wp:effectExtent l="0" t="0" r="0" b="0"/>
            <wp:docPr id="1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1"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следует определять по </w:t>
      </w:r>
      <w:hyperlink r:id="rId1732">
        <w:r>
          <w:rPr>
            <w:color w:val="0000FF"/>
          </w:rPr>
          <w:t>СП 16.13330</w:t>
        </w:r>
      </w:hyperlink>
      <w:r>
        <w:t xml:space="preserve">, принимая при этом </w:t>
      </w:r>
      <w:r>
        <w:rPr>
          <w:noProof/>
          <w:position w:val="-9"/>
        </w:rPr>
        <w:drawing>
          <wp:inline distT="0" distB="0" distL="0" distR="0">
            <wp:extent cx="262890" cy="262890"/>
            <wp:effectExtent l="0" t="0" r="0" b="0"/>
            <wp:docPr id="1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3"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равным </w:t>
      </w:r>
      <w:r>
        <w:rPr>
          <w:noProof/>
          <w:position w:val="-9"/>
        </w:rPr>
        <w:drawing>
          <wp:inline distT="0" distB="0" distL="0" distR="0">
            <wp:extent cx="209550" cy="262890"/>
            <wp:effectExtent l="0" t="0" r="0" b="0"/>
            <wp:docPr id="1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1"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и </w:t>
      </w:r>
      <w:r>
        <w:rPr>
          <w:noProof/>
          <w:position w:val="-9"/>
        </w:rPr>
        <w:drawing>
          <wp:inline distT="0" distB="0" distL="0" distR="0">
            <wp:extent cx="313690" cy="262890"/>
            <wp:effectExtent l="0" t="0" r="0" b="0"/>
            <wp:docPr id="1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4" cstate="print">
                      <a:extLst>
                        <a:ext uri="{28A0092B-C50C-407E-A947-70E740481C1C}">
                          <a14:useLocalDpi xmlns:a14="http://schemas.microsoft.com/office/drawing/2010/main" val="0"/>
                        </a:ext>
                      </a:extLst>
                    </a:blip>
                    <a:srcRect/>
                    <a:stretch>
                      <a:fillRect/>
                    </a:stretch>
                  </pic:blipFill>
                  <pic:spPr bwMode="auto">
                    <a:xfrm>
                      <a:off x="0" y="0"/>
                      <a:ext cx="313690" cy="262890"/>
                    </a:xfrm>
                    <a:prstGeom prst="rect">
                      <a:avLst/>
                    </a:prstGeom>
                    <a:noFill/>
                    <a:ln>
                      <a:noFill/>
                    </a:ln>
                  </pic:spPr>
                </pic:pic>
              </a:graphicData>
            </a:graphic>
          </wp:inline>
        </w:drawing>
      </w:r>
      <w:r>
        <w:t xml:space="preserve"> равным </w:t>
      </w:r>
      <w:r>
        <w:rPr>
          <w:noProof/>
          <w:position w:val="-9"/>
        </w:rPr>
        <w:drawing>
          <wp:inline distT="0" distB="0" distL="0" distR="0">
            <wp:extent cx="251460" cy="262890"/>
            <wp:effectExtent l="0" t="0" r="0" b="0"/>
            <wp:docPr id="1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5"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определяемому по формуле</w:t>
      </w:r>
    </w:p>
    <w:p w:rsidR="00212513" w:rsidRDefault="00212513">
      <w:pPr>
        <w:pStyle w:val="ConsPlusNormal"/>
        <w:ind w:firstLine="540"/>
        <w:jc w:val="both"/>
      </w:pPr>
    </w:p>
    <w:p w:rsidR="00212513" w:rsidRDefault="00212513">
      <w:pPr>
        <w:pStyle w:val="ConsPlusNormal"/>
        <w:jc w:val="center"/>
      </w:pPr>
      <w:r>
        <w:rPr>
          <w:noProof/>
          <w:position w:val="-26"/>
        </w:rPr>
        <w:drawing>
          <wp:inline distT="0" distB="0" distL="0" distR="0">
            <wp:extent cx="1064895" cy="470535"/>
            <wp:effectExtent l="0" t="0" r="0" b="0"/>
            <wp:docPr id="1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6" cstate="print">
                      <a:extLst>
                        <a:ext uri="{28A0092B-C50C-407E-A947-70E740481C1C}">
                          <a14:useLocalDpi xmlns:a14="http://schemas.microsoft.com/office/drawing/2010/main" val="0"/>
                        </a:ext>
                      </a:extLst>
                    </a:blip>
                    <a:srcRect/>
                    <a:stretch>
                      <a:fillRect/>
                    </a:stretch>
                  </pic:blipFill>
                  <pic:spPr bwMode="auto">
                    <a:xfrm>
                      <a:off x="0" y="0"/>
                      <a:ext cx="1064895" cy="470535"/>
                    </a:xfrm>
                    <a:prstGeom prst="rect">
                      <a:avLst/>
                    </a:prstGeom>
                    <a:noFill/>
                    <a:ln>
                      <a:noFill/>
                    </a:ln>
                  </pic:spPr>
                </pic:pic>
              </a:graphicData>
            </a:graphic>
          </wp:inline>
        </w:drawing>
      </w:r>
      <w:r>
        <w:t>, (8.40)</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8"/>
        </w:rPr>
        <w:drawing>
          <wp:inline distT="0" distB="0" distL="0" distR="0">
            <wp:extent cx="251460" cy="251460"/>
            <wp:effectExtent l="0" t="0" r="0" b="0"/>
            <wp:docPr id="1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больший из изгибающих моментов, приложенных на шарнирно-опертых концах сжатого стержня указанного типа.</w:t>
      </w:r>
    </w:p>
    <w:p w:rsidR="00212513" w:rsidRDefault="00212513">
      <w:pPr>
        <w:pStyle w:val="ConsPlusNormal"/>
        <w:spacing w:before="220"/>
        <w:ind w:firstLine="540"/>
        <w:jc w:val="both"/>
      </w:pPr>
      <w:bookmarkStart w:id="327" w:name="P7653"/>
      <w:bookmarkEnd w:id="327"/>
      <w:r>
        <w:t>8.37 Расчет при плоской форме потери устойчивости сквозных элементов замкнутого сечения, ветви которых соединены планками или перфорированными листами, при центральном сжатии, сжатии с изгибом и внецентренном сжатии следует выполнять:</w:t>
      </w:r>
    </w:p>
    <w:p w:rsidR="00212513" w:rsidRDefault="00212513">
      <w:pPr>
        <w:pStyle w:val="ConsPlusNormal"/>
        <w:spacing w:before="220"/>
        <w:ind w:firstLine="540"/>
        <w:jc w:val="both"/>
      </w:pPr>
      <w:r>
        <w:t xml:space="preserve">элемента в целом в плоскости действия изгибающего момента или предполагаемого (при центральном сжатии) изгиба, перпендикулярной плоскости планок или перфорированных листов, - по </w:t>
      </w:r>
      <w:hyperlink w:anchor="P7590">
        <w:r>
          <w:rPr>
            <w:color w:val="0000FF"/>
          </w:rPr>
          <w:t>формуле (8.35)</w:t>
        </w:r>
      </w:hyperlink>
      <w:r>
        <w:t>;</w:t>
      </w:r>
    </w:p>
    <w:p w:rsidR="00212513" w:rsidRDefault="00212513">
      <w:pPr>
        <w:pStyle w:val="ConsPlusNormal"/>
        <w:spacing w:before="220"/>
        <w:ind w:firstLine="540"/>
        <w:jc w:val="both"/>
      </w:pPr>
      <w:r>
        <w:t xml:space="preserve">элемента в целом в плоскости действия изгибающего момента или предполагаемого (при центральном сжатии) изгиба, параллельной плоскости планок или перфорированных листов, - по </w:t>
      </w:r>
      <w:hyperlink w:anchor="P7590">
        <w:r>
          <w:rPr>
            <w:color w:val="0000FF"/>
          </w:rPr>
          <w:t>формуле (8.35)</w:t>
        </w:r>
      </w:hyperlink>
      <w:r>
        <w:t xml:space="preserve"> с определением коэффициента продольного изгиба </w:t>
      </w:r>
      <w:r>
        <w:rPr>
          <w:noProof/>
          <w:position w:val="-3"/>
        </w:rPr>
        <w:drawing>
          <wp:inline distT="0" distB="0" distL="0" distR="0">
            <wp:extent cx="156845" cy="177800"/>
            <wp:effectExtent l="0" t="0" r="0" b="0"/>
            <wp:docPr id="1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8" cstate="print">
                      <a:extLst>
                        <a:ext uri="{28A0092B-C50C-407E-A947-70E740481C1C}">
                          <a14:useLocalDpi xmlns:a14="http://schemas.microsoft.com/office/drawing/2010/main" val="0"/>
                        </a:ext>
                      </a:extLst>
                    </a:blip>
                    <a:srcRect/>
                    <a:stretch>
                      <a:fillRect/>
                    </a:stretch>
                  </pic:blipFill>
                  <pic:spPr bwMode="auto">
                    <a:xfrm>
                      <a:off x="0" y="0"/>
                      <a:ext cx="156845" cy="177800"/>
                    </a:xfrm>
                    <a:prstGeom prst="rect">
                      <a:avLst/>
                    </a:prstGeom>
                    <a:noFill/>
                    <a:ln>
                      <a:noFill/>
                    </a:ln>
                  </pic:spPr>
                </pic:pic>
              </a:graphicData>
            </a:graphic>
          </wp:inline>
        </w:drawing>
      </w:r>
      <w:r>
        <w:t xml:space="preserve"> по </w:t>
      </w:r>
      <w:hyperlink w:anchor="P14781">
        <w:r>
          <w:rPr>
            <w:color w:val="0000FF"/>
          </w:rPr>
          <w:t>таблицам Ф.1</w:t>
        </w:r>
      </w:hyperlink>
      <w:r>
        <w:t xml:space="preserve"> - </w:t>
      </w:r>
      <w:hyperlink w:anchor="P15409">
        <w:r>
          <w:rPr>
            <w:color w:val="0000FF"/>
          </w:rPr>
          <w:t>Ф.3</w:t>
        </w:r>
      </w:hyperlink>
      <w:r>
        <w:t xml:space="preserve"> приложения Ф в зависимости от приведенной гибкости </w:t>
      </w:r>
      <w:r>
        <w:rPr>
          <w:noProof/>
          <w:position w:val="-9"/>
        </w:rPr>
        <w:drawing>
          <wp:inline distT="0" distB="0" distL="0" distR="0">
            <wp:extent cx="254000" cy="262890"/>
            <wp:effectExtent l="0" t="0" r="0" b="0"/>
            <wp:docPr id="1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9" cstate="print">
                      <a:extLst>
                        <a:ext uri="{28A0092B-C50C-407E-A947-70E740481C1C}">
                          <a14:useLocalDpi xmlns:a14="http://schemas.microsoft.com/office/drawing/2010/main" val="0"/>
                        </a:ext>
                      </a:extLst>
                    </a:blip>
                    <a:srcRect/>
                    <a:stretch>
                      <a:fillRect/>
                    </a:stretch>
                  </pic:blipFill>
                  <pic:spPr bwMode="auto">
                    <a:xfrm>
                      <a:off x="0" y="0"/>
                      <a:ext cx="254000" cy="262890"/>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отдельных ветвей - по </w:t>
      </w:r>
      <w:hyperlink w:anchor="P7590">
        <w:r>
          <w:rPr>
            <w:color w:val="0000FF"/>
          </w:rPr>
          <w:t>формуле (8.35)</w:t>
        </w:r>
      </w:hyperlink>
      <w:r>
        <w:t xml:space="preserve"> в зависимости от гибкости ветви </w:t>
      </w:r>
      <w:r>
        <w:rPr>
          <w:noProof/>
          <w:position w:val="-8"/>
        </w:rPr>
        <w:drawing>
          <wp:inline distT="0" distB="0" distL="0" distR="0">
            <wp:extent cx="209550" cy="251460"/>
            <wp:effectExtent l="0" t="0" r="0" b="0"/>
            <wp:docPr id="1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Гибкость ветви </w:t>
      </w:r>
      <w:r>
        <w:rPr>
          <w:noProof/>
          <w:position w:val="-8"/>
        </w:rPr>
        <w:drawing>
          <wp:inline distT="0" distB="0" distL="0" distR="0">
            <wp:extent cx="209550" cy="251460"/>
            <wp:effectExtent l="0" t="0" r="0" b="0"/>
            <wp:docPr id="1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следует определять по </w:t>
      </w:r>
      <w:hyperlink w:anchor="P7596">
        <w:r>
          <w:rPr>
            <w:color w:val="0000FF"/>
          </w:rPr>
          <w:t>формуле (8.36)</w:t>
        </w:r>
      </w:hyperlink>
      <w:r>
        <w:t xml:space="preserve">, принимая за расчетную длину </w:t>
      </w:r>
      <w:r>
        <w:rPr>
          <w:noProof/>
          <w:position w:val="-9"/>
        </w:rPr>
        <w:drawing>
          <wp:inline distT="0" distB="0" distL="0" distR="0">
            <wp:extent cx="177800" cy="262890"/>
            <wp:effectExtent l="0" t="0" r="0" b="0"/>
            <wp:docPr id="1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1"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расстояние между приваренными планками (в свету) или расстояние между центрами крайних болтов соседних планок, или равное 0,8 длины отверстия в перфорированном листе и за </w:t>
      </w:r>
      <w:r>
        <w:rPr>
          <w:i/>
        </w:rPr>
        <w:t>i</w:t>
      </w:r>
      <w:r>
        <w:t xml:space="preserve"> - радиус </w:t>
      </w:r>
      <w:r>
        <w:lastRenderedPageBreak/>
        <w:t>инерции сечения ветви относительно собственной оси, перпендикулярной плоскости планок или перфорированных листов.</w:t>
      </w:r>
    </w:p>
    <w:p w:rsidR="00212513" w:rsidRDefault="00212513">
      <w:pPr>
        <w:pStyle w:val="ConsPlusNormal"/>
        <w:spacing w:before="220"/>
        <w:ind w:firstLine="540"/>
        <w:jc w:val="both"/>
      </w:pPr>
      <w:r>
        <w:t xml:space="preserve">Приведенную гибкость сквозного элемента </w:t>
      </w:r>
      <w:r>
        <w:rPr>
          <w:noProof/>
          <w:position w:val="-9"/>
        </w:rPr>
        <w:drawing>
          <wp:inline distT="0" distB="0" distL="0" distR="0">
            <wp:extent cx="254000" cy="262890"/>
            <wp:effectExtent l="0" t="0" r="0" b="0"/>
            <wp:docPr id="1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9" cstate="print">
                      <a:extLst>
                        <a:ext uri="{28A0092B-C50C-407E-A947-70E740481C1C}">
                          <a14:useLocalDpi xmlns:a14="http://schemas.microsoft.com/office/drawing/2010/main" val="0"/>
                        </a:ext>
                      </a:extLst>
                    </a:blip>
                    <a:srcRect/>
                    <a:stretch>
                      <a:fillRect/>
                    </a:stretch>
                  </pic:blipFill>
                  <pic:spPr bwMode="auto">
                    <a:xfrm>
                      <a:off x="0" y="0"/>
                      <a:ext cx="254000" cy="262890"/>
                    </a:xfrm>
                    <a:prstGeom prst="rect">
                      <a:avLst/>
                    </a:prstGeom>
                    <a:noFill/>
                    <a:ln>
                      <a:noFill/>
                    </a:ln>
                  </pic:spPr>
                </pic:pic>
              </a:graphicData>
            </a:graphic>
          </wp:inline>
        </w:drawing>
      </w:r>
      <w:r>
        <w:t xml:space="preserve"> в плоскости соединительных планок и перфорированных листов следует определять по формуле</w:t>
      </w:r>
    </w:p>
    <w:p w:rsidR="00212513" w:rsidRDefault="00212513">
      <w:pPr>
        <w:pStyle w:val="ConsPlusNormal"/>
        <w:ind w:firstLine="540"/>
        <w:jc w:val="both"/>
      </w:pPr>
    </w:p>
    <w:p w:rsidR="00212513" w:rsidRDefault="00212513">
      <w:pPr>
        <w:pStyle w:val="ConsPlusNormal"/>
        <w:jc w:val="center"/>
      </w:pPr>
      <w:r>
        <w:rPr>
          <w:noProof/>
          <w:position w:val="-14"/>
        </w:rPr>
        <w:drawing>
          <wp:inline distT="0" distB="0" distL="0" distR="0">
            <wp:extent cx="1022985" cy="324485"/>
            <wp:effectExtent l="0" t="0" r="0" b="0"/>
            <wp:docPr id="1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1022985" cy="324485"/>
                    </a:xfrm>
                    <a:prstGeom prst="rect">
                      <a:avLst/>
                    </a:prstGeom>
                    <a:noFill/>
                    <a:ln>
                      <a:noFill/>
                    </a:ln>
                  </pic:spPr>
                </pic:pic>
              </a:graphicData>
            </a:graphic>
          </wp:inline>
        </w:drawing>
      </w:r>
      <w:r>
        <w:t>, (8.41)</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4"/>
        </w:rPr>
        <w:drawing>
          <wp:inline distT="0" distB="0" distL="0" distR="0">
            <wp:extent cx="156845" cy="198755"/>
            <wp:effectExtent l="0" t="0" r="0" b="0"/>
            <wp:docPr id="1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3"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 гибкость элемента в плоскости соединительных планок или перфорированных листов, определяемая по </w:t>
      </w:r>
      <w:hyperlink w:anchor="P7596">
        <w:r>
          <w:rPr>
            <w:color w:val="0000FF"/>
          </w:rPr>
          <w:t>формуле (8.36)</w:t>
        </w:r>
      </w:hyperlink>
      <w:r>
        <w:t>;</w:t>
      </w:r>
    </w:p>
    <w:p w:rsidR="00212513" w:rsidRDefault="00212513">
      <w:pPr>
        <w:pStyle w:val="ConsPlusNormal"/>
        <w:spacing w:before="220"/>
        <w:ind w:firstLine="540"/>
        <w:jc w:val="both"/>
      </w:pPr>
      <w:r>
        <w:rPr>
          <w:noProof/>
          <w:position w:val="-8"/>
        </w:rPr>
        <w:drawing>
          <wp:inline distT="0" distB="0" distL="0" distR="0">
            <wp:extent cx="209550" cy="251460"/>
            <wp:effectExtent l="0" t="0" r="0" b="0"/>
            <wp:docPr id="1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гибкость ветви.</w:t>
      </w:r>
    </w:p>
    <w:p w:rsidR="00212513" w:rsidRDefault="00212513">
      <w:pPr>
        <w:pStyle w:val="ConsPlusNormal"/>
        <w:spacing w:before="220"/>
        <w:ind w:firstLine="540"/>
        <w:jc w:val="both"/>
      </w:pPr>
      <w:r>
        <w:t xml:space="preserve">При подсчете площади сечения, момента инерции и радиуса инерции элемента следует принимать эквивалентную толщину </w:t>
      </w:r>
      <w:r>
        <w:rPr>
          <w:noProof/>
          <w:position w:val="-9"/>
        </w:rPr>
        <w:drawing>
          <wp:inline distT="0" distB="0" distL="0" distR="0">
            <wp:extent cx="198755" cy="262890"/>
            <wp:effectExtent l="0" t="0" r="0" b="0"/>
            <wp:docPr id="1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4"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определяя ее:</w:t>
      </w:r>
    </w:p>
    <w:p w:rsidR="00212513" w:rsidRDefault="00212513">
      <w:pPr>
        <w:pStyle w:val="ConsPlusNormal"/>
        <w:spacing w:before="220"/>
        <w:ind w:firstLine="540"/>
        <w:jc w:val="both"/>
      </w:pPr>
      <w:r>
        <w:t xml:space="preserve">для перфорированных листов шириной </w:t>
      </w:r>
      <w:r>
        <w:rPr>
          <w:i/>
        </w:rPr>
        <w:t>b</w:t>
      </w:r>
      <w:r>
        <w:t xml:space="preserve">, длиной </w:t>
      </w:r>
      <w:r>
        <w:rPr>
          <w:i/>
        </w:rPr>
        <w:t>l</w:t>
      </w:r>
      <w:r>
        <w:t xml:space="preserve"> и толщиной </w:t>
      </w:r>
      <w:r>
        <w:rPr>
          <w:i/>
        </w:rPr>
        <w:t>t</w:t>
      </w:r>
      <w:r>
        <w:t xml:space="preserve"> - по формуле</w:t>
      </w:r>
    </w:p>
    <w:p w:rsidR="00212513" w:rsidRDefault="00212513">
      <w:pPr>
        <w:pStyle w:val="ConsPlusNormal"/>
        <w:ind w:firstLine="540"/>
        <w:jc w:val="both"/>
      </w:pPr>
    </w:p>
    <w:p w:rsidR="00212513" w:rsidRDefault="00212513">
      <w:pPr>
        <w:pStyle w:val="ConsPlusNormal"/>
        <w:jc w:val="center"/>
      </w:pPr>
      <w:r>
        <w:rPr>
          <w:noProof/>
          <w:position w:val="-26"/>
        </w:rPr>
        <w:drawing>
          <wp:inline distT="0" distB="0" distL="0" distR="0">
            <wp:extent cx="1184275" cy="471805"/>
            <wp:effectExtent l="0" t="0" r="0" b="0"/>
            <wp:docPr id="1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5">
                      <a:extLst>
                        <a:ext uri="{28A0092B-C50C-407E-A947-70E740481C1C}">
                          <a14:useLocalDpi xmlns:a14="http://schemas.microsoft.com/office/drawing/2010/main" val="0"/>
                        </a:ext>
                      </a:extLst>
                    </a:blip>
                    <a:srcRect/>
                    <a:stretch>
                      <a:fillRect/>
                    </a:stretch>
                  </pic:blipFill>
                  <pic:spPr bwMode="auto">
                    <a:xfrm>
                      <a:off x="0" y="0"/>
                      <a:ext cx="1184275" cy="471805"/>
                    </a:xfrm>
                    <a:prstGeom prst="rect">
                      <a:avLst/>
                    </a:prstGeom>
                    <a:noFill/>
                    <a:ln>
                      <a:noFill/>
                    </a:ln>
                  </pic:spPr>
                </pic:pic>
              </a:graphicData>
            </a:graphic>
          </wp:inline>
        </w:drawing>
      </w:r>
      <w:r>
        <w:t>, (8.42)</w:t>
      </w:r>
    </w:p>
    <w:p w:rsidR="00212513" w:rsidRDefault="00212513">
      <w:pPr>
        <w:pStyle w:val="ConsPlusNormal"/>
        <w:ind w:firstLine="540"/>
        <w:jc w:val="both"/>
      </w:pPr>
    </w:p>
    <w:p w:rsidR="00212513" w:rsidRDefault="00212513">
      <w:pPr>
        <w:pStyle w:val="ConsPlusNormal"/>
        <w:ind w:firstLine="540"/>
        <w:jc w:val="both"/>
      </w:pPr>
      <w:r>
        <w:t xml:space="preserve">где </w:t>
      </w:r>
      <w:r>
        <w:rPr>
          <w:i/>
        </w:rPr>
        <w:t>A</w:t>
      </w:r>
      <w:r>
        <w:t xml:space="preserve"> = </w:t>
      </w:r>
      <w:r>
        <w:rPr>
          <w:i/>
        </w:rPr>
        <w:t>bl</w:t>
      </w:r>
      <w:r>
        <w:t xml:space="preserve"> - площадь листа до образования перфораций;</w:t>
      </w:r>
    </w:p>
    <w:p w:rsidR="00212513" w:rsidRDefault="00212513">
      <w:pPr>
        <w:pStyle w:val="ConsPlusNormal"/>
        <w:spacing w:before="220"/>
        <w:ind w:firstLine="540"/>
        <w:jc w:val="both"/>
      </w:pPr>
      <w:r>
        <w:rPr>
          <w:noProof/>
          <w:position w:val="-11"/>
        </w:rPr>
        <w:drawing>
          <wp:inline distT="0" distB="0" distL="0" distR="0">
            <wp:extent cx="408940" cy="281940"/>
            <wp:effectExtent l="0" t="0" r="0" b="0"/>
            <wp:docPr id="1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6" cstate="print">
                      <a:extLst>
                        <a:ext uri="{28A0092B-C50C-407E-A947-70E740481C1C}">
                          <a14:useLocalDpi xmlns:a14="http://schemas.microsoft.com/office/drawing/2010/main" val="0"/>
                        </a:ext>
                      </a:extLst>
                    </a:blip>
                    <a:srcRect/>
                    <a:stretch>
                      <a:fillRect/>
                    </a:stretch>
                  </pic:blipFill>
                  <pic:spPr bwMode="auto">
                    <a:xfrm>
                      <a:off x="0" y="0"/>
                      <a:ext cx="408940" cy="281940"/>
                    </a:xfrm>
                    <a:prstGeom prst="rect">
                      <a:avLst/>
                    </a:prstGeom>
                    <a:noFill/>
                    <a:ln>
                      <a:noFill/>
                    </a:ln>
                  </pic:spPr>
                </pic:pic>
              </a:graphicData>
            </a:graphic>
          </wp:inline>
        </w:drawing>
      </w:r>
      <w:r>
        <w:t xml:space="preserve"> - суммарная площадь всех перфораций на поверхности листа;</w:t>
      </w:r>
    </w:p>
    <w:p w:rsidR="00212513" w:rsidRDefault="00212513">
      <w:pPr>
        <w:pStyle w:val="ConsPlusNormal"/>
        <w:spacing w:before="220"/>
        <w:ind w:firstLine="540"/>
        <w:jc w:val="both"/>
      </w:pPr>
      <w:r>
        <w:t xml:space="preserve">для соединительных планок толщиной </w:t>
      </w:r>
      <w:r>
        <w:rPr>
          <w:i/>
        </w:rPr>
        <w:t>t</w:t>
      </w:r>
      <w:r>
        <w:t xml:space="preserve"> - по формуле</w:t>
      </w:r>
    </w:p>
    <w:p w:rsidR="00212513" w:rsidRDefault="00212513">
      <w:pPr>
        <w:pStyle w:val="ConsPlusNormal"/>
        <w:ind w:firstLine="540"/>
        <w:jc w:val="both"/>
      </w:pPr>
    </w:p>
    <w:p w:rsidR="00212513" w:rsidRDefault="00212513">
      <w:pPr>
        <w:pStyle w:val="ConsPlusNormal"/>
        <w:jc w:val="center"/>
      </w:pPr>
      <w:r>
        <w:rPr>
          <w:noProof/>
          <w:position w:val="-26"/>
        </w:rPr>
        <w:drawing>
          <wp:inline distT="0" distB="0" distL="0" distR="0">
            <wp:extent cx="762635" cy="470535"/>
            <wp:effectExtent l="0" t="0" r="0" b="0"/>
            <wp:docPr id="1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7" cstate="print">
                      <a:extLst>
                        <a:ext uri="{28A0092B-C50C-407E-A947-70E740481C1C}">
                          <a14:useLocalDpi xmlns:a14="http://schemas.microsoft.com/office/drawing/2010/main" val="0"/>
                        </a:ext>
                      </a:extLst>
                    </a:blip>
                    <a:srcRect/>
                    <a:stretch>
                      <a:fillRect/>
                    </a:stretch>
                  </pic:blipFill>
                  <pic:spPr bwMode="auto">
                    <a:xfrm>
                      <a:off x="0" y="0"/>
                      <a:ext cx="762635" cy="470535"/>
                    </a:xfrm>
                    <a:prstGeom prst="rect">
                      <a:avLst/>
                    </a:prstGeom>
                    <a:noFill/>
                    <a:ln>
                      <a:noFill/>
                    </a:ln>
                  </pic:spPr>
                </pic:pic>
              </a:graphicData>
            </a:graphic>
          </wp:inline>
        </w:drawing>
      </w:r>
      <w:r>
        <w:t>, (8.43)</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11"/>
        </w:rPr>
        <w:drawing>
          <wp:inline distT="0" distB="0" distL="0" distR="0">
            <wp:extent cx="355600" cy="281940"/>
            <wp:effectExtent l="0" t="0" r="0" b="0"/>
            <wp:docPr id="1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8" cstate="print">
                      <a:extLst>
                        <a:ext uri="{28A0092B-C50C-407E-A947-70E740481C1C}">
                          <a14:useLocalDpi xmlns:a14="http://schemas.microsoft.com/office/drawing/2010/main" val="0"/>
                        </a:ext>
                      </a:extLst>
                    </a:blip>
                    <a:srcRect/>
                    <a:stretch>
                      <a:fillRect/>
                    </a:stretch>
                  </pic:blipFill>
                  <pic:spPr bwMode="auto">
                    <a:xfrm>
                      <a:off x="0" y="0"/>
                      <a:ext cx="355600" cy="281940"/>
                    </a:xfrm>
                    <a:prstGeom prst="rect">
                      <a:avLst/>
                    </a:prstGeom>
                    <a:noFill/>
                    <a:ln>
                      <a:noFill/>
                    </a:ln>
                  </pic:spPr>
                </pic:pic>
              </a:graphicData>
            </a:graphic>
          </wp:inline>
        </w:drawing>
      </w:r>
      <w:r>
        <w:t xml:space="preserve"> - сумма длины всех планок элемента (вдоль элемента);</w:t>
      </w:r>
    </w:p>
    <w:p w:rsidR="00212513" w:rsidRDefault="00212513">
      <w:pPr>
        <w:pStyle w:val="ConsPlusNormal"/>
        <w:spacing w:before="220"/>
        <w:ind w:firstLine="540"/>
        <w:jc w:val="both"/>
      </w:pPr>
      <w:r>
        <w:rPr>
          <w:i/>
        </w:rPr>
        <w:t>l</w:t>
      </w:r>
      <w:r>
        <w:t xml:space="preserve"> - длина элемента.</w:t>
      </w:r>
    </w:p>
    <w:p w:rsidR="00212513" w:rsidRDefault="00212513">
      <w:pPr>
        <w:pStyle w:val="ConsPlusNormal"/>
        <w:spacing w:before="220"/>
        <w:ind w:firstLine="540"/>
        <w:jc w:val="both"/>
      </w:pPr>
      <w:r>
        <w:t>Сквозные элементы из деталей, соединенных вплотную или через прокладки, следует рассчитывать как сплошные, если наибольшие расстояния между болтами, приваренными планками (в свету), или между центрами крайних болтов соседних планок не превышают:</w:t>
      </w:r>
    </w:p>
    <w:p w:rsidR="00212513" w:rsidRDefault="00212513">
      <w:pPr>
        <w:pStyle w:val="ConsPlusNormal"/>
        <w:spacing w:before="220"/>
        <w:ind w:firstLine="540"/>
        <w:jc w:val="both"/>
      </w:pPr>
      <w:r>
        <w:t>для сжатых элементов - 40</w:t>
      </w:r>
      <w:r>
        <w:rPr>
          <w:i/>
        </w:rPr>
        <w:t>i</w:t>
      </w:r>
      <w:r>
        <w:t>;</w:t>
      </w:r>
    </w:p>
    <w:p w:rsidR="00212513" w:rsidRDefault="00212513">
      <w:pPr>
        <w:pStyle w:val="ConsPlusNormal"/>
        <w:spacing w:before="220"/>
        <w:ind w:firstLine="540"/>
        <w:jc w:val="both"/>
      </w:pPr>
      <w:r>
        <w:t>для растянутых элементов - 80</w:t>
      </w:r>
      <w:r>
        <w:rPr>
          <w:i/>
        </w:rPr>
        <w:t>i</w:t>
      </w:r>
      <w:r>
        <w:t>.</w:t>
      </w:r>
    </w:p>
    <w:p w:rsidR="00212513" w:rsidRDefault="00212513">
      <w:pPr>
        <w:pStyle w:val="ConsPlusNormal"/>
        <w:spacing w:before="220"/>
        <w:ind w:firstLine="540"/>
        <w:jc w:val="both"/>
      </w:pPr>
      <w:r>
        <w:t xml:space="preserve">Здесь радиус инерции </w:t>
      </w:r>
      <w:r>
        <w:rPr>
          <w:i/>
        </w:rPr>
        <w:t>i</w:t>
      </w:r>
      <w:r>
        <w:t xml:space="preserve"> уголка или швеллера следует принимать для составных тавровых или двутавровых сечений относительно оси, параллельной плоскости расположения прокладок, для крестовых сечений - минимальный. При этом в пределах длины сжатого элемента должно быть не менее двух прокладок.</w:t>
      </w:r>
    </w:p>
    <w:p w:rsidR="00212513" w:rsidRDefault="00212513">
      <w:pPr>
        <w:pStyle w:val="ConsPlusNormal"/>
        <w:spacing w:before="220"/>
        <w:ind w:firstLine="540"/>
        <w:jc w:val="both"/>
      </w:pPr>
      <w:bookmarkStart w:id="328" w:name="P7681"/>
      <w:bookmarkEnd w:id="328"/>
      <w:r>
        <w:t xml:space="preserve">8.38 Расчет при изгибно-крутильной форме потери устойчивости сплошностенчатых элементов открытого сечения с моментами инерции </w:t>
      </w:r>
      <w:r>
        <w:rPr>
          <w:noProof/>
          <w:position w:val="-9"/>
        </w:rPr>
        <w:drawing>
          <wp:inline distT="0" distB="0" distL="0" distR="0">
            <wp:extent cx="483870" cy="262890"/>
            <wp:effectExtent l="0" t="0" r="0" b="0"/>
            <wp:docPr id="1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9" cstate="print">
                      <a:extLst>
                        <a:ext uri="{28A0092B-C50C-407E-A947-70E740481C1C}">
                          <a14:useLocalDpi xmlns:a14="http://schemas.microsoft.com/office/drawing/2010/main" val="0"/>
                        </a:ext>
                      </a:extLst>
                    </a:blip>
                    <a:srcRect/>
                    <a:stretch>
                      <a:fillRect/>
                    </a:stretch>
                  </pic:blipFill>
                  <pic:spPr bwMode="auto">
                    <a:xfrm>
                      <a:off x="0" y="0"/>
                      <a:ext cx="483870" cy="262890"/>
                    </a:xfrm>
                    <a:prstGeom prst="rect">
                      <a:avLst/>
                    </a:prstGeom>
                    <a:noFill/>
                    <a:ln>
                      <a:noFill/>
                    </a:ln>
                  </pic:spPr>
                </pic:pic>
              </a:graphicData>
            </a:graphic>
          </wp:inline>
        </w:drawing>
      </w:r>
      <w:r>
        <w:t xml:space="preserve">, подверженных центральному сжатию силой </w:t>
      </w:r>
      <w:r>
        <w:rPr>
          <w:i/>
        </w:rPr>
        <w:t>N</w:t>
      </w:r>
      <w:r>
        <w:t>, следует выполнять по формуле</w:t>
      </w:r>
    </w:p>
    <w:p w:rsidR="00212513" w:rsidRDefault="00212513">
      <w:pPr>
        <w:pStyle w:val="ConsPlusNormal"/>
        <w:ind w:firstLine="540"/>
        <w:jc w:val="both"/>
      </w:pPr>
    </w:p>
    <w:p w:rsidR="00212513" w:rsidRDefault="00212513">
      <w:pPr>
        <w:pStyle w:val="ConsPlusNormal"/>
        <w:jc w:val="center"/>
      </w:pPr>
      <w:r>
        <w:rPr>
          <w:noProof/>
          <w:position w:val="-23"/>
        </w:rPr>
        <w:drawing>
          <wp:inline distT="0" distB="0" distL="0" distR="0">
            <wp:extent cx="817880" cy="441960"/>
            <wp:effectExtent l="0" t="0" r="0" b="0"/>
            <wp:docPr id="1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0" cstate="print">
                      <a:extLst>
                        <a:ext uri="{28A0092B-C50C-407E-A947-70E740481C1C}">
                          <a14:useLocalDpi xmlns:a14="http://schemas.microsoft.com/office/drawing/2010/main" val="0"/>
                        </a:ext>
                      </a:extLst>
                    </a:blip>
                    <a:srcRect/>
                    <a:stretch>
                      <a:fillRect/>
                    </a:stretch>
                  </pic:blipFill>
                  <pic:spPr bwMode="auto">
                    <a:xfrm>
                      <a:off x="0" y="0"/>
                      <a:ext cx="817880" cy="441960"/>
                    </a:xfrm>
                    <a:prstGeom prst="rect">
                      <a:avLst/>
                    </a:prstGeom>
                    <a:noFill/>
                    <a:ln>
                      <a:noFill/>
                    </a:ln>
                  </pic:spPr>
                </pic:pic>
              </a:graphicData>
            </a:graphic>
          </wp:inline>
        </w:drawing>
      </w:r>
      <w:r>
        <w:t>, (8.44)</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8"/>
        </w:rPr>
        <w:drawing>
          <wp:inline distT="0" distB="0" distL="0" distR="0">
            <wp:extent cx="198755" cy="250825"/>
            <wp:effectExtent l="0" t="0" r="0" b="0"/>
            <wp:docPr id="1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1"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коэффициент продольного изгиба, определяемый по </w:t>
      </w:r>
      <w:hyperlink w:anchor="P14781">
        <w:r>
          <w:rPr>
            <w:color w:val="0000FF"/>
          </w:rPr>
          <w:t>таблицам Ф.1</w:t>
        </w:r>
      </w:hyperlink>
      <w:r>
        <w:t xml:space="preserve"> - </w:t>
      </w:r>
      <w:hyperlink w:anchor="P15409">
        <w:r>
          <w:rPr>
            <w:color w:val="0000FF"/>
          </w:rPr>
          <w:t>Ф.3</w:t>
        </w:r>
      </w:hyperlink>
      <w:r>
        <w:t xml:space="preserve"> приложения Ф при </w:t>
      </w:r>
      <w:r>
        <w:rPr>
          <w:noProof/>
          <w:position w:val="-9"/>
        </w:rPr>
        <w:drawing>
          <wp:inline distT="0" distB="0" distL="0" distR="0">
            <wp:extent cx="470535" cy="262890"/>
            <wp:effectExtent l="0" t="0" r="0" b="0"/>
            <wp:docPr id="1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2" cstate="print">
                      <a:extLst>
                        <a:ext uri="{28A0092B-C50C-407E-A947-70E740481C1C}">
                          <a14:useLocalDpi xmlns:a14="http://schemas.microsoft.com/office/drawing/2010/main" val="0"/>
                        </a:ext>
                      </a:extLst>
                    </a:blip>
                    <a:srcRect/>
                    <a:stretch>
                      <a:fillRect/>
                    </a:stretch>
                  </pic:blipFill>
                  <pic:spPr bwMode="auto">
                    <a:xfrm>
                      <a:off x="0" y="0"/>
                      <a:ext cx="470535" cy="262890"/>
                    </a:xfrm>
                    <a:prstGeom prst="rect">
                      <a:avLst/>
                    </a:prstGeom>
                    <a:noFill/>
                    <a:ln>
                      <a:noFill/>
                    </a:ln>
                  </pic:spPr>
                </pic:pic>
              </a:graphicData>
            </a:graphic>
          </wp:inline>
        </w:drawing>
      </w:r>
      <w:r>
        <w:t xml:space="preserve"> и</w:t>
      </w:r>
    </w:p>
    <w:p w:rsidR="00212513" w:rsidRDefault="00212513">
      <w:pPr>
        <w:pStyle w:val="ConsPlusNormal"/>
        <w:ind w:firstLine="540"/>
        <w:jc w:val="both"/>
      </w:pPr>
    </w:p>
    <w:p w:rsidR="00212513" w:rsidRDefault="00212513">
      <w:pPr>
        <w:pStyle w:val="ConsPlusNormal"/>
        <w:jc w:val="center"/>
      </w:pPr>
      <w:r>
        <w:rPr>
          <w:noProof/>
          <w:position w:val="-31"/>
        </w:rPr>
        <w:drawing>
          <wp:inline distT="0" distB="0" distL="0" distR="0">
            <wp:extent cx="880110" cy="535940"/>
            <wp:effectExtent l="0" t="0" r="0" b="0"/>
            <wp:docPr id="1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3" cstate="print">
                      <a:extLst>
                        <a:ext uri="{28A0092B-C50C-407E-A947-70E740481C1C}">
                          <a14:useLocalDpi xmlns:a14="http://schemas.microsoft.com/office/drawing/2010/main" val="0"/>
                        </a:ext>
                      </a:extLst>
                    </a:blip>
                    <a:srcRect/>
                    <a:stretch>
                      <a:fillRect/>
                    </a:stretch>
                  </pic:blipFill>
                  <pic:spPr bwMode="auto">
                    <a:xfrm>
                      <a:off x="0" y="0"/>
                      <a:ext cx="880110" cy="535940"/>
                    </a:xfrm>
                    <a:prstGeom prst="rect">
                      <a:avLst/>
                    </a:prstGeom>
                    <a:noFill/>
                    <a:ln>
                      <a:noFill/>
                    </a:ln>
                  </pic:spPr>
                </pic:pic>
              </a:graphicData>
            </a:graphic>
          </wp:inline>
        </w:drawing>
      </w:r>
      <w:r>
        <w:t>. (8.45)</w:t>
      </w:r>
    </w:p>
    <w:p w:rsidR="00212513" w:rsidRDefault="00212513">
      <w:pPr>
        <w:pStyle w:val="ConsPlusNormal"/>
        <w:ind w:firstLine="540"/>
        <w:jc w:val="both"/>
      </w:pPr>
    </w:p>
    <w:p w:rsidR="00212513" w:rsidRDefault="00212513">
      <w:pPr>
        <w:pStyle w:val="ConsPlusNormal"/>
        <w:ind w:firstLine="540"/>
        <w:jc w:val="both"/>
      </w:pPr>
      <w:r>
        <w:t xml:space="preserve">8.39 Расчет на изгибно-крутильную устойчивость сплошностенчатых элементов замкнутого и открытого сечений с моментами инерции </w:t>
      </w:r>
      <w:r>
        <w:rPr>
          <w:noProof/>
          <w:position w:val="-9"/>
        </w:rPr>
        <w:drawing>
          <wp:inline distT="0" distB="0" distL="0" distR="0">
            <wp:extent cx="483870" cy="262890"/>
            <wp:effectExtent l="0" t="0" r="0" b="0"/>
            <wp:docPr id="1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9" cstate="print">
                      <a:extLst>
                        <a:ext uri="{28A0092B-C50C-407E-A947-70E740481C1C}">
                          <a14:useLocalDpi xmlns:a14="http://schemas.microsoft.com/office/drawing/2010/main" val="0"/>
                        </a:ext>
                      </a:extLst>
                    </a:blip>
                    <a:srcRect/>
                    <a:stretch>
                      <a:fillRect/>
                    </a:stretch>
                  </pic:blipFill>
                  <pic:spPr bwMode="auto">
                    <a:xfrm>
                      <a:off x="0" y="0"/>
                      <a:ext cx="483870" cy="262890"/>
                    </a:xfrm>
                    <a:prstGeom prst="rect">
                      <a:avLst/>
                    </a:prstGeom>
                    <a:noFill/>
                    <a:ln>
                      <a:noFill/>
                    </a:ln>
                  </pic:spPr>
                </pic:pic>
              </a:graphicData>
            </a:graphic>
          </wp:inline>
        </w:drawing>
      </w:r>
      <w:r>
        <w:t xml:space="preserve">, подверженных сжатию с изгибом и внецентренному сжатию в плоскости наименьшей гибкости, совпадающей с плоскостью симметрии и осью </w:t>
      </w:r>
      <w:r>
        <w:rPr>
          <w:i/>
        </w:rPr>
        <w:t>y</w:t>
      </w:r>
      <w:r>
        <w:t>, следует выполнять по формуле</w:t>
      </w:r>
    </w:p>
    <w:p w:rsidR="00212513" w:rsidRDefault="00212513">
      <w:pPr>
        <w:pStyle w:val="ConsPlusNormal"/>
        <w:ind w:firstLine="540"/>
        <w:jc w:val="both"/>
      </w:pPr>
    </w:p>
    <w:p w:rsidR="00212513" w:rsidRDefault="00212513">
      <w:pPr>
        <w:pStyle w:val="ConsPlusNormal"/>
        <w:jc w:val="center"/>
      </w:pPr>
      <w:r>
        <w:rPr>
          <w:noProof/>
          <w:position w:val="-31"/>
        </w:rPr>
        <w:drawing>
          <wp:inline distT="0" distB="0" distL="0" distR="0">
            <wp:extent cx="1298575" cy="535940"/>
            <wp:effectExtent l="0" t="0" r="0" b="0"/>
            <wp:docPr id="1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4" cstate="print">
                      <a:extLst>
                        <a:ext uri="{28A0092B-C50C-407E-A947-70E740481C1C}">
                          <a14:useLocalDpi xmlns:a14="http://schemas.microsoft.com/office/drawing/2010/main" val="0"/>
                        </a:ext>
                      </a:extLst>
                    </a:blip>
                    <a:srcRect/>
                    <a:stretch>
                      <a:fillRect/>
                    </a:stretch>
                  </pic:blipFill>
                  <pic:spPr bwMode="auto">
                    <a:xfrm>
                      <a:off x="0" y="0"/>
                      <a:ext cx="1298575" cy="535940"/>
                    </a:xfrm>
                    <a:prstGeom prst="rect">
                      <a:avLst/>
                    </a:prstGeom>
                    <a:noFill/>
                    <a:ln>
                      <a:noFill/>
                    </a:ln>
                  </pic:spPr>
                </pic:pic>
              </a:graphicData>
            </a:graphic>
          </wp:inline>
        </w:drawing>
      </w:r>
      <w:r>
        <w:t>, (8.46)</w:t>
      </w:r>
    </w:p>
    <w:p w:rsidR="00212513" w:rsidRDefault="00212513">
      <w:pPr>
        <w:pStyle w:val="ConsPlusNormal"/>
        <w:ind w:firstLine="540"/>
        <w:jc w:val="both"/>
      </w:pPr>
    </w:p>
    <w:p w:rsidR="00212513" w:rsidRDefault="00212513">
      <w:pPr>
        <w:pStyle w:val="ConsPlusNormal"/>
        <w:ind w:firstLine="540"/>
        <w:jc w:val="both"/>
      </w:pPr>
      <w:r>
        <w:t xml:space="preserve">где </w:t>
      </w:r>
      <w:r>
        <w:rPr>
          <w:i/>
        </w:rPr>
        <w:t>e</w:t>
      </w:r>
      <w:r>
        <w:t xml:space="preserve"> - действительный эксцентриситет силы </w:t>
      </w:r>
      <w:r>
        <w:rPr>
          <w:i/>
        </w:rPr>
        <w:t>N</w:t>
      </w:r>
      <w:r>
        <w:t xml:space="preserve"> при внецентренном сжатии и расчетный эксцентриситет </w:t>
      </w:r>
      <w:r>
        <w:rPr>
          <w:i/>
        </w:rPr>
        <w:t>e</w:t>
      </w:r>
      <w:r>
        <w:t xml:space="preserve"> = </w:t>
      </w:r>
      <w:r>
        <w:rPr>
          <w:i/>
        </w:rPr>
        <w:t>M</w:t>
      </w:r>
      <w:r>
        <w:t>/</w:t>
      </w:r>
      <w:r>
        <w:rPr>
          <w:i/>
        </w:rPr>
        <w:t>N</w:t>
      </w:r>
      <w:r>
        <w:t xml:space="preserve"> при сжатии с изгибом;</w:t>
      </w:r>
    </w:p>
    <w:p w:rsidR="00212513" w:rsidRDefault="00212513">
      <w:pPr>
        <w:pStyle w:val="ConsPlusNormal"/>
        <w:spacing w:before="220"/>
        <w:ind w:firstLine="540"/>
        <w:jc w:val="both"/>
      </w:pPr>
      <w:r>
        <w:rPr>
          <w:noProof/>
          <w:position w:val="-8"/>
        </w:rPr>
        <w:drawing>
          <wp:inline distT="0" distB="0" distL="0" distR="0">
            <wp:extent cx="220980" cy="251460"/>
            <wp:effectExtent l="0" t="0" r="0" b="0"/>
            <wp:docPr id="1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5"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момент сопротивления сечения брутто, вычисляемый для наиболее сжатого волокна;</w:t>
      </w:r>
    </w:p>
    <w:p w:rsidR="00212513" w:rsidRDefault="00212513">
      <w:pPr>
        <w:pStyle w:val="ConsPlusNormal"/>
        <w:spacing w:before="220"/>
        <w:ind w:firstLine="540"/>
        <w:jc w:val="both"/>
      </w:pPr>
      <w:r>
        <w:rPr>
          <w:noProof/>
          <w:position w:val="-8"/>
        </w:rPr>
        <w:drawing>
          <wp:inline distT="0" distB="0" distL="0" distR="0">
            <wp:extent cx="198755" cy="250825"/>
            <wp:effectExtent l="0" t="0" r="0" b="0"/>
            <wp:docPr id="1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коэффициент продольного изгиба, определяемый по </w:t>
      </w:r>
      <w:hyperlink w:anchor="P14781">
        <w:r>
          <w:rPr>
            <w:color w:val="0000FF"/>
          </w:rPr>
          <w:t>таблицам Ф.1</w:t>
        </w:r>
      </w:hyperlink>
      <w:r>
        <w:t xml:space="preserve"> - </w:t>
      </w:r>
      <w:hyperlink w:anchor="P15409">
        <w:r>
          <w:rPr>
            <w:color w:val="0000FF"/>
          </w:rPr>
          <w:t>Ф.3</w:t>
        </w:r>
      </w:hyperlink>
      <w:r>
        <w:t xml:space="preserve"> приложения Ф при </w:t>
      </w:r>
      <w:r>
        <w:rPr>
          <w:noProof/>
          <w:position w:val="-9"/>
        </w:rPr>
        <w:drawing>
          <wp:inline distT="0" distB="0" distL="0" distR="0">
            <wp:extent cx="470535" cy="262890"/>
            <wp:effectExtent l="0" t="0" r="0" b="0"/>
            <wp:docPr id="1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2" cstate="print">
                      <a:extLst>
                        <a:ext uri="{28A0092B-C50C-407E-A947-70E740481C1C}">
                          <a14:useLocalDpi xmlns:a14="http://schemas.microsoft.com/office/drawing/2010/main" val="0"/>
                        </a:ext>
                      </a:extLst>
                    </a:blip>
                    <a:srcRect/>
                    <a:stretch>
                      <a:fillRect/>
                    </a:stretch>
                  </pic:blipFill>
                  <pic:spPr bwMode="auto">
                    <a:xfrm>
                      <a:off x="0" y="0"/>
                      <a:ext cx="470535" cy="262890"/>
                    </a:xfrm>
                    <a:prstGeom prst="rect">
                      <a:avLst/>
                    </a:prstGeom>
                    <a:noFill/>
                    <a:ln>
                      <a:noFill/>
                    </a:ln>
                  </pic:spPr>
                </pic:pic>
              </a:graphicData>
            </a:graphic>
          </wp:inline>
        </w:drawing>
      </w:r>
      <w:r>
        <w:t xml:space="preserve"> и</w:t>
      </w:r>
    </w:p>
    <w:p w:rsidR="00212513" w:rsidRDefault="00212513">
      <w:pPr>
        <w:pStyle w:val="ConsPlusNormal"/>
        <w:ind w:firstLine="540"/>
        <w:jc w:val="both"/>
      </w:pPr>
    </w:p>
    <w:p w:rsidR="00212513" w:rsidRDefault="00212513">
      <w:pPr>
        <w:pStyle w:val="ConsPlusNormal"/>
        <w:jc w:val="center"/>
      </w:pPr>
      <w:r>
        <w:rPr>
          <w:noProof/>
          <w:position w:val="-53"/>
        </w:rPr>
        <w:drawing>
          <wp:inline distT="0" distB="0" distL="0" distR="0">
            <wp:extent cx="1522730" cy="818515"/>
            <wp:effectExtent l="0" t="0" r="0" b="0"/>
            <wp:docPr id="1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7" cstate="print">
                      <a:extLst>
                        <a:ext uri="{28A0092B-C50C-407E-A947-70E740481C1C}">
                          <a14:useLocalDpi xmlns:a14="http://schemas.microsoft.com/office/drawing/2010/main" val="0"/>
                        </a:ext>
                      </a:extLst>
                    </a:blip>
                    <a:srcRect/>
                    <a:stretch>
                      <a:fillRect/>
                    </a:stretch>
                  </pic:blipFill>
                  <pic:spPr bwMode="auto">
                    <a:xfrm>
                      <a:off x="0" y="0"/>
                      <a:ext cx="1522730" cy="818515"/>
                    </a:xfrm>
                    <a:prstGeom prst="rect">
                      <a:avLst/>
                    </a:prstGeom>
                    <a:noFill/>
                    <a:ln>
                      <a:noFill/>
                    </a:ln>
                  </pic:spPr>
                </pic:pic>
              </a:graphicData>
            </a:graphic>
          </wp:inline>
        </w:drawing>
      </w:r>
      <w:r>
        <w:t>. (8.47)</w:t>
      </w:r>
    </w:p>
    <w:p w:rsidR="00212513" w:rsidRDefault="00212513">
      <w:pPr>
        <w:pStyle w:val="ConsPlusNormal"/>
        <w:ind w:firstLine="540"/>
        <w:jc w:val="both"/>
      </w:pPr>
    </w:p>
    <w:p w:rsidR="00212513" w:rsidRDefault="00212513">
      <w:pPr>
        <w:pStyle w:val="ConsPlusNormal"/>
        <w:ind w:firstLine="540"/>
        <w:jc w:val="both"/>
      </w:pPr>
      <w:r>
        <w:t>8.40 Расчет при изгибно-крутильной форме потери устойчивости сплошностенчатых элементов замкнутого и открытого сечений, подверженных сжатию с изгибом и внецентренному сжатию в двух плоскостях, следует выполнять по формуле</w:t>
      </w:r>
    </w:p>
    <w:p w:rsidR="00212513" w:rsidRDefault="00212513">
      <w:pPr>
        <w:pStyle w:val="ConsPlusNormal"/>
        <w:ind w:firstLine="540"/>
        <w:jc w:val="both"/>
      </w:pPr>
    </w:p>
    <w:p w:rsidR="00212513" w:rsidRDefault="00212513">
      <w:pPr>
        <w:pStyle w:val="ConsPlusNormal"/>
        <w:jc w:val="center"/>
      </w:pPr>
      <w:r>
        <w:rPr>
          <w:noProof/>
          <w:position w:val="-32"/>
        </w:rPr>
        <w:drawing>
          <wp:inline distT="0" distB="0" distL="0" distR="0">
            <wp:extent cx="2193290" cy="553085"/>
            <wp:effectExtent l="0" t="0" r="0" b="0"/>
            <wp:docPr id="1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8" cstate="print">
                      <a:extLst>
                        <a:ext uri="{28A0092B-C50C-407E-A947-70E740481C1C}">
                          <a14:useLocalDpi xmlns:a14="http://schemas.microsoft.com/office/drawing/2010/main" val="0"/>
                        </a:ext>
                      </a:extLst>
                    </a:blip>
                    <a:srcRect/>
                    <a:stretch>
                      <a:fillRect/>
                    </a:stretch>
                  </pic:blipFill>
                  <pic:spPr bwMode="auto">
                    <a:xfrm>
                      <a:off x="0" y="0"/>
                      <a:ext cx="2193290" cy="553085"/>
                    </a:xfrm>
                    <a:prstGeom prst="rect">
                      <a:avLst/>
                    </a:prstGeom>
                    <a:noFill/>
                    <a:ln>
                      <a:noFill/>
                    </a:ln>
                  </pic:spPr>
                </pic:pic>
              </a:graphicData>
            </a:graphic>
          </wp:inline>
        </w:drawing>
      </w:r>
      <w:r>
        <w:t>, (8.48)</w:t>
      </w:r>
    </w:p>
    <w:p w:rsidR="00212513" w:rsidRDefault="00212513">
      <w:pPr>
        <w:pStyle w:val="ConsPlusNormal"/>
        <w:jc w:val="center"/>
      </w:pPr>
    </w:p>
    <w:p w:rsidR="00212513" w:rsidRDefault="00212513">
      <w:pPr>
        <w:pStyle w:val="ConsPlusNormal"/>
        <w:ind w:firstLine="540"/>
        <w:jc w:val="both"/>
      </w:pPr>
      <w:r>
        <w:t xml:space="preserve">где </w:t>
      </w:r>
      <w:r>
        <w:rPr>
          <w:noProof/>
          <w:position w:val="-9"/>
        </w:rPr>
        <w:drawing>
          <wp:inline distT="0" distB="0" distL="0" distR="0">
            <wp:extent cx="177800" cy="262890"/>
            <wp:effectExtent l="0" t="0" r="0" b="0"/>
            <wp:docPr id="1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9"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w:t>
      </w:r>
      <w:r>
        <w:rPr>
          <w:noProof/>
          <w:position w:val="-8"/>
        </w:rPr>
        <w:drawing>
          <wp:inline distT="0" distB="0" distL="0" distR="0">
            <wp:extent cx="167640" cy="251460"/>
            <wp:effectExtent l="0" t="0" r="0" b="0"/>
            <wp:docPr id="1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0"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действительные эксцентриситеты по направлению осей </w:t>
      </w:r>
      <w:r>
        <w:rPr>
          <w:i/>
        </w:rPr>
        <w:t>y</w:t>
      </w:r>
      <w:r>
        <w:t xml:space="preserve"> и </w:t>
      </w:r>
      <w:r>
        <w:rPr>
          <w:i/>
        </w:rPr>
        <w:t>x</w:t>
      </w:r>
      <w:r>
        <w:t xml:space="preserve"> при внецентренном сжатии и расчетные эксцентриситеты при сжатии с изгибом;</w:t>
      </w:r>
    </w:p>
    <w:p w:rsidR="00212513" w:rsidRDefault="00212513">
      <w:pPr>
        <w:pStyle w:val="ConsPlusNormal"/>
        <w:spacing w:before="220"/>
        <w:ind w:firstLine="540"/>
        <w:jc w:val="both"/>
      </w:pPr>
      <w:r>
        <w:rPr>
          <w:noProof/>
          <w:position w:val="-8"/>
        </w:rPr>
        <w:drawing>
          <wp:inline distT="0" distB="0" distL="0" distR="0">
            <wp:extent cx="198755" cy="250825"/>
            <wp:effectExtent l="0" t="0" r="0" b="0"/>
            <wp:docPr id="1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1"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8"/>
        </w:rPr>
        <w:drawing>
          <wp:inline distT="0" distB="0" distL="0" distR="0">
            <wp:extent cx="177800" cy="251460"/>
            <wp:effectExtent l="0" t="0" r="0" b="0"/>
            <wp:docPr id="1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2"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координаты наиболее сжатой точки сечения от совместного действия </w:t>
      </w:r>
      <w:r>
        <w:rPr>
          <w:noProof/>
          <w:position w:val="-8"/>
        </w:rPr>
        <w:drawing>
          <wp:inline distT="0" distB="0" distL="0" distR="0">
            <wp:extent cx="262890" cy="251460"/>
            <wp:effectExtent l="0" t="0" r="0" b="0"/>
            <wp:docPr id="1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3"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w:t>
      </w:r>
      <w:r>
        <w:rPr>
          <w:noProof/>
          <w:position w:val="-9"/>
        </w:rPr>
        <w:drawing>
          <wp:inline distT="0" distB="0" distL="0" distR="0">
            <wp:extent cx="262890" cy="262890"/>
            <wp:effectExtent l="0" t="0" r="0" b="0"/>
            <wp:docPr id="1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4"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и N;</w:t>
      </w:r>
    </w:p>
    <w:p w:rsidR="00212513" w:rsidRDefault="00212513">
      <w:pPr>
        <w:pStyle w:val="ConsPlusNormal"/>
        <w:spacing w:before="220"/>
        <w:ind w:firstLine="540"/>
        <w:jc w:val="both"/>
      </w:pPr>
      <w:r>
        <w:rPr>
          <w:noProof/>
          <w:position w:val="-8"/>
        </w:rPr>
        <w:drawing>
          <wp:inline distT="0" distB="0" distL="0" distR="0">
            <wp:extent cx="198755" cy="250825"/>
            <wp:effectExtent l="0" t="0" r="0" b="0"/>
            <wp:docPr id="1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5"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коэффициент продольного изгиба, определяемый по </w:t>
      </w:r>
      <w:hyperlink w:anchor="P14781">
        <w:r>
          <w:rPr>
            <w:color w:val="0000FF"/>
          </w:rPr>
          <w:t>таблицам Ф.1</w:t>
        </w:r>
      </w:hyperlink>
      <w:r>
        <w:t xml:space="preserve"> - </w:t>
      </w:r>
      <w:hyperlink w:anchor="P15409">
        <w:r>
          <w:rPr>
            <w:color w:val="0000FF"/>
          </w:rPr>
          <w:t>Ф.3</w:t>
        </w:r>
      </w:hyperlink>
      <w:r>
        <w:t xml:space="preserve"> приложения Ф </w:t>
      </w:r>
      <w:r>
        <w:lastRenderedPageBreak/>
        <w:t xml:space="preserve">при </w:t>
      </w:r>
      <w:r>
        <w:rPr>
          <w:noProof/>
          <w:position w:val="-9"/>
        </w:rPr>
        <w:drawing>
          <wp:inline distT="0" distB="0" distL="0" distR="0">
            <wp:extent cx="470535" cy="262890"/>
            <wp:effectExtent l="0" t="0" r="0" b="0"/>
            <wp:docPr id="1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2" cstate="print">
                      <a:extLst>
                        <a:ext uri="{28A0092B-C50C-407E-A947-70E740481C1C}">
                          <a14:useLocalDpi xmlns:a14="http://schemas.microsoft.com/office/drawing/2010/main" val="0"/>
                        </a:ext>
                      </a:extLst>
                    </a:blip>
                    <a:srcRect/>
                    <a:stretch>
                      <a:fillRect/>
                    </a:stretch>
                  </pic:blipFill>
                  <pic:spPr bwMode="auto">
                    <a:xfrm>
                      <a:off x="0" y="0"/>
                      <a:ext cx="470535" cy="262890"/>
                    </a:xfrm>
                    <a:prstGeom prst="rect">
                      <a:avLst/>
                    </a:prstGeom>
                    <a:noFill/>
                    <a:ln>
                      <a:noFill/>
                    </a:ln>
                  </pic:spPr>
                </pic:pic>
              </a:graphicData>
            </a:graphic>
          </wp:inline>
        </w:drawing>
      </w:r>
      <w:r>
        <w:t xml:space="preserve"> и</w:t>
      </w:r>
    </w:p>
    <w:p w:rsidR="00212513" w:rsidRDefault="00212513">
      <w:pPr>
        <w:pStyle w:val="ConsPlusNormal"/>
        <w:ind w:firstLine="540"/>
        <w:jc w:val="both"/>
      </w:pPr>
    </w:p>
    <w:p w:rsidR="00212513" w:rsidRDefault="00212513">
      <w:pPr>
        <w:pStyle w:val="ConsPlusNormal"/>
        <w:jc w:val="center"/>
      </w:pPr>
      <w:r>
        <w:rPr>
          <w:noProof/>
          <w:position w:val="-56"/>
        </w:rPr>
        <w:drawing>
          <wp:inline distT="0" distB="0" distL="0" distR="0">
            <wp:extent cx="2332990" cy="860425"/>
            <wp:effectExtent l="0" t="0" r="0" b="0"/>
            <wp:docPr id="1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6" cstate="print">
                      <a:extLst>
                        <a:ext uri="{28A0092B-C50C-407E-A947-70E740481C1C}">
                          <a14:useLocalDpi xmlns:a14="http://schemas.microsoft.com/office/drawing/2010/main" val="0"/>
                        </a:ext>
                      </a:extLst>
                    </a:blip>
                    <a:srcRect/>
                    <a:stretch>
                      <a:fillRect/>
                    </a:stretch>
                  </pic:blipFill>
                  <pic:spPr bwMode="auto">
                    <a:xfrm>
                      <a:off x="0" y="0"/>
                      <a:ext cx="2332990" cy="860425"/>
                    </a:xfrm>
                    <a:prstGeom prst="rect">
                      <a:avLst/>
                    </a:prstGeom>
                    <a:noFill/>
                    <a:ln>
                      <a:noFill/>
                    </a:ln>
                  </pic:spPr>
                </pic:pic>
              </a:graphicData>
            </a:graphic>
          </wp:inline>
        </w:drawing>
      </w:r>
      <w:r>
        <w:t>. (8.49)</w:t>
      </w:r>
    </w:p>
    <w:p w:rsidR="00212513" w:rsidRDefault="00212513">
      <w:pPr>
        <w:pStyle w:val="ConsPlusNormal"/>
        <w:ind w:firstLine="540"/>
        <w:jc w:val="both"/>
      </w:pPr>
    </w:p>
    <w:p w:rsidR="00212513" w:rsidRDefault="00212513">
      <w:pPr>
        <w:pStyle w:val="ConsPlusNormal"/>
        <w:ind w:firstLine="540"/>
        <w:jc w:val="both"/>
      </w:pPr>
      <w:r>
        <w:t xml:space="preserve">Кроме того, должен быть выполнен расчет по </w:t>
      </w:r>
      <w:hyperlink w:anchor="P7590">
        <w:r>
          <w:rPr>
            <w:color w:val="0000FF"/>
          </w:rPr>
          <w:t>формуле (8.35)</w:t>
        </w:r>
      </w:hyperlink>
      <w:r>
        <w:t xml:space="preserve"> в предположении плоской формы потери устойчивости в плоскости оси </w:t>
      </w:r>
      <w:r>
        <w:rPr>
          <w:i/>
        </w:rPr>
        <w:t>y</w:t>
      </w:r>
      <w:r>
        <w:t xml:space="preserve"> с эксцентриситетом </w:t>
      </w:r>
      <w:r>
        <w:rPr>
          <w:noProof/>
          <w:position w:val="-9"/>
        </w:rPr>
        <w:drawing>
          <wp:inline distT="0" distB="0" distL="0" distR="0">
            <wp:extent cx="177800" cy="262890"/>
            <wp:effectExtent l="0" t="0" r="0" b="0"/>
            <wp:docPr id="1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7"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(при </w:t>
      </w:r>
      <w:r>
        <w:rPr>
          <w:noProof/>
          <w:position w:val="-8"/>
        </w:rPr>
        <w:drawing>
          <wp:inline distT="0" distB="0" distL="0" distR="0">
            <wp:extent cx="441960" cy="251460"/>
            <wp:effectExtent l="0" t="0" r="0" b="0"/>
            <wp:docPr id="1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8" cstate="print">
                      <a:extLst>
                        <a:ext uri="{28A0092B-C50C-407E-A947-70E740481C1C}">
                          <a14:useLocalDpi xmlns:a14="http://schemas.microsoft.com/office/drawing/2010/main" val="0"/>
                        </a:ext>
                      </a:extLst>
                    </a:blip>
                    <a:srcRect/>
                    <a:stretch>
                      <a:fillRect/>
                    </a:stretch>
                  </pic:blipFill>
                  <pic:spPr bwMode="auto">
                    <a:xfrm>
                      <a:off x="0" y="0"/>
                      <a:ext cx="441960" cy="251460"/>
                    </a:xfrm>
                    <a:prstGeom prst="rect">
                      <a:avLst/>
                    </a:prstGeom>
                    <a:noFill/>
                    <a:ln>
                      <a:noFill/>
                    </a:ln>
                  </pic:spPr>
                </pic:pic>
              </a:graphicData>
            </a:graphic>
          </wp:inline>
        </w:drawing>
      </w:r>
      <w:r>
        <w:t xml:space="preserve">) и в плоскости оси </w:t>
      </w:r>
      <w:r>
        <w:rPr>
          <w:i/>
        </w:rPr>
        <w:t>x</w:t>
      </w:r>
      <w:r>
        <w:t xml:space="preserve"> с эксцентриситетом </w:t>
      </w:r>
      <w:r>
        <w:rPr>
          <w:noProof/>
          <w:position w:val="-8"/>
        </w:rPr>
        <w:drawing>
          <wp:inline distT="0" distB="0" distL="0" distR="0">
            <wp:extent cx="167640" cy="251460"/>
            <wp:effectExtent l="0" t="0" r="0" b="0"/>
            <wp:docPr id="1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9"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(при </w:t>
      </w:r>
      <w:r>
        <w:rPr>
          <w:noProof/>
          <w:position w:val="-9"/>
        </w:rPr>
        <w:drawing>
          <wp:inline distT="0" distB="0" distL="0" distR="0">
            <wp:extent cx="459740" cy="262890"/>
            <wp:effectExtent l="0" t="0" r="0" b="0"/>
            <wp:docPr id="1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0" cstate="print">
                      <a:extLst>
                        <a:ext uri="{28A0092B-C50C-407E-A947-70E740481C1C}">
                          <a14:useLocalDpi xmlns:a14="http://schemas.microsoft.com/office/drawing/2010/main" val="0"/>
                        </a:ext>
                      </a:extLst>
                    </a:blip>
                    <a:srcRect/>
                    <a:stretch>
                      <a:fillRect/>
                    </a:stretch>
                  </pic:blipFill>
                  <pic:spPr bwMode="auto">
                    <a:xfrm>
                      <a:off x="0" y="0"/>
                      <a:ext cx="459740" cy="262890"/>
                    </a:xfrm>
                    <a:prstGeom prst="rect">
                      <a:avLst/>
                    </a:prstGeom>
                    <a:noFill/>
                    <a:ln>
                      <a:noFill/>
                    </a:ln>
                  </pic:spPr>
                </pic:pic>
              </a:graphicData>
            </a:graphic>
          </wp:inline>
        </w:drawing>
      </w:r>
      <w:r>
        <w:t>).</w:t>
      </w:r>
    </w:p>
    <w:p w:rsidR="00212513" w:rsidRDefault="00212513">
      <w:pPr>
        <w:pStyle w:val="ConsPlusNormal"/>
        <w:spacing w:before="220"/>
        <w:ind w:firstLine="540"/>
        <w:jc w:val="both"/>
      </w:pPr>
      <w:bookmarkStart w:id="329" w:name="P7710"/>
      <w:bookmarkEnd w:id="329"/>
      <w:r>
        <w:t>8.41 Расчет при изгибно-крутильной форме потери устойчивости сплошностенчатых балок, изгибаемых в одной плоскости, следует выполнять по формуле</w:t>
      </w:r>
    </w:p>
    <w:p w:rsidR="00212513" w:rsidRDefault="00212513">
      <w:pPr>
        <w:pStyle w:val="ConsPlusNormal"/>
        <w:ind w:firstLine="540"/>
        <w:jc w:val="both"/>
      </w:pPr>
    </w:p>
    <w:p w:rsidR="00212513" w:rsidRDefault="00212513">
      <w:pPr>
        <w:pStyle w:val="ConsPlusNormal"/>
        <w:jc w:val="center"/>
      </w:pPr>
      <w:bookmarkStart w:id="330" w:name="P7712"/>
      <w:bookmarkEnd w:id="330"/>
      <w:r>
        <w:rPr>
          <w:noProof/>
          <w:position w:val="-26"/>
        </w:rPr>
        <w:drawing>
          <wp:inline distT="0" distB="0" distL="0" distR="0">
            <wp:extent cx="945515" cy="470535"/>
            <wp:effectExtent l="0" t="0" r="0" b="0"/>
            <wp:docPr id="1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1" cstate="print">
                      <a:extLst>
                        <a:ext uri="{28A0092B-C50C-407E-A947-70E740481C1C}">
                          <a14:useLocalDpi xmlns:a14="http://schemas.microsoft.com/office/drawing/2010/main" val="0"/>
                        </a:ext>
                      </a:extLst>
                    </a:blip>
                    <a:srcRect/>
                    <a:stretch>
                      <a:fillRect/>
                    </a:stretch>
                  </pic:blipFill>
                  <pic:spPr bwMode="auto">
                    <a:xfrm>
                      <a:off x="0" y="0"/>
                      <a:ext cx="945515" cy="470535"/>
                    </a:xfrm>
                    <a:prstGeom prst="rect">
                      <a:avLst/>
                    </a:prstGeom>
                    <a:noFill/>
                    <a:ln>
                      <a:noFill/>
                    </a:ln>
                  </pic:spPr>
                </pic:pic>
              </a:graphicData>
            </a:graphic>
          </wp:inline>
        </w:drawing>
      </w:r>
      <w:r>
        <w:t>, (8.50)</w:t>
      </w:r>
    </w:p>
    <w:p w:rsidR="00212513" w:rsidRDefault="00212513">
      <w:pPr>
        <w:pStyle w:val="ConsPlusNormal"/>
        <w:ind w:firstLine="540"/>
        <w:jc w:val="both"/>
      </w:pPr>
    </w:p>
    <w:p w:rsidR="00212513" w:rsidRDefault="00212513">
      <w:pPr>
        <w:pStyle w:val="ConsPlusNormal"/>
        <w:ind w:firstLine="540"/>
        <w:jc w:val="both"/>
      </w:pPr>
      <w:r>
        <w:t xml:space="preserve">где </w:t>
      </w:r>
      <w:r>
        <w:rPr>
          <w:i/>
        </w:rPr>
        <w:t>M</w:t>
      </w:r>
      <w:r>
        <w:t xml:space="preserve"> - наибольший расчетный изгибающий момент в пределах расчетной длины </w:t>
      </w:r>
      <w:r>
        <w:rPr>
          <w:noProof/>
          <w:position w:val="-9"/>
        </w:rPr>
        <w:drawing>
          <wp:inline distT="0" distB="0" distL="0" distR="0">
            <wp:extent cx="177800" cy="262890"/>
            <wp:effectExtent l="0" t="0" r="0" b="0"/>
            <wp:docPr id="1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2"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сжатого пояса балки;</w:t>
      </w:r>
    </w:p>
    <w:p w:rsidR="00212513" w:rsidRDefault="00212513">
      <w:pPr>
        <w:pStyle w:val="ConsPlusNormal"/>
        <w:spacing w:before="220"/>
        <w:ind w:firstLine="540"/>
        <w:jc w:val="both"/>
      </w:pPr>
      <w:r>
        <w:rPr>
          <w:noProof/>
          <w:position w:val="-8"/>
        </w:rPr>
        <w:drawing>
          <wp:inline distT="0" distB="0" distL="0" distR="0">
            <wp:extent cx="220980" cy="251460"/>
            <wp:effectExtent l="0" t="0" r="0" b="0"/>
            <wp:docPr id="1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3"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момент сопротивления сечения балки для крайнего волокна сжатого пояса;</w:t>
      </w:r>
    </w:p>
    <w:p w:rsidR="00212513" w:rsidRDefault="00212513">
      <w:pPr>
        <w:pStyle w:val="ConsPlusNormal"/>
        <w:spacing w:before="220"/>
        <w:ind w:firstLine="540"/>
        <w:jc w:val="both"/>
      </w:pPr>
      <w:r>
        <w:rPr>
          <w:noProof/>
          <w:position w:val="-1"/>
        </w:rPr>
        <w:drawing>
          <wp:inline distT="0" distB="0" distL="0" distR="0">
            <wp:extent cx="146685" cy="156845"/>
            <wp:effectExtent l="0" t="0" r="0" b="0"/>
            <wp:docPr id="1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4" cstate="print">
                      <a:extLst>
                        <a:ext uri="{28A0092B-C50C-407E-A947-70E740481C1C}">
                          <a14:useLocalDpi xmlns:a14="http://schemas.microsoft.com/office/drawing/2010/main" val="0"/>
                        </a:ext>
                      </a:extLst>
                    </a:blip>
                    <a:srcRect/>
                    <a:stretch>
                      <a:fillRect/>
                    </a:stretch>
                  </pic:blipFill>
                  <pic:spPr bwMode="auto">
                    <a:xfrm>
                      <a:off x="0" y="0"/>
                      <a:ext cx="146685" cy="156845"/>
                    </a:xfrm>
                    <a:prstGeom prst="rect">
                      <a:avLst/>
                    </a:prstGeom>
                    <a:noFill/>
                    <a:ln>
                      <a:noFill/>
                    </a:ln>
                  </pic:spPr>
                </pic:pic>
              </a:graphicData>
            </a:graphic>
          </wp:inline>
        </w:drawing>
      </w:r>
      <w:r>
        <w:t xml:space="preserve"> - коэффициент, определяемый по формулам:</w:t>
      </w:r>
    </w:p>
    <w:p w:rsidR="00212513" w:rsidRDefault="00212513">
      <w:pPr>
        <w:pStyle w:val="ConsPlusNormal"/>
        <w:ind w:firstLine="540"/>
        <w:jc w:val="both"/>
      </w:pPr>
    </w:p>
    <w:p w:rsidR="00212513" w:rsidRDefault="00212513">
      <w:pPr>
        <w:pStyle w:val="ConsPlusNormal"/>
        <w:jc w:val="center"/>
      </w:pPr>
      <w:r>
        <w:rPr>
          <w:noProof/>
          <w:position w:val="-9"/>
        </w:rPr>
        <w:drawing>
          <wp:inline distT="0" distB="0" distL="0" distR="0">
            <wp:extent cx="1676400" cy="262890"/>
            <wp:effectExtent l="0" t="0" r="0" b="0"/>
            <wp:docPr id="1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5" cstate="print">
                      <a:extLst>
                        <a:ext uri="{28A0092B-C50C-407E-A947-70E740481C1C}">
                          <a14:useLocalDpi xmlns:a14="http://schemas.microsoft.com/office/drawing/2010/main" val="0"/>
                        </a:ext>
                      </a:extLst>
                    </a:blip>
                    <a:srcRect/>
                    <a:stretch>
                      <a:fillRect/>
                    </a:stretch>
                  </pic:blipFill>
                  <pic:spPr bwMode="auto">
                    <a:xfrm>
                      <a:off x="0" y="0"/>
                      <a:ext cx="1676400" cy="262890"/>
                    </a:xfrm>
                    <a:prstGeom prst="rect">
                      <a:avLst/>
                    </a:prstGeom>
                    <a:noFill/>
                    <a:ln>
                      <a:noFill/>
                    </a:ln>
                  </pic:spPr>
                </pic:pic>
              </a:graphicData>
            </a:graphic>
          </wp:inline>
        </w:drawing>
      </w:r>
      <w:r>
        <w:t xml:space="preserve"> при </w:t>
      </w:r>
      <w:r>
        <w:rPr>
          <w:noProof/>
          <w:position w:val="-9"/>
        </w:rPr>
        <w:drawing>
          <wp:inline distT="0" distB="0" distL="0" distR="0">
            <wp:extent cx="535940" cy="262890"/>
            <wp:effectExtent l="0" t="0" r="0" b="0"/>
            <wp:docPr id="1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6" cstate="print">
                      <a:extLst>
                        <a:ext uri="{28A0092B-C50C-407E-A947-70E740481C1C}">
                          <a14:useLocalDpi xmlns:a14="http://schemas.microsoft.com/office/drawing/2010/main" val="0"/>
                        </a:ext>
                      </a:extLst>
                    </a:blip>
                    <a:srcRect/>
                    <a:stretch>
                      <a:fillRect/>
                    </a:stretch>
                  </pic:blipFill>
                  <pic:spPr bwMode="auto">
                    <a:xfrm>
                      <a:off x="0" y="0"/>
                      <a:ext cx="535940" cy="262890"/>
                    </a:xfrm>
                    <a:prstGeom prst="rect">
                      <a:avLst/>
                    </a:prstGeom>
                    <a:noFill/>
                    <a:ln>
                      <a:noFill/>
                    </a:ln>
                  </pic:spPr>
                </pic:pic>
              </a:graphicData>
            </a:graphic>
          </wp:inline>
        </w:drawing>
      </w:r>
      <w:r>
        <w:t>; (8.51)</w:t>
      </w:r>
    </w:p>
    <w:p w:rsidR="00212513" w:rsidRDefault="00212513">
      <w:pPr>
        <w:pStyle w:val="ConsPlusNormal"/>
        <w:jc w:val="center"/>
      </w:pPr>
    </w:p>
    <w:p w:rsidR="00212513" w:rsidRDefault="00212513">
      <w:pPr>
        <w:pStyle w:val="ConsPlusNormal"/>
        <w:jc w:val="center"/>
      </w:pPr>
      <w:r>
        <w:rPr>
          <w:noProof/>
          <w:position w:val="-6"/>
        </w:rPr>
        <w:drawing>
          <wp:inline distT="0" distB="0" distL="0" distR="0">
            <wp:extent cx="502285" cy="220980"/>
            <wp:effectExtent l="0" t="0" r="0" b="0"/>
            <wp:docPr id="1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7" cstate="print">
                      <a:extLst>
                        <a:ext uri="{28A0092B-C50C-407E-A947-70E740481C1C}">
                          <a14:useLocalDpi xmlns:a14="http://schemas.microsoft.com/office/drawing/2010/main" val="0"/>
                        </a:ext>
                      </a:extLst>
                    </a:blip>
                    <a:srcRect/>
                    <a:stretch>
                      <a:fillRect/>
                    </a:stretch>
                  </pic:blipFill>
                  <pic:spPr bwMode="auto">
                    <a:xfrm>
                      <a:off x="0" y="0"/>
                      <a:ext cx="502285" cy="220980"/>
                    </a:xfrm>
                    <a:prstGeom prst="rect">
                      <a:avLst/>
                    </a:prstGeom>
                    <a:noFill/>
                    <a:ln>
                      <a:noFill/>
                    </a:ln>
                  </pic:spPr>
                </pic:pic>
              </a:graphicData>
            </a:graphic>
          </wp:inline>
        </w:drawing>
      </w:r>
      <w:r>
        <w:t xml:space="preserve"> при </w:t>
      </w:r>
      <w:r>
        <w:rPr>
          <w:noProof/>
          <w:position w:val="-9"/>
        </w:rPr>
        <w:drawing>
          <wp:inline distT="0" distB="0" distL="0" distR="0">
            <wp:extent cx="535940" cy="262890"/>
            <wp:effectExtent l="0" t="0" r="0" b="0"/>
            <wp:docPr id="1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8" cstate="print">
                      <a:extLst>
                        <a:ext uri="{28A0092B-C50C-407E-A947-70E740481C1C}">
                          <a14:useLocalDpi xmlns:a14="http://schemas.microsoft.com/office/drawing/2010/main" val="0"/>
                        </a:ext>
                      </a:extLst>
                    </a:blip>
                    <a:srcRect/>
                    <a:stretch>
                      <a:fillRect/>
                    </a:stretch>
                  </pic:blipFill>
                  <pic:spPr bwMode="auto">
                    <a:xfrm>
                      <a:off x="0" y="0"/>
                      <a:ext cx="535940" cy="262890"/>
                    </a:xfrm>
                    <a:prstGeom prst="rect">
                      <a:avLst/>
                    </a:prstGeom>
                    <a:noFill/>
                    <a:ln>
                      <a:noFill/>
                    </a:ln>
                  </pic:spPr>
                </pic:pic>
              </a:graphicData>
            </a:graphic>
          </wp:inline>
        </w:drawing>
      </w:r>
      <w:r>
        <w:t>, (8.52)</w:t>
      </w:r>
    </w:p>
    <w:p w:rsidR="00212513" w:rsidRDefault="00212513">
      <w:pPr>
        <w:pStyle w:val="ConsPlusNormal"/>
        <w:ind w:firstLine="540"/>
        <w:jc w:val="both"/>
      </w:pPr>
    </w:p>
    <w:p w:rsidR="00212513" w:rsidRDefault="00212513">
      <w:pPr>
        <w:pStyle w:val="ConsPlusNormal"/>
        <w:ind w:firstLine="540"/>
        <w:jc w:val="both"/>
      </w:pPr>
      <w:r>
        <w:t xml:space="preserve">здесь </w:t>
      </w:r>
      <w:r>
        <w:rPr>
          <w:noProof/>
          <w:position w:val="-1"/>
        </w:rPr>
        <w:drawing>
          <wp:inline distT="0" distB="0" distL="0" distR="0">
            <wp:extent cx="167640" cy="156845"/>
            <wp:effectExtent l="0" t="0" r="0" b="0"/>
            <wp:docPr id="1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9"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 коэффициент, определяемый по </w:t>
      </w:r>
      <w:hyperlink w:anchor="P6983">
        <w:r>
          <w:rPr>
            <w:color w:val="0000FF"/>
          </w:rPr>
          <w:t>формулам (8.6)</w:t>
        </w:r>
      </w:hyperlink>
      <w:r>
        <w:t xml:space="preserve"> и </w:t>
      </w:r>
      <w:hyperlink w:anchor="P6987">
        <w:r>
          <w:rPr>
            <w:color w:val="0000FF"/>
          </w:rPr>
          <w:t>(8.7)</w:t>
        </w:r>
      </w:hyperlink>
      <w:r>
        <w:t>;</w:t>
      </w:r>
    </w:p>
    <w:p w:rsidR="00212513" w:rsidRDefault="00212513">
      <w:pPr>
        <w:pStyle w:val="ConsPlusNormal"/>
        <w:spacing w:before="220"/>
        <w:ind w:firstLine="540"/>
        <w:jc w:val="both"/>
      </w:pPr>
      <w:r>
        <w:rPr>
          <w:noProof/>
          <w:position w:val="-8"/>
        </w:rPr>
        <w:drawing>
          <wp:inline distT="0" distB="0" distL="0" distR="0">
            <wp:extent cx="198755" cy="250825"/>
            <wp:effectExtent l="0" t="0" r="0" b="0"/>
            <wp:docPr id="1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0"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коэффициент продольного изгиба, определяемый по </w:t>
      </w:r>
      <w:hyperlink w:anchor="P14781">
        <w:r>
          <w:rPr>
            <w:color w:val="0000FF"/>
          </w:rPr>
          <w:t>таблицам Ф.1</w:t>
        </w:r>
      </w:hyperlink>
      <w:r>
        <w:t xml:space="preserve"> - </w:t>
      </w:r>
      <w:hyperlink w:anchor="P15409">
        <w:r>
          <w:rPr>
            <w:color w:val="0000FF"/>
          </w:rPr>
          <w:t>Ф.3</w:t>
        </w:r>
      </w:hyperlink>
      <w:r>
        <w:t xml:space="preserve"> приложения Ф при </w:t>
      </w:r>
      <w:r>
        <w:rPr>
          <w:noProof/>
          <w:position w:val="-9"/>
        </w:rPr>
        <w:drawing>
          <wp:inline distT="0" distB="0" distL="0" distR="0">
            <wp:extent cx="470535" cy="262890"/>
            <wp:effectExtent l="0" t="0" r="0" b="0"/>
            <wp:docPr id="1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2" cstate="print">
                      <a:extLst>
                        <a:ext uri="{28A0092B-C50C-407E-A947-70E740481C1C}">
                          <a14:useLocalDpi xmlns:a14="http://schemas.microsoft.com/office/drawing/2010/main" val="0"/>
                        </a:ext>
                      </a:extLst>
                    </a:blip>
                    <a:srcRect/>
                    <a:stretch>
                      <a:fillRect/>
                    </a:stretch>
                  </pic:blipFill>
                  <pic:spPr bwMode="auto">
                    <a:xfrm>
                      <a:off x="0" y="0"/>
                      <a:ext cx="470535" cy="262890"/>
                    </a:xfrm>
                    <a:prstGeom prst="rect">
                      <a:avLst/>
                    </a:prstGeom>
                    <a:noFill/>
                    <a:ln>
                      <a:noFill/>
                    </a:ln>
                  </pic:spPr>
                </pic:pic>
              </a:graphicData>
            </a:graphic>
          </wp:inline>
        </w:drawing>
      </w:r>
      <w:r>
        <w:t xml:space="preserve"> и гибкости из плоскости стенки</w:t>
      </w:r>
    </w:p>
    <w:p w:rsidR="00212513" w:rsidRDefault="00212513">
      <w:pPr>
        <w:pStyle w:val="ConsPlusNormal"/>
        <w:ind w:firstLine="540"/>
        <w:jc w:val="both"/>
      </w:pPr>
    </w:p>
    <w:p w:rsidR="00212513" w:rsidRDefault="00212513">
      <w:pPr>
        <w:pStyle w:val="ConsPlusNormal"/>
        <w:jc w:val="center"/>
      </w:pPr>
      <w:r>
        <w:rPr>
          <w:noProof/>
          <w:position w:val="-31"/>
        </w:rPr>
        <w:drawing>
          <wp:inline distT="0" distB="0" distL="0" distR="0">
            <wp:extent cx="939800" cy="535940"/>
            <wp:effectExtent l="0" t="0" r="0" b="0"/>
            <wp:docPr id="1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1" cstate="print">
                      <a:extLst>
                        <a:ext uri="{28A0092B-C50C-407E-A947-70E740481C1C}">
                          <a14:useLocalDpi xmlns:a14="http://schemas.microsoft.com/office/drawing/2010/main" val="0"/>
                        </a:ext>
                      </a:extLst>
                    </a:blip>
                    <a:srcRect/>
                    <a:stretch>
                      <a:fillRect/>
                    </a:stretch>
                  </pic:blipFill>
                  <pic:spPr bwMode="auto">
                    <a:xfrm>
                      <a:off x="0" y="0"/>
                      <a:ext cx="939800" cy="535940"/>
                    </a:xfrm>
                    <a:prstGeom prst="rect">
                      <a:avLst/>
                    </a:prstGeom>
                    <a:noFill/>
                    <a:ln>
                      <a:noFill/>
                    </a:ln>
                  </pic:spPr>
                </pic:pic>
              </a:graphicData>
            </a:graphic>
          </wp:inline>
        </w:drawing>
      </w:r>
      <w:r>
        <w:t>. (8.53)</w:t>
      </w:r>
    </w:p>
    <w:p w:rsidR="00212513" w:rsidRDefault="00212513">
      <w:pPr>
        <w:pStyle w:val="ConsPlusNormal"/>
        <w:ind w:firstLine="540"/>
        <w:jc w:val="both"/>
      </w:pPr>
    </w:p>
    <w:p w:rsidR="00212513" w:rsidRDefault="00212513">
      <w:pPr>
        <w:pStyle w:val="ConsPlusNormal"/>
        <w:ind w:firstLine="540"/>
        <w:jc w:val="both"/>
      </w:pPr>
      <w:bookmarkStart w:id="331" w:name="P7727"/>
      <w:bookmarkEnd w:id="331"/>
      <w:r>
        <w:t xml:space="preserve">8.42 Расчет при изгибно-крутильной форме потери устойчивости сплошностенчатых балок, изгибаемых в двух плоскостях, следует выполнять по </w:t>
      </w:r>
      <w:hyperlink w:anchor="P7712">
        <w:r>
          <w:rPr>
            <w:color w:val="0000FF"/>
          </w:rPr>
          <w:t>формуле (8.50)</w:t>
        </w:r>
      </w:hyperlink>
      <w:r>
        <w:t xml:space="preserve">, при этом коэффициент </w:t>
      </w:r>
      <w:r>
        <w:rPr>
          <w:noProof/>
          <w:position w:val="-8"/>
        </w:rPr>
        <w:drawing>
          <wp:inline distT="0" distB="0" distL="0" distR="0">
            <wp:extent cx="198755" cy="250825"/>
            <wp:effectExtent l="0" t="0" r="0" b="0"/>
            <wp:docPr id="1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0"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следует принимать по </w:t>
      </w:r>
      <w:hyperlink w:anchor="P14781">
        <w:r>
          <w:rPr>
            <w:color w:val="0000FF"/>
          </w:rPr>
          <w:t>таблицам Ф.1</w:t>
        </w:r>
      </w:hyperlink>
      <w:r>
        <w:t xml:space="preserve"> - </w:t>
      </w:r>
      <w:hyperlink w:anchor="P15409">
        <w:r>
          <w:rPr>
            <w:color w:val="0000FF"/>
          </w:rPr>
          <w:t>Ф.3</w:t>
        </w:r>
      </w:hyperlink>
      <w:r>
        <w:t xml:space="preserve"> приложения Ф при </w:t>
      </w:r>
      <w:r>
        <w:rPr>
          <w:noProof/>
          <w:position w:val="-9"/>
        </w:rPr>
        <w:drawing>
          <wp:inline distT="0" distB="0" distL="0" distR="0">
            <wp:extent cx="670560" cy="262890"/>
            <wp:effectExtent l="0" t="0" r="0" b="0"/>
            <wp:docPr id="1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2" cstate="print">
                      <a:extLst>
                        <a:ext uri="{28A0092B-C50C-407E-A947-70E740481C1C}">
                          <a14:useLocalDpi xmlns:a14="http://schemas.microsoft.com/office/drawing/2010/main" val="0"/>
                        </a:ext>
                      </a:extLst>
                    </a:blip>
                    <a:srcRect/>
                    <a:stretch>
                      <a:fillRect/>
                    </a:stretch>
                  </pic:blipFill>
                  <pic:spPr bwMode="auto">
                    <a:xfrm>
                      <a:off x="0" y="0"/>
                      <a:ext cx="670560" cy="262890"/>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Здесь </w:t>
      </w:r>
      <w:r>
        <w:rPr>
          <w:noProof/>
          <w:position w:val="-3"/>
        </w:rPr>
        <w:drawing>
          <wp:inline distT="0" distB="0" distL="0" distR="0">
            <wp:extent cx="146685" cy="177800"/>
            <wp:effectExtent l="0" t="0" r="0" b="0"/>
            <wp:docPr id="1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3" cstate="print">
                      <a:extLst>
                        <a:ext uri="{28A0092B-C50C-407E-A947-70E740481C1C}">
                          <a14:useLocalDpi xmlns:a14="http://schemas.microsoft.com/office/drawing/2010/main" val="0"/>
                        </a:ext>
                      </a:extLst>
                    </a:blip>
                    <a:srcRect/>
                    <a:stretch>
                      <a:fillRect/>
                    </a:stretch>
                  </pic:blipFill>
                  <pic:spPr bwMode="auto">
                    <a:xfrm>
                      <a:off x="0" y="0"/>
                      <a:ext cx="146685" cy="177800"/>
                    </a:xfrm>
                    <a:prstGeom prst="rect">
                      <a:avLst/>
                    </a:prstGeom>
                    <a:noFill/>
                    <a:ln>
                      <a:noFill/>
                    </a:ln>
                  </pic:spPr>
                </pic:pic>
              </a:graphicData>
            </a:graphic>
          </wp:inline>
        </w:drawing>
      </w:r>
      <w:r>
        <w:t xml:space="preserve"> - коэффициент, принимаемый по </w:t>
      </w:r>
      <w:hyperlink w:anchor="P14779">
        <w:r>
          <w:rPr>
            <w:color w:val="0000FF"/>
          </w:rPr>
          <w:t>приложению Ф</w:t>
        </w:r>
      </w:hyperlink>
      <w:r>
        <w:t>;</w:t>
      </w:r>
    </w:p>
    <w:p w:rsidR="00212513" w:rsidRDefault="00212513">
      <w:pPr>
        <w:pStyle w:val="ConsPlusNormal"/>
        <w:spacing w:before="220"/>
        <w:ind w:firstLine="540"/>
        <w:jc w:val="both"/>
      </w:pPr>
      <w:r>
        <w:rPr>
          <w:noProof/>
          <w:position w:val="-8"/>
        </w:rPr>
        <w:drawing>
          <wp:inline distT="0" distB="0" distL="0" distR="0">
            <wp:extent cx="254000" cy="251460"/>
            <wp:effectExtent l="0" t="0" r="0" b="0"/>
            <wp:docPr id="1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4" cstate="print">
                      <a:extLst>
                        <a:ext uri="{28A0092B-C50C-407E-A947-70E740481C1C}">
                          <a14:useLocalDpi xmlns:a14="http://schemas.microsoft.com/office/drawing/2010/main" val="0"/>
                        </a:ext>
                      </a:extLst>
                    </a:blip>
                    <a:srcRect/>
                    <a:stretch>
                      <a:fillRect/>
                    </a:stretch>
                  </pic:blipFill>
                  <pic:spPr bwMode="auto">
                    <a:xfrm>
                      <a:off x="0" y="0"/>
                      <a:ext cx="254000" cy="251460"/>
                    </a:xfrm>
                    <a:prstGeom prst="rect">
                      <a:avLst/>
                    </a:prstGeom>
                    <a:noFill/>
                    <a:ln>
                      <a:noFill/>
                    </a:ln>
                  </pic:spPr>
                </pic:pic>
              </a:graphicData>
            </a:graphic>
          </wp:inline>
        </w:drawing>
      </w:r>
      <w:r>
        <w:t xml:space="preserve"> - относительный эксцентриситет, определяемый по формуле</w:t>
      </w:r>
    </w:p>
    <w:p w:rsidR="00212513" w:rsidRDefault="00212513">
      <w:pPr>
        <w:pStyle w:val="ConsPlusNormal"/>
        <w:ind w:firstLine="540"/>
        <w:jc w:val="both"/>
      </w:pPr>
    </w:p>
    <w:p w:rsidR="00212513" w:rsidRDefault="00212513">
      <w:pPr>
        <w:pStyle w:val="ConsPlusNormal"/>
        <w:jc w:val="center"/>
      </w:pPr>
      <w:r>
        <w:rPr>
          <w:noProof/>
          <w:position w:val="-29"/>
        </w:rPr>
        <w:lastRenderedPageBreak/>
        <w:drawing>
          <wp:inline distT="0" distB="0" distL="0" distR="0">
            <wp:extent cx="670560" cy="511810"/>
            <wp:effectExtent l="0" t="0" r="0" b="0"/>
            <wp:docPr id="1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5" cstate="print">
                      <a:extLst>
                        <a:ext uri="{28A0092B-C50C-407E-A947-70E740481C1C}">
                          <a14:useLocalDpi xmlns:a14="http://schemas.microsoft.com/office/drawing/2010/main" val="0"/>
                        </a:ext>
                      </a:extLst>
                    </a:blip>
                    <a:srcRect/>
                    <a:stretch>
                      <a:fillRect/>
                    </a:stretch>
                  </pic:blipFill>
                  <pic:spPr bwMode="auto">
                    <a:xfrm>
                      <a:off x="0" y="0"/>
                      <a:ext cx="670560" cy="511810"/>
                    </a:xfrm>
                    <a:prstGeom prst="rect">
                      <a:avLst/>
                    </a:prstGeom>
                    <a:noFill/>
                    <a:ln>
                      <a:noFill/>
                    </a:ln>
                  </pic:spPr>
                </pic:pic>
              </a:graphicData>
            </a:graphic>
          </wp:inline>
        </w:drawing>
      </w:r>
      <w:r>
        <w:t>, (8.54)</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9"/>
        </w:rPr>
        <w:drawing>
          <wp:inline distT="0" distB="0" distL="0" distR="0">
            <wp:extent cx="251460" cy="262890"/>
            <wp:effectExtent l="0" t="0" r="0" b="0"/>
            <wp:docPr id="1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6"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 наибольшее напряжение в точке на боковой кромке сжатого пояса от изгибающего момента в горизонтальной плоскости в сечении, находящемся в пределах средней трети незакрепленной длины сжатого пояса балки;</w:t>
      </w:r>
    </w:p>
    <w:p w:rsidR="00212513" w:rsidRDefault="00212513">
      <w:pPr>
        <w:pStyle w:val="ConsPlusNormal"/>
        <w:spacing w:before="220"/>
        <w:ind w:firstLine="540"/>
        <w:jc w:val="both"/>
      </w:pPr>
      <w:r>
        <w:rPr>
          <w:noProof/>
          <w:position w:val="-9"/>
        </w:rPr>
        <w:drawing>
          <wp:inline distT="0" distB="0" distL="0" distR="0">
            <wp:extent cx="251460" cy="262890"/>
            <wp:effectExtent l="0" t="0" r="0" b="0"/>
            <wp:docPr id="1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7"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 напряжение в сжатом поясе балки от вертикальной нагрузки в том же сечении.</w:t>
      </w:r>
    </w:p>
    <w:p w:rsidR="00212513" w:rsidRDefault="00212513">
      <w:pPr>
        <w:pStyle w:val="ConsPlusNormal"/>
        <w:spacing w:before="220"/>
        <w:ind w:firstLine="540"/>
        <w:jc w:val="both"/>
      </w:pPr>
      <w:r>
        <w:t>8.43 Проверка общей устойчивости разрезной балки и сжатой зоны пояса неразрезной балки не выполняется в случае, если сжатый пояс объединен с железобетонной или стальной плитой.</w:t>
      </w:r>
    </w:p>
    <w:p w:rsidR="00212513" w:rsidRDefault="00212513">
      <w:pPr>
        <w:pStyle w:val="ConsPlusNormal"/>
        <w:ind w:firstLine="540"/>
        <w:jc w:val="both"/>
      </w:pPr>
    </w:p>
    <w:p w:rsidR="00212513" w:rsidRDefault="00212513">
      <w:pPr>
        <w:pStyle w:val="ConsPlusTitle"/>
        <w:ind w:firstLine="540"/>
        <w:jc w:val="both"/>
        <w:outlineLvl w:val="2"/>
      </w:pPr>
      <w:r>
        <w:t>Расчет по устойчивости полок и стенок элементов, не подкрепленных ребрами жесткости</w:t>
      </w:r>
    </w:p>
    <w:p w:rsidR="00212513" w:rsidRDefault="00212513">
      <w:pPr>
        <w:pStyle w:val="ConsPlusNormal"/>
        <w:jc w:val="center"/>
      </w:pPr>
    </w:p>
    <w:p w:rsidR="00212513" w:rsidRDefault="00212513">
      <w:pPr>
        <w:pStyle w:val="ConsPlusNormal"/>
        <w:ind w:firstLine="540"/>
        <w:jc w:val="both"/>
      </w:pPr>
      <w:r>
        <w:t>8.44 Расчет по устойчивости полок и стенок прокатных и составных сварных центрально- и внецентренно сжатых, а также сжато-изгибаемых и изгибаемых элементов постоянного поперечного сечения, не подкрепленных ребрами жесткости (рисунок 8.1), следует выполнять по теории призматических складчатых оболочек.</w:t>
      </w:r>
    </w:p>
    <w:p w:rsidR="00212513" w:rsidRDefault="00212513">
      <w:pPr>
        <w:pStyle w:val="ConsPlusNormal"/>
        <w:ind w:firstLine="540"/>
        <w:jc w:val="both"/>
      </w:pPr>
    </w:p>
    <w:p w:rsidR="00212513" w:rsidRDefault="00212513">
      <w:pPr>
        <w:pStyle w:val="ConsPlusNormal"/>
        <w:jc w:val="center"/>
      </w:pPr>
      <w:r>
        <w:rPr>
          <w:noProof/>
          <w:position w:val="-65"/>
        </w:rPr>
        <w:drawing>
          <wp:inline distT="0" distB="0" distL="0" distR="0">
            <wp:extent cx="5523230" cy="970915"/>
            <wp:effectExtent l="0" t="0" r="0" b="0"/>
            <wp:docPr id="1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8" cstate="print">
                      <a:extLst>
                        <a:ext uri="{28A0092B-C50C-407E-A947-70E740481C1C}">
                          <a14:useLocalDpi xmlns:a14="http://schemas.microsoft.com/office/drawing/2010/main" val="0"/>
                        </a:ext>
                      </a:extLst>
                    </a:blip>
                    <a:srcRect/>
                    <a:stretch>
                      <a:fillRect/>
                    </a:stretch>
                  </pic:blipFill>
                  <pic:spPr bwMode="auto">
                    <a:xfrm>
                      <a:off x="0" y="0"/>
                      <a:ext cx="5523230" cy="970915"/>
                    </a:xfrm>
                    <a:prstGeom prst="rect">
                      <a:avLst/>
                    </a:prstGeom>
                    <a:noFill/>
                    <a:ln>
                      <a:noFill/>
                    </a:ln>
                  </pic:spPr>
                </pic:pic>
              </a:graphicData>
            </a:graphic>
          </wp:inline>
        </w:drawing>
      </w:r>
    </w:p>
    <w:p w:rsidR="00212513" w:rsidRDefault="00212513">
      <w:pPr>
        <w:pStyle w:val="ConsPlusNormal"/>
        <w:jc w:val="center"/>
      </w:pPr>
    </w:p>
    <w:p w:rsidR="00212513" w:rsidRDefault="00212513">
      <w:pPr>
        <w:pStyle w:val="ConsPlusNormal"/>
        <w:jc w:val="center"/>
      </w:pPr>
      <w:bookmarkStart w:id="332" w:name="P7743"/>
      <w:bookmarkEnd w:id="332"/>
      <w:r>
        <w:rPr>
          <w:b/>
          <w:i/>
        </w:rPr>
        <w:t>Рисунок 8.1</w:t>
      </w:r>
      <w:r>
        <w:t xml:space="preserve"> </w:t>
      </w:r>
      <w:r>
        <w:rPr>
          <w:b/>
        </w:rPr>
        <w:t>- Схемы расчетных сечений элементов,</w:t>
      </w:r>
    </w:p>
    <w:p w:rsidR="00212513" w:rsidRDefault="00212513">
      <w:pPr>
        <w:pStyle w:val="ConsPlusNormal"/>
        <w:jc w:val="center"/>
      </w:pPr>
      <w:r>
        <w:rPr>
          <w:b/>
        </w:rPr>
        <w:t>не подкрепленных ребрами жесткости</w:t>
      </w:r>
    </w:p>
    <w:p w:rsidR="00212513" w:rsidRDefault="00212513">
      <w:pPr>
        <w:pStyle w:val="ConsPlusNormal"/>
        <w:ind w:firstLine="540"/>
        <w:jc w:val="both"/>
      </w:pPr>
    </w:p>
    <w:p w:rsidR="00212513" w:rsidRDefault="00212513">
      <w:pPr>
        <w:pStyle w:val="ConsPlusNormal"/>
        <w:ind w:firstLine="540"/>
        <w:jc w:val="both"/>
      </w:pPr>
      <w:bookmarkStart w:id="333" w:name="P7746"/>
      <w:bookmarkEnd w:id="333"/>
      <w:r>
        <w:t xml:space="preserve">8.45 Устойчивость полок и стенок элементов, не подкрепленных ребрами жесткости, при среднем касательном напряжении, не превышающем </w:t>
      </w:r>
      <w:r>
        <w:rPr>
          <w:noProof/>
          <w:position w:val="-8"/>
        </w:rPr>
        <w:drawing>
          <wp:inline distT="0" distB="0" distL="0" distR="0">
            <wp:extent cx="428625" cy="251460"/>
            <wp:effectExtent l="0" t="0" r="0" b="0"/>
            <wp:docPr id="1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9" cstate="print">
                      <a:extLst>
                        <a:ext uri="{28A0092B-C50C-407E-A947-70E740481C1C}">
                          <a14:useLocalDpi xmlns:a14="http://schemas.microsoft.com/office/drawing/2010/main" val="0"/>
                        </a:ext>
                      </a:extLst>
                    </a:blip>
                    <a:srcRect/>
                    <a:stretch>
                      <a:fillRect/>
                    </a:stretch>
                  </pic:blipFill>
                  <pic:spPr bwMode="auto">
                    <a:xfrm>
                      <a:off x="0" y="0"/>
                      <a:ext cx="428625" cy="251460"/>
                    </a:xfrm>
                    <a:prstGeom prst="rect">
                      <a:avLst/>
                    </a:prstGeom>
                    <a:noFill/>
                    <a:ln>
                      <a:noFill/>
                    </a:ln>
                  </pic:spPr>
                </pic:pic>
              </a:graphicData>
            </a:graphic>
          </wp:inline>
        </w:drawing>
      </w:r>
      <w:r>
        <w:t>, допускается обеспечивать назначением отношения высоты стенки (</w:t>
      </w:r>
      <w:r>
        <w:rPr>
          <w:i/>
        </w:rPr>
        <w:t>h</w:t>
      </w:r>
      <w:r>
        <w:t xml:space="preserve">, </w:t>
      </w:r>
      <w:r>
        <w:rPr>
          <w:noProof/>
          <w:position w:val="-8"/>
        </w:rPr>
        <w:drawing>
          <wp:inline distT="0" distB="0" distL="0" distR="0">
            <wp:extent cx="198755" cy="250825"/>
            <wp:effectExtent l="0" t="0" r="0" b="0"/>
            <wp:docPr id="1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0"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или ширины полки (</w:t>
      </w:r>
      <w:r>
        <w:rPr>
          <w:noProof/>
          <w:position w:val="-9"/>
        </w:rPr>
        <w:drawing>
          <wp:inline distT="0" distB="0" distL="0" distR="0">
            <wp:extent cx="198755" cy="262890"/>
            <wp:effectExtent l="0" t="0" r="0" b="0"/>
            <wp:docPr id="1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1"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w:t>
      </w:r>
      <w:r>
        <w:rPr>
          <w:noProof/>
          <w:position w:val="-8"/>
        </w:rPr>
        <w:drawing>
          <wp:inline distT="0" distB="0" distL="0" distR="0">
            <wp:extent cx="177800" cy="251460"/>
            <wp:effectExtent l="0" t="0" r="0" b="0"/>
            <wp:docPr id="1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2"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к толщине (</w:t>
      </w:r>
      <w:r>
        <w:rPr>
          <w:i/>
        </w:rPr>
        <w:t>t</w:t>
      </w:r>
      <w:r>
        <w:t xml:space="preserve">, </w:t>
      </w:r>
      <w:r>
        <w:rPr>
          <w:noProof/>
          <w:position w:val="-8"/>
        </w:rPr>
        <w:drawing>
          <wp:inline distT="0" distB="0" distL="0" distR="0">
            <wp:extent cx="167640" cy="251460"/>
            <wp:effectExtent l="0" t="0" r="0" b="0"/>
            <wp:docPr id="1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3"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w:t>
      </w:r>
      <w:r>
        <w:rPr>
          <w:noProof/>
          <w:position w:val="-9"/>
        </w:rPr>
        <w:drawing>
          <wp:inline distT="0" distB="0" distL="0" distR="0">
            <wp:extent cx="167640" cy="262890"/>
            <wp:effectExtent l="0" t="0" r="0" b="0"/>
            <wp:docPr id="1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4" cstate="print">
                      <a:extLst>
                        <a:ext uri="{28A0092B-C50C-407E-A947-70E740481C1C}">
                          <a14:useLocalDpi xmlns:a14="http://schemas.microsoft.com/office/drawing/2010/main" val="0"/>
                        </a:ext>
                      </a:extLst>
                    </a:blip>
                    <a:srcRect/>
                    <a:stretch>
                      <a:fillRect/>
                    </a:stretch>
                  </pic:blipFill>
                  <pic:spPr bwMode="auto">
                    <a:xfrm>
                      <a:off x="0" y="0"/>
                      <a:ext cx="167640" cy="262890"/>
                    </a:xfrm>
                    <a:prstGeom prst="rect">
                      <a:avLst/>
                    </a:prstGeom>
                    <a:noFill/>
                    <a:ln>
                      <a:noFill/>
                    </a:ln>
                  </pic:spPr>
                </pic:pic>
              </a:graphicData>
            </a:graphic>
          </wp:inline>
        </w:drawing>
      </w:r>
      <w:r>
        <w:t xml:space="preserve">, </w:t>
      </w:r>
      <w:r>
        <w:rPr>
          <w:noProof/>
          <w:position w:val="-8"/>
        </w:rPr>
        <w:drawing>
          <wp:inline distT="0" distB="0" distL="0" distR="0">
            <wp:extent cx="156845" cy="251460"/>
            <wp:effectExtent l="0" t="0" r="0" b="0"/>
            <wp:docPr id="1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5"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не более </w:t>
      </w:r>
      <w:r>
        <w:rPr>
          <w:noProof/>
          <w:position w:val="-12"/>
        </w:rPr>
        <w:drawing>
          <wp:inline distT="0" distB="0" distL="0" distR="0">
            <wp:extent cx="1397000" cy="304165"/>
            <wp:effectExtent l="0" t="0" r="0" b="0"/>
            <wp:docPr id="1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6" cstate="print">
                      <a:extLst>
                        <a:ext uri="{28A0092B-C50C-407E-A947-70E740481C1C}">
                          <a14:useLocalDpi xmlns:a14="http://schemas.microsoft.com/office/drawing/2010/main" val="0"/>
                        </a:ext>
                      </a:extLst>
                    </a:blip>
                    <a:srcRect/>
                    <a:stretch>
                      <a:fillRect/>
                    </a:stretch>
                  </pic:blipFill>
                  <pic:spPr bwMode="auto">
                    <a:xfrm>
                      <a:off x="0" y="0"/>
                      <a:ext cx="1397000" cy="304165"/>
                    </a:xfrm>
                    <a:prstGeom prst="rect">
                      <a:avLst/>
                    </a:prstGeom>
                    <a:noFill/>
                    <a:ln>
                      <a:noFill/>
                    </a:ln>
                  </pic:spPr>
                </pic:pic>
              </a:graphicData>
            </a:graphic>
          </wp:inline>
        </w:drawing>
      </w:r>
      <w:r>
        <w:t xml:space="preserve"> (здесь </w:t>
      </w:r>
      <w:r>
        <w:rPr>
          <w:noProof/>
          <w:position w:val="-1"/>
        </w:rPr>
        <w:drawing>
          <wp:inline distT="0" distB="0" distL="0" distR="0">
            <wp:extent cx="167640" cy="156845"/>
            <wp:effectExtent l="0" t="0" r="0" b="0"/>
            <wp:docPr id="1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7"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 коэффициент, </w:t>
      </w:r>
      <w:r>
        <w:rPr>
          <w:noProof/>
          <w:position w:val="-9"/>
        </w:rPr>
        <w:drawing>
          <wp:inline distT="0" distB="0" distL="0" distR="0">
            <wp:extent cx="450850" cy="262890"/>
            <wp:effectExtent l="0" t="0" r="0" b="0"/>
            <wp:docPr id="1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8" cstate="print">
                      <a:extLst>
                        <a:ext uri="{28A0092B-C50C-407E-A947-70E740481C1C}">
                          <a14:useLocalDpi xmlns:a14="http://schemas.microsoft.com/office/drawing/2010/main" val="0"/>
                        </a:ext>
                      </a:extLst>
                    </a:blip>
                    <a:srcRect/>
                    <a:stretch>
                      <a:fillRect/>
                    </a:stretch>
                  </pic:blipFill>
                  <pic:spPr bwMode="auto">
                    <a:xfrm>
                      <a:off x="0" y="0"/>
                      <a:ext cx="450850" cy="262890"/>
                    </a:xfrm>
                    <a:prstGeom prst="rect">
                      <a:avLst/>
                    </a:prstGeom>
                    <a:noFill/>
                    <a:ln>
                      <a:noFill/>
                    </a:ln>
                  </pic:spPr>
                </pic:pic>
              </a:graphicData>
            </a:graphic>
          </wp:inline>
        </w:drawing>
      </w:r>
      <w:r>
        <w:t xml:space="preserve"> - приведенное критическое напряжение).</w:t>
      </w:r>
    </w:p>
    <w:p w:rsidR="00212513" w:rsidRDefault="00212513">
      <w:pPr>
        <w:pStyle w:val="ConsPlusNormal"/>
        <w:spacing w:before="220"/>
        <w:ind w:firstLine="540"/>
        <w:jc w:val="both"/>
      </w:pPr>
      <w:r>
        <w:t xml:space="preserve">Коэффициент </w:t>
      </w:r>
      <w:r>
        <w:rPr>
          <w:noProof/>
          <w:position w:val="-1"/>
        </w:rPr>
        <w:drawing>
          <wp:inline distT="0" distB="0" distL="0" distR="0">
            <wp:extent cx="167640" cy="156845"/>
            <wp:effectExtent l="0" t="0" r="0" b="0"/>
            <wp:docPr id="1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7"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следует определять:</w:t>
      </w:r>
    </w:p>
    <w:p w:rsidR="00212513" w:rsidRDefault="00212513">
      <w:pPr>
        <w:pStyle w:val="ConsPlusNormal"/>
        <w:spacing w:before="220"/>
        <w:ind w:firstLine="540"/>
        <w:jc w:val="both"/>
      </w:pPr>
      <w:r>
        <w:t xml:space="preserve">для пластинок шириной </w:t>
      </w:r>
      <w:r>
        <w:rPr>
          <w:noProof/>
          <w:position w:val="-8"/>
        </w:rPr>
        <w:drawing>
          <wp:inline distT="0" distB="0" distL="0" distR="0">
            <wp:extent cx="177800" cy="251460"/>
            <wp:effectExtent l="0" t="0" r="0" b="0"/>
            <wp:docPr id="1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2"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w:t>
      </w:r>
      <w:r>
        <w:rPr>
          <w:i/>
        </w:rPr>
        <w:t>h</w:t>
      </w:r>
      <w:r>
        <w:t>, опертых по одной стороне (</w:t>
      </w:r>
      <w:hyperlink w:anchor="P7743">
        <w:r>
          <w:rPr>
            <w:color w:val="0000FF"/>
          </w:rPr>
          <w:t>рисунок 8.1</w:t>
        </w:r>
      </w:hyperlink>
      <w:r>
        <w:t>, б - е), - по формуле</w:t>
      </w:r>
    </w:p>
    <w:p w:rsidR="00212513" w:rsidRDefault="00212513">
      <w:pPr>
        <w:pStyle w:val="ConsPlusNormal"/>
        <w:ind w:firstLine="540"/>
        <w:jc w:val="both"/>
      </w:pPr>
    </w:p>
    <w:p w:rsidR="00212513" w:rsidRDefault="00212513">
      <w:pPr>
        <w:pStyle w:val="ConsPlusNormal"/>
        <w:jc w:val="center"/>
      </w:pPr>
      <w:bookmarkStart w:id="334" w:name="P7750"/>
      <w:bookmarkEnd w:id="334"/>
      <w:r>
        <w:rPr>
          <w:noProof/>
          <w:position w:val="-26"/>
        </w:rPr>
        <w:drawing>
          <wp:inline distT="0" distB="0" distL="0" distR="0">
            <wp:extent cx="2374900" cy="470535"/>
            <wp:effectExtent l="0" t="0" r="0" b="0"/>
            <wp:docPr id="1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9" cstate="print">
                      <a:extLst>
                        <a:ext uri="{28A0092B-C50C-407E-A947-70E740481C1C}">
                          <a14:useLocalDpi xmlns:a14="http://schemas.microsoft.com/office/drawing/2010/main" val="0"/>
                        </a:ext>
                      </a:extLst>
                    </a:blip>
                    <a:srcRect/>
                    <a:stretch>
                      <a:fillRect/>
                    </a:stretch>
                  </pic:blipFill>
                  <pic:spPr bwMode="auto">
                    <a:xfrm>
                      <a:off x="0" y="0"/>
                      <a:ext cx="2374900" cy="470535"/>
                    </a:xfrm>
                    <a:prstGeom prst="rect">
                      <a:avLst/>
                    </a:prstGeom>
                    <a:noFill/>
                    <a:ln>
                      <a:noFill/>
                    </a:ln>
                  </pic:spPr>
                </pic:pic>
              </a:graphicData>
            </a:graphic>
          </wp:inline>
        </w:drawing>
      </w:r>
      <w:r>
        <w:t>; (8.55)</w:t>
      </w:r>
    </w:p>
    <w:p w:rsidR="00212513" w:rsidRDefault="00212513">
      <w:pPr>
        <w:pStyle w:val="ConsPlusNormal"/>
        <w:ind w:firstLine="540"/>
        <w:jc w:val="both"/>
      </w:pPr>
    </w:p>
    <w:p w:rsidR="00212513" w:rsidRDefault="00212513">
      <w:pPr>
        <w:pStyle w:val="ConsPlusNormal"/>
        <w:ind w:firstLine="540"/>
        <w:jc w:val="both"/>
      </w:pPr>
      <w:r>
        <w:t xml:space="preserve">для пластинок шириной </w:t>
      </w:r>
      <w:r>
        <w:rPr>
          <w:noProof/>
          <w:position w:val="-8"/>
        </w:rPr>
        <w:drawing>
          <wp:inline distT="0" distB="0" distL="0" distR="0">
            <wp:extent cx="198755" cy="250825"/>
            <wp:effectExtent l="0" t="0" r="0" b="0"/>
            <wp:docPr id="1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0"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9"/>
        </w:rPr>
        <w:drawing>
          <wp:inline distT="0" distB="0" distL="0" distR="0">
            <wp:extent cx="198755" cy="262890"/>
            <wp:effectExtent l="0" t="0" r="0" b="0"/>
            <wp:docPr id="1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1"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опертых по двум сторонам (</w:t>
      </w:r>
      <w:hyperlink w:anchor="P7743">
        <w:r>
          <w:rPr>
            <w:color w:val="0000FF"/>
          </w:rPr>
          <w:t>рисунок 8.1</w:t>
        </w:r>
      </w:hyperlink>
      <w:r>
        <w:t>, а, б, г), - по формуле</w:t>
      </w:r>
    </w:p>
    <w:p w:rsidR="00212513" w:rsidRDefault="00212513">
      <w:pPr>
        <w:pStyle w:val="ConsPlusNormal"/>
        <w:ind w:firstLine="540"/>
        <w:jc w:val="both"/>
      </w:pPr>
    </w:p>
    <w:p w:rsidR="00212513" w:rsidRDefault="00212513">
      <w:pPr>
        <w:pStyle w:val="ConsPlusNormal"/>
        <w:jc w:val="center"/>
      </w:pPr>
      <w:bookmarkStart w:id="335" w:name="P7754"/>
      <w:bookmarkEnd w:id="335"/>
      <w:r>
        <w:rPr>
          <w:noProof/>
          <w:position w:val="-26"/>
        </w:rPr>
        <w:drawing>
          <wp:inline distT="0" distB="0" distL="0" distR="0">
            <wp:extent cx="2165350" cy="470535"/>
            <wp:effectExtent l="0" t="0" r="0" b="0"/>
            <wp:docPr id="1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0" cstate="print">
                      <a:extLst>
                        <a:ext uri="{28A0092B-C50C-407E-A947-70E740481C1C}">
                          <a14:useLocalDpi xmlns:a14="http://schemas.microsoft.com/office/drawing/2010/main" val="0"/>
                        </a:ext>
                      </a:extLst>
                    </a:blip>
                    <a:srcRect/>
                    <a:stretch>
                      <a:fillRect/>
                    </a:stretch>
                  </pic:blipFill>
                  <pic:spPr bwMode="auto">
                    <a:xfrm>
                      <a:off x="0" y="0"/>
                      <a:ext cx="2165350" cy="470535"/>
                    </a:xfrm>
                    <a:prstGeom prst="rect">
                      <a:avLst/>
                    </a:prstGeom>
                    <a:noFill/>
                    <a:ln>
                      <a:noFill/>
                    </a:ln>
                  </pic:spPr>
                </pic:pic>
              </a:graphicData>
            </a:graphic>
          </wp:inline>
        </w:drawing>
      </w:r>
      <w:r>
        <w:t>. (8.56)</w:t>
      </w:r>
    </w:p>
    <w:p w:rsidR="00212513" w:rsidRDefault="00212513">
      <w:pPr>
        <w:pStyle w:val="ConsPlusNormal"/>
        <w:ind w:firstLine="540"/>
        <w:jc w:val="both"/>
      </w:pPr>
    </w:p>
    <w:p w:rsidR="00212513" w:rsidRDefault="00212513">
      <w:pPr>
        <w:pStyle w:val="ConsPlusNormal"/>
        <w:ind w:firstLine="540"/>
        <w:jc w:val="both"/>
      </w:pPr>
      <w:r>
        <w:t xml:space="preserve">В </w:t>
      </w:r>
      <w:hyperlink w:anchor="P7750">
        <w:r>
          <w:rPr>
            <w:color w:val="0000FF"/>
          </w:rPr>
          <w:t>формулах (8.55)</w:t>
        </w:r>
      </w:hyperlink>
      <w:r>
        <w:t xml:space="preserve"> и (8.56):</w:t>
      </w:r>
    </w:p>
    <w:p w:rsidR="00212513" w:rsidRDefault="00212513">
      <w:pPr>
        <w:pStyle w:val="ConsPlusNormal"/>
        <w:spacing w:before="220"/>
        <w:ind w:firstLine="540"/>
        <w:jc w:val="both"/>
      </w:pPr>
      <w:r>
        <w:rPr>
          <w:noProof/>
          <w:position w:val="-4"/>
        </w:rPr>
        <w:drawing>
          <wp:inline distT="0" distB="0" distL="0" distR="0">
            <wp:extent cx="156845" cy="198755"/>
            <wp:effectExtent l="0" t="0" r="0" b="0"/>
            <wp:docPr id="1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1"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 коэффициент защемления пластинки, определяемый по формулам </w:t>
      </w:r>
      <w:hyperlink w:anchor="P7764">
        <w:r>
          <w:rPr>
            <w:color w:val="0000FF"/>
          </w:rPr>
          <w:t>таблицы 8.22</w:t>
        </w:r>
      </w:hyperlink>
      <w:r>
        <w:t>;</w:t>
      </w:r>
    </w:p>
    <w:p w:rsidR="00212513" w:rsidRDefault="00212513">
      <w:pPr>
        <w:pStyle w:val="ConsPlusNormal"/>
        <w:spacing w:before="220"/>
        <w:ind w:firstLine="540"/>
        <w:jc w:val="both"/>
      </w:pPr>
      <w:r>
        <w:rPr>
          <w:noProof/>
          <w:position w:val="-6"/>
        </w:rPr>
        <w:drawing>
          <wp:inline distT="0" distB="0" distL="0" distR="0">
            <wp:extent cx="137160" cy="220980"/>
            <wp:effectExtent l="0" t="0" r="0" b="0"/>
            <wp:docPr id="1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2" cstate="print">
                      <a:extLst>
                        <a:ext uri="{28A0092B-C50C-407E-A947-70E740481C1C}">
                          <a14:useLocalDpi xmlns:a14="http://schemas.microsoft.com/office/drawing/2010/main" val="0"/>
                        </a:ext>
                      </a:extLst>
                    </a:blip>
                    <a:srcRect/>
                    <a:stretch>
                      <a:fillRect/>
                    </a:stretch>
                  </pic:blipFill>
                  <pic:spPr bwMode="auto">
                    <a:xfrm>
                      <a:off x="0" y="0"/>
                      <a:ext cx="137160" cy="220980"/>
                    </a:xfrm>
                    <a:prstGeom prst="rect">
                      <a:avLst/>
                    </a:prstGeom>
                    <a:noFill/>
                    <a:ln>
                      <a:noFill/>
                    </a:ln>
                  </pic:spPr>
                </pic:pic>
              </a:graphicData>
            </a:graphic>
          </wp:inline>
        </w:drawing>
      </w:r>
      <w:r>
        <w:t xml:space="preserve"> - коэффициент, определяемый (для сечений брутто) по формуле</w:t>
      </w:r>
    </w:p>
    <w:p w:rsidR="00212513" w:rsidRDefault="00212513">
      <w:pPr>
        <w:pStyle w:val="ConsPlusNormal"/>
        <w:ind w:firstLine="540"/>
        <w:jc w:val="both"/>
      </w:pPr>
    </w:p>
    <w:p w:rsidR="00212513" w:rsidRDefault="00212513">
      <w:pPr>
        <w:pStyle w:val="ConsPlusNormal"/>
        <w:jc w:val="center"/>
      </w:pPr>
      <w:r>
        <w:rPr>
          <w:noProof/>
          <w:position w:val="-26"/>
        </w:rPr>
        <w:drawing>
          <wp:inline distT="0" distB="0" distL="0" distR="0">
            <wp:extent cx="712470" cy="470535"/>
            <wp:effectExtent l="0" t="0" r="0" b="0"/>
            <wp:docPr id="1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3" cstate="print">
                      <a:extLst>
                        <a:ext uri="{28A0092B-C50C-407E-A947-70E740481C1C}">
                          <a14:useLocalDpi xmlns:a14="http://schemas.microsoft.com/office/drawing/2010/main" val="0"/>
                        </a:ext>
                      </a:extLst>
                    </a:blip>
                    <a:srcRect/>
                    <a:stretch>
                      <a:fillRect/>
                    </a:stretch>
                  </pic:blipFill>
                  <pic:spPr bwMode="auto">
                    <a:xfrm>
                      <a:off x="0" y="0"/>
                      <a:ext cx="712470" cy="470535"/>
                    </a:xfrm>
                    <a:prstGeom prst="rect">
                      <a:avLst/>
                    </a:prstGeom>
                    <a:noFill/>
                    <a:ln>
                      <a:noFill/>
                    </a:ln>
                  </pic:spPr>
                </pic:pic>
              </a:graphicData>
            </a:graphic>
          </wp:inline>
        </w:drawing>
      </w:r>
      <w:r>
        <w:t>, (8.57)</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8"/>
        </w:rPr>
        <w:drawing>
          <wp:inline distT="0" distB="0" distL="0" distR="0">
            <wp:extent cx="209550" cy="251460"/>
            <wp:effectExtent l="0" t="0" r="0" b="0"/>
            <wp:docPr id="1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1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максимальное и минимальное продольные нормальные напряжения по продольным границам пластинки, положительные при сжатии, определяемые по </w:t>
      </w:r>
      <w:hyperlink w:anchor="P6968">
        <w:r>
          <w:rPr>
            <w:color w:val="0000FF"/>
          </w:rPr>
          <w:t>формулам (8.4)</w:t>
        </w:r>
      </w:hyperlink>
      <w:r>
        <w:t xml:space="preserve"> - </w:t>
      </w:r>
      <w:hyperlink w:anchor="P7497">
        <w:r>
          <w:rPr>
            <w:color w:val="0000FF"/>
          </w:rPr>
          <w:t>(8.25)</w:t>
        </w:r>
      </w:hyperlink>
      <w:r>
        <w:t xml:space="preserve"> при невыгодном для устойчивости пластинки загружении, при этом коэффициенты </w:t>
      </w:r>
      <w:r>
        <w:rPr>
          <w:noProof/>
          <w:position w:val="-1"/>
        </w:rPr>
        <w:drawing>
          <wp:inline distT="0" distB="0" distL="0" distR="0">
            <wp:extent cx="167640" cy="156845"/>
            <wp:effectExtent l="0" t="0" r="0" b="0"/>
            <wp:docPr id="1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6"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w:t>
      </w:r>
      <w:r>
        <w:rPr>
          <w:noProof/>
          <w:position w:val="-8"/>
        </w:rPr>
        <w:drawing>
          <wp:inline distT="0" distB="0" distL="0" distR="0">
            <wp:extent cx="220980" cy="251460"/>
            <wp:effectExtent l="0" t="0" r="0" b="0"/>
            <wp:docPr id="1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7"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1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8"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w:t>
      </w:r>
      <w:r>
        <w:rPr>
          <w:noProof/>
          <w:position w:val="-3"/>
        </w:rPr>
        <w:drawing>
          <wp:inline distT="0" distB="0" distL="0" distR="0">
            <wp:extent cx="167640" cy="177800"/>
            <wp:effectExtent l="0" t="0" r="0" b="0"/>
            <wp:docPr id="1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9"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1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1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1"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следует принимать равными 1,0.</w:t>
      </w:r>
    </w:p>
    <w:p w:rsidR="00212513" w:rsidRDefault="00212513">
      <w:pPr>
        <w:pStyle w:val="ConsPlusNormal"/>
        <w:ind w:firstLine="540"/>
        <w:jc w:val="both"/>
      </w:pPr>
    </w:p>
    <w:p w:rsidR="00212513" w:rsidRDefault="00212513">
      <w:pPr>
        <w:pStyle w:val="ConsPlusNormal"/>
        <w:jc w:val="right"/>
      </w:pPr>
      <w:bookmarkStart w:id="336" w:name="P7764"/>
      <w:bookmarkEnd w:id="336"/>
      <w:r>
        <w:t>Таблица 8.22</w:t>
      </w:r>
    </w:p>
    <w:p w:rsidR="00212513" w:rsidRDefault="0021251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3345"/>
        <w:gridCol w:w="1251"/>
        <w:gridCol w:w="1251"/>
        <w:gridCol w:w="1251"/>
      </w:tblGrid>
      <w:tr w:rsidR="00212513">
        <w:tc>
          <w:tcPr>
            <w:tcW w:w="1984" w:type="dxa"/>
            <w:vMerge w:val="restart"/>
            <w:vAlign w:val="center"/>
          </w:tcPr>
          <w:p w:rsidR="00212513" w:rsidRDefault="00212513">
            <w:pPr>
              <w:pStyle w:val="ConsPlusNormal"/>
              <w:jc w:val="center"/>
            </w:pPr>
            <w:r>
              <w:t>Тип сечения элемента</w:t>
            </w:r>
          </w:p>
        </w:tc>
        <w:tc>
          <w:tcPr>
            <w:tcW w:w="7098" w:type="dxa"/>
            <w:gridSpan w:val="4"/>
            <w:vAlign w:val="center"/>
          </w:tcPr>
          <w:p w:rsidR="00212513" w:rsidRDefault="00212513">
            <w:pPr>
              <w:pStyle w:val="ConsPlusNormal"/>
              <w:jc w:val="center"/>
            </w:pPr>
            <w:r>
              <w:t>Коэффициент защемления пластинки </w:t>
            </w:r>
            <w:r>
              <w:rPr>
                <w:noProof/>
                <w:position w:val="-3"/>
              </w:rPr>
              <w:drawing>
                <wp:inline distT="0" distB="0" distL="0" distR="0">
                  <wp:extent cx="146050" cy="189230"/>
                  <wp:effectExtent l="0" t="0" r="0" b="0"/>
                  <wp:docPr id="1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2" cstate="print">
                            <a:extLst>
                              <a:ext uri="{28A0092B-C50C-407E-A947-70E740481C1C}">
                                <a14:useLocalDpi xmlns:a14="http://schemas.microsoft.com/office/drawing/2010/main" val="0"/>
                              </a:ext>
                            </a:extLst>
                          </a:blip>
                          <a:srcRect/>
                          <a:stretch>
                            <a:fillRect/>
                          </a:stretch>
                        </pic:blipFill>
                        <pic:spPr bwMode="auto">
                          <a:xfrm>
                            <a:off x="0" y="0"/>
                            <a:ext cx="146050" cy="189230"/>
                          </a:xfrm>
                          <a:prstGeom prst="rect">
                            <a:avLst/>
                          </a:prstGeom>
                          <a:noFill/>
                          <a:ln>
                            <a:noFill/>
                          </a:ln>
                        </pic:spPr>
                      </pic:pic>
                    </a:graphicData>
                  </a:graphic>
                </wp:inline>
              </w:drawing>
            </w:r>
          </w:p>
        </w:tc>
      </w:tr>
      <w:tr w:rsidR="00212513">
        <w:tc>
          <w:tcPr>
            <w:tcW w:w="1984" w:type="dxa"/>
            <w:vMerge/>
          </w:tcPr>
          <w:p w:rsidR="00212513" w:rsidRDefault="00212513">
            <w:pPr>
              <w:pStyle w:val="ConsPlusNormal"/>
            </w:pPr>
          </w:p>
        </w:tc>
        <w:tc>
          <w:tcPr>
            <w:tcW w:w="3345" w:type="dxa"/>
            <w:vMerge w:val="restart"/>
            <w:vAlign w:val="center"/>
          </w:tcPr>
          <w:p w:rsidR="00212513" w:rsidRDefault="00212513">
            <w:pPr>
              <w:pStyle w:val="ConsPlusNormal"/>
              <w:jc w:val="center"/>
            </w:pPr>
            <w:r>
              <w:t>стенка</w:t>
            </w:r>
          </w:p>
        </w:tc>
        <w:tc>
          <w:tcPr>
            <w:tcW w:w="3753" w:type="dxa"/>
            <w:gridSpan w:val="3"/>
            <w:vAlign w:val="center"/>
          </w:tcPr>
          <w:p w:rsidR="00212513" w:rsidRDefault="00212513">
            <w:pPr>
              <w:pStyle w:val="ConsPlusNormal"/>
              <w:jc w:val="center"/>
            </w:pPr>
            <w:r>
              <w:t>полка - для углового сечения при </w:t>
            </w:r>
            <w:r>
              <w:rPr>
                <w:noProof/>
                <w:position w:val="-8"/>
              </w:rPr>
              <w:drawing>
                <wp:inline distT="0" distB="0" distL="0" distR="0">
                  <wp:extent cx="377190" cy="251460"/>
                  <wp:effectExtent l="0" t="0" r="0" b="0"/>
                  <wp:docPr id="1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3" cstate="print">
                            <a:extLst>
                              <a:ext uri="{28A0092B-C50C-407E-A947-70E740481C1C}">
                                <a14:useLocalDpi xmlns:a14="http://schemas.microsoft.com/office/drawing/2010/main" val="0"/>
                              </a:ext>
                            </a:extLst>
                          </a:blip>
                          <a:srcRect/>
                          <a:stretch>
                            <a:fillRect/>
                          </a:stretch>
                        </pic:blipFill>
                        <pic:spPr bwMode="auto">
                          <a:xfrm>
                            <a:off x="0" y="0"/>
                            <a:ext cx="377190" cy="251460"/>
                          </a:xfrm>
                          <a:prstGeom prst="rect">
                            <a:avLst/>
                          </a:prstGeom>
                          <a:noFill/>
                          <a:ln>
                            <a:noFill/>
                          </a:ln>
                        </pic:spPr>
                      </pic:pic>
                    </a:graphicData>
                  </a:graphic>
                </wp:inline>
              </w:drawing>
            </w:r>
          </w:p>
        </w:tc>
      </w:tr>
      <w:tr w:rsidR="00212513">
        <w:tc>
          <w:tcPr>
            <w:tcW w:w="1984" w:type="dxa"/>
            <w:vMerge/>
          </w:tcPr>
          <w:p w:rsidR="00212513" w:rsidRDefault="00212513">
            <w:pPr>
              <w:pStyle w:val="ConsPlusNormal"/>
            </w:pPr>
          </w:p>
        </w:tc>
        <w:tc>
          <w:tcPr>
            <w:tcW w:w="3345" w:type="dxa"/>
            <w:vMerge/>
          </w:tcPr>
          <w:p w:rsidR="00212513" w:rsidRDefault="00212513">
            <w:pPr>
              <w:pStyle w:val="ConsPlusNormal"/>
            </w:pPr>
          </w:p>
        </w:tc>
        <w:tc>
          <w:tcPr>
            <w:tcW w:w="1251" w:type="dxa"/>
            <w:vAlign w:val="center"/>
          </w:tcPr>
          <w:p w:rsidR="00212513" w:rsidRDefault="00212513">
            <w:pPr>
              <w:pStyle w:val="ConsPlusNormal"/>
              <w:jc w:val="center"/>
            </w:pPr>
            <w:r>
              <w:t>1</w:t>
            </w:r>
          </w:p>
        </w:tc>
        <w:tc>
          <w:tcPr>
            <w:tcW w:w="1251" w:type="dxa"/>
            <w:vAlign w:val="center"/>
          </w:tcPr>
          <w:p w:rsidR="00212513" w:rsidRDefault="00212513">
            <w:pPr>
              <w:pStyle w:val="ConsPlusNormal"/>
              <w:jc w:val="center"/>
            </w:pPr>
            <w:r>
              <w:t>0,667</w:t>
            </w:r>
          </w:p>
        </w:tc>
        <w:tc>
          <w:tcPr>
            <w:tcW w:w="1251" w:type="dxa"/>
            <w:vAlign w:val="center"/>
          </w:tcPr>
          <w:p w:rsidR="00212513" w:rsidRDefault="00212513">
            <w:pPr>
              <w:pStyle w:val="ConsPlusNormal"/>
              <w:jc w:val="center"/>
            </w:pPr>
            <w:r>
              <w:t>0,5</w:t>
            </w:r>
          </w:p>
        </w:tc>
      </w:tr>
      <w:tr w:rsidR="00212513">
        <w:tblPrEx>
          <w:tblBorders>
            <w:insideH w:val="nil"/>
          </w:tblBorders>
        </w:tblPrEx>
        <w:tc>
          <w:tcPr>
            <w:tcW w:w="1984" w:type="dxa"/>
            <w:tcBorders>
              <w:bottom w:val="nil"/>
            </w:tcBorders>
          </w:tcPr>
          <w:p w:rsidR="00212513" w:rsidRDefault="00212513">
            <w:pPr>
              <w:pStyle w:val="ConsPlusNormal"/>
            </w:pPr>
            <w:r>
              <w:t>Коробчатое (</w:t>
            </w:r>
            <w:hyperlink w:anchor="P7743">
              <w:r>
                <w:rPr>
                  <w:color w:val="0000FF"/>
                </w:rPr>
                <w:t>рисунок 8.1</w:t>
              </w:r>
            </w:hyperlink>
            <w:r>
              <w:t>, а)</w:t>
            </w:r>
          </w:p>
        </w:tc>
        <w:tc>
          <w:tcPr>
            <w:tcW w:w="3345" w:type="dxa"/>
            <w:tcBorders>
              <w:bottom w:val="nil"/>
            </w:tcBorders>
          </w:tcPr>
          <w:p w:rsidR="00212513" w:rsidRDefault="00212513">
            <w:pPr>
              <w:pStyle w:val="ConsPlusNormal"/>
              <w:jc w:val="center"/>
            </w:pPr>
            <w:r>
              <w:rPr>
                <w:noProof/>
                <w:position w:val="-26"/>
              </w:rPr>
              <w:drawing>
                <wp:inline distT="0" distB="0" distL="0" distR="0">
                  <wp:extent cx="1156970" cy="470535"/>
                  <wp:effectExtent l="0" t="0" r="0" b="0"/>
                  <wp:docPr id="1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4" cstate="print">
                            <a:extLst>
                              <a:ext uri="{28A0092B-C50C-407E-A947-70E740481C1C}">
                                <a14:useLocalDpi xmlns:a14="http://schemas.microsoft.com/office/drawing/2010/main" val="0"/>
                              </a:ext>
                            </a:extLst>
                          </a:blip>
                          <a:srcRect/>
                          <a:stretch>
                            <a:fillRect/>
                          </a:stretch>
                        </pic:blipFill>
                        <pic:spPr bwMode="auto">
                          <a:xfrm>
                            <a:off x="0" y="0"/>
                            <a:ext cx="1156970" cy="470535"/>
                          </a:xfrm>
                          <a:prstGeom prst="rect">
                            <a:avLst/>
                          </a:prstGeom>
                          <a:noFill/>
                          <a:ln>
                            <a:noFill/>
                          </a:ln>
                        </pic:spPr>
                      </pic:pic>
                    </a:graphicData>
                  </a:graphic>
                </wp:inline>
              </w:drawing>
            </w:r>
          </w:p>
        </w:tc>
        <w:tc>
          <w:tcPr>
            <w:tcW w:w="3753" w:type="dxa"/>
            <w:gridSpan w:val="3"/>
            <w:tcBorders>
              <w:bottom w:val="nil"/>
            </w:tcBorders>
          </w:tcPr>
          <w:p w:rsidR="00212513" w:rsidRDefault="00212513">
            <w:pPr>
              <w:pStyle w:val="ConsPlusNormal"/>
              <w:jc w:val="center"/>
            </w:pPr>
            <w:r>
              <w:rPr>
                <w:noProof/>
                <w:position w:val="-43"/>
              </w:rPr>
              <w:drawing>
                <wp:inline distT="0" distB="0" distL="0" distR="0">
                  <wp:extent cx="1283970" cy="691515"/>
                  <wp:effectExtent l="0" t="0" r="0" b="0"/>
                  <wp:docPr id="1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5" cstate="print">
                            <a:extLst>
                              <a:ext uri="{28A0092B-C50C-407E-A947-70E740481C1C}">
                                <a14:useLocalDpi xmlns:a14="http://schemas.microsoft.com/office/drawing/2010/main" val="0"/>
                              </a:ext>
                            </a:extLst>
                          </a:blip>
                          <a:srcRect/>
                          <a:stretch>
                            <a:fillRect/>
                          </a:stretch>
                        </pic:blipFill>
                        <pic:spPr bwMode="auto">
                          <a:xfrm>
                            <a:off x="0" y="0"/>
                            <a:ext cx="1283970" cy="691515"/>
                          </a:xfrm>
                          <a:prstGeom prst="rect">
                            <a:avLst/>
                          </a:prstGeom>
                          <a:noFill/>
                          <a:ln>
                            <a:noFill/>
                          </a:ln>
                        </pic:spPr>
                      </pic:pic>
                    </a:graphicData>
                  </a:graphic>
                </wp:inline>
              </w:drawing>
            </w:r>
          </w:p>
        </w:tc>
      </w:tr>
      <w:tr w:rsidR="00212513">
        <w:tblPrEx>
          <w:tblBorders>
            <w:insideH w:val="nil"/>
          </w:tblBorders>
        </w:tblPrEx>
        <w:tc>
          <w:tcPr>
            <w:tcW w:w="9082" w:type="dxa"/>
            <w:gridSpan w:val="5"/>
            <w:tcBorders>
              <w:top w:val="nil"/>
            </w:tcBorders>
          </w:tcPr>
          <w:p w:rsidR="00212513" w:rsidRDefault="00212513">
            <w:pPr>
              <w:pStyle w:val="ConsPlusNormal"/>
              <w:jc w:val="both"/>
            </w:pPr>
            <w:r>
              <w:t xml:space="preserve">(в ред. </w:t>
            </w:r>
            <w:hyperlink r:id="rId1816">
              <w:r>
                <w:rPr>
                  <w:color w:val="0000FF"/>
                </w:rPr>
                <w:t>Изменения N 4</w:t>
              </w:r>
            </w:hyperlink>
            <w:r>
              <w:t>, утв. Приказом Минстроя России от 30.05.2024 N 361/пр)</w:t>
            </w:r>
          </w:p>
        </w:tc>
      </w:tr>
      <w:tr w:rsidR="00212513">
        <w:tblPrEx>
          <w:tblBorders>
            <w:insideH w:val="nil"/>
          </w:tblBorders>
        </w:tblPrEx>
        <w:tc>
          <w:tcPr>
            <w:tcW w:w="1984" w:type="dxa"/>
            <w:tcBorders>
              <w:bottom w:val="nil"/>
            </w:tcBorders>
          </w:tcPr>
          <w:p w:rsidR="00212513" w:rsidRDefault="00212513">
            <w:pPr>
              <w:pStyle w:val="ConsPlusNormal"/>
            </w:pPr>
            <w:r>
              <w:t>Двутавровое (</w:t>
            </w:r>
            <w:hyperlink w:anchor="P7743">
              <w:r>
                <w:rPr>
                  <w:color w:val="0000FF"/>
                </w:rPr>
                <w:t>рисунок 8.1</w:t>
              </w:r>
            </w:hyperlink>
            <w:r>
              <w:t>, б)</w:t>
            </w:r>
          </w:p>
        </w:tc>
        <w:tc>
          <w:tcPr>
            <w:tcW w:w="3345" w:type="dxa"/>
            <w:tcBorders>
              <w:bottom w:val="nil"/>
            </w:tcBorders>
          </w:tcPr>
          <w:p w:rsidR="00212513" w:rsidRDefault="00212513">
            <w:pPr>
              <w:pStyle w:val="ConsPlusNormal"/>
              <w:jc w:val="center"/>
            </w:pPr>
            <w:r>
              <w:rPr>
                <w:noProof/>
                <w:position w:val="-28"/>
              </w:rPr>
              <w:drawing>
                <wp:inline distT="0" distB="0" distL="0" distR="0">
                  <wp:extent cx="1802130" cy="502920"/>
                  <wp:effectExtent l="0" t="0" r="0" b="0"/>
                  <wp:docPr id="1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7" cstate="print">
                            <a:extLst>
                              <a:ext uri="{28A0092B-C50C-407E-A947-70E740481C1C}">
                                <a14:useLocalDpi xmlns:a14="http://schemas.microsoft.com/office/drawing/2010/main" val="0"/>
                              </a:ext>
                            </a:extLst>
                          </a:blip>
                          <a:srcRect/>
                          <a:stretch>
                            <a:fillRect/>
                          </a:stretch>
                        </pic:blipFill>
                        <pic:spPr bwMode="auto">
                          <a:xfrm>
                            <a:off x="0" y="0"/>
                            <a:ext cx="1802130" cy="502920"/>
                          </a:xfrm>
                          <a:prstGeom prst="rect">
                            <a:avLst/>
                          </a:prstGeom>
                          <a:noFill/>
                          <a:ln>
                            <a:noFill/>
                          </a:ln>
                        </pic:spPr>
                      </pic:pic>
                    </a:graphicData>
                  </a:graphic>
                </wp:inline>
              </w:drawing>
            </w:r>
          </w:p>
        </w:tc>
        <w:tc>
          <w:tcPr>
            <w:tcW w:w="3753" w:type="dxa"/>
            <w:gridSpan w:val="3"/>
            <w:tcBorders>
              <w:bottom w:val="nil"/>
            </w:tcBorders>
          </w:tcPr>
          <w:p w:rsidR="00212513" w:rsidRDefault="00212513">
            <w:pPr>
              <w:pStyle w:val="ConsPlusNormal"/>
              <w:jc w:val="center"/>
            </w:pPr>
            <w:r>
              <w:rPr>
                <w:noProof/>
                <w:position w:val="-43"/>
              </w:rPr>
              <w:drawing>
                <wp:inline distT="0" distB="0" distL="0" distR="0">
                  <wp:extent cx="1830070" cy="691515"/>
                  <wp:effectExtent l="0" t="0" r="0" b="0"/>
                  <wp:docPr id="1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8" cstate="print">
                            <a:extLst>
                              <a:ext uri="{28A0092B-C50C-407E-A947-70E740481C1C}">
                                <a14:useLocalDpi xmlns:a14="http://schemas.microsoft.com/office/drawing/2010/main" val="0"/>
                              </a:ext>
                            </a:extLst>
                          </a:blip>
                          <a:srcRect/>
                          <a:stretch>
                            <a:fillRect/>
                          </a:stretch>
                        </pic:blipFill>
                        <pic:spPr bwMode="auto">
                          <a:xfrm>
                            <a:off x="0" y="0"/>
                            <a:ext cx="1830070" cy="691515"/>
                          </a:xfrm>
                          <a:prstGeom prst="rect">
                            <a:avLst/>
                          </a:prstGeom>
                          <a:noFill/>
                          <a:ln>
                            <a:noFill/>
                          </a:ln>
                        </pic:spPr>
                      </pic:pic>
                    </a:graphicData>
                  </a:graphic>
                </wp:inline>
              </w:drawing>
            </w:r>
          </w:p>
        </w:tc>
      </w:tr>
      <w:tr w:rsidR="00212513">
        <w:tblPrEx>
          <w:tblBorders>
            <w:insideH w:val="nil"/>
          </w:tblBorders>
        </w:tblPrEx>
        <w:tc>
          <w:tcPr>
            <w:tcW w:w="9082" w:type="dxa"/>
            <w:gridSpan w:val="5"/>
            <w:tcBorders>
              <w:top w:val="nil"/>
            </w:tcBorders>
          </w:tcPr>
          <w:p w:rsidR="00212513" w:rsidRDefault="00212513">
            <w:pPr>
              <w:pStyle w:val="ConsPlusNormal"/>
              <w:jc w:val="both"/>
            </w:pPr>
            <w:r>
              <w:t xml:space="preserve">(в ред. </w:t>
            </w:r>
            <w:hyperlink r:id="rId1819">
              <w:r>
                <w:rPr>
                  <w:color w:val="0000FF"/>
                </w:rPr>
                <w:t>Изменения N 4</w:t>
              </w:r>
            </w:hyperlink>
            <w:r>
              <w:t>, утв. Приказом Минстроя России от 30.05.2024 N 361/пр)</w:t>
            </w:r>
          </w:p>
        </w:tc>
      </w:tr>
      <w:tr w:rsidR="00212513">
        <w:tblPrEx>
          <w:tblBorders>
            <w:insideH w:val="nil"/>
          </w:tblBorders>
        </w:tblPrEx>
        <w:tc>
          <w:tcPr>
            <w:tcW w:w="1984" w:type="dxa"/>
            <w:tcBorders>
              <w:bottom w:val="nil"/>
            </w:tcBorders>
          </w:tcPr>
          <w:p w:rsidR="00212513" w:rsidRDefault="00212513">
            <w:pPr>
              <w:pStyle w:val="ConsPlusNormal"/>
            </w:pPr>
            <w:r>
              <w:t>Тавровое (</w:t>
            </w:r>
            <w:hyperlink w:anchor="P7743">
              <w:r>
                <w:rPr>
                  <w:color w:val="0000FF"/>
                </w:rPr>
                <w:t>рисунок 8.1</w:t>
              </w:r>
            </w:hyperlink>
            <w:r>
              <w:t>, в)</w:t>
            </w:r>
          </w:p>
        </w:tc>
        <w:tc>
          <w:tcPr>
            <w:tcW w:w="3345" w:type="dxa"/>
            <w:tcBorders>
              <w:bottom w:val="nil"/>
            </w:tcBorders>
          </w:tcPr>
          <w:p w:rsidR="00212513" w:rsidRDefault="00212513">
            <w:pPr>
              <w:pStyle w:val="ConsPlusNormal"/>
              <w:jc w:val="center"/>
            </w:pPr>
            <w:r>
              <w:rPr>
                <w:noProof/>
                <w:position w:val="-26"/>
              </w:rPr>
              <w:drawing>
                <wp:inline distT="0" distB="0" distL="0" distR="0">
                  <wp:extent cx="1148080" cy="470535"/>
                  <wp:effectExtent l="0" t="0" r="0" b="0"/>
                  <wp:docPr id="1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0" cstate="print">
                            <a:extLst>
                              <a:ext uri="{28A0092B-C50C-407E-A947-70E740481C1C}">
                                <a14:useLocalDpi xmlns:a14="http://schemas.microsoft.com/office/drawing/2010/main" val="0"/>
                              </a:ext>
                            </a:extLst>
                          </a:blip>
                          <a:srcRect/>
                          <a:stretch>
                            <a:fillRect/>
                          </a:stretch>
                        </pic:blipFill>
                        <pic:spPr bwMode="auto">
                          <a:xfrm>
                            <a:off x="0" y="0"/>
                            <a:ext cx="1148080" cy="470535"/>
                          </a:xfrm>
                          <a:prstGeom prst="rect">
                            <a:avLst/>
                          </a:prstGeom>
                          <a:noFill/>
                          <a:ln>
                            <a:noFill/>
                          </a:ln>
                        </pic:spPr>
                      </pic:pic>
                    </a:graphicData>
                  </a:graphic>
                </wp:inline>
              </w:drawing>
            </w:r>
          </w:p>
        </w:tc>
        <w:tc>
          <w:tcPr>
            <w:tcW w:w="3753" w:type="dxa"/>
            <w:gridSpan w:val="3"/>
            <w:tcBorders>
              <w:bottom w:val="nil"/>
            </w:tcBorders>
          </w:tcPr>
          <w:p w:rsidR="00212513" w:rsidRDefault="00212513">
            <w:pPr>
              <w:pStyle w:val="ConsPlusNormal"/>
              <w:jc w:val="center"/>
            </w:pPr>
            <w:r>
              <w:rPr>
                <w:noProof/>
                <w:position w:val="-43"/>
              </w:rPr>
              <w:drawing>
                <wp:inline distT="0" distB="0" distL="0" distR="0">
                  <wp:extent cx="1452880" cy="691515"/>
                  <wp:effectExtent l="0" t="0" r="0" b="0"/>
                  <wp:docPr id="1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1" cstate="print">
                            <a:extLst>
                              <a:ext uri="{28A0092B-C50C-407E-A947-70E740481C1C}">
                                <a14:useLocalDpi xmlns:a14="http://schemas.microsoft.com/office/drawing/2010/main" val="0"/>
                              </a:ext>
                            </a:extLst>
                          </a:blip>
                          <a:srcRect/>
                          <a:stretch>
                            <a:fillRect/>
                          </a:stretch>
                        </pic:blipFill>
                        <pic:spPr bwMode="auto">
                          <a:xfrm>
                            <a:off x="0" y="0"/>
                            <a:ext cx="1452880" cy="691515"/>
                          </a:xfrm>
                          <a:prstGeom prst="rect">
                            <a:avLst/>
                          </a:prstGeom>
                          <a:noFill/>
                          <a:ln>
                            <a:noFill/>
                          </a:ln>
                        </pic:spPr>
                      </pic:pic>
                    </a:graphicData>
                  </a:graphic>
                </wp:inline>
              </w:drawing>
            </w:r>
          </w:p>
        </w:tc>
      </w:tr>
      <w:tr w:rsidR="00212513">
        <w:tblPrEx>
          <w:tblBorders>
            <w:insideH w:val="nil"/>
          </w:tblBorders>
        </w:tblPrEx>
        <w:tc>
          <w:tcPr>
            <w:tcW w:w="9082" w:type="dxa"/>
            <w:gridSpan w:val="5"/>
            <w:tcBorders>
              <w:top w:val="nil"/>
            </w:tcBorders>
          </w:tcPr>
          <w:p w:rsidR="00212513" w:rsidRDefault="00212513">
            <w:pPr>
              <w:pStyle w:val="ConsPlusNormal"/>
              <w:jc w:val="both"/>
            </w:pPr>
            <w:r>
              <w:t xml:space="preserve">(в ред. </w:t>
            </w:r>
            <w:hyperlink r:id="rId1822">
              <w:r>
                <w:rPr>
                  <w:color w:val="0000FF"/>
                </w:rPr>
                <w:t>Изменения N 4</w:t>
              </w:r>
            </w:hyperlink>
            <w:r>
              <w:t>, утв. Приказом Минстроя России от 30.05.2024 N 361/пр)</w:t>
            </w:r>
          </w:p>
        </w:tc>
      </w:tr>
      <w:tr w:rsidR="00212513">
        <w:tblPrEx>
          <w:tblBorders>
            <w:insideH w:val="nil"/>
          </w:tblBorders>
        </w:tblPrEx>
        <w:tc>
          <w:tcPr>
            <w:tcW w:w="1984" w:type="dxa"/>
            <w:tcBorders>
              <w:bottom w:val="nil"/>
            </w:tcBorders>
          </w:tcPr>
          <w:p w:rsidR="00212513" w:rsidRDefault="00212513">
            <w:pPr>
              <w:pStyle w:val="ConsPlusNormal"/>
            </w:pPr>
            <w:r>
              <w:t>Швеллерное (</w:t>
            </w:r>
            <w:hyperlink w:anchor="P7743">
              <w:r>
                <w:rPr>
                  <w:color w:val="0000FF"/>
                </w:rPr>
                <w:t>рисунок 8.1</w:t>
              </w:r>
            </w:hyperlink>
            <w:r>
              <w:t>, г)</w:t>
            </w:r>
          </w:p>
        </w:tc>
        <w:tc>
          <w:tcPr>
            <w:tcW w:w="3345" w:type="dxa"/>
            <w:tcBorders>
              <w:bottom w:val="nil"/>
            </w:tcBorders>
          </w:tcPr>
          <w:p w:rsidR="00212513" w:rsidRDefault="00212513">
            <w:pPr>
              <w:pStyle w:val="ConsPlusNormal"/>
              <w:jc w:val="center"/>
            </w:pPr>
            <w:r>
              <w:rPr>
                <w:noProof/>
                <w:position w:val="-8"/>
              </w:rPr>
              <w:drawing>
                <wp:inline distT="0" distB="0" distL="0" distR="0">
                  <wp:extent cx="586740" cy="251460"/>
                  <wp:effectExtent l="0" t="0" r="0" b="0"/>
                  <wp:docPr id="1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3"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p>
        </w:tc>
        <w:tc>
          <w:tcPr>
            <w:tcW w:w="3753" w:type="dxa"/>
            <w:gridSpan w:val="3"/>
            <w:tcBorders>
              <w:bottom w:val="nil"/>
            </w:tcBorders>
          </w:tcPr>
          <w:p w:rsidR="00212513" w:rsidRDefault="00212513">
            <w:pPr>
              <w:pStyle w:val="ConsPlusNormal"/>
              <w:jc w:val="center"/>
            </w:pPr>
            <w:r>
              <w:rPr>
                <w:noProof/>
                <w:position w:val="-8"/>
              </w:rPr>
              <w:drawing>
                <wp:inline distT="0" distB="0" distL="0" distR="0">
                  <wp:extent cx="733425" cy="251460"/>
                  <wp:effectExtent l="0" t="0" r="0" b="0"/>
                  <wp:docPr id="1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4" cstate="print">
                            <a:extLst>
                              <a:ext uri="{28A0092B-C50C-407E-A947-70E740481C1C}">
                                <a14:useLocalDpi xmlns:a14="http://schemas.microsoft.com/office/drawing/2010/main" val="0"/>
                              </a:ext>
                            </a:extLst>
                          </a:blip>
                          <a:srcRect/>
                          <a:stretch>
                            <a:fillRect/>
                          </a:stretch>
                        </pic:blipFill>
                        <pic:spPr bwMode="auto">
                          <a:xfrm>
                            <a:off x="0" y="0"/>
                            <a:ext cx="733425" cy="251460"/>
                          </a:xfrm>
                          <a:prstGeom prst="rect">
                            <a:avLst/>
                          </a:prstGeom>
                          <a:noFill/>
                          <a:ln>
                            <a:noFill/>
                          </a:ln>
                        </pic:spPr>
                      </pic:pic>
                    </a:graphicData>
                  </a:graphic>
                </wp:inline>
              </w:drawing>
            </w:r>
          </w:p>
        </w:tc>
      </w:tr>
      <w:tr w:rsidR="00212513">
        <w:tblPrEx>
          <w:tblBorders>
            <w:insideH w:val="nil"/>
          </w:tblBorders>
        </w:tblPrEx>
        <w:tc>
          <w:tcPr>
            <w:tcW w:w="9082" w:type="dxa"/>
            <w:gridSpan w:val="5"/>
            <w:tcBorders>
              <w:top w:val="nil"/>
            </w:tcBorders>
          </w:tcPr>
          <w:p w:rsidR="00212513" w:rsidRDefault="00212513">
            <w:pPr>
              <w:pStyle w:val="ConsPlusNormal"/>
              <w:jc w:val="both"/>
            </w:pPr>
            <w:r>
              <w:t xml:space="preserve">(в ред. </w:t>
            </w:r>
            <w:hyperlink r:id="rId1825">
              <w:r>
                <w:rPr>
                  <w:color w:val="0000FF"/>
                </w:rPr>
                <w:t>Изменения N 4</w:t>
              </w:r>
            </w:hyperlink>
            <w:r>
              <w:t>, утв. Приказом Минстроя России от 30.05.2024 N 361/пр)</w:t>
            </w:r>
          </w:p>
        </w:tc>
      </w:tr>
      <w:tr w:rsidR="00212513">
        <w:tblPrEx>
          <w:tblBorders>
            <w:insideH w:val="nil"/>
          </w:tblBorders>
        </w:tblPrEx>
        <w:tc>
          <w:tcPr>
            <w:tcW w:w="1984" w:type="dxa"/>
            <w:tcBorders>
              <w:bottom w:val="nil"/>
            </w:tcBorders>
          </w:tcPr>
          <w:p w:rsidR="00212513" w:rsidRDefault="00212513">
            <w:pPr>
              <w:pStyle w:val="ConsPlusNormal"/>
            </w:pPr>
            <w:r>
              <w:t xml:space="preserve">Угловое для полки высотой </w:t>
            </w:r>
            <w:r>
              <w:rPr>
                <w:i/>
              </w:rPr>
              <w:t>h</w:t>
            </w:r>
            <w:r>
              <w:t xml:space="preserve"> (</w:t>
            </w:r>
            <w:hyperlink w:anchor="P7743">
              <w:r>
                <w:rPr>
                  <w:color w:val="0000FF"/>
                </w:rPr>
                <w:t xml:space="preserve">рисунок </w:t>
              </w:r>
              <w:r>
                <w:rPr>
                  <w:color w:val="0000FF"/>
                </w:rPr>
                <w:lastRenderedPageBreak/>
                <w:t>8.1</w:t>
              </w:r>
            </w:hyperlink>
            <w:r>
              <w:t>, д)</w:t>
            </w:r>
          </w:p>
        </w:tc>
        <w:tc>
          <w:tcPr>
            <w:tcW w:w="3345" w:type="dxa"/>
            <w:tcBorders>
              <w:bottom w:val="nil"/>
            </w:tcBorders>
          </w:tcPr>
          <w:p w:rsidR="00212513" w:rsidRDefault="00212513">
            <w:pPr>
              <w:pStyle w:val="ConsPlusNormal"/>
              <w:jc w:val="center"/>
            </w:pPr>
            <w:r>
              <w:lastRenderedPageBreak/>
              <w:t>-</w:t>
            </w:r>
          </w:p>
        </w:tc>
        <w:tc>
          <w:tcPr>
            <w:tcW w:w="1251" w:type="dxa"/>
            <w:tcBorders>
              <w:bottom w:val="nil"/>
            </w:tcBorders>
          </w:tcPr>
          <w:p w:rsidR="00212513" w:rsidRDefault="00212513">
            <w:pPr>
              <w:pStyle w:val="ConsPlusNormal"/>
              <w:jc w:val="center"/>
            </w:pPr>
            <w:r>
              <w:rPr>
                <w:noProof/>
                <w:position w:val="-8"/>
              </w:rPr>
              <w:drawing>
                <wp:inline distT="0" distB="0" distL="0" distR="0">
                  <wp:extent cx="494030" cy="251460"/>
                  <wp:effectExtent l="0" t="0" r="0" b="0"/>
                  <wp:docPr id="1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6" cstate="print">
                            <a:extLst>
                              <a:ext uri="{28A0092B-C50C-407E-A947-70E740481C1C}">
                                <a14:useLocalDpi xmlns:a14="http://schemas.microsoft.com/office/drawing/2010/main" val="0"/>
                              </a:ext>
                            </a:extLst>
                          </a:blip>
                          <a:srcRect/>
                          <a:stretch>
                            <a:fillRect/>
                          </a:stretch>
                        </pic:blipFill>
                        <pic:spPr bwMode="auto">
                          <a:xfrm>
                            <a:off x="0" y="0"/>
                            <a:ext cx="494030" cy="251460"/>
                          </a:xfrm>
                          <a:prstGeom prst="rect">
                            <a:avLst/>
                          </a:prstGeom>
                          <a:noFill/>
                          <a:ln>
                            <a:noFill/>
                          </a:ln>
                        </pic:spPr>
                      </pic:pic>
                    </a:graphicData>
                  </a:graphic>
                </wp:inline>
              </w:drawing>
            </w:r>
          </w:p>
        </w:tc>
        <w:tc>
          <w:tcPr>
            <w:tcW w:w="1251" w:type="dxa"/>
            <w:tcBorders>
              <w:bottom w:val="nil"/>
            </w:tcBorders>
          </w:tcPr>
          <w:p w:rsidR="00212513" w:rsidRDefault="00212513">
            <w:pPr>
              <w:pStyle w:val="ConsPlusNormal"/>
              <w:jc w:val="center"/>
            </w:pPr>
            <w:r>
              <w:rPr>
                <w:noProof/>
                <w:position w:val="-8"/>
              </w:rPr>
              <w:drawing>
                <wp:inline distT="0" distB="0" distL="0" distR="0">
                  <wp:extent cx="511810" cy="251460"/>
                  <wp:effectExtent l="0" t="0" r="0" b="0"/>
                  <wp:docPr id="1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7" cstate="print">
                            <a:extLst>
                              <a:ext uri="{28A0092B-C50C-407E-A947-70E740481C1C}">
                                <a14:useLocalDpi xmlns:a14="http://schemas.microsoft.com/office/drawing/2010/main" val="0"/>
                              </a:ext>
                            </a:extLst>
                          </a:blip>
                          <a:srcRect/>
                          <a:stretch>
                            <a:fillRect/>
                          </a:stretch>
                        </pic:blipFill>
                        <pic:spPr bwMode="auto">
                          <a:xfrm>
                            <a:off x="0" y="0"/>
                            <a:ext cx="511810" cy="251460"/>
                          </a:xfrm>
                          <a:prstGeom prst="rect">
                            <a:avLst/>
                          </a:prstGeom>
                          <a:noFill/>
                          <a:ln>
                            <a:noFill/>
                          </a:ln>
                        </pic:spPr>
                      </pic:pic>
                    </a:graphicData>
                  </a:graphic>
                </wp:inline>
              </w:drawing>
            </w:r>
          </w:p>
        </w:tc>
        <w:tc>
          <w:tcPr>
            <w:tcW w:w="1251" w:type="dxa"/>
            <w:tcBorders>
              <w:bottom w:val="nil"/>
            </w:tcBorders>
          </w:tcPr>
          <w:p w:rsidR="00212513" w:rsidRDefault="00212513">
            <w:pPr>
              <w:pStyle w:val="ConsPlusNormal"/>
              <w:jc w:val="center"/>
            </w:pPr>
            <w:r>
              <w:rPr>
                <w:noProof/>
                <w:position w:val="-8"/>
              </w:rPr>
              <w:drawing>
                <wp:inline distT="0" distB="0" distL="0" distR="0">
                  <wp:extent cx="586740" cy="251460"/>
                  <wp:effectExtent l="0" t="0" r="0" b="0"/>
                  <wp:docPr id="1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8"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p>
        </w:tc>
      </w:tr>
      <w:tr w:rsidR="00212513">
        <w:tblPrEx>
          <w:tblBorders>
            <w:insideH w:val="nil"/>
          </w:tblBorders>
        </w:tblPrEx>
        <w:tc>
          <w:tcPr>
            <w:tcW w:w="9082" w:type="dxa"/>
            <w:gridSpan w:val="5"/>
            <w:tcBorders>
              <w:top w:val="nil"/>
            </w:tcBorders>
          </w:tcPr>
          <w:p w:rsidR="00212513" w:rsidRDefault="00212513">
            <w:pPr>
              <w:pStyle w:val="ConsPlusNormal"/>
              <w:jc w:val="both"/>
            </w:pPr>
            <w:r>
              <w:lastRenderedPageBreak/>
              <w:t xml:space="preserve">(в ред. </w:t>
            </w:r>
            <w:hyperlink r:id="rId1829">
              <w:r>
                <w:rPr>
                  <w:color w:val="0000FF"/>
                </w:rPr>
                <w:t>Изменения N 4</w:t>
              </w:r>
            </w:hyperlink>
            <w:r>
              <w:t>, утв. Приказом Минстроя России от 30.05.2024 N 361/пр)</w:t>
            </w:r>
          </w:p>
        </w:tc>
      </w:tr>
      <w:tr w:rsidR="00212513">
        <w:tblPrEx>
          <w:tblBorders>
            <w:insideH w:val="nil"/>
          </w:tblBorders>
        </w:tblPrEx>
        <w:tc>
          <w:tcPr>
            <w:tcW w:w="1984" w:type="dxa"/>
            <w:tcBorders>
              <w:bottom w:val="nil"/>
            </w:tcBorders>
          </w:tcPr>
          <w:p w:rsidR="00212513" w:rsidRDefault="00212513">
            <w:pPr>
              <w:pStyle w:val="ConsPlusNormal"/>
            </w:pPr>
            <w:r>
              <w:t>Крестовое (</w:t>
            </w:r>
            <w:hyperlink w:anchor="P7743">
              <w:r>
                <w:rPr>
                  <w:color w:val="0000FF"/>
                </w:rPr>
                <w:t>рисунок 8.1</w:t>
              </w:r>
            </w:hyperlink>
            <w:r>
              <w:t>, е)</w:t>
            </w:r>
          </w:p>
        </w:tc>
        <w:tc>
          <w:tcPr>
            <w:tcW w:w="3345" w:type="dxa"/>
            <w:tcBorders>
              <w:bottom w:val="nil"/>
            </w:tcBorders>
          </w:tcPr>
          <w:p w:rsidR="00212513" w:rsidRDefault="00212513">
            <w:pPr>
              <w:pStyle w:val="ConsPlusNormal"/>
              <w:jc w:val="center"/>
            </w:pPr>
            <w:r>
              <w:rPr>
                <w:noProof/>
                <w:position w:val="-8"/>
              </w:rPr>
              <w:drawing>
                <wp:inline distT="0" distB="0" distL="0" distR="0">
                  <wp:extent cx="535940" cy="251460"/>
                  <wp:effectExtent l="0" t="0" r="0" b="0"/>
                  <wp:docPr id="1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0" cstate="print">
                            <a:extLst>
                              <a:ext uri="{28A0092B-C50C-407E-A947-70E740481C1C}">
                                <a14:useLocalDpi xmlns:a14="http://schemas.microsoft.com/office/drawing/2010/main" val="0"/>
                              </a:ext>
                            </a:extLst>
                          </a:blip>
                          <a:srcRect/>
                          <a:stretch>
                            <a:fillRect/>
                          </a:stretch>
                        </pic:blipFill>
                        <pic:spPr bwMode="auto">
                          <a:xfrm>
                            <a:off x="0" y="0"/>
                            <a:ext cx="535940" cy="251460"/>
                          </a:xfrm>
                          <a:prstGeom prst="rect">
                            <a:avLst/>
                          </a:prstGeom>
                          <a:noFill/>
                          <a:ln>
                            <a:noFill/>
                          </a:ln>
                        </pic:spPr>
                      </pic:pic>
                    </a:graphicData>
                  </a:graphic>
                </wp:inline>
              </w:drawing>
            </w:r>
          </w:p>
        </w:tc>
        <w:tc>
          <w:tcPr>
            <w:tcW w:w="3753" w:type="dxa"/>
            <w:gridSpan w:val="3"/>
            <w:tcBorders>
              <w:bottom w:val="nil"/>
            </w:tcBorders>
          </w:tcPr>
          <w:p w:rsidR="00212513" w:rsidRDefault="00212513">
            <w:pPr>
              <w:pStyle w:val="ConsPlusNormal"/>
              <w:jc w:val="center"/>
            </w:pPr>
            <w:r>
              <w:rPr>
                <w:noProof/>
                <w:position w:val="-8"/>
              </w:rPr>
              <w:drawing>
                <wp:inline distT="0" distB="0" distL="0" distR="0">
                  <wp:extent cx="535940" cy="251460"/>
                  <wp:effectExtent l="0" t="0" r="0" b="0"/>
                  <wp:docPr id="1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0" cstate="print">
                            <a:extLst>
                              <a:ext uri="{28A0092B-C50C-407E-A947-70E740481C1C}">
                                <a14:useLocalDpi xmlns:a14="http://schemas.microsoft.com/office/drawing/2010/main" val="0"/>
                              </a:ext>
                            </a:extLst>
                          </a:blip>
                          <a:srcRect/>
                          <a:stretch>
                            <a:fillRect/>
                          </a:stretch>
                        </pic:blipFill>
                        <pic:spPr bwMode="auto">
                          <a:xfrm>
                            <a:off x="0" y="0"/>
                            <a:ext cx="535940" cy="251460"/>
                          </a:xfrm>
                          <a:prstGeom prst="rect">
                            <a:avLst/>
                          </a:prstGeom>
                          <a:noFill/>
                          <a:ln>
                            <a:noFill/>
                          </a:ln>
                        </pic:spPr>
                      </pic:pic>
                    </a:graphicData>
                  </a:graphic>
                </wp:inline>
              </w:drawing>
            </w:r>
          </w:p>
        </w:tc>
      </w:tr>
      <w:tr w:rsidR="00212513">
        <w:tblPrEx>
          <w:tblBorders>
            <w:insideH w:val="nil"/>
          </w:tblBorders>
        </w:tblPrEx>
        <w:tc>
          <w:tcPr>
            <w:tcW w:w="9082" w:type="dxa"/>
            <w:gridSpan w:val="5"/>
            <w:tcBorders>
              <w:top w:val="nil"/>
            </w:tcBorders>
          </w:tcPr>
          <w:p w:rsidR="00212513" w:rsidRDefault="00212513">
            <w:pPr>
              <w:pStyle w:val="ConsPlusNormal"/>
              <w:jc w:val="both"/>
            </w:pPr>
            <w:r>
              <w:t xml:space="preserve">(в ред. </w:t>
            </w:r>
            <w:hyperlink r:id="rId1831">
              <w:r>
                <w:rPr>
                  <w:color w:val="0000FF"/>
                </w:rPr>
                <w:t>Изменения N 4</w:t>
              </w:r>
            </w:hyperlink>
            <w:r>
              <w:t>, утв. Приказом Минстроя России от 30.05.2024 N 361/пр)</w:t>
            </w:r>
          </w:p>
        </w:tc>
      </w:tr>
      <w:tr w:rsidR="00212513">
        <w:tblPrEx>
          <w:tblBorders>
            <w:insideH w:val="nil"/>
          </w:tblBorders>
        </w:tblPrEx>
        <w:tc>
          <w:tcPr>
            <w:tcW w:w="9082" w:type="dxa"/>
            <w:gridSpan w:val="5"/>
            <w:tcBorders>
              <w:bottom w:val="nil"/>
            </w:tcBorders>
          </w:tcPr>
          <w:p w:rsidR="00212513" w:rsidRDefault="00212513">
            <w:pPr>
              <w:pStyle w:val="ConsPlusNormal"/>
              <w:ind w:firstLine="283"/>
              <w:jc w:val="both"/>
            </w:pPr>
            <w:r>
              <w:t xml:space="preserve">Обозначения, принятые в </w:t>
            </w:r>
            <w:hyperlink w:anchor="P7764">
              <w:r>
                <w:rPr>
                  <w:color w:val="0000FF"/>
                </w:rPr>
                <w:t>таблице 8.22</w:t>
              </w:r>
            </w:hyperlink>
            <w:r>
              <w:t>:</w:t>
            </w:r>
          </w:p>
          <w:p w:rsidR="00212513" w:rsidRDefault="00212513">
            <w:pPr>
              <w:pStyle w:val="ConsPlusNormal"/>
              <w:jc w:val="center"/>
            </w:pPr>
            <w:r>
              <w:rPr>
                <w:noProof/>
                <w:position w:val="-27"/>
              </w:rPr>
              <w:drawing>
                <wp:inline distT="0" distB="0" distL="0" distR="0">
                  <wp:extent cx="535940" cy="494030"/>
                  <wp:effectExtent l="0" t="0" r="0" b="0"/>
                  <wp:docPr id="1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2" cstate="print">
                            <a:extLst>
                              <a:ext uri="{28A0092B-C50C-407E-A947-70E740481C1C}">
                                <a14:useLocalDpi xmlns:a14="http://schemas.microsoft.com/office/drawing/2010/main" val="0"/>
                              </a:ext>
                            </a:extLst>
                          </a:blip>
                          <a:srcRect/>
                          <a:stretch>
                            <a:fillRect/>
                          </a:stretch>
                        </pic:blipFill>
                        <pic:spPr bwMode="auto">
                          <a:xfrm>
                            <a:off x="0" y="0"/>
                            <a:ext cx="535940" cy="494030"/>
                          </a:xfrm>
                          <a:prstGeom prst="rect">
                            <a:avLst/>
                          </a:prstGeom>
                          <a:noFill/>
                          <a:ln>
                            <a:noFill/>
                          </a:ln>
                        </pic:spPr>
                      </pic:pic>
                    </a:graphicData>
                  </a:graphic>
                </wp:inline>
              </w:drawing>
            </w:r>
            <w:r>
              <w:t xml:space="preserve">; </w:t>
            </w:r>
            <w:r>
              <w:rPr>
                <w:noProof/>
                <w:position w:val="-28"/>
              </w:rPr>
              <w:drawing>
                <wp:inline distT="0" distB="0" distL="0" distR="0">
                  <wp:extent cx="553085" cy="502920"/>
                  <wp:effectExtent l="0" t="0" r="0" b="0"/>
                  <wp:docPr id="1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3" cstate="print">
                            <a:extLst>
                              <a:ext uri="{28A0092B-C50C-407E-A947-70E740481C1C}">
                                <a14:useLocalDpi xmlns:a14="http://schemas.microsoft.com/office/drawing/2010/main" val="0"/>
                              </a:ext>
                            </a:extLst>
                          </a:blip>
                          <a:srcRect/>
                          <a:stretch>
                            <a:fillRect/>
                          </a:stretch>
                        </pic:blipFill>
                        <pic:spPr bwMode="auto">
                          <a:xfrm>
                            <a:off x="0" y="0"/>
                            <a:ext cx="553085" cy="502920"/>
                          </a:xfrm>
                          <a:prstGeom prst="rect">
                            <a:avLst/>
                          </a:prstGeom>
                          <a:noFill/>
                          <a:ln>
                            <a:noFill/>
                          </a:ln>
                        </pic:spPr>
                      </pic:pic>
                    </a:graphicData>
                  </a:graphic>
                </wp:inline>
              </w:drawing>
            </w:r>
            <w:r>
              <w:t xml:space="preserve">; </w:t>
            </w:r>
            <w:r>
              <w:rPr>
                <w:noProof/>
                <w:position w:val="-26"/>
              </w:rPr>
              <w:drawing>
                <wp:inline distT="0" distB="0" distL="0" distR="0">
                  <wp:extent cx="544830" cy="470535"/>
                  <wp:effectExtent l="0" t="0" r="0" b="0"/>
                  <wp:docPr id="1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4" cstate="print">
                            <a:extLst>
                              <a:ext uri="{28A0092B-C50C-407E-A947-70E740481C1C}">
                                <a14:useLocalDpi xmlns:a14="http://schemas.microsoft.com/office/drawing/2010/main" val="0"/>
                              </a:ext>
                            </a:extLst>
                          </a:blip>
                          <a:srcRect/>
                          <a:stretch>
                            <a:fillRect/>
                          </a:stretch>
                        </pic:blipFill>
                        <pic:spPr bwMode="auto">
                          <a:xfrm>
                            <a:off x="0" y="0"/>
                            <a:ext cx="544830" cy="470535"/>
                          </a:xfrm>
                          <a:prstGeom prst="rect">
                            <a:avLst/>
                          </a:prstGeom>
                          <a:noFill/>
                          <a:ln>
                            <a:noFill/>
                          </a:ln>
                        </pic:spPr>
                      </pic:pic>
                    </a:graphicData>
                  </a:graphic>
                </wp:inline>
              </w:drawing>
            </w:r>
            <w:r>
              <w:t xml:space="preserve">; </w:t>
            </w:r>
            <w:r>
              <w:rPr>
                <w:noProof/>
                <w:position w:val="-26"/>
              </w:rPr>
              <w:drawing>
                <wp:inline distT="0" distB="0" distL="0" distR="0">
                  <wp:extent cx="578485" cy="470535"/>
                  <wp:effectExtent l="0" t="0" r="0" b="0"/>
                  <wp:docPr id="1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5" cstate="print">
                            <a:extLst>
                              <a:ext uri="{28A0092B-C50C-407E-A947-70E740481C1C}">
                                <a14:useLocalDpi xmlns:a14="http://schemas.microsoft.com/office/drawing/2010/main" val="0"/>
                              </a:ext>
                            </a:extLst>
                          </a:blip>
                          <a:srcRect/>
                          <a:stretch>
                            <a:fillRect/>
                          </a:stretch>
                        </pic:blipFill>
                        <pic:spPr bwMode="auto">
                          <a:xfrm>
                            <a:off x="0" y="0"/>
                            <a:ext cx="578485" cy="470535"/>
                          </a:xfrm>
                          <a:prstGeom prst="rect">
                            <a:avLst/>
                          </a:prstGeom>
                          <a:noFill/>
                          <a:ln>
                            <a:noFill/>
                          </a:ln>
                        </pic:spPr>
                      </pic:pic>
                    </a:graphicData>
                  </a:graphic>
                </wp:inline>
              </w:drawing>
            </w:r>
            <w:r>
              <w:t xml:space="preserve">; </w:t>
            </w:r>
            <w:r>
              <w:rPr>
                <w:noProof/>
                <w:position w:val="-26"/>
              </w:rPr>
              <w:drawing>
                <wp:inline distT="0" distB="0" distL="0" distR="0">
                  <wp:extent cx="511810" cy="470535"/>
                  <wp:effectExtent l="0" t="0" r="0" b="0"/>
                  <wp:docPr id="1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6" cstate="print">
                            <a:extLst>
                              <a:ext uri="{28A0092B-C50C-407E-A947-70E740481C1C}">
                                <a14:useLocalDpi xmlns:a14="http://schemas.microsoft.com/office/drawing/2010/main" val="0"/>
                              </a:ext>
                            </a:extLst>
                          </a:blip>
                          <a:srcRect/>
                          <a:stretch>
                            <a:fillRect/>
                          </a:stretch>
                        </pic:blipFill>
                        <pic:spPr bwMode="auto">
                          <a:xfrm>
                            <a:off x="0" y="0"/>
                            <a:ext cx="511810" cy="470535"/>
                          </a:xfrm>
                          <a:prstGeom prst="rect">
                            <a:avLst/>
                          </a:prstGeom>
                          <a:noFill/>
                          <a:ln>
                            <a:noFill/>
                          </a:ln>
                        </pic:spPr>
                      </pic:pic>
                    </a:graphicData>
                  </a:graphic>
                </wp:inline>
              </w:drawing>
            </w:r>
            <w:r>
              <w:t xml:space="preserve">; </w:t>
            </w:r>
            <w:r>
              <w:rPr>
                <w:noProof/>
                <w:position w:val="-22"/>
              </w:rPr>
              <w:drawing>
                <wp:inline distT="0" distB="0" distL="0" distR="0">
                  <wp:extent cx="544830" cy="428625"/>
                  <wp:effectExtent l="0" t="0" r="0" b="0"/>
                  <wp:docPr id="1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7" cstate="print">
                            <a:extLst>
                              <a:ext uri="{28A0092B-C50C-407E-A947-70E740481C1C}">
                                <a14:useLocalDpi xmlns:a14="http://schemas.microsoft.com/office/drawing/2010/main" val="0"/>
                              </a:ext>
                            </a:extLst>
                          </a:blip>
                          <a:srcRect/>
                          <a:stretch>
                            <a:fillRect/>
                          </a:stretch>
                        </pic:blipFill>
                        <pic:spPr bwMode="auto">
                          <a:xfrm>
                            <a:off x="0" y="0"/>
                            <a:ext cx="544830" cy="428625"/>
                          </a:xfrm>
                          <a:prstGeom prst="rect">
                            <a:avLst/>
                          </a:prstGeom>
                          <a:noFill/>
                          <a:ln>
                            <a:noFill/>
                          </a:ln>
                        </pic:spPr>
                      </pic:pic>
                    </a:graphicData>
                  </a:graphic>
                </wp:inline>
              </w:drawing>
            </w:r>
            <w:r>
              <w:t>.</w:t>
            </w:r>
          </w:p>
        </w:tc>
      </w:tr>
      <w:tr w:rsidR="00212513">
        <w:tblPrEx>
          <w:tblBorders>
            <w:insideH w:val="nil"/>
          </w:tblBorders>
        </w:tblPrEx>
        <w:tc>
          <w:tcPr>
            <w:tcW w:w="9082" w:type="dxa"/>
            <w:gridSpan w:val="5"/>
            <w:tcBorders>
              <w:top w:val="nil"/>
            </w:tcBorders>
          </w:tcPr>
          <w:p w:rsidR="00212513" w:rsidRDefault="00212513">
            <w:pPr>
              <w:pStyle w:val="ConsPlusNormal"/>
              <w:ind w:firstLine="283"/>
              <w:jc w:val="both"/>
            </w:pPr>
            <w:r>
              <w:t>Примечания</w:t>
            </w:r>
          </w:p>
          <w:p w:rsidR="00212513" w:rsidRDefault="00212513">
            <w:pPr>
              <w:pStyle w:val="ConsPlusNormal"/>
              <w:ind w:firstLine="283"/>
              <w:jc w:val="both"/>
            </w:pPr>
            <w:r>
              <w:t xml:space="preserve">1 При отрицательном значении знаменателя в формулах </w:t>
            </w:r>
            <w:hyperlink w:anchor="P7764">
              <w:r>
                <w:rPr>
                  <w:color w:val="0000FF"/>
                </w:rPr>
                <w:t>таблицы 8.22</w:t>
              </w:r>
            </w:hyperlink>
            <w:r>
              <w:t xml:space="preserve">, а также при равенстве его нулю следует принимать </w:t>
            </w:r>
            <w:r>
              <w:rPr>
                <w:noProof/>
                <w:position w:val="-4"/>
              </w:rPr>
              <w:drawing>
                <wp:inline distT="0" distB="0" distL="0" distR="0">
                  <wp:extent cx="450850" cy="198755"/>
                  <wp:effectExtent l="0" t="0" r="0" b="0"/>
                  <wp:docPr id="1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8" cstate="print">
                            <a:extLst>
                              <a:ext uri="{28A0092B-C50C-407E-A947-70E740481C1C}">
                                <a14:useLocalDpi xmlns:a14="http://schemas.microsoft.com/office/drawing/2010/main" val="0"/>
                              </a:ext>
                            </a:extLst>
                          </a:blip>
                          <a:srcRect/>
                          <a:stretch>
                            <a:fillRect/>
                          </a:stretch>
                        </pic:blipFill>
                        <pic:spPr bwMode="auto">
                          <a:xfrm>
                            <a:off x="0" y="0"/>
                            <a:ext cx="450850" cy="198755"/>
                          </a:xfrm>
                          <a:prstGeom prst="rect">
                            <a:avLst/>
                          </a:prstGeom>
                          <a:noFill/>
                          <a:ln>
                            <a:noFill/>
                          </a:ln>
                        </pic:spPr>
                      </pic:pic>
                    </a:graphicData>
                  </a:graphic>
                </wp:inline>
              </w:drawing>
            </w:r>
            <w:r>
              <w:t>.</w:t>
            </w:r>
          </w:p>
          <w:p w:rsidR="00212513" w:rsidRDefault="00212513">
            <w:pPr>
              <w:pStyle w:val="ConsPlusNormal"/>
              <w:ind w:firstLine="283"/>
              <w:jc w:val="both"/>
            </w:pPr>
            <w:r>
              <w:t xml:space="preserve">2 Для углового сечения с отношением </w:t>
            </w:r>
            <w:r>
              <w:rPr>
                <w:noProof/>
                <w:position w:val="-8"/>
              </w:rPr>
              <w:drawing>
                <wp:inline distT="0" distB="0" distL="0" distR="0">
                  <wp:extent cx="377190" cy="251460"/>
                  <wp:effectExtent l="0" t="0" r="0" b="0"/>
                  <wp:docPr id="1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9" cstate="print">
                            <a:extLst>
                              <a:ext uri="{28A0092B-C50C-407E-A947-70E740481C1C}">
                                <a14:useLocalDpi xmlns:a14="http://schemas.microsoft.com/office/drawing/2010/main" val="0"/>
                              </a:ext>
                            </a:extLst>
                          </a:blip>
                          <a:srcRect/>
                          <a:stretch>
                            <a:fillRect/>
                          </a:stretch>
                        </pic:blipFill>
                        <pic:spPr bwMode="auto">
                          <a:xfrm>
                            <a:off x="0" y="0"/>
                            <a:ext cx="377190" cy="251460"/>
                          </a:xfrm>
                          <a:prstGeom prst="rect">
                            <a:avLst/>
                          </a:prstGeom>
                          <a:noFill/>
                          <a:ln>
                            <a:noFill/>
                          </a:ln>
                        </pic:spPr>
                      </pic:pic>
                    </a:graphicData>
                  </a:graphic>
                </wp:inline>
              </w:drawing>
            </w:r>
            <w:r>
              <w:t xml:space="preserve">, не указанным в таблице </w:t>
            </w:r>
            <w:hyperlink w:anchor="P7764">
              <w:r>
                <w:rPr>
                  <w:color w:val="0000FF"/>
                </w:rPr>
                <w:t>8.22</w:t>
              </w:r>
            </w:hyperlink>
            <w:r>
              <w:t xml:space="preserve">, значение </w:t>
            </w:r>
            <w:r>
              <w:rPr>
                <w:noProof/>
                <w:position w:val="-8"/>
              </w:rPr>
              <w:drawing>
                <wp:inline distT="0" distB="0" distL="0" distR="0">
                  <wp:extent cx="177800" cy="251460"/>
                  <wp:effectExtent l="0" t="0" r="0" b="0"/>
                  <wp:docPr id="1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0"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следует определять по интерполяции, при этом для </w:t>
            </w:r>
            <w:r>
              <w:rPr>
                <w:noProof/>
                <w:position w:val="-8"/>
              </w:rPr>
              <w:drawing>
                <wp:inline distT="0" distB="0" distL="0" distR="0">
                  <wp:extent cx="605790" cy="251460"/>
                  <wp:effectExtent l="0" t="0" r="0" b="0"/>
                  <wp:docPr id="1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1" cstate="print">
                            <a:extLst>
                              <a:ext uri="{28A0092B-C50C-407E-A947-70E740481C1C}">
                                <a14:useLocalDpi xmlns:a14="http://schemas.microsoft.com/office/drawing/2010/main" val="0"/>
                              </a:ext>
                            </a:extLst>
                          </a:blip>
                          <a:srcRect/>
                          <a:stretch>
                            <a:fillRect/>
                          </a:stretch>
                        </pic:blipFill>
                        <pic:spPr bwMode="auto">
                          <a:xfrm>
                            <a:off x="0" y="0"/>
                            <a:ext cx="605790" cy="251460"/>
                          </a:xfrm>
                          <a:prstGeom prst="rect">
                            <a:avLst/>
                          </a:prstGeom>
                          <a:noFill/>
                          <a:ln>
                            <a:noFill/>
                          </a:ln>
                        </pic:spPr>
                      </pic:pic>
                    </a:graphicData>
                  </a:graphic>
                </wp:inline>
              </w:drawing>
            </w:r>
            <w:r>
              <w:t xml:space="preserve"> значение </w:t>
            </w:r>
            <w:r>
              <w:rPr>
                <w:noProof/>
                <w:position w:val="-8"/>
              </w:rPr>
              <w:drawing>
                <wp:inline distT="0" distB="0" distL="0" distR="0">
                  <wp:extent cx="177800" cy="251460"/>
                  <wp:effectExtent l="0" t="0" r="0" b="0"/>
                  <wp:docPr id="1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0"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следует принимать равным 100.</w:t>
            </w:r>
          </w:p>
        </w:tc>
      </w:tr>
    </w:tbl>
    <w:p w:rsidR="00212513" w:rsidRDefault="00212513">
      <w:pPr>
        <w:pStyle w:val="ConsPlusNormal"/>
        <w:ind w:firstLine="540"/>
        <w:jc w:val="both"/>
      </w:pPr>
    </w:p>
    <w:p w:rsidR="00212513" w:rsidRDefault="00212513">
      <w:pPr>
        <w:pStyle w:val="ConsPlusNormal"/>
        <w:ind w:firstLine="540"/>
        <w:jc w:val="both"/>
      </w:pPr>
      <w:r>
        <w:t xml:space="preserve">Приведенное критическое напряжение </w:t>
      </w:r>
      <w:r>
        <w:rPr>
          <w:noProof/>
          <w:position w:val="-9"/>
        </w:rPr>
        <w:drawing>
          <wp:inline distT="0" distB="0" distL="0" distR="0">
            <wp:extent cx="450850" cy="262890"/>
            <wp:effectExtent l="0" t="0" r="0" b="0"/>
            <wp:docPr id="1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8" cstate="print">
                      <a:extLst>
                        <a:ext uri="{28A0092B-C50C-407E-A947-70E740481C1C}">
                          <a14:useLocalDpi xmlns:a14="http://schemas.microsoft.com/office/drawing/2010/main" val="0"/>
                        </a:ext>
                      </a:extLst>
                    </a:blip>
                    <a:srcRect/>
                    <a:stretch>
                      <a:fillRect/>
                    </a:stretch>
                  </pic:blipFill>
                  <pic:spPr bwMode="auto">
                    <a:xfrm>
                      <a:off x="0" y="0"/>
                      <a:ext cx="450850" cy="262890"/>
                    </a:xfrm>
                    <a:prstGeom prst="rect">
                      <a:avLst/>
                    </a:prstGeom>
                    <a:noFill/>
                    <a:ln>
                      <a:noFill/>
                    </a:ln>
                  </pic:spPr>
                </pic:pic>
              </a:graphicData>
            </a:graphic>
          </wp:inline>
        </w:drawing>
      </w:r>
      <w:r>
        <w:t xml:space="preserve"> для пластинки следует определять по формулам таблицы 8.23 в зависимости от критических напряжений </w:t>
      </w:r>
      <w:r>
        <w:rPr>
          <w:noProof/>
          <w:position w:val="-10"/>
        </w:rPr>
        <w:drawing>
          <wp:inline distT="0" distB="0" distL="0" distR="0">
            <wp:extent cx="335280" cy="273685"/>
            <wp:effectExtent l="0" t="0" r="0" b="0"/>
            <wp:docPr id="1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2"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за которые следует принимать действующие напряжения </w:t>
      </w:r>
      <w:r>
        <w:rPr>
          <w:noProof/>
          <w:position w:val="-8"/>
        </w:rPr>
        <w:drawing>
          <wp:inline distT="0" distB="0" distL="0" distR="0">
            <wp:extent cx="450850" cy="251460"/>
            <wp:effectExtent l="0" t="0" r="0" b="0"/>
            <wp:docPr id="1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3" cstate="print">
                      <a:extLst>
                        <a:ext uri="{28A0092B-C50C-407E-A947-70E740481C1C}">
                          <a14:useLocalDpi xmlns:a14="http://schemas.microsoft.com/office/drawing/2010/main" val="0"/>
                        </a:ext>
                      </a:extLst>
                    </a:blip>
                    <a:srcRect/>
                    <a:stretch>
                      <a:fillRect/>
                    </a:stretch>
                  </pic:blipFill>
                  <pic:spPr bwMode="auto">
                    <a:xfrm>
                      <a:off x="0" y="0"/>
                      <a:ext cx="450850" cy="251460"/>
                    </a:xfrm>
                    <a:prstGeom prst="rect">
                      <a:avLst/>
                    </a:prstGeom>
                    <a:noFill/>
                    <a:ln>
                      <a:noFill/>
                    </a:ln>
                  </pic:spPr>
                </pic:pic>
              </a:graphicData>
            </a:graphic>
          </wp:inline>
        </w:drawing>
      </w:r>
      <w:r>
        <w:t xml:space="preserve"> (здесь </w:t>
      </w:r>
      <w:r>
        <w:rPr>
          <w:i/>
        </w:rPr>
        <w:t>m</w:t>
      </w:r>
      <w:r>
        <w:t xml:space="preserve"> - коэффициент условий работы, принимаемый по </w:t>
      </w:r>
      <w:hyperlink w:anchor="P6905">
        <w:r>
          <w:rPr>
            <w:color w:val="0000FF"/>
          </w:rPr>
          <w:t>таблице 8.15</w:t>
        </w:r>
      </w:hyperlink>
      <w:r>
        <w:t>).</w:t>
      </w:r>
    </w:p>
    <w:p w:rsidR="00212513" w:rsidRDefault="00212513">
      <w:pPr>
        <w:pStyle w:val="ConsPlusNormal"/>
        <w:jc w:val="both"/>
      </w:pPr>
      <w:r>
        <w:t xml:space="preserve">(в ред. </w:t>
      </w:r>
      <w:hyperlink r:id="rId1844">
        <w:r>
          <w:rPr>
            <w:color w:val="0000FF"/>
          </w:rPr>
          <w:t>Изменения N 4</w:t>
        </w:r>
      </w:hyperlink>
      <w:r>
        <w:t>, утв. Приказом Минстроя России от 30.05.2024 N 361/пр)</w:t>
      </w:r>
    </w:p>
    <w:p w:rsidR="00212513" w:rsidRDefault="00212513">
      <w:pPr>
        <w:pStyle w:val="ConsPlusNormal"/>
        <w:ind w:firstLine="540"/>
        <w:jc w:val="both"/>
      </w:pPr>
    </w:p>
    <w:p w:rsidR="00212513" w:rsidRDefault="00212513">
      <w:pPr>
        <w:pStyle w:val="ConsPlusNormal"/>
        <w:jc w:val="right"/>
      </w:pPr>
      <w:bookmarkStart w:id="337" w:name="P7808"/>
      <w:bookmarkEnd w:id="337"/>
      <w:r>
        <w:t>Таблица 8.23</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47"/>
        <w:gridCol w:w="2324"/>
        <w:gridCol w:w="5556"/>
      </w:tblGrid>
      <w:tr w:rsidR="00212513">
        <w:tc>
          <w:tcPr>
            <w:tcW w:w="1247" w:type="dxa"/>
            <w:vAlign w:val="center"/>
          </w:tcPr>
          <w:p w:rsidR="00212513" w:rsidRDefault="00212513">
            <w:pPr>
              <w:pStyle w:val="ConsPlusNormal"/>
              <w:jc w:val="center"/>
            </w:pPr>
            <w:r>
              <w:t>Класс прочности стали</w:t>
            </w:r>
          </w:p>
        </w:tc>
        <w:tc>
          <w:tcPr>
            <w:tcW w:w="2324" w:type="dxa"/>
            <w:vAlign w:val="center"/>
          </w:tcPr>
          <w:p w:rsidR="00212513" w:rsidRDefault="00212513">
            <w:pPr>
              <w:pStyle w:val="ConsPlusNormal"/>
              <w:jc w:val="center"/>
            </w:pPr>
            <w:r>
              <w:t xml:space="preserve">Значения </w:t>
            </w:r>
            <w:r>
              <w:rPr>
                <w:noProof/>
                <w:position w:val="-9"/>
              </w:rPr>
              <w:drawing>
                <wp:inline distT="0" distB="0" distL="0" distR="0">
                  <wp:extent cx="335280" cy="262890"/>
                  <wp:effectExtent l="0" t="0" r="0" b="0"/>
                  <wp:docPr id="1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5" cstate="print">
                            <a:extLst>
                              <a:ext uri="{28A0092B-C50C-407E-A947-70E740481C1C}">
                                <a14:useLocalDpi xmlns:a14="http://schemas.microsoft.com/office/drawing/2010/main" val="0"/>
                              </a:ext>
                            </a:extLst>
                          </a:blip>
                          <a:srcRect/>
                          <a:stretch>
                            <a:fillRect/>
                          </a:stretch>
                        </pic:blipFill>
                        <pic:spPr bwMode="auto">
                          <a:xfrm>
                            <a:off x="0" y="0"/>
                            <a:ext cx="335280" cy="262890"/>
                          </a:xfrm>
                          <a:prstGeom prst="rect">
                            <a:avLst/>
                          </a:prstGeom>
                          <a:noFill/>
                          <a:ln>
                            <a:noFill/>
                          </a:ln>
                        </pic:spPr>
                      </pic:pic>
                    </a:graphicData>
                  </a:graphic>
                </wp:inline>
              </w:drawing>
            </w:r>
            <w:r>
              <w:t>, МПа</w:t>
            </w:r>
          </w:p>
        </w:tc>
        <w:tc>
          <w:tcPr>
            <w:tcW w:w="5556" w:type="dxa"/>
            <w:vAlign w:val="center"/>
          </w:tcPr>
          <w:p w:rsidR="00212513" w:rsidRDefault="00212513">
            <w:pPr>
              <w:pStyle w:val="ConsPlusNormal"/>
              <w:jc w:val="center"/>
            </w:pPr>
            <w:r>
              <w:t xml:space="preserve">Формулы для определения </w:t>
            </w:r>
            <w:r>
              <w:rPr>
                <w:noProof/>
                <w:position w:val="-9"/>
              </w:rPr>
              <w:drawing>
                <wp:inline distT="0" distB="0" distL="0" distR="0">
                  <wp:extent cx="450850" cy="262890"/>
                  <wp:effectExtent l="0" t="0" r="0" b="0"/>
                  <wp:docPr id="1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6" cstate="print">
                            <a:extLst>
                              <a:ext uri="{28A0092B-C50C-407E-A947-70E740481C1C}">
                                <a14:useLocalDpi xmlns:a14="http://schemas.microsoft.com/office/drawing/2010/main" val="0"/>
                              </a:ext>
                            </a:extLst>
                          </a:blip>
                          <a:srcRect/>
                          <a:stretch>
                            <a:fillRect/>
                          </a:stretch>
                        </pic:blipFill>
                        <pic:spPr bwMode="auto">
                          <a:xfrm>
                            <a:off x="0" y="0"/>
                            <a:ext cx="450850" cy="262890"/>
                          </a:xfrm>
                          <a:prstGeom prst="rect">
                            <a:avLst/>
                          </a:prstGeom>
                          <a:noFill/>
                          <a:ln>
                            <a:noFill/>
                          </a:ln>
                        </pic:spPr>
                      </pic:pic>
                    </a:graphicData>
                  </a:graphic>
                </wp:inline>
              </w:drawing>
            </w:r>
            <w:r>
              <w:t xml:space="preserve"> или его значения, МПа</w:t>
            </w:r>
          </w:p>
        </w:tc>
      </w:tr>
      <w:tr w:rsidR="00212513">
        <w:tc>
          <w:tcPr>
            <w:tcW w:w="1247" w:type="dxa"/>
            <w:vMerge w:val="restart"/>
            <w:vAlign w:val="center"/>
          </w:tcPr>
          <w:p w:rsidR="00212513" w:rsidRDefault="00212513">
            <w:pPr>
              <w:pStyle w:val="ConsPlusNormal"/>
              <w:jc w:val="center"/>
            </w:pPr>
            <w:r>
              <w:t>С235</w:t>
            </w:r>
          </w:p>
        </w:tc>
        <w:tc>
          <w:tcPr>
            <w:tcW w:w="2324" w:type="dxa"/>
            <w:vAlign w:val="center"/>
          </w:tcPr>
          <w:p w:rsidR="00212513" w:rsidRDefault="00212513">
            <w:pPr>
              <w:pStyle w:val="ConsPlusNormal"/>
              <w:jc w:val="center"/>
            </w:pPr>
            <w:r>
              <w:t>До 176</w:t>
            </w:r>
          </w:p>
        </w:tc>
        <w:tc>
          <w:tcPr>
            <w:tcW w:w="5556" w:type="dxa"/>
            <w:vAlign w:val="center"/>
          </w:tcPr>
          <w:p w:rsidR="00212513" w:rsidRDefault="00212513">
            <w:pPr>
              <w:pStyle w:val="ConsPlusNormal"/>
              <w:jc w:val="center"/>
            </w:pPr>
            <w:r>
              <w:rPr>
                <w:noProof/>
                <w:position w:val="-9"/>
              </w:rPr>
              <w:drawing>
                <wp:inline distT="0" distB="0" distL="0" distR="0">
                  <wp:extent cx="670560" cy="262890"/>
                  <wp:effectExtent l="0" t="0" r="0" b="0"/>
                  <wp:docPr id="1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7" cstate="print">
                            <a:extLst>
                              <a:ext uri="{28A0092B-C50C-407E-A947-70E740481C1C}">
                                <a14:useLocalDpi xmlns:a14="http://schemas.microsoft.com/office/drawing/2010/main" val="0"/>
                              </a:ext>
                            </a:extLst>
                          </a:blip>
                          <a:srcRect/>
                          <a:stretch>
                            <a:fillRect/>
                          </a:stretch>
                        </pic:blipFill>
                        <pic:spPr bwMode="auto">
                          <a:xfrm>
                            <a:off x="0" y="0"/>
                            <a:ext cx="670560" cy="262890"/>
                          </a:xfrm>
                          <a:prstGeom prst="rect">
                            <a:avLst/>
                          </a:prstGeom>
                          <a:noFill/>
                          <a:ln>
                            <a:noFill/>
                          </a:ln>
                        </pic:spPr>
                      </pic:pic>
                    </a:graphicData>
                  </a:graphic>
                </wp:inline>
              </w:drawing>
            </w:r>
          </w:p>
        </w:tc>
      </w:tr>
      <w:tr w:rsidR="00212513">
        <w:tc>
          <w:tcPr>
            <w:tcW w:w="1247" w:type="dxa"/>
            <w:vMerge/>
          </w:tcPr>
          <w:p w:rsidR="00212513" w:rsidRDefault="00212513">
            <w:pPr>
              <w:pStyle w:val="ConsPlusNormal"/>
            </w:pPr>
          </w:p>
        </w:tc>
        <w:tc>
          <w:tcPr>
            <w:tcW w:w="2324" w:type="dxa"/>
            <w:vAlign w:val="center"/>
          </w:tcPr>
          <w:p w:rsidR="00212513" w:rsidRDefault="00212513">
            <w:pPr>
              <w:pStyle w:val="ConsPlusNormal"/>
              <w:jc w:val="center"/>
            </w:pPr>
            <w:r>
              <w:t>Свыше 176 до 205</w:t>
            </w:r>
          </w:p>
        </w:tc>
        <w:tc>
          <w:tcPr>
            <w:tcW w:w="5556" w:type="dxa"/>
            <w:vAlign w:val="center"/>
          </w:tcPr>
          <w:p w:rsidR="00212513" w:rsidRDefault="00212513">
            <w:pPr>
              <w:pStyle w:val="ConsPlusNormal"/>
              <w:jc w:val="center"/>
            </w:pPr>
            <w:r>
              <w:rPr>
                <w:noProof/>
                <w:position w:val="-35"/>
              </w:rPr>
              <w:drawing>
                <wp:inline distT="0" distB="0" distL="0" distR="0">
                  <wp:extent cx="2933700" cy="586740"/>
                  <wp:effectExtent l="0" t="0" r="0" b="0"/>
                  <wp:docPr id="1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8" cstate="print">
                            <a:extLst>
                              <a:ext uri="{28A0092B-C50C-407E-A947-70E740481C1C}">
                                <a14:useLocalDpi xmlns:a14="http://schemas.microsoft.com/office/drawing/2010/main" val="0"/>
                              </a:ext>
                            </a:extLst>
                          </a:blip>
                          <a:srcRect/>
                          <a:stretch>
                            <a:fillRect/>
                          </a:stretch>
                        </pic:blipFill>
                        <pic:spPr bwMode="auto">
                          <a:xfrm>
                            <a:off x="0" y="0"/>
                            <a:ext cx="2933700" cy="586740"/>
                          </a:xfrm>
                          <a:prstGeom prst="rect">
                            <a:avLst/>
                          </a:prstGeom>
                          <a:noFill/>
                          <a:ln>
                            <a:noFill/>
                          </a:ln>
                        </pic:spPr>
                      </pic:pic>
                    </a:graphicData>
                  </a:graphic>
                </wp:inline>
              </w:drawing>
            </w:r>
          </w:p>
        </w:tc>
      </w:tr>
      <w:tr w:rsidR="00212513">
        <w:tc>
          <w:tcPr>
            <w:tcW w:w="1247" w:type="dxa"/>
            <w:vMerge/>
          </w:tcPr>
          <w:p w:rsidR="00212513" w:rsidRDefault="00212513">
            <w:pPr>
              <w:pStyle w:val="ConsPlusNormal"/>
            </w:pPr>
          </w:p>
        </w:tc>
        <w:tc>
          <w:tcPr>
            <w:tcW w:w="2324" w:type="dxa"/>
            <w:vAlign w:val="center"/>
          </w:tcPr>
          <w:p w:rsidR="00212513" w:rsidRDefault="00212513">
            <w:pPr>
              <w:pStyle w:val="ConsPlusNormal"/>
              <w:jc w:val="center"/>
            </w:pPr>
            <w:r>
              <w:t>Свыше 205</w:t>
            </w:r>
          </w:p>
        </w:tc>
        <w:tc>
          <w:tcPr>
            <w:tcW w:w="5556" w:type="dxa"/>
            <w:vAlign w:val="center"/>
          </w:tcPr>
          <w:p w:rsidR="00212513" w:rsidRDefault="00212513">
            <w:pPr>
              <w:pStyle w:val="ConsPlusNormal"/>
              <w:jc w:val="center"/>
            </w:pPr>
            <w:r>
              <w:t>385</w:t>
            </w:r>
          </w:p>
        </w:tc>
      </w:tr>
      <w:tr w:rsidR="00212513">
        <w:tc>
          <w:tcPr>
            <w:tcW w:w="1247" w:type="dxa"/>
            <w:vMerge w:val="restart"/>
            <w:vAlign w:val="center"/>
          </w:tcPr>
          <w:p w:rsidR="00212513" w:rsidRDefault="00212513">
            <w:pPr>
              <w:pStyle w:val="ConsPlusNormal"/>
              <w:jc w:val="center"/>
            </w:pPr>
            <w:r>
              <w:t>С325 - С345</w:t>
            </w:r>
          </w:p>
        </w:tc>
        <w:tc>
          <w:tcPr>
            <w:tcW w:w="2324" w:type="dxa"/>
            <w:vAlign w:val="center"/>
          </w:tcPr>
          <w:p w:rsidR="00212513" w:rsidRDefault="00212513">
            <w:pPr>
              <w:pStyle w:val="ConsPlusNormal"/>
              <w:jc w:val="center"/>
            </w:pPr>
            <w:r>
              <w:t>До 186</w:t>
            </w:r>
          </w:p>
        </w:tc>
        <w:tc>
          <w:tcPr>
            <w:tcW w:w="5556" w:type="dxa"/>
            <w:vAlign w:val="center"/>
          </w:tcPr>
          <w:p w:rsidR="00212513" w:rsidRDefault="00212513">
            <w:pPr>
              <w:pStyle w:val="ConsPlusNormal"/>
              <w:jc w:val="center"/>
            </w:pPr>
            <w:r>
              <w:rPr>
                <w:noProof/>
                <w:position w:val="-9"/>
              </w:rPr>
              <w:drawing>
                <wp:inline distT="0" distB="0" distL="0" distR="0">
                  <wp:extent cx="670560" cy="262890"/>
                  <wp:effectExtent l="0" t="0" r="0" b="0"/>
                  <wp:docPr id="1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7" cstate="print">
                            <a:extLst>
                              <a:ext uri="{28A0092B-C50C-407E-A947-70E740481C1C}">
                                <a14:useLocalDpi xmlns:a14="http://schemas.microsoft.com/office/drawing/2010/main" val="0"/>
                              </a:ext>
                            </a:extLst>
                          </a:blip>
                          <a:srcRect/>
                          <a:stretch>
                            <a:fillRect/>
                          </a:stretch>
                        </pic:blipFill>
                        <pic:spPr bwMode="auto">
                          <a:xfrm>
                            <a:off x="0" y="0"/>
                            <a:ext cx="670560" cy="262890"/>
                          </a:xfrm>
                          <a:prstGeom prst="rect">
                            <a:avLst/>
                          </a:prstGeom>
                          <a:noFill/>
                          <a:ln>
                            <a:noFill/>
                          </a:ln>
                        </pic:spPr>
                      </pic:pic>
                    </a:graphicData>
                  </a:graphic>
                </wp:inline>
              </w:drawing>
            </w:r>
          </w:p>
        </w:tc>
      </w:tr>
      <w:tr w:rsidR="00212513">
        <w:tc>
          <w:tcPr>
            <w:tcW w:w="1247" w:type="dxa"/>
            <w:vMerge/>
          </w:tcPr>
          <w:p w:rsidR="00212513" w:rsidRDefault="00212513">
            <w:pPr>
              <w:pStyle w:val="ConsPlusNormal"/>
            </w:pPr>
          </w:p>
        </w:tc>
        <w:tc>
          <w:tcPr>
            <w:tcW w:w="2324" w:type="dxa"/>
            <w:vAlign w:val="center"/>
          </w:tcPr>
          <w:p w:rsidR="00212513" w:rsidRDefault="00212513">
            <w:pPr>
              <w:pStyle w:val="ConsPlusNormal"/>
              <w:jc w:val="center"/>
            </w:pPr>
            <w:r>
              <w:t>Свыше 186 до 284</w:t>
            </w:r>
          </w:p>
        </w:tc>
        <w:tc>
          <w:tcPr>
            <w:tcW w:w="5556" w:type="dxa"/>
            <w:vAlign w:val="center"/>
          </w:tcPr>
          <w:p w:rsidR="00212513" w:rsidRDefault="00212513">
            <w:pPr>
              <w:pStyle w:val="ConsPlusNormal"/>
              <w:jc w:val="center"/>
            </w:pPr>
            <w:r>
              <w:rPr>
                <w:noProof/>
                <w:position w:val="-35"/>
              </w:rPr>
              <w:drawing>
                <wp:inline distT="0" distB="0" distL="0" distR="0">
                  <wp:extent cx="2905760" cy="586740"/>
                  <wp:effectExtent l="0" t="0" r="0" b="0"/>
                  <wp:docPr id="1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9" cstate="print">
                            <a:extLst>
                              <a:ext uri="{28A0092B-C50C-407E-A947-70E740481C1C}">
                                <a14:useLocalDpi xmlns:a14="http://schemas.microsoft.com/office/drawing/2010/main" val="0"/>
                              </a:ext>
                            </a:extLst>
                          </a:blip>
                          <a:srcRect/>
                          <a:stretch>
                            <a:fillRect/>
                          </a:stretch>
                        </pic:blipFill>
                        <pic:spPr bwMode="auto">
                          <a:xfrm>
                            <a:off x="0" y="0"/>
                            <a:ext cx="2905760" cy="586740"/>
                          </a:xfrm>
                          <a:prstGeom prst="rect">
                            <a:avLst/>
                          </a:prstGeom>
                          <a:noFill/>
                          <a:ln>
                            <a:noFill/>
                          </a:ln>
                        </pic:spPr>
                      </pic:pic>
                    </a:graphicData>
                  </a:graphic>
                </wp:inline>
              </w:drawing>
            </w:r>
          </w:p>
        </w:tc>
      </w:tr>
      <w:tr w:rsidR="00212513">
        <w:tc>
          <w:tcPr>
            <w:tcW w:w="1247" w:type="dxa"/>
            <w:vMerge/>
          </w:tcPr>
          <w:p w:rsidR="00212513" w:rsidRDefault="00212513">
            <w:pPr>
              <w:pStyle w:val="ConsPlusNormal"/>
            </w:pPr>
          </w:p>
        </w:tc>
        <w:tc>
          <w:tcPr>
            <w:tcW w:w="2324" w:type="dxa"/>
            <w:vAlign w:val="center"/>
          </w:tcPr>
          <w:p w:rsidR="00212513" w:rsidRDefault="00212513">
            <w:pPr>
              <w:pStyle w:val="ConsPlusNormal"/>
              <w:jc w:val="center"/>
            </w:pPr>
            <w:r>
              <w:t>Свыше 284</w:t>
            </w:r>
          </w:p>
        </w:tc>
        <w:tc>
          <w:tcPr>
            <w:tcW w:w="5556" w:type="dxa"/>
            <w:vAlign w:val="center"/>
          </w:tcPr>
          <w:p w:rsidR="00212513" w:rsidRDefault="00212513">
            <w:pPr>
              <w:pStyle w:val="ConsPlusNormal"/>
              <w:jc w:val="center"/>
            </w:pPr>
            <w:r>
              <w:t>524</w:t>
            </w:r>
          </w:p>
        </w:tc>
      </w:tr>
      <w:tr w:rsidR="00212513">
        <w:tc>
          <w:tcPr>
            <w:tcW w:w="1247" w:type="dxa"/>
            <w:vMerge w:val="restart"/>
            <w:vAlign w:val="center"/>
          </w:tcPr>
          <w:p w:rsidR="00212513" w:rsidRDefault="00212513">
            <w:pPr>
              <w:pStyle w:val="ConsPlusNormal"/>
              <w:jc w:val="center"/>
            </w:pPr>
            <w:r>
              <w:lastRenderedPageBreak/>
              <w:t>С390</w:t>
            </w:r>
          </w:p>
        </w:tc>
        <w:tc>
          <w:tcPr>
            <w:tcW w:w="2324" w:type="dxa"/>
            <w:vAlign w:val="center"/>
          </w:tcPr>
          <w:p w:rsidR="00212513" w:rsidRDefault="00212513">
            <w:pPr>
              <w:pStyle w:val="ConsPlusNormal"/>
              <w:jc w:val="center"/>
            </w:pPr>
            <w:r>
              <w:t>До 206</w:t>
            </w:r>
          </w:p>
        </w:tc>
        <w:tc>
          <w:tcPr>
            <w:tcW w:w="5556" w:type="dxa"/>
            <w:vAlign w:val="center"/>
          </w:tcPr>
          <w:p w:rsidR="00212513" w:rsidRDefault="00212513">
            <w:pPr>
              <w:pStyle w:val="ConsPlusNormal"/>
              <w:jc w:val="center"/>
            </w:pPr>
            <w:r>
              <w:rPr>
                <w:noProof/>
                <w:position w:val="-9"/>
              </w:rPr>
              <w:drawing>
                <wp:inline distT="0" distB="0" distL="0" distR="0">
                  <wp:extent cx="670560" cy="262890"/>
                  <wp:effectExtent l="0" t="0" r="0" b="0"/>
                  <wp:docPr id="1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7" cstate="print">
                            <a:extLst>
                              <a:ext uri="{28A0092B-C50C-407E-A947-70E740481C1C}">
                                <a14:useLocalDpi xmlns:a14="http://schemas.microsoft.com/office/drawing/2010/main" val="0"/>
                              </a:ext>
                            </a:extLst>
                          </a:blip>
                          <a:srcRect/>
                          <a:stretch>
                            <a:fillRect/>
                          </a:stretch>
                        </pic:blipFill>
                        <pic:spPr bwMode="auto">
                          <a:xfrm>
                            <a:off x="0" y="0"/>
                            <a:ext cx="670560" cy="262890"/>
                          </a:xfrm>
                          <a:prstGeom prst="rect">
                            <a:avLst/>
                          </a:prstGeom>
                          <a:noFill/>
                          <a:ln>
                            <a:noFill/>
                          </a:ln>
                        </pic:spPr>
                      </pic:pic>
                    </a:graphicData>
                  </a:graphic>
                </wp:inline>
              </w:drawing>
            </w:r>
          </w:p>
        </w:tc>
      </w:tr>
      <w:tr w:rsidR="00212513">
        <w:tc>
          <w:tcPr>
            <w:tcW w:w="1247" w:type="dxa"/>
            <w:vMerge/>
          </w:tcPr>
          <w:p w:rsidR="00212513" w:rsidRDefault="00212513">
            <w:pPr>
              <w:pStyle w:val="ConsPlusNormal"/>
            </w:pPr>
          </w:p>
        </w:tc>
        <w:tc>
          <w:tcPr>
            <w:tcW w:w="2324" w:type="dxa"/>
            <w:vAlign w:val="center"/>
          </w:tcPr>
          <w:p w:rsidR="00212513" w:rsidRDefault="00212513">
            <w:pPr>
              <w:pStyle w:val="ConsPlusNormal"/>
              <w:jc w:val="center"/>
            </w:pPr>
            <w:r>
              <w:t>Свыше 206 до 343</w:t>
            </w:r>
          </w:p>
        </w:tc>
        <w:tc>
          <w:tcPr>
            <w:tcW w:w="5556" w:type="dxa"/>
            <w:vAlign w:val="center"/>
          </w:tcPr>
          <w:p w:rsidR="00212513" w:rsidRDefault="00212513">
            <w:pPr>
              <w:pStyle w:val="ConsPlusNormal"/>
              <w:jc w:val="center"/>
            </w:pPr>
            <w:r>
              <w:rPr>
                <w:noProof/>
                <w:position w:val="-35"/>
              </w:rPr>
              <w:drawing>
                <wp:inline distT="0" distB="0" distL="0" distR="0">
                  <wp:extent cx="2891790" cy="586740"/>
                  <wp:effectExtent l="0" t="0" r="0" b="0"/>
                  <wp:docPr id="1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0" cstate="print">
                            <a:extLst>
                              <a:ext uri="{28A0092B-C50C-407E-A947-70E740481C1C}">
                                <a14:useLocalDpi xmlns:a14="http://schemas.microsoft.com/office/drawing/2010/main" val="0"/>
                              </a:ext>
                            </a:extLst>
                          </a:blip>
                          <a:srcRect/>
                          <a:stretch>
                            <a:fillRect/>
                          </a:stretch>
                        </pic:blipFill>
                        <pic:spPr bwMode="auto">
                          <a:xfrm>
                            <a:off x="0" y="0"/>
                            <a:ext cx="2891790" cy="586740"/>
                          </a:xfrm>
                          <a:prstGeom prst="rect">
                            <a:avLst/>
                          </a:prstGeom>
                          <a:noFill/>
                          <a:ln>
                            <a:noFill/>
                          </a:ln>
                        </pic:spPr>
                      </pic:pic>
                    </a:graphicData>
                  </a:graphic>
                </wp:inline>
              </w:drawing>
            </w:r>
          </w:p>
        </w:tc>
      </w:tr>
      <w:tr w:rsidR="00212513">
        <w:tc>
          <w:tcPr>
            <w:tcW w:w="1247" w:type="dxa"/>
            <w:vMerge/>
          </w:tcPr>
          <w:p w:rsidR="00212513" w:rsidRDefault="00212513">
            <w:pPr>
              <w:pStyle w:val="ConsPlusNormal"/>
            </w:pPr>
          </w:p>
        </w:tc>
        <w:tc>
          <w:tcPr>
            <w:tcW w:w="2324" w:type="dxa"/>
            <w:vAlign w:val="center"/>
          </w:tcPr>
          <w:p w:rsidR="00212513" w:rsidRDefault="00212513">
            <w:pPr>
              <w:pStyle w:val="ConsPlusNormal"/>
              <w:jc w:val="center"/>
            </w:pPr>
            <w:r>
              <w:t>Свыше 343</w:t>
            </w:r>
          </w:p>
        </w:tc>
        <w:tc>
          <w:tcPr>
            <w:tcW w:w="5556" w:type="dxa"/>
            <w:vAlign w:val="center"/>
          </w:tcPr>
          <w:p w:rsidR="00212513" w:rsidRDefault="00212513">
            <w:pPr>
              <w:pStyle w:val="ConsPlusNormal"/>
              <w:jc w:val="center"/>
            </w:pPr>
            <w:r>
              <w:t>591</w:t>
            </w:r>
          </w:p>
        </w:tc>
      </w:tr>
    </w:tbl>
    <w:p w:rsidR="00212513" w:rsidRDefault="00212513">
      <w:pPr>
        <w:pStyle w:val="ConsPlusNormal"/>
        <w:ind w:firstLine="540"/>
        <w:jc w:val="both"/>
      </w:pPr>
    </w:p>
    <w:p w:rsidR="00212513" w:rsidRDefault="00212513">
      <w:pPr>
        <w:pStyle w:val="ConsPlusTitle"/>
        <w:ind w:firstLine="540"/>
        <w:jc w:val="both"/>
        <w:outlineLvl w:val="2"/>
      </w:pPr>
      <w:r>
        <w:t>Расчет по устойчивости полок и стенок элементов, подкрепленных ребрами жесткости</w:t>
      </w:r>
    </w:p>
    <w:p w:rsidR="00212513" w:rsidRDefault="00212513">
      <w:pPr>
        <w:pStyle w:val="ConsPlusNormal"/>
        <w:ind w:firstLine="540"/>
        <w:jc w:val="both"/>
      </w:pPr>
    </w:p>
    <w:p w:rsidR="00212513" w:rsidRDefault="00212513">
      <w:pPr>
        <w:pStyle w:val="ConsPlusNormal"/>
        <w:ind w:firstLine="540"/>
        <w:jc w:val="both"/>
      </w:pPr>
      <w:r>
        <w:t>8.46 Расчет по устойчивости полок и стенок элементов, подкрепленных ребрами жесткости, следует выполнять по теории призматических складчатых оболочек, укрепленных поперечными диафрагмами.</w:t>
      </w:r>
    </w:p>
    <w:p w:rsidR="00212513" w:rsidRDefault="00212513">
      <w:pPr>
        <w:pStyle w:val="ConsPlusNormal"/>
        <w:spacing w:before="220"/>
        <w:ind w:firstLine="540"/>
        <w:jc w:val="both"/>
      </w:pPr>
      <w:r>
        <w:t xml:space="preserve">Допускается выполнять расчет по устойчивости пластинок, полок и стенок указанных элементов согласно </w:t>
      </w:r>
      <w:hyperlink w:anchor="P15760">
        <w:r>
          <w:rPr>
            <w:color w:val="0000FF"/>
          </w:rPr>
          <w:t>приложению Х</w:t>
        </w:r>
      </w:hyperlink>
      <w:r>
        <w:t>.</w:t>
      </w:r>
    </w:p>
    <w:p w:rsidR="00212513" w:rsidRDefault="00212513">
      <w:pPr>
        <w:pStyle w:val="ConsPlusNormal"/>
        <w:spacing w:before="220"/>
        <w:ind w:firstLine="540"/>
        <w:jc w:val="both"/>
      </w:pPr>
      <w:bookmarkStart w:id="338" w:name="P7839"/>
      <w:bookmarkEnd w:id="338"/>
      <w:r>
        <w:t xml:space="preserve">8.47 Устойчивость пластинок ортотропных плит допускается обеспечивать назначением отношения их толщины к ширине в соответствии с </w:t>
      </w:r>
      <w:hyperlink w:anchor="P7746">
        <w:r>
          <w:rPr>
            <w:color w:val="0000FF"/>
          </w:rPr>
          <w:t>8.45</w:t>
        </w:r>
      </w:hyperlink>
      <w:r>
        <w:t>, при этом:</w:t>
      </w:r>
    </w:p>
    <w:p w:rsidR="00212513" w:rsidRDefault="00212513">
      <w:pPr>
        <w:pStyle w:val="ConsPlusNormal"/>
        <w:spacing w:before="220"/>
        <w:ind w:firstLine="540"/>
        <w:jc w:val="both"/>
      </w:pPr>
      <w:r>
        <w:t xml:space="preserve">для полосовых продольных ребер коэффициент </w:t>
      </w:r>
      <w:r>
        <w:rPr>
          <w:noProof/>
          <w:position w:val="-1"/>
        </w:rPr>
        <w:drawing>
          <wp:inline distT="0" distB="0" distL="0" distR="0">
            <wp:extent cx="167640" cy="156845"/>
            <wp:effectExtent l="0" t="0" r="0" b="0"/>
            <wp:docPr id="1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1"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следует определять по </w:t>
      </w:r>
      <w:hyperlink w:anchor="P7750">
        <w:r>
          <w:rPr>
            <w:color w:val="0000FF"/>
          </w:rPr>
          <w:t>формуле (8.55)</w:t>
        </w:r>
      </w:hyperlink>
      <w:r>
        <w:t xml:space="preserve"> при коэффициенте защемления </w:t>
      </w:r>
      <w:r>
        <w:rPr>
          <w:noProof/>
          <w:position w:val="-8"/>
        </w:rPr>
        <w:drawing>
          <wp:inline distT="0" distB="0" distL="0" distR="0">
            <wp:extent cx="177800" cy="251460"/>
            <wp:effectExtent l="0" t="0" r="0" b="0"/>
            <wp:docPr id="1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2"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и свесе полки тавра </w:t>
      </w:r>
      <w:r>
        <w:rPr>
          <w:noProof/>
          <w:position w:val="-8"/>
        </w:rPr>
        <w:drawing>
          <wp:inline distT="0" distB="0" distL="0" distR="0">
            <wp:extent cx="177800" cy="251460"/>
            <wp:effectExtent l="0" t="0" r="0" b="0"/>
            <wp:docPr id="1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3"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w:t>
      </w:r>
      <w:hyperlink w:anchor="P7845">
        <w:r>
          <w:rPr>
            <w:color w:val="0000FF"/>
          </w:rPr>
          <w:t>рисунок 8.2</w:t>
        </w:r>
      </w:hyperlink>
      <w:r>
        <w:t xml:space="preserve">, а), равном </w:t>
      </w:r>
      <w:r>
        <w:rPr>
          <w:noProof/>
          <w:position w:val="-8"/>
        </w:rPr>
        <w:drawing>
          <wp:inline distT="0" distB="0" distL="0" distR="0">
            <wp:extent cx="419100" cy="251460"/>
            <wp:effectExtent l="0" t="0" r="0" b="0"/>
            <wp:docPr id="1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4" cstate="print">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r>
        <w:t xml:space="preserve"> при </w:t>
      </w:r>
      <w:r>
        <w:rPr>
          <w:noProof/>
          <w:position w:val="-8"/>
        </w:rPr>
        <w:drawing>
          <wp:inline distT="0" distB="0" distL="0" distR="0">
            <wp:extent cx="608330" cy="251460"/>
            <wp:effectExtent l="0" t="0" r="0" b="0"/>
            <wp:docPr id="1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5" cstate="print">
                      <a:extLst>
                        <a:ext uri="{28A0092B-C50C-407E-A947-70E740481C1C}">
                          <a14:useLocalDpi xmlns:a14="http://schemas.microsoft.com/office/drawing/2010/main" val="0"/>
                        </a:ext>
                      </a:extLst>
                    </a:blip>
                    <a:srcRect/>
                    <a:stretch>
                      <a:fillRect/>
                    </a:stretch>
                  </pic:blipFill>
                  <pic:spPr bwMode="auto">
                    <a:xfrm>
                      <a:off x="0" y="0"/>
                      <a:ext cx="608330" cy="251460"/>
                    </a:xfrm>
                    <a:prstGeom prst="rect">
                      <a:avLst/>
                    </a:prstGeom>
                    <a:noFill/>
                    <a:ln>
                      <a:noFill/>
                    </a:ln>
                  </pic:spPr>
                </pic:pic>
              </a:graphicData>
            </a:graphic>
          </wp:inline>
        </w:drawing>
      </w:r>
      <w:r>
        <w:t xml:space="preserve"> или </w:t>
      </w:r>
      <w:r>
        <w:rPr>
          <w:noProof/>
          <w:position w:val="-8"/>
        </w:rPr>
        <w:drawing>
          <wp:inline distT="0" distB="0" distL="0" distR="0">
            <wp:extent cx="262890" cy="251460"/>
            <wp:effectExtent l="0" t="0" r="0" b="0"/>
            <wp:docPr id="1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6"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при </w:t>
      </w:r>
      <w:r>
        <w:rPr>
          <w:noProof/>
          <w:position w:val="-8"/>
        </w:rPr>
        <w:drawing>
          <wp:inline distT="0" distB="0" distL="0" distR="0">
            <wp:extent cx="608330" cy="251460"/>
            <wp:effectExtent l="0" t="0" r="0" b="0"/>
            <wp:docPr id="1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7" cstate="print">
                      <a:extLst>
                        <a:ext uri="{28A0092B-C50C-407E-A947-70E740481C1C}">
                          <a14:useLocalDpi xmlns:a14="http://schemas.microsoft.com/office/drawing/2010/main" val="0"/>
                        </a:ext>
                      </a:extLst>
                    </a:blip>
                    <a:srcRect/>
                    <a:stretch>
                      <a:fillRect/>
                    </a:stretch>
                  </pic:blipFill>
                  <pic:spPr bwMode="auto">
                    <a:xfrm>
                      <a:off x="0" y="0"/>
                      <a:ext cx="608330" cy="251460"/>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для участка листа ортотропной плиты между соседними продольными полосовыми ребрами коэффициент </w:t>
      </w:r>
      <w:r>
        <w:rPr>
          <w:noProof/>
          <w:position w:val="-1"/>
        </w:rPr>
        <w:drawing>
          <wp:inline distT="0" distB="0" distL="0" distR="0">
            <wp:extent cx="167640" cy="156845"/>
            <wp:effectExtent l="0" t="0" r="0" b="0"/>
            <wp:docPr id="1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1"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следует определять по </w:t>
      </w:r>
      <w:hyperlink w:anchor="P7754">
        <w:r>
          <w:rPr>
            <w:color w:val="0000FF"/>
          </w:rPr>
          <w:t>формуле (8.56)</w:t>
        </w:r>
      </w:hyperlink>
      <w:r>
        <w:t xml:space="preserve"> при коэффициенте защемления </w:t>
      </w:r>
      <w:r>
        <w:rPr>
          <w:noProof/>
          <w:position w:val="-8"/>
        </w:rPr>
        <w:drawing>
          <wp:inline distT="0" distB="0" distL="0" distR="0">
            <wp:extent cx="198755" cy="250825"/>
            <wp:effectExtent l="0" t="0" r="0" b="0"/>
            <wp:docPr id="1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8"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высоте стенки </w:t>
      </w:r>
      <w:r>
        <w:rPr>
          <w:noProof/>
          <w:position w:val="-8"/>
        </w:rPr>
        <w:drawing>
          <wp:inline distT="0" distB="0" distL="0" distR="0">
            <wp:extent cx="198755" cy="250825"/>
            <wp:effectExtent l="0" t="0" r="0" b="0"/>
            <wp:docPr id="1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9"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равной расстоянию между продольными ребрами, и свесе полки </w:t>
      </w:r>
      <w:r>
        <w:rPr>
          <w:noProof/>
          <w:position w:val="-8"/>
        </w:rPr>
        <w:drawing>
          <wp:inline distT="0" distB="0" distL="0" distR="0">
            <wp:extent cx="177800" cy="251460"/>
            <wp:effectExtent l="0" t="0" r="0" b="0"/>
            <wp:docPr id="1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3"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равном высоте продольного ребра (</w:t>
      </w:r>
      <w:hyperlink w:anchor="P7845">
        <w:r>
          <w:rPr>
            <w:color w:val="0000FF"/>
          </w:rPr>
          <w:t>рисунок 8.2</w:t>
        </w:r>
      </w:hyperlink>
      <w:r>
        <w:t xml:space="preserve">, б), но не более </w:t>
      </w:r>
      <w:r>
        <w:rPr>
          <w:noProof/>
          <w:position w:val="-8"/>
        </w:rPr>
        <w:drawing>
          <wp:inline distT="0" distB="0" distL="0" distR="0">
            <wp:extent cx="281940" cy="251460"/>
            <wp:effectExtent l="0" t="0" r="0" b="0"/>
            <wp:docPr id="1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0"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xml:space="preserve">; здесь </w:t>
      </w:r>
      <w:r>
        <w:rPr>
          <w:noProof/>
          <w:position w:val="-8"/>
        </w:rPr>
        <w:drawing>
          <wp:inline distT="0" distB="0" distL="0" distR="0">
            <wp:extent cx="177800" cy="251460"/>
            <wp:effectExtent l="0" t="0" r="0" b="0"/>
            <wp:docPr id="1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1"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и </w:t>
      </w:r>
      <w:r>
        <w:rPr>
          <w:noProof/>
          <w:position w:val="-8"/>
        </w:rPr>
        <w:drawing>
          <wp:inline distT="0" distB="0" distL="0" distR="0">
            <wp:extent cx="198755" cy="250825"/>
            <wp:effectExtent l="0" t="0" r="0" b="0"/>
            <wp:docPr id="1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2"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коэффициенты, определяемые по </w:t>
      </w:r>
      <w:hyperlink w:anchor="P8039">
        <w:r>
          <w:rPr>
            <w:color w:val="0000FF"/>
          </w:rPr>
          <w:t>8.55</w:t>
        </w:r>
      </w:hyperlink>
      <w:r>
        <w:t>.</w:t>
      </w:r>
    </w:p>
    <w:p w:rsidR="00212513" w:rsidRDefault="00212513">
      <w:pPr>
        <w:pStyle w:val="ConsPlusNormal"/>
        <w:ind w:firstLine="540"/>
        <w:jc w:val="both"/>
      </w:pPr>
    </w:p>
    <w:p w:rsidR="00212513" w:rsidRDefault="00212513">
      <w:pPr>
        <w:pStyle w:val="ConsPlusNormal"/>
        <w:jc w:val="center"/>
      </w:pPr>
      <w:r>
        <w:rPr>
          <w:noProof/>
          <w:position w:val="-173"/>
        </w:rPr>
        <w:drawing>
          <wp:inline distT="0" distB="0" distL="0" distR="0">
            <wp:extent cx="3298190" cy="2348865"/>
            <wp:effectExtent l="0" t="0" r="0" b="0"/>
            <wp:docPr id="1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3" cstate="print">
                      <a:extLst>
                        <a:ext uri="{28A0092B-C50C-407E-A947-70E740481C1C}">
                          <a14:useLocalDpi xmlns:a14="http://schemas.microsoft.com/office/drawing/2010/main" val="0"/>
                        </a:ext>
                      </a:extLst>
                    </a:blip>
                    <a:srcRect/>
                    <a:stretch>
                      <a:fillRect/>
                    </a:stretch>
                  </pic:blipFill>
                  <pic:spPr bwMode="auto">
                    <a:xfrm>
                      <a:off x="0" y="0"/>
                      <a:ext cx="3298190" cy="2348865"/>
                    </a:xfrm>
                    <a:prstGeom prst="rect">
                      <a:avLst/>
                    </a:prstGeom>
                    <a:noFill/>
                    <a:ln>
                      <a:noFill/>
                    </a:ln>
                  </pic:spPr>
                </pic:pic>
              </a:graphicData>
            </a:graphic>
          </wp:inline>
        </w:drawing>
      </w:r>
    </w:p>
    <w:p w:rsidR="00212513" w:rsidRDefault="00212513">
      <w:pPr>
        <w:pStyle w:val="ConsPlusNormal"/>
        <w:jc w:val="center"/>
      </w:pPr>
    </w:p>
    <w:p w:rsidR="00212513" w:rsidRDefault="00212513">
      <w:pPr>
        <w:pStyle w:val="ConsPlusNormal"/>
        <w:jc w:val="center"/>
      </w:pPr>
      <w:bookmarkStart w:id="339" w:name="P7845"/>
      <w:bookmarkEnd w:id="339"/>
      <w:r>
        <w:rPr>
          <w:b/>
          <w:i/>
        </w:rPr>
        <w:t>Рисунок 8.2</w:t>
      </w:r>
      <w:r>
        <w:t xml:space="preserve"> </w:t>
      </w:r>
      <w:r>
        <w:rPr>
          <w:b/>
        </w:rPr>
        <w:t>- Схемы расчетных сечений пластинок</w:t>
      </w:r>
    </w:p>
    <w:p w:rsidR="00212513" w:rsidRDefault="00212513">
      <w:pPr>
        <w:pStyle w:val="ConsPlusNormal"/>
        <w:jc w:val="center"/>
      </w:pPr>
      <w:r>
        <w:rPr>
          <w:b/>
        </w:rPr>
        <w:t>ортотропных плит. Расчетные длины</w:t>
      </w:r>
    </w:p>
    <w:p w:rsidR="00212513" w:rsidRDefault="00212513">
      <w:pPr>
        <w:pStyle w:val="ConsPlusNormal"/>
        <w:ind w:firstLine="540"/>
        <w:jc w:val="both"/>
      </w:pPr>
    </w:p>
    <w:p w:rsidR="00212513" w:rsidRDefault="00212513">
      <w:pPr>
        <w:pStyle w:val="ConsPlusNormal"/>
        <w:ind w:firstLine="540"/>
        <w:jc w:val="both"/>
      </w:pPr>
      <w:r>
        <w:t xml:space="preserve">8.48 Расчетные длины </w:t>
      </w:r>
      <w:r>
        <w:rPr>
          <w:noProof/>
          <w:position w:val="-9"/>
        </w:rPr>
        <w:drawing>
          <wp:inline distT="0" distB="0" distL="0" distR="0">
            <wp:extent cx="177800" cy="262890"/>
            <wp:effectExtent l="0" t="0" r="0" b="0"/>
            <wp:docPr id="1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элементов главных ферм, за исключением элементов перекрестной решетки, следует принимать по таблице 8.24.</w:t>
      </w:r>
    </w:p>
    <w:p w:rsidR="00212513" w:rsidRDefault="00212513">
      <w:pPr>
        <w:pStyle w:val="ConsPlusNormal"/>
        <w:ind w:firstLine="540"/>
        <w:jc w:val="both"/>
      </w:pPr>
    </w:p>
    <w:p w:rsidR="00212513" w:rsidRDefault="00212513">
      <w:pPr>
        <w:pStyle w:val="ConsPlusNormal"/>
        <w:jc w:val="right"/>
      </w:pPr>
      <w:bookmarkStart w:id="340" w:name="P7850"/>
      <w:bookmarkEnd w:id="340"/>
      <w:r>
        <w:t>Таблица 8.24</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2"/>
        <w:gridCol w:w="1020"/>
        <w:gridCol w:w="2608"/>
        <w:gridCol w:w="2041"/>
      </w:tblGrid>
      <w:tr w:rsidR="00212513">
        <w:tc>
          <w:tcPr>
            <w:tcW w:w="3402" w:type="dxa"/>
            <w:vMerge w:val="restart"/>
            <w:vAlign w:val="center"/>
          </w:tcPr>
          <w:p w:rsidR="00212513" w:rsidRDefault="00212513">
            <w:pPr>
              <w:pStyle w:val="ConsPlusNormal"/>
              <w:jc w:val="center"/>
            </w:pPr>
            <w:r>
              <w:t>Направление продольного изгиба</w:t>
            </w:r>
          </w:p>
        </w:tc>
        <w:tc>
          <w:tcPr>
            <w:tcW w:w="5669" w:type="dxa"/>
            <w:gridSpan w:val="3"/>
            <w:vAlign w:val="center"/>
          </w:tcPr>
          <w:p w:rsidR="00212513" w:rsidRDefault="00212513">
            <w:pPr>
              <w:pStyle w:val="ConsPlusNormal"/>
              <w:jc w:val="center"/>
            </w:pPr>
            <w:r>
              <w:t xml:space="preserve">Расчетная длина </w:t>
            </w:r>
            <w:r>
              <w:rPr>
                <w:i/>
              </w:rPr>
              <w:t>l</w:t>
            </w:r>
            <w:r>
              <w:rPr>
                <w:i/>
                <w:vertAlign w:val="subscript"/>
              </w:rPr>
              <w:t>ef</w:t>
            </w:r>
          </w:p>
        </w:tc>
      </w:tr>
      <w:tr w:rsidR="00212513">
        <w:tc>
          <w:tcPr>
            <w:tcW w:w="3402" w:type="dxa"/>
            <w:vMerge/>
          </w:tcPr>
          <w:p w:rsidR="00212513" w:rsidRDefault="00212513">
            <w:pPr>
              <w:pStyle w:val="ConsPlusNormal"/>
            </w:pPr>
          </w:p>
        </w:tc>
        <w:tc>
          <w:tcPr>
            <w:tcW w:w="1020" w:type="dxa"/>
            <w:vAlign w:val="center"/>
          </w:tcPr>
          <w:p w:rsidR="00212513" w:rsidRDefault="00212513">
            <w:pPr>
              <w:pStyle w:val="ConsPlusNormal"/>
              <w:jc w:val="center"/>
            </w:pPr>
            <w:r>
              <w:t>поясов</w:t>
            </w:r>
          </w:p>
        </w:tc>
        <w:tc>
          <w:tcPr>
            <w:tcW w:w="2608" w:type="dxa"/>
            <w:vAlign w:val="center"/>
          </w:tcPr>
          <w:p w:rsidR="00212513" w:rsidRDefault="00212513">
            <w:pPr>
              <w:pStyle w:val="ConsPlusNormal"/>
              <w:jc w:val="center"/>
            </w:pPr>
            <w:r>
              <w:t xml:space="preserve">опорных раскосов и опорных стоек </w:t>
            </w:r>
            <w:hyperlink w:anchor="P7868">
              <w:r>
                <w:rPr>
                  <w:color w:val="0000FF"/>
                </w:rPr>
                <w:t>&lt;*&gt;</w:t>
              </w:r>
            </w:hyperlink>
          </w:p>
        </w:tc>
        <w:tc>
          <w:tcPr>
            <w:tcW w:w="2041" w:type="dxa"/>
            <w:vAlign w:val="center"/>
          </w:tcPr>
          <w:p w:rsidR="00212513" w:rsidRDefault="00212513">
            <w:pPr>
              <w:pStyle w:val="ConsPlusNormal"/>
              <w:jc w:val="center"/>
            </w:pPr>
            <w:r>
              <w:t>прочих элементов решетки</w:t>
            </w:r>
          </w:p>
        </w:tc>
      </w:tr>
      <w:tr w:rsidR="00212513">
        <w:tblPrEx>
          <w:tblBorders>
            <w:insideH w:val="nil"/>
          </w:tblBorders>
        </w:tblPrEx>
        <w:tc>
          <w:tcPr>
            <w:tcW w:w="3402" w:type="dxa"/>
            <w:tcBorders>
              <w:bottom w:val="nil"/>
            </w:tcBorders>
          </w:tcPr>
          <w:p w:rsidR="00212513" w:rsidRDefault="00212513">
            <w:pPr>
              <w:pStyle w:val="ConsPlusNormal"/>
            </w:pPr>
            <w:r>
              <w:t>1 В плоскости фермы</w:t>
            </w:r>
          </w:p>
        </w:tc>
        <w:tc>
          <w:tcPr>
            <w:tcW w:w="1020" w:type="dxa"/>
            <w:tcBorders>
              <w:bottom w:val="nil"/>
            </w:tcBorders>
          </w:tcPr>
          <w:p w:rsidR="00212513" w:rsidRDefault="00212513">
            <w:pPr>
              <w:pStyle w:val="ConsPlusNormal"/>
              <w:jc w:val="center"/>
            </w:pPr>
            <w:r>
              <w:rPr>
                <w:i/>
              </w:rPr>
              <w:t>l</w:t>
            </w:r>
          </w:p>
        </w:tc>
        <w:tc>
          <w:tcPr>
            <w:tcW w:w="2608" w:type="dxa"/>
            <w:tcBorders>
              <w:bottom w:val="nil"/>
            </w:tcBorders>
          </w:tcPr>
          <w:p w:rsidR="00212513" w:rsidRDefault="00212513">
            <w:pPr>
              <w:pStyle w:val="ConsPlusNormal"/>
              <w:jc w:val="center"/>
            </w:pPr>
            <w:r>
              <w:rPr>
                <w:i/>
              </w:rPr>
              <w:t>l</w:t>
            </w:r>
          </w:p>
        </w:tc>
        <w:tc>
          <w:tcPr>
            <w:tcW w:w="2041" w:type="dxa"/>
            <w:tcBorders>
              <w:bottom w:val="nil"/>
            </w:tcBorders>
          </w:tcPr>
          <w:p w:rsidR="00212513" w:rsidRDefault="00212513">
            <w:pPr>
              <w:pStyle w:val="ConsPlusNormal"/>
              <w:jc w:val="center"/>
            </w:pPr>
            <w:r>
              <w:t>0,8</w:t>
            </w:r>
            <w:r>
              <w:rPr>
                <w:i/>
              </w:rPr>
              <w:t>l</w:t>
            </w:r>
          </w:p>
        </w:tc>
      </w:tr>
      <w:tr w:rsidR="00212513">
        <w:tblPrEx>
          <w:tblBorders>
            <w:insideH w:val="nil"/>
          </w:tblBorders>
        </w:tblPrEx>
        <w:tc>
          <w:tcPr>
            <w:tcW w:w="3402" w:type="dxa"/>
            <w:tcBorders>
              <w:top w:val="nil"/>
            </w:tcBorders>
          </w:tcPr>
          <w:p w:rsidR="00212513" w:rsidRDefault="00212513">
            <w:pPr>
              <w:pStyle w:val="ConsPlusNormal"/>
            </w:pPr>
            <w:r>
              <w:t>2 В направлении, перпендикулярном плоскости фермы (из плоскости фермы)</w:t>
            </w:r>
          </w:p>
        </w:tc>
        <w:tc>
          <w:tcPr>
            <w:tcW w:w="1020" w:type="dxa"/>
            <w:tcBorders>
              <w:top w:val="nil"/>
            </w:tcBorders>
          </w:tcPr>
          <w:p w:rsidR="00212513" w:rsidRDefault="00212513">
            <w:pPr>
              <w:pStyle w:val="ConsPlusNormal"/>
              <w:jc w:val="center"/>
            </w:pPr>
            <w:r>
              <w:rPr>
                <w:i/>
              </w:rPr>
              <w:t>l</w:t>
            </w:r>
            <w:r>
              <w:rPr>
                <w:vertAlign w:val="subscript"/>
              </w:rPr>
              <w:t>1</w:t>
            </w:r>
          </w:p>
        </w:tc>
        <w:tc>
          <w:tcPr>
            <w:tcW w:w="2608" w:type="dxa"/>
            <w:tcBorders>
              <w:top w:val="nil"/>
            </w:tcBorders>
          </w:tcPr>
          <w:p w:rsidR="00212513" w:rsidRDefault="00212513">
            <w:pPr>
              <w:pStyle w:val="ConsPlusNormal"/>
              <w:jc w:val="center"/>
            </w:pPr>
            <w:r>
              <w:rPr>
                <w:i/>
              </w:rPr>
              <w:t>l</w:t>
            </w:r>
            <w:r>
              <w:rPr>
                <w:vertAlign w:val="subscript"/>
              </w:rPr>
              <w:t>1</w:t>
            </w:r>
          </w:p>
        </w:tc>
        <w:tc>
          <w:tcPr>
            <w:tcW w:w="2041" w:type="dxa"/>
            <w:tcBorders>
              <w:top w:val="nil"/>
            </w:tcBorders>
          </w:tcPr>
          <w:p w:rsidR="00212513" w:rsidRDefault="00212513">
            <w:pPr>
              <w:pStyle w:val="ConsPlusNormal"/>
              <w:jc w:val="center"/>
            </w:pPr>
            <w:r>
              <w:rPr>
                <w:i/>
              </w:rPr>
              <w:t>l</w:t>
            </w:r>
            <w:r>
              <w:rPr>
                <w:vertAlign w:val="subscript"/>
              </w:rPr>
              <w:t>1</w:t>
            </w:r>
          </w:p>
        </w:tc>
      </w:tr>
      <w:tr w:rsidR="00212513">
        <w:tblPrEx>
          <w:tblBorders>
            <w:insideH w:val="nil"/>
          </w:tblBorders>
        </w:tblPrEx>
        <w:tc>
          <w:tcPr>
            <w:tcW w:w="9071" w:type="dxa"/>
            <w:gridSpan w:val="4"/>
            <w:tcBorders>
              <w:bottom w:val="nil"/>
            </w:tcBorders>
          </w:tcPr>
          <w:p w:rsidR="00212513" w:rsidRDefault="00212513">
            <w:pPr>
              <w:pStyle w:val="ConsPlusNormal"/>
              <w:ind w:firstLine="283"/>
              <w:jc w:val="both"/>
            </w:pPr>
            <w:r>
              <w:t xml:space="preserve">Обозначения, принятые в </w:t>
            </w:r>
            <w:hyperlink w:anchor="P7850">
              <w:r>
                <w:rPr>
                  <w:color w:val="0000FF"/>
                </w:rPr>
                <w:t>таблице 8.24</w:t>
              </w:r>
            </w:hyperlink>
            <w:r>
              <w:t>:</w:t>
            </w:r>
          </w:p>
          <w:p w:rsidR="00212513" w:rsidRDefault="00212513">
            <w:pPr>
              <w:pStyle w:val="ConsPlusNormal"/>
              <w:ind w:firstLine="283"/>
              <w:jc w:val="both"/>
            </w:pPr>
            <w:r>
              <w:rPr>
                <w:i/>
              </w:rPr>
              <w:t>l</w:t>
            </w:r>
            <w:r>
              <w:t xml:space="preserve"> - геометрическая длина элемента (расстояние между центрами узлов) в плоскости фермы;</w:t>
            </w:r>
          </w:p>
          <w:p w:rsidR="00212513" w:rsidRDefault="00212513">
            <w:pPr>
              <w:pStyle w:val="ConsPlusNormal"/>
              <w:ind w:firstLine="283"/>
              <w:jc w:val="both"/>
            </w:pPr>
            <w:r>
              <w:rPr>
                <w:i/>
              </w:rPr>
              <w:t>l</w:t>
            </w:r>
            <w:r>
              <w:rPr>
                <w:vertAlign w:val="subscript"/>
              </w:rPr>
              <w:t>1</w:t>
            </w:r>
            <w:r>
              <w:t xml:space="preserve"> - расстояние между узлами, закрепленными от смещения из плоскости фермы.</w:t>
            </w:r>
          </w:p>
        </w:tc>
      </w:tr>
      <w:tr w:rsidR="00212513">
        <w:tblPrEx>
          <w:tblBorders>
            <w:insideH w:val="nil"/>
          </w:tblBorders>
        </w:tblPrEx>
        <w:tc>
          <w:tcPr>
            <w:tcW w:w="9071" w:type="dxa"/>
            <w:gridSpan w:val="4"/>
            <w:tcBorders>
              <w:top w:val="nil"/>
            </w:tcBorders>
          </w:tcPr>
          <w:p w:rsidR="00212513" w:rsidRDefault="00212513">
            <w:pPr>
              <w:pStyle w:val="ConsPlusNormal"/>
              <w:ind w:firstLine="283"/>
              <w:jc w:val="both"/>
            </w:pPr>
            <w:bookmarkStart w:id="341" w:name="P7868"/>
            <w:bookmarkEnd w:id="341"/>
            <w:r>
              <w:t>&lt;*&gt; Расчетную длину опорных раскосов и опорных стоек у промежуточных опор неразрезных пролетных строений принимают как для прочих элементов решетки.</w:t>
            </w:r>
          </w:p>
        </w:tc>
      </w:tr>
    </w:tbl>
    <w:p w:rsidR="00212513" w:rsidRDefault="00212513">
      <w:pPr>
        <w:pStyle w:val="ConsPlusNormal"/>
        <w:ind w:firstLine="540"/>
        <w:jc w:val="both"/>
      </w:pPr>
    </w:p>
    <w:p w:rsidR="00212513" w:rsidRDefault="00212513">
      <w:pPr>
        <w:pStyle w:val="ConsPlusNormal"/>
        <w:ind w:firstLine="540"/>
        <w:jc w:val="both"/>
      </w:pPr>
      <w:r>
        <w:t xml:space="preserve">8.49 Расчетную длину </w:t>
      </w:r>
      <w:r>
        <w:rPr>
          <w:noProof/>
          <w:position w:val="-9"/>
        </w:rPr>
        <w:drawing>
          <wp:inline distT="0" distB="0" distL="0" distR="0">
            <wp:extent cx="177800" cy="262890"/>
            <wp:effectExtent l="0" t="0" r="0" b="0"/>
            <wp:docPr id="1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элемента, по длине которого действуют разные сжимающие усилия </w:t>
      </w:r>
      <w:r>
        <w:rPr>
          <w:noProof/>
          <w:position w:val="-8"/>
        </w:rPr>
        <w:drawing>
          <wp:inline distT="0" distB="0" distL="0" distR="0">
            <wp:extent cx="209550" cy="251460"/>
            <wp:effectExtent l="0" t="0" r="0" b="0"/>
            <wp:docPr id="1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w:t>
      </w:r>
      <w:r>
        <w:rPr>
          <w:noProof/>
          <w:position w:val="-8"/>
        </w:rPr>
        <w:drawing>
          <wp:inline distT="0" distB="0" distL="0" distR="0">
            <wp:extent cx="241935" cy="251460"/>
            <wp:effectExtent l="0" t="0" r="0" b="0"/>
            <wp:docPr id="1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(причем </w:t>
      </w:r>
      <w:r>
        <w:rPr>
          <w:noProof/>
          <w:position w:val="-8"/>
        </w:rPr>
        <w:drawing>
          <wp:inline distT="0" distB="0" distL="0" distR="0">
            <wp:extent cx="578485" cy="251460"/>
            <wp:effectExtent l="0" t="0" r="0" b="0"/>
            <wp:docPr id="1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7" cstate="print">
                      <a:extLst>
                        <a:ext uri="{28A0092B-C50C-407E-A947-70E740481C1C}">
                          <a14:useLocalDpi xmlns:a14="http://schemas.microsoft.com/office/drawing/2010/main" val="0"/>
                        </a:ext>
                      </a:extLst>
                    </a:blip>
                    <a:srcRect/>
                    <a:stretch>
                      <a:fillRect/>
                    </a:stretch>
                  </pic:blipFill>
                  <pic:spPr bwMode="auto">
                    <a:xfrm>
                      <a:off x="0" y="0"/>
                      <a:ext cx="578485" cy="251460"/>
                    </a:xfrm>
                    <a:prstGeom prst="rect">
                      <a:avLst/>
                    </a:prstGeom>
                    <a:noFill/>
                    <a:ln>
                      <a:noFill/>
                    </a:ln>
                  </pic:spPr>
                </pic:pic>
              </a:graphicData>
            </a:graphic>
          </wp:inline>
        </w:drawing>
      </w:r>
      <w:r>
        <w:t>), из плоскости фермы (с треугольной решеткой со шпренгелем или полураскосной и т.д.) следует вычислять по формуле</w:t>
      </w:r>
    </w:p>
    <w:p w:rsidR="00212513" w:rsidRDefault="00212513">
      <w:pPr>
        <w:pStyle w:val="ConsPlusNormal"/>
        <w:ind w:firstLine="540"/>
        <w:jc w:val="both"/>
      </w:pPr>
    </w:p>
    <w:p w:rsidR="00212513" w:rsidRDefault="00212513">
      <w:pPr>
        <w:pStyle w:val="ConsPlusNormal"/>
        <w:jc w:val="center"/>
      </w:pPr>
      <w:bookmarkStart w:id="342" w:name="P7872"/>
      <w:bookmarkEnd w:id="342"/>
      <w:r>
        <w:rPr>
          <w:noProof/>
          <w:position w:val="-31"/>
        </w:rPr>
        <w:drawing>
          <wp:inline distT="0" distB="0" distL="0" distR="0">
            <wp:extent cx="1647825" cy="535940"/>
            <wp:effectExtent l="0" t="0" r="0" b="0"/>
            <wp:docPr id="1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8" cstate="print">
                      <a:extLst>
                        <a:ext uri="{28A0092B-C50C-407E-A947-70E740481C1C}">
                          <a14:useLocalDpi xmlns:a14="http://schemas.microsoft.com/office/drawing/2010/main" val="0"/>
                        </a:ext>
                      </a:extLst>
                    </a:blip>
                    <a:srcRect/>
                    <a:stretch>
                      <a:fillRect/>
                    </a:stretch>
                  </pic:blipFill>
                  <pic:spPr bwMode="auto">
                    <a:xfrm>
                      <a:off x="0" y="0"/>
                      <a:ext cx="1647825" cy="535940"/>
                    </a:xfrm>
                    <a:prstGeom prst="rect">
                      <a:avLst/>
                    </a:prstGeom>
                    <a:noFill/>
                    <a:ln>
                      <a:noFill/>
                    </a:ln>
                  </pic:spPr>
                </pic:pic>
              </a:graphicData>
            </a:graphic>
          </wp:inline>
        </w:drawing>
      </w:r>
      <w:r>
        <w:t>, (8.58)</w:t>
      </w:r>
    </w:p>
    <w:p w:rsidR="00212513" w:rsidRDefault="00212513">
      <w:pPr>
        <w:pStyle w:val="ConsPlusNormal"/>
        <w:ind w:firstLine="540"/>
        <w:jc w:val="both"/>
      </w:pPr>
    </w:p>
    <w:p w:rsidR="00212513" w:rsidRDefault="00212513">
      <w:pPr>
        <w:pStyle w:val="ConsPlusNormal"/>
        <w:ind w:firstLine="540"/>
        <w:jc w:val="both"/>
      </w:pPr>
      <w:r>
        <w:rPr>
          <w:noProof/>
          <w:position w:val="-8"/>
        </w:rPr>
        <w:drawing>
          <wp:inline distT="0" distB="0" distL="0" distR="0">
            <wp:extent cx="125730" cy="251460"/>
            <wp:effectExtent l="0" t="0" r="0" b="0"/>
            <wp:docPr id="1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9" cstate="print">
                      <a:extLst>
                        <a:ext uri="{28A0092B-C50C-407E-A947-70E740481C1C}">
                          <a14:useLocalDpi xmlns:a14="http://schemas.microsoft.com/office/drawing/2010/main" val="0"/>
                        </a:ext>
                      </a:extLst>
                    </a:blip>
                    <a:srcRect/>
                    <a:stretch>
                      <a:fillRect/>
                    </a:stretch>
                  </pic:blipFill>
                  <pic:spPr bwMode="auto">
                    <a:xfrm>
                      <a:off x="0" y="0"/>
                      <a:ext cx="125730" cy="251460"/>
                    </a:xfrm>
                    <a:prstGeom prst="rect">
                      <a:avLst/>
                    </a:prstGeom>
                    <a:noFill/>
                    <a:ln>
                      <a:noFill/>
                    </a:ln>
                  </pic:spPr>
                </pic:pic>
              </a:graphicData>
            </a:graphic>
          </wp:inline>
        </w:drawing>
      </w:r>
      <w:r>
        <w:t xml:space="preserve"> - расстояние между узлами, закрепленными от смещения из плоскости фермы.</w:t>
      </w:r>
    </w:p>
    <w:p w:rsidR="00212513" w:rsidRDefault="00212513">
      <w:pPr>
        <w:pStyle w:val="ConsPlusNormal"/>
        <w:spacing w:before="220"/>
        <w:ind w:firstLine="540"/>
        <w:jc w:val="both"/>
      </w:pPr>
      <w:r>
        <w:t xml:space="preserve">Расчет по устойчивости в этом случае следует выполнять на усилие </w:t>
      </w:r>
      <w:r>
        <w:rPr>
          <w:noProof/>
          <w:position w:val="-8"/>
        </w:rPr>
        <w:drawing>
          <wp:inline distT="0" distB="0" distL="0" distR="0">
            <wp:extent cx="209550" cy="251460"/>
            <wp:effectExtent l="0" t="0" r="0" b="0"/>
            <wp:docPr id="1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Применение </w:t>
      </w:r>
      <w:hyperlink w:anchor="P7872">
        <w:r>
          <w:rPr>
            <w:color w:val="0000FF"/>
          </w:rPr>
          <w:t>формулы (8.58)</w:t>
        </w:r>
      </w:hyperlink>
      <w:r>
        <w:t xml:space="preserve"> допускается при растягивающей силе </w:t>
      </w:r>
      <w:r>
        <w:rPr>
          <w:noProof/>
          <w:position w:val="-8"/>
        </w:rPr>
        <w:drawing>
          <wp:inline distT="0" distB="0" distL="0" distR="0">
            <wp:extent cx="241935" cy="251460"/>
            <wp:effectExtent l="0" t="0" r="0" b="0"/>
            <wp:docPr id="1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в этом случае значение </w:t>
      </w:r>
      <w:r>
        <w:rPr>
          <w:noProof/>
          <w:position w:val="-8"/>
        </w:rPr>
        <w:drawing>
          <wp:inline distT="0" distB="0" distL="0" distR="0">
            <wp:extent cx="241935" cy="251460"/>
            <wp:effectExtent l="0" t="0" r="0" b="0"/>
            <wp:docPr id="1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следует принимать со знаком "минус", а </w:t>
      </w:r>
      <w:r>
        <w:rPr>
          <w:noProof/>
          <w:position w:val="-9"/>
        </w:rPr>
        <w:drawing>
          <wp:inline distT="0" distB="0" distL="0" distR="0">
            <wp:extent cx="670560" cy="262890"/>
            <wp:effectExtent l="0" t="0" r="0" b="0"/>
            <wp:docPr id="1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0" cstate="print">
                      <a:extLst>
                        <a:ext uri="{28A0092B-C50C-407E-A947-70E740481C1C}">
                          <a14:useLocalDpi xmlns:a14="http://schemas.microsoft.com/office/drawing/2010/main" val="0"/>
                        </a:ext>
                      </a:extLst>
                    </a:blip>
                    <a:srcRect/>
                    <a:stretch>
                      <a:fillRect/>
                    </a:stretch>
                  </pic:blipFill>
                  <pic:spPr bwMode="auto">
                    <a:xfrm>
                      <a:off x="0" y="0"/>
                      <a:ext cx="670560" cy="262890"/>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8.50 Расчетные длины </w:t>
      </w:r>
      <w:r>
        <w:rPr>
          <w:noProof/>
          <w:position w:val="-9"/>
        </w:rPr>
        <w:drawing>
          <wp:inline distT="0" distB="0" distL="0" distR="0">
            <wp:extent cx="177800" cy="262890"/>
            <wp:effectExtent l="0" t="0" r="0" b="0"/>
            <wp:docPr id="1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элементов перекрестной решетки главной фермы следует принимать:</w:t>
      </w:r>
    </w:p>
    <w:p w:rsidR="00212513" w:rsidRDefault="00212513">
      <w:pPr>
        <w:pStyle w:val="ConsPlusNormal"/>
        <w:spacing w:before="220"/>
        <w:ind w:firstLine="540"/>
        <w:jc w:val="both"/>
      </w:pPr>
      <w:r>
        <w:t>в плоскости фермы - равными 0,8</w:t>
      </w:r>
      <w:r>
        <w:rPr>
          <w:i/>
        </w:rPr>
        <w:t>l</w:t>
      </w:r>
      <w:r>
        <w:t xml:space="preserve">, где </w:t>
      </w:r>
      <w:r>
        <w:rPr>
          <w:i/>
        </w:rPr>
        <w:t>l</w:t>
      </w:r>
      <w:r>
        <w:t xml:space="preserve"> - расстояние от центра узла фермы до точки их пересечения;</w:t>
      </w:r>
    </w:p>
    <w:p w:rsidR="00212513" w:rsidRDefault="00212513">
      <w:pPr>
        <w:pStyle w:val="ConsPlusNormal"/>
        <w:spacing w:before="220"/>
        <w:ind w:firstLine="540"/>
        <w:jc w:val="both"/>
      </w:pPr>
      <w:r>
        <w:t>из плоскости фермы:</w:t>
      </w:r>
    </w:p>
    <w:p w:rsidR="00212513" w:rsidRDefault="00212513">
      <w:pPr>
        <w:pStyle w:val="ConsPlusNormal"/>
        <w:spacing w:before="220"/>
        <w:ind w:firstLine="540"/>
        <w:jc w:val="both"/>
      </w:pPr>
      <w:r>
        <w:t>для сжатых элементов - по таблице 8.25;</w:t>
      </w:r>
    </w:p>
    <w:p w:rsidR="00212513" w:rsidRDefault="00212513">
      <w:pPr>
        <w:pStyle w:val="ConsPlusNormal"/>
        <w:spacing w:before="220"/>
        <w:ind w:firstLine="540"/>
        <w:jc w:val="both"/>
      </w:pPr>
      <w:r>
        <w:t>для растянутых элементов - равными полной геометрической длине элемента (</w:t>
      </w:r>
      <w:r>
        <w:rPr>
          <w:noProof/>
          <w:position w:val="-9"/>
        </w:rPr>
        <w:drawing>
          <wp:inline distT="0" distB="0" distL="0" distR="0">
            <wp:extent cx="450850" cy="262890"/>
            <wp:effectExtent l="0" t="0" r="0" b="0"/>
            <wp:docPr id="1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1" cstate="print">
                      <a:extLst>
                        <a:ext uri="{28A0092B-C50C-407E-A947-70E740481C1C}">
                          <a14:useLocalDpi xmlns:a14="http://schemas.microsoft.com/office/drawing/2010/main" val="0"/>
                        </a:ext>
                      </a:extLst>
                    </a:blip>
                    <a:srcRect/>
                    <a:stretch>
                      <a:fillRect/>
                    </a:stretch>
                  </pic:blipFill>
                  <pic:spPr bwMode="auto">
                    <a:xfrm>
                      <a:off x="0" y="0"/>
                      <a:ext cx="450850" cy="262890"/>
                    </a:xfrm>
                    <a:prstGeom prst="rect">
                      <a:avLst/>
                    </a:prstGeom>
                    <a:noFill/>
                    <a:ln>
                      <a:noFill/>
                    </a:ln>
                  </pic:spPr>
                </pic:pic>
              </a:graphicData>
            </a:graphic>
          </wp:inline>
        </w:drawing>
      </w:r>
      <w:r>
        <w:t xml:space="preserve">, где </w:t>
      </w:r>
      <w:r>
        <w:rPr>
          <w:noProof/>
          <w:position w:val="-8"/>
        </w:rPr>
        <w:drawing>
          <wp:inline distT="0" distB="0" distL="0" distR="0">
            <wp:extent cx="125730" cy="251460"/>
            <wp:effectExtent l="0" t="0" r="0" b="0"/>
            <wp:docPr id="1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9" cstate="print">
                      <a:extLst>
                        <a:ext uri="{28A0092B-C50C-407E-A947-70E740481C1C}">
                          <a14:useLocalDpi xmlns:a14="http://schemas.microsoft.com/office/drawing/2010/main" val="0"/>
                        </a:ext>
                      </a:extLst>
                    </a:blip>
                    <a:srcRect/>
                    <a:stretch>
                      <a:fillRect/>
                    </a:stretch>
                  </pic:blipFill>
                  <pic:spPr bwMode="auto">
                    <a:xfrm>
                      <a:off x="0" y="0"/>
                      <a:ext cx="125730" cy="251460"/>
                    </a:xfrm>
                    <a:prstGeom prst="rect">
                      <a:avLst/>
                    </a:prstGeom>
                    <a:noFill/>
                    <a:ln>
                      <a:noFill/>
                    </a:ln>
                  </pic:spPr>
                </pic:pic>
              </a:graphicData>
            </a:graphic>
          </wp:inline>
        </w:drawing>
      </w:r>
      <w:r>
        <w:t xml:space="preserve"> см. </w:t>
      </w:r>
      <w:hyperlink w:anchor="P7850">
        <w:r>
          <w:rPr>
            <w:color w:val="0000FF"/>
          </w:rPr>
          <w:t>таблицу 8.24</w:t>
        </w:r>
      </w:hyperlink>
      <w:r>
        <w:t>).</w:t>
      </w:r>
    </w:p>
    <w:p w:rsidR="00212513" w:rsidRDefault="00212513">
      <w:pPr>
        <w:pStyle w:val="ConsPlusNormal"/>
        <w:ind w:firstLine="540"/>
        <w:jc w:val="both"/>
      </w:pPr>
    </w:p>
    <w:p w:rsidR="00212513" w:rsidRDefault="00212513">
      <w:pPr>
        <w:pStyle w:val="ConsPlusNormal"/>
        <w:jc w:val="right"/>
      </w:pPr>
      <w:bookmarkStart w:id="343" w:name="P7883"/>
      <w:bookmarkEnd w:id="343"/>
      <w:r>
        <w:t>Таблица 8.25</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06"/>
        <w:gridCol w:w="1474"/>
        <w:gridCol w:w="1814"/>
        <w:gridCol w:w="1077"/>
      </w:tblGrid>
      <w:tr w:rsidR="00212513">
        <w:tc>
          <w:tcPr>
            <w:tcW w:w="4706" w:type="dxa"/>
            <w:vMerge w:val="restart"/>
            <w:tcBorders>
              <w:top w:val="single" w:sz="4" w:space="0" w:color="auto"/>
              <w:bottom w:val="single" w:sz="4" w:space="0" w:color="auto"/>
            </w:tcBorders>
            <w:vAlign w:val="center"/>
          </w:tcPr>
          <w:p w:rsidR="00212513" w:rsidRDefault="00212513">
            <w:pPr>
              <w:pStyle w:val="ConsPlusNormal"/>
              <w:jc w:val="center"/>
            </w:pPr>
            <w:r>
              <w:t>Конструкция узла пересечения элементов решетки</w:t>
            </w:r>
          </w:p>
        </w:tc>
        <w:tc>
          <w:tcPr>
            <w:tcW w:w="4365" w:type="dxa"/>
            <w:gridSpan w:val="3"/>
            <w:tcBorders>
              <w:top w:val="single" w:sz="4" w:space="0" w:color="auto"/>
              <w:bottom w:val="single" w:sz="4" w:space="0" w:color="auto"/>
            </w:tcBorders>
            <w:vAlign w:val="center"/>
          </w:tcPr>
          <w:p w:rsidR="00212513" w:rsidRDefault="00212513">
            <w:pPr>
              <w:pStyle w:val="ConsPlusNormal"/>
              <w:jc w:val="center"/>
            </w:pPr>
            <w:r>
              <w:t xml:space="preserve">Расчетная длина </w:t>
            </w:r>
            <w:r>
              <w:rPr>
                <w:i/>
              </w:rPr>
              <w:t>l</w:t>
            </w:r>
            <w:r>
              <w:rPr>
                <w:i/>
                <w:vertAlign w:val="subscript"/>
              </w:rPr>
              <w:t>ef</w:t>
            </w:r>
            <w:r>
              <w:t xml:space="preserve"> из плоскости фермы при поддерживающем элементе</w:t>
            </w:r>
          </w:p>
        </w:tc>
      </w:tr>
      <w:tr w:rsidR="00212513">
        <w:tc>
          <w:tcPr>
            <w:tcW w:w="4706" w:type="dxa"/>
            <w:vMerge/>
            <w:tcBorders>
              <w:top w:val="single" w:sz="4" w:space="0" w:color="auto"/>
              <w:bottom w:val="single" w:sz="4" w:space="0" w:color="auto"/>
            </w:tcBorders>
          </w:tcPr>
          <w:p w:rsidR="00212513" w:rsidRDefault="00212513">
            <w:pPr>
              <w:pStyle w:val="ConsPlusNormal"/>
            </w:pPr>
          </w:p>
        </w:tc>
        <w:tc>
          <w:tcPr>
            <w:tcW w:w="1474" w:type="dxa"/>
            <w:tcBorders>
              <w:top w:val="single" w:sz="4" w:space="0" w:color="auto"/>
              <w:bottom w:val="single" w:sz="4" w:space="0" w:color="auto"/>
            </w:tcBorders>
            <w:vAlign w:val="center"/>
          </w:tcPr>
          <w:p w:rsidR="00212513" w:rsidRDefault="00212513">
            <w:pPr>
              <w:pStyle w:val="ConsPlusNormal"/>
              <w:jc w:val="center"/>
            </w:pPr>
            <w:r>
              <w:t>растянутом</w:t>
            </w:r>
          </w:p>
        </w:tc>
        <w:tc>
          <w:tcPr>
            <w:tcW w:w="1814" w:type="dxa"/>
            <w:tcBorders>
              <w:top w:val="single" w:sz="4" w:space="0" w:color="auto"/>
              <w:bottom w:val="single" w:sz="4" w:space="0" w:color="auto"/>
            </w:tcBorders>
            <w:vAlign w:val="center"/>
          </w:tcPr>
          <w:p w:rsidR="00212513" w:rsidRDefault="00212513">
            <w:pPr>
              <w:pStyle w:val="ConsPlusNormal"/>
              <w:jc w:val="center"/>
            </w:pPr>
            <w:r>
              <w:t>неработающем</w:t>
            </w:r>
          </w:p>
        </w:tc>
        <w:tc>
          <w:tcPr>
            <w:tcW w:w="1077" w:type="dxa"/>
            <w:tcBorders>
              <w:top w:val="single" w:sz="4" w:space="0" w:color="auto"/>
              <w:bottom w:val="single" w:sz="4" w:space="0" w:color="auto"/>
            </w:tcBorders>
            <w:vAlign w:val="center"/>
          </w:tcPr>
          <w:p w:rsidR="00212513" w:rsidRDefault="00212513">
            <w:pPr>
              <w:pStyle w:val="ConsPlusNormal"/>
              <w:jc w:val="center"/>
            </w:pPr>
            <w:r>
              <w:t>сжатом</w:t>
            </w:r>
          </w:p>
        </w:tc>
      </w:tr>
      <w:tr w:rsidR="00212513">
        <w:tblPrEx>
          <w:tblBorders>
            <w:insideH w:val="none" w:sz="0" w:space="0" w:color="auto"/>
          </w:tblBorders>
        </w:tblPrEx>
        <w:tc>
          <w:tcPr>
            <w:tcW w:w="4706" w:type="dxa"/>
            <w:tcBorders>
              <w:top w:val="single" w:sz="4" w:space="0" w:color="auto"/>
              <w:bottom w:val="nil"/>
            </w:tcBorders>
          </w:tcPr>
          <w:p w:rsidR="00212513" w:rsidRDefault="00212513">
            <w:pPr>
              <w:pStyle w:val="ConsPlusNormal"/>
            </w:pPr>
            <w:r>
              <w:t>Оба элемента не прерываются</w:t>
            </w:r>
          </w:p>
        </w:tc>
        <w:tc>
          <w:tcPr>
            <w:tcW w:w="1474" w:type="dxa"/>
            <w:tcBorders>
              <w:top w:val="single" w:sz="4" w:space="0" w:color="auto"/>
              <w:bottom w:val="nil"/>
            </w:tcBorders>
          </w:tcPr>
          <w:p w:rsidR="00212513" w:rsidRDefault="00212513">
            <w:pPr>
              <w:pStyle w:val="ConsPlusNormal"/>
              <w:jc w:val="center"/>
            </w:pPr>
            <w:r>
              <w:rPr>
                <w:i/>
              </w:rPr>
              <w:t>l</w:t>
            </w:r>
          </w:p>
        </w:tc>
        <w:tc>
          <w:tcPr>
            <w:tcW w:w="1814" w:type="dxa"/>
            <w:tcBorders>
              <w:top w:val="single" w:sz="4" w:space="0" w:color="auto"/>
              <w:bottom w:val="nil"/>
            </w:tcBorders>
          </w:tcPr>
          <w:p w:rsidR="00212513" w:rsidRDefault="00212513">
            <w:pPr>
              <w:pStyle w:val="ConsPlusNormal"/>
              <w:jc w:val="center"/>
            </w:pPr>
            <w:r>
              <w:t>0,7</w:t>
            </w:r>
            <w:r>
              <w:rPr>
                <w:i/>
              </w:rPr>
              <w:t>l</w:t>
            </w:r>
            <w:r>
              <w:rPr>
                <w:vertAlign w:val="subscript"/>
              </w:rPr>
              <w:t>1</w:t>
            </w:r>
          </w:p>
        </w:tc>
        <w:tc>
          <w:tcPr>
            <w:tcW w:w="1077" w:type="dxa"/>
            <w:tcBorders>
              <w:top w:val="single" w:sz="4" w:space="0" w:color="auto"/>
              <w:bottom w:val="nil"/>
            </w:tcBorders>
          </w:tcPr>
          <w:p w:rsidR="00212513" w:rsidRDefault="00212513">
            <w:pPr>
              <w:pStyle w:val="ConsPlusNormal"/>
              <w:jc w:val="center"/>
            </w:pPr>
            <w:r>
              <w:rPr>
                <w:i/>
              </w:rPr>
              <w:t>l</w:t>
            </w:r>
            <w:r>
              <w:rPr>
                <w:vertAlign w:val="subscript"/>
              </w:rPr>
              <w:t>1</w:t>
            </w:r>
          </w:p>
        </w:tc>
      </w:tr>
      <w:tr w:rsidR="00212513">
        <w:tblPrEx>
          <w:tblBorders>
            <w:insideH w:val="none" w:sz="0" w:space="0" w:color="auto"/>
          </w:tblBorders>
        </w:tblPrEx>
        <w:tc>
          <w:tcPr>
            <w:tcW w:w="4706" w:type="dxa"/>
            <w:tcBorders>
              <w:top w:val="nil"/>
              <w:bottom w:val="nil"/>
            </w:tcBorders>
          </w:tcPr>
          <w:p w:rsidR="00212513" w:rsidRDefault="00212513">
            <w:pPr>
              <w:pStyle w:val="ConsPlusNormal"/>
            </w:pPr>
            <w:r>
              <w:t>Поддерживающий элемент прерывается и перекрывается фасонкой:</w:t>
            </w:r>
          </w:p>
        </w:tc>
        <w:tc>
          <w:tcPr>
            <w:tcW w:w="1474" w:type="dxa"/>
            <w:tcBorders>
              <w:top w:val="nil"/>
              <w:bottom w:val="nil"/>
            </w:tcBorders>
          </w:tcPr>
          <w:p w:rsidR="00212513" w:rsidRDefault="00212513">
            <w:pPr>
              <w:pStyle w:val="ConsPlusNormal"/>
              <w:jc w:val="both"/>
            </w:pPr>
          </w:p>
        </w:tc>
        <w:tc>
          <w:tcPr>
            <w:tcW w:w="1814" w:type="dxa"/>
            <w:tcBorders>
              <w:top w:val="nil"/>
              <w:bottom w:val="nil"/>
            </w:tcBorders>
          </w:tcPr>
          <w:p w:rsidR="00212513" w:rsidRDefault="00212513">
            <w:pPr>
              <w:pStyle w:val="ConsPlusNormal"/>
              <w:jc w:val="both"/>
            </w:pPr>
          </w:p>
        </w:tc>
        <w:tc>
          <w:tcPr>
            <w:tcW w:w="1077"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4706" w:type="dxa"/>
            <w:tcBorders>
              <w:top w:val="nil"/>
              <w:bottom w:val="nil"/>
            </w:tcBorders>
          </w:tcPr>
          <w:p w:rsidR="00212513" w:rsidRDefault="00212513">
            <w:pPr>
              <w:pStyle w:val="ConsPlusNormal"/>
              <w:ind w:left="283"/>
            </w:pPr>
            <w:r>
              <w:t>рассматриваемый элемент не прерывается</w:t>
            </w:r>
          </w:p>
        </w:tc>
        <w:tc>
          <w:tcPr>
            <w:tcW w:w="1474" w:type="dxa"/>
            <w:tcBorders>
              <w:top w:val="nil"/>
              <w:bottom w:val="nil"/>
            </w:tcBorders>
          </w:tcPr>
          <w:p w:rsidR="00212513" w:rsidRDefault="00212513">
            <w:pPr>
              <w:pStyle w:val="ConsPlusNormal"/>
              <w:jc w:val="center"/>
            </w:pPr>
            <w:r>
              <w:t>0,7</w:t>
            </w:r>
            <w:r>
              <w:rPr>
                <w:i/>
              </w:rPr>
              <w:t>l</w:t>
            </w:r>
            <w:r>
              <w:rPr>
                <w:vertAlign w:val="subscript"/>
              </w:rPr>
              <w:t>1</w:t>
            </w:r>
          </w:p>
        </w:tc>
        <w:tc>
          <w:tcPr>
            <w:tcW w:w="1814" w:type="dxa"/>
            <w:tcBorders>
              <w:top w:val="nil"/>
              <w:bottom w:val="nil"/>
            </w:tcBorders>
          </w:tcPr>
          <w:p w:rsidR="00212513" w:rsidRDefault="00212513">
            <w:pPr>
              <w:pStyle w:val="ConsPlusNormal"/>
              <w:jc w:val="center"/>
            </w:pPr>
            <w:r>
              <w:rPr>
                <w:i/>
              </w:rPr>
              <w:t>l</w:t>
            </w:r>
            <w:r>
              <w:rPr>
                <w:vertAlign w:val="subscript"/>
              </w:rPr>
              <w:t>1</w:t>
            </w:r>
          </w:p>
        </w:tc>
        <w:tc>
          <w:tcPr>
            <w:tcW w:w="1077" w:type="dxa"/>
            <w:tcBorders>
              <w:top w:val="nil"/>
              <w:bottom w:val="nil"/>
            </w:tcBorders>
          </w:tcPr>
          <w:p w:rsidR="00212513" w:rsidRDefault="00212513">
            <w:pPr>
              <w:pStyle w:val="ConsPlusNormal"/>
              <w:jc w:val="center"/>
            </w:pPr>
            <w:r>
              <w:t>1,4</w:t>
            </w:r>
            <w:r>
              <w:rPr>
                <w:i/>
              </w:rPr>
              <w:t>l</w:t>
            </w:r>
            <w:r>
              <w:rPr>
                <w:vertAlign w:val="subscript"/>
              </w:rPr>
              <w:t>1</w:t>
            </w:r>
          </w:p>
        </w:tc>
      </w:tr>
      <w:tr w:rsidR="00212513">
        <w:tblPrEx>
          <w:tblBorders>
            <w:insideH w:val="none" w:sz="0" w:space="0" w:color="auto"/>
          </w:tblBorders>
        </w:tblPrEx>
        <w:tc>
          <w:tcPr>
            <w:tcW w:w="4706" w:type="dxa"/>
            <w:tcBorders>
              <w:top w:val="nil"/>
              <w:bottom w:val="single" w:sz="4" w:space="0" w:color="auto"/>
            </w:tcBorders>
          </w:tcPr>
          <w:p w:rsidR="00212513" w:rsidRDefault="00212513">
            <w:pPr>
              <w:pStyle w:val="ConsPlusNormal"/>
              <w:ind w:left="283"/>
            </w:pPr>
            <w:r>
              <w:t>рассматриваемый элемент прерывается и перекрывается фасонкой</w:t>
            </w:r>
          </w:p>
        </w:tc>
        <w:tc>
          <w:tcPr>
            <w:tcW w:w="1474" w:type="dxa"/>
            <w:tcBorders>
              <w:top w:val="nil"/>
              <w:bottom w:val="single" w:sz="4" w:space="0" w:color="auto"/>
            </w:tcBorders>
          </w:tcPr>
          <w:p w:rsidR="00212513" w:rsidRDefault="00212513">
            <w:pPr>
              <w:pStyle w:val="ConsPlusNormal"/>
              <w:jc w:val="center"/>
            </w:pPr>
            <w:r>
              <w:t>0,7</w:t>
            </w:r>
            <w:r>
              <w:rPr>
                <w:i/>
              </w:rPr>
              <w:t>l</w:t>
            </w:r>
            <w:r>
              <w:rPr>
                <w:vertAlign w:val="subscript"/>
              </w:rPr>
              <w:t>1</w:t>
            </w:r>
          </w:p>
        </w:tc>
        <w:tc>
          <w:tcPr>
            <w:tcW w:w="1814" w:type="dxa"/>
            <w:tcBorders>
              <w:top w:val="nil"/>
              <w:bottom w:val="single" w:sz="4" w:space="0" w:color="auto"/>
            </w:tcBorders>
          </w:tcPr>
          <w:p w:rsidR="00212513" w:rsidRDefault="00212513">
            <w:pPr>
              <w:pStyle w:val="ConsPlusNormal"/>
              <w:jc w:val="center"/>
            </w:pPr>
            <w:r>
              <w:t>-</w:t>
            </w:r>
          </w:p>
        </w:tc>
        <w:tc>
          <w:tcPr>
            <w:tcW w:w="1077" w:type="dxa"/>
            <w:tcBorders>
              <w:top w:val="nil"/>
              <w:bottom w:val="single" w:sz="4" w:space="0" w:color="auto"/>
            </w:tcBorders>
          </w:tcPr>
          <w:p w:rsidR="00212513" w:rsidRDefault="00212513">
            <w:pPr>
              <w:pStyle w:val="ConsPlusNormal"/>
              <w:jc w:val="center"/>
            </w:pPr>
            <w:r>
              <w:t>-</w:t>
            </w:r>
          </w:p>
        </w:tc>
      </w:tr>
    </w:tbl>
    <w:p w:rsidR="00212513" w:rsidRDefault="00212513">
      <w:pPr>
        <w:pStyle w:val="ConsPlusNormal"/>
        <w:ind w:firstLine="540"/>
        <w:jc w:val="both"/>
      </w:pPr>
    </w:p>
    <w:p w:rsidR="00212513" w:rsidRDefault="00212513">
      <w:pPr>
        <w:pStyle w:val="ConsPlusNormal"/>
        <w:ind w:firstLine="540"/>
        <w:jc w:val="both"/>
      </w:pPr>
      <w:bookmarkStart w:id="344" w:name="P7907"/>
      <w:bookmarkEnd w:id="344"/>
      <w:r>
        <w:t>8.51 При проверке общей устойчивости балки расчетную длину сжатого пояса следует принимать равной:</w:t>
      </w:r>
    </w:p>
    <w:p w:rsidR="00212513" w:rsidRDefault="00212513">
      <w:pPr>
        <w:pStyle w:val="ConsPlusNormal"/>
        <w:spacing w:before="220"/>
        <w:ind w:firstLine="540"/>
        <w:jc w:val="both"/>
      </w:pPr>
      <w:r>
        <w:t>расстоянию между узлами фермы продольных связей - при наличии продольных связей в зоне верхних и нижних поясов и поперечных связей в опорных сечениях;</w:t>
      </w:r>
    </w:p>
    <w:p w:rsidR="00212513" w:rsidRDefault="00212513">
      <w:pPr>
        <w:pStyle w:val="ConsPlusNormal"/>
        <w:spacing w:before="220"/>
        <w:ind w:firstLine="540"/>
        <w:jc w:val="both"/>
      </w:pPr>
      <w:r>
        <w:t>расстоянию между фермами поперечных связей - при наличии продольных связей только в зоне растянутых поясов, при этом фермы поперечных связей должны быть центрированы с узлами продольных связей, а гибкость поясов указанных ферм не должна превышать 100;</w:t>
      </w:r>
    </w:p>
    <w:p w:rsidR="00212513" w:rsidRDefault="00212513">
      <w:pPr>
        <w:pStyle w:val="ConsPlusNormal"/>
        <w:spacing w:before="220"/>
        <w:ind w:firstLine="540"/>
        <w:jc w:val="both"/>
      </w:pPr>
      <w:r>
        <w:t>пролету балки - при отсутствии в пролете продольных и поперечных связей;</w:t>
      </w:r>
    </w:p>
    <w:p w:rsidR="00212513" w:rsidRDefault="00212513">
      <w:pPr>
        <w:pStyle w:val="ConsPlusNormal"/>
        <w:spacing w:before="220"/>
        <w:ind w:firstLine="540"/>
        <w:jc w:val="both"/>
      </w:pPr>
      <w:r>
        <w:t>расстоянию от конца консоли до ближайшей плоскости поперечных связей за опорным сечением консоли - при монтаже пролетного строения внавес или продольной надвижкой.</w:t>
      </w:r>
    </w:p>
    <w:p w:rsidR="00212513" w:rsidRDefault="00212513">
      <w:pPr>
        <w:pStyle w:val="ConsPlusNormal"/>
        <w:spacing w:before="220"/>
        <w:ind w:firstLine="540"/>
        <w:jc w:val="both"/>
      </w:pPr>
      <w:bookmarkStart w:id="345" w:name="P7912"/>
      <w:bookmarkEnd w:id="345"/>
      <w:r>
        <w:t xml:space="preserve">8.52 Расчетную длину </w:t>
      </w:r>
      <w:r>
        <w:rPr>
          <w:noProof/>
          <w:position w:val="-9"/>
        </w:rPr>
        <w:drawing>
          <wp:inline distT="0" distB="0" distL="0" distR="0">
            <wp:extent cx="177800" cy="262890"/>
            <wp:effectExtent l="0" t="0" r="0" b="0"/>
            <wp:docPr id="1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сжатого пояса главной балки или фермы "открытого" пролетного строения, не имеющего продольных связей по этому поясу, следует определять, как правило, из расчета по устойчивости стержня на упругих опорах, сжатого переменной по длине продольной силой.</w:t>
      </w:r>
    </w:p>
    <w:p w:rsidR="00212513" w:rsidRDefault="00212513">
      <w:pPr>
        <w:pStyle w:val="ConsPlusNormal"/>
        <w:spacing w:before="220"/>
        <w:ind w:firstLine="540"/>
        <w:jc w:val="both"/>
      </w:pPr>
      <w:r>
        <w:t>Допускается определять указанную расчетную длину по формуле</w:t>
      </w:r>
    </w:p>
    <w:p w:rsidR="00212513" w:rsidRDefault="00212513">
      <w:pPr>
        <w:pStyle w:val="ConsPlusNormal"/>
        <w:ind w:firstLine="540"/>
        <w:jc w:val="both"/>
      </w:pPr>
    </w:p>
    <w:p w:rsidR="00212513" w:rsidRDefault="00212513">
      <w:pPr>
        <w:pStyle w:val="ConsPlusNormal"/>
        <w:jc w:val="center"/>
      </w:pPr>
      <w:r>
        <w:rPr>
          <w:noProof/>
          <w:position w:val="-9"/>
        </w:rPr>
        <w:drawing>
          <wp:inline distT="0" distB="0" distL="0" distR="0">
            <wp:extent cx="535940" cy="262890"/>
            <wp:effectExtent l="0" t="0" r="0" b="0"/>
            <wp:docPr id="1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2" cstate="print">
                      <a:extLst>
                        <a:ext uri="{28A0092B-C50C-407E-A947-70E740481C1C}">
                          <a14:useLocalDpi xmlns:a14="http://schemas.microsoft.com/office/drawing/2010/main" val="0"/>
                        </a:ext>
                      </a:extLst>
                    </a:blip>
                    <a:srcRect/>
                    <a:stretch>
                      <a:fillRect/>
                    </a:stretch>
                  </pic:blipFill>
                  <pic:spPr bwMode="auto">
                    <a:xfrm>
                      <a:off x="0" y="0"/>
                      <a:ext cx="535940" cy="262890"/>
                    </a:xfrm>
                    <a:prstGeom prst="rect">
                      <a:avLst/>
                    </a:prstGeom>
                    <a:noFill/>
                    <a:ln>
                      <a:noFill/>
                    </a:ln>
                  </pic:spPr>
                </pic:pic>
              </a:graphicData>
            </a:graphic>
          </wp:inline>
        </w:drawing>
      </w:r>
      <w:r>
        <w:t>, (8.59)</w:t>
      </w:r>
    </w:p>
    <w:p w:rsidR="00212513" w:rsidRDefault="00212513">
      <w:pPr>
        <w:pStyle w:val="ConsPlusNormal"/>
        <w:ind w:firstLine="540"/>
        <w:jc w:val="both"/>
      </w:pPr>
    </w:p>
    <w:p w:rsidR="00212513" w:rsidRDefault="00212513">
      <w:pPr>
        <w:pStyle w:val="ConsPlusNormal"/>
        <w:ind w:firstLine="540"/>
        <w:jc w:val="both"/>
      </w:pPr>
      <w:r>
        <w:t xml:space="preserve">где </w:t>
      </w:r>
      <w:r>
        <w:rPr>
          <w:i/>
        </w:rPr>
        <w:t>l</w:t>
      </w:r>
      <w:r>
        <w:t xml:space="preserve"> - длина пояса, равная расчетному пролету для балок и ферм с параллельными поясами, полной длине пояса для балок с криволинейным верхним поясом и ферм с полигональным верхним поясом;</w:t>
      </w:r>
    </w:p>
    <w:p w:rsidR="00212513" w:rsidRDefault="00212513">
      <w:pPr>
        <w:pStyle w:val="ConsPlusNormal"/>
        <w:spacing w:before="220"/>
        <w:ind w:firstLine="540"/>
        <w:jc w:val="both"/>
      </w:pPr>
      <w:r>
        <w:rPr>
          <w:noProof/>
          <w:position w:val="-3"/>
        </w:rPr>
        <w:drawing>
          <wp:inline distT="0" distB="0" distL="0" distR="0">
            <wp:extent cx="167640" cy="177800"/>
            <wp:effectExtent l="0" t="0" r="0" b="0"/>
            <wp:docPr id="1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3"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коэффициент расчетной длины.</w:t>
      </w:r>
    </w:p>
    <w:p w:rsidR="00212513" w:rsidRDefault="00212513">
      <w:pPr>
        <w:pStyle w:val="ConsPlusNormal"/>
        <w:spacing w:before="220"/>
        <w:ind w:firstLine="540"/>
        <w:jc w:val="both"/>
      </w:pPr>
      <w:r>
        <w:t xml:space="preserve">Коэффициент расчетной длины </w:t>
      </w:r>
      <w:r>
        <w:rPr>
          <w:noProof/>
          <w:position w:val="-3"/>
        </w:rPr>
        <w:drawing>
          <wp:inline distT="0" distB="0" distL="0" distR="0">
            <wp:extent cx="167640" cy="177800"/>
            <wp:effectExtent l="0" t="0" r="0" b="0"/>
            <wp:docPr id="1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4"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для поясов балок и ферм с параллельными поясами, а также для фермы с полигональным или балки с криволинейным верхним поясом следует определять по таблице 8.26, при этом наибольшее перемещение </w:t>
      </w:r>
      <w:r>
        <w:rPr>
          <w:noProof/>
          <w:position w:val="-4"/>
        </w:rPr>
        <w:drawing>
          <wp:inline distT="0" distB="0" distL="0" distR="0">
            <wp:extent cx="156845" cy="198755"/>
            <wp:effectExtent l="0" t="0" r="0" b="0"/>
            <wp:docPr id="1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5"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следует принимать для рамы, расположенной посредине пролета.</w:t>
      </w:r>
    </w:p>
    <w:p w:rsidR="00212513" w:rsidRDefault="00212513">
      <w:pPr>
        <w:pStyle w:val="ConsPlusNormal"/>
        <w:ind w:firstLine="540"/>
        <w:jc w:val="both"/>
      </w:pPr>
    </w:p>
    <w:p w:rsidR="00212513" w:rsidRDefault="00212513">
      <w:pPr>
        <w:pStyle w:val="ConsPlusNormal"/>
        <w:jc w:val="right"/>
      </w:pPr>
      <w:bookmarkStart w:id="346" w:name="P7921"/>
      <w:bookmarkEnd w:id="346"/>
      <w:r>
        <w:t>Таблица 8.26</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45"/>
        <w:gridCol w:w="2245"/>
        <w:gridCol w:w="2245"/>
        <w:gridCol w:w="2247"/>
      </w:tblGrid>
      <w:tr w:rsidR="00212513">
        <w:tc>
          <w:tcPr>
            <w:tcW w:w="2245" w:type="dxa"/>
            <w:tcBorders>
              <w:top w:val="single" w:sz="4" w:space="0" w:color="auto"/>
              <w:bottom w:val="single" w:sz="4" w:space="0" w:color="auto"/>
            </w:tcBorders>
            <w:vAlign w:val="center"/>
          </w:tcPr>
          <w:p w:rsidR="00212513" w:rsidRDefault="00212513">
            <w:pPr>
              <w:pStyle w:val="ConsPlusNormal"/>
              <w:jc w:val="center"/>
            </w:pPr>
            <w:r>
              <w:rPr>
                <w:noProof/>
                <w:position w:val="-6"/>
              </w:rPr>
              <w:lastRenderedPageBreak/>
              <w:drawing>
                <wp:inline distT="0" distB="0" distL="0" distR="0">
                  <wp:extent cx="136525" cy="220345"/>
                  <wp:effectExtent l="0" t="0" r="0" b="0"/>
                  <wp:docPr id="1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6" cstate="print">
                            <a:extLst>
                              <a:ext uri="{28A0092B-C50C-407E-A947-70E740481C1C}">
                                <a14:useLocalDpi xmlns:a14="http://schemas.microsoft.com/office/drawing/2010/main" val="0"/>
                              </a:ext>
                            </a:extLst>
                          </a:blip>
                          <a:srcRect/>
                          <a:stretch>
                            <a:fillRect/>
                          </a:stretch>
                        </pic:blipFill>
                        <pic:spPr bwMode="auto">
                          <a:xfrm>
                            <a:off x="0" y="0"/>
                            <a:ext cx="136525" cy="220345"/>
                          </a:xfrm>
                          <a:prstGeom prst="rect">
                            <a:avLst/>
                          </a:prstGeom>
                          <a:noFill/>
                          <a:ln>
                            <a:noFill/>
                          </a:ln>
                        </pic:spPr>
                      </pic:pic>
                    </a:graphicData>
                  </a:graphic>
                </wp:inline>
              </w:drawing>
            </w:r>
          </w:p>
        </w:tc>
        <w:tc>
          <w:tcPr>
            <w:tcW w:w="2245" w:type="dxa"/>
            <w:tcBorders>
              <w:top w:val="single" w:sz="4" w:space="0" w:color="auto"/>
              <w:bottom w:val="single" w:sz="4" w:space="0" w:color="auto"/>
            </w:tcBorders>
            <w:vAlign w:val="center"/>
          </w:tcPr>
          <w:p w:rsidR="00212513" w:rsidRDefault="00212513">
            <w:pPr>
              <w:pStyle w:val="ConsPlusNormal"/>
              <w:jc w:val="center"/>
            </w:pPr>
            <w:r>
              <w:t>Коэффициент </w:t>
            </w:r>
            <w:r>
              <w:rPr>
                <w:noProof/>
                <w:position w:val="-3"/>
              </w:rPr>
              <w:drawing>
                <wp:inline distT="0" distB="0" distL="0" distR="0">
                  <wp:extent cx="167640" cy="178435"/>
                  <wp:effectExtent l="0" t="0" r="0" b="0"/>
                  <wp:docPr id="1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7"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p>
        </w:tc>
        <w:tc>
          <w:tcPr>
            <w:tcW w:w="2245" w:type="dxa"/>
            <w:tcBorders>
              <w:top w:val="single" w:sz="4" w:space="0" w:color="auto"/>
              <w:bottom w:val="single" w:sz="4" w:space="0" w:color="auto"/>
            </w:tcBorders>
            <w:vAlign w:val="center"/>
          </w:tcPr>
          <w:p w:rsidR="00212513" w:rsidRDefault="00212513">
            <w:pPr>
              <w:pStyle w:val="ConsPlusNormal"/>
              <w:jc w:val="center"/>
            </w:pPr>
            <w:r>
              <w:rPr>
                <w:noProof/>
                <w:position w:val="-6"/>
              </w:rPr>
              <w:drawing>
                <wp:inline distT="0" distB="0" distL="0" distR="0">
                  <wp:extent cx="136525" cy="220345"/>
                  <wp:effectExtent l="0" t="0" r="0" b="0"/>
                  <wp:docPr id="1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6" cstate="print">
                            <a:extLst>
                              <a:ext uri="{28A0092B-C50C-407E-A947-70E740481C1C}">
                                <a14:useLocalDpi xmlns:a14="http://schemas.microsoft.com/office/drawing/2010/main" val="0"/>
                              </a:ext>
                            </a:extLst>
                          </a:blip>
                          <a:srcRect/>
                          <a:stretch>
                            <a:fillRect/>
                          </a:stretch>
                        </pic:blipFill>
                        <pic:spPr bwMode="auto">
                          <a:xfrm>
                            <a:off x="0" y="0"/>
                            <a:ext cx="136525" cy="220345"/>
                          </a:xfrm>
                          <a:prstGeom prst="rect">
                            <a:avLst/>
                          </a:prstGeom>
                          <a:noFill/>
                          <a:ln>
                            <a:noFill/>
                          </a:ln>
                        </pic:spPr>
                      </pic:pic>
                    </a:graphicData>
                  </a:graphic>
                </wp:inline>
              </w:drawing>
            </w:r>
          </w:p>
        </w:tc>
        <w:tc>
          <w:tcPr>
            <w:tcW w:w="2247" w:type="dxa"/>
            <w:tcBorders>
              <w:top w:val="single" w:sz="4" w:space="0" w:color="auto"/>
              <w:bottom w:val="single" w:sz="4" w:space="0" w:color="auto"/>
            </w:tcBorders>
            <w:vAlign w:val="center"/>
          </w:tcPr>
          <w:p w:rsidR="00212513" w:rsidRDefault="00212513">
            <w:pPr>
              <w:pStyle w:val="ConsPlusNormal"/>
              <w:jc w:val="center"/>
            </w:pPr>
            <w:r>
              <w:t>Коэффициент </w:t>
            </w:r>
            <w:r>
              <w:rPr>
                <w:noProof/>
                <w:position w:val="-3"/>
              </w:rPr>
              <w:drawing>
                <wp:inline distT="0" distB="0" distL="0" distR="0">
                  <wp:extent cx="167640" cy="178435"/>
                  <wp:effectExtent l="0" t="0" r="0" b="0"/>
                  <wp:docPr id="1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7"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p>
        </w:tc>
      </w:tr>
      <w:tr w:rsidR="00212513">
        <w:tblPrEx>
          <w:tblBorders>
            <w:insideH w:val="none" w:sz="0" w:space="0" w:color="auto"/>
          </w:tblBorders>
        </w:tblPrEx>
        <w:tc>
          <w:tcPr>
            <w:tcW w:w="2245" w:type="dxa"/>
            <w:tcBorders>
              <w:top w:val="single" w:sz="4" w:space="0" w:color="auto"/>
              <w:bottom w:val="nil"/>
            </w:tcBorders>
          </w:tcPr>
          <w:p w:rsidR="00212513" w:rsidRDefault="00212513">
            <w:pPr>
              <w:pStyle w:val="ConsPlusNormal"/>
              <w:jc w:val="center"/>
            </w:pPr>
            <w:r>
              <w:t>0</w:t>
            </w:r>
          </w:p>
        </w:tc>
        <w:tc>
          <w:tcPr>
            <w:tcW w:w="2245" w:type="dxa"/>
            <w:tcBorders>
              <w:top w:val="single" w:sz="4" w:space="0" w:color="auto"/>
              <w:bottom w:val="nil"/>
            </w:tcBorders>
          </w:tcPr>
          <w:p w:rsidR="00212513" w:rsidRDefault="00212513">
            <w:pPr>
              <w:pStyle w:val="ConsPlusNormal"/>
              <w:jc w:val="center"/>
            </w:pPr>
            <w:r>
              <w:t>0,696</w:t>
            </w:r>
          </w:p>
        </w:tc>
        <w:tc>
          <w:tcPr>
            <w:tcW w:w="2245" w:type="dxa"/>
            <w:tcBorders>
              <w:top w:val="single" w:sz="4" w:space="0" w:color="auto"/>
              <w:bottom w:val="nil"/>
            </w:tcBorders>
          </w:tcPr>
          <w:p w:rsidR="00212513" w:rsidRDefault="00212513">
            <w:pPr>
              <w:pStyle w:val="ConsPlusNormal"/>
              <w:jc w:val="center"/>
            </w:pPr>
            <w:r>
              <w:t>150</w:t>
            </w:r>
          </w:p>
        </w:tc>
        <w:tc>
          <w:tcPr>
            <w:tcW w:w="2247" w:type="dxa"/>
            <w:tcBorders>
              <w:top w:val="single" w:sz="4" w:space="0" w:color="auto"/>
              <w:bottom w:val="nil"/>
            </w:tcBorders>
          </w:tcPr>
          <w:p w:rsidR="00212513" w:rsidRDefault="00212513">
            <w:pPr>
              <w:pStyle w:val="ConsPlusNormal"/>
              <w:jc w:val="center"/>
            </w:pPr>
            <w:r>
              <w:t>0,268</w:t>
            </w:r>
          </w:p>
        </w:tc>
      </w:tr>
      <w:tr w:rsidR="00212513">
        <w:tblPrEx>
          <w:tblBorders>
            <w:insideH w:val="none" w:sz="0" w:space="0" w:color="auto"/>
          </w:tblBorders>
        </w:tblPrEx>
        <w:tc>
          <w:tcPr>
            <w:tcW w:w="2245" w:type="dxa"/>
            <w:tcBorders>
              <w:top w:val="nil"/>
              <w:bottom w:val="nil"/>
            </w:tcBorders>
          </w:tcPr>
          <w:p w:rsidR="00212513" w:rsidRDefault="00212513">
            <w:pPr>
              <w:pStyle w:val="ConsPlusNormal"/>
              <w:jc w:val="center"/>
            </w:pPr>
            <w:r>
              <w:t>5</w:t>
            </w:r>
          </w:p>
        </w:tc>
        <w:tc>
          <w:tcPr>
            <w:tcW w:w="2245" w:type="dxa"/>
            <w:tcBorders>
              <w:top w:val="nil"/>
              <w:bottom w:val="nil"/>
            </w:tcBorders>
          </w:tcPr>
          <w:p w:rsidR="00212513" w:rsidRDefault="00212513">
            <w:pPr>
              <w:pStyle w:val="ConsPlusNormal"/>
              <w:jc w:val="center"/>
            </w:pPr>
            <w:r>
              <w:t>0,524</w:t>
            </w:r>
          </w:p>
        </w:tc>
        <w:tc>
          <w:tcPr>
            <w:tcW w:w="2245" w:type="dxa"/>
            <w:tcBorders>
              <w:top w:val="nil"/>
              <w:bottom w:val="nil"/>
            </w:tcBorders>
          </w:tcPr>
          <w:p w:rsidR="00212513" w:rsidRDefault="00212513">
            <w:pPr>
              <w:pStyle w:val="ConsPlusNormal"/>
              <w:jc w:val="center"/>
            </w:pPr>
            <w:r>
              <w:t>200</w:t>
            </w:r>
          </w:p>
        </w:tc>
        <w:tc>
          <w:tcPr>
            <w:tcW w:w="2247" w:type="dxa"/>
            <w:tcBorders>
              <w:top w:val="nil"/>
              <w:bottom w:val="nil"/>
            </w:tcBorders>
          </w:tcPr>
          <w:p w:rsidR="00212513" w:rsidRDefault="00212513">
            <w:pPr>
              <w:pStyle w:val="ConsPlusNormal"/>
              <w:jc w:val="center"/>
            </w:pPr>
            <w:r>
              <w:t>0,246</w:t>
            </w:r>
          </w:p>
        </w:tc>
      </w:tr>
      <w:tr w:rsidR="00212513">
        <w:tblPrEx>
          <w:tblBorders>
            <w:insideH w:val="none" w:sz="0" w:space="0" w:color="auto"/>
          </w:tblBorders>
        </w:tblPrEx>
        <w:tc>
          <w:tcPr>
            <w:tcW w:w="2245" w:type="dxa"/>
            <w:tcBorders>
              <w:top w:val="nil"/>
              <w:bottom w:val="nil"/>
            </w:tcBorders>
          </w:tcPr>
          <w:p w:rsidR="00212513" w:rsidRDefault="00212513">
            <w:pPr>
              <w:pStyle w:val="ConsPlusNormal"/>
              <w:jc w:val="center"/>
            </w:pPr>
            <w:r>
              <w:t>10</w:t>
            </w:r>
          </w:p>
        </w:tc>
        <w:tc>
          <w:tcPr>
            <w:tcW w:w="2245" w:type="dxa"/>
            <w:tcBorders>
              <w:top w:val="nil"/>
              <w:bottom w:val="nil"/>
            </w:tcBorders>
          </w:tcPr>
          <w:p w:rsidR="00212513" w:rsidRDefault="00212513">
            <w:pPr>
              <w:pStyle w:val="ConsPlusNormal"/>
              <w:jc w:val="center"/>
            </w:pPr>
            <w:r>
              <w:t>0,443</w:t>
            </w:r>
          </w:p>
        </w:tc>
        <w:tc>
          <w:tcPr>
            <w:tcW w:w="2245" w:type="dxa"/>
            <w:tcBorders>
              <w:top w:val="nil"/>
              <w:bottom w:val="nil"/>
            </w:tcBorders>
          </w:tcPr>
          <w:p w:rsidR="00212513" w:rsidRDefault="00212513">
            <w:pPr>
              <w:pStyle w:val="ConsPlusNormal"/>
              <w:jc w:val="center"/>
            </w:pPr>
            <w:r>
              <w:t>300</w:t>
            </w:r>
          </w:p>
        </w:tc>
        <w:tc>
          <w:tcPr>
            <w:tcW w:w="2247" w:type="dxa"/>
            <w:tcBorders>
              <w:top w:val="nil"/>
              <w:bottom w:val="nil"/>
            </w:tcBorders>
          </w:tcPr>
          <w:p w:rsidR="00212513" w:rsidRDefault="00212513">
            <w:pPr>
              <w:pStyle w:val="ConsPlusNormal"/>
              <w:jc w:val="center"/>
            </w:pPr>
            <w:r>
              <w:t>0,225</w:t>
            </w:r>
          </w:p>
        </w:tc>
      </w:tr>
      <w:tr w:rsidR="00212513">
        <w:tblPrEx>
          <w:tblBorders>
            <w:insideH w:val="none" w:sz="0" w:space="0" w:color="auto"/>
          </w:tblBorders>
        </w:tblPrEx>
        <w:tc>
          <w:tcPr>
            <w:tcW w:w="2245" w:type="dxa"/>
            <w:tcBorders>
              <w:top w:val="nil"/>
              <w:bottom w:val="nil"/>
            </w:tcBorders>
          </w:tcPr>
          <w:p w:rsidR="00212513" w:rsidRDefault="00212513">
            <w:pPr>
              <w:pStyle w:val="ConsPlusNormal"/>
              <w:jc w:val="center"/>
            </w:pPr>
            <w:r>
              <w:t>15</w:t>
            </w:r>
          </w:p>
        </w:tc>
        <w:tc>
          <w:tcPr>
            <w:tcW w:w="2245" w:type="dxa"/>
            <w:tcBorders>
              <w:top w:val="nil"/>
              <w:bottom w:val="nil"/>
            </w:tcBorders>
          </w:tcPr>
          <w:p w:rsidR="00212513" w:rsidRDefault="00212513">
            <w:pPr>
              <w:pStyle w:val="ConsPlusNormal"/>
              <w:jc w:val="center"/>
            </w:pPr>
            <w:r>
              <w:t>0,396</w:t>
            </w:r>
          </w:p>
        </w:tc>
        <w:tc>
          <w:tcPr>
            <w:tcW w:w="2245" w:type="dxa"/>
            <w:tcBorders>
              <w:top w:val="nil"/>
              <w:bottom w:val="nil"/>
            </w:tcBorders>
          </w:tcPr>
          <w:p w:rsidR="00212513" w:rsidRDefault="00212513">
            <w:pPr>
              <w:pStyle w:val="ConsPlusNormal"/>
              <w:jc w:val="center"/>
            </w:pPr>
            <w:r>
              <w:t>500</w:t>
            </w:r>
          </w:p>
        </w:tc>
        <w:tc>
          <w:tcPr>
            <w:tcW w:w="2247" w:type="dxa"/>
            <w:tcBorders>
              <w:top w:val="nil"/>
              <w:bottom w:val="nil"/>
            </w:tcBorders>
          </w:tcPr>
          <w:p w:rsidR="00212513" w:rsidRDefault="00212513">
            <w:pPr>
              <w:pStyle w:val="ConsPlusNormal"/>
              <w:jc w:val="center"/>
            </w:pPr>
            <w:r>
              <w:t>0,204</w:t>
            </w:r>
          </w:p>
        </w:tc>
      </w:tr>
      <w:tr w:rsidR="00212513">
        <w:tblPrEx>
          <w:tblBorders>
            <w:insideH w:val="none" w:sz="0" w:space="0" w:color="auto"/>
          </w:tblBorders>
        </w:tblPrEx>
        <w:tc>
          <w:tcPr>
            <w:tcW w:w="2245" w:type="dxa"/>
            <w:tcBorders>
              <w:top w:val="nil"/>
              <w:bottom w:val="nil"/>
            </w:tcBorders>
          </w:tcPr>
          <w:p w:rsidR="00212513" w:rsidRDefault="00212513">
            <w:pPr>
              <w:pStyle w:val="ConsPlusNormal"/>
              <w:jc w:val="center"/>
            </w:pPr>
            <w:r>
              <w:t>30</w:t>
            </w:r>
          </w:p>
        </w:tc>
        <w:tc>
          <w:tcPr>
            <w:tcW w:w="2245" w:type="dxa"/>
            <w:tcBorders>
              <w:top w:val="nil"/>
              <w:bottom w:val="nil"/>
            </w:tcBorders>
          </w:tcPr>
          <w:p w:rsidR="00212513" w:rsidRDefault="00212513">
            <w:pPr>
              <w:pStyle w:val="ConsPlusNormal"/>
              <w:jc w:val="center"/>
            </w:pPr>
            <w:r>
              <w:t>0,353</w:t>
            </w:r>
          </w:p>
        </w:tc>
        <w:tc>
          <w:tcPr>
            <w:tcW w:w="2245" w:type="dxa"/>
            <w:tcBorders>
              <w:top w:val="nil"/>
              <w:bottom w:val="nil"/>
            </w:tcBorders>
          </w:tcPr>
          <w:p w:rsidR="00212513" w:rsidRDefault="00212513">
            <w:pPr>
              <w:pStyle w:val="ConsPlusNormal"/>
              <w:jc w:val="center"/>
            </w:pPr>
            <w:r>
              <w:t>1000</w:t>
            </w:r>
          </w:p>
        </w:tc>
        <w:tc>
          <w:tcPr>
            <w:tcW w:w="2247" w:type="dxa"/>
            <w:tcBorders>
              <w:top w:val="nil"/>
              <w:bottom w:val="nil"/>
            </w:tcBorders>
          </w:tcPr>
          <w:p w:rsidR="00212513" w:rsidRDefault="00212513">
            <w:pPr>
              <w:pStyle w:val="ConsPlusNormal"/>
              <w:jc w:val="center"/>
            </w:pPr>
            <w:r>
              <w:t>0,174</w:t>
            </w:r>
          </w:p>
        </w:tc>
      </w:tr>
      <w:tr w:rsidR="00212513">
        <w:tblPrEx>
          <w:tblBorders>
            <w:insideH w:val="none" w:sz="0" w:space="0" w:color="auto"/>
          </w:tblBorders>
        </w:tblPrEx>
        <w:tc>
          <w:tcPr>
            <w:tcW w:w="2245" w:type="dxa"/>
            <w:tcBorders>
              <w:top w:val="nil"/>
              <w:bottom w:val="nil"/>
            </w:tcBorders>
          </w:tcPr>
          <w:p w:rsidR="00212513" w:rsidRDefault="00212513">
            <w:pPr>
              <w:pStyle w:val="ConsPlusNormal"/>
              <w:jc w:val="center"/>
            </w:pPr>
            <w:r>
              <w:t>60</w:t>
            </w:r>
          </w:p>
        </w:tc>
        <w:tc>
          <w:tcPr>
            <w:tcW w:w="2245" w:type="dxa"/>
            <w:tcBorders>
              <w:top w:val="nil"/>
              <w:bottom w:val="nil"/>
            </w:tcBorders>
          </w:tcPr>
          <w:p w:rsidR="00212513" w:rsidRDefault="00212513">
            <w:pPr>
              <w:pStyle w:val="ConsPlusNormal"/>
              <w:jc w:val="center"/>
            </w:pPr>
            <w:r>
              <w:t>0,321</w:t>
            </w:r>
          </w:p>
        </w:tc>
        <w:tc>
          <w:tcPr>
            <w:tcW w:w="2245" w:type="dxa"/>
            <w:vMerge w:val="restart"/>
            <w:tcBorders>
              <w:top w:val="nil"/>
              <w:bottom w:val="single" w:sz="4" w:space="0" w:color="auto"/>
            </w:tcBorders>
          </w:tcPr>
          <w:p w:rsidR="00212513" w:rsidRDefault="00212513">
            <w:pPr>
              <w:pStyle w:val="ConsPlusNormal"/>
              <w:jc w:val="center"/>
            </w:pPr>
            <w:r>
              <w:t>Св. 1000</w:t>
            </w:r>
          </w:p>
        </w:tc>
        <w:tc>
          <w:tcPr>
            <w:tcW w:w="2247" w:type="dxa"/>
            <w:vMerge w:val="restart"/>
            <w:tcBorders>
              <w:top w:val="nil"/>
              <w:bottom w:val="single" w:sz="4" w:space="0" w:color="auto"/>
            </w:tcBorders>
          </w:tcPr>
          <w:p w:rsidR="00212513" w:rsidRDefault="00212513">
            <w:pPr>
              <w:pStyle w:val="ConsPlusNormal"/>
              <w:jc w:val="center"/>
            </w:pPr>
            <w:r>
              <w:rPr>
                <w:noProof/>
                <w:position w:val="-29"/>
              </w:rPr>
              <w:drawing>
                <wp:inline distT="0" distB="0" distL="0" distR="0">
                  <wp:extent cx="890905" cy="513715"/>
                  <wp:effectExtent l="0" t="0" r="0" b="0"/>
                  <wp:docPr id="1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8" cstate="print">
                            <a:extLst>
                              <a:ext uri="{28A0092B-C50C-407E-A947-70E740481C1C}">
                                <a14:useLocalDpi xmlns:a14="http://schemas.microsoft.com/office/drawing/2010/main" val="0"/>
                              </a:ext>
                            </a:extLst>
                          </a:blip>
                          <a:srcRect/>
                          <a:stretch>
                            <a:fillRect/>
                          </a:stretch>
                        </pic:blipFill>
                        <pic:spPr bwMode="auto">
                          <a:xfrm>
                            <a:off x="0" y="0"/>
                            <a:ext cx="890905" cy="513715"/>
                          </a:xfrm>
                          <a:prstGeom prst="rect">
                            <a:avLst/>
                          </a:prstGeom>
                          <a:noFill/>
                          <a:ln>
                            <a:noFill/>
                          </a:ln>
                        </pic:spPr>
                      </pic:pic>
                    </a:graphicData>
                  </a:graphic>
                </wp:inline>
              </w:drawing>
            </w:r>
          </w:p>
        </w:tc>
      </w:tr>
      <w:tr w:rsidR="00212513">
        <w:tc>
          <w:tcPr>
            <w:tcW w:w="2245" w:type="dxa"/>
            <w:tcBorders>
              <w:top w:val="nil"/>
              <w:bottom w:val="single" w:sz="4" w:space="0" w:color="auto"/>
            </w:tcBorders>
          </w:tcPr>
          <w:p w:rsidR="00212513" w:rsidRDefault="00212513">
            <w:pPr>
              <w:pStyle w:val="ConsPlusNormal"/>
              <w:jc w:val="center"/>
            </w:pPr>
            <w:r>
              <w:t>100</w:t>
            </w:r>
          </w:p>
        </w:tc>
        <w:tc>
          <w:tcPr>
            <w:tcW w:w="2245" w:type="dxa"/>
            <w:tcBorders>
              <w:top w:val="nil"/>
              <w:bottom w:val="single" w:sz="4" w:space="0" w:color="auto"/>
            </w:tcBorders>
          </w:tcPr>
          <w:p w:rsidR="00212513" w:rsidRDefault="00212513">
            <w:pPr>
              <w:pStyle w:val="ConsPlusNormal"/>
              <w:jc w:val="center"/>
            </w:pPr>
            <w:r>
              <w:t>0,290</w:t>
            </w:r>
          </w:p>
        </w:tc>
        <w:tc>
          <w:tcPr>
            <w:tcW w:w="2245" w:type="dxa"/>
            <w:vMerge/>
            <w:tcBorders>
              <w:top w:val="nil"/>
              <w:bottom w:val="single" w:sz="4" w:space="0" w:color="auto"/>
            </w:tcBorders>
          </w:tcPr>
          <w:p w:rsidR="00212513" w:rsidRDefault="00212513">
            <w:pPr>
              <w:pStyle w:val="ConsPlusNormal"/>
            </w:pPr>
          </w:p>
        </w:tc>
        <w:tc>
          <w:tcPr>
            <w:tcW w:w="2247" w:type="dxa"/>
            <w:vMerge/>
            <w:tcBorders>
              <w:top w:val="nil"/>
              <w:bottom w:val="single" w:sz="4" w:space="0" w:color="auto"/>
            </w:tcBorders>
          </w:tcPr>
          <w:p w:rsidR="00212513" w:rsidRDefault="00212513">
            <w:pPr>
              <w:pStyle w:val="ConsPlusNormal"/>
            </w:pPr>
          </w:p>
        </w:tc>
      </w:tr>
      <w:tr w:rsidR="00212513">
        <w:tblPrEx>
          <w:tblBorders>
            <w:insideH w:val="none" w:sz="0" w:space="0" w:color="auto"/>
          </w:tblBorders>
        </w:tblPrEx>
        <w:tc>
          <w:tcPr>
            <w:tcW w:w="8982" w:type="dxa"/>
            <w:gridSpan w:val="4"/>
            <w:tcBorders>
              <w:top w:val="single" w:sz="4" w:space="0" w:color="auto"/>
              <w:bottom w:val="nil"/>
            </w:tcBorders>
          </w:tcPr>
          <w:p w:rsidR="00212513" w:rsidRDefault="00212513">
            <w:pPr>
              <w:pStyle w:val="ConsPlusNormal"/>
              <w:ind w:firstLine="283"/>
              <w:jc w:val="both"/>
            </w:pPr>
            <w:r>
              <w:t xml:space="preserve">Обозначения, принятые в </w:t>
            </w:r>
            <w:hyperlink w:anchor="P7921">
              <w:r>
                <w:rPr>
                  <w:color w:val="0000FF"/>
                </w:rPr>
                <w:t>таблице 8.26</w:t>
              </w:r>
            </w:hyperlink>
            <w:r>
              <w:t>:</w:t>
            </w:r>
          </w:p>
          <w:p w:rsidR="00212513" w:rsidRDefault="00212513">
            <w:pPr>
              <w:pStyle w:val="ConsPlusNormal"/>
              <w:ind w:firstLine="283"/>
              <w:jc w:val="both"/>
            </w:pPr>
          </w:p>
          <w:p w:rsidR="00212513" w:rsidRDefault="00212513">
            <w:pPr>
              <w:pStyle w:val="ConsPlusNormal"/>
              <w:jc w:val="center"/>
            </w:pPr>
            <w:r>
              <w:rPr>
                <w:noProof/>
                <w:position w:val="-28"/>
              </w:rPr>
              <w:drawing>
                <wp:inline distT="0" distB="0" distL="0" distR="0">
                  <wp:extent cx="953770" cy="502920"/>
                  <wp:effectExtent l="0" t="0" r="0" b="0"/>
                  <wp:docPr id="1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9" cstate="print">
                            <a:extLst>
                              <a:ext uri="{28A0092B-C50C-407E-A947-70E740481C1C}">
                                <a14:useLocalDpi xmlns:a14="http://schemas.microsoft.com/office/drawing/2010/main" val="0"/>
                              </a:ext>
                            </a:extLst>
                          </a:blip>
                          <a:srcRect/>
                          <a:stretch>
                            <a:fillRect/>
                          </a:stretch>
                        </pic:blipFill>
                        <pic:spPr bwMode="auto">
                          <a:xfrm>
                            <a:off x="0" y="0"/>
                            <a:ext cx="953770" cy="502920"/>
                          </a:xfrm>
                          <a:prstGeom prst="rect">
                            <a:avLst/>
                          </a:prstGeom>
                          <a:noFill/>
                          <a:ln>
                            <a:noFill/>
                          </a:ln>
                        </pic:spPr>
                      </pic:pic>
                    </a:graphicData>
                  </a:graphic>
                </wp:inline>
              </w:drawing>
            </w:r>
          </w:p>
          <w:p w:rsidR="00212513" w:rsidRDefault="00212513">
            <w:pPr>
              <w:pStyle w:val="ConsPlusNormal"/>
              <w:ind w:firstLine="283"/>
              <w:jc w:val="both"/>
            </w:pPr>
          </w:p>
          <w:p w:rsidR="00212513" w:rsidRDefault="00212513">
            <w:pPr>
              <w:pStyle w:val="ConsPlusNormal"/>
              <w:ind w:firstLine="283"/>
              <w:jc w:val="both"/>
            </w:pPr>
            <w:r>
              <w:t xml:space="preserve">где </w:t>
            </w:r>
            <w:r>
              <w:rPr>
                <w:i/>
              </w:rPr>
              <w:t>d</w:t>
            </w:r>
            <w:r>
              <w:t xml:space="preserve"> - расстояние между рамами, закрепляющими пояс от поперечных горизонтальных перемещений;</w:t>
            </w:r>
          </w:p>
          <w:p w:rsidR="00212513" w:rsidRDefault="00212513">
            <w:pPr>
              <w:pStyle w:val="ConsPlusNormal"/>
              <w:ind w:firstLine="283"/>
              <w:jc w:val="both"/>
            </w:pPr>
            <w:r>
              <w:rPr>
                <w:noProof/>
                <w:position w:val="-4"/>
              </w:rPr>
              <w:drawing>
                <wp:inline distT="0" distB="0" distL="0" distR="0">
                  <wp:extent cx="157480" cy="199390"/>
                  <wp:effectExtent l="0" t="0" r="0" b="0"/>
                  <wp:docPr id="1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0"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r>
              <w:t xml:space="preserve"> - наибольшее горизонтальное перемещение узла-рамы (исключая опорные рамы) от силы </w:t>
            </w:r>
            <w:r>
              <w:rPr>
                <w:i/>
              </w:rPr>
              <w:t>F</w:t>
            </w:r>
            <w:r>
              <w:t xml:space="preserve"> = 1;</w:t>
            </w:r>
          </w:p>
          <w:p w:rsidR="00212513" w:rsidRDefault="00212513">
            <w:pPr>
              <w:pStyle w:val="ConsPlusNormal"/>
              <w:ind w:firstLine="283"/>
              <w:jc w:val="both"/>
            </w:pPr>
            <w:r>
              <w:rPr>
                <w:noProof/>
                <w:position w:val="-8"/>
              </w:rPr>
              <w:drawing>
                <wp:inline distT="0" distB="0" distL="0" distR="0">
                  <wp:extent cx="199390" cy="251460"/>
                  <wp:effectExtent l="0" t="0" r="0" b="0"/>
                  <wp:docPr id="1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1"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 среднее (по длине пролета) значение момента инерции сжатого пояса балки (фермы) относительно вертикальной оси.</w:t>
            </w:r>
          </w:p>
        </w:tc>
      </w:tr>
      <w:tr w:rsidR="00212513">
        <w:tblPrEx>
          <w:tblBorders>
            <w:insideH w:val="none" w:sz="0" w:space="0" w:color="auto"/>
          </w:tblBorders>
        </w:tblPrEx>
        <w:tc>
          <w:tcPr>
            <w:tcW w:w="8982" w:type="dxa"/>
            <w:gridSpan w:val="4"/>
            <w:tcBorders>
              <w:top w:val="nil"/>
              <w:bottom w:val="single" w:sz="4" w:space="0" w:color="auto"/>
            </w:tcBorders>
          </w:tcPr>
          <w:p w:rsidR="00212513" w:rsidRDefault="00212513">
            <w:pPr>
              <w:pStyle w:val="ConsPlusNormal"/>
              <w:ind w:firstLine="283"/>
              <w:jc w:val="both"/>
            </w:pPr>
            <w:r>
              <w:t>Примечания</w:t>
            </w:r>
          </w:p>
          <w:p w:rsidR="00212513" w:rsidRDefault="00212513">
            <w:pPr>
              <w:pStyle w:val="ConsPlusNormal"/>
              <w:ind w:firstLine="283"/>
              <w:jc w:val="both"/>
            </w:pPr>
            <w:r>
              <w:t xml:space="preserve">1 Если полученная по данным </w:t>
            </w:r>
            <w:hyperlink w:anchor="P7921">
              <w:r>
                <w:rPr>
                  <w:color w:val="0000FF"/>
                </w:rPr>
                <w:t>таблицы 8.26</w:t>
              </w:r>
            </w:hyperlink>
            <w:r>
              <w:t xml:space="preserve"> расчетная длина </w:t>
            </w:r>
            <w:r>
              <w:rPr>
                <w:noProof/>
                <w:position w:val="-9"/>
              </w:rPr>
              <w:drawing>
                <wp:inline distT="0" distB="0" distL="0" distR="0">
                  <wp:extent cx="660400" cy="262255"/>
                  <wp:effectExtent l="0" t="0" r="0" b="0"/>
                  <wp:docPr id="1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2" cstate="print">
                            <a:extLst>
                              <a:ext uri="{28A0092B-C50C-407E-A947-70E740481C1C}">
                                <a14:useLocalDpi xmlns:a14="http://schemas.microsoft.com/office/drawing/2010/main" val="0"/>
                              </a:ext>
                            </a:extLst>
                          </a:blip>
                          <a:srcRect/>
                          <a:stretch>
                            <a:fillRect/>
                          </a:stretch>
                        </pic:blipFill>
                        <pic:spPr bwMode="auto">
                          <a:xfrm>
                            <a:off x="0" y="0"/>
                            <a:ext cx="660400" cy="262255"/>
                          </a:xfrm>
                          <a:prstGeom prst="rect">
                            <a:avLst/>
                          </a:prstGeom>
                          <a:noFill/>
                          <a:ln>
                            <a:noFill/>
                          </a:ln>
                        </pic:spPr>
                      </pic:pic>
                    </a:graphicData>
                  </a:graphic>
                </wp:inline>
              </w:drawing>
            </w:r>
            <w:r>
              <w:t>, то ее определяют из расчета по устойчивости стержня на упругих опорах.</w:t>
            </w:r>
          </w:p>
          <w:p w:rsidR="00212513" w:rsidRDefault="00212513">
            <w:pPr>
              <w:pStyle w:val="ConsPlusNormal"/>
              <w:ind w:firstLine="283"/>
              <w:jc w:val="both"/>
            </w:pPr>
            <w:r>
              <w:t xml:space="preserve">2 Для промежуточных значений </w:t>
            </w:r>
            <w:r>
              <w:rPr>
                <w:noProof/>
                <w:position w:val="-6"/>
              </w:rPr>
              <w:drawing>
                <wp:inline distT="0" distB="0" distL="0" distR="0">
                  <wp:extent cx="136525" cy="220345"/>
                  <wp:effectExtent l="0" t="0" r="0" b="0"/>
                  <wp:docPr id="1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3" cstate="print">
                            <a:extLst>
                              <a:ext uri="{28A0092B-C50C-407E-A947-70E740481C1C}">
                                <a14:useLocalDpi xmlns:a14="http://schemas.microsoft.com/office/drawing/2010/main" val="0"/>
                              </a:ext>
                            </a:extLst>
                          </a:blip>
                          <a:srcRect/>
                          <a:stretch>
                            <a:fillRect/>
                          </a:stretch>
                        </pic:blipFill>
                        <pic:spPr bwMode="auto">
                          <a:xfrm>
                            <a:off x="0" y="0"/>
                            <a:ext cx="136525" cy="220345"/>
                          </a:xfrm>
                          <a:prstGeom prst="rect">
                            <a:avLst/>
                          </a:prstGeom>
                          <a:noFill/>
                          <a:ln>
                            <a:noFill/>
                          </a:ln>
                        </pic:spPr>
                      </pic:pic>
                    </a:graphicData>
                  </a:graphic>
                </wp:inline>
              </w:drawing>
            </w:r>
            <w:r>
              <w:t xml:space="preserve"> коэффициент </w:t>
            </w:r>
            <w:r>
              <w:rPr>
                <w:noProof/>
                <w:position w:val="-3"/>
              </w:rPr>
              <w:drawing>
                <wp:inline distT="0" distB="0" distL="0" distR="0">
                  <wp:extent cx="167640" cy="178435"/>
                  <wp:effectExtent l="0" t="0" r="0" b="0"/>
                  <wp:docPr id="1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4"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r>
              <w:t xml:space="preserve"> определяют по линейной интерполяции.</w:t>
            </w:r>
          </w:p>
        </w:tc>
      </w:tr>
    </w:tbl>
    <w:p w:rsidR="00212513" w:rsidRDefault="00212513">
      <w:pPr>
        <w:pStyle w:val="ConsPlusNormal"/>
        <w:ind w:firstLine="540"/>
        <w:jc w:val="both"/>
      </w:pPr>
    </w:p>
    <w:p w:rsidR="00212513" w:rsidRDefault="00212513">
      <w:pPr>
        <w:pStyle w:val="ConsPlusNormal"/>
        <w:ind w:firstLine="540"/>
        <w:jc w:val="both"/>
      </w:pPr>
      <w:r>
        <w:t>8.53 Расчет арок по устойчивости выполняется с учетом совместной работы арок и элементов проезжей части и поддерживающих ее элементов.</w:t>
      </w:r>
    </w:p>
    <w:p w:rsidR="00212513" w:rsidRDefault="00212513">
      <w:pPr>
        <w:pStyle w:val="ConsPlusNormal"/>
        <w:spacing w:before="220"/>
        <w:ind w:firstLine="540"/>
        <w:jc w:val="both"/>
      </w:pPr>
      <w:r>
        <w:t xml:space="preserve">При проверке общей устойчивости арки сплошного постоянного сечения допускается определять расчетную длину </w:t>
      </w:r>
      <w:r>
        <w:rPr>
          <w:noProof/>
          <w:position w:val="-9"/>
        </w:rPr>
        <w:drawing>
          <wp:inline distT="0" distB="0" distL="0" distR="0">
            <wp:extent cx="177800" cy="262890"/>
            <wp:effectExtent l="0" t="0" r="0" b="0"/>
            <wp:docPr id="1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в ее плоскости по формуле</w:t>
      </w:r>
    </w:p>
    <w:p w:rsidR="00212513" w:rsidRDefault="00212513">
      <w:pPr>
        <w:pStyle w:val="ConsPlusNormal"/>
        <w:ind w:firstLine="540"/>
        <w:jc w:val="both"/>
      </w:pPr>
    </w:p>
    <w:p w:rsidR="00212513" w:rsidRDefault="00212513">
      <w:pPr>
        <w:pStyle w:val="ConsPlusNormal"/>
        <w:jc w:val="center"/>
      </w:pPr>
      <w:bookmarkStart w:id="347" w:name="P7967"/>
      <w:bookmarkEnd w:id="347"/>
      <w:r>
        <w:rPr>
          <w:noProof/>
          <w:position w:val="-29"/>
        </w:rPr>
        <w:drawing>
          <wp:inline distT="0" distB="0" distL="0" distR="0">
            <wp:extent cx="857250" cy="511810"/>
            <wp:effectExtent l="0" t="0" r="0" b="0"/>
            <wp:docPr id="1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5" cstate="print">
                      <a:extLst>
                        <a:ext uri="{28A0092B-C50C-407E-A947-70E740481C1C}">
                          <a14:useLocalDpi xmlns:a14="http://schemas.microsoft.com/office/drawing/2010/main" val="0"/>
                        </a:ext>
                      </a:extLst>
                    </a:blip>
                    <a:srcRect/>
                    <a:stretch>
                      <a:fillRect/>
                    </a:stretch>
                  </pic:blipFill>
                  <pic:spPr bwMode="auto">
                    <a:xfrm>
                      <a:off x="0" y="0"/>
                      <a:ext cx="857250" cy="511810"/>
                    </a:xfrm>
                    <a:prstGeom prst="rect">
                      <a:avLst/>
                    </a:prstGeom>
                    <a:noFill/>
                    <a:ln>
                      <a:noFill/>
                    </a:ln>
                  </pic:spPr>
                </pic:pic>
              </a:graphicData>
            </a:graphic>
          </wp:inline>
        </w:drawing>
      </w:r>
      <w:r>
        <w:t>, (8.60)</w:t>
      </w:r>
    </w:p>
    <w:p w:rsidR="00212513" w:rsidRDefault="00212513">
      <w:pPr>
        <w:pStyle w:val="ConsPlusNormal"/>
        <w:ind w:firstLine="540"/>
        <w:jc w:val="both"/>
      </w:pPr>
    </w:p>
    <w:p w:rsidR="00212513" w:rsidRDefault="00212513">
      <w:pPr>
        <w:pStyle w:val="ConsPlusNormal"/>
        <w:ind w:firstLine="540"/>
        <w:jc w:val="both"/>
      </w:pPr>
      <w:r>
        <w:t xml:space="preserve">где </w:t>
      </w:r>
      <w:r>
        <w:rPr>
          <w:i/>
        </w:rPr>
        <w:t>l</w:t>
      </w:r>
      <w:r>
        <w:t xml:space="preserve"> - длина пролета арки;</w:t>
      </w:r>
    </w:p>
    <w:p w:rsidR="00212513" w:rsidRDefault="00212513">
      <w:pPr>
        <w:pStyle w:val="ConsPlusNormal"/>
        <w:spacing w:before="220"/>
        <w:ind w:firstLine="540"/>
        <w:jc w:val="both"/>
      </w:pPr>
      <w:r>
        <w:rPr>
          <w:noProof/>
          <w:position w:val="-6"/>
        </w:rPr>
        <w:drawing>
          <wp:inline distT="0" distB="0" distL="0" distR="0">
            <wp:extent cx="605790" cy="220980"/>
            <wp:effectExtent l="0" t="0" r="0" b="0"/>
            <wp:docPr id="1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6" cstate="print">
                      <a:extLst>
                        <a:ext uri="{28A0092B-C50C-407E-A947-70E740481C1C}">
                          <a14:useLocalDpi xmlns:a14="http://schemas.microsoft.com/office/drawing/2010/main" val="0"/>
                        </a:ext>
                      </a:extLst>
                    </a:blip>
                    <a:srcRect/>
                    <a:stretch>
                      <a:fillRect/>
                    </a:stretch>
                  </pic:blipFill>
                  <pic:spPr bwMode="auto">
                    <a:xfrm>
                      <a:off x="0" y="0"/>
                      <a:ext cx="605790" cy="220980"/>
                    </a:xfrm>
                    <a:prstGeom prst="rect">
                      <a:avLst/>
                    </a:prstGeom>
                    <a:noFill/>
                    <a:ln>
                      <a:noFill/>
                    </a:ln>
                  </pic:spPr>
                </pic:pic>
              </a:graphicData>
            </a:graphic>
          </wp:inline>
        </w:drawing>
      </w:r>
      <w:r>
        <w:t xml:space="preserve"> - коэффициент (здесь </w:t>
      </w:r>
      <w:r>
        <w:rPr>
          <w:i/>
        </w:rPr>
        <w:t>f</w:t>
      </w:r>
      <w:r>
        <w:t xml:space="preserve"> - стрела подъема арки);</w:t>
      </w:r>
    </w:p>
    <w:p w:rsidR="00212513" w:rsidRDefault="00212513">
      <w:pPr>
        <w:pStyle w:val="ConsPlusNormal"/>
        <w:spacing w:before="220"/>
        <w:ind w:firstLine="540"/>
        <w:jc w:val="both"/>
      </w:pPr>
      <w:r>
        <w:rPr>
          <w:noProof/>
          <w:position w:val="-6"/>
        </w:rPr>
        <w:drawing>
          <wp:inline distT="0" distB="0" distL="0" distR="0">
            <wp:extent cx="167640" cy="220980"/>
            <wp:effectExtent l="0" t="0" r="0" b="0"/>
            <wp:docPr id="1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7" cstate="print">
                      <a:extLst>
                        <a:ext uri="{28A0092B-C50C-407E-A947-70E740481C1C}">
                          <a14:useLocalDpi xmlns:a14="http://schemas.microsoft.com/office/drawing/2010/main" val="0"/>
                        </a:ext>
                      </a:extLst>
                    </a:blip>
                    <a:srcRect/>
                    <a:stretch>
                      <a:fillRect/>
                    </a:stretch>
                  </pic:blipFill>
                  <pic:spPr bwMode="auto">
                    <a:xfrm>
                      <a:off x="0" y="0"/>
                      <a:ext cx="167640" cy="220980"/>
                    </a:xfrm>
                    <a:prstGeom prst="rect">
                      <a:avLst/>
                    </a:prstGeom>
                    <a:noFill/>
                    <a:ln>
                      <a:noFill/>
                    </a:ln>
                  </pic:spPr>
                </pic:pic>
              </a:graphicData>
            </a:graphic>
          </wp:inline>
        </w:drawing>
      </w:r>
      <w:r>
        <w:t xml:space="preserve"> - коэффициент, принимаемый по таблице 8.27.</w:t>
      </w:r>
    </w:p>
    <w:p w:rsidR="00212513" w:rsidRDefault="00212513">
      <w:pPr>
        <w:pStyle w:val="ConsPlusNormal"/>
        <w:ind w:firstLine="540"/>
        <w:jc w:val="both"/>
      </w:pPr>
    </w:p>
    <w:p w:rsidR="00212513" w:rsidRDefault="00212513">
      <w:pPr>
        <w:pStyle w:val="ConsPlusNormal"/>
        <w:jc w:val="right"/>
      </w:pPr>
      <w:bookmarkStart w:id="348" w:name="P7973"/>
      <w:bookmarkEnd w:id="348"/>
      <w:r>
        <w:t>Таблица 8.27</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125"/>
        <w:gridCol w:w="4932"/>
      </w:tblGrid>
      <w:tr w:rsidR="00212513">
        <w:tc>
          <w:tcPr>
            <w:tcW w:w="4125" w:type="dxa"/>
            <w:tcBorders>
              <w:top w:val="single" w:sz="4" w:space="0" w:color="auto"/>
              <w:bottom w:val="single" w:sz="4" w:space="0" w:color="auto"/>
            </w:tcBorders>
            <w:vAlign w:val="center"/>
          </w:tcPr>
          <w:p w:rsidR="00212513" w:rsidRDefault="00212513">
            <w:pPr>
              <w:pStyle w:val="ConsPlusNormal"/>
              <w:jc w:val="center"/>
            </w:pPr>
            <w:r>
              <w:t>Тип арки</w:t>
            </w:r>
          </w:p>
        </w:tc>
        <w:tc>
          <w:tcPr>
            <w:tcW w:w="4932" w:type="dxa"/>
            <w:tcBorders>
              <w:top w:val="single" w:sz="4" w:space="0" w:color="auto"/>
              <w:bottom w:val="single" w:sz="4" w:space="0" w:color="auto"/>
            </w:tcBorders>
            <w:vAlign w:val="center"/>
          </w:tcPr>
          <w:p w:rsidR="00212513" w:rsidRDefault="00212513">
            <w:pPr>
              <w:pStyle w:val="ConsPlusNormal"/>
              <w:jc w:val="center"/>
            </w:pPr>
            <w:r>
              <w:t>Коэффициент </w:t>
            </w:r>
            <w:r>
              <w:rPr>
                <w:noProof/>
                <w:position w:val="-6"/>
              </w:rPr>
              <w:drawing>
                <wp:inline distT="0" distB="0" distL="0" distR="0">
                  <wp:extent cx="167640" cy="220345"/>
                  <wp:effectExtent l="0" t="0" r="0" b="0"/>
                  <wp:docPr id="1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8" cstate="print">
                            <a:extLst>
                              <a:ext uri="{28A0092B-C50C-407E-A947-70E740481C1C}">
                                <a14:useLocalDpi xmlns:a14="http://schemas.microsoft.com/office/drawing/2010/main" val="0"/>
                              </a:ext>
                            </a:extLst>
                          </a:blip>
                          <a:srcRect/>
                          <a:stretch>
                            <a:fillRect/>
                          </a:stretch>
                        </pic:blipFill>
                        <pic:spPr bwMode="auto">
                          <a:xfrm>
                            <a:off x="0" y="0"/>
                            <a:ext cx="167640" cy="220345"/>
                          </a:xfrm>
                          <a:prstGeom prst="rect">
                            <a:avLst/>
                          </a:prstGeom>
                          <a:noFill/>
                          <a:ln>
                            <a:noFill/>
                          </a:ln>
                        </pic:spPr>
                      </pic:pic>
                    </a:graphicData>
                  </a:graphic>
                </wp:inline>
              </w:drawing>
            </w:r>
          </w:p>
        </w:tc>
      </w:tr>
      <w:tr w:rsidR="00212513">
        <w:tblPrEx>
          <w:tblBorders>
            <w:insideH w:val="none" w:sz="0" w:space="0" w:color="auto"/>
          </w:tblBorders>
        </w:tblPrEx>
        <w:tc>
          <w:tcPr>
            <w:tcW w:w="4125" w:type="dxa"/>
            <w:tcBorders>
              <w:top w:val="single" w:sz="4" w:space="0" w:color="auto"/>
              <w:bottom w:val="nil"/>
            </w:tcBorders>
          </w:tcPr>
          <w:p w:rsidR="00212513" w:rsidRDefault="00212513">
            <w:pPr>
              <w:pStyle w:val="ConsPlusNormal"/>
            </w:pPr>
            <w:r>
              <w:t xml:space="preserve">1 Двухшарнирная, с ездой понизу с гибкой затяжкой </w:t>
            </w:r>
            <w:hyperlink w:anchor="P7992">
              <w:r>
                <w:rPr>
                  <w:color w:val="0000FF"/>
                </w:rPr>
                <w:t>&lt;*&gt;</w:t>
              </w:r>
            </w:hyperlink>
            <w:r>
              <w:t>, соединенной с аркой подвесками</w:t>
            </w:r>
          </w:p>
        </w:tc>
        <w:tc>
          <w:tcPr>
            <w:tcW w:w="4932" w:type="dxa"/>
            <w:tcBorders>
              <w:top w:val="single" w:sz="4" w:space="0" w:color="auto"/>
              <w:bottom w:val="nil"/>
            </w:tcBorders>
          </w:tcPr>
          <w:p w:rsidR="00212513" w:rsidRDefault="00212513">
            <w:pPr>
              <w:pStyle w:val="ConsPlusNormal"/>
              <w:jc w:val="center"/>
            </w:pPr>
            <w:r>
              <w:rPr>
                <w:noProof/>
                <w:position w:val="-8"/>
              </w:rPr>
              <w:drawing>
                <wp:inline distT="0" distB="0" distL="0" distR="0">
                  <wp:extent cx="544830" cy="251460"/>
                  <wp:effectExtent l="0" t="0" r="0" b="0"/>
                  <wp:docPr id="1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9" cstate="print">
                            <a:extLst>
                              <a:ext uri="{28A0092B-C50C-407E-A947-70E740481C1C}">
                                <a14:useLocalDpi xmlns:a14="http://schemas.microsoft.com/office/drawing/2010/main" val="0"/>
                              </a:ext>
                            </a:extLst>
                          </a:blip>
                          <a:srcRect/>
                          <a:stretch>
                            <a:fillRect/>
                          </a:stretch>
                        </pic:blipFill>
                        <pic:spPr bwMode="auto">
                          <a:xfrm>
                            <a:off x="0" y="0"/>
                            <a:ext cx="544830" cy="251460"/>
                          </a:xfrm>
                          <a:prstGeom prst="rect">
                            <a:avLst/>
                          </a:prstGeom>
                          <a:noFill/>
                          <a:ln>
                            <a:noFill/>
                          </a:ln>
                        </pic:spPr>
                      </pic:pic>
                    </a:graphicData>
                  </a:graphic>
                </wp:inline>
              </w:drawing>
            </w:r>
          </w:p>
        </w:tc>
      </w:tr>
      <w:tr w:rsidR="00212513">
        <w:tblPrEx>
          <w:tblBorders>
            <w:insideH w:val="none" w:sz="0" w:space="0" w:color="auto"/>
          </w:tblBorders>
        </w:tblPrEx>
        <w:tc>
          <w:tcPr>
            <w:tcW w:w="4125" w:type="dxa"/>
            <w:tcBorders>
              <w:top w:val="nil"/>
              <w:bottom w:val="nil"/>
            </w:tcBorders>
          </w:tcPr>
          <w:p w:rsidR="00212513" w:rsidRDefault="00212513">
            <w:pPr>
              <w:pStyle w:val="ConsPlusNormal"/>
            </w:pPr>
            <w:r>
              <w:t>2 Бесшарнирная</w:t>
            </w:r>
          </w:p>
        </w:tc>
        <w:tc>
          <w:tcPr>
            <w:tcW w:w="4932" w:type="dxa"/>
            <w:tcBorders>
              <w:top w:val="nil"/>
              <w:bottom w:val="nil"/>
            </w:tcBorders>
          </w:tcPr>
          <w:p w:rsidR="00212513" w:rsidRDefault="00212513">
            <w:pPr>
              <w:pStyle w:val="ConsPlusNormal"/>
              <w:jc w:val="center"/>
            </w:pPr>
            <w:r>
              <w:rPr>
                <w:noProof/>
                <w:position w:val="-8"/>
              </w:rPr>
              <w:drawing>
                <wp:inline distT="0" distB="0" distL="0" distR="0">
                  <wp:extent cx="963930" cy="251460"/>
                  <wp:effectExtent l="0" t="0" r="0" b="0"/>
                  <wp:docPr id="1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0" cstate="print">
                            <a:extLst>
                              <a:ext uri="{28A0092B-C50C-407E-A947-70E740481C1C}">
                                <a14:useLocalDpi xmlns:a14="http://schemas.microsoft.com/office/drawing/2010/main" val="0"/>
                              </a:ext>
                            </a:extLst>
                          </a:blip>
                          <a:srcRect/>
                          <a:stretch>
                            <a:fillRect/>
                          </a:stretch>
                        </pic:blipFill>
                        <pic:spPr bwMode="auto">
                          <a:xfrm>
                            <a:off x="0" y="0"/>
                            <a:ext cx="963930" cy="251460"/>
                          </a:xfrm>
                          <a:prstGeom prst="rect">
                            <a:avLst/>
                          </a:prstGeom>
                          <a:noFill/>
                          <a:ln>
                            <a:noFill/>
                          </a:ln>
                        </pic:spPr>
                      </pic:pic>
                    </a:graphicData>
                  </a:graphic>
                </wp:inline>
              </w:drawing>
            </w:r>
          </w:p>
        </w:tc>
      </w:tr>
      <w:tr w:rsidR="00212513">
        <w:tblPrEx>
          <w:tblBorders>
            <w:insideH w:val="none" w:sz="0" w:space="0" w:color="auto"/>
          </w:tblBorders>
        </w:tblPrEx>
        <w:tc>
          <w:tcPr>
            <w:tcW w:w="4125" w:type="dxa"/>
            <w:tcBorders>
              <w:top w:val="nil"/>
              <w:bottom w:val="nil"/>
            </w:tcBorders>
          </w:tcPr>
          <w:p w:rsidR="00212513" w:rsidRDefault="00212513">
            <w:pPr>
              <w:pStyle w:val="ConsPlusNormal"/>
            </w:pPr>
            <w:r>
              <w:t>3 Трехшарнирная</w:t>
            </w:r>
          </w:p>
        </w:tc>
        <w:tc>
          <w:tcPr>
            <w:tcW w:w="4932" w:type="dxa"/>
            <w:tcBorders>
              <w:top w:val="nil"/>
              <w:bottom w:val="nil"/>
            </w:tcBorders>
          </w:tcPr>
          <w:p w:rsidR="00212513" w:rsidRDefault="00212513">
            <w:pPr>
              <w:pStyle w:val="ConsPlusNormal"/>
              <w:jc w:val="center"/>
            </w:pPr>
            <w:r>
              <w:t xml:space="preserve">Меньшее из </w:t>
            </w:r>
            <w:r>
              <w:rPr>
                <w:noProof/>
                <w:position w:val="-8"/>
              </w:rPr>
              <w:drawing>
                <wp:inline distT="0" distB="0" distL="0" distR="0">
                  <wp:extent cx="461010" cy="251460"/>
                  <wp:effectExtent l="0" t="0" r="0" b="0"/>
                  <wp:docPr id="1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1" cstate="print">
                            <a:extLst>
                              <a:ext uri="{28A0092B-C50C-407E-A947-70E740481C1C}">
                                <a14:useLocalDpi xmlns:a14="http://schemas.microsoft.com/office/drawing/2010/main" val="0"/>
                              </a:ext>
                            </a:extLst>
                          </a:blip>
                          <a:srcRect/>
                          <a:stretch>
                            <a:fillRect/>
                          </a:stretch>
                        </pic:blipFill>
                        <pic:spPr bwMode="auto">
                          <a:xfrm>
                            <a:off x="0" y="0"/>
                            <a:ext cx="461010" cy="251460"/>
                          </a:xfrm>
                          <a:prstGeom prst="rect">
                            <a:avLst/>
                          </a:prstGeom>
                          <a:noFill/>
                          <a:ln>
                            <a:noFill/>
                          </a:ln>
                        </pic:spPr>
                      </pic:pic>
                    </a:graphicData>
                  </a:graphic>
                </wp:inline>
              </w:drawing>
            </w:r>
            <w:r>
              <w:t xml:space="preserve"> и </w:t>
            </w:r>
            <w:r>
              <w:rPr>
                <w:noProof/>
                <w:position w:val="-8"/>
              </w:rPr>
              <w:drawing>
                <wp:inline distT="0" distB="0" distL="0" distR="0">
                  <wp:extent cx="471805" cy="251460"/>
                  <wp:effectExtent l="0" t="0" r="0" b="0"/>
                  <wp:docPr id="1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2" cstate="print">
                            <a:extLst>
                              <a:ext uri="{28A0092B-C50C-407E-A947-70E740481C1C}">
                                <a14:useLocalDpi xmlns:a14="http://schemas.microsoft.com/office/drawing/2010/main" val="0"/>
                              </a:ext>
                            </a:extLst>
                          </a:blip>
                          <a:srcRect/>
                          <a:stretch>
                            <a:fillRect/>
                          </a:stretch>
                        </pic:blipFill>
                        <pic:spPr bwMode="auto">
                          <a:xfrm>
                            <a:off x="0" y="0"/>
                            <a:ext cx="471805" cy="251460"/>
                          </a:xfrm>
                          <a:prstGeom prst="rect">
                            <a:avLst/>
                          </a:prstGeom>
                          <a:noFill/>
                          <a:ln>
                            <a:noFill/>
                          </a:ln>
                        </pic:spPr>
                      </pic:pic>
                    </a:graphicData>
                  </a:graphic>
                </wp:inline>
              </w:drawing>
            </w:r>
          </w:p>
        </w:tc>
      </w:tr>
      <w:tr w:rsidR="00212513">
        <w:tblPrEx>
          <w:tblBorders>
            <w:insideH w:val="none" w:sz="0" w:space="0" w:color="auto"/>
          </w:tblBorders>
        </w:tblPrEx>
        <w:tc>
          <w:tcPr>
            <w:tcW w:w="4125" w:type="dxa"/>
            <w:tcBorders>
              <w:top w:val="nil"/>
              <w:bottom w:val="single" w:sz="4" w:space="0" w:color="auto"/>
            </w:tcBorders>
          </w:tcPr>
          <w:p w:rsidR="00212513" w:rsidRDefault="00212513">
            <w:pPr>
              <w:pStyle w:val="ConsPlusNormal"/>
            </w:pPr>
            <w:bookmarkStart w:id="349" w:name="P7983"/>
            <w:bookmarkEnd w:id="349"/>
            <w:r>
              <w:t>4 Двухшарнирная с неразрезной балкой жесткости, соединенной с аркой стойками</w:t>
            </w:r>
          </w:p>
        </w:tc>
        <w:tc>
          <w:tcPr>
            <w:tcW w:w="4932" w:type="dxa"/>
            <w:tcBorders>
              <w:top w:val="nil"/>
              <w:bottom w:val="single" w:sz="4" w:space="0" w:color="auto"/>
            </w:tcBorders>
          </w:tcPr>
          <w:p w:rsidR="00212513" w:rsidRDefault="00212513">
            <w:pPr>
              <w:pStyle w:val="ConsPlusNormal"/>
              <w:jc w:val="center"/>
            </w:pPr>
            <w:r>
              <w:rPr>
                <w:noProof/>
                <w:position w:val="-12"/>
              </w:rPr>
              <w:drawing>
                <wp:inline distT="0" distB="0" distL="0" distR="0">
                  <wp:extent cx="1885950" cy="304165"/>
                  <wp:effectExtent l="0" t="0" r="0" b="0"/>
                  <wp:docPr id="1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3" cstate="print">
                            <a:extLst>
                              <a:ext uri="{28A0092B-C50C-407E-A947-70E740481C1C}">
                                <a14:useLocalDpi xmlns:a14="http://schemas.microsoft.com/office/drawing/2010/main" val="0"/>
                              </a:ext>
                            </a:extLst>
                          </a:blip>
                          <a:srcRect/>
                          <a:stretch>
                            <a:fillRect/>
                          </a:stretch>
                        </pic:blipFill>
                        <pic:spPr bwMode="auto">
                          <a:xfrm>
                            <a:off x="0" y="0"/>
                            <a:ext cx="1885950" cy="304165"/>
                          </a:xfrm>
                          <a:prstGeom prst="rect">
                            <a:avLst/>
                          </a:prstGeom>
                          <a:noFill/>
                          <a:ln>
                            <a:noFill/>
                          </a:ln>
                        </pic:spPr>
                      </pic:pic>
                    </a:graphicData>
                  </a:graphic>
                </wp:inline>
              </w:drawing>
            </w:r>
          </w:p>
        </w:tc>
      </w:tr>
      <w:tr w:rsidR="00212513">
        <w:tblPrEx>
          <w:tblBorders>
            <w:insideH w:val="none" w:sz="0" w:space="0" w:color="auto"/>
          </w:tblBorders>
        </w:tblPrEx>
        <w:tc>
          <w:tcPr>
            <w:tcW w:w="9057" w:type="dxa"/>
            <w:gridSpan w:val="2"/>
            <w:tcBorders>
              <w:top w:val="single" w:sz="4" w:space="0" w:color="auto"/>
              <w:bottom w:val="nil"/>
            </w:tcBorders>
          </w:tcPr>
          <w:p w:rsidR="00212513" w:rsidRDefault="00212513">
            <w:pPr>
              <w:pStyle w:val="ConsPlusNormal"/>
              <w:ind w:firstLine="283"/>
              <w:jc w:val="both"/>
            </w:pPr>
            <w:r>
              <w:t xml:space="preserve">Обозначения, принятые в </w:t>
            </w:r>
            <w:hyperlink w:anchor="P7973">
              <w:r>
                <w:rPr>
                  <w:color w:val="0000FF"/>
                </w:rPr>
                <w:t>таблице 8.27</w:t>
              </w:r>
            </w:hyperlink>
            <w:r>
              <w:t>:</w:t>
            </w:r>
          </w:p>
          <w:p w:rsidR="00212513" w:rsidRDefault="00212513">
            <w:pPr>
              <w:pStyle w:val="ConsPlusNormal"/>
              <w:ind w:firstLine="283"/>
              <w:jc w:val="both"/>
            </w:pPr>
            <w:r>
              <w:rPr>
                <w:noProof/>
                <w:position w:val="-8"/>
              </w:rPr>
              <w:drawing>
                <wp:inline distT="0" distB="0" distL="0" distR="0">
                  <wp:extent cx="178435" cy="251460"/>
                  <wp:effectExtent l="0" t="0" r="0" b="0"/>
                  <wp:docPr id="1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4"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w:t>
            </w:r>
            <w:r>
              <w:rPr>
                <w:noProof/>
                <w:position w:val="-8"/>
              </w:rPr>
              <w:drawing>
                <wp:inline distT="0" distB="0" distL="0" distR="0">
                  <wp:extent cx="199390" cy="251460"/>
                  <wp:effectExtent l="0" t="0" r="0" b="0"/>
                  <wp:docPr id="1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5"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 коэффициенты, принимаемые по </w:t>
            </w:r>
            <w:hyperlink w:anchor="P7994">
              <w:r>
                <w:rPr>
                  <w:color w:val="0000FF"/>
                </w:rPr>
                <w:t>таблице 8.28</w:t>
              </w:r>
            </w:hyperlink>
            <w:r>
              <w:t>;</w:t>
            </w:r>
          </w:p>
          <w:p w:rsidR="00212513" w:rsidRDefault="00212513">
            <w:pPr>
              <w:pStyle w:val="ConsPlusNormal"/>
              <w:ind w:firstLine="283"/>
              <w:jc w:val="both"/>
            </w:pPr>
            <w:r>
              <w:rPr>
                <w:noProof/>
                <w:position w:val="-1"/>
              </w:rPr>
              <w:drawing>
                <wp:inline distT="0" distB="0" distL="0" distR="0">
                  <wp:extent cx="167640" cy="157480"/>
                  <wp:effectExtent l="0" t="0" r="0" b="0"/>
                  <wp:docPr id="1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6"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r>
              <w:t xml:space="preserve"> - см. </w:t>
            </w:r>
            <w:hyperlink w:anchor="P7967">
              <w:r>
                <w:rPr>
                  <w:color w:val="0000FF"/>
                </w:rPr>
                <w:t>формулу (8.60)</w:t>
              </w:r>
            </w:hyperlink>
            <w:r>
              <w:t>;</w:t>
            </w:r>
          </w:p>
          <w:p w:rsidR="00212513" w:rsidRDefault="00212513">
            <w:pPr>
              <w:pStyle w:val="ConsPlusNormal"/>
              <w:ind w:firstLine="283"/>
              <w:jc w:val="both"/>
            </w:pPr>
          </w:p>
          <w:p w:rsidR="00212513" w:rsidRDefault="00212513">
            <w:pPr>
              <w:pStyle w:val="ConsPlusNormal"/>
              <w:jc w:val="center"/>
            </w:pPr>
            <w:r>
              <w:rPr>
                <w:noProof/>
                <w:position w:val="-27"/>
              </w:rPr>
              <w:drawing>
                <wp:inline distT="0" distB="0" distL="0" distR="0">
                  <wp:extent cx="702310" cy="492760"/>
                  <wp:effectExtent l="0" t="0" r="0" b="0"/>
                  <wp:docPr id="1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7" cstate="print">
                            <a:extLst>
                              <a:ext uri="{28A0092B-C50C-407E-A947-70E740481C1C}">
                                <a14:useLocalDpi xmlns:a14="http://schemas.microsoft.com/office/drawing/2010/main" val="0"/>
                              </a:ext>
                            </a:extLst>
                          </a:blip>
                          <a:srcRect/>
                          <a:stretch>
                            <a:fillRect/>
                          </a:stretch>
                        </pic:blipFill>
                        <pic:spPr bwMode="auto">
                          <a:xfrm>
                            <a:off x="0" y="0"/>
                            <a:ext cx="702310" cy="492760"/>
                          </a:xfrm>
                          <a:prstGeom prst="rect">
                            <a:avLst/>
                          </a:prstGeom>
                          <a:noFill/>
                          <a:ln>
                            <a:noFill/>
                          </a:ln>
                        </pic:spPr>
                      </pic:pic>
                    </a:graphicData>
                  </a:graphic>
                </wp:inline>
              </w:drawing>
            </w:r>
            <w:r>
              <w:t>,</w:t>
            </w:r>
          </w:p>
          <w:p w:rsidR="00212513" w:rsidRDefault="00212513">
            <w:pPr>
              <w:pStyle w:val="ConsPlusNormal"/>
              <w:ind w:firstLine="283"/>
              <w:jc w:val="both"/>
            </w:pPr>
          </w:p>
          <w:p w:rsidR="00212513" w:rsidRDefault="00212513">
            <w:pPr>
              <w:pStyle w:val="ConsPlusNormal"/>
              <w:ind w:firstLine="283"/>
              <w:jc w:val="both"/>
            </w:pPr>
            <w:r>
              <w:t xml:space="preserve">здесь </w:t>
            </w:r>
            <w:r>
              <w:rPr>
                <w:noProof/>
                <w:position w:val="-8"/>
              </w:rPr>
              <w:drawing>
                <wp:inline distT="0" distB="0" distL="0" distR="0">
                  <wp:extent cx="251460" cy="251460"/>
                  <wp:effectExtent l="0" t="0" r="0" b="0"/>
                  <wp:docPr id="1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и </w:t>
            </w:r>
            <w:r>
              <w:rPr>
                <w:noProof/>
                <w:position w:val="-9"/>
              </w:rPr>
              <w:drawing>
                <wp:inline distT="0" distB="0" distL="0" distR="0">
                  <wp:extent cx="283210" cy="262255"/>
                  <wp:effectExtent l="0" t="0" r="0" b="0"/>
                  <wp:docPr id="1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9" cstate="print">
                            <a:extLst>
                              <a:ext uri="{28A0092B-C50C-407E-A947-70E740481C1C}">
                                <a14:useLocalDpi xmlns:a14="http://schemas.microsoft.com/office/drawing/2010/main" val="0"/>
                              </a:ext>
                            </a:extLst>
                          </a:blip>
                          <a:srcRect/>
                          <a:stretch>
                            <a:fillRect/>
                          </a:stretch>
                        </pic:blipFill>
                        <pic:spPr bwMode="auto">
                          <a:xfrm>
                            <a:off x="0" y="0"/>
                            <a:ext cx="283210" cy="262255"/>
                          </a:xfrm>
                          <a:prstGeom prst="rect">
                            <a:avLst/>
                          </a:prstGeom>
                          <a:noFill/>
                          <a:ln>
                            <a:noFill/>
                          </a:ln>
                        </pic:spPr>
                      </pic:pic>
                    </a:graphicData>
                  </a:graphic>
                </wp:inline>
              </w:drawing>
            </w:r>
            <w:r>
              <w:t xml:space="preserve"> - моменты инерции сечений соответственно балки жесткости и арки.</w:t>
            </w:r>
          </w:p>
        </w:tc>
      </w:tr>
      <w:tr w:rsidR="00212513">
        <w:tblPrEx>
          <w:tblBorders>
            <w:insideH w:val="none" w:sz="0" w:space="0" w:color="auto"/>
          </w:tblBorders>
        </w:tblPrEx>
        <w:tc>
          <w:tcPr>
            <w:tcW w:w="9057" w:type="dxa"/>
            <w:gridSpan w:val="2"/>
            <w:tcBorders>
              <w:top w:val="nil"/>
              <w:bottom w:val="single" w:sz="4" w:space="0" w:color="auto"/>
            </w:tcBorders>
          </w:tcPr>
          <w:p w:rsidR="00212513" w:rsidRDefault="00212513">
            <w:pPr>
              <w:pStyle w:val="ConsPlusNormal"/>
              <w:ind w:firstLine="283"/>
              <w:jc w:val="both"/>
            </w:pPr>
            <w:bookmarkStart w:id="350" w:name="P7992"/>
            <w:bookmarkEnd w:id="350"/>
            <w:r>
              <w:t>&lt;*&gt; При отношении жесткостей затяжки и арки, большем 0,8, расчетная длина арки определяется как для двухшарнирной арки с неразрезной балкой жесткости, соединенной с аркой стойками.</w:t>
            </w:r>
          </w:p>
        </w:tc>
      </w:tr>
    </w:tbl>
    <w:p w:rsidR="00212513" w:rsidRDefault="00212513">
      <w:pPr>
        <w:pStyle w:val="ConsPlusNormal"/>
        <w:ind w:firstLine="540"/>
        <w:jc w:val="both"/>
      </w:pPr>
    </w:p>
    <w:p w:rsidR="00212513" w:rsidRDefault="00212513">
      <w:pPr>
        <w:pStyle w:val="ConsPlusNormal"/>
        <w:jc w:val="right"/>
      </w:pPr>
      <w:bookmarkStart w:id="351" w:name="P7994"/>
      <w:bookmarkEnd w:id="351"/>
      <w:r>
        <w:t>Таблица 8.28</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01"/>
        <w:gridCol w:w="1501"/>
        <w:gridCol w:w="1501"/>
        <w:gridCol w:w="1501"/>
        <w:gridCol w:w="1501"/>
        <w:gridCol w:w="1504"/>
      </w:tblGrid>
      <w:tr w:rsidR="00212513">
        <w:tc>
          <w:tcPr>
            <w:tcW w:w="1501" w:type="dxa"/>
            <w:vMerge w:val="restart"/>
            <w:tcBorders>
              <w:top w:val="single" w:sz="4" w:space="0" w:color="auto"/>
              <w:bottom w:val="single" w:sz="4" w:space="0" w:color="auto"/>
            </w:tcBorders>
            <w:vAlign w:val="center"/>
          </w:tcPr>
          <w:p w:rsidR="00212513" w:rsidRDefault="00212513">
            <w:pPr>
              <w:pStyle w:val="ConsPlusNormal"/>
              <w:jc w:val="center"/>
            </w:pPr>
            <w:r>
              <w:rPr>
                <w:noProof/>
                <w:position w:val="-1"/>
              </w:rPr>
              <w:drawing>
                <wp:inline distT="0" distB="0" distL="0" distR="0">
                  <wp:extent cx="167640" cy="157480"/>
                  <wp:effectExtent l="0" t="0" r="0" b="0"/>
                  <wp:docPr id="1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6"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p>
        </w:tc>
        <w:tc>
          <w:tcPr>
            <w:tcW w:w="3002" w:type="dxa"/>
            <w:gridSpan w:val="2"/>
            <w:tcBorders>
              <w:top w:val="single" w:sz="4" w:space="0" w:color="auto"/>
              <w:bottom w:val="single" w:sz="4" w:space="0" w:color="auto"/>
            </w:tcBorders>
            <w:vAlign w:val="center"/>
          </w:tcPr>
          <w:p w:rsidR="00212513" w:rsidRDefault="00212513">
            <w:pPr>
              <w:pStyle w:val="ConsPlusNormal"/>
              <w:jc w:val="center"/>
            </w:pPr>
            <w:r>
              <w:t>Коэффициенты</w:t>
            </w:r>
          </w:p>
        </w:tc>
        <w:tc>
          <w:tcPr>
            <w:tcW w:w="1501" w:type="dxa"/>
            <w:vMerge w:val="restart"/>
            <w:tcBorders>
              <w:top w:val="single" w:sz="4" w:space="0" w:color="auto"/>
              <w:bottom w:val="single" w:sz="4" w:space="0" w:color="auto"/>
            </w:tcBorders>
            <w:vAlign w:val="center"/>
          </w:tcPr>
          <w:p w:rsidR="00212513" w:rsidRDefault="00212513">
            <w:pPr>
              <w:pStyle w:val="ConsPlusNormal"/>
              <w:jc w:val="center"/>
            </w:pPr>
            <w:r>
              <w:rPr>
                <w:noProof/>
                <w:position w:val="-1"/>
              </w:rPr>
              <w:drawing>
                <wp:inline distT="0" distB="0" distL="0" distR="0">
                  <wp:extent cx="167640" cy="157480"/>
                  <wp:effectExtent l="0" t="0" r="0" b="0"/>
                  <wp:docPr id="1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6"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p>
        </w:tc>
        <w:tc>
          <w:tcPr>
            <w:tcW w:w="3005" w:type="dxa"/>
            <w:gridSpan w:val="2"/>
            <w:tcBorders>
              <w:top w:val="single" w:sz="4" w:space="0" w:color="auto"/>
              <w:bottom w:val="single" w:sz="4" w:space="0" w:color="auto"/>
            </w:tcBorders>
            <w:vAlign w:val="center"/>
          </w:tcPr>
          <w:p w:rsidR="00212513" w:rsidRDefault="00212513">
            <w:pPr>
              <w:pStyle w:val="ConsPlusNormal"/>
              <w:jc w:val="center"/>
            </w:pPr>
            <w:r>
              <w:t>Коэффициенты</w:t>
            </w:r>
          </w:p>
        </w:tc>
      </w:tr>
      <w:tr w:rsidR="00212513">
        <w:tc>
          <w:tcPr>
            <w:tcW w:w="1501" w:type="dxa"/>
            <w:vMerge/>
            <w:tcBorders>
              <w:top w:val="single" w:sz="4" w:space="0" w:color="auto"/>
              <w:bottom w:val="single" w:sz="4" w:space="0" w:color="auto"/>
            </w:tcBorders>
          </w:tcPr>
          <w:p w:rsidR="00212513" w:rsidRDefault="00212513">
            <w:pPr>
              <w:pStyle w:val="ConsPlusNormal"/>
            </w:pPr>
          </w:p>
        </w:tc>
        <w:tc>
          <w:tcPr>
            <w:tcW w:w="1501" w:type="dxa"/>
            <w:tcBorders>
              <w:top w:val="single" w:sz="4" w:space="0" w:color="auto"/>
              <w:bottom w:val="single" w:sz="4" w:space="0" w:color="auto"/>
            </w:tcBorders>
            <w:vAlign w:val="center"/>
          </w:tcPr>
          <w:p w:rsidR="00212513" w:rsidRDefault="00212513">
            <w:pPr>
              <w:pStyle w:val="ConsPlusNormal"/>
              <w:jc w:val="center"/>
            </w:pPr>
            <w:r>
              <w:rPr>
                <w:noProof/>
                <w:position w:val="-8"/>
              </w:rPr>
              <w:drawing>
                <wp:inline distT="0" distB="0" distL="0" distR="0">
                  <wp:extent cx="178435" cy="251460"/>
                  <wp:effectExtent l="0" t="0" r="0" b="0"/>
                  <wp:docPr id="1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4"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p>
        </w:tc>
        <w:tc>
          <w:tcPr>
            <w:tcW w:w="1501" w:type="dxa"/>
            <w:tcBorders>
              <w:top w:val="single" w:sz="4" w:space="0" w:color="auto"/>
              <w:bottom w:val="single" w:sz="4" w:space="0" w:color="auto"/>
            </w:tcBorders>
            <w:vAlign w:val="center"/>
          </w:tcPr>
          <w:p w:rsidR="00212513" w:rsidRDefault="00212513">
            <w:pPr>
              <w:pStyle w:val="ConsPlusNormal"/>
              <w:jc w:val="center"/>
            </w:pPr>
            <w:r>
              <w:rPr>
                <w:noProof/>
                <w:position w:val="-8"/>
              </w:rPr>
              <w:drawing>
                <wp:inline distT="0" distB="0" distL="0" distR="0">
                  <wp:extent cx="199390" cy="251460"/>
                  <wp:effectExtent l="0" t="0" r="0" b="0"/>
                  <wp:docPr id="1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5"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p>
        </w:tc>
        <w:tc>
          <w:tcPr>
            <w:tcW w:w="1501" w:type="dxa"/>
            <w:vMerge/>
            <w:tcBorders>
              <w:top w:val="single" w:sz="4" w:space="0" w:color="auto"/>
              <w:bottom w:val="single" w:sz="4" w:space="0" w:color="auto"/>
            </w:tcBorders>
          </w:tcPr>
          <w:p w:rsidR="00212513" w:rsidRDefault="00212513">
            <w:pPr>
              <w:pStyle w:val="ConsPlusNormal"/>
            </w:pPr>
          </w:p>
        </w:tc>
        <w:tc>
          <w:tcPr>
            <w:tcW w:w="1501" w:type="dxa"/>
            <w:tcBorders>
              <w:top w:val="single" w:sz="4" w:space="0" w:color="auto"/>
              <w:bottom w:val="single" w:sz="4" w:space="0" w:color="auto"/>
            </w:tcBorders>
            <w:vAlign w:val="center"/>
          </w:tcPr>
          <w:p w:rsidR="00212513" w:rsidRDefault="00212513">
            <w:pPr>
              <w:pStyle w:val="ConsPlusNormal"/>
              <w:jc w:val="center"/>
            </w:pPr>
            <w:r>
              <w:rPr>
                <w:noProof/>
                <w:position w:val="-8"/>
              </w:rPr>
              <w:drawing>
                <wp:inline distT="0" distB="0" distL="0" distR="0">
                  <wp:extent cx="178435" cy="251460"/>
                  <wp:effectExtent l="0" t="0" r="0" b="0"/>
                  <wp:docPr id="1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4"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p>
        </w:tc>
        <w:tc>
          <w:tcPr>
            <w:tcW w:w="1504" w:type="dxa"/>
            <w:tcBorders>
              <w:top w:val="single" w:sz="4" w:space="0" w:color="auto"/>
              <w:bottom w:val="single" w:sz="4" w:space="0" w:color="auto"/>
            </w:tcBorders>
            <w:vAlign w:val="center"/>
          </w:tcPr>
          <w:p w:rsidR="00212513" w:rsidRDefault="00212513">
            <w:pPr>
              <w:pStyle w:val="ConsPlusNormal"/>
              <w:jc w:val="center"/>
            </w:pPr>
            <w:r>
              <w:rPr>
                <w:noProof/>
                <w:position w:val="-8"/>
              </w:rPr>
              <w:drawing>
                <wp:inline distT="0" distB="0" distL="0" distR="0">
                  <wp:extent cx="199390" cy="251460"/>
                  <wp:effectExtent l="0" t="0" r="0" b="0"/>
                  <wp:docPr id="1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5"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p>
        </w:tc>
      </w:tr>
      <w:tr w:rsidR="00212513">
        <w:tblPrEx>
          <w:tblBorders>
            <w:insideH w:val="none" w:sz="0" w:space="0" w:color="auto"/>
          </w:tblBorders>
        </w:tblPrEx>
        <w:tc>
          <w:tcPr>
            <w:tcW w:w="1501" w:type="dxa"/>
            <w:tcBorders>
              <w:top w:val="single" w:sz="4" w:space="0" w:color="auto"/>
              <w:bottom w:val="nil"/>
            </w:tcBorders>
          </w:tcPr>
          <w:p w:rsidR="00212513" w:rsidRDefault="00212513">
            <w:pPr>
              <w:pStyle w:val="ConsPlusNormal"/>
              <w:jc w:val="center"/>
            </w:pPr>
            <w:r>
              <w:t>0,1</w:t>
            </w:r>
          </w:p>
        </w:tc>
        <w:tc>
          <w:tcPr>
            <w:tcW w:w="1501" w:type="dxa"/>
            <w:tcBorders>
              <w:top w:val="single" w:sz="4" w:space="0" w:color="auto"/>
              <w:bottom w:val="nil"/>
            </w:tcBorders>
          </w:tcPr>
          <w:p w:rsidR="00212513" w:rsidRDefault="00212513">
            <w:pPr>
              <w:pStyle w:val="ConsPlusNormal"/>
              <w:jc w:val="center"/>
            </w:pPr>
            <w:r>
              <w:t>28,5</w:t>
            </w:r>
          </w:p>
        </w:tc>
        <w:tc>
          <w:tcPr>
            <w:tcW w:w="1501" w:type="dxa"/>
            <w:tcBorders>
              <w:top w:val="single" w:sz="4" w:space="0" w:color="auto"/>
              <w:bottom w:val="nil"/>
            </w:tcBorders>
          </w:tcPr>
          <w:p w:rsidR="00212513" w:rsidRDefault="00212513">
            <w:pPr>
              <w:pStyle w:val="ConsPlusNormal"/>
              <w:jc w:val="center"/>
            </w:pPr>
            <w:r>
              <w:t>22,5</w:t>
            </w:r>
          </w:p>
        </w:tc>
        <w:tc>
          <w:tcPr>
            <w:tcW w:w="1501" w:type="dxa"/>
            <w:tcBorders>
              <w:top w:val="single" w:sz="4" w:space="0" w:color="auto"/>
              <w:bottom w:val="nil"/>
            </w:tcBorders>
          </w:tcPr>
          <w:p w:rsidR="00212513" w:rsidRDefault="00212513">
            <w:pPr>
              <w:pStyle w:val="ConsPlusNormal"/>
              <w:jc w:val="center"/>
            </w:pPr>
            <w:r>
              <w:t>0,5</w:t>
            </w:r>
          </w:p>
        </w:tc>
        <w:tc>
          <w:tcPr>
            <w:tcW w:w="1501" w:type="dxa"/>
            <w:tcBorders>
              <w:top w:val="single" w:sz="4" w:space="0" w:color="auto"/>
              <w:bottom w:val="nil"/>
            </w:tcBorders>
          </w:tcPr>
          <w:p w:rsidR="00212513" w:rsidRDefault="00212513">
            <w:pPr>
              <w:pStyle w:val="ConsPlusNormal"/>
              <w:jc w:val="center"/>
            </w:pPr>
            <w:r>
              <w:t>36,8</w:t>
            </w:r>
          </w:p>
        </w:tc>
        <w:tc>
          <w:tcPr>
            <w:tcW w:w="1504" w:type="dxa"/>
            <w:tcBorders>
              <w:top w:val="single" w:sz="4" w:space="0" w:color="auto"/>
              <w:bottom w:val="nil"/>
            </w:tcBorders>
          </w:tcPr>
          <w:p w:rsidR="00212513" w:rsidRDefault="00212513">
            <w:pPr>
              <w:pStyle w:val="ConsPlusNormal"/>
              <w:jc w:val="center"/>
            </w:pPr>
            <w:r>
              <w:t>44,0</w:t>
            </w:r>
          </w:p>
        </w:tc>
      </w:tr>
      <w:tr w:rsidR="00212513">
        <w:tblPrEx>
          <w:tblBorders>
            <w:insideH w:val="none" w:sz="0" w:space="0" w:color="auto"/>
          </w:tblBorders>
        </w:tblPrEx>
        <w:tc>
          <w:tcPr>
            <w:tcW w:w="1501" w:type="dxa"/>
            <w:tcBorders>
              <w:top w:val="nil"/>
              <w:bottom w:val="nil"/>
            </w:tcBorders>
          </w:tcPr>
          <w:p w:rsidR="00212513" w:rsidRDefault="00212513">
            <w:pPr>
              <w:pStyle w:val="ConsPlusNormal"/>
              <w:jc w:val="center"/>
            </w:pPr>
            <w:r>
              <w:t>0,2</w:t>
            </w:r>
          </w:p>
        </w:tc>
        <w:tc>
          <w:tcPr>
            <w:tcW w:w="1501" w:type="dxa"/>
            <w:tcBorders>
              <w:top w:val="nil"/>
              <w:bottom w:val="nil"/>
            </w:tcBorders>
          </w:tcPr>
          <w:p w:rsidR="00212513" w:rsidRDefault="00212513">
            <w:pPr>
              <w:pStyle w:val="ConsPlusNormal"/>
              <w:jc w:val="center"/>
            </w:pPr>
            <w:r>
              <w:t>45,4</w:t>
            </w:r>
          </w:p>
        </w:tc>
        <w:tc>
          <w:tcPr>
            <w:tcW w:w="1501" w:type="dxa"/>
            <w:tcBorders>
              <w:top w:val="nil"/>
              <w:bottom w:val="nil"/>
            </w:tcBorders>
          </w:tcPr>
          <w:p w:rsidR="00212513" w:rsidRDefault="00212513">
            <w:pPr>
              <w:pStyle w:val="ConsPlusNormal"/>
              <w:jc w:val="center"/>
            </w:pPr>
            <w:r>
              <w:t>39,6</w:t>
            </w:r>
          </w:p>
        </w:tc>
        <w:tc>
          <w:tcPr>
            <w:tcW w:w="1501" w:type="dxa"/>
            <w:tcBorders>
              <w:top w:val="nil"/>
              <w:bottom w:val="nil"/>
            </w:tcBorders>
          </w:tcPr>
          <w:p w:rsidR="00212513" w:rsidRDefault="00212513">
            <w:pPr>
              <w:pStyle w:val="ConsPlusNormal"/>
              <w:jc w:val="center"/>
            </w:pPr>
            <w:r>
              <w:t>0,6</w:t>
            </w:r>
          </w:p>
        </w:tc>
        <w:tc>
          <w:tcPr>
            <w:tcW w:w="1501" w:type="dxa"/>
            <w:tcBorders>
              <w:top w:val="nil"/>
              <w:bottom w:val="nil"/>
            </w:tcBorders>
          </w:tcPr>
          <w:p w:rsidR="00212513" w:rsidRDefault="00212513">
            <w:pPr>
              <w:pStyle w:val="ConsPlusNormal"/>
              <w:jc w:val="center"/>
            </w:pPr>
            <w:r>
              <w:t>30,5</w:t>
            </w:r>
          </w:p>
        </w:tc>
        <w:tc>
          <w:tcPr>
            <w:tcW w:w="1504" w:type="dxa"/>
            <w:tcBorders>
              <w:top w:val="nil"/>
              <w:bottom w:val="nil"/>
            </w:tcBorders>
          </w:tcPr>
          <w:p w:rsidR="00212513" w:rsidRDefault="00212513">
            <w:pPr>
              <w:pStyle w:val="ConsPlusNormal"/>
              <w:jc w:val="center"/>
            </w:pPr>
            <w:r>
              <w:t>-</w:t>
            </w:r>
          </w:p>
        </w:tc>
      </w:tr>
      <w:tr w:rsidR="00212513">
        <w:tblPrEx>
          <w:tblBorders>
            <w:insideH w:val="none" w:sz="0" w:space="0" w:color="auto"/>
          </w:tblBorders>
        </w:tblPrEx>
        <w:tc>
          <w:tcPr>
            <w:tcW w:w="1501" w:type="dxa"/>
            <w:tcBorders>
              <w:top w:val="nil"/>
              <w:bottom w:val="nil"/>
            </w:tcBorders>
          </w:tcPr>
          <w:p w:rsidR="00212513" w:rsidRDefault="00212513">
            <w:pPr>
              <w:pStyle w:val="ConsPlusNormal"/>
              <w:jc w:val="center"/>
            </w:pPr>
            <w:r>
              <w:t>0,3</w:t>
            </w:r>
          </w:p>
        </w:tc>
        <w:tc>
          <w:tcPr>
            <w:tcW w:w="1501" w:type="dxa"/>
            <w:tcBorders>
              <w:top w:val="nil"/>
              <w:bottom w:val="nil"/>
            </w:tcBorders>
          </w:tcPr>
          <w:p w:rsidR="00212513" w:rsidRDefault="00212513">
            <w:pPr>
              <w:pStyle w:val="ConsPlusNormal"/>
              <w:jc w:val="center"/>
            </w:pPr>
            <w:r>
              <w:t>46,5</w:t>
            </w:r>
          </w:p>
        </w:tc>
        <w:tc>
          <w:tcPr>
            <w:tcW w:w="1501" w:type="dxa"/>
            <w:tcBorders>
              <w:top w:val="nil"/>
              <w:bottom w:val="nil"/>
            </w:tcBorders>
          </w:tcPr>
          <w:p w:rsidR="00212513" w:rsidRDefault="00212513">
            <w:pPr>
              <w:pStyle w:val="ConsPlusNormal"/>
              <w:jc w:val="center"/>
            </w:pPr>
            <w:r>
              <w:t>47,3</w:t>
            </w:r>
          </w:p>
        </w:tc>
        <w:tc>
          <w:tcPr>
            <w:tcW w:w="1501" w:type="dxa"/>
            <w:tcBorders>
              <w:top w:val="nil"/>
              <w:bottom w:val="nil"/>
            </w:tcBorders>
          </w:tcPr>
          <w:p w:rsidR="00212513" w:rsidRDefault="00212513">
            <w:pPr>
              <w:pStyle w:val="ConsPlusNormal"/>
              <w:jc w:val="center"/>
            </w:pPr>
            <w:r>
              <w:t>0,8</w:t>
            </w:r>
          </w:p>
        </w:tc>
        <w:tc>
          <w:tcPr>
            <w:tcW w:w="1501" w:type="dxa"/>
            <w:tcBorders>
              <w:top w:val="nil"/>
              <w:bottom w:val="nil"/>
            </w:tcBorders>
          </w:tcPr>
          <w:p w:rsidR="00212513" w:rsidRDefault="00212513">
            <w:pPr>
              <w:pStyle w:val="ConsPlusNormal"/>
              <w:jc w:val="center"/>
            </w:pPr>
            <w:r>
              <w:t>20,0</w:t>
            </w:r>
          </w:p>
        </w:tc>
        <w:tc>
          <w:tcPr>
            <w:tcW w:w="1504" w:type="dxa"/>
            <w:tcBorders>
              <w:top w:val="nil"/>
              <w:bottom w:val="nil"/>
            </w:tcBorders>
          </w:tcPr>
          <w:p w:rsidR="00212513" w:rsidRDefault="00212513">
            <w:pPr>
              <w:pStyle w:val="ConsPlusNormal"/>
              <w:jc w:val="center"/>
            </w:pPr>
            <w:r>
              <w:t>-</w:t>
            </w:r>
          </w:p>
        </w:tc>
      </w:tr>
      <w:tr w:rsidR="00212513">
        <w:tblPrEx>
          <w:tblBorders>
            <w:insideH w:val="none" w:sz="0" w:space="0" w:color="auto"/>
          </w:tblBorders>
        </w:tblPrEx>
        <w:tc>
          <w:tcPr>
            <w:tcW w:w="1501" w:type="dxa"/>
            <w:tcBorders>
              <w:top w:val="nil"/>
              <w:bottom w:val="single" w:sz="4" w:space="0" w:color="auto"/>
            </w:tcBorders>
          </w:tcPr>
          <w:p w:rsidR="00212513" w:rsidRDefault="00212513">
            <w:pPr>
              <w:pStyle w:val="ConsPlusNormal"/>
              <w:jc w:val="center"/>
            </w:pPr>
            <w:r>
              <w:t>0,4</w:t>
            </w:r>
          </w:p>
        </w:tc>
        <w:tc>
          <w:tcPr>
            <w:tcW w:w="1501" w:type="dxa"/>
            <w:tcBorders>
              <w:top w:val="nil"/>
              <w:bottom w:val="single" w:sz="4" w:space="0" w:color="auto"/>
            </w:tcBorders>
          </w:tcPr>
          <w:p w:rsidR="00212513" w:rsidRDefault="00212513">
            <w:pPr>
              <w:pStyle w:val="ConsPlusNormal"/>
              <w:jc w:val="center"/>
            </w:pPr>
            <w:r>
              <w:t>43,9</w:t>
            </w:r>
          </w:p>
        </w:tc>
        <w:tc>
          <w:tcPr>
            <w:tcW w:w="1501" w:type="dxa"/>
            <w:tcBorders>
              <w:top w:val="nil"/>
              <w:bottom w:val="single" w:sz="4" w:space="0" w:color="auto"/>
            </w:tcBorders>
          </w:tcPr>
          <w:p w:rsidR="00212513" w:rsidRDefault="00212513">
            <w:pPr>
              <w:pStyle w:val="ConsPlusNormal"/>
              <w:jc w:val="center"/>
            </w:pPr>
            <w:r>
              <w:t>49,2</w:t>
            </w:r>
          </w:p>
        </w:tc>
        <w:tc>
          <w:tcPr>
            <w:tcW w:w="1501" w:type="dxa"/>
            <w:tcBorders>
              <w:top w:val="nil"/>
              <w:bottom w:val="single" w:sz="4" w:space="0" w:color="auto"/>
            </w:tcBorders>
          </w:tcPr>
          <w:p w:rsidR="00212513" w:rsidRDefault="00212513">
            <w:pPr>
              <w:pStyle w:val="ConsPlusNormal"/>
              <w:jc w:val="center"/>
            </w:pPr>
            <w:r>
              <w:t>1,0</w:t>
            </w:r>
          </w:p>
        </w:tc>
        <w:tc>
          <w:tcPr>
            <w:tcW w:w="1501" w:type="dxa"/>
            <w:tcBorders>
              <w:top w:val="nil"/>
              <w:bottom w:val="single" w:sz="4" w:space="0" w:color="auto"/>
            </w:tcBorders>
          </w:tcPr>
          <w:p w:rsidR="00212513" w:rsidRDefault="00212513">
            <w:pPr>
              <w:pStyle w:val="ConsPlusNormal"/>
              <w:jc w:val="center"/>
            </w:pPr>
            <w:r>
              <w:t>14,1</w:t>
            </w:r>
          </w:p>
        </w:tc>
        <w:tc>
          <w:tcPr>
            <w:tcW w:w="1504" w:type="dxa"/>
            <w:tcBorders>
              <w:top w:val="nil"/>
              <w:bottom w:val="single" w:sz="4" w:space="0" w:color="auto"/>
            </w:tcBorders>
          </w:tcPr>
          <w:p w:rsidR="00212513" w:rsidRDefault="00212513">
            <w:pPr>
              <w:pStyle w:val="ConsPlusNormal"/>
              <w:jc w:val="center"/>
            </w:pPr>
            <w:r>
              <w:t>-</w:t>
            </w:r>
          </w:p>
        </w:tc>
      </w:tr>
      <w:tr w:rsidR="00212513">
        <w:tc>
          <w:tcPr>
            <w:tcW w:w="9009" w:type="dxa"/>
            <w:gridSpan w:val="6"/>
            <w:tcBorders>
              <w:top w:val="single" w:sz="4" w:space="0" w:color="auto"/>
              <w:bottom w:val="single" w:sz="4" w:space="0" w:color="auto"/>
            </w:tcBorders>
          </w:tcPr>
          <w:p w:rsidR="00212513" w:rsidRDefault="00212513">
            <w:pPr>
              <w:pStyle w:val="ConsPlusNormal"/>
              <w:ind w:firstLine="283"/>
              <w:jc w:val="both"/>
            </w:pPr>
            <w:r>
              <w:t xml:space="preserve">Примечание - Для промежуточных значений </w:t>
            </w:r>
            <w:r>
              <w:rPr>
                <w:noProof/>
                <w:position w:val="-1"/>
              </w:rPr>
              <w:drawing>
                <wp:inline distT="0" distB="0" distL="0" distR="0">
                  <wp:extent cx="167640" cy="157480"/>
                  <wp:effectExtent l="0" t="0" r="0" b="0"/>
                  <wp:docPr id="1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6"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r>
              <w:t xml:space="preserve"> коэффициенты </w:t>
            </w:r>
            <w:r>
              <w:rPr>
                <w:noProof/>
                <w:position w:val="-8"/>
              </w:rPr>
              <w:drawing>
                <wp:inline distT="0" distB="0" distL="0" distR="0">
                  <wp:extent cx="178435" cy="251460"/>
                  <wp:effectExtent l="0" t="0" r="0" b="0"/>
                  <wp:docPr id="1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4"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и </w:t>
            </w:r>
            <w:r>
              <w:rPr>
                <w:noProof/>
                <w:position w:val="-8"/>
              </w:rPr>
              <w:drawing>
                <wp:inline distT="0" distB="0" distL="0" distR="0">
                  <wp:extent cx="199390" cy="251460"/>
                  <wp:effectExtent l="0" t="0" r="0" b="0"/>
                  <wp:docPr id="1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5"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определяют по линейной интерполяции.</w:t>
            </w:r>
          </w:p>
        </w:tc>
      </w:tr>
    </w:tbl>
    <w:p w:rsidR="00212513" w:rsidRDefault="00212513">
      <w:pPr>
        <w:pStyle w:val="ConsPlusNormal"/>
        <w:ind w:firstLine="540"/>
        <w:jc w:val="both"/>
      </w:pPr>
    </w:p>
    <w:p w:rsidR="00212513" w:rsidRDefault="00212513">
      <w:pPr>
        <w:pStyle w:val="ConsPlusNormal"/>
        <w:ind w:firstLine="540"/>
        <w:jc w:val="both"/>
      </w:pPr>
      <w:r>
        <w:t xml:space="preserve">Значение </w:t>
      </w:r>
      <w:r>
        <w:rPr>
          <w:noProof/>
          <w:position w:val="-6"/>
        </w:rPr>
        <w:drawing>
          <wp:inline distT="0" distB="0" distL="0" distR="0">
            <wp:extent cx="167640" cy="220980"/>
            <wp:effectExtent l="0" t="0" r="0" b="0"/>
            <wp:docPr id="1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0" cstate="print">
                      <a:extLst>
                        <a:ext uri="{28A0092B-C50C-407E-A947-70E740481C1C}">
                          <a14:useLocalDpi xmlns:a14="http://schemas.microsoft.com/office/drawing/2010/main" val="0"/>
                        </a:ext>
                      </a:extLst>
                    </a:blip>
                    <a:srcRect/>
                    <a:stretch>
                      <a:fillRect/>
                    </a:stretch>
                  </pic:blipFill>
                  <pic:spPr bwMode="auto">
                    <a:xfrm>
                      <a:off x="0" y="0"/>
                      <a:ext cx="167640" cy="220980"/>
                    </a:xfrm>
                    <a:prstGeom prst="rect">
                      <a:avLst/>
                    </a:prstGeom>
                    <a:noFill/>
                    <a:ln>
                      <a:noFill/>
                    </a:ln>
                  </pic:spPr>
                </pic:pic>
              </a:graphicData>
            </a:graphic>
          </wp:inline>
        </w:drawing>
      </w:r>
      <w:r>
        <w:t xml:space="preserve"> для двухшарнирной арки переменного сечения при изменении ее момента инерции в пределах +/- 10% среднего его значения по длине пролета допускается определять по </w:t>
      </w:r>
      <w:hyperlink w:anchor="P7983">
        <w:r>
          <w:rPr>
            <w:color w:val="0000FF"/>
          </w:rPr>
          <w:t>поз. 4 таблицы 8.27</w:t>
        </w:r>
      </w:hyperlink>
      <w:r>
        <w:t xml:space="preserve">, принимая при этом </w:t>
      </w:r>
      <w:r>
        <w:rPr>
          <w:noProof/>
          <w:position w:val="-9"/>
        </w:rPr>
        <w:drawing>
          <wp:inline distT="0" distB="0" distL="0" distR="0">
            <wp:extent cx="377190" cy="262890"/>
            <wp:effectExtent l="0" t="0" r="0" b="0"/>
            <wp:docPr id="1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1" cstate="print">
                      <a:extLst>
                        <a:ext uri="{28A0092B-C50C-407E-A947-70E740481C1C}">
                          <a14:useLocalDpi xmlns:a14="http://schemas.microsoft.com/office/drawing/2010/main" val="0"/>
                        </a:ext>
                      </a:extLst>
                    </a:blip>
                    <a:srcRect/>
                    <a:stretch>
                      <a:fillRect/>
                    </a:stretch>
                  </pic:blipFill>
                  <pic:spPr bwMode="auto">
                    <a:xfrm>
                      <a:off x="0" y="0"/>
                      <a:ext cx="377190" cy="262890"/>
                    </a:xfrm>
                    <a:prstGeom prst="rect">
                      <a:avLst/>
                    </a:prstGeom>
                    <a:noFill/>
                    <a:ln>
                      <a:noFill/>
                    </a:ln>
                  </pic:spPr>
                </pic:pic>
              </a:graphicData>
            </a:graphic>
          </wp:inline>
        </w:drawing>
      </w:r>
      <w:r>
        <w:t xml:space="preserve"> в четверти пролета.</w:t>
      </w:r>
    </w:p>
    <w:p w:rsidR="00212513" w:rsidRDefault="00212513">
      <w:pPr>
        <w:pStyle w:val="ConsPlusNormal"/>
        <w:spacing w:before="220"/>
        <w:ind w:firstLine="540"/>
        <w:jc w:val="both"/>
      </w:pPr>
      <w:r>
        <w:lastRenderedPageBreak/>
        <w:t xml:space="preserve">Во всех случаях расчетная длина </w:t>
      </w:r>
      <w:r>
        <w:rPr>
          <w:noProof/>
          <w:position w:val="-9"/>
        </w:rPr>
        <w:drawing>
          <wp:inline distT="0" distB="0" distL="0" distR="0">
            <wp:extent cx="177800" cy="262890"/>
            <wp:effectExtent l="0" t="0" r="0" b="0"/>
            <wp:docPr id="1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арки в ее плоскости должна быть не менее расстояния между узлами прикрепления стоек или подвесок.</w:t>
      </w:r>
    </w:p>
    <w:p w:rsidR="00212513" w:rsidRDefault="00212513">
      <w:pPr>
        <w:pStyle w:val="ConsPlusNormal"/>
        <w:spacing w:before="220"/>
        <w:ind w:firstLine="540"/>
        <w:jc w:val="both"/>
      </w:pPr>
      <w:r>
        <w:t xml:space="preserve">8.54 Расчетную длину </w:t>
      </w:r>
      <w:r>
        <w:rPr>
          <w:noProof/>
          <w:position w:val="-9"/>
        </w:rPr>
        <w:drawing>
          <wp:inline distT="0" distB="0" distL="0" distR="0">
            <wp:extent cx="177800" cy="262890"/>
            <wp:effectExtent l="0" t="0" r="0" b="0"/>
            <wp:docPr id="1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элементов продольных и поперечных связей с любой решеткой, кроме крестовой, следует принимать равной:</w:t>
      </w:r>
    </w:p>
    <w:p w:rsidR="00212513" w:rsidRDefault="00212513">
      <w:pPr>
        <w:pStyle w:val="ConsPlusNormal"/>
        <w:spacing w:before="220"/>
        <w:ind w:firstLine="540"/>
        <w:jc w:val="both"/>
      </w:pPr>
      <w:r>
        <w:t xml:space="preserve">в плоскости связей - расстоянию </w:t>
      </w:r>
      <w:r>
        <w:rPr>
          <w:noProof/>
          <w:position w:val="-8"/>
        </w:rPr>
        <w:drawing>
          <wp:inline distT="0" distB="0" distL="0" distR="0">
            <wp:extent cx="137160" cy="250825"/>
            <wp:effectExtent l="0" t="0" r="0" b="0"/>
            <wp:docPr id="1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2"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между центрами прикреплений элементов связей к главным фермам или балкам, а также балкам проезжей части;</w:t>
      </w:r>
    </w:p>
    <w:p w:rsidR="00212513" w:rsidRDefault="00212513">
      <w:pPr>
        <w:pStyle w:val="ConsPlusNormal"/>
        <w:spacing w:before="220"/>
        <w:ind w:firstLine="540"/>
        <w:jc w:val="both"/>
      </w:pPr>
      <w:r>
        <w:t xml:space="preserve">из плоскости связей - расстоянию </w:t>
      </w:r>
      <w:r>
        <w:rPr>
          <w:noProof/>
          <w:position w:val="-8"/>
        </w:rPr>
        <w:drawing>
          <wp:inline distT="0" distB="0" distL="0" distR="0">
            <wp:extent cx="137160" cy="250825"/>
            <wp:effectExtent l="0" t="0" r="0" b="0"/>
            <wp:docPr id="1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3"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между точками пересечения оси элемента связей с осями крайних рядов болтов прикрепления фасонок связей к главным фермам или балкам, а также балкам проезжей части.</w:t>
      </w:r>
    </w:p>
    <w:p w:rsidR="00212513" w:rsidRDefault="00212513">
      <w:pPr>
        <w:pStyle w:val="ConsPlusNormal"/>
        <w:spacing w:before="220"/>
        <w:ind w:firstLine="540"/>
        <w:jc w:val="both"/>
      </w:pPr>
      <w:r>
        <w:t xml:space="preserve">Расчетную длину </w:t>
      </w:r>
      <w:r>
        <w:rPr>
          <w:noProof/>
          <w:position w:val="-9"/>
        </w:rPr>
        <w:drawing>
          <wp:inline distT="0" distB="0" distL="0" distR="0">
            <wp:extent cx="177800" cy="262890"/>
            <wp:effectExtent l="0" t="0" r="0" b="0"/>
            <wp:docPr id="1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перекрещивающихся элементов связей следует принимать:</w:t>
      </w:r>
    </w:p>
    <w:p w:rsidR="00212513" w:rsidRDefault="00212513">
      <w:pPr>
        <w:pStyle w:val="ConsPlusNormal"/>
        <w:spacing w:before="220"/>
        <w:ind w:firstLine="540"/>
        <w:jc w:val="both"/>
      </w:pPr>
      <w:r>
        <w:t>в плоскости связей - равной расстоянию от центра прикрепления элемента связей к главной ферме или балке, а также балке проезжей части - до точки пересечения осей связей;</w:t>
      </w:r>
    </w:p>
    <w:p w:rsidR="00212513" w:rsidRDefault="00212513">
      <w:pPr>
        <w:pStyle w:val="ConsPlusNormal"/>
        <w:spacing w:before="220"/>
        <w:ind w:firstLine="540"/>
        <w:jc w:val="both"/>
      </w:pPr>
      <w:r>
        <w:t xml:space="preserve">из плоскости связей: для растянутых элементов - равной </w:t>
      </w:r>
      <w:r>
        <w:rPr>
          <w:noProof/>
          <w:position w:val="-8"/>
        </w:rPr>
        <w:drawing>
          <wp:inline distT="0" distB="0" distL="0" distR="0">
            <wp:extent cx="137160" cy="250825"/>
            <wp:effectExtent l="0" t="0" r="0" b="0"/>
            <wp:docPr id="1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3"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для сжатых элементов - по </w:t>
      </w:r>
      <w:hyperlink w:anchor="P7883">
        <w:r>
          <w:rPr>
            <w:color w:val="0000FF"/>
          </w:rPr>
          <w:t>таблице 8.25</w:t>
        </w:r>
      </w:hyperlink>
      <w:r>
        <w:t xml:space="preserve">, принимая при этом за </w:t>
      </w:r>
      <w:r>
        <w:rPr>
          <w:i/>
        </w:rPr>
        <w:t>l</w:t>
      </w:r>
      <w:r>
        <w:t xml:space="preserve"> расстояние от точки пересечения оси элемента связей с осью крайнего ряда болтов прикрепления фасонок связей до точки пересечения осей элементов связей, за </w:t>
      </w:r>
      <w:r>
        <w:rPr>
          <w:noProof/>
          <w:position w:val="-8"/>
        </w:rPr>
        <w:drawing>
          <wp:inline distT="0" distB="0" distL="0" distR="0">
            <wp:extent cx="125730" cy="251460"/>
            <wp:effectExtent l="0" t="0" r="0" b="0"/>
            <wp:docPr id="1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4" cstate="print">
                      <a:extLst>
                        <a:ext uri="{28A0092B-C50C-407E-A947-70E740481C1C}">
                          <a14:useLocalDpi xmlns:a14="http://schemas.microsoft.com/office/drawing/2010/main" val="0"/>
                        </a:ext>
                      </a:extLst>
                    </a:blip>
                    <a:srcRect/>
                    <a:stretch>
                      <a:fillRect/>
                    </a:stretch>
                  </pic:blipFill>
                  <pic:spPr bwMode="auto">
                    <a:xfrm>
                      <a:off x="0" y="0"/>
                      <a:ext cx="125730" cy="251460"/>
                    </a:xfrm>
                    <a:prstGeom prst="rect">
                      <a:avLst/>
                    </a:prstGeom>
                    <a:noFill/>
                    <a:ln>
                      <a:noFill/>
                    </a:ln>
                  </pic:spPr>
                </pic:pic>
              </a:graphicData>
            </a:graphic>
          </wp:inline>
        </w:drawing>
      </w:r>
      <w:r>
        <w:t xml:space="preserve"> - расстояние </w:t>
      </w:r>
      <w:r>
        <w:rPr>
          <w:noProof/>
          <w:position w:val="-8"/>
        </w:rPr>
        <w:drawing>
          <wp:inline distT="0" distB="0" distL="0" distR="0">
            <wp:extent cx="137160" cy="250825"/>
            <wp:effectExtent l="0" t="0" r="0" b="0"/>
            <wp:docPr id="1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3"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Для элементов связей с любой решеткой, кроме крестовой, из одиночных уголков расчетную длину </w:t>
      </w:r>
      <w:r>
        <w:rPr>
          <w:noProof/>
          <w:position w:val="-9"/>
        </w:rPr>
        <w:drawing>
          <wp:inline distT="0" distB="0" distL="0" distR="0">
            <wp:extent cx="177800" cy="262890"/>
            <wp:effectExtent l="0" t="0" r="0" b="0"/>
            <wp:docPr id="1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следует принимать равной расстоянию </w:t>
      </w:r>
      <w:r>
        <w:rPr>
          <w:i/>
        </w:rPr>
        <w:t>l</w:t>
      </w:r>
      <w:r>
        <w:t xml:space="preserve"> между крайними болтами прикреплений их концов. При крестовой решетке связей </w:t>
      </w:r>
      <w:r>
        <w:rPr>
          <w:noProof/>
          <w:position w:val="-9"/>
        </w:rPr>
        <w:drawing>
          <wp:inline distT="0" distB="0" distL="0" distR="0">
            <wp:extent cx="648970" cy="262890"/>
            <wp:effectExtent l="0" t="0" r="0" b="0"/>
            <wp:docPr id="1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5" cstate="print">
                      <a:extLst>
                        <a:ext uri="{28A0092B-C50C-407E-A947-70E740481C1C}">
                          <a14:useLocalDpi xmlns:a14="http://schemas.microsoft.com/office/drawing/2010/main" val="0"/>
                        </a:ext>
                      </a:extLst>
                    </a:blip>
                    <a:srcRect/>
                    <a:stretch>
                      <a:fillRect/>
                    </a:stretch>
                  </pic:blipFill>
                  <pic:spPr bwMode="auto">
                    <a:xfrm>
                      <a:off x="0" y="0"/>
                      <a:ext cx="648970" cy="262890"/>
                    </a:xfrm>
                    <a:prstGeom prst="rect">
                      <a:avLst/>
                    </a:prstGeom>
                    <a:noFill/>
                    <a:ln>
                      <a:noFill/>
                    </a:ln>
                  </pic:spPr>
                </pic:pic>
              </a:graphicData>
            </a:graphic>
          </wp:inline>
        </w:drawing>
      </w:r>
      <w:r>
        <w:t xml:space="preserve">. Радиус инерции сечений следует принимать минимальным </w:t>
      </w:r>
      <w:r>
        <w:rPr>
          <w:noProof/>
          <w:position w:val="-8"/>
        </w:rPr>
        <w:drawing>
          <wp:inline distT="0" distB="0" distL="0" distR="0">
            <wp:extent cx="586740" cy="251460"/>
            <wp:effectExtent l="0" t="0" r="0" b="0"/>
            <wp:docPr id="1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6"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t>.</w:t>
      </w:r>
    </w:p>
    <w:p w:rsidR="00212513" w:rsidRDefault="00212513">
      <w:pPr>
        <w:pStyle w:val="ConsPlusNormal"/>
        <w:spacing w:before="220"/>
        <w:ind w:firstLine="540"/>
        <w:jc w:val="both"/>
      </w:pPr>
      <w:bookmarkStart w:id="352" w:name="P8039"/>
      <w:bookmarkEnd w:id="352"/>
      <w:r>
        <w:t xml:space="preserve">8.55 В сплошностенчатых балках расчетную длину </w:t>
      </w:r>
      <w:r>
        <w:rPr>
          <w:noProof/>
          <w:position w:val="-9"/>
        </w:rPr>
        <w:drawing>
          <wp:inline distT="0" distB="0" distL="0" distR="0">
            <wp:extent cx="177800" cy="262890"/>
            <wp:effectExtent l="0" t="0" r="0" b="0"/>
            <wp:docPr id="1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опорных стоек, состоящих из одного или нескольких опорных ребер жесткости и примыкающих к ним участков стенки, следует определять по формуле</w:t>
      </w:r>
    </w:p>
    <w:p w:rsidR="00212513" w:rsidRDefault="00212513">
      <w:pPr>
        <w:pStyle w:val="ConsPlusNormal"/>
        <w:ind w:firstLine="540"/>
        <w:jc w:val="both"/>
      </w:pPr>
    </w:p>
    <w:p w:rsidR="00212513" w:rsidRDefault="00212513">
      <w:pPr>
        <w:pStyle w:val="ConsPlusNormal"/>
        <w:jc w:val="center"/>
      </w:pPr>
      <w:r>
        <w:rPr>
          <w:noProof/>
          <w:position w:val="-9"/>
        </w:rPr>
        <w:drawing>
          <wp:inline distT="0" distB="0" distL="0" distR="0">
            <wp:extent cx="578485" cy="262890"/>
            <wp:effectExtent l="0" t="0" r="0" b="0"/>
            <wp:docPr id="1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7" cstate="print">
                      <a:extLst>
                        <a:ext uri="{28A0092B-C50C-407E-A947-70E740481C1C}">
                          <a14:useLocalDpi xmlns:a14="http://schemas.microsoft.com/office/drawing/2010/main" val="0"/>
                        </a:ext>
                      </a:extLst>
                    </a:blip>
                    <a:srcRect/>
                    <a:stretch>
                      <a:fillRect/>
                    </a:stretch>
                  </pic:blipFill>
                  <pic:spPr bwMode="auto">
                    <a:xfrm>
                      <a:off x="0" y="0"/>
                      <a:ext cx="578485" cy="262890"/>
                    </a:xfrm>
                    <a:prstGeom prst="rect">
                      <a:avLst/>
                    </a:prstGeom>
                    <a:noFill/>
                    <a:ln>
                      <a:noFill/>
                    </a:ln>
                  </pic:spPr>
                </pic:pic>
              </a:graphicData>
            </a:graphic>
          </wp:inline>
        </w:drawing>
      </w:r>
      <w:r>
        <w:t>, (8.61)</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3"/>
        </w:rPr>
        <w:drawing>
          <wp:inline distT="0" distB="0" distL="0" distR="0">
            <wp:extent cx="167640" cy="177800"/>
            <wp:effectExtent l="0" t="0" r="0" b="0"/>
            <wp:docPr id="1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8"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коэффициент расчетной длины;</w:t>
      </w:r>
    </w:p>
    <w:p w:rsidR="00212513" w:rsidRDefault="00212513">
      <w:pPr>
        <w:pStyle w:val="ConsPlusNormal"/>
        <w:spacing w:before="220"/>
        <w:ind w:firstLine="540"/>
        <w:jc w:val="both"/>
      </w:pPr>
      <w:r>
        <w:rPr>
          <w:noProof/>
          <w:position w:val="-8"/>
        </w:rPr>
        <w:drawing>
          <wp:inline distT="0" distB="0" distL="0" distR="0">
            <wp:extent cx="137160" cy="250825"/>
            <wp:effectExtent l="0" t="0" r="0" b="0"/>
            <wp:docPr id="1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9"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 длина опорной стойки балки, равная расстоянию от верха домкратной балки до верхнего пояса или до ближайшего узла поперечных связей.</w:t>
      </w:r>
    </w:p>
    <w:p w:rsidR="00212513" w:rsidRDefault="00212513">
      <w:pPr>
        <w:pStyle w:val="ConsPlusNormal"/>
        <w:spacing w:before="220"/>
        <w:ind w:firstLine="540"/>
        <w:jc w:val="both"/>
      </w:pPr>
      <w:r>
        <w:t xml:space="preserve">Коэффициент расчетной длины </w:t>
      </w:r>
      <w:r>
        <w:rPr>
          <w:noProof/>
          <w:position w:val="-3"/>
        </w:rPr>
        <w:drawing>
          <wp:inline distT="0" distB="0" distL="0" distR="0">
            <wp:extent cx="167640" cy="177800"/>
            <wp:effectExtent l="0" t="0" r="0" b="0"/>
            <wp:docPr id="1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8"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опорной стойки следует определять по формуле</w:t>
      </w:r>
    </w:p>
    <w:p w:rsidR="00212513" w:rsidRDefault="00212513">
      <w:pPr>
        <w:pStyle w:val="ConsPlusNormal"/>
        <w:ind w:firstLine="540"/>
        <w:jc w:val="both"/>
      </w:pPr>
    </w:p>
    <w:p w:rsidR="00212513" w:rsidRDefault="00212513">
      <w:pPr>
        <w:pStyle w:val="ConsPlusNormal"/>
        <w:jc w:val="center"/>
      </w:pPr>
      <w:r>
        <w:rPr>
          <w:noProof/>
          <w:position w:val="-29"/>
        </w:rPr>
        <w:drawing>
          <wp:inline distT="0" distB="0" distL="0" distR="0">
            <wp:extent cx="1029970" cy="511810"/>
            <wp:effectExtent l="0" t="0" r="0" b="0"/>
            <wp:docPr id="1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0" cstate="print">
                      <a:extLst>
                        <a:ext uri="{28A0092B-C50C-407E-A947-70E740481C1C}">
                          <a14:useLocalDpi xmlns:a14="http://schemas.microsoft.com/office/drawing/2010/main" val="0"/>
                        </a:ext>
                      </a:extLst>
                    </a:blip>
                    <a:srcRect/>
                    <a:stretch>
                      <a:fillRect/>
                    </a:stretch>
                  </pic:blipFill>
                  <pic:spPr bwMode="auto">
                    <a:xfrm>
                      <a:off x="0" y="0"/>
                      <a:ext cx="1029970" cy="511810"/>
                    </a:xfrm>
                    <a:prstGeom prst="rect">
                      <a:avLst/>
                    </a:prstGeom>
                    <a:noFill/>
                    <a:ln>
                      <a:noFill/>
                    </a:ln>
                  </pic:spPr>
                </pic:pic>
              </a:graphicData>
            </a:graphic>
          </wp:inline>
        </w:drawing>
      </w:r>
      <w:r>
        <w:t>, (8.62)</w:t>
      </w:r>
    </w:p>
    <w:p w:rsidR="00212513" w:rsidRDefault="00212513">
      <w:pPr>
        <w:pStyle w:val="ConsPlusNormal"/>
        <w:ind w:firstLine="540"/>
        <w:jc w:val="both"/>
      </w:pPr>
    </w:p>
    <w:p w:rsidR="00212513" w:rsidRDefault="00212513">
      <w:pPr>
        <w:pStyle w:val="ConsPlusNormal"/>
        <w:ind w:firstLine="540"/>
        <w:jc w:val="both"/>
      </w:pPr>
      <w:r>
        <w:t xml:space="preserve">здесь </w:t>
      </w:r>
      <w:r>
        <w:rPr>
          <w:noProof/>
          <w:position w:val="-26"/>
        </w:rPr>
        <w:drawing>
          <wp:inline distT="0" distB="0" distL="0" distR="0">
            <wp:extent cx="712470" cy="470535"/>
            <wp:effectExtent l="0" t="0" r="0" b="0"/>
            <wp:docPr id="1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1" cstate="print">
                      <a:extLst>
                        <a:ext uri="{28A0092B-C50C-407E-A947-70E740481C1C}">
                          <a14:useLocalDpi xmlns:a14="http://schemas.microsoft.com/office/drawing/2010/main" val="0"/>
                        </a:ext>
                      </a:extLst>
                    </a:blip>
                    <a:srcRect/>
                    <a:stretch>
                      <a:fillRect/>
                    </a:stretch>
                  </pic:blipFill>
                  <pic:spPr bwMode="auto">
                    <a:xfrm>
                      <a:off x="0" y="0"/>
                      <a:ext cx="712470" cy="470535"/>
                    </a:xfrm>
                    <a:prstGeom prst="rect">
                      <a:avLst/>
                    </a:prstGeom>
                    <a:noFill/>
                    <a:ln>
                      <a:noFill/>
                    </a:ln>
                  </pic:spPr>
                </pic:pic>
              </a:graphicData>
            </a:graphic>
          </wp:inline>
        </w:drawing>
      </w:r>
      <w:r>
        <w:t>,</w:t>
      </w:r>
    </w:p>
    <w:p w:rsidR="00212513" w:rsidRDefault="00212513">
      <w:pPr>
        <w:pStyle w:val="ConsPlusNormal"/>
        <w:spacing w:before="220"/>
        <w:ind w:firstLine="540"/>
        <w:jc w:val="both"/>
      </w:pPr>
      <w:r>
        <w:lastRenderedPageBreak/>
        <w:t xml:space="preserve">где </w:t>
      </w:r>
      <w:r>
        <w:rPr>
          <w:noProof/>
          <w:position w:val="-8"/>
        </w:rPr>
        <w:drawing>
          <wp:inline distT="0" distB="0" distL="0" distR="0">
            <wp:extent cx="167640" cy="251460"/>
            <wp:effectExtent l="0" t="0" r="0" b="0"/>
            <wp:docPr id="1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2"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момент инерции сечения опорной стойки относительно оси, совпадающей с плоскостью стенки;</w:t>
      </w:r>
    </w:p>
    <w:p w:rsidR="00212513" w:rsidRDefault="00212513">
      <w:pPr>
        <w:pStyle w:val="ConsPlusNormal"/>
        <w:spacing w:before="220"/>
        <w:ind w:firstLine="540"/>
        <w:jc w:val="both"/>
      </w:pPr>
      <w:r>
        <w:rPr>
          <w:noProof/>
          <w:position w:val="-8"/>
        </w:rPr>
        <w:drawing>
          <wp:inline distT="0" distB="0" distL="0" distR="0">
            <wp:extent cx="167640" cy="251460"/>
            <wp:effectExtent l="0" t="0" r="0" b="0"/>
            <wp:docPr id="1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3"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w:t>
      </w:r>
      <w:r>
        <w:rPr>
          <w:noProof/>
          <w:position w:val="-8"/>
        </w:rPr>
        <w:drawing>
          <wp:inline distT="0" distB="0" distL="0" distR="0">
            <wp:extent cx="137160" cy="250825"/>
            <wp:effectExtent l="0" t="0" r="0" b="0"/>
            <wp:docPr id="1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4"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 соответственно момент инерции сечения и длина распорки поперечных связей; в "открытых" пролетных строениях в формуле (8.62) следует принимать </w:t>
      </w:r>
      <w:r>
        <w:rPr>
          <w:i/>
        </w:rPr>
        <w:t>n</w:t>
      </w:r>
      <w:r>
        <w:t xml:space="preserve"> = 0.</w:t>
      </w:r>
    </w:p>
    <w:p w:rsidR="00212513" w:rsidRDefault="00212513">
      <w:pPr>
        <w:pStyle w:val="ConsPlusNormal"/>
        <w:spacing w:before="220"/>
        <w:ind w:firstLine="540"/>
        <w:jc w:val="both"/>
      </w:pPr>
      <w:r>
        <w:t xml:space="preserve">При определении площади, момента инерции и радиуса инерции опорной стойки с одним ребром жесткости в состав ее сечения следует включать кроме опорного ребра жесткости примыкающие к нему участки стенки шириной </w:t>
      </w:r>
      <w:r>
        <w:rPr>
          <w:noProof/>
          <w:position w:val="-8"/>
        </w:rPr>
        <w:drawing>
          <wp:inline distT="0" distB="0" distL="0" distR="0">
            <wp:extent cx="535940" cy="251460"/>
            <wp:effectExtent l="0" t="0" r="0" b="0"/>
            <wp:docPr id="1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5" cstate="print">
                      <a:extLst>
                        <a:ext uri="{28A0092B-C50C-407E-A947-70E740481C1C}">
                          <a14:useLocalDpi xmlns:a14="http://schemas.microsoft.com/office/drawing/2010/main" val="0"/>
                        </a:ext>
                      </a:extLst>
                    </a:blip>
                    <a:srcRect/>
                    <a:stretch>
                      <a:fillRect/>
                    </a:stretch>
                  </pic:blipFill>
                  <pic:spPr bwMode="auto">
                    <a:xfrm>
                      <a:off x="0" y="0"/>
                      <a:ext cx="535940" cy="251460"/>
                    </a:xfrm>
                    <a:prstGeom prst="rect">
                      <a:avLst/>
                    </a:prstGeom>
                    <a:noFill/>
                    <a:ln>
                      <a:noFill/>
                    </a:ln>
                  </pic:spPr>
                </pic:pic>
              </a:graphicData>
            </a:graphic>
          </wp:inline>
        </w:drawing>
      </w:r>
      <w:r>
        <w:t xml:space="preserve"> (здесь </w:t>
      </w:r>
      <w:r>
        <w:rPr>
          <w:i/>
        </w:rPr>
        <w:t>t</w:t>
      </w:r>
      <w:r>
        <w:t xml:space="preserve"> - толщина сечения, </w:t>
      </w:r>
      <w:r>
        <w:rPr>
          <w:noProof/>
          <w:position w:val="-8"/>
        </w:rPr>
        <w:drawing>
          <wp:inline distT="0" distB="0" distL="0" distR="0">
            <wp:extent cx="177800" cy="251460"/>
            <wp:effectExtent l="0" t="0" r="0" b="0"/>
            <wp:docPr id="1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6"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коэффициент, принимаемый по таблице 8.29).</w:t>
      </w:r>
    </w:p>
    <w:p w:rsidR="00212513" w:rsidRDefault="00212513">
      <w:pPr>
        <w:pStyle w:val="ConsPlusNormal"/>
        <w:ind w:firstLine="540"/>
        <w:jc w:val="both"/>
      </w:pPr>
    </w:p>
    <w:p w:rsidR="00212513" w:rsidRDefault="00212513">
      <w:pPr>
        <w:pStyle w:val="ConsPlusNormal"/>
        <w:jc w:val="right"/>
      </w:pPr>
      <w:bookmarkStart w:id="353" w:name="P8054"/>
      <w:bookmarkEnd w:id="353"/>
      <w:r>
        <w:t>Таблица 8.29</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7"/>
        <w:gridCol w:w="3967"/>
      </w:tblGrid>
      <w:tr w:rsidR="00212513">
        <w:tc>
          <w:tcPr>
            <w:tcW w:w="3967" w:type="dxa"/>
            <w:vAlign w:val="center"/>
          </w:tcPr>
          <w:p w:rsidR="00212513" w:rsidRDefault="00212513">
            <w:pPr>
              <w:pStyle w:val="ConsPlusNormal"/>
              <w:jc w:val="center"/>
            </w:pPr>
            <w:r>
              <w:t>Класс прочности стали</w:t>
            </w:r>
          </w:p>
        </w:tc>
        <w:tc>
          <w:tcPr>
            <w:tcW w:w="3967" w:type="dxa"/>
            <w:vAlign w:val="center"/>
          </w:tcPr>
          <w:p w:rsidR="00212513" w:rsidRDefault="00212513">
            <w:pPr>
              <w:pStyle w:val="ConsPlusNormal"/>
              <w:jc w:val="center"/>
            </w:pPr>
            <w:r>
              <w:t>Значение коэффициента </w:t>
            </w:r>
            <w:r>
              <w:rPr>
                <w:noProof/>
                <w:position w:val="-8"/>
              </w:rPr>
              <w:drawing>
                <wp:inline distT="0" distB="0" distL="0" distR="0">
                  <wp:extent cx="178435" cy="251460"/>
                  <wp:effectExtent l="0" t="0" r="0" b="0"/>
                  <wp:docPr id="1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4"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p>
        </w:tc>
      </w:tr>
      <w:tr w:rsidR="00212513">
        <w:tc>
          <w:tcPr>
            <w:tcW w:w="3967" w:type="dxa"/>
          </w:tcPr>
          <w:p w:rsidR="00212513" w:rsidRDefault="00212513">
            <w:pPr>
              <w:pStyle w:val="ConsPlusNormal"/>
              <w:jc w:val="center"/>
            </w:pPr>
            <w:r>
              <w:t>С235</w:t>
            </w:r>
          </w:p>
        </w:tc>
        <w:tc>
          <w:tcPr>
            <w:tcW w:w="3967" w:type="dxa"/>
          </w:tcPr>
          <w:p w:rsidR="00212513" w:rsidRDefault="00212513">
            <w:pPr>
              <w:pStyle w:val="ConsPlusNormal"/>
              <w:jc w:val="center"/>
            </w:pPr>
            <w:r>
              <w:t>14</w:t>
            </w:r>
          </w:p>
        </w:tc>
      </w:tr>
      <w:tr w:rsidR="00212513">
        <w:tc>
          <w:tcPr>
            <w:tcW w:w="3967" w:type="dxa"/>
          </w:tcPr>
          <w:p w:rsidR="00212513" w:rsidRDefault="00212513">
            <w:pPr>
              <w:pStyle w:val="ConsPlusNormal"/>
              <w:jc w:val="center"/>
            </w:pPr>
            <w:r>
              <w:t>С325 - С345</w:t>
            </w:r>
          </w:p>
        </w:tc>
        <w:tc>
          <w:tcPr>
            <w:tcW w:w="3967" w:type="dxa"/>
          </w:tcPr>
          <w:p w:rsidR="00212513" w:rsidRDefault="00212513">
            <w:pPr>
              <w:pStyle w:val="ConsPlusNormal"/>
              <w:jc w:val="center"/>
            </w:pPr>
            <w:r>
              <w:t>12</w:t>
            </w:r>
          </w:p>
        </w:tc>
      </w:tr>
      <w:tr w:rsidR="00212513">
        <w:tc>
          <w:tcPr>
            <w:tcW w:w="3967" w:type="dxa"/>
          </w:tcPr>
          <w:p w:rsidR="00212513" w:rsidRDefault="00212513">
            <w:pPr>
              <w:pStyle w:val="ConsPlusNormal"/>
              <w:jc w:val="center"/>
            </w:pPr>
            <w:r>
              <w:t>С390</w:t>
            </w:r>
          </w:p>
        </w:tc>
        <w:tc>
          <w:tcPr>
            <w:tcW w:w="3967" w:type="dxa"/>
          </w:tcPr>
          <w:p w:rsidR="00212513" w:rsidRDefault="00212513">
            <w:pPr>
              <w:pStyle w:val="ConsPlusNormal"/>
              <w:jc w:val="center"/>
            </w:pPr>
            <w:r>
              <w:t>11,5</w:t>
            </w:r>
          </w:p>
        </w:tc>
      </w:tr>
    </w:tbl>
    <w:p w:rsidR="00212513" w:rsidRDefault="00212513">
      <w:pPr>
        <w:pStyle w:val="ConsPlusNormal"/>
        <w:ind w:firstLine="540"/>
        <w:jc w:val="both"/>
      </w:pPr>
    </w:p>
    <w:p w:rsidR="00212513" w:rsidRDefault="00212513">
      <w:pPr>
        <w:pStyle w:val="ConsPlusNormal"/>
        <w:ind w:firstLine="540"/>
        <w:jc w:val="both"/>
      </w:pPr>
      <w:r>
        <w:t xml:space="preserve">При определении площади, момента инерции и радиуса инерции опорной стойки с несколькими ребрами жесткости при расстояниях между ними </w:t>
      </w:r>
      <w:r>
        <w:rPr>
          <w:noProof/>
          <w:position w:val="-8"/>
        </w:rPr>
        <w:drawing>
          <wp:inline distT="0" distB="0" distL="0" distR="0">
            <wp:extent cx="553085" cy="251460"/>
            <wp:effectExtent l="0" t="0" r="0" b="0"/>
            <wp:docPr id="1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7" cstate="print">
                      <a:extLst>
                        <a:ext uri="{28A0092B-C50C-407E-A947-70E740481C1C}">
                          <a14:useLocalDpi xmlns:a14="http://schemas.microsoft.com/office/drawing/2010/main" val="0"/>
                        </a:ext>
                      </a:extLst>
                    </a:blip>
                    <a:srcRect/>
                    <a:stretch>
                      <a:fillRect/>
                    </a:stretch>
                  </pic:blipFill>
                  <pic:spPr bwMode="auto">
                    <a:xfrm>
                      <a:off x="0" y="0"/>
                      <a:ext cx="553085" cy="251460"/>
                    </a:xfrm>
                    <a:prstGeom prst="rect">
                      <a:avLst/>
                    </a:prstGeom>
                    <a:noFill/>
                    <a:ln>
                      <a:noFill/>
                    </a:ln>
                  </pic:spPr>
                </pic:pic>
              </a:graphicData>
            </a:graphic>
          </wp:inline>
        </w:drawing>
      </w:r>
      <w:r>
        <w:t xml:space="preserve"> (здесь </w:t>
      </w:r>
      <w:r>
        <w:rPr>
          <w:noProof/>
          <w:position w:val="-8"/>
        </w:rPr>
        <w:drawing>
          <wp:inline distT="0" distB="0" distL="0" distR="0">
            <wp:extent cx="198755" cy="250825"/>
            <wp:effectExtent l="0" t="0" r="0" b="0"/>
            <wp:docPr id="1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8"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коэффициент, принимаемый по </w:t>
      </w:r>
      <w:hyperlink w:anchor="P8067">
        <w:r>
          <w:rPr>
            <w:color w:val="0000FF"/>
          </w:rPr>
          <w:t>таблице 8.30</w:t>
        </w:r>
      </w:hyperlink>
      <w:r>
        <w:t xml:space="preserve">) в состав ее сечения следует включать все указанные ребра жесткости, участки стенки между ними, а также примыкающие с внешней стороны к крайним ребрам жесткости участки стенки шириной </w:t>
      </w:r>
      <w:r>
        <w:rPr>
          <w:noProof/>
          <w:position w:val="-8"/>
        </w:rPr>
        <w:drawing>
          <wp:inline distT="0" distB="0" distL="0" distR="0">
            <wp:extent cx="535940" cy="251460"/>
            <wp:effectExtent l="0" t="0" r="0" b="0"/>
            <wp:docPr id="1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5" cstate="print">
                      <a:extLst>
                        <a:ext uri="{28A0092B-C50C-407E-A947-70E740481C1C}">
                          <a14:useLocalDpi xmlns:a14="http://schemas.microsoft.com/office/drawing/2010/main" val="0"/>
                        </a:ext>
                      </a:extLst>
                    </a:blip>
                    <a:srcRect/>
                    <a:stretch>
                      <a:fillRect/>
                    </a:stretch>
                  </pic:blipFill>
                  <pic:spPr bwMode="auto">
                    <a:xfrm>
                      <a:off x="0" y="0"/>
                      <a:ext cx="535940" cy="251460"/>
                    </a:xfrm>
                    <a:prstGeom prst="rect">
                      <a:avLst/>
                    </a:prstGeom>
                    <a:noFill/>
                    <a:ln>
                      <a:noFill/>
                    </a:ln>
                  </pic:spPr>
                </pic:pic>
              </a:graphicData>
            </a:graphic>
          </wp:inline>
        </w:drawing>
      </w:r>
      <w:r>
        <w:t xml:space="preserve">, где </w:t>
      </w:r>
      <w:r>
        <w:rPr>
          <w:noProof/>
          <w:position w:val="-8"/>
        </w:rPr>
        <w:drawing>
          <wp:inline distT="0" distB="0" distL="0" distR="0">
            <wp:extent cx="177800" cy="251460"/>
            <wp:effectExtent l="0" t="0" r="0" b="0"/>
            <wp:docPr id="1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6"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следует принимать по </w:t>
      </w:r>
      <w:hyperlink w:anchor="P8054">
        <w:r>
          <w:rPr>
            <w:color w:val="0000FF"/>
          </w:rPr>
          <w:t>таблице 8.29</w:t>
        </w:r>
      </w:hyperlink>
      <w:r>
        <w:t>.</w:t>
      </w:r>
    </w:p>
    <w:p w:rsidR="00212513" w:rsidRDefault="00212513">
      <w:pPr>
        <w:pStyle w:val="ConsPlusNormal"/>
        <w:ind w:firstLine="540"/>
        <w:jc w:val="both"/>
      </w:pPr>
    </w:p>
    <w:p w:rsidR="00212513" w:rsidRDefault="00212513">
      <w:pPr>
        <w:pStyle w:val="ConsPlusNormal"/>
        <w:jc w:val="right"/>
      </w:pPr>
      <w:bookmarkStart w:id="354" w:name="P8067"/>
      <w:bookmarkEnd w:id="354"/>
      <w:r>
        <w:t>Таблица 8.30</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7"/>
        <w:gridCol w:w="3967"/>
      </w:tblGrid>
      <w:tr w:rsidR="00212513">
        <w:tc>
          <w:tcPr>
            <w:tcW w:w="3967" w:type="dxa"/>
            <w:vAlign w:val="center"/>
          </w:tcPr>
          <w:p w:rsidR="00212513" w:rsidRDefault="00212513">
            <w:pPr>
              <w:pStyle w:val="ConsPlusNormal"/>
              <w:jc w:val="center"/>
            </w:pPr>
            <w:r>
              <w:t>Класс прочности стали</w:t>
            </w:r>
          </w:p>
        </w:tc>
        <w:tc>
          <w:tcPr>
            <w:tcW w:w="3967" w:type="dxa"/>
            <w:vAlign w:val="center"/>
          </w:tcPr>
          <w:p w:rsidR="00212513" w:rsidRDefault="00212513">
            <w:pPr>
              <w:pStyle w:val="ConsPlusNormal"/>
              <w:jc w:val="center"/>
            </w:pPr>
            <w:r>
              <w:t>Значение коэффициента </w:t>
            </w:r>
            <w:r>
              <w:rPr>
                <w:noProof/>
                <w:position w:val="-8"/>
              </w:rPr>
              <w:drawing>
                <wp:inline distT="0" distB="0" distL="0" distR="0">
                  <wp:extent cx="199390" cy="251460"/>
                  <wp:effectExtent l="0" t="0" r="0" b="0"/>
                  <wp:docPr id="1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5"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p>
        </w:tc>
      </w:tr>
      <w:tr w:rsidR="00212513">
        <w:tc>
          <w:tcPr>
            <w:tcW w:w="3967" w:type="dxa"/>
          </w:tcPr>
          <w:p w:rsidR="00212513" w:rsidRDefault="00212513">
            <w:pPr>
              <w:pStyle w:val="ConsPlusNormal"/>
              <w:jc w:val="center"/>
            </w:pPr>
            <w:r>
              <w:t>С235</w:t>
            </w:r>
          </w:p>
        </w:tc>
        <w:tc>
          <w:tcPr>
            <w:tcW w:w="3967" w:type="dxa"/>
          </w:tcPr>
          <w:p w:rsidR="00212513" w:rsidRDefault="00212513">
            <w:pPr>
              <w:pStyle w:val="ConsPlusNormal"/>
              <w:jc w:val="center"/>
            </w:pPr>
            <w:r>
              <w:t>44</w:t>
            </w:r>
          </w:p>
        </w:tc>
      </w:tr>
      <w:tr w:rsidR="00212513">
        <w:tc>
          <w:tcPr>
            <w:tcW w:w="3967" w:type="dxa"/>
          </w:tcPr>
          <w:p w:rsidR="00212513" w:rsidRDefault="00212513">
            <w:pPr>
              <w:pStyle w:val="ConsPlusNormal"/>
              <w:jc w:val="center"/>
            </w:pPr>
            <w:r>
              <w:t>С325 - С345</w:t>
            </w:r>
          </w:p>
        </w:tc>
        <w:tc>
          <w:tcPr>
            <w:tcW w:w="3967" w:type="dxa"/>
          </w:tcPr>
          <w:p w:rsidR="00212513" w:rsidRDefault="00212513">
            <w:pPr>
              <w:pStyle w:val="ConsPlusNormal"/>
              <w:jc w:val="center"/>
            </w:pPr>
            <w:r>
              <w:t>38</w:t>
            </w:r>
          </w:p>
        </w:tc>
      </w:tr>
      <w:tr w:rsidR="00212513">
        <w:tc>
          <w:tcPr>
            <w:tcW w:w="3967" w:type="dxa"/>
          </w:tcPr>
          <w:p w:rsidR="00212513" w:rsidRDefault="00212513">
            <w:pPr>
              <w:pStyle w:val="ConsPlusNormal"/>
              <w:jc w:val="center"/>
            </w:pPr>
            <w:r>
              <w:t>С390</w:t>
            </w:r>
          </w:p>
        </w:tc>
        <w:tc>
          <w:tcPr>
            <w:tcW w:w="3967" w:type="dxa"/>
          </w:tcPr>
          <w:p w:rsidR="00212513" w:rsidRDefault="00212513">
            <w:pPr>
              <w:pStyle w:val="ConsPlusNormal"/>
              <w:jc w:val="center"/>
            </w:pPr>
            <w:r>
              <w:t>36</w:t>
            </w:r>
          </w:p>
        </w:tc>
      </w:tr>
    </w:tbl>
    <w:p w:rsidR="00212513" w:rsidRDefault="00212513">
      <w:pPr>
        <w:pStyle w:val="ConsPlusNormal"/>
        <w:ind w:firstLine="540"/>
        <w:jc w:val="both"/>
      </w:pPr>
    </w:p>
    <w:p w:rsidR="00212513" w:rsidRDefault="00212513">
      <w:pPr>
        <w:pStyle w:val="ConsPlusTitle"/>
        <w:ind w:firstLine="540"/>
        <w:jc w:val="both"/>
        <w:outlineLvl w:val="2"/>
      </w:pPr>
      <w:r>
        <w:t>Предельная гибкость стержневых элементов</w:t>
      </w:r>
    </w:p>
    <w:p w:rsidR="00212513" w:rsidRDefault="00212513">
      <w:pPr>
        <w:pStyle w:val="ConsPlusNormal"/>
        <w:ind w:firstLine="540"/>
        <w:jc w:val="both"/>
      </w:pPr>
    </w:p>
    <w:p w:rsidR="00212513" w:rsidRDefault="00212513">
      <w:pPr>
        <w:pStyle w:val="ConsPlusNormal"/>
        <w:ind w:firstLine="540"/>
        <w:jc w:val="both"/>
      </w:pPr>
      <w:r>
        <w:t>8.56 Гибкость стержневых элементов не должна превышать значений, приведенных в таблице 8.31.</w:t>
      </w:r>
    </w:p>
    <w:p w:rsidR="00212513" w:rsidRDefault="00212513">
      <w:pPr>
        <w:pStyle w:val="ConsPlusNormal"/>
        <w:ind w:firstLine="540"/>
        <w:jc w:val="both"/>
      </w:pPr>
    </w:p>
    <w:p w:rsidR="00212513" w:rsidRDefault="00212513">
      <w:pPr>
        <w:pStyle w:val="ConsPlusNormal"/>
        <w:jc w:val="right"/>
      </w:pPr>
      <w:r>
        <w:t>Таблица 8.31</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62"/>
        <w:gridCol w:w="2153"/>
        <w:gridCol w:w="2154"/>
      </w:tblGrid>
      <w:tr w:rsidR="00212513">
        <w:tc>
          <w:tcPr>
            <w:tcW w:w="4762" w:type="dxa"/>
            <w:vMerge w:val="restart"/>
            <w:tcBorders>
              <w:top w:val="single" w:sz="4" w:space="0" w:color="auto"/>
              <w:bottom w:val="single" w:sz="4" w:space="0" w:color="auto"/>
            </w:tcBorders>
            <w:vAlign w:val="center"/>
          </w:tcPr>
          <w:p w:rsidR="00212513" w:rsidRDefault="00212513">
            <w:pPr>
              <w:pStyle w:val="ConsPlusNormal"/>
              <w:jc w:val="center"/>
            </w:pPr>
            <w:r>
              <w:t>Элементы конструкций</w:t>
            </w:r>
          </w:p>
        </w:tc>
        <w:tc>
          <w:tcPr>
            <w:tcW w:w="4307" w:type="dxa"/>
            <w:gridSpan w:val="2"/>
            <w:tcBorders>
              <w:top w:val="single" w:sz="4" w:space="0" w:color="auto"/>
              <w:bottom w:val="single" w:sz="4" w:space="0" w:color="auto"/>
            </w:tcBorders>
            <w:vAlign w:val="center"/>
          </w:tcPr>
          <w:p w:rsidR="00212513" w:rsidRDefault="00212513">
            <w:pPr>
              <w:pStyle w:val="ConsPlusNormal"/>
              <w:jc w:val="center"/>
            </w:pPr>
            <w:r>
              <w:t>Предельная гибкость стержневых элементов мостов</w:t>
            </w:r>
          </w:p>
        </w:tc>
      </w:tr>
      <w:tr w:rsidR="00212513">
        <w:tc>
          <w:tcPr>
            <w:tcW w:w="4762" w:type="dxa"/>
            <w:vMerge/>
            <w:tcBorders>
              <w:top w:val="single" w:sz="4" w:space="0" w:color="auto"/>
              <w:bottom w:val="single" w:sz="4" w:space="0" w:color="auto"/>
            </w:tcBorders>
          </w:tcPr>
          <w:p w:rsidR="00212513" w:rsidRDefault="00212513">
            <w:pPr>
              <w:pStyle w:val="ConsPlusNormal"/>
            </w:pPr>
          </w:p>
        </w:tc>
        <w:tc>
          <w:tcPr>
            <w:tcW w:w="2153" w:type="dxa"/>
            <w:tcBorders>
              <w:top w:val="single" w:sz="4" w:space="0" w:color="auto"/>
              <w:bottom w:val="single" w:sz="4" w:space="0" w:color="auto"/>
            </w:tcBorders>
            <w:vAlign w:val="center"/>
          </w:tcPr>
          <w:p w:rsidR="00212513" w:rsidRDefault="00212513">
            <w:pPr>
              <w:pStyle w:val="ConsPlusNormal"/>
              <w:jc w:val="center"/>
            </w:pPr>
            <w:r>
              <w:t>железнодорожных и пешеходных</w:t>
            </w:r>
          </w:p>
        </w:tc>
        <w:tc>
          <w:tcPr>
            <w:tcW w:w="2154" w:type="dxa"/>
            <w:tcBorders>
              <w:top w:val="single" w:sz="4" w:space="0" w:color="auto"/>
              <w:bottom w:val="single" w:sz="4" w:space="0" w:color="auto"/>
            </w:tcBorders>
            <w:vAlign w:val="center"/>
          </w:tcPr>
          <w:p w:rsidR="00212513" w:rsidRDefault="00212513">
            <w:pPr>
              <w:pStyle w:val="ConsPlusNormal"/>
              <w:jc w:val="center"/>
            </w:pPr>
            <w:r>
              <w:t>автодорожных и городских</w:t>
            </w:r>
          </w:p>
        </w:tc>
      </w:tr>
      <w:tr w:rsidR="00212513">
        <w:tblPrEx>
          <w:tblBorders>
            <w:insideH w:val="none" w:sz="0" w:space="0" w:color="auto"/>
          </w:tblBorders>
        </w:tblPrEx>
        <w:tc>
          <w:tcPr>
            <w:tcW w:w="4762" w:type="dxa"/>
            <w:tcBorders>
              <w:top w:val="single" w:sz="4" w:space="0" w:color="auto"/>
              <w:bottom w:val="nil"/>
            </w:tcBorders>
          </w:tcPr>
          <w:p w:rsidR="00212513" w:rsidRDefault="00212513">
            <w:pPr>
              <w:pStyle w:val="ConsPlusNormal"/>
            </w:pPr>
            <w:r>
              <w:lastRenderedPageBreak/>
              <w:t>Сжатые и сжато-растянутые элементы главных ферм; стойки опор; растянутые элементы поясов главных ферм</w:t>
            </w:r>
          </w:p>
        </w:tc>
        <w:tc>
          <w:tcPr>
            <w:tcW w:w="2153" w:type="dxa"/>
            <w:tcBorders>
              <w:top w:val="single" w:sz="4" w:space="0" w:color="auto"/>
              <w:bottom w:val="nil"/>
            </w:tcBorders>
          </w:tcPr>
          <w:p w:rsidR="00212513" w:rsidRDefault="00212513">
            <w:pPr>
              <w:pStyle w:val="ConsPlusNormal"/>
              <w:jc w:val="center"/>
            </w:pPr>
            <w:r>
              <w:t>100</w:t>
            </w:r>
          </w:p>
        </w:tc>
        <w:tc>
          <w:tcPr>
            <w:tcW w:w="2154" w:type="dxa"/>
            <w:tcBorders>
              <w:top w:val="single" w:sz="4" w:space="0" w:color="auto"/>
              <w:bottom w:val="nil"/>
            </w:tcBorders>
          </w:tcPr>
          <w:p w:rsidR="00212513" w:rsidRDefault="00212513">
            <w:pPr>
              <w:pStyle w:val="ConsPlusNormal"/>
              <w:jc w:val="center"/>
            </w:pPr>
            <w:r>
              <w:t>120</w:t>
            </w:r>
          </w:p>
        </w:tc>
      </w:tr>
      <w:tr w:rsidR="00212513">
        <w:tblPrEx>
          <w:tblBorders>
            <w:insideH w:val="none" w:sz="0" w:space="0" w:color="auto"/>
          </w:tblBorders>
        </w:tblPrEx>
        <w:tc>
          <w:tcPr>
            <w:tcW w:w="4762" w:type="dxa"/>
            <w:tcBorders>
              <w:top w:val="nil"/>
              <w:bottom w:val="nil"/>
            </w:tcBorders>
          </w:tcPr>
          <w:p w:rsidR="00212513" w:rsidRDefault="00212513">
            <w:pPr>
              <w:pStyle w:val="ConsPlusNormal"/>
            </w:pPr>
            <w:r>
              <w:t xml:space="preserve">Растянутые элементы главных ферм, кроме поясов; элементы, служащие для уменьшения расчетной длины </w:t>
            </w:r>
            <w:r>
              <w:rPr>
                <w:i/>
              </w:rPr>
              <w:t>l</w:t>
            </w:r>
            <w:r>
              <w:rPr>
                <w:i/>
                <w:vertAlign w:val="subscript"/>
              </w:rPr>
              <w:t>ef</w:t>
            </w:r>
          </w:p>
        </w:tc>
        <w:tc>
          <w:tcPr>
            <w:tcW w:w="2153" w:type="dxa"/>
            <w:tcBorders>
              <w:top w:val="nil"/>
              <w:bottom w:val="nil"/>
            </w:tcBorders>
          </w:tcPr>
          <w:p w:rsidR="00212513" w:rsidRDefault="00212513">
            <w:pPr>
              <w:pStyle w:val="ConsPlusNormal"/>
              <w:jc w:val="center"/>
            </w:pPr>
            <w:r>
              <w:t>150</w:t>
            </w:r>
          </w:p>
        </w:tc>
        <w:tc>
          <w:tcPr>
            <w:tcW w:w="2154" w:type="dxa"/>
            <w:tcBorders>
              <w:top w:val="nil"/>
              <w:bottom w:val="nil"/>
            </w:tcBorders>
          </w:tcPr>
          <w:p w:rsidR="00212513" w:rsidRDefault="00212513">
            <w:pPr>
              <w:pStyle w:val="ConsPlusNormal"/>
              <w:jc w:val="center"/>
            </w:pPr>
            <w:r>
              <w:t>150</w:t>
            </w:r>
          </w:p>
        </w:tc>
      </w:tr>
      <w:tr w:rsidR="00212513">
        <w:tblPrEx>
          <w:tblBorders>
            <w:insideH w:val="none" w:sz="0" w:space="0" w:color="auto"/>
          </w:tblBorders>
        </w:tblPrEx>
        <w:tc>
          <w:tcPr>
            <w:tcW w:w="4762" w:type="dxa"/>
            <w:tcBorders>
              <w:top w:val="nil"/>
              <w:bottom w:val="nil"/>
            </w:tcBorders>
          </w:tcPr>
          <w:p w:rsidR="00212513" w:rsidRDefault="00212513">
            <w:pPr>
              <w:pStyle w:val="ConsPlusNormal"/>
            </w:pPr>
            <w:r>
              <w:t>Сжатые элементы продольных связей главных ферм и продольных балок, а также тормозных связей</w:t>
            </w:r>
          </w:p>
        </w:tc>
        <w:tc>
          <w:tcPr>
            <w:tcW w:w="2153" w:type="dxa"/>
            <w:tcBorders>
              <w:top w:val="nil"/>
              <w:bottom w:val="nil"/>
            </w:tcBorders>
          </w:tcPr>
          <w:p w:rsidR="00212513" w:rsidRDefault="00212513">
            <w:pPr>
              <w:pStyle w:val="ConsPlusNormal"/>
              <w:jc w:val="center"/>
            </w:pPr>
            <w:r>
              <w:t>130</w:t>
            </w:r>
          </w:p>
        </w:tc>
        <w:tc>
          <w:tcPr>
            <w:tcW w:w="2154" w:type="dxa"/>
            <w:tcBorders>
              <w:top w:val="nil"/>
              <w:bottom w:val="nil"/>
            </w:tcBorders>
          </w:tcPr>
          <w:p w:rsidR="00212513" w:rsidRDefault="00212513">
            <w:pPr>
              <w:pStyle w:val="ConsPlusNormal"/>
              <w:jc w:val="center"/>
            </w:pPr>
            <w:r>
              <w:t>150</w:t>
            </w:r>
          </w:p>
        </w:tc>
      </w:tr>
      <w:tr w:rsidR="00212513">
        <w:tblPrEx>
          <w:tblBorders>
            <w:insideH w:val="none" w:sz="0" w:space="0" w:color="auto"/>
          </w:tblBorders>
        </w:tblPrEx>
        <w:tc>
          <w:tcPr>
            <w:tcW w:w="4762" w:type="dxa"/>
            <w:tcBorders>
              <w:top w:val="nil"/>
              <w:bottom w:val="nil"/>
            </w:tcBorders>
          </w:tcPr>
          <w:p w:rsidR="00212513" w:rsidRDefault="00212513">
            <w:pPr>
              <w:pStyle w:val="ConsPlusNormal"/>
            </w:pPr>
            <w:r>
              <w:t>То же, растянутые</w:t>
            </w:r>
          </w:p>
        </w:tc>
        <w:tc>
          <w:tcPr>
            <w:tcW w:w="2153" w:type="dxa"/>
            <w:tcBorders>
              <w:top w:val="nil"/>
              <w:bottom w:val="nil"/>
            </w:tcBorders>
          </w:tcPr>
          <w:p w:rsidR="00212513" w:rsidRDefault="00212513">
            <w:pPr>
              <w:pStyle w:val="ConsPlusNormal"/>
              <w:jc w:val="center"/>
            </w:pPr>
            <w:r>
              <w:t>130</w:t>
            </w:r>
          </w:p>
        </w:tc>
        <w:tc>
          <w:tcPr>
            <w:tcW w:w="2154" w:type="dxa"/>
            <w:tcBorders>
              <w:top w:val="nil"/>
              <w:bottom w:val="nil"/>
            </w:tcBorders>
          </w:tcPr>
          <w:p w:rsidR="00212513" w:rsidRDefault="00212513">
            <w:pPr>
              <w:pStyle w:val="ConsPlusNormal"/>
              <w:jc w:val="center"/>
            </w:pPr>
            <w:r>
              <w:t>180</w:t>
            </w:r>
          </w:p>
        </w:tc>
      </w:tr>
      <w:tr w:rsidR="00212513">
        <w:tblPrEx>
          <w:tblBorders>
            <w:insideH w:val="none" w:sz="0" w:space="0" w:color="auto"/>
          </w:tblBorders>
        </w:tblPrEx>
        <w:tc>
          <w:tcPr>
            <w:tcW w:w="4762" w:type="dxa"/>
            <w:tcBorders>
              <w:top w:val="nil"/>
              <w:bottom w:val="nil"/>
            </w:tcBorders>
          </w:tcPr>
          <w:p w:rsidR="00212513" w:rsidRDefault="00212513">
            <w:pPr>
              <w:pStyle w:val="ConsPlusNormal"/>
            </w:pPr>
            <w:r>
              <w:t>Элементы поперечных связей:</w:t>
            </w:r>
          </w:p>
        </w:tc>
        <w:tc>
          <w:tcPr>
            <w:tcW w:w="2153" w:type="dxa"/>
            <w:tcBorders>
              <w:top w:val="nil"/>
              <w:bottom w:val="nil"/>
            </w:tcBorders>
          </w:tcPr>
          <w:p w:rsidR="00212513" w:rsidRDefault="00212513">
            <w:pPr>
              <w:pStyle w:val="ConsPlusNormal"/>
              <w:jc w:val="both"/>
            </w:pPr>
          </w:p>
        </w:tc>
        <w:tc>
          <w:tcPr>
            <w:tcW w:w="2154"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4762" w:type="dxa"/>
            <w:tcBorders>
              <w:top w:val="nil"/>
              <w:bottom w:val="nil"/>
            </w:tcBorders>
          </w:tcPr>
          <w:p w:rsidR="00212513" w:rsidRDefault="00212513">
            <w:pPr>
              <w:pStyle w:val="ConsPlusNormal"/>
              <w:ind w:left="283"/>
            </w:pPr>
            <w:r>
              <w:t>на опоре</w:t>
            </w:r>
          </w:p>
        </w:tc>
        <w:tc>
          <w:tcPr>
            <w:tcW w:w="2153" w:type="dxa"/>
            <w:tcBorders>
              <w:top w:val="nil"/>
              <w:bottom w:val="nil"/>
            </w:tcBorders>
          </w:tcPr>
          <w:p w:rsidR="00212513" w:rsidRDefault="00212513">
            <w:pPr>
              <w:pStyle w:val="ConsPlusNormal"/>
              <w:jc w:val="center"/>
            </w:pPr>
            <w:r>
              <w:t>130</w:t>
            </w:r>
          </w:p>
        </w:tc>
        <w:tc>
          <w:tcPr>
            <w:tcW w:w="2154" w:type="dxa"/>
            <w:tcBorders>
              <w:top w:val="nil"/>
              <w:bottom w:val="nil"/>
            </w:tcBorders>
          </w:tcPr>
          <w:p w:rsidR="00212513" w:rsidRDefault="00212513">
            <w:pPr>
              <w:pStyle w:val="ConsPlusNormal"/>
              <w:jc w:val="center"/>
            </w:pPr>
            <w:r>
              <w:t>150</w:t>
            </w:r>
          </w:p>
        </w:tc>
      </w:tr>
      <w:tr w:rsidR="00212513">
        <w:tblPrEx>
          <w:tblBorders>
            <w:insideH w:val="none" w:sz="0" w:space="0" w:color="auto"/>
          </w:tblBorders>
        </w:tblPrEx>
        <w:tc>
          <w:tcPr>
            <w:tcW w:w="4762" w:type="dxa"/>
            <w:tcBorders>
              <w:top w:val="nil"/>
              <w:bottom w:val="nil"/>
            </w:tcBorders>
          </w:tcPr>
          <w:p w:rsidR="00212513" w:rsidRDefault="00212513">
            <w:pPr>
              <w:pStyle w:val="ConsPlusNormal"/>
              <w:ind w:left="283"/>
            </w:pPr>
            <w:r>
              <w:t>в пролете</w:t>
            </w:r>
          </w:p>
        </w:tc>
        <w:tc>
          <w:tcPr>
            <w:tcW w:w="2153" w:type="dxa"/>
            <w:tcBorders>
              <w:top w:val="nil"/>
              <w:bottom w:val="nil"/>
            </w:tcBorders>
          </w:tcPr>
          <w:p w:rsidR="00212513" w:rsidRDefault="00212513">
            <w:pPr>
              <w:pStyle w:val="ConsPlusNormal"/>
              <w:jc w:val="center"/>
            </w:pPr>
            <w:r>
              <w:t>150</w:t>
            </w:r>
          </w:p>
        </w:tc>
        <w:tc>
          <w:tcPr>
            <w:tcW w:w="2154" w:type="dxa"/>
            <w:tcBorders>
              <w:top w:val="nil"/>
              <w:bottom w:val="nil"/>
            </w:tcBorders>
          </w:tcPr>
          <w:p w:rsidR="00212513" w:rsidRDefault="00212513">
            <w:pPr>
              <w:pStyle w:val="ConsPlusNormal"/>
              <w:jc w:val="center"/>
            </w:pPr>
            <w:r>
              <w:t>150</w:t>
            </w:r>
          </w:p>
        </w:tc>
      </w:tr>
      <w:tr w:rsidR="00212513">
        <w:tblPrEx>
          <w:tblBorders>
            <w:insideH w:val="none" w:sz="0" w:space="0" w:color="auto"/>
          </w:tblBorders>
        </w:tblPrEx>
        <w:tc>
          <w:tcPr>
            <w:tcW w:w="4762" w:type="dxa"/>
            <w:tcBorders>
              <w:top w:val="nil"/>
              <w:bottom w:val="nil"/>
            </w:tcBorders>
          </w:tcPr>
          <w:p w:rsidR="00212513" w:rsidRDefault="00212513">
            <w:pPr>
              <w:pStyle w:val="ConsPlusNormal"/>
            </w:pPr>
            <w:r>
              <w:t>Пояса ферм поперечных связей, в уровне которых отсутствуют продольные связи, или плита, объединенная с поясами главных балок для совместной работы</w:t>
            </w:r>
          </w:p>
        </w:tc>
        <w:tc>
          <w:tcPr>
            <w:tcW w:w="2153" w:type="dxa"/>
            <w:tcBorders>
              <w:top w:val="nil"/>
              <w:bottom w:val="nil"/>
            </w:tcBorders>
          </w:tcPr>
          <w:p w:rsidR="00212513" w:rsidRDefault="00212513">
            <w:pPr>
              <w:pStyle w:val="ConsPlusNormal"/>
              <w:jc w:val="center"/>
            </w:pPr>
            <w:r>
              <w:t>100</w:t>
            </w:r>
          </w:p>
        </w:tc>
        <w:tc>
          <w:tcPr>
            <w:tcW w:w="2154" w:type="dxa"/>
            <w:tcBorders>
              <w:top w:val="nil"/>
              <w:bottom w:val="nil"/>
            </w:tcBorders>
          </w:tcPr>
          <w:p w:rsidR="00212513" w:rsidRDefault="00212513">
            <w:pPr>
              <w:pStyle w:val="ConsPlusNormal"/>
              <w:jc w:val="center"/>
            </w:pPr>
            <w:r>
              <w:t>100</w:t>
            </w:r>
          </w:p>
        </w:tc>
      </w:tr>
      <w:tr w:rsidR="00212513">
        <w:tblPrEx>
          <w:tblBorders>
            <w:insideH w:val="none" w:sz="0" w:space="0" w:color="auto"/>
          </w:tblBorders>
        </w:tblPrEx>
        <w:tc>
          <w:tcPr>
            <w:tcW w:w="4762" w:type="dxa"/>
            <w:tcBorders>
              <w:top w:val="nil"/>
              <w:bottom w:val="nil"/>
            </w:tcBorders>
          </w:tcPr>
          <w:p w:rsidR="00212513" w:rsidRDefault="00212513">
            <w:pPr>
              <w:pStyle w:val="ConsPlusNormal"/>
            </w:pPr>
            <w:r>
              <w:t>Ветви составного сжатого или сжато-растянутого элемента</w:t>
            </w:r>
          </w:p>
        </w:tc>
        <w:tc>
          <w:tcPr>
            <w:tcW w:w="2153" w:type="dxa"/>
            <w:tcBorders>
              <w:top w:val="nil"/>
              <w:bottom w:val="nil"/>
            </w:tcBorders>
          </w:tcPr>
          <w:p w:rsidR="00212513" w:rsidRDefault="00212513">
            <w:pPr>
              <w:pStyle w:val="ConsPlusNormal"/>
              <w:jc w:val="center"/>
            </w:pPr>
            <w:r>
              <w:t>40</w:t>
            </w:r>
          </w:p>
        </w:tc>
        <w:tc>
          <w:tcPr>
            <w:tcW w:w="2154" w:type="dxa"/>
            <w:tcBorders>
              <w:top w:val="nil"/>
              <w:bottom w:val="nil"/>
            </w:tcBorders>
          </w:tcPr>
          <w:p w:rsidR="00212513" w:rsidRDefault="00212513">
            <w:pPr>
              <w:pStyle w:val="ConsPlusNormal"/>
              <w:jc w:val="center"/>
            </w:pPr>
            <w:r>
              <w:t>40</w:t>
            </w:r>
          </w:p>
        </w:tc>
      </w:tr>
      <w:tr w:rsidR="00212513">
        <w:tblPrEx>
          <w:tblBorders>
            <w:insideH w:val="none" w:sz="0" w:space="0" w:color="auto"/>
          </w:tblBorders>
        </w:tblPrEx>
        <w:tc>
          <w:tcPr>
            <w:tcW w:w="4762" w:type="dxa"/>
            <w:tcBorders>
              <w:top w:val="nil"/>
              <w:bottom w:val="single" w:sz="4" w:space="0" w:color="auto"/>
            </w:tcBorders>
          </w:tcPr>
          <w:p w:rsidR="00212513" w:rsidRDefault="00212513">
            <w:pPr>
              <w:pStyle w:val="ConsPlusNormal"/>
            </w:pPr>
            <w:r>
              <w:t>То же, растянутого</w:t>
            </w:r>
          </w:p>
        </w:tc>
        <w:tc>
          <w:tcPr>
            <w:tcW w:w="2153" w:type="dxa"/>
            <w:tcBorders>
              <w:top w:val="nil"/>
              <w:bottom w:val="single" w:sz="4" w:space="0" w:color="auto"/>
            </w:tcBorders>
          </w:tcPr>
          <w:p w:rsidR="00212513" w:rsidRDefault="00212513">
            <w:pPr>
              <w:pStyle w:val="ConsPlusNormal"/>
              <w:jc w:val="center"/>
            </w:pPr>
            <w:r>
              <w:t>50</w:t>
            </w:r>
          </w:p>
        </w:tc>
        <w:tc>
          <w:tcPr>
            <w:tcW w:w="2154" w:type="dxa"/>
            <w:tcBorders>
              <w:top w:val="nil"/>
              <w:bottom w:val="single" w:sz="4" w:space="0" w:color="auto"/>
            </w:tcBorders>
          </w:tcPr>
          <w:p w:rsidR="00212513" w:rsidRDefault="00212513">
            <w:pPr>
              <w:pStyle w:val="ConsPlusNormal"/>
              <w:jc w:val="center"/>
            </w:pPr>
            <w:r>
              <w:t>50</w:t>
            </w:r>
          </w:p>
        </w:tc>
      </w:tr>
    </w:tbl>
    <w:p w:rsidR="00212513" w:rsidRDefault="00212513">
      <w:pPr>
        <w:pStyle w:val="ConsPlusNormal"/>
        <w:ind w:firstLine="540"/>
        <w:jc w:val="both"/>
      </w:pPr>
    </w:p>
    <w:p w:rsidR="00212513" w:rsidRDefault="00212513">
      <w:pPr>
        <w:pStyle w:val="ConsPlusTitle"/>
        <w:ind w:firstLine="540"/>
        <w:jc w:val="both"/>
        <w:outlineLvl w:val="2"/>
      </w:pPr>
      <w:r>
        <w:t>Расчет на выносливость элементов стальных конструкций и их соединений</w:t>
      </w:r>
    </w:p>
    <w:p w:rsidR="00212513" w:rsidRDefault="00212513">
      <w:pPr>
        <w:pStyle w:val="ConsPlusNormal"/>
        <w:ind w:firstLine="540"/>
        <w:jc w:val="both"/>
      </w:pPr>
    </w:p>
    <w:p w:rsidR="00212513" w:rsidRDefault="00212513">
      <w:pPr>
        <w:pStyle w:val="ConsPlusNormal"/>
        <w:ind w:firstLine="540"/>
        <w:jc w:val="both"/>
      </w:pPr>
      <w:bookmarkStart w:id="355" w:name="P8121"/>
      <w:bookmarkEnd w:id="355"/>
      <w:r>
        <w:t>8.57 Расчет на выносливость элементов стальных конструкций и их соединений (кроме канатов) следует выполнять по формулам:</w:t>
      </w:r>
    </w:p>
    <w:p w:rsidR="00212513" w:rsidRDefault="00212513">
      <w:pPr>
        <w:pStyle w:val="ConsPlusNormal"/>
        <w:ind w:firstLine="540"/>
        <w:jc w:val="both"/>
      </w:pPr>
    </w:p>
    <w:p w:rsidR="00212513" w:rsidRDefault="00212513">
      <w:pPr>
        <w:pStyle w:val="ConsPlusNormal"/>
        <w:jc w:val="center"/>
      </w:pPr>
      <w:bookmarkStart w:id="356" w:name="P8123"/>
      <w:bookmarkEnd w:id="356"/>
      <w:r>
        <w:rPr>
          <w:noProof/>
          <w:position w:val="-9"/>
        </w:rPr>
        <w:drawing>
          <wp:inline distT="0" distB="0" distL="0" distR="0">
            <wp:extent cx="1064895" cy="262890"/>
            <wp:effectExtent l="0" t="0" r="0" b="0"/>
            <wp:docPr id="1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9" cstate="print">
                      <a:extLst>
                        <a:ext uri="{28A0092B-C50C-407E-A947-70E740481C1C}">
                          <a14:useLocalDpi xmlns:a14="http://schemas.microsoft.com/office/drawing/2010/main" val="0"/>
                        </a:ext>
                      </a:extLst>
                    </a:blip>
                    <a:srcRect/>
                    <a:stretch>
                      <a:fillRect/>
                    </a:stretch>
                  </pic:blipFill>
                  <pic:spPr bwMode="auto">
                    <a:xfrm>
                      <a:off x="0" y="0"/>
                      <a:ext cx="1064895" cy="262890"/>
                    </a:xfrm>
                    <a:prstGeom prst="rect">
                      <a:avLst/>
                    </a:prstGeom>
                    <a:noFill/>
                    <a:ln>
                      <a:noFill/>
                    </a:ln>
                  </pic:spPr>
                </pic:pic>
              </a:graphicData>
            </a:graphic>
          </wp:inline>
        </w:drawing>
      </w:r>
      <w:r>
        <w:t>; (8.63)</w:t>
      </w:r>
    </w:p>
    <w:p w:rsidR="00212513" w:rsidRDefault="00212513">
      <w:pPr>
        <w:pStyle w:val="ConsPlusNormal"/>
        <w:jc w:val="center"/>
      </w:pPr>
    </w:p>
    <w:p w:rsidR="00212513" w:rsidRDefault="00212513">
      <w:pPr>
        <w:pStyle w:val="ConsPlusNormal"/>
        <w:jc w:val="center"/>
      </w:pPr>
      <w:bookmarkStart w:id="357" w:name="P8125"/>
      <w:bookmarkEnd w:id="357"/>
      <w:r>
        <w:rPr>
          <w:noProof/>
          <w:position w:val="-9"/>
        </w:rPr>
        <w:drawing>
          <wp:inline distT="0" distB="0" distL="0" distR="0">
            <wp:extent cx="1340485" cy="262890"/>
            <wp:effectExtent l="0" t="0" r="0" b="0"/>
            <wp:docPr id="1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0" cstate="print">
                      <a:extLst>
                        <a:ext uri="{28A0092B-C50C-407E-A947-70E740481C1C}">
                          <a14:useLocalDpi xmlns:a14="http://schemas.microsoft.com/office/drawing/2010/main" val="0"/>
                        </a:ext>
                      </a:extLst>
                    </a:blip>
                    <a:srcRect/>
                    <a:stretch>
                      <a:fillRect/>
                    </a:stretch>
                  </pic:blipFill>
                  <pic:spPr bwMode="auto">
                    <a:xfrm>
                      <a:off x="0" y="0"/>
                      <a:ext cx="1340485" cy="262890"/>
                    </a:xfrm>
                    <a:prstGeom prst="rect">
                      <a:avLst/>
                    </a:prstGeom>
                    <a:noFill/>
                    <a:ln>
                      <a:noFill/>
                    </a:ln>
                  </pic:spPr>
                </pic:pic>
              </a:graphicData>
            </a:graphic>
          </wp:inline>
        </w:drawing>
      </w:r>
      <w:r>
        <w:t>, (8.64)</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9"/>
        </w:rPr>
        <w:drawing>
          <wp:inline distT="0" distB="0" distL="0" distR="0">
            <wp:extent cx="450850" cy="262890"/>
            <wp:effectExtent l="0" t="0" r="0" b="0"/>
            <wp:docPr id="1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1" cstate="print">
                      <a:extLst>
                        <a:ext uri="{28A0092B-C50C-407E-A947-70E740481C1C}">
                          <a14:useLocalDpi xmlns:a14="http://schemas.microsoft.com/office/drawing/2010/main" val="0"/>
                        </a:ext>
                      </a:extLst>
                    </a:blip>
                    <a:srcRect/>
                    <a:stretch>
                      <a:fillRect/>
                    </a:stretch>
                  </pic:blipFill>
                  <pic:spPr bwMode="auto">
                    <a:xfrm>
                      <a:off x="0" y="0"/>
                      <a:ext cx="450850" cy="262890"/>
                    </a:xfrm>
                    <a:prstGeom prst="rect">
                      <a:avLst/>
                    </a:prstGeom>
                    <a:noFill/>
                    <a:ln>
                      <a:noFill/>
                    </a:ln>
                  </pic:spPr>
                </pic:pic>
              </a:graphicData>
            </a:graphic>
          </wp:inline>
        </w:drawing>
      </w:r>
      <w:r>
        <w:t xml:space="preserve"> - абсолютное наибольшее нормальное напряжение (растягивающее - положительное);</w:t>
      </w:r>
    </w:p>
    <w:p w:rsidR="00212513" w:rsidRDefault="00212513">
      <w:pPr>
        <w:pStyle w:val="ConsPlusNormal"/>
        <w:spacing w:before="220"/>
        <w:ind w:firstLine="540"/>
        <w:jc w:val="both"/>
      </w:pPr>
      <w:r>
        <w:rPr>
          <w:noProof/>
          <w:position w:val="-9"/>
        </w:rPr>
        <w:drawing>
          <wp:inline distT="0" distB="0" distL="0" distR="0">
            <wp:extent cx="419100" cy="262890"/>
            <wp:effectExtent l="0" t="0" r="0" b="0"/>
            <wp:docPr id="1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2" cstate="print">
                      <a:extLst>
                        <a:ext uri="{28A0092B-C50C-407E-A947-70E740481C1C}">
                          <a14:useLocalDpi xmlns:a14="http://schemas.microsoft.com/office/drawing/2010/main" val="0"/>
                        </a:ext>
                      </a:extLst>
                    </a:blip>
                    <a:srcRect/>
                    <a:stretch>
                      <a:fillRect/>
                    </a:stretch>
                  </pic:blipFill>
                  <pic:spPr bwMode="auto">
                    <a:xfrm>
                      <a:off x="0" y="0"/>
                      <a:ext cx="419100" cy="262890"/>
                    </a:xfrm>
                    <a:prstGeom prst="rect">
                      <a:avLst/>
                    </a:prstGeom>
                    <a:noFill/>
                    <a:ln>
                      <a:noFill/>
                    </a:ln>
                  </pic:spPr>
                </pic:pic>
              </a:graphicData>
            </a:graphic>
          </wp:inline>
        </w:drawing>
      </w:r>
      <w:r>
        <w:t xml:space="preserve"> - абсолютное наибольшее скалывающее напряжение при расчете угловых швов на срез (его направление принимается за положительное);</w:t>
      </w:r>
    </w:p>
    <w:p w:rsidR="00212513" w:rsidRDefault="00212513">
      <w:pPr>
        <w:pStyle w:val="ConsPlusNormal"/>
        <w:spacing w:before="220"/>
        <w:ind w:firstLine="540"/>
        <w:jc w:val="both"/>
      </w:pPr>
      <w:r>
        <w:rPr>
          <w:noProof/>
          <w:position w:val="-8"/>
        </w:rPr>
        <w:drawing>
          <wp:inline distT="0" distB="0" distL="0" distR="0">
            <wp:extent cx="209550" cy="251460"/>
            <wp:effectExtent l="0" t="0" r="0" b="0"/>
            <wp:docPr id="1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w:t>
      </w:r>
    </w:p>
    <w:p w:rsidR="00212513" w:rsidRDefault="00212513">
      <w:pPr>
        <w:pStyle w:val="ConsPlusNormal"/>
        <w:spacing w:before="220"/>
        <w:ind w:firstLine="540"/>
        <w:jc w:val="both"/>
      </w:pPr>
      <w:r>
        <w:rPr>
          <w:i/>
        </w:rPr>
        <w:t>m</w:t>
      </w:r>
      <w:r>
        <w:t xml:space="preserve"> - коэффициент условий работы, принимаемый по </w:t>
      </w:r>
      <w:hyperlink w:anchor="P6905">
        <w:r>
          <w:rPr>
            <w:color w:val="0000FF"/>
          </w:rPr>
          <w:t>таблице 8.15</w:t>
        </w:r>
      </w:hyperlink>
      <w:r>
        <w:t>.</w:t>
      </w:r>
    </w:p>
    <w:p w:rsidR="00212513" w:rsidRDefault="00212513">
      <w:pPr>
        <w:pStyle w:val="ConsPlusNormal"/>
        <w:spacing w:before="220"/>
        <w:ind w:firstLine="540"/>
        <w:jc w:val="both"/>
      </w:pPr>
      <w:r>
        <w:t xml:space="preserve">Напряжения </w:t>
      </w:r>
      <w:r>
        <w:rPr>
          <w:noProof/>
          <w:position w:val="-9"/>
        </w:rPr>
        <w:drawing>
          <wp:inline distT="0" distB="0" distL="0" distR="0">
            <wp:extent cx="450850" cy="262890"/>
            <wp:effectExtent l="0" t="0" r="0" b="0"/>
            <wp:docPr id="1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1" cstate="print">
                      <a:extLst>
                        <a:ext uri="{28A0092B-C50C-407E-A947-70E740481C1C}">
                          <a14:useLocalDpi xmlns:a14="http://schemas.microsoft.com/office/drawing/2010/main" val="0"/>
                        </a:ext>
                      </a:extLst>
                    </a:blip>
                    <a:srcRect/>
                    <a:stretch>
                      <a:fillRect/>
                    </a:stretch>
                  </pic:blipFill>
                  <pic:spPr bwMode="auto">
                    <a:xfrm>
                      <a:off x="0" y="0"/>
                      <a:ext cx="450850" cy="262890"/>
                    </a:xfrm>
                    <a:prstGeom prst="rect">
                      <a:avLst/>
                    </a:prstGeom>
                    <a:noFill/>
                    <a:ln>
                      <a:noFill/>
                    </a:ln>
                  </pic:spPr>
                </pic:pic>
              </a:graphicData>
            </a:graphic>
          </wp:inline>
        </w:drawing>
      </w:r>
      <w:r>
        <w:t xml:space="preserve"> и </w:t>
      </w:r>
      <w:r>
        <w:rPr>
          <w:noProof/>
          <w:position w:val="-9"/>
        </w:rPr>
        <w:drawing>
          <wp:inline distT="0" distB="0" distL="0" distR="0">
            <wp:extent cx="419100" cy="262890"/>
            <wp:effectExtent l="0" t="0" r="0" b="0"/>
            <wp:docPr id="1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2" cstate="print">
                      <a:extLst>
                        <a:ext uri="{28A0092B-C50C-407E-A947-70E740481C1C}">
                          <a14:useLocalDpi xmlns:a14="http://schemas.microsoft.com/office/drawing/2010/main" val="0"/>
                        </a:ext>
                      </a:extLst>
                    </a:blip>
                    <a:srcRect/>
                    <a:stretch>
                      <a:fillRect/>
                    </a:stretch>
                  </pic:blipFill>
                  <pic:spPr bwMode="auto">
                    <a:xfrm>
                      <a:off x="0" y="0"/>
                      <a:ext cx="419100" cy="262890"/>
                    </a:xfrm>
                    <a:prstGeom prst="rect">
                      <a:avLst/>
                    </a:prstGeom>
                    <a:noFill/>
                    <a:ln>
                      <a:noFill/>
                    </a:ln>
                  </pic:spPr>
                </pic:pic>
              </a:graphicData>
            </a:graphic>
          </wp:inline>
        </w:drawing>
      </w:r>
      <w:r>
        <w:t xml:space="preserve"> следует определять соответственно по формулам таблицы 8.32 и </w:t>
      </w:r>
      <w:hyperlink w:anchor="P8583">
        <w:r>
          <w:rPr>
            <w:color w:val="0000FF"/>
          </w:rPr>
          <w:t>формулам (8.85)</w:t>
        </w:r>
      </w:hyperlink>
      <w:r>
        <w:t xml:space="preserve"> - </w:t>
      </w:r>
      <w:hyperlink w:anchor="P8657">
        <w:r>
          <w:rPr>
            <w:color w:val="0000FF"/>
          </w:rPr>
          <w:t>(8.96)</w:t>
        </w:r>
      </w:hyperlink>
      <w:r>
        <w:t xml:space="preserve"> от нагрузок, указанных в </w:t>
      </w:r>
      <w:hyperlink w:anchor="P882">
        <w:r>
          <w:rPr>
            <w:color w:val="0000FF"/>
          </w:rPr>
          <w:t>6.1</w:t>
        </w:r>
      </w:hyperlink>
      <w:r>
        <w:t xml:space="preserve"> - </w:t>
      </w:r>
      <w:hyperlink w:anchor="P974">
        <w:r>
          <w:rPr>
            <w:color w:val="0000FF"/>
          </w:rPr>
          <w:t>6.3</w:t>
        </w:r>
      </w:hyperlink>
      <w:r>
        <w:t>.</w:t>
      </w:r>
    </w:p>
    <w:p w:rsidR="00212513" w:rsidRDefault="00212513">
      <w:pPr>
        <w:pStyle w:val="ConsPlusNormal"/>
        <w:ind w:firstLine="540"/>
        <w:jc w:val="both"/>
      </w:pPr>
    </w:p>
    <w:p w:rsidR="00212513" w:rsidRDefault="00212513">
      <w:pPr>
        <w:pStyle w:val="ConsPlusNormal"/>
        <w:jc w:val="right"/>
      </w:pPr>
      <w:bookmarkStart w:id="358" w:name="P8133"/>
      <w:bookmarkEnd w:id="358"/>
      <w:r>
        <w:t>Таблица 8.32</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2"/>
        <w:gridCol w:w="3912"/>
      </w:tblGrid>
      <w:tr w:rsidR="00212513">
        <w:tc>
          <w:tcPr>
            <w:tcW w:w="5102" w:type="dxa"/>
            <w:vAlign w:val="center"/>
          </w:tcPr>
          <w:p w:rsidR="00212513" w:rsidRDefault="00212513">
            <w:pPr>
              <w:pStyle w:val="ConsPlusNormal"/>
              <w:jc w:val="center"/>
            </w:pPr>
            <w:r>
              <w:t>Напряженное состояние</w:t>
            </w:r>
          </w:p>
        </w:tc>
        <w:tc>
          <w:tcPr>
            <w:tcW w:w="3912" w:type="dxa"/>
            <w:vAlign w:val="center"/>
          </w:tcPr>
          <w:p w:rsidR="00212513" w:rsidRDefault="00212513">
            <w:pPr>
              <w:pStyle w:val="ConsPlusNormal"/>
              <w:jc w:val="center"/>
            </w:pPr>
            <w:r>
              <w:t>Формулы для определения </w:t>
            </w:r>
            <w:r>
              <w:rPr>
                <w:noProof/>
                <w:position w:val="-9"/>
              </w:rPr>
              <w:drawing>
                <wp:inline distT="0" distB="0" distL="0" distR="0">
                  <wp:extent cx="450850" cy="262890"/>
                  <wp:effectExtent l="0" t="0" r="0" b="0"/>
                  <wp:docPr id="1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4" cstate="print">
                            <a:extLst>
                              <a:ext uri="{28A0092B-C50C-407E-A947-70E740481C1C}">
                                <a14:useLocalDpi xmlns:a14="http://schemas.microsoft.com/office/drawing/2010/main" val="0"/>
                              </a:ext>
                            </a:extLst>
                          </a:blip>
                          <a:srcRect/>
                          <a:stretch>
                            <a:fillRect/>
                          </a:stretch>
                        </pic:blipFill>
                        <pic:spPr bwMode="auto">
                          <a:xfrm>
                            <a:off x="0" y="0"/>
                            <a:ext cx="450850" cy="262890"/>
                          </a:xfrm>
                          <a:prstGeom prst="rect">
                            <a:avLst/>
                          </a:prstGeom>
                          <a:noFill/>
                          <a:ln>
                            <a:noFill/>
                          </a:ln>
                        </pic:spPr>
                      </pic:pic>
                    </a:graphicData>
                  </a:graphic>
                </wp:inline>
              </w:drawing>
            </w:r>
          </w:p>
        </w:tc>
      </w:tr>
      <w:tr w:rsidR="00212513">
        <w:tc>
          <w:tcPr>
            <w:tcW w:w="5102" w:type="dxa"/>
          </w:tcPr>
          <w:p w:rsidR="00212513" w:rsidRDefault="00212513">
            <w:pPr>
              <w:pStyle w:val="ConsPlusNormal"/>
            </w:pPr>
            <w:r>
              <w:t>Растяжение или сжатие</w:t>
            </w:r>
          </w:p>
        </w:tc>
        <w:tc>
          <w:tcPr>
            <w:tcW w:w="3912" w:type="dxa"/>
          </w:tcPr>
          <w:p w:rsidR="00212513" w:rsidRDefault="00212513">
            <w:pPr>
              <w:pStyle w:val="ConsPlusNormal"/>
              <w:jc w:val="center"/>
            </w:pPr>
            <w:r>
              <w:rPr>
                <w:noProof/>
                <w:position w:val="-26"/>
              </w:rPr>
              <w:drawing>
                <wp:inline distT="0" distB="0" distL="0" distR="0">
                  <wp:extent cx="251460" cy="470535"/>
                  <wp:effectExtent l="0" t="0" r="0" b="0"/>
                  <wp:docPr id="1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5" cstate="print">
                            <a:extLst>
                              <a:ext uri="{28A0092B-C50C-407E-A947-70E740481C1C}">
                                <a14:useLocalDpi xmlns:a14="http://schemas.microsoft.com/office/drawing/2010/main" val="0"/>
                              </a:ext>
                            </a:extLst>
                          </a:blip>
                          <a:srcRect/>
                          <a:stretch>
                            <a:fillRect/>
                          </a:stretch>
                        </pic:blipFill>
                        <pic:spPr bwMode="auto">
                          <a:xfrm>
                            <a:off x="0" y="0"/>
                            <a:ext cx="251460" cy="470535"/>
                          </a:xfrm>
                          <a:prstGeom prst="rect">
                            <a:avLst/>
                          </a:prstGeom>
                          <a:noFill/>
                          <a:ln>
                            <a:noFill/>
                          </a:ln>
                        </pic:spPr>
                      </pic:pic>
                    </a:graphicData>
                  </a:graphic>
                </wp:inline>
              </w:drawing>
            </w:r>
          </w:p>
        </w:tc>
      </w:tr>
      <w:tr w:rsidR="00212513">
        <w:tc>
          <w:tcPr>
            <w:tcW w:w="5102" w:type="dxa"/>
          </w:tcPr>
          <w:p w:rsidR="00212513" w:rsidRDefault="00212513">
            <w:pPr>
              <w:pStyle w:val="ConsPlusNormal"/>
            </w:pPr>
            <w:r>
              <w:t>Изгиб в одной из главных плоскостей</w:t>
            </w:r>
          </w:p>
        </w:tc>
        <w:tc>
          <w:tcPr>
            <w:tcW w:w="3912" w:type="dxa"/>
          </w:tcPr>
          <w:p w:rsidR="00212513" w:rsidRDefault="00212513">
            <w:pPr>
              <w:pStyle w:val="ConsPlusNormal"/>
              <w:jc w:val="center"/>
            </w:pPr>
            <w:r>
              <w:rPr>
                <w:noProof/>
                <w:position w:val="-26"/>
              </w:rPr>
              <w:drawing>
                <wp:inline distT="0" distB="0" distL="0" distR="0">
                  <wp:extent cx="428625" cy="470535"/>
                  <wp:effectExtent l="0" t="0" r="0" b="0"/>
                  <wp:docPr id="1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428625" cy="470535"/>
                          </a:xfrm>
                          <a:prstGeom prst="rect">
                            <a:avLst/>
                          </a:prstGeom>
                          <a:noFill/>
                          <a:ln>
                            <a:noFill/>
                          </a:ln>
                        </pic:spPr>
                      </pic:pic>
                    </a:graphicData>
                  </a:graphic>
                </wp:inline>
              </w:drawing>
            </w:r>
          </w:p>
        </w:tc>
      </w:tr>
      <w:tr w:rsidR="00212513">
        <w:tc>
          <w:tcPr>
            <w:tcW w:w="5102" w:type="dxa"/>
          </w:tcPr>
          <w:p w:rsidR="00212513" w:rsidRDefault="00212513">
            <w:pPr>
              <w:pStyle w:val="ConsPlusNormal"/>
            </w:pPr>
            <w:r>
              <w:t>Растяжение или сжатие с изгибом в одной из главных плоскостей</w:t>
            </w:r>
          </w:p>
        </w:tc>
        <w:tc>
          <w:tcPr>
            <w:tcW w:w="3912" w:type="dxa"/>
          </w:tcPr>
          <w:p w:rsidR="00212513" w:rsidRDefault="00212513">
            <w:pPr>
              <w:pStyle w:val="ConsPlusNormal"/>
              <w:jc w:val="center"/>
            </w:pPr>
            <w:r>
              <w:rPr>
                <w:noProof/>
                <w:position w:val="-26"/>
              </w:rPr>
              <w:drawing>
                <wp:inline distT="0" distB="0" distL="0" distR="0">
                  <wp:extent cx="774700" cy="470535"/>
                  <wp:effectExtent l="0" t="0" r="0" b="0"/>
                  <wp:docPr id="1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7" cstate="print">
                            <a:extLst>
                              <a:ext uri="{28A0092B-C50C-407E-A947-70E740481C1C}">
                                <a14:useLocalDpi xmlns:a14="http://schemas.microsoft.com/office/drawing/2010/main" val="0"/>
                              </a:ext>
                            </a:extLst>
                          </a:blip>
                          <a:srcRect/>
                          <a:stretch>
                            <a:fillRect/>
                          </a:stretch>
                        </pic:blipFill>
                        <pic:spPr bwMode="auto">
                          <a:xfrm>
                            <a:off x="0" y="0"/>
                            <a:ext cx="774700" cy="470535"/>
                          </a:xfrm>
                          <a:prstGeom prst="rect">
                            <a:avLst/>
                          </a:prstGeom>
                          <a:noFill/>
                          <a:ln>
                            <a:noFill/>
                          </a:ln>
                        </pic:spPr>
                      </pic:pic>
                    </a:graphicData>
                  </a:graphic>
                </wp:inline>
              </w:drawing>
            </w:r>
          </w:p>
        </w:tc>
      </w:tr>
      <w:tr w:rsidR="00212513">
        <w:tc>
          <w:tcPr>
            <w:tcW w:w="5102" w:type="dxa"/>
          </w:tcPr>
          <w:p w:rsidR="00212513" w:rsidRDefault="00212513">
            <w:pPr>
              <w:pStyle w:val="ConsPlusNormal"/>
            </w:pPr>
            <w:r>
              <w:t>Изгиб в двух главных плоскостях</w:t>
            </w:r>
          </w:p>
        </w:tc>
        <w:tc>
          <w:tcPr>
            <w:tcW w:w="3912" w:type="dxa"/>
          </w:tcPr>
          <w:p w:rsidR="00212513" w:rsidRDefault="00212513">
            <w:pPr>
              <w:pStyle w:val="ConsPlusNormal"/>
              <w:jc w:val="center"/>
            </w:pPr>
            <w:r>
              <w:rPr>
                <w:noProof/>
                <w:position w:val="-29"/>
              </w:rPr>
              <w:drawing>
                <wp:inline distT="0" distB="0" distL="0" distR="0">
                  <wp:extent cx="1023620" cy="511810"/>
                  <wp:effectExtent l="0" t="0" r="0" b="0"/>
                  <wp:docPr id="1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8" cstate="print">
                            <a:extLst>
                              <a:ext uri="{28A0092B-C50C-407E-A947-70E740481C1C}">
                                <a14:useLocalDpi xmlns:a14="http://schemas.microsoft.com/office/drawing/2010/main" val="0"/>
                              </a:ext>
                            </a:extLst>
                          </a:blip>
                          <a:srcRect/>
                          <a:stretch>
                            <a:fillRect/>
                          </a:stretch>
                        </pic:blipFill>
                        <pic:spPr bwMode="auto">
                          <a:xfrm>
                            <a:off x="0" y="0"/>
                            <a:ext cx="1023620" cy="511810"/>
                          </a:xfrm>
                          <a:prstGeom prst="rect">
                            <a:avLst/>
                          </a:prstGeom>
                          <a:noFill/>
                          <a:ln>
                            <a:noFill/>
                          </a:ln>
                        </pic:spPr>
                      </pic:pic>
                    </a:graphicData>
                  </a:graphic>
                </wp:inline>
              </w:drawing>
            </w:r>
          </w:p>
        </w:tc>
      </w:tr>
      <w:tr w:rsidR="00212513">
        <w:tc>
          <w:tcPr>
            <w:tcW w:w="5102" w:type="dxa"/>
          </w:tcPr>
          <w:p w:rsidR="00212513" w:rsidRDefault="00212513">
            <w:pPr>
              <w:pStyle w:val="ConsPlusNormal"/>
            </w:pPr>
            <w:r>
              <w:t>Растяжение или сжатие с изгибом в двух главных плоскостях</w:t>
            </w:r>
          </w:p>
        </w:tc>
        <w:tc>
          <w:tcPr>
            <w:tcW w:w="3912" w:type="dxa"/>
          </w:tcPr>
          <w:p w:rsidR="00212513" w:rsidRDefault="00212513">
            <w:pPr>
              <w:pStyle w:val="ConsPlusNormal"/>
              <w:jc w:val="center"/>
            </w:pPr>
            <w:r>
              <w:rPr>
                <w:noProof/>
                <w:position w:val="-32"/>
              </w:rPr>
              <w:drawing>
                <wp:inline distT="0" distB="0" distL="0" distR="0">
                  <wp:extent cx="1550670" cy="553085"/>
                  <wp:effectExtent l="0" t="0" r="0" b="0"/>
                  <wp:docPr id="1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9" cstate="print">
                            <a:extLst>
                              <a:ext uri="{28A0092B-C50C-407E-A947-70E740481C1C}">
                                <a14:useLocalDpi xmlns:a14="http://schemas.microsoft.com/office/drawing/2010/main" val="0"/>
                              </a:ext>
                            </a:extLst>
                          </a:blip>
                          <a:srcRect/>
                          <a:stretch>
                            <a:fillRect/>
                          </a:stretch>
                        </pic:blipFill>
                        <pic:spPr bwMode="auto">
                          <a:xfrm>
                            <a:off x="0" y="0"/>
                            <a:ext cx="1550670" cy="553085"/>
                          </a:xfrm>
                          <a:prstGeom prst="rect">
                            <a:avLst/>
                          </a:prstGeom>
                          <a:noFill/>
                          <a:ln>
                            <a:noFill/>
                          </a:ln>
                        </pic:spPr>
                      </pic:pic>
                    </a:graphicData>
                  </a:graphic>
                </wp:inline>
              </w:drawing>
            </w:r>
          </w:p>
        </w:tc>
      </w:tr>
      <w:tr w:rsidR="00212513">
        <w:tblPrEx>
          <w:tblBorders>
            <w:insideH w:val="nil"/>
          </w:tblBorders>
        </w:tblPrEx>
        <w:tc>
          <w:tcPr>
            <w:tcW w:w="9014" w:type="dxa"/>
            <w:gridSpan w:val="2"/>
            <w:tcBorders>
              <w:bottom w:val="nil"/>
            </w:tcBorders>
          </w:tcPr>
          <w:p w:rsidR="00212513" w:rsidRDefault="00212513">
            <w:pPr>
              <w:pStyle w:val="ConsPlusNormal"/>
              <w:ind w:firstLine="283"/>
              <w:jc w:val="both"/>
            </w:pPr>
            <w:r>
              <w:t xml:space="preserve">Обозначения, принятые в </w:t>
            </w:r>
            <w:hyperlink w:anchor="P8133">
              <w:r>
                <w:rPr>
                  <w:color w:val="0000FF"/>
                </w:rPr>
                <w:t>таблице 8.32</w:t>
              </w:r>
            </w:hyperlink>
            <w:r>
              <w:t>:</w:t>
            </w:r>
          </w:p>
          <w:p w:rsidR="00212513" w:rsidRDefault="00212513">
            <w:pPr>
              <w:pStyle w:val="ConsPlusNormal"/>
              <w:ind w:firstLine="283"/>
              <w:jc w:val="both"/>
            </w:pPr>
            <w:r>
              <w:rPr>
                <w:i/>
              </w:rPr>
              <w:t>M</w:t>
            </w:r>
            <w:r>
              <w:t xml:space="preserve">, </w:t>
            </w:r>
            <w:r>
              <w:rPr>
                <w:noProof/>
                <w:position w:val="-8"/>
              </w:rPr>
              <w:drawing>
                <wp:inline distT="0" distB="0" distL="0" distR="0">
                  <wp:extent cx="262890" cy="251460"/>
                  <wp:effectExtent l="0" t="0" r="0" b="0"/>
                  <wp:docPr id="1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0"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w:t>
            </w:r>
            <w:r>
              <w:rPr>
                <w:noProof/>
                <w:position w:val="-9"/>
              </w:rPr>
              <w:drawing>
                <wp:inline distT="0" distB="0" distL="0" distR="0">
                  <wp:extent cx="262890" cy="262890"/>
                  <wp:effectExtent l="0" t="0" r="0" b="0"/>
                  <wp:docPr id="1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1"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приведенные изгибающие моменты в рассматриваемом сечении, определяемые согласно </w:t>
            </w:r>
            <w:hyperlink w:anchor="P7270">
              <w:r>
                <w:rPr>
                  <w:color w:val="0000FF"/>
                </w:rPr>
                <w:t>8.28</w:t>
              </w:r>
            </w:hyperlink>
            <w:r>
              <w:t>;</w:t>
            </w:r>
          </w:p>
          <w:p w:rsidR="00212513" w:rsidRDefault="00212513">
            <w:pPr>
              <w:pStyle w:val="ConsPlusNormal"/>
              <w:ind w:firstLine="283"/>
              <w:jc w:val="both"/>
            </w:pPr>
            <w:r>
              <w:rPr>
                <w:noProof/>
                <w:position w:val="-8"/>
              </w:rPr>
              <w:drawing>
                <wp:inline distT="0" distB="0" distL="0" distR="0">
                  <wp:extent cx="209550" cy="251460"/>
                  <wp:effectExtent l="0" t="0" r="0" b="0"/>
                  <wp:docPr id="1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 принимаемый равным 1,05.</w:t>
            </w:r>
          </w:p>
        </w:tc>
      </w:tr>
      <w:tr w:rsidR="00212513">
        <w:tblPrEx>
          <w:tblBorders>
            <w:insideH w:val="nil"/>
          </w:tblBorders>
        </w:tblPrEx>
        <w:tc>
          <w:tcPr>
            <w:tcW w:w="9014" w:type="dxa"/>
            <w:gridSpan w:val="2"/>
            <w:tcBorders>
              <w:top w:val="nil"/>
            </w:tcBorders>
          </w:tcPr>
          <w:p w:rsidR="00212513" w:rsidRDefault="00212513">
            <w:pPr>
              <w:pStyle w:val="ConsPlusNormal"/>
              <w:ind w:firstLine="283"/>
              <w:jc w:val="both"/>
            </w:pPr>
            <w:r>
              <w:t xml:space="preserve">Примечание - При расчете элементов с фрикционными соединениями на высокопрочных болтах в формулы </w:t>
            </w:r>
            <w:hyperlink w:anchor="P8133">
              <w:r>
                <w:rPr>
                  <w:color w:val="0000FF"/>
                </w:rPr>
                <w:t>таблицы 8.32</w:t>
              </w:r>
            </w:hyperlink>
            <w:r>
              <w:t xml:space="preserve"> подставляются характеристики сечения брутто.</w:t>
            </w:r>
          </w:p>
        </w:tc>
      </w:tr>
    </w:tbl>
    <w:p w:rsidR="00212513" w:rsidRDefault="00212513">
      <w:pPr>
        <w:pStyle w:val="ConsPlusNormal"/>
        <w:ind w:firstLine="540"/>
        <w:jc w:val="both"/>
      </w:pPr>
    </w:p>
    <w:p w:rsidR="00212513" w:rsidRDefault="00212513">
      <w:pPr>
        <w:pStyle w:val="ConsPlusNormal"/>
        <w:ind w:firstLine="540"/>
        <w:jc w:val="both"/>
      </w:pPr>
      <w:r>
        <w:t xml:space="preserve">Коэффициент </w:t>
      </w:r>
      <w:r>
        <w:rPr>
          <w:noProof/>
          <w:position w:val="-8"/>
        </w:rPr>
        <w:drawing>
          <wp:inline distT="0" distB="0" distL="0" distR="0">
            <wp:extent cx="209550" cy="251460"/>
            <wp:effectExtent l="0" t="0" r="0" b="0"/>
            <wp:docPr id="1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следует определять по формуле</w:t>
      </w:r>
    </w:p>
    <w:p w:rsidR="00212513" w:rsidRDefault="00212513">
      <w:pPr>
        <w:pStyle w:val="ConsPlusNormal"/>
        <w:ind w:firstLine="540"/>
        <w:jc w:val="both"/>
      </w:pPr>
    </w:p>
    <w:p w:rsidR="00212513" w:rsidRDefault="00212513">
      <w:pPr>
        <w:pStyle w:val="ConsPlusNormal"/>
        <w:jc w:val="center"/>
      </w:pPr>
      <w:bookmarkStart w:id="359" w:name="P8154"/>
      <w:bookmarkEnd w:id="359"/>
      <w:r>
        <w:rPr>
          <w:noProof/>
          <w:position w:val="-28"/>
        </w:rPr>
        <w:drawing>
          <wp:inline distT="0" distB="0" distL="0" distR="0">
            <wp:extent cx="2458720" cy="502920"/>
            <wp:effectExtent l="0" t="0" r="0" b="0"/>
            <wp:docPr id="1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2458720" cy="502920"/>
                    </a:xfrm>
                    <a:prstGeom prst="rect">
                      <a:avLst/>
                    </a:prstGeom>
                    <a:noFill/>
                    <a:ln>
                      <a:noFill/>
                    </a:ln>
                  </pic:spPr>
                </pic:pic>
              </a:graphicData>
            </a:graphic>
          </wp:inline>
        </w:drawing>
      </w:r>
      <w:r>
        <w:t>, (8.65)</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6"/>
        </w:rPr>
        <w:drawing>
          <wp:inline distT="0" distB="0" distL="0" distR="0">
            <wp:extent cx="167640" cy="220980"/>
            <wp:effectExtent l="0" t="0" r="0" b="0"/>
            <wp:docPr id="1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4" cstate="print">
                      <a:extLst>
                        <a:ext uri="{28A0092B-C50C-407E-A947-70E740481C1C}">
                          <a14:useLocalDpi xmlns:a14="http://schemas.microsoft.com/office/drawing/2010/main" val="0"/>
                        </a:ext>
                      </a:extLst>
                    </a:blip>
                    <a:srcRect/>
                    <a:stretch>
                      <a:fillRect/>
                    </a:stretch>
                  </pic:blipFill>
                  <pic:spPr bwMode="auto">
                    <a:xfrm>
                      <a:off x="0" y="0"/>
                      <a:ext cx="167640" cy="220980"/>
                    </a:xfrm>
                    <a:prstGeom prst="rect">
                      <a:avLst/>
                    </a:prstGeom>
                    <a:noFill/>
                    <a:ln>
                      <a:noFill/>
                    </a:ln>
                  </pic:spPr>
                </pic:pic>
              </a:graphicData>
            </a:graphic>
          </wp:inline>
        </w:drawing>
      </w:r>
      <w:r>
        <w:t xml:space="preserve"> - коэффициент, равный 1,0 для железнодорожных и пешеходных и 0,7 - для автодорожных и городских мостов;</w:t>
      </w:r>
    </w:p>
    <w:p w:rsidR="00212513" w:rsidRDefault="00212513">
      <w:pPr>
        <w:pStyle w:val="ConsPlusNormal"/>
        <w:spacing w:before="220"/>
        <w:ind w:firstLine="540"/>
        <w:jc w:val="both"/>
      </w:pPr>
      <w:r>
        <w:rPr>
          <w:noProof/>
          <w:position w:val="-4"/>
        </w:rPr>
        <w:drawing>
          <wp:inline distT="0" distB="0" distL="0" distR="0">
            <wp:extent cx="150495" cy="193675"/>
            <wp:effectExtent l="0" t="0" r="0" b="0"/>
            <wp:docPr id="1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5" cstate="print">
                      <a:extLst>
                        <a:ext uri="{28A0092B-C50C-407E-A947-70E740481C1C}">
                          <a14:useLocalDpi xmlns:a14="http://schemas.microsoft.com/office/drawing/2010/main" val="0"/>
                        </a:ext>
                      </a:extLst>
                    </a:blip>
                    <a:srcRect/>
                    <a:stretch>
                      <a:fillRect/>
                    </a:stretch>
                  </pic:blipFill>
                  <pic:spPr bwMode="auto">
                    <a:xfrm>
                      <a:off x="0" y="0"/>
                      <a:ext cx="150495" cy="193675"/>
                    </a:xfrm>
                    <a:prstGeom prst="rect">
                      <a:avLst/>
                    </a:prstGeom>
                    <a:noFill/>
                    <a:ln>
                      <a:noFill/>
                    </a:ln>
                  </pic:spPr>
                </pic:pic>
              </a:graphicData>
            </a:graphic>
          </wp:inline>
        </w:drawing>
      </w:r>
      <w:r>
        <w:t xml:space="preserve"> - коэффициент, зависящий от длины загружения </w:t>
      </w:r>
      <w:r>
        <w:rPr>
          <w:noProof/>
          <w:position w:val="-4"/>
        </w:rPr>
        <w:drawing>
          <wp:inline distT="0" distB="0" distL="0" distR="0">
            <wp:extent cx="156845" cy="198755"/>
            <wp:effectExtent l="0" t="0" r="0" b="0"/>
            <wp:docPr id="1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6"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линии влияния при определении </w:t>
      </w:r>
      <w:r>
        <w:rPr>
          <w:noProof/>
          <w:position w:val="-8"/>
        </w:rPr>
        <w:drawing>
          <wp:inline distT="0" distB="0" distL="0" distR="0">
            <wp:extent cx="335280" cy="251460"/>
            <wp:effectExtent l="0" t="0" r="0" b="0"/>
            <wp:docPr id="1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7" cstate="print">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r>
        <w:t>;</w:t>
      </w:r>
    </w:p>
    <w:p w:rsidR="00212513" w:rsidRDefault="00212513">
      <w:pPr>
        <w:pStyle w:val="ConsPlusNormal"/>
        <w:jc w:val="both"/>
      </w:pPr>
      <w:r>
        <w:t xml:space="preserve">(в ред. </w:t>
      </w:r>
      <w:hyperlink r:id="rId1938">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rPr>
          <w:noProof/>
          <w:position w:val="-1"/>
        </w:rPr>
        <w:drawing>
          <wp:inline distT="0" distB="0" distL="0" distR="0">
            <wp:extent cx="167640" cy="156845"/>
            <wp:effectExtent l="0" t="0" r="0" b="0"/>
            <wp:docPr id="1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9"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w:t>
      </w:r>
      <w:r>
        <w:rPr>
          <w:noProof/>
          <w:position w:val="-4"/>
        </w:rPr>
        <w:drawing>
          <wp:inline distT="0" distB="0" distL="0" distR="0">
            <wp:extent cx="156845" cy="198755"/>
            <wp:effectExtent l="0" t="0" r="0" b="0"/>
            <wp:docPr id="1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0"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 коэффициенты, учитывающие марку стали и нестационарность режима нагруженности;</w:t>
      </w:r>
    </w:p>
    <w:p w:rsidR="00212513" w:rsidRDefault="00212513">
      <w:pPr>
        <w:pStyle w:val="ConsPlusNormal"/>
        <w:spacing w:before="220"/>
        <w:ind w:firstLine="540"/>
        <w:jc w:val="both"/>
      </w:pPr>
      <w:r>
        <w:rPr>
          <w:noProof/>
          <w:position w:val="-6"/>
        </w:rPr>
        <w:drawing>
          <wp:inline distT="0" distB="0" distL="0" distR="0">
            <wp:extent cx="167640" cy="220980"/>
            <wp:effectExtent l="0" t="0" r="0" b="0"/>
            <wp:docPr id="1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1" cstate="print">
                      <a:extLst>
                        <a:ext uri="{28A0092B-C50C-407E-A947-70E740481C1C}">
                          <a14:useLocalDpi xmlns:a14="http://schemas.microsoft.com/office/drawing/2010/main" val="0"/>
                        </a:ext>
                      </a:extLst>
                    </a:blip>
                    <a:srcRect/>
                    <a:stretch>
                      <a:fillRect/>
                    </a:stretch>
                  </pic:blipFill>
                  <pic:spPr bwMode="auto">
                    <a:xfrm>
                      <a:off x="0" y="0"/>
                      <a:ext cx="167640" cy="220980"/>
                    </a:xfrm>
                    <a:prstGeom prst="rect">
                      <a:avLst/>
                    </a:prstGeom>
                    <a:noFill/>
                    <a:ln>
                      <a:noFill/>
                    </a:ln>
                  </pic:spPr>
                </pic:pic>
              </a:graphicData>
            </a:graphic>
          </wp:inline>
        </w:drawing>
      </w:r>
      <w:r>
        <w:t xml:space="preserve"> - эффективный коэффициент концентрации напряжений, принимаемый по </w:t>
      </w:r>
      <w:hyperlink w:anchor="P16531">
        <w:r>
          <w:rPr>
            <w:color w:val="0000FF"/>
          </w:rPr>
          <w:t>таблице Ц.1</w:t>
        </w:r>
      </w:hyperlink>
      <w:r>
        <w:t xml:space="preserve"> приложения Ц;</w:t>
      </w:r>
    </w:p>
    <w:p w:rsidR="00212513" w:rsidRDefault="00212513">
      <w:pPr>
        <w:pStyle w:val="ConsPlusNormal"/>
        <w:spacing w:before="220"/>
        <w:ind w:firstLine="540"/>
        <w:jc w:val="both"/>
      </w:pPr>
      <w:r>
        <w:rPr>
          <w:noProof/>
          <w:position w:val="-3"/>
        </w:rPr>
        <w:drawing>
          <wp:inline distT="0" distB="0" distL="0" distR="0">
            <wp:extent cx="167640" cy="177800"/>
            <wp:effectExtent l="0" t="0" r="0" b="0"/>
            <wp:docPr id="1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2"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коэффициент асимметрии цикла переменных напряжений.</w:t>
      </w:r>
    </w:p>
    <w:p w:rsidR="00212513" w:rsidRDefault="00212513">
      <w:pPr>
        <w:pStyle w:val="ConsPlusNormal"/>
        <w:spacing w:before="220"/>
        <w:ind w:firstLine="540"/>
        <w:jc w:val="both"/>
      </w:pPr>
      <w:r>
        <w:lastRenderedPageBreak/>
        <w:t xml:space="preserve">Коэффициент </w:t>
      </w:r>
      <w:r>
        <w:rPr>
          <w:noProof/>
          <w:position w:val="-3"/>
        </w:rPr>
        <w:drawing>
          <wp:inline distT="0" distB="0" distL="0" distR="0">
            <wp:extent cx="167640" cy="177800"/>
            <wp:effectExtent l="0" t="0" r="0" b="0"/>
            <wp:docPr id="1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3"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следует определять по формулам:</w:t>
      </w:r>
    </w:p>
    <w:p w:rsidR="00212513" w:rsidRDefault="00212513">
      <w:pPr>
        <w:pStyle w:val="ConsPlusNormal"/>
        <w:ind w:firstLine="540"/>
        <w:jc w:val="both"/>
      </w:pPr>
    </w:p>
    <w:p w:rsidR="00212513" w:rsidRDefault="00212513">
      <w:pPr>
        <w:pStyle w:val="ConsPlusNormal"/>
        <w:jc w:val="center"/>
      </w:pPr>
      <w:r>
        <w:rPr>
          <w:noProof/>
          <w:position w:val="-26"/>
        </w:rPr>
        <w:drawing>
          <wp:inline distT="0" distB="0" distL="0" distR="0">
            <wp:extent cx="662940" cy="470535"/>
            <wp:effectExtent l="0" t="0" r="0" b="0"/>
            <wp:docPr id="1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4" cstate="print">
                      <a:extLst>
                        <a:ext uri="{28A0092B-C50C-407E-A947-70E740481C1C}">
                          <a14:useLocalDpi xmlns:a14="http://schemas.microsoft.com/office/drawing/2010/main" val="0"/>
                        </a:ext>
                      </a:extLst>
                    </a:blip>
                    <a:srcRect/>
                    <a:stretch>
                      <a:fillRect/>
                    </a:stretch>
                  </pic:blipFill>
                  <pic:spPr bwMode="auto">
                    <a:xfrm>
                      <a:off x="0" y="0"/>
                      <a:ext cx="662940" cy="470535"/>
                    </a:xfrm>
                    <a:prstGeom prst="rect">
                      <a:avLst/>
                    </a:prstGeom>
                    <a:noFill/>
                    <a:ln>
                      <a:noFill/>
                    </a:ln>
                  </pic:spPr>
                </pic:pic>
              </a:graphicData>
            </a:graphic>
          </wp:inline>
        </w:drawing>
      </w:r>
      <w:r>
        <w:t>; (8.66)</w:t>
      </w:r>
    </w:p>
    <w:p w:rsidR="00212513" w:rsidRDefault="00212513">
      <w:pPr>
        <w:pStyle w:val="ConsPlusNormal"/>
        <w:jc w:val="center"/>
      </w:pPr>
    </w:p>
    <w:p w:rsidR="00212513" w:rsidRDefault="00212513">
      <w:pPr>
        <w:pStyle w:val="ConsPlusNormal"/>
        <w:jc w:val="center"/>
      </w:pPr>
      <w:r>
        <w:rPr>
          <w:noProof/>
          <w:position w:val="-26"/>
        </w:rPr>
        <w:drawing>
          <wp:inline distT="0" distB="0" distL="0" distR="0">
            <wp:extent cx="608330" cy="470535"/>
            <wp:effectExtent l="0" t="0" r="0" b="0"/>
            <wp:docPr id="1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5" cstate="print">
                      <a:extLst>
                        <a:ext uri="{28A0092B-C50C-407E-A947-70E740481C1C}">
                          <a14:useLocalDpi xmlns:a14="http://schemas.microsoft.com/office/drawing/2010/main" val="0"/>
                        </a:ext>
                      </a:extLst>
                    </a:blip>
                    <a:srcRect/>
                    <a:stretch>
                      <a:fillRect/>
                    </a:stretch>
                  </pic:blipFill>
                  <pic:spPr bwMode="auto">
                    <a:xfrm>
                      <a:off x="0" y="0"/>
                      <a:ext cx="608330" cy="470535"/>
                    </a:xfrm>
                    <a:prstGeom prst="rect">
                      <a:avLst/>
                    </a:prstGeom>
                    <a:noFill/>
                    <a:ln>
                      <a:noFill/>
                    </a:ln>
                  </pic:spPr>
                </pic:pic>
              </a:graphicData>
            </a:graphic>
          </wp:inline>
        </w:drawing>
      </w:r>
      <w:r>
        <w:t>, (8.67)</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8"/>
        </w:rPr>
        <w:drawing>
          <wp:inline distT="0" distB="0" distL="0" distR="0">
            <wp:extent cx="335280" cy="251460"/>
            <wp:effectExtent l="0" t="0" r="0" b="0"/>
            <wp:docPr id="1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6" cstate="print">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r>
        <w:t xml:space="preserve">, </w:t>
      </w:r>
      <w:r>
        <w:rPr>
          <w:noProof/>
          <w:position w:val="-8"/>
        </w:rPr>
        <w:drawing>
          <wp:inline distT="0" distB="0" distL="0" distR="0">
            <wp:extent cx="314960" cy="251460"/>
            <wp:effectExtent l="0" t="0" r="0" b="0"/>
            <wp:docPr id="1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7" cstate="print">
                      <a:extLst>
                        <a:ext uri="{28A0092B-C50C-407E-A947-70E740481C1C}">
                          <a14:useLocalDpi xmlns:a14="http://schemas.microsoft.com/office/drawing/2010/main" val="0"/>
                        </a:ext>
                      </a:extLst>
                    </a:blip>
                    <a:srcRect/>
                    <a:stretch>
                      <a:fillRect/>
                    </a:stretch>
                  </pic:blipFill>
                  <pic:spPr bwMode="auto">
                    <a:xfrm>
                      <a:off x="0" y="0"/>
                      <a:ext cx="314960" cy="251460"/>
                    </a:xfrm>
                    <a:prstGeom prst="rect">
                      <a:avLst/>
                    </a:prstGeom>
                    <a:noFill/>
                    <a:ln>
                      <a:noFill/>
                    </a:ln>
                  </pic:spPr>
                </pic:pic>
              </a:graphicData>
            </a:graphic>
          </wp:inline>
        </w:drawing>
      </w:r>
      <w:r>
        <w:t xml:space="preserve">, </w:t>
      </w:r>
      <w:r>
        <w:rPr>
          <w:noProof/>
          <w:position w:val="-8"/>
        </w:rPr>
        <w:drawing>
          <wp:inline distT="0" distB="0" distL="0" distR="0">
            <wp:extent cx="293370" cy="251460"/>
            <wp:effectExtent l="0" t="0" r="0" b="0"/>
            <wp:docPr id="1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8"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w:t>
      </w:r>
      <w:r>
        <w:rPr>
          <w:noProof/>
          <w:position w:val="-8"/>
        </w:rPr>
        <w:drawing>
          <wp:inline distT="0" distB="0" distL="0" distR="0">
            <wp:extent cx="281940" cy="251460"/>
            <wp:effectExtent l="0" t="0" r="0" b="0"/>
            <wp:docPr id="1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9"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xml:space="preserve"> - наименьшие и наибольшие по абсолютной величине значения напряжений со своими знаками, определяемые в том же сечении, по тем же формулам, что и </w:t>
      </w:r>
      <w:r>
        <w:rPr>
          <w:noProof/>
          <w:position w:val="-9"/>
        </w:rPr>
        <w:drawing>
          <wp:inline distT="0" distB="0" distL="0" distR="0">
            <wp:extent cx="450850" cy="262890"/>
            <wp:effectExtent l="0" t="0" r="0" b="0"/>
            <wp:docPr id="1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1" cstate="print">
                      <a:extLst>
                        <a:ext uri="{28A0092B-C50C-407E-A947-70E740481C1C}">
                          <a14:useLocalDpi xmlns:a14="http://schemas.microsoft.com/office/drawing/2010/main" val="0"/>
                        </a:ext>
                      </a:extLst>
                    </a:blip>
                    <a:srcRect/>
                    <a:stretch>
                      <a:fillRect/>
                    </a:stretch>
                  </pic:blipFill>
                  <pic:spPr bwMode="auto">
                    <a:xfrm>
                      <a:off x="0" y="0"/>
                      <a:ext cx="450850" cy="262890"/>
                    </a:xfrm>
                    <a:prstGeom prst="rect">
                      <a:avLst/>
                    </a:prstGeom>
                    <a:noFill/>
                    <a:ln>
                      <a:noFill/>
                    </a:ln>
                  </pic:spPr>
                </pic:pic>
              </a:graphicData>
            </a:graphic>
          </wp:inline>
        </w:drawing>
      </w:r>
      <w:r>
        <w:t xml:space="preserve"> и </w:t>
      </w:r>
      <w:r>
        <w:rPr>
          <w:noProof/>
          <w:position w:val="-9"/>
        </w:rPr>
        <w:drawing>
          <wp:inline distT="0" distB="0" distL="0" distR="0">
            <wp:extent cx="419100" cy="262890"/>
            <wp:effectExtent l="0" t="0" r="0" b="0"/>
            <wp:docPr id="1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2" cstate="print">
                      <a:extLst>
                        <a:ext uri="{28A0092B-C50C-407E-A947-70E740481C1C}">
                          <a14:useLocalDpi xmlns:a14="http://schemas.microsoft.com/office/drawing/2010/main" val="0"/>
                        </a:ext>
                      </a:extLst>
                    </a:blip>
                    <a:srcRect/>
                    <a:stretch>
                      <a:fillRect/>
                    </a:stretch>
                  </pic:blipFill>
                  <pic:spPr bwMode="auto">
                    <a:xfrm>
                      <a:off x="0" y="0"/>
                      <a:ext cx="419100" cy="262890"/>
                    </a:xfrm>
                    <a:prstGeom prst="rect">
                      <a:avLst/>
                    </a:prstGeom>
                    <a:noFill/>
                    <a:ln>
                      <a:noFill/>
                    </a:ln>
                  </pic:spPr>
                </pic:pic>
              </a:graphicData>
            </a:graphic>
          </wp:inline>
        </w:drawing>
      </w:r>
      <w:r>
        <w:t xml:space="preserve">; при этом следует принимать </w:t>
      </w:r>
      <w:r>
        <w:rPr>
          <w:noProof/>
          <w:position w:val="-8"/>
        </w:rPr>
        <w:drawing>
          <wp:inline distT="0" distB="0" distL="0" distR="0">
            <wp:extent cx="586740" cy="251460"/>
            <wp:effectExtent l="0" t="0" r="0" b="0"/>
            <wp:docPr id="1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0"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В </w:t>
      </w:r>
      <w:hyperlink w:anchor="P8154">
        <w:r>
          <w:rPr>
            <w:color w:val="0000FF"/>
          </w:rPr>
          <w:t>формуле (8.65)</w:t>
        </w:r>
      </w:hyperlink>
      <w:r>
        <w:t xml:space="preserve"> верхние знаки в скобках следует принимать при расчете по </w:t>
      </w:r>
      <w:hyperlink w:anchor="P8123">
        <w:r>
          <w:rPr>
            <w:color w:val="0000FF"/>
          </w:rPr>
          <w:t>формуле (8.63)</w:t>
        </w:r>
      </w:hyperlink>
      <w:r>
        <w:t xml:space="preserve">, если </w:t>
      </w:r>
      <w:r>
        <w:rPr>
          <w:noProof/>
          <w:position w:val="-8"/>
        </w:rPr>
        <w:drawing>
          <wp:inline distT="0" distB="0" distL="0" distR="0">
            <wp:extent cx="605790" cy="251460"/>
            <wp:effectExtent l="0" t="0" r="0" b="0"/>
            <wp:docPr id="1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1" cstate="print">
                      <a:extLst>
                        <a:ext uri="{28A0092B-C50C-407E-A947-70E740481C1C}">
                          <a14:useLocalDpi xmlns:a14="http://schemas.microsoft.com/office/drawing/2010/main" val="0"/>
                        </a:ext>
                      </a:extLst>
                    </a:blip>
                    <a:srcRect/>
                    <a:stretch>
                      <a:fillRect/>
                    </a:stretch>
                  </pic:blipFill>
                  <pic:spPr bwMode="auto">
                    <a:xfrm>
                      <a:off x="0" y="0"/>
                      <a:ext cx="605790" cy="251460"/>
                    </a:xfrm>
                    <a:prstGeom prst="rect">
                      <a:avLst/>
                    </a:prstGeom>
                    <a:noFill/>
                    <a:ln>
                      <a:noFill/>
                    </a:ln>
                  </pic:spPr>
                </pic:pic>
              </a:graphicData>
            </a:graphic>
          </wp:inline>
        </w:drawing>
      </w:r>
      <w:r>
        <w:t xml:space="preserve">, и всегда - при расчете по </w:t>
      </w:r>
      <w:hyperlink w:anchor="P8125">
        <w:r>
          <w:rPr>
            <w:color w:val="0000FF"/>
          </w:rPr>
          <w:t>формуле (8.64)</w:t>
        </w:r>
      </w:hyperlink>
      <w:r>
        <w:t>.</w:t>
      </w:r>
    </w:p>
    <w:p w:rsidR="00212513" w:rsidRDefault="00212513">
      <w:pPr>
        <w:pStyle w:val="ConsPlusNormal"/>
        <w:spacing w:before="220"/>
        <w:ind w:firstLine="540"/>
        <w:jc w:val="both"/>
      </w:pPr>
      <w:r>
        <w:t xml:space="preserve">Коэффициенты </w:t>
      </w:r>
      <w:r>
        <w:rPr>
          <w:noProof/>
          <w:position w:val="-1"/>
        </w:rPr>
        <w:drawing>
          <wp:inline distT="0" distB="0" distL="0" distR="0">
            <wp:extent cx="167640" cy="156845"/>
            <wp:effectExtent l="0" t="0" r="0" b="0"/>
            <wp:docPr id="1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9"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и </w:t>
      </w:r>
      <w:r>
        <w:rPr>
          <w:noProof/>
          <w:position w:val="-4"/>
        </w:rPr>
        <w:drawing>
          <wp:inline distT="0" distB="0" distL="0" distR="0">
            <wp:extent cx="156845" cy="198755"/>
            <wp:effectExtent l="0" t="0" r="0" b="0"/>
            <wp:docPr id="1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0"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следует принимать по таблице 8.33.</w:t>
      </w:r>
    </w:p>
    <w:p w:rsidR="00212513" w:rsidRDefault="00212513">
      <w:pPr>
        <w:pStyle w:val="ConsPlusNormal"/>
        <w:ind w:firstLine="540"/>
        <w:jc w:val="both"/>
      </w:pPr>
    </w:p>
    <w:p w:rsidR="00212513" w:rsidRDefault="00212513">
      <w:pPr>
        <w:pStyle w:val="ConsPlusNormal"/>
        <w:jc w:val="right"/>
      </w:pPr>
      <w:r>
        <w:t>Таблица 8.33</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88"/>
        <w:gridCol w:w="2323"/>
        <w:gridCol w:w="2324"/>
      </w:tblGrid>
      <w:tr w:rsidR="00212513">
        <w:tc>
          <w:tcPr>
            <w:tcW w:w="3288" w:type="dxa"/>
            <w:vMerge w:val="restart"/>
            <w:vAlign w:val="center"/>
          </w:tcPr>
          <w:p w:rsidR="00212513" w:rsidRDefault="00212513">
            <w:pPr>
              <w:pStyle w:val="ConsPlusNormal"/>
              <w:jc w:val="center"/>
            </w:pPr>
            <w:r>
              <w:t>Классы прочности стали</w:t>
            </w:r>
          </w:p>
        </w:tc>
        <w:tc>
          <w:tcPr>
            <w:tcW w:w="4647" w:type="dxa"/>
            <w:gridSpan w:val="2"/>
            <w:vAlign w:val="center"/>
          </w:tcPr>
          <w:p w:rsidR="00212513" w:rsidRDefault="00212513">
            <w:pPr>
              <w:pStyle w:val="ConsPlusNormal"/>
              <w:jc w:val="center"/>
            </w:pPr>
            <w:r>
              <w:t>Значения коэффициентов</w:t>
            </w:r>
          </w:p>
        </w:tc>
      </w:tr>
      <w:tr w:rsidR="00212513">
        <w:tc>
          <w:tcPr>
            <w:tcW w:w="3288" w:type="dxa"/>
            <w:vMerge/>
          </w:tcPr>
          <w:p w:rsidR="00212513" w:rsidRDefault="00212513">
            <w:pPr>
              <w:pStyle w:val="ConsPlusNormal"/>
            </w:pPr>
          </w:p>
        </w:tc>
        <w:tc>
          <w:tcPr>
            <w:tcW w:w="2323" w:type="dxa"/>
            <w:vAlign w:val="center"/>
          </w:tcPr>
          <w:p w:rsidR="00212513" w:rsidRDefault="00212513">
            <w:pPr>
              <w:pStyle w:val="ConsPlusNormal"/>
              <w:jc w:val="center"/>
            </w:pPr>
            <w:r>
              <w:rPr>
                <w:noProof/>
                <w:position w:val="-1"/>
              </w:rPr>
              <w:drawing>
                <wp:inline distT="0" distB="0" distL="0" distR="0">
                  <wp:extent cx="167640" cy="157480"/>
                  <wp:effectExtent l="0" t="0" r="0" b="0"/>
                  <wp:docPr id="1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2"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p>
        </w:tc>
        <w:tc>
          <w:tcPr>
            <w:tcW w:w="2324" w:type="dxa"/>
            <w:vAlign w:val="center"/>
          </w:tcPr>
          <w:p w:rsidR="00212513" w:rsidRDefault="00212513">
            <w:pPr>
              <w:pStyle w:val="ConsPlusNormal"/>
              <w:jc w:val="center"/>
            </w:pPr>
            <w:r>
              <w:rPr>
                <w:noProof/>
                <w:position w:val="-4"/>
              </w:rPr>
              <w:drawing>
                <wp:inline distT="0" distB="0" distL="0" distR="0">
                  <wp:extent cx="157480" cy="199390"/>
                  <wp:effectExtent l="0" t="0" r="0" b="0"/>
                  <wp:docPr id="1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3"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p>
        </w:tc>
      </w:tr>
      <w:tr w:rsidR="00212513">
        <w:tc>
          <w:tcPr>
            <w:tcW w:w="3288" w:type="dxa"/>
          </w:tcPr>
          <w:p w:rsidR="00212513" w:rsidRDefault="00212513">
            <w:pPr>
              <w:pStyle w:val="ConsPlusNormal"/>
              <w:jc w:val="center"/>
            </w:pPr>
            <w:r>
              <w:t>С235</w:t>
            </w:r>
          </w:p>
        </w:tc>
        <w:tc>
          <w:tcPr>
            <w:tcW w:w="2323" w:type="dxa"/>
          </w:tcPr>
          <w:p w:rsidR="00212513" w:rsidRDefault="00212513">
            <w:pPr>
              <w:pStyle w:val="ConsPlusNormal"/>
              <w:jc w:val="center"/>
            </w:pPr>
            <w:r>
              <w:t>0,64</w:t>
            </w:r>
          </w:p>
        </w:tc>
        <w:tc>
          <w:tcPr>
            <w:tcW w:w="2324" w:type="dxa"/>
          </w:tcPr>
          <w:p w:rsidR="00212513" w:rsidRDefault="00212513">
            <w:pPr>
              <w:pStyle w:val="ConsPlusNormal"/>
              <w:jc w:val="center"/>
            </w:pPr>
            <w:r>
              <w:t>0,20</w:t>
            </w:r>
          </w:p>
        </w:tc>
      </w:tr>
      <w:tr w:rsidR="00212513">
        <w:tc>
          <w:tcPr>
            <w:tcW w:w="3288" w:type="dxa"/>
          </w:tcPr>
          <w:p w:rsidR="00212513" w:rsidRDefault="00212513">
            <w:pPr>
              <w:pStyle w:val="ConsPlusNormal"/>
              <w:jc w:val="center"/>
            </w:pPr>
            <w:r>
              <w:t>С325 - С345</w:t>
            </w:r>
          </w:p>
        </w:tc>
        <w:tc>
          <w:tcPr>
            <w:tcW w:w="2323" w:type="dxa"/>
          </w:tcPr>
          <w:p w:rsidR="00212513" w:rsidRDefault="00212513">
            <w:pPr>
              <w:pStyle w:val="ConsPlusNormal"/>
              <w:jc w:val="center"/>
            </w:pPr>
            <w:r>
              <w:t>0,72</w:t>
            </w:r>
          </w:p>
        </w:tc>
        <w:tc>
          <w:tcPr>
            <w:tcW w:w="2324" w:type="dxa"/>
          </w:tcPr>
          <w:p w:rsidR="00212513" w:rsidRDefault="00212513">
            <w:pPr>
              <w:pStyle w:val="ConsPlusNormal"/>
              <w:jc w:val="center"/>
            </w:pPr>
            <w:r>
              <w:t>0,24</w:t>
            </w:r>
          </w:p>
        </w:tc>
      </w:tr>
      <w:tr w:rsidR="00212513">
        <w:tc>
          <w:tcPr>
            <w:tcW w:w="3288" w:type="dxa"/>
          </w:tcPr>
          <w:p w:rsidR="00212513" w:rsidRDefault="00212513">
            <w:pPr>
              <w:pStyle w:val="ConsPlusNormal"/>
              <w:jc w:val="center"/>
            </w:pPr>
            <w:r>
              <w:t>С390</w:t>
            </w:r>
          </w:p>
        </w:tc>
        <w:tc>
          <w:tcPr>
            <w:tcW w:w="2323" w:type="dxa"/>
          </w:tcPr>
          <w:p w:rsidR="00212513" w:rsidRDefault="00212513">
            <w:pPr>
              <w:pStyle w:val="ConsPlusNormal"/>
              <w:jc w:val="center"/>
            </w:pPr>
            <w:r>
              <w:t>0,81</w:t>
            </w:r>
          </w:p>
        </w:tc>
        <w:tc>
          <w:tcPr>
            <w:tcW w:w="2324" w:type="dxa"/>
          </w:tcPr>
          <w:p w:rsidR="00212513" w:rsidRDefault="00212513">
            <w:pPr>
              <w:pStyle w:val="ConsPlusNormal"/>
              <w:jc w:val="center"/>
            </w:pPr>
            <w:r>
              <w:t>0,20</w:t>
            </w:r>
          </w:p>
        </w:tc>
      </w:tr>
    </w:tbl>
    <w:p w:rsidR="00212513" w:rsidRDefault="00212513">
      <w:pPr>
        <w:pStyle w:val="ConsPlusNormal"/>
        <w:ind w:firstLine="540"/>
        <w:jc w:val="both"/>
      </w:pPr>
    </w:p>
    <w:p w:rsidR="00212513" w:rsidRDefault="00212513">
      <w:pPr>
        <w:pStyle w:val="ConsPlusNormal"/>
        <w:ind w:firstLine="540"/>
        <w:jc w:val="both"/>
      </w:pPr>
      <w:r>
        <w:t xml:space="preserve">При вычислении коэффициентов </w:t>
      </w:r>
      <w:r>
        <w:rPr>
          <w:noProof/>
          <w:position w:val="-8"/>
        </w:rPr>
        <w:drawing>
          <wp:inline distT="0" distB="0" distL="0" distR="0">
            <wp:extent cx="209550" cy="251460"/>
            <wp:effectExtent l="0" t="0" r="0" b="0"/>
            <wp:docPr id="1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для сварных швов принимаются те же значения коэффициентов </w:t>
      </w:r>
      <w:r>
        <w:rPr>
          <w:noProof/>
          <w:position w:val="-1"/>
        </w:rPr>
        <w:drawing>
          <wp:inline distT="0" distB="0" distL="0" distR="0">
            <wp:extent cx="167640" cy="156845"/>
            <wp:effectExtent l="0" t="0" r="0" b="0"/>
            <wp:docPr id="1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5"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и </w:t>
      </w:r>
      <w:r>
        <w:rPr>
          <w:noProof/>
          <w:position w:val="-4"/>
        </w:rPr>
        <w:drawing>
          <wp:inline distT="0" distB="0" distL="0" distR="0">
            <wp:extent cx="156845" cy="198755"/>
            <wp:effectExtent l="0" t="0" r="0" b="0"/>
            <wp:docPr id="1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6"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что и для металла элемента.</w:t>
      </w:r>
    </w:p>
    <w:p w:rsidR="00212513" w:rsidRDefault="00212513">
      <w:pPr>
        <w:pStyle w:val="ConsPlusNormal"/>
        <w:spacing w:before="220"/>
        <w:ind w:firstLine="540"/>
        <w:jc w:val="both"/>
      </w:pPr>
      <w:r>
        <w:t xml:space="preserve">Коэффициент </w:t>
      </w:r>
      <w:r>
        <w:rPr>
          <w:noProof/>
          <w:position w:val="-4"/>
        </w:rPr>
        <w:drawing>
          <wp:inline distT="0" distB="0" distL="0" distR="0">
            <wp:extent cx="156845" cy="198755"/>
            <wp:effectExtent l="0" t="0" r="0" b="0"/>
            <wp:docPr id="1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7"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следует принимать равным:</w:t>
      </w:r>
    </w:p>
    <w:p w:rsidR="00212513" w:rsidRDefault="00212513">
      <w:pPr>
        <w:pStyle w:val="ConsPlusNormal"/>
        <w:ind w:firstLine="540"/>
        <w:jc w:val="both"/>
      </w:pPr>
    </w:p>
    <w:p w:rsidR="00212513" w:rsidRDefault="00212513">
      <w:pPr>
        <w:pStyle w:val="ConsPlusNormal"/>
        <w:jc w:val="center"/>
      </w:pPr>
      <w:r>
        <w:t xml:space="preserve">при </w:t>
      </w:r>
      <w:r>
        <w:rPr>
          <w:noProof/>
          <w:position w:val="-6"/>
        </w:rPr>
        <w:drawing>
          <wp:inline distT="0" distB="0" distL="0" distR="0">
            <wp:extent cx="648970" cy="220980"/>
            <wp:effectExtent l="0" t="0" r="0" b="0"/>
            <wp:docPr id="1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648970" cy="220980"/>
                    </a:xfrm>
                    <a:prstGeom prst="rect">
                      <a:avLst/>
                    </a:prstGeom>
                    <a:noFill/>
                    <a:ln>
                      <a:noFill/>
                    </a:ln>
                  </pic:spPr>
                </pic:pic>
              </a:graphicData>
            </a:graphic>
          </wp:inline>
        </w:drawing>
      </w:r>
      <w:r>
        <w:t xml:space="preserve"> </w:t>
      </w:r>
      <w:r>
        <w:rPr>
          <w:noProof/>
          <w:position w:val="-4"/>
        </w:rPr>
        <w:drawing>
          <wp:inline distT="0" distB="0" distL="0" distR="0">
            <wp:extent cx="377190" cy="198755"/>
            <wp:effectExtent l="0" t="0" r="0" b="0"/>
            <wp:docPr id="1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9" cstate="print">
                      <a:extLst>
                        <a:ext uri="{28A0092B-C50C-407E-A947-70E740481C1C}">
                          <a14:useLocalDpi xmlns:a14="http://schemas.microsoft.com/office/drawing/2010/main" val="0"/>
                        </a:ext>
                      </a:extLst>
                    </a:blip>
                    <a:srcRect/>
                    <a:stretch>
                      <a:fillRect/>
                    </a:stretch>
                  </pic:blipFill>
                  <pic:spPr bwMode="auto">
                    <a:xfrm>
                      <a:off x="0" y="0"/>
                      <a:ext cx="377190" cy="198755"/>
                    </a:xfrm>
                    <a:prstGeom prst="rect">
                      <a:avLst/>
                    </a:prstGeom>
                    <a:noFill/>
                    <a:ln>
                      <a:noFill/>
                    </a:ln>
                  </pic:spPr>
                </pic:pic>
              </a:graphicData>
            </a:graphic>
          </wp:inline>
        </w:drawing>
      </w:r>
      <w:r>
        <w:t>;</w:t>
      </w:r>
    </w:p>
    <w:p w:rsidR="00212513" w:rsidRDefault="00212513">
      <w:pPr>
        <w:pStyle w:val="ConsPlusNormal"/>
        <w:jc w:val="center"/>
      </w:pPr>
    </w:p>
    <w:p w:rsidR="00212513" w:rsidRDefault="00212513">
      <w:pPr>
        <w:pStyle w:val="ConsPlusNormal"/>
        <w:jc w:val="center"/>
      </w:pPr>
      <w:r>
        <w:t xml:space="preserve">при </w:t>
      </w:r>
      <w:r>
        <w:rPr>
          <w:noProof/>
          <w:position w:val="-6"/>
        </w:rPr>
        <w:drawing>
          <wp:inline distT="0" distB="0" distL="0" distR="0">
            <wp:extent cx="648970" cy="220980"/>
            <wp:effectExtent l="0" t="0" r="0" b="0"/>
            <wp:docPr id="1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0" cstate="print">
                      <a:extLst>
                        <a:ext uri="{28A0092B-C50C-407E-A947-70E740481C1C}">
                          <a14:useLocalDpi xmlns:a14="http://schemas.microsoft.com/office/drawing/2010/main" val="0"/>
                        </a:ext>
                      </a:extLst>
                    </a:blip>
                    <a:srcRect/>
                    <a:stretch>
                      <a:fillRect/>
                    </a:stretch>
                  </pic:blipFill>
                  <pic:spPr bwMode="auto">
                    <a:xfrm>
                      <a:off x="0" y="0"/>
                      <a:ext cx="648970" cy="220980"/>
                    </a:xfrm>
                    <a:prstGeom prst="rect">
                      <a:avLst/>
                    </a:prstGeom>
                    <a:noFill/>
                    <a:ln>
                      <a:noFill/>
                    </a:ln>
                  </pic:spPr>
                </pic:pic>
              </a:graphicData>
            </a:graphic>
          </wp:inline>
        </w:drawing>
      </w:r>
      <w:r>
        <w:t xml:space="preserve"> </w:t>
      </w:r>
      <w:r>
        <w:rPr>
          <w:noProof/>
          <w:position w:val="-6"/>
        </w:rPr>
        <w:drawing>
          <wp:inline distT="0" distB="0" distL="0" distR="0">
            <wp:extent cx="733425" cy="220980"/>
            <wp:effectExtent l="0" t="0" r="0" b="0"/>
            <wp:docPr id="1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733425" cy="220980"/>
                    </a:xfrm>
                    <a:prstGeom prst="rect">
                      <a:avLst/>
                    </a:prstGeom>
                    <a:noFill/>
                    <a:ln>
                      <a:noFill/>
                    </a:ln>
                  </pic:spPr>
                </pic:pic>
              </a:graphicData>
            </a:graphic>
          </wp:inline>
        </w:drawing>
      </w:r>
      <w:r>
        <w:t>,</w:t>
      </w:r>
    </w:p>
    <w:p w:rsidR="00212513" w:rsidRDefault="00212513">
      <w:pPr>
        <w:pStyle w:val="ConsPlusNormal"/>
        <w:ind w:firstLine="540"/>
        <w:jc w:val="both"/>
      </w:pPr>
    </w:p>
    <w:p w:rsidR="00212513" w:rsidRDefault="00212513">
      <w:pPr>
        <w:pStyle w:val="ConsPlusNormal"/>
        <w:ind w:firstLine="540"/>
        <w:jc w:val="both"/>
      </w:pPr>
      <w:r>
        <w:t xml:space="preserve">где значения </w:t>
      </w:r>
      <w:r>
        <w:rPr>
          <w:noProof/>
          <w:position w:val="-1"/>
        </w:rPr>
        <w:drawing>
          <wp:inline distT="0" distB="0" distL="0" distR="0">
            <wp:extent cx="136525" cy="157480"/>
            <wp:effectExtent l="0" t="0" r="0" b="0"/>
            <wp:docPr id="1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2">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и </w:t>
      </w:r>
      <w:r>
        <w:rPr>
          <w:noProof/>
          <w:position w:val="-6"/>
        </w:rPr>
        <w:drawing>
          <wp:inline distT="0" distB="0" distL="0" distR="0">
            <wp:extent cx="137160" cy="220980"/>
            <wp:effectExtent l="0" t="0" r="0" b="0"/>
            <wp:docPr id="1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3" cstate="print">
                      <a:extLst>
                        <a:ext uri="{28A0092B-C50C-407E-A947-70E740481C1C}">
                          <a14:useLocalDpi xmlns:a14="http://schemas.microsoft.com/office/drawing/2010/main" val="0"/>
                        </a:ext>
                      </a:extLst>
                    </a:blip>
                    <a:srcRect/>
                    <a:stretch>
                      <a:fillRect/>
                    </a:stretch>
                  </pic:blipFill>
                  <pic:spPr bwMode="auto">
                    <a:xfrm>
                      <a:off x="0" y="0"/>
                      <a:ext cx="137160" cy="220980"/>
                    </a:xfrm>
                    <a:prstGeom prst="rect">
                      <a:avLst/>
                    </a:prstGeom>
                    <a:noFill/>
                    <a:ln>
                      <a:noFill/>
                    </a:ln>
                  </pic:spPr>
                </pic:pic>
              </a:graphicData>
            </a:graphic>
          </wp:inline>
        </w:drawing>
      </w:r>
      <w:r>
        <w:t xml:space="preserve"> следует принимать по таблице 8.34.</w:t>
      </w:r>
    </w:p>
    <w:p w:rsidR="00212513" w:rsidRDefault="00212513">
      <w:pPr>
        <w:pStyle w:val="ConsPlusNormal"/>
        <w:ind w:firstLine="540"/>
        <w:jc w:val="both"/>
      </w:pPr>
    </w:p>
    <w:p w:rsidR="00212513" w:rsidRDefault="00212513">
      <w:pPr>
        <w:pStyle w:val="ConsPlusNormal"/>
        <w:jc w:val="right"/>
      </w:pPr>
      <w:r>
        <w:t>Таблица 8.34</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1490"/>
        <w:gridCol w:w="1490"/>
        <w:gridCol w:w="1490"/>
        <w:gridCol w:w="1492"/>
      </w:tblGrid>
      <w:tr w:rsidR="00212513">
        <w:tc>
          <w:tcPr>
            <w:tcW w:w="3118" w:type="dxa"/>
            <w:vMerge w:val="restart"/>
            <w:tcBorders>
              <w:top w:val="single" w:sz="4" w:space="0" w:color="auto"/>
              <w:bottom w:val="single" w:sz="4" w:space="0" w:color="auto"/>
            </w:tcBorders>
            <w:vAlign w:val="center"/>
          </w:tcPr>
          <w:p w:rsidR="00212513" w:rsidRDefault="00212513">
            <w:pPr>
              <w:pStyle w:val="ConsPlusNormal"/>
              <w:jc w:val="center"/>
            </w:pPr>
            <w:r>
              <w:t>Эффективный коэффициент концентрации напряжений </w:t>
            </w:r>
            <w:r>
              <w:rPr>
                <w:noProof/>
                <w:position w:val="-6"/>
              </w:rPr>
              <w:drawing>
                <wp:inline distT="0" distB="0" distL="0" distR="0">
                  <wp:extent cx="167640" cy="220345"/>
                  <wp:effectExtent l="0" t="0" r="0" b="0"/>
                  <wp:docPr id="1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4" cstate="print">
                            <a:extLst>
                              <a:ext uri="{28A0092B-C50C-407E-A947-70E740481C1C}">
                                <a14:useLocalDpi xmlns:a14="http://schemas.microsoft.com/office/drawing/2010/main" val="0"/>
                              </a:ext>
                            </a:extLst>
                          </a:blip>
                          <a:srcRect/>
                          <a:stretch>
                            <a:fillRect/>
                          </a:stretch>
                        </pic:blipFill>
                        <pic:spPr bwMode="auto">
                          <a:xfrm>
                            <a:off x="0" y="0"/>
                            <a:ext cx="167640" cy="220345"/>
                          </a:xfrm>
                          <a:prstGeom prst="rect">
                            <a:avLst/>
                          </a:prstGeom>
                          <a:noFill/>
                          <a:ln>
                            <a:noFill/>
                          </a:ln>
                        </pic:spPr>
                      </pic:pic>
                    </a:graphicData>
                  </a:graphic>
                </wp:inline>
              </w:drawing>
            </w:r>
          </w:p>
        </w:tc>
        <w:tc>
          <w:tcPr>
            <w:tcW w:w="5962" w:type="dxa"/>
            <w:gridSpan w:val="4"/>
            <w:tcBorders>
              <w:top w:val="single" w:sz="4" w:space="0" w:color="auto"/>
              <w:bottom w:val="single" w:sz="4" w:space="0" w:color="auto"/>
            </w:tcBorders>
            <w:vAlign w:val="center"/>
          </w:tcPr>
          <w:p w:rsidR="00212513" w:rsidRDefault="00212513">
            <w:pPr>
              <w:pStyle w:val="ConsPlusNormal"/>
              <w:jc w:val="center"/>
            </w:pPr>
            <w:r>
              <w:t>Значения коэффициентов ню и кси для классов прочности стали</w:t>
            </w:r>
          </w:p>
        </w:tc>
      </w:tr>
      <w:tr w:rsidR="00212513">
        <w:tc>
          <w:tcPr>
            <w:tcW w:w="3118" w:type="dxa"/>
            <w:vMerge/>
            <w:tcBorders>
              <w:top w:val="single" w:sz="4" w:space="0" w:color="auto"/>
              <w:bottom w:val="single" w:sz="4" w:space="0" w:color="auto"/>
            </w:tcBorders>
          </w:tcPr>
          <w:p w:rsidR="00212513" w:rsidRDefault="00212513">
            <w:pPr>
              <w:pStyle w:val="ConsPlusNormal"/>
            </w:pPr>
          </w:p>
        </w:tc>
        <w:tc>
          <w:tcPr>
            <w:tcW w:w="2980" w:type="dxa"/>
            <w:gridSpan w:val="2"/>
            <w:tcBorders>
              <w:top w:val="single" w:sz="4" w:space="0" w:color="auto"/>
              <w:bottom w:val="single" w:sz="4" w:space="0" w:color="auto"/>
            </w:tcBorders>
            <w:vAlign w:val="center"/>
          </w:tcPr>
          <w:p w:rsidR="00212513" w:rsidRDefault="00212513">
            <w:pPr>
              <w:pStyle w:val="ConsPlusNormal"/>
              <w:jc w:val="center"/>
            </w:pPr>
            <w:r>
              <w:t>С235</w:t>
            </w:r>
          </w:p>
        </w:tc>
        <w:tc>
          <w:tcPr>
            <w:tcW w:w="2982" w:type="dxa"/>
            <w:gridSpan w:val="2"/>
            <w:tcBorders>
              <w:top w:val="single" w:sz="4" w:space="0" w:color="auto"/>
              <w:bottom w:val="single" w:sz="4" w:space="0" w:color="auto"/>
            </w:tcBorders>
            <w:vAlign w:val="center"/>
          </w:tcPr>
          <w:p w:rsidR="00212513" w:rsidRDefault="00212513">
            <w:pPr>
              <w:pStyle w:val="ConsPlusNormal"/>
              <w:jc w:val="center"/>
            </w:pPr>
            <w:r>
              <w:t>С325 - С390</w:t>
            </w:r>
          </w:p>
        </w:tc>
      </w:tr>
      <w:tr w:rsidR="00212513">
        <w:tc>
          <w:tcPr>
            <w:tcW w:w="3118" w:type="dxa"/>
            <w:vMerge/>
            <w:tcBorders>
              <w:top w:val="single" w:sz="4" w:space="0" w:color="auto"/>
              <w:bottom w:val="single" w:sz="4" w:space="0" w:color="auto"/>
            </w:tcBorders>
          </w:tcPr>
          <w:p w:rsidR="00212513" w:rsidRDefault="00212513">
            <w:pPr>
              <w:pStyle w:val="ConsPlusNormal"/>
            </w:pPr>
          </w:p>
        </w:tc>
        <w:tc>
          <w:tcPr>
            <w:tcW w:w="1490" w:type="dxa"/>
            <w:tcBorders>
              <w:top w:val="single" w:sz="4" w:space="0" w:color="auto"/>
              <w:bottom w:val="single" w:sz="4" w:space="0" w:color="auto"/>
            </w:tcBorders>
            <w:vAlign w:val="center"/>
          </w:tcPr>
          <w:p w:rsidR="00212513" w:rsidRDefault="00212513">
            <w:pPr>
              <w:pStyle w:val="ConsPlusNormal"/>
              <w:jc w:val="center"/>
            </w:pPr>
            <w:r>
              <w:rPr>
                <w:noProof/>
                <w:position w:val="-1"/>
              </w:rPr>
              <w:drawing>
                <wp:inline distT="0" distB="0" distL="0" distR="0">
                  <wp:extent cx="136525" cy="157480"/>
                  <wp:effectExtent l="0" t="0" r="0" b="0"/>
                  <wp:docPr id="1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5"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p>
        </w:tc>
        <w:tc>
          <w:tcPr>
            <w:tcW w:w="1490" w:type="dxa"/>
            <w:tcBorders>
              <w:top w:val="single" w:sz="4" w:space="0" w:color="auto"/>
              <w:bottom w:val="single" w:sz="4" w:space="0" w:color="auto"/>
            </w:tcBorders>
            <w:vAlign w:val="center"/>
          </w:tcPr>
          <w:p w:rsidR="00212513" w:rsidRDefault="00212513">
            <w:pPr>
              <w:pStyle w:val="ConsPlusNormal"/>
              <w:jc w:val="center"/>
            </w:pPr>
            <w:r>
              <w:rPr>
                <w:noProof/>
                <w:position w:val="-6"/>
              </w:rPr>
              <w:drawing>
                <wp:inline distT="0" distB="0" distL="0" distR="0">
                  <wp:extent cx="136525" cy="220345"/>
                  <wp:effectExtent l="0" t="0" r="0" b="0"/>
                  <wp:docPr id="1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6" cstate="print">
                            <a:extLst>
                              <a:ext uri="{28A0092B-C50C-407E-A947-70E740481C1C}">
                                <a14:useLocalDpi xmlns:a14="http://schemas.microsoft.com/office/drawing/2010/main" val="0"/>
                              </a:ext>
                            </a:extLst>
                          </a:blip>
                          <a:srcRect/>
                          <a:stretch>
                            <a:fillRect/>
                          </a:stretch>
                        </pic:blipFill>
                        <pic:spPr bwMode="auto">
                          <a:xfrm>
                            <a:off x="0" y="0"/>
                            <a:ext cx="136525" cy="220345"/>
                          </a:xfrm>
                          <a:prstGeom prst="rect">
                            <a:avLst/>
                          </a:prstGeom>
                          <a:noFill/>
                          <a:ln>
                            <a:noFill/>
                          </a:ln>
                        </pic:spPr>
                      </pic:pic>
                    </a:graphicData>
                  </a:graphic>
                </wp:inline>
              </w:drawing>
            </w:r>
          </w:p>
        </w:tc>
        <w:tc>
          <w:tcPr>
            <w:tcW w:w="1490" w:type="dxa"/>
            <w:tcBorders>
              <w:top w:val="single" w:sz="4" w:space="0" w:color="auto"/>
              <w:bottom w:val="single" w:sz="4" w:space="0" w:color="auto"/>
            </w:tcBorders>
            <w:vAlign w:val="center"/>
          </w:tcPr>
          <w:p w:rsidR="00212513" w:rsidRDefault="00212513">
            <w:pPr>
              <w:pStyle w:val="ConsPlusNormal"/>
              <w:jc w:val="center"/>
            </w:pPr>
            <w:r>
              <w:rPr>
                <w:noProof/>
                <w:position w:val="-1"/>
              </w:rPr>
              <w:drawing>
                <wp:inline distT="0" distB="0" distL="0" distR="0">
                  <wp:extent cx="136525" cy="157480"/>
                  <wp:effectExtent l="0" t="0" r="0" b="0"/>
                  <wp:docPr id="1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5"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p>
        </w:tc>
        <w:tc>
          <w:tcPr>
            <w:tcW w:w="1492" w:type="dxa"/>
            <w:tcBorders>
              <w:top w:val="single" w:sz="4" w:space="0" w:color="auto"/>
              <w:bottom w:val="single" w:sz="4" w:space="0" w:color="auto"/>
            </w:tcBorders>
            <w:vAlign w:val="center"/>
          </w:tcPr>
          <w:p w:rsidR="00212513" w:rsidRDefault="00212513">
            <w:pPr>
              <w:pStyle w:val="ConsPlusNormal"/>
              <w:jc w:val="center"/>
            </w:pPr>
            <w:r>
              <w:rPr>
                <w:noProof/>
                <w:position w:val="-6"/>
              </w:rPr>
              <w:drawing>
                <wp:inline distT="0" distB="0" distL="0" distR="0">
                  <wp:extent cx="136525" cy="220345"/>
                  <wp:effectExtent l="0" t="0" r="0" b="0"/>
                  <wp:docPr id="1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6" cstate="print">
                            <a:extLst>
                              <a:ext uri="{28A0092B-C50C-407E-A947-70E740481C1C}">
                                <a14:useLocalDpi xmlns:a14="http://schemas.microsoft.com/office/drawing/2010/main" val="0"/>
                              </a:ext>
                            </a:extLst>
                          </a:blip>
                          <a:srcRect/>
                          <a:stretch>
                            <a:fillRect/>
                          </a:stretch>
                        </pic:blipFill>
                        <pic:spPr bwMode="auto">
                          <a:xfrm>
                            <a:off x="0" y="0"/>
                            <a:ext cx="136525" cy="220345"/>
                          </a:xfrm>
                          <a:prstGeom prst="rect">
                            <a:avLst/>
                          </a:prstGeom>
                          <a:noFill/>
                          <a:ln>
                            <a:noFill/>
                          </a:ln>
                        </pic:spPr>
                      </pic:pic>
                    </a:graphicData>
                  </a:graphic>
                </wp:inline>
              </w:drawing>
            </w:r>
          </w:p>
        </w:tc>
      </w:tr>
      <w:tr w:rsidR="00212513">
        <w:tblPrEx>
          <w:tblBorders>
            <w:insideH w:val="none" w:sz="0" w:space="0" w:color="auto"/>
          </w:tblBorders>
        </w:tblPrEx>
        <w:tc>
          <w:tcPr>
            <w:tcW w:w="3118" w:type="dxa"/>
            <w:tcBorders>
              <w:top w:val="single" w:sz="4" w:space="0" w:color="auto"/>
              <w:bottom w:val="nil"/>
            </w:tcBorders>
          </w:tcPr>
          <w:p w:rsidR="00212513" w:rsidRDefault="00212513">
            <w:pPr>
              <w:pStyle w:val="ConsPlusNormal"/>
              <w:jc w:val="center"/>
            </w:pPr>
            <w:r>
              <w:lastRenderedPageBreak/>
              <w:t>1,0</w:t>
            </w:r>
          </w:p>
        </w:tc>
        <w:tc>
          <w:tcPr>
            <w:tcW w:w="1490" w:type="dxa"/>
            <w:tcBorders>
              <w:top w:val="single" w:sz="4" w:space="0" w:color="auto"/>
              <w:bottom w:val="nil"/>
            </w:tcBorders>
          </w:tcPr>
          <w:p w:rsidR="00212513" w:rsidRDefault="00212513">
            <w:pPr>
              <w:pStyle w:val="ConsPlusNormal"/>
              <w:jc w:val="center"/>
            </w:pPr>
            <w:r>
              <w:t>1,45</w:t>
            </w:r>
          </w:p>
        </w:tc>
        <w:tc>
          <w:tcPr>
            <w:tcW w:w="1490" w:type="dxa"/>
            <w:tcBorders>
              <w:top w:val="single" w:sz="4" w:space="0" w:color="auto"/>
              <w:bottom w:val="nil"/>
            </w:tcBorders>
          </w:tcPr>
          <w:p w:rsidR="00212513" w:rsidRDefault="00212513">
            <w:pPr>
              <w:pStyle w:val="ConsPlusNormal"/>
              <w:jc w:val="center"/>
            </w:pPr>
            <w:r>
              <w:t>0,0205</w:t>
            </w:r>
          </w:p>
        </w:tc>
        <w:tc>
          <w:tcPr>
            <w:tcW w:w="1490" w:type="dxa"/>
            <w:tcBorders>
              <w:top w:val="single" w:sz="4" w:space="0" w:color="auto"/>
              <w:bottom w:val="nil"/>
            </w:tcBorders>
          </w:tcPr>
          <w:p w:rsidR="00212513" w:rsidRDefault="00212513">
            <w:pPr>
              <w:pStyle w:val="ConsPlusNormal"/>
              <w:jc w:val="center"/>
            </w:pPr>
            <w:r>
              <w:t>1,65</w:t>
            </w:r>
          </w:p>
        </w:tc>
        <w:tc>
          <w:tcPr>
            <w:tcW w:w="1492" w:type="dxa"/>
            <w:tcBorders>
              <w:top w:val="single" w:sz="4" w:space="0" w:color="auto"/>
              <w:bottom w:val="nil"/>
            </w:tcBorders>
          </w:tcPr>
          <w:p w:rsidR="00212513" w:rsidRDefault="00212513">
            <w:pPr>
              <w:pStyle w:val="ConsPlusNormal"/>
              <w:jc w:val="center"/>
            </w:pPr>
            <w:r>
              <w:t>0,0295</w:t>
            </w:r>
          </w:p>
        </w:tc>
      </w:tr>
      <w:tr w:rsidR="00212513">
        <w:tblPrEx>
          <w:tblBorders>
            <w:insideH w:val="none" w:sz="0" w:space="0" w:color="auto"/>
          </w:tblBorders>
        </w:tblPrEx>
        <w:tc>
          <w:tcPr>
            <w:tcW w:w="3118" w:type="dxa"/>
            <w:tcBorders>
              <w:top w:val="nil"/>
              <w:bottom w:val="nil"/>
            </w:tcBorders>
          </w:tcPr>
          <w:p w:rsidR="00212513" w:rsidRDefault="00212513">
            <w:pPr>
              <w:pStyle w:val="ConsPlusNormal"/>
              <w:jc w:val="center"/>
            </w:pPr>
            <w:r>
              <w:t>1,1</w:t>
            </w:r>
          </w:p>
        </w:tc>
        <w:tc>
          <w:tcPr>
            <w:tcW w:w="1490" w:type="dxa"/>
            <w:tcBorders>
              <w:top w:val="nil"/>
              <w:bottom w:val="nil"/>
            </w:tcBorders>
          </w:tcPr>
          <w:p w:rsidR="00212513" w:rsidRDefault="00212513">
            <w:pPr>
              <w:pStyle w:val="ConsPlusNormal"/>
              <w:jc w:val="center"/>
            </w:pPr>
            <w:r>
              <w:t>1,48</w:t>
            </w:r>
          </w:p>
        </w:tc>
        <w:tc>
          <w:tcPr>
            <w:tcW w:w="1490" w:type="dxa"/>
            <w:tcBorders>
              <w:top w:val="nil"/>
              <w:bottom w:val="nil"/>
            </w:tcBorders>
          </w:tcPr>
          <w:p w:rsidR="00212513" w:rsidRDefault="00212513">
            <w:pPr>
              <w:pStyle w:val="ConsPlusNormal"/>
              <w:jc w:val="center"/>
            </w:pPr>
            <w:r>
              <w:t>0,0218</w:t>
            </w:r>
          </w:p>
        </w:tc>
        <w:tc>
          <w:tcPr>
            <w:tcW w:w="1490" w:type="dxa"/>
            <w:tcBorders>
              <w:top w:val="nil"/>
              <w:bottom w:val="nil"/>
            </w:tcBorders>
          </w:tcPr>
          <w:p w:rsidR="00212513" w:rsidRDefault="00212513">
            <w:pPr>
              <w:pStyle w:val="ConsPlusNormal"/>
              <w:jc w:val="center"/>
            </w:pPr>
            <w:r>
              <w:t>1,69</w:t>
            </w:r>
          </w:p>
        </w:tc>
        <w:tc>
          <w:tcPr>
            <w:tcW w:w="1492" w:type="dxa"/>
            <w:tcBorders>
              <w:top w:val="nil"/>
              <w:bottom w:val="nil"/>
            </w:tcBorders>
          </w:tcPr>
          <w:p w:rsidR="00212513" w:rsidRDefault="00212513">
            <w:pPr>
              <w:pStyle w:val="ConsPlusNormal"/>
              <w:jc w:val="center"/>
            </w:pPr>
            <w:r>
              <w:t>0,0315</w:t>
            </w:r>
          </w:p>
        </w:tc>
      </w:tr>
      <w:tr w:rsidR="00212513">
        <w:tblPrEx>
          <w:tblBorders>
            <w:insideH w:val="none" w:sz="0" w:space="0" w:color="auto"/>
          </w:tblBorders>
        </w:tblPrEx>
        <w:tc>
          <w:tcPr>
            <w:tcW w:w="3118" w:type="dxa"/>
            <w:tcBorders>
              <w:top w:val="nil"/>
              <w:bottom w:val="nil"/>
            </w:tcBorders>
          </w:tcPr>
          <w:p w:rsidR="00212513" w:rsidRDefault="00212513">
            <w:pPr>
              <w:pStyle w:val="ConsPlusNormal"/>
              <w:jc w:val="center"/>
            </w:pPr>
            <w:r>
              <w:t>1,2</w:t>
            </w:r>
          </w:p>
        </w:tc>
        <w:tc>
          <w:tcPr>
            <w:tcW w:w="1490" w:type="dxa"/>
            <w:tcBorders>
              <w:top w:val="nil"/>
              <w:bottom w:val="nil"/>
            </w:tcBorders>
          </w:tcPr>
          <w:p w:rsidR="00212513" w:rsidRDefault="00212513">
            <w:pPr>
              <w:pStyle w:val="ConsPlusNormal"/>
              <w:jc w:val="center"/>
            </w:pPr>
            <w:r>
              <w:t>1,51</w:t>
            </w:r>
          </w:p>
        </w:tc>
        <w:tc>
          <w:tcPr>
            <w:tcW w:w="1490" w:type="dxa"/>
            <w:tcBorders>
              <w:top w:val="nil"/>
              <w:bottom w:val="nil"/>
            </w:tcBorders>
          </w:tcPr>
          <w:p w:rsidR="00212513" w:rsidRDefault="00212513">
            <w:pPr>
              <w:pStyle w:val="ConsPlusNormal"/>
              <w:jc w:val="center"/>
            </w:pPr>
            <w:r>
              <w:t>0,0232</w:t>
            </w:r>
          </w:p>
        </w:tc>
        <w:tc>
          <w:tcPr>
            <w:tcW w:w="1490" w:type="dxa"/>
            <w:tcBorders>
              <w:top w:val="nil"/>
              <w:bottom w:val="nil"/>
            </w:tcBorders>
          </w:tcPr>
          <w:p w:rsidR="00212513" w:rsidRDefault="00212513">
            <w:pPr>
              <w:pStyle w:val="ConsPlusNormal"/>
              <w:jc w:val="center"/>
            </w:pPr>
            <w:r>
              <w:t>1,74</w:t>
            </w:r>
          </w:p>
        </w:tc>
        <w:tc>
          <w:tcPr>
            <w:tcW w:w="1492" w:type="dxa"/>
            <w:tcBorders>
              <w:top w:val="nil"/>
              <w:bottom w:val="nil"/>
            </w:tcBorders>
          </w:tcPr>
          <w:p w:rsidR="00212513" w:rsidRDefault="00212513">
            <w:pPr>
              <w:pStyle w:val="ConsPlusNormal"/>
              <w:jc w:val="center"/>
            </w:pPr>
            <w:r>
              <w:t>0,0335</w:t>
            </w:r>
          </w:p>
        </w:tc>
      </w:tr>
      <w:tr w:rsidR="00212513">
        <w:tblPrEx>
          <w:tblBorders>
            <w:insideH w:val="none" w:sz="0" w:space="0" w:color="auto"/>
          </w:tblBorders>
        </w:tblPrEx>
        <w:tc>
          <w:tcPr>
            <w:tcW w:w="3118" w:type="dxa"/>
            <w:tcBorders>
              <w:top w:val="nil"/>
              <w:bottom w:val="nil"/>
            </w:tcBorders>
          </w:tcPr>
          <w:p w:rsidR="00212513" w:rsidRDefault="00212513">
            <w:pPr>
              <w:pStyle w:val="ConsPlusNormal"/>
              <w:jc w:val="center"/>
            </w:pPr>
            <w:r>
              <w:t>1,3</w:t>
            </w:r>
          </w:p>
        </w:tc>
        <w:tc>
          <w:tcPr>
            <w:tcW w:w="1490" w:type="dxa"/>
            <w:tcBorders>
              <w:top w:val="nil"/>
              <w:bottom w:val="nil"/>
            </w:tcBorders>
          </w:tcPr>
          <w:p w:rsidR="00212513" w:rsidRDefault="00212513">
            <w:pPr>
              <w:pStyle w:val="ConsPlusNormal"/>
              <w:jc w:val="center"/>
            </w:pPr>
            <w:r>
              <w:t>1,54</w:t>
            </w:r>
          </w:p>
        </w:tc>
        <w:tc>
          <w:tcPr>
            <w:tcW w:w="1490" w:type="dxa"/>
            <w:tcBorders>
              <w:top w:val="nil"/>
              <w:bottom w:val="nil"/>
            </w:tcBorders>
          </w:tcPr>
          <w:p w:rsidR="00212513" w:rsidRDefault="00212513">
            <w:pPr>
              <w:pStyle w:val="ConsPlusNormal"/>
              <w:jc w:val="center"/>
            </w:pPr>
            <w:r>
              <w:t>0,0245</w:t>
            </w:r>
          </w:p>
        </w:tc>
        <w:tc>
          <w:tcPr>
            <w:tcW w:w="1490" w:type="dxa"/>
            <w:tcBorders>
              <w:top w:val="nil"/>
              <w:bottom w:val="nil"/>
            </w:tcBorders>
          </w:tcPr>
          <w:p w:rsidR="00212513" w:rsidRDefault="00212513">
            <w:pPr>
              <w:pStyle w:val="ConsPlusNormal"/>
              <w:jc w:val="center"/>
            </w:pPr>
            <w:r>
              <w:t>1,79</w:t>
            </w:r>
          </w:p>
        </w:tc>
        <w:tc>
          <w:tcPr>
            <w:tcW w:w="1492" w:type="dxa"/>
            <w:tcBorders>
              <w:top w:val="nil"/>
              <w:bottom w:val="nil"/>
            </w:tcBorders>
          </w:tcPr>
          <w:p w:rsidR="00212513" w:rsidRDefault="00212513">
            <w:pPr>
              <w:pStyle w:val="ConsPlusNormal"/>
              <w:jc w:val="center"/>
            </w:pPr>
            <w:r>
              <w:t>0,0355</w:t>
            </w:r>
          </w:p>
        </w:tc>
      </w:tr>
      <w:tr w:rsidR="00212513">
        <w:tblPrEx>
          <w:tblBorders>
            <w:insideH w:val="none" w:sz="0" w:space="0" w:color="auto"/>
          </w:tblBorders>
        </w:tblPrEx>
        <w:tc>
          <w:tcPr>
            <w:tcW w:w="3118" w:type="dxa"/>
            <w:tcBorders>
              <w:top w:val="nil"/>
              <w:bottom w:val="nil"/>
            </w:tcBorders>
          </w:tcPr>
          <w:p w:rsidR="00212513" w:rsidRDefault="00212513">
            <w:pPr>
              <w:pStyle w:val="ConsPlusNormal"/>
              <w:jc w:val="center"/>
            </w:pPr>
            <w:r>
              <w:t>1,4</w:t>
            </w:r>
          </w:p>
        </w:tc>
        <w:tc>
          <w:tcPr>
            <w:tcW w:w="1490" w:type="dxa"/>
            <w:tcBorders>
              <w:top w:val="nil"/>
              <w:bottom w:val="nil"/>
            </w:tcBorders>
          </w:tcPr>
          <w:p w:rsidR="00212513" w:rsidRDefault="00212513">
            <w:pPr>
              <w:pStyle w:val="ConsPlusNormal"/>
              <w:jc w:val="center"/>
            </w:pPr>
            <w:r>
              <w:t>1,57</w:t>
            </w:r>
          </w:p>
        </w:tc>
        <w:tc>
          <w:tcPr>
            <w:tcW w:w="1490" w:type="dxa"/>
            <w:tcBorders>
              <w:top w:val="nil"/>
              <w:bottom w:val="nil"/>
            </w:tcBorders>
          </w:tcPr>
          <w:p w:rsidR="00212513" w:rsidRDefault="00212513">
            <w:pPr>
              <w:pStyle w:val="ConsPlusNormal"/>
              <w:jc w:val="center"/>
            </w:pPr>
            <w:r>
              <w:t>0,0258</w:t>
            </w:r>
          </w:p>
        </w:tc>
        <w:tc>
          <w:tcPr>
            <w:tcW w:w="1490" w:type="dxa"/>
            <w:tcBorders>
              <w:top w:val="nil"/>
              <w:bottom w:val="nil"/>
            </w:tcBorders>
          </w:tcPr>
          <w:p w:rsidR="00212513" w:rsidRDefault="00212513">
            <w:pPr>
              <w:pStyle w:val="ConsPlusNormal"/>
              <w:jc w:val="center"/>
            </w:pPr>
            <w:r>
              <w:t>1,83</w:t>
            </w:r>
          </w:p>
        </w:tc>
        <w:tc>
          <w:tcPr>
            <w:tcW w:w="1492" w:type="dxa"/>
            <w:tcBorders>
              <w:top w:val="nil"/>
              <w:bottom w:val="nil"/>
            </w:tcBorders>
          </w:tcPr>
          <w:p w:rsidR="00212513" w:rsidRDefault="00212513">
            <w:pPr>
              <w:pStyle w:val="ConsPlusNormal"/>
              <w:jc w:val="center"/>
            </w:pPr>
            <w:r>
              <w:t>0,0375</w:t>
            </w:r>
          </w:p>
        </w:tc>
      </w:tr>
      <w:tr w:rsidR="00212513">
        <w:tblPrEx>
          <w:tblBorders>
            <w:insideH w:val="none" w:sz="0" w:space="0" w:color="auto"/>
          </w:tblBorders>
        </w:tblPrEx>
        <w:tc>
          <w:tcPr>
            <w:tcW w:w="3118" w:type="dxa"/>
            <w:tcBorders>
              <w:top w:val="nil"/>
              <w:bottom w:val="nil"/>
            </w:tcBorders>
          </w:tcPr>
          <w:p w:rsidR="00212513" w:rsidRDefault="00212513">
            <w:pPr>
              <w:pStyle w:val="ConsPlusNormal"/>
              <w:jc w:val="center"/>
            </w:pPr>
            <w:r>
              <w:t>1,5</w:t>
            </w:r>
          </w:p>
        </w:tc>
        <w:tc>
          <w:tcPr>
            <w:tcW w:w="1490" w:type="dxa"/>
            <w:tcBorders>
              <w:top w:val="nil"/>
              <w:bottom w:val="nil"/>
            </w:tcBorders>
          </w:tcPr>
          <w:p w:rsidR="00212513" w:rsidRDefault="00212513">
            <w:pPr>
              <w:pStyle w:val="ConsPlusNormal"/>
              <w:jc w:val="center"/>
            </w:pPr>
            <w:r>
              <w:t>1,60</w:t>
            </w:r>
          </w:p>
        </w:tc>
        <w:tc>
          <w:tcPr>
            <w:tcW w:w="1490" w:type="dxa"/>
            <w:tcBorders>
              <w:top w:val="nil"/>
              <w:bottom w:val="nil"/>
            </w:tcBorders>
          </w:tcPr>
          <w:p w:rsidR="00212513" w:rsidRDefault="00212513">
            <w:pPr>
              <w:pStyle w:val="ConsPlusNormal"/>
              <w:jc w:val="center"/>
            </w:pPr>
            <w:r>
              <w:t>0,0271</w:t>
            </w:r>
          </w:p>
        </w:tc>
        <w:tc>
          <w:tcPr>
            <w:tcW w:w="1490" w:type="dxa"/>
            <w:tcBorders>
              <w:top w:val="nil"/>
              <w:bottom w:val="nil"/>
            </w:tcBorders>
          </w:tcPr>
          <w:p w:rsidR="00212513" w:rsidRDefault="00212513">
            <w:pPr>
              <w:pStyle w:val="ConsPlusNormal"/>
              <w:jc w:val="center"/>
            </w:pPr>
            <w:r>
              <w:t>1,87</w:t>
            </w:r>
          </w:p>
        </w:tc>
        <w:tc>
          <w:tcPr>
            <w:tcW w:w="1492" w:type="dxa"/>
            <w:tcBorders>
              <w:top w:val="nil"/>
              <w:bottom w:val="nil"/>
            </w:tcBorders>
          </w:tcPr>
          <w:p w:rsidR="00212513" w:rsidRDefault="00212513">
            <w:pPr>
              <w:pStyle w:val="ConsPlusNormal"/>
              <w:jc w:val="center"/>
            </w:pPr>
            <w:r>
              <w:t>0,0395</w:t>
            </w:r>
          </w:p>
        </w:tc>
      </w:tr>
      <w:tr w:rsidR="00212513">
        <w:tblPrEx>
          <w:tblBorders>
            <w:insideH w:val="none" w:sz="0" w:space="0" w:color="auto"/>
          </w:tblBorders>
        </w:tblPrEx>
        <w:tc>
          <w:tcPr>
            <w:tcW w:w="3118" w:type="dxa"/>
            <w:tcBorders>
              <w:top w:val="nil"/>
              <w:bottom w:val="nil"/>
            </w:tcBorders>
          </w:tcPr>
          <w:p w:rsidR="00212513" w:rsidRDefault="00212513">
            <w:pPr>
              <w:pStyle w:val="ConsPlusNormal"/>
              <w:jc w:val="center"/>
            </w:pPr>
            <w:r>
              <w:t>1,6</w:t>
            </w:r>
          </w:p>
        </w:tc>
        <w:tc>
          <w:tcPr>
            <w:tcW w:w="1490" w:type="dxa"/>
            <w:tcBorders>
              <w:top w:val="nil"/>
              <w:bottom w:val="nil"/>
            </w:tcBorders>
          </w:tcPr>
          <w:p w:rsidR="00212513" w:rsidRDefault="00212513">
            <w:pPr>
              <w:pStyle w:val="ConsPlusNormal"/>
              <w:jc w:val="center"/>
            </w:pPr>
            <w:r>
              <w:t>1,63</w:t>
            </w:r>
          </w:p>
        </w:tc>
        <w:tc>
          <w:tcPr>
            <w:tcW w:w="1490" w:type="dxa"/>
            <w:tcBorders>
              <w:top w:val="nil"/>
              <w:bottom w:val="nil"/>
            </w:tcBorders>
          </w:tcPr>
          <w:p w:rsidR="00212513" w:rsidRDefault="00212513">
            <w:pPr>
              <w:pStyle w:val="ConsPlusNormal"/>
              <w:jc w:val="center"/>
            </w:pPr>
            <w:r>
              <w:t>0,0285</w:t>
            </w:r>
          </w:p>
        </w:tc>
        <w:tc>
          <w:tcPr>
            <w:tcW w:w="1490" w:type="dxa"/>
            <w:tcBorders>
              <w:top w:val="nil"/>
              <w:bottom w:val="nil"/>
            </w:tcBorders>
          </w:tcPr>
          <w:p w:rsidR="00212513" w:rsidRDefault="00212513">
            <w:pPr>
              <w:pStyle w:val="ConsPlusNormal"/>
              <w:jc w:val="center"/>
            </w:pPr>
            <w:r>
              <w:t>1,91</w:t>
            </w:r>
          </w:p>
        </w:tc>
        <w:tc>
          <w:tcPr>
            <w:tcW w:w="1492" w:type="dxa"/>
            <w:tcBorders>
              <w:top w:val="nil"/>
              <w:bottom w:val="nil"/>
            </w:tcBorders>
          </w:tcPr>
          <w:p w:rsidR="00212513" w:rsidRDefault="00212513">
            <w:pPr>
              <w:pStyle w:val="ConsPlusNormal"/>
              <w:jc w:val="center"/>
            </w:pPr>
            <w:r>
              <w:t>0,0415</w:t>
            </w:r>
          </w:p>
        </w:tc>
      </w:tr>
      <w:tr w:rsidR="00212513">
        <w:tblPrEx>
          <w:tblBorders>
            <w:insideH w:val="none" w:sz="0" w:space="0" w:color="auto"/>
          </w:tblBorders>
        </w:tblPrEx>
        <w:tc>
          <w:tcPr>
            <w:tcW w:w="3118" w:type="dxa"/>
            <w:tcBorders>
              <w:top w:val="nil"/>
              <w:bottom w:val="nil"/>
            </w:tcBorders>
          </w:tcPr>
          <w:p w:rsidR="00212513" w:rsidRDefault="00212513">
            <w:pPr>
              <w:pStyle w:val="ConsPlusNormal"/>
              <w:jc w:val="center"/>
            </w:pPr>
            <w:r>
              <w:t>1,7</w:t>
            </w:r>
          </w:p>
        </w:tc>
        <w:tc>
          <w:tcPr>
            <w:tcW w:w="1490" w:type="dxa"/>
            <w:tcBorders>
              <w:top w:val="nil"/>
              <w:bottom w:val="nil"/>
            </w:tcBorders>
          </w:tcPr>
          <w:p w:rsidR="00212513" w:rsidRDefault="00212513">
            <w:pPr>
              <w:pStyle w:val="ConsPlusNormal"/>
              <w:jc w:val="center"/>
            </w:pPr>
            <w:r>
              <w:t>1,66</w:t>
            </w:r>
          </w:p>
        </w:tc>
        <w:tc>
          <w:tcPr>
            <w:tcW w:w="1490" w:type="dxa"/>
            <w:tcBorders>
              <w:top w:val="nil"/>
              <w:bottom w:val="nil"/>
            </w:tcBorders>
          </w:tcPr>
          <w:p w:rsidR="00212513" w:rsidRDefault="00212513">
            <w:pPr>
              <w:pStyle w:val="ConsPlusNormal"/>
              <w:jc w:val="center"/>
            </w:pPr>
            <w:r>
              <w:t>0,0298</w:t>
            </w:r>
          </w:p>
        </w:tc>
        <w:tc>
          <w:tcPr>
            <w:tcW w:w="1490" w:type="dxa"/>
            <w:tcBorders>
              <w:top w:val="nil"/>
              <w:bottom w:val="nil"/>
            </w:tcBorders>
          </w:tcPr>
          <w:p w:rsidR="00212513" w:rsidRDefault="00212513">
            <w:pPr>
              <w:pStyle w:val="ConsPlusNormal"/>
              <w:jc w:val="center"/>
            </w:pPr>
            <w:r>
              <w:t>1,96</w:t>
            </w:r>
          </w:p>
        </w:tc>
        <w:tc>
          <w:tcPr>
            <w:tcW w:w="1492" w:type="dxa"/>
            <w:tcBorders>
              <w:top w:val="nil"/>
              <w:bottom w:val="nil"/>
            </w:tcBorders>
          </w:tcPr>
          <w:p w:rsidR="00212513" w:rsidRDefault="00212513">
            <w:pPr>
              <w:pStyle w:val="ConsPlusNormal"/>
              <w:jc w:val="center"/>
            </w:pPr>
            <w:r>
              <w:t>0,0436</w:t>
            </w:r>
          </w:p>
        </w:tc>
      </w:tr>
      <w:tr w:rsidR="00212513">
        <w:tblPrEx>
          <w:tblBorders>
            <w:insideH w:val="none" w:sz="0" w:space="0" w:color="auto"/>
          </w:tblBorders>
        </w:tblPrEx>
        <w:tc>
          <w:tcPr>
            <w:tcW w:w="3118" w:type="dxa"/>
            <w:tcBorders>
              <w:top w:val="nil"/>
              <w:bottom w:val="nil"/>
            </w:tcBorders>
          </w:tcPr>
          <w:p w:rsidR="00212513" w:rsidRDefault="00212513">
            <w:pPr>
              <w:pStyle w:val="ConsPlusNormal"/>
              <w:jc w:val="center"/>
            </w:pPr>
            <w:r>
              <w:t>1,8</w:t>
            </w:r>
          </w:p>
        </w:tc>
        <w:tc>
          <w:tcPr>
            <w:tcW w:w="1490" w:type="dxa"/>
            <w:tcBorders>
              <w:top w:val="nil"/>
              <w:bottom w:val="nil"/>
            </w:tcBorders>
          </w:tcPr>
          <w:p w:rsidR="00212513" w:rsidRDefault="00212513">
            <w:pPr>
              <w:pStyle w:val="ConsPlusNormal"/>
              <w:jc w:val="center"/>
            </w:pPr>
            <w:r>
              <w:t>1,69</w:t>
            </w:r>
          </w:p>
        </w:tc>
        <w:tc>
          <w:tcPr>
            <w:tcW w:w="1490" w:type="dxa"/>
            <w:tcBorders>
              <w:top w:val="nil"/>
              <w:bottom w:val="nil"/>
            </w:tcBorders>
          </w:tcPr>
          <w:p w:rsidR="00212513" w:rsidRDefault="00212513">
            <w:pPr>
              <w:pStyle w:val="ConsPlusNormal"/>
              <w:jc w:val="center"/>
            </w:pPr>
            <w:r>
              <w:t>0,0311</w:t>
            </w:r>
          </w:p>
        </w:tc>
        <w:tc>
          <w:tcPr>
            <w:tcW w:w="1490" w:type="dxa"/>
            <w:tcBorders>
              <w:top w:val="nil"/>
              <w:bottom w:val="nil"/>
            </w:tcBorders>
          </w:tcPr>
          <w:p w:rsidR="00212513" w:rsidRDefault="00212513">
            <w:pPr>
              <w:pStyle w:val="ConsPlusNormal"/>
              <w:jc w:val="center"/>
            </w:pPr>
            <w:r>
              <w:t>2,00</w:t>
            </w:r>
          </w:p>
        </w:tc>
        <w:tc>
          <w:tcPr>
            <w:tcW w:w="1492" w:type="dxa"/>
            <w:tcBorders>
              <w:top w:val="nil"/>
              <w:bottom w:val="nil"/>
            </w:tcBorders>
          </w:tcPr>
          <w:p w:rsidR="00212513" w:rsidRDefault="00212513">
            <w:pPr>
              <w:pStyle w:val="ConsPlusNormal"/>
              <w:jc w:val="center"/>
            </w:pPr>
            <w:r>
              <w:t>0,0455</w:t>
            </w:r>
          </w:p>
        </w:tc>
      </w:tr>
      <w:tr w:rsidR="00212513">
        <w:tblPrEx>
          <w:tblBorders>
            <w:insideH w:val="none" w:sz="0" w:space="0" w:color="auto"/>
          </w:tblBorders>
        </w:tblPrEx>
        <w:tc>
          <w:tcPr>
            <w:tcW w:w="3118" w:type="dxa"/>
            <w:tcBorders>
              <w:top w:val="nil"/>
              <w:bottom w:val="nil"/>
            </w:tcBorders>
          </w:tcPr>
          <w:p w:rsidR="00212513" w:rsidRDefault="00212513">
            <w:pPr>
              <w:pStyle w:val="ConsPlusNormal"/>
              <w:jc w:val="center"/>
            </w:pPr>
            <w:r>
              <w:t>1,9</w:t>
            </w:r>
          </w:p>
        </w:tc>
        <w:tc>
          <w:tcPr>
            <w:tcW w:w="1490" w:type="dxa"/>
            <w:tcBorders>
              <w:top w:val="nil"/>
              <w:bottom w:val="nil"/>
            </w:tcBorders>
          </w:tcPr>
          <w:p w:rsidR="00212513" w:rsidRDefault="00212513">
            <w:pPr>
              <w:pStyle w:val="ConsPlusNormal"/>
              <w:jc w:val="center"/>
            </w:pPr>
            <w:r>
              <w:t>1,71</w:t>
            </w:r>
          </w:p>
        </w:tc>
        <w:tc>
          <w:tcPr>
            <w:tcW w:w="1490" w:type="dxa"/>
            <w:tcBorders>
              <w:top w:val="nil"/>
              <w:bottom w:val="nil"/>
            </w:tcBorders>
          </w:tcPr>
          <w:p w:rsidR="00212513" w:rsidRDefault="00212513">
            <w:pPr>
              <w:pStyle w:val="ConsPlusNormal"/>
              <w:jc w:val="center"/>
            </w:pPr>
            <w:r>
              <w:t>0,0325</w:t>
            </w:r>
          </w:p>
        </w:tc>
        <w:tc>
          <w:tcPr>
            <w:tcW w:w="1490" w:type="dxa"/>
            <w:tcBorders>
              <w:top w:val="nil"/>
              <w:bottom w:val="nil"/>
            </w:tcBorders>
          </w:tcPr>
          <w:p w:rsidR="00212513" w:rsidRDefault="00212513">
            <w:pPr>
              <w:pStyle w:val="ConsPlusNormal"/>
              <w:jc w:val="center"/>
            </w:pPr>
            <w:r>
              <w:t>2,04</w:t>
            </w:r>
          </w:p>
        </w:tc>
        <w:tc>
          <w:tcPr>
            <w:tcW w:w="1492" w:type="dxa"/>
            <w:tcBorders>
              <w:top w:val="nil"/>
              <w:bottom w:val="nil"/>
            </w:tcBorders>
          </w:tcPr>
          <w:p w:rsidR="00212513" w:rsidRDefault="00212513">
            <w:pPr>
              <w:pStyle w:val="ConsPlusNormal"/>
              <w:jc w:val="center"/>
            </w:pPr>
            <w:r>
              <w:t>0,0475</w:t>
            </w:r>
          </w:p>
        </w:tc>
      </w:tr>
      <w:tr w:rsidR="00212513">
        <w:tblPrEx>
          <w:tblBorders>
            <w:insideH w:val="none" w:sz="0" w:space="0" w:color="auto"/>
          </w:tblBorders>
        </w:tblPrEx>
        <w:tc>
          <w:tcPr>
            <w:tcW w:w="3118" w:type="dxa"/>
            <w:tcBorders>
              <w:top w:val="nil"/>
              <w:bottom w:val="nil"/>
            </w:tcBorders>
          </w:tcPr>
          <w:p w:rsidR="00212513" w:rsidRDefault="00212513">
            <w:pPr>
              <w:pStyle w:val="ConsPlusNormal"/>
              <w:jc w:val="center"/>
            </w:pPr>
            <w:r>
              <w:t>2,0</w:t>
            </w:r>
          </w:p>
        </w:tc>
        <w:tc>
          <w:tcPr>
            <w:tcW w:w="1490" w:type="dxa"/>
            <w:tcBorders>
              <w:top w:val="nil"/>
              <w:bottom w:val="nil"/>
            </w:tcBorders>
          </w:tcPr>
          <w:p w:rsidR="00212513" w:rsidRDefault="00212513">
            <w:pPr>
              <w:pStyle w:val="ConsPlusNormal"/>
              <w:jc w:val="center"/>
            </w:pPr>
            <w:r>
              <w:t>1,74</w:t>
            </w:r>
          </w:p>
        </w:tc>
        <w:tc>
          <w:tcPr>
            <w:tcW w:w="1490" w:type="dxa"/>
            <w:tcBorders>
              <w:top w:val="nil"/>
              <w:bottom w:val="nil"/>
            </w:tcBorders>
          </w:tcPr>
          <w:p w:rsidR="00212513" w:rsidRDefault="00212513">
            <w:pPr>
              <w:pStyle w:val="ConsPlusNormal"/>
              <w:jc w:val="center"/>
            </w:pPr>
            <w:r>
              <w:t>0,0338</w:t>
            </w:r>
          </w:p>
        </w:tc>
        <w:tc>
          <w:tcPr>
            <w:tcW w:w="1490" w:type="dxa"/>
            <w:tcBorders>
              <w:top w:val="nil"/>
              <w:bottom w:val="nil"/>
            </w:tcBorders>
          </w:tcPr>
          <w:p w:rsidR="00212513" w:rsidRDefault="00212513">
            <w:pPr>
              <w:pStyle w:val="ConsPlusNormal"/>
              <w:jc w:val="center"/>
            </w:pPr>
            <w:r>
              <w:t>2,09</w:t>
            </w:r>
          </w:p>
        </w:tc>
        <w:tc>
          <w:tcPr>
            <w:tcW w:w="1492" w:type="dxa"/>
            <w:tcBorders>
              <w:top w:val="nil"/>
              <w:bottom w:val="nil"/>
            </w:tcBorders>
          </w:tcPr>
          <w:p w:rsidR="00212513" w:rsidRDefault="00212513">
            <w:pPr>
              <w:pStyle w:val="ConsPlusNormal"/>
              <w:jc w:val="center"/>
            </w:pPr>
            <w:r>
              <w:t>0,0495</w:t>
            </w:r>
          </w:p>
        </w:tc>
      </w:tr>
      <w:tr w:rsidR="00212513">
        <w:tblPrEx>
          <w:tblBorders>
            <w:insideH w:val="none" w:sz="0" w:space="0" w:color="auto"/>
          </w:tblBorders>
        </w:tblPrEx>
        <w:tc>
          <w:tcPr>
            <w:tcW w:w="3118" w:type="dxa"/>
            <w:tcBorders>
              <w:top w:val="nil"/>
              <w:bottom w:val="nil"/>
            </w:tcBorders>
          </w:tcPr>
          <w:p w:rsidR="00212513" w:rsidRDefault="00212513">
            <w:pPr>
              <w:pStyle w:val="ConsPlusNormal"/>
              <w:jc w:val="center"/>
            </w:pPr>
            <w:r>
              <w:t>2,2</w:t>
            </w:r>
          </w:p>
        </w:tc>
        <w:tc>
          <w:tcPr>
            <w:tcW w:w="1490" w:type="dxa"/>
            <w:tcBorders>
              <w:top w:val="nil"/>
              <w:bottom w:val="nil"/>
            </w:tcBorders>
          </w:tcPr>
          <w:p w:rsidR="00212513" w:rsidRDefault="00212513">
            <w:pPr>
              <w:pStyle w:val="ConsPlusNormal"/>
              <w:jc w:val="center"/>
            </w:pPr>
            <w:r>
              <w:t>1,80</w:t>
            </w:r>
          </w:p>
        </w:tc>
        <w:tc>
          <w:tcPr>
            <w:tcW w:w="1490" w:type="dxa"/>
            <w:tcBorders>
              <w:top w:val="nil"/>
              <w:bottom w:val="nil"/>
            </w:tcBorders>
          </w:tcPr>
          <w:p w:rsidR="00212513" w:rsidRDefault="00212513">
            <w:pPr>
              <w:pStyle w:val="ConsPlusNormal"/>
              <w:jc w:val="center"/>
            </w:pPr>
            <w:r>
              <w:t>0,0364</w:t>
            </w:r>
          </w:p>
        </w:tc>
        <w:tc>
          <w:tcPr>
            <w:tcW w:w="1490" w:type="dxa"/>
            <w:tcBorders>
              <w:top w:val="nil"/>
              <w:bottom w:val="nil"/>
            </w:tcBorders>
          </w:tcPr>
          <w:p w:rsidR="00212513" w:rsidRDefault="00212513">
            <w:pPr>
              <w:pStyle w:val="ConsPlusNormal"/>
              <w:jc w:val="center"/>
            </w:pPr>
            <w:r>
              <w:t>2,18</w:t>
            </w:r>
          </w:p>
        </w:tc>
        <w:tc>
          <w:tcPr>
            <w:tcW w:w="1492" w:type="dxa"/>
            <w:tcBorders>
              <w:top w:val="nil"/>
              <w:bottom w:val="nil"/>
            </w:tcBorders>
          </w:tcPr>
          <w:p w:rsidR="00212513" w:rsidRDefault="00212513">
            <w:pPr>
              <w:pStyle w:val="ConsPlusNormal"/>
              <w:jc w:val="center"/>
            </w:pPr>
            <w:r>
              <w:t>0,0536</w:t>
            </w:r>
          </w:p>
        </w:tc>
      </w:tr>
      <w:tr w:rsidR="00212513">
        <w:tblPrEx>
          <w:tblBorders>
            <w:insideH w:val="none" w:sz="0" w:space="0" w:color="auto"/>
          </w:tblBorders>
        </w:tblPrEx>
        <w:tc>
          <w:tcPr>
            <w:tcW w:w="3118" w:type="dxa"/>
            <w:tcBorders>
              <w:top w:val="nil"/>
              <w:bottom w:val="nil"/>
            </w:tcBorders>
          </w:tcPr>
          <w:p w:rsidR="00212513" w:rsidRDefault="00212513">
            <w:pPr>
              <w:pStyle w:val="ConsPlusNormal"/>
              <w:jc w:val="center"/>
            </w:pPr>
            <w:r>
              <w:t>2,3</w:t>
            </w:r>
          </w:p>
        </w:tc>
        <w:tc>
          <w:tcPr>
            <w:tcW w:w="1490" w:type="dxa"/>
            <w:tcBorders>
              <w:top w:val="nil"/>
              <w:bottom w:val="nil"/>
            </w:tcBorders>
          </w:tcPr>
          <w:p w:rsidR="00212513" w:rsidRDefault="00212513">
            <w:pPr>
              <w:pStyle w:val="ConsPlusNormal"/>
              <w:jc w:val="center"/>
            </w:pPr>
            <w:r>
              <w:t>1,83</w:t>
            </w:r>
          </w:p>
        </w:tc>
        <w:tc>
          <w:tcPr>
            <w:tcW w:w="1490" w:type="dxa"/>
            <w:tcBorders>
              <w:top w:val="nil"/>
              <w:bottom w:val="nil"/>
            </w:tcBorders>
          </w:tcPr>
          <w:p w:rsidR="00212513" w:rsidRDefault="00212513">
            <w:pPr>
              <w:pStyle w:val="ConsPlusNormal"/>
              <w:jc w:val="center"/>
            </w:pPr>
            <w:r>
              <w:t>0,0377</w:t>
            </w:r>
          </w:p>
        </w:tc>
        <w:tc>
          <w:tcPr>
            <w:tcW w:w="1490" w:type="dxa"/>
            <w:tcBorders>
              <w:top w:val="nil"/>
              <w:bottom w:val="nil"/>
            </w:tcBorders>
          </w:tcPr>
          <w:p w:rsidR="00212513" w:rsidRDefault="00212513">
            <w:pPr>
              <w:pStyle w:val="ConsPlusNormal"/>
              <w:jc w:val="center"/>
            </w:pPr>
            <w:r>
              <w:t>2,23</w:t>
            </w:r>
          </w:p>
        </w:tc>
        <w:tc>
          <w:tcPr>
            <w:tcW w:w="1492" w:type="dxa"/>
            <w:tcBorders>
              <w:top w:val="nil"/>
              <w:bottom w:val="nil"/>
            </w:tcBorders>
          </w:tcPr>
          <w:p w:rsidR="00212513" w:rsidRDefault="00212513">
            <w:pPr>
              <w:pStyle w:val="ConsPlusNormal"/>
              <w:jc w:val="center"/>
            </w:pPr>
            <w:r>
              <w:t>0,0556</w:t>
            </w:r>
          </w:p>
        </w:tc>
      </w:tr>
      <w:tr w:rsidR="00212513">
        <w:tblPrEx>
          <w:tblBorders>
            <w:insideH w:val="none" w:sz="0" w:space="0" w:color="auto"/>
          </w:tblBorders>
        </w:tblPrEx>
        <w:tc>
          <w:tcPr>
            <w:tcW w:w="3118" w:type="dxa"/>
            <w:tcBorders>
              <w:top w:val="nil"/>
              <w:bottom w:val="nil"/>
            </w:tcBorders>
          </w:tcPr>
          <w:p w:rsidR="00212513" w:rsidRDefault="00212513">
            <w:pPr>
              <w:pStyle w:val="ConsPlusNormal"/>
              <w:jc w:val="center"/>
            </w:pPr>
            <w:r>
              <w:t>2,4</w:t>
            </w:r>
          </w:p>
        </w:tc>
        <w:tc>
          <w:tcPr>
            <w:tcW w:w="1490" w:type="dxa"/>
            <w:tcBorders>
              <w:top w:val="nil"/>
              <w:bottom w:val="nil"/>
            </w:tcBorders>
          </w:tcPr>
          <w:p w:rsidR="00212513" w:rsidRDefault="00212513">
            <w:pPr>
              <w:pStyle w:val="ConsPlusNormal"/>
              <w:jc w:val="center"/>
            </w:pPr>
            <w:r>
              <w:t>1,86</w:t>
            </w:r>
          </w:p>
        </w:tc>
        <w:tc>
          <w:tcPr>
            <w:tcW w:w="1490" w:type="dxa"/>
            <w:tcBorders>
              <w:top w:val="nil"/>
              <w:bottom w:val="nil"/>
            </w:tcBorders>
          </w:tcPr>
          <w:p w:rsidR="00212513" w:rsidRDefault="00212513">
            <w:pPr>
              <w:pStyle w:val="ConsPlusNormal"/>
              <w:jc w:val="center"/>
            </w:pPr>
            <w:r>
              <w:t>0,0390</w:t>
            </w:r>
          </w:p>
        </w:tc>
        <w:tc>
          <w:tcPr>
            <w:tcW w:w="1490" w:type="dxa"/>
            <w:tcBorders>
              <w:top w:val="nil"/>
              <w:bottom w:val="nil"/>
            </w:tcBorders>
          </w:tcPr>
          <w:p w:rsidR="00212513" w:rsidRDefault="00212513">
            <w:pPr>
              <w:pStyle w:val="ConsPlusNormal"/>
              <w:jc w:val="center"/>
            </w:pPr>
            <w:r>
              <w:t>2,27</w:t>
            </w:r>
          </w:p>
        </w:tc>
        <w:tc>
          <w:tcPr>
            <w:tcW w:w="1492" w:type="dxa"/>
            <w:tcBorders>
              <w:top w:val="nil"/>
              <w:bottom w:val="nil"/>
            </w:tcBorders>
          </w:tcPr>
          <w:p w:rsidR="00212513" w:rsidRDefault="00212513">
            <w:pPr>
              <w:pStyle w:val="ConsPlusNormal"/>
              <w:jc w:val="center"/>
            </w:pPr>
            <w:r>
              <w:t>0,0576</w:t>
            </w:r>
          </w:p>
        </w:tc>
      </w:tr>
      <w:tr w:rsidR="00212513">
        <w:tblPrEx>
          <w:tblBorders>
            <w:insideH w:val="none" w:sz="0" w:space="0" w:color="auto"/>
          </w:tblBorders>
        </w:tblPrEx>
        <w:tc>
          <w:tcPr>
            <w:tcW w:w="3118" w:type="dxa"/>
            <w:tcBorders>
              <w:top w:val="nil"/>
              <w:bottom w:val="nil"/>
            </w:tcBorders>
          </w:tcPr>
          <w:p w:rsidR="00212513" w:rsidRDefault="00212513">
            <w:pPr>
              <w:pStyle w:val="ConsPlusNormal"/>
              <w:jc w:val="center"/>
            </w:pPr>
            <w:r>
              <w:t>2,5</w:t>
            </w:r>
          </w:p>
        </w:tc>
        <w:tc>
          <w:tcPr>
            <w:tcW w:w="1490" w:type="dxa"/>
            <w:tcBorders>
              <w:top w:val="nil"/>
              <w:bottom w:val="nil"/>
            </w:tcBorders>
          </w:tcPr>
          <w:p w:rsidR="00212513" w:rsidRDefault="00212513">
            <w:pPr>
              <w:pStyle w:val="ConsPlusNormal"/>
              <w:jc w:val="center"/>
            </w:pPr>
            <w:r>
              <w:t>1,89</w:t>
            </w:r>
          </w:p>
        </w:tc>
        <w:tc>
          <w:tcPr>
            <w:tcW w:w="1490" w:type="dxa"/>
            <w:tcBorders>
              <w:top w:val="nil"/>
              <w:bottom w:val="nil"/>
            </w:tcBorders>
          </w:tcPr>
          <w:p w:rsidR="00212513" w:rsidRDefault="00212513">
            <w:pPr>
              <w:pStyle w:val="ConsPlusNormal"/>
              <w:jc w:val="center"/>
            </w:pPr>
            <w:r>
              <w:t>0,0404</w:t>
            </w:r>
          </w:p>
        </w:tc>
        <w:tc>
          <w:tcPr>
            <w:tcW w:w="1490" w:type="dxa"/>
            <w:tcBorders>
              <w:top w:val="nil"/>
              <w:bottom w:val="nil"/>
            </w:tcBorders>
          </w:tcPr>
          <w:p w:rsidR="00212513" w:rsidRDefault="00212513">
            <w:pPr>
              <w:pStyle w:val="ConsPlusNormal"/>
              <w:jc w:val="center"/>
            </w:pPr>
            <w:r>
              <w:t>2,31</w:t>
            </w:r>
          </w:p>
        </w:tc>
        <w:tc>
          <w:tcPr>
            <w:tcW w:w="1492" w:type="dxa"/>
            <w:tcBorders>
              <w:top w:val="nil"/>
              <w:bottom w:val="nil"/>
            </w:tcBorders>
          </w:tcPr>
          <w:p w:rsidR="00212513" w:rsidRDefault="00212513">
            <w:pPr>
              <w:pStyle w:val="ConsPlusNormal"/>
              <w:jc w:val="center"/>
            </w:pPr>
            <w:r>
              <w:t>0,0596</w:t>
            </w:r>
          </w:p>
        </w:tc>
      </w:tr>
      <w:tr w:rsidR="00212513">
        <w:tblPrEx>
          <w:tblBorders>
            <w:insideH w:val="none" w:sz="0" w:space="0" w:color="auto"/>
          </w:tblBorders>
        </w:tblPrEx>
        <w:tc>
          <w:tcPr>
            <w:tcW w:w="3118" w:type="dxa"/>
            <w:tcBorders>
              <w:top w:val="nil"/>
              <w:bottom w:val="nil"/>
            </w:tcBorders>
          </w:tcPr>
          <w:p w:rsidR="00212513" w:rsidRDefault="00212513">
            <w:pPr>
              <w:pStyle w:val="ConsPlusNormal"/>
              <w:jc w:val="center"/>
            </w:pPr>
            <w:r>
              <w:t>2,6</w:t>
            </w:r>
          </w:p>
        </w:tc>
        <w:tc>
          <w:tcPr>
            <w:tcW w:w="1490" w:type="dxa"/>
            <w:tcBorders>
              <w:top w:val="nil"/>
              <w:bottom w:val="nil"/>
            </w:tcBorders>
          </w:tcPr>
          <w:p w:rsidR="00212513" w:rsidRDefault="00212513">
            <w:pPr>
              <w:pStyle w:val="ConsPlusNormal"/>
              <w:jc w:val="center"/>
            </w:pPr>
            <w:r>
              <w:t>1,92</w:t>
            </w:r>
          </w:p>
        </w:tc>
        <w:tc>
          <w:tcPr>
            <w:tcW w:w="1490" w:type="dxa"/>
            <w:tcBorders>
              <w:top w:val="nil"/>
              <w:bottom w:val="nil"/>
            </w:tcBorders>
          </w:tcPr>
          <w:p w:rsidR="00212513" w:rsidRDefault="00212513">
            <w:pPr>
              <w:pStyle w:val="ConsPlusNormal"/>
              <w:jc w:val="center"/>
            </w:pPr>
            <w:r>
              <w:t>0,0417</w:t>
            </w:r>
          </w:p>
        </w:tc>
        <w:tc>
          <w:tcPr>
            <w:tcW w:w="1490" w:type="dxa"/>
            <w:tcBorders>
              <w:top w:val="nil"/>
              <w:bottom w:val="nil"/>
            </w:tcBorders>
          </w:tcPr>
          <w:p w:rsidR="00212513" w:rsidRDefault="00212513">
            <w:pPr>
              <w:pStyle w:val="ConsPlusNormal"/>
              <w:jc w:val="center"/>
            </w:pPr>
            <w:r>
              <w:t>2,36</w:t>
            </w:r>
          </w:p>
        </w:tc>
        <w:tc>
          <w:tcPr>
            <w:tcW w:w="1492" w:type="dxa"/>
            <w:tcBorders>
              <w:top w:val="nil"/>
              <w:bottom w:val="nil"/>
            </w:tcBorders>
          </w:tcPr>
          <w:p w:rsidR="00212513" w:rsidRDefault="00212513">
            <w:pPr>
              <w:pStyle w:val="ConsPlusNormal"/>
              <w:jc w:val="center"/>
            </w:pPr>
            <w:r>
              <w:t>0,0616</w:t>
            </w:r>
          </w:p>
        </w:tc>
      </w:tr>
      <w:tr w:rsidR="00212513">
        <w:tblPrEx>
          <w:tblBorders>
            <w:insideH w:val="none" w:sz="0" w:space="0" w:color="auto"/>
          </w:tblBorders>
        </w:tblPrEx>
        <w:tc>
          <w:tcPr>
            <w:tcW w:w="3118" w:type="dxa"/>
            <w:tcBorders>
              <w:top w:val="nil"/>
              <w:bottom w:val="nil"/>
            </w:tcBorders>
          </w:tcPr>
          <w:p w:rsidR="00212513" w:rsidRDefault="00212513">
            <w:pPr>
              <w:pStyle w:val="ConsPlusNormal"/>
              <w:jc w:val="center"/>
            </w:pPr>
            <w:r>
              <w:t>2,7</w:t>
            </w:r>
          </w:p>
        </w:tc>
        <w:tc>
          <w:tcPr>
            <w:tcW w:w="1490" w:type="dxa"/>
            <w:tcBorders>
              <w:top w:val="nil"/>
              <w:bottom w:val="nil"/>
            </w:tcBorders>
          </w:tcPr>
          <w:p w:rsidR="00212513" w:rsidRDefault="00212513">
            <w:pPr>
              <w:pStyle w:val="ConsPlusNormal"/>
              <w:jc w:val="center"/>
            </w:pPr>
            <w:r>
              <w:t>1,95</w:t>
            </w:r>
          </w:p>
        </w:tc>
        <w:tc>
          <w:tcPr>
            <w:tcW w:w="1490" w:type="dxa"/>
            <w:tcBorders>
              <w:top w:val="nil"/>
              <w:bottom w:val="nil"/>
            </w:tcBorders>
          </w:tcPr>
          <w:p w:rsidR="00212513" w:rsidRDefault="00212513">
            <w:pPr>
              <w:pStyle w:val="ConsPlusNormal"/>
              <w:jc w:val="center"/>
            </w:pPr>
            <w:r>
              <w:t>0,0430</w:t>
            </w:r>
          </w:p>
        </w:tc>
        <w:tc>
          <w:tcPr>
            <w:tcW w:w="1490" w:type="dxa"/>
            <w:tcBorders>
              <w:top w:val="nil"/>
              <w:bottom w:val="nil"/>
            </w:tcBorders>
          </w:tcPr>
          <w:p w:rsidR="00212513" w:rsidRDefault="00212513">
            <w:pPr>
              <w:pStyle w:val="ConsPlusNormal"/>
              <w:jc w:val="center"/>
            </w:pPr>
            <w:r>
              <w:t>2,40</w:t>
            </w:r>
          </w:p>
        </w:tc>
        <w:tc>
          <w:tcPr>
            <w:tcW w:w="1492" w:type="dxa"/>
            <w:tcBorders>
              <w:top w:val="nil"/>
              <w:bottom w:val="nil"/>
            </w:tcBorders>
          </w:tcPr>
          <w:p w:rsidR="00212513" w:rsidRDefault="00212513">
            <w:pPr>
              <w:pStyle w:val="ConsPlusNormal"/>
              <w:jc w:val="center"/>
            </w:pPr>
            <w:r>
              <w:t>0,0636</w:t>
            </w:r>
          </w:p>
        </w:tc>
      </w:tr>
      <w:tr w:rsidR="00212513">
        <w:tblPrEx>
          <w:tblBorders>
            <w:insideH w:val="none" w:sz="0" w:space="0" w:color="auto"/>
          </w:tblBorders>
        </w:tblPrEx>
        <w:tc>
          <w:tcPr>
            <w:tcW w:w="3118" w:type="dxa"/>
            <w:tcBorders>
              <w:top w:val="nil"/>
              <w:bottom w:val="nil"/>
            </w:tcBorders>
          </w:tcPr>
          <w:p w:rsidR="00212513" w:rsidRDefault="00212513">
            <w:pPr>
              <w:pStyle w:val="ConsPlusNormal"/>
              <w:jc w:val="center"/>
            </w:pPr>
            <w:r>
              <w:t>3,1</w:t>
            </w:r>
          </w:p>
        </w:tc>
        <w:tc>
          <w:tcPr>
            <w:tcW w:w="1490" w:type="dxa"/>
            <w:tcBorders>
              <w:top w:val="nil"/>
              <w:bottom w:val="nil"/>
            </w:tcBorders>
          </w:tcPr>
          <w:p w:rsidR="00212513" w:rsidRDefault="00212513">
            <w:pPr>
              <w:pStyle w:val="ConsPlusNormal"/>
              <w:jc w:val="center"/>
            </w:pPr>
            <w:r>
              <w:t>2,07</w:t>
            </w:r>
          </w:p>
        </w:tc>
        <w:tc>
          <w:tcPr>
            <w:tcW w:w="1490" w:type="dxa"/>
            <w:tcBorders>
              <w:top w:val="nil"/>
              <w:bottom w:val="nil"/>
            </w:tcBorders>
          </w:tcPr>
          <w:p w:rsidR="00212513" w:rsidRDefault="00212513">
            <w:pPr>
              <w:pStyle w:val="ConsPlusNormal"/>
              <w:jc w:val="center"/>
            </w:pPr>
            <w:r>
              <w:t>0,0483</w:t>
            </w:r>
          </w:p>
        </w:tc>
        <w:tc>
          <w:tcPr>
            <w:tcW w:w="1490" w:type="dxa"/>
            <w:tcBorders>
              <w:top w:val="nil"/>
              <w:bottom w:val="nil"/>
            </w:tcBorders>
          </w:tcPr>
          <w:p w:rsidR="00212513" w:rsidRDefault="00212513">
            <w:pPr>
              <w:pStyle w:val="ConsPlusNormal"/>
              <w:jc w:val="center"/>
            </w:pPr>
            <w:r>
              <w:t>2,57</w:t>
            </w:r>
          </w:p>
        </w:tc>
        <w:tc>
          <w:tcPr>
            <w:tcW w:w="1492" w:type="dxa"/>
            <w:tcBorders>
              <w:top w:val="nil"/>
              <w:bottom w:val="nil"/>
            </w:tcBorders>
          </w:tcPr>
          <w:p w:rsidR="00212513" w:rsidRDefault="00212513">
            <w:pPr>
              <w:pStyle w:val="ConsPlusNormal"/>
              <w:jc w:val="center"/>
            </w:pPr>
            <w:r>
              <w:t>0,0716</w:t>
            </w:r>
          </w:p>
        </w:tc>
      </w:tr>
      <w:tr w:rsidR="00212513">
        <w:tblPrEx>
          <w:tblBorders>
            <w:insideH w:val="none" w:sz="0" w:space="0" w:color="auto"/>
          </w:tblBorders>
        </w:tblPrEx>
        <w:tc>
          <w:tcPr>
            <w:tcW w:w="3118" w:type="dxa"/>
            <w:tcBorders>
              <w:top w:val="nil"/>
              <w:bottom w:val="nil"/>
            </w:tcBorders>
          </w:tcPr>
          <w:p w:rsidR="00212513" w:rsidRDefault="00212513">
            <w:pPr>
              <w:pStyle w:val="ConsPlusNormal"/>
              <w:jc w:val="center"/>
            </w:pPr>
            <w:r>
              <w:t>3,2</w:t>
            </w:r>
          </w:p>
        </w:tc>
        <w:tc>
          <w:tcPr>
            <w:tcW w:w="1490" w:type="dxa"/>
            <w:tcBorders>
              <w:top w:val="nil"/>
              <w:bottom w:val="nil"/>
            </w:tcBorders>
          </w:tcPr>
          <w:p w:rsidR="00212513" w:rsidRDefault="00212513">
            <w:pPr>
              <w:pStyle w:val="ConsPlusNormal"/>
              <w:jc w:val="center"/>
            </w:pPr>
            <w:r>
              <w:t>2,10</w:t>
            </w:r>
          </w:p>
        </w:tc>
        <w:tc>
          <w:tcPr>
            <w:tcW w:w="1490" w:type="dxa"/>
            <w:tcBorders>
              <w:top w:val="nil"/>
              <w:bottom w:val="nil"/>
            </w:tcBorders>
          </w:tcPr>
          <w:p w:rsidR="00212513" w:rsidRDefault="00212513">
            <w:pPr>
              <w:pStyle w:val="ConsPlusNormal"/>
              <w:jc w:val="center"/>
            </w:pPr>
            <w:r>
              <w:t>0,0496</w:t>
            </w:r>
          </w:p>
        </w:tc>
        <w:tc>
          <w:tcPr>
            <w:tcW w:w="1490" w:type="dxa"/>
            <w:tcBorders>
              <w:top w:val="nil"/>
              <w:bottom w:val="nil"/>
            </w:tcBorders>
          </w:tcPr>
          <w:p w:rsidR="00212513" w:rsidRDefault="00212513">
            <w:pPr>
              <w:pStyle w:val="ConsPlusNormal"/>
              <w:jc w:val="center"/>
            </w:pPr>
            <w:r>
              <w:t>2,62</w:t>
            </w:r>
          </w:p>
        </w:tc>
        <w:tc>
          <w:tcPr>
            <w:tcW w:w="1492" w:type="dxa"/>
            <w:tcBorders>
              <w:top w:val="nil"/>
              <w:bottom w:val="nil"/>
            </w:tcBorders>
          </w:tcPr>
          <w:p w:rsidR="00212513" w:rsidRDefault="00212513">
            <w:pPr>
              <w:pStyle w:val="ConsPlusNormal"/>
              <w:jc w:val="center"/>
            </w:pPr>
            <w:r>
              <w:t>0,0737</w:t>
            </w:r>
          </w:p>
        </w:tc>
      </w:tr>
      <w:tr w:rsidR="00212513">
        <w:tblPrEx>
          <w:tblBorders>
            <w:insideH w:val="none" w:sz="0" w:space="0" w:color="auto"/>
          </w:tblBorders>
        </w:tblPrEx>
        <w:tc>
          <w:tcPr>
            <w:tcW w:w="3118" w:type="dxa"/>
            <w:tcBorders>
              <w:top w:val="nil"/>
              <w:bottom w:val="nil"/>
            </w:tcBorders>
          </w:tcPr>
          <w:p w:rsidR="00212513" w:rsidRDefault="00212513">
            <w:pPr>
              <w:pStyle w:val="ConsPlusNormal"/>
              <w:jc w:val="center"/>
            </w:pPr>
            <w:r>
              <w:t>3,4</w:t>
            </w:r>
          </w:p>
        </w:tc>
        <w:tc>
          <w:tcPr>
            <w:tcW w:w="1490" w:type="dxa"/>
            <w:tcBorders>
              <w:top w:val="nil"/>
              <w:bottom w:val="nil"/>
            </w:tcBorders>
          </w:tcPr>
          <w:p w:rsidR="00212513" w:rsidRDefault="00212513">
            <w:pPr>
              <w:pStyle w:val="ConsPlusNormal"/>
              <w:jc w:val="center"/>
            </w:pPr>
            <w:r>
              <w:t>2,15</w:t>
            </w:r>
          </w:p>
        </w:tc>
        <w:tc>
          <w:tcPr>
            <w:tcW w:w="1490" w:type="dxa"/>
            <w:tcBorders>
              <w:top w:val="nil"/>
              <w:bottom w:val="nil"/>
            </w:tcBorders>
          </w:tcPr>
          <w:p w:rsidR="00212513" w:rsidRDefault="00212513">
            <w:pPr>
              <w:pStyle w:val="ConsPlusNormal"/>
              <w:jc w:val="center"/>
            </w:pPr>
            <w:r>
              <w:t>0,0523</w:t>
            </w:r>
          </w:p>
        </w:tc>
        <w:tc>
          <w:tcPr>
            <w:tcW w:w="1490" w:type="dxa"/>
            <w:tcBorders>
              <w:top w:val="nil"/>
              <w:bottom w:val="nil"/>
            </w:tcBorders>
          </w:tcPr>
          <w:p w:rsidR="00212513" w:rsidRDefault="00212513">
            <w:pPr>
              <w:pStyle w:val="ConsPlusNormal"/>
              <w:jc w:val="center"/>
            </w:pPr>
            <w:r>
              <w:t>2,71</w:t>
            </w:r>
          </w:p>
        </w:tc>
        <w:tc>
          <w:tcPr>
            <w:tcW w:w="1492" w:type="dxa"/>
            <w:tcBorders>
              <w:top w:val="nil"/>
              <w:bottom w:val="nil"/>
            </w:tcBorders>
          </w:tcPr>
          <w:p w:rsidR="00212513" w:rsidRDefault="00212513">
            <w:pPr>
              <w:pStyle w:val="ConsPlusNormal"/>
              <w:jc w:val="center"/>
            </w:pPr>
            <w:r>
              <w:t>0,0777</w:t>
            </w:r>
          </w:p>
        </w:tc>
      </w:tr>
      <w:tr w:rsidR="00212513">
        <w:tblPrEx>
          <w:tblBorders>
            <w:insideH w:val="none" w:sz="0" w:space="0" w:color="auto"/>
          </w:tblBorders>
        </w:tblPrEx>
        <w:tc>
          <w:tcPr>
            <w:tcW w:w="3118" w:type="dxa"/>
            <w:tcBorders>
              <w:top w:val="nil"/>
              <w:bottom w:val="nil"/>
            </w:tcBorders>
          </w:tcPr>
          <w:p w:rsidR="00212513" w:rsidRDefault="00212513">
            <w:pPr>
              <w:pStyle w:val="ConsPlusNormal"/>
              <w:jc w:val="center"/>
            </w:pPr>
            <w:r>
              <w:t>3,5</w:t>
            </w:r>
          </w:p>
        </w:tc>
        <w:tc>
          <w:tcPr>
            <w:tcW w:w="1490" w:type="dxa"/>
            <w:tcBorders>
              <w:top w:val="nil"/>
              <w:bottom w:val="nil"/>
            </w:tcBorders>
          </w:tcPr>
          <w:p w:rsidR="00212513" w:rsidRDefault="00212513">
            <w:pPr>
              <w:pStyle w:val="ConsPlusNormal"/>
              <w:jc w:val="center"/>
            </w:pPr>
            <w:r>
              <w:t>-</w:t>
            </w:r>
          </w:p>
        </w:tc>
        <w:tc>
          <w:tcPr>
            <w:tcW w:w="1490" w:type="dxa"/>
            <w:tcBorders>
              <w:top w:val="nil"/>
              <w:bottom w:val="nil"/>
            </w:tcBorders>
          </w:tcPr>
          <w:p w:rsidR="00212513" w:rsidRDefault="00212513">
            <w:pPr>
              <w:pStyle w:val="ConsPlusNormal"/>
              <w:jc w:val="center"/>
            </w:pPr>
            <w:r>
              <w:t>-</w:t>
            </w:r>
          </w:p>
        </w:tc>
        <w:tc>
          <w:tcPr>
            <w:tcW w:w="1490" w:type="dxa"/>
            <w:tcBorders>
              <w:top w:val="nil"/>
              <w:bottom w:val="nil"/>
            </w:tcBorders>
          </w:tcPr>
          <w:p w:rsidR="00212513" w:rsidRDefault="00212513">
            <w:pPr>
              <w:pStyle w:val="ConsPlusNormal"/>
              <w:jc w:val="center"/>
            </w:pPr>
            <w:r>
              <w:t>2,75</w:t>
            </w:r>
          </w:p>
        </w:tc>
        <w:tc>
          <w:tcPr>
            <w:tcW w:w="1492" w:type="dxa"/>
            <w:tcBorders>
              <w:top w:val="nil"/>
              <w:bottom w:val="nil"/>
            </w:tcBorders>
          </w:tcPr>
          <w:p w:rsidR="00212513" w:rsidRDefault="00212513">
            <w:pPr>
              <w:pStyle w:val="ConsPlusNormal"/>
              <w:jc w:val="center"/>
            </w:pPr>
            <w:r>
              <w:t>0,0797</w:t>
            </w:r>
          </w:p>
        </w:tc>
      </w:tr>
      <w:tr w:rsidR="00212513">
        <w:tblPrEx>
          <w:tblBorders>
            <w:insideH w:val="none" w:sz="0" w:space="0" w:color="auto"/>
          </w:tblBorders>
        </w:tblPrEx>
        <w:tc>
          <w:tcPr>
            <w:tcW w:w="3118" w:type="dxa"/>
            <w:tcBorders>
              <w:top w:val="nil"/>
              <w:bottom w:val="nil"/>
            </w:tcBorders>
          </w:tcPr>
          <w:p w:rsidR="00212513" w:rsidRDefault="00212513">
            <w:pPr>
              <w:pStyle w:val="ConsPlusNormal"/>
              <w:jc w:val="center"/>
            </w:pPr>
            <w:r>
              <w:t>3,7</w:t>
            </w:r>
          </w:p>
        </w:tc>
        <w:tc>
          <w:tcPr>
            <w:tcW w:w="1490" w:type="dxa"/>
            <w:tcBorders>
              <w:top w:val="nil"/>
              <w:bottom w:val="nil"/>
            </w:tcBorders>
          </w:tcPr>
          <w:p w:rsidR="00212513" w:rsidRDefault="00212513">
            <w:pPr>
              <w:pStyle w:val="ConsPlusNormal"/>
              <w:jc w:val="center"/>
            </w:pPr>
            <w:r>
              <w:t>-</w:t>
            </w:r>
          </w:p>
        </w:tc>
        <w:tc>
          <w:tcPr>
            <w:tcW w:w="1490" w:type="dxa"/>
            <w:tcBorders>
              <w:top w:val="nil"/>
              <w:bottom w:val="nil"/>
            </w:tcBorders>
          </w:tcPr>
          <w:p w:rsidR="00212513" w:rsidRDefault="00212513">
            <w:pPr>
              <w:pStyle w:val="ConsPlusNormal"/>
              <w:jc w:val="center"/>
            </w:pPr>
            <w:r>
              <w:t>-</w:t>
            </w:r>
          </w:p>
        </w:tc>
        <w:tc>
          <w:tcPr>
            <w:tcW w:w="1490" w:type="dxa"/>
            <w:tcBorders>
              <w:top w:val="nil"/>
              <w:bottom w:val="nil"/>
            </w:tcBorders>
          </w:tcPr>
          <w:p w:rsidR="00212513" w:rsidRDefault="00212513">
            <w:pPr>
              <w:pStyle w:val="ConsPlusNormal"/>
              <w:jc w:val="center"/>
            </w:pPr>
            <w:r>
              <w:t>2,84</w:t>
            </w:r>
          </w:p>
        </w:tc>
        <w:tc>
          <w:tcPr>
            <w:tcW w:w="1492" w:type="dxa"/>
            <w:tcBorders>
              <w:top w:val="nil"/>
              <w:bottom w:val="nil"/>
            </w:tcBorders>
          </w:tcPr>
          <w:p w:rsidR="00212513" w:rsidRDefault="00212513">
            <w:pPr>
              <w:pStyle w:val="ConsPlusNormal"/>
              <w:jc w:val="center"/>
            </w:pPr>
            <w:r>
              <w:t>0,0837</w:t>
            </w:r>
          </w:p>
        </w:tc>
      </w:tr>
      <w:tr w:rsidR="00212513">
        <w:tblPrEx>
          <w:tblBorders>
            <w:insideH w:val="none" w:sz="0" w:space="0" w:color="auto"/>
          </w:tblBorders>
        </w:tblPrEx>
        <w:tc>
          <w:tcPr>
            <w:tcW w:w="3118" w:type="dxa"/>
            <w:tcBorders>
              <w:top w:val="nil"/>
              <w:bottom w:val="single" w:sz="4" w:space="0" w:color="auto"/>
            </w:tcBorders>
          </w:tcPr>
          <w:p w:rsidR="00212513" w:rsidRDefault="00212513">
            <w:pPr>
              <w:pStyle w:val="ConsPlusNormal"/>
              <w:jc w:val="center"/>
            </w:pPr>
            <w:r>
              <w:t>4,4</w:t>
            </w:r>
          </w:p>
        </w:tc>
        <w:tc>
          <w:tcPr>
            <w:tcW w:w="1490" w:type="dxa"/>
            <w:tcBorders>
              <w:top w:val="nil"/>
              <w:bottom w:val="single" w:sz="4" w:space="0" w:color="auto"/>
            </w:tcBorders>
          </w:tcPr>
          <w:p w:rsidR="00212513" w:rsidRDefault="00212513">
            <w:pPr>
              <w:pStyle w:val="ConsPlusNormal"/>
              <w:jc w:val="center"/>
            </w:pPr>
            <w:r>
              <w:t>-</w:t>
            </w:r>
          </w:p>
        </w:tc>
        <w:tc>
          <w:tcPr>
            <w:tcW w:w="1490" w:type="dxa"/>
            <w:tcBorders>
              <w:top w:val="nil"/>
              <w:bottom w:val="single" w:sz="4" w:space="0" w:color="auto"/>
            </w:tcBorders>
          </w:tcPr>
          <w:p w:rsidR="00212513" w:rsidRDefault="00212513">
            <w:pPr>
              <w:pStyle w:val="ConsPlusNormal"/>
              <w:jc w:val="center"/>
            </w:pPr>
            <w:r>
              <w:t>-</w:t>
            </w:r>
          </w:p>
        </w:tc>
        <w:tc>
          <w:tcPr>
            <w:tcW w:w="1490" w:type="dxa"/>
            <w:tcBorders>
              <w:top w:val="nil"/>
              <w:bottom w:val="single" w:sz="4" w:space="0" w:color="auto"/>
            </w:tcBorders>
          </w:tcPr>
          <w:p w:rsidR="00212513" w:rsidRDefault="00212513">
            <w:pPr>
              <w:pStyle w:val="ConsPlusNormal"/>
              <w:jc w:val="center"/>
            </w:pPr>
            <w:r>
              <w:t>3,15</w:t>
            </w:r>
          </w:p>
        </w:tc>
        <w:tc>
          <w:tcPr>
            <w:tcW w:w="1492" w:type="dxa"/>
            <w:tcBorders>
              <w:top w:val="nil"/>
              <w:bottom w:val="single" w:sz="4" w:space="0" w:color="auto"/>
            </w:tcBorders>
          </w:tcPr>
          <w:p w:rsidR="00212513" w:rsidRDefault="00212513">
            <w:pPr>
              <w:pStyle w:val="ConsPlusNormal"/>
              <w:jc w:val="center"/>
            </w:pPr>
            <w:r>
              <w:t>0,0977</w:t>
            </w:r>
          </w:p>
        </w:tc>
      </w:tr>
    </w:tbl>
    <w:p w:rsidR="00212513" w:rsidRDefault="00212513">
      <w:pPr>
        <w:pStyle w:val="ConsPlusNormal"/>
        <w:ind w:firstLine="540"/>
        <w:jc w:val="both"/>
      </w:pPr>
    </w:p>
    <w:p w:rsidR="00212513" w:rsidRDefault="00212513">
      <w:pPr>
        <w:pStyle w:val="ConsPlusNormal"/>
        <w:ind w:firstLine="540"/>
        <w:jc w:val="both"/>
      </w:pPr>
      <w:bookmarkStart w:id="360" w:name="P8323"/>
      <w:bookmarkEnd w:id="360"/>
      <w:r>
        <w:t>8.58 Расчет канатов на выносливость следует выполнять по формуле</w:t>
      </w:r>
    </w:p>
    <w:p w:rsidR="00212513" w:rsidRDefault="00212513">
      <w:pPr>
        <w:pStyle w:val="ConsPlusNormal"/>
        <w:ind w:firstLine="540"/>
        <w:jc w:val="both"/>
      </w:pPr>
    </w:p>
    <w:p w:rsidR="00212513" w:rsidRDefault="00212513">
      <w:pPr>
        <w:pStyle w:val="ConsPlusNormal"/>
        <w:jc w:val="center"/>
      </w:pPr>
      <w:r>
        <w:rPr>
          <w:noProof/>
          <w:position w:val="-8"/>
        </w:rPr>
        <w:drawing>
          <wp:inline distT="0" distB="0" distL="0" distR="0">
            <wp:extent cx="1200785" cy="251460"/>
            <wp:effectExtent l="0" t="0" r="0" b="0"/>
            <wp:docPr id="1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7" cstate="print">
                      <a:extLst>
                        <a:ext uri="{28A0092B-C50C-407E-A947-70E740481C1C}">
                          <a14:useLocalDpi xmlns:a14="http://schemas.microsoft.com/office/drawing/2010/main" val="0"/>
                        </a:ext>
                      </a:extLst>
                    </a:blip>
                    <a:srcRect/>
                    <a:stretch>
                      <a:fillRect/>
                    </a:stretch>
                  </pic:blipFill>
                  <pic:spPr bwMode="auto">
                    <a:xfrm>
                      <a:off x="0" y="0"/>
                      <a:ext cx="1200785" cy="251460"/>
                    </a:xfrm>
                    <a:prstGeom prst="rect">
                      <a:avLst/>
                    </a:prstGeom>
                    <a:noFill/>
                    <a:ln>
                      <a:noFill/>
                    </a:ln>
                  </pic:spPr>
                </pic:pic>
              </a:graphicData>
            </a:graphic>
          </wp:inline>
        </w:drawing>
      </w:r>
      <w:r>
        <w:t>, (8.69)</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8"/>
        </w:rPr>
        <w:drawing>
          <wp:inline distT="0" distB="0" distL="0" distR="0">
            <wp:extent cx="209550" cy="251460"/>
            <wp:effectExtent l="0" t="0" r="0" b="0"/>
            <wp:docPr id="1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 условий работы каната при расчете на выносливость, равный: для гибких несущих элементов вантовых и висячих мостов без индивидуального регулирования усилий в канатах - 0,83;</w:t>
      </w:r>
    </w:p>
    <w:p w:rsidR="00212513" w:rsidRDefault="00212513">
      <w:pPr>
        <w:pStyle w:val="ConsPlusNormal"/>
        <w:spacing w:before="220"/>
        <w:ind w:firstLine="540"/>
        <w:jc w:val="both"/>
      </w:pPr>
      <w:r>
        <w:t>для напрягаемых элементов предварительно напряженных конструкций и гибких несущих элементов вантовых и висячих мостов при индивидуальном регулировании усилий в канатах, в том числе по величине стрелы прогиба при монтаже канатов, - 1,0;</w:t>
      </w:r>
    </w:p>
    <w:p w:rsidR="00212513" w:rsidRDefault="00212513">
      <w:pPr>
        <w:pStyle w:val="ConsPlusNormal"/>
        <w:spacing w:before="220"/>
        <w:ind w:firstLine="540"/>
        <w:jc w:val="both"/>
      </w:pPr>
      <w:r>
        <w:rPr>
          <w:noProof/>
          <w:position w:val="-8"/>
        </w:rPr>
        <w:lastRenderedPageBreak/>
        <w:drawing>
          <wp:inline distT="0" distB="0" distL="0" distR="0">
            <wp:extent cx="251460" cy="251460"/>
            <wp:effectExtent l="0" t="0" r="0" b="0"/>
            <wp:docPr id="1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9"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расчетное сопротивление канатов, определяемое по </w:t>
      </w:r>
      <w:hyperlink w:anchor="P7532">
        <w:r>
          <w:rPr>
            <w:color w:val="0000FF"/>
          </w:rPr>
          <w:t>8.33</w:t>
        </w:r>
      </w:hyperlink>
      <w:r>
        <w:t>;</w:t>
      </w:r>
    </w:p>
    <w:p w:rsidR="00212513" w:rsidRDefault="00212513">
      <w:pPr>
        <w:pStyle w:val="ConsPlusNormal"/>
        <w:spacing w:before="220"/>
        <w:ind w:firstLine="540"/>
        <w:jc w:val="both"/>
      </w:pPr>
      <w:r>
        <w:rPr>
          <w:noProof/>
          <w:position w:val="-8"/>
        </w:rPr>
        <w:drawing>
          <wp:inline distT="0" distB="0" distL="0" distR="0">
            <wp:extent cx="251460" cy="251460"/>
            <wp:effectExtent l="0" t="0" r="0" b="0"/>
            <wp:docPr id="1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коэффициент, учитывающий переменность напряжений и определяемый по формуле</w:t>
      </w:r>
    </w:p>
    <w:p w:rsidR="00212513" w:rsidRDefault="00212513">
      <w:pPr>
        <w:pStyle w:val="ConsPlusNormal"/>
        <w:ind w:firstLine="540"/>
        <w:jc w:val="both"/>
      </w:pPr>
    </w:p>
    <w:p w:rsidR="00212513" w:rsidRDefault="00212513">
      <w:pPr>
        <w:pStyle w:val="ConsPlusNormal"/>
        <w:jc w:val="center"/>
      </w:pPr>
      <w:r>
        <w:rPr>
          <w:noProof/>
          <w:position w:val="-28"/>
        </w:rPr>
        <w:drawing>
          <wp:inline distT="0" distB="0" distL="0" distR="0">
            <wp:extent cx="3757930" cy="502920"/>
            <wp:effectExtent l="0" t="0" r="0" b="0"/>
            <wp:docPr id="1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1" cstate="print">
                      <a:extLst>
                        <a:ext uri="{28A0092B-C50C-407E-A947-70E740481C1C}">
                          <a14:useLocalDpi xmlns:a14="http://schemas.microsoft.com/office/drawing/2010/main" val="0"/>
                        </a:ext>
                      </a:extLst>
                    </a:blip>
                    <a:srcRect/>
                    <a:stretch>
                      <a:fillRect/>
                    </a:stretch>
                  </pic:blipFill>
                  <pic:spPr bwMode="auto">
                    <a:xfrm>
                      <a:off x="0" y="0"/>
                      <a:ext cx="3757930" cy="502920"/>
                    </a:xfrm>
                    <a:prstGeom prst="rect">
                      <a:avLst/>
                    </a:prstGeom>
                    <a:noFill/>
                    <a:ln>
                      <a:noFill/>
                    </a:ln>
                  </pic:spPr>
                </pic:pic>
              </a:graphicData>
            </a:graphic>
          </wp:inline>
        </w:drawing>
      </w:r>
      <w:r>
        <w:t>, (8.70)</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6"/>
        </w:rPr>
        <w:drawing>
          <wp:inline distT="0" distB="0" distL="0" distR="0">
            <wp:extent cx="167640" cy="220980"/>
            <wp:effectExtent l="0" t="0" r="0" b="0"/>
            <wp:docPr id="1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2" cstate="print">
                      <a:extLst>
                        <a:ext uri="{28A0092B-C50C-407E-A947-70E740481C1C}">
                          <a14:useLocalDpi xmlns:a14="http://schemas.microsoft.com/office/drawing/2010/main" val="0"/>
                        </a:ext>
                      </a:extLst>
                    </a:blip>
                    <a:srcRect/>
                    <a:stretch>
                      <a:fillRect/>
                    </a:stretch>
                  </pic:blipFill>
                  <pic:spPr bwMode="auto">
                    <a:xfrm>
                      <a:off x="0" y="0"/>
                      <a:ext cx="167640" cy="220980"/>
                    </a:xfrm>
                    <a:prstGeom prst="rect">
                      <a:avLst/>
                    </a:prstGeom>
                    <a:noFill/>
                    <a:ln>
                      <a:noFill/>
                    </a:ln>
                  </pic:spPr>
                </pic:pic>
              </a:graphicData>
            </a:graphic>
          </wp:inline>
        </w:drawing>
      </w:r>
      <w:r>
        <w:t xml:space="preserve">, </w:t>
      </w:r>
      <w:r>
        <w:rPr>
          <w:noProof/>
          <w:position w:val="-4"/>
        </w:rPr>
        <w:drawing>
          <wp:inline distT="0" distB="0" distL="0" distR="0">
            <wp:extent cx="156845" cy="198755"/>
            <wp:effectExtent l="0" t="0" r="0" b="0"/>
            <wp:docPr id="1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3"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w:t>
      </w:r>
      <w:r>
        <w:rPr>
          <w:noProof/>
          <w:position w:val="-3"/>
        </w:rPr>
        <w:drawing>
          <wp:inline distT="0" distB="0" distL="0" distR="0">
            <wp:extent cx="167640" cy="177800"/>
            <wp:effectExtent l="0" t="0" r="0" b="0"/>
            <wp:docPr id="1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4"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коэффициенты, принимаемые согласно </w:t>
      </w:r>
      <w:hyperlink w:anchor="P8121">
        <w:r>
          <w:rPr>
            <w:color w:val="0000FF"/>
          </w:rPr>
          <w:t>8.57</w:t>
        </w:r>
      </w:hyperlink>
      <w:r>
        <w:t>;</w:t>
      </w:r>
    </w:p>
    <w:p w:rsidR="00212513" w:rsidRDefault="00212513">
      <w:pPr>
        <w:pStyle w:val="ConsPlusNormal"/>
        <w:spacing w:before="220"/>
        <w:ind w:firstLine="540"/>
        <w:jc w:val="both"/>
      </w:pPr>
      <w:r>
        <w:rPr>
          <w:noProof/>
          <w:position w:val="-8"/>
        </w:rPr>
        <w:drawing>
          <wp:inline distT="0" distB="0" distL="0" distR="0">
            <wp:extent cx="198755" cy="250825"/>
            <wp:effectExtent l="0" t="0" r="0" b="0"/>
            <wp:docPr id="1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5"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эффективный коэффициент концентрации напряжений, значения которого принимаются по </w:t>
      </w:r>
      <w:hyperlink w:anchor="P16836">
        <w:r>
          <w:rPr>
            <w:color w:val="0000FF"/>
          </w:rPr>
          <w:t>таблице Ц.2</w:t>
        </w:r>
      </w:hyperlink>
      <w:r>
        <w:t xml:space="preserve"> приложения Ц;</w:t>
      </w:r>
    </w:p>
    <w:p w:rsidR="00212513" w:rsidRDefault="00212513">
      <w:pPr>
        <w:pStyle w:val="ConsPlusNormal"/>
        <w:spacing w:before="220"/>
        <w:ind w:firstLine="540"/>
        <w:jc w:val="both"/>
      </w:pPr>
      <w:r>
        <w:rPr>
          <w:i/>
        </w:rPr>
        <w:t>m</w:t>
      </w:r>
      <w:r>
        <w:t xml:space="preserve"> - коэффициент условий работы, принимаемый по </w:t>
      </w:r>
      <w:hyperlink w:anchor="P6905">
        <w:r>
          <w:rPr>
            <w:color w:val="0000FF"/>
          </w:rPr>
          <w:t>таблице 8.15</w:t>
        </w:r>
      </w:hyperlink>
      <w:r>
        <w:t>.</w:t>
      </w:r>
    </w:p>
    <w:p w:rsidR="00212513" w:rsidRDefault="00212513">
      <w:pPr>
        <w:pStyle w:val="ConsPlusNormal"/>
        <w:jc w:val="right"/>
      </w:pPr>
    </w:p>
    <w:p w:rsidR="00212513" w:rsidRDefault="00212513">
      <w:pPr>
        <w:pStyle w:val="ConsPlusTitle"/>
        <w:ind w:firstLine="540"/>
        <w:jc w:val="both"/>
        <w:outlineLvl w:val="2"/>
      </w:pPr>
      <w:r>
        <w:t>Особенности расчета несущих элементов и соединений</w:t>
      </w:r>
    </w:p>
    <w:p w:rsidR="00212513" w:rsidRDefault="00212513">
      <w:pPr>
        <w:pStyle w:val="ConsPlusNormal"/>
        <w:jc w:val="center"/>
      </w:pPr>
    </w:p>
    <w:p w:rsidR="00212513" w:rsidRDefault="00212513">
      <w:pPr>
        <w:pStyle w:val="ConsPlusTitle"/>
        <w:ind w:firstLine="540"/>
        <w:jc w:val="both"/>
        <w:outlineLvl w:val="3"/>
      </w:pPr>
      <w:r>
        <w:t>Элементы главных ферм</w:t>
      </w:r>
    </w:p>
    <w:p w:rsidR="00212513" w:rsidRDefault="00212513">
      <w:pPr>
        <w:pStyle w:val="ConsPlusNormal"/>
        <w:ind w:firstLine="540"/>
        <w:jc w:val="both"/>
      </w:pPr>
    </w:p>
    <w:p w:rsidR="00212513" w:rsidRDefault="00212513">
      <w:pPr>
        <w:pStyle w:val="ConsPlusNormal"/>
        <w:ind w:firstLine="540"/>
        <w:jc w:val="both"/>
      </w:pPr>
      <w:r>
        <w:t>8.59 В расчетах элементов и соединений решетчатых главных ферм по прочности при отношении высоты сечения к длине элемента свыше 1/15 следует учитывать изгибающие моменты от жесткости узлов. Это требование относится и к расчетам на выносливость элементов решетчатых главных ферм с узловыми соединениями на высокопрочных болтах; при сварных узловых соединениях расчет на выносливость следует выполнять с учетом изгибающих моментов от жесткости узлов независимо от величины отношения высоты сечения к длине элементов.</w:t>
      </w:r>
    </w:p>
    <w:p w:rsidR="00212513" w:rsidRDefault="00212513">
      <w:pPr>
        <w:pStyle w:val="ConsPlusNormal"/>
        <w:spacing w:before="220"/>
        <w:ind w:firstLine="540"/>
        <w:jc w:val="both"/>
      </w:pPr>
      <w:r>
        <w:t>Расчет по прочности решетчатых главных ферм, имеющих в уровне проезда пояс, работающий на совместное действие осевых усилий и изгиба от внеузлового приложения нагрузки, следует выполнять с учетом жесткости узлов указанного пояса независимо от отношения высоты сечения к длине панели. Учет жесткости остальных узлов следует выполнять, как указано выше.</w:t>
      </w:r>
    </w:p>
    <w:p w:rsidR="00212513" w:rsidRDefault="00212513">
      <w:pPr>
        <w:pStyle w:val="ConsPlusNormal"/>
        <w:spacing w:before="220"/>
        <w:ind w:firstLine="540"/>
        <w:jc w:val="both"/>
      </w:pPr>
      <w:r>
        <w:t>Во всех указанных случаях в расчетах по прочности изгибающие моменты от жесткости узлов следует уменьшать на 20%.</w:t>
      </w:r>
    </w:p>
    <w:p w:rsidR="00212513" w:rsidRDefault="00212513">
      <w:pPr>
        <w:pStyle w:val="ConsPlusNormal"/>
        <w:spacing w:before="220"/>
        <w:ind w:firstLine="540"/>
        <w:jc w:val="both"/>
      </w:pPr>
      <w:r>
        <w:t xml:space="preserve">Изгибающие моменты от примыкания связей или горизонтальных диафрагм с эксцентриситетом и от неполной (с учетом </w:t>
      </w:r>
      <w:hyperlink w:anchor="P6951">
        <w:r>
          <w:rPr>
            <w:color w:val="0000FF"/>
          </w:rPr>
          <w:t>8.22</w:t>
        </w:r>
      </w:hyperlink>
      <w:r>
        <w:t>) центровки элементов ферм следует учитывать полностью. Это требование распространяется и на учет изгибающих моментов, возникающих в горизонтальных и наклонных элементах решетчатых главных ферм и связей от их собственного веса. При этом допускается принимать эти изгибающие моменты распределенными по параболе с ординатами посредине длины элемента и на концах его, равными 0,6 момента для свободно опертого элемента.</w:t>
      </w:r>
    </w:p>
    <w:p w:rsidR="00212513" w:rsidRDefault="00212513">
      <w:pPr>
        <w:pStyle w:val="ConsPlusNormal"/>
        <w:spacing w:before="220"/>
        <w:ind w:firstLine="540"/>
        <w:jc w:val="both"/>
      </w:pPr>
      <w:r>
        <w:t>8.60 В расчетах по устойчивости элементов решетчатых главных ферм изгибающие моменты от жесткости узлов, воздействий связей и поперечных балок допускается не учитывать.</w:t>
      </w:r>
    </w:p>
    <w:p w:rsidR="00212513" w:rsidRDefault="00212513">
      <w:pPr>
        <w:pStyle w:val="ConsPlusNormal"/>
        <w:spacing w:before="220"/>
        <w:ind w:firstLine="540"/>
        <w:jc w:val="both"/>
      </w:pPr>
      <w:r>
        <w:t>Элементы решетчатых ферм, имеющие замкнутое коробчатое сечение с отношением размеров сторон не более двух, допускается рассчитывать на устойчивость по плоским изгибным формам относительно горизонтальной и вертикальной осей сечения.</w:t>
      </w:r>
    </w:p>
    <w:p w:rsidR="00212513" w:rsidRDefault="00212513">
      <w:pPr>
        <w:pStyle w:val="ConsPlusNormal"/>
        <w:spacing w:before="220"/>
        <w:ind w:firstLine="540"/>
        <w:jc w:val="both"/>
      </w:pPr>
      <w:r>
        <w:t>8.61 Стойки, распорки, стяжки, связи и другие элементы пролетного строения, используемые для уменьшения свободной длины сжатых элементов, следует рассчитывать на сжатие и растяжение силой, равной 3% продольного усилия в сжатом элементе.</w:t>
      </w:r>
    </w:p>
    <w:p w:rsidR="00212513" w:rsidRDefault="00212513">
      <w:pPr>
        <w:pStyle w:val="ConsPlusNormal"/>
        <w:spacing w:before="220"/>
        <w:ind w:firstLine="540"/>
        <w:jc w:val="both"/>
      </w:pPr>
      <w:r>
        <w:lastRenderedPageBreak/>
        <w:t>8.62 В арочных мостах с передачей распора на опоры продольные связи между арками следует рассчитывать как элементы балочной фермы, защемленной по концам.</w:t>
      </w:r>
    </w:p>
    <w:p w:rsidR="00212513" w:rsidRDefault="00212513">
      <w:pPr>
        <w:pStyle w:val="ConsPlusNormal"/>
        <w:spacing w:before="220"/>
        <w:ind w:firstLine="540"/>
        <w:jc w:val="both"/>
      </w:pPr>
      <w:r>
        <w:t>В разрезных балочных пролетных строениях ветровая ферма, образованная поясами главных ферм и продольными связями, принимается разрезной балочной, подвижно-опертой в своей плоскости на порталы или опорные части. В арках и при полигональном очертании поясов ферм допускается определение усилий в поясах ветровой фермы как для плоской фермы с делением полученных результатов на косинус угла наклона данного элемента к горизонтали.</w:t>
      </w:r>
    </w:p>
    <w:p w:rsidR="00212513" w:rsidRDefault="00212513">
      <w:pPr>
        <w:pStyle w:val="ConsPlusNormal"/>
        <w:spacing w:before="220"/>
        <w:ind w:firstLine="540"/>
        <w:jc w:val="both"/>
      </w:pPr>
      <w:r>
        <w:t>В неразрезных балочных пролетных строениях с ездой понизу ветровые фермы, образованные поясами главных ферм и продольными связями, следует рассчитывать как неразрезные балочные, считая верхнюю подвижно-опертой на упругие опоры - порталы на концевых опорах и на каждой промежуточной опоре главных ферм, а нижнюю опертой на жесткие опоры - опорные части.</w:t>
      </w:r>
    </w:p>
    <w:p w:rsidR="00212513" w:rsidRDefault="00212513">
      <w:pPr>
        <w:pStyle w:val="ConsPlusNormal"/>
        <w:spacing w:before="220"/>
        <w:ind w:firstLine="540"/>
        <w:jc w:val="both"/>
      </w:pPr>
      <w:r>
        <w:t>8.63 Элементы главных ферм и связей на изгиб от воздействия ветра допускается не рассчитывать.</w:t>
      </w:r>
    </w:p>
    <w:p w:rsidR="00212513" w:rsidRDefault="00212513">
      <w:pPr>
        <w:pStyle w:val="ConsPlusNormal"/>
        <w:spacing w:before="220"/>
        <w:ind w:firstLine="540"/>
        <w:jc w:val="both"/>
      </w:pPr>
      <w:r>
        <w:t>Опорные порталы следует рассчитывать на воздействие реакций соответствующей ветровой фермы, при этом в нижних поясах балочных пролетных строений следует учитывать горизонтальные составляющие продольных усилий в ногах наклонных опорных порталов.</w:t>
      </w:r>
    </w:p>
    <w:p w:rsidR="00212513" w:rsidRDefault="00212513">
      <w:pPr>
        <w:pStyle w:val="ConsPlusNormal"/>
        <w:spacing w:before="220"/>
        <w:ind w:firstLine="540"/>
        <w:jc w:val="both"/>
      </w:pPr>
      <w:r>
        <w:t>8.64 Пояса главных ферм и элементы решетки, примыкающие к опорному узлу, следует рассчитывать на осевую силу и изгибающий момент от передаваемых с эксцентриситетом на неподвижную опорную часть продольных сил торможения или тяги, а также на изгибающий момент от эксцентриситета реакции однокатковой опорной части относительно центра опорного узла.</w:t>
      </w:r>
    </w:p>
    <w:p w:rsidR="00212513" w:rsidRDefault="00212513">
      <w:pPr>
        <w:pStyle w:val="ConsPlusNormal"/>
        <w:spacing w:before="220"/>
        <w:ind w:firstLine="540"/>
        <w:jc w:val="both"/>
      </w:pPr>
      <w:r>
        <w:t xml:space="preserve">Распределение изгибающих моментов между элементами опорного узла следует принимать согласно </w:t>
      </w:r>
      <w:hyperlink w:anchor="P6951">
        <w:r>
          <w:rPr>
            <w:color w:val="0000FF"/>
          </w:rPr>
          <w:t>8.22</w:t>
        </w:r>
      </w:hyperlink>
      <w:r>
        <w:t>.</w:t>
      </w:r>
    </w:p>
    <w:p w:rsidR="00212513" w:rsidRDefault="00212513">
      <w:pPr>
        <w:pStyle w:val="ConsPlusNormal"/>
        <w:spacing w:before="220"/>
        <w:ind w:firstLine="540"/>
        <w:jc w:val="both"/>
      </w:pPr>
      <w:r>
        <w:t>8.65 Поперечные подкрепления, образуемые в пролетных строениях коробчатого и П-образного сечений решетчатыми или сплошностенчатыми диафрагмами, а также поперечными ребрами и листами ортотропных плит и стенок балок, должны быть проверены на прочность, устойчивость и выносливость на усилия, определяемые, как правило, пространственным расчетом пролетных строений.</w:t>
      </w:r>
    </w:p>
    <w:p w:rsidR="00212513" w:rsidRDefault="00212513">
      <w:pPr>
        <w:pStyle w:val="ConsPlusNormal"/>
        <w:spacing w:before="220"/>
        <w:ind w:firstLine="540"/>
        <w:jc w:val="both"/>
      </w:pPr>
      <w:r>
        <w:t>Допускается рассчитывать поперечные подкрепления как рамы или балки, конфигурация которых соответствует поперечнику пролетного строения, а в состав сечения кроме поперечных ребер или диафрагм - решетчатых или сплошностенчатых - входит лист общей шириной, равной 0,2 расстояния между соседними стенками главных балок, но не более расстояния между поперечными подкреплениями.</w:t>
      </w:r>
    </w:p>
    <w:p w:rsidR="00212513" w:rsidRDefault="00212513">
      <w:pPr>
        <w:pStyle w:val="ConsPlusNormal"/>
        <w:spacing w:before="220"/>
        <w:ind w:firstLine="540"/>
        <w:jc w:val="both"/>
      </w:pPr>
      <w:r>
        <w:t>Поперечные подкрепления в опорных сечениях имеют жесткие опоры в месте расположения опорных частей. Эти подкрепления следует рассчитывать на опорные реакции, местную вертикальную нагрузку и распределенные по контуру поперечного сечения в листах стенок и ортотропных плит касательные напряжения от изгиба и кручения примыкающих к данной опоре пролетов.</w:t>
      </w:r>
    </w:p>
    <w:p w:rsidR="00212513" w:rsidRDefault="00212513">
      <w:pPr>
        <w:pStyle w:val="ConsPlusNormal"/>
        <w:spacing w:before="220"/>
        <w:ind w:firstLine="540"/>
        <w:jc w:val="both"/>
      </w:pPr>
      <w:r>
        <w:t>Поперечные подкрепления, расположенные в пролете, в том числе в местах приложения сосредоточенных сил (например, усилий от вант), следует рассчитывать по шарнирной схеме с учетом всех внешних сил и касательных напряжений в листах стенок и ортотропных плит от изгиба и кручения.</w:t>
      </w:r>
    </w:p>
    <w:p w:rsidR="00212513" w:rsidRDefault="00212513">
      <w:pPr>
        <w:pStyle w:val="ConsPlusNormal"/>
        <w:jc w:val="both"/>
      </w:pPr>
      <w:r>
        <w:t xml:space="preserve">(в ред. </w:t>
      </w:r>
      <w:hyperlink r:id="rId1976">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t xml:space="preserve">8.66 В расчетах на прочность и выносливость прямолинейных железнодорожных пролетных </w:t>
      </w:r>
      <w:r>
        <w:lastRenderedPageBreak/>
        <w:t>строений, расположенных на кривых участках пути радиусом менее 1000 м, следует учитывать усилия, возникающие при кручении пролетного строения как пространственной конструкции.</w:t>
      </w:r>
    </w:p>
    <w:p w:rsidR="00212513" w:rsidRDefault="00212513">
      <w:pPr>
        <w:pStyle w:val="ConsPlusNormal"/>
        <w:spacing w:before="220"/>
        <w:ind w:firstLine="540"/>
        <w:jc w:val="both"/>
      </w:pPr>
      <w:r>
        <w:t xml:space="preserve">8.67 При многостадийном возведении конструкции прочность сечений на промежуточных стадиях монтажа следует проверять по </w:t>
      </w:r>
      <w:hyperlink w:anchor="P6968">
        <w:r>
          <w:rPr>
            <w:color w:val="0000FF"/>
          </w:rPr>
          <w:t>формулам (8.4)</w:t>
        </w:r>
      </w:hyperlink>
      <w:r>
        <w:t xml:space="preserve"> - </w:t>
      </w:r>
      <w:hyperlink w:anchor="P7497">
        <w:r>
          <w:rPr>
            <w:color w:val="0000FF"/>
          </w:rPr>
          <w:t>(8.25)</w:t>
        </w:r>
      </w:hyperlink>
      <w:r>
        <w:t xml:space="preserve">, принимая при этом коэффициенты </w:t>
      </w:r>
      <w:r>
        <w:rPr>
          <w:noProof/>
          <w:position w:val="-1"/>
        </w:rPr>
        <w:drawing>
          <wp:inline distT="0" distB="0" distL="0" distR="0">
            <wp:extent cx="156845" cy="156845"/>
            <wp:effectExtent l="0" t="0" r="0" b="0"/>
            <wp:docPr id="1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7" cstate="print">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1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1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9"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w:t>
      </w:r>
      <w:r>
        <w:rPr>
          <w:noProof/>
          <w:position w:val="-3"/>
        </w:rPr>
        <w:drawing>
          <wp:inline distT="0" distB="0" distL="0" distR="0">
            <wp:extent cx="167640" cy="177800"/>
            <wp:effectExtent l="0" t="0" r="0" b="0"/>
            <wp:docPr id="1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0"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1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1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равными 1,0.</w:t>
      </w:r>
    </w:p>
    <w:p w:rsidR="00212513" w:rsidRDefault="00212513">
      <w:pPr>
        <w:pStyle w:val="ConsPlusNormal"/>
        <w:spacing w:before="220"/>
        <w:ind w:firstLine="540"/>
        <w:jc w:val="both"/>
      </w:pPr>
      <w:r>
        <w:t>8.68 Продольные деформации вант пролетных строений вантовых систем следует определять, принимая приведенный модуль упругости, вычисляемый по формуле</w:t>
      </w:r>
    </w:p>
    <w:p w:rsidR="00212513" w:rsidRDefault="00212513">
      <w:pPr>
        <w:pStyle w:val="ConsPlusNormal"/>
        <w:ind w:firstLine="540"/>
        <w:jc w:val="both"/>
      </w:pPr>
    </w:p>
    <w:p w:rsidR="00212513" w:rsidRDefault="00212513">
      <w:pPr>
        <w:pStyle w:val="ConsPlusNormal"/>
        <w:jc w:val="center"/>
      </w:pPr>
      <w:bookmarkStart w:id="361" w:name="P8365"/>
      <w:bookmarkEnd w:id="361"/>
      <w:r>
        <w:rPr>
          <w:noProof/>
          <w:position w:val="-44"/>
        </w:rPr>
        <w:drawing>
          <wp:inline distT="0" distB="0" distL="0" distR="0">
            <wp:extent cx="1997075" cy="704850"/>
            <wp:effectExtent l="0" t="0" r="0" b="0"/>
            <wp:docPr id="1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3" cstate="print">
                      <a:extLst>
                        <a:ext uri="{28A0092B-C50C-407E-A947-70E740481C1C}">
                          <a14:useLocalDpi xmlns:a14="http://schemas.microsoft.com/office/drawing/2010/main" val="0"/>
                        </a:ext>
                      </a:extLst>
                    </a:blip>
                    <a:srcRect/>
                    <a:stretch>
                      <a:fillRect/>
                    </a:stretch>
                  </pic:blipFill>
                  <pic:spPr bwMode="auto">
                    <a:xfrm>
                      <a:off x="0" y="0"/>
                      <a:ext cx="1997075" cy="704850"/>
                    </a:xfrm>
                    <a:prstGeom prst="rect">
                      <a:avLst/>
                    </a:prstGeom>
                    <a:noFill/>
                    <a:ln>
                      <a:noFill/>
                    </a:ln>
                  </pic:spPr>
                </pic:pic>
              </a:graphicData>
            </a:graphic>
          </wp:inline>
        </w:drawing>
      </w:r>
      <w:r>
        <w:t>, (8.71)</w:t>
      </w:r>
    </w:p>
    <w:p w:rsidR="00212513" w:rsidRDefault="00212513">
      <w:pPr>
        <w:pStyle w:val="ConsPlusNormal"/>
        <w:ind w:firstLine="540"/>
        <w:jc w:val="both"/>
      </w:pPr>
    </w:p>
    <w:p w:rsidR="00212513" w:rsidRDefault="00212513">
      <w:pPr>
        <w:pStyle w:val="ConsPlusNormal"/>
        <w:ind w:firstLine="540"/>
        <w:jc w:val="both"/>
      </w:pPr>
      <w:r>
        <w:t xml:space="preserve">где </w:t>
      </w:r>
      <w:r>
        <w:rPr>
          <w:i/>
        </w:rPr>
        <w:t>E</w:t>
      </w:r>
      <w:r>
        <w:t xml:space="preserve"> - модуль упругости каната, принимаемый по </w:t>
      </w:r>
      <w:hyperlink w:anchor="P6864">
        <w:r>
          <w:rPr>
            <w:color w:val="0000FF"/>
          </w:rPr>
          <w:t>таблицам 8.13</w:t>
        </w:r>
      </w:hyperlink>
      <w:r>
        <w:t xml:space="preserve"> и </w:t>
      </w:r>
      <w:hyperlink w:anchor="P6877">
        <w:r>
          <w:rPr>
            <w:color w:val="0000FF"/>
          </w:rPr>
          <w:t>8.14</w:t>
        </w:r>
      </w:hyperlink>
      <w:r>
        <w:t>;</w:t>
      </w:r>
    </w:p>
    <w:p w:rsidR="00212513" w:rsidRDefault="00212513">
      <w:pPr>
        <w:pStyle w:val="ConsPlusNormal"/>
        <w:spacing w:before="220"/>
        <w:ind w:firstLine="540"/>
        <w:jc w:val="both"/>
      </w:pPr>
      <w:r>
        <w:rPr>
          <w:noProof/>
          <w:position w:val="-3"/>
        </w:rPr>
        <w:drawing>
          <wp:inline distT="0" distB="0" distL="0" distR="0">
            <wp:extent cx="167640" cy="177800"/>
            <wp:effectExtent l="0" t="0" r="0" b="0"/>
            <wp:docPr id="1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4"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плотность материала каната;</w:t>
      </w:r>
    </w:p>
    <w:p w:rsidR="00212513" w:rsidRDefault="00212513">
      <w:pPr>
        <w:pStyle w:val="ConsPlusNormal"/>
        <w:spacing w:before="220"/>
        <w:ind w:firstLine="540"/>
        <w:jc w:val="both"/>
      </w:pPr>
      <w:r>
        <w:rPr>
          <w:i/>
        </w:rPr>
        <w:t>g</w:t>
      </w:r>
      <w:r>
        <w:t xml:space="preserve"> - ускорение силы тяжести;</w:t>
      </w:r>
    </w:p>
    <w:p w:rsidR="00212513" w:rsidRDefault="00212513">
      <w:pPr>
        <w:pStyle w:val="ConsPlusNormal"/>
        <w:spacing w:before="220"/>
        <w:ind w:firstLine="540"/>
        <w:jc w:val="both"/>
      </w:pPr>
      <w:r>
        <w:rPr>
          <w:i/>
        </w:rPr>
        <w:t>l</w:t>
      </w:r>
      <w:r>
        <w:t xml:space="preserve"> - горизонтальная проекция ванты;</w:t>
      </w:r>
    </w:p>
    <w:p w:rsidR="00212513" w:rsidRDefault="00212513">
      <w:pPr>
        <w:pStyle w:val="ConsPlusNormal"/>
        <w:spacing w:before="220"/>
        <w:ind w:firstLine="540"/>
        <w:jc w:val="both"/>
      </w:pPr>
      <w:r>
        <w:rPr>
          <w:i/>
        </w:rPr>
        <w:t>A</w:t>
      </w:r>
      <w:r>
        <w:t xml:space="preserve"> - площадь поперечного сечения каната;</w:t>
      </w:r>
    </w:p>
    <w:p w:rsidR="00212513" w:rsidRDefault="00212513">
      <w:pPr>
        <w:pStyle w:val="ConsPlusNormal"/>
        <w:spacing w:before="220"/>
        <w:ind w:firstLine="540"/>
        <w:jc w:val="both"/>
      </w:pPr>
      <w:r>
        <w:rPr>
          <w:noProof/>
          <w:position w:val="-8"/>
        </w:rPr>
        <w:drawing>
          <wp:inline distT="0" distB="0" distL="0" distR="0">
            <wp:extent cx="177800" cy="251460"/>
            <wp:effectExtent l="0" t="0" r="0" b="0"/>
            <wp:docPr id="1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5"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1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соответственно начальное и конечное значения усилия в ванте - до и после приложения нагрузки, на которую выполняется расчет.</w:t>
      </w:r>
    </w:p>
    <w:p w:rsidR="00212513" w:rsidRDefault="00212513">
      <w:pPr>
        <w:pStyle w:val="ConsPlusNormal"/>
        <w:spacing w:before="220"/>
        <w:ind w:firstLine="540"/>
        <w:jc w:val="both"/>
      </w:pPr>
      <w:r>
        <w:t>Усилия в вантах следует определять последовательными приближениями.</w:t>
      </w:r>
    </w:p>
    <w:p w:rsidR="00212513" w:rsidRDefault="00212513">
      <w:pPr>
        <w:pStyle w:val="ConsPlusNormal"/>
        <w:spacing w:before="220"/>
        <w:ind w:firstLine="540"/>
        <w:jc w:val="both"/>
      </w:pPr>
      <w:r>
        <w:t>8.69 Пилоны вантовых и висячих мостов должны быть проверены по прочности и устойчивости на основе деформационных расчетов.</w:t>
      </w:r>
    </w:p>
    <w:p w:rsidR="00212513" w:rsidRDefault="00212513">
      <w:pPr>
        <w:pStyle w:val="ConsPlusNormal"/>
        <w:spacing w:before="220"/>
        <w:ind w:firstLine="540"/>
        <w:jc w:val="both"/>
      </w:pPr>
      <w:r>
        <w:t>Гибкость пилона при проверке общей устойчивости следует определять с учетом переменной жесткости, условий его закрепления и нагружения на фундаментах и в узлах примыкания ригелей, кабелей и вант.</w:t>
      </w:r>
    </w:p>
    <w:p w:rsidR="00212513" w:rsidRDefault="00212513">
      <w:pPr>
        <w:pStyle w:val="ConsPlusNormal"/>
        <w:spacing w:before="220"/>
        <w:ind w:firstLine="540"/>
        <w:jc w:val="both"/>
      </w:pPr>
      <w:r>
        <w:t>Для пилонов вантово-балочных мостов следует учитывать следящий эффект от усилий в вантах.</w:t>
      </w:r>
    </w:p>
    <w:p w:rsidR="00212513" w:rsidRDefault="00212513">
      <w:pPr>
        <w:pStyle w:val="ConsPlusNormal"/>
        <w:spacing w:before="220"/>
        <w:ind w:firstLine="540"/>
        <w:jc w:val="both"/>
      </w:pPr>
      <w:r>
        <w:t xml:space="preserve">8.70 Конструкции с предварительным напряжением или регулированием должны быть проверены расчетом по прочности и устойчивости на всех этапах выполнения предварительного напряжения или регулирования. При этом следует принимать коэффициенты условий работы по </w:t>
      </w:r>
      <w:hyperlink w:anchor="P6900">
        <w:r>
          <w:rPr>
            <w:color w:val="0000FF"/>
          </w:rPr>
          <w:t>8.19</w:t>
        </w:r>
      </w:hyperlink>
      <w:r>
        <w:t xml:space="preserve">, коэффициенты надежности по нагрузке (более или менее 1,0) - согласно указаниям </w:t>
      </w:r>
      <w:hyperlink w:anchor="P878">
        <w:r>
          <w:rPr>
            <w:color w:val="0000FF"/>
          </w:rPr>
          <w:t>раздела 6</w:t>
        </w:r>
      </w:hyperlink>
      <w:r>
        <w:t xml:space="preserve"> и вычисленные для каждого этапа напряжения суммировать. При расчетах следует учитывать в соответствии с </w:t>
      </w:r>
      <w:hyperlink w:anchor="P14438">
        <w:r>
          <w:rPr>
            <w:color w:val="0000FF"/>
          </w:rPr>
          <w:t>приложением Р</w:t>
        </w:r>
      </w:hyperlink>
      <w:r>
        <w:t xml:space="preserve"> потери напряжений от релаксации, трения и податливости анкеров напрягаемых элементов.</w:t>
      </w:r>
    </w:p>
    <w:p w:rsidR="00212513" w:rsidRDefault="00212513">
      <w:pPr>
        <w:pStyle w:val="ConsPlusNormal"/>
        <w:ind w:firstLine="540"/>
        <w:jc w:val="both"/>
      </w:pPr>
    </w:p>
    <w:p w:rsidR="00212513" w:rsidRDefault="00212513">
      <w:pPr>
        <w:pStyle w:val="ConsPlusTitle"/>
        <w:ind w:firstLine="540"/>
        <w:jc w:val="both"/>
        <w:outlineLvl w:val="3"/>
      </w:pPr>
      <w:r>
        <w:t>Элементы проезжей части</w:t>
      </w:r>
    </w:p>
    <w:p w:rsidR="00212513" w:rsidRDefault="00212513">
      <w:pPr>
        <w:pStyle w:val="ConsPlusNormal"/>
        <w:ind w:firstLine="540"/>
        <w:jc w:val="both"/>
      </w:pPr>
    </w:p>
    <w:p w:rsidR="00212513" w:rsidRDefault="00212513">
      <w:pPr>
        <w:pStyle w:val="ConsPlusNormal"/>
        <w:ind w:firstLine="540"/>
        <w:jc w:val="both"/>
      </w:pPr>
      <w:r>
        <w:t xml:space="preserve">8.71 Продольные балки проезжей части пролетных строений, не имеющих разрывов продольных балок (специальных узлов с продольно-подвижным опиранием их примыкающих один к другому концов), следует рассчитывать по прочности, по упругой стадии работы с учетом дополнительных усилий от их совместной работы с поясами главных ферм, при этом уменьшение усилий в поясах главных ферм допускается учитывать только при включении проезжей части в </w:t>
      </w:r>
      <w:r>
        <w:lastRenderedPageBreak/>
        <w:t>совместную работу с ними специальными горизонтальными диафрагмами.</w:t>
      </w:r>
    </w:p>
    <w:p w:rsidR="00212513" w:rsidRDefault="00212513">
      <w:pPr>
        <w:pStyle w:val="ConsPlusNormal"/>
        <w:spacing w:before="220"/>
        <w:ind w:firstLine="540"/>
        <w:jc w:val="both"/>
      </w:pPr>
      <w:r>
        <w:t>8.72 При включении проезжей части в совместную работу с решетчатыми главными фермами в расчетах всех болтосварных пролетных строений независимо от порядка их монтажа уменьшение усилий в поясах главных ферм следует учитывать только по отношению к воздействию временной вертикальной нагрузки.</w:t>
      </w:r>
    </w:p>
    <w:p w:rsidR="00212513" w:rsidRDefault="00212513">
      <w:pPr>
        <w:pStyle w:val="ConsPlusNormal"/>
        <w:spacing w:before="220"/>
        <w:ind w:firstLine="540"/>
        <w:jc w:val="both"/>
      </w:pPr>
      <w:r>
        <w:t>Учет деформации поясов при определении усилий в проезжей части следует выполнять:</w:t>
      </w:r>
    </w:p>
    <w:p w:rsidR="00212513" w:rsidRDefault="00212513">
      <w:pPr>
        <w:pStyle w:val="ConsPlusNormal"/>
        <w:spacing w:before="220"/>
        <w:ind w:firstLine="540"/>
        <w:jc w:val="both"/>
      </w:pPr>
      <w:r>
        <w:t>от всех нагрузок - при включении проезжей части в совместную работу с главными фермами одновременно с их монтажом;</w:t>
      </w:r>
    </w:p>
    <w:p w:rsidR="00212513" w:rsidRDefault="00212513">
      <w:pPr>
        <w:pStyle w:val="ConsPlusNormal"/>
        <w:spacing w:before="220"/>
        <w:ind w:firstLine="540"/>
        <w:jc w:val="both"/>
      </w:pPr>
      <w:r>
        <w:t>только от временной вертикальной нагрузки - при включении проезжей части в совместную работу с главными фермами после передачи постоянной нагрузки на главные фермы.</w:t>
      </w:r>
    </w:p>
    <w:p w:rsidR="00212513" w:rsidRDefault="00212513">
      <w:pPr>
        <w:pStyle w:val="ConsPlusNormal"/>
        <w:spacing w:before="220"/>
        <w:ind w:firstLine="540"/>
        <w:jc w:val="both"/>
      </w:pPr>
      <w:r>
        <w:t>8.73 Усилия в элементах проезжей части от совместной работы с главными фермами следует определять в предположении, что в горизонтальной плоскости имеют место следующие закрепления: продольные балки к поперечным прикреплены шарнирно; пояс поперечной балки, расположенный в уровне связей, прикреплен к поясам главных ферм жестко, а другой ее пояс - шарнирно.</w:t>
      </w:r>
    </w:p>
    <w:p w:rsidR="00212513" w:rsidRDefault="00212513">
      <w:pPr>
        <w:pStyle w:val="ConsPlusNormal"/>
        <w:spacing w:before="220"/>
        <w:ind w:firstLine="540"/>
        <w:jc w:val="both"/>
      </w:pPr>
      <w:r>
        <w:t xml:space="preserve">Расчет по прочности сечений поперечных балок с учетом изгибающих моментов </w:t>
      </w:r>
      <w:r>
        <w:rPr>
          <w:noProof/>
          <w:position w:val="-10"/>
        </w:rPr>
        <w:drawing>
          <wp:inline distT="0" distB="0" distL="0" distR="0">
            <wp:extent cx="273685" cy="273685"/>
            <wp:effectExtent l="0" t="0" r="0" b="0"/>
            <wp:docPr id="1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7" cstate="print">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inline>
        </w:drawing>
      </w:r>
      <w:r>
        <w:t xml:space="preserve"> в горизонтальной плоскости, возникающих от совместной работы элементов проезжей части с поясами главных ферм, следует выполнять по </w:t>
      </w:r>
      <w:hyperlink w:anchor="P7248">
        <w:r>
          <w:rPr>
            <w:color w:val="0000FF"/>
          </w:rPr>
          <w:t>формулам (8.10)</w:t>
        </w:r>
      </w:hyperlink>
      <w:r>
        <w:t xml:space="preserve"> - </w:t>
      </w:r>
      <w:hyperlink w:anchor="P7266">
        <w:r>
          <w:rPr>
            <w:color w:val="0000FF"/>
          </w:rPr>
          <w:t>(8.17)</w:t>
        </w:r>
      </w:hyperlink>
      <w:r>
        <w:t xml:space="preserve">, принимая </w:t>
      </w:r>
      <w:r>
        <w:rPr>
          <w:noProof/>
          <w:position w:val="-9"/>
        </w:rPr>
        <w:drawing>
          <wp:inline distT="0" distB="0" distL="0" distR="0">
            <wp:extent cx="262890" cy="262890"/>
            <wp:effectExtent l="0" t="0" r="0" b="0"/>
            <wp:docPr id="1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8"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уменьшенными на 20%.</w:t>
      </w:r>
    </w:p>
    <w:p w:rsidR="00212513" w:rsidRDefault="00212513">
      <w:pPr>
        <w:pStyle w:val="ConsPlusNormal"/>
        <w:spacing w:before="220"/>
        <w:ind w:firstLine="540"/>
        <w:jc w:val="both"/>
      </w:pPr>
      <w:r>
        <w:t>В расчетах по прочности элементов проезжей части с плитным безбалластным полотном необходимо учитывать усилия в них от включения плит в совместную работу с продольными балками.</w:t>
      </w:r>
    </w:p>
    <w:p w:rsidR="00212513" w:rsidRDefault="00212513">
      <w:pPr>
        <w:pStyle w:val="ConsPlusNormal"/>
        <w:spacing w:before="220"/>
        <w:ind w:firstLine="540"/>
        <w:jc w:val="both"/>
      </w:pPr>
      <w:bookmarkStart w:id="362" w:name="P8389"/>
      <w:bookmarkEnd w:id="362"/>
      <w:r>
        <w:t>8.74 Усилия в продольных балках с накладками ("рыбками") по верхнему поясу или по обоим поясам в сопряжении с поперечными балками следует определять с учетом неразрезности балок и упругой податливости опор. Распределение осевого усилия и изгибающего момента между прикреплениями поясов и стенки продольной балки следует осуществлять с учетом их податливости.</w:t>
      </w:r>
    </w:p>
    <w:p w:rsidR="00212513" w:rsidRDefault="00212513">
      <w:pPr>
        <w:pStyle w:val="ConsPlusNormal"/>
        <w:spacing w:before="220"/>
        <w:ind w:firstLine="540"/>
        <w:jc w:val="both"/>
      </w:pPr>
      <w:r>
        <w:t xml:space="preserve">8.75 Продольные балки решетчатых пролетных строений с проезжей частью, не включенной в совместную работу с главными фермами, допускается, независимо от конструктивного оформления прикрепления их поясов в месте примыкания к поперечным балкам, рассчитывать по прочности как разрезные. При этом детали прикрепления поясов и стенки балок к поперечным балкам следует рассчитывать на 0,6 момента в середине пролета разрезной балки с распределением его согласно </w:t>
      </w:r>
      <w:hyperlink w:anchor="P8389">
        <w:r>
          <w:rPr>
            <w:color w:val="0000FF"/>
          </w:rPr>
          <w:t>8.74</w:t>
        </w:r>
      </w:hyperlink>
      <w:r>
        <w:t>. При расчете указанных продольных балок на выносливость изгибающие моменты следует определять по линиям влияния неразрезной балки на упругоподатливых опорах.</w:t>
      </w:r>
    </w:p>
    <w:p w:rsidR="00212513" w:rsidRDefault="00212513">
      <w:pPr>
        <w:pStyle w:val="ConsPlusNormal"/>
        <w:spacing w:before="220"/>
        <w:ind w:firstLine="540"/>
        <w:jc w:val="both"/>
      </w:pPr>
      <w:r>
        <w:t>8.76 Поперечные балки решетчатых пролетных строений следует рассчитывать как элементы рам, образованных поперечной балкой и примыкающими к узловым фасонкам элементами главных ферм.</w:t>
      </w:r>
    </w:p>
    <w:p w:rsidR="00212513" w:rsidRDefault="00212513">
      <w:pPr>
        <w:pStyle w:val="ConsPlusNormal"/>
        <w:spacing w:before="220"/>
        <w:ind w:firstLine="540"/>
        <w:jc w:val="both"/>
      </w:pPr>
      <w:r>
        <w:t>Опорные сечения поперечных балок, подвесок, стоек (а при отсутствии подвесок или стоек - и раскосов главных ферм) следует проверять на изгибающие моменты, возникающие в элементах рам, образованных указанными элементами, вследствие изгиба поперечных балок под воздействием вертикальных нагрузок.</w:t>
      </w:r>
    </w:p>
    <w:p w:rsidR="00212513" w:rsidRDefault="00212513">
      <w:pPr>
        <w:pStyle w:val="ConsPlusNormal"/>
        <w:spacing w:before="220"/>
        <w:ind w:firstLine="540"/>
        <w:jc w:val="both"/>
      </w:pPr>
      <w:r>
        <w:t xml:space="preserve">Изгибающие моменты в элементах замкнутых поперечных рам для однопутных пролетных </w:t>
      </w:r>
      <w:r>
        <w:lastRenderedPageBreak/>
        <w:t>строений железнодорожных мостов допускается определять по формулам:</w:t>
      </w:r>
    </w:p>
    <w:p w:rsidR="00212513" w:rsidRDefault="00212513">
      <w:pPr>
        <w:pStyle w:val="ConsPlusNormal"/>
        <w:spacing w:before="220"/>
        <w:ind w:firstLine="540"/>
        <w:jc w:val="both"/>
      </w:pPr>
      <w:r>
        <w:t>опорный изгибающий момент в поперечной балке</w:t>
      </w:r>
    </w:p>
    <w:p w:rsidR="00212513" w:rsidRDefault="00212513">
      <w:pPr>
        <w:pStyle w:val="ConsPlusNormal"/>
        <w:ind w:firstLine="540"/>
        <w:jc w:val="both"/>
      </w:pPr>
    </w:p>
    <w:p w:rsidR="00212513" w:rsidRDefault="00212513">
      <w:pPr>
        <w:pStyle w:val="ConsPlusNormal"/>
        <w:jc w:val="center"/>
      </w:pPr>
      <w:bookmarkStart w:id="363" w:name="P8396"/>
      <w:bookmarkEnd w:id="363"/>
      <w:r>
        <w:rPr>
          <w:noProof/>
          <w:position w:val="-58"/>
        </w:rPr>
        <w:drawing>
          <wp:inline distT="0" distB="0" distL="0" distR="0">
            <wp:extent cx="2755900" cy="880110"/>
            <wp:effectExtent l="0" t="0" r="0" b="0"/>
            <wp:docPr id="1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9">
                      <a:extLst>
                        <a:ext uri="{28A0092B-C50C-407E-A947-70E740481C1C}">
                          <a14:useLocalDpi xmlns:a14="http://schemas.microsoft.com/office/drawing/2010/main" val="0"/>
                        </a:ext>
                      </a:extLst>
                    </a:blip>
                    <a:srcRect/>
                    <a:stretch>
                      <a:fillRect/>
                    </a:stretch>
                  </pic:blipFill>
                  <pic:spPr bwMode="auto">
                    <a:xfrm>
                      <a:off x="0" y="0"/>
                      <a:ext cx="2755900" cy="880110"/>
                    </a:xfrm>
                    <a:prstGeom prst="rect">
                      <a:avLst/>
                    </a:prstGeom>
                    <a:noFill/>
                    <a:ln>
                      <a:noFill/>
                    </a:ln>
                  </pic:spPr>
                </pic:pic>
              </a:graphicData>
            </a:graphic>
          </wp:inline>
        </w:drawing>
      </w:r>
      <w:r>
        <w:t>; (8.72)</w:t>
      </w:r>
    </w:p>
    <w:p w:rsidR="00212513" w:rsidRDefault="00212513">
      <w:pPr>
        <w:pStyle w:val="ConsPlusNormal"/>
        <w:ind w:firstLine="540"/>
        <w:jc w:val="both"/>
      </w:pPr>
    </w:p>
    <w:p w:rsidR="00212513" w:rsidRDefault="00212513">
      <w:pPr>
        <w:pStyle w:val="ConsPlusNormal"/>
        <w:ind w:firstLine="540"/>
        <w:jc w:val="both"/>
      </w:pPr>
      <w:r>
        <w:t>изгибающий момент в подвеске или стойке:</w:t>
      </w:r>
    </w:p>
    <w:p w:rsidR="00212513" w:rsidRDefault="00212513">
      <w:pPr>
        <w:pStyle w:val="ConsPlusNormal"/>
        <w:spacing w:before="220"/>
        <w:ind w:firstLine="540"/>
        <w:jc w:val="both"/>
      </w:pPr>
      <w:r>
        <w:t>у края прикрепления поперечной балки</w:t>
      </w:r>
    </w:p>
    <w:p w:rsidR="00212513" w:rsidRDefault="00212513">
      <w:pPr>
        <w:pStyle w:val="ConsPlusNormal"/>
        <w:ind w:firstLine="540"/>
        <w:jc w:val="both"/>
      </w:pPr>
    </w:p>
    <w:p w:rsidR="00212513" w:rsidRDefault="00212513">
      <w:pPr>
        <w:pStyle w:val="ConsPlusNormal"/>
        <w:jc w:val="center"/>
      </w:pPr>
      <w:bookmarkStart w:id="364" w:name="P8401"/>
      <w:bookmarkEnd w:id="364"/>
      <w:r>
        <w:rPr>
          <w:noProof/>
          <w:position w:val="-42"/>
        </w:rPr>
        <w:drawing>
          <wp:inline distT="0" distB="0" distL="0" distR="0">
            <wp:extent cx="1666240" cy="681355"/>
            <wp:effectExtent l="0" t="0" r="0" b="0"/>
            <wp:docPr id="1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0">
                      <a:extLst>
                        <a:ext uri="{28A0092B-C50C-407E-A947-70E740481C1C}">
                          <a14:useLocalDpi xmlns:a14="http://schemas.microsoft.com/office/drawing/2010/main" val="0"/>
                        </a:ext>
                      </a:extLst>
                    </a:blip>
                    <a:srcRect/>
                    <a:stretch>
                      <a:fillRect/>
                    </a:stretch>
                  </pic:blipFill>
                  <pic:spPr bwMode="auto">
                    <a:xfrm>
                      <a:off x="0" y="0"/>
                      <a:ext cx="1666240" cy="681355"/>
                    </a:xfrm>
                    <a:prstGeom prst="rect">
                      <a:avLst/>
                    </a:prstGeom>
                    <a:noFill/>
                    <a:ln>
                      <a:noFill/>
                    </a:ln>
                  </pic:spPr>
                </pic:pic>
              </a:graphicData>
            </a:graphic>
          </wp:inline>
        </w:drawing>
      </w:r>
      <w:r>
        <w:t>; (8.73)</w:t>
      </w:r>
    </w:p>
    <w:p w:rsidR="00212513" w:rsidRDefault="00212513">
      <w:pPr>
        <w:pStyle w:val="ConsPlusNormal"/>
        <w:ind w:firstLine="540"/>
        <w:jc w:val="both"/>
      </w:pPr>
    </w:p>
    <w:p w:rsidR="00212513" w:rsidRDefault="00212513">
      <w:pPr>
        <w:pStyle w:val="ConsPlusNormal"/>
        <w:ind w:firstLine="540"/>
        <w:jc w:val="both"/>
      </w:pPr>
      <w:r>
        <w:t>в уровне центра ближайшего к поперечной балке узла поперечных связей, а при их отсутствии - центра противоположного пояса главной фермы</w:t>
      </w:r>
    </w:p>
    <w:p w:rsidR="00212513" w:rsidRDefault="00212513">
      <w:pPr>
        <w:pStyle w:val="ConsPlusNormal"/>
        <w:ind w:firstLine="540"/>
        <w:jc w:val="both"/>
      </w:pPr>
    </w:p>
    <w:p w:rsidR="00212513" w:rsidRDefault="00212513">
      <w:pPr>
        <w:pStyle w:val="ConsPlusNormal"/>
        <w:jc w:val="center"/>
      </w:pPr>
      <w:r>
        <w:rPr>
          <w:noProof/>
          <w:position w:val="-8"/>
        </w:rPr>
        <w:drawing>
          <wp:inline distT="0" distB="0" distL="0" distR="0">
            <wp:extent cx="1005840" cy="251460"/>
            <wp:effectExtent l="0" t="0" r="0" b="0"/>
            <wp:docPr id="1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1" cstate="print">
                      <a:extLst>
                        <a:ext uri="{28A0092B-C50C-407E-A947-70E740481C1C}">
                          <a14:useLocalDpi xmlns:a14="http://schemas.microsoft.com/office/drawing/2010/main" val="0"/>
                        </a:ext>
                      </a:extLst>
                    </a:blip>
                    <a:srcRect/>
                    <a:stretch>
                      <a:fillRect/>
                    </a:stretch>
                  </pic:blipFill>
                  <pic:spPr bwMode="auto">
                    <a:xfrm>
                      <a:off x="0" y="0"/>
                      <a:ext cx="1005840" cy="251460"/>
                    </a:xfrm>
                    <a:prstGeom prst="rect">
                      <a:avLst/>
                    </a:prstGeom>
                    <a:noFill/>
                    <a:ln>
                      <a:noFill/>
                    </a:ln>
                  </pic:spPr>
                </pic:pic>
              </a:graphicData>
            </a:graphic>
          </wp:inline>
        </w:drawing>
      </w:r>
      <w:r>
        <w:t>. (8.74)</w:t>
      </w:r>
    </w:p>
    <w:p w:rsidR="00212513" w:rsidRDefault="00212513">
      <w:pPr>
        <w:pStyle w:val="ConsPlusNormal"/>
        <w:ind w:firstLine="540"/>
        <w:jc w:val="both"/>
      </w:pPr>
    </w:p>
    <w:p w:rsidR="00212513" w:rsidRDefault="00212513">
      <w:pPr>
        <w:pStyle w:val="ConsPlusNormal"/>
        <w:ind w:firstLine="540"/>
        <w:jc w:val="both"/>
      </w:pPr>
      <w:r>
        <w:t xml:space="preserve">В </w:t>
      </w:r>
      <w:hyperlink w:anchor="P8396">
        <w:r>
          <w:rPr>
            <w:color w:val="0000FF"/>
          </w:rPr>
          <w:t>формулах (8.72)</w:t>
        </w:r>
      </w:hyperlink>
      <w:r>
        <w:t xml:space="preserve"> и </w:t>
      </w:r>
      <w:hyperlink w:anchor="P8401">
        <w:r>
          <w:rPr>
            <w:color w:val="0000FF"/>
          </w:rPr>
          <w:t>(8.73)</w:t>
        </w:r>
      </w:hyperlink>
      <w:r>
        <w:t>:</w:t>
      </w:r>
    </w:p>
    <w:p w:rsidR="00212513" w:rsidRDefault="00212513">
      <w:pPr>
        <w:pStyle w:val="ConsPlusNormal"/>
        <w:spacing w:before="220"/>
        <w:ind w:firstLine="540"/>
        <w:jc w:val="both"/>
      </w:pPr>
      <w:r>
        <w:rPr>
          <w:i/>
        </w:rPr>
        <w:t>F</w:t>
      </w:r>
      <w:r>
        <w:t xml:space="preserve"> - опорная реакция поперечной балки;</w:t>
      </w:r>
    </w:p>
    <w:p w:rsidR="00212513" w:rsidRDefault="00212513">
      <w:pPr>
        <w:pStyle w:val="ConsPlusNormal"/>
        <w:spacing w:before="220"/>
        <w:ind w:firstLine="540"/>
        <w:jc w:val="both"/>
      </w:pPr>
      <w:r>
        <w:rPr>
          <w:i/>
        </w:rPr>
        <w:t>a</w:t>
      </w:r>
      <w:r>
        <w:t xml:space="preserve"> - расстояние между осью сечения пояса главной фермы и осью сечения продольной балки;</w:t>
      </w:r>
    </w:p>
    <w:p w:rsidR="00212513" w:rsidRDefault="00212513">
      <w:pPr>
        <w:pStyle w:val="ConsPlusNormal"/>
        <w:spacing w:before="220"/>
        <w:ind w:firstLine="540"/>
        <w:jc w:val="both"/>
      </w:pPr>
      <w:r>
        <w:rPr>
          <w:i/>
        </w:rPr>
        <w:t>B</w:t>
      </w:r>
      <w:r>
        <w:t xml:space="preserve"> - расстояние между осями поясов главных ферм;</w:t>
      </w:r>
    </w:p>
    <w:p w:rsidR="00212513" w:rsidRDefault="00212513">
      <w:pPr>
        <w:pStyle w:val="ConsPlusNormal"/>
        <w:spacing w:before="220"/>
        <w:ind w:firstLine="540"/>
        <w:jc w:val="both"/>
      </w:pPr>
      <w:r>
        <w:rPr>
          <w:noProof/>
          <w:position w:val="-8"/>
        </w:rPr>
        <w:drawing>
          <wp:inline distT="0" distB="0" distL="0" distR="0">
            <wp:extent cx="167640" cy="251460"/>
            <wp:effectExtent l="0" t="0" r="0" b="0"/>
            <wp:docPr id="1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2"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длина панели главной фермы (расстояние между поперечными балками);</w:t>
      </w:r>
    </w:p>
    <w:p w:rsidR="00212513" w:rsidRDefault="00212513">
      <w:pPr>
        <w:pStyle w:val="ConsPlusNormal"/>
        <w:spacing w:before="220"/>
        <w:ind w:firstLine="540"/>
        <w:jc w:val="both"/>
      </w:pPr>
      <w:r>
        <w:rPr>
          <w:i/>
        </w:rPr>
        <w:t>H</w:t>
      </w:r>
      <w:r>
        <w:t xml:space="preserve"> - расчетная длина подвески или стойки из плоскости фермы;</w:t>
      </w:r>
    </w:p>
    <w:p w:rsidR="00212513" w:rsidRDefault="00212513">
      <w:pPr>
        <w:pStyle w:val="ConsPlusNormal"/>
        <w:spacing w:before="220"/>
        <w:ind w:firstLine="540"/>
        <w:jc w:val="both"/>
      </w:pPr>
      <w:r>
        <w:rPr>
          <w:noProof/>
          <w:position w:val="-8"/>
        </w:rPr>
        <w:drawing>
          <wp:inline distT="0" distB="0" distL="0" distR="0">
            <wp:extent cx="251460" cy="251460"/>
            <wp:effectExtent l="0" t="0" r="0" b="0"/>
            <wp:docPr id="1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момент инерции сечения брутто поперечной балки в середине ее длины;</w:t>
      </w:r>
    </w:p>
    <w:p w:rsidR="00212513" w:rsidRDefault="00212513">
      <w:pPr>
        <w:pStyle w:val="ConsPlusNormal"/>
        <w:spacing w:before="220"/>
        <w:ind w:firstLine="540"/>
        <w:jc w:val="both"/>
      </w:pPr>
      <w:r>
        <w:rPr>
          <w:noProof/>
          <w:position w:val="-8"/>
        </w:rPr>
        <w:drawing>
          <wp:inline distT="0" distB="0" distL="0" distR="0">
            <wp:extent cx="167640" cy="251460"/>
            <wp:effectExtent l="0" t="0" r="0" b="0"/>
            <wp:docPr id="1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момент инерции сечения брутто подвески или стойки относительно оси, параллельной плоскости главной фермы;</w:t>
      </w:r>
    </w:p>
    <w:p w:rsidR="00212513" w:rsidRDefault="00212513">
      <w:pPr>
        <w:pStyle w:val="ConsPlusNormal"/>
        <w:spacing w:before="220"/>
        <w:ind w:firstLine="540"/>
        <w:jc w:val="both"/>
      </w:pPr>
      <w:r>
        <w:rPr>
          <w:noProof/>
          <w:position w:val="-8"/>
        </w:rPr>
        <w:drawing>
          <wp:inline distT="0" distB="0" distL="0" distR="0">
            <wp:extent cx="156845" cy="251460"/>
            <wp:effectExtent l="0" t="0" r="0" b="0"/>
            <wp:docPr id="1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5"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 момент инерции чистого кручения пояса фермы, примыкающего к поперечной балке.</w:t>
      </w:r>
    </w:p>
    <w:p w:rsidR="00212513" w:rsidRDefault="00212513">
      <w:pPr>
        <w:pStyle w:val="ConsPlusNormal"/>
        <w:spacing w:before="220"/>
        <w:ind w:firstLine="540"/>
        <w:jc w:val="both"/>
      </w:pPr>
      <w:r>
        <w:t>8.77 В открытых пролетных строениях с ездой понизу поперечные рамы следует рассчитывать на условные горизонтальные силы, приложенные на уровне центра тяжести сечения пояса и равные 2% продольного усилия в сжатом поясе балки или фермы.</w:t>
      </w:r>
    </w:p>
    <w:p w:rsidR="00212513" w:rsidRDefault="00212513">
      <w:pPr>
        <w:pStyle w:val="ConsPlusNormal"/>
        <w:spacing w:before="220"/>
        <w:ind w:firstLine="540"/>
        <w:jc w:val="both"/>
      </w:pPr>
      <w:r>
        <w:t>8.78 Усилия в элементах проезжей части со стальными ортотропными плитами автодорожных, городских, совмещенных и пешеходных мостов следует определять, применяя пространственные расчетные схемы с дискретным расположением поперечных ребер и учитывая совместную работу плит с главными фермами (балками).</w:t>
      </w:r>
    </w:p>
    <w:p w:rsidR="00212513" w:rsidRDefault="00212513">
      <w:pPr>
        <w:pStyle w:val="ConsPlusNormal"/>
        <w:spacing w:before="220"/>
        <w:ind w:firstLine="540"/>
        <w:jc w:val="both"/>
      </w:pPr>
      <w:r>
        <w:t xml:space="preserve">Расчет элементов ортотропной плиты по прочности и устойчивости следует выполнять по </w:t>
      </w:r>
      <w:hyperlink w:anchor="P16887">
        <w:r>
          <w:rPr>
            <w:color w:val="0000FF"/>
          </w:rPr>
          <w:t>приложению Ш</w:t>
        </w:r>
      </w:hyperlink>
      <w:r>
        <w:t>, на выносливость - по специальной методике.</w:t>
      </w:r>
    </w:p>
    <w:p w:rsidR="00212513" w:rsidRDefault="00212513">
      <w:pPr>
        <w:pStyle w:val="ConsPlusNormal"/>
        <w:ind w:firstLine="540"/>
        <w:jc w:val="both"/>
      </w:pPr>
    </w:p>
    <w:p w:rsidR="00212513" w:rsidRDefault="00212513">
      <w:pPr>
        <w:pStyle w:val="ConsPlusTitle"/>
        <w:ind w:firstLine="540"/>
        <w:jc w:val="both"/>
        <w:outlineLvl w:val="3"/>
      </w:pPr>
      <w:r>
        <w:t>Элементы связей</w:t>
      </w:r>
    </w:p>
    <w:p w:rsidR="00212513" w:rsidRDefault="00212513">
      <w:pPr>
        <w:pStyle w:val="ConsPlusNormal"/>
        <w:ind w:firstLine="540"/>
        <w:jc w:val="both"/>
      </w:pPr>
    </w:p>
    <w:p w:rsidR="00212513" w:rsidRDefault="00212513">
      <w:pPr>
        <w:pStyle w:val="ConsPlusNormal"/>
        <w:ind w:firstLine="540"/>
        <w:jc w:val="both"/>
      </w:pPr>
      <w:r>
        <w:t>8.79 Усилия в элементах продольных связей с крестовой, ромбической и треугольной решетками от деформации поясов главных ферм или балок следует определять от вертикальной нагрузки, которая воздействует после включения их в работу.</w:t>
      </w:r>
    </w:p>
    <w:p w:rsidR="00212513" w:rsidRDefault="00212513">
      <w:pPr>
        <w:pStyle w:val="ConsPlusNormal"/>
        <w:spacing w:before="220"/>
        <w:ind w:firstLine="540"/>
        <w:jc w:val="both"/>
      </w:pPr>
      <w:r>
        <w:t xml:space="preserve">Усилия в элементах продольных связей, не соединенных с продольными балками или соединенных при наличии разрывов в них по </w:t>
      </w:r>
      <w:hyperlink w:anchor="P8365">
        <w:r>
          <w:rPr>
            <w:color w:val="0000FF"/>
          </w:rPr>
          <w:t>8.71</w:t>
        </w:r>
      </w:hyperlink>
      <w:r>
        <w:t>, допускается определять по формулам:</w:t>
      </w:r>
    </w:p>
    <w:p w:rsidR="00212513" w:rsidRDefault="00212513">
      <w:pPr>
        <w:pStyle w:val="ConsPlusNormal"/>
        <w:spacing w:before="220"/>
        <w:ind w:firstLine="540"/>
        <w:jc w:val="both"/>
      </w:pPr>
      <w:r>
        <w:t>в раскосе крестовой решетки, когда распоркой связей является поперечная изгибаемая балка</w:t>
      </w:r>
    </w:p>
    <w:p w:rsidR="00212513" w:rsidRDefault="00212513">
      <w:pPr>
        <w:pStyle w:val="ConsPlusNormal"/>
        <w:ind w:firstLine="540"/>
        <w:jc w:val="both"/>
      </w:pPr>
    </w:p>
    <w:p w:rsidR="00212513" w:rsidRDefault="00212513">
      <w:pPr>
        <w:pStyle w:val="ConsPlusNormal"/>
        <w:jc w:val="center"/>
      </w:pPr>
      <w:bookmarkStart w:id="365" w:name="P8426"/>
      <w:bookmarkEnd w:id="365"/>
      <w:r>
        <w:rPr>
          <w:noProof/>
          <w:position w:val="-11"/>
        </w:rPr>
        <w:drawing>
          <wp:inline distT="0" distB="0" distL="0" distR="0">
            <wp:extent cx="2179320" cy="281940"/>
            <wp:effectExtent l="0" t="0" r="0" b="0"/>
            <wp:docPr id="1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6" cstate="print">
                      <a:extLst>
                        <a:ext uri="{28A0092B-C50C-407E-A947-70E740481C1C}">
                          <a14:useLocalDpi xmlns:a14="http://schemas.microsoft.com/office/drawing/2010/main" val="0"/>
                        </a:ext>
                      </a:extLst>
                    </a:blip>
                    <a:srcRect/>
                    <a:stretch>
                      <a:fillRect/>
                    </a:stretch>
                  </pic:blipFill>
                  <pic:spPr bwMode="auto">
                    <a:xfrm>
                      <a:off x="0" y="0"/>
                      <a:ext cx="2179320" cy="281940"/>
                    </a:xfrm>
                    <a:prstGeom prst="rect">
                      <a:avLst/>
                    </a:prstGeom>
                    <a:noFill/>
                    <a:ln>
                      <a:noFill/>
                    </a:ln>
                  </pic:spPr>
                </pic:pic>
              </a:graphicData>
            </a:graphic>
          </wp:inline>
        </w:drawing>
      </w:r>
      <w:r>
        <w:t>; (8.75)</w:t>
      </w:r>
    </w:p>
    <w:p w:rsidR="00212513" w:rsidRDefault="00212513">
      <w:pPr>
        <w:pStyle w:val="ConsPlusNormal"/>
        <w:ind w:firstLine="540"/>
        <w:jc w:val="both"/>
      </w:pPr>
    </w:p>
    <w:p w:rsidR="00212513" w:rsidRDefault="00212513">
      <w:pPr>
        <w:pStyle w:val="ConsPlusNormal"/>
        <w:ind w:firstLine="540"/>
        <w:jc w:val="both"/>
      </w:pPr>
      <w:r>
        <w:t>в других раскосах крестовой решетки</w:t>
      </w:r>
    </w:p>
    <w:p w:rsidR="00212513" w:rsidRDefault="00212513">
      <w:pPr>
        <w:pStyle w:val="ConsPlusNormal"/>
        <w:ind w:firstLine="540"/>
        <w:jc w:val="both"/>
      </w:pPr>
    </w:p>
    <w:p w:rsidR="00212513" w:rsidRDefault="00212513">
      <w:pPr>
        <w:pStyle w:val="ConsPlusNormal"/>
        <w:jc w:val="center"/>
      </w:pPr>
      <w:r>
        <w:rPr>
          <w:noProof/>
          <w:position w:val="-46"/>
        </w:rPr>
        <w:drawing>
          <wp:inline distT="0" distB="0" distL="0" distR="0">
            <wp:extent cx="1383030" cy="733425"/>
            <wp:effectExtent l="0" t="0" r="0" b="0"/>
            <wp:docPr id="1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7" cstate="print">
                      <a:extLst>
                        <a:ext uri="{28A0092B-C50C-407E-A947-70E740481C1C}">
                          <a14:useLocalDpi xmlns:a14="http://schemas.microsoft.com/office/drawing/2010/main" val="0"/>
                        </a:ext>
                      </a:extLst>
                    </a:blip>
                    <a:srcRect/>
                    <a:stretch>
                      <a:fillRect/>
                    </a:stretch>
                  </pic:blipFill>
                  <pic:spPr bwMode="auto">
                    <a:xfrm>
                      <a:off x="0" y="0"/>
                      <a:ext cx="1383030" cy="733425"/>
                    </a:xfrm>
                    <a:prstGeom prst="rect">
                      <a:avLst/>
                    </a:prstGeom>
                    <a:noFill/>
                    <a:ln>
                      <a:noFill/>
                    </a:ln>
                  </pic:spPr>
                </pic:pic>
              </a:graphicData>
            </a:graphic>
          </wp:inline>
        </w:drawing>
      </w:r>
      <w:r>
        <w:t>; (8.76)</w:t>
      </w:r>
    </w:p>
    <w:p w:rsidR="00212513" w:rsidRDefault="00212513">
      <w:pPr>
        <w:pStyle w:val="ConsPlusNormal"/>
        <w:ind w:firstLine="540"/>
        <w:jc w:val="both"/>
      </w:pPr>
    </w:p>
    <w:p w:rsidR="00212513" w:rsidRDefault="00212513">
      <w:pPr>
        <w:pStyle w:val="ConsPlusNormal"/>
        <w:ind w:firstLine="540"/>
        <w:jc w:val="both"/>
      </w:pPr>
      <w:r>
        <w:t>в раскосе ромбической решетки</w:t>
      </w:r>
    </w:p>
    <w:p w:rsidR="00212513" w:rsidRDefault="00212513">
      <w:pPr>
        <w:pStyle w:val="ConsPlusNormal"/>
        <w:ind w:firstLine="540"/>
        <w:jc w:val="both"/>
      </w:pPr>
    </w:p>
    <w:p w:rsidR="00212513" w:rsidRDefault="00212513">
      <w:pPr>
        <w:pStyle w:val="ConsPlusNormal"/>
        <w:jc w:val="center"/>
      </w:pPr>
      <w:r>
        <w:rPr>
          <w:noProof/>
          <w:position w:val="-46"/>
        </w:rPr>
        <w:drawing>
          <wp:inline distT="0" distB="0" distL="0" distR="0">
            <wp:extent cx="2458720" cy="733425"/>
            <wp:effectExtent l="0" t="0" r="0" b="0"/>
            <wp:docPr id="1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8" cstate="print">
                      <a:extLst>
                        <a:ext uri="{28A0092B-C50C-407E-A947-70E740481C1C}">
                          <a14:useLocalDpi xmlns:a14="http://schemas.microsoft.com/office/drawing/2010/main" val="0"/>
                        </a:ext>
                      </a:extLst>
                    </a:blip>
                    <a:srcRect/>
                    <a:stretch>
                      <a:fillRect/>
                    </a:stretch>
                  </pic:blipFill>
                  <pic:spPr bwMode="auto">
                    <a:xfrm>
                      <a:off x="0" y="0"/>
                      <a:ext cx="2458720" cy="733425"/>
                    </a:xfrm>
                    <a:prstGeom prst="rect">
                      <a:avLst/>
                    </a:prstGeom>
                    <a:noFill/>
                    <a:ln>
                      <a:noFill/>
                    </a:ln>
                  </pic:spPr>
                </pic:pic>
              </a:graphicData>
            </a:graphic>
          </wp:inline>
        </w:drawing>
      </w:r>
      <w:r>
        <w:t>; (8.77)</w:t>
      </w:r>
    </w:p>
    <w:p w:rsidR="00212513" w:rsidRDefault="00212513">
      <w:pPr>
        <w:pStyle w:val="ConsPlusNormal"/>
        <w:ind w:firstLine="540"/>
        <w:jc w:val="both"/>
      </w:pPr>
    </w:p>
    <w:p w:rsidR="00212513" w:rsidRDefault="00212513">
      <w:pPr>
        <w:pStyle w:val="ConsPlusNormal"/>
        <w:ind w:firstLine="540"/>
        <w:jc w:val="both"/>
      </w:pPr>
      <w:r>
        <w:t>в раскосе треугольной решетки</w:t>
      </w:r>
    </w:p>
    <w:p w:rsidR="00212513" w:rsidRDefault="00212513">
      <w:pPr>
        <w:pStyle w:val="ConsPlusNormal"/>
        <w:ind w:firstLine="540"/>
        <w:jc w:val="both"/>
      </w:pPr>
    </w:p>
    <w:p w:rsidR="00212513" w:rsidRDefault="00212513">
      <w:pPr>
        <w:pStyle w:val="ConsPlusNormal"/>
        <w:jc w:val="center"/>
      </w:pPr>
      <w:bookmarkStart w:id="366" w:name="P8438"/>
      <w:bookmarkEnd w:id="366"/>
      <w:r>
        <w:rPr>
          <w:noProof/>
          <w:position w:val="-46"/>
        </w:rPr>
        <w:drawing>
          <wp:inline distT="0" distB="0" distL="0" distR="0">
            <wp:extent cx="2444750" cy="733425"/>
            <wp:effectExtent l="0" t="0" r="0" b="0"/>
            <wp:docPr id="1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9" cstate="print">
                      <a:extLst>
                        <a:ext uri="{28A0092B-C50C-407E-A947-70E740481C1C}">
                          <a14:useLocalDpi xmlns:a14="http://schemas.microsoft.com/office/drawing/2010/main" val="0"/>
                        </a:ext>
                      </a:extLst>
                    </a:blip>
                    <a:srcRect/>
                    <a:stretch>
                      <a:fillRect/>
                    </a:stretch>
                  </pic:blipFill>
                  <pic:spPr bwMode="auto">
                    <a:xfrm>
                      <a:off x="0" y="0"/>
                      <a:ext cx="2444750" cy="733425"/>
                    </a:xfrm>
                    <a:prstGeom prst="rect">
                      <a:avLst/>
                    </a:prstGeom>
                    <a:noFill/>
                    <a:ln>
                      <a:noFill/>
                    </a:ln>
                  </pic:spPr>
                </pic:pic>
              </a:graphicData>
            </a:graphic>
          </wp:inline>
        </w:drawing>
      </w:r>
      <w:r>
        <w:t>; (8.78)</w:t>
      </w:r>
    </w:p>
    <w:p w:rsidR="00212513" w:rsidRDefault="00212513">
      <w:pPr>
        <w:pStyle w:val="ConsPlusNormal"/>
        <w:ind w:firstLine="540"/>
        <w:jc w:val="both"/>
      </w:pPr>
    </w:p>
    <w:p w:rsidR="00212513" w:rsidRDefault="00212513">
      <w:pPr>
        <w:pStyle w:val="ConsPlusNormal"/>
        <w:ind w:firstLine="540"/>
        <w:jc w:val="both"/>
      </w:pPr>
      <w:r>
        <w:t>в распорке связей с любой решеткой</w:t>
      </w:r>
    </w:p>
    <w:p w:rsidR="00212513" w:rsidRDefault="00212513">
      <w:pPr>
        <w:pStyle w:val="ConsPlusNormal"/>
        <w:ind w:firstLine="540"/>
        <w:jc w:val="both"/>
      </w:pPr>
    </w:p>
    <w:p w:rsidR="00212513" w:rsidRDefault="00212513">
      <w:pPr>
        <w:pStyle w:val="ConsPlusNormal"/>
        <w:jc w:val="center"/>
      </w:pPr>
      <w:r>
        <w:rPr>
          <w:noProof/>
          <w:position w:val="-9"/>
        </w:rPr>
        <w:drawing>
          <wp:inline distT="0" distB="0" distL="0" distR="0">
            <wp:extent cx="1764030" cy="262890"/>
            <wp:effectExtent l="0" t="0" r="0" b="0"/>
            <wp:docPr id="1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0" cstate="print">
                      <a:extLst>
                        <a:ext uri="{28A0092B-C50C-407E-A947-70E740481C1C}">
                          <a14:useLocalDpi xmlns:a14="http://schemas.microsoft.com/office/drawing/2010/main" val="0"/>
                        </a:ext>
                      </a:extLst>
                    </a:blip>
                    <a:srcRect/>
                    <a:stretch>
                      <a:fillRect/>
                    </a:stretch>
                  </pic:blipFill>
                  <pic:spPr bwMode="auto">
                    <a:xfrm>
                      <a:off x="0" y="0"/>
                      <a:ext cx="1764030" cy="262890"/>
                    </a:xfrm>
                    <a:prstGeom prst="rect">
                      <a:avLst/>
                    </a:prstGeom>
                    <a:noFill/>
                    <a:ln>
                      <a:noFill/>
                    </a:ln>
                  </pic:spPr>
                </pic:pic>
              </a:graphicData>
            </a:graphic>
          </wp:inline>
        </w:drawing>
      </w:r>
      <w:r>
        <w:t>. (8.79)</w:t>
      </w:r>
    </w:p>
    <w:p w:rsidR="00212513" w:rsidRDefault="00212513">
      <w:pPr>
        <w:pStyle w:val="ConsPlusNormal"/>
        <w:ind w:firstLine="540"/>
        <w:jc w:val="both"/>
      </w:pPr>
    </w:p>
    <w:p w:rsidR="00212513" w:rsidRDefault="00212513">
      <w:pPr>
        <w:pStyle w:val="ConsPlusNormal"/>
        <w:ind w:firstLine="540"/>
        <w:jc w:val="both"/>
      </w:pPr>
      <w:r>
        <w:t xml:space="preserve">В </w:t>
      </w:r>
      <w:hyperlink w:anchor="P8426">
        <w:r>
          <w:rPr>
            <w:color w:val="0000FF"/>
          </w:rPr>
          <w:t>формулах (8.75)</w:t>
        </w:r>
      </w:hyperlink>
      <w:r>
        <w:t xml:space="preserve"> - (8.79):</w:t>
      </w:r>
    </w:p>
    <w:p w:rsidR="00212513" w:rsidRDefault="00212513">
      <w:pPr>
        <w:pStyle w:val="ConsPlusNormal"/>
        <w:spacing w:before="220"/>
        <w:ind w:firstLine="540"/>
        <w:jc w:val="both"/>
      </w:pPr>
      <w:r>
        <w:rPr>
          <w:noProof/>
          <w:position w:val="-8"/>
        </w:rPr>
        <w:drawing>
          <wp:inline distT="0" distB="0" distL="0" distR="0">
            <wp:extent cx="254000" cy="251460"/>
            <wp:effectExtent l="0" t="0" r="0" b="0"/>
            <wp:docPr id="1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1" cstate="print">
                      <a:extLst>
                        <a:ext uri="{28A0092B-C50C-407E-A947-70E740481C1C}">
                          <a14:useLocalDpi xmlns:a14="http://schemas.microsoft.com/office/drawing/2010/main" val="0"/>
                        </a:ext>
                      </a:extLst>
                    </a:blip>
                    <a:srcRect/>
                    <a:stretch>
                      <a:fillRect/>
                    </a:stretch>
                  </pic:blipFill>
                  <pic:spPr bwMode="auto">
                    <a:xfrm>
                      <a:off x="0" y="0"/>
                      <a:ext cx="254000" cy="251460"/>
                    </a:xfrm>
                    <a:prstGeom prst="rect">
                      <a:avLst/>
                    </a:prstGeom>
                    <a:noFill/>
                    <a:ln>
                      <a:noFill/>
                    </a:ln>
                  </pic:spPr>
                </pic:pic>
              </a:graphicData>
            </a:graphic>
          </wp:inline>
        </w:drawing>
      </w:r>
      <w:r>
        <w:t xml:space="preserve">, </w:t>
      </w:r>
      <w:r>
        <w:rPr>
          <w:noProof/>
          <w:position w:val="-8"/>
        </w:rPr>
        <w:drawing>
          <wp:inline distT="0" distB="0" distL="0" distR="0">
            <wp:extent cx="220980" cy="251460"/>
            <wp:effectExtent l="0" t="0" r="0" b="0"/>
            <wp:docPr id="1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2"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усилия соответственно в раскосе и распорке связей;</w:t>
      </w:r>
    </w:p>
    <w:p w:rsidR="00212513" w:rsidRDefault="00212513">
      <w:pPr>
        <w:pStyle w:val="ConsPlusNormal"/>
        <w:spacing w:before="220"/>
        <w:ind w:firstLine="540"/>
        <w:jc w:val="both"/>
      </w:pPr>
      <w:r>
        <w:rPr>
          <w:noProof/>
          <w:position w:val="-9"/>
        </w:rPr>
        <w:drawing>
          <wp:inline distT="0" distB="0" distL="0" distR="0">
            <wp:extent cx="377190" cy="262890"/>
            <wp:effectExtent l="0" t="0" r="0" b="0"/>
            <wp:docPr id="1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3" cstate="print">
                      <a:extLst>
                        <a:ext uri="{28A0092B-C50C-407E-A947-70E740481C1C}">
                          <a14:useLocalDpi xmlns:a14="http://schemas.microsoft.com/office/drawing/2010/main" val="0"/>
                        </a:ext>
                      </a:extLst>
                    </a:blip>
                    <a:srcRect/>
                    <a:stretch>
                      <a:fillRect/>
                    </a:stretch>
                  </pic:blipFill>
                  <pic:spPr bwMode="auto">
                    <a:xfrm>
                      <a:off x="0" y="0"/>
                      <a:ext cx="377190" cy="262890"/>
                    </a:xfrm>
                    <a:prstGeom prst="rect">
                      <a:avLst/>
                    </a:prstGeom>
                    <a:noFill/>
                    <a:ln>
                      <a:noFill/>
                    </a:ln>
                  </pic:spPr>
                </pic:pic>
              </a:graphicData>
            </a:graphic>
          </wp:inline>
        </w:drawing>
      </w:r>
      <w:r>
        <w:t xml:space="preserve">, </w:t>
      </w:r>
      <w:r>
        <w:rPr>
          <w:noProof/>
          <w:position w:val="-9"/>
        </w:rPr>
        <w:drawing>
          <wp:inline distT="0" distB="0" distL="0" distR="0">
            <wp:extent cx="408940" cy="262890"/>
            <wp:effectExtent l="0" t="0" r="0" b="0"/>
            <wp:docPr id="1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4" cstate="print">
                      <a:extLst>
                        <a:ext uri="{28A0092B-C50C-407E-A947-70E740481C1C}">
                          <a14:useLocalDpi xmlns:a14="http://schemas.microsoft.com/office/drawing/2010/main" val="0"/>
                        </a:ext>
                      </a:extLst>
                    </a:blip>
                    <a:srcRect/>
                    <a:stretch>
                      <a:fillRect/>
                    </a:stretch>
                  </pic:blipFill>
                  <pic:spPr bwMode="auto">
                    <a:xfrm>
                      <a:off x="0" y="0"/>
                      <a:ext cx="408940" cy="262890"/>
                    </a:xfrm>
                    <a:prstGeom prst="rect">
                      <a:avLst/>
                    </a:prstGeom>
                    <a:noFill/>
                    <a:ln>
                      <a:noFill/>
                    </a:ln>
                  </pic:spPr>
                </pic:pic>
              </a:graphicData>
            </a:graphic>
          </wp:inline>
        </w:drawing>
      </w:r>
      <w:r>
        <w:t xml:space="preserve"> - усилия в раскосе соответственно с левой и правой сторон от распорки;</w:t>
      </w:r>
    </w:p>
    <w:p w:rsidR="00212513" w:rsidRDefault="00212513">
      <w:pPr>
        <w:pStyle w:val="ConsPlusNormal"/>
        <w:spacing w:before="220"/>
        <w:ind w:firstLine="540"/>
        <w:jc w:val="both"/>
      </w:pPr>
      <w:r>
        <w:rPr>
          <w:noProof/>
          <w:position w:val="-9"/>
        </w:rPr>
        <w:drawing>
          <wp:inline distT="0" distB="0" distL="0" distR="0">
            <wp:extent cx="220980" cy="262890"/>
            <wp:effectExtent l="0" t="0" r="0" b="0"/>
            <wp:docPr id="1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5"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нормальное напряжение в поясе главной фермы;</w:t>
      </w:r>
    </w:p>
    <w:p w:rsidR="00212513" w:rsidRDefault="00212513">
      <w:pPr>
        <w:pStyle w:val="ConsPlusNormal"/>
        <w:spacing w:before="220"/>
        <w:ind w:firstLine="540"/>
        <w:jc w:val="both"/>
      </w:pPr>
      <w:r>
        <w:rPr>
          <w:noProof/>
          <w:position w:val="-9"/>
        </w:rPr>
        <w:drawing>
          <wp:inline distT="0" distB="0" distL="0" distR="0">
            <wp:extent cx="281940" cy="262890"/>
            <wp:effectExtent l="0" t="0" r="0" b="0"/>
            <wp:docPr id="1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6" cstate="print">
                      <a:extLst>
                        <a:ext uri="{28A0092B-C50C-407E-A947-70E740481C1C}">
                          <a14:useLocalDpi xmlns:a14="http://schemas.microsoft.com/office/drawing/2010/main" val="0"/>
                        </a:ext>
                      </a:extLst>
                    </a:blip>
                    <a:srcRect/>
                    <a:stretch>
                      <a:fillRect/>
                    </a:stretch>
                  </pic:blipFill>
                  <pic:spPr bwMode="auto">
                    <a:xfrm>
                      <a:off x="0" y="0"/>
                      <a:ext cx="281940" cy="262890"/>
                    </a:xfrm>
                    <a:prstGeom prst="rect">
                      <a:avLst/>
                    </a:prstGeom>
                    <a:noFill/>
                    <a:ln>
                      <a:noFill/>
                    </a:ln>
                  </pic:spPr>
                </pic:pic>
              </a:graphicData>
            </a:graphic>
          </wp:inline>
        </w:drawing>
      </w:r>
      <w:r>
        <w:t xml:space="preserve"> - средние (вычисленные с учетом неравномерности распределения изгибающих моментов по длине балки) напряжения в нижнем поясе поперечной балки;</w:t>
      </w:r>
    </w:p>
    <w:p w:rsidR="00212513" w:rsidRDefault="00212513">
      <w:pPr>
        <w:pStyle w:val="ConsPlusNormal"/>
        <w:spacing w:before="220"/>
        <w:ind w:firstLine="540"/>
        <w:jc w:val="both"/>
      </w:pPr>
      <w:r>
        <w:rPr>
          <w:noProof/>
          <w:position w:val="-8"/>
        </w:rPr>
        <w:lastRenderedPageBreak/>
        <w:drawing>
          <wp:inline distT="0" distB="0" distL="0" distR="0">
            <wp:extent cx="209550" cy="251460"/>
            <wp:effectExtent l="0" t="0" r="0" b="0"/>
            <wp:docPr id="1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1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8"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площадь сечения соответственно раскоса и распорки связей; в случае когда распоркой является поперечная изгибаемая балка, в </w:t>
      </w:r>
      <w:hyperlink w:anchor="P8426">
        <w:r>
          <w:rPr>
            <w:color w:val="0000FF"/>
          </w:rPr>
          <w:t>формулах (8.75)</w:t>
        </w:r>
      </w:hyperlink>
      <w:r>
        <w:t xml:space="preserve"> - </w:t>
      </w:r>
      <w:hyperlink w:anchor="P8438">
        <w:r>
          <w:rPr>
            <w:color w:val="0000FF"/>
          </w:rPr>
          <w:t>(8.78)</w:t>
        </w:r>
      </w:hyperlink>
      <w:r>
        <w:t xml:space="preserve"> следует принимать </w:t>
      </w:r>
      <w:r>
        <w:rPr>
          <w:noProof/>
          <w:position w:val="-8"/>
        </w:rPr>
        <w:drawing>
          <wp:inline distT="0" distB="0" distL="0" distR="0">
            <wp:extent cx="502920" cy="251460"/>
            <wp:effectExtent l="0" t="0" r="0" b="0"/>
            <wp:docPr id="1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9" cstate="print">
                      <a:extLst>
                        <a:ext uri="{28A0092B-C50C-407E-A947-70E740481C1C}">
                          <a14:useLocalDpi xmlns:a14="http://schemas.microsoft.com/office/drawing/2010/main" val="0"/>
                        </a:ext>
                      </a:extLst>
                    </a:blip>
                    <a:srcRect/>
                    <a:stretch>
                      <a:fillRect/>
                    </a:stretch>
                  </pic:blipFill>
                  <pic:spPr bwMode="auto">
                    <a:xfrm>
                      <a:off x="0" y="0"/>
                      <a:ext cx="502920" cy="251460"/>
                    </a:xfrm>
                    <a:prstGeom prst="rect">
                      <a:avLst/>
                    </a:prstGeom>
                    <a:noFill/>
                    <a:ln>
                      <a:noFill/>
                    </a:ln>
                  </pic:spPr>
                </pic:pic>
              </a:graphicData>
            </a:graphic>
          </wp:inline>
        </w:drawing>
      </w:r>
      <w:r>
        <w:t>;</w:t>
      </w:r>
    </w:p>
    <w:p w:rsidR="00212513" w:rsidRDefault="00212513">
      <w:pPr>
        <w:pStyle w:val="ConsPlusNormal"/>
        <w:spacing w:before="220"/>
        <w:ind w:firstLine="540"/>
        <w:jc w:val="both"/>
      </w:pPr>
      <w:r>
        <w:rPr>
          <w:i/>
        </w:rPr>
        <w:t>I</w:t>
      </w:r>
      <w:r>
        <w:t xml:space="preserve"> - момент инерции пояса главной фермы относительно вертикальной оси;</w:t>
      </w:r>
    </w:p>
    <w:p w:rsidR="00212513" w:rsidRDefault="00212513">
      <w:pPr>
        <w:pStyle w:val="ConsPlusNormal"/>
        <w:spacing w:before="220"/>
        <w:ind w:firstLine="540"/>
        <w:jc w:val="both"/>
      </w:pPr>
      <w:r>
        <w:rPr>
          <w:noProof/>
          <w:position w:val="-1"/>
        </w:rPr>
        <w:drawing>
          <wp:inline distT="0" distB="0" distL="0" distR="0">
            <wp:extent cx="167640" cy="156845"/>
            <wp:effectExtent l="0" t="0" r="0" b="0"/>
            <wp:docPr id="1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0"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 угол между раскосом связей и поясом главной фермы.</w:t>
      </w:r>
    </w:p>
    <w:p w:rsidR="00212513" w:rsidRDefault="00212513">
      <w:pPr>
        <w:pStyle w:val="ConsPlusNormal"/>
        <w:spacing w:before="220"/>
        <w:ind w:firstLine="540"/>
        <w:jc w:val="both"/>
      </w:pPr>
      <w:r>
        <w:t xml:space="preserve">В </w:t>
      </w:r>
      <w:hyperlink w:anchor="P8426">
        <w:r>
          <w:rPr>
            <w:color w:val="0000FF"/>
          </w:rPr>
          <w:t>формулах (8.75)</w:t>
        </w:r>
      </w:hyperlink>
      <w:r>
        <w:t xml:space="preserve"> - </w:t>
      </w:r>
      <w:hyperlink w:anchor="P8438">
        <w:r>
          <w:rPr>
            <w:color w:val="0000FF"/>
          </w:rPr>
          <w:t>(8.78)</w:t>
        </w:r>
      </w:hyperlink>
      <w:r>
        <w:t xml:space="preserve"> при определении усилий в элементах связей балок со сплошной стенкой вместо </w:t>
      </w:r>
      <w:r>
        <w:rPr>
          <w:noProof/>
          <w:position w:val="-9"/>
        </w:rPr>
        <w:drawing>
          <wp:inline distT="0" distB="0" distL="0" distR="0">
            <wp:extent cx="220980" cy="262890"/>
            <wp:effectExtent l="0" t="0" r="0" b="0"/>
            <wp:docPr id="1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5"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следует принимать напряжение </w:t>
      </w:r>
      <w:r>
        <w:rPr>
          <w:noProof/>
          <w:position w:val="-8"/>
        </w:rPr>
        <w:drawing>
          <wp:inline distT="0" distB="0" distL="0" distR="0">
            <wp:extent cx="220980" cy="251460"/>
            <wp:effectExtent l="0" t="0" r="0" b="0"/>
            <wp:docPr id="1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1"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в стенке главной балки, вычисленное по площади брутто на уровне расположения плоскостей связей. В </w:t>
      </w:r>
      <w:hyperlink w:anchor="P8426">
        <w:r>
          <w:rPr>
            <w:color w:val="0000FF"/>
          </w:rPr>
          <w:t>формуле (8.75)</w:t>
        </w:r>
      </w:hyperlink>
      <w:r>
        <w:t xml:space="preserve"> вместо </w:t>
      </w:r>
      <w:r>
        <w:rPr>
          <w:noProof/>
          <w:position w:val="-9"/>
        </w:rPr>
        <w:drawing>
          <wp:inline distT="0" distB="0" distL="0" distR="0">
            <wp:extent cx="281940" cy="262890"/>
            <wp:effectExtent l="0" t="0" r="0" b="0"/>
            <wp:docPr id="1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2" cstate="print">
                      <a:extLst>
                        <a:ext uri="{28A0092B-C50C-407E-A947-70E740481C1C}">
                          <a14:useLocalDpi xmlns:a14="http://schemas.microsoft.com/office/drawing/2010/main" val="0"/>
                        </a:ext>
                      </a:extLst>
                    </a:blip>
                    <a:srcRect/>
                    <a:stretch>
                      <a:fillRect/>
                    </a:stretch>
                  </pic:blipFill>
                  <pic:spPr bwMode="auto">
                    <a:xfrm>
                      <a:off x="0" y="0"/>
                      <a:ext cx="281940" cy="262890"/>
                    </a:xfrm>
                    <a:prstGeom prst="rect">
                      <a:avLst/>
                    </a:prstGeom>
                    <a:noFill/>
                    <a:ln>
                      <a:noFill/>
                    </a:ln>
                  </pic:spPr>
                </pic:pic>
              </a:graphicData>
            </a:graphic>
          </wp:inline>
        </w:drawing>
      </w:r>
      <w:r>
        <w:t xml:space="preserve"> следует принимать среднее напряжение </w:t>
      </w:r>
      <w:r>
        <w:rPr>
          <w:noProof/>
          <w:position w:val="-8"/>
        </w:rPr>
        <w:drawing>
          <wp:inline distT="0" distB="0" distL="0" distR="0">
            <wp:extent cx="293370" cy="251460"/>
            <wp:effectExtent l="0" t="0" r="0" b="0"/>
            <wp:docPr id="1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3"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в стенке поперечной балки на уровне расположения плоскости связей, вычисленное так же, как и </w:t>
      </w:r>
      <w:r>
        <w:rPr>
          <w:noProof/>
          <w:position w:val="-9"/>
        </w:rPr>
        <w:drawing>
          <wp:inline distT="0" distB="0" distL="0" distR="0">
            <wp:extent cx="281940" cy="262890"/>
            <wp:effectExtent l="0" t="0" r="0" b="0"/>
            <wp:docPr id="1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2" cstate="print">
                      <a:extLst>
                        <a:ext uri="{28A0092B-C50C-407E-A947-70E740481C1C}">
                          <a14:useLocalDpi xmlns:a14="http://schemas.microsoft.com/office/drawing/2010/main" val="0"/>
                        </a:ext>
                      </a:extLst>
                    </a:blip>
                    <a:srcRect/>
                    <a:stretch>
                      <a:fillRect/>
                    </a:stretch>
                  </pic:blipFill>
                  <pic:spPr bwMode="auto">
                    <a:xfrm>
                      <a:off x="0" y="0"/>
                      <a:ext cx="281940" cy="262890"/>
                    </a:xfrm>
                    <a:prstGeom prst="rect">
                      <a:avLst/>
                    </a:prstGeom>
                    <a:noFill/>
                    <a:ln>
                      <a:noFill/>
                    </a:ln>
                  </pic:spPr>
                </pic:pic>
              </a:graphicData>
            </a:graphic>
          </wp:inline>
        </w:drawing>
      </w:r>
      <w:r>
        <w:t>.</w:t>
      </w:r>
    </w:p>
    <w:p w:rsidR="00212513" w:rsidRDefault="00212513">
      <w:pPr>
        <w:pStyle w:val="ConsPlusNormal"/>
        <w:spacing w:before="220"/>
        <w:ind w:firstLine="540"/>
        <w:jc w:val="both"/>
      </w:pPr>
      <w:r>
        <w:t>Усилия в элементах продольных связей с полураскосной решеткой от вертикальной нагрузки допускается не учитывать.</w:t>
      </w:r>
    </w:p>
    <w:p w:rsidR="00212513" w:rsidRDefault="00212513">
      <w:pPr>
        <w:pStyle w:val="ConsPlusNormal"/>
        <w:spacing w:before="220"/>
        <w:ind w:firstLine="540"/>
        <w:jc w:val="both"/>
      </w:pPr>
      <w:r>
        <w:t>8.80 Уменьшение усилий в поясах главных ферм за счет включения продольных связей в совместную работу в цельносварных пролетных строениях следует учитывать от всей нагрузки, действующей после постановки и закрепления продольных связей, а в болтосварных пролетных строениях - только от временной вертикальной нагрузки.</w:t>
      </w:r>
    </w:p>
    <w:p w:rsidR="00212513" w:rsidRDefault="00212513">
      <w:pPr>
        <w:pStyle w:val="ConsPlusNormal"/>
        <w:spacing w:before="220"/>
        <w:ind w:firstLine="540"/>
        <w:jc w:val="both"/>
      </w:pPr>
      <w:r>
        <w:t>8.81 Расчет на прочность и выносливость поясов главных ферм с ромбической и треугольной решетками связей, а также крестовой с распорками разной жесткости следует выполнять с учетом возникающих в поясах изгибающих моментов от деформации элементов связей и от деформации поперечных балок проезжей части независимо от вида связей.</w:t>
      </w:r>
    </w:p>
    <w:p w:rsidR="00212513" w:rsidRDefault="00212513">
      <w:pPr>
        <w:pStyle w:val="ConsPlusNormal"/>
        <w:spacing w:before="220"/>
        <w:ind w:firstLine="540"/>
        <w:jc w:val="both"/>
      </w:pPr>
      <w:r>
        <w:t>Изгибающие моменты в поясе, действующие в плоскости связей с треугольной и ромбической решетками, следует определять по формуле</w:t>
      </w:r>
    </w:p>
    <w:p w:rsidR="00212513" w:rsidRDefault="00212513">
      <w:pPr>
        <w:pStyle w:val="ConsPlusNormal"/>
        <w:ind w:firstLine="540"/>
        <w:jc w:val="both"/>
      </w:pPr>
    </w:p>
    <w:p w:rsidR="00212513" w:rsidRDefault="00212513">
      <w:pPr>
        <w:pStyle w:val="ConsPlusNormal"/>
        <w:jc w:val="center"/>
      </w:pPr>
      <w:r>
        <w:rPr>
          <w:noProof/>
          <w:position w:val="-23"/>
        </w:rPr>
        <w:drawing>
          <wp:inline distT="0" distB="0" distL="0" distR="0">
            <wp:extent cx="817880" cy="441960"/>
            <wp:effectExtent l="0" t="0" r="0" b="0"/>
            <wp:docPr id="1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4" cstate="print">
                      <a:extLst>
                        <a:ext uri="{28A0092B-C50C-407E-A947-70E740481C1C}">
                          <a14:useLocalDpi xmlns:a14="http://schemas.microsoft.com/office/drawing/2010/main" val="0"/>
                        </a:ext>
                      </a:extLst>
                    </a:blip>
                    <a:srcRect/>
                    <a:stretch>
                      <a:fillRect/>
                    </a:stretch>
                  </pic:blipFill>
                  <pic:spPr bwMode="auto">
                    <a:xfrm>
                      <a:off x="0" y="0"/>
                      <a:ext cx="817880" cy="441960"/>
                    </a:xfrm>
                    <a:prstGeom prst="rect">
                      <a:avLst/>
                    </a:prstGeom>
                    <a:noFill/>
                    <a:ln>
                      <a:noFill/>
                    </a:ln>
                  </pic:spPr>
                </pic:pic>
              </a:graphicData>
            </a:graphic>
          </wp:inline>
        </w:drawing>
      </w:r>
      <w:r>
        <w:t>, (8.80)</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8"/>
        </w:rPr>
        <w:drawing>
          <wp:inline distT="0" distB="0" distL="0" distR="0">
            <wp:extent cx="220980" cy="251460"/>
            <wp:effectExtent l="0" t="0" r="0" b="0"/>
            <wp:docPr id="1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5"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усилие в распорке связей;</w:t>
      </w:r>
    </w:p>
    <w:p w:rsidR="00212513" w:rsidRDefault="00212513">
      <w:pPr>
        <w:pStyle w:val="ConsPlusNormal"/>
        <w:spacing w:before="220"/>
        <w:ind w:firstLine="540"/>
        <w:jc w:val="both"/>
      </w:pPr>
      <w:r>
        <w:rPr>
          <w:noProof/>
          <w:position w:val="-8"/>
        </w:rPr>
        <w:drawing>
          <wp:inline distT="0" distB="0" distL="0" distR="0">
            <wp:extent cx="167640" cy="251460"/>
            <wp:effectExtent l="0" t="0" r="0" b="0"/>
            <wp:docPr id="1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6"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расстояние между центрами узлов прикрепления элементов к поясу.</w:t>
      </w:r>
    </w:p>
    <w:p w:rsidR="00212513" w:rsidRDefault="00212513">
      <w:pPr>
        <w:pStyle w:val="ConsPlusNormal"/>
        <w:ind w:firstLine="540"/>
        <w:jc w:val="both"/>
      </w:pPr>
    </w:p>
    <w:p w:rsidR="00212513" w:rsidRDefault="00212513">
      <w:pPr>
        <w:pStyle w:val="ConsPlusTitle"/>
        <w:ind w:firstLine="540"/>
        <w:jc w:val="both"/>
        <w:outlineLvl w:val="3"/>
      </w:pPr>
      <w:r>
        <w:t>Расчет соединений</w:t>
      </w:r>
    </w:p>
    <w:p w:rsidR="00212513" w:rsidRDefault="00212513">
      <w:pPr>
        <w:pStyle w:val="ConsPlusNormal"/>
        <w:ind w:firstLine="540"/>
        <w:jc w:val="both"/>
      </w:pPr>
    </w:p>
    <w:p w:rsidR="00212513" w:rsidRDefault="00212513">
      <w:pPr>
        <w:pStyle w:val="ConsPlusNormal"/>
        <w:ind w:firstLine="540"/>
        <w:jc w:val="both"/>
      </w:pPr>
      <w:bookmarkStart w:id="367" w:name="P8465"/>
      <w:bookmarkEnd w:id="367"/>
      <w:r>
        <w:t>8.82 Сварные, фрикционные на цилиндрических высокопрочных болтах, болтовые на конических высокопрочных болтах, комбинированные болто-фрикционно-сварные, фланцевые на высокопрочных цилиндрических и конических болтах, а также шарнирные соединения в стальных мостовых конструкциях необходимо рассчитывать на передачу всех усилий, действующих в элементах конструкций, с учетом ослабления сечений отверстиями.</w:t>
      </w:r>
    </w:p>
    <w:p w:rsidR="00212513" w:rsidRDefault="00212513">
      <w:pPr>
        <w:pStyle w:val="ConsPlusNormal"/>
        <w:spacing w:before="220"/>
        <w:ind w:firstLine="540"/>
        <w:jc w:val="both"/>
      </w:pPr>
      <w:r>
        <w:t xml:space="preserve">При неравномерном распределении усилий и возможной перегрузке отдельных зон и деталей прикреплений следует вводить коэффициенты условий работы, указанные в </w:t>
      </w:r>
      <w:hyperlink w:anchor="P6905">
        <w:r>
          <w:rPr>
            <w:color w:val="0000FF"/>
          </w:rPr>
          <w:t>таблицах 8.15</w:t>
        </w:r>
      </w:hyperlink>
      <w:r>
        <w:t xml:space="preserve"> и </w:t>
      </w:r>
      <w:hyperlink w:anchor="P8764">
        <w:r>
          <w:rPr>
            <w:color w:val="0000FF"/>
          </w:rPr>
          <w:t>8.36</w:t>
        </w:r>
      </w:hyperlink>
      <w:r>
        <w:t>.</w:t>
      </w:r>
    </w:p>
    <w:p w:rsidR="00212513" w:rsidRDefault="00212513">
      <w:pPr>
        <w:pStyle w:val="ConsPlusNormal"/>
        <w:spacing w:before="220"/>
        <w:ind w:firstLine="540"/>
        <w:jc w:val="both"/>
      </w:pPr>
      <w:r>
        <w:t>При расчете прикрепления элемента к узлу с одиночной фасонкой допускается не учитывать изгибающие моменты в плоскости, перпендикулярной плоскости фасонки.</w:t>
      </w:r>
    </w:p>
    <w:p w:rsidR="00212513" w:rsidRDefault="00212513">
      <w:pPr>
        <w:pStyle w:val="ConsPlusNormal"/>
        <w:spacing w:before="220"/>
        <w:ind w:firstLine="540"/>
        <w:jc w:val="both"/>
      </w:pPr>
      <w:r>
        <w:lastRenderedPageBreak/>
        <w:t>Распределение продольного усилия, проходящего через центр тяжести соединения, следует принимать равномерным между болтами или сварными швами прикрепления.</w:t>
      </w:r>
    </w:p>
    <w:p w:rsidR="00212513" w:rsidRDefault="00212513">
      <w:pPr>
        <w:pStyle w:val="ConsPlusNormal"/>
        <w:spacing w:before="220"/>
        <w:ind w:firstLine="540"/>
        <w:jc w:val="both"/>
      </w:pPr>
      <w:r>
        <w:t xml:space="preserve">При реконструкции и усилении клепаных пролетных строений расчеты заклепочных соединений надлежит выполнять по указаниям </w:t>
      </w:r>
      <w:hyperlink w:anchor="P19085">
        <w:r>
          <w:rPr>
            <w:color w:val="0000FF"/>
          </w:rPr>
          <w:t>[10]</w:t>
        </w:r>
      </w:hyperlink>
      <w:r>
        <w:t>. Дефектные заклепки следует заменять на высокопрочные болты М22 с усилием натяжения не более 177 кН.</w:t>
      </w:r>
    </w:p>
    <w:p w:rsidR="00212513" w:rsidRDefault="00212513">
      <w:pPr>
        <w:pStyle w:val="ConsPlusNormal"/>
        <w:spacing w:before="220"/>
        <w:ind w:firstLine="540"/>
        <w:jc w:val="both"/>
      </w:pPr>
      <w:r>
        <w:t>8.83 Расчетную высоту сечения сварных швов следует принимать:</w:t>
      </w:r>
    </w:p>
    <w:p w:rsidR="00212513" w:rsidRDefault="00212513">
      <w:pPr>
        <w:pStyle w:val="ConsPlusNormal"/>
        <w:spacing w:before="220"/>
        <w:ind w:firstLine="540"/>
        <w:jc w:val="both"/>
      </w:pPr>
      <w:r>
        <w:t>для стыковых швов:</w:t>
      </w:r>
    </w:p>
    <w:p w:rsidR="00212513" w:rsidRDefault="00212513">
      <w:pPr>
        <w:pStyle w:val="ConsPlusNormal"/>
        <w:spacing w:before="220"/>
        <w:ind w:firstLine="540"/>
        <w:jc w:val="both"/>
      </w:pPr>
      <w:r>
        <w:t xml:space="preserve">деталей, свариваемых с полным проплавлением, - </w:t>
      </w:r>
      <w:r>
        <w:rPr>
          <w:noProof/>
          <w:position w:val="-8"/>
        </w:rPr>
        <w:drawing>
          <wp:inline distT="0" distB="0" distL="0" distR="0">
            <wp:extent cx="544830" cy="251460"/>
            <wp:effectExtent l="0" t="0" r="0" b="0"/>
            <wp:docPr id="1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7" cstate="print">
                      <a:extLst>
                        <a:ext uri="{28A0092B-C50C-407E-A947-70E740481C1C}">
                          <a14:useLocalDpi xmlns:a14="http://schemas.microsoft.com/office/drawing/2010/main" val="0"/>
                        </a:ext>
                      </a:extLst>
                    </a:blip>
                    <a:srcRect/>
                    <a:stretch>
                      <a:fillRect/>
                    </a:stretch>
                  </pic:blipFill>
                  <pic:spPr bwMode="auto">
                    <a:xfrm>
                      <a:off x="0" y="0"/>
                      <a:ext cx="544830" cy="251460"/>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деталей, свариваемых с неполным проплавлением, - </w:t>
      </w:r>
      <w:r>
        <w:rPr>
          <w:noProof/>
          <w:position w:val="-9"/>
        </w:rPr>
        <w:drawing>
          <wp:inline distT="0" distB="0" distL="0" distR="0">
            <wp:extent cx="648970" cy="262890"/>
            <wp:effectExtent l="0" t="0" r="0" b="0"/>
            <wp:docPr id="1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8" cstate="print">
                      <a:extLst>
                        <a:ext uri="{28A0092B-C50C-407E-A947-70E740481C1C}">
                          <a14:useLocalDpi xmlns:a14="http://schemas.microsoft.com/office/drawing/2010/main" val="0"/>
                        </a:ext>
                      </a:extLst>
                    </a:blip>
                    <a:srcRect/>
                    <a:stretch>
                      <a:fillRect/>
                    </a:stretch>
                  </pic:blipFill>
                  <pic:spPr bwMode="auto">
                    <a:xfrm>
                      <a:off x="0" y="0"/>
                      <a:ext cx="648970" cy="262890"/>
                    </a:xfrm>
                    <a:prstGeom prst="rect">
                      <a:avLst/>
                    </a:prstGeom>
                    <a:noFill/>
                    <a:ln>
                      <a:noFill/>
                    </a:ln>
                  </pic:spPr>
                </pic:pic>
              </a:graphicData>
            </a:graphic>
          </wp:inline>
        </w:drawing>
      </w:r>
      <w:r>
        <w:t>;</w:t>
      </w:r>
    </w:p>
    <w:p w:rsidR="00212513" w:rsidRDefault="00212513">
      <w:pPr>
        <w:pStyle w:val="ConsPlusNormal"/>
        <w:spacing w:before="220"/>
        <w:ind w:firstLine="540"/>
        <w:jc w:val="both"/>
      </w:pPr>
      <w:r>
        <w:t>для угловых швов:</w:t>
      </w:r>
    </w:p>
    <w:p w:rsidR="00212513" w:rsidRDefault="00212513">
      <w:pPr>
        <w:pStyle w:val="ConsPlusNormal"/>
        <w:spacing w:before="220"/>
        <w:ind w:firstLine="540"/>
        <w:jc w:val="both"/>
      </w:pPr>
      <w:r>
        <w:t xml:space="preserve">по металлу шва - </w:t>
      </w:r>
      <w:r>
        <w:rPr>
          <w:noProof/>
          <w:position w:val="-9"/>
        </w:rPr>
        <w:drawing>
          <wp:inline distT="0" distB="0" distL="0" distR="0">
            <wp:extent cx="691515" cy="262890"/>
            <wp:effectExtent l="0" t="0" r="0" b="0"/>
            <wp:docPr id="1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9" cstate="print">
                      <a:extLst>
                        <a:ext uri="{28A0092B-C50C-407E-A947-70E740481C1C}">
                          <a14:useLocalDpi xmlns:a14="http://schemas.microsoft.com/office/drawing/2010/main" val="0"/>
                        </a:ext>
                      </a:extLst>
                    </a:blip>
                    <a:srcRect/>
                    <a:stretch>
                      <a:fillRect/>
                    </a:stretch>
                  </pic:blipFill>
                  <pic:spPr bwMode="auto">
                    <a:xfrm>
                      <a:off x="0" y="0"/>
                      <a:ext cx="691515" cy="262890"/>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по металлу границы сплавления - </w:t>
      </w:r>
      <w:r>
        <w:rPr>
          <w:noProof/>
          <w:position w:val="-9"/>
        </w:rPr>
        <w:drawing>
          <wp:inline distT="0" distB="0" distL="0" distR="0">
            <wp:extent cx="648970" cy="262890"/>
            <wp:effectExtent l="0" t="0" r="0" b="0"/>
            <wp:docPr id="1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0" cstate="print">
                      <a:extLst>
                        <a:ext uri="{28A0092B-C50C-407E-A947-70E740481C1C}">
                          <a14:useLocalDpi xmlns:a14="http://schemas.microsoft.com/office/drawing/2010/main" val="0"/>
                        </a:ext>
                      </a:extLst>
                    </a:blip>
                    <a:srcRect/>
                    <a:stretch>
                      <a:fillRect/>
                    </a:stretch>
                  </pic:blipFill>
                  <pic:spPr bwMode="auto">
                    <a:xfrm>
                      <a:off x="0" y="0"/>
                      <a:ext cx="648970" cy="262890"/>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где </w:t>
      </w:r>
      <w:r>
        <w:rPr>
          <w:noProof/>
          <w:position w:val="-8"/>
        </w:rPr>
        <w:drawing>
          <wp:inline distT="0" distB="0" distL="0" distR="0">
            <wp:extent cx="251460" cy="251460"/>
            <wp:effectExtent l="0" t="0" r="0" b="0"/>
            <wp:docPr id="1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1"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наименьшая из толщин свариваемых деталей;</w:t>
      </w:r>
    </w:p>
    <w:p w:rsidR="00212513" w:rsidRDefault="00212513">
      <w:pPr>
        <w:pStyle w:val="ConsPlusNormal"/>
        <w:spacing w:before="220"/>
        <w:ind w:firstLine="540"/>
        <w:jc w:val="both"/>
      </w:pPr>
      <w:r>
        <w:rPr>
          <w:noProof/>
          <w:position w:val="-9"/>
        </w:rPr>
        <w:drawing>
          <wp:inline distT="0" distB="0" distL="0" distR="0">
            <wp:extent cx="355600" cy="262890"/>
            <wp:effectExtent l="0" t="0" r="0" b="0"/>
            <wp:docPr id="1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2" cstate="print">
                      <a:extLst>
                        <a:ext uri="{28A0092B-C50C-407E-A947-70E740481C1C}">
                          <a14:useLocalDpi xmlns:a14="http://schemas.microsoft.com/office/drawing/2010/main" val="0"/>
                        </a:ext>
                      </a:extLst>
                    </a:blip>
                    <a:srcRect/>
                    <a:stretch>
                      <a:fillRect/>
                    </a:stretch>
                  </pic:blipFill>
                  <pic:spPr bwMode="auto">
                    <a:xfrm>
                      <a:off x="0" y="0"/>
                      <a:ext cx="355600" cy="262890"/>
                    </a:xfrm>
                    <a:prstGeom prst="rect">
                      <a:avLst/>
                    </a:prstGeom>
                    <a:noFill/>
                    <a:ln>
                      <a:noFill/>
                    </a:ln>
                  </pic:spPr>
                </pic:pic>
              </a:graphicData>
            </a:graphic>
          </wp:inline>
        </w:drawing>
      </w:r>
      <w:r>
        <w:t xml:space="preserve"> - наименьшая толщина сечения стыкового шва при сварке деталей с неполным проплавлением;</w:t>
      </w:r>
    </w:p>
    <w:p w:rsidR="00212513" w:rsidRDefault="00212513">
      <w:pPr>
        <w:pStyle w:val="ConsPlusNormal"/>
        <w:spacing w:before="220"/>
        <w:ind w:firstLine="540"/>
        <w:jc w:val="both"/>
      </w:pPr>
      <w:r>
        <w:rPr>
          <w:noProof/>
          <w:position w:val="-9"/>
        </w:rPr>
        <w:drawing>
          <wp:inline distT="0" distB="0" distL="0" distR="0">
            <wp:extent cx="198755" cy="262890"/>
            <wp:effectExtent l="0" t="0" r="0" b="0"/>
            <wp:docPr id="1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3"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 наименьший из катетов углового шва;</w:t>
      </w:r>
    </w:p>
    <w:p w:rsidR="00212513" w:rsidRDefault="00212513">
      <w:pPr>
        <w:pStyle w:val="ConsPlusNormal"/>
        <w:spacing w:before="220"/>
        <w:ind w:firstLine="540"/>
        <w:jc w:val="both"/>
      </w:pPr>
      <w:r>
        <w:rPr>
          <w:noProof/>
          <w:position w:val="-9"/>
        </w:rPr>
        <w:drawing>
          <wp:inline distT="0" distB="0" distL="0" distR="0">
            <wp:extent cx="220980" cy="262890"/>
            <wp:effectExtent l="0" t="0" r="0" b="0"/>
            <wp:docPr id="1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4"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1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коэффициенты расчетных сечений угловых швов, принимаемые по таблице 8.35.</w:t>
      </w:r>
    </w:p>
    <w:p w:rsidR="00212513" w:rsidRDefault="00212513">
      <w:pPr>
        <w:pStyle w:val="ConsPlusNormal"/>
        <w:ind w:firstLine="540"/>
        <w:jc w:val="both"/>
      </w:pPr>
    </w:p>
    <w:p w:rsidR="00212513" w:rsidRDefault="00212513">
      <w:pPr>
        <w:pStyle w:val="ConsPlusNormal"/>
        <w:jc w:val="right"/>
      </w:pPr>
      <w:r>
        <w:t>Таблица 8.35</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1474"/>
        <w:gridCol w:w="1485"/>
        <w:gridCol w:w="977"/>
        <w:gridCol w:w="977"/>
        <w:gridCol w:w="977"/>
        <w:gridCol w:w="978"/>
      </w:tblGrid>
      <w:tr w:rsidR="00212513">
        <w:tc>
          <w:tcPr>
            <w:tcW w:w="2211" w:type="dxa"/>
            <w:vMerge w:val="restart"/>
            <w:vAlign w:val="center"/>
          </w:tcPr>
          <w:p w:rsidR="00212513" w:rsidRDefault="00212513">
            <w:pPr>
              <w:pStyle w:val="ConsPlusNormal"/>
              <w:jc w:val="center"/>
            </w:pPr>
            <w:r>
              <w:t xml:space="preserve">Вид сварки при диаметре сварочной проволоки </w:t>
            </w:r>
            <w:r>
              <w:rPr>
                <w:i/>
              </w:rPr>
              <w:t>d</w:t>
            </w:r>
            <w:r>
              <w:t>, мм</w:t>
            </w:r>
          </w:p>
        </w:tc>
        <w:tc>
          <w:tcPr>
            <w:tcW w:w="1474" w:type="dxa"/>
            <w:vMerge w:val="restart"/>
            <w:vAlign w:val="center"/>
          </w:tcPr>
          <w:p w:rsidR="00212513" w:rsidRDefault="00212513">
            <w:pPr>
              <w:pStyle w:val="ConsPlusNormal"/>
              <w:jc w:val="center"/>
            </w:pPr>
            <w:r>
              <w:t>Положение шва</w:t>
            </w:r>
          </w:p>
        </w:tc>
        <w:tc>
          <w:tcPr>
            <w:tcW w:w="5394" w:type="dxa"/>
            <w:gridSpan w:val="5"/>
            <w:vAlign w:val="center"/>
          </w:tcPr>
          <w:p w:rsidR="00212513" w:rsidRDefault="00212513">
            <w:pPr>
              <w:pStyle w:val="ConsPlusNormal"/>
              <w:jc w:val="center"/>
            </w:pPr>
            <w:r>
              <w:t>Коэффициенты расчетных сечений угловых швов</w:t>
            </w:r>
          </w:p>
        </w:tc>
      </w:tr>
      <w:tr w:rsidR="00212513">
        <w:tc>
          <w:tcPr>
            <w:tcW w:w="2211" w:type="dxa"/>
            <w:vMerge/>
          </w:tcPr>
          <w:p w:rsidR="00212513" w:rsidRDefault="00212513">
            <w:pPr>
              <w:pStyle w:val="ConsPlusNormal"/>
            </w:pPr>
          </w:p>
        </w:tc>
        <w:tc>
          <w:tcPr>
            <w:tcW w:w="1474" w:type="dxa"/>
            <w:vMerge/>
          </w:tcPr>
          <w:p w:rsidR="00212513" w:rsidRDefault="00212513">
            <w:pPr>
              <w:pStyle w:val="ConsPlusNormal"/>
            </w:pPr>
          </w:p>
        </w:tc>
        <w:tc>
          <w:tcPr>
            <w:tcW w:w="1485" w:type="dxa"/>
            <w:vMerge w:val="restart"/>
            <w:vAlign w:val="center"/>
          </w:tcPr>
          <w:p w:rsidR="00212513" w:rsidRDefault="00212513">
            <w:pPr>
              <w:pStyle w:val="ConsPlusNormal"/>
              <w:jc w:val="center"/>
            </w:pPr>
            <w:r>
              <w:t>обозначения</w:t>
            </w:r>
          </w:p>
        </w:tc>
        <w:tc>
          <w:tcPr>
            <w:tcW w:w="3909" w:type="dxa"/>
            <w:gridSpan w:val="4"/>
            <w:vAlign w:val="center"/>
          </w:tcPr>
          <w:p w:rsidR="00212513" w:rsidRDefault="00212513">
            <w:pPr>
              <w:pStyle w:val="ConsPlusNormal"/>
              <w:jc w:val="center"/>
            </w:pPr>
            <w:r>
              <w:t xml:space="preserve">при катетах швов </w:t>
            </w:r>
            <w:r>
              <w:rPr>
                <w:noProof/>
                <w:position w:val="-9"/>
              </w:rPr>
              <w:drawing>
                <wp:inline distT="0" distB="0" distL="0" distR="0">
                  <wp:extent cx="199390" cy="262255"/>
                  <wp:effectExtent l="0" t="0" r="0" b="0"/>
                  <wp:docPr id="1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6"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мм</w:t>
            </w:r>
          </w:p>
        </w:tc>
      </w:tr>
      <w:tr w:rsidR="00212513">
        <w:tc>
          <w:tcPr>
            <w:tcW w:w="2211" w:type="dxa"/>
            <w:vMerge/>
          </w:tcPr>
          <w:p w:rsidR="00212513" w:rsidRDefault="00212513">
            <w:pPr>
              <w:pStyle w:val="ConsPlusNormal"/>
            </w:pPr>
          </w:p>
        </w:tc>
        <w:tc>
          <w:tcPr>
            <w:tcW w:w="1474" w:type="dxa"/>
            <w:vMerge/>
          </w:tcPr>
          <w:p w:rsidR="00212513" w:rsidRDefault="00212513">
            <w:pPr>
              <w:pStyle w:val="ConsPlusNormal"/>
            </w:pPr>
          </w:p>
        </w:tc>
        <w:tc>
          <w:tcPr>
            <w:tcW w:w="1485" w:type="dxa"/>
            <w:vMerge/>
          </w:tcPr>
          <w:p w:rsidR="00212513" w:rsidRDefault="00212513">
            <w:pPr>
              <w:pStyle w:val="ConsPlusNormal"/>
            </w:pPr>
          </w:p>
        </w:tc>
        <w:tc>
          <w:tcPr>
            <w:tcW w:w="977" w:type="dxa"/>
            <w:vAlign w:val="center"/>
          </w:tcPr>
          <w:p w:rsidR="00212513" w:rsidRDefault="00212513">
            <w:pPr>
              <w:pStyle w:val="ConsPlusNormal"/>
              <w:jc w:val="center"/>
            </w:pPr>
            <w:r>
              <w:t>3 - 8</w:t>
            </w:r>
          </w:p>
        </w:tc>
        <w:tc>
          <w:tcPr>
            <w:tcW w:w="977" w:type="dxa"/>
            <w:vAlign w:val="center"/>
          </w:tcPr>
          <w:p w:rsidR="00212513" w:rsidRDefault="00212513">
            <w:pPr>
              <w:pStyle w:val="ConsPlusNormal"/>
              <w:jc w:val="center"/>
            </w:pPr>
            <w:r>
              <w:t>9 - 12</w:t>
            </w:r>
          </w:p>
        </w:tc>
        <w:tc>
          <w:tcPr>
            <w:tcW w:w="977" w:type="dxa"/>
            <w:vAlign w:val="center"/>
          </w:tcPr>
          <w:p w:rsidR="00212513" w:rsidRDefault="00212513">
            <w:pPr>
              <w:pStyle w:val="ConsPlusNormal"/>
              <w:jc w:val="center"/>
            </w:pPr>
            <w:r>
              <w:t>14 - 16</w:t>
            </w:r>
          </w:p>
        </w:tc>
        <w:tc>
          <w:tcPr>
            <w:tcW w:w="978" w:type="dxa"/>
            <w:vAlign w:val="center"/>
          </w:tcPr>
          <w:p w:rsidR="00212513" w:rsidRDefault="00212513">
            <w:pPr>
              <w:pStyle w:val="ConsPlusNormal"/>
              <w:jc w:val="center"/>
            </w:pPr>
            <w:r>
              <w:t>18 и более</w:t>
            </w:r>
          </w:p>
        </w:tc>
      </w:tr>
      <w:tr w:rsidR="00212513">
        <w:tc>
          <w:tcPr>
            <w:tcW w:w="2211" w:type="dxa"/>
            <w:vMerge w:val="restart"/>
          </w:tcPr>
          <w:p w:rsidR="00212513" w:rsidRDefault="00212513">
            <w:pPr>
              <w:pStyle w:val="ConsPlusNormal"/>
            </w:pPr>
            <w:r>
              <w:t xml:space="preserve">Автоматическая под флюсом при </w:t>
            </w:r>
            <w:r>
              <w:rPr>
                <w:i/>
              </w:rPr>
              <w:t>d</w:t>
            </w:r>
            <w:r>
              <w:t xml:space="preserve"> = 2 - 5</w:t>
            </w:r>
          </w:p>
        </w:tc>
        <w:tc>
          <w:tcPr>
            <w:tcW w:w="1474" w:type="dxa"/>
            <w:vMerge w:val="restart"/>
          </w:tcPr>
          <w:p w:rsidR="00212513" w:rsidRDefault="00212513">
            <w:pPr>
              <w:pStyle w:val="ConsPlusNormal"/>
            </w:pPr>
            <w:r>
              <w:t>В лодочку</w:t>
            </w:r>
          </w:p>
        </w:tc>
        <w:tc>
          <w:tcPr>
            <w:tcW w:w="1485" w:type="dxa"/>
          </w:tcPr>
          <w:p w:rsidR="00212513" w:rsidRDefault="00212513">
            <w:pPr>
              <w:pStyle w:val="ConsPlusNormal"/>
              <w:jc w:val="center"/>
            </w:pPr>
            <w:r>
              <w:rPr>
                <w:noProof/>
                <w:position w:val="-9"/>
              </w:rPr>
              <w:drawing>
                <wp:inline distT="0" distB="0" distL="0" distR="0">
                  <wp:extent cx="220345" cy="262255"/>
                  <wp:effectExtent l="0" t="0" r="0" b="0"/>
                  <wp:docPr id="1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7"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p>
        </w:tc>
        <w:tc>
          <w:tcPr>
            <w:tcW w:w="2931" w:type="dxa"/>
            <w:gridSpan w:val="3"/>
          </w:tcPr>
          <w:p w:rsidR="00212513" w:rsidRDefault="00212513">
            <w:pPr>
              <w:pStyle w:val="ConsPlusNormal"/>
              <w:jc w:val="center"/>
            </w:pPr>
            <w:r>
              <w:t>1,1</w:t>
            </w:r>
          </w:p>
        </w:tc>
        <w:tc>
          <w:tcPr>
            <w:tcW w:w="978" w:type="dxa"/>
          </w:tcPr>
          <w:p w:rsidR="00212513" w:rsidRDefault="00212513">
            <w:pPr>
              <w:pStyle w:val="ConsPlusNormal"/>
              <w:jc w:val="center"/>
            </w:pPr>
            <w:r>
              <w:t>0,8</w:t>
            </w:r>
          </w:p>
        </w:tc>
      </w:tr>
      <w:tr w:rsidR="00212513">
        <w:tc>
          <w:tcPr>
            <w:tcW w:w="2211" w:type="dxa"/>
            <w:vMerge/>
          </w:tcPr>
          <w:p w:rsidR="00212513" w:rsidRDefault="00212513">
            <w:pPr>
              <w:pStyle w:val="ConsPlusNormal"/>
            </w:pPr>
          </w:p>
        </w:tc>
        <w:tc>
          <w:tcPr>
            <w:tcW w:w="1474" w:type="dxa"/>
            <w:vMerge/>
          </w:tcPr>
          <w:p w:rsidR="00212513" w:rsidRDefault="00212513">
            <w:pPr>
              <w:pStyle w:val="ConsPlusNormal"/>
            </w:pPr>
          </w:p>
        </w:tc>
        <w:tc>
          <w:tcPr>
            <w:tcW w:w="1485" w:type="dxa"/>
          </w:tcPr>
          <w:p w:rsidR="00212513" w:rsidRDefault="00212513">
            <w:pPr>
              <w:pStyle w:val="ConsPlusNormal"/>
              <w:jc w:val="center"/>
            </w:pPr>
            <w:r>
              <w:rPr>
                <w:noProof/>
                <w:position w:val="-8"/>
              </w:rPr>
              <w:drawing>
                <wp:inline distT="0" distB="0" distL="0" distR="0">
                  <wp:extent cx="209550" cy="251460"/>
                  <wp:effectExtent l="0" t="0" r="0" b="0"/>
                  <wp:docPr id="1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2931" w:type="dxa"/>
            <w:gridSpan w:val="3"/>
          </w:tcPr>
          <w:p w:rsidR="00212513" w:rsidRDefault="00212513">
            <w:pPr>
              <w:pStyle w:val="ConsPlusNormal"/>
              <w:jc w:val="center"/>
            </w:pPr>
            <w:r>
              <w:t>1,15</w:t>
            </w:r>
          </w:p>
        </w:tc>
        <w:tc>
          <w:tcPr>
            <w:tcW w:w="978" w:type="dxa"/>
          </w:tcPr>
          <w:p w:rsidR="00212513" w:rsidRDefault="00212513">
            <w:pPr>
              <w:pStyle w:val="ConsPlusNormal"/>
              <w:jc w:val="center"/>
            </w:pPr>
            <w:r>
              <w:t>1,0</w:t>
            </w:r>
          </w:p>
        </w:tc>
      </w:tr>
      <w:tr w:rsidR="00212513">
        <w:tc>
          <w:tcPr>
            <w:tcW w:w="2211" w:type="dxa"/>
            <w:vMerge/>
          </w:tcPr>
          <w:p w:rsidR="00212513" w:rsidRDefault="00212513">
            <w:pPr>
              <w:pStyle w:val="ConsPlusNormal"/>
            </w:pPr>
          </w:p>
        </w:tc>
        <w:tc>
          <w:tcPr>
            <w:tcW w:w="1474" w:type="dxa"/>
            <w:vMerge w:val="restart"/>
          </w:tcPr>
          <w:p w:rsidR="00212513" w:rsidRDefault="00212513">
            <w:pPr>
              <w:pStyle w:val="ConsPlusNormal"/>
            </w:pPr>
            <w:r>
              <w:t>Нижнее</w:t>
            </w:r>
          </w:p>
        </w:tc>
        <w:tc>
          <w:tcPr>
            <w:tcW w:w="1485" w:type="dxa"/>
          </w:tcPr>
          <w:p w:rsidR="00212513" w:rsidRDefault="00212513">
            <w:pPr>
              <w:pStyle w:val="ConsPlusNormal"/>
              <w:jc w:val="center"/>
            </w:pPr>
            <w:r>
              <w:rPr>
                <w:noProof/>
                <w:position w:val="-9"/>
              </w:rPr>
              <w:drawing>
                <wp:inline distT="0" distB="0" distL="0" distR="0">
                  <wp:extent cx="220345" cy="262255"/>
                  <wp:effectExtent l="0" t="0" r="0" b="0"/>
                  <wp:docPr id="1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7"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p>
        </w:tc>
        <w:tc>
          <w:tcPr>
            <w:tcW w:w="977" w:type="dxa"/>
          </w:tcPr>
          <w:p w:rsidR="00212513" w:rsidRDefault="00212513">
            <w:pPr>
              <w:pStyle w:val="ConsPlusNormal"/>
              <w:jc w:val="center"/>
            </w:pPr>
            <w:r>
              <w:t>1,1</w:t>
            </w:r>
          </w:p>
        </w:tc>
        <w:tc>
          <w:tcPr>
            <w:tcW w:w="1954" w:type="dxa"/>
            <w:gridSpan w:val="2"/>
          </w:tcPr>
          <w:p w:rsidR="00212513" w:rsidRDefault="00212513">
            <w:pPr>
              <w:pStyle w:val="ConsPlusNormal"/>
              <w:jc w:val="center"/>
            </w:pPr>
            <w:r>
              <w:t>0,9</w:t>
            </w:r>
          </w:p>
        </w:tc>
        <w:tc>
          <w:tcPr>
            <w:tcW w:w="978" w:type="dxa"/>
          </w:tcPr>
          <w:p w:rsidR="00212513" w:rsidRDefault="00212513">
            <w:pPr>
              <w:pStyle w:val="ConsPlusNormal"/>
              <w:jc w:val="center"/>
            </w:pPr>
            <w:r>
              <w:t>0,8</w:t>
            </w:r>
          </w:p>
        </w:tc>
      </w:tr>
      <w:tr w:rsidR="00212513">
        <w:tc>
          <w:tcPr>
            <w:tcW w:w="2211" w:type="dxa"/>
            <w:vMerge/>
          </w:tcPr>
          <w:p w:rsidR="00212513" w:rsidRDefault="00212513">
            <w:pPr>
              <w:pStyle w:val="ConsPlusNormal"/>
            </w:pPr>
          </w:p>
        </w:tc>
        <w:tc>
          <w:tcPr>
            <w:tcW w:w="1474" w:type="dxa"/>
            <w:vMerge/>
          </w:tcPr>
          <w:p w:rsidR="00212513" w:rsidRDefault="00212513">
            <w:pPr>
              <w:pStyle w:val="ConsPlusNormal"/>
            </w:pPr>
          </w:p>
        </w:tc>
        <w:tc>
          <w:tcPr>
            <w:tcW w:w="1485" w:type="dxa"/>
          </w:tcPr>
          <w:p w:rsidR="00212513" w:rsidRDefault="00212513">
            <w:pPr>
              <w:pStyle w:val="ConsPlusNormal"/>
              <w:jc w:val="center"/>
            </w:pPr>
            <w:r>
              <w:rPr>
                <w:noProof/>
                <w:position w:val="-8"/>
              </w:rPr>
              <w:drawing>
                <wp:inline distT="0" distB="0" distL="0" distR="0">
                  <wp:extent cx="209550" cy="251460"/>
                  <wp:effectExtent l="0" t="0" r="0" b="0"/>
                  <wp:docPr id="1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977" w:type="dxa"/>
          </w:tcPr>
          <w:p w:rsidR="00212513" w:rsidRDefault="00212513">
            <w:pPr>
              <w:pStyle w:val="ConsPlusNormal"/>
              <w:jc w:val="center"/>
            </w:pPr>
            <w:r>
              <w:t>1,15</w:t>
            </w:r>
          </w:p>
        </w:tc>
        <w:tc>
          <w:tcPr>
            <w:tcW w:w="1954" w:type="dxa"/>
            <w:gridSpan w:val="2"/>
          </w:tcPr>
          <w:p w:rsidR="00212513" w:rsidRDefault="00212513">
            <w:pPr>
              <w:pStyle w:val="ConsPlusNormal"/>
              <w:jc w:val="center"/>
            </w:pPr>
            <w:r>
              <w:t>1,05</w:t>
            </w:r>
          </w:p>
        </w:tc>
        <w:tc>
          <w:tcPr>
            <w:tcW w:w="978" w:type="dxa"/>
          </w:tcPr>
          <w:p w:rsidR="00212513" w:rsidRDefault="00212513">
            <w:pPr>
              <w:pStyle w:val="ConsPlusNormal"/>
              <w:jc w:val="center"/>
            </w:pPr>
            <w:r>
              <w:t>1,0</w:t>
            </w:r>
          </w:p>
        </w:tc>
      </w:tr>
      <w:tr w:rsidR="00212513">
        <w:tc>
          <w:tcPr>
            <w:tcW w:w="2211" w:type="dxa"/>
            <w:vMerge w:val="restart"/>
          </w:tcPr>
          <w:p w:rsidR="00212513" w:rsidRDefault="00212513">
            <w:pPr>
              <w:pStyle w:val="ConsPlusNormal"/>
            </w:pPr>
            <w:r>
              <w:t xml:space="preserve">Полуавтоматическая </w:t>
            </w:r>
            <w:r>
              <w:lastRenderedPageBreak/>
              <w:t xml:space="preserve">под флюсом при </w:t>
            </w:r>
            <w:r>
              <w:rPr>
                <w:i/>
              </w:rPr>
              <w:t>d</w:t>
            </w:r>
            <w:r>
              <w:t xml:space="preserve"> = 1,4 - 2</w:t>
            </w:r>
          </w:p>
        </w:tc>
        <w:tc>
          <w:tcPr>
            <w:tcW w:w="1474" w:type="dxa"/>
            <w:vMerge w:val="restart"/>
          </w:tcPr>
          <w:p w:rsidR="00212513" w:rsidRDefault="00212513">
            <w:pPr>
              <w:pStyle w:val="ConsPlusNormal"/>
            </w:pPr>
            <w:r>
              <w:lastRenderedPageBreak/>
              <w:t>В лодочку</w:t>
            </w:r>
          </w:p>
        </w:tc>
        <w:tc>
          <w:tcPr>
            <w:tcW w:w="1485" w:type="dxa"/>
          </w:tcPr>
          <w:p w:rsidR="00212513" w:rsidRDefault="00212513">
            <w:pPr>
              <w:pStyle w:val="ConsPlusNormal"/>
              <w:jc w:val="center"/>
            </w:pPr>
            <w:r>
              <w:rPr>
                <w:noProof/>
                <w:position w:val="-9"/>
              </w:rPr>
              <w:drawing>
                <wp:inline distT="0" distB="0" distL="0" distR="0">
                  <wp:extent cx="220345" cy="262255"/>
                  <wp:effectExtent l="0" t="0" r="0" b="0"/>
                  <wp:docPr id="1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7"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p>
        </w:tc>
        <w:tc>
          <w:tcPr>
            <w:tcW w:w="1954" w:type="dxa"/>
            <w:gridSpan w:val="2"/>
          </w:tcPr>
          <w:p w:rsidR="00212513" w:rsidRDefault="00212513">
            <w:pPr>
              <w:pStyle w:val="ConsPlusNormal"/>
              <w:jc w:val="center"/>
            </w:pPr>
            <w:r>
              <w:t>1,0</w:t>
            </w:r>
          </w:p>
        </w:tc>
        <w:tc>
          <w:tcPr>
            <w:tcW w:w="977" w:type="dxa"/>
          </w:tcPr>
          <w:p w:rsidR="00212513" w:rsidRDefault="00212513">
            <w:pPr>
              <w:pStyle w:val="ConsPlusNormal"/>
              <w:jc w:val="center"/>
            </w:pPr>
            <w:r>
              <w:t>0,9</w:t>
            </w:r>
          </w:p>
        </w:tc>
        <w:tc>
          <w:tcPr>
            <w:tcW w:w="978" w:type="dxa"/>
          </w:tcPr>
          <w:p w:rsidR="00212513" w:rsidRDefault="00212513">
            <w:pPr>
              <w:pStyle w:val="ConsPlusNormal"/>
              <w:jc w:val="center"/>
            </w:pPr>
            <w:r>
              <w:t>0,8</w:t>
            </w:r>
          </w:p>
        </w:tc>
      </w:tr>
      <w:tr w:rsidR="00212513">
        <w:tc>
          <w:tcPr>
            <w:tcW w:w="2211" w:type="dxa"/>
            <w:vMerge/>
          </w:tcPr>
          <w:p w:rsidR="00212513" w:rsidRDefault="00212513">
            <w:pPr>
              <w:pStyle w:val="ConsPlusNormal"/>
            </w:pPr>
          </w:p>
        </w:tc>
        <w:tc>
          <w:tcPr>
            <w:tcW w:w="1474" w:type="dxa"/>
            <w:vMerge/>
          </w:tcPr>
          <w:p w:rsidR="00212513" w:rsidRDefault="00212513">
            <w:pPr>
              <w:pStyle w:val="ConsPlusNormal"/>
            </w:pPr>
          </w:p>
        </w:tc>
        <w:tc>
          <w:tcPr>
            <w:tcW w:w="1485" w:type="dxa"/>
          </w:tcPr>
          <w:p w:rsidR="00212513" w:rsidRDefault="00212513">
            <w:pPr>
              <w:pStyle w:val="ConsPlusNormal"/>
              <w:jc w:val="center"/>
            </w:pPr>
            <w:r>
              <w:rPr>
                <w:noProof/>
                <w:position w:val="-8"/>
              </w:rPr>
              <w:drawing>
                <wp:inline distT="0" distB="0" distL="0" distR="0">
                  <wp:extent cx="209550" cy="251460"/>
                  <wp:effectExtent l="0" t="0" r="0" b="0"/>
                  <wp:docPr id="1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2931" w:type="dxa"/>
            <w:gridSpan w:val="3"/>
          </w:tcPr>
          <w:p w:rsidR="00212513" w:rsidRDefault="00212513">
            <w:pPr>
              <w:pStyle w:val="ConsPlusNormal"/>
              <w:jc w:val="center"/>
            </w:pPr>
            <w:r>
              <w:t>1,1</w:t>
            </w:r>
          </w:p>
        </w:tc>
        <w:tc>
          <w:tcPr>
            <w:tcW w:w="978" w:type="dxa"/>
          </w:tcPr>
          <w:p w:rsidR="00212513" w:rsidRDefault="00212513">
            <w:pPr>
              <w:pStyle w:val="ConsPlusNormal"/>
              <w:jc w:val="center"/>
            </w:pPr>
            <w:r>
              <w:t>1,0</w:t>
            </w:r>
          </w:p>
        </w:tc>
      </w:tr>
      <w:tr w:rsidR="00212513">
        <w:tc>
          <w:tcPr>
            <w:tcW w:w="2211" w:type="dxa"/>
            <w:vMerge/>
          </w:tcPr>
          <w:p w:rsidR="00212513" w:rsidRDefault="00212513">
            <w:pPr>
              <w:pStyle w:val="ConsPlusNormal"/>
            </w:pPr>
          </w:p>
        </w:tc>
        <w:tc>
          <w:tcPr>
            <w:tcW w:w="1474" w:type="dxa"/>
            <w:vMerge w:val="restart"/>
          </w:tcPr>
          <w:p w:rsidR="00212513" w:rsidRDefault="00212513">
            <w:pPr>
              <w:pStyle w:val="ConsPlusNormal"/>
            </w:pPr>
            <w:r>
              <w:t>Нижнее</w:t>
            </w:r>
          </w:p>
        </w:tc>
        <w:tc>
          <w:tcPr>
            <w:tcW w:w="1485" w:type="dxa"/>
          </w:tcPr>
          <w:p w:rsidR="00212513" w:rsidRDefault="00212513">
            <w:pPr>
              <w:pStyle w:val="ConsPlusNormal"/>
              <w:jc w:val="center"/>
            </w:pPr>
            <w:r>
              <w:rPr>
                <w:noProof/>
                <w:position w:val="-9"/>
              </w:rPr>
              <w:drawing>
                <wp:inline distT="0" distB="0" distL="0" distR="0">
                  <wp:extent cx="220345" cy="262255"/>
                  <wp:effectExtent l="0" t="0" r="0" b="0"/>
                  <wp:docPr id="1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7"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p>
        </w:tc>
        <w:tc>
          <w:tcPr>
            <w:tcW w:w="977" w:type="dxa"/>
          </w:tcPr>
          <w:p w:rsidR="00212513" w:rsidRDefault="00212513">
            <w:pPr>
              <w:pStyle w:val="ConsPlusNormal"/>
              <w:jc w:val="center"/>
            </w:pPr>
            <w:r>
              <w:t>1,0</w:t>
            </w:r>
          </w:p>
        </w:tc>
        <w:tc>
          <w:tcPr>
            <w:tcW w:w="977" w:type="dxa"/>
          </w:tcPr>
          <w:p w:rsidR="00212513" w:rsidRDefault="00212513">
            <w:pPr>
              <w:pStyle w:val="ConsPlusNormal"/>
              <w:jc w:val="center"/>
            </w:pPr>
            <w:r>
              <w:t>0,85</w:t>
            </w:r>
          </w:p>
        </w:tc>
        <w:tc>
          <w:tcPr>
            <w:tcW w:w="1955" w:type="dxa"/>
            <w:gridSpan w:val="2"/>
          </w:tcPr>
          <w:p w:rsidR="00212513" w:rsidRDefault="00212513">
            <w:pPr>
              <w:pStyle w:val="ConsPlusNormal"/>
              <w:jc w:val="center"/>
            </w:pPr>
            <w:r>
              <w:t>0,8</w:t>
            </w:r>
          </w:p>
        </w:tc>
      </w:tr>
      <w:tr w:rsidR="00212513">
        <w:tc>
          <w:tcPr>
            <w:tcW w:w="2211" w:type="dxa"/>
            <w:vMerge/>
          </w:tcPr>
          <w:p w:rsidR="00212513" w:rsidRDefault="00212513">
            <w:pPr>
              <w:pStyle w:val="ConsPlusNormal"/>
            </w:pPr>
          </w:p>
        </w:tc>
        <w:tc>
          <w:tcPr>
            <w:tcW w:w="1474" w:type="dxa"/>
            <w:vMerge/>
          </w:tcPr>
          <w:p w:rsidR="00212513" w:rsidRDefault="00212513">
            <w:pPr>
              <w:pStyle w:val="ConsPlusNormal"/>
            </w:pPr>
          </w:p>
        </w:tc>
        <w:tc>
          <w:tcPr>
            <w:tcW w:w="1485" w:type="dxa"/>
          </w:tcPr>
          <w:p w:rsidR="00212513" w:rsidRDefault="00212513">
            <w:pPr>
              <w:pStyle w:val="ConsPlusNormal"/>
              <w:jc w:val="center"/>
            </w:pPr>
            <w:r>
              <w:rPr>
                <w:noProof/>
                <w:position w:val="-8"/>
              </w:rPr>
              <w:drawing>
                <wp:inline distT="0" distB="0" distL="0" distR="0">
                  <wp:extent cx="209550" cy="251460"/>
                  <wp:effectExtent l="0" t="0" r="0" b="0"/>
                  <wp:docPr id="1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977" w:type="dxa"/>
          </w:tcPr>
          <w:p w:rsidR="00212513" w:rsidRDefault="00212513">
            <w:pPr>
              <w:pStyle w:val="ConsPlusNormal"/>
              <w:jc w:val="center"/>
            </w:pPr>
            <w:r>
              <w:t>1,05</w:t>
            </w:r>
          </w:p>
        </w:tc>
        <w:tc>
          <w:tcPr>
            <w:tcW w:w="2932" w:type="dxa"/>
            <w:gridSpan w:val="3"/>
          </w:tcPr>
          <w:p w:rsidR="00212513" w:rsidRDefault="00212513">
            <w:pPr>
              <w:pStyle w:val="ConsPlusNormal"/>
              <w:jc w:val="center"/>
            </w:pPr>
            <w:r>
              <w:t>1,0</w:t>
            </w:r>
          </w:p>
        </w:tc>
      </w:tr>
      <w:tr w:rsidR="00212513">
        <w:tc>
          <w:tcPr>
            <w:tcW w:w="2211" w:type="dxa"/>
            <w:vMerge w:val="restart"/>
          </w:tcPr>
          <w:p w:rsidR="00212513" w:rsidRDefault="00212513">
            <w:pPr>
              <w:pStyle w:val="ConsPlusNormal"/>
            </w:pPr>
            <w:r>
              <w:t xml:space="preserve">Автоматическая и полуавтоматическая в смеси газов при </w:t>
            </w:r>
            <w:r>
              <w:rPr>
                <w:i/>
              </w:rPr>
              <w:t>d</w:t>
            </w:r>
            <w:r>
              <w:t xml:space="preserve"> = 1,2 - 2 проволоками сплошного сечения и металлопорошковыми в смеси газов</w:t>
            </w:r>
          </w:p>
        </w:tc>
        <w:tc>
          <w:tcPr>
            <w:tcW w:w="1474" w:type="dxa"/>
            <w:vMerge w:val="restart"/>
          </w:tcPr>
          <w:p w:rsidR="00212513" w:rsidRDefault="00212513">
            <w:pPr>
              <w:pStyle w:val="ConsPlusNormal"/>
            </w:pPr>
            <w:r>
              <w:t>В лодочку</w:t>
            </w:r>
          </w:p>
        </w:tc>
        <w:tc>
          <w:tcPr>
            <w:tcW w:w="1485" w:type="dxa"/>
          </w:tcPr>
          <w:p w:rsidR="00212513" w:rsidRDefault="00212513">
            <w:pPr>
              <w:pStyle w:val="ConsPlusNormal"/>
              <w:jc w:val="center"/>
            </w:pPr>
            <w:r>
              <w:rPr>
                <w:noProof/>
                <w:position w:val="-9"/>
              </w:rPr>
              <w:drawing>
                <wp:inline distT="0" distB="0" distL="0" distR="0">
                  <wp:extent cx="220345" cy="262255"/>
                  <wp:effectExtent l="0" t="0" r="0" b="0"/>
                  <wp:docPr id="1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7"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p>
        </w:tc>
        <w:tc>
          <w:tcPr>
            <w:tcW w:w="1954" w:type="dxa"/>
            <w:gridSpan w:val="2"/>
          </w:tcPr>
          <w:p w:rsidR="00212513" w:rsidRDefault="00212513">
            <w:pPr>
              <w:pStyle w:val="ConsPlusNormal"/>
              <w:jc w:val="center"/>
            </w:pPr>
            <w:r>
              <w:t>0,95</w:t>
            </w:r>
          </w:p>
        </w:tc>
        <w:tc>
          <w:tcPr>
            <w:tcW w:w="977" w:type="dxa"/>
          </w:tcPr>
          <w:p w:rsidR="00212513" w:rsidRDefault="00212513">
            <w:pPr>
              <w:pStyle w:val="ConsPlusNormal"/>
              <w:jc w:val="center"/>
            </w:pPr>
            <w:r>
              <w:t>0,85</w:t>
            </w:r>
          </w:p>
        </w:tc>
        <w:tc>
          <w:tcPr>
            <w:tcW w:w="978" w:type="dxa"/>
          </w:tcPr>
          <w:p w:rsidR="00212513" w:rsidRDefault="00212513">
            <w:pPr>
              <w:pStyle w:val="ConsPlusNormal"/>
              <w:jc w:val="center"/>
            </w:pPr>
            <w:r>
              <w:t>0,75</w:t>
            </w:r>
          </w:p>
        </w:tc>
      </w:tr>
      <w:tr w:rsidR="00212513">
        <w:tc>
          <w:tcPr>
            <w:tcW w:w="2211" w:type="dxa"/>
            <w:vMerge/>
          </w:tcPr>
          <w:p w:rsidR="00212513" w:rsidRDefault="00212513">
            <w:pPr>
              <w:pStyle w:val="ConsPlusNormal"/>
            </w:pPr>
          </w:p>
        </w:tc>
        <w:tc>
          <w:tcPr>
            <w:tcW w:w="1474" w:type="dxa"/>
            <w:vMerge/>
          </w:tcPr>
          <w:p w:rsidR="00212513" w:rsidRDefault="00212513">
            <w:pPr>
              <w:pStyle w:val="ConsPlusNormal"/>
            </w:pPr>
          </w:p>
        </w:tc>
        <w:tc>
          <w:tcPr>
            <w:tcW w:w="1485" w:type="dxa"/>
          </w:tcPr>
          <w:p w:rsidR="00212513" w:rsidRDefault="00212513">
            <w:pPr>
              <w:pStyle w:val="ConsPlusNormal"/>
              <w:jc w:val="center"/>
            </w:pPr>
            <w:r>
              <w:rPr>
                <w:noProof/>
                <w:position w:val="-8"/>
              </w:rPr>
              <w:drawing>
                <wp:inline distT="0" distB="0" distL="0" distR="0">
                  <wp:extent cx="209550" cy="251460"/>
                  <wp:effectExtent l="0" t="0" r="0" b="0"/>
                  <wp:docPr id="1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1954" w:type="dxa"/>
            <w:gridSpan w:val="2"/>
          </w:tcPr>
          <w:p w:rsidR="00212513" w:rsidRDefault="00212513">
            <w:pPr>
              <w:pStyle w:val="ConsPlusNormal"/>
              <w:jc w:val="center"/>
            </w:pPr>
            <w:r>
              <w:t>1,05</w:t>
            </w:r>
          </w:p>
        </w:tc>
        <w:tc>
          <w:tcPr>
            <w:tcW w:w="1955" w:type="dxa"/>
            <w:gridSpan w:val="2"/>
          </w:tcPr>
          <w:p w:rsidR="00212513" w:rsidRDefault="00212513">
            <w:pPr>
              <w:pStyle w:val="ConsPlusNormal"/>
              <w:jc w:val="center"/>
            </w:pPr>
            <w:r>
              <w:t>1,0</w:t>
            </w:r>
          </w:p>
        </w:tc>
      </w:tr>
      <w:tr w:rsidR="00212513">
        <w:tc>
          <w:tcPr>
            <w:tcW w:w="2211" w:type="dxa"/>
            <w:vMerge/>
          </w:tcPr>
          <w:p w:rsidR="00212513" w:rsidRDefault="00212513">
            <w:pPr>
              <w:pStyle w:val="ConsPlusNormal"/>
            </w:pPr>
          </w:p>
        </w:tc>
        <w:tc>
          <w:tcPr>
            <w:tcW w:w="1474" w:type="dxa"/>
            <w:vMerge w:val="restart"/>
          </w:tcPr>
          <w:p w:rsidR="00212513" w:rsidRDefault="00212513">
            <w:pPr>
              <w:pStyle w:val="ConsPlusNormal"/>
            </w:pPr>
            <w:r>
              <w:t>Нижнее, горизонтальное, вертикальное</w:t>
            </w:r>
          </w:p>
        </w:tc>
        <w:tc>
          <w:tcPr>
            <w:tcW w:w="1485" w:type="dxa"/>
          </w:tcPr>
          <w:p w:rsidR="00212513" w:rsidRDefault="00212513">
            <w:pPr>
              <w:pStyle w:val="ConsPlusNormal"/>
              <w:jc w:val="center"/>
            </w:pPr>
            <w:r>
              <w:rPr>
                <w:noProof/>
                <w:position w:val="-9"/>
              </w:rPr>
              <w:drawing>
                <wp:inline distT="0" distB="0" distL="0" distR="0">
                  <wp:extent cx="220345" cy="262255"/>
                  <wp:effectExtent l="0" t="0" r="0" b="0"/>
                  <wp:docPr id="1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7"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p>
        </w:tc>
        <w:tc>
          <w:tcPr>
            <w:tcW w:w="977" w:type="dxa"/>
          </w:tcPr>
          <w:p w:rsidR="00212513" w:rsidRDefault="00212513">
            <w:pPr>
              <w:pStyle w:val="ConsPlusNormal"/>
              <w:jc w:val="center"/>
            </w:pPr>
            <w:r>
              <w:t>0,9</w:t>
            </w:r>
          </w:p>
        </w:tc>
        <w:tc>
          <w:tcPr>
            <w:tcW w:w="977" w:type="dxa"/>
          </w:tcPr>
          <w:p w:rsidR="00212513" w:rsidRDefault="00212513">
            <w:pPr>
              <w:pStyle w:val="ConsPlusNormal"/>
              <w:jc w:val="center"/>
            </w:pPr>
            <w:r>
              <w:t>0,8</w:t>
            </w:r>
          </w:p>
        </w:tc>
        <w:tc>
          <w:tcPr>
            <w:tcW w:w="1955" w:type="dxa"/>
            <w:gridSpan w:val="2"/>
          </w:tcPr>
          <w:p w:rsidR="00212513" w:rsidRDefault="00212513">
            <w:pPr>
              <w:pStyle w:val="ConsPlusNormal"/>
              <w:jc w:val="center"/>
            </w:pPr>
            <w:r>
              <w:t>0,7</w:t>
            </w:r>
          </w:p>
        </w:tc>
      </w:tr>
      <w:tr w:rsidR="00212513">
        <w:tc>
          <w:tcPr>
            <w:tcW w:w="2211" w:type="dxa"/>
            <w:vMerge/>
          </w:tcPr>
          <w:p w:rsidR="00212513" w:rsidRDefault="00212513">
            <w:pPr>
              <w:pStyle w:val="ConsPlusNormal"/>
            </w:pPr>
          </w:p>
        </w:tc>
        <w:tc>
          <w:tcPr>
            <w:tcW w:w="1474" w:type="dxa"/>
            <w:vMerge/>
          </w:tcPr>
          <w:p w:rsidR="00212513" w:rsidRDefault="00212513">
            <w:pPr>
              <w:pStyle w:val="ConsPlusNormal"/>
            </w:pPr>
          </w:p>
        </w:tc>
        <w:tc>
          <w:tcPr>
            <w:tcW w:w="1485" w:type="dxa"/>
          </w:tcPr>
          <w:p w:rsidR="00212513" w:rsidRDefault="00212513">
            <w:pPr>
              <w:pStyle w:val="ConsPlusNormal"/>
              <w:jc w:val="center"/>
            </w:pPr>
            <w:r>
              <w:rPr>
                <w:noProof/>
                <w:position w:val="-8"/>
              </w:rPr>
              <w:drawing>
                <wp:inline distT="0" distB="0" distL="0" distR="0">
                  <wp:extent cx="209550" cy="251460"/>
                  <wp:effectExtent l="0" t="0" r="0" b="0"/>
                  <wp:docPr id="1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3909" w:type="dxa"/>
            <w:gridSpan w:val="4"/>
          </w:tcPr>
          <w:p w:rsidR="00212513" w:rsidRDefault="00212513">
            <w:pPr>
              <w:pStyle w:val="ConsPlusNormal"/>
              <w:jc w:val="center"/>
            </w:pPr>
            <w:r>
              <w:t>1,0</w:t>
            </w:r>
          </w:p>
        </w:tc>
      </w:tr>
      <w:tr w:rsidR="00212513">
        <w:tc>
          <w:tcPr>
            <w:tcW w:w="2211" w:type="dxa"/>
            <w:vMerge w:val="restart"/>
          </w:tcPr>
          <w:p w:rsidR="00212513" w:rsidRDefault="00212513">
            <w:pPr>
              <w:pStyle w:val="ConsPlusNormal"/>
            </w:pPr>
            <w:r>
              <w:t>Ручная, полуавтоматическая порошковой самозащитной проволокой</w:t>
            </w:r>
          </w:p>
        </w:tc>
        <w:tc>
          <w:tcPr>
            <w:tcW w:w="1474" w:type="dxa"/>
            <w:vMerge w:val="restart"/>
          </w:tcPr>
          <w:p w:rsidR="00212513" w:rsidRDefault="00212513">
            <w:pPr>
              <w:pStyle w:val="ConsPlusNormal"/>
            </w:pPr>
            <w:r>
              <w:t>В лодочку, нижнее, горизонтальное, вертикальное, потолочное</w:t>
            </w:r>
          </w:p>
        </w:tc>
        <w:tc>
          <w:tcPr>
            <w:tcW w:w="1485" w:type="dxa"/>
          </w:tcPr>
          <w:p w:rsidR="00212513" w:rsidRDefault="00212513">
            <w:pPr>
              <w:pStyle w:val="ConsPlusNormal"/>
              <w:jc w:val="center"/>
            </w:pPr>
            <w:r>
              <w:rPr>
                <w:noProof/>
                <w:position w:val="-9"/>
              </w:rPr>
              <w:drawing>
                <wp:inline distT="0" distB="0" distL="0" distR="0">
                  <wp:extent cx="220345" cy="262255"/>
                  <wp:effectExtent l="0" t="0" r="0" b="0"/>
                  <wp:docPr id="1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7"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p>
        </w:tc>
        <w:tc>
          <w:tcPr>
            <w:tcW w:w="1954" w:type="dxa"/>
            <w:gridSpan w:val="2"/>
          </w:tcPr>
          <w:p w:rsidR="00212513" w:rsidRDefault="00212513">
            <w:pPr>
              <w:pStyle w:val="ConsPlusNormal"/>
              <w:jc w:val="center"/>
            </w:pPr>
            <w:r>
              <w:t>0,8</w:t>
            </w:r>
          </w:p>
        </w:tc>
        <w:tc>
          <w:tcPr>
            <w:tcW w:w="1955" w:type="dxa"/>
            <w:gridSpan w:val="2"/>
          </w:tcPr>
          <w:p w:rsidR="00212513" w:rsidRDefault="00212513">
            <w:pPr>
              <w:pStyle w:val="ConsPlusNormal"/>
              <w:jc w:val="center"/>
            </w:pPr>
            <w:r>
              <w:t>0,7</w:t>
            </w:r>
          </w:p>
        </w:tc>
      </w:tr>
      <w:tr w:rsidR="00212513">
        <w:tc>
          <w:tcPr>
            <w:tcW w:w="2211" w:type="dxa"/>
            <w:vMerge/>
          </w:tcPr>
          <w:p w:rsidR="00212513" w:rsidRDefault="00212513">
            <w:pPr>
              <w:pStyle w:val="ConsPlusNormal"/>
            </w:pPr>
          </w:p>
        </w:tc>
        <w:tc>
          <w:tcPr>
            <w:tcW w:w="1474" w:type="dxa"/>
            <w:vMerge/>
          </w:tcPr>
          <w:p w:rsidR="00212513" w:rsidRDefault="00212513">
            <w:pPr>
              <w:pStyle w:val="ConsPlusNormal"/>
            </w:pPr>
          </w:p>
        </w:tc>
        <w:tc>
          <w:tcPr>
            <w:tcW w:w="1485" w:type="dxa"/>
          </w:tcPr>
          <w:p w:rsidR="00212513" w:rsidRDefault="00212513">
            <w:pPr>
              <w:pStyle w:val="ConsPlusNormal"/>
              <w:jc w:val="center"/>
            </w:pPr>
            <w:r>
              <w:rPr>
                <w:noProof/>
                <w:position w:val="-8"/>
              </w:rPr>
              <w:drawing>
                <wp:inline distT="0" distB="0" distL="0" distR="0">
                  <wp:extent cx="209550" cy="251460"/>
                  <wp:effectExtent l="0" t="0" r="0" b="0"/>
                  <wp:docPr id="1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3909" w:type="dxa"/>
            <w:gridSpan w:val="4"/>
          </w:tcPr>
          <w:p w:rsidR="00212513" w:rsidRDefault="00212513">
            <w:pPr>
              <w:pStyle w:val="ConsPlusNormal"/>
              <w:jc w:val="center"/>
            </w:pPr>
            <w:r>
              <w:t>1,0</w:t>
            </w:r>
          </w:p>
        </w:tc>
      </w:tr>
      <w:tr w:rsidR="00212513">
        <w:tc>
          <w:tcPr>
            <w:tcW w:w="2211" w:type="dxa"/>
            <w:vMerge w:val="restart"/>
          </w:tcPr>
          <w:p w:rsidR="00212513" w:rsidRDefault="00212513">
            <w:pPr>
              <w:pStyle w:val="ConsPlusNormal"/>
            </w:pPr>
            <w:r>
              <w:t xml:space="preserve">Полуавтоматическая проволоками сплошного сечения </w:t>
            </w:r>
            <w:r>
              <w:rPr>
                <w:i/>
              </w:rPr>
              <w:t>d</w:t>
            </w:r>
            <w:r>
              <w:t xml:space="preserve"> = 1,2 - 2 и металлопорошковыми проволоками в смеси газов</w:t>
            </w:r>
          </w:p>
        </w:tc>
        <w:tc>
          <w:tcPr>
            <w:tcW w:w="1474" w:type="dxa"/>
            <w:vMerge w:val="restart"/>
          </w:tcPr>
          <w:p w:rsidR="00212513" w:rsidRDefault="00212513">
            <w:pPr>
              <w:pStyle w:val="ConsPlusNormal"/>
            </w:pPr>
            <w:r>
              <w:t>Потолочное</w:t>
            </w:r>
          </w:p>
        </w:tc>
        <w:tc>
          <w:tcPr>
            <w:tcW w:w="1485" w:type="dxa"/>
          </w:tcPr>
          <w:p w:rsidR="00212513" w:rsidRDefault="00212513">
            <w:pPr>
              <w:pStyle w:val="ConsPlusNormal"/>
              <w:jc w:val="center"/>
            </w:pPr>
            <w:r>
              <w:rPr>
                <w:noProof/>
                <w:position w:val="-9"/>
              </w:rPr>
              <w:drawing>
                <wp:inline distT="0" distB="0" distL="0" distR="0">
                  <wp:extent cx="220345" cy="262255"/>
                  <wp:effectExtent l="0" t="0" r="0" b="0"/>
                  <wp:docPr id="1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7"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p>
        </w:tc>
        <w:tc>
          <w:tcPr>
            <w:tcW w:w="3909" w:type="dxa"/>
            <w:gridSpan w:val="4"/>
          </w:tcPr>
          <w:p w:rsidR="00212513" w:rsidRDefault="00212513">
            <w:pPr>
              <w:pStyle w:val="ConsPlusNormal"/>
              <w:jc w:val="center"/>
            </w:pPr>
            <w:r>
              <w:t>0,7</w:t>
            </w:r>
          </w:p>
        </w:tc>
      </w:tr>
      <w:tr w:rsidR="00212513">
        <w:tc>
          <w:tcPr>
            <w:tcW w:w="2211" w:type="dxa"/>
            <w:vMerge/>
          </w:tcPr>
          <w:p w:rsidR="00212513" w:rsidRDefault="00212513">
            <w:pPr>
              <w:pStyle w:val="ConsPlusNormal"/>
            </w:pPr>
          </w:p>
        </w:tc>
        <w:tc>
          <w:tcPr>
            <w:tcW w:w="1474" w:type="dxa"/>
            <w:vMerge/>
          </w:tcPr>
          <w:p w:rsidR="00212513" w:rsidRDefault="00212513">
            <w:pPr>
              <w:pStyle w:val="ConsPlusNormal"/>
            </w:pPr>
          </w:p>
        </w:tc>
        <w:tc>
          <w:tcPr>
            <w:tcW w:w="1485" w:type="dxa"/>
          </w:tcPr>
          <w:p w:rsidR="00212513" w:rsidRDefault="00212513">
            <w:pPr>
              <w:pStyle w:val="ConsPlusNormal"/>
              <w:jc w:val="center"/>
            </w:pPr>
            <w:r>
              <w:rPr>
                <w:noProof/>
                <w:position w:val="-8"/>
              </w:rPr>
              <w:drawing>
                <wp:inline distT="0" distB="0" distL="0" distR="0">
                  <wp:extent cx="209550" cy="251460"/>
                  <wp:effectExtent l="0" t="0" r="0" b="0"/>
                  <wp:docPr id="1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3909" w:type="dxa"/>
            <w:gridSpan w:val="4"/>
          </w:tcPr>
          <w:p w:rsidR="00212513" w:rsidRDefault="00212513">
            <w:pPr>
              <w:pStyle w:val="ConsPlusNormal"/>
              <w:jc w:val="center"/>
            </w:pPr>
            <w:r>
              <w:t>1,0</w:t>
            </w:r>
          </w:p>
        </w:tc>
      </w:tr>
      <w:tr w:rsidR="00212513">
        <w:tc>
          <w:tcPr>
            <w:tcW w:w="9079" w:type="dxa"/>
            <w:gridSpan w:val="7"/>
          </w:tcPr>
          <w:p w:rsidR="00212513" w:rsidRDefault="00212513">
            <w:pPr>
              <w:pStyle w:val="ConsPlusNormal"/>
              <w:ind w:firstLine="283"/>
              <w:jc w:val="both"/>
            </w:pPr>
            <w:r>
              <w:t xml:space="preserve">Примечание - Значения коэффициентов соответствуют режимам сварки, предусмотренным в </w:t>
            </w:r>
            <w:hyperlink w:anchor="P19071">
              <w:r>
                <w:rPr>
                  <w:color w:val="0000FF"/>
                </w:rPr>
                <w:t>[2]</w:t>
              </w:r>
            </w:hyperlink>
            <w:r>
              <w:t xml:space="preserve"> и </w:t>
            </w:r>
            <w:hyperlink w:anchor="P19073">
              <w:r>
                <w:rPr>
                  <w:color w:val="0000FF"/>
                </w:rPr>
                <w:t>[3]</w:t>
              </w:r>
            </w:hyperlink>
            <w:r>
              <w:t>.</w:t>
            </w:r>
          </w:p>
        </w:tc>
      </w:tr>
    </w:tbl>
    <w:p w:rsidR="00212513" w:rsidRDefault="00212513">
      <w:pPr>
        <w:pStyle w:val="ConsPlusNormal"/>
        <w:ind w:firstLine="540"/>
        <w:jc w:val="both"/>
      </w:pPr>
    </w:p>
    <w:p w:rsidR="00212513" w:rsidRDefault="00212513">
      <w:pPr>
        <w:pStyle w:val="ConsPlusNormal"/>
        <w:ind w:firstLine="540"/>
        <w:jc w:val="both"/>
      </w:pPr>
      <w:r>
        <w:t>8.84 Расчет по прочности сварных стыковых соединений следует выполнять:</w:t>
      </w:r>
    </w:p>
    <w:p w:rsidR="00212513" w:rsidRDefault="00212513">
      <w:pPr>
        <w:pStyle w:val="ConsPlusNormal"/>
        <w:spacing w:before="220"/>
        <w:ind w:firstLine="540"/>
        <w:jc w:val="both"/>
      </w:pPr>
      <w:r>
        <w:t xml:space="preserve">при сварке деталей из сталей различного уровня прочности, а также при сварке материалами, для которых </w:t>
      </w:r>
      <w:r>
        <w:rPr>
          <w:noProof/>
          <w:position w:val="-9"/>
        </w:rPr>
        <w:drawing>
          <wp:inline distT="0" distB="0" distL="0" distR="0">
            <wp:extent cx="621030" cy="262890"/>
            <wp:effectExtent l="0" t="0" r="0" b="0"/>
            <wp:docPr id="1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9" cstate="print">
                      <a:extLst>
                        <a:ext uri="{28A0092B-C50C-407E-A947-70E740481C1C}">
                          <a14:useLocalDpi xmlns:a14="http://schemas.microsoft.com/office/drawing/2010/main" val="0"/>
                        </a:ext>
                      </a:extLst>
                    </a:blip>
                    <a:srcRect/>
                    <a:stretch>
                      <a:fillRect/>
                    </a:stretch>
                  </pic:blipFill>
                  <pic:spPr bwMode="auto">
                    <a:xfrm>
                      <a:off x="0" y="0"/>
                      <a:ext cx="621030" cy="262890"/>
                    </a:xfrm>
                    <a:prstGeom prst="rect">
                      <a:avLst/>
                    </a:prstGeom>
                    <a:noFill/>
                    <a:ln>
                      <a:noFill/>
                    </a:ln>
                  </pic:spPr>
                </pic:pic>
              </a:graphicData>
            </a:graphic>
          </wp:inline>
        </w:drawing>
      </w:r>
      <w:r>
        <w:t xml:space="preserve"> (в этих случаях </w:t>
      </w:r>
      <w:r>
        <w:rPr>
          <w:noProof/>
          <w:position w:val="-9"/>
        </w:rPr>
        <w:drawing>
          <wp:inline distT="0" distB="0" distL="0" distR="0">
            <wp:extent cx="262890" cy="262890"/>
            <wp:effectExtent l="0" t="0" r="0" b="0"/>
            <wp:docPr id="1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0"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должно быть указано в проекте);</w:t>
      </w:r>
    </w:p>
    <w:p w:rsidR="00212513" w:rsidRDefault="00212513">
      <w:pPr>
        <w:pStyle w:val="ConsPlusNormal"/>
        <w:spacing w:before="220"/>
        <w:ind w:firstLine="540"/>
        <w:jc w:val="both"/>
      </w:pPr>
      <w:r>
        <w:t>при наличии выкружек или ослаблений в зоне стыка, когда</w:t>
      </w:r>
    </w:p>
    <w:p w:rsidR="00212513" w:rsidRDefault="00212513">
      <w:pPr>
        <w:pStyle w:val="ConsPlusNormal"/>
        <w:ind w:firstLine="540"/>
        <w:jc w:val="both"/>
      </w:pPr>
    </w:p>
    <w:p w:rsidR="00212513" w:rsidRDefault="00212513">
      <w:pPr>
        <w:pStyle w:val="ConsPlusNormal"/>
        <w:jc w:val="center"/>
      </w:pPr>
      <w:r>
        <w:rPr>
          <w:noProof/>
          <w:position w:val="-8"/>
        </w:rPr>
        <w:drawing>
          <wp:inline distT="0" distB="0" distL="0" distR="0">
            <wp:extent cx="419100" cy="251460"/>
            <wp:effectExtent l="0" t="0" r="0" b="0"/>
            <wp:docPr id="1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1" cstate="print">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r>
        <w:t xml:space="preserve"> (8.81)</w:t>
      </w:r>
    </w:p>
    <w:p w:rsidR="00212513" w:rsidRDefault="00212513">
      <w:pPr>
        <w:pStyle w:val="ConsPlusNormal"/>
        <w:ind w:firstLine="540"/>
        <w:jc w:val="both"/>
      </w:pPr>
    </w:p>
    <w:p w:rsidR="00212513" w:rsidRDefault="00212513">
      <w:pPr>
        <w:pStyle w:val="ConsPlusNormal"/>
        <w:ind w:firstLine="540"/>
        <w:jc w:val="both"/>
      </w:pPr>
      <w:r>
        <w:t>или</w:t>
      </w:r>
    </w:p>
    <w:p w:rsidR="00212513" w:rsidRDefault="00212513">
      <w:pPr>
        <w:pStyle w:val="ConsPlusNormal"/>
        <w:ind w:firstLine="540"/>
        <w:jc w:val="both"/>
      </w:pPr>
    </w:p>
    <w:p w:rsidR="00212513" w:rsidRDefault="00212513">
      <w:pPr>
        <w:pStyle w:val="ConsPlusNormal"/>
        <w:jc w:val="center"/>
      </w:pPr>
      <w:r>
        <w:rPr>
          <w:noProof/>
          <w:position w:val="-9"/>
        </w:rPr>
        <w:drawing>
          <wp:inline distT="0" distB="0" distL="0" distR="0">
            <wp:extent cx="586740" cy="262890"/>
            <wp:effectExtent l="0" t="0" r="0" b="0"/>
            <wp:docPr id="1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2" cstate="print">
                      <a:extLst>
                        <a:ext uri="{28A0092B-C50C-407E-A947-70E740481C1C}">
                          <a14:useLocalDpi xmlns:a14="http://schemas.microsoft.com/office/drawing/2010/main" val="0"/>
                        </a:ext>
                      </a:extLst>
                    </a:blip>
                    <a:srcRect/>
                    <a:stretch>
                      <a:fillRect/>
                    </a:stretch>
                  </pic:blipFill>
                  <pic:spPr bwMode="auto">
                    <a:xfrm>
                      <a:off x="0" y="0"/>
                      <a:ext cx="586740" cy="262890"/>
                    </a:xfrm>
                    <a:prstGeom prst="rect">
                      <a:avLst/>
                    </a:prstGeom>
                    <a:noFill/>
                    <a:ln>
                      <a:noFill/>
                    </a:ln>
                  </pic:spPr>
                </pic:pic>
              </a:graphicData>
            </a:graphic>
          </wp:inline>
        </w:drawing>
      </w:r>
      <w:r>
        <w:t>, (8.82)</w:t>
      </w:r>
    </w:p>
    <w:p w:rsidR="00212513" w:rsidRDefault="00212513">
      <w:pPr>
        <w:pStyle w:val="ConsPlusNormal"/>
        <w:jc w:val="center"/>
      </w:pPr>
    </w:p>
    <w:p w:rsidR="00212513" w:rsidRDefault="00212513">
      <w:pPr>
        <w:pStyle w:val="ConsPlusNormal"/>
        <w:jc w:val="center"/>
      </w:pPr>
      <w:r>
        <w:rPr>
          <w:noProof/>
          <w:position w:val="-9"/>
        </w:rPr>
        <w:drawing>
          <wp:inline distT="0" distB="0" distL="0" distR="0">
            <wp:extent cx="593725" cy="262890"/>
            <wp:effectExtent l="0" t="0" r="0" b="0"/>
            <wp:docPr id="1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3" cstate="print">
                      <a:extLst>
                        <a:ext uri="{28A0092B-C50C-407E-A947-70E740481C1C}">
                          <a14:useLocalDpi xmlns:a14="http://schemas.microsoft.com/office/drawing/2010/main" val="0"/>
                        </a:ext>
                      </a:extLst>
                    </a:blip>
                    <a:srcRect/>
                    <a:stretch>
                      <a:fillRect/>
                    </a:stretch>
                  </pic:blipFill>
                  <pic:spPr bwMode="auto">
                    <a:xfrm>
                      <a:off x="0" y="0"/>
                      <a:ext cx="593725" cy="262890"/>
                    </a:xfrm>
                    <a:prstGeom prst="rect">
                      <a:avLst/>
                    </a:prstGeom>
                    <a:noFill/>
                    <a:ln>
                      <a:noFill/>
                    </a:ln>
                  </pic:spPr>
                </pic:pic>
              </a:graphicData>
            </a:graphic>
          </wp:inline>
        </w:drawing>
      </w:r>
      <w:r>
        <w:t>, (8.83)</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8"/>
        </w:rPr>
        <w:drawing>
          <wp:inline distT="0" distB="0" distL="0" distR="0">
            <wp:extent cx="167640" cy="251460"/>
            <wp:effectExtent l="0" t="0" r="0" b="0"/>
            <wp:docPr id="1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полная длина стыкового шва;</w:t>
      </w:r>
    </w:p>
    <w:p w:rsidR="00212513" w:rsidRDefault="00212513">
      <w:pPr>
        <w:pStyle w:val="ConsPlusNormal"/>
        <w:spacing w:before="220"/>
        <w:ind w:firstLine="540"/>
        <w:jc w:val="both"/>
      </w:pPr>
      <w:r>
        <w:rPr>
          <w:i/>
        </w:rPr>
        <w:lastRenderedPageBreak/>
        <w:t>b</w:t>
      </w:r>
      <w:r>
        <w:t xml:space="preserve">, </w:t>
      </w:r>
      <w:r>
        <w:rPr>
          <w:i/>
        </w:rPr>
        <w:t>t</w:t>
      </w:r>
      <w:r>
        <w:t xml:space="preserve"> - ширина и толщина стыкуемых деталей;</w:t>
      </w:r>
    </w:p>
    <w:p w:rsidR="00212513" w:rsidRDefault="00212513">
      <w:pPr>
        <w:pStyle w:val="ConsPlusNormal"/>
        <w:spacing w:before="220"/>
        <w:ind w:firstLine="540"/>
        <w:jc w:val="both"/>
      </w:pPr>
      <w:r>
        <w:rPr>
          <w:noProof/>
          <w:position w:val="-9"/>
        </w:rPr>
        <w:drawing>
          <wp:inline distT="0" distB="0" distL="0" distR="0">
            <wp:extent cx="313690" cy="262890"/>
            <wp:effectExtent l="0" t="0" r="0" b="0"/>
            <wp:docPr id="1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5" cstate="print">
                      <a:extLst>
                        <a:ext uri="{28A0092B-C50C-407E-A947-70E740481C1C}">
                          <a14:useLocalDpi xmlns:a14="http://schemas.microsoft.com/office/drawing/2010/main" val="0"/>
                        </a:ext>
                      </a:extLst>
                    </a:blip>
                    <a:srcRect/>
                    <a:stretch>
                      <a:fillRect/>
                    </a:stretch>
                  </pic:blipFill>
                  <pic:spPr bwMode="auto">
                    <a:xfrm>
                      <a:off x="0" y="0"/>
                      <a:ext cx="313690" cy="262890"/>
                    </a:xfrm>
                    <a:prstGeom prst="rect">
                      <a:avLst/>
                    </a:prstGeom>
                    <a:noFill/>
                    <a:ln>
                      <a:noFill/>
                    </a:ln>
                  </pic:spPr>
                </pic:pic>
              </a:graphicData>
            </a:graphic>
          </wp:inline>
        </w:drawing>
      </w:r>
      <w:r>
        <w:t xml:space="preserve"> - площадь нетто ослабленного (например, отверстиями) сечения шва;</w:t>
      </w:r>
    </w:p>
    <w:p w:rsidR="00212513" w:rsidRDefault="00212513">
      <w:pPr>
        <w:pStyle w:val="ConsPlusNormal"/>
        <w:spacing w:before="220"/>
        <w:ind w:firstLine="540"/>
        <w:jc w:val="both"/>
      </w:pPr>
      <w:r>
        <w:rPr>
          <w:i/>
        </w:rPr>
        <w:t>A</w:t>
      </w:r>
      <w:r>
        <w:t xml:space="preserve"> - площадь брутто (или нетто) сечения стыкуемых деталей в зоне стыка.</w:t>
      </w:r>
    </w:p>
    <w:p w:rsidR="00212513" w:rsidRDefault="00212513">
      <w:pPr>
        <w:pStyle w:val="ConsPlusNormal"/>
        <w:spacing w:before="220"/>
        <w:ind w:firstLine="540"/>
        <w:jc w:val="both"/>
      </w:pPr>
      <w:r>
        <w:t>8.85 Расчет по прочности сварных стыковых соединений в случае центрального растяжения или сжатия следует выполнять по формуле</w:t>
      </w:r>
    </w:p>
    <w:p w:rsidR="00212513" w:rsidRDefault="00212513">
      <w:pPr>
        <w:pStyle w:val="ConsPlusNormal"/>
        <w:ind w:firstLine="540"/>
        <w:jc w:val="both"/>
      </w:pPr>
    </w:p>
    <w:p w:rsidR="00212513" w:rsidRDefault="00212513">
      <w:pPr>
        <w:pStyle w:val="ConsPlusNormal"/>
        <w:jc w:val="center"/>
      </w:pPr>
      <w:bookmarkStart w:id="368" w:name="P8576"/>
      <w:bookmarkEnd w:id="368"/>
      <w:r>
        <w:rPr>
          <w:noProof/>
          <w:position w:val="-26"/>
        </w:rPr>
        <w:drawing>
          <wp:inline distT="0" distB="0" distL="0" distR="0">
            <wp:extent cx="838200" cy="470535"/>
            <wp:effectExtent l="0" t="0" r="0" b="0"/>
            <wp:docPr id="1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6" cstate="print">
                      <a:extLst>
                        <a:ext uri="{28A0092B-C50C-407E-A947-70E740481C1C}">
                          <a14:useLocalDpi xmlns:a14="http://schemas.microsoft.com/office/drawing/2010/main" val="0"/>
                        </a:ext>
                      </a:extLst>
                    </a:blip>
                    <a:srcRect/>
                    <a:stretch>
                      <a:fillRect/>
                    </a:stretch>
                  </pic:blipFill>
                  <pic:spPr bwMode="auto">
                    <a:xfrm>
                      <a:off x="0" y="0"/>
                      <a:ext cx="838200" cy="470535"/>
                    </a:xfrm>
                    <a:prstGeom prst="rect">
                      <a:avLst/>
                    </a:prstGeom>
                    <a:noFill/>
                    <a:ln>
                      <a:noFill/>
                    </a:ln>
                  </pic:spPr>
                </pic:pic>
              </a:graphicData>
            </a:graphic>
          </wp:inline>
        </w:drawing>
      </w:r>
      <w:r>
        <w:t>, (8.84)</w:t>
      </w:r>
    </w:p>
    <w:p w:rsidR="00212513" w:rsidRDefault="00212513">
      <w:pPr>
        <w:pStyle w:val="ConsPlusNormal"/>
        <w:ind w:firstLine="540"/>
        <w:jc w:val="both"/>
      </w:pPr>
    </w:p>
    <w:p w:rsidR="00212513" w:rsidRDefault="00212513">
      <w:pPr>
        <w:pStyle w:val="ConsPlusNormal"/>
        <w:ind w:firstLine="540"/>
        <w:jc w:val="both"/>
      </w:pPr>
      <w:r>
        <w:t xml:space="preserve">где </w:t>
      </w:r>
      <w:r>
        <w:rPr>
          <w:i/>
        </w:rPr>
        <w:t>m</w:t>
      </w:r>
      <w:r>
        <w:t xml:space="preserve"> - коэффициент условий работы, принимаемый по </w:t>
      </w:r>
      <w:hyperlink w:anchor="P6905">
        <w:r>
          <w:rPr>
            <w:color w:val="0000FF"/>
          </w:rPr>
          <w:t>таблице 8.15</w:t>
        </w:r>
      </w:hyperlink>
      <w:r>
        <w:t>.</w:t>
      </w:r>
    </w:p>
    <w:p w:rsidR="00212513" w:rsidRDefault="00212513">
      <w:pPr>
        <w:pStyle w:val="ConsPlusNormal"/>
        <w:spacing w:before="220"/>
        <w:ind w:firstLine="540"/>
        <w:jc w:val="both"/>
      </w:pPr>
      <w:r>
        <w:t xml:space="preserve">Расчет по прочности сварных стыковых соединений в случае изгиба в одной или двух главных плоскостях, а также действия осевой силы с изгибом в одной или двух главных плоскостях следует выполнять по </w:t>
      </w:r>
      <w:hyperlink w:anchor="P6976">
        <w:r>
          <w:rPr>
            <w:color w:val="0000FF"/>
          </w:rPr>
          <w:t>формулам (8.5)</w:t>
        </w:r>
      </w:hyperlink>
      <w:r>
        <w:t xml:space="preserve"> - </w:t>
      </w:r>
      <w:hyperlink w:anchor="P7497">
        <w:r>
          <w:rPr>
            <w:color w:val="0000FF"/>
          </w:rPr>
          <w:t>(8.25)</w:t>
        </w:r>
      </w:hyperlink>
      <w:r>
        <w:t xml:space="preserve">, в которых геометрические параметры и коэффициенты </w:t>
      </w:r>
      <w:r>
        <w:rPr>
          <w:noProof/>
          <w:position w:val="-1"/>
        </w:rPr>
        <w:drawing>
          <wp:inline distT="0" distB="0" distL="0" distR="0">
            <wp:extent cx="156845" cy="156845"/>
            <wp:effectExtent l="0" t="0" r="0" b="0"/>
            <wp:docPr id="1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7" cstate="print">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1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1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9"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w:t>
      </w:r>
      <w:r>
        <w:rPr>
          <w:noProof/>
          <w:position w:val="-3"/>
        </w:rPr>
        <w:drawing>
          <wp:inline distT="0" distB="0" distL="0" distR="0">
            <wp:extent cx="167640" cy="177800"/>
            <wp:effectExtent l="0" t="0" r="0" b="0"/>
            <wp:docPr id="1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0"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1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1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следует вычислять для сечения стыкового соединения, принимаемого согласно </w:t>
      </w:r>
      <w:hyperlink w:anchor="P8576">
        <w:r>
          <w:rPr>
            <w:color w:val="0000FF"/>
          </w:rPr>
          <w:t>8.84</w:t>
        </w:r>
      </w:hyperlink>
      <w:r>
        <w:t xml:space="preserve">, а в правой части вместо </w:t>
      </w:r>
      <w:r>
        <w:rPr>
          <w:noProof/>
          <w:position w:val="-9"/>
        </w:rPr>
        <w:drawing>
          <wp:inline distT="0" distB="0" distL="0" distR="0">
            <wp:extent cx="281940" cy="262890"/>
            <wp:effectExtent l="0" t="0" r="0" b="0"/>
            <wp:docPr id="1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7" cstate="print">
                      <a:extLst>
                        <a:ext uri="{28A0092B-C50C-407E-A947-70E740481C1C}">
                          <a14:useLocalDpi xmlns:a14="http://schemas.microsoft.com/office/drawing/2010/main" val="0"/>
                        </a:ext>
                      </a:extLst>
                    </a:blip>
                    <a:srcRect/>
                    <a:stretch>
                      <a:fillRect/>
                    </a:stretch>
                  </pic:blipFill>
                  <pic:spPr bwMode="auto">
                    <a:xfrm>
                      <a:off x="0" y="0"/>
                      <a:ext cx="281940" cy="262890"/>
                    </a:xfrm>
                    <a:prstGeom prst="rect">
                      <a:avLst/>
                    </a:prstGeom>
                    <a:noFill/>
                    <a:ln>
                      <a:noFill/>
                    </a:ln>
                  </pic:spPr>
                </pic:pic>
              </a:graphicData>
            </a:graphic>
          </wp:inline>
        </w:drawing>
      </w:r>
      <w:r>
        <w:t xml:space="preserve"> и </w:t>
      </w:r>
      <w:r>
        <w:rPr>
          <w:noProof/>
          <w:position w:val="-8"/>
        </w:rPr>
        <w:drawing>
          <wp:inline distT="0" distB="0" distL="0" distR="0">
            <wp:extent cx="262890" cy="251460"/>
            <wp:effectExtent l="0" t="0" r="0" b="0"/>
            <wp:docPr id="1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8"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подставлять соответственно величины </w:t>
      </w:r>
      <w:r>
        <w:rPr>
          <w:noProof/>
          <w:position w:val="-9"/>
        </w:rPr>
        <w:drawing>
          <wp:inline distT="0" distB="0" distL="0" distR="0">
            <wp:extent cx="335280" cy="262890"/>
            <wp:effectExtent l="0" t="0" r="0" b="0"/>
            <wp:docPr id="1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9" cstate="print">
                      <a:extLst>
                        <a:ext uri="{28A0092B-C50C-407E-A947-70E740481C1C}">
                          <a14:useLocalDpi xmlns:a14="http://schemas.microsoft.com/office/drawing/2010/main" val="0"/>
                        </a:ext>
                      </a:extLst>
                    </a:blip>
                    <a:srcRect/>
                    <a:stretch>
                      <a:fillRect/>
                    </a:stretch>
                  </pic:blipFill>
                  <pic:spPr bwMode="auto">
                    <a:xfrm>
                      <a:off x="0" y="0"/>
                      <a:ext cx="335280" cy="262890"/>
                    </a:xfrm>
                    <a:prstGeom prst="rect">
                      <a:avLst/>
                    </a:prstGeom>
                    <a:noFill/>
                    <a:ln>
                      <a:noFill/>
                    </a:ln>
                  </pic:spPr>
                </pic:pic>
              </a:graphicData>
            </a:graphic>
          </wp:inline>
        </w:drawing>
      </w:r>
      <w:r>
        <w:t xml:space="preserve"> и </w:t>
      </w:r>
      <w:r>
        <w:rPr>
          <w:noProof/>
          <w:position w:val="-8"/>
        </w:rPr>
        <w:drawing>
          <wp:inline distT="0" distB="0" distL="0" distR="0">
            <wp:extent cx="335280" cy="251460"/>
            <wp:effectExtent l="0" t="0" r="0" b="0"/>
            <wp:docPr id="1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0" cstate="print">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8.86 Прочность сварных соединений с угловыми швами при действии продольных или поперечных сил следует проверять на срез (условный) по двум сечениям </w:t>
      </w:r>
      <w:hyperlink w:anchor="P8595">
        <w:r>
          <w:rPr>
            <w:color w:val="0000FF"/>
          </w:rPr>
          <w:t>(рисунок 8.3)</w:t>
        </w:r>
      </w:hyperlink>
      <w:r>
        <w:t>:</w:t>
      </w:r>
    </w:p>
    <w:p w:rsidR="00212513" w:rsidRDefault="00212513">
      <w:pPr>
        <w:pStyle w:val="ConsPlusNormal"/>
        <w:spacing w:before="220"/>
        <w:ind w:firstLine="540"/>
        <w:jc w:val="both"/>
      </w:pPr>
      <w:r>
        <w:t>по металлу шва (сечение 0-1)</w:t>
      </w:r>
    </w:p>
    <w:p w:rsidR="00212513" w:rsidRDefault="00212513">
      <w:pPr>
        <w:pStyle w:val="ConsPlusNormal"/>
        <w:ind w:firstLine="540"/>
        <w:jc w:val="both"/>
      </w:pPr>
    </w:p>
    <w:p w:rsidR="00212513" w:rsidRDefault="00212513">
      <w:pPr>
        <w:pStyle w:val="ConsPlusNormal"/>
        <w:jc w:val="center"/>
      </w:pPr>
      <w:bookmarkStart w:id="369" w:name="P8583"/>
      <w:bookmarkEnd w:id="369"/>
      <w:r>
        <w:rPr>
          <w:noProof/>
          <w:position w:val="-27"/>
        </w:rPr>
        <w:drawing>
          <wp:inline distT="0" distB="0" distL="0" distR="0">
            <wp:extent cx="1089025" cy="483870"/>
            <wp:effectExtent l="0" t="0" r="0" b="0"/>
            <wp:docPr id="1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1" cstate="print">
                      <a:extLst>
                        <a:ext uri="{28A0092B-C50C-407E-A947-70E740481C1C}">
                          <a14:useLocalDpi xmlns:a14="http://schemas.microsoft.com/office/drawing/2010/main" val="0"/>
                        </a:ext>
                      </a:extLst>
                    </a:blip>
                    <a:srcRect/>
                    <a:stretch>
                      <a:fillRect/>
                    </a:stretch>
                  </pic:blipFill>
                  <pic:spPr bwMode="auto">
                    <a:xfrm>
                      <a:off x="0" y="0"/>
                      <a:ext cx="1089025" cy="483870"/>
                    </a:xfrm>
                    <a:prstGeom prst="rect">
                      <a:avLst/>
                    </a:prstGeom>
                    <a:noFill/>
                    <a:ln>
                      <a:noFill/>
                    </a:ln>
                  </pic:spPr>
                </pic:pic>
              </a:graphicData>
            </a:graphic>
          </wp:inline>
        </w:drawing>
      </w:r>
      <w:r>
        <w:t>; (8.85)</w:t>
      </w:r>
    </w:p>
    <w:p w:rsidR="00212513" w:rsidRDefault="00212513">
      <w:pPr>
        <w:pStyle w:val="ConsPlusNormal"/>
        <w:jc w:val="center"/>
      </w:pPr>
    </w:p>
    <w:p w:rsidR="00212513" w:rsidRDefault="00212513">
      <w:pPr>
        <w:pStyle w:val="ConsPlusNormal"/>
        <w:ind w:firstLine="540"/>
        <w:jc w:val="both"/>
      </w:pPr>
      <w:r>
        <w:t>по металлу границы сплавления (сечение 0-2)</w:t>
      </w:r>
    </w:p>
    <w:p w:rsidR="00212513" w:rsidRDefault="00212513">
      <w:pPr>
        <w:pStyle w:val="ConsPlusNormal"/>
        <w:ind w:firstLine="540"/>
        <w:jc w:val="both"/>
      </w:pPr>
    </w:p>
    <w:p w:rsidR="00212513" w:rsidRDefault="00212513">
      <w:pPr>
        <w:pStyle w:val="ConsPlusNormal"/>
        <w:jc w:val="center"/>
      </w:pPr>
      <w:r>
        <w:rPr>
          <w:noProof/>
          <w:position w:val="-26"/>
        </w:rPr>
        <w:drawing>
          <wp:inline distT="0" distB="0" distL="0" distR="0">
            <wp:extent cx="1072515" cy="470535"/>
            <wp:effectExtent l="0" t="0" r="0" b="0"/>
            <wp:docPr id="1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2" cstate="print">
                      <a:extLst>
                        <a:ext uri="{28A0092B-C50C-407E-A947-70E740481C1C}">
                          <a14:useLocalDpi xmlns:a14="http://schemas.microsoft.com/office/drawing/2010/main" val="0"/>
                        </a:ext>
                      </a:extLst>
                    </a:blip>
                    <a:srcRect/>
                    <a:stretch>
                      <a:fillRect/>
                    </a:stretch>
                  </pic:blipFill>
                  <pic:spPr bwMode="auto">
                    <a:xfrm>
                      <a:off x="0" y="0"/>
                      <a:ext cx="1072515" cy="470535"/>
                    </a:xfrm>
                    <a:prstGeom prst="rect">
                      <a:avLst/>
                    </a:prstGeom>
                    <a:noFill/>
                    <a:ln>
                      <a:noFill/>
                    </a:ln>
                  </pic:spPr>
                </pic:pic>
              </a:graphicData>
            </a:graphic>
          </wp:inline>
        </w:drawing>
      </w:r>
      <w:r>
        <w:t>, (8.86)</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8"/>
        </w:rPr>
        <w:drawing>
          <wp:inline distT="0" distB="0" distL="0" distR="0">
            <wp:extent cx="167640" cy="251460"/>
            <wp:effectExtent l="0" t="0" r="0" b="0"/>
            <wp:docPr id="1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3"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полная длина шва;</w:t>
      </w:r>
    </w:p>
    <w:p w:rsidR="00212513" w:rsidRDefault="00212513">
      <w:pPr>
        <w:pStyle w:val="ConsPlusNormal"/>
        <w:spacing w:before="220"/>
        <w:ind w:firstLine="540"/>
        <w:jc w:val="both"/>
      </w:pPr>
      <w:r>
        <w:rPr>
          <w:noProof/>
          <w:position w:val="-9"/>
        </w:rPr>
        <w:drawing>
          <wp:inline distT="0" distB="0" distL="0" distR="0">
            <wp:extent cx="167640" cy="262890"/>
            <wp:effectExtent l="0" t="0" r="0" b="0"/>
            <wp:docPr id="1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4" cstate="print">
                      <a:extLst>
                        <a:ext uri="{28A0092B-C50C-407E-A947-70E740481C1C}">
                          <a14:useLocalDpi xmlns:a14="http://schemas.microsoft.com/office/drawing/2010/main" val="0"/>
                        </a:ext>
                      </a:extLst>
                    </a:blip>
                    <a:srcRect/>
                    <a:stretch>
                      <a:fillRect/>
                    </a:stretch>
                  </pic:blipFill>
                  <pic:spPr bwMode="auto">
                    <a:xfrm>
                      <a:off x="0" y="0"/>
                      <a:ext cx="167640" cy="262890"/>
                    </a:xfrm>
                    <a:prstGeom prst="rect">
                      <a:avLst/>
                    </a:prstGeom>
                    <a:noFill/>
                    <a:ln>
                      <a:noFill/>
                    </a:ln>
                  </pic:spPr>
                </pic:pic>
              </a:graphicData>
            </a:graphic>
          </wp:inline>
        </w:drawing>
      </w:r>
      <w:r>
        <w:t xml:space="preserve">, </w:t>
      </w:r>
      <w:r>
        <w:rPr>
          <w:noProof/>
          <w:position w:val="-8"/>
        </w:rPr>
        <w:drawing>
          <wp:inline distT="0" distB="0" distL="0" distR="0">
            <wp:extent cx="146685" cy="250825"/>
            <wp:effectExtent l="0" t="0" r="0" b="0"/>
            <wp:docPr id="1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5" cstate="print">
                      <a:extLst>
                        <a:ext uri="{28A0092B-C50C-407E-A947-70E740481C1C}">
                          <a14:useLocalDpi xmlns:a14="http://schemas.microsoft.com/office/drawing/2010/main" val="0"/>
                        </a:ext>
                      </a:extLst>
                    </a:blip>
                    <a:srcRect/>
                    <a:stretch>
                      <a:fillRect/>
                    </a:stretch>
                  </pic:blipFill>
                  <pic:spPr bwMode="auto">
                    <a:xfrm>
                      <a:off x="0" y="0"/>
                      <a:ext cx="146685" cy="250825"/>
                    </a:xfrm>
                    <a:prstGeom prst="rect">
                      <a:avLst/>
                    </a:prstGeom>
                    <a:noFill/>
                    <a:ln>
                      <a:noFill/>
                    </a:ln>
                  </pic:spPr>
                </pic:pic>
              </a:graphicData>
            </a:graphic>
          </wp:inline>
        </w:drawing>
      </w:r>
      <w:r>
        <w:t xml:space="preserve"> - расчетная высота сечения шва;</w:t>
      </w:r>
    </w:p>
    <w:p w:rsidR="00212513" w:rsidRDefault="00212513">
      <w:pPr>
        <w:pStyle w:val="ConsPlusNormal"/>
        <w:spacing w:before="220"/>
        <w:ind w:firstLine="540"/>
        <w:jc w:val="both"/>
      </w:pPr>
      <w:r>
        <w:rPr>
          <w:i/>
        </w:rPr>
        <w:t>m</w:t>
      </w:r>
      <w:r>
        <w:t xml:space="preserve"> - коэффициент условий работы, принимаемый по </w:t>
      </w:r>
      <w:hyperlink w:anchor="P6905">
        <w:r>
          <w:rPr>
            <w:color w:val="0000FF"/>
          </w:rPr>
          <w:t>таблице 8.15</w:t>
        </w:r>
      </w:hyperlink>
      <w:r>
        <w:t>.</w:t>
      </w:r>
    </w:p>
    <w:p w:rsidR="00212513" w:rsidRDefault="00212513">
      <w:pPr>
        <w:pStyle w:val="ConsPlusNormal"/>
        <w:ind w:firstLine="540"/>
        <w:jc w:val="both"/>
      </w:pPr>
    </w:p>
    <w:p w:rsidR="00212513" w:rsidRDefault="00212513">
      <w:pPr>
        <w:pStyle w:val="ConsPlusNormal"/>
        <w:jc w:val="center"/>
      </w:pPr>
      <w:r>
        <w:rPr>
          <w:noProof/>
          <w:position w:val="-69"/>
        </w:rPr>
        <w:drawing>
          <wp:inline distT="0" distB="0" distL="0" distR="0">
            <wp:extent cx="1195070" cy="1027430"/>
            <wp:effectExtent l="0" t="0" r="0" b="0"/>
            <wp:docPr id="1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6">
                      <a:extLst>
                        <a:ext uri="{28A0092B-C50C-407E-A947-70E740481C1C}">
                          <a14:useLocalDpi xmlns:a14="http://schemas.microsoft.com/office/drawing/2010/main" val="0"/>
                        </a:ext>
                      </a:extLst>
                    </a:blip>
                    <a:srcRect/>
                    <a:stretch>
                      <a:fillRect/>
                    </a:stretch>
                  </pic:blipFill>
                  <pic:spPr bwMode="auto">
                    <a:xfrm>
                      <a:off x="0" y="0"/>
                      <a:ext cx="1195070" cy="1027430"/>
                    </a:xfrm>
                    <a:prstGeom prst="rect">
                      <a:avLst/>
                    </a:prstGeom>
                    <a:noFill/>
                    <a:ln>
                      <a:noFill/>
                    </a:ln>
                  </pic:spPr>
                </pic:pic>
              </a:graphicData>
            </a:graphic>
          </wp:inline>
        </w:drawing>
      </w:r>
    </w:p>
    <w:p w:rsidR="00212513" w:rsidRDefault="00212513">
      <w:pPr>
        <w:pStyle w:val="ConsPlusNormal"/>
        <w:jc w:val="center"/>
      </w:pPr>
    </w:p>
    <w:p w:rsidR="00212513" w:rsidRDefault="00212513">
      <w:pPr>
        <w:pStyle w:val="ConsPlusNormal"/>
        <w:jc w:val="center"/>
      </w:pPr>
      <w:bookmarkStart w:id="370" w:name="P8595"/>
      <w:bookmarkEnd w:id="370"/>
      <w:r>
        <w:rPr>
          <w:b/>
          <w:i/>
        </w:rPr>
        <w:t>Рисунок 8.3</w:t>
      </w:r>
      <w:r>
        <w:t xml:space="preserve"> </w:t>
      </w:r>
      <w:r>
        <w:rPr>
          <w:b/>
        </w:rPr>
        <w:t>- Схема расчетных сечений сварного углового</w:t>
      </w:r>
    </w:p>
    <w:p w:rsidR="00212513" w:rsidRDefault="00212513">
      <w:pPr>
        <w:pStyle w:val="ConsPlusNormal"/>
        <w:jc w:val="center"/>
      </w:pPr>
      <w:r>
        <w:rPr>
          <w:b/>
        </w:rPr>
        <w:t>шва при расчете на срез</w:t>
      </w:r>
    </w:p>
    <w:p w:rsidR="00212513" w:rsidRDefault="00212513">
      <w:pPr>
        <w:pStyle w:val="ConsPlusNormal"/>
        <w:jc w:val="center"/>
      </w:pPr>
    </w:p>
    <w:p w:rsidR="00212513" w:rsidRDefault="00212513">
      <w:pPr>
        <w:pStyle w:val="ConsPlusNormal"/>
        <w:ind w:firstLine="540"/>
        <w:jc w:val="both"/>
      </w:pPr>
      <w:r>
        <w:lastRenderedPageBreak/>
        <w:t xml:space="preserve">8.87 Расчет по прочности сварных соединений с угловыми швами при действии момента в плоскости, перпендикулярной плоскости расположения швов </w:t>
      </w:r>
      <w:hyperlink w:anchor="P8628">
        <w:r>
          <w:rPr>
            <w:color w:val="0000FF"/>
          </w:rPr>
          <w:t>(рисунок 8.4, а)</w:t>
        </w:r>
      </w:hyperlink>
      <w:r>
        <w:t>, следует выполнять для двух сечений по формулам:</w:t>
      </w:r>
    </w:p>
    <w:p w:rsidR="00212513" w:rsidRDefault="00212513">
      <w:pPr>
        <w:pStyle w:val="ConsPlusNormal"/>
        <w:spacing w:before="220"/>
        <w:ind w:firstLine="540"/>
        <w:jc w:val="both"/>
      </w:pPr>
      <w:r>
        <w:t>по металлу шва</w:t>
      </w:r>
    </w:p>
    <w:p w:rsidR="00212513" w:rsidRDefault="00212513">
      <w:pPr>
        <w:pStyle w:val="ConsPlusNormal"/>
        <w:ind w:firstLine="540"/>
        <w:jc w:val="both"/>
      </w:pPr>
    </w:p>
    <w:p w:rsidR="00212513" w:rsidRDefault="00212513">
      <w:pPr>
        <w:pStyle w:val="ConsPlusNormal"/>
        <w:jc w:val="center"/>
      </w:pPr>
      <w:r>
        <w:rPr>
          <w:noProof/>
          <w:position w:val="-27"/>
        </w:rPr>
        <w:drawing>
          <wp:inline distT="0" distB="0" distL="0" distR="0">
            <wp:extent cx="1047750" cy="483870"/>
            <wp:effectExtent l="0" t="0" r="0" b="0"/>
            <wp:docPr id="1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7" cstate="print">
                      <a:extLst>
                        <a:ext uri="{28A0092B-C50C-407E-A947-70E740481C1C}">
                          <a14:useLocalDpi xmlns:a14="http://schemas.microsoft.com/office/drawing/2010/main" val="0"/>
                        </a:ext>
                      </a:extLst>
                    </a:blip>
                    <a:srcRect/>
                    <a:stretch>
                      <a:fillRect/>
                    </a:stretch>
                  </pic:blipFill>
                  <pic:spPr bwMode="auto">
                    <a:xfrm>
                      <a:off x="0" y="0"/>
                      <a:ext cx="1047750" cy="483870"/>
                    </a:xfrm>
                    <a:prstGeom prst="rect">
                      <a:avLst/>
                    </a:prstGeom>
                    <a:noFill/>
                    <a:ln>
                      <a:noFill/>
                    </a:ln>
                  </pic:spPr>
                </pic:pic>
              </a:graphicData>
            </a:graphic>
          </wp:inline>
        </w:drawing>
      </w:r>
      <w:r>
        <w:t>; (8.87)</w:t>
      </w:r>
    </w:p>
    <w:p w:rsidR="00212513" w:rsidRDefault="00212513">
      <w:pPr>
        <w:pStyle w:val="ConsPlusNormal"/>
        <w:ind w:firstLine="540"/>
        <w:jc w:val="both"/>
      </w:pPr>
    </w:p>
    <w:p w:rsidR="00212513" w:rsidRDefault="00212513">
      <w:pPr>
        <w:pStyle w:val="ConsPlusNormal"/>
        <w:ind w:firstLine="540"/>
        <w:jc w:val="both"/>
      </w:pPr>
      <w:r>
        <w:t>по металлу границы сплавления</w:t>
      </w:r>
    </w:p>
    <w:p w:rsidR="00212513" w:rsidRDefault="00212513">
      <w:pPr>
        <w:pStyle w:val="ConsPlusNormal"/>
        <w:ind w:firstLine="540"/>
        <w:jc w:val="both"/>
      </w:pPr>
    </w:p>
    <w:p w:rsidR="00212513" w:rsidRDefault="00212513">
      <w:pPr>
        <w:pStyle w:val="ConsPlusNormal"/>
        <w:jc w:val="center"/>
      </w:pPr>
      <w:r>
        <w:rPr>
          <w:noProof/>
          <w:position w:val="-26"/>
        </w:rPr>
        <w:drawing>
          <wp:inline distT="0" distB="0" distL="0" distR="0">
            <wp:extent cx="1029970" cy="470535"/>
            <wp:effectExtent l="0" t="0" r="0" b="0"/>
            <wp:docPr id="1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8" cstate="print">
                      <a:extLst>
                        <a:ext uri="{28A0092B-C50C-407E-A947-70E740481C1C}">
                          <a14:useLocalDpi xmlns:a14="http://schemas.microsoft.com/office/drawing/2010/main" val="0"/>
                        </a:ext>
                      </a:extLst>
                    </a:blip>
                    <a:srcRect/>
                    <a:stretch>
                      <a:fillRect/>
                    </a:stretch>
                  </pic:blipFill>
                  <pic:spPr bwMode="auto">
                    <a:xfrm>
                      <a:off x="0" y="0"/>
                      <a:ext cx="1029970" cy="470535"/>
                    </a:xfrm>
                    <a:prstGeom prst="rect">
                      <a:avLst/>
                    </a:prstGeom>
                    <a:noFill/>
                    <a:ln>
                      <a:noFill/>
                    </a:ln>
                  </pic:spPr>
                </pic:pic>
              </a:graphicData>
            </a:graphic>
          </wp:inline>
        </w:drawing>
      </w:r>
      <w:r>
        <w:t>. (8.88)</w:t>
      </w:r>
    </w:p>
    <w:p w:rsidR="00212513" w:rsidRDefault="00212513">
      <w:pPr>
        <w:pStyle w:val="ConsPlusNormal"/>
        <w:ind w:firstLine="540"/>
        <w:jc w:val="both"/>
      </w:pPr>
    </w:p>
    <w:p w:rsidR="00212513" w:rsidRDefault="00212513">
      <w:pPr>
        <w:pStyle w:val="ConsPlusNormal"/>
        <w:ind w:firstLine="540"/>
        <w:jc w:val="both"/>
      </w:pPr>
      <w:r>
        <w:t>В формулах (8.87) и (8.88):</w:t>
      </w:r>
    </w:p>
    <w:p w:rsidR="00212513" w:rsidRDefault="00212513">
      <w:pPr>
        <w:pStyle w:val="ConsPlusNormal"/>
        <w:spacing w:before="220"/>
        <w:ind w:firstLine="540"/>
        <w:jc w:val="both"/>
      </w:pPr>
      <w:r>
        <w:rPr>
          <w:noProof/>
          <w:position w:val="-9"/>
        </w:rPr>
        <w:drawing>
          <wp:inline distT="0" distB="0" distL="0" distR="0">
            <wp:extent cx="254000" cy="262890"/>
            <wp:effectExtent l="0" t="0" r="0" b="0"/>
            <wp:docPr id="1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9" cstate="print">
                      <a:extLst>
                        <a:ext uri="{28A0092B-C50C-407E-A947-70E740481C1C}">
                          <a14:useLocalDpi xmlns:a14="http://schemas.microsoft.com/office/drawing/2010/main" val="0"/>
                        </a:ext>
                      </a:extLst>
                    </a:blip>
                    <a:srcRect/>
                    <a:stretch>
                      <a:fillRect/>
                    </a:stretch>
                  </pic:blipFill>
                  <pic:spPr bwMode="auto">
                    <a:xfrm>
                      <a:off x="0" y="0"/>
                      <a:ext cx="254000" cy="262890"/>
                    </a:xfrm>
                    <a:prstGeom prst="rect">
                      <a:avLst/>
                    </a:prstGeom>
                    <a:noFill/>
                    <a:ln>
                      <a:noFill/>
                    </a:ln>
                  </pic:spPr>
                </pic:pic>
              </a:graphicData>
            </a:graphic>
          </wp:inline>
        </w:drawing>
      </w:r>
      <w:r>
        <w:t xml:space="preserve"> - момент сопротивления расчетного сечения по металлу шва;</w:t>
      </w:r>
    </w:p>
    <w:p w:rsidR="00212513" w:rsidRDefault="00212513">
      <w:pPr>
        <w:pStyle w:val="ConsPlusNormal"/>
        <w:spacing w:before="220"/>
        <w:ind w:firstLine="540"/>
        <w:jc w:val="both"/>
      </w:pPr>
      <w:r>
        <w:rPr>
          <w:noProof/>
          <w:position w:val="-8"/>
        </w:rPr>
        <w:drawing>
          <wp:inline distT="0" distB="0" distL="0" distR="0">
            <wp:extent cx="220980" cy="251460"/>
            <wp:effectExtent l="0" t="0" r="0" b="0"/>
            <wp:docPr id="1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0"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то же, по металлу границы сплавления.</w:t>
      </w:r>
    </w:p>
    <w:p w:rsidR="00212513" w:rsidRDefault="00212513">
      <w:pPr>
        <w:pStyle w:val="ConsPlusNormal"/>
        <w:spacing w:before="220"/>
        <w:ind w:firstLine="540"/>
        <w:jc w:val="both"/>
      </w:pPr>
      <w:r>
        <w:t xml:space="preserve">8.88 Расчет по прочности сварных соединений с угловыми швами при действии момента в плоскости расположения этих швов </w:t>
      </w:r>
      <w:hyperlink w:anchor="P8628">
        <w:r>
          <w:rPr>
            <w:color w:val="0000FF"/>
          </w:rPr>
          <w:t>(рисунок 8.4, б)</w:t>
        </w:r>
      </w:hyperlink>
      <w:r>
        <w:t xml:space="preserve"> следует выполнять для двух сечений по формулам:</w:t>
      </w:r>
    </w:p>
    <w:p w:rsidR="00212513" w:rsidRDefault="00212513">
      <w:pPr>
        <w:pStyle w:val="ConsPlusNormal"/>
        <w:spacing w:before="220"/>
        <w:ind w:firstLine="540"/>
        <w:jc w:val="both"/>
      </w:pPr>
      <w:r>
        <w:t>по металлу шва</w:t>
      </w:r>
    </w:p>
    <w:p w:rsidR="00212513" w:rsidRDefault="00212513">
      <w:pPr>
        <w:pStyle w:val="ConsPlusNormal"/>
        <w:ind w:firstLine="540"/>
        <w:jc w:val="both"/>
      </w:pPr>
    </w:p>
    <w:p w:rsidR="00212513" w:rsidRDefault="00212513">
      <w:pPr>
        <w:pStyle w:val="ConsPlusNormal"/>
        <w:jc w:val="center"/>
      </w:pPr>
      <w:r>
        <w:rPr>
          <w:noProof/>
          <w:position w:val="-27"/>
        </w:rPr>
        <w:drawing>
          <wp:inline distT="0" distB="0" distL="0" distR="0">
            <wp:extent cx="1969770" cy="483870"/>
            <wp:effectExtent l="0" t="0" r="0" b="0"/>
            <wp:docPr id="1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1" cstate="print">
                      <a:extLst>
                        <a:ext uri="{28A0092B-C50C-407E-A947-70E740481C1C}">
                          <a14:useLocalDpi xmlns:a14="http://schemas.microsoft.com/office/drawing/2010/main" val="0"/>
                        </a:ext>
                      </a:extLst>
                    </a:blip>
                    <a:srcRect/>
                    <a:stretch>
                      <a:fillRect/>
                    </a:stretch>
                  </pic:blipFill>
                  <pic:spPr bwMode="auto">
                    <a:xfrm>
                      <a:off x="0" y="0"/>
                      <a:ext cx="1969770" cy="483870"/>
                    </a:xfrm>
                    <a:prstGeom prst="rect">
                      <a:avLst/>
                    </a:prstGeom>
                    <a:noFill/>
                    <a:ln>
                      <a:noFill/>
                    </a:ln>
                  </pic:spPr>
                </pic:pic>
              </a:graphicData>
            </a:graphic>
          </wp:inline>
        </w:drawing>
      </w:r>
      <w:r>
        <w:t>; (8.89)</w:t>
      </w:r>
    </w:p>
    <w:p w:rsidR="00212513" w:rsidRDefault="00212513">
      <w:pPr>
        <w:pStyle w:val="ConsPlusNormal"/>
        <w:jc w:val="center"/>
      </w:pPr>
    </w:p>
    <w:p w:rsidR="00212513" w:rsidRDefault="00212513">
      <w:pPr>
        <w:pStyle w:val="ConsPlusNormal"/>
        <w:ind w:firstLine="540"/>
        <w:jc w:val="both"/>
      </w:pPr>
      <w:r>
        <w:t>по металлу границы сплавления</w:t>
      </w:r>
    </w:p>
    <w:p w:rsidR="00212513" w:rsidRDefault="00212513">
      <w:pPr>
        <w:pStyle w:val="ConsPlusNormal"/>
        <w:ind w:firstLine="540"/>
        <w:jc w:val="both"/>
      </w:pPr>
    </w:p>
    <w:p w:rsidR="00212513" w:rsidRDefault="00212513">
      <w:pPr>
        <w:pStyle w:val="ConsPlusNormal"/>
        <w:jc w:val="center"/>
      </w:pPr>
      <w:r>
        <w:rPr>
          <w:noProof/>
          <w:position w:val="-27"/>
        </w:rPr>
        <w:drawing>
          <wp:inline distT="0" distB="0" distL="0" distR="0">
            <wp:extent cx="1955165" cy="483870"/>
            <wp:effectExtent l="0" t="0" r="0" b="0"/>
            <wp:docPr id="1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2" cstate="print">
                      <a:extLst>
                        <a:ext uri="{28A0092B-C50C-407E-A947-70E740481C1C}">
                          <a14:useLocalDpi xmlns:a14="http://schemas.microsoft.com/office/drawing/2010/main" val="0"/>
                        </a:ext>
                      </a:extLst>
                    </a:blip>
                    <a:srcRect/>
                    <a:stretch>
                      <a:fillRect/>
                    </a:stretch>
                  </pic:blipFill>
                  <pic:spPr bwMode="auto">
                    <a:xfrm>
                      <a:off x="0" y="0"/>
                      <a:ext cx="1955165" cy="483870"/>
                    </a:xfrm>
                    <a:prstGeom prst="rect">
                      <a:avLst/>
                    </a:prstGeom>
                    <a:noFill/>
                    <a:ln>
                      <a:noFill/>
                    </a:ln>
                  </pic:spPr>
                </pic:pic>
              </a:graphicData>
            </a:graphic>
          </wp:inline>
        </w:drawing>
      </w:r>
      <w:r>
        <w:t>, (8.90)</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9"/>
        </w:rPr>
        <w:drawing>
          <wp:inline distT="0" distB="0" distL="0" distR="0">
            <wp:extent cx="209550" cy="262890"/>
            <wp:effectExtent l="0" t="0" r="0" b="0"/>
            <wp:docPr id="1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3"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1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4"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моменты инерции расчетного сечения по металлу шва относительно его главных осей;</w:t>
      </w:r>
    </w:p>
    <w:p w:rsidR="00212513" w:rsidRDefault="00212513">
      <w:pPr>
        <w:pStyle w:val="ConsPlusNormal"/>
        <w:spacing w:before="220"/>
        <w:ind w:firstLine="540"/>
        <w:jc w:val="both"/>
      </w:pPr>
      <w:r>
        <w:rPr>
          <w:noProof/>
          <w:position w:val="-8"/>
        </w:rPr>
        <w:drawing>
          <wp:inline distT="0" distB="0" distL="0" distR="0">
            <wp:extent cx="209550" cy="251460"/>
            <wp:effectExtent l="0" t="0" r="0" b="0"/>
            <wp:docPr id="1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9"/>
        </w:rPr>
        <w:drawing>
          <wp:inline distT="0" distB="0" distL="0" distR="0">
            <wp:extent cx="209550" cy="262890"/>
            <wp:effectExtent l="0" t="0" r="0" b="0"/>
            <wp:docPr id="1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6"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 то же, по металлу границы сплавления;</w:t>
      </w:r>
    </w:p>
    <w:p w:rsidR="00212513" w:rsidRDefault="00212513">
      <w:pPr>
        <w:pStyle w:val="ConsPlusNormal"/>
        <w:spacing w:before="220"/>
        <w:ind w:firstLine="540"/>
        <w:jc w:val="both"/>
      </w:pPr>
      <w:r>
        <w:rPr>
          <w:i/>
        </w:rPr>
        <w:t>x</w:t>
      </w:r>
      <w:r>
        <w:t xml:space="preserve">, </w:t>
      </w:r>
      <w:r>
        <w:rPr>
          <w:i/>
        </w:rPr>
        <w:t>y</w:t>
      </w:r>
      <w:r>
        <w:t xml:space="preserve"> - координаты точки шва, наиболее удаленной от центра тяжести расчетного сечения швов относительно главных осей этого сечения.</w:t>
      </w:r>
    </w:p>
    <w:p w:rsidR="00212513" w:rsidRDefault="00212513">
      <w:pPr>
        <w:pStyle w:val="ConsPlusNormal"/>
        <w:ind w:firstLine="540"/>
        <w:jc w:val="both"/>
      </w:pPr>
    </w:p>
    <w:p w:rsidR="00212513" w:rsidRDefault="00212513">
      <w:pPr>
        <w:pStyle w:val="ConsPlusNormal"/>
        <w:jc w:val="center"/>
      </w:pPr>
      <w:r>
        <w:rPr>
          <w:noProof/>
          <w:position w:val="-160"/>
        </w:rPr>
        <w:lastRenderedPageBreak/>
        <w:drawing>
          <wp:inline distT="0" distB="0" distL="0" distR="0">
            <wp:extent cx="3001010" cy="2172335"/>
            <wp:effectExtent l="0" t="0" r="0" b="0"/>
            <wp:docPr id="1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7" cstate="print">
                      <a:extLst>
                        <a:ext uri="{28A0092B-C50C-407E-A947-70E740481C1C}">
                          <a14:useLocalDpi xmlns:a14="http://schemas.microsoft.com/office/drawing/2010/main" val="0"/>
                        </a:ext>
                      </a:extLst>
                    </a:blip>
                    <a:srcRect/>
                    <a:stretch>
                      <a:fillRect/>
                    </a:stretch>
                  </pic:blipFill>
                  <pic:spPr bwMode="auto">
                    <a:xfrm>
                      <a:off x="0" y="0"/>
                      <a:ext cx="3001010" cy="2172335"/>
                    </a:xfrm>
                    <a:prstGeom prst="rect">
                      <a:avLst/>
                    </a:prstGeom>
                    <a:noFill/>
                    <a:ln>
                      <a:noFill/>
                    </a:ln>
                  </pic:spPr>
                </pic:pic>
              </a:graphicData>
            </a:graphic>
          </wp:inline>
        </w:drawing>
      </w:r>
    </w:p>
    <w:p w:rsidR="00212513" w:rsidRDefault="00212513">
      <w:pPr>
        <w:pStyle w:val="ConsPlusNormal"/>
        <w:jc w:val="center"/>
      </w:pPr>
    </w:p>
    <w:p w:rsidR="00212513" w:rsidRDefault="00212513">
      <w:pPr>
        <w:pStyle w:val="ConsPlusNormal"/>
        <w:jc w:val="center"/>
      </w:pPr>
      <w:r>
        <w:t>а - перпендикулярной;</w:t>
      </w:r>
    </w:p>
    <w:p w:rsidR="00212513" w:rsidRDefault="00212513">
      <w:pPr>
        <w:pStyle w:val="ConsPlusNormal"/>
        <w:jc w:val="center"/>
      </w:pPr>
      <w:r>
        <w:t>б - параллельной плоскости расположения швов</w:t>
      </w:r>
    </w:p>
    <w:p w:rsidR="00212513" w:rsidRDefault="00212513">
      <w:pPr>
        <w:pStyle w:val="ConsPlusNormal"/>
        <w:jc w:val="center"/>
      </w:pPr>
    </w:p>
    <w:p w:rsidR="00212513" w:rsidRDefault="00212513">
      <w:pPr>
        <w:pStyle w:val="ConsPlusNormal"/>
        <w:jc w:val="center"/>
      </w:pPr>
      <w:bookmarkStart w:id="371" w:name="P8628"/>
      <w:bookmarkEnd w:id="371"/>
      <w:r>
        <w:rPr>
          <w:b/>
          <w:i/>
        </w:rPr>
        <w:t>Рисунок 8.4</w:t>
      </w:r>
      <w:r>
        <w:t xml:space="preserve"> </w:t>
      </w:r>
      <w:r>
        <w:rPr>
          <w:b/>
        </w:rPr>
        <w:t>- Расположение сварных соединений с угловыми</w:t>
      </w:r>
    </w:p>
    <w:p w:rsidR="00212513" w:rsidRDefault="00212513">
      <w:pPr>
        <w:pStyle w:val="ConsPlusNormal"/>
        <w:jc w:val="center"/>
      </w:pPr>
      <w:r>
        <w:rPr>
          <w:b/>
        </w:rPr>
        <w:t>швами при действии момента в плоскости</w:t>
      </w:r>
    </w:p>
    <w:p w:rsidR="00212513" w:rsidRDefault="00212513">
      <w:pPr>
        <w:pStyle w:val="ConsPlusNormal"/>
        <w:jc w:val="center"/>
      </w:pPr>
    </w:p>
    <w:p w:rsidR="00212513" w:rsidRDefault="00212513">
      <w:pPr>
        <w:pStyle w:val="ConsPlusNormal"/>
        <w:ind w:firstLine="540"/>
        <w:jc w:val="both"/>
      </w:pPr>
      <w:r>
        <w:t xml:space="preserve">8.89 Прочность сварных стыковых соединений при одновременном действии в одном и том же сечении нормальных и касательных напряжений следует проверять по </w:t>
      </w:r>
      <w:hyperlink w:anchor="P7513">
        <w:r>
          <w:rPr>
            <w:color w:val="0000FF"/>
          </w:rPr>
          <w:t>формуле (8.29)</w:t>
        </w:r>
      </w:hyperlink>
      <w:r>
        <w:t xml:space="preserve">, в которой следует принимать: </w:t>
      </w:r>
      <w:r>
        <w:rPr>
          <w:noProof/>
          <w:position w:val="-8"/>
        </w:rPr>
        <w:drawing>
          <wp:inline distT="0" distB="0" distL="0" distR="0">
            <wp:extent cx="621030" cy="251460"/>
            <wp:effectExtent l="0" t="0" r="0" b="0"/>
            <wp:docPr id="1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8" cstate="print">
                      <a:extLst>
                        <a:ext uri="{28A0092B-C50C-407E-A947-70E740481C1C}">
                          <a14:useLocalDpi xmlns:a14="http://schemas.microsoft.com/office/drawing/2010/main" val="0"/>
                        </a:ext>
                      </a:extLst>
                    </a:blip>
                    <a:srcRect/>
                    <a:stretch>
                      <a:fillRect/>
                    </a:stretch>
                  </pic:blipFill>
                  <pic:spPr bwMode="auto">
                    <a:xfrm>
                      <a:off x="0" y="0"/>
                      <a:ext cx="621030" cy="251460"/>
                    </a:xfrm>
                    <a:prstGeom prst="rect">
                      <a:avLst/>
                    </a:prstGeom>
                    <a:noFill/>
                    <a:ln>
                      <a:noFill/>
                    </a:ln>
                  </pic:spPr>
                </pic:pic>
              </a:graphicData>
            </a:graphic>
          </wp:inline>
        </w:drawing>
      </w:r>
      <w:r>
        <w:t xml:space="preserve"> и </w:t>
      </w:r>
      <w:r>
        <w:rPr>
          <w:noProof/>
          <w:position w:val="-9"/>
        </w:rPr>
        <w:drawing>
          <wp:inline distT="0" distB="0" distL="0" distR="0">
            <wp:extent cx="628650" cy="262890"/>
            <wp:effectExtent l="0" t="0" r="0" b="0"/>
            <wp:docPr id="1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9" cstate="print">
                      <a:extLst>
                        <a:ext uri="{28A0092B-C50C-407E-A947-70E740481C1C}">
                          <a14:useLocalDpi xmlns:a14="http://schemas.microsoft.com/office/drawing/2010/main" val="0"/>
                        </a:ext>
                      </a:extLst>
                    </a:blip>
                    <a:srcRect/>
                    <a:stretch>
                      <a:fillRect/>
                    </a:stretch>
                  </pic:blipFill>
                  <pic:spPr bwMode="auto">
                    <a:xfrm>
                      <a:off x="0" y="0"/>
                      <a:ext cx="628650" cy="262890"/>
                    </a:xfrm>
                    <a:prstGeom prst="rect">
                      <a:avLst/>
                    </a:prstGeom>
                    <a:noFill/>
                    <a:ln>
                      <a:noFill/>
                    </a:ln>
                  </pic:spPr>
                </pic:pic>
              </a:graphicData>
            </a:graphic>
          </wp:inline>
        </w:drawing>
      </w:r>
      <w:r>
        <w:t xml:space="preserve"> - нормальные напряжения в сварном соединении по двум взаимно перпендикулярным направлениям; </w:t>
      </w:r>
      <w:r>
        <w:rPr>
          <w:noProof/>
          <w:position w:val="-9"/>
        </w:rPr>
        <w:drawing>
          <wp:inline distT="0" distB="0" distL="0" distR="0">
            <wp:extent cx="648970" cy="262890"/>
            <wp:effectExtent l="0" t="0" r="0" b="0"/>
            <wp:docPr id="1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0" cstate="print">
                      <a:extLst>
                        <a:ext uri="{28A0092B-C50C-407E-A947-70E740481C1C}">
                          <a14:useLocalDpi xmlns:a14="http://schemas.microsoft.com/office/drawing/2010/main" val="0"/>
                        </a:ext>
                      </a:extLst>
                    </a:blip>
                    <a:srcRect/>
                    <a:stretch>
                      <a:fillRect/>
                    </a:stretch>
                  </pic:blipFill>
                  <pic:spPr bwMode="auto">
                    <a:xfrm>
                      <a:off x="0" y="0"/>
                      <a:ext cx="648970" cy="262890"/>
                    </a:xfrm>
                    <a:prstGeom prst="rect">
                      <a:avLst/>
                    </a:prstGeom>
                    <a:noFill/>
                    <a:ln>
                      <a:noFill/>
                    </a:ln>
                  </pic:spPr>
                </pic:pic>
              </a:graphicData>
            </a:graphic>
          </wp:inline>
        </w:drawing>
      </w:r>
      <w:r>
        <w:t xml:space="preserve"> - касательное напряжение в сварном соединении; </w:t>
      </w:r>
      <w:r>
        <w:rPr>
          <w:noProof/>
          <w:position w:val="-9"/>
        </w:rPr>
        <w:drawing>
          <wp:inline distT="0" distB="0" distL="0" distR="0">
            <wp:extent cx="621030" cy="262890"/>
            <wp:effectExtent l="0" t="0" r="0" b="0"/>
            <wp:docPr id="1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1" cstate="print">
                      <a:extLst>
                        <a:ext uri="{28A0092B-C50C-407E-A947-70E740481C1C}">
                          <a14:useLocalDpi xmlns:a14="http://schemas.microsoft.com/office/drawing/2010/main" val="0"/>
                        </a:ext>
                      </a:extLst>
                    </a:blip>
                    <a:srcRect/>
                    <a:stretch>
                      <a:fillRect/>
                    </a:stretch>
                  </pic:blipFill>
                  <pic:spPr bwMode="auto">
                    <a:xfrm>
                      <a:off x="0" y="0"/>
                      <a:ext cx="621030" cy="262890"/>
                    </a:xfrm>
                    <a:prstGeom prst="rect">
                      <a:avLst/>
                    </a:prstGeom>
                    <a:noFill/>
                    <a:ln>
                      <a:noFill/>
                    </a:ln>
                  </pic:spPr>
                </pic:pic>
              </a:graphicData>
            </a:graphic>
          </wp:inline>
        </w:drawing>
      </w:r>
      <w:r>
        <w:t>.</w:t>
      </w:r>
    </w:p>
    <w:p w:rsidR="00212513" w:rsidRDefault="00212513">
      <w:pPr>
        <w:pStyle w:val="ConsPlusNormal"/>
        <w:spacing w:before="220"/>
        <w:ind w:firstLine="540"/>
        <w:jc w:val="both"/>
      </w:pPr>
      <w:r>
        <w:t>8.90 При расчете по прочности сварных соединений с угловыми швами при одновременном действии продольной и поперечной сил и момента должны быть выполнены условия:</w:t>
      </w:r>
    </w:p>
    <w:p w:rsidR="00212513" w:rsidRDefault="00212513">
      <w:pPr>
        <w:pStyle w:val="ConsPlusNormal"/>
        <w:ind w:firstLine="540"/>
        <w:jc w:val="both"/>
      </w:pPr>
    </w:p>
    <w:p w:rsidR="00212513" w:rsidRDefault="00212513">
      <w:pPr>
        <w:pStyle w:val="ConsPlusNormal"/>
        <w:jc w:val="center"/>
      </w:pPr>
      <w:r>
        <w:rPr>
          <w:noProof/>
          <w:position w:val="-9"/>
        </w:rPr>
        <w:drawing>
          <wp:inline distT="0" distB="0" distL="0" distR="0">
            <wp:extent cx="733425" cy="262890"/>
            <wp:effectExtent l="0" t="0" r="0" b="0"/>
            <wp:docPr id="1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2" cstate="print">
                      <a:extLst>
                        <a:ext uri="{28A0092B-C50C-407E-A947-70E740481C1C}">
                          <a14:useLocalDpi xmlns:a14="http://schemas.microsoft.com/office/drawing/2010/main" val="0"/>
                        </a:ext>
                      </a:extLst>
                    </a:blip>
                    <a:srcRect/>
                    <a:stretch>
                      <a:fillRect/>
                    </a:stretch>
                  </pic:blipFill>
                  <pic:spPr bwMode="auto">
                    <a:xfrm>
                      <a:off x="0" y="0"/>
                      <a:ext cx="733425" cy="262890"/>
                    </a:xfrm>
                    <a:prstGeom prst="rect">
                      <a:avLst/>
                    </a:prstGeom>
                    <a:noFill/>
                    <a:ln>
                      <a:noFill/>
                    </a:ln>
                  </pic:spPr>
                </pic:pic>
              </a:graphicData>
            </a:graphic>
          </wp:inline>
        </w:drawing>
      </w:r>
      <w:r>
        <w:t>; (8.91)</w:t>
      </w:r>
    </w:p>
    <w:p w:rsidR="00212513" w:rsidRDefault="00212513">
      <w:pPr>
        <w:pStyle w:val="ConsPlusNormal"/>
        <w:jc w:val="center"/>
      </w:pPr>
    </w:p>
    <w:p w:rsidR="00212513" w:rsidRDefault="00212513">
      <w:pPr>
        <w:pStyle w:val="ConsPlusNormal"/>
        <w:jc w:val="center"/>
      </w:pPr>
      <w:r>
        <w:rPr>
          <w:noProof/>
          <w:position w:val="-8"/>
        </w:rPr>
        <w:drawing>
          <wp:inline distT="0" distB="0" distL="0" distR="0">
            <wp:extent cx="704850" cy="251460"/>
            <wp:effectExtent l="0" t="0" r="0" b="0"/>
            <wp:docPr id="1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3" cstate="print">
                      <a:extLst>
                        <a:ext uri="{28A0092B-C50C-407E-A947-70E740481C1C}">
                          <a14:useLocalDpi xmlns:a14="http://schemas.microsoft.com/office/drawing/2010/main" val="0"/>
                        </a:ext>
                      </a:extLst>
                    </a:blip>
                    <a:srcRect/>
                    <a:stretch>
                      <a:fillRect/>
                    </a:stretch>
                  </pic:blipFill>
                  <pic:spPr bwMode="auto">
                    <a:xfrm>
                      <a:off x="0" y="0"/>
                      <a:ext cx="704850" cy="251460"/>
                    </a:xfrm>
                    <a:prstGeom prst="rect">
                      <a:avLst/>
                    </a:prstGeom>
                    <a:noFill/>
                    <a:ln>
                      <a:noFill/>
                    </a:ln>
                  </pic:spPr>
                </pic:pic>
              </a:graphicData>
            </a:graphic>
          </wp:inline>
        </w:drawing>
      </w:r>
      <w:r>
        <w:t>, (8.92)</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9"/>
        </w:rPr>
        <w:drawing>
          <wp:inline distT="0" distB="0" distL="0" distR="0">
            <wp:extent cx="198755" cy="262890"/>
            <wp:effectExtent l="0" t="0" r="0" b="0"/>
            <wp:docPr id="1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4"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w:t>
      </w:r>
      <w:r>
        <w:rPr>
          <w:noProof/>
          <w:position w:val="-8"/>
        </w:rPr>
        <w:drawing>
          <wp:inline distT="0" distB="0" distL="0" distR="0">
            <wp:extent cx="167640" cy="251460"/>
            <wp:effectExtent l="0" t="0" r="0" b="0"/>
            <wp:docPr id="1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5"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напряжения в расчетном сечении соответственно по металлу шва и по металлу границы сплавления, равные геометрическим суммам напряжений, вызываемых продольной и поперечной силами и моментом.</w:t>
      </w:r>
    </w:p>
    <w:p w:rsidR="00212513" w:rsidRDefault="00212513">
      <w:pPr>
        <w:pStyle w:val="ConsPlusNormal"/>
        <w:spacing w:before="220"/>
        <w:ind w:firstLine="540"/>
        <w:jc w:val="both"/>
      </w:pPr>
      <w:r>
        <w:t>8.91 Расчет по прочности сварных соединений угловыми швами прикрепления листов пояса между собой и к стенке изгибаемых балок следует выполнять по формулам:</w:t>
      </w:r>
    </w:p>
    <w:p w:rsidR="00212513" w:rsidRDefault="00212513">
      <w:pPr>
        <w:pStyle w:val="ConsPlusNormal"/>
        <w:spacing w:before="220"/>
        <w:ind w:firstLine="540"/>
        <w:jc w:val="both"/>
      </w:pPr>
      <w:r>
        <w:t>при отсутствии местного давления:</w:t>
      </w:r>
    </w:p>
    <w:p w:rsidR="00212513" w:rsidRDefault="00212513">
      <w:pPr>
        <w:pStyle w:val="ConsPlusNormal"/>
        <w:spacing w:before="220"/>
        <w:ind w:firstLine="540"/>
        <w:jc w:val="both"/>
      </w:pPr>
      <w:r>
        <w:t>по металлу шва</w:t>
      </w:r>
    </w:p>
    <w:p w:rsidR="00212513" w:rsidRDefault="00212513">
      <w:pPr>
        <w:pStyle w:val="ConsPlusNormal"/>
        <w:ind w:firstLine="540"/>
        <w:jc w:val="both"/>
      </w:pPr>
    </w:p>
    <w:p w:rsidR="00212513" w:rsidRDefault="00212513">
      <w:pPr>
        <w:pStyle w:val="ConsPlusNormal"/>
        <w:jc w:val="center"/>
      </w:pPr>
      <w:r>
        <w:rPr>
          <w:noProof/>
          <w:position w:val="-27"/>
        </w:rPr>
        <w:drawing>
          <wp:inline distT="0" distB="0" distL="0" distR="0">
            <wp:extent cx="1130935" cy="483870"/>
            <wp:effectExtent l="0" t="0" r="0" b="0"/>
            <wp:docPr id="1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6" cstate="print">
                      <a:extLst>
                        <a:ext uri="{28A0092B-C50C-407E-A947-70E740481C1C}">
                          <a14:useLocalDpi xmlns:a14="http://schemas.microsoft.com/office/drawing/2010/main" val="0"/>
                        </a:ext>
                      </a:extLst>
                    </a:blip>
                    <a:srcRect/>
                    <a:stretch>
                      <a:fillRect/>
                    </a:stretch>
                  </pic:blipFill>
                  <pic:spPr bwMode="auto">
                    <a:xfrm>
                      <a:off x="0" y="0"/>
                      <a:ext cx="1130935" cy="483870"/>
                    </a:xfrm>
                    <a:prstGeom prst="rect">
                      <a:avLst/>
                    </a:prstGeom>
                    <a:noFill/>
                    <a:ln>
                      <a:noFill/>
                    </a:ln>
                  </pic:spPr>
                </pic:pic>
              </a:graphicData>
            </a:graphic>
          </wp:inline>
        </w:drawing>
      </w:r>
      <w:r>
        <w:t>; (8.93)</w:t>
      </w:r>
    </w:p>
    <w:p w:rsidR="00212513" w:rsidRDefault="00212513">
      <w:pPr>
        <w:pStyle w:val="ConsPlusNormal"/>
        <w:ind w:firstLine="540"/>
        <w:jc w:val="both"/>
      </w:pPr>
    </w:p>
    <w:p w:rsidR="00212513" w:rsidRDefault="00212513">
      <w:pPr>
        <w:pStyle w:val="ConsPlusNormal"/>
        <w:ind w:firstLine="540"/>
        <w:jc w:val="both"/>
      </w:pPr>
      <w:r>
        <w:t>по металлу границы сплавления</w:t>
      </w:r>
    </w:p>
    <w:p w:rsidR="00212513" w:rsidRDefault="00212513">
      <w:pPr>
        <w:pStyle w:val="ConsPlusNormal"/>
        <w:ind w:firstLine="540"/>
        <w:jc w:val="both"/>
      </w:pPr>
    </w:p>
    <w:p w:rsidR="00212513" w:rsidRDefault="00212513">
      <w:pPr>
        <w:pStyle w:val="ConsPlusNormal"/>
        <w:jc w:val="center"/>
      </w:pPr>
      <w:r>
        <w:rPr>
          <w:noProof/>
          <w:position w:val="-26"/>
        </w:rPr>
        <w:lastRenderedPageBreak/>
        <w:drawing>
          <wp:inline distT="0" distB="0" distL="0" distR="0">
            <wp:extent cx="1113790" cy="470535"/>
            <wp:effectExtent l="0" t="0" r="0" b="0"/>
            <wp:docPr id="1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7" cstate="print">
                      <a:extLst>
                        <a:ext uri="{28A0092B-C50C-407E-A947-70E740481C1C}">
                          <a14:useLocalDpi xmlns:a14="http://schemas.microsoft.com/office/drawing/2010/main" val="0"/>
                        </a:ext>
                      </a:extLst>
                    </a:blip>
                    <a:srcRect/>
                    <a:stretch>
                      <a:fillRect/>
                    </a:stretch>
                  </pic:blipFill>
                  <pic:spPr bwMode="auto">
                    <a:xfrm>
                      <a:off x="0" y="0"/>
                      <a:ext cx="1113790" cy="470535"/>
                    </a:xfrm>
                    <a:prstGeom prst="rect">
                      <a:avLst/>
                    </a:prstGeom>
                    <a:noFill/>
                    <a:ln>
                      <a:noFill/>
                    </a:ln>
                  </pic:spPr>
                </pic:pic>
              </a:graphicData>
            </a:graphic>
          </wp:inline>
        </w:drawing>
      </w:r>
      <w:r>
        <w:t>, (8.94)</w:t>
      </w:r>
    </w:p>
    <w:p w:rsidR="00212513" w:rsidRDefault="00212513">
      <w:pPr>
        <w:pStyle w:val="ConsPlusNormal"/>
        <w:ind w:firstLine="540"/>
        <w:jc w:val="both"/>
      </w:pPr>
    </w:p>
    <w:p w:rsidR="00212513" w:rsidRDefault="00212513">
      <w:pPr>
        <w:pStyle w:val="ConsPlusNormal"/>
        <w:ind w:firstLine="540"/>
        <w:jc w:val="both"/>
      </w:pPr>
      <w:r>
        <w:t xml:space="preserve">где </w:t>
      </w:r>
      <w:r>
        <w:rPr>
          <w:i/>
        </w:rPr>
        <w:t>n</w:t>
      </w:r>
      <w:r>
        <w:t xml:space="preserve"> - число угловых швов;</w:t>
      </w:r>
    </w:p>
    <w:p w:rsidR="00212513" w:rsidRDefault="00212513">
      <w:pPr>
        <w:pStyle w:val="ConsPlusNormal"/>
        <w:spacing w:before="220"/>
        <w:ind w:firstLine="540"/>
        <w:jc w:val="both"/>
      </w:pPr>
      <w:r>
        <w:t>при воздействии на пояс местного давления:</w:t>
      </w:r>
    </w:p>
    <w:p w:rsidR="00212513" w:rsidRDefault="00212513">
      <w:pPr>
        <w:pStyle w:val="ConsPlusNormal"/>
        <w:spacing w:before="220"/>
        <w:ind w:firstLine="540"/>
        <w:jc w:val="both"/>
      </w:pPr>
      <w:r>
        <w:t>по металлу шва</w:t>
      </w:r>
    </w:p>
    <w:p w:rsidR="00212513" w:rsidRDefault="00212513">
      <w:pPr>
        <w:pStyle w:val="ConsPlusNormal"/>
        <w:ind w:firstLine="540"/>
        <w:jc w:val="both"/>
      </w:pPr>
    </w:p>
    <w:p w:rsidR="00212513" w:rsidRDefault="00212513">
      <w:pPr>
        <w:pStyle w:val="ConsPlusNormal"/>
        <w:jc w:val="center"/>
      </w:pPr>
      <w:r>
        <w:rPr>
          <w:noProof/>
          <w:position w:val="-33"/>
        </w:rPr>
        <w:drawing>
          <wp:inline distT="0" distB="0" distL="0" distR="0">
            <wp:extent cx="1997710" cy="567055"/>
            <wp:effectExtent l="0" t="0" r="0" b="0"/>
            <wp:docPr id="1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8" cstate="print">
                      <a:extLst>
                        <a:ext uri="{28A0092B-C50C-407E-A947-70E740481C1C}">
                          <a14:useLocalDpi xmlns:a14="http://schemas.microsoft.com/office/drawing/2010/main" val="0"/>
                        </a:ext>
                      </a:extLst>
                    </a:blip>
                    <a:srcRect/>
                    <a:stretch>
                      <a:fillRect/>
                    </a:stretch>
                  </pic:blipFill>
                  <pic:spPr bwMode="auto">
                    <a:xfrm>
                      <a:off x="0" y="0"/>
                      <a:ext cx="1997710" cy="567055"/>
                    </a:xfrm>
                    <a:prstGeom prst="rect">
                      <a:avLst/>
                    </a:prstGeom>
                    <a:noFill/>
                    <a:ln>
                      <a:noFill/>
                    </a:ln>
                  </pic:spPr>
                </pic:pic>
              </a:graphicData>
            </a:graphic>
          </wp:inline>
        </w:drawing>
      </w:r>
      <w:r>
        <w:t>; (8.95)</w:t>
      </w:r>
    </w:p>
    <w:p w:rsidR="00212513" w:rsidRDefault="00212513">
      <w:pPr>
        <w:pStyle w:val="ConsPlusNormal"/>
        <w:ind w:firstLine="540"/>
        <w:jc w:val="both"/>
      </w:pPr>
    </w:p>
    <w:p w:rsidR="00212513" w:rsidRDefault="00212513">
      <w:pPr>
        <w:pStyle w:val="ConsPlusNormal"/>
        <w:ind w:firstLine="540"/>
        <w:jc w:val="both"/>
      </w:pPr>
      <w:r>
        <w:t>по металлу границы сплавления</w:t>
      </w:r>
    </w:p>
    <w:p w:rsidR="00212513" w:rsidRDefault="00212513">
      <w:pPr>
        <w:pStyle w:val="ConsPlusNormal"/>
        <w:ind w:firstLine="540"/>
        <w:jc w:val="both"/>
      </w:pPr>
    </w:p>
    <w:p w:rsidR="00212513" w:rsidRDefault="00212513">
      <w:pPr>
        <w:pStyle w:val="ConsPlusNormal"/>
        <w:jc w:val="center"/>
      </w:pPr>
      <w:bookmarkStart w:id="372" w:name="P8657"/>
      <w:bookmarkEnd w:id="372"/>
      <w:r>
        <w:rPr>
          <w:noProof/>
          <w:position w:val="-32"/>
        </w:rPr>
        <w:drawing>
          <wp:inline distT="0" distB="0" distL="0" distR="0">
            <wp:extent cx="1969770" cy="553085"/>
            <wp:effectExtent l="0" t="0" r="0" b="0"/>
            <wp:docPr id="1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9" cstate="print">
                      <a:extLst>
                        <a:ext uri="{28A0092B-C50C-407E-A947-70E740481C1C}">
                          <a14:useLocalDpi xmlns:a14="http://schemas.microsoft.com/office/drawing/2010/main" val="0"/>
                        </a:ext>
                      </a:extLst>
                    </a:blip>
                    <a:srcRect/>
                    <a:stretch>
                      <a:fillRect/>
                    </a:stretch>
                  </pic:blipFill>
                  <pic:spPr bwMode="auto">
                    <a:xfrm>
                      <a:off x="0" y="0"/>
                      <a:ext cx="1969770" cy="553085"/>
                    </a:xfrm>
                    <a:prstGeom prst="rect">
                      <a:avLst/>
                    </a:prstGeom>
                    <a:noFill/>
                    <a:ln>
                      <a:noFill/>
                    </a:ln>
                  </pic:spPr>
                </pic:pic>
              </a:graphicData>
            </a:graphic>
          </wp:inline>
        </w:drawing>
      </w:r>
      <w:r>
        <w:t>, (8.96)</w:t>
      </w:r>
    </w:p>
    <w:p w:rsidR="00212513" w:rsidRDefault="00212513">
      <w:pPr>
        <w:pStyle w:val="ConsPlusNormal"/>
        <w:jc w:val="center"/>
      </w:pPr>
    </w:p>
    <w:p w:rsidR="00212513" w:rsidRDefault="00212513">
      <w:pPr>
        <w:pStyle w:val="ConsPlusNormal"/>
        <w:ind w:firstLine="540"/>
        <w:jc w:val="both"/>
      </w:pPr>
      <w:r>
        <w:t xml:space="preserve">где </w:t>
      </w:r>
      <w:r>
        <w:rPr>
          <w:i/>
        </w:rPr>
        <w:t>q</w:t>
      </w:r>
      <w:r>
        <w:t xml:space="preserve"> - давление от подвижной вертикальной нагрузки, определяемое по </w:t>
      </w:r>
      <w:hyperlink w:anchor="P1101">
        <w:r>
          <w:rPr>
            <w:color w:val="0000FF"/>
          </w:rPr>
          <w:t>6.11</w:t>
        </w:r>
      </w:hyperlink>
      <w:r>
        <w:t xml:space="preserve"> - </w:t>
      </w:r>
      <w:hyperlink w:anchor="P1186">
        <w:r>
          <w:rPr>
            <w:color w:val="0000FF"/>
          </w:rPr>
          <w:t>6.13</w:t>
        </w:r>
      </w:hyperlink>
      <w:r>
        <w:t xml:space="preserve"> и </w:t>
      </w:r>
      <w:hyperlink w:anchor="P13225">
        <w:r>
          <w:rPr>
            <w:color w:val="0000FF"/>
          </w:rPr>
          <w:t>приложению К</w:t>
        </w:r>
      </w:hyperlink>
      <w:r>
        <w:t>.</w:t>
      </w:r>
    </w:p>
    <w:p w:rsidR="00212513" w:rsidRDefault="00212513">
      <w:pPr>
        <w:pStyle w:val="ConsPlusNormal"/>
        <w:spacing w:before="220"/>
        <w:ind w:firstLine="540"/>
        <w:jc w:val="both"/>
      </w:pPr>
      <w:r>
        <w:t>8.92 Сварные швы, соединяющие отдельные листовые детали сечения составных сплошностенчатых сжатых элементов, следует рассчитывать на условную поперечную силу, принимаемую постоянной по всей длине элемента и определяемую по формуле</w:t>
      </w:r>
    </w:p>
    <w:p w:rsidR="00212513" w:rsidRDefault="00212513">
      <w:pPr>
        <w:pStyle w:val="ConsPlusNormal"/>
        <w:ind w:firstLine="540"/>
        <w:jc w:val="both"/>
      </w:pPr>
    </w:p>
    <w:p w:rsidR="00212513" w:rsidRDefault="00212513">
      <w:pPr>
        <w:pStyle w:val="ConsPlusNormal"/>
        <w:jc w:val="center"/>
      </w:pPr>
      <w:bookmarkStart w:id="373" w:name="P8662"/>
      <w:bookmarkEnd w:id="373"/>
      <w:r>
        <w:rPr>
          <w:noProof/>
          <w:position w:val="-23"/>
        </w:rPr>
        <w:drawing>
          <wp:inline distT="0" distB="0" distL="0" distR="0">
            <wp:extent cx="1566545" cy="441960"/>
            <wp:effectExtent l="0" t="0" r="0" b="0"/>
            <wp:docPr id="1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0" cstate="print">
                      <a:extLst>
                        <a:ext uri="{28A0092B-C50C-407E-A947-70E740481C1C}">
                          <a14:useLocalDpi xmlns:a14="http://schemas.microsoft.com/office/drawing/2010/main" val="0"/>
                        </a:ext>
                      </a:extLst>
                    </a:blip>
                    <a:srcRect/>
                    <a:stretch>
                      <a:fillRect/>
                    </a:stretch>
                  </pic:blipFill>
                  <pic:spPr bwMode="auto">
                    <a:xfrm>
                      <a:off x="0" y="0"/>
                      <a:ext cx="1566545" cy="441960"/>
                    </a:xfrm>
                    <a:prstGeom prst="rect">
                      <a:avLst/>
                    </a:prstGeom>
                    <a:noFill/>
                    <a:ln>
                      <a:noFill/>
                    </a:ln>
                  </pic:spPr>
                </pic:pic>
              </a:graphicData>
            </a:graphic>
          </wp:inline>
        </w:drawing>
      </w:r>
      <w:r>
        <w:t>, (8.97)</w:t>
      </w:r>
    </w:p>
    <w:p w:rsidR="00212513" w:rsidRDefault="00212513">
      <w:pPr>
        <w:pStyle w:val="ConsPlusNormal"/>
        <w:ind w:firstLine="540"/>
        <w:jc w:val="both"/>
      </w:pPr>
    </w:p>
    <w:p w:rsidR="00212513" w:rsidRDefault="00212513">
      <w:pPr>
        <w:pStyle w:val="ConsPlusNormal"/>
        <w:ind w:firstLine="540"/>
        <w:jc w:val="both"/>
      </w:pPr>
      <w:r>
        <w:t xml:space="preserve">где </w:t>
      </w:r>
      <w:r>
        <w:rPr>
          <w:i/>
        </w:rPr>
        <w:t>W</w:t>
      </w:r>
      <w:r>
        <w:t xml:space="preserve"> - момент сопротивления сечения элемента брутто в проверяемой плоскости (ослабление листовых деталей перфорациями допускается не учитывать);</w:t>
      </w:r>
    </w:p>
    <w:p w:rsidR="00212513" w:rsidRDefault="00212513">
      <w:pPr>
        <w:pStyle w:val="ConsPlusNormal"/>
        <w:spacing w:before="220"/>
        <w:ind w:firstLine="540"/>
        <w:jc w:val="both"/>
      </w:pPr>
      <w:r>
        <w:rPr>
          <w:i/>
        </w:rPr>
        <w:t>l</w:t>
      </w:r>
      <w:r>
        <w:t xml:space="preserve"> - длина составного элемента;</w:t>
      </w:r>
    </w:p>
    <w:p w:rsidR="00212513" w:rsidRDefault="00212513">
      <w:pPr>
        <w:pStyle w:val="ConsPlusNormal"/>
        <w:spacing w:before="220"/>
        <w:ind w:firstLine="540"/>
        <w:jc w:val="both"/>
      </w:pPr>
      <w:r>
        <w:rPr>
          <w:noProof/>
          <w:position w:val="-3"/>
        </w:rPr>
        <w:drawing>
          <wp:inline distT="0" distB="0" distL="0" distR="0">
            <wp:extent cx="156845" cy="177800"/>
            <wp:effectExtent l="0" t="0" r="0" b="0"/>
            <wp:docPr id="1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1" cstate="print">
                      <a:extLst>
                        <a:ext uri="{28A0092B-C50C-407E-A947-70E740481C1C}">
                          <a14:useLocalDpi xmlns:a14="http://schemas.microsoft.com/office/drawing/2010/main" val="0"/>
                        </a:ext>
                      </a:extLst>
                    </a:blip>
                    <a:srcRect/>
                    <a:stretch>
                      <a:fillRect/>
                    </a:stretch>
                  </pic:blipFill>
                  <pic:spPr bwMode="auto">
                    <a:xfrm>
                      <a:off x="0" y="0"/>
                      <a:ext cx="156845" cy="177800"/>
                    </a:xfrm>
                    <a:prstGeom prst="rect">
                      <a:avLst/>
                    </a:prstGeom>
                    <a:noFill/>
                    <a:ln>
                      <a:noFill/>
                    </a:ln>
                  </pic:spPr>
                </pic:pic>
              </a:graphicData>
            </a:graphic>
          </wp:inline>
        </w:drawing>
      </w:r>
      <w:r>
        <w:t xml:space="preserve"> - коэффициент продольного изгиба при расчете по устойчивости элемента в проверяемой плоскости.</w:t>
      </w:r>
    </w:p>
    <w:p w:rsidR="00212513" w:rsidRDefault="00212513">
      <w:pPr>
        <w:pStyle w:val="ConsPlusNormal"/>
        <w:spacing w:before="220"/>
        <w:ind w:firstLine="540"/>
        <w:jc w:val="both"/>
      </w:pPr>
      <w:r>
        <w:t xml:space="preserve">Те же сварные швы в сжато-изогнутых составных элементах следует рассчитывать на поперечную силу </w:t>
      </w:r>
      <w:r>
        <w:rPr>
          <w:noProof/>
          <w:position w:val="-8"/>
        </w:rPr>
        <w:drawing>
          <wp:inline distT="0" distB="0" distL="0" distR="0">
            <wp:extent cx="198755" cy="250825"/>
            <wp:effectExtent l="0" t="0" r="0" b="0"/>
            <wp:docPr id="1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2"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равную сумме поперечных сил - условной </w:t>
      </w:r>
      <w:r>
        <w:rPr>
          <w:noProof/>
          <w:position w:val="-9"/>
        </w:rPr>
        <w:drawing>
          <wp:inline distT="0" distB="0" distL="0" distR="0">
            <wp:extent cx="281940" cy="262890"/>
            <wp:effectExtent l="0" t="0" r="0" b="0"/>
            <wp:docPr id="1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3" cstate="print">
                      <a:extLst>
                        <a:ext uri="{28A0092B-C50C-407E-A947-70E740481C1C}">
                          <a14:useLocalDpi xmlns:a14="http://schemas.microsoft.com/office/drawing/2010/main" val="0"/>
                        </a:ext>
                      </a:extLst>
                    </a:blip>
                    <a:srcRect/>
                    <a:stretch>
                      <a:fillRect/>
                    </a:stretch>
                  </pic:blipFill>
                  <pic:spPr bwMode="auto">
                    <a:xfrm>
                      <a:off x="0" y="0"/>
                      <a:ext cx="281940" cy="262890"/>
                    </a:xfrm>
                    <a:prstGeom prst="rect">
                      <a:avLst/>
                    </a:prstGeom>
                    <a:noFill/>
                    <a:ln>
                      <a:noFill/>
                    </a:ln>
                  </pic:spPr>
                </pic:pic>
              </a:graphicData>
            </a:graphic>
          </wp:inline>
        </w:drawing>
      </w:r>
      <w:r>
        <w:t xml:space="preserve">, определяемой по </w:t>
      </w:r>
      <w:hyperlink w:anchor="P8662">
        <w:r>
          <w:rPr>
            <w:color w:val="0000FF"/>
          </w:rPr>
          <w:t>формуле (8.97)</w:t>
        </w:r>
      </w:hyperlink>
      <w:r>
        <w:t>, и фактической.</w:t>
      </w:r>
    </w:p>
    <w:p w:rsidR="00212513" w:rsidRDefault="00212513">
      <w:pPr>
        <w:pStyle w:val="ConsPlusNormal"/>
        <w:spacing w:before="220"/>
        <w:ind w:firstLine="540"/>
        <w:jc w:val="both"/>
      </w:pPr>
      <w:r>
        <w:t xml:space="preserve">Если в сечении составного элемента имеются две параллельно расположенные листовые детали и более, то прикрепление каждой из них следует рассчитывать на поперечную силу </w:t>
      </w:r>
      <w:r>
        <w:rPr>
          <w:noProof/>
          <w:position w:val="-8"/>
        </w:rPr>
        <w:drawing>
          <wp:inline distT="0" distB="0" distL="0" distR="0">
            <wp:extent cx="198755" cy="250825"/>
            <wp:effectExtent l="0" t="0" r="0" b="0"/>
            <wp:docPr id="1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4"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определяемую по формуле</w:t>
      </w:r>
    </w:p>
    <w:p w:rsidR="00212513" w:rsidRDefault="00212513">
      <w:pPr>
        <w:pStyle w:val="ConsPlusNormal"/>
        <w:ind w:firstLine="540"/>
        <w:jc w:val="both"/>
      </w:pPr>
    </w:p>
    <w:p w:rsidR="00212513" w:rsidRDefault="00212513">
      <w:pPr>
        <w:pStyle w:val="ConsPlusNormal"/>
        <w:jc w:val="center"/>
      </w:pPr>
      <w:r>
        <w:rPr>
          <w:noProof/>
          <w:position w:val="-43"/>
        </w:rPr>
        <w:drawing>
          <wp:inline distT="0" distB="0" distL="0" distR="0">
            <wp:extent cx="857250" cy="691515"/>
            <wp:effectExtent l="0" t="0" r="0" b="0"/>
            <wp:docPr id="1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5" cstate="print">
                      <a:extLst>
                        <a:ext uri="{28A0092B-C50C-407E-A947-70E740481C1C}">
                          <a14:useLocalDpi xmlns:a14="http://schemas.microsoft.com/office/drawing/2010/main" val="0"/>
                        </a:ext>
                      </a:extLst>
                    </a:blip>
                    <a:srcRect/>
                    <a:stretch>
                      <a:fillRect/>
                    </a:stretch>
                  </pic:blipFill>
                  <pic:spPr bwMode="auto">
                    <a:xfrm>
                      <a:off x="0" y="0"/>
                      <a:ext cx="857250" cy="691515"/>
                    </a:xfrm>
                    <a:prstGeom prst="rect">
                      <a:avLst/>
                    </a:prstGeom>
                    <a:noFill/>
                    <a:ln>
                      <a:noFill/>
                    </a:ln>
                  </pic:spPr>
                </pic:pic>
              </a:graphicData>
            </a:graphic>
          </wp:inline>
        </w:drawing>
      </w:r>
      <w:r>
        <w:t>, (8.98)</w:t>
      </w:r>
    </w:p>
    <w:p w:rsidR="00212513" w:rsidRDefault="00212513">
      <w:pPr>
        <w:pStyle w:val="ConsPlusNormal"/>
        <w:jc w:val="center"/>
      </w:pPr>
    </w:p>
    <w:p w:rsidR="00212513" w:rsidRDefault="00212513">
      <w:pPr>
        <w:pStyle w:val="ConsPlusNormal"/>
        <w:ind w:firstLine="540"/>
        <w:jc w:val="both"/>
      </w:pPr>
      <w:r>
        <w:t xml:space="preserve">где </w:t>
      </w:r>
      <w:r>
        <w:rPr>
          <w:noProof/>
          <w:position w:val="-8"/>
        </w:rPr>
        <w:drawing>
          <wp:inline distT="0" distB="0" distL="0" distR="0">
            <wp:extent cx="125730" cy="251460"/>
            <wp:effectExtent l="0" t="0" r="0" b="0"/>
            <wp:docPr id="1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6" cstate="print">
                      <a:extLst>
                        <a:ext uri="{28A0092B-C50C-407E-A947-70E740481C1C}">
                          <a14:useLocalDpi xmlns:a14="http://schemas.microsoft.com/office/drawing/2010/main" val="0"/>
                        </a:ext>
                      </a:extLst>
                    </a:blip>
                    <a:srcRect/>
                    <a:stretch>
                      <a:fillRect/>
                    </a:stretch>
                  </pic:blipFill>
                  <pic:spPr bwMode="auto">
                    <a:xfrm>
                      <a:off x="0" y="0"/>
                      <a:ext cx="125730" cy="251460"/>
                    </a:xfrm>
                    <a:prstGeom prst="rect">
                      <a:avLst/>
                    </a:prstGeom>
                    <a:noFill/>
                    <a:ln>
                      <a:noFill/>
                    </a:ln>
                  </pic:spPr>
                </pic:pic>
              </a:graphicData>
            </a:graphic>
          </wp:inline>
        </w:drawing>
      </w:r>
      <w:r>
        <w:t xml:space="preserve"> - толщина прикрепляемой листовой детали;</w:t>
      </w:r>
    </w:p>
    <w:p w:rsidR="00212513" w:rsidRDefault="00212513">
      <w:pPr>
        <w:pStyle w:val="ConsPlusNormal"/>
        <w:spacing w:before="220"/>
        <w:ind w:firstLine="540"/>
        <w:jc w:val="both"/>
      </w:pPr>
      <w:r>
        <w:rPr>
          <w:i/>
        </w:rPr>
        <w:lastRenderedPageBreak/>
        <w:t>n</w:t>
      </w:r>
      <w:r>
        <w:t xml:space="preserve"> - число параллельно расположенных листовых деталей.</w:t>
      </w:r>
    </w:p>
    <w:p w:rsidR="00212513" w:rsidRDefault="00212513">
      <w:pPr>
        <w:pStyle w:val="ConsPlusNormal"/>
        <w:spacing w:before="220"/>
        <w:ind w:firstLine="540"/>
        <w:jc w:val="both"/>
      </w:pPr>
      <w:r>
        <w:t xml:space="preserve">8.93 При прикреплении к узлам главных ферм составных сплошностенчатых элементов, отдельные части сечения которых непосредственно не прикрепляются к узловым фасонкам, сварные швы присоединения не прикрепляемой части сечения к прикрепляемой следует рассчитывать на передачу приходящегося на нее усилия, принимая при этом коэффициенты условий работы </w:t>
      </w:r>
      <w:r>
        <w:rPr>
          <w:i/>
        </w:rPr>
        <w:t>m</w:t>
      </w:r>
      <w:r>
        <w:t xml:space="preserve"> равными:</w:t>
      </w:r>
    </w:p>
    <w:p w:rsidR="00212513" w:rsidRDefault="00212513">
      <w:pPr>
        <w:pStyle w:val="ConsPlusNormal"/>
        <w:spacing w:before="220"/>
        <w:ind w:firstLine="540"/>
        <w:jc w:val="both"/>
      </w:pPr>
      <w:r>
        <w:rPr>
          <w:i/>
        </w:rPr>
        <w:t>m</w:t>
      </w:r>
      <w:r>
        <w:t xml:space="preserve"> = 0,8 - при отношении площади прикрепляемой части сечения </w:t>
      </w:r>
      <w:r>
        <w:rPr>
          <w:noProof/>
          <w:position w:val="-8"/>
        </w:rPr>
        <w:drawing>
          <wp:inline distT="0" distB="0" distL="0" distR="0">
            <wp:extent cx="198755" cy="250825"/>
            <wp:effectExtent l="0" t="0" r="0" b="0"/>
            <wp:docPr id="1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7"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ко всей площади сечения элемента </w:t>
      </w:r>
      <w:r>
        <w:rPr>
          <w:i/>
        </w:rPr>
        <w:t>A</w:t>
      </w:r>
      <w:r>
        <w:t xml:space="preserve"> до 0,6;</w:t>
      </w:r>
    </w:p>
    <w:p w:rsidR="00212513" w:rsidRDefault="00212513">
      <w:pPr>
        <w:pStyle w:val="ConsPlusNormal"/>
        <w:spacing w:before="220"/>
        <w:ind w:firstLine="540"/>
        <w:jc w:val="both"/>
      </w:pPr>
      <w:r>
        <w:rPr>
          <w:i/>
        </w:rPr>
        <w:t>m</w:t>
      </w:r>
      <w:r>
        <w:t xml:space="preserve"> = 0,9 - при отношении </w:t>
      </w:r>
      <w:r>
        <w:rPr>
          <w:noProof/>
          <w:position w:val="-8"/>
        </w:rPr>
        <w:drawing>
          <wp:inline distT="0" distB="0" distL="0" distR="0">
            <wp:extent cx="441960" cy="251460"/>
            <wp:effectExtent l="0" t="0" r="0" b="0"/>
            <wp:docPr id="1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8" cstate="print">
                      <a:extLst>
                        <a:ext uri="{28A0092B-C50C-407E-A947-70E740481C1C}">
                          <a14:useLocalDpi xmlns:a14="http://schemas.microsoft.com/office/drawing/2010/main" val="0"/>
                        </a:ext>
                      </a:extLst>
                    </a:blip>
                    <a:srcRect/>
                    <a:stretch>
                      <a:fillRect/>
                    </a:stretch>
                  </pic:blipFill>
                  <pic:spPr bwMode="auto">
                    <a:xfrm>
                      <a:off x="0" y="0"/>
                      <a:ext cx="441960" cy="251460"/>
                    </a:xfrm>
                    <a:prstGeom prst="rect">
                      <a:avLst/>
                    </a:prstGeom>
                    <a:noFill/>
                    <a:ln>
                      <a:noFill/>
                    </a:ln>
                  </pic:spPr>
                </pic:pic>
              </a:graphicData>
            </a:graphic>
          </wp:inline>
        </w:drawing>
      </w:r>
      <w:r>
        <w:t xml:space="preserve"> свыше 0,6 до 0,8;</w:t>
      </w:r>
    </w:p>
    <w:p w:rsidR="00212513" w:rsidRDefault="00212513">
      <w:pPr>
        <w:pStyle w:val="ConsPlusNormal"/>
        <w:spacing w:before="220"/>
        <w:ind w:firstLine="540"/>
        <w:jc w:val="both"/>
      </w:pPr>
      <w:r>
        <w:rPr>
          <w:i/>
        </w:rPr>
        <w:t>m</w:t>
      </w:r>
      <w:r>
        <w:t xml:space="preserve"> = 1,0 - при отношении </w:t>
      </w:r>
      <w:r>
        <w:rPr>
          <w:noProof/>
          <w:position w:val="-8"/>
        </w:rPr>
        <w:drawing>
          <wp:inline distT="0" distB="0" distL="0" distR="0">
            <wp:extent cx="441960" cy="251460"/>
            <wp:effectExtent l="0" t="0" r="0" b="0"/>
            <wp:docPr id="1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8" cstate="print">
                      <a:extLst>
                        <a:ext uri="{28A0092B-C50C-407E-A947-70E740481C1C}">
                          <a14:useLocalDpi xmlns:a14="http://schemas.microsoft.com/office/drawing/2010/main" val="0"/>
                        </a:ext>
                      </a:extLst>
                    </a:blip>
                    <a:srcRect/>
                    <a:stretch>
                      <a:fillRect/>
                    </a:stretch>
                  </pic:blipFill>
                  <pic:spPr bwMode="auto">
                    <a:xfrm>
                      <a:off x="0" y="0"/>
                      <a:ext cx="441960" cy="251460"/>
                    </a:xfrm>
                    <a:prstGeom prst="rect">
                      <a:avLst/>
                    </a:prstGeom>
                    <a:noFill/>
                    <a:ln>
                      <a:noFill/>
                    </a:ln>
                  </pic:spPr>
                </pic:pic>
              </a:graphicData>
            </a:graphic>
          </wp:inline>
        </w:drawing>
      </w:r>
      <w:r>
        <w:t xml:space="preserve"> свыше 0,8.</w:t>
      </w:r>
    </w:p>
    <w:p w:rsidR="00212513" w:rsidRDefault="00212513">
      <w:pPr>
        <w:pStyle w:val="ConsPlusNormal"/>
        <w:spacing w:before="220"/>
        <w:ind w:firstLine="540"/>
        <w:jc w:val="both"/>
      </w:pPr>
      <w:r>
        <w:t>Расчетную длину сварного шва при этом следует принимать равной длине перекрытия элемента узловой фасонкой фермы.</w:t>
      </w:r>
    </w:p>
    <w:p w:rsidR="00212513" w:rsidRDefault="00212513">
      <w:pPr>
        <w:pStyle w:val="ConsPlusNormal"/>
        <w:spacing w:before="220"/>
        <w:ind w:firstLine="540"/>
        <w:jc w:val="both"/>
      </w:pPr>
      <w:bookmarkStart w:id="374" w:name="P8679"/>
      <w:bookmarkEnd w:id="374"/>
      <w:r>
        <w:t xml:space="preserve">8.94 В соединениях на цилиндрических болтах класса точности A и на конических высокопрочных болтах расчетное усилие </w:t>
      </w:r>
      <w:r>
        <w:rPr>
          <w:noProof/>
          <w:position w:val="-8"/>
        </w:rPr>
        <w:drawing>
          <wp:inline distT="0" distB="0" distL="0" distR="0">
            <wp:extent cx="254000" cy="251460"/>
            <wp:effectExtent l="0" t="0" r="0" b="0"/>
            <wp:docPr id="1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9" cstate="print">
                      <a:extLst>
                        <a:ext uri="{28A0092B-C50C-407E-A947-70E740481C1C}">
                          <a14:useLocalDpi xmlns:a14="http://schemas.microsoft.com/office/drawing/2010/main" val="0"/>
                        </a:ext>
                      </a:extLst>
                    </a:blip>
                    <a:srcRect/>
                    <a:stretch>
                      <a:fillRect/>
                    </a:stretch>
                  </pic:blipFill>
                  <pic:spPr bwMode="auto">
                    <a:xfrm>
                      <a:off x="0" y="0"/>
                      <a:ext cx="254000" cy="251460"/>
                    </a:xfrm>
                    <a:prstGeom prst="rect">
                      <a:avLst/>
                    </a:prstGeom>
                    <a:noFill/>
                    <a:ln>
                      <a:noFill/>
                    </a:ln>
                  </pic:spPr>
                </pic:pic>
              </a:graphicData>
            </a:graphic>
          </wp:inline>
        </w:drawing>
      </w:r>
      <w:r>
        <w:t>, которое может быть воспринято одним болтом в многоболтовом соединении, следует определять по формулам:</w:t>
      </w:r>
    </w:p>
    <w:p w:rsidR="00212513" w:rsidRDefault="00212513">
      <w:pPr>
        <w:pStyle w:val="ConsPlusNormal"/>
        <w:spacing w:before="220"/>
        <w:ind w:firstLine="540"/>
        <w:jc w:val="both"/>
      </w:pPr>
      <w:r>
        <w:t>на срез болта</w:t>
      </w:r>
    </w:p>
    <w:p w:rsidR="00212513" w:rsidRDefault="00212513">
      <w:pPr>
        <w:pStyle w:val="ConsPlusNormal"/>
        <w:ind w:firstLine="540"/>
        <w:jc w:val="both"/>
      </w:pPr>
    </w:p>
    <w:p w:rsidR="00212513" w:rsidRDefault="00212513">
      <w:pPr>
        <w:pStyle w:val="ConsPlusNormal"/>
        <w:jc w:val="center"/>
      </w:pPr>
      <w:bookmarkStart w:id="375" w:name="P8682"/>
      <w:bookmarkEnd w:id="375"/>
      <w:r>
        <w:rPr>
          <w:noProof/>
          <w:position w:val="-8"/>
        </w:rPr>
        <w:drawing>
          <wp:inline distT="0" distB="0" distL="0" distR="0">
            <wp:extent cx="1241425" cy="251460"/>
            <wp:effectExtent l="0" t="0" r="0" b="0"/>
            <wp:docPr id="1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0" cstate="print">
                      <a:extLst>
                        <a:ext uri="{28A0092B-C50C-407E-A947-70E740481C1C}">
                          <a14:useLocalDpi xmlns:a14="http://schemas.microsoft.com/office/drawing/2010/main" val="0"/>
                        </a:ext>
                      </a:extLst>
                    </a:blip>
                    <a:srcRect/>
                    <a:stretch>
                      <a:fillRect/>
                    </a:stretch>
                  </pic:blipFill>
                  <pic:spPr bwMode="auto">
                    <a:xfrm>
                      <a:off x="0" y="0"/>
                      <a:ext cx="1241425" cy="251460"/>
                    </a:xfrm>
                    <a:prstGeom prst="rect">
                      <a:avLst/>
                    </a:prstGeom>
                    <a:noFill/>
                    <a:ln>
                      <a:noFill/>
                    </a:ln>
                  </pic:spPr>
                </pic:pic>
              </a:graphicData>
            </a:graphic>
          </wp:inline>
        </w:drawing>
      </w:r>
      <w:r>
        <w:t>; (8.99)</w:t>
      </w:r>
    </w:p>
    <w:p w:rsidR="00212513" w:rsidRDefault="00212513">
      <w:pPr>
        <w:pStyle w:val="ConsPlusNormal"/>
        <w:ind w:firstLine="540"/>
        <w:jc w:val="both"/>
      </w:pPr>
    </w:p>
    <w:p w:rsidR="00212513" w:rsidRDefault="00212513">
      <w:pPr>
        <w:pStyle w:val="ConsPlusNormal"/>
        <w:ind w:firstLine="540"/>
        <w:jc w:val="both"/>
      </w:pPr>
      <w:r>
        <w:t>на смятие соединяемых элементов</w:t>
      </w:r>
    </w:p>
    <w:p w:rsidR="00212513" w:rsidRDefault="00212513">
      <w:pPr>
        <w:pStyle w:val="ConsPlusNormal"/>
        <w:ind w:firstLine="540"/>
        <w:jc w:val="both"/>
      </w:pPr>
    </w:p>
    <w:p w:rsidR="00212513" w:rsidRDefault="00212513">
      <w:pPr>
        <w:pStyle w:val="ConsPlusNormal"/>
        <w:jc w:val="center"/>
      </w:pPr>
      <w:bookmarkStart w:id="376" w:name="P8686"/>
      <w:bookmarkEnd w:id="376"/>
      <w:r>
        <w:rPr>
          <w:noProof/>
          <w:position w:val="-11"/>
        </w:rPr>
        <w:drawing>
          <wp:inline distT="0" distB="0" distL="0" distR="0">
            <wp:extent cx="1283970" cy="281940"/>
            <wp:effectExtent l="0" t="0" r="0" b="0"/>
            <wp:docPr id="1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1" cstate="print">
                      <a:extLst>
                        <a:ext uri="{28A0092B-C50C-407E-A947-70E740481C1C}">
                          <a14:useLocalDpi xmlns:a14="http://schemas.microsoft.com/office/drawing/2010/main" val="0"/>
                        </a:ext>
                      </a:extLst>
                    </a:blip>
                    <a:srcRect/>
                    <a:stretch>
                      <a:fillRect/>
                    </a:stretch>
                  </pic:blipFill>
                  <pic:spPr bwMode="auto">
                    <a:xfrm>
                      <a:off x="0" y="0"/>
                      <a:ext cx="1283970" cy="281940"/>
                    </a:xfrm>
                    <a:prstGeom prst="rect">
                      <a:avLst/>
                    </a:prstGeom>
                    <a:noFill/>
                    <a:ln>
                      <a:noFill/>
                    </a:ln>
                  </pic:spPr>
                </pic:pic>
              </a:graphicData>
            </a:graphic>
          </wp:inline>
        </w:drawing>
      </w:r>
      <w:r>
        <w:t>; (8.100)</w:t>
      </w:r>
    </w:p>
    <w:p w:rsidR="00212513" w:rsidRDefault="00212513">
      <w:pPr>
        <w:pStyle w:val="ConsPlusNormal"/>
        <w:jc w:val="center"/>
      </w:pPr>
    </w:p>
    <w:p w:rsidR="00212513" w:rsidRDefault="00212513">
      <w:pPr>
        <w:pStyle w:val="ConsPlusNormal"/>
        <w:ind w:firstLine="540"/>
        <w:jc w:val="both"/>
      </w:pPr>
      <w:r>
        <w:t>на растяжение</w:t>
      </w:r>
    </w:p>
    <w:p w:rsidR="00212513" w:rsidRDefault="00212513">
      <w:pPr>
        <w:pStyle w:val="ConsPlusNormal"/>
        <w:ind w:firstLine="540"/>
        <w:jc w:val="both"/>
      </w:pPr>
    </w:p>
    <w:p w:rsidR="00212513" w:rsidRDefault="00212513">
      <w:pPr>
        <w:pStyle w:val="ConsPlusNormal"/>
        <w:jc w:val="center"/>
      </w:pPr>
      <w:r>
        <w:rPr>
          <w:noProof/>
          <w:position w:val="-8"/>
        </w:rPr>
        <w:drawing>
          <wp:inline distT="0" distB="0" distL="0" distR="0">
            <wp:extent cx="1113790" cy="251460"/>
            <wp:effectExtent l="0" t="0" r="0" b="0"/>
            <wp:docPr id="1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2" cstate="print">
                      <a:extLst>
                        <a:ext uri="{28A0092B-C50C-407E-A947-70E740481C1C}">
                          <a14:useLocalDpi xmlns:a14="http://schemas.microsoft.com/office/drawing/2010/main" val="0"/>
                        </a:ext>
                      </a:extLst>
                    </a:blip>
                    <a:srcRect/>
                    <a:stretch>
                      <a:fillRect/>
                    </a:stretch>
                  </pic:blipFill>
                  <pic:spPr bwMode="auto">
                    <a:xfrm>
                      <a:off x="0" y="0"/>
                      <a:ext cx="1113790" cy="251460"/>
                    </a:xfrm>
                    <a:prstGeom prst="rect">
                      <a:avLst/>
                    </a:prstGeom>
                    <a:noFill/>
                    <a:ln>
                      <a:noFill/>
                    </a:ln>
                  </pic:spPr>
                </pic:pic>
              </a:graphicData>
            </a:graphic>
          </wp:inline>
        </w:drawing>
      </w:r>
      <w:r>
        <w:t>, (8.101)</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8"/>
        </w:rPr>
        <w:drawing>
          <wp:inline distT="0" distB="0" distL="0" distR="0">
            <wp:extent cx="254000" cy="251460"/>
            <wp:effectExtent l="0" t="0" r="0" b="0"/>
            <wp:docPr id="1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3" cstate="print">
                      <a:extLst>
                        <a:ext uri="{28A0092B-C50C-407E-A947-70E740481C1C}">
                          <a14:useLocalDpi xmlns:a14="http://schemas.microsoft.com/office/drawing/2010/main" val="0"/>
                        </a:ext>
                      </a:extLst>
                    </a:blip>
                    <a:srcRect/>
                    <a:stretch>
                      <a:fillRect/>
                    </a:stretch>
                  </pic:blipFill>
                  <pic:spPr bwMode="auto">
                    <a:xfrm>
                      <a:off x="0" y="0"/>
                      <a:ext cx="254000" cy="251460"/>
                    </a:xfrm>
                    <a:prstGeom prst="rect">
                      <a:avLst/>
                    </a:prstGeom>
                    <a:noFill/>
                    <a:ln>
                      <a:noFill/>
                    </a:ln>
                  </pic:spPr>
                </pic:pic>
              </a:graphicData>
            </a:graphic>
          </wp:inline>
        </w:drawing>
      </w:r>
      <w:r>
        <w:t xml:space="preserve">, </w:t>
      </w:r>
      <w:r>
        <w:rPr>
          <w:noProof/>
          <w:position w:val="-9"/>
        </w:rPr>
        <w:drawing>
          <wp:inline distT="0" distB="0" distL="0" distR="0">
            <wp:extent cx="251460" cy="262890"/>
            <wp:effectExtent l="0" t="0" r="0" b="0"/>
            <wp:docPr id="1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4"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w:t>
      </w:r>
      <w:r>
        <w:rPr>
          <w:noProof/>
          <w:position w:val="-8"/>
        </w:rPr>
        <w:drawing>
          <wp:inline distT="0" distB="0" distL="0" distR="0">
            <wp:extent cx="254000" cy="251460"/>
            <wp:effectExtent l="0" t="0" r="0" b="0"/>
            <wp:docPr id="1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5" cstate="print">
                      <a:extLst>
                        <a:ext uri="{28A0092B-C50C-407E-A947-70E740481C1C}">
                          <a14:useLocalDpi xmlns:a14="http://schemas.microsoft.com/office/drawing/2010/main" val="0"/>
                        </a:ext>
                      </a:extLst>
                    </a:blip>
                    <a:srcRect/>
                    <a:stretch>
                      <a:fillRect/>
                    </a:stretch>
                  </pic:blipFill>
                  <pic:spPr bwMode="auto">
                    <a:xfrm>
                      <a:off x="0" y="0"/>
                      <a:ext cx="254000" cy="251460"/>
                    </a:xfrm>
                    <a:prstGeom prst="rect">
                      <a:avLst/>
                    </a:prstGeom>
                    <a:noFill/>
                    <a:ln>
                      <a:noFill/>
                    </a:ln>
                  </pic:spPr>
                </pic:pic>
              </a:graphicData>
            </a:graphic>
          </wp:inline>
        </w:drawing>
      </w:r>
      <w:r>
        <w:t xml:space="preserve"> - расчетные сопротивления металла болтов на срез, смятие и растяжение;</w:t>
      </w:r>
    </w:p>
    <w:p w:rsidR="00212513" w:rsidRDefault="00212513">
      <w:pPr>
        <w:pStyle w:val="ConsPlusNormal"/>
        <w:spacing w:before="220"/>
        <w:ind w:firstLine="540"/>
        <w:jc w:val="both"/>
      </w:pPr>
      <w:r>
        <w:rPr>
          <w:i/>
        </w:rPr>
        <w:t>d</w:t>
      </w:r>
      <w:r>
        <w:t xml:space="preserve"> - диаметр рабочего тела болта (или отверстия);</w:t>
      </w:r>
    </w:p>
    <w:p w:rsidR="00212513" w:rsidRDefault="00212513">
      <w:pPr>
        <w:pStyle w:val="ConsPlusNormal"/>
        <w:spacing w:before="220"/>
        <w:ind w:firstLine="540"/>
        <w:jc w:val="both"/>
      </w:pPr>
      <w:r>
        <w:rPr>
          <w:noProof/>
          <w:position w:val="-8"/>
        </w:rPr>
        <w:drawing>
          <wp:inline distT="0" distB="0" distL="0" distR="0">
            <wp:extent cx="254000" cy="251460"/>
            <wp:effectExtent l="0" t="0" r="0" b="0"/>
            <wp:docPr id="1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6" cstate="print">
                      <a:extLst>
                        <a:ext uri="{28A0092B-C50C-407E-A947-70E740481C1C}">
                          <a14:useLocalDpi xmlns:a14="http://schemas.microsoft.com/office/drawing/2010/main" val="0"/>
                        </a:ext>
                      </a:extLst>
                    </a:blip>
                    <a:srcRect/>
                    <a:stretch>
                      <a:fillRect/>
                    </a:stretch>
                  </pic:blipFill>
                  <pic:spPr bwMode="auto">
                    <a:xfrm>
                      <a:off x="0" y="0"/>
                      <a:ext cx="254000" cy="251460"/>
                    </a:xfrm>
                    <a:prstGeom prst="rect">
                      <a:avLst/>
                    </a:prstGeom>
                    <a:noFill/>
                    <a:ln>
                      <a:noFill/>
                    </a:ln>
                  </pic:spPr>
                </pic:pic>
              </a:graphicData>
            </a:graphic>
          </wp:inline>
        </w:drawing>
      </w:r>
      <w:r>
        <w:t xml:space="preserve"> - площадь рабочего сечения тела болта;</w:t>
      </w:r>
    </w:p>
    <w:p w:rsidR="00212513" w:rsidRDefault="00212513">
      <w:pPr>
        <w:pStyle w:val="ConsPlusNormal"/>
        <w:spacing w:before="220"/>
        <w:ind w:firstLine="540"/>
        <w:jc w:val="both"/>
      </w:pPr>
      <w:r>
        <w:rPr>
          <w:noProof/>
          <w:position w:val="-8"/>
        </w:rPr>
        <w:drawing>
          <wp:inline distT="0" distB="0" distL="0" distR="0">
            <wp:extent cx="251460" cy="251460"/>
            <wp:effectExtent l="0" t="0" r="0" b="0"/>
            <wp:docPr id="1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площадь сечения болта нетто по резьбе согласно </w:t>
      </w:r>
      <w:hyperlink r:id="rId2088">
        <w:r>
          <w:rPr>
            <w:color w:val="0000FF"/>
          </w:rPr>
          <w:t>ГОСТ Р 53664</w:t>
        </w:r>
      </w:hyperlink>
      <w:r>
        <w:t>;</w:t>
      </w:r>
    </w:p>
    <w:p w:rsidR="00212513" w:rsidRDefault="00212513">
      <w:pPr>
        <w:pStyle w:val="ConsPlusNormal"/>
        <w:jc w:val="both"/>
      </w:pPr>
      <w:r>
        <w:t xml:space="preserve">(в ред. </w:t>
      </w:r>
      <w:hyperlink r:id="rId2089">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rPr>
          <w:noProof/>
          <w:position w:val="-11"/>
        </w:rPr>
        <w:drawing>
          <wp:inline distT="0" distB="0" distL="0" distR="0">
            <wp:extent cx="313690" cy="281940"/>
            <wp:effectExtent l="0" t="0" r="0" b="0"/>
            <wp:docPr id="1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0" cstate="print">
                      <a:extLst>
                        <a:ext uri="{28A0092B-C50C-407E-A947-70E740481C1C}">
                          <a14:useLocalDpi xmlns:a14="http://schemas.microsoft.com/office/drawing/2010/main" val="0"/>
                        </a:ext>
                      </a:extLst>
                    </a:blip>
                    <a:srcRect/>
                    <a:stretch>
                      <a:fillRect/>
                    </a:stretch>
                  </pic:blipFill>
                  <pic:spPr bwMode="auto">
                    <a:xfrm>
                      <a:off x="0" y="0"/>
                      <a:ext cx="313690" cy="281940"/>
                    </a:xfrm>
                    <a:prstGeom prst="rect">
                      <a:avLst/>
                    </a:prstGeom>
                    <a:noFill/>
                    <a:ln>
                      <a:noFill/>
                    </a:ln>
                  </pic:spPr>
                </pic:pic>
              </a:graphicData>
            </a:graphic>
          </wp:inline>
        </w:drawing>
      </w:r>
      <w:r>
        <w:t xml:space="preserve"> - наименьшая суммарная толщина элементов, сминаемых в одном направлении;</w:t>
      </w:r>
    </w:p>
    <w:p w:rsidR="00212513" w:rsidRDefault="00212513">
      <w:pPr>
        <w:pStyle w:val="ConsPlusNormal"/>
        <w:spacing w:before="220"/>
        <w:ind w:firstLine="540"/>
        <w:jc w:val="both"/>
      </w:pPr>
      <w:r>
        <w:rPr>
          <w:noProof/>
          <w:position w:val="-8"/>
        </w:rPr>
        <w:drawing>
          <wp:inline distT="0" distB="0" distL="0" distR="0">
            <wp:extent cx="177800" cy="251460"/>
            <wp:effectExtent l="0" t="0" r="0" b="0"/>
            <wp:docPr id="1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1"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число расчетных срезов одного болта;</w:t>
      </w:r>
    </w:p>
    <w:p w:rsidR="00212513" w:rsidRDefault="00212513">
      <w:pPr>
        <w:pStyle w:val="ConsPlusNormal"/>
        <w:spacing w:before="220"/>
        <w:ind w:firstLine="540"/>
        <w:jc w:val="both"/>
      </w:pPr>
      <w:r>
        <w:rPr>
          <w:noProof/>
          <w:position w:val="-8"/>
        </w:rPr>
        <w:drawing>
          <wp:inline distT="0" distB="0" distL="0" distR="0">
            <wp:extent cx="220980" cy="251460"/>
            <wp:effectExtent l="0" t="0" r="0" b="0"/>
            <wp:docPr id="1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2"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коэффициент условий работы соединения, который следует принимать по </w:t>
      </w:r>
      <w:hyperlink w:anchor="P8764">
        <w:r>
          <w:rPr>
            <w:color w:val="0000FF"/>
          </w:rPr>
          <w:t>таблице 8.36</w:t>
        </w:r>
      </w:hyperlink>
      <w:r>
        <w:t>.</w:t>
      </w:r>
    </w:p>
    <w:p w:rsidR="00212513" w:rsidRDefault="00212513">
      <w:pPr>
        <w:pStyle w:val="ConsPlusNormal"/>
        <w:spacing w:before="220"/>
        <w:ind w:firstLine="540"/>
        <w:jc w:val="both"/>
      </w:pPr>
      <w:r>
        <w:lastRenderedPageBreak/>
        <w:t xml:space="preserve">8.95 Число </w:t>
      </w:r>
      <w:r>
        <w:rPr>
          <w:i/>
        </w:rPr>
        <w:t>n</w:t>
      </w:r>
      <w:r>
        <w:t xml:space="preserve"> болтов в соединении при действии продольной силы </w:t>
      </w:r>
      <w:r>
        <w:rPr>
          <w:i/>
        </w:rPr>
        <w:t>N</w:t>
      </w:r>
      <w:r>
        <w:t>, проходящей через центр тяжести соединения, следует определять по формуле</w:t>
      </w:r>
    </w:p>
    <w:p w:rsidR="00212513" w:rsidRDefault="00212513">
      <w:pPr>
        <w:pStyle w:val="ConsPlusNormal"/>
        <w:ind w:firstLine="540"/>
        <w:jc w:val="both"/>
      </w:pPr>
    </w:p>
    <w:p w:rsidR="00212513" w:rsidRDefault="00212513">
      <w:pPr>
        <w:pStyle w:val="ConsPlusNormal"/>
        <w:jc w:val="center"/>
      </w:pPr>
      <w:r>
        <w:rPr>
          <w:noProof/>
          <w:position w:val="-27"/>
        </w:rPr>
        <w:drawing>
          <wp:inline distT="0" distB="0" distL="0" distR="0">
            <wp:extent cx="981710" cy="483870"/>
            <wp:effectExtent l="0" t="0" r="0" b="0"/>
            <wp:docPr id="1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3" cstate="print">
                      <a:extLst>
                        <a:ext uri="{28A0092B-C50C-407E-A947-70E740481C1C}">
                          <a14:useLocalDpi xmlns:a14="http://schemas.microsoft.com/office/drawing/2010/main" val="0"/>
                        </a:ext>
                      </a:extLst>
                    </a:blip>
                    <a:srcRect/>
                    <a:stretch>
                      <a:fillRect/>
                    </a:stretch>
                  </pic:blipFill>
                  <pic:spPr bwMode="auto">
                    <a:xfrm>
                      <a:off x="0" y="0"/>
                      <a:ext cx="981710" cy="483870"/>
                    </a:xfrm>
                    <a:prstGeom prst="rect">
                      <a:avLst/>
                    </a:prstGeom>
                    <a:noFill/>
                    <a:ln>
                      <a:noFill/>
                    </a:ln>
                  </pic:spPr>
                </pic:pic>
              </a:graphicData>
            </a:graphic>
          </wp:inline>
        </w:drawing>
      </w:r>
      <w:r>
        <w:t>, (8.102)</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9"/>
        </w:rPr>
        <w:drawing>
          <wp:inline distT="0" distB="0" distL="0" distR="0">
            <wp:extent cx="419100" cy="262890"/>
            <wp:effectExtent l="0" t="0" r="0" b="0"/>
            <wp:docPr id="1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4" cstate="print">
                      <a:extLst>
                        <a:ext uri="{28A0092B-C50C-407E-A947-70E740481C1C}">
                          <a14:useLocalDpi xmlns:a14="http://schemas.microsoft.com/office/drawing/2010/main" val="0"/>
                        </a:ext>
                      </a:extLst>
                    </a:blip>
                    <a:srcRect/>
                    <a:stretch>
                      <a:fillRect/>
                    </a:stretch>
                  </pic:blipFill>
                  <pic:spPr bwMode="auto">
                    <a:xfrm>
                      <a:off x="0" y="0"/>
                      <a:ext cx="419100" cy="262890"/>
                    </a:xfrm>
                    <a:prstGeom prst="rect">
                      <a:avLst/>
                    </a:prstGeom>
                    <a:noFill/>
                    <a:ln>
                      <a:noFill/>
                    </a:ln>
                  </pic:spPr>
                </pic:pic>
              </a:graphicData>
            </a:graphic>
          </wp:inline>
        </w:drawing>
      </w:r>
      <w:r>
        <w:t xml:space="preserve"> - меньшее из значений расчетного усилия для одного болта, вычисленных по </w:t>
      </w:r>
      <w:hyperlink w:anchor="P8682">
        <w:r>
          <w:rPr>
            <w:color w:val="0000FF"/>
          </w:rPr>
          <w:t>формулам (8.99)</w:t>
        </w:r>
      </w:hyperlink>
      <w:r>
        <w:t xml:space="preserve"> и </w:t>
      </w:r>
      <w:hyperlink w:anchor="P8686">
        <w:r>
          <w:rPr>
            <w:color w:val="0000FF"/>
          </w:rPr>
          <w:t>(8.100)</w:t>
        </w:r>
      </w:hyperlink>
      <w:r>
        <w:t>;</w:t>
      </w:r>
    </w:p>
    <w:p w:rsidR="00212513" w:rsidRDefault="00212513">
      <w:pPr>
        <w:pStyle w:val="ConsPlusNormal"/>
        <w:spacing w:before="220"/>
        <w:ind w:firstLine="540"/>
        <w:jc w:val="both"/>
      </w:pPr>
      <w:r>
        <w:rPr>
          <w:noProof/>
          <w:position w:val="-8"/>
        </w:rPr>
        <w:drawing>
          <wp:inline distT="0" distB="0" distL="0" distR="0">
            <wp:extent cx="220980" cy="251460"/>
            <wp:effectExtent l="0" t="0" r="0" b="0"/>
            <wp:docPr id="1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5"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w:t>
      </w:r>
      <w:r>
        <w:rPr>
          <w:i/>
        </w:rPr>
        <w:t>m</w:t>
      </w:r>
      <w:r>
        <w:t xml:space="preserve"> - коэффициенты условий работы, принимаемые соответственно по </w:t>
      </w:r>
      <w:hyperlink w:anchor="P8764">
        <w:r>
          <w:rPr>
            <w:color w:val="0000FF"/>
          </w:rPr>
          <w:t>таблицам 8.36</w:t>
        </w:r>
      </w:hyperlink>
      <w:r>
        <w:t xml:space="preserve"> и </w:t>
      </w:r>
      <w:hyperlink w:anchor="P6905">
        <w:r>
          <w:rPr>
            <w:color w:val="0000FF"/>
          </w:rPr>
          <w:t>8.15</w:t>
        </w:r>
      </w:hyperlink>
      <w:r>
        <w:t>.</w:t>
      </w:r>
    </w:p>
    <w:p w:rsidR="00212513" w:rsidRDefault="00212513">
      <w:pPr>
        <w:pStyle w:val="ConsPlusNormal"/>
        <w:spacing w:before="220"/>
        <w:ind w:firstLine="540"/>
        <w:jc w:val="both"/>
      </w:pPr>
      <w:bookmarkStart w:id="377" w:name="P8706"/>
      <w:bookmarkEnd w:id="377"/>
      <w:r>
        <w:t>8.96 При действии в плоскости соединения изгибающего момента распределение усилий на болты следует принимать пропорционально расстояниям от центра тяжести соединения до рассматриваемого болта.</w:t>
      </w:r>
    </w:p>
    <w:p w:rsidR="00212513" w:rsidRDefault="00212513">
      <w:pPr>
        <w:pStyle w:val="ConsPlusNormal"/>
        <w:spacing w:before="220"/>
        <w:ind w:firstLine="540"/>
        <w:jc w:val="both"/>
      </w:pPr>
      <w:bookmarkStart w:id="378" w:name="P8707"/>
      <w:bookmarkEnd w:id="378"/>
      <w:r>
        <w:t>8.97 Болты, работающие на срез от одновременного действия продольной силы и момента, следует проверять на усилие, определяемое как равнодействующее усилий, найденных отдельно от продольной силы и момента.</w:t>
      </w:r>
    </w:p>
    <w:p w:rsidR="00212513" w:rsidRDefault="00212513">
      <w:pPr>
        <w:pStyle w:val="ConsPlusNormal"/>
        <w:spacing w:before="220"/>
        <w:ind w:firstLine="540"/>
        <w:jc w:val="both"/>
      </w:pPr>
      <w:r>
        <w:t>8.98 Болты, работающие одновременно на срез и растяжение, допускается проверять отдельно на срез и на растяжение.</w:t>
      </w:r>
    </w:p>
    <w:p w:rsidR="00212513" w:rsidRDefault="00212513">
      <w:pPr>
        <w:pStyle w:val="ConsPlusNormal"/>
        <w:spacing w:before="220"/>
        <w:ind w:firstLine="540"/>
        <w:jc w:val="both"/>
      </w:pPr>
      <w:bookmarkStart w:id="379" w:name="P8709"/>
      <w:bookmarkEnd w:id="379"/>
      <w:r>
        <w:t>8.99 Болты, соединяющие стенки и пояса составных балок, следует рассчитывать по формулам:</w:t>
      </w:r>
    </w:p>
    <w:p w:rsidR="00212513" w:rsidRDefault="00212513">
      <w:pPr>
        <w:pStyle w:val="ConsPlusNormal"/>
        <w:spacing w:before="220"/>
        <w:ind w:firstLine="540"/>
        <w:jc w:val="both"/>
      </w:pPr>
      <w:r>
        <w:t>при отсутствии местного давления</w:t>
      </w:r>
    </w:p>
    <w:p w:rsidR="00212513" w:rsidRDefault="00212513">
      <w:pPr>
        <w:pStyle w:val="ConsPlusNormal"/>
        <w:ind w:firstLine="540"/>
        <w:jc w:val="both"/>
      </w:pPr>
    </w:p>
    <w:p w:rsidR="00212513" w:rsidRDefault="00212513">
      <w:pPr>
        <w:pStyle w:val="ConsPlusNormal"/>
        <w:jc w:val="center"/>
      </w:pPr>
      <w:r>
        <w:rPr>
          <w:noProof/>
          <w:position w:val="-23"/>
        </w:rPr>
        <w:drawing>
          <wp:inline distT="0" distB="0" distL="0" distR="0">
            <wp:extent cx="1072515" cy="441960"/>
            <wp:effectExtent l="0" t="0" r="0" b="0"/>
            <wp:docPr id="1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6" cstate="print">
                      <a:extLst>
                        <a:ext uri="{28A0092B-C50C-407E-A947-70E740481C1C}">
                          <a14:useLocalDpi xmlns:a14="http://schemas.microsoft.com/office/drawing/2010/main" val="0"/>
                        </a:ext>
                      </a:extLst>
                    </a:blip>
                    <a:srcRect/>
                    <a:stretch>
                      <a:fillRect/>
                    </a:stretch>
                  </pic:blipFill>
                  <pic:spPr bwMode="auto">
                    <a:xfrm>
                      <a:off x="0" y="0"/>
                      <a:ext cx="1072515" cy="441960"/>
                    </a:xfrm>
                    <a:prstGeom prst="rect">
                      <a:avLst/>
                    </a:prstGeom>
                    <a:noFill/>
                    <a:ln>
                      <a:noFill/>
                    </a:ln>
                  </pic:spPr>
                </pic:pic>
              </a:graphicData>
            </a:graphic>
          </wp:inline>
        </w:drawing>
      </w:r>
      <w:r>
        <w:t>; (8.103)</w:t>
      </w:r>
    </w:p>
    <w:p w:rsidR="00212513" w:rsidRDefault="00212513">
      <w:pPr>
        <w:pStyle w:val="ConsPlusNormal"/>
        <w:ind w:firstLine="540"/>
        <w:jc w:val="both"/>
      </w:pPr>
    </w:p>
    <w:p w:rsidR="00212513" w:rsidRDefault="00212513">
      <w:pPr>
        <w:pStyle w:val="ConsPlusNormal"/>
        <w:ind w:firstLine="540"/>
        <w:jc w:val="both"/>
      </w:pPr>
      <w:r>
        <w:t xml:space="preserve">при воздействии на пояс местного давления </w:t>
      </w:r>
      <w:r>
        <w:rPr>
          <w:i/>
        </w:rPr>
        <w:t>q</w:t>
      </w:r>
    </w:p>
    <w:p w:rsidR="00212513" w:rsidRDefault="00212513">
      <w:pPr>
        <w:pStyle w:val="ConsPlusNormal"/>
        <w:ind w:firstLine="540"/>
        <w:jc w:val="both"/>
      </w:pPr>
    </w:p>
    <w:p w:rsidR="00212513" w:rsidRDefault="00212513">
      <w:pPr>
        <w:pStyle w:val="ConsPlusNormal"/>
        <w:jc w:val="center"/>
      </w:pPr>
      <w:r>
        <w:rPr>
          <w:noProof/>
          <w:position w:val="-32"/>
        </w:rPr>
        <w:drawing>
          <wp:inline distT="0" distB="0" distL="0" distR="0">
            <wp:extent cx="1718310" cy="553085"/>
            <wp:effectExtent l="0" t="0" r="0" b="0"/>
            <wp:docPr id="1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7" cstate="print">
                      <a:extLst>
                        <a:ext uri="{28A0092B-C50C-407E-A947-70E740481C1C}">
                          <a14:useLocalDpi xmlns:a14="http://schemas.microsoft.com/office/drawing/2010/main" val="0"/>
                        </a:ext>
                      </a:extLst>
                    </a:blip>
                    <a:srcRect/>
                    <a:stretch>
                      <a:fillRect/>
                    </a:stretch>
                  </pic:blipFill>
                  <pic:spPr bwMode="auto">
                    <a:xfrm>
                      <a:off x="0" y="0"/>
                      <a:ext cx="1718310" cy="553085"/>
                    </a:xfrm>
                    <a:prstGeom prst="rect">
                      <a:avLst/>
                    </a:prstGeom>
                    <a:noFill/>
                    <a:ln>
                      <a:noFill/>
                    </a:ln>
                  </pic:spPr>
                </pic:pic>
              </a:graphicData>
            </a:graphic>
          </wp:inline>
        </w:drawing>
      </w:r>
      <w:r>
        <w:t>, (8.104)</w:t>
      </w:r>
    </w:p>
    <w:p w:rsidR="00212513" w:rsidRDefault="00212513">
      <w:pPr>
        <w:pStyle w:val="ConsPlusNormal"/>
        <w:ind w:firstLine="540"/>
        <w:jc w:val="both"/>
      </w:pPr>
    </w:p>
    <w:p w:rsidR="00212513" w:rsidRDefault="00212513">
      <w:pPr>
        <w:pStyle w:val="ConsPlusNormal"/>
        <w:ind w:firstLine="540"/>
        <w:jc w:val="both"/>
      </w:pPr>
      <w:r>
        <w:t xml:space="preserve">где </w:t>
      </w:r>
      <w:r>
        <w:rPr>
          <w:i/>
        </w:rPr>
        <w:t>a</w:t>
      </w:r>
      <w:r>
        <w:t xml:space="preserve"> - шаг поясных болтов;</w:t>
      </w:r>
    </w:p>
    <w:p w:rsidR="00212513" w:rsidRDefault="00212513">
      <w:pPr>
        <w:pStyle w:val="ConsPlusNormal"/>
        <w:spacing w:before="220"/>
        <w:ind w:firstLine="540"/>
        <w:jc w:val="both"/>
      </w:pPr>
      <w:r>
        <w:rPr>
          <w:noProof/>
          <w:position w:val="-9"/>
        </w:rPr>
        <w:drawing>
          <wp:inline distT="0" distB="0" distL="0" distR="0">
            <wp:extent cx="419100" cy="262890"/>
            <wp:effectExtent l="0" t="0" r="0" b="0"/>
            <wp:docPr id="1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4" cstate="print">
                      <a:extLst>
                        <a:ext uri="{28A0092B-C50C-407E-A947-70E740481C1C}">
                          <a14:useLocalDpi xmlns:a14="http://schemas.microsoft.com/office/drawing/2010/main" val="0"/>
                        </a:ext>
                      </a:extLst>
                    </a:blip>
                    <a:srcRect/>
                    <a:stretch>
                      <a:fillRect/>
                    </a:stretch>
                  </pic:blipFill>
                  <pic:spPr bwMode="auto">
                    <a:xfrm>
                      <a:off x="0" y="0"/>
                      <a:ext cx="419100" cy="262890"/>
                    </a:xfrm>
                    <a:prstGeom prst="rect">
                      <a:avLst/>
                    </a:prstGeom>
                    <a:noFill/>
                    <a:ln>
                      <a:noFill/>
                    </a:ln>
                  </pic:spPr>
                </pic:pic>
              </a:graphicData>
            </a:graphic>
          </wp:inline>
        </w:drawing>
      </w:r>
      <w:r>
        <w:t xml:space="preserve"> - меньшее из значений расчетного усилия для одного болта, определяемых по </w:t>
      </w:r>
      <w:hyperlink w:anchor="P8679">
        <w:r>
          <w:rPr>
            <w:color w:val="0000FF"/>
          </w:rPr>
          <w:t>8.94</w:t>
        </w:r>
      </w:hyperlink>
      <w:r>
        <w:t>;</w:t>
      </w:r>
    </w:p>
    <w:p w:rsidR="00212513" w:rsidRDefault="00212513">
      <w:pPr>
        <w:pStyle w:val="ConsPlusNormal"/>
        <w:spacing w:before="220"/>
        <w:ind w:firstLine="540"/>
        <w:jc w:val="both"/>
      </w:pPr>
      <w:r>
        <w:rPr>
          <w:i/>
        </w:rPr>
        <w:t>S</w:t>
      </w:r>
      <w:r>
        <w:t xml:space="preserve"> - статический момент брутто пояса балки относительно нейтральной оси;</w:t>
      </w:r>
    </w:p>
    <w:p w:rsidR="00212513" w:rsidRDefault="00212513">
      <w:pPr>
        <w:pStyle w:val="ConsPlusNormal"/>
        <w:spacing w:before="220"/>
        <w:ind w:firstLine="540"/>
        <w:jc w:val="both"/>
      </w:pPr>
      <w:r>
        <w:rPr>
          <w:i/>
        </w:rPr>
        <w:t>I</w:t>
      </w:r>
      <w:r>
        <w:t xml:space="preserve"> - момент инерции сечения брутто балки относительно нейтральной оси;</w:t>
      </w:r>
    </w:p>
    <w:p w:rsidR="00212513" w:rsidRDefault="00212513">
      <w:pPr>
        <w:pStyle w:val="ConsPlusNormal"/>
        <w:spacing w:before="220"/>
        <w:ind w:firstLine="540"/>
        <w:jc w:val="both"/>
      </w:pPr>
      <w:r>
        <w:rPr>
          <w:i/>
        </w:rPr>
        <w:t>m</w:t>
      </w:r>
      <w:r>
        <w:t xml:space="preserve"> - коэффициент условий работы, определяемый по </w:t>
      </w:r>
      <w:hyperlink w:anchor="P6905">
        <w:r>
          <w:rPr>
            <w:color w:val="0000FF"/>
          </w:rPr>
          <w:t>таблице 8.15</w:t>
        </w:r>
      </w:hyperlink>
      <w:r>
        <w:t>.</w:t>
      </w:r>
    </w:p>
    <w:p w:rsidR="00212513" w:rsidRDefault="00212513">
      <w:pPr>
        <w:pStyle w:val="ConsPlusNormal"/>
        <w:spacing w:before="220"/>
        <w:ind w:firstLine="540"/>
        <w:jc w:val="both"/>
      </w:pPr>
      <w:bookmarkStart w:id="380" w:name="P8723"/>
      <w:bookmarkEnd w:id="380"/>
      <w:r>
        <w:t xml:space="preserve">8.100 Во фрикционных и комбинированных фрикционно-сварных соединениях расчетное усилие </w:t>
      </w:r>
      <w:r>
        <w:rPr>
          <w:i/>
        </w:rPr>
        <w:t>Q</w:t>
      </w:r>
      <w:r>
        <w:rPr>
          <w:i/>
          <w:vertAlign w:val="subscript"/>
        </w:rPr>
        <w:t>bh</w:t>
      </w:r>
      <w:r>
        <w:t>, которое может быть воспринято каждой поверхностью трения соединяемых элементов, стянутых одним высокопрочным болтом (одним болтоконтактом), следует определять по формуле</w:t>
      </w:r>
    </w:p>
    <w:p w:rsidR="00212513" w:rsidRDefault="00212513">
      <w:pPr>
        <w:pStyle w:val="ConsPlusNormal"/>
        <w:jc w:val="both"/>
      </w:pPr>
    </w:p>
    <w:p w:rsidR="00212513" w:rsidRDefault="00212513">
      <w:pPr>
        <w:pStyle w:val="ConsPlusNormal"/>
        <w:jc w:val="center"/>
      </w:pPr>
      <w:r>
        <w:rPr>
          <w:noProof/>
          <w:position w:val="-28"/>
        </w:rPr>
        <w:lastRenderedPageBreak/>
        <w:drawing>
          <wp:inline distT="0" distB="0" distL="0" distR="0">
            <wp:extent cx="765175" cy="502920"/>
            <wp:effectExtent l="0" t="0" r="0" b="0"/>
            <wp:docPr id="1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8" cstate="print">
                      <a:extLst>
                        <a:ext uri="{28A0092B-C50C-407E-A947-70E740481C1C}">
                          <a14:useLocalDpi xmlns:a14="http://schemas.microsoft.com/office/drawing/2010/main" val="0"/>
                        </a:ext>
                      </a:extLst>
                    </a:blip>
                    <a:srcRect/>
                    <a:stretch>
                      <a:fillRect/>
                    </a:stretch>
                  </pic:blipFill>
                  <pic:spPr bwMode="auto">
                    <a:xfrm>
                      <a:off x="0" y="0"/>
                      <a:ext cx="765175" cy="502920"/>
                    </a:xfrm>
                    <a:prstGeom prst="rect">
                      <a:avLst/>
                    </a:prstGeom>
                    <a:noFill/>
                    <a:ln>
                      <a:noFill/>
                    </a:ln>
                  </pic:spPr>
                </pic:pic>
              </a:graphicData>
            </a:graphic>
          </wp:inline>
        </w:drawing>
      </w:r>
      <w:r>
        <w:t xml:space="preserve"> (8.105)</w:t>
      </w:r>
    </w:p>
    <w:p w:rsidR="00212513" w:rsidRDefault="00212513">
      <w:pPr>
        <w:pStyle w:val="ConsPlusNormal"/>
        <w:jc w:val="both"/>
      </w:pPr>
    </w:p>
    <w:p w:rsidR="00212513" w:rsidRDefault="00212513">
      <w:pPr>
        <w:pStyle w:val="ConsPlusNormal"/>
        <w:ind w:firstLine="540"/>
        <w:jc w:val="both"/>
      </w:pPr>
      <w:r>
        <w:t xml:space="preserve">где </w:t>
      </w:r>
      <w:r>
        <w:rPr>
          <w:i/>
        </w:rPr>
        <w:t>P</w:t>
      </w:r>
      <w:r>
        <w:rPr>
          <w:vertAlign w:val="subscript"/>
        </w:rPr>
        <w:t>р</w:t>
      </w:r>
      <w:r>
        <w:t xml:space="preserve"> - расчетное усилие натяжения высокопрочного болта;</w:t>
      </w:r>
    </w:p>
    <w:p w:rsidR="00212513" w:rsidRDefault="00212513">
      <w:pPr>
        <w:pStyle w:val="ConsPlusNormal"/>
        <w:spacing w:before="220"/>
        <w:ind w:firstLine="540"/>
        <w:jc w:val="both"/>
      </w:pPr>
      <w:r>
        <w:rPr>
          <w:noProof/>
          <w:position w:val="-3"/>
        </w:rPr>
        <w:drawing>
          <wp:inline distT="0" distB="0" distL="0" distR="0">
            <wp:extent cx="167640" cy="178435"/>
            <wp:effectExtent l="0" t="0" r="0" b="0"/>
            <wp:docPr id="1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9"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r>
        <w:t xml:space="preserve"> - коэффициент трения, принимаемый по </w:t>
      </w:r>
      <w:hyperlink w:anchor="P6827">
        <w:r>
          <w:rPr>
            <w:color w:val="0000FF"/>
          </w:rPr>
          <w:t>таблице 8.12</w:t>
        </w:r>
      </w:hyperlink>
      <w:r>
        <w:t>;</w:t>
      </w:r>
    </w:p>
    <w:p w:rsidR="00212513" w:rsidRDefault="00212513">
      <w:pPr>
        <w:pStyle w:val="ConsPlusNormal"/>
        <w:spacing w:before="220"/>
        <w:ind w:firstLine="540"/>
        <w:jc w:val="both"/>
      </w:pPr>
      <w:r>
        <w:rPr>
          <w:noProof/>
          <w:position w:val="-8"/>
        </w:rPr>
        <w:drawing>
          <wp:inline distT="0" distB="0" distL="0" distR="0">
            <wp:extent cx="241300" cy="251460"/>
            <wp:effectExtent l="0" t="0" r="0" b="0"/>
            <wp:docPr id="1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0" cstate="print">
                      <a:extLst>
                        <a:ext uri="{28A0092B-C50C-407E-A947-70E740481C1C}">
                          <a14:useLocalDpi xmlns:a14="http://schemas.microsoft.com/office/drawing/2010/main" val="0"/>
                        </a:ext>
                      </a:extLst>
                    </a:blip>
                    <a:srcRect/>
                    <a:stretch>
                      <a:fillRect/>
                    </a:stretch>
                  </pic:blipFill>
                  <pic:spPr bwMode="auto">
                    <a:xfrm>
                      <a:off x="0" y="0"/>
                      <a:ext cx="241300" cy="251460"/>
                    </a:xfrm>
                    <a:prstGeom prst="rect">
                      <a:avLst/>
                    </a:prstGeom>
                    <a:noFill/>
                    <a:ln>
                      <a:noFill/>
                    </a:ln>
                  </pic:spPr>
                </pic:pic>
              </a:graphicData>
            </a:graphic>
          </wp:inline>
        </w:drawing>
      </w:r>
      <w:r>
        <w:t xml:space="preserve"> </w:t>
      </w:r>
      <w:r>
        <w:rPr>
          <w:i/>
        </w:rPr>
        <w:t>-</w:t>
      </w:r>
      <w:r>
        <w:t xml:space="preserve"> коэффициент надежности, принимаемый по </w:t>
      </w:r>
      <w:hyperlink w:anchor="P6827">
        <w:r>
          <w:rPr>
            <w:color w:val="0000FF"/>
          </w:rPr>
          <w:t>таблице 8.12</w:t>
        </w:r>
      </w:hyperlink>
      <w:r>
        <w:t>.</w:t>
      </w:r>
    </w:p>
    <w:p w:rsidR="00212513" w:rsidRDefault="00212513">
      <w:pPr>
        <w:pStyle w:val="ConsPlusNormal"/>
        <w:spacing w:before="220"/>
        <w:ind w:firstLine="540"/>
        <w:jc w:val="both"/>
      </w:pPr>
      <w:r>
        <w:t xml:space="preserve">Расчетное усилие натяжения </w:t>
      </w:r>
      <w:r>
        <w:rPr>
          <w:i/>
        </w:rPr>
        <w:t>P</w:t>
      </w:r>
      <w:r>
        <w:rPr>
          <w:vertAlign w:val="subscript"/>
        </w:rPr>
        <w:t>р</w:t>
      </w:r>
      <w:r>
        <w:t xml:space="preserve"> высокопрочного болта следует определять по формуле</w:t>
      </w:r>
    </w:p>
    <w:p w:rsidR="00212513" w:rsidRDefault="00212513">
      <w:pPr>
        <w:pStyle w:val="ConsPlusNormal"/>
        <w:jc w:val="both"/>
      </w:pPr>
    </w:p>
    <w:p w:rsidR="00212513" w:rsidRDefault="00212513">
      <w:pPr>
        <w:pStyle w:val="ConsPlusNormal"/>
        <w:jc w:val="center"/>
      </w:pPr>
      <w:r>
        <w:rPr>
          <w:i/>
        </w:rPr>
        <w:t>P</w:t>
      </w:r>
      <w:r>
        <w:rPr>
          <w:vertAlign w:val="subscript"/>
        </w:rPr>
        <w:t>р</w:t>
      </w:r>
      <w:r>
        <w:t xml:space="preserve"> = </w:t>
      </w:r>
      <w:r>
        <w:rPr>
          <w:i/>
        </w:rPr>
        <w:t>P</w:t>
      </w:r>
      <w:r>
        <w:rPr>
          <w:vertAlign w:val="subscript"/>
        </w:rPr>
        <w:t>н</w:t>
      </w:r>
      <w:r>
        <w:rPr>
          <w:i/>
        </w:rPr>
        <w:t>m</w:t>
      </w:r>
      <w:r>
        <w:rPr>
          <w:i/>
          <w:vertAlign w:val="subscript"/>
        </w:rPr>
        <w:t>bh</w:t>
      </w:r>
      <w:r>
        <w:t>, (8.106а)</w:t>
      </w:r>
    </w:p>
    <w:p w:rsidR="00212513" w:rsidRDefault="00212513">
      <w:pPr>
        <w:pStyle w:val="ConsPlusNormal"/>
        <w:jc w:val="both"/>
      </w:pPr>
    </w:p>
    <w:p w:rsidR="00212513" w:rsidRDefault="00212513">
      <w:pPr>
        <w:pStyle w:val="ConsPlusNormal"/>
        <w:ind w:firstLine="540"/>
        <w:jc w:val="both"/>
      </w:pPr>
      <w:r>
        <w:t xml:space="preserve">где </w:t>
      </w:r>
      <w:r>
        <w:rPr>
          <w:i/>
        </w:rPr>
        <w:t>m</w:t>
      </w:r>
      <w:r>
        <w:rPr>
          <w:i/>
          <w:vertAlign w:val="subscript"/>
        </w:rPr>
        <w:t>bh</w:t>
      </w:r>
      <w:r>
        <w:t xml:space="preserve"> - коэффициент условий работы высокопрочных болтов при контроле натяжения по крутящему моменту, равный 0,95;</w:t>
      </w:r>
    </w:p>
    <w:p w:rsidR="00212513" w:rsidRDefault="00212513">
      <w:pPr>
        <w:pStyle w:val="ConsPlusNormal"/>
        <w:spacing w:before="220"/>
        <w:ind w:firstLine="540"/>
        <w:jc w:val="both"/>
      </w:pPr>
      <w:r>
        <w:rPr>
          <w:i/>
        </w:rPr>
        <w:t>P</w:t>
      </w:r>
      <w:r>
        <w:rPr>
          <w:vertAlign w:val="subscript"/>
        </w:rPr>
        <w:t>н</w:t>
      </w:r>
      <w:r>
        <w:t xml:space="preserve"> - нормативное усилие натяжения высокопрочного болта, назначаемое по формуле (8.106б) и при устройстве болтового соединения обеспечиваемое с вероятностью не менее 0,95:</w:t>
      </w:r>
    </w:p>
    <w:p w:rsidR="00212513" w:rsidRDefault="00212513">
      <w:pPr>
        <w:pStyle w:val="ConsPlusNormal"/>
        <w:jc w:val="both"/>
      </w:pPr>
    </w:p>
    <w:p w:rsidR="00212513" w:rsidRDefault="00212513">
      <w:pPr>
        <w:pStyle w:val="ConsPlusNormal"/>
        <w:jc w:val="center"/>
      </w:pPr>
      <w:r>
        <w:rPr>
          <w:i/>
        </w:rPr>
        <w:t>P</w:t>
      </w:r>
      <w:r>
        <w:rPr>
          <w:vertAlign w:val="subscript"/>
        </w:rPr>
        <w:t>н</w:t>
      </w:r>
      <w:r>
        <w:t xml:space="preserve"> = </w:t>
      </w:r>
      <w:r>
        <w:rPr>
          <w:i/>
        </w:rPr>
        <w:t>R</w:t>
      </w:r>
      <w:r>
        <w:rPr>
          <w:i/>
          <w:vertAlign w:val="subscript"/>
        </w:rPr>
        <w:t>bh</w:t>
      </w:r>
      <w:r>
        <w:rPr>
          <w:i/>
        </w:rPr>
        <w:t>A</w:t>
      </w:r>
      <w:r>
        <w:rPr>
          <w:i/>
          <w:vertAlign w:val="subscript"/>
        </w:rPr>
        <w:t>bn</w:t>
      </w:r>
      <w:r>
        <w:t>, (8.106б)</w:t>
      </w:r>
    </w:p>
    <w:p w:rsidR="00212513" w:rsidRDefault="00212513">
      <w:pPr>
        <w:pStyle w:val="ConsPlusNormal"/>
        <w:jc w:val="both"/>
      </w:pPr>
    </w:p>
    <w:p w:rsidR="00212513" w:rsidRDefault="00212513">
      <w:pPr>
        <w:pStyle w:val="ConsPlusNormal"/>
        <w:ind w:firstLine="540"/>
        <w:jc w:val="both"/>
      </w:pPr>
      <w:r>
        <w:t xml:space="preserve">где </w:t>
      </w:r>
      <w:r>
        <w:rPr>
          <w:i/>
        </w:rPr>
        <w:t>R</w:t>
      </w:r>
      <w:r>
        <w:rPr>
          <w:i/>
          <w:vertAlign w:val="subscript"/>
        </w:rPr>
        <w:t>bh</w:t>
      </w:r>
      <w:r>
        <w:t xml:space="preserve"> </w:t>
      </w:r>
      <w:r>
        <w:rPr>
          <w:i/>
        </w:rPr>
        <w:t>-</w:t>
      </w:r>
      <w:r>
        <w:t xml:space="preserve"> расчетное сопротивление высокопрочного болта растяжению, определяемое по </w:t>
      </w:r>
      <w:hyperlink w:anchor="P6821">
        <w:r>
          <w:rPr>
            <w:color w:val="0000FF"/>
          </w:rPr>
          <w:t>формуле (8.2)</w:t>
        </w:r>
      </w:hyperlink>
      <w:r>
        <w:t>.</w:t>
      </w:r>
    </w:p>
    <w:p w:rsidR="00212513" w:rsidRDefault="00212513">
      <w:pPr>
        <w:pStyle w:val="ConsPlusNormal"/>
        <w:jc w:val="both"/>
      </w:pPr>
      <w:r>
        <w:t xml:space="preserve">(п. 8.100 в ред. </w:t>
      </w:r>
      <w:hyperlink r:id="rId2101">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bookmarkStart w:id="381" w:name="P8741"/>
      <w:bookmarkEnd w:id="381"/>
      <w:r>
        <w:t xml:space="preserve">8.101 Число </w:t>
      </w:r>
      <w:r>
        <w:rPr>
          <w:i/>
        </w:rPr>
        <w:t>n</w:t>
      </w:r>
      <w:r>
        <w:t xml:space="preserve"> высокопрочных болтов в соединении при действии продольной силы </w:t>
      </w:r>
      <w:r>
        <w:rPr>
          <w:i/>
        </w:rPr>
        <w:t>N</w:t>
      </w:r>
      <w:r>
        <w:t>, проходящей через центр тяжести соединения, следует определять по формуле</w:t>
      </w:r>
    </w:p>
    <w:p w:rsidR="00212513" w:rsidRDefault="00212513">
      <w:pPr>
        <w:pStyle w:val="ConsPlusNormal"/>
        <w:ind w:firstLine="540"/>
        <w:jc w:val="both"/>
      </w:pPr>
    </w:p>
    <w:p w:rsidR="00212513" w:rsidRDefault="00212513">
      <w:pPr>
        <w:pStyle w:val="ConsPlusNormal"/>
        <w:jc w:val="center"/>
      </w:pPr>
      <w:r>
        <w:rPr>
          <w:noProof/>
          <w:position w:val="-26"/>
        </w:rPr>
        <w:drawing>
          <wp:inline distT="0" distB="0" distL="0" distR="0">
            <wp:extent cx="818515" cy="470535"/>
            <wp:effectExtent l="0" t="0" r="0" b="0"/>
            <wp:docPr id="1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2" cstate="print">
                      <a:extLst>
                        <a:ext uri="{28A0092B-C50C-407E-A947-70E740481C1C}">
                          <a14:useLocalDpi xmlns:a14="http://schemas.microsoft.com/office/drawing/2010/main" val="0"/>
                        </a:ext>
                      </a:extLst>
                    </a:blip>
                    <a:srcRect/>
                    <a:stretch>
                      <a:fillRect/>
                    </a:stretch>
                  </pic:blipFill>
                  <pic:spPr bwMode="auto">
                    <a:xfrm>
                      <a:off x="0" y="0"/>
                      <a:ext cx="818515" cy="470535"/>
                    </a:xfrm>
                    <a:prstGeom prst="rect">
                      <a:avLst/>
                    </a:prstGeom>
                    <a:noFill/>
                    <a:ln>
                      <a:noFill/>
                    </a:ln>
                  </pic:spPr>
                </pic:pic>
              </a:graphicData>
            </a:graphic>
          </wp:inline>
        </w:drawing>
      </w:r>
      <w:r>
        <w:t>, (8.107)</w:t>
      </w:r>
    </w:p>
    <w:p w:rsidR="00212513" w:rsidRDefault="00212513">
      <w:pPr>
        <w:pStyle w:val="ConsPlusNormal"/>
        <w:jc w:val="center"/>
      </w:pPr>
    </w:p>
    <w:p w:rsidR="00212513" w:rsidRDefault="00212513">
      <w:pPr>
        <w:pStyle w:val="ConsPlusNormal"/>
        <w:ind w:firstLine="540"/>
        <w:jc w:val="both"/>
      </w:pPr>
      <w:r>
        <w:t xml:space="preserve">где </w:t>
      </w:r>
      <w:r>
        <w:rPr>
          <w:i/>
        </w:rPr>
        <w:t>m</w:t>
      </w:r>
      <w:r>
        <w:t xml:space="preserve"> - коэффициент условий работы, принимаемый по </w:t>
      </w:r>
      <w:hyperlink w:anchor="P6905">
        <w:r>
          <w:rPr>
            <w:color w:val="0000FF"/>
          </w:rPr>
          <w:t>таблице 8.15</w:t>
        </w:r>
      </w:hyperlink>
      <w:r>
        <w:t>;</w:t>
      </w:r>
    </w:p>
    <w:p w:rsidR="00212513" w:rsidRDefault="00212513">
      <w:pPr>
        <w:pStyle w:val="ConsPlusNormal"/>
        <w:spacing w:before="220"/>
        <w:ind w:firstLine="540"/>
        <w:jc w:val="both"/>
      </w:pPr>
      <w:r>
        <w:rPr>
          <w:noProof/>
          <w:position w:val="-8"/>
        </w:rPr>
        <w:drawing>
          <wp:inline distT="0" distB="0" distL="0" distR="0">
            <wp:extent cx="262890" cy="251460"/>
            <wp:effectExtent l="0" t="0" r="0" b="0"/>
            <wp:docPr id="1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3"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расчетное усилие на один болтоконтакт, определяемое по </w:t>
      </w:r>
      <w:hyperlink w:anchor="P8723">
        <w:r>
          <w:rPr>
            <w:color w:val="0000FF"/>
          </w:rPr>
          <w:t>формуле (8.105)</w:t>
        </w:r>
      </w:hyperlink>
      <w:r>
        <w:t>;</w:t>
      </w:r>
    </w:p>
    <w:p w:rsidR="00212513" w:rsidRDefault="00212513">
      <w:pPr>
        <w:pStyle w:val="ConsPlusNormal"/>
        <w:spacing w:before="220"/>
        <w:ind w:firstLine="540"/>
        <w:jc w:val="both"/>
      </w:pPr>
      <w:r>
        <w:rPr>
          <w:noProof/>
          <w:position w:val="-8"/>
        </w:rPr>
        <w:drawing>
          <wp:inline distT="0" distB="0" distL="0" distR="0">
            <wp:extent cx="177800" cy="251460"/>
            <wp:effectExtent l="0" t="0" r="0" b="0"/>
            <wp:docPr id="1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4"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число контактов в соединении.</w:t>
      </w:r>
    </w:p>
    <w:p w:rsidR="00212513" w:rsidRDefault="00212513">
      <w:pPr>
        <w:pStyle w:val="ConsPlusNormal"/>
        <w:spacing w:before="220"/>
        <w:ind w:firstLine="540"/>
        <w:jc w:val="both"/>
      </w:pPr>
      <w:bookmarkStart w:id="382" w:name="P8748"/>
      <w:bookmarkEnd w:id="382"/>
      <w:r>
        <w:t xml:space="preserve">8.102 При действии в плоскости соединения изгибающего момента или продольной силы с изгибающим моментом усилие, приходящееся на рассматриваемый высокопрочный болт, следует определять согласно указаниям </w:t>
      </w:r>
      <w:hyperlink w:anchor="P8706">
        <w:r>
          <w:rPr>
            <w:color w:val="0000FF"/>
          </w:rPr>
          <w:t>8.96</w:t>
        </w:r>
      </w:hyperlink>
      <w:r>
        <w:t xml:space="preserve"> и </w:t>
      </w:r>
      <w:hyperlink w:anchor="P8707">
        <w:r>
          <w:rPr>
            <w:color w:val="0000FF"/>
          </w:rPr>
          <w:t>8.97</w:t>
        </w:r>
      </w:hyperlink>
      <w:r>
        <w:t>.</w:t>
      </w:r>
    </w:p>
    <w:p w:rsidR="00212513" w:rsidRDefault="00212513">
      <w:pPr>
        <w:pStyle w:val="ConsPlusNormal"/>
        <w:spacing w:before="220"/>
        <w:ind w:firstLine="540"/>
        <w:jc w:val="both"/>
      </w:pPr>
      <w:r>
        <w:t>8.103 Высокопрочные болты, соединяющие стенки и пояса составных балок, следует рассчитывать по формулам:</w:t>
      </w:r>
    </w:p>
    <w:p w:rsidR="00212513" w:rsidRDefault="00212513">
      <w:pPr>
        <w:pStyle w:val="ConsPlusNormal"/>
        <w:spacing w:before="220"/>
        <w:ind w:firstLine="540"/>
        <w:jc w:val="both"/>
      </w:pPr>
      <w:r>
        <w:t>при отсутствии местного давления</w:t>
      </w:r>
    </w:p>
    <w:p w:rsidR="00212513" w:rsidRDefault="00212513">
      <w:pPr>
        <w:pStyle w:val="ConsPlusNormal"/>
        <w:ind w:firstLine="540"/>
        <w:jc w:val="both"/>
      </w:pPr>
    </w:p>
    <w:p w:rsidR="00212513" w:rsidRDefault="00212513">
      <w:pPr>
        <w:pStyle w:val="ConsPlusNormal"/>
        <w:jc w:val="center"/>
      </w:pPr>
      <w:r>
        <w:rPr>
          <w:noProof/>
          <w:position w:val="-23"/>
        </w:rPr>
        <w:drawing>
          <wp:inline distT="0" distB="0" distL="0" distR="0">
            <wp:extent cx="1022985" cy="441960"/>
            <wp:effectExtent l="0" t="0" r="0" b="0"/>
            <wp:docPr id="1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5" cstate="print">
                      <a:extLst>
                        <a:ext uri="{28A0092B-C50C-407E-A947-70E740481C1C}">
                          <a14:useLocalDpi xmlns:a14="http://schemas.microsoft.com/office/drawing/2010/main" val="0"/>
                        </a:ext>
                      </a:extLst>
                    </a:blip>
                    <a:srcRect/>
                    <a:stretch>
                      <a:fillRect/>
                    </a:stretch>
                  </pic:blipFill>
                  <pic:spPr bwMode="auto">
                    <a:xfrm>
                      <a:off x="0" y="0"/>
                      <a:ext cx="1022985" cy="441960"/>
                    </a:xfrm>
                    <a:prstGeom prst="rect">
                      <a:avLst/>
                    </a:prstGeom>
                    <a:noFill/>
                    <a:ln>
                      <a:noFill/>
                    </a:ln>
                  </pic:spPr>
                </pic:pic>
              </a:graphicData>
            </a:graphic>
          </wp:inline>
        </w:drawing>
      </w:r>
      <w:r>
        <w:t>; (8.108)</w:t>
      </w:r>
    </w:p>
    <w:p w:rsidR="00212513" w:rsidRDefault="00212513">
      <w:pPr>
        <w:pStyle w:val="ConsPlusNormal"/>
        <w:ind w:firstLine="540"/>
        <w:jc w:val="both"/>
      </w:pPr>
    </w:p>
    <w:p w:rsidR="00212513" w:rsidRDefault="00212513">
      <w:pPr>
        <w:pStyle w:val="ConsPlusNormal"/>
        <w:ind w:firstLine="540"/>
        <w:jc w:val="both"/>
      </w:pPr>
      <w:r>
        <w:t xml:space="preserve">при воздействии на пояс местного давления </w:t>
      </w:r>
      <w:r>
        <w:rPr>
          <w:i/>
        </w:rPr>
        <w:t>q</w:t>
      </w:r>
    </w:p>
    <w:p w:rsidR="00212513" w:rsidRDefault="00212513">
      <w:pPr>
        <w:pStyle w:val="ConsPlusNormal"/>
        <w:ind w:firstLine="540"/>
        <w:jc w:val="both"/>
      </w:pPr>
    </w:p>
    <w:p w:rsidR="00212513" w:rsidRDefault="00212513">
      <w:pPr>
        <w:pStyle w:val="ConsPlusNormal"/>
        <w:jc w:val="center"/>
      </w:pPr>
      <w:r>
        <w:rPr>
          <w:noProof/>
          <w:position w:val="-32"/>
        </w:rPr>
        <w:lastRenderedPageBreak/>
        <w:drawing>
          <wp:inline distT="0" distB="0" distL="0" distR="0">
            <wp:extent cx="1690370" cy="553085"/>
            <wp:effectExtent l="0" t="0" r="0" b="0"/>
            <wp:docPr id="1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6" cstate="print">
                      <a:extLst>
                        <a:ext uri="{28A0092B-C50C-407E-A947-70E740481C1C}">
                          <a14:useLocalDpi xmlns:a14="http://schemas.microsoft.com/office/drawing/2010/main" val="0"/>
                        </a:ext>
                      </a:extLst>
                    </a:blip>
                    <a:srcRect/>
                    <a:stretch>
                      <a:fillRect/>
                    </a:stretch>
                  </pic:blipFill>
                  <pic:spPr bwMode="auto">
                    <a:xfrm>
                      <a:off x="0" y="0"/>
                      <a:ext cx="1690370" cy="553085"/>
                    </a:xfrm>
                    <a:prstGeom prst="rect">
                      <a:avLst/>
                    </a:prstGeom>
                    <a:noFill/>
                    <a:ln>
                      <a:noFill/>
                    </a:ln>
                  </pic:spPr>
                </pic:pic>
              </a:graphicData>
            </a:graphic>
          </wp:inline>
        </w:drawing>
      </w:r>
      <w:r>
        <w:t>, (8.109)</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8"/>
        </w:rPr>
        <w:drawing>
          <wp:inline distT="0" distB="0" distL="0" distR="0">
            <wp:extent cx="177800" cy="251460"/>
            <wp:effectExtent l="0" t="0" r="0" b="0"/>
            <wp:docPr id="1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4"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число контактов в соединении;</w:t>
      </w:r>
    </w:p>
    <w:p w:rsidR="00212513" w:rsidRDefault="00212513">
      <w:pPr>
        <w:pStyle w:val="ConsPlusNormal"/>
        <w:spacing w:before="220"/>
        <w:ind w:firstLine="540"/>
        <w:jc w:val="both"/>
      </w:pPr>
      <w:r>
        <w:rPr>
          <w:noProof/>
          <w:position w:val="-8"/>
        </w:rPr>
        <w:drawing>
          <wp:inline distT="0" distB="0" distL="0" distR="0">
            <wp:extent cx="262890" cy="251460"/>
            <wp:effectExtent l="0" t="0" r="0" b="0"/>
            <wp:docPr id="1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3"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расчетное усилие, воспринимаемое одним болтоконтактом и определяемое по </w:t>
      </w:r>
      <w:hyperlink w:anchor="P8723">
        <w:r>
          <w:rPr>
            <w:color w:val="0000FF"/>
          </w:rPr>
          <w:t>формуле (8.105)</w:t>
        </w:r>
      </w:hyperlink>
      <w:r>
        <w:t>;</w:t>
      </w:r>
    </w:p>
    <w:p w:rsidR="00212513" w:rsidRDefault="00212513">
      <w:pPr>
        <w:pStyle w:val="ConsPlusNormal"/>
        <w:spacing w:before="220"/>
        <w:ind w:firstLine="540"/>
        <w:jc w:val="both"/>
      </w:pPr>
      <w:r>
        <w:t xml:space="preserve">остальные обозначения те же, что и в </w:t>
      </w:r>
      <w:hyperlink w:anchor="P8709">
        <w:r>
          <w:rPr>
            <w:color w:val="0000FF"/>
          </w:rPr>
          <w:t>8.99</w:t>
        </w:r>
      </w:hyperlink>
      <w:r>
        <w:t>.</w:t>
      </w:r>
    </w:p>
    <w:p w:rsidR="00212513" w:rsidRDefault="00212513">
      <w:pPr>
        <w:pStyle w:val="ConsPlusNormal"/>
        <w:spacing w:before="220"/>
        <w:ind w:firstLine="540"/>
        <w:jc w:val="both"/>
      </w:pPr>
      <w:r>
        <w:t xml:space="preserve">8.104 В случае если совместная работа проезжей части и поясов главных ферм обеспечивается специальными горизонтальными диафрагмами, расчет прикрепления продольных балок к поперечным следует выполнять на поперечную силу и момент с учетом требований </w:t>
      </w:r>
      <w:hyperlink w:anchor="P8389">
        <w:r>
          <w:rPr>
            <w:color w:val="0000FF"/>
          </w:rPr>
          <w:t>8.74</w:t>
        </w:r>
      </w:hyperlink>
      <w:r>
        <w:t>; при этом усилия в болтах, прикрепляющих вертикальные уголки к стенке поперечной балки, необходимо определять как для фланцевых соединений.</w:t>
      </w:r>
    </w:p>
    <w:p w:rsidR="00212513" w:rsidRDefault="00212513">
      <w:pPr>
        <w:pStyle w:val="ConsPlusNormal"/>
        <w:spacing w:before="220"/>
        <w:ind w:firstLine="540"/>
        <w:jc w:val="both"/>
      </w:pPr>
      <w:r>
        <w:t xml:space="preserve">Расчет болтовых и фрикционных соединений прикреплений балок проезжей части пролетных строений с решетчатыми главными фермами допускается выполнять только на поперечную силу, вводя дополнительный коэффициент условий работы </w:t>
      </w:r>
      <w:r>
        <w:rPr>
          <w:noProof/>
          <w:position w:val="-8"/>
        </w:rPr>
        <w:drawing>
          <wp:inline distT="0" distB="0" distL="0" distR="0">
            <wp:extent cx="220980" cy="251460"/>
            <wp:effectExtent l="0" t="0" r="0" b="0"/>
            <wp:docPr id="1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7"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согласно таблице 8.36.</w:t>
      </w:r>
    </w:p>
    <w:p w:rsidR="00212513" w:rsidRDefault="00212513">
      <w:pPr>
        <w:pStyle w:val="ConsPlusNormal"/>
        <w:ind w:firstLine="540"/>
        <w:jc w:val="both"/>
      </w:pPr>
    </w:p>
    <w:p w:rsidR="00212513" w:rsidRDefault="00212513">
      <w:pPr>
        <w:pStyle w:val="ConsPlusNormal"/>
        <w:jc w:val="right"/>
      </w:pPr>
      <w:bookmarkStart w:id="383" w:name="P8764"/>
      <w:bookmarkEnd w:id="383"/>
      <w:r>
        <w:t>Таблица 8.36</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855"/>
        <w:gridCol w:w="3005"/>
        <w:gridCol w:w="2211"/>
      </w:tblGrid>
      <w:tr w:rsidR="00212513">
        <w:tc>
          <w:tcPr>
            <w:tcW w:w="3855" w:type="dxa"/>
            <w:tcBorders>
              <w:top w:val="single" w:sz="4" w:space="0" w:color="auto"/>
              <w:bottom w:val="single" w:sz="4" w:space="0" w:color="auto"/>
            </w:tcBorders>
            <w:vAlign w:val="center"/>
          </w:tcPr>
          <w:p w:rsidR="00212513" w:rsidRDefault="00212513">
            <w:pPr>
              <w:pStyle w:val="ConsPlusNormal"/>
              <w:jc w:val="center"/>
            </w:pPr>
            <w:r>
              <w:t>Характеристика прикрепления и места расположения болтов</w:t>
            </w:r>
          </w:p>
        </w:tc>
        <w:tc>
          <w:tcPr>
            <w:tcW w:w="3005" w:type="dxa"/>
            <w:tcBorders>
              <w:top w:val="single" w:sz="4" w:space="0" w:color="auto"/>
              <w:bottom w:val="single" w:sz="4" w:space="0" w:color="auto"/>
            </w:tcBorders>
            <w:vAlign w:val="center"/>
          </w:tcPr>
          <w:p w:rsidR="00212513" w:rsidRDefault="00212513">
            <w:pPr>
              <w:pStyle w:val="ConsPlusNormal"/>
              <w:jc w:val="center"/>
            </w:pPr>
            <w:r>
              <w:t>Особенности конструкции узла</w:t>
            </w:r>
          </w:p>
        </w:tc>
        <w:tc>
          <w:tcPr>
            <w:tcW w:w="2211" w:type="dxa"/>
            <w:tcBorders>
              <w:top w:val="single" w:sz="4" w:space="0" w:color="auto"/>
              <w:bottom w:val="single" w:sz="4" w:space="0" w:color="auto"/>
            </w:tcBorders>
            <w:vAlign w:val="center"/>
          </w:tcPr>
          <w:p w:rsidR="00212513" w:rsidRDefault="00212513">
            <w:pPr>
              <w:pStyle w:val="ConsPlusNormal"/>
              <w:jc w:val="center"/>
            </w:pPr>
            <w:r>
              <w:t xml:space="preserve">Коэффициент условий работы </w:t>
            </w:r>
            <w:r>
              <w:rPr>
                <w:i/>
              </w:rPr>
              <w:t>m</w:t>
            </w:r>
            <w:r>
              <w:rPr>
                <w:i/>
                <w:vertAlign w:val="subscript"/>
              </w:rPr>
              <w:t>b</w:t>
            </w:r>
          </w:p>
        </w:tc>
      </w:tr>
      <w:tr w:rsidR="00212513">
        <w:tblPrEx>
          <w:tblBorders>
            <w:insideH w:val="none" w:sz="0" w:space="0" w:color="auto"/>
          </w:tblBorders>
        </w:tblPrEx>
        <w:tc>
          <w:tcPr>
            <w:tcW w:w="9071" w:type="dxa"/>
            <w:gridSpan w:val="3"/>
            <w:tcBorders>
              <w:top w:val="single" w:sz="4" w:space="0" w:color="auto"/>
              <w:bottom w:val="nil"/>
            </w:tcBorders>
          </w:tcPr>
          <w:p w:rsidR="00212513" w:rsidRDefault="00212513">
            <w:pPr>
              <w:pStyle w:val="ConsPlusNormal"/>
              <w:jc w:val="center"/>
            </w:pPr>
            <w:r>
              <w:rPr>
                <w:b/>
              </w:rPr>
              <w:t>Во всех пролетных строениях</w:t>
            </w:r>
          </w:p>
        </w:tc>
      </w:tr>
      <w:tr w:rsidR="00212513">
        <w:tblPrEx>
          <w:tblBorders>
            <w:insideH w:val="none" w:sz="0" w:space="0" w:color="auto"/>
          </w:tblBorders>
        </w:tblPrEx>
        <w:tc>
          <w:tcPr>
            <w:tcW w:w="3855" w:type="dxa"/>
            <w:tcBorders>
              <w:top w:val="nil"/>
              <w:bottom w:val="nil"/>
            </w:tcBorders>
          </w:tcPr>
          <w:p w:rsidR="00212513" w:rsidRDefault="00212513">
            <w:pPr>
              <w:pStyle w:val="ConsPlusNormal"/>
            </w:pPr>
            <w:r>
              <w:t>Вертикальные уголки прикрепления поперечной балки к узлу решетчатой главной фермы:</w:t>
            </w:r>
          </w:p>
        </w:tc>
        <w:tc>
          <w:tcPr>
            <w:tcW w:w="3005" w:type="dxa"/>
            <w:tcBorders>
              <w:top w:val="nil"/>
              <w:bottom w:val="nil"/>
            </w:tcBorders>
          </w:tcPr>
          <w:p w:rsidR="00212513" w:rsidRDefault="00212513">
            <w:pPr>
              <w:pStyle w:val="ConsPlusNormal"/>
            </w:pPr>
          </w:p>
        </w:tc>
        <w:tc>
          <w:tcPr>
            <w:tcW w:w="2211"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3855" w:type="dxa"/>
            <w:vMerge w:val="restart"/>
            <w:tcBorders>
              <w:top w:val="nil"/>
              <w:bottom w:val="nil"/>
            </w:tcBorders>
          </w:tcPr>
          <w:p w:rsidR="00212513" w:rsidRDefault="00212513">
            <w:pPr>
              <w:pStyle w:val="ConsPlusNormal"/>
              <w:ind w:left="283"/>
            </w:pPr>
            <w:r>
              <w:t>болты в полках уголков, прикрепляемых к ферме</w:t>
            </w:r>
          </w:p>
        </w:tc>
        <w:tc>
          <w:tcPr>
            <w:tcW w:w="3005" w:type="dxa"/>
            <w:tcBorders>
              <w:top w:val="nil"/>
              <w:bottom w:val="nil"/>
            </w:tcBorders>
          </w:tcPr>
          <w:p w:rsidR="00212513" w:rsidRDefault="00212513">
            <w:pPr>
              <w:pStyle w:val="ConsPlusNormal"/>
            </w:pPr>
            <w:r>
              <w:t>Конструкция не способна воспринимать опорный момент</w:t>
            </w:r>
          </w:p>
        </w:tc>
        <w:tc>
          <w:tcPr>
            <w:tcW w:w="2211" w:type="dxa"/>
            <w:tcBorders>
              <w:top w:val="nil"/>
              <w:bottom w:val="nil"/>
            </w:tcBorders>
          </w:tcPr>
          <w:p w:rsidR="00212513" w:rsidRDefault="00212513">
            <w:pPr>
              <w:pStyle w:val="ConsPlusNormal"/>
              <w:jc w:val="center"/>
            </w:pPr>
            <w:r>
              <w:t>0,85</w:t>
            </w:r>
          </w:p>
        </w:tc>
      </w:tr>
      <w:tr w:rsidR="00212513">
        <w:tblPrEx>
          <w:tblBorders>
            <w:insideH w:val="none" w:sz="0" w:space="0" w:color="auto"/>
          </w:tblBorders>
        </w:tblPrEx>
        <w:tc>
          <w:tcPr>
            <w:tcW w:w="3855" w:type="dxa"/>
            <w:vMerge/>
            <w:tcBorders>
              <w:top w:val="nil"/>
              <w:bottom w:val="nil"/>
            </w:tcBorders>
          </w:tcPr>
          <w:p w:rsidR="00212513" w:rsidRDefault="00212513">
            <w:pPr>
              <w:pStyle w:val="ConsPlusNormal"/>
            </w:pPr>
          </w:p>
        </w:tc>
        <w:tc>
          <w:tcPr>
            <w:tcW w:w="3005" w:type="dxa"/>
            <w:tcBorders>
              <w:top w:val="nil"/>
              <w:bottom w:val="nil"/>
            </w:tcBorders>
          </w:tcPr>
          <w:p w:rsidR="00212513" w:rsidRDefault="00212513">
            <w:pPr>
              <w:pStyle w:val="ConsPlusNormal"/>
            </w:pPr>
            <w:r>
              <w:t>Конструкция способна воспринимать опорный момент</w:t>
            </w:r>
          </w:p>
        </w:tc>
        <w:tc>
          <w:tcPr>
            <w:tcW w:w="2211" w:type="dxa"/>
            <w:tcBorders>
              <w:top w:val="nil"/>
              <w:bottom w:val="nil"/>
            </w:tcBorders>
          </w:tcPr>
          <w:p w:rsidR="00212513" w:rsidRDefault="00212513">
            <w:pPr>
              <w:pStyle w:val="ConsPlusNormal"/>
              <w:jc w:val="center"/>
            </w:pPr>
            <w:r>
              <w:t>0,9</w:t>
            </w:r>
          </w:p>
        </w:tc>
      </w:tr>
      <w:tr w:rsidR="00212513">
        <w:tblPrEx>
          <w:tblBorders>
            <w:insideH w:val="none" w:sz="0" w:space="0" w:color="auto"/>
          </w:tblBorders>
        </w:tblPrEx>
        <w:tc>
          <w:tcPr>
            <w:tcW w:w="3855" w:type="dxa"/>
            <w:tcBorders>
              <w:top w:val="nil"/>
              <w:bottom w:val="single" w:sz="4" w:space="0" w:color="auto"/>
            </w:tcBorders>
          </w:tcPr>
          <w:p w:rsidR="00212513" w:rsidRDefault="00212513">
            <w:pPr>
              <w:pStyle w:val="ConsPlusNormal"/>
              <w:ind w:left="283"/>
            </w:pPr>
            <w:r>
              <w:t>то же, к поперечной балке</w:t>
            </w:r>
          </w:p>
        </w:tc>
        <w:tc>
          <w:tcPr>
            <w:tcW w:w="3005" w:type="dxa"/>
            <w:tcBorders>
              <w:top w:val="nil"/>
              <w:bottom w:val="single" w:sz="4" w:space="0" w:color="auto"/>
            </w:tcBorders>
          </w:tcPr>
          <w:p w:rsidR="00212513" w:rsidRDefault="00212513">
            <w:pPr>
              <w:pStyle w:val="ConsPlusNormal"/>
            </w:pPr>
            <w:r>
              <w:t>Независимо от конструкции</w:t>
            </w:r>
          </w:p>
        </w:tc>
        <w:tc>
          <w:tcPr>
            <w:tcW w:w="2211" w:type="dxa"/>
            <w:tcBorders>
              <w:top w:val="nil"/>
              <w:bottom w:val="single" w:sz="4" w:space="0" w:color="auto"/>
            </w:tcBorders>
          </w:tcPr>
          <w:p w:rsidR="00212513" w:rsidRDefault="00212513">
            <w:pPr>
              <w:pStyle w:val="ConsPlusNormal"/>
              <w:jc w:val="center"/>
            </w:pPr>
            <w:r>
              <w:t>0,9</w:t>
            </w:r>
          </w:p>
        </w:tc>
      </w:tr>
      <w:tr w:rsidR="00212513">
        <w:tc>
          <w:tcPr>
            <w:tcW w:w="9071" w:type="dxa"/>
            <w:gridSpan w:val="3"/>
            <w:tcBorders>
              <w:top w:val="single" w:sz="4" w:space="0" w:color="auto"/>
              <w:bottom w:val="single" w:sz="4" w:space="0" w:color="auto"/>
            </w:tcBorders>
          </w:tcPr>
          <w:p w:rsidR="00212513" w:rsidRDefault="00212513">
            <w:pPr>
              <w:pStyle w:val="ConsPlusNormal"/>
              <w:jc w:val="center"/>
            </w:pPr>
            <w:r>
              <w:rPr>
                <w:b/>
              </w:rPr>
              <w:t>Совместная работа проезжей части и поясов главных ферм не обеспечивается</w:t>
            </w:r>
          </w:p>
        </w:tc>
      </w:tr>
      <w:tr w:rsidR="00212513">
        <w:tblPrEx>
          <w:tblBorders>
            <w:insideH w:val="none" w:sz="0" w:space="0" w:color="auto"/>
          </w:tblBorders>
        </w:tblPrEx>
        <w:tc>
          <w:tcPr>
            <w:tcW w:w="3855" w:type="dxa"/>
            <w:tcBorders>
              <w:top w:val="single" w:sz="4" w:space="0" w:color="auto"/>
              <w:bottom w:val="nil"/>
            </w:tcBorders>
          </w:tcPr>
          <w:p w:rsidR="00212513" w:rsidRDefault="00212513">
            <w:pPr>
              <w:pStyle w:val="ConsPlusNormal"/>
            </w:pPr>
            <w:r>
              <w:t>Вертикальные уголки прикрепления продольной балки к поперечной:</w:t>
            </w:r>
          </w:p>
        </w:tc>
        <w:tc>
          <w:tcPr>
            <w:tcW w:w="3005" w:type="dxa"/>
            <w:tcBorders>
              <w:top w:val="single" w:sz="4" w:space="0" w:color="auto"/>
              <w:bottom w:val="nil"/>
            </w:tcBorders>
          </w:tcPr>
          <w:p w:rsidR="00212513" w:rsidRDefault="00212513">
            <w:pPr>
              <w:pStyle w:val="ConsPlusNormal"/>
              <w:jc w:val="both"/>
            </w:pPr>
          </w:p>
        </w:tc>
        <w:tc>
          <w:tcPr>
            <w:tcW w:w="2211" w:type="dxa"/>
            <w:tcBorders>
              <w:top w:val="single" w:sz="4" w:space="0" w:color="auto"/>
              <w:bottom w:val="nil"/>
            </w:tcBorders>
          </w:tcPr>
          <w:p w:rsidR="00212513" w:rsidRDefault="00212513">
            <w:pPr>
              <w:pStyle w:val="ConsPlusNormal"/>
              <w:jc w:val="both"/>
            </w:pPr>
          </w:p>
        </w:tc>
      </w:tr>
      <w:tr w:rsidR="00212513">
        <w:tblPrEx>
          <w:tblBorders>
            <w:insideH w:val="none" w:sz="0" w:space="0" w:color="auto"/>
          </w:tblBorders>
        </w:tblPrEx>
        <w:tc>
          <w:tcPr>
            <w:tcW w:w="3855" w:type="dxa"/>
            <w:vMerge w:val="restart"/>
            <w:tcBorders>
              <w:top w:val="nil"/>
              <w:bottom w:val="nil"/>
            </w:tcBorders>
          </w:tcPr>
          <w:p w:rsidR="00212513" w:rsidRDefault="00212513">
            <w:pPr>
              <w:pStyle w:val="ConsPlusNormal"/>
              <w:ind w:left="283"/>
            </w:pPr>
            <w:r>
              <w:t>болты в полках уголков, прикрепляемых к поперечной балке</w:t>
            </w:r>
          </w:p>
        </w:tc>
        <w:tc>
          <w:tcPr>
            <w:tcW w:w="3005" w:type="dxa"/>
            <w:tcBorders>
              <w:top w:val="nil"/>
              <w:bottom w:val="nil"/>
            </w:tcBorders>
          </w:tcPr>
          <w:p w:rsidR="00212513" w:rsidRDefault="00212513">
            <w:pPr>
              <w:pStyle w:val="ConsPlusNormal"/>
            </w:pPr>
            <w:r>
              <w:t>Конструкция не способна воспринимать опорный момент</w:t>
            </w:r>
          </w:p>
        </w:tc>
        <w:tc>
          <w:tcPr>
            <w:tcW w:w="2211" w:type="dxa"/>
            <w:tcBorders>
              <w:top w:val="nil"/>
              <w:bottom w:val="nil"/>
            </w:tcBorders>
          </w:tcPr>
          <w:p w:rsidR="00212513" w:rsidRDefault="00212513">
            <w:pPr>
              <w:pStyle w:val="ConsPlusNormal"/>
              <w:jc w:val="center"/>
            </w:pPr>
            <w:r>
              <w:t>0,7</w:t>
            </w:r>
          </w:p>
        </w:tc>
      </w:tr>
      <w:tr w:rsidR="00212513">
        <w:tblPrEx>
          <w:tblBorders>
            <w:insideH w:val="none" w:sz="0" w:space="0" w:color="auto"/>
          </w:tblBorders>
        </w:tblPrEx>
        <w:tc>
          <w:tcPr>
            <w:tcW w:w="3855" w:type="dxa"/>
            <w:vMerge/>
            <w:tcBorders>
              <w:top w:val="nil"/>
              <w:bottom w:val="nil"/>
            </w:tcBorders>
          </w:tcPr>
          <w:p w:rsidR="00212513" w:rsidRDefault="00212513">
            <w:pPr>
              <w:pStyle w:val="ConsPlusNormal"/>
            </w:pPr>
          </w:p>
        </w:tc>
        <w:tc>
          <w:tcPr>
            <w:tcW w:w="3005" w:type="dxa"/>
            <w:tcBorders>
              <w:top w:val="nil"/>
              <w:bottom w:val="nil"/>
            </w:tcBorders>
          </w:tcPr>
          <w:p w:rsidR="00212513" w:rsidRDefault="00212513">
            <w:pPr>
              <w:pStyle w:val="ConsPlusNormal"/>
            </w:pPr>
            <w:r>
              <w:t xml:space="preserve">Конструкция способна воспринимать опорный </w:t>
            </w:r>
            <w:r>
              <w:lastRenderedPageBreak/>
              <w:t>момент</w:t>
            </w:r>
          </w:p>
        </w:tc>
        <w:tc>
          <w:tcPr>
            <w:tcW w:w="2211" w:type="dxa"/>
            <w:tcBorders>
              <w:top w:val="nil"/>
              <w:bottom w:val="nil"/>
            </w:tcBorders>
          </w:tcPr>
          <w:p w:rsidR="00212513" w:rsidRDefault="00212513">
            <w:pPr>
              <w:pStyle w:val="ConsPlusNormal"/>
              <w:jc w:val="center"/>
            </w:pPr>
            <w:r>
              <w:lastRenderedPageBreak/>
              <w:t>0,9</w:t>
            </w:r>
          </w:p>
        </w:tc>
      </w:tr>
      <w:tr w:rsidR="00212513">
        <w:tblPrEx>
          <w:tblBorders>
            <w:insideH w:val="none" w:sz="0" w:space="0" w:color="auto"/>
          </w:tblBorders>
        </w:tblPrEx>
        <w:tc>
          <w:tcPr>
            <w:tcW w:w="3855" w:type="dxa"/>
            <w:tcBorders>
              <w:top w:val="nil"/>
              <w:bottom w:val="single" w:sz="4" w:space="0" w:color="auto"/>
            </w:tcBorders>
          </w:tcPr>
          <w:p w:rsidR="00212513" w:rsidRDefault="00212513">
            <w:pPr>
              <w:pStyle w:val="ConsPlusNormal"/>
              <w:ind w:left="283"/>
            </w:pPr>
            <w:r>
              <w:lastRenderedPageBreak/>
              <w:t>то же, к продольной балке</w:t>
            </w:r>
          </w:p>
        </w:tc>
        <w:tc>
          <w:tcPr>
            <w:tcW w:w="3005" w:type="dxa"/>
            <w:tcBorders>
              <w:top w:val="nil"/>
              <w:bottom w:val="single" w:sz="4" w:space="0" w:color="auto"/>
            </w:tcBorders>
          </w:tcPr>
          <w:p w:rsidR="00212513" w:rsidRDefault="00212513">
            <w:pPr>
              <w:pStyle w:val="ConsPlusNormal"/>
            </w:pPr>
            <w:r>
              <w:t>Независимо от конструкции</w:t>
            </w:r>
          </w:p>
        </w:tc>
        <w:tc>
          <w:tcPr>
            <w:tcW w:w="2211" w:type="dxa"/>
            <w:tcBorders>
              <w:top w:val="nil"/>
              <w:bottom w:val="single" w:sz="4" w:space="0" w:color="auto"/>
            </w:tcBorders>
          </w:tcPr>
          <w:p w:rsidR="00212513" w:rsidRDefault="00212513">
            <w:pPr>
              <w:pStyle w:val="ConsPlusNormal"/>
              <w:jc w:val="center"/>
            </w:pPr>
            <w:r>
              <w:t>0,9</w:t>
            </w:r>
          </w:p>
        </w:tc>
      </w:tr>
    </w:tbl>
    <w:p w:rsidR="00212513" w:rsidRDefault="00212513">
      <w:pPr>
        <w:pStyle w:val="ConsPlusNormal"/>
        <w:ind w:firstLine="540"/>
        <w:jc w:val="both"/>
      </w:pPr>
    </w:p>
    <w:p w:rsidR="00212513" w:rsidRDefault="00212513">
      <w:pPr>
        <w:pStyle w:val="ConsPlusNormal"/>
        <w:ind w:firstLine="540"/>
        <w:jc w:val="both"/>
      </w:pPr>
      <w:r>
        <w:t xml:space="preserve">8.105 Расчет по прочности стыковых накладок растянутых элементов ферм и поясов сплошных балок следует выполнять с введением для накладок коэффициента условий работы </w:t>
      </w:r>
      <w:r>
        <w:rPr>
          <w:i/>
        </w:rPr>
        <w:t>m</w:t>
      </w:r>
      <w:r>
        <w:t xml:space="preserve"> = 0,9.</w:t>
      </w:r>
    </w:p>
    <w:p w:rsidR="00212513" w:rsidRDefault="00212513">
      <w:pPr>
        <w:pStyle w:val="ConsPlusNormal"/>
        <w:spacing w:before="220"/>
        <w:ind w:firstLine="540"/>
        <w:jc w:val="both"/>
      </w:pPr>
      <w:bookmarkStart w:id="384" w:name="P8795"/>
      <w:bookmarkEnd w:id="384"/>
      <w:r>
        <w:t>8.106 Листы узловых фасонок следует проверять на прочность прикрепления растянутых и сжатых элементов по контуру, соединяющему центры отверстий периферийных болтов прикрепления указанных элементов, по формуле</w:t>
      </w:r>
    </w:p>
    <w:p w:rsidR="00212513" w:rsidRDefault="00212513">
      <w:pPr>
        <w:pStyle w:val="ConsPlusNormal"/>
        <w:ind w:firstLine="540"/>
        <w:jc w:val="both"/>
      </w:pPr>
    </w:p>
    <w:p w:rsidR="00212513" w:rsidRDefault="00212513">
      <w:pPr>
        <w:pStyle w:val="ConsPlusNormal"/>
        <w:jc w:val="center"/>
      </w:pPr>
      <w:r>
        <w:rPr>
          <w:noProof/>
          <w:position w:val="-11"/>
        </w:rPr>
        <w:drawing>
          <wp:inline distT="0" distB="0" distL="0" distR="0">
            <wp:extent cx="2221230" cy="281940"/>
            <wp:effectExtent l="0" t="0" r="0" b="0"/>
            <wp:docPr id="1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8" cstate="print">
                      <a:extLst>
                        <a:ext uri="{28A0092B-C50C-407E-A947-70E740481C1C}">
                          <a14:useLocalDpi xmlns:a14="http://schemas.microsoft.com/office/drawing/2010/main" val="0"/>
                        </a:ext>
                      </a:extLst>
                    </a:blip>
                    <a:srcRect/>
                    <a:stretch>
                      <a:fillRect/>
                    </a:stretch>
                  </pic:blipFill>
                  <pic:spPr bwMode="auto">
                    <a:xfrm>
                      <a:off x="0" y="0"/>
                      <a:ext cx="2221230" cy="281940"/>
                    </a:xfrm>
                    <a:prstGeom prst="rect">
                      <a:avLst/>
                    </a:prstGeom>
                    <a:noFill/>
                    <a:ln>
                      <a:noFill/>
                    </a:ln>
                  </pic:spPr>
                </pic:pic>
              </a:graphicData>
            </a:graphic>
          </wp:inline>
        </w:drawing>
      </w:r>
      <w:r>
        <w:t>, (8.110)</w:t>
      </w:r>
    </w:p>
    <w:p w:rsidR="00212513" w:rsidRDefault="00212513">
      <w:pPr>
        <w:pStyle w:val="ConsPlusNormal"/>
        <w:ind w:firstLine="540"/>
        <w:jc w:val="both"/>
      </w:pPr>
    </w:p>
    <w:p w:rsidR="00212513" w:rsidRDefault="00212513">
      <w:pPr>
        <w:pStyle w:val="ConsPlusNormal"/>
        <w:ind w:firstLine="540"/>
        <w:jc w:val="both"/>
      </w:pPr>
      <w:r>
        <w:t xml:space="preserve">где </w:t>
      </w:r>
      <w:r>
        <w:rPr>
          <w:i/>
        </w:rPr>
        <w:t>N</w:t>
      </w:r>
      <w:r>
        <w:t xml:space="preserve"> - продольное усилие в элементе;</w:t>
      </w:r>
    </w:p>
    <w:p w:rsidR="00212513" w:rsidRDefault="00212513">
      <w:pPr>
        <w:pStyle w:val="ConsPlusNormal"/>
        <w:spacing w:before="220"/>
        <w:ind w:firstLine="540"/>
        <w:jc w:val="both"/>
      </w:pPr>
      <w:r>
        <w:rPr>
          <w:i/>
        </w:rPr>
        <w:t>t</w:t>
      </w:r>
      <w:r>
        <w:t xml:space="preserve"> - толщина узловой фасонки;</w:t>
      </w:r>
    </w:p>
    <w:p w:rsidR="00212513" w:rsidRDefault="00212513">
      <w:pPr>
        <w:pStyle w:val="ConsPlusNormal"/>
        <w:spacing w:before="220"/>
        <w:ind w:firstLine="540"/>
        <w:jc w:val="both"/>
      </w:pPr>
      <w:r>
        <w:rPr>
          <w:i/>
        </w:rPr>
        <w:t>m</w:t>
      </w:r>
      <w:r>
        <w:t xml:space="preserve"> - коэффициент условий работы, принимаемый по </w:t>
      </w:r>
      <w:hyperlink w:anchor="P6905">
        <w:r>
          <w:rPr>
            <w:color w:val="0000FF"/>
          </w:rPr>
          <w:t>таблице 8.15</w:t>
        </w:r>
      </w:hyperlink>
      <w:r>
        <w:t>;</w:t>
      </w:r>
    </w:p>
    <w:p w:rsidR="00212513" w:rsidRDefault="00212513">
      <w:pPr>
        <w:pStyle w:val="ConsPlusNormal"/>
        <w:spacing w:before="220"/>
        <w:ind w:firstLine="540"/>
        <w:jc w:val="both"/>
      </w:pPr>
      <w:r>
        <w:rPr>
          <w:noProof/>
          <w:position w:val="-8"/>
        </w:rPr>
        <w:drawing>
          <wp:inline distT="0" distB="0" distL="0" distR="0">
            <wp:extent cx="125730" cy="251460"/>
            <wp:effectExtent l="0" t="0" r="0" b="0"/>
            <wp:docPr id="1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9" cstate="print">
                      <a:extLst>
                        <a:ext uri="{28A0092B-C50C-407E-A947-70E740481C1C}">
                          <a14:useLocalDpi xmlns:a14="http://schemas.microsoft.com/office/drawing/2010/main" val="0"/>
                        </a:ext>
                      </a:extLst>
                    </a:blip>
                    <a:srcRect/>
                    <a:stretch>
                      <a:fillRect/>
                    </a:stretch>
                  </pic:blipFill>
                  <pic:spPr bwMode="auto">
                    <a:xfrm>
                      <a:off x="0" y="0"/>
                      <a:ext cx="125730" cy="251460"/>
                    </a:xfrm>
                    <a:prstGeom prst="rect">
                      <a:avLst/>
                    </a:prstGeom>
                    <a:noFill/>
                    <a:ln>
                      <a:noFill/>
                    </a:ln>
                  </pic:spPr>
                </pic:pic>
              </a:graphicData>
            </a:graphic>
          </wp:inline>
        </w:drawing>
      </w:r>
      <w:r>
        <w:t xml:space="preserve"> - длина </w:t>
      </w:r>
      <w:r>
        <w:rPr>
          <w:i/>
        </w:rPr>
        <w:t>i</w:t>
      </w:r>
      <w:r>
        <w:t>-го участка проверяемого контура узловой фасонки;</w:t>
      </w:r>
    </w:p>
    <w:p w:rsidR="00212513" w:rsidRDefault="00212513">
      <w:pPr>
        <w:pStyle w:val="ConsPlusNormal"/>
        <w:spacing w:before="220"/>
        <w:ind w:firstLine="540"/>
        <w:jc w:val="both"/>
      </w:pPr>
      <w:r>
        <w:rPr>
          <w:noProof/>
          <w:position w:val="-8"/>
        </w:rPr>
        <w:drawing>
          <wp:inline distT="0" distB="0" distL="0" distR="0">
            <wp:extent cx="177800" cy="251460"/>
            <wp:effectExtent l="0" t="0" r="0" b="0"/>
            <wp:docPr id="1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0"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угол между направлением </w:t>
      </w:r>
      <w:r>
        <w:rPr>
          <w:i/>
        </w:rPr>
        <w:t>i</w:t>
      </w:r>
      <w:r>
        <w:t xml:space="preserve">-го участка проверяемого контура и осью элемента </w:t>
      </w:r>
      <w:r>
        <w:rPr>
          <w:noProof/>
          <w:position w:val="-8"/>
        </w:rPr>
        <w:drawing>
          <wp:inline distT="0" distB="0" distL="0" distR="0">
            <wp:extent cx="1023620" cy="251460"/>
            <wp:effectExtent l="0" t="0" r="0" b="0"/>
            <wp:docPr id="1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1" cstate="print">
                      <a:extLst>
                        <a:ext uri="{28A0092B-C50C-407E-A947-70E740481C1C}">
                          <a14:useLocalDpi xmlns:a14="http://schemas.microsoft.com/office/drawing/2010/main" val="0"/>
                        </a:ext>
                      </a:extLst>
                    </a:blip>
                    <a:srcRect/>
                    <a:stretch>
                      <a:fillRect/>
                    </a:stretch>
                  </pic:blipFill>
                  <pic:spPr bwMode="auto">
                    <a:xfrm>
                      <a:off x="0" y="0"/>
                      <a:ext cx="1023620" cy="251460"/>
                    </a:xfrm>
                    <a:prstGeom prst="rect">
                      <a:avLst/>
                    </a:prstGeom>
                    <a:noFill/>
                    <a:ln>
                      <a:noFill/>
                    </a:ln>
                  </pic:spPr>
                </pic:pic>
              </a:graphicData>
            </a:graphic>
          </wp:inline>
        </w:drawing>
      </w:r>
      <w:r>
        <w:t>, рад.</w:t>
      </w:r>
    </w:p>
    <w:p w:rsidR="00212513" w:rsidRDefault="00212513">
      <w:pPr>
        <w:pStyle w:val="ConsPlusNormal"/>
        <w:spacing w:before="220"/>
        <w:ind w:firstLine="540"/>
        <w:jc w:val="both"/>
      </w:pPr>
      <w:r>
        <w:t xml:space="preserve">8.107 Прочность узловых болтов-шарниров допускается проверять в предположении работы болта на изгиб как свободно лежащей балки, нагруженной сосредоточенными силами по оси пакетов, соприкасающихся с болтом, принимая расчетные сопротивления по </w:t>
      </w:r>
      <w:hyperlink w:anchor="P6357">
        <w:r>
          <w:rPr>
            <w:color w:val="0000FF"/>
          </w:rPr>
          <w:t>таблице 8.3</w:t>
        </w:r>
      </w:hyperlink>
      <w:r>
        <w:t>.</w:t>
      </w:r>
    </w:p>
    <w:p w:rsidR="00212513" w:rsidRDefault="00212513">
      <w:pPr>
        <w:pStyle w:val="ConsPlusNormal"/>
        <w:spacing w:before="220"/>
        <w:ind w:firstLine="540"/>
        <w:jc w:val="both"/>
      </w:pPr>
      <w:r>
        <w:t>8.108 Для фланцевых соединений следует применять высокопрочные цилиндрические или конические болты с предварительным напряжением их на усилие</w:t>
      </w:r>
    </w:p>
    <w:p w:rsidR="00212513" w:rsidRDefault="00212513">
      <w:pPr>
        <w:pStyle w:val="ConsPlusNormal"/>
        <w:ind w:firstLine="540"/>
        <w:jc w:val="both"/>
      </w:pPr>
    </w:p>
    <w:p w:rsidR="00212513" w:rsidRDefault="00212513">
      <w:pPr>
        <w:pStyle w:val="ConsPlusNormal"/>
        <w:jc w:val="center"/>
      </w:pPr>
      <w:r>
        <w:rPr>
          <w:noProof/>
          <w:position w:val="-8"/>
        </w:rPr>
        <w:drawing>
          <wp:inline distT="0" distB="0" distL="0" distR="0">
            <wp:extent cx="704850" cy="251460"/>
            <wp:effectExtent l="0" t="0" r="0" b="0"/>
            <wp:docPr id="1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2" cstate="print">
                      <a:extLst>
                        <a:ext uri="{28A0092B-C50C-407E-A947-70E740481C1C}">
                          <a14:useLocalDpi xmlns:a14="http://schemas.microsoft.com/office/drawing/2010/main" val="0"/>
                        </a:ext>
                      </a:extLst>
                    </a:blip>
                    <a:srcRect/>
                    <a:stretch>
                      <a:fillRect/>
                    </a:stretch>
                  </pic:blipFill>
                  <pic:spPr bwMode="auto">
                    <a:xfrm>
                      <a:off x="0" y="0"/>
                      <a:ext cx="704850" cy="251460"/>
                    </a:xfrm>
                    <a:prstGeom prst="rect">
                      <a:avLst/>
                    </a:prstGeom>
                    <a:noFill/>
                    <a:ln>
                      <a:noFill/>
                    </a:ln>
                  </pic:spPr>
                </pic:pic>
              </a:graphicData>
            </a:graphic>
          </wp:inline>
        </w:drawing>
      </w:r>
      <w:r>
        <w:t>,</w:t>
      </w:r>
    </w:p>
    <w:p w:rsidR="00212513" w:rsidRDefault="00212513">
      <w:pPr>
        <w:pStyle w:val="ConsPlusNormal"/>
        <w:ind w:firstLine="540"/>
        <w:jc w:val="both"/>
      </w:pPr>
    </w:p>
    <w:p w:rsidR="00212513" w:rsidRDefault="00212513">
      <w:pPr>
        <w:pStyle w:val="ConsPlusNormal"/>
        <w:ind w:firstLine="540"/>
        <w:jc w:val="both"/>
      </w:pPr>
      <w:r>
        <w:t xml:space="preserve">где </w:t>
      </w:r>
      <w:r>
        <w:rPr>
          <w:i/>
        </w:rPr>
        <w:t>P</w:t>
      </w:r>
      <w:r>
        <w:t xml:space="preserve"> - расчетное усилие натяжения высокопрочного болта, принимаемое по </w:t>
      </w:r>
      <w:hyperlink w:anchor="P8723">
        <w:r>
          <w:rPr>
            <w:color w:val="0000FF"/>
          </w:rPr>
          <w:t>8.100</w:t>
        </w:r>
      </w:hyperlink>
      <w:r>
        <w:t>.</w:t>
      </w:r>
    </w:p>
    <w:p w:rsidR="00212513" w:rsidRDefault="00212513">
      <w:pPr>
        <w:pStyle w:val="ConsPlusNormal"/>
        <w:jc w:val="right"/>
      </w:pPr>
    </w:p>
    <w:p w:rsidR="00212513" w:rsidRDefault="00212513">
      <w:pPr>
        <w:pStyle w:val="ConsPlusTitle"/>
        <w:ind w:firstLine="540"/>
        <w:jc w:val="both"/>
        <w:outlineLvl w:val="2"/>
      </w:pPr>
      <w:r>
        <w:t>Расчет соединительных планок и перфорированных листов</w:t>
      </w:r>
    </w:p>
    <w:p w:rsidR="00212513" w:rsidRDefault="00212513">
      <w:pPr>
        <w:pStyle w:val="ConsPlusNormal"/>
        <w:ind w:firstLine="540"/>
        <w:jc w:val="both"/>
      </w:pPr>
    </w:p>
    <w:p w:rsidR="00212513" w:rsidRDefault="00212513">
      <w:pPr>
        <w:pStyle w:val="ConsPlusNormal"/>
        <w:ind w:firstLine="540"/>
        <w:jc w:val="both"/>
      </w:pPr>
      <w:r>
        <w:t xml:space="preserve">8.109 Соединительные планки или перфорированные листы сквозных сжатых элементов следует рассчитывать на условную поперечную силу </w:t>
      </w:r>
      <w:r>
        <w:rPr>
          <w:noProof/>
          <w:position w:val="-9"/>
        </w:rPr>
        <w:drawing>
          <wp:inline distT="0" distB="0" distL="0" distR="0">
            <wp:extent cx="281940" cy="262890"/>
            <wp:effectExtent l="0" t="0" r="0" b="0"/>
            <wp:docPr id="1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3" cstate="print">
                      <a:extLst>
                        <a:ext uri="{28A0092B-C50C-407E-A947-70E740481C1C}">
                          <a14:useLocalDpi xmlns:a14="http://schemas.microsoft.com/office/drawing/2010/main" val="0"/>
                        </a:ext>
                      </a:extLst>
                    </a:blip>
                    <a:srcRect/>
                    <a:stretch>
                      <a:fillRect/>
                    </a:stretch>
                  </pic:blipFill>
                  <pic:spPr bwMode="auto">
                    <a:xfrm>
                      <a:off x="0" y="0"/>
                      <a:ext cx="281940" cy="262890"/>
                    </a:xfrm>
                    <a:prstGeom prst="rect">
                      <a:avLst/>
                    </a:prstGeom>
                    <a:noFill/>
                    <a:ln>
                      <a:noFill/>
                    </a:ln>
                  </pic:spPr>
                </pic:pic>
              </a:graphicData>
            </a:graphic>
          </wp:inline>
        </w:drawing>
      </w:r>
      <w:r>
        <w:t>, принимаемую постоянной по всей длине стержня и определяемую по формуле</w:t>
      </w:r>
    </w:p>
    <w:p w:rsidR="00212513" w:rsidRDefault="00212513">
      <w:pPr>
        <w:pStyle w:val="ConsPlusNormal"/>
        <w:ind w:firstLine="540"/>
        <w:jc w:val="both"/>
      </w:pPr>
    </w:p>
    <w:p w:rsidR="00212513" w:rsidRDefault="00212513">
      <w:pPr>
        <w:pStyle w:val="ConsPlusNormal"/>
        <w:jc w:val="center"/>
      </w:pPr>
      <w:bookmarkStart w:id="385" w:name="P8815"/>
      <w:bookmarkEnd w:id="385"/>
      <w:r>
        <w:rPr>
          <w:noProof/>
          <w:position w:val="-25"/>
        </w:rPr>
        <w:drawing>
          <wp:inline distT="0" distB="0" distL="0" distR="0">
            <wp:extent cx="748030" cy="461010"/>
            <wp:effectExtent l="0" t="0" r="0" b="0"/>
            <wp:docPr id="1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4" cstate="print">
                      <a:extLst>
                        <a:ext uri="{28A0092B-C50C-407E-A947-70E740481C1C}">
                          <a14:useLocalDpi xmlns:a14="http://schemas.microsoft.com/office/drawing/2010/main" val="0"/>
                        </a:ext>
                      </a:extLst>
                    </a:blip>
                    <a:srcRect/>
                    <a:stretch>
                      <a:fillRect/>
                    </a:stretch>
                  </pic:blipFill>
                  <pic:spPr bwMode="auto">
                    <a:xfrm>
                      <a:off x="0" y="0"/>
                      <a:ext cx="748030" cy="461010"/>
                    </a:xfrm>
                    <a:prstGeom prst="rect">
                      <a:avLst/>
                    </a:prstGeom>
                    <a:noFill/>
                    <a:ln>
                      <a:noFill/>
                    </a:ln>
                  </pic:spPr>
                </pic:pic>
              </a:graphicData>
            </a:graphic>
          </wp:inline>
        </w:drawing>
      </w:r>
      <w:r>
        <w:t>, (8.111)</w:t>
      </w:r>
    </w:p>
    <w:p w:rsidR="00212513" w:rsidRDefault="00212513">
      <w:pPr>
        <w:pStyle w:val="ConsPlusNormal"/>
        <w:ind w:firstLine="540"/>
        <w:jc w:val="both"/>
      </w:pPr>
    </w:p>
    <w:p w:rsidR="00212513" w:rsidRDefault="00212513">
      <w:pPr>
        <w:pStyle w:val="ConsPlusNormal"/>
        <w:ind w:firstLine="540"/>
        <w:jc w:val="both"/>
      </w:pPr>
      <w:r>
        <w:t xml:space="preserve">где </w:t>
      </w:r>
      <w:r>
        <w:rPr>
          <w:i/>
        </w:rPr>
        <w:t>N</w:t>
      </w:r>
      <w:r>
        <w:t xml:space="preserve"> - продольное усилие сжатия в элементе;</w:t>
      </w:r>
    </w:p>
    <w:p w:rsidR="00212513" w:rsidRDefault="00212513">
      <w:pPr>
        <w:pStyle w:val="ConsPlusNormal"/>
        <w:spacing w:before="220"/>
        <w:ind w:firstLine="540"/>
        <w:jc w:val="both"/>
      </w:pPr>
      <w:r>
        <w:rPr>
          <w:noProof/>
          <w:position w:val="-3"/>
        </w:rPr>
        <w:drawing>
          <wp:inline distT="0" distB="0" distL="0" distR="0">
            <wp:extent cx="156845" cy="177800"/>
            <wp:effectExtent l="0" t="0" r="0" b="0"/>
            <wp:docPr id="1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5" cstate="print">
                      <a:extLst>
                        <a:ext uri="{28A0092B-C50C-407E-A947-70E740481C1C}">
                          <a14:useLocalDpi xmlns:a14="http://schemas.microsoft.com/office/drawing/2010/main" val="0"/>
                        </a:ext>
                      </a:extLst>
                    </a:blip>
                    <a:srcRect/>
                    <a:stretch>
                      <a:fillRect/>
                    </a:stretch>
                  </pic:blipFill>
                  <pic:spPr bwMode="auto">
                    <a:xfrm>
                      <a:off x="0" y="0"/>
                      <a:ext cx="156845" cy="177800"/>
                    </a:xfrm>
                    <a:prstGeom prst="rect">
                      <a:avLst/>
                    </a:prstGeom>
                    <a:noFill/>
                    <a:ln>
                      <a:noFill/>
                    </a:ln>
                  </pic:spPr>
                </pic:pic>
              </a:graphicData>
            </a:graphic>
          </wp:inline>
        </w:drawing>
      </w:r>
      <w:r>
        <w:t xml:space="preserve"> - коэффициент продольного изгиба при проверке устойчивости элемента в плоскости соединительных планок или перфорированных листов, принимаемый по </w:t>
      </w:r>
      <w:hyperlink w:anchor="P14781">
        <w:r>
          <w:rPr>
            <w:color w:val="0000FF"/>
          </w:rPr>
          <w:t>таблицам Ф.1</w:t>
        </w:r>
      </w:hyperlink>
      <w:r>
        <w:t xml:space="preserve"> - </w:t>
      </w:r>
      <w:hyperlink w:anchor="P15409">
        <w:r>
          <w:rPr>
            <w:color w:val="0000FF"/>
          </w:rPr>
          <w:t>Ф.3</w:t>
        </w:r>
      </w:hyperlink>
      <w:r>
        <w:t xml:space="preserve"> приложения Ф в зависимости от приведенного относительного эксцентриситета </w:t>
      </w:r>
      <w:r>
        <w:rPr>
          <w:noProof/>
          <w:position w:val="-9"/>
        </w:rPr>
        <w:drawing>
          <wp:inline distT="0" distB="0" distL="0" distR="0">
            <wp:extent cx="209550" cy="262890"/>
            <wp:effectExtent l="0" t="0" r="0" b="0"/>
            <wp:docPr id="1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6"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w:t>
      </w:r>
    </w:p>
    <w:p w:rsidR="00212513" w:rsidRDefault="00212513">
      <w:pPr>
        <w:pStyle w:val="ConsPlusNormal"/>
        <w:spacing w:before="220"/>
        <w:ind w:firstLine="540"/>
        <w:jc w:val="both"/>
      </w:pPr>
      <w:r>
        <w:rPr>
          <w:noProof/>
          <w:position w:val="-1"/>
        </w:rPr>
        <w:lastRenderedPageBreak/>
        <w:drawing>
          <wp:inline distT="0" distB="0" distL="0" distR="0">
            <wp:extent cx="167640" cy="156845"/>
            <wp:effectExtent l="0" t="0" r="0" b="0"/>
            <wp:docPr id="1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7"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 коэффициент, определяемый по формуле </w:t>
      </w:r>
      <w:r>
        <w:rPr>
          <w:noProof/>
          <w:position w:val="-6"/>
        </w:rPr>
        <w:drawing>
          <wp:inline distT="0" distB="0" distL="0" distR="0">
            <wp:extent cx="1536065" cy="220980"/>
            <wp:effectExtent l="0" t="0" r="0" b="0"/>
            <wp:docPr id="1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8" cstate="print">
                      <a:extLst>
                        <a:ext uri="{28A0092B-C50C-407E-A947-70E740481C1C}">
                          <a14:useLocalDpi xmlns:a14="http://schemas.microsoft.com/office/drawing/2010/main" val="0"/>
                        </a:ext>
                      </a:extLst>
                    </a:blip>
                    <a:srcRect/>
                    <a:stretch>
                      <a:fillRect/>
                    </a:stretch>
                  </pic:blipFill>
                  <pic:spPr bwMode="auto">
                    <a:xfrm>
                      <a:off x="0" y="0"/>
                      <a:ext cx="1536065" cy="220980"/>
                    </a:xfrm>
                    <a:prstGeom prst="rect">
                      <a:avLst/>
                    </a:prstGeom>
                    <a:noFill/>
                    <a:ln>
                      <a:noFill/>
                    </a:ln>
                  </pic:spPr>
                </pic:pic>
              </a:graphicData>
            </a:graphic>
          </wp:inline>
        </w:drawing>
      </w:r>
      <w:r>
        <w:t xml:space="preserve">, но не более 0,017; здесь </w:t>
      </w:r>
      <w:r>
        <w:rPr>
          <w:noProof/>
          <w:position w:val="-4"/>
        </w:rPr>
        <w:drawing>
          <wp:inline distT="0" distB="0" distL="0" distR="0">
            <wp:extent cx="156845" cy="198755"/>
            <wp:effectExtent l="0" t="0" r="0" b="0"/>
            <wp:docPr id="1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9"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 гибкость элемента в плоскости соединительных планок или перфорированных листов.</w:t>
      </w:r>
    </w:p>
    <w:p w:rsidR="00212513" w:rsidRDefault="00212513">
      <w:pPr>
        <w:pStyle w:val="ConsPlusNormal"/>
        <w:spacing w:before="220"/>
        <w:ind w:firstLine="540"/>
        <w:jc w:val="both"/>
      </w:pPr>
      <w:r>
        <w:t xml:space="preserve">Соединительные планки и перфорированные листы сквозных сжато-изогнутых элементов следует рассчитывать на поперечную силу, равную сумме фактической поперечной силы при изгибе и условной </w:t>
      </w:r>
      <w:r>
        <w:rPr>
          <w:noProof/>
          <w:position w:val="-9"/>
        </w:rPr>
        <w:drawing>
          <wp:inline distT="0" distB="0" distL="0" distR="0">
            <wp:extent cx="281940" cy="262890"/>
            <wp:effectExtent l="0" t="0" r="0" b="0"/>
            <wp:docPr id="1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3" cstate="print">
                      <a:extLst>
                        <a:ext uri="{28A0092B-C50C-407E-A947-70E740481C1C}">
                          <a14:useLocalDpi xmlns:a14="http://schemas.microsoft.com/office/drawing/2010/main" val="0"/>
                        </a:ext>
                      </a:extLst>
                    </a:blip>
                    <a:srcRect/>
                    <a:stretch>
                      <a:fillRect/>
                    </a:stretch>
                  </pic:blipFill>
                  <pic:spPr bwMode="auto">
                    <a:xfrm>
                      <a:off x="0" y="0"/>
                      <a:ext cx="281940" cy="262890"/>
                    </a:xfrm>
                    <a:prstGeom prst="rect">
                      <a:avLst/>
                    </a:prstGeom>
                    <a:noFill/>
                    <a:ln>
                      <a:noFill/>
                    </a:ln>
                  </pic:spPr>
                </pic:pic>
              </a:graphicData>
            </a:graphic>
          </wp:inline>
        </w:drawing>
      </w:r>
      <w:r>
        <w:t xml:space="preserve">, определяемой по </w:t>
      </w:r>
      <w:hyperlink w:anchor="P8815">
        <w:r>
          <w:rPr>
            <w:color w:val="0000FF"/>
          </w:rPr>
          <w:t>формуле (8.111)</w:t>
        </w:r>
      </w:hyperlink>
      <w:r>
        <w:t>.</w:t>
      </w:r>
    </w:p>
    <w:p w:rsidR="00212513" w:rsidRDefault="00212513">
      <w:pPr>
        <w:pStyle w:val="ConsPlusNormal"/>
        <w:spacing w:before="220"/>
        <w:ind w:firstLine="540"/>
        <w:jc w:val="both"/>
      </w:pPr>
      <w:r>
        <w:t xml:space="preserve">При расположении соединительных элементов в нескольких параллельных плоскостях, перпендикулярных оси, относительно которой выполняется проверка устойчивости, поперечную силу </w:t>
      </w:r>
      <w:r>
        <w:rPr>
          <w:i/>
        </w:rPr>
        <w:t>Q</w:t>
      </w:r>
      <w:r>
        <w:t xml:space="preserve"> следует распределять:</w:t>
      </w:r>
    </w:p>
    <w:p w:rsidR="00212513" w:rsidRDefault="00212513">
      <w:pPr>
        <w:pStyle w:val="ConsPlusNormal"/>
        <w:spacing w:before="220"/>
        <w:ind w:firstLine="540"/>
        <w:jc w:val="both"/>
      </w:pPr>
      <w:r>
        <w:t>при соединительных планках или перфорированных листах, а также в случае их сочетания - поровну между всеми плоскостями планок и перфорированных листов;</w:t>
      </w:r>
    </w:p>
    <w:p w:rsidR="00212513" w:rsidRDefault="00212513">
      <w:pPr>
        <w:pStyle w:val="ConsPlusNormal"/>
        <w:spacing w:before="220"/>
        <w:ind w:firstLine="540"/>
        <w:jc w:val="both"/>
      </w:pPr>
      <w:r>
        <w:t xml:space="preserve">при сплошном листе (пакете) и соединительных планках или перфорированных листах - на сплошной лист (пакет) принимать часть поперечной силы, равную </w:t>
      </w:r>
      <w:r>
        <w:rPr>
          <w:noProof/>
          <w:position w:val="-8"/>
        </w:rPr>
        <w:drawing>
          <wp:inline distT="0" distB="0" distL="0" distR="0">
            <wp:extent cx="241935" cy="251460"/>
            <wp:effectExtent l="0" t="0" r="0" b="0"/>
            <wp:docPr id="1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0"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и определяемую по формуле</w:t>
      </w:r>
    </w:p>
    <w:p w:rsidR="00212513" w:rsidRDefault="00212513">
      <w:pPr>
        <w:pStyle w:val="ConsPlusNormal"/>
        <w:ind w:firstLine="540"/>
        <w:jc w:val="both"/>
      </w:pPr>
    </w:p>
    <w:p w:rsidR="00212513" w:rsidRDefault="00212513">
      <w:pPr>
        <w:pStyle w:val="ConsPlusNormal"/>
        <w:jc w:val="center"/>
      </w:pPr>
      <w:r>
        <w:rPr>
          <w:noProof/>
          <w:position w:val="-29"/>
        </w:rPr>
        <w:drawing>
          <wp:inline distT="0" distB="0" distL="0" distR="0">
            <wp:extent cx="922020" cy="511810"/>
            <wp:effectExtent l="0" t="0" r="0" b="0"/>
            <wp:docPr id="1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1" cstate="print">
                      <a:extLst>
                        <a:ext uri="{28A0092B-C50C-407E-A947-70E740481C1C}">
                          <a14:useLocalDpi xmlns:a14="http://schemas.microsoft.com/office/drawing/2010/main" val="0"/>
                        </a:ext>
                      </a:extLst>
                    </a:blip>
                    <a:srcRect/>
                    <a:stretch>
                      <a:fillRect/>
                    </a:stretch>
                  </pic:blipFill>
                  <pic:spPr bwMode="auto">
                    <a:xfrm>
                      <a:off x="0" y="0"/>
                      <a:ext cx="922020" cy="511810"/>
                    </a:xfrm>
                    <a:prstGeom prst="rect">
                      <a:avLst/>
                    </a:prstGeom>
                    <a:noFill/>
                    <a:ln>
                      <a:noFill/>
                    </a:ln>
                  </pic:spPr>
                </pic:pic>
              </a:graphicData>
            </a:graphic>
          </wp:inline>
        </w:drawing>
      </w:r>
      <w:r>
        <w:t>, (8.112)</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9"/>
        </w:rPr>
        <w:drawing>
          <wp:inline distT="0" distB="0" distL="0" distR="0">
            <wp:extent cx="251460" cy="262890"/>
            <wp:effectExtent l="0" t="0" r="0" b="0"/>
            <wp:docPr id="1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2"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 площадь сечения брутто сквозного элемента, равная </w:t>
      </w:r>
      <w:r>
        <w:rPr>
          <w:noProof/>
          <w:position w:val="-11"/>
        </w:rPr>
        <w:drawing>
          <wp:inline distT="0" distB="0" distL="0" distR="0">
            <wp:extent cx="494030" cy="281940"/>
            <wp:effectExtent l="0" t="0" r="0" b="0"/>
            <wp:docPr id="1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3" cstate="print">
                      <a:extLst>
                        <a:ext uri="{28A0092B-C50C-407E-A947-70E740481C1C}">
                          <a14:useLocalDpi xmlns:a14="http://schemas.microsoft.com/office/drawing/2010/main" val="0"/>
                        </a:ext>
                      </a:extLst>
                    </a:blip>
                    <a:srcRect/>
                    <a:stretch>
                      <a:fillRect/>
                    </a:stretch>
                  </pic:blipFill>
                  <pic:spPr bwMode="auto">
                    <a:xfrm>
                      <a:off x="0" y="0"/>
                      <a:ext cx="494030" cy="281940"/>
                    </a:xfrm>
                    <a:prstGeom prst="rect">
                      <a:avLst/>
                    </a:prstGeom>
                    <a:noFill/>
                    <a:ln>
                      <a:noFill/>
                    </a:ln>
                  </pic:spPr>
                </pic:pic>
              </a:graphicData>
            </a:graphic>
          </wp:inline>
        </w:drawing>
      </w:r>
      <w:r>
        <w:t xml:space="preserve">; здесь </w:t>
      </w:r>
      <w:r>
        <w:rPr>
          <w:i/>
        </w:rPr>
        <w:t>b</w:t>
      </w:r>
      <w:r>
        <w:t xml:space="preserve"> и </w:t>
      </w:r>
      <w:r>
        <w:rPr>
          <w:noProof/>
          <w:position w:val="-9"/>
        </w:rPr>
        <w:drawing>
          <wp:inline distT="0" distB="0" distL="0" distR="0">
            <wp:extent cx="198755" cy="262890"/>
            <wp:effectExtent l="0" t="0" r="0" b="0"/>
            <wp:docPr id="1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4"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определяются по </w:t>
      </w:r>
      <w:hyperlink w:anchor="P7653">
        <w:r>
          <w:rPr>
            <w:color w:val="0000FF"/>
          </w:rPr>
          <w:t>8.37</w:t>
        </w:r>
      </w:hyperlink>
      <w:r>
        <w:t>;</w:t>
      </w:r>
    </w:p>
    <w:p w:rsidR="00212513" w:rsidRDefault="00212513">
      <w:pPr>
        <w:pStyle w:val="ConsPlusNormal"/>
        <w:spacing w:before="220"/>
        <w:ind w:firstLine="540"/>
        <w:jc w:val="both"/>
      </w:pPr>
      <w:r>
        <w:rPr>
          <w:noProof/>
          <w:position w:val="-9"/>
        </w:rPr>
        <w:drawing>
          <wp:inline distT="0" distB="0" distL="0" distR="0">
            <wp:extent cx="367030" cy="262890"/>
            <wp:effectExtent l="0" t="0" r="0" b="0"/>
            <wp:docPr id="1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5" cstate="print">
                      <a:extLst>
                        <a:ext uri="{28A0092B-C50C-407E-A947-70E740481C1C}">
                          <a14:useLocalDpi xmlns:a14="http://schemas.microsoft.com/office/drawing/2010/main" val="0"/>
                        </a:ext>
                      </a:extLst>
                    </a:blip>
                    <a:srcRect/>
                    <a:stretch>
                      <a:fillRect/>
                    </a:stretch>
                  </pic:blipFill>
                  <pic:spPr bwMode="auto">
                    <a:xfrm>
                      <a:off x="0" y="0"/>
                      <a:ext cx="367030" cy="262890"/>
                    </a:xfrm>
                    <a:prstGeom prst="rect">
                      <a:avLst/>
                    </a:prstGeom>
                    <a:noFill/>
                    <a:ln>
                      <a:noFill/>
                    </a:ln>
                  </pic:spPr>
                </pic:pic>
              </a:graphicData>
            </a:graphic>
          </wp:inline>
        </w:drawing>
      </w:r>
      <w:r>
        <w:t xml:space="preserve"> - часть сечения элемента, работающая вместе со сплошным листом и равная </w:t>
      </w:r>
      <w:r>
        <w:rPr>
          <w:noProof/>
          <w:position w:val="-8"/>
        </w:rPr>
        <w:drawing>
          <wp:inline distT="0" distB="0" distL="0" distR="0">
            <wp:extent cx="712470" cy="251460"/>
            <wp:effectExtent l="0" t="0" r="0" b="0"/>
            <wp:docPr id="1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6" cstate="print">
                      <a:extLst>
                        <a:ext uri="{28A0092B-C50C-407E-A947-70E740481C1C}">
                          <a14:useLocalDpi xmlns:a14="http://schemas.microsoft.com/office/drawing/2010/main" val="0"/>
                        </a:ext>
                      </a:extLst>
                    </a:blip>
                    <a:srcRect/>
                    <a:stretch>
                      <a:fillRect/>
                    </a:stretch>
                  </pic:blipFill>
                  <pic:spPr bwMode="auto">
                    <a:xfrm>
                      <a:off x="0" y="0"/>
                      <a:ext cx="712470" cy="251460"/>
                    </a:xfrm>
                    <a:prstGeom prst="rect">
                      <a:avLst/>
                    </a:prstGeom>
                    <a:noFill/>
                    <a:ln>
                      <a:noFill/>
                    </a:ln>
                  </pic:spPr>
                </pic:pic>
              </a:graphicData>
            </a:graphic>
          </wp:inline>
        </w:drawing>
      </w:r>
      <w:r>
        <w:t xml:space="preserve"> (здесь </w:t>
      </w:r>
      <w:r>
        <w:rPr>
          <w:noProof/>
          <w:position w:val="-8"/>
        </w:rPr>
        <w:drawing>
          <wp:inline distT="0" distB="0" distL="0" distR="0">
            <wp:extent cx="241935" cy="251460"/>
            <wp:effectExtent l="0" t="0" r="0" b="0"/>
            <wp:docPr id="1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7"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площадь сечения сплошного листа; </w:t>
      </w:r>
      <w:r>
        <w:rPr>
          <w:noProof/>
          <w:position w:val="-8"/>
        </w:rPr>
        <w:drawing>
          <wp:inline distT="0" distB="0" distL="0" distR="0">
            <wp:extent cx="137160" cy="250825"/>
            <wp:effectExtent l="0" t="0" r="0" b="0"/>
            <wp:docPr id="1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8"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 толщина вертикального листа или пакета; </w:t>
      </w:r>
      <w:r>
        <w:rPr>
          <w:noProof/>
          <w:position w:val="-8"/>
        </w:rPr>
        <w:drawing>
          <wp:inline distT="0" distB="0" distL="0" distR="0">
            <wp:extent cx="177800" cy="251460"/>
            <wp:effectExtent l="0" t="0" r="0" b="0"/>
            <wp:docPr id="1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9"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коэффициент, принимаемый по </w:t>
      </w:r>
      <w:hyperlink w:anchor="P8039">
        <w:r>
          <w:rPr>
            <w:color w:val="0000FF"/>
          </w:rPr>
          <w:t>8.55</w:t>
        </w:r>
      </w:hyperlink>
      <w:r>
        <w:t>).</w:t>
      </w:r>
    </w:p>
    <w:p w:rsidR="00212513" w:rsidRDefault="00212513">
      <w:pPr>
        <w:pStyle w:val="ConsPlusNormal"/>
        <w:spacing w:before="220"/>
        <w:ind w:firstLine="540"/>
        <w:jc w:val="both"/>
      </w:pPr>
      <w:r>
        <w:t xml:space="preserve">Соединительные планки и перфорированные листы в промежутках между отверстиями перфорации следует рассчитывать на приходящуюся на них часть поперечной силы </w:t>
      </w:r>
      <w:r>
        <w:rPr>
          <w:i/>
        </w:rPr>
        <w:t>Q</w:t>
      </w:r>
      <w:r>
        <w:t xml:space="preserve"> как элементы безраскосных ферм.</w:t>
      </w:r>
    </w:p>
    <w:p w:rsidR="00212513" w:rsidRDefault="00212513">
      <w:pPr>
        <w:pStyle w:val="ConsPlusNormal"/>
        <w:ind w:firstLine="540"/>
        <w:jc w:val="both"/>
      </w:pPr>
    </w:p>
    <w:p w:rsidR="00212513" w:rsidRDefault="00212513">
      <w:pPr>
        <w:pStyle w:val="ConsPlusTitle"/>
        <w:ind w:firstLine="540"/>
        <w:jc w:val="both"/>
        <w:outlineLvl w:val="2"/>
      </w:pPr>
      <w:r>
        <w:t>Расчет опорных частей</w:t>
      </w:r>
    </w:p>
    <w:p w:rsidR="00212513" w:rsidRDefault="00212513">
      <w:pPr>
        <w:pStyle w:val="ConsPlusNormal"/>
        <w:ind w:firstLine="540"/>
        <w:jc w:val="both"/>
      </w:pPr>
    </w:p>
    <w:p w:rsidR="00212513" w:rsidRDefault="00212513">
      <w:pPr>
        <w:pStyle w:val="ConsPlusNormal"/>
        <w:ind w:firstLine="540"/>
        <w:jc w:val="both"/>
      </w:pPr>
      <w:r>
        <w:t>8.110 Выбор необходимых опорных частей следует проводить на основании определенных проектировщиком величин опорных реакций, диапазона линейных и угловых перемещений, требуемых диапазонов коэффициентов трения.</w:t>
      </w:r>
    </w:p>
    <w:p w:rsidR="00212513" w:rsidRDefault="00212513">
      <w:pPr>
        <w:pStyle w:val="ConsPlusNormal"/>
        <w:jc w:val="both"/>
      </w:pPr>
      <w:r>
        <w:t xml:space="preserve">(в ред. </w:t>
      </w:r>
      <w:hyperlink r:id="rId2130">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Допускается определять усилия в верхних балансирах всех опорных частей, в нижних балансирах - неподвижных опорных частей в предположении равномерного распределения нагрузки по площади опирания.</w:t>
      </w:r>
    </w:p>
    <w:p w:rsidR="00212513" w:rsidRDefault="00212513">
      <w:pPr>
        <w:pStyle w:val="ConsPlusNormal"/>
        <w:spacing w:before="220"/>
        <w:ind w:firstLine="540"/>
        <w:jc w:val="both"/>
      </w:pPr>
      <w:r>
        <w:t xml:space="preserve">8.111 При расчете опорных частей должны быть учтены указания </w:t>
      </w:r>
      <w:hyperlink w:anchor="P1448">
        <w:r>
          <w:rPr>
            <w:color w:val="0000FF"/>
          </w:rPr>
          <w:t>6.20</w:t>
        </w:r>
      </w:hyperlink>
      <w:r>
        <w:t xml:space="preserve"> и </w:t>
      </w:r>
      <w:hyperlink w:anchor="P1792">
        <w:r>
          <w:rPr>
            <w:color w:val="0000FF"/>
          </w:rPr>
          <w:t>6.28</w:t>
        </w:r>
      </w:hyperlink>
      <w:r>
        <w:t>, а для подвижных опорных частей следует учитывать также эксцентриситеты передачи давления, равные продольным перемещениям катков, секторов и балансиров от нормативных нагрузок и воздействий.</w:t>
      </w:r>
    </w:p>
    <w:p w:rsidR="00212513" w:rsidRDefault="00212513">
      <w:pPr>
        <w:pStyle w:val="ConsPlusNormal"/>
        <w:spacing w:before="220"/>
        <w:ind w:firstLine="540"/>
        <w:jc w:val="both"/>
      </w:pPr>
      <w:r>
        <w:t>Продольные перемещения в подвижных опорных частях следует определять от расчетных постоянной и временной вертикальной нагрузок с динамическим коэффициентом, равным 1, деформации опор и их оснований, а также от температуры.</w:t>
      </w:r>
    </w:p>
    <w:p w:rsidR="00212513" w:rsidRDefault="00212513">
      <w:pPr>
        <w:pStyle w:val="ConsPlusNormal"/>
        <w:spacing w:before="220"/>
        <w:ind w:firstLine="540"/>
        <w:jc w:val="both"/>
      </w:pPr>
      <w:r>
        <w:lastRenderedPageBreak/>
        <w:t>Продольные перемещения от температуры в подвижных опорных частях и деформационных швах необходимо определять следующим образом.</w:t>
      </w:r>
    </w:p>
    <w:p w:rsidR="00212513" w:rsidRDefault="00212513">
      <w:pPr>
        <w:pStyle w:val="ConsPlusNormal"/>
        <w:spacing w:before="220"/>
        <w:ind w:firstLine="540"/>
        <w:jc w:val="both"/>
      </w:pPr>
      <w:r>
        <w:t>Наибольшие и наименьшие температуры в теплое (</w:t>
      </w:r>
      <w:r>
        <w:rPr>
          <w:i/>
        </w:rPr>
        <w:t>t</w:t>
      </w:r>
      <w:r>
        <w:rPr>
          <w:vertAlign w:val="subscript"/>
        </w:rPr>
        <w:t>т</w:t>
      </w:r>
      <w:r>
        <w:t>) и холодное (</w:t>
      </w:r>
      <w:r>
        <w:rPr>
          <w:i/>
        </w:rPr>
        <w:t>t</w:t>
      </w:r>
      <w:r>
        <w:rPr>
          <w:vertAlign w:val="subscript"/>
        </w:rPr>
        <w:t>х</w:t>
      </w:r>
      <w:r>
        <w:t>) время года определяют следующим образом:</w:t>
      </w:r>
    </w:p>
    <w:p w:rsidR="00212513" w:rsidRDefault="00212513">
      <w:pPr>
        <w:pStyle w:val="ConsPlusNormal"/>
        <w:jc w:val="both"/>
      </w:pPr>
    </w:p>
    <w:p w:rsidR="00212513" w:rsidRDefault="00212513">
      <w:pPr>
        <w:pStyle w:val="ConsPlusNormal"/>
        <w:jc w:val="center"/>
      </w:pPr>
      <w:r>
        <w:rPr>
          <w:noProof/>
          <w:position w:val="-8"/>
        </w:rPr>
        <w:drawing>
          <wp:inline distT="0" distB="0" distL="0" distR="0">
            <wp:extent cx="905510" cy="251460"/>
            <wp:effectExtent l="0" t="0" r="0" b="0"/>
            <wp:docPr id="1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1" cstate="print">
                      <a:extLst>
                        <a:ext uri="{28A0092B-C50C-407E-A947-70E740481C1C}">
                          <a14:useLocalDpi xmlns:a14="http://schemas.microsoft.com/office/drawing/2010/main" val="0"/>
                        </a:ext>
                      </a:extLst>
                    </a:blip>
                    <a:srcRect/>
                    <a:stretch>
                      <a:fillRect/>
                    </a:stretch>
                  </pic:blipFill>
                  <pic:spPr bwMode="auto">
                    <a:xfrm>
                      <a:off x="0" y="0"/>
                      <a:ext cx="905510" cy="251460"/>
                    </a:xfrm>
                    <a:prstGeom prst="rect">
                      <a:avLst/>
                    </a:prstGeom>
                    <a:noFill/>
                    <a:ln>
                      <a:noFill/>
                    </a:ln>
                  </pic:spPr>
                </pic:pic>
              </a:graphicData>
            </a:graphic>
          </wp:inline>
        </w:drawing>
      </w:r>
      <w:r>
        <w:t xml:space="preserve"> (8.112а)</w:t>
      </w:r>
    </w:p>
    <w:p w:rsidR="00212513" w:rsidRDefault="00212513">
      <w:pPr>
        <w:pStyle w:val="ConsPlusNormal"/>
        <w:jc w:val="both"/>
      </w:pPr>
    </w:p>
    <w:p w:rsidR="00212513" w:rsidRDefault="00212513">
      <w:pPr>
        <w:pStyle w:val="ConsPlusNormal"/>
        <w:ind w:firstLine="540"/>
        <w:jc w:val="both"/>
      </w:pPr>
      <w:r>
        <w:t xml:space="preserve">где </w:t>
      </w:r>
      <w:r>
        <w:rPr>
          <w:i/>
        </w:rPr>
        <w:t>T</w:t>
      </w:r>
      <w:r>
        <w:rPr>
          <w:vertAlign w:val="subscript"/>
        </w:rPr>
        <w:t>max</w:t>
      </w:r>
      <w:r>
        <w:t xml:space="preserve"> - абсолютный максимум температуры воздуха;</w:t>
      </w:r>
    </w:p>
    <w:p w:rsidR="00212513" w:rsidRDefault="00212513">
      <w:pPr>
        <w:pStyle w:val="ConsPlusNormal"/>
        <w:spacing w:before="220"/>
        <w:ind w:firstLine="540"/>
        <w:jc w:val="both"/>
      </w:pPr>
      <w:r>
        <w:rPr>
          <w:noProof/>
          <w:position w:val="-3"/>
        </w:rPr>
        <w:drawing>
          <wp:inline distT="0" distB="0" distL="0" distR="0">
            <wp:extent cx="167640" cy="187960"/>
            <wp:effectExtent l="0" t="0" r="0" b="0"/>
            <wp:docPr id="1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2" cstate="print">
                      <a:extLst>
                        <a:ext uri="{28A0092B-C50C-407E-A947-70E740481C1C}">
                          <a14:useLocalDpi xmlns:a14="http://schemas.microsoft.com/office/drawing/2010/main" val="0"/>
                        </a:ext>
                      </a:extLst>
                    </a:blip>
                    <a:srcRect/>
                    <a:stretch>
                      <a:fillRect/>
                    </a:stretch>
                  </pic:blipFill>
                  <pic:spPr bwMode="auto">
                    <a:xfrm>
                      <a:off x="0" y="0"/>
                      <a:ext cx="167640" cy="187960"/>
                    </a:xfrm>
                    <a:prstGeom prst="rect">
                      <a:avLst/>
                    </a:prstGeom>
                    <a:noFill/>
                    <a:ln>
                      <a:noFill/>
                    </a:ln>
                  </pic:spPr>
                </pic:pic>
              </a:graphicData>
            </a:graphic>
          </wp:inline>
        </w:drawing>
      </w:r>
      <w:r>
        <w:t xml:space="preserve"> - нагрев солнцем, принимается 10 °C для стальных, 5 °C - для сталежелезобетонных и 0 °C - для железобетонных пролетных строений;</w:t>
      </w:r>
    </w:p>
    <w:p w:rsidR="00212513" w:rsidRDefault="00212513">
      <w:pPr>
        <w:pStyle w:val="ConsPlusNormal"/>
        <w:spacing w:before="220"/>
        <w:ind w:firstLine="540"/>
        <w:jc w:val="both"/>
      </w:pPr>
      <w:r>
        <w:rPr>
          <w:i/>
        </w:rPr>
        <w:t>t</w:t>
      </w:r>
      <w:r>
        <w:rPr>
          <w:vertAlign w:val="subscript"/>
        </w:rPr>
        <w:t>х</w:t>
      </w:r>
      <w:r>
        <w:t xml:space="preserve"> - расчетная минимальная температура, принимается в соответствии с </w:t>
      </w:r>
      <w:hyperlink w:anchor="P438">
        <w:r>
          <w:rPr>
            <w:color w:val="0000FF"/>
          </w:rPr>
          <w:t>5.39</w:t>
        </w:r>
      </w:hyperlink>
      <w:r>
        <w:t>.</w:t>
      </w:r>
    </w:p>
    <w:p w:rsidR="00212513" w:rsidRDefault="00212513">
      <w:pPr>
        <w:pStyle w:val="ConsPlusNormal"/>
        <w:spacing w:before="220"/>
        <w:ind w:firstLine="540"/>
        <w:jc w:val="both"/>
      </w:pPr>
      <w:r>
        <w:t>Нормативный диапазон температур определяют по формуле</w:t>
      </w:r>
    </w:p>
    <w:p w:rsidR="00212513" w:rsidRDefault="00212513">
      <w:pPr>
        <w:pStyle w:val="ConsPlusNormal"/>
        <w:jc w:val="both"/>
      </w:pPr>
    </w:p>
    <w:p w:rsidR="00212513" w:rsidRDefault="00212513">
      <w:pPr>
        <w:pStyle w:val="ConsPlusNormal"/>
        <w:jc w:val="center"/>
      </w:pPr>
      <w:r>
        <w:rPr>
          <w:noProof/>
          <w:position w:val="-13"/>
        </w:rPr>
        <w:drawing>
          <wp:inline distT="0" distB="0" distL="0" distR="0">
            <wp:extent cx="1366520" cy="313055"/>
            <wp:effectExtent l="0" t="0" r="0" b="0"/>
            <wp:docPr id="1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3" cstate="print">
                      <a:extLst>
                        <a:ext uri="{28A0092B-C50C-407E-A947-70E740481C1C}">
                          <a14:useLocalDpi xmlns:a14="http://schemas.microsoft.com/office/drawing/2010/main" val="0"/>
                        </a:ext>
                      </a:extLst>
                    </a:blip>
                    <a:srcRect/>
                    <a:stretch>
                      <a:fillRect/>
                    </a:stretch>
                  </pic:blipFill>
                  <pic:spPr bwMode="auto">
                    <a:xfrm>
                      <a:off x="0" y="0"/>
                      <a:ext cx="1366520" cy="313055"/>
                    </a:xfrm>
                    <a:prstGeom prst="rect">
                      <a:avLst/>
                    </a:prstGeom>
                    <a:noFill/>
                    <a:ln>
                      <a:noFill/>
                    </a:ln>
                  </pic:spPr>
                </pic:pic>
              </a:graphicData>
            </a:graphic>
          </wp:inline>
        </w:drawing>
      </w:r>
      <w:r>
        <w:t xml:space="preserve"> (8.112б)</w:t>
      </w:r>
    </w:p>
    <w:p w:rsidR="00212513" w:rsidRDefault="00212513">
      <w:pPr>
        <w:pStyle w:val="ConsPlusNormal"/>
        <w:jc w:val="both"/>
      </w:pPr>
    </w:p>
    <w:p w:rsidR="00212513" w:rsidRDefault="00212513">
      <w:pPr>
        <w:pStyle w:val="ConsPlusNormal"/>
        <w:ind w:firstLine="540"/>
        <w:jc w:val="both"/>
      </w:pPr>
      <w:r>
        <w:t>Расчетный диапазон температур определяют по формуле</w:t>
      </w:r>
    </w:p>
    <w:p w:rsidR="00212513" w:rsidRDefault="00212513">
      <w:pPr>
        <w:pStyle w:val="ConsPlusNormal"/>
        <w:jc w:val="both"/>
      </w:pPr>
    </w:p>
    <w:p w:rsidR="00212513" w:rsidRDefault="00212513">
      <w:pPr>
        <w:pStyle w:val="ConsPlusNormal"/>
        <w:jc w:val="center"/>
      </w:pPr>
      <w:r>
        <w:rPr>
          <w:noProof/>
          <w:position w:val="-10"/>
        </w:rPr>
        <w:drawing>
          <wp:inline distT="0" distB="0" distL="0" distR="0">
            <wp:extent cx="1609090" cy="273685"/>
            <wp:effectExtent l="0" t="0" r="0" b="0"/>
            <wp:docPr id="1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4" cstate="print">
                      <a:extLst>
                        <a:ext uri="{28A0092B-C50C-407E-A947-70E740481C1C}">
                          <a14:useLocalDpi xmlns:a14="http://schemas.microsoft.com/office/drawing/2010/main" val="0"/>
                        </a:ext>
                      </a:extLst>
                    </a:blip>
                    <a:srcRect/>
                    <a:stretch>
                      <a:fillRect/>
                    </a:stretch>
                  </pic:blipFill>
                  <pic:spPr bwMode="auto">
                    <a:xfrm>
                      <a:off x="0" y="0"/>
                      <a:ext cx="1609090" cy="273685"/>
                    </a:xfrm>
                    <a:prstGeom prst="rect">
                      <a:avLst/>
                    </a:prstGeom>
                    <a:noFill/>
                    <a:ln>
                      <a:noFill/>
                    </a:ln>
                  </pic:spPr>
                </pic:pic>
              </a:graphicData>
            </a:graphic>
          </wp:inline>
        </w:drawing>
      </w:r>
      <w:r>
        <w:t xml:space="preserve"> (8.112в)</w:t>
      </w:r>
    </w:p>
    <w:p w:rsidR="00212513" w:rsidRDefault="00212513">
      <w:pPr>
        <w:pStyle w:val="ConsPlusNormal"/>
        <w:jc w:val="both"/>
      </w:pPr>
    </w:p>
    <w:p w:rsidR="00212513" w:rsidRDefault="00212513">
      <w:pPr>
        <w:pStyle w:val="ConsPlusNormal"/>
        <w:ind w:firstLine="540"/>
        <w:jc w:val="both"/>
      </w:pPr>
      <w:r>
        <w:t xml:space="preserve">где </w:t>
      </w:r>
      <w:r>
        <w:rPr>
          <w:noProof/>
          <w:position w:val="-10"/>
        </w:rPr>
        <w:drawing>
          <wp:inline distT="0" distB="0" distL="0" distR="0">
            <wp:extent cx="771525" cy="273685"/>
            <wp:effectExtent l="0" t="0" r="0" b="0"/>
            <wp:docPr id="1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5" cstate="print">
                      <a:extLst>
                        <a:ext uri="{28A0092B-C50C-407E-A947-70E740481C1C}">
                          <a14:useLocalDpi xmlns:a14="http://schemas.microsoft.com/office/drawing/2010/main" val="0"/>
                        </a:ext>
                      </a:extLst>
                    </a:blip>
                    <a:srcRect/>
                    <a:stretch>
                      <a:fillRect/>
                    </a:stretch>
                  </pic:blipFill>
                  <pic:spPr bwMode="auto">
                    <a:xfrm>
                      <a:off x="0" y="0"/>
                      <a:ext cx="771525" cy="273685"/>
                    </a:xfrm>
                    <a:prstGeom prst="rect">
                      <a:avLst/>
                    </a:prstGeom>
                    <a:noFill/>
                    <a:ln>
                      <a:noFill/>
                    </a:ln>
                  </pic:spPr>
                </pic:pic>
              </a:graphicData>
            </a:graphic>
          </wp:inline>
        </w:drawing>
      </w:r>
      <w:r>
        <w:t xml:space="preserve"> - добавка на ошибку;</w:t>
      </w:r>
    </w:p>
    <w:p w:rsidR="00212513" w:rsidRDefault="00212513">
      <w:pPr>
        <w:pStyle w:val="ConsPlusNormal"/>
        <w:spacing w:before="220"/>
        <w:ind w:firstLine="540"/>
        <w:jc w:val="both"/>
      </w:pPr>
      <w:r>
        <w:rPr>
          <w:noProof/>
          <w:position w:val="-8"/>
        </w:rPr>
        <w:drawing>
          <wp:inline distT="0" distB="0" distL="0" distR="0">
            <wp:extent cx="293370" cy="251460"/>
            <wp:effectExtent l="0" t="0" r="0" b="0"/>
            <wp:docPr id="1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6"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 принимается равной: 0 °C - при корректировке положения опорной части по измеренной температуре; 15 °C - без корректировки положения по температуре при установке опорной части в диапазоне температур +/- 10 °C.</w:t>
      </w:r>
    </w:p>
    <w:p w:rsidR="00212513" w:rsidRDefault="00212513">
      <w:pPr>
        <w:pStyle w:val="ConsPlusNormal"/>
        <w:jc w:val="both"/>
      </w:pPr>
      <w:r>
        <w:t xml:space="preserve">(в ред. </w:t>
      </w:r>
      <w:hyperlink r:id="rId2137">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 xml:space="preserve">Заделку анкерного болта следует рассчитывать в соответствии с указаниями </w:t>
      </w:r>
      <w:hyperlink r:id="rId2138">
        <w:r>
          <w:rPr>
            <w:color w:val="0000FF"/>
          </w:rPr>
          <w:t>СП 63.13330</w:t>
        </w:r>
      </w:hyperlink>
      <w:r>
        <w:t xml:space="preserve"> с введением при этом коэффициента условий работы </w:t>
      </w:r>
      <w:r>
        <w:rPr>
          <w:i/>
        </w:rPr>
        <w:t>m</w:t>
      </w:r>
      <w:r>
        <w:t xml:space="preserve"> = 0,7.</w:t>
      </w:r>
    </w:p>
    <w:p w:rsidR="00212513" w:rsidRDefault="00212513">
      <w:pPr>
        <w:pStyle w:val="ConsPlusNormal"/>
        <w:jc w:val="both"/>
      </w:pPr>
      <w:r>
        <w:t xml:space="preserve">(в ред. </w:t>
      </w:r>
      <w:hyperlink r:id="rId2139">
        <w:r>
          <w:rPr>
            <w:color w:val="0000FF"/>
          </w:rPr>
          <w:t>Изменения N 1</w:t>
        </w:r>
      </w:hyperlink>
      <w:r>
        <w:t xml:space="preserve">, утв. Приказом Минстроя России от 03.12.2016 N 879/пр, </w:t>
      </w:r>
      <w:hyperlink r:id="rId2140">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8.112 Расчет на смятие в цилиндрических шарнирах (цапфах) балансирных опорных частей (при центральном угле касания поверхностей, равном или большем 90°) следует выполнять по формуле</w:t>
      </w:r>
    </w:p>
    <w:p w:rsidR="00212513" w:rsidRDefault="00212513">
      <w:pPr>
        <w:pStyle w:val="ConsPlusNormal"/>
        <w:ind w:firstLine="540"/>
        <w:jc w:val="both"/>
      </w:pPr>
    </w:p>
    <w:p w:rsidR="00212513" w:rsidRDefault="00212513">
      <w:pPr>
        <w:pStyle w:val="ConsPlusNormal"/>
        <w:jc w:val="center"/>
      </w:pPr>
      <w:r>
        <w:rPr>
          <w:noProof/>
          <w:position w:val="-25"/>
        </w:rPr>
        <w:drawing>
          <wp:inline distT="0" distB="0" distL="0" distR="0">
            <wp:extent cx="939800" cy="461010"/>
            <wp:effectExtent l="0" t="0" r="0" b="0"/>
            <wp:docPr id="1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1" cstate="print">
                      <a:extLst>
                        <a:ext uri="{28A0092B-C50C-407E-A947-70E740481C1C}">
                          <a14:useLocalDpi xmlns:a14="http://schemas.microsoft.com/office/drawing/2010/main" val="0"/>
                        </a:ext>
                      </a:extLst>
                    </a:blip>
                    <a:srcRect/>
                    <a:stretch>
                      <a:fillRect/>
                    </a:stretch>
                  </pic:blipFill>
                  <pic:spPr bwMode="auto">
                    <a:xfrm>
                      <a:off x="0" y="0"/>
                      <a:ext cx="939800" cy="461010"/>
                    </a:xfrm>
                    <a:prstGeom prst="rect">
                      <a:avLst/>
                    </a:prstGeom>
                    <a:noFill/>
                    <a:ln>
                      <a:noFill/>
                    </a:ln>
                  </pic:spPr>
                </pic:pic>
              </a:graphicData>
            </a:graphic>
          </wp:inline>
        </w:drawing>
      </w:r>
      <w:r>
        <w:t>. (8.113)</w:t>
      </w:r>
    </w:p>
    <w:p w:rsidR="00212513" w:rsidRDefault="00212513">
      <w:pPr>
        <w:pStyle w:val="ConsPlusNormal"/>
        <w:ind w:firstLine="540"/>
        <w:jc w:val="both"/>
      </w:pPr>
    </w:p>
    <w:p w:rsidR="00212513" w:rsidRDefault="00212513">
      <w:pPr>
        <w:pStyle w:val="ConsPlusNormal"/>
        <w:ind w:firstLine="540"/>
        <w:jc w:val="both"/>
      </w:pPr>
      <w:r>
        <w:t>Расчет на диаметральное сжатие катков следует выполнять по формуле</w:t>
      </w:r>
    </w:p>
    <w:p w:rsidR="00212513" w:rsidRDefault="00212513">
      <w:pPr>
        <w:pStyle w:val="ConsPlusNormal"/>
        <w:ind w:firstLine="540"/>
        <w:jc w:val="both"/>
      </w:pPr>
    </w:p>
    <w:p w:rsidR="00212513" w:rsidRDefault="00212513">
      <w:pPr>
        <w:pStyle w:val="ConsPlusNormal"/>
        <w:jc w:val="center"/>
      </w:pPr>
      <w:r>
        <w:rPr>
          <w:noProof/>
          <w:position w:val="-22"/>
        </w:rPr>
        <w:drawing>
          <wp:inline distT="0" distB="0" distL="0" distR="0">
            <wp:extent cx="774700" cy="428625"/>
            <wp:effectExtent l="0" t="0" r="0" b="0"/>
            <wp:docPr id="1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2" cstate="print">
                      <a:extLst>
                        <a:ext uri="{28A0092B-C50C-407E-A947-70E740481C1C}">
                          <a14:useLocalDpi xmlns:a14="http://schemas.microsoft.com/office/drawing/2010/main" val="0"/>
                        </a:ext>
                      </a:extLst>
                    </a:blip>
                    <a:srcRect/>
                    <a:stretch>
                      <a:fillRect/>
                    </a:stretch>
                  </pic:blipFill>
                  <pic:spPr bwMode="auto">
                    <a:xfrm>
                      <a:off x="0" y="0"/>
                      <a:ext cx="774700" cy="428625"/>
                    </a:xfrm>
                    <a:prstGeom prst="rect">
                      <a:avLst/>
                    </a:prstGeom>
                    <a:noFill/>
                    <a:ln>
                      <a:noFill/>
                    </a:ln>
                  </pic:spPr>
                </pic:pic>
              </a:graphicData>
            </a:graphic>
          </wp:inline>
        </w:drawing>
      </w:r>
      <w:r>
        <w:t>. (8.114)</w:t>
      </w:r>
    </w:p>
    <w:p w:rsidR="00212513" w:rsidRDefault="00212513">
      <w:pPr>
        <w:pStyle w:val="ConsPlusNormal"/>
        <w:ind w:firstLine="540"/>
        <w:jc w:val="both"/>
      </w:pPr>
    </w:p>
    <w:p w:rsidR="00212513" w:rsidRDefault="00212513">
      <w:pPr>
        <w:pStyle w:val="ConsPlusNormal"/>
        <w:ind w:firstLine="540"/>
        <w:jc w:val="both"/>
      </w:pPr>
      <w:r>
        <w:t>В формулах (8.113) и (8.114):</w:t>
      </w:r>
    </w:p>
    <w:p w:rsidR="00212513" w:rsidRDefault="00212513">
      <w:pPr>
        <w:pStyle w:val="ConsPlusNormal"/>
        <w:spacing w:before="220"/>
        <w:ind w:firstLine="540"/>
        <w:jc w:val="both"/>
      </w:pPr>
      <w:r>
        <w:rPr>
          <w:i/>
        </w:rPr>
        <w:t>F</w:t>
      </w:r>
      <w:r>
        <w:t xml:space="preserve"> - давление на опорную часть;</w:t>
      </w:r>
    </w:p>
    <w:p w:rsidR="00212513" w:rsidRDefault="00212513">
      <w:pPr>
        <w:pStyle w:val="ConsPlusNormal"/>
        <w:spacing w:before="220"/>
        <w:ind w:firstLine="540"/>
        <w:jc w:val="both"/>
      </w:pPr>
      <w:r>
        <w:rPr>
          <w:noProof/>
          <w:position w:val="-8"/>
        </w:rPr>
        <w:lastRenderedPageBreak/>
        <w:drawing>
          <wp:inline distT="0" distB="0" distL="0" distR="0">
            <wp:extent cx="177800" cy="251460"/>
            <wp:effectExtent l="0" t="0" r="0" b="0"/>
            <wp:docPr id="1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3"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давление на один наиболее нагруженный каток;</w:t>
      </w:r>
    </w:p>
    <w:p w:rsidR="00212513" w:rsidRDefault="00212513">
      <w:pPr>
        <w:pStyle w:val="ConsPlusNormal"/>
        <w:spacing w:before="220"/>
        <w:ind w:firstLine="540"/>
        <w:jc w:val="both"/>
      </w:pPr>
      <w:r>
        <w:rPr>
          <w:i/>
        </w:rPr>
        <w:t>r</w:t>
      </w:r>
      <w:r>
        <w:t xml:space="preserve"> - радиус кривизны поверхности катка или шарнира;</w:t>
      </w:r>
    </w:p>
    <w:p w:rsidR="00212513" w:rsidRDefault="00212513">
      <w:pPr>
        <w:pStyle w:val="ConsPlusNormal"/>
        <w:spacing w:before="220"/>
        <w:ind w:firstLine="540"/>
        <w:jc w:val="both"/>
      </w:pPr>
      <w:r>
        <w:rPr>
          <w:i/>
        </w:rPr>
        <w:t>l</w:t>
      </w:r>
      <w:r>
        <w:t xml:space="preserve"> - длина катка или шарнира;</w:t>
      </w:r>
    </w:p>
    <w:p w:rsidR="00212513" w:rsidRDefault="00212513">
      <w:pPr>
        <w:pStyle w:val="ConsPlusNormal"/>
        <w:spacing w:before="220"/>
        <w:ind w:firstLine="540"/>
        <w:jc w:val="both"/>
      </w:pPr>
      <w:r>
        <w:rPr>
          <w:i/>
        </w:rPr>
        <w:t>m</w:t>
      </w:r>
      <w:r>
        <w:t xml:space="preserve"> - коэффициент условий работы, принимаемый по </w:t>
      </w:r>
      <w:hyperlink w:anchor="P6905">
        <w:r>
          <w:rPr>
            <w:color w:val="0000FF"/>
          </w:rPr>
          <w:t>таблице 8.15</w:t>
        </w:r>
      </w:hyperlink>
      <w:r>
        <w:t>;</w:t>
      </w:r>
    </w:p>
    <w:p w:rsidR="00212513" w:rsidRDefault="00212513">
      <w:pPr>
        <w:pStyle w:val="ConsPlusNormal"/>
        <w:spacing w:before="220"/>
        <w:ind w:firstLine="540"/>
        <w:jc w:val="both"/>
      </w:pPr>
      <w:r>
        <w:rPr>
          <w:noProof/>
          <w:position w:val="-9"/>
        </w:rPr>
        <w:drawing>
          <wp:inline distT="0" distB="0" distL="0" distR="0">
            <wp:extent cx="241935" cy="262890"/>
            <wp:effectExtent l="0" t="0" r="0" b="0"/>
            <wp:docPr id="1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4" cstate="print">
                      <a:extLst>
                        <a:ext uri="{28A0092B-C50C-407E-A947-70E740481C1C}">
                          <a14:useLocalDpi xmlns:a14="http://schemas.microsoft.com/office/drawing/2010/main" val="0"/>
                        </a:ext>
                      </a:extLst>
                    </a:blip>
                    <a:srcRect/>
                    <a:stretch>
                      <a:fillRect/>
                    </a:stretch>
                  </pic:blipFill>
                  <pic:spPr bwMode="auto">
                    <a:xfrm>
                      <a:off x="0" y="0"/>
                      <a:ext cx="241935" cy="262890"/>
                    </a:xfrm>
                    <a:prstGeom prst="rect">
                      <a:avLst/>
                    </a:prstGeom>
                    <a:noFill/>
                    <a:ln>
                      <a:noFill/>
                    </a:ln>
                  </pic:spPr>
                </pic:pic>
              </a:graphicData>
            </a:graphic>
          </wp:inline>
        </w:drawing>
      </w:r>
      <w:r>
        <w:t xml:space="preserve">, </w:t>
      </w:r>
      <w:r>
        <w:rPr>
          <w:noProof/>
          <w:position w:val="-8"/>
        </w:rPr>
        <w:drawing>
          <wp:inline distT="0" distB="0" distL="0" distR="0">
            <wp:extent cx="251460" cy="251460"/>
            <wp:effectExtent l="0" t="0" r="0" b="0"/>
            <wp:docPr id="1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5"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расчетные сопротивления соответственно местному смятию при плотном касании и диаметральному сжатию катков при свободном касании, принимаемые согласно требованиям </w:t>
      </w:r>
      <w:hyperlink w:anchor="P6600">
        <w:r>
          <w:rPr>
            <w:color w:val="0000FF"/>
          </w:rPr>
          <w:t>таблицы 8.7</w:t>
        </w:r>
      </w:hyperlink>
      <w:r>
        <w:t>.</w:t>
      </w:r>
    </w:p>
    <w:p w:rsidR="00212513" w:rsidRDefault="00212513">
      <w:pPr>
        <w:pStyle w:val="ConsPlusNormal"/>
        <w:ind w:firstLine="540"/>
        <w:jc w:val="both"/>
      </w:pPr>
    </w:p>
    <w:p w:rsidR="00212513" w:rsidRDefault="00212513">
      <w:pPr>
        <w:pStyle w:val="ConsPlusTitle"/>
        <w:ind w:firstLine="540"/>
        <w:jc w:val="both"/>
        <w:outlineLvl w:val="2"/>
      </w:pPr>
      <w:r>
        <w:t>Конструирование</w:t>
      </w:r>
    </w:p>
    <w:p w:rsidR="00212513" w:rsidRDefault="00212513">
      <w:pPr>
        <w:pStyle w:val="ConsPlusNormal"/>
        <w:jc w:val="center"/>
      </w:pPr>
    </w:p>
    <w:p w:rsidR="00212513" w:rsidRDefault="00212513">
      <w:pPr>
        <w:pStyle w:val="ConsPlusTitle"/>
        <w:ind w:firstLine="540"/>
        <w:jc w:val="both"/>
        <w:outlineLvl w:val="3"/>
      </w:pPr>
      <w:r>
        <w:t>Общие положения</w:t>
      </w:r>
    </w:p>
    <w:p w:rsidR="00212513" w:rsidRDefault="00212513">
      <w:pPr>
        <w:pStyle w:val="ConsPlusNormal"/>
        <w:ind w:firstLine="540"/>
        <w:jc w:val="both"/>
      </w:pPr>
    </w:p>
    <w:p w:rsidR="00212513" w:rsidRDefault="00212513">
      <w:pPr>
        <w:pStyle w:val="ConsPlusNormal"/>
        <w:ind w:firstLine="540"/>
        <w:jc w:val="both"/>
      </w:pPr>
      <w:r>
        <w:t>8.113 Для стальных конструкций мостов необходимо:</w:t>
      </w:r>
    </w:p>
    <w:p w:rsidR="00212513" w:rsidRDefault="00212513">
      <w:pPr>
        <w:pStyle w:val="ConsPlusNormal"/>
        <w:spacing w:before="220"/>
        <w:ind w:firstLine="540"/>
        <w:jc w:val="both"/>
      </w:pPr>
      <w:r>
        <w:t>учитывать возможности технологического и кранового оборудования заводов - изготовителей стальных конструкций, а также подъемно-транспортного и монтажного оборудования строительных организаций;</w:t>
      </w:r>
    </w:p>
    <w:p w:rsidR="00212513" w:rsidRDefault="00212513">
      <w:pPr>
        <w:pStyle w:val="ConsPlusNormal"/>
        <w:spacing w:before="220"/>
        <w:ind w:firstLine="540"/>
        <w:jc w:val="both"/>
      </w:pPr>
      <w:r>
        <w:t>разделять конструкции на отправочные элементы из условий выполнения максимального объема работ на заводах-изготовителях с учетом грузоподъемности и габаритов транспортных средств;</w:t>
      </w:r>
    </w:p>
    <w:p w:rsidR="00212513" w:rsidRDefault="00212513">
      <w:pPr>
        <w:pStyle w:val="ConsPlusNormal"/>
        <w:spacing w:before="220"/>
        <w:ind w:firstLine="540"/>
        <w:jc w:val="both"/>
      </w:pPr>
      <w:r>
        <w:t>предусматривать связи, обеспечивающие в процессе транспортирования, монтажа и эксплуатации устойчивость и пространственную неизменяемость конструкции в целом, ее частей и элементов;</w:t>
      </w:r>
    </w:p>
    <w:p w:rsidR="00212513" w:rsidRDefault="00212513">
      <w:pPr>
        <w:pStyle w:val="ConsPlusNormal"/>
        <w:spacing w:before="220"/>
        <w:ind w:firstLine="540"/>
        <w:jc w:val="both"/>
      </w:pPr>
      <w:r>
        <w:t>осуществлять унификацию монтажных блоков и элементов, а также узлов и расположения болтовых отверстий;</w:t>
      </w:r>
    </w:p>
    <w:p w:rsidR="00212513" w:rsidRDefault="00212513">
      <w:pPr>
        <w:pStyle w:val="ConsPlusNormal"/>
        <w:spacing w:before="220"/>
        <w:ind w:firstLine="540"/>
        <w:jc w:val="both"/>
      </w:pPr>
      <w:r>
        <w:t>обеспечивать удобство сборки и выполнения монтажных соединений, предусматривая монтажные крепления элементов, устройство стремянок, подмостей и т.д.;</w:t>
      </w:r>
    </w:p>
    <w:p w:rsidR="00212513" w:rsidRDefault="00212513">
      <w:pPr>
        <w:pStyle w:val="ConsPlusNormal"/>
        <w:spacing w:before="220"/>
        <w:ind w:firstLine="540"/>
        <w:jc w:val="both"/>
      </w:pPr>
      <w:r>
        <w:t>осуществлять унификацию применяемого проката по профилям и длинам с учетом требования об использовании металла с минимальными отходами и потерями;</w:t>
      </w:r>
    </w:p>
    <w:p w:rsidR="00212513" w:rsidRDefault="00212513">
      <w:pPr>
        <w:pStyle w:val="ConsPlusNormal"/>
        <w:spacing w:before="220"/>
        <w:ind w:firstLine="540"/>
        <w:jc w:val="both"/>
      </w:pPr>
      <w:r>
        <w:t>учитывать допуски проката и допуски заводского изготовления;</w:t>
      </w:r>
    </w:p>
    <w:p w:rsidR="00212513" w:rsidRDefault="00212513">
      <w:pPr>
        <w:pStyle w:val="ConsPlusNormal"/>
        <w:spacing w:before="220"/>
        <w:ind w:firstLine="540"/>
        <w:jc w:val="both"/>
      </w:pPr>
      <w:r>
        <w:t>предусматривать в проектах на стадии КМ надежную защиту конструкций от коррозии с учетом агрессивности природно-климатической среды и загрязненности атмосферы промышленными предприятиями, действующими в зоне эксплуатации мостов.</w:t>
      </w:r>
    </w:p>
    <w:p w:rsidR="00212513" w:rsidRDefault="00212513">
      <w:pPr>
        <w:pStyle w:val="ConsPlusNormal"/>
        <w:spacing w:before="220"/>
        <w:ind w:firstLine="540"/>
        <w:jc w:val="both"/>
      </w:pPr>
      <w:bookmarkStart w:id="386" w:name="P8888"/>
      <w:bookmarkEnd w:id="386"/>
      <w:r>
        <w:t>8.114 При проектировании стальных конструкций следует исключать стесненное расположение привариваемых деталей, резкие изменения сечения элементов, образование конструктивных "надрезов" в виде обрывов фасонок и ребер жесткости или вырезов в них, примыкающих под углом к поверхности напряженных частей сечения (поясов и стенки балок, листов составных элементов).</w:t>
      </w:r>
    </w:p>
    <w:p w:rsidR="00212513" w:rsidRDefault="00212513">
      <w:pPr>
        <w:pStyle w:val="ConsPlusNormal"/>
        <w:jc w:val="both"/>
      </w:pPr>
      <w:r>
        <w:t xml:space="preserve">(в ред. </w:t>
      </w:r>
      <w:hyperlink r:id="rId2146">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 xml:space="preserve">Для повышения выносливости и хладостойкости конструкций, а также снижения отрицательного влияния остаточных деформаций и напряжений от сварки следует предусматривать мероприятия конструктивного и технологического характера (оптимальный </w:t>
      </w:r>
      <w:r>
        <w:lastRenderedPageBreak/>
        <w:t>порядок сборки и сварки элементов; роспуск швов; предварительный выгиб и местный подогрев; нагрев отдельных зон после сварки; полное проплавление и выкружки на концах обрываемых деталей, подходящие по касательной к поверхности оставшейся части сечения; механическую обработку зон концентрации напряжений).</w:t>
      </w:r>
    </w:p>
    <w:p w:rsidR="00212513" w:rsidRDefault="00212513">
      <w:pPr>
        <w:pStyle w:val="ConsPlusNormal"/>
        <w:jc w:val="both"/>
      </w:pPr>
      <w:r>
        <w:t xml:space="preserve">(в ред. </w:t>
      </w:r>
      <w:hyperlink r:id="rId2147">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В конструкциях северного исполнения следует исключать обрыв отдельных частей сечения по длине элемента в целом (или монтажного блока, если в стыках блоков применены фрикционные соединения).</w:t>
      </w:r>
    </w:p>
    <w:p w:rsidR="00212513" w:rsidRDefault="00212513">
      <w:pPr>
        <w:pStyle w:val="ConsPlusNormal"/>
        <w:spacing w:before="220"/>
        <w:ind w:firstLine="540"/>
        <w:jc w:val="both"/>
      </w:pPr>
      <w:r>
        <w:t xml:space="preserve">Абзац исключен с 30.06.2021. - </w:t>
      </w:r>
      <w:hyperlink r:id="rId2148">
        <w:r>
          <w:rPr>
            <w:color w:val="0000FF"/>
          </w:rPr>
          <w:t>Изменение N 3</w:t>
        </w:r>
      </w:hyperlink>
      <w:r>
        <w:t>, утв. Приказом Минстроя России от 29.12.2020 N 891/пр.</w:t>
      </w:r>
    </w:p>
    <w:p w:rsidR="00212513" w:rsidRDefault="00212513">
      <w:pPr>
        <w:pStyle w:val="ConsPlusNormal"/>
        <w:spacing w:before="220"/>
        <w:ind w:firstLine="540"/>
        <w:jc w:val="both"/>
      </w:pPr>
      <w:r>
        <w:t xml:space="preserve">Стальные конструкции должны иметь защиту от атмосферной коррозии с использованием лакокрасочных материалов, выбор которых должен быть основан на рекомендациях </w:t>
      </w:r>
      <w:hyperlink r:id="rId2149">
        <w:r>
          <w:rPr>
            <w:color w:val="0000FF"/>
          </w:rPr>
          <w:t>СП 28.13330</w:t>
        </w:r>
      </w:hyperlink>
      <w:r>
        <w:t xml:space="preserve">, с учетом категории коррозионной активности среды, принятой на основании инженерных изысканий и </w:t>
      </w:r>
      <w:hyperlink r:id="rId2150">
        <w:r>
          <w:rPr>
            <w:color w:val="0000FF"/>
          </w:rPr>
          <w:t>ГОСТ ISO 9223</w:t>
        </w:r>
      </w:hyperlink>
      <w:r>
        <w:t xml:space="preserve">, и срока службы в соответствии с </w:t>
      </w:r>
      <w:hyperlink r:id="rId2151">
        <w:r>
          <w:rPr>
            <w:color w:val="0000FF"/>
          </w:rPr>
          <w:t>ГОСТ 34667.1</w:t>
        </w:r>
      </w:hyperlink>
      <w:r>
        <w:t>.</w:t>
      </w:r>
    </w:p>
    <w:p w:rsidR="00212513" w:rsidRDefault="00212513">
      <w:pPr>
        <w:pStyle w:val="ConsPlusNormal"/>
        <w:jc w:val="both"/>
      </w:pPr>
      <w:r>
        <w:t xml:space="preserve">(в ред. </w:t>
      </w:r>
      <w:hyperlink r:id="rId2152">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 xml:space="preserve">Абзац исключен с 01.07.2024. - </w:t>
      </w:r>
      <w:hyperlink r:id="rId2153">
        <w:r>
          <w:rPr>
            <w:color w:val="0000FF"/>
          </w:rPr>
          <w:t>Изменение N 4</w:t>
        </w:r>
      </w:hyperlink>
      <w:r>
        <w:t>, утв. Приказом Минстроя России от 30.05.2024 N 361/пр.</w:t>
      </w:r>
    </w:p>
    <w:p w:rsidR="00212513" w:rsidRDefault="00212513">
      <w:pPr>
        <w:pStyle w:val="ConsPlusNormal"/>
        <w:spacing w:before="220"/>
        <w:ind w:firstLine="540"/>
        <w:jc w:val="both"/>
      </w:pPr>
      <w:r>
        <w:t>Состав системы, включая типы пленкообразующих материалов, толщину и количество слоев, следует определять в зависимости от категории коррозионной активности среды в условиях атмосферы и срока службы лакокрасочной системы. Под толщиной слоя антикоррозионного покрытия подразумевается номинальная толщина сухой пленки. Номинальная толщина назначается разработчиком антикоррозионной системы на основании квалификационных испытаний. Под толщиной сухой пленки покрытия подразумевается толщина покрытия над пиками шероховатой поверхности после отверждения покрытия.</w:t>
      </w:r>
    </w:p>
    <w:p w:rsidR="00212513" w:rsidRDefault="00212513">
      <w:pPr>
        <w:pStyle w:val="ConsPlusNormal"/>
        <w:jc w:val="both"/>
      </w:pPr>
      <w:r>
        <w:t xml:space="preserve">(абзац введен </w:t>
      </w:r>
      <w:hyperlink r:id="rId2154">
        <w:r>
          <w:rPr>
            <w:color w:val="0000FF"/>
          </w:rPr>
          <w:t>Изменением N 3</w:t>
        </w:r>
      </w:hyperlink>
      <w:r>
        <w:t xml:space="preserve">, утв. Приказом Минстроя России от 29.12.2020 N 891/пр; в ред. </w:t>
      </w:r>
      <w:hyperlink r:id="rId2155">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 xml:space="preserve">Примечание - Исключено с 01.07.2024. - </w:t>
      </w:r>
      <w:hyperlink r:id="rId2156">
        <w:r>
          <w:rPr>
            <w:color w:val="0000FF"/>
          </w:rPr>
          <w:t>Изменение N 4</w:t>
        </w:r>
      </w:hyperlink>
      <w:r>
        <w:t>, утв. Приказом Минстроя России от 30.05.2024 N 361/пр.</w:t>
      </w:r>
    </w:p>
    <w:p w:rsidR="00212513" w:rsidRDefault="00212513">
      <w:pPr>
        <w:pStyle w:val="ConsPlusNormal"/>
        <w:jc w:val="both"/>
      </w:pPr>
    </w:p>
    <w:p w:rsidR="00212513" w:rsidRDefault="00212513">
      <w:pPr>
        <w:pStyle w:val="ConsPlusNormal"/>
        <w:ind w:firstLine="540"/>
        <w:jc w:val="both"/>
      </w:pPr>
      <w:r>
        <w:t>Возможны следующие сроки службы:</w:t>
      </w:r>
    </w:p>
    <w:p w:rsidR="00212513" w:rsidRDefault="00212513">
      <w:pPr>
        <w:pStyle w:val="ConsPlusNormal"/>
        <w:spacing w:before="220"/>
        <w:ind w:firstLine="540"/>
        <w:jc w:val="both"/>
      </w:pPr>
      <w:r>
        <w:t>- малый (L) - до 7 лет;</w:t>
      </w:r>
    </w:p>
    <w:p w:rsidR="00212513" w:rsidRDefault="00212513">
      <w:pPr>
        <w:pStyle w:val="ConsPlusNormal"/>
        <w:spacing w:before="220"/>
        <w:ind w:firstLine="540"/>
        <w:jc w:val="both"/>
      </w:pPr>
      <w:r>
        <w:t>- средний (M) - от 7 до 15 лет;</w:t>
      </w:r>
    </w:p>
    <w:p w:rsidR="00212513" w:rsidRDefault="00212513">
      <w:pPr>
        <w:pStyle w:val="ConsPlusNormal"/>
        <w:spacing w:before="220"/>
        <w:ind w:firstLine="540"/>
        <w:jc w:val="both"/>
      </w:pPr>
      <w:r>
        <w:t>- высокий (H) - от 15 до 25 лет;</w:t>
      </w:r>
    </w:p>
    <w:p w:rsidR="00212513" w:rsidRDefault="00212513">
      <w:pPr>
        <w:pStyle w:val="ConsPlusNormal"/>
        <w:spacing w:before="220"/>
        <w:ind w:firstLine="540"/>
        <w:jc w:val="both"/>
      </w:pPr>
      <w:r>
        <w:t>- очень высокий (VH) - более 25 лет.</w:t>
      </w:r>
    </w:p>
    <w:p w:rsidR="00212513" w:rsidRDefault="00212513">
      <w:pPr>
        <w:pStyle w:val="ConsPlusNormal"/>
        <w:jc w:val="both"/>
      </w:pPr>
      <w:r>
        <w:t xml:space="preserve">(абзац введен </w:t>
      </w:r>
      <w:hyperlink r:id="rId2157">
        <w:r>
          <w:rPr>
            <w:color w:val="0000FF"/>
          </w:rPr>
          <w:t>Изменением N 3</w:t>
        </w:r>
      </w:hyperlink>
      <w:r>
        <w:t>, утв. Приказом Минстроя России от 29.12.2020 N 891/пр)</w:t>
      </w:r>
    </w:p>
    <w:p w:rsidR="00212513" w:rsidRDefault="00212513">
      <w:pPr>
        <w:pStyle w:val="ConsPlusNormal"/>
        <w:spacing w:before="220"/>
        <w:ind w:firstLine="540"/>
        <w:jc w:val="both"/>
      </w:pPr>
      <w:r>
        <w:t xml:space="preserve">Минимальные требования к составу лакокрасочных систем, обеспечивающих антикоррозионную защиту для заданной категории коррозионной активности среды и долговечности, приведены в </w:t>
      </w:r>
      <w:hyperlink r:id="rId2158">
        <w:r>
          <w:rPr>
            <w:color w:val="0000FF"/>
          </w:rPr>
          <w:t>ГОСТ 34667.5</w:t>
        </w:r>
      </w:hyperlink>
      <w:r>
        <w:t>.</w:t>
      </w:r>
    </w:p>
    <w:p w:rsidR="00212513" w:rsidRDefault="00212513">
      <w:pPr>
        <w:pStyle w:val="ConsPlusNormal"/>
        <w:jc w:val="both"/>
      </w:pPr>
      <w:r>
        <w:t xml:space="preserve">(в ред. </w:t>
      </w:r>
      <w:hyperlink r:id="rId2159">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 xml:space="preserve">Для отдельных элементов стальных конструкций, расположенных в наиболее неблагоприятных с точки зрения коррозионного воздействия местах, независимо от результатов изысканий рекомендуется назначать категории коррозионной активности и соответствующие им составы лакокрасочных систем согласно </w:t>
      </w:r>
      <w:hyperlink w:anchor="P18714">
        <w:r>
          <w:rPr>
            <w:color w:val="0000FF"/>
          </w:rPr>
          <w:t>приложению 9</w:t>
        </w:r>
      </w:hyperlink>
      <w:r>
        <w:t>.</w:t>
      </w:r>
    </w:p>
    <w:p w:rsidR="00212513" w:rsidRDefault="00212513">
      <w:pPr>
        <w:pStyle w:val="ConsPlusNormal"/>
        <w:jc w:val="both"/>
      </w:pPr>
      <w:r>
        <w:t xml:space="preserve">(в ред. </w:t>
      </w:r>
      <w:hyperlink r:id="rId2160">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lastRenderedPageBreak/>
        <w:t>Антикоррозионные системы, рассматриваемые в качестве вариантов для включения в проект, должны:</w:t>
      </w:r>
    </w:p>
    <w:p w:rsidR="00212513" w:rsidRDefault="00212513">
      <w:pPr>
        <w:pStyle w:val="ConsPlusNormal"/>
        <w:spacing w:before="220"/>
        <w:ind w:firstLine="540"/>
        <w:jc w:val="both"/>
      </w:pPr>
      <w:r>
        <w:t xml:space="preserve">- отвечать минимальным требованиям, предусмотренным в </w:t>
      </w:r>
      <w:hyperlink r:id="rId2161">
        <w:r>
          <w:rPr>
            <w:color w:val="0000FF"/>
          </w:rPr>
          <w:t>ГОСТ 34667.5</w:t>
        </w:r>
      </w:hyperlink>
      <w:r>
        <w:t>;</w:t>
      </w:r>
    </w:p>
    <w:p w:rsidR="00212513" w:rsidRDefault="00212513">
      <w:pPr>
        <w:pStyle w:val="ConsPlusNormal"/>
        <w:spacing w:before="220"/>
        <w:ind w:firstLine="540"/>
        <w:jc w:val="both"/>
      </w:pPr>
      <w:r>
        <w:t xml:space="preserve">- иметь подтверждение защитных свойств результатами квалификационных испытаний, проведенных независимой лабораторией, допущенной к проведению таких испытаний в порядке, установленном действующим законодательством Российской Федерации; состав квалификационных испытаний - в соответствии с </w:t>
      </w:r>
      <w:hyperlink r:id="rId2162">
        <w:r>
          <w:rPr>
            <w:color w:val="0000FF"/>
          </w:rPr>
          <w:t>ГОСТ 34667.6</w:t>
        </w:r>
      </w:hyperlink>
      <w:r>
        <w:t>.</w:t>
      </w:r>
    </w:p>
    <w:p w:rsidR="00212513" w:rsidRDefault="00212513">
      <w:pPr>
        <w:pStyle w:val="ConsPlusNormal"/>
        <w:jc w:val="both"/>
      </w:pPr>
      <w:r>
        <w:t xml:space="preserve">(в ред. </w:t>
      </w:r>
      <w:hyperlink r:id="rId2163">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8.115 В железнодорожных мостах пролетные строения с раздельными балками и продольные балки проезжей части должны иметь продольные связи по верхним и нижним поясам. Прикрепление продольных связей к стенкам балок в железнодорожных мостах не допускается.</w:t>
      </w:r>
    </w:p>
    <w:p w:rsidR="00212513" w:rsidRDefault="00212513">
      <w:pPr>
        <w:pStyle w:val="ConsPlusNormal"/>
        <w:spacing w:before="220"/>
        <w:ind w:firstLine="540"/>
        <w:jc w:val="both"/>
      </w:pPr>
      <w:r>
        <w:t xml:space="preserve">"Открытые" пролетные строения, по </w:t>
      </w:r>
      <w:hyperlink w:anchor="P7912">
        <w:r>
          <w:rPr>
            <w:color w:val="0000FF"/>
          </w:rPr>
          <w:t>8.52</w:t>
        </w:r>
      </w:hyperlink>
      <w:r>
        <w:t>, и "открытая" проезжая часть в железнодорожных мостах допускаются только при наличии технико-экономического обоснования и при условии закрепления свободных поясов жесткими рамами в плоскостях поперечных балок, а в проезжей части - поперечными связями.</w:t>
      </w:r>
    </w:p>
    <w:p w:rsidR="00212513" w:rsidRDefault="00212513">
      <w:pPr>
        <w:pStyle w:val="ConsPlusNormal"/>
        <w:spacing w:before="220"/>
        <w:ind w:firstLine="540"/>
        <w:jc w:val="both"/>
      </w:pPr>
      <w:r>
        <w:t>При наличии элементов, жестко связывающих пояса балок или ферм (например, железобетонной или стальной плиты), допускается не устраивать продольных связей в соответствующей плоскости, если они не требуются по условиям монтажа.</w:t>
      </w:r>
    </w:p>
    <w:p w:rsidR="00212513" w:rsidRDefault="00212513">
      <w:pPr>
        <w:pStyle w:val="ConsPlusNormal"/>
        <w:spacing w:before="220"/>
        <w:ind w:firstLine="540"/>
        <w:jc w:val="both"/>
      </w:pPr>
      <w:r>
        <w:t>В арочных пролетных строениях продольные связи следует устраивать в плоскости одного из поясов арок и в плоскости проезжей части, если она не имеет плиты; при решетчатых арках следует предусматривать поперечные связи между ними и продольные связи по обоим поясам.</w:t>
      </w:r>
    </w:p>
    <w:p w:rsidR="00212513" w:rsidRDefault="00212513">
      <w:pPr>
        <w:pStyle w:val="ConsPlusNormal"/>
        <w:spacing w:before="220"/>
        <w:ind w:firstLine="540"/>
        <w:jc w:val="both"/>
      </w:pPr>
      <w:r>
        <w:t>8.116 Продольные связи следует центрировать в плане с поясами главных ферм, при этом эксцентриситеты в прикреплении из плоскости связей должны быть минимальными.</w:t>
      </w:r>
    </w:p>
    <w:p w:rsidR="00212513" w:rsidRDefault="00212513">
      <w:pPr>
        <w:pStyle w:val="ConsPlusNormal"/>
        <w:spacing w:before="220"/>
        <w:ind w:firstLine="540"/>
        <w:jc w:val="both"/>
      </w:pPr>
      <w:r>
        <w:t>8.117 В железнодорожных мостах при наличии балочной клетки и мостовом полотне с поперечинами или железобетонными плитами безбалластного мостового полотна расстояние между осями продольных балок следует назначать 1,70 м; между осями сплошностенчатых главных балок при отсутствии балочной клетки - от 1,70 до 2,00 м. При большем расстоянии между осями главных балок (ферм) следует предусматривать устройство железобетонной или стальной плиты.</w:t>
      </w:r>
    </w:p>
    <w:p w:rsidR="00212513" w:rsidRDefault="00212513">
      <w:pPr>
        <w:pStyle w:val="ConsPlusNormal"/>
        <w:spacing w:before="220"/>
        <w:ind w:firstLine="540"/>
        <w:jc w:val="both"/>
      </w:pPr>
      <w:r>
        <w:t>8.118 В железнодорожных мостах пролетные строения с раздельными двутавровыми балками и продольные балки проезжей части должны иметь поперечные связи, располагаемые на расстояниях, не превышающих двух высот балок.</w:t>
      </w:r>
    </w:p>
    <w:p w:rsidR="00212513" w:rsidRDefault="00212513">
      <w:pPr>
        <w:pStyle w:val="ConsPlusNormal"/>
        <w:spacing w:before="220"/>
        <w:ind w:firstLine="540"/>
        <w:jc w:val="both"/>
      </w:pPr>
      <w:r>
        <w:t>8.119 Для снижения напряжений в поперечных балках проезжей части от деформации поясов главных ферм следует, как правило, включать проезжую часть в совместную работу с главными фермами.</w:t>
      </w:r>
    </w:p>
    <w:p w:rsidR="00212513" w:rsidRDefault="00212513">
      <w:pPr>
        <w:pStyle w:val="ConsPlusNormal"/>
        <w:spacing w:before="220"/>
        <w:ind w:firstLine="540"/>
        <w:jc w:val="both"/>
      </w:pPr>
      <w:r>
        <w:t>В пролетных строениях с проезжей частью, не включенной в совместную работу с главными фермами, следует предусматривать тормозные связи.</w:t>
      </w:r>
    </w:p>
    <w:p w:rsidR="00212513" w:rsidRDefault="00212513">
      <w:pPr>
        <w:pStyle w:val="ConsPlusNormal"/>
        <w:spacing w:before="220"/>
        <w:ind w:firstLine="540"/>
        <w:jc w:val="both"/>
      </w:pPr>
      <w:r>
        <w:t>8.120 Прикрепление балок проезжей части с помощью торцевых листов, приваренных к стенке и поясам балки, не допускается.</w:t>
      </w:r>
    </w:p>
    <w:p w:rsidR="00212513" w:rsidRDefault="00212513">
      <w:pPr>
        <w:pStyle w:val="ConsPlusNormal"/>
        <w:spacing w:before="220"/>
        <w:ind w:firstLine="540"/>
        <w:jc w:val="both"/>
      </w:pPr>
      <w:r>
        <w:t>В пролетных строениях железнодорожных мостов прикрепление стенок продольных и поперечных балок следует осуществлять, как правило, с помощью вертикальных уголков и фрикционных соединений.</w:t>
      </w:r>
    </w:p>
    <w:p w:rsidR="00212513" w:rsidRDefault="00212513">
      <w:pPr>
        <w:pStyle w:val="ConsPlusNormal"/>
        <w:spacing w:before="220"/>
        <w:ind w:firstLine="540"/>
        <w:jc w:val="both"/>
      </w:pPr>
      <w:r>
        <w:lastRenderedPageBreak/>
        <w:t>В пролетных строениях всех мостов следует, как правило, обеспечивать неразрезность продольных балок на всем протяжении, а при наличии разрывов в проезжей части - на участках между ними.</w:t>
      </w:r>
    </w:p>
    <w:p w:rsidR="00212513" w:rsidRDefault="00212513">
      <w:pPr>
        <w:pStyle w:val="ConsPlusNormal"/>
        <w:spacing w:before="220"/>
        <w:ind w:firstLine="540"/>
        <w:jc w:val="both"/>
      </w:pPr>
      <w:r>
        <w:t>8.121 Для повышения аэродинамической устойчивости пролетных строений висячих и вантовых мостов следует увеличивать их крутильную жесткость за счет постановки продольных и поперечных связей по раздельным главным балкам или применения балки жесткости замкнутого коробчатого сечения и придания ей обтекаемой формы.</w:t>
      </w:r>
    </w:p>
    <w:p w:rsidR="00212513" w:rsidRDefault="00212513">
      <w:pPr>
        <w:pStyle w:val="ConsPlusNormal"/>
        <w:ind w:firstLine="540"/>
        <w:jc w:val="both"/>
      </w:pPr>
    </w:p>
    <w:p w:rsidR="00212513" w:rsidRDefault="00212513">
      <w:pPr>
        <w:pStyle w:val="ConsPlusTitle"/>
        <w:ind w:firstLine="540"/>
        <w:jc w:val="both"/>
        <w:outlineLvl w:val="3"/>
      </w:pPr>
      <w:r>
        <w:t>Сечения элементов</w:t>
      </w:r>
    </w:p>
    <w:p w:rsidR="00212513" w:rsidRDefault="00212513">
      <w:pPr>
        <w:pStyle w:val="ConsPlusNormal"/>
        <w:ind w:firstLine="540"/>
        <w:jc w:val="both"/>
      </w:pPr>
    </w:p>
    <w:p w:rsidR="00212513" w:rsidRDefault="00212513">
      <w:pPr>
        <w:pStyle w:val="ConsPlusNormal"/>
        <w:ind w:firstLine="540"/>
        <w:jc w:val="both"/>
      </w:pPr>
      <w:r>
        <w:t xml:space="preserve">8.122 Наименьшая толщина деталей элементов пролетных строений и опор принимается по расчету на прочность, устойчивость, выносливость, жесткость и колебания, но не менее указанной в </w:t>
      </w:r>
      <w:hyperlink w:anchor="P8938">
        <w:r>
          <w:rPr>
            <w:color w:val="0000FF"/>
          </w:rPr>
          <w:t>таблице 8.37</w:t>
        </w:r>
      </w:hyperlink>
      <w:r>
        <w:t>.</w:t>
      </w:r>
    </w:p>
    <w:p w:rsidR="00212513" w:rsidRDefault="00212513">
      <w:pPr>
        <w:pStyle w:val="ConsPlusNormal"/>
        <w:spacing w:before="220"/>
        <w:ind w:firstLine="540"/>
        <w:jc w:val="both"/>
      </w:pPr>
      <w:r>
        <w:t>Допускается следующая наибольшая толщина проката, мм:</w:t>
      </w:r>
    </w:p>
    <w:p w:rsidR="00212513" w:rsidRDefault="00212513">
      <w:pPr>
        <w:pStyle w:val="ConsPlusNormal"/>
        <w:spacing w:before="220"/>
        <w:ind w:firstLine="540"/>
        <w:jc w:val="both"/>
      </w:pPr>
      <w:r>
        <w:t>в пакетах деталей, стягиваемых обычными болтами, - 20;</w:t>
      </w:r>
    </w:p>
    <w:p w:rsidR="00212513" w:rsidRDefault="00212513">
      <w:pPr>
        <w:pStyle w:val="ConsPlusNormal"/>
        <w:spacing w:before="220"/>
        <w:ind w:firstLine="540"/>
        <w:jc w:val="both"/>
      </w:pPr>
      <w:r>
        <w:t>в сварных элементах из углеродистой и низколегированной сталей - 60;</w:t>
      </w:r>
    </w:p>
    <w:p w:rsidR="00212513" w:rsidRDefault="00212513">
      <w:pPr>
        <w:pStyle w:val="ConsPlusNormal"/>
        <w:spacing w:before="220"/>
        <w:ind w:firstLine="540"/>
        <w:jc w:val="both"/>
      </w:pPr>
      <w:r>
        <w:t>в стыковых накладках и узловых фасонных листах при применении фрикционных соединений - 20;</w:t>
      </w:r>
    </w:p>
    <w:p w:rsidR="00212513" w:rsidRDefault="00212513">
      <w:pPr>
        <w:pStyle w:val="ConsPlusNormal"/>
        <w:spacing w:before="220"/>
        <w:ind w:firstLine="540"/>
        <w:jc w:val="both"/>
      </w:pPr>
      <w:r>
        <w:t>в соединениях на конических высокопрочных болтах - 25.</w:t>
      </w:r>
    </w:p>
    <w:p w:rsidR="00212513" w:rsidRDefault="00212513">
      <w:pPr>
        <w:pStyle w:val="ConsPlusNormal"/>
        <w:ind w:firstLine="540"/>
        <w:jc w:val="both"/>
      </w:pPr>
    </w:p>
    <w:p w:rsidR="00212513" w:rsidRDefault="00212513">
      <w:pPr>
        <w:pStyle w:val="ConsPlusNormal"/>
        <w:jc w:val="right"/>
      </w:pPr>
      <w:bookmarkStart w:id="387" w:name="P8938"/>
      <w:bookmarkEnd w:id="387"/>
      <w:r>
        <w:t>Таблица 8.37</w:t>
      </w:r>
    </w:p>
    <w:p w:rsidR="00212513" w:rsidRDefault="00212513">
      <w:pPr>
        <w:pStyle w:val="ConsPlusNormal"/>
        <w:jc w:val="center"/>
      </w:pPr>
    </w:p>
    <w:p w:rsidR="00212513" w:rsidRDefault="00212513">
      <w:pPr>
        <w:pStyle w:val="ConsPlusNormal"/>
        <w:jc w:val="center"/>
      </w:pPr>
      <w:r>
        <w:t xml:space="preserve">(таблица 8.37 в ред. </w:t>
      </w:r>
      <w:hyperlink r:id="rId2164">
        <w:r>
          <w:rPr>
            <w:color w:val="0000FF"/>
          </w:rPr>
          <w:t>Изменения N 4</w:t>
        </w:r>
      </w:hyperlink>
      <w:r>
        <w:t>, утв. Приказом</w:t>
      </w:r>
    </w:p>
    <w:p w:rsidR="00212513" w:rsidRDefault="00212513">
      <w:pPr>
        <w:pStyle w:val="ConsPlusNormal"/>
        <w:jc w:val="center"/>
      </w:pPr>
      <w:r>
        <w:t>Минстроя России от 30.05.2024 N 361/пр)</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118"/>
        <w:gridCol w:w="2324"/>
        <w:gridCol w:w="3005"/>
      </w:tblGrid>
      <w:tr w:rsidR="00212513">
        <w:tc>
          <w:tcPr>
            <w:tcW w:w="3742" w:type="dxa"/>
            <w:gridSpan w:val="2"/>
            <w:vMerge w:val="restart"/>
            <w:vAlign w:val="center"/>
          </w:tcPr>
          <w:p w:rsidR="00212513" w:rsidRDefault="00212513">
            <w:pPr>
              <w:pStyle w:val="ConsPlusNormal"/>
              <w:jc w:val="center"/>
            </w:pPr>
            <w:r>
              <w:t>Детали конструкции</w:t>
            </w:r>
          </w:p>
        </w:tc>
        <w:tc>
          <w:tcPr>
            <w:tcW w:w="5329" w:type="dxa"/>
            <w:gridSpan w:val="2"/>
            <w:vAlign w:val="center"/>
          </w:tcPr>
          <w:p w:rsidR="00212513" w:rsidRDefault="00212513">
            <w:pPr>
              <w:pStyle w:val="ConsPlusNormal"/>
              <w:jc w:val="center"/>
            </w:pPr>
            <w:r>
              <w:t>Наименьшая толщина или сечение деталей конструкции, мм</w:t>
            </w:r>
          </w:p>
        </w:tc>
      </w:tr>
      <w:tr w:rsidR="00212513">
        <w:tc>
          <w:tcPr>
            <w:tcW w:w="3742" w:type="dxa"/>
            <w:gridSpan w:val="2"/>
            <w:vMerge/>
          </w:tcPr>
          <w:p w:rsidR="00212513" w:rsidRDefault="00212513">
            <w:pPr>
              <w:pStyle w:val="ConsPlusNormal"/>
            </w:pPr>
          </w:p>
        </w:tc>
        <w:tc>
          <w:tcPr>
            <w:tcW w:w="2324" w:type="dxa"/>
            <w:vAlign w:val="center"/>
          </w:tcPr>
          <w:p w:rsidR="00212513" w:rsidRDefault="00212513">
            <w:pPr>
              <w:pStyle w:val="ConsPlusNormal"/>
              <w:jc w:val="center"/>
            </w:pPr>
            <w:r>
              <w:t>в железнодорожных мостах и трубах под железную дорогу</w:t>
            </w:r>
          </w:p>
        </w:tc>
        <w:tc>
          <w:tcPr>
            <w:tcW w:w="3005" w:type="dxa"/>
            <w:vAlign w:val="center"/>
          </w:tcPr>
          <w:p w:rsidR="00212513" w:rsidRDefault="00212513">
            <w:pPr>
              <w:pStyle w:val="ConsPlusNormal"/>
              <w:jc w:val="center"/>
            </w:pPr>
            <w:r>
              <w:t>в автодорожных, городских и пешеходных мостах и трубах под автомобильную дорогу</w:t>
            </w:r>
          </w:p>
        </w:tc>
      </w:tr>
      <w:tr w:rsidR="00212513">
        <w:tc>
          <w:tcPr>
            <w:tcW w:w="624" w:type="dxa"/>
            <w:tcBorders>
              <w:right w:val="nil"/>
            </w:tcBorders>
          </w:tcPr>
          <w:p w:rsidR="00212513" w:rsidRDefault="00212513">
            <w:pPr>
              <w:pStyle w:val="ConsPlusNormal"/>
              <w:jc w:val="center"/>
            </w:pPr>
            <w:r>
              <w:t>1</w:t>
            </w:r>
          </w:p>
        </w:tc>
        <w:tc>
          <w:tcPr>
            <w:tcW w:w="3118" w:type="dxa"/>
            <w:tcBorders>
              <w:left w:val="nil"/>
            </w:tcBorders>
          </w:tcPr>
          <w:p w:rsidR="00212513" w:rsidRDefault="00212513">
            <w:pPr>
              <w:pStyle w:val="ConsPlusNormal"/>
            </w:pPr>
            <w:r>
              <w:t>Металлические гофрированные элементы для труб и мостов обычного исполнения</w:t>
            </w:r>
          </w:p>
        </w:tc>
        <w:tc>
          <w:tcPr>
            <w:tcW w:w="2324" w:type="dxa"/>
          </w:tcPr>
          <w:p w:rsidR="00212513" w:rsidRDefault="00212513">
            <w:pPr>
              <w:pStyle w:val="ConsPlusNormal"/>
              <w:jc w:val="center"/>
            </w:pPr>
            <w:r>
              <w:t>3,5</w:t>
            </w:r>
          </w:p>
        </w:tc>
        <w:tc>
          <w:tcPr>
            <w:tcW w:w="3005" w:type="dxa"/>
            <w:vMerge w:val="restart"/>
            <w:vAlign w:val="center"/>
          </w:tcPr>
          <w:p w:rsidR="00212513" w:rsidRDefault="00212513">
            <w:pPr>
              <w:pStyle w:val="ConsPlusNormal"/>
              <w:jc w:val="center"/>
            </w:pPr>
            <w:r>
              <w:t xml:space="preserve">Согласно требованиям </w:t>
            </w:r>
            <w:hyperlink r:id="rId2165">
              <w:r>
                <w:rPr>
                  <w:color w:val="0000FF"/>
                </w:rPr>
                <w:t>ГОСТ Р 59621</w:t>
              </w:r>
            </w:hyperlink>
          </w:p>
        </w:tc>
      </w:tr>
      <w:tr w:rsidR="00212513">
        <w:tc>
          <w:tcPr>
            <w:tcW w:w="624" w:type="dxa"/>
            <w:tcBorders>
              <w:right w:val="nil"/>
            </w:tcBorders>
          </w:tcPr>
          <w:p w:rsidR="00212513" w:rsidRDefault="00212513">
            <w:pPr>
              <w:pStyle w:val="ConsPlusNormal"/>
              <w:jc w:val="center"/>
            </w:pPr>
            <w:r>
              <w:t>2</w:t>
            </w:r>
          </w:p>
        </w:tc>
        <w:tc>
          <w:tcPr>
            <w:tcW w:w="3118" w:type="dxa"/>
            <w:tcBorders>
              <w:left w:val="nil"/>
            </w:tcBorders>
          </w:tcPr>
          <w:p w:rsidR="00212513" w:rsidRDefault="00212513">
            <w:pPr>
              <w:pStyle w:val="ConsPlusNormal"/>
            </w:pPr>
            <w:r>
              <w:t>Металлические гофрированные элементы для труб и мостов северного исполнения</w:t>
            </w:r>
          </w:p>
        </w:tc>
        <w:tc>
          <w:tcPr>
            <w:tcW w:w="2324" w:type="dxa"/>
          </w:tcPr>
          <w:p w:rsidR="00212513" w:rsidRDefault="00212513">
            <w:pPr>
              <w:pStyle w:val="ConsPlusNormal"/>
              <w:jc w:val="center"/>
            </w:pPr>
            <w:r>
              <w:t>4</w:t>
            </w:r>
          </w:p>
        </w:tc>
        <w:tc>
          <w:tcPr>
            <w:tcW w:w="3005" w:type="dxa"/>
            <w:vMerge/>
          </w:tcPr>
          <w:p w:rsidR="00212513" w:rsidRDefault="00212513">
            <w:pPr>
              <w:pStyle w:val="ConsPlusNormal"/>
            </w:pPr>
          </w:p>
        </w:tc>
      </w:tr>
      <w:tr w:rsidR="00212513">
        <w:tc>
          <w:tcPr>
            <w:tcW w:w="624" w:type="dxa"/>
            <w:tcBorders>
              <w:right w:val="nil"/>
            </w:tcBorders>
          </w:tcPr>
          <w:p w:rsidR="00212513" w:rsidRDefault="00212513">
            <w:pPr>
              <w:pStyle w:val="ConsPlusNormal"/>
              <w:jc w:val="center"/>
            </w:pPr>
            <w:r>
              <w:t>3</w:t>
            </w:r>
          </w:p>
        </w:tc>
        <w:tc>
          <w:tcPr>
            <w:tcW w:w="3118" w:type="dxa"/>
            <w:tcBorders>
              <w:left w:val="nil"/>
            </w:tcBorders>
          </w:tcPr>
          <w:p w:rsidR="00212513" w:rsidRDefault="00212513">
            <w:pPr>
              <w:pStyle w:val="ConsPlusNormal"/>
            </w:pPr>
            <w:r>
              <w:t xml:space="preserve">Листовые детали (за исключением деталей, указанных в </w:t>
            </w:r>
            <w:hyperlink w:anchor="P8958">
              <w:r>
                <w:rPr>
                  <w:color w:val="0000FF"/>
                </w:rPr>
                <w:t>поз. 4</w:t>
              </w:r>
            </w:hyperlink>
            <w:r>
              <w:t xml:space="preserve"> - </w:t>
            </w:r>
            <w:hyperlink w:anchor="P8990">
              <w:r>
                <w:rPr>
                  <w:color w:val="0000FF"/>
                </w:rPr>
                <w:t>11</w:t>
              </w:r>
            </w:hyperlink>
            <w:r>
              <w:t>)</w:t>
            </w:r>
          </w:p>
        </w:tc>
        <w:tc>
          <w:tcPr>
            <w:tcW w:w="2324" w:type="dxa"/>
          </w:tcPr>
          <w:p w:rsidR="00212513" w:rsidRDefault="00212513">
            <w:pPr>
              <w:pStyle w:val="ConsPlusNormal"/>
              <w:jc w:val="center"/>
            </w:pPr>
            <w:r>
              <w:t>10</w:t>
            </w:r>
          </w:p>
        </w:tc>
        <w:tc>
          <w:tcPr>
            <w:tcW w:w="3005" w:type="dxa"/>
            <w:vAlign w:val="bottom"/>
          </w:tcPr>
          <w:p w:rsidR="00212513" w:rsidRDefault="00212513">
            <w:pPr>
              <w:pStyle w:val="ConsPlusNormal"/>
              <w:jc w:val="center"/>
            </w:pPr>
            <w:r>
              <w:t>10</w:t>
            </w:r>
          </w:p>
        </w:tc>
      </w:tr>
      <w:tr w:rsidR="00212513">
        <w:tc>
          <w:tcPr>
            <w:tcW w:w="624" w:type="dxa"/>
            <w:tcBorders>
              <w:right w:val="nil"/>
            </w:tcBorders>
          </w:tcPr>
          <w:p w:rsidR="00212513" w:rsidRDefault="00212513">
            <w:pPr>
              <w:pStyle w:val="ConsPlusNormal"/>
              <w:jc w:val="center"/>
            </w:pPr>
            <w:bookmarkStart w:id="388" w:name="P8958"/>
            <w:bookmarkEnd w:id="388"/>
            <w:r>
              <w:t>4</w:t>
            </w:r>
          </w:p>
        </w:tc>
        <w:tc>
          <w:tcPr>
            <w:tcW w:w="3118" w:type="dxa"/>
            <w:tcBorders>
              <w:left w:val="nil"/>
            </w:tcBorders>
          </w:tcPr>
          <w:p w:rsidR="00212513" w:rsidRDefault="00212513">
            <w:pPr>
              <w:pStyle w:val="ConsPlusNormal"/>
            </w:pPr>
            <w:r>
              <w:t>Узловые фасонки главных ферм</w:t>
            </w:r>
          </w:p>
        </w:tc>
        <w:tc>
          <w:tcPr>
            <w:tcW w:w="2324" w:type="dxa"/>
          </w:tcPr>
          <w:p w:rsidR="00212513" w:rsidRDefault="00212513">
            <w:pPr>
              <w:pStyle w:val="ConsPlusNormal"/>
              <w:jc w:val="center"/>
            </w:pPr>
            <w:r>
              <w:t>12</w:t>
            </w:r>
          </w:p>
        </w:tc>
        <w:tc>
          <w:tcPr>
            <w:tcW w:w="3005" w:type="dxa"/>
          </w:tcPr>
          <w:p w:rsidR="00212513" w:rsidRDefault="00212513">
            <w:pPr>
              <w:pStyle w:val="ConsPlusNormal"/>
              <w:jc w:val="center"/>
            </w:pPr>
            <w:r>
              <w:t>10</w:t>
            </w:r>
          </w:p>
        </w:tc>
      </w:tr>
      <w:tr w:rsidR="00212513">
        <w:tc>
          <w:tcPr>
            <w:tcW w:w="624" w:type="dxa"/>
            <w:tcBorders>
              <w:right w:val="nil"/>
            </w:tcBorders>
          </w:tcPr>
          <w:p w:rsidR="00212513" w:rsidRDefault="00212513">
            <w:pPr>
              <w:pStyle w:val="ConsPlusNormal"/>
              <w:jc w:val="center"/>
            </w:pPr>
            <w:r>
              <w:lastRenderedPageBreak/>
              <w:t>5</w:t>
            </w:r>
          </w:p>
        </w:tc>
        <w:tc>
          <w:tcPr>
            <w:tcW w:w="3118" w:type="dxa"/>
            <w:tcBorders>
              <w:left w:val="nil"/>
            </w:tcBorders>
          </w:tcPr>
          <w:p w:rsidR="00212513" w:rsidRDefault="00212513">
            <w:pPr>
              <w:pStyle w:val="ConsPlusNormal"/>
            </w:pPr>
            <w:r>
              <w:t>Вертикальные стенки сварных изгибаемых главных балок</w:t>
            </w:r>
          </w:p>
        </w:tc>
        <w:tc>
          <w:tcPr>
            <w:tcW w:w="2324" w:type="dxa"/>
          </w:tcPr>
          <w:p w:rsidR="00212513" w:rsidRDefault="00212513">
            <w:pPr>
              <w:pStyle w:val="ConsPlusNormal"/>
              <w:jc w:val="center"/>
            </w:pPr>
            <w:r>
              <w:t>12</w:t>
            </w:r>
          </w:p>
        </w:tc>
        <w:tc>
          <w:tcPr>
            <w:tcW w:w="3005" w:type="dxa"/>
          </w:tcPr>
          <w:p w:rsidR="00212513" w:rsidRDefault="00212513">
            <w:pPr>
              <w:pStyle w:val="ConsPlusNormal"/>
              <w:jc w:val="center"/>
            </w:pPr>
            <w:r>
              <w:t>12</w:t>
            </w:r>
          </w:p>
        </w:tc>
      </w:tr>
      <w:tr w:rsidR="00212513">
        <w:tc>
          <w:tcPr>
            <w:tcW w:w="624" w:type="dxa"/>
            <w:tcBorders>
              <w:right w:val="nil"/>
            </w:tcBorders>
          </w:tcPr>
          <w:p w:rsidR="00212513" w:rsidRDefault="00212513">
            <w:pPr>
              <w:pStyle w:val="ConsPlusNormal"/>
              <w:jc w:val="center"/>
            </w:pPr>
            <w:r>
              <w:t>6</w:t>
            </w:r>
          </w:p>
        </w:tc>
        <w:tc>
          <w:tcPr>
            <w:tcW w:w="3118" w:type="dxa"/>
            <w:tcBorders>
              <w:left w:val="nil"/>
            </w:tcBorders>
          </w:tcPr>
          <w:p w:rsidR="00212513" w:rsidRDefault="00212513">
            <w:pPr>
              <w:pStyle w:val="ConsPlusNormal"/>
            </w:pPr>
            <w:r>
              <w:t>Узловые фасонки связей</w:t>
            </w:r>
          </w:p>
        </w:tc>
        <w:tc>
          <w:tcPr>
            <w:tcW w:w="2324" w:type="dxa"/>
          </w:tcPr>
          <w:p w:rsidR="00212513" w:rsidRDefault="00212513">
            <w:pPr>
              <w:pStyle w:val="ConsPlusNormal"/>
              <w:jc w:val="center"/>
            </w:pPr>
            <w:r>
              <w:t>10</w:t>
            </w:r>
          </w:p>
        </w:tc>
        <w:tc>
          <w:tcPr>
            <w:tcW w:w="3005" w:type="dxa"/>
          </w:tcPr>
          <w:p w:rsidR="00212513" w:rsidRDefault="00212513">
            <w:pPr>
              <w:pStyle w:val="ConsPlusNormal"/>
              <w:jc w:val="center"/>
            </w:pPr>
            <w:r>
              <w:t>8</w:t>
            </w:r>
          </w:p>
        </w:tc>
      </w:tr>
      <w:tr w:rsidR="00212513">
        <w:tc>
          <w:tcPr>
            <w:tcW w:w="624" w:type="dxa"/>
            <w:tcBorders>
              <w:right w:val="nil"/>
            </w:tcBorders>
          </w:tcPr>
          <w:p w:rsidR="00212513" w:rsidRDefault="00212513">
            <w:pPr>
              <w:pStyle w:val="ConsPlusNormal"/>
              <w:jc w:val="center"/>
            </w:pPr>
            <w:r>
              <w:t>7</w:t>
            </w:r>
          </w:p>
        </w:tc>
        <w:tc>
          <w:tcPr>
            <w:tcW w:w="3118" w:type="dxa"/>
            <w:tcBorders>
              <w:left w:val="nil"/>
            </w:tcBorders>
          </w:tcPr>
          <w:p w:rsidR="00212513" w:rsidRDefault="00212513">
            <w:pPr>
              <w:pStyle w:val="ConsPlusNormal"/>
            </w:pPr>
            <w:r>
              <w:t>Накладки в стыках ребер ортотропной плиты и планки</w:t>
            </w:r>
          </w:p>
        </w:tc>
        <w:tc>
          <w:tcPr>
            <w:tcW w:w="2324" w:type="dxa"/>
          </w:tcPr>
          <w:p w:rsidR="00212513" w:rsidRDefault="00212513">
            <w:pPr>
              <w:pStyle w:val="ConsPlusNormal"/>
              <w:jc w:val="center"/>
            </w:pPr>
            <w:r>
              <w:t>8</w:t>
            </w:r>
          </w:p>
        </w:tc>
        <w:tc>
          <w:tcPr>
            <w:tcW w:w="3005" w:type="dxa"/>
          </w:tcPr>
          <w:p w:rsidR="00212513" w:rsidRDefault="00212513">
            <w:pPr>
              <w:pStyle w:val="ConsPlusNormal"/>
              <w:jc w:val="center"/>
            </w:pPr>
            <w:r>
              <w:t>8</w:t>
            </w:r>
          </w:p>
        </w:tc>
      </w:tr>
      <w:tr w:rsidR="00212513">
        <w:tc>
          <w:tcPr>
            <w:tcW w:w="624" w:type="dxa"/>
            <w:tcBorders>
              <w:right w:val="nil"/>
            </w:tcBorders>
          </w:tcPr>
          <w:p w:rsidR="00212513" w:rsidRDefault="00212513">
            <w:pPr>
              <w:pStyle w:val="ConsPlusNormal"/>
              <w:jc w:val="center"/>
            </w:pPr>
            <w:r>
              <w:t>8</w:t>
            </w:r>
          </w:p>
        </w:tc>
        <w:tc>
          <w:tcPr>
            <w:tcW w:w="3118" w:type="dxa"/>
            <w:tcBorders>
              <w:left w:val="nil"/>
            </w:tcBorders>
          </w:tcPr>
          <w:p w:rsidR="00212513" w:rsidRDefault="00212513">
            <w:pPr>
              <w:pStyle w:val="ConsPlusNormal"/>
            </w:pPr>
            <w:r>
              <w:t>Прокладки</w:t>
            </w:r>
          </w:p>
        </w:tc>
        <w:tc>
          <w:tcPr>
            <w:tcW w:w="2324" w:type="dxa"/>
          </w:tcPr>
          <w:p w:rsidR="00212513" w:rsidRDefault="00212513">
            <w:pPr>
              <w:pStyle w:val="ConsPlusNormal"/>
              <w:jc w:val="center"/>
            </w:pPr>
            <w:r>
              <w:t>4</w:t>
            </w:r>
          </w:p>
        </w:tc>
        <w:tc>
          <w:tcPr>
            <w:tcW w:w="3005" w:type="dxa"/>
          </w:tcPr>
          <w:p w:rsidR="00212513" w:rsidRDefault="00212513">
            <w:pPr>
              <w:pStyle w:val="ConsPlusNormal"/>
              <w:jc w:val="center"/>
            </w:pPr>
            <w:r>
              <w:t>4</w:t>
            </w:r>
          </w:p>
        </w:tc>
      </w:tr>
      <w:tr w:rsidR="00212513">
        <w:tc>
          <w:tcPr>
            <w:tcW w:w="624" w:type="dxa"/>
            <w:tcBorders>
              <w:right w:val="nil"/>
            </w:tcBorders>
          </w:tcPr>
          <w:p w:rsidR="00212513" w:rsidRDefault="00212513">
            <w:pPr>
              <w:pStyle w:val="ConsPlusNormal"/>
              <w:jc w:val="center"/>
            </w:pPr>
            <w:r>
              <w:t>9</w:t>
            </w:r>
          </w:p>
        </w:tc>
        <w:tc>
          <w:tcPr>
            <w:tcW w:w="3118" w:type="dxa"/>
            <w:tcBorders>
              <w:left w:val="nil"/>
            </w:tcBorders>
          </w:tcPr>
          <w:p w:rsidR="00212513" w:rsidRDefault="00212513">
            <w:pPr>
              <w:pStyle w:val="ConsPlusNormal"/>
            </w:pPr>
            <w:r>
              <w:t>Горизонтальные опорные листы</w:t>
            </w:r>
          </w:p>
        </w:tc>
        <w:tc>
          <w:tcPr>
            <w:tcW w:w="2324" w:type="dxa"/>
          </w:tcPr>
          <w:p w:rsidR="00212513" w:rsidRDefault="00212513">
            <w:pPr>
              <w:pStyle w:val="ConsPlusNormal"/>
              <w:jc w:val="center"/>
            </w:pPr>
            <w:r>
              <w:t>20</w:t>
            </w:r>
          </w:p>
        </w:tc>
        <w:tc>
          <w:tcPr>
            <w:tcW w:w="3005" w:type="dxa"/>
          </w:tcPr>
          <w:p w:rsidR="00212513" w:rsidRDefault="00212513">
            <w:pPr>
              <w:pStyle w:val="ConsPlusNormal"/>
              <w:jc w:val="center"/>
            </w:pPr>
            <w:r>
              <w:t>20</w:t>
            </w:r>
          </w:p>
        </w:tc>
      </w:tr>
      <w:tr w:rsidR="00212513">
        <w:tc>
          <w:tcPr>
            <w:tcW w:w="624" w:type="dxa"/>
            <w:tcBorders>
              <w:right w:val="nil"/>
            </w:tcBorders>
          </w:tcPr>
          <w:p w:rsidR="00212513" w:rsidRDefault="00212513">
            <w:pPr>
              <w:pStyle w:val="ConsPlusNormal"/>
              <w:jc w:val="center"/>
            </w:pPr>
            <w:r>
              <w:t>10</w:t>
            </w:r>
          </w:p>
        </w:tc>
        <w:tc>
          <w:tcPr>
            <w:tcW w:w="3118" w:type="dxa"/>
            <w:tcBorders>
              <w:left w:val="nil"/>
            </w:tcBorders>
          </w:tcPr>
          <w:p w:rsidR="00212513" w:rsidRDefault="00212513">
            <w:pPr>
              <w:pStyle w:val="ConsPlusNormal"/>
            </w:pPr>
            <w:r>
              <w:t>Листы настила ортотропных плит</w:t>
            </w:r>
          </w:p>
        </w:tc>
        <w:tc>
          <w:tcPr>
            <w:tcW w:w="2324" w:type="dxa"/>
          </w:tcPr>
          <w:p w:rsidR="00212513" w:rsidRDefault="00212513">
            <w:pPr>
              <w:pStyle w:val="ConsPlusNormal"/>
              <w:jc w:val="center"/>
            </w:pPr>
            <w:r>
              <w:t>14</w:t>
            </w:r>
          </w:p>
        </w:tc>
        <w:tc>
          <w:tcPr>
            <w:tcW w:w="3005" w:type="dxa"/>
          </w:tcPr>
          <w:p w:rsidR="00212513" w:rsidRDefault="00212513">
            <w:pPr>
              <w:pStyle w:val="ConsPlusNormal"/>
              <w:jc w:val="center"/>
            </w:pPr>
            <w:r>
              <w:t>14</w:t>
            </w:r>
          </w:p>
        </w:tc>
      </w:tr>
      <w:tr w:rsidR="00212513">
        <w:tc>
          <w:tcPr>
            <w:tcW w:w="624" w:type="dxa"/>
            <w:tcBorders>
              <w:right w:val="nil"/>
            </w:tcBorders>
          </w:tcPr>
          <w:p w:rsidR="00212513" w:rsidRDefault="00212513">
            <w:pPr>
              <w:pStyle w:val="ConsPlusNormal"/>
              <w:jc w:val="center"/>
            </w:pPr>
            <w:r>
              <w:t>10а</w:t>
            </w:r>
          </w:p>
        </w:tc>
        <w:tc>
          <w:tcPr>
            <w:tcW w:w="3118" w:type="dxa"/>
            <w:tcBorders>
              <w:left w:val="nil"/>
            </w:tcBorders>
          </w:tcPr>
          <w:p w:rsidR="00212513" w:rsidRDefault="00212513">
            <w:pPr>
              <w:pStyle w:val="ConsPlusNormal"/>
            </w:pPr>
            <w:r>
              <w:t>Листы ортотропных плит тротуаров и пешеходных мостов</w:t>
            </w:r>
          </w:p>
        </w:tc>
        <w:tc>
          <w:tcPr>
            <w:tcW w:w="2324" w:type="dxa"/>
          </w:tcPr>
          <w:p w:rsidR="00212513" w:rsidRDefault="00212513">
            <w:pPr>
              <w:pStyle w:val="ConsPlusNormal"/>
              <w:jc w:val="center"/>
            </w:pPr>
            <w:r>
              <w:t>-</w:t>
            </w:r>
          </w:p>
        </w:tc>
        <w:tc>
          <w:tcPr>
            <w:tcW w:w="3005" w:type="dxa"/>
          </w:tcPr>
          <w:p w:rsidR="00212513" w:rsidRDefault="00212513">
            <w:pPr>
              <w:pStyle w:val="ConsPlusNormal"/>
              <w:jc w:val="center"/>
            </w:pPr>
            <w:r>
              <w:t>12</w:t>
            </w:r>
          </w:p>
        </w:tc>
      </w:tr>
      <w:tr w:rsidR="00212513">
        <w:tc>
          <w:tcPr>
            <w:tcW w:w="624" w:type="dxa"/>
            <w:tcBorders>
              <w:right w:val="nil"/>
            </w:tcBorders>
          </w:tcPr>
          <w:p w:rsidR="00212513" w:rsidRDefault="00212513">
            <w:pPr>
              <w:pStyle w:val="ConsPlusNormal"/>
              <w:jc w:val="center"/>
            </w:pPr>
            <w:bookmarkStart w:id="389" w:name="P8990"/>
            <w:bookmarkEnd w:id="389"/>
            <w:r>
              <w:t>11</w:t>
            </w:r>
          </w:p>
        </w:tc>
        <w:tc>
          <w:tcPr>
            <w:tcW w:w="3118" w:type="dxa"/>
            <w:tcBorders>
              <w:left w:val="nil"/>
            </w:tcBorders>
          </w:tcPr>
          <w:p w:rsidR="00212513" w:rsidRDefault="00212513">
            <w:pPr>
              <w:pStyle w:val="ConsPlusNormal"/>
            </w:pPr>
            <w:r>
              <w:t>Ребра ортотропных и ребристых плит</w:t>
            </w:r>
          </w:p>
        </w:tc>
        <w:tc>
          <w:tcPr>
            <w:tcW w:w="2324" w:type="dxa"/>
          </w:tcPr>
          <w:p w:rsidR="00212513" w:rsidRDefault="00212513">
            <w:pPr>
              <w:pStyle w:val="ConsPlusNormal"/>
              <w:jc w:val="center"/>
            </w:pPr>
            <w:r>
              <w:t>12</w:t>
            </w:r>
          </w:p>
        </w:tc>
        <w:tc>
          <w:tcPr>
            <w:tcW w:w="3005" w:type="dxa"/>
          </w:tcPr>
          <w:p w:rsidR="00212513" w:rsidRDefault="00212513">
            <w:pPr>
              <w:pStyle w:val="ConsPlusNormal"/>
              <w:jc w:val="center"/>
            </w:pPr>
            <w:r>
              <w:t>12</w:t>
            </w:r>
          </w:p>
        </w:tc>
      </w:tr>
      <w:tr w:rsidR="00212513">
        <w:tc>
          <w:tcPr>
            <w:tcW w:w="624" w:type="dxa"/>
            <w:tcBorders>
              <w:right w:val="nil"/>
            </w:tcBorders>
          </w:tcPr>
          <w:p w:rsidR="00212513" w:rsidRDefault="00212513">
            <w:pPr>
              <w:pStyle w:val="ConsPlusNormal"/>
              <w:jc w:val="center"/>
            </w:pPr>
            <w:r>
              <w:t>12</w:t>
            </w:r>
          </w:p>
        </w:tc>
        <w:tc>
          <w:tcPr>
            <w:tcW w:w="3118" w:type="dxa"/>
            <w:tcBorders>
              <w:left w:val="nil"/>
            </w:tcBorders>
          </w:tcPr>
          <w:p w:rsidR="00212513" w:rsidRDefault="00212513">
            <w:pPr>
              <w:pStyle w:val="ConsPlusNormal"/>
            </w:pPr>
            <w:r>
              <w:t>Трапециевидные ребра</w:t>
            </w:r>
          </w:p>
        </w:tc>
        <w:tc>
          <w:tcPr>
            <w:tcW w:w="2324" w:type="dxa"/>
          </w:tcPr>
          <w:p w:rsidR="00212513" w:rsidRDefault="00212513">
            <w:pPr>
              <w:pStyle w:val="ConsPlusNormal"/>
              <w:jc w:val="center"/>
            </w:pPr>
            <w:r>
              <w:t>6</w:t>
            </w:r>
          </w:p>
        </w:tc>
        <w:tc>
          <w:tcPr>
            <w:tcW w:w="3005" w:type="dxa"/>
          </w:tcPr>
          <w:p w:rsidR="00212513" w:rsidRDefault="00212513">
            <w:pPr>
              <w:pStyle w:val="ConsPlusNormal"/>
              <w:jc w:val="center"/>
            </w:pPr>
            <w:r>
              <w:t>6</w:t>
            </w:r>
          </w:p>
        </w:tc>
      </w:tr>
      <w:tr w:rsidR="00212513">
        <w:tc>
          <w:tcPr>
            <w:tcW w:w="624" w:type="dxa"/>
            <w:tcBorders>
              <w:right w:val="nil"/>
            </w:tcBorders>
          </w:tcPr>
          <w:p w:rsidR="00212513" w:rsidRDefault="00212513">
            <w:pPr>
              <w:pStyle w:val="ConsPlusNormal"/>
              <w:jc w:val="center"/>
            </w:pPr>
            <w:r>
              <w:t>13</w:t>
            </w:r>
          </w:p>
        </w:tc>
        <w:tc>
          <w:tcPr>
            <w:tcW w:w="3118" w:type="dxa"/>
            <w:tcBorders>
              <w:left w:val="nil"/>
            </w:tcBorders>
          </w:tcPr>
          <w:p w:rsidR="00212513" w:rsidRDefault="00212513">
            <w:pPr>
              <w:pStyle w:val="ConsPlusNormal"/>
            </w:pPr>
            <w:r>
              <w:t>Уголки в основных элементах главных ферм и проезжей части</w:t>
            </w:r>
          </w:p>
        </w:tc>
        <w:tc>
          <w:tcPr>
            <w:tcW w:w="2324" w:type="dxa"/>
          </w:tcPr>
          <w:p w:rsidR="00212513" w:rsidRDefault="00212513">
            <w:pPr>
              <w:pStyle w:val="ConsPlusNormal"/>
              <w:jc w:val="center"/>
            </w:pPr>
            <w:r>
              <w:t>100 x 100 x 10</w:t>
            </w:r>
          </w:p>
        </w:tc>
        <w:tc>
          <w:tcPr>
            <w:tcW w:w="3005" w:type="dxa"/>
          </w:tcPr>
          <w:p w:rsidR="00212513" w:rsidRDefault="00212513">
            <w:pPr>
              <w:pStyle w:val="ConsPlusNormal"/>
              <w:jc w:val="center"/>
            </w:pPr>
            <w:r>
              <w:t>100 x 100 x 10</w:t>
            </w:r>
          </w:p>
        </w:tc>
      </w:tr>
      <w:tr w:rsidR="00212513">
        <w:tc>
          <w:tcPr>
            <w:tcW w:w="624" w:type="dxa"/>
            <w:tcBorders>
              <w:right w:val="nil"/>
            </w:tcBorders>
          </w:tcPr>
          <w:p w:rsidR="00212513" w:rsidRDefault="00212513">
            <w:pPr>
              <w:pStyle w:val="ConsPlusNormal"/>
              <w:jc w:val="center"/>
            </w:pPr>
            <w:r>
              <w:t>14</w:t>
            </w:r>
          </w:p>
        </w:tc>
        <w:tc>
          <w:tcPr>
            <w:tcW w:w="3118" w:type="dxa"/>
            <w:tcBorders>
              <w:left w:val="nil"/>
            </w:tcBorders>
          </w:tcPr>
          <w:p w:rsidR="00212513" w:rsidRDefault="00212513">
            <w:pPr>
              <w:pStyle w:val="ConsPlusNormal"/>
            </w:pPr>
            <w:r>
              <w:t>Уголки фланцевых прикреплений продольных и поперечных балок</w:t>
            </w:r>
          </w:p>
        </w:tc>
        <w:tc>
          <w:tcPr>
            <w:tcW w:w="2324" w:type="dxa"/>
          </w:tcPr>
          <w:p w:rsidR="00212513" w:rsidRDefault="00212513">
            <w:pPr>
              <w:pStyle w:val="ConsPlusNormal"/>
              <w:jc w:val="center"/>
            </w:pPr>
            <w:r>
              <w:t>100 x 100 x 12</w:t>
            </w:r>
          </w:p>
        </w:tc>
        <w:tc>
          <w:tcPr>
            <w:tcW w:w="3005" w:type="dxa"/>
          </w:tcPr>
          <w:p w:rsidR="00212513" w:rsidRDefault="00212513">
            <w:pPr>
              <w:pStyle w:val="ConsPlusNormal"/>
              <w:jc w:val="center"/>
            </w:pPr>
            <w:r>
              <w:t>100 x 100 x 12</w:t>
            </w:r>
          </w:p>
        </w:tc>
      </w:tr>
      <w:tr w:rsidR="00212513">
        <w:tc>
          <w:tcPr>
            <w:tcW w:w="624" w:type="dxa"/>
            <w:tcBorders>
              <w:right w:val="nil"/>
            </w:tcBorders>
          </w:tcPr>
          <w:p w:rsidR="00212513" w:rsidRDefault="00212513">
            <w:pPr>
              <w:pStyle w:val="ConsPlusNormal"/>
              <w:jc w:val="center"/>
            </w:pPr>
            <w:r>
              <w:t>15</w:t>
            </w:r>
          </w:p>
        </w:tc>
        <w:tc>
          <w:tcPr>
            <w:tcW w:w="3118" w:type="dxa"/>
            <w:tcBorders>
              <w:left w:val="nil"/>
            </w:tcBorders>
          </w:tcPr>
          <w:p w:rsidR="00212513" w:rsidRDefault="00212513">
            <w:pPr>
              <w:pStyle w:val="ConsPlusNormal"/>
            </w:pPr>
            <w:r>
              <w:t>Уголки в элементах связей</w:t>
            </w:r>
          </w:p>
        </w:tc>
        <w:tc>
          <w:tcPr>
            <w:tcW w:w="2324" w:type="dxa"/>
          </w:tcPr>
          <w:p w:rsidR="00212513" w:rsidRDefault="00212513">
            <w:pPr>
              <w:pStyle w:val="ConsPlusNormal"/>
              <w:jc w:val="center"/>
            </w:pPr>
            <w:r>
              <w:t>80 x 80 x 8</w:t>
            </w:r>
          </w:p>
        </w:tc>
        <w:tc>
          <w:tcPr>
            <w:tcW w:w="3005" w:type="dxa"/>
          </w:tcPr>
          <w:p w:rsidR="00212513" w:rsidRDefault="00212513">
            <w:pPr>
              <w:pStyle w:val="ConsPlusNormal"/>
              <w:jc w:val="center"/>
            </w:pPr>
            <w:r>
              <w:t>80 x 80 x 8</w:t>
            </w:r>
          </w:p>
        </w:tc>
      </w:tr>
    </w:tbl>
    <w:p w:rsidR="00212513" w:rsidRDefault="00212513">
      <w:pPr>
        <w:pStyle w:val="ConsPlusNormal"/>
        <w:ind w:firstLine="540"/>
        <w:jc w:val="both"/>
      </w:pPr>
    </w:p>
    <w:p w:rsidR="00212513" w:rsidRDefault="00212513">
      <w:pPr>
        <w:pStyle w:val="ConsPlusNormal"/>
        <w:ind w:firstLine="540"/>
        <w:jc w:val="both"/>
      </w:pPr>
      <w:r>
        <w:t>8.123 Для уменьшения числа соединительных сварных швов сечения составных элементов решетчатых ферм следует предусматривать из минимального числа деталей.</w:t>
      </w:r>
    </w:p>
    <w:p w:rsidR="00212513" w:rsidRDefault="00212513">
      <w:pPr>
        <w:pStyle w:val="ConsPlusNormal"/>
        <w:spacing w:before="220"/>
        <w:ind w:firstLine="540"/>
        <w:jc w:val="both"/>
      </w:pPr>
      <w:r>
        <w:t>8.124 В решетчатых главных фермах материал элементов коробчатого и Н-образного сечений должен быть сконцентрирован в листах, расположенных в плоскости фермы.</w:t>
      </w:r>
    </w:p>
    <w:p w:rsidR="00212513" w:rsidRDefault="00212513">
      <w:pPr>
        <w:pStyle w:val="ConsPlusNormal"/>
        <w:spacing w:before="220"/>
        <w:ind w:firstLine="540"/>
        <w:jc w:val="both"/>
      </w:pPr>
      <w:r>
        <w:t>Пояса, сжатые элементы ферм и опор следует, как правило, предусматривать коробчатого сечения.</w:t>
      </w:r>
    </w:p>
    <w:p w:rsidR="00212513" w:rsidRDefault="00212513">
      <w:pPr>
        <w:pStyle w:val="ConsPlusNormal"/>
        <w:spacing w:before="220"/>
        <w:ind w:firstLine="540"/>
        <w:jc w:val="both"/>
      </w:pPr>
      <w:r>
        <w:t xml:space="preserve">8.125 В составных элементах решетчатых ферм отношение </w:t>
      </w:r>
      <w:r>
        <w:rPr>
          <w:noProof/>
          <w:position w:val="-6"/>
        </w:rPr>
        <w:drawing>
          <wp:inline distT="0" distB="0" distL="0" distR="0">
            <wp:extent cx="167640" cy="220980"/>
            <wp:effectExtent l="0" t="0" r="0" b="0"/>
            <wp:docPr id="1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6" cstate="print">
                      <a:extLst>
                        <a:ext uri="{28A0092B-C50C-407E-A947-70E740481C1C}">
                          <a14:useLocalDpi xmlns:a14="http://schemas.microsoft.com/office/drawing/2010/main" val="0"/>
                        </a:ext>
                      </a:extLst>
                    </a:blip>
                    <a:srcRect/>
                    <a:stretch>
                      <a:fillRect/>
                    </a:stretch>
                  </pic:blipFill>
                  <pic:spPr bwMode="auto">
                    <a:xfrm>
                      <a:off x="0" y="0"/>
                      <a:ext cx="167640" cy="220980"/>
                    </a:xfrm>
                    <a:prstGeom prst="rect">
                      <a:avLst/>
                    </a:prstGeom>
                    <a:noFill/>
                    <a:ln>
                      <a:noFill/>
                    </a:ln>
                  </pic:spPr>
                </pic:pic>
              </a:graphicData>
            </a:graphic>
          </wp:inline>
        </w:drawing>
      </w:r>
      <w:r>
        <w:t xml:space="preserve"> расчетной ширины </w:t>
      </w:r>
      <w:r>
        <w:rPr>
          <w:i/>
        </w:rPr>
        <w:t>b</w:t>
      </w:r>
      <w:r>
        <w:t xml:space="preserve"> к толщине </w:t>
      </w:r>
      <w:r>
        <w:rPr>
          <w:i/>
        </w:rPr>
        <w:t>t</w:t>
      </w:r>
      <w:r>
        <w:t xml:space="preserve"> листов не должно превышать следующих величин:</w:t>
      </w:r>
    </w:p>
    <w:p w:rsidR="00212513" w:rsidRDefault="00212513">
      <w:pPr>
        <w:pStyle w:val="ConsPlusNormal"/>
        <w:spacing w:before="220"/>
        <w:ind w:firstLine="540"/>
        <w:jc w:val="both"/>
      </w:pPr>
      <w:r>
        <w:t>у вертикальных и горизонтальных листов коробчатых элементов - 60;</w:t>
      </w:r>
    </w:p>
    <w:p w:rsidR="00212513" w:rsidRDefault="00212513">
      <w:pPr>
        <w:pStyle w:val="ConsPlusNormal"/>
        <w:spacing w:before="220"/>
        <w:ind w:firstLine="540"/>
        <w:jc w:val="both"/>
      </w:pPr>
      <w:r>
        <w:t>у горизонтальных листов Н-образных элементов - 45;</w:t>
      </w:r>
    </w:p>
    <w:p w:rsidR="00212513" w:rsidRDefault="00212513">
      <w:pPr>
        <w:pStyle w:val="ConsPlusNormal"/>
        <w:spacing w:before="220"/>
        <w:ind w:firstLine="540"/>
        <w:jc w:val="both"/>
      </w:pPr>
      <w:r>
        <w:t>у листов со свободными (неокаймленными) свесами - 20;</w:t>
      </w:r>
    </w:p>
    <w:p w:rsidR="00212513" w:rsidRDefault="00212513">
      <w:pPr>
        <w:pStyle w:val="ConsPlusNormal"/>
        <w:spacing w:before="220"/>
        <w:ind w:firstLine="540"/>
        <w:jc w:val="both"/>
      </w:pPr>
      <w:r>
        <w:t>у листов со свесами, окаймленными уголками или ребрами, - 30.</w:t>
      </w:r>
    </w:p>
    <w:p w:rsidR="00212513" w:rsidRDefault="00212513">
      <w:pPr>
        <w:pStyle w:val="ConsPlusNormal"/>
        <w:spacing w:before="220"/>
        <w:ind w:firstLine="540"/>
        <w:jc w:val="both"/>
      </w:pPr>
      <w:r>
        <w:t xml:space="preserve">За расчетную ширину </w:t>
      </w:r>
      <w:r>
        <w:rPr>
          <w:i/>
        </w:rPr>
        <w:t>b</w:t>
      </w:r>
      <w:r>
        <w:t xml:space="preserve"> листа следует принимать:</w:t>
      </w:r>
    </w:p>
    <w:p w:rsidR="00212513" w:rsidRDefault="00212513">
      <w:pPr>
        <w:pStyle w:val="ConsPlusNormal"/>
        <w:spacing w:before="220"/>
        <w:ind w:firstLine="540"/>
        <w:jc w:val="both"/>
      </w:pPr>
      <w:r>
        <w:lastRenderedPageBreak/>
        <w:t>а) при обеих закрепленных продольных кромках:</w:t>
      </w:r>
    </w:p>
    <w:p w:rsidR="00212513" w:rsidRDefault="00212513">
      <w:pPr>
        <w:pStyle w:val="ConsPlusNormal"/>
        <w:spacing w:before="220"/>
        <w:ind w:firstLine="540"/>
        <w:jc w:val="both"/>
      </w:pPr>
      <w:r>
        <w:t>для элементов с болтовыми соединениями - расстояние между ближайшими рисками болтов, присоединяющих данный лист к перпендикулярным ему листам или соединительным связям;</w:t>
      </w:r>
    </w:p>
    <w:p w:rsidR="00212513" w:rsidRDefault="00212513">
      <w:pPr>
        <w:pStyle w:val="ConsPlusNormal"/>
        <w:spacing w:before="220"/>
        <w:ind w:firstLine="540"/>
        <w:jc w:val="both"/>
      </w:pPr>
      <w:r>
        <w:t>для сварных и прокатных элементов - расстояние между осями указанных листов:</w:t>
      </w:r>
    </w:p>
    <w:p w:rsidR="00212513" w:rsidRDefault="00212513">
      <w:pPr>
        <w:pStyle w:val="ConsPlusNormal"/>
        <w:spacing w:before="220"/>
        <w:ind w:firstLine="540"/>
        <w:jc w:val="both"/>
      </w:pPr>
      <w:r>
        <w:t>б) при закреплении одной продольной кромки:</w:t>
      </w:r>
    </w:p>
    <w:p w:rsidR="00212513" w:rsidRDefault="00212513">
      <w:pPr>
        <w:pStyle w:val="ConsPlusNormal"/>
        <w:spacing w:before="220"/>
        <w:ind w:firstLine="540"/>
        <w:jc w:val="both"/>
      </w:pPr>
      <w:r>
        <w:t>для элементов с болтовыми соединениями - расстояние от свободного края листа до ближайшей риски болтов;</w:t>
      </w:r>
    </w:p>
    <w:p w:rsidR="00212513" w:rsidRDefault="00212513">
      <w:pPr>
        <w:pStyle w:val="ConsPlusNormal"/>
        <w:spacing w:before="220"/>
        <w:ind w:firstLine="540"/>
        <w:jc w:val="both"/>
      </w:pPr>
      <w:r>
        <w:t>для сварных и прокатных элементов - расстояние от свободного края листа до оси ближайшего листа, расположенного перпендикулярно данному.</w:t>
      </w:r>
    </w:p>
    <w:p w:rsidR="00212513" w:rsidRDefault="00212513">
      <w:pPr>
        <w:pStyle w:val="ConsPlusNormal"/>
        <w:spacing w:before="220"/>
        <w:ind w:firstLine="540"/>
        <w:jc w:val="both"/>
      </w:pPr>
      <w:r>
        <w:t xml:space="preserve">8.126 В сжатых элементах Н-образного сечения толщина горизонтального листа должна составлять от толщины соединяемых листов </w:t>
      </w:r>
      <w:r>
        <w:rPr>
          <w:noProof/>
          <w:position w:val="-9"/>
        </w:rPr>
        <w:drawing>
          <wp:inline distT="0" distB="0" distL="0" distR="0">
            <wp:extent cx="167640" cy="262890"/>
            <wp:effectExtent l="0" t="0" r="0" b="0"/>
            <wp:docPr id="1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7" cstate="print">
                      <a:extLst>
                        <a:ext uri="{28A0092B-C50C-407E-A947-70E740481C1C}">
                          <a14:useLocalDpi xmlns:a14="http://schemas.microsoft.com/office/drawing/2010/main" val="0"/>
                        </a:ext>
                      </a:extLst>
                    </a:blip>
                    <a:srcRect/>
                    <a:stretch>
                      <a:fillRect/>
                    </a:stretch>
                  </pic:blipFill>
                  <pic:spPr bwMode="auto">
                    <a:xfrm>
                      <a:off x="0" y="0"/>
                      <a:ext cx="167640" cy="262890"/>
                    </a:xfrm>
                    <a:prstGeom prst="rect">
                      <a:avLst/>
                    </a:prstGeom>
                    <a:noFill/>
                    <a:ln>
                      <a:noFill/>
                    </a:ln>
                  </pic:spPr>
                </pic:pic>
              </a:graphicData>
            </a:graphic>
          </wp:inline>
        </w:drawing>
      </w:r>
      <w:r>
        <w:t xml:space="preserve"> не менее:</w:t>
      </w:r>
    </w:p>
    <w:p w:rsidR="00212513" w:rsidRDefault="00212513">
      <w:pPr>
        <w:pStyle w:val="ConsPlusNormal"/>
        <w:spacing w:before="220"/>
        <w:ind w:firstLine="540"/>
        <w:jc w:val="both"/>
      </w:pPr>
      <w:r>
        <w:rPr>
          <w:noProof/>
          <w:position w:val="-9"/>
        </w:rPr>
        <w:drawing>
          <wp:inline distT="0" distB="0" distL="0" distR="0">
            <wp:extent cx="398780" cy="262890"/>
            <wp:effectExtent l="0" t="0" r="0" b="0"/>
            <wp:docPr id="1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8" cstate="print">
                      <a:extLst>
                        <a:ext uri="{28A0092B-C50C-407E-A947-70E740481C1C}">
                          <a14:useLocalDpi xmlns:a14="http://schemas.microsoft.com/office/drawing/2010/main" val="0"/>
                        </a:ext>
                      </a:extLst>
                    </a:blip>
                    <a:srcRect/>
                    <a:stretch>
                      <a:fillRect/>
                    </a:stretch>
                  </pic:blipFill>
                  <pic:spPr bwMode="auto">
                    <a:xfrm>
                      <a:off x="0" y="0"/>
                      <a:ext cx="398780" cy="262890"/>
                    </a:xfrm>
                    <a:prstGeom prst="rect">
                      <a:avLst/>
                    </a:prstGeom>
                    <a:noFill/>
                    <a:ln>
                      <a:noFill/>
                    </a:ln>
                  </pic:spPr>
                </pic:pic>
              </a:graphicData>
            </a:graphic>
          </wp:inline>
        </w:drawing>
      </w:r>
      <w:r>
        <w:t xml:space="preserve"> - в элементах с болтовыми соединениями;</w:t>
      </w:r>
    </w:p>
    <w:p w:rsidR="00212513" w:rsidRDefault="00212513">
      <w:pPr>
        <w:pStyle w:val="ConsPlusNormal"/>
        <w:spacing w:before="220"/>
        <w:ind w:firstLine="540"/>
        <w:jc w:val="both"/>
      </w:pPr>
      <w:r>
        <w:rPr>
          <w:noProof/>
          <w:position w:val="-9"/>
        </w:rPr>
        <w:drawing>
          <wp:inline distT="0" distB="0" distL="0" distR="0">
            <wp:extent cx="398780" cy="262890"/>
            <wp:effectExtent l="0" t="0" r="0" b="0"/>
            <wp:docPr id="1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9" cstate="print">
                      <a:extLst>
                        <a:ext uri="{28A0092B-C50C-407E-A947-70E740481C1C}">
                          <a14:useLocalDpi xmlns:a14="http://schemas.microsoft.com/office/drawing/2010/main" val="0"/>
                        </a:ext>
                      </a:extLst>
                    </a:blip>
                    <a:srcRect/>
                    <a:stretch>
                      <a:fillRect/>
                    </a:stretch>
                  </pic:blipFill>
                  <pic:spPr bwMode="auto">
                    <a:xfrm>
                      <a:off x="0" y="0"/>
                      <a:ext cx="398780" cy="262890"/>
                    </a:xfrm>
                    <a:prstGeom prst="rect">
                      <a:avLst/>
                    </a:prstGeom>
                    <a:noFill/>
                    <a:ln>
                      <a:noFill/>
                    </a:ln>
                  </pic:spPr>
                </pic:pic>
              </a:graphicData>
            </a:graphic>
          </wp:inline>
        </w:drawing>
      </w:r>
      <w:r>
        <w:t xml:space="preserve"> - в сварных и прокатных элементах при </w:t>
      </w:r>
      <w:r>
        <w:rPr>
          <w:noProof/>
          <w:position w:val="-9"/>
        </w:rPr>
        <w:drawing>
          <wp:inline distT="0" distB="0" distL="0" distR="0">
            <wp:extent cx="774700" cy="262890"/>
            <wp:effectExtent l="0" t="0" r="0" b="0"/>
            <wp:docPr id="1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0" cstate="print">
                      <a:extLst>
                        <a:ext uri="{28A0092B-C50C-407E-A947-70E740481C1C}">
                          <a14:useLocalDpi xmlns:a14="http://schemas.microsoft.com/office/drawing/2010/main" val="0"/>
                        </a:ext>
                      </a:extLst>
                    </a:blip>
                    <a:srcRect/>
                    <a:stretch>
                      <a:fillRect/>
                    </a:stretch>
                  </pic:blipFill>
                  <pic:spPr bwMode="auto">
                    <a:xfrm>
                      <a:off x="0" y="0"/>
                      <a:ext cx="774700" cy="262890"/>
                    </a:xfrm>
                    <a:prstGeom prst="rect">
                      <a:avLst/>
                    </a:prstGeom>
                    <a:noFill/>
                    <a:ln>
                      <a:noFill/>
                    </a:ln>
                  </pic:spPr>
                </pic:pic>
              </a:graphicData>
            </a:graphic>
          </wp:inline>
        </w:drawing>
      </w:r>
      <w:r>
        <w:t xml:space="preserve"> и 0,5 </w:t>
      </w:r>
      <w:r>
        <w:rPr>
          <w:noProof/>
          <w:position w:val="-9"/>
        </w:rPr>
        <w:drawing>
          <wp:inline distT="0" distB="0" distL="0" distR="0">
            <wp:extent cx="774700" cy="262890"/>
            <wp:effectExtent l="0" t="0" r="0" b="0"/>
            <wp:docPr id="1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1" cstate="print">
                      <a:extLst>
                        <a:ext uri="{28A0092B-C50C-407E-A947-70E740481C1C}">
                          <a14:useLocalDpi xmlns:a14="http://schemas.microsoft.com/office/drawing/2010/main" val="0"/>
                        </a:ext>
                      </a:extLst>
                    </a:blip>
                    <a:srcRect/>
                    <a:stretch>
                      <a:fillRect/>
                    </a:stretch>
                  </pic:blipFill>
                  <pic:spPr bwMode="auto">
                    <a:xfrm>
                      <a:off x="0" y="0"/>
                      <a:ext cx="774700" cy="262890"/>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8.127 При конструировании узлов ферм следует обеспечивать местную устойчивость сжатых зон узловых фасонок в соответствии с </w:t>
      </w:r>
      <w:hyperlink w:anchor="P8039">
        <w:r>
          <w:rPr>
            <w:color w:val="0000FF"/>
          </w:rPr>
          <w:t>8.55</w:t>
        </w:r>
      </w:hyperlink>
      <w:r>
        <w:t>, при необходимости подкрепляя свободные кромки окаймляющими уголками или ребрами.</w:t>
      </w:r>
    </w:p>
    <w:p w:rsidR="00212513" w:rsidRDefault="00212513">
      <w:pPr>
        <w:pStyle w:val="ConsPlusNormal"/>
        <w:spacing w:before="220"/>
        <w:ind w:firstLine="540"/>
        <w:jc w:val="both"/>
      </w:pPr>
      <w:bookmarkStart w:id="390" w:name="P9030"/>
      <w:bookmarkEnd w:id="390"/>
      <w:r>
        <w:t>8.128 Двутавровые сварные балки следует предусматривать из одного вертикального и двух горизонтальных листов, а коробчатые - из двух вертикальных и двух непосредственно соединенных с ними поясными швами горизонтальных листов.</w:t>
      </w:r>
    </w:p>
    <w:p w:rsidR="00212513" w:rsidRDefault="00212513">
      <w:pPr>
        <w:pStyle w:val="ConsPlusNormal"/>
        <w:spacing w:before="220"/>
        <w:ind w:firstLine="540"/>
        <w:jc w:val="both"/>
      </w:pPr>
      <w:r>
        <w:t>Если требуемая толщина пояса сварной балки превосходит 60, 50 и 40 мм (соответственно в конструкциях обычного, северного А и Б исполнений), допускается применение в поясах пакетов из двух листов.</w:t>
      </w:r>
    </w:p>
    <w:p w:rsidR="00212513" w:rsidRDefault="00212513">
      <w:pPr>
        <w:pStyle w:val="ConsPlusNormal"/>
        <w:spacing w:before="220"/>
        <w:ind w:firstLine="540"/>
        <w:jc w:val="both"/>
      </w:pPr>
      <w:r>
        <w:t>Изменение сечения пояса следует осуществлять в зоне расположения его стыков, предусматривая скосы по ширине или по толщине, а при необходимости - то и другое одновременно с уклоном 1:8 для растянутого пояса и 1:4 - для сжатого.</w:t>
      </w:r>
    </w:p>
    <w:p w:rsidR="00212513" w:rsidRDefault="00212513">
      <w:pPr>
        <w:pStyle w:val="ConsPlusNormal"/>
        <w:spacing w:before="220"/>
        <w:ind w:firstLine="540"/>
        <w:jc w:val="both"/>
      </w:pPr>
      <w:r>
        <w:t>В поясах из двух листов следует применять листы, отличающиеся по ширине не менее чем на 100 мм. В автодорожных и городских мостах допускается применение в поясах балок пакетов из листов одинаковой ширины, соединенных сварными швами, наложенными по соприкасающимся кромкам, с разделкой последних на требуемую по расчету глубину.</w:t>
      </w:r>
    </w:p>
    <w:p w:rsidR="00212513" w:rsidRDefault="00212513">
      <w:pPr>
        <w:pStyle w:val="ConsPlusNormal"/>
        <w:spacing w:before="220"/>
        <w:ind w:firstLine="540"/>
        <w:jc w:val="both"/>
      </w:pPr>
      <w:r>
        <w:t xml:space="preserve">8.129 Наружный лист пакета пояса, обрываемый в пролете балки с учетом указаний </w:t>
      </w:r>
      <w:hyperlink w:anchor="P8888">
        <w:r>
          <w:rPr>
            <w:color w:val="0000FF"/>
          </w:rPr>
          <w:t>8.114</w:t>
        </w:r>
      </w:hyperlink>
      <w:r>
        <w:t>, следует продолжить за место его теоретического обрыва на длину, обеспечивающую прикрепление 50% площади сечения листа. При этом следует предусматривать: толщину этого листа на конце - 10 мм; симметричные скосы по ширине (со сведением на нет) - с уклоном 1:4; скос по толщине - с уклоном 1:8 для растянутого пояса и 1:4 - для сжатого. Для косых швов на конце листа следует предусматривать отношение катетов 1:2 (меньший катет - по вертикали) и механическую обработку для получения плавных (радиусом не менее 3 мм) переходов к основному металлу непрерываемого листа пояса.</w:t>
      </w:r>
    </w:p>
    <w:p w:rsidR="00212513" w:rsidRDefault="00212513">
      <w:pPr>
        <w:pStyle w:val="ConsPlusNormal"/>
        <w:jc w:val="both"/>
      </w:pPr>
      <w:r>
        <w:t xml:space="preserve">(в ред. </w:t>
      </w:r>
      <w:hyperlink r:id="rId2172">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t xml:space="preserve">8.130 В железнодорожных мостах при мостовом полотне с деревянными поперечинами или </w:t>
      </w:r>
      <w:r>
        <w:lastRenderedPageBreak/>
        <w:t>железобетонными плитами безбалластного мостового полотна, а также при широких верхних поясах следует обеспечивать, как правило, центрированную передачу давления поперечин или плит на стенки главных или продольных балок путем устройства верхних поясов в виде двухлистового пакета с шириной верхнего листа 200 мм; при этом под нагрузкой должно быть исключено касание поперечинами элементов продольных и поперечных связей.</w:t>
      </w:r>
    </w:p>
    <w:p w:rsidR="00212513" w:rsidRDefault="00212513">
      <w:pPr>
        <w:pStyle w:val="ConsPlusNormal"/>
        <w:ind w:firstLine="540"/>
        <w:jc w:val="both"/>
      </w:pPr>
    </w:p>
    <w:p w:rsidR="00212513" w:rsidRDefault="00212513">
      <w:pPr>
        <w:pStyle w:val="ConsPlusTitle"/>
        <w:ind w:firstLine="540"/>
        <w:jc w:val="both"/>
        <w:outlineLvl w:val="3"/>
      </w:pPr>
      <w:r>
        <w:t>Ребра жесткости сплошных изгибаемых балок</w:t>
      </w:r>
    </w:p>
    <w:p w:rsidR="00212513" w:rsidRDefault="00212513">
      <w:pPr>
        <w:pStyle w:val="ConsPlusNormal"/>
        <w:ind w:firstLine="540"/>
        <w:jc w:val="both"/>
      </w:pPr>
    </w:p>
    <w:p w:rsidR="00212513" w:rsidRDefault="00212513">
      <w:pPr>
        <w:pStyle w:val="ConsPlusNormal"/>
        <w:ind w:firstLine="540"/>
        <w:jc w:val="both"/>
      </w:pPr>
      <w:r>
        <w:t>8.131 В опорных сечениях, в местах передачи сосредоточенных сил (кроме мест опирания мостовых поперечин), расположения поперечных связей в сплошных изгибаемых балках должны быть предусмотрены поперечные ребра жесткости из полос, уголков или тавров.</w:t>
      </w:r>
    </w:p>
    <w:p w:rsidR="00212513" w:rsidRDefault="00212513">
      <w:pPr>
        <w:pStyle w:val="ConsPlusNormal"/>
        <w:spacing w:before="220"/>
        <w:ind w:firstLine="540"/>
        <w:jc w:val="both"/>
      </w:pPr>
      <w:r>
        <w:t>Промежуточные поперечные, а также продольные ребра жесткости следует предусматривать в соответствии с расчетом местной устойчивости стенок для стадий изготовления, транспортирования, монтажа и эксплуатации.</w:t>
      </w:r>
    </w:p>
    <w:p w:rsidR="00212513" w:rsidRDefault="00212513">
      <w:pPr>
        <w:pStyle w:val="ConsPlusNormal"/>
        <w:spacing w:before="220"/>
        <w:ind w:firstLine="540"/>
        <w:jc w:val="both"/>
      </w:pPr>
      <w:r>
        <w:t>При отсутствии местного давления продольные ребра жесткости следует располагать на расстояниях от сжатого пояса:</w:t>
      </w:r>
    </w:p>
    <w:p w:rsidR="00212513" w:rsidRDefault="00212513">
      <w:pPr>
        <w:pStyle w:val="ConsPlusNormal"/>
        <w:spacing w:before="220"/>
        <w:ind w:firstLine="540"/>
        <w:jc w:val="both"/>
      </w:pPr>
      <w:r>
        <w:t xml:space="preserve">при одном ребре - </w:t>
      </w:r>
      <w:r>
        <w:rPr>
          <w:noProof/>
          <w:position w:val="-8"/>
        </w:rPr>
        <w:drawing>
          <wp:inline distT="0" distB="0" distL="0" distR="0">
            <wp:extent cx="1064895" cy="251460"/>
            <wp:effectExtent l="0" t="0" r="0" b="0"/>
            <wp:docPr id="1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3" cstate="print">
                      <a:extLst>
                        <a:ext uri="{28A0092B-C50C-407E-A947-70E740481C1C}">
                          <a14:useLocalDpi xmlns:a14="http://schemas.microsoft.com/office/drawing/2010/main" val="0"/>
                        </a:ext>
                      </a:extLst>
                    </a:blip>
                    <a:srcRect/>
                    <a:stretch>
                      <a:fillRect/>
                    </a:stretch>
                  </pic:blipFill>
                  <pic:spPr bwMode="auto">
                    <a:xfrm>
                      <a:off x="0" y="0"/>
                      <a:ext cx="1064895" cy="251460"/>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при двух или трех ребрах: первое ребро - </w:t>
      </w:r>
      <w:r>
        <w:rPr>
          <w:noProof/>
          <w:position w:val="-8"/>
        </w:rPr>
        <w:drawing>
          <wp:inline distT="0" distB="0" distL="0" distR="0">
            <wp:extent cx="1072515" cy="251460"/>
            <wp:effectExtent l="0" t="0" r="0" b="0"/>
            <wp:docPr id="1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4" cstate="print">
                      <a:extLst>
                        <a:ext uri="{28A0092B-C50C-407E-A947-70E740481C1C}">
                          <a14:useLocalDpi xmlns:a14="http://schemas.microsoft.com/office/drawing/2010/main" val="0"/>
                        </a:ext>
                      </a:extLst>
                    </a:blip>
                    <a:srcRect/>
                    <a:stretch>
                      <a:fillRect/>
                    </a:stretch>
                  </pic:blipFill>
                  <pic:spPr bwMode="auto">
                    <a:xfrm>
                      <a:off x="0" y="0"/>
                      <a:ext cx="1072515" cy="251460"/>
                    </a:xfrm>
                    <a:prstGeom prst="rect">
                      <a:avLst/>
                    </a:prstGeom>
                    <a:noFill/>
                    <a:ln>
                      <a:noFill/>
                    </a:ln>
                  </pic:spPr>
                </pic:pic>
              </a:graphicData>
            </a:graphic>
          </wp:inline>
        </w:drawing>
      </w:r>
      <w:r>
        <w:t xml:space="preserve">; второе ребро - </w:t>
      </w:r>
      <w:r>
        <w:rPr>
          <w:noProof/>
          <w:position w:val="-8"/>
        </w:rPr>
        <w:drawing>
          <wp:inline distT="0" distB="0" distL="0" distR="0">
            <wp:extent cx="1064895" cy="251460"/>
            <wp:effectExtent l="0" t="0" r="0" b="0"/>
            <wp:docPr id="1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5" cstate="print">
                      <a:extLst>
                        <a:ext uri="{28A0092B-C50C-407E-A947-70E740481C1C}">
                          <a14:useLocalDpi xmlns:a14="http://schemas.microsoft.com/office/drawing/2010/main" val="0"/>
                        </a:ext>
                      </a:extLst>
                    </a:blip>
                    <a:srcRect/>
                    <a:stretch>
                      <a:fillRect/>
                    </a:stretch>
                  </pic:blipFill>
                  <pic:spPr bwMode="auto">
                    <a:xfrm>
                      <a:off x="0" y="0"/>
                      <a:ext cx="1064895" cy="251460"/>
                    </a:xfrm>
                    <a:prstGeom prst="rect">
                      <a:avLst/>
                    </a:prstGeom>
                    <a:noFill/>
                    <a:ln>
                      <a:noFill/>
                    </a:ln>
                  </pic:spPr>
                </pic:pic>
              </a:graphicData>
            </a:graphic>
          </wp:inline>
        </w:drawing>
      </w:r>
      <w:r>
        <w:t>; третье ребро следует располагать, как правило, в растянутой зоне стенки.</w:t>
      </w:r>
    </w:p>
    <w:p w:rsidR="00212513" w:rsidRDefault="00212513">
      <w:pPr>
        <w:pStyle w:val="ConsPlusNormal"/>
        <w:spacing w:before="220"/>
        <w:ind w:firstLine="540"/>
        <w:jc w:val="both"/>
      </w:pPr>
      <w:r>
        <w:t xml:space="preserve">Расчетную высоту стенки </w:t>
      </w:r>
      <w:r>
        <w:rPr>
          <w:noProof/>
          <w:position w:val="-8"/>
        </w:rPr>
        <w:drawing>
          <wp:inline distT="0" distB="0" distL="0" distR="0">
            <wp:extent cx="198755" cy="250825"/>
            <wp:effectExtent l="0" t="0" r="0" b="0"/>
            <wp:docPr id="1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следует принимать в соответствии с </w:t>
      </w:r>
      <w:hyperlink w:anchor="P15760">
        <w:r>
          <w:rPr>
            <w:color w:val="0000FF"/>
          </w:rPr>
          <w:t>приложением Х</w:t>
        </w:r>
      </w:hyperlink>
      <w:r>
        <w:t>.</w:t>
      </w:r>
    </w:p>
    <w:p w:rsidR="00212513" w:rsidRDefault="00212513">
      <w:pPr>
        <w:pStyle w:val="ConsPlusNormal"/>
        <w:spacing w:before="220"/>
        <w:ind w:firstLine="540"/>
        <w:jc w:val="both"/>
      </w:pPr>
      <w:r>
        <w:t xml:space="preserve">В балках со стенкой, укрепленной только поперечными ребрами, ширина их выступающей части </w:t>
      </w:r>
      <w:r>
        <w:rPr>
          <w:noProof/>
          <w:position w:val="-8"/>
        </w:rPr>
        <w:drawing>
          <wp:inline distT="0" distB="0" distL="0" distR="0">
            <wp:extent cx="177800" cy="251460"/>
            <wp:effectExtent l="0" t="0" r="0" b="0"/>
            <wp:docPr id="1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7"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должна быть для парного симметричного ребра не менее </w:t>
      </w:r>
      <w:r>
        <w:rPr>
          <w:noProof/>
          <w:position w:val="-8"/>
        </w:rPr>
        <w:drawing>
          <wp:inline distT="0" distB="0" distL="0" distR="0">
            <wp:extent cx="1072515" cy="251460"/>
            <wp:effectExtent l="0" t="0" r="0" b="0"/>
            <wp:docPr id="1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8" cstate="print">
                      <a:extLst>
                        <a:ext uri="{28A0092B-C50C-407E-A947-70E740481C1C}">
                          <a14:useLocalDpi xmlns:a14="http://schemas.microsoft.com/office/drawing/2010/main" val="0"/>
                        </a:ext>
                      </a:extLst>
                    </a:blip>
                    <a:srcRect/>
                    <a:stretch>
                      <a:fillRect/>
                    </a:stretch>
                  </pic:blipFill>
                  <pic:spPr bwMode="auto">
                    <a:xfrm>
                      <a:off x="0" y="0"/>
                      <a:ext cx="1072515" cy="251460"/>
                    </a:xfrm>
                    <a:prstGeom prst="rect">
                      <a:avLst/>
                    </a:prstGeom>
                    <a:noFill/>
                    <a:ln>
                      <a:noFill/>
                    </a:ln>
                  </pic:spPr>
                </pic:pic>
              </a:graphicData>
            </a:graphic>
          </wp:inline>
        </w:drawing>
      </w:r>
      <w:r>
        <w:t xml:space="preserve">, для одностороннего ребра - не менее </w:t>
      </w:r>
      <w:r>
        <w:rPr>
          <w:noProof/>
          <w:position w:val="-8"/>
        </w:rPr>
        <w:drawing>
          <wp:inline distT="0" distB="0" distL="0" distR="0">
            <wp:extent cx="1072515" cy="251460"/>
            <wp:effectExtent l="0" t="0" r="0" b="0"/>
            <wp:docPr id="1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9" cstate="print">
                      <a:extLst>
                        <a:ext uri="{28A0092B-C50C-407E-A947-70E740481C1C}">
                          <a14:useLocalDpi xmlns:a14="http://schemas.microsoft.com/office/drawing/2010/main" val="0"/>
                        </a:ext>
                      </a:extLst>
                    </a:blip>
                    <a:srcRect/>
                    <a:stretch>
                      <a:fillRect/>
                    </a:stretch>
                  </pic:blipFill>
                  <pic:spPr bwMode="auto">
                    <a:xfrm>
                      <a:off x="0" y="0"/>
                      <a:ext cx="1072515" cy="251460"/>
                    </a:xfrm>
                    <a:prstGeom prst="rect">
                      <a:avLst/>
                    </a:prstGeom>
                    <a:noFill/>
                    <a:ln>
                      <a:noFill/>
                    </a:ln>
                  </pic:spPr>
                </pic:pic>
              </a:graphicData>
            </a:graphic>
          </wp:inline>
        </w:drawing>
      </w:r>
      <w:r>
        <w:t xml:space="preserve">; толщина ребра </w:t>
      </w:r>
      <w:r>
        <w:rPr>
          <w:noProof/>
          <w:position w:val="-8"/>
        </w:rPr>
        <w:drawing>
          <wp:inline distT="0" distB="0" distL="0" distR="0">
            <wp:extent cx="137160" cy="250825"/>
            <wp:effectExtent l="0" t="0" r="0" b="0"/>
            <wp:docPr id="1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0"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должна быть не менее </w:t>
      </w:r>
      <w:r>
        <w:rPr>
          <w:noProof/>
          <w:position w:val="-12"/>
        </w:rPr>
        <w:drawing>
          <wp:inline distT="0" distB="0" distL="0" distR="0">
            <wp:extent cx="796290" cy="304165"/>
            <wp:effectExtent l="0" t="0" r="0" b="0"/>
            <wp:docPr id="1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1" cstate="print">
                      <a:extLst>
                        <a:ext uri="{28A0092B-C50C-407E-A947-70E740481C1C}">
                          <a14:useLocalDpi xmlns:a14="http://schemas.microsoft.com/office/drawing/2010/main" val="0"/>
                        </a:ext>
                      </a:extLst>
                    </a:blip>
                    <a:srcRect/>
                    <a:stretch>
                      <a:fillRect/>
                    </a:stretch>
                  </pic:blipFill>
                  <pic:spPr bwMode="auto">
                    <a:xfrm>
                      <a:off x="0" y="0"/>
                      <a:ext cx="796290" cy="304165"/>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При укреплении стенки поперечными и продольными ребрами жесткости моменты инерции их сечений должны удовлетворять нормам таблицы 8.38 для поперечных ребер и </w:t>
      </w:r>
      <w:hyperlink w:anchor="P9070">
        <w:r>
          <w:rPr>
            <w:color w:val="0000FF"/>
          </w:rPr>
          <w:t>таблицы 8.39</w:t>
        </w:r>
      </w:hyperlink>
      <w:r>
        <w:t xml:space="preserve"> - для продольного (при одном продольном) ребра.</w:t>
      </w:r>
    </w:p>
    <w:p w:rsidR="00212513" w:rsidRDefault="00212513">
      <w:pPr>
        <w:pStyle w:val="ConsPlusNormal"/>
        <w:ind w:firstLine="540"/>
        <w:jc w:val="both"/>
      </w:pPr>
    </w:p>
    <w:p w:rsidR="00212513" w:rsidRDefault="00212513">
      <w:pPr>
        <w:pStyle w:val="ConsPlusNormal"/>
        <w:jc w:val="right"/>
      </w:pPr>
      <w:bookmarkStart w:id="391" w:name="P9049"/>
      <w:bookmarkEnd w:id="391"/>
      <w:r>
        <w:t>Таблица 8.38</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7"/>
        <w:gridCol w:w="3968"/>
      </w:tblGrid>
      <w:tr w:rsidR="00212513">
        <w:tc>
          <w:tcPr>
            <w:tcW w:w="3967" w:type="dxa"/>
            <w:vAlign w:val="center"/>
          </w:tcPr>
          <w:p w:rsidR="00212513" w:rsidRDefault="00212513">
            <w:pPr>
              <w:pStyle w:val="ConsPlusNormal"/>
              <w:jc w:val="center"/>
            </w:pPr>
            <w:r>
              <w:rPr>
                <w:noProof/>
                <w:position w:val="-3"/>
              </w:rPr>
              <w:drawing>
                <wp:inline distT="0" distB="0" distL="0" distR="0">
                  <wp:extent cx="167640" cy="177800"/>
                  <wp:effectExtent l="0" t="0" r="0" b="0"/>
                  <wp:docPr id="1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2"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p>
        </w:tc>
        <w:tc>
          <w:tcPr>
            <w:tcW w:w="3968" w:type="dxa"/>
            <w:vAlign w:val="center"/>
          </w:tcPr>
          <w:p w:rsidR="00212513" w:rsidRDefault="00212513">
            <w:pPr>
              <w:pStyle w:val="ConsPlusNormal"/>
              <w:jc w:val="center"/>
            </w:pPr>
            <w:r>
              <w:rPr>
                <w:noProof/>
                <w:position w:val="-9"/>
              </w:rPr>
              <w:drawing>
                <wp:inline distT="0" distB="0" distL="0" distR="0">
                  <wp:extent cx="662940" cy="262890"/>
                  <wp:effectExtent l="0" t="0" r="0" b="0"/>
                  <wp:docPr id="1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3" cstate="print">
                            <a:extLst>
                              <a:ext uri="{28A0092B-C50C-407E-A947-70E740481C1C}">
                                <a14:useLocalDpi xmlns:a14="http://schemas.microsoft.com/office/drawing/2010/main" val="0"/>
                              </a:ext>
                            </a:extLst>
                          </a:blip>
                          <a:srcRect/>
                          <a:stretch>
                            <a:fillRect/>
                          </a:stretch>
                        </pic:blipFill>
                        <pic:spPr bwMode="auto">
                          <a:xfrm>
                            <a:off x="0" y="0"/>
                            <a:ext cx="662940" cy="262890"/>
                          </a:xfrm>
                          <a:prstGeom prst="rect">
                            <a:avLst/>
                          </a:prstGeom>
                          <a:noFill/>
                          <a:ln>
                            <a:noFill/>
                          </a:ln>
                        </pic:spPr>
                      </pic:pic>
                    </a:graphicData>
                  </a:graphic>
                </wp:inline>
              </w:drawing>
            </w:r>
            <w:r>
              <w:t xml:space="preserve"> для поперечных ребер</w:t>
            </w:r>
          </w:p>
        </w:tc>
      </w:tr>
      <w:tr w:rsidR="00212513">
        <w:tc>
          <w:tcPr>
            <w:tcW w:w="3967" w:type="dxa"/>
          </w:tcPr>
          <w:p w:rsidR="00212513" w:rsidRDefault="00212513">
            <w:pPr>
              <w:pStyle w:val="ConsPlusNormal"/>
              <w:jc w:val="center"/>
            </w:pPr>
            <w:r>
              <w:t>0,75</w:t>
            </w:r>
          </w:p>
        </w:tc>
        <w:tc>
          <w:tcPr>
            <w:tcW w:w="3968" w:type="dxa"/>
          </w:tcPr>
          <w:p w:rsidR="00212513" w:rsidRDefault="00212513">
            <w:pPr>
              <w:pStyle w:val="ConsPlusNormal"/>
              <w:jc w:val="center"/>
            </w:pPr>
            <w:r>
              <w:t>0,80</w:t>
            </w:r>
          </w:p>
        </w:tc>
      </w:tr>
      <w:tr w:rsidR="00212513">
        <w:tc>
          <w:tcPr>
            <w:tcW w:w="3967" w:type="dxa"/>
          </w:tcPr>
          <w:p w:rsidR="00212513" w:rsidRDefault="00212513">
            <w:pPr>
              <w:pStyle w:val="ConsPlusNormal"/>
              <w:jc w:val="center"/>
            </w:pPr>
            <w:r>
              <w:t>0,62</w:t>
            </w:r>
          </w:p>
        </w:tc>
        <w:tc>
          <w:tcPr>
            <w:tcW w:w="3968" w:type="dxa"/>
          </w:tcPr>
          <w:p w:rsidR="00212513" w:rsidRDefault="00212513">
            <w:pPr>
              <w:pStyle w:val="ConsPlusNormal"/>
              <w:jc w:val="center"/>
            </w:pPr>
            <w:r>
              <w:t>1,44</w:t>
            </w:r>
          </w:p>
        </w:tc>
      </w:tr>
      <w:tr w:rsidR="00212513">
        <w:tc>
          <w:tcPr>
            <w:tcW w:w="3967" w:type="dxa"/>
          </w:tcPr>
          <w:p w:rsidR="00212513" w:rsidRDefault="00212513">
            <w:pPr>
              <w:pStyle w:val="ConsPlusNormal"/>
              <w:jc w:val="center"/>
            </w:pPr>
            <w:r>
              <w:t>0,50</w:t>
            </w:r>
          </w:p>
        </w:tc>
        <w:tc>
          <w:tcPr>
            <w:tcW w:w="3968" w:type="dxa"/>
          </w:tcPr>
          <w:p w:rsidR="00212513" w:rsidRDefault="00212513">
            <w:pPr>
              <w:pStyle w:val="ConsPlusNormal"/>
              <w:jc w:val="center"/>
            </w:pPr>
            <w:r>
              <w:t>2,8</w:t>
            </w:r>
          </w:p>
        </w:tc>
      </w:tr>
      <w:tr w:rsidR="00212513">
        <w:tc>
          <w:tcPr>
            <w:tcW w:w="3967" w:type="dxa"/>
          </w:tcPr>
          <w:p w:rsidR="00212513" w:rsidRDefault="00212513">
            <w:pPr>
              <w:pStyle w:val="ConsPlusNormal"/>
              <w:jc w:val="center"/>
            </w:pPr>
            <w:r>
              <w:t>0,40</w:t>
            </w:r>
          </w:p>
        </w:tc>
        <w:tc>
          <w:tcPr>
            <w:tcW w:w="3968" w:type="dxa"/>
          </w:tcPr>
          <w:p w:rsidR="00212513" w:rsidRDefault="00212513">
            <w:pPr>
              <w:pStyle w:val="ConsPlusNormal"/>
              <w:jc w:val="center"/>
            </w:pPr>
            <w:r>
              <w:t>4,6</w:t>
            </w:r>
          </w:p>
        </w:tc>
      </w:tr>
      <w:tr w:rsidR="00212513">
        <w:tc>
          <w:tcPr>
            <w:tcW w:w="3967" w:type="dxa"/>
          </w:tcPr>
          <w:p w:rsidR="00212513" w:rsidRDefault="00212513">
            <w:pPr>
              <w:pStyle w:val="ConsPlusNormal"/>
              <w:jc w:val="center"/>
            </w:pPr>
            <w:r>
              <w:t>0,33</w:t>
            </w:r>
          </w:p>
        </w:tc>
        <w:tc>
          <w:tcPr>
            <w:tcW w:w="3968" w:type="dxa"/>
          </w:tcPr>
          <w:p w:rsidR="00212513" w:rsidRDefault="00212513">
            <w:pPr>
              <w:pStyle w:val="ConsPlusNormal"/>
              <w:jc w:val="center"/>
            </w:pPr>
            <w:r>
              <w:t>6,6</w:t>
            </w:r>
          </w:p>
        </w:tc>
      </w:tr>
      <w:tr w:rsidR="00212513">
        <w:tc>
          <w:tcPr>
            <w:tcW w:w="7935" w:type="dxa"/>
            <w:gridSpan w:val="2"/>
          </w:tcPr>
          <w:p w:rsidR="00212513" w:rsidRDefault="00212513">
            <w:pPr>
              <w:pStyle w:val="ConsPlusNormal"/>
              <w:ind w:firstLine="283"/>
              <w:jc w:val="both"/>
            </w:pPr>
            <w:r>
              <w:rPr>
                <w:i/>
              </w:rPr>
              <w:t xml:space="preserve">Обозначения, принятые в </w:t>
            </w:r>
            <w:hyperlink w:anchor="P9049">
              <w:r>
                <w:rPr>
                  <w:i/>
                  <w:color w:val="0000FF"/>
                </w:rPr>
                <w:t>таблице 8.38</w:t>
              </w:r>
            </w:hyperlink>
            <w:r>
              <w:rPr>
                <w:i/>
              </w:rPr>
              <w:t>:</w:t>
            </w:r>
          </w:p>
          <w:p w:rsidR="00212513" w:rsidRDefault="00212513">
            <w:pPr>
              <w:pStyle w:val="ConsPlusNormal"/>
              <w:ind w:firstLine="283"/>
              <w:jc w:val="both"/>
            </w:pPr>
            <w:r>
              <w:rPr>
                <w:noProof/>
                <w:position w:val="-8"/>
              </w:rPr>
              <w:drawing>
                <wp:inline distT="0" distB="0" distL="0" distR="0">
                  <wp:extent cx="167640" cy="251460"/>
                  <wp:effectExtent l="0" t="0" r="0" b="0"/>
                  <wp:docPr id="1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момент инерции поперечного ребра;</w:t>
            </w:r>
          </w:p>
          <w:p w:rsidR="00212513" w:rsidRDefault="00212513">
            <w:pPr>
              <w:pStyle w:val="ConsPlusNormal"/>
              <w:ind w:firstLine="283"/>
              <w:jc w:val="both"/>
            </w:pPr>
            <w:r>
              <w:rPr>
                <w:noProof/>
                <w:position w:val="-8"/>
              </w:rPr>
              <w:lastRenderedPageBreak/>
              <w:drawing>
                <wp:inline distT="0" distB="0" distL="0" distR="0">
                  <wp:extent cx="198755" cy="250825"/>
                  <wp:effectExtent l="0" t="0" r="0" b="0"/>
                  <wp:docPr id="1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расчетная высота стенки, принимаемая по </w:t>
            </w:r>
            <w:hyperlink w:anchor="P15760">
              <w:r>
                <w:rPr>
                  <w:color w:val="0000FF"/>
                </w:rPr>
                <w:t>приложению Х</w:t>
              </w:r>
            </w:hyperlink>
            <w:r>
              <w:t>;</w:t>
            </w:r>
          </w:p>
          <w:p w:rsidR="00212513" w:rsidRDefault="00212513">
            <w:pPr>
              <w:pStyle w:val="ConsPlusNormal"/>
              <w:ind w:firstLine="283"/>
              <w:jc w:val="both"/>
            </w:pPr>
            <w:r>
              <w:rPr>
                <w:noProof/>
                <w:position w:val="-8"/>
              </w:rPr>
              <w:drawing>
                <wp:inline distT="0" distB="0" distL="0" distR="0">
                  <wp:extent cx="167640" cy="251460"/>
                  <wp:effectExtent l="0" t="0" r="0" b="0"/>
                  <wp:docPr id="1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5"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толщина стенки балки;</w:t>
            </w:r>
          </w:p>
          <w:p w:rsidR="00212513" w:rsidRDefault="00212513">
            <w:pPr>
              <w:pStyle w:val="ConsPlusNormal"/>
              <w:ind w:firstLine="283"/>
              <w:jc w:val="both"/>
            </w:pPr>
            <w:r>
              <w:rPr>
                <w:noProof/>
                <w:position w:val="-26"/>
              </w:rPr>
              <w:drawing>
                <wp:inline distT="0" distB="0" distL="0" distR="0">
                  <wp:extent cx="511810" cy="470535"/>
                  <wp:effectExtent l="0" t="0" r="0" b="0"/>
                  <wp:docPr id="1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6" cstate="print">
                            <a:extLst>
                              <a:ext uri="{28A0092B-C50C-407E-A947-70E740481C1C}">
                                <a14:useLocalDpi xmlns:a14="http://schemas.microsoft.com/office/drawing/2010/main" val="0"/>
                              </a:ext>
                            </a:extLst>
                          </a:blip>
                          <a:srcRect/>
                          <a:stretch>
                            <a:fillRect/>
                          </a:stretch>
                        </pic:blipFill>
                        <pic:spPr bwMode="auto">
                          <a:xfrm>
                            <a:off x="0" y="0"/>
                            <a:ext cx="511810" cy="470535"/>
                          </a:xfrm>
                          <a:prstGeom prst="rect">
                            <a:avLst/>
                          </a:prstGeom>
                          <a:noFill/>
                          <a:ln>
                            <a:noFill/>
                          </a:ln>
                        </pic:spPr>
                      </pic:pic>
                    </a:graphicData>
                  </a:graphic>
                </wp:inline>
              </w:drawing>
            </w:r>
            <w:r>
              <w:t>,</w:t>
            </w:r>
          </w:p>
          <w:p w:rsidR="00212513" w:rsidRDefault="00212513">
            <w:pPr>
              <w:pStyle w:val="ConsPlusNormal"/>
              <w:ind w:firstLine="283"/>
              <w:jc w:val="both"/>
            </w:pPr>
            <w:r>
              <w:t xml:space="preserve">где </w:t>
            </w:r>
            <w:r>
              <w:rPr>
                <w:i/>
              </w:rPr>
              <w:t>a</w:t>
            </w:r>
            <w:r>
              <w:t xml:space="preserve"> - расстояние между осями поперечных ребер жесткости.</w:t>
            </w:r>
          </w:p>
        </w:tc>
      </w:tr>
    </w:tbl>
    <w:p w:rsidR="00212513" w:rsidRDefault="00212513">
      <w:pPr>
        <w:pStyle w:val="ConsPlusNormal"/>
        <w:ind w:firstLine="540"/>
        <w:jc w:val="both"/>
      </w:pPr>
    </w:p>
    <w:p w:rsidR="00212513" w:rsidRDefault="00212513">
      <w:pPr>
        <w:pStyle w:val="ConsPlusNormal"/>
        <w:jc w:val="right"/>
      </w:pPr>
      <w:bookmarkStart w:id="392" w:name="P9070"/>
      <w:bookmarkEnd w:id="392"/>
      <w:r>
        <w:t>Таблица 8.39</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94"/>
        <w:gridCol w:w="3515"/>
        <w:gridCol w:w="2380"/>
        <w:gridCol w:w="2381"/>
      </w:tblGrid>
      <w:tr w:rsidR="00212513">
        <w:tc>
          <w:tcPr>
            <w:tcW w:w="794" w:type="dxa"/>
            <w:vMerge w:val="restart"/>
            <w:vAlign w:val="center"/>
          </w:tcPr>
          <w:p w:rsidR="00212513" w:rsidRDefault="00212513">
            <w:pPr>
              <w:pStyle w:val="ConsPlusNormal"/>
              <w:jc w:val="center"/>
            </w:pPr>
            <w:r>
              <w:rPr>
                <w:noProof/>
                <w:position w:val="-8"/>
              </w:rPr>
              <w:drawing>
                <wp:inline distT="0" distB="0" distL="0" distR="0">
                  <wp:extent cx="419100" cy="251460"/>
                  <wp:effectExtent l="0" t="0" r="0" b="0"/>
                  <wp:docPr id="1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7" cstate="print">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p>
        </w:tc>
        <w:tc>
          <w:tcPr>
            <w:tcW w:w="3515" w:type="dxa"/>
            <w:vMerge w:val="restart"/>
            <w:vAlign w:val="center"/>
          </w:tcPr>
          <w:p w:rsidR="00212513" w:rsidRDefault="00212513">
            <w:pPr>
              <w:pStyle w:val="ConsPlusNormal"/>
              <w:jc w:val="center"/>
            </w:pPr>
            <w:r>
              <w:t>Необходимый момент инерции сечения продольного ребра </w:t>
            </w:r>
            <w:r>
              <w:rPr>
                <w:noProof/>
                <w:position w:val="-8"/>
              </w:rPr>
              <w:drawing>
                <wp:inline distT="0" distB="0" distL="0" distR="0">
                  <wp:extent cx="198755" cy="250825"/>
                  <wp:effectExtent l="0" t="0" r="0" b="0"/>
                  <wp:docPr id="1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8"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p>
        </w:tc>
        <w:tc>
          <w:tcPr>
            <w:tcW w:w="4761" w:type="dxa"/>
            <w:gridSpan w:val="2"/>
            <w:vAlign w:val="center"/>
          </w:tcPr>
          <w:p w:rsidR="00212513" w:rsidRDefault="00212513">
            <w:pPr>
              <w:pStyle w:val="ConsPlusNormal"/>
              <w:jc w:val="center"/>
            </w:pPr>
            <w:r>
              <w:t>Предельные значения </w:t>
            </w:r>
            <w:r>
              <w:rPr>
                <w:noProof/>
                <w:position w:val="-8"/>
              </w:rPr>
              <w:drawing>
                <wp:inline distT="0" distB="0" distL="0" distR="0">
                  <wp:extent cx="198755" cy="250825"/>
                  <wp:effectExtent l="0" t="0" r="0" b="0"/>
                  <wp:docPr id="1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8"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p>
        </w:tc>
      </w:tr>
      <w:tr w:rsidR="00212513">
        <w:tc>
          <w:tcPr>
            <w:tcW w:w="794" w:type="dxa"/>
            <w:vMerge/>
          </w:tcPr>
          <w:p w:rsidR="00212513" w:rsidRDefault="00212513">
            <w:pPr>
              <w:pStyle w:val="ConsPlusNormal"/>
            </w:pPr>
          </w:p>
        </w:tc>
        <w:tc>
          <w:tcPr>
            <w:tcW w:w="3515" w:type="dxa"/>
            <w:vMerge/>
          </w:tcPr>
          <w:p w:rsidR="00212513" w:rsidRDefault="00212513">
            <w:pPr>
              <w:pStyle w:val="ConsPlusNormal"/>
            </w:pPr>
          </w:p>
        </w:tc>
        <w:tc>
          <w:tcPr>
            <w:tcW w:w="2380" w:type="dxa"/>
            <w:vAlign w:val="center"/>
          </w:tcPr>
          <w:p w:rsidR="00212513" w:rsidRDefault="00212513">
            <w:pPr>
              <w:pStyle w:val="ConsPlusNormal"/>
              <w:jc w:val="center"/>
            </w:pPr>
            <w:r>
              <w:t>минимальные</w:t>
            </w:r>
          </w:p>
        </w:tc>
        <w:tc>
          <w:tcPr>
            <w:tcW w:w="2381" w:type="dxa"/>
            <w:vAlign w:val="center"/>
          </w:tcPr>
          <w:p w:rsidR="00212513" w:rsidRDefault="00212513">
            <w:pPr>
              <w:pStyle w:val="ConsPlusNormal"/>
              <w:jc w:val="center"/>
            </w:pPr>
            <w:r>
              <w:t>максимальные, учитываемые в расчете</w:t>
            </w:r>
          </w:p>
        </w:tc>
      </w:tr>
      <w:tr w:rsidR="00212513">
        <w:tc>
          <w:tcPr>
            <w:tcW w:w="794" w:type="dxa"/>
            <w:vAlign w:val="center"/>
          </w:tcPr>
          <w:p w:rsidR="00212513" w:rsidRDefault="00212513">
            <w:pPr>
              <w:pStyle w:val="ConsPlusNormal"/>
              <w:jc w:val="center"/>
            </w:pPr>
            <w:r>
              <w:t>0,20</w:t>
            </w:r>
          </w:p>
        </w:tc>
        <w:tc>
          <w:tcPr>
            <w:tcW w:w="3515" w:type="dxa"/>
            <w:vAlign w:val="center"/>
          </w:tcPr>
          <w:p w:rsidR="00212513" w:rsidRDefault="00212513">
            <w:pPr>
              <w:pStyle w:val="ConsPlusNormal"/>
              <w:jc w:val="center"/>
            </w:pPr>
            <w:r>
              <w:rPr>
                <w:noProof/>
                <w:position w:val="-9"/>
              </w:rPr>
              <w:drawing>
                <wp:inline distT="0" distB="0" distL="0" distR="0">
                  <wp:extent cx="1620520" cy="262890"/>
                  <wp:effectExtent l="0" t="0" r="0" b="0"/>
                  <wp:docPr id="1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9" cstate="print">
                            <a:extLst>
                              <a:ext uri="{28A0092B-C50C-407E-A947-70E740481C1C}">
                                <a14:useLocalDpi xmlns:a14="http://schemas.microsoft.com/office/drawing/2010/main" val="0"/>
                              </a:ext>
                            </a:extLst>
                          </a:blip>
                          <a:srcRect/>
                          <a:stretch>
                            <a:fillRect/>
                          </a:stretch>
                        </pic:blipFill>
                        <pic:spPr bwMode="auto">
                          <a:xfrm>
                            <a:off x="0" y="0"/>
                            <a:ext cx="1620520" cy="262890"/>
                          </a:xfrm>
                          <a:prstGeom prst="rect">
                            <a:avLst/>
                          </a:prstGeom>
                          <a:noFill/>
                          <a:ln>
                            <a:noFill/>
                          </a:ln>
                        </pic:spPr>
                      </pic:pic>
                    </a:graphicData>
                  </a:graphic>
                </wp:inline>
              </w:drawing>
            </w:r>
          </w:p>
        </w:tc>
        <w:tc>
          <w:tcPr>
            <w:tcW w:w="2380" w:type="dxa"/>
            <w:vAlign w:val="center"/>
          </w:tcPr>
          <w:p w:rsidR="00212513" w:rsidRDefault="00212513">
            <w:pPr>
              <w:pStyle w:val="ConsPlusNormal"/>
              <w:jc w:val="center"/>
            </w:pPr>
            <w:r>
              <w:rPr>
                <w:noProof/>
                <w:position w:val="-9"/>
              </w:rPr>
              <w:drawing>
                <wp:inline distT="0" distB="0" distL="0" distR="0">
                  <wp:extent cx="502920" cy="262890"/>
                  <wp:effectExtent l="0" t="0" r="0" b="0"/>
                  <wp:docPr id="1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0" cstate="print">
                            <a:extLst>
                              <a:ext uri="{28A0092B-C50C-407E-A947-70E740481C1C}">
                                <a14:useLocalDpi xmlns:a14="http://schemas.microsoft.com/office/drawing/2010/main" val="0"/>
                              </a:ext>
                            </a:extLst>
                          </a:blip>
                          <a:srcRect/>
                          <a:stretch>
                            <a:fillRect/>
                          </a:stretch>
                        </pic:blipFill>
                        <pic:spPr bwMode="auto">
                          <a:xfrm>
                            <a:off x="0" y="0"/>
                            <a:ext cx="502920" cy="262890"/>
                          </a:xfrm>
                          <a:prstGeom prst="rect">
                            <a:avLst/>
                          </a:prstGeom>
                          <a:noFill/>
                          <a:ln>
                            <a:noFill/>
                          </a:ln>
                        </pic:spPr>
                      </pic:pic>
                    </a:graphicData>
                  </a:graphic>
                </wp:inline>
              </w:drawing>
            </w:r>
          </w:p>
        </w:tc>
        <w:tc>
          <w:tcPr>
            <w:tcW w:w="2381" w:type="dxa"/>
            <w:vAlign w:val="center"/>
          </w:tcPr>
          <w:p w:rsidR="00212513" w:rsidRDefault="00212513">
            <w:pPr>
              <w:pStyle w:val="ConsPlusNormal"/>
              <w:jc w:val="center"/>
            </w:pPr>
            <w:r>
              <w:rPr>
                <w:noProof/>
                <w:position w:val="-9"/>
              </w:rPr>
              <w:drawing>
                <wp:inline distT="0" distB="0" distL="0" distR="0">
                  <wp:extent cx="408940" cy="262890"/>
                  <wp:effectExtent l="0" t="0" r="0" b="0"/>
                  <wp:docPr id="1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1" cstate="print">
                            <a:extLst>
                              <a:ext uri="{28A0092B-C50C-407E-A947-70E740481C1C}">
                                <a14:useLocalDpi xmlns:a14="http://schemas.microsoft.com/office/drawing/2010/main" val="0"/>
                              </a:ext>
                            </a:extLst>
                          </a:blip>
                          <a:srcRect/>
                          <a:stretch>
                            <a:fillRect/>
                          </a:stretch>
                        </pic:blipFill>
                        <pic:spPr bwMode="auto">
                          <a:xfrm>
                            <a:off x="0" y="0"/>
                            <a:ext cx="408940" cy="262890"/>
                          </a:xfrm>
                          <a:prstGeom prst="rect">
                            <a:avLst/>
                          </a:prstGeom>
                          <a:noFill/>
                          <a:ln>
                            <a:noFill/>
                          </a:ln>
                        </pic:spPr>
                      </pic:pic>
                    </a:graphicData>
                  </a:graphic>
                </wp:inline>
              </w:drawing>
            </w:r>
          </w:p>
        </w:tc>
      </w:tr>
      <w:tr w:rsidR="00212513">
        <w:tc>
          <w:tcPr>
            <w:tcW w:w="794" w:type="dxa"/>
            <w:vAlign w:val="center"/>
          </w:tcPr>
          <w:p w:rsidR="00212513" w:rsidRDefault="00212513">
            <w:pPr>
              <w:pStyle w:val="ConsPlusNormal"/>
              <w:jc w:val="center"/>
            </w:pPr>
            <w:r>
              <w:t>0,25</w:t>
            </w:r>
          </w:p>
        </w:tc>
        <w:tc>
          <w:tcPr>
            <w:tcW w:w="3515" w:type="dxa"/>
            <w:vAlign w:val="center"/>
          </w:tcPr>
          <w:p w:rsidR="00212513" w:rsidRDefault="00212513">
            <w:pPr>
              <w:pStyle w:val="ConsPlusNormal"/>
              <w:jc w:val="center"/>
            </w:pPr>
            <w:r>
              <w:rPr>
                <w:noProof/>
                <w:position w:val="-9"/>
              </w:rPr>
              <w:drawing>
                <wp:inline distT="0" distB="0" distL="0" distR="0">
                  <wp:extent cx="1605915" cy="262890"/>
                  <wp:effectExtent l="0" t="0" r="0" b="0"/>
                  <wp:docPr id="1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2" cstate="print">
                            <a:extLst>
                              <a:ext uri="{28A0092B-C50C-407E-A947-70E740481C1C}">
                                <a14:useLocalDpi xmlns:a14="http://schemas.microsoft.com/office/drawing/2010/main" val="0"/>
                              </a:ext>
                            </a:extLst>
                          </a:blip>
                          <a:srcRect/>
                          <a:stretch>
                            <a:fillRect/>
                          </a:stretch>
                        </pic:blipFill>
                        <pic:spPr bwMode="auto">
                          <a:xfrm>
                            <a:off x="0" y="0"/>
                            <a:ext cx="1605915" cy="262890"/>
                          </a:xfrm>
                          <a:prstGeom prst="rect">
                            <a:avLst/>
                          </a:prstGeom>
                          <a:noFill/>
                          <a:ln>
                            <a:noFill/>
                          </a:ln>
                        </pic:spPr>
                      </pic:pic>
                    </a:graphicData>
                  </a:graphic>
                </wp:inline>
              </w:drawing>
            </w:r>
          </w:p>
        </w:tc>
        <w:tc>
          <w:tcPr>
            <w:tcW w:w="2380" w:type="dxa"/>
            <w:vAlign w:val="center"/>
          </w:tcPr>
          <w:p w:rsidR="00212513" w:rsidRDefault="00212513">
            <w:pPr>
              <w:pStyle w:val="ConsPlusNormal"/>
              <w:jc w:val="center"/>
            </w:pPr>
            <w:r>
              <w:rPr>
                <w:noProof/>
                <w:position w:val="-9"/>
              </w:rPr>
              <w:drawing>
                <wp:inline distT="0" distB="0" distL="0" distR="0">
                  <wp:extent cx="502920" cy="262890"/>
                  <wp:effectExtent l="0" t="0" r="0" b="0"/>
                  <wp:docPr id="1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0" cstate="print">
                            <a:extLst>
                              <a:ext uri="{28A0092B-C50C-407E-A947-70E740481C1C}">
                                <a14:useLocalDpi xmlns:a14="http://schemas.microsoft.com/office/drawing/2010/main" val="0"/>
                              </a:ext>
                            </a:extLst>
                          </a:blip>
                          <a:srcRect/>
                          <a:stretch>
                            <a:fillRect/>
                          </a:stretch>
                        </pic:blipFill>
                        <pic:spPr bwMode="auto">
                          <a:xfrm>
                            <a:off x="0" y="0"/>
                            <a:ext cx="502920" cy="262890"/>
                          </a:xfrm>
                          <a:prstGeom prst="rect">
                            <a:avLst/>
                          </a:prstGeom>
                          <a:noFill/>
                          <a:ln>
                            <a:noFill/>
                          </a:ln>
                        </pic:spPr>
                      </pic:pic>
                    </a:graphicData>
                  </a:graphic>
                </wp:inline>
              </w:drawing>
            </w:r>
          </w:p>
        </w:tc>
        <w:tc>
          <w:tcPr>
            <w:tcW w:w="2381" w:type="dxa"/>
            <w:vAlign w:val="center"/>
          </w:tcPr>
          <w:p w:rsidR="00212513" w:rsidRDefault="00212513">
            <w:pPr>
              <w:pStyle w:val="ConsPlusNormal"/>
              <w:jc w:val="center"/>
            </w:pPr>
            <w:r>
              <w:rPr>
                <w:noProof/>
                <w:position w:val="-9"/>
              </w:rPr>
              <w:drawing>
                <wp:inline distT="0" distB="0" distL="0" distR="0">
                  <wp:extent cx="535940" cy="262890"/>
                  <wp:effectExtent l="0" t="0" r="0" b="0"/>
                  <wp:docPr id="1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3" cstate="print">
                            <a:extLst>
                              <a:ext uri="{28A0092B-C50C-407E-A947-70E740481C1C}">
                                <a14:useLocalDpi xmlns:a14="http://schemas.microsoft.com/office/drawing/2010/main" val="0"/>
                              </a:ext>
                            </a:extLst>
                          </a:blip>
                          <a:srcRect/>
                          <a:stretch>
                            <a:fillRect/>
                          </a:stretch>
                        </pic:blipFill>
                        <pic:spPr bwMode="auto">
                          <a:xfrm>
                            <a:off x="0" y="0"/>
                            <a:ext cx="535940" cy="262890"/>
                          </a:xfrm>
                          <a:prstGeom prst="rect">
                            <a:avLst/>
                          </a:prstGeom>
                          <a:noFill/>
                          <a:ln>
                            <a:noFill/>
                          </a:ln>
                        </pic:spPr>
                      </pic:pic>
                    </a:graphicData>
                  </a:graphic>
                </wp:inline>
              </w:drawing>
            </w:r>
          </w:p>
        </w:tc>
      </w:tr>
      <w:tr w:rsidR="00212513">
        <w:tc>
          <w:tcPr>
            <w:tcW w:w="794" w:type="dxa"/>
            <w:vAlign w:val="center"/>
          </w:tcPr>
          <w:p w:rsidR="00212513" w:rsidRDefault="00212513">
            <w:pPr>
              <w:pStyle w:val="ConsPlusNormal"/>
              <w:jc w:val="center"/>
            </w:pPr>
            <w:r>
              <w:t>0,30</w:t>
            </w:r>
          </w:p>
        </w:tc>
        <w:tc>
          <w:tcPr>
            <w:tcW w:w="3515" w:type="dxa"/>
            <w:vAlign w:val="center"/>
          </w:tcPr>
          <w:p w:rsidR="00212513" w:rsidRDefault="00212513">
            <w:pPr>
              <w:pStyle w:val="ConsPlusNormal"/>
              <w:jc w:val="center"/>
            </w:pPr>
            <w:r>
              <w:rPr>
                <w:noProof/>
                <w:position w:val="-9"/>
              </w:rPr>
              <w:drawing>
                <wp:inline distT="0" distB="0" distL="0" distR="0">
                  <wp:extent cx="502920" cy="262890"/>
                  <wp:effectExtent l="0" t="0" r="0" b="0"/>
                  <wp:docPr id="1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0" cstate="print">
                            <a:extLst>
                              <a:ext uri="{28A0092B-C50C-407E-A947-70E740481C1C}">
                                <a14:useLocalDpi xmlns:a14="http://schemas.microsoft.com/office/drawing/2010/main" val="0"/>
                              </a:ext>
                            </a:extLst>
                          </a:blip>
                          <a:srcRect/>
                          <a:stretch>
                            <a:fillRect/>
                          </a:stretch>
                        </pic:blipFill>
                        <pic:spPr bwMode="auto">
                          <a:xfrm>
                            <a:off x="0" y="0"/>
                            <a:ext cx="502920" cy="262890"/>
                          </a:xfrm>
                          <a:prstGeom prst="rect">
                            <a:avLst/>
                          </a:prstGeom>
                          <a:noFill/>
                          <a:ln>
                            <a:noFill/>
                          </a:ln>
                        </pic:spPr>
                      </pic:pic>
                    </a:graphicData>
                  </a:graphic>
                </wp:inline>
              </w:drawing>
            </w:r>
          </w:p>
        </w:tc>
        <w:tc>
          <w:tcPr>
            <w:tcW w:w="2380" w:type="dxa"/>
            <w:vAlign w:val="center"/>
          </w:tcPr>
          <w:p w:rsidR="00212513" w:rsidRDefault="00212513">
            <w:pPr>
              <w:pStyle w:val="ConsPlusNormal"/>
              <w:jc w:val="center"/>
            </w:pPr>
            <w:r>
              <w:t>-</w:t>
            </w:r>
          </w:p>
        </w:tc>
        <w:tc>
          <w:tcPr>
            <w:tcW w:w="2381" w:type="dxa"/>
            <w:vAlign w:val="center"/>
          </w:tcPr>
          <w:p w:rsidR="00212513" w:rsidRDefault="00212513">
            <w:pPr>
              <w:pStyle w:val="ConsPlusNormal"/>
              <w:jc w:val="center"/>
            </w:pPr>
            <w:r>
              <w:t>-</w:t>
            </w:r>
          </w:p>
        </w:tc>
      </w:tr>
      <w:tr w:rsidR="00212513">
        <w:tblPrEx>
          <w:tblBorders>
            <w:insideH w:val="nil"/>
          </w:tblBorders>
        </w:tblPrEx>
        <w:tc>
          <w:tcPr>
            <w:tcW w:w="9070" w:type="dxa"/>
            <w:gridSpan w:val="4"/>
            <w:tcBorders>
              <w:bottom w:val="nil"/>
            </w:tcBorders>
          </w:tcPr>
          <w:p w:rsidR="00212513" w:rsidRDefault="00212513">
            <w:pPr>
              <w:pStyle w:val="ConsPlusNormal"/>
              <w:ind w:firstLine="283"/>
              <w:jc w:val="both"/>
            </w:pPr>
            <w:r>
              <w:rPr>
                <w:i/>
              </w:rPr>
              <w:t xml:space="preserve">Обозначения, принятые в </w:t>
            </w:r>
            <w:hyperlink w:anchor="P9070">
              <w:r>
                <w:rPr>
                  <w:i/>
                  <w:color w:val="0000FF"/>
                </w:rPr>
                <w:t>таблице 8.39</w:t>
              </w:r>
            </w:hyperlink>
            <w:r>
              <w:rPr>
                <w:i/>
              </w:rPr>
              <w:t>:</w:t>
            </w:r>
          </w:p>
          <w:p w:rsidR="00212513" w:rsidRDefault="00212513">
            <w:pPr>
              <w:pStyle w:val="ConsPlusNormal"/>
              <w:ind w:firstLine="283"/>
              <w:jc w:val="both"/>
            </w:pPr>
            <w:r>
              <w:rPr>
                <w:noProof/>
                <w:position w:val="-8"/>
              </w:rPr>
              <w:drawing>
                <wp:inline distT="0" distB="0" distL="0" distR="0">
                  <wp:extent cx="167640" cy="251460"/>
                  <wp:effectExtent l="0" t="0" r="0" b="0"/>
                  <wp:docPr id="1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расстояние от оси продольного ребра жесткости до оси ближайшего пояса в сварных балках или до крайней риски поясных уголков в балках с болтовыми соединениями;</w:t>
            </w:r>
          </w:p>
          <w:p w:rsidR="00212513" w:rsidRDefault="00212513">
            <w:pPr>
              <w:pStyle w:val="ConsPlusNormal"/>
              <w:ind w:firstLine="283"/>
              <w:jc w:val="both"/>
            </w:pPr>
            <w:r>
              <w:rPr>
                <w:i/>
              </w:rPr>
              <w:t>a</w:t>
            </w:r>
            <w:r>
              <w:t xml:space="preserve">, </w:t>
            </w:r>
            <w:r>
              <w:rPr>
                <w:noProof/>
                <w:position w:val="-8"/>
              </w:rPr>
              <w:drawing>
                <wp:inline distT="0" distB="0" distL="0" distR="0">
                  <wp:extent cx="198755" cy="250825"/>
                  <wp:effectExtent l="0" t="0" r="0" b="0"/>
                  <wp:docPr id="1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см. обозначения в </w:t>
            </w:r>
            <w:hyperlink w:anchor="P9049">
              <w:r>
                <w:rPr>
                  <w:color w:val="0000FF"/>
                </w:rPr>
                <w:t>таблице 8.38</w:t>
              </w:r>
            </w:hyperlink>
            <w:r>
              <w:t>;</w:t>
            </w:r>
          </w:p>
          <w:p w:rsidR="00212513" w:rsidRDefault="00212513">
            <w:pPr>
              <w:pStyle w:val="ConsPlusNormal"/>
              <w:ind w:firstLine="283"/>
              <w:jc w:val="both"/>
            </w:pPr>
            <w:r>
              <w:rPr>
                <w:noProof/>
                <w:position w:val="-8"/>
              </w:rPr>
              <w:drawing>
                <wp:inline distT="0" distB="0" distL="0" distR="0">
                  <wp:extent cx="198755" cy="250825"/>
                  <wp:effectExtent l="0" t="0" r="0" b="0"/>
                  <wp:docPr id="1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5"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момент инерции сечения продольного ребра;</w:t>
            </w:r>
          </w:p>
          <w:p w:rsidR="00212513" w:rsidRDefault="00212513">
            <w:pPr>
              <w:pStyle w:val="ConsPlusNormal"/>
              <w:ind w:firstLine="283"/>
              <w:jc w:val="both"/>
            </w:pPr>
            <w:r>
              <w:rPr>
                <w:noProof/>
                <w:position w:val="-8"/>
              </w:rPr>
              <w:drawing>
                <wp:inline distT="0" distB="0" distL="0" distR="0">
                  <wp:extent cx="167640" cy="251460"/>
                  <wp:effectExtent l="0" t="0" r="0" b="0"/>
                  <wp:docPr id="1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5"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толщина стенки балки.</w:t>
            </w:r>
          </w:p>
        </w:tc>
      </w:tr>
      <w:tr w:rsidR="00212513">
        <w:tblPrEx>
          <w:tblBorders>
            <w:insideH w:val="nil"/>
          </w:tblBorders>
        </w:tblPrEx>
        <w:tc>
          <w:tcPr>
            <w:tcW w:w="9070" w:type="dxa"/>
            <w:gridSpan w:val="4"/>
            <w:tcBorders>
              <w:top w:val="nil"/>
            </w:tcBorders>
          </w:tcPr>
          <w:p w:rsidR="00212513" w:rsidRDefault="00212513">
            <w:pPr>
              <w:pStyle w:val="ConsPlusNormal"/>
              <w:ind w:firstLine="283"/>
              <w:jc w:val="both"/>
            </w:pPr>
            <w:r>
              <w:t xml:space="preserve">Примечание - При вычислении </w:t>
            </w:r>
            <w:r>
              <w:rPr>
                <w:noProof/>
                <w:position w:val="-8"/>
              </w:rPr>
              <w:drawing>
                <wp:inline distT="0" distB="0" distL="0" distR="0">
                  <wp:extent cx="198755" cy="250825"/>
                  <wp:effectExtent l="0" t="0" r="0" b="0"/>
                  <wp:docPr id="1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5"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для промежуточных значений </w:t>
            </w:r>
            <w:r>
              <w:rPr>
                <w:noProof/>
                <w:position w:val="-8"/>
              </w:rPr>
              <w:drawing>
                <wp:inline distT="0" distB="0" distL="0" distR="0">
                  <wp:extent cx="419100" cy="251460"/>
                  <wp:effectExtent l="0" t="0" r="0" b="0"/>
                  <wp:docPr id="1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7" cstate="print">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r>
              <w:t xml:space="preserve"> допускается линейная интерполяция.</w:t>
            </w:r>
          </w:p>
        </w:tc>
      </w:tr>
    </w:tbl>
    <w:p w:rsidR="00212513" w:rsidRDefault="00212513">
      <w:pPr>
        <w:pStyle w:val="ConsPlusNormal"/>
        <w:ind w:firstLine="540"/>
        <w:jc w:val="both"/>
      </w:pPr>
    </w:p>
    <w:p w:rsidR="00212513" w:rsidRDefault="00212513">
      <w:pPr>
        <w:pStyle w:val="ConsPlusNormal"/>
        <w:ind w:firstLine="540"/>
        <w:jc w:val="both"/>
      </w:pPr>
      <w:bookmarkStart w:id="393" w:name="P9096"/>
      <w:bookmarkEnd w:id="393"/>
      <w:r>
        <w:t>8.132 В железнодорожных мостах поперечные ребра жесткости следует приваривать к стенке, поясам балки и к продольным ребрам жесткости по всему контуру примыкания без вырезов для пропуска сварных швов; сварные швы прикрепления ребер накладываются поверх пропускаемых под ребром. На поясах балки свободный край ребра следует не доводить до кромки, обеспечивая замыкание сварного шва вокруг торца ребра так, чтобы от кромки до сварного шва оставалось не менее 30 мм.</w:t>
      </w:r>
    </w:p>
    <w:p w:rsidR="00212513" w:rsidRDefault="00212513">
      <w:pPr>
        <w:pStyle w:val="ConsPlusNormal"/>
        <w:spacing w:before="220"/>
        <w:ind w:firstLine="540"/>
        <w:jc w:val="both"/>
      </w:pPr>
      <w:r>
        <w:t>В автодорожных мостах в ребрах жесткости, приваренных к стенке балки, в местах их примыкания к поясам балки, к ребрам жесткости другого направления и к фасонкам связей необходимо предусматривать скругленные вырезы радиусом не менее 50 мм.</w:t>
      </w:r>
    </w:p>
    <w:p w:rsidR="00212513" w:rsidRDefault="00212513">
      <w:pPr>
        <w:pStyle w:val="ConsPlusNormal"/>
        <w:spacing w:before="220"/>
        <w:ind w:firstLine="540"/>
        <w:jc w:val="both"/>
      </w:pPr>
      <w:r>
        <w:t xml:space="preserve">8.133 В сварных балках концы промежуточных поперечных ребер жесткости, прикрепленные фрикционными соединениями, должны плотно примыкать к поясным листам балок. Для обеспечения этого допускается во всех мостах постановка на концах ребер специальных переходных деталей, в железнодорожных мостах допускается применение уголковых ребер жесткости, прикрепленных к стенке и поясам с помощью фрикционных соединений, а в автодорожных, городских и пешеходных - приварка ребер к поясам. При этом торцы поперечных ребер жесткости, к которым прикрепляются поперечные ребра ортотропной плиты автодорожной проезжей части, должны быть приварены к поясам балки независимо от </w:t>
      </w:r>
      <w:r>
        <w:lastRenderedPageBreak/>
        <w:t xml:space="preserve">типа исполнения конструкций и знака напряжений в поясе и с учетом требований </w:t>
      </w:r>
      <w:hyperlink w:anchor="P9232">
        <w:r>
          <w:rPr>
            <w:color w:val="0000FF"/>
          </w:rPr>
          <w:t>8.168</w:t>
        </w:r>
      </w:hyperlink>
      <w:r>
        <w:t>.</w:t>
      </w:r>
    </w:p>
    <w:p w:rsidR="00212513" w:rsidRDefault="00212513">
      <w:pPr>
        <w:pStyle w:val="ConsPlusNormal"/>
        <w:spacing w:before="220"/>
        <w:ind w:firstLine="540"/>
        <w:jc w:val="both"/>
      </w:pPr>
      <w:r>
        <w:t xml:space="preserve">Допускается устройство обрывов промежуточных поперечных ребер жесткости на стенке вблизи поясов с оформлением зоны обрыва ребра в соответствии с требованиями </w:t>
      </w:r>
      <w:hyperlink w:anchor="P9226">
        <w:r>
          <w:rPr>
            <w:color w:val="0000FF"/>
          </w:rPr>
          <w:t>8.165</w:t>
        </w:r>
      </w:hyperlink>
      <w:r>
        <w:t>.</w:t>
      </w:r>
    </w:p>
    <w:p w:rsidR="00212513" w:rsidRDefault="00212513">
      <w:pPr>
        <w:pStyle w:val="ConsPlusNormal"/>
        <w:spacing w:before="220"/>
        <w:ind w:firstLine="540"/>
        <w:jc w:val="both"/>
      </w:pPr>
      <w:r>
        <w:t>В местах передачи сосредоточенных сил следует предусматривать пригонку торцов ребер жесткости к листу пояса балки.</w:t>
      </w:r>
    </w:p>
    <w:p w:rsidR="00212513" w:rsidRDefault="00212513">
      <w:pPr>
        <w:pStyle w:val="ConsPlusNormal"/>
        <w:spacing w:before="220"/>
        <w:ind w:firstLine="540"/>
        <w:jc w:val="both"/>
      </w:pPr>
      <w:r>
        <w:t xml:space="preserve">Концы промежуточных поперечных ребер жесткости сварных балок должны, как правило, плотно примыкать к поясным листам балок. Для обеспечения этого допускается во всех мостах постановка на концах ребер специальных переходных деталей, в железнодорожных мостах допускается применение уголковых ребер жесткости, прикрепленных к стенке с помощью фрикционных соединений, а в автодорожных, городских и пешеходных - приварка ребер к поясам. При этом торцы поперечных ребер жесткости, к которым прикрепляются поперечные ребра ортотропной плиты автодорожной проезжей части, должны быть приварены к поясам балки независимо от типа исполнения конструкций и знака напряжений в поясе и с учетом требований </w:t>
      </w:r>
      <w:hyperlink w:anchor="P9232">
        <w:r>
          <w:rPr>
            <w:color w:val="0000FF"/>
          </w:rPr>
          <w:t>8.168</w:t>
        </w:r>
      </w:hyperlink>
      <w:r>
        <w:t xml:space="preserve">. Допускается устройство обрывов промежуточных поперечных ребер жесткости на стенке вблизи поясов с оформлением зоны обрыва ребра в соответствии с требованиями </w:t>
      </w:r>
      <w:hyperlink w:anchor="P9226">
        <w:r>
          <w:rPr>
            <w:color w:val="0000FF"/>
          </w:rPr>
          <w:t>8.165</w:t>
        </w:r>
      </w:hyperlink>
      <w:r>
        <w:t xml:space="preserve">. В железнодорожных мостах приварка поперечных ребер к поясам должна производиться в соответствии с требованиями </w:t>
      </w:r>
      <w:hyperlink w:anchor="P9096">
        <w:r>
          <w:rPr>
            <w:color w:val="0000FF"/>
          </w:rPr>
          <w:t>8.132</w:t>
        </w:r>
      </w:hyperlink>
      <w:r>
        <w:t>.</w:t>
      </w:r>
    </w:p>
    <w:p w:rsidR="00212513" w:rsidRDefault="00212513">
      <w:pPr>
        <w:pStyle w:val="ConsPlusNormal"/>
        <w:spacing w:before="220"/>
        <w:ind w:firstLine="540"/>
        <w:jc w:val="both"/>
      </w:pPr>
      <w:r>
        <w:t>8.134 Продольные ребра жесткости в сварных балках следует применять лишь в тех случаях, когда обеспечение местной устойчивости за счет постановки одних поперечных ребер жесткости и изменения толщины стенки оказывается нецелесообразным.</w:t>
      </w:r>
    </w:p>
    <w:p w:rsidR="00212513" w:rsidRDefault="00212513">
      <w:pPr>
        <w:pStyle w:val="ConsPlusNormal"/>
        <w:spacing w:before="220"/>
        <w:ind w:firstLine="540"/>
        <w:jc w:val="both"/>
      </w:pPr>
      <w:r>
        <w:t>В железнодорожных мостах в сварных балках продольные ребра жесткости следует применять всегда в сочетании с поперечными, при этом предусматривая их постановку и в растянутой зоне симметрично ребру в сжатой зоне, уменьшая свободную поверхность листа стенки.</w:t>
      </w:r>
    </w:p>
    <w:p w:rsidR="00212513" w:rsidRDefault="00212513">
      <w:pPr>
        <w:pStyle w:val="ConsPlusNormal"/>
        <w:spacing w:before="220"/>
        <w:ind w:firstLine="540"/>
        <w:jc w:val="both"/>
      </w:pPr>
      <w:r>
        <w:t>8.135 При назначении в чертежах КМ и КМД мест расположения поперечных стыковых швов полотнищ стенок, поясов и листа настила ортотропных (ребристых) плит необходимо обеспечить следующие расстояния между этими швами, а также между швами и поперечными ребрами жесткости (в плитах - поперечными балками):</w:t>
      </w:r>
    </w:p>
    <w:p w:rsidR="00212513" w:rsidRDefault="00212513">
      <w:pPr>
        <w:pStyle w:val="ConsPlusNormal"/>
        <w:spacing w:before="220"/>
        <w:ind w:firstLine="540"/>
        <w:jc w:val="both"/>
      </w:pPr>
      <w:r>
        <w:t>- для конструкций в обычном исполнении - номинально 200 мм, но не менее трех толщин стыкуемых элементов;</w:t>
      </w:r>
    </w:p>
    <w:p w:rsidR="00212513" w:rsidRDefault="00212513">
      <w:pPr>
        <w:pStyle w:val="ConsPlusNormal"/>
        <w:spacing w:before="220"/>
        <w:ind w:firstLine="540"/>
        <w:jc w:val="both"/>
      </w:pPr>
      <w:r>
        <w:t>- для конструкций в северном исполнении А - номинально 250 мм, но не менее шести толщин стыкуемых элементов;</w:t>
      </w:r>
    </w:p>
    <w:p w:rsidR="00212513" w:rsidRDefault="00212513">
      <w:pPr>
        <w:pStyle w:val="ConsPlusNormal"/>
        <w:spacing w:before="220"/>
        <w:ind w:firstLine="540"/>
        <w:jc w:val="both"/>
      </w:pPr>
      <w:r>
        <w:t>- для конструкций в северном исполнении Б - номинально 300 мм, но не менее 10 толщин стыкуемых элементов.</w:t>
      </w:r>
    </w:p>
    <w:p w:rsidR="00212513" w:rsidRDefault="00212513">
      <w:pPr>
        <w:pStyle w:val="ConsPlusNormal"/>
        <w:spacing w:before="220"/>
        <w:ind w:firstLine="540"/>
        <w:jc w:val="both"/>
      </w:pPr>
      <w:r>
        <w:t>Расстояние от продольных стыковых швов полотнищ стенок, листа настила ортотропных (ребристых) плит до продольных ребер, привариваемых в тавр, должно быть не менее 100 мм при любом исполнении.</w:t>
      </w:r>
    </w:p>
    <w:p w:rsidR="00212513" w:rsidRDefault="00212513">
      <w:pPr>
        <w:pStyle w:val="ConsPlusNormal"/>
        <w:jc w:val="both"/>
      </w:pPr>
      <w:r>
        <w:t xml:space="preserve">(в ред. </w:t>
      </w:r>
      <w:hyperlink r:id="rId2196">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t xml:space="preserve">Перо или обушок уголка, используемый в виде ребра жесткости и прикрепляемый к стенке болтами, от стыкового сварного шва стенки должны быть удалены на расстояние не менее </w:t>
      </w:r>
      <w:r>
        <w:rPr>
          <w:noProof/>
          <w:position w:val="-8"/>
        </w:rPr>
        <w:drawing>
          <wp:inline distT="0" distB="0" distL="0" distR="0">
            <wp:extent cx="230505" cy="251460"/>
            <wp:effectExtent l="0" t="0" r="0" b="0"/>
            <wp:docPr id="1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7" cstate="print">
                      <a:extLst>
                        <a:ext uri="{28A0092B-C50C-407E-A947-70E740481C1C}">
                          <a14:useLocalDpi xmlns:a14="http://schemas.microsoft.com/office/drawing/2010/main" val="0"/>
                        </a:ext>
                      </a:extLst>
                    </a:blip>
                    <a:srcRect/>
                    <a:stretch>
                      <a:fillRect/>
                    </a:stretch>
                  </pic:blipFill>
                  <pic:spPr bwMode="auto">
                    <a:xfrm>
                      <a:off x="0" y="0"/>
                      <a:ext cx="230505" cy="251460"/>
                    </a:xfrm>
                    <a:prstGeom prst="rect">
                      <a:avLst/>
                    </a:prstGeom>
                    <a:noFill/>
                    <a:ln>
                      <a:noFill/>
                    </a:ln>
                  </pic:spPr>
                </pic:pic>
              </a:graphicData>
            </a:graphic>
          </wp:inline>
        </w:drawing>
      </w:r>
      <w:r>
        <w:t>.</w:t>
      </w:r>
    </w:p>
    <w:p w:rsidR="00212513" w:rsidRDefault="00212513">
      <w:pPr>
        <w:pStyle w:val="ConsPlusNormal"/>
        <w:spacing w:before="220"/>
        <w:ind w:firstLine="540"/>
        <w:jc w:val="both"/>
      </w:pPr>
      <w:r>
        <w:t>8.136 Ребра жесткости должны быть прикреплены сплошными двусторонними швами.</w:t>
      </w:r>
    </w:p>
    <w:p w:rsidR="00212513" w:rsidRDefault="00212513">
      <w:pPr>
        <w:pStyle w:val="ConsPlusNormal"/>
        <w:spacing w:before="220"/>
        <w:ind w:firstLine="540"/>
        <w:jc w:val="both"/>
      </w:pPr>
      <w:r>
        <w:t>Ребра жесткости и швы, прикрепляющие их к стенке, в местах пересечения стыковых швов стенки прерывать не допускается.</w:t>
      </w:r>
    </w:p>
    <w:p w:rsidR="00212513" w:rsidRDefault="00212513">
      <w:pPr>
        <w:pStyle w:val="ConsPlusNormal"/>
        <w:spacing w:before="220"/>
        <w:ind w:firstLine="540"/>
        <w:jc w:val="both"/>
      </w:pPr>
      <w:r>
        <w:lastRenderedPageBreak/>
        <w:t>В пролетных строениях всех назначений и исполнений в местах пересечения ребер жесткости необходимо пропускать непрерывными продольные ребра и их швы, а поперечные ребра (кроме опорных) прерывать и прикреплять к ним угловыми швами; эти швы в растянутой зоне стенки должны иметь отношение катетов 1:2 (больший катет - на продольном ребре) и плавный переход к основному металлу.</w:t>
      </w:r>
    </w:p>
    <w:p w:rsidR="00212513" w:rsidRDefault="00212513">
      <w:pPr>
        <w:pStyle w:val="ConsPlusNormal"/>
        <w:spacing w:before="220"/>
        <w:ind w:firstLine="540"/>
        <w:jc w:val="both"/>
      </w:pPr>
      <w:r>
        <w:t xml:space="preserve">При обрыве продольных ребер жесткости у болтового поперечного стыка стенки оформление зоны обрыва ребра должно отвечать требованиям </w:t>
      </w:r>
      <w:hyperlink w:anchor="P9226">
        <w:r>
          <w:rPr>
            <w:color w:val="0000FF"/>
          </w:rPr>
          <w:t>8.165</w:t>
        </w:r>
      </w:hyperlink>
      <w:r>
        <w:t>.</w:t>
      </w:r>
    </w:p>
    <w:p w:rsidR="00212513" w:rsidRDefault="00212513">
      <w:pPr>
        <w:pStyle w:val="ConsPlusNormal"/>
        <w:ind w:firstLine="540"/>
        <w:jc w:val="both"/>
      </w:pPr>
    </w:p>
    <w:p w:rsidR="00212513" w:rsidRDefault="00212513">
      <w:pPr>
        <w:pStyle w:val="ConsPlusTitle"/>
        <w:ind w:firstLine="540"/>
        <w:jc w:val="both"/>
        <w:outlineLvl w:val="3"/>
      </w:pPr>
      <w:r>
        <w:t>Предварительно напряженные пролетные строения</w:t>
      </w:r>
    </w:p>
    <w:p w:rsidR="00212513" w:rsidRDefault="00212513">
      <w:pPr>
        <w:pStyle w:val="ConsPlusNormal"/>
        <w:ind w:firstLine="540"/>
        <w:jc w:val="both"/>
      </w:pPr>
    </w:p>
    <w:p w:rsidR="00212513" w:rsidRDefault="00212513">
      <w:pPr>
        <w:pStyle w:val="ConsPlusNormal"/>
        <w:ind w:firstLine="540"/>
        <w:jc w:val="both"/>
      </w:pPr>
      <w:r>
        <w:t>8.137 В неразрезных балках постоянной высоты затяжки следует размещать в зонах максимальных положительных и отрицательных моментов.</w:t>
      </w:r>
    </w:p>
    <w:p w:rsidR="00212513" w:rsidRDefault="00212513">
      <w:pPr>
        <w:pStyle w:val="ConsPlusNormal"/>
        <w:spacing w:before="220"/>
        <w:ind w:firstLine="540"/>
        <w:jc w:val="both"/>
      </w:pPr>
      <w:r>
        <w:t>Сечение предварительно напряженных балок со сплошной стенкой должно быть несимметричным с более развитым сжатым поясом.</w:t>
      </w:r>
    </w:p>
    <w:p w:rsidR="00212513" w:rsidRDefault="00212513">
      <w:pPr>
        <w:pStyle w:val="ConsPlusNormal"/>
        <w:spacing w:before="220"/>
        <w:ind w:firstLine="540"/>
        <w:jc w:val="both"/>
      </w:pPr>
      <w:r>
        <w:t>8.138 Для предварительно напряженных балок необходимо предусматривать присоединение затяжки к поясу по длине балки не менее чем в четырех точках таким образом, чтобы при работе под нагрузкой обеспечивалось совместное их перемещение в боковом направлении и независимое в продольном направлении.</w:t>
      </w:r>
    </w:p>
    <w:p w:rsidR="00212513" w:rsidRDefault="00212513">
      <w:pPr>
        <w:pStyle w:val="ConsPlusNormal"/>
        <w:spacing w:before="220"/>
        <w:ind w:firstLine="540"/>
        <w:jc w:val="both"/>
      </w:pPr>
      <w:r>
        <w:t>8.139 Прикрепление ребер жесткости или кронштейнов, поддерживающих затяжки, должно быть предусмотрено с учетом сил трения, возникающих при натяжении затяжек.</w:t>
      </w:r>
    </w:p>
    <w:p w:rsidR="00212513" w:rsidRDefault="00212513">
      <w:pPr>
        <w:pStyle w:val="ConsPlusNormal"/>
        <w:spacing w:before="220"/>
        <w:ind w:firstLine="540"/>
        <w:jc w:val="both"/>
      </w:pPr>
      <w:r>
        <w:t>8.140 Концы затяжек должны закрепляться на специальных выносных жестких элементах - упорах. Элементы балок в местах прикрепления упоров следует усилить на воздействие сосредоточенных нагрузок.</w:t>
      </w:r>
    </w:p>
    <w:p w:rsidR="00212513" w:rsidRDefault="00212513">
      <w:pPr>
        <w:pStyle w:val="ConsPlusNormal"/>
        <w:spacing w:before="220"/>
        <w:ind w:firstLine="540"/>
        <w:jc w:val="both"/>
      </w:pPr>
      <w:r>
        <w:t>8.141 Для обеспечения устойчивости обжимаемых элементов ферм затяжки соединяются со стержнями с помощью диафрагм. Расстояния между точками закрепления следует принимать из условия устойчивости стержня свободной длины, соответствующей длине этих участков.</w:t>
      </w:r>
    </w:p>
    <w:p w:rsidR="00212513" w:rsidRDefault="00212513">
      <w:pPr>
        <w:pStyle w:val="ConsPlusNormal"/>
        <w:ind w:firstLine="540"/>
        <w:jc w:val="both"/>
      </w:pPr>
    </w:p>
    <w:p w:rsidR="00212513" w:rsidRDefault="00212513">
      <w:pPr>
        <w:pStyle w:val="ConsPlusTitle"/>
        <w:ind w:firstLine="540"/>
        <w:jc w:val="both"/>
        <w:outlineLvl w:val="3"/>
      </w:pPr>
      <w:r>
        <w:t>Сварные, фрикционные и болтовые соединения</w:t>
      </w:r>
    </w:p>
    <w:p w:rsidR="00212513" w:rsidRDefault="00212513">
      <w:pPr>
        <w:pStyle w:val="ConsPlusNormal"/>
        <w:ind w:firstLine="540"/>
        <w:jc w:val="both"/>
      </w:pPr>
    </w:p>
    <w:p w:rsidR="00212513" w:rsidRDefault="00212513">
      <w:pPr>
        <w:pStyle w:val="ConsPlusNormal"/>
        <w:ind w:firstLine="540"/>
        <w:jc w:val="both"/>
      </w:pPr>
      <w:bookmarkStart w:id="394" w:name="P9127"/>
      <w:bookmarkEnd w:id="394"/>
      <w:r>
        <w:t>8.142 В тех случаях, когда прикрепление с эксцентриситетом неизбежно, в цельносварной конструкции при одностенчатых сечениях элементов прикрепление их следует осуществлять по всему контуру соединения.</w:t>
      </w:r>
    </w:p>
    <w:p w:rsidR="00212513" w:rsidRDefault="00212513">
      <w:pPr>
        <w:pStyle w:val="ConsPlusNormal"/>
        <w:spacing w:before="220"/>
        <w:ind w:firstLine="540"/>
        <w:jc w:val="both"/>
      </w:pPr>
      <w:r>
        <w:t>8.143 При применении сложных прокатных профилей (швеллеров, тавров и двутавров, в том числе с параллельными гранями полок) устройство с помощью сварки поперечных стыков и прикреплений к узлам не допускается.</w:t>
      </w:r>
    </w:p>
    <w:p w:rsidR="00212513" w:rsidRDefault="00212513">
      <w:pPr>
        <w:pStyle w:val="ConsPlusNormal"/>
        <w:spacing w:before="220"/>
        <w:ind w:firstLine="540"/>
        <w:jc w:val="both"/>
      </w:pPr>
      <w:r>
        <w:t>8.144 В конструкциях автодорожных, городских и пешеходных мостов обычного и северного исполнений допускается применение сварки продольными непрерывными швами цельных (без стыков по длине) тавров и двутавров (в том числе разных номеров) между собой и с листом, прикрепляемым по всей длине встык или втавр к стенке профиля или двумя угловыми швами к кромкам полки профиля.</w:t>
      </w:r>
    </w:p>
    <w:p w:rsidR="00212513" w:rsidRDefault="00212513">
      <w:pPr>
        <w:pStyle w:val="ConsPlusNormal"/>
        <w:spacing w:before="220"/>
        <w:ind w:firstLine="540"/>
        <w:jc w:val="both"/>
      </w:pPr>
      <w:r>
        <w:t>8.145 Применение электрозаклепок в железнодорожных мостах не допускается, а в автодорожных, городских и пешеходных мостах допускается только для нерабочих соединений.</w:t>
      </w:r>
    </w:p>
    <w:p w:rsidR="00212513" w:rsidRDefault="00212513">
      <w:pPr>
        <w:pStyle w:val="ConsPlusNormal"/>
        <w:spacing w:before="220"/>
        <w:ind w:firstLine="540"/>
        <w:jc w:val="both"/>
      </w:pPr>
      <w:r>
        <w:t>8.146 Угловые швы необходимо применять, как правило, с вогнутым очертанием их поверхности и плавным переходом к основному металлу.</w:t>
      </w:r>
    </w:p>
    <w:p w:rsidR="00212513" w:rsidRDefault="00212513">
      <w:pPr>
        <w:pStyle w:val="ConsPlusNormal"/>
        <w:spacing w:before="220"/>
        <w:ind w:firstLine="540"/>
        <w:jc w:val="both"/>
      </w:pPr>
      <w:r>
        <w:t xml:space="preserve">Лобовые швы, как правило, следует предусматривать неравнобокими с </w:t>
      </w:r>
      <w:r>
        <w:rPr>
          <w:noProof/>
          <w:position w:val="-3"/>
        </w:rPr>
        <w:drawing>
          <wp:inline distT="0" distB="0" distL="0" distR="0">
            <wp:extent cx="608330" cy="188595"/>
            <wp:effectExtent l="0" t="0" r="0" b="0"/>
            <wp:docPr id="1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8" cstate="print">
                      <a:extLst>
                        <a:ext uri="{28A0092B-C50C-407E-A947-70E740481C1C}">
                          <a14:useLocalDpi xmlns:a14="http://schemas.microsoft.com/office/drawing/2010/main" val="0"/>
                        </a:ext>
                      </a:extLst>
                    </a:blip>
                    <a:srcRect/>
                    <a:stretch>
                      <a:fillRect/>
                    </a:stretch>
                  </pic:blipFill>
                  <pic:spPr bwMode="auto">
                    <a:xfrm>
                      <a:off x="0" y="0"/>
                      <a:ext cx="608330" cy="188595"/>
                    </a:xfrm>
                    <a:prstGeom prst="rect">
                      <a:avLst/>
                    </a:prstGeom>
                    <a:noFill/>
                    <a:ln>
                      <a:noFill/>
                    </a:ln>
                  </pic:spPr>
                </pic:pic>
              </a:graphicData>
            </a:graphic>
          </wp:inline>
        </w:drawing>
      </w:r>
      <w:r>
        <w:t xml:space="preserve"> катетом, </w:t>
      </w:r>
      <w:r>
        <w:lastRenderedPageBreak/>
        <w:t>направленным вдоль усилия, при этом рекомендуется отношение большего катета к меньшему принимать равным 2.</w:t>
      </w:r>
    </w:p>
    <w:p w:rsidR="00212513" w:rsidRDefault="00212513">
      <w:pPr>
        <w:pStyle w:val="ConsPlusNormal"/>
        <w:spacing w:before="220"/>
        <w:ind w:firstLine="540"/>
        <w:jc w:val="both"/>
      </w:pPr>
      <w:r>
        <w:t>8.147 Размеры угловых сварных швов следует назначать возможно меньшими из расчета по прочности и выносливости с учетом при этом указанных ниже технологических требований.</w:t>
      </w:r>
    </w:p>
    <w:p w:rsidR="00212513" w:rsidRDefault="00212513">
      <w:pPr>
        <w:pStyle w:val="ConsPlusNormal"/>
        <w:spacing w:before="220"/>
        <w:ind w:firstLine="540"/>
        <w:jc w:val="both"/>
      </w:pPr>
      <w:r>
        <w:t xml:space="preserve">Продольные соединительные угловые швы коробчатых, тавровых и Н-образных элементов для сталей и толщин проката, указанных в </w:t>
      </w:r>
      <w:hyperlink w:anchor="P6128">
        <w:r>
          <w:rPr>
            <w:color w:val="0000FF"/>
          </w:rPr>
          <w:t>таблице 8.2</w:t>
        </w:r>
      </w:hyperlink>
      <w:r>
        <w:t>, должны иметь расчетную высоту сечения не менее 4 мм, а швы, прикрепляющие ребра жесткости к стенке балки, а также продольные ребра ортотропной плиты к покрывающему листу, - не менее 3 мм.</w:t>
      </w:r>
    </w:p>
    <w:p w:rsidR="00212513" w:rsidRDefault="00212513">
      <w:pPr>
        <w:pStyle w:val="ConsPlusNormal"/>
        <w:spacing w:before="220"/>
        <w:ind w:firstLine="540"/>
        <w:jc w:val="both"/>
      </w:pPr>
      <w:r>
        <w:t>Длина углового лобового или флангового шва должна быть не менее 60 мм и не менее шестикратного размера катета шва.</w:t>
      </w:r>
    </w:p>
    <w:p w:rsidR="00212513" w:rsidRDefault="00212513">
      <w:pPr>
        <w:pStyle w:val="ConsPlusNormal"/>
        <w:spacing w:before="220"/>
        <w:ind w:firstLine="540"/>
        <w:jc w:val="both"/>
      </w:pPr>
      <w:r>
        <w:t>8.148 Конструкция стыковых швов должна обеспечивать возможность полного проплавления расчетной толщины стыкуемых деталей и плавных переходов к основному металлу.</w:t>
      </w:r>
    </w:p>
    <w:p w:rsidR="00212513" w:rsidRDefault="00212513">
      <w:pPr>
        <w:pStyle w:val="ConsPlusNormal"/>
        <w:spacing w:before="220"/>
        <w:ind w:firstLine="540"/>
        <w:jc w:val="both"/>
      </w:pPr>
      <w:r>
        <w:t>8.149 При расположении стыка поперек усилия в элементе толщина стыкового шва не должна быть меньше толщины свариваемых листов.</w:t>
      </w:r>
    </w:p>
    <w:p w:rsidR="00212513" w:rsidRDefault="00212513">
      <w:pPr>
        <w:pStyle w:val="ConsPlusNormal"/>
        <w:spacing w:before="220"/>
        <w:ind w:firstLine="540"/>
        <w:jc w:val="both"/>
      </w:pPr>
      <w:r>
        <w:t>8.150 В сварных балках и составных элементах, сечения которых образуются с помощью соединительных швов, полное проплавление тавровых и угловых соединений не требуется, если свариваемые детали обрываются в одном сечении. При наличии обрыва не в одном сечении на длине 100 мм от обрыва необходимо предусматривать полное проплавление таврового или углового соединения свариваемых деталей.</w:t>
      </w:r>
    </w:p>
    <w:p w:rsidR="00212513" w:rsidRDefault="00212513">
      <w:pPr>
        <w:pStyle w:val="ConsPlusNormal"/>
        <w:spacing w:before="220"/>
        <w:ind w:firstLine="540"/>
        <w:jc w:val="both"/>
      </w:pPr>
      <w:r>
        <w:t>В соединениях, работающих на отрыв, обеспечение полного проплавления обязательно.</w:t>
      </w:r>
    </w:p>
    <w:p w:rsidR="00212513" w:rsidRDefault="00212513">
      <w:pPr>
        <w:pStyle w:val="ConsPlusNormal"/>
        <w:spacing w:before="220"/>
        <w:ind w:firstLine="540"/>
        <w:jc w:val="both"/>
      </w:pPr>
      <w:r>
        <w:t>Применение узлов с работой на отрыв деталей пакета, образованного с помощью нахлесточных угловых сварных швов, не допускается.</w:t>
      </w:r>
    </w:p>
    <w:p w:rsidR="00212513" w:rsidRDefault="00212513">
      <w:pPr>
        <w:pStyle w:val="ConsPlusNormal"/>
        <w:spacing w:before="220"/>
        <w:ind w:firstLine="540"/>
        <w:jc w:val="both"/>
      </w:pPr>
      <w:r>
        <w:t>В угловых соединениях составных замкнутых герметичных элементов, образованных односторонними угловыми швами, глубина провара должна быть не менее 4 мм при толщине более тонкого листа до 16 мм и не менее 5 мм при толщине более тонкого листа свыше 16 мм.</w:t>
      </w:r>
    </w:p>
    <w:p w:rsidR="00212513" w:rsidRDefault="00212513">
      <w:pPr>
        <w:pStyle w:val="ConsPlusNormal"/>
        <w:spacing w:before="220"/>
        <w:ind w:firstLine="540"/>
        <w:jc w:val="both"/>
      </w:pPr>
      <w:r>
        <w:t>Для соединения отдельных деталей и прикрепления элементов конструкций прерывистые швы не применяются.</w:t>
      </w:r>
    </w:p>
    <w:p w:rsidR="00212513" w:rsidRDefault="00212513">
      <w:pPr>
        <w:pStyle w:val="ConsPlusNormal"/>
        <w:spacing w:before="220"/>
        <w:ind w:firstLine="540"/>
        <w:jc w:val="both"/>
      </w:pPr>
      <w:r>
        <w:t>8.151 В конструкциях с фрикционными соединениями должна быть обеспечена возможность свободной постановки высокопрочных болтов, плотного стягивания пакета болтами и закручивания гаек с применением динамометрических ключей и гайковертов.</w:t>
      </w:r>
    </w:p>
    <w:p w:rsidR="00212513" w:rsidRDefault="00212513">
      <w:pPr>
        <w:pStyle w:val="ConsPlusNormal"/>
        <w:spacing w:before="220"/>
        <w:ind w:firstLine="540"/>
        <w:jc w:val="both"/>
      </w:pPr>
      <w:r>
        <w:t>8.152 В соединениях прокатных профилей с непараллельными поверхностями полок должны применяться клиновидные шайбы.</w:t>
      </w:r>
    </w:p>
    <w:p w:rsidR="00212513" w:rsidRDefault="00212513">
      <w:pPr>
        <w:pStyle w:val="ConsPlusNormal"/>
        <w:spacing w:before="220"/>
        <w:ind w:firstLine="540"/>
        <w:jc w:val="both"/>
      </w:pPr>
      <w:r>
        <w:t>8.153 Номинальные диаметры отверстий под высокопрочные болты во фрикционных соединениях приведены в таблице 8.40.</w:t>
      </w:r>
    </w:p>
    <w:p w:rsidR="00212513" w:rsidRDefault="00212513">
      <w:pPr>
        <w:pStyle w:val="ConsPlusNormal"/>
        <w:ind w:firstLine="540"/>
        <w:jc w:val="both"/>
      </w:pPr>
    </w:p>
    <w:p w:rsidR="00212513" w:rsidRDefault="00212513">
      <w:pPr>
        <w:pStyle w:val="ConsPlusNormal"/>
        <w:jc w:val="right"/>
      </w:pPr>
      <w:r>
        <w:t>Таблица 8.40</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1258"/>
        <w:gridCol w:w="1258"/>
        <w:gridCol w:w="1260"/>
      </w:tblGrid>
      <w:tr w:rsidR="00212513">
        <w:tc>
          <w:tcPr>
            <w:tcW w:w="5272" w:type="dxa"/>
            <w:vMerge w:val="restart"/>
            <w:vAlign w:val="center"/>
          </w:tcPr>
          <w:p w:rsidR="00212513" w:rsidRDefault="00212513">
            <w:pPr>
              <w:pStyle w:val="ConsPlusNormal"/>
              <w:jc w:val="center"/>
            </w:pPr>
            <w:r>
              <w:t>Группа соединений</w:t>
            </w:r>
          </w:p>
        </w:tc>
        <w:tc>
          <w:tcPr>
            <w:tcW w:w="3776" w:type="dxa"/>
            <w:gridSpan w:val="3"/>
            <w:vAlign w:val="center"/>
          </w:tcPr>
          <w:p w:rsidR="00212513" w:rsidRDefault="00212513">
            <w:pPr>
              <w:pStyle w:val="ConsPlusNormal"/>
              <w:jc w:val="center"/>
            </w:pPr>
            <w:r>
              <w:t>Номинальный диаметр отверстий, мм, во фрикционных соединениях при диаметре болтов, мм</w:t>
            </w:r>
          </w:p>
        </w:tc>
      </w:tr>
      <w:tr w:rsidR="00212513">
        <w:tc>
          <w:tcPr>
            <w:tcW w:w="5272" w:type="dxa"/>
            <w:vMerge/>
          </w:tcPr>
          <w:p w:rsidR="00212513" w:rsidRDefault="00212513">
            <w:pPr>
              <w:pStyle w:val="ConsPlusNormal"/>
            </w:pPr>
          </w:p>
        </w:tc>
        <w:tc>
          <w:tcPr>
            <w:tcW w:w="1258" w:type="dxa"/>
            <w:vAlign w:val="center"/>
          </w:tcPr>
          <w:p w:rsidR="00212513" w:rsidRDefault="00212513">
            <w:pPr>
              <w:pStyle w:val="ConsPlusNormal"/>
              <w:jc w:val="center"/>
            </w:pPr>
            <w:r>
              <w:t>22</w:t>
            </w:r>
          </w:p>
        </w:tc>
        <w:tc>
          <w:tcPr>
            <w:tcW w:w="1258" w:type="dxa"/>
            <w:vAlign w:val="center"/>
          </w:tcPr>
          <w:p w:rsidR="00212513" w:rsidRDefault="00212513">
            <w:pPr>
              <w:pStyle w:val="ConsPlusNormal"/>
              <w:jc w:val="center"/>
            </w:pPr>
            <w:r>
              <w:t>24</w:t>
            </w:r>
          </w:p>
        </w:tc>
        <w:tc>
          <w:tcPr>
            <w:tcW w:w="1260" w:type="dxa"/>
            <w:vAlign w:val="center"/>
          </w:tcPr>
          <w:p w:rsidR="00212513" w:rsidRDefault="00212513">
            <w:pPr>
              <w:pStyle w:val="ConsPlusNormal"/>
              <w:jc w:val="center"/>
            </w:pPr>
            <w:r>
              <w:t>27</w:t>
            </w:r>
          </w:p>
        </w:tc>
      </w:tr>
      <w:tr w:rsidR="00212513">
        <w:tc>
          <w:tcPr>
            <w:tcW w:w="5272" w:type="dxa"/>
          </w:tcPr>
          <w:p w:rsidR="00212513" w:rsidRDefault="00212513">
            <w:pPr>
              <w:pStyle w:val="ConsPlusNormal"/>
            </w:pPr>
            <w:r>
              <w:lastRenderedPageBreak/>
              <w:t>Стыки и прикрепления основных несущих элементов и связей, определяющие проектное положение конструкций</w:t>
            </w:r>
          </w:p>
        </w:tc>
        <w:tc>
          <w:tcPr>
            <w:tcW w:w="1258" w:type="dxa"/>
          </w:tcPr>
          <w:p w:rsidR="00212513" w:rsidRDefault="00212513">
            <w:pPr>
              <w:pStyle w:val="ConsPlusNormal"/>
              <w:jc w:val="center"/>
            </w:pPr>
            <w:r>
              <w:t>23 - 25</w:t>
            </w:r>
          </w:p>
        </w:tc>
        <w:tc>
          <w:tcPr>
            <w:tcW w:w="1258" w:type="dxa"/>
          </w:tcPr>
          <w:p w:rsidR="00212513" w:rsidRDefault="00212513">
            <w:pPr>
              <w:pStyle w:val="ConsPlusNormal"/>
              <w:jc w:val="center"/>
            </w:pPr>
            <w:r>
              <w:t>25 - 28</w:t>
            </w:r>
          </w:p>
        </w:tc>
        <w:tc>
          <w:tcPr>
            <w:tcW w:w="1260" w:type="dxa"/>
          </w:tcPr>
          <w:p w:rsidR="00212513" w:rsidRDefault="00212513">
            <w:pPr>
              <w:pStyle w:val="ConsPlusNormal"/>
              <w:jc w:val="center"/>
            </w:pPr>
            <w:r>
              <w:t>28 - 30</w:t>
            </w:r>
          </w:p>
        </w:tc>
      </w:tr>
      <w:tr w:rsidR="00212513">
        <w:tc>
          <w:tcPr>
            <w:tcW w:w="5272" w:type="dxa"/>
          </w:tcPr>
          <w:p w:rsidR="00212513" w:rsidRDefault="00212513">
            <w:pPr>
              <w:pStyle w:val="ConsPlusNormal"/>
            </w:pPr>
            <w:r>
              <w:t>Прикрепления: связей, не определяющих проектного положения конструкций; стыковых накладок (рыбок) поясов продольных балок; тормозных связей и горизонтальных диафрагм проезжей части</w:t>
            </w:r>
          </w:p>
        </w:tc>
        <w:tc>
          <w:tcPr>
            <w:tcW w:w="1258" w:type="dxa"/>
          </w:tcPr>
          <w:p w:rsidR="00212513" w:rsidRDefault="00212513">
            <w:pPr>
              <w:pStyle w:val="ConsPlusNormal"/>
              <w:jc w:val="center"/>
            </w:pPr>
            <w:r>
              <w:t>23 - 28</w:t>
            </w:r>
          </w:p>
        </w:tc>
        <w:tc>
          <w:tcPr>
            <w:tcW w:w="1258" w:type="dxa"/>
          </w:tcPr>
          <w:p w:rsidR="00212513" w:rsidRDefault="00212513">
            <w:pPr>
              <w:pStyle w:val="ConsPlusNormal"/>
              <w:jc w:val="center"/>
            </w:pPr>
            <w:r>
              <w:t>25 - 30</w:t>
            </w:r>
          </w:p>
        </w:tc>
        <w:tc>
          <w:tcPr>
            <w:tcW w:w="1260" w:type="dxa"/>
          </w:tcPr>
          <w:p w:rsidR="00212513" w:rsidRDefault="00212513">
            <w:pPr>
              <w:pStyle w:val="ConsPlusNormal"/>
              <w:jc w:val="center"/>
            </w:pPr>
            <w:r>
              <w:t>28 - 33</w:t>
            </w:r>
          </w:p>
        </w:tc>
      </w:tr>
    </w:tbl>
    <w:p w:rsidR="00212513" w:rsidRDefault="00212513">
      <w:pPr>
        <w:pStyle w:val="ConsPlusNormal"/>
        <w:ind w:firstLine="540"/>
        <w:jc w:val="both"/>
      </w:pPr>
    </w:p>
    <w:p w:rsidR="00212513" w:rsidRDefault="00212513">
      <w:pPr>
        <w:pStyle w:val="ConsPlusNormal"/>
        <w:ind w:firstLine="540"/>
        <w:jc w:val="both"/>
      </w:pPr>
      <w:bookmarkStart w:id="395" w:name="P9163"/>
      <w:bookmarkEnd w:id="395"/>
      <w:r>
        <w:t>8.154 Соединения следует предусматривать с возможно более компактным расположением высокопрочных и обычных болтов по нормам таблицы 8.41.</w:t>
      </w:r>
    </w:p>
    <w:p w:rsidR="00212513" w:rsidRDefault="00212513">
      <w:pPr>
        <w:pStyle w:val="ConsPlusNormal"/>
        <w:ind w:firstLine="540"/>
        <w:jc w:val="both"/>
      </w:pPr>
    </w:p>
    <w:p w:rsidR="00212513" w:rsidRDefault="00212513">
      <w:pPr>
        <w:pStyle w:val="ConsPlusNormal"/>
        <w:jc w:val="right"/>
      </w:pPr>
      <w:bookmarkStart w:id="396" w:name="P9165"/>
      <w:bookmarkEnd w:id="396"/>
      <w:r>
        <w:t>Таблица 8.41</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06"/>
        <w:gridCol w:w="4365"/>
      </w:tblGrid>
      <w:tr w:rsidR="00212513">
        <w:tc>
          <w:tcPr>
            <w:tcW w:w="4706" w:type="dxa"/>
            <w:tcBorders>
              <w:top w:val="single" w:sz="4" w:space="0" w:color="auto"/>
              <w:bottom w:val="single" w:sz="4" w:space="0" w:color="auto"/>
            </w:tcBorders>
            <w:vAlign w:val="center"/>
          </w:tcPr>
          <w:p w:rsidR="00212513" w:rsidRDefault="00212513">
            <w:pPr>
              <w:pStyle w:val="ConsPlusNormal"/>
              <w:jc w:val="center"/>
            </w:pPr>
            <w:r>
              <w:t>Характеристика расстояний</w:t>
            </w:r>
          </w:p>
        </w:tc>
        <w:tc>
          <w:tcPr>
            <w:tcW w:w="4365" w:type="dxa"/>
            <w:tcBorders>
              <w:top w:val="single" w:sz="4" w:space="0" w:color="auto"/>
              <w:bottom w:val="single" w:sz="4" w:space="0" w:color="auto"/>
            </w:tcBorders>
            <w:vAlign w:val="center"/>
          </w:tcPr>
          <w:p w:rsidR="00212513" w:rsidRDefault="00212513">
            <w:pPr>
              <w:pStyle w:val="ConsPlusNormal"/>
              <w:jc w:val="center"/>
            </w:pPr>
            <w:r>
              <w:t>Норма</w:t>
            </w:r>
          </w:p>
        </w:tc>
      </w:tr>
      <w:tr w:rsidR="00212513">
        <w:tblPrEx>
          <w:tblBorders>
            <w:insideH w:val="none" w:sz="0" w:space="0" w:color="auto"/>
          </w:tblBorders>
        </w:tblPrEx>
        <w:tc>
          <w:tcPr>
            <w:tcW w:w="4706" w:type="dxa"/>
            <w:tcBorders>
              <w:top w:val="single" w:sz="4" w:space="0" w:color="auto"/>
              <w:bottom w:val="nil"/>
            </w:tcBorders>
          </w:tcPr>
          <w:p w:rsidR="00212513" w:rsidRDefault="00212513">
            <w:pPr>
              <w:pStyle w:val="ConsPlusNormal"/>
            </w:pPr>
            <w:r>
              <w:t>1 Расстояния между центрами болтов:</w:t>
            </w:r>
          </w:p>
        </w:tc>
        <w:tc>
          <w:tcPr>
            <w:tcW w:w="4365" w:type="dxa"/>
            <w:tcBorders>
              <w:top w:val="single" w:sz="4" w:space="0" w:color="auto"/>
              <w:bottom w:val="nil"/>
            </w:tcBorders>
          </w:tcPr>
          <w:p w:rsidR="00212513" w:rsidRDefault="00212513">
            <w:pPr>
              <w:pStyle w:val="ConsPlusNormal"/>
              <w:jc w:val="both"/>
            </w:pPr>
          </w:p>
        </w:tc>
      </w:tr>
      <w:tr w:rsidR="00212513">
        <w:tblPrEx>
          <w:tblBorders>
            <w:insideH w:val="none" w:sz="0" w:space="0" w:color="auto"/>
          </w:tblBorders>
        </w:tblPrEx>
        <w:tc>
          <w:tcPr>
            <w:tcW w:w="4706" w:type="dxa"/>
            <w:tcBorders>
              <w:top w:val="nil"/>
              <w:bottom w:val="nil"/>
            </w:tcBorders>
          </w:tcPr>
          <w:p w:rsidR="00212513" w:rsidRDefault="00212513">
            <w:pPr>
              <w:pStyle w:val="ConsPlusNormal"/>
              <w:ind w:left="283"/>
            </w:pPr>
            <w:r>
              <w:t>а) минимальное в любом направлении</w:t>
            </w:r>
          </w:p>
        </w:tc>
        <w:tc>
          <w:tcPr>
            <w:tcW w:w="4365" w:type="dxa"/>
            <w:tcBorders>
              <w:top w:val="nil"/>
              <w:bottom w:val="nil"/>
            </w:tcBorders>
          </w:tcPr>
          <w:p w:rsidR="00212513" w:rsidRDefault="00212513">
            <w:pPr>
              <w:pStyle w:val="ConsPlusNormal"/>
              <w:jc w:val="center"/>
            </w:pPr>
            <w:r>
              <w:t>2,5</w:t>
            </w:r>
            <w:r>
              <w:rPr>
                <w:i/>
              </w:rPr>
              <w:t>d</w:t>
            </w:r>
            <w:r>
              <w:t xml:space="preserve"> </w:t>
            </w:r>
            <w:hyperlink w:anchor="P9196">
              <w:r>
                <w:rPr>
                  <w:color w:val="0000FF"/>
                </w:rPr>
                <w:t>&lt;*&gt;</w:t>
              </w:r>
            </w:hyperlink>
          </w:p>
        </w:tc>
      </w:tr>
      <w:tr w:rsidR="00212513">
        <w:tblPrEx>
          <w:tblBorders>
            <w:insideH w:val="none" w:sz="0" w:space="0" w:color="auto"/>
          </w:tblBorders>
        </w:tblPrEx>
        <w:tc>
          <w:tcPr>
            <w:tcW w:w="4706" w:type="dxa"/>
            <w:tcBorders>
              <w:top w:val="nil"/>
              <w:bottom w:val="nil"/>
            </w:tcBorders>
          </w:tcPr>
          <w:p w:rsidR="00212513" w:rsidRDefault="00212513">
            <w:pPr>
              <w:pStyle w:val="ConsPlusNormal"/>
              <w:ind w:left="283"/>
            </w:pPr>
            <w:r>
              <w:t>б) максимальное в любом направлении в крайних рядах при растяжении и сжатии:</w:t>
            </w:r>
          </w:p>
        </w:tc>
        <w:tc>
          <w:tcPr>
            <w:tcW w:w="4365"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4706" w:type="dxa"/>
            <w:tcBorders>
              <w:top w:val="nil"/>
              <w:bottom w:val="nil"/>
            </w:tcBorders>
          </w:tcPr>
          <w:p w:rsidR="00212513" w:rsidRDefault="00212513">
            <w:pPr>
              <w:pStyle w:val="ConsPlusNormal"/>
              <w:ind w:left="566"/>
            </w:pPr>
            <w:r>
              <w:t>в листах</w:t>
            </w:r>
          </w:p>
        </w:tc>
        <w:tc>
          <w:tcPr>
            <w:tcW w:w="4365" w:type="dxa"/>
            <w:tcBorders>
              <w:top w:val="nil"/>
              <w:bottom w:val="nil"/>
            </w:tcBorders>
          </w:tcPr>
          <w:p w:rsidR="00212513" w:rsidRDefault="00212513">
            <w:pPr>
              <w:pStyle w:val="ConsPlusNormal"/>
              <w:jc w:val="center"/>
            </w:pPr>
            <w:r>
              <w:t>7</w:t>
            </w:r>
            <w:r>
              <w:rPr>
                <w:i/>
              </w:rPr>
              <w:t>d</w:t>
            </w:r>
            <w:r>
              <w:t xml:space="preserve"> или 16</w:t>
            </w:r>
            <w:r>
              <w:rPr>
                <w:i/>
              </w:rPr>
              <w:t>t</w:t>
            </w:r>
          </w:p>
        </w:tc>
      </w:tr>
      <w:tr w:rsidR="00212513">
        <w:tblPrEx>
          <w:tblBorders>
            <w:insideH w:val="none" w:sz="0" w:space="0" w:color="auto"/>
          </w:tblBorders>
        </w:tblPrEx>
        <w:tc>
          <w:tcPr>
            <w:tcW w:w="4706" w:type="dxa"/>
            <w:tcBorders>
              <w:top w:val="nil"/>
              <w:bottom w:val="nil"/>
            </w:tcBorders>
          </w:tcPr>
          <w:p w:rsidR="00212513" w:rsidRDefault="00212513">
            <w:pPr>
              <w:pStyle w:val="ConsPlusNormal"/>
              <w:ind w:left="566"/>
            </w:pPr>
            <w:r>
              <w:t xml:space="preserve">в уголках </w:t>
            </w:r>
            <w:hyperlink w:anchor="P9197">
              <w:r>
                <w:rPr>
                  <w:color w:val="0000FF"/>
                </w:rPr>
                <w:t>&lt;**&gt;</w:t>
              </w:r>
            </w:hyperlink>
          </w:p>
        </w:tc>
        <w:tc>
          <w:tcPr>
            <w:tcW w:w="4365" w:type="dxa"/>
            <w:tcBorders>
              <w:top w:val="nil"/>
              <w:bottom w:val="nil"/>
            </w:tcBorders>
          </w:tcPr>
          <w:p w:rsidR="00212513" w:rsidRDefault="00212513">
            <w:pPr>
              <w:pStyle w:val="ConsPlusNormal"/>
              <w:jc w:val="center"/>
            </w:pPr>
            <w:r>
              <w:t>160 мм</w:t>
            </w:r>
          </w:p>
        </w:tc>
      </w:tr>
      <w:tr w:rsidR="00212513">
        <w:tblPrEx>
          <w:tblBorders>
            <w:insideH w:val="none" w:sz="0" w:space="0" w:color="auto"/>
          </w:tblBorders>
        </w:tblPrEx>
        <w:tc>
          <w:tcPr>
            <w:tcW w:w="4706" w:type="dxa"/>
            <w:tcBorders>
              <w:top w:val="nil"/>
              <w:bottom w:val="nil"/>
            </w:tcBorders>
          </w:tcPr>
          <w:p w:rsidR="00212513" w:rsidRDefault="00212513">
            <w:pPr>
              <w:pStyle w:val="ConsPlusNormal"/>
              <w:ind w:left="283"/>
            </w:pPr>
            <w:r>
              <w:t>в) максимальное в средних рядах:</w:t>
            </w:r>
          </w:p>
        </w:tc>
        <w:tc>
          <w:tcPr>
            <w:tcW w:w="4365"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4706" w:type="dxa"/>
            <w:tcBorders>
              <w:top w:val="nil"/>
              <w:bottom w:val="nil"/>
            </w:tcBorders>
          </w:tcPr>
          <w:p w:rsidR="00212513" w:rsidRDefault="00212513">
            <w:pPr>
              <w:pStyle w:val="ConsPlusNormal"/>
              <w:ind w:left="566"/>
            </w:pPr>
            <w:r>
              <w:t>поперек усилия при растяжении и сжатии</w:t>
            </w:r>
          </w:p>
        </w:tc>
        <w:tc>
          <w:tcPr>
            <w:tcW w:w="4365" w:type="dxa"/>
            <w:tcBorders>
              <w:top w:val="nil"/>
              <w:bottom w:val="nil"/>
            </w:tcBorders>
          </w:tcPr>
          <w:p w:rsidR="00212513" w:rsidRDefault="00212513">
            <w:pPr>
              <w:pStyle w:val="ConsPlusNormal"/>
              <w:jc w:val="center"/>
            </w:pPr>
            <w:r>
              <w:t>24</w:t>
            </w:r>
            <w:r>
              <w:rPr>
                <w:i/>
              </w:rPr>
              <w:t>t</w:t>
            </w:r>
          </w:p>
        </w:tc>
      </w:tr>
      <w:tr w:rsidR="00212513">
        <w:tblPrEx>
          <w:tblBorders>
            <w:insideH w:val="none" w:sz="0" w:space="0" w:color="auto"/>
          </w:tblBorders>
        </w:tblPrEx>
        <w:tc>
          <w:tcPr>
            <w:tcW w:w="4706" w:type="dxa"/>
            <w:tcBorders>
              <w:top w:val="nil"/>
              <w:bottom w:val="nil"/>
            </w:tcBorders>
          </w:tcPr>
          <w:p w:rsidR="00212513" w:rsidRDefault="00212513">
            <w:pPr>
              <w:pStyle w:val="ConsPlusNormal"/>
              <w:ind w:left="566"/>
            </w:pPr>
            <w:r>
              <w:t>вдоль усилия при растяжении</w:t>
            </w:r>
          </w:p>
        </w:tc>
        <w:tc>
          <w:tcPr>
            <w:tcW w:w="4365" w:type="dxa"/>
            <w:tcBorders>
              <w:top w:val="nil"/>
              <w:bottom w:val="nil"/>
            </w:tcBorders>
          </w:tcPr>
          <w:p w:rsidR="00212513" w:rsidRDefault="00212513">
            <w:pPr>
              <w:pStyle w:val="ConsPlusNormal"/>
              <w:jc w:val="center"/>
            </w:pPr>
            <w:r>
              <w:t>24</w:t>
            </w:r>
            <w:r>
              <w:rPr>
                <w:i/>
              </w:rPr>
              <w:t>t</w:t>
            </w:r>
          </w:p>
        </w:tc>
      </w:tr>
      <w:tr w:rsidR="00212513">
        <w:tblPrEx>
          <w:tblBorders>
            <w:insideH w:val="none" w:sz="0" w:space="0" w:color="auto"/>
          </w:tblBorders>
        </w:tblPrEx>
        <w:tc>
          <w:tcPr>
            <w:tcW w:w="4706" w:type="dxa"/>
            <w:tcBorders>
              <w:top w:val="nil"/>
              <w:bottom w:val="single" w:sz="4" w:space="0" w:color="auto"/>
            </w:tcBorders>
          </w:tcPr>
          <w:p w:rsidR="00212513" w:rsidRDefault="00212513">
            <w:pPr>
              <w:pStyle w:val="ConsPlusNormal"/>
              <w:ind w:left="566"/>
            </w:pPr>
            <w:r>
              <w:t>то же, при сжатии</w:t>
            </w:r>
          </w:p>
        </w:tc>
        <w:tc>
          <w:tcPr>
            <w:tcW w:w="4365" w:type="dxa"/>
            <w:tcBorders>
              <w:top w:val="nil"/>
              <w:bottom w:val="single" w:sz="4" w:space="0" w:color="auto"/>
            </w:tcBorders>
          </w:tcPr>
          <w:p w:rsidR="00212513" w:rsidRDefault="00212513">
            <w:pPr>
              <w:pStyle w:val="ConsPlusNormal"/>
              <w:jc w:val="center"/>
            </w:pPr>
            <w:r>
              <w:t>16</w:t>
            </w:r>
            <w:r>
              <w:rPr>
                <w:i/>
              </w:rPr>
              <w:t>t</w:t>
            </w:r>
          </w:p>
        </w:tc>
      </w:tr>
      <w:tr w:rsidR="00212513">
        <w:tblPrEx>
          <w:tblBorders>
            <w:insideH w:val="none" w:sz="0" w:space="0" w:color="auto"/>
          </w:tblBorders>
        </w:tblPrEx>
        <w:tc>
          <w:tcPr>
            <w:tcW w:w="4706" w:type="dxa"/>
            <w:tcBorders>
              <w:top w:val="single" w:sz="4" w:space="0" w:color="auto"/>
              <w:bottom w:val="nil"/>
            </w:tcBorders>
          </w:tcPr>
          <w:p w:rsidR="00212513" w:rsidRDefault="00212513">
            <w:pPr>
              <w:pStyle w:val="ConsPlusNormal"/>
            </w:pPr>
            <w:r>
              <w:t>2 Расстояния от центра болта до края элемента:</w:t>
            </w:r>
          </w:p>
        </w:tc>
        <w:tc>
          <w:tcPr>
            <w:tcW w:w="4365" w:type="dxa"/>
            <w:tcBorders>
              <w:top w:val="single" w:sz="4" w:space="0" w:color="auto"/>
              <w:bottom w:val="nil"/>
            </w:tcBorders>
          </w:tcPr>
          <w:p w:rsidR="00212513" w:rsidRDefault="00212513">
            <w:pPr>
              <w:pStyle w:val="ConsPlusNormal"/>
              <w:jc w:val="both"/>
            </w:pPr>
          </w:p>
        </w:tc>
      </w:tr>
      <w:tr w:rsidR="00212513">
        <w:tblPrEx>
          <w:tblBorders>
            <w:insideH w:val="none" w:sz="0" w:space="0" w:color="auto"/>
          </w:tblBorders>
        </w:tblPrEx>
        <w:tc>
          <w:tcPr>
            <w:tcW w:w="4706" w:type="dxa"/>
            <w:tcBorders>
              <w:top w:val="nil"/>
              <w:bottom w:val="nil"/>
            </w:tcBorders>
          </w:tcPr>
          <w:p w:rsidR="00212513" w:rsidRDefault="00212513">
            <w:pPr>
              <w:pStyle w:val="ConsPlusNormal"/>
              <w:ind w:left="283"/>
            </w:pPr>
            <w:r>
              <w:t>а) минимальное вдоль усилия, поперек усилия и по диагонали при кромках после механической обработки, машинной газокислородной, плазменной и лазерной резки</w:t>
            </w:r>
          </w:p>
        </w:tc>
        <w:tc>
          <w:tcPr>
            <w:tcW w:w="4365" w:type="dxa"/>
            <w:tcBorders>
              <w:top w:val="nil"/>
              <w:bottom w:val="nil"/>
            </w:tcBorders>
          </w:tcPr>
          <w:p w:rsidR="00212513" w:rsidRDefault="00212513">
            <w:pPr>
              <w:pStyle w:val="ConsPlusNormal"/>
              <w:jc w:val="center"/>
            </w:pPr>
            <w:r>
              <w:t>1,5</w:t>
            </w:r>
            <w:r>
              <w:rPr>
                <w:i/>
              </w:rPr>
              <w:t>d</w:t>
            </w:r>
          </w:p>
        </w:tc>
      </w:tr>
      <w:tr w:rsidR="00212513">
        <w:tblPrEx>
          <w:tblBorders>
            <w:insideH w:val="none" w:sz="0" w:space="0" w:color="auto"/>
          </w:tblBorders>
        </w:tblPrEx>
        <w:tc>
          <w:tcPr>
            <w:tcW w:w="4706" w:type="dxa"/>
            <w:tcBorders>
              <w:top w:val="nil"/>
              <w:bottom w:val="single" w:sz="4" w:space="0" w:color="auto"/>
            </w:tcBorders>
          </w:tcPr>
          <w:p w:rsidR="00212513" w:rsidRDefault="00212513">
            <w:pPr>
              <w:pStyle w:val="ConsPlusNormal"/>
              <w:ind w:left="283"/>
            </w:pPr>
            <w:r>
              <w:t>б) максимальное</w:t>
            </w:r>
          </w:p>
        </w:tc>
        <w:tc>
          <w:tcPr>
            <w:tcW w:w="4365" w:type="dxa"/>
            <w:tcBorders>
              <w:top w:val="nil"/>
              <w:bottom w:val="single" w:sz="4" w:space="0" w:color="auto"/>
            </w:tcBorders>
          </w:tcPr>
          <w:p w:rsidR="00212513" w:rsidRDefault="00212513">
            <w:pPr>
              <w:pStyle w:val="ConsPlusNormal"/>
              <w:jc w:val="center"/>
            </w:pPr>
            <w:r>
              <w:t>8</w:t>
            </w:r>
            <w:r>
              <w:rPr>
                <w:i/>
              </w:rPr>
              <w:t>t</w:t>
            </w:r>
            <w:r>
              <w:t xml:space="preserve"> или 120 мм</w:t>
            </w:r>
          </w:p>
        </w:tc>
      </w:tr>
      <w:tr w:rsidR="00212513">
        <w:tblPrEx>
          <w:tblBorders>
            <w:insideH w:val="none" w:sz="0" w:space="0" w:color="auto"/>
          </w:tblBorders>
        </w:tblPrEx>
        <w:tc>
          <w:tcPr>
            <w:tcW w:w="9071" w:type="dxa"/>
            <w:gridSpan w:val="2"/>
            <w:tcBorders>
              <w:top w:val="single" w:sz="4" w:space="0" w:color="auto"/>
              <w:bottom w:val="nil"/>
            </w:tcBorders>
          </w:tcPr>
          <w:p w:rsidR="00212513" w:rsidRDefault="00212513">
            <w:pPr>
              <w:pStyle w:val="ConsPlusNormal"/>
              <w:ind w:firstLine="283"/>
              <w:jc w:val="both"/>
            </w:pPr>
            <w:r>
              <w:t xml:space="preserve">Обозначения, принятые в </w:t>
            </w:r>
            <w:hyperlink w:anchor="P9165">
              <w:r>
                <w:rPr>
                  <w:color w:val="0000FF"/>
                </w:rPr>
                <w:t>таблице 8.41</w:t>
              </w:r>
            </w:hyperlink>
            <w:r>
              <w:t>:</w:t>
            </w:r>
          </w:p>
          <w:p w:rsidR="00212513" w:rsidRDefault="00212513">
            <w:pPr>
              <w:pStyle w:val="ConsPlusNormal"/>
              <w:ind w:firstLine="283"/>
              <w:jc w:val="both"/>
            </w:pPr>
            <w:r>
              <w:rPr>
                <w:i/>
              </w:rPr>
              <w:t>d</w:t>
            </w:r>
            <w:r>
              <w:t xml:space="preserve"> - номинальный диаметр болта;</w:t>
            </w:r>
          </w:p>
          <w:p w:rsidR="00212513" w:rsidRDefault="00212513">
            <w:pPr>
              <w:pStyle w:val="ConsPlusNormal"/>
              <w:ind w:firstLine="283"/>
              <w:jc w:val="both"/>
            </w:pPr>
            <w:r>
              <w:rPr>
                <w:i/>
              </w:rPr>
              <w:t>t</w:t>
            </w:r>
            <w:r>
              <w:t xml:space="preserve"> - толщина наиболее тонкой детали, расположенной снаружи пакета.</w:t>
            </w:r>
          </w:p>
        </w:tc>
      </w:tr>
      <w:tr w:rsidR="00212513">
        <w:tblPrEx>
          <w:tblBorders>
            <w:insideH w:val="none" w:sz="0" w:space="0" w:color="auto"/>
          </w:tblBorders>
        </w:tblPrEx>
        <w:tc>
          <w:tcPr>
            <w:tcW w:w="9071" w:type="dxa"/>
            <w:gridSpan w:val="2"/>
            <w:tcBorders>
              <w:top w:val="nil"/>
              <w:bottom w:val="single" w:sz="4" w:space="0" w:color="auto"/>
            </w:tcBorders>
          </w:tcPr>
          <w:p w:rsidR="00212513" w:rsidRDefault="00212513">
            <w:pPr>
              <w:pStyle w:val="ConsPlusNormal"/>
              <w:ind w:firstLine="283"/>
              <w:jc w:val="both"/>
            </w:pPr>
            <w:bookmarkStart w:id="397" w:name="P9196"/>
            <w:bookmarkEnd w:id="397"/>
            <w:r>
              <w:t>&lt;*&gt; Для обычных болтов назначают 3,0</w:t>
            </w:r>
            <w:r>
              <w:rPr>
                <w:i/>
              </w:rPr>
              <w:t>d</w:t>
            </w:r>
            <w:r>
              <w:t>.</w:t>
            </w:r>
          </w:p>
          <w:p w:rsidR="00212513" w:rsidRDefault="00212513">
            <w:pPr>
              <w:pStyle w:val="ConsPlusNormal"/>
              <w:ind w:firstLine="283"/>
              <w:jc w:val="both"/>
            </w:pPr>
            <w:bookmarkStart w:id="398" w:name="P9197"/>
            <w:bookmarkEnd w:id="398"/>
            <w:r>
              <w:t>&lt;**&gt; При двухрядном расположении норма относится к ряду у пера.</w:t>
            </w:r>
          </w:p>
        </w:tc>
      </w:tr>
    </w:tbl>
    <w:p w:rsidR="00212513" w:rsidRDefault="00212513">
      <w:pPr>
        <w:pStyle w:val="ConsPlusNormal"/>
        <w:ind w:firstLine="540"/>
        <w:jc w:val="both"/>
      </w:pPr>
    </w:p>
    <w:p w:rsidR="00212513" w:rsidRDefault="00212513">
      <w:pPr>
        <w:pStyle w:val="ConsPlusNormal"/>
        <w:ind w:firstLine="540"/>
        <w:jc w:val="both"/>
      </w:pPr>
      <w:r>
        <w:t>8.155 Число высокопрочных болтов должно быть не менее двух:</w:t>
      </w:r>
    </w:p>
    <w:p w:rsidR="00212513" w:rsidRDefault="00212513">
      <w:pPr>
        <w:pStyle w:val="ConsPlusNormal"/>
        <w:spacing w:before="220"/>
        <w:ind w:firstLine="540"/>
        <w:jc w:val="both"/>
      </w:pPr>
      <w:r>
        <w:t>в прикреплениях связей главных ферм и проезжей части;</w:t>
      </w:r>
    </w:p>
    <w:p w:rsidR="00212513" w:rsidRDefault="00212513">
      <w:pPr>
        <w:pStyle w:val="ConsPlusNormal"/>
        <w:spacing w:before="220"/>
        <w:ind w:firstLine="540"/>
        <w:jc w:val="both"/>
      </w:pPr>
      <w:r>
        <w:lastRenderedPageBreak/>
        <w:t>в каждом продольном ряду прикрепления или стыковой накладки (считая от оси стыка).</w:t>
      </w:r>
    </w:p>
    <w:p w:rsidR="00212513" w:rsidRDefault="00212513">
      <w:pPr>
        <w:pStyle w:val="ConsPlusNormal"/>
        <w:spacing w:before="220"/>
        <w:ind w:firstLine="540"/>
        <w:jc w:val="both"/>
      </w:pPr>
      <w:r>
        <w:t>В прикреплении стержня на обычных болтах число болтов в продольном ряду должно быть не менее: при одном ряде - 3; при двух рядах и более - 2; в выступающей полке уголкового коротыша - 5.</w:t>
      </w:r>
    </w:p>
    <w:p w:rsidR="00212513" w:rsidRDefault="00212513">
      <w:pPr>
        <w:pStyle w:val="ConsPlusNormal"/>
        <w:spacing w:before="220"/>
        <w:ind w:firstLine="540"/>
        <w:jc w:val="both"/>
      </w:pPr>
      <w:r>
        <w:t>В стыках и прикреплениях растянутых и сжато-растянутых элементов число болтов в двух первых поперечных рядах (считая от сечения элемента или накладки с полным усилием) следует принимать одинаковым. Число болтов в последующих рядах должно увеличиваться постепенно. В стыках и прикреплениях уголков с двухрядным расположением болтов первый болт должен быть расположен у обушка.</w:t>
      </w:r>
    </w:p>
    <w:p w:rsidR="00212513" w:rsidRDefault="00212513">
      <w:pPr>
        <w:pStyle w:val="ConsPlusNormal"/>
        <w:spacing w:before="220"/>
        <w:ind w:firstLine="540"/>
        <w:jc w:val="both"/>
      </w:pPr>
      <w:r>
        <w:t xml:space="preserve">Число рядов болтов вдоль усилия (при выполнении требований </w:t>
      </w:r>
      <w:hyperlink w:anchor="P8795">
        <w:r>
          <w:rPr>
            <w:color w:val="0000FF"/>
          </w:rPr>
          <w:t>8.106</w:t>
        </w:r>
      </w:hyperlink>
      <w:r>
        <w:t>) должно быть минимальным.</w:t>
      </w:r>
    </w:p>
    <w:p w:rsidR="00212513" w:rsidRDefault="00212513">
      <w:pPr>
        <w:pStyle w:val="ConsPlusNormal"/>
        <w:spacing w:before="220"/>
        <w:ind w:firstLine="540"/>
        <w:jc w:val="both"/>
      </w:pPr>
      <w:r>
        <w:t>В продольных и поперечных стыках стенок балок допускается располагать болты с каждой стороны стыка в один ряд.</w:t>
      </w:r>
    </w:p>
    <w:p w:rsidR="00212513" w:rsidRDefault="00212513">
      <w:pPr>
        <w:pStyle w:val="ConsPlusNormal"/>
        <w:spacing w:before="220"/>
        <w:ind w:firstLine="540"/>
        <w:jc w:val="both"/>
      </w:pPr>
      <w:r>
        <w:t>8.156 Диаметр болтов, поставленных в уголках основных элементов, не должен, как правило, быть более 1/4 ширины полки уголка.</w:t>
      </w:r>
    </w:p>
    <w:p w:rsidR="00212513" w:rsidRDefault="00212513">
      <w:pPr>
        <w:pStyle w:val="ConsPlusNormal"/>
        <w:spacing w:before="220"/>
        <w:ind w:firstLine="540"/>
        <w:jc w:val="both"/>
      </w:pPr>
      <w:r>
        <w:t>Допускается в элементах связей, ребрах жесткости, диафрагмах и т.д. ставить болты диаметром 22 мм в полке уголка шириной 80 мм и диаметром 24 мм в полке шириной 90 мм.</w:t>
      </w:r>
    </w:p>
    <w:p w:rsidR="00212513" w:rsidRDefault="00212513">
      <w:pPr>
        <w:pStyle w:val="ConsPlusNormal"/>
        <w:spacing w:before="220"/>
        <w:ind w:firstLine="540"/>
        <w:jc w:val="both"/>
      </w:pPr>
      <w:r>
        <w:t>Во фрикционных соединениях с большим числом высокопрочных болтов их диаметр следует назначать возможно большим. В соединениях, где диаметр отверстия превышает номинальный диаметр болта свыше 3 мм, следует устанавливать в высокопрочных болтах шайбы толщиной 6 мм.</w:t>
      </w:r>
    </w:p>
    <w:p w:rsidR="00212513" w:rsidRDefault="00212513">
      <w:pPr>
        <w:pStyle w:val="ConsPlusNormal"/>
        <w:jc w:val="both"/>
      </w:pPr>
      <w:r>
        <w:t xml:space="preserve">(в ред. </w:t>
      </w:r>
      <w:hyperlink r:id="rId2199">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8.157 Полную длину высокопрочных болтов следует назначать из условия, чтобы после затяжки гайки оставалось не менее одного полного витка резьбы.</w:t>
      </w:r>
    </w:p>
    <w:p w:rsidR="00212513" w:rsidRDefault="00212513">
      <w:pPr>
        <w:pStyle w:val="ConsPlusNormal"/>
        <w:spacing w:before="220"/>
        <w:ind w:firstLine="540"/>
        <w:jc w:val="both"/>
      </w:pPr>
      <w:r>
        <w:t>8.158 Стыки вертикальной стенки балки при болтовых соединениях должны быть перекрыты накладками по всей высоте.</w:t>
      </w:r>
    </w:p>
    <w:p w:rsidR="00212513" w:rsidRDefault="00212513">
      <w:pPr>
        <w:pStyle w:val="ConsPlusNormal"/>
        <w:spacing w:before="220"/>
        <w:ind w:firstLine="540"/>
        <w:jc w:val="both"/>
      </w:pPr>
      <w:r>
        <w:t>Стыковые накладки поясных уголков допускается применять в виде плоских листов.</w:t>
      </w:r>
    </w:p>
    <w:p w:rsidR="00212513" w:rsidRDefault="00212513">
      <w:pPr>
        <w:pStyle w:val="ConsPlusNormal"/>
        <w:spacing w:before="220"/>
        <w:ind w:firstLine="540"/>
        <w:jc w:val="both"/>
      </w:pPr>
      <w:r>
        <w:t>8.159 Непосредственно прикрепленная площадь элементов сквозных главных ферм в узлах и стыках должна составлять не менее 50% всей рабочей площади элемента. При непрямом перекрытии площади сечения следует уменьшать эксцентриситет в прикреплении накладок и увеличивать их длину.</w:t>
      </w:r>
    </w:p>
    <w:p w:rsidR="00212513" w:rsidRDefault="00212513">
      <w:pPr>
        <w:pStyle w:val="ConsPlusNormal"/>
        <w:ind w:firstLine="540"/>
        <w:jc w:val="both"/>
      </w:pPr>
    </w:p>
    <w:p w:rsidR="00212513" w:rsidRDefault="00212513">
      <w:pPr>
        <w:pStyle w:val="ConsPlusTitle"/>
        <w:ind w:firstLine="540"/>
        <w:jc w:val="both"/>
        <w:outlineLvl w:val="3"/>
      </w:pPr>
      <w:r>
        <w:t>Детали конструкции</w:t>
      </w:r>
    </w:p>
    <w:p w:rsidR="00212513" w:rsidRDefault="00212513">
      <w:pPr>
        <w:pStyle w:val="ConsPlusNormal"/>
        <w:ind w:firstLine="540"/>
        <w:jc w:val="both"/>
      </w:pPr>
    </w:p>
    <w:p w:rsidR="00212513" w:rsidRDefault="00212513">
      <w:pPr>
        <w:pStyle w:val="ConsPlusNormal"/>
        <w:ind w:firstLine="540"/>
        <w:jc w:val="both"/>
      </w:pPr>
      <w:r>
        <w:t>8.160 В конструкции не должно быть соприкасающихся несоединенных частей, а также щелей, зазоров, пазух и корыт. В местах возможного скопления влаги следует устраивать дренажные отверстия диаметром не менее 50 мм.</w:t>
      </w:r>
    </w:p>
    <w:p w:rsidR="00212513" w:rsidRDefault="00212513">
      <w:pPr>
        <w:pStyle w:val="ConsPlusNormal"/>
        <w:spacing w:before="220"/>
        <w:ind w:firstLine="540"/>
        <w:jc w:val="both"/>
      </w:pPr>
      <w:r>
        <w:t>Стальные канаты и пучки высокопрочной проволоки, их анкеры, места соединения и примыкания должны быть надежно защищены от коррозии.</w:t>
      </w:r>
    </w:p>
    <w:p w:rsidR="00212513" w:rsidRDefault="00212513">
      <w:pPr>
        <w:pStyle w:val="ConsPlusNormal"/>
        <w:spacing w:before="220"/>
        <w:ind w:firstLine="540"/>
        <w:jc w:val="both"/>
      </w:pPr>
      <w:r>
        <w:t>8.161 У растянутых элементов симметричного сечения, снабженных отверстиями для соединения их узловыми болтами-шарнирами, площадь нетто разреза, проходящего через болтовое отверстие, должна быть не менее 140%, а разреза от торца элемента до болтового отверстия - не менее 100% расчетного сечения элемента.</w:t>
      </w:r>
    </w:p>
    <w:p w:rsidR="00212513" w:rsidRDefault="00212513">
      <w:pPr>
        <w:pStyle w:val="ConsPlusNormal"/>
        <w:spacing w:before="220"/>
        <w:ind w:firstLine="540"/>
        <w:jc w:val="both"/>
      </w:pPr>
      <w:r>
        <w:lastRenderedPageBreak/>
        <w:t>8.162 Ветви сжатых составных стержней с болтовыми соединениями, а также сжато-изогнутые сварные элементы в местах воздействия сосредоточенных сил должны быть подкреплены поперечными диафрагмами.</w:t>
      </w:r>
    </w:p>
    <w:p w:rsidR="00212513" w:rsidRDefault="00212513">
      <w:pPr>
        <w:pStyle w:val="ConsPlusNormal"/>
        <w:spacing w:before="220"/>
        <w:ind w:firstLine="540"/>
        <w:jc w:val="both"/>
      </w:pPr>
      <w:r>
        <w:t>В сварных коробчатых и Н-образных элементах ферм диафрагмы рекомендуется приваривать или прикреплять на болтах только к вертикальным листам с зазором между диафрагмами и горизонтальными листами не менее 50 мм.</w:t>
      </w:r>
    </w:p>
    <w:p w:rsidR="00212513" w:rsidRDefault="00212513">
      <w:pPr>
        <w:pStyle w:val="ConsPlusNormal"/>
        <w:spacing w:before="220"/>
        <w:ind w:firstLine="540"/>
        <w:jc w:val="both"/>
      </w:pPr>
      <w:r>
        <w:t>8.163 Непосредственная приварка вспомогательных деталей (кронштейнов, элементов перил и тротуаров, навигационных знаков и сигналов и т.д.) к элементам главных балок и балок проезжей части, а также к элементам решетчатых главных ферм не допускается. Приваривать эти детали допускается только к поперечным ребрам жесткости: в железнодорожных пролетных строениях северного исполнения указанные детали следует крепить на болтах.</w:t>
      </w:r>
    </w:p>
    <w:p w:rsidR="00212513" w:rsidRDefault="00212513">
      <w:pPr>
        <w:pStyle w:val="ConsPlusNormal"/>
        <w:spacing w:before="220"/>
        <w:ind w:firstLine="540"/>
        <w:jc w:val="both"/>
      </w:pPr>
      <w:r>
        <w:t>Распорки и диагонали продольных связей, распорки поперечных связей не допускается приваривать непосредственно к поясам балок пролетных строений всех назначений.</w:t>
      </w:r>
    </w:p>
    <w:p w:rsidR="00212513" w:rsidRDefault="00212513">
      <w:pPr>
        <w:pStyle w:val="ConsPlusNormal"/>
        <w:spacing w:before="220"/>
        <w:ind w:firstLine="540"/>
        <w:jc w:val="both"/>
      </w:pPr>
      <w:r>
        <w:t>В железнодорожных пролетных строениях не допускается также приварка элементов продольных и поперечных связей к ребрам жесткости и фасонкам связей, прокладок - к основным элементам, а в конструкциях северного исполнения - и противоугонных уголков к поясам балок.</w:t>
      </w:r>
    </w:p>
    <w:p w:rsidR="00212513" w:rsidRDefault="00212513">
      <w:pPr>
        <w:pStyle w:val="ConsPlusNormal"/>
        <w:spacing w:before="220"/>
        <w:ind w:firstLine="540"/>
        <w:jc w:val="both"/>
      </w:pPr>
      <w:bookmarkStart w:id="399" w:name="P9225"/>
      <w:bookmarkEnd w:id="399"/>
      <w:r>
        <w:t>8.164 Для обеспечения плавных (радиусом не менее 15 мм) переходов от металла шва к основному металлу в растянутых и сжато-растянутых на стадии эксплуатации поперечных стыках деталей и элементов железнодорожных пролетных строений должна предусматриваться механическая обработка; это требование распространяется на концевые участки поперечных стыковых швов стенки балок на протяжении 40% высоты растянутой зоны, но не менее 200 мм, считая от растянутого пояса.</w:t>
      </w:r>
    </w:p>
    <w:p w:rsidR="00212513" w:rsidRDefault="00212513">
      <w:pPr>
        <w:pStyle w:val="ConsPlusNormal"/>
        <w:spacing w:before="220"/>
        <w:ind w:firstLine="540"/>
        <w:jc w:val="both"/>
      </w:pPr>
      <w:bookmarkStart w:id="400" w:name="P9226"/>
      <w:bookmarkEnd w:id="400"/>
      <w:r>
        <w:t>8.165 Для автодорожных, городских и пешеходных пролетных строений при прикреплении горизонтальных фасонок продольных связей непосредственно встык к поясам сплошных балок необходимо предусматривать полное проплавление всей толщины фасонки и возможность его неразрушающего контроля.</w:t>
      </w:r>
    </w:p>
    <w:p w:rsidR="00212513" w:rsidRDefault="00212513">
      <w:pPr>
        <w:pStyle w:val="ConsPlusNormal"/>
        <w:spacing w:before="220"/>
        <w:ind w:firstLine="540"/>
        <w:jc w:val="both"/>
      </w:pPr>
      <w:r>
        <w:t>Необходимо также предусматривать на концах фасонки выкружки и механическую обработку их вместе с концами швов для получения плавных переходов (радиусом не менее 60 мм) к поясу.</w:t>
      </w:r>
    </w:p>
    <w:p w:rsidR="00212513" w:rsidRDefault="00212513">
      <w:pPr>
        <w:pStyle w:val="ConsPlusNormal"/>
        <w:spacing w:before="220"/>
        <w:ind w:firstLine="540"/>
        <w:jc w:val="both"/>
      </w:pPr>
      <w:bookmarkStart w:id="401" w:name="P9228"/>
      <w:bookmarkEnd w:id="401"/>
      <w:r>
        <w:t xml:space="preserve">8.166 Для автодорожных, городских и пешеходных пролетных строений при крестовой и полураскосной системах продольных связей, расположенных в уровне, смещенном относительно поясов, для фасонок, привариваемых к стенке втавр, необходимо предусматривать мероприятия по снижению концентрации напряжений, указанные в </w:t>
      </w:r>
      <w:hyperlink w:anchor="P9226">
        <w:r>
          <w:rPr>
            <w:color w:val="0000FF"/>
          </w:rPr>
          <w:t>8.165</w:t>
        </w:r>
      </w:hyperlink>
      <w:r>
        <w:t>. При этом для обеспечения устойчивости и устранения колебаний пояса относительно стенки должны быть поставлены на стенке балки поперечные ребра жесткости в плоскости каждого узла связей.</w:t>
      </w:r>
    </w:p>
    <w:p w:rsidR="00212513" w:rsidRDefault="00212513">
      <w:pPr>
        <w:pStyle w:val="ConsPlusNormal"/>
        <w:spacing w:before="220"/>
        <w:ind w:firstLine="540"/>
        <w:jc w:val="both"/>
      </w:pPr>
      <w:r>
        <w:t>В случае, если указанные фасонки пересекаются с поперечными ребрами жесткости, фасонки и их швы следует устраивать непрерывными; приварку элементов поперечного ребра жесткости к фасонке надлежит осуществлять угловыми швами с отношением катетов 1:2 (больший катет - на фасонке) и плавным переходом к основному металлу фасонки.</w:t>
      </w:r>
    </w:p>
    <w:p w:rsidR="00212513" w:rsidRDefault="00212513">
      <w:pPr>
        <w:pStyle w:val="ConsPlusNormal"/>
        <w:spacing w:before="220"/>
        <w:ind w:firstLine="540"/>
        <w:jc w:val="both"/>
      </w:pPr>
      <w:r>
        <w:t xml:space="preserve">8.167 В цельносварных автодорожных, городских и пешеходных пролетных строениях элементы связей, присоединяемые внахлестку к фасонкам, следует прикреплять двумя фланговыми и двумя лобовыми швами согласно </w:t>
      </w:r>
      <w:hyperlink w:anchor="P9127">
        <w:r>
          <w:rPr>
            <w:color w:val="0000FF"/>
          </w:rPr>
          <w:t>8.142</w:t>
        </w:r>
      </w:hyperlink>
      <w:r>
        <w:t>; элементы связей из парных уголков, симметрично расположенных относительно фасонки, допускается прикреплять двумя фланговыми и одним лобовым (торцевым) швами.</w:t>
      </w:r>
    </w:p>
    <w:p w:rsidR="00212513" w:rsidRDefault="00212513">
      <w:pPr>
        <w:pStyle w:val="ConsPlusNormal"/>
        <w:spacing w:before="220"/>
        <w:ind w:firstLine="540"/>
        <w:jc w:val="both"/>
      </w:pPr>
      <w:r>
        <w:t xml:space="preserve">Расстояния между швами прикреплений элементов связей и швами, прикрепляющими </w:t>
      </w:r>
      <w:r>
        <w:lastRenderedPageBreak/>
        <w:t>фасонки к стенке балки, а также к поперечным ребрам жесткости, должны быть не менее 60 мм.</w:t>
      </w:r>
    </w:p>
    <w:p w:rsidR="00212513" w:rsidRDefault="00212513">
      <w:pPr>
        <w:pStyle w:val="ConsPlusNormal"/>
        <w:spacing w:before="220"/>
        <w:ind w:firstLine="540"/>
        <w:jc w:val="both"/>
      </w:pPr>
      <w:bookmarkStart w:id="402" w:name="P9232"/>
      <w:bookmarkEnd w:id="402"/>
      <w:r>
        <w:t>8.168 В случае приварки вертикальных диафрагм, ребер жесткости и фасонок к растянутому поясу в пролете поперечные швы, прикрепляющие указанные элементы, следует предусматривать с отношением катетов 1:2 (больший катет - на поясе) и плавным переходом к основному металлу.</w:t>
      </w:r>
    </w:p>
    <w:p w:rsidR="00212513" w:rsidRDefault="00212513">
      <w:pPr>
        <w:pStyle w:val="ConsPlusNormal"/>
        <w:spacing w:before="220"/>
        <w:ind w:firstLine="540"/>
        <w:jc w:val="both"/>
      </w:pPr>
      <w:r>
        <w:t xml:space="preserve">8.169 В конструкциях обычного исполнения противоугонные уголки допускается приваривать к верхнему поясу сварных балок продольными и поперечными угловыми швами. При этом для поперечных швов необходимо предусматривать мероприятия по снижению концентрации напряжений, указанные в </w:t>
      </w:r>
      <w:hyperlink w:anchor="P9232">
        <w:r>
          <w:rPr>
            <w:color w:val="0000FF"/>
          </w:rPr>
          <w:t>8.168</w:t>
        </w:r>
      </w:hyperlink>
      <w:r>
        <w:t>, а также механическую обработку для получения плавных переходов (радиусом не менее 5 мм) к основному металлу.</w:t>
      </w:r>
    </w:p>
    <w:p w:rsidR="00212513" w:rsidRDefault="00212513">
      <w:pPr>
        <w:pStyle w:val="ConsPlusNormal"/>
        <w:spacing w:before="220"/>
        <w:ind w:firstLine="540"/>
        <w:jc w:val="both"/>
      </w:pPr>
      <w:r>
        <w:t xml:space="preserve">8.170 В конструкциях деталей, изменяющих направление стального каната (отклоняющих устройств, оголовков пилонов и др.) или проволоки в канате (анкерных устройств), а также обжимающих канат (сжимов, хомутов подвесок и т.д.), следует применять желоба криволинейного поперечного сечения со скруглениями у торцов (в месте выхода каната) и укороченными (по сравнению с основанием) прижимными накладками, прокладки из алюминия (в соответствии с </w:t>
      </w:r>
      <w:hyperlink w:anchor="P6097">
        <w:r>
          <w:rPr>
            <w:color w:val="0000FF"/>
          </w:rPr>
          <w:t>8.4</w:t>
        </w:r>
      </w:hyperlink>
      <w:r>
        <w:t>) или другого мягкого материала. При этом, для исключения электрохимической коррозии контактирующие с алюминием стальные канаты и стальные детали указанных выше устройств, должны быть защищены покрытиями из кадмия или цинка толщиной не менее 20 мкм.</w:t>
      </w:r>
    </w:p>
    <w:p w:rsidR="00212513" w:rsidRDefault="00212513">
      <w:pPr>
        <w:pStyle w:val="ConsPlusNormal"/>
        <w:ind w:firstLine="540"/>
        <w:jc w:val="both"/>
      </w:pPr>
    </w:p>
    <w:p w:rsidR="00212513" w:rsidRDefault="00212513">
      <w:pPr>
        <w:pStyle w:val="ConsPlusTitle"/>
        <w:ind w:firstLine="540"/>
        <w:jc w:val="both"/>
        <w:outlineLvl w:val="3"/>
      </w:pPr>
      <w:r>
        <w:t>Конструкция планок и перфорированных листов</w:t>
      </w:r>
    </w:p>
    <w:p w:rsidR="00212513" w:rsidRDefault="00212513">
      <w:pPr>
        <w:pStyle w:val="ConsPlusNormal"/>
        <w:ind w:firstLine="540"/>
        <w:jc w:val="both"/>
      </w:pPr>
    </w:p>
    <w:p w:rsidR="00212513" w:rsidRDefault="00212513">
      <w:pPr>
        <w:pStyle w:val="ConsPlusNormal"/>
        <w:ind w:firstLine="540"/>
        <w:jc w:val="both"/>
      </w:pPr>
      <w:r>
        <w:t>8.171 В сварных коробчатых и Н-образных элементах главных ферм железнодорожных мостов допускается применение только сплошных или перфорированных горизонтальных листов. Соединительные планки допускаются только в элементах связей железнодорожных мостов и в тех элементах автодорожных, городских и пешеходных мостов, для которых при расчете по выносливости соединение планок с основными частями сечения возможно осуществить без специальных мер по снижению концентрации напряжений.</w:t>
      </w:r>
    </w:p>
    <w:p w:rsidR="00212513" w:rsidRDefault="00212513">
      <w:pPr>
        <w:pStyle w:val="ConsPlusNormal"/>
        <w:spacing w:before="220"/>
        <w:ind w:firstLine="540"/>
        <w:jc w:val="both"/>
      </w:pPr>
      <w:r>
        <w:t xml:space="preserve">8.172 Длина промежуточных планок </w:t>
      </w:r>
      <w:r>
        <w:rPr>
          <w:noProof/>
          <w:position w:val="-8"/>
        </w:rPr>
        <w:drawing>
          <wp:inline distT="0" distB="0" distL="0" distR="0">
            <wp:extent cx="137160" cy="250825"/>
            <wp:effectExtent l="0" t="0" r="0" b="0"/>
            <wp:docPr id="1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0"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должна быть не менее 0,75a, где a - расстояние между рядами болтов (или сварными швами) прикрепления планки.</w:t>
      </w:r>
    </w:p>
    <w:p w:rsidR="00212513" w:rsidRDefault="00212513">
      <w:pPr>
        <w:pStyle w:val="ConsPlusNormal"/>
        <w:spacing w:before="220"/>
        <w:ind w:firstLine="540"/>
        <w:jc w:val="both"/>
      </w:pPr>
      <w:r>
        <w:t>Концевые планки в сжатых и сжато-растянутых элементах следует делать в 1,7 раза длиннее промежуточных, а в растянутых - в 1,3 раза. Концевые планки следует располагать возможно ближе к узлу.</w:t>
      </w:r>
    </w:p>
    <w:p w:rsidR="00212513" w:rsidRDefault="00212513">
      <w:pPr>
        <w:pStyle w:val="ConsPlusNormal"/>
        <w:spacing w:before="220"/>
        <w:ind w:firstLine="540"/>
        <w:jc w:val="both"/>
      </w:pPr>
      <w:r>
        <w:t>В сварных коробчатых и Н-образных элементах допускается выход перфорации на торец элемента.</w:t>
      </w:r>
    </w:p>
    <w:p w:rsidR="00212513" w:rsidRDefault="00212513">
      <w:pPr>
        <w:pStyle w:val="ConsPlusNormal"/>
        <w:spacing w:before="220"/>
        <w:ind w:firstLine="540"/>
        <w:jc w:val="both"/>
      </w:pPr>
      <w:r>
        <w:t>8.173 Число болтов для прикрепления одной стороны планки должно быть не менее:</w:t>
      </w:r>
    </w:p>
    <w:p w:rsidR="00212513" w:rsidRDefault="00212513">
      <w:pPr>
        <w:pStyle w:val="ConsPlusNormal"/>
        <w:spacing w:before="220"/>
        <w:ind w:firstLine="540"/>
        <w:jc w:val="both"/>
      </w:pPr>
      <w:r>
        <w:t>для элементов, работающих на временную нагрузку, - 4;</w:t>
      </w:r>
    </w:p>
    <w:p w:rsidR="00212513" w:rsidRDefault="00212513">
      <w:pPr>
        <w:pStyle w:val="ConsPlusNormal"/>
        <w:spacing w:before="220"/>
        <w:ind w:firstLine="540"/>
        <w:jc w:val="both"/>
      </w:pPr>
      <w:r>
        <w:t>для элементов, работающих только на постоянную нагрузку, - 3;</w:t>
      </w:r>
    </w:p>
    <w:p w:rsidR="00212513" w:rsidRDefault="00212513">
      <w:pPr>
        <w:pStyle w:val="ConsPlusNormal"/>
        <w:spacing w:before="220"/>
        <w:ind w:firstLine="540"/>
        <w:jc w:val="both"/>
      </w:pPr>
      <w:r>
        <w:t>для нерабочих элементов - 2.</w:t>
      </w:r>
    </w:p>
    <w:p w:rsidR="00212513" w:rsidRDefault="00212513">
      <w:pPr>
        <w:pStyle w:val="ConsPlusNormal"/>
        <w:ind w:firstLine="540"/>
        <w:jc w:val="both"/>
      </w:pPr>
    </w:p>
    <w:p w:rsidR="00212513" w:rsidRDefault="00212513">
      <w:pPr>
        <w:pStyle w:val="ConsPlusTitle"/>
        <w:ind w:firstLine="540"/>
        <w:jc w:val="both"/>
        <w:outlineLvl w:val="3"/>
      </w:pPr>
      <w:r>
        <w:t>Особенности конструкции болтосварных пролетных строений</w:t>
      </w:r>
    </w:p>
    <w:p w:rsidR="00212513" w:rsidRDefault="00212513">
      <w:pPr>
        <w:pStyle w:val="ConsPlusNormal"/>
        <w:ind w:firstLine="540"/>
        <w:jc w:val="both"/>
      </w:pPr>
    </w:p>
    <w:p w:rsidR="00212513" w:rsidRDefault="00212513">
      <w:pPr>
        <w:pStyle w:val="ConsPlusNormal"/>
        <w:ind w:firstLine="540"/>
        <w:jc w:val="both"/>
      </w:pPr>
      <w:r>
        <w:t>8.174 В болтосварных пролетных строениях северного исполнения допускается применение стыковых, а в конструкциях обычного исполнения - также и накладных компенсаторов ослабления сечения элементов болтовыми отверстиями.</w:t>
      </w:r>
    </w:p>
    <w:p w:rsidR="00212513" w:rsidRDefault="00212513">
      <w:pPr>
        <w:pStyle w:val="ConsPlusNormal"/>
        <w:spacing w:before="220"/>
        <w:ind w:firstLine="540"/>
        <w:jc w:val="both"/>
      </w:pPr>
      <w:r>
        <w:lastRenderedPageBreak/>
        <w:t xml:space="preserve">На концах стыковых компенсаторов ослабления (у стыка) необходимо предусматривать скосы и механическую обработку соединений в соответствии с указаниями </w:t>
      </w:r>
      <w:hyperlink w:anchor="P9030">
        <w:r>
          <w:rPr>
            <w:color w:val="0000FF"/>
          </w:rPr>
          <w:t>8.128</w:t>
        </w:r>
      </w:hyperlink>
      <w:r>
        <w:t xml:space="preserve"> и </w:t>
      </w:r>
      <w:hyperlink w:anchor="P9225">
        <w:r>
          <w:rPr>
            <w:color w:val="0000FF"/>
          </w:rPr>
          <w:t>8.164</w:t>
        </w:r>
      </w:hyperlink>
      <w:r>
        <w:t>.</w:t>
      </w:r>
    </w:p>
    <w:p w:rsidR="00212513" w:rsidRDefault="00212513">
      <w:pPr>
        <w:pStyle w:val="ConsPlusNormal"/>
        <w:spacing w:before="220"/>
        <w:ind w:firstLine="540"/>
        <w:jc w:val="both"/>
      </w:pPr>
      <w:r>
        <w:t>В накладных компенсаторах ослабления следует предусматривать скосы по ширине с уклоном 1:1. Для косых швов следует принимать отношение катетов 1:2. Для обеспечения плавных (радиусом не менее 5 мм) переходов от шва к основному металлу необходимо предусматривать обработку косых швов на конце компенсатора. Косые швы и участки продольных швов до первого ряда отверстий должны обеспечивать полное прикрепление площади компенсатора. Ширина компенсатора из стали марок 15ХСНД и 10ХСНД должна быть соответственно не более 44 и 38 его толщин. При большей требуемой ширине необходимо применять два раздельных компенсатора, расстояние между их швами должно быть не менее 60 мм. Расстояние от центра болта до края компенсатора должно быть не менее удвоенного диаметра отверстия под болт.</w:t>
      </w:r>
    </w:p>
    <w:p w:rsidR="00212513" w:rsidRDefault="00212513">
      <w:pPr>
        <w:pStyle w:val="ConsPlusNormal"/>
        <w:jc w:val="both"/>
      </w:pPr>
      <w:r>
        <w:t xml:space="preserve">(в ред. </w:t>
      </w:r>
      <w:hyperlink r:id="rId2201">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t>8.175 Для решетчатых болтосварных ферм автодорожных, городских и пешеходных пролетных строений обычного исполнения допускается применение узловых фасонок-вставок и фасонок-приставок, соединяемых с поясами с помощью сварки.</w:t>
      </w:r>
    </w:p>
    <w:p w:rsidR="00212513" w:rsidRDefault="00212513">
      <w:pPr>
        <w:pStyle w:val="ConsPlusNormal"/>
        <w:spacing w:before="220"/>
        <w:ind w:firstLine="540"/>
        <w:jc w:val="both"/>
      </w:pPr>
      <w:r>
        <w:t xml:space="preserve">Узловые фасонки-вставки и фасонки-приставки должны иметь плавные переходы (радиусом не менее 250 мм) к поясу. Расстояние от стыка пояса и фасонки-вставки до начала выкружки в ней должно приниматься не менее 70 мм. Для стыковых швов фасонок-вставок растянутого и сжато-растянутого поясов должна предусматриваться механическая обработка, отвечающая требованиям </w:t>
      </w:r>
      <w:hyperlink w:anchor="P9225">
        <w:r>
          <w:rPr>
            <w:color w:val="0000FF"/>
          </w:rPr>
          <w:t>8.164</w:t>
        </w:r>
      </w:hyperlink>
      <w:r>
        <w:t>.</w:t>
      </w:r>
    </w:p>
    <w:p w:rsidR="00212513" w:rsidRDefault="00212513">
      <w:pPr>
        <w:pStyle w:val="ConsPlusNormal"/>
        <w:spacing w:before="220"/>
        <w:ind w:firstLine="540"/>
        <w:jc w:val="both"/>
      </w:pPr>
      <w:r>
        <w:t>У фасонок-приставок надлежит предусматривать полное проплавление всей толщины и возможность его неразрушающего контроля, а также механическую обработку концов фасонок.</w:t>
      </w:r>
    </w:p>
    <w:p w:rsidR="00212513" w:rsidRDefault="00212513">
      <w:pPr>
        <w:pStyle w:val="ConsPlusNormal"/>
        <w:spacing w:before="220"/>
        <w:ind w:firstLine="540"/>
        <w:jc w:val="both"/>
      </w:pPr>
      <w:r>
        <w:t>8.176 Поясные листы продольных и поперечных балок могут иметь длину, меньшую, чем длина стенки, при условии устройства на углах стенки прямоугольных скругленных (радиусом 15 мм) вырезов, вертикальная грань которых совпадает с торцом обрываемого поясного листа.</w:t>
      </w:r>
    </w:p>
    <w:p w:rsidR="00212513" w:rsidRDefault="00212513">
      <w:pPr>
        <w:pStyle w:val="ConsPlusNormal"/>
        <w:spacing w:before="220"/>
        <w:ind w:firstLine="540"/>
        <w:jc w:val="both"/>
      </w:pPr>
      <w:r>
        <w:t xml:space="preserve">Подобные вырезы должны иметь также фасонки, привариваемые к верхнему поясу поперечной балки для увеличения высоты ее стенки в зоне прикрепления к главным фермам. Конструкция сопряжения конца фасонки с поясом поперечной балки должна отвечать требованиям </w:t>
      </w:r>
      <w:hyperlink w:anchor="P9226">
        <w:r>
          <w:rPr>
            <w:color w:val="0000FF"/>
          </w:rPr>
          <w:t>8.165</w:t>
        </w:r>
      </w:hyperlink>
      <w:r>
        <w:t xml:space="preserve"> и </w:t>
      </w:r>
      <w:hyperlink w:anchor="P9228">
        <w:r>
          <w:rPr>
            <w:color w:val="0000FF"/>
          </w:rPr>
          <w:t>8.166</w:t>
        </w:r>
      </w:hyperlink>
      <w:r>
        <w:t>.</w:t>
      </w:r>
    </w:p>
    <w:p w:rsidR="00212513" w:rsidRDefault="00212513">
      <w:pPr>
        <w:pStyle w:val="ConsPlusNormal"/>
        <w:spacing w:before="220"/>
        <w:ind w:firstLine="540"/>
        <w:jc w:val="both"/>
      </w:pPr>
      <w:r>
        <w:t>При необходимости устройства обрыва пояса двутавровой балки без образования вышеуказанного выреза в стенке необходимо предусматривать следующее: пояс к месту обрыва должен быть скошен по толщине до 6 мм с уклоном 1:8 и по ширине до 32 мм с уклоном 1:4; прикрепление к стенке балки на протяжении скошенной части пояса должно иметь полное проплавление. Следует предусматривать также механическую обработку конца пояса для получения плавных переходов (радиусом не менее 60 мм) к стенке (в обеих плоскостях).</w:t>
      </w:r>
    </w:p>
    <w:p w:rsidR="00212513" w:rsidRDefault="00212513">
      <w:pPr>
        <w:pStyle w:val="ConsPlusNormal"/>
        <w:ind w:firstLine="540"/>
        <w:jc w:val="both"/>
      </w:pPr>
    </w:p>
    <w:p w:rsidR="00212513" w:rsidRDefault="00212513">
      <w:pPr>
        <w:pStyle w:val="ConsPlusTitle"/>
        <w:ind w:firstLine="540"/>
        <w:jc w:val="both"/>
        <w:outlineLvl w:val="3"/>
      </w:pPr>
      <w:r>
        <w:t>Конструкция ортотропной плиты проезжей части</w:t>
      </w:r>
    </w:p>
    <w:p w:rsidR="00212513" w:rsidRDefault="00212513">
      <w:pPr>
        <w:pStyle w:val="ConsPlusNormal"/>
        <w:ind w:firstLine="540"/>
        <w:jc w:val="both"/>
      </w:pPr>
    </w:p>
    <w:p w:rsidR="00212513" w:rsidRDefault="00212513">
      <w:pPr>
        <w:pStyle w:val="ConsPlusNormal"/>
        <w:ind w:firstLine="540"/>
        <w:jc w:val="both"/>
      </w:pPr>
      <w:r>
        <w:t>8.177 В автодорожных, городских пешеходных и железнодорожных мостах конструкцию ортотропной плиты следует предусматривать одноярусной, состоящей из листа настила, подкрепленного продольными и поперечными ребрами, вертикальные стенки которых приварены к листу настила двусторонними угловыми швами.</w:t>
      </w:r>
    </w:p>
    <w:p w:rsidR="00212513" w:rsidRDefault="00212513">
      <w:pPr>
        <w:pStyle w:val="ConsPlusNormal"/>
        <w:spacing w:before="220"/>
        <w:ind w:firstLine="540"/>
        <w:jc w:val="both"/>
      </w:pPr>
      <w:r>
        <w:t>Монтажные блоки ортотропной плиты должны быть ориентированы длинной стороной вдоль оси моста.</w:t>
      </w:r>
    </w:p>
    <w:p w:rsidR="00212513" w:rsidRDefault="00212513">
      <w:pPr>
        <w:pStyle w:val="ConsPlusNormal"/>
        <w:spacing w:before="220"/>
        <w:ind w:firstLine="540"/>
        <w:jc w:val="both"/>
      </w:pPr>
      <w:r>
        <w:t xml:space="preserve">8.178 Толщину листа настила в автодорожных и городских мостах </w:t>
      </w:r>
      <w:r>
        <w:rPr>
          <w:noProof/>
          <w:position w:val="-8"/>
        </w:rPr>
        <w:drawing>
          <wp:inline distT="0" distB="0" distL="0" distR="0">
            <wp:extent cx="251460" cy="251460"/>
            <wp:effectExtent l="0" t="0" r="0" b="0"/>
            <wp:docPr id="1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2"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следует принимать не </w:t>
      </w:r>
      <w:r>
        <w:lastRenderedPageBreak/>
        <w:t>менее 14 мм и не менее значения, полученного по формуле</w:t>
      </w:r>
    </w:p>
    <w:p w:rsidR="00212513" w:rsidRDefault="00212513">
      <w:pPr>
        <w:pStyle w:val="ConsPlusNormal"/>
        <w:ind w:firstLine="540"/>
        <w:jc w:val="both"/>
      </w:pPr>
    </w:p>
    <w:p w:rsidR="00212513" w:rsidRDefault="00212513">
      <w:pPr>
        <w:pStyle w:val="ConsPlusNormal"/>
        <w:jc w:val="center"/>
      </w:pPr>
      <w:r>
        <w:rPr>
          <w:noProof/>
          <w:position w:val="-27"/>
        </w:rPr>
        <w:drawing>
          <wp:inline distT="0" distB="0" distL="0" distR="0">
            <wp:extent cx="880110" cy="494030"/>
            <wp:effectExtent l="0" t="0" r="0" b="0"/>
            <wp:docPr id="1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3" cstate="print">
                      <a:extLst>
                        <a:ext uri="{28A0092B-C50C-407E-A947-70E740481C1C}">
                          <a14:useLocalDpi xmlns:a14="http://schemas.microsoft.com/office/drawing/2010/main" val="0"/>
                        </a:ext>
                      </a:extLst>
                    </a:blip>
                    <a:srcRect/>
                    <a:stretch>
                      <a:fillRect/>
                    </a:stretch>
                  </pic:blipFill>
                  <pic:spPr bwMode="auto">
                    <a:xfrm>
                      <a:off x="0" y="0"/>
                      <a:ext cx="880110" cy="494030"/>
                    </a:xfrm>
                    <a:prstGeom prst="rect">
                      <a:avLst/>
                    </a:prstGeom>
                    <a:noFill/>
                    <a:ln>
                      <a:noFill/>
                    </a:ln>
                  </pic:spPr>
                </pic:pic>
              </a:graphicData>
            </a:graphic>
          </wp:inline>
        </w:drawing>
      </w:r>
      <w:r>
        <w:t>, (8.115)</w:t>
      </w:r>
    </w:p>
    <w:p w:rsidR="00212513" w:rsidRDefault="00212513">
      <w:pPr>
        <w:pStyle w:val="ConsPlusNormal"/>
        <w:ind w:firstLine="540"/>
        <w:jc w:val="both"/>
      </w:pPr>
    </w:p>
    <w:p w:rsidR="00212513" w:rsidRDefault="00212513">
      <w:pPr>
        <w:pStyle w:val="ConsPlusNormal"/>
        <w:ind w:firstLine="540"/>
        <w:jc w:val="both"/>
      </w:pPr>
      <w:r>
        <w:t xml:space="preserve">где </w:t>
      </w:r>
      <w:r>
        <w:rPr>
          <w:i/>
        </w:rPr>
        <w:t>a</w:t>
      </w:r>
      <w:r>
        <w:t xml:space="preserve"> - расстояние между продольными ребрами;</w:t>
      </w:r>
    </w:p>
    <w:p w:rsidR="00212513" w:rsidRDefault="00212513">
      <w:pPr>
        <w:pStyle w:val="ConsPlusNormal"/>
        <w:spacing w:before="220"/>
        <w:ind w:firstLine="540"/>
        <w:jc w:val="both"/>
      </w:pPr>
      <w:r>
        <w:rPr>
          <w:i/>
        </w:rPr>
        <w:t>P</w:t>
      </w:r>
      <w:r>
        <w:t xml:space="preserve"> - максимальное давление на лист от сосредоточенной нагрузки, определяемое с учетом его распределения конструкцией полотна;</w:t>
      </w:r>
    </w:p>
    <w:p w:rsidR="00212513" w:rsidRDefault="00212513">
      <w:pPr>
        <w:pStyle w:val="ConsPlusNormal"/>
        <w:spacing w:before="220"/>
        <w:ind w:firstLine="540"/>
        <w:jc w:val="both"/>
      </w:pPr>
      <w:r>
        <w:rPr>
          <w:noProof/>
          <w:position w:val="-6"/>
        </w:rPr>
        <w:drawing>
          <wp:inline distT="0" distB="0" distL="0" distR="0">
            <wp:extent cx="535940" cy="220980"/>
            <wp:effectExtent l="0" t="0" r="0" b="0"/>
            <wp:docPr id="1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4" cstate="print">
                      <a:extLst>
                        <a:ext uri="{28A0092B-C50C-407E-A947-70E740481C1C}">
                          <a14:useLocalDpi xmlns:a14="http://schemas.microsoft.com/office/drawing/2010/main" val="0"/>
                        </a:ext>
                      </a:extLst>
                    </a:blip>
                    <a:srcRect/>
                    <a:stretch>
                      <a:fillRect/>
                    </a:stretch>
                  </pic:blipFill>
                  <pic:spPr bwMode="auto">
                    <a:xfrm>
                      <a:off x="0" y="0"/>
                      <a:ext cx="535940" cy="220980"/>
                    </a:xfrm>
                    <a:prstGeom prst="rect">
                      <a:avLst/>
                    </a:prstGeom>
                    <a:noFill/>
                    <a:ln>
                      <a:noFill/>
                    </a:ln>
                  </pic:spPr>
                </pic:pic>
              </a:graphicData>
            </a:graphic>
          </wp:inline>
        </w:drawing>
      </w:r>
      <w:r>
        <w:t xml:space="preserve"> или 15,6 - значения коэффициента, принимаемые для конструкций ортотропных плит с продольными ребрами соответственно полосового и фасонного профилей.</w:t>
      </w:r>
    </w:p>
    <w:p w:rsidR="00212513" w:rsidRDefault="00212513">
      <w:pPr>
        <w:pStyle w:val="ConsPlusNormal"/>
        <w:spacing w:before="220"/>
        <w:ind w:firstLine="540"/>
        <w:jc w:val="both"/>
      </w:pPr>
      <w:r>
        <w:t xml:space="preserve">В железнодорожных мостах толщину листа настила в </w:t>
      </w:r>
      <w:r>
        <w:rPr>
          <w:noProof/>
          <w:position w:val="-8"/>
        </w:rPr>
        <w:drawing>
          <wp:inline distT="0" distB="0" distL="0" distR="0">
            <wp:extent cx="251460" cy="251460"/>
            <wp:effectExtent l="0" t="0" r="0" b="0"/>
            <wp:docPr id="1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2"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следует принимать не менее 14 мм, а расстояние между осями стенок продольных ребер не более 400 мм.</w:t>
      </w:r>
    </w:p>
    <w:p w:rsidR="00212513" w:rsidRDefault="00212513">
      <w:pPr>
        <w:pStyle w:val="ConsPlusNormal"/>
        <w:spacing w:before="220"/>
        <w:ind w:firstLine="540"/>
        <w:jc w:val="both"/>
      </w:pPr>
      <w:r>
        <w:t>8.179 В автодорожных, городских и пешеходных мостах монтажные стыки листа настила верхней ортотропной плиты следует предусматривать сварными.</w:t>
      </w:r>
    </w:p>
    <w:p w:rsidR="00212513" w:rsidRDefault="00212513">
      <w:pPr>
        <w:pStyle w:val="ConsPlusNormal"/>
        <w:jc w:val="both"/>
      </w:pPr>
      <w:r>
        <w:t xml:space="preserve">(в ред. </w:t>
      </w:r>
      <w:hyperlink r:id="rId2205">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t>В нижних ортотропных плитах при обосновании расчетом допускается применение монтажных продольных сварных стыков горизонтального листа с неполным заполнением разделки.</w:t>
      </w:r>
    </w:p>
    <w:p w:rsidR="00212513" w:rsidRDefault="00212513">
      <w:pPr>
        <w:pStyle w:val="ConsPlusNormal"/>
        <w:spacing w:before="220"/>
        <w:ind w:firstLine="540"/>
        <w:jc w:val="both"/>
      </w:pPr>
      <w:r>
        <w:t>В железнодорожных мостах монтажные стыки листа настила верхней или нижней ортотропной плиты следует, как правило, предусматривать на фрикционных соединениях, допускаются монтажные продольные сварные стыки горизонтального листа.</w:t>
      </w:r>
    </w:p>
    <w:p w:rsidR="00212513" w:rsidRDefault="00212513">
      <w:pPr>
        <w:pStyle w:val="ConsPlusNormal"/>
        <w:spacing w:before="220"/>
        <w:ind w:firstLine="540"/>
        <w:jc w:val="both"/>
      </w:pPr>
      <w:r>
        <w:t>Присоединение листов настила ортотропных плит проезжей части к поясам главных балок или ферм сварными швами внахлестку не допускается.</w:t>
      </w:r>
    </w:p>
    <w:p w:rsidR="00212513" w:rsidRDefault="00212513">
      <w:pPr>
        <w:pStyle w:val="ConsPlusNormal"/>
        <w:spacing w:before="220"/>
        <w:ind w:firstLine="540"/>
        <w:jc w:val="both"/>
      </w:pPr>
      <w:r>
        <w:t>8.180 В ортотропных плитах следует применять продольные ребра трапецеидально-коробчатого и открытого сечений из полос. Допускаются ребра из неравнобоких уголков и сварных тавров.</w:t>
      </w:r>
    </w:p>
    <w:p w:rsidR="00212513" w:rsidRDefault="00212513">
      <w:pPr>
        <w:pStyle w:val="ConsPlusNormal"/>
        <w:spacing w:before="220"/>
        <w:ind w:firstLine="540"/>
        <w:jc w:val="both"/>
      </w:pPr>
      <w:r>
        <w:t>8.181 Монтажные стыки продольных ребер верхних ортотропных плит следует предусматривать, как правило, фрикционными с выполнением отверстий в заводских условиях.</w:t>
      </w:r>
    </w:p>
    <w:p w:rsidR="00212513" w:rsidRDefault="00212513">
      <w:pPr>
        <w:pStyle w:val="ConsPlusNormal"/>
        <w:spacing w:before="220"/>
        <w:ind w:firstLine="540"/>
        <w:jc w:val="both"/>
      </w:pPr>
      <w:r>
        <w:t>Монтажные стыки продольных ребер нижних ортотропных плит в автодорожных, городских и пешеходных мостах следует предусматривать, как правило, сварными.</w:t>
      </w:r>
    </w:p>
    <w:p w:rsidR="00212513" w:rsidRDefault="00212513">
      <w:pPr>
        <w:pStyle w:val="ConsPlusNormal"/>
        <w:spacing w:before="220"/>
        <w:ind w:firstLine="540"/>
        <w:jc w:val="both"/>
      </w:pPr>
      <w:r>
        <w:t>Применение сварных монтажных стыков ортотропной плиты с не приваренными к листу настила вставками продольных ребер и обрывом ребер в зоне монтажного стыка блоков пролетного строения не допускается.</w:t>
      </w:r>
    </w:p>
    <w:p w:rsidR="00212513" w:rsidRDefault="00212513">
      <w:pPr>
        <w:pStyle w:val="ConsPlusNormal"/>
        <w:spacing w:before="220"/>
        <w:ind w:firstLine="540"/>
        <w:jc w:val="both"/>
      </w:pPr>
      <w:r>
        <w:t>Монтажные стыки продольных ребер нижних ортотропных плит в железнодорожных мостах следует предусматривать, как правило, фрикционными.</w:t>
      </w:r>
    </w:p>
    <w:p w:rsidR="00212513" w:rsidRDefault="00212513">
      <w:pPr>
        <w:pStyle w:val="ConsPlusNormal"/>
        <w:spacing w:before="220"/>
        <w:ind w:firstLine="540"/>
        <w:jc w:val="both"/>
      </w:pPr>
      <w:r>
        <w:t>8.182 Монтажные стыки стенки и пояса поперечных ребер таврового сечения следует, как правило, предусматривать фрикционными на высокопрочных болтах с выполнением отверстий на полный диаметр в заводских условиях.</w:t>
      </w:r>
    </w:p>
    <w:p w:rsidR="00212513" w:rsidRDefault="00212513">
      <w:pPr>
        <w:pStyle w:val="ConsPlusNormal"/>
        <w:spacing w:before="220"/>
        <w:ind w:firstLine="540"/>
        <w:jc w:val="both"/>
      </w:pPr>
      <w:r>
        <w:t xml:space="preserve">8.183 В автодорожных, городских и пешеходных мостах продольные ребра следует пропускать сквозь вырезы в стенках поперечных балок и приваривать на заводе угловыми швами к вертикальным граням выреза в стенке или в опорной пластинке (приложение Ц, </w:t>
      </w:r>
      <w:hyperlink w:anchor="P16732">
        <w:r>
          <w:rPr>
            <w:color w:val="0000FF"/>
          </w:rPr>
          <w:t xml:space="preserve">таблица Ц.1, </w:t>
        </w:r>
        <w:r>
          <w:rPr>
            <w:color w:val="0000FF"/>
          </w:rPr>
          <w:lastRenderedPageBreak/>
          <w:t>пункт 17, а</w:t>
        </w:r>
      </w:hyperlink>
      <w:r>
        <w:t xml:space="preserve">, </w:t>
      </w:r>
      <w:hyperlink w:anchor="P16735">
        <w:r>
          <w:rPr>
            <w:color w:val="0000FF"/>
          </w:rPr>
          <w:t>б</w:t>
        </w:r>
      </w:hyperlink>
      <w:r>
        <w:t>). Приварка торцов продольных ребер к стенкам поперечных ребер в автодорожных, городских, пешеходных мостах не допускается.</w:t>
      </w:r>
    </w:p>
    <w:p w:rsidR="00212513" w:rsidRDefault="00212513">
      <w:pPr>
        <w:pStyle w:val="ConsPlusNormal"/>
        <w:jc w:val="both"/>
      </w:pPr>
      <w:r>
        <w:t xml:space="preserve">(п. 8.183 в ред. </w:t>
      </w:r>
      <w:hyperlink r:id="rId2206">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8.184 Прикрепление поперечных ребер верхней ортотропной плиты к ребрам жесткости или специальным фасонкам главных балок, как правило, следует осуществлять фрикционным на высокопрочных болтах.</w:t>
      </w:r>
    </w:p>
    <w:p w:rsidR="00212513" w:rsidRDefault="00212513">
      <w:pPr>
        <w:pStyle w:val="ConsPlusNormal"/>
        <w:spacing w:before="220"/>
        <w:ind w:firstLine="540"/>
        <w:jc w:val="both"/>
      </w:pPr>
      <w:r>
        <w:t xml:space="preserve">Абзац исключен с 30.06.2021. - </w:t>
      </w:r>
      <w:hyperlink r:id="rId2207">
        <w:r>
          <w:rPr>
            <w:color w:val="0000FF"/>
          </w:rPr>
          <w:t>Изменение N 3</w:t>
        </w:r>
      </w:hyperlink>
      <w:r>
        <w:t>, утв. Приказом Минстроя России от 29.12.2020 N 891/пр.</w:t>
      </w:r>
    </w:p>
    <w:p w:rsidR="00212513" w:rsidRDefault="00212513">
      <w:pPr>
        <w:pStyle w:val="ConsPlusNormal"/>
        <w:spacing w:before="220"/>
        <w:ind w:firstLine="540"/>
        <w:jc w:val="both"/>
      </w:pPr>
      <w:r>
        <w:t>8.185 В железнодорожных пролетных строениях допускается применять двухъярусные ортотропные плиты с прикреплением продольных ребер к верхней полке поперечных балок на фрикционных высокопрочных болтах и установкой поперечных ребер жесткости на стенку поперечной балки по оси стенки продольного ребра.</w:t>
      </w:r>
    </w:p>
    <w:p w:rsidR="00212513" w:rsidRDefault="00212513">
      <w:pPr>
        <w:pStyle w:val="ConsPlusNormal"/>
        <w:ind w:firstLine="540"/>
        <w:jc w:val="both"/>
      </w:pPr>
    </w:p>
    <w:p w:rsidR="00212513" w:rsidRDefault="00212513">
      <w:pPr>
        <w:pStyle w:val="ConsPlusTitle"/>
        <w:ind w:firstLine="540"/>
        <w:jc w:val="both"/>
        <w:outlineLvl w:val="3"/>
      </w:pPr>
      <w:r>
        <w:t>Конструкция опорных частей</w:t>
      </w:r>
    </w:p>
    <w:p w:rsidR="00212513" w:rsidRDefault="00212513">
      <w:pPr>
        <w:pStyle w:val="ConsPlusNormal"/>
        <w:ind w:firstLine="540"/>
        <w:jc w:val="both"/>
      </w:pPr>
    </w:p>
    <w:p w:rsidR="00212513" w:rsidRDefault="00212513">
      <w:pPr>
        <w:pStyle w:val="ConsPlusNormal"/>
        <w:ind w:firstLine="540"/>
        <w:jc w:val="both"/>
      </w:pPr>
      <w:r>
        <w:t>8.186 Балочные пролетные строения пролетом свыше 25 м должны иметь подвижные опорные части.</w:t>
      </w:r>
    </w:p>
    <w:p w:rsidR="00212513" w:rsidRDefault="00212513">
      <w:pPr>
        <w:pStyle w:val="ConsPlusNormal"/>
        <w:spacing w:before="220"/>
        <w:ind w:firstLine="540"/>
        <w:jc w:val="both"/>
      </w:pPr>
      <w:r>
        <w:t>Допускается (в сейсмических районах - рекомендуется) применение опорных частей с использованием полимерных материалов.</w:t>
      </w:r>
    </w:p>
    <w:p w:rsidR="00212513" w:rsidRDefault="00212513">
      <w:pPr>
        <w:pStyle w:val="ConsPlusNormal"/>
        <w:spacing w:before="220"/>
        <w:ind w:firstLine="540"/>
        <w:jc w:val="both"/>
      </w:pPr>
      <w:r>
        <w:t>8.187 При расстоянии между центрами опорных частей, расположенных на одной опоре, свыше 15 м следует обеспечивать поперечную подвижность одной из опорных частей путем устройства всесторонне подвижных опорных частей или другим способом.</w:t>
      </w:r>
    </w:p>
    <w:p w:rsidR="00212513" w:rsidRDefault="00212513">
      <w:pPr>
        <w:pStyle w:val="ConsPlusNormal"/>
        <w:spacing w:before="220"/>
        <w:ind w:firstLine="540"/>
        <w:jc w:val="both"/>
      </w:pPr>
      <w:r>
        <w:t>В железнодорожных мостах нижние балансиры неподвижных опорных частей и плиты подвижных опорных частей должны быть закреплены на опорах анкерными болтами.</w:t>
      </w:r>
    </w:p>
    <w:p w:rsidR="00212513" w:rsidRDefault="00212513">
      <w:pPr>
        <w:pStyle w:val="ConsPlusNormal"/>
        <w:spacing w:before="220"/>
        <w:ind w:firstLine="540"/>
        <w:jc w:val="both"/>
      </w:pPr>
      <w:r>
        <w:t xml:space="preserve">В случае несоблюдения условий, содержащихся в </w:t>
      </w:r>
      <w:hyperlink w:anchor="P443">
        <w:r>
          <w:rPr>
            <w:color w:val="0000FF"/>
          </w:rPr>
          <w:t>5.40</w:t>
        </w:r>
      </w:hyperlink>
      <w:r>
        <w:t>, концы пролетных строений должны быть прикреплены к опорам анкерными болтами по расчету.</w:t>
      </w:r>
    </w:p>
    <w:p w:rsidR="00212513" w:rsidRDefault="00212513">
      <w:pPr>
        <w:pStyle w:val="ConsPlusNormal"/>
        <w:spacing w:before="220"/>
        <w:ind w:firstLine="540"/>
        <w:jc w:val="both"/>
      </w:pPr>
      <w:r>
        <w:t>8.188 Конструкция опорных частей должна обеспечивать распределение нагрузки по всей площади опирания узла пролетного строения и опирания на опору.</w:t>
      </w:r>
    </w:p>
    <w:p w:rsidR="00212513" w:rsidRDefault="00212513">
      <w:pPr>
        <w:pStyle w:val="ConsPlusNormal"/>
        <w:spacing w:before="220"/>
        <w:ind w:firstLine="540"/>
        <w:jc w:val="both"/>
      </w:pPr>
      <w:r>
        <w:t>8.189 Опорные части следует применять, как правило, литые с шарнирами свободного касания, стаканные, шаровые, сегментные. Допускается применять подвижные однокатковые опорные части из высокопрочной стали, а также с наплавкой на поверхность катка и плиты из материалов высокой твердости и других типов при соответствующем обосновании.</w:t>
      </w:r>
    </w:p>
    <w:p w:rsidR="00212513" w:rsidRDefault="00212513">
      <w:pPr>
        <w:pStyle w:val="ConsPlusNormal"/>
        <w:spacing w:before="220"/>
        <w:ind w:firstLine="540"/>
        <w:jc w:val="both"/>
      </w:pPr>
      <w:r>
        <w:t>В подвижных опорных частях не должно быть более четырех катков.</w:t>
      </w:r>
    </w:p>
    <w:p w:rsidR="00212513" w:rsidRDefault="00212513">
      <w:pPr>
        <w:pStyle w:val="ConsPlusNormal"/>
        <w:spacing w:before="220"/>
        <w:ind w:firstLine="540"/>
        <w:jc w:val="both"/>
      </w:pPr>
      <w:r>
        <w:t>Катки должны быть соединены между собой боковыми стяжками, гарантирующими совместность перемещения и не препятствующими перекатке и очистке, и оснащены устройствами от боковых сдвигов и продольного угона, а также защищены футлярами. При применении цилиндрических катков, имеющих две плоские грани, должна быть исключена возможность их опрокидывания и заклинивания.</w:t>
      </w:r>
    </w:p>
    <w:p w:rsidR="00212513" w:rsidRDefault="00212513">
      <w:pPr>
        <w:pStyle w:val="ConsPlusNormal"/>
        <w:ind w:firstLine="540"/>
        <w:jc w:val="both"/>
      </w:pPr>
    </w:p>
    <w:p w:rsidR="00212513" w:rsidRDefault="00212513">
      <w:pPr>
        <w:pStyle w:val="ConsPlusTitle"/>
        <w:ind w:firstLine="540"/>
        <w:jc w:val="both"/>
        <w:outlineLvl w:val="1"/>
      </w:pPr>
      <w:bookmarkStart w:id="403" w:name="P9301"/>
      <w:bookmarkEnd w:id="403"/>
      <w:r>
        <w:t>9 Сталежелезобетонные конструкции</w:t>
      </w:r>
    </w:p>
    <w:p w:rsidR="00212513" w:rsidRDefault="00212513">
      <w:pPr>
        <w:pStyle w:val="ConsPlusNormal"/>
        <w:ind w:firstLine="540"/>
        <w:jc w:val="both"/>
      </w:pPr>
    </w:p>
    <w:p w:rsidR="00212513" w:rsidRDefault="00212513">
      <w:pPr>
        <w:pStyle w:val="ConsPlusTitle"/>
        <w:ind w:firstLine="540"/>
        <w:jc w:val="both"/>
        <w:outlineLvl w:val="2"/>
      </w:pPr>
      <w:r>
        <w:t>Общие положения</w:t>
      </w:r>
    </w:p>
    <w:p w:rsidR="00212513" w:rsidRDefault="00212513">
      <w:pPr>
        <w:pStyle w:val="ConsPlusNormal"/>
        <w:ind w:firstLine="540"/>
        <w:jc w:val="both"/>
      </w:pPr>
    </w:p>
    <w:p w:rsidR="00212513" w:rsidRDefault="00212513">
      <w:pPr>
        <w:pStyle w:val="ConsPlusNormal"/>
        <w:ind w:firstLine="540"/>
        <w:jc w:val="both"/>
      </w:pPr>
      <w:r>
        <w:t xml:space="preserve">9.1 Нормы настоящего раздела необходимо соблюдать для пролетных строений, в которых железобетонная плита объединена со стальными главными балками, фермами или балками </w:t>
      </w:r>
      <w:r>
        <w:lastRenderedPageBreak/>
        <w:t>проезжей части для совместной работы.</w:t>
      </w:r>
    </w:p>
    <w:p w:rsidR="00212513" w:rsidRDefault="00212513">
      <w:pPr>
        <w:pStyle w:val="ConsPlusNormal"/>
        <w:spacing w:before="220"/>
        <w:ind w:firstLine="540"/>
        <w:jc w:val="both"/>
      </w:pPr>
      <w:r>
        <w:t>9.2 Для железнодорожных мостов следует применять сталежелезобетонные пролетные строения со сплошной стенкой балочно-разрезной системы с ездой поверху.</w:t>
      </w:r>
    </w:p>
    <w:p w:rsidR="00212513" w:rsidRDefault="00212513">
      <w:pPr>
        <w:pStyle w:val="ConsPlusNormal"/>
        <w:spacing w:before="220"/>
        <w:ind w:firstLine="540"/>
        <w:jc w:val="both"/>
      </w:pPr>
      <w:r>
        <w:t xml:space="preserve">9.3 Требования к качеству и расчетные характеристики материалов сталежелезобетонных конструкций, а также не предусмотренные в настоящем разделе указания по расчету и конструированию следует принимать согласно </w:t>
      </w:r>
      <w:hyperlink w:anchor="P90">
        <w:r>
          <w:rPr>
            <w:color w:val="0000FF"/>
          </w:rPr>
          <w:t>разделам 5</w:t>
        </w:r>
      </w:hyperlink>
      <w:r>
        <w:t xml:space="preserve"> - </w:t>
      </w:r>
      <w:hyperlink w:anchor="P6057">
        <w:r>
          <w:rPr>
            <w:color w:val="0000FF"/>
          </w:rPr>
          <w:t>8</w:t>
        </w:r>
      </w:hyperlink>
      <w:r>
        <w:t>.</w:t>
      </w:r>
    </w:p>
    <w:p w:rsidR="00212513" w:rsidRDefault="00212513">
      <w:pPr>
        <w:pStyle w:val="ConsPlusNormal"/>
        <w:ind w:firstLine="540"/>
        <w:jc w:val="both"/>
      </w:pPr>
    </w:p>
    <w:p w:rsidR="00212513" w:rsidRDefault="00212513">
      <w:pPr>
        <w:pStyle w:val="ConsPlusTitle"/>
        <w:ind w:firstLine="540"/>
        <w:jc w:val="both"/>
        <w:outlineLvl w:val="2"/>
      </w:pPr>
      <w:r>
        <w:t>Расчеты</w:t>
      </w:r>
    </w:p>
    <w:p w:rsidR="00212513" w:rsidRDefault="00212513">
      <w:pPr>
        <w:pStyle w:val="ConsPlusNormal"/>
        <w:ind w:firstLine="540"/>
        <w:jc w:val="both"/>
      </w:pPr>
    </w:p>
    <w:p w:rsidR="00212513" w:rsidRDefault="00212513">
      <w:pPr>
        <w:pStyle w:val="ConsPlusTitle"/>
        <w:ind w:firstLine="540"/>
        <w:jc w:val="both"/>
        <w:outlineLvl w:val="3"/>
      </w:pPr>
      <w:r>
        <w:t>Основные положения</w:t>
      </w:r>
    </w:p>
    <w:p w:rsidR="00212513" w:rsidRDefault="00212513">
      <w:pPr>
        <w:pStyle w:val="ConsPlusNormal"/>
        <w:ind w:firstLine="540"/>
        <w:jc w:val="both"/>
      </w:pPr>
    </w:p>
    <w:p w:rsidR="00212513" w:rsidRDefault="00212513">
      <w:pPr>
        <w:pStyle w:val="ConsPlusNormal"/>
        <w:ind w:firstLine="540"/>
        <w:jc w:val="both"/>
      </w:pPr>
      <w:r>
        <w:t xml:space="preserve">9.4 Расчеты следует выполнять в соответствии с </w:t>
      </w:r>
      <w:hyperlink r:id="rId2208">
        <w:r>
          <w:rPr>
            <w:color w:val="0000FF"/>
          </w:rPr>
          <w:t>СП 159.1325800</w:t>
        </w:r>
      </w:hyperlink>
      <w:r>
        <w:t>, как правило, исходя из гипотезы плоских сечений, без учета податливости швов объединения стальной и железобетонной частей. Податливость швов объединения необходимо учитывать для балок пролетом менее 8 м и решетчатых ферм с панелями менее 8 м.</w:t>
      </w:r>
    </w:p>
    <w:p w:rsidR="00212513" w:rsidRDefault="00212513">
      <w:pPr>
        <w:pStyle w:val="ConsPlusNormal"/>
        <w:jc w:val="both"/>
      </w:pPr>
      <w:r>
        <w:t xml:space="preserve">(в ред. </w:t>
      </w:r>
      <w:hyperlink r:id="rId2209">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bookmarkStart w:id="404" w:name="P9315"/>
      <w:bookmarkEnd w:id="404"/>
      <w:r>
        <w:t xml:space="preserve">9.5 В расчетах сталежелезобетонных конструкций следует применять коэффициент приведения </w:t>
      </w:r>
      <w:r>
        <w:rPr>
          <w:noProof/>
          <w:position w:val="-8"/>
        </w:rPr>
        <w:drawing>
          <wp:inline distT="0" distB="0" distL="0" distR="0">
            <wp:extent cx="815975" cy="251460"/>
            <wp:effectExtent l="0" t="0" r="0" b="0"/>
            <wp:docPr id="1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0" cstate="print">
                      <a:extLst>
                        <a:ext uri="{28A0092B-C50C-407E-A947-70E740481C1C}">
                          <a14:useLocalDpi xmlns:a14="http://schemas.microsoft.com/office/drawing/2010/main" val="0"/>
                        </a:ext>
                      </a:extLst>
                    </a:blip>
                    <a:srcRect/>
                    <a:stretch>
                      <a:fillRect/>
                    </a:stretch>
                  </pic:blipFill>
                  <pic:spPr bwMode="auto">
                    <a:xfrm>
                      <a:off x="0" y="0"/>
                      <a:ext cx="815975" cy="251460"/>
                    </a:xfrm>
                    <a:prstGeom prst="rect">
                      <a:avLst/>
                    </a:prstGeom>
                    <a:noFill/>
                    <a:ln>
                      <a:noFill/>
                    </a:ln>
                  </pic:spPr>
                </pic:pic>
              </a:graphicData>
            </a:graphic>
          </wp:inline>
        </w:drawing>
      </w:r>
      <w:r>
        <w:t xml:space="preserve">, здесь </w:t>
      </w:r>
      <w:r>
        <w:rPr>
          <w:noProof/>
          <w:position w:val="-9"/>
        </w:rPr>
        <w:drawing>
          <wp:inline distT="0" distB="0" distL="0" distR="0">
            <wp:extent cx="1424940" cy="262890"/>
            <wp:effectExtent l="0" t="0" r="0" b="0"/>
            <wp:docPr id="1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1" cstate="print">
                      <a:extLst>
                        <a:ext uri="{28A0092B-C50C-407E-A947-70E740481C1C}">
                          <a14:useLocalDpi xmlns:a14="http://schemas.microsoft.com/office/drawing/2010/main" val="0"/>
                        </a:ext>
                      </a:extLst>
                    </a:blip>
                    <a:srcRect/>
                    <a:stretch>
                      <a:fillRect/>
                    </a:stretch>
                  </pic:blipFill>
                  <pic:spPr bwMode="auto">
                    <a:xfrm>
                      <a:off x="0" y="0"/>
                      <a:ext cx="1424940" cy="262890"/>
                    </a:xfrm>
                    <a:prstGeom prst="rect">
                      <a:avLst/>
                    </a:prstGeom>
                    <a:noFill/>
                    <a:ln>
                      <a:noFill/>
                    </a:ln>
                  </pic:spPr>
                </pic:pic>
              </a:graphicData>
            </a:graphic>
          </wp:inline>
        </w:drawing>
      </w:r>
      <w:r>
        <w:t xml:space="preserve"> - модуль упругости конструкционного металла стальной части, </w:t>
      </w:r>
      <w:r>
        <w:rPr>
          <w:noProof/>
          <w:position w:val="-8"/>
        </w:rPr>
        <w:drawing>
          <wp:inline distT="0" distB="0" distL="0" distR="0">
            <wp:extent cx="209550" cy="251460"/>
            <wp:effectExtent l="0" t="0" r="0" b="0"/>
            <wp:docPr id="1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модуль упругости бетона при сжатии и растяжении, определяемый по </w:t>
      </w:r>
      <w:hyperlink w:anchor="P2674">
        <w:r>
          <w:rPr>
            <w:color w:val="0000FF"/>
          </w:rPr>
          <w:t>7.32</w:t>
        </w:r>
      </w:hyperlink>
      <w:r>
        <w:t>.</w:t>
      </w:r>
    </w:p>
    <w:p w:rsidR="00212513" w:rsidRDefault="00212513">
      <w:pPr>
        <w:pStyle w:val="ConsPlusNormal"/>
        <w:spacing w:before="220"/>
        <w:ind w:firstLine="540"/>
        <w:jc w:val="both"/>
      </w:pPr>
      <w:bookmarkStart w:id="405" w:name="P9316"/>
      <w:bookmarkEnd w:id="405"/>
      <w:r>
        <w:t xml:space="preserve">9.6 Состав расчетов и виды учитываемых в них неупругих деформаций следует принимать по </w:t>
      </w:r>
      <w:hyperlink w:anchor="P9318">
        <w:r>
          <w:rPr>
            <w:color w:val="0000FF"/>
          </w:rPr>
          <w:t>таблице 9.1</w:t>
        </w:r>
      </w:hyperlink>
      <w:r>
        <w:t xml:space="preserve">. Как правило, неупругие деформации надлежит также учитывать при определении усилий в элементах статически неопределимых систем. Допускается приближенный учет неупругих деформаций бетона с использованием при этом условных модулей упругости по </w:t>
      </w:r>
      <w:hyperlink w:anchor="P17263">
        <w:r>
          <w:rPr>
            <w:color w:val="0000FF"/>
          </w:rPr>
          <w:t>приложениям Щ</w:t>
        </w:r>
      </w:hyperlink>
      <w:r>
        <w:t xml:space="preserve"> и </w:t>
      </w:r>
      <w:hyperlink w:anchor="P17390">
        <w:r>
          <w:rPr>
            <w:color w:val="0000FF"/>
          </w:rPr>
          <w:t>Э</w:t>
        </w:r>
      </w:hyperlink>
      <w:r>
        <w:t>.</w:t>
      </w:r>
    </w:p>
    <w:p w:rsidR="00212513" w:rsidRDefault="00212513">
      <w:pPr>
        <w:pStyle w:val="ConsPlusNormal"/>
        <w:ind w:firstLine="540"/>
        <w:jc w:val="both"/>
      </w:pPr>
    </w:p>
    <w:p w:rsidR="00212513" w:rsidRDefault="00212513">
      <w:pPr>
        <w:pStyle w:val="ConsPlusNormal"/>
        <w:jc w:val="right"/>
      </w:pPr>
      <w:bookmarkStart w:id="406" w:name="P9318"/>
      <w:bookmarkEnd w:id="406"/>
      <w:r>
        <w:t>Таблица 9.1</w:t>
      </w:r>
    </w:p>
    <w:p w:rsidR="00212513" w:rsidRDefault="00212513">
      <w:pPr>
        <w:pStyle w:val="ConsPlusNormal"/>
        <w:ind w:firstLine="540"/>
        <w:jc w:val="both"/>
      </w:pPr>
    </w:p>
    <w:p w:rsidR="00212513" w:rsidRDefault="00212513">
      <w:pPr>
        <w:pStyle w:val="ConsPlusNormal"/>
        <w:sectPr w:rsidR="00212513">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1609"/>
        <w:gridCol w:w="1609"/>
        <w:gridCol w:w="1609"/>
        <w:gridCol w:w="1417"/>
        <w:gridCol w:w="1304"/>
        <w:gridCol w:w="1609"/>
        <w:gridCol w:w="2098"/>
      </w:tblGrid>
      <w:tr w:rsidR="00212513">
        <w:tc>
          <w:tcPr>
            <w:tcW w:w="2324" w:type="dxa"/>
            <w:vMerge w:val="restart"/>
            <w:tcBorders>
              <w:top w:val="single" w:sz="4" w:space="0" w:color="auto"/>
              <w:bottom w:val="single" w:sz="4" w:space="0" w:color="auto"/>
            </w:tcBorders>
            <w:vAlign w:val="center"/>
          </w:tcPr>
          <w:p w:rsidR="00212513" w:rsidRDefault="00212513">
            <w:pPr>
              <w:pStyle w:val="ConsPlusNormal"/>
              <w:jc w:val="center"/>
            </w:pPr>
            <w:r>
              <w:lastRenderedPageBreak/>
              <w:t>Нагрузки и воздействия</w:t>
            </w:r>
          </w:p>
        </w:tc>
        <w:tc>
          <w:tcPr>
            <w:tcW w:w="11255" w:type="dxa"/>
            <w:gridSpan w:val="7"/>
            <w:tcBorders>
              <w:top w:val="single" w:sz="4" w:space="0" w:color="auto"/>
              <w:bottom w:val="single" w:sz="4" w:space="0" w:color="auto"/>
            </w:tcBorders>
            <w:vAlign w:val="center"/>
          </w:tcPr>
          <w:p w:rsidR="00212513" w:rsidRDefault="00212513">
            <w:pPr>
              <w:pStyle w:val="ConsPlusNormal"/>
              <w:jc w:val="center"/>
            </w:pPr>
            <w:r>
              <w:t>Неупругие деформации, учитываемые в расчетах</w:t>
            </w:r>
          </w:p>
        </w:tc>
      </w:tr>
      <w:tr w:rsidR="00212513">
        <w:tc>
          <w:tcPr>
            <w:tcW w:w="2324" w:type="dxa"/>
            <w:vMerge/>
            <w:tcBorders>
              <w:top w:val="single" w:sz="4" w:space="0" w:color="auto"/>
              <w:bottom w:val="single" w:sz="4" w:space="0" w:color="auto"/>
            </w:tcBorders>
          </w:tcPr>
          <w:p w:rsidR="00212513" w:rsidRDefault="00212513">
            <w:pPr>
              <w:pStyle w:val="ConsPlusNormal"/>
            </w:pPr>
          </w:p>
        </w:tc>
        <w:tc>
          <w:tcPr>
            <w:tcW w:w="1609" w:type="dxa"/>
            <w:vMerge w:val="restart"/>
            <w:tcBorders>
              <w:top w:val="single" w:sz="4" w:space="0" w:color="auto"/>
              <w:bottom w:val="single" w:sz="4" w:space="0" w:color="auto"/>
            </w:tcBorders>
            <w:vAlign w:val="center"/>
          </w:tcPr>
          <w:p w:rsidR="00212513" w:rsidRDefault="00212513">
            <w:pPr>
              <w:pStyle w:val="ConsPlusNormal"/>
              <w:jc w:val="center"/>
            </w:pPr>
            <w:r>
              <w:t>по прочности и устойчивости</w:t>
            </w:r>
          </w:p>
        </w:tc>
        <w:tc>
          <w:tcPr>
            <w:tcW w:w="3218" w:type="dxa"/>
            <w:gridSpan w:val="2"/>
            <w:tcBorders>
              <w:top w:val="single" w:sz="4" w:space="0" w:color="auto"/>
              <w:bottom w:val="single" w:sz="4" w:space="0" w:color="auto"/>
            </w:tcBorders>
            <w:vAlign w:val="center"/>
          </w:tcPr>
          <w:p w:rsidR="00212513" w:rsidRDefault="00212513">
            <w:pPr>
              <w:pStyle w:val="ConsPlusNormal"/>
              <w:jc w:val="center"/>
            </w:pPr>
            <w:r>
              <w:t>на выносливость</w:t>
            </w:r>
          </w:p>
        </w:tc>
        <w:tc>
          <w:tcPr>
            <w:tcW w:w="2721" w:type="dxa"/>
            <w:gridSpan w:val="2"/>
            <w:tcBorders>
              <w:top w:val="single" w:sz="4" w:space="0" w:color="auto"/>
              <w:bottom w:val="single" w:sz="4" w:space="0" w:color="auto"/>
            </w:tcBorders>
            <w:vAlign w:val="center"/>
          </w:tcPr>
          <w:p w:rsidR="00212513" w:rsidRDefault="00212513">
            <w:pPr>
              <w:pStyle w:val="ConsPlusNormal"/>
              <w:jc w:val="center"/>
            </w:pPr>
            <w:r>
              <w:t>по трещиностойкости</w:t>
            </w:r>
          </w:p>
        </w:tc>
        <w:tc>
          <w:tcPr>
            <w:tcW w:w="1609" w:type="dxa"/>
            <w:vMerge w:val="restart"/>
            <w:tcBorders>
              <w:top w:val="single" w:sz="4" w:space="0" w:color="auto"/>
              <w:bottom w:val="single" w:sz="4" w:space="0" w:color="auto"/>
            </w:tcBorders>
            <w:vAlign w:val="center"/>
          </w:tcPr>
          <w:p w:rsidR="00212513" w:rsidRDefault="00212513">
            <w:pPr>
              <w:pStyle w:val="ConsPlusNormal"/>
              <w:jc w:val="center"/>
            </w:pPr>
            <w:r>
              <w:t>вертикальной и горизонтальной жесткости</w:t>
            </w:r>
          </w:p>
        </w:tc>
        <w:tc>
          <w:tcPr>
            <w:tcW w:w="2098" w:type="dxa"/>
            <w:vMerge w:val="restart"/>
            <w:tcBorders>
              <w:top w:val="single" w:sz="4" w:space="0" w:color="auto"/>
              <w:bottom w:val="single" w:sz="4" w:space="0" w:color="auto"/>
            </w:tcBorders>
            <w:vAlign w:val="center"/>
          </w:tcPr>
          <w:p w:rsidR="00212513" w:rsidRDefault="00212513">
            <w:pPr>
              <w:pStyle w:val="ConsPlusNormal"/>
              <w:jc w:val="center"/>
            </w:pPr>
            <w:r>
              <w:t>ординат строительного подъема (для конструкций со сборной плитой)</w:t>
            </w:r>
          </w:p>
        </w:tc>
      </w:tr>
      <w:tr w:rsidR="00212513">
        <w:tc>
          <w:tcPr>
            <w:tcW w:w="2324" w:type="dxa"/>
            <w:vMerge/>
            <w:tcBorders>
              <w:top w:val="single" w:sz="4" w:space="0" w:color="auto"/>
              <w:bottom w:val="single" w:sz="4" w:space="0" w:color="auto"/>
            </w:tcBorders>
          </w:tcPr>
          <w:p w:rsidR="00212513" w:rsidRDefault="00212513">
            <w:pPr>
              <w:pStyle w:val="ConsPlusNormal"/>
            </w:pPr>
          </w:p>
        </w:tc>
        <w:tc>
          <w:tcPr>
            <w:tcW w:w="1609" w:type="dxa"/>
            <w:vMerge/>
            <w:tcBorders>
              <w:top w:val="single" w:sz="4" w:space="0" w:color="auto"/>
              <w:bottom w:val="single" w:sz="4" w:space="0" w:color="auto"/>
            </w:tcBorders>
          </w:tcPr>
          <w:p w:rsidR="00212513" w:rsidRDefault="00212513">
            <w:pPr>
              <w:pStyle w:val="ConsPlusNormal"/>
            </w:pPr>
          </w:p>
        </w:tc>
        <w:tc>
          <w:tcPr>
            <w:tcW w:w="1609" w:type="dxa"/>
            <w:tcBorders>
              <w:top w:val="single" w:sz="4" w:space="0" w:color="auto"/>
              <w:bottom w:val="single" w:sz="4" w:space="0" w:color="auto"/>
            </w:tcBorders>
            <w:vAlign w:val="center"/>
          </w:tcPr>
          <w:p w:rsidR="00212513" w:rsidRDefault="00212513">
            <w:pPr>
              <w:pStyle w:val="ConsPlusNormal"/>
              <w:jc w:val="center"/>
            </w:pPr>
            <w:r>
              <w:t>статически определимых пролетных строений железнодорожных мостов</w:t>
            </w:r>
          </w:p>
        </w:tc>
        <w:tc>
          <w:tcPr>
            <w:tcW w:w="1609" w:type="dxa"/>
            <w:tcBorders>
              <w:top w:val="single" w:sz="4" w:space="0" w:color="auto"/>
              <w:bottom w:val="single" w:sz="4" w:space="0" w:color="auto"/>
            </w:tcBorders>
            <w:vAlign w:val="center"/>
          </w:tcPr>
          <w:p w:rsidR="00212513" w:rsidRDefault="00212513">
            <w:pPr>
              <w:pStyle w:val="ConsPlusNormal"/>
              <w:jc w:val="center"/>
            </w:pPr>
            <w:r>
              <w:t>пролетных строений автодорожных, городских и пешеходных мостов</w:t>
            </w:r>
          </w:p>
        </w:tc>
        <w:tc>
          <w:tcPr>
            <w:tcW w:w="1417" w:type="dxa"/>
            <w:tcBorders>
              <w:top w:val="single" w:sz="4" w:space="0" w:color="auto"/>
              <w:bottom w:val="single" w:sz="4" w:space="0" w:color="auto"/>
            </w:tcBorders>
            <w:vAlign w:val="center"/>
          </w:tcPr>
          <w:p w:rsidR="00212513" w:rsidRDefault="00212513">
            <w:pPr>
              <w:pStyle w:val="ConsPlusNormal"/>
              <w:jc w:val="center"/>
            </w:pPr>
            <w:r>
              <w:t>по образованию трещин</w:t>
            </w:r>
          </w:p>
        </w:tc>
        <w:tc>
          <w:tcPr>
            <w:tcW w:w="1304" w:type="dxa"/>
            <w:tcBorders>
              <w:top w:val="single" w:sz="4" w:space="0" w:color="auto"/>
              <w:bottom w:val="single" w:sz="4" w:space="0" w:color="auto"/>
            </w:tcBorders>
            <w:vAlign w:val="center"/>
          </w:tcPr>
          <w:p w:rsidR="00212513" w:rsidRDefault="00212513">
            <w:pPr>
              <w:pStyle w:val="ConsPlusNormal"/>
              <w:jc w:val="center"/>
            </w:pPr>
            <w:r>
              <w:t>по раскрытию трещин</w:t>
            </w:r>
          </w:p>
        </w:tc>
        <w:tc>
          <w:tcPr>
            <w:tcW w:w="1609" w:type="dxa"/>
            <w:vMerge/>
            <w:tcBorders>
              <w:top w:val="single" w:sz="4" w:space="0" w:color="auto"/>
              <w:bottom w:val="single" w:sz="4" w:space="0" w:color="auto"/>
            </w:tcBorders>
          </w:tcPr>
          <w:p w:rsidR="00212513" w:rsidRDefault="00212513">
            <w:pPr>
              <w:pStyle w:val="ConsPlusNormal"/>
            </w:pPr>
          </w:p>
        </w:tc>
        <w:tc>
          <w:tcPr>
            <w:tcW w:w="2098" w:type="dxa"/>
            <w:vMerge/>
            <w:tcBorders>
              <w:top w:val="single" w:sz="4" w:space="0" w:color="auto"/>
              <w:bottom w:val="single" w:sz="4" w:space="0" w:color="auto"/>
            </w:tcBorders>
          </w:tcPr>
          <w:p w:rsidR="00212513" w:rsidRDefault="00212513">
            <w:pPr>
              <w:pStyle w:val="ConsPlusNormal"/>
            </w:pPr>
          </w:p>
        </w:tc>
      </w:tr>
      <w:tr w:rsidR="00212513">
        <w:tblPrEx>
          <w:tblBorders>
            <w:insideH w:val="none" w:sz="0" w:space="0" w:color="auto"/>
          </w:tblBorders>
        </w:tblPrEx>
        <w:tc>
          <w:tcPr>
            <w:tcW w:w="2324" w:type="dxa"/>
            <w:tcBorders>
              <w:top w:val="single" w:sz="4" w:space="0" w:color="auto"/>
              <w:bottom w:val="nil"/>
            </w:tcBorders>
          </w:tcPr>
          <w:p w:rsidR="00212513" w:rsidRDefault="00212513">
            <w:pPr>
              <w:pStyle w:val="ConsPlusNormal"/>
            </w:pPr>
            <w:r>
              <w:t>Постоянные</w:t>
            </w:r>
          </w:p>
        </w:tc>
        <w:tc>
          <w:tcPr>
            <w:tcW w:w="1609" w:type="dxa"/>
            <w:tcBorders>
              <w:top w:val="single" w:sz="4" w:space="0" w:color="auto"/>
              <w:bottom w:val="nil"/>
            </w:tcBorders>
          </w:tcPr>
          <w:p w:rsidR="00212513" w:rsidRDefault="00212513">
            <w:pPr>
              <w:pStyle w:val="ConsPlusNormal"/>
              <w:jc w:val="center"/>
            </w:pPr>
            <w:r>
              <w:rPr>
                <w:i/>
              </w:rPr>
              <w:t>kr</w:t>
            </w:r>
            <w:r>
              <w:t xml:space="preserve">, </w:t>
            </w:r>
            <w:r>
              <w:rPr>
                <w:i/>
              </w:rPr>
              <w:t>us</w:t>
            </w:r>
          </w:p>
        </w:tc>
        <w:tc>
          <w:tcPr>
            <w:tcW w:w="1609" w:type="dxa"/>
            <w:tcBorders>
              <w:top w:val="single" w:sz="4" w:space="0" w:color="auto"/>
              <w:bottom w:val="nil"/>
            </w:tcBorders>
          </w:tcPr>
          <w:p w:rsidR="00212513" w:rsidRDefault="00212513">
            <w:pPr>
              <w:pStyle w:val="ConsPlusNormal"/>
              <w:jc w:val="center"/>
            </w:pPr>
            <w:r>
              <w:rPr>
                <w:i/>
              </w:rPr>
              <w:t>vkr</w:t>
            </w:r>
            <w:r>
              <w:t xml:space="preserve">, </w:t>
            </w:r>
            <w:r>
              <w:rPr>
                <w:i/>
              </w:rPr>
              <w:t>us</w:t>
            </w:r>
          </w:p>
        </w:tc>
        <w:tc>
          <w:tcPr>
            <w:tcW w:w="1609" w:type="dxa"/>
            <w:tcBorders>
              <w:top w:val="single" w:sz="4" w:space="0" w:color="auto"/>
              <w:bottom w:val="nil"/>
            </w:tcBorders>
          </w:tcPr>
          <w:p w:rsidR="00212513" w:rsidRDefault="00212513">
            <w:pPr>
              <w:pStyle w:val="ConsPlusNormal"/>
              <w:jc w:val="center"/>
            </w:pPr>
            <w:r>
              <w:rPr>
                <w:i/>
              </w:rPr>
              <w:t>kr</w:t>
            </w:r>
            <w:r>
              <w:t xml:space="preserve">, </w:t>
            </w:r>
            <w:r>
              <w:rPr>
                <w:i/>
              </w:rPr>
              <w:t>us</w:t>
            </w:r>
          </w:p>
        </w:tc>
        <w:tc>
          <w:tcPr>
            <w:tcW w:w="1417" w:type="dxa"/>
            <w:tcBorders>
              <w:top w:val="single" w:sz="4" w:space="0" w:color="auto"/>
              <w:bottom w:val="nil"/>
            </w:tcBorders>
          </w:tcPr>
          <w:p w:rsidR="00212513" w:rsidRDefault="00212513">
            <w:pPr>
              <w:pStyle w:val="ConsPlusNormal"/>
              <w:jc w:val="center"/>
            </w:pPr>
            <w:r>
              <w:rPr>
                <w:i/>
              </w:rPr>
              <w:t>kr</w:t>
            </w:r>
            <w:r>
              <w:t xml:space="preserve">, </w:t>
            </w:r>
            <w:r>
              <w:rPr>
                <w:i/>
              </w:rPr>
              <w:t>us</w:t>
            </w:r>
          </w:p>
        </w:tc>
        <w:tc>
          <w:tcPr>
            <w:tcW w:w="1304" w:type="dxa"/>
            <w:tcBorders>
              <w:top w:val="single" w:sz="4" w:space="0" w:color="auto"/>
              <w:bottom w:val="nil"/>
            </w:tcBorders>
          </w:tcPr>
          <w:p w:rsidR="00212513" w:rsidRDefault="00212513">
            <w:pPr>
              <w:pStyle w:val="ConsPlusNormal"/>
              <w:jc w:val="center"/>
            </w:pPr>
            <w:r>
              <w:rPr>
                <w:i/>
              </w:rPr>
              <w:t>kr</w:t>
            </w:r>
            <w:r>
              <w:t xml:space="preserve">, </w:t>
            </w:r>
            <w:r>
              <w:rPr>
                <w:i/>
              </w:rPr>
              <w:t>us</w:t>
            </w:r>
          </w:p>
        </w:tc>
        <w:tc>
          <w:tcPr>
            <w:tcW w:w="1609" w:type="dxa"/>
            <w:tcBorders>
              <w:top w:val="single" w:sz="4" w:space="0" w:color="auto"/>
              <w:bottom w:val="nil"/>
            </w:tcBorders>
          </w:tcPr>
          <w:p w:rsidR="00212513" w:rsidRDefault="00212513">
            <w:pPr>
              <w:pStyle w:val="ConsPlusNormal"/>
              <w:jc w:val="center"/>
            </w:pPr>
            <w:r>
              <w:t>-</w:t>
            </w:r>
          </w:p>
        </w:tc>
        <w:tc>
          <w:tcPr>
            <w:tcW w:w="2098" w:type="dxa"/>
            <w:tcBorders>
              <w:top w:val="single" w:sz="4" w:space="0" w:color="auto"/>
              <w:bottom w:val="nil"/>
            </w:tcBorders>
          </w:tcPr>
          <w:p w:rsidR="00212513" w:rsidRDefault="00212513">
            <w:pPr>
              <w:pStyle w:val="ConsPlusNormal"/>
              <w:jc w:val="center"/>
            </w:pPr>
            <w:r>
              <w:rPr>
                <w:i/>
              </w:rPr>
              <w:t>kr</w:t>
            </w:r>
            <w:r>
              <w:t xml:space="preserve">, </w:t>
            </w:r>
            <w:r>
              <w:rPr>
                <w:i/>
              </w:rPr>
              <w:t>us</w:t>
            </w:r>
            <w:r>
              <w:t xml:space="preserve">, </w:t>
            </w:r>
            <w:r>
              <w:rPr>
                <w:i/>
              </w:rPr>
              <w:t>cr</w:t>
            </w:r>
          </w:p>
        </w:tc>
      </w:tr>
      <w:tr w:rsidR="00212513">
        <w:tblPrEx>
          <w:tblBorders>
            <w:insideH w:val="none" w:sz="0" w:space="0" w:color="auto"/>
          </w:tblBorders>
        </w:tblPrEx>
        <w:tc>
          <w:tcPr>
            <w:tcW w:w="13579" w:type="dxa"/>
            <w:gridSpan w:val="8"/>
            <w:tcBorders>
              <w:top w:val="nil"/>
              <w:bottom w:val="nil"/>
            </w:tcBorders>
          </w:tcPr>
          <w:p w:rsidR="00212513" w:rsidRDefault="00212513">
            <w:pPr>
              <w:pStyle w:val="ConsPlusNormal"/>
              <w:jc w:val="both"/>
            </w:pPr>
            <w:r>
              <w:t xml:space="preserve">(в ред. </w:t>
            </w:r>
            <w:hyperlink r:id="rId2213">
              <w:r>
                <w:rPr>
                  <w:color w:val="0000FF"/>
                </w:rPr>
                <w:t>Изменения N 1</w:t>
              </w:r>
            </w:hyperlink>
            <w:r>
              <w:t>, утв. Приказом Минстроя России от 03.12.2016 N 879/пр)</w:t>
            </w:r>
          </w:p>
        </w:tc>
      </w:tr>
      <w:tr w:rsidR="00212513">
        <w:tblPrEx>
          <w:tblBorders>
            <w:insideH w:val="none" w:sz="0" w:space="0" w:color="auto"/>
          </w:tblBorders>
        </w:tblPrEx>
        <w:tc>
          <w:tcPr>
            <w:tcW w:w="2324" w:type="dxa"/>
            <w:tcBorders>
              <w:top w:val="nil"/>
              <w:bottom w:val="nil"/>
            </w:tcBorders>
          </w:tcPr>
          <w:p w:rsidR="00212513" w:rsidRDefault="00212513">
            <w:pPr>
              <w:pStyle w:val="ConsPlusNormal"/>
            </w:pPr>
            <w:r>
              <w:t>Временные вертикальные</w:t>
            </w:r>
          </w:p>
        </w:tc>
        <w:tc>
          <w:tcPr>
            <w:tcW w:w="1609" w:type="dxa"/>
            <w:tcBorders>
              <w:top w:val="nil"/>
              <w:bottom w:val="nil"/>
            </w:tcBorders>
          </w:tcPr>
          <w:p w:rsidR="00212513" w:rsidRDefault="00212513">
            <w:pPr>
              <w:pStyle w:val="ConsPlusNormal"/>
              <w:jc w:val="center"/>
            </w:pPr>
            <w:r>
              <w:rPr>
                <w:i/>
              </w:rPr>
              <w:t>cr</w:t>
            </w:r>
            <w:r>
              <w:t xml:space="preserve">, </w:t>
            </w:r>
            <w:r>
              <w:rPr>
                <w:i/>
              </w:rPr>
              <w:t>pl</w:t>
            </w:r>
          </w:p>
        </w:tc>
        <w:tc>
          <w:tcPr>
            <w:tcW w:w="1609" w:type="dxa"/>
            <w:tcBorders>
              <w:top w:val="nil"/>
              <w:bottom w:val="nil"/>
            </w:tcBorders>
          </w:tcPr>
          <w:p w:rsidR="00212513" w:rsidRDefault="00212513">
            <w:pPr>
              <w:pStyle w:val="ConsPlusNormal"/>
              <w:jc w:val="center"/>
            </w:pPr>
            <w:r>
              <w:rPr>
                <w:i/>
              </w:rPr>
              <w:t>vkr</w:t>
            </w:r>
            <w:r>
              <w:t xml:space="preserve">, </w:t>
            </w:r>
            <w:r>
              <w:rPr>
                <w:i/>
              </w:rPr>
              <w:t>us</w:t>
            </w:r>
          </w:p>
        </w:tc>
        <w:tc>
          <w:tcPr>
            <w:tcW w:w="1609" w:type="dxa"/>
            <w:tcBorders>
              <w:top w:val="nil"/>
              <w:bottom w:val="nil"/>
            </w:tcBorders>
          </w:tcPr>
          <w:p w:rsidR="00212513" w:rsidRDefault="00212513">
            <w:pPr>
              <w:pStyle w:val="ConsPlusNormal"/>
              <w:jc w:val="center"/>
            </w:pPr>
            <w:r>
              <w:rPr>
                <w:i/>
              </w:rPr>
              <w:t>cr</w:t>
            </w:r>
          </w:p>
        </w:tc>
        <w:tc>
          <w:tcPr>
            <w:tcW w:w="1417" w:type="dxa"/>
            <w:tcBorders>
              <w:top w:val="nil"/>
              <w:bottom w:val="nil"/>
            </w:tcBorders>
          </w:tcPr>
          <w:p w:rsidR="00212513" w:rsidRDefault="00212513">
            <w:pPr>
              <w:pStyle w:val="ConsPlusNormal"/>
              <w:jc w:val="center"/>
            </w:pPr>
            <w:r>
              <w:rPr>
                <w:i/>
              </w:rPr>
              <w:t>wud</w:t>
            </w:r>
          </w:p>
        </w:tc>
        <w:tc>
          <w:tcPr>
            <w:tcW w:w="1304" w:type="dxa"/>
            <w:tcBorders>
              <w:top w:val="nil"/>
              <w:bottom w:val="nil"/>
            </w:tcBorders>
          </w:tcPr>
          <w:p w:rsidR="00212513" w:rsidRDefault="00212513">
            <w:pPr>
              <w:pStyle w:val="ConsPlusNormal"/>
              <w:jc w:val="center"/>
            </w:pPr>
            <w:r>
              <w:rPr>
                <w:i/>
              </w:rPr>
              <w:t>cr</w:t>
            </w:r>
          </w:p>
        </w:tc>
        <w:tc>
          <w:tcPr>
            <w:tcW w:w="1609" w:type="dxa"/>
            <w:tcBorders>
              <w:top w:val="nil"/>
              <w:bottom w:val="nil"/>
            </w:tcBorders>
          </w:tcPr>
          <w:p w:rsidR="00212513" w:rsidRDefault="00212513">
            <w:pPr>
              <w:pStyle w:val="ConsPlusNormal"/>
              <w:jc w:val="center"/>
            </w:pPr>
            <w:r>
              <w:rPr>
                <w:i/>
              </w:rPr>
              <w:t>cr</w:t>
            </w:r>
          </w:p>
        </w:tc>
        <w:tc>
          <w:tcPr>
            <w:tcW w:w="2098" w:type="dxa"/>
            <w:tcBorders>
              <w:top w:val="nil"/>
              <w:bottom w:val="nil"/>
            </w:tcBorders>
          </w:tcPr>
          <w:p w:rsidR="00212513" w:rsidRDefault="00212513">
            <w:pPr>
              <w:pStyle w:val="ConsPlusNormal"/>
              <w:jc w:val="center"/>
            </w:pPr>
            <w:r>
              <w:rPr>
                <w:i/>
              </w:rPr>
              <w:t>cr</w:t>
            </w:r>
          </w:p>
        </w:tc>
      </w:tr>
      <w:tr w:rsidR="00212513">
        <w:tblPrEx>
          <w:tblBorders>
            <w:insideH w:val="none" w:sz="0" w:space="0" w:color="auto"/>
          </w:tblBorders>
        </w:tblPrEx>
        <w:tc>
          <w:tcPr>
            <w:tcW w:w="13579" w:type="dxa"/>
            <w:gridSpan w:val="8"/>
            <w:tcBorders>
              <w:top w:val="nil"/>
              <w:bottom w:val="nil"/>
            </w:tcBorders>
          </w:tcPr>
          <w:p w:rsidR="00212513" w:rsidRDefault="00212513">
            <w:pPr>
              <w:pStyle w:val="ConsPlusNormal"/>
              <w:jc w:val="both"/>
            </w:pPr>
            <w:r>
              <w:t xml:space="preserve">(в ред. </w:t>
            </w:r>
            <w:hyperlink r:id="rId2214">
              <w:r>
                <w:rPr>
                  <w:color w:val="0000FF"/>
                </w:rPr>
                <w:t>Изменения N 1</w:t>
              </w:r>
            </w:hyperlink>
            <w:r>
              <w:t>, утв. Приказом Минстроя России от 03.12.2016 N 879/пр)</w:t>
            </w:r>
          </w:p>
        </w:tc>
      </w:tr>
      <w:tr w:rsidR="00212513">
        <w:tblPrEx>
          <w:tblBorders>
            <w:insideH w:val="none" w:sz="0" w:space="0" w:color="auto"/>
          </w:tblBorders>
        </w:tblPrEx>
        <w:tc>
          <w:tcPr>
            <w:tcW w:w="2324" w:type="dxa"/>
            <w:tcBorders>
              <w:top w:val="nil"/>
              <w:bottom w:val="nil"/>
            </w:tcBorders>
          </w:tcPr>
          <w:p w:rsidR="00212513" w:rsidRDefault="00212513">
            <w:pPr>
              <w:pStyle w:val="ConsPlusNormal"/>
            </w:pPr>
            <w:r>
              <w:t>Температурные и усадочные</w:t>
            </w:r>
          </w:p>
        </w:tc>
        <w:tc>
          <w:tcPr>
            <w:tcW w:w="1609" w:type="dxa"/>
            <w:tcBorders>
              <w:top w:val="nil"/>
              <w:bottom w:val="nil"/>
            </w:tcBorders>
          </w:tcPr>
          <w:p w:rsidR="00212513" w:rsidRDefault="00212513">
            <w:pPr>
              <w:pStyle w:val="ConsPlusNormal"/>
              <w:jc w:val="center"/>
            </w:pPr>
            <w:r>
              <w:rPr>
                <w:i/>
              </w:rPr>
              <w:t>cr</w:t>
            </w:r>
            <w:r>
              <w:t xml:space="preserve">, </w:t>
            </w:r>
            <w:r>
              <w:rPr>
                <w:i/>
              </w:rPr>
              <w:t>pl</w:t>
            </w:r>
          </w:p>
        </w:tc>
        <w:tc>
          <w:tcPr>
            <w:tcW w:w="1609" w:type="dxa"/>
            <w:tcBorders>
              <w:top w:val="nil"/>
              <w:bottom w:val="nil"/>
            </w:tcBorders>
          </w:tcPr>
          <w:p w:rsidR="00212513" w:rsidRDefault="00212513">
            <w:pPr>
              <w:pStyle w:val="ConsPlusNormal"/>
              <w:jc w:val="center"/>
            </w:pPr>
            <w:r>
              <w:t>-</w:t>
            </w:r>
          </w:p>
        </w:tc>
        <w:tc>
          <w:tcPr>
            <w:tcW w:w="1609" w:type="dxa"/>
            <w:tcBorders>
              <w:top w:val="nil"/>
              <w:bottom w:val="nil"/>
            </w:tcBorders>
          </w:tcPr>
          <w:p w:rsidR="00212513" w:rsidRDefault="00212513">
            <w:pPr>
              <w:pStyle w:val="ConsPlusNormal"/>
              <w:jc w:val="center"/>
            </w:pPr>
            <w:r>
              <w:t>-</w:t>
            </w:r>
          </w:p>
        </w:tc>
        <w:tc>
          <w:tcPr>
            <w:tcW w:w="1417" w:type="dxa"/>
            <w:tcBorders>
              <w:top w:val="nil"/>
              <w:bottom w:val="nil"/>
            </w:tcBorders>
          </w:tcPr>
          <w:p w:rsidR="00212513" w:rsidRDefault="00212513">
            <w:pPr>
              <w:pStyle w:val="ConsPlusNormal"/>
              <w:jc w:val="center"/>
            </w:pPr>
            <w:r>
              <w:rPr>
                <w:i/>
              </w:rPr>
              <w:t>wud</w:t>
            </w:r>
          </w:p>
        </w:tc>
        <w:tc>
          <w:tcPr>
            <w:tcW w:w="1304" w:type="dxa"/>
            <w:tcBorders>
              <w:top w:val="nil"/>
              <w:bottom w:val="nil"/>
            </w:tcBorders>
          </w:tcPr>
          <w:p w:rsidR="00212513" w:rsidRDefault="00212513">
            <w:pPr>
              <w:pStyle w:val="ConsPlusNormal"/>
              <w:jc w:val="center"/>
            </w:pPr>
            <w:r>
              <w:rPr>
                <w:i/>
              </w:rPr>
              <w:t>cr</w:t>
            </w:r>
          </w:p>
        </w:tc>
        <w:tc>
          <w:tcPr>
            <w:tcW w:w="1609" w:type="dxa"/>
            <w:tcBorders>
              <w:top w:val="nil"/>
              <w:bottom w:val="nil"/>
            </w:tcBorders>
          </w:tcPr>
          <w:p w:rsidR="00212513" w:rsidRDefault="00212513">
            <w:pPr>
              <w:pStyle w:val="ConsPlusNormal"/>
              <w:jc w:val="center"/>
            </w:pPr>
            <w:r>
              <w:t>-</w:t>
            </w:r>
          </w:p>
        </w:tc>
        <w:tc>
          <w:tcPr>
            <w:tcW w:w="2098" w:type="dxa"/>
            <w:tcBorders>
              <w:top w:val="nil"/>
              <w:bottom w:val="nil"/>
            </w:tcBorders>
          </w:tcPr>
          <w:p w:rsidR="00212513" w:rsidRDefault="00212513">
            <w:pPr>
              <w:pStyle w:val="ConsPlusNormal"/>
              <w:jc w:val="center"/>
            </w:pPr>
            <w:r>
              <w:t>-</w:t>
            </w:r>
          </w:p>
        </w:tc>
      </w:tr>
      <w:tr w:rsidR="00212513">
        <w:tblPrEx>
          <w:tblBorders>
            <w:insideH w:val="none" w:sz="0" w:space="0" w:color="auto"/>
          </w:tblBorders>
        </w:tblPrEx>
        <w:tc>
          <w:tcPr>
            <w:tcW w:w="2324" w:type="dxa"/>
            <w:tcBorders>
              <w:top w:val="nil"/>
              <w:bottom w:val="nil"/>
            </w:tcBorders>
          </w:tcPr>
          <w:p w:rsidR="00212513" w:rsidRDefault="00212513">
            <w:pPr>
              <w:pStyle w:val="ConsPlusNormal"/>
            </w:pPr>
            <w:r>
              <w:t>Временные поперечные горизонтальные</w:t>
            </w:r>
          </w:p>
        </w:tc>
        <w:tc>
          <w:tcPr>
            <w:tcW w:w="1609" w:type="dxa"/>
            <w:tcBorders>
              <w:top w:val="nil"/>
              <w:bottom w:val="nil"/>
            </w:tcBorders>
          </w:tcPr>
          <w:p w:rsidR="00212513" w:rsidRDefault="00212513">
            <w:pPr>
              <w:pStyle w:val="ConsPlusNormal"/>
              <w:jc w:val="center"/>
            </w:pPr>
            <w:r>
              <w:rPr>
                <w:i/>
              </w:rPr>
              <w:t>pl</w:t>
            </w:r>
          </w:p>
        </w:tc>
        <w:tc>
          <w:tcPr>
            <w:tcW w:w="1609" w:type="dxa"/>
            <w:tcBorders>
              <w:top w:val="nil"/>
              <w:bottom w:val="nil"/>
            </w:tcBorders>
          </w:tcPr>
          <w:p w:rsidR="00212513" w:rsidRDefault="00212513">
            <w:pPr>
              <w:pStyle w:val="ConsPlusNormal"/>
              <w:jc w:val="center"/>
            </w:pPr>
            <w:r>
              <w:t>-</w:t>
            </w:r>
          </w:p>
        </w:tc>
        <w:tc>
          <w:tcPr>
            <w:tcW w:w="1609" w:type="dxa"/>
            <w:tcBorders>
              <w:top w:val="nil"/>
              <w:bottom w:val="nil"/>
            </w:tcBorders>
          </w:tcPr>
          <w:p w:rsidR="00212513" w:rsidRDefault="00212513">
            <w:pPr>
              <w:pStyle w:val="ConsPlusNormal"/>
              <w:jc w:val="center"/>
            </w:pPr>
            <w:r>
              <w:t>-</w:t>
            </w:r>
          </w:p>
        </w:tc>
        <w:tc>
          <w:tcPr>
            <w:tcW w:w="1417" w:type="dxa"/>
            <w:tcBorders>
              <w:top w:val="nil"/>
              <w:bottom w:val="nil"/>
            </w:tcBorders>
          </w:tcPr>
          <w:p w:rsidR="00212513" w:rsidRDefault="00212513">
            <w:pPr>
              <w:pStyle w:val="ConsPlusNormal"/>
              <w:jc w:val="center"/>
            </w:pPr>
            <w:r>
              <w:t>-</w:t>
            </w:r>
          </w:p>
        </w:tc>
        <w:tc>
          <w:tcPr>
            <w:tcW w:w="1304" w:type="dxa"/>
            <w:tcBorders>
              <w:top w:val="nil"/>
              <w:bottom w:val="nil"/>
            </w:tcBorders>
          </w:tcPr>
          <w:p w:rsidR="00212513" w:rsidRDefault="00212513">
            <w:pPr>
              <w:pStyle w:val="ConsPlusNormal"/>
              <w:jc w:val="center"/>
            </w:pPr>
            <w:r>
              <w:t>-</w:t>
            </w:r>
          </w:p>
        </w:tc>
        <w:tc>
          <w:tcPr>
            <w:tcW w:w="1609" w:type="dxa"/>
            <w:tcBorders>
              <w:top w:val="nil"/>
              <w:bottom w:val="nil"/>
            </w:tcBorders>
          </w:tcPr>
          <w:p w:rsidR="00212513" w:rsidRDefault="00212513">
            <w:pPr>
              <w:pStyle w:val="ConsPlusNormal"/>
              <w:jc w:val="center"/>
            </w:pPr>
            <w:r>
              <w:rPr>
                <w:i/>
              </w:rPr>
              <w:t>cr</w:t>
            </w:r>
          </w:p>
        </w:tc>
        <w:tc>
          <w:tcPr>
            <w:tcW w:w="2098" w:type="dxa"/>
            <w:tcBorders>
              <w:top w:val="nil"/>
              <w:bottom w:val="nil"/>
            </w:tcBorders>
          </w:tcPr>
          <w:p w:rsidR="00212513" w:rsidRDefault="00212513">
            <w:pPr>
              <w:pStyle w:val="ConsPlusNormal"/>
              <w:jc w:val="center"/>
            </w:pPr>
            <w:r>
              <w:t>-</w:t>
            </w:r>
          </w:p>
        </w:tc>
      </w:tr>
      <w:tr w:rsidR="00212513">
        <w:tblPrEx>
          <w:tblBorders>
            <w:insideH w:val="none" w:sz="0" w:space="0" w:color="auto"/>
          </w:tblBorders>
        </w:tblPrEx>
        <w:tc>
          <w:tcPr>
            <w:tcW w:w="13579" w:type="dxa"/>
            <w:gridSpan w:val="8"/>
            <w:tcBorders>
              <w:top w:val="nil"/>
              <w:bottom w:val="nil"/>
            </w:tcBorders>
          </w:tcPr>
          <w:p w:rsidR="00212513" w:rsidRDefault="00212513">
            <w:pPr>
              <w:pStyle w:val="ConsPlusNormal"/>
              <w:jc w:val="both"/>
            </w:pPr>
            <w:r>
              <w:t xml:space="preserve">(в ред. </w:t>
            </w:r>
            <w:hyperlink r:id="rId2215">
              <w:r>
                <w:rPr>
                  <w:color w:val="0000FF"/>
                </w:rPr>
                <w:t>Изменения N 1</w:t>
              </w:r>
            </w:hyperlink>
            <w:r>
              <w:t>, утв. Приказом Минстроя России от 03.12.2016 N 879/пр)</w:t>
            </w:r>
          </w:p>
        </w:tc>
      </w:tr>
      <w:tr w:rsidR="00212513">
        <w:tblPrEx>
          <w:tblBorders>
            <w:insideH w:val="none" w:sz="0" w:space="0" w:color="auto"/>
          </w:tblBorders>
        </w:tblPrEx>
        <w:tc>
          <w:tcPr>
            <w:tcW w:w="2324" w:type="dxa"/>
            <w:tcBorders>
              <w:top w:val="nil"/>
              <w:bottom w:val="single" w:sz="4" w:space="0" w:color="auto"/>
            </w:tcBorders>
          </w:tcPr>
          <w:p w:rsidR="00212513" w:rsidRDefault="00212513">
            <w:pPr>
              <w:pStyle w:val="ConsPlusNormal"/>
            </w:pPr>
            <w:r>
              <w:t>При транспортировании, монтаже, предварительном напряжении и регулировании</w:t>
            </w:r>
          </w:p>
        </w:tc>
        <w:tc>
          <w:tcPr>
            <w:tcW w:w="1609" w:type="dxa"/>
            <w:tcBorders>
              <w:top w:val="nil"/>
              <w:bottom w:val="single" w:sz="4" w:space="0" w:color="auto"/>
            </w:tcBorders>
          </w:tcPr>
          <w:p w:rsidR="00212513" w:rsidRDefault="00212513">
            <w:pPr>
              <w:pStyle w:val="ConsPlusNormal"/>
              <w:jc w:val="center"/>
            </w:pPr>
            <w:r>
              <w:rPr>
                <w:i/>
              </w:rPr>
              <w:t>wud</w:t>
            </w:r>
          </w:p>
        </w:tc>
        <w:tc>
          <w:tcPr>
            <w:tcW w:w="1609" w:type="dxa"/>
            <w:tcBorders>
              <w:top w:val="nil"/>
              <w:bottom w:val="single" w:sz="4" w:space="0" w:color="auto"/>
            </w:tcBorders>
          </w:tcPr>
          <w:p w:rsidR="00212513" w:rsidRDefault="00212513">
            <w:pPr>
              <w:pStyle w:val="ConsPlusNormal"/>
              <w:jc w:val="center"/>
            </w:pPr>
            <w:r>
              <w:t>-</w:t>
            </w:r>
          </w:p>
        </w:tc>
        <w:tc>
          <w:tcPr>
            <w:tcW w:w="1609" w:type="dxa"/>
            <w:tcBorders>
              <w:top w:val="nil"/>
              <w:bottom w:val="single" w:sz="4" w:space="0" w:color="auto"/>
            </w:tcBorders>
          </w:tcPr>
          <w:p w:rsidR="00212513" w:rsidRDefault="00212513">
            <w:pPr>
              <w:pStyle w:val="ConsPlusNormal"/>
              <w:jc w:val="center"/>
            </w:pPr>
            <w:r>
              <w:t>-</w:t>
            </w:r>
          </w:p>
        </w:tc>
        <w:tc>
          <w:tcPr>
            <w:tcW w:w="1417" w:type="dxa"/>
            <w:tcBorders>
              <w:top w:val="nil"/>
              <w:bottom w:val="single" w:sz="4" w:space="0" w:color="auto"/>
            </w:tcBorders>
          </w:tcPr>
          <w:p w:rsidR="00212513" w:rsidRDefault="00212513">
            <w:pPr>
              <w:pStyle w:val="ConsPlusNormal"/>
              <w:jc w:val="center"/>
            </w:pPr>
            <w:r>
              <w:rPr>
                <w:i/>
              </w:rPr>
              <w:t>wud</w:t>
            </w:r>
          </w:p>
        </w:tc>
        <w:tc>
          <w:tcPr>
            <w:tcW w:w="1304" w:type="dxa"/>
            <w:tcBorders>
              <w:top w:val="nil"/>
              <w:bottom w:val="single" w:sz="4" w:space="0" w:color="auto"/>
            </w:tcBorders>
          </w:tcPr>
          <w:p w:rsidR="00212513" w:rsidRDefault="00212513">
            <w:pPr>
              <w:pStyle w:val="ConsPlusNormal"/>
              <w:jc w:val="center"/>
            </w:pPr>
            <w:r>
              <w:rPr>
                <w:i/>
              </w:rPr>
              <w:t>cr</w:t>
            </w:r>
          </w:p>
        </w:tc>
        <w:tc>
          <w:tcPr>
            <w:tcW w:w="1609" w:type="dxa"/>
            <w:tcBorders>
              <w:top w:val="nil"/>
              <w:bottom w:val="single" w:sz="4" w:space="0" w:color="auto"/>
            </w:tcBorders>
          </w:tcPr>
          <w:p w:rsidR="00212513" w:rsidRDefault="00212513">
            <w:pPr>
              <w:pStyle w:val="ConsPlusNormal"/>
              <w:jc w:val="center"/>
            </w:pPr>
            <w:r>
              <w:t>-</w:t>
            </w:r>
          </w:p>
        </w:tc>
        <w:tc>
          <w:tcPr>
            <w:tcW w:w="2098" w:type="dxa"/>
            <w:tcBorders>
              <w:top w:val="nil"/>
              <w:bottom w:val="single" w:sz="4" w:space="0" w:color="auto"/>
            </w:tcBorders>
          </w:tcPr>
          <w:p w:rsidR="00212513" w:rsidRDefault="00212513">
            <w:pPr>
              <w:pStyle w:val="ConsPlusNormal"/>
              <w:jc w:val="center"/>
            </w:pPr>
            <w:r>
              <w:rPr>
                <w:i/>
              </w:rPr>
              <w:t>wud</w:t>
            </w:r>
          </w:p>
        </w:tc>
      </w:tr>
      <w:tr w:rsidR="00212513">
        <w:tc>
          <w:tcPr>
            <w:tcW w:w="13579" w:type="dxa"/>
            <w:gridSpan w:val="8"/>
            <w:tcBorders>
              <w:top w:val="single" w:sz="4" w:space="0" w:color="auto"/>
              <w:bottom w:val="single" w:sz="4" w:space="0" w:color="auto"/>
            </w:tcBorders>
          </w:tcPr>
          <w:p w:rsidR="00212513" w:rsidRDefault="00212513">
            <w:pPr>
              <w:pStyle w:val="ConsPlusNormal"/>
              <w:ind w:firstLine="283"/>
              <w:jc w:val="both"/>
            </w:pPr>
            <w:r>
              <w:rPr>
                <w:i/>
              </w:rPr>
              <w:lastRenderedPageBreak/>
              <w:t xml:space="preserve">Обозначения, принятые в </w:t>
            </w:r>
            <w:hyperlink w:anchor="P9318">
              <w:r>
                <w:rPr>
                  <w:i/>
                  <w:color w:val="0000FF"/>
                </w:rPr>
                <w:t>таблице 9.1</w:t>
              </w:r>
            </w:hyperlink>
            <w:r>
              <w:rPr>
                <w:i/>
              </w:rPr>
              <w:t>:</w:t>
            </w:r>
          </w:p>
          <w:p w:rsidR="00212513" w:rsidRDefault="00212513">
            <w:pPr>
              <w:pStyle w:val="ConsPlusNormal"/>
              <w:ind w:firstLine="283"/>
              <w:jc w:val="both"/>
            </w:pPr>
            <w:r>
              <w:rPr>
                <w:i/>
              </w:rPr>
              <w:t>kr</w:t>
            </w:r>
            <w:r>
              <w:t xml:space="preserve"> - ползучесть бетона;</w:t>
            </w:r>
          </w:p>
          <w:p w:rsidR="00212513" w:rsidRDefault="00212513">
            <w:pPr>
              <w:pStyle w:val="ConsPlusNormal"/>
              <w:ind w:firstLine="283"/>
              <w:jc w:val="both"/>
            </w:pPr>
            <w:r>
              <w:rPr>
                <w:i/>
              </w:rPr>
              <w:t>us</w:t>
            </w:r>
            <w:r>
              <w:t xml:space="preserve"> - обжатие поперечных швов сборной железобетонной плиты;</w:t>
            </w:r>
          </w:p>
          <w:p w:rsidR="00212513" w:rsidRDefault="00212513">
            <w:pPr>
              <w:pStyle w:val="ConsPlusNormal"/>
              <w:ind w:firstLine="283"/>
              <w:jc w:val="both"/>
            </w:pPr>
            <w:r>
              <w:rPr>
                <w:i/>
              </w:rPr>
              <w:t>vkr</w:t>
            </w:r>
            <w:r>
              <w:t xml:space="preserve"> - виброползучесть бетона;</w:t>
            </w:r>
          </w:p>
          <w:p w:rsidR="00212513" w:rsidRDefault="00212513">
            <w:pPr>
              <w:pStyle w:val="ConsPlusNormal"/>
              <w:ind w:firstLine="283"/>
              <w:jc w:val="both"/>
            </w:pPr>
            <w:r>
              <w:rPr>
                <w:i/>
              </w:rPr>
              <w:t>cr</w:t>
            </w:r>
            <w:r>
              <w:t xml:space="preserve"> - поперечные трещины в железобетоне (от всей совокупности действующих нагрузок);</w:t>
            </w:r>
          </w:p>
          <w:p w:rsidR="00212513" w:rsidRDefault="00212513">
            <w:pPr>
              <w:pStyle w:val="ConsPlusNormal"/>
              <w:ind w:firstLine="283"/>
              <w:jc w:val="both"/>
            </w:pPr>
            <w:r>
              <w:rPr>
                <w:i/>
              </w:rPr>
              <w:t>pl</w:t>
            </w:r>
            <w:r>
              <w:t xml:space="preserve"> - ограниченные пластические деформации стали и бетона (от всей совокупности действующих нагрузок и только при проверке сечения);</w:t>
            </w:r>
          </w:p>
          <w:p w:rsidR="00212513" w:rsidRDefault="00212513">
            <w:pPr>
              <w:pStyle w:val="ConsPlusNormal"/>
              <w:ind w:firstLine="283"/>
              <w:jc w:val="both"/>
            </w:pPr>
            <w:r>
              <w:rPr>
                <w:i/>
              </w:rPr>
              <w:t>wud</w:t>
            </w:r>
            <w:r>
              <w:t xml:space="preserve"> - без учета неупругих деформаций;</w:t>
            </w:r>
          </w:p>
          <w:p w:rsidR="00212513" w:rsidRDefault="00212513">
            <w:pPr>
              <w:pStyle w:val="ConsPlusNormal"/>
              <w:ind w:firstLine="283"/>
              <w:jc w:val="both"/>
            </w:pPr>
            <w:r>
              <w:t>тире (-) обозначает, что расчет не производится.</w:t>
            </w:r>
          </w:p>
        </w:tc>
      </w:tr>
    </w:tbl>
    <w:p w:rsidR="00212513" w:rsidRDefault="00212513">
      <w:pPr>
        <w:pStyle w:val="ConsPlusNormal"/>
        <w:sectPr w:rsidR="00212513">
          <w:pgSz w:w="16838" w:h="11905" w:orient="landscape"/>
          <w:pgMar w:top="1701" w:right="1134" w:bottom="850" w:left="1134" w:header="0" w:footer="0" w:gutter="0"/>
          <w:cols w:space="720"/>
          <w:titlePg/>
        </w:sectPr>
      </w:pPr>
    </w:p>
    <w:p w:rsidR="00212513" w:rsidRDefault="00212513">
      <w:pPr>
        <w:pStyle w:val="ConsPlusNormal"/>
        <w:ind w:firstLine="540"/>
        <w:jc w:val="both"/>
      </w:pPr>
    </w:p>
    <w:p w:rsidR="00212513" w:rsidRDefault="00212513">
      <w:pPr>
        <w:pStyle w:val="ConsPlusNormal"/>
        <w:ind w:firstLine="540"/>
        <w:jc w:val="both"/>
      </w:pPr>
      <w:r>
        <w:t>Расчеты сталежелезобетонных пролетных строений следует выполнять с учетом: последовательности бетонирования (монтажа) плиты проезжей части, усадки и ползучести бетона, трещинообразования, саморазогрева бетона в процессе твердения, температурных перепадов между стальной и железобетонной частями поперечного сечения.</w:t>
      </w:r>
    </w:p>
    <w:p w:rsidR="00212513" w:rsidRDefault="00212513">
      <w:pPr>
        <w:pStyle w:val="ConsPlusNormal"/>
        <w:jc w:val="both"/>
      </w:pPr>
      <w:r>
        <w:t xml:space="preserve">(абзац введен </w:t>
      </w:r>
      <w:hyperlink r:id="rId2216">
        <w:r>
          <w:rPr>
            <w:color w:val="0000FF"/>
          </w:rPr>
          <w:t>Изменением N 1</w:t>
        </w:r>
      </w:hyperlink>
      <w:r>
        <w:t>, утв. Приказом Минстроя России от 03.12.2016 N 879/пр)</w:t>
      </w:r>
    </w:p>
    <w:p w:rsidR="00212513" w:rsidRDefault="00212513">
      <w:pPr>
        <w:pStyle w:val="ConsPlusNormal"/>
        <w:spacing w:before="220"/>
        <w:ind w:firstLine="540"/>
        <w:jc w:val="both"/>
      </w:pPr>
      <w:r>
        <w:t>Оценку сопротивляемости нормальных к продольной оси моста сечений изгибаемых сталежелезобетонных балок наступлению предельных состояний, а также расчеты на воздействие усадки и саморазогрева бетона в процессе твердения допускается выполнять с использованием нелинейной деформационной модели.</w:t>
      </w:r>
    </w:p>
    <w:p w:rsidR="00212513" w:rsidRDefault="00212513">
      <w:pPr>
        <w:pStyle w:val="ConsPlusNormal"/>
        <w:jc w:val="both"/>
      </w:pPr>
      <w:r>
        <w:t xml:space="preserve">(абзац введен </w:t>
      </w:r>
      <w:hyperlink r:id="rId2217">
        <w:r>
          <w:rPr>
            <w:color w:val="0000FF"/>
          </w:rPr>
          <w:t>Изменением N 1</w:t>
        </w:r>
      </w:hyperlink>
      <w:r>
        <w:t>, утв. Приказом Минстроя России от 03.12.2016 N 879/пр)</w:t>
      </w:r>
    </w:p>
    <w:p w:rsidR="00212513" w:rsidRDefault="00212513">
      <w:pPr>
        <w:pStyle w:val="ConsPlusNormal"/>
        <w:spacing w:before="220"/>
        <w:ind w:firstLine="540"/>
        <w:jc w:val="both"/>
      </w:pPr>
      <w:r>
        <w:t xml:space="preserve">9.7 Ползучесть бетона необходимо учитывать при определении усилий и моментов от постоянных нагрузок и воздействий, если наибольшие напряжения в бетоне от них превосходят </w:t>
      </w:r>
      <w:r>
        <w:rPr>
          <w:noProof/>
          <w:position w:val="-8"/>
        </w:rPr>
        <w:drawing>
          <wp:inline distT="0" distB="0" distL="0" distR="0">
            <wp:extent cx="441960" cy="251460"/>
            <wp:effectExtent l="0" t="0" r="0" b="0"/>
            <wp:docPr id="1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8" cstate="print">
                      <a:extLst>
                        <a:ext uri="{28A0092B-C50C-407E-A947-70E740481C1C}">
                          <a14:useLocalDpi xmlns:a14="http://schemas.microsoft.com/office/drawing/2010/main" val="0"/>
                        </a:ext>
                      </a:extLst>
                    </a:blip>
                    <a:srcRect/>
                    <a:stretch>
                      <a:fillRect/>
                    </a:stretch>
                  </pic:blipFill>
                  <pic:spPr bwMode="auto">
                    <a:xfrm>
                      <a:off x="0" y="0"/>
                      <a:ext cx="441960" cy="251460"/>
                    </a:xfrm>
                    <a:prstGeom prst="rect">
                      <a:avLst/>
                    </a:prstGeom>
                    <a:noFill/>
                    <a:ln>
                      <a:noFill/>
                    </a:ln>
                  </pic:spPr>
                </pic:pic>
              </a:graphicData>
            </a:graphic>
          </wp:inline>
        </w:drawing>
      </w:r>
      <w:r>
        <w:t xml:space="preserve">, где </w:t>
      </w:r>
      <w:r>
        <w:rPr>
          <w:noProof/>
          <w:position w:val="-8"/>
        </w:rPr>
        <w:drawing>
          <wp:inline distT="0" distB="0" distL="0" distR="0">
            <wp:extent cx="209550" cy="251460"/>
            <wp:effectExtent l="0" t="0" r="0" b="0"/>
            <wp:docPr id="1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расчетное сопротивление бетона сжатию по </w:t>
      </w:r>
      <w:hyperlink w:anchor="P2341">
        <w:r>
          <w:rPr>
            <w:color w:val="0000FF"/>
          </w:rPr>
          <w:t>7.24</w:t>
        </w:r>
      </w:hyperlink>
      <w:r>
        <w:t>.</w:t>
      </w:r>
    </w:p>
    <w:p w:rsidR="00212513" w:rsidRDefault="00212513">
      <w:pPr>
        <w:pStyle w:val="ConsPlusNormal"/>
        <w:spacing w:before="220"/>
        <w:ind w:firstLine="540"/>
        <w:jc w:val="both"/>
      </w:pPr>
      <w:r>
        <w:t xml:space="preserve">При определении влияния ползучести бетона на сталежелезобетонную конструкцию следует, как правило, учитывать изгибную жесткость железобетонной части конструкции </w:t>
      </w:r>
      <w:r>
        <w:rPr>
          <w:noProof/>
          <w:position w:val="-8"/>
        </w:rPr>
        <w:drawing>
          <wp:inline distT="0" distB="0" distL="0" distR="0">
            <wp:extent cx="335280" cy="251460"/>
            <wp:effectExtent l="0" t="0" r="0" b="0"/>
            <wp:docPr id="1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0" cstate="print">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Ползучесть бетона допускается учитывать приближенно по </w:t>
      </w:r>
      <w:hyperlink w:anchor="P17263">
        <w:r>
          <w:rPr>
            <w:color w:val="0000FF"/>
          </w:rPr>
          <w:t>приложению Щ</w:t>
        </w:r>
      </w:hyperlink>
      <w:r>
        <w:t xml:space="preserve">, если </w:t>
      </w:r>
      <w:r>
        <w:rPr>
          <w:noProof/>
          <w:position w:val="-8"/>
        </w:rPr>
        <w:drawing>
          <wp:inline distT="0" distB="0" distL="0" distR="0">
            <wp:extent cx="1047750" cy="251460"/>
            <wp:effectExtent l="0" t="0" r="0" b="0"/>
            <wp:docPr id="1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1" cstate="print">
                      <a:extLst>
                        <a:ext uri="{28A0092B-C50C-407E-A947-70E740481C1C}">
                          <a14:useLocalDpi xmlns:a14="http://schemas.microsoft.com/office/drawing/2010/main" val="0"/>
                        </a:ext>
                      </a:extLst>
                    </a:blip>
                    <a:srcRect/>
                    <a:stretch>
                      <a:fillRect/>
                    </a:stretch>
                  </pic:blipFill>
                  <pic:spPr bwMode="auto">
                    <a:xfrm>
                      <a:off x="0" y="0"/>
                      <a:ext cx="1047750" cy="251460"/>
                    </a:xfrm>
                    <a:prstGeom prst="rect">
                      <a:avLst/>
                    </a:prstGeom>
                    <a:noFill/>
                    <a:ln>
                      <a:noFill/>
                    </a:ln>
                  </pic:spPr>
                </pic:pic>
              </a:graphicData>
            </a:graphic>
          </wp:inline>
        </w:drawing>
      </w:r>
      <w:r>
        <w:t xml:space="preserve">; здесь </w:t>
      </w:r>
      <w:r>
        <w:rPr>
          <w:noProof/>
          <w:position w:val="-8"/>
        </w:rPr>
        <w:drawing>
          <wp:inline distT="0" distB="0" distL="0" distR="0">
            <wp:extent cx="346075" cy="251460"/>
            <wp:effectExtent l="0" t="0" r="0" b="0"/>
            <wp:docPr id="1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2" cstate="print">
                      <a:extLst>
                        <a:ext uri="{28A0092B-C50C-407E-A947-70E740481C1C}">
                          <a14:useLocalDpi xmlns:a14="http://schemas.microsoft.com/office/drawing/2010/main" val="0"/>
                        </a:ext>
                      </a:extLst>
                    </a:blip>
                    <a:srcRect/>
                    <a:stretch>
                      <a:fillRect/>
                    </a:stretch>
                  </pic:blipFill>
                  <pic:spPr bwMode="auto">
                    <a:xfrm>
                      <a:off x="0" y="0"/>
                      <a:ext cx="346075" cy="251460"/>
                    </a:xfrm>
                    <a:prstGeom prst="rect">
                      <a:avLst/>
                    </a:prstGeom>
                    <a:noFill/>
                    <a:ln>
                      <a:noFill/>
                    </a:ln>
                  </pic:spPr>
                </pic:pic>
              </a:graphicData>
            </a:graphic>
          </wp:inline>
        </w:drawing>
      </w:r>
      <w:r>
        <w:t xml:space="preserve"> - изгибная жесткость стальной части конструкции.</w:t>
      </w:r>
    </w:p>
    <w:p w:rsidR="00212513" w:rsidRDefault="00212513">
      <w:pPr>
        <w:pStyle w:val="ConsPlusNormal"/>
        <w:spacing w:before="220"/>
        <w:ind w:firstLine="540"/>
        <w:jc w:val="both"/>
      </w:pPr>
      <w:r>
        <w:t xml:space="preserve">Потери натяжения напрягаемой арматуры от ползучести бетона, а также дополнительные деформации от обжатия поперечных швов сборной железобетонной плиты следует определять по </w:t>
      </w:r>
      <w:hyperlink w:anchor="P17263">
        <w:r>
          <w:rPr>
            <w:color w:val="0000FF"/>
          </w:rPr>
          <w:t>приложению Щ</w:t>
        </w:r>
      </w:hyperlink>
      <w:r>
        <w:t>.</w:t>
      </w:r>
    </w:p>
    <w:p w:rsidR="00212513" w:rsidRDefault="00212513">
      <w:pPr>
        <w:pStyle w:val="ConsPlusNormal"/>
        <w:spacing w:before="220"/>
        <w:ind w:firstLine="540"/>
        <w:jc w:val="both"/>
      </w:pPr>
      <w:bookmarkStart w:id="407" w:name="P9391"/>
      <w:bookmarkEnd w:id="407"/>
      <w:r>
        <w:t xml:space="preserve">9.8 Расчет на выносливость зон железнодорожных мостов, в которых временная нагрузка увеличивает сжимающие напряжения в бетоне, следует выполнять с учетом виброползучести бетона по </w:t>
      </w:r>
      <w:hyperlink w:anchor="P17263">
        <w:r>
          <w:rPr>
            <w:color w:val="0000FF"/>
          </w:rPr>
          <w:t>приложению Щ</w:t>
        </w:r>
      </w:hyperlink>
      <w:r>
        <w:t>.</w:t>
      </w:r>
    </w:p>
    <w:p w:rsidR="00212513" w:rsidRDefault="00212513">
      <w:pPr>
        <w:pStyle w:val="ConsPlusNormal"/>
        <w:spacing w:before="220"/>
        <w:ind w:firstLine="540"/>
        <w:jc w:val="both"/>
      </w:pPr>
      <w:bookmarkStart w:id="408" w:name="P9392"/>
      <w:bookmarkEnd w:id="408"/>
      <w:r>
        <w:t>9.9 При расчетах на усадку бетона разгружающее влияние усадки не учитывается.</w:t>
      </w:r>
    </w:p>
    <w:p w:rsidR="00212513" w:rsidRDefault="00212513">
      <w:pPr>
        <w:pStyle w:val="ConsPlusNormal"/>
        <w:spacing w:before="220"/>
        <w:ind w:firstLine="540"/>
        <w:jc w:val="both"/>
      </w:pPr>
      <w:r>
        <w:t xml:space="preserve">Предельную относительную деформацию усадки бетона </w:t>
      </w:r>
      <w:r>
        <w:rPr>
          <w:noProof/>
          <w:position w:val="-8"/>
        </w:rPr>
        <w:drawing>
          <wp:inline distT="0" distB="0" distL="0" distR="0">
            <wp:extent cx="262890" cy="251460"/>
            <wp:effectExtent l="0" t="0" r="0" b="0"/>
            <wp:docPr id="1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3"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следует принимать равной </w:t>
      </w:r>
      <w:r>
        <w:rPr>
          <w:noProof/>
          <w:position w:val="-6"/>
        </w:rPr>
        <w:drawing>
          <wp:inline distT="0" distB="0" distL="0" distR="0">
            <wp:extent cx="470535" cy="220980"/>
            <wp:effectExtent l="0" t="0" r="0" b="0"/>
            <wp:docPr id="1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4" cstate="print">
                      <a:extLst>
                        <a:ext uri="{28A0092B-C50C-407E-A947-70E740481C1C}">
                          <a14:useLocalDpi xmlns:a14="http://schemas.microsoft.com/office/drawing/2010/main" val="0"/>
                        </a:ext>
                      </a:extLst>
                    </a:blip>
                    <a:srcRect/>
                    <a:stretch>
                      <a:fillRect/>
                    </a:stretch>
                  </pic:blipFill>
                  <pic:spPr bwMode="auto">
                    <a:xfrm>
                      <a:off x="0" y="0"/>
                      <a:ext cx="470535" cy="220980"/>
                    </a:xfrm>
                    <a:prstGeom prst="rect">
                      <a:avLst/>
                    </a:prstGeom>
                    <a:noFill/>
                    <a:ln>
                      <a:noFill/>
                    </a:ln>
                  </pic:spPr>
                </pic:pic>
              </a:graphicData>
            </a:graphic>
          </wp:inline>
        </w:drawing>
      </w:r>
      <w:r>
        <w:t xml:space="preserve"> для монолитной плиты и </w:t>
      </w:r>
      <w:r>
        <w:rPr>
          <w:noProof/>
          <w:position w:val="-6"/>
        </w:rPr>
        <w:drawing>
          <wp:inline distT="0" distB="0" distL="0" distR="0">
            <wp:extent cx="450850" cy="220980"/>
            <wp:effectExtent l="0" t="0" r="0" b="0"/>
            <wp:docPr id="1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5" cstate="print">
                      <a:extLst>
                        <a:ext uri="{28A0092B-C50C-407E-A947-70E740481C1C}">
                          <a14:useLocalDpi xmlns:a14="http://schemas.microsoft.com/office/drawing/2010/main" val="0"/>
                        </a:ext>
                      </a:extLst>
                    </a:blip>
                    <a:srcRect/>
                    <a:stretch>
                      <a:fillRect/>
                    </a:stretch>
                  </pic:blipFill>
                  <pic:spPr bwMode="auto">
                    <a:xfrm>
                      <a:off x="0" y="0"/>
                      <a:ext cx="450850" cy="220980"/>
                    </a:xfrm>
                    <a:prstGeom prst="rect">
                      <a:avLst/>
                    </a:prstGeom>
                    <a:noFill/>
                    <a:ln>
                      <a:noFill/>
                    </a:ln>
                  </pic:spPr>
                </pic:pic>
              </a:graphicData>
            </a:graphic>
          </wp:inline>
        </w:drawing>
      </w:r>
      <w:r>
        <w:t xml:space="preserve"> для сборной плиты.</w:t>
      </w:r>
    </w:p>
    <w:p w:rsidR="00212513" w:rsidRDefault="00212513">
      <w:pPr>
        <w:pStyle w:val="ConsPlusNormal"/>
        <w:spacing w:before="220"/>
        <w:ind w:firstLine="540"/>
        <w:jc w:val="both"/>
      </w:pPr>
      <w:r>
        <w:t xml:space="preserve">Допускается уравновешенные в пределах поперечного сечения напряжения от усадки бетона определять по </w:t>
      </w:r>
      <w:hyperlink w:anchor="P17390">
        <w:r>
          <w:rPr>
            <w:color w:val="0000FF"/>
          </w:rPr>
          <w:t>приложению Э</w:t>
        </w:r>
      </w:hyperlink>
      <w:r>
        <w:t>.</w:t>
      </w:r>
    </w:p>
    <w:p w:rsidR="00212513" w:rsidRDefault="00212513">
      <w:pPr>
        <w:pStyle w:val="ConsPlusNormal"/>
        <w:spacing w:before="220"/>
        <w:ind w:firstLine="540"/>
        <w:jc w:val="both"/>
      </w:pPr>
      <w:r>
        <w:t xml:space="preserve">Ползучесть бетона от усадочных напряжений допускается учитывать путем применения в расчетах условного модуля упругости бетона </w:t>
      </w:r>
      <w:r>
        <w:rPr>
          <w:noProof/>
          <w:position w:val="-9"/>
        </w:rPr>
        <w:drawing>
          <wp:inline distT="0" distB="0" distL="0" distR="0">
            <wp:extent cx="986790" cy="262890"/>
            <wp:effectExtent l="0" t="0" r="0" b="0"/>
            <wp:docPr id="1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6" cstate="print">
                      <a:extLst>
                        <a:ext uri="{28A0092B-C50C-407E-A947-70E740481C1C}">
                          <a14:useLocalDpi xmlns:a14="http://schemas.microsoft.com/office/drawing/2010/main" val="0"/>
                        </a:ext>
                      </a:extLst>
                    </a:blip>
                    <a:srcRect/>
                    <a:stretch>
                      <a:fillRect/>
                    </a:stretch>
                  </pic:blipFill>
                  <pic:spPr bwMode="auto">
                    <a:xfrm>
                      <a:off x="0" y="0"/>
                      <a:ext cx="986790" cy="262890"/>
                    </a:xfrm>
                    <a:prstGeom prst="rect">
                      <a:avLst/>
                    </a:prstGeom>
                    <a:noFill/>
                    <a:ln>
                      <a:noFill/>
                    </a:ln>
                  </pic:spPr>
                </pic:pic>
              </a:graphicData>
            </a:graphic>
          </wp:inline>
        </w:drawing>
      </w:r>
      <w:r>
        <w:t>.</w:t>
      </w:r>
    </w:p>
    <w:p w:rsidR="00212513" w:rsidRDefault="00212513">
      <w:pPr>
        <w:pStyle w:val="ConsPlusNormal"/>
        <w:spacing w:before="220"/>
        <w:ind w:firstLine="540"/>
        <w:jc w:val="both"/>
      </w:pPr>
      <w:bookmarkStart w:id="409" w:name="P9396"/>
      <w:bookmarkEnd w:id="409"/>
      <w:r>
        <w:t>9.10 В расчетах на температурные воздействия следует учитывать разность температуры железобетонной и стальной частей сечения. Разность температуры следует определять, как правило, на основании теплофизических расчетов.</w:t>
      </w:r>
    </w:p>
    <w:p w:rsidR="00212513" w:rsidRDefault="00212513">
      <w:pPr>
        <w:pStyle w:val="ConsPlusNormal"/>
        <w:spacing w:before="220"/>
        <w:ind w:firstLine="540"/>
        <w:jc w:val="both"/>
      </w:pPr>
      <w:r>
        <w:t xml:space="preserve">Расчеты на температурные воздействия допускается выполнять, принимая распределение температуры в сечении неизменным по длине сталежелезобетонного пролетного строения и исходя из следующих нормативных наибольших значений разности температуры </w:t>
      </w:r>
      <w:r>
        <w:rPr>
          <w:noProof/>
          <w:position w:val="-9"/>
        </w:rPr>
        <w:drawing>
          <wp:inline distT="0" distB="0" distL="0" distR="0">
            <wp:extent cx="344805" cy="262890"/>
            <wp:effectExtent l="0" t="0" r="0" b="0"/>
            <wp:docPr id="1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7" cstate="print">
                      <a:extLst>
                        <a:ext uri="{28A0092B-C50C-407E-A947-70E740481C1C}">
                          <a14:useLocalDpi xmlns:a14="http://schemas.microsoft.com/office/drawing/2010/main" val="0"/>
                        </a:ext>
                      </a:extLst>
                    </a:blip>
                    <a:srcRect/>
                    <a:stretch>
                      <a:fillRect/>
                    </a:stretch>
                  </pic:blipFill>
                  <pic:spPr bwMode="auto">
                    <a:xfrm>
                      <a:off x="0" y="0"/>
                      <a:ext cx="344805" cy="262890"/>
                    </a:xfrm>
                    <a:prstGeom prst="rect">
                      <a:avLst/>
                    </a:prstGeom>
                    <a:noFill/>
                    <a:ln>
                      <a:noFill/>
                    </a:ln>
                  </pic:spPr>
                </pic:pic>
              </a:graphicData>
            </a:graphic>
          </wp:inline>
        </w:drawing>
      </w:r>
      <w:r>
        <w:t xml:space="preserve"> железобетонной плиты и стальной конструкции:</w:t>
      </w:r>
    </w:p>
    <w:p w:rsidR="00212513" w:rsidRDefault="00212513">
      <w:pPr>
        <w:pStyle w:val="ConsPlusNormal"/>
        <w:spacing w:before="220"/>
        <w:ind w:firstLine="540"/>
        <w:jc w:val="both"/>
      </w:pPr>
      <w:r>
        <w:t xml:space="preserve">а) для пролетных строений со стальными балками со сплошной стенкой при езде поверху </w:t>
      </w:r>
      <w:hyperlink w:anchor="P9417">
        <w:r>
          <w:rPr>
            <w:color w:val="0000FF"/>
          </w:rPr>
          <w:t>(рисунок 9.1, а)</w:t>
        </w:r>
      </w:hyperlink>
      <w:r>
        <w:t>:</w:t>
      </w:r>
    </w:p>
    <w:p w:rsidR="00212513" w:rsidRDefault="00212513">
      <w:pPr>
        <w:pStyle w:val="ConsPlusNormal"/>
        <w:spacing w:before="220"/>
        <w:ind w:firstLine="540"/>
        <w:jc w:val="both"/>
      </w:pPr>
      <w:r>
        <w:lastRenderedPageBreak/>
        <w:t>в случае когда температура стали выше, чем железобетона, и балка подвергается нагреву от воздействия солнечных лучей при наклоне их к горизонту 30° и более, - 30 °C;</w:t>
      </w:r>
    </w:p>
    <w:p w:rsidR="00212513" w:rsidRDefault="00212513">
      <w:pPr>
        <w:pStyle w:val="ConsPlusNormal"/>
        <w:spacing w:before="220"/>
        <w:ind w:firstLine="540"/>
        <w:jc w:val="both"/>
      </w:pPr>
      <w:r>
        <w:t>в случае когда температура стали выше, чем железобетона, но балка не подвергается нагреву от воздействия солнечных лучей, - 15 °C;</w:t>
      </w:r>
    </w:p>
    <w:p w:rsidR="00212513" w:rsidRDefault="00212513">
      <w:pPr>
        <w:pStyle w:val="ConsPlusNormal"/>
        <w:spacing w:before="220"/>
        <w:ind w:firstLine="540"/>
        <w:jc w:val="both"/>
      </w:pPr>
      <w:r>
        <w:t>в случае когда температура стали ниже, чем железобетона, - минус 15 °C;</w:t>
      </w:r>
    </w:p>
    <w:p w:rsidR="00212513" w:rsidRDefault="00212513">
      <w:pPr>
        <w:pStyle w:val="ConsPlusNormal"/>
        <w:spacing w:before="220"/>
        <w:ind w:firstLine="540"/>
        <w:jc w:val="both"/>
      </w:pPr>
      <w:r>
        <w:t>б) для пролетных строений с решетчатыми главными фермами при езде поверху:</w:t>
      </w:r>
    </w:p>
    <w:p w:rsidR="00212513" w:rsidRDefault="00212513">
      <w:pPr>
        <w:pStyle w:val="ConsPlusNormal"/>
        <w:spacing w:before="220"/>
        <w:ind w:firstLine="540"/>
        <w:jc w:val="both"/>
      </w:pPr>
      <w:r>
        <w:t>в случае когда температура стальных элементов фермы выше, чем железобетона, независимо от условий освещения солнцем, - 15 °C;</w:t>
      </w:r>
    </w:p>
    <w:p w:rsidR="00212513" w:rsidRDefault="00212513">
      <w:pPr>
        <w:pStyle w:val="ConsPlusNormal"/>
        <w:spacing w:before="220"/>
        <w:ind w:firstLine="540"/>
        <w:jc w:val="both"/>
      </w:pPr>
      <w:r>
        <w:t>в случае когда температура стальных элементов фермы ниже, чем железобетона, - минус 10 °C;</w:t>
      </w:r>
    </w:p>
    <w:p w:rsidR="00212513" w:rsidRDefault="00212513">
      <w:pPr>
        <w:pStyle w:val="ConsPlusNormal"/>
        <w:spacing w:before="220"/>
        <w:ind w:firstLine="540"/>
        <w:jc w:val="both"/>
      </w:pPr>
      <w:r>
        <w:t>в) для пролетных строений с главными балками со сплошной стенкой или с решетчатыми главными фермами и расположенной между ними железобетонной плитой с ездой понизу или посредине:</w:t>
      </w:r>
    </w:p>
    <w:p w:rsidR="00212513" w:rsidRDefault="00212513">
      <w:pPr>
        <w:pStyle w:val="ConsPlusNormal"/>
        <w:spacing w:before="220"/>
        <w:ind w:firstLine="540"/>
        <w:jc w:val="both"/>
      </w:pPr>
      <w:r>
        <w:t>в случае когда температура стали выше, чем железобетона, - 20 °C;</w:t>
      </w:r>
    </w:p>
    <w:p w:rsidR="00212513" w:rsidRDefault="00212513">
      <w:pPr>
        <w:pStyle w:val="ConsPlusNormal"/>
        <w:spacing w:before="220"/>
        <w:ind w:firstLine="540"/>
        <w:jc w:val="both"/>
      </w:pPr>
      <w:r>
        <w:t>в случае когда температура стали ниже, чем железобетона, - минус 15 °C;</w:t>
      </w:r>
    </w:p>
    <w:p w:rsidR="00212513" w:rsidRDefault="00212513">
      <w:pPr>
        <w:pStyle w:val="ConsPlusNormal"/>
        <w:spacing w:before="220"/>
        <w:ind w:firstLine="540"/>
        <w:jc w:val="both"/>
      </w:pPr>
      <w:bookmarkStart w:id="410" w:name="P9408"/>
      <w:bookmarkEnd w:id="410"/>
      <w:r>
        <w:t>г) для пролетных строений железнодорожных мостов с безбалластной плитой в проезжей части и в пролетных строениях автодорожных и городских мостов с ездой поверху без (до) устройства на железобетонной плите проезжей части одежды ездового полотна в случае, когда температура железобетона выше, чем стали, - 20 °C.</w:t>
      </w:r>
    </w:p>
    <w:p w:rsidR="00212513" w:rsidRDefault="00212513">
      <w:pPr>
        <w:pStyle w:val="ConsPlusNormal"/>
        <w:ind w:firstLine="540"/>
        <w:jc w:val="both"/>
      </w:pPr>
    </w:p>
    <w:p w:rsidR="00212513" w:rsidRDefault="00212513">
      <w:pPr>
        <w:pStyle w:val="ConsPlusNormal"/>
        <w:jc w:val="center"/>
      </w:pPr>
      <w:r>
        <w:rPr>
          <w:noProof/>
          <w:position w:val="-165"/>
        </w:rPr>
        <w:drawing>
          <wp:inline distT="0" distB="0" distL="0" distR="0">
            <wp:extent cx="2879725" cy="2242820"/>
            <wp:effectExtent l="0" t="0" r="0" b="0"/>
            <wp:docPr id="1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8" cstate="print">
                      <a:extLst>
                        <a:ext uri="{28A0092B-C50C-407E-A947-70E740481C1C}">
                          <a14:useLocalDpi xmlns:a14="http://schemas.microsoft.com/office/drawing/2010/main" val="0"/>
                        </a:ext>
                      </a:extLst>
                    </a:blip>
                    <a:srcRect/>
                    <a:stretch>
                      <a:fillRect/>
                    </a:stretch>
                  </pic:blipFill>
                  <pic:spPr bwMode="auto">
                    <a:xfrm>
                      <a:off x="0" y="0"/>
                      <a:ext cx="2879725" cy="2242820"/>
                    </a:xfrm>
                    <a:prstGeom prst="rect">
                      <a:avLst/>
                    </a:prstGeom>
                    <a:noFill/>
                    <a:ln>
                      <a:noFill/>
                    </a:ln>
                  </pic:spPr>
                </pic:pic>
              </a:graphicData>
            </a:graphic>
          </wp:inline>
        </w:drawing>
      </w:r>
    </w:p>
    <w:p w:rsidR="00212513" w:rsidRDefault="00212513">
      <w:pPr>
        <w:pStyle w:val="ConsPlusNormal"/>
        <w:ind w:firstLine="540"/>
        <w:jc w:val="both"/>
      </w:pPr>
    </w:p>
    <w:p w:rsidR="00212513" w:rsidRDefault="00212513">
      <w:pPr>
        <w:pStyle w:val="ConsPlusNormal"/>
        <w:jc w:val="center"/>
      </w:pPr>
      <w:r>
        <w:t>а - схема поперечного сечения; б - криволинейная</w:t>
      </w:r>
    </w:p>
    <w:p w:rsidR="00212513" w:rsidRDefault="00212513">
      <w:pPr>
        <w:pStyle w:val="ConsPlusNormal"/>
        <w:jc w:val="center"/>
      </w:pPr>
      <w:r>
        <w:t>эпюра разности температуры по высоте стальной</w:t>
      </w:r>
    </w:p>
    <w:p w:rsidR="00212513" w:rsidRDefault="00212513">
      <w:pPr>
        <w:pStyle w:val="ConsPlusNormal"/>
        <w:jc w:val="center"/>
      </w:pPr>
      <w:r>
        <w:t>части сечения; в - криволинейная эпюра разности</w:t>
      </w:r>
    </w:p>
    <w:p w:rsidR="00212513" w:rsidRDefault="00212513">
      <w:pPr>
        <w:pStyle w:val="ConsPlusNormal"/>
        <w:jc w:val="center"/>
      </w:pPr>
      <w:r>
        <w:t>температуры для верхней части сечения балки</w:t>
      </w:r>
    </w:p>
    <w:p w:rsidR="00212513" w:rsidRDefault="00212513">
      <w:pPr>
        <w:pStyle w:val="ConsPlusNormal"/>
        <w:ind w:firstLine="540"/>
        <w:jc w:val="both"/>
      </w:pPr>
    </w:p>
    <w:p w:rsidR="00212513" w:rsidRDefault="00212513">
      <w:pPr>
        <w:pStyle w:val="ConsPlusNormal"/>
        <w:jc w:val="center"/>
      </w:pPr>
      <w:bookmarkStart w:id="411" w:name="P9417"/>
      <w:bookmarkEnd w:id="411"/>
      <w:r>
        <w:rPr>
          <w:b/>
          <w:i/>
        </w:rPr>
        <w:t>Рисунок 9.1</w:t>
      </w:r>
      <w:r>
        <w:t xml:space="preserve"> </w:t>
      </w:r>
      <w:r>
        <w:rPr>
          <w:b/>
        </w:rPr>
        <w:t>- Поперечное сечение сталежелезобетонной</w:t>
      </w:r>
    </w:p>
    <w:p w:rsidR="00212513" w:rsidRDefault="00212513">
      <w:pPr>
        <w:pStyle w:val="ConsPlusNormal"/>
        <w:jc w:val="center"/>
      </w:pPr>
      <w:r>
        <w:rPr>
          <w:b/>
        </w:rPr>
        <w:t>конструкции и расчетные эпюры разности температуры</w:t>
      </w:r>
    </w:p>
    <w:p w:rsidR="00212513" w:rsidRDefault="00212513">
      <w:pPr>
        <w:pStyle w:val="ConsPlusNormal"/>
        <w:ind w:firstLine="540"/>
        <w:jc w:val="both"/>
      </w:pPr>
    </w:p>
    <w:p w:rsidR="00212513" w:rsidRDefault="00212513">
      <w:pPr>
        <w:pStyle w:val="ConsPlusNormal"/>
        <w:ind w:firstLine="540"/>
        <w:jc w:val="both"/>
      </w:pPr>
      <w:r>
        <w:t>Определение усилий и напряжений от температурных воздействий следует выполнять:</w:t>
      </w:r>
    </w:p>
    <w:p w:rsidR="00212513" w:rsidRDefault="00212513">
      <w:pPr>
        <w:pStyle w:val="ConsPlusNormal"/>
        <w:spacing w:before="220"/>
        <w:ind w:firstLine="540"/>
        <w:jc w:val="both"/>
      </w:pPr>
      <w:r>
        <w:t xml:space="preserve">по "а" - с принятием по высоте стальной части сечения криволинейной эпюры разности температуры </w:t>
      </w:r>
      <w:hyperlink w:anchor="P9417">
        <w:r>
          <w:rPr>
            <w:color w:val="0000FF"/>
          </w:rPr>
          <w:t>(рисунок 9.1, б)</w:t>
        </w:r>
      </w:hyperlink>
      <w:r>
        <w:t xml:space="preserve"> с ординатой в </w:t>
      </w:r>
      <w:r>
        <w:rPr>
          <w:i/>
        </w:rPr>
        <w:t>i</w:t>
      </w:r>
      <w:r>
        <w:t>-й точке</w:t>
      </w:r>
    </w:p>
    <w:p w:rsidR="00212513" w:rsidRDefault="00212513">
      <w:pPr>
        <w:pStyle w:val="ConsPlusNormal"/>
        <w:ind w:firstLine="540"/>
        <w:jc w:val="both"/>
      </w:pPr>
    </w:p>
    <w:p w:rsidR="00212513" w:rsidRDefault="00212513">
      <w:pPr>
        <w:pStyle w:val="ConsPlusNormal"/>
        <w:jc w:val="center"/>
      </w:pPr>
      <w:r>
        <w:rPr>
          <w:noProof/>
          <w:position w:val="-37"/>
        </w:rPr>
        <w:drawing>
          <wp:inline distT="0" distB="0" distL="0" distR="0">
            <wp:extent cx="3017520" cy="621030"/>
            <wp:effectExtent l="0" t="0" r="0" b="0"/>
            <wp:docPr id="1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9" cstate="print">
                      <a:extLst>
                        <a:ext uri="{28A0092B-C50C-407E-A947-70E740481C1C}">
                          <a14:useLocalDpi xmlns:a14="http://schemas.microsoft.com/office/drawing/2010/main" val="0"/>
                        </a:ext>
                      </a:extLst>
                    </a:blip>
                    <a:srcRect/>
                    <a:stretch>
                      <a:fillRect/>
                    </a:stretch>
                  </pic:blipFill>
                  <pic:spPr bwMode="auto">
                    <a:xfrm>
                      <a:off x="0" y="0"/>
                      <a:ext cx="3017520" cy="621030"/>
                    </a:xfrm>
                    <a:prstGeom prst="rect">
                      <a:avLst/>
                    </a:prstGeom>
                    <a:noFill/>
                    <a:ln>
                      <a:noFill/>
                    </a:ln>
                  </pic:spPr>
                </pic:pic>
              </a:graphicData>
            </a:graphic>
          </wp:inline>
        </w:drawing>
      </w:r>
      <w:r>
        <w:t>, (9.1)</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9"/>
        </w:rPr>
        <w:drawing>
          <wp:inline distT="0" distB="0" distL="0" distR="0">
            <wp:extent cx="304165" cy="262890"/>
            <wp:effectExtent l="0" t="0" r="0" b="0"/>
            <wp:docPr id="1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0" cstate="print">
                      <a:extLst>
                        <a:ext uri="{28A0092B-C50C-407E-A947-70E740481C1C}">
                          <a14:useLocalDpi xmlns:a14="http://schemas.microsoft.com/office/drawing/2010/main" val="0"/>
                        </a:ext>
                      </a:extLst>
                    </a:blip>
                    <a:srcRect/>
                    <a:stretch>
                      <a:fillRect/>
                    </a:stretch>
                  </pic:blipFill>
                  <pic:spPr bwMode="auto">
                    <a:xfrm>
                      <a:off x="0" y="0"/>
                      <a:ext cx="304165" cy="262890"/>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1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1"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по </w:t>
      </w:r>
      <w:hyperlink w:anchor="P9417">
        <w:r>
          <w:rPr>
            <w:color w:val="0000FF"/>
          </w:rPr>
          <w:t>рисунку 9.1, а</w:t>
        </w:r>
      </w:hyperlink>
      <w:r>
        <w:t>, см;</w:t>
      </w:r>
    </w:p>
    <w:p w:rsidR="00212513" w:rsidRDefault="00212513">
      <w:pPr>
        <w:pStyle w:val="ConsPlusNormal"/>
        <w:spacing w:before="220"/>
        <w:ind w:firstLine="540"/>
        <w:jc w:val="both"/>
      </w:pPr>
      <w:r>
        <w:t>по "б" и "в" - с принятием прямоугольной эпюры разности температуры по всей высоте стальной части сечения;</w:t>
      </w:r>
    </w:p>
    <w:p w:rsidR="00212513" w:rsidRDefault="00212513">
      <w:pPr>
        <w:pStyle w:val="ConsPlusNormal"/>
        <w:spacing w:before="220"/>
        <w:ind w:firstLine="540"/>
        <w:jc w:val="both"/>
      </w:pPr>
      <w:r>
        <w:t xml:space="preserve">по "г" - с принятием криволинейной эпюры разности температуры по </w:t>
      </w:r>
      <w:hyperlink w:anchor="P9417">
        <w:r>
          <w:rPr>
            <w:color w:val="0000FF"/>
          </w:rPr>
          <w:t>рисунку 9.1, в</w:t>
        </w:r>
      </w:hyperlink>
      <w:r>
        <w:t xml:space="preserve">, с ординатой в </w:t>
      </w:r>
      <w:r>
        <w:rPr>
          <w:i/>
        </w:rPr>
        <w:t>i</w:t>
      </w:r>
      <w:r>
        <w:t>-й точке</w:t>
      </w:r>
    </w:p>
    <w:p w:rsidR="00212513" w:rsidRDefault="00212513">
      <w:pPr>
        <w:pStyle w:val="ConsPlusNormal"/>
        <w:ind w:firstLine="540"/>
        <w:jc w:val="both"/>
      </w:pPr>
    </w:p>
    <w:p w:rsidR="00212513" w:rsidRDefault="00212513">
      <w:pPr>
        <w:pStyle w:val="ConsPlusNormal"/>
        <w:jc w:val="center"/>
      </w:pPr>
      <w:r>
        <w:rPr>
          <w:noProof/>
          <w:position w:val="-32"/>
        </w:rPr>
        <w:drawing>
          <wp:inline distT="0" distB="0" distL="0" distR="0">
            <wp:extent cx="2053590" cy="553085"/>
            <wp:effectExtent l="0" t="0" r="0" b="0"/>
            <wp:docPr id="1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2" cstate="print">
                      <a:extLst>
                        <a:ext uri="{28A0092B-C50C-407E-A947-70E740481C1C}">
                          <a14:useLocalDpi xmlns:a14="http://schemas.microsoft.com/office/drawing/2010/main" val="0"/>
                        </a:ext>
                      </a:extLst>
                    </a:blip>
                    <a:srcRect/>
                    <a:stretch>
                      <a:fillRect/>
                    </a:stretch>
                  </pic:blipFill>
                  <pic:spPr bwMode="auto">
                    <a:xfrm>
                      <a:off x="0" y="0"/>
                      <a:ext cx="2053590" cy="553085"/>
                    </a:xfrm>
                    <a:prstGeom prst="rect">
                      <a:avLst/>
                    </a:prstGeom>
                    <a:noFill/>
                    <a:ln>
                      <a:noFill/>
                    </a:ln>
                  </pic:spPr>
                </pic:pic>
              </a:graphicData>
            </a:graphic>
          </wp:inline>
        </w:drawing>
      </w:r>
      <w:r>
        <w:t>, (9.2)</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9"/>
        </w:rPr>
        <w:drawing>
          <wp:inline distT="0" distB="0" distL="0" distR="0">
            <wp:extent cx="324485" cy="262890"/>
            <wp:effectExtent l="0" t="0" r="0" b="0"/>
            <wp:docPr id="1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3" cstate="print">
                      <a:extLst>
                        <a:ext uri="{28A0092B-C50C-407E-A947-70E740481C1C}">
                          <a14:useLocalDpi xmlns:a14="http://schemas.microsoft.com/office/drawing/2010/main" val="0"/>
                        </a:ext>
                      </a:extLst>
                    </a:blip>
                    <a:srcRect/>
                    <a:stretch>
                      <a:fillRect/>
                    </a:stretch>
                  </pic:blipFill>
                  <pic:spPr bwMode="auto">
                    <a:xfrm>
                      <a:off x="0" y="0"/>
                      <a:ext cx="324485" cy="262890"/>
                    </a:xfrm>
                    <a:prstGeom prst="rect">
                      <a:avLst/>
                    </a:prstGeom>
                    <a:noFill/>
                    <a:ln>
                      <a:noFill/>
                    </a:ln>
                  </pic:spPr>
                </pic:pic>
              </a:graphicData>
            </a:graphic>
          </wp:inline>
        </w:drawing>
      </w:r>
      <w:r>
        <w:t xml:space="preserve"> - по </w:t>
      </w:r>
      <w:hyperlink w:anchor="P9417">
        <w:r>
          <w:rPr>
            <w:color w:val="0000FF"/>
          </w:rPr>
          <w:t>рисунку 9.1, в</w:t>
        </w:r>
      </w:hyperlink>
      <w:r>
        <w:t>, см.</w:t>
      </w:r>
    </w:p>
    <w:p w:rsidR="00212513" w:rsidRDefault="00212513">
      <w:pPr>
        <w:pStyle w:val="ConsPlusNormal"/>
        <w:spacing w:before="220"/>
        <w:ind w:firstLine="540"/>
        <w:jc w:val="both"/>
      </w:pPr>
      <w:r>
        <w:t xml:space="preserve">В пролетных строениях с ездой поверху стальную часть коробчатого сечения допускается условно разделять на балки двутаврового сечения и при этом учитывать разность температуры по </w:t>
      </w:r>
      <w:hyperlink w:anchor="P9417">
        <w:r>
          <w:rPr>
            <w:color w:val="0000FF"/>
          </w:rPr>
          <w:t>рисунку 9.1, б</w:t>
        </w:r>
      </w:hyperlink>
      <w:r>
        <w:t xml:space="preserve">. Допускается уравновешенные в пределах поперечных сечений напряжения от изменений температуры определять по </w:t>
      </w:r>
      <w:hyperlink w:anchor="P17390">
        <w:r>
          <w:rPr>
            <w:color w:val="0000FF"/>
          </w:rPr>
          <w:t>приложению Э</w:t>
        </w:r>
      </w:hyperlink>
      <w:r>
        <w:t>.</w:t>
      </w:r>
    </w:p>
    <w:p w:rsidR="00212513" w:rsidRDefault="00212513">
      <w:pPr>
        <w:pStyle w:val="ConsPlusNormal"/>
        <w:spacing w:before="220"/>
        <w:ind w:firstLine="540"/>
        <w:jc w:val="both"/>
      </w:pPr>
      <w:r>
        <w:t>9.11 Сжатую железобетонную плиту следует рассчитывать по прочности, трещиностойкости, а в железнодорожных мостах - и на выносливость.</w:t>
      </w:r>
    </w:p>
    <w:p w:rsidR="00212513" w:rsidRDefault="00212513">
      <w:pPr>
        <w:pStyle w:val="ConsPlusNormal"/>
        <w:spacing w:before="220"/>
        <w:ind w:firstLine="540"/>
        <w:jc w:val="both"/>
      </w:pPr>
      <w:r>
        <w:t>Влияние развития ограниченных пластических деформаций бетона и стали на распределение усилий в статически неопределимых конструкциях допускается не учитывать.</w:t>
      </w:r>
    </w:p>
    <w:p w:rsidR="00212513" w:rsidRDefault="00212513">
      <w:pPr>
        <w:pStyle w:val="ConsPlusNormal"/>
        <w:spacing w:before="220"/>
        <w:ind w:firstLine="540"/>
        <w:jc w:val="both"/>
      </w:pPr>
      <w:bookmarkStart w:id="412" w:name="P9435"/>
      <w:bookmarkEnd w:id="412"/>
      <w:r>
        <w:t xml:space="preserve">9.12 Растянутую железобетонную плиту следует рассчитывать по прочности и трещиностойкости. Категории требований по трещиностойкости следует принимать согласно </w:t>
      </w:r>
      <w:hyperlink w:anchor="P5063">
        <w:r>
          <w:rPr>
            <w:color w:val="0000FF"/>
          </w:rPr>
          <w:t>7.95</w:t>
        </w:r>
      </w:hyperlink>
      <w:r>
        <w:t>.</w:t>
      </w:r>
    </w:p>
    <w:p w:rsidR="00212513" w:rsidRDefault="00212513">
      <w:pPr>
        <w:pStyle w:val="ConsPlusNormal"/>
        <w:spacing w:before="220"/>
        <w:ind w:firstLine="540"/>
        <w:jc w:val="both"/>
      </w:pPr>
      <w:r>
        <w:t xml:space="preserve">Жесткость при растяжении железобетонной плиты с учетом образовавшихся трещин определяется выражением </w:t>
      </w:r>
      <w:r>
        <w:rPr>
          <w:noProof/>
          <w:position w:val="-8"/>
        </w:rPr>
        <w:drawing>
          <wp:inline distT="0" distB="0" distL="0" distR="0">
            <wp:extent cx="670560" cy="251460"/>
            <wp:effectExtent l="0" t="0" r="0" b="0"/>
            <wp:docPr id="1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4" cstate="print">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t xml:space="preserve">; здесь </w:t>
      </w:r>
      <w:r>
        <w:rPr>
          <w:noProof/>
          <w:position w:val="-8"/>
        </w:rPr>
        <w:drawing>
          <wp:inline distT="0" distB="0" distL="0" distR="0">
            <wp:extent cx="209550" cy="251460"/>
            <wp:effectExtent l="0" t="0" r="0" b="0"/>
            <wp:docPr id="16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16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модуль упругости и площадь сечения продольной арматуры плиты, </w:t>
      </w:r>
      <w:r>
        <w:rPr>
          <w:noProof/>
          <w:position w:val="-8"/>
        </w:rPr>
        <w:drawing>
          <wp:inline distT="0" distB="0" distL="0" distR="0">
            <wp:extent cx="251460" cy="251460"/>
            <wp:effectExtent l="0" t="0" r="0" b="0"/>
            <wp:docPr id="1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коэффициент, учитывающий частичное вовлечение бетона между трещинами в работу на растяжение и принимаемый по таблице 9.2.</w:t>
      </w:r>
    </w:p>
    <w:p w:rsidR="00212513" w:rsidRDefault="00212513">
      <w:pPr>
        <w:pStyle w:val="ConsPlusNormal"/>
        <w:ind w:firstLine="540"/>
        <w:jc w:val="both"/>
      </w:pPr>
    </w:p>
    <w:p w:rsidR="00212513" w:rsidRDefault="00212513">
      <w:pPr>
        <w:pStyle w:val="ConsPlusNormal"/>
        <w:jc w:val="right"/>
      </w:pPr>
      <w:r>
        <w:t>Таблица 9.2</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1"/>
        <w:gridCol w:w="1644"/>
        <w:gridCol w:w="2210"/>
        <w:gridCol w:w="2154"/>
      </w:tblGrid>
      <w:tr w:rsidR="00212513">
        <w:tc>
          <w:tcPr>
            <w:tcW w:w="3061" w:type="dxa"/>
            <w:vMerge w:val="restart"/>
            <w:vAlign w:val="center"/>
          </w:tcPr>
          <w:p w:rsidR="00212513" w:rsidRDefault="00212513">
            <w:pPr>
              <w:pStyle w:val="ConsPlusNormal"/>
              <w:jc w:val="center"/>
            </w:pPr>
            <w:r>
              <w:t>Арматура</w:t>
            </w:r>
          </w:p>
        </w:tc>
        <w:tc>
          <w:tcPr>
            <w:tcW w:w="6008" w:type="dxa"/>
            <w:gridSpan w:val="3"/>
            <w:vAlign w:val="center"/>
          </w:tcPr>
          <w:p w:rsidR="00212513" w:rsidRDefault="00212513">
            <w:pPr>
              <w:pStyle w:val="ConsPlusNormal"/>
              <w:jc w:val="center"/>
            </w:pPr>
            <w:r>
              <w:t xml:space="preserve">Значения коэффициента </w:t>
            </w:r>
            <w:r>
              <w:rPr>
                <w:noProof/>
                <w:position w:val="-8"/>
              </w:rPr>
              <w:drawing>
                <wp:inline distT="0" distB="0" distL="0" distR="0">
                  <wp:extent cx="251460" cy="251460"/>
                  <wp:effectExtent l="0" t="0" r="0" b="0"/>
                  <wp:docPr id="16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для</w:t>
            </w:r>
          </w:p>
        </w:tc>
      </w:tr>
      <w:tr w:rsidR="00212513">
        <w:tc>
          <w:tcPr>
            <w:tcW w:w="3061" w:type="dxa"/>
            <w:vMerge/>
          </w:tcPr>
          <w:p w:rsidR="00212513" w:rsidRDefault="00212513">
            <w:pPr>
              <w:pStyle w:val="ConsPlusNormal"/>
            </w:pPr>
          </w:p>
        </w:tc>
        <w:tc>
          <w:tcPr>
            <w:tcW w:w="3854" w:type="dxa"/>
            <w:gridSpan w:val="2"/>
            <w:vAlign w:val="center"/>
          </w:tcPr>
          <w:p w:rsidR="00212513" w:rsidRDefault="00212513">
            <w:pPr>
              <w:pStyle w:val="ConsPlusNormal"/>
              <w:jc w:val="center"/>
            </w:pPr>
            <w:r>
              <w:t>железнодорожных мостов при расчете</w:t>
            </w:r>
          </w:p>
        </w:tc>
        <w:tc>
          <w:tcPr>
            <w:tcW w:w="2154" w:type="dxa"/>
            <w:vMerge w:val="restart"/>
            <w:vAlign w:val="center"/>
          </w:tcPr>
          <w:p w:rsidR="00212513" w:rsidRDefault="00212513">
            <w:pPr>
              <w:pStyle w:val="ConsPlusNormal"/>
              <w:jc w:val="center"/>
            </w:pPr>
            <w:r>
              <w:t>автодорожных и городских мостов при расчетах по прочности и трещиностойкости</w:t>
            </w:r>
          </w:p>
        </w:tc>
      </w:tr>
      <w:tr w:rsidR="00212513">
        <w:tc>
          <w:tcPr>
            <w:tcW w:w="3061" w:type="dxa"/>
            <w:vMerge/>
          </w:tcPr>
          <w:p w:rsidR="00212513" w:rsidRDefault="00212513">
            <w:pPr>
              <w:pStyle w:val="ConsPlusNormal"/>
            </w:pPr>
          </w:p>
        </w:tc>
        <w:tc>
          <w:tcPr>
            <w:tcW w:w="1644" w:type="dxa"/>
            <w:vAlign w:val="center"/>
          </w:tcPr>
          <w:p w:rsidR="00212513" w:rsidRDefault="00212513">
            <w:pPr>
              <w:pStyle w:val="ConsPlusNormal"/>
              <w:jc w:val="center"/>
            </w:pPr>
            <w:r>
              <w:t>по прочности</w:t>
            </w:r>
          </w:p>
        </w:tc>
        <w:tc>
          <w:tcPr>
            <w:tcW w:w="2210" w:type="dxa"/>
            <w:vAlign w:val="center"/>
          </w:tcPr>
          <w:p w:rsidR="00212513" w:rsidRDefault="00212513">
            <w:pPr>
              <w:pStyle w:val="ConsPlusNormal"/>
              <w:jc w:val="center"/>
            </w:pPr>
            <w:r>
              <w:t>по трещиностойкости</w:t>
            </w:r>
          </w:p>
        </w:tc>
        <w:tc>
          <w:tcPr>
            <w:tcW w:w="2154" w:type="dxa"/>
            <w:vMerge/>
          </w:tcPr>
          <w:p w:rsidR="00212513" w:rsidRDefault="00212513">
            <w:pPr>
              <w:pStyle w:val="ConsPlusNormal"/>
            </w:pPr>
          </w:p>
        </w:tc>
      </w:tr>
      <w:tr w:rsidR="00212513">
        <w:tblPrEx>
          <w:tblBorders>
            <w:insideH w:val="nil"/>
          </w:tblBorders>
        </w:tblPrEx>
        <w:tc>
          <w:tcPr>
            <w:tcW w:w="3061" w:type="dxa"/>
            <w:tcBorders>
              <w:bottom w:val="nil"/>
            </w:tcBorders>
          </w:tcPr>
          <w:p w:rsidR="00212513" w:rsidRDefault="00212513">
            <w:pPr>
              <w:pStyle w:val="ConsPlusNormal"/>
            </w:pPr>
            <w:r>
              <w:t>Гладкая, пучки высокопрочной проволоки, стальные канаты</w:t>
            </w:r>
          </w:p>
        </w:tc>
        <w:tc>
          <w:tcPr>
            <w:tcW w:w="1644" w:type="dxa"/>
            <w:tcBorders>
              <w:bottom w:val="nil"/>
            </w:tcBorders>
          </w:tcPr>
          <w:p w:rsidR="00212513" w:rsidRDefault="00212513">
            <w:pPr>
              <w:pStyle w:val="ConsPlusNormal"/>
              <w:jc w:val="center"/>
            </w:pPr>
            <w:r>
              <w:t>1,00</w:t>
            </w:r>
          </w:p>
        </w:tc>
        <w:tc>
          <w:tcPr>
            <w:tcW w:w="2210" w:type="dxa"/>
            <w:tcBorders>
              <w:bottom w:val="nil"/>
            </w:tcBorders>
          </w:tcPr>
          <w:p w:rsidR="00212513" w:rsidRDefault="00212513">
            <w:pPr>
              <w:pStyle w:val="ConsPlusNormal"/>
              <w:jc w:val="center"/>
            </w:pPr>
            <w:r>
              <w:t>1,00</w:t>
            </w:r>
          </w:p>
        </w:tc>
        <w:tc>
          <w:tcPr>
            <w:tcW w:w="2154" w:type="dxa"/>
            <w:tcBorders>
              <w:bottom w:val="nil"/>
            </w:tcBorders>
          </w:tcPr>
          <w:p w:rsidR="00212513" w:rsidRDefault="00212513">
            <w:pPr>
              <w:pStyle w:val="ConsPlusNormal"/>
              <w:jc w:val="center"/>
            </w:pPr>
            <w:r>
              <w:t>0,70</w:t>
            </w:r>
          </w:p>
        </w:tc>
      </w:tr>
      <w:tr w:rsidR="00212513">
        <w:tblPrEx>
          <w:tblBorders>
            <w:insideH w:val="nil"/>
          </w:tblBorders>
        </w:tblPrEx>
        <w:tc>
          <w:tcPr>
            <w:tcW w:w="3061" w:type="dxa"/>
            <w:tcBorders>
              <w:top w:val="nil"/>
            </w:tcBorders>
          </w:tcPr>
          <w:p w:rsidR="00212513" w:rsidRDefault="00212513">
            <w:pPr>
              <w:pStyle w:val="ConsPlusNormal"/>
            </w:pPr>
            <w:r>
              <w:lastRenderedPageBreak/>
              <w:t>Периодического профиля</w:t>
            </w:r>
          </w:p>
        </w:tc>
        <w:tc>
          <w:tcPr>
            <w:tcW w:w="1644" w:type="dxa"/>
            <w:tcBorders>
              <w:top w:val="nil"/>
            </w:tcBorders>
          </w:tcPr>
          <w:p w:rsidR="00212513" w:rsidRDefault="00212513">
            <w:pPr>
              <w:pStyle w:val="ConsPlusNormal"/>
              <w:jc w:val="center"/>
            </w:pPr>
            <w:r>
              <w:t>1,00</w:t>
            </w:r>
          </w:p>
        </w:tc>
        <w:tc>
          <w:tcPr>
            <w:tcW w:w="2210" w:type="dxa"/>
            <w:tcBorders>
              <w:top w:val="nil"/>
            </w:tcBorders>
          </w:tcPr>
          <w:p w:rsidR="00212513" w:rsidRDefault="00212513">
            <w:pPr>
              <w:pStyle w:val="ConsPlusNormal"/>
              <w:jc w:val="center"/>
            </w:pPr>
            <w:r>
              <w:t>0,75</w:t>
            </w:r>
          </w:p>
        </w:tc>
        <w:tc>
          <w:tcPr>
            <w:tcW w:w="2154" w:type="dxa"/>
            <w:tcBorders>
              <w:top w:val="nil"/>
            </w:tcBorders>
          </w:tcPr>
          <w:p w:rsidR="00212513" w:rsidRDefault="00212513">
            <w:pPr>
              <w:pStyle w:val="ConsPlusNormal"/>
              <w:jc w:val="center"/>
            </w:pPr>
            <w:r>
              <w:t>0,50</w:t>
            </w:r>
          </w:p>
        </w:tc>
      </w:tr>
    </w:tbl>
    <w:p w:rsidR="00212513" w:rsidRDefault="00212513">
      <w:pPr>
        <w:pStyle w:val="ConsPlusNormal"/>
        <w:ind w:firstLine="540"/>
        <w:jc w:val="both"/>
      </w:pPr>
    </w:p>
    <w:p w:rsidR="00212513" w:rsidRDefault="00212513">
      <w:pPr>
        <w:pStyle w:val="ConsPlusNormal"/>
        <w:ind w:firstLine="540"/>
        <w:jc w:val="both"/>
      </w:pPr>
      <w:r>
        <w:t>В статически неопределимых системах усилия следует определять с учетом влияния наличия поперечных трещин в железобетонной плите.</w:t>
      </w:r>
    </w:p>
    <w:p w:rsidR="00212513" w:rsidRDefault="00212513">
      <w:pPr>
        <w:pStyle w:val="ConsPlusNormal"/>
        <w:spacing w:before="220"/>
        <w:ind w:firstLine="540"/>
        <w:jc w:val="both"/>
      </w:pPr>
      <w:r>
        <w:t>Для сборной необжатой железобетонной плиты, у которой продольная арматура не стыкуется, жесткость при растяжении следует принимать равной нулю.</w:t>
      </w:r>
    </w:p>
    <w:p w:rsidR="00212513" w:rsidRDefault="00212513">
      <w:pPr>
        <w:pStyle w:val="ConsPlusNormal"/>
        <w:spacing w:before="220"/>
        <w:ind w:firstLine="540"/>
        <w:jc w:val="both"/>
      </w:pPr>
      <w:bookmarkStart w:id="413" w:name="P9457"/>
      <w:bookmarkEnd w:id="413"/>
      <w:r>
        <w:t>9.13 Расчеты плиты проезжей части на местный изгиб и совместную работу с главными балками допускается выполнять независимо один от другого, при этом суммировать усилия и деформации следует только в случае работы плиты на местный изгиб в продольном направлении.</w:t>
      </w:r>
    </w:p>
    <w:p w:rsidR="00212513" w:rsidRDefault="00212513">
      <w:pPr>
        <w:pStyle w:val="ConsPlusNormal"/>
        <w:spacing w:before="220"/>
        <w:ind w:firstLine="540"/>
        <w:jc w:val="both"/>
      </w:pPr>
      <w:r>
        <w:t>9.14 Расчет поперечного сечения следует выполнять по стадиям, число которых определяется количеством частей сечения, последовательно включаемых в работу.</w:t>
      </w:r>
    </w:p>
    <w:p w:rsidR="00212513" w:rsidRDefault="00212513">
      <w:pPr>
        <w:pStyle w:val="ConsPlusNormal"/>
        <w:spacing w:before="220"/>
        <w:ind w:firstLine="540"/>
        <w:jc w:val="both"/>
      </w:pPr>
      <w:r>
        <w:t>Для каждой части сечения действующие напряжения следует определять суммированием их по стадиям работы.</w:t>
      </w:r>
    </w:p>
    <w:p w:rsidR="00212513" w:rsidRDefault="00212513">
      <w:pPr>
        <w:pStyle w:val="ConsPlusNormal"/>
        <w:spacing w:before="220"/>
        <w:ind w:firstLine="540"/>
        <w:jc w:val="both"/>
      </w:pPr>
      <w:bookmarkStart w:id="414" w:name="P9460"/>
      <w:bookmarkEnd w:id="414"/>
      <w:r>
        <w:t xml:space="preserve">9.15 Учитываемую в составе сечения расчетную ширину железобетонной плиты </w:t>
      </w:r>
      <w:r>
        <w:rPr>
          <w:noProof/>
          <w:position w:val="-8"/>
        </w:rPr>
        <w:drawing>
          <wp:inline distT="0" distB="0" distL="0" distR="0">
            <wp:extent cx="198755" cy="250825"/>
            <wp:effectExtent l="0" t="0" r="0" b="0"/>
            <wp:docPr id="16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9"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следует определять как сумму расчетных величин свесов плиты в обе стороны от оси стальной конструкции (рисунок 9.2). Расчетное значение свеса плиты следует, как правило, определять пространственным расчетом; допускается принимать ее значение в соответствии с </w:t>
      </w:r>
      <w:hyperlink w:anchor="P9467">
        <w:r>
          <w:rPr>
            <w:color w:val="0000FF"/>
          </w:rPr>
          <w:t>таблицей 9.3</w:t>
        </w:r>
      </w:hyperlink>
      <w:r>
        <w:t>.</w:t>
      </w:r>
    </w:p>
    <w:p w:rsidR="00212513" w:rsidRDefault="00212513">
      <w:pPr>
        <w:pStyle w:val="ConsPlusNormal"/>
        <w:ind w:firstLine="540"/>
        <w:jc w:val="both"/>
      </w:pPr>
    </w:p>
    <w:p w:rsidR="00212513" w:rsidRDefault="00212513">
      <w:pPr>
        <w:pStyle w:val="ConsPlusNormal"/>
        <w:jc w:val="center"/>
      </w:pPr>
      <w:r>
        <w:rPr>
          <w:noProof/>
          <w:position w:val="-99"/>
        </w:rPr>
        <w:drawing>
          <wp:inline distT="0" distB="0" distL="0" distR="0">
            <wp:extent cx="3597275" cy="1404620"/>
            <wp:effectExtent l="0" t="0" r="0" b="0"/>
            <wp:docPr id="1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0" cstate="print">
                      <a:extLst>
                        <a:ext uri="{28A0092B-C50C-407E-A947-70E740481C1C}">
                          <a14:useLocalDpi xmlns:a14="http://schemas.microsoft.com/office/drawing/2010/main" val="0"/>
                        </a:ext>
                      </a:extLst>
                    </a:blip>
                    <a:srcRect/>
                    <a:stretch>
                      <a:fillRect/>
                    </a:stretch>
                  </pic:blipFill>
                  <pic:spPr bwMode="auto">
                    <a:xfrm>
                      <a:off x="0" y="0"/>
                      <a:ext cx="3597275" cy="1404620"/>
                    </a:xfrm>
                    <a:prstGeom prst="rect">
                      <a:avLst/>
                    </a:prstGeom>
                    <a:noFill/>
                    <a:ln>
                      <a:noFill/>
                    </a:ln>
                  </pic:spPr>
                </pic:pic>
              </a:graphicData>
            </a:graphic>
          </wp:inline>
        </w:drawing>
      </w:r>
    </w:p>
    <w:p w:rsidR="00212513" w:rsidRDefault="00212513">
      <w:pPr>
        <w:pStyle w:val="ConsPlusNormal"/>
        <w:ind w:firstLine="540"/>
        <w:jc w:val="both"/>
      </w:pPr>
    </w:p>
    <w:p w:rsidR="00212513" w:rsidRDefault="00212513">
      <w:pPr>
        <w:pStyle w:val="ConsPlusNormal"/>
        <w:jc w:val="center"/>
      </w:pPr>
      <w:bookmarkStart w:id="415" w:name="P9464"/>
      <w:bookmarkEnd w:id="415"/>
      <w:r>
        <w:rPr>
          <w:b/>
          <w:i/>
        </w:rPr>
        <w:t>Рисунок 9.2</w:t>
      </w:r>
      <w:r>
        <w:t xml:space="preserve"> </w:t>
      </w:r>
      <w:r>
        <w:rPr>
          <w:b/>
        </w:rPr>
        <w:t>- Схема для определения расчетной ширины</w:t>
      </w:r>
    </w:p>
    <w:p w:rsidR="00212513" w:rsidRDefault="00212513">
      <w:pPr>
        <w:pStyle w:val="ConsPlusNormal"/>
        <w:jc w:val="center"/>
      </w:pPr>
      <w:r>
        <w:rPr>
          <w:b/>
        </w:rPr>
        <w:t>железобетонной плиты, учитываемой в составе сечения</w:t>
      </w:r>
    </w:p>
    <w:p w:rsidR="00212513" w:rsidRDefault="00212513">
      <w:pPr>
        <w:pStyle w:val="ConsPlusNormal"/>
        <w:ind w:firstLine="540"/>
        <w:jc w:val="both"/>
      </w:pPr>
    </w:p>
    <w:p w:rsidR="00212513" w:rsidRDefault="00212513">
      <w:pPr>
        <w:pStyle w:val="ConsPlusNormal"/>
        <w:jc w:val="right"/>
      </w:pPr>
      <w:bookmarkStart w:id="416" w:name="P9467"/>
      <w:bookmarkEnd w:id="416"/>
      <w:r>
        <w:t>Таблица 9.3</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5"/>
        <w:gridCol w:w="2268"/>
        <w:gridCol w:w="3798"/>
      </w:tblGrid>
      <w:tr w:rsidR="00212513">
        <w:tc>
          <w:tcPr>
            <w:tcW w:w="3005" w:type="dxa"/>
            <w:vAlign w:val="center"/>
          </w:tcPr>
          <w:p w:rsidR="00212513" w:rsidRDefault="00212513">
            <w:pPr>
              <w:pStyle w:val="ConsPlusNormal"/>
              <w:jc w:val="center"/>
            </w:pPr>
            <w:r>
              <w:t>Положение свеса плиты относительно стальной части, его обозначение</w:t>
            </w:r>
          </w:p>
        </w:tc>
        <w:tc>
          <w:tcPr>
            <w:tcW w:w="2268" w:type="dxa"/>
            <w:vAlign w:val="center"/>
          </w:tcPr>
          <w:p w:rsidR="00212513" w:rsidRDefault="00212513">
            <w:pPr>
              <w:pStyle w:val="ConsPlusNormal"/>
              <w:jc w:val="center"/>
            </w:pPr>
            <w:r>
              <w:t xml:space="preserve">Параметр плиты </w:t>
            </w:r>
            <w:r>
              <w:rPr>
                <w:i/>
              </w:rPr>
              <w:t>l</w:t>
            </w:r>
          </w:p>
        </w:tc>
        <w:tc>
          <w:tcPr>
            <w:tcW w:w="3798" w:type="dxa"/>
            <w:vAlign w:val="center"/>
          </w:tcPr>
          <w:p w:rsidR="00212513" w:rsidRDefault="00212513">
            <w:pPr>
              <w:pStyle w:val="ConsPlusNormal"/>
              <w:jc w:val="center"/>
            </w:pPr>
            <w:r>
              <w:t>Расчетная величина свеса плиты</w:t>
            </w:r>
          </w:p>
        </w:tc>
      </w:tr>
      <w:tr w:rsidR="00212513">
        <w:tc>
          <w:tcPr>
            <w:tcW w:w="3005" w:type="dxa"/>
            <w:vMerge w:val="restart"/>
          </w:tcPr>
          <w:p w:rsidR="00212513" w:rsidRDefault="00212513">
            <w:pPr>
              <w:pStyle w:val="ConsPlusNormal"/>
            </w:pPr>
            <w:r>
              <w:t xml:space="preserve">Свес в сторону соседнего стального элемента </w:t>
            </w:r>
            <w:r>
              <w:rPr>
                <w:i/>
              </w:rPr>
              <w:t>b</w:t>
            </w:r>
          </w:p>
        </w:tc>
        <w:tc>
          <w:tcPr>
            <w:tcW w:w="2268" w:type="dxa"/>
            <w:tcBorders>
              <w:bottom w:val="nil"/>
            </w:tcBorders>
          </w:tcPr>
          <w:p w:rsidR="00212513" w:rsidRDefault="00212513">
            <w:pPr>
              <w:pStyle w:val="ConsPlusNormal"/>
              <w:jc w:val="center"/>
            </w:pPr>
            <w:r>
              <w:t>Св. 4</w:t>
            </w:r>
            <w:r>
              <w:rPr>
                <w:i/>
              </w:rPr>
              <w:t>B</w:t>
            </w:r>
          </w:p>
        </w:tc>
        <w:tc>
          <w:tcPr>
            <w:tcW w:w="3798" w:type="dxa"/>
            <w:tcBorders>
              <w:bottom w:val="nil"/>
            </w:tcBorders>
          </w:tcPr>
          <w:p w:rsidR="00212513" w:rsidRDefault="00212513">
            <w:pPr>
              <w:pStyle w:val="ConsPlusNormal"/>
              <w:jc w:val="center"/>
            </w:pPr>
            <w:r>
              <w:rPr>
                <w:i/>
              </w:rPr>
              <w:t>B</w:t>
            </w:r>
            <w:r>
              <w:t>/2</w:t>
            </w:r>
          </w:p>
        </w:tc>
      </w:tr>
      <w:tr w:rsidR="00212513">
        <w:tc>
          <w:tcPr>
            <w:tcW w:w="3005" w:type="dxa"/>
            <w:vMerge/>
          </w:tcPr>
          <w:p w:rsidR="00212513" w:rsidRDefault="00212513">
            <w:pPr>
              <w:pStyle w:val="ConsPlusNormal"/>
            </w:pPr>
          </w:p>
        </w:tc>
        <w:tc>
          <w:tcPr>
            <w:tcW w:w="2268" w:type="dxa"/>
            <w:tcBorders>
              <w:top w:val="nil"/>
            </w:tcBorders>
          </w:tcPr>
          <w:p w:rsidR="00212513" w:rsidRDefault="00212513">
            <w:pPr>
              <w:pStyle w:val="ConsPlusNormal"/>
              <w:jc w:val="center"/>
            </w:pPr>
            <w:r>
              <w:t>Менее 4</w:t>
            </w:r>
            <w:r>
              <w:rPr>
                <w:i/>
              </w:rPr>
              <w:t>B</w:t>
            </w:r>
          </w:p>
        </w:tc>
        <w:tc>
          <w:tcPr>
            <w:tcW w:w="3798" w:type="dxa"/>
            <w:tcBorders>
              <w:top w:val="nil"/>
            </w:tcBorders>
          </w:tcPr>
          <w:p w:rsidR="00212513" w:rsidRDefault="00212513">
            <w:pPr>
              <w:pStyle w:val="ConsPlusNormal"/>
              <w:jc w:val="center"/>
            </w:pPr>
            <w:r>
              <w:rPr>
                <w:i/>
              </w:rPr>
              <w:t>a</w:t>
            </w:r>
            <w:r>
              <w:t xml:space="preserve"> + 6</w:t>
            </w:r>
            <w:r>
              <w:rPr>
                <w:i/>
              </w:rPr>
              <w:t>t</w:t>
            </w:r>
            <w:r>
              <w:rPr>
                <w:i/>
                <w:vertAlign w:val="subscript"/>
              </w:rPr>
              <w:t>sl</w:t>
            </w:r>
            <w:r>
              <w:t>,</w:t>
            </w:r>
          </w:p>
          <w:p w:rsidR="00212513" w:rsidRDefault="00212513">
            <w:pPr>
              <w:pStyle w:val="ConsPlusNormal"/>
              <w:jc w:val="center"/>
            </w:pPr>
            <w:r>
              <w:t xml:space="preserve">но не более </w:t>
            </w:r>
            <w:r>
              <w:rPr>
                <w:i/>
              </w:rPr>
              <w:t>B</w:t>
            </w:r>
            <w:r>
              <w:t xml:space="preserve">/2 и не менее </w:t>
            </w:r>
            <w:r>
              <w:rPr>
                <w:i/>
              </w:rPr>
              <w:t>l</w:t>
            </w:r>
            <w:r>
              <w:t>/8</w:t>
            </w:r>
          </w:p>
        </w:tc>
      </w:tr>
      <w:tr w:rsidR="00212513">
        <w:tc>
          <w:tcPr>
            <w:tcW w:w="3005" w:type="dxa"/>
            <w:vMerge w:val="restart"/>
          </w:tcPr>
          <w:p w:rsidR="00212513" w:rsidRDefault="00212513">
            <w:pPr>
              <w:pStyle w:val="ConsPlusNormal"/>
            </w:pPr>
            <w:r>
              <w:t xml:space="preserve">Свес в сторону консоли </w:t>
            </w:r>
            <w:r>
              <w:rPr>
                <w:i/>
              </w:rPr>
              <w:t>b</w:t>
            </w:r>
            <w:r>
              <w:rPr>
                <w:i/>
                <w:vertAlign w:val="subscript"/>
              </w:rPr>
              <w:t>c</w:t>
            </w:r>
          </w:p>
        </w:tc>
        <w:tc>
          <w:tcPr>
            <w:tcW w:w="2268" w:type="dxa"/>
            <w:tcBorders>
              <w:bottom w:val="nil"/>
            </w:tcBorders>
          </w:tcPr>
          <w:p w:rsidR="00212513" w:rsidRDefault="00212513">
            <w:pPr>
              <w:pStyle w:val="ConsPlusNormal"/>
              <w:jc w:val="center"/>
            </w:pPr>
            <w:r>
              <w:t>Св. 12</w:t>
            </w:r>
            <w:r>
              <w:rPr>
                <w:i/>
              </w:rPr>
              <w:t>C</w:t>
            </w:r>
          </w:p>
        </w:tc>
        <w:tc>
          <w:tcPr>
            <w:tcW w:w="3798" w:type="dxa"/>
            <w:tcBorders>
              <w:bottom w:val="nil"/>
            </w:tcBorders>
          </w:tcPr>
          <w:p w:rsidR="00212513" w:rsidRDefault="00212513">
            <w:pPr>
              <w:pStyle w:val="ConsPlusNormal"/>
              <w:jc w:val="center"/>
            </w:pPr>
            <w:r>
              <w:rPr>
                <w:i/>
              </w:rPr>
              <w:t>C</w:t>
            </w:r>
          </w:p>
        </w:tc>
      </w:tr>
      <w:tr w:rsidR="00212513">
        <w:tc>
          <w:tcPr>
            <w:tcW w:w="3005" w:type="dxa"/>
            <w:vMerge/>
          </w:tcPr>
          <w:p w:rsidR="00212513" w:rsidRDefault="00212513">
            <w:pPr>
              <w:pStyle w:val="ConsPlusNormal"/>
            </w:pPr>
          </w:p>
        </w:tc>
        <w:tc>
          <w:tcPr>
            <w:tcW w:w="2268" w:type="dxa"/>
            <w:tcBorders>
              <w:top w:val="nil"/>
            </w:tcBorders>
          </w:tcPr>
          <w:p w:rsidR="00212513" w:rsidRDefault="00212513">
            <w:pPr>
              <w:pStyle w:val="ConsPlusNormal"/>
              <w:jc w:val="center"/>
            </w:pPr>
            <w:r>
              <w:t>Менее 12</w:t>
            </w:r>
            <w:r>
              <w:rPr>
                <w:i/>
              </w:rPr>
              <w:t>C</w:t>
            </w:r>
          </w:p>
        </w:tc>
        <w:tc>
          <w:tcPr>
            <w:tcW w:w="3798" w:type="dxa"/>
            <w:tcBorders>
              <w:top w:val="nil"/>
            </w:tcBorders>
          </w:tcPr>
          <w:p w:rsidR="00212513" w:rsidRDefault="00212513">
            <w:pPr>
              <w:pStyle w:val="ConsPlusNormal"/>
              <w:jc w:val="center"/>
            </w:pPr>
            <w:r>
              <w:rPr>
                <w:i/>
              </w:rPr>
              <w:t>a</w:t>
            </w:r>
            <w:r>
              <w:t xml:space="preserve"> + 6</w:t>
            </w:r>
            <w:r>
              <w:rPr>
                <w:i/>
              </w:rPr>
              <w:t>t</w:t>
            </w:r>
            <w:r>
              <w:rPr>
                <w:i/>
                <w:vertAlign w:val="subscript"/>
              </w:rPr>
              <w:t>sl,c</w:t>
            </w:r>
            <w:r>
              <w:t>,</w:t>
            </w:r>
          </w:p>
          <w:p w:rsidR="00212513" w:rsidRDefault="00212513">
            <w:pPr>
              <w:pStyle w:val="ConsPlusNormal"/>
              <w:jc w:val="center"/>
            </w:pPr>
            <w:r>
              <w:t xml:space="preserve">но не более </w:t>
            </w:r>
            <w:r>
              <w:rPr>
                <w:i/>
              </w:rPr>
              <w:t>C</w:t>
            </w:r>
            <w:r>
              <w:t xml:space="preserve"> и не менее </w:t>
            </w:r>
            <w:r>
              <w:rPr>
                <w:i/>
              </w:rPr>
              <w:t>l</w:t>
            </w:r>
            <w:r>
              <w:t>/12</w:t>
            </w:r>
          </w:p>
        </w:tc>
      </w:tr>
      <w:tr w:rsidR="00212513">
        <w:tc>
          <w:tcPr>
            <w:tcW w:w="9071" w:type="dxa"/>
            <w:gridSpan w:val="3"/>
          </w:tcPr>
          <w:p w:rsidR="00212513" w:rsidRDefault="00212513">
            <w:pPr>
              <w:pStyle w:val="ConsPlusNormal"/>
              <w:ind w:firstLine="283"/>
              <w:jc w:val="both"/>
            </w:pPr>
            <w:r>
              <w:rPr>
                <w:i/>
              </w:rPr>
              <w:t xml:space="preserve">Обозначения, принятые в </w:t>
            </w:r>
            <w:hyperlink w:anchor="P9467">
              <w:r>
                <w:rPr>
                  <w:i/>
                  <w:color w:val="0000FF"/>
                </w:rPr>
                <w:t>таблице 9.3</w:t>
              </w:r>
            </w:hyperlink>
            <w:r>
              <w:rPr>
                <w:i/>
              </w:rPr>
              <w:t>:</w:t>
            </w:r>
          </w:p>
          <w:p w:rsidR="00212513" w:rsidRDefault="00212513">
            <w:pPr>
              <w:pStyle w:val="ConsPlusNormal"/>
              <w:ind w:firstLine="283"/>
              <w:jc w:val="both"/>
            </w:pPr>
            <w:r>
              <w:rPr>
                <w:i/>
              </w:rPr>
              <w:t>a</w:t>
            </w:r>
            <w:r>
              <w:t xml:space="preserve"> - половина ширины железобетонного ребра или вута, а при их отсутствии - половина </w:t>
            </w:r>
            <w:r>
              <w:lastRenderedPageBreak/>
              <w:t>ширины контакта железобетонной плиты и стального пояса;</w:t>
            </w:r>
          </w:p>
          <w:p w:rsidR="00212513" w:rsidRDefault="00212513">
            <w:pPr>
              <w:pStyle w:val="ConsPlusNormal"/>
              <w:ind w:firstLine="283"/>
              <w:jc w:val="both"/>
            </w:pPr>
            <w:r>
              <w:rPr>
                <w:i/>
              </w:rPr>
              <w:t>t</w:t>
            </w:r>
            <w:r>
              <w:rPr>
                <w:i/>
                <w:vertAlign w:val="subscript"/>
              </w:rPr>
              <w:t>sl</w:t>
            </w:r>
            <w:r>
              <w:t xml:space="preserve">, </w:t>
            </w:r>
            <w:r>
              <w:rPr>
                <w:i/>
              </w:rPr>
              <w:t>t</w:t>
            </w:r>
            <w:r>
              <w:rPr>
                <w:i/>
                <w:vertAlign w:val="subscript"/>
              </w:rPr>
              <w:t>sl,c</w:t>
            </w:r>
            <w:r>
              <w:t xml:space="preserve"> - средняя толщина железобетонной плиты соответственно в пролете и на консоли (за вычетом ребра или вута);</w:t>
            </w:r>
          </w:p>
          <w:p w:rsidR="00212513" w:rsidRDefault="00212513">
            <w:pPr>
              <w:pStyle w:val="ConsPlusNormal"/>
              <w:ind w:firstLine="283"/>
              <w:jc w:val="both"/>
            </w:pPr>
            <w:r>
              <w:rPr>
                <w:i/>
              </w:rPr>
              <w:t>l</w:t>
            </w:r>
            <w:r>
              <w:t xml:space="preserve"> - параметр плиты, равный:</w:t>
            </w:r>
          </w:p>
          <w:p w:rsidR="00212513" w:rsidRDefault="00212513">
            <w:pPr>
              <w:pStyle w:val="ConsPlusNormal"/>
              <w:ind w:firstLine="283"/>
              <w:jc w:val="both"/>
            </w:pPr>
            <w:r>
              <w:t>длине пролета - для главных балок или ферм;</w:t>
            </w:r>
          </w:p>
          <w:p w:rsidR="00212513" w:rsidRDefault="00212513">
            <w:pPr>
              <w:pStyle w:val="ConsPlusNormal"/>
              <w:ind w:firstLine="283"/>
              <w:jc w:val="both"/>
            </w:pPr>
            <w:r>
              <w:t>длине панели - для продольных балок проезжей части;</w:t>
            </w:r>
          </w:p>
          <w:p w:rsidR="00212513" w:rsidRDefault="00212513">
            <w:pPr>
              <w:pStyle w:val="ConsPlusNormal"/>
              <w:ind w:firstLine="283"/>
              <w:jc w:val="both"/>
            </w:pPr>
            <w:r>
              <w:t>расстоянию между главными фермами или ширине железобетонной плиты поперек моста, если она меньше этого расстояния, - для поперечных балок проезжей части;</w:t>
            </w:r>
          </w:p>
          <w:p w:rsidR="00212513" w:rsidRDefault="00212513">
            <w:pPr>
              <w:pStyle w:val="ConsPlusNormal"/>
              <w:ind w:firstLine="283"/>
              <w:jc w:val="both"/>
            </w:pPr>
            <w:r>
              <w:rPr>
                <w:i/>
              </w:rPr>
              <w:t>B</w:t>
            </w:r>
            <w:r>
              <w:t xml:space="preserve"> - расстояние между осями стальных конструкций, равноценных по жесткости (см. </w:t>
            </w:r>
            <w:hyperlink w:anchor="P9464">
              <w:r>
                <w:rPr>
                  <w:color w:val="0000FF"/>
                </w:rPr>
                <w:t>рисунок 9.2</w:t>
              </w:r>
            </w:hyperlink>
            <w:r>
              <w:t>);</w:t>
            </w:r>
          </w:p>
          <w:p w:rsidR="00212513" w:rsidRDefault="00212513">
            <w:pPr>
              <w:pStyle w:val="ConsPlusNormal"/>
              <w:ind w:firstLine="283"/>
              <w:jc w:val="both"/>
            </w:pPr>
            <w:r>
              <w:rPr>
                <w:i/>
              </w:rPr>
              <w:t>C</w:t>
            </w:r>
            <w:r>
              <w:t xml:space="preserve"> - конструктивный консольный свес плиты от оси стальной конструкции (см. </w:t>
            </w:r>
            <w:hyperlink w:anchor="P9464">
              <w:r>
                <w:rPr>
                  <w:color w:val="0000FF"/>
                </w:rPr>
                <w:t>рисунок 9.2</w:t>
              </w:r>
            </w:hyperlink>
            <w:r>
              <w:t>).</w:t>
            </w:r>
          </w:p>
        </w:tc>
      </w:tr>
    </w:tbl>
    <w:p w:rsidR="00212513" w:rsidRDefault="00212513">
      <w:pPr>
        <w:pStyle w:val="ConsPlusNormal"/>
        <w:ind w:firstLine="540"/>
        <w:jc w:val="both"/>
      </w:pPr>
    </w:p>
    <w:p w:rsidR="00212513" w:rsidRDefault="00212513">
      <w:pPr>
        <w:pStyle w:val="ConsPlusNormal"/>
        <w:ind w:firstLine="540"/>
        <w:jc w:val="both"/>
      </w:pPr>
      <w:bookmarkStart w:id="417" w:name="P9494"/>
      <w:bookmarkEnd w:id="417"/>
      <w:r>
        <w:t xml:space="preserve">9.16 Площадь железобетонной плиты </w:t>
      </w:r>
      <w:r>
        <w:rPr>
          <w:noProof/>
          <w:position w:val="-8"/>
        </w:rPr>
        <w:drawing>
          <wp:inline distT="0" distB="0" distL="0" distR="0">
            <wp:extent cx="209550" cy="251460"/>
            <wp:effectExtent l="0" t="0" r="0" b="0"/>
            <wp:docPr id="16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а в расчетах на кручение - также ее толщину </w:t>
      </w:r>
      <w:r>
        <w:rPr>
          <w:noProof/>
          <w:position w:val="-8"/>
        </w:rPr>
        <w:drawing>
          <wp:inline distT="0" distB="0" distL="0" distR="0">
            <wp:extent cx="167640" cy="251460"/>
            <wp:effectExtent l="0" t="0" r="0" b="0"/>
            <wp:docPr id="1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2"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и ширину ребра или вута следует принимать поделенными на коэффициент приведения </w:t>
      </w:r>
      <w:r>
        <w:rPr>
          <w:noProof/>
          <w:position w:val="-8"/>
        </w:rPr>
        <w:drawing>
          <wp:inline distT="0" distB="0" distL="0" distR="0">
            <wp:extent cx="177800" cy="251460"/>
            <wp:effectExtent l="0" t="0" r="0" b="0"/>
            <wp:docPr id="16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3"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согласно </w:t>
      </w:r>
      <w:hyperlink w:anchor="P9315">
        <w:r>
          <w:rPr>
            <w:color w:val="0000FF"/>
          </w:rPr>
          <w:t>9.5</w:t>
        </w:r>
      </w:hyperlink>
      <w:r>
        <w:t xml:space="preserve">. При учете неупругих деформаций допускается использовать коэффициенты приведения, найденные по условным модулям упругости бетона, определяемым по </w:t>
      </w:r>
      <w:hyperlink w:anchor="P17263">
        <w:r>
          <w:rPr>
            <w:color w:val="0000FF"/>
          </w:rPr>
          <w:t>приложениям Щ</w:t>
        </w:r>
      </w:hyperlink>
      <w:r>
        <w:t xml:space="preserve"> и </w:t>
      </w:r>
      <w:hyperlink w:anchor="P17390">
        <w:r>
          <w:rPr>
            <w:color w:val="0000FF"/>
          </w:rPr>
          <w:t>Э</w:t>
        </w:r>
      </w:hyperlink>
      <w:r>
        <w:t>.</w:t>
      </w:r>
    </w:p>
    <w:p w:rsidR="00212513" w:rsidRDefault="00212513">
      <w:pPr>
        <w:pStyle w:val="ConsPlusNormal"/>
        <w:spacing w:before="220"/>
        <w:ind w:firstLine="540"/>
        <w:jc w:val="both"/>
      </w:pPr>
      <w:r>
        <w:t xml:space="preserve">Площадь продольной арматуры, имеющей сцепление с бетоном, следует принимать поделенной на коэффициент приведения </w:t>
      </w:r>
      <w:r>
        <w:rPr>
          <w:noProof/>
          <w:position w:val="-8"/>
        </w:rPr>
        <w:drawing>
          <wp:inline distT="0" distB="0" distL="0" distR="0">
            <wp:extent cx="818515" cy="251460"/>
            <wp:effectExtent l="0" t="0" r="0" b="0"/>
            <wp:docPr id="17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4" cstate="print">
                      <a:extLst>
                        <a:ext uri="{28A0092B-C50C-407E-A947-70E740481C1C}">
                          <a14:useLocalDpi xmlns:a14="http://schemas.microsoft.com/office/drawing/2010/main" val="0"/>
                        </a:ext>
                      </a:extLst>
                    </a:blip>
                    <a:srcRect/>
                    <a:stretch>
                      <a:fillRect/>
                    </a:stretch>
                  </pic:blipFill>
                  <pic:spPr bwMode="auto">
                    <a:xfrm>
                      <a:off x="0" y="0"/>
                      <a:ext cx="818515" cy="251460"/>
                    </a:xfrm>
                    <a:prstGeom prst="rect">
                      <a:avLst/>
                    </a:prstGeom>
                    <a:noFill/>
                    <a:ln>
                      <a:noFill/>
                    </a:ln>
                  </pic:spPr>
                </pic:pic>
              </a:graphicData>
            </a:graphic>
          </wp:inline>
        </w:drawing>
      </w:r>
      <w:r>
        <w:t xml:space="preserve">, где </w:t>
      </w:r>
      <w:r>
        <w:rPr>
          <w:noProof/>
          <w:position w:val="-8"/>
        </w:rPr>
        <w:drawing>
          <wp:inline distT="0" distB="0" distL="0" distR="0">
            <wp:extent cx="209550" cy="251460"/>
            <wp:effectExtent l="0" t="0" r="0" b="0"/>
            <wp:docPr id="1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модуль упругости ненапрягаемой </w:t>
      </w:r>
      <w:r>
        <w:rPr>
          <w:noProof/>
          <w:position w:val="-8"/>
        </w:rPr>
        <w:drawing>
          <wp:inline distT="0" distB="0" distL="0" distR="0">
            <wp:extent cx="241935" cy="251460"/>
            <wp:effectExtent l="0" t="0" r="0" b="0"/>
            <wp:docPr id="1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или напрягаемой </w:t>
      </w:r>
      <w:r>
        <w:rPr>
          <w:noProof/>
          <w:position w:val="-9"/>
        </w:rPr>
        <w:drawing>
          <wp:inline distT="0" distB="0" distL="0" distR="0">
            <wp:extent cx="251460" cy="262890"/>
            <wp:effectExtent l="0" t="0" r="0" b="0"/>
            <wp:docPr id="1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7"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арматуры, принимаемый по </w:t>
      </w:r>
      <w:hyperlink w:anchor="P3846">
        <w:r>
          <w:rPr>
            <w:color w:val="0000FF"/>
          </w:rPr>
          <w:t>таблице 7.19</w:t>
        </w:r>
      </w:hyperlink>
      <w:r>
        <w:t>.</w:t>
      </w:r>
    </w:p>
    <w:p w:rsidR="00212513" w:rsidRDefault="00212513">
      <w:pPr>
        <w:pStyle w:val="ConsPlusNormal"/>
        <w:spacing w:before="220"/>
        <w:ind w:firstLine="540"/>
        <w:jc w:val="both"/>
      </w:pPr>
      <w:r>
        <w:t>Подливку, одежду ездового полотна и верхнее строение железнодорожного пути в составе расчетного поперечного сечения учитывать не следует.</w:t>
      </w:r>
    </w:p>
    <w:p w:rsidR="00212513" w:rsidRDefault="00212513">
      <w:pPr>
        <w:pStyle w:val="ConsPlusNormal"/>
        <w:spacing w:before="220"/>
        <w:ind w:firstLine="540"/>
        <w:jc w:val="both"/>
      </w:pPr>
      <w:r>
        <w:t>9.17 Центры тяжести стального и приведенного сечений следует определять по сечению брутто.</w:t>
      </w:r>
    </w:p>
    <w:p w:rsidR="00212513" w:rsidRDefault="00212513">
      <w:pPr>
        <w:pStyle w:val="ConsPlusNormal"/>
        <w:spacing w:before="220"/>
        <w:ind w:firstLine="540"/>
        <w:jc w:val="both"/>
      </w:pPr>
      <w:r>
        <w:t xml:space="preserve">Ослабление сечений болтовыми отверстиями учитывается согласно </w:t>
      </w:r>
      <w:hyperlink w:anchor="P6957">
        <w:r>
          <w:rPr>
            <w:color w:val="0000FF"/>
          </w:rPr>
          <w:t>8.24</w:t>
        </w:r>
      </w:hyperlink>
      <w:r>
        <w:t>.</w:t>
      </w:r>
    </w:p>
    <w:p w:rsidR="00212513" w:rsidRDefault="00212513">
      <w:pPr>
        <w:pStyle w:val="ConsPlusNormal"/>
        <w:spacing w:before="220"/>
        <w:ind w:firstLine="540"/>
        <w:jc w:val="both"/>
      </w:pPr>
      <w:r>
        <w:t xml:space="preserve">9.18 Прочность и устойчивость стальных балок при монтаже проверяют согласно </w:t>
      </w:r>
      <w:hyperlink w:anchor="P7710">
        <w:r>
          <w:rPr>
            <w:color w:val="0000FF"/>
          </w:rPr>
          <w:t>8.41</w:t>
        </w:r>
      </w:hyperlink>
      <w:r>
        <w:t xml:space="preserve">, </w:t>
      </w:r>
      <w:hyperlink w:anchor="P7727">
        <w:r>
          <w:rPr>
            <w:color w:val="0000FF"/>
          </w:rPr>
          <w:t>8.42</w:t>
        </w:r>
      </w:hyperlink>
      <w:r>
        <w:t xml:space="preserve"> и </w:t>
      </w:r>
      <w:hyperlink w:anchor="P7907">
        <w:r>
          <w:rPr>
            <w:color w:val="0000FF"/>
          </w:rPr>
          <w:t>8.51</w:t>
        </w:r>
      </w:hyperlink>
      <w:r>
        <w:t>.</w:t>
      </w:r>
    </w:p>
    <w:p w:rsidR="00212513" w:rsidRDefault="00212513">
      <w:pPr>
        <w:pStyle w:val="ConsPlusNormal"/>
        <w:spacing w:before="220"/>
        <w:ind w:firstLine="540"/>
        <w:jc w:val="both"/>
      </w:pPr>
      <w:r>
        <w:t xml:space="preserve">Прочность и трещиностойкость конструкций и их элементов при предварительном напряжении, транспортировании и монтаже следует проверять в предположении упругой работы стали и бетона. Проверку следует осуществлять без учета ползучести, усадки бетона и обжатия поперечных швов, но с учетом влияния потерь предварительного напряжения согласно </w:t>
      </w:r>
      <w:hyperlink w:anchor="P1956">
        <w:r>
          <w:rPr>
            <w:color w:val="0000FF"/>
          </w:rPr>
          <w:t>разделу 7</w:t>
        </w:r>
      </w:hyperlink>
      <w:r>
        <w:t>.</w:t>
      </w:r>
    </w:p>
    <w:p w:rsidR="00212513" w:rsidRDefault="00212513">
      <w:pPr>
        <w:pStyle w:val="ConsPlusNormal"/>
        <w:ind w:firstLine="540"/>
        <w:jc w:val="both"/>
      </w:pPr>
    </w:p>
    <w:p w:rsidR="00212513" w:rsidRDefault="00212513">
      <w:pPr>
        <w:pStyle w:val="ConsPlusTitle"/>
        <w:ind w:firstLine="540"/>
        <w:jc w:val="both"/>
        <w:outlineLvl w:val="2"/>
      </w:pPr>
      <w:r>
        <w:t>Расчет конструкций</w:t>
      </w:r>
    </w:p>
    <w:p w:rsidR="00212513" w:rsidRDefault="00212513">
      <w:pPr>
        <w:pStyle w:val="ConsPlusNormal"/>
        <w:ind w:firstLine="540"/>
        <w:jc w:val="both"/>
      </w:pPr>
    </w:p>
    <w:p w:rsidR="00212513" w:rsidRDefault="00212513">
      <w:pPr>
        <w:pStyle w:val="ConsPlusTitle"/>
        <w:ind w:firstLine="540"/>
        <w:jc w:val="both"/>
        <w:outlineLvl w:val="3"/>
      </w:pPr>
      <w:r>
        <w:t>Расчет по прочности</w:t>
      </w:r>
    </w:p>
    <w:p w:rsidR="00212513" w:rsidRDefault="00212513">
      <w:pPr>
        <w:pStyle w:val="ConsPlusNormal"/>
        <w:ind w:firstLine="540"/>
        <w:jc w:val="both"/>
      </w:pPr>
    </w:p>
    <w:p w:rsidR="00212513" w:rsidRDefault="00212513">
      <w:pPr>
        <w:pStyle w:val="ConsPlusNormal"/>
        <w:ind w:firstLine="540"/>
        <w:jc w:val="both"/>
      </w:pPr>
      <w:bookmarkStart w:id="418" w:name="P9506"/>
      <w:bookmarkEnd w:id="418"/>
      <w:r>
        <w:t xml:space="preserve">9.19 Расчет сталежелезобетонной балки на воздействие положительного изгибающего момента (вызывающего в верхнем поясе сжатие) следует выполнять по формулам таблицы 9.4 по одному из расчетных случаев А, Б или В </w:t>
      </w:r>
      <w:hyperlink w:anchor="P9570">
        <w:r>
          <w:rPr>
            <w:color w:val="0000FF"/>
          </w:rPr>
          <w:t>(рисунок 9.3)</w:t>
        </w:r>
      </w:hyperlink>
      <w:r>
        <w:t xml:space="preserve"> в зависимости от величины напряжения в бетоне </w:t>
      </w:r>
      <w:r>
        <w:rPr>
          <w:noProof/>
          <w:position w:val="-8"/>
        </w:rPr>
        <w:drawing>
          <wp:inline distT="0" distB="0" distL="0" distR="0">
            <wp:extent cx="209550" cy="251460"/>
            <wp:effectExtent l="0" t="0" r="0" b="0"/>
            <wp:docPr id="1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на уровне центра тяжести железобетонной плиты и напряжения в продольной арматуре </w:t>
      </w:r>
      <w:r>
        <w:rPr>
          <w:noProof/>
          <w:position w:val="-8"/>
        </w:rPr>
        <w:drawing>
          <wp:inline distT="0" distB="0" distL="0" distR="0">
            <wp:extent cx="209550" cy="251460"/>
            <wp:effectExtent l="0" t="0" r="0" b="0"/>
            <wp:docPr id="1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отвечающего деформации бетона при напряжении </w:t>
      </w:r>
      <w:r>
        <w:rPr>
          <w:noProof/>
          <w:position w:val="-8"/>
        </w:rPr>
        <w:drawing>
          <wp:inline distT="0" distB="0" distL="0" distR="0">
            <wp:extent cx="209550" cy="251460"/>
            <wp:effectExtent l="0" t="0" r="0" b="0"/>
            <wp:docPr id="1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w:t>
      </w:r>
    </w:p>
    <w:p w:rsidR="00212513" w:rsidRDefault="00212513">
      <w:pPr>
        <w:pStyle w:val="ConsPlusNormal"/>
        <w:ind w:firstLine="540"/>
        <w:jc w:val="both"/>
      </w:pPr>
    </w:p>
    <w:p w:rsidR="00212513" w:rsidRDefault="00212513">
      <w:pPr>
        <w:pStyle w:val="ConsPlusNormal"/>
        <w:jc w:val="right"/>
      </w:pPr>
      <w:bookmarkStart w:id="419" w:name="P9508"/>
      <w:bookmarkEnd w:id="419"/>
      <w:r>
        <w:t>Таблица 9.4</w:t>
      </w:r>
    </w:p>
    <w:p w:rsidR="00212513" w:rsidRDefault="00212513">
      <w:pPr>
        <w:pStyle w:val="ConsPlusNormal"/>
        <w:ind w:firstLine="540"/>
        <w:jc w:val="both"/>
      </w:pPr>
    </w:p>
    <w:p w:rsidR="00212513" w:rsidRDefault="00212513">
      <w:pPr>
        <w:pStyle w:val="ConsPlusNormal"/>
        <w:sectPr w:rsidR="00212513">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3061"/>
        <w:gridCol w:w="2948"/>
        <w:gridCol w:w="3742"/>
      </w:tblGrid>
      <w:tr w:rsidR="00212513">
        <w:tc>
          <w:tcPr>
            <w:tcW w:w="2154" w:type="dxa"/>
            <w:vMerge w:val="restart"/>
          </w:tcPr>
          <w:p w:rsidR="00212513" w:rsidRDefault="00212513">
            <w:pPr>
              <w:pStyle w:val="ConsPlusNormal"/>
              <w:jc w:val="center"/>
            </w:pPr>
            <w:r>
              <w:lastRenderedPageBreak/>
              <w:t>Критерии и проверки</w:t>
            </w:r>
          </w:p>
        </w:tc>
        <w:tc>
          <w:tcPr>
            <w:tcW w:w="9751" w:type="dxa"/>
            <w:gridSpan w:val="3"/>
          </w:tcPr>
          <w:p w:rsidR="00212513" w:rsidRDefault="00212513">
            <w:pPr>
              <w:pStyle w:val="ConsPlusNormal"/>
              <w:jc w:val="center"/>
            </w:pPr>
            <w:r>
              <w:t>Формулы для критериев и проверок прочности в расчетных случаях</w:t>
            </w:r>
          </w:p>
        </w:tc>
      </w:tr>
      <w:tr w:rsidR="00212513">
        <w:tc>
          <w:tcPr>
            <w:tcW w:w="2154" w:type="dxa"/>
            <w:vMerge/>
          </w:tcPr>
          <w:p w:rsidR="00212513" w:rsidRDefault="00212513">
            <w:pPr>
              <w:pStyle w:val="ConsPlusNormal"/>
            </w:pPr>
          </w:p>
        </w:tc>
        <w:tc>
          <w:tcPr>
            <w:tcW w:w="3061" w:type="dxa"/>
          </w:tcPr>
          <w:p w:rsidR="00212513" w:rsidRDefault="00212513">
            <w:pPr>
              <w:pStyle w:val="ConsPlusNormal"/>
              <w:jc w:val="center"/>
            </w:pPr>
            <w:r>
              <w:t>А</w:t>
            </w:r>
          </w:p>
        </w:tc>
        <w:tc>
          <w:tcPr>
            <w:tcW w:w="2948" w:type="dxa"/>
          </w:tcPr>
          <w:p w:rsidR="00212513" w:rsidRDefault="00212513">
            <w:pPr>
              <w:pStyle w:val="ConsPlusNormal"/>
              <w:jc w:val="center"/>
            </w:pPr>
            <w:r>
              <w:t>Б</w:t>
            </w:r>
          </w:p>
        </w:tc>
        <w:tc>
          <w:tcPr>
            <w:tcW w:w="3742" w:type="dxa"/>
          </w:tcPr>
          <w:p w:rsidR="00212513" w:rsidRDefault="00212513">
            <w:pPr>
              <w:pStyle w:val="ConsPlusNormal"/>
              <w:jc w:val="center"/>
            </w:pPr>
            <w:r>
              <w:t>В</w:t>
            </w:r>
          </w:p>
        </w:tc>
      </w:tr>
      <w:tr w:rsidR="00212513">
        <w:tc>
          <w:tcPr>
            <w:tcW w:w="2154" w:type="dxa"/>
            <w:vAlign w:val="bottom"/>
          </w:tcPr>
          <w:p w:rsidR="00212513" w:rsidRDefault="00212513">
            <w:pPr>
              <w:pStyle w:val="ConsPlusNormal"/>
            </w:pPr>
            <w:r>
              <w:t>Критерии:</w:t>
            </w:r>
          </w:p>
          <w:p w:rsidR="00212513" w:rsidRDefault="00212513">
            <w:pPr>
              <w:pStyle w:val="ConsPlusNormal"/>
              <w:ind w:left="283"/>
            </w:pPr>
            <w:r>
              <w:t>соотношения жесткостей</w:t>
            </w:r>
          </w:p>
        </w:tc>
        <w:tc>
          <w:tcPr>
            <w:tcW w:w="3061" w:type="dxa"/>
          </w:tcPr>
          <w:p w:rsidR="00212513" w:rsidRDefault="00212513">
            <w:pPr>
              <w:pStyle w:val="ConsPlusNormal"/>
              <w:jc w:val="center"/>
            </w:pPr>
            <w:r>
              <w:rPr>
                <w:noProof/>
                <w:position w:val="-8"/>
              </w:rPr>
              <w:drawing>
                <wp:inline distT="0" distB="0" distL="0" distR="0">
                  <wp:extent cx="1047750" cy="251460"/>
                  <wp:effectExtent l="0" t="0" r="0" b="0"/>
                  <wp:docPr id="1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1" cstate="print">
                            <a:extLst>
                              <a:ext uri="{28A0092B-C50C-407E-A947-70E740481C1C}">
                                <a14:useLocalDpi xmlns:a14="http://schemas.microsoft.com/office/drawing/2010/main" val="0"/>
                              </a:ext>
                            </a:extLst>
                          </a:blip>
                          <a:srcRect/>
                          <a:stretch>
                            <a:fillRect/>
                          </a:stretch>
                        </pic:blipFill>
                        <pic:spPr bwMode="auto">
                          <a:xfrm>
                            <a:off x="0" y="0"/>
                            <a:ext cx="1047750" cy="251460"/>
                          </a:xfrm>
                          <a:prstGeom prst="rect">
                            <a:avLst/>
                          </a:prstGeom>
                          <a:noFill/>
                          <a:ln>
                            <a:noFill/>
                          </a:ln>
                        </pic:spPr>
                      </pic:pic>
                    </a:graphicData>
                  </a:graphic>
                </wp:inline>
              </w:drawing>
            </w:r>
          </w:p>
        </w:tc>
        <w:tc>
          <w:tcPr>
            <w:tcW w:w="2948" w:type="dxa"/>
          </w:tcPr>
          <w:p w:rsidR="00212513" w:rsidRDefault="00212513">
            <w:pPr>
              <w:pStyle w:val="ConsPlusNormal"/>
              <w:jc w:val="center"/>
            </w:pPr>
            <w:r>
              <w:t>-</w:t>
            </w:r>
          </w:p>
        </w:tc>
        <w:tc>
          <w:tcPr>
            <w:tcW w:w="3742" w:type="dxa"/>
          </w:tcPr>
          <w:p w:rsidR="00212513" w:rsidRDefault="00212513">
            <w:pPr>
              <w:pStyle w:val="ConsPlusNormal"/>
              <w:jc w:val="center"/>
            </w:pPr>
            <w:r>
              <w:t>-</w:t>
            </w:r>
          </w:p>
        </w:tc>
      </w:tr>
      <w:tr w:rsidR="00212513">
        <w:tc>
          <w:tcPr>
            <w:tcW w:w="2154" w:type="dxa"/>
            <w:vAlign w:val="bottom"/>
          </w:tcPr>
          <w:p w:rsidR="00212513" w:rsidRDefault="00212513">
            <w:pPr>
              <w:pStyle w:val="ConsPlusNormal"/>
              <w:ind w:left="283"/>
            </w:pPr>
            <w:r>
              <w:t>напряжения в бетоне</w:t>
            </w:r>
          </w:p>
          <w:p w:rsidR="00212513" w:rsidRDefault="00212513">
            <w:pPr>
              <w:pStyle w:val="ConsPlusNormal"/>
              <w:ind w:left="283"/>
            </w:pPr>
            <w:r>
              <w:t>(сжатие +, растяжение -)</w:t>
            </w:r>
          </w:p>
        </w:tc>
        <w:tc>
          <w:tcPr>
            <w:tcW w:w="3061" w:type="dxa"/>
          </w:tcPr>
          <w:p w:rsidR="00212513" w:rsidRDefault="00212513">
            <w:pPr>
              <w:pStyle w:val="ConsPlusNormal"/>
              <w:jc w:val="center"/>
            </w:pPr>
            <w:r>
              <w:rPr>
                <w:noProof/>
                <w:position w:val="-27"/>
              </w:rPr>
              <w:drawing>
                <wp:inline distT="0" distB="0" distL="0" distR="0">
                  <wp:extent cx="1718310" cy="492760"/>
                  <wp:effectExtent l="0" t="0" r="0" b="0"/>
                  <wp:docPr id="1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2" cstate="print">
                            <a:extLst>
                              <a:ext uri="{28A0092B-C50C-407E-A947-70E740481C1C}">
                                <a14:useLocalDpi xmlns:a14="http://schemas.microsoft.com/office/drawing/2010/main" val="0"/>
                              </a:ext>
                            </a:extLst>
                          </a:blip>
                          <a:srcRect/>
                          <a:stretch>
                            <a:fillRect/>
                          </a:stretch>
                        </pic:blipFill>
                        <pic:spPr bwMode="auto">
                          <a:xfrm>
                            <a:off x="0" y="0"/>
                            <a:ext cx="1718310" cy="492760"/>
                          </a:xfrm>
                          <a:prstGeom prst="rect">
                            <a:avLst/>
                          </a:prstGeom>
                          <a:noFill/>
                          <a:ln>
                            <a:noFill/>
                          </a:ln>
                        </pic:spPr>
                      </pic:pic>
                    </a:graphicData>
                  </a:graphic>
                </wp:inline>
              </w:drawing>
            </w:r>
          </w:p>
        </w:tc>
        <w:tc>
          <w:tcPr>
            <w:tcW w:w="6690" w:type="dxa"/>
            <w:gridSpan w:val="2"/>
          </w:tcPr>
          <w:p w:rsidR="00212513" w:rsidRDefault="00212513">
            <w:pPr>
              <w:pStyle w:val="ConsPlusNormal"/>
              <w:jc w:val="center"/>
            </w:pPr>
            <w:r>
              <w:rPr>
                <w:noProof/>
                <w:position w:val="-27"/>
              </w:rPr>
              <w:drawing>
                <wp:inline distT="0" distB="0" distL="0" distR="0">
                  <wp:extent cx="1718310" cy="492760"/>
                  <wp:effectExtent l="0" t="0" r="0" b="0"/>
                  <wp:docPr id="1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3" cstate="print">
                            <a:extLst>
                              <a:ext uri="{28A0092B-C50C-407E-A947-70E740481C1C}">
                                <a14:useLocalDpi xmlns:a14="http://schemas.microsoft.com/office/drawing/2010/main" val="0"/>
                              </a:ext>
                            </a:extLst>
                          </a:blip>
                          <a:srcRect/>
                          <a:stretch>
                            <a:fillRect/>
                          </a:stretch>
                        </pic:blipFill>
                        <pic:spPr bwMode="auto">
                          <a:xfrm>
                            <a:off x="0" y="0"/>
                            <a:ext cx="1718310" cy="492760"/>
                          </a:xfrm>
                          <a:prstGeom prst="rect">
                            <a:avLst/>
                          </a:prstGeom>
                          <a:noFill/>
                          <a:ln>
                            <a:noFill/>
                          </a:ln>
                        </pic:spPr>
                      </pic:pic>
                    </a:graphicData>
                  </a:graphic>
                </wp:inline>
              </w:drawing>
            </w:r>
          </w:p>
        </w:tc>
      </w:tr>
      <w:tr w:rsidR="00212513">
        <w:tc>
          <w:tcPr>
            <w:tcW w:w="2154" w:type="dxa"/>
            <w:vAlign w:val="bottom"/>
          </w:tcPr>
          <w:p w:rsidR="00212513" w:rsidRDefault="00212513">
            <w:pPr>
              <w:pStyle w:val="ConsPlusNormal"/>
              <w:ind w:left="283"/>
            </w:pPr>
            <w:r>
              <w:t>напряжения в расчетной продольной арматуре</w:t>
            </w:r>
          </w:p>
          <w:p w:rsidR="00212513" w:rsidRDefault="00212513">
            <w:pPr>
              <w:pStyle w:val="ConsPlusNormal"/>
              <w:ind w:left="283"/>
            </w:pPr>
            <w:r>
              <w:t>(сжатие +, растяжение -)</w:t>
            </w:r>
          </w:p>
        </w:tc>
        <w:tc>
          <w:tcPr>
            <w:tcW w:w="6009" w:type="dxa"/>
            <w:gridSpan w:val="2"/>
          </w:tcPr>
          <w:p w:rsidR="00212513" w:rsidRDefault="00212513">
            <w:pPr>
              <w:pStyle w:val="ConsPlusNormal"/>
              <w:jc w:val="center"/>
            </w:pPr>
            <w:r>
              <w:rPr>
                <w:noProof/>
                <w:position w:val="-27"/>
              </w:rPr>
              <w:drawing>
                <wp:inline distT="0" distB="0" distL="0" distR="0">
                  <wp:extent cx="1708150" cy="492760"/>
                  <wp:effectExtent l="0" t="0" r="0" b="0"/>
                  <wp:docPr id="1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4" cstate="print">
                            <a:extLst>
                              <a:ext uri="{28A0092B-C50C-407E-A947-70E740481C1C}">
                                <a14:useLocalDpi xmlns:a14="http://schemas.microsoft.com/office/drawing/2010/main" val="0"/>
                              </a:ext>
                            </a:extLst>
                          </a:blip>
                          <a:srcRect/>
                          <a:stretch>
                            <a:fillRect/>
                          </a:stretch>
                        </pic:blipFill>
                        <pic:spPr bwMode="auto">
                          <a:xfrm>
                            <a:off x="0" y="0"/>
                            <a:ext cx="1708150" cy="492760"/>
                          </a:xfrm>
                          <a:prstGeom prst="rect">
                            <a:avLst/>
                          </a:prstGeom>
                          <a:noFill/>
                          <a:ln>
                            <a:noFill/>
                          </a:ln>
                        </pic:spPr>
                      </pic:pic>
                    </a:graphicData>
                  </a:graphic>
                </wp:inline>
              </w:drawing>
            </w:r>
          </w:p>
        </w:tc>
        <w:tc>
          <w:tcPr>
            <w:tcW w:w="3742" w:type="dxa"/>
          </w:tcPr>
          <w:p w:rsidR="00212513" w:rsidRDefault="00212513">
            <w:pPr>
              <w:pStyle w:val="ConsPlusNormal"/>
              <w:jc w:val="center"/>
            </w:pPr>
            <w:r>
              <w:rPr>
                <w:noProof/>
                <w:position w:val="-27"/>
              </w:rPr>
              <w:drawing>
                <wp:inline distT="0" distB="0" distL="0" distR="0">
                  <wp:extent cx="1708150" cy="492760"/>
                  <wp:effectExtent l="0" t="0" r="0" b="0"/>
                  <wp:docPr id="1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5" cstate="print">
                            <a:extLst>
                              <a:ext uri="{28A0092B-C50C-407E-A947-70E740481C1C}">
                                <a14:useLocalDpi xmlns:a14="http://schemas.microsoft.com/office/drawing/2010/main" val="0"/>
                              </a:ext>
                            </a:extLst>
                          </a:blip>
                          <a:srcRect/>
                          <a:stretch>
                            <a:fillRect/>
                          </a:stretch>
                        </pic:blipFill>
                        <pic:spPr bwMode="auto">
                          <a:xfrm>
                            <a:off x="0" y="0"/>
                            <a:ext cx="1708150" cy="492760"/>
                          </a:xfrm>
                          <a:prstGeom prst="rect">
                            <a:avLst/>
                          </a:prstGeom>
                          <a:noFill/>
                          <a:ln>
                            <a:noFill/>
                          </a:ln>
                        </pic:spPr>
                      </pic:pic>
                    </a:graphicData>
                  </a:graphic>
                </wp:inline>
              </w:drawing>
            </w:r>
          </w:p>
        </w:tc>
      </w:tr>
      <w:tr w:rsidR="00212513">
        <w:tc>
          <w:tcPr>
            <w:tcW w:w="2154" w:type="dxa"/>
            <w:vAlign w:val="bottom"/>
          </w:tcPr>
          <w:p w:rsidR="00212513" w:rsidRDefault="00212513">
            <w:pPr>
              <w:pStyle w:val="ConsPlusNormal"/>
            </w:pPr>
            <w:r>
              <w:t>Проверки:</w:t>
            </w:r>
          </w:p>
          <w:p w:rsidR="00212513" w:rsidRDefault="00212513">
            <w:pPr>
              <w:pStyle w:val="ConsPlusNormal"/>
              <w:ind w:left="283"/>
            </w:pPr>
            <w:r>
              <w:t>железобетона</w:t>
            </w:r>
          </w:p>
          <w:p w:rsidR="00212513" w:rsidRDefault="00212513">
            <w:pPr>
              <w:pStyle w:val="ConsPlusNormal"/>
              <w:ind w:left="283"/>
            </w:pPr>
            <w:r>
              <w:t>(сжатие +, растяжение -)</w:t>
            </w:r>
          </w:p>
        </w:tc>
        <w:tc>
          <w:tcPr>
            <w:tcW w:w="3061" w:type="dxa"/>
          </w:tcPr>
          <w:p w:rsidR="00212513" w:rsidRDefault="00212513">
            <w:pPr>
              <w:pStyle w:val="ConsPlusNormal"/>
              <w:jc w:val="center"/>
            </w:pPr>
            <w:r>
              <w:t>-</w:t>
            </w:r>
          </w:p>
        </w:tc>
        <w:tc>
          <w:tcPr>
            <w:tcW w:w="2948" w:type="dxa"/>
          </w:tcPr>
          <w:p w:rsidR="00212513" w:rsidRDefault="00212513">
            <w:pPr>
              <w:pStyle w:val="ConsPlusNormal"/>
              <w:jc w:val="center"/>
            </w:pPr>
            <w:r>
              <w:t>-</w:t>
            </w:r>
          </w:p>
        </w:tc>
        <w:tc>
          <w:tcPr>
            <w:tcW w:w="3742" w:type="dxa"/>
          </w:tcPr>
          <w:p w:rsidR="00212513" w:rsidRDefault="00212513">
            <w:pPr>
              <w:pStyle w:val="ConsPlusNormal"/>
              <w:jc w:val="center"/>
            </w:pPr>
            <w:r>
              <w:rPr>
                <w:noProof/>
                <w:position w:val="-30"/>
              </w:rPr>
              <w:drawing>
                <wp:inline distT="0" distB="0" distL="0" distR="0">
                  <wp:extent cx="2297430" cy="520700"/>
                  <wp:effectExtent l="0" t="0" r="0" b="0"/>
                  <wp:docPr id="1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6" cstate="print">
                            <a:extLst>
                              <a:ext uri="{28A0092B-C50C-407E-A947-70E740481C1C}">
                                <a14:useLocalDpi xmlns:a14="http://schemas.microsoft.com/office/drawing/2010/main" val="0"/>
                              </a:ext>
                            </a:extLst>
                          </a:blip>
                          <a:srcRect/>
                          <a:stretch>
                            <a:fillRect/>
                          </a:stretch>
                        </pic:blipFill>
                        <pic:spPr bwMode="auto">
                          <a:xfrm>
                            <a:off x="0" y="0"/>
                            <a:ext cx="2297430" cy="520700"/>
                          </a:xfrm>
                          <a:prstGeom prst="rect">
                            <a:avLst/>
                          </a:prstGeom>
                          <a:noFill/>
                          <a:ln>
                            <a:noFill/>
                          </a:ln>
                        </pic:spPr>
                      </pic:pic>
                    </a:graphicData>
                  </a:graphic>
                </wp:inline>
              </w:drawing>
            </w:r>
          </w:p>
        </w:tc>
      </w:tr>
      <w:tr w:rsidR="00212513">
        <w:tc>
          <w:tcPr>
            <w:tcW w:w="2154" w:type="dxa"/>
            <w:vAlign w:val="bottom"/>
          </w:tcPr>
          <w:p w:rsidR="00212513" w:rsidRDefault="00212513">
            <w:pPr>
              <w:pStyle w:val="ConsPlusNormal"/>
              <w:ind w:left="283"/>
            </w:pPr>
            <w:r>
              <w:t>стального верхнего пояса</w:t>
            </w:r>
          </w:p>
          <w:p w:rsidR="00212513" w:rsidRDefault="00212513">
            <w:pPr>
              <w:pStyle w:val="ConsPlusNormal"/>
              <w:ind w:left="283"/>
            </w:pPr>
            <w:r>
              <w:t>(сжатие +, растяжение -)</w:t>
            </w:r>
          </w:p>
        </w:tc>
        <w:tc>
          <w:tcPr>
            <w:tcW w:w="3061" w:type="dxa"/>
          </w:tcPr>
          <w:p w:rsidR="00212513" w:rsidRDefault="00212513">
            <w:pPr>
              <w:pStyle w:val="ConsPlusNormal"/>
              <w:jc w:val="center"/>
            </w:pPr>
            <w:r>
              <w:rPr>
                <w:noProof/>
                <w:position w:val="-27"/>
              </w:rPr>
              <w:drawing>
                <wp:inline distT="0" distB="0" distL="0" distR="0">
                  <wp:extent cx="1844040" cy="492760"/>
                  <wp:effectExtent l="0" t="0" r="0" b="0"/>
                  <wp:docPr id="1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7" cstate="print">
                            <a:extLst>
                              <a:ext uri="{28A0092B-C50C-407E-A947-70E740481C1C}">
                                <a14:useLocalDpi xmlns:a14="http://schemas.microsoft.com/office/drawing/2010/main" val="0"/>
                              </a:ext>
                            </a:extLst>
                          </a:blip>
                          <a:srcRect/>
                          <a:stretch>
                            <a:fillRect/>
                          </a:stretch>
                        </pic:blipFill>
                        <pic:spPr bwMode="auto">
                          <a:xfrm>
                            <a:off x="0" y="0"/>
                            <a:ext cx="1844040" cy="492760"/>
                          </a:xfrm>
                          <a:prstGeom prst="rect">
                            <a:avLst/>
                          </a:prstGeom>
                          <a:noFill/>
                          <a:ln>
                            <a:noFill/>
                          </a:ln>
                        </pic:spPr>
                      </pic:pic>
                    </a:graphicData>
                  </a:graphic>
                </wp:inline>
              </w:drawing>
            </w:r>
          </w:p>
        </w:tc>
        <w:tc>
          <w:tcPr>
            <w:tcW w:w="6690" w:type="dxa"/>
            <w:gridSpan w:val="2"/>
          </w:tcPr>
          <w:p w:rsidR="00212513" w:rsidRDefault="00212513">
            <w:pPr>
              <w:pStyle w:val="ConsPlusNormal"/>
              <w:jc w:val="center"/>
            </w:pPr>
            <w:r>
              <w:rPr>
                <w:noProof/>
                <w:position w:val="-28"/>
              </w:rPr>
              <w:drawing>
                <wp:inline distT="0" distB="0" distL="0" distR="0">
                  <wp:extent cx="1875790" cy="502920"/>
                  <wp:effectExtent l="0" t="0" r="0" b="0"/>
                  <wp:docPr id="1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8" cstate="print">
                            <a:extLst>
                              <a:ext uri="{28A0092B-C50C-407E-A947-70E740481C1C}">
                                <a14:useLocalDpi xmlns:a14="http://schemas.microsoft.com/office/drawing/2010/main" val="0"/>
                              </a:ext>
                            </a:extLst>
                          </a:blip>
                          <a:srcRect/>
                          <a:stretch>
                            <a:fillRect/>
                          </a:stretch>
                        </pic:blipFill>
                        <pic:spPr bwMode="auto">
                          <a:xfrm>
                            <a:off x="0" y="0"/>
                            <a:ext cx="1875790" cy="502920"/>
                          </a:xfrm>
                          <a:prstGeom prst="rect">
                            <a:avLst/>
                          </a:prstGeom>
                          <a:noFill/>
                          <a:ln>
                            <a:noFill/>
                          </a:ln>
                        </pic:spPr>
                      </pic:pic>
                    </a:graphicData>
                  </a:graphic>
                </wp:inline>
              </w:drawing>
            </w:r>
          </w:p>
        </w:tc>
      </w:tr>
      <w:tr w:rsidR="00212513">
        <w:tc>
          <w:tcPr>
            <w:tcW w:w="2154" w:type="dxa"/>
            <w:vAlign w:val="bottom"/>
          </w:tcPr>
          <w:p w:rsidR="00212513" w:rsidRDefault="00212513">
            <w:pPr>
              <w:pStyle w:val="ConsPlusNormal"/>
              <w:ind w:left="283"/>
            </w:pPr>
            <w:r>
              <w:t>стального нижнего пояса</w:t>
            </w:r>
          </w:p>
          <w:p w:rsidR="00212513" w:rsidRDefault="00212513">
            <w:pPr>
              <w:pStyle w:val="ConsPlusNormal"/>
              <w:ind w:left="283"/>
            </w:pPr>
            <w:r>
              <w:t>(сжатие +, растяжение -)</w:t>
            </w:r>
          </w:p>
        </w:tc>
        <w:tc>
          <w:tcPr>
            <w:tcW w:w="3061" w:type="dxa"/>
          </w:tcPr>
          <w:p w:rsidR="00212513" w:rsidRDefault="00212513">
            <w:pPr>
              <w:pStyle w:val="ConsPlusNormal"/>
              <w:jc w:val="center"/>
            </w:pPr>
            <w:r>
              <w:rPr>
                <w:noProof/>
                <w:position w:val="-27"/>
              </w:rPr>
              <w:drawing>
                <wp:inline distT="0" distB="0" distL="0" distR="0">
                  <wp:extent cx="1687195" cy="492760"/>
                  <wp:effectExtent l="0" t="0" r="0" b="0"/>
                  <wp:docPr id="1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9" cstate="print">
                            <a:extLst>
                              <a:ext uri="{28A0092B-C50C-407E-A947-70E740481C1C}">
                                <a14:useLocalDpi xmlns:a14="http://schemas.microsoft.com/office/drawing/2010/main" val="0"/>
                              </a:ext>
                            </a:extLst>
                          </a:blip>
                          <a:srcRect/>
                          <a:stretch>
                            <a:fillRect/>
                          </a:stretch>
                        </pic:blipFill>
                        <pic:spPr bwMode="auto">
                          <a:xfrm>
                            <a:off x="0" y="0"/>
                            <a:ext cx="1687195" cy="492760"/>
                          </a:xfrm>
                          <a:prstGeom prst="rect">
                            <a:avLst/>
                          </a:prstGeom>
                          <a:noFill/>
                          <a:ln>
                            <a:noFill/>
                          </a:ln>
                        </pic:spPr>
                      </pic:pic>
                    </a:graphicData>
                  </a:graphic>
                </wp:inline>
              </w:drawing>
            </w:r>
          </w:p>
        </w:tc>
        <w:tc>
          <w:tcPr>
            <w:tcW w:w="2948" w:type="dxa"/>
          </w:tcPr>
          <w:p w:rsidR="00212513" w:rsidRDefault="00212513">
            <w:pPr>
              <w:pStyle w:val="ConsPlusNormal"/>
              <w:jc w:val="center"/>
            </w:pPr>
            <w:r>
              <w:rPr>
                <w:noProof/>
                <w:position w:val="-26"/>
              </w:rPr>
              <w:drawing>
                <wp:inline distT="0" distB="0" distL="0" distR="0">
                  <wp:extent cx="1793240" cy="480695"/>
                  <wp:effectExtent l="0" t="0" r="0" b="0"/>
                  <wp:docPr id="1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0" cstate="print">
                            <a:extLst>
                              <a:ext uri="{28A0092B-C50C-407E-A947-70E740481C1C}">
                                <a14:useLocalDpi xmlns:a14="http://schemas.microsoft.com/office/drawing/2010/main" val="0"/>
                              </a:ext>
                            </a:extLst>
                          </a:blip>
                          <a:srcRect/>
                          <a:stretch>
                            <a:fillRect/>
                          </a:stretch>
                        </pic:blipFill>
                        <pic:spPr bwMode="auto">
                          <a:xfrm>
                            <a:off x="0" y="0"/>
                            <a:ext cx="1793240" cy="480695"/>
                          </a:xfrm>
                          <a:prstGeom prst="rect">
                            <a:avLst/>
                          </a:prstGeom>
                          <a:noFill/>
                          <a:ln>
                            <a:noFill/>
                          </a:ln>
                        </pic:spPr>
                      </pic:pic>
                    </a:graphicData>
                  </a:graphic>
                </wp:inline>
              </w:drawing>
            </w:r>
          </w:p>
        </w:tc>
        <w:tc>
          <w:tcPr>
            <w:tcW w:w="3742" w:type="dxa"/>
          </w:tcPr>
          <w:p w:rsidR="00212513" w:rsidRDefault="00212513">
            <w:pPr>
              <w:pStyle w:val="ConsPlusNormal"/>
              <w:jc w:val="center"/>
            </w:pPr>
            <w:r>
              <w:rPr>
                <w:noProof/>
                <w:position w:val="-28"/>
              </w:rPr>
              <w:drawing>
                <wp:inline distT="0" distB="0" distL="0" distR="0">
                  <wp:extent cx="1885950" cy="502920"/>
                  <wp:effectExtent l="0" t="0" r="0" b="0"/>
                  <wp:docPr id="1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1" cstate="print">
                            <a:extLst>
                              <a:ext uri="{28A0092B-C50C-407E-A947-70E740481C1C}">
                                <a14:useLocalDpi xmlns:a14="http://schemas.microsoft.com/office/drawing/2010/main" val="0"/>
                              </a:ext>
                            </a:extLst>
                          </a:blip>
                          <a:srcRect/>
                          <a:stretch>
                            <a:fillRect/>
                          </a:stretch>
                        </pic:blipFill>
                        <pic:spPr bwMode="auto">
                          <a:xfrm>
                            <a:off x="0" y="0"/>
                            <a:ext cx="1885950" cy="502920"/>
                          </a:xfrm>
                          <a:prstGeom prst="rect">
                            <a:avLst/>
                          </a:prstGeom>
                          <a:noFill/>
                          <a:ln>
                            <a:noFill/>
                          </a:ln>
                        </pic:spPr>
                      </pic:pic>
                    </a:graphicData>
                  </a:graphic>
                </wp:inline>
              </w:drawing>
            </w:r>
          </w:p>
        </w:tc>
      </w:tr>
      <w:tr w:rsidR="00212513">
        <w:tc>
          <w:tcPr>
            <w:tcW w:w="11905" w:type="dxa"/>
            <w:gridSpan w:val="4"/>
          </w:tcPr>
          <w:p w:rsidR="00212513" w:rsidRDefault="00212513">
            <w:pPr>
              <w:pStyle w:val="ConsPlusNormal"/>
              <w:ind w:firstLine="283"/>
              <w:jc w:val="both"/>
            </w:pPr>
            <w:r>
              <w:rPr>
                <w:i/>
              </w:rPr>
              <w:lastRenderedPageBreak/>
              <w:t xml:space="preserve">Обозначения, принятые в </w:t>
            </w:r>
            <w:hyperlink w:anchor="P9508">
              <w:r>
                <w:rPr>
                  <w:i/>
                  <w:color w:val="0000FF"/>
                </w:rPr>
                <w:t>таблице 9.4</w:t>
              </w:r>
            </w:hyperlink>
            <w:r>
              <w:rPr>
                <w:i/>
              </w:rPr>
              <w:t>:</w:t>
            </w:r>
          </w:p>
          <w:p w:rsidR="00212513" w:rsidRDefault="00212513">
            <w:pPr>
              <w:pStyle w:val="ConsPlusNormal"/>
              <w:ind w:firstLine="283"/>
              <w:jc w:val="both"/>
            </w:pPr>
            <w:r>
              <w:rPr>
                <w:noProof/>
                <w:position w:val="-8"/>
              </w:rPr>
              <w:drawing>
                <wp:inline distT="0" distB="0" distL="0" distR="0">
                  <wp:extent cx="963930" cy="251460"/>
                  <wp:effectExtent l="0" t="0" r="0" b="0"/>
                  <wp:docPr id="1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2" cstate="print">
                            <a:extLst>
                              <a:ext uri="{28A0092B-C50C-407E-A947-70E740481C1C}">
                                <a14:useLocalDpi xmlns:a14="http://schemas.microsoft.com/office/drawing/2010/main" val="0"/>
                              </a:ext>
                            </a:extLst>
                          </a:blip>
                          <a:srcRect/>
                          <a:stretch>
                            <a:fillRect/>
                          </a:stretch>
                        </pic:blipFill>
                        <pic:spPr bwMode="auto">
                          <a:xfrm>
                            <a:off x="0" y="0"/>
                            <a:ext cx="963930" cy="251460"/>
                          </a:xfrm>
                          <a:prstGeom prst="rect">
                            <a:avLst/>
                          </a:prstGeom>
                          <a:noFill/>
                          <a:ln>
                            <a:noFill/>
                          </a:ln>
                        </pic:spPr>
                      </pic:pic>
                    </a:graphicData>
                  </a:graphic>
                </wp:inline>
              </w:drawing>
            </w:r>
            <w:r>
              <w:t xml:space="preserve"> - полный изгибающий момент (принимают так же, как и </w:t>
            </w:r>
            <w:r>
              <w:rPr>
                <w:noProof/>
                <w:position w:val="-8"/>
              </w:rPr>
              <w:drawing>
                <wp:inline distT="0" distB="0" distL="0" distR="0">
                  <wp:extent cx="251460" cy="251460"/>
                  <wp:effectExtent l="0" t="0" r="0" b="0"/>
                  <wp:docPr id="1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и </w:t>
            </w:r>
            <w:r>
              <w:rPr>
                <w:noProof/>
                <w:position w:val="-8"/>
              </w:rPr>
              <w:drawing>
                <wp:inline distT="0" distB="0" distL="0" distR="0">
                  <wp:extent cx="262890" cy="251460"/>
                  <wp:effectExtent l="0" t="0" r="0" b="0"/>
                  <wp:docPr id="1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4"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с соответствующим знаком);</w:t>
            </w:r>
          </w:p>
          <w:p w:rsidR="00212513" w:rsidRDefault="00212513">
            <w:pPr>
              <w:pStyle w:val="ConsPlusNormal"/>
              <w:ind w:firstLine="283"/>
              <w:jc w:val="both"/>
            </w:pPr>
            <w:r>
              <w:rPr>
                <w:noProof/>
                <w:position w:val="-8"/>
              </w:rPr>
              <w:drawing>
                <wp:inline distT="0" distB="0" distL="0" distR="0">
                  <wp:extent cx="251460" cy="251460"/>
                  <wp:effectExtent l="0" t="0" r="0" b="0"/>
                  <wp:docPr id="1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изгибающий момент первой стадии работы (нагрузку воспринимает стальная часть конструкции);</w:t>
            </w:r>
          </w:p>
          <w:p w:rsidR="00212513" w:rsidRDefault="00212513">
            <w:pPr>
              <w:pStyle w:val="ConsPlusNormal"/>
              <w:ind w:firstLine="283"/>
              <w:jc w:val="both"/>
            </w:pPr>
            <w:r>
              <w:rPr>
                <w:noProof/>
                <w:position w:val="-8"/>
              </w:rPr>
              <w:drawing>
                <wp:inline distT="0" distB="0" distL="0" distR="0">
                  <wp:extent cx="262890" cy="251460"/>
                  <wp:effectExtent l="0" t="0" r="0" b="0"/>
                  <wp:docPr id="1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4"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изгибающий момент второй стадии работы (нагрузку воспринимает сталежелезобетонная конструкция), определяемый для статически неопределимых систем с учетом ползучести бетона, обжатия поперечных швов, образования поперечных трещин в растянутых зонах железобетонной плиты, а также усадки бетона и изменений температуры;</w:t>
            </w:r>
          </w:p>
          <w:p w:rsidR="00212513" w:rsidRDefault="00212513">
            <w:pPr>
              <w:pStyle w:val="ConsPlusNormal"/>
              <w:ind w:firstLine="283"/>
              <w:jc w:val="both"/>
            </w:pPr>
            <w:r>
              <w:rPr>
                <w:noProof/>
                <w:position w:val="-8"/>
              </w:rPr>
              <w:drawing>
                <wp:inline distT="0" distB="0" distL="0" distR="0">
                  <wp:extent cx="241935" cy="251460"/>
                  <wp:effectExtent l="0" t="0" r="0" b="0"/>
                  <wp:docPr id="1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5"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w:t>
            </w:r>
            <w:r>
              <w:rPr>
                <w:noProof/>
                <w:position w:val="-8"/>
              </w:rPr>
              <w:drawing>
                <wp:inline distT="0" distB="0" distL="0" distR="0">
                  <wp:extent cx="220980" cy="251460"/>
                  <wp:effectExtent l="0" t="0" r="0" b="0"/>
                  <wp:docPr id="1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6"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уравновешенные в поперечном сталежелезобетонном сечении напряжения, возникающие на уровне центра тяжести поперечного сечения бетона от его ползучести, обжатия поперечных швов сборной плиты, усадки бетона и изменений температуры (за исключением случая, когда температура железобетонной плиты согласно </w:t>
            </w:r>
            <w:hyperlink w:anchor="P9408">
              <w:r>
                <w:rPr>
                  <w:color w:val="0000FF"/>
                </w:rPr>
                <w:t>9.10, г</w:t>
              </w:r>
            </w:hyperlink>
            <w:r>
              <w:t xml:space="preserve"> выше, чем стали, и расчеты проводятся по формулам </w:t>
            </w:r>
            <w:hyperlink w:anchor="P9508">
              <w:r>
                <w:rPr>
                  <w:color w:val="0000FF"/>
                </w:rPr>
                <w:t>таблиц 9.4</w:t>
              </w:r>
            </w:hyperlink>
            <w:r>
              <w:t xml:space="preserve"> - </w:t>
            </w:r>
            <w:hyperlink w:anchor="P9885">
              <w:r>
                <w:rPr>
                  <w:color w:val="0000FF"/>
                </w:rPr>
                <w:t>9.6</w:t>
              </w:r>
            </w:hyperlink>
            <w:r>
              <w:t>) соответственно в бетоне и в продольной арматуре;</w:t>
            </w:r>
          </w:p>
          <w:p w:rsidR="00212513" w:rsidRDefault="00212513">
            <w:pPr>
              <w:pStyle w:val="ConsPlusNormal"/>
              <w:ind w:firstLine="283"/>
              <w:jc w:val="both"/>
            </w:pPr>
            <w:r>
              <w:rPr>
                <w:noProof/>
                <w:position w:val="-8"/>
              </w:rPr>
              <w:drawing>
                <wp:inline distT="0" distB="0" distL="0" distR="0">
                  <wp:extent cx="1283970" cy="251460"/>
                  <wp:effectExtent l="0" t="0" r="0" b="0"/>
                  <wp:docPr id="1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7" cstate="print">
                            <a:extLst>
                              <a:ext uri="{28A0092B-C50C-407E-A947-70E740481C1C}">
                                <a14:useLocalDpi xmlns:a14="http://schemas.microsoft.com/office/drawing/2010/main" val="0"/>
                              </a:ext>
                            </a:extLst>
                          </a:blip>
                          <a:srcRect/>
                          <a:stretch>
                            <a:fillRect/>
                          </a:stretch>
                        </pic:blipFill>
                        <pic:spPr bwMode="auto">
                          <a:xfrm>
                            <a:off x="0" y="0"/>
                            <a:ext cx="1283970" cy="251460"/>
                          </a:xfrm>
                          <a:prstGeom prst="rect">
                            <a:avLst/>
                          </a:prstGeom>
                          <a:noFill/>
                          <a:ln>
                            <a:noFill/>
                          </a:ln>
                        </pic:spPr>
                      </pic:pic>
                    </a:graphicData>
                  </a:graphic>
                </wp:inline>
              </w:drawing>
            </w:r>
            <w:r>
              <w:t xml:space="preserve"> - площадь нетто поперечного сечения стальной балки;</w:t>
            </w:r>
          </w:p>
          <w:p w:rsidR="00212513" w:rsidRDefault="00212513">
            <w:pPr>
              <w:pStyle w:val="ConsPlusNormal"/>
              <w:ind w:firstLine="283"/>
              <w:jc w:val="both"/>
            </w:pPr>
            <w:r>
              <w:rPr>
                <w:noProof/>
                <w:position w:val="-8"/>
              </w:rPr>
              <w:drawing>
                <wp:inline distT="0" distB="0" distL="0" distR="0">
                  <wp:extent cx="1704340" cy="251460"/>
                  <wp:effectExtent l="0" t="0" r="0" b="0"/>
                  <wp:docPr id="1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8" cstate="print">
                            <a:extLst>
                              <a:ext uri="{28A0092B-C50C-407E-A947-70E740481C1C}">
                                <a14:useLocalDpi xmlns:a14="http://schemas.microsoft.com/office/drawing/2010/main" val="0"/>
                              </a:ext>
                            </a:extLst>
                          </a:blip>
                          <a:srcRect/>
                          <a:stretch>
                            <a:fillRect/>
                          </a:stretch>
                        </pic:blipFill>
                        <pic:spPr bwMode="auto">
                          <a:xfrm>
                            <a:off x="0" y="0"/>
                            <a:ext cx="1704340" cy="251460"/>
                          </a:xfrm>
                          <a:prstGeom prst="rect">
                            <a:avLst/>
                          </a:prstGeom>
                          <a:noFill/>
                          <a:ln>
                            <a:noFill/>
                          </a:ln>
                        </pic:spPr>
                      </pic:pic>
                    </a:graphicData>
                  </a:graphic>
                </wp:inline>
              </w:drawing>
            </w:r>
            <w:r>
              <w:t xml:space="preserve"> - площади элементов поперечного сечения соответственно стальных нижнего и верхнего поясов, стальной вертикальной стенки, бетона плиты, продольной ненапрягаемой арматуры плиты;</w:t>
            </w:r>
          </w:p>
          <w:p w:rsidR="00212513" w:rsidRDefault="00212513">
            <w:pPr>
              <w:pStyle w:val="ConsPlusNormal"/>
              <w:ind w:firstLine="283"/>
              <w:jc w:val="both"/>
            </w:pPr>
            <w:r>
              <w:rPr>
                <w:noProof/>
                <w:position w:val="-27"/>
              </w:rPr>
              <w:drawing>
                <wp:inline distT="0" distB="0" distL="0" distR="0">
                  <wp:extent cx="902970" cy="494030"/>
                  <wp:effectExtent l="0" t="0" r="0" b="0"/>
                  <wp:docPr id="1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9" cstate="print">
                            <a:extLst>
                              <a:ext uri="{28A0092B-C50C-407E-A947-70E740481C1C}">
                                <a14:useLocalDpi xmlns:a14="http://schemas.microsoft.com/office/drawing/2010/main" val="0"/>
                              </a:ext>
                            </a:extLst>
                          </a:blip>
                          <a:srcRect/>
                          <a:stretch>
                            <a:fillRect/>
                          </a:stretch>
                        </pic:blipFill>
                        <pic:spPr bwMode="auto">
                          <a:xfrm>
                            <a:off x="0" y="0"/>
                            <a:ext cx="902970" cy="494030"/>
                          </a:xfrm>
                          <a:prstGeom prst="rect">
                            <a:avLst/>
                          </a:prstGeom>
                          <a:noFill/>
                          <a:ln>
                            <a:noFill/>
                          </a:ln>
                        </pic:spPr>
                      </pic:pic>
                    </a:graphicData>
                  </a:graphic>
                </wp:inline>
              </w:drawing>
            </w:r>
            <w:r>
              <w:t xml:space="preserve">; </w:t>
            </w:r>
            <w:r>
              <w:rPr>
                <w:noProof/>
                <w:position w:val="-27"/>
              </w:rPr>
              <w:drawing>
                <wp:inline distT="0" distB="0" distL="0" distR="0">
                  <wp:extent cx="817880" cy="494030"/>
                  <wp:effectExtent l="0" t="0" r="0" b="0"/>
                  <wp:docPr id="1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0" cstate="print">
                            <a:extLst>
                              <a:ext uri="{28A0092B-C50C-407E-A947-70E740481C1C}">
                                <a14:useLocalDpi xmlns:a14="http://schemas.microsoft.com/office/drawing/2010/main" val="0"/>
                              </a:ext>
                            </a:extLst>
                          </a:blip>
                          <a:srcRect/>
                          <a:stretch>
                            <a:fillRect/>
                          </a:stretch>
                        </pic:blipFill>
                        <pic:spPr bwMode="auto">
                          <a:xfrm>
                            <a:off x="0" y="0"/>
                            <a:ext cx="817880" cy="494030"/>
                          </a:xfrm>
                          <a:prstGeom prst="rect">
                            <a:avLst/>
                          </a:prstGeom>
                          <a:noFill/>
                          <a:ln>
                            <a:noFill/>
                          </a:ln>
                        </pic:spPr>
                      </pic:pic>
                    </a:graphicData>
                  </a:graphic>
                </wp:inline>
              </w:drawing>
            </w:r>
            <w:r>
              <w:t xml:space="preserve">; </w:t>
            </w:r>
            <w:r>
              <w:rPr>
                <w:noProof/>
                <w:position w:val="-27"/>
              </w:rPr>
              <w:drawing>
                <wp:inline distT="0" distB="0" distL="0" distR="0">
                  <wp:extent cx="859790" cy="494030"/>
                  <wp:effectExtent l="0" t="0" r="0" b="0"/>
                  <wp:docPr id="1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1" cstate="print">
                            <a:extLst>
                              <a:ext uri="{28A0092B-C50C-407E-A947-70E740481C1C}">
                                <a14:useLocalDpi xmlns:a14="http://schemas.microsoft.com/office/drawing/2010/main" val="0"/>
                              </a:ext>
                            </a:extLst>
                          </a:blip>
                          <a:srcRect/>
                          <a:stretch>
                            <a:fillRect/>
                          </a:stretch>
                        </pic:blipFill>
                        <pic:spPr bwMode="auto">
                          <a:xfrm>
                            <a:off x="0" y="0"/>
                            <a:ext cx="859790" cy="494030"/>
                          </a:xfrm>
                          <a:prstGeom prst="rect">
                            <a:avLst/>
                          </a:prstGeom>
                          <a:noFill/>
                          <a:ln>
                            <a:noFill/>
                          </a:ln>
                        </pic:spPr>
                      </pic:pic>
                    </a:graphicData>
                  </a:graphic>
                </wp:inline>
              </w:drawing>
            </w:r>
            <w:r>
              <w:t xml:space="preserve"> - моменты сопротивления;</w:t>
            </w:r>
          </w:p>
          <w:p w:rsidR="00212513" w:rsidRDefault="00212513">
            <w:pPr>
              <w:pStyle w:val="ConsPlusNormal"/>
              <w:ind w:firstLine="283"/>
              <w:jc w:val="both"/>
            </w:pPr>
            <w:r>
              <w:rPr>
                <w:noProof/>
                <w:position w:val="-26"/>
              </w:rPr>
              <w:drawing>
                <wp:inline distT="0" distB="0" distL="0" distR="0">
                  <wp:extent cx="691515" cy="470535"/>
                  <wp:effectExtent l="0" t="0" r="0" b="0"/>
                  <wp:docPr id="1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2" cstate="print">
                            <a:extLst>
                              <a:ext uri="{28A0092B-C50C-407E-A947-70E740481C1C}">
                                <a14:useLocalDpi xmlns:a14="http://schemas.microsoft.com/office/drawing/2010/main" val="0"/>
                              </a:ext>
                            </a:extLst>
                          </a:blip>
                          <a:srcRect/>
                          <a:stretch>
                            <a:fillRect/>
                          </a:stretch>
                        </pic:blipFill>
                        <pic:spPr bwMode="auto">
                          <a:xfrm>
                            <a:off x="0" y="0"/>
                            <a:ext cx="691515" cy="470535"/>
                          </a:xfrm>
                          <a:prstGeom prst="rect">
                            <a:avLst/>
                          </a:prstGeom>
                          <a:noFill/>
                          <a:ln>
                            <a:noFill/>
                          </a:ln>
                        </pic:spPr>
                      </pic:pic>
                    </a:graphicData>
                  </a:graphic>
                </wp:inline>
              </w:drawing>
            </w:r>
            <w:r>
              <w:t xml:space="preserve"> - условный момент сопротивления на уровне центра тяжести сечения бетона;</w:t>
            </w:r>
          </w:p>
          <w:p w:rsidR="00212513" w:rsidRDefault="00212513">
            <w:pPr>
              <w:pStyle w:val="ConsPlusNormal"/>
              <w:ind w:firstLine="283"/>
              <w:jc w:val="both"/>
            </w:pPr>
            <w:r>
              <w:rPr>
                <w:noProof/>
                <w:position w:val="-8"/>
              </w:rPr>
              <w:drawing>
                <wp:inline distT="0" distB="0" distL="0" distR="0">
                  <wp:extent cx="241935" cy="251460"/>
                  <wp:effectExtent l="0" t="0" r="0" b="0"/>
                  <wp:docPr id="1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3"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w:t>
            </w:r>
            <w:r>
              <w:rPr>
                <w:noProof/>
                <w:position w:val="-8"/>
              </w:rPr>
              <w:drawing>
                <wp:inline distT="0" distB="0" distL="0" distR="0">
                  <wp:extent cx="167640" cy="251460"/>
                  <wp:effectExtent l="0" t="0" r="0" b="0"/>
                  <wp:docPr id="1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моменты инерции нетто соответственно сталежелезобетонного поперечного сечения балки, приведенного к стали, и поперечного сечения стальной балки;</w:t>
            </w:r>
          </w:p>
          <w:p w:rsidR="00212513" w:rsidRDefault="00212513">
            <w:pPr>
              <w:pStyle w:val="ConsPlusNormal"/>
              <w:ind w:firstLine="283"/>
              <w:jc w:val="both"/>
            </w:pPr>
            <w:r>
              <w:rPr>
                <w:noProof/>
                <w:position w:val="-9"/>
              </w:rPr>
              <w:drawing>
                <wp:inline distT="0" distB="0" distL="0" distR="0">
                  <wp:extent cx="344805" cy="262890"/>
                  <wp:effectExtent l="0" t="0" r="0" b="0"/>
                  <wp:docPr id="1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5" cstate="print">
                            <a:extLst>
                              <a:ext uri="{28A0092B-C50C-407E-A947-70E740481C1C}">
                                <a14:useLocalDpi xmlns:a14="http://schemas.microsoft.com/office/drawing/2010/main" val="0"/>
                              </a:ext>
                            </a:extLst>
                          </a:blip>
                          <a:srcRect/>
                          <a:stretch>
                            <a:fillRect/>
                          </a:stretch>
                        </pic:blipFill>
                        <pic:spPr bwMode="auto">
                          <a:xfrm>
                            <a:off x="0" y="0"/>
                            <a:ext cx="344805" cy="262890"/>
                          </a:xfrm>
                          <a:prstGeom prst="rect">
                            <a:avLst/>
                          </a:prstGeom>
                          <a:noFill/>
                          <a:ln>
                            <a:noFill/>
                          </a:ln>
                        </pic:spPr>
                      </pic:pic>
                    </a:graphicData>
                  </a:graphic>
                </wp:inline>
              </w:drawing>
            </w:r>
            <w:r>
              <w:t xml:space="preserve">, </w:t>
            </w:r>
            <w:r>
              <w:rPr>
                <w:noProof/>
                <w:position w:val="-8"/>
              </w:rPr>
              <w:drawing>
                <wp:inline distT="0" distB="0" distL="0" distR="0">
                  <wp:extent cx="251460" cy="251460"/>
                  <wp:effectExtent l="0" t="0" r="0" b="0"/>
                  <wp:docPr id="1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6"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w:t>
            </w:r>
            <w:r>
              <w:rPr>
                <w:noProof/>
                <w:position w:val="-9"/>
              </w:rPr>
              <w:drawing>
                <wp:inline distT="0" distB="0" distL="0" distR="0">
                  <wp:extent cx="324485" cy="262890"/>
                  <wp:effectExtent l="0" t="0" r="0" b="0"/>
                  <wp:docPr id="1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7" cstate="print">
                            <a:extLst>
                              <a:ext uri="{28A0092B-C50C-407E-A947-70E740481C1C}">
                                <a14:useLocalDpi xmlns:a14="http://schemas.microsoft.com/office/drawing/2010/main" val="0"/>
                              </a:ext>
                            </a:extLst>
                          </a:blip>
                          <a:srcRect/>
                          <a:stretch>
                            <a:fillRect/>
                          </a:stretch>
                        </pic:blipFill>
                        <pic:spPr bwMode="auto">
                          <a:xfrm>
                            <a:off x="0" y="0"/>
                            <a:ext cx="324485" cy="262890"/>
                          </a:xfrm>
                          <a:prstGeom prst="rect">
                            <a:avLst/>
                          </a:prstGeom>
                          <a:noFill/>
                          <a:ln>
                            <a:noFill/>
                          </a:ln>
                        </pic:spPr>
                      </pic:pic>
                    </a:graphicData>
                  </a:graphic>
                </wp:inline>
              </w:drawing>
            </w:r>
            <w:r>
              <w:t xml:space="preserve">, </w:t>
            </w:r>
            <w:r>
              <w:rPr>
                <w:noProof/>
                <w:position w:val="-9"/>
              </w:rPr>
              <w:drawing>
                <wp:inline distT="0" distB="0" distL="0" distR="0">
                  <wp:extent cx="335280" cy="262890"/>
                  <wp:effectExtent l="0" t="0" r="0" b="0"/>
                  <wp:docPr id="1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8" cstate="print">
                            <a:extLst>
                              <a:ext uri="{28A0092B-C50C-407E-A947-70E740481C1C}">
                                <a14:useLocalDpi xmlns:a14="http://schemas.microsoft.com/office/drawing/2010/main" val="0"/>
                              </a:ext>
                            </a:extLst>
                          </a:blip>
                          <a:srcRect/>
                          <a:stretch>
                            <a:fillRect/>
                          </a:stretch>
                        </pic:blipFill>
                        <pic:spPr bwMode="auto">
                          <a:xfrm>
                            <a:off x="0" y="0"/>
                            <a:ext cx="335280" cy="262890"/>
                          </a:xfrm>
                          <a:prstGeom prst="rect">
                            <a:avLst/>
                          </a:prstGeom>
                          <a:noFill/>
                          <a:ln>
                            <a:noFill/>
                          </a:ln>
                        </pic:spPr>
                      </pic:pic>
                    </a:graphicData>
                  </a:graphic>
                </wp:inline>
              </w:drawing>
            </w:r>
            <w:r>
              <w:t xml:space="preserve"> - расстояние согласно </w:t>
            </w:r>
            <w:hyperlink w:anchor="P9570">
              <w:r>
                <w:rPr>
                  <w:color w:val="0000FF"/>
                </w:rPr>
                <w:t>рисунку 9.3</w:t>
              </w:r>
            </w:hyperlink>
            <w:r>
              <w:t>;</w:t>
            </w:r>
          </w:p>
          <w:p w:rsidR="00212513" w:rsidRDefault="00212513">
            <w:pPr>
              <w:pStyle w:val="ConsPlusNormal"/>
              <w:ind w:firstLine="283"/>
              <w:jc w:val="both"/>
            </w:pPr>
            <w:r>
              <w:rPr>
                <w:noProof/>
                <w:position w:val="-26"/>
              </w:rPr>
              <w:drawing>
                <wp:inline distT="0" distB="0" distL="0" distR="0">
                  <wp:extent cx="535940" cy="470535"/>
                  <wp:effectExtent l="0" t="0" r="0" b="0"/>
                  <wp:docPr id="1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9" cstate="print">
                            <a:extLst>
                              <a:ext uri="{28A0092B-C50C-407E-A947-70E740481C1C}">
                                <a14:useLocalDpi xmlns:a14="http://schemas.microsoft.com/office/drawing/2010/main" val="0"/>
                              </a:ext>
                            </a:extLst>
                          </a:blip>
                          <a:srcRect/>
                          <a:stretch>
                            <a:fillRect/>
                          </a:stretch>
                        </pic:blipFill>
                        <pic:spPr bwMode="auto">
                          <a:xfrm>
                            <a:off x="0" y="0"/>
                            <a:ext cx="535940" cy="470535"/>
                          </a:xfrm>
                          <a:prstGeom prst="rect">
                            <a:avLst/>
                          </a:prstGeom>
                          <a:noFill/>
                          <a:ln>
                            <a:noFill/>
                          </a:ln>
                        </pic:spPr>
                      </pic:pic>
                    </a:graphicData>
                  </a:graphic>
                </wp:inline>
              </w:drawing>
            </w:r>
            <w:r>
              <w:t xml:space="preserve"> - коэффициент приведения, принимаемый по </w:t>
            </w:r>
            <w:hyperlink w:anchor="P9494">
              <w:r>
                <w:rPr>
                  <w:color w:val="0000FF"/>
                </w:rPr>
                <w:t>9.16</w:t>
              </w:r>
            </w:hyperlink>
            <w:r>
              <w:t>;</w:t>
            </w:r>
          </w:p>
          <w:p w:rsidR="00212513" w:rsidRDefault="00212513">
            <w:pPr>
              <w:pStyle w:val="ConsPlusNormal"/>
              <w:ind w:firstLine="283"/>
              <w:jc w:val="both"/>
            </w:pPr>
            <w:r>
              <w:rPr>
                <w:noProof/>
                <w:position w:val="-8"/>
              </w:rPr>
              <w:drawing>
                <wp:inline distT="0" distB="0" distL="0" distR="0">
                  <wp:extent cx="177800" cy="251460"/>
                  <wp:effectExtent l="0" t="0" r="0" b="0"/>
                  <wp:docPr id="1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0"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коэффициент приведения, принимаемый по </w:t>
            </w:r>
            <w:hyperlink w:anchor="P9315">
              <w:r>
                <w:rPr>
                  <w:color w:val="0000FF"/>
                </w:rPr>
                <w:t>9.5</w:t>
              </w:r>
            </w:hyperlink>
            <w:r>
              <w:t>;</w:t>
            </w:r>
          </w:p>
          <w:p w:rsidR="00212513" w:rsidRDefault="00212513">
            <w:pPr>
              <w:pStyle w:val="ConsPlusNormal"/>
              <w:ind w:firstLine="283"/>
              <w:jc w:val="both"/>
            </w:pPr>
            <w:r>
              <w:rPr>
                <w:noProof/>
                <w:position w:val="-9"/>
              </w:rPr>
              <w:drawing>
                <wp:inline distT="0" distB="0" distL="0" distR="0">
                  <wp:extent cx="1005840" cy="262890"/>
                  <wp:effectExtent l="0" t="0" r="0" b="0"/>
                  <wp:docPr id="1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1" cstate="print">
                            <a:extLst>
                              <a:ext uri="{28A0092B-C50C-407E-A947-70E740481C1C}">
                                <a14:useLocalDpi xmlns:a14="http://schemas.microsoft.com/office/drawing/2010/main" val="0"/>
                              </a:ext>
                            </a:extLst>
                          </a:blip>
                          <a:srcRect/>
                          <a:stretch>
                            <a:fillRect/>
                          </a:stretch>
                        </pic:blipFill>
                        <pic:spPr bwMode="auto">
                          <a:xfrm>
                            <a:off x="0" y="0"/>
                            <a:ext cx="1005840" cy="262890"/>
                          </a:xfrm>
                          <a:prstGeom prst="rect">
                            <a:avLst/>
                          </a:prstGeom>
                          <a:noFill/>
                          <a:ln>
                            <a:noFill/>
                          </a:ln>
                        </pic:spPr>
                      </pic:pic>
                    </a:graphicData>
                  </a:graphic>
                </wp:inline>
              </w:drawing>
            </w:r>
            <w:r>
              <w:t xml:space="preserve"> - предельная (для сталежелезобетонных конструкций) относительная деформация бетона в уровне центра тяжести его поперечного сечения;</w:t>
            </w:r>
          </w:p>
          <w:p w:rsidR="00212513" w:rsidRDefault="00212513">
            <w:pPr>
              <w:pStyle w:val="ConsPlusNormal"/>
              <w:ind w:firstLine="283"/>
              <w:jc w:val="both"/>
            </w:pPr>
            <w:r>
              <w:rPr>
                <w:noProof/>
                <w:position w:val="-9"/>
              </w:rPr>
              <w:drawing>
                <wp:inline distT="0" distB="0" distL="0" distR="0">
                  <wp:extent cx="1113790" cy="262890"/>
                  <wp:effectExtent l="0" t="0" r="0" b="0"/>
                  <wp:docPr id="1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2" cstate="print">
                            <a:extLst>
                              <a:ext uri="{28A0092B-C50C-407E-A947-70E740481C1C}">
                                <a14:useLocalDpi xmlns:a14="http://schemas.microsoft.com/office/drawing/2010/main" val="0"/>
                              </a:ext>
                            </a:extLst>
                          </a:blip>
                          <a:srcRect/>
                          <a:stretch>
                            <a:fillRect/>
                          </a:stretch>
                        </pic:blipFill>
                        <pic:spPr bwMode="auto">
                          <a:xfrm>
                            <a:off x="0" y="0"/>
                            <a:ext cx="1113790" cy="262890"/>
                          </a:xfrm>
                          <a:prstGeom prst="rect">
                            <a:avLst/>
                          </a:prstGeom>
                          <a:noFill/>
                          <a:ln>
                            <a:noFill/>
                          </a:ln>
                        </pic:spPr>
                      </pic:pic>
                    </a:graphicData>
                  </a:graphic>
                </wp:inline>
              </w:drawing>
            </w:r>
            <w:r>
              <w:t xml:space="preserve"> - расчетные сопротивления соответственно материала стальной конструкции согласно </w:t>
            </w:r>
            <w:hyperlink w:anchor="P6355">
              <w:r>
                <w:rPr>
                  <w:color w:val="0000FF"/>
                </w:rPr>
                <w:t>8.8</w:t>
              </w:r>
            </w:hyperlink>
            <w:r>
              <w:t xml:space="preserve"> и </w:t>
            </w:r>
            <w:hyperlink w:anchor="P6410">
              <w:r>
                <w:rPr>
                  <w:color w:val="0000FF"/>
                </w:rPr>
                <w:t>8.9</w:t>
              </w:r>
            </w:hyperlink>
            <w:r>
              <w:t xml:space="preserve">, </w:t>
            </w:r>
            <w:r>
              <w:lastRenderedPageBreak/>
              <w:t xml:space="preserve">бетона сжатию согласно </w:t>
            </w:r>
            <w:hyperlink w:anchor="P2341">
              <w:r>
                <w:rPr>
                  <w:color w:val="0000FF"/>
                </w:rPr>
                <w:t>7.24</w:t>
              </w:r>
            </w:hyperlink>
            <w:r>
              <w:t xml:space="preserve">, ненапрягаемой продольной арматуры согласно </w:t>
            </w:r>
            <w:hyperlink w:anchor="P3259">
              <w:r>
                <w:rPr>
                  <w:color w:val="0000FF"/>
                </w:rPr>
                <w:t>7.37</w:t>
              </w:r>
            </w:hyperlink>
            <w:r>
              <w:t>;</w:t>
            </w:r>
          </w:p>
          <w:p w:rsidR="00212513" w:rsidRDefault="00212513">
            <w:pPr>
              <w:pStyle w:val="ConsPlusNormal"/>
              <w:ind w:firstLine="283"/>
              <w:jc w:val="both"/>
            </w:pPr>
            <w:r>
              <w:rPr>
                <w:noProof/>
                <w:position w:val="-8"/>
              </w:rPr>
              <w:drawing>
                <wp:inline distT="0" distB="0" distL="0" distR="0">
                  <wp:extent cx="1072515" cy="251460"/>
                  <wp:effectExtent l="0" t="0" r="0" b="0"/>
                  <wp:docPr id="1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3" cstate="print">
                            <a:extLst>
                              <a:ext uri="{28A0092B-C50C-407E-A947-70E740481C1C}">
                                <a14:useLocalDpi xmlns:a14="http://schemas.microsoft.com/office/drawing/2010/main" val="0"/>
                              </a:ext>
                            </a:extLst>
                          </a:blip>
                          <a:srcRect/>
                          <a:stretch>
                            <a:fillRect/>
                          </a:stretch>
                        </pic:blipFill>
                        <pic:spPr bwMode="auto">
                          <a:xfrm>
                            <a:off x="0" y="0"/>
                            <a:ext cx="1072515" cy="251460"/>
                          </a:xfrm>
                          <a:prstGeom prst="rect">
                            <a:avLst/>
                          </a:prstGeom>
                          <a:noFill/>
                          <a:ln>
                            <a:noFill/>
                          </a:ln>
                        </pic:spPr>
                      </pic:pic>
                    </a:graphicData>
                  </a:graphic>
                </wp:inline>
              </w:drawing>
            </w:r>
            <w:r>
              <w:t xml:space="preserve"> - поправочный коэффициент к моменту сопротивления при расчете прочности стальной балки на совместное действие изгибающего момента и осевой силы;</w:t>
            </w:r>
          </w:p>
          <w:p w:rsidR="00212513" w:rsidRDefault="00212513">
            <w:pPr>
              <w:pStyle w:val="ConsPlusNormal"/>
              <w:ind w:firstLine="283"/>
              <w:jc w:val="both"/>
            </w:pPr>
            <w:r>
              <w:rPr>
                <w:noProof/>
                <w:position w:val="-8"/>
              </w:rPr>
              <w:drawing>
                <wp:inline distT="0" distB="0" distL="0" distR="0">
                  <wp:extent cx="838200" cy="251460"/>
                  <wp:effectExtent l="0" t="0" r="0" b="0"/>
                  <wp:docPr id="1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4" cstate="print">
                            <a:extLst>
                              <a:ext uri="{28A0092B-C50C-407E-A947-70E740481C1C}">
                                <a14:useLocalDpi xmlns:a14="http://schemas.microsoft.com/office/drawing/2010/main" val="0"/>
                              </a:ext>
                            </a:extLst>
                          </a:blip>
                          <a:srcRect/>
                          <a:stretch>
                            <a:fillRect/>
                          </a:stretch>
                        </pic:blipFill>
                        <pic:spPr bwMode="auto">
                          <a:xfrm>
                            <a:off x="0" y="0"/>
                            <a:ext cx="838200" cy="251460"/>
                          </a:xfrm>
                          <a:prstGeom prst="rect">
                            <a:avLst/>
                          </a:prstGeom>
                          <a:noFill/>
                          <a:ln>
                            <a:noFill/>
                          </a:ln>
                        </pic:spPr>
                      </pic:pic>
                    </a:graphicData>
                  </a:graphic>
                </wp:inline>
              </w:drawing>
            </w:r>
            <w:r>
              <w:t xml:space="preserve"> - поправочный коэффициент к моменту сопротивления при проверке стального верхнего пояса, принимаемый не менее 1,0;</w:t>
            </w:r>
          </w:p>
          <w:p w:rsidR="00212513" w:rsidRDefault="00212513">
            <w:pPr>
              <w:pStyle w:val="ConsPlusNormal"/>
              <w:ind w:firstLine="283"/>
              <w:jc w:val="both"/>
            </w:pPr>
            <w:r>
              <w:rPr>
                <w:noProof/>
                <w:position w:val="-1"/>
              </w:rPr>
              <w:drawing>
                <wp:inline distT="0" distB="0" distL="0" distR="0">
                  <wp:extent cx="167640" cy="156845"/>
                  <wp:effectExtent l="0" t="0" r="0" b="0"/>
                  <wp:docPr id="1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5"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 коэффициент, принимаемый по </w:t>
            </w:r>
            <w:hyperlink w:anchor="P6974">
              <w:r>
                <w:rPr>
                  <w:color w:val="0000FF"/>
                </w:rPr>
                <w:t>8.26</w:t>
              </w:r>
            </w:hyperlink>
            <w:r>
              <w:t>;</w:t>
            </w:r>
          </w:p>
          <w:p w:rsidR="00212513" w:rsidRDefault="00212513">
            <w:pPr>
              <w:pStyle w:val="ConsPlusNormal"/>
              <w:ind w:firstLine="283"/>
              <w:jc w:val="both"/>
            </w:pPr>
            <w:r>
              <w:rPr>
                <w:noProof/>
                <w:position w:val="-3"/>
              </w:rPr>
              <w:drawing>
                <wp:inline distT="0" distB="0" distL="0" distR="0">
                  <wp:extent cx="137160" cy="177800"/>
                  <wp:effectExtent l="0" t="0" r="0" b="0"/>
                  <wp:docPr id="1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6" cstate="print">
                            <a:extLst>
                              <a:ext uri="{28A0092B-C50C-407E-A947-70E740481C1C}">
                                <a14:useLocalDpi xmlns:a14="http://schemas.microsoft.com/office/drawing/2010/main" val="0"/>
                              </a:ext>
                            </a:extLst>
                          </a:blip>
                          <a:srcRect/>
                          <a:stretch>
                            <a:fillRect/>
                          </a:stretch>
                        </pic:blipFill>
                        <pic:spPr bwMode="auto">
                          <a:xfrm>
                            <a:off x="0" y="0"/>
                            <a:ext cx="137160" cy="177800"/>
                          </a:xfrm>
                          <a:prstGeom prst="rect">
                            <a:avLst/>
                          </a:prstGeom>
                          <a:noFill/>
                          <a:ln>
                            <a:noFill/>
                          </a:ln>
                        </pic:spPr>
                      </pic:pic>
                    </a:graphicData>
                  </a:graphic>
                </wp:inline>
              </w:drawing>
            </w:r>
            <w:r>
              <w:t xml:space="preserve"> - коэффициент, принимаемый по </w:t>
            </w:r>
            <w:hyperlink w:anchor="P9574">
              <w:r>
                <w:rPr>
                  <w:color w:val="0000FF"/>
                </w:rPr>
                <w:t>таблице 9.5</w:t>
              </w:r>
            </w:hyperlink>
            <w:r>
              <w:t>;</w:t>
            </w:r>
          </w:p>
          <w:p w:rsidR="00212513" w:rsidRDefault="00212513">
            <w:pPr>
              <w:pStyle w:val="ConsPlusNormal"/>
              <w:ind w:firstLine="283"/>
              <w:jc w:val="both"/>
            </w:pPr>
            <w:r>
              <w:rPr>
                <w:i/>
              </w:rPr>
              <w:t>m</w:t>
            </w:r>
            <w:r>
              <w:t xml:space="preserve"> - коэффициент условий работы стальной конструкции, принимаемый по </w:t>
            </w:r>
            <w:hyperlink w:anchor="P6900">
              <w:r>
                <w:rPr>
                  <w:color w:val="0000FF"/>
                </w:rPr>
                <w:t>8.19</w:t>
              </w:r>
            </w:hyperlink>
            <w:r>
              <w:t>;</w:t>
            </w:r>
          </w:p>
          <w:p w:rsidR="00212513" w:rsidRDefault="00212513">
            <w:pPr>
              <w:pStyle w:val="ConsPlusNormal"/>
              <w:ind w:firstLine="283"/>
              <w:jc w:val="both"/>
            </w:pPr>
            <w:r>
              <w:rPr>
                <w:noProof/>
                <w:position w:val="-8"/>
              </w:rPr>
              <w:drawing>
                <wp:inline distT="0" distB="0" distL="0" distR="0">
                  <wp:extent cx="220980" cy="251460"/>
                  <wp:effectExtent l="0" t="0" r="0" b="0"/>
                  <wp:docPr id="1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7"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коэффициент условий работы бетона, принимаемый по </w:t>
            </w:r>
            <w:hyperlink w:anchor="P2479">
              <w:r>
                <w:rPr>
                  <w:color w:val="0000FF"/>
                </w:rPr>
                <w:t>7.25</w:t>
              </w:r>
            </w:hyperlink>
            <w:r>
              <w:t>;</w:t>
            </w:r>
          </w:p>
          <w:p w:rsidR="00212513" w:rsidRDefault="00212513">
            <w:pPr>
              <w:pStyle w:val="ConsPlusNormal"/>
              <w:ind w:firstLine="283"/>
              <w:jc w:val="both"/>
            </w:pPr>
            <w:r>
              <w:rPr>
                <w:noProof/>
                <w:position w:val="-8"/>
              </w:rPr>
              <w:drawing>
                <wp:inline distT="0" distB="0" distL="0" distR="0">
                  <wp:extent cx="220980" cy="251460"/>
                  <wp:effectExtent l="0" t="0" r="0" b="0"/>
                  <wp:docPr id="1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8"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коэффициент условий работы арматуры, принимаемый по </w:t>
            </w:r>
            <w:hyperlink w:anchor="P3482">
              <w:r>
                <w:rPr>
                  <w:color w:val="0000FF"/>
                </w:rPr>
                <w:t>7.39</w:t>
              </w:r>
            </w:hyperlink>
            <w:r>
              <w:t xml:space="preserve"> - </w:t>
            </w:r>
            <w:hyperlink w:anchor="P3823">
              <w:r>
                <w:rPr>
                  <w:color w:val="0000FF"/>
                </w:rPr>
                <w:t>7.45</w:t>
              </w:r>
            </w:hyperlink>
            <w:r>
              <w:t>;</w:t>
            </w:r>
          </w:p>
          <w:p w:rsidR="00212513" w:rsidRDefault="00212513">
            <w:pPr>
              <w:pStyle w:val="ConsPlusNormal"/>
              <w:ind w:firstLine="283"/>
              <w:jc w:val="both"/>
            </w:pPr>
            <w:r>
              <w:rPr>
                <w:noProof/>
                <w:position w:val="-27"/>
              </w:rPr>
              <w:drawing>
                <wp:inline distT="0" distB="0" distL="0" distR="0">
                  <wp:extent cx="1605915" cy="494030"/>
                  <wp:effectExtent l="0" t="0" r="0" b="0"/>
                  <wp:docPr id="1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9" cstate="print">
                            <a:extLst>
                              <a:ext uri="{28A0092B-C50C-407E-A947-70E740481C1C}">
                                <a14:useLocalDpi xmlns:a14="http://schemas.microsoft.com/office/drawing/2010/main" val="0"/>
                              </a:ext>
                            </a:extLst>
                          </a:blip>
                          <a:srcRect/>
                          <a:stretch>
                            <a:fillRect/>
                          </a:stretch>
                        </pic:blipFill>
                        <pic:spPr bwMode="auto">
                          <a:xfrm>
                            <a:off x="0" y="0"/>
                            <a:ext cx="1605915" cy="494030"/>
                          </a:xfrm>
                          <a:prstGeom prst="rect">
                            <a:avLst/>
                          </a:prstGeom>
                          <a:noFill/>
                          <a:ln>
                            <a:noFill/>
                          </a:ln>
                        </pic:spPr>
                      </pic:pic>
                    </a:graphicData>
                  </a:graphic>
                </wp:inline>
              </w:drawing>
            </w:r>
            <w:r>
              <w:t xml:space="preserve"> - коэффициент условий работы верхнего стального пояса, учитывающий его разгрузку прилегающим недонапряженным бетоном и принимаемый не более 1,2;</w:t>
            </w:r>
          </w:p>
          <w:p w:rsidR="00212513" w:rsidRDefault="00212513">
            <w:pPr>
              <w:pStyle w:val="ConsPlusNormal"/>
              <w:ind w:firstLine="283"/>
              <w:jc w:val="both"/>
            </w:pPr>
            <w:r>
              <w:rPr>
                <w:i/>
              </w:rPr>
              <w:t>k</w:t>
            </w:r>
            <w:r>
              <w:t xml:space="preserve"> - коэффициент, учитывающий увеличение относительных деформаций бетона при развитии пластических деформаций; при этом </w:t>
            </w:r>
            <w:r>
              <w:rPr>
                <w:i/>
              </w:rPr>
              <w:t>k</w:t>
            </w:r>
            <w:r>
              <w:t xml:space="preserve"> = 1, если </w:t>
            </w:r>
            <w:r>
              <w:rPr>
                <w:noProof/>
                <w:position w:val="-28"/>
              </w:rPr>
              <w:drawing>
                <wp:inline distT="0" distB="0" distL="0" distR="0">
                  <wp:extent cx="1899920" cy="502920"/>
                  <wp:effectExtent l="0" t="0" r="0" b="0"/>
                  <wp:docPr id="1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0" cstate="print">
                            <a:extLst>
                              <a:ext uri="{28A0092B-C50C-407E-A947-70E740481C1C}">
                                <a14:useLocalDpi xmlns:a14="http://schemas.microsoft.com/office/drawing/2010/main" val="0"/>
                              </a:ext>
                            </a:extLst>
                          </a:blip>
                          <a:srcRect/>
                          <a:stretch>
                            <a:fillRect/>
                          </a:stretch>
                        </pic:blipFill>
                        <pic:spPr bwMode="auto">
                          <a:xfrm>
                            <a:off x="0" y="0"/>
                            <a:ext cx="1899920" cy="502920"/>
                          </a:xfrm>
                          <a:prstGeom prst="rect">
                            <a:avLst/>
                          </a:prstGeom>
                          <a:noFill/>
                          <a:ln>
                            <a:noFill/>
                          </a:ln>
                        </pic:spPr>
                      </pic:pic>
                    </a:graphicData>
                  </a:graphic>
                </wp:inline>
              </w:drawing>
            </w:r>
            <w:r>
              <w:t xml:space="preserve">; в случае если </w:t>
            </w:r>
            <w:r>
              <w:rPr>
                <w:noProof/>
                <w:position w:val="-32"/>
              </w:rPr>
              <w:drawing>
                <wp:inline distT="0" distB="0" distL="0" distR="0">
                  <wp:extent cx="3995420" cy="553085"/>
                  <wp:effectExtent l="0" t="0" r="0" b="0"/>
                  <wp:docPr id="1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1" cstate="print">
                            <a:extLst>
                              <a:ext uri="{28A0092B-C50C-407E-A947-70E740481C1C}">
                                <a14:useLocalDpi xmlns:a14="http://schemas.microsoft.com/office/drawing/2010/main" val="0"/>
                              </a:ext>
                            </a:extLst>
                          </a:blip>
                          <a:srcRect/>
                          <a:stretch>
                            <a:fillRect/>
                          </a:stretch>
                        </pic:blipFill>
                        <pic:spPr bwMode="auto">
                          <a:xfrm>
                            <a:off x="0" y="0"/>
                            <a:ext cx="3995420" cy="553085"/>
                          </a:xfrm>
                          <a:prstGeom prst="rect">
                            <a:avLst/>
                          </a:prstGeom>
                          <a:noFill/>
                          <a:ln>
                            <a:noFill/>
                          </a:ln>
                        </pic:spPr>
                      </pic:pic>
                    </a:graphicData>
                  </a:graphic>
                </wp:inline>
              </w:drawing>
            </w:r>
            <w:r>
              <w:t xml:space="preserve">, </w:t>
            </w:r>
            <w:r>
              <w:rPr>
                <w:i/>
              </w:rPr>
              <w:t>k</w:t>
            </w:r>
            <w:r>
              <w:t xml:space="preserve"> определяют интерполяцией между предельными значениями </w:t>
            </w:r>
            <w:r>
              <w:rPr>
                <w:i/>
              </w:rPr>
              <w:t>k</w:t>
            </w:r>
            <w:r>
              <w:t xml:space="preserve"> = 1,0 и </w:t>
            </w:r>
            <w:r>
              <w:rPr>
                <w:noProof/>
                <w:position w:val="-27"/>
              </w:rPr>
              <w:drawing>
                <wp:inline distT="0" distB="0" distL="0" distR="0">
                  <wp:extent cx="1367790" cy="494030"/>
                  <wp:effectExtent l="0" t="0" r="0" b="0"/>
                  <wp:docPr id="1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2" cstate="print">
                            <a:extLst>
                              <a:ext uri="{28A0092B-C50C-407E-A947-70E740481C1C}">
                                <a14:useLocalDpi xmlns:a14="http://schemas.microsoft.com/office/drawing/2010/main" val="0"/>
                              </a:ext>
                            </a:extLst>
                          </a:blip>
                          <a:srcRect/>
                          <a:stretch>
                            <a:fillRect/>
                          </a:stretch>
                        </pic:blipFill>
                        <pic:spPr bwMode="auto">
                          <a:xfrm>
                            <a:off x="0" y="0"/>
                            <a:ext cx="1367790" cy="494030"/>
                          </a:xfrm>
                          <a:prstGeom prst="rect">
                            <a:avLst/>
                          </a:prstGeom>
                          <a:noFill/>
                          <a:ln>
                            <a:noFill/>
                          </a:ln>
                        </pic:spPr>
                      </pic:pic>
                    </a:graphicData>
                  </a:graphic>
                </wp:inline>
              </w:drawing>
            </w:r>
            <w:r>
              <w:t>.</w:t>
            </w:r>
          </w:p>
        </w:tc>
      </w:tr>
    </w:tbl>
    <w:p w:rsidR="00212513" w:rsidRDefault="00212513">
      <w:pPr>
        <w:pStyle w:val="ConsPlusNormal"/>
        <w:sectPr w:rsidR="00212513">
          <w:pgSz w:w="16838" w:h="11905" w:orient="landscape"/>
          <w:pgMar w:top="1701" w:right="1134" w:bottom="850" w:left="1134" w:header="0" w:footer="0" w:gutter="0"/>
          <w:cols w:space="720"/>
          <w:titlePg/>
        </w:sectPr>
      </w:pPr>
    </w:p>
    <w:p w:rsidR="00212513" w:rsidRDefault="00212513">
      <w:pPr>
        <w:pStyle w:val="ConsPlusNormal"/>
        <w:ind w:firstLine="540"/>
        <w:jc w:val="both"/>
      </w:pPr>
    </w:p>
    <w:p w:rsidR="00212513" w:rsidRDefault="00212513">
      <w:pPr>
        <w:pStyle w:val="ConsPlusNormal"/>
        <w:jc w:val="center"/>
      </w:pPr>
      <w:r>
        <w:rPr>
          <w:noProof/>
          <w:position w:val="-188"/>
        </w:rPr>
        <w:drawing>
          <wp:inline distT="0" distB="0" distL="0" distR="0">
            <wp:extent cx="5529580" cy="2539365"/>
            <wp:effectExtent l="0" t="0" r="0" b="0"/>
            <wp:docPr id="1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3" cstate="print">
                      <a:extLst>
                        <a:ext uri="{28A0092B-C50C-407E-A947-70E740481C1C}">
                          <a14:useLocalDpi xmlns:a14="http://schemas.microsoft.com/office/drawing/2010/main" val="0"/>
                        </a:ext>
                      </a:extLst>
                    </a:blip>
                    <a:srcRect/>
                    <a:stretch>
                      <a:fillRect/>
                    </a:stretch>
                  </pic:blipFill>
                  <pic:spPr bwMode="auto">
                    <a:xfrm>
                      <a:off x="0" y="0"/>
                      <a:ext cx="5529580" cy="2539365"/>
                    </a:xfrm>
                    <a:prstGeom prst="rect">
                      <a:avLst/>
                    </a:prstGeom>
                    <a:noFill/>
                    <a:ln>
                      <a:noFill/>
                    </a:ln>
                  </pic:spPr>
                </pic:pic>
              </a:graphicData>
            </a:graphic>
          </wp:inline>
        </w:drawing>
      </w:r>
    </w:p>
    <w:p w:rsidR="00212513" w:rsidRDefault="00212513">
      <w:pPr>
        <w:pStyle w:val="ConsPlusNormal"/>
        <w:ind w:firstLine="540"/>
        <w:jc w:val="both"/>
      </w:pPr>
    </w:p>
    <w:p w:rsidR="00212513" w:rsidRDefault="00212513">
      <w:pPr>
        <w:pStyle w:val="ConsPlusNormal"/>
        <w:jc w:val="center"/>
      </w:pPr>
      <w:bookmarkStart w:id="420" w:name="P9570"/>
      <w:bookmarkEnd w:id="420"/>
      <w:r>
        <w:rPr>
          <w:b/>
          <w:i/>
        </w:rPr>
        <w:t>Рисунок 9.3</w:t>
      </w:r>
      <w:r>
        <w:t xml:space="preserve"> </w:t>
      </w:r>
      <w:r>
        <w:rPr>
          <w:b/>
        </w:rPr>
        <w:t>- Усилия, напряжения и деформации</w:t>
      </w:r>
    </w:p>
    <w:p w:rsidR="00212513" w:rsidRDefault="00212513">
      <w:pPr>
        <w:pStyle w:val="ConsPlusNormal"/>
        <w:jc w:val="center"/>
      </w:pPr>
      <w:r>
        <w:rPr>
          <w:b/>
        </w:rPr>
        <w:t>в сталежелезобетонном поперечном сечении,</w:t>
      </w:r>
    </w:p>
    <w:p w:rsidR="00212513" w:rsidRDefault="00212513">
      <w:pPr>
        <w:pStyle w:val="ConsPlusNormal"/>
        <w:jc w:val="center"/>
      </w:pPr>
      <w:r>
        <w:rPr>
          <w:b/>
        </w:rPr>
        <w:t>воспринимающем положительный изгибающий момент</w:t>
      </w:r>
    </w:p>
    <w:p w:rsidR="00212513" w:rsidRDefault="00212513">
      <w:pPr>
        <w:pStyle w:val="ConsPlusNormal"/>
        <w:ind w:firstLine="540"/>
        <w:jc w:val="both"/>
      </w:pPr>
    </w:p>
    <w:p w:rsidR="00212513" w:rsidRDefault="00212513">
      <w:pPr>
        <w:pStyle w:val="ConsPlusNormal"/>
        <w:jc w:val="right"/>
      </w:pPr>
      <w:bookmarkStart w:id="421" w:name="P9574"/>
      <w:bookmarkEnd w:id="421"/>
      <w:r>
        <w:t>Таблица 9.5</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978"/>
        <w:gridCol w:w="978"/>
        <w:gridCol w:w="978"/>
        <w:gridCol w:w="978"/>
        <w:gridCol w:w="978"/>
        <w:gridCol w:w="978"/>
        <w:gridCol w:w="978"/>
        <w:gridCol w:w="978"/>
      </w:tblGrid>
      <w:tr w:rsidR="00212513">
        <w:tc>
          <w:tcPr>
            <w:tcW w:w="1191" w:type="dxa"/>
            <w:vMerge w:val="restart"/>
            <w:vAlign w:val="center"/>
          </w:tcPr>
          <w:p w:rsidR="00212513" w:rsidRDefault="00212513">
            <w:pPr>
              <w:pStyle w:val="ConsPlusNormal"/>
              <w:jc w:val="center"/>
            </w:pPr>
            <w:r>
              <w:rPr>
                <w:i/>
              </w:rPr>
              <w:t>A</w:t>
            </w:r>
            <w:r>
              <w:rPr>
                <w:i/>
                <w:vertAlign w:val="subscript"/>
              </w:rPr>
              <w:t>s</w:t>
            </w:r>
            <w:r>
              <w:rPr>
                <w:vertAlign w:val="subscript"/>
              </w:rPr>
              <w:t>min</w:t>
            </w:r>
            <w:r>
              <w:t>/</w:t>
            </w:r>
            <w:r>
              <w:rPr>
                <w:i/>
              </w:rPr>
              <w:t>A</w:t>
            </w:r>
            <w:r>
              <w:rPr>
                <w:i/>
                <w:vertAlign w:val="subscript"/>
              </w:rPr>
              <w:t>s</w:t>
            </w:r>
            <w:r>
              <w:rPr>
                <w:vertAlign w:val="subscript"/>
              </w:rPr>
              <w:t>max</w:t>
            </w:r>
          </w:p>
        </w:tc>
        <w:tc>
          <w:tcPr>
            <w:tcW w:w="7824" w:type="dxa"/>
            <w:gridSpan w:val="8"/>
            <w:vAlign w:val="center"/>
          </w:tcPr>
          <w:p w:rsidR="00212513" w:rsidRDefault="00212513">
            <w:pPr>
              <w:pStyle w:val="ConsPlusNormal"/>
              <w:jc w:val="center"/>
            </w:pPr>
            <w:r>
              <w:t xml:space="preserve">Значения коэффициента </w:t>
            </w:r>
            <w:r>
              <w:rPr>
                <w:noProof/>
                <w:position w:val="-3"/>
              </w:rPr>
              <w:drawing>
                <wp:inline distT="0" distB="0" distL="0" distR="0">
                  <wp:extent cx="136525" cy="178435"/>
                  <wp:effectExtent l="0" t="0" r="0" b="0"/>
                  <wp:docPr id="1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4"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 xml:space="preserve"> при </w:t>
            </w:r>
            <w:r>
              <w:rPr>
                <w:noProof/>
                <w:position w:val="-9"/>
              </w:rPr>
              <w:drawing>
                <wp:inline distT="0" distB="0" distL="0" distR="0">
                  <wp:extent cx="702310" cy="262255"/>
                  <wp:effectExtent l="0" t="0" r="0" b="0"/>
                  <wp:docPr id="1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5" cstate="print">
                            <a:extLst>
                              <a:ext uri="{28A0092B-C50C-407E-A947-70E740481C1C}">
                                <a14:useLocalDpi xmlns:a14="http://schemas.microsoft.com/office/drawing/2010/main" val="0"/>
                              </a:ext>
                            </a:extLst>
                          </a:blip>
                          <a:srcRect/>
                          <a:stretch>
                            <a:fillRect/>
                          </a:stretch>
                        </pic:blipFill>
                        <pic:spPr bwMode="auto">
                          <a:xfrm>
                            <a:off x="0" y="0"/>
                            <a:ext cx="702310" cy="262255"/>
                          </a:xfrm>
                          <a:prstGeom prst="rect">
                            <a:avLst/>
                          </a:prstGeom>
                          <a:noFill/>
                          <a:ln>
                            <a:noFill/>
                          </a:ln>
                        </pic:spPr>
                      </pic:pic>
                    </a:graphicData>
                  </a:graphic>
                </wp:inline>
              </w:drawing>
            </w:r>
            <w:r>
              <w:t>, равном</w:t>
            </w:r>
          </w:p>
        </w:tc>
      </w:tr>
      <w:tr w:rsidR="00212513">
        <w:tc>
          <w:tcPr>
            <w:tcW w:w="1191" w:type="dxa"/>
            <w:vMerge/>
          </w:tcPr>
          <w:p w:rsidR="00212513" w:rsidRDefault="00212513">
            <w:pPr>
              <w:pStyle w:val="ConsPlusNormal"/>
            </w:pPr>
          </w:p>
        </w:tc>
        <w:tc>
          <w:tcPr>
            <w:tcW w:w="978" w:type="dxa"/>
            <w:vAlign w:val="center"/>
          </w:tcPr>
          <w:p w:rsidR="00212513" w:rsidRDefault="00212513">
            <w:pPr>
              <w:pStyle w:val="ConsPlusNormal"/>
              <w:jc w:val="center"/>
            </w:pPr>
            <w:r>
              <w:t>0</w:t>
            </w:r>
          </w:p>
        </w:tc>
        <w:tc>
          <w:tcPr>
            <w:tcW w:w="978" w:type="dxa"/>
            <w:vAlign w:val="center"/>
          </w:tcPr>
          <w:p w:rsidR="00212513" w:rsidRDefault="00212513">
            <w:pPr>
              <w:pStyle w:val="ConsPlusNormal"/>
              <w:jc w:val="center"/>
            </w:pPr>
            <w:r>
              <w:t>0,05</w:t>
            </w:r>
          </w:p>
        </w:tc>
        <w:tc>
          <w:tcPr>
            <w:tcW w:w="978" w:type="dxa"/>
            <w:vAlign w:val="center"/>
          </w:tcPr>
          <w:p w:rsidR="00212513" w:rsidRDefault="00212513">
            <w:pPr>
              <w:pStyle w:val="ConsPlusNormal"/>
              <w:jc w:val="center"/>
            </w:pPr>
            <w:r>
              <w:t>0,10</w:t>
            </w:r>
          </w:p>
        </w:tc>
        <w:tc>
          <w:tcPr>
            <w:tcW w:w="978" w:type="dxa"/>
            <w:vAlign w:val="center"/>
          </w:tcPr>
          <w:p w:rsidR="00212513" w:rsidRDefault="00212513">
            <w:pPr>
              <w:pStyle w:val="ConsPlusNormal"/>
              <w:jc w:val="center"/>
            </w:pPr>
            <w:r>
              <w:t>0,15</w:t>
            </w:r>
          </w:p>
        </w:tc>
        <w:tc>
          <w:tcPr>
            <w:tcW w:w="978" w:type="dxa"/>
            <w:vAlign w:val="center"/>
          </w:tcPr>
          <w:p w:rsidR="00212513" w:rsidRDefault="00212513">
            <w:pPr>
              <w:pStyle w:val="ConsPlusNormal"/>
              <w:jc w:val="center"/>
            </w:pPr>
            <w:r>
              <w:t>0,20</w:t>
            </w:r>
          </w:p>
        </w:tc>
        <w:tc>
          <w:tcPr>
            <w:tcW w:w="978" w:type="dxa"/>
            <w:vAlign w:val="center"/>
          </w:tcPr>
          <w:p w:rsidR="00212513" w:rsidRDefault="00212513">
            <w:pPr>
              <w:pStyle w:val="ConsPlusNormal"/>
              <w:jc w:val="center"/>
            </w:pPr>
            <w:r>
              <w:t>0,25</w:t>
            </w:r>
          </w:p>
        </w:tc>
        <w:tc>
          <w:tcPr>
            <w:tcW w:w="978" w:type="dxa"/>
            <w:vAlign w:val="center"/>
          </w:tcPr>
          <w:p w:rsidR="00212513" w:rsidRDefault="00212513">
            <w:pPr>
              <w:pStyle w:val="ConsPlusNormal"/>
              <w:jc w:val="center"/>
            </w:pPr>
            <w:r>
              <w:t>0,30</w:t>
            </w:r>
          </w:p>
        </w:tc>
        <w:tc>
          <w:tcPr>
            <w:tcW w:w="978" w:type="dxa"/>
            <w:vAlign w:val="center"/>
          </w:tcPr>
          <w:p w:rsidR="00212513" w:rsidRDefault="00212513">
            <w:pPr>
              <w:pStyle w:val="ConsPlusNormal"/>
              <w:jc w:val="center"/>
            </w:pPr>
            <w:r>
              <w:t>0,35</w:t>
            </w:r>
          </w:p>
        </w:tc>
      </w:tr>
      <w:tr w:rsidR="00212513">
        <w:tc>
          <w:tcPr>
            <w:tcW w:w="1191" w:type="dxa"/>
            <w:vAlign w:val="center"/>
          </w:tcPr>
          <w:p w:rsidR="00212513" w:rsidRDefault="00212513">
            <w:pPr>
              <w:pStyle w:val="ConsPlusNormal"/>
              <w:jc w:val="center"/>
            </w:pPr>
            <w:r>
              <w:t>0</w:t>
            </w:r>
          </w:p>
        </w:tc>
        <w:tc>
          <w:tcPr>
            <w:tcW w:w="978" w:type="dxa"/>
            <w:vAlign w:val="center"/>
          </w:tcPr>
          <w:p w:rsidR="00212513" w:rsidRDefault="00212513">
            <w:pPr>
              <w:pStyle w:val="ConsPlusNormal"/>
              <w:jc w:val="center"/>
            </w:pPr>
            <w:r>
              <w:t>1,0</w:t>
            </w:r>
          </w:p>
          <w:p w:rsidR="00212513" w:rsidRDefault="00212513">
            <w:pPr>
              <w:pStyle w:val="ConsPlusNormal"/>
              <w:jc w:val="center"/>
            </w:pPr>
            <w:r>
              <w:t>---</w:t>
            </w:r>
          </w:p>
          <w:p w:rsidR="00212513" w:rsidRDefault="00212513">
            <w:pPr>
              <w:pStyle w:val="ConsPlusNormal"/>
              <w:jc w:val="center"/>
            </w:pPr>
            <w:r>
              <w:t>1,0</w:t>
            </w:r>
          </w:p>
        </w:tc>
        <w:tc>
          <w:tcPr>
            <w:tcW w:w="978" w:type="dxa"/>
            <w:vAlign w:val="center"/>
          </w:tcPr>
          <w:p w:rsidR="00212513" w:rsidRDefault="00212513">
            <w:pPr>
              <w:pStyle w:val="ConsPlusNormal"/>
              <w:jc w:val="center"/>
            </w:pPr>
            <w:r>
              <w:t>1,0</w:t>
            </w:r>
          </w:p>
          <w:p w:rsidR="00212513" w:rsidRDefault="00212513">
            <w:pPr>
              <w:pStyle w:val="ConsPlusNormal"/>
              <w:jc w:val="center"/>
            </w:pPr>
            <w:r>
              <w:t>----</w:t>
            </w:r>
          </w:p>
          <w:p w:rsidR="00212513" w:rsidRDefault="00212513">
            <w:pPr>
              <w:pStyle w:val="ConsPlusNormal"/>
              <w:jc w:val="center"/>
            </w:pPr>
            <w:r>
              <w:t>0,98</w:t>
            </w:r>
          </w:p>
        </w:tc>
        <w:tc>
          <w:tcPr>
            <w:tcW w:w="978" w:type="dxa"/>
            <w:vAlign w:val="center"/>
          </w:tcPr>
          <w:p w:rsidR="00212513" w:rsidRDefault="00212513">
            <w:pPr>
              <w:pStyle w:val="ConsPlusNormal"/>
              <w:jc w:val="center"/>
            </w:pPr>
            <w:r>
              <w:t>1,0</w:t>
            </w:r>
          </w:p>
          <w:p w:rsidR="00212513" w:rsidRDefault="00212513">
            <w:pPr>
              <w:pStyle w:val="ConsPlusNormal"/>
              <w:jc w:val="center"/>
            </w:pPr>
            <w:r>
              <w:t>----</w:t>
            </w:r>
          </w:p>
          <w:p w:rsidR="00212513" w:rsidRDefault="00212513">
            <w:pPr>
              <w:pStyle w:val="ConsPlusNormal"/>
              <w:jc w:val="center"/>
            </w:pPr>
            <w:r>
              <w:t>0,94</w:t>
            </w:r>
          </w:p>
        </w:tc>
        <w:tc>
          <w:tcPr>
            <w:tcW w:w="978" w:type="dxa"/>
            <w:vAlign w:val="center"/>
          </w:tcPr>
          <w:p w:rsidR="00212513" w:rsidRDefault="00212513">
            <w:pPr>
              <w:pStyle w:val="ConsPlusNormal"/>
              <w:jc w:val="center"/>
            </w:pPr>
            <w:r>
              <w:t>1,0</w:t>
            </w:r>
          </w:p>
          <w:p w:rsidR="00212513" w:rsidRDefault="00212513">
            <w:pPr>
              <w:pStyle w:val="ConsPlusNormal"/>
              <w:jc w:val="center"/>
            </w:pPr>
            <w:r>
              <w:t>----</w:t>
            </w:r>
          </w:p>
          <w:p w:rsidR="00212513" w:rsidRDefault="00212513">
            <w:pPr>
              <w:pStyle w:val="ConsPlusNormal"/>
              <w:jc w:val="center"/>
            </w:pPr>
            <w:r>
              <w:t>0,90</w:t>
            </w:r>
          </w:p>
        </w:tc>
        <w:tc>
          <w:tcPr>
            <w:tcW w:w="978" w:type="dxa"/>
            <w:vAlign w:val="center"/>
          </w:tcPr>
          <w:p w:rsidR="00212513" w:rsidRDefault="00212513">
            <w:pPr>
              <w:pStyle w:val="ConsPlusNormal"/>
              <w:jc w:val="center"/>
            </w:pPr>
            <w:r>
              <w:t>1,0</w:t>
            </w:r>
          </w:p>
          <w:p w:rsidR="00212513" w:rsidRDefault="00212513">
            <w:pPr>
              <w:pStyle w:val="ConsPlusNormal"/>
              <w:jc w:val="center"/>
            </w:pPr>
            <w:r>
              <w:t>----</w:t>
            </w:r>
          </w:p>
          <w:p w:rsidR="00212513" w:rsidRDefault="00212513">
            <w:pPr>
              <w:pStyle w:val="ConsPlusNormal"/>
              <w:jc w:val="center"/>
            </w:pPr>
            <w:r>
              <w:t>0,87</w:t>
            </w:r>
          </w:p>
        </w:tc>
        <w:tc>
          <w:tcPr>
            <w:tcW w:w="978" w:type="dxa"/>
            <w:vAlign w:val="center"/>
          </w:tcPr>
          <w:p w:rsidR="00212513" w:rsidRDefault="00212513">
            <w:pPr>
              <w:pStyle w:val="ConsPlusNormal"/>
              <w:jc w:val="center"/>
            </w:pPr>
            <w:r>
              <w:t>1,0</w:t>
            </w:r>
          </w:p>
          <w:p w:rsidR="00212513" w:rsidRDefault="00212513">
            <w:pPr>
              <w:pStyle w:val="ConsPlusNormal"/>
              <w:jc w:val="center"/>
            </w:pPr>
            <w:r>
              <w:t>----</w:t>
            </w:r>
          </w:p>
          <w:p w:rsidR="00212513" w:rsidRDefault="00212513">
            <w:pPr>
              <w:pStyle w:val="ConsPlusNormal"/>
              <w:jc w:val="center"/>
            </w:pPr>
            <w:r>
              <w:t>0,81</w:t>
            </w:r>
          </w:p>
        </w:tc>
        <w:tc>
          <w:tcPr>
            <w:tcW w:w="978" w:type="dxa"/>
            <w:vAlign w:val="center"/>
          </w:tcPr>
          <w:p w:rsidR="00212513" w:rsidRDefault="00212513">
            <w:pPr>
              <w:pStyle w:val="ConsPlusNormal"/>
              <w:jc w:val="center"/>
            </w:pPr>
            <w:r>
              <w:t>0,99</w:t>
            </w:r>
          </w:p>
          <w:p w:rsidR="00212513" w:rsidRDefault="00212513">
            <w:pPr>
              <w:pStyle w:val="ConsPlusNormal"/>
              <w:jc w:val="center"/>
            </w:pPr>
            <w:r>
              <w:t>----</w:t>
            </w:r>
          </w:p>
          <w:p w:rsidR="00212513" w:rsidRDefault="00212513">
            <w:pPr>
              <w:pStyle w:val="ConsPlusNormal"/>
              <w:jc w:val="center"/>
            </w:pPr>
            <w:r>
              <w:t>0,75</w:t>
            </w:r>
          </w:p>
        </w:tc>
        <w:tc>
          <w:tcPr>
            <w:tcW w:w="978" w:type="dxa"/>
            <w:vAlign w:val="center"/>
          </w:tcPr>
          <w:p w:rsidR="00212513" w:rsidRDefault="00212513">
            <w:pPr>
              <w:pStyle w:val="ConsPlusNormal"/>
              <w:jc w:val="center"/>
            </w:pPr>
            <w:r>
              <w:t>0,98</w:t>
            </w:r>
          </w:p>
          <w:p w:rsidR="00212513" w:rsidRDefault="00212513">
            <w:pPr>
              <w:pStyle w:val="ConsPlusNormal"/>
              <w:jc w:val="center"/>
            </w:pPr>
            <w:r>
              <w:t>----</w:t>
            </w:r>
          </w:p>
          <w:p w:rsidR="00212513" w:rsidRDefault="00212513">
            <w:pPr>
              <w:pStyle w:val="ConsPlusNormal"/>
              <w:jc w:val="center"/>
            </w:pPr>
            <w:r>
              <w:t>0,67</w:t>
            </w:r>
          </w:p>
        </w:tc>
      </w:tr>
      <w:tr w:rsidR="00212513">
        <w:tc>
          <w:tcPr>
            <w:tcW w:w="1191" w:type="dxa"/>
            <w:vAlign w:val="center"/>
          </w:tcPr>
          <w:p w:rsidR="00212513" w:rsidRDefault="00212513">
            <w:pPr>
              <w:pStyle w:val="ConsPlusNormal"/>
              <w:jc w:val="center"/>
            </w:pPr>
            <w:r>
              <w:t>0,2</w:t>
            </w:r>
          </w:p>
        </w:tc>
        <w:tc>
          <w:tcPr>
            <w:tcW w:w="978" w:type="dxa"/>
            <w:vAlign w:val="center"/>
          </w:tcPr>
          <w:p w:rsidR="00212513" w:rsidRDefault="00212513">
            <w:pPr>
              <w:pStyle w:val="ConsPlusNormal"/>
              <w:jc w:val="center"/>
            </w:pPr>
            <w:r>
              <w:t>1,0</w:t>
            </w:r>
          </w:p>
          <w:p w:rsidR="00212513" w:rsidRDefault="00212513">
            <w:pPr>
              <w:pStyle w:val="ConsPlusNormal"/>
              <w:jc w:val="center"/>
            </w:pPr>
            <w:r>
              <w:t>---</w:t>
            </w:r>
          </w:p>
          <w:p w:rsidR="00212513" w:rsidRDefault="00212513">
            <w:pPr>
              <w:pStyle w:val="ConsPlusNormal"/>
              <w:jc w:val="center"/>
            </w:pPr>
            <w:r>
              <w:t>1,0</w:t>
            </w:r>
          </w:p>
        </w:tc>
        <w:tc>
          <w:tcPr>
            <w:tcW w:w="978" w:type="dxa"/>
            <w:vAlign w:val="center"/>
          </w:tcPr>
          <w:p w:rsidR="00212513" w:rsidRDefault="00212513">
            <w:pPr>
              <w:pStyle w:val="ConsPlusNormal"/>
              <w:jc w:val="center"/>
            </w:pPr>
            <w:r>
              <w:t>1,0</w:t>
            </w:r>
          </w:p>
          <w:p w:rsidR="00212513" w:rsidRDefault="00212513">
            <w:pPr>
              <w:pStyle w:val="ConsPlusNormal"/>
              <w:jc w:val="center"/>
            </w:pPr>
            <w:r>
              <w:t>----</w:t>
            </w:r>
          </w:p>
          <w:p w:rsidR="00212513" w:rsidRDefault="00212513">
            <w:pPr>
              <w:pStyle w:val="ConsPlusNormal"/>
              <w:jc w:val="center"/>
            </w:pPr>
            <w:r>
              <w:t>0,97</w:t>
            </w:r>
          </w:p>
        </w:tc>
        <w:tc>
          <w:tcPr>
            <w:tcW w:w="978" w:type="dxa"/>
            <w:vAlign w:val="center"/>
          </w:tcPr>
          <w:p w:rsidR="00212513" w:rsidRDefault="00212513">
            <w:pPr>
              <w:pStyle w:val="ConsPlusNormal"/>
              <w:jc w:val="center"/>
            </w:pPr>
            <w:r>
              <w:t>1,0</w:t>
            </w:r>
          </w:p>
          <w:p w:rsidR="00212513" w:rsidRDefault="00212513">
            <w:pPr>
              <w:pStyle w:val="ConsPlusNormal"/>
              <w:jc w:val="center"/>
            </w:pPr>
            <w:r>
              <w:t>----</w:t>
            </w:r>
          </w:p>
          <w:p w:rsidR="00212513" w:rsidRDefault="00212513">
            <w:pPr>
              <w:pStyle w:val="ConsPlusNormal"/>
              <w:jc w:val="center"/>
            </w:pPr>
            <w:r>
              <w:t>0,92</w:t>
            </w:r>
          </w:p>
        </w:tc>
        <w:tc>
          <w:tcPr>
            <w:tcW w:w="978" w:type="dxa"/>
            <w:vAlign w:val="center"/>
          </w:tcPr>
          <w:p w:rsidR="00212513" w:rsidRDefault="00212513">
            <w:pPr>
              <w:pStyle w:val="ConsPlusNormal"/>
              <w:jc w:val="center"/>
            </w:pPr>
            <w:r>
              <w:t>1,02</w:t>
            </w:r>
          </w:p>
          <w:p w:rsidR="00212513" w:rsidRDefault="00212513">
            <w:pPr>
              <w:pStyle w:val="ConsPlusNormal"/>
              <w:jc w:val="center"/>
            </w:pPr>
            <w:r>
              <w:t>----</w:t>
            </w:r>
          </w:p>
          <w:p w:rsidR="00212513" w:rsidRDefault="00212513">
            <w:pPr>
              <w:pStyle w:val="ConsPlusNormal"/>
              <w:jc w:val="center"/>
            </w:pPr>
            <w:r>
              <w:t>0,87</w:t>
            </w:r>
          </w:p>
        </w:tc>
        <w:tc>
          <w:tcPr>
            <w:tcW w:w="978" w:type="dxa"/>
            <w:vAlign w:val="center"/>
          </w:tcPr>
          <w:p w:rsidR="00212513" w:rsidRDefault="00212513">
            <w:pPr>
              <w:pStyle w:val="ConsPlusNormal"/>
              <w:jc w:val="center"/>
            </w:pPr>
            <w:r>
              <w:t>1,03</w:t>
            </w:r>
          </w:p>
          <w:p w:rsidR="00212513" w:rsidRDefault="00212513">
            <w:pPr>
              <w:pStyle w:val="ConsPlusNormal"/>
              <w:jc w:val="center"/>
            </w:pPr>
            <w:r>
              <w:t>----</w:t>
            </w:r>
          </w:p>
          <w:p w:rsidR="00212513" w:rsidRDefault="00212513">
            <w:pPr>
              <w:pStyle w:val="ConsPlusNormal"/>
              <w:jc w:val="center"/>
            </w:pPr>
            <w:r>
              <w:t>0,80</w:t>
            </w:r>
          </w:p>
        </w:tc>
        <w:tc>
          <w:tcPr>
            <w:tcW w:w="978" w:type="dxa"/>
            <w:vAlign w:val="center"/>
          </w:tcPr>
          <w:p w:rsidR="00212513" w:rsidRDefault="00212513">
            <w:pPr>
              <w:pStyle w:val="ConsPlusNormal"/>
              <w:jc w:val="center"/>
            </w:pPr>
            <w:r>
              <w:t>1,04</w:t>
            </w:r>
          </w:p>
          <w:p w:rsidR="00212513" w:rsidRDefault="00212513">
            <w:pPr>
              <w:pStyle w:val="ConsPlusNormal"/>
              <w:jc w:val="center"/>
            </w:pPr>
            <w:r>
              <w:t>----</w:t>
            </w:r>
          </w:p>
          <w:p w:rsidR="00212513" w:rsidRDefault="00212513">
            <w:pPr>
              <w:pStyle w:val="ConsPlusNormal"/>
              <w:jc w:val="center"/>
            </w:pPr>
            <w:r>
              <w:t>0,70</w:t>
            </w:r>
          </w:p>
        </w:tc>
        <w:tc>
          <w:tcPr>
            <w:tcW w:w="978" w:type="dxa"/>
            <w:vAlign w:val="center"/>
          </w:tcPr>
          <w:p w:rsidR="00212513" w:rsidRDefault="00212513">
            <w:pPr>
              <w:pStyle w:val="ConsPlusNormal"/>
              <w:jc w:val="center"/>
            </w:pPr>
            <w:r>
              <w:t>1,05</w:t>
            </w:r>
          </w:p>
          <w:p w:rsidR="00212513" w:rsidRDefault="00212513">
            <w:pPr>
              <w:pStyle w:val="ConsPlusNormal"/>
              <w:jc w:val="center"/>
            </w:pPr>
            <w:r>
              <w:t>----</w:t>
            </w:r>
          </w:p>
          <w:p w:rsidR="00212513" w:rsidRDefault="00212513">
            <w:pPr>
              <w:pStyle w:val="ConsPlusNormal"/>
              <w:jc w:val="center"/>
            </w:pPr>
            <w:r>
              <w:t>0,57</w:t>
            </w:r>
          </w:p>
        </w:tc>
        <w:tc>
          <w:tcPr>
            <w:tcW w:w="978" w:type="dxa"/>
            <w:vAlign w:val="center"/>
          </w:tcPr>
          <w:p w:rsidR="00212513" w:rsidRDefault="00212513">
            <w:pPr>
              <w:pStyle w:val="ConsPlusNormal"/>
              <w:jc w:val="center"/>
            </w:pPr>
            <w:r>
              <w:t>1,06</w:t>
            </w:r>
          </w:p>
          <w:p w:rsidR="00212513" w:rsidRDefault="00212513">
            <w:pPr>
              <w:pStyle w:val="ConsPlusNormal"/>
              <w:jc w:val="center"/>
            </w:pPr>
            <w:r>
              <w:t>----</w:t>
            </w:r>
          </w:p>
          <w:p w:rsidR="00212513" w:rsidRDefault="00212513">
            <w:pPr>
              <w:pStyle w:val="ConsPlusNormal"/>
              <w:jc w:val="center"/>
            </w:pPr>
            <w:r>
              <w:t>0,38</w:t>
            </w:r>
          </w:p>
        </w:tc>
      </w:tr>
      <w:tr w:rsidR="00212513">
        <w:tc>
          <w:tcPr>
            <w:tcW w:w="1191" w:type="dxa"/>
            <w:vAlign w:val="center"/>
          </w:tcPr>
          <w:p w:rsidR="00212513" w:rsidRDefault="00212513">
            <w:pPr>
              <w:pStyle w:val="ConsPlusNormal"/>
              <w:jc w:val="center"/>
            </w:pPr>
            <w:r>
              <w:t>0,4</w:t>
            </w:r>
          </w:p>
        </w:tc>
        <w:tc>
          <w:tcPr>
            <w:tcW w:w="978" w:type="dxa"/>
            <w:vAlign w:val="center"/>
          </w:tcPr>
          <w:p w:rsidR="00212513" w:rsidRDefault="00212513">
            <w:pPr>
              <w:pStyle w:val="ConsPlusNormal"/>
              <w:jc w:val="center"/>
            </w:pPr>
            <w:r>
              <w:t>1,0</w:t>
            </w:r>
          </w:p>
          <w:p w:rsidR="00212513" w:rsidRDefault="00212513">
            <w:pPr>
              <w:pStyle w:val="ConsPlusNormal"/>
              <w:jc w:val="center"/>
            </w:pPr>
            <w:r>
              <w:t>---</w:t>
            </w:r>
          </w:p>
          <w:p w:rsidR="00212513" w:rsidRDefault="00212513">
            <w:pPr>
              <w:pStyle w:val="ConsPlusNormal"/>
              <w:jc w:val="center"/>
            </w:pPr>
            <w:r>
              <w:t>1,0</w:t>
            </w:r>
          </w:p>
        </w:tc>
        <w:tc>
          <w:tcPr>
            <w:tcW w:w="978" w:type="dxa"/>
            <w:vAlign w:val="center"/>
          </w:tcPr>
          <w:p w:rsidR="00212513" w:rsidRDefault="00212513">
            <w:pPr>
              <w:pStyle w:val="ConsPlusNormal"/>
              <w:jc w:val="center"/>
            </w:pPr>
            <w:r>
              <w:t>1,04</w:t>
            </w:r>
          </w:p>
          <w:p w:rsidR="00212513" w:rsidRDefault="00212513">
            <w:pPr>
              <w:pStyle w:val="ConsPlusNormal"/>
              <w:jc w:val="center"/>
            </w:pPr>
            <w:r>
              <w:t>----</w:t>
            </w:r>
          </w:p>
          <w:p w:rsidR="00212513" w:rsidRDefault="00212513">
            <w:pPr>
              <w:pStyle w:val="ConsPlusNormal"/>
              <w:jc w:val="center"/>
            </w:pPr>
            <w:r>
              <w:t>0,90</w:t>
            </w:r>
          </w:p>
        </w:tc>
        <w:tc>
          <w:tcPr>
            <w:tcW w:w="978" w:type="dxa"/>
            <w:vAlign w:val="center"/>
          </w:tcPr>
          <w:p w:rsidR="00212513" w:rsidRDefault="00212513">
            <w:pPr>
              <w:pStyle w:val="ConsPlusNormal"/>
              <w:jc w:val="center"/>
            </w:pPr>
            <w:r>
              <w:t>1,08</w:t>
            </w:r>
          </w:p>
          <w:p w:rsidR="00212513" w:rsidRDefault="00212513">
            <w:pPr>
              <w:pStyle w:val="ConsPlusNormal"/>
              <w:jc w:val="center"/>
            </w:pPr>
            <w:r>
              <w:t>----</w:t>
            </w:r>
          </w:p>
          <w:p w:rsidR="00212513" w:rsidRDefault="00212513">
            <w:pPr>
              <w:pStyle w:val="ConsPlusNormal"/>
              <w:jc w:val="center"/>
            </w:pPr>
            <w:r>
              <w:t>0,8</w:t>
            </w:r>
          </w:p>
        </w:tc>
        <w:tc>
          <w:tcPr>
            <w:tcW w:w="978" w:type="dxa"/>
            <w:vAlign w:val="center"/>
          </w:tcPr>
          <w:p w:rsidR="00212513" w:rsidRDefault="00212513">
            <w:pPr>
              <w:pStyle w:val="ConsPlusNormal"/>
              <w:jc w:val="center"/>
            </w:pPr>
            <w:r>
              <w:t>1,12</w:t>
            </w:r>
          </w:p>
          <w:p w:rsidR="00212513" w:rsidRDefault="00212513">
            <w:pPr>
              <w:pStyle w:val="ConsPlusNormal"/>
              <w:jc w:val="center"/>
            </w:pPr>
            <w:r>
              <w:t>----</w:t>
            </w:r>
          </w:p>
          <w:p w:rsidR="00212513" w:rsidRDefault="00212513">
            <w:pPr>
              <w:pStyle w:val="ConsPlusNormal"/>
              <w:jc w:val="center"/>
            </w:pPr>
            <w:r>
              <w:t>0,67</w:t>
            </w:r>
          </w:p>
        </w:tc>
        <w:tc>
          <w:tcPr>
            <w:tcW w:w="978" w:type="dxa"/>
            <w:vAlign w:val="center"/>
          </w:tcPr>
          <w:p w:rsidR="00212513" w:rsidRDefault="00212513">
            <w:pPr>
              <w:pStyle w:val="ConsPlusNormal"/>
              <w:jc w:val="center"/>
            </w:pPr>
            <w:r>
              <w:t>1,14</w:t>
            </w:r>
          </w:p>
          <w:p w:rsidR="00212513" w:rsidRDefault="00212513">
            <w:pPr>
              <w:pStyle w:val="ConsPlusNormal"/>
              <w:jc w:val="center"/>
            </w:pPr>
            <w:r>
              <w:t>----</w:t>
            </w:r>
          </w:p>
          <w:p w:rsidR="00212513" w:rsidRDefault="00212513">
            <w:pPr>
              <w:pStyle w:val="ConsPlusNormal"/>
              <w:jc w:val="center"/>
            </w:pPr>
            <w:r>
              <w:t>0,52</w:t>
            </w:r>
          </w:p>
        </w:tc>
        <w:tc>
          <w:tcPr>
            <w:tcW w:w="978" w:type="dxa"/>
            <w:vAlign w:val="center"/>
          </w:tcPr>
          <w:p w:rsidR="00212513" w:rsidRDefault="00212513">
            <w:pPr>
              <w:pStyle w:val="ConsPlusNormal"/>
              <w:jc w:val="center"/>
            </w:pPr>
            <w:r>
              <w:t>1,16</w:t>
            </w:r>
          </w:p>
          <w:p w:rsidR="00212513" w:rsidRDefault="00212513">
            <w:pPr>
              <w:pStyle w:val="ConsPlusNormal"/>
              <w:jc w:val="center"/>
            </w:pPr>
            <w:r>
              <w:t>----</w:t>
            </w:r>
          </w:p>
          <w:p w:rsidR="00212513" w:rsidRDefault="00212513">
            <w:pPr>
              <w:pStyle w:val="ConsPlusNormal"/>
              <w:jc w:val="center"/>
            </w:pPr>
            <w:r>
              <w:t>0,34</w:t>
            </w:r>
          </w:p>
        </w:tc>
        <w:tc>
          <w:tcPr>
            <w:tcW w:w="978" w:type="dxa"/>
            <w:vAlign w:val="center"/>
          </w:tcPr>
          <w:p w:rsidR="00212513" w:rsidRDefault="00212513">
            <w:pPr>
              <w:pStyle w:val="ConsPlusNormal"/>
              <w:jc w:val="center"/>
            </w:pPr>
            <w:r>
              <w:t>1,19</w:t>
            </w:r>
          </w:p>
          <w:p w:rsidR="00212513" w:rsidRDefault="00212513">
            <w:pPr>
              <w:pStyle w:val="ConsPlusNormal"/>
              <w:jc w:val="center"/>
            </w:pPr>
            <w:r>
              <w:t>----</w:t>
            </w:r>
          </w:p>
          <w:p w:rsidR="00212513" w:rsidRDefault="00212513">
            <w:pPr>
              <w:pStyle w:val="ConsPlusNormal"/>
              <w:jc w:val="center"/>
            </w:pPr>
            <w:r>
              <w:t>0,53</w:t>
            </w:r>
          </w:p>
        </w:tc>
        <w:tc>
          <w:tcPr>
            <w:tcW w:w="978" w:type="dxa"/>
            <w:vAlign w:val="center"/>
          </w:tcPr>
          <w:p w:rsidR="00212513" w:rsidRDefault="00212513">
            <w:pPr>
              <w:pStyle w:val="ConsPlusNormal"/>
              <w:jc w:val="center"/>
            </w:pPr>
            <w:r>
              <w:t>1,20</w:t>
            </w:r>
          </w:p>
          <w:p w:rsidR="00212513" w:rsidRDefault="00212513">
            <w:pPr>
              <w:pStyle w:val="ConsPlusNormal"/>
              <w:jc w:val="center"/>
            </w:pPr>
            <w:r>
              <w:t>----</w:t>
            </w:r>
          </w:p>
          <w:p w:rsidR="00212513" w:rsidRDefault="00212513">
            <w:pPr>
              <w:pStyle w:val="ConsPlusNormal"/>
              <w:jc w:val="center"/>
            </w:pPr>
            <w:r>
              <w:t>0,68</w:t>
            </w:r>
          </w:p>
        </w:tc>
      </w:tr>
      <w:tr w:rsidR="00212513">
        <w:tc>
          <w:tcPr>
            <w:tcW w:w="1191" w:type="dxa"/>
            <w:vAlign w:val="center"/>
          </w:tcPr>
          <w:p w:rsidR="00212513" w:rsidRDefault="00212513">
            <w:pPr>
              <w:pStyle w:val="ConsPlusNormal"/>
              <w:jc w:val="center"/>
            </w:pPr>
            <w:r>
              <w:t>0,6</w:t>
            </w:r>
          </w:p>
        </w:tc>
        <w:tc>
          <w:tcPr>
            <w:tcW w:w="978" w:type="dxa"/>
            <w:vAlign w:val="center"/>
          </w:tcPr>
          <w:p w:rsidR="00212513" w:rsidRDefault="00212513">
            <w:pPr>
              <w:pStyle w:val="ConsPlusNormal"/>
              <w:jc w:val="center"/>
            </w:pPr>
            <w:r>
              <w:t>1,0</w:t>
            </w:r>
          </w:p>
          <w:p w:rsidR="00212513" w:rsidRDefault="00212513">
            <w:pPr>
              <w:pStyle w:val="ConsPlusNormal"/>
              <w:jc w:val="center"/>
            </w:pPr>
            <w:r>
              <w:t>---</w:t>
            </w:r>
          </w:p>
          <w:p w:rsidR="00212513" w:rsidRDefault="00212513">
            <w:pPr>
              <w:pStyle w:val="ConsPlusNormal"/>
              <w:jc w:val="center"/>
            </w:pPr>
            <w:r>
              <w:t>1,0</w:t>
            </w:r>
          </w:p>
        </w:tc>
        <w:tc>
          <w:tcPr>
            <w:tcW w:w="978" w:type="dxa"/>
            <w:vAlign w:val="center"/>
          </w:tcPr>
          <w:p w:rsidR="00212513" w:rsidRDefault="00212513">
            <w:pPr>
              <w:pStyle w:val="ConsPlusNormal"/>
              <w:jc w:val="center"/>
            </w:pPr>
            <w:r>
              <w:t>1,10</w:t>
            </w:r>
          </w:p>
          <w:p w:rsidR="00212513" w:rsidRDefault="00212513">
            <w:pPr>
              <w:pStyle w:val="ConsPlusNormal"/>
              <w:jc w:val="center"/>
            </w:pPr>
            <w:r>
              <w:t>----</w:t>
            </w:r>
          </w:p>
          <w:p w:rsidR="00212513" w:rsidRDefault="00212513">
            <w:pPr>
              <w:pStyle w:val="ConsPlusNormal"/>
              <w:jc w:val="center"/>
            </w:pPr>
            <w:r>
              <w:t>0,84</w:t>
            </w:r>
          </w:p>
        </w:tc>
        <w:tc>
          <w:tcPr>
            <w:tcW w:w="978" w:type="dxa"/>
            <w:vAlign w:val="center"/>
          </w:tcPr>
          <w:p w:rsidR="00212513" w:rsidRDefault="00212513">
            <w:pPr>
              <w:pStyle w:val="ConsPlusNormal"/>
              <w:jc w:val="center"/>
            </w:pPr>
            <w:r>
              <w:t>1,19</w:t>
            </w:r>
          </w:p>
          <w:p w:rsidR="00212513" w:rsidRDefault="00212513">
            <w:pPr>
              <w:pStyle w:val="ConsPlusNormal"/>
              <w:jc w:val="center"/>
            </w:pPr>
            <w:r>
              <w:t>----</w:t>
            </w:r>
          </w:p>
          <w:p w:rsidR="00212513" w:rsidRDefault="00212513">
            <w:pPr>
              <w:pStyle w:val="ConsPlusNormal"/>
              <w:jc w:val="center"/>
            </w:pPr>
            <w:r>
              <w:t>0,64</w:t>
            </w:r>
          </w:p>
        </w:tc>
        <w:tc>
          <w:tcPr>
            <w:tcW w:w="978" w:type="dxa"/>
            <w:vAlign w:val="center"/>
          </w:tcPr>
          <w:p w:rsidR="00212513" w:rsidRDefault="00212513">
            <w:pPr>
              <w:pStyle w:val="ConsPlusNormal"/>
              <w:jc w:val="center"/>
            </w:pPr>
            <w:r>
              <w:t>1,28</w:t>
            </w:r>
          </w:p>
          <w:p w:rsidR="00212513" w:rsidRDefault="00212513">
            <w:pPr>
              <w:pStyle w:val="ConsPlusNormal"/>
              <w:jc w:val="center"/>
            </w:pPr>
            <w:r>
              <w:t>----</w:t>
            </w:r>
          </w:p>
          <w:p w:rsidR="00212513" w:rsidRDefault="00212513">
            <w:pPr>
              <w:pStyle w:val="ConsPlusNormal"/>
              <w:jc w:val="center"/>
            </w:pPr>
            <w:r>
              <w:t>0,40</w:t>
            </w:r>
          </w:p>
        </w:tc>
        <w:tc>
          <w:tcPr>
            <w:tcW w:w="978" w:type="dxa"/>
            <w:vAlign w:val="center"/>
          </w:tcPr>
          <w:p w:rsidR="00212513" w:rsidRDefault="00212513">
            <w:pPr>
              <w:pStyle w:val="ConsPlusNormal"/>
              <w:jc w:val="center"/>
            </w:pPr>
            <w:r>
              <w:t>1,35</w:t>
            </w:r>
          </w:p>
          <w:p w:rsidR="00212513" w:rsidRDefault="00212513">
            <w:pPr>
              <w:pStyle w:val="ConsPlusNormal"/>
              <w:jc w:val="center"/>
            </w:pPr>
            <w:r>
              <w:t>----</w:t>
            </w:r>
          </w:p>
          <w:p w:rsidR="00212513" w:rsidRDefault="00212513">
            <w:pPr>
              <w:pStyle w:val="ConsPlusNormal"/>
              <w:jc w:val="center"/>
            </w:pPr>
            <w:r>
              <w:t>0,56</w:t>
            </w:r>
          </w:p>
        </w:tc>
        <w:tc>
          <w:tcPr>
            <w:tcW w:w="978" w:type="dxa"/>
            <w:vAlign w:val="center"/>
          </w:tcPr>
          <w:p w:rsidR="00212513" w:rsidRDefault="00212513">
            <w:pPr>
              <w:pStyle w:val="ConsPlusNormal"/>
              <w:jc w:val="center"/>
            </w:pPr>
            <w:r>
              <w:t>1,40</w:t>
            </w:r>
          </w:p>
          <w:p w:rsidR="00212513" w:rsidRDefault="00212513">
            <w:pPr>
              <w:pStyle w:val="ConsPlusNormal"/>
              <w:jc w:val="center"/>
            </w:pPr>
            <w:r>
              <w:t>----</w:t>
            </w:r>
          </w:p>
          <w:p w:rsidR="00212513" w:rsidRDefault="00212513">
            <w:pPr>
              <w:pStyle w:val="ConsPlusNormal"/>
              <w:jc w:val="center"/>
            </w:pPr>
            <w:r>
              <w:t>0,75</w:t>
            </w:r>
          </w:p>
        </w:tc>
        <w:tc>
          <w:tcPr>
            <w:tcW w:w="978" w:type="dxa"/>
            <w:vAlign w:val="center"/>
          </w:tcPr>
          <w:p w:rsidR="00212513" w:rsidRDefault="00212513">
            <w:pPr>
              <w:pStyle w:val="ConsPlusNormal"/>
              <w:jc w:val="center"/>
            </w:pPr>
            <w:r>
              <w:t>1,44</w:t>
            </w:r>
          </w:p>
          <w:p w:rsidR="00212513" w:rsidRDefault="00212513">
            <w:pPr>
              <w:pStyle w:val="ConsPlusNormal"/>
              <w:jc w:val="center"/>
            </w:pPr>
            <w:r>
              <w:t>----</w:t>
            </w:r>
          </w:p>
          <w:p w:rsidR="00212513" w:rsidRDefault="00212513">
            <w:pPr>
              <w:pStyle w:val="ConsPlusNormal"/>
              <w:jc w:val="center"/>
            </w:pPr>
            <w:r>
              <w:t>0,95</w:t>
            </w:r>
          </w:p>
        </w:tc>
        <w:tc>
          <w:tcPr>
            <w:tcW w:w="978" w:type="dxa"/>
            <w:vAlign w:val="center"/>
          </w:tcPr>
          <w:p w:rsidR="00212513" w:rsidRDefault="00212513">
            <w:pPr>
              <w:pStyle w:val="ConsPlusNormal"/>
              <w:jc w:val="center"/>
            </w:pPr>
            <w:r>
              <w:t>1,46</w:t>
            </w:r>
          </w:p>
          <w:p w:rsidR="00212513" w:rsidRDefault="00212513">
            <w:pPr>
              <w:pStyle w:val="ConsPlusNormal"/>
              <w:jc w:val="center"/>
            </w:pPr>
            <w:r>
              <w:t>----</w:t>
            </w:r>
          </w:p>
          <w:p w:rsidR="00212513" w:rsidRDefault="00212513">
            <w:pPr>
              <w:pStyle w:val="ConsPlusNormal"/>
              <w:jc w:val="center"/>
            </w:pPr>
            <w:r>
              <w:t>1,13</w:t>
            </w:r>
          </w:p>
        </w:tc>
      </w:tr>
      <w:tr w:rsidR="00212513">
        <w:tc>
          <w:tcPr>
            <w:tcW w:w="1191" w:type="dxa"/>
            <w:vAlign w:val="center"/>
          </w:tcPr>
          <w:p w:rsidR="00212513" w:rsidRDefault="00212513">
            <w:pPr>
              <w:pStyle w:val="ConsPlusNormal"/>
              <w:jc w:val="center"/>
            </w:pPr>
            <w:r>
              <w:t>0,8</w:t>
            </w:r>
          </w:p>
        </w:tc>
        <w:tc>
          <w:tcPr>
            <w:tcW w:w="978" w:type="dxa"/>
            <w:vAlign w:val="center"/>
          </w:tcPr>
          <w:p w:rsidR="00212513" w:rsidRDefault="00212513">
            <w:pPr>
              <w:pStyle w:val="ConsPlusNormal"/>
              <w:jc w:val="center"/>
            </w:pPr>
            <w:r>
              <w:t>1,0</w:t>
            </w:r>
          </w:p>
          <w:p w:rsidR="00212513" w:rsidRDefault="00212513">
            <w:pPr>
              <w:pStyle w:val="ConsPlusNormal"/>
              <w:jc w:val="center"/>
            </w:pPr>
            <w:r>
              <w:t>---</w:t>
            </w:r>
          </w:p>
          <w:p w:rsidR="00212513" w:rsidRDefault="00212513">
            <w:pPr>
              <w:pStyle w:val="ConsPlusNormal"/>
              <w:jc w:val="center"/>
            </w:pPr>
            <w:r>
              <w:t>1,0</w:t>
            </w:r>
          </w:p>
        </w:tc>
        <w:tc>
          <w:tcPr>
            <w:tcW w:w="978" w:type="dxa"/>
            <w:vAlign w:val="center"/>
          </w:tcPr>
          <w:p w:rsidR="00212513" w:rsidRDefault="00212513">
            <w:pPr>
              <w:pStyle w:val="ConsPlusNormal"/>
              <w:jc w:val="center"/>
            </w:pPr>
            <w:r>
              <w:t>1,20</w:t>
            </w:r>
          </w:p>
          <w:p w:rsidR="00212513" w:rsidRDefault="00212513">
            <w:pPr>
              <w:pStyle w:val="ConsPlusNormal"/>
              <w:jc w:val="center"/>
            </w:pPr>
            <w:r>
              <w:t>----</w:t>
            </w:r>
          </w:p>
          <w:p w:rsidR="00212513" w:rsidRDefault="00212513">
            <w:pPr>
              <w:pStyle w:val="ConsPlusNormal"/>
              <w:jc w:val="center"/>
            </w:pPr>
            <w:r>
              <w:t>0,61</w:t>
            </w:r>
          </w:p>
        </w:tc>
        <w:tc>
          <w:tcPr>
            <w:tcW w:w="978" w:type="dxa"/>
            <w:vAlign w:val="center"/>
          </w:tcPr>
          <w:p w:rsidR="00212513" w:rsidRDefault="00212513">
            <w:pPr>
              <w:pStyle w:val="ConsPlusNormal"/>
              <w:jc w:val="center"/>
            </w:pPr>
            <w:r>
              <w:t>1,39</w:t>
            </w:r>
          </w:p>
          <w:p w:rsidR="00212513" w:rsidRDefault="00212513">
            <w:pPr>
              <w:pStyle w:val="ConsPlusNormal"/>
              <w:jc w:val="center"/>
            </w:pPr>
            <w:r>
              <w:t>----</w:t>
            </w:r>
          </w:p>
          <w:p w:rsidR="00212513" w:rsidRDefault="00212513">
            <w:pPr>
              <w:pStyle w:val="ConsPlusNormal"/>
              <w:jc w:val="center"/>
            </w:pPr>
            <w:r>
              <w:t>0,51</w:t>
            </w:r>
          </w:p>
        </w:tc>
        <w:tc>
          <w:tcPr>
            <w:tcW w:w="978" w:type="dxa"/>
            <w:vAlign w:val="center"/>
          </w:tcPr>
          <w:p w:rsidR="00212513" w:rsidRDefault="00212513">
            <w:pPr>
              <w:pStyle w:val="ConsPlusNormal"/>
              <w:jc w:val="center"/>
            </w:pPr>
            <w:r>
              <w:t>1,55</w:t>
            </w:r>
          </w:p>
          <w:p w:rsidR="00212513" w:rsidRDefault="00212513">
            <w:pPr>
              <w:pStyle w:val="ConsPlusNormal"/>
              <w:jc w:val="center"/>
            </w:pPr>
            <w:r>
              <w:t>----</w:t>
            </w:r>
          </w:p>
          <w:p w:rsidR="00212513" w:rsidRDefault="00212513">
            <w:pPr>
              <w:pStyle w:val="ConsPlusNormal"/>
              <w:jc w:val="center"/>
            </w:pPr>
            <w:r>
              <w:t>0,84</w:t>
            </w:r>
          </w:p>
        </w:tc>
        <w:tc>
          <w:tcPr>
            <w:tcW w:w="978" w:type="dxa"/>
            <w:vAlign w:val="center"/>
          </w:tcPr>
          <w:p w:rsidR="00212513" w:rsidRDefault="00212513">
            <w:pPr>
              <w:pStyle w:val="ConsPlusNormal"/>
              <w:jc w:val="center"/>
            </w:pPr>
            <w:r>
              <w:t>1,70</w:t>
            </w:r>
          </w:p>
          <w:p w:rsidR="00212513" w:rsidRDefault="00212513">
            <w:pPr>
              <w:pStyle w:val="ConsPlusNormal"/>
              <w:jc w:val="center"/>
            </w:pPr>
            <w:r>
              <w:t>----</w:t>
            </w:r>
          </w:p>
          <w:p w:rsidR="00212513" w:rsidRDefault="00212513">
            <w:pPr>
              <w:pStyle w:val="ConsPlusNormal"/>
              <w:jc w:val="center"/>
            </w:pPr>
            <w:r>
              <w:t>1,12</w:t>
            </w:r>
          </w:p>
        </w:tc>
        <w:tc>
          <w:tcPr>
            <w:tcW w:w="978" w:type="dxa"/>
            <w:vAlign w:val="center"/>
          </w:tcPr>
          <w:p w:rsidR="00212513" w:rsidRDefault="00212513">
            <w:pPr>
              <w:pStyle w:val="ConsPlusNormal"/>
              <w:jc w:val="center"/>
            </w:pPr>
            <w:r>
              <w:t>1,83</w:t>
            </w:r>
          </w:p>
          <w:p w:rsidR="00212513" w:rsidRDefault="00212513">
            <w:pPr>
              <w:pStyle w:val="ConsPlusNormal"/>
              <w:jc w:val="center"/>
            </w:pPr>
            <w:r>
              <w:t>----</w:t>
            </w:r>
          </w:p>
          <w:p w:rsidR="00212513" w:rsidRDefault="00212513">
            <w:pPr>
              <w:pStyle w:val="ConsPlusNormal"/>
              <w:jc w:val="center"/>
            </w:pPr>
            <w:r>
              <w:t>1,36</w:t>
            </w:r>
          </w:p>
        </w:tc>
        <w:tc>
          <w:tcPr>
            <w:tcW w:w="978" w:type="dxa"/>
            <w:vAlign w:val="center"/>
          </w:tcPr>
          <w:p w:rsidR="00212513" w:rsidRDefault="00212513">
            <w:pPr>
              <w:pStyle w:val="ConsPlusNormal"/>
              <w:jc w:val="center"/>
            </w:pPr>
            <w:r>
              <w:t>1,93</w:t>
            </w:r>
          </w:p>
          <w:p w:rsidR="00212513" w:rsidRDefault="00212513">
            <w:pPr>
              <w:pStyle w:val="ConsPlusNormal"/>
              <w:jc w:val="center"/>
            </w:pPr>
            <w:r>
              <w:t>----</w:t>
            </w:r>
          </w:p>
          <w:p w:rsidR="00212513" w:rsidRDefault="00212513">
            <w:pPr>
              <w:pStyle w:val="ConsPlusNormal"/>
              <w:jc w:val="center"/>
            </w:pPr>
            <w:r>
              <w:t>1,60</w:t>
            </w:r>
          </w:p>
        </w:tc>
        <w:tc>
          <w:tcPr>
            <w:tcW w:w="978" w:type="dxa"/>
            <w:vAlign w:val="center"/>
          </w:tcPr>
          <w:p w:rsidR="00212513" w:rsidRDefault="00212513">
            <w:pPr>
              <w:pStyle w:val="ConsPlusNormal"/>
              <w:jc w:val="center"/>
            </w:pPr>
            <w:r>
              <w:t>1,98</w:t>
            </w:r>
          </w:p>
          <w:p w:rsidR="00212513" w:rsidRDefault="00212513">
            <w:pPr>
              <w:pStyle w:val="ConsPlusNormal"/>
              <w:jc w:val="center"/>
            </w:pPr>
            <w:r>
              <w:t>----</w:t>
            </w:r>
          </w:p>
          <w:p w:rsidR="00212513" w:rsidRDefault="00212513">
            <w:pPr>
              <w:pStyle w:val="ConsPlusNormal"/>
              <w:jc w:val="center"/>
            </w:pPr>
            <w:r>
              <w:t>1,86</w:t>
            </w:r>
          </w:p>
        </w:tc>
      </w:tr>
      <w:tr w:rsidR="00212513">
        <w:tc>
          <w:tcPr>
            <w:tcW w:w="1191" w:type="dxa"/>
            <w:vAlign w:val="center"/>
          </w:tcPr>
          <w:p w:rsidR="00212513" w:rsidRDefault="00212513">
            <w:pPr>
              <w:pStyle w:val="ConsPlusNormal"/>
              <w:jc w:val="center"/>
            </w:pPr>
            <w:r>
              <w:t>1,0</w:t>
            </w:r>
          </w:p>
        </w:tc>
        <w:tc>
          <w:tcPr>
            <w:tcW w:w="978" w:type="dxa"/>
            <w:vAlign w:val="center"/>
          </w:tcPr>
          <w:p w:rsidR="00212513" w:rsidRDefault="00212513">
            <w:pPr>
              <w:pStyle w:val="ConsPlusNormal"/>
              <w:jc w:val="center"/>
            </w:pPr>
            <w:r>
              <w:t>1,0</w:t>
            </w:r>
          </w:p>
          <w:p w:rsidR="00212513" w:rsidRDefault="00212513">
            <w:pPr>
              <w:pStyle w:val="ConsPlusNormal"/>
              <w:jc w:val="center"/>
            </w:pPr>
            <w:r>
              <w:t>---</w:t>
            </w:r>
          </w:p>
          <w:p w:rsidR="00212513" w:rsidRDefault="00212513">
            <w:pPr>
              <w:pStyle w:val="ConsPlusNormal"/>
              <w:jc w:val="center"/>
            </w:pPr>
            <w:r>
              <w:t>1,0</w:t>
            </w:r>
          </w:p>
        </w:tc>
        <w:tc>
          <w:tcPr>
            <w:tcW w:w="978" w:type="dxa"/>
            <w:vAlign w:val="center"/>
          </w:tcPr>
          <w:p w:rsidR="00212513" w:rsidRDefault="00212513">
            <w:pPr>
              <w:pStyle w:val="ConsPlusNormal"/>
              <w:jc w:val="center"/>
            </w:pPr>
            <w:r>
              <w:t>1,29</w:t>
            </w:r>
          </w:p>
          <w:p w:rsidR="00212513" w:rsidRDefault="00212513">
            <w:pPr>
              <w:pStyle w:val="ConsPlusNormal"/>
              <w:jc w:val="center"/>
            </w:pPr>
            <w:r>
              <w:t>----</w:t>
            </w:r>
          </w:p>
          <w:p w:rsidR="00212513" w:rsidRDefault="00212513">
            <w:pPr>
              <w:pStyle w:val="ConsPlusNormal"/>
              <w:jc w:val="center"/>
            </w:pPr>
            <w:r>
              <w:t>1,29</w:t>
            </w:r>
          </w:p>
        </w:tc>
        <w:tc>
          <w:tcPr>
            <w:tcW w:w="978" w:type="dxa"/>
            <w:vAlign w:val="center"/>
          </w:tcPr>
          <w:p w:rsidR="00212513" w:rsidRDefault="00212513">
            <w:pPr>
              <w:pStyle w:val="ConsPlusNormal"/>
              <w:jc w:val="center"/>
            </w:pPr>
            <w:r>
              <w:t>1,63</w:t>
            </w:r>
          </w:p>
          <w:p w:rsidR="00212513" w:rsidRDefault="00212513">
            <w:pPr>
              <w:pStyle w:val="ConsPlusNormal"/>
              <w:jc w:val="center"/>
            </w:pPr>
            <w:r>
              <w:t>----</w:t>
            </w:r>
          </w:p>
          <w:p w:rsidR="00212513" w:rsidRDefault="00212513">
            <w:pPr>
              <w:pStyle w:val="ConsPlusNormal"/>
              <w:jc w:val="center"/>
            </w:pPr>
            <w:r>
              <w:t>1,63</w:t>
            </w:r>
          </w:p>
        </w:tc>
        <w:tc>
          <w:tcPr>
            <w:tcW w:w="978" w:type="dxa"/>
            <w:vAlign w:val="center"/>
          </w:tcPr>
          <w:p w:rsidR="00212513" w:rsidRDefault="00212513">
            <w:pPr>
              <w:pStyle w:val="ConsPlusNormal"/>
              <w:jc w:val="center"/>
            </w:pPr>
            <w:r>
              <w:t>2,04</w:t>
            </w:r>
          </w:p>
          <w:p w:rsidR="00212513" w:rsidRDefault="00212513">
            <w:pPr>
              <w:pStyle w:val="ConsPlusNormal"/>
              <w:jc w:val="center"/>
            </w:pPr>
            <w:r>
              <w:t>----</w:t>
            </w:r>
          </w:p>
          <w:p w:rsidR="00212513" w:rsidRDefault="00212513">
            <w:pPr>
              <w:pStyle w:val="ConsPlusNormal"/>
              <w:jc w:val="center"/>
            </w:pPr>
            <w:r>
              <w:t>2,04</w:t>
            </w:r>
          </w:p>
        </w:tc>
        <w:tc>
          <w:tcPr>
            <w:tcW w:w="978" w:type="dxa"/>
            <w:vAlign w:val="center"/>
          </w:tcPr>
          <w:p w:rsidR="00212513" w:rsidRDefault="00212513">
            <w:pPr>
              <w:pStyle w:val="ConsPlusNormal"/>
              <w:jc w:val="center"/>
            </w:pPr>
            <w:r>
              <w:t>2,47</w:t>
            </w:r>
          </w:p>
          <w:p w:rsidR="00212513" w:rsidRDefault="00212513">
            <w:pPr>
              <w:pStyle w:val="ConsPlusNormal"/>
              <w:jc w:val="center"/>
            </w:pPr>
            <w:r>
              <w:t>----</w:t>
            </w:r>
          </w:p>
          <w:p w:rsidR="00212513" w:rsidRDefault="00212513">
            <w:pPr>
              <w:pStyle w:val="ConsPlusNormal"/>
              <w:jc w:val="center"/>
            </w:pPr>
            <w:r>
              <w:t>2,47</w:t>
            </w:r>
          </w:p>
        </w:tc>
        <w:tc>
          <w:tcPr>
            <w:tcW w:w="978" w:type="dxa"/>
            <w:vAlign w:val="center"/>
          </w:tcPr>
          <w:p w:rsidR="00212513" w:rsidRDefault="00212513">
            <w:pPr>
              <w:pStyle w:val="ConsPlusNormal"/>
              <w:jc w:val="center"/>
            </w:pPr>
            <w:r>
              <w:t>2,86</w:t>
            </w:r>
          </w:p>
          <w:p w:rsidR="00212513" w:rsidRDefault="00212513">
            <w:pPr>
              <w:pStyle w:val="ConsPlusNormal"/>
              <w:jc w:val="center"/>
            </w:pPr>
            <w:r>
              <w:t>----</w:t>
            </w:r>
          </w:p>
          <w:p w:rsidR="00212513" w:rsidRDefault="00212513">
            <w:pPr>
              <w:pStyle w:val="ConsPlusNormal"/>
              <w:jc w:val="center"/>
            </w:pPr>
            <w:r>
              <w:t>2,86</w:t>
            </w:r>
          </w:p>
        </w:tc>
        <w:tc>
          <w:tcPr>
            <w:tcW w:w="978" w:type="dxa"/>
            <w:vAlign w:val="center"/>
          </w:tcPr>
          <w:p w:rsidR="00212513" w:rsidRDefault="00212513">
            <w:pPr>
              <w:pStyle w:val="ConsPlusNormal"/>
              <w:jc w:val="center"/>
            </w:pPr>
            <w:r>
              <w:t>3,20</w:t>
            </w:r>
          </w:p>
          <w:p w:rsidR="00212513" w:rsidRDefault="00212513">
            <w:pPr>
              <w:pStyle w:val="ConsPlusNormal"/>
              <w:jc w:val="center"/>
            </w:pPr>
            <w:r>
              <w:t>----</w:t>
            </w:r>
          </w:p>
          <w:p w:rsidR="00212513" w:rsidRDefault="00212513">
            <w:pPr>
              <w:pStyle w:val="ConsPlusNormal"/>
              <w:jc w:val="center"/>
            </w:pPr>
            <w:r>
              <w:t>3,20</w:t>
            </w:r>
          </w:p>
        </w:tc>
        <w:tc>
          <w:tcPr>
            <w:tcW w:w="978" w:type="dxa"/>
            <w:vAlign w:val="center"/>
          </w:tcPr>
          <w:p w:rsidR="00212513" w:rsidRDefault="00212513">
            <w:pPr>
              <w:pStyle w:val="ConsPlusNormal"/>
              <w:jc w:val="center"/>
            </w:pPr>
            <w:r>
              <w:t>3,38</w:t>
            </w:r>
          </w:p>
          <w:p w:rsidR="00212513" w:rsidRDefault="00212513">
            <w:pPr>
              <w:pStyle w:val="ConsPlusNormal"/>
              <w:jc w:val="center"/>
            </w:pPr>
            <w:r>
              <w:t>----</w:t>
            </w:r>
          </w:p>
          <w:p w:rsidR="00212513" w:rsidRDefault="00212513">
            <w:pPr>
              <w:pStyle w:val="ConsPlusNormal"/>
              <w:jc w:val="center"/>
            </w:pPr>
            <w:r>
              <w:t>3,38</w:t>
            </w:r>
          </w:p>
        </w:tc>
      </w:tr>
    </w:tbl>
    <w:p w:rsidR="00212513" w:rsidRDefault="00212513">
      <w:pPr>
        <w:pStyle w:val="ConsPlusNormal"/>
        <w:jc w:val="both"/>
      </w:pPr>
    </w:p>
    <w:p w:rsidR="00212513" w:rsidRDefault="00212513">
      <w:pPr>
        <w:pStyle w:val="ConsPlusNormal"/>
        <w:jc w:val="both"/>
      </w:pPr>
      <w:r>
        <w:t xml:space="preserve">(в ред. </w:t>
      </w:r>
      <w:hyperlink r:id="rId2296">
        <w:r>
          <w:rPr>
            <w:color w:val="0000FF"/>
          </w:rPr>
          <w:t>Изменения N 4</w:t>
        </w:r>
      </w:hyperlink>
      <w:r>
        <w:t>, утв. Приказом Минстроя России от 30.05.2024 N 361/пр)</w:t>
      </w:r>
    </w:p>
    <w:p w:rsidR="00212513" w:rsidRDefault="00212513">
      <w:pPr>
        <w:pStyle w:val="ConsPlusNormal"/>
        <w:ind w:firstLine="540"/>
        <w:jc w:val="both"/>
      </w:pPr>
    </w:p>
    <w:p w:rsidR="00212513" w:rsidRDefault="00212513">
      <w:pPr>
        <w:pStyle w:val="ConsPlusNormal"/>
        <w:jc w:val="right"/>
      </w:pPr>
      <w:r>
        <w:t>Окончание таблицы 9.5</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1124"/>
        <w:gridCol w:w="1124"/>
        <w:gridCol w:w="1124"/>
        <w:gridCol w:w="1124"/>
        <w:gridCol w:w="1124"/>
        <w:gridCol w:w="1124"/>
        <w:gridCol w:w="1128"/>
      </w:tblGrid>
      <w:tr w:rsidR="00212513">
        <w:tc>
          <w:tcPr>
            <w:tcW w:w="1191" w:type="dxa"/>
            <w:vMerge w:val="restart"/>
            <w:vAlign w:val="center"/>
          </w:tcPr>
          <w:p w:rsidR="00212513" w:rsidRDefault="00212513">
            <w:pPr>
              <w:pStyle w:val="ConsPlusNormal"/>
              <w:jc w:val="center"/>
            </w:pPr>
            <w:r>
              <w:rPr>
                <w:i/>
              </w:rPr>
              <w:t>A</w:t>
            </w:r>
            <w:r>
              <w:rPr>
                <w:i/>
                <w:vertAlign w:val="subscript"/>
              </w:rPr>
              <w:t>s</w:t>
            </w:r>
            <w:r>
              <w:rPr>
                <w:vertAlign w:val="subscript"/>
              </w:rPr>
              <w:t>min</w:t>
            </w:r>
            <w:r>
              <w:t>/</w:t>
            </w:r>
            <w:r>
              <w:rPr>
                <w:i/>
              </w:rPr>
              <w:t>A</w:t>
            </w:r>
            <w:r>
              <w:rPr>
                <w:i/>
                <w:vertAlign w:val="subscript"/>
              </w:rPr>
              <w:t>s</w:t>
            </w:r>
            <w:r>
              <w:rPr>
                <w:vertAlign w:val="subscript"/>
              </w:rPr>
              <w:t>max</w:t>
            </w:r>
          </w:p>
        </w:tc>
        <w:tc>
          <w:tcPr>
            <w:tcW w:w="7872" w:type="dxa"/>
            <w:gridSpan w:val="7"/>
            <w:vAlign w:val="center"/>
          </w:tcPr>
          <w:p w:rsidR="00212513" w:rsidRDefault="00212513">
            <w:pPr>
              <w:pStyle w:val="ConsPlusNormal"/>
              <w:jc w:val="center"/>
            </w:pPr>
            <w:r>
              <w:t xml:space="preserve">Значения коэффициента </w:t>
            </w:r>
            <w:r>
              <w:rPr>
                <w:noProof/>
                <w:position w:val="-3"/>
              </w:rPr>
              <w:drawing>
                <wp:inline distT="0" distB="0" distL="0" distR="0">
                  <wp:extent cx="136525" cy="178435"/>
                  <wp:effectExtent l="0" t="0" r="0" b="0"/>
                  <wp:docPr id="1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4"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 xml:space="preserve"> при </w:t>
            </w:r>
            <w:r>
              <w:rPr>
                <w:noProof/>
                <w:position w:val="-9"/>
              </w:rPr>
              <w:drawing>
                <wp:inline distT="0" distB="0" distL="0" distR="0">
                  <wp:extent cx="702310" cy="262255"/>
                  <wp:effectExtent l="0" t="0" r="0" b="0"/>
                  <wp:docPr id="1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5" cstate="print">
                            <a:extLst>
                              <a:ext uri="{28A0092B-C50C-407E-A947-70E740481C1C}">
                                <a14:useLocalDpi xmlns:a14="http://schemas.microsoft.com/office/drawing/2010/main" val="0"/>
                              </a:ext>
                            </a:extLst>
                          </a:blip>
                          <a:srcRect/>
                          <a:stretch>
                            <a:fillRect/>
                          </a:stretch>
                        </pic:blipFill>
                        <pic:spPr bwMode="auto">
                          <a:xfrm>
                            <a:off x="0" y="0"/>
                            <a:ext cx="702310" cy="262255"/>
                          </a:xfrm>
                          <a:prstGeom prst="rect">
                            <a:avLst/>
                          </a:prstGeom>
                          <a:noFill/>
                          <a:ln>
                            <a:noFill/>
                          </a:ln>
                        </pic:spPr>
                      </pic:pic>
                    </a:graphicData>
                  </a:graphic>
                </wp:inline>
              </w:drawing>
            </w:r>
            <w:r>
              <w:t>, равном</w:t>
            </w:r>
          </w:p>
        </w:tc>
      </w:tr>
      <w:tr w:rsidR="00212513">
        <w:tc>
          <w:tcPr>
            <w:tcW w:w="1191" w:type="dxa"/>
            <w:vMerge/>
          </w:tcPr>
          <w:p w:rsidR="00212513" w:rsidRDefault="00212513">
            <w:pPr>
              <w:pStyle w:val="ConsPlusNormal"/>
            </w:pPr>
          </w:p>
        </w:tc>
        <w:tc>
          <w:tcPr>
            <w:tcW w:w="1124" w:type="dxa"/>
            <w:vAlign w:val="center"/>
          </w:tcPr>
          <w:p w:rsidR="00212513" w:rsidRDefault="00212513">
            <w:pPr>
              <w:pStyle w:val="ConsPlusNormal"/>
              <w:jc w:val="center"/>
            </w:pPr>
            <w:r>
              <w:t>0,40</w:t>
            </w:r>
          </w:p>
        </w:tc>
        <w:tc>
          <w:tcPr>
            <w:tcW w:w="1124" w:type="dxa"/>
            <w:vAlign w:val="center"/>
          </w:tcPr>
          <w:p w:rsidR="00212513" w:rsidRDefault="00212513">
            <w:pPr>
              <w:pStyle w:val="ConsPlusNormal"/>
              <w:jc w:val="center"/>
            </w:pPr>
            <w:r>
              <w:t>0,45</w:t>
            </w:r>
          </w:p>
        </w:tc>
        <w:tc>
          <w:tcPr>
            <w:tcW w:w="1124" w:type="dxa"/>
            <w:vAlign w:val="center"/>
          </w:tcPr>
          <w:p w:rsidR="00212513" w:rsidRDefault="00212513">
            <w:pPr>
              <w:pStyle w:val="ConsPlusNormal"/>
              <w:jc w:val="center"/>
            </w:pPr>
            <w:r>
              <w:t>0,50</w:t>
            </w:r>
          </w:p>
        </w:tc>
        <w:tc>
          <w:tcPr>
            <w:tcW w:w="1124" w:type="dxa"/>
            <w:vAlign w:val="center"/>
          </w:tcPr>
          <w:p w:rsidR="00212513" w:rsidRDefault="00212513">
            <w:pPr>
              <w:pStyle w:val="ConsPlusNormal"/>
              <w:jc w:val="center"/>
            </w:pPr>
            <w:r>
              <w:t>0,55</w:t>
            </w:r>
          </w:p>
        </w:tc>
        <w:tc>
          <w:tcPr>
            <w:tcW w:w="1124" w:type="dxa"/>
            <w:vAlign w:val="center"/>
          </w:tcPr>
          <w:p w:rsidR="00212513" w:rsidRDefault="00212513">
            <w:pPr>
              <w:pStyle w:val="ConsPlusNormal"/>
              <w:jc w:val="center"/>
            </w:pPr>
            <w:r>
              <w:t>0,60</w:t>
            </w:r>
          </w:p>
        </w:tc>
        <w:tc>
          <w:tcPr>
            <w:tcW w:w="1124" w:type="dxa"/>
            <w:vAlign w:val="center"/>
          </w:tcPr>
          <w:p w:rsidR="00212513" w:rsidRDefault="00212513">
            <w:pPr>
              <w:pStyle w:val="ConsPlusNormal"/>
              <w:jc w:val="center"/>
            </w:pPr>
            <w:r>
              <w:t>0,65</w:t>
            </w:r>
          </w:p>
        </w:tc>
        <w:tc>
          <w:tcPr>
            <w:tcW w:w="1128" w:type="dxa"/>
            <w:vAlign w:val="center"/>
          </w:tcPr>
          <w:p w:rsidR="00212513" w:rsidRDefault="00212513">
            <w:pPr>
              <w:pStyle w:val="ConsPlusNormal"/>
              <w:jc w:val="center"/>
            </w:pPr>
            <w:r>
              <w:t>0,70</w:t>
            </w:r>
          </w:p>
        </w:tc>
      </w:tr>
      <w:tr w:rsidR="00212513">
        <w:tc>
          <w:tcPr>
            <w:tcW w:w="1191" w:type="dxa"/>
            <w:vAlign w:val="center"/>
          </w:tcPr>
          <w:p w:rsidR="00212513" w:rsidRDefault="00212513">
            <w:pPr>
              <w:pStyle w:val="ConsPlusNormal"/>
              <w:jc w:val="center"/>
            </w:pPr>
            <w:r>
              <w:t>0</w:t>
            </w:r>
          </w:p>
        </w:tc>
        <w:tc>
          <w:tcPr>
            <w:tcW w:w="1124" w:type="dxa"/>
            <w:vAlign w:val="center"/>
          </w:tcPr>
          <w:p w:rsidR="00212513" w:rsidRDefault="00212513">
            <w:pPr>
              <w:pStyle w:val="ConsPlusNormal"/>
              <w:jc w:val="center"/>
            </w:pPr>
            <w:r>
              <w:t>0,96</w:t>
            </w:r>
          </w:p>
          <w:p w:rsidR="00212513" w:rsidRDefault="00212513">
            <w:pPr>
              <w:pStyle w:val="ConsPlusNormal"/>
              <w:jc w:val="center"/>
            </w:pPr>
            <w:r>
              <w:t>----</w:t>
            </w:r>
          </w:p>
          <w:p w:rsidR="00212513" w:rsidRDefault="00212513">
            <w:pPr>
              <w:pStyle w:val="ConsPlusNormal"/>
              <w:jc w:val="center"/>
            </w:pPr>
            <w:r>
              <w:t>0,58</w:t>
            </w:r>
          </w:p>
        </w:tc>
        <w:tc>
          <w:tcPr>
            <w:tcW w:w="1124" w:type="dxa"/>
            <w:vAlign w:val="center"/>
          </w:tcPr>
          <w:p w:rsidR="00212513" w:rsidRDefault="00212513">
            <w:pPr>
              <w:pStyle w:val="ConsPlusNormal"/>
              <w:jc w:val="center"/>
            </w:pPr>
            <w:r>
              <w:t>0,95</w:t>
            </w:r>
          </w:p>
          <w:p w:rsidR="00212513" w:rsidRDefault="00212513">
            <w:pPr>
              <w:pStyle w:val="ConsPlusNormal"/>
              <w:jc w:val="center"/>
            </w:pPr>
            <w:r>
              <w:t>----</w:t>
            </w:r>
          </w:p>
          <w:p w:rsidR="00212513" w:rsidRDefault="00212513">
            <w:pPr>
              <w:pStyle w:val="ConsPlusNormal"/>
              <w:jc w:val="center"/>
            </w:pPr>
            <w:r>
              <w:t>0,45</w:t>
            </w:r>
          </w:p>
        </w:tc>
        <w:tc>
          <w:tcPr>
            <w:tcW w:w="1124" w:type="dxa"/>
            <w:vAlign w:val="center"/>
          </w:tcPr>
          <w:p w:rsidR="00212513" w:rsidRDefault="00212513">
            <w:pPr>
              <w:pStyle w:val="ConsPlusNormal"/>
              <w:jc w:val="center"/>
            </w:pPr>
            <w:r>
              <w:t>0,92</w:t>
            </w:r>
          </w:p>
          <w:p w:rsidR="00212513" w:rsidRDefault="00212513">
            <w:pPr>
              <w:pStyle w:val="ConsPlusNormal"/>
              <w:jc w:val="center"/>
            </w:pPr>
            <w:r>
              <w:t>----</w:t>
            </w:r>
          </w:p>
          <w:p w:rsidR="00212513" w:rsidRDefault="00212513">
            <w:pPr>
              <w:pStyle w:val="ConsPlusNormal"/>
              <w:jc w:val="center"/>
            </w:pPr>
            <w:r>
              <w:t>0,28</w:t>
            </w:r>
          </w:p>
        </w:tc>
        <w:tc>
          <w:tcPr>
            <w:tcW w:w="1124" w:type="dxa"/>
            <w:vAlign w:val="center"/>
          </w:tcPr>
          <w:p w:rsidR="00212513" w:rsidRDefault="00212513">
            <w:pPr>
              <w:pStyle w:val="ConsPlusNormal"/>
              <w:jc w:val="center"/>
            </w:pPr>
            <w:r>
              <w:t>0,88</w:t>
            </w:r>
          </w:p>
          <w:p w:rsidR="00212513" w:rsidRDefault="00212513">
            <w:pPr>
              <w:pStyle w:val="ConsPlusNormal"/>
              <w:jc w:val="center"/>
            </w:pPr>
            <w:r>
              <w:t>----</w:t>
            </w:r>
          </w:p>
          <w:p w:rsidR="00212513" w:rsidRDefault="00212513">
            <w:pPr>
              <w:pStyle w:val="ConsPlusNormal"/>
              <w:jc w:val="center"/>
            </w:pPr>
            <w:r>
              <w:t>0,52</w:t>
            </w:r>
          </w:p>
        </w:tc>
        <w:tc>
          <w:tcPr>
            <w:tcW w:w="1124" w:type="dxa"/>
            <w:vAlign w:val="center"/>
          </w:tcPr>
          <w:p w:rsidR="00212513" w:rsidRDefault="00212513">
            <w:pPr>
              <w:pStyle w:val="ConsPlusNormal"/>
              <w:jc w:val="center"/>
            </w:pPr>
            <w:r>
              <w:t>0,83</w:t>
            </w:r>
          </w:p>
          <w:p w:rsidR="00212513" w:rsidRDefault="00212513">
            <w:pPr>
              <w:pStyle w:val="ConsPlusNormal"/>
              <w:jc w:val="center"/>
            </w:pPr>
            <w:r>
              <w:t>----</w:t>
            </w:r>
          </w:p>
          <w:p w:rsidR="00212513" w:rsidRDefault="00212513">
            <w:pPr>
              <w:pStyle w:val="ConsPlusNormal"/>
              <w:jc w:val="center"/>
            </w:pPr>
            <w:r>
              <w:t>0,68</w:t>
            </w:r>
          </w:p>
        </w:tc>
        <w:tc>
          <w:tcPr>
            <w:tcW w:w="1124" w:type="dxa"/>
            <w:vAlign w:val="center"/>
          </w:tcPr>
          <w:p w:rsidR="00212513" w:rsidRDefault="00212513">
            <w:pPr>
              <w:pStyle w:val="ConsPlusNormal"/>
              <w:jc w:val="center"/>
            </w:pPr>
            <w:r>
              <w:t>0,75</w:t>
            </w:r>
          </w:p>
          <w:p w:rsidR="00212513" w:rsidRDefault="00212513">
            <w:pPr>
              <w:pStyle w:val="ConsPlusNormal"/>
              <w:jc w:val="center"/>
            </w:pPr>
            <w:r>
              <w:t>----</w:t>
            </w:r>
          </w:p>
          <w:p w:rsidR="00212513" w:rsidRDefault="00212513">
            <w:pPr>
              <w:pStyle w:val="ConsPlusNormal"/>
              <w:jc w:val="center"/>
            </w:pPr>
            <w:r>
              <w:t>0,76</w:t>
            </w:r>
          </w:p>
        </w:tc>
        <w:tc>
          <w:tcPr>
            <w:tcW w:w="1128" w:type="dxa"/>
            <w:vAlign w:val="center"/>
          </w:tcPr>
          <w:p w:rsidR="00212513" w:rsidRDefault="00212513">
            <w:pPr>
              <w:pStyle w:val="ConsPlusNormal"/>
              <w:jc w:val="center"/>
            </w:pPr>
            <w:r>
              <w:t>0,63</w:t>
            </w:r>
          </w:p>
          <w:p w:rsidR="00212513" w:rsidRDefault="00212513">
            <w:pPr>
              <w:pStyle w:val="ConsPlusNormal"/>
              <w:jc w:val="center"/>
            </w:pPr>
            <w:r>
              <w:t>----</w:t>
            </w:r>
          </w:p>
          <w:p w:rsidR="00212513" w:rsidRDefault="00212513">
            <w:pPr>
              <w:pStyle w:val="ConsPlusNormal"/>
              <w:jc w:val="center"/>
            </w:pPr>
            <w:r>
              <w:t>0,82</w:t>
            </w:r>
          </w:p>
        </w:tc>
      </w:tr>
      <w:tr w:rsidR="00212513">
        <w:tc>
          <w:tcPr>
            <w:tcW w:w="1191" w:type="dxa"/>
            <w:vAlign w:val="center"/>
          </w:tcPr>
          <w:p w:rsidR="00212513" w:rsidRDefault="00212513">
            <w:pPr>
              <w:pStyle w:val="ConsPlusNormal"/>
              <w:jc w:val="center"/>
            </w:pPr>
            <w:r>
              <w:t>0,2</w:t>
            </w:r>
          </w:p>
        </w:tc>
        <w:tc>
          <w:tcPr>
            <w:tcW w:w="1124" w:type="dxa"/>
            <w:vAlign w:val="center"/>
          </w:tcPr>
          <w:p w:rsidR="00212513" w:rsidRDefault="00212513">
            <w:pPr>
              <w:pStyle w:val="ConsPlusNormal"/>
              <w:jc w:val="center"/>
            </w:pPr>
            <w:r>
              <w:t>1,07</w:t>
            </w:r>
          </w:p>
          <w:p w:rsidR="00212513" w:rsidRDefault="00212513">
            <w:pPr>
              <w:pStyle w:val="ConsPlusNormal"/>
              <w:jc w:val="center"/>
            </w:pPr>
            <w:r>
              <w:t>----</w:t>
            </w:r>
          </w:p>
          <w:p w:rsidR="00212513" w:rsidRDefault="00212513">
            <w:pPr>
              <w:pStyle w:val="ConsPlusNormal"/>
              <w:jc w:val="center"/>
            </w:pPr>
            <w:r>
              <w:t>0,49</w:t>
            </w:r>
          </w:p>
        </w:tc>
        <w:tc>
          <w:tcPr>
            <w:tcW w:w="1124" w:type="dxa"/>
            <w:vAlign w:val="center"/>
          </w:tcPr>
          <w:p w:rsidR="00212513" w:rsidRDefault="00212513">
            <w:pPr>
              <w:pStyle w:val="ConsPlusNormal"/>
              <w:jc w:val="center"/>
            </w:pPr>
            <w:r>
              <w:t>1,06</w:t>
            </w:r>
          </w:p>
          <w:p w:rsidR="00212513" w:rsidRDefault="00212513">
            <w:pPr>
              <w:pStyle w:val="ConsPlusNormal"/>
              <w:jc w:val="center"/>
            </w:pPr>
            <w:r>
              <w:t>----</w:t>
            </w:r>
          </w:p>
          <w:p w:rsidR="00212513" w:rsidRDefault="00212513">
            <w:pPr>
              <w:pStyle w:val="ConsPlusNormal"/>
              <w:jc w:val="center"/>
            </w:pPr>
            <w:r>
              <w:t>0,61</w:t>
            </w:r>
          </w:p>
        </w:tc>
        <w:tc>
          <w:tcPr>
            <w:tcW w:w="1124" w:type="dxa"/>
            <w:vAlign w:val="center"/>
          </w:tcPr>
          <w:p w:rsidR="00212513" w:rsidRDefault="00212513">
            <w:pPr>
              <w:pStyle w:val="ConsPlusNormal"/>
              <w:jc w:val="center"/>
            </w:pPr>
            <w:r>
              <w:t>1,05</w:t>
            </w:r>
          </w:p>
          <w:p w:rsidR="00212513" w:rsidRDefault="00212513">
            <w:pPr>
              <w:pStyle w:val="ConsPlusNormal"/>
              <w:jc w:val="center"/>
            </w:pPr>
            <w:r>
              <w:t>----</w:t>
            </w:r>
          </w:p>
          <w:p w:rsidR="00212513" w:rsidRDefault="00212513">
            <w:pPr>
              <w:pStyle w:val="ConsPlusNormal"/>
              <w:jc w:val="center"/>
            </w:pPr>
            <w:r>
              <w:t>0,72</w:t>
            </w:r>
          </w:p>
        </w:tc>
        <w:tc>
          <w:tcPr>
            <w:tcW w:w="1124" w:type="dxa"/>
            <w:vAlign w:val="center"/>
          </w:tcPr>
          <w:p w:rsidR="00212513" w:rsidRDefault="00212513">
            <w:pPr>
              <w:pStyle w:val="ConsPlusNormal"/>
              <w:jc w:val="center"/>
            </w:pPr>
            <w:r>
              <w:t>1,02</w:t>
            </w:r>
          </w:p>
          <w:p w:rsidR="00212513" w:rsidRDefault="00212513">
            <w:pPr>
              <w:pStyle w:val="ConsPlusNormal"/>
              <w:jc w:val="center"/>
            </w:pPr>
            <w:r>
              <w:t>----</w:t>
            </w:r>
          </w:p>
          <w:p w:rsidR="00212513" w:rsidRDefault="00212513">
            <w:pPr>
              <w:pStyle w:val="ConsPlusNormal"/>
              <w:jc w:val="center"/>
            </w:pPr>
            <w:r>
              <w:t>0,82</w:t>
            </w:r>
          </w:p>
        </w:tc>
        <w:tc>
          <w:tcPr>
            <w:tcW w:w="1124" w:type="dxa"/>
            <w:vAlign w:val="center"/>
          </w:tcPr>
          <w:p w:rsidR="00212513" w:rsidRDefault="00212513">
            <w:pPr>
              <w:pStyle w:val="ConsPlusNormal"/>
              <w:jc w:val="center"/>
            </w:pPr>
            <w:r>
              <w:t>0,99</w:t>
            </w:r>
          </w:p>
          <w:p w:rsidR="00212513" w:rsidRDefault="00212513">
            <w:pPr>
              <w:pStyle w:val="ConsPlusNormal"/>
              <w:jc w:val="center"/>
            </w:pPr>
            <w:r>
              <w:t>----</w:t>
            </w:r>
          </w:p>
          <w:p w:rsidR="00212513" w:rsidRDefault="00212513">
            <w:pPr>
              <w:pStyle w:val="ConsPlusNormal"/>
              <w:jc w:val="center"/>
            </w:pPr>
            <w:r>
              <w:t>0,91</w:t>
            </w:r>
          </w:p>
        </w:tc>
        <w:tc>
          <w:tcPr>
            <w:tcW w:w="1124" w:type="dxa"/>
            <w:vAlign w:val="center"/>
          </w:tcPr>
          <w:p w:rsidR="00212513" w:rsidRDefault="00212513">
            <w:pPr>
              <w:pStyle w:val="ConsPlusNormal"/>
              <w:jc w:val="center"/>
            </w:pPr>
            <w:r>
              <w:t>0,90</w:t>
            </w:r>
          </w:p>
          <w:p w:rsidR="00212513" w:rsidRDefault="00212513">
            <w:pPr>
              <w:pStyle w:val="ConsPlusNormal"/>
              <w:jc w:val="center"/>
            </w:pPr>
            <w:r>
              <w:t>----</w:t>
            </w:r>
          </w:p>
          <w:p w:rsidR="00212513" w:rsidRDefault="00212513">
            <w:pPr>
              <w:pStyle w:val="ConsPlusNormal"/>
              <w:jc w:val="center"/>
            </w:pPr>
            <w:r>
              <w:t>0,99</w:t>
            </w:r>
          </w:p>
        </w:tc>
        <w:tc>
          <w:tcPr>
            <w:tcW w:w="1128" w:type="dxa"/>
            <w:vAlign w:val="center"/>
          </w:tcPr>
          <w:p w:rsidR="00212513" w:rsidRDefault="00212513">
            <w:pPr>
              <w:pStyle w:val="ConsPlusNormal"/>
              <w:jc w:val="center"/>
            </w:pPr>
            <w:r>
              <w:t>0,75</w:t>
            </w:r>
          </w:p>
          <w:p w:rsidR="00212513" w:rsidRDefault="00212513">
            <w:pPr>
              <w:pStyle w:val="ConsPlusNormal"/>
              <w:jc w:val="center"/>
            </w:pPr>
            <w:r>
              <w:t>----</w:t>
            </w:r>
          </w:p>
          <w:p w:rsidR="00212513" w:rsidRDefault="00212513">
            <w:pPr>
              <w:pStyle w:val="ConsPlusNormal"/>
              <w:jc w:val="center"/>
            </w:pPr>
            <w:r>
              <w:t>1,05</w:t>
            </w:r>
          </w:p>
        </w:tc>
      </w:tr>
      <w:tr w:rsidR="00212513">
        <w:tc>
          <w:tcPr>
            <w:tcW w:w="1191" w:type="dxa"/>
            <w:vAlign w:val="center"/>
          </w:tcPr>
          <w:p w:rsidR="00212513" w:rsidRDefault="00212513">
            <w:pPr>
              <w:pStyle w:val="ConsPlusNormal"/>
              <w:jc w:val="center"/>
            </w:pPr>
            <w:r>
              <w:t>0,4</w:t>
            </w:r>
          </w:p>
        </w:tc>
        <w:tc>
          <w:tcPr>
            <w:tcW w:w="1124" w:type="dxa"/>
            <w:vAlign w:val="center"/>
          </w:tcPr>
          <w:p w:rsidR="00212513" w:rsidRDefault="00212513">
            <w:pPr>
              <w:pStyle w:val="ConsPlusNormal"/>
              <w:jc w:val="center"/>
            </w:pPr>
            <w:r>
              <w:t>1,21</w:t>
            </w:r>
          </w:p>
          <w:p w:rsidR="00212513" w:rsidRDefault="00212513">
            <w:pPr>
              <w:pStyle w:val="ConsPlusNormal"/>
              <w:jc w:val="center"/>
            </w:pPr>
            <w:r>
              <w:t>----</w:t>
            </w:r>
          </w:p>
          <w:p w:rsidR="00212513" w:rsidRDefault="00212513">
            <w:pPr>
              <w:pStyle w:val="ConsPlusNormal"/>
              <w:jc w:val="center"/>
            </w:pPr>
            <w:r>
              <w:t>0,84</w:t>
            </w:r>
          </w:p>
        </w:tc>
        <w:tc>
          <w:tcPr>
            <w:tcW w:w="1124" w:type="dxa"/>
            <w:vAlign w:val="center"/>
          </w:tcPr>
          <w:p w:rsidR="00212513" w:rsidRDefault="00212513">
            <w:pPr>
              <w:pStyle w:val="ConsPlusNormal"/>
              <w:jc w:val="center"/>
            </w:pPr>
            <w:r>
              <w:t>1,20</w:t>
            </w:r>
          </w:p>
          <w:p w:rsidR="00212513" w:rsidRDefault="00212513">
            <w:pPr>
              <w:pStyle w:val="ConsPlusNormal"/>
              <w:jc w:val="center"/>
            </w:pPr>
            <w:r>
              <w:t>----</w:t>
            </w:r>
          </w:p>
          <w:p w:rsidR="00212513" w:rsidRDefault="00212513">
            <w:pPr>
              <w:pStyle w:val="ConsPlusNormal"/>
              <w:jc w:val="center"/>
            </w:pPr>
            <w:r>
              <w:t>0,98</w:t>
            </w:r>
          </w:p>
        </w:tc>
        <w:tc>
          <w:tcPr>
            <w:tcW w:w="1124" w:type="dxa"/>
            <w:vAlign w:val="center"/>
          </w:tcPr>
          <w:p w:rsidR="00212513" w:rsidRDefault="00212513">
            <w:pPr>
              <w:pStyle w:val="ConsPlusNormal"/>
              <w:jc w:val="center"/>
            </w:pPr>
            <w:r>
              <w:t>1,18</w:t>
            </w:r>
          </w:p>
          <w:p w:rsidR="00212513" w:rsidRDefault="00212513">
            <w:pPr>
              <w:pStyle w:val="ConsPlusNormal"/>
              <w:jc w:val="center"/>
            </w:pPr>
            <w:r>
              <w:t>----</w:t>
            </w:r>
          </w:p>
          <w:p w:rsidR="00212513" w:rsidRDefault="00212513">
            <w:pPr>
              <w:pStyle w:val="ConsPlusNormal"/>
              <w:jc w:val="center"/>
            </w:pPr>
            <w:r>
              <w:t>1,12</w:t>
            </w:r>
          </w:p>
        </w:tc>
        <w:tc>
          <w:tcPr>
            <w:tcW w:w="1124" w:type="dxa"/>
            <w:vAlign w:val="center"/>
          </w:tcPr>
          <w:p w:rsidR="00212513" w:rsidRDefault="00212513">
            <w:pPr>
              <w:pStyle w:val="ConsPlusNormal"/>
              <w:jc w:val="center"/>
            </w:pPr>
            <w:r>
              <w:t>1,16</w:t>
            </w:r>
          </w:p>
          <w:p w:rsidR="00212513" w:rsidRDefault="00212513">
            <w:pPr>
              <w:pStyle w:val="ConsPlusNormal"/>
              <w:jc w:val="center"/>
            </w:pPr>
            <w:r>
              <w:t>----</w:t>
            </w:r>
          </w:p>
          <w:p w:rsidR="00212513" w:rsidRDefault="00212513">
            <w:pPr>
              <w:pStyle w:val="ConsPlusNormal"/>
              <w:jc w:val="center"/>
            </w:pPr>
            <w:r>
              <w:t>1,22</w:t>
            </w:r>
          </w:p>
        </w:tc>
        <w:tc>
          <w:tcPr>
            <w:tcW w:w="1124" w:type="dxa"/>
            <w:vAlign w:val="center"/>
          </w:tcPr>
          <w:p w:rsidR="00212513" w:rsidRDefault="00212513">
            <w:pPr>
              <w:pStyle w:val="ConsPlusNormal"/>
              <w:jc w:val="center"/>
            </w:pPr>
            <w:r>
              <w:t>1,13</w:t>
            </w:r>
          </w:p>
          <w:p w:rsidR="00212513" w:rsidRDefault="00212513">
            <w:pPr>
              <w:pStyle w:val="ConsPlusNormal"/>
              <w:jc w:val="center"/>
            </w:pPr>
            <w:r>
              <w:t>----</w:t>
            </w:r>
          </w:p>
          <w:p w:rsidR="00212513" w:rsidRDefault="00212513">
            <w:pPr>
              <w:pStyle w:val="ConsPlusNormal"/>
              <w:jc w:val="center"/>
            </w:pPr>
            <w:r>
              <w:t>1,30</w:t>
            </w:r>
          </w:p>
        </w:tc>
        <w:tc>
          <w:tcPr>
            <w:tcW w:w="1124" w:type="dxa"/>
            <w:vAlign w:val="center"/>
          </w:tcPr>
          <w:p w:rsidR="00212513" w:rsidRDefault="00212513">
            <w:pPr>
              <w:pStyle w:val="ConsPlusNormal"/>
              <w:jc w:val="center"/>
            </w:pPr>
            <w:r>
              <w:t>1,09</w:t>
            </w:r>
          </w:p>
          <w:p w:rsidR="00212513" w:rsidRDefault="00212513">
            <w:pPr>
              <w:pStyle w:val="ConsPlusNormal"/>
              <w:jc w:val="center"/>
            </w:pPr>
            <w:r>
              <w:t>----</w:t>
            </w:r>
          </w:p>
          <w:p w:rsidR="00212513" w:rsidRDefault="00212513">
            <w:pPr>
              <w:pStyle w:val="ConsPlusNormal"/>
              <w:jc w:val="center"/>
            </w:pPr>
            <w:r>
              <w:t>1,38</w:t>
            </w:r>
          </w:p>
        </w:tc>
        <w:tc>
          <w:tcPr>
            <w:tcW w:w="1128" w:type="dxa"/>
            <w:vAlign w:val="center"/>
          </w:tcPr>
          <w:p w:rsidR="00212513" w:rsidRDefault="00212513">
            <w:pPr>
              <w:pStyle w:val="ConsPlusNormal"/>
              <w:jc w:val="center"/>
            </w:pPr>
            <w:r>
              <w:t>1,04</w:t>
            </w:r>
          </w:p>
          <w:p w:rsidR="00212513" w:rsidRDefault="00212513">
            <w:pPr>
              <w:pStyle w:val="ConsPlusNormal"/>
              <w:jc w:val="center"/>
            </w:pPr>
            <w:r>
              <w:t>----</w:t>
            </w:r>
          </w:p>
          <w:p w:rsidR="00212513" w:rsidRDefault="00212513">
            <w:pPr>
              <w:pStyle w:val="ConsPlusNormal"/>
              <w:jc w:val="center"/>
            </w:pPr>
            <w:r>
              <w:t>1,42</w:t>
            </w:r>
          </w:p>
        </w:tc>
      </w:tr>
      <w:tr w:rsidR="00212513">
        <w:tc>
          <w:tcPr>
            <w:tcW w:w="1191" w:type="dxa"/>
            <w:vAlign w:val="center"/>
          </w:tcPr>
          <w:p w:rsidR="00212513" w:rsidRDefault="00212513">
            <w:pPr>
              <w:pStyle w:val="ConsPlusNormal"/>
              <w:jc w:val="center"/>
            </w:pPr>
            <w:r>
              <w:t>0,6</w:t>
            </w:r>
          </w:p>
        </w:tc>
        <w:tc>
          <w:tcPr>
            <w:tcW w:w="1124" w:type="dxa"/>
            <w:vAlign w:val="center"/>
          </w:tcPr>
          <w:p w:rsidR="00212513" w:rsidRDefault="00212513">
            <w:pPr>
              <w:pStyle w:val="ConsPlusNormal"/>
              <w:jc w:val="center"/>
            </w:pPr>
            <w:r>
              <w:t>1,47</w:t>
            </w:r>
          </w:p>
          <w:p w:rsidR="00212513" w:rsidRDefault="00212513">
            <w:pPr>
              <w:pStyle w:val="ConsPlusNormal"/>
              <w:jc w:val="center"/>
            </w:pPr>
            <w:r>
              <w:t>----</w:t>
            </w:r>
          </w:p>
          <w:p w:rsidR="00212513" w:rsidRDefault="00212513">
            <w:pPr>
              <w:pStyle w:val="ConsPlusNormal"/>
              <w:jc w:val="center"/>
            </w:pPr>
            <w:r>
              <w:t>1,30</w:t>
            </w:r>
          </w:p>
        </w:tc>
        <w:tc>
          <w:tcPr>
            <w:tcW w:w="1124" w:type="dxa"/>
            <w:vAlign w:val="center"/>
          </w:tcPr>
          <w:p w:rsidR="00212513" w:rsidRDefault="00212513">
            <w:pPr>
              <w:pStyle w:val="ConsPlusNormal"/>
              <w:jc w:val="center"/>
            </w:pPr>
            <w:r>
              <w:t>1,46</w:t>
            </w:r>
          </w:p>
          <w:p w:rsidR="00212513" w:rsidRDefault="00212513">
            <w:pPr>
              <w:pStyle w:val="ConsPlusNormal"/>
              <w:jc w:val="center"/>
            </w:pPr>
            <w:r>
              <w:t>----</w:t>
            </w:r>
          </w:p>
          <w:p w:rsidR="00212513" w:rsidRDefault="00212513">
            <w:pPr>
              <w:pStyle w:val="ConsPlusNormal"/>
              <w:jc w:val="center"/>
            </w:pPr>
            <w:r>
              <w:t>1,45</w:t>
            </w:r>
          </w:p>
        </w:tc>
        <w:tc>
          <w:tcPr>
            <w:tcW w:w="1124" w:type="dxa"/>
            <w:vAlign w:val="center"/>
          </w:tcPr>
          <w:p w:rsidR="00212513" w:rsidRDefault="00212513">
            <w:pPr>
              <w:pStyle w:val="ConsPlusNormal"/>
              <w:jc w:val="center"/>
            </w:pPr>
            <w:r>
              <w:t>1,45</w:t>
            </w:r>
          </w:p>
          <w:p w:rsidR="00212513" w:rsidRDefault="00212513">
            <w:pPr>
              <w:pStyle w:val="ConsPlusNormal"/>
              <w:jc w:val="center"/>
            </w:pPr>
            <w:r>
              <w:t>----</w:t>
            </w:r>
          </w:p>
          <w:p w:rsidR="00212513" w:rsidRDefault="00212513">
            <w:pPr>
              <w:pStyle w:val="ConsPlusNormal"/>
              <w:jc w:val="center"/>
            </w:pPr>
            <w:r>
              <w:t>1,58</w:t>
            </w:r>
          </w:p>
        </w:tc>
        <w:tc>
          <w:tcPr>
            <w:tcW w:w="1124" w:type="dxa"/>
            <w:vAlign w:val="center"/>
          </w:tcPr>
          <w:p w:rsidR="00212513" w:rsidRDefault="00212513">
            <w:pPr>
              <w:pStyle w:val="ConsPlusNormal"/>
              <w:jc w:val="center"/>
            </w:pPr>
            <w:r>
              <w:t>1,42</w:t>
            </w:r>
          </w:p>
          <w:p w:rsidR="00212513" w:rsidRDefault="00212513">
            <w:pPr>
              <w:pStyle w:val="ConsPlusNormal"/>
              <w:jc w:val="center"/>
            </w:pPr>
            <w:r>
              <w:t>----</w:t>
            </w:r>
          </w:p>
          <w:p w:rsidR="00212513" w:rsidRDefault="00212513">
            <w:pPr>
              <w:pStyle w:val="ConsPlusNormal"/>
              <w:jc w:val="center"/>
            </w:pPr>
            <w:r>
              <w:t>1,69</w:t>
            </w:r>
          </w:p>
        </w:tc>
        <w:tc>
          <w:tcPr>
            <w:tcW w:w="1124" w:type="dxa"/>
            <w:vAlign w:val="center"/>
          </w:tcPr>
          <w:p w:rsidR="00212513" w:rsidRDefault="00212513">
            <w:pPr>
              <w:pStyle w:val="ConsPlusNormal"/>
              <w:jc w:val="center"/>
            </w:pPr>
            <w:r>
              <w:t>1,39</w:t>
            </w:r>
          </w:p>
          <w:p w:rsidR="00212513" w:rsidRDefault="00212513">
            <w:pPr>
              <w:pStyle w:val="ConsPlusNormal"/>
              <w:jc w:val="center"/>
            </w:pPr>
            <w:r>
              <w:t>----</w:t>
            </w:r>
          </w:p>
          <w:p w:rsidR="00212513" w:rsidRDefault="00212513">
            <w:pPr>
              <w:pStyle w:val="ConsPlusNormal"/>
              <w:jc w:val="center"/>
            </w:pPr>
            <w:r>
              <w:t>1,76</w:t>
            </w:r>
          </w:p>
        </w:tc>
        <w:tc>
          <w:tcPr>
            <w:tcW w:w="1124" w:type="dxa"/>
            <w:vAlign w:val="center"/>
          </w:tcPr>
          <w:p w:rsidR="00212513" w:rsidRDefault="00212513">
            <w:pPr>
              <w:pStyle w:val="ConsPlusNormal"/>
              <w:jc w:val="center"/>
            </w:pPr>
            <w:r>
              <w:t>1,35</w:t>
            </w:r>
          </w:p>
          <w:p w:rsidR="00212513" w:rsidRDefault="00212513">
            <w:pPr>
              <w:pStyle w:val="ConsPlusNormal"/>
              <w:jc w:val="center"/>
            </w:pPr>
            <w:r>
              <w:t>----</w:t>
            </w:r>
          </w:p>
          <w:p w:rsidR="00212513" w:rsidRDefault="00212513">
            <w:pPr>
              <w:pStyle w:val="ConsPlusNormal"/>
              <w:jc w:val="center"/>
            </w:pPr>
            <w:r>
              <w:t>1,84</w:t>
            </w:r>
          </w:p>
        </w:tc>
        <w:tc>
          <w:tcPr>
            <w:tcW w:w="1128" w:type="dxa"/>
            <w:vAlign w:val="center"/>
          </w:tcPr>
          <w:p w:rsidR="00212513" w:rsidRDefault="00212513">
            <w:pPr>
              <w:pStyle w:val="ConsPlusNormal"/>
              <w:jc w:val="center"/>
            </w:pPr>
            <w:r>
              <w:t>1,30</w:t>
            </w:r>
          </w:p>
          <w:p w:rsidR="00212513" w:rsidRDefault="00212513">
            <w:pPr>
              <w:pStyle w:val="ConsPlusNormal"/>
              <w:jc w:val="center"/>
            </w:pPr>
            <w:r>
              <w:t>----</w:t>
            </w:r>
          </w:p>
          <w:p w:rsidR="00212513" w:rsidRDefault="00212513">
            <w:pPr>
              <w:pStyle w:val="ConsPlusNormal"/>
              <w:jc w:val="center"/>
            </w:pPr>
            <w:r>
              <w:t>1,90</w:t>
            </w:r>
          </w:p>
        </w:tc>
      </w:tr>
      <w:tr w:rsidR="00212513">
        <w:tc>
          <w:tcPr>
            <w:tcW w:w="1191" w:type="dxa"/>
            <w:vAlign w:val="center"/>
          </w:tcPr>
          <w:p w:rsidR="00212513" w:rsidRDefault="00212513">
            <w:pPr>
              <w:pStyle w:val="ConsPlusNormal"/>
              <w:jc w:val="center"/>
            </w:pPr>
            <w:r>
              <w:t>0,8</w:t>
            </w:r>
          </w:p>
        </w:tc>
        <w:tc>
          <w:tcPr>
            <w:tcW w:w="1124" w:type="dxa"/>
            <w:vAlign w:val="center"/>
          </w:tcPr>
          <w:p w:rsidR="00212513" w:rsidRDefault="00212513">
            <w:pPr>
              <w:pStyle w:val="ConsPlusNormal"/>
              <w:jc w:val="center"/>
            </w:pPr>
            <w:r>
              <w:t>2,00</w:t>
            </w:r>
          </w:p>
          <w:p w:rsidR="00212513" w:rsidRDefault="00212513">
            <w:pPr>
              <w:pStyle w:val="ConsPlusNormal"/>
              <w:jc w:val="center"/>
            </w:pPr>
            <w:r>
              <w:t>----</w:t>
            </w:r>
          </w:p>
          <w:p w:rsidR="00212513" w:rsidRDefault="00212513">
            <w:pPr>
              <w:pStyle w:val="ConsPlusNormal"/>
              <w:jc w:val="center"/>
            </w:pPr>
            <w:r>
              <w:t>2,08</w:t>
            </w:r>
          </w:p>
        </w:tc>
        <w:tc>
          <w:tcPr>
            <w:tcW w:w="1124" w:type="dxa"/>
            <w:vAlign w:val="center"/>
          </w:tcPr>
          <w:p w:rsidR="00212513" w:rsidRDefault="00212513">
            <w:pPr>
              <w:pStyle w:val="ConsPlusNormal"/>
              <w:jc w:val="center"/>
            </w:pPr>
            <w:r>
              <w:t>2,02</w:t>
            </w:r>
          </w:p>
          <w:p w:rsidR="00212513" w:rsidRDefault="00212513">
            <w:pPr>
              <w:pStyle w:val="ConsPlusNormal"/>
              <w:jc w:val="center"/>
            </w:pPr>
            <w:r>
              <w:t>----</w:t>
            </w:r>
          </w:p>
          <w:p w:rsidR="00212513" w:rsidRDefault="00212513">
            <w:pPr>
              <w:pStyle w:val="ConsPlusNormal"/>
              <w:jc w:val="center"/>
            </w:pPr>
            <w:r>
              <w:t>2,29</w:t>
            </w:r>
          </w:p>
        </w:tc>
        <w:tc>
          <w:tcPr>
            <w:tcW w:w="1124" w:type="dxa"/>
            <w:vAlign w:val="center"/>
          </w:tcPr>
          <w:p w:rsidR="00212513" w:rsidRDefault="00212513">
            <w:pPr>
              <w:pStyle w:val="ConsPlusNormal"/>
              <w:jc w:val="center"/>
            </w:pPr>
            <w:r>
              <w:t>2,01</w:t>
            </w:r>
          </w:p>
          <w:p w:rsidR="00212513" w:rsidRDefault="00212513">
            <w:pPr>
              <w:pStyle w:val="ConsPlusNormal"/>
              <w:jc w:val="center"/>
            </w:pPr>
            <w:r>
              <w:t>----</w:t>
            </w:r>
          </w:p>
          <w:p w:rsidR="00212513" w:rsidRDefault="00212513">
            <w:pPr>
              <w:pStyle w:val="ConsPlusNormal"/>
              <w:jc w:val="center"/>
            </w:pPr>
            <w:r>
              <w:t>2,47</w:t>
            </w:r>
          </w:p>
        </w:tc>
        <w:tc>
          <w:tcPr>
            <w:tcW w:w="1124" w:type="dxa"/>
            <w:vAlign w:val="center"/>
          </w:tcPr>
          <w:p w:rsidR="00212513" w:rsidRDefault="00212513">
            <w:pPr>
              <w:pStyle w:val="ConsPlusNormal"/>
              <w:jc w:val="center"/>
            </w:pPr>
            <w:r>
              <w:t>1,99</w:t>
            </w:r>
          </w:p>
          <w:p w:rsidR="00212513" w:rsidRDefault="00212513">
            <w:pPr>
              <w:pStyle w:val="ConsPlusNormal"/>
              <w:jc w:val="center"/>
            </w:pPr>
            <w:r>
              <w:t>----</w:t>
            </w:r>
          </w:p>
          <w:p w:rsidR="00212513" w:rsidRDefault="00212513">
            <w:pPr>
              <w:pStyle w:val="ConsPlusNormal"/>
              <w:jc w:val="center"/>
            </w:pPr>
            <w:r>
              <w:t>2,52</w:t>
            </w:r>
          </w:p>
        </w:tc>
        <w:tc>
          <w:tcPr>
            <w:tcW w:w="1124" w:type="dxa"/>
            <w:vAlign w:val="center"/>
          </w:tcPr>
          <w:p w:rsidR="00212513" w:rsidRDefault="00212513">
            <w:pPr>
              <w:pStyle w:val="ConsPlusNormal"/>
              <w:jc w:val="center"/>
            </w:pPr>
            <w:r>
              <w:t>1,97</w:t>
            </w:r>
          </w:p>
          <w:p w:rsidR="00212513" w:rsidRDefault="00212513">
            <w:pPr>
              <w:pStyle w:val="ConsPlusNormal"/>
              <w:jc w:val="center"/>
            </w:pPr>
            <w:r>
              <w:t>----</w:t>
            </w:r>
          </w:p>
          <w:p w:rsidR="00212513" w:rsidRDefault="00212513">
            <w:pPr>
              <w:pStyle w:val="ConsPlusNormal"/>
              <w:jc w:val="center"/>
            </w:pPr>
            <w:r>
              <w:t>2,50</w:t>
            </w:r>
          </w:p>
        </w:tc>
        <w:tc>
          <w:tcPr>
            <w:tcW w:w="1124" w:type="dxa"/>
            <w:vAlign w:val="center"/>
          </w:tcPr>
          <w:p w:rsidR="00212513" w:rsidRDefault="00212513">
            <w:pPr>
              <w:pStyle w:val="ConsPlusNormal"/>
              <w:jc w:val="center"/>
            </w:pPr>
            <w:r>
              <w:t>1,91</w:t>
            </w:r>
          </w:p>
          <w:p w:rsidR="00212513" w:rsidRDefault="00212513">
            <w:pPr>
              <w:pStyle w:val="ConsPlusNormal"/>
              <w:jc w:val="center"/>
            </w:pPr>
            <w:r>
              <w:t>----</w:t>
            </w:r>
          </w:p>
          <w:p w:rsidR="00212513" w:rsidRDefault="00212513">
            <w:pPr>
              <w:pStyle w:val="ConsPlusNormal"/>
              <w:jc w:val="center"/>
            </w:pPr>
            <w:r>
              <w:t>2,46</w:t>
            </w:r>
          </w:p>
        </w:tc>
        <w:tc>
          <w:tcPr>
            <w:tcW w:w="1128" w:type="dxa"/>
            <w:vAlign w:val="center"/>
          </w:tcPr>
          <w:p w:rsidR="00212513" w:rsidRDefault="00212513">
            <w:pPr>
              <w:pStyle w:val="ConsPlusNormal"/>
              <w:jc w:val="center"/>
            </w:pPr>
            <w:r>
              <w:t>1,84</w:t>
            </w:r>
          </w:p>
          <w:p w:rsidR="00212513" w:rsidRDefault="00212513">
            <w:pPr>
              <w:pStyle w:val="ConsPlusNormal"/>
              <w:jc w:val="center"/>
            </w:pPr>
            <w:r>
              <w:t>----</w:t>
            </w:r>
          </w:p>
          <w:p w:rsidR="00212513" w:rsidRDefault="00212513">
            <w:pPr>
              <w:pStyle w:val="ConsPlusNormal"/>
              <w:jc w:val="center"/>
            </w:pPr>
            <w:r>
              <w:t>2,38</w:t>
            </w:r>
          </w:p>
        </w:tc>
      </w:tr>
      <w:tr w:rsidR="00212513">
        <w:tc>
          <w:tcPr>
            <w:tcW w:w="1191" w:type="dxa"/>
            <w:vAlign w:val="center"/>
          </w:tcPr>
          <w:p w:rsidR="00212513" w:rsidRDefault="00212513">
            <w:pPr>
              <w:pStyle w:val="ConsPlusNormal"/>
              <w:jc w:val="center"/>
            </w:pPr>
            <w:r>
              <w:t>1,0</w:t>
            </w:r>
          </w:p>
        </w:tc>
        <w:tc>
          <w:tcPr>
            <w:tcW w:w="1124" w:type="dxa"/>
            <w:vAlign w:val="center"/>
          </w:tcPr>
          <w:p w:rsidR="00212513" w:rsidRDefault="00212513">
            <w:pPr>
              <w:pStyle w:val="ConsPlusNormal"/>
              <w:jc w:val="center"/>
            </w:pPr>
            <w:r>
              <w:t>3,49</w:t>
            </w:r>
          </w:p>
          <w:p w:rsidR="00212513" w:rsidRDefault="00212513">
            <w:pPr>
              <w:pStyle w:val="ConsPlusNormal"/>
              <w:jc w:val="center"/>
            </w:pPr>
            <w:r>
              <w:t>----</w:t>
            </w:r>
          </w:p>
          <w:p w:rsidR="00212513" w:rsidRDefault="00212513">
            <w:pPr>
              <w:pStyle w:val="ConsPlusNormal"/>
              <w:jc w:val="center"/>
            </w:pPr>
            <w:r>
              <w:t>3,49</w:t>
            </w:r>
          </w:p>
        </w:tc>
        <w:tc>
          <w:tcPr>
            <w:tcW w:w="1124" w:type="dxa"/>
            <w:vAlign w:val="center"/>
          </w:tcPr>
          <w:p w:rsidR="00212513" w:rsidRDefault="00212513">
            <w:pPr>
              <w:pStyle w:val="ConsPlusNormal"/>
              <w:jc w:val="center"/>
            </w:pPr>
            <w:r>
              <w:t>3,56</w:t>
            </w:r>
          </w:p>
          <w:p w:rsidR="00212513" w:rsidRDefault="00212513">
            <w:pPr>
              <w:pStyle w:val="ConsPlusNormal"/>
              <w:jc w:val="center"/>
            </w:pPr>
            <w:r>
              <w:t>----</w:t>
            </w:r>
          </w:p>
          <w:p w:rsidR="00212513" w:rsidRDefault="00212513">
            <w:pPr>
              <w:pStyle w:val="ConsPlusNormal"/>
              <w:jc w:val="center"/>
            </w:pPr>
            <w:r>
              <w:t>3,56</w:t>
            </w:r>
          </w:p>
        </w:tc>
        <w:tc>
          <w:tcPr>
            <w:tcW w:w="1124" w:type="dxa"/>
            <w:vAlign w:val="center"/>
          </w:tcPr>
          <w:p w:rsidR="00212513" w:rsidRDefault="00212513">
            <w:pPr>
              <w:pStyle w:val="ConsPlusNormal"/>
              <w:jc w:val="center"/>
            </w:pPr>
            <w:r>
              <w:t>3,57</w:t>
            </w:r>
          </w:p>
          <w:p w:rsidR="00212513" w:rsidRDefault="00212513">
            <w:pPr>
              <w:pStyle w:val="ConsPlusNormal"/>
              <w:jc w:val="center"/>
            </w:pPr>
            <w:r>
              <w:t>----</w:t>
            </w:r>
          </w:p>
          <w:p w:rsidR="00212513" w:rsidRDefault="00212513">
            <w:pPr>
              <w:pStyle w:val="ConsPlusNormal"/>
              <w:jc w:val="center"/>
            </w:pPr>
            <w:r>
              <w:t>3,57</w:t>
            </w:r>
          </w:p>
        </w:tc>
        <w:tc>
          <w:tcPr>
            <w:tcW w:w="1124" w:type="dxa"/>
            <w:vAlign w:val="center"/>
          </w:tcPr>
          <w:p w:rsidR="00212513" w:rsidRDefault="00212513">
            <w:pPr>
              <w:pStyle w:val="ConsPlusNormal"/>
              <w:jc w:val="center"/>
            </w:pPr>
            <w:r>
              <w:t>3,53</w:t>
            </w:r>
          </w:p>
          <w:p w:rsidR="00212513" w:rsidRDefault="00212513">
            <w:pPr>
              <w:pStyle w:val="ConsPlusNormal"/>
              <w:jc w:val="center"/>
            </w:pPr>
            <w:r>
              <w:t>----</w:t>
            </w:r>
          </w:p>
          <w:p w:rsidR="00212513" w:rsidRDefault="00212513">
            <w:pPr>
              <w:pStyle w:val="ConsPlusNormal"/>
              <w:jc w:val="center"/>
            </w:pPr>
            <w:r>
              <w:t>3,53</w:t>
            </w:r>
          </w:p>
        </w:tc>
        <w:tc>
          <w:tcPr>
            <w:tcW w:w="1124" w:type="dxa"/>
            <w:vAlign w:val="center"/>
          </w:tcPr>
          <w:p w:rsidR="00212513" w:rsidRDefault="00212513">
            <w:pPr>
              <w:pStyle w:val="ConsPlusNormal"/>
              <w:jc w:val="center"/>
            </w:pPr>
            <w:r>
              <w:t>3,43</w:t>
            </w:r>
          </w:p>
          <w:p w:rsidR="00212513" w:rsidRDefault="00212513">
            <w:pPr>
              <w:pStyle w:val="ConsPlusNormal"/>
              <w:jc w:val="center"/>
            </w:pPr>
            <w:r>
              <w:t>----</w:t>
            </w:r>
          </w:p>
          <w:p w:rsidR="00212513" w:rsidRDefault="00212513">
            <w:pPr>
              <w:pStyle w:val="ConsPlusNormal"/>
              <w:jc w:val="center"/>
            </w:pPr>
            <w:r>
              <w:t>3,43</w:t>
            </w:r>
          </w:p>
        </w:tc>
        <w:tc>
          <w:tcPr>
            <w:tcW w:w="1124" w:type="dxa"/>
            <w:vAlign w:val="center"/>
          </w:tcPr>
          <w:p w:rsidR="00212513" w:rsidRDefault="00212513">
            <w:pPr>
              <w:pStyle w:val="ConsPlusNormal"/>
              <w:jc w:val="center"/>
            </w:pPr>
            <w:r>
              <w:t>3,29</w:t>
            </w:r>
          </w:p>
          <w:p w:rsidR="00212513" w:rsidRDefault="00212513">
            <w:pPr>
              <w:pStyle w:val="ConsPlusNormal"/>
              <w:jc w:val="center"/>
            </w:pPr>
            <w:r>
              <w:t>----</w:t>
            </w:r>
          </w:p>
          <w:p w:rsidR="00212513" w:rsidRDefault="00212513">
            <w:pPr>
              <w:pStyle w:val="ConsPlusNormal"/>
              <w:jc w:val="center"/>
            </w:pPr>
            <w:r>
              <w:t>3,29</w:t>
            </w:r>
          </w:p>
        </w:tc>
        <w:tc>
          <w:tcPr>
            <w:tcW w:w="1128" w:type="dxa"/>
            <w:vAlign w:val="center"/>
          </w:tcPr>
          <w:p w:rsidR="00212513" w:rsidRDefault="00212513">
            <w:pPr>
              <w:pStyle w:val="ConsPlusNormal"/>
              <w:jc w:val="center"/>
            </w:pPr>
            <w:r>
              <w:t>3,05</w:t>
            </w:r>
          </w:p>
          <w:p w:rsidR="00212513" w:rsidRDefault="00212513">
            <w:pPr>
              <w:pStyle w:val="ConsPlusNormal"/>
              <w:jc w:val="center"/>
            </w:pPr>
            <w:r>
              <w:t>----</w:t>
            </w:r>
          </w:p>
          <w:p w:rsidR="00212513" w:rsidRDefault="00212513">
            <w:pPr>
              <w:pStyle w:val="ConsPlusNormal"/>
              <w:jc w:val="center"/>
            </w:pPr>
            <w:r>
              <w:t>3,05</w:t>
            </w:r>
          </w:p>
        </w:tc>
      </w:tr>
    </w:tbl>
    <w:p w:rsidR="00212513" w:rsidRDefault="00212513">
      <w:pPr>
        <w:pStyle w:val="ConsPlusNormal"/>
        <w:jc w:val="both"/>
      </w:pPr>
    </w:p>
    <w:p w:rsidR="00212513" w:rsidRDefault="00212513">
      <w:pPr>
        <w:pStyle w:val="ConsPlusNormal"/>
        <w:jc w:val="both"/>
      </w:pPr>
      <w:r>
        <w:t xml:space="preserve">(в ред. </w:t>
      </w:r>
      <w:hyperlink r:id="rId2297">
        <w:r>
          <w:rPr>
            <w:color w:val="0000FF"/>
          </w:rPr>
          <w:t>Изменения N 4</w:t>
        </w:r>
      </w:hyperlink>
      <w:r>
        <w:t>, утв. Приказом Минстроя России от 30.05.2024 N 361/пр)</w:t>
      </w:r>
    </w:p>
    <w:p w:rsidR="00212513" w:rsidRDefault="00212513">
      <w:pPr>
        <w:pStyle w:val="ConsPlusNormal"/>
        <w:ind w:firstLine="540"/>
        <w:jc w:val="both"/>
      </w:pPr>
    </w:p>
    <w:p w:rsidR="00212513" w:rsidRDefault="00212513">
      <w:pPr>
        <w:pStyle w:val="ConsPlusNormal"/>
        <w:jc w:val="right"/>
      </w:pPr>
      <w:bookmarkStart w:id="422" w:name="P9885"/>
      <w:bookmarkEnd w:id="422"/>
      <w:r>
        <w:t>Таблица 9.6</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3230"/>
        <w:gridCol w:w="3231"/>
      </w:tblGrid>
      <w:tr w:rsidR="00212513">
        <w:tc>
          <w:tcPr>
            <w:tcW w:w="2608" w:type="dxa"/>
            <w:vMerge w:val="restart"/>
            <w:vAlign w:val="center"/>
          </w:tcPr>
          <w:p w:rsidR="00212513" w:rsidRDefault="00212513">
            <w:pPr>
              <w:pStyle w:val="ConsPlusNormal"/>
              <w:jc w:val="center"/>
            </w:pPr>
            <w:r>
              <w:t>Критерии и проверки</w:t>
            </w:r>
          </w:p>
        </w:tc>
        <w:tc>
          <w:tcPr>
            <w:tcW w:w="6461" w:type="dxa"/>
            <w:gridSpan w:val="2"/>
            <w:vAlign w:val="center"/>
          </w:tcPr>
          <w:p w:rsidR="00212513" w:rsidRDefault="00212513">
            <w:pPr>
              <w:pStyle w:val="ConsPlusNormal"/>
              <w:jc w:val="center"/>
            </w:pPr>
            <w:r>
              <w:t>Формулы для критериев и проверок прочности в расчетных случаях</w:t>
            </w:r>
          </w:p>
        </w:tc>
      </w:tr>
      <w:tr w:rsidR="00212513">
        <w:tc>
          <w:tcPr>
            <w:tcW w:w="2608" w:type="dxa"/>
            <w:vMerge/>
          </w:tcPr>
          <w:p w:rsidR="00212513" w:rsidRDefault="00212513">
            <w:pPr>
              <w:pStyle w:val="ConsPlusNormal"/>
            </w:pPr>
          </w:p>
        </w:tc>
        <w:tc>
          <w:tcPr>
            <w:tcW w:w="3230" w:type="dxa"/>
            <w:vAlign w:val="center"/>
          </w:tcPr>
          <w:p w:rsidR="00212513" w:rsidRDefault="00212513">
            <w:pPr>
              <w:pStyle w:val="ConsPlusNormal"/>
              <w:jc w:val="center"/>
            </w:pPr>
            <w:r>
              <w:t>Г</w:t>
            </w:r>
          </w:p>
        </w:tc>
        <w:tc>
          <w:tcPr>
            <w:tcW w:w="3231" w:type="dxa"/>
            <w:vAlign w:val="center"/>
          </w:tcPr>
          <w:p w:rsidR="00212513" w:rsidRDefault="00212513">
            <w:pPr>
              <w:pStyle w:val="ConsPlusNormal"/>
              <w:jc w:val="center"/>
            </w:pPr>
            <w:r>
              <w:t>Д</w:t>
            </w:r>
          </w:p>
        </w:tc>
      </w:tr>
      <w:tr w:rsidR="00212513">
        <w:tc>
          <w:tcPr>
            <w:tcW w:w="2608" w:type="dxa"/>
          </w:tcPr>
          <w:p w:rsidR="00212513" w:rsidRDefault="00212513">
            <w:pPr>
              <w:pStyle w:val="ConsPlusNormal"/>
            </w:pPr>
            <w:r>
              <w:t>Критерии:</w:t>
            </w:r>
          </w:p>
          <w:p w:rsidR="00212513" w:rsidRDefault="00212513">
            <w:pPr>
              <w:pStyle w:val="ConsPlusNormal"/>
              <w:ind w:left="283"/>
            </w:pPr>
            <w:r>
              <w:t>соотношения жесткостей</w:t>
            </w:r>
          </w:p>
        </w:tc>
        <w:tc>
          <w:tcPr>
            <w:tcW w:w="3230" w:type="dxa"/>
          </w:tcPr>
          <w:p w:rsidR="00212513" w:rsidRDefault="00212513">
            <w:pPr>
              <w:pStyle w:val="ConsPlusNormal"/>
              <w:jc w:val="center"/>
            </w:pPr>
            <w:r>
              <w:rPr>
                <w:noProof/>
                <w:position w:val="-8"/>
              </w:rPr>
              <w:drawing>
                <wp:inline distT="0" distB="0" distL="0" distR="0">
                  <wp:extent cx="1047750" cy="251460"/>
                  <wp:effectExtent l="0" t="0" r="0" b="0"/>
                  <wp:docPr id="1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8" cstate="print">
                            <a:extLst>
                              <a:ext uri="{28A0092B-C50C-407E-A947-70E740481C1C}">
                                <a14:useLocalDpi xmlns:a14="http://schemas.microsoft.com/office/drawing/2010/main" val="0"/>
                              </a:ext>
                            </a:extLst>
                          </a:blip>
                          <a:srcRect/>
                          <a:stretch>
                            <a:fillRect/>
                          </a:stretch>
                        </pic:blipFill>
                        <pic:spPr bwMode="auto">
                          <a:xfrm>
                            <a:off x="0" y="0"/>
                            <a:ext cx="1047750" cy="251460"/>
                          </a:xfrm>
                          <a:prstGeom prst="rect">
                            <a:avLst/>
                          </a:prstGeom>
                          <a:noFill/>
                          <a:ln>
                            <a:noFill/>
                          </a:ln>
                        </pic:spPr>
                      </pic:pic>
                    </a:graphicData>
                  </a:graphic>
                </wp:inline>
              </w:drawing>
            </w:r>
          </w:p>
        </w:tc>
        <w:tc>
          <w:tcPr>
            <w:tcW w:w="3231" w:type="dxa"/>
          </w:tcPr>
          <w:p w:rsidR="00212513" w:rsidRDefault="00212513">
            <w:pPr>
              <w:pStyle w:val="ConsPlusNormal"/>
              <w:jc w:val="center"/>
            </w:pPr>
            <w:r>
              <w:t>-</w:t>
            </w:r>
          </w:p>
        </w:tc>
      </w:tr>
      <w:tr w:rsidR="00212513">
        <w:tc>
          <w:tcPr>
            <w:tcW w:w="2608" w:type="dxa"/>
          </w:tcPr>
          <w:p w:rsidR="00212513" w:rsidRDefault="00212513">
            <w:pPr>
              <w:pStyle w:val="ConsPlusNormal"/>
              <w:ind w:left="283"/>
            </w:pPr>
            <w:r>
              <w:t>напряжений в бетоне (сжатие +, растяжение -)</w:t>
            </w:r>
          </w:p>
        </w:tc>
        <w:tc>
          <w:tcPr>
            <w:tcW w:w="3230" w:type="dxa"/>
          </w:tcPr>
          <w:p w:rsidR="00212513" w:rsidRDefault="00212513">
            <w:pPr>
              <w:pStyle w:val="ConsPlusNormal"/>
              <w:jc w:val="center"/>
            </w:pPr>
            <w:r>
              <w:rPr>
                <w:noProof/>
                <w:position w:val="-28"/>
              </w:rPr>
              <w:drawing>
                <wp:inline distT="0" distB="0" distL="0" distR="0">
                  <wp:extent cx="1927860" cy="502920"/>
                  <wp:effectExtent l="0" t="0" r="0" b="0"/>
                  <wp:docPr id="1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9" cstate="print">
                            <a:extLst>
                              <a:ext uri="{28A0092B-C50C-407E-A947-70E740481C1C}">
                                <a14:useLocalDpi xmlns:a14="http://schemas.microsoft.com/office/drawing/2010/main" val="0"/>
                              </a:ext>
                            </a:extLst>
                          </a:blip>
                          <a:srcRect/>
                          <a:stretch>
                            <a:fillRect/>
                          </a:stretch>
                        </pic:blipFill>
                        <pic:spPr bwMode="auto">
                          <a:xfrm>
                            <a:off x="0" y="0"/>
                            <a:ext cx="1927860" cy="502920"/>
                          </a:xfrm>
                          <a:prstGeom prst="rect">
                            <a:avLst/>
                          </a:prstGeom>
                          <a:noFill/>
                          <a:ln>
                            <a:noFill/>
                          </a:ln>
                        </pic:spPr>
                      </pic:pic>
                    </a:graphicData>
                  </a:graphic>
                </wp:inline>
              </w:drawing>
            </w:r>
          </w:p>
        </w:tc>
        <w:tc>
          <w:tcPr>
            <w:tcW w:w="3231" w:type="dxa"/>
          </w:tcPr>
          <w:p w:rsidR="00212513" w:rsidRDefault="00212513">
            <w:pPr>
              <w:pStyle w:val="ConsPlusNormal"/>
              <w:jc w:val="center"/>
            </w:pPr>
            <w:r>
              <w:rPr>
                <w:noProof/>
                <w:position w:val="-28"/>
              </w:rPr>
              <w:drawing>
                <wp:inline distT="0" distB="0" distL="0" distR="0">
                  <wp:extent cx="1927860" cy="502920"/>
                  <wp:effectExtent l="0" t="0" r="0" b="0"/>
                  <wp:docPr id="1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0" cstate="print">
                            <a:extLst>
                              <a:ext uri="{28A0092B-C50C-407E-A947-70E740481C1C}">
                                <a14:useLocalDpi xmlns:a14="http://schemas.microsoft.com/office/drawing/2010/main" val="0"/>
                              </a:ext>
                            </a:extLst>
                          </a:blip>
                          <a:srcRect/>
                          <a:stretch>
                            <a:fillRect/>
                          </a:stretch>
                        </pic:blipFill>
                        <pic:spPr bwMode="auto">
                          <a:xfrm>
                            <a:off x="0" y="0"/>
                            <a:ext cx="1927860" cy="502920"/>
                          </a:xfrm>
                          <a:prstGeom prst="rect">
                            <a:avLst/>
                          </a:prstGeom>
                          <a:noFill/>
                          <a:ln>
                            <a:noFill/>
                          </a:ln>
                        </pic:spPr>
                      </pic:pic>
                    </a:graphicData>
                  </a:graphic>
                </wp:inline>
              </w:drawing>
            </w:r>
          </w:p>
        </w:tc>
      </w:tr>
      <w:tr w:rsidR="00212513">
        <w:tc>
          <w:tcPr>
            <w:tcW w:w="2608" w:type="dxa"/>
          </w:tcPr>
          <w:p w:rsidR="00212513" w:rsidRDefault="00212513">
            <w:pPr>
              <w:pStyle w:val="ConsPlusNormal"/>
            </w:pPr>
            <w:r>
              <w:t>Проверки:</w:t>
            </w:r>
          </w:p>
          <w:p w:rsidR="00212513" w:rsidRDefault="00212513">
            <w:pPr>
              <w:pStyle w:val="ConsPlusNormal"/>
              <w:ind w:left="283"/>
            </w:pPr>
            <w:r>
              <w:t>напряжения в продольной арматуре железобетона (растяжение +, сжатие -)</w:t>
            </w:r>
          </w:p>
        </w:tc>
        <w:tc>
          <w:tcPr>
            <w:tcW w:w="3230" w:type="dxa"/>
          </w:tcPr>
          <w:p w:rsidR="00212513" w:rsidRDefault="00212513">
            <w:pPr>
              <w:pStyle w:val="ConsPlusNormal"/>
              <w:jc w:val="center"/>
            </w:pPr>
            <w:r>
              <w:t>-</w:t>
            </w:r>
          </w:p>
        </w:tc>
        <w:tc>
          <w:tcPr>
            <w:tcW w:w="3231" w:type="dxa"/>
          </w:tcPr>
          <w:p w:rsidR="00212513" w:rsidRDefault="00212513">
            <w:pPr>
              <w:pStyle w:val="ConsPlusNormal"/>
              <w:jc w:val="center"/>
            </w:pPr>
            <w:r>
              <w:rPr>
                <w:noProof/>
                <w:position w:val="-71"/>
              </w:rPr>
              <w:drawing>
                <wp:inline distT="0" distB="0" distL="0" distR="0">
                  <wp:extent cx="1690370" cy="1043940"/>
                  <wp:effectExtent l="0" t="0" r="0" b="0"/>
                  <wp:docPr id="1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1" cstate="print">
                            <a:extLst>
                              <a:ext uri="{28A0092B-C50C-407E-A947-70E740481C1C}">
                                <a14:useLocalDpi xmlns:a14="http://schemas.microsoft.com/office/drawing/2010/main" val="0"/>
                              </a:ext>
                            </a:extLst>
                          </a:blip>
                          <a:srcRect/>
                          <a:stretch>
                            <a:fillRect/>
                          </a:stretch>
                        </pic:blipFill>
                        <pic:spPr bwMode="auto">
                          <a:xfrm>
                            <a:off x="0" y="0"/>
                            <a:ext cx="1690370" cy="1043940"/>
                          </a:xfrm>
                          <a:prstGeom prst="rect">
                            <a:avLst/>
                          </a:prstGeom>
                          <a:noFill/>
                          <a:ln>
                            <a:noFill/>
                          </a:ln>
                        </pic:spPr>
                      </pic:pic>
                    </a:graphicData>
                  </a:graphic>
                </wp:inline>
              </w:drawing>
            </w:r>
          </w:p>
        </w:tc>
      </w:tr>
      <w:tr w:rsidR="00212513">
        <w:tc>
          <w:tcPr>
            <w:tcW w:w="2608" w:type="dxa"/>
          </w:tcPr>
          <w:p w:rsidR="00212513" w:rsidRDefault="00212513">
            <w:pPr>
              <w:pStyle w:val="ConsPlusNormal"/>
              <w:ind w:left="283"/>
            </w:pPr>
            <w:r>
              <w:lastRenderedPageBreak/>
              <w:t>стального верхнего пояса (растяжение +, сжатие -)</w:t>
            </w:r>
          </w:p>
        </w:tc>
        <w:tc>
          <w:tcPr>
            <w:tcW w:w="3230" w:type="dxa"/>
          </w:tcPr>
          <w:p w:rsidR="00212513" w:rsidRDefault="00212513">
            <w:pPr>
              <w:pStyle w:val="ConsPlusNormal"/>
              <w:jc w:val="center"/>
            </w:pPr>
            <w:r>
              <w:rPr>
                <w:noProof/>
                <w:position w:val="-28"/>
              </w:rPr>
              <w:drawing>
                <wp:inline distT="0" distB="0" distL="0" distR="0">
                  <wp:extent cx="1955800" cy="502920"/>
                  <wp:effectExtent l="0" t="0" r="0" b="0"/>
                  <wp:docPr id="1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2" cstate="print">
                            <a:extLst>
                              <a:ext uri="{28A0092B-C50C-407E-A947-70E740481C1C}">
                                <a14:useLocalDpi xmlns:a14="http://schemas.microsoft.com/office/drawing/2010/main" val="0"/>
                              </a:ext>
                            </a:extLst>
                          </a:blip>
                          <a:srcRect/>
                          <a:stretch>
                            <a:fillRect/>
                          </a:stretch>
                        </pic:blipFill>
                        <pic:spPr bwMode="auto">
                          <a:xfrm>
                            <a:off x="0" y="0"/>
                            <a:ext cx="1955800" cy="502920"/>
                          </a:xfrm>
                          <a:prstGeom prst="rect">
                            <a:avLst/>
                          </a:prstGeom>
                          <a:noFill/>
                          <a:ln>
                            <a:noFill/>
                          </a:ln>
                        </pic:spPr>
                      </pic:pic>
                    </a:graphicData>
                  </a:graphic>
                </wp:inline>
              </w:drawing>
            </w:r>
          </w:p>
        </w:tc>
        <w:tc>
          <w:tcPr>
            <w:tcW w:w="3231" w:type="dxa"/>
          </w:tcPr>
          <w:p w:rsidR="00212513" w:rsidRDefault="00212513">
            <w:pPr>
              <w:pStyle w:val="ConsPlusNormal"/>
              <w:jc w:val="center"/>
            </w:pPr>
            <w:r>
              <w:rPr>
                <w:noProof/>
                <w:position w:val="-28"/>
              </w:rPr>
              <w:drawing>
                <wp:inline distT="0" distB="0" distL="0" distR="0">
                  <wp:extent cx="1788160" cy="502920"/>
                  <wp:effectExtent l="0" t="0" r="0" b="0"/>
                  <wp:docPr id="1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3" cstate="print">
                            <a:extLst>
                              <a:ext uri="{28A0092B-C50C-407E-A947-70E740481C1C}">
                                <a14:useLocalDpi xmlns:a14="http://schemas.microsoft.com/office/drawing/2010/main" val="0"/>
                              </a:ext>
                            </a:extLst>
                          </a:blip>
                          <a:srcRect/>
                          <a:stretch>
                            <a:fillRect/>
                          </a:stretch>
                        </pic:blipFill>
                        <pic:spPr bwMode="auto">
                          <a:xfrm>
                            <a:off x="0" y="0"/>
                            <a:ext cx="1788160" cy="502920"/>
                          </a:xfrm>
                          <a:prstGeom prst="rect">
                            <a:avLst/>
                          </a:prstGeom>
                          <a:noFill/>
                          <a:ln>
                            <a:noFill/>
                          </a:ln>
                        </pic:spPr>
                      </pic:pic>
                    </a:graphicData>
                  </a:graphic>
                </wp:inline>
              </w:drawing>
            </w:r>
          </w:p>
        </w:tc>
      </w:tr>
      <w:tr w:rsidR="00212513">
        <w:tc>
          <w:tcPr>
            <w:tcW w:w="2608" w:type="dxa"/>
          </w:tcPr>
          <w:p w:rsidR="00212513" w:rsidRDefault="00212513">
            <w:pPr>
              <w:pStyle w:val="ConsPlusNormal"/>
              <w:ind w:left="283"/>
            </w:pPr>
            <w:r>
              <w:t>стального нижнего пояса (растяжение +, сжатие -)</w:t>
            </w:r>
          </w:p>
        </w:tc>
        <w:tc>
          <w:tcPr>
            <w:tcW w:w="3230" w:type="dxa"/>
          </w:tcPr>
          <w:p w:rsidR="00212513" w:rsidRDefault="00212513">
            <w:pPr>
              <w:pStyle w:val="ConsPlusNormal"/>
              <w:jc w:val="center"/>
            </w:pPr>
            <w:r>
              <w:rPr>
                <w:noProof/>
                <w:position w:val="-28"/>
              </w:rPr>
              <w:drawing>
                <wp:inline distT="0" distB="0" distL="0" distR="0">
                  <wp:extent cx="1788160" cy="502920"/>
                  <wp:effectExtent l="0" t="0" r="0" b="0"/>
                  <wp:docPr id="1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4" cstate="print">
                            <a:extLst>
                              <a:ext uri="{28A0092B-C50C-407E-A947-70E740481C1C}">
                                <a14:useLocalDpi xmlns:a14="http://schemas.microsoft.com/office/drawing/2010/main" val="0"/>
                              </a:ext>
                            </a:extLst>
                          </a:blip>
                          <a:srcRect/>
                          <a:stretch>
                            <a:fillRect/>
                          </a:stretch>
                        </pic:blipFill>
                        <pic:spPr bwMode="auto">
                          <a:xfrm>
                            <a:off x="0" y="0"/>
                            <a:ext cx="1788160" cy="502920"/>
                          </a:xfrm>
                          <a:prstGeom prst="rect">
                            <a:avLst/>
                          </a:prstGeom>
                          <a:noFill/>
                          <a:ln>
                            <a:noFill/>
                          </a:ln>
                        </pic:spPr>
                      </pic:pic>
                    </a:graphicData>
                  </a:graphic>
                </wp:inline>
              </w:drawing>
            </w:r>
          </w:p>
        </w:tc>
        <w:tc>
          <w:tcPr>
            <w:tcW w:w="3231" w:type="dxa"/>
          </w:tcPr>
          <w:p w:rsidR="00212513" w:rsidRDefault="00212513">
            <w:pPr>
              <w:pStyle w:val="ConsPlusNormal"/>
              <w:jc w:val="center"/>
            </w:pPr>
            <w:r>
              <w:rPr>
                <w:noProof/>
                <w:position w:val="-28"/>
              </w:rPr>
              <w:drawing>
                <wp:inline distT="0" distB="0" distL="0" distR="0">
                  <wp:extent cx="1676400" cy="502920"/>
                  <wp:effectExtent l="0" t="0" r="0" b="0"/>
                  <wp:docPr id="1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5" cstate="print">
                            <a:extLst>
                              <a:ext uri="{28A0092B-C50C-407E-A947-70E740481C1C}">
                                <a14:useLocalDpi xmlns:a14="http://schemas.microsoft.com/office/drawing/2010/main" val="0"/>
                              </a:ext>
                            </a:extLst>
                          </a:blip>
                          <a:srcRect/>
                          <a:stretch>
                            <a:fillRect/>
                          </a:stretch>
                        </pic:blipFill>
                        <pic:spPr bwMode="auto">
                          <a:xfrm>
                            <a:off x="0" y="0"/>
                            <a:ext cx="1676400" cy="502920"/>
                          </a:xfrm>
                          <a:prstGeom prst="rect">
                            <a:avLst/>
                          </a:prstGeom>
                          <a:noFill/>
                          <a:ln>
                            <a:noFill/>
                          </a:ln>
                        </pic:spPr>
                      </pic:pic>
                    </a:graphicData>
                  </a:graphic>
                </wp:inline>
              </w:drawing>
            </w:r>
          </w:p>
        </w:tc>
      </w:tr>
      <w:tr w:rsidR="00212513">
        <w:tblPrEx>
          <w:tblBorders>
            <w:insideH w:val="nil"/>
          </w:tblBorders>
        </w:tblPrEx>
        <w:tc>
          <w:tcPr>
            <w:tcW w:w="9069" w:type="dxa"/>
            <w:gridSpan w:val="3"/>
            <w:tcBorders>
              <w:bottom w:val="nil"/>
            </w:tcBorders>
          </w:tcPr>
          <w:p w:rsidR="00212513" w:rsidRDefault="00212513">
            <w:pPr>
              <w:pStyle w:val="ConsPlusNormal"/>
              <w:ind w:firstLine="283"/>
              <w:jc w:val="both"/>
            </w:pPr>
            <w:r>
              <w:rPr>
                <w:i/>
              </w:rPr>
              <w:t xml:space="preserve">Обозначения, принятые в </w:t>
            </w:r>
            <w:hyperlink w:anchor="P9885">
              <w:r>
                <w:rPr>
                  <w:i/>
                  <w:color w:val="0000FF"/>
                </w:rPr>
                <w:t>таблице 9.6</w:t>
              </w:r>
            </w:hyperlink>
            <w:r>
              <w:rPr>
                <w:i/>
              </w:rPr>
              <w:t>:</w:t>
            </w:r>
          </w:p>
          <w:p w:rsidR="00212513" w:rsidRDefault="00212513">
            <w:pPr>
              <w:pStyle w:val="ConsPlusNormal"/>
              <w:ind w:firstLine="283"/>
              <w:jc w:val="both"/>
            </w:pPr>
            <w:r>
              <w:rPr>
                <w:i/>
              </w:rPr>
              <w:t>M</w:t>
            </w:r>
            <w:r>
              <w:t xml:space="preserve">; </w:t>
            </w:r>
            <w:r>
              <w:rPr>
                <w:noProof/>
                <w:position w:val="-8"/>
              </w:rPr>
              <w:drawing>
                <wp:inline distT="0" distB="0" distL="0" distR="0">
                  <wp:extent cx="251460" cy="251460"/>
                  <wp:effectExtent l="0" t="0" r="0" b="0"/>
                  <wp:docPr id="1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6"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w:t>
            </w:r>
            <w:r>
              <w:rPr>
                <w:noProof/>
                <w:position w:val="-8"/>
              </w:rPr>
              <w:drawing>
                <wp:inline distT="0" distB="0" distL="0" distR="0">
                  <wp:extent cx="262890" cy="251460"/>
                  <wp:effectExtent l="0" t="0" r="0" b="0"/>
                  <wp:docPr id="1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7"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w:t>
            </w:r>
            <w:r>
              <w:rPr>
                <w:noProof/>
                <w:position w:val="-8"/>
              </w:rPr>
              <w:drawing>
                <wp:inline distT="0" distB="0" distL="0" distR="0">
                  <wp:extent cx="241935" cy="251460"/>
                  <wp:effectExtent l="0" t="0" r="0" b="0"/>
                  <wp:docPr id="1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8"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w:t>
            </w:r>
            <w:r>
              <w:rPr>
                <w:noProof/>
                <w:position w:val="-8"/>
              </w:rPr>
              <w:drawing>
                <wp:inline distT="0" distB="0" distL="0" distR="0">
                  <wp:extent cx="220980" cy="251460"/>
                  <wp:effectExtent l="0" t="0" r="0" b="0"/>
                  <wp:docPr id="17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9"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w:t>
            </w:r>
            <w:r>
              <w:rPr>
                <w:noProof/>
                <w:position w:val="-8"/>
              </w:rPr>
              <w:drawing>
                <wp:inline distT="0" distB="0" distL="0" distR="0">
                  <wp:extent cx="251460" cy="251460"/>
                  <wp:effectExtent l="0" t="0" r="0" b="0"/>
                  <wp:docPr id="1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w:t>
            </w:r>
            <w:r>
              <w:rPr>
                <w:noProof/>
                <w:position w:val="-8"/>
              </w:rPr>
              <w:drawing>
                <wp:inline distT="0" distB="0" distL="0" distR="0">
                  <wp:extent cx="220980" cy="251460"/>
                  <wp:effectExtent l="0" t="0" r="0" b="0"/>
                  <wp:docPr id="1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1"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1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17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3"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17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4"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9"/>
              </w:rPr>
              <w:drawing>
                <wp:inline distT="0" distB="0" distL="0" distR="0">
                  <wp:extent cx="377190" cy="262890"/>
                  <wp:effectExtent l="0" t="0" r="0" b="0"/>
                  <wp:docPr id="17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5" cstate="print">
                            <a:extLst>
                              <a:ext uri="{28A0092B-C50C-407E-A947-70E740481C1C}">
                                <a14:useLocalDpi xmlns:a14="http://schemas.microsoft.com/office/drawing/2010/main" val="0"/>
                              </a:ext>
                            </a:extLst>
                          </a:blip>
                          <a:srcRect/>
                          <a:stretch>
                            <a:fillRect/>
                          </a:stretch>
                        </pic:blipFill>
                        <pic:spPr bwMode="auto">
                          <a:xfrm>
                            <a:off x="0" y="0"/>
                            <a:ext cx="377190" cy="262890"/>
                          </a:xfrm>
                          <a:prstGeom prst="rect">
                            <a:avLst/>
                          </a:prstGeom>
                          <a:noFill/>
                          <a:ln>
                            <a:noFill/>
                          </a:ln>
                        </pic:spPr>
                      </pic:pic>
                    </a:graphicData>
                  </a:graphic>
                </wp:inline>
              </w:drawing>
            </w:r>
            <w:r>
              <w:t xml:space="preserve">; </w:t>
            </w:r>
            <w:r>
              <w:rPr>
                <w:noProof/>
                <w:position w:val="-9"/>
              </w:rPr>
              <w:drawing>
                <wp:inline distT="0" distB="0" distL="0" distR="0">
                  <wp:extent cx="344805" cy="262890"/>
                  <wp:effectExtent l="0" t="0" r="0" b="0"/>
                  <wp:docPr id="17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6" cstate="print">
                            <a:extLst>
                              <a:ext uri="{28A0092B-C50C-407E-A947-70E740481C1C}">
                                <a14:useLocalDpi xmlns:a14="http://schemas.microsoft.com/office/drawing/2010/main" val="0"/>
                              </a:ext>
                            </a:extLst>
                          </a:blip>
                          <a:srcRect/>
                          <a:stretch>
                            <a:fillRect/>
                          </a:stretch>
                        </pic:blipFill>
                        <pic:spPr bwMode="auto">
                          <a:xfrm>
                            <a:off x="0" y="0"/>
                            <a:ext cx="344805" cy="262890"/>
                          </a:xfrm>
                          <a:prstGeom prst="rect">
                            <a:avLst/>
                          </a:prstGeom>
                          <a:noFill/>
                          <a:ln>
                            <a:noFill/>
                          </a:ln>
                        </pic:spPr>
                      </pic:pic>
                    </a:graphicData>
                  </a:graphic>
                </wp:inline>
              </w:drawing>
            </w:r>
            <w:r>
              <w:t xml:space="preserve">; </w:t>
            </w:r>
            <w:r>
              <w:rPr>
                <w:noProof/>
                <w:position w:val="-9"/>
              </w:rPr>
              <w:drawing>
                <wp:inline distT="0" distB="0" distL="0" distR="0">
                  <wp:extent cx="335280" cy="262890"/>
                  <wp:effectExtent l="0" t="0" r="0" b="0"/>
                  <wp:docPr id="17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7" cstate="print">
                            <a:extLst>
                              <a:ext uri="{28A0092B-C50C-407E-A947-70E740481C1C}">
                                <a14:useLocalDpi xmlns:a14="http://schemas.microsoft.com/office/drawing/2010/main" val="0"/>
                              </a:ext>
                            </a:extLst>
                          </a:blip>
                          <a:srcRect/>
                          <a:stretch>
                            <a:fillRect/>
                          </a:stretch>
                        </pic:blipFill>
                        <pic:spPr bwMode="auto">
                          <a:xfrm>
                            <a:off x="0" y="0"/>
                            <a:ext cx="335280" cy="262890"/>
                          </a:xfrm>
                          <a:prstGeom prst="rect">
                            <a:avLst/>
                          </a:prstGeom>
                          <a:noFill/>
                          <a:ln>
                            <a:noFill/>
                          </a:ln>
                        </pic:spPr>
                      </pic:pic>
                    </a:graphicData>
                  </a:graphic>
                </wp:inline>
              </w:drawing>
            </w:r>
            <w:r>
              <w:t xml:space="preserve">; </w:t>
            </w:r>
            <w:r>
              <w:rPr>
                <w:noProof/>
                <w:position w:val="-8"/>
              </w:rPr>
              <w:drawing>
                <wp:inline distT="0" distB="0" distL="0" distR="0">
                  <wp:extent cx="177800" cy="251460"/>
                  <wp:effectExtent l="0" t="0" r="0" b="0"/>
                  <wp:docPr id="17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8"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w:t>
            </w:r>
            <w:r>
              <w:rPr>
                <w:noProof/>
                <w:position w:val="-8"/>
              </w:rPr>
              <w:drawing>
                <wp:inline distT="0" distB="0" distL="0" distR="0">
                  <wp:extent cx="177800" cy="251460"/>
                  <wp:effectExtent l="0" t="0" r="0" b="0"/>
                  <wp:docPr id="17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9"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w:t>
            </w:r>
          </w:p>
          <w:p w:rsidR="00212513" w:rsidRDefault="00212513">
            <w:pPr>
              <w:pStyle w:val="ConsPlusNormal"/>
              <w:ind w:firstLine="283"/>
              <w:jc w:val="both"/>
            </w:pPr>
            <w:r>
              <w:rPr>
                <w:noProof/>
                <w:position w:val="-9"/>
              </w:rPr>
              <w:drawing>
                <wp:inline distT="0" distB="0" distL="0" distR="0">
                  <wp:extent cx="209550" cy="262890"/>
                  <wp:effectExtent l="0" t="0" r="0" b="0"/>
                  <wp:docPr id="17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0"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17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17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2"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1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3"/>
              </w:rPr>
              <w:drawing>
                <wp:inline distT="0" distB="0" distL="0" distR="0">
                  <wp:extent cx="137160" cy="177800"/>
                  <wp:effectExtent l="0" t="0" r="0" b="0"/>
                  <wp:docPr id="17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4" cstate="print">
                            <a:extLst>
                              <a:ext uri="{28A0092B-C50C-407E-A947-70E740481C1C}">
                                <a14:useLocalDpi xmlns:a14="http://schemas.microsoft.com/office/drawing/2010/main" val="0"/>
                              </a:ext>
                            </a:extLst>
                          </a:blip>
                          <a:srcRect/>
                          <a:stretch>
                            <a:fillRect/>
                          </a:stretch>
                        </pic:blipFill>
                        <pic:spPr bwMode="auto">
                          <a:xfrm>
                            <a:off x="0" y="0"/>
                            <a:ext cx="137160" cy="177800"/>
                          </a:xfrm>
                          <a:prstGeom prst="rect">
                            <a:avLst/>
                          </a:prstGeom>
                          <a:noFill/>
                          <a:ln>
                            <a:noFill/>
                          </a:ln>
                        </pic:spPr>
                      </pic:pic>
                    </a:graphicData>
                  </a:graphic>
                </wp:inline>
              </w:drawing>
            </w:r>
            <w:r>
              <w:t xml:space="preserve">; </w:t>
            </w:r>
            <w:r>
              <w:rPr>
                <w:i/>
              </w:rPr>
              <w:t>m</w:t>
            </w:r>
            <w:r>
              <w:t xml:space="preserve">; </w:t>
            </w:r>
            <w:r>
              <w:rPr>
                <w:noProof/>
                <w:position w:val="-8"/>
              </w:rPr>
              <w:drawing>
                <wp:inline distT="0" distB="0" distL="0" distR="0">
                  <wp:extent cx="220980" cy="251460"/>
                  <wp:effectExtent l="0" t="0" r="0" b="0"/>
                  <wp:docPr id="17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5"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w:t>
            </w:r>
            <w:r>
              <w:rPr>
                <w:noProof/>
                <w:position w:val="-8"/>
              </w:rPr>
              <w:drawing>
                <wp:inline distT="0" distB="0" distL="0" distR="0">
                  <wp:extent cx="220980" cy="251460"/>
                  <wp:effectExtent l="0" t="0" r="0" b="0"/>
                  <wp:docPr id="17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6"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см. обозначения к </w:t>
            </w:r>
            <w:hyperlink w:anchor="P9508">
              <w:r>
                <w:rPr>
                  <w:color w:val="0000FF"/>
                </w:rPr>
                <w:t>таблице 9.4</w:t>
              </w:r>
            </w:hyperlink>
            <w:r>
              <w:t>;</w:t>
            </w:r>
          </w:p>
          <w:p w:rsidR="00212513" w:rsidRDefault="00212513">
            <w:pPr>
              <w:pStyle w:val="ConsPlusNormal"/>
              <w:ind w:firstLine="283"/>
              <w:jc w:val="both"/>
            </w:pPr>
            <w:r>
              <w:rPr>
                <w:noProof/>
                <w:position w:val="-26"/>
              </w:rPr>
              <w:drawing>
                <wp:inline distT="0" distB="0" distL="0" distR="0">
                  <wp:extent cx="1156970" cy="470535"/>
                  <wp:effectExtent l="0" t="0" r="0" b="0"/>
                  <wp:docPr id="17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7" cstate="print">
                            <a:extLst>
                              <a:ext uri="{28A0092B-C50C-407E-A947-70E740481C1C}">
                                <a14:useLocalDpi xmlns:a14="http://schemas.microsoft.com/office/drawing/2010/main" val="0"/>
                              </a:ext>
                            </a:extLst>
                          </a:blip>
                          <a:srcRect/>
                          <a:stretch>
                            <a:fillRect/>
                          </a:stretch>
                        </pic:blipFill>
                        <pic:spPr bwMode="auto">
                          <a:xfrm>
                            <a:off x="0" y="0"/>
                            <a:ext cx="1156970" cy="470535"/>
                          </a:xfrm>
                          <a:prstGeom prst="rect">
                            <a:avLst/>
                          </a:prstGeom>
                          <a:noFill/>
                          <a:ln>
                            <a:noFill/>
                          </a:ln>
                        </pic:spPr>
                      </pic:pic>
                    </a:graphicData>
                  </a:graphic>
                </wp:inline>
              </w:drawing>
            </w:r>
            <w:r>
              <w:t xml:space="preserve">; </w:t>
            </w:r>
            <w:r>
              <w:rPr>
                <w:noProof/>
                <w:position w:val="-31"/>
              </w:rPr>
              <w:drawing>
                <wp:inline distT="0" distB="0" distL="0" distR="0">
                  <wp:extent cx="902970" cy="535940"/>
                  <wp:effectExtent l="0" t="0" r="0" b="0"/>
                  <wp:docPr id="17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8" cstate="print">
                            <a:extLst>
                              <a:ext uri="{28A0092B-C50C-407E-A947-70E740481C1C}">
                                <a14:useLocalDpi xmlns:a14="http://schemas.microsoft.com/office/drawing/2010/main" val="0"/>
                              </a:ext>
                            </a:extLst>
                          </a:blip>
                          <a:srcRect/>
                          <a:stretch>
                            <a:fillRect/>
                          </a:stretch>
                        </pic:blipFill>
                        <pic:spPr bwMode="auto">
                          <a:xfrm>
                            <a:off x="0" y="0"/>
                            <a:ext cx="902970" cy="535940"/>
                          </a:xfrm>
                          <a:prstGeom prst="rect">
                            <a:avLst/>
                          </a:prstGeom>
                          <a:noFill/>
                          <a:ln>
                            <a:noFill/>
                          </a:ln>
                        </pic:spPr>
                      </pic:pic>
                    </a:graphicData>
                  </a:graphic>
                </wp:inline>
              </w:drawing>
            </w:r>
            <w:r>
              <w:t xml:space="preserve">; </w:t>
            </w:r>
            <w:r>
              <w:rPr>
                <w:noProof/>
                <w:position w:val="-9"/>
              </w:rPr>
              <w:drawing>
                <wp:inline distT="0" distB="0" distL="0" distR="0">
                  <wp:extent cx="241935" cy="262890"/>
                  <wp:effectExtent l="0" t="0" r="0" b="0"/>
                  <wp:docPr id="17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9" cstate="print">
                            <a:extLst>
                              <a:ext uri="{28A0092B-C50C-407E-A947-70E740481C1C}">
                                <a14:useLocalDpi xmlns:a14="http://schemas.microsoft.com/office/drawing/2010/main" val="0"/>
                              </a:ext>
                            </a:extLst>
                          </a:blip>
                          <a:srcRect/>
                          <a:stretch>
                            <a:fillRect/>
                          </a:stretch>
                        </pic:blipFill>
                        <pic:spPr bwMode="auto">
                          <a:xfrm>
                            <a:off x="0" y="0"/>
                            <a:ext cx="241935" cy="262890"/>
                          </a:xfrm>
                          <a:prstGeom prst="rect">
                            <a:avLst/>
                          </a:prstGeom>
                          <a:noFill/>
                          <a:ln>
                            <a:noFill/>
                          </a:ln>
                        </pic:spPr>
                      </pic:pic>
                    </a:graphicData>
                  </a:graphic>
                </wp:inline>
              </w:drawing>
            </w:r>
            <w:r>
              <w:t xml:space="preserve"> - соответственно площадь, момент сопротивления и момент инерции поперечного сечения нетто стальной конструкции балки, работающей совместно с продольной арматурой площадью </w:t>
            </w:r>
            <w:r>
              <w:rPr>
                <w:noProof/>
                <w:position w:val="-8"/>
              </w:rPr>
              <w:drawing>
                <wp:inline distT="0" distB="0" distL="0" distR="0">
                  <wp:extent cx="511810" cy="251460"/>
                  <wp:effectExtent l="0" t="0" r="0" b="0"/>
                  <wp:docPr id="17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0" cstate="print">
                            <a:extLst>
                              <a:ext uri="{28A0092B-C50C-407E-A947-70E740481C1C}">
                                <a14:useLocalDpi xmlns:a14="http://schemas.microsoft.com/office/drawing/2010/main" val="0"/>
                              </a:ext>
                            </a:extLst>
                          </a:blip>
                          <a:srcRect/>
                          <a:stretch>
                            <a:fillRect/>
                          </a:stretch>
                        </pic:blipFill>
                        <pic:spPr bwMode="auto">
                          <a:xfrm>
                            <a:off x="0" y="0"/>
                            <a:ext cx="511810" cy="251460"/>
                          </a:xfrm>
                          <a:prstGeom prst="rect">
                            <a:avLst/>
                          </a:prstGeom>
                          <a:noFill/>
                          <a:ln>
                            <a:noFill/>
                          </a:ln>
                        </pic:spPr>
                      </pic:pic>
                    </a:graphicData>
                  </a:graphic>
                </wp:inline>
              </w:drawing>
            </w:r>
            <w:r>
              <w:t xml:space="preserve"> (приведенной к материалу стальной конструкции);</w:t>
            </w:r>
          </w:p>
        </w:tc>
      </w:tr>
      <w:tr w:rsidR="00212513">
        <w:tblPrEx>
          <w:tblBorders>
            <w:insideH w:val="nil"/>
          </w:tblBorders>
        </w:tblPrEx>
        <w:tc>
          <w:tcPr>
            <w:tcW w:w="9069"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8"/>
              <w:gridCol w:w="109"/>
              <w:gridCol w:w="8669"/>
              <w:gridCol w:w="109"/>
            </w:tblGrid>
            <w:tr w:rsidR="0021251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12513" w:rsidRDefault="0021251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12513" w:rsidRDefault="00212513">
                  <w:pPr>
                    <w:pStyle w:val="ConsPlusNormal"/>
                  </w:pPr>
                </w:p>
              </w:tc>
              <w:tc>
                <w:tcPr>
                  <w:tcW w:w="9068" w:type="dxa"/>
                  <w:tcBorders>
                    <w:top w:val="nil"/>
                    <w:left w:val="nil"/>
                    <w:bottom w:val="nil"/>
                    <w:right w:val="nil"/>
                  </w:tcBorders>
                  <w:shd w:val="clear" w:color="auto" w:fill="F4F3F8"/>
                  <w:tcMar>
                    <w:top w:w="113" w:type="dxa"/>
                    <w:left w:w="0" w:type="dxa"/>
                    <w:bottom w:w="113" w:type="dxa"/>
                    <w:right w:w="0" w:type="dxa"/>
                  </w:tcMar>
                </w:tcPr>
                <w:p w:rsidR="00212513" w:rsidRDefault="00212513">
                  <w:pPr>
                    <w:pStyle w:val="ConsPlusNormal"/>
                    <w:jc w:val="both"/>
                  </w:pPr>
                  <w:r>
                    <w:rPr>
                      <w:color w:val="392C69"/>
                    </w:rPr>
                    <w:t>КонсультантПлюс: примечание.</w:t>
                  </w:r>
                </w:p>
                <w:p w:rsidR="00212513" w:rsidRDefault="00212513">
                  <w:pPr>
                    <w:pStyle w:val="ConsPlusNormal"/>
                    <w:jc w:val="both"/>
                  </w:pPr>
                  <w:r>
                    <w:rPr>
                      <w:color w:val="392C69"/>
                    </w:rPr>
                    <w:t>В официальном тексте документа, видимо, допущена опечатка: рисунок 5.4 отсутствует. Возможно, имеется в виду рисунок 9.4.</w:t>
                  </w:r>
                </w:p>
              </w:tc>
              <w:tc>
                <w:tcPr>
                  <w:tcW w:w="113" w:type="dxa"/>
                  <w:tcBorders>
                    <w:top w:val="nil"/>
                    <w:left w:val="nil"/>
                    <w:bottom w:val="nil"/>
                    <w:right w:val="nil"/>
                  </w:tcBorders>
                  <w:shd w:val="clear" w:color="auto" w:fill="F4F3F8"/>
                  <w:tcMar>
                    <w:top w:w="0" w:type="dxa"/>
                    <w:left w:w="0" w:type="dxa"/>
                    <w:bottom w:w="0" w:type="dxa"/>
                    <w:right w:w="0" w:type="dxa"/>
                  </w:tcMar>
                </w:tcPr>
                <w:p w:rsidR="00212513" w:rsidRDefault="00212513">
                  <w:pPr>
                    <w:pStyle w:val="ConsPlusNormal"/>
                  </w:pPr>
                </w:p>
              </w:tc>
            </w:tr>
          </w:tbl>
          <w:p w:rsidR="00212513" w:rsidRDefault="00212513">
            <w:pPr>
              <w:pStyle w:val="ConsPlusNormal"/>
            </w:pPr>
          </w:p>
        </w:tc>
      </w:tr>
      <w:tr w:rsidR="00212513">
        <w:tblPrEx>
          <w:tblBorders>
            <w:insideH w:val="nil"/>
          </w:tblBorders>
        </w:tblPrEx>
        <w:tc>
          <w:tcPr>
            <w:tcW w:w="9069" w:type="dxa"/>
            <w:gridSpan w:val="3"/>
            <w:tcBorders>
              <w:top w:val="nil"/>
            </w:tcBorders>
          </w:tcPr>
          <w:p w:rsidR="00212513" w:rsidRDefault="00212513">
            <w:pPr>
              <w:pStyle w:val="ConsPlusNormal"/>
              <w:ind w:firstLine="283"/>
              <w:jc w:val="both"/>
            </w:pPr>
            <w:r>
              <w:rPr>
                <w:noProof/>
                <w:position w:val="-8"/>
              </w:rPr>
              <w:drawing>
                <wp:inline distT="0" distB="0" distL="0" distR="0">
                  <wp:extent cx="251460" cy="251460"/>
                  <wp:effectExtent l="0" t="0" r="0" b="0"/>
                  <wp:docPr id="17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1"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w:t>
            </w:r>
            <w:r>
              <w:rPr>
                <w:noProof/>
                <w:position w:val="-9"/>
              </w:rPr>
              <w:drawing>
                <wp:inline distT="0" distB="0" distL="0" distR="0">
                  <wp:extent cx="344805" cy="262890"/>
                  <wp:effectExtent l="0" t="0" r="0" b="0"/>
                  <wp:docPr id="17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2" cstate="print">
                            <a:extLst>
                              <a:ext uri="{28A0092B-C50C-407E-A947-70E740481C1C}">
                                <a14:useLocalDpi xmlns:a14="http://schemas.microsoft.com/office/drawing/2010/main" val="0"/>
                              </a:ext>
                            </a:extLst>
                          </a:blip>
                          <a:srcRect/>
                          <a:stretch>
                            <a:fillRect/>
                          </a:stretch>
                        </pic:blipFill>
                        <pic:spPr bwMode="auto">
                          <a:xfrm>
                            <a:off x="0" y="0"/>
                            <a:ext cx="344805" cy="262890"/>
                          </a:xfrm>
                          <a:prstGeom prst="rect">
                            <a:avLst/>
                          </a:prstGeom>
                          <a:noFill/>
                          <a:ln>
                            <a:noFill/>
                          </a:ln>
                        </pic:spPr>
                      </pic:pic>
                    </a:graphicData>
                  </a:graphic>
                </wp:inline>
              </w:drawing>
            </w:r>
            <w:r>
              <w:t xml:space="preserve">; </w:t>
            </w:r>
            <w:r>
              <w:rPr>
                <w:noProof/>
                <w:position w:val="-8"/>
              </w:rPr>
              <w:drawing>
                <wp:inline distT="0" distB="0" distL="0" distR="0">
                  <wp:extent cx="241935" cy="251460"/>
                  <wp:effectExtent l="0" t="0" r="0" b="0"/>
                  <wp:docPr id="17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3"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w:t>
            </w:r>
            <w:r>
              <w:rPr>
                <w:noProof/>
                <w:position w:val="-9"/>
              </w:rPr>
              <w:drawing>
                <wp:inline distT="0" distB="0" distL="0" distR="0">
                  <wp:extent cx="344805" cy="262890"/>
                  <wp:effectExtent l="0" t="0" r="0" b="0"/>
                  <wp:docPr id="17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4" cstate="print">
                            <a:extLst>
                              <a:ext uri="{28A0092B-C50C-407E-A947-70E740481C1C}">
                                <a14:useLocalDpi xmlns:a14="http://schemas.microsoft.com/office/drawing/2010/main" val="0"/>
                              </a:ext>
                            </a:extLst>
                          </a:blip>
                          <a:srcRect/>
                          <a:stretch>
                            <a:fillRect/>
                          </a:stretch>
                        </pic:blipFill>
                        <pic:spPr bwMode="auto">
                          <a:xfrm>
                            <a:off x="0" y="0"/>
                            <a:ext cx="344805" cy="262890"/>
                          </a:xfrm>
                          <a:prstGeom prst="rect">
                            <a:avLst/>
                          </a:prstGeom>
                          <a:noFill/>
                          <a:ln>
                            <a:noFill/>
                          </a:ln>
                        </pic:spPr>
                      </pic:pic>
                    </a:graphicData>
                  </a:graphic>
                </wp:inline>
              </w:drawing>
            </w:r>
            <w:r>
              <w:t xml:space="preserve"> - расстояния по </w:t>
            </w:r>
            <w:hyperlink w:anchor="P9936">
              <w:r>
                <w:rPr>
                  <w:color w:val="0000FF"/>
                </w:rPr>
                <w:t>рисунку 5.4</w:t>
              </w:r>
            </w:hyperlink>
            <w:r>
              <w:t>;</w:t>
            </w:r>
          </w:p>
          <w:p w:rsidR="00212513" w:rsidRDefault="00212513">
            <w:pPr>
              <w:pStyle w:val="ConsPlusNormal"/>
              <w:ind w:firstLine="283"/>
              <w:jc w:val="both"/>
            </w:pPr>
            <w:r>
              <w:rPr>
                <w:noProof/>
                <w:position w:val="-8"/>
              </w:rPr>
              <w:drawing>
                <wp:inline distT="0" distB="0" distL="0" distR="0">
                  <wp:extent cx="859790" cy="251460"/>
                  <wp:effectExtent l="0" t="0" r="0" b="0"/>
                  <wp:docPr id="17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5" cstate="print">
                            <a:extLst>
                              <a:ext uri="{28A0092B-C50C-407E-A947-70E740481C1C}">
                                <a14:useLocalDpi xmlns:a14="http://schemas.microsoft.com/office/drawing/2010/main" val="0"/>
                              </a:ext>
                            </a:extLst>
                          </a:blip>
                          <a:srcRect/>
                          <a:stretch>
                            <a:fillRect/>
                          </a:stretch>
                        </pic:blipFill>
                        <pic:spPr bwMode="auto">
                          <a:xfrm>
                            <a:off x="0" y="0"/>
                            <a:ext cx="859790" cy="251460"/>
                          </a:xfrm>
                          <a:prstGeom prst="rect">
                            <a:avLst/>
                          </a:prstGeom>
                          <a:noFill/>
                          <a:ln>
                            <a:noFill/>
                          </a:ln>
                        </pic:spPr>
                      </pic:pic>
                    </a:graphicData>
                  </a:graphic>
                </wp:inline>
              </w:drawing>
            </w:r>
            <w:r>
              <w:t xml:space="preserve"> - поправочный коэффициент, принимаемый не менее 1,0;</w:t>
            </w:r>
          </w:p>
          <w:p w:rsidR="00212513" w:rsidRDefault="00212513">
            <w:pPr>
              <w:pStyle w:val="ConsPlusNormal"/>
              <w:ind w:firstLine="283"/>
              <w:jc w:val="both"/>
            </w:pPr>
            <w:r>
              <w:rPr>
                <w:noProof/>
                <w:position w:val="-27"/>
              </w:rPr>
              <w:drawing>
                <wp:inline distT="0" distB="0" distL="0" distR="0">
                  <wp:extent cx="1257300" cy="494030"/>
                  <wp:effectExtent l="0" t="0" r="0" b="0"/>
                  <wp:docPr id="17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6" cstate="print">
                            <a:extLst>
                              <a:ext uri="{28A0092B-C50C-407E-A947-70E740481C1C}">
                                <a14:useLocalDpi xmlns:a14="http://schemas.microsoft.com/office/drawing/2010/main" val="0"/>
                              </a:ext>
                            </a:extLst>
                          </a:blip>
                          <a:srcRect/>
                          <a:stretch>
                            <a:fillRect/>
                          </a:stretch>
                        </pic:blipFill>
                        <pic:spPr bwMode="auto">
                          <a:xfrm>
                            <a:off x="0" y="0"/>
                            <a:ext cx="1257300" cy="494030"/>
                          </a:xfrm>
                          <a:prstGeom prst="rect">
                            <a:avLst/>
                          </a:prstGeom>
                          <a:noFill/>
                          <a:ln>
                            <a:noFill/>
                          </a:ln>
                        </pic:spPr>
                      </pic:pic>
                    </a:graphicData>
                  </a:graphic>
                </wp:inline>
              </w:drawing>
            </w:r>
            <w:r>
              <w:t xml:space="preserve"> - коэффициент условий работы верхнего стального пояса, принимаемый не более 1,2.</w:t>
            </w:r>
          </w:p>
        </w:tc>
      </w:tr>
    </w:tbl>
    <w:p w:rsidR="00212513" w:rsidRDefault="00212513">
      <w:pPr>
        <w:pStyle w:val="ConsPlusNormal"/>
        <w:ind w:firstLine="540"/>
        <w:jc w:val="both"/>
      </w:pPr>
    </w:p>
    <w:p w:rsidR="00212513" w:rsidRDefault="00212513">
      <w:pPr>
        <w:pStyle w:val="ConsPlusNormal"/>
        <w:ind w:firstLine="540"/>
        <w:jc w:val="both"/>
      </w:pPr>
      <w:r>
        <w:rPr>
          <w:i/>
        </w:rPr>
        <w:t xml:space="preserve">Обозначения, принятые в </w:t>
      </w:r>
      <w:hyperlink w:anchor="P9508">
        <w:r>
          <w:rPr>
            <w:i/>
            <w:color w:val="0000FF"/>
          </w:rPr>
          <w:t>таблицах 9.4</w:t>
        </w:r>
      </w:hyperlink>
      <w:r>
        <w:rPr>
          <w:i/>
        </w:rPr>
        <w:t xml:space="preserve"> - </w:t>
      </w:r>
      <w:hyperlink w:anchor="P9885">
        <w:r>
          <w:rPr>
            <w:i/>
            <w:color w:val="0000FF"/>
          </w:rPr>
          <w:t>9.6</w:t>
        </w:r>
      </w:hyperlink>
      <w:r>
        <w:rPr>
          <w:i/>
        </w:rPr>
        <w:t>:</w:t>
      </w:r>
    </w:p>
    <w:p w:rsidR="00212513" w:rsidRDefault="00212513">
      <w:pPr>
        <w:pStyle w:val="ConsPlusNormal"/>
        <w:spacing w:before="220"/>
        <w:ind w:firstLine="540"/>
        <w:jc w:val="both"/>
      </w:pPr>
      <w:r>
        <w:rPr>
          <w:noProof/>
          <w:position w:val="-8"/>
        </w:rPr>
        <w:drawing>
          <wp:inline distT="0" distB="0" distL="0" distR="0">
            <wp:extent cx="1550670" cy="251460"/>
            <wp:effectExtent l="0" t="0" r="0" b="0"/>
            <wp:docPr id="17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7" cstate="print">
                      <a:extLst>
                        <a:ext uri="{28A0092B-C50C-407E-A947-70E740481C1C}">
                          <a14:useLocalDpi xmlns:a14="http://schemas.microsoft.com/office/drawing/2010/main" val="0"/>
                        </a:ext>
                      </a:extLst>
                    </a:blip>
                    <a:srcRect/>
                    <a:stretch>
                      <a:fillRect/>
                    </a:stretch>
                  </pic:blipFill>
                  <pic:spPr bwMode="auto">
                    <a:xfrm>
                      <a:off x="0" y="0"/>
                      <a:ext cx="1550670" cy="251460"/>
                    </a:xfrm>
                    <a:prstGeom prst="rect">
                      <a:avLst/>
                    </a:prstGeom>
                    <a:noFill/>
                    <a:ln>
                      <a:noFill/>
                    </a:ln>
                  </pic:spPr>
                </pic:pic>
              </a:graphicData>
            </a:graphic>
          </wp:inline>
        </w:drawing>
      </w:r>
      <w:r>
        <w:t xml:space="preserve"> - в случаях А и Г;</w:t>
      </w:r>
    </w:p>
    <w:p w:rsidR="00212513" w:rsidRDefault="00212513">
      <w:pPr>
        <w:pStyle w:val="ConsPlusNormal"/>
        <w:spacing w:before="220"/>
        <w:ind w:firstLine="540"/>
        <w:jc w:val="both"/>
      </w:pPr>
      <w:r>
        <w:rPr>
          <w:noProof/>
          <w:position w:val="-9"/>
        </w:rPr>
        <w:drawing>
          <wp:inline distT="0" distB="0" distL="0" distR="0">
            <wp:extent cx="1647825" cy="262890"/>
            <wp:effectExtent l="0" t="0" r="0" b="0"/>
            <wp:docPr id="17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8" cstate="print">
                      <a:extLst>
                        <a:ext uri="{28A0092B-C50C-407E-A947-70E740481C1C}">
                          <a14:useLocalDpi xmlns:a14="http://schemas.microsoft.com/office/drawing/2010/main" val="0"/>
                        </a:ext>
                      </a:extLst>
                    </a:blip>
                    <a:srcRect/>
                    <a:stretch>
                      <a:fillRect/>
                    </a:stretch>
                  </pic:blipFill>
                  <pic:spPr bwMode="auto">
                    <a:xfrm>
                      <a:off x="0" y="0"/>
                      <a:ext cx="1647825" cy="262890"/>
                    </a:xfrm>
                    <a:prstGeom prst="rect">
                      <a:avLst/>
                    </a:prstGeom>
                    <a:noFill/>
                    <a:ln>
                      <a:noFill/>
                    </a:ln>
                  </pic:spPr>
                </pic:pic>
              </a:graphicData>
            </a:graphic>
          </wp:inline>
        </w:drawing>
      </w:r>
      <w:r>
        <w:t xml:space="preserve"> - в случае Б при проверке нижнего пояса;</w:t>
      </w:r>
    </w:p>
    <w:p w:rsidR="00212513" w:rsidRDefault="00212513">
      <w:pPr>
        <w:pStyle w:val="ConsPlusNormal"/>
        <w:spacing w:before="220"/>
        <w:ind w:firstLine="540"/>
        <w:jc w:val="both"/>
      </w:pPr>
      <w:r>
        <w:rPr>
          <w:noProof/>
          <w:position w:val="-9"/>
        </w:rPr>
        <w:drawing>
          <wp:inline distT="0" distB="0" distL="0" distR="0">
            <wp:extent cx="1647825" cy="262890"/>
            <wp:effectExtent l="0" t="0" r="0" b="0"/>
            <wp:docPr id="17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9" cstate="print">
                      <a:extLst>
                        <a:ext uri="{28A0092B-C50C-407E-A947-70E740481C1C}">
                          <a14:useLocalDpi xmlns:a14="http://schemas.microsoft.com/office/drawing/2010/main" val="0"/>
                        </a:ext>
                      </a:extLst>
                    </a:blip>
                    <a:srcRect/>
                    <a:stretch>
                      <a:fillRect/>
                    </a:stretch>
                  </pic:blipFill>
                  <pic:spPr bwMode="auto">
                    <a:xfrm>
                      <a:off x="0" y="0"/>
                      <a:ext cx="1647825" cy="262890"/>
                    </a:xfrm>
                    <a:prstGeom prst="rect">
                      <a:avLst/>
                    </a:prstGeom>
                    <a:noFill/>
                    <a:ln>
                      <a:noFill/>
                    </a:ln>
                  </pic:spPr>
                </pic:pic>
              </a:graphicData>
            </a:graphic>
          </wp:inline>
        </w:drawing>
      </w:r>
      <w:r>
        <w:t xml:space="preserve"> - в случае Б при проверке верхнего пояса, а также в случае В;</w:t>
      </w:r>
    </w:p>
    <w:p w:rsidR="00212513" w:rsidRDefault="00212513">
      <w:pPr>
        <w:pStyle w:val="ConsPlusNormal"/>
        <w:spacing w:before="220"/>
        <w:ind w:firstLine="540"/>
        <w:jc w:val="both"/>
      </w:pPr>
      <w:r>
        <w:rPr>
          <w:noProof/>
          <w:position w:val="-9"/>
        </w:rPr>
        <w:drawing>
          <wp:inline distT="0" distB="0" distL="0" distR="0">
            <wp:extent cx="1089025" cy="262890"/>
            <wp:effectExtent l="0" t="0" r="0" b="0"/>
            <wp:docPr id="17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0" cstate="print">
                      <a:extLst>
                        <a:ext uri="{28A0092B-C50C-407E-A947-70E740481C1C}">
                          <a14:useLocalDpi xmlns:a14="http://schemas.microsoft.com/office/drawing/2010/main" val="0"/>
                        </a:ext>
                      </a:extLst>
                    </a:blip>
                    <a:srcRect/>
                    <a:stretch>
                      <a:fillRect/>
                    </a:stretch>
                  </pic:blipFill>
                  <pic:spPr bwMode="auto">
                    <a:xfrm>
                      <a:off x="0" y="0"/>
                      <a:ext cx="1089025" cy="262890"/>
                    </a:xfrm>
                    <a:prstGeom prst="rect">
                      <a:avLst/>
                    </a:prstGeom>
                    <a:noFill/>
                    <a:ln>
                      <a:noFill/>
                    </a:ln>
                  </pic:spPr>
                </pic:pic>
              </a:graphicData>
            </a:graphic>
          </wp:inline>
        </w:drawing>
      </w:r>
      <w:r>
        <w:t xml:space="preserve"> - в случае Д при проверке верхнего пояса;</w:t>
      </w:r>
    </w:p>
    <w:p w:rsidR="00212513" w:rsidRDefault="00212513">
      <w:pPr>
        <w:pStyle w:val="ConsPlusNormal"/>
        <w:spacing w:before="220"/>
        <w:ind w:firstLine="540"/>
        <w:jc w:val="both"/>
      </w:pPr>
      <w:r>
        <w:rPr>
          <w:noProof/>
          <w:position w:val="-9"/>
        </w:rPr>
        <w:drawing>
          <wp:inline distT="0" distB="0" distL="0" distR="0">
            <wp:extent cx="1047750" cy="262890"/>
            <wp:effectExtent l="0" t="0" r="0" b="0"/>
            <wp:docPr id="17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1" cstate="print">
                      <a:extLst>
                        <a:ext uri="{28A0092B-C50C-407E-A947-70E740481C1C}">
                          <a14:useLocalDpi xmlns:a14="http://schemas.microsoft.com/office/drawing/2010/main" val="0"/>
                        </a:ext>
                      </a:extLst>
                    </a:blip>
                    <a:srcRect/>
                    <a:stretch>
                      <a:fillRect/>
                    </a:stretch>
                  </pic:blipFill>
                  <pic:spPr bwMode="auto">
                    <a:xfrm>
                      <a:off x="0" y="0"/>
                      <a:ext cx="1047750" cy="262890"/>
                    </a:xfrm>
                    <a:prstGeom prst="rect">
                      <a:avLst/>
                    </a:prstGeom>
                    <a:noFill/>
                    <a:ln>
                      <a:noFill/>
                    </a:ln>
                  </pic:spPr>
                </pic:pic>
              </a:graphicData>
            </a:graphic>
          </wp:inline>
        </w:drawing>
      </w:r>
      <w:r>
        <w:t xml:space="preserve">, но не более </w:t>
      </w:r>
      <w:r>
        <w:rPr>
          <w:noProof/>
          <w:position w:val="-8"/>
        </w:rPr>
        <w:drawing>
          <wp:inline distT="0" distB="0" distL="0" distR="0">
            <wp:extent cx="346075" cy="251460"/>
            <wp:effectExtent l="0" t="0" r="0" b="0"/>
            <wp:docPr id="18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2" cstate="print">
                      <a:extLst>
                        <a:ext uri="{28A0092B-C50C-407E-A947-70E740481C1C}">
                          <a14:useLocalDpi xmlns:a14="http://schemas.microsoft.com/office/drawing/2010/main" val="0"/>
                        </a:ext>
                      </a:extLst>
                    </a:blip>
                    <a:srcRect/>
                    <a:stretch>
                      <a:fillRect/>
                    </a:stretch>
                  </pic:blipFill>
                  <pic:spPr bwMode="auto">
                    <a:xfrm>
                      <a:off x="0" y="0"/>
                      <a:ext cx="346075" cy="251460"/>
                    </a:xfrm>
                    <a:prstGeom prst="rect">
                      <a:avLst/>
                    </a:prstGeom>
                    <a:noFill/>
                    <a:ln>
                      <a:noFill/>
                    </a:ln>
                  </pic:spPr>
                </pic:pic>
              </a:graphicData>
            </a:graphic>
          </wp:inline>
        </w:drawing>
      </w:r>
      <w:r>
        <w:t xml:space="preserve"> - в случае Д при проверке нижнего пояса.</w:t>
      </w:r>
    </w:p>
    <w:p w:rsidR="00212513" w:rsidRDefault="00212513">
      <w:pPr>
        <w:pStyle w:val="ConsPlusNormal"/>
        <w:spacing w:before="220"/>
        <w:ind w:firstLine="540"/>
        <w:jc w:val="both"/>
      </w:pPr>
      <w:r>
        <w:t>Примечания</w:t>
      </w:r>
    </w:p>
    <w:p w:rsidR="00212513" w:rsidRDefault="00212513">
      <w:pPr>
        <w:pStyle w:val="ConsPlusNormal"/>
        <w:spacing w:before="220"/>
        <w:ind w:firstLine="540"/>
        <w:jc w:val="both"/>
      </w:pPr>
      <w:r>
        <w:t xml:space="preserve">1 Случаи А, Б и В следует принимать по </w:t>
      </w:r>
      <w:hyperlink w:anchor="P9570">
        <w:r>
          <w:rPr>
            <w:color w:val="0000FF"/>
          </w:rPr>
          <w:t>9.19 (рисунок 9.3)</w:t>
        </w:r>
      </w:hyperlink>
      <w:r>
        <w:t xml:space="preserve">, Г и Д - по </w:t>
      </w:r>
      <w:hyperlink w:anchor="P9936">
        <w:r>
          <w:rPr>
            <w:color w:val="0000FF"/>
          </w:rPr>
          <w:t>9.21 (рисунок 9.4)</w:t>
        </w:r>
      </w:hyperlink>
      <w:r>
        <w:t>.</w:t>
      </w:r>
    </w:p>
    <w:p w:rsidR="00212513" w:rsidRDefault="00212513">
      <w:pPr>
        <w:pStyle w:val="ConsPlusNormal"/>
        <w:spacing w:before="220"/>
        <w:ind w:firstLine="540"/>
        <w:jc w:val="both"/>
      </w:pPr>
      <w:r>
        <w:t xml:space="preserve">2 Здесь </w:t>
      </w:r>
      <w:r>
        <w:rPr>
          <w:i/>
        </w:rPr>
        <w:t>A</w:t>
      </w:r>
      <w:r>
        <w:rPr>
          <w:i/>
          <w:vertAlign w:val="subscript"/>
        </w:rPr>
        <w:t>S</w:t>
      </w:r>
      <w:r>
        <w:rPr>
          <w:vertAlign w:val="subscript"/>
        </w:rPr>
        <w:t>min</w:t>
      </w:r>
      <w:r>
        <w:t xml:space="preserve"> - меньший по площади пояс стальной балки, </w:t>
      </w:r>
      <w:r>
        <w:rPr>
          <w:i/>
        </w:rPr>
        <w:t>A</w:t>
      </w:r>
      <w:r>
        <w:rPr>
          <w:i/>
          <w:vertAlign w:val="subscript"/>
        </w:rPr>
        <w:t>s</w:t>
      </w:r>
      <w:r>
        <w:rPr>
          <w:vertAlign w:val="subscript"/>
        </w:rPr>
        <w:t>max</w:t>
      </w:r>
      <w:r>
        <w:t xml:space="preserve"> - больший по площади пояс стальной балки.</w:t>
      </w:r>
    </w:p>
    <w:p w:rsidR="00212513" w:rsidRDefault="00212513">
      <w:pPr>
        <w:pStyle w:val="ConsPlusNormal"/>
        <w:jc w:val="both"/>
      </w:pPr>
      <w:r>
        <w:t xml:space="preserve">(примечание 2 в ред. </w:t>
      </w:r>
      <w:hyperlink r:id="rId2343">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lastRenderedPageBreak/>
        <w:t xml:space="preserve">3 Над чертой даны значения </w:t>
      </w:r>
      <w:r>
        <w:rPr>
          <w:noProof/>
          <w:position w:val="-3"/>
        </w:rPr>
        <w:drawing>
          <wp:inline distT="0" distB="0" distL="0" distR="0">
            <wp:extent cx="137160" cy="177800"/>
            <wp:effectExtent l="0" t="0" r="0" b="0"/>
            <wp:docPr id="18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4" cstate="print">
                      <a:extLst>
                        <a:ext uri="{28A0092B-C50C-407E-A947-70E740481C1C}">
                          <a14:useLocalDpi xmlns:a14="http://schemas.microsoft.com/office/drawing/2010/main" val="0"/>
                        </a:ext>
                      </a:extLst>
                    </a:blip>
                    <a:srcRect/>
                    <a:stretch>
                      <a:fillRect/>
                    </a:stretch>
                  </pic:blipFill>
                  <pic:spPr bwMode="auto">
                    <a:xfrm>
                      <a:off x="0" y="0"/>
                      <a:ext cx="137160" cy="177800"/>
                    </a:xfrm>
                    <a:prstGeom prst="rect">
                      <a:avLst/>
                    </a:prstGeom>
                    <a:noFill/>
                    <a:ln>
                      <a:noFill/>
                    </a:ln>
                  </pic:spPr>
                </pic:pic>
              </a:graphicData>
            </a:graphic>
          </wp:inline>
        </w:drawing>
      </w:r>
      <w:r>
        <w:t xml:space="preserve"> для случая, когда напряжения от момента и осевой силы суммируются в меньшем по площади поясе стальной балки; под чертой - для случая, когда напряжения от момента и осевой силы суммируются в большем по площади поясе стальной балки.</w:t>
      </w:r>
    </w:p>
    <w:p w:rsidR="00212513" w:rsidRDefault="00212513">
      <w:pPr>
        <w:pStyle w:val="ConsPlusNormal"/>
        <w:spacing w:before="220"/>
        <w:ind w:firstLine="540"/>
        <w:jc w:val="both"/>
      </w:pPr>
      <w:r>
        <w:t>4 Нормальную силу N следует принимать растягивающей стальную балку при сжимающих напряжениях в железобетонной плите и сжимающей стальную балку при растягивающих напряжениях в железобетонной плите и арматуре (в формулы силу N в обоих случаях необходимо подставлять со знаком "плюс").</w:t>
      </w:r>
    </w:p>
    <w:p w:rsidR="00212513" w:rsidRDefault="00212513">
      <w:pPr>
        <w:pStyle w:val="ConsPlusNormal"/>
        <w:ind w:firstLine="540"/>
        <w:jc w:val="both"/>
      </w:pPr>
    </w:p>
    <w:p w:rsidR="00212513" w:rsidRDefault="00212513">
      <w:pPr>
        <w:pStyle w:val="ConsPlusNormal"/>
        <w:ind w:firstLine="540"/>
        <w:jc w:val="both"/>
      </w:pPr>
      <w:r>
        <w:t xml:space="preserve">9.20 При расположении нейтральной оси сечения в пределах высоты железобетонной плиты и напряжениях в растянутой части плиты, превосходящих </w:t>
      </w:r>
      <w:r>
        <w:rPr>
          <w:noProof/>
          <w:position w:val="-8"/>
        </w:rPr>
        <w:drawing>
          <wp:inline distT="0" distB="0" distL="0" distR="0">
            <wp:extent cx="408940" cy="251460"/>
            <wp:effectExtent l="0" t="0" r="0" b="0"/>
            <wp:docPr id="18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5" cstate="print">
                      <a:extLst>
                        <a:ext uri="{28A0092B-C50C-407E-A947-70E740481C1C}">
                          <a14:useLocalDpi xmlns:a14="http://schemas.microsoft.com/office/drawing/2010/main" val="0"/>
                        </a:ext>
                      </a:extLst>
                    </a:blip>
                    <a:srcRect/>
                    <a:stretch>
                      <a:fillRect/>
                    </a:stretch>
                  </pic:blipFill>
                  <pic:spPr bwMode="auto">
                    <a:xfrm>
                      <a:off x="0" y="0"/>
                      <a:ext cx="408940" cy="251460"/>
                    </a:xfrm>
                    <a:prstGeom prst="rect">
                      <a:avLst/>
                    </a:prstGeom>
                    <a:noFill/>
                    <a:ln>
                      <a:noFill/>
                    </a:ln>
                  </pic:spPr>
                </pic:pic>
              </a:graphicData>
            </a:graphic>
          </wp:inline>
        </w:drawing>
      </w:r>
      <w:r>
        <w:t xml:space="preserve"> по </w:t>
      </w:r>
      <w:hyperlink w:anchor="P2341">
        <w:r>
          <w:rPr>
            <w:color w:val="0000FF"/>
          </w:rPr>
          <w:t>7.24</w:t>
        </w:r>
      </w:hyperlink>
      <w:r>
        <w:t xml:space="preserve"> и </w:t>
      </w:r>
      <w:hyperlink w:anchor="P2479">
        <w:r>
          <w:rPr>
            <w:color w:val="0000FF"/>
          </w:rPr>
          <w:t>7.25</w:t>
        </w:r>
      </w:hyperlink>
      <w:r>
        <w:t>, в состав сечения следует включать только сжатую часть бетона. Проверку прочности сечения следует выполнять с учетом неравномерного распределения напряжений по высоте железобетонной плиты.</w:t>
      </w:r>
    </w:p>
    <w:p w:rsidR="00212513" w:rsidRDefault="00212513">
      <w:pPr>
        <w:pStyle w:val="ConsPlusNormal"/>
        <w:spacing w:before="220"/>
        <w:ind w:firstLine="540"/>
        <w:jc w:val="both"/>
      </w:pPr>
      <w:bookmarkStart w:id="423" w:name="P9932"/>
      <w:bookmarkEnd w:id="423"/>
      <w:r>
        <w:t xml:space="preserve">9.21 Расчет сталежелезобетонной балки на воздействие отрицательного изгибающего момента (вызывающего в верхнем поясе растяжение) следует выполнять по формулам </w:t>
      </w:r>
      <w:hyperlink w:anchor="P9885">
        <w:r>
          <w:rPr>
            <w:color w:val="0000FF"/>
          </w:rPr>
          <w:t>таблицы 9.6</w:t>
        </w:r>
      </w:hyperlink>
      <w:r>
        <w:t xml:space="preserve"> по одному из расчетных случаев Г или Д </w:t>
      </w:r>
      <w:hyperlink w:anchor="P9936">
        <w:r>
          <w:rPr>
            <w:color w:val="0000FF"/>
          </w:rPr>
          <w:t>(рисунок 9.4)</w:t>
        </w:r>
      </w:hyperlink>
      <w:r>
        <w:t xml:space="preserve"> в зависимости от величины напряжения в бетоне </w:t>
      </w:r>
      <w:r>
        <w:rPr>
          <w:noProof/>
          <w:position w:val="-8"/>
        </w:rPr>
        <w:drawing>
          <wp:inline distT="0" distB="0" distL="0" distR="0">
            <wp:extent cx="209550" cy="251460"/>
            <wp:effectExtent l="0" t="0" r="0" b="0"/>
            <wp:docPr id="18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на уровне центра тяжести железобетонной плиты.</w:t>
      </w:r>
    </w:p>
    <w:p w:rsidR="00212513" w:rsidRDefault="00212513">
      <w:pPr>
        <w:pStyle w:val="ConsPlusNormal"/>
        <w:ind w:firstLine="540"/>
        <w:jc w:val="both"/>
      </w:pPr>
    </w:p>
    <w:p w:rsidR="00212513" w:rsidRDefault="00212513">
      <w:pPr>
        <w:pStyle w:val="ConsPlusNormal"/>
        <w:jc w:val="center"/>
      </w:pPr>
      <w:r>
        <w:rPr>
          <w:noProof/>
          <w:position w:val="-189"/>
        </w:rPr>
        <w:drawing>
          <wp:inline distT="0" distB="0" distL="0" distR="0">
            <wp:extent cx="5411470" cy="2551430"/>
            <wp:effectExtent l="0" t="0" r="0" b="0"/>
            <wp:docPr id="18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7" cstate="print">
                      <a:extLst>
                        <a:ext uri="{28A0092B-C50C-407E-A947-70E740481C1C}">
                          <a14:useLocalDpi xmlns:a14="http://schemas.microsoft.com/office/drawing/2010/main" val="0"/>
                        </a:ext>
                      </a:extLst>
                    </a:blip>
                    <a:srcRect/>
                    <a:stretch>
                      <a:fillRect/>
                    </a:stretch>
                  </pic:blipFill>
                  <pic:spPr bwMode="auto">
                    <a:xfrm>
                      <a:off x="0" y="0"/>
                      <a:ext cx="5411470" cy="2551430"/>
                    </a:xfrm>
                    <a:prstGeom prst="rect">
                      <a:avLst/>
                    </a:prstGeom>
                    <a:noFill/>
                    <a:ln>
                      <a:noFill/>
                    </a:ln>
                  </pic:spPr>
                </pic:pic>
              </a:graphicData>
            </a:graphic>
          </wp:inline>
        </w:drawing>
      </w:r>
    </w:p>
    <w:p w:rsidR="00212513" w:rsidRDefault="00212513">
      <w:pPr>
        <w:pStyle w:val="ConsPlusNormal"/>
        <w:ind w:firstLine="540"/>
        <w:jc w:val="both"/>
      </w:pPr>
    </w:p>
    <w:p w:rsidR="00212513" w:rsidRDefault="00212513">
      <w:pPr>
        <w:pStyle w:val="ConsPlusNormal"/>
        <w:jc w:val="center"/>
      </w:pPr>
      <w:bookmarkStart w:id="424" w:name="P9936"/>
      <w:bookmarkEnd w:id="424"/>
      <w:r>
        <w:rPr>
          <w:b/>
          <w:i/>
        </w:rPr>
        <w:t>Рисунок 9.4</w:t>
      </w:r>
      <w:r>
        <w:t xml:space="preserve"> </w:t>
      </w:r>
      <w:r>
        <w:rPr>
          <w:b/>
        </w:rPr>
        <w:t>- Усилия и напряжения</w:t>
      </w:r>
    </w:p>
    <w:p w:rsidR="00212513" w:rsidRDefault="00212513">
      <w:pPr>
        <w:pStyle w:val="ConsPlusNormal"/>
        <w:jc w:val="center"/>
      </w:pPr>
      <w:r>
        <w:rPr>
          <w:b/>
        </w:rPr>
        <w:t>в сталежелезобетонном поперечном сечении,</w:t>
      </w:r>
    </w:p>
    <w:p w:rsidR="00212513" w:rsidRDefault="00212513">
      <w:pPr>
        <w:pStyle w:val="ConsPlusNormal"/>
        <w:jc w:val="center"/>
      </w:pPr>
      <w:r>
        <w:rPr>
          <w:b/>
        </w:rPr>
        <w:t>воспринимающем отрицательный изгибающий момент</w:t>
      </w:r>
    </w:p>
    <w:p w:rsidR="00212513" w:rsidRDefault="00212513">
      <w:pPr>
        <w:pStyle w:val="ConsPlusNormal"/>
        <w:ind w:firstLine="540"/>
        <w:jc w:val="both"/>
      </w:pPr>
    </w:p>
    <w:p w:rsidR="00212513" w:rsidRDefault="00212513">
      <w:pPr>
        <w:pStyle w:val="ConsPlusNormal"/>
        <w:ind w:firstLine="540"/>
        <w:jc w:val="both"/>
      </w:pPr>
      <w:r>
        <w:t xml:space="preserve">9.22 Расчет по прочности более сложных сечений (например, напрягаемых высокопрочной арматурой, двухплитных, при совместном действии изгибающего момента и внешней осевой силы) следует выполнять с учетом их напряженного состояния и конструктивных особенностей в соответствии с </w:t>
      </w:r>
      <w:hyperlink w:anchor="P9506">
        <w:r>
          <w:rPr>
            <w:color w:val="0000FF"/>
          </w:rPr>
          <w:t>9.19</w:t>
        </w:r>
      </w:hyperlink>
      <w:r>
        <w:t xml:space="preserve"> - </w:t>
      </w:r>
      <w:hyperlink w:anchor="P9932">
        <w:r>
          <w:rPr>
            <w:color w:val="0000FF"/>
          </w:rPr>
          <w:t>9.21</w:t>
        </w:r>
      </w:hyperlink>
      <w:r>
        <w:t>.</w:t>
      </w:r>
    </w:p>
    <w:p w:rsidR="00212513" w:rsidRDefault="00212513">
      <w:pPr>
        <w:pStyle w:val="ConsPlusNormal"/>
        <w:spacing w:before="220"/>
        <w:ind w:firstLine="540"/>
        <w:jc w:val="both"/>
      </w:pPr>
      <w:r>
        <w:t>Для сечения с высокопрочной арматурой усилия предварительного напряжения следует учитывать на стадии натяжения арматуры как внешнюю нагрузку. На последующих стадиях работы при определении разгружающих усилий N высокопрочную арматуру следует учитывать с бетоном и ненапрягаемой продольной арматурой, при этом необходимо дополнительно выполнить проверку прочности высокопрочной арматуры. В случае Д высокопрочную арматуру следует проверять с учетом увеличения усилия в ней при ограниченном развитии пластических деформаций в стальной конструкции.</w:t>
      </w:r>
    </w:p>
    <w:p w:rsidR="00212513" w:rsidRDefault="00212513">
      <w:pPr>
        <w:pStyle w:val="ConsPlusNormal"/>
        <w:spacing w:before="220"/>
        <w:ind w:firstLine="540"/>
        <w:jc w:val="both"/>
      </w:pPr>
      <w:r>
        <w:lastRenderedPageBreak/>
        <w:t xml:space="preserve">При действии на сечение наряду с изгибающими моментами </w:t>
      </w:r>
      <w:r>
        <w:rPr>
          <w:i/>
        </w:rPr>
        <w:t>M</w:t>
      </w:r>
      <w:r>
        <w:t xml:space="preserve"> также внешних осевых усилий </w:t>
      </w:r>
      <w:r>
        <w:rPr>
          <w:noProof/>
          <w:position w:val="-8"/>
        </w:rPr>
        <w:drawing>
          <wp:inline distT="0" distB="0" distL="0" distR="0">
            <wp:extent cx="220980" cy="251460"/>
            <wp:effectExtent l="0" t="0" r="0" b="0"/>
            <wp:docPr id="18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8"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следует учитывать дополнительные изгибающие моменты, возникающие от изменения положения центра тяжести рассматриваемой части сечения.</w:t>
      </w:r>
    </w:p>
    <w:p w:rsidR="00212513" w:rsidRDefault="00212513">
      <w:pPr>
        <w:pStyle w:val="ConsPlusNormal"/>
        <w:spacing w:before="220"/>
        <w:ind w:firstLine="540"/>
        <w:jc w:val="both"/>
      </w:pPr>
      <w:r>
        <w:t xml:space="preserve">9.23 Расчет по прочности сечений с железобетонной плитой, работающей на местный изгиб в продольном направлении, следует выполнять по расчетным случаям А, Б, В, Г и Д, при этом плиту в случаях Б, В и Д необходимо рассчитывать по предельному равновесию как внецентренно сжатый или внецентренно растянутый железобетонный стержень в соответствии с </w:t>
      </w:r>
      <w:hyperlink w:anchor="P4578">
        <w:r>
          <w:rPr>
            <w:color w:val="0000FF"/>
          </w:rPr>
          <w:t>7.69</w:t>
        </w:r>
      </w:hyperlink>
      <w:r>
        <w:t xml:space="preserve">, </w:t>
      </w:r>
      <w:hyperlink w:anchor="P4612">
        <w:r>
          <w:rPr>
            <w:color w:val="0000FF"/>
          </w:rPr>
          <w:t>7.70</w:t>
        </w:r>
      </w:hyperlink>
      <w:r>
        <w:t xml:space="preserve">, </w:t>
      </w:r>
      <w:hyperlink w:anchor="P4681">
        <w:r>
          <w:rPr>
            <w:color w:val="0000FF"/>
          </w:rPr>
          <w:t>7.72</w:t>
        </w:r>
      </w:hyperlink>
      <w:r>
        <w:t xml:space="preserve">, </w:t>
      </w:r>
      <w:hyperlink w:anchor="P4717">
        <w:r>
          <w:rPr>
            <w:color w:val="0000FF"/>
          </w:rPr>
          <w:t>7.73</w:t>
        </w:r>
      </w:hyperlink>
      <w:r>
        <w:t xml:space="preserve">, </w:t>
      </w:r>
      <w:hyperlink w:anchor="P4729">
        <w:r>
          <w:rPr>
            <w:color w:val="0000FF"/>
          </w:rPr>
          <w:t>7.75</w:t>
        </w:r>
      </w:hyperlink>
      <w:r>
        <w:t xml:space="preserve"> и </w:t>
      </w:r>
      <w:hyperlink w:anchor="P9457">
        <w:r>
          <w:rPr>
            <w:color w:val="0000FF"/>
          </w:rPr>
          <w:t>9.13</w:t>
        </w:r>
      </w:hyperlink>
      <w:r>
        <w:t>, а в расчете всего сечения следует учитывать разгрузку стальной его части равнодействующей сжимающих или растягивающих продольных сил, воспринимаемых плитой.</w:t>
      </w:r>
    </w:p>
    <w:p w:rsidR="00212513" w:rsidRDefault="00212513">
      <w:pPr>
        <w:pStyle w:val="ConsPlusNormal"/>
        <w:ind w:firstLine="540"/>
        <w:jc w:val="both"/>
      </w:pPr>
    </w:p>
    <w:p w:rsidR="00212513" w:rsidRDefault="00212513">
      <w:pPr>
        <w:pStyle w:val="ConsPlusTitle"/>
        <w:ind w:firstLine="540"/>
        <w:jc w:val="both"/>
        <w:outlineLvl w:val="3"/>
      </w:pPr>
      <w:r>
        <w:t>Расчет на выносливость</w:t>
      </w:r>
    </w:p>
    <w:p w:rsidR="00212513" w:rsidRDefault="00212513">
      <w:pPr>
        <w:pStyle w:val="ConsPlusNormal"/>
        <w:ind w:firstLine="540"/>
        <w:jc w:val="both"/>
      </w:pPr>
    </w:p>
    <w:p w:rsidR="00212513" w:rsidRDefault="00212513">
      <w:pPr>
        <w:pStyle w:val="ConsPlusNormal"/>
        <w:ind w:firstLine="540"/>
        <w:jc w:val="both"/>
      </w:pPr>
      <w:r>
        <w:t>9.24 Расчет на выносливость следует выполнять: для стальной и железобетонной частей конструкции, а также для конструкций объединения железобетона со сталью железнодорожных мостов; только для стальной части конструкции, прикреплений конструкций объединения и плиты проезжей части автодорожных, городских и пешеходных мостов. При этом высокопрочную арматуру, имеющую сцепление с бетоном, следует относить к железобетонной части, а не имеющую сцепления - к стальной.</w:t>
      </w:r>
    </w:p>
    <w:p w:rsidR="00212513" w:rsidRDefault="00212513">
      <w:pPr>
        <w:pStyle w:val="ConsPlusNormal"/>
        <w:spacing w:before="220"/>
        <w:ind w:firstLine="540"/>
        <w:jc w:val="both"/>
      </w:pPr>
      <w:r>
        <w:t xml:space="preserve">В расчетах на выносливость следует учитывать неупругие деформации бетона согласно </w:t>
      </w:r>
      <w:hyperlink w:anchor="P9316">
        <w:r>
          <w:rPr>
            <w:color w:val="0000FF"/>
          </w:rPr>
          <w:t>9.6</w:t>
        </w:r>
      </w:hyperlink>
      <w:r>
        <w:t xml:space="preserve"> - </w:t>
      </w:r>
      <w:hyperlink w:anchor="P9391">
        <w:r>
          <w:rPr>
            <w:color w:val="0000FF"/>
          </w:rPr>
          <w:t>9.8</w:t>
        </w:r>
      </w:hyperlink>
      <w:r>
        <w:t xml:space="preserve"> и </w:t>
      </w:r>
      <w:hyperlink w:anchor="P17263">
        <w:r>
          <w:rPr>
            <w:color w:val="0000FF"/>
          </w:rPr>
          <w:t>приложению Щ</w:t>
        </w:r>
      </w:hyperlink>
      <w:r>
        <w:t>.</w:t>
      </w:r>
    </w:p>
    <w:p w:rsidR="00212513" w:rsidRDefault="00212513">
      <w:pPr>
        <w:pStyle w:val="ConsPlusNormal"/>
        <w:spacing w:before="220"/>
        <w:ind w:firstLine="540"/>
        <w:jc w:val="both"/>
      </w:pPr>
      <w:r>
        <w:t>Температурные воздействия, усадку бетона и горизонтальные нагрузки в расчетах на выносливость допускается не учитывать.</w:t>
      </w:r>
    </w:p>
    <w:p w:rsidR="00212513" w:rsidRDefault="00212513">
      <w:pPr>
        <w:pStyle w:val="ConsPlusNormal"/>
        <w:spacing w:before="220"/>
        <w:ind w:firstLine="540"/>
        <w:jc w:val="both"/>
      </w:pPr>
      <w:r>
        <w:t xml:space="preserve">В состав сечения при определении </w:t>
      </w:r>
      <w:r>
        <w:rPr>
          <w:noProof/>
          <w:position w:val="-8"/>
        </w:rPr>
        <w:drawing>
          <wp:inline distT="0" distB="0" distL="0" distR="0">
            <wp:extent cx="981710" cy="251460"/>
            <wp:effectExtent l="0" t="0" r="0" b="0"/>
            <wp:docPr id="18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9" cstate="print">
                      <a:extLst>
                        <a:ext uri="{28A0092B-C50C-407E-A947-70E740481C1C}">
                          <a14:useLocalDpi xmlns:a14="http://schemas.microsoft.com/office/drawing/2010/main" val="0"/>
                        </a:ext>
                      </a:extLst>
                    </a:blip>
                    <a:srcRect/>
                    <a:stretch>
                      <a:fillRect/>
                    </a:stretch>
                  </pic:blipFill>
                  <pic:spPr bwMode="auto">
                    <a:xfrm>
                      <a:off x="0" y="0"/>
                      <a:ext cx="981710" cy="251460"/>
                    </a:xfrm>
                    <a:prstGeom prst="rect">
                      <a:avLst/>
                    </a:prstGeom>
                    <a:noFill/>
                    <a:ln>
                      <a:noFill/>
                    </a:ln>
                  </pic:spPr>
                </pic:pic>
              </a:graphicData>
            </a:graphic>
          </wp:inline>
        </w:drawing>
      </w:r>
      <w:r>
        <w:t xml:space="preserve"> следует включать ту часть бетона, в которой при рассматриваемом загружении отсутствует растяжение.</w:t>
      </w:r>
    </w:p>
    <w:p w:rsidR="00212513" w:rsidRDefault="00212513">
      <w:pPr>
        <w:pStyle w:val="ConsPlusNormal"/>
        <w:spacing w:before="220"/>
        <w:ind w:firstLine="540"/>
        <w:jc w:val="both"/>
      </w:pPr>
      <w:r>
        <w:t xml:space="preserve">Проверку выносливости следует выполнять с учетом требований, изложенных в </w:t>
      </w:r>
      <w:hyperlink w:anchor="P4960">
        <w:r>
          <w:rPr>
            <w:color w:val="0000FF"/>
          </w:rPr>
          <w:t>7.91</w:t>
        </w:r>
      </w:hyperlink>
      <w:r>
        <w:t xml:space="preserve"> - </w:t>
      </w:r>
      <w:hyperlink w:anchor="P5026">
        <w:r>
          <w:rPr>
            <w:color w:val="0000FF"/>
          </w:rPr>
          <w:t>7.94</w:t>
        </w:r>
      </w:hyperlink>
      <w:r>
        <w:t xml:space="preserve"> и </w:t>
      </w:r>
      <w:hyperlink w:anchor="P8121">
        <w:r>
          <w:rPr>
            <w:color w:val="0000FF"/>
          </w:rPr>
          <w:t>8.57</w:t>
        </w:r>
      </w:hyperlink>
      <w:r>
        <w:t>.</w:t>
      </w:r>
    </w:p>
    <w:p w:rsidR="00212513" w:rsidRDefault="00212513">
      <w:pPr>
        <w:pStyle w:val="ConsPlusNormal"/>
        <w:spacing w:before="220"/>
        <w:ind w:firstLine="540"/>
        <w:jc w:val="both"/>
      </w:pPr>
      <w:bookmarkStart w:id="425" w:name="P9952"/>
      <w:bookmarkEnd w:id="425"/>
      <w:r>
        <w:t>9.25 Расчет на выносливость сталежелезобетонной балки железнодорожного моста с ненапрягаемой арматурой в железобетонной части сечения следует выполнять по формулам:</w:t>
      </w:r>
    </w:p>
    <w:p w:rsidR="00212513" w:rsidRDefault="00212513">
      <w:pPr>
        <w:pStyle w:val="ConsPlusNormal"/>
        <w:ind w:firstLine="540"/>
        <w:jc w:val="both"/>
      </w:pPr>
    </w:p>
    <w:p w:rsidR="00212513" w:rsidRDefault="00212513">
      <w:pPr>
        <w:pStyle w:val="ConsPlusNormal"/>
        <w:jc w:val="center"/>
      </w:pPr>
      <w:r>
        <w:rPr>
          <w:noProof/>
          <w:position w:val="-28"/>
        </w:rPr>
        <w:drawing>
          <wp:inline distT="0" distB="0" distL="0" distR="0">
            <wp:extent cx="1592580" cy="502920"/>
            <wp:effectExtent l="0" t="0" r="0" b="0"/>
            <wp:docPr id="18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0" cstate="print">
                      <a:extLst>
                        <a:ext uri="{28A0092B-C50C-407E-A947-70E740481C1C}">
                          <a14:useLocalDpi xmlns:a14="http://schemas.microsoft.com/office/drawing/2010/main" val="0"/>
                        </a:ext>
                      </a:extLst>
                    </a:blip>
                    <a:srcRect/>
                    <a:stretch>
                      <a:fillRect/>
                    </a:stretch>
                  </pic:blipFill>
                  <pic:spPr bwMode="auto">
                    <a:xfrm>
                      <a:off x="0" y="0"/>
                      <a:ext cx="1592580" cy="502920"/>
                    </a:xfrm>
                    <a:prstGeom prst="rect">
                      <a:avLst/>
                    </a:prstGeom>
                    <a:noFill/>
                    <a:ln>
                      <a:noFill/>
                    </a:ln>
                  </pic:spPr>
                </pic:pic>
              </a:graphicData>
            </a:graphic>
          </wp:inline>
        </w:drawing>
      </w:r>
      <w:r>
        <w:t>; (9.3)</w:t>
      </w:r>
    </w:p>
    <w:p w:rsidR="00212513" w:rsidRDefault="00212513">
      <w:pPr>
        <w:pStyle w:val="ConsPlusNormal"/>
        <w:ind w:firstLine="540"/>
        <w:jc w:val="both"/>
      </w:pPr>
    </w:p>
    <w:p w:rsidR="00212513" w:rsidRDefault="00212513">
      <w:pPr>
        <w:pStyle w:val="ConsPlusNormal"/>
        <w:jc w:val="center"/>
      </w:pPr>
      <w:bookmarkStart w:id="426" w:name="P9956"/>
      <w:bookmarkEnd w:id="426"/>
      <w:r>
        <w:rPr>
          <w:noProof/>
          <w:position w:val="-28"/>
        </w:rPr>
        <w:drawing>
          <wp:inline distT="0" distB="0" distL="0" distR="0">
            <wp:extent cx="2193290" cy="502920"/>
            <wp:effectExtent l="0" t="0" r="0" b="0"/>
            <wp:docPr id="18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1" cstate="print">
                      <a:extLst>
                        <a:ext uri="{28A0092B-C50C-407E-A947-70E740481C1C}">
                          <a14:useLocalDpi xmlns:a14="http://schemas.microsoft.com/office/drawing/2010/main" val="0"/>
                        </a:ext>
                      </a:extLst>
                    </a:blip>
                    <a:srcRect/>
                    <a:stretch>
                      <a:fillRect/>
                    </a:stretch>
                  </pic:blipFill>
                  <pic:spPr bwMode="auto">
                    <a:xfrm>
                      <a:off x="0" y="0"/>
                      <a:ext cx="2193290" cy="502920"/>
                    </a:xfrm>
                    <a:prstGeom prst="rect">
                      <a:avLst/>
                    </a:prstGeom>
                    <a:noFill/>
                    <a:ln>
                      <a:noFill/>
                    </a:ln>
                  </pic:spPr>
                </pic:pic>
              </a:graphicData>
            </a:graphic>
          </wp:inline>
        </w:drawing>
      </w:r>
      <w:r>
        <w:t>; (9.4)</w:t>
      </w:r>
    </w:p>
    <w:p w:rsidR="00212513" w:rsidRDefault="00212513">
      <w:pPr>
        <w:pStyle w:val="ConsPlusNormal"/>
        <w:ind w:firstLine="540"/>
        <w:jc w:val="both"/>
      </w:pPr>
    </w:p>
    <w:p w:rsidR="00212513" w:rsidRDefault="00212513">
      <w:pPr>
        <w:pStyle w:val="ConsPlusNormal"/>
        <w:jc w:val="center"/>
      </w:pPr>
      <w:bookmarkStart w:id="427" w:name="P9958"/>
      <w:bookmarkEnd w:id="427"/>
      <w:r>
        <w:rPr>
          <w:noProof/>
          <w:position w:val="-28"/>
        </w:rPr>
        <w:drawing>
          <wp:inline distT="0" distB="0" distL="0" distR="0">
            <wp:extent cx="2263140" cy="502920"/>
            <wp:effectExtent l="0" t="0" r="0" b="0"/>
            <wp:docPr id="18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2" cstate="print">
                      <a:extLst>
                        <a:ext uri="{28A0092B-C50C-407E-A947-70E740481C1C}">
                          <a14:useLocalDpi xmlns:a14="http://schemas.microsoft.com/office/drawing/2010/main" val="0"/>
                        </a:ext>
                      </a:extLst>
                    </a:blip>
                    <a:srcRect/>
                    <a:stretch>
                      <a:fillRect/>
                    </a:stretch>
                  </pic:blipFill>
                  <pic:spPr bwMode="auto">
                    <a:xfrm>
                      <a:off x="0" y="0"/>
                      <a:ext cx="2263140" cy="502920"/>
                    </a:xfrm>
                    <a:prstGeom prst="rect">
                      <a:avLst/>
                    </a:prstGeom>
                    <a:noFill/>
                    <a:ln>
                      <a:noFill/>
                    </a:ln>
                  </pic:spPr>
                </pic:pic>
              </a:graphicData>
            </a:graphic>
          </wp:inline>
        </w:drawing>
      </w:r>
      <w:r>
        <w:t>, (9.5)</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8"/>
        </w:rPr>
        <w:drawing>
          <wp:inline distT="0" distB="0" distL="0" distR="0">
            <wp:extent cx="324485" cy="251460"/>
            <wp:effectExtent l="0" t="0" r="0" b="0"/>
            <wp:docPr id="18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3" cstate="print">
                      <a:extLst>
                        <a:ext uri="{28A0092B-C50C-407E-A947-70E740481C1C}">
                          <a14:useLocalDpi xmlns:a14="http://schemas.microsoft.com/office/drawing/2010/main" val="0"/>
                        </a:ext>
                      </a:extLst>
                    </a:blip>
                    <a:srcRect/>
                    <a:stretch>
                      <a:fillRect/>
                    </a:stretch>
                  </pic:blipFill>
                  <pic:spPr bwMode="auto">
                    <a:xfrm>
                      <a:off x="0" y="0"/>
                      <a:ext cx="324485" cy="251460"/>
                    </a:xfrm>
                    <a:prstGeom prst="rect">
                      <a:avLst/>
                    </a:prstGeom>
                    <a:noFill/>
                    <a:ln>
                      <a:noFill/>
                    </a:ln>
                  </pic:spPr>
                </pic:pic>
              </a:graphicData>
            </a:graphic>
          </wp:inline>
        </w:drawing>
      </w:r>
      <w:r>
        <w:t xml:space="preserve"> - изгибающий момент первой стадии работы от нагрузок, учитываемых в расчетах на выносливость;</w:t>
      </w:r>
    </w:p>
    <w:p w:rsidR="00212513" w:rsidRDefault="00212513">
      <w:pPr>
        <w:pStyle w:val="ConsPlusNormal"/>
        <w:spacing w:before="220"/>
        <w:ind w:firstLine="540"/>
        <w:jc w:val="both"/>
      </w:pPr>
      <w:r>
        <w:rPr>
          <w:noProof/>
          <w:position w:val="-8"/>
        </w:rPr>
        <w:drawing>
          <wp:inline distT="0" distB="0" distL="0" distR="0">
            <wp:extent cx="335280" cy="251460"/>
            <wp:effectExtent l="0" t="0" r="0" b="0"/>
            <wp:docPr id="18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4" cstate="print">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r>
        <w:t xml:space="preserve"> - изгибающий момент второй стадии работы от нагрузок, учитываемых в расчетах на выносливость, включая изгибающие моменты от виброползучести бетона;</w:t>
      </w:r>
    </w:p>
    <w:p w:rsidR="00212513" w:rsidRDefault="00212513">
      <w:pPr>
        <w:pStyle w:val="ConsPlusNormal"/>
        <w:jc w:val="both"/>
      </w:pPr>
      <w:r>
        <w:t xml:space="preserve">(в ред. </w:t>
      </w:r>
      <w:hyperlink r:id="rId2355">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rPr>
          <w:noProof/>
          <w:position w:val="-9"/>
        </w:rPr>
        <w:lastRenderedPageBreak/>
        <w:drawing>
          <wp:inline distT="0" distB="0" distL="0" distR="0">
            <wp:extent cx="344805" cy="262890"/>
            <wp:effectExtent l="0" t="0" r="0" b="0"/>
            <wp:docPr id="18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6" cstate="print">
                      <a:extLst>
                        <a:ext uri="{28A0092B-C50C-407E-A947-70E740481C1C}">
                          <a14:useLocalDpi xmlns:a14="http://schemas.microsoft.com/office/drawing/2010/main" val="0"/>
                        </a:ext>
                      </a:extLst>
                    </a:blip>
                    <a:srcRect/>
                    <a:stretch>
                      <a:fillRect/>
                    </a:stretch>
                  </pic:blipFill>
                  <pic:spPr bwMode="auto">
                    <a:xfrm>
                      <a:off x="0" y="0"/>
                      <a:ext cx="344805" cy="262890"/>
                    </a:xfrm>
                    <a:prstGeom prst="rect">
                      <a:avLst/>
                    </a:prstGeom>
                    <a:noFill/>
                    <a:ln>
                      <a:noFill/>
                    </a:ln>
                  </pic:spPr>
                </pic:pic>
              </a:graphicData>
            </a:graphic>
          </wp:inline>
        </w:drawing>
      </w:r>
      <w:r>
        <w:t xml:space="preserve"> - момент сопротивления нетто сталежелезобетонного сечения для фибры </w:t>
      </w:r>
      <w:r>
        <w:rPr>
          <w:i/>
        </w:rPr>
        <w:t>i</w:t>
      </w:r>
      <w:r>
        <w:t xml:space="preserve"> (</w:t>
      </w:r>
      <w:r>
        <w:rPr>
          <w:i/>
        </w:rPr>
        <w:t>bf</w:t>
      </w:r>
      <w:r>
        <w:t xml:space="preserve">, </w:t>
      </w:r>
      <w:r>
        <w:rPr>
          <w:i/>
        </w:rPr>
        <w:t>s</w:t>
      </w:r>
      <w:r>
        <w:t xml:space="preserve">1, </w:t>
      </w:r>
      <w:r>
        <w:rPr>
          <w:i/>
        </w:rPr>
        <w:t>s</w:t>
      </w:r>
      <w:r>
        <w:t xml:space="preserve">2), определенный при коэффициенте приведения бетона к стали </w:t>
      </w:r>
      <w:r>
        <w:rPr>
          <w:noProof/>
          <w:position w:val="-8"/>
        </w:rPr>
        <w:drawing>
          <wp:inline distT="0" distB="0" distL="0" distR="0">
            <wp:extent cx="987425" cy="251460"/>
            <wp:effectExtent l="0" t="0" r="0" b="0"/>
            <wp:docPr id="18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7" cstate="print">
                      <a:extLst>
                        <a:ext uri="{28A0092B-C50C-407E-A947-70E740481C1C}">
                          <a14:useLocalDpi xmlns:a14="http://schemas.microsoft.com/office/drawing/2010/main" val="0"/>
                        </a:ext>
                      </a:extLst>
                    </a:blip>
                    <a:srcRect/>
                    <a:stretch>
                      <a:fillRect/>
                    </a:stretch>
                  </pic:blipFill>
                  <pic:spPr bwMode="auto">
                    <a:xfrm>
                      <a:off x="0" y="0"/>
                      <a:ext cx="987425" cy="251460"/>
                    </a:xfrm>
                    <a:prstGeom prst="rect">
                      <a:avLst/>
                    </a:prstGeom>
                    <a:noFill/>
                    <a:ln>
                      <a:noFill/>
                    </a:ln>
                  </pic:spPr>
                </pic:pic>
              </a:graphicData>
            </a:graphic>
          </wp:inline>
        </w:drawing>
      </w:r>
      <w:r>
        <w:t>;</w:t>
      </w:r>
    </w:p>
    <w:p w:rsidR="00212513" w:rsidRDefault="00212513">
      <w:pPr>
        <w:pStyle w:val="ConsPlusNormal"/>
        <w:spacing w:before="220"/>
        <w:ind w:firstLine="540"/>
        <w:jc w:val="both"/>
      </w:pPr>
      <w:r>
        <w:rPr>
          <w:noProof/>
          <w:position w:val="-8"/>
        </w:rPr>
        <w:drawing>
          <wp:inline distT="0" distB="0" distL="0" distR="0">
            <wp:extent cx="293370" cy="251460"/>
            <wp:effectExtent l="0" t="0" r="0" b="0"/>
            <wp:docPr id="18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8"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 условный модуль упругости бетона с учетом его виброползучести по </w:t>
      </w:r>
      <w:hyperlink w:anchor="P17263">
        <w:r>
          <w:rPr>
            <w:color w:val="0000FF"/>
          </w:rPr>
          <w:t>приложению Щ</w:t>
        </w:r>
      </w:hyperlink>
      <w:r>
        <w:t>;</w:t>
      </w:r>
    </w:p>
    <w:p w:rsidR="00212513" w:rsidRDefault="00212513">
      <w:pPr>
        <w:pStyle w:val="ConsPlusNormal"/>
        <w:spacing w:before="220"/>
        <w:ind w:firstLine="540"/>
        <w:jc w:val="both"/>
      </w:pPr>
      <w:r>
        <w:rPr>
          <w:noProof/>
          <w:position w:val="-8"/>
        </w:rPr>
        <w:drawing>
          <wp:inline distT="0" distB="0" distL="0" distR="0">
            <wp:extent cx="251460" cy="251460"/>
            <wp:effectExtent l="0" t="0" r="0" b="0"/>
            <wp:docPr id="18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9"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коэффициент условий работы бетона под многократно повторяющейся нагрузкой согласно </w:t>
      </w:r>
      <w:hyperlink w:anchor="P2555">
        <w:r>
          <w:rPr>
            <w:color w:val="0000FF"/>
          </w:rPr>
          <w:t>7.26</w:t>
        </w:r>
      </w:hyperlink>
      <w:r>
        <w:t>;</w:t>
      </w:r>
    </w:p>
    <w:p w:rsidR="00212513" w:rsidRDefault="00212513">
      <w:pPr>
        <w:pStyle w:val="ConsPlusNormal"/>
        <w:spacing w:before="220"/>
        <w:ind w:firstLine="540"/>
        <w:jc w:val="both"/>
      </w:pPr>
      <w:r>
        <w:t xml:space="preserve">остальные обозначения соответствуют принятым в </w:t>
      </w:r>
      <w:hyperlink w:anchor="P5026">
        <w:r>
          <w:rPr>
            <w:color w:val="0000FF"/>
          </w:rPr>
          <w:t>7.94</w:t>
        </w:r>
      </w:hyperlink>
      <w:r>
        <w:t xml:space="preserve">, </w:t>
      </w:r>
      <w:hyperlink w:anchor="P8121">
        <w:r>
          <w:rPr>
            <w:color w:val="0000FF"/>
          </w:rPr>
          <w:t>8.57</w:t>
        </w:r>
      </w:hyperlink>
      <w:r>
        <w:t xml:space="preserve">, </w:t>
      </w:r>
      <w:hyperlink w:anchor="P9506">
        <w:r>
          <w:rPr>
            <w:color w:val="0000FF"/>
          </w:rPr>
          <w:t>9.19</w:t>
        </w:r>
      </w:hyperlink>
      <w:r>
        <w:t xml:space="preserve"> и на </w:t>
      </w:r>
      <w:hyperlink w:anchor="P9570">
        <w:r>
          <w:rPr>
            <w:color w:val="0000FF"/>
          </w:rPr>
          <w:t>рисунке 9.3</w:t>
        </w:r>
      </w:hyperlink>
      <w:r>
        <w:t>.</w:t>
      </w:r>
    </w:p>
    <w:p w:rsidR="00212513" w:rsidRDefault="00212513">
      <w:pPr>
        <w:pStyle w:val="ConsPlusNormal"/>
        <w:spacing w:before="220"/>
        <w:ind w:firstLine="540"/>
        <w:jc w:val="both"/>
      </w:pPr>
      <w:r>
        <w:t xml:space="preserve">При наличии концентраторов напряжений на стенке балки следует проверить выносливость и этих точек сечения с подстановкой в </w:t>
      </w:r>
      <w:hyperlink w:anchor="P9956">
        <w:r>
          <w:rPr>
            <w:color w:val="0000FF"/>
          </w:rPr>
          <w:t>формулы (9.4)</w:t>
        </w:r>
      </w:hyperlink>
      <w:r>
        <w:t xml:space="preserve"> и </w:t>
      </w:r>
      <w:hyperlink w:anchor="P9958">
        <w:r>
          <w:rPr>
            <w:color w:val="0000FF"/>
          </w:rPr>
          <w:t>(9.5)</w:t>
        </w:r>
      </w:hyperlink>
      <w:r>
        <w:t xml:space="preserve"> соответствующих значений моментов сопротивления и коэффициента </w:t>
      </w:r>
      <w:r>
        <w:rPr>
          <w:noProof/>
          <w:position w:val="-8"/>
        </w:rPr>
        <w:drawing>
          <wp:inline distT="0" distB="0" distL="0" distR="0">
            <wp:extent cx="209550" cy="251460"/>
            <wp:effectExtent l="0" t="0" r="0" b="0"/>
            <wp:docPr id="18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w:t>
      </w:r>
    </w:p>
    <w:p w:rsidR="00212513" w:rsidRDefault="00212513">
      <w:pPr>
        <w:pStyle w:val="ConsPlusNormal"/>
        <w:ind w:firstLine="540"/>
        <w:jc w:val="both"/>
      </w:pPr>
    </w:p>
    <w:p w:rsidR="00212513" w:rsidRDefault="00212513">
      <w:pPr>
        <w:pStyle w:val="ConsPlusTitle"/>
        <w:ind w:firstLine="540"/>
        <w:jc w:val="both"/>
        <w:outlineLvl w:val="3"/>
      </w:pPr>
      <w:r>
        <w:t>Расчет по трещиностойкости</w:t>
      </w:r>
    </w:p>
    <w:p w:rsidR="00212513" w:rsidRDefault="00212513">
      <w:pPr>
        <w:pStyle w:val="ConsPlusNormal"/>
        <w:ind w:firstLine="540"/>
        <w:jc w:val="both"/>
      </w:pPr>
    </w:p>
    <w:p w:rsidR="00212513" w:rsidRDefault="00212513">
      <w:pPr>
        <w:pStyle w:val="ConsPlusNormal"/>
        <w:ind w:firstLine="540"/>
        <w:jc w:val="both"/>
      </w:pPr>
      <w:r>
        <w:t xml:space="preserve">9.26 Расчет железобетонных плит по трещиностойкости при совместной работе со стальными конструкциями следует выполнять в соответствии с требованиями </w:t>
      </w:r>
      <w:hyperlink w:anchor="P5063">
        <w:r>
          <w:rPr>
            <w:color w:val="0000FF"/>
          </w:rPr>
          <w:t>7.95</w:t>
        </w:r>
      </w:hyperlink>
      <w:r>
        <w:t xml:space="preserve"> - </w:t>
      </w:r>
      <w:hyperlink w:anchor="P5344">
        <w:r>
          <w:rPr>
            <w:color w:val="0000FF"/>
          </w:rPr>
          <w:t>7.111</w:t>
        </w:r>
      </w:hyperlink>
      <w:r>
        <w:t xml:space="preserve"> и </w:t>
      </w:r>
      <w:hyperlink w:anchor="P9435">
        <w:r>
          <w:rPr>
            <w:color w:val="0000FF"/>
          </w:rPr>
          <w:t>9.12</w:t>
        </w:r>
      </w:hyperlink>
      <w:r>
        <w:t xml:space="preserve">. При этом в расчетах по образованию трещин предельные значения растягивающих и сжимающих напряжений в бетоне следует сопоставлять с напряжениями в крайней фибре бетона </w:t>
      </w:r>
      <w:r>
        <w:rPr>
          <w:noProof/>
          <w:position w:val="-9"/>
        </w:rPr>
        <w:drawing>
          <wp:inline distT="0" distB="0" distL="0" distR="0">
            <wp:extent cx="251460" cy="262890"/>
            <wp:effectExtent l="0" t="0" r="0" b="0"/>
            <wp:docPr id="18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1"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упруго работающего сталежелезобетонного сечения, вычисленными от эксплуатационных нагрузок с учетом на стадии эксплуатации неупругих деформаций согласно </w:t>
      </w:r>
      <w:hyperlink w:anchor="P9316">
        <w:r>
          <w:rPr>
            <w:color w:val="0000FF"/>
          </w:rPr>
          <w:t>9.6</w:t>
        </w:r>
      </w:hyperlink>
      <w:r>
        <w:t>.</w:t>
      </w:r>
    </w:p>
    <w:p w:rsidR="00212513" w:rsidRDefault="00212513">
      <w:pPr>
        <w:pStyle w:val="ConsPlusNormal"/>
        <w:spacing w:before="220"/>
        <w:ind w:firstLine="540"/>
        <w:jc w:val="both"/>
      </w:pPr>
      <w:r>
        <w:t xml:space="preserve">В расчетах по раскрытию трещин напряжения в крайнем ряду продольной арматуры следует вычислять с учетом увеличения ее площади согласно </w:t>
      </w:r>
      <w:hyperlink w:anchor="P9435">
        <w:r>
          <w:rPr>
            <w:color w:val="0000FF"/>
          </w:rPr>
          <w:t>9.12</w:t>
        </w:r>
      </w:hyperlink>
      <w:r>
        <w:t xml:space="preserve"> и потерь напряжения от неупругих деформаций. При ненапрягаемой продольной арматуре и работе сечения по двум стадиям растягивающее напряжение следует вычислять по формуле</w:t>
      </w:r>
    </w:p>
    <w:p w:rsidR="00212513" w:rsidRDefault="00212513">
      <w:pPr>
        <w:pStyle w:val="ConsPlusNormal"/>
        <w:ind w:firstLine="540"/>
        <w:jc w:val="both"/>
      </w:pPr>
    </w:p>
    <w:p w:rsidR="00212513" w:rsidRDefault="00212513">
      <w:pPr>
        <w:pStyle w:val="ConsPlusNormal"/>
        <w:jc w:val="center"/>
      </w:pPr>
      <w:r>
        <w:rPr>
          <w:noProof/>
          <w:position w:val="-31"/>
        </w:rPr>
        <w:drawing>
          <wp:inline distT="0" distB="0" distL="0" distR="0">
            <wp:extent cx="2626360" cy="535940"/>
            <wp:effectExtent l="0" t="0" r="0" b="0"/>
            <wp:docPr id="18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2" cstate="print">
                      <a:extLst>
                        <a:ext uri="{28A0092B-C50C-407E-A947-70E740481C1C}">
                          <a14:useLocalDpi xmlns:a14="http://schemas.microsoft.com/office/drawing/2010/main" val="0"/>
                        </a:ext>
                      </a:extLst>
                    </a:blip>
                    <a:srcRect/>
                    <a:stretch>
                      <a:fillRect/>
                    </a:stretch>
                  </pic:blipFill>
                  <pic:spPr bwMode="auto">
                    <a:xfrm>
                      <a:off x="0" y="0"/>
                      <a:ext cx="2626360" cy="535940"/>
                    </a:xfrm>
                    <a:prstGeom prst="rect">
                      <a:avLst/>
                    </a:prstGeom>
                    <a:noFill/>
                    <a:ln>
                      <a:noFill/>
                    </a:ln>
                  </pic:spPr>
                </pic:pic>
              </a:graphicData>
            </a:graphic>
          </wp:inline>
        </w:drawing>
      </w:r>
      <w:r>
        <w:t>, (9.6)</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8"/>
        </w:rPr>
        <w:drawing>
          <wp:inline distT="0" distB="0" distL="0" distR="0">
            <wp:extent cx="262890" cy="251460"/>
            <wp:effectExtent l="0" t="0" r="0" b="0"/>
            <wp:docPr id="18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3"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изгибающий момент второй стадии работы от эксплуатационных нагрузок, определяемый для статически неопределимых систем с учетом ползучести бетона, обжатия поперечных швов, образования поперечных трещин в растянутых зонах железобетонной плиты, а также усадки бетона и изменения температуры; остальные обозначения пояснены в соответствии с </w:t>
      </w:r>
      <w:hyperlink w:anchor="P9435">
        <w:r>
          <w:rPr>
            <w:color w:val="0000FF"/>
          </w:rPr>
          <w:t>9.12</w:t>
        </w:r>
      </w:hyperlink>
      <w:r>
        <w:t xml:space="preserve">, </w:t>
      </w:r>
      <w:hyperlink w:anchor="P9506">
        <w:r>
          <w:rPr>
            <w:color w:val="0000FF"/>
          </w:rPr>
          <w:t>9.19</w:t>
        </w:r>
      </w:hyperlink>
      <w:r>
        <w:t xml:space="preserve">, </w:t>
      </w:r>
      <w:hyperlink w:anchor="P9932">
        <w:r>
          <w:rPr>
            <w:color w:val="0000FF"/>
          </w:rPr>
          <w:t>9.21</w:t>
        </w:r>
      </w:hyperlink>
      <w:r>
        <w:t xml:space="preserve"> и на </w:t>
      </w:r>
      <w:hyperlink w:anchor="P9936">
        <w:r>
          <w:rPr>
            <w:color w:val="0000FF"/>
          </w:rPr>
          <w:t>рисунке 9.4</w:t>
        </w:r>
      </w:hyperlink>
      <w:r>
        <w:t>.</w:t>
      </w:r>
    </w:p>
    <w:p w:rsidR="00212513" w:rsidRDefault="00212513">
      <w:pPr>
        <w:pStyle w:val="ConsPlusNormal"/>
        <w:spacing w:before="220"/>
        <w:ind w:firstLine="540"/>
        <w:jc w:val="both"/>
      </w:pPr>
      <w:r>
        <w:t>9.27 Раскрытие трещин (при двух стадиях работы) в растянутой сборной железобетонной плите, у которой ненапрягаемая арматура в поперечных швах не состыкована, следует определять по формуле</w:t>
      </w:r>
    </w:p>
    <w:p w:rsidR="00212513" w:rsidRDefault="00212513">
      <w:pPr>
        <w:pStyle w:val="ConsPlusNormal"/>
        <w:ind w:firstLine="540"/>
        <w:jc w:val="both"/>
      </w:pPr>
    </w:p>
    <w:p w:rsidR="00212513" w:rsidRDefault="00212513">
      <w:pPr>
        <w:pStyle w:val="ConsPlusNormal"/>
        <w:jc w:val="center"/>
      </w:pPr>
      <w:r>
        <w:rPr>
          <w:noProof/>
          <w:position w:val="-31"/>
        </w:rPr>
        <w:drawing>
          <wp:inline distT="0" distB="0" distL="0" distR="0">
            <wp:extent cx="1844040" cy="535940"/>
            <wp:effectExtent l="0" t="0" r="0" b="0"/>
            <wp:docPr id="18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4" cstate="print">
                      <a:extLst>
                        <a:ext uri="{28A0092B-C50C-407E-A947-70E740481C1C}">
                          <a14:useLocalDpi xmlns:a14="http://schemas.microsoft.com/office/drawing/2010/main" val="0"/>
                        </a:ext>
                      </a:extLst>
                    </a:blip>
                    <a:srcRect/>
                    <a:stretch>
                      <a:fillRect/>
                    </a:stretch>
                  </pic:blipFill>
                  <pic:spPr bwMode="auto">
                    <a:xfrm>
                      <a:off x="0" y="0"/>
                      <a:ext cx="1844040" cy="535940"/>
                    </a:xfrm>
                    <a:prstGeom prst="rect">
                      <a:avLst/>
                    </a:prstGeom>
                    <a:noFill/>
                    <a:ln>
                      <a:noFill/>
                    </a:ln>
                  </pic:spPr>
                </pic:pic>
              </a:graphicData>
            </a:graphic>
          </wp:inline>
        </w:drawing>
      </w:r>
      <w:r>
        <w:t>, (9.7)</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9"/>
        </w:rPr>
        <w:drawing>
          <wp:inline distT="0" distB="0" distL="0" distR="0">
            <wp:extent cx="344805" cy="262890"/>
            <wp:effectExtent l="0" t="0" r="0" b="0"/>
            <wp:docPr id="18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5" cstate="print">
                      <a:extLst>
                        <a:ext uri="{28A0092B-C50C-407E-A947-70E740481C1C}">
                          <a14:useLocalDpi xmlns:a14="http://schemas.microsoft.com/office/drawing/2010/main" val="0"/>
                        </a:ext>
                      </a:extLst>
                    </a:blip>
                    <a:srcRect/>
                    <a:stretch>
                      <a:fillRect/>
                    </a:stretch>
                  </pic:blipFill>
                  <pic:spPr bwMode="auto">
                    <a:xfrm>
                      <a:off x="0" y="0"/>
                      <a:ext cx="344805" cy="262890"/>
                    </a:xfrm>
                    <a:prstGeom prst="rect">
                      <a:avLst/>
                    </a:prstGeom>
                    <a:noFill/>
                    <a:ln>
                      <a:noFill/>
                    </a:ln>
                  </pic:spPr>
                </pic:pic>
              </a:graphicData>
            </a:graphic>
          </wp:inline>
        </w:drawing>
      </w:r>
      <w:r>
        <w:t xml:space="preserve"> - растягивающее напряжение в стальном верхнем поясе от нагрузок и воздействий второй стадии работы в предположении, что железобетонная плита в растянутой зоне отсутствует;</w:t>
      </w:r>
    </w:p>
    <w:p w:rsidR="00212513" w:rsidRDefault="00212513">
      <w:pPr>
        <w:pStyle w:val="ConsPlusNormal"/>
        <w:spacing w:before="220"/>
        <w:ind w:firstLine="540"/>
        <w:jc w:val="both"/>
      </w:pPr>
      <w:r>
        <w:rPr>
          <w:noProof/>
          <w:position w:val="-8"/>
        </w:rPr>
        <w:drawing>
          <wp:inline distT="0" distB="0" distL="0" distR="0">
            <wp:extent cx="156845" cy="251460"/>
            <wp:effectExtent l="0" t="0" r="0" b="0"/>
            <wp:docPr id="18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6"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 расстояние между конструкциями объединения у поперечных швов, при отсутствии </w:t>
      </w:r>
      <w:r>
        <w:lastRenderedPageBreak/>
        <w:t>конструкций объединения - длина блока плиты;</w:t>
      </w:r>
    </w:p>
    <w:p w:rsidR="00212513" w:rsidRDefault="00212513">
      <w:pPr>
        <w:pStyle w:val="ConsPlusNormal"/>
        <w:spacing w:before="220"/>
        <w:ind w:firstLine="540"/>
        <w:jc w:val="both"/>
      </w:pPr>
      <w:r>
        <w:rPr>
          <w:noProof/>
          <w:position w:val="-9"/>
        </w:rPr>
        <w:drawing>
          <wp:inline distT="0" distB="0" distL="0" distR="0">
            <wp:extent cx="335280" cy="262890"/>
            <wp:effectExtent l="0" t="0" r="0" b="0"/>
            <wp:docPr id="18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7" cstate="print">
                      <a:extLst>
                        <a:ext uri="{28A0092B-C50C-407E-A947-70E740481C1C}">
                          <a14:useLocalDpi xmlns:a14="http://schemas.microsoft.com/office/drawing/2010/main" val="0"/>
                        </a:ext>
                      </a:extLst>
                    </a:blip>
                    <a:srcRect/>
                    <a:stretch>
                      <a:fillRect/>
                    </a:stretch>
                  </pic:blipFill>
                  <pic:spPr bwMode="auto">
                    <a:xfrm>
                      <a:off x="0" y="0"/>
                      <a:ext cx="335280" cy="262890"/>
                    </a:xfrm>
                    <a:prstGeom prst="rect">
                      <a:avLst/>
                    </a:prstGeom>
                    <a:noFill/>
                    <a:ln>
                      <a:noFill/>
                    </a:ln>
                  </pic:spPr>
                </pic:pic>
              </a:graphicData>
            </a:graphic>
          </wp:inline>
        </w:drawing>
      </w:r>
      <w:r>
        <w:t xml:space="preserve">, </w:t>
      </w:r>
      <w:r>
        <w:rPr>
          <w:noProof/>
          <w:position w:val="-9"/>
        </w:rPr>
        <w:drawing>
          <wp:inline distT="0" distB="0" distL="0" distR="0">
            <wp:extent cx="335280" cy="262890"/>
            <wp:effectExtent l="0" t="0" r="0" b="0"/>
            <wp:docPr id="18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8" cstate="print">
                      <a:extLst>
                        <a:ext uri="{28A0092B-C50C-407E-A947-70E740481C1C}">
                          <a14:useLocalDpi xmlns:a14="http://schemas.microsoft.com/office/drawing/2010/main" val="0"/>
                        </a:ext>
                      </a:extLst>
                    </a:blip>
                    <a:srcRect/>
                    <a:stretch>
                      <a:fillRect/>
                    </a:stretch>
                  </pic:blipFill>
                  <pic:spPr bwMode="auto">
                    <a:xfrm>
                      <a:off x="0" y="0"/>
                      <a:ext cx="335280" cy="262890"/>
                    </a:xfrm>
                    <a:prstGeom prst="rect">
                      <a:avLst/>
                    </a:prstGeom>
                    <a:noFill/>
                    <a:ln>
                      <a:noFill/>
                    </a:ln>
                  </pic:spPr>
                </pic:pic>
              </a:graphicData>
            </a:graphic>
          </wp:inline>
        </w:drawing>
      </w:r>
      <w:r>
        <w:t xml:space="preserve"> - расстояния согласно </w:t>
      </w:r>
      <w:hyperlink w:anchor="P9936">
        <w:r>
          <w:rPr>
            <w:color w:val="0000FF"/>
          </w:rPr>
          <w:t>рисунку 9.4</w:t>
        </w:r>
      </w:hyperlink>
      <w:r>
        <w:t>;</w:t>
      </w:r>
    </w:p>
    <w:p w:rsidR="00212513" w:rsidRDefault="00212513">
      <w:pPr>
        <w:pStyle w:val="ConsPlusNormal"/>
        <w:spacing w:before="220"/>
        <w:ind w:firstLine="540"/>
        <w:jc w:val="both"/>
      </w:pPr>
      <w:r>
        <w:rPr>
          <w:noProof/>
          <w:position w:val="-9"/>
        </w:rPr>
        <w:drawing>
          <wp:inline distT="0" distB="0" distL="0" distR="0">
            <wp:extent cx="1072515" cy="262890"/>
            <wp:effectExtent l="0" t="0" r="0" b="0"/>
            <wp:docPr id="18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9" cstate="print">
                      <a:extLst>
                        <a:ext uri="{28A0092B-C50C-407E-A947-70E740481C1C}">
                          <a14:useLocalDpi xmlns:a14="http://schemas.microsoft.com/office/drawing/2010/main" val="0"/>
                        </a:ext>
                      </a:extLst>
                    </a:blip>
                    <a:srcRect/>
                    <a:stretch>
                      <a:fillRect/>
                    </a:stretch>
                  </pic:blipFill>
                  <pic:spPr bwMode="auto">
                    <a:xfrm>
                      <a:off x="0" y="0"/>
                      <a:ext cx="1072515" cy="262890"/>
                    </a:xfrm>
                    <a:prstGeom prst="rect">
                      <a:avLst/>
                    </a:prstGeom>
                    <a:noFill/>
                    <a:ln>
                      <a:noFill/>
                    </a:ln>
                  </pic:spPr>
                </pic:pic>
              </a:graphicData>
            </a:graphic>
          </wp:inline>
        </w:drawing>
      </w:r>
      <w:r>
        <w:t xml:space="preserve"> - предельная ширина раскрытия трещин в поперечном шве, имеющем арматуру для передачи поперечной силы; при отсутствии в шве арматуры </w:t>
      </w:r>
      <w:r>
        <w:rPr>
          <w:noProof/>
          <w:position w:val="-9"/>
        </w:rPr>
        <w:drawing>
          <wp:inline distT="0" distB="0" distL="0" distR="0">
            <wp:extent cx="344805" cy="262890"/>
            <wp:effectExtent l="0" t="0" r="0" b="0"/>
            <wp:docPr id="18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0" cstate="print">
                      <a:extLst>
                        <a:ext uri="{28A0092B-C50C-407E-A947-70E740481C1C}">
                          <a14:useLocalDpi xmlns:a14="http://schemas.microsoft.com/office/drawing/2010/main" val="0"/>
                        </a:ext>
                      </a:extLst>
                    </a:blip>
                    <a:srcRect/>
                    <a:stretch>
                      <a:fillRect/>
                    </a:stretch>
                  </pic:blipFill>
                  <pic:spPr bwMode="auto">
                    <a:xfrm>
                      <a:off x="0" y="0"/>
                      <a:ext cx="344805" cy="262890"/>
                    </a:xfrm>
                    <a:prstGeom prst="rect">
                      <a:avLst/>
                    </a:prstGeom>
                    <a:noFill/>
                    <a:ln>
                      <a:noFill/>
                    </a:ln>
                  </pic:spPr>
                </pic:pic>
              </a:graphicData>
            </a:graphic>
          </wp:inline>
        </w:drawing>
      </w:r>
      <w:r>
        <w:t xml:space="preserve"> следует вычислять в предположении, что поперечная сила через шов не передается.</w:t>
      </w:r>
    </w:p>
    <w:p w:rsidR="00212513" w:rsidRDefault="00212513">
      <w:pPr>
        <w:pStyle w:val="ConsPlusNormal"/>
        <w:spacing w:before="220"/>
        <w:ind w:firstLine="540"/>
        <w:jc w:val="both"/>
      </w:pPr>
      <w:r>
        <w:t xml:space="preserve">При устройстве клеевых швов трещиностойкость железобетонной плиты в железнодорожных мостах следует проверять по категории требований по трещиностойкости 2а; при проверке трещиностойкости железобетонной плиты в автодорожных, городских и пешеходных мостах величина растягивающих напряжений не должна превышать </w:t>
      </w:r>
      <w:r>
        <w:rPr>
          <w:noProof/>
          <w:position w:val="-9"/>
        </w:rPr>
        <w:drawing>
          <wp:inline distT="0" distB="0" distL="0" distR="0">
            <wp:extent cx="621030" cy="262890"/>
            <wp:effectExtent l="0" t="0" r="0" b="0"/>
            <wp:docPr id="18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1" cstate="print">
                      <a:extLst>
                        <a:ext uri="{28A0092B-C50C-407E-A947-70E740481C1C}">
                          <a14:useLocalDpi xmlns:a14="http://schemas.microsoft.com/office/drawing/2010/main" val="0"/>
                        </a:ext>
                      </a:extLst>
                    </a:blip>
                    <a:srcRect/>
                    <a:stretch>
                      <a:fillRect/>
                    </a:stretch>
                  </pic:blipFill>
                  <pic:spPr bwMode="auto">
                    <a:xfrm>
                      <a:off x="0" y="0"/>
                      <a:ext cx="621030" cy="262890"/>
                    </a:xfrm>
                    <a:prstGeom prst="rect">
                      <a:avLst/>
                    </a:prstGeom>
                    <a:noFill/>
                    <a:ln>
                      <a:noFill/>
                    </a:ln>
                  </pic:spPr>
                </pic:pic>
              </a:graphicData>
            </a:graphic>
          </wp:inline>
        </w:drawing>
      </w:r>
      <w:r>
        <w:t xml:space="preserve"> (по </w:t>
      </w:r>
      <w:hyperlink w:anchor="P2350">
        <w:r>
          <w:rPr>
            <w:color w:val="0000FF"/>
          </w:rPr>
          <w:t>таблице 7.6</w:t>
        </w:r>
      </w:hyperlink>
      <w:r>
        <w:t>).</w:t>
      </w:r>
    </w:p>
    <w:p w:rsidR="00212513" w:rsidRDefault="00212513">
      <w:pPr>
        <w:pStyle w:val="ConsPlusNormal"/>
        <w:spacing w:before="220"/>
        <w:ind w:firstLine="540"/>
        <w:jc w:val="both"/>
      </w:pPr>
      <w:r>
        <w:t xml:space="preserve">При использовании клееных стыков в предварительно напряженной железобетонной плите ее трещиностойкость следует принимать по </w:t>
      </w:r>
      <w:hyperlink w:anchor="P5063">
        <w:r>
          <w:rPr>
            <w:color w:val="0000FF"/>
          </w:rPr>
          <w:t>7.95</w:t>
        </w:r>
      </w:hyperlink>
      <w:r>
        <w:t>.</w:t>
      </w:r>
    </w:p>
    <w:p w:rsidR="00212513" w:rsidRDefault="00212513">
      <w:pPr>
        <w:pStyle w:val="ConsPlusNormal"/>
        <w:ind w:firstLine="540"/>
        <w:jc w:val="both"/>
      </w:pPr>
    </w:p>
    <w:p w:rsidR="00212513" w:rsidRDefault="00212513">
      <w:pPr>
        <w:pStyle w:val="ConsPlusTitle"/>
        <w:ind w:firstLine="540"/>
        <w:jc w:val="both"/>
        <w:outlineLvl w:val="3"/>
      </w:pPr>
      <w:r>
        <w:t>Расчет объединения железобетонной плиты со стальной конструкцией</w:t>
      </w:r>
    </w:p>
    <w:p w:rsidR="00212513" w:rsidRDefault="00212513">
      <w:pPr>
        <w:pStyle w:val="ConsPlusNormal"/>
        <w:ind w:firstLine="540"/>
        <w:jc w:val="both"/>
      </w:pPr>
    </w:p>
    <w:p w:rsidR="00212513" w:rsidRDefault="00212513">
      <w:pPr>
        <w:pStyle w:val="ConsPlusNormal"/>
        <w:ind w:firstLine="540"/>
        <w:jc w:val="both"/>
      </w:pPr>
      <w:bookmarkStart w:id="428" w:name="P9990"/>
      <w:bookmarkEnd w:id="428"/>
      <w:r>
        <w:t xml:space="preserve">9.28 Конструкции объединения следует рассчитывать на сдвигающие усилия </w:t>
      </w:r>
      <w:r>
        <w:rPr>
          <w:noProof/>
          <w:position w:val="-9"/>
        </w:rPr>
        <w:drawing>
          <wp:inline distT="0" distB="0" distL="0" distR="0">
            <wp:extent cx="220980" cy="262890"/>
            <wp:effectExtent l="0" t="0" r="0" b="0"/>
            <wp:docPr id="18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2"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в объединительном шве от поперечных сил и продольное сдвигающее усилие </w:t>
      </w:r>
      <w:r>
        <w:rPr>
          <w:noProof/>
          <w:position w:val="-8"/>
        </w:rPr>
        <w:drawing>
          <wp:inline distT="0" distB="0" distL="0" distR="0">
            <wp:extent cx="220980" cy="251460"/>
            <wp:effectExtent l="0" t="0" r="0" b="0"/>
            <wp:docPr id="18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3"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возникающее от температурных воздействий и усадки бетона, анкеровки высокопрочной арматуры, воздействия примыкающей ванты или раскоса и т.д.</w:t>
      </w:r>
    </w:p>
    <w:p w:rsidR="00212513" w:rsidRDefault="00212513">
      <w:pPr>
        <w:pStyle w:val="ConsPlusNormal"/>
        <w:spacing w:before="220"/>
        <w:ind w:firstLine="540"/>
        <w:jc w:val="both"/>
      </w:pPr>
      <w:r>
        <w:t>Конструкции объединения, расположенные на концевых участках железобетонной плиты, следует рассчитывать, кроме того, на отрывающие усилия, в том числе возникающие от температурных воздействий и усадки бетона.</w:t>
      </w:r>
    </w:p>
    <w:p w:rsidR="00212513" w:rsidRDefault="00212513">
      <w:pPr>
        <w:pStyle w:val="ConsPlusNormal"/>
        <w:spacing w:before="220"/>
        <w:ind w:firstLine="540"/>
        <w:jc w:val="both"/>
      </w:pPr>
      <w:bookmarkStart w:id="429" w:name="P9992"/>
      <w:bookmarkEnd w:id="429"/>
      <w:r>
        <w:t>9.29 Сдвигающее усилие по шву объединения железобетонной плиты и стальной конструкции следует определять по формуле</w:t>
      </w:r>
    </w:p>
    <w:p w:rsidR="00212513" w:rsidRDefault="00212513">
      <w:pPr>
        <w:pStyle w:val="ConsPlusNormal"/>
        <w:ind w:firstLine="540"/>
        <w:jc w:val="both"/>
      </w:pPr>
    </w:p>
    <w:p w:rsidR="00212513" w:rsidRDefault="00212513">
      <w:pPr>
        <w:pStyle w:val="ConsPlusNormal"/>
        <w:jc w:val="center"/>
      </w:pPr>
      <w:r>
        <w:rPr>
          <w:noProof/>
          <w:position w:val="-8"/>
        </w:rPr>
        <w:drawing>
          <wp:inline distT="0" distB="0" distL="0" distR="0">
            <wp:extent cx="2528570" cy="251460"/>
            <wp:effectExtent l="0" t="0" r="0" b="0"/>
            <wp:docPr id="18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4" cstate="print">
                      <a:extLst>
                        <a:ext uri="{28A0092B-C50C-407E-A947-70E740481C1C}">
                          <a14:useLocalDpi xmlns:a14="http://schemas.microsoft.com/office/drawing/2010/main" val="0"/>
                        </a:ext>
                      </a:extLst>
                    </a:blip>
                    <a:srcRect/>
                    <a:stretch>
                      <a:fillRect/>
                    </a:stretch>
                  </pic:blipFill>
                  <pic:spPr bwMode="auto">
                    <a:xfrm>
                      <a:off x="0" y="0"/>
                      <a:ext cx="2528570" cy="251460"/>
                    </a:xfrm>
                    <a:prstGeom prst="rect">
                      <a:avLst/>
                    </a:prstGeom>
                    <a:noFill/>
                    <a:ln>
                      <a:noFill/>
                    </a:ln>
                  </pic:spPr>
                </pic:pic>
              </a:graphicData>
            </a:graphic>
          </wp:inline>
        </w:drawing>
      </w:r>
      <w:r>
        <w:t>, (9.8)</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8"/>
        </w:rPr>
        <w:drawing>
          <wp:inline distT="0" distB="0" distL="0" distR="0">
            <wp:extent cx="251460" cy="251460"/>
            <wp:effectExtent l="0" t="0" r="0" b="0"/>
            <wp:docPr id="18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5"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w:t>
      </w:r>
      <w:r>
        <w:rPr>
          <w:noProof/>
          <w:position w:val="-8"/>
        </w:rPr>
        <w:drawing>
          <wp:inline distT="0" distB="0" distL="0" distR="0">
            <wp:extent cx="262890" cy="251460"/>
            <wp:effectExtent l="0" t="0" r="0" b="0"/>
            <wp:docPr id="18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6"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напряжения в центре тяжести поперечного сечения бетона соответственно в правом и левом сечениях расчетного участка плиты длиной </w:t>
      </w:r>
      <w:r>
        <w:rPr>
          <w:noProof/>
          <w:position w:val="-8"/>
        </w:rPr>
        <w:drawing>
          <wp:inline distT="0" distB="0" distL="0" distR="0">
            <wp:extent cx="167640" cy="251460"/>
            <wp:effectExtent l="0" t="0" r="0" b="0"/>
            <wp:docPr id="18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7"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w:t>
      </w:r>
    </w:p>
    <w:p w:rsidR="00212513" w:rsidRDefault="00212513">
      <w:pPr>
        <w:pStyle w:val="ConsPlusNormal"/>
        <w:spacing w:before="220"/>
        <w:ind w:firstLine="540"/>
        <w:jc w:val="both"/>
      </w:pPr>
      <w:r>
        <w:rPr>
          <w:noProof/>
          <w:position w:val="-8"/>
        </w:rPr>
        <w:drawing>
          <wp:inline distT="0" distB="0" distL="0" distR="0">
            <wp:extent cx="241935" cy="251460"/>
            <wp:effectExtent l="0" t="0" r="0" b="0"/>
            <wp:docPr id="18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8"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w:t>
      </w:r>
      <w:r>
        <w:rPr>
          <w:noProof/>
          <w:position w:val="-8"/>
        </w:rPr>
        <w:drawing>
          <wp:inline distT="0" distB="0" distL="0" distR="0">
            <wp:extent cx="262890" cy="251460"/>
            <wp:effectExtent l="0" t="0" r="0" b="0"/>
            <wp:docPr id="18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9"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напряжения в продольной арматуре соответственно в тех же сечениях;</w:t>
      </w:r>
    </w:p>
    <w:p w:rsidR="00212513" w:rsidRDefault="00212513">
      <w:pPr>
        <w:pStyle w:val="ConsPlusNormal"/>
        <w:spacing w:before="220"/>
        <w:ind w:firstLine="540"/>
        <w:jc w:val="both"/>
      </w:pPr>
      <w:r>
        <w:rPr>
          <w:noProof/>
          <w:position w:val="-8"/>
        </w:rPr>
        <w:drawing>
          <wp:inline distT="0" distB="0" distL="0" distR="0">
            <wp:extent cx="209550" cy="251460"/>
            <wp:effectExtent l="0" t="0" r="0" b="0"/>
            <wp:docPr id="18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18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1"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согласно </w:t>
      </w:r>
      <w:hyperlink w:anchor="P9506">
        <w:r>
          <w:rPr>
            <w:color w:val="0000FF"/>
          </w:rPr>
          <w:t>9.19</w:t>
        </w:r>
      </w:hyperlink>
      <w:r>
        <w:t xml:space="preserve"> и </w:t>
      </w:r>
      <w:hyperlink w:anchor="P9435">
        <w:r>
          <w:rPr>
            <w:color w:val="0000FF"/>
          </w:rPr>
          <w:t>9.12</w:t>
        </w:r>
      </w:hyperlink>
      <w:r>
        <w:t>.</w:t>
      </w:r>
    </w:p>
    <w:p w:rsidR="00212513" w:rsidRDefault="00212513">
      <w:pPr>
        <w:pStyle w:val="ConsPlusNormal"/>
        <w:spacing w:before="220"/>
        <w:ind w:firstLine="540"/>
        <w:jc w:val="both"/>
      </w:pPr>
      <w:r>
        <w:t xml:space="preserve">Если растягивающие напряжения в железобетонной плите превышают </w:t>
      </w:r>
      <w:r>
        <w:rPr>
          <w:noProof/>
          <w:position w:val="-9"/>
        </w:rPr>
        <w:drawing>
          <wp:inline distT="0" distB="0" distL="0" distR="0">
            <wp:extent cx="628650" cy="262890"/>
            <wp:effectExtent l="0" t="0" r="0" b="0"/>
            <wp:docPr id="18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2" cstate="print">
                      <a:extLst>
                        <a:ext uri="{28A0092B-C50C-407E-A947-70E740481C1C}">
                          <a14:useLocalDpi xmlns:a14="http://schemas.microsoft.com/office/drawing/2010/main" val="0"/>
                        </a:ext>
                      </a:extLst>
                    </a:blip>
                    <a:srcRect/>
                    <a:stretch>
                      <a:fillRect/>
                    </a:stretch>
                  </pic:blipFill>
                  <pic:spPr bwMode="auto">
                    <a:xfrm>
                      <a:off x="0" y="0"/>
                      <a:ext cx="628650" cy="262890"/>
                    </a:xfrm>
                    <a:prstGeom prst="rect">
                      <a:avLst/>
                    </a:prstGeom>
                    <a:noFill/>
                    <a:ln>
                      <a:noFill/>
                    </a:ln>
                  </pic:spPr>
                </pic:pic>
              </a:graphicData>
            </a:graphic>
          </wp:inline>
        </w:drawing>
      </w:r>
      <w:r>
        <w:t xml:space="preserve">, сдвигающие усилия следует определять в предположении наличия в плите трещин и вычислять напряжения в арматуре </w:t>
      </w:r>
      <w:r>
        <w:rPr>
          <w:noProof/>
          <w:position w:val="-8"/>
        </w:rPr>
        <w:drawing>
          <wp:inline distT="0" distB="0" distL="0" distR="0">
            <wp:extent cx="209550" cy="251460"/>
            <wp:effectExtent l="0" t="0" r="0" b="0"/>
            <wp:docPr id="18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с учетом продольной жесткости плиты согласно </w:t>
      </w:r>
      <w:hyperlink w:anchor="P9435">
        <w:r>
          <w:rPr>
            <w:color w:val="0000FF"/>
          </w:rPr>
          <w:t>9.12</w:t>
        </w:r>
      </w:hyperlink>
      <w:r>
        <w:t>.</w:t>
      </w:r>
    </w:p>
    <w:p w:rsidR="00212513" w:rsidRDefault="00212513">
      <w:pPr>
        <w:pStyle w:val="ConsPlusNormal"/>
        <w:spacing w:before="220"/>
        <w:ind w:firstLine="540"/>
        <w:jc w:val="both"/>
      </w:pPr>
      <w:r>
        <w:t xml:space="preserve">Полное концевое сдвигающее усилие </w:t>
      </w:r>
      <w:r>
        <w:rPr>
          <w:noProof/>
          <w:position w:val="-8"/>
        </w:rPr>
        <w:drawing>
          <wp:inline distT="0" distB="0" distL="0" distR="0">
            <wp:extent cx="198755" cy="250825"/>
            <wp:effectExtent l="0" t="0" r="0" b="0"/>
            <wp:docPr id="18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4"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следует определять, принимая на конце </w:t>
      </w:r>
      <w:r>
        <w:rPr>
          <w:noProof/>
          <w:position w:val="-4"/>
        </w:rPr>
        <w:drawing>
          <wp:inline distT="0" distB="0" distL="0" distR="0">
            <wp:extent cx="418465" cy="198755"/>
            <wp:effectExtent l="0" t="0" r="0" b="0"/>
            <wp:docPr id="18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5" cstate="print">
                      <a:extLst>
                        <a:ext uri="{28A0092B-C50C-407E-A947-70E740481C1C}">
                          <a14:useLocalDpi xmlns:a14="http://schemas.microsoft.com/office/drawing/2010/main" val="0"/>
                        </a:ext>
                      </a:extLst>
                    </a:blip>
                    <a:srcRect/>
                    <a:stretch>
                      <a:fillRect/>
                    </a:stretch>
                  </pic:blipFill>
                  <pic:spPr bwMode="auto">
                    <a:xfrm>
                      <a:off x="0" y="0"/>
                      <a:ext cx="418465" cy="198755"/>
                    </a:xfrm>
                    <a:prstGeom prst="rect">
                      <a:avLst/>
                    </a:prstGeom>
                    <a:noFill/>
                    <a:ln>
                      <a:noFill/>
                    </a:ln>
                  </pic:spPr>
                </pic:pic>
              </a:graphicData>
            </a:graphic>
          </wp:inline>
        </w:drawing>
      </w:r>
      <w:r>
        <w:t xml:space="preserve"> и назначая длину концевого расчетного участка равной</w:t>
      </w:r>
    </w:p>
    <w:p w:rsidR="00212513" w:rsidRDefault="00212513">
      <w:pPr>
        <w:pStyle w:val="ConsPlusNormal"/>
        <w:ind w:firstLine="540"/>
        <w:jc w:val="both"/>
      </w:pPr>
    </w:p>
    <w:p w:rsidR="00212513" w:rsidRDefault="00212513">
      <w:pPr>
        <w:pStyle w:val="ConsPlusNormal"/>
        <w:jc w:val="center"/>
      </w:pPr>
      <w:r>
        <w:rPr>
          <w:noProof/>
          <w:position w:val="-8"/>
        </w:rPr>
        <w:drawing>
          <wp:inline distT="0" distB="0" distL="0" distR="0">
            <wp:extent cx="1230630" cy="251460"/>
            <wp:effectExtent l="0" t="0" r="0" b="0"/>
            <wp:docPr id="18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1230630" cy="251460"/>
                    </a:xfrm>
                    <a:prstGeom prst="rect">
                      <a:avLst/>
                    </a:prstGeom>
                    <a:noFill/>
                    <a:ln>
                      <a:noFill/>
                    </a:ln>
                  </pic:spPr>
                </pic:pic>
              </a:graphicData>
            </a:graphic>
          </wp:inline>
        </w:drawing>
      </w:r>
      <w:r>
        <w:t>, (9.9)</w:t>
      </w:r>
    </w:p>
    <w:p w:rsidR="00212513" w:rsidRDefault="00212513">
      <w:pPr>
        <w:pStyle w:val="ConsPlusNormal"/>
        <w:ind w:firstLine="540"/>
        <w:jc w:val="both"/>
      </w:pPr>
    </w:p>
    <w:p w:rsidR="00212513" w:rsidRDefault="00212513">
      <w:pPr>
        <w:pStyle w:val="ConsPlusNormal"/>
        <w:ind w:firstLine="540"/>
        <w:jc w:val="both"/>
      </w:pPr>
      <w:r>
        <w:t xml:space="preserve">где </w:t>
      </w:r>
      <w:r>
        <w:rPr>
          <w:i/>
        </w:rPr>
        <w:t>H</w:t>
      </w:r>
      <w:r>
        <w:t xml:space="preserve"> - расчетная высота поперечного сечения сталежелезобетонного элемента;</w:t>
      </w:r>
    </w:p>
    <w:p w:rsidR="00212513" w:rsidRDefault="00212513">
      <w:pPr>
        <w:pStyle w:val="ConsPlusNormal"/>
        <w:spacing w:before="220"/>
        <w:ind w:firstLine="540"/>
        <w:jc w:val="both"/>
      </w:pPr>
      <w:r>
        <w:rPr>
          <w:noProof/>
          <w:position w:val="-8"/>
        </w:rPr>
        <w:drawing>
          <wp:inline distT="0" distB="0" distL="0" distR="0">
            <wp:extent cx="198755" cy="250825"/>
            <wp:effectExtent l="0" t="0" r="0" b="0"/>
            <wp:docPr id="18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7"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согласно </w:t>
      </w:r>
      <w:hyperlink w:anchor="P9460">
        <w:r>
          <w:rPr>
            <w:color w:val="0000FF"/>
          </w:rPr>
          <w:t>9.15</w:t>
        </w:r>
      </w:hyperlink>
      <w:r>
        <w:t>.</w:t>
      </w:r>
    </w:p>
    <w:p w:rsidR="00212513" w:rsidRDefault="00212513">
      <w:pPr>
        <w:pStyle w:val="ConsPlusNormal"/>
        <w:spacing w:before="220"/>
        <w:ind w:firstLine="540"/>
        <w:jc w:val="both"/>
      </w:pPr>
      <w:r>
        <w:t xml:space="preserve">Распределение сдвигающих усилий между железобетонной плитой и стальной конструкцией в сложных случаях воздействий допускается принимать согласно </w:t>
      </w:r>
      <w:hyperlink w:anchor="P17451">
        <w:r>
          <w:rPr>
            <w:color w:val="0000FF"/>
          </w:rPr>
          <w:t>приложению Ю</w:t>
        </w:r>
      </w:hyperlink>
      <w:r>
        <w:t>.</w:t>
      </w:r>
    </w:p>
    <w:p w:rsidR="00212513" w:rsidRDefault="00212513">
      <w:pPr>
        <w:pStyle w:val="ConsPlusNormal"/>
        <w:spacing w:before="220"/>
        <w:ind w:firstLine="540"/>
        <w:jc w:val="both"/>
      </w:pPr>
      <w:r>
        <w:t xml:space="preserve">9.30 Концевые, отрывающие железобетонную плиту от стальной конструкции усилия </w:t>
      </w:r>
      <w:r>
        <w:rPr>
          <w:noProof/>
          <w:position w:val="-8"/>
        </w:rPr>
        <w:drawing>
          <wp:inline distT="0" distB="0" distL="0" distR="0">
            <wp:extent cx="251460" cy="251460"/>
            <wp:effectExtent l="0" t="0" r="0" b="0"/>
            <wp:docPr id="18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следует определять по формуле</w:t>
      </w:r>
    </w:p>
    <w:p w:rsidR="00212513" w:rsidRDefault="00212513">
      <w:pPr>
        <w:pStyle w:val="ConsPlusNormal"/>
        <w:ind w:firstLine="540"/>
        <w:jc w:val="both"/>
      </w:pPr>
    </w:p>
    <w:p w:rsidR="00212513" w:rsidRDefault="00212513">
      <w:pPr>
        <w:pStyle w:val="ConsPlusNormal"/>
        <w:jc w:val="center"/>
      </w:pPr>
      <w:r>
        <w:rPr>
          <w:noProof/>
          <w:position w:val="-28"/>
        </w:rPr>
        <w:drawing>
          <wp:inline distT="0" distB="0" distL="0" distR="0">
            <wp:extent cx="1326515" cy="502920"/>
            <wp:effectExtent l="0" t="0" r="0" b="0"/>
            <wp:docPr id="18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9" cstate="print">
                      <a:extLst>
                        <a:ext uri="{28A0092B-C50C-407E-A947-70E740481C1C}">
                          <a14:useLocalDpi xmlns:a14="http://schemas.microsoft.com/office/drawing/2010/main" val="0"/>
                        </a:ext>
                      </a:extLst>
                    </a:blip>
                    <a:srcRect/>
                    <a:stretch>
                      <a:fillRect/>
                    </a:stretch>
                  </pic:blipFill>
                  <pic:spPr bwMode="auto">
                    <a:xfrm>
                      <a:off x="0" y="0"/>
                      <a:ext cx="1326515" cy="502920"/>
                    </a:xfrm>
                    <a:prstGeom prst="rect">
                      <a:avLst/>
                    </a:prstGeom>
                    <a:noFill/>
                    <a:ln>
                      <a:noFill/>
                    </a:ln>
                  </pic:spPr>
                </pic:pic>
              </a:graphicData>
            </a:graphic>
          </wp:inline>
        </w:drawing>
      </w:r>
      <w:r>
        <w:t>, (9.10)</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9"/>
        </w:rPr>
        <w:drawing>
          <wp:inline distT="0" distB="0" distL="0" distR="0">
            <wp:extent cx="344805" cy="262890"/>
            <wp:effectExtent l="0" t="0" r="0" b="0"/>
            <wp:docPr id="18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0" cstate="print">
                      <a:extLst>
                        <a:ext uri="{28A0092B-C50C-407E-A947-70E740481C1C}">
                          <a14:useLocalDpi xmlns:a14="http://schemas.microsoft.com/office/drawing/2010/main" val="0"/>
                        </a:ext>
                      </a:extLst>
                    </a:blip>
                    <a:srcRect/>
                    <a:stretch>
                      <a:fillRect/>
                    </a:stretch>
                  </pic:blipFill>
                  <pic:spPr bwMode="auto">
                    <a:xfrm>
                      <a:off x="0" y="0"/>
                      <a:ext cx="344805" cy="262890"/>
                    </a:xfrm>
                    <a:prstGeom prst="rect">
                      <a:avLst/>
                    </a:prstGeom>
                    <a:noFill/>
                    <a:ln>
                      <a:noFill/>
                    </a:ln>
                  </pic:spPr>
                </pic:pic>
              </a:graphicData>
            </a:graphic>
          </wp:inline>
        </w:drawing>
      </w:r>
      <w:r>
        <w:t xml:space="preserve"> - расстояние от центра тяжести поперечного сечения бетона до верхней фибры стальной конструкции;</w:t>
      </w:r>
    </w:p>
    <w:p w:rsidR="00212513" w:rsidRDefault="00212513">
      <w:pPr>
        <w:pStyle w:val="ConsPlusNormal"/>
        <w:spacing w:before="220"/>
        <w:ind w:firstLine="540"/>
        <w:jc w:val="both"/>
      </w:pPr>
      <w:r>
        <w:rPr>
          <w:noProof/>
          <w:position w:val="-8"/>
        </w:rPr>
        <w:drawing>
          <wp:inline distT="0" distB="0" distL="0" distR="0">
            <wp:extent cx="198755" cy="250825"/>
            <wp:effectExtent l="0" t="0" r="0" b="0"/>
            <wp:docPr id="18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1"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i/>
        </w:rPr>
        <w:t>H</w:t>
      </w:r>
      <w:r>
        <w:t xml:space="preserve">, </w:t>
      </w:r>
      <w:r>
        <w:rPr>
          <w:noProof/>
          <w:position w:val="-8"/>
        </w:rPr>
        <w:drawing>
          <wp:inline distT="0" distB="0" distL="0" distR="0">
            <wp:extent cx="198755" cy="250825"/>
            <wp:effectExtent l="0" t="0" r="0" b="0"/>
            <wp:docPr id="18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7"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согласно </w:t>
      </w:r>
      <w:hyperlink w:anchor="P9992">
        <w:r>
          <w:rPr>
            <w:color w:val="0000FF"/>
          </w:rPr>
          <w:t>9.29</w:t>
        </w:r>
      </w:hyperlink>
      <w:r>
        <w:t>.</w:t>
      </w:r>
    </w:p>
    <w:p w:rsidR="00212513" w:rsidRDefault="00212513">
      <w:pPr>
        <w:pStyle w:val="ConsPlusNormal"/>
        <w:spacing w:before="220"/>
        <w:ind w:firstLine="540"/>
        <w:jc w:val="both"/>
      </w:pPr>
      <w:r>
        <w:t xml:space="preserve">Отрывающее усилие </w:t>
      </w:r>
      <w:r>
        <w:rPr>
          <w:noProof/>
          <w:position w:val="-8"/>
        </w:rPr>
        <w:drawing>
          <wp:inline distT="0" distB="0" distL="0" distR="0">
            <wp:extent cx="251460" cy="251460"/>
            <wp:effectExtent l="0" t="0" r="0" b="0"/>
            <wp:docPr id="18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следует принимать приложенным на расстоянии </w:t>
      </w:r>
      <w:r>
        <w:rPr>
          <w:noProof/>
          <w:position w:val="-8"/>
        </w:rPr>
        <w:drawing>
          <wp:inline distT="0" distB="0" distL="0" distR="0">
            <wp:extent cx="1029970" cy="251460"/>
            <wp:effectExtent l="0" t="0" r="0" b="0"/>
            <wp:docPr id="18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2" cstate="print">
                      <a:extLst>
                        <a:ext uri="{28A0092B-C50C-407E-A947-70E740481C1C}">
                          <a14:useLocalDpi xmlns:a14="http://schemas.microsoft.com/office/drawing/2010/main" val="0"/>
                        </a:ext>
                      </a:extLst>
                    </a:blip>
                    <a:srcRect/>
                    <a:stretch>
                      <a:fillRect/>
                    </a:stretch>
                  </pic:blipFill>
                  <pic:spPr bwMode="auto">
                    <a:xfrm>
                      <a:off x="0" y="0"/>
                      <a:ext cx="1029970" cy="251460"/>
                    </a:xfrm>
                    <a:prstGeom prst="rect">
                      <a:avLst/>
                    </a:prstGeom>
                    <a:noFill/>
                    <a:ln>
                      <a:noFill/>
                    </a:ln>
                  </pic:spPr>
                </pic:pic>
              </a:graphicData>
            </a:graphic>
          </wp:inline>
        </w:drawing>
      </w:r>
      <w:r>
        <w:t xml:space="preserve"> от конца плиты (</w:t>
      </w:r>
      <w:hyperlink w:anchor="P17464">
        <w:r>
          <w:rPr>
            <w:color w:val="0000FF"/>
          </w:rPr>
          <w:t>рисунок Ю.1</w:t>
        </w:r>
      </w:hyperlink>
      <w:r>
        <w:t xml:space="preserve"> приложения Ю).</w:t>
      </w:r>
    </w:p>
    <w:p w:rsidR="00212513" w:rsidRDefault="00212513">
      <w:pPr>
        <w:pStyle w:val="ConsPlusNormal"/>
        <w:spacing w:before="220"/>
        <w:ind w:firstLine="540"/>
        <w:jc w:val="both"/>
      </w:pPr>
      <w:r>
        <w:t>9.31 Расчеты конструкции объединения стальной части с железобетонной плитой следует выполнять:</w:t>
      </w:r>
    </w:p>
    <w:p w:rsidR="00212513" w:rsidRDefault="00212513">
      <w:pPr>
        <w:pStyle w:val="ConsPlusNormal"/>
        <w:spacing w:before="220"/>
        <w:ind w:firstLine="540"/>
        <w:jc w:val="both"/>
      </w:pPr>
      <w:r>
        <w:t>а) при жестких упорах - полагая прямоугольной эпюру сжимающих напряжений, передаваемых расчетной сминающей поверхностью упора;</w:t>
      </w:r>
    </w:p>
    <w:p w:rsidR="00212513" w:rsidRDefault="00212513">
      <w:pPr>
        <w:pStyle w:val="ConsPlusNormal"/>
        <w:spacing w:before="220"/>
        <w:ind w:firstLine="540"/>
        <w:jc w:val="both"/>
      </w:pPr>
      <w:r>
        <w:t xml:space="preserve">б) при вертикальных гибких упорах - исходя из условий работы упора на изгиб со смятием бетона согласно </w:t>
      </w:r>
      <w:hyperlink w:anchor="P17492">
        <w:r>
          <w:rPr>
            <w:color w:val="0000FF"/>
          </w:rPr>
          <w:t>приложению Я</w:t>
        </w:r>
      </w:hyperlink>
      <w:r>
        <w:t>;</w:t>
      </w:r>
    </w:p>
    <w:p w:rsidR="00212513" w:rsidRDefault="00212513">
      <w:pPr>
        <w:pStyle w:val="ConsPlusNormal"/>
        <w:spacing w:before="220"/>
        <w:ind w:firstLine="540"/>
        <w:jc w:val="both"/>
      </w:pPr>
      <w:r>
        <w:t xml:space="preserve">в) при наклонных анкерах - исходя из условий работы анкера на сочетание растяжения и изгиба со смятием бетона согласно </w:t>
      </w:r>
      <w:hyperlink w:anchor="P17492">
        <w:r>
          <w:rPr>
            <w:color w:val="0000FF"/>
          </w:rPr>
          <w:t>приложению Я</w:t>
        </w:r>
      </w:hyperlink>
      <w:r>
        <w:t>;</w:t>
      </w:r>
    </w:p>
    <w:p w:rsidR="00212513" w:rsidRDefault="00212513">
      <w:pPr>
        <w:pStyle w:val="ConsPlusNormal"/>
        <w:spacing w:before="220"/>
        <w:ind w:firstLine="540"/>
        <w:jc w:val="both"/>
      </w:pPr>
      <w:r>
        <w:t xml:space="preserve">г) при закладных деталях плиты, объединенных со стальными поясами высокопрочными болтами, - исходя из расчета фрикционных соединений на высокопрочных болтах согласно </w:t>
      </w:r>
      <w:hyperlink w:anchor="P8723">
        <w:r>
          <w:rPr>
            <w:color w:val="0000FF"/>
          </w:rPr>
          <w:t>8.100</w:t>
        </w:r>
      </w:hyperlink>
      <w:r>
        <w:t xml:space="preserve"> и </w:t>
      </w:r>
      <w:hyperlink w:anchor="P8741">
        <w:r>
          <w:rPr>
            <w:color w:val="0000FF"/>
          </w:rPr>
          <w:t>8.101</w:t>
        </w:r>
      </w:hyperlink>
      <w:r>
        <w:t>;</w:t>
      </w:r>
    </w:p>
    <w:p w:rsidR="00212513" w:rsidRDefault="00212513">
      <w:pPr>
        <w:pStyle w:val="ConsPlusNormal"/>
        <w:spacing w:before="220"/>
        <w:ind w:firstLine="540"/>
        <w:jc w:val="both"/>
      </w:pPr>
      <w:r>
        <w:t xml:space="preserve">д) при объединительных швах на высокопрочных болтах, обжимающих железобетон, - исходя из условий работы объединения на трение по контактным поверхностям шва согласно </w:t>
      </w:r>
      <w:hyperlink w:anchor="P17539">
        <w:r>
          <w:rPr>
            <w:color w:val="0000FF"/>
          </w:rPr>
          <w:t>приложению 1</w:t>
        </w:r>
      </w:hyperlink>
      <w:r>
        <w:t xml:space="preserve"> настоящего свода правил;</w:t>
      </w:r>
    </w:p>
    <w:p w:rsidR="00212513" w:rsidRDefault="00212513">
      <w:pPr>
        <w:pStyle w:val="ConsPlusNormal"/>
        <w:spacing w:before="220"/>
        <w:ind w:firstLine="540"/>
        <w:jc w:val="both"/>
      </w:pPr>
      <w:r>
        <w:t>е) при болтоклеевых объединительных швах - в соответствии с "г" или "д", но с учетом сил сцепления от склеивания;</w:t>
      </w:r>
    </w:p>
    <w:p w:rsidR="00212513" w:rsidRDefault="00212513">
      <w:pPr>
        <w:pStyle w:val="ConsPlusNormal"/>
        <w:spacing w:before="220"/>
        <w:ind w:firstLine="540"/>
        <w:jc w:val="both"/>
      </w:pPr>
      <w:r>
        <w:t>ж) при гребенчатых упорах на действие расчетных сдвигающих и отрывающих усилий с учетом равномерного распределения по длине пролетного строения.</w:t>
      </w:r>
    </w:p>
    <w:p w:rsidR="00212513" w:rsidRDefault="00212513">
      <w:pPr>
        <w:pStyle w:val="ConsPlusNormal"/>
        <w:spacing w:before="220"/>
        <w:ind w:firstLine="540"/>
        <w:jc w:val="both"/>
      </w:pPr>
      <w:r>
        <w:t>9.32 Расчет конструкции объединения на жестких упорах надлежит выполнять по следующим формулам:</w:t>
      </w:r>
    </w:p>
    <w:p w:rsidR="00212513" w:rsidRDefault="00212513">
      <w:pPr>
        <w:pStyle w:val="ConsPlusNormal"/>
        <w:spacing w:before="220"/>
        <w:ind w:firstLine="540"/>
        <w:jc w:val="both"/>
      </w:pPr>
      <w:r>
        <w:t>в железнодорожных мостах:</w:t>
      </w:r>
    </w:p>
    <w:p w:rsidR="00212513" w:rsidRDefault="00212513">
      <w:pPr>
        <w:pStyle w:val="ConsPlusNormal"/>
        <w:spacing w:before="220"/>
        <w:ind w:firstLine="540"/>
        <w:jc w:val="both"/>
      </w:pPr>
      <w:r>
        <w:lastRenderedPageBreak/>
        <w:t>по прочности</w:t>
      </w:r>
    </w:p>
    <w:p w:rsidR="00212513" w:rsidRDefault="00212513">
      <w:pPr>
        <w:pStyle w:val="ConsPlusNormal"/>
        <w:ind w:firstLine="540"/>
        <w:jc w:val="both"/>
      </w:pPr>
    </w:p>
    <w:p w:rsidR="00212513" w:rsidRDefault="00212513">
      <w:pPr>
        <w:pStyle w:val="ConsPlusNormal"/>
        <w:jc w:val="center"/>
      </w:pPr>
      <w:r>
        <w:rPr>
          <w:noProof/>
          <w:position w:val="-9"/>
        </w:rPr>
        <w:drawing>
          <wp:inline distT="0" distB="0" distL="0" distR="0">
            <wp:extent cx="899160" cy="262890"/>
            <wp:effectExtent l="0" t="0" r="0" b="0"/>
            <wp:docPr id="18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3" cstate="print">
                      <a:extLst>
                        <a:ext uri="{28A0092B-C50C-407E-A947-70E740481C1C}">
                          <a14:useLocalDpi xmlns:a14="http://schemas.microsoft.com/office/drawing/2010/main" val="0"/>
                        </a:ext>
                      </a:extLst>
                    </a:blip>
                    <a:srcRect/>
                    <a:stretch>
                      <a:fillRect/>
                    </a:stretch>
                  </pic:blipFill>
                  <pic:spPr bwMode="auto">
                    <a:xfrm>
                      <a:off x="0" y="0"/>
                      <a:ext cx="899160" cy="262890"/>
                    </a:xfrm>
                    <a:prstGeom prst="rect">
                      <a:avLst/>
                    </a:prstGeom>
                    <a:noFill/>
                    <a:ln>
                      <a:noFill/>
                    </a:ln>
                  </pic:spPr>
                </pic:pic>
              </a:graphicData>
            </a:graphic>
          </wp:inline>
        </w:drawing>
      </w:r>
      <w:r>
        <w:t>; (9.11)</w:t>
      </w:r>
    </w:p>
    <w:p w:rsidR="00212513" w:rsidRDefault="00212513">
      <w:pPr>
        <w:pStyle w:val="ConsPlusNormal"/>
        <w:ind w:firstLine="540"/>
        <w:jc w:val="both"/>
      </w:pPr>
    </w:p>
    <w:p w:rsidR="00212513" w:rsidRDefault="00212513">
      <w:pPr>
        <w:pStyle w:val="ConsPlusNormal"/>
        <w:ind w:firstLine="540"/>
        <w:jc w:val="both"/>
      </w:pPr>
      <w:r>
        <w:t>на выносливость</w:t>
      </w:r>
    </w:p>
    <w:p w:rsidR="00212513" w:rsidRDefault="00212513">
      <w:pPr>
        <w:pStyle w:val="ConsPlusNormal"/>
        <w:ind w:firstLine="540"/>
        <w:jc w:val="both"/>
      </w:pPr>
    </w:p>
    <w:p w:rsidR="00212513" w:rsidRDefault="00212513">
      <w:pPr>
        <w:pStyle w:val="ConsPlusNormal"/>
        <w:jc w:val="center"/>
      </w:pPr>
      <w:r>
        <w:rPr>
          <w:noProof/>
          <w:position w:val="-9"/>
        </w:rPr>
        <w:drawing>
          <wp:inline distT="0" distB="0" distL="0" distR="0">
            <wp:extent cx="1241425" cy="262890"/>
            <wp:effectExtent l="0" t="0" r="0" b="0"/>
            <wp:docPr id="18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4" cstate="print">
                      <a:extLst>
                        <a:ext uri="{28A0092B-C50C-407E-A947-70E740481C1C}">
                          <a14:useLocalDpi xmlns:a14="http://schemas.microsoft.com/office/drawing/2010/main" val="0"/>
                        </a:ext>
                      </a:extLst>
                    </a:blip>
                    <a:srcRect/>
                    <a:stretch>
                      <a:fillRect/>
                    </a:stretch>
                  </pic:blipFill>
                  <pic:spPr bwMode="auto">
                    <a:xfrm>
                      <a:off x="0" y="0"/>
                      <a:ext cx="1241425" cy="262890"/>
                    </a:xfrm>
                    <a:prstGeom prst="rect">
                      <a:avLst/>
                    </a:prstGeom>
                    <a:noFill/>
                    <a:ln>
                      <a:noFill/>
                    </a:ln>
                  </pic:spPr>
                </pic:pic>
              </a:graphicData>
            </a:graphic>
          </wp:inline>
        </w:drawing>
      </w:r>
      <w:r>
        <w:t>; (9.12)</w:t>
      </w:r>
    </w:p>
    <w:p w:rsidR="00212513" w:rsidRDefault="00212513">
      <w:pPr>
        <w:pStyle w:val="ConsPlusNormal"/>
        <w:ind w:firstLine="540"/>
        <w:jc w:val="both"/>
      </w:pPr>
    </w:p>
    <w:p w:rsidR="00212513" w:rsidRDefault="00212513">
      <w:pPr>
        <w:pStyle w:val="ConsPlusNormal"/>
        <w:ind w:firstLine="540"/>
        <w:jc w:val="both"/>
      </w:pPr>
      <w:r>
        <w:t>в автодорожных, городских и пешеходных мостах - по прочности</w:t>
      </w:r>
    </w:p>
    <w:p w:rsidR="00212513" w:rsidRDefault="00212513">
      <w:pPr>
        <w:pStyle w:val="ConsPlusNormal"/>
        <w:ind w:firstLine="540"/>
        <w:jc w:val="both"/>
      </w:pPr>
    </w:p>
    <w:p w:rsidR="00212513" w:rsidRDefault="00212513">
      <w:pPr>
        <w:pStyle w:val="ConsPlusNormal"/>
        <w:jc w:val="center"/>
      </w:pPr>
      <w:r>
        <w:rPr>
          <w:noProof/>
          <w:position w:val="-9"/>
        </w:rPr>
        <w:drawing>
          <wp:inline distT="0" distB="0" distL="0" distR="0">
            <wp:extent cx="1029970" cy="262890"/>
            <wp:effectExtent l="0" t="0" r="0" b="0"/>
            <wp:docPr id="18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5" cstate="print">
                      <a:extLst>
                        <a:ext uri="{28A0092B-C50C-407E-A947-70E740481C1C}">
                          <a14:useLocalDpi xmlns:a14="http://schemas.microsoft.com/office/drawing/2010/main" val="0"/>
                        </a:ext>
                      </a:extLst>
                    </a:blip>
                    <a:srcRect/>
                    <a:stretch>
                      <a:fillRect/>
                    </a:stretch>
                  </pic:blipFill>
                  <pic:spPr bwMode="auto">
                    <a:xfrm>
                      <a:off x="0" y="0"/>
                      <a:ext cx="1029970" cy="262890"/>
                    </a:xfrm>
                    <a:prstGeom prst="rect">
                      <a:avLst/>
                    </a:prstGeom>
                    <a:noFill/>
                    <a:ln>
                      <a:noFill/>
                    </a:ln>
                  </pic:spPr>
                </pic:pic>
              </a:graphicData>
            </a:graphic>
          </wp:inline>
        </w:drawing>
      </w:r>
      <w:r>
        <w:t>, (9.13)</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8"/>
        </w:rPr>
        <w:drawing>
          <wp:inline distT="0" distB="0" distL="0" distR="0">
            <wp:extent cx="198755" cy="250825"/>
            <wp:effectExtent l="0" t="0" r="0" b="0"/>
            <wp:docPr id="18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18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сдвигающие усилия, приходящиеся на один упор, соответственно при расчете по прочности или выносливости;</w:t>
      </w:r>
    </w:p>
    <w:p w:rsidR="00212513" w:rsidRDefault="00212513">
      <w:pPr>
        <w:pStyle w:val="ConsPlusNormal"/>
        <w:spacing w:before="220"/>
        <w:ind w:firstLine="540"/>
        <w:jc w:val="both"/>
      </w:pPr>
      <w:r>
        <w:rPr>
          <w:noProof/>
          <w:position w:val="-9"/>
        </w:rPr>
        <w:drawing>
          <wp:inline distT="0" distB="0" distL="0" distR="0">
            <wp:extent cx="335280" cy="262890"/>
            <wp:effectExtent l="0" t="0" r="0" b="0"/>
            <wp:docPr id="18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8" cstate="print">
                      <a:extLst>
                        <a:ext uri="{28A0092B-C50C-407E-A947-70E740481C1C}">
                          <a14:useLocalDpi xmlns:a14="http://schemas.microsoft.com/office/drawing/2010/main" val="0"/>
                        </a:ext>
                      </a:extLst>
                    </a:blip>
                    <a:srcRect/>
                    <a:stretch>
                      <a:fillRect/>
                    </a:stretch>
                  </pic:blipFill>
                  <pic:spPr bwMode="auto">
                    <a:xfrm>
                      <a:off x="0" y="0"/>
                      <a:ext cx="335280" cy="262890"/>
                    </a:xfrm>
                    <a:prstGeom prst="rect">
                      <a:avLst/>
                    </a:prstGeom>
                    <a:noFill/>
                    <a:ln>
                      <a:noFill/>
                    </a:ln>
                  </pic:spPr>
                </pic:pic>
              </a:graphicData>
            </a:graphic>
          </wp:inline>
        </w:drawing>
      </w:r>
      <w:r>
        <w:t xml:space="preserve"> - площадь поверхности смятия бетона упором; при цилиндрических и дугообразных упорах - площадь их диаметрального сечения;</w:t>
      </w:r>
    </w:p>
    <w:p w:rsidR="00212513" w:rsidRDefault="00212513">
      <w:pPr>
        <w:pStyle w:val="ConsPlusNormal"/>
        <w:spacing w:before="220"/>
        <w:ind w:firstLine="540"/>
        <w:jc w:val="both"/>
      </w:pPr>
      <w:r>
        <w:rPr>
          <w:noProof/>
          <w:position w:val="-8"/>
        </w:rPr>
        <w:drawing>
          <wp:inline distT="0" distB="0" distL="0" distR="0">
            <wp:extent cx="251460" cy="251460"/>
            <wp:effectExtent l="0" t="0" r="0" b="0"/>
            <wp:docPr id="18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9"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согласно </w:t>
      </w:r>
      <w:hyperlink w:anchor="P9952">
        <w:r>
          <w:rPr>
            <w:color w:val="0000FF"/>
          </w:rPr>
          <w:t>9.25</w:t>
        </w:r>
      </w:hyperlink>
      <w:r>
        <w:t>.</w:t>
      </w:r>
    </w:p>
    <w:p w:rsidR="00212513" w:rsidRDefault="00212513">
      <w:pPr>
        <w:pStyle w:val="ConsPlusNormal"/>
        <w:spacing w:before="220"/>
        <w:ind w:firstLine="540"/>
        <w:jc w:val="both"/>
      </w:pPr>
      <w:r>
        <w:t xml:space="preserve">При сборной железобетонной плите и расположении упоров в окнах расчетное сопротивление </w:t>
      </w:r>
      <w:r>
        <w:rPr>
          <w:noProof/>
          <w:position w:val="-8"/>
        </w:rPr>
        <w:drawing>
          <wp:inline distT="0" distB="0" distL="0" distR="0">
            <wp:extent cx="209550" cy="251460"/>
            <wp:effectExtent l="0" t="0" r="0" b="0"/>
            <wp:docPr id="18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следует принимать по классу бетона блоков, а толщину подливки не включать в площадь смятия. При расположении упоров в продольных швах плиты площадь смятия следует учитывать полностью, а расчетные сопротивления принимать по классу бетона замоноличивания швов.</w:t>
      </w:r>
    </w:p>
    <w:p w:rsidR="00212513" w:rsidRDefault="00212513">
      <w:pPr>
        <w:pStyle w:val="ConsPlusNormal"/>
        <w:spacing w:before="220"/>
        <w:ind w:firstLine="540"/>
        <w:jc w:val="both"/>
      </w:pPr>
      <w:r>
        <w:t xml:space="preserve">Если жесткие упоры расположены в железобетонном ребре или вуте, предельные значения величин </w:t>
      </w:r>
      <w:r>
        <w:rPr>
          <w:noProof/>
          <w:position w:val="-8"/>
        </w:rPr>
        <w:drawing>
          <wp:inline distT="0" distB="0" distL="0" distR="0">
            <wp:extent cx="198755" cy="250825"/>
            <wp:effectExtent l="0" t="0" r="0" b="0"/>
            <wp:docPr id="18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и </w:t>
      </w:r>
      <w:r>
        <w:rPr>
          <w:noProof/>
          <w:position w:val="-8"/>
        </w:rPr>
        <w:drawing>
          <wp:inline distT="0" distB="0" distL="0" distR="0">
            <wp:extent cx="209550" cy="251460"/>
            <wp:effectExtent l="0" t="0" r="0" b="0"/>
            <wp:docPr id="18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следует уменьшать, умножая правые части приведенных формул на 0,9 при </w:t>
      </w:r>
      <w:r>
        <w:rPr>
          <w:noProof/>
          <w:position w:val="-8"/>
        </w:rPr>
        <w:drawing>
          <wp:inline distT="0" distB="0" distL="0" distR="0">
            <wp:extent cx="1326515" cy="251460"/>
            <wp:effectExtent l="0" t="0" r="0" b="0"/>
            <wp:docPr id="18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1" cstate="print">
                      <a:extLst>
                        <a:ext uri="{28A0092B-C50C-407E-A947-70E740481C1C}">
                          <a14:useLocalDpi xmlns:a14="http://schemas.microsoft.com/office/drawing/2010/main" val="0"/>
                        </a:ext>
                      </a:extLst>
                    </a:blip>
                    <a:srcRect/>
                    <a:stretch>
                      <a:fillRect/>
                    </a:stretch>
                  </pic:blipFill>
                  <pic:spPr bwMode="auto">
                    <a:xfrm>
                      <a:off x="0" y="0"/>
                      <a:ext cx="1326515" cy="251460"/>
                    </a:xfrm>
                    <a:prstGeom prst="rect">
                      <a:avLst/>
                    </a:prstGeom>
                    <a:noFill/>
                    <a:ln>
                      <a:noFill/>
                    </a:ln>
                  </pic:spPr>
                </pic:pic>
              </a:graphicData>
            </a:graphic>
          </wp:inline>
        </w:drawing>
      </w:r>
      <w:r>
        <w:t xml:space="preserve"> и на 0,7 при </w:t>
      </w:r>
      <w:r>
        <w:rPr>
          <w:noProof/>
          <w:position w:val="-8"/>
        </w:rPr>
        <w:drawing>
          <wp:inline distT="0" distB="0" distL="0" distR="0">
            <wp:extent cx="774700" cy="251460"/>
            <wp:effectExtent l="0" t="0" r="0" b="0"/>
            <wp:docPr id="18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2" cstate="print">
                      <a:extLst>
                        <a:ext uri="{28A0092B-C50C-407E-A947-70E740481C1C}">
                          <a14:useLocalDpi xmlns:a14="http://schemas.microsoft.com/office/drawing/2010/main" val="0"/>
                        </a:ext>
                      </a:extLst>
                    </a:blip>
                    <a:srcRect/>
                    <a:stretch>
                      <a:fillRect/>
                    </a:stretch>
                  </pic:blipFill>
                  <pic:spPr bwMode="auto">
                    <a:xfrm>
                      <a:off x="0" y="0"/>
                      <a:ext cx="774700" cy="251460"/>
                    </a:xfrm>
                    <a:prstGeom prst="rect">
                      <a:avLst/>
                    </a:prstGeom>
                    <a:noFill/>
                    <a:ln>
                      <a:noFill/>
                    </a:ln>
                  </pic:spPr>
                </pic:pic>
              </a:graphicData>
            </a:graphic>
          </wp:inline>
        </w:drawing>
      </w:r>
      <w:r>
        <w:t xml:space="preserve">, где </w:t>
      </w:r>
      <w:r>
        <w:rPr>
          <w:noProof/>
          <w:position w:val="-8"/>
        </w:rPr>
        <w:drawing>
          <wp:inline distT="0" distB="0" distL="0" distR="0">
            <wp:extent cx="220980" cy="251460"/>
            <wp:effectExtent l="0" t="0" r="0" b="0"/>
            <wp:docPr id="18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3"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ширина площади смятия бетона упором, </w:t>
      </w:r>
      <w:r>
        <w:rPr>
          <w:noProof/>
          <w:position w:val="-8"/>
        </w:rPr>
        <w:drawing>
          <wp:inline distT="0" distB="0" distL="0" distR="0">
            <wp:extent cx="241935" cy="251460"/>
            <wp:effectExtent l="0" t="0" r="0" b="0"/>
            <wp:docPr id="18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4"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ширина ребра или вута на уровне центра тяжести расчетной площади смятия бетона упором.</w:t>
      </w:r>
    </w:p>
    <w:p w:rsidR="00212513" w:rsidRDefault="00212513">
      <w:pPr>
        <w:pStyle w:val="ConsPlusNormal"/>
        <w:spacing w:before="220"/>
        <w:ind w:firstLine="540"/>
        <w:jc w:val="both"/>
      </w:pPr>
      <w:r>
        <w:t xml:space="preserve">Расчет соединений с непрерывными гребенчатыми упорами выполняется в соответствии с </w:t>
      </w:r>
      <w:hyperlink r:id="rId2405">
        <w:r>
          <w:rPr>
            <w:color w:val="0000FF"/>
          </w:rPr>
          <w:t>ГОСТ Р 59788</w:t>
        </w:r>
      </w:hyperlink>
      <w:r>
        <w:t>.</w:t>
      </w:r>
    </w:p>
    <w:p w:rsidR="00212513" w:rsidRDefault="00212513">
      <w:pPr>
        <w:pStyle w:val="ConsPlusNormal"/>
        <w:jc w:val="both"/>
      </w:pPr>
      <w:r>
        <w:t xml:space="preserve">(в ред. </w:t>
      </w:r>
      <w:hyperlink r:id="rId2406">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 xml:space="preserve">9.33 Прикрепления конструкций объединения к стальной части следует рассчитывать согласно </w:t>
      </w:r>
      <w:hyperlink w:anchor="P8465">
        <w:r>
          <w:rPr>
            <w:color w:val="0000FF"/>
          </w:rPr>
          <w:t>8.82</w:t>
        </w:r>
      </w:hyperlink>
      <w:r>
        <w:t xml:space="preserve"> - </w:t>
      </w:r>
      <w:hyperlink w:anchor="P8748">
        <w:r>
          <w:rPr>
            <w:color w:val="0000FF"/>
          </w:rPr>
          <w:t>8.102</w:t>
        </w:r>
      </w:hyperlink>
      <w:r>
        <w:t>.</w:t>
      </w:r>
    </w:p>
    <w:p w:rsidR="00212513" w:rsidRDefault="00212513">
      <w:pPr>
        <w:pStyle w:val="ConsPlusNormal"/>
        <w:spacing w:before="220"/>
        <w:ind w:firstLine="540"/>
        <w:jc w:val="both"/>
      </w:pPr>
      <w:r>
        <w:t>Расчеты прикрепления жесткого упора к стальной части конструкции следует выполнять с учетом момента от сдвигающей силы.</w:t>
      </w:r>
    </w:p>
    <w:p w:rsidR="00212513" w:rsidRDefault="00212513">
      <w:pPr>
        <w:pStyle w:val="ConsPlusNormal"/>
        <w:spacing w:before="220"/>
        <w:ind w:firstLine="540"/>
        <w:jc w:val="both"/>
      </w:pPr>
      <w:r>
        <w:t>9.34 При одновременном использовании в конструкции объединения жестких упоров и наклонных анкеров допускается учитывать их совместную работу, полагая полное сопротивление объединительного шва равным сумме сопротивлений упоров и анкеров.</w:t>
      </w:r>
    </w:p>
    <w:p w:rsidR="00212513" w:rsidRDefault="00212513">
      <w:pPr>
        <w:pStyle w:val="ConsPlusNormal"/>
        <w:ind w:firstLine="540"/>
        <w:jc w:val="both"/>
      </w:pPr>
    </w:p>
    <w:p w:rsidR="00212513" w:rsidRDefault="00212513">
      <w:pPr>
        <w:pStyle w:val="ConsPlusTitle"/>
        <w:ind w:firstLine="540"/>
        <w:jc w:val="both"/>
        <w:outlineLvl w:val="3"/>
      </w:pPr>
      <w:r>
        <w:t>Проверка жесткости, определение строительного подъема и расчет по горизонтальным нагрузкам</w:t>
      </w:r>
    </w:p>
    <w:p w:rsidR="00212513" w:rsidRDefault="00212513">
      <w:pPr>
        <w:pStyle w:val="ConsPlusNormal"/>
        <w:ind w:firstLine="540"/>
        <w:jc w:val="both"/>
      </w:pPr>
    </w:p>
    <w:p w:rsidR="00212513" w:rsidRDefault="00212513">
      <w:pPr>
        <w:pStyle w:val="ConsPlusNormal"/>
        <w:ind w:firstLine="540"/>
        <w:jc w:val="both"/>
      </w:pPr>
      <w:bookmarkStart w:id="430" w:name="P10049"/>
      <w:bookmarkEnd w:id="430"/>
      <w:r>
        <w:t xml:space="preserve">9.35 Вертикальные прогибы от действующих нагрузок, а также перемещения при </w:t>
      </w:r>
      <w:r>
        <w:lastRenderedPageBreak/>
        <w:t>определении периодов колебаний следует вычислять, принимая жесткость сталежелезобетонной балки с учетом трещинообразования.</w:t>
      </w:r>
    </w:p>
    <w:p w:rsidR="00212513" w:rsidRDefault="00212513">
      <w:pPr>
        <w:pStyle w:val="ConsPlusNormal"/>
        <w:jc w:val="both"/>
      </w:pPr>
      <w:r>
        <w:t xml:space="preserve">(в ред. </w:t>
      </w:r>
      <w:hyperlink r:id="rId2407">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При определении периодов свободных горизонтальных колебаний прогиб железобетонной плиты в горизонтальной плоскости допускается определять с введением в состав сечения защитного слоя, подготовки под гидроизоляцию, бортов балластного корыта и железобетонных тротуаров.</w:t>
      </w:r>
    </w:p>
    <w:p w:rsidR="00212513" w:rsidRDefault="00212513">
      <w:pPr>
        <w:pStyle w:val="ConsPlusNormal"/>
        <w:spacing w:before="220"/>
        <w:ind w:firstLine="540"/>
        <w:jc w:val="both"/>
      </w:pPr>
      <w:r>
        <w:t>При расчете строительного подъема пролетных строений с монолитной плитой проезжей части следует учитывать последовательность бетонирования плиты, усадку и ползучесть бетона, возможные перепады температуры между стальной и железобетонной частями сооружения, а также саморазогрев бетона в процессе твердения.</w:t>
      </w:r>
    </w:p>
    <w:p w:rsidR="00212513" w:rsidRDefault="00212513">
      <w:pPr>
        <w:pStyle w:val="ConsPlusNormal"/>
        <w:spacing w:before="220"/>
        <w:ind w:firstLine="540"/>
        <w:jc w:val="both"/>
      </w:pPr>
      <w:r>
        <w:t>9.36 В однопутных железнодорожных пролетных строениях железобетонная плита должна быть проверена по прочности в горизонтальной плоскости как сжато-изогнутый (или растянуто-изогнутый) железобетонный элемент, находящийся под действием осевого усилия от совместной работы со стальной конструкцией и изгибающего момента от горизонтальных нагрузок. Температурные воздействия и усадку бетона при этом допускается не учитывать.</w:t>
      </w:r>
    </w:p>
    <w:p w:rsidR="00212513" w:rsidRDefault="00212513">
      <w:pPr>
        <w:pStyle w:val="ConsPlusNormal"/>
        <w:spacing w:before="220"/>
        <w:ind w:firstLine="540"/>
        <w:jc w:val="both"/>
      </w:pPr>
      <w:r>
        <w:t xml:space="preserve">Если бетон плиты от действия вертикальных нагрузок и усилий предварительного напряжения оказывается в пластическом состоянии и не воспринимает горизонтальный изгибающий момент, последний должен быть воспринят стальной частью конструкции. При этом полные относительные деформации в бетоне </w:t>
      </w:r>
      <w:r>
        <w:rPr>
          <w:noProof/>
          <w:position w:val="-9"/>
        </w:rPr>
        <w:drawing>
          <wp:inline distT="0" distB="0" distL="0" distR="0">
            <wp:extent cx="344805" cy="262890"/>
            <wp:effectExtent l="0" t="0" r="0" b="0"/>
            <wp:docPr id="18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8" cstate="print">
                      <a:extLst>
                        <a:ext uri="{28A0092B-C50C-407E-A947-70E740481C1C}">
                          <a14:useLocalDpi xmlns:a14="http://schemas.microsoft.com/office/drawing/2010/main" val="0"/>
                        </a:ext>
                      </a:extLst>
                    </a:blip>
                    <a:srcRect/>
                    <a:stretch>
                      <a:fillRect/>
                    </a:stretch>
                  </pic:blipFill>
                  <pic:spPr bwMode="auto">
                    <a:xfrm>
                      <a:off x="0" y="0"/>
                      <a:ext cx="344805" cy="262890"/>
                    </a:xfrm>
                    <a:prstGeom prst="rect">
                      <a:avLst/>
                    </a:prstGeom>
                    <a:noFill/>
                    <a:ln>
                      <a:noFill/>
                    </a:ln>
                  </pic:spPr>
                </pic:pic>
              </a:graphicData>
            </a:graphic>
          </wp:inline>
        </w:drawing>
      </w:r>
      <w:r>
        <w:t xml:space="preserve"> с учетом горизонтального изгибающего момента не должны превышать 0,0016.</w:t>
      </w:r>
    </w:p>
    <w:p w:rsidR="00212513" w:rsidRDefault="00212513">
      <w:pPr>
        <w:pStyle w:val="ConsPlusNormal"/>
        <w:ind w:firstLine="540"/>
        <w:jc w:val="both"/>
      </w:pPr>
    </w:p>
    <w:p w:rsidR="00212513" w:rsidRDefault="00212513">
      <w:pPr>
        <w:pStyle w:val="ConsPlusTitle"/>
        <w:ind w:firstLine="540"/>
        <w:jc w:val="both"/>
        <w:outlineLvl w:val="3"/>
      </w:pPr>
      <w:r>
        <w:t>Конструирование</w:t>
      </w:r>
    </w:p>
    <w:p w:rsidR="00212513" w:rsidRDefault="00212513">
      <w:pPr>
        <w:pStyle w:val="ConsPlusNormal"/>
        <w:ind w:firstLine="540"/>
        <w:jc w:val="both"/>
      </w:pPr>
    </w:p>
    <w:p w:rsidR="00212513" w:rsidRDefault="00212513">
      <w:pPr>
        <w:pStyle w:val="ConsPlusNormal"/>
        <w:ind w:firstLine="540"/>
        <w:jc w:val="both"/>
      </w:pPr>
      <w:r>
        <w:t>9.37 Железобетонную плиту следует объединять со стальными главными балками и фермами по всей их длине. Требуемая степень трещиностойкости должна быть обеспечена продольным армированием или предварительным напряжением.</w:t>
      </w:r>
    </w:p>
    <w:p w:rsidR="00212513" w:rsidRDefault="00212513">
      <w:pPr>
        <w:pStyle w:val="ConsPlusNormal"/>
        <w:spacing w:before="220"/>
        <w:ind w:firstLine="540"/>
        <w:jc w:val="both"/>
      </w:pPr>
      <w:r>
        <w:t xml:space="preserve">9.38 Толщина железобетонной плиты проезжей части должна быть не менее указанной в </w:t>
      </w:r>
      <w:hyperlink w:anchor="P5407">
        <w:r>
          <w:rPr>
            <w:color w:val="0000FF"/>
          </w:rPr>
          <w:t>7.117</w:t>
        </w:r>
      </w:hyperlink>
      <w:r>
        <w:t>. Толщина железобетонной плиты тротуарной консоли, учитываемой в составе рабочего сечения, должна быть не менее 12 см.</w:t>
      </w:r>
    </w:p>
    <w:p w:rsidR="00212513" w:rsidRDefault="00212513">
      <w:pPr>
        <w:pStyle w:val="ConsPlusNormal"/>
        <w:spacing w:before="220"/>
        <w:ind w:firstLine="540"/>
        <w:jc w:val="both"/>
      </w:pPr>
      <w:r>
        <w:t>9.39 Объединение сборной железобетонной плиты со стальной конструкцией следует осуществлять, как правило, с применением фрикционных, болтоклеевых или сварных соединений.</w:t>
      </w:r>
    </w:p>
    <w:p w:rsidR="00212513" w:rsidRDefault="00212513">
      <w:pPr>
        <w:pStyle w:val="ConsPlusNormal"/>
        <w:spacing w:before="220"/>
        <w:ind w:firstLine="540"/>
        <w:jc w:val="both"/>
      </w:pPr>
      <w:r>
        <w:t>Допускается объединение упорами и анкерами, замоноличиваемыми в окнах и швах сборной железобетонной плиты. Зазоры между упором и конструкцией блока плиты должны быть не менее 5 и 3 см соответственно вдоль и поперек пролетного строения.</w:t>
      </w:r>
    </w:p>
    <w:p w:rsidR="00212513" w:rsidRDefault="00212513">
      <w:pPr>
        <w:pStyle w:val="ConsPlusNormal"/>
        <w:spacing w:before="220"/>
        <w:ind w:firstLine="540"/>
        <w:jc w:val="both"/>
      </w:pPr>
      <w:r>
        <w:t>Устройство упоров и анкеров в полостях и пазах, закрытых сверху, а также трудно омоноличиваемых, не допускается.</w:t>
      </w:r>
    </w:p>
    <w:p w:rsidR="00212513" w:rsidRDefault="00212513">
      <w:pPr>
        <w:pStyle w:val="ConsPlusNormal"/>
        <w:spacing w:before="220"/>
        <w:ind w:firstLine="540"/>
        <w:jc w:val="both"/>
      </w:pPr>
      <w:r>
        <w:t>При устройстве прерывистых объединительных швов должна быть обеспечена прочность железобетонной плиты при работе на местный изгиб между участками опирания, при этом высота зазора между плитой и поясом должна быть достаточной для окраски пояса.</w:t>
      </w:r>
    </w:p>
    <w:p w:rsidR="00212513" w:rsidRDefault="00212513">
      <w:pPr>
        <w:pStyle w:val="ConsPlusNormal"/>
        <w:spacing w:before="220"/>
        <w:ind w:firstLine="540"/>
        <w:jc w:val="both"/>
      </w:pPr>
      <w:r>
        <w:t>9.40 Размещение конструкций объединения должно удовлетворять следующим требованиям:</w:t>
      </w:r>
    </w:p>
    <w:p w:rsidR="00212513" w:rsidRDefault="00212513">
      <w:pPr>
        <w:pStyle w:val="ConsPlusNormal"/>
        <w:spacing w:before="220"/>
        <w:ind w:firstLine="540"/>
        <w:jc w:val="both"/>
      </w:pPr>
      <w:r>
        <w:t xml:space="preserve">расстояние в свету между жесткими упорами и анкерами не должно превышать </w:t>
      </w:r>
      <w:r>
        <w:lastRenderedPageBreak/>
        <w:t>восьмикратной средней толщины плиты, определяемой делением площади плиты, включенной в работу, на ее расчетную ширину, при этом площадь плиты следует принимать с учетом площади ребра или вута;</w:t>
      </w:r>
    </w:p>
    <w:p w:rsidR="00212513" w:rsidRDefault="00212513">
      <w:pPr>
        <w:pStyle w:val="ConsPlusNormal"/>
        <w:spacing w:before="220"/>
        <w:ind w:firstLine="540"/>
        <w:jc w:val="both"/>
      </w:pPr>
      <w:r>
        <w:t>расстояние в свету между жесткими упорами должно быть не менее 3,5-кратной высоты расчетной площади смятия бетона упором;</w:t>
      </w:r>
    </w:p>
    <w:p w:rsidR="00212513" w:rsidRDefault="00212513">
      <w:pPr>
        <w:pStyle w:val="ConsPlusNormal"/>
        <w:spacing w:before="220"/>
        <w:ind w:firstLine="540"/>
        <w:jc w:val="both"/>
      </w:pPr>
      <w:r>
        <w:t xml:space="preserve">расстояние в свету между анкерами должно быть не менее </w:t>
      </w:r>
      <w:r>
        <w:rPr>
          <w:noProof/>
          <w:position w:val="-8"/>
        </w:rPr>
        <w:drawing>
          <wp:inline distT="0" distB="0" distL="0" distR="0">
            <wp:extent cx="324485" cy="251460"/>
            <wp:effectExtent l="0" t="0" r="0" b="0"/>
            <wp:docPr id="18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9" cstate="print">
                      <a:extLst>
                        <a:ext uri="{28A0092B-C50C-407E-A947-70E740481C1C}">
                          <a14:useLocalDpi xmlns:a14="http://schemas.microsoft.com/office/drawing/2010/main" val="0"/>
                        </a:ext>
                      </a:extLst>
                    </a:blip>
                    <a:srcRect/>
                    <a:stretch>
                      <a:fillRect/>
                    </a:stretch>
                  </pic:blipFill>
                  <pic:spPr bwMode="auto">
                    <a:xfrm>
                      <a:off x="0" y="0"/>
                      <a:ext cx="324485" cy="251460"/>
                    </a:xfrm>
                    <a:prstGeom prst="rect">
                      <a:avLst/>
                    </a:prstGeom>
                    <a:noFill/>
                    <a:ln>
                      <a:noFill/>
                    </a:ln>
                  </pic:spPr>
                </pic:pic>
              </a:graphicData>
            </a:graphic>
          </wp:inline>
        </w:drawing>
      </w:r>
      <w:r>
        <w:t xml:space="preserve">, где </w:t>
      </w:r>
      <w:r>
        <w:rPr>
          <w:noProof/>
          <w:position w:val="-8"/>
        </w:rPr>
        <w:drawing>
          <wp:inline distT="0" distB="0" distL="0" distR="0">
            <wp:extent cx="251460" cy="251460"/>
            <wp:effectExtent l="0" t="0" r="0" b="0"/>
            <wp:docPr id="18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диаметр стержня анкера.</w:t>
      </w:r>
    </w:p>
    <w:p w:rsidR="00212513" w:rsidRDefault="00212513">
      <w:pPr>
        <w:pStyle w:val="ConsPlusNormal"/>
        <w:spacing w:before="220"/>
        <w:ind w:firstLine="540"/>
        <w:jc w:val="both"/>
      </w:pPr>
      <w:r>
        <w:t>Минимальные расстояния для размещения высокопрочных болтов, обжимающих железобетонную плиту, следует принимать по таблице 9.7.</w:t>
      </w:r>
    </w:p>
    <w:p w:rsidR="00212513" w:rsidRDefault="00212513">
      <w:pPr>
        <w:pStyle w:val="ConsPlusNormal"/>
        <w:ind w:firstLine="540"/>
        <w:jc w:val="both"/>
      </w:pPr>
    </w:p>
    <w:p w:rsidR="00212513" w:rsidRDefault="00212513">
      <w:pPr>
        <w:pStyle w:val="ConsPlusNormal"/>
        <w:jc w:val="right"/>
      </w:pPr>
      <w:r>
        <w:t>Таблица 9.7</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2"/>
        <w:gridCol w:w="1955"/>
        <w:gridCol w:w="1955"/>
      </w:tblGrid>
      <w:tr w:rsidR="00212513">
        <w:tc>
          <w:tcPr>
            <w:tcW w:w="5102" w:type="dxa"/>
            <w:vMerge w:val="restart"/>
            <w:vAlign w:val="center"/>
          </w:tcPr>
          <w:p w:rsidR="00212513" w:rsidRDefault="00212513">
            <w:pPr>
              <w:pStyle w:val="ConsPlusNormal"/>
              <w:jc w:val="center"/>
            </w:pPr>
            <w:r>
              <w:t>Нормируемый размер</w:t>
            </w:r>
          </w:p>
        </w:tc>
        <w:tc>
          <w:tcPr>
            <w:tcW w:w="3910" w:type="dxa"/>
            <w:gridSpan w:val="2"/>
            <w:vAlign w:val="center"/>
          </w:tcPr>
          <w:p w:rsidR="00212513" w:rsidRDefault="00212513">
            <w:pPr>
              <w:pStyle w:val="ConsPlusNormal"/>
              <w:jc w:val="center"/>
            </w:pPr>
            <w:r>
              <w:t>Минимально допустимое расстояние, мм, при диаметре болтов, мм</w:t>
            </w:r>
          </w:p>
        </w:tc>
      </w:tr>
      <w:tr w:rsidR="00212513">
        <w:tc>
          <w:tcPr>
            <w:tcW w:w="5102" w:type="dxa"/>
            <w:vMerge/>
          </w:tcPr>
          <w:p w:rsidR="00212513" w:rsidRDefault="00212513">
            <w:pPr>
              <w:pStyle w:val="ConsPlusNormal"/>
            </w:pPr>
          </w:p>
        </w:tc>
        <w:tc>
          <w:tcPr>
            <w:tcW w:w="1955" w:type="dxa"/>
            <w:vAlign w:val="center"/>
          </w:tcPr>
          <w:p w:rsidR="00212513" w:rsidRDefault="00212513">
            <w:pPr>
              <w:pStyle w:val="ConsPlusNormal"/>
              <w:jc w:val="center"/>
            </w:pPr>
            <w:r>
              <w:t>22</w:t>
            </w:r>
          </w:p>
        </w:tc>
        <w:tc>
          <w:tcPr>
            <w:tcW w:w="1955" w:type="dxa"/>
            <w:vAlign w:val="center"/>
          </w:tcPr>
          <w:p w:rsidR="00212513" w:rsidRDefault="00212513">
            <w:pPr>
              <w:pStyle w:val="ConsPlusNormal"/>
              <w:jc w:val="center"/>
            </w:pPr>
            <w:r>
              <w:t>24</w:t>
            </w:r>
          </w:p>
        </w:tc>
      </w:tr>
      <w:tr w:rsidR="00212513">
        <w:tblPrEx>
          <w:tblBorders>
            <w:insideH w:val="nil"/>
          </w:tblBorders>
        </w:tblPrEx>
        <w:tc>
          <w:tcPr>
            <w:tcW w:w="5102" w:type="dxa"/>
            <w:tcBorders>
              <w:bottom w:val="nil"/>
            </w:tcBorders>
          </w:tcPr>
          <w:p w:rsidR="00212513" w:rsidRDefault="00212513">
            <w:pPr>
              <w:pStyle w:val="ConsPlusNormal"/>
            </w:pPr>
            <w:r>
              <w:t>От центра отверстия до края железобетонного элемента</w:t>
            </w:r>
          </w:p>
        </w:tc>
        <w:tc>
          <w:tcPr>
            <w:tcW w:w="1955" w:type="dxa"/>
            <w:tcBorders>
              <w:bottom w:val="nil"/>
            </w:tcBorders>
          </w:tcPr>
          <w:p w:rsidR="00212513" w:rsidRDefault="00212513">
            <w:pPr>
              <w:pStyle w:val="ConsPlusNormal"/>
              <w:jc w:val="center"/>
            </w:pPr>
            <w:r>
              <w:t>100</w:t>
            </w:r>
          </w:p>
        </w:tc>
        <w:tc>
          <w:tcPr>
            <w:tcW w:w="1955" w:type="dxa"/>
            <w:tcBorders>
              <w:bottom w:val="nil"/>
            </w:tcBorders>
          </w:tcPr>
          <w:p w:rsidR="00212513" w:rsidRDefault="00212513">
            <w:pPr>
              <w:pStyle w:val="ConsPlusNormal"/>
              <w:jc w:val="center"/>
            </w:pPr>
            <w:r>
              <w:t>120</w:t>
            </w:r>
          </w:p>
        </w:tc>
      </w:tr>
      <w:tr w:rsidR="00212513">
        <w:tblPrEx>
          <w:tblBorders>
            <w:insideH w:val="nil"/>
          </w:tblBorders>
        </w:tblPrEx>
        <w:tc>
          <w:tcPr>
            <w:tcW w:w="5102" w:type="dxa"/>
            <w:tcBorders>
              <w:top w:val="nil"/>
            </w:tcBorders>
          </w:tcPr>
          <w:p w:rsidR="00212513" w:rsidRDefault="00212513">
            <w:pPr>
              <w:pStyle w:val="ConsPlusNormal"/>
            </w:pPr>
            <w:r>
              <w:t>Между центрами отверстий по всем направлениям</w:t>
            </w:r>
          </w:p>
        </w:tc>
        <w:tc>
          <w:tcPr>
            <w:tcW w:w="1955" w:type="dxa"/>
            <w:tcBorders>
              <w:top w:val="nil"/>
            </w:tcBorders>
          </w:tcPr>
          <w:p w:rsidR="00212513" w:rsidRDefault="00212513">
            <w:pPr>
              <w:pStyle w:val="ConsPlusNormal"/>
              <w:jc w:val="center"/>
            </w:pPr>
            <w:r>
              <w:t>140</w:t>
            </w:r>
          </w:p>
        </w:tc>
        <w:tc>
          <w:tcPr>
            <w:tcW w:w="1955" w:type="dxa"/>
            <w:tcBorders>
              <w:top w:val="nil"/>
            </w:tcBorders>
          </w:tcPr>
          <w:p w:rsidR="00212513" w:rsidRDefault="00212513">
            <w:pPr>
              <w:pStyle w:val="ConsPlusNormal"/>
              <w:jc w:val="center"/>
            </w:pPr>
            <w:r>
              <w:t>160</w:t>
            </w:r>
          </w:p>
        </w:tc>
      </w:tr>
    </w:tbl>
    <w:p w:rsidR="00212513" w:rsidRDefault="00212513">
      <w:pPr>
        <w:pStyle w:val="ConsPlusNormal"/>
        <w:ind w:firstLine="540"/>
        <w:jc w:val="both"/>
      </w:pPr>
    </w:p>
    <w:p w:rsidR="00212513" w:rsidRDefault="00212513">
      <w:pPr>
        <w:pStyle w:val="ConsPlusNormal"/>
        <w:ind w:firstLine="540"/>
        <w:jc w:val="both"/>
      </w:pPr>
      <w:r>
        <w:t>9.41 Конструкция жестких упоров должна обеспечивать равномерные деформации бетона по площади смятия и не приводить к раскалыванию бетона, например, из-за наличия углов.</w:t>
      </w:r>
    </w:p>
    <w:p w:rsidR="00212513" w:rsidRDefault="00212513">
      <w:pPr>
        <w:pStyle w:val="ConsPlusNormal"/>
        <w:spacing w:before="220"/>
        <w:ind w:firstLine="540"/>
        <w:jc w:val="both"/>
      </w:pPr>
      <w:r>
        <w:t>При выпуклой форме поверхности, передающей давление с упора на бетон (цилиндрических упорах и др.), зону местного сжатия бетона упором необходимо армировать.</w:t>
      </w:r>
    </w:p>
    <w:p w:rsidR="00212513" w:rsidRDefault="00212513">
      <w:pPr>
        <w:pStyle w:val="ConsPlusNormal"/>
        <w:spacing w:before="220"/>
        <w:ind w:firstLine="540"/>
        <w:jc w:val="both"/>
      </w:pPr>
      <w:r>
        <w:t>9.42 Анкеры следует устраивать, как правило, в виде петель, расположенных под углом 45° к направлению сдвигающих усилий.</w:t>
      </w:r>
    </w:p>
    <w:p w:rsidR="00212513" w:rsidRDefault="00212513">
      <w:pPr>
        <w:pStyle w:val="ConsPlusNormal"/>
        <w:spacing w:before="220"/>
        <w:ind w:firstLine="540"/>
        <w:jc w:val="both"/>
      </w:pPr>
      <w:r>
        <w:t>Допускается применение одиночных арматурных анкеров.</w:t>
      </w:r>
    </w:p>
    <w:p w:rsidR="00212513" w:rsidRDefault="00212513">
      <w:pPr>
        <w:pStyle w:val="ConsPlusNormal"/>
        <w:spacing w:before="220"/>
        <w:ind w:firstLine="540"/>
        <w:jc w:val="both"/>
      </w:pPr>
      <w:r>
        <w:t>В закладных деталях петлевые арматурные анкеры следует, как правило, применять в сочетании с жесткими упорами.</w:t>
      </w:r>
    </w:p>
    <w:p w:rsidR="00212513" w:rsidRDefault="00212513">
      <w:pPr>
        <w:pStyle w:val="ConsPlusNormal"/>
        <w:spacing w:before="220"/>
        <w:ind w:firstLine="540"/>
        <w:jc w:val="both"/>
      </w:pPr>
      <w:r>
        <w:t>9.43 При применении высокопрочных болтов для объединения сборной железобетонной плиты со стальными поясами необходимо:</w:t>
      </w:r>
    </w:p>
    <w:p w:rsidR="00212513" w:rsidRDefault="00212513">
      <w:pPr>
        <w:pStyle w:val="ConsPlusNormal"/>
        <w:spacing w:before="220"/>
        <w:ind w:firstLine="540"/>
        <w:jc w:val="both"/>
      </w:pPr>
      <w:r>
        <w:t>отверстия под высокопрочные болты назначать увеличенных диаметров, обеспечивающих постановку болтов с учетом допусков, установленных нормами изготовления и монтажа;</w:t>
      </w:r>
    </w:p>
    <w:p w:rsidR="00212513" w:rsidRDefault="00212513">
      <w:pPr>
        <w:pStyle w:val="ConsPlusNormal"/>
        <w:spacing w:before="220"/>
        <w:ind w:firstLine="540"/>
        <w:jc w:val="both"/>
      </w:pPr>
      <w:r>
        <w:t>обеспечить возможность устранения неплотностей за счет деформирования стальных листов при стягивании, применения податливых прокладок или других мер.</w:t>
      </w:r>
    </w:p>
    <w:p w:rsidR="00212513" w:rsidRDefault="00212513">
      <w:pPr>
        <w:pStyle w:val="ConsPlusNormal"/>
        <w:spacing w:before="220"/>
        <w:ind w:firstLine="540"/>
        <w:jc w:val="both"/>
      </w:pPr>
      <w:r>
        <w:t>9.44 Железобетонная плита должна быть заанкерена против отрыва ее от стальной части. При жестких упорах, не обеспечивающих заанкеривания железобетонной плиты, следует применять дополнительные меры против ее отрыва.</w:t>
      </w:r>
    </w:p>
    <w:p w:rsidR="00212513" w:rsidRDefault="00212513">
      <w:pPr>
        <w:pStyle w:val="ConsPlusNormal"/>
        <w:spacing w:before="220"/>
        <w:ind w:firstLine="540"/>
        <w:jc w:val="both"/>
      </w:pPr>
      <w:r>
        <w:t>Если в объединении с наклонными анкерами сдвигающая сила может менять направление действия, необходимы постановка наклонных анкеров встречных направлений или сочетание наклонных анкеров с вертикальными.</w:t>
      </w:r>
    </w:p>
    <w:p w:rsidR="00212513" w:rsidRDefault="00212513">
      <w:pPr>
        <w:pStyle w:val="ConsPlusNormal"/>
        <w:spacing w:before="220"/>
        <w:ind w:firstLine="540"/>
        <w:jc w:val="both"/>
      </w:pPr>
      <w:r>
        <w:lastRenderedPageBreak/>
        <w:t>9.45 Поперечные стыки блоков сборной железобетонной плиты рекомендуется устраивать с применением:</w:t>
      </w:r>
    </w:p>
    <w:p w:rsidR="00212513" w:rsidRDefault="00212513">
      <w:pPr>
        <w:pStyle w:val="ConsPlusNormal"/>
        <w:spacing w:before="220"/>
        <w:ind w:firstLine="540"/>
        <w:jc w:val="both"/>
      </w:pPr>
      <w:r>
        <w:t>склеивания торцевых поверхностей с обжатием стыков усилием, создающим давление на торец не менее 0,5 МПа;</w:t>
      </w:r>
    </w:p>
    <w:p w:rsidR="00212513" w:rsidRDefault="00212513">
      <w:pPr>
        <w:pStyle w:val="ConsPlusNormal"/>
        <w:spacing w:before="220"/>
        <w:ind w:firstLine="540"/>
        <w:jc w:val="both"/>
      </w:pPr>
      <w:r>
        <w:t>сварки арматурных выпусков и последующего замоноличивания шва бетоном.</w:t>
      </w:r>
    </w:p>
    <w:p w:rsidR="00212513" w:rsidRDefault="00212513">
      <w:pPr>
        <w:pStyle w:val="ConsPlusNormal"/>
        <w:spacing w:before="220"/>
        <w:ind w:firstLine="540"/>
        <w:jc w:val="both"/>
      </w:pPr>
      <w:r>
        <w:t>9.46 При сборной железобетонной плите, объединенной на всей длине блока, между стальным верхним поясом и железобетонным блоком должен быть предусмотрен слой бетона или раствора, предохраняющий верхний пояс от коррозии. При толщине слоя раствора или бетона 5 см и более его следует армировать.</w:t>
      </w:r>
    </w:p>
    <w:p w:rsidR="00212513" w:rsidRDefault="00212513">
      <w:pPr>
        <w:pStyle w:val="ConsPlusNormal"/>
        <w:spacing w:before="220"/>
        <w:ind w:firstLine="540"/>
        <w:jc w:val="both"/>
      </w:pPr>
      <w:r>
        <w:t>9.47 Объединение стальных балок с монолитной железобетонной плитой следует выполнять посредством: непрерывных гребенчатых упоров из стальных полос, привариваемых к верхним поясам стальных балок; гибких стержневых упоров из арматуры периодического профиля; гибких штыревых упоров.</w:t>
      </w:r>
    </w:p>
    <w:p w:rsidR="00212513" w:rsidRDefault="00212513">
      <w:pPr>
        <w:pStyle w:val="ConsPlusNormal"/>
        <w:ind w:firstLine="540"/>
        <w:jc w:val="both"/>
      </w:pPr>
    </w:p>
    <w:p w:rsidR="00212513" w:rsidRDefault="00212513">
      <w:pPr>
        <w:pStyle w:val="ConsPlusTitle"/>
        <w:ind w:firstLine="540"/>
        <w:jc w:val="both"/>
        <w:outlineLvl w:val="1"/>
      </w:pPr>
      <w:bookmarkStart w:id="431" w:name="P10099"/>
      <w:bookmarkEnd w:id="431"/>
      <w:r>
        <w:t>10 Деревянные конструкции</w:t>
      </w:r>
    </w:p>
    <w:p w:rsidR="00212513" w:rsidRDefault="00212513">
      <w:pPr>
        <w:pStyle w:val="ConsPlusNormal"/>
        <w:ind w:firstLine="540"/>
        <w:jc w:val="both"/>
      </w:pPr>
    </w:p>
    <w:p w:rsidR="00212513" w:rsidRDefault="00212513">
      <w:pPr>
        <w:pStyle w:val="ConsPlusTitle"/>
        <w:ind w:firstLine="540"/>
        <w:jc w:val="both"/>
        <w:outlineLvl w:val="2"/>
      </w:pPr>
      <w:r>
        <w:t>Общие указания</w:t>
      </w:r>
    </w:p>
    <w:p w:rsidR="00212513" w:rsidRDefault="00212513">
      <w:pPr>
        <w:pStyle w:val="ConsPlusNormal"/>
        <w:ind w:firstLine="540"/>
        <w:jc w:val="both"/>
      </w:pPr>
    </w:p>
    <w:p w:rsidR="00212513" w:rsidRDefault="00212513">
      <w:pPr>
        <w:pStyle w:val="ConsPlusNormal"/>
        <w:ind w:firstLine="540"/>
        <w:jc w:val="both"/>
      </w:pPr>
      <w:r>
        <w:t>10.1 Деревянные мосты допускается проектировать в следующих случаях:</w:t>
      </w:r>
    </w:p>
    <w:p w:rsidR="00212513" w:rsidRDefault="00212513">
      <w:pPr>
        <w:pStyle w:val="ConsPlusNormal"/>
        <w:spacing w:before="220"/>
        <w:ind w:firstLine="540"/>
        <w:jc w:val="both"/>
      </w:pPr>
      <w:r>
        <w:t xml:space="preserve">автодорожные мосты - на дорогах IV, VА и VБ категорий по </w:t>
      </w:r>
      <w:hyperlink r:id="rId2411">
        <w:r>
          <w:rPr>
            <w:color w:val="0000FF"/>
          </w:rPr>
          <w:t>ГОСТ Р 58818</w:t>
        </w:r>
      </w:hyperlink>
      <w:r>
        <w:t>;</w:t>
      </w:r>
    </w:p>
    <w:p w:rsidR="00212513" w:rsidRDefault="00212513">
      <w:pPr>
        <w:pStyle w:val="ConsPlusNormal"/>
        <w:spacing w:before="220"/>
        <w:ind w:firstLine="540"/>
        <w:jc w:val="both"/>
      </w:pPr>
      <w:r>
        <w:t>пешеходные мосты - без ограничений;</w:t>
      </w:r>
    </w:p>
    <w:p w:rsidR="00212513" w:rsidRDefault="00212513">
      <w:pPr>
        <w:pStyle w:val="ConsPlusNormal"/>
        <w:spacing w:before="220"/>
        <w:ind w:firstLine="540"/>
        <w:jc w:val="both"/>
      </w:pPr>
      <w:r>
        <w:t>железнодорожные мосты - с ограничениями, указанными далее.</w:t>
      </w:r>
    </w:p>
    <w:p w:rsidR="00212513" w:rsidRDefault="00212513">
      <w:pPr>
        <w:pStyle w:val="ConsPlusNormal"/>
        <w:spacing w:before="220"/>
        <w:ind w:firstLine="540"/>
        <w:jc w:val="both"/>
      </w:pPr>
      <w:r>
        <w:t>Не допускается проектировать:</w:t>
      </w:r>
    </w:p>
    <w:p w:rsidR="00212513" w:rsidRDefault="00212513">
      <w:pPr>
        <w:pStyle w:val="ConsPlusNormal"/>
        <w:spacing w:before="220"/>
        <w:ind w:firstLine="540"/>
        <w:jc w:val="both"/>
      </w:pPr>
      <w:r>
        <w:t>деревянные трубы;</w:t>
      </w:r>
    </w:p>
    <w:p w:rsidR="00212513" w:rsidRDefault="00212513">
      <w:pPr>
        <w:pStyle w:val="ConsPlusNormal"/>
        <w:spacing w:before="220"/>
        <w:ind w:firstLine="540"/>
        <w:jc w:val="both"/>
      </w:pPr>
      <w:r>
        <w:t>деревянные мосты на путях и дорогах, предназначенных для перевозки горячих грузов (жидкого чугуна, шлака).</w:t>
      </w:r>
    </w:p>
    <w:p w:rsidR="00212513" w:rsidRDefault="00212513">
      <w:pPr>
        <w:pStyle w:val="ConsPlusNormal"/>
        <w:jc w:val="both"/>
      </w:pPr>
      <w:r>
        <w:t xml:space="preserve">(абзац введен </w:t>
      </w:r>
      <w:hyperlink r:id="rId2412">
        <w:r>
          <w:rPr>
            <w:color w:val="0000FF"/>
          </w:rPr>
          <w:t>Изменением N 4</w:t>
        </w:r>
      </w:hyperlink>
      <w:r>
        <w:t>, утв. Приказом Минстроя России от 30.05.2024 N 361/пр)</w:t>
      </w:r>
    </w:p>
    <w:p w:rsidR="00212513" w:rsidRDefault="00212513">
      <w:pPr>
        <w:pStyle w:val="ConsPlusNormal"/>
        <w:spacing w:before="220"/>
        <w:ind w:firstLine="540"/>
        <w:jc w:val="both"/>
      </w:pPr>
      <w:r>
        <w:t>В деревянных железнодорожных мостах и элементах всех мостов с клеевыми соединениями следует применять элементы заводского изготовления.</w:t>
      </w:r>
    </w:p>
    <w:p w:rsidR="00212513" w:rsidRDefault="00212513">
      <w:pPr>
        <w:pStyle w:val="ConsPlusNormal"/>
        <w:jc w:val="both"/>
      </w:pPr>
      <w:r>
        <w:t xml:space="preserve">(в ред. </w:t>
      </w:r>
      <w:hyperlink r:id="rId2413">
        <w:r>
          <w:rPr>
            <w:color w:val="0000FF"/>
          </w:rPr>
          <w:t>Изменения N 1</w:t>
        </w:r>
      </w:hyperlink>
      <w:r>
        <w:t xml:space="preserve">, утв. Приказом Минстроя России от 03.12.2016 N 879/пр, </w:t>
      </w:r>
      <w:hyperlink r:id="rId2414">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Железнодорожные деревянные мосты следует применять балочно-эстакадного типа с пролетными строениями в виде прогонов или простых (несоставных) пакетов.</w:t>
      </w:r>
    </w:p>
    <w:p w:rsidR="00212513" w:rsidRDefault="00212513">
      <w:pPr>
        <w:pStyle w:val="ConsPlusNormal"/>
        <w:spacing w:before="220"/>
        <w:ind w:firstLine="540"/>
        <w:jc w:val="both"/>
      </w:pPr>
      <w:r>
        <w:t>Автодорожные деревожелезобетонные и деревометалложелезобетонные пролетные строения с клееными несущими балками и железобетонной плитой проезжей части, включенной в работу на общее действие постоянной и временных нагрузок с использованием стальных гибких упоров, нагелей, винтов или глухарей, рекомендуются к применению при пролетах до 21 м при восприятии ими дополнительных сдвигающих напряжений на контакте дерева с железобетоном или с металлом от изменения температуры.</w:t>
      </w:r>
    </w:p>
    <w:p w:rsidR="00212513" w:rsidRDefault="00212513">
      <w:pPr>
        <w:pStyle w:val="ConsPlusNormal"/>
        <w:jc w:val="both"/>
      </w:pPr>
      <w:r>
        <w:t xml:space="preserve">(в ред. </w:t>
      </w:r>
      <w:hyperlink r:id="rId2415">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t xml:space="preserve">Необходимое количество штырей, нагелей, винтов или глухарей с принятыми для них диаметрами и длинами и схему их расстановки по длине пролетного строения следует определять </w:t>
      </w:r>
      <w:r>
        <w:lastRenderedPageBreak/>
        <w:t xml:space="preserve">в соответствии с </w:t>
      </w:r>
      <w:hyperlink w:anchor="P10454">
        <w:r>
          <w:rPr>
            <w:color w:val="0000FF"/>
          </w:rPr>
          <w:t>10.21, перечисление б)</w:t>
        </w:r>
      </w:hyperlink>
      <w:r>
        <w:t>.</w:t>
      </w:r>
    </w:p>
    <w:p w:rsidR="00212513" w:rsidRDefault="00212513">
      <w:pPr>
        <w:pStyle w:val="ConsPlusNormal"/>
        <w:jc w:val="both"/>
      </w:pPr>
      <w:r>
        <w:t xml:space="preserve">(абзац введен </w:t>
      </w:r>
      <w:hyperlink r:id="rId2416">
        <w:r>
          <w:rPr>
            <w:color w:val="0000FF"/>
          </w:rPr>
          <w:t>Изменением N 3</w:t>
        </w:r>
      </w:hyperlink>
      <w:r>
        <w:t>, утв. Приказом Минстроя России от 29.12.2020 N 891/пр)</w:t>
      </w:r>
    </w:p>
    <w:p w:rsidR="00212513" w:rsidRDefault="00212513">
      <w:pPr>
        <w:pStyle w:val="ConsPlusNormal"/>
        <w:spacing w:before="220"/>
        <w:ind w:firstLine="540"/>
        <w:jc w:val="both"/>
      </w:pPr>
      <w:r>
        <w:t>10.2 Для деревянных мостов следует предусматривать специальные меры по защите древесины от гниения, в необходимых случаях - и от возгорания.</w:t>
      </w:r>
    </w:p>
    <w:p w:rsidR="00212513" w:rsidRDefault="00212513">
      <w:pPr>
        <w:pStyle w:val="ConsPlusNormal"/>
        <w:spacing w:before="220"/>
        <w:ind w:firstLine="540"/>
        <w:jc w:val="both"/>
      </w:pPr>
      <w:r>
        <w:t>10.3 Конструкции деревянных мостов должны обеспечивать доступность всех частей для осмотра и очистки, устранения неплотностей, возникших в соединениях, посредством подтяжки болтов и тяжей, а также допускать возможность простого ремонта отдельных элементов, на железных дорогах - замену капитальными мостами или трубами.</w:t>
      </w:r>
    </w:p>
    <w:p w:rsidR="00212513" w:rsidRDefault="00212513">
      <w:pPr>
        <w:pStyle w:val="ConsPlusNormal"/>
        <w:spacing w:before="220"/>
        <w:ind w:firstLine="540"/>
        <w:jc w:val="both"/>
      </w:pPr>
      <w:r>
        <w:t>Применяемые в конструкциях узлы, стыки и соединения должны обеспечивать равномерное распределение усилий между отдельными элементами и частями сооружения.</w:t>
      </w:r>
    </w:p>
    <w:p w:rsidR="00212513" w:rsidRDefault="00212513">
      <w:pPr>
        <w:pStyle w:val="ConsPlusNormal"/>
        <w:spacing w:before="220"/>
        <w:ind w:firstLine="540"/>
        <w:jc w:val="both"/>
      </w:pPr>
      <w:r>
        <w:t>Особое внимание следует уделять обеспечению условий для проветривания отдельных частей конструкции.</w:t>
      </w:r>
    </w:p>
    <w:p w:rsidR="00212513" w:rsidRDefault="00212513">
      <w:pPr>
        <w:pStyle w:val="ConsPlusNormal"/>
        <w:spacing w:before="220"/>
        <w:ind w:firstLine="540"/>
        <w:jc w:val="both"/>
      </w:pPr>
      <w:r>
        <w:t>10.4 В балочных эстакадных мостах на однорядных опорах для восприятия горизонтальных сил следует устраивать, как правило, каждую пятую опору двухрядной или многорядной.</w:t>
      </w:r>
    </w:p>
    <w:p w:rsidR="00212513" w:rsidRDefault="00212513">
      <w:pPr>
        <w:pStyle w:val="ConsPlusNormal"/>
        <w:spacing w:before="220"/>
        <w:ind w:firstLine="540"/>
        <w:jc w:val="both"/>
      </w:pPr>
      <w:r>
        <w:t>10.5 Деревянные опоры должны быть надежно защищены от воздействия льда и плывущих предметов с помощью обшивок, обстроек и ледорезов.</w:t>
      </w:r>
    </w:p>
    <w:p w:rsidR="00212513" w:rsidRDefault="00212513">
      <w:pPr>
        <w:pStyle w:val="ConsPlusNormal"/>
        <w:ind w:firstLine="540"/>
        <w:jc w:val="both"/>
      </w:pPr>
    </w:p>
    <w:p w:rsidR="00212513" w:rsidRDefault="00212513">
      <w:pPr>
        <w:pStyle w:val="ConsPlusTitle"/>
        <w:ind w:firstLine="540"/>
        <w:jc w:val="both"/>
        <w:outlineLvl w:val="2"/>
      </w:pPr>
      <w:r>
        <w:t>Материалы</w:t>
      </w:r>
    </w:p>
    <w:p w:rsidR="00212513" w:rsidRDefault="00212513">
      <w:pPr>
        <w:pStyle w:val="ConsPlusNormal"/>
        <w:ind w:firstLine="540"/>
        <w:jc w:val="both"/>
      </w:pPr>
    </w:p>
    <w:p w:rsidR="00212513" w:rsidRDefault="00212513">
      <w:pPr>
        <w:pStyle w:val="ConsPlusNormal"/>
        <w:ind w:firstLine="540"/>
        <w:jc w:val="both"/>
      </w:pPr>
      <w:bookmarkStart w:id="432" w:name="P10127"/>
      <w:bookmarkEnd w:id="432"/>
      <w:r>
        <w:t xml:space="preserve">10.6 Для деревянных конструкций мостов следует применять древесину сосны, ели, лиственницы, пихты, удовлетворяющую требованиям </w:t>
      </w:r>
      <w:hyperlink r:id="rId2417">
        <w:r>
          <w:rPr>
            <w:color w:val="0000FF"/>
          </w:rPr>
          <w:t>ГОСТ 9463</w:t>
        </w:r>
      </w:hyperlink>
      <w:r>
        <w:t xml:space="preserve"> и </w:t>
      </w:r>
      <w:hyperlink r:id="rId2418">
        <w:r>
          <w:rPr>
            <w:color w:val="0000FF"/>
          </w:rPr>
          <w:t>ГОСТ 8486</w:t>
        </w:r>
      </w:hyperlink>
      <w:r>
        <w:t>.</w:t>
      </w:r>
    </w:p>
    <w:p w:rsidR="00212513" w:rsidRDefault="00212513">
      <w:pPr>
        <w:pStyle w:val="ConsPlusNormal"/>
        <w:spacing w:before="220"/>
        <w:ind w:firstLine="540"/>
        <w:jc w:val="both"/>
      </w:pPr>
      <w:r>
        <w:t>Растянутые и изгибаемые элементы пролетных строений и мостовые брусья должны выполняться из древесины 1-го сорта. Остальные элементы конструкций мостов могут быть выполнены из древесины 2-го сорта.</w:t>
      </w:r>
    </w:p>
    <w:p w:rsidR="00212513" w:rsidRDefault="00212513">
      <w:pPr>
        <w:pStyle w:val="ConsPlusNormal"/>
        <w:spacing w:before="220"/>
        <w:ind w:firstLine="540"/>
        <w:jc w:val="both"/>
      </w:pPr>
      <w:r>
        <w:t>В крайних зонах (в пределах 1/6 высоты от кромок балок, но не менее двух досок) клееных балок прямоугольного сечения следует применять пиломатериалы 1-го сорта, в остальных зонах допускается применять пиломатериалы 2-го сорта.</w:t>
      </w:r>
    </w:p>
    <w:p w:rsidR="00212513" w:rsidRDefault="00212513">
      <w:pPr>
        <w:pStyle w:val="ConsPlusNormal"/>
        <w:spacing w:before="220"/>
        <w:ind w:firstLine="540"/>
        <w:jc w:val="both"/>
      </w:pPr>
      <w:r>
        <w:t>Для железнодорожных мостов общей сети применение ели и пихты допускается в отдельных случаях при технико-экономическом обосновании.</w:t>
      </w:r>
    </w:p>
    <w:p w:rsidR="00212513" w:rsidRDefault="00212513">
      <w:pPr>
        <w:pStyle w:val="ConsPlusNormal"/>
        <w:spacing w:before="220"/>
        <w:ind w:firstLine="540"/>
        <w:jc w:val="both"/>
      </w:pPr>
      <w:r>
        <w:t xml:space="preserve">Для изготовления мелких деталей соединений (подушек, шпонок и т.п.) следует применять отборную древесину твердых лиственных пород (дуба, ясеня, бука и граба), удовлетворяющую требованиям </w:t>
      </w:r>
      <w:hyperlink r:id="rId2419">
        <w:r>
          <w:rPr>
            <w:color w:val="0000FF"/>
          </w:rPr>
          <w:t>ГОСТ 9462</w:t>
        </w:r>
      </w:hyperlink>
      <w:r>
        <w:t xml:space="preserve">, - для круглого леса лиственных пород и </w:t>
      </w:r>
      <w:hyperlink r:id="rId2420">
        <w:r>
          <w:rPr>
            <w:color w:val="0000FF"/>
          </w:rPr>
          <w:t>ГОСТ 2695</w:t>
        </w:r>
      </w:hyperlink>
      <w:r>
        <w:t xml:space="preserve"> - для пиломатериалов лиственных пород.</w:t>
      </w:r>
    </w:p>
    <w:p w:rsidR="00212513" w:rsidRDefault="00212513">
      <w:pPr>
        <w:pStyle w:val="ConsPlusNormal"/>
        <w:spacing w:before="220"/>
        <w:ind w:firstLine="540"/>
        <w:jc w:val="both"/>
      </w:pPr>
      <w:r>
        <w:t xml:space="preserve">Допускается для опорных брусьев и насадок в опорах мостов применение круглого леса и брусьев из древесины твердых лиственных пород - дуба, бука, ясеня, граба по </w:t>
      </w:r>
      <w:hyperlink r:id="rId2421">
        <w:r>
          <w:rPr>
            <w:color w:val="0000FF"/>
          </w:rPr>
          <w:t>ГОСТ 9462</w:t>
        </w:r>
      </w:hyperlink>
      <w:r>
        <w:t xml:space="preserve"> и </w:t>
      </w:r>
      <w:hyperlink r:id="rId2422">
        <w:r>
          <w:rPr>
            <w:color w:val="0000FF"/>
          </w:rPr>
          <w:t>ГОСТ 2695</w:t>
        </w:r>
      </w:hyperlink>
      <w:r>
        <w:t>.</w:t>
      </w:r>
    </w:p>
    <w:p w:rsidR="00212513" w:rsidRDefault="00212513">
      <w:pPr>
        <w:pStyle w:val="ConsPlusNormal"/>
        <w:spacing w:before="220"/>
        <w:ind w:firstLine="540"/>
        <w:jc w:val="both"/>
      </w:pPr>
      <w:r>
        <w:t>Смешение разных пород древесины в одном несущем элементе не допускается.</w:t>
      </w:r>
    </w:p>
    <w:p w:rsidR="00212513" w:rsidRDefault="00212513">
      <w:pPr>
        <w:pStyle w:val="ConsPlusNormal"/>
        <w:spacing w:before="220"/>
        <w:ind w:firstLine="540"/>
        <w:jc w:val="both"/>
      </w:pPr>
      <w:r>
        <w:t xml:space="preserve">10.7 Прочностные характеристики (нормативное и временное сопротивление) древесины, применяемой для изготовления элементов деревянных мостов, должны соответствовать требованиям, указанным для сортовой древесины в </w:t>
      </w:r>
      <w:hyperlink r:id="rId2423">
        <w:r>
          <w:rPr>
            <w:color w:val="0000FF"/>
          </w:rPr>
          <w:t>СП 64.13330</w:t>
        </w:r>
      </w:hyperlink>
      <w:r>
        <w:t>.</w:t>
      </w:r>
    </w:p>
    <w:p w:rsidR="00212513" w:rsidRDefault="00212513">
      <w:pPr>
        <w:pStyle w:val="ConsPlusNormal"/>
        <w:spacing w:before="220"/>
        <w:ind w:firstLine="540"/>
        <w:jc w:val="both"/>
      </w:pPr>
      <w:r>
        <w:t xml:space="preserve">Лабораторные испытания образцов древесины по прочности следует проводить при сооружении мостов с деревянными фермами и во всех случаях - при наличии признаков </w:t>
      </w:r>
      <w:r>
        <w:lastRenderedPageBreak/>
        <w:t xml:space="preserve">пониженной прочности древесины. Древесина считается пригодной, если полученная при испытаниях прочность не ниже нормативных сопротивлений. Прочность древесины круглых лесоматериалов и брусьев допускается оценивать визуально по соответствующим требованиям, приведенным в государственных стандартах, упомянутых в </w:t>
      </w:r>
      <w:hyperlink w:anchor="P10127">
        <w:r>
          <w:rPr>
            <w:color w:val="0000FF"/>
          </w:rPr>
          <w:t>10.6</w:t>
        </w:r>
      </w:hyperlink>
      <w:r>
        <w:t xml:space="preserve"> настоящего документа.</w:t>
      </w:r>
    </w:p>
    <w:p w:rsidR="00212513" w:rsidRDefault="00212513">
      <w:pPr>
        <w:pStyle w:val="ConsPlusNormal"/>
        <w:spacing w:before="220"/>
        <w:ind w:firstLine="540"/>
        <w:jc w:val="both"/>
      </w:pPr>
      <w:r>
        <w:t>10.8 Влажность применяемой древесины должна быть не более, %: бревен - 25, пиломатериалов - 20, пиломатериалов для клееных конструкций, а также мелких деталей и соединений - 12.</w:t>
      </w:r>
    </w:p>
    <w:p w:rsidR="00212513" w:rsidRDefault="00212513">
      <w:pPr>
        <w:pStyle w:val="ConsPlusNormal"/>
        <w:spacing w:before="220"/>
        <w:ind w:firstLine="540"/>
        <w:jc w:val="both"/>
      </w:pPr>
      <w:r>
        <w:t>В малых автодорожных &lt;1&gt; и городских мостах для верхнего настила, поперечин и колесоотбойных брусьев допускается применять древесину с влажностью до 40%.</w:t>
      </w:r>
    </w:p>
    <w:p w:rsidR="00212513" w:rsidRDefault="00212513">
      <w:pPr>
        <w:pStyle w:val="ConsPlusNormal"/>
        <w:spacing w:before="220"/>
        <w:ind w:firstLine="540"/>
        <w:jc w:val="both"/>
      </w:pPr>
      <w:r>
        <w:t>--------------------------------</w:t>
      </w:r>
    </w:p>
    <w:p w:rsidR="00212513" w:rsidRDefault="00212513">
      <w:pPr>
        <w:pStyle w:val="ConsPlusNormal"/>
        <w:spacing w:before="220"/>
        <w:ind w:firstLine="540"/>
        <w:jc w:val="both"/>
      </w:pPr>
      <w:r>
        <w:t>&lt;1&gt; При отсутствии дополнительных указаний к автодорожным деревянным мостам здесь и далее относятся также деревянные мосты на внутрихозяйственных автомобильных дорогах в сельскохозяйственных предприятиях и организациях.</w:t>
      </w:r>
    </w:p>
    <w:p w:rsidR="00212513" w:rsidRDefault="00212513">
      <w:pPr>
        <w:pStyle w:val="ConsPlusNormal"/>
        <w:ind w:firstLine="540"/>
        <w:jc w:val="both"/>
      </w:pPr>
    </w:p>
    <w:p w:rsidR="00212513" w:rsidRDefault="00212513">
      <w:pPr>
        <w:pStyle w:val="ConsPlusNormal"/>
        <w:ind w:firstLine="540"/>
        <w:jc w:val="both"/>
      </w:pPr>
      <w:r>
        <w:t>Влажность древесины для свай и других элементов, целиком расположенных ниже уровня низких вод, не ограничивается. При изготовлении деревянных конструкций в условиях стройплощадки допускается применять для несущих элементов древесину с влажностью до 25%, а для вспомогательных элементов - с влажностью до 40% при условии ее защиты от гниения.</w:t>
      </w:r>
    </w:p>
    <w:p w:rsidR="00212513" w:rsidRDefault="00212513">
      <w:pPr>
        <w:pStyle w:val="ConsPlusNormal"/>
        <w:spacing w:before="220"/>
        <w:ind w:firstLine="540"/>
        <w:jc w:val="both"/>
      </w:pPr>
      <w:r>
        <w:t xml:space="preserve">10.9 Для стальных и железобетонных элементов деревожелезобетонных и деревометалложелезобетонных пролетных строений следует применять полосовую, фасонную, листовую и арматурные стали, нагели, винты, глухари и бетон, удовлетворяющие требованиям </w:t>
      </w:r>
      <w:hyperlink w:anchor="P1956">
        <w:r>
          <w:rPr>
            <w:color w:val="0000FF"/>
          </w:rPr>
          <w:t>разделов 7</w:t>
        </w:r>
      </w:hyperlink>
      <w:r>
        <w:t xml:space="preserve"> и </w:t>
      </w:r>
      <w:hyperlink w:anchor="P6057">
        <w:r>
          <w:rPr>
            <w:color w:val="0000FF"/>
          </w:rPr>
          <w:t>8</w:t>
        </w:r>
      </w:hyperlink>
      <w:r>
        <w:t>.</w:t>
      </w:r>
    </w:p>
    <w:p w:rsidR="00212513" w:rsidRDefault="00212513">
      <w:pPr>
        <w:pStyle w:val="ConsPlusNormal"/>
        <w:jc w:val="both"/>
      </w:pPr>
      <w:r>
        <w:t xml:space="preserve">(в ред. </w:t>
      </w:r>
      <w:hyperlink r:id="rId2424">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 xml:space="preserve">Гвозди следует применять по </w:t>
      </w:r>
      <w:hyperlink r:id="rId2425">
        <w:r>
          <w:rPr>
            <w:color w:val="0000FF"/>
          </w:rPr>
          <w:t>ГОСТ 4028</w:t>
        </w:r>
      </w:hyperlink>
      <w:r>
        <w:t xml:space="preserve">, а стальные дюбели - по </w:t>
      </w:r>
      <w:hyperlink w:anchor="P19087">
        <w:r>
          <w:rPr>
            <w:color w:val="0000FF"/>
          </w:rPr>
          <w:t>[12]</w:t>
        </w:r>
      </w:hyperlink>
      <w:r>
        <w:t xml:space="preserve">. В обоснованных случаях допускается использовать гвозди винтовые стальные по </w:t>
      </w:r>
      <w:hyperlink w:anchor="P19089">
        <w:r>
          <w:rPr>
            <w:color w:val="0000FF"/>
          </w:rPr>
          <w:t>[13]</w:t>
        </w:r>
      </w:hyperlink>
      <w:r>
        <w:t>.</w:t>
      </w:r>
    </w:p>
    <w:p w:rsidR="00212513" w:rsidRDefault="00212513">
      <w:pPr>
        <w:pStyle w:val="ConsPlusNormal"/>
        <w:spacing w:before="220"/>
        <w:ind w:firstLine="540"/>
        <w:jc w:val="both"/>
      </w:pPr>
      <w:r>
        <w:t xml:space="preserve">10.10 Для склеивания элементов конструкций следует применять клеи, обладающие необходимой прочностью, водостойкостью, биостойкостью и долговечностью: фенольные, резорциновые и фенольно-резорциновые, которые в зависимости от условий эксплуатации должны соответствовать требованиям </w:t>
      </w:r>
      <w:hyperlink r:id="rId2426">
        <w:r>
          <w:rPr>
            <w:color w:val="0000FF"/>
          </w:rPr>
          <w:t>СП 64.13330</w:t>
        </w:r>
      </w:hyperlink>
      <w:r>
        <w:t>.</w:t>
      </w:r>
    </w:p>
    <w:p w:rsidR="00212513" w:rsidRDefault="00212513">
      <w:pPr>
        <w:pStyle w:val="ConsPlusNormal"/>
        <w:spacing w:before="220"/>
        <w:ind w:firstLine="540"/>
        <w:jc w:val="both"/>
      </w:pPr>
      <w:r>
        <w:t>Для склеивания древесины с металлом следует применять эпоксидные клеи.</w:t>
      </w:r>
    </w:p>
    <w:p w:rsidR="00212513" w:rsidRDefault="00212513">
      <w:pPr>
        <w:pStyle w:val="ConsPlusNormal"/>
        <w:ind w:firstLine="540"/>
        <w:jc w:val="both"/>
      </w:pPr>
    </w:p>
    <w:p w:rsidR="00212513" w:rsidRDefault="00212513">
      <w:pPr>
        <w:pStyle w:val="ConsPlusTitle"/>
        <w:ind w:firstLine="540"/>
        <w:jc w:val="both"/>
        <w:outlineLvl w:val="2"/>
      </w:pPr>
      <w:r>
        <w:t>Расчетные характеристики материалов и соединений</w:t>
      </w:r>
    </w:p>
    <w:p w:rsidR="00212513" w:rsidRDefault="00212513">
      <w:pPr>
        <w:pStyle w:val="ConsPlusNormal"/>
        <w:ind w:firstLine="540"/>
        <w:jc w:val="both"/>
      </w:pPr>
    </w:p>
    <w:p w:rsidR="00212513" w:rsidRDefault="00212513">
      <w:pPr>
        <w:pStyle w:val="ConsPlusNormal"/>
        <w:ind w:firstLine="540"/>
        <w:jc w:val="both"/>
      </w:pPr>
      <w:r>
        <w:t>10.11 Расчетные сопротивления древесины сосны 1-го сорта в зависимости от ее влажности следует принимать по таблице 10.1.</w:t>
      </w:r>
    </w:p>
    <w:p w:rsidR="00212513" w:rsidRDefault="00212513">
      <w:pPr>
        <w:pStyle w:val="ConsPlusNormal"/>
        <w:ind w:firstLine="540"/>
        <w:jc w:val="both"/>
      </w:pPr>
    </w:p>
    <w:p w:rsidR="00212513" w:rsidRDefault="00212513">
      <w:pPr>
        <w:pStyle w:val="ConsPlusNormal"/>
        <w:jc w:val="right"/>
      </w:pPr>
      <w:bookmarkStart w:id="433" w:name="P10152"/>
      <w:bookmarkEnd w:id="433"/>
      <w:r>
        <w:t>Таблица 10.1</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62"/>
        <w:gridCol w:w="1587"/>
        <w:gridCol w:w="1359"/>
        <w:gridCol w:w="1360"/>
      </w:tblGrid>
      <w:tr w:rsidR="00212513">
        <w:tc>
          <w:tcPr>
            <w:tcW w:w="4762" w:type="dxa"/>
            <w:vMerge w:val="restart"/>
            <w:tcBorders>
              <w:top w:val="single" w:sz="4" w:space="0" w:color="auto"/>
              <w:bottom w:val="single" w:sz="4" w:space="0" w:color="auto"/>
            </w:tcBorders>
            <w:vAlign w:val="center"/>
          </w:tcPr>
          <w:p w:rsidR="00212513" w:rsidRDefault="00212513">
            <w:pPr>
              <w:pStyle w:val="ConsPlusNormal"/>
              <w:jc w:val="center"/>
            </w:pPr>
            <w:r>
              <w:t>Напряженное состояние и характеристика элементов</w:t>
            </w:r>
          </w:p>
        </w:tc>
        <w:tc>
          <w:tcPr>
            <w:tcW w:w="1587" w:type="dxa"/>
            <w:vMerge w:val="restart"/>
            <w:tcBorders>
              <w:top w:val="single" w:sz="4" w:space="0" w:color="auto"/>
              <w:bottom w:val="single" w:sz="4" w:space="0" w:color="auto"/>
            </w:tcBorders>
            <w:vAlign w:val="center"/>
          </w:tcPr>
          <w:p w:rsidR="00212513" w:rsidRDefault="00212513">
            <w:pPr>
              <w:pStyle w:val="ConsPlusNormal"/>
              <w:jc w:val="center"/>
            </w:pPr>
            <w:r>
              <w:t>Обозначение</w:t>
            </w:r>
          </w:p>
        </w:tc>
        <w:tc>
          <w:tcPr>
            <w:tcW w:w="2719" w:type="dxa"/>
            <w:gridSpan w:val="2"/>
            <w:tcBorders>
              <w:top w:val="single" w:sz="4" w:space="0" w:color="auto"/>
              <w:bottom w:val="single" w:sz="4" w:space="0" w:color="auto"/>
            </w:tcBorders>
            <w:vAlign w:val="center"/>
          </w:tcPr>
          <w:p w:rsidR="00212513" w:rsidRDefault="00212513">
            <w:pPr>
              <w:pStyle w:val="ConsPlusNormal"/>
              <w:jc w:val="center"/>
            </w:pPr>
            <w:r>
              <w:t>Расчетные сопротивления, МПа, при влажности, %</w:t>
            </w:r>
          </w:p>
        </w:tc>
      </w:tr>
      <w:tr w:rsidR="00212513">
        <w:tc>
          <w:tcPr>
            <w:tcW w:w="4762" w:type="dxa"/>
            <w:vMerge/>
            <w:tcBorders>
              <w:top w:val="single" w:sz="4" w:space="0" w:color="auto"/>
              <w:bottom w:val="single" w:sz="4" w:space="0" w:color="auto"/>
            </w:tcBorders>
          </w:tcPr>
          <w:p w:rsidR="00212513" w:rsidRDefault="00212513">
            <w:pPr>
              <w:pStyle w:val="ConsPlusNormal"/>
            </w:pPr>
          </w:p>
        </w:tc>
        <w:tc>
          <w:tcPr>
            <w:tcW w:w="1587" w:type="dxa"/>
            <w:vMerge/>
            <w:tcBorders>
              <w:top w:val="single" w:sz="4" w:space="0" w:color="auto"/>
              <w:bottom w:val="single" w:sz="4" w:space="0" w:color="auto"/>
            </w:tcBorders>
          </w:tcPr>
          <w:p w:rsidR="00212513" w:rsidRDefault="00212513">
            <w:pPr>
              <w:pStyle w:val="ConsPlusNormal"/>
            </w:pPr>
          </w:p>
        </w:tc>
        <w:tc>
          <w:tcPr>
            <w:tcW w:w="1359" w:type="dxa"/>
            <w:tcBorders>
              <w:top w:val="single" w:sz="4" w:space="0" w:color="auto"/>
              <w:bottom w:val="single" w:sz="4" w:space="0" w:color="auto"/>
            </w:tcBorders>
            <w:vAlign w:val="center"/>
          </w:tcPr>
          <w:p w:rsidR="00212513" w:rsidRDefault="00212513">
            <w:pPr>
              <w:pStyle w:val="ConsPlusNormal"/>
              <w:jc w:val="center"/>
            </w:pPr>
            <w:r>
              <w:t>25 и менее</w:t>
            </w:r>
          </w:p>
        </w:tc>
        <w:tc>
          <w:tcPr>
            <w:tcW w:w="1360" w:type="dxa"/>
            <w:tcBorders>
              <w:top w:val="single" w:sz="4" w:space="0" w:color="auto"/>
              <w:bottom w:val="single" w:sz="4" w:space="0" w:color="auto"/>
            </w:tcBorders>
            <w:vAlign w:val="center"/>
          </w:tcPr>
          <w:p w:rsidR="00212513" w:rsidRDefault="00212513">
            <w:pPr>
              <w:pStyle w:val="ConsPlusNormal"/>
              <w:jc w:val="center"/>
            </w:pPr>
            <w:r>
              <w:t>свыше 25</w:t>
            </w:r>
          </w:p>
        </w:tc>
      </w:tr>
      <w:tr w:rsidR="00212513">
        <w:tblPrEx>
          <w:tblBorders>
            <w:insideH w:val="none" w:sz="0" w:space="0" w:color="auto"/>
          </w:tblBorders>
        </w:tblPrEx>
        <w:tc>
          <w:tcPr>
            <w:tcW w:w="4762" w:type="dxa"/>
            <w:tcBorders>
              <w:top w:val="single" w:sz="4" w:space="0" w:color="auto"/>
              <w:bottom w:val="nil"/>
            </w:tcBorders>
          </w:tcPr>
          <w:p w:rsidR="00212513" w:rsidRDefault="00212513">
            <w:pPr>
              <w:pStyle w:val="ConsPlusNormal"/>
            </w:pPr>
            <w:r>
              <w:t>1 Изгиб:</w:t>
            </w:r>
          </w:p>
        </w:tc>
        <w:tc>
          <w:tcPr>
            <w:tcW w:w="1587" w:type="dxa"/>
            <w:tcBorders>
              <w:top w:val="single" w:sz="4" w:space="0" w:color="auto"/>
              <w:bottom w:val="nil"/>
            </w:tcBorders>
          </w:tcPr>
          <w:p w:rsidR="00212513" w:rsidRDefault="00212513">
            <w:pPr>
              <w:pStyle w:val="ConsPlusNormal"/>
              <w:jc w:val="center"/>
            </w:pPr>
            <w:r>
              <w:rPr>
                <w:noProof/>
                <w:position w:val="-8"/>
              </w:rPr>
              <w:drawing>
                <wp:inline distT="0" distB="0" distL="0" distR="0">
                  <wp:extent cx="251460" cy="251460"/>
                  <wp:effectExtent l="0" t="0" r="0" b="0"/>
                  <wp:docPr id="18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c>
          <w:tcPr>
            <w:tcW w:w="1359" w:type="dxa"/>
            <w:tcBorders>
              <w:top w:val="single" w:sz="4" w:space="0" w:color="auto"/>
              <w:bottom w:val="nil"/>
            </w:tcBorders>
          </w:tcPr>
          <w:p w:rsidR="00212513" w:rsidRDefault="00212513">
            <w:pPr>
              <w:pStyle w:val="ConsPlusNormal"/>
              <w:jc w:val="center"/>
            </w:pPr>
          </w:p>
        </w:tc>
        <w:tc>
          <w:tcPr>
            <w:tcW w:w="1360" w:type="dxa"/>
            <w:tcBorders>
              <w:top w:val="single" w:sz="4" w:space="0" w:color="auto"/>
              <w:bottom w:val="nil"/>
            </w:tcBorders>
          </w:tcPr>
          <w:p w:rsidR="00212513" w:rsidRDefault="00212513">
            <w:pPr>
              <w:pStyle w:val="ConsPlusNormal"/>
              <w:jc w:val="center"/>
            </w:pPr>
          </w:p>
        </w:tc>
      </w:tr>
      <w:tr w:rsidR="00212513">
        <w:tblPrEx>
          <w:tblBorders>
            <w:insideH w:val="none" w:sz="0" w:space="0" w:color="auto"/>
          </w:tblBorders>
        </w:tblPrEx>
        <w:tc>
          <w:tcPr>
            <w:tcW w:w="4762" w:type="dxa"/>
            <w:tcBorders>
              <w:top w:val="nil"/>
              <w:bottom w:val="nil"/>
            </w:tcBorders>
          </w:tcPr>
          <w:p w:rsidR="00212513" w:rsidRDefault="00212513">
            <w:pPr>
              <w:pStyle w:val="ConsPlusNormal"/>
              <w:ind w:left="283"/>
            </w:pPr>
            <w:r>
              <w:t>а) элементов из бревен естественной коничности</w:t>
            </w:r>
          </w:p>
        </w:tc>
        <w:tc>
          <w:tcPr>
            <w:tcW w:w="1587" w:type="dxa"/>
            <w:tcBorders>
              <w:top w:val="nil"/>
              <w:bottom w:val="nil"/>
            </w:tcBorders>
          </w:tcPr>
          <w:p w:rsidR="00212513" w:rsidRDefault="00212513">
            <w:pPr>
              <w:pStyle w:val="ConsPlusNormal"/>
              <w:jc w:val="center"/>
            </w:pPr>
          </w:p>
        </w:tc>
        <w:tc>
          <w:tcPr>
            <w:tcW w:w="1359" w:type="dxa"/>
            <w:tcBorders>
              <w:top w:val="nil"/>
              <w:bottom w:val="nil"/>
            </w:tcBorders>
          </w:tcPr>
          <w:p w:rsidR="00212513" w:rsidRDefault="00212513">
            <w:pPr>
              <w:pStyle w:val="ConsPlusNormal"/>
              <w:jc w:val="center"/>
            </w:pPr>
            <w:r>
              <w:t>17,7</w:t>
            </w:r>
          </w:p>
        </w:tc>
        <w:tc>
          <w:tcPr>
            <w:tcW w:w="1360" w:type="dxa"/>
            <w:tcBorders>
              <w:top w:val="nil"/>
              <w:bottom w:val="nil"/>
            </w:tcBorders>
          </w:tcPr>
          <w:p w:rsidR="00212513" w:rsidRDefault="00212513">
            <w:pPr>
              <w:pStyle w:val="ConsPlusNormal"/>
              <w:jc w:val="center"/>
            </w:pPr>
            <w:r>
              <w:t>15,2</w:t>
            </w:r>
          </w:p>
        </w:tc>
      </w:tr>
      <w:tr w:rsidR="00212513">
        <w:tblPrEx>
          <w:tblBorders>
            <w:insideH w:val="none" w:sz="0" w:space="0" w:color="auto"/>
          </w:tblBorders>
        </w:tblPrEx>
        <w:tc>
          <w:tcPr>
            <w:tcW w:w="4762" w:type="dxa"/>
            <w:tcBorders>
              <w:top w:val="nil"/>
              <w:bottom w:val="nil"/>
            </w:tcBorders>
          </w:tcPr>
          <w:p w:rsidR="00212513" w:rsidRDefault="00212513">
            <w:pPr>
              <w:pStyle w:val="ConsPlusNormal"/>
              <w:ind w:left="283"/>
            </w:pPr>
            <w:r>
              <w:lastRenderedPageBreak/>
              <w:t>б) элементов из брусьев и окантованных бревен</w:t>
            </w:r>
          </w:p>
        </w:tc>
        <w:tc>
          <w:tcPr>
            <w:tcW w:w="1587" w:type="dxa"/>
            <w:tcBorders>
              <w:top w:val="nil"/>
              <w:bottom w:val="nil"/>
            </w:tcBorders>
          </w:tcPr>
          <w:p w:rsidR="00212513" w:rsidRDefault="00212513">
            <w:pPr>
              <w:pStyle w:val="ConsPlusNormal"/>
              <w:jc w:val="center"/>
            </w:pPr>
          </w:p>
        </w:tc>
        <w:tc>
          <w:tcPr>
            <w:tcW w:w="1359" w:type="dxa"/>
            <w:tcBorders>
              <w:top w:val="nil"/>
              <w:bottom w:val="nil"/>
            </w:tcBorders>
          </w:tcPr>
          <w:p w:rsidR="00212513" w:rsidRDefault="00212513">
            <w:pPr>
              <w:pStyle w:val="ConsPlusNormal"/>
              <w:jc w:val="center"/>
            </w:pPr>
            <w:r>
              <w:t>15,7</w:t>
            </w:r>
          </w:p>
        </w:tc>
        <w:tc>
          <w:tcPr>
            <w:tcW w:w="1360" w:type="dxa"/>
            <w:tcBorders>
              <w:top w:val="nil"/>
              <w:bottom w:val="nil"/>
            </w:tcBorders>
          </w:tcPr>
          <w:p w:rsidR="00212513" w:rsidRDefault="00212513">
            <w:pPr>
              <w:pStyle w:val="ConsPlusNormal"/>
              <w:jc w:val="center"/>
            </w:pPr>
            <w:r>
              <w:t>13,7</w:t>
            </w:r>
          </w:p>
        </w:tc>
      </w:tr>
      <w:tr w:rsidR="00212513">
        <w:tblPrEx>
          <w:tblBorders>
            <w:insideH w:val="none" w:sz="0" w:space="0" w:color="auto"/>
          </w:tblBorders>
        </w:tblPrEx>
        <w:tc>
          <w:tcPr>
            <w:tcW w:w="4762" w:type="dxa"/>
            <w:tcBorders>
              <w:top w:val="nil"/>
              <w:bottom w:val="nil"/>
            </w:tcBorders>
          </w:tcPr>
          <w:p w:rsidR="00212513" w:rsidRDefault="00212513">
            <w:pPr>
              <w:pStyle w:val="ConsPlusNormal"/>
              <w:ind w:left="283"/>
            </w:pPr>
            <w:r>
              <w:t>в) досок настила и др.</w:t>
            </w:r>
          </w:p>
        </w:tc>
        <w:tc>
          <w:tcPr>
            <w:tcW w:w="1587" w:type="dxa"/>
            <w:tcBorders>
              <w:top w:val="nil"/>
              <w:bottom w:val="nil"/>
            </w:tcBorders>
          </w:tcPr>
          <w:p w:rsidR="00212513" w:rsidRDefault="00212513">
            <w:pPr>
              <w:pStyle w:val="ConsPlusNormal"/>
              <w:jc w:val="center"/>
            </w:pPr>
          </w:p>
        </w:tc>
        <w:tc>
          <w:tcPr>
            <w:tcW w:w="1359" w:type="dxa"/>
            <w:tcBorders>
              <w:top w:val="nil"/>
              <w:bottom w:val="nil"/>
            </w:tcBorders>
          </w:tcPr>
          <w:p w:rsidR="00212513" w:rsidRDefault="00212513">
            <w:pPr>
              <w:pStyle w:val="ConsPlusNormal"/>
              <w:jc w:val="center"/>
            </w:pPr>
            <w:r>
              <w:t>13,7</w:t>
            </w:r>
          </w:p>
        </w:tc>
        <w:tc>
          <w:tcPr>
            <w:tcW w:w="1360" w:type="dxa"/>
            <w:tcBorders>
              <w:top w:val="nil"/>
              <w:bottom w:val="nil"/>
            </w:tcBorders>
          </w:tcPr>
          <w:p w:rsidR="00212513" w:rsidRDefault="00212513">
            <w:pPr>
              <w:pStyle w:val="ConsPlusNormal"/>
              <w:jc w:val="center"/>
            </w:pPr>
            <w:r>
              <w:t>11,8</w:t>
            </w:r>
          </w:p>
        </w:tc>
      </w:tr>
      <w:tr w:rsidR="00212513">
        <w:tblPrEx>
          <w:tblBorders>
            <w:insideH w:val="none" w:sz="0" w:space="0" w:color="auto"/>
          </w:tblBorders>
        </w:tblPrEx>
        <w:tc>
          <w:tcPr>
            <w:tcW w:w="4762" w:type="dxa"/>
            <w:tcBorders>
              <w:top w:val="nil"/>
              <w:bottom w:val="nil"/>
            </w:tcBorders>
          </w:tcPr>
          <w:p w:rsidR="00212513" w:rsidRDefault="00212513">
            <w:pPr>
              <w:pStyle w:val="ConsPlusNormal"/>
            </w:pPr>
            <w:r>
              <w:t>2 Растяжение вдоль волокон</w:t>
            </w:r>
          </w:p>
        </w:tc>
        <w:tc>
          <w:tcPr>
            <w:tcW w:w="1587" w:type="dxa"/>
            <w:tcBorders>
              <w:top w:val="nil"/>
              <w:bottom w:val="nil"/>
            </w:tcBorders>
          </w:tcPr>
          <w:p w:rsidR="00212513" w:rsidRDefault="00212513">
            <w:pPr>
              <w:pStyle w:val="ConsPlusNormal"/>
              <w:jc w:val="center"/>
            </w:pPr>
            <w:r>
              <w:rPr>
                <w:noProof/>
                <w:position w:val="-8"/>
              </w:rPr>
              <w:drawing>
                <wp:inline distT="0" distB="0" distL="0" distR="0">
                  <wp:extent cx="241935" cy="251460"/>
                  <wp:effectExtent l="0" t="0" r="0" b="0"/>
                  <wp:docPr id="18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8"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p>
        </w:tc>
        <w:tc>
          <w:tcPr>
            <w:tcW w:w="1359" w:type="dxa"/>
            <w:tcBorders>
              <w:top w:val="nil"/>
              <w:bottom w:val="nil"/>
            </w:tcBorders>
          </w:tcPr>
          <w:p w:rsidR="00212513" w:rsidRDefault="00212513">
            <w:pPr>
              <w:pStyle w:val="ConsPlusNormal"/>
              <w:jc w:val="center"/>
            </w:pPr>
            <w:r>
              <w:t>11,8</w:t>
            </w:r>
          </w:p>
        </w:tc>
        <w:tc>
          <w:tcPr>
            <w:tcW w:w="1360" w:type="dxa"/>
            <w:tcBorders>
              <w:top w:val="nil"/>
              <w:bottom w:val="nil"/>
            </w:tcBorders>
          </w:tcPr>
          <w:p w:rsidR="00212513" w:rsidRDefault="00212513">
            <w:pPr>
              <w:pStyle w:val="ConsPlusNormal"/>
              <w:jc w:val="center"/>
            </w:pPr>
            <w:r>
              <w:t>9,8</w:t>
            </w:r>
          </w:p>
        </w:tc>
      </w:tr>
      <w:tr w:rsidR="00212513">
        <w:tblPrEx>
          <w:tblBorders>
            <w:insideH w:val="none" w:sz="0" w:space="0" w:color="auto"/>
          </w:tblBorders>
        </w:tblPrEx>
        <w:tc>
          <w:tcPr>
            <w:tcW w:w="4762" w:type="dxa"/>
            <w:tcBorders>
              <w:top w:val="nil"/>
              <w:bottom w:val="nil"/>
            </w:tcBorders>
          </w:tcPr>
          <w:p w:rsidR="00212513" w:rsidRDefault="00212513">
            <w:pPr>
              <w:pStyle w:val="ConsPlusNormal"/>
            </w:pPr>
            <w:r>
              <w:t>3 Сжатие и смятие вдоль волокон</w:t>
            </w:r>
          </w:p>
        </w:tc>
        <w:tc>
          <w:tcPr>
            <w:tcW w:w="1587" w:type="dxa"/>
            <w:tcBorders>
              <w:top w:val="nil"/>
              <w:bottom w:val="nil"/>
            </w:tcBorders>
          </w:tcPr>
          <w:p w:rsidR="00212513" w:rsidRDefault="00212513">
            <w:pPr>
              <w:pStyle w:val="ConsPlusNormal"/>
              <w:jc w:val="center"/>
            </w:pPr>
            <w:r>
              <w:rPr>
                <w:noProof/>
                <w:position w:val="-8"/>
              </w:rPr>
              <w:drawing>
                <wp:inline distT="0" distB="0" distL="0" distR="0">
                  <wp:extent cx="251460" cy="251460"/>
                  <wp:effectExtent l="0" t="0" r="0" b="0"/>
                  <wp:docPr id="18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9"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w:t>
            </w:r>
            <w:r>
              <w:rPr>
                <w:noProof/>
                <w:position w:val="-9"/>
              </w:rPr>
              <w:drawing>
                <wp:inline distT="0" distB="0" distL="0" distR="0">
                  <wp:extent cx="293370" cy="262890"/>
                  <wp:effectExtent l="0" t="0" r="0" b="0"/>
                  <wp:docPr id="18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0" cstate="print">
                            <a:extLst>
                              <a:ext uri="{28A0092B-C50C-407E-A947-70E740481C1C}">
                                <a14:useLocalDpi xmlns:a14="http://schemas.microsoft.com/office/drawing/2010/main" val="0"/>
                              </a:ext>
                            </a:extLst>
                          </a:blip>
                          <a:srcRect/>
                          <a:stretch>
                            <a:fillRect/>
                          </a:stretch>
                        </pic:blipFill>
                        <pic:spPr bwMode="auto">
                          <a:xfrm>
                            <a:off x="0" y="0"/>
                            <a:ext cx="293370" cy="262890"/>
                          </a:xfrm>
                          <a:prstGeom prst="rect">
                            <a:avLst/>
                          </a:prstGeom>
                          <a:noFill/>
                          <a:ln>
                            <a:noFill/>
                          </a:ln>
                        </pic:spPr>
                      </pic:pic>
                    </a:graphicData>
                  </a:graphic>
                </wp:inline>
              </w:drawing>
            </w:r>
          </w:p>
        </w:tc>
        <w:tc>
          <w:tcPr>
            <w:tcW w:w="1359" w:type="dxa"/>
            <w:tcBorders>
              <w:top w:val="nil"/>
              <w:bottom w:val="nil"/>
            </w:tcBorders>
          </w:tcPr>
          <w:p w:rsidR="00212513" w:rsidRDefault="00212513">
            <w:pPr>
              <w:pStyle w:val="ConsPlusNormal"/>
              <w:jc w:val="center"/>
            </w:pPr>
            <w:r>
              <w:t>14,7</w:t>
            </w:r>
          </w:p>
        </w:tc>
        <w:tc>
          <w:tcPr>
            <w:tcW w:w="1360" w:type="dxa"/>
            <w:tcBorders>
              <w:top w:val="nil"/>
              <w:bottom w:val="nil"/>
            </w:tcBorders>
          </w:tcPr>
          <w:p w:rsidR="00212513" w:rsidRDefault="00212513">
            <w:pPr>
              <w:pStyle w:val="ConsPlusNormal"/>
              <w:jc w:val="center"/>
            </w:pPr>
            <w:r>
              <w:t>11,8</w:t>
            </w:r>
          </w:p>
        </w:tc>
      </w:tr>
      <w:tr w:rsidR="00212513">
        <w:tblPrEx>
          <w:tblBorders>
            <w:insideH w:val="none" w:sz="0" w:space="0" w:color="auto"/>
          </w:tblBorders>
        </w:tblPrEx>
        <w:tc>
          <w:tcPr>
            <w:tcW w:w="4762" w:type="dxa"/>
            <w:tcBorders>
              <w:top w:val="nil"/>
              <w:bottom w:val="nil"/>
            </w:tcBorders>
          </w:tcPr>
          <w:p w:rsidR="00212513" w:rsidRDefault="00212513">
            <w:pPr>
              <w:pStyle w:val="ConsPlusNormal"/>
            </w:pPr>
            <w:r>
              <w:t>4 Сжатие и смятие всей поверхности поперек волокон</w:t>
            </w:r>
          </w:p>
        </w:tc>
        <w:tc>
          <w:tcPr>
            <w:tcW w:w="1587" w:type="dxa"/>
            <w:tcBorders>
              <w:top w:val="nil"/>
              <w:bottom w:val="nil"/>
            </w:tcBorders>
          </w:tcPr>
          <w:p w:rsidR="00212513" w:rsidRDefault="00212513">
            <w:pPr>
              <w:pStyle w:val="ConsPlusNormal"/>
              <w:jc w:val="center"/>
            </w:pPr>
            <w:r>
              <w:rPr>
                <w:noProof/>
                <w:position w:val="-9"/>
              </w:rPr>
              <w:drawing>
                <wp:inline distT="0" distB="0" distL="0" distR="0">
                  <wp:extent cx="251460" cy="262890"/>
                  <wp:effectExtent l="0" t="0" r="0" b="0"/>
                  <wp:docPr id="18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1"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p>
        </w:tc>
        <w:tc>
          <w:tcPr>
            <w:tcW w:w="1359" w:type="dxa"/>
            <w:tcBorders>
              <w:top w:val="nil"/>
              <w:bottom w:val="nil"/>
            </w:tcBorders>
          </w:tcPr>
          <w:p w:rsidR="00212513" w:rsidRDefault="00212513">
            <w:pPr>
              <w:pStyle w:val="ConsPlusNormal"/>
              <w:jc w:val="center"/>
            </w:pPr>
            <w:r>
              <w:t>1,77</w:t>
            </w:r>
          </w:p>
        </w:tc>
        <w:tc>
          <w:tcPr>
            <w:tcW w:w="1360" w:type="dxa"/>
            <w:tcBorders>
              <w:top w:val="nil"/>
              <w:bottom w:val="nil"/>
            </w:tcBorders>
          </w:tcPr>
          <w:p w:rsidR="00212513" w:rsidRDefault="00212513">
            <w:pPr>
              <w:pStyle w:val="ConsPlusNormal"/>
              <w:jc w:val="center"/>
            </w:pPr>
            <w:r>
              <w:t>1,47</w:t>
            </w:r>
          </w:p>
        </w:tc>
      </w:tr>
      <w:tr w:rsidR="00212513">
        <w:tblPrEx>
          <w:tblBorders>
            <w:insideH w:val="none" w:sz="0" w:space="0" w:color="auto"/>
          </w:tblBorders>
        </w:tblPrEx>
        <w:tc>
          <w:tcPr>
            <w:tcW w:w="4762" w:type="dxa"/>
            <w:tcBorders>
              <w:top w:val="nil"/>
              <w:bottom w:val="nil"/>
            </w:tcBorders>
          </w:tcPr>
          <w:p w:rsidR="00212513" w:rsidRDefault="00212513">
            <w:pPr>
              <w:pStyle w:val="ConsPlusNormal"/>
            </w:pPr>
            <w:bookmarkStart w:id="434" w:name="P10187"/>
            <w:bookmarkEnd w:id="434"/>
            <w:r>
              <w:t>5 Смятие местное поперек волокон:</w:t>
            </w:r>
          </w:p>
        </w:tc>
        <w:tc>
          <w:tcPr>
            <w:tcW w:w="1587" w:type="dxa"/>
            <w:tcBorders>
              <w:top w:val="nil"/>
              <w:bottom w:val="nil"/>
            </w:tcBorders>
          </w:tcPr>
          <w:p w:rsidR="00212513" w:rsidRDefault="00212513">
            <w:pPr>
              <w:pStyle w:val="ConsPlusNormal"/>
              <w:jc w:val="center"/>
            </w:pPr>
            <w:r>
              <w:rPr>
                <w:noProof/>
                <w:position w:val="-9"/>
              </w:rPr>
              <w:drawing>
                <wp:inline distT="0" distB="0" distL="0" distR="0">
                  <wp:extent cx="304165" cy="262890"/>
                  <wp:effectExtent l="0" t="0" r="0" b="0"/>
                  <wp:docPr id="18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2" cstate="print">
                            <a:extLst>
                              <a:ext uri="{28A0092B-C50C-407E-A947-70E740481C1C}">
                                <a14:useLocalDpi xmlns:a14="http://schemas.microsoft.com/office/drawing/2010/main" val="0"/>
                              </a:ext>
                            </a:extLst>
                          </a:blip>
                          <a:srcRect/>
                          <a:stretch>
                            <a:fillRect/>
                          </a:stretch>
                        </pic:blipFill>
                        <pic:spPr bwMode="auto">
                          <a:xfrm>
                            <a:off x="0" y="0"/>
                            <a:ext cx="304165" cy="262890"/>
                          </a:xfrm>
                          <a:prstGeom prst="rect">
                            <a:avLst/>
                          </a:prstGeom>
                          <a:noFill/>
                          <a:ln>
                            <a:noFill/>
                          </a:ln>
                        </pic:spPr>
                      </pic:pic>
                    </a:graphicData>
                  </a:graphic>
                </wp:inline>
              </w:drawing>
            </w:r>
          </w:p>
        </w:tc>
        <w:tc>
          <w:tcPr>
            <w:tcW w:w="1359" w:type="dxa"/>
            <w:tcBorders>
              <w:top w:val="nil"/>
              <w:bottom w:val="nil"/>
            </w:tcBorders>
          </w:tcPr>
          <w:p w:rsidR="00212513" w:rsidRDefault="00212513">
            <w:pPr>
              <w:pStyle w:val="ConsPlusNormal"/>
              <w:jc w:val="center"/>
            </w:pPr>
          </w:p>
        </w:tc>
        <w:tc>
          <w:tcPr>
            <w:tcW w:w="1360" w:type="dxa"/>
            <w:tcBorders>
              <w:top w:val="nil"/>
              <w:bottom w:val="nil"/>
            </w:tcBorders>
          </w:tcPr>
          <w:p w:rsidR="00212513" w:rsidRDefault="00212513">
            <w:pPr>
              <w:pStyle w:val="ConsPlusNormal"/>
              <w:jc w:val="center"/>
            </w:pPr>
          </w:p>
        </w:tc>
      </w:tr>
      <w:tr w:rsidR="00212513">
        <w:tblPrEx>
          <w:tblBorders>
            <w:insideH w:val="none" w:sz="0" w:space="0" w:color="auto"/>
          </w:tblBorders>
        </w:tblPrEx>
        <w:tc>
          <w:tcPr>
            <w:tcW w:w="4762" w:type="dxa"/>
            <w:tcBorders>
              <w:top w:val="nil"/>
              <w:bottom w:val="nil"/>
            </w:tcBorders>
          </w:tcPr>
          <w:p w:rsidR="00212513" w:rsidRDefault="00212513">
            <w:pPr>
              <w:pStyle w:val="ConsPlusNormal"/>
              <w:ind w:left="283"/>
            </w:pPr>
            <w:r>
              <w:t>а) в лобовых врубках (при длине площади смятия до 15 см)</w:t>
            </w:r>
          </w:p>
        </w:tc>
        <w:tc>
          <w:tcPr>
            <w:tcW w:w="1587" w:type="dxa"/>
            <w:tcBorders>
              <w:top w:val="nil"/>
              <w:bottom w:val="nil"/>
            </w:tcBorders>
          </w:tcPr>
          <w:p w:rsidR="00212513" w:rsidRDefault="00212513">
            <w:pPr>
              <w:pStyle w:val="ConsPlusNormal"/>
              <w:jc w:val="center"/>
            </w:pPr>
          </w:p>
        </w:tc>
        <w:tc>
          <w:tcPr>
            <w:tcW w:w="1359" w:type="dxa"/>
            <w:tcBorders>
              <w:top w:val="nil"/>
              <w:bottom w:val="nil"/>
            </w:tcBorders>
          </w:tcPr>
          <w:p w:rsidR="00212513" w:rsidRDefault="00212513">
            <w:pPr>
              <w:pStyle w:val="ConsPlusNormal"/>
              <w:jc w:val="center"/>
            </w:pPr>
            <w:r>
              <w:t>3,1</w:t>
            </w:r>
          </w:p>
        </w:tc>
        <w:tc>
          <w:tcPr>
            <w:tcW w:w="1360" w:type="dxa"/>
            <w:tcBorders>
              <w:top w:val="nil"/>
              <w:bottom w:val="nil"/>
            </w:tcBorders>
          </w:tcPr>
          <w:p w:rsidR="00212513" w:rsidRDefault="00212513">
            <w:pPr>
              <w:pStyle w:val="ConsPlusNormal"/>
              <w:jc w:val="center"/>
            </w:pPr>
            <w:r>
              <w:t>2,5</w:t>
            </w:r>
          </w:p>
        </w:tc>
      </w:tr>
      <w:tr w:rsidR="00212513">
        <w:tblPrEx>
          <w:tblBorders>
            <w:insideH w:val="none" w:sz="0" w:space="0" w:color="auto"/>
          </w:tblBorders>
        </w:tblPrEx>
        <w:tc>
          <w:tcPr>
            <w:tcW w:w="4762" w:type="dxa"/>
            <w:tcBorders>
              <w:top w:val="nil"/>
              <w:bottom w:val="nil"/>
            </w:tcBorders>
          </w:tcPr>
          <w:p w:rsidR="00212513" w:rsidRDefault="00212513">
            <w:pPr>
              <w:pStyle w:val="ConsPlusNormal"/>
              <w:ind w:left="283"/>
            </w:pPr>
            <w:r>
              <w:t>б) под шайбами при углах смятия от 90° до 60°</w:t>
            </w:r>
          </w:p>
        </w:tc>
        <w:tc>
          <w:tcPr>
            <w:tcW w:w="1587" w:type="dxa"/>
            <w:tcBorders>
              <w:top w:val="nil"/>
              <w:bottom w:val="nil"/>
            </w:tcBorders>
          </w:tcPr>
          <w:p w:rsidR="00212513" w:rsidRDefault="00212513">
            <w:pPr>
              <w:pStyle w:val="ConsPlusNormal"/>
              <w:jc w:val="center"/>
            </w:pPr>
          </w:p>
        </w:tc>
        <w:tc>
          <w:tcPr>
            <w:tcW w:w="1359" w:type="dxa"/>
            <w:tcBorders>
              <w:top w:val="nil"/>
              <w:bottom w:val="nil"/>
            </w:tcBorders>
          </w:tcPr>
          <w:p w:rsidR="00212513" w:rsidRDefault="00212513">
            <w:pPr>
              <w:pStyle w:val="ConsPlusNormal"/>
              <w:jc w:val="center"/>
            </w:pPr>
            <w:r>
              <w:t>3,9</w:t>
            </w:r>
          </w:p>
        </w:tc>
        <w:tc>
          <w:tcPr>
            <w:tcW w:w="1360" w:type="dxa"/>
            <w:tcBorders>
              <w:top w:val="nil"/>
              <w:bottom w:val="nil"/>
            </w:tcBorders>
          </w:tcPr>
          <w:p w:rsidR="00212513" w:rsidRDefault="00212513">
            <w:pPr>
              <w:pStyle w:val="ConsPlusNormal"/>
              <w:jc w:val="center"/>
            </w:pPr>
            <w:r>
              <w:t>3,3</w:t>
            </w:r>
          </w:p>
        </w:tc>
      </w:tr>
      <w:tr w:rsidR="00212513">
        <w:tblPrEx>
          <w:tblBorders>
            <w:insideH w:val="none" w:sz="0" w:space="0" w:color="auto"/>
          </w:tblBorders>
        </w:tblPrEx>
        <w:tc>
          <w:tcPr>
            <w:tcW w:w="4762" w:type="dxa"/>
            <w:tcBorders>
              <w:top w:val="nil"/>
              <w:bottom w:val="nil"/>
            </w:tcBorders>
          </w:tcPr>
          <w:p w:rsidR="00212513" w:rsidRDefault="00212513">
            <w:pPr>
              <w:pStyle w:val="ConsPlusNormal"/>
            </w:pPr>
            <w:r>
              <w:t>6 Скалывание (наибольшее) вдоль волокон при изгибе</w:t>
            </w:r>
          </w:p>
        </w:tc>
        <w:tc>
          <w:tcPr>
            <w:tcW w:w="1587" w:type="dxa"/>
            <w:tcBorders>
              <w:top w:val="nil"/>
              <w:bottom w:val="nil"/>
            </w:tcBorders>
          </w:tcPr>
          <w:p w:rsidR="00212513" w:rsidRDefault="00212513">
            <w:pPr>
              <w:pStyle w:val="ConsPlusNormal"/>
              <w:jc w:val="center"/>
            </w:pPr>
            <w:r>
              <w:rPr>
                <w:noProof/>
                <w:position w:val="-8"/>
              </w:rPr>
              <w:drawing>
                <wp:inline distT="0" distB="0" distL="0" distR="0">
                  <wp:extent cx="304165" cy="251460"/>
                  <wp:effectExtent l="0" t="0" r="0" b="0"/>
                  <wp:docPr id="18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3" cstate="print">
                            <a:extLst>
                              <a:ext uri="{28A0092B-C50C-407E-A947-70E740481C1C}">
                                <a14:useLocalDpi xmlns:a14="http://schemas.microsoft.com/office/drawing/2010/main" val="0"/>
                              </a:ext>
                            </a:extLst>
                          </a:blip>
                          <a:srcRect/>
                          <a:stretch>
                            <a:fillRect/>
                          </a:stretch>
                        </pic:blipFill>
                        <pic:spPr bwMode="auto">
                          <a:xfrm>
                            <a:off x="0" y="0"/>
                            <a:ext cx="304165" cy="251460"/>
                          </a:xfrm>
                          <a:prstGeom prst="rect">
                            <a:avLst/>
                          </a:prstGeom>
                          <a:noFill/>
                          <a:ln>
                            <a:noFill/>
                          </a:ln>
                        </pic:spPr>
                      </pic:pic>
                    </a:graphicData>
                  </a:graphic>
                </wp:inline>
              </w:drawing>
            </w:r>
          </w:p>
        </w:tc>
        <w:tc>
          <w:tcPr>
            <w:tcW w:w="1359" w:type="dxa"/>
            <w:tcBorders>
              <w:top w:val="nil"/>
              <w:bottom w:val="nil"/>
            </w:tcBorders>
          </w:tcPr>
          <w:p w:rsidR="00212513" w:rsidRDefault="00212513">
            <w:pPr>
              <w:pStyle w:val="ConsPlusNormal"/>
              <w:jc w:val="center"/>
            </w:pPr>
            <w:r>
              <w:t>2,35</w:t>
            </w:r>
          </w:p>
        </w:tc>
        <w:tc>
          <w:tcPr>
            <w:tcW w:w="1360" w:type="dxa"/>
            <w:tcBorders>
              <w:top w:val="nil"/>
              <w:bottom w:val="nil"/>
            </w:tcBorders>
          </w:tcPr>
          <w:p w:rsidR="00212513" w:rsidRDefault="00212513">
            <w:pPr>
              <w:pStyle w:val="ConsPlusNormal"/>
              <w:jc w:val="center"/>
            </w:pPr>
            <w:r>
              <w:t>2,15</w:t>
            </w:r>
          </w:p>
        </w:tc>
      </w:tr>
      <w:tr w:rsidR="00212513">
        <w:tblPrEx>
          <w:tblBorders>
            <w:insideH w:val="none" w:sz="0" w:space="0" w:color="auto"/>
          </w:tblBorders>
        </w:tblPrEx>
        <w:tc>
          <w:tcPr>
            <w:tcW w:w="4762" w:type="dxa"/>
            <w:tcBorders>
              <w:top w:val="nil"/>
              <w:bottom w:val="nil"/>
            </w:tcBorders>
          </w:tcPr>
          <w:p w:rsidR="00212513" w:rsidRDefault="00212513">
            <w:pPr>
              <w:pStyle w:val="ConsPlusNormal"/>
            </w:pPr>
            <w:r>
              <w:t>7 Скалывание (среднее по площадке) в соединениях на врубках, учитываемое в пределах длины не более 10 глубин врезки и двух толщин брутто элемента:</w:t>
            </w:r>
          </w:p>
        </w:tc>
        <w:tc>
          <w:tcPr>
            <w:tcW w:w="1587" w:type="dxa"/>
            <w:tcBorders>
              <w:top w:val="nil"/>
              <w:bottom w:val="nil"/>
            </w:tcBorders>
          </w:tcPr>
          <w:p w:rsidR="00212513" w:rsidRDefault="00212513">
            <w:pPr>
              <w:pStyle w:val="ConsPlusNormal"/>
              <w:jc w:val="center"/>
            </w:pPr>
          </w:p>
        </w:tc>
        <w:tc>
          <w:tcPr>
            <w:tcW w:w="1359" w:type="dxa"/>
            <w:tcBorders>
              <w:top w:val="nil"/>
              <w:bottom w:val="nil"/>
            </w:tcBorders>
          </w:tcPr>
          <w:p w:rsidR="00212513" w:rsidRDefault="00212513">
            <w:pPr>
              <w:pStyle w:val="ConsPlusNormal"/>
              <w:jc w:val="center"/>
            </w:pPr>
          </w:p>
        </w:tc>
        <w:tc>
          <w:tcPr>
            <w:tcW w:w="1360" w:type="dxa"/>
            <w:tcBorders>
              <w:top w:val="nil"/>
              <w:bottom w:val="nil"/>
            </w:tcBorders>
          </w:tcPr>
          <w:p w:rsidR="00212513" w:rsidRDefault="00212513">
            <w:pPr>
              <w:pStyle w:val="ConsPlusNormal"/>
              <w:jc w:val="center"/>
            </w:pPr>
          </w:p>
        </w:tc>
      </w:tr>
      <w:tr w:rsidR="00212513">
        <w:tblPrEx>
          <w:tblBorders>
            <w:insideH w:val="none" w:sz="0" w:space="0" w:color="auto"/>
          </w:tblBorders>
        </w:tblPrEx>
        <w:tc>
          <w:tcPr>
            <w:tcW w:w="4762" w:type="dxa"/>
            <w:tcBorders>
              <w:top w:val="nil"/>
              <w:bottom w:val="nil"/>
            </w:tcBorders>
          </w:tcPr>
          <w:p w:rsidR="00212513" w:rsidRDefault="00212513">
            <w:pPr>
              <w:pStyle w:val="ConsPlusNormal"/>
              <w:ind w:left="283"/>
            </w:pPr>
            <w:r>
              <w:t>а) вдоль волокон</w:t>
            </w:r>
          </w:p>
        </w:tc>
        <w:tc>
          <w:tcPr>
            <w:tcW w:w="1587" w:type="dxa"/>
            <w:tcBorders>
              <w:top w:val="nil"/>
              <w:bottom w:val="nil"/>
            </w:tcBorders>
          </w:tcPr>
          <w:p w:rsidR="00212513" w:rsidRDefault="00212513">
            <w:pPr>
              <w:pStyle w:val="ConsPlusNormal"/>
              <w:jc w:val="center"/>
            </w:pPr>
            <w:r>
              <w:rPr>
                <w:noProof/>
                <w:position w:val="-8"/>
              </w:rPr>
              <w:drawing>
                <wp:inline distT="0" distB="0" distL="0" distR="0">
                  <wp:extent cx="324485" cy="251460"/>
                  <wp:effectExtent l="0" t="0" r="0" b="0"/>
                  <wp:docPr id="18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4" cstate="print">
                            <a:extLst>
                              <a:ext uri="{28A0092B-C50C-407E-A947-70E740481C1C}">
                                <a14:useLocalDpi xmlns:a14="http://schemas.microsoft.com/office/drawing/2010/main" val="0"/>
                              </a:ext>
                            </a:extLst>
                          </a:blip>
                          <a:srcRect/>
                          <a:stretch>
                            <a:fillRect/>
                          </a:stretch>
                        </pic:blipFill>
                        <pic:spPr bwMode="auto">
                          <a:xfrm>
                            <a:off x="0" y="0"/>
                            <a:ext cx="324485" cy="251460"/>
                          </a:xfrm>
                          <a:prstGeom prst="rect">
                            <a:avLst/>
                          </a:prstGeom>
                          <a:noFill/>
                          <a:ln>
                            <a:noFill/>
                          </a:ln>
                        </pic:spPr>
                      </pic:pic>
                    </a:graphicData>
                  </a:graphic>
                </wp:inline>
              </w:drawing>
            </w:r>
          </w:p>
        </w:tc>
        <w:tc>
          <w:tcPr>
            <w:tcW w:w="1359" w:type="dxa"/>
            <w:tcBorders>
              <w:top w:val="nil"/>
              <w:bottom w:val="nil"/>
            </w:tcBorders>
          </w:tcPr>
          <w:p w:rsidR="00212513" w:rsidRDefault="00212513">
            <w:pPr>
              <w:pStyle w:val="ConsPlusNormal"/>
              <w:jc w:val="center"/>
            </w:pPr>
            <w:r>
              <w:t>1,57</w:t>
            </w:r>
          </w:p>
        </w:tc>
        <w:tc>
          <w:tcPr>
            <w:tcW w:w="1360" w:type="dxa"/>
            <w:tcBorders>
              <w:top w:val="nil"/>
              <w:bottom w:val="nil"/>
            </w:tcBorders>
          </w:tcPr>
          <w:p w:rsidR="00212513" w:rsidRDefault="00212513">
            <w:pPr>
              <w:pStyle w:val="ConsPlusNormal"/>
              <w:jc w:val="center"/>
            </w:pPr>
            <w:r>
              <w:t>1,47</w:t>
            </w:r>
          </w:p>
        </w:tc>
      </w:tr>
      <w:tr w:rsidR="00212513">
        <w:tblPrEx>
          <w:tblBorders>
            <w:insideH w:val="none" w:sz="0" w:space="0" w:color="auto"/>
          </w:tblBorders>
        </w:tblPrEx>
        <w:tc>
          <w:tcPr>
            <w:tcW w:w="4762" w:type="dxa"/>
            <w:tcBorders>
              <w:top w:val="nil"/>
              <w:bottom w:val="single" w:sz="4" w:space="0" w:color="auto"/>
            </w:tcBorders>
          </w:tcPr>
          <w:p w:rsidR="00212513" w:rsidRDefault="00212513">
            <w:pPr>
              <w:pStyle w:val="ConsPlusNormal"/>
              <w:ind w:left="283"/>
            </w:pPr>
            <w:r>
              <w:t>б) поперек волокон</w:t>
            </w:r>
          </w:p>
        </w:tc>
        <w:tc>
          <w:tcPr>
            <w:tcW w:w="1587" w:type="dxa"/>
            <w:tcBorders>
              <w:top w:val="nil"/>
              <w:bottom w:val="single" w:sz="4" w:space="0" w:color="auto"/>
            </w:tcBorders>
          </w:tcPr>
          <w:p w:rsidR="00212513" w:rsidRDefault="00212513">
            <w:pPr>
              <w:pStyle w:val="ConsPlusNormal"/>
              <w:jc w:val="center"/>
            </w:pPr>
            <w:r>
              <w:rPr>
                <w:noProof/>
                <w:position w:val="-8"/>
              </w:rPr>
              <w:drawing>
                <wp:inline distT="0" distB="0" distL="0" distR="0">
                  <wp:extent cx="324485" cy="251460"/>
                  <wp:effectExtent l="0" t="0" r="0" b="0"/>
                  <wp:docPr id="18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5" cstate="print">
                            <a:extLst>
                              <a:ext uri="{28A0092B-C50C-407E-A947-70E740481C1C}">
                                <a14:useLocalDpi xmlns:a14="http://schemas.microsoft.com/office/drawing/2010/main" val="0"/>
                              </a:ext>
                            </a:extLst>
                          </a:blip>
                          <a:srcRect/>
                          <a:stretch>
                            <a:fillRect/>
                          </a:stretch>
                        </pic:blipFill>
                        <pic:spPr bwMode="auto">
                          <a:xfrm>
                            <a:off x="0" y="0"/>
                            <a:ext cx="324485" cy="251460"/>
                          </a:xfrm>
                          <a:prstGeom prst="rect">
                            <a:avLst/>
                          </a:prstGeom>
                          <a:noFill/>
                          <a:ln>
                            <a:noFill/>
                          </a:ln>
                        </pic:spPr>
                      </pic:pic>
                    </a:graphicData>
                  </a:graphic>
                </wp:inline>
              </w:drawing>
            </w:r>
          </w:p>
        </w:tc>
        <w:tc>
          <w:tcPr>
            <w:tcW w:w="1359" w:type="dxa"/>
            <w:tcBorders>
              <w:top w:val="nil"/>
              <w:bottom w:val="single" w:sz="4" w:space="0" w:color="auto"/>
            </w:tcBorders>
          </w:tcPr>
          <w:p w:rsidR="00212513" w:rsidRDefault="00212513">
            <w:pPr>
              <w:pStyle w:val="ConsPlusNormal"/>
              <w:jc w:val="center"/>
            </w:pPr>
            <w:r>
              <w:t>0,78</w:t>
            </w:r>
          </w:p>
        </w:tc>
        <w:tc>
          <w:tcPr>
            <w:tcW w:w="1360" w:type="dxa"/>
            <w:tcBorders>
              <w:top w:val="nil"/>
              <w:bottom w:val="single" w:sz="4" w:space="0" w:color="auto"/>
            </w:tcBorders>
          </w:tcPr>
          <w:p w:rsidR="00212513" w:rsidRDefault="00212513">
            <w:pPr>
              <w:pStyle w:val="ConsPlusNormal"/>
              <w:jc w:val="center"/>
            </w:pPr>
            <w:r>
              <w:t>0,69</w:t>
            </w:r>
          </w:p>
        </w:tc>
      </w:tr>
      <w:tr w:rsidR="00212513">
        <w:tc>
          <w:tcPr>
            <w:tcW w:w="9068" w:type="dxa"/>
            <w:gridSpan w:val="4"/>
            <w:tcBorders>
              <w:top w:val="single" w:sz="4" w:space="0" w:color="auto"/>
              <w:bottom w:val="single" w:sz="4" w:space="0" w:color="auto"/>
            </w:tcBorders>
          </w:tcPr>
          <w:p w:rsidR="00212513" w:rsidRDefault="00212513">
            <w:pPr>
              <w:pStyle w:val="ConsPlusNormal"/>
              <w:ind w:firstLine="283"/>
              <w:jc w:val="both"/>
            </w:pPr>
            <w:r>
              <w:t>Примечания</w:t>
            </w:r>
          </w:p>
          <w:p w:rsidR="00212513" w:rsidRDefault="00212513">
            <w:pPr>
              <w:pStyle w:val="ConsPlusNormal"/>
              <w:ind w:firstLine="283"/>
              <w:jc w:val="both"/>
            </w:pPr>
            <w:r>
              <w:t xml:space="preserve">1 Расчетное сопротивление древесины смятию и скалыванию под углом </w:t>
            </w:r>
            <w:r>
              <w:rPr>
                <w:noProof/>
                <w:position w:val="-1"/>
              </w:rPr>
              <w:drawing>
                <wp:inline distT="0" distB="0" distL="0" distR="0">
                  <wp:extent cx="167640" cy="156845"/>
                  <wp:effectExtent l="0" t="0" r="0" b="0"/>
                  <wp:docPr id="18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6"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к направлению волокон следует определять по формуле</w:t>
            </w:r>
          </w:p>
          <w:p w:rsidR="00212513" w:rsidRDefault="00212513">
            <w:pPr>
              <w:pStyle w:val="ConsPlusNormal"/>
              <w:ind w:firstLine="283"/>
              <w:jc w:val="both"/>
            </w:pPr>
          </w:p>
          <w:p w:rsidR="00212513" w:rsidRDefault="00212513">
            <w:pPr>
              <w:pStyle w:val="ConsPlusNormal"/>
              <w:jc w:val="center"/>
            </w:pPr>
            <w:r>
              <w:rPr>
                <w:noProof/>
                <w:position w:val="-26"/>
              </w:rPr>
              <w:drawing>
                <wp:inline distT="0" distB="0" distL="0" distR="0">
                  <wp:extent cx="1983740" cy="470535"/>
                  <wp:effectExtent l="0" t="0" r="0" b="0"/>
                  <wp:docPr id="18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7" cstate="print">
                            <a:extLst>
                              <a:ext uri="{28A0092B-C50C-407E-A947-70E740481C1C}">
                                <a14:useLocalDpi xmlns:a14="http://schemas.microsoft.com/office/drawing/2010/main" val="0"/>
                              </a:ext>
                            </a:extLst>
                          </a:blip>
                          <a:srcRect/>
                          <a:stretch>
                            <a:fillRect/>
                          </a:stretch>
                        </pic:blipFill>
                        <pic:spPr bwMode="auto">
                          <a:xfrm>
                            <a:off x="0" y="0"/>
                            <a:ext cx="1983740" cy="470535"/>
                          </a:xfrm>
                          <a:prstGeom prst="rect">
                            <a:avLst/>
                          </a:prstGeom>
                          <a:noFill/>
                          <a:ln>
                            <a:noFill/>
                          </a:ln>
                        </pic:spPr>
                      </pic:pic>
                    </a:graphicData>
                  </a:graphic>
                </wp:inline>
              </w:drawing>
            </w:r>
            <w:r>
              <w:t>,</w:t>
            </w:r>
          </w:p>
          <w:p w:rsidR="00212513" w:rsidRDefault="00212513">
            <w:pPr>
              <w:pStyle w:val="ConsPlusNormal"/>
              <w:ind w:firstLine="283"/>
              <w:jc w:val="both"/>
            </w:pPr>
          </w:p>
          <w:p w:rsidR="00212513" w:rsidRDefault="00212513">
            <w:pPr>
              <w:pStyle w:val="ConsPlusNormal"/>
              <w:ind w:firstLine="283"/>
              <w:jc w:val="both"/>
            </w:pPr>
            <w:r>
              <w:t xml:space="preserve">где </w:t>
            </w:r>
            <w:r>
              <w:rPr>
                <w:noProof/>
                <w:position w:val="-8"/>
              </w:rPr>
              <w:drawing>
                <wp:inline distT="0" distB="0" distL="0" distR="0">
                  <wp:extent cx="251460" cy="251460"/>
                  <wp:effectExtent l="0" t="0" r="0" b="0"/>
                  <wp:docPr id="18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w:t>
            </w:r>
            <w:r>
              <w:rPr>
                <w:noProof/>
                <w:position w:val="-8"/>
              </w:rPr>
              <w:drawing>
                <wp:inline distT="0" distB="0" distL="0" distR="0">
                  <wp:extent cx="262890" cy="251460"/>
                  <wp:effectExtent l="0" t="0" r="0" b="0"/>
                  <wp:docPr id="18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9"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расчетные сопротивления смятию или скалыванию соответственно при </w:t>
            </w:r>
            <w:r>
              <w:rPr>
                <w:noProof/>
                <w:position w:val="-4"/>
              </w:rPr>
              <w:drawing>
                <wp:inline distT="0" distB="0" distL="0" distR="0">
                  <wp:extent cx="469265" cy="198755"/>
                  <wp:effectExtent l="0" t="0" r="0" b="0"/>
                  <wp:docPr id="18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0" cstate="print">
                            <a:extLst>
                              <a:ext uri="{28A0092B-C50C-407E-A947-70E740481C1C}">
                                <a14:useLocalDpi xmlns:a14="http://schemas.microsoft.com/office/drawing/2010/main" val="0"/>
                              </a:ext>
                            </a:extLst>
                          </a:blip>
                          <a:srcRect/>
                          <a:stretch>
                            <a:fillRect/>
                          </a:stretch>
                        </pic:blipFill>
                        <pic:spPr bwMode="auto">
                          <a:xfrm>
                            <a:off x="0" y="0"/>
                            <a:ext cx="469265" cy="198755"/>
                          </a:xfrm>
                          <a:prstGeom prst="rect">
                            <a:avLst/>
                          </a:prstGeom>
                          <a:noFill/>
                          <a:ln>
                            <a:noFill/>
                          </a:ln>
                        </pic:spPr>
                      </pic:pic>
                    </a:graphicData>
                  </a:graphic>
                </wp:inline>
              </w:drawing>
            </w:r>
            <w:r>
              <w:t xml:space="preserve"> и </w:t>
            </w:r>
            <w:r>
              <w:rPr>
                <w:noProof/>
                <w:position w:val="-4"/>
              </w:rPr>
              <w:drawing>
                <wp:inline distT="0" distB="0" distL="0" distR="0">
                  <wp:extent cx="552450" cy="199390"/>
                  <wp:effectExtent l="0" t="0" r="0" b="0"/>
                  <wp:docPr id="18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1" cstate="print">
                            <a:extLst>
                              <a:ext uri="{28A0092B-C50C-407E-A947-70E740481C1C}">
                                <a14:useLocalDpi xmlns:a14="http://schemas.microsoft.com/office/drawing/2010/main" val="0"/>
                              </a:ext>
                            </a:extLst>
                          </a:blip>
                          <a:srcRect/>
                          <a:stretch>
                            <a:fillRect/>
                          </a:stretch>
                        </pic:blipFill>
                        <pic:spPr bwMode="auto">
                          <a:xfrm>
                            <a:off x="0" y="0"/>
                            <a:ext cx="552450" cy="199390"/>
                          </a:xfrm>
                          <a:prstGeom prst="rect">
                            <a:avLst/>
                          </a:prstGeom>
                          <a:noFill/>
                          <a:ln>
                            <a:noFill/>
                          </a:ln>
                        </pic:spPr>
                      </pic:pic>
                    </a:graphicData>
                  </a:graphic>
                </wp:inline>
              </w:drawing>
            </w:r>
            <w:r>
              <w:t>.</w:t>
            </w:r>
          </w:p>
          <w:p w:rsidR="00212513" w:rsidRDefault="00212513">
            <w:pPr>
              <w:pStyle w:val="ConsPlusNormal"/>
              <w:ind w:firstLine="283"/>
              <w:jc w:val="both"/>
            </w:pPr>
            <w:r>
              <w:t xml:space="preserve">2 Расчетное сопротивление местному смятию поперек волокон (за исключением случаев, указанных в </w:t>
            </w:r>
            <w:hyperlink w:anchor="P10187">
              <w:r>
                <w:rPr>
                  <w:color w:val="0000FF"/>
                </w:rPr>
                <w:t>позиции 5</w:t>
              </w:r>
            </w:hyperlink>
            <w:r>
              <w:t xml:space="preserve"> настоящей таблицы) на части длины элемента при длине незагружаемых участков не менее площади смятия и не менее толщины элемента следует определять по формуле</w:t>
            </w:r>
          </w:p>
          <w:p w:rsidR="00212513" w:rsidRDefault="00212513">
            <w:pPr>
              <w:pStyle w:val="ConsPlusNormal"/>
              <w:ind w:firstLine="283"/>
              <w:jc w:val="both"/>
            </w:pPr>
          </w:p>
          <w:p w:rsidR="00212513" w:rsidRDefault="00212513">
            <w:pPr>
              <w:pStyle w:val="ConsPlusNormal"/>
              <w:jc w:val="center"/>
            </w:pPr>
            <w:r>
              <w:rPr>
                <w:noProof/>
                <w:position w:val="-31"/>
              </w:rPr>
              <w:drawing>
                <wp:inline distT="0" distB="0" distL="0" distR="0">
                  <wp:extent cx="1564640" cy="535940"/>
                  <wp:effectExtent l="0" t="0" r="0" b="0"/>
                  <wp:docPr id="18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2" cstate="print">
                            <a:extLst>
                              <a:ext uri="{28A0092B-C50C-407E-A947-70E740481C1C}">
                                <a14:useLocalDpi xmlns:a14="http://schemas.microsoft.com/office/drawing/2010/main" val="0"/>
                              </a:ext>
                            </a:extLst>
                          </a:blip>
                          <a:srcRect/>
                          <a:stretch>
                            <a:fillRect/>
                          </a:stretch>
                        </pic:blipFill>
                        <pic:spPr bwMode="auto">
                          <a:xfrm>
                            <a:off x="0" y="0"/>
                            <a:ext cx="1564640" cy="535940"/>
                          </a:xfrm>
                          <a:prstGeom prst="rect">
                            <a:avLst/>
                          </a:prstGeom>
                          <a:noFill/>
                          <a:ln>
                            <a:noFill/>
                          </a:ln>
                        </pic:spPr>
                      </pic:pic>
                    </a:graphicData>
                  </a:graphic>
                </wp:inline>
              </w:drawing>
            </w:r>
            <w:r>
              <w:t>,</w:t>
            </w:r>
          </w:p>
          <w:p w:rsidR="00212513" w:rsidRDefault="00212513">
            <w:pPr>
              <w:pStyle w:val="ConsPlusNormal"/>
              <w:ind w:firstLine="283"/>
              <w:jc w:val="both"/>
            </w:pPr>
          </w:p>
          <w:p w:rsidR="00212513" w:rsidRDefault="00212513">
            <w:pPr>
              <w:pStyle w:val="ConsPlusNormal"/>
              <w:ind w:firstLine="283"/>
              <w:jc w:val="both"/>
            </w:pPr>
            <w:r>
              <w:t xml:space="preserve">где </w:t>
            </w:r>
            <w:r>
              <w:rPr>
                <w:noProof/>
                <w:position w:val="-8"/>
              </w:rPr>
              <w:drawing>
                <wp:inline distT="0" distB="0" distL="0" distR="0">
                  <wp:extent cx="137160" cy="250825"/>
                  <wp:effectExtent l="0" t="0" r="0" b="0"/>
                  <wp:docPr id="18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3"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 длина площадки смятия вдоль волокон древесины, см.</w:t>
            </w:r>
          </w:p>
          <w:p w:rsidR="00212513" w:rsidRDefault="00212513">
            <w:pPr>
              <w:pStyle w:val="ConsPlusNormal"/>
              <w:ind w:firstLine="283"/>
              <w:jc w:val="both"/>
            </w:pPr>
            <w:r>
              <w:lastRenderedPageBreak/>
              <w:t>3 Если в расчетных сечениях элементов имеются ослабления врубками или врезками, то соответствующие расчетные сопротивления следует умножать на коэффициенты условий работы, равные для элементов:</w:t>
            </w:r>
          </w:p>
          <w:p w:rsidR="00212513" w:rsidRDefault="00212513">
            <w:pPr>
              <w:pStyle w:val="ConsPlusNormal"/>
              <w:ind w:firstLine="283"/>
              <w:jc w:val="both"/>
            </w:pPr>
            <w:r>
              <w:t>0,80 - растянутых;</w:t>
            </w:r>
          </w:p>
          <w:p w:rsidR="00212513" w:rsidRDefault="00212513">
            <w:pPr>
              <w:pStyle w:val="ConsPlusNormal"/>
              <w:ind w:firstLine="283"/>
              <w:jc w:val="both"/>
            </w:pPr>
            <w:r>
              <w:t>0,85 - изгибаемых из брусьев;</w:t>
            </w:r>
          </w:p>
          <w:p w:rsidR="00212513" w:rsidRDefault="00212513">
            <w:pPr>
              <w:pStyle w:val="ConsPlusNormal"/>
              <w:ind w:firstLine="283"/>
              <w:jc w:val="both"/>
            </w:pPr>
            <w:r>
              <w:t>0,90 - изгибаемых из бревен.</w:t>
            </w:r>
          </w:p>
        </w:tc>
      </w:tr>
    </w:tbl>
    <w:p w:rsidR="00212513" w:rsidRDefault="00212513">
      <w:pPr>
        <w:pStyle w:val="ConsPlusNormal"/>
        <w:ind w:firstLine="540"/>
        <w:jc w:val="both"/>
      </w:pPr>
    </w:p>
    <w:p w:rsidR="00212513" w:rsidRDefault="00212513">
      <w:pPr>
        <w:pStyle w:val="ConsPlusNormal"/>
        <w:ind w:firstLine="540"/>
        <w:jc w:val="both"/>
      </w:pPr>
      <w:r>
        <w:t>Для древесины сосны 2-го сорта расчетные сопротивления должны приниматься менее установленных для 1-го сорта:</w:t>
      </w:r>
    </w:p>
    <w:p w:rsidR="00212513" w:rsidRDefault="00212513">
      <w:pPr>
        <w:pStyle w:val="ConsPlusNormal"/>
        <w:spacing w:before="220"/>
        <w:ind w:firstLine="540"/>
        <w:jc w:val="both"/>
      </w:pPr>
      <w:r>
        <w:t>на 30% - при растяжении вдоль волокон;</w:t>
      </w:r>
    </w:p>
    <w:p w:rsidR="00212513" w:rsidRDefault="00212513">
      <w:pPr>
        <w:pStyle w:val="ConsPlusNormal"/>
        <w:spacing w:before="220"/>
        <w:ind w:firstLine="540"/>
        <w:jc w:val="both"/>
      </w:pPr>
      <w:r>
        <w:t>на 10% - при всех других напряженных состояниях.</w:t>
      </w:r>
    </w:p>
    <w:p w:rsidR="00212513" w:rsidRDefault="00212513">
      <w:pPr>
        <w:pStyle w:val="ConsPlusNormal"/>
        <w:spacing w:before="220"/>
        <w:ind w:firstLine="540"/>
        <w:jc w:val="both"/>
      </w:pPr>
      <w:r>
        <w:t>10.12 Расчетные сопротивления клееной древесины сосны при толщине склеиваемых досок 33 мм и высоте элементов 50 см и менее следует принимать по таблице 10.2.</w:t>
      </w:r>
    </w:p>
    <w:p w:rsidR="00212513" w:rsidRDefault="00212513">
      <w:pPr>
        <w:pStyle w:val="ConsPlusNormal"/>
        <w:ind w:firstLine="540"/>
        <w:jc w:val="both"/>
      </w:pPr>
    </w:p>
    <w:p w:rsidR="00212513" w:rsidRDefault="00212513">
      <w:pPr>
        <w:pStyle w:val="ConsPlusNormal"/>
        <w:jc w:val="right"/>
      </w:pPr>
      <w:bookmarkStart w:id="435" w:name="P10236"/>
      <w:bookmarkEnd w:id="435"/>
      <w:r>
        <w:t>Таблица 10.2</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2"/>
        <w:gridCol w:w="1587"/>
        <w:gridCol w:w="2381"/>
      </w:tblGrid>
      <w:tr w:rsidR="00212513">
        <w:tc>
          <w:tcPr>
            <w:tcW w:w="5102" w:type="dxa"/>
            <w:tcBorders>
              <w:top w:val="single" w:sz="4" w:space="0" w:color="auto"/>
              <w:bottom w:val="single" w:sz="4" w:space="0" w:color="auto"/>
            </w:tcBorders>
            <w:vAlign w:val="center"/>
          </w:tcPr>
          <w:p w:rsidR="00212513" w:rsidRDefault="00212513">
            <w:pPr>
              <w:pStyle w:val="ConsPlusNormal"/>
              <w:jc w:val="center"/>
            </w:pPr>
            <w:r>
              <w:t>Напряженное состояние</w:t>
            </w:r>
          </w:p>
        </w:tc>
        <w:tc>
          <w:tcPr>
            <w:tcW w:w="1587" w:type="dxa"/>
            <w:tcBorders>
              <w:top w:val="single" w:sz="4" w:space="0" w:color="auto"/>
              <w:bottom w:val="single" w:sz="4" w:space="0" w:color="auto"/>
            </w:tcBorders>
            <w:vAlign w:val="center"/>
          </w:tcPr>
          <w:p w:rsidR="00212513" w:rsidRDefault="00212513">
            <w:pPr>
              <w:pStyle w:val="ConsPlusNormal"/>
              <w:jc w:val="center"/>
            </w:pPr>
            <w:r>
              <w:t>Обозначение</w:t>
            </w:r>
          </w:p>
        </w:tc>
        <w:tc>
          <w:tcPr>
            <w:tcW w:w="2381" w:type="dxa"/>
            <w:tcBorders>
              <w:top w:val="single" w:sz="4" w:space="0" w:color="auto"/>
              <w:bottom w:val="single" w:sz="4" w:space="0" w:color="auto"/>
            </w:tcBorders>
            <w:vAlign w:val="center"/>
          </w:tcPr>
          <w:p w:rsidR="00212513" w:rsidRDefault="00212513">
            <w:pPr>
              <w:pStyle w:val="ConsPlusNormal"/>
              <w:jc w:val="center"/>
            </w:pPr>
            <w:r>
              <w:t>Расчетное сопротивление, МПа</w:t>
            </w:r>
          </w:p>
        </w:tc>
      </w:tr>
      <w:tr w:rsidR="00212513">
        <w:tblPrEx>
          <w:tblBorders>
            <w:insideH w:val="none" w:sz="0" w:space="0" w:color="auto"/>
          </w:tblBorders>
        </w:tblPrEx>
        <w:tc>
          <w:tcPr>
            <w:tcW w:w="5102" w:type="dxa"/>
            <w:tcBorders>
              <w:top w:val="single" w:sz="4" w:space="0" w:color="auto"/>
              <w:bottom w:val="nil"/>
            </w:tcBorders>
          </w:tcPr>
          <w:p w:rsidR="00212513" w:rsidRDefault="00212513">
            <w:pPr>
              <w:pStyle w:val="ConsPlusNormal"/>
            </w:pPr>
            <w:r>
              <w:t>1 Изгиб бруса</w:t>
            </w:r>
          </w:p>
        </w:tc>
        <w:tc>
          <w:tcPr>
            <w:tcW w:w="1587" w:type="dxa"/>
            <w:tcBorders>
              <w:top w:val="single" w:sz="4" w:space="0" w:color="auto"/>
              <w:bottom w:val="nil"/>
            </w:tcBorders>
          </w:tcPr>
          <w:p w:rsidR="00212513" w:rsidRDefault="00212513">
            <w:pPr>
              <w:pStyle w:val="ConsPlusNormal"/>
              <w:jc w:val="center"/>
            </w:pPr>
            <w:r>
              <w:rPr>
                <w:i/>
              </w:rPr>
              <w:t>R</w:t>
            </w:r>
            <w:r>
              <w:rPr>
                <w:i/>
                <w:vertAlign w:val="subscript"/>
              </w:rPr>
              <w:t>db</w:t>
            </w:r>
          </w:p>
        </w:tc>
        <w:tc>
          <w:tcPr>
            <w:tcW w:w="2381" w:type="dxa"/>
            <w:tcBorders>
              <w:top w:val="single" w:sz="4" w:space="0" w:color="auto"/>
              <w:bottom w:val="nil"/>
            </w:tcBorders>
          </w:tcPr>
          <w:p w:rsidR="00212513" w:rsidRDefault="00212513">
            <w:pPr>
              <w:pStyle w:val="ConsPlusNormal"/>
              <w:jc w:val="center"/>
            </w:pPr>
            <w:r>
              <w:t>17,7</w:t>
            </w:r>
          </w:p>
        </w:tc>
      </w:tr>
      <w:tr w:rsidR="00212513">
        <w:tblPrEx>
          <w:tblBorders>
            <w:insideH w:val="none" w:sz="0" w:space="0" w:color="auto"/>
          </w:tblBorders>
        </w:tblPrEx>
        <w:tc>
          <w:tcPr>
            <w:tcW w:w="5102" w:type="dxa"/>
            <w:tcBorders>
              <w:top w:val="nil"/>
              <w:bottom w:val="nil"/>
            </w:tcBorders>
          </w:tcPr>
          <w:p w:rsidR="00212513" w:rsidRDefault="00212513">
            <w:pPr>
              <w:pStyle w:val="ConsPlusNormal"/>
            </w:pPr>
            <w:r>
              <w:t>2 Растяжение вдоль волокон</w:t>
            </w:r>
          </w:p>
        </w:tc>
        <w:tc>
          <w:tcPr>
            <w:tcW w:w="1587" w:type="dxa"/>
            <w:tcBorders>
              <w:top w:val="nil"/>
              <w:bottom w:val="nil"/>
            </w:tcBorders>
          </w:tcPr>
          <w:p w:rsidR="00212513" w:rsidRDefault="00212513">
            <w:pPr>
              <w:pStyle w:val="ConsPlusNormal"/>
              <w:jc w:val="center"/>
            </w:pPr>
            <w:r>
              <w:rPr>
                <w:i/>
              </w:rPr>
              <w:t>R</w:t>
            </w:r>
            <w:r>
              <w:rPr>
                <w:i/>
                <w:vertAlign w:val="subscript"/>
              </w:rPr>
              <w:t>dt</w:t>
            </w:r>
          </w:p>
        </w:tc>
        <w:tc>
          <w:tcPr>
            <w:tcW w:w="2381" w:type="dxa"/>
            <w:tcBorders>
              <w:top w:val="nil"/>
              <w:bottom w:val="nil"/>
            </w:tcBorders>
          </w:tcPr>
          <w:p w:rsidR="00212513" w:rsidRDefault="00212513">
            <w:pPr>
              <w:pStyle w:val="ConsPlusNormal"/>
              <w:jc w:val="center"/>
            </w:pPr>
            <w:r>
              <w:t>12,7</w:t>
            </w:r>
          </w:p>
        </w:tc>
      </w:tr>
      <w:tr w:rsidR="00212513">
        <w:tblPrEx>
          <w:tblBorders>
            <w:insideH w:val="none" w:sz="0" w:space="0" w:color="auto"/>
          </w:tblBorders>
        </w:tblPrEx>
        <w:tc>
          <w:tcPr>
            <w:tcW w:w="5102" w:type="dxa"/>
            <w:tcBorders>
              <w:top w:val="nil"/>
              <w:bottom w:val="nil"/>
            </w:tcBorders>
          </w:tcPr>
          <w:p w:rsidR="00212513" w:rsidRDefault="00212513">
            <w:pPr>
              <w:pStyle w:val="ConsPlusNormal"/>
            </w:pPr>
            <w:r>
              <w:t>3 Сжатие вдоль волокон</w:t>
            </w:r>
          </w:p>
        </w:tc>
        <w:tc>
          <w:tcPr>
            <w:tcW w:w="1587" w:type="dxa"/>
            <w:tcBorders>
              <w:top w:val="nil"/>
              <w:bottom w:val="nil"/>
            </w:tcBorders>
          </w:tcPr>
          <w:p w:rsidR="00212513" w:rsidRDefault="00212513">
            <w:pPr>
              <w:pStyle w:val="ConsPlusNormal"/>
              <w:jc w:val="center"/>
            </w:pPr>
            <w:r>
              <w:rPr>
                <w:i/>
              </w:rPr>
              <w:t>R</w:t>
            </w:r>
            <w:r>
              <w:rPr>
                <w:i/>
                <w:vertAlign w:val="subscript"/>
              </w:rPr>
              <w:t>ds</w:t>
            </w:r>
          </w:p>
        </w:tc>
        <w:tc>
          <w:tcPr>
            <w:tcW w:w="2381" w:type="dxa"/>
            <w:tcBorders>
              <w:top w:val="nil"/>
              <w:bottom w:val="nil"/>
            </w:tcBorders>
          </w:tcPr>
          <w:p w:rsidR="00212513" w:rsidRDefault="00212513">
            <w:pPr>
              <w:pStyle w:val="ConsPlusNormal"/>
              <w:jc w:val="center"/>
            </w:pPr>
            <w:r>
              <w:t>15,7</w:t>
            </w:r>
          </w:p>
        </w:tc>
      </w:tr>
      <w:tr w:rsidR="00212513">
        <w:tblPrEx>
          <w:tblBorders>
            <w:insideH w:val="none" w:sz="0" w:space="0" w:color="auto"/>
          </w:tblBorders>
        </w:tblPrEx>
        <w:tc>
          <w:tcPr>
            <w:tcW w:w="5102" w:type="dxa"/>
            <w:tcBorders>
              <w:top w:val="nil"/>
              <w:bottom w:val="nil"/>
            </w:tcBorders>
          </w:tcPr>
          <w:p w:rsidR="00212513" w:rsidRDefault="00212513">
            <w:pPr>
              <w:pStyle w:val="ConsPlusNormal"/>
            </w:pPr>
            <w:r>
              <w:t>4 Смятие вдоль волокон</w:t>
            </w:r>
          </w:p>
        </w:tc>
        <w:tc>
          <w:tcPr>
            <w:tcW w:w="1587" w:type="dxa"/>
            <w:tcBorders>
              <w:top w:val="nil"/>
              <w:bottom w:val="nil"/>
            </w:tcBorders>
          </w:tcPr>
          <w:p w:rsidR="00212513" w:rsidRDefault="00212513">
            <w:pPr>
              <w:pStyle w:val="ConsPlusNormal"/>
              <w:jc w:val="center"/>
            </w:pPr>
            <w:r>
              <w:rPr>
                <w:i/>
              </w:rPr>
              <w:t>R</w:t>
            </w:r>
            <w:r>
              <w:rPr>
                <w:i/>
                <w:vertAlign w:val="subscript"/>
              </w:rPr>
              <w:t>dqs</w:t>
            </w:r>
          </w:p>
        </w:tc>
        <w:tc>
          <w:tcPr>
            <w:tcW w:w="2381" w:type="dxa"/>
            <w:tcBorders>
              <w:top w:val="nil"/>
              <w:bottom w:val="nil"/>
            </w:tcBorders>
          </w:tcPr>
          <w:p w:rsidR="00212513" w:rsidRDefault="00212513">
            <w:pPr>
              <w:pStyle w:val="ConsPlusNormal"/>
              <w:jc w:val="center"/>
            </w:pPr>
            <w:r>
              <w:t>14,7</w:t>
            </w:r>
          </w:p>
        </w:tc>
      </w:tr>
      <w:tr w:rsidR="00212513">
        <w:tblPrEx>
          <w:tblBorders>
            <w:insideH w:val="none" w:sz="0" w:space="0" w:color="auto"/>
          </w:tblBorders>
        </w:tblPrEx>
        <w:tc>
          <w:tcPr>
            <w:tcW w:w="5102" w:type="dxa"/>
            <w:tcBorders>
              <w:top w:val="nil"/>
              <w:bottom w:val="nil"/>
            </w:tcBorders>
          </w:tcPr>
          <w:p w:rsidR="00212513" w:rsidRDefault="00212513">
            <w:pPr>
              <w:pStyle w:val="ConsPlusNormal"/>
            </w:pPr>
            <w:r>
              <w:t>5 Сжатие и смятие всей поверхности поперек волокон</w:t>
            </w:r>
          </w:p>
        </w:tc>
        <w:tc>
          <w:tcPr>
            <w:tcW w:w="1587" w:type="dxa"/>
            <w:tcBorders>
              <w:top w:val="nil"/>
              <w:bottom w:val="nil"/>
            </w:tcBorders>
          </w:tcPr>
          <w:p w:rsidR="00212513" w:rsidRDefault="00212513">
            <w:pPr>
              <w:pStyle w:val="ConsPlusNormal"/>
              <w:jc w:val="center"/>
            </w:pPr>
            <w:r>
              <w:rPr>
                <w:i/>
              </w:rPr>
              <w:t>R</w:t>
            </w:r>
            <w:r>
              <w:rPr>
                <w:i/>
                <w:vertAlign w:val="subscript"/>
              </w:rPr>
              <w:t>dcq</w:t>
            </w:r>
            <w:r>
              <w:rPr>
                <w:i/>
              </w:rPr>
              <w:t>, R</w:t>
            </w:r>
            <w:r>
              <w:rPr>
                <w:i/>
                <w:vertAlign w:val="subscript"/>
              </w:rPr>
              <w:t>dq</w:t>
            </w:r>
          </w:p>
        </w:tc>
        <w:tc>
          <w:tcPr>
            <w:tcW w:w="2381" w:type="dxa"/>
            <w:tcBorders>
              <w:top w:val="nil"/>
              <w:bottom w:val="nil"/>
            </w:tcBorders>
          </w:tcPr>
          <w:p w:rsidR="00212513" w:rsidRDefault="00212513">
            <w:pPr>
              <w:pStyle w:val="ConsPlusNormal"/>
              <w:jc w:val="center"/>
            </w:pPr>
            <w:r>
              <w:t>1,96</w:t>
            </w:r>
          </w:p>
        </w:tc>
      </w:tr>
      <w:tr w:rsidR="00212513">
        <w:tblPrEx>
          <w:tblBorders>
            <w:insideH w:val="none" w:sz="0" w:space="0" w:color="auto"/>
          </w:tblBorders>
        </w:tblPrEx>
        <w:tc>
          <w:tcPr>
            <w:tcW w:w="5102" w:type="dxa"/>
            <w:tcBorders>
              <w:top w:val="nil"/>
              <w:bottom w:val="nil"/>
            </w:tcBorders>
          </w:tcPr>
          <w:p w:rsidR="00212513" w:rsidRDefault="00212513">
            <w:pPr>
              <w:pStyle w:val="ConsPlusNormal"/>
            </w:pPr>
            <w:r>
              <w:t>6 Смятие местное поперек волокон:</w:t>
            </w:r>
          </w:p>
        </w:tc>
        <w:tc>
          <w:tcPr>
            <w:tcW w:w="1587" w:type="dxa"/>
            <w:tcBorders>
              <w:top w:val="nil"/>
              <w:bottom w:val="nil"/>
            </w:tcBorders>
          </w:tcPr>
          <w:p w:rsidR="00212513" w:rsidRDefault="00212513">
            <w:pPr>
              <w:pStyle w:val="ConsPlusNormal"/>
              <w:jc w:val="center"/>
            </w:pPr>
          </w:p>
        </w:tc>
        <w:tc>
          <w:tcPr>
            <w:tcW w:w="2381" w:type="dxa"/>
            <w:tcBorders>
              <w:top w:val="nil"/>
              <w:bottom w:val="nil"/>
            </w:tcBorders>
          </w:tcPr>
          <w:p w:rsidR="00212513" w:rsidRDefault="00212513">
            <w:pPr>
              <w:pStyle w:val="ConsPlusNormal"/>
              <w:jc w:val="center"/>
            </w:pPr>
          </w:p>
        </w:tc>
      </w:tr>
      <w:tr w:rsidR="00212513">
        <w:tblPrEx>
          <w:tblBorders>
            <w:insideH w:val="none" w:sz="0" w:space="0" w:color="auto"/>
          </w:tblBorders>
        </w:tblPrEx>
        <w:tc>
          <w:tcPr>
            <w:tcW w:w="5102" w:type="dxa"/>
            <w:tcBorders>
              <w:top w:val="nil"/>
              <w:bottom w:val="nil"/>
            </w:tcBorders>
          </w:tcPr>
          <w:p w:rsidR="00212513" w:rsidRDefault="00212513">
            <w:pPr>
              <w:pStyle w:val="ConsPlusNormal"/>
              <w:ind w:left="283"/>
            </w:pPr>
            <w:r>
              <w:t>а) в опорных плоскостях конструкции</w:t>
            </w:r>
          </w:p>
        </w:tc>
        <w:tc>
          <w:tcPr>
            <w:tcW w:w="1587" w:type="dxa"/>
            <w:tcBorders>
              <w:top w:val="nil"/>
              <w:bottom w:val="nil"/>
            </w:tcBorders>
          </w:tcPr>
          <w:p w:rsidR="00212513" w:rsidRDefault="00212513">
            <w:pPr>
              <w:pStyle w:val="ConsPlusNormal"/>
              <w:jc w:val="center"/>
            </w:pPr>
            <w:r>
              <w:rPr>
                <w:i/>
              </w:rPr>
              <w:t>R</w:t>
            </w:r>
            <w:r>
              <w:rPr>
                <w:i/>
                <w:vertAlign w:val="subscript"/>
              </w:rPr>
              <w:t>dq</w:t>
            </w:r>
          </w:p>
        </w:tc>
        <w:tc>
          <w:tcPr>
            <w:tcW w:w="2381" w:type="dxa"/>
            <w:tcBorders>
              <w:top w:val="nil"/>
              <w:bottom w:val="nil"/>
            </w:tcBorders>
          </w:tcPr>
          <w:p w:rsidR="00212513" w:rsidRDefault="00212513">
            <w:pPr>
              <w:pStyle w:val="ConsPlusNormal"/>
              <w:jc w:val="center"/>
            </w:pPr>
            <w:r>
              <w:t>2,50</w:t>
            </w:r>
          </w:p>
        </w:tc>
      </w:tr>
      <w:tr w:rsidR="00212513">
        <w:tblPrEx>
          <w:tblBorders>
            <w:insideH w:val="none" w:sz="0" w:space="0" w:color="auto"/>
          </w:tblBorders>
        </w:tblPrEx>
        <w:tc>
          <w:tcPr>
            <w:tcW w:w="5102" w:type="dxa"/>
            <w:tcBorders>
              <w:top w:val="nil"/>
              <w:bottom w:val="nil"/>
            </w:tcBorders>
          </w:tcPr>
          <w:p w:rsidR="00212513" w:rsidRDefault="00212513">
            <w:pPr>
              <w:pStyle w:val="ConsPlusNormal"/>
              <w:ind w:left="283"/>
            </w:pPr>
            <w:r>
              <w:t>б) под шайбами при углах смятия от 90° до 60°</w:t>
            </w:r>
          </w:p>
        </w:tc>
        <w:tc>
          <w:tcPr>
            <w:tcW w:w="1587" w:type="dxa"/>
            <w:tcBorders>
              <w:top w:val="nil"/>
              <w:bottom w:val="nil"/>
            </w:tcBorders>
          </w:tcPr>
          <w:p w:rsidR="00212513" w:rsidRDefault="00212513">
            <w:pPr>
              <w:pStyle w:val="ConsPlusNormal"/>
              <w:jc w:val="center"/>
            </w:pPr>
            <w:r>
              <w:rPr>
                <w:i/>
              </w:rPr>
              <w:t>R</w:t>
            </w:r>
            <w:r>
              <w:rPr>
                <w:i/>
                <w:vertAlign w:val="subscript"/>
              </w:rPr>
              <w:t>dqp</w:t>
            </w:r>
          </w:p>
        </w:tc>
        <w:tc>
          <w:tcPr>
            <w:tcW w:w="2381" w:type="dxa"/>
            <w:tcBorders>
              <w:top w:val="nil"/>
              <w:bottom w:val="nil"/>
            </w:tcBorders>
          </w:tcPr>
          <w:p w:rsidR="00212513" w:rsidRDefault="00212513">
            <w:pPr>
              <w:pStyle w:val="ConsPlusNormal"/>
              <w:jc w:val="center"/>
            </w:pPr>
            <w:r>
              <w:t>4,31</w:t>
            </w:r>
          </w:p>
        </w:tc>
      </w:tr>
      <w:tr w:rsidR="00212513">
        <w:tblPrEx>
          <w:tblBorders>
            <w:insideH w:val="none" w:sz="0" w:space="0" w:color="auto"/>
          </w:tblBorders>
        </w:tblPrEx>
        <w:tc>
          <w:tcPr>
            <w:tcW w:w="5102" w:type="dxa"/>
            <w:tcBorders>
              <w:top w:val="nil"/>
              <w:bottom w:val="nil"/>
            </w:tcBorders>
          </w:tcPr>
          <w:p w:rsidR="00212513" w:rsidRDefault="00212513">
            <w:pPr>
              <w:pStyle w:val="ConsPlusNormal"/>
            </w:pPr>
            <w:r>
              <w:t>7 Скалывание наибольшее вдоль волокон</w:t>
            </w:r>
          </w:p>
          <w:p w:rsidR="00212513" w:rsidRDefault="00212513">
            <w:pPr>
              <w:pStyle w:val="ConsPlusNormal"/>
            </w:pPr>
            <w:r>
              <w:t>по клеевым швам при изгибе</w:t>
            </w:r>
          </w:p>
        </w:tc>
        <w:tc>
          <w:tcPr>
            <w:tcW w:w="1587" w:type="dxa"/>
            <w:tcBorders>
              <w:top w:val="nil"/>
              <w:bottom w:val="nil"/>
            </w:tcBorders>
          </w:tcPr>
          <w:p w:rsidR="00212513" w:rsidRDefault="00212513">
            <w:pPr>
              <w:pStyle w:val="ConsPlusNormal"/>
              <w:jc w:val="center"/>
            </w:pPr>
            <w:r>
              <w:rPr>
                <w:i/>
              </w:rPr>
              <w:t>R</w:t>
            </w:r>
            <w:r>
              <w:rPr>
                <w:i/>
                <w:vertAlign w:val="subscript"/>
              </w:rPr>
              <w:t>daf</w:t>
            </w:r>
          </w:p>
        </w:tc>
        <w:tc>
          <w:tcPr>
            <w:tcW w:w="2381" w:type="dxa"/>
            <w:tcBorders>
              <w:top w:val="nil"/>
              <w:bottom w:val="nil"/>
            </w:tcBorders>
          </w:tcPr>
          <w:p w:rsidR="00212513" w:rsidRDefault="00212513">
            <w:pPr>
              <w:pStyle w:val="ConsPlusNormal"/>
              <w:jc w:val="center"/>
            </w:pPr>
            <w:r>
              <w:t>1,47</w:t>
            </w:r>
          </w:p>
        </w:tc>
      </w:tr>
      <w:tr w:rsidR="00212513">
        <w:tblPrEx>
          <w:tblBorders>
            <w:insideH w:val="none" w:sz="0" w:space="0" w:color="auto"/>
          </w:tblBorders>
        </w:tblPrEx>
        <w:tc>
          <w:tcPr>
            <w:tcW w:w="5102" w:type="dxa"/>
            <w:tcBorders>
              <w:top w:val="nil"/>
              <w:bottom w:val="single" w:sz="4" w:space="0" w:color="auto"/>
            </w:tcBorders>
          </w:tcPr>
          <w:p w:rsidR="00212513" w:rsidRDefault="00212513">
            <w:pPr>
              <w:pStyle w:val="ConsPlusNormal"/>
            </w:pPr>
            <w:r>
              <w:t>8 Скалывание поперек волокон по клеевым швам</w:t>
            </w:r>
          </w:p>
        </w:tc>
        <w:tc>
          <w:tcPr>
            <w:tcW w:w="1587" w:type="dxa"/>
            <w:tcBorders>
              <w:top w:val="nil"/>
              <w:bottom w:val="single" w:sz="4" w:space="0" w:color="auto"/>
            </w:tcBorders>
          </w:tcPr>
          <w:p w:rsidR="00212513" w:rsidRDefault="00212513">
            <w:pPr>
              <w:pStyle w:val="ConsPlusNormal"/>
              <w:jc w:val="center"/>
            </w:pPr>
            <w:r>
              <w:rPr>
                <w:i/>
              </w:rPr>
              <w:t>R</w:t>
            </w:r>
            <w:r>
              <w:rPr>
                <w:i/>
                <w:vertAlign w:val="subscript"/>
              </w:rPr>
              <w:t>dsf</w:t>
            </w:r>
          </w:p>
        </w:tc>
        <w:tc>
          <w:tcPr>
            <w:tcW w:w="2381" w:type="dxa"/>
            <w:tcBorders>
              <w:top w:val="nil"/>
              <w:bottom w:val="single" w:sz="4" w:space="0" w:color="auto"/>
            </w:tcBorders>
          </w:tcPr>
          <w:p w:rsidR="00212513" w:rsidRDefault="00212513">
            <w:pPr>
              <w:pStyle w:val="ConsPlusNormal"/>
              <w:jc w:val="center"/>
            </w:pPr>
            <w:r>
              <w:t>0,78</w:t>
            </w:r>
          </w:p>
        </w:tc>
      </w:tr>
    </w:tbl>
    <w:p w:rsidR="00212513" w:rsidRDefault="00212513">
      <w:pPr>
        <w:pStyle w:val="ConsPlusNormal"/>
        <w:ind w:firstLine="540"/>
        <w:jc w:val="both"/>
      </w:pPr>
    </w:p>
    <w:p w:rsidR="00212513" w:rsidRDefault="00212513">
      <w:pPr>
        <w:pStyle w:val="ConsPlusNormal"/>
        <w:ind w:firstLine="540"/>
        <w:jc w:val="both"/>
      </w:pPr>
      <w:r>
        <w:t>В случаях применения досок (слоев) толщиной, отличной от 33 мм, расчетные сопротивления изгибу, сжатию и скалыванию вдоль волокон следует умножать на коэффициенты условий работы, равные:</w:t>
      </w:r>
    </w:p>
    <w:p w:rsidR="00212513" w:rsidRDefault="00212513">
      <w:pPr>
        <w:pStyle w:val="ConsPlusNormal"/>
        <w:spacing w:before="220"/>
        <w:ind w:firstLine="540"/>
        <w:jc w:val="both"/>
      </w:pPr>
      <w:r>
        <w:t>1,10 - при толщине 19 мм и менее;</w:t>
      </w:r>
    </w:p>
    <w:p w:rsidR="00212513" w:rsidRDefault="00212513">
      <w:pPr>
        <w:pStyle w:val="ConsPlusNormal"/>
        <w:spacing w:before="220"/>
        <w:ind w:firstLine="540"/>
        <w:jc w:val="both"/>
      </w:pPr>
      <w:r>
        <w:t>1,05 - то же, 26 мм;</w:t>
      </w:r>
    </w:p>
    <w:p w:rsidR="00212513" w:rsidRDefault="00212513">
      <w:pPr>
        <w:pStyle w:val="ConsPlusNormal"/>
        <w:spacing w:before="220"/>
        <w:ind w:firstLine="540"/>
        <w:jc w:val="both"/>
      </w:pPr>
      <w:r>
        <w:t>0,95 - то же, 43 мм.</w:t>
      </w:r>
    </w:p>
    <w:p w:rsidR="00212513" w:rsidRDefault="00212513">
      <w:pPr>
        <w:pStyle w:val="ConsPlusNormal"/>
        <w:spacing w:before="220"/>
        <w:ind w:firstLine="540"/>
        <w:jc w:val="both"/>
      </w:pPr>
      <w:r>
        <w:t>При высоте клееных элементов свыше 50 см расчетные сопротивления изгибу и сжатию вдоль волокон следует умножать на коэффициенты условий работы, приведенные в таблице 10.3.</w:t>
      </w:r>
    </w:p>
    <w:p w:rsidR="00212513" w:rsidRDefault="00212513">
      <w:pPr>
        <w:pStyle w:val="ConsPlusNormal"/>
        <w:ind w:firstLine="540"/>
        <w:jc w:val="both"/>
      </w:pPr>
    </w:p>
    <w:p w:rsidR="00212513" w:rsidRDefault="00212513">
      <w:pPr>
        <w:pStyle w:val="ConsPlusNormal"/>
        <w:jc w:val="right"/>
      </w:pPr>
      <w:r>
        <w:t>Таблица 10.3</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85"/>
        <w:gridCol w:w="4252"/>
      </w:tblGrid>
      <w:tr w:rsidR="00212513">
        <w:tc>
          <w:tcPr>
            <w:tcW w:w="3685" w:type="dxa"/>
            <w:tcBorders>
              <w:top w:val="single" w:sz="4" w:space="0" w:color="auto"/>
              <w:bottom w:val="single" w:sz="4" w:space="0" w:color="auto"/>
            </w:tcBorders>
            <w:vAlign w:val="center"/>
          </w:tcPr>
          <w:p w:rsidR="00212513" w:rsidRDefault="00212513">
            <w:pPr>
              <w:pStyle w:val="ConsPlusNormal"/>
              <w:jc w:val="center"/>
            </w:pPr>
            <w:r>
              <w:t>Высота сечения, см</w:t>
            </w:r>
          </w:p>
        </w:tc>
        <w:tc>
          <w:tcPr>
            <w:tcW w:w="4252" w:type="dxa"/>
            <w:tcBorders>
              <w:top w:val="single" w:sz="4" w:space="0" w:color="auto"/>
              <w:bottom w:val="single" w:sz="4" w:space="0" w:color="auto"/>
            </w:tcBorders>
            <w:vAlign w:val="center"/>
          </w:tcPr>
          <w:p w:rsidR="00212513" w:rsidRDefault="00212513">
            <w:pPr>
              <w:pStyle w:val="ConsPlusNormal"/>
              <w:jc w:val="center"/>
            </w:pPr>
            <w:r>
              <w:t>Коэффициент условий работы</w:t>
            </w:r>
          </w:p>
        </w:tc>
      </w:tr>
      <w:tr w:rsidR="00212513">
        <w:tblPrEx>
          <w:tblBorders>
            <w:insideH w:val="none" w:sz="0" w:space="0" w:color="auto"/>
          </w:tblBorders>
        </w:tblPrEx>
        <w:tc>
          <w:tcPr>
            <w:tcW w:w="3685" w:type="dxa"/>
            <w:tcBorders>
              <w:top w:val="single" w:sz="4" w:space="0" w:color="auto"/>
              <w:bottom w:val="nil"/>
            </w:tcBorders>
          </w:tcPr>
          <w:p w:rsidR="00212513" w:rsidRDefault="00212513">
            <w:pPr>
              <w:pStyle w:val="ConsPlusNormal"/>
              <w:jc w:val="center"/>
            </w:pPr>
            <w:r>
              <w:t>50 и менее</w:t>
            </w:r>
          </w:p>
        </w:tc>
        <w:tc>
          <w:tcPr>
            <w:tcW w:w="4252" w:type="dxa"/>
            <w:tcBorders>
              <w:top w:val="single" w:sz="4" w:space="0" w:color="auto"/>
              <w:bottom w:val="nil"/>
            </w:tcBorders>
          </w:tcPr>
          <w:p w:rsidR="00212513" w:rsidRDefault="00212513">
            <w:pPr>
              <w:pStyle w:val="ConsPlusNormal"/>
              <w:jc w:val="center"/>
            </w:pPr>
            <w:r>
              <w:t>1,00</w:t>
            </w:r>
          </w:p>
        </w:tc>
      </w:tr>
      <w:tr w:rsidR="00212513">
        <w:tblPrEx>
          <w:tblBorders>
            <w:insideH w:val="none" w:sz="0" w:space="0" w:color="auto"/>
          </w:tblBorders>
        </w:tblPrEx>
        <w:tc>
          <w:tcPr>
            <w:tcW w:w="3685" w:type="dxa"/>
            <w:tcBorders>
              <w:top w:val="nil"/>
              <w:bottom w:val="nil"/>
            </w:tcBorders>
          </w:tcPr>
          <w:p w:rsidR="00212513" w:rsidRDefault="00212513">
            <w:pPr>
              <w:pStyle w:val="ConsPlusNormal"/>
              <w:jc w:val="center"/>
            </w:pPr>
            <w:r>
              <w:t>60</w:t>
            </w:r>
          </w:p>
        </w:tc>
        <w:tc>
          <w:tcPr>
            <w:tcW w:w="4252" w:type="dxa"/>
            <w:tcBorders>
              <w:top w:val="nil"/>
              <w:bottom w:val="nil"/>
            </w:tcBorders>
          </w:tcPr>
          <w:p w:rsidR="00212513" w:rsidRDefault="00212513">
            <w:pPr>
              <w:pStyle w:val="ConsPlusNormal"/>
              <w:jc w:val="center"/>
            </w:pPr>
            <w:r>
              <w:t>0,96</w:t>
            </w:r>
          </w:p>
        </w:tc>
      </w:tr>
      <w:tr w:rsidR="00212513">
        <w:tblPrEx>
          <w:tblBorders>
            <w:insideH w:val="none" w:sz="0" w:space="0" w:color="auto"/>
          </w:tblBorders>
        </w:tblPrEx>
        <w:tc>
          <w:tcPr>
            <w:tcW w:w="3685" w:type="dxa"/>
            <w:tcBorders>
              <w:top w:val="nil"/>
              <w:bottom w:val="nil"/>
            </w:tcBorders>
          </w:tcPr>
          <w:p w:rsidR="00212513" w:rsidRDefault="00212513">
            <w:pPr>
              <w:pStyle w:val="ConsPlusNormal"/>
              <w:jc w:val="center"/>
            </w:pPr>
            <w:r>
              <w:t>70</w:t>
            </w:r>
          </w:p>
        </w:tc>
        <w:tc>
          <w:tcPr>
            <w:tcW w:w="4252" w:type="dxa"/>
            <w:tcBorders>
              <w:top w:val="nil"/>
              <w:bottom w:val="nil"/>
            </w:tcBorders>
          </w:tcPr>
          <w:p w:rsidR="00212513" w:rsidRDefault="00212513">
            <w:pPr>
              <w:pStyle w:val="ConsPlusNormal"/>
              <w:jc w:val="center"/>
            </w:pPr>
            <w:r>
              <w:t>0,93</w:t>
            </w:r>
          </w:p>
        </w:tc>
      </w:tr>
      <w:tr w:rsidR="00212513">
        <w:tblPrEx>
          <w:tblBorders>
            <w:insideH w:val="none" w:sz="0" w:space="0" w:color="auto"/>
          </w:tblBorders>
        </w:tblPrEx>
        <w:tc>
          <w:tcPr>
            <w:tcW w:w="3685" w:type="dxa"/>
            <w:tcBorders>
              <w:top w:val="nil"/>
              <w:bottom w:val="nil"/>
            </w:tcBorders>
          </w:tcPr>
          <w:p w:rsidR="00212513" w:rsidRDefault="00212513">
            <w:pPr>
              <w:pStyle w:val="ConsPlusNormal"/>
              <w:jc w:val="center"/>
            </w:pPr>
            <w:r>
              <w:t>80</w:t>
            </w:r>
          </w:p>
        </w:tc>
        <w:tc>
          <w:tcPr>
            <w:tcW w:w="4252" w:type="dxa"/>
            <w:tcBorders>
              <w:top w:val="nil"/>
              <w:bottom w:val="nil"/>
            </w:tcBorders>
          </w:tcPr>
          <w:p w:rsidR="00212513" w:rsidRDefault="00212513">
            <w:pPr>
              <w:pStyle w:val="ConsPlusNormal"/>
              <w:jc w:val="center"/>
            </w:pPr>
            <w:r>
              <w:t>0,90</w:t>
            </w:r>
          </w:p>
        </w:tc>
      </w:tr>
      <w:tr w:rsidR="00212513">
        <w:tblPrEx>
          <w:tblBorders>
            <w:insideH w:val="none" w:sz="0" w:space="0" w:color="auto"/>
          </w:tblBorders>
        </w:tblPrEx>
        <w:tc>
          <w:tcPr>
            <w:tcW w:w="3685" w:type="dxa"/>
            <w:tcBorders>
              <w:top w:val="nil"/>
              <w:bottom w:val="nil"/>
            </w:tcBorders>
          </w:tcPr>
          <w:p w:rsidR="00212513" w:rsidRDefault="00212513">
            <w:pPr>
              <w:pStyle w:val="ConsPlusNormal"/>
              <w:jc w:val="center"/>
            </w:pPr>
            <w:r>
              <w:t>100</w:t>
            </w:r>
          </w:p>
        </w:tc>
        <w:tc>
          <w:tcPr>
            <w:tcW w:w="4252" w:type="dxa"/>
            <w:tcBorders>
              <w:top w:val="nil"/>
              <w:bottom w:val="nil"/>
            </w:tcBorders>
          </w:tcPr>
          <w:p w:rsidR="00212513" w:rsidRDefault="00212513">
            <w:pPr>
              <w:pStyle w:val="ConsPlusNormal"/>
              <w:jc w:val="center"/>
            </w:pPr>
            <w:r>
              <w:t>0,85</w:t>
            </w:r>
          </w:p>
        </w:tc>
      </w:tr>
      <w:tr w:rsidR="00212513">
        <w:tblPrEx>
          <w:tblBorders>
            <w:insideH w:val="none" w:sz="0" w:space="0" w:color="auto"/>
          </w:tblBorders>
        </w:tblPrEx>
        <w:tc>
          <w:tcPr>
            <w:tcW w:w="3685" w:type="dxa"/>
            <w:tcBorders>
              <w:top w:val="nil"/>
              <w:bottom w:val="single" w:sz="4" w:space="0" w:color="auto"/>
            </w:tcBorders>
          </w:tcPr>
          <w:p w:rsidR="00212513" w:rsidRDefault="00212513">
            <w:pPr>
              <w:pStyle w:val="ConsPlusNormal"/>
              <w:jc w:val="center"/>
            </w:pPr>
            <w:r>
              <w:t>120 и более</w:t>
            </w:r>
          </w:p>
        </w:tc>
        <w:tc>
          <w:tcPr>
            <w:tcW w:w="4252" w:type="dxa"/>
            <w:tcBorders>
              <w:top w:val="nil"/>
              <w:bottom w:val="single" w:sz="4" w:space="0" w:color="auto"/>
            </w:tcBorders>
          </w:tcPr>
          <w:p w:rsidR="00212513" w:rsidRDefault="00212513">
            <w:pPr>
              <w:pStyle w:val="ConsPlusNormal"/>
              <w:jc w:val="center"/>
            </w:pPr>
            <w:r>
              <w:t>0,80</w:t>
            </w:r>
          </w:p>
        </w:tc>
      </w:tr>
    </w:tbl>
    <w:p w:rsidR="00212513" w:rsidRDefault="00212513">
      <w:pPr>
        <w:pStyle w:val="ConsPlusNormal"/>
        <w:ind w:firstLine="540"/>
        <w:jc w:val="both"/>
      </w:pPr>
    </w:p>
    <w:p w:rsidR="00212513" w:rsidRDefault="00212513">
      <w:pPr>
        <w:pStyle w:val="ConsPlusNormal"/>
        <w:ind w:firstLine="540"/>
        <w:jc w:val="both"/>
      </w:pPr>
      <w:r>
        <w:t xml:space="preserve">10.13 Расчетное сопротивление древесины сосны скалыванию вдоль волокон </w:t>
      </w:r>
      <w:r>
        <w:rPr>
          <w:noProof/>
          <w:position w:val="-9"/>
        </w:rPr>
        <w:drawing>
          <wp:inline distT="0" distB="0" distL="0" distR="0">
            <wp:extent cx="304165" cy="262890"/>
            <wp:effectExtent l="0" t="0" r="0" b="0"/>
            <wp:docPr id="18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4" cstate="print">
                      <a:extLst>
                        <a:ext uri="{28A0092B-C50C-407E-A947-70E740481C1C}">
                          <a14:useLocalDpi xmlns:a14="http://schemas.microsoft.com/office/drawing/2010/main" val="0"/>
                        </a:ext>
                      </a:extLst>
                    </a:blip>
                    <a:srcRect/>
                    <a:stretch>
                      <a:fillRect/>
                    </a:stretch>
                  </pic:blipFill>
                  <pic:spPr bwMode="auto">
                    <a:xfrm>
                      <a:off x="0" y="0"/>
                      <a:ext cx="304165" cy="262890"/>
                    </a:xfrm>
                    <a:prstGeom prst="rect">
                      <a:avLst/>
                    </a:prstGeom>
                    <a:noFill/>
                    <a:ln>
                      <a:noFill/>
                    </a:ln>
                  </pic:spPr>
                </pic:pic>
              </a:graphicData>
            </a:graphic>
          </wp:inline>
        </w:drawing>
      </w:r>
      <w:r>
        <w:t xml:space="preserve"> в клеештыревых соединениях - вклеенных стальных арматурных стержнях, работающих на выдергивание или продавливание (рисунок 10.1), в зависимости от глубины заделки штырей </w:t>
      </w:r>
      <w:r>
        <w:rPr>
          <w:i/>
        </w:rPr>
        <w:t>l</w:t>
      </w:r>
      <w:r>
        <w:t xml:space="preserve"> следует принимать по </w:t>
      </w:r>
      <w:hyperlink w:anchor="P10305">
        <w:r>
          <w:rPr>
            <w:color w:val="0000FF"/>
          </w:rPr>
          <w:t>таблице 10.4</w:t>
        </w:r>
      </w:hyperlink>
      <w:r>
        <w:t>.</w:t>
      </w:r>
    </w:p>
    <w:p w:rsidR="00212513" w:rsidRDefault="00212513">
      <w:pPr>
        <w:pStyle w:val="ConsPlusNormal"/>
        <w:ind w:firstLine="540"/>
        <w:jc w:val="both"/>
      </w:pPr>
    </w:p>
    <w:p w:rsidR="00212513" w:rsidRDefault="00212513">
      <w:pPr>
        <w:pStyle w:val="ConsPlusNormal"/>
        <w:jc w:val="center"/>
      </w:pPr>
      <w:r>
        <w:rPr>
          <w:noProof/>
          <w:position w:val="-119"/>
        </w:rPr>
        <w:drawing>
          <wp:inline distT="0" distB="0" distL="0" distR="0">
            <wp:extent cx="2292985" cy="1659890"/>
            <wp:effectExtent l="0" t="0" r="0" b="0"/>
            <wp:docPr id="18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5" cstate="print">
                      <a:extLst>
                        <a:ext uri="{28A0092B-C50C-407E-A947-70E740481C1C}">
                          <a14:useLocalDpi xmlns:a14="http://schemas.microsoft.com/office/drawing/2010/main" val="0"/>
                        </a:ext>
                      </a:extLst>
                    </a:blip>
                    <a:srcRect/>
                    <a:stretch>
                      <a:fillRect/>
                    </a:stretch>
                  </pic:blipFill>
                  <pic:spPr bwMode="auto">
                    <a:xfrm>
                      <a:off x="0" y="0"/>
                      <a:ext cx="2292985" cy="1659890"/>
                    </a:xfrm>
                    <a:prstGeom prst="rect">
                      <a:avLst/>
                    </a:prstGeom>
                    <a:noFill/>
                    <a:ln>
                      <a:noFill/>
                    </a:ln>
                  </pic:spPr>
                </pic:pic>
              </a:graphicData>
            </a:graphic>
          </wp:inline>
        </w:drawing>
      </w:r>
    </w:p>
    <w:p w:rsidR="00212513" w:rsidRDefault="00212513">
      <w:pPr>
        <w:pStyle w:val="ConsPlusNormal"/>
        <w:ind w:firstLine="540"/>
        <w:jc w:val="both"/>
      </w:pPr>
    </w:p>
    <w:p w:rsidR="00212513" w:rsidRDefault="00212513">
      <w:pPr>
        <w:pStyle w:val="ConsPlusNormal"/>
        <w:jc w:val="center"/>
      </w:pPr>
      <w:r>
        <w:t>1 - стыкуемые блоки; 2 - стык блоков; 3 - отверстия</w:t>
      </w:r>
    </w:p>
    <w:p w:rsidR="00212513" w:rsidRDefault="00212513">
      <w:pPr>
        <w:pStyle w:val="ConsPlusNormal"/>
        <w:jc w:val="center"/>
      </w:pPr>
      <w:r>
        <w:t>для штырей; 4 - вклеенные в отверстия штыри</w:t>
      </w:r>
    </w:p>
    <w:p w:rsidR="00212513" w:rsidRDefault="00212513">
      <w:pPr>
        <w:pStyle w:val="ConsPlusNormal"/>
        <w:ind w:firstLine="540"/>
        <w:jc w:val="both"/>
      </w:pPr>
    </w:p>
    <w:p w:rsidR="00212513" w:rsidRDefault="00212513">
      <w:pPr>
        <w:pStyle w:val="ConsPlusNormal"/>
        <w:jc w:val="center"/>
      </w:pPr>
      <w:r>
        <w:rPr>
          <w:b/>
          <w:i/>
        </w:rPr>
        <w:t>Рисунок 10.1</w:t>
      </w:r>
      <w:r>
        <w:t xml:space="preserve"> </w:t>
      </w:r>
      <w:r>
        <w:rPr>
          <w:b/>
        </w:rPr>
        <w:t>- Клеештыревой стык</w:t>
      </w:r>
    </w:p>
    <w:p w:rsidR="00212513" w:rsidRDefault="00212513">
      <w:pPr>
        <w:pStyle w:val="ConsPlusNormal"/>
        <w:ind w:firstLine="540"/>
        <w:jc w:val="both"/>
      </w:pPr>
    </w:p>
    <w:p w:rsidR="00212513" w:rsidRDefault="00212513">
      <w:pPr>
        <w:pStyle w:val="ConsPlusNormal"/>
        <w:jc w:val="right"/>
      </w:pPr>
      <w:bookmarkStart w:id="436" w:name="P10305"/>
      <w:bookmarkEnd w:id="436"/>
      <w:r>
        <w:t>Таблица 10.4</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31"/>
        <w:gridCol w:w="4706"/>
      </w:tblGrid>
      <w:tr w:rsidR="00212513">
        <w:tc>
          <w:tcPr>
            <w:tcW w:w="3231" w:type="dxa"/>
            <w:tcBorders>
              <w:top w:val="single" w:sz="4" w:space="0" w:color="auto"/>
              <w:bottom w:val="single" w:sz="4" w:space="0" w:color="auto"/>
            </w:tcBorders>
            <w:vAlign w:val="center"/>
          </w:tcPr>
          <w:p w:rsidR="00212513" w:rsidRDefault="00212513">
            <w:pPr>
              <w:pStyle w:val="ConsPlusNormal"/>
              <w:jc w:val="center"/>
            </w:pPr>
            <w:r>
              <w:t xml:space="preserve">Глубина заделки штыря </w:t>
            </w:r>
            <w:r>
              <w:rPr>
                <w:i/>
              </w:rPr>
              <w:t>l</w:t>
            </w:r>
            <w:r>
              <w:t>, см</w:t>
            </w:r>
          </w:p>
        </w:tc>
        <w:tc>
          <w:tcPr>
            <w:tcW w:w="4706" w:type="dxa"/>
            <w:tcBorders>
              <w:top w:val="single" w:sz="4" w:space="0" w:color="auto"/>
              <w:bottom w:val="single" w:sz="4" w:space="0" w:color="auto"/>
            </w:tcBorders>
            <w:vAlign w:val="center"/>
          </w:tcPr>
          <w:p w:rsidR="00212513" w:rsidRDefault="00212513">
            <w:pPr>
              <w:pStyle w:val="ConsPlusNormal"/>
              <w:jc w:val="center"/>
            </w:pPr>
            <w:r>
              <w:t xml:space="preserve">Расчетное сопротивление скалыванию </w:t>
            </w:r>
            <w:r>
              <w:rPr>
                <w:noProof/>
                <w:position w:val="-9"/>
              </w:rPr>
              <w:drawing>
                <wp:inline distT="0" distB="0" distL="0" distR="0">
                  <wp:extent cx="304165" cy="262890"/>
                  <wp:effectExtent l="0" t="0" r="0" b="0"/>
                  <wp:docPr id="18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6" cstate="print">
                            <a:extLst>
                              <a:ext uri="{28A0092B-C50C-407E-A947-70E740481C1C}">
                                <a14:useLocalDpi xmlns:a14="http://schemas.microsoft.com/office/drawing/2010/main" val="0"/>
                              </a:ext>
                            </a:extLst>
                          </a:blip>
                          <a:srcRect/>
                          <a:stretch>
                            <a:fillRect/>
                          </a:stretch>
                        </pic:blipFill>
                        <pic:spPr bwMode="auto">
                          <a:xfrm>
                            <a:off x="0" y="0"/>
                            <a:ext cx="304165" cy="262890"/>
                          </a:xfrm>
                          <a:prstGeom prst="rect">
                            <a:avLst/>
                          </a:prstGeom>
                          <a:noFill/>
                          <a:ln>
                            <a:noFill/>
                          </a:ln>
                        </pic:spPr>
                      </pic:pic>
                    </a:graphicData>
                  </a:graphic>
                </wp:inline>
              </w:drawing>
            </w:r>
            <w:r>
              <w:t>, МПа</w:t>
            </w:r>
          </w:p>
        </w:tc>
      </w:tr>
      <w:tr w:rsidR="00212513">
        <w:tblPrEx>
          <w:tblBorders>
            <w:insideH w:val="none" w:sz="0" w:space="0" w:color="auto"/>
          </w:tblBorders>
        </w:tblPrEx>
        <w:tc>
          <w:tcPr>
            <w:tcW w:w="3231" w:type="dxa"/>
            <w:tcBorders>
              <w:top w:val="single" w:sz="4" w:space="0" w:color="auto"/>
              <w:bottom w:val="nil"/>
            </w:tcBorders>
          </w:tcPr>
          <w:p w:rsidR="00212513" w:rsidRDefault="00212513">
            <w:pPr>
              <w:pStyle w:val="ConsPlusNormal"/>
              <w:jc w:val="center"/>
            </w:pPr>
            <w:r>
              <w:t>15</w:t>
            </w:r>
          </w:p>
        </w:tc>
        <w:tc>
          <w:tcPr>
            <w:tcW w:w="4706" w:type="dxa"/>
            <w:tcBorders>
              <w:top w:val="single" w:sz="4" w:space="0" w:color="auto"/>
              <w:bottom w:val="nil"/>
            </w:tcBorders>
          </w:tcPr>
          <w:p w:rsidR="00212513" w:rsidRDefault="00212513">
            <w:pPr>
              <w:pStyle w:val="ConsPlusNormal"/>
              <w:jc w:val="center"/>
            </w:pPr>
            <w:r>
              <w:t>2,94</w:t>
            </w:r>
          </w:p>
        </w:tc>
      </w:tr>
      <w:tr w:rsidR="00212513">
        <w:tblPrEx>
          <w:tblBorders>
            <w:insideH w:val="none" w:sz="0" w:space="0" w:color="auto"/>
          </w:tblBorders>
        </w:tblPrEx>
        <w:tc>
          <w:tcPr>
            <w:tcW w:w="3231" w:type="dxa"/>
            <w:tcBorders>
              <w:top w:val="nil"/>
              <w:bottom w:val="nil"/>
            </w:tcBorders>
          </w:tcPr>
          <w:p w:rsidR="00212513" w:rsidRDefault="00212513">
            <w:pPr>
              <w:pStyle w:val="ConsPlusNormal"/>
              <w:jc w:val="center"/>
            </w:pPr>
            <w:r>
              <w:t>20</w:t>
            </w:r>
          </w:p>
        </w:tc>
        <w:tc>
          <w:tcPr>
            <w:tcW w:w="4706" w:type="dxa"/>
            <w:tcBorders>
              <w:top w:val="nil"/>
              <w:bottom w:val="nil"/>
            </w:tcBorders>
          </w:tcPr>
          <w:p w:rsidR="00212513" w:rsidRDefault="00212513">
            <w:pPr>
              <w:pStyle w:val="ConsPlusNormal"/>
              <w:jc w:val="center"/>
            </w:pPr>
            <w:r>
              <w:t>2,75</w:t>
            </w:r>
          </w:p>
        </w:tc>
      </w:tr>
      <w:tr w:rsidR="00212513">
        <w:tblPrEx>
          <w:tblBorders>
            <w:insideH w:val="none" w:sz="0" w:space="0" w:color="auto"/>
          </w:tblBorders>
        </w:tblPrEx>
        <w:tc>
          <w:tcPr>
            <w:tcW w:w="3231" w:type="dxa"/>
            <w:tcBorders>
              <w:top w:val="nil"/>
              <w:bottom w:val="nil"/>
            </w:tcBorders>
          </w:tcPr>
          <w:p w:rsidR="00212513" w:rsidRDefault="00212513">
            <w:pPr>
              <w:pStyle w:val="ConsPlusNormal"/>
              <w:jc w:val="center"/>
            </w:pPr>
            <w:r>
              <w:t>25</w:t>
            </w:r>
          </w:p>
        </w:tc>
        <w:tc>
          <w:tcPr>
            <w:tcW w:w="4706" w:type="dxa"/>
            <w:tcBorders>
              <w:top w:val="nil"/>
              <w:bottom w:val="nil"/>
            </w:tcBorders>
          </w:tcPr>
          <w:p w:rsidR="00212513" w:rsidRDefault="00212513">
            <w:pPr>
              <w:pStyle w:val="ConsPlusNormal"/>
              <w:jc w:val="center"/>
            </w:pPr>
            <w:r>
              <w:t>2,55</w:t>
            </w:r>
          </w:p>
        </w:tc>
      </w:tr>
      <w:tr w:rsidR="00212513">
        <w:tblPrEx>
          <w:tblBorders>
            <w:insideH w:val="none" w:sz="0" w:space="0" w:color="auto"/>
          </w:tblBorders>
        </w:tblPrEx>
        <w:tc>
          <w:tcPr>
            <w:tcW w:w="3231" w:type="dxa"/>
            <w:tcBorders>
              <w:top w:val="nil"/>
              <w:bottom w:val="nil"/>
            </w:tcBorders>
          </w:tcPr>
          <w:p w:rsidR="00212513" w:rsidRDefault="00212513">
            <w:pPr>
              <w:pStyle w:val="ConsPlusNormal"/>
              <w:jc w:val="center"/>
            </w:pPr>
            <w:r>
              <w:t>30</w:t>
            </w:r>
          </w:p>
        </w:tc>
        <w:tc>
          <w:tcPr>
            <w:tcW w:w="4706" w:type="dxa"/>
            <w:tcBorders>
              <w:top w:val="nil"/>
              <w:bottom w:val="nil"/>
            </w:tcBorders>
          </w:tcPr>
          <w:p w:rsidR="00212513" w:rsidRDefault="00212513">
            <w:pPr>
              <w:pStyle w:val="ConsPlusNormal"/>
              <w:jc w:val="center"/>
            </w:pPr>
            <w:r>
              <w:t>2,45</w:t>
            </w:r>
          </w:p>
        </w:tc>
      </w:tr>
      <w:tr w:rsidR="00212513">
        <w:tblPrEx>
          <w:tblBorders>
            <w:insideH w:val="none" w:sz="0" w:space="0" w:color="auto"/>
          </w:tblBorders>
        </w:tblPrEx>
        <w:tc>
          <w:tcPr>
            <w:tcW w:w="3231" w:type="dxa"/>
            <w:tcBorders>
              <w:top w:val="nil"/>
              <w:bottom w:val="nil"/>
            </w:tcBorders>
          </w:tcPr>
          <w:p w:rsidR="00212513" w:rsidRDefault="00212513">
            <w:pPr>
              <w:pStyle w:val="ConsPlusNormal"/>
              <w:jc w:val="center"/>
            </w:pPr>
            <w:r>
              <w:t>35</w:t>
            </w:r>
          </w:p>
        </w:tc>
        <w:tc>
          <w:tcPr>
            <w:tcW w:w="4706" w:type="dxa"/>
            <w:tcBorders>
              <w:top w:val="nil"/>
              <w:bottom w:val="nil"/>
            </w:tcBorders>
          </w:tcPr>
          <w:p w:rsidR="00212513" w:rsidRDefault="00212513">
            <w:pPr>
              <w:pStyle w:val="ConsPlusNormal"/>
              <w:jc w:val="center"/>
            </w:pPr>
            <w:r>
              <w:t>2,26</w:t>
            </w:r>
          </w:p>
        </w:tc>
      </w:tr>
      <w:tr w:rsidR="00212513">
        <w:tblPrEx>
          <w:tblBorders>
            <w:insideH w:val="none" w:sz="0" w:space="0" w:color="auto"/>
          </w:tblBorders>
        </w:tblPrEx>
        <w:tc>
          <w:tcPr>
            <w:tcW w:w="3231" w:type="dxa"/>
            <w:tcBorders>
              <w:top w:val="nil"/>
              <w:bottom w:val="nil"/>
            </w:tcBorders>
          </w:tcPr>
          <w:p w:rsidR="00212513" w:rsidRDefault="00212513">
            <w:pPr>
              <w:pStyle w:val="ConsPlusNormal"/>
              <w:jc w:val="center"/>
            </w:pPr>
            <w:r>
              <w:t>40</w:t>
            </w:r>
          </w:p>
        </w:tc>
        <w:tc>
          <w:tcPr>
            <w:tcW w:w="4706" w:type="dxa"/>
            <w:tcBorders>
              <w:top w:val="nil"/>
              <w:bottom w:val="nil"/>
            </w:tcBorders>
          </w:tcPr>
          <w:p w:rsidR="00212513" w:rsidRDefault="00212513">
            <w:pPr>
              <w:pStyle w:val="ConsPlusNormal"/>
              <w:jc w:val="center"/>
            </w:pPr>
            <w:r>
              <w:t>2,16</w:t>
            </w:r>
          </w:p>
        </w:tc>
      </w:tr>
      <w:tr w:rsidR="00212513">
        <w:tblPrEx>
          <w:tblBorders>
            <w:insideH w:val="none" w:sz="0" w:space="0" w:color="auto"/>
          </w:tblBorders>
        </w:tblPrEx>
        <w:tc>
          <w:tcPr>
            <w:tcW w:w="3231" w:type="dxa"/>
            <w:tcBorders>
              <w:top w:val="nil"/>
              <w:bottom w:val="nil"/>
            </w:tcBorders>
          </w:tcPr>
          <w:p w:rsidR="00212513" w:rsidRDefault="00212513">
            <w:pPr>
              <w:pStyle w:val="ConsPlusNormal"/>
              <w:jc w:val="center"/>
            </w:pPr>
            <w:r>
              <w:lastRenderedPageBreak/>
              <w:t>45</w:t>
            </w:r>
          </w:p>
        </w:tc>
        <w:tc>
          <w:tcPr>
            <w:tcW w:w="4706" w:type="dxa"/>
            <w:tcBorders>
              <w:top w:val="nil"/>
              <w:bottom w:val="nil"/>
            </w:tcBorders>
          </w:tcPr>
          <w:p w:rsidR="00212513" w:rsidRDefault="00212513">
            <w:pPr>
              <w:pStyle w:val="ConsPlusNormal"/>
              <w:jc w:val="center"/>
            </w:pPr>
            <w:r>
              <w:t>2,01</w:t>
            </w:r>
          </w:p>
        </w:tc>
      </w:tr>
      <w:tr w:rsidR="00212513">
        <w:tblPrEx>
          <w:tblBorders>
            <w:insideH w:val="none" w:sz="0" w:space="0" w:color="auto"/>
          </w:tblBorders>
        </w:tblPrEx>
        <w:tc>
          <w:tcPr>
            <w:tcW w:w="3231" w:type="dxa"/>
            <w:tcBorders>
              <w:top w:val="nil"/>
              <w:bottom w:val="nil"/>
            </w:tcBorders>
          </w:tcPr>
          <w:p w:rsidR="00212513" w:rsidRDefault="00212513">
            <w:pPr>
              <w:pStyle w:val="ConsPlusNormal"/>
              <w:jc w:val="center"/>
            </w:pPr>
            <w:r>
              <w:t>50</w:t>
            </w:r>
          </w:p>
        </w:tc>
        <w:tc>
          <w:tcPr>
            <w:tcW w:w="4706" w:type="dxa"/>
            <w:tcBorders>
              <w:top w:val="nil"/>
              <w:bottom w:val="nil"/>
            </w:tcBorders>
          </w:tcPr>
          <w:p w:rsidR="00212513" w:rsidRDefault="00212513">
            <w:pPr>
              <w:pStyle w:val="ConsPlusNormal"/>
              <w:jc w:val="center"/>
            </w:pPr>
            <w:r>
              <w:t>1,91</w:t>
            </w:r>
          </w:p>
        </w:tc>
      </w:tr>
      <w:tr w:rsidR="00212513">
        <w:tblPrEx>
          <w:tblBorders>
            <w:insideH w:val="none" w:sz="0" w:space="0" w:color="auto"/>
          </w:tblBorders>
        </w:tblPrEx>
        <w:tc>
          <w:tcPr>
            <w:tcW w:w="3231" w:type="dxa"/>
            <w:tcBorders>
              <w:top w:val="nil"/>
              <w:bottom w:val="single" w:sz="4" w:space="0" w:color="auto"/>
            </w:tcBorders>
          </w:tcPr>
          <w:p w:rsidR="00212513" w:rsidRDefault="00212513">
            <w:pPr>
              <w:pStyle w:val="ConsPlusNormal"/>
              <w:jc w:val="center"/>
            </w:pPr>
            <w:r>
              <w:t>55</w:t>
            </w:r>
          </w:p>
        </w:tc>
        <w:tc>
          <w:tcPr>
            <w:tcW w:w="4706" w:type="dxa"/>
            <w:tcBorders>
              <w:top w:val="nil"/>
              <w:bottom w:val="single" w:sz="4" w:space="0" w:color="auto"/>
            </w:tcBorders>
          </w:tcPr>
          <w:p w:rsidR="00212513" w:rsidRDefault="00212513">
            <w:pPr>
              <w:pStyle w:val="ConsPlusNormal"/>
              <w:jc w:val="center"/>
            </w:pPr>
            <w:r>
              <w:t>1,77</w:t>
            </w:r>
          </w:p>
        </w:tc>
      </w:tr>
      <w:tr w:rsidR="00212513">
        <w:tc>
          <w:tcPr>
            <w:tcW w:w="7937" w:type="dxa"/>
            <w:gridSpan w:val="2"/>
            <w:tcBorders>
              <w:top w:val="single" w:sz="4" w:space="0" w:color="auto"/>
              <w:bottom w:val="single" w:sz="4" w:space="0" w:color="auto"/>
            </w:tcBorders>
          </w:tcPr>
          <w:p w:rsidR="00212513" w:rsidRDefault="00212513">
            <w:pPr>
              <w:pStyle w:val="ConsPlusNormal"/>
              <w:ind w:firstLine="283"/>
              <w:jc w:val="both"/>
            </w:pPr>
            <w:r>
              <w:t>Примечания</w:t>
            </w:r>
          </w:p>
          <w:p w:rsidR="00212513" w:rsidRDefault="00212513">
            <w:pPr>
              <w:pStyle w:val="ConsPlusNormal"/>
              <w:ind w:firstLine="283"/>
              <w:jc w:val="both"/>
            </w:pPr>
            <w:r>
              <w:t xml:space="preserve">1 Расчетное сопротивление скалыванию при вклеивании штыря под углом </w:t>
            </w:r>
            <w:r>
              <w:rPr>
                <w:noProof/>
                <w:position w:val="-1"/>
              </w:rPr>
              <w:drawing>
                <wp:inline distT="0" distB="0" distL="0" distR="0">
                  <wp:extent cx="167640" cy="156845"/>
                  <wp:effectExtent l="0" t="0" r="0" b="0"/>
                  <wp:docPr id="18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7"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к направлению волокон следует определять по формуле</w:t>
            </w:r>
          </w:p>
          <w:p w:rsidR="00212513" w:rsidRDefault="00212513">
            <w:pPr>
              <w:pStyle w:val="ConsPlusNormal"/>
              <w:ind w:firstLine="283"/>
              <w:jc w:val="both"/>
            </w:pPr>
          </w:p>
          <w:p w:rsidR="00212513" w:rsidRDefault="00212513">
            <w:pPr>
              <w:pStyle w:val="ConsPlusNormal"/>
              <w:jc w:val="center"/>
            </w:pPr>
            <w:r>
              <w:rPr>
                <w:noProof/>
                <w:position w:val="-27"/>
              </w:rPr>
              <w:drawing>
                <wp:inline distT="0" distB="0" distL="0" distR="0">
                  <wp:extent cx="1524635" cy="494030"/>
                  <wp:effectExtent l="0" t="0" r="0" b="0"/>
                  <wp:docPr id="18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8" cstate="print">
                            <a:extLst>
                              <a:ext uri="{28A0092B-C50C-407E-A947-70E740481C1C}">
                                <a14:useLocalDpi xmlns:a14="http://schemas.microsoft.com/office/drawing/2010/main" val="0"/>
                              </a:ext>
                            </a:extLst>
                          </a:blip>
                          <a:srcRect/>
                          <a:stretch>
                            <a:fillRect/>
                          </a:stretch>
                        </pic:blipFill>
                        <pic:spPr bwMode="auto">
                          <a:xfrm>
                            <a:off x="0" y="0"/>
                            <a:ext cx="1524635" cy="494030"/>
                          </a:xfrm>
                          <a:prstGeom prst="rect">
                            <a:avLst/>
                          </a:prstGeom>
                          <a:noFill/>
                          <a:ln>
                            <a:noFill/>
                          </a:ln>
                        </pic:spPr>
                      </pic:pic>
                    </a:graphicData>
                  </a:graphic>
                </wp:inline>
              </w:drawing>
            </w:r>
            <w:r>
              <w:t>.</w:t>
            </w:r>
          </w:p>
          <w:p w:rsidR="00212513" w:rsidRDefault="00212513">
            <w:pPr>
              <w:pStyle w:val="ConsPlusNormal"/>
              <w:ind w:firstLine="283"/>
              <w:jc w:val="both"/>
            </w:pPr>
          </w:p>
          <w:p w:rsidR="00212513" w:rsidRDefault="00212513">
            <w:pPr>
              <w:pStyle w:val="ConsPlusNormal"/>
              <w:ind w:firstLine="283"/>
              <w:jc w:val="both"/>
            </w:pPr>
            <w:r>
              <w:t>2 Рекомендуется применять клеештыревые соединения, работающие поперек и под углом к направлению волокон.</w:t>
            </w:r>
          </w:p>
          <w:p w:rsidR="00212513" w:rsidRDefault="00212513">
            <w:pPr>
              <w:pStyle w:val="ConsPlusNormal"/>
              <w:ind w:firstLine="283"/>
              <w:jc w:val="both"/>
            </w:pPr>
            <w:r>
              <w:t>3 Изготовление клеештыревых соединений допускается только на заводах, имеющих соответствующее технологическое оборудование.</w:t>
            </w:r>
          </w:p>
        </w:tc>
      </w:tr>
    </w:tbl>
    <w:p w:rsidR="00212513" w:rsidRDefault="00212513">
      <w:pPr>
        <w:pStyle w:val="ConsPlusNormal"/>
        <w:ind w:firstLine="540"/>
        <w:jc w:val="both"/>
      </w:pPr>
    </w:p>
    <w:p w:rsidR="00212513" w:rsidRDefault="00212513">
      <w:pPr>
        <w:pStyle w:val="ConsPlusNormal"/>
        <w:ind w:firstLine="540"/>
        <w:jc w:val="both"/>
      </w:pPr>
      <w:r>
        <w:t xml:space="preserve">10.14 Для древесины других пород расчетные сопротивления, приведенные в </w:t>
      </w:r>
      <w:hyperlink w:anchor="P10152">
        <w:r>
          <w:rPr>
            <w:color w:val="0000FF"/>
          </w:rPr>
          <w:t>таблицах 10.1</w:t>
        </w:r>
      </w:hyperlink>
      <w:r>
        <w:t xml:space="preserve">, </w:t>
      </w:r>
      <w:hyperlink w:anchor="P10236">
        <w:r>
          <w:rPr>
            <w:color w:val="0000FF"/>
          </w:rPr>
          <w:t>10.2</w:t>
        </w:r>
      </w:hyperlink>
      <w:r>
        <w:t xml:space="preserve"> и </w:t>
      </w:r>
      <w:hyperlink w:anchor="P10305">
        <w:r>
          <w:rPr>
            <w:color w:val="0000FF"/>
          </w:rPr>
          <w:t>10.4</w:t>
        </w:r>
      </w:hyperlink>
      <w:r>
        <w:t>, следует умножать на коэффициент перехода по таблице 10.5.</w:t>
      </w:r>
    </w:p>
    <w:p w:rsidR="00212513" w:rsidRDefault="00212513">
      <w:pPr>
        <w:pStyle w:val="ConsPlusNormal"/>
        <w:ind w:firstLine="540"/>
        <w:jc w:val="both"/>
      </w:pPr>
    </w:p>
    <w:p w:rsidR="00212513" w:rsidRDefault="00212513">
      <w:pPr>
        <w:pStyle w:val="ConsPlusNormal"/>
        <w:jc w:val="right"/>
      </w:pPr>
      <w:bookmarkStart w:id="437" w:name="P10337"/>
      <w:bookmarkEnd w:id="437"/>
      <w:r>
        <w:t>Таблица 10.5</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57"/>
        <w:gridCol w:w="3288"/>
        <w:gridCol w:w="2011"/>
        <w:gridCol w:w="2012"/>
      </w:tblGrid>
      <w:tr w:rsidR="00212513">
        <w:tc>
          <w:tcPr>
            <w:tcW w:w="1757" w:type="dxa"/>
            <w:vMerge w:val="restart"/>
            <w:tcBorders>
              <w:top w:val="single" w:sz="4" w:space="0" w:color="auto"/>
              <w:bottom w:val="single" w:sz="4" w:space="0" w:color="auto"/>
            </w:tcBorders>
            <w:vAlign w:val="center"/>
          </w:tcPr>
          <w:p w:rsidR="00212513" w:rsidRDefault="00212513">
            <w:pPr>
              <w:pStyle w:val="ConsPlusNormal"/>
              <w:jc w:val="center"/>
            </w:pPr>
            <w:r>
              <w:t>Порода дерева</w:t>
            </w:r>
          </w:p>
        </w:tc>
        <w:tc>
          <w:tcPr>
            <w:tcW w:w="7311" w:type="dxa"/>
            <w:gridSpan w:val="3"/>
            <w:tcBorders>
              <w:top w:val="single" w:sz="4" w:space="0" w:color="auto"/>
              <w:bottom w:val="single" w:sz="4" w:space="0" w:color="auto"/>
            </w:tcBorders>
            <w:vAlign w:val="center"/>
          </w:tcPr>
          <w:p w:rsidR="00212513" w:rsidRDefault="00212513">
            <w:pPr>
              <w:pStyle w:val="ConsPlusNormal"/>
              <w:jc w:val="center"/>
            </w:pPr>
            <w:r>
              <w:t>Коэффициент перехода для расчетных сопротивлений</w:t>
            </w:r>
          </w:p>
        </w:tc>
      </w:tr>
      <w:tr w:rsidR="00212513">
        <w:tc>
          <w:tcPr>
            <w:tcW w:w="1757" w:type="dxa"/>
            <w:vMerge/>
            <w:tcBorders>
              <w:top w:val="single" w:sz="4" w:space="0" w:color="auto"/>
              <w:bottom w:val="single" w:sz="4" w:space="0" w:color="auto"/>
            </w:tcBorders>
          </w:tcPr>
          <w:p w:rsidR="00212513" w:rsidRDefault="00212513">
            <w:pPr>
              <w:pStyle w:val="ConsPlusNormal"/>
            </w:pPr>
          </w:p>
        </w:tc>
        <w:tc>
          <w:tcPr>
            <w:tcW w:w="3288" w:type="dxa"/>
            <w:tcBorders>
              <w:top w:val="single" w:sz="4" w:space="0" w:color="auto"/>
              <w:bottom w:val="single" w:sz="4" w:space="0" w:color="auto"/>
            </w:tcBorders>
            <w:vAlign w:val="center"/>
          </w:tcPr>
          <w:p w:rsidR="00212513" w:rsidRDefault="00212513">
            <w:pPr>
              <w:pStyle w:val="ConsPlusNormal"/>
              <w:jc w:val="center"/>
            </w:pPr>
            <w:r>
              <w:t>растяжению, изгибу, сжатию и смятию вдоль волокон</w:t>
            </w:r>
          </w:p>
        </w:tc>
        <w:tc>
          <w:tcPr>
            <w:tcW w:w="2011" w:type="dxa"/>
            <w:tcBorders>
              <w:top w:val="single" w:sz="4" w:space="0" w:color="auto"/>
              <w:bottom w:val="single" w:sz="4" w:space="0" w:color="auto"/>
            </w:tcBorders>
            <w:vAlign w:val="center"/>
          </w:tcPr>
          <w:p w:rsidR="00212513" w:rsidRDefault="00212513">
            <w:pPr>
              <w:pStyle w:val="ConsPlusNormal"/>
              <w:jc w:val="center"/>
            </w:pPr>
            <w:r>
              <w:t>сжатию и смятию поперек волокон</w:t>
            </w:r>
          </w:p>
        </w:tc>
        <w:tc>
          <w:tcPr>
            <w:tcW w:w="2012" w:type="dxa"/>
            <w:tcBorders>
              <w:top w:val="single" w:sz="4" w:space="0" w:color="auto"/>
              <w:bottom w:val="single" w:sz="4" w:space="0" w:color="auto"/>
            </w:tcBorders>
            <w:vAlign w:val="center"/>
          </w:tcPr>
          <w:p w:rsidR="00212513" w:rsidRDefault="00212513">
            <w:pPr>
              <w:pStyle w:val="ConsPlusNormal"/>
              <w:jc w:val="center"/>
            </w:pPr>
            <w:r>
              <w:t>скалыванию</w:t>
            </w:r>
          </w:p>
        </w:tc>
      </w:tr>
      <w:tr w:rsidR="00212513">
        <w:tblPrEx>
          <w:tblBorders>
            <w:insideH w:val="none" w:sz="0" w:space="0" w:color="auto"/>
          </w:tblBorders>
        </w:tblPrEx>
        <w:tc>
          <w:tcPr>
            <w:tcW w:w="1757" w:type="dxa"/>
            <w:tcBorders>
              <w:top w:val="single" w:sz="4" w:space="0" w:color="auto"/>
              <w:bottom w:val="nil"/>
            </w:tcBorders>
          </w:tcPr>
          <w:p w:rsidR="00212513" w:rsidRDefault="00212513">
            <w:pPr>
              <w:pStyle w:val="ConsPlusNormal"/>
            </w:pPr>
            <w:r>
              <w:t>Ель</w:t>
            </w:r>
          </w:p>
        </w:tc>
        <w:tc>
          <w:tcPr>
            <w:tcW w:w="3288" w:type="dxa"/>
            <w:tcBorders>
              <w:top w:val="single" w:sz="4" w:space="0" w:color="auto"/>
              <w:bottom w:val="nil"/>
            </w:tcBorders>
          </w:tcPr>
          <w:p w:rsidR="00212513" w:rsidRDefault="00212513">
            <w:pPr>
              <w:pStyle w:val="ConsPlusNormal"/>
              <w:jc w:val="center"/>
            </w:pPr>
            <w:r>
              <w:t>1,0</w:t>
            </w:r>
          </w:p>
        </w:tc>
        <w:tc>
          <w:tcPr>
            <w:tcW w:w="2011" w:type="dxa"/>
            <w:tcBorders>
              <w:top w:val="single" w:sz="4" w:space="0" w:color="auto"/>
              <w:bottom w:val="nil"/>
            </w:tcBorders>
          </w:tcPr>
          <w:p w:rsidR="00212513" w:rsidRDefault="00212513">
            <w:pPr>
              <w:pStyle w:val="ConsPlusNormal"/>
              <w:jc w:val="center"/>
            </w:pPr>
            <w:r>
              <w:t>1,0</w:t>
            </w:r>
          </w:p>
        </w:tc>
        <w:tc>
          <w:tcPr>
            <w:tcW w:w="2012" w:type="dxa"/>
            <w:tcBorders>
              <w:top w:val="single" w:sz="4" w:space="0" w:color="auto"/>
              <w:bottom w:val="nil"/>
            </w:tcBorders>
          </w:tcPr>
          <w:p w:rsidR="00212513" w:rsidRDefault="00212513">
            <w:pPr>
              <w:pStyle w:val="ConsPlusNormal"/>
              <w:jc w:val="center"/>
            </w:pPr>
            <w:r>
              <w:t>1,0</w:t>
            </w:r>
          </w:p>
        </w:tc>
      </w:tr>
      <w:tr w:rsidR="00212513">
        <w:tblPrEx>
          <w:tblBorders>
            <w:insideH w:val="none" w:sz="0" w:space="0" w:color="auto"/>
          </w:tblBorders>
        </w:tblPrEx>
        <w:tc>
          <w:tcPr>
            <w:tcW w:w="1757" w:type="dxa"/>
            <w:tcBorders>
              <w:top w:val="nil"/>
              <w:bottom w:val="nil"/>
            </w:tcBorders>
          </w:tcPr>
          <w:p w:rsidR="00212513" w:rsidRDefault="00212513">
            <w:pPr>
              <w:pStyle w:val="ConsPlusNormal"/>
            </w:pPr>
            <w:r>
              <w:t>Лиственница</w:t>
            </w:r>
          </w:p>
        </w:tc>
        <w:tc>
          <w:tcPr>
            <w:tcW w:w="3288" w:type="dxa"/>
            <w:tcBorders>
              <w:top w:val="nil"/>
              <w:bottom w:val="nil"/>
            </w:tcBorders>
          </w:tcPr>
          <w:p w:rsidR="00212513" w:rsidRDefault="00212513">
            <w:pPr>
              <w:pStyle w:val="ConsPlusNormal"/>
              <w:jc w:val="center"/>
            </w:pPr>
            <w:r>
              <w:t>1,2</w:t>
            </w:r>
          </w:p>
        </w:tc>
        <w:tc>
          <w:tcPr>
            <w:tcW w:w="2011" w:type="dxa"/>
            <w:tcBorders>
              <w:top w:val="nil"/>
              <w:bottom w:val="nil"/>
            </w:tcBorders>
          </w:tcPr>
          <w:p w:rsidR="00212513" w:rsidRDefault="00212513">
            <w:pPr>
              <w:pStyle w:val="ConsPlusNormal"/>
              <w:jc w:val="center"/>
            </w:pPr>
            <w:r>
              <w:t>1,2</w:t>
            </w:r>
          </w:p>
        </w:tc>
        <w:tc>
          <w:tcPr>
            <w:tcW w:w="2012" w:type="dxa"/>
            <w:tcBorders>
              <w:top w:val="nil"/>
              <w:bottom w:val="nil"/>
            </w:tcBorders>
          </w:tcPr>
          <w:p w:rsidR="00212513" w:rsidRDefault="00212513">
            <w:pPr>
              <w:pStyle w:val="ConsPlusNormal"/>
              <w:jc w:val="center"/>
            </w:pPr>
            <w:r>
              <w:t xml:space="preserve">1,0 </w:t>
            </w:r>
            <w:hyperlink w:anchor="P10368">
              <w:r>
                <w:rPr>
                  <w:color w:val="0000FF"/>
                </w:rPr>
                <w:t>&lt;*&gt;</w:t>
              </w:r>
            </w:hyperlink>
          </w:p>
        </w:tc>
      </w:tr>
      <w:tr w:rsidR="00212513">
        <w:tblPrEx>
          <w:tblBorders>
            <w:insideH w:val="none" w:sz="0" w:space="0" w:color="auto"/>
          </w:tblBorders>
        </w:tblPrEx>
        <w:tc>
          <w:tcPr>
            <w:tcW w:w="1757" w:type="dxa"/>
            <w:tcBorders>
              <w:top w:val="nil"/>
              <w:bottom w:val="nil"/>
            </w:tcBorders>
          </w:tcPr>
          <w:p w:rsidR="00212513" w:rsidRDefault="00212513">
            <w:pPr>
              <w:pStyle w:val="ConsPlusNormal"/>
            </w:pPr>
            <w:r>
              <w:t>Пихта</w:t>
            </w:r>
          </w:p>
        </w:tc>
        <w:tc>
          <w:tcPr>
            <w:tcW w:w="3288" w:type="dxa"/>
            <w:tcBorders>
              <w:top w:val="nil"/>
              <w:bottom w:val="nil"/>
            </w:tcBorders>
          </w:tcPr>
          <w:p w:rsidR="00212513" w:rsidRDefault="00212513">
            <w:pPr>
              <w:pStyle w:val="ConsPlusNormal"/>
              <w:jc w:val="center"/>
            </w:pPr>
            <w:r>
              <w:t>0,8</w:t>
            </w:r>
          </w:p>
        </w:tc>
        <w:tc>
          <w:tcPr>
            <w:tcW w:w="2011" w:type="dxa"/>
            <w:tcBorders>
              <w:top w:val="nil"/>
              <w:bottom w:val="nil"/>
            </w:tcBorders>
          </w:tcPr>
          <w:p w:rsidR="00212513" w:rsidRDefault="00212513">
            <w:pPr>
              <w:pStyle w:val="ConsPlusNormal"/>
              <w:jc w:val="center"/>
            </w:pPr>
            <w:r>
              <w:t>0,8</w:t>
            </w:r>
          </w:p>
        </w:tc>
        <w:tc>
          <w:tcPr>
            <w:tcW w:w="2012" w:type="dxa"/>
            <w:tcBorders>
              <w:top w:val="nil"/>
              <w:bottom w:val="nil"/>
            </w:tcBorders>
          </w:tcPr>
          <w:p w:rsidR="00212513" w:rsidRDefault="00212513">
            <w:pPr>
              <w:pStyle w:val="ConsPlusNormal"/>
              <w:jc w:val="center"/>
            </w:pPr>
            <w:r>
              <w:t>0,8</w:t>
            </w:r>
          </w:p>
        </w:tc>
      </w:tr>
      <w:tr w:rsidR="00212513">
        <w:tblPrEx>
          <w:tblBorders>
            <w:insideH w:val="none" w:sz="0" w:space="0" w:color="auto"/>
          </w:tblBorders>
        </w:tblPrEx>
        <w:tc>
          <w:tcPr>
            <w:tcW w:w="1757" w:type="dxa"/>
            <w:tcBorders>
              <w:top w:val="nil"/>
              <w:bottom w:val="nil"/>
            </w:tcBorders>
          </w:tcPr>
          <w:p w:rsidR="00212513" w:rsidRDefault="00212513">
            <w:pPr>
              <w:pStyle w:val="ConsPlusNormal"/>
            </w:pPr>
            <w:r>
              <w:t>Дуб</w:t>
            </w:r>
          </w:p>
        </w:tc>
        <w:tc>
          <w:tcPr>
            <w:tcW w:w="3288" w:type="dxa"/>
            <w:tcBorders>
              <w:top w:val="nil"/>
              <w:bottom w:val="nil"/>
            </w:tcBorders>
          </w:tcPr>
          <w:p w:rsidR="00212513" w:rsidRDefault="00212513">
            <w:pPr>
              <w:pStyle w:val="ConsPlusNormal"/>
              <w:jc w:val="center"/>
            </w:pPr>
            <w:r>
              <w:t>1,3</w:t>
            </w:r>
          </w:p>
        </w:tc>
        <w:tc>
          <w:tcPr>
            <w:tcW w:w="2011" w:type="dxa"/>
            <w:tcBorders>
              <w:top w:val="nil"/>
              <w:bottom w:val="nil"/>
            </w:tcBorders>
          </w:tcPr>
          <w:p w:rsidR="00212513" w:rsidRDefault="00212513">
            <w:pPr>
              <w:pStyle w:val="ConsPlusNormal"/>
              <w:jc w:val="center"/>
            </w:pPr>
            <w:r>
              <w:t>2,0</w:t>
            </w:r>
          </w:p>
        </w:tc>
        <w:tc>
          <w:tcPr>
            <w:tcW w:w="2012" w:type="dxa"/>
            <w:tcBorders>
              <w:top w:val="nil"/>
              <w:bottom w:val="nil"/>
            </w:tcBorders>
          </w:tcPr>
          <w:p w:rsidR="00212513" w:rsidRDefault="00212513">
            <w:pPr>
              <w:pStyle w:val="ConsPlusNormal"/>
              <w:jc w:val="center"/>
            </w:pPr>
            <w:r>
              <w:t>1,3</w:t>
            </w:r>
          </w:p>
        </w:tc>
      </w:tr>
      <w:tr w:rsidR="00212513">
        <w:tblPrEx>
          <w:tblBorders>
            <w:insideH w:val="none" w:sz="0" w:space="0" w:color="auto"/>
          </w:tblBorders>
        </w:tblPrEx>
        <w:tc>
          <w:tcPr>
            <w:tcW w:w="1757" w:type="dxa"/>
            <w:tcBorders>
              <w:top w:val="nil"/>
              <w:bottom w:val="nil"/>
            </w:tcBorders>
          </w:tcPr>
          <w:p w:rsidR="00212513" w:rsidRDefault="00212513">
            <w:pPr>
              <w:pStyle w:val="ConsPlusNormal"/>
            </w:pPr>
            <w:r>
              <w:t>Ясень, граб</w:t>
            </w:r>
          </w:p>
        </w:tc>
        <w:tc>
          <w:tcPr>
            <w:tcW w:w="3288" w:type="dxa"/>
            <w:tcBorders>
              <w:top w:val="nil"/>
              <w:bottom w:val="nil"/>
            </w:tcBorders>
          </w:tcPr>
          <w:p w:rsidR="00212513" w:rsidRDefault="00212513">
            <w:pPr>
              <w:pStyle w:val="ConsPlusNormal"/>
              <w:jc w:val="center"/>
            </w:pPr>
            <w:r>
              <w:t>1,3</w:t>
            </w:r>
          </w:p>
        </w:tc>
        <w:tc>
          <w:tcPr>
            <w:tcW w:w="2011" w:type="dxa"/>
            <w:tcBorders>
              <w:top w:val="nil"/>
              <w:bottom w:val="nil"/>
            </w:tcBorders>
          </w:tcPr>
          <w:p w:rsidR="00212513" w:rsidRDefault="00212513">
            <w:pPr>
              <w:pStyle w:val="ConsPlusNormal"/>
              <w:jc w:val="center"/>
            </w:pPr>
            <w:r>
              <w:t>2,0</w:t>
            </w:r>
          </w:p>
        </w:tc>
        <w:tc>
          <w:tcPr>
            <w:tcW w:w="2012" w:type="dxa"/>
            <w:tcBorders>
              <w:top w:val="nil"/>
              <w:bottom w:val="nil"/>
            </w:tcBorders>
          </w:tcPr>
          <w:p w:rsidR="00212513" w:rsidRDefault="00212513">
            <w:pPr>
              <w:pStyle w:val="ConsPlusNormal"/>
              <w:jc w:val="center"/>
            </w:pPr>
            <w:r>
              <w:t>1,6</w:t>
            </w:r>
          </w:p>
        </w:tc>
      </w:tr>
      <w:tr w:rsidR="00212513">
        <w:tblPrEx>
          <w:tblBorders>
            <w:insideH w:val="none" w:sz="0" w:space="0" w:color="auto"/>
          </w:tblBorders>
        </w:tblPrEx>
        <w:tc>
          <w:tcPr>
            <w:tcW w:w="1757" w:type="dxa"/>
            <w:tcBorders>
              <w:top w:val="nil"/>
              <w:bottom w:val="single" w:sz="4" w:space="0" w:color="auto"/>
            </w:tcBorders>
          </w:tcPr>
          <w:p w:rsidR="00212513" w:rsidRDefault="00212513">
            <w:pPr>
              <w:pStyle w:val="ConsPlusNormal"/>
            </w:pPr>
            <w:r>
              <w:t>Бук</w:t>
            </w:r>
          </w:p>
        </w:tc>
        <w:tc>
          <w:tcPr>
            <w:tcW w:w="3288" w:type="dxa"/>
            <w:tcBorders>
              <w:top w:val="nil"/>
              <w:bottom w:val="single" w:sz="4" w:space="0" w:color="auto"/>
            </w:tcBorders>
          </w:tcPr>
          <w:p w:rsidR="00212513" w:rsidRDefault="00212513">
            <w:pPr>
              <w:pStyle w:val="ConsPlusNormal"/>
              <w:jc w:val="center"/>
            </w:pPr>
            <w:r>
              <w:t>1,1</w:t>
            </w:r>
          </w:p>
        </w:tc>
        <w:tc>
          <w:tcPr>
            <w:tcW w:w="2011" w:type="dxa"/>
            <w:tcBorders>
              <w:top w:val="nil"/>
              <w:bottom w:val="single" w:sz="4" w:space="0" w:color="auto"/>
            </w:tcBorders>
          </w:tcPr>
          <w:p w:rsidR="00212513" w:rsidRDefault="00212513">
            <w:pPr>
              <w:pStyle w:val="ConsPlusNormal"/>
              <w:jc w:val="center"/>
            </w:pPr>
            <w:r>
              <w:t>1,6</w:t>
            </w:r>
          </w:p>
        </w:tc>
        <w:tc>
          <w:tcPr>
            <w:tcW w:w="2012" w:type="dxa"/>
            <w:tcBorders>
              <w:top w:val="nil"/>
              <w:bottom w:val="single" w:sz="4" w:space="0" w:color="auto"/>
            </w:tcBorders>
          </w:tcPr>
          <w:p w:rsidR="00212513" w:rsidRDefault="00212513">
            <w:pPr>
              <w:pStyle w:val="ConsPlusNormal"/>
              <w:jc w:val="center"/>
            </w:pPr>
            <w:r>
              <w:t>1,3</w:t>
            </w:r>
          </w:p>
        </w:tc>
      </w:tr>
      <w:tr w:rsidR="00212513">
        <w:tc>
          <w:tcPr>
            <w:tcW w:w="9068" w:type="dxa"/>
            <w:gridSpan w:val="4"/>
            <w:tcBorders>
              <w:top w:val="single" w:sz="4" w:space="0" w:color="auto"/>
              <w:bottom w:val="single" w:sz="4" w:space="0" w:color="auto"/>
            </w:tcBorders>
          </w:tcPr>
          <w:p w:rsidR="00212513" w:rsidRDefault="00212513">
            <w:pPr>
              <w:pStyle w:val="ConsPlusNormal"/>
              <w:ind w:firstLine="283"/>
              <w:jc w:val="both"/>
            </w:pPr>
            <w:bookmarkStart w:id="438" w:name="P10368"/>
            <w:bookmarkEnd w:id="438"/>
            <w:r>
              <w:t>&lt;*&gt; Для клееных конструкций - 0,9.</w:t>
            </w:r>
          </w:p>
        </w:tc>
      </w:tr>
    </w:tbl>
    <w:p w:rsidR="00212513" w:rsidRDefault="00212513">
      <w:pPr>
        <w:pStyle w:val="ConsPlusNormal"/>
        <w:ind w:firstLine="540"/>
        <w:jc w:val="both"/>
      </w:pPr>
    </w:p>
    <w:p w:rsidR="00212513" w:rsidRDefault="00212513">
      <w:pPr>
        <w:pStyle w:val="ConsPlusNormal"/>
        <w:ind w:firstLine="540"/>
        <w:jc w:val="both"/>
      </w:pPr>
      <w:r>
        <w:t>10.15 Модули упругости древесины для всех пород при сжатии и растяжении вдоль волокон, а также при изгибе следует принимать, МПа:</w:t>
      </w:r>
    </w:p>
    <w:p w:rsidR="00212513" w:rsidRDefault="00212513">
      <w:pPr>
        <w:pStyle w:val="ConsPlusNormal"/>
        <w:spacing w:before="220"/>
        <w:ind w:firstLine="540"/>
        <w:jc w:val="both"/>
      </w:pPr>
      <w:r>
        <w:t>для обычной древесины при определении деформаций: от постоянных нагрузок - 8340, от временных нагрузок - 9810;</w:t>
      </w:r>
    </w:p>
    <w:p w:rsidR="00212513" w:rsidRDefault="00212513">
      <w:pPr>
        <w:pStyle w:val="ConsPlusNormal"/>
        <w:spacing w:before="220"/>
        <w:ind w:firstLine="540"/>
        <w:jc w:val="both"/>
      </w:pPr>
      <w:r>
        <w:t>для клееной древесины при определении деформаций от любых нагрузок - 9810.</w:t>
      </w:r>
    </w:p>
    <w:p w:rsidR="00212513" w:rsidRDefault="00212513">
      <w:pPr>
        <w:pStyle w:val="ConsPlusNormal"/>
        <w:spacing w:before="220"/>
        <w:ind w:firstLine="540"/>
        <w:jc w:val="both"/>
      </w:pPr>
      <w:r>
        <w:t>Модуль упругости древесины при сжатии поперек волокон следует принимать равным 392 МПа.</w:t>
      </w:r>
    </w:p>
    <w:p w:rsidR="00212513" w:rsidRDefault="00212513">
      <w:pPr>
        <w:pStyle w:val="ConsPlusNormal"/>
        <w:spacing w:before="220"/>
        <w:ind w:firstLine="540"/>
        <w:jc w:val="both"/>
      </w:pPr>
      <w:r>
        <w:t>Модуль сдвига древесины вдоль волокон следует принимать равным 1140 МПа.</w:t>
      </w:r>
    </w:p>
    <w:p w:rsidR="00212513" w:rsidRDefault="00212513">
      <w:pPr>
        <w:pStyle w:val="ConsPlusNormal"/>
        <w:jc w:val="both"/>
      </w:pPr>
      <w:r>
        <w:lastRenderedPageBreak/>
        <w:t xml:space="preserve">(абзац введен </w:t>
      </w:r>
      <w:hyperlink r:id="rId2449">
        <w:r>
          <w:rPr>
            <w:color w:val="0000FF"/>
          </w:rPr>
          <w:t>Изменением N 1</w:t>
        </w:r>
      </w:hyperlink>
      <w:r>
        <w:t>, утв. Приказом Минстроя России от 03.12.2016 N 879/пр)</w:t>
      </w:r>
    </w:p>
    <w:p w:rsidR="00212513" w:rsidRDefault="00212513">
      <w:pPr>
        <w:pStyle w:val="ConsPlusNormal"/>
        <w:spacing w:before="220"/>
        <w:ind w:firstLine="540"/>
        <w:jc w:val="both"/>
      </w:pPr>
      <w:r>
        <w:t xml:space="preserve">10.16 Расчетные сопротивления и модули упругости для стальных элементов деревянных мостов следует принимать согласно </w:t>
      </w:r>
      <w:hyperlink w:anchor="P1956">
        <w:r>
          <w:rPr>
            <w:color w:val="0000FF"/>
          </w:rPr>
          <w:t>разделам 7</w:t>
        </w:r>
      </w:hyperlink>
      <w:r>
        <w:t xml:space="preserve"> и </w:t>
      </w:r>
      <w:hyperlink w:anchor="P6057">
        <w:r>
          <w:rPr>
            <w:color w:val="0000FF"/>
          </w:rPr>
          <w:t>8</w:t>
        </w:r>
      </w:hyperlink>
      <w:r>
        <w:t>.</w:t>
      </w:r>
    </w:p>
    <w:p w:rsidR="00212513" w:rsidRDefault="00212513">
      <w:pPr>
        <w:pStyle w:val="ConsPlusNormal"/>
        <w:spacing w:before="220"/>
        <w:ind w:firstLine="540"/>
        <w:jc w:val="both"/>
      </w:pPr>
      <w:r>
        <w:t>10.17 Расчетная несущая способность стального сквозного цилиндрического нагеля, дюбеля или гвоздя в соединениях элементов из сосны при направлении усилий, передаваемых нагелем вдоль волокон, а гвоздем и дюбелем - под любым углом, приведена в таблице 10.6.</w:t>
      </w:r>
    </w:p>
    <w:p w:rsidR="00212513" w:rsidRDefault="00212513">
      <w:pPr>
        <w:pStyle w:val="ConsPlusNormal"/>
        <w:ind w:firstLine="540"/>
        <w:jc w:val="both"/>
      </w:pPr>
    </w:p>
    <w:p w:rsidR="00212513" w:rsidRDefault="00212513">
      <w:pPr>
        <w:pStyle w:val="ConsPlusNormal"/>
        <w:jc w:val="right"/>
      </w:pPr>
      <w:bookmarkStart w:id="439" w:name="P10379"/>
      <w:bookmarkEnd w:id="439"/>
      <w:r>
        <w:t>Таблица 10.6</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1"/>
        <w:gridCol w:w="4025"/>
        <w:gridCol w:w="3005"/>
      </w:tblGrid>
      <w:tr w:rsidR="00212513">
        <w:tc>
          <w:tcPr>
            <w:tcW w:w="2041" w:type="dxa"/>
            <w:tcBorders>
              <w:top w:val="single" w:sz="4" w:space="0" w:color="auto"/>
              <w:bottom w:val="single" w:sz="4" w:space="0" w:color="auto"/>
            </w:tcBorders>
            <w:vAlign w:val="center"/>
          </w:tcPr>
          <w:p w:rsidR="00212513" w:rsidRDefault="00212513">
            <w:pPr>
              <w:pStyle w:val="ConsPlusNormal"/>
              <w:jc w:val="center"/>
            </w:pPr>
            <w:r>
              <w:t>Соединение</w:t>
            </w:r>
          </w:p>
        </w:tc>
        <w:tc>
          <w:tcPr>
            <w:tcW w:w="4025" w:type="dxa"/>
            <w:tcBorders>
              <w:top w:val="single" w:sz="4" w:space="0" w:color="auto"/>
              <w:bottom w:val="single" w:sz="4" w:space="0" w:color="auto"/>
            </w:tcBorders>
            <w:vAlign w:val="center"/>
          </w:tcPr>
          <w:p w:rsidR="00212513" w:rsidRDefault="00212513">
            <w:pPr>
              <w:pStyle w:val="ConsPlusNormal"/>
              <w:jc w:val="center"/>
            </w:pPr>
            <w:r>
              <w:t>Напряженное состояние</w:t>
            </w:r>
          </w:p>
        </w:tc>
        <w:tc>
          <w:tcPr>
            <w:tcW w:w="3005" w:type="dxa"/>
            <w:tcBorders>
              <w:top w:val="single" w:sz="4" w:space="0" w:color="auto"/>
              <w:bottom w:val="single" w:sz="4" w:space="0" w:color="auto"/>
            </w:tcBorders>
            <w:vAlign w:val="center"/>
          </w:tcPr>
          <w:p w:rsidR="00212513" w:rsidRDefault="00212513">
            <w:pPr>
              <w:pStyle w:val="ConsPlusNormal"/>
              <w:jc w:val="center"/>
            </w:pPr>
            <w:r>
              <w:t>Расчетная несущая способность стального нагеля, дюбеля или гвоздя на один срез, кН</w:t>
            </w:r>
          </w:p>
        </w:tc>
      </w:tr>
      <w:tr w:rsidR="00212513">
        <w:tc>
          <w:tcPr>
            <w:tcW w:w="2041" w:type="dxa"/>
            <w:vMerge w:val="restart"/>
            <w:tcBorders>
              <w:top w:val="single" w:sz="4" w:space="0" w:color="auto"/>
              <w:bottom w:val="nil"/>
            </w:tcBorders>
          </w:tcPr>
          <w:p w:rsidR="00212513" w:rsidRDefault="00212513">
            <w:pPr>
              <w:pStyle w:val="ConsPlusNormal"/>
            </w:pPr>
            <w:r>
              <w:t>Симметричные</w:t>
            </w:r>
          </w:p>
        </w:tc>
        <w:tc>
          <w:tcPr>
            <w:tcW w:w="4025" w:type="dxa"/>
            <w:tcBorders>
              <w:top w:val="single" w:sz="4" w:space="0" w:color="auto"/>
              <w:bottom w:val="nil"/>
            </w:tcBorders>
          </w:tcPr>
          <w:p w:rsidR="00212513" w:rsidRDefault="00212513">
            <w:pPr>
              <w:pStyle w:val="ConsPlusNormal"/>
            </w:pPr>
            <w:r>
              <w:t>Смятие в средних элементах</w:t>
            </w:r>
          </w:p>
        </w:tc>
        <w:tc>
          <w:tcPr>
            <w:tcW w:w="3005" w:type="dxa"/>
            <w:tcBorders>
              <w:top w:val="single" w:sz="4" w:space="0" w:color="auto"/>
              <w:bottom w:val="nil"/>
            </w:tcBorders>
          </w:tcPr>
          <w:p w:rsidR="00212513" w:rsidRDefault="00212513">
            <w:pPr>
              <w:pStyle w:val="ConsPlusNormal"/>
              <w:jc w:val="center"/>
            </w:pPr>
            <w:r>
              <w:t>0,441</w:t>
            </w:r>
            <w:r>
              <w:rPr>
                <w:i/>
              </w:rPr>
              <w:t>dt</w:t>
            </w:r>
            <w:r>
              <w:rPr>
                <w:vertAlign w:val="subscript"/>
              </w:rPr>
              <w:t>1</w:t>
            </w:r>
          </w:p>
        </w:tc>
      </w:tr>
      <w:tr w:rsidR="00212513">
        <w:tblPrEx>
          <w:tblBorders>
            <w:insideH w:val="none" w:sz="0" w:space="0" w:color="auto"/>
          </w:tblBorders>
        </w:tblPrEx>
        <w:tc>
          <w:tcPr>
            <w:tcW w:w="2041" w:type="dxa"/>
            <w:vMerge/>
            <w:tcBorders>
              <w:top w:val="single" w:sz="4" w:space="0" w:color="auto"/>
              <w:bottom w:val="nil"/>
            </w:tcBorders>
          </w:tcPr>
          <w:p w:rsidR="00212513" w:rsidRDefault="00212513">
            <w:pPr>
              <w:pStyle w:val="ConsPlusNormal"/>
            </w:pPr>
          </w:p>
        </w:tc>
        <w:tc>
          <w:tcPr>
            <w:tcW w:w="4025" w:type="dxa"/>
            <w:tcBorders>
              <w:top w:val="nil"/>
              <w:bottom w:val="nil"/>
            </w:tcBorders>
          </w:tcPr>
          <w:p w:rsidR="00212513" w:rsidRDefault="00212513">
            <w:pPr>
              <w:pStyle w:val="ConsPlusNormal"/>
            </w:pPr>
            <w:r>
              <w:t>Смятие в крайних элементах</w:t>
            </w:r>
          </w:p>
        </w:tc>
        <w:tc>
          <w:tcPr>
            <w:tcW w:w="3005" w:type="dxa"/>
            <w:tcBorders>
              <w:top w:val="nil"/>
              <w:bottom w:val="nil"/>
            </w:tcBorders>
          </w:tcPr>
          <w:p w:rsidR="00212513" w:rsidRDefault="00212513">
            <w:pPr>
              <w:pStyle w:val="ConsPlusNormal"/>
              <w:jc w:val="center"/>
            </w:pPr>
            <w:r>
              <w:t>0,685</w:t>
            </w:r>
            <w:r>
              <w:rPr>
                <w:i/>
              </w:rPr>
              <w:t>dt</w:t>
            </w:r>
            <w:r>
              <w:rPr>
                <w:vertAlign w:val="subscript"/>
              </w:rPr>
              <w:t>2</w:t>
            </w:r>
          </w:p>
        </w:tc>
      </w:tr>
      <w:tr w:rsidR="00212513">
        <w:tblPrEx>
          <w:tblBorders>
            <w:insideH w:val="none" w:sz="0" w:space="0" w:color="auto"/>
          </w:tblBorders>
        </w:tblPrEx>
        <w:tc>
          <w:tcPr>
            <w:tcW w:w="2041" w:type="dxa"/>
            <w:vMerge w:val="restart"/>
            <w:tcBorders>
              <w:top w:val="nil"/>
              <w:bottom w:val="nil"/>
            </w:tcBorders>
          </w:tcPr>
          <w:p w:rsidR="00212513" w:rsidRDefault="00212513">
            <w:pPr>
              <w:pStyle w:val="ConsPlusNormal"/>
            </w:pPr>
            <w:r>
              <w:t>Несимметричные</w:t>
            </w:r>
          </w:p>
        </w:tc>
        <w:tc>
          <w:tcPr>
            <w:tcW w:w="4025" w:type="dxa"/>
            <w:tcBorders>
              <w:top w:val="nil"/>
              <w:bottom w:val="nil"/>
            </w:tcBorders>
          </w:tcPr>
          <w:p w:rsidR="00212513" w:rsidRDefault="00212513">
            <w:pPr>
              <w:pStyle w:val="ConsPlusNormal"/>
            </w:pPr>
            <w:r>
              <w:t>Смятие во всех элементах равной толщины, а также в более толстых элементах односрезных соединений</w:t>
            </w:r>
          </w:p>
        </w:tc>
        <w:tc>
          <w:tcPr>
            <w:tcW w:w="3005" w:type="dxa"/>
            <w:tcBorders>
              <w:top w:val="nil"/>
              <w:bottom w:val="nil"/>
            </w:tcBorders>
          </w:tcPr>
          <w:p w:rsidR="00212513" w:rsidRDefault="00212513">
            <w:pPr>
              <w:pStyle w:val="ConsPlusNormal"/>
              <w:jc w:val="center"/>
            </w:pPr>
            <w:r>
              <w:t>0,294</w:t>
            </w:r>
            <w:r>
              <w:rPr>
                <w:i/>
              </w:rPr>
              <w:t>dt</w:t>
            </w:r>
            <w:r>
              <w:rPr>
                <w:vertAlign w:val="subscript"/>
              </w:rPr>
              <w:t>1</w:t>
            </w:r>
          </w:p>
        </w:tc>
      </w:tr>
      <w:tr w:rsidR="00212513">
        <w:tblPrEx>
          <w:tblBorders>
            <w:insideH w:val="none" w:sz="0" w:space="0" w:color="auto"/>
          </w:tblBorders>
        </w:tblPrEx>
        <w:tc>
          <w:tcPr>
            <w:tcW w:w="2041" w:type="dxa"/>
            <w:vMerge/>
            <w:tcBorders>
              <w:top w:val="nil"/>
              <w:bottom w:val="nil"/>
            </w:tcBorders>
          </w:tcPr>
          <w:p w:rsidR="00212513" w:rsidRDefault="00212513">
            <w:pPr>
              <w:pStyle w:val="ConsPlusNormal"/>
            </w:pPr>
          </w:p>
        </w:tc>
        <w:tc>
          <w:tcPr>
            <w:tcW w:w="4025" w:type="dxa"/>
            <w:tcBorders>
              <w:top w:val="nil"/>
              <w:bottom w:val="nil"/>
            </w:tcBorders>
          </w:tcPr>
          <w:p w:rsidR="00212513" w:rsidRDefault="00212513">
            <w:pPr>
              <w:pStyle w:val="ConsPlusNormal"/>
            </w:pPr>
            <w:r>
              <w:t>Смятие в более тонких крайних элементах</w:t>
            </w:r>
          </w:p>
        </w:tc>
        <w:tc>
          <w:tcPr>
            <w:tcW w:w="3005" w:type="dxa"/>
            <w:tcBorders>
              <w:top w:val="nil"/>
              <w:bottom w:val="nil"/>
            </w:tcBorders>
          </w:tcPr>
          <w:p w:rsidR="00212513" w:rsidRDefault="00212513">
            <w:pPr>
              <w:pStyle w:val="ConsPlusNormal"/>
              <w:jc w:val="center"/>
            </w:pPr>
            <w:r>
              <w:t>0,685</w:t>
            </w:r>
            <w:r>
              <w:rPr>
                <w:i/>
              </w:rPr>
              <w:t>dt</w:t>
            </w:r>
            <w:r>
              <w:rPr>
                <w:vertAlign w:val="subscript"/>
              </w:rPr>
              <w:t>2</w:t>
            </w:r>
          </w:p>
        </w:tc>
      </w:tr>
      <w:tr w:rsidR="00212513">
        <w:tblPrEx>
          <w:tblBorders>
            <w:insideH w:val="none" w:sz="0" w:space="0" w:color="auto"/>
          </w:tblBorders>
        </w:tblPrEx>
        <w:tc>
          <w:tcPr>
            <w:tcW w:w="2041" w:type="dxa"/>
            <w:vMerge w:val="restart"/>
            <w:tcBorders>
              <w:top w:val="nil"/>
              <w:bottom w:val="nil"/>
            </w:tcBorders>
          </w:tcPr>
          <w:p w:rsidR="00212513" w:rsidRDefault="00212513">
            <w:pPr>
              <w:pStyle w:val="ConsPlusNormal"/>
            </w:pPr>
            <w:r>
              <w:t>Симметричные и несимметричные</w:t>
            </w:r>
          </w:p>
        </w:tc>
        <w:tc>
          <w:tcPr>
            <w:tcW w:w="4025" w:type="dxa"/>
            <w:tcBorders>
              <w:top w:val="nil"/>
              <w:bottom w:val="nil"/>
            </w:tcBorders>
          </w:tcPr>
          <w:p w:rsidR="00212513" w:rsidRDefault="00212513">
            <w:pPr>
              <w:pStyle w:val="ConsPlusNormal"/>
            </w:pPr>
            <w:r>
              <w:t>Изгиб нагеля</w:t>
            </w:r>
          </w:p>
        </w:tc>
        <w:tc>
          <w:tcPr>
            <w:tcW w:w="3005" w:type="dxa"/>
            <w:tcBorders>
              <w:top w:val="nil"/>
              <w:bottom w:val="nil"/>
            </w:tcBorders>
          </w:tcPr>
          <w:p w:rsidR="00212513" w:rsidRDefault="00212513">
            <w:pPr>
              <w:pStyle w:val="ConsPlusNormal"/>
              <w:jc w:val="center"/>
            </w:pPr>
            <w:r>
              <w:rPr>
                <w:noProof/>
                <w:position w:val="-9"/>
              </w:rPr>
              <w:drawing>
                <wp:inline distT="0" distB="0" distL="0" distR="0">
                  <wp:extent cx="1247140" cy="262255"/>
                  <wp:effectExtent l="0" t="0" r="0" b="0"/>
                  <wp:docPr id="18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0" cstate="print">
                            <a:extLst>
                              <a:ext uri="{28A0092B-C50C-407E-A947-70E740481C1C}">
                                <a14:useLocalDpi xmlns:a14="http://schemas.microsoft.com/office/drawing/2010/main" val="0"/>
                              </a:ext>
                            </a:extLst>
                          </a:blip>
                          <a:srcRect/>
                          <a:stretch>
                            <a:fillRect/>
                          </a:stretch>
                        </pic:blipFill>
                        <pic:spPr bwMode="auto">
                          <a:xfrm>
                            <a:off x="0" y="0"/>
                            <a:ext cx="1247140" cy="262255"/>
                          </a:xfrm>
                          <a:prstGeom prst="rect">
                            <a:avLst/>
                          </a:prstGeom>
                          <a:noFill/>
                          <a:ln>
                            <a:noFill/>
                          </a:ln>
                        </pic:spPr>
                      </pic:pic>
                    </a:graphicData>
                  </a:graphic>
                </wp:inline>
              </w:drawing>
            </w:r>
            <w:r>
              <w:t>,</w:t>
            </w:r>
          </w:p>
          <w:p w:rsidR="00212513" w:rsidRDefault="00212513">
            <w:pPr>
              <w:pStyle w:val="ConsPlusNormal"/>
              <w:jc w:val="center"/>
            </w:pPr>
            <w:r>
              <w:t>но не более 2,256</w:t>
            </w:r>
            <w:r>
              <w:rPr>
                <w:i/>
              </w:rPr>
              <w:t>d</w:t>
            </w:r>
            <w:r>
              <w:rPr>
                <w:vertAlign w:val="superscript"/>
              </w:rPr>
              <w:t>2</w:t>
            </w:r>
          </w:p>
        </w:tc>
      </w:tr>
      <w:tr w:rsidR="00212513">
        <w:tblPrEx>
          <w:tblBorders>
            <w:insideH w:val="none" w:sz="0" w:space="0" w:color="auto"/>
          </w:tblBorders>
        </w:tblPrEx>
        <w:tc>
          <w:tcPr>
            <w:tcW w:w="2041" w:type="dxa"/>
            <w:vMerge/>
            <w:tcBorders>
              <w:top w:val="nil"/>
              <w:bottom w:val="nil"/>
            </w:tcBorders>
          </w:tcPr>
          <w:p w:rsidR="00212513" w:rsidRDefault="00212513">
            <w:pPr>
              <w:pStyle w:val="ConsPlusNormal"/>
            </w:pPr>
          </w:p>
        </w:tc>
        <w:tc>
          <w:tcPr>
            <w:tcW w:w="4025" w:type="dxa"/>
            <w:tcBorders>
              <w:top w:val="nil"/>
              <w:bottom w:val="nil"/>
            </w:tcBorders>
          </w:tcPr>
          <w:p w:rsidR="00212513" w:rsidRDefault="00212513">
            <w:pPr>
              <w:pStyle w:val="ConsPlusNormal"/>
            </w:pPr>
            <w:r>
              <w:t xml:space="preserve">Изгиб гвоздя </w:t>
            </w:r>
            <w:hyperlink r:id="rId2451">
              <w:r>
                <w:rPr>
                  <w:color w:val="0000FF"/>
                </w:rPr>
                <w:t>(ГОСТ 4028)</w:t>
              </w:r>
            </w:hyperlink>
          </w:p>
        </w:tc>
        <w:tc>
          <w:tcPr>
            <w:tcW w:w="3005" w:type="dxa"/>
            <w:tcBorders>
              <w:top w:val="nil"/>
              <w:bottom w:val="nil"/>
            </w:tcBorders>
          </w:tcPr>
          <w:p w:rsidR="00212513" w:rsidRDefault="00212513">
            <w:pPr>
              <w:pStyle w:val="ConsPlusNormal"/>
              <w:jc w:val="center"/>
            </w:pPr>
            <w:r>
              <w:rPr>
                <w:noProof/>
                <w:position w:val="-9"/>
              </w:rPr>
              <w:drawing>
                <wp:inline distT="0" distB="0" distL="0" distR="0">
                  <wp:extent cx="1341120" cy="262255"/>
                  <wp:effectExtent l="0" t="0" r="0" b="0"/>
                  <wp:docPr id="18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2" cstate="print">
                            <a:extLst>
                              <a:ext uri="{28A0092B-C50C-407E-A947-70E740481C1C}">
                                <a14:useLocalDpi xmlns:a14="http://schemas.microsoft.com/office/drawing/2010/main" val="0"/>
                              </a:ext>
                            </a:extLst>
                          </a:blip>
                          <a:srcRect/>
                          <a:stretch>
                            <a:fillRect/>
                          </a:stretch>
                        </pic:blipFill>
                        <pic:spPr bwMode="auto">
                          <a:xfrm>
                            <a:off x="0" y="0"/>
                            <a:ext cx="1341120" cy="262255"/>
                          </a:xfrm>
                          <a:prstGeom prst="rect">
                            <a:avLst/>
                          </a:prstGeom>
                          <a:noFill/>
                          <a:ln>
                            <a:noFill/>
                          </a:ln>
                        </pic:spPr>
                      </pic:pic>
                    </a:graphicData>
                  </a:graphic>
                </wp:inline>
              </w:drawing>
            </w:r>
            <w:r>
              <w:t>,</w:t>
            </w:r>
          </w:p>
          <w:p w:rsidR="00212513" w:rsidRDefault="00212513">
            <w:pPr>
              <w:pStyle w:val="ConsPlusNormal"/>
              <w:jc w:val="center"/>
            </w:pPr>
            <w:r>
              <w:t>но не более 3,628</w:t>
            </w:r>
            <w:r>
              <w:rPr>
                <w:i/>
              </w:rPr>
              <w:t>d</w:t>
            </w:r>
            <w:r>
              <w:rPr>
                <w:vertAlign w:val="superscript"/>
              </w:rPr>
              <w:t>2</w:t>
            </w:r>
          </w:p>
        </w:tc>
      </w:tr>
      <w:tr w:rsidR="00212513">
        <w:tblPrEx>
          <w:tblBorders>
            <w:insideH w:val="none" w:sz="0" w:space="0" w:color="auto"/>
          </w:tblBorders>
        </w:tblPrEx>
        <w:tc>
          <w:tcPr>
            <w:tcW w:w="2041" w:type="dxa"/>
            <w:vMerge/>
            <w:tcBorders>
              <w:top w:val="nil"/>
              <w:bottom w:val="nil"/>
            </w:tcBorders>
          </w:tcPr>
          <w:p w:rsidR="00212513" w:rsidRDefault="00212513">
            <w:pPr>
              <w:pStyle w:val="ConsPlusNormal"/>
            </w:pPr>
          </w:p>
        </w:tc>
        <w:tc>
          <w:tcPr>
            <w:tcW w:w="4025" w:type="dxa"/>
            <w:tcBorders>
              <w:top w:val="nil"/>
              <w:bottom w:val="nil"/>
            </w:tcBorders>
          </w:tcPr>
          <w:p w:rsidR="00212513" w:rsidRDefault="00212513">
            <w:pPr>
              <w:pStyle w:val="ConsPlusNormal"/>
            </w:pPr>
            <w:r>
              <w:t xml:space="preserve">Изгиб дюбеля </w:t>
            </w:r>
            <w:hyperlink w:anchor="P19087">
              <w:r>
                <w:rPr>
                  <w:color w:val="0000FF"/>
                </w:rPr>
                <w:t>[12]</w:t>
              </w:r>
            </w:hyperlink>
          </w:p>
        </w:tc>
        <w:tc>
          <w:tcPr>
            <w:tcW w:w="3005" w:type="dxa"/>
            <w:tcBorders>
              <w:top w:val="nil"/>
              <w:bottom w:val="nil"/>
            </w:tcBorders>
          </w:tcPr>
          <w:p w:rsidR="00212513" w:rsidRDefault="00212513">
            <w:pPr>
              <w:pStyle w:val="ConsPlusNormal"/>
              <w:jc w:val="center"/>
            </w:pPr>
            <w:r>
              <w:rPr>
                <w:noProof/>
                <w:position w:val="-9"/>
              </w:rPr>
              <w:drawing>
                <wp:inline distT="0" distB="0" distL="0" distR="0">
                  <wp:extent cx="1257300" cy="262255"/>
                  <wp:effectExtent l="0" t="0" r="0" b="0"/>
                  <wp:docPr id="18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3" cstate="print">
                            <a:extLst>
                              <a:ext uri="{28A0092B-C50C-407E-A947-70E740481C1C}">
                                <a14:useLocalDpi xmlns:a14="http://schemas.microsoft.com/office/drawing/2010/main" val="0"/>
                              </a:ext>
                            </a:extLst>
                          </a:blip>
                          <a:srcRect/>
                          <a:stretch>
                            <a:fillRect/>
                          </a:stretch>
                        </pic:blipFill>
                        <pic:spPr bwMode="auto">
                          <a:xfrm>
                            <a:off x="0" y="0"/>
                            <a:ext cx="1257300" cy="262255"/>
                          </a:xfrm>
                          <a:prstGeom prst="rect">
                            <a:avLst/>
                          </a:prstGeom>
                          <a:noFill/>
                          <a:ln>
                            <a:noFill/>
                          </a:ln>
                        </pic:spPr>
                      </pic:pic>
                    </a:graphicData>
                  </a:graphic>
                </wp:inline>
              </w:drawing>
            </w:r>
            <w:r>
              <w:t>,</w:t>
            </w:r>
          </w:p>
          <w:p w:rsidR="00212513" w:rsidRDefault="00212513">
            <w:pPr>
              <w:pStyle w:val="ConsPlusNormal"/>
              <w:jc w:val="center"/>
            </w:pPr>
            <w:r>
              <w:t>но не более 5,442</w:t>
            </w:r>
            <w:r>
              <w:rPr>
                <w:i/>
              </w:rPr>
              <w:t>d</w:t>
            </w:r>
            <w:r>
              <w:rPr>
                <w:vertAlign w:val="superscript"/>
              </w:rPr>
              <w:t>2</w:t>
            </w:r>
          </w:p>
        </w:tc>
      </w:tr>
      <w:tr w:rsidR="00212513">
        <w:tblPrEx>
          <w:tblBorders>
            <w:insideH w:val="none" w:sz="0" w:space="0" w:color="auto"/>
          </w:tblBorders>
        </w:tblPrEx>
        <w:tc>
          <w:tcPr>
            <w:tcW w:w="2041" w:type="dxa"/>
            <w:vMerge/>
            <w:tcBorders>
              <w:top w:val="nil"/>
              <w:bottom w:val="nil"/>
            </w:tcBorders>
          </w:tcPr>
          <w:p w:rsidR="00212513" w:rsidRDefault="00212513">
            <w:pPr>
              <w:pStyle w:val="ConsPlusNormal"/>
            </w:pPr>
          </w:p>
        </w:tc>
        <w:tc>
          <w:tcPr>
            <w:tcW w:w="4025" w:type="dxa"/>
            <w:tcBorders>
              <w:top w:val="nil"/>
              <w:bottom w:val="nil"/>
            </w:tcBorders>
          </w:tcPr>
          <w:p w:rsidR="00212513" w:rsidRDefault="00212513">
            <w:pPr>
              <w:pStyle w:val="ConsPlusNormal"/>
            </w:pPr>
            <w:r>
              <w:t xml:space="preserve">Изгиб винтового гвоздя и самореза </w:t>
            </w:r>
            <w:hyperlink w:anchor="P19089">
              <w:r>
                <w:rPr>
                  <w:color w:val="0000FF"/>
                </w:rPr>
                <w:t>[13]</w:t>
              </w:r>
            </w:hyperlink>
          </w:p>
        </w:tc>
        <w:tc>
          <w:tcPr>
            <w:tcW w:w="3005" w:type="dxa"/>
            <w:tcBorders>
              <w:top w:val="nil"/>
              <w:bottom w:val="nil"/>
            </w:tcBorders>
          </w:tcPr>
          <w:p w:rsidR="00212513" w:rsidRDefault="00212513">
            <w:pPr>
              <w:pStyle w:val="ConsPlusNormal"/>
              <w:jc w:val="center"/>
            </w:pPr>
            <w:r>
              <w:t>4,14</w:t>
            </w:r>
            <w:r>
              <w:rPr>
                <w:i/>
              </w:rPr>
              <w:t>d</w:t>
            </w:r>
            <w:r>
              <w:rPr>
                <w:vertAlign w:val="superscript"/>
              </w:rPr>
              <w:t>2</w:t>
            </w:r>
          </w:p>
        </w:tc>
      </w:tr>
      <w:tr w:rsidR="00212513">
        <w:tblPrEx>
          <w:tblBorders>
            <w:insideH w:val="none" w:sz="0" w:space="0" w:color="auto"/>
          </w:tblBorders>
        </w:tblPrEx>
        <w:tc>
          <w:tcPr>
            <w:tcW w:w="9071" w:type="dxa"/>
            <w:gridSpan w:val="3"/>
            <w:tcBorders>
              <w:top w:val="nil"/>
              <w:bottom w:val="single" w:sz="4" w:space="0" w:color="auto"/>
            </w:tcBorders>
          </w:tcPr>
          <w:p w:rsidR="00212513" w:rsidRDefault="00212513">
            <w:pPr>
              <w:pStyle w:val="ConsPlusNormal"/>
              <w:jc w:val="both"/>
            </w:pPr>
            <w:r>
              <w:t xml:space="preserve">(в ред. </w:t>
            </w:r>
            <w:hyperlink r:id="rId2454">
              <w:r>
                <w:rPr>
                  <w:color w:val="0000FF"/>
                </w:rPr>
                <w:t>Изменения N 3</w:t>
              </w:r>
            </w:hyperlink>
            <w:r>
              <w:t>, утв. Приказом Минстроя России от 29.12.2020 N 891/пр)</w:t>
            </w:r>
          </w:p>
        </w:tc>
      </w:tr>
      <w:tr w:rsidR="00212513">
        <w:tblPrEx>
          <w:tblBorders>
            <w:insideH w:val="none" w:sz="0" w:space="0" w:color="auto"/>
          </w:tblBorders>
        </w:tblPrEx>
        <w:tc>
          <w:tcPr>
            <w:tcW w:w="9071" w:type="dxa"/>
            <w:gridSpan w:val="3"/>
            <w:tcBorders>
              <w:top w:val="single" w:sz="4" w:space="0" w:color="auto"/>
              <w:bottom w:val="nil"/>
            </w:tcBorders>
          </w:tcPr>
          <w:p w:rsidR="00212513" w:rsidRDefault="00212513">
            <w:pPr>
              <w:pStyle w:val="ConsPlusNormal"/>
              <w:ind w:firstLine="283"/>
              <w:jc w:val="both"/>
            </w:pPr>
            <w:r>
              <w:rPr>
                <w:i/>
              </w:rPr>
              <w:t xml:space="preserve">Обозначения, принятые в </w:t>
            </w:r>
            <w:hyperlink w:anchor="P10379">
              <w:r>
                <w:rPr>
                  <w:i/>
                  <w:color w:val="0000FF"/>
                </w:rPr>
                <w:t>таблице 10.6</w:t>
              </w:r>
            </w:hyperlink>
            <w:r>
              <w:rPr>
                <w:i/>
              </w:rPr>
              <w:t>:</w:t>
            </w:r>
          </w:p>
          <w:p w:rsidR="00212513" w:rsidRDefault="00212513">
            <w:pPr>
              <w:pStyle w:val="ConsPlusNormal"/>
              <w:ind w:firstLine="283"/>
              <w:jc w:val="both"/>
            </w:pPr>
            <w:r>
              <w:rPr>
                <w:i/>
              </w:rPr>
              <w:t>d</w:t>
            </w:r>
            <w:r>
              <w:t xml:space="preserve"> - диаметр нагеля или гвоздя, см;</w:t>
            </w:r>
          </w:p>
          <w:p w:rsidR="00212513" w:rsidRDefault="00212513">
            <w:pPr>
              <w:pStyle w:val="ConsPlusNormal"/>
              <w:ind w:firstLine="283"/>
              <w:jc w:val="both"/>
            </w:pPr>
            <w:r>
              <w:rPr>
                <w:i/>
              </w:rPr>
              <w:t>t</w:t>
            </w:r>
            <w:r>
              <w:rPr>
                <w:vertAlign w:val="subscript"/>
              </w:rPr>
              <w:t>1</w:t>
            </w:r>
            <w:r>
              <w:t xml:space="preserve"> - толщина средних элементов, а также равных и более толстых элементов односрезных соединений, см;</w:t>
            </w:r>
          </w:p>
          <w:p w:rsidR="00212513" w:rsidRDefault="00212513">
            <w:pPr>
              <w:pStyle w:val="ConsPlusNormal"/>
              <w:ind w:firstLine="283"/>
              <w:jc w:val="both"/>
            </w:pPr>
            <w:r>
              <w:rPr>
                <w:i/>
              </w:rPr>
              <w:t>t</w:t>
            </w:r>
            <w:r>
              <w:rPr>
                <w:vertAlign w:val="subscript"/>
              </w:rPr>
              <w:t>2</w:t>
            </w:r>
            <w:r>
              <w:t xml:space="preserve"> - толщина крайних элементов, а также более тонких элементов односрезных соединений, см;</w:t>
            </w:r>
          </w:p>
          <w:p w:rsidR="00212513" w:rsidRDefault="00212513">
            <w:pPr>
              <w:pStyle w:val="ConsPlusNormal"/>
              <w:ind w:firstLine="283"/>
              <w:jc w:val="both"/>
            </w:pPr>
            <w:r>
              <w:rPr>
                <w:i/>
              </w:rPr>
              <w:t>t</w:t>
            </w:r>
            <w:r>
              <w:rPr>
                <w:vertAlign w:val="subscript"/>
              </w:rPr>
              <w:t>3</w:t>
            </w:r>
            <w:r>
              <w:t xml:space="preserve"> - глубина забивки гвоздя или дюбеля в крайний элемент односрезного соединения, см.</w:t>
            </w:r>
          </w:p>
        </w:tc>
      </w:tr>
      <w:tr w:rsidR="00212513">
        <w:tblPrEx>
          <w:tblBorders>
            <w:insideH w:val="none" w:sz="0" w:space="0" w:color="auto"/>
          </w:tblBorders>
        </w:tblPrEx>
        <w:tc>
          <w:tcPr>
            <w:tcW w:w="9071" w:type="dxa"/>
            <w:gridSpan w:val="3"/>
            <w:tcBorders>
              <w:top w:val="nil"/>
              <w:bottom w:val="single" w:sz="4" w:space="0" w:color="auto"/>
            </w:tcBorders>
          </w:tcPr>
          <w:p w:rsidR="00212513" w:rsidRDefault="00212513">
            <w:pPr>
              <w:pStyle w:val="ConsPlusNormal"/>
              <w:ind w:firstLine="283"/>
              <w:jc w:val="both"/>
            </w:pPr>
            <w:r>
              <w:t>Примечания</w:t>
            </w:r>
          </w:p>
          <w:p w:rsidR="00212513" w:rsidRDefault="00212513">
            <w:pPr>
              <w:pStyle w:val="ConsPlusNormal"/>
              <w:ind w:firstLine="283"/>
              <w:jc w:val="both"/>
            </w:pPr>
            <w:r>
              <w:t>1 Рабочую несущую способность нагеля в рассматриваемом шве следует принимать равной меньшему из всех значений, полученных по формулам настоящей таблицы.</w:t>
            </w:r>
          </w:p>
          <w:p w:rsidR="00212513" w:rsidRDefault="00212513">
            <w:pPr>
              <w:pStyle w:val="ConsPlusNormal"/>
              <w:ind w:firstLine="283"/>
              <w:jc w:val="both"/>
            </w:pPr>
            <w:r>
              <w:t xml:space="preserve">2 Диаметр нагеля </w:t>
            </w:r>
            <w:r>
              <w:rPr>
                <w:i/>
              </w:rPr>
              <w:t>d</w:t>
            </w:r>
            <w:r>
              <w:t xml:space="preserve"> следует назначать из условия наиболее полного использования его несущей способности по изгибу.</w:t>
            </w:r>
          </w:p>
          <w:p w:rsidR="00212513" w:rsidRDefault="00212513">
            <w:pPr>
              <w:pStyle w:val="ConsPlusNormal"/>
              <w:ind w:firstLine="283"/>
              <w:jc w:val="both"/>
            </w:pPr>
            <w:r>
              <w:t xml:space="preserve">3 Расчет нагельных соединений на скалывание древесины можно не производить, если </w:t>
            </w:r>
            <w:r>
              <w:lastRenderedPageBreak/>
              <w:t>выполняется условие расстановки нагелей в соответствии с требованиями настоящих норм.</w:t>
            </w:r>
          </w:p>
          <w:p w:rsidR="00212513" w:rsidRDefault="00212513">
            <w:pPr>
              <w:pStyle w:val="ConsPlusNormal"/>
              <w:ind w:firstLine="283"/>
              <w:jc w:val="both"/>
            </w:pPr>
            <w:r>
              <w:t>4 Нагельные соединения со стальными накладками на болтах, глухих цилиндрических нагелях, гвоздях и дюбелях допускается применять в тех случаях, когда обеспечена необходимая плотность их постановки.</w:t>
            </w:r>
          </w:p>
          <w:p w:rsidR="00212513" w:rsidRDefault="00212513">
            <w:pPr>
              <w:pStyle w:val="ConsPlusNormal"/>
              <w:ind w:firstLine="283"/>
              <w:jc w:val="both"/>
            </w:pPr>
            <w:r>
              <w:t>5 Расчетную несущую способность дюбелей и гвоздей в соединениях со стальными накладками следует определять с умножением на коэффициенты:</w:t>
            </w:r>
          </w:p>
          <w:p w:rsidR="00212513" w:rsidRDefault="00212513">
            <w:pPr>
              <w:pStyle w:val="ConsPlusNormal"/>
              <w:ind w:firstLine="283"/>
              <w:jc w:val="both"/>
            </w:pPr>
            <w:r>
              <w:t>1,0 - для пристреленных дюбелей;</w:t>
            </w:r>
          </w:p>
          <w:p w:rsidR="00212513" w:rsidRDefault="00212513">
            <w:pPr>
              <w:pStyle w:val="ConsPlusNormal"/>
              <w:ind w:firstLine="283"/>
              <w:jc w:val="both"/>
            </w:pPr>
            <w:r>
              <w:t>0,8 - для забитых в предварительно рассверленные отверстия.</w:t>
            </w:r>
          </w:p>
        </w:tc>
      </w:tr>
    </w:tbl>
    <w:p w:rsidR="00212513" w:rsidRDefault="00212513">
      <w:pPr>
        <w:pStyle w:val="ConsPlusNormal"/>
        <w:ind w:firstLine="540"/>
        <w:jc w:val="both"/>
      </w:pPr>
    </w:p>
    <w:p w:rsidR="00212513" w:rsidRDefault="00212513">
      <w:pPr>
        <w:pStyle w:val="ConsPlusNormal"/>
        <w:ind w:firstLine="540"/>
        <w:jc w:val="both"/>
      </w:pPr>
      <w:r>
        <w:t xml:space="preserve">Расчетную несущую способность стального нагеля в соединениях элементов из древесины других пород определяют по </w:t>
      </w:r>
      <w:hyperlink w:anchor="P10379">
        <w:r>
          <w:rPr>
            <w:color w:val="0000FF"/>
          </w:rPr>
          <w:t>таблице 10.6</w:t>
        </w:r>
      </w:hyperlink>
      <w:r>
        <w:t xml:space="preserve"> умножением на соответствующий коэффициент, по </w:t>
      </w:r>
      <w:hyperlink w:anchor="P10337">
        <w:r>
          <w:rPr>
            <w:color w:val="0000FF"/>
          </w:rPr>
          <w:t>таблице 10.5</w:t>
        </w:r>
      </w:hyperlink>
      <w:r>
        <w:t xml:space="preserve"> - при расчете на смятие древесины в нагельном гнезде и на корень квадратный из этого коэффициента - при расчете на изгиб нагеля. При направлении передаваемого нагелем усилия под углом </w:t>
      </w:r>
      <w:r>
        <w:rPr>
          <w:noProof/>
          <w:position w:val="-1"/>
        </w:rPr>
        <w:drawing>
          <wp:inline distT="0" distB="0" distL="0" distR="0">
            <wp:extent cx="167640" cy="156845"/>
            <wp:effectExtent l="0" t="0" r="0" b="0"/>
            <wp:docPr id="18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5"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к волокнам древесины его расчетную несущую способность следует определять с учетом коэффициента </w:t>
      </w:r>
      <w:r>
        <w:rPr>
          <w:noProof/>
          <w:position w:val="-8"/>
        </w:rPr>
        <w:drawing>
          <wp:inline distT="0" distB="0" distL="0" distR="0">
            <wp:extent cx="198755" cy="250825"/>
            <wp:effectExtent l="0" t="0" r="0" b="0"/>
            <wp:docPr id="18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по указаниям </w:t>
      </w:r>
      <w:hyperlink r:id="rId2457">
        <w:r>
          <w:rPr>
            <w:color w:val="0000FF"/>
          </w:rPr>
          <w:t>СП 64.13330</w:t>
        </w:r>
      </w:hyperlink>
      <w:r>
        <w:t>.</w:t>
      </w:r>
    </w:p>
    <w:p w:rsidR="00212513" w:rsidRDefault="00212513">
      <w:pPr>
        <w:pStyle w:val="ConsPlusNormal"/>
        <w:spacing w:before="220"/>
        <w:ind w:firstLine="540"/>
        <w:jc w:val="both"/>
      </w:pPr>
      <w:r>
        <w:t xml:space="preserve">10.18 Расчетную несущую способность вклеиваемого штыря на выдергивание или продавливание </w:t>
      </w:r>
      <w:r>
        <w:rPr>
          <w:noProof/>
          <w:position w:val="-8"/>
        </w:rPr>
        <w:drawing>
          <wp:inline distT="0" distB="0" distL="0" distR="0">
            <wp:extent cx="293370" cy="251460"/>
            <wp:effectExtent l="0" t="0" r="0" b="0"/>
            <wp:docPr id="18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8"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кН, в клеештыревых соединениях растянутых и сжатых элементов следует определять по формуле</w:t>
      </w:r>
    </w:p>
    <w:p w:rsidR="00212513" w:rsidRDefault="00212513">
      <w:pPr>
        <w:pStyle w:val="ConsPlusNormal"/>
        <w:ind w:firstLine="540"/>
        <w:jc w:val="both"/>
      </w:pPr>
    </w:p>
    <w:p w:rsidR="00212513" w:rsidRDefault="00212513">
      <w:pPr>
        <w:pStyle w:val="ConsPlusNormal"/>
        <w:jc w:val="center"/>
      </w:pPr>
      <w:r>
        <w:rPr>
          <w:noProof/>
          <w:position w:val="-9"/>
        </w:rPr>
        <w:drawing>
          <wp:inline distT="0" distB="0" distL="0" distR="0">
            <wp:extent cx="1198880" cy="262890"/>
            <wp:effectExtent l="0" t="0" r="0" b="0"/>
            <wp:docPr id="18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9" cstate="print">
                      <a:extLst>
                        <a:ext uri="{28A0092B-C50C-407E-A947-70E740481C1C}">
                          <a14:useLocalDpi xmlns:a14="http://schemas.microsoft.com/office/drawing/2010/main" val="0"/>
                        </a:ext>
                      </a:extLst>
                    </a:blip>
                    <a:srcRect/>
                    <a:stretch>
                      <a:fillRect/>
                    </a:stretch>
                  </pic:blipFill>
                  <pic:spPr bwMode="auto">
                    <a:xfrm>
                      <a:off x="0" y="0"/>
                      <a:ext cx="1198880" cy="262890"/>
                    </a:xfrm>
                    <a:prstGeom prst="rect">
                      <a:avLst/>
                    </a:prstGeom>
                    <a:noFill/>
                    <a:ln>
                      <a:noFill/>
                    </a:ln>
                  </pic:spPr>
                </pic:pic>
              </a:graphicData>
            </a:graphic>
          </wp:inline>
        </w:drawing>
      </w:r>
      <w:r>
        <w:t>, (10.1)</w:t>
      </w:r>
    </w:p>
    <w:p w:rsidR="00212513" w:rsidRDefault="00212513">
      <w:pPr>
        <w:pStyle w:val="ConsPlusNormal"/>
        <w:jc w:val="both"/>
      </w:pPr>
    </w:p>
    <w:p w:rsidR="00212513" w:rsidRDefault="00212513">
      <w:pPr>
        <w:pStyle w:val="ConsPlusNormal"/>
        <w:ind w:firstLine="540"/>
        <w:jc w:val="both"/>
      </w:pPr>
      <w:r>
        <w:t xml:space="preserve">где </w:t>
      </w:r>
      <w:r>
        <w:rPr>
          <w:i/>
        </w:rPr>
        <w:t>m</w:t>
      </w:r>
      <w:r>
        <w:t xml:space="preserve"> - коэффициент условий работы, принимаемый равным при диаметрах отверстий, см:</w:t>
      </w:r>
    </w:p>
    <w:p w:rsidR="00212513" w:rsidRDefault="00212513">
      <w:pPr>
        <w:pStyle w:val="ConsPlusNormal"/>
        <w:spacing w:before="220"/>
        <w:ind w:firstLine="540"/>
        <w:jc w:val="both"/>
      </w:pPr>
      <w:r>
        <w:t>2,4 и менее - 1,00;</w:t>
      </w:r>
    </w:p>
    <w:p w:rsidR="00212513" w:rsidRDefault="00212513">
      <w:pPr>
        <w:pStyle w:val="ConsPlusNormal"/>
        <w:spacing w:before="220"/>
        <w:ind w:firstLine="540"/>
        <w:jc w:val="both"/>
      </w:pPr>
      <w:r>
        <w:t>2,6 и 2,8 - 0,95;</w:t>
      </w:r>
    </w:p>
    <w:p w:rsidR="00212513" w:rsidRDefault="00212513">
      <w:pPr>
        <w:pStyle w:val="ConsPlusNormal"/>
        <w:spacing w:before="220"/>
        <w:ind w:firstLine="540"/>
        <w:jc w:val="both"/>
      </w:pPr>
      <w:r>
        <w:t>3 и более - 0,90;</w:t>
      </w:r>
    </w:p>
    <w:p w:rsidR="00212513" w:rsidRDefault="00212513">
      <w:pPr>
        <w:pStyle w:val="ConsPlusNormal"/>
        <w:spacing w:before="220"/>
        <w:ind w:firstLine="540"/>
        <w:jc w:val="both"/>
      </w:pPr>
      <w:r>
        <w:rPr>
          <w:noProof/>
          <w:position w:val="-8"/>
        </w:rPr>
        <w:drawing>
          <wp:inline distT="0" distB="0" distL="0" distR="0">
            <wp:extent cx="198755" cy="250825"/>
            <wp:effectExtent l="0" t="0" r="0" b="0"/>
            <wp:docPr id="18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0"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диаметр отверстия под штырь, м (см);</w:t>
      </w:r>
    </w:p>
    <w:p w:rsidR="00212513" w:rsidRDefault="00212513">
      <w:pPr>
        <w:pStyle w:val="ConsPlusNormal"/>
        <w:spacing w:before="220"/>
        <w:ind w:firstLine="540"/>
        <w:jc w:val="both"/>
      </w:pPr>
      <w:r>
        <w:rPr>
          <w:noProof/>
          <w:position w:val="-8"/>
        </w:rPr>
        <w:drawing>
          <wp:inline distT="0" distB="0" distL="0" distR="0">
            <wp:extent cx="137160" cy="250825"/>
            <wp:effectExtent l="0" t="0" r="0" b="0"/>
            <wp:docPr id="18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1"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 длина заделки штыря, м (см);</w:t>
      </w:r>
    </w:p>
    <w:p w:rsidR="00212513" w:rsidRDefault="00212513">
      <w:pPr>
        <w:pStyle w:val="ConsPlusNormal"/>
        <w:spacing w:before="220"/>
        <w:ind w:firstLine="540"/>
        <w:jc w:val="both"/>
      </w:pPr>
      <w:r>
        <w:rPr>
          <w:noProof/>
          <w:position w:val="-9"/>
        </w:rPr>
        <w:drawing>
          <wp:inline distT="0" distB="0" distL="0" distR="0">
            <wp:extent cx="304165" cy="262890"/>
            <wp:effectExtent l="0" t="0" r="0" b="0"/>
            <wp:docPr id="18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2" cstate="print">
                      <a:extLst>
                        <a:ext uri="{28A0092B-C50C-407E-A947-70E740481C1C}">
                          <a14:useLocalDpi xmlns:a14="http://schemas.microsoft.com/office/drawing/2010/main" val="0"/>
                        </a:ext>
                      </a:extLst>
                    </a:blip>
                    <a:srcRect/>
                    <a:stretch>
                      <a:fillRect/>
                    </a:stretch>
                  </pic:blipFill>
                  <pic:spPr bwMode="auto">
                    <a:xfrm>
                      <a:off x="0" y="0"/>
                      <a:ext cx="304165" cy="262890"/>
                    </a:xfrm>
                    <a:prstGeom prst="rect">
                      <a:avLst/>
                    </a:prstGeom>
                    <a:noFill/>
                    <a:ln>
                      <a:noFill/>
                    </a:ln>
                  </pic:spPr>
                </pic:pic>
              </a:graphicData>
            </a:graphic>
          </wp:inline>
        </w:drawing>
      </w:r>
      <w:r>
        <w:t xml:space="preserve"> - расчетное сопротивление древесины скалыванию в клеештыревом соединении, принимаемое по </w:t>
      </w:r>
      <w:hyperlink w:anchor="P10305">
        <w:r>
          <w:rPr>
            <w:color w:val="0000FF"/>
          </w:rPr>
          <w:t>таблице 10.4</w:t>
        </w:r>
      </w:hyperlink>
      <w:r>
        <w:t>, МПа.</w:t>
      </w:r>
    </w:p>
    <w:p w:rsidR="00212513" w:rsidRDefault="00212513">
      <w:pPr>
        <w:pStyle w:val="ConsPlusNormal"/>
        <w:spacing w:before="220"/>
        <w:ind w:firstLine="540"/>
        <w:jc w:val="both"/>
      </w:pPr>
      <w:r>
        <w:t xml:space="preserve">10.19 Расчетную несущую способность продольных призматических шпонок (колодок) следует определять по смятию и скалыванию, причем расчетные сопротивления скалыванию следует принимать с коэффициентом условий работы </w:t>
      </w:r>
      <w:r>
        <w:rPr>
          <w:noProof/>
          <w:position w:val="-8"/>
        </w:rPr>
        <w:drawing>
          <wp:inline distT="0" distB="0" distL="0" distR="0">
            <wp:extent cx="628650" cy="251460"/>
            <wp:effectExtent l="0" t="0" r="0" b="0"/>
            <wp:docPr id="19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3" cstate="print">
                      <a:extLst>
                        <a:ext uri="{28A0092B-C50C-407E-A947-70E740481C1C}">
                          <a14:useLocalDpi xmlns:a14="http://schemas.microsoft.com/office/drawing/2010/main" val="0"/>
                        </a:ext>
                      </a:extLst>
                    </a:blip>
                    <a:srcRect/>
                    <a:stretch>
                      <a:fillRect/>
                    </a:stretch>
                  </pic:blipFill>
                  <pic:spPr bwMode="auto">
                    <a:xfrm>
                      <a:off x="0" y="0"/>
                      <a:ext cx="628650" cy="251460"/>
                    </a:xfrm>
                    <a:prstGeom prst="rect">
                      <a:avLst/>
                    </a:prstGeom>
                    <a:noFill/>
                    <a:ln>
                      <a:noFill/>
                    </a:ln>
                  </pic:spPr>
                </pic:pic>
              </a:graphicData>
            </a:graphic>
          </wp:inline>
        </w:drawing>
      </w:r>
      <w:r>
        <w:t>.</w:t>
      </w:r>
    </w:p>
    <w:p w:rsidR="00212513" w:rsidRDefault="00212513">
      <w:pPr>
        <w:pStyle w:val="ConsPlusNormal"/>
        <w:ind w:firstLine="540"/>
        <w:jc w:val="both"/>
      </w:pPr>
    </w:p>
    <w:p w:rsidR="00212513" w:rsidRDefault="00212513">
      <w:pPr>
        <w:pStyle w:val="ConsPlusTitle"/>
        <w:ind w:firstLine="540"/>
        <w:jc w:val="both"/>
        <w:outlineLvl w:val="2"/>
      </w:pPr>
      <w:r>
        <w:t>Расчеты</w:t>
      </w:r>
    </w:p>
    <w:p w:rsidR="00212513" w:rsidRDefault="00212513">
      <w:pPr>
        <w:pStyle w:val="ConsPlusNormal"/>
        <w:ind w:firstLine="540"/>
        <w:jc w:val="both"/>
      </w:pPr>
    </w:p>
    <w:p w:rsidR="00212513" w:rsidRDefault="00212513">
      <w:pPr>
        <w:pStyle w:val="ConsPlusTitle"/>
        <w:ind w:firstLine="540"/>
        <w:jc w:val="both"/>
        <w:outlineLvl w:val="2"/>
      </w:pPr>
      <w:r>
        <w:t>Определение усилий и моментов</w:t>
      </w:r>
    </w:p>
    <w:p w:rsidR="00212513" w:rsidRDefault="00212513">
      <w:pPr>
        <w:pStyle w:val="ConsPlusNormal"/>
        <w:ind w:firstLine="540"/>
        <w:jc w:val="both"/>
      </w:pPr>
    </w:p>
    <w:p w:rsidR="00212513" w:rsidRDefault="00212513">
      <w:pPr>
        <w:pStyle w:val="ConsPlusNormal"/>
        <w:ind w:firstLine="540"/>
        <w:jc w:val="both"/>
      </w:pPr>
      <w:r>
        <w:t>10.20 При расчете конструкций мостов допускается:</w:t>
      </w:r>
    </w:p>
    <w:p w:rsidR="00212513" w:rsidRDefault="00212513">
      <w:pPr>
        <w:pStyle w:val="ConsPlusNormal"/>
        <w:spacing w:before="220"/>
        <w:ind w:firstLine="540"/>
        <w:jc w:val="both"/>
      </w:pPr>
      <w:r>
        <w:t>усилия в элементах и соединениях определять, предполагая упругую работу материала;</w:t>
      </w:r>
    </w:p>
    <w:p w:rsidR="00212513" w:rsidRDefault="00212513">
      <w:pPr>
        <w:pStyle w:val="ConsPlusNormal"/>
        <w:spacing w:before="220"/>
        <w:ind w:firstLine="540"/>
        <w:jc w:val="both"/>
      </w:pPr>
      <w:r>
        <w:t>пространственную конструкцию расчленять на отдельные плоские системы и рассчитывать их на прочность без учета податливости элементов;</w:t>
      </w:r>
    </w:p>
    <w:p w:rsidR="00212513" w:rsidRDefault="00212513">
      <w:pPr>
        <w:pStyle w:val="ConsPlusNormal"/>
        <w:spacing w:before="220"/>
        <w:ind w:firstLine="540"/>
        <w:jc w:val="both"/>
      </w:pPr>
      <w:r>
        <w:lastRenderedPageBreak/>
        <w:t>узловые соединения элементов сквозных конструкций принимать при расчетах как шарнирные;</w:t>
      </w:r>
    </w:p>
    <w:p w:rsidR="00212513" w:rsidRDefault="00212513">
      <w:pPr>
        <w:pStyle w:val="ConsPlusNormal"/>
        <w:spacing w:before="220"/>
        <w:ind w:firstLine="540"/>
        <w:jc w:val="both"/>
      </w:pPr>
      <w:r>
        <w:t>считать, что укосины, диагональные связи и раскосы не участвуют в восприятии вертикальных усилий, передаваемых насадками на стойки однорядных и башенных опор;</w:t>
      </w:r>
    </w:p>
    <w:p w:rsidR="00212513" w:rsidRDefault="00212513">
      <w:pPr>
        <w:pStyle w:val="ConsPlusNormal"/>
        <w:spacing w:before="220"/>
        <w:ind w:firstLine="540"/>
        <w:jc w:val="both"/>
      </w:pPr>
      <w:r>
        <w:t>не учитывать напряжения и деформации от изменения температуры, а также возникающие при усушке и разбухании древесины;</w:t>
      </w:r>
    </w:p>
    <w:p w:rsidR="00212513" w:rsidRDefault="00212513">
      <w:pPr>
        <w:pStyle w:val="ConsPlusNormal"/>
        <w:spacing w:before="220"/>
        <w:ind w:firstLine="540"/>
        <w:jc w:val="both"/>
      </w:pPr>
      <w:r>
        <w:t>действие сил трения учитывать только в случаях, когда трение ухудшает условия работы конструкции или соединения (коэффициент трения дерева по дереву в этих случаях допускается принимать равным 0,6);</w:t>
      </w:r>
    </w:p>
    <w:p w:rsidR="00212513" w:rsidRDefault="00212513">
      <w:pPr>
        <w:pStyle w:val="ConsPlusNormal"/>
        <w:spacing w:before="220"/>
        <w:ind w:firstLine="540"/>
        <w:jc w:val="both"/>
      </w:pPr>
      <w:r>
        <w:t>изменение температуры среды учитывать при определении возникающей при этом дополнительной сдвигающей силы на контакте дерева с бетоном, а также дерева с металлом в балках деревожелезобетонных и деревометалложелезобетонных пролетных строений.</w:t>
      </w:r>
    </w:p>
    <w:p w:rsidR="00212513" w:rsidRDefault="00212513">
      <w:pPr>
        <w:pStyle w:val="ConsPlusNormal"/>
        <w:jc w:val="both"/>
      </w:pPr>
      <w:r>
        <w:t xml:space="preserve">(абзац введен </w:t>
      </w:r>
      <w:hyperlink r:id="rId2464">
        <w:r>
          <w:rPr>
            <w:color w:val="0000FF"/>
          </w:rPr>
          <w:t>Изменением N 1</w:t>
        </w:r>
      </w:hyperlink>
      <w:r>
        <w:t>, утв. Приказом Минстроя России от 03.12.2016 N 879/пр)</w:t>
      </w:r>
    </w:p>
    <w:p w:rsidR="00212513" w:rsidRDefault="00212513">
      <w:pPr>
        <w:pStyle w:val="ConsPlusNormal"/>
        <w:spacing w:before="220"/>
        <w:ind w:firstLine="540"/>
        <w:jc w:val="both"/>
      </w:pPr>
      <w:r>
        <w:t>10.21 Прогоны балочных мостов, элементы нижнего настила (доски, накатник и т.п.), поперечины, продольные и поперечные балки проезжей части автодорожных и городских мостов следует рассчитывать как разрезные.</w:t>
      </w:r>
    </w:p>
    <w:p w:rsidR="00212513" w:rsidRDefault="00212513">
      <w:pPr>
        <w:pStyle w:val="ConsPlusNormal"/>
        <w:spacing w:before="220"/>
        <w:ind w:firstLine="540"/>
        <w:jc w:val="both"/>
      </w:pPr>
      <w:r>
        <w:t xml:space="preserve">Деревоплиту, опирающуюся на поперечные прогоны, допускается рассчитывать как балку на двух опорах шириной </w:t>
      </w:r>
      <w:r>
        <w:rPr>
          <w:i/>
        </w:rPr>
        <w:t>b</w:t>
      </w:r>
      <w:r>
        <w:t>, равной:</w:t>
      </w:r>
    </w:p>
    <w:p w:rsidR="00212513" w:rsidRDefault="00212513">
      <w:pPr>
        <w:pStyle w:val="ConsPlusNormal"/>
        <w:spacing w:before="220"/>
        <w:ind w:firstLine="540"/>
        <w:jc w:val="both"/>
      </w:pPr>
      <w:r>
        <w:t>а) для клееной деревоплиты</w:t>
      </w:r>
    </w:p>
    <w:p w:rsidR="00212513" w:rsidRDefault="00212513">
      <w:pPr>
        <w:pStyle w:val="ConsPlusNormal"/>
        <w:ind w:firstLine="540"/>
        <w:jc w:val="both"/>
      </w:pPr>
    </w:p>
    <w:p w:rsidR="00212513" w:rsidRDefault="00212513">
      <w:pPr>
        <w:pStyle w:val="ConsPlusNormal"/>
        <w:jc w:val="center"/>
      </w:pPr>
      <w:bookmarkStart w:id="440" w:name="P10452"/>
      <w:bookmarkEnd w:id="440"/>
      <w:r>
        <w:rPr>
          <w:i/>
        </w:rPr>
        <w:t>b</w:t>
      </w:r>
      <w:r>
        <w:t xml:space="preserve"> = </w:t>
      </w:r>
      <w:r>
        <w:rPr>
          <w:i/>
        </w:rPr>
        <w:t>a</w:t>
      </w:r>
      <w:r>
        <w:t xml:space="preserve"> + 2</w:t>
      </w:r>
      <w:r>
        <w:rPr>
          <w:i/>
        </w:rPr>
        <w:t>t</w:t>
      </w:r>
      <w:r>
        <w:t xml:space="preserve"> + 0,25</w:t>
      </w:r>
      <w:r>
        <w:rPr>
          <w:i/>
        </w:rPr>
        <w:t>l</w:t>
      </w:r>
      <w:r>
        <w:t>; (10.2)</w:t>
      </w:r>
    </w:p>
    <w:p w:rsidR="00212513" w:rsidRDefault="00212513">
      <w:pPr>
        <w:pStyle w:val="ConsPlusNormal"/>
        <w:ind w:firstLine="540"/>
        <w:jc w:val="both"/>
      </w:pPr>
    </w:p>
    <w:p w:rsidR="00212513" w:rsidRDefault="00212513">
      <w:pPr>
        <w:pStyle w:val="ConsPlusNormal"/>
        <w:ind w:firstLine="540"/>
        <w:jc w:val="both"/>
      </w:pPr>
      <w:bookmarkStart w:id="441" w:name="P10454"/>
      <w:bookmarkEnd w:id="441"/>
      <w:r>
        <w:t>б) для гвоздевой деревоплиты:</w:t>
      </w:r>
    </w:p>
    <w:p w:rsidR="00212513" w:rsidRDefault="00212513">
      <w:pPr>
        <w:pStyle w:val="ConsPlusNormal"/>
        <w:spacing w:before="220"/>
        <w:ind w:firstLine="540"/>
        <w:jc w:val="both"/>
      </w:pPr>
      <w:r>
        <w:t>при расстоянии между гвоздями 25 см и менее</w:t>
      </w:r>
    </w:p>
    <w:p w:rsidR="00212513" w:rsidRDefault="00212513">
      <w:pPr>
        <w:pStyle w:val="ConsPlusNormal"/>
        <w:ind w:firstLine="540"/>
        <w:jc w:val="both"/>
      </w:pPr>
    </w:p>
    <w:p w:rsidR="00212513" w:rsidRDefault="00212513">
      <w:pPr>
        <w:pStyle w:val="ConsPlusNormal"/>
        <w:jc w:val="center"/>
      </w:pPr>
      <w:r>
        <w:rPr>
          <w:noProof/>
          <w:position w:val="-4"/>
        </w:rPr>
        <w:drawing>
          <wp:inline distT="0" distB="0" distL="0" distR="0">
            <wp:extent cx="1022985" cy="199390"/>
            <wp:effectExtent l="0" t="0" r="0" b="0"/>
            <wp:docPr id="19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5" cstate="print">
                      <a:extLst>
                        <a:ext uri="{28A0092B-C50C-407E-A947-70E740481C1C}">
                          <a14:useLocalDpi xmlns:a14="http://schemas.microsoft.com/office/drawing/2010/main" val="0"/>
                        </a:ext>
                      </a:extLst>
                    </a:blip>
                    <a:srcRect/>
                    <a:stretch>
                      <a:fillRect/>
                    </a:stretch>
                  </pic:blipFill>
                  <pic:spPr bwMode="auto">
                    <a:xfrm>
                      <a:off x="0" y="0"/>
                      <a:ext cx="1022985" cy="199390"/>
                    </a:xfrm>
                    <a:prstGeom prst="rect">
                      <a:avLst/>
                    </a:prstGeom>
                    <a:noFill/>
                    <a:ln>
                      <a:noFill/>
                    </a:ln>
                  </pic:spPr>
                </pic:pic>
              </a:graphicData>
            </a:graphic>
          </wp:inline>
        </w:drawing>
      </w:r>
      <w:r>
        <w:t>; (10.3)</w:t>
      </w:r>
    </w:p>
    <w:p w:rsidR="00212513" w:rsidRDefault="00212513">
      <w:pPr>
        <w:pStyle w:val="ConsPlusNormal"/>
        <w:ind w:firstLine="540"/>
        <w:jc w:val="both"/>
      </w:pPr>
    </w:p>
    <w:p w:rsidR="00212513" w:rsidRDefault="00212513">
      <w:pPr>
        <w:pStyle w:val="ConsPlusNormal"/>
        <w:ind w:firstLine="540"/>
        <w:jc w:val="both"/>
      </w:pPr>
      <w:r>
        <w:t>при расстоянии между гвоздями свыше 25 см</w:t>
      </w:r>
    </w:p>
    <w:p w:rsidR="00212513" w:rsidRDefault="00212513">
      <w:pPr>
        <w:pStyle w:val="ConsPlusNormal"/>
        <w:ind w:firstLine="540"/>
        <w:jc w:val="both"/>
      </w:pPr>
    </w:p>
    <w:p w:rsidR="00212513" w:rsidRDefault="00212513">
      <w:pPr>
        <w:pStyle w:val="ConsPlusNormal"/>
        <w:jc w:val="center"/>
      </w:pPr>
      <w:r>
        <w:rPr>
          <w:noProof/>
          <w:position w:val="-4"/>
        </w:rPr>
        <w:drawing>
          <wp:inline distT="0" distB="0" distL="0" distR="0">
            <wp:extent cx="1029335" cy="199390"/>
            <wp:effectExtent l="0" t="0" r="0" b="0"/>
            <wp:docPr id="19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6" cstate="print">
                      <a:extLst>
                        <a:ext uri="{28A0092B-C50C-407E-A947-70E740481C1C}">
                          <a14:useLocalDpi xmlns:a14="http://schemas.microsoft.com/office/drawing/2010/main" val="0"/>
                        </a:ext>
                      </a:extLst>
                    </a:blip>
                    <a:srcRect/>
                    <a:stretch>
                      <a:fillRect/>
                    </a:stretch>
                  </pic:blipFill>
                  <pic:spPr bwMode="auto">
                    <a:xfrm>
                      <a:off x="0" y="0"/>
                      <a:ext cx="1029335" cy="199390"/>
                    </a:xfrm>
                    <a:prstGeom prst="rect">
                      <a:avLst/>
                    </a:prstGeom>
                    <a:noFill/>
                    <a:ln>
                      <a:noFill/>
                    </a:ln>
                  </pic:spPr>
                </pic:pic>
              </a:graphicData>
            </a:graphic>
          </wp:inline>
        </w:drawing>
      </w:r>
      <w:r>
        <w:t>. (10.4)</w:t>
      </w:r>
    </w:p>
    <w:p w:rsidR="00212513" w:rsidRDefault="00212513">
      <w:pPr>
        <w:pStyle w:val="ConsPlusNormal"/>
        <w:ind w:firstLine="540"/>
        <w:jc w:val="both"/>
      </w:pPr>
    </w:p>
    <w:p w:rsidR="00212513" w:rsidRDefault="00212513">
      <w:pPr>
        <w:pStyle w:val="ConsPlusNormal"/>
        <w:ind w:firstLine="540"/>
        <w:jc w:val="both"/>
      </w:pPr>
      <w:r>
        <w:t xml:space="preserve">В </w:t>
      </w:r>
      <w:hyperlink w:anchor="P10452">
        <w:r>
          <w:rPr>
            <w:color w:val="0000FF"/>
          </w:rPr>
          <w:t>формулах (10.2)</w:t>
        </w:r>
      </w:hyperlink>
      <w:r>
        <w:t xml:space="preserve"> - (10.4):</w:t>
      </w:r>
    </w:p>
    <w:p w:rsidR="00212513" w:rsidRDefault="00212513">
      <w:pPr>
        <w:pStyle w:val="ConsPlusNormal"/>
        <w:spacing w:before="220"/>
        <w:ind w:firstLine="540"/>
        <w:jc w:val="both"/>
      </w:pPr>
      <w:r>
        <w:rPr>
          <w:i/>
        </w:rPr>
        <w:t>a</w:t>
      </w:r>
      <w:r>
        <w:t xml:space="preserve"> - размер ската колеса в направлении поперек досок;</w:t>
      </w:r>
    </w:p>
    <w:p w:rsidR="00212513" w:rsidRDefault="00212513">
      <w:pPr>
        <w:pStyle w:val="ConsPlusNormal"/>
        <w:spacing w:before="220"/>
        <w:ind w:firstLine="540"/>
        <w:jc w:val="both"/>
      </w:pPr>
      <w:r>
        <w:rPr>
          <w:i/>
        </w:rPr>
        <w:t>t</w:t>
      </w:r>
      <w:r>
        <w:t xml:space="preserve"> - толщина покрытия;</w:t>
      </w:r>
    </w:p>
    <w:p w:rsidR="00212513" w:rsidRDefault="00212513">
      <w:pPr>
        <w:pStyle w:val="ConsPlusNormal"/>
        <w:spacing w:before="220"/>
        <w:ind w:firstLine="540"/>
        <w:jc w:val="both"/>
      </w:pPr>
      <w:r>
        <w:rPr>
          <w:noProof/>
          <w:position w:val="-3"/>
        </w:rPr>
        <w:drawing>
          <wp:inline distT="0" distB="0" distL="0" distR="0">
            <wp:extent cx="146050" cy="189230"/>
            <wp:effectExtent l="0" t="0" r="0" b="0"/>
            <wp:docPr id="19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7" cstate="print">
                      <a:extLst>
                        <a:ext uri="{28A0092B-C50C-407E-A947-70E740481C1C}">
                          <a14:useLocalDpi xmlns:a14="http://schemas.microsoft.com/office/drawing/2010/main" val="0"/>
                        </a:ext>
                      </a:extLst>
                    </a:blip>
                    <a:srcRect/>
                    <a:stretch>
                      <a:fillRect/>
                    </a:stretch>
                  </pic:blipFill>
                  <pic:spPr bwMode="auto">
                    <a:xfrm>
                      <a:off x="0" y="0"/>
                      <a:ext cx="146050" cy="189230"/>
                    </a:xfrm>
                    <a:prstGeom prst="rect">
                      <a:avLst/>
                    </a:prstGeom>
                    <a:noFill/>
                    <a:ln>
                      <a:noFill/>
                    </a:ln>
                  </pic:spPr>
                </pic:pic>
              </a:graphicData>
            </a:graphic>
          </wp:inline>
        </w:drawing>
      </w:r>
      <w:r>
        <w:t xml:space="preserve"> - толщина одной доски;</w:t>
      </w:r>
    </w:p>
    <w:p w:rsidR="00212513" w:rsidRDefault="00212513">
      <w:pPr>
        <w:pStyle w:val="ConsPlusNormal"/>
        <w:spacing w:before="220"/>
        <w:ind w:firstLine="540"/>
        <w:jc w:val="both"/>
      </w:pPr>
      <w:r>
        <w:rPr>
          <w:i/>
        </w:rPr>
        <w:t>l</w:t>
      </w:r>
      <w:r>
        <w:t xml:space="preserve"> - расчетный пролет плиты.</w:t>
      </w:r>
    </w:p>
    <w:p w:rsidR="00212513" w:rsidRDefault="00212513">
      <w:pPr>
        <w:pStyle w:val="ConsPlusNormal"/>
        <w:spacing w:before="220"/>
        <w:ind w:firstLine="540"/>
        <w:jc w:val="both"/>
      </w:pPr>
      <w:r>
        <w:t>При определении давления на прогон следует учитывать упругое распределение нагрузки поперечинами при условии их фактической неразрезности.</w:t>
      </w:r>
    </w:p>
    <w:p w:rsidR="00212513" w:rsidRDefault="00212513">
      <w:pPr>
        <w:pStyle w:val="ConsPlusNormal"/>
        <w:spacing w:before="220"/>
        <w:ind w:firstLine="540"/>
        <w:jc w:val="both"/>
      </w:pPr>
      <w:r>
        <w:t>При определении давления на поперечины допускается учитывать распределение нагрузки, если стыки настила расположены вразбежку (в одном сечении не более 30% всех стыков).</w:t>
      </w:r>
    </w:p>
    <w:p w:rsidR="00212513" w:rsidRDefault="00212513">
      <w:pPr>
        <w:pStyle w:val="ConsPlusNormal"/>
        <w:spacing w:before="220"/>
        <w:ind w:firstLine="540"/>
        <w:jc w:val="both"/>
      </w:pPr>
      <w:r>
        <w:t xml:space="preserve">10.22 При наличии подбалок усилия в прогонах допускается определять при уменьшенном </w:t>
      </w:r>
      <w:r>
        <w:lastRenderedPageBreak/>
        <w:t>пролете, но не более чем на 10%.</w:t>
      </w:r>
    </w:p>
    <w:p w:rsidR="00212513" w:rsidRDefault="00212513">
      <w:pPr>
        <w:pStyle w:val="ConsPlusNormal"/>
        <w:spacing w:before="220"/>
        <w:ind w:firstLine="540"/>
        <w:jc w:val="both"/>
      </w:pPr>
      <w:r>
        <w:t>10.23 При определении усилий в тяжах собственный вес фермы допускается принимать распределенным поровну на верхние и нижние узлы.</w:t>
      </w:r>
    </w:p>
    <w:p w:rsidR="00212513" w:rsidRDefault="00212513">
      <w:pPr>
        <w:pStyle w:val="ConsPlusNormal"/>
        <w:spacing w:before="220"/>
        <w:ind w:firstLine="540"/>
        <w:jc w:val="both"/>
      </w:pPr>
      <w:r>
        <w:t>10.24 Ветровые связи пролетных строений, расположенные в уровне проезжей части, следует рассчитывать на ветровую нагрузку, приходящуюся на пояс фермы, проезжую часть и перила, и на горизонтальные поперечные воздействия от временной нагрузки.</w:t>
      </w:r>
    </w:p>
    <w:p w:rsidR="00212513" w:rsidRDefault="00212513">
      <w:pPr>
        <w:pStyle w:val="ConsPlusNormal"/>
        <w:ind w:firstLine="540"/>
        <w:jc w:val="both"/>
      </w:pPr>
    </w:p>
    <w:p w:rsidR="00212513" w:rsidRDefault="00212513">
      <w:pPr>
        <w:pStyle w:val="ConsPlusTitle"/>
        <w:ind w:firstLine="540"/>
        <w:jc w:val="both"/>
        <w:outlineLvl w:val="2"/>
      </w:pPr>
      <w:r>
        <w:t>Расчетная длина сжатых элементов и гибкость элементов</w:t>
      </w:r>
    </w:p>
    <w:p w:rsidR="00212513" w:rsidRDefault="00212513">
      <w:pPr>
        <w:pStyle w:val="ConsPlusNormal"/>
        <w:ind w:firstLine="540"/>
        <w:jc w:val="both"/>
      </w:pPr>
    </w:p>
    <w:p w:rsidR="00212513" w:rsidRDefault="00212513">
      <w:pPr>
        <w:pStyle w:val="ConsPlusNormal"/>
        <w:ind w:firstLine="540"/>
        <w:jc w:val="both"/>
      </w:pPr>
      <w:r>
        <w:t xml:space="preserve">10.25 При расчете по устойчивости прямолинейных элементов, загруженных продольными силами, расчетную длину следует принимать в зависимости от вида закрепления концов в соответствии с указаниями </w:t>
      </w:r>
      <w:hyperlink r:id="rId2468">
        <w:r>
          <w:rPr>
            <w:color w:val="0000FF"/>
          </w:rPr>
          <w:t>СП 64.13330</w:t>
        </w:r>
      </w:hyperlink>
      <w:r>
        <w:t>.</w:t>
      </w:r>
    </w:p>
    <w:p w:rsidR="00212513" w:rsidRDefault="00212513">
      <w:pPr>
        <w:pStyle w:val="ConsPlusNormal"/>
        <w:spacing w:before="220"/>
        <w:ind w:firstLine="540"/>
        <w:jc w:val="both"/>
      </w:pPr>
      <w:r>
        <w:t>10.26 Расчетную длину элементов пролетных строений и опор при расчете по устойчивости необходимо принимать равной:</w:t>
      </w:r>
    </w:p>
    <w:p w:rsidR="00212513" w:rsidRDefault="00212513">
      <w:pPr>
        <w:pStyle w:val="ConsPlusNormal"/>
        <w:spacing w:before="220"/>
        <w:ind w:firstLine="540"/>
        <w:jc w:val="both"/>
      </w:pPr>
      <w:r>
        <w:t>а) для сжатых поясов ферм:</w:t>
      </w:r>
    </w:p>
    <w:p w:rsidR="00212513" w:rsidRDefault="00212513">
      <w:pPr>
        <w:pStyle w:val="ConsPlusNormal"/>
        <w:spacing w:before="220"/>
        <w:ind w:firstLine="540"/>
        <w:jc w:val="both"/>
      </w:pPr>
      <w:r>
        <w:t>в плоскости фермы - расстоянию между узлами;</w:t>
      </w:r>
    </w:p>
    <w:p w:rsidR="00212513" w:rsidRDefault="00212513">
      <w:pPr>
        <w:pStyle w:val="ConsPlusNormal"/>
        <w:spacing w:before="220"/>
        <w:ind w:firstLine="540"/>
        <w:jc w:val="both"/>
      </w:pPr>
      <w:r>
        <w:t>из плоскости фермы - расстоянию между узлами горизонтальных связей;</w:t>
      </w:r>
    </w:p>
    <w:p w:rsidR="00212513" w:rsidRDefault="00212513">
      <w:pPr>
        <w:pStyle w:val="ConsPlusNormal"/>
        <w:spacing w:before="220"/>
        <w:ind w:firstLine="540"/>
        <w:jc w:val="both"/>
      </w:pPr>
      <w:r>
        <w:t>б) для раскосов в фермах Гау-Журавского:</w:t>
      </w:r>
    </w:p>
    <w:p w:rsidR="00212513" w:rsidRDefault="00212513">
      <w:pPr>
        <w:pStyle w:val="ConsPlusNormal"/>
        <w:spacing w:before="220"/>
        <w:ind w:firstLine="540"/>
        <w:jc w:val="both"/>
      </w:pPr>
      <w:r>
        <w:t>в плоскости фермы - половине полной длины раскоса;</w:t>
      </w:r>
    </w:p>
    <w:p w:rsidR="00212513" w:rsidRDefault="00212513">
      <w:pPr>
        <w:pStyle w:val="ConsPlusNormal"/>
        <w:spacing w:before="220"/>
        <w:ind w:firstLine="540"/>
        <w:jc w:val="both"/>
      </w:pPr>
      <w:r>
        <w:t>из плоскости фермы - полной длине раскоса;</w:t>
      </w:r>
    </w:p>
    <w:p w:rsidR="00212513" w:rsidRDefault="00212513">
      <w:pPr>
        <w:pStyle w:val="ConsPlusNormal"/>
        <w:spacing w:before="220"/>
        <w:ind w:firstLine="540"/>
        <w:jc w:val="both"/>
      </w:pPr>
      <w:r>
        <w:t>в) для сжатых досок в дощатых фермах со сплошной стенкой - шестикратной ширине досок;</w:t>
      </w:r>
    </w:p>
    <w:p w:rsidR="00212513" w:rsidRDefault="00212513">
      <w:pPr>
        <w:pStyle w:val="ConsPlusNormal"/>
        <w:spacing w:before="220"/>
        <w:ind w:firstLine="540"/>
        <w:jc w:val="both"/>
      </w:pPr>
      <w:r>
        <w:t>г) для стоек башенных опор - расстоянию между узлами связей;</w:t>
      </w:r>
    </w:p>
    <w:p w:rsidR="00212513" w:rsidRDefault="00212513">
      <w:pPr>
        <w:pStyle w:val="ConsPlusNormal"/>
        <w:spacing w:before="220"/>
        <w:ind w:firstLine="540"/>
        <w:jc w:val="both"/>
      </w:pPr>
      <w:r>
        <w:t>д) для свай при отсутствии дополнительных поперечных связей:</w:t>
      </w:r>
    </w:p>
    <w:p w:rsidR="00212513" w:rsidRDefault="00212513">
      <w:pPr>
        <w:pStyle w:val="ConsPlusNormal"/>
        <w:spacing w:before="220"/>
        <w:ind w:firstLine="540"/>
        <w:jc w:val="both"/>
      </w:pPr>
      <w:r>
        <w:t>при закреплении свайных насадок (ростверков) от смещений в горизонтальной плоскости посредством забивки наклонных свай и при полной заделке свай в грунт - 0,7</w:t>
      </w:r>
      <w:r>
        <w:rPr>
          <w:i/>
        </w:rPr>
        <w:t>l</w:t>
      </w:r>
      <w:r>
        <w:t>;</w:t>
      </w:r>
    </w:p>
    <w:p w:rsidR="00212513" w:rsidRDefault="00212513">
      <w:pPr>
        <w:pStyle w:val="ConsPlusNormal"/>
        <w:spacing w:before="220"/>
        <w:ind w:firstLine="540"/>
        <w:jc w:val="both"/>
      </w:pPr>
      <w:r>
        <w:t xml:space="preserve">при закреплении свайных насадок (ростверков) от смещений в горизонтальной плоскости и неполной (шарнирной) заделке свай в грунт (наличие сроста свай) - </w:t>
      </w:r>
      <w:r>
        <w:rPr>
          <w:i/>
        </w:rPr>
        <w:t>l</w:t>
      </w:r>
      <w:r>
        <w:t>;</w:t>
      </w:r>
    </w:p>
    <w:p w:rsidR="00212513" w:rsidRDefault="00212513">
      <w:pPr>
        <w:pStyle w:val="ConsPlusNormal"/>
        <w:spacing w:before="220"/>
        <w:ind w:firstLine="540"/>
        <w:jc w:val="both"/>
      </w:pPr>
      <w:r>
        <w:t>при отсутствии закрепления насадок (ростверков) от смещений в горизонтальной плоскости и обеспечении полной заделки свай в грунт - 2</w:t>
      </w:r>
      <w:r>
        <w:rPr>
          <w:i/>
        </w:rPr>
        <w:t>l</w:t>
      </w:r>
      <w:r>
        <w:t>,</w:t>
      </w:r>
    </w:p>
    <w:p w:rsidR="00212513" w:rsidRDefault="00212513">
      <w:pPr>
        <w:pStyle w:val="ConsPlusNormal"/>
        <w:spacing w:before="220"/>
        <w:ind w:firstLine="540"/>
        <w:jc w:val="both"/>
      </w:pPr>
      <w:r>
        <w:t xml:space="preserve">где </w:t>
      </w:r>
      <w:r>
        <w:rPr>
          <w:i/>
        </w:rPr>
        <w:t>l</w:t>
      </w:r>
      <w:r>
        <w:t xml:space="preserve"> - теоретическая длина свай, принимаемая равной расстоянию от головы сваи (низа ростверка или насадки) до сечения ее заделки (или шарнира) в грунт с учетом размыва.</w:t>
      </w:r>
    </w:p>
    <w:p w:rsidR="00212513" w:rsidRDefault="00212513">
      <w:pPr>
        <w:pStyle w:val="ConsPlusNormal"/>
        <w:spacing w:before="220"/>
        <w:ind w:firstLine="540"/>
        <w:jc w:val="both"/>
      </w:pPr>
      <w:r>
        <w:t>10.27 Расчетную гибкость следует принимать равной:</w:t>
      </w:r>
    </w:p>
    <w:p w:rsidR="00212513" w:rsidRDefault="00212513">
      <w:pPr>
        <w:pStyle w:val="ConsPlusNormal"/>
        <w:spacing w:before="220"/>
        <w:ind w:firstLine="540"/>
        <w:jc w:val="both"/>
      </w:pPr>
      <w:r>
        <w:t>а) для элементов цельного сечения (в обеих плоскостях) и стержней составных (в плоскости, нормальной к плоскости соединительных связей между ветвями) - отношению расчетной длины к соответствующему радиусу инерции поперечного сечения брутто элемента;</w:t>
      </w:r>
    </w:p>
    <w:p w:rsidR="00212513" w:rsidRDefault="00212513">
      <w:pPr>
        <w:pStyle w:val="ConsPlusNormal"/>
        <w:spacing w:before="220"/>
        <w:ind w:firstLine="540"/>
        <w:jc w:val="both"/>
      </w:pPr>
      <w:r>
        <w:t xml:space="preserve">б) для элементов составных (в плоскости соединительных связей между ветвями) - приведенной гибкости </w:t>
      </w:r>
      <w:r>
        <w:rPr>
          <w:noProof/>
          <w:position w:val="-8"/>
        </w:rPr>
        <w:drawing>
          <wp:inline distT="0" distB="0" distL="0" distR="0">
            <wp:extent cx="177800" cy="251460"/>
            <wp:effectExtent l="0" t="0" r="0" b="0"/>
            <wp:docPr id="19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9"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w:t>
      </w:r>
    </w:p>
    <w:p w:rsidR="00212513" w:rsidRDefault="00212513">
      <w:pPr>
        <w:pStyle w:val="ConsPlusNormal"/>
        <w:ind w:firstLine="540"/>
        <w:jc w:val="both"/>
      </w:pPr>
    </w:p>
    <w:p w:rsidR="00212513" w:rsidRDefault="00212513">
      <w:pPr>
        <w:pStyle w:val="ConsPlusNormal"/>
        <w:jc w:val="center"/>
      </w:pPr>
      <w:r>
        <w:rPr>
          <w:noProof/>
          <w:position w:val="-14"/>
        </w:rPr>
        <w:lastRenderedPageBreak/>
        <w:drawing>
          <wp:inline distT="0" distB="0" distL="0" distR="0">
            <wp:extent cx="1283970" cy="324485"/>
            <wp:effectExtent l="0" t="0" r="0" b="0"/>
            <wp:docPr id="19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0" cstate="print">
                      <a:extLst>
                        <a:ext uri="{28A0092B-C50C-407E-A947-70E740481C1C}">
                          <a14:useLocalDpi xmlns:a14="http://schemas.microsoft.com/office/drawing/2010/main" val="0"/>
                        </a:ext>
                      </a:extLst>
                    </a:blip>
                    <a:srcRect/>
                    <a:stretch>
                      <a:fillRect/>
                    </a:stretch>
                  </pic:blipFill>
                  <pic:spPr bwMode="auto">
                    <a:xfrm>
                      <a:off x="0" y="0"/>
                      <a:ext cx="1283970" cy="324485"/>
                    </a:xfrm>
                    <a:prstGeom prst="rect">
                      <a:avLst/>
                    </a:prstGeom>
                    <a:noFill/>
                    <a:ln>
                      <a:noFill/>
                    </a:ln>
                  </pic:spPr>
                </pic:pic>
              </a:graphicData>
            </a:graphic>
          </wp:inline>
        </w:drawing>
      </w:r>
      <w:r>
        <w:t>, (10.5)</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4"/>
        </w:rPr>
        <w:drawing>
          <wp:inline distT="0" distB="0" distL="0" distR="0">
            <wp:extent cx="156845" cy="198755"/>
            <wp:effectExtent l="0" t="0" r="0" b="0"/>
            <wp:docPr id="19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1"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19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2"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гибкость соответственно всего элемента и его ветви;</w:t>
      </w:r>
    </w:p>
    <w:p w:rsidR="00212513" w:rsidRDefault="00212513">
      <w:pPr>
        <w:pStyle w:val="ConsPlusNormal"/>
        <w:spacing w:before="220"/>
        <w:ind w:firstLine="540"/>
        <w:jc w:val="both"/>
      </w:pPr>
      <w:r>
        <w:rPr>
          <w:noProof/>
          <w:position w:val="-8"/>
        </w:rPr>
        <w:drawing>
          <wp:inline distT="0" distB="0" distL="0" distR="0">
            <wp:extent cx="209550" cy="251460"/>
            <wp:effectExtent l="0" t="0" r="0" b="0"/>
            <wp:docPr id="19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 приведенной гибкости, определяемый по формуле</w:t>
      </w:r>
    </w:p>
    <w:p w:rsidR="00212513" w:rsidRDefault="00212513">
      <w:pPr>
        <w:pStyle w:val="ConsPlusNormal"/>
        <w:ind w:firstLine="540"/>
        <w:jc w:val="both"/>
      </w:pPr>
    </w:p>
    <w:p w:rsidR="00212513" w:rsidRDefault="00212513">
      <w:pPr>
        <w:pStyle w:val="ConsPlusNormal"/>
        <w:jc w:val="center"/>
      </w:pPr>
      <w:r>
        <w:rPr>
          <w:noProof/>
          <w:position w:val="-32"/>
        </w:rPr>
        <w:drawing>
          <wp:inline distT="0" distB="0" distL="0" distR="0">
            <wp:extent cx="1341120" cy="553085"/>
            <wp:effectExtent l="0" t="0" r="0" b="0"/>
            <wp:docPr id="19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4" cstate="print">
                      <a:extLst>
                        <a:ext uri="{28A0092B-C50C-407E-A947-70E740481C1C}">
                          <a14:useLocalDpi xmlns:a14="http://schemas.microsoft.com/office/drawing/2010/main" val="0"/>
                        </a:ext>
                      </a:extLst>
                    </a:blip>
                    <a:srcRect/>
                    <a:stretch>
                      <a:fillRect/>
                    </a:stretch>
                  </pic:blipFill>
                  <pic:spPr bwMode="auto">
                    <a:xfrm>
                      <a:off x="0" y="0"/>
                      <a:ext cx="1341120" cy="553085"/>
                    </a:xfrm>
                    <a:prstGeom prst="rect">
                      <a:avLst/>
                    </a:prstGeom>
                    <a:noFill/>
                    <a:ln>
                      <a:noFill/>
                    </a:ln>
                  </pic:spPr>
                </pic:pic>
              </a:graphicData>
            </a:graphic>
          </wp:inline>
        </w:drawing>
      </w:r>
      <w:r>
        <w:t>, (10.6)</w:t>
      </w:r>
    </w:p>
    <w:p w:rsidR="00212513" w:rsidRDefault="00212513">
      <w:pPr>
        <w:pStyle w:val="ConsPlusNormal"/>
        <w:ind w:firstLine="540"/>
        <w:jc w:val="both"/>
      </w:pPr>
    </w:p>
    <w:p w:rsidR="00212513" w:rsidRDefault="00212513">
      <w:pPr>
        <w:pStyle w:val="ConsPlusNormal"/>
        <w:ind w:firstLine="540"/>
        <w:jc w:val="both"/>
      </w:pPr>
      <w:r>
        <w:t xml:space="preserve">здесь </w:t>
      </w:r>
      <w:r>
        <w:rPr>
          <w:noProof/>
          <w:position w:val="-8"/>
        </w:rPr>
        <w:drawing>
          <wp:inline distT="0" distB="0" distL="0" distR="0">
            <wp:extent cx="137160" cy="250825"/>
            <wp:effectExtent l="0" t="0" r="0" b="0"/>
            <wp:docPr id="19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5"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 расчетная длина элемента, м;</w:t>
      </w:r>
    </w:p>
    <w:p w:rsidR="00212513" w:rsidRDefault="00212513">
      <w:pPr>
        <w:pStyle w:val="ConsPlusNormal"/>
        <w:spacing w:before="220"/>
        <w:ind w:firstLine="540"/>
        <w:jc w:val="both"/>
      </w:pPr>
      <w:r>
        <w:rPr>
          <w:i/>
        </w:rPr>
        <w:t>a</w:t>
      </w:r>
      <w:r>
        <w:t xml:space="preserve"> - размер поперечного сечения элемента в плоскости изгиба, см;</w:t>
      </w:r>
    </w:p>
    <w:p w:rsidR="00212513" w:rsidRDefault="00212513">
      <w:pPr>
        <w:pStyle w:val="ConsPlusNormal"/>
        <w:spacing w:before="220"/>
        <w:ind w:firstLine="540"/>
        <w:jc w:val="both"/>
      </w:pPr>
      <w:r>
        <w:rPr>
          <w:noProof/>
          <w:position w:val="-9"/>
        </w:rPr>
        <w:drawing>
          <wp:inline distT="0" distB="0" distL="0" distR="0">
            <wp:extent cx="209550" cy="262890"/>
            <wp:effectExtent l="0" t="0" r="0" b="0"/>
            <wp:docPr id="19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6"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 число швов между ветвями элемента;</w:t>
      </w:r>
    </w:p>
    <w:p w:rsidR="00212513" w:rsidRDefault="00212513">
      <w:pPr>
        <w:pStyle w:val="ConsPlusNormal"/>
        <w:spacing w:before="220"/>
        <w:ind w:firstLine="540"/>
        <w:jc w:val="both"/>
      </w:pPr>
      <w:r>
        <w:rPr>
          <w:noProof/>
          <w:position w:val="-9"/>
        </w:rPr>
        <w:drawing>
          <wp:inline distT="0" distB="0" distL="0" distR="0">
            <wp:extent cx="177800" cy="262890"/>
            <wp:effectExtent l="0" t="0" r="0" b="0"/>
            <wp:docPr id="19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7"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 число срезов связей в одном шве на 1 м элемента;</w:t>
      </w:r>
    </w:p>
    <w:p w:rsidR="00212513" w:rsidRDefault="00212513">
      <w:pPr>
        <w:pStyle w:val="ConsPlusNormal"/>
        <w:spacing w:before="220"/>
        <w:ind w:firstLine="540"/>
        <w:jc w:val="both"/>
      </w:pPr>
      <w:r>
        <w:rPr>
          <w:i/>
        </w:rPr>
        <w:t>d</w:t>
      </w:r>
      <w:r>
        <w:t xml:space="preserve"> - коэффициент податливости соединений, определяемый по </w:t>
      </w:r>
      <w:hyperlink w:anchor="P10512">
        <w:r>
          <w:rPr>
            <w:color w:val="0000FF"/>
          </w:rPr>
          <w:t>таблице 10.7</w:t>
        </w:r>
      </w:hyperlink>
      <w:r>
        <w:t>;</w:t>
      </w:r>
    </w:p>
    <w:p w:rsidR="00212513" w:rsidRDefault="00212513">
      <w:pPr>
        <w:pStyle w:val="ConsPlusNormal"/>
        <w:spacing w:before="220"/>
        <w:ind w:firstLine="540"/>
        <w:jc w:val="both"/>
      </w:pPr>
      <w:r>
        <w:rPr>
          <w:i/>
        </w:rPr>
        <w:t>b</w:t>
      </w:r>
      <w:r>
        <w:t xml:space="preserve"> - полная ширина сечения элемента, см.</w:t>
      </w:r>
    </w:p>
    <w:p w:rsidR="00212513" w:rsidRDefault="00212513">
      <w:pPr>
        <w:pStyle w:val="ConsPlusNormal"/>
        <w:spacing w:before="220"/>
        <w:ind w:firstLine="540"/>
        <w:jc w:val="both"/>
      </w:pPr>
      <w:r>
        <w:t>Примечания</w:t>
      </w:r>
    </w:p>
    <w:p w:rsidR="00212513" w:rsidRDefault="00212513">
      <w:pPr>
        <w:pStyle w:val="ConsPlusNormal"/>
        <w:spacing w:before="220"/>
        <w:ind w:firstLine="540"/>
        <w:jc w:val="both"/>
      </w:pPr>
      <w:r>
        <w:t xml:space="preserve">1 Гибкость </w:t>
      </w:r>
      <w:r>
        <w:rPr>
          <w:noProof/>
          <w:position w:val="-4"/>
        </w:rPr>
        <w:drawing>
          <wp:inline distT="0" distB="0" distL="0" distR="0">
            <wp:extent cx="156845" cy="198755"/>
            <wp:effectExtent l="0" t="0" r="0" b="0"/>
            <wp:docPr id="19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1"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и </w:t>
      </w:r>
      <w:r>
        <w:rPr>
          <w:noProof/>
          <w:position w:val="-8"/>
        </w:rPr>
        <w:drawing>
          <wp:inline distT="0" distB="0" distL="0" distR="0">
            <wp:extent cx="198755" cy="250825"/>
            <wp:effectExtent l="0" t="0" r="0" b="0"/>
            <wp:docPr id="19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2"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определяется по расчетной длине элемента </w:t>
      </w:r>
      <w:r>
        <w:rPr>
          <w:noProof/>
          <w:position w:val="-8"/>
        </w:rPr>
        <w:drawing>
          <wp:inline distT="0" distB="0" distL="0" distR="0">
            <wp:extent cx="137160" cy="250825"/>
            <wp:effectExtent l="0" t="0" r="0" b="0"/>
            <wp:docPr id="19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5"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и расстоянию </w:t>
      </w:r>
      <w:r>
        <w:rPr>
          <w:noProof/>
          <w:position w:val="-8"/>
        </w:rPr>
        <w:drawing>
          <wp:inline distT="0" distB="0" distL="0" distR="0">
            <wp:extent cx="156845" cy="251460"/>
            <wp:effectExtent l="0" t="0" r="0" b="0"/>
            <wp:docPr id="19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8"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между связями как для цельных элементов.</w:t>
      </w:r>
    </w:p>
    <w:p w:rsidR="00212513" w:rsidRDefault="00212513">
      <w:pPr>
        <w:pStyle w:val="ConsPlusNormal"/>
        <w:spacing w:before="220"/>
        <w:ind w:firstLine="540"/>
        <w:jc w:val="both"/>
      </w:pPr>
      <w:r>
        <w:t xml:space="preserve">2 При расчетной длине ветви </w:t>
      </w:r>
      <w:r>
        <w:rPr>
          <w:noProof/>
          <w:position w:val="-8"/>
        </w:rPr>
        <w:drawing>
          <wp:inline distT="0" distB="0" distL="0" distR="0">
            <wp:extent cx="156845" cy="251460"/>
            <wp:effectExtent l="0" t="0" r="0" b="0"/>
            <wp:docPr id="19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8"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не превышающей семикратной ее толщины, допускается принимать </w:t>
      </w:r>
      <w:r>
        <w:rPr>
          <w:noProof/>
          <w:position w:val="-8"/>
        </w:rPr>
        <w:drawing>
          <wp:inline distT="0" distB="0" distL="0" distR="0">
            <wp:extent cx="461010" cy="251460"/>
            <wp:effectExtent l="0" t="0" r="0" b="0"/>
            <wp:docPr id="19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9" cstate="print">
                      <a:extLst>
                        <a:ext uri="{28A0092B-C50C-407E-A947-70E740481C1C}">
                          <a14:useLocalDpi xmlns:a14="http://schemas.microsoft.com/office/drawing/2010/main" val="0"/>
                        </a:ext>
                      </a:extLst>
                    </a:blip>
                    <a:srcRect/>
                    <a:stretch>
                      <a:fillRect/>
                    </a:stretch>
                  </pic:blipFill>
                  <pic:spPr bwMode="auto">
                    <a:xfrm>
                      <a:off x="0" y="0"/>
                      <a:ext cx="461010" cy="251460"/>
                    </a:xfrm>
                    <a:prstGeom prst="rect">
                      <a:avLst/>
                    </a:prstGeom>
                    <a:noFill/>
                    <a:ln>
                      <a:noFill/>
                    </a:ln>
                  </pic:spPr>
                </pic:pic>
              </a:graphicData>
            </a:graphic>
          </wp:inline>
        </w:drawing>
      </w:r>
      <w:r>
        <w:t>.</w:t>
      </w:r>
    </w:p>
    <w:p w:rsidR="00212513" w:rsidRDefault="00212513">
      <w:pPr>
        <w:pStyle w:val="ConsPlusNormal"/>
        <w:ind w:firstLine="540"/>
        <w:jc w:val="both"/>
      </w:pPr>
    </w:p>
    <w:p w:rsidR="00212513" w:rsidRDefault="00212513">
      <w:pPr>
        <w:pStyle w:val="ConsPlusNormal"/>
        <w:jc w:val="right"/>
      </w:pPr>
      <w:bookmarkStart w:id="442" w:name="P10512"/>
      <w:bookmarkEnd w:id="442"/>
      <w:r>
        <w:t>Таблица 10.7</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2833"/>
        <w:gridCol w:w="2834"/>
      </w:tblGrid>
      <w:tr w:rsidR="00212513">
        <w:tc>
          <w:tcPr>
            <w:tcW w:w="2268" w:type="dxa"/>
            <w:vMerge w:val="restart"/>
            <w:tcBorders>
              <w:top w:val="single" w:sz="4" w:space="0" w:color="auto"/>
              <w:bottom w:val="single" w:sz="4" w:space="0" w:color="auto"/>
            </w:tcBorders>
            <w:vAlign w:val="center"/>
          </w:tcPr>
          <w:p w:rsidR="00212513" w:rsidRDefault="00212513">
            <w:pPr>
              <w:pStyle w:val="ConsPlusNormal"/>
              <w:jc w:val="center"/>
            </w:pPr>
            <w:r>
              <w:t>Вид связей</w:t>
            </w:r>
          </w:p>
        </w:tc>
        <w:tc>
          <w:tcPr>
            <w:tcW w:w="5667" w:type="dxa"/>
            <w:gridSpan w:val="2"/>
            <w:tcBorders>
              <w:top w:val="single" w:sz="4" w:space="0" w:color="auto"/>
              <w:bottom w:val="single" w:sz="4" w:space="0" w:color="auto"/>
            </w:tcBorders>
            <w:vAlign w:val="center"/>
          </w:tcPr>
          <w:p w:rsidR="00212513" w:rsidRDefault="00212513">
            <w:pPr>
              <w:pStyle w:val="ConsPlusNormal"/>
              <w:jc w:val="center"/>
            </w:pPr>
            <w:r>
              <w:t xml:space="preserve">Значение коэффициента податливости соединений </w:t>
            </w:r>
            <w:r>
              <w:rPr>
                <w:noProof/>
                <w:position w:val="-4"/>
              </w:rPr>
              <w:drawing>
                <wp:inline distT="0" distB="0" distL="0" distR="0">
                  <wp:extent cx="156845" cy="198755"/>
                  <wp:effectExtent l="0" t="0" r="0" b="0"/>
                  <wp:docPr id="19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0"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при сжатии</w:t>
            </w:r>
          </w:p>
        </w:tc>
      </w:tr>
      <w:tr w:rsidR="00212513">
        <w:tc>
          <w:tcPr>
            <w:tcW w:w="2268" w:type="dxa"/>
            <w:vMerge/>
            <w:tcBorders>
              <w:top w:val="single" w:sz="4" w:space="0" w:color="auto"/>
              <w:bottom w:val="single" w:sz="4" w:space="0" w:color="auto"/>
            </w:tcBorders>
          </w:tcPr>
          <w:p w:rsidR="00212513" w:rsidRDefault="00212513">
            <w:pPr>
              <w:pStyle w:val="ConsPlusNormal"/>
            </w:pPr>
          </w:p>
        </w:tc>
        <w:tc>
          <w:tcPr>
            <w:tcW w:w="2833" w:type="dxa"/>
            <w:tcBorders>
              <w:top w:val="single" w:sz="4" w:space="0" w:color="auto"/>
              <w:bottom w:val="single" w:sz="4" w:space="0" w:color="auto"/>
            </w:tcBorders>
            <w:vAlign w:val="center"/>
          </w:tcPr>
          <w:p w:rsidR="00212513" w:rsidRDefault="00212513">
            <w:pPr>
              <w:pStyle w:val="ConsPlusNormal"/>
              <w:jc w:val="center"/>
            </w:pPr>
            <w:r>
              <w:t>центральном</w:t>
            </w:r>
          </w:p>
        </w:tc>
        <w:tc>
          <w:tcPr>
            <w:tcW w:w="2834" w:type="dxa"/>
            <w:tcBorders>
              <w:top w:val="single" w:sz="4" w:space="0" w:color="auto"/>
              <w:bottom w:val="single" w:sz="4" w:space="0" w:color="auto"/>
            </w:tcBorders>
            <w:vAlign w:val="center"/>
          </w:tcPr>
          <w:p w:rsidR="00212513" w:rsidRDefault="00212513">
            <w:pPr>
              <w:pStyle w:val="ConsPlusNormal"/>
              <w:jc w:val="center"/>
            </w:pPr>
            <w:r>
              <w:t>с изгибом</w:t>
            </w:r>
          </w:p>
        </w:tc>
      </w:tr>
      <w:tr w:rsidR="00212513">
        <w:tblPrEx>
          <w:tblBorders>
            <w:insideH w:val="none" w:sz="0" w:space="0" w:color="auto"/>
          </w:tblBorders>
        </w:tblPrEx>
        <w:tc>
          <w:tcPr>
            <w:tcW w:w="2268" w:type="dxa"/>
            <w:tcBorders>
              <w:top w:val="single" w:sz="4" w:space="0" w:color="auto"/>
              <w:bottom w:val="nil"/>
            </w:tcBorders>
          </w:tcPr>
          <w:p w:rsidR="00212513" w:rsidRDefault="00212513">
            <w:pPr>
              <w:pStyle w:val="ConsPlusNormal"/>
            </w:pPr>
            <w:r>
              <w:t>Стальные нагели:</w:t>
            </w:r>
          </w:p>
        </w:tc>
        <w:tc>
          <w:tcPr>
            <w:tcW w:w="2833" w:type="dxa"/>
            <w:tcBorders>
              <w:top w:val="single" w:sz="4" w:space="0" w:color="auto"/>
              <w:bottom w:val="nil"/>
            </w:tcBorders>
            <w:vAlign w:val="bottom"/>
          </w:tcPr>
          <w:p w:rsidR="00212513" w:rsidRDefault="00212513">
            <w:pPr>
              <w:pStyle w:val="ConsPlusNormal"/>
            </w:pPr>
          </w:p>
        </w:tc>
        <w:tc>
          <w:tcPr>
            <w:tcW w:w="2834" w:type="dxa"/>
            <w:tcBorders>
              <w:top w:val="single" w:sz="4" w:space="0" w:color="auto"/>
              <w:bottom w:val="nil"/>
            </w:tcBorders>
            <w:vAlign w:val="bottom"/>
          </w:tcPr>
          <w:p w:rsidR="00212513" w:rsidRDefault="00212513">
            <w:pPr>
              <w:pStyle w:val="ConsPlusNormal"/>
            </w:pPr>
          </w:p>
        </w:tc>
      </w:tr>
      <w:tr w:rsidR="00212513">
        <w:tblPrEx>
          <w:tblBorders>
            <w:insideH w:val="none" w:sz="0" w:space="0" w:color="auto"/>
          </w:tblBorders>
        </w:tblPrEx>
        <w:tc>
          <w:tcPr>
            <w:tcW w:w="2268" w:type="dxa"/>
            <w:tcBorders>
              <w:top w:val="nil"/>
              <w:bottom w:val="nil"/>
            </w:tcBorders>
          </w:tcPr>
          <w:p w:rsidR="00212513" w:rsidRDefault="00212513">
            <w:pPr>
              <w:pStyle w:val="ConsPlusNormal"/>
            </w:pPr>
            <w:r>
              <w:rPr>
                <w:noProof/>
                <w:position w:val="-22"/>
              </w:rPr>
              <w:drawing>
                <wp:inline distT="0" distB="0" distL="0" distR="0">
                  <wp:extent cx="502285" cy="428625"/>
                  <wp:effectExtent l="0" t="0" r="0" b="0"/>
                  <wp:docPr id="19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1" cstate="print">
                            <a:extLst>
                              <a:ext uri="{28A0092B-C50C-407E-A947-70E740481C1C}">
                                <a14:useLocalDpi xmlns:a14="http://schemas.microsoft.com/office/drawing/2010/main" val="0"/>
                              </a:ext>
                            </a:extLst>
                          </a:blip>
                          <a:srcRect/>
                          <a:stretch>
                            <a:fillRect/>
                          </a:stretch>
                        </pic:blipFill>
                        <pic:spPr bwMode="auto">
                          <a:xfrm>
                            <a:off x="0" y="0"/>
                            <a:ext cx="502285" cy="428625"/>
                          </a:xfrm>
                          <a:prstGeom prst="rect">
                            <a:avLst/>
                          </a:prstGeom>
                          <a:noFill/>
                          <a:ln>
                            <a:noFill/>
                          </a:ln>
                        </pic:spPr>
                      </pic:pic>
                    </a:graphicData>
                  </a:graphic>
                </wp:inline>
              </w:drawing>
            </w:r>
          </w:p>
        </w:tc>
        <w:tc>
          <w:tcPr>
            <w:tcW w:w="2833" w:type="dxa"/>
            <w:tcBorders>
              <w:top w:val="nil"/>
              <w:bottom w:val="nil"/>
            </w:tcBorders>
          </w:tcPr>
          <w:p w:rsidR="00212513" w:rsidRDefault="00212513">
            <w:pPr>
              <w:pStyle w:val="ConsPlusNormal"/>
              <w:jc w:val="center"/>
            </w:pPr>
            <w:r>
              <w:rPr>
                <w:noProof/>
                <w:position w:val="-22"/>
              </w:rPr>
              <w:drawing>
                <wp:inline distT="0" distB="0" distL="0" distR="0">
                  <wp:extent cx="335280" cy="428625"/>
                  <wp:effectExtent l="0" t="0" r="0" b="0"/>
                  <wp:docPr id="19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2" cstate="print">
                            <a:extLst>
                              <a:ext uri="{28A0092B-C50C-407E-A947-70E740481C1C}">
                                <a14:useLocalDpi xmlns:a14="http://schemas.microsoft.com/office/drawing/2010/main" val="0"/>
                              </a:ext>
                            </a:extLst>
                          </a:blip>
                          <a:srcRect/>
                          <a:stretch>
                            <a:fillRect/>
                          </a:stretch>
                        </pic:blipFill>
                        <pic:spPr bwMode="auto">
                          <a:xfrm>
                            <a:off x="0" y="0"/>
                            <a:ext cx="335280" cy="428625"/>
                          </a:xfrm>
                          <a:prstGeom prst="rect">
                            <a:avLst/>
                          </a:prstGeom>
                          <a:noFill/>
                          <a:ln>
                            <a:noFill/>
                          </a:ln>
                        </pic:spPr>
                      </pic:pic>
                    </a:graphicData>
                  </a:graphic>
                </wp:inline>
              </w:drawing>
            </w:r>
          </w:p>
        </w:tc>
        <w:tc>
          <w:tcPr>
            <w:tcW w:w="2834" w:type="dxa"/>
            <w:tcBorders>
              <w:top w:val="nil"/>
              <w:bottom w:val="nil"/>
            </w:tcBorders>
          </w:tcPr>
          <w:p w:rsidR="00212513" w:rsidRDefault="00212513">
            <w:pPr>
              <w:pStyle w:val="ConsPlusNormal"/>
              <w:jc w:val="center"/>
            </w:pPr>
            <w:r>
              <w:rPr>
                <w:noProof/>
                <w:position w:val="-25"/>
              </w:rPr>
              <w:drawing>
                <wp:inline distT="0" distB="0" distL="0" distR="0">
                  <wp:extent cx="470535" cy="461010"/>
                  <wp:effectExtent l="0" t="0" r="0" b="0"/>
                  <wp:docPr id="19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3" cstate="print">
                            <a:extLst>
                              <a:ext uri="{28A0092B-C50C-407E-A947-70E740481C1C}">
                                <a14:useLocalDpi xmlns:a14="http://schemas.microsoft.com/office/drawing/2010/main" val="0"/>
                              </a:ext>
                            </a:extLst>
                          </a:blip>
                          <a:srcRect/>
                          <a:stretch>
                            <a:fillRect/>
                          </a:stretch>
                        </pic:blipFill>
                        <pic:spPr bwMode="auto">
                          <a:xfrm>
                            <a:off x="0" y="0"/>
                            <a:ext cx="470535" cy="461010"/>
                          </a:xfrm>
                          <a:prstGeom prst="rect">
                            <a:avLst/>
                          </a:prstGeom>
                          <a:noFill/>
                          <a:ln>
                            <a:noFill/>
                          </a:ln>
                        </pic:spPr>
                      </pic:pic>
                    </a:graphicData>
                  </a:graphic>
                </wp:inline>
              </w:drawing>
            </w:r>
          </w:p>
        </w:tc>
      </w:tr>
      <w:tr w:rsidR="00212513">
        <w:tblPrEx>
          <w:tblBorders>
            <w:insideH w:val="none" w:sz="0" w:space="0" w:color="auto"/>
          </w:tblBorders>
        </w:tblPrEx>
        <w:tc>
          <w:tcPr>
            <w:tcW w:w="2268" w:type="dxa"/>
            <w:tcBorders>
              <w:top w:val="nil"/>
              <w:bottom w:val="nil"/>
            </w:tcBorders>
          </w:tcPr>
          <w:p w:rsidR="00212513" w:rsidRDefault="00212513">
            <w:pPr>
              <w:pStyle w:val="ConsPlusNormal"/>
            </w:pPr>
            <w:r>
              <w:rPr>
                <w:noProof/>
                <w:position w:val="-22"/>
              </w:rPr>
              <w:drawing>
                <wp:inline distT="0" distB="0" distL="0" distR="0">
                  <wp:extent cx="502285" cy="428625"/>
                  <wp:effectExtent l="0" t="0" r="0" b="0"/>
                  <wp:docPr id="19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4" cstate="print">
                            <a:extLst>
                              <a:ext uri="{28A0092B-C50C-407E-A947-70E740481C1C}">
                                <a14:useLocalDpi xmlns:a14="http://schemas.microsoft.com/office/drawing/2010/main" val="0"/>
                              </a:ext>
                            </a:extLst>
                          </a:blip>
                          <a:srcRect/>
                          <a:stretch>
                            <a:fillRect/>
                          </a:stretch>
                        </pic:blipFill>
                        <pic:spPr bwMode="auto">
                          <a:xfrm>
                            <a:off x="0" y="0"/>
                            <a:ext cx="502285" cy="428625"/>
                          </a:xfrm>
                          <a:prstGeom prst="rect">
                            <a:avLst/>
                          </a:prstGeom>
                          <a:noFill/>
                          <a:ln>
                            <a:noFill/>
                          </a:ln>
                        </pic:spPr>
                      </pic:pic>
                    </a:graphicData>
                  </a:graphic>
                </wp:inline>
              </w:drawing>
            </w:r>
          </w:p>
        </w:tc>
        <w:tc>
          <w:tcPr>
            <w:tcW w:w="2833" w:type="dxa"/>
            <w:tcBorders>
              <w:top w:val="nil"/>
              <w:bottom w:val="nil"/>
            </w:tcBorders>
          </w:tcPr>
          <w:p w:rsidR="00212513" w:rsidRDefault="00212513">
            <w:pPr>
              <w:pStyle w:val="ConsPlusNormal"/>
              <w:jc w:val="center"/>
            </w:pPr>
            <w:r>
              <w:rPr>
                <w:noProof/>
                <w:position w:val="-22"/>
              </w:rPr>
              <w:drawing>
                <wp:inline distT="0" distB="0" distL="0" distR="0">
                  <wp:extent cx="262890" cy="428625"/>
                  <wp:effectExtent l="0" t="0" r="0" b="0"/>
                  <wp:docPr id="19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5" cstate="print">
                            <a:extLst>
                              <a:ext uri="{28A0092B-C50C-407E-A947-70E740481C1C}">
                                <a14:useLocalDpi xmlns:a14="http://schemas.microsoft.com/office/drawing/2010/main" val="0"/>
                              </a:ext>
                            </a:extLst>
                          </a:blip>
                          <a:srcRect/>
                          <a:stretch>
                            <a:fillRect/>
                          </a:stretch>
                        </pic:blipFill>
                        <pic:spPr bwMode="auto">
                          <a:xfrm>
                            <a:off x="0" y="0"/>
                            <a:ext cx="262890" cy="428625"/>
                          </a:xfrm>
                          <a:prstGeom prst="rect">
                            <a:avLst/>
                          </a:prstGeom>
                          <a:noFill/>
                          <a:ln>
                            <a:noFill/>
                          </a:ln>
                        </pic:spPr>
                      </pic:pic>
                    </a:graphicData>
                  </a:graphic>
                </wp:inline>
              </w:drawing>
            </w:r>
          </w:p>
        </w:tc>
        <w:tc>
          <w:tcPr>
            <w:tcW w:w="2834" w:type="dxa"/>
            <w:tcBorders>
              <w:top w:val="nil"/>
              <w:bottom w:val="nil"/>
            </w:tcBorders>
          </w:tcPr>
          <w:p w:rsidR="00212513" w:rsidRDefault="00212513">
            <w:pPr>
              <w:pStyle w:val="ConsPlusNormal"/>
              <w:jc w:val="center"/>
            </w:pPr>
            <w:r>
              <w:rPr>
                <w:noProof/>
                <w:position w:val="-22"/>
              </w:rPr>
              <w:drawing>
                <wp:inline distT="0" distB="0" distL="0" distR="0">
                  <wp:extent cx="220980" cy="428625"/>
                  <wp:effectExtent l="0" t="0" r="0" b="0"/>
                  <wp:docPr id="19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6" cstate="print">
                            <a:extLst>
                              <a:ext uri="{28A0092B-C50C-407E-A947-70E740481C1C}">
                                <a14:useLocalDpi xmlns:a14="http://schemas.microsoft.com/office/drawing/2010/main" val="0"/>
                              </a:ext>
                            </a:extLst>
                          </a:blip>
                          <a:srcRect/>
                          <a:stretch>
                            <a:fillRect/>
                          </a:stretch>
                        </pic:blipFill>
                        <pic:spPr bwMode="auto">
                          <a:xfrm>
                            <a:off x="0" y="0"/>
                            <a:ext cx="220980" cy="428625"/>
                          </a:xfrm>
                          <a:prstGeom prst="rect">
                            <a:avLst/>
                          </a:prstGeom>
                          <a:noFill/>
                          <a:ln>
                            <a:noFill/>
                          </a:ln>
                        </pic:spPr>
                      </pic:pic>
                    </a:graphicData>
                  </a:graphic>
                </wp:inline>
              </w:drawing>
            </w:r>
          </w:p>
        </w:tc>
      </w:tr>
      <w:tr w:rsidR="00212513">
        <w:tblPrEx>
          <w:tblBorders>
            <w:insideH w:val="none" w:sz="0" w:space="0" w:color="auto"/>
          </w:tblBorders>
        </w:tblPrEx>
        <w:tc>
          <w:tcPr>
            <w:tcW w:w="2268" w:type="dxa"/>
            <w:tcBorders>
              <w:top w:val="nil"/>
              <w:bottom w:val="single" w:sz="4" w:space="0" w:color="auto"/>
            </w:tcBorders>
          </w:tcPr>
          <w:p w:rsidR="00212513" w:rsidRDefault="00212513">
            <w:pPr>
              <w:pStyle w:val="ConsPlusNormal"/>
            </w:pPr>
            <w:r>
              <w:t>Гвозди и дюбели</w:t>
            </w:r>
          </w:p>
        </w:tc>
        <w:tc>
          <w:tcPr>
            <w:tcW w:w="2833" w:type="dxa"/>
            <w:tcBorders>
              <w:top w:val="nil"/>
              <w:bottom w:val="single" w:sz="4" w:space="0" w:color="auto"/>
            </w:tcBorders>
          </w:tcPr>
          <w:p w:rsidR="00212513" w:rsidRDefault="00212513">
            <w:pPr>
              <w:pStyle w:val="ConsPlusNormal"/>
              <w:jc w:val="center"/>
            </w:pPr>
            <w:r>
              <w:rPr>
                <w:noProof/>
                <w:position w:val="-22"/>
              </w:rPr>
              <w:drawing>
                <wp:inline distT="0" distB="0" distL="0" distR="0">
                  <wp:extent cx="408940" cy="428625"/>
                  <wp:effectExtent l="0" t="0" r="0" b="0"/>
                  <wp:docPr id="19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7" cstate="print">
                            <a:extLst>
                              <a:ext uri="{28A0092B-C50C-407E-A947-70E740481C1C}">
                                <a14:useLocalDpi xmlns:a14="http://schemas.microsoft.com/office/drawing/2010/main" val="0"/>
                              </a:ext>
                            </a:extLst>
                          </a:blip>
                          <a:srcRect/>
                          <a:stretch>
                            <a:fillRect/>
                          </a:stretch>
                        </pic:blipFill>
                        <pic:spPr bwMode="auto">
                          <a:xfrm>
                            <a:off x="0" y="0"/>
                            <a:ext cx="408940" cy="428625"/>
                          </a:xfrm>
                          <a:prstGeom prst="rect">
                            <a:avLst/>
                          </a:prstGeom>
                          <a:noFill/>
                          <a:ln>
                            <a:noFill/>
                          </a:ln>
                        </pic:spPr>
                      </pic:pic>
                    </a:graphicData>
                  </a:graphic>
                </wp:inline>
              </w:drawing>
            </w:r>
          </w:p>
        </w:tc>
        <w:tc>
          <w:tcPr>
            <w:tcW w:w="2834" w:type="dxa"/>
            <w:tcBorders>
              <w:top w:val="nil"/>
              <w:bottom w:val="single" w:sz="4" w:space="0" w:color="auto"/>
            </w:tcBorders>
          </w:tcPr>
          <w:p w:rsidR="00212513" w:rsidRDefault="00212513">
            <w:pPr>
              <w:pStyle w:val="ConsPlusNormal"/>
              <w:jc w:val="center"/>
            </w:pPr>
            <w:r>
              <w:rPr>
                <w:noProof/>
                <w:position w:val="-22"/>
              </w:rPr>
              <w:drawing>
                <wp:inline distT="0" distB="0" distL="0" distR="0">
                  <wp:extent cx="335280" cy="428625"/>
                  <wp:effectExtent l="0" t="0" r="0" b="0"/>
                  <wp:docPr id="19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8" cstate="print">
                            <a:extLst>
                              <a:ext uri="{28A0092B-C50C-407E-A947-70E740481C1C}">
                                <a14:useLocalDpi xmlns:a14="http://schemas.microsoft.com/office/drawing/2010/main" val="0"/>
                              </a:ext>
                            </a:extLst>
                          </a:blip>
                          <a:srcRect/>
                          <a:stretch>
                            <a:fillRect/>
                          </a:stretch>
                        </pic:blipFill>
                        <pic:spPr bwMode="auto">
                          <a:xfrm>
                            <a:off x="0" y="0"/>
                            <a:ext cx="335280" cy="428625"/>
                          </a:xfrm>
                          <a:prstGeom prst="rect">
                            <a:avLst/>
                          </a:prstGeom>
                          <a:noFill/>
                          <a:ln>
                            <a:noFill/>
                          </a:ln>
                        </pic:spPr>
                      </pic:pic>
                    </a:graphicData>
                  </a:graphic>
                </wp:inline>
              </w:drawing>
            </w:r>
          </w:p>
        </w:tc>
      </w:tr>
      <w:tr w:rsidR="00212513">
        <w:tc>
          <w:tcPr>
            <w:tcW w:w="7935" w:type="dxa"/>
            <w:gridSpan w:val="3"/>
            <w:tcBorders>
              <w:top w:val="single" w:sz="4" w:space="0" w:color="auto"/>
              <w:bottom w:val="single" w:sz="4" w:space="0" w:color="auto"/>
            </w:tcBorders>
          </w:tcPr>
          <w:p w:rsidR="00212513" w:rsidRDefault="00212513">
            <w:pPr>
              <w:pStyle w:val="ConsPlusNormal"/>
              <w:ind w:firstLine="283"/>
              <w:jc w:val="both"/>
            </w:pPr>
            <w:r>
              <w:rPr>
                <w:i/>
              </w:rPr>
              <w:t xml:space="preserve">Обозначения, принятые в </w:t>
            </w:r>
            <w:hyperlink w:anchor="P10512">
              <w:r>
                <w:rPr>
                  <w:i/>
                  <w:color w:val="0000FF"/>
                </w:rPr>
                <w:t>таблице 10.7</w:t>
              </w:r>
            </w:hyperlink>
            <w:r>
              <w:rPr>
                <w:i/>
              </w:rPr>
              <w:t>:</w:t>
            </w:r>
          </w:p>
          <w:p w:rsidR="00212513" w:rsidRDefault="00212513">
            <w:pPr>
              <w:pStyle w:val="ConsPlusNormal"/>
              <w:ind w:firstLine="283"/>
              <w:jc w:val="both"/>
            </w:pPr>
            <w:r>
              <w:rPr>
                <w:i/>
              </w:rPr>
              <w:lastRenderedPageBreak/>
              <w:t>t</w:t>
            </w:r>
            <w:r>
              <w:t xml:space="preserve"> - толщина наиболее тонкого из соединяемых элементов, см;</w:t>
            </w:r>
          </w:p>
          <w:p w:rsidR="00212513" w:rsidRDefault="00212513">
            <w:pPr>
              <w:pStyle w:val="ConsPlusNormal"/>
              <w:ind w:firstLine="283"/>
              <w:jc w:val="both"/>
            </w:pPr>
            <w:r>
              <w:rPr>
                <w:i/>
              </w:rPr>
              <w:t>d</w:t>
            </w:r>
            <w:r>
              <w:t xml:space="preserve"> - диаметр гвоздя, дюбеля или нагеля, см.</w:t>
            </w:r>
          </w:p>
        </w:tc>
      </w:tr>
    </w:tbl>
    <w:p w:rsidR="00212513" w:rsidRDefault="00212513">
      <w:pPr>
        <w:pStyle w:val="ConsPlusNormal"/>
        <w:ind w:firstLine="540"/>
        <w:jc w:val="both"/>
      </w:pPr>
    </w:p>
    <w:p w:rsidR="00212513" w:rsidRDefault="00212513">
      <w:pPr>
        <w:pStyle w:val="ConsPlusNormal"/>
        <w:ind w:firstLine="540"/>
        <w:jc w:val="both"/>
      </w:pPr>
      <w:r>
        <w:t>10.28 При определении коэффициентов приведенной гибкости составных элементов необходимо соблюдать условия:</w:t>
      </w:r>
    </w:p>
    <w:p w:rsidR="00212513" w:rsidRDefault="00212513">
      <w:pPr>
        <w:pStyle w:val="ConsPlusNormal"/>
        <w:spacing w:before="220"/>
        <w:ind w:firstLine="540"/>
        <w:jc w:val="both"/>
      </w:pPr>
      <w:r>
        <w:t>а) гвозди и дюбели с защемлением конца менее 4</w:t>
      </w:r>
      <w:r>
        <w:rPr>
          <w:i/>
        </w:rPr>
        <w:t>d</w:t>
      </w:r>
      <w:r>
        <w:t xml:space="preserve"> не должны учитываться;</w:t>
      </w:r>
    </w:p>
    <w:p w:rsidR="00212513" w:rsidRDefault="00212513">
      <w:pPr>
        <w:pStyle w:val="ConsPlusNormal"/>
        <w:spacing w:before="220"/>
        <w:ind w:firstLine="540"/>
        <w:jc w:val="both"/>
      </w:pPr>
      <w:r>
        <w:t xml:space="preserve">б) при соединении ветвей с помощью шпонок или колодок следует принимать </w:t>
      </w:r>
      <w:r>
        <w:rPr>
          <w:noProof/>
          <w:position w:val="-8"/>
        </w:rPr>
        <w:drawing>
          <wp:inline distT="0" distB="0" distL="0" distR="0">
            <wp:extent cx="586740" cy="251460"/>
            <wp:effectExtent l="0" t="0" r="0" b="0"/>
            <wp:docPr id="19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9"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t>;</w:t>
      </w:r>
    </w:p>
    <w:p w:rsidR="00212513" w:rsidRDefault="00212513">
      <w:pPr>
        <w:pStyle w:val="ConsPlusNormal"/>
        <w:spacing w:before="220"/>
        <w:ind w:firstLine="540"/>
        <w:jc w:val="both"/>
      </w:pPr>
      <w:r>
        <w:t>в) если в швах применяются нагели двух диаметров (</w:t>
      </w:r>
      <w:r>
        <w:rPr>
          <w:noProof/>
          <w:position w:val="-8"/>
        </w:rPr>
        <w:drawing>
          <wp:inline distT="0" distB="0" distL="0" distR="0">
            <wp:extent cx="177800" cy="251460"/>
            <wp:effectExtent l="0" t="0" r="0" b="0"/>
            <wp:docPr id="19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0"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и </w:t>
      </w:r>
      <w:r>
        <w:rPr>
          <w:noProof/>
          <w:position w:val="-8"/>
        </w:rPr>
        <w:drawing>
          <wp:inline distT="0" distB="0" distL="0" distR="0">
            <wp:extent cx="198755" cy="250825"/>
            <wp:effectExtent l="0" t="0" r="0" b="0"/>
            <wp:docPr id="19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1"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то расчетное число срезов связей в шве </w:t>
      </w:r>
      <w:r>
        <w:rPr>
          <w:i/>
        </w:rPr>
        <w:t>n</w:t>
      </w:r>
      <w:r>
        <w:t xml:space="preserve"> определяется по формуле</w:t>
      </w:r>
    </w:p>
    <w:p w:rsidR="00212513" w:rsidRDefault="00212513">
      <w:pPr>
        <w:pStyle w:val="ConsPlusNormal"/>
        <w:ind w:firstLine="540"/>
        <w:jc w:val="both"/>
      </w:pPr>
    </w:p>
    <w:p w:rsidR="00212513" w:rsidRDefault="00212513">
      <w:pPr>
        <w:pStyle w:val="ConsPlusNormal"/>
        <w:jc w:val="center"/>
      </w:pPr>
      <w:r>
        <w:rPr>
          <w:noProof/>
          <w:position w:val="-26"/>
        </w:rPr>
        <w:drawing>
          <wp:inline distT="0" distB="0" distL="0" distR="0">
            <wp:extent cx="945515" cy="470535"/>
            <wp:effectExtent l="0" t="0" r="0" b="0"/>
            <wp:docPr id="19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2" cstate="print">
                      <a:extLst>
                        <a:ext uri="{28A0092B-C50C-407E-A947-70E740481C1C}">
                          <a14:useLocalDpi xmlns:a14="http://schemas.microsoft.com/office/drawing/2010/main" val="0"/>
                        </a:ext>
                      </a:extLst>
                    </a:blip>
                    <a:srcRect/>
                    <a:stretch>
                      <a:fillRect/>
                    </a:stretch>
                  </pic:blipFill>
                  <pic:spPr bwMode="auto">
                    <a:xfrm>
                      <a:off x="0" y="0"/>
                      <a:ext cx="945515" cy="470535"/>
                    </a:xfrm>
                    <a:prstGeom prst="rect">
                      <a:avLst/>
                    </a:prstGeom>
                    <a:noFill/>
                    <a:ln>
                      <a:noFill/>
                    </a:ln>
                  </pic:spPr>
                </pic:pic>
              </a:graphicData>
            </a:graphic>
          </wp:inline>
        </w:drawing>
      </w:r>
      <w:r>
        <w:t>, (10.7)</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8"/>
        </w:rPr>
        <w:drawing>
          <wp:inline distT="0" distB="0" distL="0" distR="0">
            <wp:extent cx="167640" cy="251460"/>
            <wp:effectExtent l="0" t="0" r="0" b="0"/>
            <wp:docPr id="19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3"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w:t>
      </w:r>
      <w:r>
        <w:rPr>
          <w:noProof/>
          <w:position w:val="-8"/>
        </w:rPr>
        <w:drawing>
          <wp:inline distT="0" distB="0" distL="0" distR="0">
            <wp:extent cx="167640" cy="251460"/>
            <wp:effectExtent l="0" t="0" r="0" b="0"/>
            <wp:docPr id="19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число срезов и коэффициент податливости, соответствующие нагелям диаметром </w:t>
      </w:r>
      <w:r>
        <w:rPr>
          <w:noProof/>
          <w:position w:val="-8"/>
        </w:rPr>
        <w:drawing>
          <wp:inline distT="0" distB="0" distL="0" distR="0">
            <wp:extent cx="177800" cy="251460"/>
            <wp:effectExtent l="0" t="0" r="0" b="0"/>
            <wp:docPr id="19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5"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w:t>
      </w:r>
    </w:p>
    <w:p w:rsidR="00212513" w:rsidRDefault="00212513">
      <w:pPr>
        <w:pStyle w:val="ConsPlusNormal"/>
        <w:spacing w:before="220"/>
        <w:ind w:firstLine="540"/>
        <w:jc w:val="both"/>
      </w:pPr>
      <w:r>
        <w:rPr>
          <w:noProof/>
          <w:position w:val="-8"/>
        </w:rPr>
        <w:drawing>
          <wp:inline distT="0" distB="0" distL="0" distR="0">
            <wp:extent cx="177800" cy="251460"/>
            <wp:effectExtent l="0" t="0" r="0" b="0"/>
            <wp:docPr id="19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6"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w:t>
      </w:r>
      <w:r>
        <w:rPr>
          <w:noProof/>
          <w:position w:val="-8"/>
        </w:rPr>
        <w:drawing>
          <wp:inline distT="0" distB="0" distL="0" distR="0">
            <wp:extent cx="177800" cy="251460"/>
            <wp:effectExtent l="0" t="0" r="0" b="0"/>
            <wp:docPr id="19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7"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число срезов и коэффициент податливости, соответствующие нагелям диаметром </w:t>
      </w:r>
      <w:r>
        <w:rPr>
          <w:noProof/>
          <w:position w:val="-8"/>
        </w:rPr>
        <w:drawing>
          <wp:inline distT="0" distB="0" distL="0" distR="0">
            <wp:extent cx="198755" cy="250825"/>
            <wp:effectExtent l="0" t="0" r="0" b="0"/>
            <wp:docPr id="19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8"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w:t>
      </w:r>
    </w:p>
    <w:p w:rsidR="00212513" w:rsidRDefault="00212513">
      <w:pPr>
        <w:pStyle w:val="ConsPlusNormal"/>
        <w:spacing w:before="220"/>
        <w:ind w:firstLine="540"/>
        <w:jc w:val="both"/>
      </w:pPr>
      <w:bookmarkStart w:id="443" w:name="P10543"/>
      <w:bookmarkEnd w:id="443"/>
      <w:r>
        <w:t xml:space="preserve">10.29 Коэффициент </w:t>
      </w:r>
      <w:r>
        <w:rPr>
          <w:noProof/>
          <w:position w:val="-3"/>
        </w:rPr>
        <w:drawing>
          <wp:inline distT="0" distB="0" distL="0" distR="0">
            <wp:extent cx="156845" cy="177800"/>
            <wp:effectExtent l="0" t="0" r="0" b="0"/>
            <wp:docPr id="19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9" cstate="print">
                      <a:extLst>
                        <a:ext uri="{28A0092B-C50C-407E-A947-70E740481C1C}">
                          <a14:useLocalDpi xmlns:a14="http://schemas.microsoft.com/office/drawing/2010/main" val="0"/>
                        </a:ext>
                      </a:extLst>
                    </a:blip>
                    <a:srcRect/>
                    <a:stretch>
                      <a:fillRect/>
                    </a:stretch>
                  </pic:blipFill>
                  <pic:spPr bwMode="auto">
                    <a:xfrm>
                      <a:off x="0" y="0"/>
                      <a:ext cx="156845" cy="177800"/>
                    </a:xfrm>
                    <a:prstGeom prst="rect">
                      <a:avLst/>
                    </a:prstGeom>
                    <a:noFill/>
                    <a:ln>
                      <a:noFill/>
                    </a:ln>
                  </pic:spPr>
                </pic:pic>
              </a:graphicData>
            </a:graphic>
          </wp:inline>
        </w:drawing>
      </w:r>
      <w:r>
        <w:t xml:space="preserve"> понижения несущей способности центрально-сжатых элементов следует определять в зависимости от их расчетной гибкости </w:t>
      </w:r>
      <w:r>
        <w:rPr>
          <w:noProof/>
          <w:position w:val="-4"/>
        </w:rPr>
        <w:drawing>
          <wp:inline distT="0" distB="0" distL="0" distR="0">
            <wp:extent cx="156845" cy="198755"/>
            <wp:effectExtent l="0" t="0" r="0" b="0"/>
            <wp:docPr id="19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0"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по формулам:</w:t>
      </w:r>
    </w:p>
    <w:p w:rsidR="00212513" w:rsidRDefault="00212513">
      <w:pPr>
        <w:pStyle w:val="ConsPlusNormal"/>
        <w:ind w:firstLine="540"/>
        <w:jc w:val="both"/>
      </w:pPr>
    </w:p>
    <w:p w:rsidR="00212513" w:rsidRDefault="00212513">
      <w:pPr>
        <w:pStyle w:val="ConsPlusNormal"/>
        <w:jc w:val="center"/>
      </w:pPr>
      <w:r>
        <w:rPr>
          <w:noProof/>
          <w:position w:val="-29"/>
        </w:rPr>
        <w:drawing>
          <wp:inline distT="0" distB="0" distL="0" distR="0">
            <wp:extent cx="1241425" cy="511810"/>
            <wp:effectExtent l="0" t="0" r="0" b="0"/>
            <wp:docPr id="19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1" cstate="print">
                      <a:extLst>
                        <a:ext uri="{28A0092B-C50C-407E-A947-70E740481C1C}">
                          <a14:useLocalDpi xmlns:a14="http://schemas.microsoft.com/office/drawing/2010/main" val="0"/>
                        </a:ext>
                      </a:extLst>
                    </a:blip>
                    <a:srcRect/>
                    <a:stretch>
                      <a:fillRect/>
                    </a:stretch>
                  </pic:blipFill>
                  <pic:spPr bwMode="auto">
                    <a:xfrm>
                      <a:off x="0" y="0"/>
                      <a:ext cx="1241425" cy="511810"/>
                    </a:xfrm>
                    <a:prstGeom prst="rect">
                      <a:avLst/>
                    </a:prstGeom>
                    <a:noFill/>
                    <a:ln>
                      <a:noFill/>
                    </a:ln>
                  </pic:spPr>
                </pic:pic>
              </a:graphicData>
            </a:graphic>
          </wp:inline>
        </w:drawing>
      </w:r>
      <w:r>
        <w:t xml:space="preserve"> при </w:t>
      </w:r>
      <w:r>
        <w:rPr>
          <w:noProof/>
          <w:position w:val="-4"/>
        </w:rPr>
        <w:drawing>
          <wp:inline distT="0" distB="0" distL="0" distR="0">
            <wp:extent cx="494030" cy="198755"/>
            <wp:effectExtent l="0" t="0" r="0" b="0"/>
            <wp:docPr id="19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2" cstate="print">
                      <a:extLst>
                        <a:ext uri="{28A0092B-C50C-407E-A947-70E740481C1C}">
                          <a14:useLocalDpi xmlns:a14="http://schemas.microsoft.com/office/drawing/2010/main" val="0"/>
                        </a:ext>
                      </a:extLst>
                    </a:blip>
                    <a:srcRect/>
                    <a:stretch>
                      <a:fillRect/>
                    </a:stretch>
                  </pic:blipFill>
                  <pic:spPr bwMode="auto">
                    <a:xfrm>
                      <a:off x="0" y="0"/>
                      <a:ext cx="494030" cy="198755"/>
                    </a:xfrm>
                    <a:prstGeom prst="rect">
                      <a:avLst/>
                    </a:prstGeom>
                    <a:noFill/>
                    <a:ln>
                      <a:noFill/>
                    </a:ln>
                  </pic:spPr>
                </pic:pic>
              </a:graphicData>
            </a:graphic>
          </wp:inline>
        </w:drawing>
      </w:r>
      <w:r>
        <w:t>; (10.8)</w:t>
      </w:r>
    </w:p>
    <w:p w:rsidR="00212513" w:rsidRDefault="00212513">
      <w:pPr>
        <w:pStyle w:val="ConsPlusNormal"/>
        <w:ind w:firstLine="540"/>
        <w:jc w:val="both"/>
      </w:pPr>
    </w:p>
    <w:p w:rsidR="00212513" w:rsidRDefault="00212513">
      <w:pPr>
        <w:pStyle w:val="ConsPlusNormal"/>
        <w:jc w:val="center"/>
      </w:pPr>
      <w:r>
        <w:rPr>
          <w:noProof/>
          <w:position w:val="-22"/>
        </w:rPr>
        <w:drawing>
          <wp:inline distT="0" distB="0" distL="0" distR="0">
            <wp:extent cx="691515" cy="428625"/>
            <wp:effectExtent l="0" t="0" r="0" b="0"/>
            <wp:docPr id="19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3" cstate="print">
                      <a:extLst>
                        <a:ext uri="{28A0092B-C50C-407E-A947-70E740481C1C}">
                          <a14:useLocalDpi xmlns:a14="http://schemas.microsoft.com/office/drawing/2010/main" val="0"/>
                        </a:ext>
                      </a:extLst>
                    </a:blip>
                    <a:srcRect/>
                    <a:stretch>
                      <a:fillRect/>
                    </a:stretch>
                  </pic:blipFill>
                  <pic:spPr bwMode="auto">
                    <a:xfrm>
                      <a:off x="0" y="0"/>
                      <a:ext cx="691515" cy="428625"/>
                    </a:xfrm>
                    <a:prstGeom prst="rect">
                      <a:avLst/>
                    </a:prstGeom>
                    <a:noFill/>
                    <a:ln>
                      <a:noFill/>
                    </a:ln>
                  </pic:spPr>
                </pic:pic>
              </a:graphicData>
            </a:graphic>
          </wp:inline>
        </w:drawing>
      </w:r>
      <w:r>
        <w:t xml:space="preserve"> при </w:t>
      </w:r>
      <w:r>
        <w:rPr>
          <w:noProof/>
          <w:position w:val="-4"/>
        </w:rPr>
        <w:drawing>
          <wp:inline distT="0" distB="0" distL="0" distR="0">
            <wp:extent cx="494030" cy="198755"/>
            <wp:effectExtent l="0" t="0" r="0" b="0"/>
            <wp:docPr id="19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4" cstate="print">
                      <a:extLst>
                        <a:ext uri="{28A0092B-C50C-407E-A947-70E740481C1C}">
                          <a14:useLocalDpi xmlns:a14="http://schemas.microsoft.com/office/drawing/2010/main" val="0"/>
                        </a:ext>
                      </a:extLst>
                    </a:blip>
                    <a:srcRect/>
                    <a:stretch>
                      <a:fillRect/>
                    </a:stretch>
                  </pic:blipFill>
                  <pic:spPr bwMode="auto">
                    <a:xfrm>
                      <a:off x="0" y="0"/>
                      <a:ext cx="494030" cy="198755"/>
                    </a:xfrm>
                    <a:prstGeom prst="rect">
                      <a:avLst/>
                    </a:prstGeom>
                    <a:noFill/>
                    <a:ln>
                      <a:noFill/>
                    </a:ln>
                  </pic:spPr>
                </pic:pic>
              </a:graphicData>
            </a:graphic>
          </wp:inline>
        </w:drawing>
      </w:r>
      <w:r>
        <w:t>. (10.9)</w:t>
      </w:r>
    </w:p>
    <w:p w:rsidR="00212513" w:rsidRDefault="00212513">
      <w:pPr>
        <w:pStyle w:val="ConsPlusNormal"/>
        <w:ind w:firstLine="540"/>
        <w:jc w:val="both"/>
      </w:pPr>
    </w:p>
    <w:p w:rsidR="00212513" w:rsidRDefault="00212513">
      <w:pPr>
        <w:pStyle w:val="ConsPlusTitle"/>
        <w:ind w:firstLine="540"/>
        <w:jc w:val="both"/>
        <w:outlineLvl w:val="2"/>
      </w:pPr>
      <w:r>
        <w:t>Расчет элементов конструкций</w:t>
      </w:r>
    </w:p>
    <w:p w:rsidR="00212513" w:rsidRDefault="00212513">
      <w:pPr>
        <w:pStyle w:val="ConsPlusNormal"/>
        <w:ind w:firstLine="540"/>
        <w:jc w:val="both"/>
      </w:pPr>
    </w:p>
    <w:p w:rsidR="00212513" w:rsidRDefault="00212513">
      <w:pPr>
        <w:pStyle w:val="ConsPlusNormal"/>
        <w:ind w:firstLine="540"/>
        <w:jc w:val="both"/>
      </w:pPr>
      <w:bookmarkStart w:id="444" w:name="P10551"/>
      <w:bookmarkEnd w:id="444"/>
      <w:r>
        <w:t>10.30 Расчет элементов деревянных конструкций мостов по прочности и устойчивости следует выполнять по формулам таблицы 10.8.</w:t>
      </w:r>
    </w:p>
    <w:p w:rsidR="00212513" w:rsidRDefault="00212513">
      <w:pPr>
        <w:pStyle w:val="ConsPlusNormal"/>
        <w:ind w:firstLine="540"/>
        <w:jc w:val="both"/>
      </w:pPr>
    </w:p>
    <w:p w:rsidR="00212513" w:rsidRDefault="00212513">
      <w:pPr>
        <w:pStyle w:val="ConsPlusNormal"/>
        <w:jc w:val="right"/>
      </w:pPr>
      <w:bookmarkStart w:id="445" w:name="P10553"/>
      <w:bookmarkEnd w:id="445"/>
      <w:r>
        <w:t>Таблица 10.8</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09"/>
        <w:gridCol w:w="4762"/>
      </w:tblGrid>
      <w:tr w:rsidR="00212513">
        <w:tc>
          <w:tcPr>
            <w:tcW w:w="4309" w:type="dxa"/>
            <w:tcBorders>
              <w:top w:val="single" w:sz="4" w:space="0" w:color="auto"/>
              <w:bottom w:val="single" w:sz="4" w:space="0" w:color="auto"/>
            </w:tcBorders>
            <w:vAlign w:val="center"/>
          </w:tcPr>
          <w:p w:rsidR="00212513" w:rsidRDefault="00212513">
            <w:pPr>
              <w:pStyle w:val="ConsPlusNormal"/>
              <w:jc w:val="center"/>
            </w:pPr>
            <w:r>
              <w:t>Работа элемента</w:t>
            </w:r>
          </w:p>
        </w:tc>
        <w:tc>
          <w:tcPr>
            <w:tcW w:w="4762" w:type="dxa"/>
            <w:tcBorders>
              <w:top w:val="single" w:sz="4" w:space="0" w:color="auto"/>
              <w:bottom w:val="single" w:sz="4" w:space="0" w:color="auto"/>
            </w:tcBorders>
            <w:vAlign w:val="center"/>
          </w:tcPr>
          <w:p w:rsidR="00212513" w:rsidRDefault="00212513">
            <w:pPr>
              <w:pStyle w:val="ConsPlusNormal"/>
              <w:jc w:val="center"/>
            </w:pPr>
            <w:r>
              <w:t>Формула для расчета</w:t>
            </w:r>
          </w:p>
        </w:tc>
      </w:tr>
      <w:tr w:rsidR="00212513">
        <w:tblPrEx>
          <w:tblBorders>
            <w:insideH w:val="none" w:sz="0" w:space="0" w:color="auto"/>
          </w:tblBorders>
        </w:tblPrEx>
        <w:tc>
          <w:tcPr>
            <w:tcW w:w="9071" w:type="dxa"/>
            <w:gridSpan w:val="2"/>
            <w:tcBorders>
              <w:top w:val="single" w:sz="4" w:space="0" w:color="auto"/>
              <w:bottom w:val="nil"/>
            </w:tcBorders>
          </w:tcPr>
          <w:p w:rsidR="00212513" w:rsidRDefault="00212513">
            <w:pPr>
              <w:pStyle w:val="ConsPlusNormal"/>
              <w:jc w:val="center"/>
            </w:pPr>
            <w:r>
              <w:rPr>
                <w:b/>
              </w:rPr>
              <w:t>На прочность по нормальным напряжениям</w:t>
            </w:r>
          </w:p>
        </w:tc>
      </w:tr>
      <w:tr w:rsidR="00212513">
        <w:tblPrEx>
          <w:tblBorders>
            <w:insideH w:val="none" w:sz="0" w:space="0" w:color="auto"/>
          </w:tblBorders>
        </w:tblPrEx>
        <w:tc>
          <w:tcPr>
            <w:tcW w:w="4309" w:type="dxa"/>
            <w:tcBorders>
              <w:top w:val="nil"/>
              <w:bottom w:val="nil"/>
            </w:tcBorders>
          </w:tcPr>
          <w:p w:rsidR="00212513" w:rsidRDefault="00212513">
            <w:pPr>
              <w:pStyle w:val="ConsPlusNormal"/>
            </w:pPr>
            <w:r>
              <w:t>Растяжение вдоль волокон</w:t>
            </w:r>
          </w:p>
        </w:tc>
        <w:tc>
          <w:tcPr>
            <w:tcW w:w="4762" w:type="dxa"/>
            <w:tcBorders>
              <w:top w:val="nil"/>
              <w:bottom w:val="nil"/>
            </w:tcBorders>
          </w:tcPr>
          <w:p w:rsidR="00212513" w:rsidRDefault="00212513">
            <w:pPr>
              <w:pStyle w:val="ConsPlusNormal"/>
              <w:jc w:val="center"/>
            </w:pPr>
            <w:r>
              <w:rPr>
                <w:noProof/>
                <w:position w:val="-26"/>
              </w:rPr>
              <w:drawing>
                <wp:inline distT="0" distB="0" distL="0" distR="0">
                  <wp:extent cx="648970" cy="470535"/>
                  <wp:effectExtent l="0" t="0" r="0" b="0"/>
                  <wp:docPr id="19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5" cstate="print">
                            <a:extLst>
                              <a:ext uri="{28A0092B-C50C-407E-A947-70E740481C1C}">
                                <a14:useLocalDpi xmlns:a14="http://schemas.microsoft.com/office/drawing/2010/main" val="0"/>
                              </a:ext>
                            </a:extLst>
                          </a:blip>
                          <a:srcRect/>
                          <a:stretch>
                            <a:fillRect/>
                          </a:stretch>
                        </pic:blipFill>
                        <pic:spPr bwMode="auto">
                          <a:xfrm>
                            <a:off x="0" y="0"/>
                            <a:ext cx="648970" cy="470535"/>
                          </a:xfrm>
                          <a:prstGeom prst="rect">
                            <a:avLst/>
                          </a:prstGeom>
                          <a:noFill/>
                          <a:ln>
                            <a:noFill/>
                          </a:ln>
                        </pic:spPr>
                      </pic:pic>
                    </a:graphicData>
                  </a:graphic>
                </wp:inline>
              </w:drawing>
            </w:r>
            <w:r>
              <w:t xml:space="preserve"> (10.10)</w:t>
            </w:r>
          </w:p>
        </w:tc>
      </w:tr>
      <w:tr w:rsidR="00212513">
        <w:tblPrEx>
          <w:tblBorders>
            <w:insideH w:val="none" w:sz="0" w:space="0" w:color="auto"/>
          </w:tblBorders>
        </w:tblPrEx>
        <w:tc>
          <w:tcPr>
            <w:tcW w:w="4309" w:type="dxa"/>
            <w:tcBorders>
              <w:top w:val="nil"/>
              <w:bottom w:val="nil"/>
            </w:tcBorders>
          </w:tcPr>
          <w:p w:rsidR="00212513" w:rsidRDefault="00212513">
            <w:pPr>
              <w:pStyle w:val="ConsPlusNormal"/>
            </w:pPr>
            <w:bookmarkStart w:id="446" w:name="P10560"/>
            <w:bookmarkEnd w:id="446"/>
            <w:r>
              <w:t>Сжатие вдоль волокон</w:t>
            </w:r>
          </w:p>
        </w:tc>
        <w:tc>
          <w:tcPr>
            <w:tcW w:w="4762" w:type="dxa"/>
            <w:tcBorders>
              <w:top w:val="nil"/>
              <w:bottom w:val="nil"/>
            </w:tcBorders>
          </w:tcPr>
          <w:p w:rsidR="00212513" w:rsidRDefault="00212513">
            <w:pPr>
              <w:pStyle w:val="ConsPlusNormal"/>
              <w:jc w:val="center"/>
            </w:pPr>
            <w:r>
              <w:rPr>
                <w:noProof/>
                <w:position w:val="-26"/>
              </w:rPr>
              <w:drawing>
                <wp:inline distT="0" distB="0" distL="0" distR="0">
                  <wp:extent cx="648970" cy="470535"/>
                  <wp:effectExtent l="0" t="0" r="0" b="0"/>
                  <wp:docPr id="19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6" cstate="print">
                            <a:extLst>
                              <a:ext uri="{28A0092B-C50C-407E-A947-70E740481C1C}">
                                <a14:useLocalDpi xmlns:a14="http://schemas.microsoft.com/office/drawing/2010/main" val="0"/>
                              </a:ext>
                            </a:extLst>
                          </a:blip>
                          <a:srcRect/>
                          <a:stretch>
                            <a:fillRect/>
                          </a:stretch>
                        </pic:blipFill>
                        <pic:spPr bwMode="auto">
                          <a:xfrm>
                            <a:off x="0" y="0"/>
                            <a:ext cx="648970" cy="470535"/>
                          </a:xfrm>
                          <a:prstGeom prst="rect">
                            <a:avLst/>
                          </a:prstGeom>
                          <a:noFill/>
                          <a:ln>
                            <a:noFill/>
                          </a:ln>
                        </pic:spPr>
                      </pic:pic>
                    </a:graphicData>
                  </a:graphic>
                </wp:inline>
              </w:drawing>
            </w:r>
            <w:r>
              <w:t xml:space="preserve"> (10.11)</w:t>
            </w:r>
          </w:p>
        </w:tc>
      </w:tr>
      <w:tr w:rsidR="00212513">
        <w:tblPrEx>
          <w:tblBorders>
            <w:insideH w:val="none" w:sz="0" w:space="0" w:color="auto"/>
          </w:tblBorders>
        </w:tblPrEx>
        <w:tc>
          <w:tcPr>
            <w:tcW w:w="4309" w:type="dxa"/>
            <w:tcBorders>
              <w:top w:val="nil"/>
              <w:bottom w:val="nil"/>
            </w:tcBorders>
          </w:tcPr>
          <w:p w:rsidR="00212513" w:rsidRDefault="00212513">
            <w:pPr>
              <w:pStyle w:val="ConsPlusNormal"/>
            </w:pPr>
            <w:r>
              <w:lastRenderedPageBreak/>
              <w:t>Изгиб в одной из главных плоскостей</w:t>
            </w:r>
          </w:p>
        </w:tc>
        <w:tc>
          <w:tcPr>
            <w:tcW w:w="4762" w:type="dxa"/>
            <w:tcBorders>
              <w:top w:val="nil"/>
              <w:bottom w:val="nil"/>
            </w:tcBorders>
          </w:tcPr>
          <w:p w:rsidR="00212513" w:rsidRDefault="00212513">
            <w:pPr>
              <w:pStyle w:val="ConsPlusNormal"/>
              <w:jc w:val="center"/>
            </w:pPr>
            <w:r>
              <w:rPr>
                <w:noProof/>
                <w:position w:val="-26"/>
              </w:rPr>
              <w:drawing>
                <wp:inline distT="0" distB="0" distL="0" distR="0">
                  <wp:extent cx="691515" cy="470535"/>
                  <wp:effectExtent l="0" t="0" r="0" b="0"/>
                  <wp:docPr id="19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7" cstate="print">
                            <a:extLst>
                              <a:ext uri="{28A0092B-C50C-407E-A947-70E740481C1C}">
                                <a14:useLocalDpi xmlns:a14="http://schemas.microsoft.com/office/drawing/2010/main" val="0"/>
                              </a:ext>
                            </a:extLst>
                          </a:blip>
                          <a:srcRect/>
                          <a:stretch>
                            <a:fillRect/>
                          </a:stretch>
                        </pic:blipFill>
                        <pic:spPr bwMode="auto">
                          <a:xfrm>
                            <a:off x="0" y="0"/>
                            <a:ext cx="691515" cy="470535"/>
                          </a:xfrm>
                          <a:prstGeom prst="rect">
                            <a:avLst/>
                          </a:prstGeom>
                          <a:noFill/>
                          <a:ln>
                            <a:noFill/>
                          </a:ln>
                        </pic:spPr>
                      </pic:pic>
                    </a:graphicData>
                  </a:graphic>
                </wp:inline>
              </w:drawing>
            </w:r>
            <w:r>
              <w:t xml:space="preserve"> (10.12)</w:t>
            </w:r>
          </w:p>
        </w:tc>
      </w:tr>
      <w:tr w:rsidR="00212513">
        <w:tblPrEx>
          <w:tblBorders>
            <w:insideH w:val="none" w:sz="0" w:space="0" w:color="auto"/>
          </w:tblBorders>
        </w:tblPrEx>
        <w:tc>
          <w:tcPr>
            <w:tcW w:w="4309" w:type="dxa"/>
            <w:tcBorders>
              <w:top w:val="nil"/>
              <w:bottom w:val="nil"/>
            </w:tcBorders>
          </w:tcPr>
          <w:p w:rsidR="00212513" w:rsidRDefault="00212513">
            <w:pPr>
              <w:pStyle w:val="ConsPlusNormal"/>
            </w:pPr>
            <w:r>
              <w:t>Косой изгиб</w:t>
            </w:r>
          </w:p>
        </w:tc>
        <w:tc>
          <w:tcPr>
            <w:tcW w:w="4762" w:type="dxa"/>
            <w:tcBorders>
              <w:top w:val="nil"/>
              <w:bottom w:val="nil"/>
            </w:tcBorders>
          </w:tcPr>
          <w:p w:rsidR="00212513" w:rsidRDefault="00212513">
            <w:pPr>
              <w:pStyle w:val="ConsPlusNormal"/>
              <w:jc w:val="center"/>
            </w:pPr>
            <w:r>
              <w:rPr>
                <w:noProof/>
                <w:position w:val="-29"/>
              </w:rPr>
              <w:drawing>
                <wp:inline distT="0" distB="0" distL="0" distR="0">
                  <wp:extent cx="1410335" cy="511810"/>
                  <wp:effectExtent l="0" t="0" r="0" b="0"/>
                  <wp:docPr id="19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8" cstate="print">
                            <a:extLst>
                              <a:ext uri="{28A0092B-C50C-407E-A947-70E740481C1C}">
                                <a14:useLocalDpi xmlns:a14="http://schemas.microsoft.com/office/drawing/2010/main" val="0"/>
                              </a:ext>
                            </a:extLst>
                          </a:blip>
                          <a:srcRect/>
                          <a:stretch>
                            <a:fillRect/>
                          </a:stretch>
                        </pic:blipFill>
                        <pic:spPr bwMode="auto">
                          <a:xfrm>
                            <a:off x="0" y="0"/>
                            <a:ext cx="1410335" cy="511810"/>
                          </a:xfrm>
                          <a:prstGeom prst="rect">
                            <a:avLst/>
                          </a:prstGeom>
                          <a:noFill/>
                          <a:ln>
                            <a:noFill/>
                          </a:ln>
                        </pic:spPr>
                      </pic:pic>
                    </a:graphicData>
                  </a:graphic>
                </wp:inline>
              </w:drawing>
            </w:r>
            <w:r>
              <w:t xml:space="preserve"> (10.13)</w:t>
            </w:r>
          </w:p>
        </w:tc>
      </w:tr>
      <w:tr w:rsidR="00212513">
        <w:tblPrEx>
          <w:tblBorders>
            <w:insideH w:val="none" w:sz="0" w:space="0" w:color="auto"/>
          </w:tblBorders>
        </w:tblPrEx>
        <w:tc>
          <w:tcPr>
            <w:tcW w:w="4309" w:type="dxa"/>
            <w:tcBorders>
              <w:top w:val="nil"/>
              <w:bottom w:val="nil"/>
            </w:tcBorders>
          </w:tcPr>
          <w:p w:rsidR="00212513" w:rsidRDefault="00212513">
            <w:pPr>
              <w:pStyle w:val="ConsPlusNormal"/>
            </w:pPr>
            <w:r>
              <w:t>Растяжение с изгибом в одной из главных плоскостей</w:t>
            </w:r>
          </w:p>
        </w:tc>
        <w:tc>
          <w:tcPr>
            <w:tcW w:w="4762" w:type="dxa"/>
            <w:tcBorders>
              <w:top w:val="nil"/>
              <w:bottom w:val="nil"/>
            </w:tcBorders>
          </w:tcPr>
          <w:p w:rsidR="00212513" w:rsidRDefault="00212513">
            <w:pPr>
              <w:pStyle w:val="ConsPlusNormal"/>
              <w:jc w:val="center"/>
            </w:pPr>
            <w:r>
              <w:rPr>
                <w:noProof/>
                <w:position w:val="-26"/>
              </w:rPr>
              <w:drawing>
                <wp:inline distT="0" distB="0" distL="0" distR="0">
                  <wp:extent cx="1383030" cy="470535"/>
                  <wp:effectExtent l="0" t="0" r="0" b="0"/>
                  <wp:docPr id="19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9" cstate="print">
                            <a:extLst>
                              <a:ext uri="{28A0092B-C50C-407E-A947-70E740481C1C}">
                                <a14:useLocalDpi xmlns:a14="http://schemas.microsoft.com/office/drawing/2010/main" val="0"/>
                              </a:ext>
                            </a:extLst>
                          </a:blip>
                          <a:srcRect/>
                          <a:stretch>
                            <a:fillRect/>
                          </a:stretch>
                        </pic:blipFill>
                        <pic:spPr bwMode="auto">
                          <a:xfrm>
                            <a:off x="0" y="0"/>
                            <a:ext cx="1383030" cy="470535"/>
                          </a:xfrm>
                          <a:prstGeom prst="rect">
                            <a:avLst/>
                          </a:prstGeom>
                          <a:noFill/>
                          <a:ln>
                            <a:noFill/>
                          </a:ln>
                        </pic:spPr>
                      </pic:pic>
                    </a:graphicData>
                  </a:graphic>
                </wp:inline>
              </w:drawing>
            </w:r>
            <w:r>
              <w:t xml:space="preserve"> (10.14)</w:t>
            </w:r>
          </w:p>
        </w:tc>
      </w:tr>
      <w:tr w:rsidR="00212513">
        <w:tblPrEx>
          <w:tblBorders>
            <w:insideH w:val="none" w:sz="0" w:space="0" w:color="auto"/>
          </w:tblBorders>
        </w:tblPrEx>
        <w:tc>
          <w:tcPr>
            <w:tcW w:w="4309" w:type="dxa"/>
            <w:tcBorders>
              <w:top w:val="nil"/>
              <w:bottom w:val="nil"/>
            </w:tcBorders>
          </w:tcPr>
          <w:p w:rsidR="00212513" w:rsidRDefault="00212513">
            <w:pPr>
              <w:pStyle w:val="ConsPlusNormal"/>
            </w:pPr>
            <w:r>
              <w:t>Сжатие с изгибом в одной из главных плоскостей</w:t>
            </w:r>
          </w:p>
        </w:tc>
        <w:tc>
          <w:tcPr>
            <w:tcW w:w="4762" w:type="dxa"/>
            <w:tcBorders>
              <w:top w:val="nil"/>
              <w:bottom w:val="nil"/>
            </w:tcBorders>
          </w:tcPr>
          <w:p w:rsidR="00212513" w:rsidRDefault="00212513">
            <w:pPr>
              <w:pStyle w:val="ConsPlusNormal"/>
              <w:jc w:val="center"/>
            </w:pPr>
            <w:r>
              <w:rPr>
                <w:noProof/>
                <w:position w:val="-26"/>
              </w:rPr>
              <w:drawing>
                <wp:inline distT="0" distB="0" distL="0" distR="0">
                  <wp:extent cx="1456690" cy="471805"/>
                  <wp:effectExtent l="0" t="0" r="0" b="0"/>
                  <wp:docPr id="19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0" cstate="print">
                            <a:extLst>
                              <a:ext uri="{28A0092B-C50C-407E-A947-70E740481C1C}">
                                <a14:useLocalDpi xmlns:a14="http://schemas.microsoft.com/office/drawing/2010/main" val="0"/>
                              </a:ext>
                            </a:extLst>
                          </a:blip>
                          <a:srcRect/>
                          <a:stretch>
                            <a:fillRect/>
                          </a:stretch>
                        </pic:blipFill>
                        <pic:spPr bwMode="auto">
                          <a:xfrm>
                            <a:off x="0" y="0"/>
                            <a:ext cx="1456690" cy="471805"/>
                          </a:xfrm>
                          <a:prstGeom prst="rect">
                            <a:avLst/>
                          </a:prstGeom>
                          <a:noFill/>
                          <a:ln>
                            <a:noFill/>
                          </a:ln>
                        </pic:spPr>
                      </pic:pic>
                    </a:graphicData>
                  </a:graphic>
                </wp:inline>
              </w:drawing>
            </w:r>
            <w:r>
              <w:t xml:space="preserve"> (10.15)</w:t>
            </w:r>
          </w:p>
        </w:tc>
      </w:tr>
      <w:tr w:rsidR="00212513">
        <w:tblPrEx>
          <w:tblBorders>
            <w:insideH w:val="none" w:sz="0" w:space="0" w:color="auto"/>
          </w:tblBorders>
        </w:tblPrEx>
        <w:tc>
          <w:tcPr>
            <w:tcW w:w="9071" w:type="dxa"/>
            <w:gridSpan w:val="2"/>
            <w:tcBorders>
              <w:top w:val="nil"/>
              <w:bottom w:val="nil"/>
            </w:tcBorders>
          </w:tcPr>
          <w:p w:rsidR="00212513" w:rsidRDefault="00212513">
            <w:pPr>
              <w:pStyle w:val="ConsPlusNormal"/>
              <w:jc w:val="both"/>
            </w:pPr>
            <w:r>
              <w:t xml:space="preserve">(в ред. </w:t>
            </w:r>
            <w:hyperlink r:id="rId2511">
              <w:r>
                <w:rPr>
                  <w:color w:val="0000FF"/>
                </w:rPr>
                <w:t>Изменения N 4</w:t>
              </w:r>
            </w:hyperlink>
            <w:r>
              <w:t>, утв. Приказом Минстроя России от 30.05.2024 N 361/пр)</w:t>
            </w:r>
          </w:p>
        </w:tc>
      </w:tr>
      <w:tr w:rsidR="00212513">
        <w:tblPrEx>
          <w:tblBorders>
            <w:insideH w:val="none" w:sz="0" w:space="0" w:color="auto"/>
          </w:tblBorders>
        </w:tblPrEx>
        <w:tc>
          <w:tcPr>
            <w:tcW w:w="4309" w:type="dxa"/>
            <w:tcBorders>
              <w:top w:val="nil"/>
              <w:bottom w:val="nil"/>
            </w:tcBorders>
          </w:tcPr>
          <w:p w:rsidR="00212513" w:rsidRDefault="00212513">
            <w:pPr>
              <w:pStyle w:val="ConsPlusNormal"/>
            </w:pPr>
            <w:r>
              <w:t>Сжатие (смятие) поперек волокон</w:t>
            </w:r>
          </w:p>
        </w:tc>
        <w:tc>
          <w:tcPr>
            <w:tcW w:w="4762" w:type="dxa"/>
            <w:tcBorders>
              <w:top w:val="nil"/>
              <w:bottom w:val="nil"/>
            </w:tcBorders>
          </w:tcPr>
          <w:p w:rsidR="00212513" w:rsidRDefault="00212513">
            <w:pPr>
              <w:pStyle w:val="ConsPlusNormal"/>
              <w:jc w:val="center"/>
            </w:pPr>
            <w:r>
              <w:rPr>
                <w:noProof/>
                <w:position w:val="-27"/>
              </w:rPr>
              <w:drawing>
                <wp:inline distT="0" distB="0" distL="0" distR="0">
                  <wp:extent cx="662305" cy="494030"/>
                  <wp:effectExtent l="0" t="0" r="0" b="0"/>
                  <wp:docPr id="19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2" cstate="print">
                            <a:extLst>
                              <a:ext uri="{28A0092B-C50C-407E-A947-70E740481C1C}">
                                <a14:useLocalDpi xmlns:a14="http://schemas.microsoft.com/office/drawing/2010/main" val="0"/>
                              </a:ext>
                            </a:extLst>
                          </a:blip>
                          <a:srcRect/>
                          <a:stretch>
                            <a:fillRect/>
                          </a:stretch>
                        </pic:blipFill>
                        <pic:spPr bwMode="auto">
                          <a:xfrm>
                            <a:off x="0" y="0"/>
                            <a:ext cx="662305" cy="494030"/>
                          </a:xfrm>
                          <a:prstGeom prst="rect">
                            <a:avLst/>
                          </a:prstGeom>
                          <a:noFill/>
                          <a:ln>
                            <a:noFill/>
                          </a:ln>
                        </pic:spPr>
                      </pic:pic>
                    </a:graphicData>
                  </a:graphic>
                </wp:inline>
              </w:drawing>
            </w:r>
            <w:r>
              <w:t xml:space="preserve"> (10.16)</w:t>
            </w:r>
          </w:p>
        </w:tc>
      </w:tr>
      <w:tr w:rsidR="00212513">
        <w:tblPrEx>
          <w:tblBorders>
            <w:insideH w:val="none" w:sz="0" w:space="0" w:color="auto"/>
          </w:tblBorders>
        </w:tblPrEx>
        <w:tc>
          <w:tcPr>
            <w:tcW w:w="9071" w:type="dxa"/>
            <w:gridSpan w:val="2"/>
            <w:tcBorders>
              <w:top w:val="nil"/>
              <w:bottom w:val="nil"/>
            </w:tcBorders>
          </w:tcPr>
          <w:p w:rsidR="00212513" w:rsidRDefault="00212513">
            <w:pPr>
              <w:pStyle w:val="ConsPlusNormal"/>
              <w:jc w:val="center"/>
            </w:pPr>
            <w:r>
              <w:rPr>
                <w:b/>
              </w:rPr>
              <w:t>На прочность по касательным напряжениям</w:t>
            </w:r>
          </w:p>
        </w:tc>
      </w:tr>
      <w:tr w:rsidR="00212513">
        <w:tblPrEx>
          <w:tblBorders>
            <w:insideH w:val="none" w:sz="0" w:space="0" w:color="auto"/>
          </w:tblBorders>
        </w:tblPrEx>
        <w:tc>
          <w:tcPr>
            <w:tcW w:w="4309" w:type="dxa"/>
            <w:tcBorders>
              <w:top w:val="nil"/>
              <w:bottom w:val="nil"/>
            </w:tcBorders>
          </w:tcPr>
          <w:p w:rsidR="00212513" w:rsidRDefault="00212513">
            <w:pPr>
              <w:pStyle w:val="ConsPlusNormal"/>
            </w:pPr>
            <w:r>
              <w:t>Изгиб</w:t>
            </w:r>
          </w:p>
        </w:tc>
        <w:tc>
          <w:tcPr>
            <w:tcW w:w="4762" w:type="dxa"/>
            <w:tcBorders>
              <w:top w:val="nil"/>
              <w:bottom w:val="nil"/>
            </w:tcBorders>
          </w:tcPr>
          <w:p w:rsidR="00212513" w:rsidRDefault="00212513">
            <w:pPr>
              <w:pStyle w:val="ConsPlusNormal"/>
              <w:jc w:val="center"/>
            </w:pPr>
            <w:r>
              <w:rPr>
                <w:noProof/>
                <w:position w:val="-26"/>
              </w:rPr>
              <w:drawing>
                <wp:inline distT="0" distB="0" distL="0" distR="0">
                  <wp:extent cx="857250" cy="470535"/>
                  <wp:effectExtent l="0" t="0" r="0" b="0"/>
                  <wp:docPr id="19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3" cstate="print">
                            <a:extLst>
                              <a:ext uri="{28A0092B-C50C-407E-A947-70E740481C1C}">
                                <a14:useLocalDpi xmlns:a14="http://schemas.microsoft.com/office/drawing/2010/main" val="0"/>
                              </a:ext>
                            </a:extLst>
                          </a:blip>
                          <a:srcRect/>
                          <a:stretch>
                            <a:fillRect/>
                          </a:stretch>
                        </pic:blipFill>
                        <pic:spPr bwMode="auto">
                          <a:xfrm>
                            <a:off x="0" y="0"/>
                            <a:ext cx="857250" cy="470535"/>
                          </a:xfrm>
                          <a:prstGeom prst="rect">
                            <a:avLst/>
                          </a:prstGeom>
                          <a:noFill/>
                          <a:ln>
                            <a:noFill/>
                          </a:ln>
                        </pic:spPr>
                      </pic:pic>
                    </a:graphicData>
                  </a:graphic>
                </wp:inline>
              </w:drawing>
            </w:r>
            <w:r>
              <w:t xml:space="preserve"> (10.17)</w:t>
            </w:r>
          </w:p>
        </w:tc>
      </w:tr>
      <w:tr w:rsidR="00212513">
        <w:tblPrEx>
          <w:tblBorders>
            <w:insideH w:val="none" w:sz="0" w:space="0" w:color="auto"/>
          </w:tblBorders>
        </w:tblPrEx>
        <w:tc>
          <w:tcPr>
            <w:tcW w:w="9071" w:type="dxa"/>
            <w:gridSpan w:val="2"/>
            <w:tcBorders>
              <w:top w:val="nil"/>
              <w:bottom w:val="nil"/>
            </w:tcBorders>
          </w:tcPr>
          <w:p w:rsidR="00212513" w:rsidRDefault="00212513">
            <w:pPr>
              <w:pStyle w:val="ConsPlusNormal"/>
              <w:jc w:val="center"/>
            </w:pPr>
            <w:r>
              <w:rPr>
                <w:b/>
              </w:rPr>
              <w:t>На устойчивость</w:t>
            </w:r>
          </w:p>
        </w:tc>
      </w:tr>
      <w:tr w:rsidR="00212513">
        <w:tblPrEx>
          <w:tblBorders>
            <w:insideH w:val="none" w:sz="0" w:space="0" w:color="auto"/>
          </w:tblBorders>
        </w:tblPrEx>
        <w:tc>
          <w:tcPr>
            <w:tcW w:w="4309" w:type="dxa"/>
            <w:tcBorders>
              <w:top w:val="nil"/>
              <w:bottom w:val="single" w:sz="4" w:space="0" w:color="auto"/>
            </w:tcBorders>
          </w:tcPr>
          <w:p w:rsidR="00212513" w:rsidRDefault="00212513">
            <w:pPr>
              <w:pStyle w:val="ConsPlusNormal"/>
            </w:pPr>
            <w:r>
              <w:t>Центральное сжатие</w:t>
            </w:r>
          </w:p>
        </w:tc>
        <w:tc>
          <w:tcPr>
            <w:tcW w:w="4762" w:type="dxa"/>
            <w:tcBorders>
              <w:top w:val="nil"/>
              <w:bottom w:val="single" w:sz="4" w:space="0" w:color="auto"/>
            </w:tcBorders>
          </w:tcPr>
          <w:p w:rsidR="00212513" w:rsidRDefault="00212513">
            <w:pPr>
              <w:pStyle w:val="ConsPlusNormal"/>
              <w:jc w:val="center"/>
            </w:pPr>
            <w:r>
              <w:rPr>
                <w:noProof/>
                <w:position w:val="-26"/>
              </w:rPr>
              <w:drawing>
                <wp:inline distT="0" distB="0" distL="0" distR="0">
                  <wp:extent cx="748030" cy="470535"/>
                  <wp:effectExtent l="0" t="0" r="0" b="0"/>
                  <wp:docPr id="19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4" cstate="print">
                            <a:extLst>
                              <a:ext uri="{28A0092B-C50C-407E-A947-70E740481C1C}">
                                <a14:useLocalDpi xmlns:a14="http://schemas.microsoft.com/office/drawing/2010/main" val="0"/>
                              </a:ext>
                            </a:extLst>
                          </a:blip>
                          <a:srcRect/>
                          <a:stretch>
                            <a:fillRect/>
                          </a:stretch>
                        </pic:blipFill>
                        <pic:spPr bwMode="auto">
                          <a:xfrm>
                            <a:off x="0" y="0"/>
                            <a:ext cx="748030" cy="470535"/>
                          </a:xfrm>
                          <a:prstGeom prst="rect">
                            <a:avLst/>
                          </a:prstGeom>
                          <a:noFill/>
                          <a:ln>
                            <a:noFill/>
                          </a:ln>
                        </pic:spPr>
                      </pic:pic>
                    </a:graphicData>
                  </a:graphic>
                </wp:inline>
              </w:drawing>
            </w:r>
            <w:r>
              <w:t xml:space="preserve"> (10.18)</w:t>
            </w:r>
          </w:p>
        </w:tc>
      </w:tr>
      <w:tr w:rsidR="00212513">
        <w:tblPrEx>
          <w:tblBorders>
            <w:insideH w:val="none" w:sz="0" w:space="0" w:color="auto"/>
          </w:tblBorders>
        </w:tblPrEx>
        <w:tc>
          <w:tcPr>
            <w:tcW w:w="9071" w:type="dxa"/>
            <w:gridSpan w:val="2"/>
            <w:tcBorders>
              <w:top w:val="single" w:sz="4" w:space="0" w:color="auto"/>
              <w:bottom w:val="nil"/>
            </w:tcBorders>
          </w:tcPr>
          <w:p w:rsidR="00212513" w:rsidRDefault="00212513">
            <w:pPr>
              <w:pStyle w:val="ConsPlusNormal"/>
              <w:ind w:firstLine="283"/>
              <w:jc w:val="both"/>
            </w:pPr>
            <w:r>
              <w:rPr>
                <w:i/>
              </w:rPr>
              <w:t xml:space="preserve">Обозначения, принятые в </w:t>
            </w:r>
            <w:hyperlink w:anchor="P10553">
              <w:r>
                <w:rPr>
                  <w:i/>
                  <w:color w:val="0000FF"/>
                </w:rPr>
                <w:t>таблице 10.8</w:t>
              </w:r>
            </w:hyperlink>
            <w:r>
              <w:rPr>
                <w:i/>
              </w:rPr>
              <w:t>:</w:t>
            </w:r>
          </w:p>
          <w:p w:rsidR="00212513" w:rsidRDefault="00212513">
            <w:pPr>
              <w:pStyle w:val="ConsPlusNormal"/>
              <w:ind w:firstLine="283"/>
              <w:jc w:val="both"/>
            </w:pPr>
            <w:r>
              <w:rPr>
                <w:noProof/>
                <w:position w:val="-8"/>
              </w:rPr>
              <w:drawing>
                <wp:inline distT="0" distB="0" distL="0" distR="0">
                  <wp:extent cx="241935" cy="251460"/>
                  <wp:effectExtent l="0" t="0" r="0" b="0"/>
                  <wp:docPr id="19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5"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w:t>
            </w:r>
            <w:r>
              <w:rPr>
                <w:noProof/>
                <w:position w:val="-8"/>
              </w:rPr>
              <w:drawing>
                <wp:inline distT="0" distB="0" distL="0" distR="0">
                  <wp:extent cx="281940" cy="251460"/>
                  <wp:effectExtent l="0" t="0" r="0" b="0"/>
                  <wp:docPr id="19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6"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xml:space="preserve">, </w:t>
            </w:r>
            <w:r>
              <w:rPr>
                <w:noProof/>
                <w:position w:val="-8"/>
              </w:rPr>
              <w:drawing>
                <wp:inline distT="0" distB="0" distL="0" distR="0">
                  <wp:extent cx="220980" cy="251460"/>
                  <wp:effectExtent l="0" t="0" r="0" b="0"/>
                  <wp:docPr id="19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7"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расчетные значения соответственно осевого усилия, изгибающего момента, поперечной силы;</w:t>
            </w:r>
          </w:p>
          <w:p w:rsidR="00212513" w:rsidRDefault="00212513">
            <w:pPr>
              <w:pStyle w:val="ConsPlusNormal"/>
              <w:ind w:firstLine="283"/>
              <w:jc w:val="both"/>
            </w:pPr>
            <w:r>
              <w:rPr>
                <w:noProof/>
                <w:position w:val="-8"/>
              </w:rPr>
              <w:drawing>
                <wp:inline distT="0" distB="0" distL="0" distR="0">
                  <wp:extent cx="241935" cy="251460"/>
                  <wp:effectExtent l="0" t="0" r="0" b="0"/>
                  <wp:docPr id="19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8"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w:t>
            </w:r>
            <w:r>
              <w:rPr>
                <w:noProof/>
                <w:position w:val="-8"/>
              </w:rPr>
              <w:drawing>
                <wp:inline distT="0" distB="0" distL="0" distR="0">
                  <wp:extent cx="251460" cy="251460"/>
                  <wp:effectExtent l="0" t="0" r="0" b="0"/>
                  <wp:docPr id="19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9"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расчетное сопротивление (индекс соответствует виду напряженного состояния);</w:t>
            </w:r>
          </w:p>
          <w:p w:rsidR="00212513" w:rsidRDefault="00212513">
            <w:pPr>
              <w:pStyle w:val="ConsPlusNormal"/>
              <w:ind w:firstLine="283"/>
              <w:jc w:val="both"/>
            </w:pPr>
            <w:r>
              <w:rPr>
                <w:noProof/>
                <w:position w:val="-8"/>
              </w:rPr>
              <w:drawing>
                <wp:inline distT="0" distB="0" distL="0" distR="0">
                  <wp:extent cx="241935" cy="251460"/>
                  <wp:effectExtent l="0" t="0" r="0" b="0"/>
                  <wp:docPr id="19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0"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w:t>
            </w:r>
            <w:r>
              <w:rPr>
                <w:noProof/>
                <w:position w:val="-8"/>
              </w:rPr>
              <w:drawing>
                <wp:inline distT="0" distB="0" distL="0" distR="0">
                  <wp:extent cx="251460" cy="251460"/>
                  <wp:effectExtent l="0" t="0" r="0" b="0"/>
                  <wp:docPr id="19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1"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площади поперечного сечения соответственно нетто и брутто;</w:t>
            </w:r>
          </w:p>
          <w:p w:rsidR="00212513" w:rsidRDefault="00212513">
            <w:pPr>
              <w:pStyle w:val="ConsPlusNormal"/>
              <w:ind w:firstLine="283"/>
              <w:jc w:val="both"/>
            </w:pPr>
            <w:r>
              <w:rPr>
                <w:noProof/>
                <w:position w:val="-8"/>
              </w:rPr>
              <w:drawing>
                <wp:inline distT="0" distB="0" distL="0" distR="0">
                  <wp:extent cx="241935" cy="251460"/>
                  <wp:effectExtent l="0" t="0" r="0" b="0"/>
                  <wp:docPr id="19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2"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статический момент брутто части сечения относительно нейтральной оси;</w:t>
            </w:r>
          </w:p>
          <w:p w:rsidR="00212513" w:rsidRDefault="00212513">
            <w:pPr>
              <w:pStyle w:val="ConsPlusNormal"/>
              <w:ind w:firstLine="283"/>
              <w:jc w:val="both"/>
            </w:pPr>
            <w:r>
              <w:rPr>
                <w:noProof/>
                <w:position w:val="-8"/>
              </w:rPr>
              <w:drawing>
                <wp:inline distT="0" distB="0" distL="0" distR="0">
                  <wp:extent cx="251460" cy="251460"/>
                  <wp:effectExtent l="0" t="0" r="0" b="0"/>
                  <wp:docPr id="19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момент сопротивления ослабленного сечения, принимаемый для составных стержней с учетом коэффициента условий работы согласно </w:t>
            </w:r>
            <w:hyperlink w:anchor="P10616">
              <w:r>
                <w:rPr>
                  <w:color w:val="0000FF"/>
                </w:rPr>
                <w:t>10.33</w:t>
              </w:r>
            </w:hyperlink>
            <w:r>
              <w:t>;</w:t>
            </w:r>
          </w:p>
          <w:p w:rsidR="00212513" w:rsidRDefault="00212513">
            <w:pPr>
              <w:pStyle w:val="ConsPlusNormal"/>
              <w:ind w:firstLine="283"/>
              <w:jc w:val="both"/>
            </w:pPr>
            <w:r>
              <w:rPr>
                <w:noProof/>
                <w:position w:val="-8"/>
              </w:rPr>
              <w:drawing>
                <wp:inline distT="0" distB="0" distL="0" distR="0">
                  <wp:extent cx="177800" cy="251460"/>
                  <wp:effectExtent l="0" t="0" r="0" b="0"/>
                  <wp:docPr id="19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4"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w:t>
            </w:r>
            <w:r>
              <w:rPr>
                <w:noProof/>
                <w:position w:val="-9"/>
              </w:rPr>
              <w:drawing>
                <wp:inline distT="0" distB="0" distL="0" distR="0">
                  <wp:extent cx="177800" cy="262890"/>
                  <wp:effectExtent l="0" t="0" r="0" b="0"/>
                  <wp:docPr id="19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5"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 моменты инерции сечения нетто соответственно относительно осей </w:t>
            </w:r>
            <w:r>
              <w:rPr>
                <w:i/>
              </w:rPr>
              <w:t>x</w:t>
            </w:r>
            <w:r>
              <w:t xml:space="preserve"> и </w:t>
            </w:r>
            <w:r>
              <w:rPr>
                <w:i/>
              </w:rPr>
              <w:t>y</w:t>
            </w:r>
            <w:r>
              <w:t>;</w:t>
            </w:r>
          </w:p>
          <w:p w:rsidR="00212513" w:rsidRDefault="00212513">
            <w:pPr>
              <w:pStyle w:val="ConsPlusNormal"/>
              <w:ind w:firstLine="283"/>
              <w:jc w:val="both"/>
            </w:pPr>
            <w:r>
              <w:rPr>
                <w:noProof/>
                <w:position w:val="-8"/>
              </w:rPr>
              <w:drawing>
                <wp:inline distT="0" distB="0" distL="0" distR="0">
                  <wp:extent cx="209550" cy="251460"/>
                  <wp:effectExtent l="0" t="0" r="0" b="0"/>
                  <wp:docPr id="19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момент инерции сечения брутто;</w:t>
            </w:r>
          </w:p>
          <w:p w:rsidR="00212513" w:rsidRDefault="00212513">
            <w:pPr>
              <w:pStyle w:val="ConsPlusNormal"/>
              <w:ind w:firstLine="283"/>
              <w:jc w:val="both"/>
            </w:pPr>
            <w:r>
              <w:rPr>
                <w:i/>
              </w:rPr>
              <w:t>x</w:t>
            </w:r>
            <w:r>
              <w:t xml:space="preserve">, </w:t>
            </w:r>
            <w:r>
              <w:rPr>
                <w:i/>
              </w:rPr>
              <w:t>y</w:t>
            </w:r>
            <w:r>
              <w:t xml:space="preserve"> - расстояния от главных осей </w:t>
            </w:r>
            <w:r>
              <w:rPr>
                <w:i/>
              </w:rPr>
              <w:t>x</w:t>
            </w:r>
            <w:r>
              <w:t xml:space="preserve"> и </w:t>
            </w:r>
            <w:r>
              <w:rPr>
                <w:i/>
              </w:rPr>
              <w:t>y</w:t>
            </w:r>
            <w:r>
              <w:t xml:space="preserve"> до наиболее удаленных точек сечения;</w:t>
            </w:r>
          </w:p>
          <w:p w:rsidR="00212513" w:rsidRDefault="00212513">
            <w:pPr>
              <w:pStyle w:val="ConsPlusNormal"/>
              <w:ind w:firstLine="283"/>
              <w:jc w:val="both"/>
            </w:pPr>
            <w:r>
              <w:rPr>
                <w:i/>
              </w:rPr>
              <w:t>b</w:t>
            </w:r>
            <w:r>
              <w:t xml:space="preserve"> - ширина сечения;</w:t>
            </w:r>
          </w:p>
          <w:p w:rsidR="00212513" w:rsidRDefault="00212513">
            <w:pPr>
              <w:pStyle w:val="ConsPlusNormal"/>
              <w:ind w:firstLine="283"/>
              <w:jc w:val="both"/>
            </w:pPr>
            <w:r>
              <w:rPr>
                <w:noProof/>
                <w:position w:val="-3"/>
              </w:rPr>
              <w:drawing>
                <wp:inline distT="0" distB="0" distL="0" distR="0">
                  <wp:extent cx="156845" cy="177800"/>
                  <wp:effectExtent l="0" t="0" r="0" b="0"/>
                  <wp:docPr id="19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7" cstate="print">
                            <a:extLst>
                              <a:ext uri="{28A0092B-C50C-407E-A947-70E740481C1C}">
                                <a14:useLocalDpi xmlns:a14="http://schemas.microsoft.com/office/drawing/2010/main" val="0"/>
                              </a:ext>
                            </a:extLst>
                          </a:blip>
                          <a:srcRect/>
                          <a:stretch>
                            <a:fillRect/>
                          </a:stretch>
                        </pic:blipFill>
                        <pic:spPr bwMode="auto">
                          <a:xfrm>
                            <a:off x="0" y="0"/>
                            <a:ext cx="156845" cy="177800"/>
                          </a:xfrm>
                          <a:prstGeom prst="rect">
                            <a:avLst/>
                          </a:prstGeom>
                          <a:noFill/>
                          <a:ln>
                            <a:noFill/>
                          </a:ln>
                        </pic:spPr>
                      </pic:pic>
                    </a:graphicData>
                  </a:graphic>
                </wp:inline>
              </w:drawing>
            </w:r>
            <w:r>
              <w:t xml:space="preserve"> - коэффициент понижения несущей способности при проверке устойчивости центрально-сжатых элементов согласно </w:t>
            </w:r>
            <w:hyperlink w:anchor="P10543">
              <w:r>
                <w:rPr>
                  <w:color w:val="0000FF"/>
                </w:rPr>
                <w:t>10.29</w:t>
              </w:r>
            </w:hyperlink>
            <w:r>
              <w:t>;</w:t>
            </w:r>
          </w:p>
          <w:p w:rsidR="00212513" w:rsidRDefault="00212513">
            <w:pPr>
              <w:pStyle w:val="ConsPlusNormal"/>
              <w:ind w:firstLine="283"/>
              <w:jc w:val="both"/>
            </w:pPr>
            <w:r>
              <w:rPr>
                <w:noProof/>
                <w:position w:val="-9"/>
              </w:rPr>
              <w:drawing>
                <wp:inline distT="0" distB="0" distL="0" distR="0">
                  <wp:extent cx="209550" cy="262890"/>
                  <wp:effectExtent l="0" t="0" r="0" b="0"/>
                  <wp:docPr id="19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8"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 площадь смятия;</w:t>
            </w:r>
          </w:p>
          <w:p w:rsidR="00212513" w:rsidRDefault="00212513">
            <w:pPr>
              <w:pStyle w:val="ConsPlusNormal"/>
              <w:ind w:firstLine="283"/>
              <w:jc w:val="both"/>
            </w:pPr>
            <w:r>
              <w:rPr>
                <w:noProof/>
                <w:position w:val="-8"/>
              </w:rPr>
              <w:drawing>
                <wp:inline distT="0" distB="0" distL="0" distR="0">
                  <wp:extent cx="209550" cy="251460"/>
                  <wp:effectExtent l="0" t="0" r="0" b="0"/>
                  <wp:docPr id="19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расчетная площадь поперечного сечения при проверке по устойчивости, принимаемая равной:</w:t>
            </w:r>
          </w:p>
          <w:p w:rsidR="00212513" w:rsidRDefault="00212513">
            <w:pPr>
              <w:pStyle w:val="ConsPlusNormal"/>
              <w:ind w:firstLine="283"/>
              <w:jc w:val="both"/>
            </w:pPr>
            <w:r>
              <w:rPr>
                <w:noProof/>
                <w:position w:val="-8"/>
              </w:rPr>
              <w:drawing>
                <wp:inline distT="0" distB="0" distL="0" distR="0">
                  <wp:extent cx="251460" cy="251460"/>
                  <wp:effectExtent l="0" t="0" r="0" b="0"/>
                  <wp:docPr id="19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при ослаблении сечения на 25% и менее;</w:t>
            </w:r>
          </w:p>
          <w:p w:rsidR="00212513" w:rsidRDefault="00212513">
            <w:pPr>
              <w:pStyle w:val="ConsPlusNormal"/>
              <w:ind w:firstLine="283"/>
              <w:jc w:val="both"/>
            </w:pPr>
            <w:r>
              <w:rPr>
                <w:noProof/>
                <w:position w:val="-8"/>
              </w:rPr>
              <w:lastRenderedPageBreak/>
              <w:drawing>
                <wp:inline distT="0" distB="0" distL="0" distR="0">
                  <wp:extent cx="502920" cy="251460"/>
                  <wp:effectExtent l="0" t="0" r="0" b="0"/>
                  <wp:docPr id="19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1" cstate="print">
                            <a:extLst>
                              <a:ext uri="{28A0092B-C50C-407E-A947-70E740481C1C}">
                                <a14:useLocalDpi xmlns:a14="http://schemas.microsoft.com/office/drawing/2010/main" val="0"/>
                              </a:ext>
                            </a:extLst>
                          </a:blip>
                          <a:srcRect/>
                          <a:stretch>
                            <a:fillRect/>
                          </a:stretch>
                        </pic:blipFill>
                        <pic:spPr bwMode="auto">
                          <a:xfrm>
                            <a:off x="0" y="0"/>
                            <a:ext cx="502920" cy="251460"/>
                          </a:xfrm>
                          <a:prstGeom prst="rect">
                            <a:avLst/>
                          </a:prstGeom>
                          <a:noFill/>
                          <a:ln>
                            <a:noFill/>
                          </a:ln>
                        </pic:spPr>
                      </pic:pic>
                    </a:graphicData>
                  </a:graphic>
                </wp:inline>
              </w:drawing>
            </w:r>
            <w:r>
              <w:t xml:space="preserve"> - то же, свыше 25%;</w:t>
            </w:r>
          </w:p>
          <w:p w:rsidR="00212513" w:rsidRDefault="00212513">
            <w:pPr>
              <w:pStyle w:val="ConsPlusNormal"/>
              <w:ind w:firstLine="283"/>
              <w:jc w:val="both"/>
            </w:pPr>
            <w:r>
              <w:rPr>
                <w:noProof/>
                <w:position w:val="-6"/>
              </w:rPr>
              <w:drawing>
                <wp:inline distT="0" distB="0" distL="0" distR="0">
                  <wp:extent cx="137160" cy="220980"/>
                  <wp:effectExtent l="0" t="0" r="0" b="0"/>
                  <wp:docPr id="19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2" cstate="print">
                            <a:extLst>
                              <a:ext uri="{28A0092B-C50C-407E-A947-70E740481C1C}">
                                <a14:useLocalDpi xmlns:a14="http://schemas.microsoft.com/office/drawing/2010/main" val="0"/>
                              </a:ext>
                            </a:extLst>
                          </a:blip>
                          <a:srcRect/>
                          <a:stretch>
                            <a:fillRect/>
                          </a:stretch>
                        </pic:blipFill>
                        <pic:spPr bwMode="auto">
                          <a:xfrm>
                            <a:off x="0" y="0"/>
                            <a:ext cx="137160" cy="220980"/>
                          </a:xfrm>
                          <a:prstGeom prst="rect">
                            <a:avLst/>
                          </a:prstGeom>
                          <a:noFill/>
                          <a:ln>
                            <a:noFill/>
                          </a:ln>
                        </pic:spPr>
                      </pic:pic>
                    </a:graphicData>
                  </a:graphic>
                </wp:inline>
              </w:drawing>
            </w:r>
            <w:r>
              <w:t xml:space="preserve"> - коэффициент, учитывающий влияние дополнительного момента от нормальной силы </w:t>
            </w:r>
            <w:r>
              <w:rPr>
                <w:noProof/>
                <w:position w:val="-8"/>
              </w:rPr>
              <w:drawing>
                <wp:inline distT="0" distB="0" distL="0" distR="0">
                  <wp:extent cx="251460" cy="251460"/>
                  <wp:effectExtent l="0" t="0" r="0" b="0"/>
                  <wp:docPr id="19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при деформации элемента и определяемый по формуле</w:t>
            </w:r>
          </w:p>
          <w:p w:rsidR="00212513" w:rsidRDefault="00212513">
            <w:pPr>
              <w:pStyle w:val="ConsPlusNormal"/>
              <w:ind w:firstLine="283"/>
              <w:jc w:val="both"/>
            </w:pPr>
          </w:p>
          <w:p w:rsidR="00212513" w:rsidRDefault="00212513">
            <w:pPr>
              <w:pStyle w:val="ConsPlusNormal"/>
              <w:jc w:val="center"/>
            </w:pPr>
            <w:r>
              <w:rPr>
                <w:noProof/>
                <w:position w:val="-28"/>
              </w:rPr>
              <w:drawing>
                <wp:inline distT="0" distB="0" distL="0" distR="0">
                  <wp:extent cx="1383030" cy="502920"/>
                  <wp:effectExtent l="0" t="0" r="0" b="0"/>
                  <wp:docPr id="19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4" cstate="print">
                            <a:extLst>
                              <a:ext uri="{28A0092B-C50C-407E-A947-70E740481C1C}">
                                <a14:useLocalDpi xmlns:a14="http://schemas.microsoft.com/office/drawing/2010/main" val="0"/>
                              </a:ext>
                            </a:extLst>
                          </a:blip>
                          <a:srcRect/>
                          <a:stretch>
                            <a:fillRect/>
                          </a:stretch>
                        </pic:blipFill>
                        <pic:spPr bwMode="auto">
                          <a:xfrm>
                            <a:off x="0" y="0"/>
                            <a:ext cx="1383030" cy="502920"/>
                          </a:xfrm>
                          <a:prstGeom prst="rect">
                            <a:avLst/>
                          </a:prstGeom>
                          <a:noFill/>
                          <a:ln>
                            <a:noFill/>
                          </a:ln>
                        </pic:spPr>
                      </pic:pic>
                    </a:graphicData>
                  </a:graphic>
                </wp:inline>
              </w:drawing>
            </w:r>
            <w:r>
              <w:t>,</w:t>
            </w:r>
          </w:p>
          <w:p w:rsidR="00212513" w:rsidRDefault="00212513">
            <w:pPr>
              <w:pStyle w:val="ConsPlusNormal"/>
              <w:jc w:val="center"/>
            </w:pPr>
          </w:p>
          <w:p w:rsidR="00212513" w:rsidRDefault="00212513">
            <w:pPr>
              <w:pStyle w:val="ConsPlusNormal"/>
              <w:ind w:firstLine="283"/>
              <w:jc w:val="both"/>
            </w:pPr>
            <w:r>
              <w:t xml:space="preserve">где </w:t>
            </w:r>
            <w:r>
              <w:rPr>
                <w:noProof/>
                <w:position w:val="-4"/>
              </w:rPr>
              <w:drawing>
                <wp:inline distT="0" distB="0" distL="0" distR="0">
                  <wp:extent cx="156845" cy="198755"/>
                  <wp:effectExtent l="0" t="0" r="0" b="0"/>
                  <wp:docPr id="19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5"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 расчетная гибкость элемента в плоскости изгиба.</w:t>
            </w:r>
          </w:p>
        </w:tc>
      </w:tr>
      <w:tr w:rsidR="00212513">
        <w:tblPrEx>
          <w:tblBorders>
            <w:insideH w:val="none" w:sz="0" w:space="0" w:color="auto"/>
          </w:tblBorders>
        </w:tblPrEx>
        <w:tc>
          <w:tcPr>
            <w:tcW w:w="9071" w:type="dxa"/>
            <w:gridSpan w:val="2"/>
            <w:tcBorders>
              <w:top w:val="nil"/>
              <w:bottom w:val="single" w:sz="4" w:space="0" w:color="auto"/>
            </w:tcBorders>
          </w:tcPr>
          <w:p w:rsidR="00212513" w:rsidRDefault="00212513">
            <w:pPr>
              <w:pStyle w:val="ConsPlusNormal"/>
              <w:ind w:firstLine="283"/>
              <w:jc w:val="both"/>
            </w:pPr>
            <w:r>
              <w:lastRenderedPageBreak/>
              <w:t>Примечания</w:t>
            </w:r>
          </w:p>
          <w:p w:rsidR="00212513" w:rsidRDefault="00212513">
            <w:pPr>
              <w:pStyle w:val="ConsPlusNormal"/>
              <w:ind w:firstLine="283"/>
              <w:jc w:val="both"/>
            </w:pPr>
            <w:r>
              <w:t>1 При несимметричных ослаблениях, выходящих на кромку, центрально-сжатые элементы необходимо рассчитывать как внецентренно сжатые.</w:t>
            </w:r>
          </w:p>
          <w:p w:rsidR="00212513" w:rsidRDefault="00212513">
            <w:pPr>
              <w:pStyle w:val="ConsPlusNormal"/>
              <w:ind w:firstLine="283"/>
              <w:jc w:val="both"/>
            </w:pPr>
            <w:r>
              <w:t xml:space="preserve">2 Расчет по устойчивости внецентренно сжатого элемента в плоскости, перпендикулярной плоскости изгиба, а также в плоскости изгиба при напряжениях </w:t>
            </w:r>
            <w:r>
              <w:rPr>
                <w:noProof/>
                <w:position w:val="-8"/>
              </w:rPr>
              <w:drawing>
                <wp:inline distT="0" distB="0" distL="0" distR="0">
                  <wp:extent cx="593725" cy="251460"/>
                  <wp:effectExtent l="0" t="0" r="0" b="0"/>
                  <wp:docPr id="19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6" cstate="print">
                            <a:extLst>
                              <a:ext uri="{28A0092B-C50C-407E-A947-70E740481C1C}">
                                <a14:useLocalDpi xmlns:a14="http://schemas.microsoft.com/office/drawing/2010/main" val="0"/>
                              </a:ext>
                            </a:extLst>
                          </a:blip>
                          <a:srcRect/>
                          <a:stretch>
                            <a:fillRect/>
                          </a:stretch>
                        </pic:blipFill>
                        <pic:spPr bwMode="auto">
                          <a:xfrm>
                            <a:off x="0" y="0"/>
                            <a:ext cx="593725" cy="251460"/>
                          </a:xfrm>
                          <a:prstGeom prst="rect">
                            <a:avLst/>
                          </a:prstGeom>
                          <a:noFill/>
                          <a:ln>
                            <a:noFill/>
                          </a:ln>
                        </pic:spPr>
                      </pic:pic>
                    </a:graphicData>
                  </a:graphic>
                </wp:inline>
              </w:drawing>
            </w:r>
            <w:r>
              <w:t xml:space="preserve">, не превышающих 10% напряжений </w:t>
            </w:r>
            <w:r>
              <w:rPr>
                <w:noProof/>
                <w:position w:val="-8"/>
              </w:rPr>
              <w:drawing>
                <wp:inline distT="0" distB="0" distL="0" distR="0">
                  <wp:extent cx="553085" cy="251460"/>
                  <wp:effectExtent l="0" t="0" r="0" b="0"/>
                  <wp:docPr id="19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7" cstate="print">
                            <a:extLst>
                              <a:ext uri="{28A0092B-C50C-407E-A947-70E740481C1C}">
                                <a14:useLocalDpi xmlns:a14="http://schemas.microsoft.com/office/drawing/2010/main" val="0"/>
                              </a:ext>
                            </a:extLst>
                          </a:blip>
                          <a:srcRect/>
                          <a:stretch>
                            <a:fillRect/>
                          </a:stretch>
                        </pic:blipFill>
                        <pic:spPr bwMode="auto">
                          <a:xfrm>
                            <a:off x="0" y="0"/>
                            <a:ext cx="553085" cy="251460"/>
                          </a:xfrm>
                          <a:prstGeom prst="rect">
                            <a:avLst/>
                          </a:prstGeom>
                          <a:noFill/>
                          <a:ln>
                            <a:noFill/>
                          </a:ln>
                        </pic:spPr>
                      </pic:pic>
                    </a:graphicData>
                  </a:graphic>
                </wp:inline>
              </w:drawing>
            </w:r>
            <w:r>
              <w:t xml:space="preserve">, допускается выполнять по </w:t>
            </w:r>
            <w:hyperlink w:anchor="P10560">
              <w:r>
                <w:rPr>
                  <w:color w:val="0000FF"/>
                </w:rPr>
                <w:t>формуле (10.11)</w:t>
              </w:r>
            </w:hyperlink>
            <w:r>
              <w:t xml:space="preserve"> без учета изгибающего момента.</w:t>
            </w:r>
          </w:p>
          <w:p w:rsidR="00212513" w:rsidRDefault="00212513">
            <w:pPr>
              <w:pStyle w:val="ConsPlusNormal"/>
              <w:ind w:firstLine="283"/>
              <w:jc w:val="both"/>
            </w:pPr>
            <w:r>
              <w:t>3 При расчете сжатых элементов с клеештыревыми стыками ослабление сечения отверстиями под штыри не учитывается, если сечение полностью сжато.</w:t>
            </w:r>
          </w:p>
          <w:p w:rsidR="00212513" w:rsidRDefault="00212513">
            <w:pPr>
              <w:pStyle w:val="ConsPlusNormal"/>
              <w:ind w:firstLine="283"/>
              <w:jc w:val="both"/>
            </w:pPr>
            <w:r>
              <w:t xml:space="preserve">4 При проверке прочности сечения растянутых элементов в зоне клеештыревого стыка следует учитывать концентрацию напряжения в сечении, умножая площадь сечения </w:t>
            </w:r>
            <w:r>
              <w:rPr>
                <w:noProof/>
                <w:position w:val="-8"/>
              </w:rPr>
              <w:drawing>
                <wp:inline distT="0" distB="0" distL="0" distR="0">
                  <wp:extent cx="241935" cy="251460"/>
                  <wp:effectExtent l="0" t="0" r="0" b="0"/>
                  <wp:docPr id="19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8"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на коэффициент условий работы, равный 0,9.</w:t>
            </w:r>
          </w:p>
        </w:tc>
      </w:tr>
    </w:tbl>
    <w:p w:rsidR="00212513" w:rsidRDefault="00212513">
      <w:pPr>
        <w:pStyle w:val="ConsPlusNormal"/>
        <w:ind w:firstLine="540"/>
        <w:jc w:val="both"/>
      </w:pPr>
    </w:p>
    <w:p w:rsidR="00212513" w:rsidRDefault="00212513">
      <w:pPr>
        <w:pStyle w:val="ConsPlusNormal"/>
        <w:ind w:firstLine="540"/>
        <w:jc w:val="both"/>
      </w:pPr>
      <w:r>
        <w:t>10.31 В составных внецентренно сжатых элементах на прокладках расчет по устойчивости наиболее напряженной ветви при ее расчетной длине, превышающей в семь раз толщину ветви, следует производить исходя из условия</w:t>
      </w:r>
    </w:p>
    <w:p w:rsidR="00212513" w:rsidRDefault="00212513">
      <w:pPr>
        <w:pStyle w:val="ConsPlusNormal"/>
        <w:ind w:firstLine="540"/>
        <w:jc w:val="both"/>
      </w:pPr>
    </w:p>
    <w:p w:rsidR="00212513" w:rsidRDefault="00212513">
      <w:pPr>
        <w:pStyle w:val="ConsPlusNormal"/>
        <w:jc w:val="center"/>
      </w:pPr>
      <w:r>
        <w:rPr>
          <w:noProof/>
          <w:position w:val="-26"/>
        </w:rPr>
        <w:drawing>
          <wp:inline distT="0" distB="0" distL="0" distR="0">
            <wp:extent cx="1564640" cy="470535"/>
            <wp:effectExtent l="0" t="0" r="0" b="0"/>
            <wp:docPr id="19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9" cstate="print">
                      <a:extLst>
                        <a:ext uri="{28A0092B-C50C-407E-A947-70E740481C1C}">
                          <a14:useLocalDpi xmlns:a14="http://schemas.microsoft.com/office/drawing/2010/main" val="0"/>
                        </a:ext>
                      </a:extLst>
                    </a:blip>
                    <a:srcRect/>
                    <a:stretch>
                      <a:fillRect/>
                    </a:stretch>
                  </pic:blipFill>
                  <pic:spPr bwMode="auto">
                    <a:xfrm>
                      <a:off x="0" y="0"/>
                      <a:ext cx="1564640" cy="470535"/>
                    </a:xfrm>
                    <a:prstGeom prst="rect">
                      <a:avLst/>
                    </a:prstGeom>
                    <a:noFill/>
                    <a:ln>
                      <a:noFill/>
                    </a:ln>
                  </pic:spPr>
                </pic:pic>
              </a:graphicData>
            </a:graphic>
          </wp:inline>
        </w:drawing>
      </w:r>
      <w:r>
        <w:t>, (10.19)</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3"/>
        </w:rPr>
        <w:drawing>
          <wp:inline distT="0" distB="0" distL="0" distR="0">
            <wp:extent cx="156845" cy="177800"/>
            <wp:effectExtent l="0" t="0" r="0" b="0"/>
            <wp:docPr id="19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0" cstate="print">
                      <a:extLst>
                        <a:ext uri="{28A0092B-C50C-407E-A947-70E740481C1C}">
                          <a14:useLocalDpi xmlns:a14="http://schemas.microsoft.com/office/drawing/2010/main" val="0"/>
                        </a:ext>
                      </a:extLst>
                    </a:blip>
                    <a:srcRect/>
                    <a:stretch>
                      <a:fillRect/>
                    </a:stretch>
                  </pic:blipFill>
                  <pic:spPr bwMode="auto">
                    <a:xfrm>
                      <a:off x="0" y="0"/>
                      <a:ext cx="156845" cy="177800"/>
                    </a:xfrm>
                    <a:prstGeom prst="rect">
                      <a:avLst/>
                    </a:prstGeom>
                    <a:noFill/>
                    <a:ln>
                      <a:noFill/>
                    </a:ln>
                  </pic:spPr>
                </pic:pic>
              </a:graphicData>
            </a:graphic>
          </wp:inline>
        </w:drawing>
      </w:r>
      <w:r>
        <w:t xml:space="preserve"> - коэффициент понижения несущей способности для отдельной ветви;</w:t>
      </w:r>
    </w:p>
    <w:p w:rsidR="00212513" w:rsidRDefault="00212513">
      <w:pPr>
        <w:pStyle w:val="ConsPlusNormal"/>
        <w:spacing w:before="220"/>
        <w:ind w:firstLine="540"/>
        <w:jc w:val="both"/>
      </w:pPr>
      <w:r>
        <w:rPr>
          <w:noProof/>
          <w:position w:val="-8"/>
        </w:rPr>
        <w:drawing>
          <wp:inline distT="0" distB="0" distL="0" distR="0">
            <wp:extent cx="251460" cy="251460"/>
            <wp:effectExtent l="0" t="0" r="0" b="0"/>
            <wp:docPr id="19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1"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w:t>
      </w:r>
      <w:r>
        <w:rPr>
          <w:noProof/>
          <w:position w:val="-8"/>
        </w:rPr>
        <w:drawing>
          <wp:inline distT="0" distB="0" distL="0" distR="0">
            <wp:extent cx="262890" cy="251460"/>
            <wp:effectExtent l="0" t="0" r="0" b="0"/>
            <wp:docPr id="19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2"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площадь и момент сопротивления брутто поперечного сечения ветви;</w:t>
      </w:r>
    </w:p>
    <w:p w:rsidR="00212513" w:rsidRDefault="00212513">
      <w:pPr>
        <w:pStyle w:val="ConsPlusNormal"/>
        <w:spacing w:before="220"/>
        <w:ind w:firstLine="540"/>
        <w:jc w:val="both"/>
      </w:pPr>
      <w:r>
        <w:rPr>
          <w:noProof/>
          <w:position w:val="-6"/>
        </w:rPr>
        <w:drawing>
          <wp:inline distT="0" distB="0" distL="0" distR="0">
            <wp:extent cx="137160" cy="220980"/>
            <wp:effectExtent l="0" t="0" r="0" b="0"/>
            <wp:docPr id="19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3" cstate="print">
                      <a:extLst>
                        <a:ext uri="{28A0092B-C50C-407E-A947-70E740481C1C}">
                          <a14:useLocalDpi xmlns:a14="http://schemas.microsoft.com/office/drawing/2010/main" val="0"/>
                        </a:ext>
                      </a:extLst>
                    </a:blip>
                    <a:srcRect/>
                    <a:stretch>
                      <a:fillRect/>
                    </a:stretch>
                  </pic:blipFill>
                  <pic:spPr bwMode="auto">
                    <a:xfrm>
                      <a:off x="0" y="0"/>
                      <a:ext cx="137160" cy="220980"/>
                    </a:xfrm>
                    <a:prstGeom prst="rect">
                      <a:avLst/>
                    </a:prstGeom>
                    <a:noFill/>
                    <a:ln>
                      <a:noFill/>
                    </a:ln>
                  </pic:spPr>
                </pic:pic>
              </a:graphicData>
            </a:graphic>
          </wp:inline>
        </w:drawing>
      </w:r>
      <w:r>
        <w:t xml:space="preserve"> - коэффициент, определяемый согласно </w:t>
      </w:r>
      <w:hyperlink w:anchor="P10551">
        <w:r>
          <w:rPr>
            <w:color w:val="0000FF"/>
          </w:rPr>
          <w:t>10.30</w:t>
        </w:r>
      </w:hyperlink>
      <w:r>
        <w:t>.</w:t>
      </w:r>
    </w:p>
    <w:p w:rsidR="00212513" w:rsidRDefault="00212513">
      <w:pPr>
        <w:pStyle w:val="ConsPlusNormal"/>
        <w:spacing w:before="220"/>
        <w:ind w:firstLine="540"/>
        <w:jc w:val="both"/>
      </w:pPr>
      <w:r>
        <w:t>10.32 Расчет элементов из бревен следует производить с учетом сбега в размере 1,0 см на 1 м длины бревна.</w:t>
      </w:r>
    </w:p>
    <w:p w:rsidR="00212513" w:rsidRDefault="00212513">
      <w:pPr>
        <w:pStyle w:val="ConsPlusNormal"/>
        <w:spacing w:before="220"/>
        <w:ind w:firstLine="540"/>
        <w:jc w:val="both"/>
      </w:pPr>
      <w:r>
        <w:t xml:space="preserve">Площадь сечения </w:t>
      </w:r>
      <w:r>
        <w:rPr>
          <w:noProof/>
          <w:position w:val="-8"/>
        </w:rPr>
        <w:drawing>
          <wp:inline distT="0" distB="0" distL="0" distR="0">
            <wp:extent cx="241935" cy="251460"/>
            <wp:effectExtent l="0" t="0" r="0" b="0"/>
            <wp:docPr id="19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8"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определяется при условном совмещении в рассматриваемом сечении всех ослаблений, расположенных на участке длиной 20 см. При этом относительное ослабление площади сечения брутто не должно превышать 0,4 - при несимметричном и 0,5 - при симметричном ослаблении.</w:t>
      </w:r>
    </w:p>
    <w:p w:rsidR="00212513" w:rsidRDefault="00212513">
      <w:pPr>
        <w:pStyle w:val="ConsPlusNormal"/>
        <w:spacing w:before="220"/>
        <w:ind w:firstLine="540"/>
        <w:jc w:val="both"/>
      </w:pPr>
      <w:r>
        <w:t>Ослабления, создаваемые в сжатых элементах нагелями, допускается учитывать без совмещения близлежащих ослаблений. Ослабления сжатых элементов, создаваемые гвоздями, поставленными без предварительного просверливания гнезд, допускается не учитывать.</w:t>
      </w:r>
    </w:p>
    <w:p w:rsidR="00212513" w:rsidRDefault="00212513">
      <w:pPr>
        <w:pStyle w:val="ConsPlusNormal"/>
        <w:spacing w:before="220"/>
        <w:ind w:firstLine="540"/>
        <w:jc w:val="both"/>
      </w:pPr>
      <w:r>
        <w:t xml:space="preserve">В качестве площади </w:t>
      </w:r>
      <w:r>
        <w:rPr>
          <w:noProof/>
          <w:position w:val="-8"/>
        </w:rPr>
        <w:drawing>
          <wp:inline distT="0" distB="0" distL="0" distR="0">
            <wp:extent cx="241935" cy="251460"/>
            <wp:effectExtent l="0" t="0" r="0" b="0"/>
            <wp:docPr id="19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8"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следует принимать также рабочую площадь, определяемую в </w:t>
      </w:r>
      <w:r>
        <w:lastRenderedPageBreak/>
        <w:t>предположении ступенчатого разрыва (с учетом площадок скалывания между соседними ослаблениями), если он дает более неблагоприятные результаты.</w:t>
      </w:r>
    </w:p>
    <w:p w:rsidR="00212513" w:rsidRDefault="00212513">
      <w:pPr>
        <w:pStyle w:val="ConsPlusNormal"/>
        <w:spacing w:before="220"/>
        <w:ind w:firstLine="540"/>
        <w:jc w:val="both"/>
      </w:pPr>
      <w:bookmarkStart w:id="447" w:name="P10616"/>
      <w:bookmarkEnd w:id="447"/>
      <w:r>
        <w:t>10.33 Расчет по прочности изгибаемых составных балок на призматических продольных шпонках (колодках) следует производить с учетом коэффициента сплошности, равного для балок:</w:t>
      </w:r>
    </w:p>
    <w:p w:rsidR="00212513" w:rsidRDefault="00212513">
      <w:pPr>
        <w:pStyle w:val="ConsPlusNormal"/>
        <w:spacing w:before="220"/>
        <w:ind w:firstLine="540"/>
        <w:jc w:val="both"/>
      </w:pPr>
      <w:r>
        <w:t>0,85 - двухъярусных;</w:t>
      </w:r>
    </w:p>
    <w:p w:rsidR="00212513" w:rsidRDefault="00212513">
      <w:pPr>
        <w:pStyle w:val="ConsPlusNormal"/>
        <w:spacing w:before="220"/>
        <w:ind w:firstLine="540"/>
        <w:jc w:val="both"/>
      </w:pPr>
      <w:r>
        <w:t>0,80 - трехъярусных.</w:t>
      </w:r>
    </w:p>
    <w:p w:rsidR="00212513" w:rsidRDefault="00212513">
      <w:pPr>
        <w:pStyle w:val="ConsPlusNormal"/>
        <w:spacing w:before="220"/>
        <w:ind w:firstLine="540"/>
        <w:jc w:val="both"/>
      </w:pPr>
      <w:r>
        <w:t>Прогибы для указанных составных балок, найденные без учета податливости соединений, должны быть увеличены на 30%.</w:t>
      </w:r>
    </w:p>
    <w:p w:rsidR="00212513" w:rsidRDefault="00212513">
      <w:pPr>
        <w:pStyle w:val="ConsPlusNormal"/>
        <w:spacing w:before="220"/>
        <w:ind w:firstLine="540"/>
        <w:jc w:val="both"/>
      </w:pPr>
      <w:r>
        <w:t>10.34 Расчет многослойных элементов клееных конструкций по прочности и устойчивости допускается производить без учета податливости швов. Влияние податливости швов на прогибы клееных балок допускается учитывать увеличением прогибов на 20%.</w:t>
      </w:r>
    </w:p>
    <w:p w:rsidR="00212513" w:rsidRDefault="00212513">
      <w:pPr>
        <w:pStyle w:val="ConsPlusNormal"/>
        <w:spacing w:before="220"/>
        <w:ind w:firstLine="540"/>
        <w:jc w:val="both"/>
      </w:pPr>
      <w:r>
        <w:t>10.35 При отсутствии местного прогиба и наличии накладок и прокладок в стыках поясов сквозных ферм, выполненных с пригонкой торцов, допускается через торцы передавать полное расчетное усилие, если стык расположен в узле фермы, и половину расчетного усилия, если стыки расположены вне узла фермы.</w:t>
      </w:r>
    </w:p>
    <w:p w:rsidR="00212513" w:rsidRDefault="00212513">
      <w:pPr>
        <w:pStyle w:val="ConsPlusNormal"/>
        <w:spacing w:before="220"/>
        <w:ind w:firstLine="540"/>
        <w:jc w:val="both"/>
      </w:pPr>
      <w:r>
        <w:t>10.36 Дощатую ферму допускается рассчитывать как сплошную балку, в которой изгибающие моменты воспринимаются поясами, а поперечные силы - раскосами решетки или стенки с распределением поровну на все пересекаемые раскосы.</w:t>
      </w:r>
    </w:p>
    <w:p w:rsidR="00212513" w:rsidRDefault="00212513">
      <w:pPr>
        <w:pStyle w:val="ConsPlusNormal"/>
        <w:spacing w:before="220"/>
        <w:ind w:firstLine="540"/>
        <w:jc w:val="both"/>
      </w:pPr>
      <w:r>
        <w:t>К площади сечения пояса нетто следует вводить коэффициенты, равные: 1,0 - для доски, ближайшей к стенке, 0,8 - для следующей и 0,6 - для третьей. Прогибы дощатых ферм с параллельными поясами, рассчитанные без учета податливости соединений, следует увеличивать на 30%.</w:t>
      </w:r>
    </w:p>
    <w:p w:rsidR="00212513" w:rsidRDefault="00212513">
      <w:pPr>
        <w:pStyle w:val="ConsPlusNormal"/>
        <w:spacing w:before="220"/>
        <w:ind w:firstLine="540"/>
        <w:jc w:val="both"/>
      </w:pPr>
      <w:r>
        <w:t>Опорные стойки ферм рассчитываются на передачу полного опорного давления от примыкающих элементов решетки.</w:t>
      </w:r>
    </w:p>
    <w:p w:rsidR="00212513" w:rsidRDefault="00212513">
      <w:pPr>
        <w:pStyle w:val="ConsPlusNormal"/>
        <w:spacing w:before="220"/>
        <w:ind w:firstLine="540"/>
        <w:jc w:val="both"/>
      </w:pPr>
      <w:r>
        <w:t xml:space="preserve">10.37 При расчете ряжей следует принимать, что они опираются на 2/3 своей площади. Коэффициент трения по грунту необходимо принимать согласно требованиям </w:t>
      </w:r>
      <w:hyperlink w:anchor="P11048">
        <w:r>
          <w:rPr>
            <w:color w:val="0000FF"/>
          </w:rPr>
          <w:t>11.14</w:t>
        </w:r>
      </w:hyperlink>
      <w:r>
        <w:t>.</w:t>
      </w:r>
    </w:p>
    <w:p w:rsidR="00212513" w:rsidRDefault="00212513">
      <w:pPr>
        <w:pStyle w:val="ConsPlusNormal"/>
        <w:spacing w:before="220"/>
        <w:ind w:firstLine="540"/>
        <w:jc w:val="both"/>
      </w:pPr>
      <w:r>
        <w:t>10.38 Расчет устойчивости положения опор против опрокидывания должен производиться: относительно сроста наружной коренной сваи - при опорах без боковых укосин или наклонных свай; относительно нижней точки опоры боковой укосины или наклонной сваи (в уровне нижних горизонтальных поперечных связей) при опорах с боковыми укосинами и наклонными сваями.</w:t>
      </w:r>
    </w:p>
    <w:p w:rsidR="00212513" w:rsidRDefault="00212513">
      <w:pPr>
        <w:pStyle w:val="ConsPlusNormal"/>
        <w:ind w:firstLine="540"/>
        <w:jc w:val="both"/>
      </w:pPr>
    </w:p>
    <w:p w:rsidR="00212513" w:rsidRDefault="00212513">
      <w:pPr>
        <w:pStyle w:val="ConsPlusTitle"/>
        <w:ind w:firstLine="540"/>
        <w:jc w:val="both"/>
        <w:outlineLvl w:val="2"/>
      </w:pPr>
      <w:r>
        <w:t>Расчет соединений</w:t>
      </w:r>
    </w:p>
    <w:p w:rsidR="00212513" w:rsidRDefault="00212513">
      <w:pPr>
        <w:pStyle w:val="ConsPlusNormal"/>
        <w:ind w:firstLine="540"/>
        <w:jc w:val="both"/>
      </w:pPr>
    </w:p>
    <w:p w:rsidR="00212513" w:rsidRDefault="00212513">
      <w:pPr>
        <w:pStyle w:val="ConsPlusNormal"/>
        <w:ind w:firstLine="540"/>
        <w:jc w:val="both"/>
      </w:pPr>
      <w:r>
        <w:t>10.39 Расчет на смятие и скалывание соединений элементов, работающих на осевые силы, следует производить без учета работы стальных скреплений по формулам:</w:t>
      </w:r>
    </w:p>
    <w:p w:rsidR="00212513" w:rsidRDefault="00212513">
      <w:pPr>
        <w:pStyle w:val="ConsPlusNormal"/>
        <w:spacing w:before="220"/>
        <w:ind w:firstLine="540"/>
        <w:jc w:val="both"/>
      </w:pPr>
      <w:r>
        <w:t>на смятие</w:t>
      </w:r>
    </w:p>
    <w:p w:rsidR="00212513" w:rsidRDefault="00212513">
      <w:pPr>
        <w:pStyle w:val="ConsPlusNormal"/>
        <w:ind w:firstLine="540"/>
        <w:jc w:val="both"/>
      </w:pPr>
    </w:p>
    <w:p w:rsidR="00212513" w:rsidRDefault="00212513">
      <w:pPr>
        <w:pStyle w:val="ConsPlusNormal"/>
        <w:jc w:val="center"/>
      </w:pPr>
      <w:r>
        <w:rPr>
          <w:noProof/>
          <w:position w:val="-27"/>
        </w:rPr>
        <w:drawing>
          <wp:inline distT="0" distB="0" distL="0" distR="0">
            <wp:extent cx="880110" cy="494030"/>
            <wp:effectExtent l="0" t="0" r="0" b="0"/>
            <wp:docPr id="19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4" cstate="print">
                      <a:extLst>
                        <a:ext uri="{28A0092B-C50C-407E-A947-70E740481C1C}">
                          <a14:useLocalDpi xmlns:a14="http://schemas.microsoft.com/office/drawing/2010/main" val="0"/>
                        </a:ext>
                      </a:extLst>
                    </a:blip>
                    <a:srcRect/>
                    <a:stretch>
                      <a:fillRect/>
                    </a:stretch>
                  </pic:blipFill>
                  <pic:spPr bwMode="auto">
                    <a:xfrm>
                      <a:off x="0" y="0"/>
                      <a:ext cx="880110" cy="494030"/>
                    </a:xfrm>
                    <a:prstGeom prst="rect">
                      <a:avLst/>
                    </a:prstGeom>
                    <a:noFill/>
                    <a:ln>
                      <a:noFill/>
                    </a:ln>
                  </pic:spPr>
                </pic:pic>
              </a:graphicData>
            </a:graphic>
          </wp:inline>
        </w:drawing>
      </w:r>
      <w:r>
        <w:t>; (10.20)</w:t>
      </w:r>
    </w:p>
    <w:p w:rsidR="00212513" w:rsidRDefault="00212513">
      <w:pPr>
        <w:pStyle w:val="ConsPlusNormal"/>
        <w:ind w:firstLine="540"/>
        <w:jc w:val="both"/>
      </w:pPr>
    </w:p>
    <w:p w:rsidR="00212513" w:rsidRDefault="00212513">
      <w:pPr>
        <w:pStyle w:val="ConsPlusNormal"/>
        <w:ind w:firstLine="540"/>
        <w:jc w:val="both"/>
      </w:pPr>
      <w:r>
        <w:t>на скалывание</w:t>
      </w:r>
    </w:p>
    <w:p w:rsidR="00212513" w:rsidRDefault="00212513">
      <w:pPr>
        <w:pStyle w:val="ConsPlusNormal"/>
        <w:ind w:firstLine="540"/>
        <w:jc w:val="both"/>
      </w:pPr>
    </w:p>
    <w:p w:rsidR="00212513" w:rsidRDefault="00212513">
      <w:pPr>
        <w:pStyle w:val="ConsPlusNormal"/>
        <w:jc w:val="center"/>
      </w:pPr>
      <w:r>
        <w:rPr>
          <w:noProof/>
          <w:position w:val="-26"/>
        </w:rPr>
        <w:lastRenderedPageBreak/>
        <w:drawing>
          <wp:inline distT="0" distB="0" distL="0" distR="0">
            <wp:extent cx="902970" cy="470535"/>
            <wp:effectExtent l="0" t="0" r="0" b="0"/>
            <wp:docPr id="19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5" cstate="print">
                      <a:extLst>
                        <a:ext uri="{28A0092B-C50C-407E-A947-70E740481C1C}">
                          <a14:useLocalDpi xmlns:a14="http://schemas.microsoft.com/office/drawing/2010/main" val="0"/>
                        </a:ext>
                      </a:extLst>
                    </a:blip>
                    <a:srcRect/>
                    <a:stretch>
                      <a:fillRect/>
                    </a:stretch>
                  </pic:blipFill>
                  <pic:spPr bwMode="auto">
                    <a:xfrm>
                      <a:off x="0" y="0"/>
                      <a:ext cx="902970" cy="470535"/>
                    </a:xfrm>
                    <a:prstGeom prst="rect">
                      <a:avLst/>
                    </a:prstGeom>
                    <a:noFill/>
                    <a:ln>
                      <a:noFill/>
                    </a:ln>
                  </pic:spPr>
                </pic:pic>
              </a:graphicData>
            </a:graphic>
          </wp:inline>
        </w:drawing>
      </w:r>
      <w:r>
        <w:t>, (10.21)</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9"/>
        </w:rPr>
        <w:drawing>
          <wp:inline distT="0" distB="0" distL="0" distR="0">
            <wp:extent cx="209550" cy="262890"/>
            <wp:effectExtent l="0" t="0" r="0" b="0"/>
            <wp:docPr id="19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6"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19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площади смятия и скалывания;</w:t>
      </w:r>
    </w:p>
    <w:p w:rsidR="00212513" w:rsidRDefault="00212513">
      <w:pPr>
        <w:pStyle w:val="ConsPlusNormal"/>
        <w:spacing w:before="220"/>
        <w:ind w:firstLine="540"/>
        <w:jc w:val="both"/>
      </w:pPr>
      <w:r>
        <w:rPr>
          <w:noProof/>
          <w:position w:val="-9"/>
        </w:rPr>
        <w:drawing>
          <wp:inline distT="0" distB="0" distL="0" distR="0">
            <wp:extent cx="220980" cy="262890"/>
            <wp:effectExtent l="0" t="0" r="0" b="0"/>
            <wp:docPr id="19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8"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коэффициент условий работы древесины на смятие поперек волокон, равный:</w:t>
      </w:r>
    </w:p>
    <w:p w:rsidR="00212513" w:rsidRDefault="00212513">
      <w:pPr>
        <w:pStyle w:val="ConsPlusNormal"/>
        <w:spacing w:before="220"/>
        <w:ind w:firstLine="540"/>
        <w:jc w:val="both"/>
      </w:pPr>
      <w:r>
        <w:t>для соединения лежней и насадок в сопряжении со стойками или сваями при эксплуатации элементов конструкции выше горизонта воды - 1,2;</w:t>
      </w:r>
    </w:p>
    <w:p w:rsidR="00212513" w:rsidRDefault="00212513">
      <w:pPr>
        <w:pStyle w:val="ConsPlusNormal"/>
        <w:spacing w:before="220"/>
        <w:ind w:firstLine="540"/>
        <w:jc w:val="both"/>
      </w:pPr>
      <w:r>
        <w:t>при соприкасающихся с грунтом или находящихся в грунте - 0,85;</w:t>
      </w:r>
    </w:p>
    <w:p w:rsidR="00212513" w:rsidRDefault="00212513">
      <w:pPr>
        <w:pStyle w:val="ConsPlusNormal"/>
        <w:spacing w:before="220"/>
        <w:ind w:firstLine="540"/>
        <w:jc w:val="both"/>
      </w:pPr>
      <w:r>
        <w:t>постоянно увлажняемых и находящихся в воде - 0,75;</w:t>
      </w:r>
    </w:p>
    <w:p w:rsidR="00212513" w:rsidRDefault="00212513">
      <w:pPr>
        <w:pStyle w:val="ConsPlusNormal"/>
        <w:spacing w:before="220"/>
        <w:ind w:firstLine="540"/>
        <w:jc w:val="both"/>
      </w:pPr>
      <w:r>
        <w:rPr>
          <w:noProof/>
          <w:position w:val="-8"/>
        </w:rPr>
        <w:drawing>
          <wp:inline distT="0" distB="0" distL="0" distR="0">
            <wp:extent cx="220980" cy="251460"/>
            <wp:effectExtent l="0" t="0" r="0" b="0"/>
            <wp:docPr id="19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9"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коэффициент условий работы на скалывание, равный:</w:t>
      </w:r>
    </w:p>
    <w:p w:rsidR="00212513" w:rsidRDefault="00212513">
      <w:pPr>
        <w:pStyle w:val="ConsPlusNormal"/>
        <w:spacing w:before="220"/>
        <w:ind w:firstLine="540"/>
        <w:jc w:val="both"/>
      </w:pPr>
      <w:r>
        <w:t>в лобовых врубках:</w:t>
      </w:r>
    </w:p>
    <w:p w:rsidR="00212513" w:rsidRDefault="00212513">
      <w:pPr>
        <w:pStyle w:val="ConsPlusNormal"/>
        <w:spacing w:before="220"/>
        <w:ind w:firstLine="540"/>
        <w:jc w:val="both"/>
      </w:pPr>
      <w:r>
        <w:t>1,0 - при врубках с одним зубом;</w:t>
      </w:r>
    </w:p>
    <w:p w:rsidR="00212513" w:rsidRDefault="00212513">
      <w:pPr>
        <w:pStyle w:val="ConsPlusNormal"/>
        <w:spacing w:before="220"/>
        <w:ind w:firstLine="540"/>
        <w:jc w:val="both"/>
      </w:pPr>
      <w:r>
        <w:t>0,8 и 1,15 - при врубках с двумя зубьями, соответственно по первому от торца и второму зубу;</w:t>
      </w:r>
    </w:p>
    <w:p w:rsidR="00212513" w:rsidRDefault="00212513">
      <w:pPr>
        <w:pStyle w:val="ConsPlusNormal"/>
        <w:spacing w:before="220"/>
        <w:ind w:firstLine="540"/>
        <w:jc w:val="both"/>
      </w:pPr>
      <w:r>
        <w:t>в элементах, соединяемых на продольных шпонках, - 0,7.</w:t>
      </w:r>
    </w:p>
    <w:p w:rsidR="00212513" w:rsidRDefault="00212513">
      <w:pPr>
        <w:pStyle w:val="ConsPlusNormal"/>
        <w:spacing w:before="220"/>
        <w:ind w:firstLine="540"/>
        <w:jc w:val="both"/>
      </w:pPr>
      <w:r>
        <w:t>Силы трения в соединениях при расчетах на смятие и скалывание не учитываются, если они не вызывают дополнительных напряжений.</w:t>
      </w:r>
    </w:p>
    <w:p w:rsidR="00212513" w:rsidRDefault="00212513">
      <w:pPr>
        <w:pStyle w:val="ConsPlusNormal"/>
        <w:spacing w:before="220"/>
        <w:ind w:firstLine="540"/>
        <w:jc w:val="both"/>
      </w:pPr>
      <w:r>
        <w:t>Расчетную несущую способность площадок местного смятия древесины поперек волокон (за исключением лобовых врубок, гнезд и нагелей) допускается повышать за счет усиления их металлическими скреплениями (гвоздями, дюбелями, шурупами, глухарями), работающими совместно со смятием древесины.</w:t>
      </w:r>
    </w:p>
    <w:p w:rsidR="00212513" w:rsidRDefault="00212513">
      <w:pPr>
        <w:pStyle w:val="ConsPlusNormal"/>
        <w:spacing w:before="220"/>
        <w:ind w:firstLine="540"/>
        <w:jc w:val="both"/>
      </w:pPr>
      <w:r>
        <w:t xml:space="preserve">Размещение на площади местного смятия металлических скреплений, работающих на вдавливание, следует производить в соответствии с требованиями </w:t>
      </w:r>
      <w:hyperlink w:anchor="P10829">
        <w:r>
          <w:rPr>
            <w:color w:val="0000FF"/>
          </w:rPr>
          <w:t>таблицы 10.10</w:t>
        </w:r>
      </w:hyperlink>
      <w:r>
        <w:t>.</w:t>
      </w:r>
    </w:p>
    <w:p w:rsidR="00212513" w:rsidRDefault="00212513">
      <w:pPr>
        <w:pStyle w:val="ConsPlusNormal"/>
        <w:spacing w:before="220"/>
        <w:ind w:firstLine="540"/>
        <w:jc w:val="both"/>
      </w:pPr>
      <w:r>
        <w:t>Расчет соединений с площадками местного смятия поперек волокон, усиленными скреплениями, следует производить по формуле</w:t>
      </w:r>
    </w:p>
    <w:p w:rsidR="00212513" w:rsidRDefault="00212513">
      <w:pPr>
        <w:pStyle w:val="ConsPlusNormal"/>
        <w:ind w:firstLine="540"/>
        <w:jc w:val="both"/>
      </w:pPr>
    </w:p>
    <w:p w:rsidR="00212513" w:rsidRDefault="00212513">
      <w:pPr>
        <w:pStyle w:val="ConsPlusNormal"/>
        <w:jc w:val="center"/>
      </w:pPr>
      <w:bookmarkStart w:id="448" w:name="P10654"/>
      <w:bookmarkEnd w:id="448"/>
      <w:r>
        <w:rPr>
          <w:noProof/>
          <w:position w:val="-27"/>
        </w:rPr>
        <w:drawing>
          <wp:inline distT="0" distB="0" distL="0" distR="0">
            <wp:extent cx="1494155" cy="494030"/>
            <wp:effectExtent l="0" t="0" r="0" b="0"/>
            <wp:docPr id="19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0" cstate="print">
                      <a:extLst>
                        <a:ext uri="{28A0092B-C50C-407E-A947-70E740481C1C}">
                          <a14:useLocalDpi xmlns:a14="http://schemas.microsoft.com/office/drawing/2010/main" val="0"/>
                        </a:ext>
                      </a:extLst>
                    </a:blip>
                    <a:srcRect/>
                    <a:stretch>
                      <a:fillRect/>
                    </a:stretch>
                  </pic:blipFill>
                  <pic:spPr bwMode="auto">
                    <a:xfrm>
                      <a:off x="0" y="0"/>
                      <a:ext cx="1494155" cy="494030"/>
                    </a:xfrm>
                    <a:prstGeom prst="rect">
                      <a:avLst/>
                    </a:prstGeom>
                    <a:noFill/>
                    <a:ln>
                      <a:noFill/>
                    </a:ln>
                  </pic:spPr>
                </pic:pic>
              </a:graphicData>
            </a:graphic>
          </wp:inline>
        </w:drawing>
      </w:r>
      <w:r>
        <w:t>, (10.22)</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8"/>
        </w:rPr>
        <w:drawing>
          <wp:inline distT="0" distB="0" distL="0" distR="0">
            <wp:extent cx="177800" cy="251460"/>
            <wp:effectExtent l="0" t="0" r="0" b="0"/>
            <wp:docPr id="19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1"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число скреплений на площадке местного смятия;</w:t>
      </w:r>
    </w:p>
    <w:p w:rsidR="00212513" w:rsidRDefault="00212513">
      <w:pPr>
        <w:pStyle w:val="ConsPlusNormal"/>
        <w:spacing w:before="220"/>
        <w:ind w:firstLine="540"/>
        <w:jc w:val="both"/>
      </w:pPr>
      <w:r>
        <w:rPr>
          <w:noProof/>
          <w:position w:val="-8"/>
        </w:rPr>
        <w:drawing>
          <wp:inline distT="0" distB="0" distL="0" distR="0">
            <wp:extent cx="324485" cy="251460"/>
            <wp:effectExtent l="0" t="0" r="0" b="0"/>
            <wp:docPr id="19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2" cstate="print">
                      <a:extLst>
                        <a:ext uri="{28A0092B-C50C-407E-A947-70E740481C1C}">
                          <a14:useLocalDpi xmlns:a14="http://schemas.microsoft.com/office/drawing/2010/main" val="0"/>
                        </a:ext>
                      </a:extLst>
                    </a:blip>
                    <a:srcRect/>
                    <a:stretch>
                      <a:fillRect/>
                    </a:stretch>
                  </pic:blipFill>
                  <pic:spPr bwMode="auto">
                    <a:xfrm>
                      <a:off x="0" y="0"/>
                      <a:ext cx="324485" cy="251460"/>
                    </a:xfrm>
                    <a:prstGeom prst="rect">
                      <a:avLst/>
                    </a:prstGeom>
                    <a:noFill/>
                    <a:ln>
                      <a:noFill/>
                    </a:ln>
                  </pic:spPr>
                </pic:pic>
              </a:graphicData>
            </a:graphic>
          </wp:inline>
        </w:drawing>
      </w:r>
      <w:r>
        <w:t xml:space="preserve"> - расчетная несущая способность вдавливанию одного скрепления (гвоздя, дюбеля, шурупа, глухаря), кН, внедренного в древесину поперек волокон, определяемая по формуле</w:t>
      </w:r>
    </w:p>
    <w:p w:rsidR="00212513" w:rsidRDefault="00212513">
      <w:pPr>
        <w:pStyle w:val="ConsPlusNormal"/>
        <w:ind w:firstLine="540"/>
        <w:jc w:val="both"/>
      </w:pPr>
    </w:p>
    <w:p w:rsidR="00212513" w:rsidRDefault="00212513">
      <w:pPr>
        <w:pStyle w:val="ConsPlusNormal"/>
        <w:jc w:val="center"/>
      </w:pPr>
      <w:r>
        <w:rPr>
          <w:noProof/>
          <w:position w:val="-11"/>
        </w:rPr>
        <w:drawing>
          <wp:inline distT="0" distB="0" distL="0" distR="0">
            <wp:extent cx="2108835" cy="281940"/>
            <wp:effectExtent l="0" t="0" r="0" b="0"/>
            <wp:docPr id="19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3" cstate="print">
                      <a:extLst>
                        <a:ext uri="{28A0092B-C50C-407E-A947-70E740481C1C}">
                          <a14:useLocalDpi xmlns:a14="http://schemas.microsoft.com/office/drawing/2010/main" val="0"/>
                        </a:ext>
                      </a:extLst>
                    </a:blip>
                    <a:srcRect/>
                    <a:stretch>
                      <a:fillRect/>
                    </a:stretch>
                  </pic:blipFill>
                  <pic:spPr bwMode="auto">
                    <a:xfrm>
                      <a:off x="0" y="0"/>
                      <a:ext cx="2108835" cy="281940"/>
                    </a:xfrm>
                    <a:prstGeom prst="rect">
                      <a:avLst/>
                    </a:prstGeom>
                    <a:noFill/>
                    <a:ln>
                      <a:noFill/>
                    </a:ln>
                  </pic:spPr>
                </pic:pic>
              </a:graphicData>
            </a:graphic>
          </wp:inline>
        </w:drawing>
      </w:r>
      <w:r>
        <w:t>, (10.23)</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8"/>
        </w:rPr>
        <w:drawing>
          <wp:inline distT="0" distB="0" distL="0" distR="0">
            <wp:extent cx="293370" cy="251460"/>
            <wp:effectExtent l="0" t="0" r="0" b="0"/>
            <wp:docPr id="19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4"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 расчетное сопротивление вдавливанию на единицу поверхности расчетного контакта скрепления с древесиной, принимаемое равным:</w:t>
      </w:r>
    </w:p>
    <w:p w:rsidR="00212513" w:rsidRDefault="00212513">
      <w:pPr>
        <w:pStyle w:val="ConsPlusNormal"/>
        <w:spacing w:before="220"/>
        <w:ind w:firstLine="540"/>
        <w:jc w:val="both"/>
      </w:pPr>
      <w:r>
        <w:lastRenderedPageBreak/>
        <w:t>для гвоздей и дюбелей, независимо от влажности древесины - 0,3 МПа;</w:t>
      </w:r>
    </w:p>
    <w:p w:rsidR="00212513" w:rsidRDefault="00212513">
      <w:pPr>
        <w:pStyle w:val="ConsPlusNormal"/>
        <w:spacing w:before="220"/>
        <w:ind w:firstLine="540"/>
        <w:jc w:val="both"/>
      </w:pPr>
      <w:r>
        <w:t xml:space="preserve">для винтового гвоздя </w:t>
      </w:r>
      <w:hyperlink w:anchor="P19089">
        <w:r>
          <w:rPr>
            <w:color w:val="0000FF"/>
          </w:rPr>
          <w:t>[13]</w:t>
        </w:r>
      </w:hyperlink>
      <w:r>
        <w:t xml:space="preserve"> при воздушно-сухой древесине - 0,6 МПа;</w:t>
      </w:r>
    </w:p>
    <w:p w:rsidR="00212513" w:rsidRDefault="00212513">
      <w:pPr>
        <w:pStyle w:val="ConsPlusNormal"/>
        <w:spacing w:before="220"/>
        <w:ind w:firstLine="540"/>
        <w:jc w:val="both"/>
      </w:pPr>
      <w:r>
        <w:t xml:space="preserve">для шурупов, глухарей - </w:t>
      </w:r>
      <w:r>
        <w:rPr>
          <w:noProof/>
          <w:position w:val="-8"/>
        </w:rPr>
        <w:drawing>
          <wp:inline distT="0" distB="0" distL="0" distR="0">
            <wp:extent cx="324485" cy="251460"/>
            <wp:effectExtent l="0" t="0" r="0" b="0"/>
            <wp:docPr id="19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5" cstate="print">
                      <a:extLst>
                        <a:ext uri="{28A0092B-C50C-407E-A947-70E740481C1C}">
                          <a14:useLocalDpi xmlns:a14="http://schemas.microsoft.com/office/drawing/2010/main" val="0"/>
                        </a:ext>
                      </a:extLst>
                    </a:blip>
                    <a:srcRect/>
                    <a:stretch>
                      <a:fillRect/>
                    </a:stretch>
                  </pic:blipFill>
                  <pic:spPr bwMode="auto">
                    <a:xfrm>
                      <a:off x="0" y="0"/>
                      <a:ext cx="324485" cy="251460"/>
                    </a:xfrm>
                    <a:prstGeom prst="rect">
                      <a:avLst/>
                    </a:prstGeom>
                    <a:noFill/>
                    <a:ln>
                      <a:noFill/>
                    </a:ln>
                  </pic:spPr>
                </pic:pic>
              </a:graphicData>
            </a:graphic>
          </wp:inline>
        </w:drawing>
      </w:r>
      <w:r>
        <w:t xml:space="preserve"> по </w:t>
      </w:r>
      <w:hyperlink w:anchor="P10152">
        <w:r>
          <w:rPr>
            <w:color w:val="0000FF"/>
          </w:rPr>
          <w:t>таблице 10.1</w:t>
        </w:r>
      </w:hyperlink>
      <w:r>
        <w:t xml:space="preserve"> для соответствующей влажности древесины;</w:t>
      </w:r>
    </w:p>
    <w:p w:rsidR="00212513" w:rsidRDefault="00212513">
      <w:pPr>
        <w:pStyle w:val="ConsPlusNormal"/>
        <w:spacing w:before="220"/>
        <w:ind w:firstLine="540"/>
        <w:jc w:val="both"/>
      </w:pPr>
      <w:r>
        <w:rPr>
          <w:noProof/>
          <w:position w:val="-8"/>
        </w:rPr>
        <w:drawing>
          <wp:inline distT="0" distB="0" distL="0" distR="0">
            <wp:extent cx="198755" cy="250825"/>
            <wp:effectExtent l="0" t="0" r="0" b="0"/>
            <wp:docPr id="19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диаметр стержня скрепления, м (см);</w:t>
      </w:r>
    </w:p>
    <w:p w:rsidR="00212513" w:rsidRDefault="00212513">
      <w:pPr>
        <w:pStyle w:val="ConsPlusNormal"/>
        <w:spacing w:before="220"/>
        <w:ind w:firstLine="540"/>
        <w:jc w:val="both"/>
      </w:pPr>
      <w:r>
        <w:rPr>
          <w:noProof/>
          <w:position w:val="-8"/>
        </w:rPr>
        <w:drawing>
          <wp:inline distT="0" distB="0" distL="0" distR="0">
            <wp:extent cx="137160" cy="250825"/>
            <wp:effectExtent l="0" t="0" r="0" b="0"/>
            <wp:docPr id="19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7"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 расчетная длина контакта скрепления с древесиной, м (см);</w:t>
      </w:r>
    </w:p>
    <w:p w:rsidR="00212513" w:rsidRDefault="00212513">
      <w:pPr>
        <w:pStyle w:val="ConsPlusNormal"/>
        <w:spacing w:before="220"/>
        <w:ind w:firstLine="540"/>
        <w:jc w:val="both"/>
      </w:pPr>
      <w:r>
        <w:rPr>
          <w:noProof/>
          <w:position w:val="-9"/>
        </w:rPr>
        <w:drawing>
          <wp:inline distT="0" distB="0" distL="0" distR="0">
            <wp:extent cx="304165" cy="262890"/>
            <wp:effectExtent l="0" t="0" r="0" b="0"/>
            <wp:docPr id="19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8" cstate="print">
                      <a:extLst>
                        <a:ext uri="{28A0092B-C50C-407E-A947-70E740481C1C}">
                          <a14:useLocalDpi xmlns:a14="http://schemas.microsoft.com/office/drawing/2010/main" val="0"/>
                        </a:ext>
                      </a:extLst>
                    </a:blip>
                    <a:srcRect/>
                    <a:stretch>
                      <a:fillRect/>
                    </a:stretch>
                  </pic:blipFill>
                  <pic:spPr bwMode="auto">
                    <a:xfrm>
                      <a:off x="0" y="0"/>
                      <a:ext cx="304165" cy="262890"/>
                    </a:xfrm>
                    <a:prstGeom prst="rect">
                      <a:avLst/>
                    </a:prstGeom>
                    <a:noFill/>
                    <a:ln>
                      <a:noFill/>
                    </a:ln>
                  </pic:spPr>
                </pic:pic>
              </a:graphicData>
            </a:graphic>
          </wp:inline>
        </w:drawing>
      </w:r>
      <w:r>
        <w:t xml:space="preserve"> - расчетное сопротивление местному смятию поперек волокон, которое допускается определять по </w:t>
      </w:r>
      <w:hyperlink w:anchor="P10152">
        <w:r>
          <w:rPr>
            <w:color w:val="0000FF"/>
          </w:rPr>
          <w:t>таблице 10.1</w:t>
        </w:r>
      </w:hyperlink>
      <w:r>
        <w:t>;</w:t>
      </w:r>
    </w:p>
    <w:p w:rsidR="00212513" w:rsidRDefault="00212513">
      <w:pPr>
        <w:pStyle w:val="ConsPlusNormal"/>
        <w:spacing w:before="220"/>
        <w:ind w:firstLine="540"/>
        <w:jc w:val="both"/>
      </w:pPr>
      <w:r>
        <w:rPr>
          <w:noProof/>
          <w:position w:val="-8"/>
        </w:rPr>
        <w:drawing>
          <wp:inline distT="0" distB="0" distL="0" distR="0">
            <wp:extent cx="220980" cy="251460"/>
            <wp:effectExtent l="0" t="0" r="0" b="0"/>
            <wp:docPr id="19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9"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диаметр шляпки скрепления, м (см).</w:t>
      </w:r>
    </w:p>
    <w:p w:rsidR="00212513" w:rsidRDefault="00212513">
      <w:pPr>
        <w:pStyle w:val="ConsPlusNormal"/>
        <w:spacing w:before="220"/>
        <w:ind w:firstLine="540"/>
        <w:jc w:val="both"/>
      </w:pPr>
      <w:r>
        <w:t xml:space="preserve">Правая часть </w:t>
      </w:r>
      <w:hyperlink w:anchor="P10654">
        <w:r>
          <w:rPr>
            <w:color w:val="0000FF"/>
          </w:rPr>
          <w:t>формулы (10.22)</w:t>
        </w:r>
      </w:hyperlink>
      <w:r>
        <w:t xml:space="preserve"> не должна превышать значение </w:t>
      </w:r>
      <w:r>
        <w:rPr>
          <w:noProof/>
          <w:position w:val="-9"/>
        </w:rPr>
        <w:drawing>
          <wp:inline distT="0" distB="0" distL="0" distR="0">
            <wp:extent cx="578485" cy="262890"/>
            <wp:effectExtent l="0" t="0" r="0" b="0"/>
            <wp:docPr id="20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0" cstate="print">
                      <a:extLst>
                        <a:ext uri="{28A0092B-C50C-407E-A947-70E740481C1C}">
                          <a14:useLocalDpi xmlns:a14="http://schemas.microsoft.com/office/drawing/2010/main" val="0"/>
                        </a:ext>
                      </a:extLst>
                    </a:blip>
                    <a:srcRect/>
                    <a:stretch>
                      <a:fillRect/>
                    </a:stretch>
                  </pic:blipFill>
                  <pic:spPr bwMode="auto">
                    <a:xfrm>
                      <a:off x="0" y="0"/>
                      <a:ext cx="578485" cy="262890"/>
                    </a:xfrm>
                    <a:prstGeom prst="rect">
                      <a:avLst/>
                    </a:prstGeom>
                    <a:noFill/>
                    <a:ln>
                      <a:noFill/>
                    </a:ln>
                  </pic:spPr>
                </pic:pic>
              </a:graphicData>
            </a:graphic>
          </wp:inline>
        </w:drawing>
      </w:r>
      <w:r>
        <w:t>.</w:t>
      </w:r>
    </w:p>
    <w:p w:rsidR="00212513" w:rsidRDefault="00212513">
      <w:pPr>
        <w:pStyle w:val="ConsPlusNormal"/>
        <w:spacing w:before="220"/>
        <w:ind w:firstLine="540"/>
        <w:jc w:val="both"/>
      </w:pPr>
      <w:r>
        <w:t>10.40 Расчет лобовых врубок с двумя зубьями на скалывание следует выполнять: по плоскости скалывания первого от торца зуба - на усилие, приходящееся на его площадь смятия; по плоскости скалывания второго от торца зуба - на полную силу.</w:t>
      </w:r>
    </w:p>
    <w:p w:rsidR="00212513" w:rsidRDefault="00212513">
      <w:pPr>
        <w:pStyle w:val="ConsPlusNormal"/>
        <w:spacing w:before="220"/>
        <w:ind w:firstLine="540"/>
        <w:jc w:val="both"/>
      </w:pPr>
      <w:r>
        <w:t xml:space="preserve">10.41 Расчетная длина скалывания </w:t>
      </w:r>
      <w:r>
        <w:rPr>
          <w:noProof/>
          <w:position w:val="-8"/>
        </w:rPr>
        <w:drawing>
          <wp:inline distT="0" distB="0" distL="0" distR="0">
            <wp:extent cx="156845" cy="251460"/>
            <wp:effectExtent l="0" t="0" r="0" b="0"/>
            <wp:docPr id="20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1"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в элементах, соединяемых наклонными колодками, должна приниматься равной</w:t>
      </w:r>
    </w:p>
    <w:p w:rsidR="00212513" w:rsidRDefault="00212513">
      <w:pPr>
        <w:pStyle w:val="ConsPlusNormal"/>
        <w:ind w:firstLine="540"/>
        <w:jc w:val="both"/>
      </w:pPr>
    </w:p>
    <w:p w:rsidR="00212513" w:rsidRDefault="00212513">
      <w:pPr>
        <w:pStyle w:val="ConsPlusNormal"/>
        <w:jc w:val="center"/>
      </w:pPr>
      <w:bookmarkStart w:id="449" w:name="P10673"/>
      <w:bookmarkEnd w:id="449"/>
      <w:r>
        <w:rPr>
          <w:noProof/>
          <w:position w:val="-8"/>
        </w:rPr>
        <w:drawing>
          <wp:inline distT="0" distB="0" distL="0" distR="0">
            <wp:extent cx="902970" cy="251460"/>
            <wp:effectExtent l="0" t="0" r="0" b="0"/>
            <wp:docPr id="20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2" cstate="print">
                      <a:extLst>
                        <a:ext uri="{28A0092B-C50C-407E-A947-70E740481C1C}">
                          <a14:useLocalDpi xmlns:a14="http://schemas.microsoft.com/office/drawing/2010/main" val="0"/>
                        </a:ext>
                      </a:extLst>
                    </a:blip>
                    <a:srcRect/>
                    <a:stretch>
                      <a:fillRect/>
                    </a:stretch>
                  </pic:blipFill>
                  <pic:spPr bwMode="auto">
                    <a:xfrm>
                      <a:off x="0" y="0"/>
                      <a:ext cx="902970" cy="251460"/>
                    </a:xfrm>
                    <a:prstGeom prst="rect">
                      <a:avLst/>
                    </a:prstGeom>
                    <a:noFill/>
                    <a:ln>
                      <a:noFill/>
                    </a:ln>
                  </pic:spPr>
                </pic:pic>
              </a:graphicData>
            </a:graphic>
          </wp:inline>
        </w:drawing>
      </w:r>
      <w:r>
        <w:t>. (10.24)</w:t>
      </w:r>
    </w:p>
    <w:p w:rsidR="00212513" w:rsidRDefault="00212513">
      <w:pPr>
        <w:pStyle w:val="ConsPlusNormal"/>
        <w:ind w:firstLine="540"/>
        <w:jc w:val="both"/>
      </w:pPr>
    </w:p>
    <w:p w:rsidR="00212513" w:rsidRDefault="00212513">
      <w:pPr>
        <w:pStyle w:val="ConsPlusNormal"/>
        <w:ind w:firstLine="540"/>
        <w:jc w:val="both"/>
      </w:pPr>
      <w:r>
        <w:t xml:space="preserve">Распор одной колодки </w:t>
      </w:r>
      <w:r>
        <w:rPr>
          <w:i/>
        </w:rPr>
        <w:t>S</w:t>
      </w:r>
      <w:r>
        <w:t xml:space="preserve"> для определения усилий в стяжных болтах следует вычислять по формуле</w:t>
      </w:r>
    </w:p>
    <w:p w:rsidR="00212513" w:rsidRDefault="00212513">
      <w:pPr>
        <w:pStyle w:val="ConsPlusNormal"/>
        <w:ind w:firstLine="540"/>
        <w:jc w:val="both"/>
      </w:pPr>
    </w:p>
    <w:p w:rsidR="00212513" w:rsidRDefault="00212513">
      <w:pPr>
        <w:pStyle w:val="ConsPlusNormal"/>
        <w:jc w:val="center"/>
      </w:pPr>
      <w:r>
        <w:rPr>
          <w:noProof/>
          <w:position w:val="-26"/>
        </w:rPr>
        <w:drawing>
          <wp:inline distT="0" distB="0" distL="0" distR="0">
            <wp:extent cx="733425" cy="470535"/>
            <wp:effectExtent l="0" t="0" r="0" b="0"/>
            <wp:docPr id="20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3" cstate="print">
                      <a:extLst>
                        <a:ext uri="{28A0092B-C50C-407E-A947-70E740481C1C}">
                          <a14:useLocalDpi xmlns:a14="http://schemas.microsoft.com/office/drawing/2010/main" val="0"/>
                        </a:ext>
                      </a:extLst>
                    </a:blip>
                    <a:srcRect/>
                    <a:stretch>
                      <a:fillRect/>
                    </a:stretch>
                  </pic:blipFill>
                  <pic:spPr bwMode="auto">
                    <a:xfrm>
                      <a:off x="0" y="0"/>
                      <a:ext cx="733425" cy="470535"/>
                    </a:xfrm>
                    <a:prstGeom prst="rect">
                      <a:avLst/>
                    </a:prstGeom>
                    <a:noFill/>
                    <a:ln>
                      <a:noFill/>
                    </a:ln>
                  </pic:spPr>
                </pic:pic>
              </a:graphicData>
            </a:graphic>
          </wp:inline>
        </w:drawing>
      </w:r>
      <w:r>
        <w:t>. (10.25)</w:t>
      </w:r>
    </w:p>
    <w:p w:rsidR="00212513" w:rsidRDefault="00212513">
      <w:pPr>
        <w:pStyle w:val="ConsPlusNormal"/>
        <w:ind w:firstLine="540"/>
        <w:jc w:val="both"/>
      </w:pPr>
    </w:p>
    <w:p w:rsidR="00212513" w:rsidRDefault="00212513">
      <w:pPr>
        <w:pStyle w:val="ConsPlusNormal"/>
        <w:ind w:firstLine="540"/>
        <w:jc w:val="both"/>
      </w:pPr>
      <w:r>
        <w:t xml:space="preserve">В </w:t>
      </w:r>
      <w:hyperlink w:anchor="P10673">
        <w:r>
          <w:rPr>
            <w:color w:val="0000FF"/>
          </w:rPr>
          <w:t>формулах (10.24)</w:t>
        </w:r>
      </w:hyperlink>
      <w:r>
        <w:t xml:space="preserve"> и (10.25):</w:t>
      </w:r>
    </w:p>
    <w:p w:rsidR="00212513" w:rsidRDefault="00212513">
      <w:pPr>
        <w:pStyle w:val="ConsPlusNormal"/>
        <w:spacing w:before="220"/>
        <w:ind w:firstLine="540"/>
        <w:jc w:val="both"/>
      </w:pPr>
      <w:r>
        <w:rPr>
          <w:i/>
        </w:rPr>
        <w:t>Q</w:t>
      </w:r>
      <w:r>
        <w:t xml:space="preserve"> - расчетная сдвигающая сила на одну колодку без учета податливости соединения;</w:t>
      </w:r>
    </w:p>
    <w:p w:rsidR="00212513" w:rsidRDefault="00212513">
      <w:pPr>
        <w:pStyle w:val="ConsPlusNormal"/>
        <w:spacing w:before="220"/>
        <w:ind w:firstLine="540"/>
        <w:jc w:val="both"/>
      </w:pPr>
      <w:r>
        <w:rPr>
          <w:i/>
        </w:rPr>
        <w:t>a</w:t>
      </w:r>
      <w:r>
        <w:t xml:space="preserve"> - расстояние между колодками в свету;</w:t>
      </w:r>
    </w:p>
    <w:p w:rsidR="00212513" w:rsidRDefault="00212513">
      <w:pPr>
        <w:pStyle w:val="ConsPlusNormal"/>
        <w:spacing w:before="220"/>
        <w:ind w:firstLine="540"/>
        <w:jc w:val="both"/>
      </w:pPr>
      <w:r>
        <w:rPr>
          <w:i/>
        </w:rPr>
        <w:t>z</w:t>
      </w:r>
      <w:r>
        <w:t xml:space="preserve"> - плечо сил скалывания колодки;</w:t>
      </w:r>
    </w:p>
    <w:p w:rsidR="00212513" w:rsidRDefault="00212513">
      <w:pPr>
        <w:pStyle w:val="ConsPlusNormal"/>
        <w:spacing w:before="220"/>
        <w:ind w:firstLine="540"/>
        <w:jc w:val="both"/>
      </w:pPr>
      <w:r>
        <w:rPr>
          <w:noProof/>
          <w:position w:val="-8"/>
        </w:rPr>
        <w:drawing>
          <wp:inline distT="0" distB="0" distL="0" distR="0">
            <wp:extent cx="156845" cy="251460"/>
            <wp:effectExtent l="0" t="0" r="0" b="0"/>
            <wp:docPr id="20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4"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 длина колодки.</w:t>
      </w:r>
    </w:p>
    <w:p w:rsidR="00212513" w:rsidRDefault="00212513">
      <w:pPr>
        <w:pStyle w:val="ConsPlusNormal"/>
        <w:spacing w:before="220"/>
        <w:ind w:firstLine="540"/>
        <w:jc w:val="both"/>
      </w:pPr>
      <w:r>
        <w:t>10.42 Связи в прикреплениях поясов двутавровых дощато-гвоздевых балок к сплошной перекрестной стенке следует рассчитывать на сдвигающее усилие, возникающее между поясом и стенкой. При этом несущую способность гвоздей в прикреплении следует принимать с коэффициентом условий работы, равным 0,8 при расчетной толщине стенки, равной суммарной толщине ее досок.</w:t>
      </w:r>
    </w:p>
    <w:p w:rsidR="00212513" w:rsidRDefault="00212513">
      <w:pPr>
        <w:pStyle w:val="ConsPlusNormal"/>
        <w:spacing w:before="220"/>
        <w:ind w:firstLine="540"/>
        <w:jc w:val="both"/>
      </w:pPr>
      <w:r>
        <w:t>Расчетную длину защемления в древесине конца гвоздя допускается определять по формуле</w:t>
      </w:r>
    </w:p>
    <w:p w:rsidR="00212513" w:rsidRDefault="00212513">
      <w:pPr>
        <w:pStyle w:val="ConsPlusNormal"/>
        <w:ind w:firstLine="540"/>
        <w:jc w:val="both"/>
      </w:pPr>
    </w:p>
    <w:p w:rsidR="00212513" w:rsidRDefault="00212513">
      <w:pPr>
        <w:pStyle w:val="ConsPlusNormal"/>
        <w:jc w:val="center"/>
      </w:pPr>
      <w:r>
        <w:rPr>
          <w:noProof/>
          <w:position w:val="-32"/>
        </w:rPr>
        <w:lastRenderedPageBreak/>
        <w:drawing>
          <wp:inline distT="0" distB="0" distL="0" distR="0">
            <wp:extent cx="1131570" cy="553085"/>
            <wp:effectExtent l="0" t="0" r="0" b="0"/>
            <wp:docPr id="20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5" cstate="print">
                      <a:extLst>
                        <a:ext uri="{28A0092B-C50C-407E-A947-70E740481C1C}">
                          <a14:useLocalDpi xmlns:a14="http://schemas.microsoft.com/office/drawing/2010/main" val="0"/>
                        </a:ext>
                      </a:extLst>
                    </a:blip>
                    <a:srcRect/>
                    <a:stretch>
                      <a:fillRect/>
                    </a:stretch>
                  </pic:blipFill>
                  <pic:spPr bwMode="auto">
                    <a:xfrm>
                      <a:off x="0" y="0"/>
                      <a:ext cx="1131570" cy="553085"/>
                    </a:xfrm>
                    <a:prstGeom prst="rect">
                      <a:avLst/>
                    </a:prstGeom>
                    <a:noFill/>
                    <a:ln>
                      <a:noFill/>
                    </a:ln>
                  </pic:spPr>
                </pic:pic>
              </a:graphicData>
            </a:graphic>
          </wp:inline>
        </w:drawing>
      </w:r>
      <w:r>
        <w:t>, (10.26)</w:t>
      </w:r>
    </w:p>
    <w:p w:rsidR="00212513" w:rsidRDefault="00212513">
      <w:pPr>
        <w:pStyle w:val="ConsPlusNormal"/>
        <w:ind w:firstLine="540"/>
        <w:jc w:val="both"/>
      </w:pPr>
    </w:p>
    <w:p w:rsidR="00212513" w:rsidRDefault="00212513">
      <w:pPr>
        <w:pStyle w:val="ConsPlusNormal"/>
        <w:ind w:firstLine="540"/>
        <w:jc w:val="both"/>
      </w:pPr>
      <w:r>
        <w:t xml:space="preserve">где </w:t>
      </w:r>
      <w:r>
        <w:rPr>
          <w:i/>
        </w:rPr>
        <w:t>d</w:t>
      </w:r>
      <w:r>
        <w:t xml:space="preserve"> - диаметр гвоздя;</w:t>
      </w:r>
    </w:p>
    <w:p w:rsidR="00212513" w:rsidRDefault="00212513">
      <w:pPr>
        <w:pStyle w:val="ConsPlusNormal"/>
        <w:spacing w:before="220"/>
        <w:ind w:firstLine="540"/>
        <w:jc w:val="both"/>
      </w:pPr>
      <w:r>
        <w:rPr>
          <w:noProof/>
          <w:position w:val="-9"/>
        </w:rPr>
        <w:drawing>
          <wp:inline distT="0" distB="0" distL="0" distR="0">
            <wp:extent cx="209550" cy="262890"/>
            <wp:effectExtent l="0" t="0" r="0" b="0"/>
            <wp:docPr id="20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6"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 расчетное сопротивление стали гвоздя растяжению и изгибу по пределу текучести, МПа, принимаемое по </w:t>
      </w:r>
      <w:hyperlink w:anchor="P6057">
        <w:r>
          <w:rPr>
            <w:color w:val="0000FF"/>
          </w:rPr>
          <w:t>разделу 8</w:t>
        </w:r>
      </w:hyperlink>
      <w:r>
        <w:t xml:space="preserve"> настоящего СП;</w:t>
      </w:r>
    </w:p>
    <w:p w:rsidR="00212513" w:rsidRDefault="00212513">
      <w:pPr>
        <w:pStyle w:val="ConsPlusNormal"/>
        <w:spacing w:before="220"/>
        <w:ind w:firstLine="540"/>
        <w:jc w:val="both"/>
      </w:pPr>
      <w:r>
        <w:rPr>
          <w:noProof/>
          <w:position w:val="-9"/>
        </w:rPr>
        <w:drawing>
          <wp:inline distT="0" distB="0" distL="0" distR="0">
            <wp:extent cx="293370" cy="262890"/>
            <wp:effectExtent l="0" t="0" r="0" b="0"/>
            <wp:docPr id="20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7" cstate="print">
                      <a:extLst>
                        <a:ext uri="{28A0092B-C50C-407E-A947-70E740481C1C}">
                          <a14:useLocalDpi xmlns:a14="http://schemas.microsoft.com/office/drawing/2010/main" val="0"/>
                        </a:ext>
                      </a:extLst>
                    </a:blip>
                    <a:srcRect/>
                    <a:stretch>
                      <a:fillRect/>
                    </a:stretch>
                  </pic:blipFill>
                  <pic:spPr bwMode="auto">
                    <a:xfrm>
                      <a:off x="0" y="0"/>
                      <a:ext cx="293370" cy="262890"/>
                    </a:xfrm>
                    <a:prstGeom prst="rect">
                      <a:avLst/>
                    </a:prstGeom>
                    <a:noFill/>
                    <a:ln>
                      <a:noFill/>
                    </a:ln>
                  </pic:spPr>
                </pic:pic>
              </a:graphicData>
            </a:graphic>
          </wp:inline>
        </w:drawing>
      </w:r>
      <w:r>
        <w:t xml:space="preserve"> - расчетное сопротивление древесины смятию вдоль волокон, МПа.</w:t>
      </w:r>
    </w:p>
    <w:p w:rsidR="00212513" w:rsidRDefault="00212513">
      <w:pPr>
        <w:pStyle w:val="ConsPlusNormal"/>
        <w:spacing w:before="220"/>
        <w:ind w:firstLine="540"/>
        <w:jc w:val="both"/>
      </w:pPr>
      <w:r>
        <w:t>При определении расчетной длины защемления конца гвоздя не следует учитывать заостренную часть длиной 1,5</w:t>
      </w:r>
      <w:r>
        <w:rPr>
          <w:i/>
        </w:rPr>
        <w:t>d</w:t>
      </w:r>
      <w:r>
        <w:t>. Кроме того, из его длины следует вычитать по 2 мм на каждый шов между соединяемыми элементами. При свободном выходе гвоздя из пакета его длину следует уменьшать на 1,5</w:t>
      </w:r>
      <w:r>
        <w:rPr>
          <w:i/>
        </w:rPr>
        <w:t>d</w:t>
      </w:r>
      <w:r>
        <w:t>.</w:t>
      </w:r>
    </w:p>
    <w:p w:rsidR="00212513" w:rsidRDefault="00212513">
      <w:pPr>
        <w:pStyle w:val="ConsPlusNormal"/>
        <w:spacing w:before="220"/>
        <w:ind w:firstLine="540"/>
        <w:jc w:val="both"/>
      </w:pPr>
      <w:r>
        <w:t>10.43 Клеештыревые соединения, расположенные в сжатых элементах и в сжатой зоне изгибаемых элементов, допускается рассчитывать в предположении, что 70% усилия передается через торцы стыкуемых элементов, а оставшаяся часть усилия воспринимается штырями.</w:t>
      </w:r>
    </w:p>
    <w:p w:rsidR="00212513" w:rsidRDefault="00212513">
      <w:pPr>
        <w:pStyle w:val="ConsPlusNormal"/>
        <w:spacing w:before="220"/>
        <w:ind w:firstLine="540"/>
        <w:jc w:val="both"/>
      </w:pPr>
      <w:r>
        <w:t>Клеештыревые соединения, расположенные в растянутой зоне изгибаемых элементов и в растянутых элементах, следует рассчитывать в предположении, что усилия, приходящиеся на отдельные участки площади сечения соединяемых элементов, полностью воспринимаются штырями; работа клеевого шва между торцами стыкуемых элементов на растяжение не учитывается.</w:t>
      </w:r>
    </w:p>
    <w:p w:rsidR="00212513" w:rsidRDefault="00212513">
      <w:pPr>
        <w:pStyle w:val="ConsPlusNormal"/>
        <w:spacing w:before="220"/>
        <w:ind w:firstLine="540"/>
        <w:jc w:val="both"/>
      </w:pPr>
      <w:r>
        <w:t>На воздействие поперечных сил зону клеештыревого стыка изгибаемых элементов следует рассчитывать как целое сечение.</w:t>
      </w:r>
    </w:p>
    <w:p w:rsidR="00212513" w:rsidRDefault="00212513">
      <w:pPr>
        <w:pStyle w:val="ConsPlusNormal"/>
        <w:ind w:firstLine="540"/>
        <w:jc w:val="both"/>
      </w:pPr>
    </w:p>
    <w:p w:rsidR="00212513" w:rsidRDefault="00212513">
      <w:pPr>
        <w:pStyle w:val="ConsPlusTitle"/>
        <w:ind w:firstLine="540"/>
        <w:jc w:val="both"/>
        <w:outlineLvl w:val="2"/>
      </w:pPr>
      <w:r>
        <w:t>Конструирование</w:t>
      </w:r>
    </w:p>
    <w:p w:rsidR="00212513" w:rsidRDefault="00212513">
      <w:pPr>
        <w:pStyle w:val="ConsPlusNormal"/>
        <w:ind w:firstLine="540"/>
        <w:jc w:val="both"/>
      </w:pPr>
    </w:p>
    <w:p w:rsidR="00212513" w:rsidRDefault="00212513">
      <w:pPr>
        <w:pStyle w:val="ConsPlusTitle"/>
        <w:ind w:firstLine="540"/>
        <w:jc w:val="both"/>
        <w:outlineLvl w:val="2"/>
      </w:pPr>
      <w:r>
        <w:t>Основные требования</w:t>
      </w:r>
    </w:p>
    <w:p w:rsidR="00212513" w:rsidRDefault="00212513">
      <w:pPr>
        <w:pStyle w:val="ConsPlusNormal"/>
        <w:ind w:firstLine="540"/>
        <w:jc w:val="both"/>
      </w:pPr>
    </w:p>
    <w:p w:rsidR="00212513" w:rsidRDefault="00212513">
      <w:pPr>
        <w:pStyle w:val="ConsPlusNormal"/>
        <w:ind w:firstLine="540"/>
        <w:jc w:val="both"/>
      </w:pPr>
      <w:r>
        <w:t>10.44 Соединения следует применять простые, с минимальным числом врубок и устраивать так, чтобы в них не застаивалась вода.</w:t>
      </w:r>
    </w:p>
    <w:p w:rsidR="00212513" w:rsidRDefault="00212513">
      <w:pPr>
        <w:pStyle w:val="ConsPlusNormal"/>
        <w:spacing w:before="220"/>
        <w:ind w:firstLine="540"/>
        <w:jc w:val="both"/>
      </w:pPr>
      <w:r>
        <w:t>В составных элементах для проветривания следует предусматривать зазоры не менее 4 см между брусьями и не менее 2 см между бревнами. В конструкциях, не допускающих устройства зазоров, должны быть приняты меры против непосредственного увлажнения атмосферными осадками. Устройство закрытых стыков (накладки со всех сторон) в надводной части деревянных конструкций не допускается. В клееных пролетных строениях следует предусматривать меры, препятствующие попаданию на них солнечных лучей.</w:t>
      </w:r>
    </w:p>
    <w:p w:rsidR="00212513" w:rsidRDefault="00212513">
      <w:pPr>
        <w:pStyle w:val="ConsPlusNormal"/>
        <w:spacing w:before="220"/>
        <w:ind w:firstLine="540"/>
        <w:jc w:val="both"/>
      </w:pPr>
      <w:r>
        <w:t xml:space="preserve">10.45 Соединение пиломатериалов по длине осуществляется с помощью зубчатых соединений по </w:t>
      </w:r>
      <w:hyperlink r:id="rId2568">
        <w:r>
          <w:rPr>
            <w:color w:val="0000FF"/>
          </w:rPr>
          <w:t>ГОСТ 16483.10</w:t>
        </w:r>
      </w:hyperlink>
      <w:r>
        <w:t>.</w:t>
      </w:r>
    </w:p>
    <w:p w:rsidR="00212513" w:rsidRDefault="00212513">
      <w:pPr>
        <w:pStyle w:val="ConsPlusNormal"/>
        <w:spacing w:before="220"/>
        <w:ind w:firstLine="540"/>
        <w:jc w:val="both"/>
      </w:pPr>
      <w:r>
        <w:t>10.46 После антисептирования элементов не допускается какая-либо их обработка, кроме сверления отверстий для установки скрепляющих изделий.</w:t>
      </w:r>
    </w:p>
    <w:p w:rsidR="00212513" w:rsidRDefault="00212513">
      <w:pPr>
        <w:pStyle w:val="ConsPlusNormal"/>
        <w:spacing w:before="220"/>
        <w:ind w:firstLine="540"/>
        <w:jc w:val="both"/>
      </w:pPr>
      <w:r>
        <w:t xml:space="preserve">Просверленные отверстия в антисептированной древесине перед установкой скрепляющих изделий необходимо обильно смазать каменноугольным маслом в соответствии с </w:t>
      </w:r>
      <w:hyperlink r:id="rId2569">
        <w:r>
          <w:rPr>
            <w:color w:val="0000FF"/>
          </w:rPr>
          <w:t>ГОСТ 2770</w:t>
        </w:r>
      </w:hyperlink>
      <w:r>
        <w:t>.</w:t>
      </w:r>
    </w:p>
    <w:p w:rsidR="00212513" w:rsidRDefault="00212513">
      <w:pPr>
        <w:pStyle w:val="ConsPlusNormal"/>
        <w:spacing w:before="220"/>
        <w:ind w:firstLine="540"/>
        <w:jc w:val="both"/>
      </w:pPr>
      <w:r>
        <w:t xml:space="preserve">10.47 Для обеспечения поперечной жесткости пролетного строения с клееными и дощато-гвоздевыми главными балками необходимо устанавливать в опорных сечениях и в пролете через </w:t>
      </w:r>
      <w:r>
        <w:lastRenderedPageBreak/>
        <w:t>4 - 6 м поперечные связи, а при дощато-гвоздевых балках - и продольные связи в плоскости верхних поясов балок.</w:t>
      </w:r>
    </w:p>
    <w:p w:rsidR="00212513" w:rsidRDefault="00212513">
      <w:pPr>
        <w:pStyle w:val="ConsPlusNormal"/>
        <w:spacing w:before="220"/>
        <w:ind w:firstLine="540"/>
        <w:jc w:val="both"/>
      </w:pPr>
      <w:r>
        <w:t>10.48 Главные балки пролетных строений длиной 15 м и более следует, как правило, устанавливать на резиновые опорные части. Взамен опорных частей под балками допускается укладывать мауэрлатные брусья из антисептированной древесины с устройством прокладок из рубероида.</w:t>
      </w:r>
    </w:p>
    <w:p w:rsidR="00212513" w:rsidRDefault="00212513">
      <w:pPr>
        <w:pStyle w:val="ConsPlusNormal"/>
        <w:spacing w:before="220"/>
        <w:ind w:firstLine="540"/>
        <w:jc w:val="both"/>
      </w:pPr>
      <w:r>
        <w:t>10.49 Деревоплита проезжей части должна быть связана с главными балками креплениями, обеспечивающими ее проектное положение без включения ее в совместную работу с главными балками на общее действие нагрузки. Железобетонная плита проезжей части в деревожелезобетонных и деревометалложелезобетонных пролетных строениях должна быть связана с главными балками креплениями, обеспечивающими ее включение в совместную работу с ними на общее действие постоянной и временных нагрузок.</w:t>
      </w:r>
    </w:p>
    <w:p w:rsidR="00212513" w:rsidRDefault="00212513">
      <w:pPr>
        <w:pStyle w:val="ConsPlusNormal"/>
        <w:jc w:val="both"/>
      </w:pPr>
      <w:r>
        <w:t xml:space="preserve">(п. 10.49 в ред. </w:t>
      </w:r>
      <w:hyperlink r:id="rId2570">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10.50 При конструировании проезжей части клееных пролетных строений автодорожных и городских мостов необходимо предусматривать продольные и поперечные уклоны, обеспечивающие быстрый сток воды с проезжей части.</w:t>
      </w:r>
    </w:p>
    <w:p w:rsidR="00212513" w:rsidRDefault="00212513">
      <w:pPr>
        <w:pStyle w:val="ConsPlusNormal"/>
        <w:spacing w:before="220"/>
        <w:ind w:firstLine="540"/>
        <w:jc w:val="both"/>
      </w:pPr>
      <w:r>
        <w:t>При длине моста до 50 м и его одностороннем уклоне не менее 1%, а также при длине моста 100 м и уклонах от середины в каждую сторону не менее 1% водоотвод допускается обеспечивать за счет продольного стока воды.</w:t>
      </w:r>
    </w:p>
    <w:p w:rsidR="00212513" w:rsidRDefault="00212513">
      <w:pPr>
        <w:pStyle w:val="ConsPlusNormal"/>
        <w:spacing w:before="220"/>
        <w:ind w:firstLine="540"/>
        <w:jc w:val="both"/>
      </w:pPr>
      <w:r>
        <w:t>10.51 Проезжая часть клееных пролетных строений должна защищать нижележащие конструкции от попадания осадков и прямого солнечного освещения.</w:t>
      </w:r>
    </w:p>
    <w:p w:rsidR="00212513" w:rsidRDefault="00212513">
      <w:pPr>
        <w:pStyle w:val="ConsPlusNormal"/>
        <w:jc w:val="both"/>
      </w:pPr>
      <w:r>
        <w:t xml:space="preserve">(п. 10.51 в ред. </w:t>
      </w:r>
      <w:hyperlink r:id="rId2571">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10.52 Для улучшения условий проветривания зазор между торцами главных балок в автодорожных и городских мостах следует назначать не менее 10 см, высоту опорных частей - не менее 5 см. В средней части длины пролетного строения между главными балками и плитой проезжей части с шагом 50 см необходимо устраивать отверстия-продухи 4 x 8 см.</w:t>
      </w:r>
    </w:p>
    <w:p w:rsidR="00212513" w:rsidRDefault="00212513">
      <w:pPr>
        <w:pStyle w:val="ConsPlusNormal"/>
        <w:jc w:val="both"/>
      </w:pPr>
      <w:r>
        <w:t xml:space="preserve">(в ред. </w:t>
      </w:r>
      <w:hyperlink r:id="rId2572">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10.53 В качестве покрытия на клееных мостах с дощатой плитой следует назначать тройную поверхностную обработку или предусматривать укладку слоя асфальтобетона.</w:t>
      </w:r>
    </w:p>
    <w:p w:rsidR="00212513" w:rsidRDefault="00212513">
      <w:pPr>
        <w:pStyle w:val="ConsPlusNormal"/>
        <w:spacing w:before="220"/>
        <w:ind w:firstLine="540"/>
        <w:jc w:val="both"/>
      </w:pPr>
      <w:r>
        <w:t>10.54 В пролетных строениях с ездой поверху жесткую и скрепленную с фермами проезжую часть следует использовать в качестве верхних связей.</w:t>
      </w:r>
    </w:p>
    <w:p w:rsidR="00212513" w:rsidRDefault="00212513">
      <w:pPr>
        <w:pStyle w:val="ConsPlusNormal"/>
        <w:spacing w:before="220"/>
        <w:ind w:firstLine="540"/>
        <w:jc w:val="both"/>
      </w:pPr>
      <w:r>
        <w:t>10.55 В изгибаемых элементах в сечениях с наибольшими изгибающими моментами необходимо избегать ослабления подрезками крайних растянутых волокон. В опорных сечениях элементов при условии обеспечения прочности древесины на отрыв поперек волокон допускается подрезка не более чем на 1/3 высоты элемента.</w:t>
      </w:r>
    </w:p>
    <w:p w:rsidR="00212513" w:rsidRDefault="00212513">
      <w:pPr>
        <w:pStyle w:val="ConsPlusNormal"/>
        <w:ind w:firstLine="540"/>
        <w:jc w:val="both"/>
      </w:pPr>
    </w:p>
    <w:p w:rsidR="00212513" w:rsidRDefault="00212513">
      <w:pPr>
        <w:pStyle w:val="ConsPlusTitle"/>
        <w:jc w:val="center"/>
        <w:outlineLvl w:val="2"/>
      </w:pPr>
      <w:r>
        <w:t>Наименьшие размеры элементов и допускаемые их гибкости</w:t>
      </w:r>
    </w:p>
    <w:p w:rsidR="00212513" w:rsidRDefault="00212513">
      <w:pPr>
        <w:pStyle w:val="ConsPlusNormal"/>
        <w:ind w:firstLine="540"/>
        <w:jc w:val="both"/>
      </w:pPr>
    </w:p>
    <w:p w:rsidR="00212513" w:rsidRDefault="00212513">
      <w:pPr>
        <w:pStyle w:val="ConsPlusNormal"/>
        <w:ind w:firstLine="540"/>
        <w:jc w:val="both"/>
      </w:pPr>
      <w:r>
        <w:t>10.56 В поперечном сечении деревянные части и металлические изделия должны иметь размеры не менее приведенных в таблице 10.9.</w:t>
      </w:r>
    </w:p>
    <w:p w:rsidR="00212513" w:rsidRDefault="00212513">
      <w:pPr>
        <w:pStyle w:val="ConsPlusNormal"/>
        <w:ind w:firstLine="540"/>
        <w:jc w:val="both"/>
      </w:pPr>
    </w:p>
    <w:p w:rsidR="00212513" w:rsidRDefault="00212513">
      <w:pPr>
        <w:pStyle w:val="ConsPlusNormal"/>
        <w:jc w:val="right"/>
      </w:pPr>
      <w:r>
        <w:t>Таблица 10.9</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1"/>
        <w:gridCol w:w="2041"/>
        <w:gridCol w:w="2154"/>
        <w:gridCol w:w="1814"/>
      </w:tblGrid>
      <w:tr w:rsidR="00212513">
        <w:tc>
          <w:tcPr>
            <w:tcW w:w="3061" w:type="dxa"/>
            <w:vMerge w:val="restart"/>
            <w:tcBorders>
              <w:top w:val="single" w:sz="4" w:space="0" w:color="auto"/>
              <w:bottom w:val="single" w:sz="4" w:space="0" w:color="auto"/>
            </w:tcBorders>
            <w:vAlign w:val="center"/>
          </w:tcPr>
          <w:p w:rsidR="00212513" w:rsidRDefault="00212513">
            <w:pPr>
              <w:pStyle w:val="ConsPlusNormal"/>
              <w:jc w:val="center"/>
            </w:pPr>
            <w:r>
              <w:t>Деревянные части и металлические изделия</w:t>
            </w:r>
          </w:p>
        </w:tc>
        <w:tc>
          <w:tcPr>
            <w:tcW w:w="2041" w:type="dxa"/>
            <w:vMerge w:val="restart"/>
            <w:tcBorders>
              <w:top w:val="single" w:sz="4" w:space="0" w:color="auto"/>
              <w:bottom w:val="single" w:sz="4" w:space="0" w:color="auto"/>
            </w:tcBorders>
            <w:vAlign w:val="center"/>
          </w:tcPr>
          <w:p w:rsidR="00212513" w:rsidRDefault="00212513">
            <w:pPr>
              <w:pStyle w:val="ConsPlusNormal"/>
              <w:jc w:val="center"/>
            </w:pPr>
            <w:r>
              <w:t xml:space="preserve">Нормируемый размер </w:t>
            </w:r>
            <w:r>
              <w:lastRenderedPageBreak/>
              <w:t>поперечного сечения, см</w:t>
            </w:r>
          </w:p>
        </w:tc>
        <w:tc>
          <w:tcPr>
            <w:tcW w:w="3968" w:type="dxa"/>
            <w:gridSpan w:val="2"/>
            <w:tcBorders>
              <w:top w:val="single" w:sz="4" w:space="0" w:color="auto"/>
              <w:bottom w:val="single" w:sz="4" w:space="0" w:color="auto"/>
            </w:tcBorders>
            <w:vAlign w:val="center"/>
          </w:tcPr>
          <w:p w:rsidR="00212513" w:rsidRDefault="00212513">
            <w:pPr>
              <w:pStyle w:val="ConsPlusNormal"/>
              <w:jc w:val="center"/>
            </w:pPr>
            <w:r>
              <w:lastRenderedPageBreak/>
              <w:t>Наименьшее значение нормируемого размера для мостов, см</w:t>
            </w:r>
          </w:p>
        </w:tc>
      </w:tr>
      <w:tr w:rsidR="00212513">
        <w:tc>
          <w:tcPr>
            <w:tcW w:w="3061" w:type="dxa"/>
            <w:vMerge/>
            <w:tcBorders>
              <w:top w:val="single" w:sz="4" w:space="0" w:color="auto"/>
              <w:bottom w:val="single" w:sz="4" w:space="0" w:color="auto"/>
            </w:tcBorders>
          </w:tcPr>
          <w:p w:rsidR="00212513" w:rsidRDefault="00212513">
            <w:pPr>
              <w:pStyle w:val="ConsPlusNormal"/>
            </w:pPr>
          </w:p>
        </w:tc>
        <w:tc>
          <w:tcPr>
            <w:tcW w:w="2041" w:type="dxa"/>
            <w:vMerge/>
            <w:tcBorders>
              <w:top w:val="single" w:sz="4" w:space="0" w:color="auto"/>
              <w:bottom w:val="single" w:sz="4" w:space="0" w:color="auto"/>
            </w:tcBorders>
          </w:tcPr>
          <w:p w:rsidR="00212513" w:rsidRDefault="00212513">
            <w:pPr>
              <w:pStyle w:val="ConsPlusNormal"/>
            </w:pPr>
          </w:p>
        </w:tc>
        <w:tc>
          <w:tcPr>
            <w:tcW w:w="2154" w:type="dxa"/>
            <w:tcBorders>
              <w:top w:val="single" w:sz="4" w:space="0" w:color="auto"/>
              <w:bottom w:val="single" w:sz="4" w:space="0" w:color="auto"/>
            </w:tcBorders>
            <w:vAlign w:val="center"/>
          </w:tcPr>
          <w:p w:rsidR="00212513" w:rsidRDefault="00212513">
            <w:pPr>
              <w:pStyle w:val="ConsPlusNormal"/>
              <w:jc w:val="center"/>
            </w:pPr>
            <w:r>
              <w:t>железнодорожных</w:t>
            </w:r>
          </w:p>
        </w:tc>
        <w:tc>
          <w:tcPr>
            <w:tcW w:w="1814" w:type="dxa"/>
            <w:tcBorders>
              <w:top w:val="single" w:sz="4" w:space="0" w:color="auto"/>
              <w:bottom w:val="single" w:sz="4" w:space="0" w:color="auto"/>
            </w:tcBorders>
            <w:vAlign w:val="center"/>
          </w:tcPr>
          <w:p w:rsidR="00212513" w:rsidRDefault="00212513">
            <w:pPr>
              <w:pStyle w:val="ConsPlusNormal"/>
              <w:jc w:val="center"/>
            </w:pPr>
            <w:r>
              <w:t>автодорожных и городских</w:t>
            </w:r>
          </w:p>
        </w:tc>
      </w:tr>
      <w:tr w:rsidR="00212513">
        <w:tblPrEx>
          <w:tblBorders>
            <w:insideH w:val="none" w:sz="0" w:space="0" w:color="auto"/>
          </w:tblBorders>
        </w:tblPrEx>
        <w:tc>
          <w:tcPr>
            <w:tcW w:w="3061" w:type="dxa"/>
            <w:tcBorders>
              <w:top w:val="single" w:sz="4" w:space="0" w:color="auto"/>
              <w:bottom w:val="nil"/>
            </w:tcBorders>
          </w:tcPr>
          <w:p w:rsidR="00212513" w:rsidRDefault="00212513">
            <w:pPr>
              <w:pStyle w:val="ConsPlusNormal"/>
            </w:pPr>
            <w:r>
              <w:lastRenderedPageBreak/>
              <w:t>1 Брусья и доски:</w:t>
            </w:r>
          </w:p>
        </w:tc>
        <w:tc>
          <w:tcPr>
            <w:tcW w:w="2041" w:type="dxa"/>
            <w:tcBorders>
              <w:top w:val="single" w:sz="4" w:space="0" w:color="auto"/>
              <w:bottom w:val="nil"/>
            </w:tcBorders>
            <w:vAlign w:val="bottom"/>
          </w:tcPr>
          <w:p w:rsidR="00212513" w:rsidRDefault="00212513">
            <w:pPr>
              <w:pStyle w:val="ConsPlusNormal"/>
            </w:pPr>
          </w:p>
        </w:tc>
        <w:tc>
          <w:tcPr>
            <w:tcW w:w="2154" w:type="dxa"/>
            <w:tcBorders>
              <w:top w:val="single" w:sz="4" w:space="0" w:color="auto"/>
              <w:bottom w:val="nil"/>
            </w:tcBorders>
          </w:tcPr>
          <w:p w:rsidR="00212513" w:rsidRDefault="00212513">
            <w:pPr>
              <w:pStyle w:val="ConsPlusNormal"/>
              <w:jc w:val="both"/>
            </w:pPr>
          </w:p>
        </w:tc>
        <w:tc>
          <w:tcPr>
            <w:tcW w:w="1814" w:type="dxa"/>
            <w:tcBorders>
              <w:top w:val="single" w:sz="4" w:space="0" w:color="auto"/>
              <w:bottom w:val="nil"/>
            </w:tcBorders>
          </w:tcPr>
          <w:p w:rsidR="00212513" w:rsidRDefault="00212513">
            <w:pPr>
              <w:pStyle w:val="ConsPlusNormal"/>
              <w:jc w:val="both"/>
            </w:pPr>
          </w:p>
        </w:tc>
      </w:tr>
      <w:tr w:rsidR="00212513">
        <w:tblPrEx>
          <w:tblBorders>
            <w:insideH w:val="none" w:sz="0" w:space="0" w:color="auto"/>
          </w:tblBorders>
        </w:tblPrEx>
        <w:tc>
          <w:tcPr>
            <w:tcW w:w="3061" w:type="dxa"/>
            <w:tcBorders>
              <w:top w:val="nil"/>
              <w:bottom w:val="nil"/>
            </w:tcBorders>
          </w:tcPr>
          <w:p w:rsidR="00212513" w:rsidRDefault="00212513">
            <w:pPr>
              <w:pStyle w:val="ConsPlusNormal"/>
              <w:ind w:left="283"/>
            </w:pPr>
            <w:r>
              <w:t>для основных элементов</w:t>
            </w:r>
          </w:p>
        </w:tc>
        <w:tc>
          <w:tcPr>
            <w:tcW w:w="2041" w:type="dxa"/>
            <w:tcBorders>
              <w:top w:val="nil"/>
              <w:bottom w:val="nil"/>
            </w:tcBorders>
          </w:tcPr>
          <w:p w:rsidR="00212513" w:rsidRDefault="00212513">
            <w:pPr>
              <w:pStyle w:val="ConsPlusNormal"/>
              <w:jc w:val="center"/>
            </w:pPr>
            <w:r>
              <w:rPr>
                <w:noProof/>
                <w:position w:val="-4"/>
              </w:rPr>
              <w:drawing>
                <wp:inline distT="0" distB="0" distL="0" distR="0">
                  <wp:extent cx="670560" cy="199390"/>
                  <wp:effectExtent l="0" t="0" r="0" b="0"/>
                  <wp:docPr id="20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3"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xml:space="preserve"> сторона</w:t>
            </w:r>
          </w:p>
        </w:tc>
        <w:tc>
          <w:tcPr>
            <w:tcW w:w="2154" w:type="dxa"/>
            <w:tcBorders>
              <w:top w:val="nil"/>
              <w:bottom w:val="nil"/>
            </w:tcBorders>
          </w:tcPr>
          <w:p w:rsidR="00212513" w:rsidRDefault="00212513">
            <w:pPr>
              <w:pStyle w:val="ConsPlusNormal"/>
              <w:jc w:val="center"/>
            </w:pPr>
            <w:r>
              <w:t>18</w:t>
            </w:r>
          </w:p>
        </w:tc>
        <w:tc>
          <w:tcPr>
            <w:tcW w:w="1814" w:type="dxa"/>
            <w:tcBorders>
              <w:top w:val="nil"/>
              <w:bottom w:val="nil"/>
            </w:tcBorders>
          </w:tcPr>
          <w:p w:rsidR="00212513" w:rsidRDefault="00212513">
            <w:pPr>
              <w:pStyle w:val="ConsPlusNormal"/>
              <w:jc w:val="center"/>
            </w:pPr>
            <w:r>
              <w:t>16</w:t>
            </w:r>
          </w:p>
        </w:tc>
      </w:tr>
      <w:tr w:rsidR="00212513">
        <w:tblPrEx>
          <w:tblBorders>
            <w:insideH w:val="none" w:sz="0" w:space="0" w:color="auto"/>
          </w:tblBorders>
        </w:tblPrEx>
        <w:tc>
          <w:tcPr>
            <w:tcW w:w="3061" w:type="dxa"/>
            <w:tcBorders>
              <w:top w:val="nil"/>
              <w:bottom w:val="nil"/>
            </w:tcBorders>
          </w:tcPr>
          <w:p w:rsidR="00212513" w:rsidRDefault="00212513">
            <w:pPr>
              <w:pStyle w:val="ConsPlusNormal"/>
              <w:ind w:left="283"/>
            </w:pPr>
            <w:r>
              <w:t>для связей, стыковых накладок, перил и других дополнительных элементов</w:t>
            </w:r>
          </w:p>
        </w:tc>
        <w:tc>
          <w:tcPr>
            <w:tcW w:w="2041" w:type="dxa"/>
            <w:tcBorders>
              <w:top w:val="nil"/>
              <w:bottom w:val="nil"/>
            </w:tcBorders>
          </w:tcPr>
          <w:p w:rsidR="00212513" w:rsidRDefault="00212513">
            <w:pPr>
              <w:pStyle w:val="ConsPlusNormal"/>
              <w:jc w:val="center"/>
            </w:pPr>
            <w:r>
              <w:t>То же</w:t>
            </w:r>
          </w:p>
        </w:tc>
        <w:tc>
          <w:tcPr>
            <w:tcW w:w="2154" w:type="dxa"/>
            <w:tcBorders>
              <w:top w:val="nil"/>
              <w:bottom w:val="nil"/>
            </w:tcBorders>
          </w:tcPr>
          <w:p w:rsidR="00212513" w:rsidRDefault="00212513">
            <w:pPr>
              <w:pStyle w:val="ConsPlusNormal"/>
              <w:jc w:val="center"/>
            </w:pPr>
            <w:r>
              <w:t>10</w:t>
            </w:r>
          </w:p>
        </w:tc>
        <w:tc>
          <w:tcPr>
            <w:tcW w:w="1814" w:type="dxa"/>
            <w:tcBorders>
              <w:top w:val="nil"/>
              <w:bottom w:val="nil"/>
            </w:tcBorders>
          </w:tcPr>
          <w:p w:rsidR="00212513" w:rsidRDefault="00212513">
            <w:pPr>
              <w:pStyle w:val="ConsPlusNormal"/>
              <w:jc w:val="center"/>
            </w:pPr>
            <w:r>
              <w:t>8</w:t>
            </w:r>
          </w:p>
        </w:tc>
      </w:tr>
      <w:tr w:rsidR="00212513">
        <w:tblPrEx>
          <w:tblBorders>
            <w:insideH w:val="none" w:sz="0" w:space="0" w:color="auto"/>
          </w:tblBorders>
        </w:tblPrEx>
        <w:tc>
          <w:tcPr>
            <w:tcW w:w="3061" w:type="dxa"/>
            <w:tcBorders>
              <w:top w:val="nil"/>
              <w:bottom w:val="nil"/>
            </w:tcBorders>
          </w:tcPr>
          <w:p w:rsidR="00212513" w:rsidRDefault="00212513">
            <w:pPr>
              <w:pStyle w:val="ConsPlusNormal"/>
            </w:pPr>
            <w:r>
              <w:t>2 Доски</w:t>
            </w:r>
          </w:p>
        </w:tc>
        <w:tc>
          <w:tcPr>
            <w:tcW w:w="2041" w:type="dxa"/>
            <w:tcBorders>
              <w:top w:val="nil"/>
              <w:bottom w:val="nil"/>
            </w:tcBorders>
          </w:tcPr>
          <w:p w:rsidR="00212513" w:rsidRDefault="00212513">
            <w:pPr>
              <w:pStyle w:val="ConsPlusNormal"/>
              <w:jc w:val="center"/>
            </w:pPr>
            <w:r>
              <w:t>Толщина</w:t>
            </w:r>
          </w:p>
        </w:tc>
        <w:tc>
          <w:tcPr>
            <w:tcW w:w="2154" w:type="dxa"/>
            <w:tcBorders>
              <w:top w:val="nil"/>
              <w:bottom w:val="nil"/>
            </w:tcBorders>
          </w:tcPr>
          <w:p w:rsidR="00212513" w:rsidRDefault="00212513">
            <w:pPr>
              <w:pStyle w:val="ConsPlusNormal"/>
              <w:jc w:val="center"/>
            </w:pPr>
            <w:r>
              <w:t>4</w:t>
            </w:r>
          </w:p>
        </w:tc>
        <w:tc>
          <w:tcPr>
            <w:tcW w:w="1814" w:type="dxa"/>
            <w:tcBorders>
              <w:top w:val="nil"/>
              <w:bottom w:val="nil"/>
            </w:tcBorders>
          </w:tcPr>
          <w:p w:rsidR="00212513" w:rsidRDefault="00212513">
            <w:pPr>
              <w:pStyle w:val="ConsPlusNormal"/>
              <w:jc w:val="center"/>
            </w:pPr>
            <w:r>
              <w:t xml:space="preserve">4 </w:t>
            </w:r>
            <w:hyperlink w:anchor="P10807">
              <w:r>
                <w:rPr>
                  <w:color w:val="0000FF"/>
                </w:rPr>
                <w:t>&lt;*&gt;</w:t>
              </w:r>
            </w:hyperlink>
          </w:p>
        </w:tc>
      </w:tr>
      <w:tr w:rsidR="00212513">
        <w:tblPrEx>
          <w:tblBorders>
            <w:insideH w:val="none" w:sz="0" w:space="0" w:color="auto"/>
          </w:tblBorders>
        </w:tblPrEx>
        <w:tc>
          <w:tcPr>
            <w:tcW w:w="3061" w:type="dxa"/>
            <w:tcBorders>
              <w:top w:val="nil"/>
              <w:bottom w:val="nil"/>
            </w:tcBorders>
          </w:tcPr>
          <w:p w:rsidR="00212513" w:rsidRDefault="00212513">
            <w:pPr>
              <w:pStyle w:val="ConsPlusNormal"/>
            </w:pPr>
            <w:r>
              <w:t>3 Бревна в тонком конце:</w:t>
            </w:r>
          </w:p>
        </w:tc>
        <w:tc>
          <w:tcPr>
            <w:tcW w:w="2041" w:type="dxa"/>
            <w:tcBorders>
              <w:top w:val="nil"/>
              <w:bottom w:val="nil"/>
            </w:tcBorders>
          </w:tcPr>
          <w:p w:rsidR="00212513" w:rsidRDefault="00212513">
            <w:pPr>
              <w:pStyle w:val="ConsPlusNormal"/>
              <w:jc w:val="center"/>
            </w:pPr>
          </w:p>
        </w:tc>
        <w:tc>
          <w:tcPr>
            <w:tcW w:w="2154" w:type="dxa"/>
            <w:tcBorders>
              <w:top w:val="nil"/>
              <w:bottom w:val="nil"/>
            </w:tcBorders>
          </w:tcPr>
          <w:p w:rsidR="00212513" w:rsidRDefault="00212513">
            <w:pPr>
              <w:pStyle w:val="ConsPlusNormal"/>
              <w:jc w:val="center"/>
            </w:pPr>
          </w:p>
        </w:tc>
        <w:tc>
          <w:tcPr>
            <w:tcW w:w="1814" w:type="dxa"/>
            <w:tcBorders>
              <w:top w:val="nil"/>
              <w:bottom w:val="nil"/>
            </w:tcBorders>
          </w:tcPr>
          <w:p w:rsidR="00212513" w:rsidRDefault="00212513">
            <w:pPr>
              <w:pStyle w:val="ConsPlusNormal"/>
              <w:jc w:val="center"/>
            </w:pPr>
          </w:p>
        </w:tc>
      </w:tr>
      <w:tr w:rsidR="00212513">
        <w:tblPrEx>
          <w:tblBorders>
            <w:insideH w:val="none" w:sz="0" w:space="0" w:color="auto"/>
          </w:tblBorders>
        </w:tblPrEx>
        <w:tc>
          <w:tcPr>
            <w:tcW w:w="3061" w:type="dxa"/>
            <w:tcBorders>
              <w:top w:val="nil"/>
              <w:bottom w:val="nil"/>
            </w:tcBorders>
          </w:tcPr>
          <w:p w:rsidR="00212513" w:rsidRDefault="00212513">
            <w:pPr>
              <w:pStyle w:val="ConsPlusNormal"/>
              <w:ind w:left="283"/>
            </w:pPr>
            <w:r>
              <w:t>для основных элементов</w:t>
            </w:r>
          </w:p>
        </w:tc>
        <w:tc>
          <w:tcPr>
            <w:tcW w:w="2041" w:type="dxa"/>
            <w:tcBorders>
              <w:top w:val="nil"/>
              <w:bottom w:val="nil"/>
            </w:tcBorders>
          </w:tcPr>
          <w:p w:rsidR="00212513" w:rsidRDefault="00212513">
            <w:pPr>
              <w:pStyle w:val="ConsPlusNormal"/>
              <w:jc w:val="center"/>
            </w:pPr>
            <w:r>
              <w:t>Диаметр</w:t>
            </w:r>
          </w:p>
        </w:tc>
        <w:tc>
          <w:tcPr>
            <w:tcW w:w="2154" w:type="dxa"/>
            <w:tcBorders>
              <w:top w:val="nil"/>
              <w:bottom w:val="nil"/>
            </w:tcBorders>
          </w:tcPr>
          <w:p w:rsidR="00212513" w:rsidRDefault="00212513">
            <w:pPr>
              <w:pStyle w:val="ConsPlusNormal"/>
              <w:jc w:val="center"/>
            </w:pPr>
            <w:r>
              <w:t>22</w:t>
            </w:r>
          </w:p>
        </w:tc>
        <w:tc>
          <w:tcPr>
            <w:tcW w:w="1814" w:type="dxa"/>
            <w:tcBorders>
              <w:top w:val="nil"/>
              <w:bottom w:val="nil"/>
            </w:tcBorders>
          </w:tcPr>
          <w:p w:rsidR="00212513" w:rsidRDefault="00212513">
            <w:pPr>
              <w:pStyle w:val="ConsPlusNormal"/>
              <w:jc w:val="center"/>
            </w:pPr>
            <w:r>
              <w:t xml:space="preserve">18 </w:t>
            </w:r>
            <w:hyperlink w:anchor="P10808">
              <w:r>
                <w:rPr>
                  <w:color w:val="0000FF"/>
                </w:rPr>
                <w:t>&lt;**&gt;</w:t>
              </w:r>
            </w:hyperlink>
          </w:p>
        </w:tc>
      </w:tr>
      <w:tr w:rsidR="00212513">
        <w:tblPrEx>
          <w:tblBorders>
            <w:insideH w:val="none" w:sz="0" w:space="0" w:color="auto"/>
          </w:tblBorders>
        </w:tblPrEx>
        <w:tc>
          <w:tcPr>
            <w:tcW w:w="3061" w:type="dxa"/>
            <w:tcBorders>
              <w:top w:val="nil"/>
              <w:bottom w:val="nil"/>
            </w:tcBorders>
          </w:tcPr>
          <w:p w:rsidR="00212513" w:rsidRDefault="00212513">
            <w:pPr>
              <w:pStyle w:val="ConsPlusNormal"/>
              <w:ind w:left="283"/>
            </w:pPr>
            <w:r>
              <w:t>для свай</w:t>
            </w:r>
          </w:p>
        </w:tc>
        <w:tc>
          <w:tcPr>
            <w:tcW w:w="2041" w:type="dxa"/>
            <w:tcBorders>
              <w:top w:val="nil"/>
              <w:bottom w:val="nil"/>
            </w:tcBorders>
          </w:tcPr>
          <w:p w:rsidR="00212513" w:rsidRDefault="00212513">
            <w:pPr>
              <w:pStyle w:val="ConsPlusNormal"/>
              <w:jc w:val="center"/>
            </w:pPr>
          </w:p>
        </w:tc>
        <w:tc>
          <w:tcPr>
            <w:tcW w:w="2154" w:type="dxa"/>
            <w:tcBorders>
              <w:top w:val="nil"/>
              <w:bottom w:val="nil"/>
            </w:tcBorders>
          </w:tcPr>
          <w:p w:rsidR="00212513" w:rsidRDefault="00212513">
            <w:pPr>
              <w:pStyle w:val="ConsPlusNormal"/>
              <w:jc w:val="center"/>
            </w:pPr>
            <w:r>
              <w:t>22</w:t>
            </w:r>
          </w:p>
        </w:tc>
        <w:tc>
          <w:tcPr>
            <w:tcW w:w="1814" w:type="dxa"/>
            <w:tcBorders>
              <w:top w:val="nil"/>
              <w:bottom w:val="nil"/>
            </w:tcBorders>
          </w:tcPr>
          <w:p w:rsidR="00212513" w:rsidRDefault="00212513">
            <w:pPr>
              <w:pStyle w:val="ConsPlusNormal"/>
              <w:jc w:val="center"/>
            </w:pPr>
            <w:r>
              <w:t>22</w:t>
            </w:r>
          </w:p>
        </w:tc>
      </w:tr>
      <w:tr w:rsidR="00212513">
        <w:tblPrEx>
          <w:tblBorders>
            <w:insideH w:val="none" w:sz="0" w:space="0" w:color="auto"/>
          </w:tblBorders>
        </w:tblPrEx>
        <w:tc>
          <w:tcPr>
            <w:tcW w:w="3061" w:type="dxa"/>
            <w:tcBorders>
              <w:top w:val="nil"/>
              <w:bottom w:val="nil"/>
            </w:tcBorders>
          </w:tcPr>
          <w:p w:rsidR="00212513" w:rsidRDefault="00212513">
            <w:pPr>
              <w:pStyle w:val="ConsPlusNormal"/>
              <w:ind w:left="283"/>
            </w:pPr>
            <w:r>
              <w:t>для накатника</w:t>
            </w:r>
          </w:p>
        </w:tc>
        <w:tc>
          <w:tcPr>
            <w:tcW w:w="2041" w:type="dxa"/>
            <w:tcBorders>
              <w:top w:val="nil"/>
              <w:bottom w:val="nil"/>
            </w:tcBorders>
          </w:tcPr>
          <w:p w:rsidR="00212513" w:rsidRDefault="00212513">
            <w:pPr>
              <w:pStyle w:val="ConsPlusNormal"/>
              <w:jc w:val="center"/>
            </w:pPr>
          </w:p>
        </w:tc>
        <w:tc>
          <w:tcPr>
            <w:tcW w:w="2154" w:type="dxa"/>
            <w:tcBorders>
              <w:top w:val="nil"/>
              <w:bottom w:val="nil"/>
            </w:tcBorders>
          </w:tcPr>
          <w:p w:rsidR="00212513" w:rsidRDefault="00212513">
            <w:pPr>
              <w:pStyle w:val="ConsPlusNormal"/>
              <w:jc w:val="center"/>
            </w:pPr>
            <w:r>
              <w:t>-</w:t>
            </w:r>
          </w:p>
        </w:tc>
        <w:tc>
          <w:tcPr>
            <w:tcW w:w="1814" w:type="dxa"/>
            <w:tcBorders>
              <w:top w:val="nil"/>
              <w:bottom w:val="nil"/>
            </w:tcBorders>
          </w:tcPr>
          <w:p w:rsidR="00212513" w:rsidRDefault="00212513">
            <w:pPr>
              <w:pStyle w:val="ConsPlusNormal"/>
              <w:jc w:val="center"/>
            </w:pPr>
            <w:r>
              <w:t>14</w:t>
            </w:r>
          </w:p>
        </w:tc>
      </w:tr>
      <w:tr w:rsidR="00212513">
        <w:tblPrEx>
          <w:tblBorders>
            <w:insideH w:val="none" w:sz="0" w:space="0" w:color="auto"/>
          </w:tblBorders>
        </w:tblPrEx>
        <w:tc>
          <w:tcPr>
            <w:tcW w:w="3061" w:type="dxa"/>
            <w:tcBorders>
              <w:top w:val="nil"/>
              <w:bottom w:val="nil"/>
            </w:tcBorders>
          </w:tcPr>
          <w:p w:rsidR="00212513" w:rsidRDefault="00212513">
            <w:pPr>
              <w:pStyle w:val="ConsPlusNormal"/>
            </w:pPr>
            <w:r>
              <w:t>4 Пластины</w:t>
            </w:r>
          </w:p>
        </w:tc>
        <w:tc>
          <w:tcPr>
            <w:tcW w:w="2041" w:type="dxa"/>
            <w:tcBorders>
              <w:top w:val="nil"/>
              <w:bottom w:val="nil"/>
            </w:tcBorders>
          </w:tcPr>
          <w:p w:rsidR="00212513" w:rsidRDefault="00212513">
            <w:pPr>
              <w:pStyle w:val="ConsPlusNormal"/>
              <w:jc w:val="center"/>
            </w:pPr>
            <w:r>
              <w:t>Радиус круга</w:t>
            </w:r>
          </w:p>
        </w:tc>
        <w:tc>
          <w:tcPr>
            <w:tcW w:w="2154" w:type="dxa"/>
            <w:tcBorders>
              <w:top w:val="nil"/>
              <w:bottom w:val="nil"/>
            </w:tcBorders>
          </w:tcPr>
          <w:p w:rsidR="00212513" w:rsidRDefault="00212513">
            <w:pPr>
              <w:pStyle w:val="ConsPlusNormal"/>
              <w:jc w:val="center"/>
            </w:pPr>
            <w:r>
              <w:t>9</w:t>
            </w:r>
          </w:p>
        </w:tc>
        <w:tc>
          <w:tcPr>
            <w:tcW w:w="1814" w:type="dxa"/>
            <w:tcBorders>
              <w:top w:val="nil"/>
              <w:bottom w:val="nil"/>
            </w:tcBorders>
          </w:tcPr>
          <w:p w:rsidR="00212513" w:rsidRDefault="00212513">
            <w:pPr>
              <w:pStyle w:val="ConsPlusNormal"/>
              <w:jc w:val="center"/>
            </w:pPr>
            <w:r>
              <w:t>9</w:t>
            </w:r>
          </w:p>
        </w:tc>
      </w:tr>
      <w:tr w:rsidR="00212513">
        <w:tblPrEx>
          <w:tblBorders>
            <w:insideH w:val="none" w:sz="0" w:space="0" w:color="auto"/>
          </w:tblBorders>
        </w:tblPrEx>
        <w:tc>
          <w:tcPr>
            <w:tcW w:w="3061" w:type="dxa"/>
            <w:tcBorders>
              <w:top w:val="nil"/>
              <w:bottom w:val="nil"/>
            </w:tcBorders>
          </w:tcPr>
          <w:p w:rsidR="00212513" w:rsidRDefault="00212513">
            <w:pPr>
              <w:pStyle w:val="ConsPlusNormal"/>
            </w:pPr>
            <w:r>
              <w:t>5 Болты:</w:t>
            </w:r>
          </w:p>
        </w:tc>
        <w:tc>
          <w:tcPr>
            <w:tcW w:w="2041" w:type="dxa"/>
            <w:tcBorders>
              <w:top w:val="nil"/>
              <w:bottom w:val="nil"/>
            </w:tcBorders>
            <w:vAlign w:val="bottom"/>
          </w:tcPr>
          <w:p w:rsidR="00212513" w:rsidRDefault="00212513">
            <w:pPr>
              <w:pStyle w:val="ConsPlusNormal"/>
              <w:jc w:val="center"/>
            </w:pPr>
          </w:p>
        </w:tc>
        <w:tc>
          <w:tcPr>
            <w:tcW w:w="2154" w:type="dxa"/>
            <w:tcBorders>
              <w:top w:val="nil"/>
              <w:bottom w:val="nil"/>
            </w:tcBorders>
          </w:tcPr>
          <w:p w:rsidR="00212513" w:rsidRDefault="00212513">
            <w:pPr>
              <w:pStyle w:val="ConsPlusNormal"/>
              <w:jc w:val="center"/>
            </w:pPr>
          </w:p>
        </w:tc>
        <w:tc>
          <w:tcPr>
            <w:tcW w:w="1814" w:type="dxa"/>
            <w:tcBorders>
              <w:top w:val="nil"/>
              <w:bottom w:val="nil"/>
            </w:tcBorders>
          </w:tcPr>
          <w:p w:rsidR="00212513" w:rsidRDefault="00212513">
            <w:pPr>
              <w:pStyle w:val="ConsPlusNormal"/>
              <w:jc w:val="center"/>
            </w:pPr>
          </w:p>
        </w:tc>
      </w:tr>
      <w:tr w:rsidR="00212513">
        <w:tblPrEx>
          <w:tblBorders>
            <w:insideH w:val="none" w:sz="0" w:space="0" w:color="auto"/>
          </w:tblBorders>
        </w:tblPrEx>
        <w:tc>
          <w:tcPr>
            <w:tcW w:w="3061" w:type="dxa"/>
            <w:tcBorders>
              <w:top w:val="nil"/>
              <w:bottom w:val="nil"/>
            </w:tcBorders>
          </w:tcPr>
          <w:p w:rsidR="00212513" w:rsidRDefault="00212513">
            <w:pPr>
              <w:pStyle w:val="ConsPlusNormal"/>
              <w:ind w:left="283"/>
            </w:pPr>
            <w:r>
              <w:t>рабочие и стяжные</w:t>
            </w:r>
          </w:p>
        </w:tc>
        <w:tc>
          <w:tcPr>
            <w:tcW w:w="2041" w:type="dxa"/>
            <w:tcBorders>
              <w:top w:val="nil"/>
              <w:bottom w:val="nil"/>
            </w:tcBorders>
          </w:tcPr>
          <w:p w:rsidR="00212513" w:rsidRDefault="00212513">
            <w:pPr>
              <w:pStyle w:val="ConsPlusNormal"/>
              <w:jc w:val="center"/>
            </w:pPr>
            <w:r>
              <w:t>Диаметр x 10</w:t>
            </w:r>
            <w:r>
              <w:rPr>
                <w:vertAlign w:val="superscript"/>
              </w:rPr>
              <w:t>-1</w:t>
            </w:r>
          </w:p>
        </w:tc>
        <w:tc>
          <w:tcPr>
            <w:tcW w:w="2154" w:type="dxa"/>
            <w:tcBorders>
              <w:top w:val="nil"/>
              <w:bottom w:val="nil"/>
            </w:tcBorders>
          </w:tcPr>
          <w:p w:rsidR="00212513" w:rsidRDefault="00212513">
            <w:pPr>
              <w:pStyle w:val="ConsPlusNormal"/>
              <w:jc w:val="center"/>
            </w:pPr>
            <w:r>
              <w:t>19</w:t>
            </w:r>
          </w:p>
        </w:tc>
        <w:tc>
          <w:tcPr>
            <w:tcW w:w="1814" w:type="dxa"/>
            <w:tcBorders>
              <w:top w:val="nil"/>
              <w:bottom w:val="nil"/>
            </w:tcBorders>
          </w:tcPr>
          <w:p w:rsidR="00212513" w:rsidRDefault="00212513">
            <w:pPr>
              <w:pStyle w:val="ConsPlusNormal"/>
              <w:jc w:val="center"/>
            </w:pPr>
            <w:r>
              <w:t>19</w:t>
            </w:r>
          </w:p>
        </w:tc>
      </w:tr>
      <w:tr w:rsidR="00212513">
        <w:tblPrEx>
          <w:tblBorders>
            <w:insideH w:val="none" w:sz="0" w:space="0" w:color="auto"/>
          </w:tblBorders>
        </w:tblPrEx>
        <w:tc>
          <w:tcPr>
            <w:tcW w:w="3061" w:type="dxa"/>
            <w:tcBorders>
              <w:top w:val="nil"/>
              <w:bottom w:val="nil"/>
            </w:tcBorders>
          </w:tcPr>
          <w:p w:rsidR="00212513" w:rsidRDefault="00212513">
            <w:pPr>
              <w:pStyle w:val="ConsPlusNormal"/>
              <w:ind w:left="283"/>
            </w:pPr>
            <w:r>
              <w:t>конструктивные</w:t>
            </w:r>
          </w:p>
        </w:tc>
        <w:tc>
          <w:tcPr>
            <w:tcW w:w="2041" w:type="dxa"/>
            <w:tcBorders>
              <w:top w:val="nil"/>
              <w:bottom w:val="nil"/>
            </w:tcBorders>
          </w:tcPr>
          <w:p w:rsidR="00212513" w:rsidRDefault="00212513">
            <w:pPr>
              <w:pStyle w:val="ConsPlusNormal"/>
              <w:jc w:val="center"/>
            </w:pPr>
          </w:p>
        </w:tc>
        <w:tc>
          <w:tcPr>
            <w:tcW w:w="2154" w:type="dxa"/>
            <w:tcBorders>
              <w:top w:val="nil"/>
              <w:bottom w:val="nil"/>
            </w:tcBorders>
          </w:tcPr>
          <w:p w:rsidR="00212513" w:rsidRDefault="00212513">
            <w:pPr>
              <w:pStyle w:val="ConsPlusNormal"/>
              <w:jc w:val="center"/>
            </w:pPr>
            <w:r>
              <w:t>16</w:t>
            </w:r>
          </w:p>
        </w:tc>
        <w:tc>
          <w:tcPr>
            <w:tcW w:w="1814" w:type="dxa"/>
            <w:tcBorders>
              <w:top w:val="nil"/>
              <w:bottom w:val="nil"/>
            </w:tcBorders>
          </w:tcPr>
          <w:p w:rsidR="00212513" w:rsidRDefault="00212513">
            <w:pPr>
              <w:pStyle w:val="ConsPlusNormal"/>
              <w:jc w:val="center"/>
            </w:pPr>
            <w:r>
              <w:t>16</w:t>
            </w:r>
          </w:p>
        </w:tc>
      </w:tr>
      <w:tr w:rsidR="00212513">
        <w:tblPrEx>
          <w:tblBorders>
            <w:insideH w:val="none" w:sz="0" w:space="0" w:color="auto"/>
          </w:tblBorders>
        </w:tblPrEx>
        <w:tc>
          <w:tcPr>
            <w:tcW w:w="3061" w:type="dxa"/>
            <w:tcBorders>
              <w:top w:val="nil"/>
              <w:bottom w:val="nil"/>
            </w:tcBorders>
          </w:tcPr>
          <w:p w:rsidR="00212513" w:rsidRDefault="00212513">
            <w:pPr>
              <w:pStyle w:val="ConsPlusNormal"/>
            </w:pPr>
            <w:r>
              <w:t>6 Штыри в клеештыревых стыках</w:t>
            </w:r>
          </w:p>
        </w:tc>
        <w:tc>
          <w:tcPr>
            <w:tcW w:w="2041" w:type="dxa"/>
            <w:tcBorders>
              <w:top w:val="nil"/>
              <w:bottom w:val="nil"/>
            </w:tcBorders>
          </w:tcPr>
          <w:p w:rsidR="00212513" w:rsidRDefault="00212513">
            <w:pPr>
              <w:pStyle w:val="ConsPlusNormal"/>
              <w:jc w:val="center"/>
            </w:pPr>
            <w:r>
              <w:t>То же</w:t>
            </w:r>
          </w:p>
        </w:tc>
        <w:tc>
          <w:tcPr>
            <w:tcW w:w="2154" w:type="dxa"/>
            <w:tcBorders>
              <w:top w:val="nil"/>
              <w:bottom w:val="nil"/>
            </w:tcBorders>
          </w:tcPr>
          <w:p w:rsidR="00212513" w:rsidRDefault="00212513">
            <w:pPr>
              <w:pStyle w:val="ConsPlusNormal"/>
              <w:jc w:val="center"/>
            </w:pPr>
            <w:r>
              <w:t>-</w:t>
            </w:r>
          </w:p>
        </w:tc>
        <w:tc>
          <w:tcPr>
            <w:tcW w:w="1814" w:type="dxa"/>
            <w:tcBorders>
              <w:top w:val="nil"/>
              <w:bottom w:val="nil"/>
            </w:tcBorders>
          </w:tcPr>
          <w:p w:rsidR="00212513" w:rsidRDefault="00212513">
            <w:pPr>
              <w:pStyle w:val="ConsPlusNormal"/>
              <w:jc w:val="center"/>
            </w:pPr>
            <w:r>
              <w:t>12</w:t>
            </w:r>
          </w:p>
        </w:tc>
      </w:tr>
      <w:tr w:rsidR="00212513">
        <w:tblPrEx>
          <w:tblBorders>
            <w:insideH w:val="none" w:sz="0" w:space="0" w:color="auto"/>
          </w:tblBorders>
        </w:tblPrEx>
        <w:tc>
          <w:tcPr>
            <w:tcW w:w="3061" w:type="dxa"/>
            <w:tcBorders>
              <w:top w:val="nil"/>
              <w:bottom w:val="nil"/>
            </w:tcBorders>
          </w:tcPr>
          <w:p w:rsidR="00212513" w:rsidRDefault="00212513">
            <w:pPr>
              <w:pStyle w:val="ConsPlusNormal"/>
            </w:pPr>
            <w:r>
              <w:t>7 Стальные тяжи</w:t>
            </w:r>
          </w:p>
        </w:tc>
        <w:tc>
          <w:tcPr>
            <w:tcW w:w="2041" w:type="dxa"/>
            <w:tcBorders>
              <w:top w:val="nil"/>
              <w:bottom w:val="nil"/>
            </w:tcBorders>
          </w:tcPr>
          <w:p w:rsidR="00212513" w:rsidRDefault="00212513">
            <w:pPr>
              <w:pStyle w:val="ConsPlusNormal"/>
              <w:jc w:val="center"/>
            </w:pPr>
            <w:r>
              <w:t>"</w:t>
            </w:r>
          </w:p>
        </w:tc>
        <w:tc>
          <w:tcPr>
            <w:tcW w:w="2154" w:type="dxa"/>
            <w:tcBorders>
              <w:top w:val="nil"/>
              <w:bottom w:val="nil"/>
            </w:tcBorders>
          </w:tcPr>
          <w:p w:rsidR="00212513" w:rsidRDefault="00212513">
            <w:pPr>
              <w:pStyle w:val="ConsPlusNormal"/>
              <w:jc w:val="center"/>
            </w:pPr>
            <w:r>
              <w:t>25</w:t>
            </w:r>
          </w:p>
        </w:tc>
        <w:tc>
          <w:tcPr>
            <w:tcW w:w="1814" w:type="dxa"/>
            <w:tcBorders>
              <w:top w:val="nil"/>
              <w:bottom w:val="nil"/>
            </w:tcBorders>
          </w:tcPr>
          <w:p w:rsidR="00212513" w:rsidRDefault="00212513">
            <w:pPr>
              <w:pStyle w:val="ConsPlusNormal"/>
              <w:jc w:val="center"/>
            </w:pPr>
            <w:r>
              <w:t>22</w:t>
            </w:r>
          </w:p>
        </w:tc>
      </w:tr>
      <w:tr w:rsidR="00212513">
        <w:tblPrEx>
          <w:tblBorders>
            <w:insideH w:val="none" w:sz="0" w:space="0" w:color="auto"/>
          </w:tblBorders>
        </w:tblPrEx>
        <w:tc>
          <w:tcPr>
            <w:tcW w:w="3061" w:type="dxa"/>
            <w:tcBorders>
              <w:top w:val="nil"/>
              <w:bottom w:val="nil"/>
            </w:tcBorders>
          </w:tcPr>
          <w:p w:rsidR="00212513" w:rsidRDefault="00212513">
            <w:pPr>
              <w:pStyle w:val="ConsPlusNormal"/>
            </w:pPr>
            <w:r>
              <w:t>8 Стальные нагели</w:t>
            </w:r>
          </w:p>
        </w:tc>
        <w:tc>
          <w:tcPr>
            <w:tcW w:w="2041" w:type="dxa"/>
            <w:tcBorders>
              <w:top w:val="nil"/>
              <w:bottom w:val="nil"/>
            </w:tcBorders>
          </w:tcPr>
          <w:p w:rsidR="00212513" w:rsidRDefault="00212513">
            <w:pPr>
              <w:pStyle w:val="ConsPlusNormal"/>
              <w:jc w:val="center"/>
            </w:pPr>
            <w:r>
              <w:t>"</w:t>
            </w:r>
          </w:p>
        </w:tc>
        <w:tc>
          <w:tcPr>
            <w:tcW w:w="2154" w:type="dxa"/>
            <w:tcBorders>
              <w:top w:val="nil"/>
              <w:bottom w:val="nil"/>
            </w:tcBorders>
          </w:tcPr>
          <w:p w:rsidR="00212513" w:rsidRDefault="00212513">
            <w:pPr>
              <w:pStyle w:val="ConsPlusNormal"/>
              <w:jc w:val="center"/>
            </w:pPr>
            <w:r>
              <w:t>22</w:t>
            </w:r>
          </w:p>
        </w:tc>
        <w:tc>
          <w:tcPr>
            <w:tcW w:w="1814" w:type="dxa"/>
            <w:tcBorders>
              <w:top w:val="nil"/>
              <w:bottom w:val="nil"/>
            </w:tcBorders>
          </w:tcPr>
          <w:p w:rsidR="00212513" w:rsidRDefault="00212513">
            <w:pPr>
              <w:pStyle w:val="ConsPlusNormal"/>
              <w:jc w:val="center"/>
            </w:pPr>
            <w:r>
              <w:t>12</w:t>
            </w:r>
          </w:p>
        </w:tc>
      </w:tr>
      <w:tr w:rsidR="00212513">
        <w:tblPrEx>
          <w:tblBorders>
            <w:insideH w:val="none" w:sz="0" w:space="0" w:color="auto"/>
          </w:tblBorders>
        </w:tblPrEx>
        <w:tc>
          <w:tcPr>
            <w:tcW w:w="3061" w:type="dxa"/>
            <w:tcBorders>
              <w:top w:val="nil"/>
              <w:bottom w:val="nil"/>
            </w:tcBorders>
          </w:tcPr>
          <w:p w:rsidR="00212513" w:rsidRDefault="00212513">
            <w:pPr>
              <w:pStyle w:val="ConsPlusNormal"/>
            </w:pPr>
            <w:r>
              <w:t>9 Гвозди и дюбели</w:t>
            </w:r>
          </w:p>
        </w:tc>
        <w:tc>
          <w:tcPr>
            <w:tcW w:w="2041" w:type="dxa"/>
            <w:tcBorders>
              <w:top w:val="nil"/>
              <w:bottom w:val="nil"/>
            </w:tcBorders>
          </w:tcPr>
          <w:p w:rsidR="00212513" w:rsidRDefault="00212513">
            <w:pPr>
              <w:pStyle w:val="ConsPlusNormal"/>
              <w:jc w:val="center"/>
            </w:pPr>
            <w:r>
              <w:t>"</w:t>
            </w:r>
          </w:p>
        </w:tc>
        <w:tc>
          <w:tcPr>
            <w:tcW w:w="2154" w:type="dxa"/>
            <w:tcBorders>
              <w:top w:val="nil"/>
              <w:bottom w:val="nil"/>
            </w:tcBorders>
          </w:tcPr>
          <w:p w:rsidR="00212513" w:rsidRDefault="00212513">
            <w:pPr>
              <w:pStyle w:val="ConsPlusNormal"/>
              <w:jc w:val="center"/>
            </w:pPr>
            <w:r>
              <w:t>4</w:t>
            </w:r>
          </w:p>
        </w:tc>
        <w:tc>
          <w:tcPr>
            <w:tcW w:w="1814" w:type="dxa"/>
            <w:tcBorders>
              <w:top w:val="nil"/>
              <w:bottom w:val="nil"/>
            </w:tcBorders>
          </w:tcPr>
          <w:p w:rsidR="00212513" w:rsidRDefault="00212513">
            <w:pPr>
              <w:pStyle w:val="ConsPlusNormal"/>
              <w:jc w:val="center"/>
            </w:pPr>
            <w:r>
              <w:t>4</w:t>
            </w:r>
          </w:p>
        </w:tc>
      </w:tr>
      <w:tr w:rsidR="00212513">
        <w:tblPrEx>
          <w:tblBorders>
            <w:insideH w:val="none" w:sz="0" w:space="0" w:color="auto"/>
          </w:tblBorders>
        </w:tblPrEx>
        <w:tc>
          <w:tcPr>
            <w:tcW w:w="3061" w:type="dxa"/>
            <w:tcBorders>
              <w:top w:val="nil"/>
              <w:bottom w:val="nil"/>
            </w:tcBorders>
          </w:tcPr>
          <w:p w:rsidR="00212513" w:rsidRDefault="00212513">
            <w:pPr>
              <w:pStyle w:val="ConsPlusNormal"/>
            </w:pPr>
            <w:r>
              <w:t>10 Стальные накладки</w:t>
            </w:r>
          </w:p>
        </w:tc>
        <w:tc>
          <w:tcPr>
            <w:tcW w:w="2041" w:type="dxa"/>
            <w:tcBorders>
              <w:top w:val="nil"/>
              <w:bottom w:val="nil"/>
            </w:tcBorders>
          </w:tcPr>
          <w:p w:rsidR="00212513" w:rsidRDefault="00212513">
            <w:pPr>
              <w:pStyle w:val="ConsPlusNormal"/>
              <w:jc w:val="center"/>
            </w:pPr>
            <w:r>
              <w:t>Толщинах x 10</w:t>
            </w:r>
            <w:r>
              <w:rPr>
                <w:vertAlign w:val="superscript"/>
              </w:rPr>
              <w:t>-1</w:t>
            </w:r>
          </w:p>
        </w:tc>
        <w:tc>
          <w:tcPr>
            <w:tcW w:w="2154" w:type="dxa"/>
            <w:tcBorders>
              <w:top w:val="nil"/>
              <w:bottom w:val="nil"/>
            </w:tcBorders>
          </w:tcPr>
          <w:p w:rsidR="00212513" w:rsidRDefault="00212513">
            <w:pPr>
              <w:pStyle w:val="ConsPlusNormal"/>
              <w:jc w:val="center"/>
            </w:pPr>
            <w:r>
              <w:t>8</w:t>
            </w:r>
          </w:p>
        </w:tc>
        <w:tc>
          <w:tcPr>
            <w:tcW w:w="1814" w:type="dxa"/>
            <w:tcBorders>
              <w:top w:val="nil"/>
              <w:bottom w:val="nil"/>
            </w:tcBorders>
          </w:tcPr>
          <w:p w:rsidR="00212513" w:rsidRDefault="00212513">
            <w:pPr>
              <w:pStyle w:val="ConsPlusNormal"/>
              <w:jc w:val="center"/>
            </w:pPr>
            <w:r>
              <w:t>8</w:t>
            </w:r>
          </w:p>
        </w:tc>
      </w:tr>
      <w:tr w:rsidR="00212513">
        <w:tblPrEx>
          <w:tblBorders>
            <w:insideH w:val="none" w:sz="0" w:space="0" w:color="auto"/>
          </w:tblBorders>
        </w:tblPrEx>
        <w:tc>
          <w:tcPr>
            <w:tcW w:w="3061" w:type="dxa"/>
            <w:tcBorders>
              <w:top w:val="nil"/>
              <w:bottom w:val="nil"/>
            </w:tcBorders>
          </w:tcPr>
          <w:p w:rsidR="00212513" w:rsidRDefault="00212513">
            <w:pPr>
              <w:pStyle w:val="ConsPlusNormal"/>
            </w:pPr>
            <w:r>
              <w:t>11 Шайбы</w:t>
            </w:r>
          </w:p>
        </w:tc>
        <w:tc>
          <w:tcPr>
            <w:tcW w:w="2041" w:type="dxa"/>
            <w:tcBorders>
              <w:top w:val="nil"/>
              <w:bottom w:val="nil"/>
            </w:tcBorders>
          </w:tcPr>
          <w:p w:rsidR="00212513" w:rsidRDefault="00212513">
            <w:pPr>
              <w:pStyle w:val="ConsPlusNormal"/>
              <w:jc w:val="center"/>
            </w:pPr>
            <w:r>
              <w:t>То же</w:t>
            </w:r>
          </w:p>
        </w:tc>
        <w:tc>
          <w:tcPr>
            <w:tcW w:w="2154" w:type="dxa"/>
            <w:tcBorders>
              <w:top w:val="nil"/>
              <w:bottom w:val="nil"/>
            </w:tcBorders>
          </w:tcPr>
          <w:p w:rsidR="00212513" w:rsidRDefault="00212513">
            <w:pPr>
              <w:pStyle w:val="ConsPlusNormal"/>
              <w:jc w:val="center"/>
            </w:pPr>
            <w:r>
              <w:t>6</w:t>
            </w:r>
          </w:p>
        </w:tc>
        <w:tc>
          <w:tcPr>
            <w:tcW w:w="1814" w:type="dxa"/>
            <w:tcBorders>
              <w:top w:val="nil"/>
              <w:bottom w:val="nil"/>
            </w:tcBorders>
          </w:tcPr>
          <w:p w:rsidR="00212513" w:rsidRDefault="00212513">
            <w:pPr>
              <w:pStyle w:val="ConsPlusNormal"/>
              <w:jc w:val="center"/>
            </w:pPr>
            <w:r>
              <w:t>6</w:t>
            </w:r>
          </w:p>
        </w:tc>
      </w:tr>
      <w:tr w:rsidR="00212513">
        <w:tblPrEx>
          <w:tblBorders>
            <w:insideH w:val="none" w:sz="0" w:space="0" w:color="auto"/>
          </w:tblBorders>
        </w:tblPrEx>
        <w:tc>
          <w:tcPr>
            <w:tcW w:w="3061" w:type="dxa"/>
            <w:tcBorders>
              <w:top w:val="nil"/>
              <w:bottom w:val="single" w:sz="4" w:space="0" w:color="auto"/>
            </w:tcBorders>
          </w:tcPr>
          <w:p w:rsidR="00212513" w:rsidRDefault="00212513">
            <w:pPr>
              <w:pStyle w:val="ConsPlusNormal"/>
            </w:pPr>
            <w:r>
              <w:t>12 Зубчатые шипы</w:t>
            </w:r>
          </w:p>
        </w:tc>
        <w:tc>
          <w:tcPr>
            <w:tcW w:w="2041" w:type="dxa"/>
            <w:tcBorders>
              <w:top w:val="nil"/>
              <w:bottom w:val="single" w:sz="4" w:space="0" w:color="auto"/>
            </w:tcBorders>
          </w:tcPr>
          <w:p w:rsidR="00212513" w:rsidRDefault="00212513">
            <w:pPr>
              <w:pStyle w:val="ConsPlusNormal"/>
              <w:jc w:val="center"/>
            </w:pPr>
            <w:r>
              <w:t>Длина</w:t>
            </w:r>
          </w:p>
        </w:tc>
        <w:tc>
          <w:tcPr>
            <w:tcW w:w="2154" w:type="dxa"/>
            <w:tcBorders>
              <w:top w:val="nil"/>
              <w:bottom w:val="single" w:sz="4" w:space="0" w:color="auto"/>
            </w:tcBorders>
          </w:tcPr>
          <w:p w:rsidR="00212513" w:rsidRDefault="00212513">
            <w:pPr>
              <w:pStyle w:val="ConsPlusNormal"/>
              <w:jc w:val="center"/>
            </w:pPr>
            <w:r>
              <w:t>-</w:t>
            </w:r>
          </w:p>
        </w:tc>
        <w:tc>
          <w:tcPr>
            <w:tcW w:w="1814" w:type="dxa"/>
            <w:tcBorders>
              <w:top w:val="nil"/>
              <w:bottom w:val="single" w:sz="4" w:space="0" w:color="auto"/>
            </w:tcBorders>
          </w:tcPr>
          <w:p w:rsidR="00212513" w:rsidRDefault="00212513">
            <w:pPr>
              <w:pStyle w:val="ConsPlusNormal"/>
              <w:jc w:val="center"/>
            </w:pPr>
            <w:r>
              <w:t>3,2</w:t>
            </w:r>
          </w:p>
        </w:tc>
      </w:tr>
      <w:tr w:rsidR="00212513">
        <w:tc>
          <w:tcPr>
            <w:tcW w:w="9070" w:type="dxa"/>
            <w:gridSpan w:val="4"/>
            <w:tcBorders>
              <w:top w:val="single" w:sz="4" w:space="0" w:color="auto"/>
              <w:bottom w:val="single" w:sz="4" w:space="0" w:color="auto"/>
            </w:tcBorders>
          </w:tcPr>
          <w:p w:rsidR="00212513" w:rsidRDefault="00212513">
            <w:pPr>
              <w:pStyle w:val="ConsPlusNormal"/>
              <w:ind w:firstLine="283"/>
              <w:jc w:val="both"/>
            </w:pPr>
            <w:bookmarkStart w:id="450" w:name="P10807"/>
            <w:bookmarkEnd w:id="450"/>
            <w:r>
              <w:t>&lt;*&gt; Толщина досок для клееных конструкций после обработки не должна превышать 3,3 см - для главных балок и 4,3 см - для остальных элементов.</w:t>
            </w:r>
          </w:p>
          <w:p w:rsidR="00212513" w:rsidRDefault="00212513">
            <w:pPr>
              <w:pStyle w:val="ConsPlusNormal"/>
              <w:ind w:firstLine="283"/>
              <w:jc w:val="both"/>
            </w:pPr>
            <w:bookmarkStart w:id="451" w:name="P10808"/>
            <w:bookmarkEnd w:id="451"/>
            <w:r>
              <w:t>&lt;**&gt; Бревна диаметром в тонком конце менее 18 см допускается применять только для настила проезжей части и неответственных элементов (второстепенных связей, схваток и т.д.).</w:t>
            </w:r>
          </w:p>
        </w:tc>
      </w:tr>
    </w:tbl>
    <w:p w:rsidR="00212513" w:rsidRDefault="00212513">
      <w:pPr>
        <w:pStyle w:val="ConsPlusNormal"/>
        <w:ind w:firstLine="540"/>
        <w:jc w:val="both"/>
      </w:pPr>
    </w:p>
    <w:p w:rsidR="00212513" w:rsidRDefault="00212513">
      <w:pPr>
        <w:pStyle w:val="ConsPlusNormal"/>
        <w:ind w:firstLine="540"/>
        <w:jc w:val="both"/>
      </w:pPr>
      <w:r>
        <w:t>10.57 Гибкость деревянных элементов в конструкциях не должна превышать:</w:t>
      </w:r>
    </w:p>
    <w:p w:rsidR="00212513" w:rsidRDefault="00212513">
      <w:pPr>
        <w:pStyle w:val="ConsPlusNormal"/>
        <w:spacing w:before="220"/>
        <w:ind w:firstLine="540"/>
        <w:jc w:val="both"/>
      </w:pPr>
      <w:r>
        <w:t>а) для поясов, раскосов, стоек опор и свай:</w:t>
      </w:r>
    </w:p>
    <w:p w:rsidR="00212513" w:rsidRDefault="00212513">
      <w:pPr>
        <w:pStyle w:val="ConsPlusNormal"/>
        <w:spacing w:before="220"/>
        <w:ind w:firstLine="540"/>
        <w:jc w:val="both"/>
      </w:pPr>
      <w:r>
        <w:t>сжатых - 100;</w:t>
      </w:r>
    </w:p>
    <w:p w:rsidR="00212513" w:rsidRDefault="00212513">
      <w:pPr>
        <w:pStyle w:val="ConsPlusNormal"/>
        <w:spacing w:before="220"/>
        <w:ind w:firstLine="540"/>
        <w:jc w:val="both"/>
      </w:pPr>
      <w:r>
        <w:t>растянутых - 150;</w:t>
      </w:r>
    </w:p>
    <w:p w:rsidR="00212513" w:rsidRDefault="00212513">
      <w:pPr>
        <w:pStyle w:val="ConsPlusNormal"/>
        <w:spacing w:before="220"/>
        <w:ind w:firstLine="540"/>
        <w:jc w:val="both"/>
      </w:pPr>
      <w:r>
        <w:t>б) для связей:</w:t>
      </w:r>
    </w:p>
    <w:p w:rsidR="00212513" w:rsidRDefault="00212513">
      <w:pPr>
        <w:pStyle w:val="ConsPlusNormal"/>
        <w:spacing w:before="220"/>
        <w:ind w:firstLine="540"/>
        <w:jc w:val="both"/>
      </w:pPr>
      <w:r>
        <w:lastRenderedPageBreak/>
        <w:t>сжатых - 150;</w:t>
      </w:r>
    </w:p>
    <w:p w:rsidR="00212513" w:rsidRDefault="00212513">
      <w:pPr>
        <w:pStyle w:val="ConsPlusNormal"/>
        <w:spacing w:before="220"/>
        <w:ind w:firstLine="540"/>
        <w:jc w:val="both"/>
      </w:pPr>
      <w:r>
        <w:t>растянутых - 200.</w:t>
      </w:r>
    </w:p>
    <w:p w:rsidR="00212513" w:rsidRDefault="00212513">
      <w:pPr>
        <w:pStyle w:val="ConsPlusNormal"/>
        <w:ind w:firstLine="540"/>
        <w:jc w:val="both"/>
      </w:pPr>
    </w:p>
    <w:p w:rsidR="00212513" w:rsidRDefault="00212513">
      <w:pPr>
        <w:pStyle w:val="ConsPlusTitle"/>
        <w:ind w:firstLine="540"/>
        <w:jc w:val="both"/>
        <w:outlineLvl w:val="2"/>
      </w:pPr>
      <w:r>
        <w:t>Стыки и соединения</w:t>
      </w:r>
    </w:p>
    <w:p w:rsidR="00212513" w:rsidRDefault="00212513">
      <w:pPr>
        <w:pStyle w:val="ConsPlusNormal"/>
        <w:ind w:firstLine="540"/>
        <w:jc w:val="both"/>
      </w:pPr>
    </w:p>
    <w:p w:rsidR="00212513" w:rsidRDefault="00212513">
      <w:pPr>
        <w:pStyle w:val="ConsPlusNormal"/>
        <w:ind w:firstLine="540"/>
        <w:jc w:val="both"/>
      </w:pPr>
      <w:r>
        <w:t>10.58 Стыки растянутых и сжатых элементов в фермах следует, как правило, располагать вне узла (в панели), при этом стыки сжатых элементов следует располагать вблизи узлов, закрепленных от выходов из плоскости фермы.</w:t>
      </w:r>
    </w:p>
    <w:p w:rsidR="00212513" w:rsidRDefault="00212513">
      <w:pPr>
        <w:pStyle w:val="ConsPlusNormal"/>
        <w:spacing w:before="220"/>
        <w:ind w:firstLine="540"/>
        <w:jc w:val="both"/>
      </w:pPr>
      <w:r>
        <w:t>Стыки клееных неразрезных балок следует располагать в зоне минимальных моментов.</w:t>
      </w:r>
    </w:p>
    <w:p w:rsidR="00212513" w:rsidRDefault="00212513">
      <w:pPr>
        <w:pStyle w:val="ConsPlusNormal"/>
        <w:spacing w:before="220"/>
        <w:ind w:firstLine="540"/>
        <w:jc w:val="both"/>
      </w:pPr>
      <w:r>
        <w:t>10.59 Соединяемые элементы должны быть стянуты болтами, а при необходимости - хомутами. Болты должны иметь стальные шайбы с обоих концов.</w:t>
      </w:r>
    </w:p>
    <w:p w:rsidR="00212513" w:rsidRDefault="00212513">
      <w:pPr>
        <w:pStyle w:val="ConsPlusNormal"/>
        <w:spacing w:before="220"/>
        <w:ind w:firstLine="540"/>
        <w:jc w:val="both"/>
      </w:pPr>
      <w:r>
        <w:t>10.60 Стыки растянутых и растянуто-изогнутых поясов ферм рекомендуется перекрывать деревянными накладками на сквозных цилиндрических стальных нагелях или выполнять клеештыревыми.</w:t>
      </w:r>
    </w:p>
    <w:p w:rsidR="00212513" w:rsidRDefault="00212513">
      <w:pPr>
        <w:pStyle w:val="ConsPlusNormal"/>
        <w:spacing w:before="220"/>
        <w:ind w:firstLine="540"/>
        <w:jc w:val="both"/>
      </w:pPr>
      <w:r>
        <w:t>Следует избегать применения соединений с гребенчатыми накладками.</w:t>
      </w:r>
    </w:p>
    <w:p w:rsidR="00212513" w:rsidRDefault="00212513">
      <w:pPr>
        <w:pStyle w:val="ConsPlusNormal"/>
        <w:spacing w:before="220"/>
        <w:ind w:firstLine="540"/>
        <w:jc w:val="both"/>
      </w:pPr>
      <w:r>
        <w:t>Стыки сжатых элементов поясов, выполненные в торец, должны быть перекрыты накладками, а при необходимости усилены вклеенными стальными штырями (клеештыревой стык).</w:t>
      </w:r>
    </w:p>
    <w:p w:rsidR="00212513" w:rsidRDefault="00212513">
      <w:pPr>
        <w:pStyle w:val="ConsPlusNormal"/>
        <w:spacing w:before="220"/>
        <w:ind w:firstLine="540"/>
        <w:jc w:val="both"/>
      </w:pPr>
      <w:r>
        <w:t>Стыки поясов дощато-гвоздевых ферм следует перекрывать накладками на стальных нагелях.</w:t>
      </w:r>
    </w:p>
    <w:p w:rsidR="00212513" w:rsidRDefault="00212513">
      <w:pPr>
        <w:pStyle w:val="ConsPlusNormal"/>
        <w:spacing w:before="220"/>
        <w:ind w:firstLine="540"/>
        <w:jc w:val="both"/>
      </w:pPr>
      <w:r>
        <w:t>10.61 Наименьшие расстояния между болтами, нагелями, гвоздями, дюбелями, шурупами, глухарями и штырями при их рядовой расстановке должны приниматься по таблице 10.10.</w:t>
      </w:r>
    </w:p>
    <w:p w:rsidR="00212513" w:rsidRDefault="00212513">
      <w:pPr>
        <w:pStyle w:val="ConsPlusNormal"/>
        <w:ind w:firstLine="540"/>
        <w:jc w:val="both"/>
      </w:pPr>
    </w:p>
    <w:p w:rsidR="00212513" w:rsidRDefault="00212513">
      <w:pPr>
        <w:pStyle w:val="ConsPlusNormal"/>
        <w:jc w:val="right"/>
      </w:pPr>
      <w:bookmarkStart w:id="452" w:name="P10829"/>
      <w:bookmarkEnd w:id="452"/>
      <w:r>
        <w:t>Таблица 10.10</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00"/>
        <w:gridCol w:w="1191"/>
        <w:gridCol w:w="1020"/>
        <w:gridCol w:w="1020"/>
        <w:gridCol w:w="1474"/>
        <w:gridCol w:w="1077"/>
      </w:tblGrid>
      <w:tr w:rsidR="00212513">
        <w:tc>
          <w:tcPr>
            <w:tcW w:w="3300" w:type="dxa"/>
            <w:vMerge w:val="restart"/>
            <w:tcBorders>
              <w:top w:val="single" w:sz="4" w:space="0" w:color="auto"/>
              <w:bottom w:val="single" w:sz="4" w:space="0" w:color="auto"/>
            </w:tcBorders>
            <w:vAlign w:val="center"/>
          </w:tcPr>
          <w:p w:rsidR="00212513" w:rsidRDefault="00212513">
            <w:pPr>
              <w:pStyle w:val="ConsPlusNormal"/>
              <w:jc w:val="center"/>
            </w:pPr>
            <w:r>
              <w:t>Наименование расстояния</w:t>
            </w:r>
          </w:p>
        </w:tc>
        <w:tc>
          <w:tcPr>
            <w:tcW w:w="5782" w:type="dxa"/>
            <w:gridSpan w:val="5"/>
            <w:tcBorders>
              <w:top w:val="single" w:sz="4" w:space="0" w:color="auto"/>
              <w:bottom w:val="single" w:sz="4" w:space="0" w:color="auto"/>
            </w:tcBorders>
            <w:vAlign w:val="center"/>
          </w:tcPr>
          <w:p w:rsidR="00212513" w:rsidRDefault="00212513">
            <w:pPr>
              <w:pStyle w:val="ConsPlusNormal"/>
              <w:jc w:val="center"/>
            </w:pPr>
            <w:r>
              <w:t>Значения наименьших расстояний, выраженные в расчетных диаметрах, для</w:t>
            </w:r>
          </w:p>
        </w:tc>
      </w:tr>
      <w:tr w:rsidR="00212513">
        <w:tc>
          <w:tcPr>
            <w:tcW w:w="3300" w:type="dxa"/>
            <w:vMerge/>
            <w:tcBorders>
              <w:top w:val="single" w:sz="4" w:space="0" w:color="auto"/>
              <w:bottom w:val="single" w:sz="4" w:space="0" w:color="auto"/>
            </w:tcBorders>
          </w:tcPr>
          <w:p w:rsidR="00212513" w:rsidRDefault="00212513">
            <w:pPr>
              <w:pStyle w:val="ConsPlusNormal"/>
            </w:pPr>
          </w:p>
        </w:tc>
        <w:tc>
          <w:tcPr>
            <w:tcW w:w="1191" w:type="dxa"/>
            <w:tcBorders>
              <w:top w:val="single" w:sz="4" w:space="0" w:color="auto"/>
              <w:bottom w:val="single" w:sz="4" w:space="0" w:color="auto"/>
            </w:tcBorders>
            <w:vAlign w:val="center"/>
          </w:tcPr>
          <w:p w:rsidR="00212513" w:rsidRDefault="00212513">
            <w:pPr>
              <w:pStyle w:val="ConsPlusNormal"/>
              <w:jc w:val="center"/>
            </w:pPr>
            <w:r>
              <w:t>болтов и сквозных нагелей</w:t>
            </w:r>
          </w:p>
        </w:tc>
        <w:tc>
          <w:tcPr>
            <w:tcW w:w="1020" w:type="dxa"/>
            <w:tcBorders>
              <w:top w:val="single" w:sz="4" w:space="0" w:color="auto"/>
              <w:bottom w:val="single" w:sz="4" w:space="0" w:color="auto"/>
            </w:tcBorders>
            <w:vAlign w:val="center"/>
          </w:tcPr>
          <w:p w:rsidR="00212513" w:rsidRDefault="00212513">
            <w:pPr>
              <w:pStyle w:val="ConsPlusNormal"/>
              <w:jc w:val="center"/>
            </w:pPr>
            <w:r>
              <w:t>глухих нагелей</w:t>
            </w:r>
          </w:p>
        </w:tc>
        <w:tc>
          <w:tcPr>
            <w:tcW w:w="1020" w:type="dxa"/>
            <w:tcBorders>
              <w:top w:val="single" w:sz="4" w:space="0" w:color="auto"/>
              <w:bottom w:val="single" w:sz="4" w:space="0" w:color="auto"/>
            </w:tcBorders>
            <w:vAlign w:val="center"/>
          </w:tcPr>
          <w:p w:rsidR="00212513" w:rsidRDefault="00212513">
            <w:pPr>
              <w:pStyle w:val="ConsPlusNormal"/>
              <w:jc w:val="center"/>
            </w:pPr>
            <w:r>
              <w:t>штырей</w:t>
            </w:r>
          </w:p>
        </w:tc>
        <w:tc>
          <w:tcPr>
            <w:tcW w:w="1474" w:type="dxa"/>
            <w:tcBorders>
              <w:top w:val="single" w:sz="4" w:space="0" w:color="auto"/>
              <w:bottom w:val="single" w:sz="4" w:space="0" w:color="auto"/>
            </w:tcBorders>
            <w:vAlign w:val="center"/>
          </w:tcPr>
          <w:p w:rsidR="00212513" w:rsidRDefault="00212513">
            <w:pPr>
              <w:pStyle w:val="ConsPlusNormal"/>
              <w:jc w:val="center"/>
            </w:pPr>
            <w:r>
              <w:t>гвоздей и дюбелей</w:t>
            </w:r>
          </w:p>
        </w:tc>
        <w:tc>
          <w:tcPr>
            <w:tcW w:w="1077" w:type="dxa"/>
            <w:tcBorders>
              <w:top w:val="single" w:sz="4" w:space="0" w:color="auto"/>
              <w:bottom w:val="single" w:sz="4" w:space="0" w:color="auto"/>
            </w:tcBorders>
            <w:vAlign w:val="center"/>
          </w:tcPr>
          <w:p w:rsidR="00212513" w:rsidRDefault="00212513">
            <w:pPr>
              <w:pStyle w:val="ConsPlusNormal"/>
              <w:jc w:val="center"/>
            </w:pPr>
            <w:r>
              <w:t>шурупов и глухарей</w:t>
            </w:r>
          </w:p>
        </w:tc>
      </w:tr>
      <w:tr w:rsidR="00212513">
        <w:tblPrEx>
          <w:tblBorders>
            <w:insideH w:val="none" w:sz="0" w:space="0" w:color="auto"/>
          </w:tblBorders>
        </w:tblPrEx>
        <w:tc>
          <w:tcPr>
            <w:tcW w:w="3300" w:type="dxa"/>
            <w:tcBorders>
              <w:top w:val="single" w:sz="4" w:space="0" w:color="auto"/>
              <w:bottom w:val="nil"/>
            </w:tcBorders>
          </w:tcPr>
          <w:p w:rsidR="00212513" w:rsidRDefault="00212513">
            <w:pPr>
              <w:pStyle w:val="ConsPlusNormal"/>
            </w:pPr>
            <w:r>
              <w:t>1 Между осями скрепления:</w:t>
            </w:r>
          </w:p>
        </w:tc>
        <w:tc>
          <w:tcPr>
            <w:tcW w:w="1191" w:type="dxa"/>
            <w:tcBorders>
              <w:top w:val="single" w:sz="4" w:space="0" w:color="auto"/>
              <w:bottom w:val="nil"/>
            </w:tcBorders>
          </w:tcPr>
          <w:p w:rsidR="00212513" w:rsidRDefault="00212513">
            <w:pPr>
              <w:pStyle w:val="ConsPlusNormal"/>
              <w:jc w:val="center"/>
            </w:pPr>
          </w:p>
        </w:tc>
        <w:tc>
          <w:tcPr>
            <w:tcW w:w="1020" w:type="dxa"/>
            <w:tcBorders>
              <w:top w:val="single" w:sz="4" w:space="0" w:color="auto"/>
              <w:bottom w:val="nil"/>
            </w:tcBorders>
          </w:tcPr>
          <w:p w:rsidR="00212513" w:rsidRDefault="00212513">
            <w:pPr>
              <w:pStyle w:val="ConsPlusNormal"/>
              <w:jc w:val="center"/>
            </w:pPr>
          </w:p>
        </w:tc>
        <w:tc>
          <w:tcPr>
            <w:tcW w:w="1020" w:type="dxa"/>
            <w:tcBorders>
              <w:top w:val="single" w:sz="4" w:space="0" w:color="auto"/>
              <w:bottom w:val="nil"/>
            </w:tcBorders>
          </w:tcPr>
          <w:p w:rsidR="00212513" w:rsidRDefault="00212513">
            <w:pPr>
              <w:pStyle w:val="ConsPlusNormal"/>
              <w:jc w:val="center"/>
            </w:pPr>
          </w:p>
        </w:tc>
        <w:tc>
          <w:tcPr>
            <w:tcW w:w="1474" w:type="dxa"/>
            <w:tcBorders>
              <w:top w:val="single" w:sz="4" w:space="0" w:color="auto"/>
              <w:bottom w:val="nil"/>
            </w:tcBorders>
          </w:tcPr>
          <w:p w:rsidR="00212513" w:rsidRDefault="00212513">
            <w:pPr>
              <w:pStyle w:val="ConsPlusNormal"/>
              <w:jc w:val="center"/>
            </w:pPr>
          </w:p>
        </w:tc>
        <w:tc>
          <w:tcPr>
            <w:tcW w:w="1077" w:type="dxa"/>
            <w:tcBorders>
              <w:top w:val="single" w:sz="4" w:space="0" w:color="auto"/>
              <w:bottom w:val="nil"/>
            </w:tcBorders>
          </w:tcPr>
          <w:p w:rsidR="00212513" w:rsidRDefault="00212513">
            <w:pPr>
              <w:pStyle w:val="ConsPlusNormal"/>
              <w:jc w:val="center"/>
            </w:pPr>
          </w:p>
        </w:tc>
      </w:tr>
      <w:tr w:rsidR="00212513">
        <w:tblPrEx>
          <w:tblBorders>
            <w:insideH w:val="none" w:sz="0" w:space="0" w:color="auto"/>
          </w:tblBorders>
        </w:tblPrEx>
        <w:tc>
          <w:tcPr>
            <w:tcW w:w="3300" w:type="dxa"/>
            <w:tcBorders>
              <w:top w:val="nil"/>
              <w:bottom w:val="nil"/>
            </w:tcBorders>
          </w:tcPr>
          <w:p w:rsidR="00212513" w:rsidRDefault="00212513">
            <w:pPr>
              <w:pStyle w:val="ConsPlusNormal"/>
              <w:ind w:left="283"/>
            </w:pPr>
            <w:r>
              <w:t>вдоль волокон</w:t>
            </w:r>
          </w:p>
        </w:tc>
        <w:tc>
          <w:tcPr>
            <w:tcW w:w="1191" w:type="dxa"/>
            <w:tcBorders>
              <w:top w:val="nil"/>
              <w:bottom w:val="nil"/>
            </w:tcBorders>
          </w:tcPr>
          <w:p w:rsidR="00212513" w:rsidRDefault="00212513">
            <w:pPr>
              <w:pStyle w:val="ConsPlusNormal"/>
              <w:jc w:val="center"/>
            </w:pPr>
            <w:r>
              <w:t>6</w:t>
            </w:r>
          </w:p>
        </w:tc>
        <w:tc>
          <w:tcPr>
            <w:tcW w:w="1020" w:type="dxa"/>
            <w:tcBorders>
              <w:top w:val="nil"/>
              <w:bottom w:val="nil"/>
            </w:tcBorders>
          </w:tcPr>
          <w:p w:rsidR="00212513" w:rsidRDefault="00212513">
            <w:pPr>
              <w:pStyle w:val="ConsPlusNormal"/>
              <w:jc w:val="center"/>
            </w:pPr>
            <w:r>
              <w:t>7</w:t>
            </w:r>
          </w:p>
        </w:tc>
        <w:tc>
          <w:tcPr>
            <w:tcW w:w="1020" w:type="dxa"/>
            <w:tcBorders>
              <w:top w:val="nil"/>
              <w:bottom w:val="nil"/>
            </w:tcBorders>
          </w:tcPr>
          <w:p w:rsidR="00212513" w:rsidRDefault="00212513">
            <w:pPr>
              <w:pStyle w:val="ConsPlusNormal"/>
              <w:jc w:val="center"/>
            </w:pPr>
            <w:r>
              <w:t>-</w:t>
            </w:r>
          </w:p>
        </w:tc>
        <w:tc>
          <w:tcPr>
            <w:tcW w:w="1474" w:type="dxa"/>
            <w:tcBorders>
              <w:top w:val="nil"/>
              <w:bottom w:val="nil"/>
            </w:tcBorders>
          </w:tcPr>
          <w:p w:rsidR="00212513" w:rsidRDefault="00212513">
            <w:pPr>
              <w:pStyle w:val="ConsPlusNormal"/>
              <w:jc w:val="center"/>
            </w:pPr>
            <w:r>
              <w:t xml:space="preserve">15 </w:t>
            </w:r>
            <w:hyperlink w:anchor="P10874">
              <w:r>
                <w:rPr>
                  <w:color w:val="0000FF"/>
                </w:rPr>
                <w:t>&lt;*&gt;</w:t>
              </w:r>
            </w:hyperlink>
            <w:r>
              <w:t xml:space="preserve"> или 25 </w:t>
            </w:r>
            <w:hyperlink w:anchor="P10875">
              <w:r>
                <w:rPr>
                  <w:color w:val="0000FF"/>
                </w:rPr>
                <w:t>&lt;**&gt;</w:t>
              </w:r>
            </w:hyperlink>
          </w:p>
        </w:tc>
        <w:tc>
          <w:tcPr>
            <w:tcW w:w="1077" w:type="dxa"/>
            <w:tcBorders>
              <w:top w:val="nil"/>
              <w:bottom w:val="nil"/>
            </w:tcBorders>
          </w:tcPr>
          <w:p w:rsidR="00212513" w:rsidRDefault="00212513">
            <w:pPr>
              <w:pStyle w:val="ConsPlusNormal"/>
              <w:jc w:val="center"/>
            </w:pPr>
            <w:r>
              <w:t>10</w:t>
            </w:r>
          </w:p>
        </w:tc>
      </w:tr>
      <w:tr w:rsidR="00212513">
        <w:tblPrEx>
          <w:tblBorders>
            <w:insideH w:val="none" w:sz="0" w:space="0" w:color="auto"/>
          </w:tblBorders>
        </w:tblPrEx>
        <w:tc>
          <w:tcPr>
            <w:tcW w:w="3300" w:type="dxa"/>
            <w:tcBorders>
              <w:top w:val="nil"/>
              <w:bottom w:val="nil"/>
            </w:tcBorders>
          </w:tcPr>
          <w:p w:rsidR="00212513" w:rsidRDefault="00212513">
            <w:pPr>
              <w:pStyle w:val="ConsPlusNormal"/>
              <w:ind w:left="283"/>
            </w:pPr>
            <w:r>
              <w:t>поперек волокон</w:t>
            </w:r>
          </w:p>
        </w:tc>
        <w:tc>
          <w:tcPr>
            <w:tcW w:w="1191" w:type="dxa"/>
            <w:tcBorders>
              <w:top w:val="nil"/>
              <w:bottom w:val="nil"/>
            </w:tcBorders>
          </w:tcPr>
          <w:p w:rsidR="00212513" w:rsidRDefault="00212513">
            <w:pPr>
              <w:pStyle w:val="ConsPlusNormal"/>
              <w:jc w:val="center"/>
            </w:pPr>
            <w:r>
              <w:t>3</w:t>
            </w:r>
          </w:p>
        </w:tc>
        <w:tc>
          <w:tcPr>
            <w:tcW w:w="1020" w:type="dxa"/>
            <w:tcBorders>
              <w:top w:val="nil"/>
              <w:bottom w:val="nil"/>
            </w:tcBorders>
          </w:tcPr>
          <w:p w:rsidR="00212513" w:rsidRDefault="00212513">
            <w:pPr>
              <w:pStyle w:val="ConsPlusNormal"/>
              <w:jc w:val="center"/>
            </w:pPr>
            <w:r>
              <w:t>3,5</w:t>
            </w:r>
          </w:p>
        </w:tc>
        <w:tc>
          <w:tcPr>
            <w:tcW w:w="1020" w:type="dxa"/>
            <w:tcBorders>
              <w:top w:val="nil"/>
              <w:bottom w:val="nil"/>
            </w:tcBorders>
          </w:tcPr>
          <w:p w:rsidR="00212513" w:rsidRDefault="00212513">
            <w:pPr>
              <w:pStyle w:val="ConsPlusNormal"/>
              <w:jc w:val="center"/>
            </w:pPr>
            <w:r>
              <w:t>3</w:t>
            </w:r>
          </w:p>
        </w:tc>
        <w:tc>
          <w:tcPr>
            <w:tcW w:w="1474" w:type="dxa"/>
            <w:tcBorders>
              <w:top w:val="nil"/>
              <w:bottom w:val="nil"/>
            </w:tcBorders>
          </w:tcPr>
          <w:p w:rsidR="00212513" w:rsidRDefault="00212513">
            <w:pPr>
              <w:pStyle w:val="ConsPlusNormal"/>
              <w:jc w:val="center"/>
            </w:pPr>
            <w:r>
              <w:t>4</w:t>
            </w:r>
          </w:p>
        </w:tc>
        <w:tc>
          <w:tcPr>
            <w:tcW w:w="1077" w:type="dxa"/>
            <w:tcBorders>
              <w:top w:val="nil"/>
              <w:bottom w:val="nil"/>
            </w:tcBorders>
          </w:tcPr>
          <w:p w:rsidR="00212513" w:rsidRDefault="00212513">
            <w:pPr>
              <w:pStyle w:val="ConsPlusNormal"/>
              <w:jc w:val="center"/>
            </w:pPr>
            <w:r>
              <w:t>5</w:t>
            </w:r>
          </w:p>
        </w:tc>
      </w:tr>
      <w:tr w:rsidR="00212513">
        <w:tblPrEx>
          <w:tblBorders>
            <w:insideH w:val="none" w:sz="0" w:space="0" w:color="auto"/>
          </w:tblBorders>
        </w:tblPrEx>
        <w:tc>
          <w:tcPr>
            <w:tcW w:w="3300" w:type="dxa"/>
            <w:tcBorders>
              <w:top w:val="nil"/>
              <w:bottom w:val="nil"/>
            </w:tcBorders>
          </w:tcPr>
          <w:p w:rsidR="00212513" w:rsidRDefault="00212513">
            <w:pPr>
              <w:pStyle w:val="ConsPlusNormal"/>
            </w:pPr>
            <w:r>
              <w:t>2 От оси крайнего скрепления до края элемента:</w:t>
            </w:r>
          </w:p>
        </w:tc>
        <w:tc>
          <w:tcPr>
            <w:tcW w:w="1191" w:type="dxa"/>
            <w:tcBorders>
              <w:top w:val="nil"/>
              <w:bottom w:val="nil"/>
            </w:tcBorders>
          </w:tcPr>
          <w:p w:rsidR="00212513" w:rsidRDefault="00212513">
            <w:pPr>
              <w:pStyle w:val="ConsPlusNormal"/>
              <w:jc w:val="center"/>
            </w:pPr>
          </w:p>
        </w:tc>
        <w:tc>
          <w:tcPr>
            <w:tcW w:w="1020" w:type="dxa"/>
            <w:tcBorders>
              <w:top w:val="nil"/>
              <w:bottom w:val="nil"/>
            </w:tcBorders>
          </w:tcPr>
          <w:p w:rsidR="00212513" w:rsidRDefault="00212513">
            <w:pPr>
              <w:pStyle w:val="ConsPlusNormal"/>
              <w:jc w:val="center"/>
            </w:pPr>
          </w:p>
        </w:tc>
        <w:tc>
          <w:tcPr>
            <w:tcW w:w="1020" w:type="dxa"/>
            <w:tcBorders>
              <w:top w:val="nil"/>
              <w:bottom w:val="nil"/>
            </w:tcBorders>
          </w:tcPr>
          <w:p w:rsidR="00212513" w:rsidRDefault="00212513">
            <w:pPr>
              <w:pStyle w:val="ConsPlusNormal"/>
              <w:jc w:val="center"/>
            </w:pPr>
          </w:p>
        </w:tc>
        <w:tc>
          <w:tcPr>
            <w:tcW w:w="1474" w:type="dxa"/>
            <w:tcBorders>
              <w:top w:val="nil"/>
              <w:bottom w:val="nil"/>
            </w:tcBorders>
          </w:tcPr>
          <w:p w:rsidR="00212513" w:rsidRDefault="00212513">
            <w:pPr>
              <w:pStyle w:val="ConsPlusNormal"/>
              <w:jc w:val="center"/>
            </w:pPr>
          </w:p>
        </w:tc>
        <w:tc>
          <w:tcPr>
            <w:tcW w:w="1077" w:type="dxa"/>
            <w:tcBorders>
              <w:top w:val="nil"/>
              <w:bottom w:val="nil"/>
            </w:tcBorders>
          </w:tcPr>
          <w:p w:rsidR="00212513" w:rsidRDefault="00212513">
            <w:pPr>
              <w:pStyle w:val="ConsPlusNormal"/>
              <w:jc w:val="center"/>
            </w:pPr>
          </w:p>
        </w:tc>
      </w:tr>
      <w:tr w:rsidR="00212513">
        <w:tblPrEx>
          <w:tblBorders>
            <w:insideH w:val="none" w:sz="0" w:space="0" w:color="auto"/>
          </w:tblBorders>
        </w:tblPrEx>
        <w:tc>
          <w:tcPr>
            <w:tcW w:w="3300" w:type="dxa"/>
            <w:tcBorders>
              <w:top w:val="nil"/>
              <w:bottom w:val="nil"/>
            </w:tcBorders>
          </w:tcPr>
          <w:p w:rsidR="00212513" w:rsidRDefault="00212513">
            <w:pPr>
              <w:pStyle w:val="ConsPlusNormal"/>
              <w:ind w:left="283"/>
            </w:pPr>
            <w:r>
              <w:t>вдоль волокон</w:t>
            </w:r>
          </w:p>
        </w:tc>
        <w:tc>
          <w:tcPr>
            <w:tcW w:w="1191" w:type="dxa"/>
            <w:tcBorders>
              <w:top w:val="nil"/>
              <w:bottom w:val="nil"/>
            </w:tcBorders>
          </w:tcPr>
          <w:p w:rsidR="00212513" w:rsidRDefault="00212513">
            <w:pPr>
              <w:pStyle w:val="ConsPlusNormal"/>
              <w:jc w:val="center"/>
            </w:pPr>
            <w:r>
              <w:t>6</w:t>
            </w:r>
          </w:p>
        </w:tc>
        <w:tc>
          <w:tcPr>
            <w:tcW w:w="1020" w:type="dxa"/>
            <w:tcBorders>
              <w:top w:val="nil"/>
              <w:bottom w:val="nil"/>
            </w:tcBorders>
          </w:tcPr>
          <w:p w:rsidR="00212513" w:rsidRDefault="00212513">
            <w:pPr>
              <w:pStyle w:val="ConsPlusNormal"/>
              <w:jc w:val="center"/>
            </w:pPr>
            <w:r>
              <w:t>7</w:t>
            </w:r>
          </w:p>
        </w:tc>
        <w:tc>
          <w:tcPr>
            <w:tcW w:w="1020" w:type="dxa"/>
            <w:tcBorders>
              <w:top w:val="nil"/>
              <w:bottom w:val="nil"/>
            </w:tcBorders>
          </w:tcPr>
          <w:p w:rsidR="00212513" w:rsidRDefault="00212513">
            <w:pPr>
              <w:pStyle w:val="ConsPlusNormal"/>
              <w:jc w:val="center"/>
            </w:pPr>
            <w:r>
              <w:t>-</w:t>
            </w:r>
          </w:p>
        </w:tc>
        <w:tc>
          <w:tcPr>
            <w:tcW w:w="1474" w:type="dxa"/>
            <w:tcBorders>
              <w:top w:val="nil"/>
              <w:bottom w:val="nil"/>
            </w:tcBorders>
          </w:tcPr>
          <w:p w:rsidR="00212513" w:rsidRDefault="00212513">
            <w:pPr>
              <w:pStyle w:val="ConsPlusNormal"/>
              <w:jc w:val="center"/>
            </w:pPr>
            <w:r>
              <w:t xml:space="preserve">15 </w:t>
            </w:r>
            <w:hyperlink w:anchor="P10874">
              <w:r>
                <w:rPr>
                  <w:color w:val="0000FF"/>
                </w:rPr>
                <w:t>&lt;*&gt;</w:t>
              </w:r>
            </w:hyperlink>
            <w:r>
              <w:t xml:space="preserve"> или 25 </w:t>
            </w:r>
            <w:hyperlink w:anchor="P10875">
              <w:r>
                <w:rPr>
                  <w:color w:val="0000FF"/>
                </w:rPr>
                <w:t>&lt;**&gt;</w:t>
              </w:r>
            </w:hyperlink>
          </w:p>
        </w:tc>
        <w:tc>
          <w:tcPr>
            <w:tcW w:w="1077" w:type="dxa"/>
            <w:tcBorders>
              <w:top w:val="nil"/>
              <w:bottom w:val="nil"/>
            </w:tcBorders>
          </w:tcPr>
          <w:p w:rsidR="00212513" w:rsidRDefault="00212513">
            <w:pPr>
              <w:pStyle w:val="ConsPlusNormal"/>
              <w:jc w:val="center"/>
            </w:pPr>
            <w:r>
              <w:t>10</w:t>
            </w:r>
          </w:p>
        </w:tc>
      </w:tr>
      <w:tr w:rsidR="00212513">
        <w:tblPrEx>
          <w:tblBorders>
            <w:insideH w:val="none" w:sz="0" w:space="0" w:color="auto"/>
          </w:tblBorders>
        </w:tblPrEx>
        <w:tc>
          <w:tcPr>
            <w:tcW w:w="3300" w:type="dxa"/>
            <w:tcBorders>
              <w:top w:val="nil"/>
              <w:bottom w:val="single" w:sz="4" w:space="0" w:color="auto"/>
            </w:tcBorders>
          </w:tcPr>
          <w:p w:rsidR="00212513" w:rsidRDefault="00212513">
            <w:pPr>
              <w:pStyle w:val="ConsPlusNormal"/>
              <w:ind w:left="283"/>
            </w:pPr>
            <w:r>
              <w:t>поперек волокон</w:t>
            </w:r>
          </w:p>
        </w:tc>
        <w:tc>
          <w:tcPr>
            <w:tcW w:w="1191" w:type="dxa"/>
            <w:tcBorders>
              <w:top w:val="nil"/>
              <w:bottom w:val="single" w:sz="4" w:space="0" w:color="auto"/>
            </w:tcBorders>
          </w:tcPr>
          <w:p w:rsidR="00212513" w:rsidRDefault="00212513">
            <w:pPr>
              <w:pStyle w:val="ConsPlusNormal"/>
              <w:jc w:val="center"/>
            </w:pPr>
            <w:r>
              <w:t>2,5</w:t>
            </w:r>
          </w:p>
        </w:tc>
        <w:tc>
          <w:tcPr>
            <w:tcW w:w="1020" w:type="dxa"/>
            <w:tcBorders>
              <w:top w:val="nil"/>
              <w:bottom w:val="single" w:sz="4" w:space="0" w:color="auto"/>
            </w:tcBorders>
          </w:tcPr>
          <w:p w:rsidR="00212513" w:rsidRDefault="00212513">
            <w:pPr>
              <w:pStyle w:val="ConsPlusNormal"/>
              <w:jc w:val="center"/>
            </w:pPr>
            <w:r>
              <w:t>3</w:t>
            </w:r>
          </w:p>
        </w:tc>
        <w:tc>
          <w:tcPr>
            <w:tcW w:w="1020" w:type="dxa"/>
            <w:tcBorders>
              <w:top w:val="nil"/>
              <w:bottom w:val="single" w:sz="4" w:space="0" w:color="auto"/>
            </w:tcBorders>
          </w:tcPr>
          <w:p w:rsidR="00212513" w:rsidRDefault="00212513">
            <w:pPr>
              <w:pStyle w:val="ConsPlusNormal"/>
              <w:jc w:val="center"/>
            </w:pPr>
            <w:r>
              <w:t>2</w:t>
            </w:r>
          </w:p>
        </w:tc>
        <w:tc>
          <w:tcPr>
            <w:tcW w:w="1474" w:type="dxa"/>
            <w:tcBorders>
              <w:top w:val="nil"/>
              <w:bottom w:val="single" w:sz="4" w:space="0" w:color="auto"/>
            </w:tcBorders>
          </w:tcPr>
          <w:p w:rsidR="00212513" w:rsidRDefault="00212513">
            <w:pPr>
              <w:pStyle w:val="ConsPlusNormal"/>
              <w:jc w:val="center"/>
            </w:pPr>
            <w:r>
              <w:t>4</w:t>
            </w:r>
          </w:p>
        </w:tc>
        <w:tc>
          <w:tcPr>
            <w:tcW w:w="1077" w:type="dxa"/>
            <w:tcBorders>
              <w:top w:val="nil"/>
              <w:bottom w:val="single" w:sz="4" w:space="0" w:color="auto"/>
            </w:tcBorders>
          </w:tcPr>
          <w:p w:rsidR="00212513" w:rsidRDefault="00212513">
            <w:pPr>
              <w:pStyle w:val="ConsPlusNormal"/>
              <w:jc w:val="center"/>
            </w:pPr>
            <w:r>
              <w:t>3,5</w:t>
            </w:r>
          </w:p>
        </w:tc>
      </w:tr>
      <w:tr w:rsidR="00212513">
        <w:tblPrEx>
          <w:tblBorders>
            <w:insideH w:val="none" w:sz="0" w:space="0" w:color="auto"/>
          </w:tblBorders>
        </w:tblPrEx>
        <w:tc>
          <w:tcPr>
            <w:tcW w:w="9082" w:type="dxa"/>
            <w:gridSpan w:val="6"/>
            <w:tcBorders>
              <w:top w:val="single" w:sz="4" w:space="0" w:color="auto"/>
              <w:bottom w:val="nil"/>
            </w:tcBorders>
          </w:tcPr>
          <w:p w:rsidR="00212513" w:rsidRDefault="00212513">
            <w:pPr>
              <w:pStyle w:val="ConsPlusNormal"/>
              <w:ind w:firstLine="283"/>
              <w:jc w:val="both"/>
            </w:pPr>
            <w:bookmarkStart w:id="453" w:name="P10874"/>
            <w:bookmarkEnd w:id="453"/>
            <w:r>
              <w:t>&lt;*&gt; При толщине пробиваемого элемента не менее 10</w:t>
            </w:r>
            <w:r>
              <w:rPr>
                <w:i/>
              </w:rPr>
              <w:t>d</w:t>
            </w:r>
            <w:r>
              <w:t xml:space="preserve"> (где </w:t>
            </w:r>
            <w:r>
              <w:rPr>
                <w:i/>
              </w:rPr>
              <w:t>d</w:t>
            </w:r>
            <w:r>
              <w:t xml:space="preserve"> - диаметр гвоздя или </w:t>
            </w:r>
            <w:r>
              <w:lastRenderedPageBreak/>
              <w:t>дюбеля).</w:t>
            </w:r>
          </w:p>
          <w:p w:rsidR="00212513" w:rsidRDefault="00212513">
            <w:pPr>
              <w:pStyle w:val="ConsPlusNormal"/>
              <w:ind w:firstLine="283"/>
              <w:jc w:val="both"/>
            </w:pPr>
            <w:bookmarkStart w:id="454" w:name="P10875"/>
            <w:bookmarkEnd w:id="454"/>
            <w:r>
              <w:t>&lt;**&gt; При толщине пробиваемого элемента, равной 4</w:t>
            </w:r>
            <w:r>
              <w:rPr>
                <w:i/>
              </w:rPr>
              <w:t>d</w:t>
            </w:r>
            <w:r>
              <w:t>. Для элементов, не пробиваемых сквозными гвоздями или дюбелями, независимо от толщины принимается расстояние между осями гвоздей или дюбелей вдоль волокон не менее 15</w:t>
            </w:r>
            <w:r>
              <w:rPr>
                <w:i/>
              </w:rPr>
              <w:t>d</w:t>
            </w:r>
            <w:r>
              <w:t>.</w:t>
            </w:r>
          </w:p>
        </w:tc>
      </w:tr>
      <w:tr w:rsidR="00212513">
        <w:tblPrEx>
          <w:tblBorders>
            <w:insideH w:val="none" w:sz="0" w:space="0" w:color="auto"/>
          </w:tblBorders>
        </w:tblPrEx>
        <w:tc>
          <w:tcPr>
            <w:tcW w:w="9082" w:type="dxa"/>
            <w:gridSpan w:val="6"/>
            <w:tcBorders>
              <w:top w:val="nil"/>
              <w:bottom w:val="single" w:sz="4" w:space="0" w:color="auto"/>
            </w:tcBorders>
          </w:tcPr>
          <w:p w:rsidR="00212513" w:rsidRDefault="00212513">
            <w:pPr>
              <w:pStyle w:val="ConsPlusNormal"/>
              <w:ind w:firstLine="283"/>
              <w:jc w:val="both"/>
            </w:pPr>
            <w:r>
              <w:lastRenderedPageBreak/>
              <w:t>Примечания</w:t>
            </w:r>
          </w:p>
          <w:p w:rsidR="00212513" w:rsidRDefault="00212513">
            <w:pPr>
              <w:pStyle w:val="ConsPlusNormal"/>
              <w:ind w:firstLine="283"/>
              <w:jc w:val="both"/>
            </w:pPr>
            <w:r>
              <w:t>1 Расстояние между осями штырей в клеештыревом соединении дано для случая их расположения вдоль волокон. При расположении штырей поперек волокон или под углом к ним расстояние между штырями должно назначаться исходя из работы узлового соединения, но не менее приведенного.</w:t>
            </w:r>
          </w:p>
          <w:p w:rsidR="00212513" w:rsidRDefault="00212513">
            <w:pPr>
              <w:pStyle w:val="ConsPlusNormal"/>
              <w:ind w:firstLine="283"/>
              <w:jc w:val="both"/>
            </w:pPr>
            <w:r>
              <w:t>2 Наименьшее расстояние между гвоздями или дюбелями при промежуточных значениях толщины элемента следует определять по интерполяции.</w:t>
            </w:r>
          </w:p>
          <w:p w:rsidR="00212513" w:rsidRDefault="00212513">
            <w:pPr>
              <w:pStyle w:val="ConsPlusNormal"/>
              <w:ind w:firstLine="283"/>
              <w:jc w:val="both"/>
            </w:pPr>
            <w:r>
              <w:t>3 Наименьшее расстояние между нагелями (штырями) при длине просверливаемых для них отверстий, превышающих 10</w:t>
            </w:r>
            <w:r>
              <w:rPr>
                <w:i/>
              </w:rPr>
              <w:t>d</w:t>
            </w:r>
            <w:r>
              <w:t>, должно быть увеличено на 5% избыточной (более 10</w:t>
            </w:r>
            <w:r>
              <w:rPr>
                <w:i/>
              </w:rPr>
              <w:t>d</w:t>
            </w:r>
            <w:r>
              <w:t>) длины отверстия.</w:t>
            </w:r>
          </w:p>
        </w:tc>
      </w:tr>
    </w:tbl>
    <w:p w:rsidR="00212513" w:rsidRDefault="00212513">
      <w:pPr>
        <w:pStyle w:val="ConsPlusNormal"/>
        <w:ind w:firstLine="540"/>
        <w:jc w:val="both"/>
      </w:pPr>
    </w:p>
    <w:p w:rsidR="00212513" w:rsidRDefault="00212513">
      <w:pPr>
        <w:pStyle w:val="ConsPlusNormal"/>
        <w:ind w:firstLine="540"/>
        <w:jc w:val="both"/>
      </w:pPr>
      <w:r>
        <w:t xml:space="preserve">10.62 При соединении на гвоздях и дюбелях элементов из древесины лиственных и других твердых пород, а также во всех случаях применения гвоздей диаметром </w:t>
      </w:r>
      <w:r>
        <w:rPr>
          <w:i/>
        </w:rPr>
        <w:t>d</w:t>
      </w:r>
      <w:r>
        <w:t xml:space="preserve"> свыше 6 мм должно предусматриваться предварительное просверливание гнезд диаметром 0,8 - 0,9</w:t>
      </w:r>
      <w:r>
        <w:rPr>
          <w:i/>
        </w:rPr>
        <w:t>d</w:t>
      </w:r>
      <w:r>
        <w:t>.</w:t>
      </w:r>
    </w:p>
    <w:p w:rsidR="00212513" w:rsidRDefault="00212513">
      <w:pPr>
        <w:pStyle w:val="ConsPlusNormal"/>
        <w:spacing w:before="220"/>
        <w:ind w:firstLine="540"/>
        <w:jc w:val="both"/>
      </w:pPr>
      <w:r>
        <w:t>10.63 Нагели, дюбели, шурупы, глухари и гвозди не следует располагать по оси досок или брусьев.</w:t>
      </w:r>
    </w:p>
    <w:p w:rsidR="00212513" w:rsidRDefault="00212513">
      <w:pPr>
        <w:pStyle w:val="ConsPlusNormal"/>
        <w:spacing w:before="220"/>
        <w:ind w:firstLine="540"/>
        <w:jc w:val="both"/>
      </w:pPr>
      <w:r>
        <w:t>Шахматная расстановка просверленных гнезд в нагельных соединениях не рекомендуется.</w:t>
      </w:r>
    </w:p>
    <w:p w:rsidR="00212513" w:rsidRDefault="00212513">
      <w:pPr>
        <w:pStyle w:val="ConsPlusNormal"/>
        <w:spacing w:before="220"/>
        <w:ind w:firstLine="540"/>
        <w:jc w:val="both"/>
      </w:pPr>
      <w:r>
        <w:t>Гвозди в поясах ферм следует располагать вертикальными рядами.</w:t>
      </w:r>
    </w:p>
    <w:p w:rsidR="00212513" w:rsidRDefault="00212513">
      <w:pPr>
        <w:pStyle w:val="ConsPlusNormal"/>
        <w:spacing w:before="220"/>
        <w:ind w:firstLine="540"/>
        <w:jc w:val="both"/>
      </w:pPr>
      <w:r>
        <w:t>10.64 При встречной несквозной забивке гвоздей и дюбелей концы их могут быть перепущены один за другой на 1/3 толщины средней доски без увеличения расстояния между гвоздями и дюбелями.</w:t>
      </w:r>
    </w:p>
    <w:p w:rsidR="00212513" w:rsidRDefault="00212513">
      <w:pPr>
        <w:pStyle w:val="ConsPlusNormal"/>
        <w:spacing w:before="220"/>
        <w:ind w:firstLine="540"/>
        <w:jc w:val="both"/>
      </w:pPr>
      <w:r>
        <w:t>10.65 Стяжные болты в стыках с нагельными соединениями следует применять, как правило, одного диаметра с нагелями. Число болтов должно быть не более 20% числа нагелей и не менее четырех на каждую половину накладки.</w:t>
      </w:r>
    </w:p>
    <w:p w:rsidR="00212513" w:rsidRDefault="00212513">
      <w:pPr>
        <w:pStyle w:val="ConsPlusNormal"/>
        <w:spacing w:before="220"/>
        <w:ind w:firstLine="540"/>
        <w:jc w:val="both"/>
      </w:pPr>
      <w:r>
        <w:t>10.66 В качестве штырей в клеештыревом соединении следует применять горячекатаную стержневую арматуру периодического профиля диаметром 12 - 26 мм из стали класса А400.</w:t>
      </w:r>
    </w:p>
    <w:p w:rsidR="00212513" w:rsidRDefault="00212513">
      <w:pPr>
        <w:pStyle w:val="ConsPlusNormal"/>
        <w:jc w:val="both"/>
      </w:pPr>
      <w:r>
        <w:t xml:space="preserve">(в ред. </w:t>
      </w:r>
      <w:hyperlink r:id="rId2574">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Диаметры отверстий под штыри следует назначать увеличенными по сравнению с диаметрами штырей: при диаметре штыря 12 мм - на 2 мм, 14 - 18 мм - на 3 мм, 20 - 22 мм - на 4 мм, при штырях диаметром свыше 22 мм - на 5 мм.</w:t>
      </w:r>
    </w:p>
    <w:p w:rsidR="00212513" w:rsidRDefault="00212513">
      <w:pPr>
        <w:pStyle w:val="ConsPlusNormal"/>
        <w:spacing w:before="220"/>
        <w:ind w:firstLine="540"/>
        <w:jc w:val="both"/>
      </w:pPr>
      <w:r>
        <w:t>Глубину заделки штыря в древесину рекомендуется принимать равной 15 - 20 диаметрам штыря.</w:t>
      </w:r>
    </w:p>
    <w:p w:rsidR="00212513" w:rsidRDefault="00212513">
      <w:pPr>
        <w:pStyle w:val="ConsPlusNormal"/>
        <w:spacing w:before="220"/>
        <w:ind w:firstLine="540"/>
        <w:jc w:val="both"/>
      </w:pPr>
      <w:r>
        <w:t xml:space="preserve">Абзац исключен с 01.07.2024. - </w:t>
      </w:r>
      <w:hyperlink r:id="rId2575">
        <w:r>
          <w:rPr>
            <w:color w:val="0000FF"/>
          </w:rPr>
          <w:t>Изменение N 4</w:t>
        </w:r>
      </w:hyperlink>
      <w:r>
        <w:t>, утв. Приказом Минстроя России от 30.05.2024 N 361/пр.</w:t>
      </w:r>
    </w:p>
    <w:p w:rsidR="00212513" w:rsidRDefault="00212513">
      <w:pPr>
        <w:pStyle w:val="ConsPlusNormal"/>
        <w:spacing w:before="220"/>
        <w:ind w:firstLine="540"/>
        <w:jc w:val="both"/>
      </w:pPr>
      <w:r>
        <w:t>10.67 В сжатых и растянутых элементах штыри следует располагать равномерно по сечению. Число штырей должно быть не менее четырех.</w:t>
      </w:r>
    </w:p>
    <w:p w:rsidR="00212513" w:rsidRDefault="00212513">
      <w:pPr>
        <w:pStyle w:val="ConsPlusNormal"/>
        <w:spacing w:before="220"/>
        <w:ind w:firstLine="540"/>
        <w:jc w:val="both"/>
      </w:pPr>
      <w:r>
        <w:t>В растянутой и сжатой зонах изгибаемых элементов штыри необходимо располагать таким образом, чтобы каждый штырь передавал усилие с тяготеющего к нему участка древесины. Число стержней в каждой из зон должно быть не менее четырех.</w:t>
      </w:r>
    </w:p>
    <w:p w:rsidR="00212513" w:rsidRDefault="00212513">
      <w:pPr>
        <w:pStyle w:val="ConsPlusNormal"/>
        <w:spacing w:before="220"/>
        <w:ind w:firstLine="540"/>
        <w:jc w:val="both"/>
      </w:pPr>
      <w:r>
        <w:lastRenderedPageBreak/>
        <w:t>Диаметры отверстий под глухари в древесине следует назначать уменьшенными на 25% - 30% по сравнению с диаметрами глухарей.</w:t>
      </w:r>
    </w:p>
    <w:p w:rsidR="00212513" w:rsidRDefault="00212513">
      <w:pPr>
        <w:pStyle w:val="ConsPlusNormal"/>
        <w:jc w:val="both"/>
      </w:pPr>
      <w:r>
        <w:t xml:space="preserve">(в ред. </w:t>
      </w:r>
      <w:hyperlink r:id="rId2576">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Глубину заделки глухарей и винтов в древесину следует принимать равной 10 - 15 их диаметров.</w:t>
      </w:r>
    </w:p>
    <w:p w:rsidR="00212513" w:rsidRDefault="00212513">
      <w:pPr>
        <w:pStyle w:val="ConsPlusNormal"/>
        <w:jc w:val="both"/>
      </w:pPr>
      <w:r>
        <w:t xml:space="preserve">(абзац введен </w:t>
      </w:r>
      <w:hyperlink r:id="rId2577">
        <w:r>
          <w:rPr>
            <w:color w:val="0000FF"/>
          </w:rPr>
          <w:t>Изменением N 1</w:t>
        </w:r>
      </w:hyperlink>
      <w:r>
        <w:t>, утв. Приказом Минстроя России от 03.12.2016 N 879/пр)</w:t>
      </w:r>
    </w:p>
    <w:p w:rsidR="00212513" w:rsidRDefault="00212513">
      <w:pPr>
        <w:pStyle w:val="ConsPlusNormal"/>
        <w:spacing w:before="220"/>
        <w:ind w:firstLine="540"/>
        <w:jc w:val="both"/>
      </w:pPr>
      <w:r>
        <w:t>10.68 Глубина врубок и врезок в соединениях должна быть не менее, см: в брусьях (и окантованных бревнах) - 2, в бревнах - 3.</w:t>
      </w:r>
    </w:p>
    <w:p w:rsidR="00212513" w:rsidRDefault="00212513">
      <w:pPr>
        <w:pStyle w:val="ConsPlusNormal"/>
        <w:spacing w:before="220"/>
        <w:ind w:firstLine="540"/>
        <w:jc w:val="both"/>
      </w:pPr>
      <w:r>
        <w:t>Глубина врубок и врезок должна быть не более:</w:t>
      </w:r>
    </w:p>
    <w:p w:rsidR="00212513" w:rsidRDefault="00212513">
      <w:pPr>
        <w:pStyle w:val="ConsPlusNormal"/>
        <w:spacing w:before="220"/>
        <w:ind w:firstLine="540"/>
        <w:jc w:val="both"/>
      </w:pPr>
      <w:r>
        <w:t>а) при соединениях на шпонках и колодках:</w:t>
      </w:r>
    </w:p>
    <w:p w:rsidR="00212513" w:rsidRDefault="00212513">
      <w:pPr>
        <w:pStyle w:val="ConsPlusNormal"/>
        <w:spacing w:before="220"/>
        <w:ind w:firstLine="540"/>
        <w:jc w:val="both"/>
      </w:pPr>
      <w:r>
        <w:t>в брусьях - 1/5 толщины бруса;</w:t>
      </w:r>
    </w:p>
    <w:p w:rsidR="00212513" w:rsidRDefault="00212513">
      <w:pPr>
        <w:pStyle w:val="ConsPlusNormal"/>
        <w:spacing w:before="220"/>
        <w:ind w:firstLine="540"/>
        <w:jc w:val="both"/>
      </w:pPr>
      <w:r>
        <w:t>в бревнах - 1/4 диаметра бревна;</w:t>
      </w:r>
    </w:p>
    <w:p w:rsidR="00212513" w:rsidRDefault="00212513">
      <w:pPr>
        <w:pStyle w:val="ConsPlusNormal"/>
        <w:spacing w:before="220"/>
        <w:ind w:firstLine="540"/>
        <w:jc w:val="both"/>
      </w:pPr>
      <w:r>
        <w:t>б) при соединениях на врубках:</w:t>
      </w:r>
    </w:p>
    <w:p w:rsidR="00212513" w:rsidRDefault="00212513">
      <w:pPr>
        <w:pStyle w:val="ConsPlusNormal"/>
        <w:spacing w:before="220"/>
        <w:ind w:firstLine="540"/>
        <w:jc w:val="both"/>
      </w:pPr>
      <w:r>
        <w:t>в опорных узлах - 1/3 толщины элемента;</w:t>
      </w:r>
    </w:p>
    <w:p w:rsidR="00212513" w:rsidRDefault="00212513">
      <w:pPr>
        <w:pStyle w:val="ConsPlusNormal"/>
        <w:spacing w:before="220"/>
        <w:ind w:firstLine="540"/>
        <w:jc w:val="both"/>
      </w:pPr>
      <w:r>
        <w:t>в промежуточных узлах сквозных ферм - 1/4 толщины элемента.</w:t>
      </w:r>
    </w:p>
    <w:p w:rsidR="00212513" w:rsidRDefault="00212513">
      <w:pPr>
        <w:pStyle w:val="ConsPlusNormal"/>
        <w:spacing w:before="220"/>
        <w:ind w:firstLine="540"/>
        <w:jc w:val="both"/>
      </w:pPr>
      <w:r>
        <w:t>Длина плоскости скалывания в соединениях должна назначаться не менее четырех глубин врезки и не менее 20 см.</w:t>
      </w:r>
    </w:p>
    <w:p w:rsidR="00212513" w:rsidRDefault="00212513">
      <w:pPr>
        <w:pStyle w:val="ConsPlusNormal"/>
        <w:spacing w:before="220"/>
        <w:ind w:firstLine="540"/>
        <w:jc w:val="both"/>
      </w:pPr>
      <w:r>
        <w:t>10.69 Соединения элементов на врубках следует осуществлять, как правило, в виде лобовых врубок с одним зубом или непосредственного лобового упора примыкающих сжатых элементов.</w:t>
      </w:r>
    </w:p>
    <w:p w:rsidR="00212513" w:rsidRDefault="00212513">
      <w:pPr>
        <w:pStyle w:val="ConsPlusNormal"/>
        <w:spacing w:before="220"/>
        <w:ind w:firstLine="540"/>
        <w:jc w:val="both"/>
      </w:pPr>
      <w:r>
        <w:t>В соединениях на лобовых врубках с двумя зубьями, глубина врубки зуба должна быть более глубины первого зуба не менее чем на 2 см. Применение лобовых врубок с тремя зубьями не допускается. Соединения на щековых врубках не рекомендуются.</w:t>
      </w:r>
    </w:p>
    <w:p w:rsidR="00212513" w:rsidRDefault="00212513">
      <w:pPr>
        <w:pStyle w:val="ConsPlusNormal"/>
        <w:spacing w:before="220"/>
        <w:ind w:firstLine="540"/>
        <w:jc w:val="both"/>
      </w:pPr>
      <w:r>
        <w:t>Рабочую плоскость смятия, как правило, следует располагать перпендикулярно оси примыкающего сжатого элемента.</w:t>
      </w:r>
    </w:p>
    <w:p w:rsidR="00212513" w:rsidRDefault="00212513">
      <w:pPr>
        <w:pStyle w:val="ConsPlusNormal"/>
        <w:spacing w:before="220"/>
        <w:ind w:firstLine="540"/>
        <w:jc w:val="both"/>
      </w:pPr>
      <w:r>
        <w:t>10.70 Деревянные призматические шпонки (или колодки) допускается применять только продольные или наклонные, волокна которых параллельны или близки к направлению сдвигающей силы.</w:t>
      </w:r>
    </w:p>
    <w:p w:rsidR="00212513" w:rsidRDefault="00212513">
      <w:pPr>
        <w:pStyle w:val="ConsPlusNormal"/>
        <w:spacing w:before="220"/>
        <w:ind w:firstLine="540"/>
        <w:jc w:val="both"/>
      </w:pPr>
      <w:r>
        <w:t xml:space="preserve">Расстояние между шпонками (колодками) в свету во всех случаях должно быть не менее длины шпонки (колодки). Отношение длины шпонки </w:t>
      </w:r>
      <w:r>
        <w:rPr>
          <w:i/>
        </w:rPr>
        <w:t>l</w:t>
      </w:r>
      <w:r>
        <w:t xml:space="preserve"> к глубине врезки </w:t>
      </w:r>
      <w:r>
        <w:rPr>
          <w:i/>
        </w:rPr>
        <w:t>a</w:t>
      </w:r>
      <w:r>
        <w:t xml:space="preserve"> должно быть не менее 5.</w:t>
      </w:r>
    </w:p>
    <w:p w:rsidR="00212513" w:rsidRDefault="00212513">
      <w:pPr>
        <w:pStyle w:val="ConsPlusNormal"/>
        <w:spacing w:before="220"/>
        <w:ind w:firstLine="540"/>
        <w:jc w:val="both"/>
      </w:pPr>
      <w:r>
        <w:t xml:space="preserve">При сплачивании элементов с зазором </w:t>
      </w:r>
      <w:r>
        <w:rPr>
          <w:noProof/>
          <w:position w:val="-3"/>
        </w:rPr>
        <w:drawing>
          <wp:inline distT="0" distB="0" distL="0" distR="0">
            <wp:extent cx="146050" cy="189230"/>
            <wp:effectExtent l="0" t="0" r="0" b="0"/>
            <wp:docPr id="20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8" cstate="print">
                      <a:extLst>
                        <a:ext uri="{28A0092B-C50C-407E-A947-70E740481C1C}">
                          <a14:useLocalDpi xmlns:a14="http://schemas.microsoft.com/office/drawing/2010/main" val="0"/>
                        </a:ext>
                      </a:extLst>
                    </a:blip>
                    <a:srcRect/>
                    <a:stretch>
                      <a:fillRect/>
                    </a:stretch>
                  </pic:blipFill>
                  <pic:spPr bwMode="auto">
                    <a:xfrm>
                      <a:off x="0" y="0"/>
                      <a:ext cx="146050" cy="189230"/>
                    </a:xfrm>
                    <a:prstGeom prst="rect">
                      <a:avLst/>
                    </a:prstGeom>
                    <a:noFill/>
                    <a:ln>
                      <a:noFill/>
                    </a:ln>
                  </pic:spPr>
                </pic:pic>
              </a:graphicData>
            </a:graphic>
          </wp:inline>
        </w:drawing>
      </w:r>
      <w:r>
        <w:t xml:space="preserve"> должно соблюдаться условие</w:t>
      </w:r>
    </w:p>
    <w:p w:rsidR="00212513" w:rsidRDefault="00212513">
      <w:pPr>
        <w:pStyle w:val="ConsPlusNormal"/>
        <w:ind w:firstLine="540"/>
        <w:jc w:val="both"/>
      </w:pPr>
    </w:p>
    <w:p w:rsidR="00212513" w:rsidRDefault="00212513">
      <w:pPr>
        <w:pStyle w:val="ConsPlusNormal"/>
        <w:jc w:val="center"/>
      </w:pPr>
      <w:r>
        <w:rPr>
          <w:noProof/>
          <w:position w:val="-22"/>
        </w:rPr>
        <w:drawing>
          <wp:inline distT="0" distB="0" distL="0" distR="0">
            <wp:extent cx="662305" cy="428625"/>
            <wp:effectExtent l="0" t="0" r="0" b="0"/>
            <wp:docPr id="20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9" cstate="print">
                      <a:extLst>
                        <a:ext uri="{28A0092B-C50C-407E-A947-70E740481C1C}">
                          <a14:useLocalDpi xmlns:a14="http://schemas.microsoft.com/office/drawing/2010/main" val="0"/>
                        </a:ext>
                      </a:extLst>
                    </a:blip>
                    <a:srcRect/>
                    <a:stretch>
                      <a:fillRect/>
                    </a:stretch>
                  </pic:blipFill>
                  <pic:spPr bwMode="auto">
                    <a:xfrm>
                      <a:off x="0" y="0"/>
                      <a:ext cx="662305" cy="428625"/>
                    </a:xfrm>
                    <a:prstGeom prst="rect">
                      <a:avLst/>
                    </a:prstGeom>
                    <a:noFill/>
                    <a:ln>
                      <a:noFill/>
                    </a:ln>
                  </pic:spPr>
                </pic:pic>
              </a:graphicData>
            </a:graphic>
          </wp:inline>
        </w:drawing>
      </w:r>
      <w:r>
        <w:t>. (10.27)</w:t>
      </w:r>
    </w:p>
    <w:p w:rsidR="00212513" w:rsidRDefault="00212513">
      <w:pPr>
        <w:pStyle w:val="ConsPlusNormal"/>
        <w:ind w:firstLine="540"/>
        <w:jc w:val="both"/>
      </w:pPr>
    </w:p>
    <w:p w:rsidR="00212513" w:rsidRDefault="00212513">
      <w:pPr>
        <w:pStyle w:val="ConsPlusNormal"/>
        <w:ind w:firstLine="540"/>
        <w:jc w:val="both"/>
      </w:pPr>
      <w:r>
        <w:t xml:space="preserve">Зазор </w:t>
      </w:r>
      <w:r>
        <w:rPr>
          <w:noProof/>
          <w:position w:val="-3"/>
        </w:rPr>
        <w:drawing>
          <wp:inline distT="0" distB="0" distL="0" distR="0">
            <wp:extent cx="146050" cy="189230"/>
            <wp:effectExtent l="0" t="0" r="0" b="0"/>
            <wp:docPr id="20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8" cstate="print">
                      <a:extLst>
                        <a:ext uri="{28A0092B-C50C-407E-A947-70E740481C1C}">
                          <a14:useLocalDpi xmlns:a14="http://schemas.microsoft.com/office/drawing/2010/main" val="0"/>
                        </a:ext>
                      </a:extLst>
                    </a:blip>
                    <a:srcRect/>
                    <a:stretch>
                      <a:fillRect/>
                    </a:stretch>
                  </pic:blipFill>
                  <pic:spPr bwMode="auto">
                    <a:xfrm>
                      <a:off x="0" y="0"/>
                      <a:ext cx="146050" cy="189230"/>
                    </a:xfrm>
                    <a:prstGeom prst="rect">
                      <a:avLst/>
                    </a:prstGeom>
                    <a:noFill/>
                    <a:ln>
                      <a:noFill/>
                    </a:ln>
                  </pic:spPr>
                </pic:pic>
              </a:graphicData>
            </a:graphic>
          </wp:inline>
        </w:drawing>
      </w:r>
      <w:r>
        <w:t xml:space="preserve"> при сплачивании бревен диаметром </w:t>
      </w:r>
      <w:r>
        <w:rPr>
          <w:i/>
        </w:rPr>
        <w:t>d</w:t>
      </w:r>
      <w:r>
        <w:t xml:space="preserve"> наклонными шпонками (колодками) должен быть не более:</w:t>
      </w:r>
    </w:p>
    <w:p w:rsidR="00212513" w:rsidRDefault="00212513">
      <w:pPr>
        <w:pStyle w:val="ConsPlusNormal"/>
        <w:spacing w:before="220"/>
        <w:ind w:firstLine="540"/>
        <w:jc w:val="both"/>
      </w:pPr>
      <w:r>
        <w:t>0,4 - 0,5</w:t>
      </w:r>
      <w:r>
        <w:rPr>
          <w:i/>
        </w:rPr>
        <w:t>d</w:t>
      </w:r>
      <w:r>
        <w:t xml:space="preserve"> - при двухъярусных балках;</w:t>
      </w:r>
    </w:p>
    <w:p w:rsidR="00212513" w:rsidRDefault="00212513">
      <w:pPr>
        <w:pStyle w:val="ConsPlusNormal"/>
        <w:spacing w:before="220"/>
        <w:ind w:firstLine="540"/>
        <w:jc w:val="both"/>
      </w:pPr>
      <w:r>
        <w:t>0,25</w:t>
      </w:r>
      <w:r>
        <w:rPr>
          <w:i/>
        </w:rPr>
        <w:t>d</w:t>
      </w:r>
      <w:r>
        <w:t xml:space="preserve"> - при трехъярусных балках.</w:t>
      </w:r>
    </w:p>
    <w:p w:rsidR="00212513" w:rsidRDefault="00212513">
      <w:pPr>
        <w:pStyle w:val="ConsPlusNormal"/>
        <w:ind w:firstLine="540"/>
        <w:jc w:val="both"/>
      </w:pPr>
    </w:p>
    <w:p w:rsidR="00212513" w:rsidRDefault="00212513">
      <w:pPr>
        <w:pStyle w:val="ConsPlusTitle"/>
        <w:ind w:firstLine="540"/>
        <w:jc w:val="both"/>
        <w:outlineLvl w:val="2"/>
      </w:pPr>
      <w:r>
        <w:t>Элементы пролетных строений и опор</w:t>
      </w:r>
    </w:p>
    <w:p w:rsidR="00212513" w:rsidRDefault="00212513">
      <w:pPr>
        <w:pStyle w:val="ConsPlusNormal"/>
        <w:ind w:firstLine="540"/>
        <w:jc w:val="both"/>
      </w:pPr>
    </w:p>
    <w:p w:rsidR="00212513" w:rsidRDefault="00212513">
      <w:pPr>
        <w:pStyle w:val="ConsPlusNormal"/>
        <w:ind w:firstLine="540"/>
        <w:jc w:val="both"/>
      </w:pPr>
      <w:r>
        <w:t>10.71 Проезжую часть деревянных мостов следует устраивать с применением железобетонных плит, клееных деревоплит, дощато-гвоздевых плит или с двойным дощатым настилом.</w:t>
      </w:r>
    </w:p>
    <w:p w:rsidR="00212513" w:rsidRDefault="00212513">
      <w:pPr>
        <w:pStyle w:val="ConsPlusNormal"/>
        <w:jc w:val="both"/>
      </w:pPr>
      <w:r>
        <w:t xml:space="preserve">(в ред. </w:t>
      </w:r>
      <w:hyperlink r:id="rId2580">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Доски дна балластного корыта и настила под противопожарный слой щебня железнодорожных мостов и элементы нижнего настила проезжей части автодорожных и городских мостов следует укладывать с зазором 2 - 3 см.</w:t>
      </w:r>
    </w:p>
    <w:p w:rsidR="00212513" w:rsidRDefault="00212513">
      <w:pPr>
        <w:pStyle w:val="ConsPlusNormal"/>
        <w:spacing w:before="220"/>
        <w:ind w:firstLine="540"/>
        <w:jc w:val="both"/>
      </w:pPr>
      <w:r>
        <w:t>Верхний настил проезжей части автодорожных и городских мостов рекомендуется делать продольным. Толщина досок настила должна быть не менее 5 см.</w:t>
      </w:r>
    </w:p>
    <w:p w:rsidR="00212513" w:rsidRDefault="00212513">
      <w:pPr>
        <w:pStyle w:val="ConsPlusNormal"/>
        <w:spacing w:before="220"/>
        <w:ind w:firstLine="540"/>
        <w:jc w:val="both"/>
      </w:pPr>
      <w:r>
        <w:t>10.72 Брусья или бревна прогонов должны быть связаны между собой и закреплены на опорах от продольных и поперечных перемещений. Концы разбросных прогонов выпускают за ось насадок опор (или опорных брусьев) не менее чем на 30 см.</w:t>
      </w:r>
    </w:p>
    <w:p w:rsidR="00212513" w:rsidRDefault="00212513">
      <w:pPr>
        <w:pStyle w:val="ConsPlusNormal"/>
        <w:spacing w:before="220"/>
        <w:ind w:firstLine="540"/>
        <w:jc w:val="both"/>
      </w:pPr>
      <w:r>
        <w:t>Прогоны под балластным корытом железнодорожных мостов следует укладывать с промежутками 15 - 20 см.</w:t>
      </w:r>
    </w:p>
    <w:p w:rsidR="00212513" w:rsidRDefault="00212513">
      <w:pPr>
        <w:pStyle w:val="ConsPlusNormal"/>
        <w:spacing w:before="220"/>
        <w:ind w:firstLine="540"/>
        <w:jc w:val="both"/>
      </w:pPr>
      <w:r>
        <w:t>10.73 Усилия от поперечных балок на пояса ферм должны передаваться центрированно через подушки, перекрывающие все ветви пояса.</w:t>
      </w:r>
    </w:p>
    <w:p w:rsidR="00212513" w:rsidRDefault="00212513">
      <w:pPr>
        <w:pStyle w:val="ConsPlusNormal"/>
        <w:spacing w:before="220"/>
        <w:ind w:firstLine="540"/>
        <w:jc w:val="both"/>
      </w:pPr>
      <w:r>
        <w:t>10.74 В местах лобового упора раскосов и стоек при отсутствии наружных соединений должны быть поставлены потайные штыри, в местах пересечения раскосов - болты и прокладки.</w:t>
      </w:r>
    </w:p>
    <w:p w:rsidR="00212513" w:rsidRDefault="00212513">
      <w:pPr>
        <w:pStyle w:val="ConsPlusNormal"/>
        <w:spacing w:before="220"/>
        <w:ind w:firstLine="540"/>
        <w:jc w:val="both"/>
      </w:pPr>
      <w:r>
        <w:t>10.75 Число ветвей стальных тяжей в решетчатых фермах должно быть не более двух.</w:t>
      </w:r>
    </w:p>
    <w:p w:rsidR="00212513" w:rsidRDefault="00212513">
      <w:pPr>
        <w:pStyle w:val="ConsPlusNormal"/>
        <w:spacing w:before="220"/>
        <w:ind w:firstLine="540"/>
        <w:jc w:val="both"/>
      </w:pPr>
      <w:r>
        <w:t>На концах тяжей должны предусматриваться контргайки, длина нарезки должна обеспечивать возможность необходимого натяжения тяжей гайками при строительстве и эксплуатации.</w:t>
      </w:r>
    </w:p>
    <w:p w:rsidR="00212513" w:rsidRDefault="00212513">
      <w:pPr>
        <w:pStyle w:val="ConsPlusNormal"/>
        <w:spacing w:before="220"/>
        <w:ind w:firstLine="540"/>
        <w:jc w:val="both"/>
      </w:pPr>
      <w:r>
        <w:t>Подгаечники должны быть общими для всех тяжей одного узла.</w:t>
      </w:r>
    </w:p>
    <w:p w:rsidR="00212513" w:rsidRDefault="00212513">
      <w:pPr>
        <w:pStyle w:val="ConsPlusNormal"/>
        <w:spacing w:before="220"/>
        <w:ind w:firstLine="540"/>
        <w:jc w:val="both"/>
      </w:pPr>
      <w:r>
        <w:t>10.76 В каждом ярусе пояса дощатых ферм с одной стороны стенки должно быть не более трех досок, включая стыковую накладку.</w:t>
      </w:r>
    </w:p>
    <w:p w:rsidR="00212513" w:rsidRDefault="00212513">
      <w:pPr>
        <w:pStyle w:val="ConsPlusNormal"/>
        <w:spacing w:before="220"/>
        <w:ind w:firstLine="540"/>
        <w:jc w:val="both"/>
      </w:pPr>
      <w:r>
        <w:t>В одном сечении каждого яруса пояса допускается стыковать не более двух досок.</w:t>
      </w:r>
    </w:p>
    <w:p w:rsidR="00212513" w:rsidRDefault="00212513">
      <w:pPr>
        <w:pStyle w:val="ConsPlusNormal"/>
        <w:spacing w:before="220"/>
        <w:ind w:firstLine="540"/>
        <w:jc w:val="both"/>
      </w:pPr>
      <w:r>
        <w:t>Каждая доска должна быть продолжена за теоретическое место обрыва на длину не менее половины длины накладки. Замена стыкуемых досок одного яруса досками другого яруса, вступающими в работу, не допускается.</w:t>
      </w:r>
    </w:p>
    <w:p w:rsidR="00212513" w:rsidRDefault="00212513">
      <w:pPr>
        <w:pStyle w:val="ConsPlusNormal"/>
        <w:spacing w:before="220"/>
        <w:ind w:firstLine="540"/>
        <w:jc w:val="both"/>
      </w:pPr>
      <w:r>
        <w:t>10.77 Устойчивость стенок дощатых ферм должна быть обеспечена постановкой вертикальных брусьев на расстояниях не более 3 м и не более высоты фермы. Брусья должны обжимать стенку и пояса фермы.</w:t>
      </w:r>
    </w:p>
    <w:p w:rsidR="00212513" w:rsidRDefault="00212513">
      <w:pPr>
        <w:pStyle w:val="ConsPlusNormal"/>
        <w:spacing w:before="220"/>
        <w:ind w:firstLine="540"/>
        <w:jc w:val="both"/>
      </w:pPr>
      <w:r>
        <w:t>10.78 В каждом пересечении досок сплошной стенки должен быть поставлен гвоздь диаметром не менее 4,5 мм. Длина гвоздей должна превышать толщину стенки не менее чем на 3 см. Концы гвоздей должны быть загнуты.</w:t>
      </w:r>
    </w:p>
    <w:p w:rsidR="00212513" w:rsidRDefault="00212513">
      <w:pPr>
        <w:pStyle w:val="ConsPlusNormal"/>
        <w:spacing w:before="220"/>
        <w:ind w:firstLine="540"/>
        <w:jc w:val="both"/>
      </w:pPr>
      <w:r>
        <w:t xml:space="preserve">10.79 Жесткость и устойчивость свайных и рамных опор в поперечном и продольном направлениях должны быть обеспечены постановкой наклонных свай, горизонтальных и диагональных связей в виде раскосов (крестов), подкосов (укосин), тяжей и т.п. Наклонные сваи </w:t>
      </w:r>
      <w:r>
        <w:lastRenderedPageBreak/>
        <w:t>или укосины следует ставить при высоте опор (от грунта до верха насадки), превышающей расстояние между осями крайних свай или стоек.</w:t>
      </w:r>
    </w:p>
    <w:p w:rsidR="00212513" w:rsidRDefault="00212513">
      <w:pPr>
        <w:pStyle w:val="ConsPlusNormal"/>
        <w:spacing w:before="220"/>
        <w:ind w:firstLine="540"/>
        <w:jc w:val="both"/>
      </w:pPr>
      <w:r>
        <w:t>Применение подводных тяжей и ряжевых оболочек для железнодорожных мостов не рекомендуется.</w:t>
      </w:r>
    </w:p>
    <w:p w:rsidR="00212513" w:rsidRDefault="00212513">
      <w:pPr>
        <w:pStyle w:val="ConsPlusNormal"/>
        <w:spacing w:before="220"/>
        <w:ind w:firstLine="540"/>
        <w:jc w:val="both"/>
      </w:pPr>
      <w:r>
        <w:t>10.80 Стыки свай следует, как правило, располагать в грунте на 2 м ниже уровня возможного размыва. При расположении их выше уровня размыва в местах стыков должны быть поставлены связи.</w:t>
      </w:r>
    </w:p>
    <w:p w:rsidR="00212513" w:rsidRDefault="00212513">
      <w:pPr>
        <w:pStyle w:val="ConsPlusNormal"/>
        <w:spacing w:before="220"/>
        <w:ind w:firstLine="540"/>
        <w:jc w:val="both"/>
      </w:pPr>
      <w:r>
        <w:t>Стыки сжатых элементов опор (стоек, свай) следует выполнять в торец (стыки одиночных свай - с постановкой штыря) и перекрывать металлическими накладками на болтах.</w:t>
      </w:r>
    </w:p>
    <w:p w:rsidR="00212513" w:rsidRDefault="00212513">
      <w:pPr>
        <w:pStyle w:val="ConsPlusNormal"/>
        <w:spacing w:before="220"/>
        <w:ind w:firstLine="540"/>
        <w:jc w:val="both"/>
      </w:pPr>
      <w:r>
        <w:t>Если стык свай расположен выше уровня грунта, допускается применение деревянных накладок на нагелях.</w:t>
      </w:r>
    </w:p>
    <w:p w:rsidR="00212513" w:rsidRDefault="00212513">
      <w:pPr>
        <w:pStyle w:val="ConsPlusNormal"/>
        <w:spacing w:before="220"/>
        <w:ind w:firstLine="540"/>
        <w:jc w:val="both"/>
      </w:pPr>
      <w:r>
        <w:t>В пакетных сваях стыки отдельных брусьев или бревен следует располагать вразбежку.</w:t>
      </w:r>
    </w:p>
    <w:p w:rsidR="00212513" w:rsidRDefault="00212513">
      <w:pPr>
        <w:pStyle w:val="ConsPlusNormal"/>
        <w:spacing w:before="220"/>
        <w:ind w:firstLine="540"/>
        <w:jc w:val="both"/>
      </w:pPr>
      <w:r>
        <w:t>10.81 Ряжевые опоры следует устраивать в случаях, если забивка свай невозможна.</w:t>
      </w:r>
    </w:p>
    <w:p w:rsidR="00212513" w:rsidRDefault="00212513">
      <w:pPr>
        <w:pStyle w:val="ConsPlusNormal"/>
        <w:spacing w:before="220"/>
        <w:ind w:firstLine="540"/>
        <w:jc w:val="both"/>
      </w:pPr>
      <w:r>
        <w:t>10.82 Ширину ряжа (вдоль моста) следует назначать не менее 1/3 его высоты и не менее 2 м. Высота ряжа назначается с запасом 5% на осадку и усушку.</w:t>
      </w:r>
    </w:p>
    <w:p w:rsidR="00212513" w:rsidRDefault="00212513">
      <w:pPr>
        <w:pStyle w:val="ConsPlusNormal"/>
        <w:spacing w:before="220"/>
        <w:ind w:firstLine="540"/>
        <w:jc w:val="both"/>
      </w:pPr>
      <w:r>
        <w:t>Верх ряжа должен возвышаться над наивысшим уровнем ледохода не менее чем на 0,5 м и не менее чем на 0,25 м над высоким горизонтом воды.</w:t>
      </w:r>
    </w:p>
    <w:p w:rsidR="00212513" w:rsidRDefault="00212513">
      <w:pPr>
        <w:pStyle w:val="ConsPlusNormal"/>
        <w:spacing w:before="220"/>
        <w:ind w:firstLine="540"/>
        <w:jc w:val="both"/>
      </w:pPr>
      <w:r>
        <w:t>10.83 На суходолах и реках со слабым течением ряжи рекомендуется устраивать прямоугольными в плане. При скорости течения 1,5 м/с и более следует применять ряжи заостренной обтекаемой формы.</w:t>
      </w:r>
    </w:p>
    <w:p w:rsidR="00212513" w:rsidRDefault="00212513">
      <w:pPr>
        <w:pStyle w:val="ConsPlusNormal"/>
        <w:spacing w:before="220"/>
        <w:ind w:firstLine="540"/>
        <w:jc w:val="both"/>
      </w:pPr>
      <w:r>
        <w:t>Ряжи, подверженные действию льда, следует совмещать с ледорезами. В этом случае с верховой стороны ряжа необходимо устраивать вертикальное режущее ребро. При сильном ледоходе режущее ребро следует устраивать наклонным согласно указаниям 10.86.</w:t>
      </w:r>
    </w:p>
    <w:p w:rsidR="00212513" w:rsidRDefault="00212513">
      <w:pPr>
        <w:pStyle w:val="ConsPlusNormal"/>
        <w:spacing w:before="220"/>
        <w:ind w:firstLine="540"/>
        <w:jc w:val="both"/>
      </w:pPr>
      <w:r>
        <w:t>10.84 Между наружными стенками ряжа необходимо устраивать поперечные и продольные перегородки (внутренние стены). Размеры сторон ячеек, образуемых внутренними стенками, не должны превышать 2 м.</w:t>
      </w:r>
    </w:p>
    <w:p w:rsidR="00212513" w:rsidRDefault="00212513">
      <w:pPr>
        <w:pStyle w:val="ConsPlusNormal"/>
        <w:spacing w:before="220"/>
        <w:ind w:firstLine="540"/>
        <w:jc w:val="both"/>
      </w:pPr>
      <w:r>
        <w:t>В углах наружных стен ряжа, а также в местах примыкания перегородок должны устанавливаться вертикальные брусья или окантованные бревна-сжимы с овальными по высоте прорезями для болтов в каждом четвертом венце. В поперечном направлении наружные стены ряжа должны соединяться стальными тяжами, пропускаемыми через сжимы.</w:t>
      </w:r>
    </w:p>
    <w:p w:rsidR="00212513" w:rsidRDefault="00212513">
      <w:pPr>
        <w:pStyle w:val="ConsPlusNormal"/>
        <w:spacing w:before="220"/>
        <w:ind w:firstLine="540"/>
        <w:jc w:val="both"/>
      </w:pPr>
      <w:r>
        <w:t>10.85 Ледорезы должны быть установлены перед каждой речной опорой, подверженной ударам льда, на расстоянии от опоры вверх по течению реки 2 - 8 м в зависимости от скорости течения. На реках с мощным ледоходом (при толщине льда свыше 50 см и скорости ледохода свыше 1,5 м/с) на расстоянии 30 - 50 м от основных ледорезов следует предусматривать более мощные аванпостовые ледорезы в одну линию с опорами и основными ледорезами, но в количестве вдвое меньшем. Ледорезы должны быть загружены камнем.</w:t>
      </w:r>
    </w:p>
    <w:p w:rsidR="00212513" w:rsidRDefault="00212513">
      <w:pPr>
        <w:pStyle w:val="ConsPlusNormal"/>
        <w:spacing w:before="220"/>
        <w:ind w:firstLine="540"/>
        <w:jc w:val="both"/>
      </w:pPr>
      <w:r>
        <w:t>10.86 Рабочая ширина ледореза на уровне самого высокого ледохода должна быть не менее ширины защищаемой опоры в том же уровне.</w:t>
      </w:r>
    </w:p>
    <w:p w:rsidR="00212513" w:rsidRDefault="00212513">
      <w:pPr>
        <w:pStyle w:val="ConsPlusNormal"/>
        <w:spacing w:before="220"/>
        <w:ind w:firstLine="540"/>
        <w:jc w:val="both"/>
      </w:pPr>
      <w:r>
        <w:t>Уклон режущего ребра ледореза должен быть не круче 1:15. Верх ножа ледореза должен возвышаться над наивысшим уровнем ледохода не менее чем на 1,0 м, низ ножа следует располагать не менее чем на 0,75 м ниже уровня самого низкого ледохода.</w:t>
      </w:r>
    </w:p>
    <w:p w:rsidR="00212513" w:rsidRDefault="00212513">
      <w:pPr>
        <w:pStyle w:val="ConsPlusNormal"/>
        <w:spacing w:before="220"/>
        <w:ind w:firstLine="540"/>
        <w:jc w:val="both"/>
      </w:pPr>
      <w:r>
        <w:lastRenderedPageBreak/>
        <w:t>10.87 При наличии размываемых грунтов следует предусматривать укрепление дна реки вокруг опор и ледорезов фашинными тюфяками и каменной отсыпкой.</w:t>
      </w:r>
    </w:p>
    <w:p w:rsidR="00212513" w:rsidRDefault="00212513">
      <w:pPr>
        <w:pStyle w:val="ConsPlusNormal"/>
        <w:ind w:firstLine="540"/>
        <w:jc w:val="both"/>
      </w:pPr>
    </w:p>
    <w:p w:rsidR="00212513" w:rsidRDefault="00212513">
      <w:pPr>
        <w:pStyle w:val="ConsPlusTitle"/>
        <w:ind w:firstLine="540"/>
        <w:jc w:val="both"/>
        <w:outlineLvl w:val="1"/>
      </w:pPr>
      <w:bookmarkStart w:id="455" w:name="P10956"/>
      <w:bookmarkEnd w:id="455"/>
      <w:r>
        <w:t>11 Основания и фундаменты</w:t>
      </w:r>
    </w:p>
    <w:p w:rsidR="00212513" w:rsidRDefault="00212513">
      <w:pPr>
        <w:pStyle w:val="ConsPlusNormal"/>
        <w:ind w:firstLine="540"/>
        <w:jc w:val="both"/>
      </w:pPr>
    </w:p>
    <w:p w:rsidR="00212513" w:rsidRDefault="00212513">
      <w:pPr>
        <w:pStyle w:val="ConsPlusTitle"/>
        <w:ind w:firstLine="540"/>
        <w:jc w:val="both"/>
        <w:outlineLvl w:val="2"/>
      </w:pPr>
      <w:r>
        <w:t>Общие положения</w:t>
      </w:r>
    </w:p>
    <w:p w:rsidR="00212513" w:rsidRDefault="00212513">
      <w:pPr>
        <w:pStyle w:val="ConsPlusNormal"/>
        <w:ind w:firstLine="540"/>
        <w:jc w:val="both"/>
      </w:pPr>
    </w:p>
    <w:p w:rsidR="00212513" w:rsidRDefault="00212513">
      <w:pPr>
        <w:pStyle w:val="ConsPlusNormal"/>
        <w:ind w:firstLine="540"/>
        <w:jc w:val="both"/>
      </w:pPr>
      <w:r>
        <w:t xml:space="preserve">11.1 Основания и фундаменты мостов и труб следует проектировать в соответствии с требованиями </w:t>
      </w:r>
      <w:hyperlink r:id="rId2581">
        <w:r>
          <w:rPr>
            <w:color w:val="0000FF"/>
          </w:rPr>
          <w:t>СП 22.13330</w:t>
        </w:r>
      </w:hyperlink>
      <w:r>
        <w:t xml:space="preserve">, </w:t>
      </w:r>
      <w:hyperlink r:id="rId2582">
        <w:r>
          <w:rPr>
            <w:color w:val="0000FF"/>
          </w:rPr>
          <w:t>СП 24.13330</w:t>
        </w:r>
      </w:hyperlink>
      <w:r>
        <w:t xml:space="preserve">, </w:t>
      </w:r>
      <w:hyperlink w:anchor="P19093">
        <w:r>
          <w:rPr>
            <w:color w:val="0000FF"/>
          </w:rPr>
          <w:t>[16]</w:t>
        </w:r>
      </w:hyperlink>
      <w:r>
        <w:t xml:space="preserve">, </w:t>
      </w:r>
      <w:hyperlink r:id="rId2583">
        <w:r>
          <w:rPr>
            <w:color w:val="0000FF"/>
          </w:rPr>
          <w:t>СП 14.13330</w:t>
        </w:r>
      </w:hyperlink>
      <w:r>
        <w:t xml:space="preserve"> с учетом требований настоящего раздела.</w:t>
      </w:r>
    </w:p>
    <w:p w:rsidR="00212513" w:rsidRDefault="00212513">
      <w:pPr>
        <w:pStyle w:val="ConsPlusNormal"/>
        <w:jc w:val="both"/>
      </w:pPr>
      <w:r>
        <w:t xml:space="preserve">(в ред. </w:t>
      </w:r>
      <w:hyperlink r:id="rId2584">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 xml:space="preserve">11.2 Классификацию грунтов оснований необходимо производить в соответствии с </w:t>
      </w:r>
      <w:hyperlink r:id="rId2585">
        <w:r>
          <w:rPr>
            <w:color w:val="0000FF"/>
          </w:rPr>
          <w:t>ГОСТ 25100</w:t>
        </w:r>
      </w:hyperlink>
      <w:r>
        <w:t>.</w:t>
      </w:r>
    </w:p>
    <w:p w:rsidR="00212513" w:rsidRDefault="00212513">
      <w:pPr>
        <w:pStyle w:val="ConsPlusNormal"/>
        <w:spacing w:before="220"/>
        <w:ind w:firstLine="540"/>
        <w:jc w:val="both"/>
      </w:pPr>
      <w:r>
        <w:t xml:space="preserve">11.3 Значения физическо-механических характеристик грунтов, необходимые для вычисления расчетных сопротивлений оснований под подошвой фундаментов мелкого заложения или фундаментов из опускных колодцев, следует определять согласно требованиям </w:t>
      </w:r>
      <w:hyperlink r:id="rId2586">
        <w:r>
          <w:rPr>
            <w:color w:val="0000FF"/>
          </w:rPr>
          <w:t>СП 22.13330</w:t>
        </w:r>
      </w:hyperlink>
      <w:r>
        <w:t xml:space="preserve"> и </w:t>
      </w:r>
      <w:hyperlink w:anchor="P17582">
        <w:r>
          <w:rPr>
            <w:color w:val="0000FF"/>
          </w:rPr>
          <w:t>приложения 2</w:t>
        </w:r>
      </w:hyperlink>
      <w:r>
        <w:t xml:space="preserve"> настоящего свода правил.</w:t>
      </w:r>
    </w:p>
    <w:p w:rsidR="00212513" w:rsidRDefault="00212513">
      <w:pPr>
        <w:pStyle w:val="ConsPlusNormal"/>
        <w:spacing w:before="220"/>
        <w:ind w:firstLine="540"/>
        <w:jc w:val="both"/>
      </w:pPr>
      <w:r>
        <w:t>11.4 Трубы под насыпями следует укладывать на фундаменты или на уплотненные грунтовые подушки. Фундаменты обязательны для звеньев и оголовков труб незамкнутого поперечного сечения и рекомендуются для оголовков труб любой конструкции.</w:t>
      </w:r>
    </w:p>
    <w:p w:rsidR="00212513" w:rsidRDefault="00212513">
      <w:pPr>
        <w:pStyle w:val="ConsPlusNormal"/>
        <w:jc w:val="both"/>
      </w:pPr>
      <w:r>
        <w:t xml:space="preserve">(абзац введен </w:t>
      </w:r>
      <w:hyperlink r:id="rId2587">
        <w:r>
          <w:rPr>
            <w:color w:val="0000FF"/>
          </w:rPr>
          <w:t>Изменением N 1</w:t>
        </w:r>
      </w:hyperlink>
      <w:r>
        <w:t>, утв. Приказом Минстроя России от 03.12.2016 N 879/пр)</w:t>
      </w:r>
    </w:p>
    <w:p w:rsidR="00212513" w:rsidRDefault="00212513">
      <w:pPr>
        <w:pStyle w:val="ConsPlusNormal"/>
        <w:spacing w:before="220"/>
        <w:ind w:firstLine="540"/>
        <w:jc w:val="both"/>
      </w:pPr>
      <w:r>
        <w:t xml:space="preserve">Нормативные и расчетные значения характеристик физико-механических свойств материалов, используемых для фундаментов, должны удовлетворять требованиям </w:t>
      </w:r>
      <w:hyperlink w:anchor="P1956">
        <w:r>
          <w:rPr>
            <w:color w:val="0000FF"/>
          </w:rPr>
          <w:t>разделов 7</w:t>
        </w:r>
      </w:hyperlink>
      <w:r>
        <w:t xml:space="preserve">, </w:t>
      </w:r>
      <w:hyperlink w:anchor="P6057">
        <w:r>
          <w:rPr>
            <w:color w:val="0000FF"/>
          </w:rPr>
          <w:t>8</w:t>
        </w:r>
      </w:hyperlink>
      <w:r>
        <w:t xml:space="preserve"> и </w:t>
      </w:r>
      <w:hyperlink w:anchor="P10099">
        <w:r>
          <w:rPr>
            <w:color w:val="0000FF"/>
          </w:rPr>
          <w:t>10</w:t>
        </w:r>
      </w:hyperlink>
      <w:r>
        <w:t>.</w:t>
      </w:r>
    </w:p>
    <w:p w:rsidR="00212513" w:rsidRDefault="00212513">
      <w:pPr>
        <w:pStyle w:val="ConsPlusNormal"/>
        <w:spacing w:before="220"/>
        <w:ind w:firstLine="540"/>
        <w:jc w:val="both"/>
      </w:pPr>
      <w:r>
        <w:t xml:space="preserve">Для свайных фундаментов опор допускается применение стальных свай (свай-оболочек), погружаемых с открытым концом без выемки грунта из цилиндрической электросварной прямошовной трубы диаметром до 3000 мм. Диаметр и толщина стенки должны быть достаточны для обеспечения прочности, устойчивости и долговечности трубы, а также несущей способности сваи по грунту основания при действии нагрузок, возникающих в процессе производства работ и эксплуатации с учетом их коррозионного износа. Сваи должны быть жестко объединены с железобетонным ростверком. Объединение допускается выполнять путем устройства со стороны головы сваи железобетонного сердечника, заполняющего внутреннюю полость трубы, </w:t>
      </w:r>
      <w:r>
        <w:rPr>
          <w:i/>
        </w:rPr>
        <w:t>с</w:t>
      </w:r>
      <w:r>
        <w:t xml:space="preserve"> выпусками арматуры в ростверк. Длину сердечника вдоль сваи следует определять расчетом и включать в совместную работу со стальной трубой.</w:t>
      </w:r>
    </w:p>
    <w:p w:rsidR="00212513" w:rsidRDefault="00212513">
      <w:pPr>
        <w:pStyle w:val="ConsPlusNormal"/>
        <w:jc w:val="both"/>
      </w:pPr>
      <w:r>
        <w:t xml:space="preserve">(абзац введен </w:t>
      </w:r>
      <w:hyperlink r:id="rId2588">
        <w:r>
          <w:rPr>
            <w:color w:val="0000FF"/>
          </w:rPr>
          <w:t>Изменением N 3</w:t>
        </w:r>
      </w:hyperlink>
      <w:r>
        <w:t xml:space="preserve">, утв. Приказом Минстроя России от 29.12.2020 N 891/пр; в ред. </w:t>
      </w:r>
      <w:hyperlink r:id="rId2589">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Разрешается не устраивать вторичную защиту бетона от коррозии методом нанесения обмазочной гидроизоляции для засыпаемых грунтом поверхностей, если принимается марка бетона по морозостойкости не ниже F</w:t>
      </w:r>
      <w:r>
        <w:rPr>
          <w:vertAlign w:val="subscript"/>
        </w:rPr>
        <w:t>2</w:t>
      </w:r>
      <w:r>
        <w:t xml:space="preserve">300 по </w:t>
      </w:r>
      <w:hyperlink r:id="rId2590">
        <w:r>
          <w:rPr>
            <w:color w:val="0000FF"/>
          </w:rPr>
          <w:t>ГОСТ 10060</w:t>
        </w:r>
      </w:hyperlink>
      <w:r>
        <w:t xml:space="preserve"> и по водонепроницаемости не ниже W12 по </w:t>
      </w:r>
      <w:hyperlink r:id="rId2591">
        <w:r>
          <w:rPr>
            <w:color w:val="0000FF"/>
          </w:rPr>
          <w:t>ГОСТ 12730.5</w:t>
        </w:r>
      </w:hyperlink>
      <w:r>
        <w:t xml:space="preserve">. При этом класс таких поверхностей должен назначаться не ниже А4 по </w:t>
      </w:r>
      <w:hyperlink r:id="rId2592">
        <w:r>
          <w:rPr>
            <w:color w:val="0000FF"/>
          </w:rPr>
          <w:t>ГОСТ 13015</w:t>
        </w:r>
      </w:hyperlink>
      <w:r>
        <w:t xml:space="preserve"> и должен обеспечиваться непосредственно после снятия опалубки без последующей абразивной или иной механической обработки.</w:t>
      </w:r>
    </w:p>
    <w:p w:rsidR="00212513" w:rsidRDefault="00212513">
      <w:pPr>
        <w:pStyle w:val="ConsPlusNormal"/>
        <w:jc w:val="both"/>
      </w:pPr>
      <w:r>
        <w:t xml:space="preserve">(абзац введен </w:t>
      </w:r>
      <w:hyperlink r:id="rId2593">
        <w:r>
          <w:rPr>
            <w:color w:val="0000FF"/>
          </w:rPr>
          <w:t>Изменением N 3</w:t>
        </w:r>
      </w:hyperlink>
      <w:r>
        <w:t>, утв. Приказом Минстроя России от 29.12.2020 N 891/пр)</w:t>
      </w:r>
    </w:p>
    <w:p w:rsidR="00212513" w:rsidRDefault="00212513">
      <w:pPr>
        <w:pStyle w:val="ConsPlusNormal"/>
        <w:spacing w:before="220"/>
        <w:ind w:firstLine="540"/>
        <w:jc w:val="both"/>
      </w:pPr>
      <w:r>
        <w:t xml:space="preserve">Систему антикоррозионной защиты стальных свай (свай-оболочек) необходимо назначать в соответствии с </w:t>
      </w:r>
      <w:hyperlink r:id="rId2594">
        <w:r>
          <w:rPr>
            <w:color w:val="0000FF"/>
          </w:rPr>
          <w:t>ГОСТ 34667.2</w:t>
        </w:r>
      </w:hyperlink>
      <w:r>
        <w:t>.</w:t>
      </w:r>
    </w:p>
    <w:p w:rsidR="00212513" w:rsidRDefault="00212513">
      <w:pPr>
        <w:pStyle w:val="ConsPlusNormal"/>
        <w:jc w:val="both"/>
      </w:pPr>
      <w:r>
        <w:t xml:space="preserve">(абзац введен </w:t>
      </w:r>
      <w:hyperlink r:id="rId2595">
        <w:r>
          <w:rPr>
            <w:color w:val="0000FF"/>
          </w:rPr>
          <w:t>Изменением N 4</w:t>
        </w:r>
      </w:hyperlink>
      <w:r>
        <w:t>, утв. Приказом Минстроя России от 30.05.2024 N 361/пр)</w:t>
      </w:r>
    </w:p>
    <w:p w:rsidR="00212513" w:rsidRDefault="00212513">
      <w:pPr>
        <w:pStyle w:val="ConsPlusNormal"/>
        <w:spacing w:before="220"/>
        <w:ind w:firstLine="540"/>
        <w:jc w:val="both"/>
      </w:pPr>
      <w:r>
        <w:t xml:space="preserve">При назначении толщины стенки необходимо учитывать коррозию стальной сваи на </w:t>
      </w:r>
      <w:r>
        <w:lastRenderedPageBreak/>
        <w:t>протяжении всего срока службы конструкции мостового сооружения, а также механические и абразивные воздействия. Несущая способность вне срока службы антикоррозионной защиты обеспечивается увеличенной толщиной стенки стальной сваи.</w:t>
      </w:r>
    </w:p>
    <w:p w:rsidR="00212513" w:rsidRDefault="00212513">
      <w:pPr>
        <w:pStyle w:val="ConsPlusNormal"/>
        <w:jc w:val="both"/>
      </w:pPr>
      <w:r>
        <w:t xml:space="preserve">(абзац введен </w:t>
      </w:r>
      <w:hyperlink r:id="rId2596">
        <w:r>
          <w:rPr>
            <w:color w:val="0000FF"/>
          </w:rPr>
          <w:t>Изменением N 4</w:t>
        </w:r>
      </w:hyperlink>
      <w:r>
        <w:t>, утв. Приказом Минстроя России от 30.05.2024 N 361/пр)</w:t>
      </w:r>
    </w:p>
    <w:p w:rsidR="00212513" w:rsidRDefault="00212513">
      <w:pPr>
        <w:pStyle w:val="ConsPlusNormal"/>
        <w:ind w:firstLine="540"/>
        <w:jc w:val="both"/>
      </w:pPr>
    </w:p>
    <w:p w:rsidR="00212513" w:rsidRDefault="00212513">
      <w:pPr>
        <w:pStyle w:val="ConsPlusTitle"/>
        <w:ind w:firstLine="540"/>
        <w:jc w:val="both"/>
        <w:outlineLvl w:val="2"/>
      </w:pPr>
      <w:r>
        <w:t>Расчеты</w:t>
      </w:r>
    </w:p>
    <w:p w:rsidR="00212513" w:rsidRDefault="00212513">
      <w:pPr>
        <w:pStyle w:val="ConsPlusNormal"/>
        <w:ind w:firstLine="540"/>
        <w:jc w:val="both"/>
      </w:pPr>
    </w:p>
    <w:p w:rsidR="00212513" w:rsidRDefault="00212513">
      <w:pPr>
        <w:pStyle w:val="ConsPlusNormal"/>
        <w:ind w:firstLine="540"/>
        <w:jc w:val="both"/>
      </w:pPr>
      <w:bookmarkStart w:id="456" w:name="P10978"/>
      <w:bookmarkEnd w:id="456"/>
      <w:r>
        <w:t>11.5 Основания и фундаменты мостов и труб следует рассчитывать по двум группам предельных состояний:</w:t>
      </w:r>
    </w:p>
    <w:p w:rsidR="00212513" w:rsidRDefault="00212513">
      <w:pPr>
        <w:pStyle w:val="ConsPlusNormal"/>
        <w:spacing w:before="220"/>
        <w:ind w:firstLine="540"/>
        <w:jc w:val="both"/>
      </w:pPr>
      <w:r>
        <w:t>по первой группе - по несущей способности оснований, устойчивости фундаментов против опрокидывания и сдвига, устойчивости фундаментов при воздействии сил морозного пучения грунтов, прочности и устойчивости конструкций фундаментов;</w:t>
      </w:r>
    </w:p>
    <w:p w:rsidR="00212513" w:rsidRDefault="00212513">
      <w:pPr>
        <w:pStyle w:val="ConsPlusNormal"/>
        <w:spacing w:before="220"/>
        <w:ind w:firstLine="540"/>
        <w:jc w:val="both"/>
      </w:pPr>
      <w:r>
        <w:t>по второй группе - по деформациям оснований и фундаментов (осадкам, кренам, горизонтальным перемещениям) и трещиностойкости железобетонных конструкций фундаментов.</w:t>
      </w:r>
    </w:p>
    <w:p w:rsidR="00212513" w:rsidRDefault="00212513">
      <w:pPr>
        <w:pStyle w:val="ConsPlusNormal"/>
        <w:spacing w:before="220"/>
        <w:ind w:firstLine="540"/>
        <w:jc w:val="both"/>
      </w:pPr>
      <w:bookmarkStart w:id="457" w:name="P10981"/>
      <w:bookmarkEnd w:id="457"/>
      <w:r>
        <w:t>11.6 Взвешивающее действие воды на грунты и части сооружения, расположенные ниже уровня поверхностных или подземных вод, необходимо учитывать в расчетах по несущей способности оснований и по устойчивости положения фундаментов, если фундаменты заложены в песках, супесях, илах. При заложении фундаментов в суглинках, глинах и скальных грунтах взвешивающее действие воды требуется учитывать в случаях, когда оно создает более неблагоприятные расчетные условия. Уровень воды принимается невыгоднейший: наинизший или наивысший.</w:t>
      </w:r>
    </w:p>
    <w:p w:rsidR="00212513" w:rsidRDefault="00212513">
      <w:pPr>
        <w:pStyle w:val="ConsPlusNormal"/>
        <w:spacing w:before="220"/>
        <w:ind w:firstLine="540"/>
        <w:jc w:val="both"/>
      </w:pPr>
      <w:bookmarkStart w:id="458" w:name="P10982"/>
      <w:bookmarkEnd w:id="458"/>
      <w:r>
        <w:t>11.7 Для оснований из нескальных грунтов под фундаментами мелкого заложения, рассчитываемыми без учета заделки в грунт, положение равнодействующей расчетных нагрузок (по отношению к центру тяжести площади подошвы фундаментов), характеризуемое относительным эксцентриситетом, должно быть ограничено значениями, указанными в таблице 11.1.</w:t>
      </w:r>
    </w:p>
    <w:p w:rsidR="00212513" w:rsidRDefault="00212513">
      <w:pPr>
        <w:pStyle w:val="ConsPlusNormal"/>
        <w:ind w:firstLine="540"/>
        <w:jc w:val="both"/>
      </w:pPr>
    </w:p>
    <w:p w:rsidR="00212513" w:rsidRDefault="00212513">
      <w:pPr>
        <w:pStyle w:val="ConsPlusNormal"/>
        <w:jc w:val="right"/>
      </w:pPr>
      <w:bookmarkStart w:id="459" w:name="P10984"/>
      <w:bookmarkEnd w:id="459"/>
      <w:r>
        <w:t>Таблица 11.1</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1"/>
        <w:gridCol w:w="1417"/>
        <w:gridCol w:w="1587"/>
        <w:gridCol w:w="1417"/>
        <w:gridCol w:w="1531"/>
      </w:tblGrid>
      <w:tr w:rsidR="00212513">
        <w:tc>
          <w:tcPr>
            <w:tcW w:w="3061" w:type="dxa"/>
            <w:vMerge w:val="restart"/>
            <w:tcBorders>
              <w:top w:val="single" w:sz="4" w:space="0" w:color="auto"/>
              <w:bottom w:val="single" w:sz="4" w:space="0" w:color="auto"/>
            </w:tcBorders>
            <w:vAlign w:val="center"/>
          </w:tcPr>
          <w:p w:rsidR="00212513" w:rsidRDefault="00212513">
            <w:pPr>
              <w:pStyle w:val="ConsPlusNormal"/>
              <w:jc w:val="center"/>
            </w:pPr>
            <w:r>
              <w:t>Расположение мостов</w:t>
            </w:r>
          </w:p>
        </w:tc>
        <w:tc>
          <w:tcPr>
            <w:tcW w:w="5952" w:type="dxa"/>
            <w:gridSpan w:val="4"/>
            <w:tcBorders>
              <w:top w:val="single" w:sz="4" w:space="0" w:color="auto"/>
              <w:bottom w:val="single" w:sz="4" w:space="0" w:color="auto"/>
            </w:tcBorders>
            <w:vAlign w:val="center"/>
          </w:tcPr>
          <w:p w:rsidR="00212513" w:rsidRDefault="00212513">
            <w:pPr>
              <w:pStyle w:val="ConsPlusNormal"/>
              <w:jc w:val="center"/>
            </w:pPr>
            <w:r>
              <w:t xml:space="preserve">Наибольший относительный эксцентриситет </w:t>
            </w:r>
            <w:r>
              <w:rPr>
                <w:noProof/>
                <w:position w:val="-11"/>
              </w:rPr>
              <w:drawing>
                <wp:inline distT="0" distB="0" distL="0" distR="0">
                  <wp:extent cx="471805" cy="283210"/>
                  <wp:effectExtent l="0" t="0" r="0" b="0"/>
                  <wp:docPr id="20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7" cstate="print">
                            <a:extLst>
                              <a:ext uri="{28A0092B-C50C-407E-A947-70E740481C1C}">
                                <a14:useLocalDpi xmlns:a14="http://schemas.microsoft.com/office/drawing/2010/main" val="0"/>
                              </a:ext>
                            </a:extLst>
                          </a:blip>
                          <a:srcRect/>
                          <a:stretch>
                            <a:fillRect/>
                          </a:stretch>
                        </pic:blipFill>
                        <pic:spPr bwMode="auto">
                          <a:xfrm>
                            <a:off x="0" y="0"/>
                            <a:ext cx="471805" cy="283210"/>
                          </a:xfrm>
                          <a:prstGeom prst="rect">
                            <a:avLst/>
                          </a:prstGeom>
                          <a:noFill/>
                          <a:ln>
                            <a:noFill/>
                          </a:ln>
                        </pic:spPr>
                      </pic:pic>
                    </a:graphicData>
                  </a:graphic>
                </wp:inline>
              </w:drawing>
            </w:r>
            <w:r>
              <w:t xml:space="preserve"> </w:t>
            </w:r>
            <w:hyperlink w:anchor="P11014">
              <w:r>
                <w:rPr>
                  <w:color w:val="0000FF"/>
                </w:rPr>
                <w:t>&lt;*&gt;</w:t>
              </w:r>
            </w:hyperlink>
            <w:r>
              <w:t xml:space="preserve"> для</w:t>
            </w:r>
          </w:p>
        </w:tc>
      </w:tr>
      <w:tr w:rsidR="00212513">
        <w:tc>
          <w:tcPr>
            <w:tcW w:w="3061" w:type="dxa"/>
            <w:vMerge/>
            <w:tcBorders>
              <w:top w:val="single" w:sz="4" w:space="0" w:color="auto"/>
              <w:bottom w:val="single" w:sz="4" w:space="0" w:color="auto"/>
            </w:tcBorders>
          </w:tcPr>
          <w:p w:rsidR="00212513" w:rsidRDefault="00212513">
            <w:pPr>
              <w:pStyle w:val="ConsPlusNormal"/>
            </w:pPr>
          </w:p>
        </w:tc>
        <w:tc>
          <w:tcPr>
            <w:tcW w:w="3004" w:type="dxa"/>
            <w:gridSpan w:val="2"/>
            <w:tcBorders>
              <w:top w:val="single" w:sz="4" w:space="0" w:color="auto"/>
              <w:bottom w:val="single" w:sz="4" w:space="0" w:color="auto"/>
            </w:tcBorders>
            <w:vAlign w:val="center"/>
          </w:tcPr>
          <w:p w:rsidR="00212513" w:rsidRDefault="00212513">
            <w:pPr>
              <w:pStyle w:val="ConsPlusNormal"/>
              <w:jc w:val="center"/>
            </w:pPr>
            <w:r>
              <w:t>промежуточных опор при действии</w:t>
            </w:r>
          </w:p>
        </w:tc>
        <w:tc>
          <w:tcPr>
            <w:tcW w:w="2948" w:type="dxa"/>
            <w:gridSpan w:val="2"/>
            <w:tcBorders>
              <w:top w:val="single" w:sz="4" w:space="0" w:color="auto"/>
              <w:bottom w:val="single" w:sz="4" w:space="0" w:color="auto"/>
            </w:tcBorders>
            <w:vAlign w:val="center"/>
          </w:tcPr>
          <w:p w:rsidR="00212513" w:rsidRDefault="00212513">
            <w:pPr>
              <w:pStyle w:val="ConsPlusNormal"/>
              <w:jc w:val="center"/>
            </w:pPr>
            <w:r>
              <w:t>устоев при действии</w:t>
            </w:r>
          </w:p>
        </w:tc>
      </w:tr>
      <w:tr w:rsidR="00212513">
        <w:tc>
          <w:tcPr>
            <w:tcW w:w="3061" w:type="dxa"/>
            <w:vMerge/>
            <w:tcBorders>
              <w:top w:val="single" w:sz="4" w:space="0" w:color="auto"/>
              <w:bottom w:val="single" w:sz="4" w:space="0" w:color="auto"/>
            </w:tcBorders>
          </w:tcPr>
          <w:p w:rsidR="00212513" w:rsidRDefault="00212513">
            <w:pPr>
              <w:pStyle w:val="ConsPlusNormal"/>
            </w:pPr>
          </w:p>
        </w:tc>
        <w:tc>
          <w:tcPr>
            <w:tcW w:w="1417" w:type="dxa"/>
            <w:tcBorders>
              <w:top w:val="single" w:sz="4" w:space="0" w:color="auto"/>
              <w:bottom w:val="single" w:sz="4" w:space="0" w:color="auto"/>
            </w:tcBorders>
            <w:vAlign w:val="center"/>
          </w:tcPr>
          <w:p w:rsidR="00212513" w:rsidRDefault="00212513">
            <w:pPr>
              <w:pStyle w:val="ConsPlusNormal"/>
              <w:jc w:val="center"/>
            </w:pPr>
            <w:r>
              <w:t>только постоянных нагрузок</w:t>
            </w:r>
          </w:p>
        </w:tc>
        <w:tc>
          <w:tcPr>
            <w:tcW w:w="1587" w:type="dxa"/>
            <w:tcBorders>
              <w:top w:val="single" w:sz="4" w:space="0" w:color="auto"/>
              <w:bottom w:val="single" w:sz="4" w:space="0" w:color="auto"/>
            </w:tcBorders>
            <w:vAlign w:val="center"/>
          </w:tcPr>
          <w:p w:rsidR="00212513" w:rsidRDefault="00212513">
            <w:pPr>
              <w:pStyle w:val="ConsPlusNormal"/>
              <w:jc w:val="center"/>
            </w:pPr>
            <w:r>
              <w:t>постоянных и временных нагрузок в наиболее невыгодном сочетании</w:t>
            </w:r>
          </w:p>
        </w:tc>
        <w:tc>
          <w:tcPr>
            <w:tcW w:w="1417" w:type="dxa"/>
            <w:tcBorders>
              <w:top w:val="single" w:sz="4" w:space="0" w:color="auto"/>
              <w:bottom w:val="single" w:sz="4" w:space="0" w:color="auto"/>
            </w:tcBorders>
            <w:vAlign w:val="center"/>
          </w:tcPr>
          <w:p w:rsidR="00212513" w:rsidRDefault="00212513">
            <w:pPr>
              <w:pStyle w:val="ConsPlusNormal"/>
              <w:jc w:val="center"/>
            </w:pPr>
            <w:r>
              <w:t>только постоянных нагрузок</w:t>
            </w:r>
          </w:p>
        </w:tc>
        <w:tc>
          <w:tcPr>
            <w:tcW w:w="1531" w:type="dxa"/>
            <w:tcBorders>
              <w:top w:val="single" w:sz="4" w:space="0" w:color="auto"/>
              <w:bottom w:val="single" w:sz="4" w:space="0" w:color="auto"/>
            </w:tcBorders>
            <w:vAlign w:val="center"/>
          </w:tcPr>
          <w:p w:rsidR="00212513" w:rsidRDefault="00212513">
            <w:pPr>
              <w:pStyle w:val="ConsPlusNormal"/>
              <w:jc w:val="center"/>
            </w:pPr>
            <w:r>
              <w:t>постоянных и временных нагрузок в наиболее невыгодном сочетании</w:t>
            </w:r>
          </w:p>
        </w:tc>
      </w:tr>
      <w:tr w:rsidR="00212513">
        <w:tblPrEx>
          <w:tblBorders>
            <w:insideH w:val="none" w:sz="0" w:space="0" w:color="auto"/>
          </w:tblBorders>
        </w:tblPrEx>
        <w:tc>
          <w:tcPr>
            <w:tcW w:w="3061" w:type="dxa"/>
            <w:tcBorders>
              <w:top w:val="single" w:sz="4" w:space="0" w:color="auto"/>
              <w:bottom w:val="nil"/>
            </w:tcBorders>
          </w:tcPr>
          <w:p w:rsidR="00212513" w:rsidRDefault="00212513">
            <w:pPr>
              <w:pStyle w:val="ConsPlusNormal"/>
            </w:pPr>
            <w:r>
              <w:t>На железных дорогах общей сети и промышленных предприятий, на обособленных путях метрополитена</w:t>
            </w:r>
          </w:p>
        </w:tc>
        <w:tc>
          <w:tcPr>
            <w:tcW w:w="1417" w:type="dxa"/>
            <w:tcBorders>
              <w:top w:val="single" w:sz="4" w:space="0" w:color="auto"/>
              <w:bottom w:val="nil"/>
            </w:tcBorders>
          </w:tcPr>
          <w:p w:rsidR="00212513" w:rsidRDefault="00212513">
            <w:pPr>
              <w:pStyle w:val="ConsPlusNormal"/>
              <w:jc w:val="center"/>
            </w:pPr>
            <w:r>
              <w:t>0,1</w:t>
            </w:r>
          </w:p>
        </w:tc>
        <w:tc>
          <w:tcPr>
            <w:tcW w:w="1587" w:type="dxa"/>
            <w:tcBorders>
              <w:top w:val="single" w:sz="4" w:space="0" w:color="auto"/>
              <w:bottom w:val="nil"/>
            </w:tcBorders>
          </w:tcPr>
          <w:p w:rsidR="00212513" w:rsidRDefault="00212513">
            <w:pPr>
              <w:pStyle w:val="ConsPlusNormal"/>
              <w:jc w:val="center"/>
            </w:pPr>
            <w:r>
              <w:t>1,0</w:t>
            </w:r>
          </w:p>
        </w:tc>
        <w:tc>
          <w:tcPr>
            <w:tcW w:w="1417" w:type="dxa"/>
            <w:tcBorders>
              <w:top w:val="single" w:sz="4" w:space="0" w:color="auto"/>
              <w:bottom w:val="nil"/>
            </w:tcBorders>
          </w:tcPr>
          <w:p w:rsidR="00212513" w:rsidRDefault="00212513">
            <w:pPr>
              <w:pStyle w:val="ConsPlusNormal"/>
              <w:jc w:val="center"/>
            </w:pPr>
            <w:r>
              <w:t>0,5</w:t>
            </w:r>
          </w:p>
        </w:tc>
        <w:tc>
          <w:tcPr>
            <w:tcW w:w="1531" w:type="dxa"/>
            <w:tcBorders>
              <w:top w:val="single" w:sz="4" w:space="0" w:color="auto"/>
              <w:bottom w:val="nil"/>
            </w:tcBorders>
          </w:tcPr>
          <w:p w:rsidR="00212513" w:rsidRDefault="00212513">
            <w:pPr>
              <w:pStyle w:val="ConsPlusNormal"/>
              <w:jc w:val="center"/>
            </w:pPr>
            <w:r>
              <w:t>0,6</w:t>
            </w:r>
          </w:p>
        </w:tc>
      </w:tr>
      <w:tr w:rsidR="00212513">
        <w:tblPrEx>
          <w:tblBorders>
            <w:insideH w:val="none" w:sz="0" w:space="0" w:color="auto"/>
          </w:tblBorders>
        </w:tblPrEx>
        <w:tc>
          <w:tcPr>
            <w:tcW w:w="3061" w:type="dxa"/>
            <w:tcBorders>
              <w:top w:val="nil"/>
              <w:bottom w:val="nil"/>
            </w:tcBorders>
          </w:tcPr>
          <w:p w:rsidR="00212513" w:rsidRDefault="00212513">
            <w:pPr>
              <w:pStyle w:val="ConsPlusNormal"/>
            </w:pPr>
            <w:r>
              <w:t xml:space="preserve">На автомобильных дорогах, включая дороги </w:t>
            </w:r>
            <w:r>
              <w:lastRenderedPageBreak/>
              <w:t>промышленных предприятий и внутрихозяйственные, на улицах и дорогах городов, поселков и сельских населенных пунктов:</w:t>
            </w:r>
          </w:p>
        </w:tc>
        <w:tc>
          <w:tcPr>
            <w:tcW w:w="1417" w:type="dxa"/>
            <w:tcBorders>
              <w:top w:val="nil"/>
              <w:bottom w:val="nil"/>
            </w:tcBorders>
          </w:tcPr>
          <w:p w:rsidR="00212513" w:rsidRDefault="00212513">
            <w:pPr>
              <w:pStyle w:val="ConsPlusNormal"/>
              <w:jc w:val="center"/>
            </w:pPr>
            <w:r>
              <w:lastRenderedPageBreak/>
              <w:t>0,1</w:t>
            </w:r>
          </w:p>
        </w:tc>
        <w:tc>
          <w:tcPr>
            <w:tcW w:w="1587" w:type="dxa"/>
            <w:tcBorders>
              <w:top w:val="nil"/>
              <w:bottom w:val="nil"/>
            </w:tcBorders>
          </w:tcPr>
          <w:p w:rsidR="00212513" w:rsidRDefault="00212513">
            <w:pPr>
              <w:pStyle w:val="ConsPlusNormal"/>
              <w:jc w:val="center"/>
            </w:pPr>
            <w:r>
              <w:t>1,0</w:t>
            </w:r>
          </w:p>
        </w:tc>
        <w:tc>
          <w:tcPr>
            <w:tcW w:w="1417" w:type="dxa"/>
            <w:tcBorders>
              <w:top w:val="nil"/>
              <w:bottom w:val="nil"/>
            </w:tcBorders>
          </w:tcPr>
          <w:p w:rsidR="00212513" w:rsidRDefault="00212513">
            <w:pPr>
              <w:pStyle w:val="ConsPlusNormal"/>
              <w:jc w:val="center"/>
            </w:pPr>
            <w:r>
              <w:t>0,8</w:t>
            </w:r>
          </w:p>
        </w:tc>
        <w:tc>
          <w:tcPr>
            <w:tcW w:w="1531"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3061" w:type="dxa"/>
            <w:tcBorders>
              <w:top w:val="nil"/>
              <w:bottom w:val="nil"/>
            </w:tcBorders>
          </w:tcPr>
          <w:p w:rsidR="00212513" w:rsidRDefault="00212513">
            <w:pPr>
              <w:pStyle w:val="ConsPlusNormal"/>
              <w:ind w:firstLine="283"/>
            </w:pPr>
            <w:r>
              <w:lastRenderedPageBreak/>
              <w:t>большие и средние</w:t>
            </w:r>
          </w:p>
        </w:tc>
        <w:tc>
          <w:tcPr>
            <w:tcW w:w="1417" w:type="dxa"/>
            <w:tcBorders>
              <w:top w:val="nil"/>
              <w:bottom w:val="nil"/>
            </w:tcBorders>
          </w:tcPr>
          <w:p w:rsidR="00212513" w:rsidRDefault="00212513">
            <w:pPr>
              <w:pStyle w:val="ConsPlusNormal"/>
              <w:jc w:val="both"/>
            </w:pPr>
          </w:p>
        </w:tc>
        <w:tc>
          <w:tcPr>
            <w:tcW w:w="1587" w:type="dxa"/>
            <w:tcBorders>
              <w:top w:val="nil"/>
              <w:bottom w:val="nil"/>
            </w:tcBorders>
          </w:tcPr>
          <w:p w:rsidR="00212513" w:rsidRDefault="00212513">
            <w:pPr>
              <w:pStyle w:val="ConsPlusNormal"/>
              <w:jc w:val="both"/>
            </w:pPr>
          </w:p>
        </w:tc>
        <w:tc>
          <w:tcPr>
            <w:tcW w:w="1417" w:type="dxa"/>
            <w:tcBorders>
              <w:top w:val="nil"/>
              <w:bottom w:val="nil"/>
            </w:tcBorders>
          </w:tcPr>
          <w:p w:rsidR="00212513" w:rsidRDefault="00212513">
            <w:pPr>
              <w:pStyle w:val="ConsPlusNormal"/>
              <w:jc w:val="both"/>
            </w:pPr>
          </w:p>
        </w:tc>
        <w:tc>
          <w:tcPr>
            <w:tcW w:w="1531" w:type="dxa"/>
            <w:tcBorders>
              <w:top w:val="nil"/>
              <w:bottom w:val="nil"/>
            </w:tcBorders>
          </w:tcPr>
          <w:p w:rsidR="00212513" w:rsidRDefault="00212513">
            <w:pPr>
              <w:pStyle w:val="ConsPlusNormal"/>
              <w:jc w:val="center"/>
            </w:pPr>
            <w:r>
              <w:t>1,0</w:t>
            </w:r>
          </w:p>
        </w:tc>
      </w:tr>
      <w:tr w:rsidR="00212513">
        <w:tblPrEx>
          <w:tblBorders>
            <w:insideH w:val="none" w:sz="0" w:space="0" w:color="auto"/>
          </w:tblBorders>
        </w:tblPrEx>
        <w:tc>
          <w:tcPr>
            <w:tcW w:w="3061" w:type="dxa"/>
            <w:tcBorders>
              <w:top w:val="nil"/>
              <w:bottom w:val="single" w:sz="4" w:space="0" w:color="auto"/>
            </w:tcBorders>
          </w:tcPr>
          <w:p w:rsidR="00212513" w:rsidRDefault="00212513">
            <w:pPr>
              <w:pStyle w:val="ConsPlusNormal"/>
              <w:ind w:firstLine="283"/>
            </w:pPr>
            <w:r>
              <w:t>малые</w:t>
            </w:r>
          </w:p>
        </w:tc>
        <w:tc>
          <w:tcPr>
            <w:tcW w:w="1417" w:type="dxa"/>
            <w:tcBorders>
              <w:top w:val="nil"/>
              <w:bottom w:val="single" w:sz="4" w:space="0" w:color="auto"/>
            </w:tcBorders>
          </w:tcPr>
          <w:p w:rsidR="00212513" w:rsidRDefault="00212513">
            <w:pPr>
              <w:pStyle w:val="ConsPlusNormal"/>
              <w:jc w:val="both"/>
            </w:pPr>
          </w:p>
        </w:tc>
        <w:tc>
          <w:tcPr>
            <w:tcW w:w="1587" w:type="dxa"/>
            <w:tcBorders>
              <w:top w:val="nil"/>
              <w:bottom w:val="single" w:sz="4" w:space="0" w:color="auto"/>
            </w:tcBorders>
          </w:tcPr>
          <w:p w:rsidR="00212513" w:rsidRDefault="00212513">
            <w:pPr>
              <w:pStyle w:val="ConsPlusNormal"/>
              <w:jc w:val="both"/>
            </w:pPr>
          </w:p>
        </w:tc>
        <w:tc>
          <w:tcPr>
            <w:tcW w:w="1417" w:type="dxa"/>
            <w:tcBorders>
              <w:top w:val="nil"/>
              <w:bottom w:val="single" w:sz="4" w:space="0" w:color="auto"/>
            </w:tcBorders>
          </w:tcPr>
          <w:p w:rsidR="00212513" w:rsidRDefault="00212513">
            <w:pPr>
              <w:pStyle w:val="ConsPlusNormal"/>
              <w:jc w:val="both"/>
            </w:pPr>
          </w:p>
        </w:tc>
        <w:tc>
          <w:tcPr>
            <w:tcW w:w="1531" w:type="dxa"/>
            <w:tcBorders>
              <w:top w:val="nil"/>
              <w:bottom w:val="single" w:sz="4" w:space="0" w:color="auto"/>
            </w:tcBorders>
          </w:tcPr>
          <w:p w:rsidR="00212513" w:rsidRDefault="00212513">
            <w:pPr>
              <w:pStyle w:val="ConsPlusNormal"/>
              <w:jc w:val="center"/>
            </w:pPr>
            <w:r>
              <w:t>1,2</w:t>
            </w:r>
          </w:p>
        </w:tc>
      </w:tr>
      <w:tr w:rsidR="00212513">
        <w:tc>
          <w:tcPr>
            <w:tcW w:w="9013" w:type="dxa"/>
            <w:gridSpan w:val="5"/>
            <w:tcBorders>
              <w:top w:val="single" w:sz="4" w:space="0" w:color="auto"/>
              <w:bottom w:val="single" w:sz="4" w:space="0" w:color="auto"/>
            </w:tcBorders>
          </w:tcPr>
          <w:p w:rsidR="00212513" w:rsidRDefault="00212513">
            <w:pPr>
              <w:pStyle w:val="ConsPlusNormal"/>
              <w:ind w:firstLine="283"/>
              <w:jc w:val="both"/>
            </w:pPr>
            <w:bookmarkStart w:id="460" w:name="P11014"/>
            <w:bookmarkEnd w:id="460"/>
            <w:r>
              <w:t xml:space="preserve">&lt;*&gt; Эксцентриситет </w:t>
            </w:r>
            <w:r>
              <w:rPr>
                <w:noProof/>
                <w:position w:val="-8"/>
              </w:rPr>
              <w:drawing>
                <wp:inline distT="0" distB="0" distL="0" distR="0">
                  <wp:extent cx="167640" cy="251460"/>
                  <wp:effectExtent l="0" t="0" r="0" b="0"/>
                  <wp:docPr id="20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8"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и радиус ядра сечения фундамента </w:t>
            </w:r>
            <w:r>
              <w:rPr>
                <w:i/>
              </w:rPr>
              <w:t>r</w:t>
            </w:r>
            <w:r>
              <w:t xml:space="preserve"> (у его подошвы) определяют по формулам:</w:t>
            </w:r>
          </w:p>
          <w:p w:rsidR="00212513" w:rsidRDefault="00212513">
            <w:pPr>
              <w:pStyle w:val="ConsPlusNormal"/>
              <w:ind w:firstLine="283"/>
              <w:jc w:val="both"/>
            </w:pPr>
          </w:p>
          <w:p w:rsidR="00212513" w:rsidRDefault="00212513">
            <w:pPr>
              <w:pStyle w:val="ConsPlusNormal"/>
              <w:jc w:val="center"/>
            </w:pPr>
            <w:r>
              <w:rPr>
                <w:noProof/>
                <w:position w:val="-23"/>
              </w:rPr>
              <w:drawing>
                <wp:inline distT="0" distB="0" distL="0" distR="0">
                  <wp:extent cx="563880" cy="441960"/>
                  <wp:effectExtent l="0" t="0" r="0" b="0"/>
                  <wp:docPr id="20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9" cstate="print">
                            <a:extLst>
                              <a:ext uri="{28A0092B-C50C-407E-A947-70E740481C1C}">
                                <a14:useLocalDpi xmlns:a14="http://schemas.microsoft.com/office/drawing/2010/main" val="0"/>
                              </a:ext>
                            </a:extLst>
                          </a:blip>
                          <a:srcRect/>
                          <a:stretch>
                            <a:fillRect/>
                          </a:stretch>
                        </pic:blipFill>
                        <pic:spPr bwMode="auto">
                          <a:xfrm>
                            <a:off x="0" y="0"/>
                            <a:ext cx="563880" cy="441960"/>
                          </a:xfrm>
                          <a:prstGeom prst="rect">
                            <a:avLst/>
                          </a:prstGeom>
                          <a:noFill/>
                          <a:ln>
                            <a:noFill/>
                          </a:ln>
                        </pic:spPr>
                      </pic:pic>
                    </a:graphicData>
                  </a:graphic>
                </wp:inline>
              </w:drawing>
            </w:r>
            <w:r>
              <w:t xml:space="preserve"> и </w:t>
            </w:r>
            <w:r>
              <w:rPr>
                <w:noProof/>
                <w:position w:val="-23"/>
              </w:rPr>
              <w:drawing>
                <wp:inline distT="0" distB="0" distL="0" distR="0">
                  <wp:extent cx="484505" cy="441960"/>
                  <wp:effectExtent l="0" t="0" r="0" b="0"/>
                  <wp:docPr id="20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0" cstate="print">
                            <a:extLst>
                              <a:ext uri="{28A0092B-C50C-407E-A947-70E740481C1C}">
                                <a14:useLocalDpi xmlns:a14="http://schemas.microsoft.com/office/drawing/2010/main" val="0"/>
                              </a:ext>
                            </a:extLst>
                          </a:blip>
                          <a:srcRect/>
                          <a:stretch>
                            <a:fillRect/>
                          </a:stretch>
                        </pic:blipFill>
                        <pic:spPr bwMode="auto">
                          <a:xfrm>
                            <a:off x="0" y="0"/>
                            <a:ext cx="484505" cy="441960"/>
                          </a:xfrm>
                          <a:prstGeom prst="rect">
                            <a:avLst/>
                          </a:prstGeom>
                          <a:noFill/>
                          <a:ln>
                            <a:noFill/>
                          </a:ln>
                        </pic:spPr>
                      </pic:pic>
                    </a:graphicData>
                  </a:graphic>
                </wp:inline>
              </w:drawing>
            </w:r>
            <w:r>
              <w:t>,</w:t>
            </w:r>
          </w:p>
          <w:p w:rsidR="00212513" w:rsidRDefault="00212513">
            <w:pPr>
              <w:pStyle w:val="ConsPlusNormal"/>
              <w:ind w:firstLine="283"/>
              <w:jc w:val="both"/>
            </w:pPr>
          </w:p>
          <w:p w:rsidR="00212513" w:rsidRDefault="00212513">
            <w:pPr>
              <w:pStyle w:val="ConsPlusNormal"/>
              <w:ind w:firstLine="283"/>
              <w:jc w:val="both"/>
            </w:pPr>
            <w:r>
              <w:t xml:space="preserve">где </w:t>
            </w:r>
            <w:r>
              <w:rPr>
                <w:i/>
              </w:rPr>
              <w:t>M</w:t>
            </w:r>
            <w:r>
              <w:t xml:space="preserve"> - момент сил, действующих относительно главной центральной оси подошвы фундамента;</w:t>
            </w:r>
          </w:p>
          <w:p w:rsidR="00212513" w:rsidRDefault="00212513">
            <w:pPr>
              <w:pStyle w:val="ConsPlusNormal"/>
              <w:ind w:firstLine="283"/>
              <w:jc w:val="both"/>
            </w:pPr>
            <w:r>
              <w:rPr>
                <w:i/>
              </w:rPr>
              <w:t>N</w:t>
            </w:r>
            <w:r>
              <w:t xml:space="preserve"> - равнодействующая вертикальных сил;</w:t>
            </w:r>
          </w:p>
          <w:p w:rsidR="00212513" w:rsidRDefault="00212513">
            <w:pPr>
              <w:pStyle w:val="ConsPlusNormal"/>
              <w:ind w:firstLine="283"/>
              <w:jc w:val="both"/>
            </w:pPr>
            <w:r>
              <w:rPr>
                <w:i/>
              </w:rPr>
              <w:t>W</w:t>
            </w:r>
            <w:r>
              <w:t xml:space="preserve"> - момент сопротивления подошвы фундамента для менее напряженного ребра;</w:t>
            </w:r>
          </w:p>
          <w:p w:rsidR="00212513" w:rsidRDefault="00212513">
            <w:pPr>
              <w:pStyle w:val="ConsPlusNormal"/>
              <w:ind w:firstLine="283"/>
              <w:jc w:val="both"/>
            </w:pPr>
            <w:r>
              <w:rPr>
                <w:i/>
              </w:rPr>
              <w:t>A</w:t>
            </w:r>
            <w:r>
              <w:t xml:space="preserve"> - площадь подошвы фундамента.</w:t>
            </w:r>
          </w:p>
        </w:tc>
      </w:tr>
    </w:tbl>
    <w:p w:rsidR="00212513" w:rsidRDefault="00212513">
      <w:pPr>
        <w:pStyle w:val="ConsPlusNormal"/>
        <w:ind w:firstLine="540"/>
        <w:jc w:val="both"/>
      </w:pPr>
    </w:p>
    <w:p w:rsidR="00212513" w:rsidRDefault="00212513">
      <w:pPr>
        <w:pStyle w:val="ConsPlusNormal"/>
        <w:ind w:firstLine="540"/>
        <w:jc w:val="both"/>
      </w:pPr>
      <w:r>
        <w:t xml:space="preserve">Проверку положения равнодействующей нагрузок в уровне подошвы фундаментов устоев при высоте подходной насыпи свыше 12 м следует производить с учетом вертикального давления от веса примыкающей части насыпи для фундаментов мелкого заложения и от 10 м и свыше - для фундаментов глубокого заложения (сваи, буровые столбы). В этом случае относительный эксцентриситет в сторону пролета должен составлять не более чем 20% значений, указанных в </w:t>
      </w:r>
      <w:hyperlink w:anchor="P10984">
        <w:r>
          <w:rPr>
            <w:color w:val="0000FF"/>
          </w:rPr>
          <w:t>таблице 11.1</w:t>
        </w:r>
      </w:hyperlink>
      <w:r>
        <w:t>.</w:t>
      </w:r>
    </w:p>
    <w:p w:rsidR="00212513" w:rsidRDefault="00212513">
      <w:pPr>
        <w:pStyle w:val="ConsPlusNormal"/>
        <w:jc w:val="both"/>
      </w:pPr>
      <w:r>
        <w:t xml:space="preserve">(в ред. </w:t>
      </w:r>
      <w:hyperlink r:id="rId2601">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Если относительный эксцентриситет свыше единицы, максимальное давление подошвы фундамента на основание следует определять исходя из треугольной формы эпюры, построенной в пределах сжимаемой части основания.</w:t>
      </w:r>
    </w:p>
    <w:p w:rsidR="00212513" w:rsidRDefault="00212513">
      <w:pPr>
        <w:pStyle w:val="ConsPlusNormal"/>
        <w:spacing w:before="220"/>
        <w:ind w:firstLine="540"/>
        <w:jc w:val="both"/>
      </w:pPr>
      <w:r>
        <w:t>При расчете устоев с фундаментами глубокого заложения (сваи, буровые столбы) следует учитывать дополнительное горизонтальное давление грунта основания на фундаменты от веса подходной насыпи, определяемые методами теории упругости для линейно-деформируемого полупространства.</w:t>
      </w:r>
    </w:p>
    <w:p w:rsidR="00212513" w:rsidRDefault="00212513">
      <w:pPr>
        <w:pStyle w:val="ConsPlusNormal"/>
        <w:jc w:val="both"/>
      </w:pPr>
      <w:r>
        <w:t xml:space="preserve">(абзац введен </w:t>
      </w:r>
      <w:hyperlink r:id="rId2602">
        <w:r>
          <w:rPr>
            <w:color w:val="0000FF"/>
          </w:rPr>
          <w:t>Изменением N 1</w:t>
        </w:r>
      </w:hyperlink>
      <w:r>
        <w:t>, утв. Приказом Минстроя России от 03.12.2016 N 879/пр)</w:t>
      </w:r>
    </w:p>
    <w:p w:rsidR="00212513" w:rsidRDefault="00212513">
      <w:pPr>
        <w:pStyle w:val="ConsPlusNormal"/>
        <w:spacing w:before="220"/>
        <w:ind w:firstLine="540"/>
        <w:jc w:val="both"/>
      </w:pPr>
      <w:bookmarkStart w:id="461" w:name="P11028"/>
      <w:bookmarkEnd w:id="461"/>
      <w:r>
        <w:t>11.8 Несущая способность основания под подошвой фундаментов мелкого заложения или фундаментов из опускных колодцев при раздельном расчете опор на временные нагрузки, действующие вдоль и поперек моста, должна удовлетворять условиям</w:t>
      </w:r>
    </w:p>
    <w:p w:rsidR="00212513" w:rsidRDefault="00212513">
      <w:pPr>
        <w:pStyle w:val="ConsPlusNormal"/>
        <w:ind w:firstLine="540"/>
        <w:jc w:val="both"/>
      </w:pPr>
    </w:p>
    <w:p w:rsidR="00212513" w:rsidRDefault="00212513">
      <w:pPr>
        <w:pStyle w:val="ConsPlusNormal"/>
        <w:jc w:val="center"/>
      </w:pPr>
      <w:r>
        <w:rPr>
          <w:noProof/>
          <w:position w:val="-26"/>
        </w:rPr>
        <w:drawing>
          <wp:inline distT="0" distB="0" distL="0" distR="0">
            <wp:extent cx="502920" cy="470535"/>
            <wp:effectExtent l="0" t="0" r="0" b="0"/>
            <wp:docPr id="20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3" cstate="print">
                      <a:extLst>
                        <a:ext uri="{28A0092B-C50C-407E-A947-70E740481C1C}">
                          <a14:useLocalDpi xmlns:a14="http://schemas.microsoft.com/office/drawing/2010/main" val="0"/>
                        </a:ext>
                      </a:extLst>
                    </a:blip>
                    <a:srcRect/>
                    <a:stretch>
                      <a:fillRect/>
                    </a:stretch>
                  </pic:blipFill>
                  <pic:spPr bwMode="auto">
                    <a:xfrm>
                      <a:off x="0" y="0"/>
                      <a:ext cx="502920" cy="470535"/>
                    </a:xfrm>
                    <a:prstGeom prst="rect">
                      <a:avLst/>
                    </a:prstGeom>
                    <a:noFill/>
                    <a:ln>
                      <a:noFill/>
                    </a:ln>
                  </pic:spPr>
                </pic:pic>
              </a:graphicData>
            </a:graphic>
          </wp:inline>
        </w:drawing>
      </w:r>
      <w:r>
        <w:t xml:space="preserve"> и </w:t>
      </w:r>
      <w:r>
        <w:rPr>
          <w:noProof/>
          <w:position w:val="-26"/>
        </w:rPr>
        <w:drawing>
          <wp:inline distT="0" distB="0" distL="0" distR="0">
            <wp:extent cx="774700" cy="470535"/>
            <wp:effectExtent l="0" t="0" r="0" b="0"/>
            <wp:docPr id="20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4" cstate="print">
                      <a:extLst>
                        <a:ext uri="{28A0092B-C50C-407E-A947-70E740481C1C}">
                          <a14:useLocalDpi xmlns:a14="http://schemas.microsoft.com/office/drawing/2010/main" val="0"/>
                        </a:ext>
                      </a:extLst>
                    </a:blip>
                    <a:srcRect/>
                    <a:stretch>
                      <a:fillRect/>
                    </a:stretch>
                  </pic:blipFill>
                  <pic:spPr bwMode="auto">
                    <a:xfrm>
                      <a:off x="0" y="0"/>
                      <a:ext cx="774700" cy="470535"/>
                    </a:xfrm>
                    <a:prstGeom prst="rect">
                      <a:avLst/>
                    </a:prstGeom>
                    <a:noFill/>
                    <a:ln>
                      <a:noFill/>
                    </a:ln>
                  </pic:spPr>
                </pic:pic>
              </a:graphicData>
            </a:graphic>
          </wp:inline>
        </w:drawing>
      </w:r>
      <w:r>
        <w:t>, (11.1)</w:t>
      </w:r>
    </w:p>
    <w:p w:rsidR="00212513" w:rsidRDefault="00212513">
      <w:pPr>
        <w:pStyle w:val="ConsPlusNormal"/>
        <w:ind w:firstLine="540"/>
        <w:jc w:val="both"/>
      </w:pPr>
    </w:p>
    <w:p w:rsidR="00212513" w:rsidRDefault="00212513">
      <w:pPr>
        <w:pStyle w:val="ConsPlusNormal"/>
        <w:ind w:firstLine="540"/>
        <w:jc w:val="both"/>
      </w:pPr>
      <w:r>
        <w:t xml:space="preserve">где </w:t>
      </w:r>
      <w:r>
        <w:rPr>
          <w:i/>
        </w:rPr>
        <w:t>p</w:t>
      </w:r>
      <w:r>
        <w:t xml:space="preserve">, </w:t>
      </w:r>
      <w:r>
        <w:rPr>
          <w:noProof/>
          <w:position w:val="-8"/>
        </w:rPr>
        <w:drawing>
          <wp:inline distT="0" distB="0" distL="0" distR="0">
            <wp:extent cx="335280" cy="251460"/>
            <wp:effectExtent l="0" t="0" r="0" b="0"/>
            <wp:docPr id="20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5" cstate="print">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r>
        <w:t xml:space="preserve"> - соответственно среднее и максимальное давления подошвы фундамента на основание, кПа;</w:t>
      </w:r>
    </w:p>
    <w:p w:rsidR="00212513" w:rsidRDefault="00212513">
      <w:pPr>
        <w:pStyle w:val="ConsPlusNormal"/>
        <w:spacing w:before="220"/>
        <w:ind w:firstLine="540"/>
        <w:jc w:val="both"/>
      </w:pPr>
      <w:r>
        <w:rPr>
          <w:i/>
        </w:rPr>
        <w:t>R</w:t>
      </w:r>
      <w:r>
        <w:t xml:space="preserve"> - расчетное сопротивление основания из нескальных или скальных грунтов осевому сжатию, кПа, определяемое согласно </w:t>
      </w:r>
      <w:hyperlink w:anchor="P17582">
        <w:r>
          <w:rPr>
            <w:color w:val="0000FF"/>
          </w:rPr>
          <w:t>приложению 2</w:t>
        </w:r>
      </w:hyperlink>
      <w:r>
        <w:t>;</w:t>
      </w:r>
    </w:p>
    <w:p w:rsidR="00212513" w:rsidRDefault="00212513">
      <w:pPr>
        <w:pStyle w:val="ConsPlusNormal"/>
        <w:spacing w:before="220"/>
        <w:ind w:firstLine="540"/>
        <w:jc w:val="both"/>
      </w:pPr>
      <w:r>
        <w:rPr>
          <w:noProof/>
          <w:position w:val="-8"/>
        </w:rPr>
        <w:lastRenderedPageBreak/>
        <w:drawing>
          <wp:inline distT="0" distB="0" distL="0" distR="0">
            <wp:extent cx="177800" cy="251460"/>
            <wp:effectExtent l="0" t="0" r="0" b="0"/>
            <wp:docPr id="20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6"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коэффициент надежности по назначению сооружения, принимаемый равным 1,4;</w:t>
      </w:r>
    </w:p>
    <w:p w:rsidR="00212513" w:rsidRDefault="00212513">
      <w:pPr>
        <w:pStyle w:val="ConsPlusNormal"/>
        <w:spacing w:before="220"/>
        <w:ind w:firstLine="540"/>
        <w:jc w:val="both"/>
      </w:pPr>
      <w:r>
        <w:rPr>
          <w:noProof/>
          <w:position w:val="-8"/>
        </w:rPr>
        <w:drawing>
          <wp:inline distT="0" distB="0" distL="0" distR="0">
            <wp:extent cx="177800" cy="251460"/>
            <wp:effectExtent l="0" t="0" r="0" b="0"/>
            <wp:docPr id="20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7"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коэффициент условий работы, принимаемый равным: 1,0 - при определении несущей способности нескальных оснований в случаях действия временных </w:t>
      </w:r>
      <w:hyperlink w:anchor="P910">
        <w:r>
          <w:rPr>
            <w:color w:val="0000FF"/>
          </w:rPr>
          <w:t>нагрузок N 7</w:t>
        </w:r>
      </w:hyperlink>
      <w:r>
        <w:t xml:space="preserve"> - </w:t>
      </w:r>
      <w:hyperlink w:anchor="P916">
        <w:r>
          <w:rPr>
            <w:color w:val="0000FF"/>
          </w:rPr>
          <w:t>9</w:t>
        </w:r>
      </w:hyperlink>
      <w:r>
        <w:t xml:space="preserve">; 1,2 - при определении несущей способности скальных оснований во всех случаях и нескальных оснований в случаях действия (кроме временных </w:t>
      </w:r>
      <w:hyperlink w:anchor="P910">
        <w:r>
          <w:rPr>
            <w:color w:val="0000FF"/>
          </w:rPr>
          <w:t>нагрузок N 7</w:t>
        </w:r>
      </w:hyperlink>
      <w:r>
        <w:t xml:space="preserve"> - </w:t>
      </w:r>
      <w:hyperlink w:anchor="P916">
        <w:r>
          <w:rPr>
            <w:color w:val="0000FF"/>
          </w:rPr>
          <w:t>9</w:t>
        </w:r>
      </w:hyperlink>
      <w:r>
        <w:t xml:space="preserve">) одной или нескольких временных </w:t>
      </w:r>
      <w:hyperlink w:anchor="P919">
        <w:r>
          <w:rPr>
            <w:color w:val="0000FF"/>
          </w:rPr>
          <w:t>нагрузок N 10</w:t>
        </w:r>
      </w:hyperlink>
      <w:r>
        <w:t xml:space="preserve"> - </w:t>
      </w:r>
      <w:hyperlink w:anchor="P935">
        <w:r>
          <w:rPr>
            <w:color w:val="0000FF"/>
          </w:rPr>
          <w:t>15</w:t>
        </w:r>
      </w:hyperlink>
      <w:r>
        <w:t xml:space="preserve"> и </w:t>
      </w:r>
      <w:hyperlink w:anchor="P941">
        <w:r>
          <w:rPr>
            <w:color w:val="0000FF"/>
          </w:rPr>
          <w:t>N 17</w:t>
        </w:r>
      </w:hyperlink>
      <w:r>
        <w:t>.</w:t>
      </w:r>
    </w:p>
    <w:p w:rsidR="00212513" w:rsidRDefault="00212513">
      <w:pPr>
        <w:pStyle w:val="ConsPlusNormal"/>
        <w:spacing w:before="220"/>
        <w:ind w:firstLine="540"/>
        <w:jc w:val="both"/>
      </w:pPr>
      <w:r>
        <w:t xml:space="preserve">11.9 В расчетах по несущей способности оснований фундаментов мелкого заложения и фундаментов из опускных колодцев возникающие в грунте под их подошвой напряжения от </w:t>
      </w:r>
      <w:hyperlink w:anchor="P919">
        <w:r>
          <w:rPr>
            <w:color w:val="0000FF"/>
          </w:rPr>
          <w:t>нагрузок N 10</w:t>
        </w:r>
      </w:hyperlink>
      <w:r>
        <w:t xml:space="preserve"> - </w:t>
      </w:r>
      <w:hyperlink w:anchor="P932">
        <w:r>
          <w:rPr>
            <w:color w:val="0000FF"/>
          </w:rPr>
          <w:t>14</w:t>
        </w:r>
      </w:hyperlink>
      <w:r>
        <w:t xml:space="preserve"> (согласно </w:t>
      </w:r>
      <w:hyperlink w:anchor="P882">
        <w:r>
          <w:rPr>
            <w:color w:val="0000FF"/>
          </w:rPr>
          <w:t>6.1</w:t>
        </w:r>
      </w:hyperlink>
      <w:r>
        <w:t xml:space="preserve"> с учетом соответствующих коэффициентов сочетаний согласно </w:t>
      </w:r>
      <w:hyperlink w:anchor="P955">
        <w:r>
          <w:rPr>
            <w:color w:val="0000FF"/>
          </w:rPr>
          <w:t>6.2</w:t>
        </w:r>
      </w:hyperlink>
      <w:r>
        <w:t>) следует определять отдельно вдоль и поперек оси моста, а наиболее неблагоприятные из них суммировать с напряжениями от постоянных и временных вертикальных нагрузок. В свайных фундаментах усилия, которые возникают в сваях от указанных выше нагрузок, действующих вдоль и поперек оси моста, необходимо суммировать.</w:t>
      </w:r>
    </w:p>
    <w:p w:rsidR="00212513" w:rsidRDefault="00212513">
      <w:pPr>
        <w:pStyle w:val="ConsPlusNormal"/>
        <w:spacing w:before="220"/>
        <w:ind w:firstLine="540"/>
        <w:jc w:val="both"/>
      </w:pPr>
      <w:bookmarkStart w:id="462" w:name="P11037"/>
      <w:bookmarkEnd w:id="462"/>
      <w:r>
        <w:t xml:space="preserve">11.10 В расчетах (по грунту и материалу) конструкций свайных фундаментов и фундаментов из опускных колодцев (за исключением расчетов несущей способности оснований) за расчетную поверхность грунта следует принимать: для фундаментов устоев - естественную поверхность грунта; для фундаментов промежуточных опор - поверхность грунта у опор на уровне срезки (планировки) или местного размыва, определяемого согласно указаниям </w:t>
      </w:r>
      <w:hyperlink w:anchor="P393">
        <w:r>
          <w:rPr>
            <w:color w:val="0000FF"/>
          </w:rPr>
          <w:t>5.25</w:t>
        </w:r>
      </w:hyperlink>
      <w:r>
        <w:t xml:space="preserve"> - </w:t>
      </w:r>
      <w:hyperlink w:anchor="P411">
        <w:r>
          <w:rPr>
            <w:color w:val="0000FF"/>
          </w:rPr>
          <w:t>5.30</w:t>
        </w:r>
      </w:hyperlink>
      <w:r>
        <w:t xml:space="preserve"> при расчетном и наибольшем расходах для расчетов на действие соответственно расчетных (крайних) и эксплуатационных нагрузок.</w:t>
      </w:r>
    </w:p>
    <w:p w:rsidR="00212513" w:rsidRDefault="00212513">
      <w:pPr>
        <w:pStyle w:val="ConsPlusNormal"/>
        <w:spacing w:before="220"/>
        <w:ind w:firstLine="540"/>
        <w:jc w:val="both"/>
      </w:pPr>
      <w:r>
        <w:t>Для устоев и береговых промежуточных опор со свайными фундаментами, ростверки которых расположены над грунтом, а сваи погружены сквозь отсыпанную или намытую часть насыпи, расчетную поверхность грунта допускается принимать с учетом заделки свай в этой части насыпи.</w:t>
      </w:r>
    </w:p>
    <w:p w:rsidR="00212513" w:rsidRDefault="00212513">
      <w:pPr>
        <w:pStyle w:val="ConsPlusNormal"/>
        <w:spacing w:before="220"/>
        <w:ind w:firstLine="540"/>
        <w:jc w:val="both"/>
      </w:pPr>
      <w:r>
        <w:t xml:space="preserve">11.11 Несущую способность одиночной сваи в немерзлых грунтах при действии осевого сжимающего или выдергивающего усилия следует определять согласно </w:t>
      </w:r>
      <w:hyperlink r:id="rId2608">
        <w:r>
          <w:rPr>
            <w:color w:val="0000FF"/>
          </w:rPr>
          <w:t>СП 24.13330</w:t>
        </w:r>
      </w:hyperlink>
      <w:r>
        <w:t xml:space="preserve">, в мерзлых грунтах - согласно </w:t>
      </w:r>
      <w:hyperlink r:id="rId2609">
        <w:r>
          <w:rPr>
            <w:color w:val="0000FF"/>
          </w:rPr>
          <w:t>СП 25.13330</w:t>
        </w:r>
      </w:hyperlink>
      <w:r>
        <w:t xml:space="preserve"> и </w:t>
      </w:r>
      <w:hyperlink w:anchor="P19093">
        <w:r>
          <w:rPr>
            <w:color w:val="0000FF"/>
          </w:rPr>
          <w:t>[16]</w:t>
        </w:r>
      </w:hyperlink>
      <w:r>
        <w:t>.</w:t>
      </w:r>
    </w:p>
    <w:p w:rsidR="00212513" w:rsidRDefault="00212513">
      <w:pPr>
        <w:pStyle w:val="ConsPlusNormal"/>
        <w:jc w:val="both"/>
      </w:pPr>
      <w:r>
        <w:t xml:space="preserve">(в ред. </w:t>
      </w:r>
      <w:hyperlink r:id="rId2610">
        <w:r>
          <w:rPr>
            <w:color w:val="0000FF"/>
          </w:rPr>
          <w:t>Изменения N 5</w:t>
        </w:r>
      </w:hyperlink>
      <w:r>
        <w:t>, утв. Приказом Минстроя России от 20.09.2024 N 636/пр)</w:t>
      </w:r>
    </w:p>
    <w:p w:rsidR="00212513" w:rsidRDefault="00212513">
      <w:pPr>
        <w:pStyle w:val="ConsPlusNormal"/>
        <w:spacing w:before="220"/>
        <w:ind w:firstLine="540"/>
        <w:jc w:val="both"/>
      </w:pPr>
      <w:r>
        <w:t>При расчете буровых свай с уширением, устраиваемых путем механического разбуривания грунта, коэффициент надежности по сопротивлению грунта под нижним концом сваи следует принимать при бетонировании насухо равным 1,0, при бетонировании подводным способом - 0,9.</w:t>
      </w:r>
    </w:p>
    <w:p w:rsidR="00212513" w:rsidRDefault="00212513">
      <w:pPr>
        <w:pStyle w:val="ConsPlusNormal"/>
        <w:jc w:val="both"/>
      </w:pPr>
      <w:r>
        <w:t xml:space="preserve">(абзац введен </w:t>
      </w:r>
      <w:hyperlink r:id="rId2611">
        <w:r>
          <w:rPr>
            <w:color w:val="0000FF"/>
          </w:rPr>
          <w:t>Изменением N 3</w:t>
        </w:r>
      </w:hyperlink>
      <w:r>
        <w:t>, утв. Приказом Минстроя России от 29.12.2020 N 891/пр)</w:t>
      </w:r>
    </w:p>
    <w:p w:rsidR="00212513" w:rsidRDefault="00212513">
      <w:pPr>
        <w:pStyle w:val="ConsPlusNormal"/>
        <w:spacing w:before="220"/>
        <w:ind w:firstLine="540"/>
        <w:jc w:val="both"/>
      </w:pPr>
      <w:r>
        <w:t xml:space="preserve">11.12 Несущую способность основания в уровне низа свай требуется проверять как для условного фундамента согласно </w:t>
      </w:r>
      <w:hyperlink w:anchor="P17781">
        <w:r>
          <w:rPr>
            <w:color w:val="0000FF"/>
          </w:rPr>
          <w:t>приложению 3</w:t>
        </w:r>
      </w:hyperlink>
      <w:r>
        <w:t>.</w:t>
      </w:r>
    </w:p>
    <w:p w:rsidR="00212513" w:rsidRDefault="00212513">
      <w:pPr>
        <w:pStyle w:val="ConsPlusNormal"/>
        <w:spacing w:before="220"/>
        <w:ind w:firstLine="540"/>
        <w:jc w:val="both"/>
      </w:pPr>
      <w:r>
        <w:t>Указанная проверка не требуется для:</w:t>
      </w:r>
    </w:p>
    <w:p w:rsidR="00212513" w:rsidRDefault="00212513">
      <w:pPr>
        <w:pStyle w:val="ConsPlusNormal"/>
        <w:spacing w:before="220"/>
        <w:ind w:firstLine="540"/>
        <w:jc w:val="both"/>
      </w:pPr>
      <w:r>
        <w:t>однорядных фундаментов в любых грунтовых условиях;</w:t>
      </w:r>
    </w:p>
    <w:p w:rsidR="00212513" w:rsidRDefault="00212513">
      <w:pPr>
        <w:pStyle w:val="ConsPlusNormal"/>
        <w:spacing w:before="220"/>
        <w:ind w:firstLine="540"/>
        <w:jc w:val="both"/>
      </w:pPr>
      <w:r>
        <w:t>многорядных свайных фундаментов, сваи которых работают как стойки (при опирании их на скальные грунты, крупнообломочные грунты с песчаным заполнителем, глинистые грунты твердой консистенции и мерзлые грунты, используемые по принципу 1).</w:t>
      </w:r>
    </w:p>
    <w:p w:rsidR="00212513" w:rsidRDefault="00212513">
      <w:pPr>
        <w:pStyle w:val="ConsPlusNormal"/>
        <w:spacing w:before="220"/>
        <w:ind w:firstLine="540"/>
        <w:jc w:val="both"/>
      </w:pPr>
      <w:r>
        <w:t xml:space="preserve">11.13 Если под несущим слоем грунта, воспринимающим давление подошвы фундамента или нижних концов свай, залегает слой менее прочного немерзлого или оттаивающего вечномерзлого грунта, необходимо проверить несущую способность этого слоя согласно </w:t>
      </w:r>
      <w:hyperlink w:anchor="P17869">
        <w:r>
          <w:rPr>
            <w:color w:val="0000FF"/>
          </w:rPr>
          <w:t>приложению 4</w:t>
        </w:r>
      </w:hyperlink>
      <w:r>
        <w:t>.</w:t>
      </w:r>
    </w:p>
    <w:p w:rsidR="00212513" w:rsidRDefault="00212513">
      <w:pPr>
        <w:pStyle w:val="ConsPlusNormal"/>
        <w:spacing w:before="220"/>
        <w:ind w:firstLine="540"/>
        <w:jc w:val="both"/>
      </w:pPr>
      <w:bookmarkStart w:id="463" w:name="P11048"/>
      <w:bookmarkEnd w:id="463"/>
      <w:r>
        <w:lastRenderedPageBreak/>
        <w:t>11.14 Расчет по устойчивости фундаментов мелкого заложения на немерзлых или оттаивающих вечномерзлых грунтах против опрокидывания или плоского сдвига (скольжения) необходимо производить согласно разделу 5, приняв в расчете на сдвиг следующие значения коэффициентов трения кладки о поверхность:</w:t>
      </w:r>
    </w:p>
    <w:p w:rsidR="00212513" w:rsidRDefault="00212513">
      <w:pPr>
        <w:pStyle w:val="ConsPlusNormal"/>
        <w:spacing w:before="220"/>
        <w:ind w:firstLine="540"/>
        <w:jc w:val="both"/>
      </w:pPr>
      <w:r>
        <w:t>скальных грунтов с омыливающейся поверхностью (глинистые известняки, сланцы и т.п.) и глин:</w:t>
      </w:r>
    </w:p>
    <w:p w:rsidR="00212513" w:rsidRDefault="00212513">
      <w:pPr>
        <w:pStyle w:val="ConsPlusNonformat"/>
        <w:spacing w:before="200"/>
        <w:jc w:val="both"/>
      </w:pPr>
      <w:r>
        <w:t xml:space="preserve">    а) во влажном состоянии ................................ 0,25;</w:t>
      </w:r>
    </w:p>
    <w:p w:rsidR="00212513" w:rsidRDefault="00212513">
      <w:pPr>
        <w:pStyle w:val="ConsPlusNonformat"/>
        <w:jc w:val="both"/>
      </w:pPr>
      <w:r>
        <w:t xml:space="preserve">    б) в сухом состоянии ................................... 0,30;</w:t>
      </w:r>
    </w:p>
    <w:p w:rsidR="00212513" w:rsidRDefault="00212513">
      <w:pPr>
        <w:pStyle w:val="ConsPlusNonformat"/>
        <w:jc w:val="both"/>
      </w:pPr>
      <w:r>
        <w:t xml:space="preserve">       суглинков и супесей ................................. 0,30;</w:t>
      </w:r>
    </w:p>
    <w:p w:rsidR="00212513" w:rsidRDefault="00212513">
      <w:pPr>
        <w:pStyle w:val="ConsPlusNonformat"/>
        <w:jc w:val="both"/>
      </w:pPr>
      <w:r>
        <w:t xml:space="preserve">       песков .............................................. 0,40;</w:t>
      </w:r>
    </w:p>
    <w:p w:rsidR="00212513" w:rsidRDefault="00212513">
      <w:pPr>
        <w:pStyle w:val="ConsPlusNonformat"/>
        <w:jc w:val="both"/>
      </w:pPr>
      <w:r>
        <w:t xml:space="preserve">       гравийных и галечниковых грунтов .................... 0,50;</w:t>
      </w:r>
    </w:p>
    <w:p w:rsidR="00212513" w:rsidRDefault="00212513">
      <w:pPr>
        <w:pStyle w:val="ConsPlusNonformat"/>
        <w:jc w:val="both"/>
      </w:pPr>
      <w:r>
        <w:t xml:space="preserve">       скальных грунтов с неомыливающейся поверхностью ..... 0,60.</w:t>
      </w:r>
    </w:p>
    <w:p w:rsidR="00212513" w:rsidRDefault="00212513">
      <w:pPr>
        <w:pStyle w:val="ConsPlusNormal"/>
        <w:ind w:firstLine="540"/>
        <w:jc w:val="both"/>
      </w:pPr>
      <w:r>
        <w:t>11.15 Расчет по устойчивости фундаментов на немерзлых или оттаивающих вечномерзлых грунтах против глубокого сдвига (смещения совместно с грунтом по наиболее неблагоприятной поверхности скольжения) следует выполнять для промежуточных опор, расположенных на косогорах, и для устоев при насыпях высотой свыше 12 м - во всех случаях, при насыпях высотой от 6 до 12 м - в случаях расположения в основании фундаментов слоя немерзлого или оттаивающего глинистого грунта или прослойки водонасыщенного песка, подстилаемого глинистым грунтом.</w:t>
      </w:r>
    </w:p>
    <w:p w:rsidR="00212513" w:rsidRDefault="00212513">
      <w:pPr>
        <w:pStyle w:val="ConsPlusNormal"/>
        <w:spacing w:before="220"/>
        <w:ind w:firstLine="540"/>
        <w:jc w:val="both"/>
      </w:pPr>
      <w:bookmarkStart w:id="464" w:name="P11057"/>
      <w:bookmarkEnd w:id="464"/>
      <w:r>
        <w:t xml:space="preserve">11.16 Осадку и крен фундаментов мелкого заложения следует рассчитывать на немерзлых грунтах согласно </w:t>
      </w:r>
      <w:hyperlink r:id="rId2612">
        <w:r>
          <w:rPr>
            <w:color w:val="0000FF"/>
          </w:rPr>
          <w:t>СП 22.13330</w:t>
        </w:r>
      </w:hyperlink>
      <w:r>
        <w:t xml:space="preserve">, на вечномерзлых грунтах - согласно </w:t>
      </w:r>
      <w:hyperlink r:id="rId2613">
        <w:r>
          <w:rPr>
            <w:color w:val="0000FF"/>
          </w:rPr>
          <w:t>СП 25.13330</w:t>
        </w:r>
      </w:hyperlink>
      <w:r>
        <w:t xml:space="preserve"> и </w:t>
      </w:r>
      <w:hyperlink w:anchor="P19093">
        <w:r>
          <w:rPr>
            <w:color w:val="0000FF"/>
          </w:rPr>
          <w:t>[16]</w:t>
        </w:r>
      </w:hyperlink>
      <w:r>
        <w:t>.</w:t>
      </w:r>
    </w:p>
    <w:p w:rsidR="00212513" w:rsidRDefault="00212513">
      <w:pPr>
        <w:pStyle w:val="ConsPlusNormal"/>
        <w:jc w:val="both"/>
      </w:pPr>
      <w:r>
        <w:t xml:space="preserve">(в ред. </w:t>
      </w:r>
      <w:hyperlink r:id="rId2614">
        <w:r>
          <w:rPr>
            <w:color w:val="0000FF"/>
          </w:rPr>
          <w:t>Изменения N 1</w:t>
        </w:r>
      </w:hyperlink>
      <w:r>
        <w:t xml:space="preserve">, утв. Приказом Минстроя России от 03.12.2016 N 879/пр, </w:t>
      </w:r>
      <w:hyperlink r:id="rId2615">
        <w:r>
          <w:rPr>
            <w:color w:val="0000FF"/>
          </w:rPr>
          <w:t>Изменения N 5</w:t>
        </w:r>
      </w:hyperlink>
      <w:r>
        <w:t>, утв. Приказом Минстроя России от 20.09.2024 N 636/пр)</w:t>
      </w:r>
    </w:p>
    <w:p w:rsidR="00212513" w:rsidRDefault="00212513">
      <w:pPr>
        <w:pStyle w:val="ConsPlusNormal"/>
        <w:spacing w:before="220"/>
        <w:ind w:firstLine="540"/>
        <w:jc w:val="both"/>
      </w:pPr>
      <w:r>
        <w:t xml:space="preserve">В расчете осадки устоев при высоте насыпи свыше 6 м необходимо учитывать дополнительное вертикальное давление на основание от веса примыкающей части подходной насыпи, определяемое согласно </w:t>
      </w:r>
      <w:hyperlink w:anchor="P18278">
        <w:r>
          <w:rPr>
            <w:color w:val="0000FF"/>
          </w:rPr>
          <w:t>приложению 5</w:t>
        </w:r>
      </w:hyperlink>
      <w:r>
        <w:t>.</w:t>
      </w:r>
    </w:p>
    <w:p w:rsidR="00212513" w:rsidRDefault="00212513">
      <w:pPr>
        <w:pStyle w:val="ConsPlusNormal"/>
        <w:jc w:val="both"/>
      </w:pPr>
      <w:r>
        <w:t xml:space="preserve">(в ред. </w:t>
      </w:r>
      <w:hyperlink r:id="rId2616">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Следует выполнять оценку влияния насыпи подхода высотой от 6 м на конструктивные элементы мостового сооружения с назначением длины участка насыпи исходя из соображений максимального влияния на опоры и пролетные строения в предпосылке их полной готовности. Если при этом воздействие насыпи приводит к деформациям больше допустимых, следует предусматривать организационные и (или) конструктивные мероприятия, исключающие такие деформации.</w:t>
      </w:r>
    </w:p>
    <w:p w:rsidR="00212513" w:rsidRDefault="00212513">
      <w:pPr>
        <w:pStyle w:val="ConsPlusNormal"/>
        <w:jc w:val="both"/>
      </w:pPr>
      <w:r>
        <w:t xml:space="preserve">(абзац введен </w:t>
      </w:r>
      <w:hyperlink r:id="rId2617">
        <w:r>
          <w:rPr>
            <w:color w:val="0000FF"/>
          </w:rPr>
          <w:t>Изменением N 4</w:t>
        </w:r>
      </w:hyperlink>
      <w:r>
        <w:t>, утв. Приказом Минстроя России от 30.05.2024 N 361/пр)</w:t>
      </w:r>
    </w:p>
    <w:p w:rsidR="00212513" w:rsidRDefault="00212513">
      <w:pPr>
        <w:pStyle w:val="ConsPlusNormal"/>
        <w:spacing w:before="220"/>
        <w:ind w:firstLine="540"/>
        <w:jc w:val="both"/>
      </w:pPr>
      <w:bookmarkStart w:id="465" w:name="P11063"/>
      <w:bookmarkEnd w:id="465"/>
      <w:r>
        <w:t xml:space="preserve">11.17 Осадку фундамента из свай или из опускного колодца следует определять в соответствии с указаниями </w:t>
      </w:r>
      <w:hyperlink w:anchor="P11057">
        <w:r>
          <w:rPr>
            <w:color w:val="0000FF"/>
          </w:rPr>
          <w:t>11.16</w:t>
        </w:r>
      </w:hyperlink>
      <w:r>
        <w:t xml:space="preserve">, рассматривая такой фундамент как условный в форме прямоугольного параллелепипеда размерами, принимаемыми согласно </w:t>
      </w:r>
      <w:hyperlink w:anchor="P17781">
        <w:r>
          <w:rPr>
            <w:color w:val="0000FF"/>
          </w:rPr>
          <w:t>приложению 3</w:t>
        </w:r>
      </w:hyperlink>
      <w:r>
        <w:t>.</w:t>
      </w:r>
    </w:p>
    <w:p w:rsidR="00212513" w:rsidRDefault="00212513">
      <w:pPr>
        <w:pStyle w:val="ConsPlusNormal"/>
        <w:spacing w:before="220"/>
        <w:ind w:firstLine="540"/>
        <w:jc w:val="both"/>
      </w:pPr>
      <w:r>
        <w:t>Осадку свайного фундамента допускается принимать равной осадке одиночной сваи по данным статических испытаний ее в тех же грунтах при соблюдении одного из следующих условий:</w:t>
      </w:r>
    </w:p>
    <w:p w:rsidR="00212513" w:rsidRDefault="00212513">
      <w:pPr>
        <w:pStyle w:val="ConsPlusNormal"/>
        <w:spacing w:before="220"/>
        <w:ind w:firstLine="540"/>
        <w:jc w:val="both"/>
      </w:pPr>
      <w:r>
        <w:t>а) сваи работают как стойки;</w:t>
      </w:r>
    </w:p>
    <w:p w:rsidR="00212513" w:rsidRDefault="00212513">
      <w:pPr>
        <w:pStyle w:val="ConsPlusNormal"/>
        <w:spacing w:before="220"/>
        <w:ind w:firstLine="540"/>
        <w:jc w:val="both"/>
      </w:pPr>
      <w:r>
        <w:t>б) число продольных рядов свай не более трех.</w:t>
      </w:r>
    </w:p>
    <w:p w:rsidR="00212513" w:rsidRDefault="00212513">
      <w:pPr>
        <w:pStyle w:val="ConsPlusNormal"/>
        <w:spacing w:before="220"/>
        <w:ind w:firstLine="540"/>
        <w:jc w:val="both"/>
      </w:pPr>
      <w:bookmarkStart w:id="466" w:name="P11067"/>
      <w:bookmarkEnd w:id="466"/>
      <w:r>
        <w:t xml:space="preserve">11.18 При определении осадок фундаментов в соответствии с </w:t>
      </w:r>
      <w:hyperlink w:anchor="P11057">
        <w:r>
          <w:rPr>
            <w:color w:val="0000FF"/>
          </w:rPr>
          <w:t>11.16</w:t>
        </w:r>
      </w:hyperlink>
      <w:r>
        <w:t xml:space="preserve"> и </w:t>
      </w:r>
      <w:hyperlink w:anchor="P11063">
        <w:r>
          <w:rPr>
            <w:color w:val="0000FF"/>
          </w:rPr>
          <w:t>11.17</w:t>
        </w:r>
      </w:hyperlink>
      <w:r>
        <w:t xml:space="preserve"> за расчетную поверхность грунта допускается принимать его естественную поверхность (без учета срезки или возможности размыва).</w:t>
      </w:r>
    </w:p>
    <w:p w:rsidR="00212513" w:rsidRDefault="00212513">
      <w:pPr>
        <w:pStyle w:val="ConsPlusNormal"/>
        <w:spacing w:before="220"/>
        <w:ind w:firstLine="540"/>
        <w:jc w:val="both"/>
      </w:pPr>
      <w:r>
        <w:t>Осадки фундаментов на немерзлых грунтах допускается не определять:</w:t>
      </w:r>
    </w:p>
    <w:p w:rsidR="00212513" w:rsidRDefault="00212513">
      <w:pPr>
        <w:pStyle w:val="ConsPlusNormal"/>
        <w:spacing w:before="220"/>
        <w:ind w:firstLine="540"/>
        <w:jc w:val="both"/>
      </w:pPr>
      <w:r>
        <w:lastRenderedPageBreak/>
        <w:t xml:space="preserve">при опирании фундаментов на скальные, крупнообломочные грунты с песчаным заполнителем и твердые глины (при коэффициенте пористости </w:t>
      </w:r>
      <w:r>
        <w:rPr>
          <w:noProof/>
          <w:position w:val="-6"/>
        </w:rPr>
        <w:drawing>
          <wp:inline distT="0" distB="0" distL="0" distR="0">
            <wp:extent cx="511810" cy="220980"/>
            <wp:effectExtent l="0" t="0" r="0" b="0"/>
            <wp:docPr id="20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8" cstate="print">
                      <a:extLst>
                        <a:ext uri="{28A0092B-C50C-407E-A947-70E740481C1C}">
                          <a14:useLocalDpi xmlns:a14="http://schemas.microsoft.com/office/drawing/2010/main" val="0"/>
                        </a:ext>
                      </a:extLst>
                    </a:blip>
                    <a:srcRect/>
                    <a:stretch>
                      <a:fillRect/>
                    </a:stretch>
                  </pic:blipFill>
                  <pic:spPr bwMode="auto">
                    <a:xfrm>
                      <a:off x="0" y="0"/>
                      <a:ext cx="511810" cy="220980"/>
                    </a:xfrm>
                    <a:prstGeom prst="rect">
                      <a:avLst/>
                    </a:prstGeom>
                    <a:noFill/>
                    <a:ln>
                      <a:noFill/>
                    </a:ln>
                  </pic:spPr>
                </pic:pic>
              </a:graphicData>
            </a:graphic>
          </wp:inline>
        </w:drawing>
      </w:r>
      <w:r>
        <w:t>) - для всех мостов;</w:t>
      </w:r>
    </w:p>
    <w:p w:rsidR="00212513" w:rsidRDefault="00212513">
      <w:pPr>
        <w:pStyle w:val="ConsPlusNormal"/>
        <w:spacing w:before="220"/>
        <w:ind w:firstLine="540"/>
        <w:jc w:val="both"/>
      </w:pPr>
      <w:r>
        <w:t>при опирании фундаментов на прочие грунты - для мостов внешне статически определимых систем пролетом до 55 м на железных и до 105 м на автомобильных дорогах.</w:t>
      </w:r>
    </w:p>
    <w:p w:rsidR="00212513" w:rsidRDefault="00212513">
      <w:pPr>
        <w:pStyle w:val="ConsPlusNormal"/>
        <w:spacing w:before="220"/>
        <w:ind w:firstLine="540"/>
        <w:jc w:val="both"/>
      </w:pPr>
      <w:r>
        <w:t>11.19 Напряжение в бетоне ростверка от давления торца свай, как правило, не должно превышать расчетное сопротивление бетона ростверка по нормам для осевого сжатия в расчетах по прочности.</w:t>
      </w:r>
    </w:p>
    <w:p w:rsidR="00212513" w:rsidRDefault="00212513">
      <w:pPr>
        <w:pStyle w:val="ConsPlusNormal"/>
        <w:spacing w:before="220"/>
        <w:ind w:firstLine="540"/>
        <w:jc w:val="both"/>
      </w:pPr>
      <w:r>
        <w:t>Если напряжение превышает расчетное сопротивление бетона ростверка, следует применить бетон более высокого класса или предусмотреть укладку арматурных сеток из стержней диаметром 12 мм над каждой сваей (одной сетки, если напряжения превышают расчетное сопротивление бетона ростверка до 20%, или двух сеток, если напряжения превышают расчетное сопротивление бетона на 20 - 30%).</w:t>
      </w:r>
    </w:p>
    <w:p w:rsidR="00212513" w:rsidRDefault="00212513">
      <w:pPr>
        <w:pStyle w:val="ConsPlusNormal"/>
        <w:ind w:firstLine="540"/>
        <w:jc w:val="both"/>
      </w:pPr>
    </w:p>
    <w:p w:rsidR="00212513" w:rsidRDefault="00212513">
      <w:pPr>
        <w:pStyle w:val="ConsPlusTitle"/>
        <w:ind w:firstLine="540"/>
        <w:jc w:val="both"/>
        <w:outlineLvl w:val="2"/>
      </w:pPr>
      <w:r>
        <w:t>Конструирование</w:t>
      </w:r>
    </w:p>
    <w:p w:rsidR="00212513" w:rsidRDefault="00212513">
      <w:pPr>
        <w:pStyle w:val="ConsPlusNormal"/>
        <w:ind w:firstLine="540"/>
        <w:jc w:val="both"/>
      </w:pPr>
    </w:p>
    <w:p w:rsidR="00212513" w:rsidRDefault="00212513">
      <w:pPr>
        <w:pStyle w:val="ConsPlusNormal"/>
        <w:ind w:firstLine="540"/>
        <w:jc w:val="both"/>
      </w:pPr>
      <w:r>
        <w:t xml:space="preserve">11.20 Фундаменты мостов и труб следует закладывать в грунт на глубине, определяемой расчетами несущей способности оснований и фундаментов согласно </w:t>
      </w:r>
      <w:hyperlink w:anchor="P10978">
        <w:r>
          <w:rPr>
            <w:color w:val="0000FF"/>
          </w:rPr>
          <w:t>11.5</w:t>
        </w:r>
      </w:hyperlink>
      <w:r>
        <w:t xml:space="preserve"> - </w:t>
      </w:r>
      <w:hyperlink w:anchor="P11067">
        <w:r>
          <w:rPr>
            <w:color w:val="0000FF"/>
          </w:rPr>
          <w:t>11.18</w:t>
        </w:r>
      </w:hyperlink>
      <w:r>
        <w:t xml:space="preserve"> и принимаемой не менее значений, требуемых </w:t>
      </w:r>
      <w:hyperlink r:id="rId2619">
        <w:r>
          <w:rPr>
            <w:color w:val="0000FF"/>
          </w:rPr>
          <w:t>СП 22.13330</w:t>
        </w:r>
      </w:hyperlink>
      <w:r>
        <w:t xml:space="preserve">, </w:t>
      </w:r>
      <w:hyperlink r:id="rId2620">
        <w:r>
          <w:rPr>
            <w:color w:val="0000FF"/>
          </w:rPr>
          <w:t>СП 25.13330</w:t>
        </w:r>
      </w:hyperlink>
      <w:r>
        <w:t xml:space="preserve"> и </w:t>
      </w:r>
      <w:hyperlink w:anchor="P19093">
        <w:r>
          <w:rPr>
            <w:color w:val="0000FF"/>
          </w:rPr>
          <w:t>[16]</w:t>
        </w:r>
      </w:hyperlink>
      <w:r>
        <w:t xml:space="preserve"> для фундаментов мелкого заложения, </w:t>
      </w:r>
      <w:hyperlink r:id="rId2621">
        <w:r>
          <w:rPr>
            <w:color w:val="0000FF"/>
          </w:rPr>
          <w:t>СП 24.13330</w:t>
        </w:r>
      </w:hyperlink>
      <w:r>
        <w:t xml:space="preserve">, </w:t>
      </w:r>
      <w:hyperlink r:id="rId2622">
        <w:r>
          <w:rPr>
            <w:color w:val="0000FF"/>
          </w:rPr>
          <w:t>СП 25.13330</w:t>
        </w:r>
      </w:hyperlink>
      <w:r>
        <w:t xml:space="preserve"> и </w:t>
      </w:r>
      <w:hyperlink w:anchor="P19093">
        <w:r>
          <w:rPr>
            <w:color w:val="0000FF"/>
          </w:rPr>
          <w:t>[16]</w:t>
        </w:r>
      </w:hyperlink>
      <w:r>
        <w:t xml:space="preserve"> для свай и ростверков. Минимальные расстояния между сваями в плане следует назначать согласно </w:t>
      </w:r>
      <w:hyperlink r:id="rId2623">
        <w:r>
          <w:rPr>
            <w:color w:val="0000FF"/>
          </w:rPr>
          <w:t>СП 24.13330</w:t>
        </w:r>
      </w:hyperlink>
      <w:r>
        <w:t xml:space="preserve"> и </w:t>
      </w:r>
      <w:hyperlink r:id="rId2624">
        <w:r>
          <w:rPr>
            <w:color w:val="0000FF"/>
          </w:rPr>
          <w:t>СП 25.13330</w:t>
        </w:r>
      </w:hyperlink>
      <w:r>
        <w:t>.</w:t>
      </w:r>
    </w:p>
    <w:p w:rsidR="00212513" w:rsidRDefault="00212513">
      <w:pPr>
        <w:pStyle w:val="ConsPlusNormal"/>
        <w:jc w:val="both"/>
      </w:pPr>
      <w:r>
        <w:t xml:space="preserve">(в ред. </w:t>
      </w:r>
      <w:hyperlink r:id="rId2625">
        <w:r>
          <w:rPr>
            <w:color w:val="0000FF"/>
          </w:rPr>
          <w:t>Изменения N 5</w:t>
        </w:r>
      </w:hyperlink>
      <w:r>
        <w:t>, утв. Приказом Минстроя России от 20.09.2024 N 636/пр)</w:t>
      </w:r>
    </w:p>
    <w:p w:rsidR="00212513" w:rsidRDefault="00212513">
      <w:pPr>
        <w:pStyle w:val="ConsPlusNormal"/>
        <w:spacing w:before="220"/>
        <w:ind w:firstLine="540"/>
        <w:jc w:val="both"/>
      </w:pPr>
      <w:r>
        <w:t xml:space="preserve">Глубина заложения фундаментов, вычисленная в соответствии с </w:t>
      </w:r>
      <w:hyperlink r:id="rId2626">
        <w:r>
          <w:rPr>
            <w:color w:val="0000FF"/>
          </w:rPr>
          <w:t>СП 22.13330</w:t>
        </w:r>
      </w:hyperlink>
      <w:r>
        <w:t>, должна быть не менее расчетной глубины промерзания грунта, все фундаменты (за исключением фундаментов или грунтовых подушек для звеньев средней части одноочковых труб отверстием до 2 м) следует заглублять не менее чем на 0,25 м ниже расчетной глубины промерзания грунта. При этом за расчетную глубину промерзания принимается ее нормативное значение.</w:t>
      </w:r>
    </w:p>
    <w:p w:rsidR="00212513" w:rsidRDefault="00212513">
      <w:pPr>
        <w:pStyle w:val="ConsPlusNormal"/>
        <w:jc w:val="both"/>
      </w:pPr>
      <w:r>
        <w:t xml:space="preserve">(абзац введен </w:t>
      </w:r>
      <w:hyperlink r:id="rId2627">
        <w:r>
          <w:rPr>
            <w:color w:val="0000FF"/>
          </w:rPr>
          <w:t>Изменением N 1</w:t>
        </w:r>
      </w:hyperlink>
      <w:r>
        <w:t>, утв. Приказом Минстроя России от 03.12.2016 N 879/пр)</w:t>
      </w:r>
    </w:p>
    <w:p w:rsidR="00212513" w:rsidRDefault="00212513">
      <w:pPr>
        <w:pStyle w:val="ConsPlusNormal"/>
        <w:spacing w:before="220"/>
        <w:ind w:firstLine="540"/>
        <w:jc w:val="both"/>
      </w:pPr>
      <w:r>
        <w:t xml:space="preserve">В случаях, когда глубина заложения фундаментов по требованиям </w:t>
      </w:r>
      <w:hyperlink r:id="rId2628">
        <w:r>
          <w:rPr>
            <w:color w:val="0000FF"/>
          </w:rPr>
          <w:t>СП 22.13330</w:t>
        </w:r>
      </w:hyperlink>
      <w:r>
        <w:t xml:space="preserve"> не зависит от расчетной глубины промерзания грунта, соответствующие грунты должны залегать не менее чем на 1 м ниже нормативной глубины промерзания грунта.</w:t>
      </w:r>
    </w:p>
    <w:p w:rsidR="00212513" w:rsidRDefault="00212513">
      <w:pPr>
        <w:pStyle w:val="ConsPlusNormal"/>
        <w:jc w:val="both"/>
      </w:pPr>
      <w:r>
        <w:t xml:space="preserve">(абзац введен </w:t>
      </w:r>
      <w:hyperlink r:id="rId2629">
        <w:r>
          <w:rPr>
            <w:color w:val="0000FF"/>
          </w:rPr>
          <w:t>Изменением N 1</w:t>
        </w:r>
      </w:hyperlink>
      <w:r>
        <w:t>, утв. Приказом Минстроя России от 03.12.2016 N 879/пр)</w:t>
      </w:r>
    </w:p>
    <w:p w:rsidR="00212513" w:rsidRDefault="00212513">
      <w:pPr>
        <w:pStyle w:val="ConsPlusNormal"/>
        <w:spacing w:before="220"/>
        <w:ind w:firstLine="540"/>
        <w:jc w:val="both"/>
      </w:pPr>
      <w:r>
        <w:t>Глубину заложения фундаментов и грунтовых подушек под звенья средней части труб диаметром 2 м и более следует назначать с учетом уменьшения глубины промерзания грунта в направлении к оси насыпи.</w:t>
      </w:r>
    </w:p>
    <w:p w:rsidR="00212513" w:rsidRDefault="00212513">
      <w:pPr>
        <w:pStyle w:val="ConsPlusNormal"/>
        <w:jc w:val="both"/>
      </w:pPr>
      <w:r>
        <w:t xml:space="preserve">(абзац введен </w:t>
      </w:r>
      <w:hyperlink r:id="rId2630">
        <w:r>
          <w:rPr>
            <w:color w:val="0000FF"/>
          </w:rPr>
          <w:t>Изменением N 1</w:t>
        </w:r>
      </w:hyperlink>
      <w:r>
        <w:t>, утв. Приказом Минстроя России от 03.12.2016 N 879/пр)</w:t>
      </w:r>
    </w:p>
    <w:p w:rsidR="00212513" w:rsidRDefault="00212513">
      <w:pPr>
        <w:pStyle w:val="ConsPlusNormal"/>
        <w:spacing w:before="220"/>
        <w:ind w:firstLine="540"/>
        <w:jc w:val="both"/>
      </w:pPr>
      <w:r>
        <w:t xml:space="preserve">В пределах водотоков фундаменты мостов должны быть заложены в грунт ниже уровня местного размыва, определяемого согласно указаниям </w:t>
      </w:r>
      <w:hyperlink w:anchor="P393">
        <w:r>
          <w:rPr>
            <w:color w:val="0000FF"/>
          </w:rPr>
          <w:t>5.25</w:t>
        </w:r>
      </w:hyperlink>
      <w:r>
        <w:t xml:space="preserve"> - </w:t>
      </w:r>
      <w:hyperlink w:anchor="P411">
        <w:r>
          <w:rPr>
            <w:color w:val="0000FF"/>
          </w:rPr>
          <w:t>5.30</w:t>
        </w:r>
      </w:hyperlink>
      <w:r>
        <w:t xml:space="preserve"> при расчетном и наибольшем расходах воды, на глубине, требуемой по расчету на действие соответственно расчетной (крайней) и эксплуатационной нагрузок.</w:t>
      </w:r>
    </w:p>
    <w:p w:rsidR="00212513" w:rsidRDefault="00212513">
      <w:pPr>
        <w:pStyle w:val="ConsPlusNormal"/>
        <w:spacing w:before="220"/>
        <w:ind w:firstLine="540"/>
        <w:jc w:val="both"/>
      </w:pPr>
      <w:r>
        <w:t xml:space="preserve">11.21 Размеры в плане ростверка свайных фундаментов следует принимать исходя из расстояний между осями свай по </w:t>
      </w:r>
      <w:hyperlink r:id="rId2631">
        <w:r>
          <w:rPr>
            <w:color w:val="0000FF"/>
          </w:rPr>
          <w:t>СП 24.13330</w:t>
        </w:r>
      </w:hyperlink>
      <w:r>
        <w:t>, а также минимального расстояния между вертикальными гранями ростверка и сваями - 25 см, при сваях диаметром свыше 2 м - 10 см.</w:t>
      </w:r>
    </w:p>
    <w:p w:rsidR="00212513" w:rsidRDefault="00212513">
      <w:pPr>
        <w:pStyle w:val="ConsPlusNormal"/>
        <w:jc w:val="both"/>
      </w:pPr>
      <w:r>
        <w:t xml:space="preserve">(в ред. </w:t>
      </w:r>
      <w:hyperlink r:id="rId2632">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Тампонажный слой бетона, уложенного подводным способом, запрещается использовать в качестве рабочей (несущей) части ростверка.</w:t>
      </w:r>
    </w:p>
    <w:p w:rsidR="00212513" w:rsidRDefault="00212513">
      <w:pPr>
        <w:pStyle w:val="ConsPlusNormal"/>
        <w:spacing w:before="220"/>
        <w:ind w:firstLine="540"/>
        <w:jc w:val="both"/>
      </w:pPr>
      <w:r>
        <w:lastRenderedPageBreak/>
        <w:t>11.22 Сваи должны быть заделаны в ростверк (выше слоя бетона, уложенного подводным способом) на длину, определяемую расчетом и принимаемую не менее половины периметра призматических свай, и 1,2 м - для свай диаметром 0,6 м и более.</w:t>
      </w:r>
    </w:p>
    <w:p w:rsidR="00212513" w:rsidRDefault="00212513">
      <w:pPr>
        <w:pStyle w:val="ConsPlusNormal"/>
        <w:spacing w:before="220"/>
        <w:ind w:firstLine="540"/>
        <w:jc w:val="both"/>
      </w:pPr>
      <w:r>
        <w:t>Допускается заделка свай в ростверке с помощью выпусков стержней продольной арматуры длиной, определяемой расчетом, но не менее 30 диаметров стержней при арматуре периодического профиля и 40 диаметров стержней при гладкой арматуре. При этом сваи должны быть заведены в ростверк не менее чем на 10 см.</w:t>
      </w:r>
    </w:p>
    <w:p w:rsidR="00212513" w:rsidRDefault="00212513">
      <w:pPr>
        <w:pStyle w:val="ConsPlusNormal"/>
        <w:spacing w:before="220"/>
        <w:ind w:firstLine="540"/>
        <w:jc w:val="both"/>
      </w:pPr>
      <w:r>
        <w:t xml:space="preserve">11.23 Железобетонный ростверк необходимо армировать по расчету согласно указаниям </w:t>
      </w:r>
      <w:hyperlink w:anchor="P1956">
        <w:r>
          <w:rPr>
            <w:color w:val="0000FF"/>
          </w:rPr>
          <w:t>раздела 7</w:t>
        </w:r>
      </w:hyperlink>
      <w:r>
        <w:t>.</w:t>
      </w:r>
    </w:p>
    <w:p w:rsidR="00212513" w:rsidRDefault="00212513">
      <w:pPr>
        <w:pStyle w:val="ConsPlusNormal"/>
        <w:spacing w:before="220"/>
        <w:ind w:firstLine="540"/>
        <w:jc w:val="both"/>
      </w:pPr>
      <w:r>
        <w:t>Бетонный ростверк следует армировать конструктивно в его нижней части (в промежутках между сваями). Площадь поперечного сечения стержней арматуры вдоль и поперек оси моста необходимо принимать не менее 10 см</w:t>
      </w:r>
      <w:r>
        <w:rPr>
          <w:vertAlign w:val="superscript"/>
        </w:rPr>
        <w:t>2</w:t>
      </w:r>
      <w:r>
        <w:t xml:space="preserve"> на 1 м ростверка.</w:t>
      </w:r>
    </w:p>
    <w:p w:rsidR="00212513" w:rsidRDefault="00212513">
      <w:pPr>
        <w:pStyle w:val="ConsPlusNormal"/>
        <w:spacing w:before="220"/>
        <w:ind w:firstLine="540"/>
        <w:jc w:val="both"/>
      </w:pPr>
      <w:r>
        <w:t>11.24 Прочность раствора, применяемого для заделки свай или свай-столбов в скважинах, пробуренных в скальных грунтах, должна быть не ниже 9,8 МПа, в остальных грунтах - не ниже 4,9 МПа.</w:t>
      </w:r>
    </w:p>
    <w:p w:rsidR="00212513" w:rsidRDefault="00212513">
      <w:pPr>
        <w:pStyle w:val="ConsPlusNormal"/>
        <w:spacing w:before="220"/>
        <w:ind w:firstLine="540"/>
        <w:jc w:val="both"/>
      </w:pPr>
      <w:r>
        <w:t>11.25 На обрезе фундамента при его расположении в пределах колебаний уровней воды и льда следует предусматривать устройство фаски размером не менее 0,3 x 0,3 м, а фундаменту придавать обтекаемую форму.</w:t>
      </w:r>
    </w:p>
    <w:p w:rsidR="00212513" w:rsidRDefault="00212513">
      <w:pPr>
        <w:pStyle w:val="ConsPlusNormal"/>
        <w:spacing w:before="220"/>
        <w:ind w:firstLine="540"/>
        <w:jc w:val="both"/>
      </w:pPr>
      <w:r>
        <w:t>11.26 При необходимости устройства уступов фундамента размеры их должны быть обоснованы расчетом, а поверхности, соединяющие внутренние ребра уступов бетонного фундамента, не должны отклоняться от вертикали на угол свыше 30°.</w:t>
      </w:r>
    </w:p>
    <w:p w:rsidR="00212513" w:rsidRDefault="00212513">
      <w:pPr>
        <w:pStyle w:val="ConsPlusNormal"/>
        <w:spacing w:before="220"/>
        <w:ind w:firstLine="540"/>
        <w:jc w:val="both"/>
      </w:pPr>
      <w:r>
        <w:t>Наклон к вертикали боковых граней опускного колодца (или отношение суммарной ширины уступов колодца к глубине заложения), как правило, не должен превышать 1:20. Наклон более указанного допускается при условии принятия мер, обеспечивающих погружение колодцев с заданной точностью.</w:t>
      </w:r>
    </w:p>
    <w:p w:rsidR="00212513" w:rsidRDefault="00212513">
      <w:pPr>
        <w:pStyle w:val="ConsPlusNormal"/>
        <w:spacing w:before="220"/>
        <w:ind w:firstLine="540"/>
        <w:jc w:val="both"/>
      </w:pPr>
      <w:r>
        <w:t>11.27 Фундаменты или грунтовые подушки звеньев средней части одноочковых труб отверстием до 2 м допускается закладывать без учета глубины промерзания грунта.</w:t>
      </w:r>
    </w:p>
    <w:p w:rsidR="00212513" w:rsidRDefault="00212513">
      <w:pPr>
        <w:pStyle w:val="ConsPlusNormal"/>
        <w:jc w:val="both"/>
      </w:pPr>
      <w:r>
        <w:t xml:space="preserve">(п. 11.27 введен </w:t>
      </w:r>
      <w:hyperlink r:id="rId2633">
        <w:r>
          <w:rPr>
            <w:color w:val="0000FF"/>
          </w:rPr>
          <w:t>Изменением N 1</w:t>
        </w:r>
      </w:hyperlink>
      <w:r>
        <w:t>, утв. Приказом Минстроя России от 03.12.2016 N 879/пр)</w:t>
      </w:r>
    </w:p>
    <w:p w:rsidR="00212513" w:rsidRDefault="00212513">
      <w:pPr>
        <w:pStyle w:val="ConsPlusNormal"/>
        <w:jc w:val="both"/>
      </w:pPr>
    </w:p>
    <w:p w:rsidR="00212513" w:rsidRDefault="00212513">
      <w:pPr>
        <w:pStyle w:val="ConsPlusTitle"/>
        <w:ind w:firstLine="540"/>
        <w:jc w:val="both"/>
        <w:outlineLvl w:val="1"/>
      </w:pPr>
      <w:r>
        <w:t>12 Конструкции из полимерных композитов</w:t>
      </w:r>
    </w:p>
    <w:p w:rsidR="00212513" w:rsidRDefault="00212513">
      <w:pPr>
        <w:pStyle w:val="ConsPlusNormal"/>
        <w:jc w:val="both"/>
      </w:pPr>
      <w:r>
        <w:t xml:space="preserve">(раздел 12 введен </w:t>
      </w:r>
      <w:hyperlink r:id="rId2634">
        <w:r>
          <w:rPr>
            <w:color w:val="0000FF"/>
          </w:rPr>
          <w:t>Изменением N 2</w:t>
        </w:r>
      </w:hyperlink>
      <w:r>
        <w:t>, утв. Приказом Минстроя России от 11.11.2019 N 681/пр)</w:t>
      </w:r>
    </w:p>
    <w:p w:rsidR="00212513" w:rsidRDefault="00212513">
      <w:pPr>
        <w:pStyle w:val="ConsPlusNormal"/>
        <w:ind w:firstLine="540"/>
        <w:jc w:val="both"/>
      </w:pPr>
    </w:p>
    <w:p w:rsidR="00212513" w:rsidRDefault="00212513">
      <w:pPr>
        <w:pStyle w:val="ConsPlusTitle"/>
        <w:ind w:firstLine="540"/>
        <w:jc w:val="both"/>
        <w:outlineLvl w:val="2"/>
      </w:pPr>
      <w:r>
        <w:t>Общие положения</w:t>
      </w:r>
    </w:p>
    <w:p w:rsidR="00212513" w:rsidRDefault="00212513">
      <w:pPr>
        <w:pStyle w:val="ConsPlusNormal"/>
        <w:ind w:firstLine="540"/>
        <w:jc w:val="both"/>
      </w:pPr>
    </w:p>
    <w:p w:rsidR="00212513" w:rsidRDefault="00212513">
      <w:pPr>
        <w:pStyle w:val="ConsPlusNormal"/>
        <w:ind w:firstLine="540"/>
        <w:jc w:val="both"/>
      </w:pPr>
      <w:r>
        <w:t xml:space="preserve">12.1 Конструктивные элементы из полимерных композитов для мостовых сооружений (далее - конструктивные элементы из полимерных композитов), изготовляемые методом инфузии (вакуумной инфузии), должны соответствовать </w:t>
      </w:r>
      <w:hyperlink r:id="rId2635">
        <w:r>
          <w:rPr>
            <w:color w:val="0000FF"/>
          </w:rPr>
          <w:t>ГОСТ Р 54928</w:t>
        </w:r>
      </w:hyperlink>
      <w:r>
        <w:t xml:space="preserve"> и </w:t>
      </w:r>
      <w:hyperlink r:id="rId2636">
        <w:r>
          <w:rPr>
            <w:color w:val="0000FF"/>
          </w:rPr>
          <w:t>ГОСТ 33119</w:t>
        </w:r>
      </w:hyperlink>
      <w:r>
        <w:t xml:space="preserve">, а изготовляемые из полимерных композитных пултрузионных профилей (методом пултрузии) - </w:t>
      </w:r>
      <w:hyperlink r:id="rId2637">
        <w:r>
          <w:rPr>
            <w:color w:val="0000FF"/>
          </w:rPr>
          <w:t>ГОСТ 33119</w:t>
        </w:r>
      </w:hyperlink>
      <w:r>
        <w:t>.</w:t>
      </w:r>
    </w:p>
    <w:p w:rsidR="00212513" w:rsidRDefault="00212513">
      <w:pPr>
        <w:pStyle w:val="ConsPlusNormal"/>
        <w:spacing w:before="220"/>
        <w:ind w:firstLine="540"/>
        <w:jc w:val="both"/>
      </w:pPr>
      <w:r>
        <w:t xml:space="preserve">Секции настилов и настилы из полимерных композитов должны соответствовать </w:t>
      </w:r>
      <w:hyperlink r:id="rId2638">
        <w:r>
          <w:rPr>
            <w:color w:val="0000FF"/>
          </w:rPr>
          <w:t>ГОСТ 33376</w:t>
        </w:r>
      </w:hyperlink>
      <w:r>
        <w:t>.</w:t>
      </w:r>
    </w:p>
    <w:p w:rsidR="00212513" w:rsidRDefault="00212513">
      <w:pPr>
        <w:pStyle w:val="ConsPlusNormal"/>
        <w:spacing w:before="220"/>
        <w:ind w:firstLine="540"/>
        <w:jc w:val="both"/>
      </w:pPr>
      <w:r>
        <w:t xml:space="preserve">Водопропускные трубы из полимерных композитов должны соответствовать требованиям </w:t>
      </w:r>
      <w:hyperlink r:id="rId2639">
        <w:r>
          <w:rPr>
            <w:color w:val="0000FF"/>
          </w:rPr>
          <w:t>ГОСТ 33123</w:t>
        </w:r>
      </w:hyperlink>
      <w:r>
        <w:t xml:space="preserve"> или </w:t>
      </w:r>
      <w:hyperlink r:id="rId2640">
        <w:r>
          <w:rPr>
            <w:color w:val="0000FF"/>
          </w:rPr>
          <w:t>ГОСТ 32871</w:t>
        </w:r>
      </w:hyperlink>
      <w:r>
        <w:t>.</w:t>
      </w:r>
    </w:p>
    <w:p w:rsidR="00212513" w:rsidRDefault="00212513">
      <w:pPr>
        <w:pStyle w:val="ConsPlusNormal"/>
        <w:jc w:val="both"/>
      </w:pPr>
      <w:r>
        <w:t xml:space="preserve">(в ред. </w:t>
      </w:r>
      <w:hyperlink r:id="rId2641">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 xml:space="preserve">12.2 Конструктивные элементы из полимерных композитов должны быть пригодны для эксплуатации в условиях расчетных температур воздуха, определяемых по </w:t>
      </w:r>
      <w:hyperlink r:id="rId2642">
        <w:r>
          <w:rPr>
            <w:color w:val="0000FF"/>
          </w:rPr>
          <w:t>СП 131.13330</w:t>
        </w:r>
      </w:hyperlink>
      <w:r>
        <w:t xml:space="preserve"> в холодный (для наиболее холодной пятидневки) и в теплый период года с обеспеченностью 0,98 </w:t>
      </w:r>
      <w:r>
        <w:lastRenderedPageBreak/>
        <w:t>при температуре до плюс 60 °C, а также в географических районах с сейсмичностью до 9 баллов.</w:t>
      </w:r>
    </w:p>
    <w:p w:rsidR="00212513" w:rsidRDefault="00212513">
      <w:pPr>
        <w:pStyle w:val="ConsPlusNormal"/>
        <w:ind w:firstLine="540"/>
        <w:jc w:val="both"/>
      </w:pPr>
    </w:p>
    <w:p w:rsidR="00212513" w:rsidRDefault="00212513">
      <w:pPr>
        <w:pStyle w:val="ConsPlusTitle"/>
        <w:ind w:firstLine="540"/>
        <w:jc w:val="both"/>
        <w:outlineLvl w:val="2"/>
      </w:pPr>
      <w:r>
        <w:t>Материалы</w:t>
      </w:r>
    </w:p>
    <w:p w:rsidR="00212513" w:rsidRDefault="00212513">
      <w:pPr>
        <w:pStyle w:val="ConsPlusNormal"/>
        <w:ind w:firstLine="540"/>
        <w:jc w:val="both"/>
      </w:pPr>
    </w:p>
    <w:p w:rsidR="00212513" w:rsidRDefault="00212513">
      <w:pPr>
        <w:pStyle w:val="ConsPlusNormal"/>
        <w:ind w:firstLine="540"/>
        <w:jc w:val="both"/>
      </w:pPr>
      <w:r>
        <w:t>12.3 Конструктивные элементы из полимерных композитов должны изготовляться с применением термореактивных смол, содержащих армирующие наполнители из стекловолокна, базальтоволокна, углеволокна или их различных комбинаций.</w:t>
      </w:r>
    </w:p>
    <w:p w:rsidR="00212513" w:rsidRDefault="00212513">
      <w:pPr>
        <w:pStyle w:val="ConsPlusNormal"/>
        <w:spacing w:before="220"/>
        <w:ind w:firstLine="540"/>
        <w:jc w:val="both"/>
      </w:pPr>
      <w:r>
        <w:t xml:space="preserve">Допускается применение конструктивных элементов по </w:t>
      </w:r>
      <w:hyperlink r:id="rId2643">
        <w:r>
          <w:rPr>
            <w:color w:val="0000FF"/>
          </w:rPr>
          <w:t>ГОСТ Р 54928</w:t>
        </w:r>
      </w:hyperlink>
      <w:r>
        <w:t xml:space="preserve">, </w:t>
      </w:r>
      <w:hyperlink r:id="rId2644">
        <w:r>
          <w:rPr>
            <w:color w:val="0000FF"/>
          </w:rPr>
          <w:t>ГОСТ 33119</w:t>
        </w:r>
      </w:hyperlink>
      <w:r>
        <w:t xml:space="preserve">, </w:t>
      </w:r>
      <w:hyperlink r:id="rId2645">
        <w:r>
          <w:rPr>
            <w:color w:val="0000FF"/>
          </w:rPr>
          <w:t>ГОСТ 33376</w:t>
        </w:r>
      </w:hyperlink>
      <w:r>
        <w:t xml:space="preserve"> из полимерных композитов, армированных волокнами из сверхвысокомолекулярного полиэтилена.</w:t>
      </w:r>
    </w:p>
    <w:p w:rsidR="00212513" w:rsidRDefault="00212513">
      <w:pPr>
        <w:pStyle w:val="ConsPlusNormal"/>
        <w:jc w:val="both"/>
      </w:pPr>
      <w:r>
        <w:t xml:space="preserve">(п. 12.3 в ред. </w:t>
      </w:r>
      <w:hyperlink r:id="rId2646">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12.4 Материалы и изделия для изготовления конструктивных элементов из полимерных композитов должны соответствовать требованиям:</w:t>
      </w:r>
    </w:p>
    <w:p w:rsidR="00212513" w:rsidRDefault="00212513">
      <w:pPr>
        <w:pStyle w:val="ConsPlusNormal"/>
        <w:jc w:val="both"/>
      </w:pPr>
      <w:r>
        <w:t xml:space="preserve">(в ред. </w:t>
      </w:r>
      <w:hyperlink r:id="rId2647">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 xml:space="preserve">- </w:t>
      </w:r>
      <w:hyperlink r:id="rId2648">
        <w:r>
          <w:rPr>
            <w:color w:val="0000FF"/>
          </w:rPr>
          <w:t>ГОСТ Р 54928</w:t>
        </w:r>
      </w:hyperlink>
      <w:r>
        <w:t xml:space="preserve"> и </w:t>
      </w:r>
      <w:hyperlink r:id="rId2649">
        <w:r>
          <w:rPr>
            <w:color w:val="0000FF"/>
          </w:rPr>
          <w:t>ГОСТ 33119</w:t>
        </w:r>
      </w:hyperlink>
      <w:r>
        <w:t xml:space="preserve"> - для пролетных строений и других несущих конструкций;</w:t>
      </w:r>
    </w:p>
    <w:p w:rsidR="00212513" w:rsidRDefault="00212513">
      <w:pPr>
        <w:pStyle w:val="ConsPlusNormal"/>
        <w:spacing w:before="220"/>
        <w:ind w:firstLine="540"/>
        <w:jc w:val="both"/>
      </w:pPr>
      <w:r>
        <w:t xml:space="preserve">- </w:t>
      </w:r>
      <w:hyperlink r:id="rId2650">
        <w:r>
          <w:rPr>
            <w:color w:val="0000FF"/>
          </w:rPr>
          <w:t>ГОСТ 33376</w:t>
        </w:r>
      </w:hyperlink>
      <w:r>
        <w:t xml:space="preserve"> - для настилов пролетных строений;</w:t>
      </w:r>
    </w:p>
    <w:p w:rsidR="00212513" w:rsidRDefault="00212513">
      <w:pPr>
        <w:pStyle w:val="ConsPlusNormal"/>
        <w:spacing w:before="220"/>
        <w:ind w:firstLine="540"/>
        <w:jc w:val="both"/>
      </w:pPr>
      <w:r>
        <w:t xml:space="preserve">- </w:t>
      </w:r>
      <w:hyperlink r:id="rId2651">
        <w:r>
          <w:rPr>
            <w:color w:val="0000FF"/>
          </w:rPr>
          <w:t>ГОСТ 33123</w:t>
        </w:r>
      </w:hyperlink>
      <w:r>
        <w:t xml:space="preserve"> или </w:t>
      </w:r>
      <w:hyperlink r:id="rId2652">
        <w:r>
          <w:rPr>
            <w:color w:val="0000FF"/>
          </w:rPr>
          <w:t>ГОСТ 32871</w:t>
        </w:r>
      </w:hyperlink>
      <w:r>
        <w:t xml:space="preserve"> - для водопропускных труб;</w:t>
      </w:r>
    </w:p>
    <w:p w:rsidR="00212513" w:rsidRDefault="00212513">
      <w:pPr>
        <w:pStyle w:val="ConsPlusNormal"/>
        <w:jc w:val="both"/>
      </w:pPr>
      <w:r>
        <w:t xml:space="preserve">(в ред. </w:t>
      </w:r>
      <w:hyperlink r:id="rId2653">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 xml:space="preserve">- </w:t>
      </w:r>
      <w:hyperlink r:id="rId2654">
        <w:r>
          <w:rPr>
            <w:color w:val="0000FF"/>
          </w:rPr>
          <w:t>ГОСТ 33344</w:t>
        </w:r>
      </w:hyperlink>
      <w:r>
        <w:t xml:space="preserve"> - для пултрузионных профилей;</w:t>
      </w:r>
    </w:p>
    <w:p w:rsidR="00212513" w:rsidRDefault="00212513">
      <w:pPr>
        <w:pStyle w:val="ConsPlusNormal"/>
        <w:spacing w:before="220"/>
        <w:ind w:firstLine="540"/>
        <w:jc w:val="both"/>
      </w:pPr>
      <w:r>
        <w:t xml:space="preserve">- </w:t>
      </w:r>
      <w:hyperlink r:id="rId2655">
        <w:r>
          <w:rPr>
            <w:color w:val="0000FF"/>
          </w:rPr>
          <w:t>ГОСТ 33119</w:t>
        </w:r>
      </w:hyperlink>
      <w:r>
        <w:t xml:space="preserve"> - для прочих конструктивных элементов.</w:t>
      </w:r>
    </w:p>
    <w:p w:rsidR="00212513" w:rsidRDefault="00212513">
      <w:pPr>
        <w:pStyle w:val="ConsPlusNormal"/>
        <w:ind w:firstLine="540"/>
        <w:jc w:val="both"/>
      </w:pPr>
    </w:p>
    <w:p w:rsidR="00212513" w:rsidRDefault="00212513">
      <w:pPr>
        <w:pStyle w:val="ConsPlusTitle"/>
        <w:ind w:firstLine="540"/>
        <w:jc w:val="both"/>
        <w:outlineLvl w:val="2"/>
      </w:pPr>
      <w:r>
        <w:t>Расчетные характеристики полимерных композитов</w:t>
      </w:r>
    </w:p>
    <w:p w:rsidR="00212513" w:rsidRDefault="00212513">
      <w:pPr>
        <w:pStyle w:val="ConsPlusNormal"/>
        <w:ind w:firstLine="540"/>
        <w:jc w:val="both"/>
      </w:pPr>
    </w:p>
    <w:p w:rsidR="00212513" w:rsidRDefault="00212513">
      <w:pPr>
        <w:pStyle w:val="ConsPlusNormal"/>
        <w:ind w:firstLine="540"/>
        <w:jc w:val="both"/>
      </w:pPr>
      <w:r>
        <w:t xml:space="preserve">12.5 Значения расчетных сопротивлений или деформационных характеристик полимерного композита конструктивных элементов </w:t>
      </w:r>
      <w:r>
        <w:rPr>
          <w:i/>
        </w:rPr>
        <w:t>R</w:t>
      </w:r>
      <w:r>
        <w:t>, МПа, вычисляют по формуле</w:t>
      </w:r>
    </w:p>
    <w:p w:rsidR="00212513" w:rsidRDefault="00212513">
      <w:pPr>
        <w:pStyle w:val="ConsPlusNormal"/>
        <w:jc w:val="both"/>
      </w:pPr>
    </w:p>
    <w:p w:rsidR="00212513" w:rsidRDefault="00212513">
      <w:pPr>
        <w:pStyle w:val="ConsPlusNormal"/>
        <w:jc w:val="center"/>
      </w:pPr>
      <w:r>
        <w:rPr>
          <w:noProof/>
          <w:position w:val="-29"/>
        </w:rPr>
        <w:drawing>
          <wp:inline distT="0" distB="0" distL="0" distR="0">
            <wp:extent cx="1163320" cy="513715"/>
            <wp:effectExtent l="0" t="0" r="0" b="0"/>
            <wp:docPr id="20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6" cstate="print">
                      <a:extLst>
                        <a:ext uri="{28A0092B-C50C-407E-A947-70E740481C1C}">
                          <a14:useLocalDpi xmlns:a14="http://schemas.microsoft.com/office/drawing/2010/main" val="0"/>
                        </a:ext>
                      </a:extLst>
                    </a:blip>
                    <a:srcRect/>
                    <a:stretch>
                      <a:fillRect/>
                    </a:stretch>
                  </pic:blipFill>
                  <pic:spPr bwMode="auto">
                    <a:xfrm>
                      <a:off x="0" y="0"/>
                      <a:ext cx="1163320" cy="513715"/>
                    </a:xfrm>
                    <a:prstGeom prst="rect">
                      <a:avLst/>
                    </a:prstGeom>
                    <a:noFill/>
                    <a:ln>
                      <a:noFill/>
                    </a:ln>
                  </pic:spPr>
                </pic:pic>
              </a:graphicData>
            </a:graphic>
          </wp:inline>
        </w:drawing>
      </w:r>
      <w:r>
        <w:t xml:space="preserve"> (12.1)</w:t>
      </w:r>
    </w:p>
    <w:p w:rsidR="00212513" w:rsidRDefault="00212513">
      <w:pPr>
        <w:pStyle w:val="ConsPlusNormal"/>
        <w:jc w:val="both"/>
      </w:pPr>
    </w:p>
    <w:p w:rsidR="00212513" w:rsidRDefault="00212513">
      <w:pPr>
        <w:pStyle w:val="ConsPlusNormal"/>
        <w:ind w:firstLine="540"/>
        <w:jc w:val="both"/>
      </w:pPr>
      <w:r>
        <w:t xml:space="preserve">где </w:t>
      </w:r>
      <w:r>
        <w:rPr>
          <w:i/>
        </w:rPr>
        <w:t>R</w:t>
      </w:r>
      <w:r>
        <w:rPr>
          <w:vertAlign w:val="subscript"/>
        </w:rPr>
        <w:t>ср</w:t>
      </w:r>
      <w:r>
        <w:t xml:space="preserve"> - средние значения сопротивлений или деформационных характеристик полимерного композита, МПа;</w:t>
      </w:r>
    </w:p>
    <w:p w:rsidR="00212513" w:rsidRDefault="00212513">
      <w:pPr>
        <w:pStyle w:val="ConsPlusNormal"/>
        <w:spacing w:before="220"/>
        <w:ind w:firstLine="540"/>
        <w:jc w:val="both"/>
      </w:pPr>
      <w:r>
        <w:rPr>
          <w:noProof/>
          <w:position w:val="-11"/>
        </w:rPr>
        <w:drawing>
          <wp:inline distT="0" distB="0" distL="0" distR="0">
            <wp:extent cx="796290" cy="285750"/>
            <wp:effectExtent l="0" t="0" r="0" b="0"/>
            <wp:docPr id="20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7" cstate="print">
                      <a:extLst>
                        <a:ext uri="{28A0092B-C50C-407E-A947-70E740481C1C}">
                          <a14:useLocalDpi xmlns:a14="http://schemas.microsoft.com/office/drawing/2010/main" val="0"/>
                        </a:ext>
                      </a:extLst>
                    </a:blip>
                    <a:srcRect/>
                    <a:stretch>
                      <a:fillRect/>
                    </a:stretch>
                  </pic:blipFill>
                  <pic:spPr bwMode="auto">
                    <a:xfrm>
                      <a:off x="0" y="0"/>
                      <a:ext cx="796290" cy="285750"/>
                    </a:xfrm>
                    <a:prstGeom prst="rect">
                      <a:avLst/>
                    </a:prstGeom>
                    <a:noFill/>
                    <a:ln>
                      <a:noFill/>
                    </a:ln>
                  </pic:spPr>
                </pic:pic>
              </a:graphicData>
            </a:graphic>
          </wp:inline>
        </w:drawing>
      </w:r>
      <w:r>
        <w:t xml:space="preserve"> - нормативные значения сопротивлений или деформационных характеристик полимерного композита, МПа. Нормативные значения сопротивлений полимерного композита принимают с обеспеченностью 0,98. Для конструктивных элементов из полимерных композитов нормативные значения деформационных характеристик полимерного композита принимают равными их средним значениям;</w:t>
      </w:r>
    </w:p>
    <w:p w:rsidR="00212513" w:rsidRDefault="00212513">
      <w:pPr>
        <w:pStyle w:val="ConsPlusNormal"/>
        <w:spacing w:before="220"/>
        <w:ind w:firstLine="540"/>
        <w:jc w:val="both"/>
      </w:pPr>
      <w:r>
        <w:rPr>
          <w:noProof/>
          <w:position w:val="-1"/>
        </w:rPr>
        <w:drawing>
          <wp:inline distT="0" distB="0" distL="0" distR="0">
            <wp:extent cx="133350" cy="158750"/>
            <wp:effectExtent l="0" t="0" r="0" b="0"/>
            <wp:docPr id="20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8" cstate="print">
                      <a:extLst>
                        <a:ext uri="{28A0092B-C50C-407E-A947-70E740481C1C}">
                          <a14:useLocalDpi xmlns:a14="http://schemas.microsoft.com/office/drawing/2010/main" val="0"/>
                        </a:ext>
                      </a:extLst>
                    </a:blip>
                    <a:srcRect/>
                    <a:stretch>
                      <a:fillRect/>
                    </a:stretch>
                  </pic:blipFill>
                  <pic:spPr bwMode="auto">
                    <a:xfrm>
                      <a:off x="0" y="0"/>
                      <a:ext cx="133350" cy="158750"/>
                    </a:xfrm>
                    <a:prstGeom prst="rect">
                      <a:avLst/>
                    </a:prstGeom>
                    <a:noFill/>
                    <a:ln>
                      <a:noFill/>
                    </a:ln>
                  </pic:spPr>
                </pic:pic>
              </a:graphicData>
            </a:graphic>
          </wp:inline>
        </w:drawing>
      </w:r>
      <w:r>
        <w:t xml:space="preserve"> - коэффициент вариации (в долях единицы), характеризующий экспериментальный разброс свойств. При отсутствии экспериментальных данных допускается принимать не менее 0,13;</w:t>
      </w:r>
    </w:p>
    <w:p w:rsidR="00212513" w:rsidRDefault="00212513">
      <w:pPr>
        <w:pStyle w:val="ConsPlusNormal"/>
        <w:spacing w:before="220"/>
        <w:ind w:firstLine="540"/>
        <w:jc w:val="both"/>
      </w:pPr>
      <w:r>
        <w:rPr>
          <w:noProof/>
          <w:position w:val="-8"/>
        </w:rPr>
        <w:drawing>
          <wp:inline distT="0" distB="0" distL="0" distR="0">
            <wp:extent cx="209550" cy="251460"/>
            <wp:effectExtent l="0" t="0" r="0" b="0"/>
            <wp:docPr id="20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 надежности по материалу, учитывающий неопределенность свойств полимерного композита, связанную с методом изготовления и возможным несоответствием свойств полимерного композита в конструктивных элементах свойствам, полученным при испытаниях образцов. Принимается по </w:t>
      </w:r>
      <w:hyperlink r:id="rId2660">
        <w:r>
          <w:rPr>
            <w:color w:val="0000FF"/>
          </w:rPr>
          <w:t>ГОСТ Р 54928</w:t>
        </w:r>
      </w:hyperlink>
      <w:r>
        <w:t>;</w:t>
      </w:r>
    </w:p>
    <w:p w:rsidR="00212513" w:rsidRDefault="00212513">
      <w:pPr>
        <w:pStyle w:val="ConsPlusNormal"/>
        <w:spacing w:before="220"/>
        <w:ind w:firstLine="540"/>
        <w:jc w:val="both"/>
      </w:pPr>
      <w:r>
        <w:rPr>
          <w:noProof/>
          <w:position w:val="-8"/>
        </w:rPr>
        <w:lastRenderedPageBreak/>
        <w:drawing>
          <wp:inline distT="0" distB="0" distL="0" distR="0">
            <wp:extent cx="176530" cy="251460"/>
            <wp:effectExtent l="0" t="0" r="0" b="0"/>
            <wp:docPr id="20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1" cstate="print">
                      <a:extLst>
                        <a:ext uri="{28A0092B-C50C-407E-A947-70E740481C1C}">
                          <a14:useLocalDpi xmlns:a14="http://schemas.microsoft.com/office/drawing/2010/main" val="0"/>
                        </a:ext>
                      </a:extLst>
                    </a:blip>
                    <a:srcRect/>
                    <a:stretch>
                      <a:fillRect/>
                    </a:stretch>
                  </pic:blipFill>
                  <pic:spPr bwMode="auto">
                    <a:xfrm>
                      <a:off x="0" y="0"/>
                      <a:ext cx="176530" cy="251460"/>
                    </a:xfrm>
                    <a:prstGeom prst="rect">
                      <a:avLst/>
                    </a:prstGeom>
                    <a:noFill/>
                    <a:ln>
                      <a:noFill/>
                    </a:ln>
                  </pic:spPr>
                </pic:pic>
              </a:graphicData>
            </a:graphic>
          </wp:inline>
        </w:drawing>
      </w:r>
      <w:r>
        <w:t xml:space="preserve"> - обобщенный коэффициент (коэффициент пересчета), учитывающий снижение физико-механических характеристик полимерного композита в процессе эксплуатации конструктивных элементов путем применения частных (поправочных) коэффициентов </w:t>
      </w:r>
      <w:r>
        <w:rPr>
          <w:i/>
        </w:rPr>
        <w:t>K</w:t>
      </w:r>
      <w:r>
        <w:rPr>
          <w:i/>
          <w:vertAlign w:val="subscript"/>
        </w:rPr>
        <w:t>i</w:t>
      </w:r>
      <w:r>
        <w:rPr>
          <w:i/>
        </w:rPr>
        <w:t>.</w:t>
      </w:r>
    </w:p>
    <w:p w:rsidR="00212513" w:rsidRDefault="00212513">
      <w:pPr>
        <w:pStyle w:val="ConsPlusNormal"/>
        <w:spacing w:before="220"/>
        <w:ind w:firstLine="540"/>
        <w:jc w:val="both"/>
      </w:pPr>
      <w:r>
        <w:t xml:space="preserve">Обобщенный коэффициент (коэффициент пересчета), учитывающий снижение физико-механических характеристик полимерного композита в процессе эксплуатации конструктивных элементов </w:t>
      </w:r>
      <w:r>
        <w:rPr>
          <w:noProof/>
          <w:position w:val="-8"/>
        </w:rPr>
        <w:drawing>
          <wp:inline distT="0" distB="0" distL="0" distR="0">
            <wp:extent cx="176530" cy="251460"/>
            <wp:effectExtent l="0" t="0" r="0" b="0"/>
            <wp:docPr id="20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1" cstate="print">
                      <a:extLst>
                        <a:ext uri="{28A0092B-C50C-407E-A947-70E740481C1C}">
                          <a14:useLocalDpi xmlns:a14="http://schemas.microsoft.com/office/drawing/2010/main" val="0"/>
                        </a:ext>
                      </a:extLst>
                    </a:blip>
                    <a:srcRect/>
                    <a:stretch>
                      <a:fillRect/>
                    </a:stretch>
                  </pic:blipFill>
                  <pic:spPr bwMode="auto">
                    <a:xfrm>
                      <a:off x="0" y="0"/>
                      <a:ext cx="176530" cy="251460"/>
                    </a:xfrm>
                    <a:prstGeom prst="rect">
                      <a:avLst/>
                    </a:prstGeom>
                    <a:noFill/>
                    <a:ln>
                      <a:noFill/>
                    </a:ln>
                  </pic:spPr>
                </pic:pic>
              </a:graphicData>
            </a:graphic>
          </wp:inline>
        </w:drawing>
      </w:r>
      <w:r>
        <w:t xml:space="preserve"> вычисляют по формуле</w:t>
      </w:r>
    </w:p>
    <w:p w:rsidR="00212513" w:rsidRDefault="00212513">
      <w:pPr>
        <w:pStyle w:val="ConsPlusNormal"/>
        <w:jc w:val="both"/>
      </w:pPr>
    </w:p>
    <w:p w:rsidR="00212513" w:rsidRDefault="00212513">
      <w:pPr>
        <w:pStyle w:val="ConsPlusNormal"/>
        <w:jc w:val="center"/>
      </w:pPr>
      <w:r>
        <w:rPr>
          <w:noProof/>
          <w:position w:val="-8"/>
        </w:rPr>
        <w:drawing>
          <wp:inline distT="0" distB="0" distL="0" distR="0">
            <wp:extent cx="1477645" cy="251460"/>
            <wp:effectExtent l="0" t="0" r="0" b="0"/>
            <wp:docPr id="20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2" cstate="print">
                      <a:extLst>
                        <a:ext uri="{28A0092B-C50C-407E-A947-70E740481C1C}">
                          <a14:useLocalDpi xmlns:a14="http://schemas.microsoft.com/office/drawing/2010/main" val="0"/>
                        </a:ext>
                      </a:extLst>
                    </a:blip>
                    <a:srcRect/>
                    <a:stretch>
                      <a:fillRect/>
                    </a:stretch>
                  </pic:blipFill>
                  <pic:spPr bwMode="auto">
                    <a:xfrm>
                      <a:off x="0" y="0"/>
                      <a:ext cx="1477645" cy="251460"/>
                    </a:xfrm>
                    <a:prstGeom prst="rect">
                      <a:avLst/>
                    </a:prstGeom>
                    <a:noFill/>
                    <a:ln>
                      <a:noFill/>
                    </a:ln>
                  </pic:spPr>
                </pic:pic>
              </a:graphicData>
            </a:graphic>
          </wp:inline>
        </w:drawing>
      </w:r>
      <w:r>
        <w:t xml:space="preserve"> (12.2)</w:t>
      </w:r>
    </w:p>
    <w:p w:rsidR="00212513" w:rsidRDefault="00212513">
      <w:pPr>
        <w:pStyle w:val="ConsPlusNormal"/>
        <w:jc w:val="both"/>
      </w:pPr>
    </w:p>
    <w:p w:rsidR="00212513" w:rsidRDefault="00212513">
      <w:pPr>
        <w:pStyle w:val="ConsPlusNormal"/>
        <w:ind w:firstLine="540"/>
        <w:jc w:val="both"/>
      </w:pPr>
      <w:r>
        <w:t xml:space="preserve">где </w:t>
      </w:r>
      <w:r>
        <w:rPr>
          <w:i/>
        </w:rPr>
        <w:t>K</w:t>
      </w:r>
      <w:r>
        <w:rPr>
          <w:vertAlign w:val="subscript"/>
        </w:rPr>
        <w:t>1</w:t>
      </w:r>
      <w:r>
        <w:t xml:space="preserve"> </w:t>
      </w:r>
      <w:r>
        <w:rPr>
          <w:i/>
        </w:rPr>
        <w:t>-</w:t>
      </w:r>
      <w:r>
        <w:t xml:space="preserve"> коэффициент, учитывающий влияние температуры;</w:t>
      </w:r>
    </w:p>
    <w:p w:rsidR="00212513" w:rsidRDefault="00212513">
      <w:pPr>
        <w:pStyle w:val="ConsPlusNormal"/>
        <w:spacing w:before="220"/>
        <w:ind w:firstLine="540"/>
        <w:jc w:val="both"/>
      </w:pPr>
      <w:r>
        <w:rPr>
          <w:i/>
        </w:rPr>
        <w:t>K</w:t>
      </w:r>
      <w:r>
        <w:rPr>
          <w:vertAlign w:val="subscript"/>
        </w:rPr>
        <w:t>2</w:t>
      </w:r>
      <w:r>
        <w:t xml:space="preserve"> </w:t>
      </w:r>
      <w:r>
        <w:rPr>
          <w:i/>
        </w:rPr>
        <w:t>-</w:t>
      </w:r>
      <w:r>
        <w:t xml:space="preserve"> коэффициент, учитывающий влияние увлажнения конструкций;</w:t>
      </w:r>
    </w:p>
    <w:p w:rsidR="00212513" w:rsidRDefault="00212513">
      <w:pPr>
        <w:pStyle w:val="ConsPlusNormal"/>
        <w:spacing w:before="220"/>
        <w:ind w:firstLine="540"/>
        <w:jc w:val="both"/>
      </w:pPr>
      <w:r>
        <w:rPr>
          <w:i/>
        </w:rPr>
        <w:t>K</w:t>
      </w:r>
      <w:r>
        <w:rPr>
          <w:vertAlign w:val="subscript"/>
        </w:rPr>
        <w:t>3</w:t>
      </w:r>
      <w:r>
        <w:t xml:space="preserve"> - коэффициент, учитывающий влияние ползучести для постоянных нагрузок;</w:t>
      </w:r>
    </w:p>
    <w:p w:rsidR="00212513" w:rsidRDefault="00212513">
      <w:pPr>
        <w:pStyle w:val="ConsPlusNormal"/>
        <w:spacing w:before="220"/>
        <w:ind w:firstLine="540"/>
        <w:jc w:val="both"/>
      </w:pPr>
      <w:r>
        <w:rPr>
          <w:i/>
        </w:rPr>
        <w:t>K</w:t>
      </w:r>
      <w:r>
        <w:rPr>
          <w:vertAlign w:val="subscript"/>
        </w:rPr>
        <w:t>4</w:t>
      </w:r>
      <w:r>
        <w:t xml:space="preserve"> - коэффициент, учитывающий влияние усталости;</w:t>
      </w:r>
    </w:p>
    <w:p w:rsidR="00212513" w:rsidRDefault="00212513">
      <w:pPr>
        <w:pStyle w:val="ConsPlusNormal"/>
        <w:spacing w:before="220"/>
        <w:ind w:firstLine="540"/>
        <w:jc w:val="both"/>
      </w:pPr>
      <w:r>
        <w:rPr>
          <w:i/>
        </w:rPr>
        <w:t>K</w:t>
      </w:r>
      <w:r>
        <w:rPr>
          <w:vertAlign w:val="subscript"/>
        </w:rPr>
        <w:t>5</w:t>
      </w:r>
      <w:r>
        <w:t xml:space="preserve"> - коэффициент, учитывающий влияние переменных циклов замораживания-оттаивания (морозостойкость);</w:t>
      </w:r>
    </w:p>
    <w:p w:rsidR="00212513" w:rsidRDefault="00212513">
      <w:pPr>
        <w:pStyle w:val="ConsPlusNormal"/>
        <w:spacing w:before="220"/>
        <w:ind w:firstLine="540"/>
        <w:jc w:val="both"/>
      </w:pPr>
      <w:r>
        <w:rPr>
          <w:i/>
        </w:rPr>
        <w:t>K</w:t>
      </w:r>
      <w:r>
        <w:rPr>
          <w:vertAlign w:val="subscript"/>
        </w:rPr>
        <w:t>6</w:t>
      </w:r>
      <w:r>
        <w:t xml:space="preserve"> - коэффициент, учитывающий влияние старения полимерного композита за время эксплуатации.</w:t>
      </w:r>
    </w:p>
    <w:p w:rsidR="00212513" w:rsidRDefault="00212513">
      <w:pPr>
        <w:pStyle w:val="ConsPlusNormal"/>
        <w:spacing w:before="220"/>
        <w:ind w:firstLine="540"/>
        <w:jc w:val="both"/>
      </w:pPr>
      <w:r>
        <w:t xml:space="preserve">12.6 Значения частных (поправочных) коэффициентов </w:t>
      </w:r>
      <w:r>
        <w:rPr>
          <w:i/>
        </w:rPr>
        <w:t>K</w:t>
      </w:r>
      <w:r>
        <w:rPr>
          <w:i/>
          <w:vertAlign w:val="subscript"/>
        </w:rPr>
        <w:t>i</w:t>
      </w:r>
      <w:r>
        <w:t xml:space="preserve"> следует назначать по </w:t>
      </w:r>
      <w:hyperlink r:id="rId2663">
        <w:r>
          <w:rPr>
            <w:color w:val="0000FF"/>
          </w:rPr>
          <w:t>ГОСТ 33119</w:t>
        </w:r>
      </w:hyperlink>
      <w:r>
        <w:t>.</w:t>
      </w:r>
    </w:p>
    <w:p w:rsidR="00212513" w:rsidRDefault="00212513">
      <w:pPr>
        <w:pStyle w:val="ConsPlusNormal"/>
        <w:spacing w:before="220"/>
        <w:ind w:firstLine="540"/>
        <w:jc w:val="both"/>
      </w:pPr>
      <w:r>
        <w:t xml:space="preserve">12.7 Допускается принимать значения коэффициентов надежности по материалу </w:t>
      </w:r>
      <w:r>
        <w:rPr>
          <w:noProof/>
          <w:position w:val="-8"/>
        </w:rPr>
        <w:drawing>
          <wp:inline distT="0" distB="0" distL="0" distR="0">
            <wp:extent cx="209550" cy="251460"/>
            <wp:effectExtent l="0" t="0" r="0" b="0"/>
            <wp:docPr id="20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частных (поправочных) коэффициентов </w:t>
      </w:r>
      <w:r>
        <w:rPr>
          <w:i/>
        </w:rPr>
        <w:t>K</w:t>
      </w:r>
      <w:r>
        <w:rPr>
          <w:i/>
          <w:vertAlign w:val="subscript"/>
        </w:rPr>
        <w:t>i</w:t>
      </w:r>
      <w:r>
        <w:t xml:space="preserve"> по результатам испытаний образцов полимерных композитов со статистической обеспеченностью значений 0,98.</w:t>
      </w:r>
    </w:p>
    <w:p w:rsidR="00212513" w:rsidRDefault="00212513">
      <w:pPr>
        <w:pStyle w:val="ConsPlusNormal"/>
        <w:spacing w:before="220"/>
        <w:ind w:firstLine="540"/>
        <w:jc w:val="both"/>
      </w:pPr>
      <w:r>
        <w:t xml:space="preserve">12.8 Минимальные значения нормативных сопротивлений или деформационных характеристик стеклокомпозитных материалов для мостовых конструктивных элементов следует принимать в соответствии с таблицами 12.1 - </w:t>
      </w:r>
      <w:hyperlink w:anchor="P11223">
        <w:r>
          <w:rPr>
            <w:color w:val="0000FF"/>
          </w:rPr>
          <w:t>12.4</w:t>
        </w:r>
      </w:hyperlink>
      <w:r>
        <w:t xml:space="preserve"> и (или) по нормативным документам на конструкционные полимерные композиты или технической документации производителей.</w:t>
      </w:r>
    </w:p>
    <w:p w:rsidR="00212513" w:rsidRDefault="00212513">
      <w:pPr>
        <w:pStyle w:val="ConsPlusNormal"/>
        <w:jc w:val="both"/>
      </w:pPr>
    </w:p>
    <w:p w:rsidR="00212513" w:rsidRDefault="00212513">
      <w:pPr>
        <w:pStyle w:val="ConsPlusNormal"/>
        <w:jc w:val="right"/>
      </w:pPr>
      <w:r>
        <w:t>Таблица 12.1</w:t>
      </w:r>
    </w:p>
    <w:p w:rsidR="00212513" w:rsidRDefault="00212513">
      <w:pPr>
        <w:pStyle w:val="ConsPlusNormal"/>
        <w:jc w:val="both"/>
      </w:pPr>
    </w:p>
    <w:p w:rsidR="00212513" w:rsidRDefault="00212513">
      <w:pPr>
        <w:pStyle w:val="ConsPlusNormal"/>
        <w:jc w:val="center"/>
      </w:pPr>
      <w:r>
        <w:rPr>
          <w:b/>
        </w:rPr>
        <w:t>Сопротивления стеклокомпозитных пултрузионных профилей</w:t>
      </w:r>
    </w:p>
    <w:p w:rsidR="00212513" w:rsidRDefault="0021251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04"/>
        <w:gridCol w:w="2564"/>
        <w:gridCol w:w="2835"/>
      </w:tblGrid>
      <w:tr w:rsidR="00212513">
        <w:tc>
          <w:tcPr>
            <w:tcW w:w="3604" w:type="dxa"/>
            <w:vAlign w:val="center"/>
          </w:tcPr>
          <w:p w:rsidR="00212513" w:rsidRDefault="00212513">
            <w:pPr>
              <w:pStyle w:val="ConsPlusNormal"/>
              <w:jc w:val="center"/>
            </w:pPr>
            <w:r>
              <w:t>Вид напряженного состояния</w:t>
            </w:r>
          </w:p>
        </w:tc>
        <w:tc>
          <w:tcPr>
            <w:tcW w:w="2564" w:type="dxa"/>
            <w:vAlign w:val="center"/>
          </w:tcPr>
          <w:p w:rsidR="00212513" w:rsidRDefault="00212513">
            <w:pPr>
              <w:pStyle w:val="ConsPlusNormal"/>
              <w:jc w:val="center"/>
            </w:pPr>
            <w:r>
              <w:t>Направление армирования</w:t>
            </w:r>
          </w:p>
        </w:tc>
        <w:tc>
          <w:tcPr>
            <w:tcW w:w="2835" w:type="dxa"/>
            <w:vAlign w:val="center"/>
          </w:tcPr>
          <w:p w:rsidR="00212513" w:rsidRDefault="00212513">
            <w:pPr>
              <w:pStyle w:val="ConsPlusNormal"/>
              <w:jc w:val="center"/>
            </w:pPr>
            <w:r>
              <w:t>Минимальные значения нормативных сопротивлений, МПа</w:t>
            </w:r>
          </w:p>
        </w:tc>
      </w:tr>
      <w:tr w:rsidR="00212513">
        <w:tc>
          <w:tcPr>
            <w:tcW w:w="3604" w:type="dxa"/>
            <w:vMerge w:val="restart"/>
            <w:vAlign w:val="center"/>
          </w:tcPr>
          <w:p w:rsidR="00212513" w:rsidRDefault="00212513">
            <w:pPr>
              <w:pStyle w:val="ConsPlusNormal"/>
            </w:pPr>
            <w:r>
              <w:t>Растяжение</w:t>
            </w:r>
          </w:p>
        </w:tc>
        <w:tc>
          <w:tcPr>
            <w:tcW w:w="2564" w:type="dxa"/>
          </w:tcPr>
          <w:p w:rsidR="00212513" w:rsidRDefault="00212513">
            <w:pPr>
              <w:pStyle w:val="ConsPlusNormal"/>
              <w:jc w:val="center"/>
            </w:pPr>
            <w:r>
              <w:t>Базовое</w:t>
            </w:r>
          </w:p>
        </w:tc>
        <w:tc>
          <w:tcPr>
            <w:tcW w:w="2835" w:type="dxa"/>
          </w:tcPr>
          <w:p w:rsidR="00212513" w:rsidRDefault="00212513">
            <w:pPr>
              <w:pStyle w:val="ConsPlusNormal"/>
              <w:jc w:val="center"/>
            </w:pPr>
            <w:r>
              <w:t>184</w:t>
            </w:r>
          </w:p>
        </w:tc>
      </w:tr>
      <w:tr w:rsidR="00212513">
        <w:tc>
          <w:tcPr>
            <w:tcW w:w="3604" w:type="dxa"/>
            <w:vMerge/>
          </w:tcPr>
          <w:p w:rsidR="00212513" w:rsidRDefault="00212513">
            <w:pPr>
              <w:pStyle w:val="ConsPlusNormal"/>
            </w:pPr>
          </w:p>
        </w:tc>
        <w:tc>
          <w:tcPr>
            <w:tcW w:w="2564" w:type="dxa"/>
            <w:vAlign w:val="bottom"/>
          </w:tcPr>
          <w:p w:rsidR="00212513" w:rsidRDefault="00212513">
            <w:pPr>
              <w:pStyle w:val="ConsPlusNormal"/>
              <w:jc w:val="center"/>
            </w:pPr>
            <w:r>
              <w:t>Поперечное</w:t>
            </w:r>
          </w:p>
        </w:tc>
        <w:tc>
          <w:tcPr>
            <w:tcW w:w="2835" w:type="dxa"/>
            <w:vAlign w:val="bottom"/>
          </w:tcPr>
          <w:p w:rsidR="00212513" w:rsidRDefault="00212513">
            <w:pPr>
              <w:pStyle w:val="ConsPlusNormal"/>
              <w:jc w:val="center"/>
            </w:pPr>
            <w:r>
              <w:t>38</w:t>
            </w:r>
          </w:p>
        </w:tc>
      </w:tr>
      <w:tr w:rsidR="00212513">
        <w:tc>
          <w:tcPr>
            <w:tcW w:w="3604" w:type="dxa"/>
            <w:vMerge w:val="restart"/>
            <w:vAlign w:val="center"/>
          </w:tcPr>
          <w:p w:rsidR="00212513" w:rsidRDefault="00212513">
            <w:pPr>
              <w:pStyle w:val="ConsPlusNormal"/>
            </w:pPr>
            <w:r>
              <w:t>Сжатие</w:t>
            </w:r>
          </w:p>
        </w:tc>
        <w:tc>
          <w:tcPr>
            <w:tcW w:w="2564" w:type="dxa"/>
          </w:tcPr>
          <w:p w:rsidR="00212513" w:rsidRDefault="00212513">
            <w:pPr>
              <w:pStyle w:val="ConsPlusNormal"/>
              <w:jc w:val="center"/>
            </w:pPr>
            <w:r>
              <w:t>Базовое</w:t>
            </w:r>
          </w:p>
        </w:tc>
        <w:tc>
          <w:tcPr>
            <w:tcW w:w="2835" w:type="dxa"/>
          </w:tcPr>
          <w:p w:rsidR="00212513" w:rsidRDefault="00212513">
            <w:pPr>
              <w:pStyle w:val="ConsPlusNormal"/>
              <w:jc w:val="center"/>
            </w:pPr>
            <w:r>
              <w:t>151</w:t>
            </w:r>
          </w:p>
        </w:tc>
      </w:tr>
      <w:tr w:rsidR="00212513">
        <w:tc>
          <w:tcPr>
            <w:tcW w:w="3604" w:type="dxa"/>
            <w:vMerge/>
          </w:tcPr>
          <w:p w:rsidR="00212513" w:rsidRDefault="00212513">
            <w:pPr>
              <w:pStyle w:val="ConsPlusNormal"/>
            </w:pPr>
          </w:p>
        </w:tc>
        <w:tc>
          <w:tcPr>
            <w:tcW w:w="2564" w:type="dxa"/>
            <w:vAlign w:val="bottom"/>
          </w:tcPr>
          <w:p w:rsidR="00212513" w:rsidRDefault="00212513">
            <w:pPr>
              <w:pStyle w:val="ConsPlusNormal"/>
              <w:jc w:val="center"/>
            </w:pPr>
            <w:r>
              <w:t>Поперечное</w:t>
            </w:r>
          </w:p>
        </w:tc>
        <w:tc>
          <w:tcPr>
            <w:tcW w:w="2835" w:type="dxa"/>
            <w:vAlign w:val="bottom"/>
          </w:tcPr>
          <w:p w:rsidR="00212513" w:rsidRDefault="00212513">
            <w:pPr>
              <w:pStyle w:val="ConsPlusNormal"/>
              <w:jc w:val="center"/>
            </w:pPr>
            <w:r>
              <w:t>55</w:t>
            </w:r>
          </w:p>
        </w:tc>
      </w:tr>
      <w:tr w:rsidR="00212513">
        <w:tc>
          <w:tcPr>
            <w:tcW w:w="3604" w:type="dxa"/>
            <w:vMerge w:val="restart"/>
            <w:vAlign w:val="center"/>
          </w:tcPr>
          <w:p w:rsidR="00212513" w:rsidRDefault="00212513">
            <w:pPr>
              <w:pStyle w:val="ConsPlusNormal"/>
            </w:pPr>
            <w:r>
              <w:t>Изгиб</w:t>
            </w:r>
          </w:p>
        </w:tc>
        <w:tc>
          <w:tcPr>
            <w:tcW w:w="2564" w:type="dxa"/>
          </w:tcPr>
          <w:p w:rsidR="00212513" w:rsidRDefault="00212513">
            <w:pPr>
              <w:pStyle w:val="ConsPlusNormal"/>
              <w:jc w:val="center"/>
            </w:pPr>
            <w:r>
              <w:t>Базовое</w:t>
            </w:r>
          </w:p>
        </w:tc>
        <w:tc>
          <w:tcPr>
            <w:tcW w:w="2835" w:type="dxa"/>
          </w:tcPr>
          <w:p w:rsidR="00212513" w:rsidRDefault="00212513">
            <w:pPr>
              <w:pStyle w:val="ConsPlusNormal"/>
              <w:jc w:val="center"/>
            </w:pPr>
            <w:r>
              <w:t>184</w:t>
            </w:r>
          </w:p>
        </w:tc>
      </w:tr>
      <w:tr w:rsidR="00212513">
        <w:tc>
          <w:tcPr>
            <w:tcW w:w="3604" w:type="dxa"/>
            <w:vMerge/>
          </w:tcPr>
          <w:p w:rsidR="00212513" w:rsidRDefault="00212513">
            <w:pPr>
              <w:pStyle w:val="ConsPlusNormal"/>
            </w:pPr>
          </w:p>
        </w:tc>
        <w:tc>
          <w:tcPr>
            <w:tcW w:w="2564" w:type="dxa"/>
            <w:vAlign w:val="bottom"/>
          </w:tcPr>
          <w:p w:rsidR="00212513" w:rsidRDefault="00212513">
            <w:pPr>
              <w:pStyle w:val="ConsPlusNormal"/>
              <w:jc w:val="center"/>
            </w:pPr>
            <w:r>
              <w:t>Поперечное</w:t>
            </w:r>
          </w:p>
        </w:tc>
        <w:tc>
          <w:tcPr>
            <w:tcW w:w="2835" w:type="dxa"/>
            <w:vAlign w:val="bottom"/>
          </w:tcPr>
          <w:p w:rsidR="00212513" w:rsidRDefault="00212513">
            <w:pPr>
              <w:pStyle w:val="ConsPlusNormal"/>
              <w:jc w:val="center"/>
            </w:pPr>
            <w:r>
              <w:t>77</w:t>
            </w:r>
          </w:p>
        </w:tc>
      </w:tr>
      <w:tr w:rsidR="00212513">
        <w:tc>
          <w:tcPr>
            <w:tcW w:w="3604" w:type="dxa"/>
            <w:vMerge w:val="restart"/>
          </w:tcPr>
          <w:p w:rsidR="00212513" w:rsidRDefault="00212513">
            <w:pPr>
              <w:pStyle w:val="ConsPlusNormal"/>
            </w:pPr>
            <w:r>
              <w:lastRenderedPageBreak/>
              <w:t>Скалывание при расчете соединений</w:t>
            </w:r>
          </w:p>
        </w:tc>
        <w:tc>
          <w:tcPr>
            <w:tcW w:w="2564" w:type="dxa"/>
          </w:tcPr>
          <w:p w:rsidR="00212513" w:rsidRDefault="00212513">
            <w:pPr>
              <w:pStyle w:val="ConsPlusNormal"/>
              <w:jc w:val="center"/>
            </w:pPr>
            <w:r>
              <w:t>Базовое</w:t>
            </w:r>
          </w:p>
        </w:tc>
        <w:tc>
          <w:tcPr>
            <w:tcW w:w="2835" w:type="dxa"/>
          </w:tcPr>
          <w:p w:rsidR="00212513" w:rsidRDefault="00212513">
            <w:pPr>
              <w:pStyle w:val="ConsPlusNormal"/>
              <w:jc w:val="center"/>
            </w:pPr>
            <w:r>
              <w:t>29</w:t>
            </w:r>
          </w:p>
        </w:tc>
      </w:tr>
      <w:tr w:rsidR="00212513">
        <w:tc>
          <w:tcPr>
            <w:tcW w:w="3604" w:type="dxa"/>
            <w:vMerge/>
          </w:tcPr>
          <w:p w:rsidR="00212513" w:rsidRDefault="00212513">
            <w:pPr>
              <w:pStyle w:val="ConsPlusNormal"/>
            </w:pPr>
          </w:p>
        </w:tc>
        <w:tc>
          <w:tcPr>
            <w:tcW w:w="2564" w:type="dxa"/>
            <w:vAlign w:val="bottom"/>
          </w:tcPr>
          <w:p w:rsidR="00212513" w:rsidRDefault="00212513">
            <w:pPr>
              <w:pStyle w:val="ConsPlusNormal"/>
              <w:jc w:val="center"/>
            </w:pPr>
            <w:r>
              <w:t>Поперечное</w:t>
            </w:r>
          </w:p>
        </w:tc>
        <w:tc>
          <w:tcPr>
            <w:tcW w:w="2835" w:type="dxa"/>
            <w:vAlign w:val="bottom"/>
          </w:tcPr>
          <w:p w:rsidR="00212513" w:rsidRDefault="00212513">
            <w:pPr>
              <w:pStyle w:val="ConsPlusNormal"/>
              <w:jc w:val="center"/>
            </w:pPr>
            <w:r>
              <w:t>19</w:t>
            </w:r>
          </w:p>
        </w:tc>
      </w:tr>
      <w:tr w:rsidR="00212513">
        <w:tblPrEx>
          <w:tblBorders>
            <w:insideH w:val="nil"/>
          </w:tblBorders>
        </w:tblPrEx>
        <w:tc>
          <w:tcPr>
            <w:tcW w:w="6168" w:type="dxa"/>
            <w:gridSpan w:val="2"/>
            <w:tcBorders>
              <w:bottom w:val="nil"/>
            </w:tcBorders>
            <w:vAlign w:val="center"/>
          </w:tcPr>
          <w:p w:rsidR="00212513" w:rsidRDefault="00212513">
            <w:pPr>
              <w:pStyle w:val="ConsPlusNormal"/>
              <w:jc w:val="center"/>
            </w:pPr>
            <w:r>
              <w:t>Межслойный сдвиг</w:t>
            </w:r>
          </w:p>
        </w:tc>
        <w:tc>
          <w:tcPr>
            <w:tcW w:w="2835" w:type="dxa"/>
            <w:tcBorders>
              <w:bottom w:val="nil"/>
            </w:tcBorders>
            <w:vAlign w:val="bottom"/>
          </w:tcPr>
          <w:p w:rsidR="00212513" w:rsidRDefault="00212513">
            <w:pPr>
              <w:pStyle w:val="ConsPlusNormal"/>
              <w:jc w:val="center"/>
            </w:pPr>
            <w:r>
              <w:t>21</w:t>
            </w:r>
          </w:p>
        </w:tc>
      </w:tr>
      <w:tr w:rsidR="00212513">
        <w:tblPrEx>
          <w:tblBorders>
            <w:insideH w:val="nil"/>
          </w:tblBorders>
        </w:tblPrEx>
        <w:tc>
          <w:tcPr>
            <w:tcW w:w="9003" w:type="dxa"/>
            <w:gridSpan w:val="3"/>
            <w:tcBorders>
              <w:top w:val="nil"/>
            </w:tcBorders>
          </w:tcPr>
          <w:p w:rsidR="00212513" w:rsidRDefault="00212513">
            <w:pPr>
              <w:pStyle w:val="ConsPlusNormal"/>
              <w:jc w:val="both"/>
            </w:pPr>
            <w:r>
              <w:t xml:space="preserve">(в ред. </w:t>
            </w:r>
            <w:hyperlink r:id="rId2664">
              <w:r>
                <w:rPr>
                  <w:color w:val="0000FF"/>
                </w:rPr>
                <w:t>Изменения N 4</w:t>
              </w:r>
            </w:hyperlink>
            <w:r>
              <w:t>, утв. Приказом Минстроя России от 30.05.2024 N 361/пр)</w:t>
            </w:r>
          </w:p>
        </w:tc>
      </w:tr>
    </w:tbl>
    <w:p w:rsidR="00212513" w:rsidRDefault="00212513">
      <w:pPr>
        <w:pStyle w:val="ConsPlusNormal"/>
        <w:jc w:val="both"/>
      </w:pPr>
    </w:p>
    <w:p w:rsidR="00212513" w:rsidRDefault="00212513">
      <w:pPr>
        <w:pStyle w:val="ConsPlusNormal"/>
        <w:jc w:val="right"/>
      </w:pPr>
      <w:r>
        <w:t>Таблица 12.2</w:t>
      </w:r>
    </w:p>
    <w:p w:rsidR="00212513" w:rsidRDefault="00212513">
      <w:pPr>
        <w:pStyle w:val="ConsPlusNormal"/>
        <w:jc w:val="both"/>
      </w:pPr>
    </w:p>
    <w:p w:rsidR="00212513" w:rsidRDefault="00212513">
      <w:pPr>
        <w:pStyle w:val="ConsPlusNormal"/>
        <w:jc w:val="center"/>
      </w:pPr>
      <w:r>
        <w:rPr>
          <w:b/>
        </w:rPr>
        <w:t>Деформационные характеристики стеклокомпозитных</w:t>
      </w:r>
    </w:p>
    <w:p w:rsidR="00212513" w:rsidRDefault="00212513">
      <w:pPr>
        <w:pStyle w:val="ConsPlusNormal"/>
        <w:jc w:val="center"/>
      </w:pPr>
      <w:r>
        <w:rPr>
          <w:b/>
        </w:rPr>
        <w:t>пултрузионных профилей</w:t>
      </w:r>
    </w:p>
    <w:p w:rsidR="00212513" w:rsidRDefault="0021251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90"/>
        <w:gridCol w:w="2329"/>
      </w:tblGrid>
      <w:tr w:rsidR="00212513">
        <w:tc>
          <w:tcPr>
            <w:tcW w:w="6690" w:type="dxa"/>
            <w:vAlign w:val="center"/>
          </w:tcPr>
          <w:p w:rsidR="00212513" w:rsidRDefault="00212513">
            <w:pPr>
              <w:pStyle w:val="ConsPlusNormal"/>
              <w:jc w:val="center"/>
            </w:pPr>
            <w:r>
              <w:t>Деформационные характеристики</w:t>
            </w:r>
          </w:p>
        </w:tc>
        <w:tc>
          <w:tcPr>
            <w:tcW w:w="2329" w:type="dxa"/>
            <w:vAlign w:val="bottom"/>
          </w:tcPr>
          <w:p w:rsidR="00212513" w:rsidRDefault="00212513">
            <w:pPr>
              <w:pStyle w:val="ConsPlusNormal"/>
              <w:jc w:val="center"/>
            </w:pPr>
            <w:r>
              <w:t>Минимальные средние значения</w:t>
            </w:r>
          </w:p>
        </w:tc>
      </w:tr>
      <w:tr w:rsidR="00212513">
        <w:tc>
          <w:tcPr>
            <w:tcW w:w="6690" w:type="dxa"/>
            <w:vAlign w:val="bottom"/>
          </w:tcPr>
          <w:p w:rsidR="00212513" w:rsidRDefault="00212513">
            <w:pPr>
              <w:pStyle w:val="ConsPlusNormal"/>
            </w:pPr>
            <w:r>
              <w:t>Модуль упругости при растяжении профилей с толщиной стенки более 10 мм в базовом направлении, МПа</w:t>
            </w:r>
          </w:p>
        </w:tc>
        <w:tc>
          <w:tcPr>
            <w:tcW w:w="2329" w:type="dxa"/>
            <w:vAlign w:val="bottom"/>
          </w:tcPr>
          <w:p w:rsidR="00212513" w:rsidRDefault="00212513">
            <w:pPr>
              <w:pStyle w:val="ConsPlusNormal"/>
              <w:jc w:val="center"/>
            </w:pPr>
            <w:r>
              <w:t>28 000</w:t>
            </w:r>
          </w:p>
        </w:tc>
      </w:tr>
      <w:tr w:rsidR="00212513">
        <w:tc>
          <w:tcPr>
            <w:tcW w:w="6690" w:type="dxa"/>
            <w:vAlign w:val="bottom"/>
          </w:tcPr>
          <w:p w:rsidR="00212513" w:rsidRDefault="00212513">
            <w:pPr>
              <w:pStyle w:val="ConsPlusNormal"/>
            </w:pPr>
            <w:r>
              <w:t>Модуль упругости при растяжении профилей с толщиной стенки менее 10 мм в базовом направлении, МПа</w:t>
            </w:r>
          </w:p>
        </w:tc>
        <w:tc>
          <w:tcPr>
            <w:tcW w:w="2329" w:type="dxa"/>
            <w:vAlign w:val="bottom"/>
          </w:tcPr>
          <w:p w:rsidR="00212513" w:rsidRDefault="00212513">
            <w:pPr>
              <w:pStyle w:val="ConsPlusNormal"/>
              <w:jc w:val="center"/>
            </w:pPr>
            <w:r>
              <w:t>23 000</w:t>
            </w:r>
          </w:p>
        </w:tc>
      </w:tr>
      <w:tr w:rsidR="00212513">
        <w:tc>
          <w:tcPr>
            <w:tcW w:w="6690" w:type="dxa"/>
          </w:tcPr>
          <w:p w:rsidR="00212513" w:rsidRDefault="00212513">
            <w:pPr>
              <w:pStyle w:val="ConsPlusNormal"/>
            </w:pPr>
            <w:r>
              <w:t>Модуль упругости при растяжении в поперечном направлении, МПа</w:t>
            </w:r>
          </w:p>
        </w:tc>
        <w:tc>
          <w:tcPr>
            <w:tcW w:w="2329" w:type="dxa"/>
            <w:vAlign w:val="bottom"/>
          </w:tcPr>
          <w:p w:rsidR="00212513" w:rsidRDefault="00212513">
            <w:pPr>
              <w:pStyle w:val="ConsPlusNormal"/>
              <w:jc w:val="center"/>
            </w:pPr>
            <w:r>
              <w:t>8 500</w:t>
            </w:r>
          </w:p>
        </w:tc>
      </w:tr>
      <w:tr w:rsidR="00212513">
        <w:tc>
          <w:tcPr>
            <w:tcW w:w="6690" w:type="dxa"/>
            <w:vAlign w:val="bottom"/>
          </w:tcPr>
          <w:p w:rsidR="00212513" w:rsidRDefault="00212513">
            <w:pPr>
              <w:pStyle w:val="ConsPlusNormal"/>
            </w:pPr>
            <w:r>
              <w:t>Коэффициент Пуассона в направлении 0° - 90° (базовое - поперечное)</w:t>
            </w:r>
          </w:p>
        </w:tc>
        <w:tc>
          <w:tcPr>
            <w:tcW w:w="2329" w:type="dxa"/>
            <w:vAlign w:val="bottom"/>
          </w:tcPr>
          <w:p w:rsidR="00212513" w:rsidRDefault="00212513">
            <w:pPr>
              <w:pStyle w:val="ConsPlusNormal"/>
              <w:jc w:val="center"/>
            </w:pPr>
            <w:r>
              <w:t>0,23</w:t>
            </w:r>
          </w:p>
        </w:tc>
      </w:tr>
      <w:tr w:rsidR="00212513">
        <w:tc>
          <w:tcPr>
            <w:tcW w:w="6690" w:type="dxa"/>
            <w:vAlign w:val="bottom"/>
          </w:tcPr>
          <w:p w:rsidR="00212513" w:rsidRDefault="00212513">
            <w:pPr>
              <w:pStyle w:val="ConsPlusNormal"/>
            </w:pPr>
            <w:r>
              <w:t>Модуль сдвига, МПа</w:t>
            </w:r>
          </w:p>
        </w:tc>
        <w:tc>
          <w:tcPr>
            <w:tcW w:w="2329" w:type="dxa"/>
            <w:vAlign w:val="bottom"/>
          </w:tcPr>
          <w:p w:rsidR="00212513" w:rsidRDefault="00212513">
            <w:pPr>
              <w:pStyle w:val="ConsPlusNormal"/>
              <w:jc w:val="center"/>
            </w:pPr>
            <w:r>
              <w:t>3 000</w:t>
            </w:r>
          </w:p>
        </w:tc>
      </w:tr>
    </w:tbl>
    <w:p w:rsidR="00212513" w:rsidRDefault="00212513">
      <w:pPr>
        <w:pStyle w:val="ConsPlusNormal"/>
        <w:jc w:val="both"/>
      </w:pPr>
    </w:p>
    <w:p w:rsidR="00212513" w:rsidRDefault="00212513">
      <w:pPr>
        <w:pStyle w:val="ConsPlusNormal"/>
        <w:jc w:val="right"/>
      </w:pPr>
      <w:r>
        <w:t>Таблица 12.3</w:t>
      </w:r>
    </w:p>
    <w:p w:rsidR="00212513" w:rsidRDefault="00212513">
      <w:pPr>
        <w:pStyle w:val="ConsPlusNormal"/>
        <w:jc w:val="both"/>
      </w:pPr>
    </w:p>
    <w:p w:rsidR="00212513" w:rsidRDefault="00212513">
      <w:pPr>
        <w:pStyle w:val="ConsPlusNormal"/>
        <w:jc w:val="center"/>
      </w:pPr>
      <w:r>
        <w:rPr>
          <w:b/>
        </w:rPr>
        <w:t>Сопротивления многослойных стеклокомпозитов (ламинатов),</w:t>
      </w:r>
    </w:p>
    <w:p w:rsidR="00212513" w:rsidRDefault="00212513">
      <w:pPr>
        <w:pStyle w:val="ConsPlusNormal"/>
        <w:jc w:val="center"/>
      </w:pPr>
      <w:r>
        <w:rPr>
          <w:b/>
        </w:rPr>
        <w:t>изготовляемых методом вакуумной инфузии</w:t>
      </w:r>
    </w:p>
    <w:p w:rsidR="00212513" w:rsidRDefault="0021251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3052"/>
        <w:gridCol w:w="3402"/>
      </w:tblGrid>
      <w:tr w:rsidR="00212513">
        <w:tc>
          <w:tcPr>
            <w:tcW w:w="2608" w:type="dxa"/>
            <w:vAlign w:val="center"/>
          </w:tcPr>
          <w:p w:rsidR="00212513" w:rsidRDefault="00212513">
            <w:pPr>
              <w:pStyle w:val="ConsPlusNormal"/>
              <w:jc w:val="center"/>
            </w:pPr>
            <w:r>
              <w:t>Вид напряженного состояния</w:t>
            </w:r>
          </w:p>
        </w:tc>
        <w:tc>
          <w:tcPr>
            <w:tcW w:w="3052" w:type="dxa"/>
            <w:vAlign w:val="center"/>
          </w:tcPr>
          <w:p w:rsidR="00212513" w:rsidRDefault="00212513">
            <w:pPr>
              <w:pStyle w:val="ConsPlusNormal"/>
              <w:jc w:val="center"/>
            </w:pPr>
            <w:r>
              <w:t>Направление армирования</w:t>
            </w:r>
          </w:p>
        </w:tc>
        <w:tc>
          <w:tcPr>
            <w:tcW w:w="3402" w:type="dxa"/>
          </w:tcPr>
          <w:p w:rsidR="00212513" w:rsidRDefault="00212513">
            <w:pPr>
              <w:pStyle w:val="ConsPlusNormal"/>
              <w:jc w:val="center"/>
            </w:pPr>
            <w:r>
              <w:t>Минимальные значения нормативных сопротивлений, МПа</w:t>
            </w:r>
          </w:p>
        </w:tc>
      </w:tr>
      <w:tr w:rsidR="00212513">
        <w:tc>
          <w:tcPr>
            <w:tcW w:w="2608" w:type="dxa"/>
            <w:vMerge w:val="restart"/>
            <w:vAlign w:val="center"/>
          </w:tcPr>
          <w:p w:rsidR="00212513" w:rsidRDefault="00212513">
            <w:pPr>
              <w:pStyle w:val="ConsPlusNormal"/>
              <w:jc w:val="center"/>
            </w:pPr>
            <w:r>
              <w:t>Растяжение</w:t>
            </w:r>
          </w:p>
        </w:tc>
        <w:tc>
          <w:tcPr>
            <w:tcW w:w="3052" w:type="dxa"/>
            <w:vAlign w:val="bottom"/>
          </w:tcPr>
          <w:p w:rsidR="00212513" w:rsidRDefault="00212513">
            <w:pPr>
              <w:pStyle w:val="ConsPlusNormal"/>
              <w:jc w:val="center"/>
            </w:pPr>
            <w:r>
              <w:t xml:space="preserve">0° (ось </w:t>
            </w:r>
            <w:r>
              <w:rPr>
                <w:i/>
              </w:rPr>
              <w:t>X</w:t>
            </w:r>
            <w:r>
              <w:t>)</w:t>
            </w:r>
          </w:p>
        </w:tc>
        <w:tc>
          <w:tcPr>
            <w:tcW w:w="3402" w:type="dxa"/>
            <w:vAlign w:val="bottom"/>
          </w:tcPr>
          <w:p w:rsidR="00212513" w:rsidRDefault="00212513">
            <w:pPr>
              <w:pStyle w:val="ConsPlusNormal"/>
              <w:jc w:val="center"/>
            </w:pPr>
            <w:r>
              <w:t>450</w:t>
            </w:r>
          </w:p>
        </w:tc>
      </w:tr>
      <w:tr w:rsidR="00212513">
        <w:tc>
          <w:tcPr>
            <w:tcW w:w="2608" w:type="dxa"/>
            <w:vMerge/>
          </w:tcPr>
          <w:p w:rsidR="00212513" w:rsidRDefault="00212513">
            <w:pPr>
              <w:pStyle w:val="ConsPlusNormal"/>
            </w:pPr>
          </w:p>
        </w:tc>
        <w:tc>
          <w:tcPr>
            <w:tcW w:w="3052" w:type="dxa"/>
            <w:vAlign w:val="bottom"/>
          </w:tcPr>
          <w:p w:rsidR="00212513" w:rsidRDefault="00212513">
            <w:pPr>
              <w:pStyle w:val="ConsPlusNormal"/>
              <w:jc w:val="center"/>
            </w:pPr>
            <w:r>
              <w:t xml:space="preserve">90° (ось </w:t>
            </w:r>
            <w:r>
              <w:rPr>
                <w:i/>
              </w:rPr>
              <w:t>Y</w:t>
            </w:r>
            <w:r>
              <w:t>)</w:t>
            </w:r>
          </w:p>
        </w:tc>
        <w:tc>
          <w:tcPr>
            <w:tcW w:w="3402" w:type="dxa"/>
            <w:vAlign w:val="bottom"/>
          </w:tcPr>
          <w:p w:rsidR="00212513" w:rsidRDefault="00212513">
            <w:pPr>
              <w:pStyle w:val="ConsPlusNormal"/>
              <w:jc w:val="center"/>
            </w:pPr>
            <w:r>
              <w:t>45</w:t>
            </w:r>
          </w:p>
        </w:tc>
      </w:tr>
      <w:tr w:rsidR="00212513">
        <w:tc>
          <w:tcPr>
            <w:tcW w:w="2608" w:type="dxa"/>
            <w:vMerge w:val="restart"/>
            <w:vAlign w:val="center"/>
          </w:tcPr>
          <w:p w:rsidR="00212513" w:rsidRDefault="00212513">
            <w:pPr>
              <w:pStyle w:val="ConsPlusNormal"/>
              <w:jc w:val="center"/>
            </w:pPr>
            <w:r>
              <w:t>Сжатие</w:t>
            </w:r>
          </w:p>
        </w:tc>
        <w:tc>
          <w:tcPr>
            <w:tcW w:w="3052" w:type="dxa"/>
            <w:vAlign w:val="bottom"/>
          </w:tcPr>
          <w:p w:rsidR="00212513" w:rsidRDefault="00212513">
            <w:pPr>
              <w:pStyle w:val="ConsPlusNormal"/>
              <w:jc w:val="center"/>
            </w:pPr>
            <w:r>
              <w:t xml:space="preserve">0° (ось </w:t>
            </w:r>
            <w:r>
              <w:rPr>
                <w:i/>
              </w:rPr>
              <w:t>X</w:t>
            </w:r>
            <w:r>
              <w:t>)</w:t>
            </w:r>
          </w:p>
        </w:tc>
        <w:tc>
          <w:tcPr>
            <w:tcW w:w="3402" w:type="dxa"/>
            <w:vAlign w:val="bottom"/>
          </w:tcPr>
          <w:p w:rsidR="00212513" w:rsidRDefault="00212513">
            <w:pPr>
              <w:pStyle w:val="ConsPlusNormal"/>
              <w:jc w:val="center"/>
            </w:pPr>
            <w:r>
              <w:t>270</w:t>
            </w:r>
          </w:p>
        </w:tc>
      </w:tr>
      <w:tr w:rsidR="00212513">
        <w:tc>
          <w:tcPr>
            <w:tcW w:w="2608" w:type="dxa"/>
            <w:vMerge/>
          </w:tcPr>
          <w:p w:rsidR="00212513" w:rsidRDefault="00212513">
            <w:pPr>
              <w:pStyle w:val="ConsPlusNormal"/>
            </w:pPr>
          </w:p>
        </w:tc>
        <w:tc>
          <w:tcPr>
            <w:tcW w:w="3052" w:type="dxa"/>
            <w:vAlign w:val="bottom"/>
          </w:tcPr>
          <w:p w:rsidR="00212513" w:rsidRDefault="00212513">
            <w:pPr>
              <w:pStyle w:val="ConsPlusNormal"/>
              <w:jc w:val="center"/>
            </w:pPr>
            <w:r>
              <w:t xml:space="preserve">90° (ось </w:t>
            </w:r>
            <w:r>
              <w:rPr>
                <w:i/>
              </w:rPr>
              <w:t>Y</w:t>
            </w:r>
            <w:r>
              <w:t>)</w:t>
            </w:r>
          </w:p>
        </w:tc>
        <w:tc>
          <w:tcPr>
            <w:tcW w:w="3402" w:type="dxa"/>
            <w:vAlign w:val="bottom"/>
          </w:tcPr>
          <w:p w:rsidR="00212513" w:rsidRDefault="00212513">
            <w:pPr>
              <w:pStyle w:val="ConsPlusNormal"/>
              <w:jc w:val="center"/>
            </w:pPr>
            <w:r>
              <w:t>70</w:t>
            </w:r>
          </w:p>
        </w:tc>
      </w:tr>
      <w:tr w:rsidR="00212513">
        <w:tblPrEx>
          <w:tblBorders>
            <w:insideH w:val="nil"/>
          </w:tblBorders>
        </w:tblPrEx>
        <w:tc>
          <w:tcPr>
            <w:tcW w:w="2608" w:type="dxa"/>
            <w:tcBorders>
              <w:bottom w:val="nil"/>
            </w:tcBorders>
            <w:vAlign w:val="bottom"/>
          </w:tcPr>
          <w:p w:rsidR="00212513" w:rsidRDefault="00212513">
            <w:pPr>
              <w:pStyle w:val="ConsPlusNormal"/>
              <w:jc w:val="center"/>
            </w:pPr>
            <w:r>
              <w:t>Межслойный сдвиг</w:t>
            </w:r>
          </w:p>
        </w:tc>
        <w:tc>
          <w:tcPr>
            <w:tcW w:w="3052" w:type="dxa"/>
            <w:tcBorders>
              <w:bottom w:val="nil"/>
            </w:tcBorders>
            <w:vAlign w:val="bottom"/>
          </w:tcPr>
          <w:p w:rsidR="00212513" w:rsidRDefault="00212513">
            <w:pPr>
              <w:pStyle w:val="ConsPlusNormal"/>
              <w:jc w:val="center"/>
            </w:pPr>
            <w:r>
              <w:t>0° - 90° (</w:t>
            </w:r>
            <w:r>
              <w:rPr>
                <w:i/>
              </w:rPr>
              <w:t>XY</w:t>
            </w:r>
            <w:r>
              <w:t>)</w:t>
            </w:r>
          </w:p>
        </w:tc>
        <w:tc>
          <w:tcPr>
            <w:tcW w:w="3402" w:type="dxa"/>
            <w:tcBorders>
              <w:bottom w:val="nil"/>
            </w:tcBorders>
            <w:vAlign w:val="bottom"/>
          </w:tcPr>
          <w:p w:rsidR="00212513" w:rsidRDefault="00212513">
            <w:pPr>
              <w:pStyle w:val="ConsPlusNormal"/>
              <w:jc w:val="center"/>
            </w:pPr>
            <w:r>
              <w:t>55</w:t>
            </w:r>
          </w:p>
        </w:tc>
      </w:tr>
      <w:tr w:rsidR="00212513">
        <w:tblPrEx>
          <w:tblBorders>
            <w:insideH w:val="nil"/>
          </w:tblBorders>
        </w:tblPrEx>
        <w:tc>
          <w:tcPr>
            <w:tcW w:w="9062" w:type="dxa"/>
            <w:gridSpan w:val="3"/>
            <w:tcBorders>
              <w:top w:val="nil"/>
            </w:tcBorders>
          </w:tcPr>
          <w:p w:rsidR="00212513" w:rsidRDefault="00212513">
            <w:pPr>
              <w:pStyle w:val="ConsPlusNormal"/>
              <w:jc w:val="both"/>
            </w:pPr>
            <w:r>
              <w:t xml:space="preserve">(в ред. </w:t>
            </w:r>
            <w:hyperlink r:id="rId2665">
              <w:r>
                <w:rPr>
                  <w:color w:val="0000FF"/>
                </w:rPr>
                <w:t>Изменения N 4</w:t>
              </w:r>
            </w:hyperlink>
            <w:r>
              <w:t>, утв. Приказом Минстроя России от 30.05.2024 N 361/пр)</w:t>
            </w:r>
          </w:p>
        </w:tc>
      </w:tr>
    </w:tbl>
    <w:p w:rsidR="00212513" w:rsidRDefault="00212513">
      <w:pPr>
        <w:pStyle w:val="ConsPlusNormal"/>
        <w:jc w:val="both"/>
      </w:pPr>
    </w:p>
    <w:p w:rsidR="00212513" w:rsidRDefault="00212513">
      <w:pPr>
        <w:pStyle w:val="ConsPlusNormal"/>
        <w:jc w:val="right"/>
      </w:pPr>
      <w:r>
        <w:t>Таблица 12.4</w:t>
      </w:r>
    </w:p>
    <w:p w:rsidR="00212513" w:rsidRDefault="00212513">
      <w:pPr>
        <w:pStyle w:val="ConsPlusNormal"/>
        <w:jc w:val="both"/>
      </w:pPr>
    </w:p>
    <w:p w:rsidR="00212513" w:rsidRDefault="00212513">
      <w:pPr>
        <w:pStyle w:val="ConsPlusNormal"/>
        <w:jc w:val="center"/>
      </w:pPr>
      <w:bookmarkStart w:id="467" w:name="P11223"/>
      <w:bookmarkEnd w:id="467"/>
      <w:r>
        <w:rPr>
          <w:b/>
        </w:rPr>
        <w:t>Деформационные характеристики стеклокомпозитов (ламинатов),</w:t>
      </w:r>
    </w:p>
    <w:p w:rsidR="00212513" w:rsidRDefault="00212513">
      <w:pPr>
        <w:pStyle w:val="ConsPlusNormal"/>
        <w:jc w:val="center"/>
      </w:pPr>
      <w:r>
        <w:rPr>
          <w:b/>
        </w:rPr>
        <w:t>изготовляемых методом вакуумной инфузии</w:t>
      </w:r>
    </w:p>
    <w:p w:rsidR="00212513" w:rsidRDefault="0021251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65"/>
        <w:gridCol w:w="2324"/>
        <w:gridCol w:w="2329"/>
      </w:tblGrid>
      <w:tr w:rsidR="00212513">
        <w:tc>
          <w:tcPr>
            <w:tcW w:w="4365" w:type="dxa"/>
            <w:vAlign w:val="center"/>
          </w:tcPr>
          <w:p w:rsidR="00212513" w:rsidRDefault="00212513">
            <w:pPr>
              <w:pStyle w:val="ConsPlusNormal"/>
              <w:jc w:val="center"/>
            </w:pPr>
            <w:r>
              <w:t>Деформационные характеристики</w:t>
            </w:r>
          </w:p>
        </w:tc>
        <w:tc>
          <w:tcPr>
            <w:tcW w:w="2324" w:type="dxa"/>
            <w:vAlign w:val="center"/>
          </w:tcPr>
          <w:p w:rsidR="00212513" w:rsidRDefault="00212513">
            <w:pPr>
              <w:pStyle w:val="ConsPlusNormal"/>
              <w:jc w:val="center"/>
            </w:pPr>
            <w:r>
              <w:t>Направление армирования</w:t>
            </w:r>
          </w:p>
        </w:tc>
        <w:tc>
          <w:tcPr>
            <w:tcW w:w="2329" w:type="dxa"/>
            <w:vAlign w:val="bottom"/>
          </w:tcPr>
          <w:p w:rsidR="00212513" w:rsidRDefault="00212513">
            <w:pPr>
              <w:pStyle w:val="ConsPlusNormal"/>
              <w:jc w:val="center"/>
            </w:pPr>
            <w:r>
              <w:t>Минимальные средние значения</w:t>
            </w:r>
          </w:p>
        </w:tc>
      </w:tr>
      <w:tr w:rsidR="00212513">
        <w:tc>
          <w:tcPr>
            <w:tcW w:w="4365" w:type="dxa"/>
            <w:vMerge w:val="restart"/>
            <w:vAlign w:val="center"/>
          </w:tcPr>
          <w:p w:rsidR="00212513" w:rsidRDefault="00212513">
            <w:pPr>
              <w:pStyle w:val="ConsPlusNormal"/>
            </w:pPr>
            <w:r>
              <w:t>Модуль упругости при растяжении, МПа</w:t>
            </w:r>
          </w:p>
        </w:tc>
        <w:tc>
          <w:tcPr>
            <w:tcW w:w="2324" w:type="dxa"/>
            <w:vAlign w:val="bottom"/>
          </w:tcPr>
          <w:p w:rsidR="00212513" w:rsidRDefault="00212513">
            <w:pPr>
              <w:pStyle w:val="ConsPlusNormal"/>
              <w:jc w:val="center"/>
            </w:pPr>
            <w:r>
              <w:t xml:space="preserve">0° (ось </w:t>
            </w:r>
            <w:r>
              <w:rPr>
                <w:i/>
              </w:rPr>
              <w:t>X</w:t>
            </w:r>
            <w:r>
              <w:t>)</w:t>
            </w:r>
          </w:p>
        </w:tc>
        <w:tc>
          <w:tcPr>
            <w:tcW w:w="2329" w:type="dxa"/>
            <w:vAlign w:val="bottom"/>
          </w:tcPr>
          <w:p w:rsidR="00212513" w:rsidRDefault="00212513">
            <w:pPr>
              <w:pStyle w:val="ConsPlusNormal"/>
              <w:jc w:val="center"/>
            </w:pPr>
            <w:r>
              <w:t>29 000</w:t>
            </w:r>
          </w:p>
        </w:tc>
      </w:tr>
      <w:tr w:rsidR="00212513">
        <w:tc>
          <w:tcPr>
            <w:tcW w:w="4365" w:type="dxa"/>
            <w:vMerge/>
          </w:tcPr>
          <w:p w:rsidR="00212513" w:rsidRDefault="00212513">
            <w:pPr>
              <w:pStyle w:val="ConsPlusNormal"/>
            </w:pPr>
          </w:p>
        </w:tc>
        <w:tc>
          <w:tcPr>
            <w:tcW w:w="2324" w:type="dxa"/>
            <w:vAlign w:val="bottom"/>
          </w:tcPr>
          <w:p w:rsidR="00212513" w:rsidRDefault="00212513">
            <w:pPr>
              <w:pStyle w:val="ConsPlusNormal"/>
              <w:jc w:val="center"/>
            </w:pPr>
            <w:r>
              <w:t xml:space="preserve">90° (ось </w:t>
            </w:r>
            <w:r>
              <w:rPr>
                <w:i/>
              </w:rPr>
              <w:t>Y</w:t>
            </w:r>
            <w:r>
              <w:t>)</w:t>
            </w:r>
          </w:p>
        </w:tc>
        <w:tc>
          <w:tcPr>
            <w:tcW w:w="2329" w:type="dxa"/>
            <w:vAlign w:val="bottom"/>
          </w:tcPr>
          <w:p w:rsidR="00212513" w:rsidRDefault="00212513">
            <w:pPr>
              <w:pStyle w:val="ConsPlusNormal"/>
              <w:jc w:val="center"/>
            </w:pPr>
            <w:r>
              <w:t>6 000</w:t>
            </w:r>
          </w:p>
        </w:tc>
      </w:tr>
      <w:tr w:rsidR="00212513">
        <w:tblPrEx>
          <w:tblBorders>
            <w:insideH w:val="nil"/>
          </w:tblBorders>
        </w:tblPrEx>
        <w:tc>
          <w:tcPr>
            <w:tcW w:w="4365" w:type="dxa"/>
            <w:tcBorders>
              <w:bottom w:val="nil"/>
            </w:tcBorders>
            <w:vAlign w:val="bottom"/>
          </w:tcPr>
          <w:p w:rsidR="00212513" w:rsidRDefault="00212513">
            <w:pPr>
              <w:pStyle w:val="ConsPlusNormal"/>
            </w:pPr>
            <w:r>
              <w:t>Модуль сдвига, МПа</w:t>
            </w:r>
          </w:p>
        </w:tc>
        <w:tc>
          <w:tcPr>
            <w:tcW w:w="2324" w:type="dxa"/>
            <w:tcBorders>
              <w:bottom w:val="nil"/>
            </w:tcBorders>
            <w:vAlign w:val="bottom"/>
          </w:tcPr>
          <w:p w:rsidR="00212513" w:rsidRDefault="00212513">
            <w:pPr>
              <w:pStyle w:val="ConsPlusNormal"/>
              <w:jc w:val="center"/>
            </w:pPr>
            <w:r>
              <w:t>0° - 90° (</w:t>
            </w:r>
            <w:r>
              <w:rPr>
                <w:i/>
              </w:rPr>
              <w:t>XY</w:t>
            </w:r>
            <w:r>
              <w:t>)</w:t>
            </w:r>
          </w:p>
        </w:tc>
        <w:tc>
          <w:tcPr>
            <w:tcW w:w="2329" w:type="dxa"/>
            <w:tcBorders>
              <w:bottom w:val="nil"/>
            </w:tcBorders>
            <w:vAlign w:val="bottom"/>
          </w:tcPr>
          <w:p w:rsidR="00212513" w:rsidRDefault="00212513">
            <w:pPr>
              <w:pStyle w:val="ConsPlusNormal"/>
              <w:jc w:val="center"/>
            </w:pPr>
            <w:r>
              <w:t>5 000</w:t>
            </w:r>
          </w:p>
        </w:tc>
      </w:tr>
      <w:tr w:rsidR="00212513">
        <w:tblPrEx>
          <w:tblBorders>
            <w:insideH w:val="nil"/>
          </w:tblBorders>
        </w:tblPrEx>
        <w:tc>
          <w:tcPr>
            <w:tcW w:w="9018" w:type="dxa"/>
            <w:gridSpan w:val="3"/>
            <w:tcBorders>
              <w:top w:val="nil"/>
            </w:tcBorders>
          </w:tcPr>
          <w:p w:rsidR="00212513" w:rsidRDefault="00212513">
            <w:pPr>
              <w:pStyle w:val="ConsPlusNormal"/>
              <w:jc w:val="both"/>
            </w:pPr>
            <w:r>
              <w:t xml:space="preserve">(в ред. </w:t>
            </w:r>
            <w:hyperlink r:id="rId2666">
              <w:r>
                <w:rPr>
                  <w:color w:val="0000FF"/>
                </w:rPr>
                <w:t>Изменения N 4</w:t>
              </w:r>
            </w:hyperlink>
            <w:r>
              <w:t>, утв. Приказом Минстроя России от 30.05.2024 N 361/пр)</w:t>
            </w:r>
          </w:p>
        </w:tc>
      </w:tr>
      <w:tr w:rsidR="00212513">
        <w:tc>
          <w:tcPr>
            <w:tcW w:w="4365" w:type="dxa"/>
            <w:vAlign w:val="bottom"/>
          </w:tcPr>
          <w:p w:rsidR="00212513" w:rsidRDefault="00212513">
            <w:pPr>
              <w:pStyle w:val="ConsPlusNormal"/>
            </w:pPr>
            <w:r>
              <w:t>Коэффициент Пуассона</w:t>
            </w:r>
          </w:p>
        </w:tc>
        <w:tc>
          <w:tcPr>
            <w:tcW w:w="2324" w:type="dxa"/>
            <w:vAlign w:val="bottom"/>
          </w:tcPr>
          <w:p w:rsidR="00212513" w:rsidRDefault="00212513">
            <w:pPr>
              <w:pStyle w:val="ConsPlusNormal"/>
              <w:jc w:val="center"/>
            </w:pPr>
            <w:r>
              <w:t xml:space="preserve">0° - 90° </w:t>
            </w:r>
            <w:r>
              <w:rPr>
                <w:i/>
              </w:rPr>
              <w:t>(XY</w:t>
            </w:r>
            <w:r>
              <w:t>)</w:t>
            </w:r>
          </w:p>
        </w:tc>
        <w:tc>
          <w:tcPr>
            <w:tcW w:w="2329" w:type="dxa"/>
            <w:vAlign w:val="bottom"/>
          </w:tcPr>
          <w:p w:rsidR="00212513" w:rsidRDefault="00212513">
            <w:pPr>
              <w:pStyle w:val="ConsPlusNormal"/>
              <w:jc w:val="center"/>
            </w:pPr>
            <w:r>
              <w:t>0,28</w:t>
            </w:r>
          </w:p>
        </w:tc>
      </w:tr>
    </w:tbl>
    <w:p w:rsidR="00212513" w:rsidRDefault="00212513">
      <w:pPr>
        <w:pStyle w:val="ConsPlusNormal"/>
        <w:jc w:val="both"/>
      </w:pPr>
    </w:p>
    <w:p w:rsidR="00212513" w:rsidRDefault="00212513">
      <w:pPr>
        <w:pStyle w:val="ConsPlusNormal"/>
        <w:ind w:firstLine="540"/>
        <w:jc w:val="both"/>
      </w:pPr>
      <w:r>
        <w:t>На рисунке 12.1 приведен пример строения ламината конструктивных элементов мостов, изготовляемого методом вакуумной инфузии (указанный ламинат состоит из ламелей, в которых реализовано следующее чередование направлений армирующих волокон: 0°, +45°, -45°, 90°).</w:t>
      </w:r>
    </w:p>
    <w:p w:rsidR="00212513" w:rsidRDefault="00212513">
      <w:pPr>
        <w:pStyle w:val="ConsPlusNormal"/>
        <w:jc w:val="both"/>
      </w:pPr>
    </w:p>
    <w:p w:rsidR="00212513" w:rsidRDefault="00212513">
      <w:pPr>
        <w:pStyle w:val="ConsPlusNormal"/>
        <w:jc w:val="center"/>
      </w:pPr>
      <w:r>
        <w:rPr>
          <w:noProof/>
          <w:position w:val="-132"/>
        </w:rPr>
        <w:drawing>
          <wp:inline distT="0" distB="0" distL="0" distR="0">
            <wp:extent cx="2162810" cy="1817370"/>
            <wp:effectExtent l="0" t="0" r="0" b="0"/>
            <wp:docPr id="20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7" cstate="print">
                      <a:extLst>
                        <a:ext uri="{28A0092B-C50C-407E-A947-70E740481C1C}">
                          <a14:useLocalDpi xmlns:a14="http://schemas.microsoft.com/office/drawing/2010/main" val="0"/>
                        </a:ext>
                      </a:extLst>
                    </a:blip>
                    <a:srcRect/>
                    <a:stretch>
                      <a:fillRect/>
                    </a:stretch>
                  </pic:blipFill>
                  <pic:spPr bwMode="auto">
                    <a:xfrm>
                      <a:off x="0" y="0"/>
                      <a:ext cx="2162810" cy="1817370"/>
                    </a:xfrm>
                    <a:prstGeom prst="rect">
                      <a:avLst/>
                    </a:prstGeom>
                    <a:noFill/>
                    <a:ln>
                      <a:noFill/>
                    </a:ln>
                  </pic:spPr>
                </pic:pic>
              </a:graphicData>
            </a:graphic>
          </wp:inline>
        </w:drawing>
      </w:r>
    </w:p>
    <w:p w:rsidR="00212513" w:rsidRDefault="00212513">
      <w:pPr>
        <w:pStyle w:val="ConsPlusNormal"/>
        <w:jc w:val="both"/>
      </w:pPr>
    </w:p>
    <w:p w:rsidR="00212513" w:rsidRDefault="00212513">
      <w:pPr>
        <w:pStyle w:val="ConsPlusNormal"/>
        <w:jc w:val="center"/>
      </w:pPr>
      <w:r>
        <w:rPr>
          <w:b/>
          <w:i/>
        </w:rPr>
        <w:t>Рисунок 12.1 -</w:t>
      </w:r>
      <w:r>
        <w:t xml:space="preserve"> </w:t>
      </w:r>
      <w:r>
        <w:rPr>
          <w:b/>
        </w:rPr>
        <w:t>Пример строения ламината</w:t>
      </w:r>
    </w:p>
    <w:p w:rsidR="00212513" w:rsidRDefault="00212513">
      <w:pPr>
        <w:pStyle w:val="ConsPlusNormal"/>
        <w:jc w:val="center"/>
      </w:pPr>
      <w:r>
        <w:rPr>
          <w:b/>
        </w:rPr>
        <w:t>конструктивных элементов</w:t>
      </w:r>
    </w:p>
    <w:p w:rsidR="00212513" w:rsidRDefault="00212513">
      <w:pPr>
        <w:pStyle w:val="ConsPlusNormal"/>
        <w:jc w:val="both"/>
      </w:pPr>
    </w:p>
    <w:p w:rsidR="00212513" w:rsidRDefault="00212513">
      <w:pPr>
        <w:pStyle w:val="ConsPlusNormal"/>
        <w:ind w:firstLine="540"/>
        <w:jc w:val="both"/>
      </w:pPr>
      <w:r>
        <w:t>12.9 Значения коэффициентов линейного теплового расширения полимерных композитов следует принимать в соответствии с нормативными документами на конструкционные полимерные композиты или технической документацией производителей.</w:t>
      </w:r>
    </w:p>
    <w:p w:rsidR="00212513" w:rsidRDefault="00212513">
      <w:pPr>
        <w:pStyle w:val="ConsPlusNormal"/>
        <w:ind w:firstLine="540"/>
        <w:jc w:val="both"/>
      </w:pPr>
    </w:p>
    <w:p w:rsidR="00212513" w:rsidRDefault="00212513">
      <w:pPr>
        <w:pStyle w:val="ConsPlusTitle"/>
        <w:ind w:firstLine="540"/>
        <w:jc w:val="both"/>
        <w:outlineLvl w:val="2"/>
      </w:pPr>
      <w:r>
        <w:t>Расчеты конструктивных элементов</w:t>
      </w:r>
    </w:p>
    <w:p w:rsidR="00212513" w:rsidRDefault="00212513">
      <w:pPr>
        <w:pStyle w:val="ConsPlusNormal"/>
        <w:ind w:firstLine="540"/>
        <w:jc w:val="both"/>
      </w:pPr>
    </w:p>
    <w:p w:rsidR="00212513" w:rsidRDefault="00212513">
      <w:pPr>
        <w:pStyle w:val="ConsPlusTitle"/>
        <w:ind w:firstLine="540"/>
        <w:jc w:val="both"/>
        <w:outlineLvl w:val="3"/>
      </w:pPr>
      <w:r>
        <w:rPr>
          <w:i/>
        </w:rPr>
        <w:t>Общие положения</w:t>
      </w:r>
    </w:p>
    <w:p w:rsidR="00212513" w:rsidRDefault="00212513">
      <w:pPr>
        <w:pStyle w:val="ConsPlusNormal"/>
        <w:spacing w:before="220"/>
        <w:ind w:firstLine="540"/>
        <w:jc w:val="both"/>
      </w:pPr>
      <w:r>
        <w:t xml:space="preserve">12.10 Для конструктивных элементов из полимерных композитов определяющим является требование по обеспечению деформативности конструкций. Деформации, в том числе прогибы пролетных строений, должны быть рассчитаны с использованием значения модуля упругости в конце срока службы конструкции с учетом </w:t>
      </w:r>
      <w:hyperlink r:id="rId2668">
        <w:r>
          <w:rPr>
            <w:color w:val="0000FF"/>
          </w:rPr>
          <w:t>ГОСТ Р 54928</w:t>
        </w:r>
      </w:hyperlink>
      <w:r>
        <w:t>.</w:t>
      </w:r>
    </w:p>
    <w:p w:rsidR="00212513" w:rsidRDefault="00212513">
      <w:pPr>
        <w:pStyle w:val="ConsPlusNormal"/>
        <w:spacing w:before="220"/>
        <w:ind w:firstLine="540"/>
        <w:jc w:val="both"/>
      </w:pPr>
      <w:r>
        <w:t>12.11 Расчет конструктивных элементов из полимерных композитов следует проводить в предположении их линейно-упругой работы аналитически или с использованием компьютерных программ по методу конечных элементов (с использованием пространственных конечно-элементных моделей), позволяющему учитывать анизотропность свойств полимерного композита.</w:t>
      </w:r>
    </w:p>
    <w:p w:rsidR="00212513" w:rsidRDefault="00212513">
      <w:pPr>
        <w:pStyle w:val="ConsPlusNormal"/>
        <w:spacing w:before="220"/>
        <w:ind w:firstLine="540"/>
        <w:jc w:val="both"/>
      </w:pPr>
      <w:r>
        <w:t>12.12 При определении усилий и перемещений в конструктивных элементах из полимерных композитов площадь сечения элементов принимается брутто.</w:t>
      </w:r>
    </w:p>
    <w:p w:rsidR="00212513" w:rsidRDefault="00212513">
      <w:pPr>
        <w:pStyle w:val="ConsPlusNormal"/>
        <w:spacing w:before="220"/>
        <w:ind w:firstLine="540"/>
        <w:jc w:val="both"/>
      </w:pPr>
      <w:r>
        <w:lastRenderedPageBreak/>
        <w:t>12.13 Строительный подъем, компенсирующий вертикальные деформации пролетного строения от постоянной нагрузки, коэффициент надежности по нагрузке, вертикальные упругие прогибы пролетных строений, расчетные периоды собственных колебаний в пролетных строениях пешеходных мостов принимаются по соответствующим разделам настоящего свода правил.</w:t>
      </w:r>
    </w:p>
    <w:p w:rsidR="00212513" w:rsidRDefault="00212513">
      <w:pPr>
        <w:pStyle w:val="ConsPlusTitle"/>
        <w:spacing w:before="220"/>
        <w:ind w:firstLine="540"/>
        <w:jc w:val="both"/>
        <w:outlineLvl w:val="3"/>
      </w:pPr>
      <w:r>
        <w:rPr>
          <w:i/>
        </w:rPr>
        <w:t>Расчеты по предельным состояниям</w:t>
      </w:r>
    </w:p>
    <w:p w:rsidR="00212513" w:rsidRDefault="00212513">
      <w:pPr>
        <w:pStyle w:val="ConsPlusNormal"/>
        <w:spacing w:before="220"/>
        <w:ind w:firstLine="540"/>
        <w:jc w:val="both"/>
      </w:pPr>
      <w:r>
        <w:t xml:space="preserve">12.14 Расчеты по предельным состояниям конструктивных элементов из полимерных композитов должны проводиться с учетом положений </w:t>
      </w:r>
      <w:hyperlink r:id="rId2669">
        <w:r>
          <w:rPr>
            <w:color w:val="0000FF"/>
          </w:rPr>
          <w:t>ГОСТ 27751</w:t>
        </w:r>
      </w:hyperlink>
      <w:r>
        <w:t>:</w:t>
      </w:r>
    </w:p>
    <w:p w:rsidR="00212513" w:rsidRDefault="00212513">
      <w:pPr>
        <w:pStyle w:val="ConsPlusNormal"/>
        <w:spacing w:before="220"/>
        <w:ind w:firstLine="540"/>
        <w:jc w:val="both"/>
      </w:pPr>
      <w:r>
        <w:t xml:space="preserve">- по </w:t>
      </w:r>
      <w:hyperlink r:id="rId2670">
        <w:r>
          <w:rPr>
            <w:color w:val="0000FF"/>
          </w:rPr>
          <w:t>ГОСТ Р 54928</w:t>
        </w:r>
      </w:hyperlink>
      <w:r>
        <w:t xml:space="preserve"> и </w:t>
      </w:r>
      <w:hyperlink r:id="rId2671">
        <w:r>
          <w:rPr>
            <w:color w:val="0000FF"/>
          </w:rPr>
          <w:t>ГОСТ 33119</w:t>
        </w:r>
      </w:hyperlink>
      <w:r>
        <w:t xml:space="preserve"> - для пролетных строений и других несущих конструкций;</w:t>
      </w:r>
    </w:p>
    <w:p w:rsidR="00212513" w:rsidRDefault="00212513">
      <w:pPr>
        <w:pStyle w:val="ConsPlusNormal"/>
        <w:spacing w:before="220"/>
        <w:ind w:firstLine="540"/>
        <w:jc w:val="both"/>
      </w:pPr>
      <w:r>
        <w:t xml:space="preserve">- по </w:t>
      </w:r>
      <w:hyperlink r:id="rId2672">
        <w:r>
          <w:rPr>
            <w:color w:val="0000FF"/>
          </w:rPr>
          <w:t>ГОСТ 33376</w:t>
        </w:r>
      </w:hyperlink>
      <w:r>
        <w:t xml:space="preserve"> - для настилов пролетных строений;</w:t>
      </w:r>
    </w:p>
    <w:p w:rsidR="00212513" w:rsidRDefault="00212513">
      <w:pPr>
        <w:pStyle w:val="ConsPlusNormal"/>
        <w:spacing w:before="220"/>
        <w:ind w:firstLine="540"/>
        <w:jc w:val="both"/>
      </w:pPr>
      <w:r>
        <w:t xml:space="preserve">- по </w:t>
      </w:r>
      <w:hyperlink r:id="rId2673">
        <w:r>
          <w:rPr>
            <w:color w:val="0000FF"/>
          </w:rPr>
          <w:t>ГОСТ 33123</w:t>
        </w:r>
      </w:hyperlink>
      <w:r>
        <w:t xml:space="preserve"> или </w:t>
      </w:r>
      <w:hyperlink r:id="rId2674">
        <w:r>
          <w:rPr>
            <w:color w:val="0000FF"/>
          </w:rPr>
          <w:t>ГОСТ 32871</w:t>
        </w:r>
      </w:hyperlink>
      <w:r>
        <w:t xml:space="preserve"> - для водопропускных труб.</w:t>
      </w:r>
    </w:p>
    <w:p w:rsidR="00212513" w:rsidRDefault="00212513">
      <w:pPr>
        <w:pStyle w:val="ConsPlusNormal"/>
        <w:jc w:val="both"/>
      </w:pPr>
      <w:r>
        <w:t xml:space="preserve">(в ред. </w:t>
      </w:r>
      <w:hyperlink r:id="rId2675">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12.15 При определении деформаций конструктивных элементов из полимерных композитов вследствие изгиба следует учитывать сдвиг слоев материала.</w:t>
      </w:r>
    </w:p>
    <w:p w:rsidR="00212513" w:rsidRDefault="00212513">
      <w:pPr>
        <w:pStyle w:val="ConsPlusNormal"/>
        <w:spacing w:before="220"/>
        <w:ind w:firstLine="540"/>
        <w:jc w:val="both"/>
      </w:pPr>
      <w:r>
        <w:t>12.16 В расчетах сечений конструктивных элементов из полимерных композитов на прочность, ослабленных отверстиями под болты, площадь сечения элемента принимается нетто, при расчете сечений на устойчивость и жесткость - брутто.</w:t>
      </w:r>
    </w:p>
    <w:p w:rsidR="00212513" w:rsidRDefault="00212513">
      <w:pPr>
        <w:pStyle w:val="ConsPlusTitle"/>
        <w:spacing w:before="220"/>
        <w:ind w:firstLine="540"/>
        <w:jc w:val="both"/>
        <w:outlineLvl w:val="3"/>
      </w:pPr>
      <w:r>
        <w:rPr>
          <w:i/>
        </w:rPr>
        <w:t>Расчет болтовых соединений</w:t>
      </w:r>
    </w:p>
    <w:p w:rsidR="00212513" w:rsidRDefault="00212513">
      <w:pPr>
        <w:pStyle w:val="ConsPlusNormal"/>
        <w:spacing w:before="220"/>
        <w:ind w:firstLine="540"/>
        <w:jc w:val="both"/>
      </w:pPr>
      <w:r>
        <w:t xml:space="preserve">12.17 Расчет болтовых соединений выполняется в соответствии с </w:t>
      </w:r>
      <w:hyperlink w:anchor="P6057">
        <w:r>
          <w:rPr>
            <w:color w:val="0000FF"/>
          </w:rPr>
          <w:t>разделом 8</w:t>
        </w:r>
      </w:hyperlink>
      <w:r>
        <w:t xml:space="preserve">, а также с учетом положений </w:t>
      </w:r>
      <w:hyperlink r:id="rId2676">
        <w:r>
          <w:rPr>
            <w:color w:val="0000FF"/>
          </w:rPr>
          <w:t>СП 16.13330</w:t>
        </w:r>
      </w:hyperlink>
      <w:r>
        <w:t xml:space="preserve">. При этом расположение болтов в соединении следует проектировать в соответствии с </w:t>
      </w:r>
      <w:hyperlink w:anchor="P9163">
        <w:r>
          <w:rPr>
            <w:color w:val="0000FF"/>
          </w:rPr>
          <w:t>8.154</w:t>
        </w:r>
      </w:hyperlink>
      <w:r>
        <w:t>.</w:t>
      </w:r>
    </w:p>
    <w:p w:rsidR="00212513" w:rsidRDefault="00212513">
      <w:pPr>
        <w:pStyle w:val="ConsPlusNormal"/>
        <w:jc w:val="both"/>
      </w:pPr>
      <w:r>
        <w:t xml:space="preserve">(п. 12.17 в ред. </w:t>
      </w:r>
      <w:hyperlink r:id="rId2677">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t>12.18 Расчет многоболтовых соединений проводится из учета равномерного распределения усилий на все болты, при этом силы трения, возникающие в болтовых соединениях по боковым поверхностям конструктивных элементов из полимерных композитов в стыке, в расчетах не учитываются.</w:t>
      </w:r>
    </w:p>
    <w:p w:rsidR="00212513" w:rsidRDefault="00212513">
      <w:pPr>
        <w:pStyle w:val="ConsPlusNormal"/>
        <w:spacing w:before="220"/>
        <w:ind w:firstLine="540"/>
        <w:jc w:val="both"/>
      </w:pPr>
      <w:r>
        <w:t>12.19 Внешний диаметр шайбы должен быть не меньше удвоенного диаметра болта.</w:t>
      </w:r>
    </w:p>
    <w:p w:rsidR="00212513" w:rsidRDefault="00212513">
      <w:pPr>
        <w:pStyle w:val="ConsPlusNormal"/>
        <w:spacing w:before="220"/>
        <w:ind w:firstLine="540"/>
        <w:jc w:val="both"/>
      </w:pPr>
      <w:r>
        <w:t>12.20 Не допускается контакт резьбы болта и материала полимерного композита.</w:t>
      </w:r>
    </w:p>
    <w:p w:rsidR="00212513" w:rsidRDefault="00212513">
      <w:pPr>
        <w:pStyle w:val="ConsPlusNormal"/>
        <w:spacing w:before="220"/>
        <w:ind w:firstLine="540"/>
        <w:jc w:val="both"/>
      </w:pPr>
      <w:r>
        <w:t xml:space="preserve">12.21 Соединения конструктивных элементов из полимерных композитов с опорами мостовых сооружений с использованием анкерных болтов следует проектировать с учетом положений </w:t>
      </w:r>
      <w:hyperlink r:id="rId2678">
        <w:r>
          <w:rPr>
            <w:color w:val="0000FF"/>
          </w:rPr>
          <w:t>СП 43.13330</w:t>
        </w:r>
      </w:hyperlink>
      <w:r>
        <w:t>.</w:t>
      </w:r>
    </w:p>
    <w:p w:rsidR="00212513" w:rsidRDefault="00212513">
      <w:pPr>
        <w:pStyle w:val="ConsPlusNormal"/>
        <w:ind w:firstLine="540"/>
        <w:jc w:val="both"/>
      </w:pPr>
    </w:p>
    <w:p w:rsidR="00212513" w:rsidRDefault="00212513">
      <w:pPr>
        <w:pStyle w:val="ConsPlusTitle"/>
        <w:ind w:firstLine="540"/>
        <w:jc w:val="both"/>
        <w:outlineLvl w:val="2"/>
      </w:pPr>
      <w:r>
        <w:t>Конструктивные требования</w:t>
      </w:r>
    </w:p>
    <w:p w:rsidR="00212513" w:rsidRDefault="00212513">
      <w:pPr>
        <w:pStyle w:val="ConsPlusNormal"/>
        <w:ind w:firstLine="540"/>
        <w:jc w:val="both"/>
      </w:pPr>
    </w:p>
    <w:p w:rsidR="00212513" w:rsidRDefault="00212513">
      <w:pPr>
        <w:pStyle w:val="ConsPlusNormal"/>
        <w:ind w:firstLine="540"/>
        <w:jc w:val="both"/>
      </w:pPr>
      <w:r>
        <w:t>12.22 Конструктивные элементы из полимерных композитов должны быть защищены от воздействия климатических факторов (ультрафиолетового излучения, влажности и др.), в том числе путем нанесения защитного покрытия.</w:t>
      </w:r>
    </w:p>
    <w:p w:rsidR="00212513" w:rsidRDefault="00212513">
      <w:pPr>
        <w:pStyle w:val="ConsPlusNormal"/>
        <w:spacing w:before="220"/>
        <w:ind w:firstLine="540"/>
        <w:jc w:val="both"/>
      </w:pPr>
      <w:r>
        <w:t>12.23 Рабочие поверхности конструктивных элементов из полимерных композитов, служащие для передвижения транспортных средств и (или) пешеходов, должны быть защищены износостойким противоскользящим покрытием.</w:t>
      </w:r>
    </w:p>
    <w:p w:rsidR="00212513" w:rsidRDefault="00212513">
      <w:pPr>
        <w:pStyle w:val="ConsPlusNormal"/>
        <w:spacing w:before="220"/>
        <w:ind w:firstLine="540"/>
        <w:jc w:val="both"/>
      </w:pPr>
      <w:r>
        <w:t xml:space="preserve">12.24 Защитные покрытия должны наноситься преимущественно в заводских условиях. Допускается нанесение износостойких противоскользящих покрытий непосредственно на </w:t>
      </w:r>
      <w:r>
        <w:lastRenderedPageBreak/>
        <w:t>строительной площадке после установки конструктивных элементов из полимерных композитов.</w:t>
      </w:r>
    </w:p>
    <w:p w:rsidR="00212513" w:rsidRDefault="00212513">
      <w:pPr>
        <w:pStyle w:val="ConsPlusNormal"/>
        <w:spacing w:before="220"/>
        <w:ind w:firstLine="540"/>
        <w:jc w:val="both"/>
      </w:pPr>
      <w:r>
        <w:t>12.25 В связи с пониженной массой пролетных строений из полимерных композитов узлы их опирания на опоры мостового сооружения должны предотвращать отрыв пролетного строения от опор под действием сейсмических, ветровых и других сдвигающих пролетное строение нагрузок.</w:t>
      </w:r>
    </w:p>
    <w:p w:rsidR="00212513" w:rsidRDefault="00212513">
      <w:pPr>
        <w:pStyle w:val="ConsPlusNormal"/>
        <w:spacing w:before="220"/>
        <w:ind w:firstLine="540"/>
        <w:jc w:val="both"/>
      </w:pPr>
      <w:r>
        <w:t>12.26 Пролетные строения и лестничные сходы из полимерных композитов должны содержать элементы (в том числе закладные детали), обеспечивающие крепление перил, светопрозрачных галерей и других обустройств, необходимых для обеспечения нормальной эксплуатации пролетного строения из полимерного композита.</w:t>
      </w:r>
    </w:p>
    <w:p w:rsidR="00212513" w:rsidRDefault="00212513">
      <w:pPr>
        <w:pStyle w:val="ConsPlusNormal"/>
        <w:spacing w:before="220"/>
        <w:ind w:firstLine="540"/>
        <w:jc w:val="both"/>
      </w:pPr>
      <w:r>
        <w:t xml:space="preserve">12.27 В болтовых соединениях конструктивных элементов из полимерных композитов могут быть применены стали в соответствии с разделом 8, </w:t>
      </w:r>
      <w:hyperlink r:id="rId2679">
        <w:r>
          <w:rPr>
            <w:color w:val="0000FF"/>
          </w:rPr>
          <w:t>ГОСТ 33119</w:t>
        </w:r>
      </w:hyperlink>
      <w:r>
        <w:t>, а также нормативным документом, устанавливающим правила проектирования строительных конструкций из полимерных композитных пултрузионных профилей, при этом следует предусмотреть отсутствие контакта резьбы болта с полимерным композитом, в том числе путем использования защитных втулок.</w:t>
      </w: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jc w:val="right"/>
        <w:outlineLvl w:val="0"/>
      </w:pPr>
      <w:bookmarkStart w:id="468" w:name="P11287"/>
      <w:bookmarkEnd w:id="468"/>
      <w:r>
        <w:rPr>
          <w:b/>
        </w:rPr>
        <w:t>Приложение А</w:t>
      </w:r>
    </w:p>
    <w:p w:rsidR="00212513" w:rsidRDefault="00212513">
      <w:pPr>
        <w:pStyle w:val="ConsPlusNormal"/>
        <w:jc w:val="right"/>
      </w:pPr>
      <w:r>
        <w:rPr>
          <w:b/>
        </w:rPr>
        <w:t>(обязательное)</w:t>
      </w:r>
    </w:p>
    <w:p w:rsidR="00212513" w:rsidRDefault="00212513">
      <w:pPr>
        <w:pStyle w:val="ConsPlusNormal"/>
        <w:ind w:firstLine="540"/>
        <w:jc w:val="both"/>
      </w:pPr>
    </w:p>
    <w:p w:rsidR="00212513" w:rsidRDefault="00212513">
      <w:pPr>
        <w:pStyle w:val="ConsPlusTitle"/>
        <w:jc w:val="center"/>
      </w:pPr>
      <w:r>
        <w:t>ПЕРЕЧЕНЬ НОРМАТИВНЫХ ДОКУМЕНТОВ</w:t>
      </w:r>
    </w:p>
    <w:p w:rsidR="00212513" w:rsidRDefault="00212513">
      <w:pPr>
        <w:pStyle w:val="ConsPlusNormal"/>
        <w:jc w:val="center"/>
      </w:pPr>
    </w:p>
    <w:p w:rsidR="00212513" w:rsidRDefault="00212513">
      <w:pPr>
        <w:pStyle w:val="ConsPlusNormal"/>
        <w:jc w:val="center"/>
      </w:pPr>
      <w:r>
        <w:t xml:space="preserve">(приложение А в ред. </w:t>
      </w:r>
      <w:hyperlink r:id="rId2680">
        <w:r>
          <w:rPr>
            <w:color w:val="0000FF"/>
          </w:rPr>
          <w:t>Изменения N 4</w:t>
        </w:r>
      </w:hyperlink>
      <w:r>
        <w:t>, утв. Приказом</w:t>
      </w:r>
    </w:p>
    <w:p w:rsidR="00212513" w:rsidRDefault="00212513">
      <w:pPr>
        <w:pStyle w:val="ConsPlusNormal"/>
        <w:jc w:val="center"/>
      </w:pPr>
      <w:r>
        <w:t>Минстроя России от 30.05.2024 N 361/пр)</w:t>
      </w:r>
    </w:p>
    <w:p w:rsidR="00212513" w:rsidRDefault="00212513">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551"/>
        <w:gridCol w:w="6520"/>
      </w:tblGrid>
      <w:tr w:rsidR="00212513">
        <w:tc>
          <w:tcPr>
            <w:tcW w:w="2551" w:type="dxa"/>
            <w:tcBorders>
              <w:top w:val="nil"/>
              <w:left w:val="nil"/>
              <w:bottom w:val="nil"/>
              <w:right w:val="nil"/>
            </w:tcBorders>
          </w:tcPr>
          <w:p w:rsidR="00212513" w:rsidRDefault="00212513">
            <w:pPr>
              <w:pStyle w:val="ConsPlusNormal"/>
            </w:pPr>
            <w:hyperlink r:id="rId2681">
              <w:r>
                <w:rPr>
                  <w:color w:val="0000FF"/>
                </w:rPr>
                <w:t>ГОСТ 380-2005</w:t>
              </w:r>
            </w:hyperlink>
          </w:p>
        </w:tc>
        <w:tc>
          <w:tcPr>
            <w:tcW w:w="6520" w:type="dxa"/>
            <w:tcBorders>
              <w:top w:val="nil"/>
              <w:left w:val="nil"/>
              <w:bottom w:val="nil"/>
              <w:right w:val="nil"/>
            </w:tcBorders>
          </w:tcPr>
          <w:p w:rsidR="00212513" w:rsidRDefault="00212513">
            <w:pPr>
              <w:pStyle w:val="ConsPlusNormal"/>
              <w:jc w:val="both"/>
            </w:pPr>
            <w:r>
              <w:t>Сталь углеродистая обыкновенного качества. Марки</w:t>
            </w:r>
          </w:p>
        </w:tc>
      </w:tr>
      <w:tr w:rsidR="00212513">
        <w:tc>
          <w:tcPr>
            <w:tcW w:w="2551" w:type="dxa"/>
            <w:tcBorders>
              <w:top w:val="nil"/>
              <w:left w:val="nil"/>
              <w:bottom w:val="nil"/>
              <w:right w:val="nil"/>
            </w:tcBorders>
          </w:tcPr>
          <w:p w:rsidR="00212513" w:rsidRDefault="00212513">
            <w:pPr>
              <w:pStyle w:val="ConsPlusNormal"/>
            </w:pPr>
            <w:hyperlink r:id="rId2682">
              <w:r>
                <w:rPr>
                  <w:color w:val="0000FF"/>
                </w:rPr>
                <w:t>ГОСТ 535-2005</w:t>
              </w:r>
            </w:hyperlink>
          </w:p>
        </w:tc>
        <w:tc>
          <w:tcPr>
            <w:tcW w:w="6520" w:type="dxa"/>
            <w:tcBorders>
              <w:top w:val="nil"/>
              <w:left w:val="nil"/>
              <w:bottom w:val="nil"/>
              <w:right w:val="nil"/>
            </w:tcBorders>
          </w:tcPr>
          <w:p w:rsidR="00212513" w:rsidRDefault="00212513">
            <w:pPr>
              <w:pStyle w:val="ConsPlusNormal"/>
              <w:jc w:val="both"/>
            </w:pPr>
            <w:r>
              <w:t>Прокат сортовой и фасонный из стали углеродистой обыкновенного качества. Общие технические условия</w:t>
            </w:r>
          </w:p>
        </w:tc>
      </w:tr>
      <w:tr w:rsidR="00212513">
        <w:tc>
          <w:tcPr>
            <w:tcW w:w="2551" w:type="dxa"/>
            <w:tcBorders>
              <w:top w:val="nil"/>
              <w:left w:val="nil"/>
              <w:bottom w:val="nil"/>
              <w:right w:val="nil"/>
            </w:tcBorders>
          </w:tcPr>
          <w:p w:rsidR="00212513" w:rsidRDefault="00212513">
            <w:pPr>
              <w:pStyle w:val="ConsPlusNormal"/>
            </w:pPr>
            <w:hyperlink r:id="rId2683">
              <w:r>
                <w:rPr>
                  <w:color w:val="0000FF"/>
                </w:rPr>
                <w:t>ГОСТ 977-88</w:t>
              </w:r>
            </w:hyperlink>
          </w:p>
        </w:tc>
        <w:tc>
          <w:tcPr>
            <w:tcW w:w="6520" w:type="dxa"/>
            <w:tcBorders>
              <w:top w:val="nil"/>
              <w:left w:val="nil"/>
              <w:bottom w:val="nil"/>
              <w:right w:val="nil"/>
            </w:tcBorders>
          </w:tcPr>
          <w:p w:rsidR="00212513" w:rsidRDefault="00212513">
            <w:pPr>
              <w:pStyle w:val="ConsPlusNormal"/>
              <w:jc w:val="both"/>
            </w:pPr>
            <w:r>
              <w:t>Отливки стальные. Общие технические условия</w:t>
            </w:r>
          </w:p>
        </w:tc>
      </w:tr>
      <w:tr w:rsidR="00212513">
        <w:tc>
          <w:tcPr>
            <w:tcW w:w="2551" w:type="dxa"/>
            <w:tcBorders>
              <w:top w:val="nil"/>
              <w:left w:val="nil"/>
              <w:bottom w:val="nil"/>
              <w:right w:val="nil"/>
            </w:tcBorders>
          </w:tcPr>
          <w:p w:rsidR="00212513" w:rsidRDefault="00212513">
            <w:pPr>
              <w:pStyle w:val="ConsPlusNormal"/>
            </w:pPr>
            <w:hyperlink r:id="rId2684">
              <w:r>
                <w:rPr>
                  <w:color w:val="0000FF"/>
                </w:rPr>
                <w:t>ГОСТ 1050-2013</w:t>
              </w:r>
            </w:hyperlink>
          </w:p>
        </w:tc>
        <w:tc>
          <w:tcPr>
            <w:tcW w:w="6520" w:type="dxa"/>
            <w:tcBorders>
              <w:top w:val="nil"/>
              <w:left w:val="nil"/>
              <w:bottom w:val="nil"/>
              <w:right w:val="nil"/>
            </w:tcBorders>
          </w:tcPr>
          <w:p w:rsidR="00212513" w:rsidRDefault="00212513">
            <w:pPr>
              <w:pStyle w:val="ConsPlusNormal"/>
              <w:jc w:val="both"/>
            </w:pPr>
            <w:r>
              <w:t>Металлопродукция из нелегированных конструкционных качественных и специальных сталей. Общие технические условия</w:t>
            </w:r>
          </w:p>
        </w:tc>
      </w:tr>
      <w:tr w:rsidR="00212513">
        <w:tc>
          <w:tcPr>
            <w:tcW w:w="9071" w:type="dxa"/>
            <w:gridSpan w:val="2"/>
            <w:tcBorders>
              <w:top w:val="nil"/>
              <w:left w:val="nil"/>
              <w:bottom w:val="nil"/>
              <w:right w:val="nil"/>
            </w:tcBorders>
          </w:tcPr>
          <w:p w:rsidR="00212513" w:rsidRDefault="00212513">
            <w:pPr>
              <w:pStyle w:val="ConsPlusNormal"/>
            </w:pPr>
            <w:r>
              <w:t xml:space="preserve">Ссылка исключена. - </w:t>
            </w:r>
            <w:hyperlink r:id="rId2685">
              <w:r>
                <w:rPr>
                  <w:color w:val="0000FF"/>
                </w:rPr>
                <w:t>Изменение N 5</w:t>
              </w:r>
            </w:hyperlink>
            <w:r>
              <w:t>, утв. Приказом Минстроя России от 20.09.2024 N 636/пр.</w:t>
            </w:r>
          </w:p>
        </w:tc>
      </w:tr>
      <w:tr w:rsidR="00212513">
        <w:tc>
          <w:tcPr>
            <w:tcW w:w="2551" w:type="dxa"/>
            <w:tcBorders>
              <w:top w:val="nil"/>
              <w:left w:val="nil"/>
              <w:bottom w:val="nil"/>
              <w:right w:val="nil"/>
            </w:tcBorders>
          </w:tcPr>
          <w:p w:rsidR="00212513" w:rsidRDefault="00212513">
            <w:pPr>
              <w:pStyle w:val="ConsPlusNormal"/>
            </w:pPr>
            <w:hyperlink r:id="rId2686">
              <w:r>
                <w:rPr>
                  <w:color w:val="0000FF"/>
                </w:rPr>
                <w:t>ГОСТ 2246-70</w:t>
              </w:r>
            </w:hyperlink>
          </w:p>
        </w:tc>
        <w:tc>
          <w:tcPr>
            <w:tcW w:w="6520" w:type="dxa"/>
            <w:tcBorders>
              <w:top w:val="nil"/>
              <w:left w:val="nil"/>
              <w:bottom w:val="nil"/>
              <w:right w:val="nil"/>
            </w:tcBorders>
          </w:tcPr>
          <w:p w:rsidR="00212513" w:rsidRDefault="00212513">
            <w:pPr>
              <w:pStyle w:val="ConsPlusNormal"/>
              <w:jc w:val="both"/>
            </w:pPr>
            <w:r>
              <w:t>Проволока стальная сварочная. Технические условия</w:t>
            </w:r>
          </w:p>
        </w:tc>
      </w:tr>
      <w:tr w:rsidR="00212513">
        <w:tc>
          <w:tcPr>
            <w:tcW w:w="2551" w:type="dxa"/>
            <w:tcBorders>
              <w:top w:val="nil"/>
              <w:left w:val="nil"/>
              <w:bottom w:val="nil"/>
              <w:right w:val="nil"/>
            </w:tcBorders>
          </w:tcPr>
          <w:p w:rsidR="00212513" w:rsidRDefault="00212513">
            <w:pPr>
              <w:pStyle w:val="ConsPlusNormal"/>
            </w:pPr>
            <w:hyperlink r:id="rId2687">
              <w:r>
                <w:rPr>
                  <w:color w:val="0000FF"/>
                </w:rPr>
                <w:t>ГОСТ 2695-83</w:t>
              </w:r>
            </w:hyperlink>
          </w:p>
        </w:tc>
        <w:tc>
          <w:tcPr>
            <w:tcW w:w="6520" w:type="dxa"/>
            <w:tcBorders>
              <w:top w:val="nil"/>
              <w:left w:val="nil"/>
              <w:bottom w:val="nil"/>
              <w:right w:val="nil"/>
            </w:tcBorders>
          </w:tcPr>
          <w:p w:rsidR="00212513" w:rsidRDefault="00212513">
            <w:pPr>
              <w:pStyle w:val="ConsPlusNormal"/>
              <w:jc w:val="both"/>
            </w:pPr>
            <w:r>
              <w:t>Пиломатериалы лиственных пород. Технические условия</w:t>
            </w:r>
          </w:p>
        </w:tc>
      </w:tr>
      <w:tr w:rsidR="00212513">
        <w:tc>
          <w:tcPr>
            <w:tcW w:w="2551" w:type="dxa"/>
            <w:tcBorders>
              <w:top w:val="nil"/>
              <w:left w:val="nil"/>
              <w:bottom w:val="nil"/>
              <w:right w:val="nil"/>
            </w:tcBorders>
          </w:tcPr>
          <w:p w:rsidR="00212513" w:rsidRDefault="00212513">
            <w:pPr>
              <w:pStyle w:val="ConsPlusNormal"/>
            </w:pPr>
            <w:hyperlink r:id="rId2688">
              <w:r>
                <w:rPr>
                  <w:color w:val="0000FF"/>
                </w:rPr>
                <w:t>ГОСТ 2770-74</w:t>
              </w:r>
            </w:hyperlink>
          </w:p>
        </w:tc>
        <w:tc>
          <w:tcPr>
            <w:tcW w:w="6520" w:type="dxa"/>
            <w:tcBorders>
              <w:top w:val="nil"/>
              <w:left w:val="nil"/>
              <w:bottom w:val="nil"/>
              <w:right w:val="nil"/>
            </w:tcBorders>
          </w:tcPr>
          <w:p w:rsidR="00212513" w:rsidRDefault="00212513">
            <w:pPr>
              <w:pStyle w:val="ConsPlusNormal"/>
              <w:jc w:val="both"/>
            </w:pPr>
            <w:r>
              <w:t>Масло каменноугольное для пропитки древесины. Технические условия</w:t>
            </w:r>
          </w:p>
        </w:tc>
      </w:tr>
      <w:tr w:rsidR="00212513">
        <w:tc>
          <w:tcPr>
            <w:tcW w:w="2551" w:type="dxa"/>
            <w:tcBorders>
              <w:top w:val="nil"/>
              <w:left w:val="nil"/>
              <w:bottom w:val="nil"/>
              <w:right w:val="nil"/>
            </w:tcBorders>
          </w:tcPr>
          <w:p w:rsidR="00212513" w:rsidRDefault="00212513">
            <w:pPr>
              <w:pStyle w:val="ConsPlusNormal"/>
            </w:pPr>
            <w:hyperlink r:id="rId2689">
              <w:r>
                <w:rPr>
                  <w:color w:val="0000FF"/>
                </w:rPr>
                <w:t>ГОСТ 3064-80</w:t>
              </w:r>
            </w:hyperlink>
          </w:p>
        </w:tc>
        <w:tc>
          <w:tcPr>
            <w:tcW w:w="6520" w:type="dxa"/>
            <w:tcBorders>
              <w:top w:val="nil"/>
              <w:left w:val="nil"/>
              <w:bottom w:val="nil"/>
              <w:right w:val="nil"/>
            </w:tcBorders>
          </w:tcPr>
          <w:p w:rsidR="00212513" w:rsidRDefault="00212513">
            <w:pPr>
              <w:pStyle w:val="ConsPlusNormal"/>
              <w:jc w:val="both"/>
            </w:pPr>
            <w:r>
              <w:t>Канат одинарной свивки типа ТК конструкции 1 x 37(1 + 6 + 12 + 18). Сортамент</w:t>
            </w:r>
          </w:p>
        </w:tc>
      </w:tr>
      <w:tr w:rsidR="00212513">
        <w:tc>
          <w:tcPr>
            <w:tcW w:w="2551" w:type="dxa"/>
            <w:tcBorders>
              <w:top w:val="nil"/>
              <w:left w:val="nil"/>
              <w:bottom w:val="nil"/>
              <w:right w:val="nil"/>
            </w:tcBorders>
          </w:tcPr>
          <w:p w:rsidR="00212513" w:rsidRDefault="00212513">
            <w:pPr>
              <w:pStyle w:val="ConsPlusNormal"/>
            </w:pPr>
            <w:hyperlink r:id="rId2690">
              <w:r>
                <w:rPr>
                  <w:color w:val="0000FF"/>
                </w:rPr>
                <w:t>ГОСТ 3067-88</w:t>
              </w:r>
            </w:hyperlink>
          </w:p>
        </w:tc>
        <w:tc>
          <w:tcPr>
            <w:tcW w:w="6520" w:type="dxa"/>
            <w:tcBorders>
              <w:top w:val="nil"/>
              <w:left w:val="nil"/>
              <w:bottom w:val="nil"/>
              <w:right w:val="nil"/>
            </w:tcBorders>
          </w:tcPr>
          <w:p w:rsidR="00212513" w:rsidRDefault="00212513">
            <w:pPr>
              <w:pStyle w:val="ConsPlusNormal"/>
              <w:jc w:val="both"/>
            </w:pPr>
            <w:r>
              <w:t>Канат стальной двойной свивки типа ТК конструкции 6 x 19(1 + 6 + 12) + 1 x 19(1 + 6 + 12). Сортамент</w:t>
            </w:r>
          </w:p>
        </w:tc>
      </w:tr>
      <w:tr w:rsidR="00212513">
        <w:tc>
          <w:tcPr>
            <w:tcW w:w="2551" w:type="dxa"/>
            <w:tcBorders>
              <w:top w:val="nil"/>
              <w:left w:val="nil"/>
              <w:bottom w:val="nil"/>
              <w:right w:val="nil"/>
            </w:tcBorders>
          </w:tcPr>
          <w:p w:rsidR="00212513" w:rsidRDefault="00212513">
            <w:pPr>
              <w:pStyle w:val="ConsPlusNormal"/>
            </w:pPr>
            <w:hyperlink r:id="rId2691">
              <w:r>
                <w:rPr>
                  <w:color w:val="0000FF"/>
                </w:rPr>
                <w:t>ГОСТ 3090-73</w:t>
              </w:r>
            </w:hyperlink>
          </w:p>
        </w:tc>
        <w:tc>
          <w:tcPr>
            <w:tcW w:w="6520" w:type="dxa"/>
            <w:tcBorders>
              <w:top w:val="nil"/>
              <w:left w:val="nil"/>
              <w:bottom w:val="nil"/>
              <w:right w:val="nil"/>
            </w:tcBorders>
          </w:tcPr>
          <w:p w:rsidR="00212513" w:rsidRDefault="00212513">
            <w:pPr>
              <w:pStyle w:val="ConsPlusNormal"/>
              <w:jc w:val="both"/>
            </w:pPr>
            <w:r>
              <w:t xml:space="preserve">Канаты стальные. Канат закрытый несущий с одним слоем </w:t>
            </w:r>
            <w:r>
              <w:lastRenderedPageBreak/>
              <w:t>зетобразной проволоки и сердечником типа ТК. Сортамент</w:t>
            </w:r>
          </w:p>
        </w:tc>
      </w:tr>
      <w:tr w:rsidR="00212513">
        <w:tc>
          <w:tcPr>
            <w:tcW w:w="2551" w:type="dxa"/>
            <w:tcBorders>
              <w:top w:val="nil"/>
              <w:left w:val="nil"/>
              <w:bottom w:val="nil"/>
              <w:right w:val="nil"/>
            </w:tcBorders>
          </w:tcPr>
          <w:p w:rsidR="00212513" w:rsidRDefault="00212513">
            <w:pPr>
              <w:pStyle w:val="ConsPlusNormal"/>
            </w:pPr>
            <w:hyperlink r:id="rId2692">
              <w:r>
                <w:rPr>
                  <w:color w:val="0000FF"/>
                </w:rPr>
                <w:t>ГОСТ 4028-63</w:t>
              </w:r>
            </w:hyperlink>
          </w:p>
        </w:tc>
        <w:tc>
          <w:tcPr>
            <w:tcW w:w="6520" w:type="dxa"/>
            <w:tcBorders>
              <w:top w:val="nil"/>
              <w:left w:val="nil"/>
              <w:bottom w:val="nil"/>
              <w:right w:val="nil"/>
            </w:tcBorders>
          </w:tcPr>
          <w:p w:rsidR="00212513" w:rsidRDefault="00212513">
            <w:pPr>
              <w:pStyle w:val="ConsPlusNormal"/>
              <w:jc w:val="both"/>
            </w:pPr>
            <w:r>
              <w:t>Гвозди строительные. Конструкция и размеры</w:t>
            </w:r>
          </w:p>
        </w:tc>
      </w:tr>
      <w:tr w:rsidR="00212513">
        <w:tc>
          <w:tcPr>
            <w:tcW w:w="2551" w:type="dxa"/>
            <w:tcBorders>
              <w:top w:val="nil"/>
              <w:left w:val="nil"/>
              <w:bottom w:val="nil"/>
              <w:right w:val="nil"/>
            </w:tcBorders>
          </w:tcPr>
          <w:p w:rsidR="00212513" w:rsidRDefault="00212513">
            <w:pPr>
              <w:pStyle w:val="ConsPlusNormal"/>
            </w:pPr>
            <w:hyperlink r:id="rId2693">
              <w:r>
                <w:rPr>
                  <w:color w:val="0000FF"/>
                </w:rPr>
                <w:t>ГОСТ 4543-2016</w:t>
              </w:r>
            </w:hyperlink>
          </w:p>
        </w:tc>
        <w:tc>
          <w:tcPr>
            <w:tcW w:w="6520" w:type="dxa"/>
            <w:tcBorders>
              <w:top w:val="nil"/>
              <w:left w:val="nil"/>
              <w:bottom w:val="nil"/>
              <w:right w:val="nil"/>
            </w:tcBorders>
          </w:tcPr>
          <w:p w:rsidR="00212513" w:rsidRDefault="00212513">
            <w:pPr>
              <w:pStyle w:val="ConsPlusNormal"/>
              <w:jc w:val="both"/>
            </w:pPr>
            <w:r>
              <w:t>Металлопродукция из конструкционной легированной стали. Технические условия</w:t>
            </w:r>
          </w:p>
        </w:tc>
      </w:tr>
      <w:tr w:rsidR="00212513">
        <w:tc>
          <w:tcPr>
            <w:tcW w:w="9071" w:type="dxa"/>
            <w:gridSpan w:val="2"/>
            <w:tcBorders>
              <w:top w:val="nil"/>
              <w:left w:val="nil"/>
              <w:bottom w:val="nil"/>
              <w:right w:val="nil"/>
            </w:tcBorders>
          </w:tcPr>
          <w:p w:rsidR="00212513" w:rsidRDefault="00212513">
            <w:pPr>
              <w:pStyle w:val="ConsPlusNormal"/>
            </w:pPr>
            <w:r>
              <w:t xml:space="preserve">Ссылка исключена. - </w:t>
            </w:r>
            <w:hyperlink r:id="rId2694">
              <w:r>
                <w:rPr>
                  <w:color w:val="0000FF"/>
                </w:rPr>
                <w:t>Изменение N 5</w:t>
              </w:r>
            </w:hyperlink>
            <w:r>
              <w:t>, утв. Приказом Минстроя России от 20.09.2024 N 636/пр.</w:t>
            </w:r>
          </w:p>
        </w:tc>
      </w:tr>
      <w:tr w:rsidR="00212513">
        <w:tc>
          <w:tcPr>
            <w:tcW w:w="2551" w:type="dxa"/>
            <w:tcBorders>
              <w:top w:val="nil"/>
              <w:left w:val="nil"/>
              <w:bottom w:val="nil"/>
              <w:right w:val="nil"/>
            </w:tcBorders>
          </w:tcPr>
          <w:p w:rsidR="00212513" w:rsidRDefault="00212513">
            <w:pPr>
              <w:pStyle w:val="ConsPlusNormal"/>
            </w:pPr>
            <w:hyperlink r:id="rId2695">
              <w:r>
                <w:rPr>
                  <w:color w:val="0000FF"/>
                </w:rPr>
                <w:t>ГОСТ 5632-2014</w:t>
              </w:r>
            </w:hyperlink>
          </w:p>
        </w:tc>
        <w:tc>
          <w:tcPr>
            <w:tcW w:w="6520" w:type="dxa"/>
            <w:tcBorders>
              <w:top w:val="nil"/>
              <w:left w:val="nil"/>
              <w:bottom w:val="nil"/>
              <w:right w:val="nil"/>
            </w:tcBorders>
          </w:tcPr>
          <w:p w:rsidR="00212513" w:rsidRDefault="00212513">
            <w:pPr>
              <w:pStyle w:val="ConsPlusNormal"/>
              <w:jc w:val="both"/>
            </w:pPr>
            <w:r>
              <w:t>Нержавеющие стали и сплавы коррозионно-стойкие, жаростойкие и жаропрочные. Марки</w:t>
            </w:r>
          </w:p>
        </w:tc>
      </w:tr>
      <w:tr w:rsidR="00212513">
        <w:tc>
          <w:tcPr>
            <w:tcW w:w="2551" w:type="dxa"/>
            <w:tcBorders>
              <w:top w:val="nil"/>
              <w:left w:val="nil"/>
              <w:bottom w:val="nil"/>
              <w:right w:val="nil"/>
            </w:tcBorders>
          </w:tcPr>
          <w:p w:rsidR="00212513" w:rsidRDefault="00212513">
            <w:pPr>
              <w:pStyle w:val="ConsPlusNormal"/>
            </w:pPr>
            <w:hyperlink r:id="rId2696">
              <w:r>
                <w:rPr>
                  <w:color w:val="0000FF"/>
                </w:rPr>
                <w:t>ГОСТ 5781-82</w:t>
              </w:r>
            </w:hyperlink>
          </w:p>
        </w:tc>
        <w:tc>
          <w:tcPr>
            <w:tcW w:w="6520" w:type="dxa"/>
            <w:tcBorders>
              <w:top w:val="nil"/>
              <w:left w:val="nil"/>
              <w:bottom w:val="nil"/>
              <w:right w:val="nil"/>
            </w:tcBorders>
          </w:tcPr>
          <w:p w:rsidR="00212513" w:rsidRDefault="00212513">
            <w:pPr>
              <w:pStyle w:val="ConsPlusNormal"/>
              <w:jc w:val="both"/>
            </w:pPr>
            <w:r>
              <w:t>Сталь горячекатаная для армирования железобетонных конструкций. Технические условия</w:t>
            </w:r>
          </w:p>
        </w:tc>
      </w:tr>
      <w:tr w:rsidR="00212513">
        <w:tc>
          <w:tcPr>
            <w:tcW w:w="2551" w:type="dxa"/>
            <w:tcBorders>
              <w:top w:val="nil"/>
              <w:left w:val="nil"/>
              <w:bottom w:val="nil"/>
              <w:right w:val="nil"/>
            </w:tcBorders>
          </w:tcPr>
          <w:p w:rsidR="00212513" w:rsidRDefault="00212513">
            <w:pPr>
              <w:pStyle w:val="ConsPlusNormal"/>
            </w:pPr>
            <w:hyperlink r:id="rId2697">
              <w:r>
                <w:rPr>
                  <w:color w:val="0000FF"/>
                </w:rPr>
                <w:t>ГОСТ 6713-2021</w:t>
              </w:r>
            </w:hyperlink>
          </w:p>
        </w:tc>
        <w:tc>
          <w:tcPr>
            <w:tcW w:w="6520" w:type="dxa"/>
            <w:tcBorders>
              <w:top w:val="nil"/>
              <w:left w:val="nil"/>
              <w:bottom w:val="nil"/>
              <w:right w:val="nil"/>
            </w:tcBorders>
          </w:tcPr>
          <w:p w:rsidR="00212513" w:rsidRDefault="00212513">
            <w:pPr>
              <w:pStyle w:val="ConsPlusNormal"/>
              <w:jc w:val="both"/>
            </w:pPr>
            <w:r>
              <w:t>Прокат из конструкционной стали для мостостроения. Технические условия</w:t>
            </w:r>
          </w:p>
        </w:tc>
      </w:tr>
      <w:tr w:rsidR="00212513">
        <w:tc>
          <w:tcPr>
            <w:tcW w:w="2551" w:type="dxa"/>
            <w:tcBorders>
              <w:top w:val="nil"/>
              <w:left w:val="nil"/>
              <w:bottom w:val="nil"/>
              <w:right w:val="nil"/>
            </w:tcBorders>
          </w:tcPr>
          <w:p w:rsidR="00212513" w:rsidRDefault="00212513">
            <w:pPr>
              <w:pStyle w:val="ConsPlusNormal"/>
            </w:pPr>
            <w:hyperlink r:id="rId2698">
              <w:r>
                <w:rPr>
                  <w:color w:val="0000FF"/>
                </w:rPr>
                <w:t>ГОСТ 7348-81</w:t>
              </w:r>
            </w:hyperlink>
          </w:p>
        </w:tc>
        <w:tc>
          <w:tcPr>
            <w:tcW w:w="6520" w:type="dxa"/>
            <w:tcBorders>
              <w:top w:val="nil"/>
              <w:left w:val="nil"/>
              <w:bottom w:val="nil"/>
              <w:right w:val="nil"/>
            </w:tcBorders>
          </w:tcPr>
          <w:p w:rsidR="00212513" w:rsidRDefault="00212513">
            <w:pPr>
              <w:pStyle w:val="ConsPlusNormal"/>
              <w:jc w:val="both"/>
            </w:pPr>
            <w:r>
              <w:t>Проволока из углеродистой стали для армирования предварительно напряженных железобетонных конструкций. Технические условия</w:t>
            </w:r>
          </w:p>
        </w:tc>
      </w:tr>
      <w:tr w:rsidR="00212513">
        <w:tc>
          <w:tcPr>
            <w:tcW w:w="9071" w:type="dxa"/>
            <w:gridSpan w:val="2"/>
            <w:tcBorders>
              <w:top w:val="nil"/>
              <w:left w:val="nil"/>
              <w:bottom w:val="nil"/>
              <w:right w:val="nil"/>
            </w:tcBorders>
          </w:tcPr>
          <w:p w:rsidR="00212513" w:rsidRDefault="00212513">
            <w:pPr>
              <w:pStyle w:val="ConsPlusNormal"/>
            </w:pPr>
            <w:r>
              <w:t xml:space="preserve">Ссылка исключена. - </w:t>
            </w:r>
            <w:hyperlink r:id="rId2699">
              <w:r>
                <w:rPr>
                  <w:color w:val="0000FF"/>
                </w:rPr>
                <w:t>Изменение N 5</w:t>
              </w:r>
            </w:hyperlink>
            <w:r>
              <w:t>, утв. Приказом Минстроя России от 20.09.2024 N 636/пр.</w:t>
            </w:r>
          </w:p>
        </w:tc>
      </w:tr>
      <w:tr w:rsidR="00212513">
        <w:tc>
          <w:tcPr>
            <w:tcW w:w="2551" w:type="dxa"/>
            <w:tcBorders>
              <w:top w:val="nil"/>
              <w:left w:val="nil"/>
              <w:bottom w:val="nil"/>
              <w:right w:val="nil"/>
            </w:tcBorders>
          </w:tcPr>
          <w:p w:rsidR="00212513" w:rsidRDefault="00212513">
            <w:pPr>
              <w:pStyle w:val="ConsPlusNormal"/>
            </w:pPr>
            <w:hyperlink r:id="rId2700">
              <w:r>
                <w:rPr>
                  <w:color w:val="0000FF"/>
                </w:rPr>
                <w:t>ГОСТ 7675-73</w:t>
              </w:r>
            </w:hyperlink>
          </w:p>
        </w:tc>
        <w:tc>
          <w:tcPr>
            <w:tcW w:w="6520" w:type="dxa"/>
            <w:tcBorders>
              <w:top w:val="nil"/>
              <w:left w:val="nil"/>
              <w:bottom w:val="nil"/>
              <w:right w:val="nil"/>
            </w:tcBorders>
          </w:tcPr>
          <w:p w:rsidR="00212513" w:rsidRDefault="00212513">
            <w:pPr>
              <w:pStyle w:val="ConsPlusNormal"/>
              <w:jc w:val="both"/>
            </w:pPr>
            <w:r>
              <w:t>Канаты стальные. Канат закрытый несущий с одним слоем клиновидной и одним слоем зетобразной проволоки и сердечником типа ТК. Сортамент</w:t>
            </w:r>
          </w:p>
        </w:tc>
      </w:tr>
      <w:tr w:rsidR="00212513">
        <w:tc>
          <w:tcPr>
            <w:tcW w:w="2551" w:type="dxa"/>
            <w:tcBorders>
              <w:top w:val="nil"/>
              <w:left w:val="nil"/>
              <w:bottom w:val="nil"/>
              <w:right w:val="nil"/>
            </w:tcBorders>
          </w:tcPr>
          <w:p w:rsidR="00212513" w:rsidRDefault="00212513">
            <w:pPr>
              <w:pStyle w:val="ConsPlusNormal"/>
            </w:pPr>
            <w:hyperlink r:id="rId2701">
              <w:r>
                <w:rPr>
                  <w:color w:val="0000FF"/>
                </w:rPr>
                <w:t>ГОСТ 7676-73</w:t>
              </w:r>
            </w:hyperlink>
          </w:p>
        </w:tc>
        <w:tc>
          <w:tcPr>
            <w:tcW w:w="6520" w:type="dxa"/>
            <w:tcBorders>
              <w:top w:val="nil"/>
              <w:left w:val="nil"/>
              <w:bottom w:val="nil"/>
              <w:right w:val="nil"/>
            </w:tcBorders>
          </w:tcPr>
          <w:p w:rsidR="00212513" w:rsidRDefault="00212513">
            <w:pPr>
              <w:pStyle w:val="ConsPlusNormal"/>
              <w:jc w:val="both"/>
            </w:pPr>
            <w:r>
              <w:t>Канаты стальные. Канат закрытый несущий с двумя слоями клиновидной и одним слоем зетобразной проволоки и сердечником типа ТК. Сортамент</w:t>
            </w:r>
          </w:p>
        </w:tc>
      </w:tr>
      <w:tr w:rsidR="00212513">
        <w:tc>
          <w:tcPr>
            <w:tcW w:w="2551" w:type="dxa"/>
            <w:tcBorders>
              <w:top w:val="nil"/>
              <w:left w:val="nil"/>
              <w:bottom w:val="nil"/>
              <w:right w:val="nil"/>
            </w:tcBorders>
          </w:tcPr>
          <w:p w:rsidR="00212513" w:rsidRDefault="00212513">
            <w:pPr>
              <w:pStyle w:val="ConsPlusNormal"/>
            </w:pPr>
            <w:hyperlink r:id="rId2702">
              <w:r>
                <w:rPr>
                  <w:color w:val="0000FF"/>
                </w:rPr>
                <w:t>ГОСТ 8479-70</w:t>
              </w:r>
            </w:hyperlink>
          </w:p>
        </w:tc>
        <w:tc>
          <w:tcPr>
            <w:tcW w:w="6520" w:type="dxa"/>
            <w:tcBorders>
              <w:top w:val="nil"/>
              <w:left w:val="nil"/>
              <w:bottom w:val="nil"/>
              <w:right w:val="nil"/>
            </w:tcBorders>
          </w:tcPr>
          <w:p w:rsidR="00212513" w:rsidRDefault="00212513">
            <w:pPr>
              <w:pStyle w:val="ConsPlusNormal"/>
              <w:jc w:val="both"/>
            </w:pPr>
            <w:r>
              <w:t>Поковки из конструкционной углеродистой и легированной стали. Общие технические условия</w:t>
            </w:r>
          </w:p>
        </w:tc>
      </w:tr>
      <w:tr w:rsidR="00212513">
        <w:tc>
          <w:tcPr>
            <w:tcW w:w="2551" w:type="dxa"/>
            <w:tcBorders>
              <w:top w:val="nil"/>
              <w:left w:val="nil"/>
              <w:bottom w:val="nil"/>
              <w:right w:val="nil"/>
            </w:tcBorders>
          </w:tcPr>
          <w:p w:rsidR="00212513" w:rsidRDefault="00212513">
            <w:pPr>
              <w:pStyle w:val="ConsPlusNormal"/>
            </w:pPr>
            <w:hyperlink r:id="rId2703">
              <w:r>
                <w:rPr>
                  <w:color w:val="0000FF"/>
                </w:rPr>
                <w:t>ГОСТ 8486-86</w:t>
              </w:r>
            </w:hyperlink>
          </w:p>
        </w:tc>
        <w:tc>
          <w:tcPr>
            <w:tcW w:w="6520" w:type="dxa"/>
            <w:tcBorders>
              <w:top w:val="nil"/>
              <w:left w:val="nil"/>
              <w:bottom w:val="nil"/>
              <w:right w:val="nil"/>
            </w:tcBorders>
          </w:tcPr>
          <w:p w:rsidR="00212513" w:rsidRDefault="00212513">
            <w:pPr>
              <w:pStyle w:val="ConsPlusNormal"/>
              <w:jc w:val="both"/>
            </w:pPr>
            <w:r>
              <w:t>Пиломатериалы хвойных пород. Технические условия</w:t>
            </w:r>
          </w:p>
        </w:tc>
      </w:tr>
      <w:tr w:rsidR="00212513">
        <w:tc>
          <w:tcPr>
            <w:tcW w:w="2551" w:type="dxa"/>
            <w:tcBorders>
              <w:top w:val="nil"/>
              <w:left w:val="nil"/>
              <w:bottom w:val="nil"/>
              <w:right w:val="nil"/>
            </w:tcBorders>
          </w:tcPr>
          <w:p w:rsidR="00212513" w:rsidRDefault="00212513">
            <w:pPr>
              <w:pStyle w:val="ConsPlusNormal"/>
            </w:pPr>
            <w:hyperlink r:id="rId2704">
              <w:r>
                <w:rPr>
                  <w:color w:val="0000FF"/>
                </w:rPr>
                <w:t>ГОСТ 8509-93</w:t>
              </w:r>
            </w:hyperlink>
          </w:p>
        </w:tc>
        <w:tc>
          <w:tcPr>
            <w:tcW w:w="6520" w:type="dxa"/>
            <w:tcBorders>
              <w:top w:val="nil"/>
              <w:left w:val="nil"/>
              <w:bottom w:val="nil"/>
              <w:right w:val="nil"/>
            </w:tcBorders>
          </w:tcPr>
          <w:p w:rsidR="00212513" w:rsidRDefault="00212513">
            <w:pPr>
              <w:pStyle w:val="ConsPlusNormal"/>
              <w:jc w:val="both"/>
            </w:pPr>
            <w:r>
              <w:t>Уголки стальные горячекатаные равнополочные. Сортамент</w:t>
            </w:r>
          </w:p>
        </w:tc>
      </w:tr>
      <w:tr w:rsidR="00212513">
        <w:tc>
          <w:tcPr>
            <w:tcW w:w="2551" w:type="dxa"/>
            <w:tcBorders>
              <w:top w:val="nil"/>
              <w:left w:val="nil"/>
              <w:bottom w:val="nil"/>
              <w:right w:val="nil"/>
            </w:tcBorders>
          </w:tcPr>
          <w:p w:rsidR="00212513" w:rsidRDefault="00212513">
            <w:pPr>
              <w:pStyle w:val="ConsPlusNormal"/>
            </w:pPr>
            <w:hyperlink r:id="rId2705">
              <w:r>
                <w:rPr>
                  <w:color w:val="0000FF"/>
                </w:rPr>
                <w:t>ГОСТ 8510-86</w:t>
              </w:r>
            </w:hyperlink>
          </w:p>
        </w:tc>
        <w:tc>
          <w:tcPr>
            <w:tcW w:w="6520" w:type="dxa"/>
            <w:tcBorders>
              <w:top w:val="nil"/>
              <w:left w:val="nil"/>
              <w:bottom w:val="nil"/>
              <w:right w:val="nil"/>
            </w:tcBorders>
          </w:tcPr>
          <w:p w:rsidR="00212513" w:rsidRDefault="00212513">
            <w:pPr>
              <w:pStyle w:val="ConsPlusNormal"/>
              <w:jc w:val="both"/>
            </w:pPr>
            <w:r>
              <w:t>Уголки стальные горячекатаные неравнополочные. Сортамент</w:t>
            </w:r>
          </w:p>
        </w:tc>
      </w:tr>
      <w:tr w:rsidR="00212513">
        <w:tc>
          <w:tcPr>
            <w:tcW w:w="2551" w:type="dxa"/>
            <w:tcBorders>
              <w:top w:val="nil"/>
              <w:left w:val="nil"/>
              <w:bottom w:val="nil"/>
              <w:right w:val="nil"/>
            </w:tcBorders>
          </w:tcPr>
          <w:p w:rsidR="00212513" w:rsidRDefault="00212513">
            <w:pPr>
              <w:pStyle w:val="ConsPlusNormal"/>
            </w:pPr>
            <w:hyperlink r:id="rId2706">
              <w:r>
                <w:rPr>
                  <w:color w:val="0000FF"/>
                </w:rPr>
                <w:t>ГОСТ 8639-82</w:t>
              </w:r>
            </w:hyperlink>
          </w:p>
        </w:tc>
        <w:tc>
          <w:tcPr>
            <w:tcW w:w="6520" w:type="dxa"/>
            <w:tcBorders>
              <w:top w:val="nil"/>
              <w:left w:val="nil"/>
              <w:bottom w:val="nil"/>
              <w:right w:val="nil"/>
            </w:tcBorders>
          </w:tcPr>
          <w:p w:rsidR="00212513" w:rsidRDefault="00212513">
            <w:pPr>
              <w:pStyle w:val="ConsPlusNormal"/>
              <w:jc w:val="both"/>
            </w:pPr>
            <w:r>
              <w:t>Трубы стальные квадратные. Сортамент</w:t>
            </w:r>
          </w:p>
        </w:tc>
      </w:tr>
      <w:tr w:rsidR="00212513">
        <w:tc>
          <w:tcPr>
            <w:tcW w:w="2551" w:type="dxa"/>
            <w:tcBorders>
              <w:top w:val="nil"/>
              <w:left w:val="nil"/>
              <w:bottom w:val="nil"/>
              <w:right w:val="nil"/>
            </w:tcBorders>
          </w:tcPr>
          <w:p w:rsidR="00212513" w:rsidRDefault="00212513">
            <w:pPr>
              <w:pStyle w:val="ConsPlusNormal"/>
            </w:pPr>
            <w:hyperlink r:id="rId2707">
              <w:r>
                <w:rPr>
                  <w:color w:val="0000FF"/>
                </w:rPr>
                <w:t>ГОСТ 9128-2013</w:t>
              </w:r>
            </w:hyperlink>
          </w:p>
        </w:tc>
        <w:tc>
          <w:tcPr>
            <w:tcW w:w="6520" w:type="dxa"/>
            <w:tcBorders>
              <w:top w:val="nil"/>
              <w:left w:val="nil"/>
              <w:bottom w:val="nil"/>
              <w:right w:val="nil"/>
            </w:tcBorders>
          </w:tcPr>
          <w:p w:rsidR="00212513" w:rsidRDefault="00212513">
            <w:pPr>
              <w:pStyle w:val="ConsPlusNormal"/>
              <w:jc w:val="both"/>
            </w:pPr>
            <w:r>
              <w:t>Смеси асфальтобетонные, полимерасфальтобетонные, асфальтобетон, полимерасфальтобетон для автомобильных дорог и аэродромов. Технические условия</w:t>
            </w:r>
          </w:p>
        </w:tc>
      </w:tr>
      <w:tr w:rsidR="00212513">
        <w:tc>
          <w:tcPr>
            <w:tcW w:w="2551" w:type="dxa"/>
            <w:tcBorders>
              <w:top w:val="nil"/>
              <w:left w:val="nil"/>
              <w:bottom w:val="nil"/>
              <w:right w:val="nil"/>
            </w:tcBorders>
          </w:tcPr>
          <w:p w:rsidR="00212513" w:rsidRDefault="00212513">
            <w:pPr>
              <w:pStyle w:val="ConsPlusNormal"/>
            </w:pPr>
            <w:hyperlink r:id="rId2708">
              <w:r>
                <w:rPr>
                  <w:color w:val="0000FF"/>
                </w:rPr>
                <w:t>ГОСТ 9238-2022</w:t>
              </w:r>
            </w:hyperlink>
          </w:p>
        </w:tc>
        <w:tc>
          <w:tcPr>
            <w:tcW w:w="6520" w:type="dxa"/>
            <w:tcBorders>
              <w:top w:val="nil"/>
              <w:left w:val="nil"/>
              <w:bottom w:val="nil"/>
              <w:right w:val="nil"/>
            </w:tcBorders>
          </w:tcPr>
          <w:p w:rsidR="00212513" w:rsidRDefault="00212513">
            <w:pPr>
              <w:pStyle w:val="ConsPlusNormal"/>
              <w:jc w:val="both"/>
            </w:pPr>
            <w:r>
              <w:t>Габариты железнодорожного подвижного состава и приближения строений</w:t>
            </w:r>
          </w:p>
        </w:tc>
      </w:tr>
      <w:tr w:rsidR="00212513">
        <w:tc>
          <w:tcPr>
            <w:tcW w:w="2551" w:type="dxa"/>
            <w:tcBorders>
              <w:top w:val="nil"/>
              <w:left w:val="nil"/>
              <w:bottom w:val="nil"/>
              <w:right w:val="nil"/>
            </w:tcBorders>
          </w:tcPr>
          <w:p w:rsidR="00212513" w:rsidRDefault="00212513">
            <w:pPr>
              <w:pStyle w:val="ConsPlusNormal"/>
            </w:pPr>
            <w:hyperlink r:id="rId2709">
              <w:r>
                <w:rPr>
                  <w:color w:val="0000FF"/>
                </w:rPr>
                <w:t>ГОСТ 9462-2016</w:t>
              </w:r>
            </w:hyperlink>
          </w:p>
        </w:tc>
        <w:tc>
          <w:tcPr>
            <w:tcW w:w="6520" w:type="dxa"/>
            <w:tcBorders>
              <w:top w:val="nil"/>
              <w:left w:val="nil"/>
              <w:bottom w:val="nil"/>
              <w:right w:val="nil"/>
            </w:tcBorders>
          </w:tcPr>
          <w:p w:rsidR="00212513" w:rsidRDefault="00212513">
            <w:pPr>
              <w:pStyle w:val="ConsPlusNormal"/>
              <w:jc w:val="both"/>
            </w:pPr>
            <w:r>
              <w:t>Лесоматериалы круглые лиственных пород. Технические условия</w:t>
            </w:r>
          </w:p>
        </w:tc>
      </w:tr>
      <w:tr w:rsidR="00212513">
        <w:tc>
          <w:tcPr>
            <w:tcW w:w="2551" w:type="dxa"/>
            <w:tcBorders>
              <w:top w:val="nil"/>
              <w:left w:val="nil"/>
              <w:bottom w:val="nil"/>
              <w:right w:val="nil"/>
            </w:tcBorders>
          </w:tcPr>
          <w:p w:rsidR="00212513" w:rsidRDefault="00212513">
            <w:pPr>
              <w:pStyle w:val="ConsPlusNormal"/>
            </w:pPr>
            <w:hyperlink r:id="rId2710">
              <w:r>
                <w:rPr>
                  <w:color w:val="0000FF"/>
                </w:rPr>
                <w:t>ГОСТ 9463-2016</w:t>
              </w:r>
            </w:hyperlink>
          </w:p>
        </w:tc>
        <w:tc>
          <w:tcPr>
            <w:tcW w:w="6520" w:type="dxa"/>
            <w:tcBorders>
              <w:top w:val="nil"/>
              <w:left w:val="nil"/>
              <w:bottom w:val="nil"/>
              <w:right w:val="nil"/>
            </w:tcBorders>
          </w:tcPr>
          <w:p w:rsidR="00212513" w:rsidRDefault="00212513">
            <w:pPr>
              <w:pStyle w:val="ConsPlusNormal"/>
              <w:jc w:val="both"/>
            </w:pPr>
            <w:r>
              <w:t>Лесоматериалы круглые хвойных пород. Технические условия</w:t>
            </w:r>
          </w:p>
        </w:tc>
      </w:tr>
      <w:tr w:rsidR="00212513">
        <w:tc>
          <w:tcPr>
            <w:tcW w:w="2551" w:type="dxa"/>
            <w:tcBorders>
              <w:top w:val="nil"/>
              <w:left w:val="nil"/>
              <w:bottom w:val="nil"/>
              <w:right w:val="nil"/>
            </w:tcBorders>
          </w:tcPr>
          <w:p w:rsidR="00212513" w:rsidRDefault="00212513">
            <w:pPr>
              <w:pStyle w:val="ConsPlusNormal"/>
            </w:pPr>
            <w:hyperlink r:id="rId2711">
              <w:r>
                <w:rPr>
                  <w:color w:val="0000FF"/>
                </w:rPr>
                <w:t>ГОСТ 9467-75</w:t>
              </w:r>
            </w:hyperlink>
          </w:p>
        </w:tc>
        <w:tc>
          <w:tcPr>
            <w:tcW w:w="6520" w:type="dxa"/>
            <w:tcBorders>
              <w:top w:val="nil"/>
              <w:left w:val="nil"/>
              <w:bottom w:val="nil"/>
              <w:right w:val="nil"/>
            </w:tcBorders>
          </w:tcPr>
          <w:p w:rsidR="00212513" w:rsidRDefault="00212513">
            <w:pPr>
              <w:pStyle w:val="ConsPlusNormal"/>
              <w:jc w:val="both"/>
            </w:pPr>
            <w:r>
              <w:t>Электроды покрытые металлические для ручной дуговой сварки конструкционных и теплоустойчивых сталей. Типы</w:t>
            </w:r>
          </w:p>
        </w:tc>
      </w:tr>
      <w:tr w:rsidR="00212513">
        <w:tc>
          <w:tcPr>
            <w:tcW w:w="2551" w:type="dxa"/>
            <w:tcBorders>
              <w:top w:val="nil"/>
              <w:left w:val="nil"/>
              <w:bottom w:val="nil"/>
              <w:right w:val="nil"/>
            </w:tcBorders>
          </w:tcPr>
          <w:p w:rsidR="00212513" w:rsidRDefault="00212513">
            <w:pPr>
              <w:pStyle w:val="ConsPlusNormal"/>
            </w:pPr>
            <w:hyperlink r:id="rId2712">
              <w:r>
                <w:rPr>
                  <w:color w:val="0000FF"/>
                </w:rPr>
                <w:t>ГОСТ 10060-2012</w:t>
              </w:r>
            </w:hyperlink>
          </w:p>
        </w:tc>
        <w:tc>
          <w:tcPr>
            <w:tcW w:w="6520" w:type="dxa"/>
            <w:tcBorders>
              <w:top w:val="nil"/>
              <w:left w:val="nil"/>
              <w:bottom w:val="nil"/>
              <w:right w:val="nil"/>
            </w:tcBorders>
          </w:tcPr>
          <w:p w:rsidR="00212513" w:rsidRDefault="00212513">
            <w:pPr>
              <w:pStyle w:val="ConsPlusNormal"/>
              <w:jc w:val="both"/>
            </w:pPr>
            <w:r>
              <w:t>Бетоны. Методы определения морозостойкости</w:t>
            </w:r>
          </w:p>
        </w:tc>
      </w:tr>
      <w:tr w:rsidR="00212513">
        <w:tc>
          <w:tcPr>
            <w:tcW w:w="2551" w:type="dxa"/>
            <w:tcBorders>
              <w:top w:val="nil"/>
              <w:left w:val="nil"/>
              <w:bottom w:val="nil"/>
              <w:right w:val="nil"/>
            </w:tcBorders>
          </w:tcPr>
          <w:p w:rsidR="00212513" w:rsidRDefault="00212513">
            <w:pPr>
              <w:pStyle w:val="ConsPlusNormal"/>
            </w:pPr>
            <w:hyperlink r:id="rId2713">
              <w:r>
                <w:rPr>
                  <w:color w:val="0000FF"/>
                </w:rPr>
                <w:t>ГОСТ 10885-85</w:t>
              </w:r>
            </w:hyperlink>
          </w:p>
        </w:tc>
        <w:tc>
          <w:tcPr>
            <w:tcW w:w="6520" w:type="dxa"/>
            <w:tcBorders>
              <w:top w:val="nil"/>
              <w:left w:val="nil"/>
              <w:bottom w:val="nil"/>
              <w:right w:val="nil"/>
            </w:tcBorders>
          </w:tcPr>
          <w:p w:rsidR="00212513" w:rsidRDefault="00212513">
            <w:pPr>
              <w:pStyle w:val="ConsPlusNormal"/>
              <w:jc w:val="both"/>
            </w:pPr>
            <w:r>
              <w:t>Сталь листовая горячекатаная двухслойная коррозионно-стойкая. Технические условия</w:t>
            </w:r>
          </w:p>
        </w:tc>
      </w:tr>
      <w:tr w:rsidR="00212513">
        <w:tc>
          <w:tcPr>
            <w:tcW w:w="2551" w:type="dxa"/>
            <w:tcBorders>
              <w:top w:val="nil"/>
              <w:left w:val="nil"/>
              <w:bottom w:val="nil"/>
              <w:right w:val="nil"/>
            </w:tcBorders>
          </w:tcPr>
          <w:p w:rsidR="00212513" w:rsidRDefault="00212513">
            <w:pPr>
              <w:pStyle w:val="ConsPlusNormal"/>
            </w:pPr>
            <w:hyperlink r:id="rId2714">
              <w:r>
                <w:rPr>
                  <w:color w:val="0000FF"/>
                </w:rPr>
                <w:t>ГОСТ 12730.5-2018</w:t>
              </w:r>
            </w:hyperlink>
          </w:p>
        </w:tc>
        <w:tc>
          <w:tcPr>
            <w:tcW w:w="6520" w:type="dxa"/>
            <w:tcBorders>
              <w:top w:val="nil"/>
              <w:left w:val="nil"/>
              <w:bottom w:val="nil"/>
              <w:right w:val="nil"/>
            </w:tcBorders>
          </w:tcPr>
          <w:p w:rsidR="00212513" w:rsidRDefault="00212513">
            <w:pPr>
              <w:pStyle w:val="ConsPlusNormal"/>
              <w:jc w:val="both"/>
            </w:pPr>
            <w:r>
              <w:t>Бетоны. Методы определения водонепроницаемости</w:t>
            </w:r>
          </w:p>
        </w:tc>
      </w:tr>
      <w:tr w:rsidR="00212513">
        <w:tc>
          <w:tcPr>
            <w:tcW w:w="2551" w:type="dxa"/>
            <w:tcBorders>
              <w:top w:val="nil"/>
              <w:left w:val="nil"/>
              <w:bottom w:val="nil"/>
              <w:right w:val="nil"/>
            </w:tcBorders>
          </w:tcPr>
          <w:p w:rsidR="00212513" w:rsidRDefault="00212513">
            <w:pPr>
              <w:pStyle w:val="ConsPlusNormal"/>
            </w:pPr>
            <w:hyperlink r:id="rId2715">
              <w:r>
                <w:rPr>
                  <w:color w:val="0000FF"/>
                </w:rPr>
                <w:t>ГОСТ 13015-2012</w:t>
              </w:r>
            </w:hyperlink>
          </w:p>
        </w:tc>
        <w:tc>
          <w:tcPr>
            <w:tcW w:w="6520" w:type="dxa"/>
            <w:tcBorders>
              <w:top w:val="nil"/>
              <w:left w:val="nil"/>
              <w:bottom w:val="nil"/>
              <w:right w:val="nil"/>
            </w:tcBorders>
          </w:tcPr>
          <w:p w:rsidR="00212513" w:rsidRDefault="00212513">
            <w:pPr>
              <w:pStyle w:val="ConsPlusNormal"/>
              <w:jc w:val="both"/>
            </w:pPr>
            <w:r>
              <w:t>Изделия бетонные и железобетонные для строительства. Общие технические требования. Правила приемки, маркировки, транспортирования и хранения</w:t>
            </w:r>
          </w:p>
        </w:tc>
      </w:tr>
      <w:tr w:rsidR="00212513">
        <w:tc>
          <w:tcPr>
            <w:tcW w:w="9071" w:type="dxa"/>
            <w:gridSpan w:val="2"/>
            <w:tcBorders>
              <w:top w:val="nil"/>
              <w:left w:val="nil"/>
              <w:bottom w:val="nil"/>
              <w:right w:val="nil"/>
            </w:tcBorders>
          </w:tcPr>
          <w:p w:rsidR="00212513" w:rsidRDefault="00212513">
            <w:pPr>
              <w:pStyle w:val="ConsPlusNormal"/>
            </w:pPr>
            <w:r>
              <w:t xml:space="preserve">Ссылка исключена. - </w:t>
            </w:r>
            <w:hyperlink r:id="rId2716">
              <w:r>
                <w:rPr>
                  <w:color w:val="0000FF"/>
                </w:rPr>
                <w:t>Изменение N 5</w:t>
              </w:r>
            </w:hyperlink>
            <w:r>
              <w:t>, утв. Приказом Минстроя России от 20.09.2024 N 636/пр.</w:t>
            </w:r>
          </w:p>
        </w:tc>
      </w:tr>
      <w:tr w:rsidR="00212513">
        <w:tc>
          <w:tcPr>
            <w:tcW w:w="2551" w:type="dxa"/>
            <w:tcBorders>
              <w:top w:val="nil"/>
              <w:left w:val="nil"/>
              <w:bottom w:val="nil"/>
              <w:right w:val="nil"/>
            </w:tcBorders>
          </w:tcPr>
          <w:p w:rsidR="00212513" w:rsidRDefault="00212513">
            <w:pPr>
              <w:pStyle w:val="ConsPlusNormal"/>
            </w:pPr>
            <w:hyperlink r:id="rId2717">
              <w:r>
                <w:rPr>
                  <w:color w:val="0000FF"/>
                </w:rPr>
                <w:t>ГОСТ 13840-68</w:t>
              </w:r>
            </w:hyperlink>
          </w:p>
        </w:tc>
        <w:tc>
          <w:tcPr>
            <w:tcW w:w="6520" w:type="dxa"/>
            <w:tcBorders>
              <w:top w:val="nil"/>
              <w:left w:val="nil"/>
              <w:bottom w:val="nil"/>
              <w:right w:val="nil"/>
            </w:tcBorders>
          </w:tcPr>
          <w:p w:rsidR="00212513" w:rsidRDefault="00212513">
            <w:pPr>
              <w:pStyle w:val="ConsPlusNormal"/>
              <w:jc w:val="both"/>
            </w:pPr>
            <w:r>
              <w:t>Канаты стальные арматурные 1x7. Технические условия</w:t>
            </w:r>
          </w:p>
        </w:tc>
      </w:tr>
      <w:tr w:rsidR="00212513">
        <w:tc>
          <w:tcPr>
            <w:tcW w:w="2551" w:type="dxa"/>
            <w:tcBorders>
              <w:top w:val="nil"/>
              <w:left w:val="nil"/>
              <w:bottom w:val="nil"/>
              <w:right w:val="nil"/>
            </w:tcBorders>
          </w:tcPr>
          <w:p w:rsidR="00212513" w:rsidRDefault="00212513">
            <w:pPr>
              <w:pStyle w:val="ConsPlusNormal"/>
            </w:pPr>
            <w:hyperlink r:id="rId2718">
              <w:r>
                <w:rPr>
                  <w:color w:val="0000FF"/>
                </w:rPr>
                <w:t>ГОСТ 14098-2014</w:t>
              </w:r>
            </w:hyperlink>
          </w:p>
        </w:tc>
        <w:tc>
          <w:tcPr>
            <w:tcW w:w="6520" w:type="dxa"/>
            <w:tcBorders>
              <w:top w:val="nil"/>
              <w:left w:val="nil"/>
              <w:bottom w:val="nil"/>
              <w:right w:val="nil"/>
            </w:tcBorders>
          </w:tcPr>
          <w:p w:rsidR="00212513" w:rsidRDefault="00212513">
            <w:pPr>
              <w:pStyle w:val="ConsPlusNormal"/>
              <w:jc w:val="both"/>
            </w:pPr>
            <w:r>
              <w:t>Соединения сварные арматуры и закладных изделий железобетонных конструкций. Типы, конструкции и размеры</w:t>
            </w:r>
          </w:p>
        </w:tc>
      </w:tr>
      <w:tr w:rsidR="00212513">
        <w:tc>
          <w:tcPr>
            <w:tcW w:w="2551" w:type="dxa"/>
            <w:tcBorders>
              <w:top w:val="nil"/>
              <w:left w:val="nil"/>
              <w:bottom w:val="nil"/>
              <w:right w:val="nil"/>
            </w:tcBorders>
          </w:tcPr>
          <w:p w:rsidR="00212513" w:rsidRDefault="00212513">
            <w:pPr>
              <w:pStyle w:val="ConsPlusNormal"/>
            </w:pPr>
            <w:hyperlink r:id="rId2719">
              <w:r>
                <w:rPr>
                  <w:color w:val="0000FF"/>
                </w:rPr>
                <w:t>ГОСТ 14637-89</w:t>
              </w:r>
            </w:hyperlink>
          </w:p>
        </w:tc>
        <w:tc>
          <w:tcPr>
            <w:tcW w:w="6520" w:type="dxa"/>
            <w:tcBorders>
              <w:top w:val="nil"/>
              <w:left w:val="nil"/>
              <w:bottom w:val="nil"/>
              <w:right w:val="nil"/>
            </w:tcBorders>
          </w:tcPr>
          <w:p w:rsidR="00212513" w:rsidRDefault="00212513">
            <w:pPr>
              <w:pStyle w:val="ConsPlusNormal"/>
              <w:jc w:val="both"/>
            </w:pPr>
            <w:r>
              <w:t>Прокат толстолистовой из углеродистой стали обыкновенного качества. Технические условия</w:t>
            </w:r>
          </w:p>
        </w:tc>
      </w:tr>
      <w:tr w:rsidR="00212513">
        <w:tc>
          <w:tcPr>
            <w:tcW w:w="2551" w:type="dxa"/>
            <w:tcBorders>
              <w:top w:val="nil"/>
              <w:left w:val="nil"/>
              <w:bottom w:val="nil"/>
              <w:right w:val="nil"/>
            </w:tcBorders>
          </w:tcPr>
          <w:p w:rsidR="00212513" w:rsidRDefault="00212513">
            <w:pPr>
              <w:pStyle w:val="ConsPlusNormal"/>
            </w:pPr>
            <w:hyperlink r:id="rId2720">
              <w:r>
                <w:rPr>
                  <w:color w:val="0000FF"/>
                </w:rPr>
                <w:t>ГОСТ 16483.10-73</w:t>
              </w:r>
            </w:hyperlink>
          </w:p>
        </w:tc>
        <w:tc>
          <w:tcPr>
            <w:tcW w:w="6520" w:type="dxa"/>
            <w:tcBorders>
              <w:top w:val="nil"/>
              <w:left w:val="nil"/>
              <w:bottom w:val="nil"/>
              <w:right w:val="nil"/>
            </w:tcBorders>
          </w:tcPr>
          <w:p w:rsidR="00212513" w:rsidRDefault="00212513">
            <w:pPr>
              <w:pStyle w:val="ConsPlusNormal"/>
              <w:jc w:val="both"/>
            </w:pPr>
            <w:r>
              <w:t>Древесина. Методы определения предела прочности при сжатии вдоль волокон</w:t>
            </w:r>
          </w:p>
        </w:tc>
      </w:tr>
      <w:tr w:rsidR="00212513">
        <w:tc>
          <w:tcPr>
            <w:tcW w:w="2551" w:type="dxa"/>
            <w:tcBorders>
              <w:top w:val="nil"/>
              <w:left w:val="nil"/>
              <w:bottom w:val="nil"/>
              <w:right w:val="nil"/>
            </w:tcBorders>
          </w:tcPr>
          <w:p w:rsidR="00212513" w:rsidRDefault="00212513">
            <w:pPr>
              <w:pStyle w:val="ConsPlusNormal"/>
            </w:pPr>
            <w:hyperlink r:id="rId2721">
              <w:r>
                <w:rPr>
                  <w:color w:val="0000FF"/>
                </w:rPr>
                <w:t>ГОСТ 18899-73</w:t>
              </w:r>
            </w:hyperlink>
          </w:p>
        </w:tc>
        <w:tc>
          <w:tcPr>
            <w:tcW w:w="6520" w:type="dxa"/>
            <w:tcBorders>
              <w:top w:val="nil"/>
              <w:left w:val="nil"/>
              <w:bottom w:val="nil"/>
              <w:right w:val="nil"/>
            </w:tcBorders>
          </w:tcPr>
          <w:p w:rsidR="00212513" w:rsidRDefault="00212513">
            <w:pPr>
              <w:pStyle w:val="ConsPlusNormal"/>
              <w:jc w:val="both"/>
            </w:pPr>
            <w:r>
              <w:t>Канаты стальные. Канаты закрытые несущие. Технические условия</w:t>
            </w:r>
          </w:p>
        </w:tc>
      </w:tr>
      <w:tr w:rsidR="00212513">
        <w:tc>
          <w:tcPr>
            <w:tcW w:w="9071" w:type="dxa"/>
            <w:gridSpan w:val="2"/>
            <w:tcBorders>
              <w:top w:val="nil"/>
              <w:left w:val="nil"/>
              <w:bottom w:val="nil"/>
              <w:right w:val="nil"/>
            </w:tcBorders>
          </w:tcPr>
          <w:p w:rsidR="00212513" w:rsidRDefault="00212513">
            <w:pPr>
              <w:pStyle w:val="ConsPlusNormal"/>
            </w:pPr>
            <w:r>
              <w:t xml:space="preserve">Ссылка исключена. - </w:t>
            </w:r>
            <w:hyperlink r:id="rId2722">
              <w:r>
                <w:rPr>
                  <w:color w:val="0000FF"/>
                </w:rPr>
                <w:t>Изменение N 5</w:t>
              </w:r>
            </w:hyperlink>
            <w:r>
              <w:t>, утв. Приказом Минстроя России от 20.09.2024 N 636/пр.</w:t>
            </w:r>
          </w:p>
        </w:tc>
      </w:tr>
      <w:tr w:rsidR="00212513">
        <w:tc>
          <w:tcPr>
            <w:tcW w:w="9071" w:type="dxa"/>
            <w:gridSpan w:val="2"/>
            <w:tcBorders>
              <w:top w:val="nil"/>
              <w:left w:val="nil"/>
              <w:bottom w:val="nil"/>
              <w:right w:val="nil"/>
            </w:tcBorders>
          </w:tcPr>
          <w:p w:rsidR="00212513" w:rsidRDefault="00212513">
            <w:pPr>
              <w:pStyle w:val="ConsPlusNormal"/>
            </w:pPr>
            <w:r>
              <w:t xml:space="preserve">Ссылка исключена. - </w:t>
            </w:r>
            <w:hyperlink r:id="rId2723">
              <w:r>
                <w:rPr>
                  <w:color w:val="0000FF"/>
                </w:rPr>
                <w:t>Изменение N 5</w:t>
              </w:r>
            </w:hyperlink>
            <w:r>
              <w:t>, утв. Приказом Минстроя России от 20.09.2024 N 636/пр.</w:t>
            </w:r>
          </w:p>
        </w:tc>
      </w:tr>
      <w:tr w:rsidR="00212513">
        <w:tc>
          <w:tcPr>
            <w:tcW w:w="9071" w:type="dxa"/>
            <w:gridSpan w:val="2"/>
            <w:tcBorders>
              <w:top w:val="nil"/>
              <w:left w:val="nil"/>
              <w:bottom w:val="nil"/>
              <w:right w:val="nil"/>
            </w:tcBorders>
          </w:tcPr>
          <w:p w:rsidR="00212513" w:rsidRDefault="00212513">
            <w:pPr>
              <w:pStyle w:val="ConsPlusNormal"/>
            </w:pPr>
            <w:r>
              <w:t xml:space="preserve">Ссылка исключена. - </w:t>
            </w:r>
            <w:hyperlink r:id="rId2724">
              <w:r>
                <w:rPr>
                  <w:color w:val="0000FF"/>
                </w:rPr>
                <w:t>Изменение N 5</w:t>
              </w:r>
            </w:hyperlink>
            <w:r>
              <w:t>, утв. Приказом Минстроя России от 20.09.2024 N 636/пр.</w:t>
            </w:r>
          </w:p>
        </w:tc>
      </w:tr>
      <w:tr w:rsidR="00212513">
        <w:tc>
          <w:tcPr>
            <w:tcW w:w="9071" w:type="dxa"/>
            <w:gridSpan w:val="2"/>
            <w:tcBorders>
              <w:top w:val="nil"/>
              <w:left w:val="nil"/>
              <w:bottom w:val="nil"/>
              <w:right w:val="nil"/>
            </w:tcBorders>
          </w:tcPr>
          <w:p w:rsidR="00212513" w:rsidRDefault="00212513">
            <w:pPr>
              <w:pStyle w:val="ConsPlusNormal"/>
            </w:pPr>
            <w:r>
              <w:t xml:space="preserve">Ссылка исключена. - </w:t>
            </w:r>
            <w:hyperlink r:id="rId2725">
              <w:r>
                <w:rPr>
                  <w:color w:val="0000FF"/>
                </w:rPr>
                <w:t>Изменение N 5</w:t>
              </w:r>
            </w:hyperlink>
            <w:r>
              <w:t>, утв. Приказом Минстроя России от 20.09.2024 N 636/пр.</w:t>
            </w:r>
          </w:p>
        </w:tc>
      </w:tr>
      <w:tr w:rsidR="00212513">
        <w:tc>
          <w:tcPr>
            <w:tcW w:w="2551" w:type="dxa"/>
            <w:tcBorders>
              <w:top w:val="nil"/>
              <w:left w:val="nil"/>
              <w:bottom w:val="nil"/>
              <w:right w:val="nil"/>
            </w:tcBorders>
          </w:tcPr>
          <w:p w:rsidR="00212513" w:rsidRDefault="00212513">
            <w:pPr>
              <w:pStyle w:val="ConsPlusNormal"/>
            </w:pPr>
            <w:hyperlink r:id="rId2726">
              <w:r>
                <w:rPr>
                  <w:color w:val="0000FF"/>
                </w:rPr>
                <w:t>ГОСТ 23279-2012</w:t>
              </w:r>
            </w:hyperlink>
          </w:p>
        </w:tc>
        <w:tc>
          <w:tcPr>
            <w:tcW w:w="6520" w:type="dxa"/>
            <w:tcBorders>
              <w:top w:val="nil"/>
              <w:left w:val="nil"/>
              <w:bottom w:val="nil"/>
              <w:right w:val="nil"/>
            </w:tcBorders>
          </w:tcPr>
          <w:p w:rsidR="00212513" w:rsidRDefault="00212513">
            <w:pPr>
              <w:pStyle w:val="ConsPlusNormal"/>
              <w:jc w:val="both"/>
            </w:pPr>
            <w:r>
              <w:t>Сетки арматурные сварные для железобетонных конструкций и изделий. Общие технические условия</w:t>
            </w:r>
          </w:p>
        </w:tc>
      </w:tr>
      <w:tr w:rsidR="00212513">
        <w:tc>
          <w:tcPr>
            <w:tcW w:w="2551" w:type="dxa"/>
            <w:tcBorders>
              <w:top w:val="nil"/>
              <w:left w:val="nil"/>
              <w:bottom w:val="nil"/>
              <w:right w:val="nil"/>
            </w:tcBorders>
          </w:tcPr>
          <w:p w:rsidR="00212513" w:rsidRDefault="00212513">
            <w:pPr>
              <w:pStyle w:val="ConsPlusNormal"/>
            </w:pPr>
            <w:hyperlink r:id="rId2727">
              <w:r>
                <w:rPr>
                  <w:color w:val="0000FF"/>
                </w:rPr>
                <w:t>ГОСТ 23961-80</w:t>
              </w:r>
            </w:hyperlink>
          </w:p>
        </w:tc>
        <w:tc>
          <w:tcPr>
            <w:tcW w:w="6520" w:type="dxa"/>
            <w:tcBorders>
              <w:top w:val="nil"/>
              <w:left w:val="nil"/>
              <w:bottom w:val="nil"/>
              <w:right w:val="nil"/>
            </w:tcBorders>
          </w:tcPr>
          <w:p w:rsidR="00212513" w:rsidRDefault="00212513">
            <w:pPr>
              <w:pStyle w:val="ConsPlusNormal"/>
              <w:jc w:val="both"/>
            </w:pPr>
            <w:r>
              <w:t>Метрополитены. Габариты приближения строений, оборудования и подвижного состава</w:t>
            </w:r>
          </w:p>
        </w:tc>
      </w:tr>
      <w:tr w:rsidR="00212513">
        <w:tc>
          <w:tcPr>
            <w:tcW w:w="2551" w:type="dxa"/>
            <w:tcBorders>
              <w:top w:val="nil"/>
              <w:left w:val="nil"/>
              <w:bottom w:val="nil"/>
              <w:right w:val="nil"/>
            </w:tcBorders>
          </w:tcPr>
          <w:p w:rsidR="00212513" w:rsidRDefault="00212513">
            <w:pPr>
              <w:pStyle w:val="ConsPlusNormal"/>
            </w:pPr>
            <w:hyperlink r:id="rId2728">
              <w:r>
                <w:rPr>
                  <w:color w:val="0000FF"/>
                </w:rPr>
                <w:t>ГОСТ 25100-2020</w:t>
              </w:r>
            </w:hyperlink>
          </w:p>
        </w:tc>
        <w:tc>
          <w:tcPr>
            <w:tcW w:w="6520" w:type="dxa"/>
            <w:tcBorders>
              <w:top w:val="nil"/>
              <w:left w:val="nil"/>
              <w:bottom w:val="nil"/>
              <w:right w:val="nil"/>
            </w:tcBorders>
          </w:tcPr>
          <w:p w:rsidR="00212513" w:rsidRDefault="00212513">
            <w:pPr>
              <w:pStyle w:val="ConsPlusNormal"/>
              <w:jc w:val="both"/>
            </w:pPr>
            <w:r>
              <w:t>Грунты. Классификация</w:t>
            </w:r>
          </w:p>
        </w:tc>
      </w:tr>
      <w:tr w:rsidR="00212513">
        <w:tc>
          <w:tcPr>
            <w:tcW w:w="2551" w:type="dxa"/>
            <w:tcBorders>
              <w:top w:val="nil"/>
              <w:left w:val="nil"/>
              <w:bottom w:val="nil"/>
              <w:right w:val="nil"/>
            </w:tcBorders>
          </w:tcPr>
          <w:p w:rsidR="00212513" w:rsidRDefault="00212513">
            <w:pPr>
              <w:pStyle w:val="ConsPlusNormal"/>
            </w:pPr>
            <w:hyperlink r:id="rId2729">
              <w:r>
                <w:rPr>
                  <w:color w:val="0000FF"/>
                </w:rPr>
                <w:t>ГОСТ 26633-2015</w:t>
              </w:r>
            </w:hyperlink>
          </w:p>
        </w:tc>
        <w:tc>
          <w:tcPr>
            <w:tcW w:w="6520" w:type="dxa"/>
            <w:tcBorders>
              <w:top w:val="nil"/>
              <w:left w:val="nil"/>
              <w:bottom w:val="nil"/>
              <w:right w:val="nil"/>
            </w:tcBorders>
          </w:tcPr>
          <w:p w:rsidR="00212513" w:rsidRDefault="00212513">
            <w:pPr>
              <w:pStyle w:val="ConsPlusNormal"/>
              <w:jc w:val="both"/>
            </w:pPr>
            <w:r>
              <w:t>Бетоны тяжелые и мелкозернистые. Технические условия</w:t>
            </w:r>
          </w:p>
        </w:tc>
      </w:tr>
      <w:tr w:rsidR="00212513">
        <w:tc>
          <w:tcPr>
            <w:tcW w:w="2551" w:type="dxa"/>
            <w:tcBorders>
              <w:top w:val="nil"/>
              <w:left w:val="nil"/>
              <w:bottom w:val="nil"/>
              <w:right w:val="nil"/>
            </w:tcBorders>
          </w:tcPr>
          <w:p w:rsidR="00212513" w:rsidRDefault="00212513">
            <w:pPr>
              <w:pStyle w:val="ConsPlusNormal"/>
            </w:pPr>
            <w:hyperlink r:id="rId2730">
              <w:r>
                <w:rPr>
                  <w:color w:val="0000FF"/>
                </w:rPr>
                <w:t>ГОСТ 26775-97</w:t>
              </w:r>
            </w:hyperlink>
          </w:p>
        </w:tc>
        <w:tc>
          <w:tcPr>
            <w:tcW w:w="6520" w:type="dxa"/>
            <w:tcBorders>
              <w:top w:val="nil"/>
              <w:left w:val="nil"/>
              <w:bottom w:val="nil"/>
              <w:right w:val="nil"/>
            </w:tcBorders>
          </w:tcPr>
          <w:p w:rsidR="00212513" w:rsidRDefault="00212513">
            <w:pPr>
              <w:pStyle w:val="ConsPlusNormal"/>
              <w:jc w:val="both"/>
            </w:pPr>
            <w:r>
              <w:t>Габариты подмостовые судоходных пролетов мостов на внутренних водных путях. Нормы и технические требования</w:t>
            </w:r>
          </w:p>
        </w:tc>
      </w:tr>
      <w:tr w:rsidR="00212513">
        <w:tc>
          <w:tcPr>
            <w:tcW w:w="2551" w:type="dxa"/>
            <w:tcBorders>
              <w:top w:val="nil"/>
              <w:left w:val="nil"/>
              <w:bottom w:val="nil"/>
              <w:right w:val="nil"/>
            </w:tcBorders>
          </w:tcPr>
          <w:p w:rsidR="00212513" w:rsidRDefault="00212513">
            <w:pPr>
              <w:pStyle w:val="ConsPlusNormal"/>
            </w:pPr>
            <w:hyperlink r:id="rId2731">
              <w:r>
                <w:rPr>
                  <w:color w:val="0000FF"/>
                </w:rPr>
                <w:t>ГОСТ 27751-2014</w:t>
              </w:r>
            </w:hyperlink>
          </w:p>
        </w:tc>
        <w:tc>
          <w:tcPr>
            <w:tcW w:w="6520" w:type="dxa"/>
            <w:tcBorders>
              <w:top w:val="nil"/>
              <w:left w:val="nil"/>
              <w:bottom w:val="nil"/>
              <w:right w:val="nil"/>
            </w:tcBorders>
          </w:tcPr>
          <w:p w:rsidR="00212513" w:rsidRDefault="00212513">
            <w:pPr>
              <w:pStyle w:val="ConsPlusNormal"/>
              <w:jc w:val="both"/>
            </w:pPr>
            <w:r>
              <w:t>Надежность строительных конструкций и оснований. Основные положения</w:t>
            </w:r>
          </w:p>
        </w:tc>
      </w:tr>
      <w:tr w:rsidR="00212513">
        <w:tc>
          <w:tcPr>
            <w:tcW w:w="2551" w:type="dxa"/>
            <w:tcBorders>
              <w:top w:val="nil"/>
              <w:left w:val="nil"/>
              <w:bottom w:val="nil"/>
              <w:right w:val="nil"/>
            </w:tcBorders>
          </w:tcPr>
          <w:p w:rsidR="00212513" w:rsidRDefault="00212513">
            <w:pPr>
              <w:pStyle w:val="ConsPlusNormal"/>
            </w:pPr>
            <w:hyperlink r:id="rId2732">
              <w:r>
                <w:rPr>
                  <w:color w:val="0000FF"/>
                </w:rPr>
                <w:t>ГОСТ 31015-2002</w:t>
              </w:r>
            </w:hyperlink>
          </w:p>
        </w:tc>
        <w:tc>
          <w:tcPr>
            <w:tcW w:w="6520" w:type="dxa"/>
            <w:tcBorders>
              <w:top w:val="nil"/>
              <w:left w:val="nil"/>
              <w:bottom w:val="nil"/>
              <w:right w:val="nil"/>
            </w:tcBorders>
          </w:tcPr>
          <w:p w:rsidR="00212513" w:rsidRDefault="00212513">
            <w:pPr>
              <w:pStyle w:val="ConsPlusNormal"/>
              <w:jc w:val="both"/>
            </w:pPr>
            <w:r>
              <w:t>Смеси асфальтобетонные и асфальтобетон щебеночно-мастичные. Технические условия</w:t>
            </w:r>
          </w:p>
        </w:tc>
      </w:tr>
      <w:tr w:rsidR="00212513">
        <w:tc>
          <w:tcPr>
            <w:tcW w:w="2551" w:type="dxa"/>
            <w:tcBorders>
              <w:top w:val="nil"/>
              <w:left w:val="nil"/>
              <w:bottom w:val="nil"/>
              <w:right w:val="nil"/>
            </w:tcBorders>
          </w:tcPr>
          <w:p w:rsidR="00212513" w:rsidRDefault="00212513">
            <w:pPr>
              <w:pStyle w:val="ConsPlusNormal"/>
            </w:pPr>
            <w:hyperlink r:id="rId2733">
              <w:r>
                <w:rPr>
                  <w:color w:val="0000FF"/>
                </w:rPr>
                <w:t>ГОСТ 31384-2017</w:t>
              </w:r>
            </w:hyperlink>
          </w:p>
        </w:tc>
        <w:tc>
          <w:tcPr>
            <w:tcW w:w="6520" w:type="dxa"/>
            <w:tcBorders>
              <w:top w:val="nil"/>
              <w:left w:val="nil"/>
              <w:bottom w:val="nil"/>
              <w:right w:val="nil"/>
            </w:tcBorders>
          </w:tcPr>
          <w:p w:rsidR="00212513" w:rsidRDefault="00212513">
            <w:pPr>
              <w:pStyle w:val="ConsPlusNormal"/>
              <w:jc w:val="both"/>
            </w:pPr>
            <w:r>
              <w:t>Защита бетонных и железобетонных конструкций от коррозии. Общие технические требования</w:t>
            </w:r>
          </w:p>
        </w:tc>
      </w:tr>
      <w:tr w:rsidR="00212513">
        <w:tc>
          <w:tcPr>
            <w:tcW w:w="2551" w:type="dxa"/>
            <w:tcBorders>
              <w:top w:val="nil"/>
              <w:left w:val="nil"/>
              <w:bottom w:val="nil"/>
              <w:right w:val="nil"/>
            </w:tcBorders>
          </w:tcPr>
          <w:p w:rsidR="00212513" w:rsidRDefault="00212513">
            <w:pPr>
              <w:pStyle w:val="ConsPlusNormal"/>
            </w:pPr>
            <w:hyperlink r:id="rId2734">
              <w:r>
                <w:rPr>
                  <w:color w:val="0000FF"/>
                </w:rPr>
                <w:t>ГОСТ 31938-2022</w:t>
              </w:r>
            </w:hyperlink>
          </w:p>
        </w:tc>
        <w:tc>
          <w:tcPr>
            <w:tcW w:w="6520" w:type="dxa"/>
            <w:tcBorders>
              <w:top w:val="nil"/>
              <w:left w:val="nil"/>
              <w:bottom w:val="nil"/>
              <w:right w:val="nil"/>
            </w:tcBorders>
          </w:tcPr>
          <w:p w:rsidR="00212513" w:rsidRDefault="00212513">
            <w:pPr>
              <w:pStyle w:val="ConsPlusNormal"/>
              <w:jc w:val="both"/>
            </w:pPr>
            <w:r>
              <w:t>Арматура композитная полимерная для армирования бетонных конструкций. Общие технические условия</w:t>
            </w:r>
          </w:p>
        </w:tc>
      </w:tr>
      <w:tr w:rsidR="00212513">
        <w:tc>
          <w:tcPr>
            <w:tcW w:w="2551" w:type="dxa"/>
            <w:tcBorders>
              <w:top w:val="nil"/>
              <w:left w:val="nil"/>
              <w:bottom w:val="nil"/>
              <w:right w:val="nil"/>
            </w:tcBorders>
          </w:tcPr>
          <w:p w:rsidR="00212513" w:rsidRDefault="00212513">
            <w:pPr>
              <w:pStyle w:val="ConsPlusNormal"/>
            </w:pPr>
            <w:hyperlink r:id="rId2735">
              <w:r>
                <w:rPr>
                  <w:color w:val="0000FF"/>
                </w:rPr>
                <w:t>ГОСТ 32794-2014</w:t>
              </w:r>
            </w:hyperlink>
          </w:p>
        </w:tc>
        <w:tc>
          <w:tcPr>
            <w:tcW w:w="6520" w:type="dxa"/>
            <w:tcBorders>
              <w:top w:val="nil"/>
              <w:left w:val="nil"/>
              <w:bottom w:val="nil"/>
              <w:right w:val="nil"/>
            </w:tcBorders>
          </w:tcPr>
          <w:p w:rsidR="00212513" w:rsidRDefault="00212513">
            <w:pPr>
              <w:pStyle w:val="ConsPlusNormal"/>
              <w:jc w:val="both"/>
            </w:pPr>
            <w:r>
              <w:t>Композиты полимерные. Термины и определения</w:t>
            </w:r>
          </w:p>
        </w:tc>
      </w:tr>
      <w:tr w:rsidR="00212513">
        <w:tc>
          <w:tcPr>
            <w:tcW w:w="2551" w:type="dxa"/>
            <w:tcBorders>
              <w:top w:val="nil"/>
              <w:left w:val="nil"/>
              <w:bottom w:val="nil"/>
              <w:right w:val="nil"/>
            </w:tcBorders>
          </w:tcPr>
          <w:p w:rsidR="00212513" w:rsidRDefault="00212513">
            <w:pPr>
              <w:pStyle w:val="ConsPlusNormal"/>
            </w:pPr>
            <w:hyperlink r:id="rId2736">
              <w:r>
                <w:rPr>
                  <w:color w:val="0000FF"/>
                </w:rPr>
                <w:t>ГОСТ 32871-2014</w:t>
              </w:r>
            </w:hyperlink>
          </w:p>
        </w:tc>
        <w:tc>
          <w:tcPr>
            <w:tcW w:w="6520" w:type="dxa"/>
            <w:tcBorders>
              <w:top w:val="nil"/>
              <w:left w:val="nil"/>
              <w:bottom w:val="nil"/>
              <w:right w:val="nil"/>
            </w:tcBorders>
          </w:tcPr>
          <w:p w:rsidR="00212513" w:rsidRDefault="00212513">
            <w:pPr>
              <w:pStyle w:val="ConsPlusNormal"/>
              <w:jc w:val="both"/>
            </w:pPr>
            <w:r>
              <w:t>Дороги автомобильные общего пользования. Трубы дорожные водопропускные. Технические требования</w:t>
            </w:r>
          </w:p>
        </w:tc>
      </w:tr>
      <w:tr w:rsidR="00212513">
        <w:tc>
          <w:tcPr>
            <w:tcW w:w="2551" w:type="dxa"/>
            <w:tcBorders>
              <w:top w:val="nil"/>
              <w:left w:val="nil"/>
              <w:bottom w:val="nil"/>
              <w:right w:val="nil"/>
            </w:tcBorders>
          </w:tcPr>
          <w:p w:rsidR="00212513" w:rsidRDefault="00212513">
            <w:pPr>
              <w:pStyle w:val="ConsPlusNormal"/>
            </w:pPr>
            <w:hyperlink r:id="rId2737">
              <w:r>
                <w:rPr>
                  <w:color w:val="0000FF"/>
                </w:rPr>
                <w:t>ГОСТ 33119-2014</w:t>
              </w:r>
            </w:hyperlink>
          </w:p>
        </w:tc>
        <w:tc>
          <w:tcPr>
            <w:tcW w:w="6520" w:type="dxa"/>
            <w:tcBorders>
              <w:top w:val="nil"/>
              <w:left w:val="nil"/>
              <w:bottom w:val="nil"/>
              <w:right w:val="nil"/>
            </w:tcBorders>
          </w:tcPr>
          <w:p w:rsidR="00212513" w:rsidRDefault="00212513">
            <w:pPr>
              <w:pStyle w:val="ConsPlusNormal"/>
              <w:jc w:val="both"/>
            </w:pPr>
            <w:r>
              <w:t>Конструкции полимерные композитные для пешеходных мостов и путепроводов. Технические условия</w:t>
            </w:r>
          </w:p>
        </w:tc>
      </w:tr>
      <w:tr w:rsidR="00212513">
        <w:tc>
          <w:tcPr>
            <w:tcW w:w="2551" w:type="dxa"/>
            <w:tcBorders>
              <w:top w:val="nil"/>
              <w:left w:val="nil"/>
              <w:bottom w:val="nil"/>
              <w:right w:val="nil"/>
            </w:tcBorders>
          </w:tcPr>
          <w:p w:rsidR="00212513" w:rsidRDefault="00212513">
            <w:pPr>
              <w:pStyle w:val="ConsPlusNormal"/>
            </w:pPr>
            <w:hyperlink r:id="rId2738">
              <w:r>
                <w:rPr>
                  <w:color w:val="0000FF"/>
                </w:rPr>
                <w:t>ГОСТ 33123-2014</w:t>
              </w:r>
            </w:hyperlink>
          </w:p>
        </w:tc>
        <w:tc>
          <w:tcPr>
            <w:tcW w:w="6520" w:type="dxa"/>
            <w:tcBorders>
              <w:top w:val="nil"/>
              <w:left w:val="nil"/>
              <w:bottom w:val="nil"/>
              <w:right w:val="nil"/>
            </w:tcBorders>
          </w:tcPr>
          <w:p w:rsidR="00212513" w:rsidRDefault="00212513">
            <w:pPr>
              <w:pStyle w:val="ConsPlusNormal"/>
              <w:jc w:val="both"/>
            </w:pPr>
            <w:r>
              <w:t>Трубы водопропускные из полимерных композитов. Технические условия</w:t>
            </w:r>
          </w:p>
        </w:tc>
      </w:tr>
      <w:tr w:rsidR="00212513">
        <w:tc>
          <w:tcPr>
            <w:tcW w:w="2551" w:type="dxa"/>
            <w:tcBorders>
              <w:top w:val="nil"/>
              <w:left w:val="nil"/>
              <w:bottom w:val="nil"/>
              <w:right w:val="nil"/>
            </w:tcBorders>
          </w:tcPr>
          <w:p w:rsidR="00212513" w:rsidRDefault="00212513">
            <w:pPr>
              <w:pStyle w:val="ConsPlusNormal"/>
            </w:pPr>
            <w:hyperlink r:id="rId2739">
              <w:r>
                <w:rPr>
                  <w:color w:val="0000FF"/>
                </w:rPr>
                <w:t>ГОСТ 33128-2014</w:t>
              </w:r>
            </w:hyperlink>
          </w:p>
        </w:tc>
        <w:tc>
          <w:tcPr>
            <w:tcW w:w="6520" w:type="dxa"/>
            <w:tcBorders>
              <w:top w:val="nil"/>
              <w:left w:val="nil"/>
              <w:bottom w:val="nil"/>
              <w:right w:val="nil"/>
            </w:tcBorders>
          </w:tcPr>
          <w:p w:rsidR="00212513" w:rsidRDefault="00212513">
            <w:pPr>
              <w:pStyle w:val="ConsPlusNormal"/>
              <w:jc w:val="both"/>
            </w:pPr>
            <w:r>
              <w:t>Дороги автомобильные общего пользования. Ограждения дорожные. Технические требования</w:t>
            </w:r>
          </w:p>
        </w:tc>
      </w:tr>
      <w:tr w:rsidR="00212513">
        <w:tc>
          <w:tcPr>
            <w:tcW w:w="9071" w:type="dxa"/>
            <w:gridSpan w:val="2"/>
            <w:tcBorders>
              <w:top w:val="nil"/>
              <w:left w:val="nil"/>
              <w:bottom w:val="nil"/>
              <w:right w:val="nil"/>
            </w:tcBorders>
          </w:tcPr>
          <w:p w:rsidR="00212513" w:rsidRDefault="00212513">
            <w:pPr>
              <w:pStyle w:val="ConsPlusNormal"/>
              <w:jc w:val="both"/>
            </w:pPr>
            <w:r>
              <w:t xml:space="preserve">(в ред. </w:t>
            </w:r>
            <w:hyperlink r:id="rId2740">
              <w:r>
                <w:rPr>
                  <w:color w:val="0000FF"/>
                </w:rPr>
                <w:t>Изменения N 5</w:t>
              </w:r>
            </w:hyperlink>
            <w:r>
              <w:t>, утв. Приказом Минстроя России от 20.09.2024 N 636/пр)</w:t>
            </w:r>
          </w:p>
        </w:tc>
      </w:tr>
      <w:tr w:rsidR="00212513">
        <w:tc>
          <w:tcPr>
            <w:tcW w:w="2551" w:type="dxa"/>
            <w:tcBorders>
              <w:top w:val="nil"/>
              <w:left w:val="nil"/>
              <w:bottom w:val="nil"/>
              <w:right w:val="nil"/>
            </w:tcBorders>
          </w:tcPr>
          <w:p w:rsidR="00212513" w:rsidRDefault="00212513">
            <w:pPr>
              <w:pStyle w:val="ConsPlusNormal"/>
            </w:pPr>
            <w:hyperlink r:id="rId2741">
              <w:r>
                <w:rPr>
                  <w:color w:val="0000FF"/>
                </w:rPr>
                <w:t>ГОСТ 33151-2014</w:t>
              </w:r>
            </w:hyperlink>
          </w:p>
        </w:tc>
        <w:tc>
          <w:tcPr>
            <w:tcW w:w="6520" w:type="dxa"/>
            <w:tcBorders>
              <w:top w:val="nil"/>
              <w:left w:val="nil"/>
              <w:bottom w:val="nil"/>
              <w:right w:val="nil"/>
            </w:tcBorders>
          </w:tcPr>
          <w:p w:rsidR="00212513" w:rsidRDefault="00212513">
            <w:pPr>
              <w:pStyle w:val="ConsPlusNormal"/>
              <w:jc w:val="both"/>
            </w:pPr>
            <w:r>
              <w:t>Дороги автомобильные общего пользования. Элементы обустройства. Технические требования. Правила применения</w:t>
            </w:r>
          </w:p>
        </w:tc>
      </w:tr>
      <w:tr w:rsidR="00212513">
        <w:tc>
          <w:tcPr>
            <w:tcW w:w="2551" w:type="dxa"/>
            <w:tcBorders>
              <w:top w:val="nil"/>
              <w:left w:val="nil"/>
              <w:bottom w:val="nil"/>
              <w:right w:val="nil"/>
            </w:tcBorders>
          </w:tcPr>
          <w:p w:rsidR="00212513" w:rsidRDefault="00212513">
            <w:pPr>
              <w:pStyle w:val="ConsPlusNormal"/>
            </w:pPr>
            <w:hyperlink r:id="rId2742">
              <w:r>
                <w:rPr>
                  <w:color w:val="0000FF"/>
                </w:rPr>
                <w:t>ГОСТ 33344-2015</w:t>
              </w:r>
            </w:hyperlink>
          </w:p>
        </w:tc>
        <w:tc>
          <w:tcPr>
            <w:tcW w:w="6520" w:type="dxa"/>
            <w:tcBorders>
              <w:top w:val="nil"/>
              <w:left w:val="nil"/>
              <w:bottom w:val="nil"/>
              <w:right w:val="nil"/>
            </w:tcBorders>
          </w:tcPr>
          <w:p w:rsidR="00212513" w:rsidRDefault="00212513">
            <w:pPr>
              <w:pStyle w:val="ConsPlusNormal"/>
              <w:jc w:val="both"/>
            </w:pPr>
            <w:r>
              <w:t>Профили пултрузионные конструкционные из полимерных композитов. Общие технические условия</w:t>
            </w:r>
          </w:p>
        </w:tc>
      </w:tr>
      <w:tr w:rsidR="00212513">
        <w:tc>
          <w:tcPr>
            <w:tcW w:w="2551" w:type="dxa"/>
            <w:tcBorders>
              <w:top w:val="nil"/>
              <w:left w:val="nil"/>
              <w:bottom w:val="nil"/>
              <w:right w:val="nil"/>
            </w:tcBorders>
          </w:tcPr>
          <w:p w:rsidR="00212513" w:rsidRDefault="00212513">
            <w:pPr>
              <w:pStyle w:val="ConsPlusNormal"/>
            </w:pPr>
            <w:hyperlink r:id="rId2743">
              <w:r>
                <w:rPr>
                  <w:color w:val="0000FF"/>
                </w:rPr>
                <w:t>ГОСТ 33370-2015</w:t>
              </w:r>
            </w:hyperlink>
          </w:p>
        </w:tc>
        <w:tc>
          <w:tcPr>
            <w:tcW w:w="6520" w:type="dxa"/>
            <w:tcBorders>
              <w:top w:val="nil"/>
              <w:left w:val="nil"/>
              <w:bottom w:val="nil"/>
              <w:right w:val="nil"/>
            </w:tcBorders>
          </w:tcPr>
          <w:p w:rsidR="00212513" w:rsidRDefault="00212513">
            <w:pPr>
              <w:pStyle w:val="ConsPlusNormal"/>
              <w:jc w:val="both"/>
            </w:pPr>
            <w:r>
              <w:t>Волокна химические штапельные для армирования строительных материалов и конструкций. Общие технические условия</w:t>
            </w:r>
          </w:p>
        </w:tc>
      </w:tr>
      <w:tr w:rsidR="00212513">
        <w:tc>
          <w:tcPr>
            <w:tcW w:w="2551" w:type="dxa"/>
            <w:tcBorders>
              <w:top w:val="nil"/>
              <w:left w:val="nil"/>
              <w:bottom w:val="nil"/>
              <w:right w:val="nil"/>
            </w:tcBorders>
          </w:tcPr>
          <w:p w:rsidR="00212513" w:rsidRDefault="00212513">
            <w:pPr>
              <w:pStyle w:val="ConsPlusNormal"/>
            </w:pPr>
            <w:hyperlink r:id="rId2744">
              <w:r>
                <w:rPr>
                  <w:color w:val="0000FF"/>
                </w:rPr>
                <w:t>ГОСТ 33376-2015</w:t>
              </w:r>
            </w:hyperlink>
          </w:p>
        </w:tc>
        <w:tc>
          <w:tcPr>
            <w:tcW w:w="6520" w:type="dxa"/>
            <w:tcBorders>
              <w:top w:val="nil"/>
              <w:left w:val="nil"/>
              <w:bottom w:val="nil"/>
              <w:right w:val="nil"/>
            </w:tcBorders>
          </w:tcPr>
          <w:p w:rsidR="00212513" w:rsidRDefault="00212513">
            <w:pPr>
              <w:pStyle w:val="ConsPlusNormal"/>
              <w:jc w:val="both"/>
            </w:pPr>
            <w:r>
              <w:t>Секции настилов композитные полимерные для пешеходных и автодорожных мостов и путепроводов. Общие технические условия</w:t>
            </w:r>
          </w:p>
        </w:tc>
      </w:tr>
      <w:tr w:rsidR="00212513">
        <w:tc>
          <w:tcPr>
            <w:tcW w:w="2551" w:type="dxa"/>
            <w:tcBorders>
              <w:top w:val="nil"/>
              <w:left w:val="nil"/>
              <w:bottom w:val="nil"/>
              <w:right w:val="nil"/>
            </w:tcBorders>
          </w:tcPr>
          <w:p w:rsidR="00212513" w:rsidRDefault="00212513">
            <w:pPr>
              <w:pStyle w:val="ConsPlusNormal"/>
            </w:pPr>
            <w:hyperlink r:id="rId2745">
              <w:r>
                <w:rPr>
                  <w:color w:val="0000FF"/>
                </w:rPr>
                <w:t>ГОСТ 33382-2015</w:t>
              </w:r>
            </w:hyperlink>
          </w:p>
        </w:tc>
        <w:tc>
          <w:tcPr>
            <w:tcW w:w="6520" w:type="dxa"/>
            <w:tcBorders>
              <w:top w:val="nil"/>
              <w:left w:val="nil"/>
              <w:bottom w:val="nil"/>
              <w:right w:val="nil"/>
            </w:tcBorders>
          </w:tcPr>
          <w:p w:rsidR="00212513" w:rsidRDefault="00212513">
            <w:pPr>
              <w:pStyle w:val="ConsPlusNormal"/>
              <w:jc w:val="both"/>
            </w:pPr>
            <w:r>
              <w:t>Дороги автомобильные общего пользования. Техническая классификация</w:t>
            </w:r>
          </w:p>
        </w:tc>
      </w:tr>
      <w:tr w:rsidR="00212513">
        <w:tc>
          <w:tcPr>
            <w:tcW w:w="9071" w:type="dxa"/>
            <w:gridSpan w:val="2"/>
            <w:tcBorders>
              <w:top w:val="nil"/>
              <w:left w:val="nil"/>
              <w:bottom w:val="nil"/>
              <w:right w:val="nil"/>
            </w:tcBorders>
          </w:tcPr>
          <w:p w:rsidR="00212513" w:rsidRDefault="00212513">
            <w:pPr>
              <w:pStyle w:val="ConsPlusNormal"/>
              <w:jc w:val="both"/>
            </w:pPr>
            <w:r>
              <w:t xml:space="preserve">(ссылка введена </w:t>
            </w:r>
            <w:hyperlink r:id="rId2746">
              <w:r>
                <w:rPr>
                  <w:color w:val="0000FF"/>
                </w:rPr>
                <w:t>Изменением N 5</w:t>
              </w:r>
            </w:hyperlink>
            <w:r>
              <w:t>, утв. Приказом Минстроя России от 20.09.2024 N 636/пр)</w:t>
            </w:r>
          </w:p>
        </w:tc>
      </w:tr>
      <w:tr w:rsidR="00212513">
        <w:tc>
          <w:tcPr>
            <w:tcW w:w="2551" w:type="dxa"/>
            <w:tcBorders>
              <w:top w:val="nil"/>
              <w:left w:val="nil"/>
              <w:bottom w:val="nil"/>
              <w:right w:val="nil"/>
            </w:tcBorders>
          </w:tcPr>
          <w:p w:rsidR="00212513" w:rsidRDefault="00212513">
            <w:pPr>
              <w:pStyle w:val="ConsPlusNormal"/>
            </w:pPr>
            <w:hyperlink r:id="rId2747">
              <w:r>
                <w:rPr>
                  <w:color w:val="0000FF"/>
                </w:rPr>
                <w:t>ГОСТ 33391-2015</w:t>
              </w:r>
            </w:hyperlink>
          </w:p>
        </w:tc>
        <w:tc>
          <w:tcPr>
            <w:tcW w:w="6520" w:type="dxa"/>
            <w:tcBorders>
              <w:top w:val="nil"/>
              <w:left w:val="nil"/>
              <w:bottom w:val="nil"/>
              <w:right w:val="nil"/>
            </w:tcBorders>
          </w:tcPr>
          <w:p w:rsidR="00212513" w:rsidRDefault="00212513">
            <w:pPr>
              <w:pStyle w:val="ConsPlusNormal"/>
              <w:jc w:val="both"/>
            </w:pPr>
            <w:r>
              <w:t>Дороги автомобильные общего пользования. Мостовые сооружения. Габариты приближения конструкций</w:t>
            </w:r>
          </w:p>
        </w:tc>
      </w:tr>
      <w:tr w:rsidR="00212513">
        <w:tc>
          <w:tcPr>
            <w:tcW w:w="2551" w:type="dxa"/>
            <w:tcBorders>
              <w:top w:val="nil"/>
              <w:left w:val="nil"/>
              <w:bottom w:val="nil"/>
              <w:right w:val="nil"/>
            </w:tcBorders>
          </w:tcPr>
          <w:p w:rsidR="00212513" w:rsidRDefault="00212513">
            <w:pPr>
              <w:pStyle w:val="ConsPlusNormal"/>
            </w:pPr>
            <w:hyperlink r:id="rId2748">
              <w:r>
                <w:rPr>
                  <w:color w:val="0000FF"/>
                </w:rPr>
                <w:t>ГОСТ 34028-2016</w:t>
              </w:r>
            </w:hyperlink>
          </w:p>
        </w:tc>
        <w:tc>
          <w:tcPr>
            <w:tcW w:w="6520" w:type="dxa"/>
            <w:tcBorders>
              <w:top w:val="nil"/>
              <w:left w:val="nil"/>
              <w:bottom w:val="nil"/>
              <w:right w:val="nil"/>
            </w:tcBorders>
          </w:tcPr>
          <w:p w:rsidR="00212513" w:rsidRDefault="00212513">
            <w:pPr>
              <w:pStyle w:val="ConsPlusNormal"/>
              <w:jc w:val="both"/>
            </w:pPr>
            <w:r>
              <w:t>Прокат арматурный для железобетонных конструкций. Технические условия</w:t>
            </w:r>
          </w:p>
        </w:tc>
      </w:tr>
      <w:tr w:rsidR="00212513">
        <w:tc>
          <w:tcPr>
            <w:tcW w:w="2551" w:type="dxa"/>
            <w:tcBorders>
              <w:top w:val="nil"/>
              <w:left w:val="nil"/>
              <w:bottom w:val="nil"/>
              <w:right w:val="nil"/>
            </w:tcBorders>
          </w:tcPr>
          <w:p w:rsidR="00212513" w:rsidRDefault="00212513">
            <w:pPr>
              <w:pStyle w:val="ConsPlusNormal"/>
            </w:pPr>
            <w:hyperlink r:id="rId2749">
              <w:r>
                <w:rPr>
                  <w:color w:val="0000FF"/>
                </w:rPr>
                <w:t>ГОСТ 34667.1-2020</w:t>
              </w:r>
            </w:hyperlink>
          </w:p>
          <w:p w:rsidR="00212513" w:rsidRDefault="00212513">
            <w:pPr>
              <w:pStyle w:val="ConsPlusNormal"/>
            </w:pPr>
            <w:r>
              <w:t>(ISO 12944-1:2017)</w:t>
            </w:r>
          </w:p>
        </w:tc>
        <w:tc>
          <w:tcPr>
            <w:tcW w:w="6520" w:type="dxa"/>
            <w:tcBorders>
              <w:top w:val="nil"/>
              <w:left w:val="nil"/>
              <w:bottom w:val="nil"/>
              <w:right w:val="nil"/>
            </w:tcBorders>
          </w:tcPr>
          <w:p w:rsidR="00212513" w:rsidRDefault="00212513">
            <w:pPr>
              <w:pStyle w:val="ConsPlusNormal"/>
              <w:jc w:val="both"/>
            </w:pPr>
            <w:r>
              <w:t>Материалы лакокрасочные. Защита стальных конструкций от коррозии при помощи лакокрасочных систем. Часть 1. Общие положения</w:t>
            </w:r>
          </w:p>
        </w:tc>
      </w:tr>
      <w:tr w:rsidR="00212513">
        <w:tc>
          <w:tcPr>
            <w:tcW w:w="2551" w:type="dxa"/>
            <w:tcBorders>
              <w:top w:val="nil"/>
              <w:left w:val="nil"/>
              <w:bottom w:val="nil"/>
              <w:right w:val="nil"/>
            </w:tcBorders>
          </w:tcPr>
          <w:p w:rsidR="00212513" w:rsidRDefault="00212513">
            <w:pPr>
              <w:pStyle w:val="ConsPlusNormal"/>
            </w:pPr>
            <w:hyperlink r:id="rId2750">
              <w:r>
                <w:rPr>
                  <w:color w:val="0000FF"/>
                </w:rPr>
                <w:t>ГОСТ 34667.2-2020</w:t>
              </w:r>
            </w:hyperlink>
          </w:p>
          <w:p w:rsidR="00212513" w:rsidRDefault="00212513">
            <w:pPr>
              <w:pStyle w:val="ConsPlusNormal"/>
            </w:pPr>
            <w:r>
              <w:t>(ISO 12944-2:2017)</w:t>
            </w:r>
          </w:p>
        </w:tc>
        <w:tc>
          <w:tcPr>
            <w:tcW w:w="6520" w:type="dxa"/>
            <w:tcBorders>
              <w:top w:val="nil"/>
              <w:left w:val="nil"/>
              <w:bottom w:val="nil"/>
              <w:right w:val="nil"/>
            </w:tcBorders>
          </w:tcPr>
          <w:p w:rsidR="00212513" w:rsidRDefault="00212513">
            <w:pPr>
              <w:pStyle w:val="ConsPlusNormal"/>
              <w:jc w:val="both"/>
            </w:pPr>
            <w:r>
              <w:t>Материалы лакокрасочные. Защита стальных конструкций от коррозии при помощи лакокрасочных систем. Часть 2. Классификация условий окружающей среды</w:t>
            </w:r>
          </w:p>
        </w:tc>
      </w:tr>
      <w:tr w:rsidR="00212513">
        <w:tc>
          <w:tcPr>
            <w:tcW w:w="2551" w:type="dxa"/>
            <w:tcBorders>
              <w:top w:val="nil"/>
              <w:left w:val="nil"/>
              <w:bottom w:val="nil"/>
              <w:right w:val="nil"/>
            </w:tcBorders>
          </w:tcPr>
          <w:p w:rsidR="00212513" w:rsidRDefault="00212513">
            <w:pPr>
              <w:pStyle w:val="ConsPlusNormal"/>
            </w:pPr>
            <w:hyperlink r:id="rId2751">
              <w:r>
                <w:rPr>
                  <w:color w:val="0000FF"/>
                </w:rPr>
                <w:t>ГОСТ 34667.5-2021</w:t>
              </w:r>
            </w:hyperlink>
          </w:p>
          <w:p w:rsidR="00212513" w:rsidRDefault="00212513">
            <w:pPr>
              <w:pStyle w:val="ConsPlusNormal"/>
            </w:pPr>
            <w:r>
              <w:t>(ISO 12944-5:2019)</w:t>
            </w:r>
          </w:p>
        </w:tc>
        <w:tc>
          <w:tcPr>
            <w:tcW w:w="6520" w:type="dxa"/>
            <w:tcBorders>
              <w:top w:val="nil"/>
              <w:left w:val="nil"/>
              <w:bottom w:val="nil"/>
              <w:right w:val="nil"/>
            </w:tcBorders>
          </w:tcPr>
          <w:p w:rsidR="00212513" w:rsidRDefault="00212513">
            <w:pPr>
              <w:pStyle w:val="ConsPlusNormal"/>
              <w:jc w:val="both"/>
            </w:pPr>
            <w:r>
              <w:t>Материалы лакокрасочные. Защита стальных конструкций от коррозии при помощи лакокрасочных систем. Часть 5. Защитные лакокрасочные системы</w:t>
            </w:r>
          </w:p>
        </w:tc>
      </w:tr>
      <w:tr w:rsidR="00212513">
        <w:tc>
          <w:tcPr>
            <w:tcW w:w="2551" w:type="dxa"/>
            <w:tcBorders>
              <w:top w:val="nil"/>
              <w:left w:val="nil"/>
              <w:bottom w:val="nil"/>
              <w:right w:val="nil"/>
            </w:tcBorders>
          </w:tcPr>
          <w:p w:rsidR="00212513" w:rsidRDefault="00212513">
            <w:pPr>
              <w:pStyle w:val="ConsPlusNormal"/>
            </w:pPr>
            <w:hyperlink r:id="rId2752">
              <w:r>
                <w:rPr>
                  <w:color w:val="0000FF"/>
                </w:rPr>
                <w:t>ГОСТ 34667.6-2021</w:t>
              </w:r>
            </w:hyperlink>
          </w:p>
          <w:p w:rsidR="00212513" w:rsidRDefault="00212513">
            <w:pPr>
              <w:pStyle w:val="ConsPlusNormal"/>
            </w:pPr>
            <w:r>
              <w:t>(ISO 12944-6:2018)</w:t>
            </w:r>
          </w:p>
        </w:tc>
        <w:tc>
          <w:tcPr>
            <w:tcW w:w="6520" w:type="dxa"/>
            <w:tcBorders>
              <w:top w:val="nil"/>
              <w:left w:val="nil"/>
              <w:bottom w:val="nil"/>
              <w:right w:val="nil"/>
            </w:tcBorders>
          </w:tcPr>
          <w:p w:rsidR="00212513" w:rsidRDefault="00212513">
            <w:pPr>
              <w:pStyle w:val="ConsPlusNormal"/>
              <w:jc w:val="both"/>
            </w:pPr>
            <w:r>
              <w:t>Материалы лакокрасочные. Защита стальных конструкций от коррозии при помощи лакокрасочных систем. Часть 6. Лабораторные методы испытаний</w:t>
            </w:r>
          </w:p>
        </w:tc>
      </w:tr>
      <w:tr w:rsidR="00212513">
        <w:tc>
          <w:tcPr>
            <w:tcW w:w="2551" w:type="dxa"/>
            <w:tcBorders>
              <w:top w:val="nil"/>
              <w:left w:val="nil"/>
              <w:bottom w:val="nil"/>
              <w:right w:val="nil"/>
            </w:tcBorders>
          </w:tcPr>
          <w:p w:rsidR="00212513" w:rsidRDefault="00212513">
            <w:pPr>
              <w:pStyle w:val="ConsPlusNormal"/>
            </w:pPr>
            <w:hyperlink r:id="rId2753">
              <w:r>
                <w:rPr>
                  <w:color w:val="0000FF"/>
                </w:rPr>
                <w:t>ГОСТ Р 22.1.12-2005</w:t>
              </w:r>
            </w:hyperlink>
          </w:p>
        </w:tc>
        <w:tc>
          <w:tcPr>
            <w:tcW w:w="6520" w:type="dxa"/>
            <w:tcBorders>
              <w:top w:val="nil"/>
              <w:left w:val="nil"/>
              <w:bottom w:val="nil"/>
              <w:right w:val="nil"/>
            </w:tcBorders>
          </w:tcPr>
          <w:p w:rsidR="00212513" w:rsidRDefault="00212513">
            <w:pPr>
              <w:pStyle w:val="ConsPlusNormal"/>
              <w:jc w:val="both"/>
            </w:pPr>
            <w:r>
              <w:t>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tc>
      </w:tr>
      <w:tr w:rsidR="00212513">
        <w:tc>
          <w:tcPr>
            <w:tcW w:w="2551" w:type="dxa"/>
            <w:tcBorders>
              <w:top w:val="nil"/>
              <w:left w:val="nil"/>
              <w:bottom w:val="nil"/>
              <w:right w:val="nil"/>
            </w:tcBorders>
          </w:tcPr>
          <w:p w:rsidR="00212513" w:rsidRDefault="00212513">
            <w:pPr>
              <w:pStyle w:val="ConsPlusNormal"/>
            </w:pPr>
            <w:hyperlink r:id="rId2754">
              <w:r>
                <w:rPr>
                  <w:color w:val="0000FF"/>
                </w:rPr>
                <w:t>ГОСТ Р 50597-2017</w:t>
              </w:r>
            </w:hyperlink>
          </w:p>
        </w:tc>
        <w:tc>
          <w:tcPr>
            <w:tcW w:w="6520" w:type="dxa"/>
            <w:tcBorders>
              <w:top w:val="nil"/>
              <w:left w:val="nil"/>
              <w:bottom w:val="nil"/>
              <w:right w:val="nil"/>
            </w:tcBorders>
          </w:tcPr>
          <w:p w:rsidR="00212513" w:rsidRDefault="00212513">
            <w:pPr>
              <w:pStyle w:val="ConsPlusNormal"/>
              <w:jc w:val="both"/>
            </w:pPr>
            <w:r>
              <w:t>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p>
        </w:tc>
      </w:tr>
      <w:tr w:rsidR="00212513">
        <w:tc>
          <w:tcPr>
            <w:tcW w:w="2551" w:type="dxa"/>
            <w:tcBorders>
              <w:top w:val="nil"/>
              <w:left w:val="nil"/>
              <w:bottom w:val="nil"/>
              <w:right w:val="nil"/>
            </w:tcBorders>
          </w:tcPr>
          <w:p w:rsidR="00212513" w:rsidRDefault="00212513">
            <w:pPr>
              <w:pStyle w:val="ConsPlusNormal"/>
            </w:pPr>
            <w:hyperlink r:id="rId2755">
              <w:r>
                <w:rPr>
                  <w:color w:val="0000FF"/>
                </w:rPr>
                <w:t>ГОСТ Р 52289-2019</w:t>
              </w:r>
            </w:hyperlink>
          </w:p>
        </w:tc>
        <w:tc>
          <w:tcPr>
            <w:tcW w:w="6520" w:type="dxa"/>
            <w:tcBorders>
              <w:top w:val="nil"/>
              <w:left w:val="nil"/>
              <w:bottom w:val="nil"/>
              <w:right w:val="nil"/>
            </w:tcBorders>
          </w:tcPr>
          <w:p w:rsidR="00212513" w:rsidRDefault="00212513">
            <w:pPr>
              <w:pStyle w:val="ConsPlusNormal"/>
              <w:jc w:val="both"/>
            </w:pPr>
            <w:r>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tc>
      </w:tr>
      <w:tr w:rsidR="00212513">
        <w:tc>
          <w:tcPr>
            <w:tcW w:w="2551" w:type="dxa"/>
            <w:tcBorders>
              <w:top w:val="nil"/>
              <w:left w:val="nil"/>
              <w:bottom w:val="nil"/>
              <w:right w:val="nil"/>
            </w:tcBorders>
          </w:tcPr>
          <w:p w:rsidR="00212513" w:rsidRDefault="00212513">
            <w:pPr>
              <w:pStyle w:val="ConsPlusNormal"/>
            </w:pPr>
            <w:hyperlink r:id="rId2756">
              <w:r>
                <w:rPr>
                  <w:color w:val="0000FF"/>
                </w:rPr>
                <w:t>ГОСТ Р 52399-2022</w:t>
              </w:r>
            </w:hyperlink>
          </w:p>
        </w:tc>
        <w:tc>
          <w:tcPr>
            <w:tcW w:w="6520" w:type="dxa"/>
            <w:tcBorders>
              <w:top w:val="nil"/>
              <w:left w:val="nil"/>
              <w:bottom w:val="nil"/>
              <w:right w:val="nil"/>
            </w:tcBorders>
          </w:tcPr>
          <w:p w:rsidR="00212513" w:rsidRDefault="00212513">
            <w:pPr>
              <w:pStyle w:val="ConsPlusNormal"/>
              <w:jc w:val="both"/>
            </w:pPr>
            <w:r>
              <w:t>Дороги автомобильные общего пользования. Геометрические элементы. Технические требования</w:t>
            </w:r>
          </w:p>
        </w:tc>
      </w:tr>
      <w:tr w:rsidR="00212513">
        <w:tc>
          <w:tcPr>
            <w:tcW w:w="2551" w:type="dxa"/>
            <w:tcBorders>
              <w:top w:val="nil"/>
              <w:left w:val="nil"/>
              <w:bottom w:val="nil"/>
              <w:right w:val="nil"/>
            </w:tcBorders>
          </w:tcPr>
          <w:p w:rsidR="00212513" w:rsidRDefault="00212513">
            <w:pPr>
              <w:pStyle w:val="ConsPlusNormal"/>
            </w:pPr>
            <w:hyperlink r:id="rId2757">
              <w:r>
                <w:rPr>
                  <w:color w:val="0000FF"/>
                </w:rPr>
                <w:t>ГОСТ Р 52607-2006</w:t>
              </w:r>
            </w:hyperlink>
          </w:p>
        </w:tc>
        <w:tc>
          <w:tcPr>
            <w:tcW w:w="6520" w:type="dxa"/>
            <w:tcBorders>
              <w:top w:val="nil"/>
              <w:left w:val="nil"/>
              <w:bottom w:val="nil"/>
              <w:right w:val="nil"/>
            </w:tcBorders>
          </w:tcPr>
          <w:p w:rsidR="00212513" w:rsidRDefault="00212513">
            <w:pPr>
              <w:pStyle w:val="ConsPlusNormal"/>
              <w:jc w:val="both"/>
            </w:pPr>
            <w: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212513">
        <w:tc>
          <w:tcPr>
            <w:tcW w:w="2551" w:type="dxa"/>
            <w:tcBorders>
              <w:top w:val="nil"/>
              <w:left w:val="nil"/>
              <w:bottom w:val="nil"/>
              <w:right w:val="nil"/>
            </w:tcBorders>
          </w:tcPr>
          <w:p w:rsidR="00212513" w:rsidRDefault="00212513">
            <w:pPr>
              <w:pStyle w:val="ConsPlusNormal"/>
            </w:pPr>
            <w:hyperlink r:id="rId2758">
              <w:r>
                <w:rPr>
                  <w:color w:val="0000FF"/>
                </w:rPr>
                <w:t>ГОСТ Р 52766-2007</w:t>
              </w:r>
            </w:hyperlink>
          </w:p>
        </w:tc>
        <w:tc>
          <w:tcPr>
            <w:tcW w:w="6520" w:type="dxa"/>
            <w:tcBorders>
              <w:top w:val="nil"/>
              <w:left w:val="nil"/>
              <w:bottom w:val="nil"/>
              <w:right w:val="nil"/>
            </w:tcBorders>
          </w:tcPr>
          <w:p w:rsidR="00212513" w:rsidRDefault="00212513">
            <w:pPr>
              <w:pStyle w:val="ConsPlusNormal"/>
              <w:jc w:val="both"/>
            </w:pPr>
            <w:r>
              <w:t>Дороги автомобильные общего пользования. Элементы обустройства. Общие требования</w:t>
            </w:r>
          </w:p>
        </w:tc>
      </w:tr>
      <w:tr w:rsidR="00212513">
        <w:tc>
          <w:tcPr>
            <w:tcW w:w="2551" w:type="dxa"/>
            <w:tcBorders>
              <w:top w:val="nil"/>
              <w:left w:val="nil"/>
              <w:bottom w:val="nil"/>
              <w:right w:val="nil"/>
            </w:tcBorders>
          </w:tcPr>
          <w:p w:rsidR="00212513" w:rsidRDefault="00212513">
            <w:pPr>
              <w:pStyle w:val="ConsPlusNormal"/>
            </w:pPr>
            <w:hyperlink r:id="rId2759">
              <w:r>
                <w:rPr>
                  <w:color w:val="0000FF"/>
                </w:rPr>
                <w:t>ГОСТ Р 53627-2009</w:t>
              </w:r>
            </w:hyperlink>
          </w:p>
        </w:tc>
        <w:tc>
          <w:tcPr>
            <w:tcW w:w="6520" w:type="dxa"/>
            <w:tcBorders>
              <w:top w:val="nil"/>
              <w:left w:val="nil"/>
              <w:bottom w:val="nil"/>
              <w:right w:val="nil"/>
            </w:tcBorders>
          </w:tcPr>
          <w:p w:rsidR="00212513" w:rsidRDefault="00212513">
            <w:pPr>
              <w:pStyle w:val="ConsPlusNormal"/>
              <w:jc w:val="both"/>
            </w:pPr>
            <w:r>
              <w:t>Покрытие полимерное тонкослойное проезжей части мостов. Технические условия</w:t>
            </w:r>
          </w:p>
        </w:tc>
      </w:tr>
      <w:tr w:rsidR="00212513">
        <w:tc>
          <w:tcPr>
            <w:tcW w:w="2551" w:type="dxa"/>
            <w:tcBorders>
              <w:top w:val="nil"/>
              <w:left w:val="nil"/>
              <w:bottom w:val="nil"/>
              <w:right w:val="nil"/>
            </w:tcBorders>
          </w:tcPr>
          <w:p w:rsidR="00212513" w:rsidRDefault="00212513">
            <w:pPr>
              <w:pStyle w:val="ConsPlusNormal"/>
            </w:pPr>
            <w:hyperlink r:id="rId2760">
              <w:r>
                <w:rPr>
                  <w:color w:val="0000FF"/>
                </w:rPr>
                <w:t>ГОСТ Р 53664-2009</w:t>
              </w:r>
            </w:hyperlink>
          </w:p>
        </w:tc>
        <w:tc>
          <w:tcPr>
            <w:tcW w:w="6520" w:type="dxa"/>
            <w:tcBorders>
              <w:top w:val="nil"/>
              <w:left w:val="nil"/>
              <w:bottom w:val="nil"/>
              <w:right w:val="nil"/>
            </w:tcBorders>
          </w:tcPr>
          <w:p w:rsidR="00212513" w:rsidRDefault="00212513">
            <w:pPr>
              <w:pStyle w:val="ConsPlusNormal"/>
              <w:jc w:val="both"/>
            </w:pPr>
            <w:r>
              <w:t>Болты высокопрочные цилиндрические и конические для мостостроения. Гайки и шайбы к ним. Технические условия</w:t>
            </w:r>
          </w:p>
        </w:tc>
      </w:tr>
      <w:tr w:rsidR="00212513">
        <w:tc>
          <w:tcPr>
            <w:tcW w:w="9071" w:type="dxa"/>
            <w:gridSpan w:val="2"/>
            <w:tcBorders>
              <w:top w:val="nil"/>
              <w:left w:val="nil"/>
              <w:bottom w:val="nil"/>
              <w:right w:val="nil"/>
            </w:tcBorders>
          </w:tcPr>
          <w:p w:rsidR="00212513" w:rsidRDefault="00212513">
            <w:pPr>
              <w:pStyle w:val="ConsPlusNormal"/>
              <w:jc w:val="both"/>
            </w:pPr>
            <w:r>
              <w:t xml:space="preserve">(в ред. </w:t>
            </w:r>
            <w:hyperlink r:id="rId2761">
              <w:r>
                <w:rPr>
                  <w:color w:val="0000FF"/>
                </w:rPr>
                <w:t>Изменения N 5</w:t>
              </w:r>
            </w:hyperlink>
            <w:r>
              <w:t>, утв. Приказом Минстроя России от 20.09.2024 N 636/пр)</w:t>
            </w:r>
          </w:p>
        </w:tc>
      </w:tr>
      <w:tr w:rsidR="00212513">
        <w:tc>
          <w:tcPr>
            <w:tcW w:w="2551" w:type="dxa"/>
            <w:tcBorders>
              <w:top w:val="nil"/>
              <w:left w:val="nil"/>
              <w:bottom w:val="nil"/>
              <w:right w:val="nil"/>
            </w:tcBorders>
          </w:tcPr>
          <w:p w:rsidR="00212513" w:rsidRDefault="00212513">
            <w:pPr>
              <w:pStyle w:val="ConsPlusNormal"/>
            </w:pPr>
            <w:hyperlink r:id="rId2762">
              <w:r>
                <w:rPr>
                  <w:color w:val="0000FF"/>
                </w:rPr>
                <w:t>ГОСТ Р 53772-2010</w:t>
              </w:r>
            </w:hyperlink>
          </w:p>
        </w:tc>
        <w:tc>
          <w:tcPr>
            <w:tcW w:w="6520" w:type="dxa"/>
            <w:tcBorders>
              <w:top w:val="nil"/>
              <w:left w:val="nil"/>
              <w:bottom w:val="nil"/>
              <w:right w:val="nil"/>
            </w:tcBorders>
          </w:tcPr>
          <w:p w:rsidR="00212513" w:rsidRDefault="00212513">
            <w:pPr>
              <w:pStyle w:val="ConsPlusNormal"/>
              <w:jc w:val="both"/>
            </w:pPr>
            <w:r>
              <w:t>Канаты стальные арматурные семипроволочные стабилизированные. Технические условия</w:t>
            </w:r>
          </w:p>
        </w:tc>
      </w:tr>
      <w:tr w:rsidR="00212513">
        <w:tc>
          <w:tcPr>
            <w:tcW w:w="2551" w:type="dxa"/>
            <w:tcBorders>
              <w:top w:val="nil"/>
              <w:left w:val="nil"/>
              <w:bottom w:val="nil"/>
              <w:right w:val="nil"/>
            </w:tcBorders>
          </w:tcPr>
          <w:p w:rsidR="00212513" w:rsidRDefault="00212513">
            <w:pPr>
              <w:pStyle w:val="ConsPlusNormal"/>
            </w:pPr>
            <w:hyperlink r:id="rId2763">
              <w:r>
                <w:rPr>
                  <w:color w:val="0000FF"/>
                </w:rPr>
                <w:t>ГОСТ Р 54401-2020</w:t>
              </w:r>
            </w:hyperlink>
          </w:p>
        </w:tc>
        <w:tc>
          <w:tcPr>
            <w:tcW w:w="6520" w:type="dxa"/>
            <w:tcBorders>
              <w:top w:val="nil"/>
              <w:left w:val="nil"/>
              <w:bottom w:val="nil"/>
              <w:right w:val="nil"/>
            </w:tcBorders>
          </w:tcPr>
          <w:p w:rsidR="00212513" w:rsidRDefault="00212513">
            <w:pPr>
              <w:pStyle w:val="ConsPlusNormal"/>
              <w:jc w:val="both"/>
            </w:pPr>
            <w:r>
              <w:t>Дороги автомобильные общего пользования. Смеси литые асфальтобетонные дорожные горячие и асфальтобетон литой дорожный. Технические условия</w:t>
            </w:r>
          </w:p>
        </w:tc>
      </w:tr>
      <w:tr w:rsidR="00212513">
        <w:tc>
          <w:tcPr>
            <w:tcW w:w="2551" w:type="dxa"/>
            <w:tcBorders>
              <w:top w:val="nil"/>
              <w:left w:val="nil"/>
              <w:bottom w:val="nil"/>
              <w:right w:val="nil"/>
            </w:tcBorders>
          </w:tcPr>
          <w:p w:rsidR="00212513" w:rsidRDefault="00212513">
            <w:pPr>
              <w:pStyle w:val="ConsPlusNormal"/>
            </w:pPr>
            <w:hyperlink r:id="rId2764">
              <w:r>
                <w:rPr>
                  <w:color w:val="0000FF"/>
                </w:rPr>
                <w:t>ГОСТ Р 54928-2012</w:t>
              </w:r>
            </w:hyperlink>
          </w:p>
        </w:tc>
        <w:tc>
          <w:tcPr>
            <w:tcW w:w="6520" w:type="dxa"/>
            <w:tcBorders>
              <w:top w:val="nil"/>
              <w:left w:val="nil"/>
              <w:bottom w:val="nil"/>
              <w:right w:val="nil"/>
            </w:tcBorders>
          </w:tcPr>
          <w:p w:rsidR="00212513" w:rsidRDefault="00212513">
            <w:pPr>
              <w:pStyle w:val="ConsPlusNormal"/>
              <w:jc w:val="both"/>
            </w:pPr>
            <w:r>
              <w:t>Пешеходные мосты и путепроводы из полимерных композитов. Технические условия</w:t>
            </w:r>
          </w:p>
        </w:tc>
      </w:tr>
      <w:tr w:rsidR="00212513">
        <w:tc>
          <w:tcPr>
            <w:tcW w:w="2551" w:type="dxa"/>
            <w:tcBorders>
              <w:top w:val="nil"/>
              <w:left w:val="nil"/>
              <w:bottom w:val="nil"/>
              <w:right w:val="nil"/>
            </w:tcBorders>
          </w:tcPr>
          <w:p w:rsidR="00212513" w:rsidRDefault="00212513">
            <w:pPr>
              <w:pStyle w:val="ConsPlusNormal"/>
            </w:pPr>
            <w:hyperlink r:id="rId2765">
              <w:r>
                <w:rPr>
                  <w:color w:val="0000FF"/>
                </w:rPr>
                <w:t>ГОСТ Р 55374-2012</w:t>
              </w:r>
            </w:hyperlink>
          </w:p>
        </w:tc>
        <w:tc>
          <w:tcPr>
            <w:tcW w:w="6520" w:type="dxa"/>
            <w:tcBorders>
              <w:top w:val="nil"/>
              <w:left w:val="nil"/>
              <w:bottom w:val="nil"/>
              <w:right w:val="nil"/>
            </w:tcBorders>
          </w:tcPr>
          <w:p w:rsidR="00212513" w:rsidRDefault="00212513">
            <w:pPr>
              <w:pStyle w:val="ConsPlusNormal"/>
              <w:jc w:val="both"/>
            </w:pPr>
            <w:r>
              <w:t>Прокат из стали конструкционной легированной для мостостроения. Общие технические условия</w:t>
            </w:r>
          </w:p>
        </w:tc>
      </w:tr>
      <w:tr w:rsidR="00212513">
        <w:tc>
          <w:tcPr>
            <w:tcW w:w="2551" w:type="dxa"/>
            <w:tcBorders>
              <w:top w:val="nil"/>
              <w:left w:val="nil"/>
              <w:bottom w:val="nil"/>
              <w:right w:val="nil"/>
            </w:tcBorders>
          </w:tcPr>
          <w:p w:rsidR="00212513" w:rsidRDefault="00212513">
            <w:pPr>
              <w:pStyle w:val="ConsPlusNormal"/>
            </w:pPr>
            <w:hyperlink r:id="rId2766">
              <w:r>
                <w:rPr>
                  <w:color w:val="0000FF"/>
                </w:rPr>
                <w:t>ГОСТ Р 57997-2017</w:t>
              </w:r>
            </w:hyperlink>
          </w:p>
        </w:tc>
        <w:tc>
          <w:tcPr>
            <w:tcW w:w="6520" w:type="dxa"/>
            <w:tcBorders>
              <w:top w:val="nil"/>
              <w:left w:val="nil"/>
              <w:bottom w:val="nil"/>
              <w:right w:val="nil"/>
            </w:tcBorders>
          </w:tcPr>
          <w:p w:rsidR="00212513" w:rsidRDefault="00212513">
            <w:pPr>
              <w:pStyle w:val="ConsPlusNormal"/>
              <w:jc w:val="both"/>
            </w:pPr>
            <w:r>
              <w:t>Арматурные и закладные изделия сварные, соединения сварные арматуры и закладных изделий железобетонных конструкций. Общие технические условия</w:t>
            </w:r>
          </w:p>
        </w:tc>
      </w:tr>
      <w:tr w:rsidR="00212513">
        <w:tc>
          <w:tcPr>
            <w:tcW w:w="2551" w:type="dxa"/>
            <w:tcBorders>
              <w:top w:val="nil"/>
              <w:left w:val="nil"/>
              <w:bottom w:val="nil"/>
              <w:right w:val="nil"/>
            </w:tcBorders>
          </w:tcPr>
          <w:p w:rsidR="00212513" w:rsidRDefault="00212513">
            <w:pPr>
              <w:pStyle w:val="ConsPlusNormal"/>
            </w:pPr>
            <w:hyperlink r:id="rId2767">
              <w:r>
                <w:rPr>
                  <w:color w:val="0000FF"/>
                </w:rPr>
                <w:t>ГОСТ Р 58401.1-2019</w:t>
              </w:r>
            </w:hyperlink>
          </w:p>
        </w:tc>
        <w:tc>
          <w:tcPr>
            <w:tcW w:w="6520" w:type="dxa"/>
            <w:tcBorders>
              <w:top w:val="nil"/>
              <w:left w:val="nil"/>
              <w:bottom w:val="nil"/>
              <w:right w:val="nil"/>
            </w:tcBorders>
          </w:tcPr>
          <w:p w:rsidR="00212513" w:rsidRDefault="00212513">
            <w:pPr>
              <w:pStyle w:val="ConsPlusNormal"/>
              <w:jc w:val="both"/>
            </w:pPr>
            <w:r>
              <w:t>Дороги автомобильные общего пользования. Смеси асфальтобетонные дорожные и асфальтобетон. Система объемно-функционального проектирования. Технические требования</w:t>
            </w:r>
          </w:p>
        </w:tc>
      </w:tr>
      <w:tr w:rsidR="00212513">
        <w:tc>
          <w:tcPr>
            <w:tcW w:w="2551" w:type="dxa"/>
            <w:tcBorders>
              <w:top w:val="nil"/>
              <w:left w:val="nil"/>
              <w:bottom w:val="nil"/>
              <w:right w:val="nil"/>
            </w:tcBorders>
          </w:tcPr>
          <w:p w:rsidR="00212513" w:rsidRDefault="00212513">
            <w:pPr>
              <w:pStyle w:val="ConsPlusNormal"/>
            </w:pPr>
            <w:hyperlink r:id="rId2768">
              <w:r>
                <w:rPr>
                  <w:color w:val="0000FF"/>
                </w:rPr>
                <w:t>ГОСТ Р 58401.2-2019</w:t>
              </w:r>
            </w:hyperlink>
          </w:p>
        </w:tc>
        <w:tc>
          <w:tcPr>
            <w:tcW w:w="6520" w:type="dxa"/>
            <w:tcBorders>
              <w:top w:val="nil"/>
              <w:left w:val="nil"/>
              <w:bottom w:val="nil"/>
              <w:right w:val="nil"/>
            </w:tcBorders>
          </w:tcPr>
          <w:p w:rsidR="00212513" w:rsidRDefault="00212513">
            <w:pPr>
              <w:pStyle w:val="ConsPlusNormal"/>
              <w:jc w:val="both"/>
            </w:pPr>
            <w:r>
              <w:t>Дороги автомобильные общего пользования. Смеси асфальтобетонные дорожные и асфальтобетон щебеночно-мастичные. Система объемно-функционального проектирования. Технические требования</w:t>
            </w:r>
          </w:p>
        </w:tc>
      </w:tr>
      <w:tr w:rsidR="00212513">
        <w:tc>
          <w:tcPr>
            <w:tcW w:w="2551" w:type="dxa"/>
            <w:tcBorders>
              <w:top w:val="nil"/>
              <w:left w:val="nil"/>
              <w:bottom w:val="nil"/>
              <w:right w:val="nil"/>
            </w:tcBorders>
          </w:tcPr>
          <w:p w:rsidR="00212513" w:rsidRDefault="00212513">
            <w:pPr>
              <w:pStyle w:val="ConsPlusNormal"/>
            </w:pPr>
            <w:hyperlink r:id="rId2769">
              <w:r>
                <w:rPr>
                  <w:color w:val="0000FF"/>
                </w:rPr>
                <w:t>ГОСТ Р 58406.1-2020</w:t>
              </w:r>
            </w:hyperlink>
          </w:p>
        </w:tc>
        <w:tc>
          <w:tcPr>
            <w:tcW w:w="6520" w:type="dxa"/>
            <w:tcBorders>
              <w:top w:val="nil"/>
              <w:left w:val="nil"/>
              <w:bottom w:val="nil"/>
              <w:right w:val="nil"/>
            </w:tcBorders>
          </w:tcPr>
          <w:p w:rsidR="00212513" w:rsidRDefault="00212513">
            <w:pPr>
              <w:pStyle w:val="ConsPlusNormal"/>
              <w:jc w:val="both"/>
            </w:pPr>
            <w:r>
              <w:t>Дороги автомобильные общего пользования. Смеси щебеночно-мастичные асфальтобетонные и асфальтобетон. Технические условия</w:t>
            </w:r>
          </w:p>
        </w:tc>
      </w:tr>
      <w:tr w:rsidR="00212513">
        <w:tc>
          <w:tcPr>
            <w:tcW w:w="2551" w:type="dxa"/>
            <w:tcBorders>
              <w:top w:val="nil"/>
              <w:left w:val="nil"/>
              <w:bottom w:val="nil"/>
              <w:right w:val="nil"/>
            </w:tcBorders>
          </w:tcPr>
          <w:p w:rsidR="00212513" w:rsidRDefault="00212513">
            <w:pPr>
              <w:pStyle w:val="ConsPlusNormal"/>
            </w:pPr>
            <w:hyperlink r:id="rId2770">
              <w:r>
                <w:rPr>
                  <w:color w:val="0000FF"/>
                </w:rPr>
                <w:t>ГОСТ Р 58406.2-2020</w:t>
              </w:r>
            </w:hyperlink>
          </w:p>
        </w:tc>
        <w:tc>
          <w:tcPr>
            <w:tcW w:w="6520" w:type="dxa"/>
            <w:tcBorders>
              <w:top w:val="nil"/>
              <w:left w:val="nil"/>
              <w:bottom w:val="nil"/>
              <w:right w:val="nil"/>
            </w:tcBorders>
          </w:tcPr>
          <w:p w:rsidR="00212513" w:rsidRDefault="00212513">
            <w:pPr>
              <w:pStyle w:val="ConsPlusNormal"/>
              <w:jc w:val="both"/>
            </w:pPr>
            <w:r>
              <w:t xml:space="preserve">Дороги автомобильные общего пользования. Смеси горячие </w:t>
            </w:r>
            <w:r>
              <w:lastRenderedPageBreak/>
              <w:t>асфальтобетонные и асфальтобетон. Технические условия</w:t>
            </w:r>
          </w:p>
        </w:tc>
      </w:tr>
      <w:tr w:rsidR="00212513">
        <w:tc>
          <w:tcPr>
            <w:tcW w:w="2551" w:type="dxa"/>
            <w:tcBorders>
              <w:top w:val="nil"/>
              <w:left w:val="nil"/>
              <w:bottom w:val="nil"/>
              <w:right w:val="nil"/>
            </w:tcBorders>
          </w:tcPr>
          <w:p w:rsidR="00212513" w:rsidRDefault="00212513">
            <w:pPr>
              <w:pStyle w:val="ConsPlusNormal"/>
            </w:pPr>
            <w:hyperlink r:id="rId2771">
              <w:r>
                <w:rPr>
                  <w:color w:val="0000FF"/>
                </w:rPr>
                <w:t>ГОСТ Р 58654-2019</w:t>
              </w:r>
            </w:hyperlink>
          </w:p>
        </w:tc>
        <w:tc>
          <w:tcPr>
            <w:tcW w:w="6520" w:type="dxa"/>
            <w:tcBorders>
              <w:top w:val="nil"/>
              <w:left w:val="nil"/>
              <w:bottom w:val="nil"/>
              <w:right w:val="nil"/>
            </w:tcBorders>
          </w:tcPr>
          <w:p w:rsidR="00212513" w:rsidRDefault="00212513">
            <w:pPr>
              <w:pStyle w:val="ConsPlusNormal"/>
              <w:jc w:val="both"/>
            </w:pPr>
            <w:r>
              <w:t>Дороги автомобильные общего пользования. Трубы металлические гофрированные спиральновитые. Технические условия</w:t>
            </w:r>
          </w:p>
        </w:tc>
      </w:tr>
      <w:tr w:rsidR="00212513">
        <w:tc>
          <w:tcPr>
            <w:tcW w:w="2551" w:type="dxa"/>
            <w:tcBorders>
              <w:top w:val="nil"/>
              <w:left w:val="nil"/>
              <w:bottom w:val="nil"/>
              <w:right w:val="nil"/>
            </w:tcBorders>
          </w:tcPr>
          <w:p w:rsidR="00212513" w:rsidRDefault="00212513">
            <w:pPr>
              <w:pStyle w:val="ConsPlusNormal"/>
            </w:pPr>
            <w:hyperlink r:id="rId2772">
              <w:r>
                <w:rPr>
                  <w:color w:val="0000FF"/>
                </w:rPr>
                <w:t>ГОСТ Р 58818-2020</w:t>
              </w:r>
            </w:hyperlink>
          </w:p>
        </w:tc>
        <w:tc>
          <w:tcPr>
            <w:tcW w:w="6520" w:type="dxa"/>
            <w:tcBorders>
              <w:top w:val="nil"/>
              <w:left w:val="nil"/>
              <w:bottom w:val="nil"/>
              <w:right w:val="nil"/>
            </w:tcBorders>
          </w:tcPr>
          <w:p w:rsidR="00212513" w:rsidRDefault="00212513">
            <w:pPr>
              <w:pStyle w:val="ConsPlusNormal"/>
              <w:jc w:val="both"/>
            </w:pPr>
            <w:r>
              <w:t>Дороги автомобильные с низкой интенсивностью движения. Проектирование, конструирование и расчет</w:t>
            </w:r>
          </w:p>
        </w:tc>
      </w:tr>
      <w:tr w:rsidR="00212513">
        <w:tc>
          <w:tcPr>
            <w:tcW w:w="2551" w:type="dxa"/>
            <w:tcBorders>
              <w:top w:val="nil"/>
              <w:left w:val="nil"/>
              <w:bottom w:val="nil"/>
              <w:right w:val="nil"/>
            </w:tcBorders>
          </w:tcPr>
          <w:p w:rsidR="00212513" w:rsidRDefault="00212513">
            <w:pPr>
              <w:pStyle w:val="ConsPlusNormal"/>
            </w:pPr>
            <w:hyperlink r:id="rId2773">
              <w:r>
                <w:rPr>
                  <w:color w:val="0000FF"/>
                </w:rPr>
                <w:t>ГОСТ Р 58944-2020</w:t>
              </w:r>
            </w:hyperlink>
          </w:p>
        </w:tc>
        <w:tc>
          <w:tcPr>
            <w:tcW w:w="6520" w:type="dxa"/>
            <w:tcBorders>
              <w:top w:val="nil"/>
              <w:left w:val="nil"/>
              <w:bottom w:val="nil"/>
              <w:right w:val="nil"/>
            </w:tcBorders>
          </w:tcPr>
          <w:p w:rsidR="00212513" w:rsidRDefault="00212513">
            <w:pPr>
              <w:pStyle w:val="ConsPlusNormal"/>
              <w:jc w:val="both"/>
            </w:pPr>
            <w:r>
              <w:t>Система обеспечения точности геометрических параметров в строительстве. Функциональные допуски</w:t>
            </w:r>
          </w:p>
        </w:tc>
      </w:tr>
      <w:tr w:rsidR="00212513">
        <w:tc>
          <w:tcPr>
            <w:tcW w:w="2551" w:type="dxa"/>
            <w:tcBorders>
              <w:top w:val="nil"/>
              <w:left w:val="nil"/>
              <w:bottom w:val="nil"/>
              <w:right w:val="nil"/>
            </w:tcBorders>
          </w:tcPr>
          <w:p w:rsidR="00212513" w:rsidRDefault="00212513">
            <w:pPr>
              <w:pStyle w:val="ConsPlusNormal"/>
            </w:pPr>
            <w:hyperlink r:id="rId2774">
              <w:r>
                <w:rPr>
                  <w:color w:val="0000FF"/>
                </w:rPr>
                <w:t>ГОСТ Р 58947-2020</w:t>
              </w:r>
            </w:hyperlink>
          </w:p>
        </w:tc>
        <w:tc>
          <w:tcPr>
            <w:tcW w:w="6520" w:type="dxa"/>
            <w:tcBorders>
              <w:top w:val="nil"/>
              <w:left w:val="nil"/>
              <w:bottom w:val="nil"/>
              <w:right w:val="nil"/>
            </w:tcBorders>
          </w:tcPr>
          <w:p w:rsidR="00212513" w:rsidRDefault="00212513">
            <w:pPr>
              <w:pStyle w:val="ConsPlusNormal"/>
              <w:jc w:val="both"/>
            </w:pPr>
            <w:r>
              <w:t>Дороги автомобильные общего пользования. Экодуки. Требования к размещению и обустройству</w:t>
            </w:r>
          </w:p>
        </w:tc>
      </w:tr>
      <w:tr w:rsidR="00212513">
        <w:tc>
          <w:tcPr>
            <w:tcW w:w="2551" w:type="dxa"/>
            <w:tcBorders>
              <w:top w:val="nil"/>
              <w:left w:val="nil"/>
              <w:bottom w:val="nil"/>
              <w:right w:val="nil"/>
            </w:tcBorders>
          </w:tcPr>
          <w:p w:rsidR="00212513" w:rsidRDefault="00212513">
            <w:pPr>
              <w:pStyle w:val="ConsPlusNormal"/>
            </w:pPr>
            <w:hyperlink r:id="rId2775">
              <w:r>
                <w:rPr>
                  <w:color w:val="0000FF"/>
                </w:rPr>
                <w:t>ГОСТ Р 59621-2022</w:t>
              </w:r>
            </w:hyperlink>
          </w:p>
        </w:tc>
        <w:tc>
          <w:tcPr>
            <w:tcW w:w="6520" w:type="dxa"/>
            <w:tcBorders>
              <w:top w:val="nil"/>
              <w:left w:val="nil"/>
              <w:bottom w:val="nil"/>
              <w:right w:val="nil"/>
            </w:tcBorders>
          </w:tcPr>
          <w:p w:rsidR="00212513" w:rsidRDefault="00212513">
            <w:pPr>
              <w:pStyle w:val="ConsPlusNormal"/>
              <w:jc w:val="both"/>
            </w:pPr>
            <w:r>
              <w:t>Дороги автомобильные общего пользования. Мостовые сооружения. Проектирование металлических гофрированных элементов</w:t>
            </w:r>
          </w:p>
        </w:tc>
      </w:tr>
      <w:tr w:rsidR="00212513">
        <w:tc>
          <w:tcPr>
            <w:tcW w:w="2551" w:type="dxa"/>
            <w:tcBorders>
              <w:top w:val="nil"/>
              <w:left w:val="nil"/>
              <w:bottom w:val="nil"/>
              <w:right w:val="nil"/>
            </w:tcBorders>
          </w:tcPr>
          <w:p w:rsidR="00212513" w:rsidRDefault="00212513">
            <w:pPr>
              <w:pStyle w:val="ConsPlusNormal"/>
            </w:pPr>
            <w:hyperlink r:id="rId2776">
              <w:r>
                <w:rPr>
                  <w:color w:val="0000FF"/>
                </w:rPr>
                <w:t>ГОСТ Р 59625-2022</w:t>
              </w:r>
            </w:hyperlink>
          </w:p>
        </w:tc>
        <w:tc>
          <w:tcPr>
            <w:tcW w:w="6520" w:type="dxa"/>
            <w:tcBorders>
              <w:top w:val="nil"/>
              <w:left w:val="nil"/>
              <w:bottom w:val="nil"/>
              <w:right w:val="nil"/>
            </w:tcBorders>
          </w:tcPr>
          <w:p w:rsidR="00212513" w:rsidRDefault="00212513">
            <w:pPr>
              <w:pStyle w:val="ConsPlusNormal"/>
              <w:jc w:val="both"/>
            </w:pPr>
            <w:r>
              <w:t>Дороги автомобильные общего пользования. Мостовые сооружения. Правила расчета и подтверждения аэроупругой устойчивости</w:t>
            </w:r>
          </w:p>
        </w:tc>
      </w:tr>
      <w:tr w:rsidR="00212513">
        <w:tc>
          <w:tcPr>
            <w:tcW w:w="2551" w:type="dxa"/>
            <w:tcBorders>
              <w:top w:val="nil"/>
              <w:left w:val="nil"/>
              <w:bottom w:val="nil"/>
              <w:right w:val="nil"/>
            </w:tcBorders>
          </w:tcPr>
          <w:p w:rsidR="00212513" w:rsidRDefault="00212513">
            <w:pPr>
              <w:pStyle w:val="ConsPlusNormal"/>
            </w:pPr>
            <w:hyperlink r:id="rId2777">
              <w:r>
                <w:rPr>
                  <w:color w:val="0000FF"/>
                </w:rPr>
                <w:t>ГОСТ Р 59627-2021</w:t>
              </w:r>
            </w:hyperlink>
          </w:p>
        </w:tc>
        <w:tc>
          <w:tcPr>
            <w:tcW w:w="6520" w:type="dxa"/>
            <w:tcBorders>
              <w:top w:val="nil"/>
              <w:left w:val="nil"/>
              <w:bottom w:val="nil"/>
              <w:right w:val="nil"/>
            </w:tcBorders>
          </w:tcPr>
          <w:p w:rsidR="00212513" w:rsidRDefault="00212513">
            <w:pPr>
              <w:pStyle w:val="ConsPlusNormal"/>
              <w:jc w:val="both"/>
            </w:pPr>
            <w:r>
              <w:t>Дороги автомобильные общего пользования. Мостовые сооружения. Смотровые ходы и агрегаты. Общие технические условия</w:t>
            </w:r>
          </w:p>
        </w:tc>
      </w:tr>
      <w:tr w:rsidR="00212513">
        <w:tc>
          <w:tcPr>
            <w:tcW w:w="2551" w:type="dxa"/>
            <w:tcBorders>
              <w:top w:val="nil"/>
              <w:left w:val="nil"/>
              <w:bottom w:val="nil"/>
              <w:right w:val="nil"/>
            </w:tcBorders>
          </w:tcPr>
          <w:p w:rsidR="00212513" w:rsidRDefault="00212513">
            <w:pPr>
              <w:pStyle w:val="ConsPlusNormal"/>
            </w:pPr>
            <w:hyperlink r:id="rId2778">
              <w:r>
                <w:rPr>
                  <w:color w:val="0000FF"/>
                </w:rPr>
                <w:t>ГОСТ Р 59788-2021</w:t>
              </w:r>
            </w:hyperlink>
          </w:p>
        </w:tc>
        <w:tc>
          <w:tcPr>
            <w:tcW w:w="6520" w:type="dxa"/>
            <w:tcBorders>
              <w:top w:val="nil"/>
              <w:left w:val="nil"/>
              <w:bottom w:val="nil"/>
              <w:right w:val="nil"/>
            </w:tcBorders>
          </w:tcPr>
          <w:p w:rsidR="00212513" w:rsidRDefault="00212513">
            <w:pPr>
              <w:pStyle w:val="ConsPlusNormal"/>
              <w:jc w:val="both"/>
            </w:pPr>
            <w:r>
              <w:t>Дороги автомобильные общего пользования. Мостовые сооружения. Правила расчета сталежелезобетонных пролетных строений</w:t>
            </w:r>
          </w:p>
        </w:tc>
      </w:tr>
      <w:tr w:rsidR="00212513">
        <w:tc>
          <w:tcPr>
            <w:tcW w:w="2551" w:type="dxa"/>
            <w:tcBorders>
              <w:top w:val="nil"/>
              <w:left w:val="nil"/>
              <w:bottom w:val="nil"/>
              <w:right w:val="nil"/>
            </w:tcBorders>
          </w:tcPr>
          <w:p w:rsidR="00212513" w:rsidRDefault="00212513">
            <w:pPr>
              <w:pStyle w:val="ConsPlusNormal"/>
            </w:pPr>
            <w:hyperlink r:id="rId2779">
              <w:r>
                <w:rPr>
                  <w:color w:val="0000FF"/>
                </w:rPr>
                <w:t>ГОСТ Р 70258-2022</w:t>
              </w:r>
            </w:hyperlink>
          </w:p>
        </w:tc>
        <w:tc>
          <w:tcPr>
            <w:tcW w:w="6520" w:type="dxa"/>
            <w:tcBorders>
              <w:top w:val="nil"/>
              <w:left w:val="nil"/>
              <w:bottom w:val="nil"/>
              <w:right w:val="nil"/>
            </w:tcBorders>
          </w:tcPr>
          <w:p w:rsidR="00212513" w:rsidRDefault="00212513">
            <w:pPr>
              <w:pStyle w:val="ConsPlusNormal"/>
              <w:jc w:val="both"/>
            </w:pPr>
            <w:r>
              <w:t>Маты подбалластные для виброизоляции конструкции верхнего строения пути. Методы испытаний</w:t>
            </w:r>
          </w:p>
        </w:tc>
      </w:tr>
      <w:tr w:rsidR="00212513">
        <w:tc>
          <w:tcPr>
            <w:tcW w:w="2551" w:type="dxa"/>
            <w:tcBorders>
              <w:top w:val="nil"/>
              <w:left w:val="nil"/>
              <w:bottom w:val="nil"/>
              <w:right w:val="nil"/>
            </w:tcBorders>
          </w:tcPr>
          <w:p w:rsidR="00212513" w:rsidRDefault="00212513">
            <w:pPr>
              <w:pStyle w:val="ConsPlusNormal"/>
            </w:pPr>
            <w:hyperlink r:id="rId2780">
              <w:r>
                <w:rPr>
                  <w:color w:val="0000FF"/>
                </w:rPr>
                <w:t>ГОСТ Р 70311-2022</w:t>
              </w:r>
            </w:hyperlink>
          </w:p>
        </w:tc>
        <w:tc>
          <w:tcPr>
            <w:tcW w:w="6520" w:type="dxa"/>
            <w:tcBorders>
              <w:top w:val="nil"/>
              <w:left w:val="nil"/>
              <w:bottom w:val="nil"/>
              <w:right w:val="nil"/>
            </w:tcBorders>
          </w:tcPr>
          <w:p w:rsidR="00212513" w:rsidRDefault="00212513">
            <w:pPr>
              <w:pStyle w:val="ConsPlusNormal"/>
              <w:jc w:val="both"/>
            </w:pPr>
            <w:r>
              <w:t>Дороги автомобильные общего пользования. Мостовые сооружения. Правила устройства и укрепления конусов насыпей подходов</w:t>
            </w:r>
          </w:p>
        </w:tc>
      </w:tr>
      <w:tr w:rsidR="00212513">
        <w:tc>
          <w:tcPr>
            <w:tcW w:w="2551" w:type="dxa"/>
            <w:tcBorders>
              <w:top w:val="nil"/>
              <w:left w:val="nil"/>
              <w:bottom w:val="nil"/>
              <w:right w:val="nil"/>
            </w:tcBorders>
          </w:tcPr>
          <w:p w:rsidR="00212513" w:rsidRDefault="00212513">
            <w:pPr>
              <w:pStyle w:val="ConsPlusNormal"/>
            </w:pPr>
            <w:hyperlink r:id="rId2781">
              <w:r>
                <w:rPr>
                  <w:color w:val="0000FF"/>
                </w:rPr>
                <w:t>СП 14.13330.2018</w:t>
              </w:r>
            </w:hyperlink>
          </w:p>
        </w:tc>
        <w:tc>
          <w:tcPr>
            <w:tcW w:w="6520" w:type="dxa"/>
            <w:tcBorders>
              <w:top w:val="nil"/>
              <w:left w:val="nil"/>
              <w:bottom w:val="nil"/>
              <w:right w:val="nil"/>
            </w:tcBorders>
          </w:tcPr>
          <w:p w:rsidR="00212513" w:rsidRDefault="00212513">
            <w:pPr>
              <w:pStyle w:val="ConsPlusNormal"/>
              <w:jc w:val="both"/>
            </w:pPr>
            <w:r>
              <w:t>"СНиП II-7-81* Строительство в сейсмических районах" (с изменениями N 2, N 3)</w:t>
            </w:r>
          </w:p>
        </w:tc>
      </w:tr>
      <w:tr w:rsidR="00212513">
        <w:tc>
          <w:tcPr>
            <w:tcW w:w="2551" w:type="dxa"/>
            <w:tcBorders>
              <w:top w:val="nil"/>
              <w:left w:val="nil"/>
              <w:bottom w:val="nil"/>
              <w:right w:val="nil"/>
            </w:tcBorders>
          </w:tcPr>
          <w:p w:rsidR="00212513" w:rsidRDefault="00212513">
            <w:pPr>
              <w:pStyle w:val="ConsPlusNormal"/>
            </w:pPr>
            <w:hyperlink r:id="rId2782">
              <w:r>
                <w:rPr>
                  <w:color w:val="0000FF"/>
                </w:rPr>
                <w:t>СП 16.13330.2017</w:t>
              </w:r>
            </w:hyperlink>
          </w:p>
        </w:tc>
        <w:tc>
          <w:tcPr>
            <w:tcW w:w="6520" w:type="dxa"/>
            <w:tcBorders>
              <w:top w:val="nil"/>
              <w:left w:val="nil"/>
              <w:bottom w:val="nil"/>
              <w:right w:val="nil"/>
            </w:tcBorders>
          </w:tcPr>
          <w:p w:rsidR="00212513" w:rsidRDefault="00212513">
            <w:pPr>
              <w:pStyle w:val="ConsPlusNormal"/>
              <w:jc w:val="both"/>
            </w:pPr>
            <w:r>
              <w:t>"СНиП II-23-81 Стальные конструкции" (с изменениями N 1, N 2, N 3, N 4, N 5)</w:t>
            </w:r>
          </w:p>
        </w:tc>
      </w:tr>
      <w:tr w:rsidR="00212513">
        <w:tc>
          <w:tcPr>
            <w:tcW w:w="2551" w:type="dxa"/>
            <w:tcBorders>
              <w:top w:val="nil"/>
              <w:left w:val="nil"/>
              <w:bottom w:val="nil"/>
              <w:right w:val="nil"/>
            </w:tcBorders>
          </w:tcPr>
          <w:p w:rsidR="00212513" w:rsidRDefault="00212513">
            <w:pPr>
              <w:pStyle w:val="ConsPlusNormal"/>
            </w:pPr>
            <w:hyperlink r:id="rId2783">
              <w:r>
                <w:rPr>
                  <w:color w:val="0000FF"/>
                </w:rPr>
                <w:t>СП 20.13330.2016</w:t>
              </w:r>
            </w:hyperlink>
          </w:p>
        </w:tc>
        <w:tc>
          <w:tcPr>
            <w:tcW w:w="6520" w:type="dxa"/>
            <w:tcBorders>
              <w:top w:val="nil"/>
              <w:left w:val="nil"/>
              <w:bottom w:val="nil"/>
              <w:right w:val="nil"/>
            </w:tcBorders>
          </w:tcPr>
          <w:p w:rsidR="00212513" w:rsidRDefault="00212513">
            <w:pPr>
              <w:pStyle w:val="ConsPlusNormal"/>
              <w:jc w:val="both"/>
            </w:pPr>
            <w:r>
              <w:t>"СНиП 2.01.07-85* Нагрузки и воздействия" (с изменениями N 1, N 2, N 3, N 4, N 5, N 6)</w:t>
            </w:r>
          </w:p>
        </w:tc>
      </w:tr>
      <w:tr w:rsidR="00212513">
        <w:tc>
          <w:tcPr>
            <w:tcW w:w="9071" w:type="dxa"/>
            <w:gridSpan w:val="2"/>
            <w:tcBorders>
              <w:top w:val="nil"/>
              <w:left w:val="nil"/>
              <w:bottom w:val="nil"/>
              <w:right w:val="nil"/>
            </w:tcBorders>
          </w:tcPr>
          <w:p w:rsidR="00212513" w:rsidRDefault="00212513">
            <w:pPr>
              <w:pStyle w:val="ConsPlusNormal"/>
              <w:jc w:val="both"/>
            </w:pPr>
            <w:r>
              <w:t xml:space="preserve">(в ред. </w:t>
            </w:r>
            <w:hyperlink r:id="rId2784">
              <w:r>
                <w:rPr>
                  <w:color w:val="0000FF"/>
                </w:rPr>
                <w:t>Изменения N 5</w:t>
              </w:r>
            </w:hyperlink>
            <w:r>
              <w:t>, утв. Приказом Минстроя России от 20.09.2024 N 636/пр)</w:t>
            </w:r>
          </w:p>
        </w:tc>
      </w:tr>
      <w:tr w:rsidR="00212513">
        <w:tc>
          <w:tcPr>
            <w:tcW w:w="2551" w:type="dxa"/>
            <w:tcBorders>
              <w:top w:val="nil"/>
              <w:left w:val="nil"/>
              <w:bottom w:val="nil"/>
              <w:right w:val="nil"/>
            </w:tcBorders>
          </w:tcPr>
          <w:p w:rsidR="00212513" w:rsidRDefault="00212513">
            <w:pPr>
              <w:pStyle w:val="ConsPlusNormal"/>
            </w:pPr>
            <w:hyperlink r:id="rId2785">
              <w:r>
                <w:rPr>
                  <w:color w:val="0000FF"/>
                </w:rPr>
                <w:t>СП 22.13330.2016</w:t>
              </w:r>
            </w:hyperlink>
          </w:p>
        </w:tc>
        <w:tc>
          <w:tcPr>
            <w:tcW w:w="6520" w:type="dxa"/>
            <w:tcBorders>
              <w:top w:val="nil"/>
              <w:left w:val="nil"/>
              <w:bottom w:val="nil"/>
              <w:right w:val="nil"/>
            </w:tcBorders>
          </w:tcPr>
          <w:p w:rsidR="00212513" w:rsidRDefault="00212513">
            <w:pPr>
              <w:pStyle w:val="ConsPlusNormal"/>
              <w:jc w:val="both"/>
            </w:pPr>
            <w:r>
              <w:t>"СНиП 2.02.01-83* Основания зданий и сооружений" (с изменениями N 1, N 2, N 3, N 4, N 5)</w:t>
            </w:r>
          </w:p>
        </w:tc>
      </w:tr>
      <w:tr w:rsidR="00212513">
        <w:tc>
          <w:tcPr>
            <w:tcW w:w="2551" w:type="dxa"/>
            <w:tcBorders>
              <w:top w:val="nil"/>
              <w:left w:val="nil"/>
              <w:bottom w:val="nil"/>
              <w:right w:val="nil"/>
            </w:tcBorders>
          </w:tcPr>
          <w:p w:rsidR="00212513" w:rsidRDefault="00212513">
            <w:pPr>
              <w:pStyle w:val="ConsPlusNormal"/>
            </w:pPr>
            <w:hyperlink r:id="rId2786">
              <w:r>
                <w:rPr>
                  <w:color w:val="0000FF"/>
                </w:rPr>
                <w:t>СП 24.13330.2021</w:t>
              </w:r>
            </w:hyperlink>
          </w:p>
        </w:tc>
        <w:tc>
          <w:tcPr>
            <w:tcW w:w="6520" w:type="dxa"/>
            <w:tcBorders>
              <w:top w:val="nil"/>
              <w:left w:val="nil"/>
              <w:bottom w:val="nil"/>
              <w:right w:val="nil"/>
            </w:tcBorders>
          </w:tcPr>
          <w:p w:rsidR="00212513" w:rsidRDefault="00212513">
            <w:pPr>
              <w:pStyle w:val="ConsPlusNormal"/>
              <w:jc w:val="both"/>
            </w:pPr>
            <w:r>
              <w:t>"СНиП 2.02.03-85 Свайные фундаменты" (с изменением N 1)</w:t>
            </w:r>
          </w:p>
        </w:tc>
      </w:tr>
      <w:tr w:rsidR="00212513">
        <w:tc>
          <w:tcPr>
            <w:tcW w:w="2551" w:type="dxa"/>
            <w:tcBorders>
              <w:top w:val="nil"/>
              <w:left w:val="nil"/>
              <w:bottom w:val="nil"/>
              <w:right w:val="nil"/>
            </w:tcBorders>
          </w:tcPr>
          <w:p w:rsidR="00212513" w:rsidRDefault="00212513">
            <w:pPr>
              <w:pStyle w:val="ConsPlusNormal"/>
            </w:pPr>
            <w:hyperlink r:id="rId2787">
              <w:r>
                <w:rPr>
                  <w:color w:val="0000FF"/>
                </w:rPr>
                <w:t>СП 25.13330.2020</w:t>
              </w:r>
            </w:hyperlink>
          </w:p>
        </w:tc>
        <w:tc>
          <w:tcPr>
            <w:tcW w:w="6520" w:type="dxa"/>
            <w:tcBorders>
              <w:top w:val="nil"/>
              <w:left w:val="nil"/>
              <w:bottom w:val="nil"/>
              <w:right w:val="nil"/>
            </w:tcBorders>
          </w:tcPr>
          <w:p w:rsidR="00212513" w:rsidRDefault="00212513">
            <w:pPr>
              <w:pStyle w:val="ConsPlusNormal"/>
              <w:jc w:val="both"/>
            </w:pPr>
            <w:r>
              <w:t>"СНиП 2.02.04-88 Основания и фундаменты на вечномерзлых грунтах" (с изменением N 1)</w:t>
            </w:r>
          </w:p>
        </w:tc>
      </w:tr>
      <w:tr w:rsidR="00212513">
        <w:tc>
          <w:tcPr>
            <w:tcW w:w="2551" w:type="dxa"/>
            <w:tcBorders>
              <w:top w:val="nil"/>
              <w:left w:val="nil"/>
              <w:bottom w:val="nil"/>
              <w:right w:val="nil"/>
            </w:tcBorders>
          </w:tcPr>
          <w:p w:rsidR="00212513" w:rsidRDefault="00212513">
            <w:pPr>
              <w:pStyle w:val="ConsPlusNormal"/>
            </w:pPr>
            <w:hyperlink r:id="rId2788">
              <w:r>
                <w:rPr>
                  <w:color w:val="0000FF"/>
                </w:rPr>
                <w:t>СП 28.13330.2017</w:t>
              </w:r>
            </w:hyperlink>
          </w:p>
        </w:tc>
        <w:tc>
          <w:tcPr>
            <w:tcW w:w="6520" w:type="dxa"/>
            <w:tcBorders>
              <w:top w:val="nil"/>
              <w:left w:val="nil"/>
              <w:bottom w:val="nil"/>
              <w:right w:val="nil"/>
            </w:tcBorders>
          </w:tcPr>
          <w:p w:rsidR="00212513" w:rsidRDefault="00212513">
            <w:pPr>
              <w:pStyle w:val="ConsPlusNormal"/>
              <w:jc w:val="both"/>
            </w:pPr>
            <w:r>
              <w:t>"СНиП 2.03.11-85 Защита строительных конструкций от коррозии" (с изменениями N 1, N 2, N 3, N 4)</w:t>
            </w:r>
          </w:p>
        </w:tc>
      </w:tr>
      <w:tr w:rsidR="00212513">
        <w:tc>
          <w:tcPr>
            <w:tcW w:w="9071" w:type="dxa"/>
            <w:gridSpan w:val="2"/>
            <w:tcBorders>
              <w:top w:val="nil"/>
              <w:left w:val="nil"/>
              <w:bottom w:val="nil"/>
              <w:right w:val="nil"/>
            </w:tcBorders>
          </w:tcPr>
          <w:p w:rsidR="00212513" w:rsidRDefault="00212513">
            <w:pPr>
              <w:pStyle w:val="ConsPlusNormal"/>
              <w:jc w:val="both"/>
            </w:pPr>
            <w:r>
              <w:t xml:space="preserve">(в ред. </w:t>
            </w:r>
            <w:hyperlink r:id="rId2789">
              <w:r>
                <w:rPr>
                  <w:color w:val="0000FF"/>
                </w:rPr>
                <w:t>Изменения N 5</w:t>
              </w:r>
            </w:hyperlink>
            <w:r>
              <w:t>, утв. Приказом Минстроя России от 20.09.2024 N 636/пр)</w:t>
            </w:r>
          </w:p>
        </w:tc>
      </w:tr>
      <w:tr w:rsidR="00212513">
        <w:tc>
          <w:tcPr>
            <w:tcW w:w="2551" w:type="dxa"/>
            <w:tcBorders>
              <w:top w:val="nil"/>
              <w:left w:val="nil"/>
              <w:bottom w:val="nil"/>
              <w:right w:val="nil"/>
            </w:tcBorders>
          </w:tcPr>
          <w:p w:rsidR="00212513" w:rsidRDefault="00212513">
            <w:pPr>
              <w:pStyle w:val="ConsPlusNormal"/>
            </w:pPr>
            <w:hyperlink r:id="rId2790">
              <w:r>
                <w:rPr>
                  <w:color w:val="0000FF"/>
                </w:rPr>
                <w:t>СП 34.13330.2021</w:t>
              </w:r>
            </w:hyperlink>
          </w:p>
        </w:tc>
        <w:tc>
          <w:tcPr>
            <w:tcW w:w="6520" w:type="dxa"/>
            <w:tcBorders>
              <w:top w:val="nil"/>
              <w:left w:val="nil"/>
              <w:bottom w:val="nil"/>
              <w:right w:val="nil"/>
            </w:tcBorders>
          </w:tcPr>
          <w:p w:rsidR="00212513" w:rsidRDefault="00212513">
            <w:pPr>
              <w:pStyle w:val="ConsPlusNormal"/>
              <w:jc w:val="both"/>
            </w:pPr>
            <w:r>
              <w:t>"СНиП 2.05.02-85* Автомобильные дороги"</w:t>
            </w:r>
          </w:p>
        </w:tc>
      </w:tr>
      <w:tr w:rsidR="00212513">
        <w:tc>
          <w:tcPr>
            <w:tcW w:w="2551" w:type="dxa"/>
            <w:tcBorders>
              <w:top w:val="nil"/>
              <w:left w:val="nil"/>
              <w:bottom w:val="nil"/>
              <w:right w:val="nil"/>
            </w:tcBorders>
          </w:tcPr>
          <w:p w:rsidR="00212513" w:rsidRDefault="00212513">
            <w:pPr>
              <w:pStyle w:val="ConsPlusNormal"/>
            </w:pPr>
            <w:hyperlink r:id="rId2791">
              <w:r>
                <w:rPr>
                  <w:color w:val="0000FF"/>
                </w:rPr>
                <w:t>СП 37.13330.2012</w:t>
              </w:r>
            </w:hyperlink>
          </w:p>
        </w:tc>
        <w:tc>
          <w:tcPr>
            <w:tcW w:w="6520" w:type="dxa"/>
            <w:tcBorders>
              <w:top w:val="nil"/>
              <w:left w:val="nil"/>
              <w:bottom w:val="nil"/>
              <w:right w:val="nil"/>
            </w:tcBorders>
          </w:tcPr>
          <w:p w:rsidR="00212513" w:rsidRDefault="00212513">
            <w:pPr>
              <w:pStyle w:val="ConsPlusNormal"/>
              <w:jc w:val="both"/>
            </w:pPr>
            <w:r>
              <w:t>"СНиП 2.05.07-91* Промышленный транспорт" (с изменениями N 1, N 2, N 3, N 4, N 5, N 6, N 7)</w:t>
            </w:r>
          </w:p>
        </w:tc>
      </w:tr>
      <w:tr w:rsidR="00212513">
        <w:tc>
          <w:tcPr>
            <w:tcW w:w="2551" w:type="dxa"/>
            <w:tcBorders>
              <w:top w:val="nil"/>
              <w:left w:val="nil"/>
              <w:bottom w:val="nil"/>
              <w:right w:val="nil"/>
            </w:tcBorders>
          </w:tcPr>
          <w:p w:rsidR="00212513" w:rsidRDefault="00212513">
            <w:pPr>
              <w:pStyle w:val="ConsPlusNormal"/>
            </w:pPr>
            <w:hyperlink r:id="rId2792">
              <w:r>
                <w:rPr>
                  <w:color w:val="0000FF"/>
                </w:rPr>
                <w:t>СП 38.13330.2018</w:t>
              </w:r>
            </w:hyperlink>
          </w:p>
        </w:tc>
        <w:tc>
          <w:tcPr>
            <w:tcW w:w="6520" w:type="dxa"/>
            <w:tcBorders>
              <w:top w:val="nil"/>
              <w:left w:val="nil"/>
              <w:bottom w:val="nil"/>
              <w:right w:val="nil"/>
            </w:tcBorders>
          </w:tcPr>
          <w:p w:rsidR="00212513" w:rsidRDefault="00212513">
            <w:pPr>
              <w:pStyle w:val="ConsPlusNormal"/>
              <w:jc w:val="both"/>
            </w:pPr>
            <w:r>
              <w:t>"СНиП 2.06.04-82* Нагрузки и воздействия на гидротехнические сооружения (волновые, ледовые и от судов) (с изменением N 1)</w:t>
            </w:r>
          </w:p>
        </w:tc>
      </w:tr>
      <w:tr w:rsidR="00212513">
        <w:tc>
          <w:tcPr>
            <w:tcW w:w="2551" w:type="dxa"/>
            <w:tcBorders>
              <w:top w:val="nil"/>
              <w:left w:val="nil"/>
              <w:bottom w:val="nil"/>
              <w:right w:val="nil"/>
            </w:tcBorders>
          </w:tcPr>
          <w:p w:rsidR="00212513" w:rsidRDefault="00212513">
            <w:pPr>
              <w:pStyle w:val="ConsPlusNormal"/>
            </w:pPr>
            <w:hyperlink r:id="rId2793">
              <w:r>
                <w:rPr>
                  <w:color w:val="0000FF"/>
                </w:rPr>
                <w:t>СП 42.13330.2016</w:t>
              </w:r>
            </w:hyperlink>
          </w:p>
        </w:tc>
        <w:tc>
          <w:tcPr>
            <w:tcW w:w="6520" w:type="dxa"/>
            <w:tcBorders>
              <w:top w:val="nil"/>
              <w:left w:val="nil"/>
              <w:bottom w:val="nil"/>
              <w:right w:val="nil"/>
            </w:tcBorders>
          </w:tcPr>
          <w:p w:rsidR="00212513" w:rsidRDefault="00212513">
            <w:pPr>
              <w:pStyle w:val="ConsPlusNormal"/>
              <w:jc w:val="both"/>
            </w:pPr>
            <w:r>
              <w:t>"СНиП 2.07.01-89* Градостроительство. Планировка и застройка городских и сельских поселений" (с изменениями N 1, N 2, N 3, N 4)</w:t>
            </w:r>
          </w:p>
        </w:tc>
      </w:tr>
      <w:tr w:rsidR="00212513">
        <w:tc>
          <w:tcPr>
            <w:tcW w:w="2551" w:type="dxa"/>
            <w:tcBorders>
              <w:top w:val="nil"/>
              <w:left w:val="nil"/>
              <w:bottom w:val="nil"/>
              <w:right w:val="nil"/>
            </w:tcBorders>
          </w:tcPr>
          <w:p w:rsidR="00212513" w:rsidRDefault="00212513">
            <w:pPr>
              <w:pStyle w:val="ConsPlusNormal"/>
            </w:pPr>
            <w:hyperlink r:id="rId2794">
              <w:r>
                <w:rPr>
                  <w:color w:val="0000FF"/>
                </w:rPr>
                <w:t>СП 43.13330.2012</w:t>
              </w:r>
            </w:hyperlink>
          </w:p>
        </w:tc>
        <w:tc>
          <w:tcPr>
            <w:tcW w:w="6520" w:type="dxa"/>
            <w:tcBorders>
              <w:top w:val="nil"/>
              <w:left w:val="nil"/>
              <w:bottom w:val="nil"/>
              <w:right w:val="nil"/>
            </w:tcBorders>
          </w:tcPr>
          <w:p w:rsidR="00212513" w:rsidRDefault="00212513">
            <w:pPr>
              <w:pStyle w:val="ConsPlusNormal"/>
              <w:jc w:val="both"/>
            </w:pPr>
            <w:r>
              <w:t>"СНиП 2.09.03-85 Сооружения промышленных предприятий" (с изменениями N 1, N 2, N 3, N 4)</w:t>
            </w:r>
          </w:p>
        </w:tc>
      </w:tr>
      <w:tr w:rsidR="00212513">
        <w:tc>
          <w:tcPr>
            <w:tcW w:w="2551" w:type="dxa"/>
            <w:tcBorders>
              <w:top w:val="nil"/>
              <w:left w:val="nil"/>
              <w:bottom w:val="nil"/>
              <w:right w:val="nil"/>
            </w:tcBorders>
          </w:tcPr>
          <w:p w:rsidR="00212513" w:rsidRDefault="00212513">
            <w:pPr>
              <w:pStyle w:val="ConsPlusNormal"/>
            </w:pPr>
            <w:hyperlink r:id="rId2795">
              <w:r>
                <w:rPr>
                  <w:color w:val="0000FF"/>
                </w:rPr>
                <w:t>СП 51.13330.2011</w:t>
              </w:r>
            </w:hyperlink>
          </w:p>
        </w:tc>
        <w:tc>
          <w:tcPr>
            <w:tcW w:w="6520" w:type="dxa"/>
            <w:tcBorders>
              <w:top w:val="nil"/>
              <w:left w:val="nil"/>
              <w:bottom w:val="nil"/>
              <w:right w:val="nil"/>
            </w:tcBorders>
          </w:tcPr>
          <w:p w:rsidR="00212513" w:rsidRDefault="00212513">
            <w:pPr>
              <w:pStyle w:val="ConsPlusNormal"/>
              <w:jc w:val="both"/>
            </w:pPr>
            <w:r>
              <w:t>"СНиП 23-03-2003 Защита от шума" (с изменениями N 1, N 2, N 3, N 4)</w:t>
            </w:r>
          </w:p>
        </w:tc>
      </w:tr>
      <w:tr w:rsidR="00212513">
        <w:tc>
          <w:tcPr>
            <w:tcW w:w="2551" w:type="dxa"/>
            <w:tcBorders>
              <w:top w:val="nil"/>
              <w:left w:val="nil"/>
              <w:bottom w:val="nil"/>
              <w:right w:val="nil"/>
            </w:tcBorders>
          </w:tcPr>
          <w:p w:rsidR="00212513" w:rsidRDefault="00212513">
            <w:pPr>
              <w:pStyle w:val="ConsPlusNormal"/>
            </w:pPr>
            <w:hyperlink r:id="rId2796">
              <w:r>
                <w:rPr>
                  <w:color w:val="0000FF"/>
                </w:rPr>
                <w:t>СП 59.13330.2020</w:t>
              </w:r>
            </w:hyperlink>
          </w:p>
        </w:tc>
        <w:tc>
          <w:tcPr>
            <w:tcW w:w="6520" w:type="dxa"/>
            <w:tcBorders>
              <w:top w:val="nil"/>
              <w:left w:val="nil"/>
              <w:bottom w:val="nil"/>
              <w:right w:val="nil"/>
            </w:tcBorders>
          </w:tcPr>
          <w:p w:rsidR="00212513" w:rsidRDefault="00212513">
            <w:pPr>
              <w:pStyle w:val="ConsPlusNormal"/>
              <w:jc w:val="both"/>
            </w:pPr>
            <w:r>
              <w:t>"СНиП 35-01-2001 Доступность зданий и сооружений для маломобильных групп населения" (с изменениями N 1, N 2)</w:t>
            </w:r>
          </w:p>
        </w:tc>
      </w:tr>
      <w:tr w:rsidR="00212513">
        <w:tc>
          <w:tcPr>
            <w:tcW w:w="2551" w:type="dxa"/>
            <w:tcBorders>
              <w:top w:val="nil"/>
              <w:left w:val="nil"/>
              <w:bottom w:val="nil"/>
              <w:right w:val="nil"/>
            </w:tcBorders>
          </w:tcPr>
          <w:p w:rsidR="00212513" w:rsidRDefault="00212513">
            <w:pPr>
              <w:pStyle w:val="ConsPlusNormal"/>
            </w:pPr>
            <w:hyperlink r:id="rId2797">
              <w:r>
                <w:rPr>
                  <w:color w:val="0000FF"/>
                </w:rPr>
                <w:t>СП 63.13330.2018</w:t>
              </w:r>
            </w:hyperlink>
          </w:p>
        </w:tc>
        <w:tc>
          <w:tcPr>
            <w:tcW w:w="6520" w:type="dxa"/>
            <w:tcBorders>
              <w:top w:val="nil"/>
              <w:left w:val="nil"/>
              <w:bottom w:val="nil"/>
              <w:right w:val="nil"/>
            </w:tcBorders>
          </w:tcPr>
          <w:p w:rsidR="00212513" w:rsidRDefault="00212513">
            <w:pPr>
              <w:pStyle w:val="ConsPlusNormal"/>
              <w:jc w:val="both"/>
            </w:pPr>
            <w:r>
              <w:t>"СНиП 52-01-2003 Бетонные и железобетонные конструкции. Основные положения" (с изменениями N 1, N 2)</w:t>
            </w:r>
          </w:p>
        </w:tc>
      </w:tr>
      <w:tr w:rsidR="00212513">
        <w:tc>
          <w:tcPr>
            <w:tcW w:w="2551" w:type="dxa"/>
            <w:tcBorders>
              <w:top w:val="nil"/>
              <w:left w:val="nil"/>
              <w:bottom w:val="nil"/>
              <w:right w:val="nil"/>
            </w:tcBorders>
          </w:tcPr>
          <w:p w:rsidR="00212513" w:rsidRDefault="00212513">
            <w:pPr>
              <w:pStyle w:val="ConsPlusNormal"/>
            </w:pPr>
            <w:hyperlink r:id="rId2798">
              <w:r>
                <w:rPr>
                  <w:color w:val="0000FF"/>
                </w:rPr>
                <w:t>СП 64.13330.2017</w:t>
              </w:r>
            </w:hyperlink>
          </w:p>
        </w:tc>
        <w:tc>
          <w:tcPr>
            <w:tcW w:w="6520" w:type="dxa"/>
            <w:tcBorders>
              <w:top w:val="nil"/>
              <w:left w:val="nil"/>
              <w:bottom w:val="nil"/>
              <w:right w:val="nil"/>
            </w:tcBorders>
          </w:tcPr>
          <w:p w:rsidR="00212513" w:rsidRDefault="00212513">
            <w:pPr>
              <w:pStyle w:val="ConsPlusNormal"/>
              <w:jc w:val="both"/>
            </w:pPr>
            <w:r>
              <w:t>"СНиП II-25-80 Деревянные конструкции" (с изменениями N 1, N 2, N 3, N 4)</w:t>
            </w:r>
          </w:p>
        </w:tc>
      </w:tr>
      <w:tr w:rsidR="00212513">
        <w:tc>
          <w:tcPr>
            <w:tcW w:w="2551" w:type="dxa"/>
            <w:tcBorders>
              <w:top w:val="nil"/>
              <w:left w:val="nil"/>
              <w:bottom w:val="nil"/>
              <w:right w:val="nil"/>
            </w:tcBorders>
          </w:tcPr>
          <w:p w:rsidR="00212513" w:rsidRDefault="00212513">
            <w:pPr>
              <w:pStyle w:val="ConsPlusNormal"/>
            </w:pPr>
            <w:hyperlink r:id="rId2799">
              <w:r>
                <w:rPr>
                  <w:color w:val="0000FF"/>
                </w:rPr>
                <w:t>СП 70.13330.2012</w:t>
              </w:r>
            </w:hyperlink>
          </w:p>
        </w:tc>
        <w:tc>
          <w:tcPr>
            <w:tcW w:w="6520" w:type="dxa"/>
            <w:tcBorders>
              <w:top w:val="nil"/>
              <w:left w:val="nil"/>
              <w:bottom w:val="nil"/>
              <w:right w:val="nil"/>
            </w:tcBorders>
          </w:tcPr>
          <w:p w:rsidR="00212513" w:rsidRDefault="00212513">
            <w:pPr>
              <w:pStyle w:val="ConsPlusNormal"/>
              <w:jc w:val="both"/>
            </w:pPr>
            <w:r>
              <w:t>"СНиП 3.03.01-87 Несущие и ограждающие конструкции" (с изменениями N 1, N 3, N 4, N 5, N 6)</w:t>
            </w:r>
          </w:p>
        </w:tc>
      </w:tr>
      <w:tr w:rsidR="00212513">
        <w:tc>
          <w:tcPr>
            <w:tcW w:w="2551" w:type="dxa"/>
            <w:tcBorders>
              <w:top w:val="nil"/>
              <w:left w:val="nil"/>
              <w:bottom w:val="nil"/>
              <w:right w:val="nil"/>
            </w:tcBorders>
          </w:tcPr>
          <w:p w:rsidR="00212513" w:rsidRDefault="00212513">
            <w:pPr>
              <w:pStyle w:val="ConsPlusNormal"/>
            </w:pPr>
            <w:hyperlink r:id="rId2800">
              <w:r>
                <w:rPr>
                  <w:color w:val="0000FF"/>
                </w:rPr>
                <w:t>СП 71.13330.2017</w:t>
              </w:r>
            </w:hyperlink>
          </w:p>
        </w:tc>
        <w:tc>
          <w:tcPr>
            <w:tcW w:w="6520" w:type="dxa"/>
            <w:tcBorders>
              <w:top w:val="nil"/>
              <w:left w:val="nil"/>
              <w:bottom w:val="nil"/>
              <w:right w:val="nil"/>
            </w:tcBorders>
          </w:tcPr>
          <w:p w:rsidR="00212513" w:rsidRDefault="00212513">
            <w:pPr>
              <w:pStyle w:val="ConsPlusNormal"/>
              <w:jc w:val="both"/>
            </w:pPr>
            <w:r>
              <w:t>"СНиП 3.04.01-87 Изоляционные и отделочные покрытия" (с изменениями N 1, N 2)</w:t>
            </w:r>
          </w:p>
        </w:tc>
      </w:tr>
      <w:tr w:rsidR="00212513">
        <w:tc>
          <w:tcPr>
            <w:tcW w:w="2551" w:type="dxa"/>
            <w:tcBorders>
              <w:top w:val="nil"/>
              <w:left w:val="nil"/>
              <w:bottom w:val="nil"/>
              <w:right w:val="nil"/>
            </w:tcBorders>
          </w:tcPr>
          <w:p w:rsidR="00212513" w:rsidRDefault="00212513">
            <w:pPr>
              <w:pStyle w:val="ConsPlusNormal"/>
            </w:pPr>
            <w:hyperlink r:id="rId2801">
              <w:r>
                <w:rPr>
                  <w:color w:val="0000FF"/>
                </w:rPr>
                <w:t>СП 79.13330.2012</w:t>
              </w:r>
            </w:hyperlink>
          </w:p>
        </w:tc>
        <w:tc>
          <w:tcPr>
            <w:tcW w:w="6520" w:type="dxa"/>
            <w:tcBorders>
              <w:top w:val="nil"/>
              <w:left w:val="nil"/>
              <w:bottom w:val="nil"/>
              <w:right w:val="nil"/>
            </w:tcBorders>
          </w:tcPr>
          <w:p w:rsidR="00212513" w:rsidRDefault="00212513">
            <w:pPr>
              <w:pStyle w:val="ConsPlusNormal"/>
              <w:jc w:val="both"/>
            </w:pPr>
            <w:r>
              <w:t>"СНиП 3.06.07-86 Мосты и трубы. Правила обследований и испытаний" (с изменениями N 1, N 2, N 3, N 4)</w:t>
            </w:r>
          </w:p>
        </w:tc>
      </w:tr>
      <w:tr w:rsidR="00212513">
        <w:tc>
          <w:tcPr>
            <w:tcW w:w="2551" w:type="dxa"/>
            <w:tcBorders>
              <w:top w:val="nil"/>
              <w:left w:val="nil"/>
              <w:bottom w:val="nil"/>
              <w:right w:val="nil"/>
            </w:tcBorders>
          </w:tcPr>
          <w:p w:rsidR="00212513" w:rsidRDefault="00212513">
            <w:pPr>
              <w:pStyle w:val="ConsPlusNormal"/>
            </w:pPr>
            <w:hyperlink r:id="rId2802">
              <w:r>
                <w:rPr>
                  <w:color w:val="0000FF"/>
                </w:rPr>
                <w:t>СП 98.13330.2018</w:t>
              </w:r>
            </w:hyperlink>
          </w:p>
        </w:tc>
        <w:tc>
          <w:tcPr>
            <w:tcW w:w="6520" w:type="dxa"/>
            <w:tcBorders>
              <w:top w:val="nil"/>
              <w:left w:val="nil"/>
              <w:bottom w:val="nil"/>
              <w:right w:val="nil"/>
            </w:tcBorders>
          </w:tcPr>
          <w:p w:rsidR="00212513" w:rsidRDefault="00212513">
            <w:pPr>
              <w:pStyle w:val="ConsPlusNormal"/>
              <w:jc w:val="both"/>
            </w:pPr>
            <w:r>
              <w:t>"СНиП 2.05.09-90 Трамвайные и троллейбусные линии" (с изменениями N 1, N 2)</w:t>
            </w:r>
          </w:p>
        </w:tc>
      </w:tr>
      <w:tr w:rsidR="00212513">
        <w:tc>
          <w:tcPr>
            <w:tcW w:w="2551" w:type="dxa"/>
            <w:tcBorders>
              <w:top w:val="nil"/>
              <w:left w:val="nil"/>
              <w:bottom w:val="nil"/>
              <w:right w:val="nil"/>
            </w:tcBorders>
          </w:tcPr>
          <w:p w:rsidR="00212513" w:rsidRDefault="00212513">
            <w:pPr>
              <w:pStyle w:val="ConsPlusNormal"/>
            </w:pPr>
            <w:hyperlink r:id="rId2803">
              <w:r>
                <w:rPr>
                  <w:color w:val="0000FF"/>
                </w:rPr>
                <w:t>СП 99.13330.2016</w:t>
              </w:r>
            </w:hyperlink>
          </w:p>
        </w:tc>
        <w:tc>
          <w:tcPr>
            <w:tcW w:w="6520" w:type="dxa"/>
            <w:tcBorders>
              <w:top w:val="nil"/>
              <w:left w:val="nil"/>
              <w:bottom w:val="nil"/>
              <w:right w:val="nil"/>
            </w:tcBorders>
          </w:tcPr>
          <w:p w:rsidR="00212513" w:rsidRDefault="00212513">
            <w:pPr>
              <w:pStyle w:val="ConsPlusNormal"/>
              <w:jc w:val="both"/>
            </w:pPr>
            <w:r>
              <w:t>"СНиП 2.05.11-83 Внутрихозяйственные автомобильные дороги в колхозах, совхозах и других сельскохозяйственных предприятиях и организациях"</w:t>
            </w:r>
          </w:p>
        </w:tc>
      </w:tr>
      <w:tr w:rsidR="00212513">
        <w:tc>
          <w:tcPr>
            <w:tcW w:w="2551" w:type="dxa"/>
            <w:tcBorders>
              <w:top w:val="nil"/>
              <w:left w:val="nil"/>
              <w:bottom w:val="nil"/>
              <w:right w:val="nil"/>
            </w:tcBorders>
          </w:tcPr>
          <w:p w:rsidR="00212513" w:rsidRDefault="00212513">
            <w:pPr>
              <w:pStyle w:val="ConsPlusNormal"/>
            </w:pPr>
            <w:hyperlink r:id="rId2804">
              <w:r>
                <w:rPr>
                  <w:color w:val="0000FF"/>
                </w:rPr>
                <w:t>СП 119.13330.2024</w:t>
              </w:r>
            </w:hyperlink>
          </w:p>
        </w:tc>
        <w:tc>
          <w:tcPr>
            <w:tcW w:w="6520" w:type="dxa"/>
            <w:tcBorders>
              <w:top w:val="nil"/>
              <w:left w:val="nil"/>
              <w:bottom w:val="nil"/>
              <w:right w:val="nil"/>
            </w:tcBorders>
          </w:tcPr>
          <w:p w:rsidR="00212513" w:rsidRDefault="00212513">
            <w:pPr>
              <w:pStyle w:val="ConsPlusNormal"/>
              <w:jc w:val="both"/>
            </w:pPr>
            <w:r>
              <w:t>"СНиП 32-01-95 Железные дороги колеи 1520 мм"</w:t>
            </w:r>
          </w:p>
        </w:tc>
      </w:tr>
      <w:tr w:rsidR="00212513">
        <w:tc>
          <w:tcPr>
            <w:tcW w:w="9071" w:type="dxa"/>
            <w:gridSpan w:val="2"/>
            <w:tcBorders>
              <w:top w:val="nil"/>
              <w:left w:val="nil"/>
              <w:bottom w:val="nil"/>
              <w:right w:val="nil"/>
            </w:tcBorders>
          </w:tcPr>
          <w:p w:rsidR="00212513" w:rsidRDefault="00212513">
            <w:pPr>
              <w:pStyle w:val="ConsPlusNormal"/>
              <w:jc w:val="both"/>
            </w:pPr>
            <w:r>
              <w:t xml:space="preserve">(в ред. </w:t>
            </w:r>
            <w:hyperlink r:id="rId2805">
              <w:r>
                <w:rPr>
                  <w:color w:val="0000FF"/>
                </w:rPr>
                <w:t>Изменения N 5</w:t>
              </w:r>
            </w:hyperlink>
            <w:r>
              <w:t>, утв. Приказом Минстроя России от 20.09.2024 N 636/пр)</w:t>
            </w:r>
          </w:p>
        </w:tc>
      </w:tr>
      <w:tr w:rsidR="00212513">
        <w:tc>
          <w:tcPr>
            <w:tcW w:w="2551" w:type="dxa"/>
            <w:tcBorders>
              <w:top w:val="nil"/>
              <w:left w:val="nil"/>
              <w:bottom w:val="nil"/>
              <w:right w:val="nil"/>
            </w:tcBorders>
          </w:tcPr>
          <w:p w:rsidR="00212513" w:rsidRDefault="00212513">
            <w:pPr>
              <w:pStyle w:val="ConsPlusNormal"/>
            </w:pPr>
            <w:hyperlink r:id="rId2806">
              <w:r>
                <w:rPr>
                  <w:color w:val="0000FF"/>
                </w:rPr>
                <w:t>СП 131.13330.2020</w:t>
              </w:r>
            </w:hyperlink>
          </w:p>
        </w:tc>
        <w:tc>
          <w:tcPr>
            <w:tcW w:w="6520" w:type="dxa"/>
            <w:tcBorders>
              <w:top w:val="nil"/>
              <w:left w:val="nil"/>
              <w:bottom w:val="nil"/>
              <w:right w:val="nil"/>
            </w:tcBorders>
          </w:tcPr>
          <w:p w:rsidR="00212513" w:rsidRDefault="00212513">
            <w:pPr>
              <w:pStyle w:val="ConsPlusNormal"/>
              <w:jc w:val="both"/>
            </w:pPr>
            <w:r>
              <w:t>"СНиП 23-01-99* Строительная климатология" (с изменениями N 1, N 2)</w:t>
            </w:r>
          </w:p>
        </w:tc>
      </w:tr>
      <w:tr w:rsidR="00212513">
        <w:tc>
          <w:tcPr>
            <w:tcW w:w="2551" w:type="dxa"/>
            <w:tcBorders>
              <w:top w:val="nil"/>
              <w:left w:val="nil"/>
              <w:bottom w:val="nil"/>
              <w:right w:val="nil"/>
            </w:tcBorders>
          </w:tcPr>
          <w:p w:rsidR="00212513" w:rsidRDefault="00212513">
            <w:pPr>
              <w:pStyle w:val="ConsPlusNormal"/>
            </w:pPr>
            <w:hyperlink r:id="rId2807">
              <w:r>
                <w:rPr>
                  <w:color w:val="0000FF"/>
                </w:rPr>
                <w:t>СП 159.1325800.2014</w:t>
              </w:r>
            </w:hyperlink>
          </w:p>
        </w:tc>
        <w:tc>
          <w:tcPr>
            <w:tcW w:w="6520" w:type="dxa"/>
            <w:tcBorders>
              <w:top w:val="nil"/>
              <w:left w:val="nil"/>
              <w:bottom w:val="nil"/>
              <w:right w:val="nil"/>
            </w:tcBorders>
          </w:tcPr>
          <w:p w:rsidR="00212513" w:rsidRDefault="00212513">
            <w:pPr>
              <w:pStyle w:val="ConsPlusNormal"/>
              <w:jc w:val="both"/>
            </w:pPr>
            <w:r>
              <w:t>Сталежелезобетонные пролетные строения автодорожных мостов. Правила расчета</w:t>
            </w:r>
          </w:p>
        </w:tc>
      </w:tr>
      <w:tr w:rsidR="00212513">
        <w:tc>
          <w:tcPr>
            <w:tcW w:w="2551" w:type="dxa"/>
            <w:tcBorders>
              <w:top w:val="nil"/>
              <w:left w:val="nil"/>
              <w:bottom w:val="nil"/>
              <w:right w:val="nil"/>
            </w:tcBorders>
          </w:tcPr>
          <w:p w:rsidR="00212513" w:rsidRDefault="00212513">
            <w:pPr>
              <w:pStyle w:val="ConsPlusNormal"/>
            </w:pPr>
            <w:hyperlink r:id="rId2808">
              <w:r>
                <w:rPr>
                  <w:color w:val="0000FF"/>
                </w:rPr>
                <w:t>СП 243.1326000.2015</w:t>
              </w:r>
            </w:hyperlink>
          </w:p>
        </w:tc>
        <w:tc>
          <w:tcPr>
            <w:tcW w:w="6520" w:type="dxa"/>
            <w:tcBorders>
              <w:top w:val="nil"/>
              <w:left w:val="nil"/>
              <w:bottom w:val="nil"/>
              <w:right w:val="nil"/>
            </w:tcBorders>
          </w:tcPr>
          <w:p w:rsidR="00212513" w:rsidRDefault="00212513">
            <w:pPr>
              <w:pStyle w:val="ConsPlusNormal"/>
              <w:jc w:val="both"/>
            </w:pPr>
            <w:r>
              <w:t xml:space="preserve">Проектирование и строительство автомобильных дорог с низкой </w:t>
            </w:r>
            <w:r>
              <w:lastRenderedPageBreak/>
              <w:t>интенсивностью движения</w:t>
            </w:r>
          </w:p>
        </w:tc>
      </w:tr>
      <w:tr w:rsidR="00212513">
        <w:tc>
          <w:tcPr>
            <w:tcW w:w="2551" w:type="dxa"/>
            <w:tcBorders>
              <w:top w:val="nil"/>
              <w:left w:val="nil"/>
              <w:bottom w:val="nil"/>
              <w:right w:val="nil"/>
            </w:tcBorders>
          </w:tcPr>
          <w:p w:rsidR="00212513" w:rsidRDefault="00212513">
            <w:pPr>
              <w:pStyle w:val="ConsPlusNormal"/>
            </w:pPr>
            <w:hyperlink r:id="rId2809">
              <w:r>
                <w:rPr>
                  <w:color w:val="0000FF"/>
                </w:rPr>
                <w:t>СП 246.1325800.2023</w:t>
              </w:r>
            </w:hyperlink>
          </w:p>
        </w:tc>
        <w:tc>
          <w:tcPr>
            <w:tcW w:w="6520" w:type="dxa"/>
            <w:tcBorders>
              <w:top w:val="nil"/>
              <w:left w:val="nil"/>
              <w:bottom w:val="nil"/>
              <w:right w:val="nil"/>
            </w:tcBorders>
          </w:tcPr>
          <w:p w:rsidR="00212513" w:rsidRDefault="00212513">
            <w:pPr>
              <w:pStyle w:val="ConsPlusNormal"/>
              <w:jc w:val="both"/>
            </w:pPr>
            <w:r>
              <w:t>Положение об авторском надзоре при строительстве, реконструкции и капитальном ремонте объектов капитального строительства</w:t>
            </w:r>
          </w:p>
        </w:tc>
      </w:tr>
      <w:tr w:rsidR="00212513">
        <w:tc>
          <w:tcPr>
            <w:tcW w:w="2551" w:type="dxa"/>
            <w:tcBorders>
              <w:top w:val="nil"/>
              <w:left w:val="nil"/>
              <w:bottom w:val="nil"/>
              <w:right w:val="nil"/>
            </w:tcBorders>
          </w:tcPr>
          <w:p w:rsidR="00212513" w:rsidRDefault="00212513">
            <w:pPr>
              <w:pStyle w:val="ConsPlusNormal"/>
            </w:pPr>
            <w:hyperlink r:id="rId2810">
              <w:r>
                <w:rPr>
                  <w:color w:val="0000FF"/>
                </w:rPr>
                <w:t>СП 259.1325800.2016</w:t>
              </w:r>
            </w:hyperlink>
          </w:p>
        </w:tc>
        <w:tc>
          <w:tcPr>
            <w:tcW w:w="6520" w:type="dxa"/>
            <w:tcBorders>
              <w:top w:val="nil"/>
              <w:left w:val="nil"/>
              <w:bottom w:val="nil"/>
              <w:right w:val="nil"/>
            </w:tcBorders>
          </w:tcPr>
          <w:p w:rsidR="00212513" w:rsidRDefault="00212513">
            <w:pPr>
              <w:pStyle w:val="ConsPlusNormal"/>
              <w:jc w:val="both"/>
            </w:pPr>
            <w:r>
              <w:t>Мосты в условиях плотной городской застройки. Правила проектирования (с изменениями N 1, N 2)</w:t>
            </w:r>
          </w:p>
        </w:tc>
      </w:tr>
      <w:tr w:rsidR="00212513">
        <w:tc>
          <w:tcPr>
            <w:tcW w:w="2551" w:type="dxa"/>
            <w:tcBorders>
              <w:top w:val="nil"/>
              <w:left w:val="nil"/>
              <w:bottom w:val="nil"/>
              <w:right w:val="nil"/>
            </w:tcBorders>
          </w:tcPr>
          <w:p w:rsidR="00212513" w:rsidRDefault="00212513">
            <w:pPr>
              <w:pStyle w:val="ConsPlusNormal"/>
            </w:pPr>
            <w:hyperlink r:id="rId2811">
              <w:r>
                <w:rPr>
                  <w:color w:val="0000FF"/>
                </w:rPr>
                <w:t>СП 274.1325800.2016</w:t>
              </w:r>
            </w:hyperlink>
          </w:p>
        </w:tc>
        <w:tc>
          <w:tcPr>
            <w:tcW w:w="6520" w:type="dxa"/>
            <w:tcBorders>
              <w:top w:val="nil"/>
              <w:left w:val="nil"/>
              <w:bottom w:val="nil"/>
              <w:right w:val="nil"/>
            </w:tcBorders>
          </w:tcPr>
          <w:p w:rsidR="00212513" w:rsidRDefault="00212513">
            <w:pPr>
              <w:pStyle w:val="ConsPlusNormal"/>
              <w:jc w:val="both"/>
            </w:pPr>
            <w:r>
              <w:t>Мосты. Мониторинг технического состояния (с изменением N 1)</w:t>
            </w:r>
          </w:p>
        </w:tc>
      </w:tr>
      <w:tr w:rsidR="00212513">
        <w:tc>
          <w:tcPr>
            <w:tcW w:w="2551" w:type="dxa"/>
            <w:tcBorders>
              <w:top w:val="nil"/>
              <w:left w:val="nil"/>
              <w:bottom w:val="nil"/>
              <w:right w:val="nil"/>
            </w:tcBorders>
          </w:tcPr>
          <w:p w:rsidR="00212513" w:rsidRDefault="00212513">
            <w:pPr>
              <w:pStyle w:val="ConsPlusNormal"/>
            </w:pPr>
            <w:hyperlink r:id="rId2812">
              <w:r>
                <w:rPr>
                  <w:color w:val="0000FF"/>
                </w:rPr>
                <w:t>СП 295.1325800.2017</w:t>
              </w:r>
            </w:hyperlink>
          </w:p>
        </w:tc>
        <w:tc>
          <w:tcPr>
            <w:tcW w:w="6520" w:type="dxa"/>
            <w:tcBorders>
              <w:top w:val="nil"/>
              <w:left w:val="nil"/>
              <w:bottom w:val="nil"/>
              <w:right w:val="nil"/>
            </w:tcBorders>
          </w:tcPr>
          <w:p w:rsidR="00212513" w:rsidRDefault="00212513">
            <w:pPr>
              <w:pStyle w:val="ConsPlusNormal"/>
              <w:jc w:val="both"/>
            </w:pPr>
            <w:r>
              <w:t>Конструкции бетонные, армированные полимерной композитной арматурой. Правила проектирования (с изменением N 1)</w:t>
            </w:r>
          </w:p>
        </w:tc>
      </w:tr>
      <w:tr w:rsidR="00212513">
        <w:tc>
          <w:tcPr>
            <w:tcW w:w="2551" w:type="dxa"/>
            <w:tcBorders>
              <w:top w:val="nil"/>
              <w:left w:val="nil"/>
              <w:bottom w:val="nil"/>
              <w:right w:val="nil"/>
            </w:tcBorders>
          </w:tcPr>
          <w:p w:rsidR="00212513" w:rsidRDefault="00212513">
            <w:pPr>
              <w:pStyle w:val="ConsPlusNormal"/>
            </w:pPr>
            <w:hyperlink r:id="rId2813">
              <w:r>
                <w:rPr>
                  <w:color w:val="0000FF"/>
                </w:rPr>
                <w:t>СП 296.1325800.2017</w:t>
              </w:r>
            </w:hyperlink>
          </w:p>
        </w:tc>
        <w:tc>
          <w:tcPr>
            <w:tcW w:w="6520" w:type="dxa"/>
            <w:tcBorders>
              <w:top w:val="nil"/>
              <w:left w:val="nil"/>
              <w:bottom w:val="nil"/>
              <w:right w:val="nil"/>
            </w:tcBorders>
          </w:tcPr>
          <w:p w:rsidR="00212513" w:rsidRDefault="00212513">
            <w:pPr>
              <w:pStyle w:val="ConsPlusNormal"/>
              <w:jc w:val="both"/>
            </w:pPr>
            <w:r>
              <w:t>Здания и сооружения. Особые воздействия (с изменениями N 1, N 2)</w:t>
            </w:r>
          </w:p>
        </w:tc>
      </w:tr>
      <w:tr w:rsidR="00212513">
        <w:tc>
          <w:tcPr>
            <w:tcW w:w="9071" w:type="dxa"/>
            <w:gridSpan w:val="2"/>
            <w:tcBorders>
              <w:top w:val="nil"/>
              <w:left w:val="nil"/>
              <w:bottom w:val="nil"/>
              <w:right w:val="nil"/>
            </w:tcBorders>
          </w:tcPr>
          <w:p w:rsidR="00212513" w:rsidRDefault="00212513">
            <w:pPr>
              <w:pStyle w:val="ConsPlusNormal"/>
              <w:jc w:val="both"/>
            </w:pPr>
            <w:r>
              <w:t xml:space="preserve">(ссылка введена </w:t>
            </w:r>
            <w:hyperlink r:id="rId2814">
              <w:r>
                <w:rPr>
                  <w:color w:val="0000FF"/>
                </w:rPr>
                <w:t>Изменением N 5</w:t>
              </w:r>
            </w:hyperlink>
            <w:r>
              <w:t>, утв. Приказом Минстроя России от 20.09.2024 N 636/пр)</w:t>
            </w:r>
          </w:p>
        </w:tc>
      </w:tr>
      <w:tr w:rsidR="00212513">
        <w:tc>
          <w:tcPr>
            <w:tcW w:w="2551" w:type="dxa"/>
            <w:tcBorders>
              <w:top w:val="nil"/>
              <w:left w:val="nil"/>
              <w:bottom w:val="nil"/>
              <w:right w:val="nil"/>
            </w:tcBorders>
          </w:tcPr>
          <w:p w:rsidR="00212513" w:rsidRDefault="00212513">
            <w:pPr>
              <w:pStyle w:val="ConsPlusNormal"/>
            </w:pPr>
            <w:hyperlink r:id="rId2815">
              <w:r>
                <w:rPr>
                  <w:color w:val="0000FF"/>
                </w:rPr>
                <w:t>СП 297.1325800.2017</w:t>
              </w:r>
            </w:hyperlink>
          </w:p>
        </w:tc>
        <w:tc>
          <w:tcPr>
            <w:tcW w:w="6520" w:type="dxa"/>
            <w:tcBorders>
              <w:top w:val="nil"/>
              <w:left w:val="nil"/>
              <w:bottom w:val="nil"/>
              <w:right w:val="nil"/>
            </w:tcBorders>
          </w:tcPr>
          <w:p w:rsidR="00212513" w:rsidRDefault="00212513">
            <w:pPr>
              <w:pStyle w:val="ConsPlusNormal"/>
              <w:jc w:val="both"/>
            </w:pPr>
            <w:r>
              <w:t>Конструкции фибробетонные с неметаллической фиброй. Правила проектирования (с изменениями N 1, N 2)</w:t>
            </w:r>
          </w:p>
        </w:tc>
      </w:tr>
      <w:tr w:rsidR="00212513">
        <w:tc>
          <w:tcPr>
            <w:tcW w:w="2551" w:type="dxa"/>
            <w:tcBorders>
              <w:top w:val="nil"/>
              <w:left w:val="nil"/>
              <w:bottom w:val="nil"/>
              <w:right w:val="nil"/>
            </w:tcBorders>
          </w:tcPr>
          <w:p w:rsidR="00212513" w:rsidRDefault="00212513">
            <w:pPr>
              <w:pStyle w:val="ConsPlusNormal"/>
            </w:pPr>
            <w:hyperlink r:id="rId2816">
              <w:r>
                <w:rPr>
                  <w:color w:val="0000FF"/>
                </w:rPr>
                <w:t>СП 443.1325800.2019</w:t>
              </w:r>
            </w:hyperlink>
          </w:p>
        </w:tc>
        <w:tc>
          <w:tcPr>
            <w:tcW w:w="6520" w:type="dxa"/>
            <w:tcBorders>
              <w:top w:val="nil"/>
              <w:left w:val="nil"/>
              <w:bottom w:val="nil"/>
              <w:right w:val="nil"/>
            </w:tcBorders>
          </w:tcPr>
          <w:p w:rsidR="00212513" w:rsidRDefault="00212513">
            <w:pPr>
              <w:pStyle w:val="ConsPlusNormal"/>
              <w:jc w:val="both"/>
            </w:pPr>
            <w:r>
              <w:t>Мосты с конструкциями из алюминиевых сплавов. Правила проектирования</w:t>
            </w:r>
          </w:p>
        </w:tc>
      </w:tr>
      <w:tr w:rsidR="00212513">
        <w:tc>
          <w:tcPr>
            <w:tcW w:w="2551" w:type="dxa"/>
            <w:tcBorders>
              <w:top w:val="nil"/>
              <w:left w:val="nil"/>
              <w:bottom w:val="nil"/>
              <w:right w:val="nil"/>
            </w:tcBorders>
          </w:tcPr>
          <w:p w:rsidR="00212513" w:rsidRDefault="00212513">
            <w:pPr>
              <w:pStyle w:val="ConsPlusNormal"/>
            </w:pPr>
            <w:hyperlink r:id="rId2817">
              <w:r>
                <w:rPr>
                  <w:color w:val="0000FF"/>
                </w:rPr>
                <w:t>СП 461.1325800.2019</w:t>
              </w:r>
            </w:hyperlink>
          </w:p>
        </w:tc>
        <w:tc>
          <w:tcPr>
            <w:tcW w:w="6520" w:type="dxa"/>
            <w:tcBorders>
              <w:top w:val="nil"/>
              <w:left w:val="nil"/>
              <w:bottom w:val="nil"/>
              <w:right w:val="nil"/>
            </w:tcBorders>
          </w:tcPr>
          <w:p w:rsidR="00212513" w:rsidRDefault="00212513">
            <w:pPr>
              <w:pStyle w:val="ConsPlusNormal"/>
              <w:jc w:val="both"/>
            </w:pPr>
            <w:r>
              <w:t>Биопереходы на объектах транспортной инфраструктуры. Правила проектирования</w:t>
            </w:r>
          </w:p>
        </w:tc>
      </w:tr>
    </w:tbl>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jc w:val="right"/>
        <w:outlineLvl w:val="0"/>
      </w:pPr>
      <w:r>
        <w:rPr>
          <w:b/>
        </w:rPr>
        <w:t>Приложение Б</w:t>
      </w:r>
    </w:p>
    <w:p w:rsidR="00212513" w:rsidRDefault="00212513">
      <w:pPr>
        <w:pStyle w:val="ConsPlusNormal"/>
        <w:jc w:val="right"/>
      </w:pPr>
      <w:r>
        <w:rPr>
          <w:b/>
        </w:rPr>
        <w:t>(обязательное)</w:t>
      </w:r>
    </w:p>
    <w:p w:rsidR="00212513" w:rsidRDefault="00212513">
      <w:pPr>
        <w:pStyle w:val="ConsPlusNormal"/>
        <w:ind w:firstLine="540"/>
        <w:jc w:val="both"/>
      </w:pPr>
    </w:p>
    <w:p w:rsidR="00212513" w:rsidRDefault="00212513">
      <w:pPr>
        <w:pStyle w:val="ConsPlusTitle"/>
        <w:jc w:val="center"/>
      </w:pPr>
      <w:bookmarkStart w:id="469" w:name="P11566"/>
      <w:bookmarkEnd w:id="469"/>
      <w:r>
        <w:t>ТЕРМИНЫ И ОПРЕДЕЛЕНИЯ</w:t>
      </w:r>
    </w:p>
    <w:p w:rsidR="00212513" w:rsidRDefault="00212513">
      <w:pPr>
        <w:pStyle w:val="ConsPlusNormal"/>
        <w:ind w:firstLine="540"/>
        <w:jc w:val="both"/>
      </w:pPr>
    </w:p>
    <w:p w:rsidR="00212513" w:rsidRDefault="00212513">
      <w:pPr>
        <w:pStyle w:val="ConsPlusNormal"/>
        <w:ind w:firstLine="540"/>
        <w:jc w:val="both"/>
      </w:pPr>
      <w:r>
        <w:t xml:space="preserve">В настоящем своде правил применены термины по </w:t>
      </w:r>
      <w:hyperlink r:id="rId2818">
        <w:r>
          <w:rPr>
            <w:color w:val="0000FF"/>
          </w:rPr>
          <w:t>ГОСТ 32794</w:t>
        </w:r>
      </w:hyperlink>
      <w:r>
        <w:t>, а также следующие термины с соответствующими определениями:</w:t>
      </w:r>
    </w:p>
    <w:p w:rsidR="00212513" w:rsidRDefault="00212513">
      <w:pPr>
        <w:pStyle w:val="ConsPlusNormal"/>
        <w:jc w:val="both"/>
      </w:pPr>
      <w:r>
        <w:t xml:space="preserve">(в ред. </w:t>
      </w:r>
      <w:hyperlink r:id="rId2819">
        <w:r>
          <w:rPr>
            <w:color w:val="0000FF"/>
          </w:rPr>
          <w:t>Изменения N 2</w:t>
        </w:r>
      </w:hyperlink>
      <w:r>
        <w:t>, утв. Приказом Минстроя России от 11.11.2019 N 681/пр)</w:t>
      </w:r>
    </w:p>
    <w:p w:rsidR="00212513" w:rsidRDefault="00212513">
      <w:pPr>
        <w:pStyle w:val="ConsPlusNormal"/>
        <w:spacing w:before="220"/>
        <w:ind w:firstLine="540"/>
        <w:jc w:val="both"/>
      </w:pPr>
      <w:r>
        <w:rPr>
          <w:b/>
        </w:rPr>
        <w:t>армогрунт:</w:t>
      </w:r>
      <w:r>
        <w:t xml:space="preserve"> Композиционный материал, состоящий из слоев уплотненного грунта и армирующих элементов различного вида, укладываемых между слоями грунта и работающих на растяжение;</w:t>
      </w:r>
    </w:p>
    <w:p w:rsidR="00212513" w:rsidRDefault="00212513">
      <w:pPr>
        <w:pStyle w:val="ConsPlusNormal"/>
        <w:jc w:val="both"/>
      </w:pPr>
      <w:r>
        <w:t xml:space="preserve">(термин введен </w:t>
      </w:r>
      <w:hyperlink r:id="rId2820">
        <w:r>
          <w:rPr>
            <w:color w:val="0000FF"/>
          </w:rPr>
          <w:t>Изменением N 1</w:t>
        </w:r>
      </w:hyperlink>
      <w:r>
        <w:t>, утв. Приказом Минстроя России от 03.12.2016 N 879/пр)</w:t>
      </w:r>
    </w:p>
    <w:p w:rsidR="00212513" w:rsidRDefault="00212513">
      <w:pPr>
        <w:pStyle w:val="ConsPlusNormal"/>
        <w:spacing w:before="220"/>
        <w:ind w:firstLine="540"/>
        <w:jc w:val="both"/>
      </w:pPr>
      <w:r>
        <w:rPr>
          <w:b/>
        </w:rPr>
        <w:t>армогрунтовая система:</w:t>
      </w:r>
      <w:r>
        <w:t xml:space="preserve"> Система, состоящая из грунта основания, уплотняемых слоев грунта насыпи и армирующих элементов в виде металлических стержней, полос, арматурных каркасов или геосинтетических тканей, решеток, сеток, закладываемых между слоями грунта насыпи с определенным вертикальным шагом, и облицовок различных конструкций;</w:t>
      </w:r>
    </w:p>
    <w:p w:rsidR="00212513" w:rsidRDefault="00212513">
      <w:pPr>
        <w:pStyle w:val="ConsPlusNormal"/>
        <w:jc w:val="both"/>
      </w:pPr>
      <w:r>
        <w:t xml:space="preserve">(термин введен </w:t>
      </w:r>
      <w:hyperlink r:id="rId2821">
        <w:r>
          <w:rPr>
            <w:color w:val="0000FF"/>
          </w:rPr>
          <w:t>Изменением N 1</w:t>
        </w:r>
      </w:hyperlink>
      <w:r>
        <w:t>, утв. Приказом Минстроя России от 03.12.2016 N 879/пр)</w:t>
      </w:r>
    </w:p>
    <w:p w:rsidR="00212513" w:rsidRDefault="00212513">
      <w:pPr>
        <w:pStyle w:val="ConsPlusNormal"/>
        <w:spacing w:before="220"/>
        <w:ind w:firstLine="540"/>
        <w:jc w:val="both"/>
      </w:pPr>
      <w:r>
        <w:rPr>
          <w:b/>
        </w:rPr>
        <w:t>базовое направление армирования полимерного композитного пултрузионного профиля (базовое направление):</w:t>
      </w:r>
      <w:r>
        <w:t xml:space="preserve"> Нормаль к поперечному сечению профиля;</w:t>
      </w:r>
    </w:p>
    <w:p w:rsidR="00212513" w:rsidRDefault="00212513">
      <w:pPr>
        <w:pStyle w:val="ConsPlusNormal"/>
        <w:jc w:val="both"/>
      </w:pPr>
      <w:r>
        <w:t xml:space="preserve">(термин введен </w:t>
      </w:r>
      <w:hyperlink r:id="rId2822">
        <w:r>
          <w:rPr>
            <w:color w:val="0000FF"/>
          </w:rPr>
          <w:t>Изменением N 2</w:t>
        </w:r>
      </w:hyperlink>
      <w:r>
        <w:t>, утв. Приказом Минстроя России от 11.11.2019 N 681/пр)</w:t>
      </w:r>
    </w:p>
    <w:p w:rsidR="00212513" w:rsidRDefault="00212513">
      <w:pPr>
        <w:pStyle w:val="ConsPlusNormal"/>
        <w:spacing w:before="220"/>
        <w:ind w:firstLine="540"/>
        <w:jc w:val="both"/>
      </w:pPr>
      <w:r>
        <w:rPr>
          <w:b/>
        </w:rPr>
        <w:lastRenderedPageBreak/>
        <w:t>балка жесткости:</w:t>
      </w:r>
      <w:r>
        <w:t xml:space="preserve"> Несущий балочный элемент моста, обеспечивающий необходимую жесткость пролетного строения;</w:t>
      </w:r>
    </w:p>
    <w:p w:rsidR="00212513" w:rsidRDefault="00212513">
      <w:pPr>
        <w:pStyle w:val="ConsPlusNormal"/>
        <w:spacing w:before="220"/>
        <w:ind w:firstLine="540"/>
        <w:jc w:val="both"/>
      </w:pPr>
      <w:r>
        <w:rPr>
          <w:b/>
        </w:rPr>
        <w:t>вант:</w:t>
      </w:r>
      <w:r>
        <w:t xml:space="preserve"> Гибкий несущий элемент моста вантово-балочной системы, передающий усилия с балки жесткости на пилон;</w:t>
      </w:r>
    </w:p>
    <w:p w:rsidR="00212513" w:rsidRDefault="00212513">
      <w:pPr>
        <w:pStyle w:val="ConsPlusNormal"/>
        <w:spacing w:before="220"/>
        <w:ind w:firstLine="540"/>
        <w:jc w:val="both"/>
      </w:pPr>
      <w:r>
        <w:rPr>
          <w:b/>
        </w:rPr>
        <w:t>выносливость:</w:t>
      </w:r>
      <w:r>
        <w:t xml:space="preserve"> Способность материала, конструкции, соединения сопротивляться в заданных пределах усталостному разрушению под воздействием циклического изменения временной нагрузки;</w:t>
      </w:r>
    </w:p>
    <w:p w:rsidR="00212513" w:rsidRDefault="00212513">
      <w:pPr>
        <w:pStyle w:val="ConsPlusNormal"/>
        <w:spacing w:before="220"/>
        <w:ind w:firstLine="540"/>
        <w:jc w:val="both"/>
      </w:pPr>
      <w:r>
        <w:rPr>
          <w:b/>
        </w:rPr>
        <w:t>габарит приближения строений:</w:t>
      </w:r>
      <w:r>
        <w:t xml:space="preserve"> Предельное поперечное перпендикулярное оси дороги или пути очертание, внутрь которого, помимо подвижного состава, не должны заходить никакие части сооружений и устройств, а также лежащие около пути материалы, запасные части и оборудование, за исключением частей устройств, предназначаемых для непосредственного взаимодействия с подвижным составом: вагонных замедлителей и подвагонных толкателей в рабочем состоянии, контактных проводов с деталями крепления, хоботов гидравлических колонок при наборе воды и др., при условии, что положение этих устройств во внутригабаритном пространстве увязано с частями подвижного состава, с которыми они могут соприкасаться, и что они не могут вызвать соприкосновения с другими элементами подвижного состава;</w:t>
      </w:r>
    </w:p>
    <w:p w:rsidR="00212513" w:rsidRDefault="00212513">
      <w:pPr>
        <w:pStyle w:val="ConsPlusNormal"/>
        <w:spacing w:before="220"/>
        <w:ind w:firstLine="540"/>
        <w:jc w:val="both"/>
      </w:pPr>
      <w:r>
        <w:rPr>
          <w:b/>
        </w:rPr>
        <w:t>геомассив:</w:t>
      </w:r>
      <w:r>
        <w:t xml:space="preserve"> Ограниченная часть геосреды, влияющая на сооружения посредством гидрогеологических и геодинамических процессов (разломы, карсты, оползни);</w:t>
      </w:r>
    </w:p>
    <w:p w:rsidR="00212513" w:rsidRDefault="00212513">
      <w:pPr>
        <w:pStyle w:val="ConsPlusNormal"/>
        <w:spacing w:before="220"/>
        <w:ind w:firstLine="540"/>
        <w:jc w:val="both"/>
      </w:pPr>
      <w:r>
        <w:rPr>
          <w:b/>
        </w:rPr>
        <w:t>грузоподъемность сооружения:</w:t>
      </w:r>
      <w:r>
        <w:t xml:space="preserve"> Характеристика, соответствующая наибольшему классу эксплуатационной нагрузки заданной структуры, при которой исчерпывается несущая способность конструкции;</w:t>
      </w:r>
    </w:p>
    <w:p w:rsidR="00212513" w:rsidRDefault="00212513">
      <w:pPr>
        <w:pStyle w:val="ConsPlusNormal"/>
        <w:spacing w:before="220"/>
        <w:ind w:firstLine="540"/>
        <w:jc w:val="both"/>
      </w:pPr>
      <w:r>
        <w:rPr>
          <w:b/>
        </w:rPr>
        <w:t>динамический прогиб дорожного ограждения:</w:t>
      </w:r>
      <w:r>
        <w:t xml:space="preserve"> Наибольшее горизонтальное смещение продольной оси балки ограждения в поперечном направлении при наезде транспортного средства на ограждение;</w:t>
      </w:r>
    </w:p>
    <w:p w:rsidR="00212513" w:rsidRDefault="00212513">
      <w:pPr>
        <w:pStyle w:val="ConsPlusNormal"/>
        <w:jc w:val="both"/>
      </w:pPr>
      <w:r>
        <w:t xml:space="preserve">(термин введен </w:t>
      </w:r>
      <w:hyperlink r:id="rId2823">
        <w:r>
          <w:rPr>
            <w:color w:val="0000FF"/>
          </w:rPr>
          <w:t>Изменением N 3</w:t>
        </w:r>
      </w:hyperlink>
      <w:r>
        <w:t>, утв. Приказом Минстроя России от 29.12.2020 N 891/пр)</w:t>
      </w:r>
    </w:p>
    <w:p w:rsidR="00212513" w:rsidRDefault="00212513">
      <w:pPr>
        <w:pStyle w:val="ConsPlusNormal"/>
        <w:spacing w:before="220"/>
        <w:ind w:firstLine="540"/>
        <w:jc w:val="both"/>
      </w:pPr>
      <w:r>
        <w:rPr>
          <w:b/>
        </w:rPr>
        <w:t>длина моста:</w:t>
      </w:r>
      <w:r>
        <w:t xml:space="preserve"> Расстояние, измеренное по оси моста, между точками пересечения линий, соединяющих концы открылков устоев (или других конструктивных элементов) с осью сооружения;</w:t>
      </w:r>
    </w:p>
    <w:p w:rsidR="00212513" w:rsidRDefault="00212513">
      <w:pPr>
        <w:pStyle w:val="ConsPlusNormal"/>
        <w:spacing w:before="220"/>
        <w:ind w:firstLine="540"/>
        <w:jc w:val="both"/>
      </w:pPr>
      <w:r>
        <w:rPr>
          <w:b/>
        </w:rPr>
        <w:t>длина мостового сооружения:</w:t>
      </w:r>
      <w:r>
        <w:t xml:space="preserve"> Расстояние, измеренное по оси сооружения, между точками пересечения линий, соединяющих концы открылков крайних опор или других видимых конструктивных элементов опор или пролетного строения с осью мостового сооружения, без учета переходных плит.</w:t>
      </w:r>
    </w:p>
    <w:p w:rsidR="00212513" w:rsidRDefault="00212513">
      <w:pPr>
        <w:pStyle w:val="ConsPlusNormal"/>
        <w:spacing w:before="220"/>
        <w:ind w:firstLine="540"/>
        <w:jc w:val="both"/>
      </w:pPr>
      <w:r>
        <w:t>Примечание - По длине мостовые сооружения подразделяются на малые - длиной до 25 м, средние - длиной более 25 м до 100 м и большие - длиной более 100 м или имеющие пролет длиной более 60 м;</w:t>
      </w:r>
    </w:p>
    <w:p w:rsidR="00212513" w:rsidRDefault="00212513">
      <w:pPr>
        <w:pStyle w:val="ConsPlusNormal"/>
        <w:jc w:val="both"/>
      </w:pPr>
      <w:r>
        <w:t xml:space="preserve">(термин введен </w:t>
      </w:r>
      <w:hyperlink r:id="rId2824">
        <w:r>
          <w:rPr>
            <w:color w:val="0000FF"/>
          </w:rPr>
          <w:t>Изменением N 3</w:t>
        </w:r>
      </w:hyperlink>
      <w:r>
        <w:t>, утв. Приказом Минстроя России от 29.12.2020 N 891/пр)</w:t>
      </w:r>
    </w:p>
    <w:p w:rsidR="00212513" w:rsidRDefault="00212513">
      <w:pPr>
        <w:pStyle w:val="ConsPlusNormal"/>
        <w:ind w:firstLine="540"/>
        <w:jc w:val="both"/>
      </w:pPr>
    </w:p>
    <w:p w:rsidR="00212513" w:rsidRDefault="00212513">
      <w:pPr>
        <w:pStyle w:val="ConsPlusNormal"/>
        <w:ind w:firstLine="540"/>
        <w:jc w:val="both"/>
      </w:pPr>
      <w:r>
        <w:rPr>
          <w:b/>
        </w:rPr>
        <w:t>долговечность:</w:t>
      </w:r>
      <w:r>
        <w:t xml:space="preserve"> Свойство сооружения сохранять работоспособное состояние до наступления предельного состояния при установленной системе содержания и ремонта;</w:t>
      </w:r>
    </w:p>
    <w:p w:rsidR="00212513" w:rsidRDefault="00212513">
      <w:pPr>
        <w:pStyle w:val="ConsPlusNormal"/>
        <w:jc w:val="both"/>
      </w:pPr>
      <w:r>
        <w:t xml:space="preserve">(термин введен </w:t>
      </w:r>
      <w:hyperlink r:id="rId2825">
        <w:r>
          <w:rPr>
            <w:color w:val="0000FF"/>
          </w:rPr>
          <w:t>Изменением N 3</w:t>
        </w:r>
      </w:hyperlink>
      <w:r>
        <w:t>, утв. Приказом Минстроя России от 29.12.2020 N 891/пр)</w:t>
      </w:r>
    </w:p>
    <w:p w:rsidR="00212513" w:rsidRDefault="00212513">
      <w:pPr>
        <w:pStyle w:val="ConsPlusNormal"/>
        <w:spacing w:before="220"/>
        <w:ind w:firstLine="540"/>
        <w:jc w:val="both"/>
      </w:pPr>
      <w:r>
        <w:rPr>
          <w:b/>
        </w:rPr>
        <w:t>живучесть:</w:t>
      </w:r>
      <w:r>
        <w:t xml:space="preserve"> Способность сооружения выполнять свои основные функции при повреждении или разрушении отдельных элементов;</w:t>
      </w:r>
    </w:p>
    <w:p w:rsidR="00212513" w:rsidRDefault="00212513">
      <w:pPr>
        <w:pStyle w:val="ConsPlusNormal"/>
        <w:jc w:val="both"/>
      </w:pPr>
      <w:r>
        <w:t xml:space="preserve">(в ред. </w:t>
      </w:r>
      <w:hyperlink r:id="rId2826">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rPr>
          <w:b/>
        </w:rPr>
        <w:t>конструктивная арматура:</w:t>
      </w:r>
      <w:r>
        <w:t xml:space="preserve"> Арматура, количество и месторасположение которой принимаются на основании установленных конструктивных требований для восприятия </w:t>
      </w:r>
      <w:r>
        <w:lastRenderedPageBreak/>
        <w:t>непрогнозируемых или не поддающихся учету расчетными методами нагрузок и воздействий;</w:t>
      </w:r>
    </w:p>
    <w:p w:rsidR="00212513" w:rsidRDefault="00212513">
      <w:pPr>
        <w:pStyle w:val="ConsPlusNormal"/>
        <w:jc w:val="both"/>
      </w:pPr>
      <w:r>
        <w:t xml:space="preserve">(термин введен </w:t>
      </w:r>
      <w:hyperlink r:id="rId2827">
        <w:r>
          <w:rPr>
            <w:color w:val="0000FF"/>
          </w:rPr>
          <w:t>Изменением N 3</w:t>
        </w:r>
      </w:hyperlink>
      <w:r>
        <w:t>, утв. Приказом Минстроя России от 29.12.2020 N 891/пр)</w:t>
      </w:r>
    </w:p>
    <w:p w:rsidR="00212513" w:rsidRDefault="00212513">
      <w:pPr>
        <w:pStyle w:val="ConsPlusNormal"/>
        <w:spacing w:before="220"/>
        <w:ind w:firstLine="540"/>
        <w:jc w:val="both"/>
      </w:pPr>
      <w:r>
        <w:rPr>
          <w:b/>
        </w:rPr>
        <w:t>коррозия материала:</w:t>
      </w:r>
      <w:r>
        <w:t xml:space="preserve"> Разрушение материала вследствие химического или электрохимического взаимодействия с агрессивной коррозионной средой. Для процесса коррозии следует применять термин "коррозионный процесс", а для результата процесса - термин "коррозионное разрушение";</w:t>
      </w:r>
    </w:p>
    <w:p w:rsidR="00212513" w:rsidRDefault="00212513">
      <w:pPr>
        <w:pStyle w:val="ConsPlusNormal"/>
        <w:spacing w:before="220"/>
        <w:ind w:firstLine="540"/>
        <w:jc w:val="both"/>
      </w:pPr>
      <w:r>
        <w:rPr>
          <w:b/>
        </w:rPr>
        <w:t>коэффициент общего размыва:</w:t>
      </w:r>
      <w:r>
        <w:t xml:space="preserve"> Отношение средних глубин потока в сечении под мостом при расчетном уровне воды после и до размыва;</w:t>
      </w:r>
    </w:p>
    <w:p w:rsidR="00212513" w:rsidRDefault="00212513">
      <w:pPr>
        <w:pStyle w:val="ConsPlusNormal"/>
        <w:jc w:val="both"/>
      </w:pPr>
      <w:r>
        <w:t xml:space="preserve">(термин введен </w:t>
      </w:r>
      <w:hyperlink r:id="rId2828">
        <w:r>
          <w:rPr>
            <w:color w:val="0000FF"/>
          </w:rPr>
          <w:t>Изменением N 3</w:t>
        </w:r>
      </w:hyperlink>
      <w:r>
        <w:t>, утв. Приказом Минстроя России от 29.12.2020 N 891/пр)</w:t>
      </w:r>
    </w:p>
    <w:p w:rsidR="00212513" w:rsidRDefault="00212513">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212513">
        <w:tc>
          <w:tcPr>
            <w:tcW w:w="9071" w:type="dxa"/>
            <w:tcBorders>
              <w:top w:val="single" w:sz="4" w:space="0" w:color="auto"/>
              <w:left w:val="single" w:sz="4" w:space="0" w:color="auto"/>
              <w:bottom w:val="single" w:sz="4" w:space="0" w:color="auto"/>
              <w:right w:val="single" w:sz="4" w:space="0" w:color="auto"/>
            </w:tcBorders>
          </w:tcPr>
          <w:p w:rsidR="00212513" w:rsidRDefault="00212513">
            <w:pPr>
              <w:pStyle w:val="ConsPlusNormal"/>
              <w:ind w:firstLine="567"/>
              <w:jc w:val="both"/>
            </w:pPr>
            <w:r>
              <w:rPr>
                <w:b/>
              </w:rPr>
              <w:t>ламель:</w:t>
            </w:r>
            <w:r>
              <w:t xml:space="preserve"> Монослой многослойного полимерного композита, армированный одним видом армирующего наполнителя - ровингом, кордной тканью, тканью, мультиаксиальной тканью или матом.</w:t>
            </w:r>
          </w:p>
          <w:p w:rsidR="00212513" w:rsidRDefault="00212513">
            <w:pPr>
              <w:pStyle w:val="ConsPlusNormal"/>
              <w:ind w:firstLine="567"/>
              <w:jc w:val="both"/>
            </w:pPr>
            <w:r>
              <w:t>Примечание - В зависимости от вида армирующего наполнителя ламель является однонаправленно-, двунаправленно-, многонаправленно- или хаотично-армированной.</w:t>
            </w:r>
          </w:p>
          <w:p w:rsidR="00212513" w:rsidRDefault="00212513">
            <w:pPr>
              <w:pStyle w:val="ConsPlusNormal"/>
            </w:pPr>
          </w:p>
          <w:p w:rsidR="00212513" w:rsidRDefault="00212513">
            <w:pPr>
              <w:pStyle w:val="ConsPlusNormal"/>
              <w:ind w:firstLine="567"/>
              <w:jc w:val="both"/>
            </w:pPr>
            <w:r>
              <w:t xml:space="preserve">[ГОСТ Р 54928-2012, </w:t>
            </w:r>
            <w:hyperlink r:id="rId2829">
              <w:r>
                <w:rPr>
                  <w:color w:val="0000FF"/>
                </w:rPr>
                <w:t>статья 3.1.22</w:t>
              </w:r>
            </w:hyperlink>
            <w:r>
              <w:t>]</w:t>
            </w:r>
          </w:p>
        </w:tc>
      </w:tr>
    </w:tbl>
    <w:p w:rsidR="00212513" w:rsidRDefault="00212513">
      <w:pPr>
        <w:pStyle w:val="ConsPlusNormal"/>
        <w:jc w:val="both"/>
      </w:pPr>
      <w:r>
        <w:t xml:space="preserve">(термин введен </w:t>
      </w:r>
      <w:hyperlink r:id="rId2830">
        <w:r>
          <w:rPr>
            <w:color w:val="0000FF"/>
          </w:rPr>
          <w:t>Изменением N 2</w:t>
        </w:r>
      </w:hyperlink>
      <w:r>
        <w:t>, утв. Приказом Минстроя России от 11.11.2019 N 681/пр)</w:t>
      </w:r>
    </w:p>
    <w:p w:rsidR="00212513" w:rsidRDefault="00212513">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212513">
        <w:tc>
          <w:tcPr>
            <w:tcW w:w="9071" w:type="dxa"/>
            <w:tcBorders>
              <w:top w:val="single" w:sz="4" w:space="0" w:color="auto"/>
              <w:left w:val="single" w:sz="4" w:space="0" w:color="auto"/>
              <w:bottom w:val="single" w:sz="4" w:space="0" w:color="auto"/>
              <w:right w:val="single" w:sz="4" w:space="0" w:color="auto"/>
            </w:tcBorders>
          </w:tcPr>
          <w:p w:rsidR="00212513" w:rsidRDefault="00212513">
            <w:pPr>
              <w:pStyle w:val="ConsPlusNormal"/>
              <w:ind w:firstLine="567"/>
              <w:jc w:val="both"/>
            </w:pPr>
            <w:r>
              <w:rPr>
                <w:b/>
              </w:rPr>
              <w:t>ламинат:</w:t>
            </w:r>
            <w:r>
              <w:t xml:space="preserve"> Многослойный полимерный композит, состоящий из нескольких ламелей одинаковой или различной толщины.</w:t>
            </w:r>
          </w:p>
          <w:p w:rsidR="00212513" w:rsidRDefault="00212513">
            <w:pPr>
              <w:pStyle w:val="ConsPlusNormal"/>
              <w:ind w:firstLine="567"/>
              <w:jc w:val="both"/>
            </w:pPr>
            <w:r>
              <w:t xml:space="preserve">[ГОСТ Р 54928-2012, </w:t>
            </w:r>
            <w:hyperlink r:id="rId2831">
              <w:r>
                <w:rPr>
                  <w:color w:val="0000FF"/>
                </w:rPr>
                <w:t>статья 3.1.23</w:t>
              </w:r>
            </w:hyperlink>
            <w:r>
              <w:t>]</w:t>
            </w:r>
          </w:p>
        </w:tc>
      </w:tr>
    </w:tbl>
    <w:p w:rsidR="00212513" w:rsidRDefault="00212513">
      <w:pPr>
        <w:pStyle w:val="ConsPlusNormal"/>
        <w:jc w:val="both"/>
      </w:pPr>
      <w:r>
        <w:t xml:space="preserve">(термин введен </w:t>
      </w:r>
      <w:hyperlink r:id="rId2832">
        <w:r>
          <w:rPr>
            <w:color w:val="0000FF"/>
          </w:rPr>
          <w:t>Изменением N 2</w:t>
        </w:r>
      </w:hyperlink>
      <w:r>
        <w:t>, утв. Приказом Минстроя России от 11.11.2019 N 681/пр)</w:t>
      </w:r>
    </w:p>
    <w:p w:rsidR="00212513" w:rsidRDefault="00212513">
      <w:pPr>
        <w:pStyle w:val="ConsPlusNormal"/>
        <w:spacing w:before="220"/>
        <w:ind w:firstLine="540"/>
        <w:jc w:val="both"/>
      </w:pPr>
      <w:r>
        <w:rPr>
          <w:b/>
        </w:rPr>
        <w:t>линия влияния:</w:t>
      </w:r>
      <w:r>
        <w:t xml:space="preserve"> График, ординаты которого выражают значения усилий или перемещений в данной точке системы в зависимости от положения перемещаемой силы;</w:t>
      </w:r>
    </w:p>
    <w:p w:rsidR="00212513" w:rsidRDefault="00212513">
      <w:pPr>
        <w:pStyle w:val="ConsPlusNormal"/>
        <w:spacing w:before="220"/>
        <w:ind w:firstLine="540"/>
        <w:jc w:val="both"/>
      </w:pPr>
      <w:r>
        <w:rPr>
          <w:b/>
        </w:rPr>
        <w:t>металлический гофрированный элемент:</w:t>
      </w:r>
      <w:r>
        <w:t xml:space="preserve"> Стальной лист волнистого профиля, изогнутый по кривой очертания сооружения (трубы или моста) и защищенный от коррозии;</w:t>
      </w:r>
    </w:p>
    <w:p w:rsidR="00212513" w:rsidRDefault="00212513">
      <w:pPr>
        <w:pStyle w:val="ConsPlusNormal"/>
        <w:jc w:val="both"/>
      </w:pPr>
      <w:r>
        <w:t xml:space="preserve">(термин введен </w:t>
      </w:r>
      <w:hyperlink r:id="rId2833">
        <w:r>
          <w:rPr>
            <w:color w:val="0000FF"/>
          </w:rPr>
          <w:t>Изменением N 1</w:t>
        </w:r>
      </w:hyperlink>
      <w:r>
        <w:t>, утв. Приказом Минстроя России от 03.12.2016 N 879/пр)</w:t>
      </w:r>
    </w:p>
    <w:p w:rsidR="00212513" w:rsidRDefault="00212513">
      <w:pPr>
        <w:pStyle w:val="ConsPlusNormal"/>
        <w:spacing w:before="220"/>
        <w:ind w:firstLine="540"/>
        <w:jc w:val="both"/>
      </w:pPr>
      <w:r>
        <w:rPr>
          <w:b/>
        </w:rPr>
        <w:t>морозостойкость бетона:</w:t>
      </w:r>
      <w:r>
        <w:t xml:space="preserve"> Способность сохранять физико-механические свойства при многократном переменном замораживании и оттаивании;</w:t>
      </w:r>
    </w:p>
    <w:p w:rsidR="00212513" w:rsidRDefault="00212513">
      <w:pPr>
        <w:pStyle w:val="ConsPlusNormal"/>
        <w:spacing w:before="220"/>
        <w:ind w:firstLine="540"/>
        <w:jc w:val="both"/>
      </w:pPr>
      <w:r>
        <w:rPr>
          <w:b/>
        </w:rPr>
        <w:t>мост:</w:t>
      </w:r>
      <w:r>
        <w:t xml:space="preserve"> Мостовое сооружение через водное препятствие;</w:t>
      </w:r>
    </w:p>
    <w:p w:rsidR="00212513" w:rsidRDefault="00212513">
      <w:pPr>
        <w:pStyle w:val="ConsPlusNormal"/>
        <w:jc w:val="both"/>
      </w:pPr>
      <w:r>
        <w:t xml:space="preserve">(в ред. </w:t>
      </w:r>
      <w:hyperlink r:id="rId2834">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rPr>
          <w:b/>
        </w:rPr>
        <w:t>мостовое сооружение из металлических гофрированных элементов:</w:t>
      </w:r>
      <w:r>
        <w:t xml:space="preserve"> Засыпной мост в виде арки (бесшарнирной или с шарнирами), имеющий опоры и работающий совместно с грунтовой обоймой. Применяется для пропуска водотока, транспорта, пешеходов, скотопрогонов, миграции животных;</w:t>
      </w:r>
    </w:p>
    <w:p w:rsidR="00212513" w:rsidRDefault="00212513">
      <w:pPr>
        <w:pStyle w:val="ConsPlusNormal"/>
        <w:jc w:val="both"/>
      </w:pPr>
      <w:r>
        <w:t xml:space="preserve">(термин введен </w:t>
      </w:r>
      <w:hyperlink r:id="rId2835">
        <w:r>
          <w:rPr>
            <w:color w:val="0000FF"/>
          </w:rPr>
          <w:t>Изменением N 1</w:t>
        </w:r>
      </w:hyperlink>
      <w:r>
        <w:t>, утв. Приказом Минстроя России от 03.12.2016 N 879/пр)</w:t>
      </w:r>
    </w:p>
    <w:p w:rsidR="00212513" w:rsidRDefault="00212513">
      <w:pPr>
        <w:pStyle w:val="ConsPlusNormal"/>
        <w:spacing w:before="220"/>
        <w:ind w:firstLine="540"/>
        <w:jc w:val="both"/>
      </w:pPr>
      <w:r>
        <w:rPr>
          <w:b/>
        </w:rPr>
        <w:t>мостовой переход:</w:t>
      </w:r>
      <w:r>
        <w:t xml:space="preserve"> Комплекс сооружений, включающий мост, участки подходов в пойме реки, регуляционные и другие укрепления;</w:t>
      </w:r>
    </w:p>
    <w:p w:rsidR="00212513" w:rsidRDefault="00212513">
      <w:pPr>
        <w:pStyle w:val="ConsPlusNormal"/>
        <w:spacing w:before="220"/>
        <w:ind w:firstLine="540"/>
        <w:jc w:val="both"/>
      </w:pPr>
      <w:r>
        <w:rPr>
          <w:b/>
        </w:rPr>
        <w:t>мостовое сооружение:</w:t>
      </w:r>
      <w:r>
        <w:t xml:space="preserve"> Инженерное сооружение, состоящее из опор и пролетных строений, предназначенное для пропуска через препятствие разных видов транспортных средств, пешеходов, водотоков, селей и коммуникаций различного назначения (мосты, путепроводы, пешеходные мосты, виадуки, эстакады, акведуки, селедуки).</w:t>
      </w:r>
    </w:p>
    <w:p w:rsidR="00212513" w:rsidRDefault="00212513">
      <w:pPr>
        <w:pStyle w:val="ConsPlusNormal"/>
        <w:spacing w:before="220"/>
        <w:ind w:firstLine="540"/>
        <w:jc w:val="both"/>
      </w:pPr>
      <w:r>
        <w:t>Примечание - Используется как термин-синоним термина "мост";</w:t>
      </w:r>
    </w:p>
    <w:p w:rsidR="00212513" w:rsidRDefault="00212513">
      <w:pPr>
        <w:pStyle w:val="ConsPlusNormal"/>
        <w:ind w:firstLine="540"/>
        <w:jc w:val="both"/>
      </w:pPr>
    </w:p>
    <w:p w:rsidR="00212513" w:rsidRDefault="00212513">
      <w:pPr>
        <w:pStyle w:val="ConsPlusNormal"/>
        <w:jc w:val="both"/>
      </w:pPr>
      <w:r>
        <w:t xml:space="preserve">(в ред. </w:t>
      </w:r>
      <w:hyperlink r:id="rId2836">
        <w:r>
          <w:rPr>
            <w:color w:val="0000FF"/>
          </w:rPr>
          <w:t>Изменения N 1</w:t>
        </w:r>
      </w:hyperlink>
      <w:r>
        <w:t xml:space="preserve">, утв. Приказом Минстроя России от 03.12.2016 N 879/пр, </w:t>
      </w:r>
      <w:hyperlink r:id="rId2837">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rPr>
          <w:b/>
        </w:rPr>
        <w:t>надежность:</w:t>
      </w:r>
      <w:r>
        <w:t xml:space="preserve"> Свойство сооружения выполнять свои функции в течение всего проектного срока службы;</w:t>
      </w:r>
    </w:p>
    <w:p w:rsidR="00212513" w:rsidRDefault="00212513">
      <w:pPr>
        <w:pStyle w:val="ConsPlusNormal"/>
        <w:jc w:val="both"/>
      </w:pPr>
      <w:r>
        <w:t xml:space="preserve">(термин введен </w:t>
      </w:r>
      <w:hyperlink r:id="rId2838">
        <w:r>
          <w:rPr>
            <w:color w:val="0000FF"/>
          </w:rPr>
          <w:t>Изменением N 3</w:t>
        </w:r>
      </w:hyperlink>
      <w:r>
        <w:t>, утв. Приказом Минстроя России от 29.12.2020 N 891/пр)</w:t>
      </w:r>
    </w:p>
    <w:p w:rsidR="00212513" w:rsidRDefault="00212513">
      <w:pPr>
        <w:pStyle w:val="ConsPlusNormal"/>
        <w:spacing w:before="220"/>
        <w:ind w:firstLine="540"/>
        <w:jc w:val="both"/>
      </w:pPr>
      <w:r>
        <w:t xml:space="preserve">исключено с 01.07.2024. - </w:t>
      </w:r>
      <w:hyperlink r:id="rId2839">
        <w:r>
          <w:rPr>
            <w:color w:val="0000FF"/>
          </w:rPr>
          <w:t>Изменение N 4</w:t>
        </w:r>
      </w:hyperlink>
      <w:r>
        <w:t>, утв. Приказом Минстроя России от 30.05.2024 N 361/пр;</w:t>
      </w:r>
    </w:p>
    <w:p w:rsidR="00212513" w:rsidRDefault="00212513">
      <w:pPr>
        <w:pStyle w:val="ConsPlusNormal"/>
        <w:spacing w:before="220"/>
        <w:ind w:firstLine="540"/>
        <w:jc w:val="both"/>
      </w:pPr>
      <w:r>
        <w:rPr>
          <w:b/>
        </w:rPr>
        <w:t>ограждение мостовое:</w:t>
      </w:r>
      <w:r>
        <w:t xml:space="preserve"> Конструктивный элемент мостового полотна, устанавливаемый на границах габарита приближения строений, предназначенный для предотвращения съезда транспортных средств за его пределы и исправления траектории движения автомобиля при наезде на ограждение. Ограждение может быть бетонное, железобетонное и металлическое. По конструкции различают барьерное ограждение, состоящее из стоек и горизонтального бруса или профильной стальной ленты либо трубы (труб), установленных на стойках на некотором уровне над верхом покрытия, и парапетное ограждение, выполненное в виде железобетонной стенки;</w:t>
      </w:r>
    </w:p>
    <w:p w:rsidR="00212513" w:rsidRDefault="00212513">
      <w:pPr>
        <w:pStyle w:val="ConsPlusNormal"/>
        <w:spacing w:before="220"/>
        <w:ind w:firstLine="540"/>
        <w:jc w:val="both"/>
      </w:pPr>
      <w:r>
        <w:rPr>
          <w:b/>
        </w:rPr>
        <w:t>опора обсыпная:</w:t>
      </w:r>
      <w:r>
        <w:t xml:space="preserve"> Крайняя опора мостового сооружения, большая часть которой находится в грунте конуса насыпи, выступающего за переднюю стенку опоры;</w:t>
      </w:r>
    </w:p>
    <w:p w:rsidR="00212513" w:rsidRDefault="00212513">
      <w:pPr>
        <w:pStyle w:val="ConsPlusNormal"/>
        <w:jc w:val="both"/>
      </w:pPr>
      <w:r>
        <w:t xml:space="preserve">(термин введен </w:t>
      </w:r>
      <w:hyperlink r:id="rId2840">
        <w:r>
          <w:rPr>
            <w:color w:val="0000FF"/>
          </w:rPr>
          <w:t>Изменением N 3</w:t>
        </w:r>
      </w:hyperlink>
      <w:r>
        <w:t>, утв. Приказом Минстроя России от 29.12.2020 N 891/пр)</w:t>
      </w:r>
    </w:p>
    <w:p w:rsidR="00212513" w:rsidRDefault="00212513">
      <w:pPr>
        <w:pStyle w:val="ConsPlusNormal"/>
        <w:spacing w:before="220"/>
        <w:ind w:firstLine="540"/>
        <w:jc w:val="both"/>
      </w:pPr>
      <w:r>
        <w:rPr>
          <w:b/>
        </w:rPr>
        <w:t>перила моста:</w:t>
      </w:r>
      <w:r>
        <w:t xml:space="preserve"> Ограждающее устройство на тротуарах с внешней стороны моста;</w:t>
      </w:r>
    </w:p>
    <w:p w:rsidR="00212513" w:rsidRDefault="00212513">
      <w:pPr>
        <w:pStyle w:val="ConsPlusNormal"/>
        <w:spacing w:before="220"/>
        <w:ind w:firstLine="540"/>
        <w:jc w:val="both"/>
      </w:pPr>
      <w:r>
        <w:rPr>
          <w:b/>
        </w:rPr>
        <w:t>перильное ограждение на эксплуатационных обустройствах:</w:t>
      </w:r>
      <w:r>
        <w:t xml:space="preserve"> Постоянное удерживающее обустройство высотой не менее 1,1 м, устанавливаемое на краю служебных проходов, смотровых ходов, площадок обслуживания, состоящее из: стоек, перил и элементов заполнения, предназначенных для обеспечения безопасности обслуживающего персонала; лестниц и других средств доступа к конструкциям на разных уровнях;</w:t>
      </w:r>
    </w:p>
    <w:p w:rsidR="00212513" w:rsidRDefault="00212513">
      <w:pPr>
        <w:pStyle w:val="ConsPlusNormal"/>
        <w:jc w:val="both"/>
      </w:pPr>
      <w:r>
        <w:t xml:space="preserve">(термин введен </w:t>
      </w:r>
      <w:hyperlink r:id="rId2841">
        <w:r>
          <w:rPr>
            <w:color w:val="0000FF"/>
          </w:rPr>
          <w:t>Изменением N 3</w:t>
        </w:r>
      </w:hyperlink>
      <w:r>
        <w:t>, утв. Приказом Минстроя России от 29.12.2020 N 891/пр)</w:t>
      </w:r>
    </w:p>
    <w:p w:rsidR="00212513" w:rsidRDefault="00212513">
      <w:pPr>
        <w:pStyle w:val="ConsPlusNormal"/>
        <w:spacing w:before="220"/>
        <w:ind w:firstLine="540"/>
        <w:jc w:val="both"/>
      </w:pPr>
      <w:r>
        <w:rPr>
          <w:b/>
        </w:rPr>
        <w:t>пилон:</w:t>
      </w:r>
      <w:r>
        <w:t xml:space="preserve"> Несущий элемент конструкции, опора висячего или вантового моста в виде башни-стойки или портала, служащий для опирания кабеля, цепи или системы вант. Различают жесткие и качающиеся пилоны;</w:t>
      </w:r>
    </w:p>
    <w:p w:rsidR="00212513" w:rsidRDefault="00212513">
      <w:pPr>
        <w:pStyle w:val="ConsPlusNormal"/>
        <w:spacing w:before="220"/>
        <w:ind w:firstLine="540"/>
        <w:jc w:val="both"/>
      </w:pPr>
      <w:r>
        <w:rPr>
          <w:b/>
        </w:rPr>
        <w:t>плита проезжей части:</w:t>
      </w:r>
      <w:r>
        <w:t xml:space="preserve"> Элемент пролетного строения - железобетонный, стальной или деревянный, непосредственно воспринимающий нагрузку от транспортных средств, пешеходов, элементов мостового полотна и передающий ее несущей части пролетного строения;</w:t>
      </w:r>
    </w:p>
    <w:p w:rsidR="00212513" w:rsidRDefault="00212513">
      <w:pPr>
        <w:pStyle w:val="ConsPlusNormal"/>
        <w:jc w:val="both"/>
      </w:pPr>
      <w:r>
        <w:t xml:space="preserve">(термин введен </w:t>
      </w:r>
      <w:hyperlink r:id="rId2842">
        <w:r>
          <w:rPr>
            <w:color w:val="0000FF"/>
          </w:rPr>
          <w:t>Изменением N 3</w:t>
        </w:r>
      </w:hyperlink>
      <w:r>
        <w:t>, утв. Приказом Минстроя России от 29.12.2020 N 891/пр)</w:t>
      </w:r>
    </w:p>
    <w:p w:rsidR="00212513" w:rsidRDefault="00212513">
      <w:pPr>
        <w:pStyle w:val="ConsPlusNormal"/>
        <w:spacing w:before="220"/>
        <w:ind w:firstLine="540"/>
        <w:jc w:val="both"/>
      </w:pPr>
      <w:r>
        <w:rPr>
          <w:b/>
        </w:rPr>
        <w:t>площадка для обслуживания на оголовке опоры:</w:t>
      </w:r>
      <w:r>
        <w:t xml:space="preserve"> Постоянное эксплуатационное обустройство, включающее несущие металлические конструкции, настил и перильное ограждение, предназначенное для осмотра, обслуживания и ремонта опорных частей пролетных строений, видимых поверхностей опор;</w:t>
      </w:r>
    </w:p>
    <w:p w:rsidR="00212513" w:rsidRDefault="00212513">
      <w:pPr>
        <w:pStyle w:val="ConsPlusNormal"/>
        <w:jc w:val="both"/>
      </w:pPr>
      <w:r>
        <w:t xml:space="preserve">(термин введен </w:t>
      </w:r>
      <w:hyperlink r:id="rId2843">
        <w:r>
          <w:rPr>
            <w:color w:val="0000FF"/>
          </w:rPr>
          <w:t>Изменением N 3</w:t>
        </w:r>
      </w:hyperlink>
      <w:r>
        <w:t>, утв. Приказом Минстроя России от 29.12.2020 N 891/пр)</w:t>
      </w:r>
    </w:p>
    <w:p w:rsidR="00212513" w:rsidRDefault="00212513">
      <w:pPr>
        <w:pStyle w:val="ConsPlusNormal"/>
        <w:spacing w:before="220"/>
        <w:ind w:firstLine="540"/>
        <w:jc w:val="both"/>
      </w:pPr>
      <w:r>
        <w:rPr>
          <w:b/>
        </w:rPr>
        <w:t>подферменник:</w:t>
      </w:r>
      <w:r>
        <w:t xml:space="preserve"> Железобетонный выступ на оголовке опоры, предназначенный для установки опорной части пролетного строения;</w:t>
      </w:r>
    </w:p>
    <w:p w:rsidR="00212513" w:rsidRDefault="00212513">
      <w:pPr>
        <w:pStyle w:val="ConsPlusNormal"/>
        <w:jc w:val="both"/>
      </w:pPr>
      <w:r>
        <w:t xml:space="preserve">(термин введен </w:t>
      </w:r>
      <w:hyperlink r:id="rId2844">
        <w:r>
          <w:rPr>
            <w:color w:val="0000FF"/>
          </w:rPr>
          <w:t>Изменением N 3</w:t>
        </w:r>
      </w:hyperlink>
      <w:r>
        <w:t>, утв. Приказом Минстроя России от 29.12.2020 N 891/пр)</w:t>
      </w:r>
    </w:p>
    <w:p w:rsidR="00212513" w:rsidRDefault="00212513">
      <w:pPr>
        <w:pStyle w:val="ConsPlusNormal"/>
        <w:spacing w:before="220"/>
        <w:ind w:firstLine="540"/>
        <w:jc w:val="both"/>
      </w:pPr>
      <w:r>
        <w:rPr>
          <w:b/>
        </w:rPr>
        <w:t>полимерное износостойкое покрытие:</w:t>
      </w:r>
      <w:r>
        <w:t xml:space="preserve"> Покрытие прохожей или проезжей части, изготовленное из полимерных материалов, содержащих минеральные наполнители;</w:t>
      </w:r>
    </w:p>
    <w:p w:rsidR="00212513" w:rsidRDefault="00212513">
      <w:pPr>
        <w:pStyle w:val="ConsPlusNormal"/>
        <w:jc w:val="both"/>
      </w:pPr>
      <w:r>
        <w:t xml:space="preserve">(термин введен </w:t>
      </w:r>
      <w:hyperlink r:id="rId2845">
        <w:r>
          <w:rPr>
            <w:color w:val="0000FF"/>
          </w:rPr>
          <w:t>Изменением N 4</w:t>
        </w:r>
      </w:hyperlink>
      <w:r>
        <w:t>, утв. Приказом Минстроя России от 30.05.2024 N 361/пр)</w:t>
      </w:r>
    </w:p>
    <w:p w:rsidR="00212513" w:rsidRDefault="00212513">
      <w:pPr>
        <w:pStyle w:val="ConsPlusNormal"/>
        <w:spacing w:before="220"/>
        <w:ind w:firstLine="540"/>
        <w:jc w:val="both"/>
      </w:pPr>
      <w:r>
        <w:rPr>
          <w:b/>
        </w:rPr>
        <w:t>полимерный композит:</w:t>
      </w:r>
      <w:r>
        <w:t xml:space="preserve"> Композит, матрица которого образована из термореактивных </w:t>
      </w:r>
      <w:r>
        <w:lastRenderedPageBreak/>
        <w:t>полимеров;</w:t>
      </w:r>
    </w:p>
    <w:p w:rsidR="00212513" w:rsidRDefault="00212513">
      <w:pPr>
        <w:pStyle w:val="ConsPlusNormal"/>
        <w:jc w:val="both"/>
      </w:pPr>
      <w:r>
        <w:t xml:space="preserve">(в ред. </w:t>
      </w:r>
      <w:hyperlink r:id="rId2846">
        <w:r>
          <w:rPr>
            <w:color w:val="0000FF"/>
          </w:rPr>
          <w:t>Изменения N 2</w:t>
        </w:r>
      </w:hyperlink>
      <w:r>
        <w:t>, утв. Приказом Минстроя России от 11.11.2019 N 681/пр)</w:t>
      </w:r>
    </w:p>
    <w:p w:rsidR="00212513" w:rsidRDefault="00212513">
      <w:pPr>
        <w:pStyle w:val="ConsPlusNormal"/>
        <w:spacing w:before="220"/>
        <w:ind w:firstLine="540"/>
        <w:jc w:val="both"/>
      </w:pPr>
      <w:r>
        <w:rPr>
          <w:b/>
        </w:rPr>
        <w:t>полимерный композитный пултрузионный профиль (пултрузионный профиль):</w:t>
      </w:r>
      <w:r>
        <w:t xml:space="preserve"> Линейное профильное изделие из полимерного композита, изготовляемое методом пултрузии и имеющее, как правило, постоянное поперечное сечение;</w:t>
      </w:r>
    </w:p>
    <w:p w:rsidR="00212513" w:rsidRDefault="00212513">
      <w:pPr>
        <w:pStyle w:val="ConsPlusNormal"/>
        <w:jc w:val="both"/>
      </w:pPr>
      <w:r>
        <w:t xml:space="preserve">(термин введен </w:t>
      </w:r>
      <w:hyperlink r:id="rId2847">
        <w:r>
          <w:rPr>
            <w:color w:val="0000FF"/>
          </w:rPr>
          <w:t>Изменением N 2</w:t>
        </w:r>
      </w:hyperlink>
      <w:r>
        <w:t>, утв. Приказом Минстроя России от 11.11.2019 N 681/пр)</w:t>
      </w:r>
    </w:p>
    <w:p w:rsidR="00212513" w:rsidRDefault="00212513">
      <w:pPr>
        <w:pStyle w:val="ConsPlusNormal"/>
        <w:spacing w:before="220"/>
        <w:ind w:firstLine="540"/>
        <w:jc w:val="both"/>
      </w:pPr>
      <w:r>
        <w:rPr>
          <w:b/>
        </w:rPr>
        <w:t>полоса разделительная:</w:t>
      </w:r>
      <w:r>
        <w:t xml:space="preserve"> Конструктивно выделенный элемент проезжей части, разделяющий смежные направления и не предназначенный для движения или остановки безрельсовых транспортных средств;</w:t>
      </w:r>
    </w:p>
    <w:p w:rsidR="00212513" w:rsidRDefault="00212513">
      <w:pPr>
        <w:pStyle w:val="ConsPlusNormal"/>
        <w:spacing w:before="220"/>
        <w:ind w:firstLine="540"/>
        <w:jc w:val="both"/>
      </w:pPr>
      <w:r>
        <w:rPr>
          <w:b/>
        </w:rPr>
        <w:t>полотно мостовое:</w:t>
      </w:r>
      <w:r>
        <w:t xml:space="preserve"> Обобщенное наименование всех элементов, расположенных на несущих конструкциях пролетного строения, предназначенных для нормальных условий и безопасности движения транспортных средств и пешеходов; включает одежду проезжей части, деформационные швы, тротуары, ограждение проезжей части, перила, устройства для водоотвода и освещения;</w:t>
      </w:r>
    </w:p>
    <w:p w:rsidR="00212513" w:rsidRDefault="00212513">
      <w:pPr>
        <w:pStyle w:val="ConsPlusNormal"/>
        <w:jc w:val="both"/>
      </w:pPr>
      <w:r>
        <w:t xml:space="preserve">(термин введен </w:t>
      </w:r>
      <w:hyperlink r:id="rId2848">
        <w:r>
          <w:rPr>
            <w:color w:val="0000FF"/>
          </w:rPr>
          <w:t>Изменением N 3</w:t>
        </w:r>
      </w:hyperlink>
      <w:r>
        <w:t>, утв. Приказом Минстроя России от 29.12.2020 N 891/пр)</w:t>
      </w:r>
    </w:p>
    <w:p w:rsidR="00212513" w:rsidRDefault="00212513">
      <w:pPr>
        <w:pStyle w:val="ConsPlusNormal"/>
        <w:spacing w:before="220"/>
        <w:ind w:firstLine="540"/>
        <w:jc w:val="both"/>
      </w:pPr>
      <w:r>
        <w:rPr>
          <w:b/>
        </w:rPr>
        <w:t>проектный срок службы:</w:t>
      </w:r>
      <w:r>
        <w:t xml:space="preserve"> Период, на протяжении которого сооружение может выполнять предусмотренные проектом функции при условии выполнения работ по содержанию и ремонтам;</w:t>
      </w:r>
    </w:p>
    <w:p w:rsidR="00212513" w:rsidRDefault="00212513">
      <w:pPr>
        <w:pStyle w:val="ConsPlusNormal"/>
        <w:jc w:val="both"/>
      </w:pPr>
      <w:r>
        <w:t xml:space="preserve">(термин введен </w:t>
      </w:r>
      <w:hyperlink r:id="rId2849">
        <w:r>
          <w:rPr>
            <w:color w:val="0000FF"/>
          </w:rPr>
          <w:t>Изменением N 3</w:t>
        </w:r>
      </w:hyperlink>
      <w:r>
        <w:t>, утв. Приказом Минстроя России от 29.12.2020 N 891/пр)</w:t>
      </w:r>
    </w:p>
    <w:p w:rsidR="00212513" w:rsidRDefault="00212513">
      <w:pPr>
        <w:pStyle w:val="ConsPlusNormal"/>
        <w:spacing w:before="220"/>
        <w:ind w:firstLine="540"/>
        <w:jc w:val="both"/>
      </w:pPr>
      <w:r>
        <w:rPr>
          <w:b/>
        </w:rPr>
        <w:t>прокладной слой:</w:t>
      </w:r>
      <w:r>
        <w:t xml:space="preserve"> Промежуточный элемент между балками металлических пролетных строений и плитами безбалластного мостового полотна, обеспечивающий передачу нагрузок от верхнего строения пути на балки пролетных строений;</w:t>
      </w:r>
    </w:p>
    <w:p w:rsidR="00212513" w:rsidRDefault="00212513">
      <w:pPr>
        <w:pStyle w:val="ConsPlusNormal"/>
        <w:jc w:val="both"/>
      </w:pPr>
      <w:r>
        <w:t xml:space="preserve">(термин введен </w:t>
      </w:r>
      <w:hyperlink r:id="rId2850">
        <w:r>
          <w:rPr>
            <w:color w:val="0000FF"/>
          </w:rPr>
          <w:t>Изменением N 4</w:t>
        </w:r>
      </w:hyperlink>
      <w:r>
        <w:t>, утв. Приказом Минстроя России от 30.05.2024 N 361/пр)</w:t>
      </w:r>
    </w:p>
    <w:p w:rsidR="00212513" w:rsidRDefault="00212513">
      <w:pPr>
        <w:pStyle w:val="ConsPlusNormal"/>
        <w:spacing w:before="220"/>
        <w:ind w:firstLine="540"/>
        <w:jc w:val="both"/>
      </w:pPr>
      <w:r>
        <w:rPr>
          <w:b/>
        </w:rPr>
        <w:t>путепровод:</w:t>
      </w:r>
      <w:r>
        <w:t xml:space="preserve"> Мостовое сооружение через автомобильную или железную дорогу, или улицу;</w:t>
      </w:r>
    </w:p>
    <w:p w:rsidR="00212513" w:rsidRDefault="00212513">
      <w:pPr>
        <w:pStyle w:val="ConsPlusNormal"/>
        <w:jc w:val="both"/>
      </w:pPr>
      <w:r>
        <w:t xml:space="preserve">(в ред. </w:t>
      </w:r>
      <w:hyperlink r:id="rId2851">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r>
        <w:rPr>
          <w:b/>
        </w:rPr>
        <w:t>рабочая арматура:</w:t>
      </w:r>
      <w:r>
        <w:t xml:space="preserve"> Совокупность расчетной и конструктивной арматуры;</w:t>
      </w:r>
    </w:p>
    <w:p w:rsidR="00212513" w:rsidRDefault="00212513">
      <w:pPr>
        <w:pStyle w:val="ConsPlusNormal"/>
        <w:jc w:val="both"/>
      </w:pPr>
      <w:r>
        <w:t xml:space="preserve">(термин введен </w:t>
      </w:r>
      <w:hyperlink r:id="rId2852">
        <w:r>
          <w:rPr>
            <w:color w:val="0000FF"/>
          </w:rPr>
          <w:t>Изменением N 3</w:t>
        </w:r>
      </w:hyperlink>
      <w:r>
        <w:t>, утв. Приказом Минстроя России от 29.12.2020 N 891/пр)</w:t>
      </w:r>
    </w:p>
    <w:p w:rsidR="00212513" w:rsidRDefault="00212513">
      <w:pPr>
        <w:pStyle w:val="ConsPlusNormal"/>
        <w:spacing w:before="220"/>
        <w:ind w:firstLine="540"/>
        <w:jc w:val="both"/>
      </w:pPr>
      <w:r>
        <w:rPr>
          <w:b/>
        </w:rPr>
        <w:t>расчетная арматура:</w:t>
      </w:r>
      <w:r>
        <w:t xml:space="preserve"> Арматура, количество и месторасположение которой устанавливаются расчетом по первой и второй группам предельных состояний;</w:t>
      </w:r>
    </w:p>
    <w:p w:rsidR="00212513" w:rsidRDefault="00212513">
      <w:pPr>
        <w:pStyle w:val="ConsPlusNormal"/>
        <w:jc w:val="both"/>
      </w:pPr>
      <w:r>
        <w:t xml:space="preserve">(термин введен </w:t>
      </w:r>
      <w:hyperlink r:id="rId2853">
        <w:r>
          <w:rPr>
            <w:color w:val="0000FF"/>
          </w:rPr>
          <w:t>Изменением N 3</w:t>
        </w:r>
      </w:hyperlink>
      <w:r>
        <w:t>, утв. Приказом Минстроя России от 29.12.2020 N 891/пр)</w:t>
      </w:r>
    </w:p>
    <w:p w:rsidR="00212513" w:rsidRDefault="00212513">
      <w:pPr>
        <w:pStyle w:val="ConsPlusNormal"/>
        <w:spacing w:before="220"/>
        <w:ind w:firstLine="540"/>
        <w:jc w:val="both"/>
      </w:pPr>
      <w:r>
        <w:rPr>
          <w:b/>
        </w:rPr>
        <w:t>расчетная схема сооружения:</w:t>
      </w:r>
      <w:r>
        <w:t xml:space="preserve"> Условная схема со всеми исходными параметрами, необходимая для расчета с целью определения напряженно-деформированного состояния сооружения;</w:t>
      </w:r>
    </w:p>
    <w:p w:rsidR="00212513" w:rsidRDefault="00212513">
      <w:pPr>
        <w:pStyle w:val="ConsPlusNormal"/>
        <w:spacing w:before="220"/>
        <w:ind w:firstLine="540"/>
        <w:jc w:val="both"/>
      </w:pPr>
      <w:r>
        <w:rPr>
          <w:b/>
        </w:rPr>
        <w:t>ростверк:</w:t>
      </w:r>
      <w:r>
        <w:t xml:space="preserve"> Конструкция верхней части свайного фундамента в виде плиты или насадки, объединяющая сваи в одну устойчивую систему и служащая для передачи нагрузки на сваю;</w:t>
      </w:r>
    </w:p>
    <w:p w:rsidR="00212513" w:rsidRDefault="00212513">
      <w:pPr>
        <w:pStyle w:val="ConsPlusNormal"/>
        <w:spacing w:before="220"/>
        <w:ind w:firstLine="540"/>
        <w:jc w:val="both"/>
      </w:pPr>
      <w:r>
        <w:rPr>
          <w:b/>
        </w:rPr>
        <w:t>сейсмическое воздействие:</w:t>
      </w:r>
      <w:r>
        <w:t xml:space="preserve"> Воздействие на мостовое сооружение инерционных сил, возникающих при колебательных движениях масс сооружения и временной нагрузки на нем, вызванных колебанием грунта при землетрясениях;</w:t>
      </w:r>
    </w:p>
    <w:p w:rsidR="00212513" w:rsidRDefault="00212513">
      <w:pPr>
        <w:pStyle w:val="ConsPlusNormal"/>
        <w:jc w:val="both"/>
      </w:pPr>
      <w:r>
        <w:t xml:space="preserve">(термин введен </w:t>
      </w:r>
      <w:hyperlink r:id="rId2854">
        <w:r>
          <w:rPr>
            <w:color w:val="0000FF"/>
          </w:rPr>
          <w:t>Изменением N 3</w:t>
        </w:r>
      </w:hyperlink>
      <w:r>
        <w:t>, утв. Приказом Минстроя России от 29.12.2020 N 891/пр)</w:t>
      </w:r>
    </w:p>
    <w:p w:rsidR="00212513" w:rsidRDefault="00212513">
      <w:pPr>
        <w:pStyle w:val="ConsPlusNormal"/>
        <w:spacing w:before="220"/>
        <w:ind w:firstLine="540"/>
        <w:jc w:val="both"/>
      </w:pPr>
      <w:r>
        <w:rPr>
          <w:b/>
        </w:rPr>
        <w:t>сейсмостойкость:</w:t>
      </w:r>
      <w:r>
        <w:t xml:space="preserve"> Способность зданий и сооружений противостоять сейсмическим воздействиям без потери эксплуатационных качеств;</w:t>
      </w:r>
    </w:p>
    <w:p w:rsidR="00212513" w:rsidRDefault="00212513">
      <w:pPr>
        <w:pStyle w:val="ConsPlusNormal"/>
        <w:spacing w:before="220"/>
        <w:ind w:firstLine="540"/>
        <w:jc w:val="both"/>
      </w:pPr>
      <w:r>
        <w:rPr>
          <w:b/>
        </w:rPr>
        <w:t>сель (селевой поток):</w:t>
      </w:r>
      <w:r>
        <w:t xml:space="preserve"> Поток, состоящий из воды и значительного количества взвешенных продуктов разрушения горных пород (глина, песок, дресва, обломки горных пород, каменные глыбы);</w:t>
      </w:r>
    </w:p>
    <w:p w:rsidR="00212513" w:rsidRDefault="00212513">
      <w:pPr>
        <w:pStyle w:val="ConsPlusNormal"/>
        <w:jc w:val="both"/>
      </w:pPr>
      <w:r>
        <w:lastRenderedPageBreak/>
        <w:t xml:space="preserve">(термин введен </w:t>
      </w:r>
      <w:hyperlink r:id="rId2855">
        <w:r>
          <w:rPr>
            <w:color w:val="0000FF"/>
          </w:rPr>
          <w:t>Изменением N 3</w:t>
        </w:r>
      </w:hyperlink>
      <w:r>
        <w:t>, утв. Приказом Минстроя России от 29.12.2020 N 891/пр)</w:t>
      </w:r>
    </w:p>
    <w:p w:rsidR="00212513" w:rsidRDefault="00212513">
      <w:pPr>
        <w:pStyle w:val="ConsPlusNormal"/>
        <w:spacing w:before="220"/>
        <w:ind w:firstLine="540"/>
        <w:jc w:val="both"/>
      </w:pPr>
      <w:r>
        <w:rPr>
          <w:b/>
        </w:rPr>
        <w:t>сигнальное перильное ограждение:</w:t>
      </w:r>
      <w:r>
        <w:t xml:space="preserve"> Обустройство, предназначенное для фиксирования границы габарита приближения железнодорожного пути;</w:t>
      </w:r>
    </w:p>
    <w:p w:rsidR="00212513" w:rsidRDefault="00212513">
      <w:pPr>
        <w:pStyle w:val="ConsPlusNormal"/>
        <w:jc w:val="both"/>
      </w:pPr>
      <w:r>
        <w:t xml:space="preserve">(термин введен </w:t>
      </w:r>
      <w:hyperlink r:id="rId2856">
        <w:r>
          <w:rPr>
            <w:color w:val="0000FF"/>
          </w:rPr>
          <w:t>Изменением N 3</w:t>
        </w:r>
      </w:hyperlink>
      <w:r>
        <w:t>, утв. Приказом Минстроя России от 29.12.2020 N 891/пр)</w:t>
      </w:r>
    </w:p>
    <w:p w:rsidR="00212513" w:rsidRDefault="00212513">
      <w:pPr>
        <w:pStyle w:val="ConsPlusNormal"/>
        <w:spacing w:before="220"/>
        <w:ind w:firstLine="540"/>
        <w:jc w:val="both"/>
      </w:pPr>
      <w:r>
        <w:rPr>
          <w:b/>
        </w:rPr>
        <w:t>слой защитно-сцепляющий:</w:t>
      </w:r>
      <w:r>
        <w:t xml:space="preserve"> Элемент дорожной одежды на стальной ортотропной плите моста, обеспечивающий защиту металла от коррозии и сцепление покрытия проезжей части с ортотропной плитой;</w:t>
      </w:r>
    </w:p>
    <w:p w:rsidR="00212513" w:rsidRDefault="00212513">
      <w:pPr>
        <w:pStyle w:val="ConsPlusNormal"/>
        <w:jc w:val="both"/>
      </w:pPr>
      <w:r>
        <w:t xml:space="preserve">(термин введен </w:t>
      </w:r>
      <w:hyperlink r:id="rId2857">
        <w:r>
          <w:rPr>
            <w:color w:val="0000FF"/>
          </w:rPr>
          <w:t>Изменением N 3</w:t>
        </w:r>
      </w:hyperlink>
      <w:r>
        <w:t>, утв. Приказом Минстроя России от 29.12.2020 N 891/пр)</w:t>
      </w:r>
    </w:p>
    <w:p w:rsidR="00212513" w:rsidRDefault="00212513">
      <w:pPr>
        <w:pStyle w:val="ConsPlusNormal"/>
        <w:spacing w:before="220"/>
        <w:ind w:firstLine="540"/>
        <w:jc w:val="both"/>
      </w:pPr>
      <w:r>
        <w:rPr>
          <w:b/>
        </w:rPr>
        <w:t>смотровой ход (наружный, внутренний):</w:t>
      </w:r>
      <w:r>
        <w:t xml:space="preserve"> Постоянное эксплуатационное обустройство, включающее несущие конструкции, настил и перильное ограждение, предназначенное для осмотра, обслуживания и ремонта элементов пролетных строений;</w:t>
      </w:r>
    </w:p>
    <w:p w:rsidR="00212513" w:rsidRDefault="00212513">
      <w:pPr>
        <w:pStyle w:val="ConsPlusNormal"/>
        <w:jc w:val="both"/>
      </w:pPr>
      <w:r>
        <w:t xml:space="preserve">(термин введен </w:t>
      </w:r>
      <w:hyperlink r:id="rId2858">
        <w:r>
          <w:rPr>
            <w:color w:val="0000FF"/>
          </w:rPr>
          <w:t>Изменением N 3</w:t>
        </w:r>
      </w:hyperlink>
      <w:r>
        <w:t>, утв. Приказом Минстроя России от 29.12.2020 N 891/пр)</w:t>
      </w:r>
    </w:p>
    <w:p w:rsidR="00212513" w:rsidRDefault="00212513">
      <w:pPr>
        <w:pStyle w:val="ConsPlusNormal"/>
        <w:spacing w:before="220"/>
        <w:ind w:firstLine="540"/>
        <w:jc w:val="both"/>
      </w:pPr>
      <w:r>
        <w:rPr>
          <w:b/>
        </w:rPr>
        <w:t>сопряжение с подходами:</w:t>
      </w:r>
      <w:r>
        <w:t xml:space="preserve"> Конструктивное выполнение узла примыкания мостового сооружения к насыпи подхода за устоем;</w:t>
      </w:r>
    </w:p>
    <w:p w:rsidR="00212513" w:rsidRDefault="00212513">
      <w:pPr>
        <w:pStyle w:val="ConsPlusNormal"/>
        <w:spacing w:before="220"/>
        <w:ind w:firstLine="540"/>
        <w:jc w:val="both"/>
      </w:pPr>
      <w:r>
        <w:rPr>
          <w:b/>
        </w:rPr>
        <w:t>сплошность бетона:</w:t>
      </w:r>
      <w:r>
        <w:t xml:space="preserve"> Показатель качества укладки, характеризующий непрерывность материала и отсутствие аномальных зон (шлам, пустоты);</w:t>
      </w:r>
    </w:p>
    <w:p w:rsidR="00212513" w:rsidRDefault="00212513">
      <w:pPr>
        <w:pStyle w:val="ConsPlusNormal"/>
        <w:spacing w:before="220"/>
        <w:ind w:firstLine="540"/>
        <w:jc w:val="both"/>
      </w:pPr>
      <w:r>
        <w:rPr>
          <w:b/>
        </w:rPr>
        <w:t>срок службы:</w:t>
      </w:r>
      <w:r>
        <w:t xml:space="preserve"> Календарная продолжительность от начала эксплуатации мостового сооружения или ее возобновления после реконструкции или ремонта до перехода в предельное состояние;</w:t>
      </w:r>
    </w:p>
    <w:p w:rsidR="00212513" w:rsidRDefault="00212513">
      <w:pPr>
        <w:pStyle w:val="ConsPlusNormal"/>
        <w:spacing w:before="220"/>
        <w:ind w:firstLine="540"/>
        <w:jc w:val="both"/>
      </w:pPr>
      <w:r>
        <w:rPr>
          <w:b/>
        </w:rPr>
        <w:t>строительный подъем:</w:t>
      </w:r>
      <w:r>
        <w:t xml:space="preserve"> Выгиб пролетного строения или его конструктивных элементов (главных и продольных балок) по форме, противоположный прогибу от постоянной и определенной части временной нагрузки с целью обеспечения плавности езды транспортных средств;</w:t>
      </w:r>
    </w:p>
    <w:p w:rsidR="00212513" w:rsidRDefault="00212513">
      <w:pPr>
        <w:pStyle w:val="ConsPlusNormal"/>
        <w:spacing w:before="220"/>
        <w:ind w:firstLine="540"/>
        <w:jc w:val="both"/>
      </w:pPr>
      <w:r>
        <w:rPr>
          <w:b/>
        </w:rPr>
        <w:t>технологическая арматура:</w:t>
      </w:r>
      <w:r>
        <w:t xml:space="preserve"> Вспомогательные и поддерживающие конструкции и изделия, изготовленные из арматурной стали и предназначенные для обеспечения проектного положения рабочей арматуры при бетонировании конструкции;</w:t>
      </w:r>
    </w:p>
    <w:p w:rsidR="00212513" w:rsidRDefault="00212513">
      <w:pPr>
        <w:pStyle w:val="ConsPlusNormal"/>
        <w:jc w:val="both"/>
      </w:pPr>
      <w:r>
        <w:t xml:space="preserve">(термин введен </w:t>
      </w:r>
      <w:hyperlink r:id="rId2859">
        <w:r>
          <w:rPr>
            <w:color w:val="0000FF"/>
          </w:rPr>
          <w:t>Изменением N 3</w:t>
        </w:r>
      </w:hyperlink>
      <w:r>
        <w:t>, утв. Приказом Минстроя России от 29.12.2020 N 891/пр)</w:t>
      </w:r>
    </w:p>
    <w:p w:rsidR="00212513" w:rsidRDefault="00212513">
      <w:pPr>
        <w:pStyle w:val="ConsPlusNormal"/>
        <w:spacing w:before="220"/>
        <w:ind w:firstLine="540"/>
        <w:jc w:val="both"/>
      </w:pPr>
      <w:r>
        <w:rPr>
          <w:b/>
        </w:rPr>
        <w:t>трещиностойкость:</w:t>
      </w:r>
      <w:r>
        <w:t xml:space="preserve"> Способность материала конструкции сопротивляться образованию или развитию до заданных пределов в нем трещин под действием нагрузок, технологических и климатических воздействий;</w:t>
      </w:r>
    </w:p>
    <w:p w:rsidR="00212513" w:rsidRDefault="00212513">
      <w:pPr>
        <w:pStyle w:val="ConsPlusNormal"/>
        <w:spacing w:before="220"/>
        <w:ind w:firstLine="540"/>
        <w:jc w:val="both"/>
      </w:pPr>
      <w:r>
        <w:rPr>
          <w:b/>
        </w:rPr>
        <w:t>упругий прокладной слой:</w:t>
      </w:r>
      <w:r>
        <w:t xml:space="preserve"> Прокладной слой, обеспечивающий снижение вибраций и шума;</w:t>
      </w:r>
    </w:p>
    <w:p w:rsidR="00212513" w:rsidRDefault="00212513">
      <w:pPr>
        <w:pStyle w:val="ConsPlusNormal"/>
        <w:jc w:val="both"/>
      </w:pPr>
      <w:r>
        <w:t xml:space="preserve">(термин введен </w:t>
      </w:r>
      <w:hyperlink r:id="rId2860">
        <w:r>
          <w:rPr>
            <w:color w:val="0000FF"/>
          </w:rPr>
          <w:t>Изменением N 4</w:t>
        </w:r>
      </w:hyperlink>
      <w:r>
        <w:t>, утв. Приказом Минстроя России от 30.05.2024 N 361/пр)</w:t>
      </w:r>
    </w:p>
    <w:p w:rsidR="00212513" w:rsidRDefault="00212513">
      <w:pPr>
        <w:pStyle w:val="ConsPlusNormal"/>
        <w:spacing w:before="220"/>
        <w:ind w:firstLine="540"/>
        <w:jc w:val="both"/>
      </w:pPr>
      <w:r>
        <w:rPr>
          <w:b/>
        </w:rPr>
        <w:t>усталость:</w:t>
      </w:r>
      <w:r>
        <w:t xml:space="preserve"> Процесс постепенного накопления повреждений материала под действием переменных напряжений, приводящих к изменению свойств, образованию и развитию трещин и разрушению;</w:t>
      </w:r>
    </w:p>
    <w:p w:rsidR="00212513" w:rsidRDefault="00212513">
      <w:pPr>
        <w:pStyle w:val="ConsPlusNormal"/>
        <w:spacing w:before="220"/>
        <w:ind w:firstLine="540"/>
        <w:jc w:val="both"/>
      </w:pPr>
      <w:r>
        <w:rPr>
          <w:b/>
        </w:rPr>
        <w:t>устой (опора береговая):</w:t>
      </w:r>
      <w:r>
        <w:t xml:space="preserve"> Крайняя опора моста в сопряжении его с геомассивом берегового склона и подходной насыпи, воспринимающая нагрузки от пролетного строения и переходной плиты и давления грунта геомассива берегового склона и насыпи;</w:t>
      </w:r>
    </w:p>
    <w:p w:rsidR="00212513" w:rsidRDefault="00212513">
      <w:pPr>
        <w:pStyle w:val="ConsPlusNormal"/>
        <w:jc w:val="both"/>
      </w:pPr>
      <w:r>
        <w:t xml:space="preserve">(в ред. </w:t>
      </w:r>
      <w:hyperlink r:id="rId2861">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rPr>
          <w:b/>
        </w:rPr>
        <w:t>устой диванного типа:</w:t>
      </w:r>
      <w:r>
        <w:t xml:space="preserve"> Береговая опора в виде уголкового блока (дивана), опирающаяся горизонтальной полкой на грунт насыпи;</w:t>
      </w:r>
    </w:p>
    <w:p w:rsidR="00212513" w:rsidRDefault="00212513">
      <w:pPr>
        <w:pStyle w:val="ConsPlusNormal"/>
        <w:jc w:val="both"/>
      </w:pPr>
      <w:r>
        <w:t xml:space="preserve">(термин введен </w:t>
      </w:r>
      <w:hyperlink r:id="rId2862">
        <w:r>
          <w:rPr>
            <w:color w:val="0000FF"/>
          </w:rPr>
          <w:t>Изменением N 1</w:t>
        </w:r>
      </w:hyperlink>
      <w:r>
        <w:t>, утв. Приказом Минстроя России от 03.12.2016 N 879/пр)</w:t>
      </w:r>
    </w:p>
    <w:p w:rsidR="00212513" w:rsidRDefault="00212513">
      <w:pPr>
        <w:pStyle w:val="ConsPlusNormal"/>
        <w:spacing w:before="220"/>
        <w:ind w:firstLine="540"/>
        <w:jc w:val="both"/>
      </w:pPr>
      <w:r>
        <w:rPr>
          <w:b/>
        </w:rPr>
        <w:lastRenderedPageBreak/>
        <w:t>устой с раздельными функциями:</w:t>
      </w:r>
      <w:r>
        <w:t xml:space="preserve"> Крайняя опора моста, воспринимающая только нагрузки от пролетного строения и переходной плиты. При этом давление грунта воспринимается армогрунтовой системой, полностью изолирующей опору от взаимодействия с грунтом насыпи;</w:t>
      </w:r>
    </w:p>
    <w:p w:rsidR="00212513" w:rsidRDefault="00212513">
      <w:pPr>
        <w:pStyle w:val="ConsPlusNormal"/>
        <w:jc w:val="both"/>
      </w:pPr>
      <w:r>
        <w:t xml:space="preserve">(термин введен </w:t>
      </w:r>
      <w:hyperlink r:id="rId2863">
        <w:r>
          <w:rPr>
            <w:color w:val="0000FF"/>
          </w:rPr>
          <w:t>Изменением N 1</w:t>
        </w:r>
      </w:hyperlink>
      <w:r>
        <w:t>, утв. Приказом Минстроя России от 03.12.2016 N 879/пр)</w:t>
      </w:r>
    </w:p>
    <w:p w:rsidR="00212513" w:rsidRDefault="00212513">
      <w:pPr>
        <w:pStyle w:val="ConsPlusNormal"/>
        <w:spacing w:before="220"/>
        <w:ind w:firstLine="540"/>
        <w:jc w:val="both"/>
      </w:pPr>
      <w:r>
        <w:rPr>
          <w:b/>
        </w:rPr>
        <w:t>хладостойкость:</w:t>
      </w:r>
      <w:r>
        <w:t xml:space="preserve"> Способность материалов, элементов, конструкций и их соединений сопротивляться хрупким разрушениям при низких температурах окружающей среды;</w:t>
      </w:r>
    </w:p>
    <w:p w:rsidR="00212513" w:rsidRDefault="00212513">
      <w:pPr>
        <w:pStyle w:val="ConsPlusNormal"/>
        <w:spacing w:before="220"/>
        <w:ind w:firstLine="540"/>
        <w:jc w:val="both"/>
      </w:pPr>
      <w:r>
        <w:rPr>
          <w:b/>
        </w:rPr>
        <w:t>ширина моста:</w:t>
      </w:r>
      <w:r>
        <w:t xml:space="preserve"> Расстояние между перилами в свету;</w:t>
      </w:r>
    </w:p>
    <w:p w:rsidR="00212513" w:rsidRDefault="00212513">
      <w:pPr>
        <w:pStyle w:val="ConsPlusNormal"/>
        <w:spacing w:before="220"/>
        <w:ind w:firstLine="540"/>
        <w:jc w:val="both"/>
      </w:pPr>
      <w:r>
        <w:rPr>
          <w:b/>
        </w:rPr>
        <w:t>ширина мостового сооружения:</w:t>
      </w:r>
      <w:r>
        <w:t xml:space="preserve"> Расстояние между наружными гранями плиты проезжей части;</w:t>
      </w:r>
    </w:p>
    <w:p w:rsidR="00212513" w:rsidRDefault="00212513">
      <w:pPr>
        <w:pStyle w:val="ConsPlusNormal"/>
        <w:jc w:val="both"/>
      </w:pPr>
      <w:r>
        <w:t xml:space="preserve">(термин введен </w:t>
      </w:r>
      <w:hyperlink r:id="rId2864">
        <w:r>
          <w:rPr>
            <w:color w:val="0000FF"/>
          </w:rPr>
          <w:t>Изменением N 3</w:t>
        </w:r>
      </w:hyperlink>
      <w:r>
        <w:t>, утв. Приказом Минстроя России от 29.12.2020 N 891/пр)</w:t>
      </w:r>
    </w:p>
    <w:p w:rsidR="00212513" w:rsidRDefault="00212513">
      <w:pPr>
        <w:pStyle w:val="ConsPlusNormal"/>
        <w:spacing w:before="220"/>
        <w:ind w:firstLine="540"/>
        <w:jc w:val="both"/>
      </w:pPr>
      <w:r>
        <w:rPr>
          <w:b/>
        </w:rPr>
        <w:t>шов деформационный:</w:t>
      </w:r>
      <w:r>
        <w:t xml:space="preserve"> Зазор между торцами пролетных строений либо торцом пролетного строения и шкафной стенкой устоя или головной частью опоры. Различают: закрытый, в котором зазор закрыт покрытием, уложенным без разрыва; заполненный, в котором зазор выполнен герметизирующим материалом (например, жгутом из пористой резины или мастикой), деформирующимся при перемещениях (покрытие выполнено с разрывом) пролетного строения; перекрытый, в котором зазор между сопрягаемыми элементами в уровне верха проезжей части перекрыт скользящим листом или резиновыми компенсаторами.</w:t>
      </w: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jc w:val="right"/>
        <w:outlineLvl w:val="0"/>
      </w:pPr>
      <w:r>
        <w:rPr>
          <w:b/>
        </w:rPr>
        <w:t>Приложение В</w:t>
      </w:r>
    </w:p>
    <w:p w:rsidR="00212513" w:rsidRDefault="00212513">
      <w:pPr>
        <w:pStyle w:val="ConsPlusNormal"/>
        <w:jc w:val="right"/>
      </w:pPr>
      <w:r>
        <w:rPr>
          <w:b/>
        </w:rPr>
        <w:t>(справочное)</w:t>
      </w:r>
    </w:p>
    <w:p w:rsidR="00212513" w:rsidRDefault="00212513">
      <w:pPr>
        <w:pStyle w:val="ConsPlusNormal"/>
        <w:ind w:firstLine="540"/>
        <w:jc w:val="both"/>
      </w:pPr>
    </w:p>
    <w:p w:rsidR="00212513" w:rsidRDefault="00212513">
      <w:pPr>
        <w:pStyle w:val="ConsPlusTitle"/>
        <w:jc w:val="center"/>
      </w:pPr>
      <w:bookmarkStart w:id="470" w:name="P11696"/>
      <w:bookmarkEnd w:id="470"/>
      <w:r>
        <w:t>ОБОЗНАЧЕНИЯ</w:t>
      </w:r>
    </w:p>
    <w:p w:rsidR="00212513" w:rsidRDefault="00212513">
      <w:pPr>
        <w:pStyle w:val="ConsPlusNormal"/>
        <w:ind w:firstLine="540"/>
        <w:jc w:val="both"/>
      </w:pPr>
    </w:p>
    <w:p w:rsidR="00212513" w:rsidRDefault="00212513">
      <w:pPr>
        <w:pStyle w:val="ConsPlusNormal"/>
        <w:jc w:val="center"/>
      </w:pPr>
      <w:r>
        <w:rPr>
          <w:b/>
        </w:rPr>
        <w:t xml:space="preserve">В </w:t>
      </w:r>
      <w:hyperlink w:anchor="P90">
        <w:r>
          <w:rPr>
            <w:b/>
            <w:color w:val="0000FF"/>
          </w:rPr>
          <w:t>разделе 5</w:t>
        </w:r>
      </w:hyperlink>
      <w:r>
        <w:rPr>
          <w:b/>
        </w:rPr>
        <w:t xml:space="preserve"> "Основные положения"</w:t>
      </w:r>
    </w:p>
    <w:p w:rsidR="00212513" w:rsidRDefault="00212513">
      <w:pPr>
        <w:pStyle w:val="ConsPlusNormal"/>
        <w:ind w:firstLine="540"/>
        <w:jc w:val="both"/>
      </w:pPr>
    </w:p>
    <w:p w:rsidR="00212513" w:rsidRDefault="00212513">
      <w:pPr>
        <w:pStyle w:val="ConsPlusNormal"/>
        <w:ind w:firstLine="540"/>
        <w:jc w:val="both"/>
      </w:pPr>
      <w:r>
        <w:rPr>
          <w:noProof/>
          <w:position w:val="-8"/>
        </w:rPr>
        <w:drawing>
          <wp:inline distT="0" distB="0" distL="0" distR="0">
            <wp:extent cx="262890" cy="251460"/>
            <wp:effectExtent l="0" t="0" r="0" b="0"/>
            <wp:docPr id="20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5"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момент опрокидывающих сил;</w:t>
      </w:r>
    </w:p>
    <w:p w:rsidR="00212513" w:rsidRDefault="00212513">
      <w:pPr>
        <w:pStyle w:val="ConsPlusNormal"/>
        <w:spacing w:before="220"/>
        <w:ind w:firstLine="540"/>
        <w:jc w:val="both"/>
      </w:pPr>
      <w:r>
        <w:rPr>
          <w:noProof/>
          <w:position w:val="-8"/>
        </w:rPr>
        <w:drawing>
          <wp:inline distT="0" distB="0" distL="0" distR="0">
            <wp:extent cx="262890" cy="251460"/>
            <wp:effectExtent l="0" t="0" r="0" b="0"/>
            <wp:docPr id="20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6"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момент удерживающих сил;</w:t>
      </w:r>
    </w:p>
    <w:p w:rsidR="00212513" w:rsidRDefault="00212513">
      <w:pPr>
        <w:pStyle w:val="ConsPlusNormal"/>
        <w:spacing w:before="220"/>
        <w:ind w:firstLine="540"/>
        <w:jc w:val="both"/>
      </w:pPr>
      <w:r>
        <w:rPr>
          <w:noProof/>
          <w:position w:val="-8"/>
        </w:rPr>
        <w:drawing>
          <wp:inline distT="0" distB="0" distL="0" distR="0">
            <wp:extent cx="209550" cy="251460"/>
            <wp:effectExtent l="0" t="0" r="0" b="0"/>
            <wp:docPr id="20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сдвигающая сила;</w:t>
      </w:r>
    </w:p>
    <w:p w:rsidR="00212513" w:rsidRDefault="00212513">
      <w:pPr>
        <w:pStyle w:val="ConsPlusNormal"/>
        <w:spacing w:before="220"/>
        <w:ind w:firstLine="540"/>
        <w:jc w:val="both"/>
      </w:pPr>
      <w:r>
        <w:rPr>
          <w:noProof/>
          <w:position w:val="-8"/>
        </w:rPr>
        <w:drawing>
          <wp:inline distT="0" distB="0" distL="0" distR="0">
            <wp:extent cx="209550" cy="251460"/>
            <wp:effectExtent l="0" t="0" r="0" b="0"/>
            <wp:docPr id="20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удерживающая сила;</w:t>
      </w:r>
    </w:p>
    <w:p w:rsidR="00212513" w:rsidRDefault="00212513">
      <w:pPr>
        <w:pStyle w:val="ConsPlusNormal"/>
        <w:spacing w:before="220"/>
        <w:ind w:firstLine="540"/>
        <w:jc w:val="both"/>
      </w:pPr>
      <w:r>
        <w:rPr>
          <w:i/>
        </w:rPr>
        <w:t>l</w:t>
      </w:r>
      <w:r>
        <w:t xml:space="preserve"> - расчетный пролет;</w:t>
      </w:r>
    </w:p>
    <w:p w:rsidR="00212513" w:rsidRDefault="00212513">
      <w:pPr>
        <w:pStyle w:val="ConsPlusNormal"/>
        <w:spacing w:before="220"/>
        <w:ind w:firstLine="540"/>
        <w:jc w:val="both"/>
      </w:pPr>
      <w:r>
        <w:rPr>
          <w:i/>
        </w:rPr>
        <w:t>h</w:t>
      </w:r>
      <w:r>
        <w:t xml:space="preserve"> - высота;</w:t>
      </w:r>
    </w:p>
    <w:p w:rsidR="00212513" w:rsidRDefault="00212513">
      <w:pPr>
        <w:pStyle w:val="ConsPlusNormal"/>
        <w:spacing w:before="220"/>
        <w:ind w:firstLine="540"/>
        <w:jc w:val="both"/>
      </w:pPr>
      <w:r>
        <w:rPr>
          <w:noProof/>
          <w:position w:val="-6"/>
        </w:rPr>
        <w:drawing>
          <wp:inline distT="0" distB="0" distL="0" distR="0">
            <wp:extent cx="367030" cy="220980"/>
            <wp:effectExtent l="0" t="0" r="0" b="0"/>
            <wp:docPr id="20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9" cstate="print">
                      <a:extLst>
                        <a:ext uri="{28A0092B-C50C-407E-A947-70E740481C1C}">
                          <a14:useLocalDpi xmlns:a14="http://schemas.microsoft.com/office/drawing/2010/main" val="0"/>
                        </a:ext>
                      </a:extLst>
                    </a:blip>
                    <a:srcRect/>
                    <a:stretch>
                      <a:fillRect/>
                    </a:stretch>
                  </pic:blipFill>
                  <pic:spPr bwMode="auto">
                    <a:xfrm>
                      <a:off x="0" y="0"/>
                      <a:ext cx="367030" cy="220980"/>
                    </a:xfrm>
                    <a:prstGeom prst="rect">
                      <a:avLst/>
                    </a:prstGeom>
                    <a:noFill/>
                    <a:ln>
                      <a:noFill/>
                    </a:ln>
                  </pic:spPr>
                </pic:pic>
              </a:graphicData>
            </a:graphic>
          </wp:inline>
        </w:drawing>
      </w:r>
      <w:r>
        <w:t xml:space="preserve"> - динамический коэффициент;</w:t>
      </w:r>
    </w:p>
    <w:p w:rsidR="00212513" w:rsidRDefault="00212513">
      <w:pPr>
        <w:pStyle w:val="ConsPlusNormal"/>
        <w:spacing w:before="220"/>
        <w:ind w:firstLine="540"/>
        <w:jc w:val="both"/>
      </w:pPr>
      <w:r>
        <w:rPr>
          <w:i/>
        </w:rPr>
        <w:t>m</w:t>
      </w:r>
      <w:r>
        <w:t xml:space="preserve"> - коэффициент условий работы;</w:t>
      </w:r>
    </w:p>
    <w:p w:rsidR="00212513" w:rsidRDefault="00212513">
      <w:pPr>
        <w:pStyle w:val="ConsPlusNormal"/>
        <w:spacing w:before="220"/>
        <w:ind w:firstLine="540"/>
        <w:jc w:val="both"/>
      </w:pPr>
      <w:r>
        <w:rPr>
          <w:noProof/>
          <w:position w:val="-8"/>
        </w:rPr>
        <w:drawing>
          <wp:inline distT="0" distB="0" distL="0" distR="0">
            <wp:extent cx="177800" cy="251460"/>
            <wp:effectExtent l="0" t="0" r="0" b="0"/>
            <wp:docPr id="20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0"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коэффициент надежности по назначению;</w:t>
      </w:r>
    </w:p>
    <w:p w:rsidR="00212513" w:rsidRDefault="00212513">
      <w:pPr>
        <w:pStyle w:val="ConsPlusNormal"/>
        <w:spacing w:before="220"/>
        <w:ind w:firstLine="540"/>
        <w:jc w:val="both"/>
      </w:pPr>
      <w:r>
        <w:rPr>
          <w:noProof/>
          <w:position w:val="-9"/>
        </w:rPr>
        <w:drawing>
          <wp:inline distT="0" distB="0" distL="0" distR="0">
            <wp:extent cx="209550" cy="262890"/>
            <wp:effectExtent l="0" t="0" r="0" b="0"/>
            <wp:docPr id="20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1"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 коэффициент надежности по нагрузке.</w:t>
      </w:r>
    </w:p>
    <w:p w:rsidR="00212513" w:rsidRDefault="00212513">
      <w:pPr>
        <w:pStyle w:val="ConsPlusNormal"/>
        <w:ind w:firstLine="540"/>
        <w:jc w:val="both"/>
      </w:pPr>
    </w:p>
    <w:p w:rsidR="00212513" w:rsidRDefault="00212513">
      <w:pPr>
        <w:pStyle w:val="ConsPlusNormal"/>
        <w:jc w:val="center"/>
      </w:pPr>
      <w:r>
        <w:rPr>
          <w:b/>
        </w:rPr>
        <w:lastRenderedPageBreak/>
        <w:t xml:space="preserve">В </w:t>
      </w:r>
      <w:hyperlink w:anchor="P878">
        <w:r>
          <w:rPr>
            <w:b/>
            <w:color w:val="0000FF"/>
          </w:rPr>
          <w:t>разделе 6</w:t>
        </w:r>
      </w:hyperlink>
      <w:r>
        <w:rPr>
          <w:b/>
        </w:rPr>
        <w:t xml:space="preserve"> "Нагрузки и воздействия"</w:t>
      </w:r>
    </w:p>
    <w:p w:rsidR="00212513" w:rsidRDefault="00212513">
      <w:pPr>
        <w:pStyle w:val="ConsPlusNormal"/>
        <w:ind w:firstLine="540"/>
        <w:jc w:val="both"/>
      </w:pPr>
    </w:p>
    <w:p w:rsidR="00212513" w:rsidRDefault="00212513">
      <w:pPr>
        <w:pStyle w:val="ConsPlusNormal"/>
        <w:ind w:firstLine="540"/>
        <w:jc w:val="both"/>
      </w:pPr>
      <w:r>
        <w:rPr>
          <w:i/>
        </w:rPr>
        <w:t>A</w:t>
      </w:r>
      <w:r>
        <w:t xml:space="preserve"> - площадь;</w:t>
      </w:r>
    </w:p>
    <w:p w:rsidR="00212513" w:rsidRDefault="00212513">
      <w:pPr>
        <w:pStyle w:val="ConsPlusNormal"/>
        <w:spacing w:before="220"/>
        <w:ind w:firstLine="540"/>
        <w:jc w:val="both"/>
      </w:pPr>
      <w:r>
        <w:rPr>
          <w:i/>
        </w:rPr>
        <w:t>P</w:t>
      </w:r>
      <w:r>
        <w:t xml:space="preserve"> - сосредоточенная вертикальная нагрузка;</w:t>
      </w:r>
    </w:p>
    <w:p w:rsidR="00212513" w:rsidRDefault="00212513">
      <w:pPr>
        <w:pStyle w:val="ConsPlusNormal"/>
        <w:spacing w:before="220"/>
        <w:ind w:firstLine="540"/>
        <w:jc w:val="both"/>
      </w:pPr>
      <w:r>
        <w:rPr>
          <w:noProof/>
          <w:position w:val="-8"/>
        </w:rPr>
        <w:drawing>
          <wp:inline distT="0" distB="0" distL="0" distR="0">
            <wp:extent cx="198755" cy="250825"/>
            <wp:effectExtent l="0" t="0" r="0" b="0"/>
            <wp:docPr id="20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2"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сосредоточенная горизонтальная поперечная сила;</w:t>
      </w:r>
    </w:p>
    <w:p w:rsidR="00212513" w:rsidRDefault="00212513">
      <w:pPr>
        <w:pStyle w:val="ConsPlusNormal"/>
        <w:spacing w:before="220"/>
        <w:ind w:firstLine="540"/>
        <w:jc w:val="both"/>
      </w:pPr>
      <w:r>
        <w:rPr>
          <w:i/>
        </w:rPr>
        <w:t>M</w:t>
      </w:r>
      <w:r>
        <w:t xml:space="preserve"> - момент силы;</w:t>
      </w:r>
    </w:p>
    <w:p w:rsidR="00212513" w:rsidRDefault="00212513">
      <w:pPr>
        <w:pStyle w:val="ConsPlusNormal"/>
        <w:spacing w:before="220"/>
        <w:ind w:firstLine="540"/>
        <w:jc w:val="both"/>
      </w:pPr>
      <w:r>
        <w:rPr>
          <w:i/>
        </w:rPr>
        <w:t>G</w:t>
      </w:r>
      <w:r>
        <w:t xml:space="preserve"> - модуль сдвига;</w:t>
      </w:r>
    </w:p>
    <w:p w:rsidR="00212513" w:rsidRDefault="00212513">
      <w:pPr>
        <w:pStyle w:val="ConsPlusNormal"/>
        <w:spacing w:before="220"/>
        <w:ind w:firstLine="540"/>
        <w:jc w:val="both"/>
      </w:pPr>
      <w:r>
        <w:rPr>
          <w:noProof/>
          <w:position w:val="-9"/>
        </w:rPr>
        <w:drawing>
          <wp:inline distT="0" distB="0" distL="0" distR="0">
            <wp:extent cx="209550" cy="262890"/>
            <wp:effectExtent l="0" t="0" r="0" b="0"/>
            <wp:docPr id="20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3"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 сила сопротивления вследствие трения;</w:t>
      </w:r>
    </w:p>
    <w:p w:rsidR="00212513" w:rsidRDefault="00212513">
      <w:pPr>
        <w:pStyle w:val="ConsPlusNormal"/>
        <w:spacing w:before="220"/>
        <w:ind w:firstLine="540"/>
        <w:jc w:val="both"/>
      </w:pPr>
      <w:r>
        <w:rPr>
          <w:noProof/>
          <w:position w:val="-8"/>
        </w:rPr>
        <w:drawing>
          <wp:inline distT="0" distB="0" distL="0" distR="0">
            <wp:extent cx="198755" cy="250825"/>
            <wp:effectExtent l="0" t="0" r="0" b="0"/>
            <wp:docPr id="20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4"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величина реактивного сопротивления резиновых опорных частей;</w:t>
      </w:r>
    </w:p>
    <w:p w:rsidR="00212513" w:rsidRDefault="00212513">
      <w:pPr>
        <w:pStyle w:val="ConsPlusNormal"/>
        <w:spacing w:before="220"/>
        <w:ind w:firstLine="540"/>
        <w:jc w:val="both"/>
      </w:pPr>
      <w:r>
        <w:rPr>
          <w:i/>
        </w:rPr>
        <w:t>T</w:t>
      </w:r>
      <w:r>
        <w:t xml:space="preserve"> - период;</w:t>
      </w:r>
    </w:p>
    <w:p w:rsidR="00212513" w:rsidRDefault="00212513">
      <w:pPr>
        <w:pStyle w:val="ConsPlusNormal"/>
        <w:spacing w:before="220"/>
        <w:ind w:firstLine="540"/>
        <w:jc w:val="both"/>
      </w:pPr>
      <w:r>
        <w:rPr>
          <w:i/>
        </w:rPr>
        <w:t>p</w:t>
      </w:r>
      <w:r>
        <w:t xml:space="preserve"> - интенсивность временной вертикальной нагрузки от пешеходов;</w:t>
      </w:r>
    </w:p>
    <w:p w:rsidR="00212513" w:rsidRDefault="00212513">
      <w:pPr>
        <w:pStyle w:val="ConsPlusNormal"/>
        <w:spacing w:before="220"/>
        <w:ind w:firstLine="540"/>
        <w:jc w:val="both"/>
      </w:pPr>
      <w:r>
        <w:rPr>
          <w:noProof/>
          <w:position w:val="-8"/>
        </w:rPr>
        <w:drawing>
          <wp:inline distT="0" distB="0" distL="0" distR="0">
            <wp:extent cx="209550" cy="251460"/>
            <wp:effectExtent l="0" t="0" r="0" b="0"/>
            <wp:docPr id="20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вертикальное давление от веса насыпи;</w:t>
      </w:r>
    </w:p>
    <w:p w:rsidR="00212513" w:rsidRDefault="00212513">
      <w:pPr>
        <w:pStyle w:val="ConsPlusNormal"/>
        <w:spacing w:before="220"/>
        <w:ind w:firstLine="540"/>
        <w:jc w:val="both"/>
      </w:pPr>
      <w:r>
        <w:rPr>
          <w:noProof/>
        </w:rPr>
        <w:drawing>
          <wp:inline distT="0" distB="0" distL="0" distR="0">
            <wp:extent cx="146685" cy="146050"/>
            <wp:effectExtent l="0" t="0" r="0" b="0"/>
            <wp:docPr id="20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6"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xml:space="preserve"> - интенсивность эквивалентной нагрузки от вертикального воздействия временной подвижной нагрузки;</w:t>
      </w:r>
    </w:p>
    <w:p w:rsidR="00212513" w:rsidRDefault="00212513">
      <w:pPr>
        <w:pStyle w:val="ConsPlusNormal"/>
        <w:spacing w:before="220"/>
        <w:ind w:firstLine="540"/>
        <w:jc w:val="both"/>
      </w:pPr>
      <w:r>
        <w:rPr>
          <w:noProof/>
          <w:position w:val="-8"/>
        </w:rPr>
        <w:drawing>
          <wp:inline distT="0" distB="0" distL="0" distR="0">
            <wp:extent cx="177800" cy="251460"/>
            <wp:effectExtent l="0" t="0" r="0" b="0"/>
            <wp:docPr id="20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7"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интенсивность горизонтальной распределенной нагрузки;</w:t>
      </w:r>
    </w:p>
    <w:p w:rsidR="00212513" w:rsidRDefault="00212513">
      <w:pPr>
        <w:pStyle w:val="ConsPlusNormal"/>
        <w:spacing w:before="220"/>
        <w:ind w:firstLine="540"/>
        <w:jc w:val="both"/>
      </w:pPr>
      <w:r>
        <w:rPr>
          <w:noProof/>
          <w:position w:val="-3"/>
        </w:rPr>
        <w:drawing>
          <wp:inline distT="0" distB="0" distL="0" distR="0">
            <wp:extent cx="167640" cy="177800"/>
            <wp:effectExtent l="0" t="0" r="0" b="0"/>
            <wp:docPr id="20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8"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линейная нагрузка при определении давления на звенья труб;</w:t>
      </w:r>
    </w:p>
    <w:p w:rsidR="00212513" w:rsidRDefault="00212513">
      <w:pPr>
        <w:pStyle w:val="ConsPlusNormal"/>
        <w:spacing w:before="220"/>
        <w:ind w:firstLine="540"/>
        <w:jc w:val="both"/>
      </w:pPr>
      <w:r>
        <w:rPr>
          <w:i/>
        </w:rPr>
        <w:t>u</w:t>
      </w:r>
      <w:r>
        <w:t xml:space="preserve"> - величина, определяющая интенсивность горизонтальной распределенной нагрузки;</w:t>
      </w:r>
    </w:p>
    <w:p w:rsidR="00212513" w:rsidRDefault="00212513">
      <w:pPr>
        <w:pStyle w:val="ConsPlusNormal"/>
        <w:spacing w:before="220"/>
        <w:ind w:firstLine="540"/>
        <w:jc w:val="both"/>
      </w:pPr>
      <w:r>
        <w:rPr>
          <w:noProof/>
          <w:position w:val="-8"/>
        </w:rPr>
        <w:drawing>
          <wp:inline distT="0" distB="0" distL="0" distR="0">
            <wp:extent cx="177800" cy="251460"/>
            <wp:effectExtent l="0" t="0" r="0" b="0"/>
            <wp:docPr id="20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9"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интенсивность скоростного напора ветра;</w:t>
      </w:r>
    </w:p>
    <w:p w:rsidR="00212513" w:rsidRDefault="00212513">
      <w:pPr>
        <w:pStyle w:val="ConsPlusNormal"/>
        <w:spacing w:before="220"/>
        <w:ind w:firstLine="540"/>
        <w:jc w:val="both"/>
      </w:pPr>
      <w:r>
        <w:rPr>
          <w:noProof/>
          <w:position w:val="-8"/>
        </w:rPr>
        <w:drawing>
          <wp:inline distT="0" distB="0" distL="0" distR="0">
            <wp:extent cx="177800" cy="251460"/>
            <wp:effectExtent l="0" t="0" r="0" b="0"/>
            <wp:docPr id="20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0"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нормативный удельный вес грунта;</w:t>
      </w:r>
    </w:p>
    <w:p w:rsidR="00212513" w:rsidRDefault="00212513">
      <w:pPr>
        <w:pStyle w:val="ConsPlusNormal"/>
        <w:spacing w:before="220"/>
        <w:ind w:firstLine="540"/>
        <w:jc w:val="both"/>
      </w:pPr>
      <w:r>
        <w:rPr>
          <w:noProof/>
          <w:position w:val="-8"/>
        </w:rPr>
        <w:drawing>
          <wp:inline distT="0" distB="0" distL="0" distR="0">
            <wp:extent cx="220980" cy="251460"/>
            <wp:effectExtent l="0" t="0" r="0" b="0"/>
            <wp:docPr id="20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1"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удельный вес перевозимой породы;</w:t>
      </w:r>
    </w:p>
    <w:p w:rsidR="00212513" w:rsidRDefault="00212513">
      <w:pPr>
        <w:pStyle w:val="ConsPlusNormal"/>
        <w:spacing w:before="220"/>
        <w:ind w:firstLine="540"/>
        <w:jc w:val="both"/>
      </w:pPr>
      <w:r>
        <w:rPr>
          <w:noProof/>
          <w:position w:val="-8"/>
        </w:rPr>
        <w:drawing>
          <wp:inline distT="0" distB="0" distL="0" distR="0">
            <wp:extent cx="156845" cy="251460"/>
            <wp:effectExtent l="0" t="0" r="0" b="0"/>
            <wp:docPr id="20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2"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 наибольшая установленная скорость;</w:t>
      </w:r>
    </w:p>
    <w:p w:rsidR="00212513" w:rsidRDefault="00212513">
      <w:pPr>
        <w:pStyle w:val="ConsPlusNormal"/>
        <w:spacing w:before="220"/>
        <w:ind w:firstLine="540"/>
        <w:jc w:val="both"/>
      </w:pPr>
      <w:r>
        <w:rPr>
          <w:noProof/>
          <w:position w:val="-4"/>
        </w:rPr>
        <w:drawing>
          <wp:inline distT="0" distB="0" distL="0" distR="0">
            <wp:extent cx="156845" cy="198755"/>
            <wp:effectExtent l="0" t="0" r="0" b="0"/>
            <wp:docPr id="20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3"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 длина загружения линии влияния;</w:t>
      </w:r>
    </w:p>
    <w:p w:rsidR="00212513" w:rsidRDefault="00212513">
      <w:pPr>
        <w:pStyle w:val="ConsPlusNormal"/>
        <w:spacing w:before="220"/>
        <w:ind w:firstLine="540"/>
        <w:jc w:val="both"/>
      </w:pPr>
      <w:r>
        <w:rPr>
          <w:noProof/>
          <w:position w:val="-1"/>
        </w:rPr>
        <w:drawing>
          <wp:inline distT="0" distB="0" distL="0" distR="0">
            <wp:extent cx="167640" cy="156845"/>
            <wp:effectExtent l="0" t="0" r="0" b="0"/>
            <wp:docPr id="20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4"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 проекция наименьшего расстояния от вершины до конца линии влияния;</w:t>
      </w:r>
    </w:p>
    <w:p w:rsidR="00212513" w:rsidRDefault="00212513">
      <w:pPr>
        <w:pStyle w:val="ConsPlusNormal"/>
        <w:spacing w:before="220"/>
        <w:ind w:firstLine="540"/>
        <w:jc w:val="both"/>
      </w:pPr>
      <w:r>
        <w:rPr>
          <w:i/>
        </w:rPr>
        <w:t>a</w:t>
      </w:r>
      <w:r>
        <w:t xml:space="preserve"> - суммарная толщина слоев резины в опорных частях;</w:t>
      </w:r>
    </w:p>
    <w:p w:rsidR="00212513" w:rsidRDefault="00212513">
      <w:pPr>
        <w:pStyle w:val="ConsPlusNormal"/>
        <w:spacing w:before="220"/>
        <w:ind w:firstLine="540"/>
        <w:jc w:val="both"/>
      </w:pPr>
      <w:r>
        <w:rPr>
          <w:i/>
        </w:rPr>
        <w:t>h</w:t>
      </w:r>
      <w:r>
        <w:t xml:space="preserve">, </w:t>
      </w:r>
      <w:r>
        <w:rPr>
          <w:noProof/>
          <w:position w:val="-8"/>
        </w:rPr>
        <w:drawing>
          <wp:inline distT="0" distB="0" distL="0" distR="0">
            <wp:extent cx="177800" cy="251460"/>
            <wp:effectExtent l="0" t="0" r="0" b="0"/>
            <wp:docPr id="20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5"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высота засыпки труб;</w:t>
      </w:r>
    </w:p>
    <w:p w:rsidR="00212513" w:rsidRDefault="00212513">
      <w:pPr>
        <w:pStyle w:val="ConsPlusNormal"/>
        <w:spacing w:before="220"/>
        <w:ind w:firstLine="540"/>
        <w:jc w:val="both"/>
      </w:pPr>
      <w:r>
        <w:rPr>
          <w:i/>
        </w:rPr>
        <w:t>d</w:t>
      </w:r>
      <w:r>
        <w:t xml:space="preserve"> - диаметр;</w:t>
      </w:r>
    </w:p>
    <w:p w:rsidR="00212513" w:rsidRDefault="00212513">
      <w:pPr>
        <w:pStyle w:val="ConsPlusNormal"/>
        <w:spacing w:before="220"/>
        <w:ind w:firstLine="540"/>
        <w:jc w:val="both"/>
      </w:pPr>
      <w:r>
        <w:rPr>
          <w:i/>
        </w:rPr>
        <w:t>r</w:t>
      </w:r>
      <w:r>
        <w:t xml:space="preserve"> - радиус;</w:t>
      </w:r>
    </w:p>
    <w:p w:rsidR="00212513" w:rsidRDefault="00212513">
      <w:pPr>
        <w:pStyle w:val="ConsPlusNormal"/>
        <w:spacing w:before="220"/>
        <w:ind w:firstLine="540"/>
        <w:jc w:val="both"/>
      </w:pPr>
      <w:r>
        <w:rPr>
          <w:noProof/>
          <w:position w:val="-4"/>
        </w:rPr>
        <w:drawing>
          <wp:inline distT="0" distB="0" distL="0" distR="0">
            <wp:extent cx="156845" cy="198755"/>
            <wp:effectExtent l="0" t="0" r="0" b="0"/>
            <wp:docPr id="20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6"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 перемещение в опорных частях;</w:t>
      </w:r>
    </w:p>
    <w:p w:rsidR="00212513" w:rsidRDefault="00212513">
      <w:pPr>
        <w:pStyle w:val="ConsPlusNormal"/>
        <w:spacing w:before="220"/>
        <w:ind w:firstLine="540"/>
        <w:jc w:val="both"/>
      </w:pPr>
      <w:r>
        <w:rPr>
          <w:i/>
        </w:rPr>
        <w:lastRenderedPageBreak/>
        <w:t>f</w:t>
      </w:r>
      <w:r>
        <w:t xml:space="preserve"> - стрела арки;</w:t>
      </w:r>
    </w:p>
    <w:p w:rsidR="00212513" w:rsidRDefault="00212513">
      <w:pPr>
        <w:pStyle w:val="ConsPlusNormal"/>
        <w:spacing w:before="220"/>
        <w:ind w:firstLine="540"/>
        <w:jc w:val="both"/>
      </w:pPr>
      <w:r>
        <w:rPr>
          <w:i/>
        </w:rPr>
        <w:t>c</w:t>
      </w:r>
      <w:r>
        <w:t xml:space="preserve"> - длина соприкасания колес нагрузки с проезжей частью;</w:t>
      </w:r>
    </w:p>
    <w:p w:rsidR="00212513" w:rsidRDefault="00212513">
      <w:pPr>
        <w:pStyle w:val="ConsPlusNormal"/>
        <w:spacing w:before="220"/>
        <w:ind w:firstLine="540"/>
        <w:jc w:val="both"/>
      </w:pPr>
      <w:r>
        <w:rPr>
          <w:noProof/>
          <w:position w:val="-8"/>
        </w:rPr>
        <w:drawing>
          <wp:inline distT="0" distB="0" distL="0" distR="0">
            <wp:extent cx="198755" cy="250825"/>
            <wp:effectExtent l="0" t="0" r="0" b="0"/>
            <wp:docPr id="20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7"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нормативный угол внутреннего трения грунта;</w:t>
      </w:r>
    </w:p>
    <w:p w:rsidR="00212513" w:rsidRDefault="00212513">
      <w:pPr>
        <w:pStyle w:val="ConsPlusNormal"/>
        <w:spacing w:before="220"/>
        <w:ind w:firstLine="540"/>
        <w:jc w:val="both"/>
      </w:pPr>
      <w:r>
        <w:rPr>
          <w:noProof/>
          <w:position w:val="-8"/>
        </w:rPr>
        <w:drawing>
          <wp:inline distT="0" distB="0" distL="0" distR="0">
            <wp:extent cx="177800" cy="251460"/>
            <wp:effectExtent l="0" t="0" r="0" b="0"/>
            <wp:docPr id="20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8"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предельная относительная деформация усадки бетона;</w:t>
      </w:r>
    </w:p>
    <w:p w:rsidR="00212513" w:rsidRDefault="00212513">
      <w:pPr>
        <w:pStyle w:val="ConsPlusNormal"/>
        <w:spacing w:before="220"/>
        <w:ind w:firstLine="540"/>
        <w:jc w:val="both"/>
      </w:pPr>
      <w:r>
        <w:rPr>
          <w:noProof/>
          <w:position w:val="-8"/>
        </w:rPr>
        <w:drawing>
          <wp:inline distT="0" distB="0" distL="0" distR="0">
            <wp:extent cx="177800" cy="251460"/>
            <wp:effectExtent l="0" t="0" r="0" b="0"/>
            <wp:docPr id="20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9"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удельная деформация ползучести бетона;</w:t>
      </w:r>
    </w:p>
    <w:p w:rsidR="00212513" w:rsidRDefault="00212513">
      <w:pPr>
        <w:pStyle w:val="ConsPlusNormal"/>
        <w:spacing w:before="220"/>
        <w:ind w:firstLine="540"/>
        <w:jc w:val="both"/>
      </w:pPr>
      <w:r>
        <w:rPr>
          <w:i/>
        </w:rPr>
        <w:t>t</w:t>
      </w:r>
      <w:r>
        <w:t xml:space="preserve"> - температура;</w:t>
      </w:r>
    </w:p>
    <w:p w:rsidR="00212513" w:rsidRDefault="00212513">
      <w:pPr>
        <w:pStyle w:val="ConsPlusNormal"/>
        <w:spacing w:before="220"/>
        <w:ind w:firstLine="540"/>
        <w:jc w:val="both"/>
      </w:pPr>
      <w:r>
        <w:rPr>
          <w:noProof/>
          <w:position w:val="-9"/>
        </w:rPr>
        <w:drawing>
          <wp:inline distT="0" distB="0" distL="0" distR="0">
            <wp:extent cx="251460" cy="262890"/>
            <wp:effectExtent l="0" t="0" r="0" b="0"/>
            <wp:docPr id="20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0"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 максимальная положительная температура;</w:t>
      </w:r>
    </w:p>
    <w:p w:rsidR="00212513" w:rsidRDefault="00212513">
      <w:pPr>
        <w:pStyle w:val="ConsPlusNormal"/>
        <w:spacing w:before="220"/>
        <w:ind w:firstLine="540"/>
        <w:jc w:val="both"/>
      </w:pPr>
      <w:r>
        <w:rPr>
          <w:noProof/>
          <w:position w:val="-9"/>
        </w:rPr>
        <w:drawing>
          <wp:inline distT="0" distB="0" distL="0" distR="0">
            <wp:extent cx="241935" cy="262890"/>
            <wp:effectExtent l="0" t="0" r="0" b="0"/>
            <wp:docPr id="20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1" cstate="print">
                      <a:extLst>
                        <a:ext uri="{28A0092B-C50C-407E-A947-70E740481C1C}">
                          <a14:useLocalDpi xmlns:a14="http://schemas.microsoft.com/office/drawing/2010/main" val="0"/>
                        </a:ext>
                      </a:extLst>
                    </a:blip>
                    <a:srcRect/>
                    <a:stretch>
                      <a:fillRect/>
                    </a:stretch>
                  </pic:blipFill>
                  <pic:spPr bwMode="auto">
                    <a:xfrm>
                      <a:off x="0" y="0"/>
                      <a:ext cx="241935" cy="262890"/>
                    </a:xfrm>
                    <a:prstGeom prst="rect">
                      <a:avLst/>
                    </a:prstGeom>
                    <a:noFill/>
                    <a:ln>
                      <a:noFill/>
                    </a:ln>
                  </pic:spPr>
                </pic:pic>
              </a:graphicData>
            </a:graphic>
          </wp:inline>
        </w:drawing>
      </w:r>
      <w:r>
        <w:t xml:space="preserve"> - наименьшая отрицательная температура;</w:t>
      </w:r>
    </w:p>
    <w:p w:rsidR="00212513" w:rsidRDefault="00212513">
      <w:pPr>
        <w:pStyle w:val="ConsPlusNormal"/>
        <w:spacing w:before="220"/>
        <w:ind w:firstLine="540"/>
        <w:jc w:val="both"/>
      </w:pPr>
      <w:r>
        <w:rPr>
          <w:noProof/>
          <w:position w:val="-8"/>
        </w:rPr>
        <w:drawing>
          <wp:inline distT="0" distB="0" distL="0" distR="0">
            <wp:extent cx="137160" cy="250825"/>
            <wp:effectExtent l="0" t="0" r="0" b="0"/>
            <wp:docPr id="20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2"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 температура замыкания;</w:t>
      </w:r>
    </w:p>
    <w:p w:rsidR="00212513" w:rsidRDefault="00212513">
      <w:pPr>
        <w:pStyle w:val="ConsPlusNormal"/>
        <w:spacing w:before="220"/>
        <w:ind w:firstLine="540"/>
        <w:jc w:val="both"/>
      </w:pPr>
      <w:r>
        <w:rPr>
          <w:noProof/>
          <w:position w:val="-8"/>
        </w:rPr>
        <w:drawing>
          <wp:inline distT="0" distB="0" distL="0" distR="0">
            <wp:extent cx="198755" cy="250825"/>
            <wp:effectExtent l="0" t="0" r="0" b="0"/>
            <wp:docPr id="20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3"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отклонение температуры;</w:t>
      </w:r>
    </w:p>
    <w:p w:rsidR="00212513" w:rsidRDefault="00212513">
      <w:pPr>
        <w:pStyle w:val="ConsPlusNormal"/>
        <w:spacing w:before="220"/>
        <w:ind w:firstLine="540"/>
        <w:jc w:val="both"/>
      </w:pPr>
      <w:r>
        <w:rPr>
          <w:i/>
        </w:rPr>
        <w:t>z</w:t>
      </w:r>
      <w:r>
        <w:t xml:space="preserve"> - число устанавливаемых блоков;</w:t>
      </w:r>
    </w:p>
    <w:p w:rsidR="00212513" w:rsidRDefault="00212513">
      <w:pPr>
        <w:pStyle w:val="ConsPlusNormal"/>
        <w:spacing w:before="220"/>
        <w:ind w:firstLine="540"/>
        <w:jc w:val="both"/>
      </w:pPr>
      <w:r>
        <w:rPr>
          <w:noProof/>
          <w:position w:val="-1"/>
        </w:rPr>
        <w:drawing>
          <wp:inline distT="0" distB="0" distL="0" distR="0">
            <wp:extent cx="167640" cy="156845"/>
            <wp:effectExtent l="0" t="0" r="0" b="0"/>
            <wp:docPr id="20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4"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 коэффициент линейного расширения;</w:t>
      </w:r>
    </w:p>
    <w:p w:rsidR="00212513" w:rsidRDefault="00212513">
      <w:pPr>
        <w:pStyle w:val="ConsPlusNormal"/>
        <w:spacing w:before="220"/>
        <w:ind w:firstLine="540"/>
        <w:jc w:val="both"/>
      </w:pPr>
      <w:r>
        <w:rPr>
          <w:noProof/>
          <w:position w:val="-3"/>
        </w:rPr>
        <w:drawing>
          <wp:inline distT="0" distB="0" distL="0" distR="0">
            <wp:extent cx="137160" cy="177800"/>
            <wp:effectExtent l="0" t="0" r="0" b="0"/>
            <wp:docPr id="20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4" cstate="print">
                      <a:extLst>
                        <a:ext uri="{28A0092B-C50C-407E-A947-70E740481C1C}">
                          <a14:useLocalDpi xmlns:a14="http://schemas.microsoft.com/office/drawing/2010/main" val="0"/>
                        </a:ext>
                      </a:extLst>
                    </a:blip>
                    <a:srcRect/>
                    <a:stretch>
                      <a:fillRect/>
                    </a:stretch>
                  </pic:blipFill>
                  <pic:spPr bwMode="auto">
                    <a:xfrm>
                      <a:off x="0" y="0"/>
                      <a:ext cx="137160" cy="177800"/>
                    </a:xfrm>
                    <a:prstGeom prst="rect">
                      <a:avLst/>
                    </a:prstGeom>
                    <a:noFill/>
                    <a:ln>
                      <a:noFill/>
                    </a:ln>
                  </pic:spPr>
                </pic:pic>
              </a:graphicData>
            </a:graphic>
          </wp:inline>
        </w:drawing>
      </w:r>
      <w:r>
        <w:t xml:space="preserve"> - коэффициент сочетания нагрузок;</w:t>
      </w:r>
    </w:p>
    <w:p w:rsidR="00212513" w:rsidRDefault="00212513">
      <w:pPr>
        <w:pStyle w:val="ConsPlusNormal"/>
        <w:spacing w:before="220"/>
        <w:ind w:firstLine="540"/>
        <w:jc w:val="both"/>
      </w:pPr>
      <w:r>
        <w:rPr>
          <w:noProof/>
          <w:position w:val="-9"/>
        </w:rPr>
        <w:drawing>
          <wp:inline distT="0" distB="0" distL="0" distR="0">
            <wp:extent cx="209550" cy="262890"/>
            <wp:effectExtent l="0" t="0" r="0" b="0"/>
            <wp:docPr id="20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5"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 коэффициент надежности по нагрузке;</w:t>
      </w:r>
    </w:p>
    <w:p w:rsidR="00212513" w:rsidRDefault="00212513">
      <w:pPr>
        <w:pStyle w:val="ConsPlusNormal"/>
        <w:spacing w:before="220"/>
        <w:ind w:firstLine="540"/>
        <w:jc w:val="both"/>
      </w:pPr>
      <w:r>
        <w:rPr>
          <w:noProof/>
          <w:position w:val="-8"/>
        </w:rPr>
        <w:drawing>
          <wp:inline distT="0" distB="0" distL="0" distR="0">
            <wp:extent cx="167640" cy="251460"/>
            <wp:effectExtent l="0" t="0" r="0" b="0"/>
            <wp:docPr id="20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6"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коэффициент вертикального давления для звеньев труб;</w:t>
      </w:r>
    </w:p>
    <w:p w:rsidR="00212513" w:rsidRDefault="00212513">
      <w:pPr>
        <w:pStyle w:val="ConsPlusNormal"/>
        <w:spacing w:before="220"/>
        <w:ind w:firstLine="540"/>
        <w:jc w:val="both"/>
      </w:pPr>
      <w:r>
        <w:rPr>
          <w:noProof/>
          <w:position w:val="-6"/>
        </w:rPr>
        <w:drawing>
          <wp:inline distT="0" distB="0" distL="0" distR="0">
            <wp:extent cx="367030" cy="220980"/>
            <wp:effectExtent l="0" t="0" r="0" b="0"/>
            <wp:docPr id="20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7" cstate="print">
                      <a:extLst>
                        <a:ext uri="{28A0092B-C50C-407E-A947-70E740481C1C}">
                          <a14:useLocalDpi xmlns:a14="http://schemas.microsoft.com/office/drawing/2010/main" val="0"/>
                        </a:ext>
                      </a:extLst>
                    </a:blip>
                    <a:srcRect/>
                    <a:stretch>
                      <a:fillRect/>
                    </a:stretch>
                  </pic:blipFill>
                  <pic:spPr bwMode="auto">
                    <a:xfrm>
                      <a:off x="0" y="0"/>
                      <a:ext cx="367030" cy="220980"/>
                    </a:xfrm>
                    <a:prstGeom prst="rect">
                      <a:avLst/>
                    </a:prstGeom>
                    <a:noFill/>
                    <a:ln>
                      <a:noFill/>
                    </a:ln>
                  </pic:spPr>
                </pic:pic>
              </a:graphicData>
            </a:graphic>
          </wp:inline>
        </w:drawing>
      </w:r>
      <w:r>
        <w:t xml:space="preserve">, </w:t>
      </w:r>
      <w:r>
        <w:rPr>
          <w:noProof/>
          <w:position w:val="-6"/>
        </w:rPr>
        <w:drawing>
          <wp:inline distT="0" distB="0" distL="0" distR="0">
            <wp:extent cx="628650" cy="220980"/>
            <wp:effectExtent l="0" t="0" r="0" b="0"/>
            <wp:docPr id="20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8" cstate="print">
                      <a:extLst>
                        <a:ext uri="{28A0092B-C50C-407E-A947-70E740481C1C}">
                          <a14:useLocalDpi xmlns:a14="http://schemas.microsoft.com/office/drawing/2010/main" val="0"/>
                        </a:ext>
                      </a:extLst>
                    </a:blip>
                    <a:srcRect/>
                    <a:stretch>
                      <a:fillRect/>
                    </a:stretch>
                  </pic:blipFill>
                  <pic:spPr bwMode="auto">
                    <a:xfrm>
                      <a:off x="0" y="0"/>
                      <a:ext cx="628650" cy="220980"/>
                    </a:xfrm>
                    <a:prstGeom prst="rect">
                      <a:avLst/>
                    </a:prstGeom>
                    <a:noFill/>
                    <a:ln>
                      <a:noFill/>
                    </a:ln>
                  </pic:spPr>
                </pic:pic>
              </a:graphicData>
            </a:graphic>
          </wp:inline>
        </w:drawing>
      </w:r>
      <w:r>
        <w:t xml:space="preserve"> - динамические коэффициенты;</w:t>
      </w:r>
    </w:p>
    <w:p w:rsidR="00212513" w:rsidRDefault="00212513">
      <w:pPr>
        <w:pStyle w:val="ConsPlusNormal"/>
        <w:spacing w:before="220"/>
        <w:ind w:firstLine="540"/>
        <w:jc w:val="both"/>
      </w:pPr>
      <w:r>
        <w:rPr>
          <w:noProof/>
          <w:position w:val="-8"/>
        </w:rPr>
        <w:drawing>
          <wp:inline distT="0" distB="0" distL="0" distR="0">
            <wp:extent cx="177800" cy="251460"/>
            <wp:effectExtent l="0" t="0" r="0" b="0"/>
            <wp:docPr id="20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9"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коэффициент нормативного бокового давления;</w:t>
      </w:r>
    </w:p>
    <w:p w:rsidR="00212513" w:rsidRDefault="00212513">
      <w:pPr>
        <w:pStyle w:val="ConsPlusNormal"/>
        <w:spacing w:before="220"/>
        <w:ind w:firstLine="540"/>
        <w:jc w:val="both"/>
      </w:pPr>
      <w:r>
        <w:rPr>
          <w:noProof/>
          <w:position w:val="-8"/>
        </w:rPr>
        <w:drawing>
          <wp:inline distT="0" distB="0" distL="0" distR="0">
            <wp:extent cx="198755" cy="250825"/>
            <wp:effectExtent l="0" t="0" r="0" b="0"/>
            <wp:docPr id="20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0"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аэродинамический коэффициент лобового сопротивления конструкции действию ветра;</w:t>
      </w:r>
    </w:p>
    <w:p w:rsidR="00212513" w:rsidRDefault="00212513">
      <w:pPr>
        <w:pStyle w:val="ConsPlusNormal"/>
        <w:spacing w:before="220"/>
        <w:ind w:firstLine="540"/>
        <w:jc w:val="both"/>
      </w:pPr>
      <w:r>
        <w:rPr>
          <w:noProof/>
          <w:position w:val="-8"/>
        </w:rPr>
        <w:drawing>
          <wp:inline distT="0" distB="0" distL="0" distR="0">
            <wp:extent cx="177800" cy="251460"/>
            <wp:effectExtent l="0" t="0" r="0" b="0"/>
            <wp:docPr id="20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1"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коэффициент, учитывающий изменение скоростного напора ветра в зависимости от высоты;</w:t>
      </w:r>
    </w:p>
    <w:p w:rsidR="00212513" w:rsidRDefault="00212513">
      <w:pPr>
        <w:pStyle w:val="ConsPlusNormal"/>
        <w:spacing w:before="220"/>
        <w:ind w:firstLine="540"/>
        <w:jc w:val="both"/>
      </w:pPr>
      <w:r>
        <w:rPr>
          <w:noProof/>
          <w:position w:val="-1"/>
        </w:rPr>
        <w:drawing>
          <wp:inline distT="0" distB="0" distL="0" distR="0">
            <wp:extent cx="137160" cy="156845"/>
            <wp:effectExtent l="0" t="0" r="0" b="0"/>
            <wp:docPr id="20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2" cstate="print">
                      <a:extLst>
                        <a:ext uri="{28A0092B-C50C-407E-A947-70E740481C1C}">
                          <a14:useLocalDpi xmlns:a14="http://schemas.microsoft.com/office/drawing/2010/main" val="0"/>
                        </a:ext>
                      </a:extLst>
                    </a:blip>
                    <a:srcRect/>
                    <a:stretch>
                      <a:fillRect/>
                    </a:stretch>
                  </pic:blipFill>
                  <pic:spPr bwMode="auto">
                    <a:xfrm>
                      <a:off x="0" y="0"/>
                      <a:ext cx="137160" cy="156845"/>
                    </a:xfrm>
                    <a:prstGeom prst="rect">
                      <a:avLst/>
                    </a:prstGeom>
                    <a:noFill/>
                    <a:ln>
                      <a:noFill/>
                    </a:ln>
                  </pic:spPr>
                </pic:pic>
              </a:graphicData>
            </a:graphic>
          </wp:inline>
        </w:drawing>
      </w:r>
      <w:r>
        <w:t xml:space="preserve"> - коэффициент, учитывающий отсутствие обращения особо тяжелого железнодорожного подвижного состава;</w:t>
      </w:r>
    </w:p>
    <w:p w:rsidR="00212513" w:rsidRDefault="00212513">
      <w:pPr>
        <w:pStyle w:val="ConsPlusNormal"/>
        <w:spacing w:before="220"/>
        <w:ind w:firstLine="540"/>
        <w:jc w:val="both"/>
      </w:pPr>
      <w:r>
        <w:rPr>
          <w:i/>
        </w:rPr>
        <w:t>s</w:t>
      </w:r>
      <w:r>
        <w:rPr>
          <w:vertAlign w:val="subscript"/>
        </w:rPr>
        <w:t>1</w:t>
      </w:r>
      <w:r>
        <w:t xml:space="preserve"> - коэффициент, учитывающий воздействие временной нагрузки с первого (главного) пути (полосы);</w:t>
      </w:r>
    </w:p>
    <w:p w:rsidR="00212513" w:rsidRDefault="00212513">
      <w:pPr>
        <w:pStyle w:val="ConsPlusNormal"/>
        <w:jc w:val="both"/>
      </w:pPr>
      <w:r>
        <w:t xml:space="preserve">(в ред. </w:t>
      </w:r>
      <w:hyperlink r:id="rId2903">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rPr>
          <w:i/>
        </w:rPr>
        <w:t>s</w:t>
      </w:r>
      <w:r>
        <w:rPr>
          <w:vertAlign w:val="subscript"/>
        </w:rPr>
        <w:t>2</w:t>
      </w:r>
      <w:r>
        <w:t xml:space="preserve"> - коэффициент, учитывающий воздействие временной нагрузки со второго (по значимости) пути (полосы);</w:t>
      </w:r>
    </w:p>
    <w:p w:rsidR="00212513" w:rsidRDefault="00212513">
      <w:pPr>
        <w:pStyle w:val="ConsPlusNormal"/>
        <w:jc w:val="both"/>
      </w:pPr>
      <w:r>
        <w:t xml:space="preserve">(в ред. </w:t>
      </w:r>
      <w:hyperlink r:id="rId2904">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rPr>
          <w:i/>
        </w:rPr>
        <w:lastRenderedPageBreak/>
        <w:t>s</w:t>
      </w:r>
      <w:r>
        <w:rPr>
          <w:vertAlign w:val="subscript"/>
        </w:rPr>
        <w:t>3</w:t>
      </w:r>
      <w:r>
        <w:t xml:space="preserve"> - коэффициент, учитывающий воздействие временной нагрузки с третьей и последующих полос движения;</w:t>
      </w:r>
    </w:p>
    <w:p w:rsidR="00212513" w:rsidRDefault="00212513">
      <w:pPr>
        <w:pStyle w:val="ConsPlusNormal"/>
        <w:jc w:val="both"/>
      </w:pPr>
      <w:r>
        <w:t xml:space="preserve">(обозначение введено </w:t>
      </w:r>
      <w:hyperlink r:id="rId2905">
        <w:r>
          <w:rPr>
            <w:color w:val="0000FF"/>
          </w:rPr>
          <w:t>Изменением N 1</w:t>
        </w:r>
      </w:hyperlink>
      <w:r>
        <w:t>, утв. Приказом Минстроя России от 03.12.2016 N 879/пр)</w:t>
      </w:r>
    </w:p>
    <w:p w:rsidR="00212513" w:rsidRDefault="00212513">
      <w:pPr>
        <w:pStyle w:val="ConsPlusNormal"/>
        <w:spacing w:before="220"/>
        <w:ind w:firstLine="540"/>
        <w:jc w:val="both"/>
      </w:pPr>
      <w:r>
        <w:rPr>
          <w:noProof/>
          <w:position w:val="-8"/>
        </w:rPr>
        <w:drawing>
          <wp:inline distT="0" distB="0" distL="0" distR="0">
            <wp:extent cx="209550" cy="251460"/>
            <wp:effectExtent l="0" t="0" r="0" b="0"/>
            <wp:docPr id="20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нормативная величина коэффициента трения;</w:t>
      </w:r>
    </w:p>
    <w:p w:rsidR="00212513" w:rsidRDefault="00212513">
      <w:pPr>
        <w:pStyle w:val="ConsPlusNormal"/>
        <w:spacing w:before="220"/>
        <w:ind w:firstLine="540"/>
        <w:jc w:val="both"/>
      </w:pPr>
      <w:r>
        <w:rPr>
          <w:noProof/>
          <w:position w:val="-8"/>
        </w:rPr>
        <w:drawing>
          <wp:inline distT="0" distB="0" distL="0" distR="0">
            <wp:extent cx="335280" cy="251460"/>
            <wp:effectExtent l="0" t="0" r="0" b="0"/>
            <wp:docPr id="20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7" cstate="print">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r>
        <w:t xml:space="preserve">, </w:t>
      </w:r>
      <w:r>
        <w:rPr>
          <w:noProof/>
          <w:position w:val="-8"/>
        </w:rPr>
        <w:drawing>
          <wp:inline distT="0" distB="0" distL="0" distR="0">
            <wp:extent cx="304165" cy="251460"/>
            <wp:effectExtent l="0" t="0" r="0" b="0"/>
            <wp:docPr id="20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8" cstate="print">
                      <a:extLst>
                        <a:ext uri="{28A0092B-C50C-407E-A947-70E740481C1C}">
                          <a14:useLocalDpi xmlns:a14="http://schemas.microsoft.com/office/drawing/2010/main" val="0"/>
                        </a:ext>
                      </a:extLst>
                    </a:blip>
                    <a:srcRect/>
                    <a:stretch>
                      <a:fillRect/>
                    </a:stretch>
                  </pic:blipFill>
                  <pic:spPr bwMode="auto">
                    <a:xfrm>
                      <a:off x="0" y="0"/>
                      <a:ext cx="304165" cy="251460"/>
                    </a:xfrm>
                    <a:prstGeom prst="rect">
                      <a:avLst/>
                    </a:prstGeom>
                    <a:noFill/>
                    <a:ln>
                      <a:noFill/>
                    </a:ln>
                  </pic:spPr>
                </pic:pic>
              </a:graphicData>
            </a:graphic>
          </wp:inline>
        </w:drawing>
      </w:r>
      <w:r>
        <w:t xml:space="preserve"> - максимальная и минимальная величины коэффициента трения.</w:t>
      </w:r>
    </w:p>
    <w:p w:rsidR="00212513" w:rsidRDefault="00212513">
      <w:pPr>
        <w:pStyle w:val="ConsPlusNormal"/>
        <w:ind w:firstLine="540"/>
        <w:jc w:val="both"/>
      </w:pPr>
    </w:p>
    <w:p w:rsidR="00212513" w:rsidRDefault="00212513">
      <w:pPr>
        <w:pStyle w:val="ConsPlusNormal"/>
        <w:jc w:val="center"/>
      </w:pPr>
      <w:r>
        <w:rPr>
          <w:b/>
        </w:rPr>
        <w:t xml:space="preserve">В </w:t>
      </w:r>
      <w:hyperlink w:anchor="P1956">
        <w:r>
          <w:rPr>
            <w:b/>
            <w:color w:val="0000FF"/>
          </w:rPr>
          <w:t>разделе 7</w:t>
        </w:r>
      </w:hyperlink>
      <w:r>
        <w:rPr>
          <w:b/>
        </w:rPr>
        <w:t xml:space="preserve"> "Бетонные, железобетонные,</w:t>
      </w:r>
    </w:p>
    <w:p w:rsidR="00212513" w:rsidRDefault="00212513">
      <w:pPr>
        <w:pStyle w:val="ConsPlusNormal"/>
        <w:jc w:val="center"/>
      </w:pPr>
      <w:r>
        <w:rPr>
          <w:b/>
        </w:rPr>
        <w:t>фибробетонные конструкции и конструкции</w:t>
      </w:r>
    </w:p>
    <w:p w:rsidR="00212513" w:rsidRDefault="00212513">
      <w:pPr>
        <w:pStyle w:val="ConsPlusNormal"/>
        <w:jc w:val="center"/>
      </w:pPr>
      <w:r>
        <w:rPr>
          <w:b/>
        </w:rPr>
        <w:t>с композитной полимерной арматурой"</w:t>
      </w:r>
    </w:p>
    <w:p w:rsidR="00212513" w:rsidRDefault="00212513">
      <w:pPr>
        <w:pStyle w:val="ConsPlusNormal"/>
        <w:jc w:val="center"/>
      </w:pPr>
      <w:r>
        <w:t xml:space="preserve">(в ред. </w:t>
      </w:r>
      <w:hyperlink r:id="rId2909">
        <w:r>
          <w:rPr>
            <w:color w:val="0000FF"/>
          </w:rPr>
          <w:t>Изменения N 2</w:t>
        </w:r>
      </w:hyperlink>
      <w:r>
        <w:t>, утв. Приказом</w:t>
      </w:r>
    </w:p>
    <w:p w:rsidR="00212513" w:rsidRDefault="00212513">
      <w:pPr>
        <w:pStyle w:val="ConsPlusNormal"/>
        <w:jc w:val="center"/>
      </w:pPr>
      <w:r>
        <w:t>Минстроя России от 11.11.2019 N 681/пр)</w:t>
      </w:r>
    </w:p>
    <w:p w:rsidR="00212513" w:rsidRDefault="00212513">
      <w:pPr>
        <w:pStyle w:val="ConsPlusNormal"/>
        <w:ind w:firstLine="540"/>
        <w:jc w:val="both"/>
      </w:pPr>
    </w:p>
    <w:p w:rsidR="00212513" w:rsidRDefault="00212513">
      <w:pPr>
        <w:pStyle w:val="ConsPlusNormal"/>
        <w:jc w:val="center"/>
      </w:pPr>
      <w:r>
        <w:rPr>
          <w:b/>
        </w:rPr>
        <w:t>Характеристики материалов</w:t>
      </w:r>
    </w:p>
    <w:p w:rsidR="00212513" w:rsidRDefault="00212513">
      <w:pPr>
        <w:pStyle w:val="ConsPlusNormal"/>
        <w:ind w:firstLine="540"/>
        <w:jc w:val="both"/>
      </w:pPr>
    </w:p>
    <w:p w:rsidR="00212513" w:rsidRDefault="00212513">
      <w:pPr>
        <w:pStyle w:val="ConsPlusNormal"/>
        <w:jc w:val="center"/>
      </w:pPr>
      <w:r>
        <w:rPr>
          <w:i/>
        </w:rPr>
        <w:t>Нормативные сопротивления бетона</w:t>
      </w:r>
    </w:p>
    <w:p w:rsidR="00212513" w:rsidRDefault="00212513">
      <w:pPr>
        <w:pStyle w:val="ConsPlusNormal"/>
        <w:ind w:firstLine="540"/>
        <w:jc w:val="both"/>
      </w:pPr>
    </w:p>
    <w:p w:rsidR="00212513" w:rsidRDefault="00212513">
      <w:pPr>
        <w:pStyle w:val="ConsPlusNormal"/>
        <w:ind w:firstLine="540"/>
        <w:jc w:val="both"/>
      </w:pPr>
      <w:r>
        <w:rPr>
          <w:noProof/>
          <w:position w:val="-8"/>
        </w:rPr>
        <w:drawing>
          <wp:inline distT="0" distB="0" distL="0" distR="0">
            <wp:extent cx="251460" cy="251460"/>
            <wp:effectExtent l="0" t="0" r="0" b="0"/>
            <wp:docPr id="20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осевому сжатию;</w:t>
      </w:r>
    </w:p>
    <w:p w:rsidR="00212513" w:rsidRDefault="00212513">
      <w:pPr>
        <w:pStyle w:val="ConsPlusNormal"/>
        <w:spacing w:before="220"/>
        <w:ind w:firstLine="540"/>
        <w:jc w:val="both"/>
      </w:pPr>
      <w:r>
        <w:rPr>
          <w:noProof/>
          <w:position w:val="-8"/>
        </w:rPr>
        <w:drawing>
          <wp:inline distT="0" distB="0" distL="0" distR="0">
            <wp:extent cx="281940" cy="251460"/>
            <wp:effectExtent l="0" t="0" r="0" b="0"/>
            <wp:docPr id="20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1"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xml:space="preserve"> - осевому растяжению.</w:t>
      </w:r>
    </w:p>
    <w:p w:rsidR="00212513" w:rsidRDefault="00212513">
      <w:pPr>
        <w:pStyle w:val="ConsPlusNormal"/>
        <w:ind w:firstLine="540"/>
        <w:jc w:val="both"/>
      </w:pPr>
    </w:p>
    <w:p w:rsidR="00212513" w:rsidRDefault="00212513">
      <w:pPr>
        <w:pStyle w:val="ConsPlusNormal"/>
        <w:jc w:val="center"/>
      </w:pPr>
      <w:r>
        <w:rPr>
          <w:i/>
        </w:rPr>
        <w:t>Расчетные сопротивления бетона</w:t>
      </w:r>
    </w:p>
    <w:p w:rsidR="00212513" w:rsidRDefault="00212513">
      <w:pPr>
        <w:pStyle w:val="ConsPlusNormal"/>
        <w:ind w:firstLine="540"/>
        <w:jc w:val="both"/>
      </w:pPr>
    </w:p>
    <w:p w:rsidR="00212513" w:rsidRDefault="00212513">
      <w:pPr>
        <w:pStyle w:val="ConsPlusNormal"/>
        <w:ind w:firstLine="540"/>
        <w:jc w:val="both"/>
      </w:pPr>
      <w:r>
        <w:t>При расчете по предельным состояниям первой группы:</w:t>
      </w:r>
    </w:p>
    <w:p w:rsidR="00212513" w:rsidRDefault="00212513">
      <w:pPr>
        <w:pStyle w:val="ConsPlusNormal"/>
        <w:spacing w:before="220"/>
        <w:ind w:firstLine="540"/>
        <w:jc w:val="both"/>
      </w:pPr>
      <w:r>
        <w:rPr>
          <w:noProof/>
          <w:position w:val="-8"/>
        </w:rPr>
        <w:drawing>
          <wp:inline distT="0" distB="0" distL="0" distR="0">
            <wp:extent cx="209550" cy="251460"/>
            <wp:effectExtent l="0" t="0" r="0" b="0"/>
            <wp:docPr id="20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осевому сжатию;</w:t>
      </w:r>
    </w:p>
    <w:p w:rsidR="00212513" w:rsidRDefault="00212513">
      <w:pPr>
        <w:pStyle w:val="ConsPlusNormal"/>
        <w:spacing w:before="220"/>
        <w:ind w:firstLine="540"/>
        <w:jc w:val="both"/>
      </w:pPr>
      <w:r>
        <w:rPr>
          <w:noProof/>
          <w:position w:val="-8"/>
        </w:rPr>
        <w:drawing>
          <wp:inline distT="0" distB="0" distL="0" distR="0">
            <wp:extent cx="241935" cy="251460"/>
            <wp:effectExtent l="0" t="0" r="0" b="0"/>
            <wp:docPr id="20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3"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осевому растяжению;</w:t>
      </w:r>
    </w:p>
    <w:p w:rsidR="00212513" w:rsidRDefault="00212513">
      <w:pPr>
        <w:pStyle w:val="ConsPlusNormal"/>
        <w:spacing w:before="220"/>
        <w:ind w:firstLine="540"/>
        <w:jc w:val="both"/>
      </w:pPr>
      <w:r>
        <w:rPr>
          <w:noProof/>
          <w:position w:val="-9"/>
        </w:rPr>
        <w:drawing>
          <wp:inline distT="0" distB="0" distL="0" distR="0">
            <wp:extent cx="367030" cy="262890"/>
            <wp:effectExtent l="0" t="0" r="0" b="0"/>
            <wp:docPr id="20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4" cstate="print">
                      <a:extLst>
                        <a:ext uri="{28A0092B-C50C-407E-A947-70E740481C1C}">
                          <a14:useLocalDpi xmlns:a14="http://schemas.microsoft.com/office/drawing/2010/main" val="0"/>
                        </a:ext>
                      </a:extLst>
                    </a:blip>
                    <a:srcRect/>
                    <a:stretch>
                      <a:fillRect/>
                    </a:stretch>
                  </pic:blipFill>
                  <pic:spPr bwMode="auto">
                    <a:xfrm>
                      <a:off x="0" y="0"/>
                      <a:ext cx="367030" cy="262890"/>
                    </a:xfrm>
                    <a:prstGeom prst="rect">
                      <a:avLst/>
                    </a:prstGeom>
                    <a:noFill/>
                    <a:ln>
                      <a:noFill/>
                    </a:ln>
                  </pic:spPr>
                </pic:pic>
              </a:graphicData>
            </a:graphic>
          </wp:inline>
        </w:drawing>
      </w:r>
      <w:r>
        <w:t xml:space="preserve"> - непосредственному срезу.</w:t>
      </w:r>
    </w:p>
    <w:p w:rsidR="00212513" w:rsidRDefault="00212513">
      <w:pPr>
        <w:pStyle w:val="ConsPlusNormal"/>
        <w:spacing w:before="220"/>
        <w:ind w:firstLine="540"/>
        <w:jc w:val="both"/>
      </w:pPr>
      <w:r>
        <w:t>При расчете по предельным состояниям второй группы:</w:t>
      </w:r>
    </w:p>
    <w:p w:rsidR="00212513" w:rsidRDefault="00212513">
      <w:pPr>
        <w:pStyle w:val="ConsPlusNormal"/>
        <w:spacing w:before="220"/>
        <w:ind w:firstLine="540"/>
        <w:jc w:val="both"/>
      </w:pPr>
      <w:r>
        <w:rPr>
          <w:noProof/>
          <w:position w:val="-9"/>
        </w:rPr>
        <w:drawing>
          <wp:inline distT="0" distB="0" distL="0" distR="0">
            <wp:extent cx="367030" cy="262890"/>
            <wp:effectExtent l="0" t="0" r="0" b="0"/>
            <wp:docPr id="20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5" cstate="print">
                      <a:extLst>
                        <a:ext uri="{28A0092B-C50C-407E-A947-70E740481C1C}">
                          <a14:useLocalDpi xmlns:a14="http://schemas.microsoft.com/office/drawing/2010/main" val="0"/>
                        </a:ext>
                      </a:extLst>
                    </a:blip>
                    <a:srcRect/>
                    <a:stretch>
                      <a:fillRect/>
                    </a:stretch>
                  </pic:blipFill>
                  <pic:spPr bwMode="auto">
                    <a:xfrm>
                      <a:off x="0" y="0"/>
                      <a:ext cx="367030" cy="262890"/>
                    </a:xfrm>
                    <a:prstGeom prst="rect">
                      <a:avLst/>
                    </a:prstGeom>
                    <a:noFill/>
                    <a:ln>
                      <a:noFill/>
                    </a:ln>
                  </pic:spPr>
                </pic:pic>
              </a:graphicData>
            </a:graphic>
          </wp:inline>
        </w:drawing>
      </w:r>
      <w:r>
        <w:t xml:space="preserve"> - осевому сжатию;</w:t>
      </w:r>
    </w:p>
    <w:p w:rsidR="00212513" w:rsidRDefault="00212513">
      <w:pPr>
        <w:pStyle w:val="ConsPlusNormal"/>
        <w:spacing w:before="220"/>
        <w:ind w:firstLine="540"/>
        <w:jc w:val="both"/>
      </w:pPr>
      <w:r>
        <w:rPr>
          <w:noProof/>
          <w:position w:val="-9"/>
        </w:rPr>
        <w:drawing>
          <wp:inline distT="0" distB="0" distL="0" distR="0">
            <wp:extent cx="408940" cy="262890"/>
            <wp:effectExtent l="0" t="0" r="0" b="0"/>
            <wp:docPr id="20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6" cstate="print">
                      <a:extLst>
                        <a:ext uri="{28A0092B-C50C-407E-A947-70E740481C1C}">
                          <a14:useLocalDpi xmlns:a14="http://schemas.microsoft.com/office/drawing/2010/main" val="0"/>
                        </a:ext>
                      </a:extLst>
                    </a:blip>
                    <a:srcRect/>
                    <a:stretch>
                      <a:fillRect/>
                    </a:stretch>
                  </pic:blipFill>
                  <pic:spPr bwMode="auto">
                    <a:xfrm>
                      <a:off x="0" y="0"/>
                      <a:ext cx="408940" cy="262890"/>
                    </a:xfrm>
                    <a:prstGeom prst="rect">
                      <a:avLst/>
                    </a:prstGeom>
                    <a:noFill/>
                    <a:ln>
                      <a:noFill/>
                    </a:ln>
                  </pic:spPr>
                </pic:pic>
              </a:graphicData>
            </a:graphic>
          </wp:inline>
        </w:drawing>
      </w:r>
      <w:r>
        <w:t xml:space="preserve"> - осевому растяжению при расчете предварительно напряженных элементов по образованию трещин;</w:t>
      </w:r>
    </w:p>
    <w:p w:rsidR="00212513" w:rsidRDefault="00212513">
      <w:pPr>
        <w:pStyle w:val="ConsPlusNormal"/>
        <w:spacing w:before="220"/>
        <w:ind w:firstLine="540"/>
        <w:jc w:val="both"/>
      </w:pPr>
      <w:r>
        <w:rPr>
          <w:noProof/>
          <w:position w:val="-9"/>
        </w:rPr>
        <w:drawing>
          <wp:inline distT="0" distB="0" distL="0" distR="0">
            <wp:extent cx="387350" cy="262890"/>
            <wp:effectExtent l="0" t="0" r="0" b="0"/>
            <wp:docPr id="20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7" cstate="print">
                      <a:extLst>
                        <a:ext uri="{28A0092B-C50C-407E-A947-70E740481C1C}">
                          <a14:useLocalDpi xmlns:a14="http://schemas.microsoft.com/office/drawing/2010/main" val="0"/>
                        </a:ext>
                      </a:extLst>
                    </a:blip>
                    <a:srcRect/>
                    <a:stretch>
                      <a:fillRect/>
                    </a:stretch>
                  </pic:blipFill>
                  <pic:spPr bwMode="auto">
                    <a:xfrm>
                      <a:off x="0" y="0"/>
                      <a:ext cx="387350" cy="262890"/>
                    </a:xfrm>
                    <a:prstGeom prst="rect">
                      <a:avLst/>
                    </a:prstGeom>
                    <a:noFill/>
                    <a:ln>
                      <a:noFill/>
                    </a:ln>
                  </pic:spPr>
                </pic:pic>
              </a:graphicData>
            </a:graphic>
          </wp:inline>
        </w:drawing>
      </w:r>
      <w:r>
        <w:t xml:space="preserve"> - осевому сжатию при расчете на стойкость против образования продольных микротрещин (</w:t>
      </w:r>
      <w:r>
        <w:rPr>
          <w:i/>
        </w:rPr>
        <w:t>mc</w:t>
      </w:r>
      <w:r>
        <w:t>) при предварительном напряжении, транспортировании и монтаже;</w:t>
      </w:r>
    </w:p>
    <w:p w:rsidR="00212513" w:rsidRDefault="00212513">
      <w:pPr>
        <w:pStyle w:val="ConsPlusNormal"/>
        <w:spacing w:before="220"/>
        <w:ind w:firstLine="540"/>
        <w:jc w:val="both"/>
      </w:pPr>
      <w:r>
        <w:rPr>
          <w:noProof/>
          <w:position w:val="-9"/>
        </w:rPr>
        <w:drawing>
          <wp:inline distT="0" distB="0" distL="0" distR="0">
            <wp:extent cx="419100" cy="262890"/>
            <wp:effectExtent l="0" t="0" r="0" b="0"/>
            <wp:docPr id="20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8" cstate="print">
                      <a:extLst>
                        <a:ext uri="{28A0092B-C50C-407E-A947-70E740481C1C}">
                          <a14:useLocalDpi xmlns:a14="http://schemas.microsoft.com/office/drawing/2010/main" val="0"/>
                        </a:ext>
                      </a:extLst>
                    </a:blip>
                    <a:srcRect/>
                    <a:stretch>
                      <a:fillRect/>
                    </a:stretch>
                  </pic:blipFill>
                  <pic:spPr bwMode="auto">
                    <a:xfrm>
                      <a:off x="0" y="0"/>
                      <a:ext cx="419100" cy="262890"/>
                    </a:xfrm>
                    <a:prstGeom prst="rect">
                      <a:avLst/>
                    </a:prstGeom>
                    <a:noFill/>
                    <a:ln>
                      <a:noFill/>
                    </a:ln>
                  </pic:spPr>
                </pic:pic>
              </a:graphicData>
            </a:graphic>
          </wp:inline>
        </w:drawing>
      </w:r>
      <w:r>
        <w:t xml:space="preserve"> - осевому сжатию при расчете под эксплуатационной нагрузкой по формулам сопротивления упругих материалов (расчет на совместное воздействие силовых факторов и неблагоприятных влияний внешней среды);</w:t>
      </w:r>
    </w:p>
    <w:p w:rsidR="00212513" w:rsidRDefault="00212513">
      <w:pPr>
        <w:pStyle w:val="ConsPlusNormal"/>
        <w:spacing w:before="220"/>
        <w:ind w:firstLine="540"/>
        <w:jc w:val="both"/>
      </w:pPr>
      <w:r>
        <w:rPr>
          <w:noProof/>
          <w:position w:val="-9"/>
        </w:rPr>
        <w:drawing>
          <wp:inline distT="0" distB="0" distL="0" distR="0">
            <wp:extent cx="335280" cy="262890"/>
            <wp:effectExtent l="0" t="0" r="0" b="0"/>
            <wp:docPr id="20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9" cstate="print">
                      <a:extLst>
                        <a:ext uri="{28A0092B-C50C-407E-A947-70E740481C1C}">
                          <a14:useLocalDpi xmlns:a14="http://schemas.microsoft.com/office/drawing/2010/main" val="0"/>
                        </a:ext>
                      </a:extLst>
                    </a:blip>
                    <a:srcRect/>
                    <a:stretch>
                      <a:fillRect/>
                    </a:stretch>
                  </pic:blipFill>
                  <pic:spPr bwMode="auto">
                    <a:xfrm>
                      <a:off x="0" y="0"/>
                      <a:ext cx="335280" cy="262890"/>
                    </a:xfrm>
                    <a:prstGeom prst="rect">
                      <a:avLst/>
                    </a:prstGeom>
                    <a:noFill/>
                    <a:ln>
                      <a:noFill/>
                    </a:ln>
                  </pic:spPr>
                </pic:pic>
              </a:graphicData>
            </a:graphic>
          </wp:inline>
        </w:drawing>
      </w:r>
      <w:r>
        <w:t xml:space="preserve"> - скалыванию при изгибе.</w:t>
      </w:r>
    </w:p>
    <w:p w:rsidR="00212513" w:rsidRDefault="00212513">
      <w:pPr>
        <w:pStyle w:val="ConsPlusNormal"/>
        <w:ind w:firstLine="540"/>
        <w:jc w:val="both"/>
      </w:pPr>
    </w:p>
    <w:p w:rsidR="00212513" w:rsidRDefault="00212513">
      <w:pPr>
        <w:pStyle w:val="ConsPlusNormal"/>
        <w:jc w:val="center"/>
      </w:pPr>
      <w:r>
        <w:rPr>
          <w:i/>
        </w:rPr>
        <w:t>Нормативные сопротивления арматуры растяжению</w:t>
      </w:r>
    </w:p>
    <w:p w:rsidR="00212513" w:rsidRDefault="00212513">
      <w:pPr>
        <w:pStyle w:val="ConsPlusNormal"/>
        <w:ind w:firstLine="540"/>
        <w:jc w:val="both"/>
      </w:pPr>
    </w:p>
    <w:p w:rsidR="00212513" w:rsidRDefault="00212513">
      <w:pPr>
        <w:pStyle w:val="ConsPlusNormal"/>
        <w:ind w:firstLine="540"/>
        <w:jc w:val="both"/>
      </w:pPr>
      <w:r>
        <w:rPr>
          <w:noProof/>
          <w:position w:val="-8"/>
        </w:rPr>
        <w:lastRenderedPageBreak/>
        <w:drawing>
          <wp:inline distT="0" distB="0" distL="0" distR="0">
            <wp:extent cx="251460" cy="251460"/>
            <wp:effectExtent l="0" t="0" r="0" b="0"/>
            <wp:docPr id="20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ненапрягаемой;</w:t>
      </w:r>
    </w:p>
    <w:p w:rsidR="00212513" w:rsidRDefault="00212513">
      <w:pPr>
        <w:pStyle w:val="ConsPlusNormal"/>
        <w:spacing w:before="220"/>
        <w:ind w:firstLine="540"/>
        <w:jc w:val="both"/>
      </w:pPr>
      <w:r>
        <w:rPr>
          <w:noProof/>
          <w:position w:val="-9"/>
        </w:rPr>
        <w:drawing>
          <wp:inline distT="0" distB="0" distL="0" distR="0">
            <wp:extent cx="262890" cy="262890"/>
            <wp:effectExtent l="0" t="0" r="0" b="0"/>
            <wp:docPr id="20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1"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напрягаемой.</w:t>
      </w:r>
    </w:p>
    <w:p w:rsidR="00212513" w:rsidRDefault="00212513">
      <w:pPr>
        <w:pStyle w:val="ConsPlusNormal"/>
        <w:ind w:firstLine="540"/>
        <w:jc w:val="both"/>
      </w:pPr>
    </w:p>
    <w:p w:rsidR="00212513" w:rsidRDefault="00212513">
      <w:pPr>
        <w:pStyle w:val="ConsPlusNormal"/>
        <w:jc w:val="center"/>
      </w:pPr>
      <w:r>
        <w:rPr>
          <w:i/>
        </w:rPr>
        <w:t>Расчетные сопротивления арматуры растяжению</w:t>
      </w:r>
    </w:p>
    <w:p w:rsidR="00212513" w:rsidRDefault="00212513">
      <w:pPr>
        <w:pStyle w:val="ConsPlusNormal"/>
        <w:ind w:firstLine="540"/>
        <w:jc w:val="both"/>
      </w:pPr>
    </w:p>
    <w:p w:rsidR="00212513" w:rsidRDefault="00212513">
      <w:pPr>
        <w:pStyle w:val="ConsPlusNormal"/>
        <w:ind w:firstLine="540"/>
        <w:jc w:val="both"/>
      </w:pPr>
      <w:r>
        <w:rPr>
          <w:noProof/>
          <w:position w:val="-8"/>
        </w:rPr>
        <w:drawing>
          <wp:inline distT="0" distB="0" distL="0" distR="0">
            <wp:extent cx="198755" cy="250825"/>
            <wp:effectExtent l="0" t="0" r="0" b="0"/>
            <wp:docPr id="20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2"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ненапрягаемой;</w:t>
      </w:r>
    </w:p>
    <w:p w:rsidR="00212513" w:rsidRDefault="00212513">
      <w:pPr>
        <w:pStyle w:val="ConsPlusNormal"/>
        <w:spacing w:before="220"/>
        <w:ind w:firstLine="540"/>
        <w:jc w:val="both"/>
      </w:pPr>
      <w:r>
        <w:rPr>
          <w:noProof/>
          <w:position w:val="-9"/>
        </w:rPr>
        <w:drawing>
          <wp:inline distT="0" distB="0" distL="0" distR="0">
            <wp:extent cx="220980" cy="262890"/>
            <wp:effectExtent l="0" t="0" r="0" b="0"/>
            <wp:docPr id="20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3"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напрягаемой;</w:t>
      </w:r>
    </w:p>
    <w:p w:rsidR="00212513" w:rsidRDefault="00212513">
      <w:pPr>
        <w:pStyle w:val="ConsPlusNormal"/>
        <w:spacing w:before="220"/>
        <w:ind w:firstLine="540"/>
        <w:jc w:val="both"/>
      </w:pPr>
      <w:r>
        <w:rPr>
          <w:noProof/>
          <w:position w:val="-8"/>
        </w:rPr>
        <w:drawing>
          <wp:inline distT="0" distB="0" distL="0" distR="0">
            <wp:extent cx="241935" cy="251460"/>
            <wp:effectExtent l="0" t="0" r="0" b="0"/>
            <wp:docPr id="20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4"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ненапрягаемой - сжатию;</w:t>
      </w:r>
    </w:p>
    <w:p w:rsidR="00212513" w:rsidRDefault="00212513">
      <w:pPr>
        <w:pStyle w:val="ConsPlusNormal"/>
        <w:spacing w:before="220"/>
        <w:ind w:firstLine="540"/>
        <w:jc w:val="both"/>
      </w:pPr>
      <w:r>
        <w:rPr>
          <w:noProof/>
          <w:position w:val="-9"/>
        </w:rPr>
        <w:drawing>
          <wp:inline distT="0" distB="0" distL="0" distR="0">
            <wp:extent cx="262890" cy="262890"/>
            <wp:effectExtent l="0" t="0" r="0" b="0"/>
            <wp:docPr id="20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5"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напрягаемой, расположенной в сжатой зоне.</w:t>
      </w:r>
    </w:p>
    <w:p w:rsidR="00212513" w:rsidRDefault="00212513">
      <w:pPr>
        <w:pStyle w:val="ConsPlusNormal"/>
        <w:ind w:firstLine="540"/>
        <w:jc w:val="both"/>
      </w:pPr>
    </w:p>
    <w:p w:rsidR="00212513" w:rsidRDefault="00212513">
      <w:pPr>
        <w:pStyle w:val="ConsPlusNormal"/>
        <w:jc w:val="center"/>
      </w:pPr>
      <w:r>
        <w:rPr>
          <w:i/>
        </w:rPr>
        <w:t>Отношение модулей упругости</w:t>
      </w:r>
    </w:p>
    <w:p w:rsidR="00212513" w:rsidRDefault="00212513">
      <w:pPr>
        <w:pStyle w:val="ConsPlusNormal"/>
        <w:ind w:firstLine="540"/>
        <w:jc w:val="both"/>
      </w:pPr>
    </w:p>
    <w:p w:rsidR="00212513" w:rsidRDefault="00212513">
      <w:pPr>
        <w:pStyle w:val="ConsPlusNormal"/>
        <w:ind w:firstLine="540"/>
        <w:jc w:val="both"/>
      </w:pPr>
      <w:r>
        <w:rPr>
          <w:noProof/>
          <w:position w:val="-8"/>
        </w:rPr>
        <w:drawing>
          <wp:inline distT="0" distB="0" distL="0" distR="0">
            <wp:extent cx="167640" cy="251460"/>
            <wp:effectExtent l="0" t="0" r="0" b="0"/>
            <wp:docPr id="20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6"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принимаемые при расчете по прочности, а при напрягаемой арматуре также и при расчете на выносливость;</w:t>
      </w:r>
    </w:p>
    <w:p w:rsidR="00212513" w:rsidRDefault="00212513">
      <w:pPr>
        <w:pStyle w:val="ConsPlusNormal"/>
        <w:spacing w:before="220"/>
        <w:ind w:firstLine="540"/>
        <w:jc w:val="both"/>
      </w:pPr>
      <w:r>
        <w:rPr>
          <w:i/>
        </w:rPr>
        <w:t>n'</w:t>
      </w:r>
      <w:r>
        <w:t xml:space="preserve"> - то же, принимаемые при расчете на выносливость и трещиностойкость для элементов с ненапрягаемой арматурой.</w:t>
      </w:r>
    </w:p>
    <w:p w:rsidR="00212513" w:rsidRDefault="00212513">
      <w:pPr>
        <w:pStyle w:val="ConsPlusNormal"/>
        <w:ind w:firstLine="540"/>
        <w:jc w:val="both"/>
      </w:pPr>
    </w:p>
    <w:p w:rsidR="00212513" w:rsidRDefault="00212513">
      <w:pPr>
        <w:pStyle w:val="ConsPlusNormal"/>
        <w:jc w:val="center"/>
      </w:pPr>
      <w:r>
        <w:rPr>
          <w:i/>
        </w:rPr>
        <w:t>Геометрические характеристики</w:t>
      </w:r>
    </w:p>
    <w:p w:rsidR="00212513" w:rsidRDefault="00212513">
      <w:pPr>
        <w:pStyle w:val="ConsPlusNormal"/>
        <w:ind w:firstLine="540"/>
        <w:jc w:val="both"/>
      </w:pPr>
    </w:p>
    <w:p w:rsidR="00212513" w:rsidRDefault="00212513">
      <w:pPr>
        <w:pStyle w:val="ConsPlusNormal"/>
        <w:ind w:firstLine="540"/>
        <w:jc w:val="both"/>
      </w:pPr>
      <w:r>
        <w:rPr>
          <w:noProof/>
          <w:position w:val="-8"/>
        </w:rPr>
        <w:drawing>
          <wp:inline distT="0" distB="0" distL="0" distR="0">
            <wp:extent cx="209550" cy="251460"/>
            <wp:effectExtent l="0" t="0" r="0" b="0"/>
            <wp:docPr id="20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площадь сечения сжатой зоны бетона;</w:t>
      </w:r>
    </w:p>
    <w:p w:rsidR="00212513" w:rsidRDefault="00212513">
      <w:pPr>
        <w:pStyle w:val="ConsPlusNormal"/>
        <w:spacing w:before="220"/>
        <w:ind w:firstLine="540"/>
        <w:jc w:val="both"/>
      </w:pPr>
      <w:r>
        <w:rPr>
          <w:noProof/>
          <w:position w:val="-8"/>
        </w:rPr>
        <w:drawing>
          <wp:inline distT="0" distB="0" distL="0" distR="0">
            <wp:extent cx="209550" cy="251460"/>
            <wp:effectExtent l="0" t="0" r="0" b="0"/>
            <wp:docPr id="20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площадь сечения всего бетона;</w:t>
      </w:r>
    </w:p>
    <w:p w:rsidR="00212513" w:rsidRDefault="00212513">
      <w:pPr>
        <w:pStyle w:val="ConsPlusNormal"/>
        <w:spacing w:before="220"/>
        <w:ind w:firstLine="540"/>
        <w:jc w:val="both"/>
      </w:pPr>
      <w:r>
        <w:rPr>
          <w:noProof/>
          <w:position w:val="-8"/>
        </w:rPr>
        <w:drawing>
          <wp:inline distT="0" distB="0" distL="0" distR="0">
            <wp:extent cx="293370" cy="251460"/>
            <wp:effectExtent l="0" t="0" r="0" b="0"/>
            <wp:docPr id="20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9"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 площадь приведенного сечения элемента;</w:t>
      </w:r>
    </w:p>
    <w:p w:rsidR="00212513" w:rsidRDefault="00212513">
      <w:pPr>
        <w:pStyle w:val="ConsPlusNormal"/>
        <w:spacing w:before="220"/>
        <w:ind w:firstLine="540"/>
        <w:jc w:val="both"/>
      </w:pPr>
      <w:r>
        <w:rPr>
          <w:noProof/>
          <w:position w:val="-8"/>
        </w:rPr>
        <w:drawing>
          <wp:inline distT="0" distB="0" distL="0" distR="0">
            <wp:extent cx="262890" cy="251460"/>
            <wp:effectExtent l="0" t="0" r="0" b="0"/>
            <wp:docPr id="20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0"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момент инерции приведенного сечения элемента относительно его центра тяжести;</w:t>
      </w:r>
    </w:p>
    <w:p w:rsidR="00212513" w:rsidRDefault="00212513">
      <w:pPr>
        <w:pStyle w:val="ConsPlusNormal"/>
        <w:spacing w:before="220"/>
        <w:ind w:firstLine="540"/>
        <w:jc w:val="both"/>
      </w:pPr>
      <w:r>
        <w:rPr>
          <w:noProof/>
          <w:position w:val="-8"/>
        </w:rPr>
        <w:drawing>
          <wp:inline distT="0" distB="0" distL="0" distR="0">
            <wp:extent cx="304165" cy="251460"/>
            <wp:effectExtent l="0" t="0" r="0" b="0"/>
            <wp:docPr id="20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1" cstate="print">
                      <a:extLst>
                        <a:ext uri="{28A0092B-C50C-407E-A947-70E740481C1C}">
                          <a14:useLocalDpi xmlns:a14="http://schemas.microsoft.com/office/drawing/2010/main" val="0"/>
                        </a:ext>
                      </a:extLst>
                    </a:blip>
                    <a:srcRect/>
                    <a:stretch>
                      <a:fillRect/>
                    </a:stretch>
                  </pic:blipFill>
                  <pic:spPr bwMode="auto">
                    <a:xfrm>
                      <a:off x="0" y="0"/>
                      <a:ext cx="304165" cy="251460"/>
                    </a:xfrm>
                    <a:prstGeom prst="rect">
                      <a:avLst/>
                    </a:prstGeom>
                    <a:noFill/>
                    <a:ln>
                      <a:noFill/>
                    </a:ln>
                  </pic:spPr>
                </pic:pic>
              </a:graphicData>
            </a:graphic>
          </wp:inline>
        </w:drawing>
      </w:r>
      <w:r>
        <w:t xml:space="preserve"> - момент сопротивления приведенного сечения элемента для крайнего растянутого волокна;</w:t>
      </w:r>
    </w:p>
    <w:p w:rsidR="00212513" w:rsidRDefault="00212513">
      <w:pPr>
        <w:pStyle w:val="ConsPlusNormal"/>
        <w:spacing w:before="220"/>
        <w:ind w:firstLine="540"/>
        <w:jc w:val="both"/>
      </w:pPr>
      <w:r>
        <w:rPr>
          <w:noProof/>
          <w:position w:val="-8"/>
        </w:rPr>
        <w:drawing>
          <wp:inline distT="0" distB="0" distL="0" distR="0">
            <wp:extent cx="198755" cy="250825"/>
            <wp:effectExtent l="0" t="0" r="0" b="0"/>
            <wp:docPr id="20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2"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20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3"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площадь сечения ненапрягаемой растянутой и сжатой продольной арматуры;</w:t>
      </w:r>
    </w:p>
    <w:p w:rsidR="00212513" w:rsidRDefault="00212513">
      <w:pPr>
        <w:pStyle w:val="ConsPlusNormal"/>
        <w:spacing w:before="220"/>
        <w:ind w:firstLine="540"/>
        <w:jc w:val="both"/>
      </w:pPr>
      <w:r>
        <w:rPr>
          <w:noProof/>
          <w:position w:val="-9"/>
        </w:rPr>
        <w:drawing>
          <wp:inline distT="0" distB="0" distL="0" distR="0">
            <wp:extent cx="220980" cy="262890"/>
            <wp:effectExtent l="0" t="0" r="0" b="0"/>
            <wp:docPr id="20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4"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20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5"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то же, напрягаемой арматуры;</w:t>
      </w:r>
    </w:p>
    <w:p w:rsidR="00212513" w:rsidRDefault="00212513">
      <w:pPr>
        <w:pStyle w:val="ConsPlusNormal"/>
        <w:spacing w:before="220"/>
        <w:ind w:firstLine="540"/>
        <w:jc w:val="both"/>
      </w:pPr>
      <w:r>
        <w:rPr>
          <w:noProof/>
          <w:position w:val="-3"/>
        </w:rPr>
        <w:drawing>
          <wp:inline distT="0" distB="0" distL="0" distR="0">
            <wp:extent cx="167640" cy="177800"/>
            <wp:effectExtent l="0" t="0" r="0" b="0"/>
            <wp:docPr id="20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6"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коэффициент армирования, определяемый как отношение площади сечения растянутой продольной арматуры к площади поперечного сечения без учета сжатых и растянутых свесов поясов;</w:t>
      </w:r>
    </w:p>
    <w:p w:rsidR="00212513" w:rsidRDefault="00212513">
      <w:pPr>
        <w:pStyle w:val="ConsPlusNormal"/>
        <w:spacing w:before="220"/>
        <w:ind w:firstLine="540"/>
        <w:jc w:val="both"/>
      </w:pPr>
      <w:r>
        <w:rPr>
          <w:i/>
        </w:rPr>
        <w:t>b</w:t>
      </w:r>
      <w:r>
        <w:t xml:space="preserve"> - ширина прямоугольного сечения, ширина стенки (ребра) таврового, двутаврового и коробчатого сечений;</w:t>
      </w:r>
    </w:p>
    <w:p w:rsidR="00212513" w:rsidRDefault="00212513">
      <w:pPr>
        <w:pStyle w:val="ConsPlusNormal"/>
        <w:spacing w:before="220"/>
        <w:ind w:firstLine="540"/>
        <w:jc w:val="both"/>
      </w:pPr>
      <w:r>
        <w:rPr>
          <w:noProof/>
          <w:position w:val="-9"/>
        </w:rPr>
        <w:drawing>
          <wp:inline distT="0" distB="0" distL="0" distR="0">
            <wp:extent cx="198755" cy="262890"/>
            <wp:effectExtent l="0" t="0" r="0" b="0"/>
            <wp:docPr id="2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7"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 ширина пояса таврового, двутаврового и коробчатого сечений в сжатой зоне;</w:t>
      </w:r>
    </w:p>
    <w:p w:rsidR="00212513" w:rsidRDefault="00212513">
      <w:pPr>
        <w:pStyle w:val="ConsPlusNormal"/>
        <w:spacing w:before="220"/>
        <w:ind w:firstLine="540"/>
        <w:jc w:val="both"/>
      </w:pPr>
      <w:r>
        <w:rPr>
          <w:i/>
        </w:rPr>
        <w:t>h</w:t>
      </w:r>
      <w:r>
        <w:t xml:space="preserve"> - высота сечения;</w:t>
      </w:r>
    </w:p>
    <w:p w:rsidR="00212513" w:rsidRDefault="00212513">
      <w:pPr>
        <w:pStyle w:val="ConsPlusNormal"/>
        <w:spacing w:before="220"/>
        <w:ind w:firstLine="540"/>
        <w:jc w:val="both"/>
      </w:pPr>
      <w:r>
        <w:rPr>
          <w:noProof/>
          <w:position w:val="-9"/>
        </w:rPr>
        <w:lastRenderedPageBreak/>
        <w:drawing>
          <wp:inline distT="0" distB="0" distL="0" distR="0">
            <wp:extent cx="198755" cy="262890"/>
            <wp:effectExtent l="0" t="0" r="0" b="0"/>
            <wp:docPr id="2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8"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 приведенная (включая вуты) высота сжатого пояса таврового, двутаврового и коробчатого сечений;</w:t>
      </w:r>
    </w:p>
    <w:p w:rsidR="00212513" w:rsidRDefault="00212513">
      <w:pPr>
        <w:pStyle w:val="ConsPlusNormal"/>
        <w:spacing w:before="220"/>
        <w:ind w:firstLine="540"/>
        <w:jc w:val="both"/>
      </w:pPr>
      <w:r>
        <w:rPr>
          <w:noProof/>
          <w:position w:val="-8"/>
        </w:rPr>
        <w:drawing>
          <wp:inline distT="0" distB="0" distL="0" distR="0">
            <wp:extent cx="177800" cy="251460"/>
            <wp:effectExtent l="0" t="0" r="0" b="0"/>
            <wp:docPr id="2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9"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рабочая высота сечения;</w:t>
      </w:r>
    </w:p>
    <w:p w:rsidR="00212513" w:rsidRDefault="00212513">
      <w:pPr>
        <w:pStyle w:val="ConsPlusNormal"/>
        <w:spacing w:before="220"/>
        <w:ind w:firstLine="540"/>
        <w:jc w:val="both"/>
      </w:pPr>
      <w:r>
        <w:rPr>
          <w:i/>
        </w:rPr>
        <w:t>x</w:t>
      </w:r>
      <w:r>
        <w:t xml:space="preserve"> - высота сжатой зоны бетона;</w:t>
      </w:r>
    </w:p>
    <w:p w:rsidR="00212513" w:rsidRDefault="00212513">
      <w:pPr>
        <w:pStyle w:val="ConsPlusNormal"/>
        <w:spacing w:before="220"/>
        <w:ind w:firstLine="540"/>
        <w:jc w:val="both"/>
      </w:pPr>
      <w:r>
        <w:rPr>
          <w:noProof/>
          <w:position w:val="-8"/>
        </w:rPr>
        <w:drawing>
          <wp:inline distT="0" distB="0" distL="0" distR="0">
            <wp:extent cx="177800" cy="251460"/>
            <wp:effectExtent l="0" t="0" r="0" b="0"/>
            <wp:docPr id="2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0"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w:t>
      </w:r>
      <w:r>
        <w:rPr>
          <w:noProof/>
          <w:position w:val="-9"/>
        </w:rPr>
        <w:drawing>
          <wp:inline distT="0" distB="0" distL="0" distR="0">
            <wp:extent cx="198755" cy="262890"/>
            <wp:effectExtent l="0" t="0" r="0" b="0"/>
            <wp:docPr id="2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1"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 расстояние от центра тяжести растянутой соответственно ненапрягаемой и напрягаемой продольной арматуры до ближайшей грани сечения;</w:t>
      </w:r>
    </w:p>
    <w:p w:rsidR="00212513" w:rsidRDefault="00212513">
      <w:pPr>
        <w:pStyle w:val="ConsPlusNormal"/>
        <w:spacing w:before="220"/>
        <w:ind w:firstLine="540"/>
        <w:jc w:val="both"/>
      </w:pPr>
      <w:r>
        <w:rPr>
          <w:noProof/>
          <w:position w:val="-8"/>
        </w:rPr>
        <w:drawing>
          <wp:inline distT="0" distB="0" distL="0" distR="0">
            <wp:extent cx="177800" cy="251460"/>
            <wp:effectExtent l="0" t="0" r="0" b="0"/>
            <wp:docPr id="2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2"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w:t>
      </w:r>
      <w:r>
        <w:rPr>
          <w:noProof/>
          <w:position w:val="-9"/>
        </w:rPr>
        <w:drawing>
          <wp:inline distT="0" distB="0" distL="0" distR="0">
            <wp:extent cx="198755" cy="262890"/>
            <wp:effectExtent l="0" t="0" r="0" b="0"/>
            <wp:docPr id="2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3"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 то же, для сжатой арматуры;</w:t>
      </w:r>
    </w:p>
    <w:p w:rsidR="00212513" w:rsidRDefault="00212513">
      <w:pPr>
        <w:pStyle w:val="ConsPlusNormal"/>
        <w:spacing w:before="220"/>
        <w:ind w:firstLine="540"/>
        <w:jc w:val="both"/>
      </w:pPr>
      <w:r>
        <w:rPr>
          <w:noProof/>
          <w:position w:val="-8"/>
        </w:rPr>
        <w:drawing>
          <wp:inline distT="0" distB="0" distL="0" distR="0">
            <wp:extent cx="167640" cy="251460"/>
            <wp:effectExtent l="0" t="0" r="0" b="0"/>
            <wp:docPr id="2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эксцентриситет продольной силы N относительно центра тяжести приведенного сечения;</w:t>
      </w:r>
    </w:p>
    <w:p w:rsidR="00212513" w:rsidRDefault="0021251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21251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12513" w:rsidRDefault="0021251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12513" w:rsidRDefault="0021251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12513" w:rsidRDefault="00212513">
            <w:pPr>
              <w:pStyle w:val="ConsPlusNormal"/>
              <w:jc w:val="both"/>
            </w:pPr>
            <w:r>
              <w:rPr>
                <w:color w:val="392C69"/>
              </w:rPr>
              <w:t>КонсультантПлюс: примечание.</w:t>
            </w:r>
          </w:p>
          <w:p w:rsidR="00212513" w:rsidRDefault="00212513">
            <w:pPr>
              <w:pStyle w:val="ConsPlusNormal"/>
              <w:jc w:val="both"/>
            </w:pPr>
            <w:r>
              <w:rPr>
                <w:color w:val="392C69"/>
              </w:rPr>
              <w:t>В официальном тексте документа, видимо, допущена опечатка: пункт 3.54 отсутствует. Возможно, имеется в виду пункт 7.54.</w:t>
            </w:r>
          </w:p>
        </w:tc>
        <w:tc>
          <w:tcPr>
            <w:tcW w:w="113" w:type="dxa"/>
            <w:tcBorders>
              <w:top w:val="nil"/>
              <w:left w:val="nil"/>
              <w:bottom w:val="nil"/>
              <w:right w:val="nil"/>
            </w:tcBorders>
            <w:shd w:val="clear" w:color="auto" w:fill="F4F3F8"/>
            <w:tcMar>
              <w:top w:w="0" w:type="dxa"/>
              <w:left w:w="0" w:type="dxa"/>
              <w:bottom w:w="0" w:type="dxa"/>
              <w:right w:w="0" w:type="dxa"/>
            </w:tcMar>
          </w:tcPr>
          <w:p w:rsidR="00212513" w:rsidRDefault="00212513">
            <w:pPr>
              <w:pStyle w:val="ConsPlusNormal"/>
            </w:pPr>
          </w:p>
        </w:tc>
      </w:tr>
    </w:tbl>
    <w:p w:rsidR="00212513" w:rsidRDefault="00212513">
      <w:pPr>
        <w:pStyle w:val="ConsPlusNormal"/>
        <w:spacing w:before="280"/>
        <w:ind w:firstLine="540"/>
        <w:jc w:val="both"/>
      </w:pPr>
      <w:r>
        <w:rPr>
          <w:noProof/>
          <w:position w:val="-3"/>
        </w:rPr>
        <w:drawing>
          <wp:inline distT="0" distB="0" distL="0" distR="0">
            <wp:extent cx="137160" cy="177800"/>
            <wp:effectExtent l="0" t="0" r="0" b="0"/>
            <wp:docPr id="2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5" cstate="print">
                      <a:extLst>
                        <a:ext uri="{28A0092B-C50C-407E-A947-70E740481C1C}">
                          <a14:useLocalDpi xmlns:a14="http://schemas.microsoft.com/office/drawing/2010/main" val="0"/>
                        </a:ext>
                      </a:extLst>
                    </a:blip>
                    <a:srcRect/>
                    <a:stretch>
                      <a:fillRect/>
                    </a:stretch>
                  </pic:blipFill>
                  <pic:spPr bwMode="auto">
                    <a:xfrm>
                      <a:off x="0" y="0"/>
                      <a:ext cx="137160" cy="177800"/>
                    </a:xfrm>
                    <a:prstGeom prst="rect">
                      <a:avLst/>
                    </a:prstGeom>
                    <a:noFill/>
                    <a:ln>
                      <a:noFill/>
                    </a:ln>
                  </pic:spPr>
                </pic:pic>
              </a:graphicData>
            </a:graphic>
          </wp:inline>
        </w:drawing>
      </w:r>
      <w:r>
        <w:t xml:space="preserve"> - коэффициент, учитывающий влияние поперечного изгиба при внецентренном сжатии (вводится к значению </w:t>
      </w:r>
      <w:r>
        <w:rPr>
          <w:noProof/>
          <w:position w:val="-8"/>
        </w:rPr>
        <w:drawing>
          <wp:inline distT="0" distB="0" distL="0" distR="0">
            <wp:extent cx="167640" cy="251460"/>
            <wp:effectExtent l="0" t="0" r="0" b="0"/>
            <wp:docPr id="2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принимаемый согласно </w:t>
      </w:r>
      <w:hyperlink w:anchor="P3944">
        <w:r>
          <w:rPr>
            <w:color w:val="0000FF"/>
          </w:rPr>
          <w:t>3.54</w:t>
        </w:r>
      </w:hyperlink>
      <w:r>
        <w:t>;</w:t>
      </w:r>
    </w:p>
    <w:p w:rsidR="00212513" w:rsidRDefault="00212513">
      <w:pPr>
        <w:pStyle w:val="ConsPlusNormal"/>
        <w:spacing w:before="220"/>
        <w:ind w:firstLine="540"/>
        <w:jc w:val="both"/>
      </w:pPr>
      <w:r>
        <w:rPr>
          <w:noProof/>
          <w:position w:val="-8"/>
        </w:rPr>
        <w:drawing>
          <wp:inline distT="0" distB="0" distL="0" distR="0">
            <wp:extent cx="167640" cy="251460"/>
            <wp:effectExtent l="0" t="0" r="0" b="0"/>
            <wp:docPr id="2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6"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расчетное (с учетом коэффициента </w:t>
      </w:r>
      <w:r>
        <w:rPr>
          <w:noProof/>
          <w:position w:val="-3"/>
        </w:rPr>
        <w:drawing>
          <wp:inline distT="0" distB="0" distL="0" distR="0">
            <wp:extent cx="137160" cy="177800"/>
            <wp:effectExtent l="0" t="0" r="0" b="0"/>
            <wp:docPr id="2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5" cstate="print">
                      <a:extLst>
                        <a:ext uri="{28A0092B-C50C-407E-A947-70E740481C1C}">
                          <a14:useLocalDpi xmlns:a14="http://schemas.microsoft.com/office/drawing/2010/main" val="0"/>
                        </a:ext>
                      </a:extLst>
                    </a:blip>
                    <a:srcRect/>
                    <a:stretch>
                      <a:fillRect/>
                    </a:stretch>
                  </pic:blipFill>
                  <pic:spPr bwMode="auto">
                    <a:xfrm>
                      <a:off x="0" y="0"/>
                      <a:ext cx="137160" cy="177800"/>
                    </a:xfrm>
                    <a:prstGeom prst="rect">
                      <a:avLst/>
                    </a:prstGeom>
                    <a:noFill/>
                    <a:ln>
                      <a:noFill/>
                    </a:ln>
                  </pic:spPr>
                </pic:pic>
              </a:graphicData>
            </a:graphic>
          </wp:inline>
        </w:drawing>
      </w:r>
      <w:r>
        <w:t xml:space="preserve">, вводимого к значению </w:t>
      </w:r>
      <w:r>
        <w:rPr>
          <w:noProof/>
          <w:position w:val="-8"/>
        </w:rPr>
        <w:drawing>
          <wp:inline distT="0" distB="0" distL="0" distR="0">
            <wp:extent cx="167640" cy="251460"/>
            <wp:effectExtent l="0" t="0" r="0" b="0"/>
            <wp:docPr id="2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расстояние от продольной силы N до центра тяжести растянутой арматуры внецентренно сжатого сечения;</w:t>
      </w:r>
    </w:p>
    <w:p w:rsidR="00212513" w:rsidRDefault="00212513">
      <w:pPr>
        <w:pStyle w:val="ConsPlusNormal"/>
        <w:spacing w:before="220"/>
        <w:ind w:firstLine="540"/>
        <w:jc w:val="both"/>
      </w:pPr>
      <w:r>
        <w:rPr>
          <w:i/>
        </w:rPr>
        <w:t>e</w:t>
      </w:r>
      <w:r>
        <w:t xml:space="preserve">, </w:t>
      </w:r>
      <w:r>
        <w:rPr>
          <w:i/>
        </w:rPr>
        <w:t>e'</w:t>
      </w:r>
      <w:r>
        <w:t xml:space="preserve"> - расстояние от оси приложения продольной силы N до центра тяжести соответственно растянутой и сжатой арматуры внецентренно растянутого сечения;</w:t>
      </w:r>
    </w:p>
    <w:p w:rsidR="00212513" w:rsidRDefault="00212513">
      <w:pPr>
        <w:pStyle w:val="ConsPlusNormal"/>
        <w:spacing w:before="220"/>
        <w:ind w:firstLine="540"/>
        <w:jc w:val="both"/>
      </w:pPr>
      <w:r>
        <w:rPr>
          <w:i/>
        </w:rPr>
        <w:t>i</w:t>
      </w:r>
      <w:r>
        <w:t xml:space="preserve"> - радиус инерции поперечного сечения;</w:t>
      </w:r>
    </w:p>
    <w:p w:rsidR="00212513" w:rsidRDefault="00212513">
      <w:pPr>
        <w:pStyle w:val="ConsPlusNormal"/>
        <w:spacing w:before="220"/>
        <w:ind w:firstLine="540"/>
        <w:jc w:val="both"/>
      </w:pPr>
      <w:r>
        <w:rPr>
          <w:i/>
        </w:rPr>
        <w:t>r</w:t>
      </w:r>
      <w:r>
        <w:t xml:space="preserve"> - ядровое расстояние;</w:t>
      </w:r>
    </w:p>
    <w:p w:rsidR="00212513" w:rsidRDefault="00212513">
      <w:pPr>
        <w:pStyle w:val="ConsPlusNormal"/>
        <w:spacing w:before="220"/>
        <w:ind w:firstLine="540"/>
        <w:jc w:val="both"/>
      </w:pPr>
      <w:r>
        <w:rPr>
          <w:i/>
        </w:rPr>
        <w:t>d</w:t>
      </w:r>
      <w:r>
        <w:t xml:space="preserve"> - диаметр круглого элемента, номинальный диаметр арматурных стержней.</w:t>
      </w:r>
    </w:p>
    <w:p w:rsidR="00212513" w:rsidRDefault="00212513">
      <w:pPr>
        <w:pStyle w:val="ConsPlusNormal"/>
        <w:ind w:firstLine="540"/>
        <w:jc w:val="both"/>
      </w:pPr>
    </w:p>
    <w:p w:rsidR="00212513" w:rsidRDefault="00212513">
      <w:pPr>
        <w:pStyle w:val="ConsPlusNormal"/>
        <w:jc w:val="center"/>
      </w:pPr>
      <w:r>
        <w:rPr>
          <w:i/>
        </w:rPr>
        <w:t>Напряжения в бетоне</w:t>
      </w:r>
    </w:p>
    <w:p w:rsidR="00212513" w:rsidRDefault="00212513">
      <w:pPr>
        <w:pStyle w:val="ConsPlusNormal"/>
        <w:ind w:firstLine="540"/>
        <w:jc w:val="both"/>
      </w:pPr>
    </w:p>
    <w:p w:rsidR="00212513" w:rsidRDefault="00212513">
      <w:pPr>
        <w:pStyle w:val="ConsPlusNormal"/>
        <w:ind w:firstLine="540"/>
        <w:jc w:val="both"/>
      </w:pPr>
      <w:r>
        <w:rPr>
          <w:noProof/>
          <w:position w:val="-8"/>
        </w:rPr>
        <w:drawing>
          <wp:inline distT="0" distB="0" distL="0" distR="0">
            <wp:extent cx="241935" cy="251460"/>
            <wp:effectExtent l="0" t="0" r="0" b="0"/>
            <wp:docPr id="2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7"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растягивающее (с учетом потерь) напряжение в бетоне растянутой зоны предварительно напряженного элемента под временной нагрузкой;</w:t>
      </w:r>
    </w:p>
    <w:p w:rsidR="00212513" w:rsidRDefault="00212513">
      <w:pPr>
        <w:pStyle w:val="ConsPlusNormal"/>
        <w:spacing w:before="220"/>
        <w:ind w:firstLine="540"/>
        <w:jc w:val="both"/>
      </w:pPr>
      <w:r>
        <w:rPr>
          <w:noProof/>
          <w:position w:val="-8"/>
        </w:rPr>
        <w:drawing>
          <wp:inline distT="0" distB="0" distL="0" distR="0">
            <wp:extent cx="262890" cy="251460"/>
            <wp:effectExtent l="0" t="0" r="0" b="0"/>
            <wp:docPr id="2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8"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w:t>
      </w:r>
      <w:r>
        <w:rPr>
          <w:noProof/>
          <w:position w:val="-8"/>
        </w:rPr>
        <w:drawing>
          <wp:inline distT="0" distB="0" distL="0" distR="0">
            <wp:extent cx="281940" cy="251460"/>
            <wp:effectExtent l="0" t="0" r="0" b="0"/>
            <wp:docPr id="2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9"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xml:space="preserve"> - главные растягивающие и главные сжимающие напряжения;</w:t>
      </w:r>
    </w:p>
    <w:p w:rsidR="00212513" w:rsidRDefault="00212513">
      <w:pPr>
        <w:pStyle w:val="ConsPlusNormal"/>
        <w:spacing w:before="220"/>
        <w:ind w:firstLine="540"/>
        <w:jc w:val="both"/>
      </w:pPr>
      <w:r>
        <w:rPr>
          <w:noProof/>
          <w:position w:val="-8"/>
        </w:rPr>
        <w:drawing>
          <wp:inline distT="0" distB="0" distL="0" distR="0">
            <wp:extent cx="251460" cy="251460"/>
            <wp:effectExtent l="0" t="0" r="0" b="0"/>
            <wp:docPr id="2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w:t>
      </w:r>
      <w:r>
        <w:rPr>
          <w:noProof/>
          <w:position w:val="-9"/>
        </w:rPr>
        <w:drawing>
          <wp:inline distT="0" distB="0" distL="0" distR="0">
            <wp:extent cx="251460" cy="262890"/>
            <wp:effectExtent l="0" t="0" r="0" b="0"/>
            <wp:docPr id="2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1"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 нормальные напряжения в бетоне соответственно вдоль продольной оси и в направлении, нормальном к ней;</w:t>
      </w:r>
    </w:p>
    <w:p w:rsidR="00212513" w:rsidRDefault="00212513">
      <w:pPr>
        <w:pStyle w:val="ConsPlusNormal"/>
        <w:spacing w:before="220"/>
        <w:ind w:firstLine="540"/>
        <w:jc w:val="both"/>
      </w:pPr>
      <w:r>
        <w:rPr>
          <w:noProof/>
          <w:position w:val="-8"/>
        </w:rPr>
        <w:drawing>
          <wp:inline distT="0" distB="0" distL="0" distR="0">
            <wp:extent cx="177800" cy="251460"/>
            <wp:effectExtent l="0" t="0" r="0" b="0"/>
            <wp:docPr id="2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2"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касательные напряжения в бетоне.</w:t>
      </w:r>
    </w:p>
    <w:p w:rsidR="00212513" w:rsidRDefault="00212513">
      <w:pPr>
        <w:pStyle w:val="ConsPlusNormal"/>
        <w:ind w:firstLine="540"/>
        <w:jc w:val="both"/>
      </w:pPr>
    </w:p>
    <w:p w:rsidR="00212513" w:rsidRDefault="00212513">
      <w:pPr>
        <w:pStyle w:val="ConsPlusNormal"/>
        <w:jc w:val="center"/>
      </w:pPr>
      <w:r>
        <w:rPr>
          <w:i/>
        </w:rPr>
        <w:t>Напряжения в арматуре</w:t>
      </w:r>
    </w:p>
    <w:p w:rsidR="00212513" w:rsidRDefault="00212513">
      <w:pPr>
        <w:pStyle w:val="ConsPlusNormal"/>
        <w:ind w:firstLine="540"/>
        <w:jc w:val="both"/>
      </w:pPr>
    </w:p>
    <w:p w:rsidR="00212513" w:rsidRDefault="00212513">
      <w:pPr>
        <w:pStyle w:val="ConsPlusNormal"/>
        <w:ind w:firstLine="540"/>
        <w:jc w:val="both"/>
      </w:pPr>
      <w:r>
        <w:rPr>
          <w:noProof/>
          <w:position w:val="-8"/>
        </w:rPr>
        <w:drawing>
          <wp:inline distT="0" distB="0" distL="0" distR="0">
            <wp:extent cx="209550" cy="251460"/>
            <wp:effectExtent l="0" t="0" r="0" b="0"/>
            <wp:docPr id="2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напряжение в ненапрягаемой растянутой арматуре под нагрузкой;</w:t>
      </w:r>
    </w:p>
    <w:p w:rsidR="00212513" w:rsidRDefault="00212513">
      <w:pPr>
        <w:pStyle w:val="ConsPlusNormal"/>
        <w:spacing w:before="220"/>
        <w:ind w:firstLine="540"/>
        <w:jc w:val="both"/>
      </w:pPr>
      <w:r>
        <w:rPr>
          <w:noProof/>
          <w:position w:val="-9"/>
        </w:rPr>
        <w:lastRenderedPageBreak/>
        <w:drawing>
          <wp:inline distT="0" distB="0" distL="0" distR="0">
            <wp:extent cx="220980" cy="262890"/>
            <wp:effectExtent l="0" t="0" r="0" b="0"/>
            <wp:docPr id="2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4"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суммарное напряжение в напрягаемой арматуре растянутой зоны под нагрузкой;</w:t>
      </w:r>
    </w:p>
    <w:p w:rsidR="00212513" w:rsidRDefault="00212513">
      <w:pPr>
        <w:pStyle w:val="ConsPlusNormal"/>
        <w:spacing w:before="220"/>
        <w:ind w:firstLine="540"/>
        <w:jc w:val="both"/>
      </w:pPr>
      <w:r>
        <w:rPr>
          <w:noProof/>
          <w:position w:val="-9"/>
        </w:rPr>
        <w:drawing>
          <wp:inline distT="0" distB="0" distL="0" distR="0">
            <wp:extent cx="262890" cy="262890"/>
            <wp:effectExtent l="0" t="0" r="0" b="0"/>
            <wp:docPr id="2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вводимое в расчет остаточное напряжение в напрягаемой арматуре, расположенной в сжатой зоне </w:t>
      </w:r>
      <w:r>
        <w:rPr>
          <w:noProof/>
          <w:position w:val="-9"/>
        </w:rPr>
        <w:drawing>
          <wp:inline distT="0" distB="0" distL="0" distR="0">
            <wp:extent cx="1200785" cy="262890"/>
            <wp:effectExtent l="0" t="0" r="0" b="0"/>
            <wp:docPr id="2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6" cstate="print">
                      <a:extLst>
                        <a:ext uri="{28A0092B-C50C-407E-A947-70E740481C1C}">
                          <a14:useLocalDpi xmlns:a14="http://schemas.microsoft.com/office/drawing/2010/main" val="0"/>
                        </a:ext>
                      </a:extLst>
                    </a:blip>
                    <a:srcRect/>
                    <a:stretch>
                      <a:fillRect/>
                    </a:stretch>
                  </pic:blipFill>
                  <pic:spPr bwMode="auto">
                    <a:xfrm>
                      <a:off x="0" y="0"/>
                      <a:ext cx="1200785" cy="262890"/>
                    </a:xfrm>
                    <a:prstGeom prst="rect">
                      <a:avLst/>
                    </a:prstGeom>
                    <a:noFill/>
                    <a:ln>
                      <a:noFill/>
                    </a:ln>
                  </pic:spPr>
                </pic:pic>
              </a:graphicData>
            </a:graphic>
          </wp:inline>
        </w:drawing>
      </w:r>
      <w:r>
        <w:t>;</w:t>
      </w:r>
    </w:p>
    <w:p w:rsidR="00212513" w:rsidRDefault="00212513">
      <w:pPr>
        <w:pStyle w:val="ConsPlusNormal"/>
        <w:spacing w:before="220"/>
        <w:ind w:firstLine="540"/>
        <w:jc w:val="both"/>
      </w:pPr>
      <w:r>
        <w:rPr>
          <w:noProof/>
          <w:position w:val="-9"/>
        </w:rPr>
        <w:drawing>
          <wp:inline distT="0" distB="0" distL="0" distR="0">
            <wp:extent cx="304165" cy="262890"/>
            <wp:effectExtent l="0" t="0" r="0" b="0"/>
            <wp:docPr id="2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7" cstate="print">
                      <a:extLst>
                        <a:ext uri="{28A0092B-C50C-407E-A947-70E740481C1C}">
                          <a14:useLocalDpi xmlns:a14="http://schemas.microsoft.com/office/drawing/2010/main" val="0"/>
                        </a:ext>
                      </a:extLst>
                    </a:blip>
                    <a:srcRect/>
                    <a:stretch>
                      <a:fillRect/>
                    </a:stretch>
                  </pic:blipFill>
                  <pic:spPr bwMode="auto">
                    <a:xfrm>
                      <a:off x="0" y="0"/>
                      <a:ext cx="304165" cy="262890"/>
                    </a:xfrm>
                    <a:prstGeom prst="rect">
                      <a:avLst/>
                    </a:prstGeom>
                    <a:noFill/>
                    <a:ln>
                      <a:noFill/>
                    </a:ln>
                  </pic:spPr>
                </pic:pic>
              </a:graphicData>
            </a:graphic>
          </wp:inline>
        </w:drawing>
      </w:r>
      <w:r>
        <w:t xml:space="preserve"> - расчетное напряжение (за вычетом всех потерь) в напрягаемой арматуре, расположенной в сжатой зоне.</w:t>
      </w:r>
    </w:p>
    <w:p w:rsidR="00212513" w:rsidRDefault="00212513">
      <w:pPr>
        <w:pStyle w:val="ConsPlusNormal"/>
        <w:ind w:firstLine="540"/>
        <w:jc w:val="both"/>
      </w:pPr>
    </w:p>
    <w:p w:rsidR="00212513" w:rsidRDefault="00212513">
      <w:pPr>
        <w:pStyle w:val="ConsPlusNormal"/>
        <w:jc w:val="center"/>
      </w:pPr>
      <w:r>
        <w:rPr>
          <w:b/>
        </w:rPr>
        <w:t xml:space="preserve">В </w:t>
      </w:r>
      <w:hyperlink w:anchor="P6057">
        <w:r>
          <w:rPr>
            <w:b/>
            <w:color w:val="0000FF"/>
          </w:rPr>
          <w:t>разделе 8</w:t>
        </w:r>
      </w:hyperlink>
      <w:r>
        <w:rPr>
          <w:b/>
        </w:rPr>
        <w:t xml:space="preserve"> "Стальные конструкции"</w:t>
      </w:r>
    </w:p>
    <w:p w:rsidR="00212513" w:rsidRDefault="00212513">
      <w:pPr>
        <w:pStyle w:val="ConsPlusNormal"/>
        <w:ind w:firstLine="540"/>
        <w:jc w:val="both"/>
      </w:pPr>
    </w:p>
    <w:p w:rsidR="00212513" w:rsidRDefault="00212513">
      <w:pPr>
        <w:pStyle w:val="ConsPlusNormal"/>
        <w:ind w:firstLine="540"/>
        <w:jc w:val="both"/>
      </w:pPr>
      <w:r>
        <w:rPr>
          <w:i/>
        </w:rPr>
        <w:t>A</w:t>
      </w:r>
      <w:r>
        <w:t xml:space="preserve"> - площадь сечения брутто;</w:t>
      </w:r>
    </w:p>
    <w:p w:rsidR="00212513" w:rsidRDefault="00212513">
      <w:pPr>
        <w:pStyle w:val="ConsPlusNormal"/>
        <w:spacing w:before="220"/>
        <w:ind w:firstLine="540"/>
        <w:jc w:val="both"/>
      </w:pPr>
      <w:r>
        <w:rPr>
          <w:noProof/>
          <w:position w:val="-8"/>
        </w:rPr>
        <w:drawing>
          <wp:inline distT="0" distB="0" distL="0" distR="0">
            <wp:extent cx="251460" cy="251460"/>
            <wp:effectExtent l="0" t="0" r="0" b="0"/>
            <wp:docPr id="2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площадь сечения болта нетто;</w:t>
      </w:r>
    </w:p>
    <w:p w:rsidR="00212513" w:rsidRDefault="00212513">
      <w:pPr>
        <w:pStyle w:val="ConsPlusNormal"/>
        <w:spacing w:before="220"/>
        <w:ind w:firstLine="540"/>
        <w:jc w:val="both"/>
      </w:pPr>
      <w:r>
        <w:rPr>
          <w:noProof/>
          <w:position w:val="-8"/>
        </w:rPr>
        <w:drawing>
          <wp:inline distT="0" distB="0" distL="0" distR="0">
            <wp:extent cx="209550" cy="251460"/>
            <wp:effectExtent l="0" t="0" r="0" b="0"/>
            <wp:docPr id="2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площадь сечения нетто;</w:t>
      </w:r>
    </w:p>
    <w:p w:rsidR="00212513" w:rsidRDefault="00212513">
      <w:pPr>
        <w:pStyle w:val="ConsPlusNormal"/>
        <w:spacing w:before="220"/>
        <w:ind w:firstLine="540"/>
        <w:jc w:val="both"/>
      </w:pPr>
      <w:r>
        <w:rPr>
          <w:noProof/>
          <w:position w:val="-9"/>
        </w:rPr>
        <w:drawing>
          <wp:inline distT="0" distB="0" distL="0" distR="0">
            <wp:extent cx="220980" cy="262890"/>
            <wp:effectExtent l="0" t="0" r="0" b="0"/>
            <wp:docPr id="2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0"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площадь сечения полки (пояса);</w:t>
      </w:r>
    </w:p>
    <w:p w:rsidR="00212513" w:rsidRDefault="00212513">
      <w:pPr>
        <w:pStyle w:val="ConsPlusNormal"/>
        <w:spacing w:before="220"/>
        <w:ind w:firstLine="540"/>
        <w:jc w:val="both"/>
      </w:pPr>
      <w:r>
        <w:rPr>
          <w:noProof/>
          <w:position w:val="-8"/>
        </w:rPr>
        <w:drawing>
          <wp:inline distT="0" distB="0" distL="0" distR="0">
            <wp:extent cx="220980" cy="251460"/>
            <wp:effectExtent l="0" t="0" r="0" b="0"/>
            <wp:docPr id="2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1"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площадь сечения стенки;</w:t>
      </w:r>
    </w:p>
    <w:p w:rsidR="00212513" w:rsidRDefault="00212513">
      <w:pPr>
        <w:pStyle w:val="ConsPlusNormal"/>
        <w:spacing w:before="220"/>
        <w:ind w:firstLine="540"/>
        <w:jc w:val="both"/>
      </w:pPr>
      <w:r>
        <w:rPr>
          <w:noProof/>
          <w:position w:val="-9"/>
        </w:rPr>
        <w:drawing>
          <wp:inline distT="0" distB="0" distL="0" distR="0">
            <wp:extent cx="281940" cy="262890"/>
            <wp:effectExtent l="0" t="0" r="0" b="0"/>
            <wp:docPr id="2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2" cstate="print">
                      <a:extLst>
                        <a:ext uri="{28A0092B-C50C-407E-A947-70E740481C1C}">
                          <a14:useLocalDpi xmlns:a14="http://schemas.microsoft.com/office/drawing/2010/main" val="0"/>
                        </a:ext>
                      </a:extLst>
                    </a:blip>
                    <a:srcRect/>
                    <a:stretch>
                      <a:fillRect/>
                    </a:stretch>
                  </pic:blipFill>
                  <pic:spPr bwMode="auto">
                    <a:xfrm>
                      <a:off x="0" y="0"/>
                      <a:ext cx="281940" cy="262890"/>
                    </a:xfrm>
                    <a:prstGeom prst="rect">
                      <a:avLst/>
                    </a:prstGeom>
                    <a:noFill/>
                    <a:ln>
                      <a:noFill/>
                    </a:ln>
                  </pic:spPr>
                </pic:pic>
              </a:graphicData>
            </a:graphic>
          </wp:inline>
        </w:drawing>
      </w:r>
      <w:r>
        <w:t xml:space="preserve"> - площадь сечения по металлу углового шва;</w:t>
      </w:r>
    </w:p>
    <w:p w:rsidR="00212513" w:rsidRDefault="00212513">
      <w:pPr>
        <w:pStyle w:val="ConsPlusNormal"/>
        <w:spacing w:before="220"/>
        <w:ind w:firstLine="540"/>
        <w:jc w:val="both"/>
      </w:pPr>
      <w:r>
        <w:rPr>
          <w:noProof/>
          <w:position w:val="-8"/>
        </w:rPr>
        <w:drawing>
          <wp:inline distT="0" distB="0" distL="0" distR="0">
            <wp:extent cx="262890" cy="251460"/>
            <wp:effectExtent l="0" t="0" r="0" b="0"/>
            <wp:docPr id="2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3"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площадь сечения по металлу границы сплавления;</w:t>
      </w:r>
    </w:p>
    <w:p w:rsidR="00212513" w:rsidRDefault="00212513">
      <w:pPr>
        <w:pStyle w:val="ConsPlusNormal"/>
        <w:spacing w:before="220"/>
        <w:ind w:firstLine="540"/>
        <w:jc w:val="both"/>
      </w:pPr>
      <w:r>
        <w:rPr>
          <w:i/>
        </w:rPr>
        <w:t>E</w:t>
      </w:r>
      <w:r>
        <w:t xml:space="preserve"> - модуль упругости;</w:t>
      </w:r>
    </w:p>
    <w:p w:rsidR="00212513" w:rsidRDefault="00212513">
      <w:pPr>
        <w:pStyle w:val="ConsPlusNormal"/>
        <w:spacing w:before="220"/>
        <w:ind w:firstLine="540"/>
        <w:jc w:val="both"/>
      </w:pPr>
      <w:r>
        <w:rPr>
          <w:i/>
        </w:rPr>
        <w:t>F</w:t>
      </w:r>
      <w:r>
        <w:t xml:space="preserve"> - сила;</w:t>
      </w:r>
    </w:p>
    <w:p w:rsidR="00212513" w:rsidRDefault="00212513">
      <w:pPr>
        <w:pStyle w:val="ConsPlusNormal"/>
        <w:spacing w:before="220"/>
        <w:ind w:firstLine="540"/>
        <w:jc w:val="both"/>
      </w:pPr>
      <w:r>
        <w:rPr>
          <w:i/>
        </w:rPr>
        <w:t>G</w:t>
      </w:r>
      <w:r>
        <w:t xml:space="preserve"> - модуль сдвига;</w:t>
      </w:r>
    </w:p>
    <w:p w:rsidR="00212513" w:rsidRDefault="00212513">
      <w:pPr>
        <w:pStyle w:val="ConsPlusNormal"/>
        <w:spacing w:before="220"/>
        <w:ind w:firstLine="540"/>
        <w:jc w:val="both"/>
      </w:pPr>
      <w:r>
        <w:rPr>
          <w:noProof/>
          <w:position w:val="-8"/>
        </w:rPr>
        <w:drawing>
          <wp:inline distT="0" distB="0" distL="0" distR="0">
            <wp:extent cx="167640" cy="251460"/>
            <wp:effectExtent l="0" t="0" r="0" b="0"/>
            <wp:docPr id="2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момент инерции сечения ребра;</w:t>
      </w:r>
    </w:p>
    <w:p w:rsidR="00212513" w:rsidRDefault="00212513">
      <w:pPr>
        <w:pStyle w:val="ConsPlusNormal"/>
        <w:spacing w:before="220"/>
        <w:ind w:firstLine="540"/>
        <w:jc w:val="both"/>
      </w:pPr>
      <w:r>
        <w:rPr>
          <w:noProof/>
          <w:position w:val="-8"/>
        </w:rPr>
        <w:drawing>
          <wp:inline distT="0" distB="0" distL="0" distR="0">
            <wp:extent cx="198755" cy="250825"/>
            <wp:effectExtent l="0" t="0" r="0" b="0"/>
            <wp:docPr id="2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5"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момент инерции сечения продольного ребра;</w:t>
      </w:r>
    </w:p>
    <w:p w:rsidR="00212513" w:rsidRDefault="00212513">
      <w:pPr>
        <w:pStyle w:val="ConsPlusNormal"/>
        <w:spacing w:before="220"/>
        <w:ind w:firstLine="540"/>
        <w:jc w:val="both"/>
      </w:pPr>
      <w:r>
        <w:rPr>
          <w:noProof/>
          <w:position w:val="-8"/>
        </w:rPr>
        <w:drawing>
          <wp:inline distT="0" distB="0" distL="0" distR="0">
            <wp:extent cx="156845" cy="251460"/>
            <wp:effectExtent l="0" t="0" r="0" b="0"/>
            <wp:docPr id="2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6"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 момент инерции кручения балки;</w:t>
      </w:r>
    </w:p>
    <w:p w:rsidR="00212513" w:rsidRDefault="00212513">
      <w:pPr>
        <w:pStyle w:val="ConsPlusNormal"/>
        <w:spacing w:before="220"/>
        <w:ind w:firstLine="540"/>
        <w:jc w:val="both"/>
      </w:pPr>
      <w:r>
        <w:rPr>
          <w:noProof/>
          <w:position w:val="-8"/>
        </w:rPr>
        <w:drawing>
          <wp:inline distT="0" distB="0" distL="0" distR="0">
            <wp:extent cx="177800" cy="251460"/>
            <wp:effectExtent l="0" t="0" r="0" b="0"/>
            <wp:docPr id="2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7"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w:t>
      </w:r>
      <w:r>
        <w:rPr>
          <w:noProof/>
          <w:position w:val="-9"/>
        </w:rPr>
        <w:drawing>
          <wp:inline distT="0" distB="0" distL="0" distR="0">
            <wp:extent cx="177800" cy="262890"/>
            <wp:effectExtent l="0" t="0" r="0" b="0"/>
            <wp:docPr id="2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8"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 моменты инерции сечения брутто относительно осей соответственно </w:t>
      </w:r>
      <w:r>
        <w:rPr>
          <w:i/>
        </w:rPr>
        <w:t>x</w:t>
      </w:r>
      <w:r>
        <w:t xml:space="preserve"> - </w:t>
      </w:r>
      <w:r>
        <w:rPr>
          <w:i/>
        </w:rPr>
        <w:t>x</w:t>
      </w:r>
      <w:r>
        <w:t xml:space="preserve"> и </w:t>
      </w:r>
      <w:r>
        <w:rPr>
          <w:i/>
        </w:rPr>
        <w:t>y</w:t>
      </w:r>
      <w:r>
        <w:t xml:space="preserve"> - </w:t>
      </w:r>
      <w:r>
        <w:rPr>
          <w:i/>
        </w:rPr>
        <w:t>y</w:t>
      </w:r>
      <w:r>
        <w:t xml:space="preserve">, здесь и далее ось </w:t>
      </w:r>
      <w:r>
        <w:rPr>
          <w:i/>
        </w:rPr>
        <w:t>x</w:t>
      </w:r>
      <w:r>
        <w:t xml:space="preserve"> - </w:t>
      </w:r>
      <w:r>
        <w:rPr>
          <w:i/>
        </w:rPr>
        <w:t>x</w:t>
      </w:r>
      <w:r>
        <w:t xml:space="preserve"> - горизонтальная, ось </w:t>
      </w:r>
      <w:r>
        <w:rPr>
          <w:i/>
        </w:rPr>
        <w:t>y</w:t>
      </w:r>
      <w:r>
        <w:t xml:space="preserve"> - </w:t>
      </w:r>
      <w:r>
        <w:rPr>
          <w:i/>
        </w:rPr>
        <w:t>y</w:t>
      </w:r>
      <w:r>
        <w:t xml:space="preserve"> - вертикальная;</w:t>
      </w:r>
    </w:p>
    <w:p w:rsidR="00212513" w:rsidRDefault="00212513">
      <w:pPr>
        <w:pStyle w:val="ConsPlusNormal"/>
        <w:spacing w:before="220"/>
        <w:ind w:firstLine="540"/>
        <w:jc w:val="both"/>
      </w:pPr>
      <w:r>
        <w:rPr>
          <w:noProof/>
          <w:position w:val="-8"/>
        </w:rPr>
        <w:drawing>
          <wp:inline distT="0" distB="0" distL="0" distR="0">
            <wp:extent cx="220980" cy="251460"/>
            <wp:effectExtent l="0" t="0" r="0" b="0"/>
            <wp:docPr id="2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9"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2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0"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то же, сечения нетто;</w:t>
      </w:r>
    </w:p>
    <w:p w:rsidR="00212513" w:rsidRDefault="00212513">
      <w:pPr>
        <w:pStyle w:val="ConsPlusNormal"/>
        <w:spacing w:before="220"/>
        <w:ind w:firstLine="540"/>
        <w:jc w:val="both"/>
      </w:pPr>
      <w:r>
        <w:rPr>
          <w:i/>
        </w:rPr>
        <w:t>M</w:t>
      </w:r>
      <w:r>
        <w:t xml:space="preserve"> - момент, изгибающий момент;</w:t>
      </w:r>
    </w:p>
    <w:p w:rsidR="00212513" w:rsidRDefault="00212513">
      <w:pPr>
        <w:pStyle w:val="ConsPlusNormal"/>
        <w:spacing w:before="220"/>
        <w:ind w:firstLine="540"/>
        <w:jc w:val="both"/>
      </w:pPr>
      <w:r>
        <w:rPr>
          <w:noProof/>
          <w:position w:val="-8"/>
        </w:rPr>
        <w:drawing>
          <wp:inline distT="0" distB="0" distL="0" distR="0">
            <wp:extent cx="293370" cy="251460"/>
            <wp:effectExtent l="0" t="0" r="0" b="0"/>
            <wp:docPr id="2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1"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 критический изгибающий момент в пределах расчетной длины сжатого пояса балки, определяемый по теории тонкостенных упругих стержней для заданных условий закрепления и нагружения балки;</w:t>
      </w:r>
    </w:p>
    <w:p w:rsidR="00212513" w:rsidRDefault="00212513">
      <w:pPr>
        <w:pStyle w:val="ConsPlusNormal"/>
        <w:spacing w:before="220"/>
        <w:ind w:firstLine="540"/>
        <w:jc w:val="both"/>
      </w:pPr>
      <w:r>
        <w:rPr>
          <w:noProof/>
          <w:position w:val="-8"/>
        </w:rPr>
        <w:drawing>
          <wp:inline distT="0" distB="0" distL="0" distR="0">
            <wp:extent cx="262890" cy="251460"/>
            <wp:effectExtent l="0" t="0" r="0" b="0"/>
            <wp:docPr id="2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2"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w:t>
      </w:r>
      <w:r>
        <w:rPr>
          <w:noProof/>
          <w:position w:val="-9"/>
        </w:rPr>
        <w:drawing>
          <wp:inline distT="0" distB="0" distL="0" distR="0">
            <wp:extent cx="262890" cy="262890"/>
            <wp:effectExtent l="0" t="0" r="0" b="0"/>
            <wp:docPr id="2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3"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моменты относительно осей соответственно </w:t>
      </w:r>
      <w:r>
        <w:rPr>
          <w:i/>
        </w:rPr>
        <w:t>x</w:t>
      </w:r>
      <w:r>
        <w:t xml:space="preserve"> - </w:t>
      </w:r>
      <w:r>
        <w:rPr>
          <w:i/>
        </w:rPr>
        <w:t>x</w:t>
      </w:r>
      <w:r>
        <w:t xml:space="preserve"> и </w:t>
      </w:r>
      <w:r>
        <w:rPr>
          <w:i/>
        </w:rPr>
        <w:t>y</w:t>
      </w:r>
      <w:r>
        <w:t xml:space="preserve"> - </w:t>
      </w:r>
      <w:r>
        <w:rPr>
          <w:i/>
        </w:rPr>
        <w:t>y</w:t>
      </w:r>
      <w:r>
        <w:t>;</w:t>
      </w:r>
    </w:p>
    <w:p w:rsidR="00212513" w:rsidRDefault="00212513">
      <w:pPr>
        <w:pStyle w:val="ConsPlusNormal"/>
        <w:spacing w:before="220"/>
        <w:ind w:firstLine="540"/>
        <w:jc w:val="both"/>
      </w:pPr>
      <w:r>
        <w:rPr>
          <w:i/>
        </w:rPr>
        <w:lastRenderedPageBreak/>
        <w:t>N</w:t>
      </w:r>
      <w:r>
        <w:t xml:space="preserve"> - продольная сила;</w:t>
      </w:r>
    </w:p>
    <w:p w:rsidR="00212513" w:rsidRDefault="00212513">
      <w:pPr>
        <w:pStyle w:val="ConsPlusNormal"/>
        <w:spacing w:before="220"/>
        <w:ind w:firstLine="540"/>
        <w:jc w:val="both"/>
      </w:pPr>
      <w:r>
        <w:rPr>
          <w:noProof/>
          <w:position w:val="-8"/>
        </w:rPr>
        <w:drawing>
          <wp:inline distT="0" distB="0" distL="0" distR="0">
            <wp:extent cx="262890" cy="251460"/>
            <wp:effectExtent l="0" t="0" r="0" b="0"/>
            <wp:docPr id="2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критическая нормальная сила, определяемая по теории тонкостенных упругих стержней для заданных условий закрепления и нагружения элементов;</w:t>
      </w:r>
    </w:p>
    <w:p w:rsidR="00212513" w:rsidRDefault="00212513">
      <w:pPr>
        <w:pStyle w:val="ConsPlusNormal"/>
        <w:spacing w:before="220"/>
        <w:ind w:firstLine="540"/>
        <w:jc w:val="both"/>
      </w:pPr>
      <w:r>
        <w:rPr>
          <w:i/>
        </w:rPr>
        <w:t>Q</w:t>
      </w:r>
      <w:r>
        <w:t xml:space="preserve"> - поперечная сила, сила сдвига;</w:t>
      </w:r>
    </w:p>
    <w:p w:rsidR="00212513" w:rsidRDefault="00212513">
      <w:pPr>
        <w:pStyle w:val="ConsPlusNormal"/>
        <w:spacing w:before="220"/>
        <w:ind w:firstLine="540"/>
        <w:jc w:val="both"/>
      </w:pPr>
      <w:r>
        <w:rPr>
          <w:noProof/>
          <w:position w:val="-9"/>
        </w:rPr>
        <w:drawing>
          <wp:inline distT="0" distB="0" distL="0" distR="0">
            <wp:extent cx="281940" cy="262890"/>
            <wp:effectExtent l="0" t="0" r="0" b="0"/>
            <wp:docPr id="2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5" cstate="print">
                      <a:extLst>
                        <a:ext uri="{28A0092B-C50C-407E-A947-70E740481C1C}">
                          <a14:useLocalDpi xmlns:a14="http://schemas.microsoft.com/office/drawing/2010/main" val="0"/>
                        </a:ext>
                      </a:extLst>
                    </a:blip>
                    <a:srcRect/>
                    <a:stretch>
                      <a:fillRect/>
                    </a:stretch>
                  </pic:blipFill>
                  <pic:spPr bwMode="auto">
                    <a:xfrm>
                      <a:off x="0" y="0"/>
                      <a:ext cx="281940" cy="262890"/>
                    </a:xfrm>
                    <a:prstGeom prst="rect">
                      <a:avLst/>
                    </a:prstGeom>
                    <a:noFill/>
                    <a:ln>
                      <a:noFill/>
                    </a:ln>
                  </pic:spPr>
                </pic:pic>
              </a:graphicData>
            </a:graphic>
          </wp:inline>
        </w:drawing>
      </w:r>
      <w:r>
        <w:t xml:space="preserve"> - условная поперечная сила для соединительных элементов;</w:t>
      </w:r>
    </w:p>
    <w:p w:rsidR="00212513" w:rsidRDefault="00212513">
      <w:pPr>
        <w:pStyle w:val="ConsPlusNormal"/>
        <w:spacing w:before="220"/>
        <w:ind w:firstLine="540"/>
        <w:jc w:val="both"/>
      </w:pPr>
      <w:r>
        <w:rPr>
          <w:noProof/>
          <w:position w:val="-8"/>
        </w:rPr>
        <w:drawing>
          <wp:inline distT="0" distB="0" distL="0" distR="0">
            <wp:extent cx="209550" cy="251460"/>
            <wp:effectExtent l="0" t="0" r="0" b="0"/>
            <wp:docPr id="2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условная поперечная сила, приходящаяся на систему планок, расположенных в одной плоскости;</w:t>
      </w:r>
    </w:p>
    <w:p w:rsidR="00212513" w:rsidRDefault="00212513">
      <w:pPr>
        <w:pStyle w:val="ConsPlusNormal"/>
        <w:spacing w:before="220"/>
        <w:ind w:firstLine="540"/>
        <w:jc w:val="both"/>
      </w:pPr>
      <w:r>
        <w:rPr>
          <w:noProof/>
          <w:position w:val="-8"/>
        </w:rPr>
        <w:drawing>
          <wp:inline distT="0" distB="0" distL="0" distR="0">
            <wp:extent cx="251460" cy="251460"/>
            <wp:effectExtent l="0" t="0" r="0" b="0"/>
            <wp:docPr id="2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расчетное сопротивление растяжению фундаментных (анкерных) болтов;</w:t>
      </w:r>
    </w:p>
    <w:p w:rsidR="00212513" w:rsidRDefault="00212513">
      <w:pPr>
        <w:pStyle w:val="ConsPlusNormal"/>
        <w:spacing w:before="220"/>
        <w:ind w:firstLine="540"/>
        <w:jc w:val="both"/>
      </w:pPr>
      <w:r>
        <w:rPr>
          <w:noProof/>
          <w:position w:val="-8"/>
        </w:rPr>
        <w:drawing>
          <wp:inline distT="0" distB="0" distL="0" distR="0">
            <wp:extent cx="251460" cy="251460"/>
            <wp:effectExtent l="0" t="0" r="0" b="0"/>
            <wp:docPr id="2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расчетное сопротивление растяжению высокопрочных болтов;</w:t>
      </w:r>
    </w:p>
    <w:p w:rsidR="00212513" w:rsidRDefault="00212513">
      <w:pPr>
        <w:pStyle w:val="ConsPlusNormal"/>
        <w:spacing w:before="220"/>
        <w:ind w:firstLine="540"/>
        <w:jc w:val="both"/>
      </w:pPr>
      <w:r>
        <w:rPr>
          <w:noProof/>
          <w:position w:val="-9"/>
        </w:rPr>
        <w:drawing>
          <wp:inline distT="0" distB="0" distL="0" distR="0">
            <wp:extent cx="251460" cy="262890"/>
            <wp:effectExtent l="0" t="0" r="0" b="0"/>
            <wp:docPr id="2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9"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 расчетное сопротивление смятию болтовых соединений;</w:t>
      </w:r>
    </w:p>
    <w:p w:rsidR="00212513" w:rsidRDefault="00212513">
      <w:pPr>
        <w:pStyle w:val="ConsPlusNormal"/>
        <w:spacing w:before="220"/>
        <w:ind w:firstLine="540"/>
        <w:jc w:val="both"/>
      </w:pPr>
      <w:r>
        <w:rPr>
          <w:noProof/>
          <w:position w:val="-8"/>
        </w:rPr>
        <w:drawing>
          <wp:inline distT="0" distB="0" distL="0" distR="0">
            <wp:extent cx="241935" cy="251460"/>
            <wp:effectExtent l="0" t="0" r="0" b="0"/>
            <wp:docPr id="2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0"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расчетное сопротивление болтов срезу;</w:t>
      </w:r>
    </w:p>
    <w:p w:rsidR="00212513" w:rsidRDefault="00212513">
      <w:pPr>
        <w:pStyle w:val="ConsPlusNormal"/>
        <w:spacing w:before="220"/>
        <w:ind w:firstLine="540"/>
        <w:jc w:val="both"/>
      </w:pPr>
      <w:r>
        <w:rPr>
          <w:noProof/>
          <w:position w:val="-8"/>
        </w:rPr>
        <w:drawing>
          <wp:inline distT="0" distB="0" distL="0" distR="0">
            <wp:extent cx="241935" cy="251460"/>
            <wp:effectExtent l="0" t="0" r="0" b="0"/>
            <wp:docPr id="2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1"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расчетное сопротивление болтов растяжению;</w:t>
      </w:r>
    </w:p>
    <w:p w:rsidR="00212513" w:rsidRDefault="00212513">
      <w:pPr>
        <w:pStyle w:val="ConsPlusNormal"/>
        <w:spacing w:before="220"/>
        <w:ind w:firstLine="540"/>
        <w:jc w:val="both"/>
      </w:pPr>
      <w:r>
        <w:rPr>
          <w:noProof/>
          <w:position w:val="-8"/>
        </w:rPr>
        <w:drawing>
          <wp:inline distT="0" distB="0" distL="0" distR="0">
            <wp:extent cx="304165" cy="251460"/>
            <wp:effectExtent l="0" t="0" r="0" b="0"/>
            <wp:docPr id="2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2" cstate="print">
                      <a:extLst>
                        <a:ext uri="{28A0092B-C50C-407E-A947-70E740481C1C}">
                          <a14:useLocalDpi xmlns:a14="http://schemas.microsoft.com/office/drawing/2010/main" val="0"/>
                        </a:ext>
                      </a:extLst>
                    </a:blip>
                    <a:srcRect/>
                    <a:stretch>
                      <a:fillRect/>
                    </a:stretch>
                  </pic:blipFill>
                  <pic:spPr bwMode="auto">
                    <a:xfrm>
                      <a:off x="0" y="0"/>
                      <a:ext cx="304165" cy="251460"/>
                    </a:xfrm>
                    <a:prstGeom prst="rect">
                      <a:avLst/>
                    </a:prstGeom>
                    <a:noFill/>
                    <a:ln>
                      <a:noFill/>
                    </a:ln>
                  </pic:spPr>
                </pic:pic>
              </a:graphicData>
            </a:graphic>
          </wp:inline>
        </w:drawing>
      </w:r>
      <w:r>
        <w:t xml:space="preserve"> - нормативное сопротивление стали болтов, принимаемое равным временному сопротивлению </w:t>
      </w:r>
      <w:r>
        <w:rPr>
          <w:noProof/>
          <w:position w:val="-8"/>
        </w:rPr>
        <w:drawing>
          <wp:inline distT="0" distB="0" distL="0" distR="0">
            <wp:extent cx="209550" cy="251460"/>
            <wp:effectExtent l="0" t="0" r="0" b="0"/>
            <wp:docPr id="2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по государственным стандартам и техническим условиям на болты;</w:t>
      </w:r>
    </w:p>
    <w:p w:rsidR="00212513" w:rsidRDefault="00212513">
      <w:pPr>
        <w:pStyle w:val="ConsPlusNormal"/>
        <w:spacing w:before="220"/>
        <w:ind w:firstLine="540"/>
        <w:jc w:val="both"/>
      </w:pPr>
      <w:r>
        <w:rPr>
          <w:noProof/>
          <w:position w:val="-8"/>
        </w:rPr>
        <w:drawing>
          <wp:inline distT="0" distB="0" distL="0" distR="0">
            <wp:extent cx="251460" cy="251460"/>
            <wp:effectExtent l="0" t="0" r="0" b="0"/>
            <wp:docPr id="2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4"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расчетное сопротивление диаметральному сжатию катков (при свободном касании в конструкциях с ограниченной подвижностью);</w:t>
      </w:r>
    </w:p>
    <w:p w:rsidR="00212513" w:rsidRDefault="00212513">
      <w:pPr>
        <w:pStyle w:val="ConsPlusNormal"/>
        <w:spacing w:before="220"/>
        <w:ind w:firstLine="540"/>
        <w:jc w:val="both"/>
      </w:pPr>
      <w:r>
        <w:rPr>
          <w:noProof/>
          <w:position w:val="-8"/>
        </w:rPr>
        <w:drawing>
          <wp:inline distT="0" distB="0" distL="0" distR="0">
            <wp:extent cx="251460" cy="251460"/>
            <wp:effectExtent l="0" t="0" r="0" b="0"/>
            <wp:docPr id="2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5"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расчетное сопротивление растяжению высокопрочной проволоки или каната;</w:t>
      </w:r>
    </w:p>
    <w:p w:rsidR="00212513" w:rsidRDefault="00212513">
      <w:pPr>
        <w:pStyle w:val="ConsPlusNormal"/>
        <w:spacing w:before="220"/>
        <w:ind w:firstLine="540"/>
        <w:jc w:val="both"/>
      </w:pPr>
      <w:r>
        <w:rPr>
          <w:noProof/>
          <w:position w:val="-9"/>
        </w:rPr>
        <w:drawing>
          <wp:inline distT="0" distB="0" distL="0" distR="0">
            <wp:extent cx="241935" cy="262890"/>
            <wp:effectExtent l="0" t="0" r="0" b="0"/>
            <wp:docPr id="2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6" cstate="print">
                      <a:extLst>
                        <a:ext uri="{28A0092B-C50C-407E-A947-70E740481C1C}">
                          <a14:useLocalDpi xmlns:a14="http://schemas.microsoft.com/office/drawing/2010/main" val="0"/>
                        </a:ext>
                      </a:extLst>
                    </a:blip>
                    <a:srcRect/>
                    <a:stretch>
                      <a:fillRect/>
                    </a:stretch>
                  </pic:blipFill>
                  <pic:spPr bwMode="auto">
                    <a:xfrm>
                      <a:off x="0" y="0"/>
                      <a:ext cx="241935" cy="262890"/>
                    </a:xfrm>
                    <a:prstGeom prst="rect">
                      <a:avLst/>
                    </a:prstGeom>
                    <a:noFill/>
                    <a:ln>
                      <a:noFill/>
                    </a:ln>
                  </pic:spPr>
                </pic:pic>
              </a:graphicData>
            </a:graphic>
          </wp:inline>
        </w:drawing>
      </w:r>
      <w:r>
        <w:t xml:space="preserve"> - расчетное сопротивление местному смятию в цилиндрических шарнирах (цапфах) при плотном касании;</w:t>
      </w:r>
    </w:p>
    <w:p w:rsidR="00212513" w:rsidRDefault="00212513">
      <w:pPr>
        <w:pStyle w:val="ConsPlusNormal"/>
        <w:spacing w:before="220"/>
        <w:ind w:firstLine="540"/>
        <w:jc w:val="both"/>
      </w:pPr>
      <w:r>
        <w:rPr>
          <w:noProof/>
          <w:position w:val="-9"/>
        </w:rPr>
        <w:drawing>
          <wp:inline distT="0" distB="0" distL="0" distR="0">
            <wp:extent cx="220980" cy="262890"/>
            <wp:effectExtent l="0" t="0" r="0" b="0"/>
            <wp:docPr id="2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7"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расчетное сопротивление стали смятию торцевой поверхности (при наличии пригонки);</w:t>
      </w:r>
    </w:p>
    <w:p w:rsidR="00212513" w:rsidRDefault="00212513">
      <w:pPr>
        <w:pStyle w:val="ConsPlusNormal"/>
        <w:spacing w:before="220"/>
        <w:ind w:firstLine="540"/>
        <w:jc w:val="both"/>
      </w:pPr>
      <w:r>
        <w:rPr>
          <w:noProof/>
          <w:position w:val="-8"/>
        </w:rPr>
        <w:drawing>
          <wp:inline distT="0" distB="0" distL="0" distR="0">
            <wp:extent cx="198755" cy="250825"/>
            <wp:effectExtent l="0" t="0" r="0" b="0"/>
            <wp:docPr id="2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8"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расчетное сопротивление стали сдвигу;</w:t>
      </w:r>
    </w:p>
    <w:p w:rsidR="00212513" w:rsidRDefault="00212513">
      <w:pPr>
        <w:pStyle w:val="ConsPlusNormal"/>
        <w:spacing w:before="220"/>
        <w:ind w:firstLine="540"/>
        <w:jc w:val="both"/>
      </w:pPr>
      <w:r>
        <w:rPr>
          <w:noProof/>
          <w:position w:val="-8"/>
        </w:rPr>
        <w:drawing>
          <wp:inline distT="0" distB="0" distL="0" distR="0">
            <wp:extent cx="241935" cy="251460"/>
            <wp:effectExtent l="0" t="0" r="0" b="0"/>
            <wp:docPr id="2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9"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расчетное сопротивление стали растяжению в направлении толщины проката;</w:t>
      </w:r>
    </w:p>
    <w:p w:rsidR="00212513" w:rsidRDefault="00212513">
      <w:pPr>
        <w:pStyle w:val="ConsPlusNormal"/>
        <w:spacing w:before="220"/>
        <w:ind w:firstLine="540"/>
        <w:jc w:val="both"/>
      </w:pPr>
      <w:r>
        <w:rPr>
          <w:noProof/>
          <w:position w:val="-8"/>
        </w:rPr>
        <w:drawing>
          <wp:inline distT="0" distB="0" distL="0" distR="0">
            <wp:extent cx="209550" cy="251460"/>
            <wp:effectExtent l="0" t="0" r="0" b="0"/>
            <wp:docPr id="2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расчетное сопротивление стали растяжению, сжатию, изгибу по временному сопротивлению;</w:t>
      </w:r>
    </w:p>
    <w:p w:rsidR="00212513" w:rsidRDefault="00212513">
      <w:pPr>
        <w:pStyle w:val="ConsPlusNormal"/>
        <w:spacing w:before="220"/>
        <w:ind w:firstLine="540"/>
        <w:jc w:val="both"/>
      </w:pPr>
      <w:r>
        <w:rPr>
          <w:noProof/>
          <w:position w:val="-8"/>
        </w:rPr>
        <w:drawing>
          <wp:inline distT="0" distB="0" distL="0" distR="0">
            <wp:extent cx="251460" cy="251460"/>
            <wp:effectExtent l="0" t="0" r="0" b="0"/>
            <wp:docPr id="2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1"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временное сопротивление стали разрыву, принимаемое равным минимальному значению </w:t>
      </w:r>
      <w:r>
        <w:rPr>
          <w:noProof/>
          <w:position w:val="-8"/>
        </w:rPr>
        <w:drawing>
          <wp:inline distT="0" distB="0" distL="0" distR="0">
            <wp:extent cx="209550" cy="251460"/>
            <wp:effectExtent l="0" t="0" r="0" b="0"/>
            <wp:docPr id="2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по государственным стандартам и техническим условиям на сталь;</w:t>
      </w:r>
    </w:p>
    <w:p w:rsidR="00212513" w:rsidRDefault="00212513">
      <w:pPr>
        <w:pStyle w:val="ConsPlusNormal"/>
        <w:spacing w:before="220"/>
        <w:ind w:firstLine="540"/>
        <w:jc w:val="both"/>
      </w:pPr>
      <w:r>
        <w:rPr>
          <w:noProof/>
          <w:position w:val="-9"/>
        </w:rPr>
        <w:drawing>
          <wp:inline distT="0" distB="0" distL="0" distR="0">
            <wp:extent cx="281940" cy="262890"/>
            <wp:effectExtent l="0" t="0" r="0" b="0"/>
            <wp:docPr id="2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2" cstate="print">
                      <a:extLst>
                        <a:ext uri="{28A0092B-C50C-407E-A947-70E740481C1C}">
                          <a14:useLocalDpi xmlns:a14="http://schemas.microsoft.com/office/drawing/2010/main" val="0"/>
                        </a:ext>
                      </a:extLst>
                    </a:blip>
                    <a:srcRect/>
                    <a:stretch>
                      <a:fillRect/>
                    </a:stretch>
                  </pic:blipFill>
                  <pic:spPr bwMode="auto">
                    <a:xfrm>
                      <a:off x="0" y="0"/>
                      <a:ext cx="281940" cy="262890"/>
                    </a:xfrm>
                    <a:prstGeom prst="rect">
                      <a:avLst/>
                    </a:prstGeom>
                    <a:noFill/>
                    <a:ln>
                      <a:noFill/>
                    </a:ln>
                  </pic:spPr>
                </pic:pic>
              </a:graphicData>
            </a:graphic>
          </wp:inline>
        </w:drawing>
      </w:r>
      <w:r>
        <w:t xml:space="preserve"> - расчетное сопротивление угловых швов срезу (условному) по металлу шва;</w:t>
      </w:r>
    </w:p>
    <w:p w:rsidR="00212513" w:rsidRDefault="00212513">
      <w:pPr>
        <w:pStyle w:val="ConsPlusNormal"/>
        <w:spacing w:before="220"/>
        <w:ind w:firstLine="540"/>
        <w:jc w:val="both"/>
      </w:pPr>
      <w:r>
        <w:rPr>
          <w:noProof/>
          <w:position w:val="-8"/>
        </w:rPr>
        <w:lastRenderedPageBreak/>
        <w:drawing>
          <wp:inline distT="0" distB="0" distL="0" distR="0">
            <wp:extent cx="281940" cy="251460"/>
            <wp:effectExtent l="0" t="0" r="0" b="0"/>
            <wp:docPr id="2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3"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xml:space="preserve"> - расчетное сопротивление стыковых сварных соединений сжатию, растяжению, изгибу по временному сопротивлению;</w:t>
      </w:r>
    </w:p>
    <w:p w:rsidR="00212513" w:rsidRDefault="00212513">
      <w:pPr>
        <w:pStyle w:val="ConsPlusNormal"/>
        <w:spacing w:before="220"/>
        <w:ind w:firstLine="540"/>
        <w:jc w:val="both"/>
      </w:pPr>
      <w:r>
        <w:rPr>
          <w:noProof/>
          <w:position w:val="-8"/>
        </w:rPr>
        <w:drawing>
          <wp:inline distT="0" distB="0" distL="0" distR="0">
            <wp:extent cx="324485" cy="251460"/>
            <wp:effectExtent l="0" t="0" r="0" b="0"/>
            <wp:docPr id="2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4" cstate="print">
                      <a:extLst>
                        <a:ext uri="{28A0092B-C50C-407E-A947-70E740481C1C}">
                          <a14:useLocalDpi xmlns:a14="http://schemas.microsoft.com/office/drawing/2010/main" val="0"/>
                        </a:ext>
                      </a:extLst>
                    </a:blip>
                    <a:srcRect/>
                    <a:stretch>
                      <a:fillRect/>
                    </a:stretch>
                  </pic:blipFill>
                  <pic:spPr bwMode="auto">
                    <a:xfrm>
                      <a:off x="0" y="0"/>
                      <a:ext cx="324485" cy="251460"/>
                    </a:xfrm>
                    <a:prstGeom prst="rect">
                      <a:avLst/>
                    </a:prstGeom>
                    <a:noFill/>
                    <a:ln>
                      <a:noFill/>
                    </a:ln>
                  </pic:spPr>
                </pic:pic>
              </a:graphicData>
            </a:graphic>
          </wp:inline>
        </w:drawing>
      </w:r>
      <w:r>
        <w:t xml:space="preserve"> - нормативное сопротивление металла шва по временному сопротивлению;</w:t>
      </w:r>
    </w:p>
    <w:p w:rsidR="00212513" w:rsidRDefault="00212513">
      <w:pPr>
        <w:pStyle w:val="ConsPlusNormal"/>
        <w:spacing w:before="220"/>
        <w:ind w:firstLine="540"/>
        <w:jc w:val="both"/>
      </w:pPr>
      <w:r>
        <w:rPr>
          <w:noProof/>
          <w:position w:val="-8"/>
        </w:rPr>
        <w:drawing>
          <wp:inline distT="0" distB="0" distL="0" distR="0">
            <wp:extent cx="262890" cy="251460"/>
            <wp:effectExtent l="0" t="0" r="0" b="0"/>
            <wp:docPr id="2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5"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расчетное сопротивление стыковых сварных соединений сдвигу;</w:t>
      </w:r>
    </w:p>
    <w:p w:rsidR="00212513" w:rsidRDefault="00212513">
      <w:pPr>
        <w:pStyle w:val="ConsPlusNormal"/>
        <w:spacing w:before="220"/>
        <w:ind w:firstLine="540"/>
        <w:jc w:val="both"/>
      </w:pPr>
      <w:r>
        <w:rPr>
          <w:noProof/>
          <w:position w:val="-9"/>
        </w:rPr>
        <w:drawing>
          <wp:inline distT="0" distB="0" distL="0" distR="0">
            <wp:extent cx="262890" cy="262890"/>
            <wp:effectExtent l="0" t="0" r="0" b="0"/>
            <wp:docPr id="2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6"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расчетное сопротивление стыковых сварных соединений сжатию, растяжению и изгибу по пределу текучести;</w:t>
      </w:r>
    </w:p>
    <w:p w:rsidR="00212513" w:rsidRDefault="00212513">
      <w:pPr>
        <w:pStyle w:val="ConsPlusNormal"/>
        <w:spacing w:before="220"/>
        <w:ind w:firstLine="540"/>
        <w:jc w:val="both"/>
      </w:pPr>
      <w:r>
        <w:rPr>
          <w:noProof/>
          <w:position w:val="-8"/>
        </w:rPr>
        <w:drawing>
          <wp:inline distT="0" distB="0" distL="0" distR="0">
            <wp:extent cx="262890" cy="251460"/>
            <wp:effectExtent l="0" t="0" r="0" b="0"/>
            <wp:docPr id="2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7"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расчетное сопротивление угловых швов срезу (условному) по металлу границы сплавления;</w:t>
      </w:r>
    </w:p>
    <w:p w:rsidR="00212513" w:rsidRDefault="00212513">
      <w:pPr>
        <w:pStyle w:val="ConsPlusNormal"/>
        <w:spacing w:before="220"/>
        <w:ind w:firstLine="540"/>
        <w:jc w:val="both"/>
      </w:pPr>
      <w:r>
        <w:rPr>
          <w:noProof/>
          <w:position w:val="-9"/>
        </w:rPr>
        <w:drawing>
          <wp:inline distT="0" distB="0" distL="0" distR="0">
            <wp:extent cx="209550" cy="262890"/>
            <wp:effectExtent l="0" t="0" r="0" b="0"/>
            <wp:docPr id="2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8"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 расчетное сопротивление стали растяжению, сжатию, изгибу по пределу текучести;</w:t>
      </w:r>
    </w:p>
    <w:p w:rsidR="00212513" w:rsidRDefault="00212513">
      <w:pPr>
        <w:pStyle w:val="ConsPlusNormal"/>
        <w:spacing w:before="220"/>
        <w:ind w:firstLine="540"/>
        <w:jc w:val="both"/>
      </w:pPr>
      <w:r>
        <w:rPr>
          <w:noProof/>
          <w:position w:val="-9"/>
        </w:rPr>
        <w:drawing>
          <wp:inline distT="0" distB="0" distL="0" distR="0">
            <wp:extent cx="262890" cy="262890"/>
            <wp:effectExtent l="0" t="0" r="0" b="0"/>
            <wp:docPr id="2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9"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предел текучести стали, принимаемый равным значению предела текучести </w:t>
      </w:r>
      <w:r>
        <w:rPr>
          <w:noProof/>
          <w:position w:val="-8"/>
        </w:rPr>
        <w:drawing>
          <wp:inline distT="0" distB="0" distL="0" distR="0">
            <wp:extent cx="209550" cy="251460"/>
            <wp:effectExtent l="0" t="0" r="0" b="0"/>
            <wp:docPr id="2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по государственным стандартам и техническим условиям на сталь;</w:t>
      </w:r>
    </w:p>
    <w:p w:rsidR="00212513" w:rsidRDefault="00212513">
      <w:pPr>
        <w:pStyle w:val="ConsPlusNormal"/>
        <w:spacing w:before="220"/>
        <w:ind w:firstLine="540"/>
        <w:jc w:val="both"/>
      </w:pPr>
      <w:r>
        <w:rPr>
          <w:i/>
        </w:rPr>
        <w:t>S</w:t>
      </w:r>
      <w:r>
        <w:t xml:space="preserve"> - статический момент сдвигаемой части сечения брутто относительно нейтральной оси;</w:t>
      </w:r>
    </w:p>
    <w:p w:rsidR="00212513" w:rsidRDefault="00212513">
      <w:pPr>
        <w:pStyle w:val="ConsPlusNormal"/>
        <w:spacing w:before="220"/>
        <w:ind w:firstLine="540"/>
        <w:jc w:val="both"/>
      </w:pPr>
      <w:r>
        <w:rPr>
          <w:noProof/>
          <w:position w:val="-8"/>
        </w:rPr>
        <w:drawing>
          <wp:inline distT="0" distB="0" distL="0" distR="0">
            <wp:extent cx="220980" cy="251460"/>
            <wp:effectExtent l="0" t="0" r="0" b="0"/>
            <wp:docPr id="2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1"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2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2"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минимальные моменты сопротивления сечения брутто относительно осей соответственно </w:t>
      </w:r>
      <w:r>
        <w:rPr>
          <w:i/>
        </w:rPr>
        <w:t>x</w:t>
      </w:r>
      <w:r>
        <w:t xml:space="preserve"> - </w:t>
      </w:r>
      <w:r>
        <w:rPr>
          <w:i/>
        </w:rPr>
        <w:t>x</w:t>
      </w:r>
      <w:r>
        <w:t xml:space="preserve"> и </w:t>
      </w:r>
      <w:r>
        <w:rPr>
          <w:i/>
        </w:rPr>
        <w:t>y</w:t>
      </w:r>
      <w:r>
        <w:t xml:space="preserve"> - </w:t>
      </w:r>
      <w:r>
        <w:rPr>
          <w:i/>
        </w:rPr>
        <w:t>y</w:t>
      </w:r>
      <w:r>
        <w:t>;</w:t>
      </w:r>
    </w:p>
    <w:p w:rsidR="00212513" w:rsidRDefault="00212513">
      <w:pPr>
        <w:pStyle w:val="ConsPlusNormal"/>
        <w:spacing w:before="220"/>
        <w:ind w:firstLine="540"/>
        <w:jc w:val="both"/>
      </w:pPr>
      <w:r>
        <w:rPr>
          <w:noProof/>
          <w:position w:val="-8"/>
        </w:rPr>
        <w:drawing>
          <wp:inline distT="0" distB="0" distL="0" distR="0">
            <wp:extent cx="262890" cy="251460"/>
            <wp:effectExtent l="0" t="0" r="0" b="0"/>
            <wp:docPr id="2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3"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w:t>
      </w:r>
      <w:r>
        <w:rPr>
          <w:noProof/>
          <w:position w:val="-9"/>
        </w:rPr>
        <w:drawing>
          <wp:inline distT="0" distB="0" distL="0" distR="0">
            <wp:extent cx="281940" cy="262890"/>
            <wp:effectExtent l="0" t="0" r="0" b="0"/>
            <wp:docPr id="2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4" cstate="print">
                      <a:extLst>
                        <a:ext uri="{28A0092B-C50C-407E-A947-70E740481C1C}">
                          <a14:useLocalDpi xmlns:a14="http://schemas.microsoft.com/office/drawing/2010/main" val="0"/>
                        </a:ext>
                      </a:extLst>
                    </a:blip>
                    <a:srcRect/>
                    <a:stretch>
                      <a:fillRect/>
                    </a:stretch>
                  </pic:blipFill>
                  <pic:spPr bwMode="auto">
                    <a:xfrm>
                      <a:off x="0" y="0"/>
                      <a:ext cx="281940" cy="262890"/>
                    </a:xfrm>
                    <a:prstGeom prst="rect">
                      <a:avLst/>
                    </a:prstGeom>
                    <a:noFill/>
                    <a:ln>
                      <a:noFill/>
                    </a:ln>
                  </pic:spPr>
                </pic:pic>
              </a:graphicData>
            </a:graphic>
          </wp:inline>
        </w:drawing>
      </w:r>
      <w:r>
        <w:t xml:space="preserve"> - минимальные моменты сопротивления сечения нетто относительно осей соответственно </w:t>
      </w:r>
      <w:r>
        <w:rPr>
          <w:i/>
        </w:rPr>
        <w:t>x</w:t>
      </w:r>
      <w:r>
        <w:t xml:space="preserve"> - </w:t>
      </w:r>
      <w:r>
        <w:rPr>
          <w:i/>
        </w:rPr>
        <w:t>x</w:t>
      </w:r>
      <w:r>
        <w:t xml:space="preserve"> и </w:t>
      </w:r>
      <w:r>
        <w:rPr>
          <w:i/>
        </w:rPr>
        <w:t>y</w:t>
      </w:r>
      <w:r>
        <w:t xml:space="preserve"> - </w:t>
      </w:r>
      <w:r>
        <w:rPr>
          <w:i/>
        </w:rPr>
        <w:t>y</w:t>
      </w:r>
      <w:r>
        <w:t>;</w:t>
      </w:r>
    </w:p>
    <w:p w:rsidR="00212513" w:rsidRDefault="00212513">
      <w:pPr>
        <w:pStyle w:val="ConsPlusNormal"/>
        <w:spacing w:before="220"/>
        <w:ind w:firstLine="540"/>
        <w:jc w:val="both"/>
      </w:pPr>
      <w:r>
        <w:rPr>
          <w:i/>
        </w:rPr>
        <w:t>b</w:t>
      </w:r>
      <w:r>
        <w:t xml:space="preserve"> - ширина;</w:t>
      </w:r>
    </w:p>
    <w:p w:rsidR="00212513" w:rsidRDefault="00212513">
      <w:pPr>
        <w:pStyle w:val="ConsPlusNormal"/>
        <w:spacing w:before="220"/>
        <w:ind w:firstLine="540"/>
        <w:jc w:val="both"/>
      </w:pPr>
      <w:r>
        <w:rPr>
          <w:noProof/>
          <w:position w:val="-9"/>
        </w:rPr>
        <w:drawing>
          <wp:inline distT="0" distB="0" distL="0" distR="0">
            <wp:extent cx="220980" cy="262890"/>
            <wp:effectExtent l="0" t="0" r="0" b="0"/>
            <wp:docPr id="2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5"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расчетная ширина;</w:t>
      </w:r>
    </w:p>
    <w:p w:rsidR="00212513" w:rsidRDefault="00212513">
      <w:pPr>
        <w:pStyle w:val="ConsPlusNormal"/>
        <w:spacing w:before="220"/>
        <w:ind w:firstLine="540"/>
        <w:jc w:val="both"/>
      </w:pPr>
      <w:r>
        <w:rPr>
          <w:noProof/>
          <w:position w:val="-9"/>
        </w:rPr>
        <w:drawing>
          <wp:inline distT="0" distB="0" distL="0" distR="0">
            <wp:extent cx="198755" cy="262890"/>
            <wp:effectExtent l="0" t="0" r="0" b="0"/>
            <wp:docPr id="2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6"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 ширина полки (пояса);</w:t>
      </w:r>
    </w:p>
    <w:p w:rsidR="00212513" w:rsidRDefault="00212513">
      <w:pPr>
        <w:pStyle w:val="ConsPlusNormal"/>
        <w:spacing w:before="220"/>
        <w:ind w:firstLine="540"/>
        <w:jc w:val="both"/>
      </w:pPr>
      <w:r>
        <w:rPr>
          <w:noProof/>
          <w:position w:val="-8"/>
        </w:rPr>
        <w:drawing>
          <wp:inline distT="0" distB="0" distL="0" distR="0">
            <wp:extent cx="177800" cy="251460"/>
            <wp:effectExtent l="0" t="0" r="0" b="0"/>
            <wp:docPr id="2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7"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ширина выступающей части ребра, свеса;</w:t>
      </w:r>
    </w:p>
    <w:p w:rsidR="00212513" w:rsidRDefault="00212513">
      <w:pPr>
        <w:pStyle w:val="ConsPlusNormal"/>
        <w:spacing w:before="220"/>
        <w:ind w:firstLine="540"/>
        <w:jc w:val="both"/>
      </w:pPr>
      <w:r>
        <w:rPr>
          <w:i/>
        </w:rPr>
        <w:t>e</w:t>
      </w:r>
      <w:r>
        <w:t xml:space="preserve"> - эксцентриситет силы;</w:t>
      </w:r>
    </w:p>
    <w:p w:rsidR="00212513" w:rsidRDefault="00212513">
      <w:pPr>
        <w:pStyle w:val="ConsPlusNormal"/>
        <w:spacing w:before="220"/>
        <w:ind w:firstLine="540"/>
        <w:jc w:val="both"/>
      </w:pPr>
      <w:r>
        <w:rPr>
          <w:noProof/>
          <w:position w:val="-8"/>
        </w:rPr>
        <w:drawing>
          <wp:inline distT="0" distB="0" distL="0" distR="0">
            <wp:extent cx="241935" cy="251460"/>
            <wp:effectExtent l="0" t="0" r="0" b="0"/>
            <wp:docPr id="2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8"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относительный эксцентриситет </w:t>
      </w:r>
      <w:r>
        <w:rPr>
          <w:noProof/>
          <w:position w:val="-8"/>
        </w:rPr>
        <w:drawing>
          <wp:inline distT="0" distB="0" distL="0" distR="0">
            <wp:extent cx="981710" cy="251460"/>
            <wp:effectExtent l="0" t="0" r="0" b="0"/>
            <wp:docPr id="2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9" cstate="print">
                      <a:extLst>
                        <a:ext uri="{28A0092B-C50C-407E-A947-70E740481C1C}">
                          <a14:useLocalDpi xmlns:a14="http://schemas.microsoft.com/office/drawing/2010/main" val="0"/>
                        </a:ext>
                      </a:extLst>
                    </a:blip>
                    <a:srcRect/>
                    <a:stretch>
                      <a:fillRect/>
                    </a:stretch>
                  </pic:blipFill>
                  <pic:spPr bwMode="auto">
                    <a:xfrm>
                      <a:off x="0" y="0"/>
                      <a:ext cx="981710" cy="251460"/>
                    </a:xfrm>
                    <a:prstGeom prst="rect">
                      <a:avLst/>
                    </a:prstGeom>
                    <a:noFill/>
                    <a:ln>
                      <a:noFill/>
                    </a:ln>
                  </pic:spPr>
                </pic:pic>
              </a:graphicData>
            </a:graphic>
          </wp:inline>
        </w:drawing>
      </w:r>
      <w:r>
        <w:t>;</w:t>
      </w:r>
    </w:p>
    <w:p w:rsidR="00212513" w:rsidRDefault="00212513">
      <w:pPr>
        <w:pStyle w:val="ConsPlusNormal"/>
        <w:spacing w:before="220"/>
        <w:ind w:firstLine="540"/>
        <w:jc w:val="both"/>
      </w:pPr>
      <w:r>
        <w:rPr>
          <w:noProof/>
          <w:position w:val="-9"/>
        </w:rPr>
        <w:drawing>
          <wp:inline distT="0" distB="0" distL="0" distR="0">
            <wp:extent cx="209550" cy="262890"/>
            <wp:effectExtent l="0" t="0" r="0" b="0"/>
            <wp:docPr id="2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0"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 приведенный относительный эксцентриситет </w:t>
      </w:r>
      <w:r>
        <w:rPr>
          <w:noProof/>
          <w:position w:val="-9"/>
        </w:rPr>
        <w:drawing>
          <wp:inline distT="0" distB="0" distL="0" distR="0">
            <wp:extent cx="796290" cy="262890"/>
            <wp:effectExtent l="0" t="0" r="0" b="0"/>
            <wp:docPr id="2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1" cstate="print">
                      <a:extLst>
                        <a:ext uri="{28A0092B-C50C-407E-A947-70E740481C1C}">
                          <a14:useLocalDpi xmlns:a14="http://schemas.microsoft.com/office/drawing/2010/main" val="0"/>
                        </a:ext>
                      </a:extLst>
                    </a:blip>
                    <a:srcRect/>
                    <a:stretch>
                      <a:fillRect/>
                    </a:stretch>
                  </pic:blipFill>
                  <pic:spPr bwMode="auto">
                    <a:xfrm>
                      <a:off x="0" y="0"/>
                      <a:ext cx="796290" cy="262890"/>
                    </a:xfrm>
                    <a:prstGeom prst="rect">
                      <a:avLst/>
                    </a:prstGeom>
                    <a:noFill/>
                    <a:ln>
                      <a:noFill/>
                    </a:ln>
                  </pic:spPr>
                </pic:pic>
              </a:graphicData>
            </a:graphic>
          </wp:inline>
        </w:drawing>
      </w:r>
      <w:r>
        <w:t>;</w:t>
      </w:r>
    </w:p>
    <w:p w:rsidR="00212513" w:rsidRDefault="00212513">
      <w:pPr>
        <w:pStyle w:val="ConsPlusNormal"/>
        <w:spacing w:before="220"/>
        <w:ind w:firstLine="540"/>
        <w:jc w:val="both"/>
      </w:pPr>
      <w:r>
        <w:rPr>
          <w:i/>
        </w:rPr>
        <w:t>h</w:t>
      </w:r>
      <w:r>
        <w:t xml:space="preserve"> - высота;</w:t>
      </w:r>
    </w:p>
    <w:p w:rsidR="00212513" w:rsidRDefault="00212513">
      <w:pPr>
        <w:pStyle w:val="ConsPlusNormal"/>
        <w:spacing w:before="220"/>
        <w:ind w:firstLine="540"/>
        <w:jc w:val="both"/>
      </w:pPr>
      <w:r>
        <w:rPr>
          <w:noProof/>
          <w:position w:val="-8"/>
        </w:rPr>
        <w:drawing>
          <wp:inline distT="0" distB="0" distL="0" distR="0">
            <wp:extent cx="198755" cy="250825"/>
            <wp:effectExtent l="0" t="0" r="0" b="0"/>
            <wp:docPr id="2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2"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расчетная высота стенки (расстояние между осями поясов);</w:t>
      </w:r>
    </w:p>
    <w:p w:rsidR="00212513" w:rsidRDefault="00212513">
      <w:pPr>
        <w:pStyle w:val="ConsPlusNormal"/>
        <w:spacing w:before="220"/>
        <w:ind w:firstLine="540"/>
        <w:jc w:val="both"/>
      </w:pPr>
      <w:r>
        <w:rPr>
          <w:i/>
        </w:rPr>
        <w:t>i</w:t>
      </w:r>
      <w:r>
        <w:t xml:space="preserve"> - радиус инерции сечения;</w:t>
      </w:r>
    </w:p>
    <w:p w:rsidR="00212513" w:rsidRDefault="00212513">
      <w:pPr>
        <w:pStyle w:val="ConsPlusNormal"/>
        <w:spacing w:before="220"/>
        <w:ind w:firstLine="540"/>
        <w:jc w:val="both"/>
      </w:pPr>
      <w:r>
        <w:rPr>
          <w:noProof/>
          <w:position w:val="-8"/>
        </w:rPr>
        <w:drawing>
          <wp:inline distT="0" distB="0" distL="0" distR="0">
            <wp:extent cx="251460" cy="251460"/>
            <wp:effectExtent l="0" t="0" r="0" b="0"/>
            <wp:docPr id="2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наименьший радиус инерции сечения;</w:t>
      </w:r>
    </w:p>
    <w:p w:rsidR="00212513" w:rsidRDefault="00212513">
      <w:pPr>
        <w:pStyle w:val="ConsPlusNormal"/>
        <w:spacing w:before="220"/>
        <w:ind w:firstLine="540"/>
        <w:jc w:val="both"/>
      </w:pPr>
      <w:r>
        <w:rPr>
          <w:noProof/>
          <w:position w:val="-8"/>
        </w:rPr>
        <w:drawing>
          <wp:inline distT="0" distB="0" distL="0" distR="0">
            <wp:extent cx="137160" cy="250825"/>
            <wp:effectExtent l="0" t="0" r="0" b="0"/>
            <wp:docPr id="2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4"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w:t>
      </w:r>
      <w:r>
        <w:rPr>
          <w:noProof/>
          <w:position w:val="-9"/>
        </w:rPr>
        <w:drawing>
          <wp:inline distT="0" distB="0" distL="0" distR="0">
            <wp:extent cx="156845" cy="262890"/>
            <wp:effectExtent l="0" t="0" r="0" b="0"/>
            <wp:docPr id="2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5" cstate="print">
                      <a:extLst>
                        <a:ext uri="{28A0092B-C50C-407E-A947-70E740481C1C}">
                          <a14:useLocalDpi xmlns:a14="http://schemas.microsoft.com/office/drawing/2010/main" val="0"/>
                        </a:ext>
                      </a:extLst>
                    </a:blip>
                    <a:srcRect/>
                    <a:stretch>
                      <a:fillRect/>
                    </a:stretch>
                  </pic:blipFill>
                  <pic:spPr bwMode="auto">
                    <a:xfrm>
                      <a:off x="0" y="0"/>
                      <a:ext cx="156845" cy="262890"/>
                    </a:xfrm>
                    <a:prstGeom prst="rect">
                      <a:avLst/>
                    </a:prstGeom>
                    <a:noFill/>
                    <a:ln>
                      <a:noFill/>
                    </a:ln>
                  </pic:spPr>
                </pic:pic>
              </a:graphicData>
            </a:graphic>
          </wp:inline>
        </w:drawing>
      </w:r>
      <w:r>
        <w:t xml:space="preserve"> - радиусы инерции сечения относительно осей соответственно </w:t>
      </w:r>
      <w:r>
        <w:rPr>
          <w:i/>
        </w:rPr>
        <w:t>x</w:t>
      </w:r>
      <w:r>
        <w:t xml:space="preserve"> - </w:t>
      </w:r>
      <w:r>
        <w:rPr>
          <w:i/>
        </w:rPr>
        <w:t>x</w:t>
      </w:r>
      <w:r>
        <w:t xml:space="preserve"> и </w:t>
      </w:r>
      <w:r>
        <w:rPr>
          <w:i/>
        </w:rPr>
        <w:t>y</w:t>
      </w:r>
      <w:r>
        <w:t xml:space="preserve"> - </w:t>
      </w:r>
      <w:r>
        <w:rPr>
          <w:i/>
        </w:rPr>
        <w:t>y</w:t>
      </w:r>
      <w:r>
        <w:t>;</w:t>
      </w:r>
    </w:p>
    <w:p w:rsidR="00212513" w:rsidRDefault="00212513">
      <w:pPr>
        <w:pStyle w:val="ConsPlusNormal"/>
        <w:spacing w:before="220"/>
        <w:ind w:firstLine="540"/>
        <w:jc w:val="both"/>
      </w:pPr>
      <w:r>
        <w:rPr>
          <w:noProof/>
          <w:position w:val="-9"/>
        </w:rPr>
        <w:lastRenderedPageBreak/>
        <w:drawing>
          <wp:inline distT="0" distB="0" distL="0" distR="0">
            <wp:extent cx="198755" cy="262890"/>
            <wp:effectExtent l="0" t="0" r="0" b="0"/>
            <wp:docPr id="2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6"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 катет углового шва;</w:t>
      </w:r>
    </w:p>
    <w:p w:rsidR="00212513" w:rsidRDefault="00212513">
      <w:pPr>
        <w:pStyle w:val="ConsPlusNormal"/>
        <w:spacing w:before="220"/>
        <w:ind w:firstLine="540"/>
        <w:jc w:val="both"/>
      </w:pPr>
      <w:r>
        <w:rPr>
          <w:i/>
        </w:rPr>
        <w:t>l</w:t>
      </w:r>
      <w:r>
        <w:t xml:space="preserve"> - длина, пролет;</w:t>
      </w:r>
    </w:p>
    <w:p w:rsidR="00212513" w:rsidRDefault="00212513">
      <w:pPr>
        <w:pStyle w:val="ConsPlusNormal"/>
        <w:spacing w:before="220"/>
        <w:ind w:firstLine="540"/>
        <w:jc w:val="both"/>
      </w:pPr>
      <w:r>
        <w:rPr>
          <w:noProof/>
          <w:position w:val="-8"/>
        </w:rPr>
        <w:drawing>
          <wp:inline distT="0" distB="0" distL="0" distR="0">
            <wp:extent cx="137160" cy="250825"/>
            <wp:effectExtent l="0" t="0" r="0" b="0"/>
            <wp:docPr id="2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 длина распорки;</w:t>
      </w:r>
    </w:p>
    <w:p w:rsidR="00212513" w:rsidRDefault="00212513">
      <w:pPr>
        <w:pStyle w:val="ConsPlusNormal"/>
        <w:spacing w:before="220"/>
        <w:ind w:firstLine="540"/>
        <w:jc w:val="both"/>
      </w:pPr>
      <w:r>
        <w:rPr>
          <w:noProof/>
          <w:position w:val="-8"/>
        </w:rPr>
        <w:drawing>
          <wp:inline distT="0" distB="0" distL="0" distR="0">
            <wp:extent cx="156845" cy="251460"/>
            <wp:effectExtent l="0" t="0" r="0" b="0"/>
            <wp:docPr id="2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8"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 длина раскоса;</w:t>
      </w:r>
    </w:p>
    <w:p w:rsidR="00212513" w:rsidRDefault="00212513">
      <w:pPr>
        <w:pStyle w:val="ConsPlusNormal"/>
        <w:spacing w:before="220"/>
        <w:ind w:firstLine="540"/>
        <w:jc w:val="both"/>
      </w:pPr>
      <w:r>
        <w:rPr>
          <w:noProof/>
          <w:position w:val="-9"/>
        </w:rPr>
        <w:drawing>
          <wp:inline distT="0" distB="0" distL="0" distR="0">
            <wp:extent cx="177800" cy="262890"/>
            <wp:effectExtent l="0" t="0" r="0" b="0"/>
            <wp:docPr id="2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9"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 расчетная, условная длина;</w:t>
      </w:r>
    </w:p>
    <w:p w:rsidR="00212513" w:rsidRDefault="00212513">
      <w:pPr>
        <w:pStyle w:val="ConsPlusNormal"/>
        <w:spacing w:before="220"/>
        <w:ind w:firstLine="540"/>
        <w:jc w:val="both"/>
      </w:pPr>
      <w:r>
        <w:rPr>
          <w:noProof/>
          <w:position w:val="-8"/>
        </w:rPr>
        <w:drawing>
          <wp:inline distT="0" distB="0" distL="0" distR="0">
            <wp:extent cx="167640" cy="251460"/>
            <wp:effectExtent l="0" t="0" r="0" b="0"/>
            <wp:docPr id="2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0"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длина панели (расстояние между узлами решетчатой конструкции);</w:t>
      </w:r>
    </w:p>
    <w:p w:rsidR="00212513" w:rsidRDefault="00212513">
      <w:pPr>
        <w:pStyle w:val="ConsPlusNormal"/>
        <w:spacing w:before="220"/>
        <w:ind w:firstLine="540"/>
        <w:jc w:val="both"/>
      </w:pPr>
      <w:r>
        <w:rPr>
          <w:noProof/>
          <w:position w:val="-8"/>
        </w:rPr>
        <w:drawing>
          <wp:inline distT="0" distB="0" distL="0" distR="0">
            <wp:extent cx="137160" cy="250825"/>
            <wp:effectExtent l="0" t="0" r="0" b="0"/>
            <wp:docPr id="2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1"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 длина планки;</w:t>
      </w:r>
    </w:p>
    <w:p w:rsidR="00212513" w:rsidRDefault="00212513">
      <w:pPr>
        <w:pStyle w:val="ConsPlusNormal"/>
        <w:spacing w:before="220"/>
        <w:ind w:firstLine="540"/>
        <w:jc w:val="both"/>
      </w:pPr>
      <w:r>
        <w:rPr>
          <w:noProof/>
          <w:position w:val="-8"/>
        </w:rPr>
        <w:drawing>
          <wp:inline distT="0" distB="0" distL="0" distR="0">
            <wp:extent cx="167640" cy="251460"/>
            <wp:effectExtent l="0" t="0" r="0" b="0"/>
            <wp:docPr id="2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2"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длина сварного шва;</w:t>
      </w:r>
    </w:p>
    <w:p w:rsidR="00212513" w:rsidRDefault="00212513">
      <w:pPr>
        <w:pStyle w:val="ConsPlusNormal"/>
        <w:spacing w:before="220"/>
        <w:ind w:firstLine="540"/>
        <w:jc w:val="both"/>
      </w:pPr>
      <w:r>
        <w:rPr>
          <w:noProof/>
          <w:position w:val="-8"/>
        </w:rPr>
        <w:drawing>
          <wp:inline distT="0" distB="0" distL="0" distR="0">
            <wp:extent cx="137160" cy="250825"/>
            <wp:effectExtent l="0" t="0" r="0" b="0"/>
            <wp:docPr id="2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3"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w:t>
      </w:r>
      <w:r>
        <w:rPr>
          <w:noProof/>
          <w:position w:val="-9"/>
        </w:rPr>
        <w:drawing>
          <wp:inline distT="0" distB="0" distL="0" distR="0">
            <wp:extent cx="156845" cy="262890"/>
            <wp:effectExtent l="0" t="0" r="0" b="0"/>
            <wp:docPr id="2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4" cstate="print">
                      <a:extLst>
                        <a:ext uri="{28A0092B-C50C-407E-A947-70E740481C1C}">
                          <a14:useLocalDpi xmlns:a14="http://schemas.microsoft.com/office/drawing/2010/main" val="0"/>
                        </a:ext>
                      </a:extLst>
                    </a:blip>
                    <a:srcRect/>
                    <a:stretch>
                      <a:fillRect/>
                    </a:stretch>
                  </pic:blipFill>
                  <pic:spPr bwMode="auto">
                    <a:xfrm>
                      <a:off x="0" y="0"/>
                      <a:ext cx="156845" cy="262890"/>
                    </a:xfrm>
                    <a:prstGeom prst="rect">
                      <a:avLst/>
                    </a:prstGeom>
                    <a:noFill/>
                    <a:ln>
                      <a:noFill/>
                    </a:ln>
                  </pic:spPr>
                </pic:pic>
              </a:graphicData>
            </a:graphic>
          </wp:inline>
        </w:drawing>
      </w:r>
      <w:r>
        <w:t xml:space="preserve"> - расчетные длины элемента в плоскостях, перпендикулярных осям соответственно </w:t>
      </w:r>
      <w:r>
        <w:rPr>
          <w:i/>
        </w:rPr>
        <w:t>x</w:t>
      </w:r>
      <w:r>
        <w:t xml:space="preserve"> - </w:t>
      </w:r>
      <w:r>
        <w:rPr>
          <w:i/>
        </w:rPr>
        <w:t>x</w:t>
      </w:r>
      <w:r>
        <w:t xml:space="preserve"> и </w:t>
      </w:r>
      <w:r>
        <w:rPr>
          <w:i/>
        </w:rPr>
        <w:t>y</w:t>
      </w:r>
      <w:r>
        <w:t xml:space="preserve"> - </w:t>
      </w:r>
      <w:r>
        <w:rPr>
          <w:i/>
        </w:rPr>
        <w:t>y</w:t>
      </w:r>
      <w:r>
        <w:t>;</w:t>
      </w:r>
    </w:p>
    <w:p w:rsidR="00212513" w:rsidRDefault="00212513">
      <w:pPr>
        <w:pStyle w:val="ConsPlusNormal"/>
        <w:spacing w:before="220"/>
        <w:ind w:firstLine="540"/>
        <w:jc w:val="both"/>
      </w:pPr>
      <w:r>
        <w:rPr>
          <w:i/>
        </w:rPr>
        <w:t>m</w:t>
      </w:r>
      <w:r>
        <w:t xml:space="preserve"> - коэффициент условий работы;</w:t>
      </w:r>
    </w:p>
    <w:p w:rsidR="00212513" w:rsidRDefault="00212513">
      <w:pPr>
        <w:pStyle w:val="ConsPlusNormal"/>
        <w:spacing w:before="220"/>
        <w:ind w:firstLine="540"/>
        <w:jc w:val="both"/>
      </w:pPr>
      <w:r>
        <w:rPr>
          <w:noProof/>
          <w:position w:val="-8"/>
        </w:rPr>
        <w:drawing>
          <wp:inline distT="0" distB="0" distL="0" distR="0">
            <wp:extent cx="220980" cy="251460"/>
            <wp:effectExtent l="0" t="0" r="0" b="0"/>
            <wp:docPr id="2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5"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коэффициент условий работы соединения;</w:t>
      </w:r>
    </w:p>
    <w:p w:rsidR="00212513" w:rsidRDefault="00212513">
      <w:pPr>
        <w:pStyle w:val="ConsPlusNormal"/>
        <w:spacing w:before="220"/>
        <w:ind w:firstLine="540"/>
        <w:jc w:val="both"/>
      </w:pPr>
      <w:r>
        <w:rPr>
          <w:i/>
        </w:rPr>
        <w:t>r</w:t>
      </w:r>
      <w:r>
        <w:t xml:space="preserve"> - радиус;</w:t>
      </w:r>
    </w:p>
    <w:p w:rsidR="00212513" w:rsidRDefault="00212513">
      <w:pPr>
        <w:pStyle w:val="ConsPlusNormal"/>
        <w:spacing w:before="220"/>
        <w:ind w:firstLine="540"/>
        <w:jc w:val="both"/>
      </w:pPr>
      <w:r>
        <w:rPr>
          <w:i/>
        </w:rPr>
        <w:t>t</w:t>
      </w:r>
      <w:r>
        <w:t xml:space="preserve"> - толщина;</w:t>
      </w:r>
    </w:p>
    <w:p w:rsidR="00212513" w:rsidRDefault="00212513">
      <w:pPr>
        <w:pStyle w:val="ConsPlusNormal"/>
        <w:spacing w:before="220"/>
        <w:ind w:firstLine="540"/>
        <w:jc w:val="both"/>
      </w:pPr>
      <w:r>
        <w:rPr>
          <w:noProof/>
          <w:position w:val="-9"/>
        </w:rPr>
        <w:drawing>
          <wp:inline distT="0" distB="0" distL="0" distR="0">
            <wp:extent cx="167640" cy="262890"/>
            <wp:effectExtent l="0" t="0" r="0" b="0"/>
            <wp:docPr id="2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6" cstate="print">
                      <a:extLst>
                        <a:ext uri="{28A0092B-C50C-407E-A947-70E740481C1C}">
                          <a14:useLocalDpi xmlns:a14="http://schemas.microsoft.com/office/drawing/2010/main" val="0"/>
                        </a:ext>
                      </a:extLst>
                    </a:blip>
                    <a:srcRect/>
                    <a:stretch>
                      <a:fillRect/>
                    </a:stretch>
                  </pic:blipFill>
                  <pic:spPr bwMode="auto">
                    <a:xfrm>
                      <a:off x="0" y="0"/>
                      <a:ext cx="167640" cy="262890"/>
                    </a:xfrm>
                    <a:prstGeom prst="rect">
                      <a:avLst/>
                    </a:prstGeom>
                    <a:noFill/>
                    <a:ln>
                      <a:noFill/>
                    </a:ln>
                  </pic:spPr>
                </pic:pic>
              </a:graphicData>
            </a:graphic>
          </wp:inline>
        </w:drawing>
      </w:r>
      <w:r>
        <w:t xml:space="preserve"> - толщина полки (пояса);</w:t>
      </w:r>
    </w:p>
    <w:p w:rsidR="00212513" w:rsidRDefault="00212513">
      <w:pPr>
        <w:pStyle w:val="ConsPlusNormal"/>
        <w:spacing w:before="220"/>
        <w:ind w:firstLine="540"/>
        <w:jc w:val="both"/>
      </w:pPr>
      <w:r>
        <w:rPr>
          <w:noProof/>
          <w:position w:val="-8"/>
        </w:rPr>
        <w:drawing>
          <wp:inline distT="0" distB="0" distL="0" distR="0">
            <wp:extent cx="167640" cy="251460"/>
            <wp:effectExtent l="0" t="0" r="0" b="0"/>
            <wp:docPr id="2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7"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толщина стенки;</w:t>
      </w:r>
    </w:p>
    <w:p w:rsidR="00212513" w:rsidRDefault="00212513">
      <w:pPr>
        <w:pStyle w:val="ConsPlusNormal"/>
        <w:spacing w:before="220"/>
        <w:ind w:firstLine="540"/>
        <w:jc w:val="both"/>
      </w:pPr>
      <w:r>
        <w:rPr>
          <w:noProof/>
          <w:position w:val="-9"/>
        </w:rPr>
        <w:drawing>
          <wp:inline distT="0" distB="0" distL="0" distR="0">
            <wp:extent cx="220980" cy="262890"/>
            <wp:effectExtent l="0" t="0" r="0" b="0"/>
            <wp:docPr id="2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8"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2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коэффициенты для расчета углового шва соответственно по металлу шва и по металлу границы сплавления;</w:t>
      </w:r>
    </w:p>
    <w:p w:rsidR="00212513" w:rsidRDefault="00212513">
      <w:pPr>
        <w:pStyle w:val="ConsPlusNormal"/>
        <w:spacing w:before="220"/>
        <w:ind w:firstLine="540"/>
        <w:jc w:val="both"/>
      </w:pPr>
      <w:r>
        <w:rPr>
          <w:noProof/>
          <w:position w:val="-8"/>
        </w:rPr>
        <w:drawing>
          <wp:inline distT="0" distB="0" distL="0" distR="0">
            <wp:extent cx="177800" cy="251460"/>
            <wp:effectExtent l="0" t="0" r="0" b="0"/>
            <wp:docPr id="2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0"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коэффициент надежности по назначению;</w:t>
      </w:r>
    </w:p>
    <w:p w:rsidR="00212513" w:rsidRDefault="00212513">
      <w:pPr>
        <w:pStyle w:val="ConsPlusNormal"/>
        <w:spacing w:before="220"/>
        <w:ind w:firstLine="540"/>
        <w:jc w:val="both"/>
      </w:pPr>
      <w:r>
        <w:rPr>
          <w:noProof/>
          <w:position w:val="-8"/>
        </w:rPr>
        <w:drawing>
          <wp:inline distT="0" distB="0" distL="0" distR="0">
            <wp:extent cx="209550" cy="251460"/>
            <wp:effectExtent l="0" t="0" r="0" b="0"/>
            <wp:docPr id="2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 надежности по материалу;</w:t>
      </w:r>
    </w:p>
    <w:p w:rsidR="00212513" w:rsidRDefault="00212513">
      <w:pPr>
        <w:pStyle w:val="ConsPlusNormal"/>
        <w:spacing w:before="220"/>
        <w:ind w:firstLine="540"/>
        <w:jc w:val="both"/>
      </w:pPr>
      <w:r>
        <w:rPr>
          <w:noProof/>
          <w:position w:val="-8"/>
        </w:rPr>
        <w:drawing>
          <wp:inline distT="0" distB="0" distL="0" distR="0">
            <wp:extent cx="177800" cy="251460"/>
            <wp:effectExtent l="0" t="0" r="0" b="0"/>
            <wp:docPr id="2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2"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коэффициент надежности в расчетах по временному сопротивлению;</w:t>
      </w:r>
    </w:p>
    <w:p w:rsidR="00212513" w:rsidRDefault="00212513">
      <w:pPr>
        <w:pStyle w:val="ConsPlusNormal"/>
        <w:spacing w:before="220"/>
        <w:ind w:firstLine="540"/>
        <w:jc w:val="both"/>
      </w:pPr>
      <w:r>
        <w:rPr>
          <w:noProof/>
          <w:position w:val="-3"/>
        </w:rPr>
        <w:drawing>
          <wp:inline distT="0" distB="0" distL="0" distR="0">
            <wp:extent cx="137160" cy="177800"/>
            <wp:effectExtent l="0" t="0" r="0" b="0"/>
            <wp:docPr id="2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3" cstate="print">
                      <a:extLst>
                        <a:ext uri="{28A0092B-C50C-407E-A947-70E740481C1C}">
                          <a14:useLocalDpi xmlns:a14="http://schemas.microsoft.com/office/drawing/2010/main" val="0"/>
                        </a:ext>
                      </a:extLst>
                    </a:blip>
                    <a:srcRect/>
                    <a:stretch>
                      <a:fillRect/>
                    </a:stretch>
                  </pic:blipFill>
                  <pic:spPr bwMode="auto">
                    <a:xfrm>
                      <a:off x="0" y="0"/>
                      <a:ext cx="137160" cy="177800"/>
                    </a:xfrm>
                    <a:prstGeom prst="rect">
                      <a:avLst/>
                    </a:prstGeom>
                    <a:noFill/>
                    <a:ln>
                      <a:noFill/>
                    </a:ln>
                  </pic:spPr>
                </pic:pic>
              </a:graphicData>
            </a:graphic>
          </wp:inline>
        </w:drawing>
      </w:r>
      <w:r>
        <w:t xml:space="preserve"> - коэффициент влияния формы сечения;</w:t>
      </w:r>
    </w:p>
    <w:p w:rsidR="00212513" w:rsidRDefault="00212513">
      <w:pPr>
        <w:pStyle w:val="ConsPlusNormal"/>
        <w:spacing w:before="220"/>
        <w:ind w:firstLine="540"/>
        <w:jc w:val="both"/>
      </w:pPr>
      <w:r>
        <w:rPr>
          <w:noProof/>
          <w:position w:val="-4"/>
        </w:rPr>
        <w:drawing>
          <wp:inline distT="0" distB="0" distL="0" distR="0">
            <wp:extent cx="156845" cy="198755"/>
            <wp:effectExtent l="0" t="0" r="0" b="0"/>
            <wp:docPr id="2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4"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 гибкость </w:t>
      </w:r>
      <w:r>
        <w:rPr>
          <w:noProof/>
          <w:position w:val="-9"/>
        </w:rPr>
        <w:drawing>
          <wp:inline distT="0" distB="0" distL="0" distR="0">
            <wp:extent cx="748030" cy="262890"/>
            <wp:effectExtent l="0" t="0" r="0" b="0"/>
            <wp:docPr id="2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5" cstate="print">
                      <a:extLst>
                        <a:ext uri="{28A0092B-C50C-407E-A947-70E740481C1C}">
                          <a14:useLocalDpi xmlns:a14="http://schemas.microsoft.com/office/drawing/2010/main" val="0"/>
                        </a:ext>
                      </a:extLst>
                    </a:blip>
                    <a:srcRect/>
                    <a:stretch>
                      <a:fillRect/>
                    </a:stretch>
                  </pic:blipFill>
                  <pic:spPr bwMode="auto">
                    <a:xfrm>
                      <a:off x="0" y="0"/>
                      <a:ext cx="748030" cy="262890"/>
                    </a:xfrm>
                    <a:prstGeom prst="rect">
                      <a:avLst/>
                    </a:prstGeom>
                    <a:noFill/>
                    <a:ln>
                      <a:noFill/>
                    </a:ln>
                  </pic:spPr>
                </pic:pic>
              </a:graphicData>
            </a:graphic>
          </wp:inline>
        </w:drawing>
      </w:r>
      <w:r>
        <w:t>;</w:t>
      </w:r>
    </w:p>
    <w:p w:rsidR="00212513" w:rsidRDefault="00212513">
      <w:pPr>
        <w:pStyle w:val="ConsPlusNormal"/>
        <w:spacing w:before="220"/>
        <w:ind w:firstLine="540"/>
        <w:jc w:val="both"/>
      </w:pPr>
      <w:r>
        <w:rPr>
          <w:noProof/>
          <w:position w:val="-8"/>
        </w:rPr>
        <w:drawing>
          <wp:inline distT="0" distB="0" distL="0" distR="0">
            <wp:extent cx="198755" cy="250825"/>
            <wp:effectExtent l="0" t="0" r="0" b="0"/>
            <wp:docPr id="2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9"/>
        </w:rPr>
        <w:drawing>
          <wp:inline distT="0" distB="0" distL="0" distR="0">
            <wp:extent cx="198755" cy="262890"/>
            <wp:effectExtent l="0" t="0" r="0" b="0"/>
            <wp:docPr id="2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7"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 расчетные гибкости элемента в плоскостях, перпендикулярных осям соответственно </w:t>
      </w:r>
      <w:r>
        <w:rPr>
          <w:i/>
        </w:rPr>
        <w:t>x</w:t>
      </w:r>
      <w:r>
        <w:t xml:space="preserve"> - </w:t>
      </w:r>
      <w:r>
        <w:rPr>
          <w:i/>
        </w:rPr>
        <w:t>x</w:t>
      </w:r>
      <w:r>
        <w:t xml:space="preserve"> и </w:t>
      </w:r>
      <w:r>
        <w:rPr>
          <w:i/>
        </w:rPr>
        <w:t>y</w:t>
      </w:r>
      <w:r>
        <w:t xml:space="preserve"> - </w:t>
      </w:r>
      <w:r>
        <w:rPr>
          <w:i/>
        </w:rPr>
        <w:t>y</w:t>
      </w:r>
      <w:r>
        <w:t>;</w:t>
      </w:r>
    </w:p>
    <w:p w:rsidR="00212513" w:rsidRDefault="00212513">
      <w:pPr>
        <w:pStyle w:val="ConsPlusNormal"/>
        <w:spacing w:before="220"/>
        <w:ind w:firstLine="540"/>
        <w:jc w:val="both"/>
      </w:pPr>
      <w:r>
        <w:rPr>
          <w:noProof/>
        </w:rPr>
        <w:drawing>
          <wp:inline distT="0" distB="0" distL="0" distR="0">
            <wp:extent cx="146685" cy="146050"/>
            <wp:effectExtent l="0" t="0" r="0" b="0"/>
            <wp:docPr id="2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8"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xml:space="preserve"> - коэффициент поперечной деформации стали (Пуассона);</w:t>
      </w:r>
    </w:p>
    <w:p w:rsidR="00212513" w:rsidRDefault="00212513">
      <w:pPr>
        <w:pStyle w:val="ConsPlusNormal"/>
        <w:spacing w:before="220"/>
        <w:ind w:firstLine="540"/>
        <w:jc w:val="both"/>
      </w:pPr>
      <w:r>
        <w:rPr>
          <w:noProof/>
          <w:position w:val="-8"/>
        </w:rPr>
        <w:lastRenderedPageBreak/>
        <w:drawing>
          <wp:inline distT="0" distB="0" distL="0" distR="0">
            <wp:extent cx="209550" cy="251460"/>
            <wp:effectExtent l="0" t="0" r="0" b="0"/>
            <wp:docPr id="2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2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0"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нормальные напряжения, параллельные осям соответственно </w:t>
      </w:r>
      <w:r>
        <w:rPr>
          <w:i/>
        </w:rPr>
        <w:t>x</w:t>
      </w:r>
      <w:r>
        <w:t xml:space="preserve"> - </w:t>
      </w:r>
      <w:r>
        <w:rPr>
          <w:i/>
        </w:rPr>
        <w:t>x</w:t>
      </w:r>
      <w:r>
        <w:t xml:space="preserve"> и </w:t>
      </w:r>
      <w:r>
        <w:rPr>
          <w:i/>
        </w:rPr>
        <w:t>y</w:t>
      </w:r>
      <w:r>
        <w:t xml:space="preserve"> - </w:t>
      </w:r>
      <w:r>
        <w:rPr>
          <w:i/>
        </w:rPr>
        <w:t>y</w:t>
      </w:r>
      <w:r>
        <w:t>;</w:t>
      </w:r>
    </w:p>
    <w:p w:rsidR="00212513" w:rsidRDefault="00212513">
      <w:pPr>
        <w:pStyle w:val="ConsPlusNormal"/>
        <w:spacing w:before="220"/>
        <w:ind w:firstLine="540"/>
        <w:jc w:val="both"/>
      </w:pPr>
      <w:r>
        <w:rPr>
          <w:noProof/>
          <w:position w:val="-9"/>
        </w:rPr>
        <w:drawing>
          <wp:inline distT="0" distB="0" distL="0" distR="0">
            <wp:extent cx="220980" cy="262890"/>
            <wp:effectExtent l="0" t="0" r="0" b="0"/>
            <wp:docPr id="2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1"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касательное напряжение;</w:t>
      </w:r>
    </w:p>
    <w:p w:rsidR="00212513" w:rsidRDefault="00212513">
      <w:pPr>
        <w:pStyle w:val="ConsPlusNormal"/>
        <w:spacing w:before="220"/>
        <w:ind w:firstLine="540"/>
        <w:jc w:val="both"/>
      </w:pPr>
      <w:r>
        <w:rPr>
          <w:noProof/>
          <w:position w:val="-3"/>
        </w:rPr>
        <w:drawing>
          <wp:inline distT="0" distB="0" distL="0" distR="0">
            <wp:extent cx="156845" cy="177800"/>
            <wp:effectExtent l="0" t="0" r="0" b="0"/>
            <wp:docPr id="2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2" cstate="print">
                      <a:extLst>
                        <a:ext uri="{28A0092B-C50C-407E-A947-70E740481C1C}">
                          <a14:useLocalDpi xmlns:a14="http://schemas.microsoft.com/office/drawing/2010/main" val="0"/>
                        </a:ext>
                      </a:extLst>
                    </a:blip>
                    <a:srcRect/>
                    <a:stretch>
                      <a:fillRect/>
                    </a:stretch>
                  </pic:blipFill>
                  <pic:spPr bwMode="auto">
                    <a:xfrm>
                      <a:off x="0" y="0"/>
                      <a:ext cx="156845" cy="177800"/>
                    </a:xfrm>
                    <a:prstGeom prst="rect">
                      <a:avLst/>
                    </a:prstGeom>
                    <a:noFill/>
                    <a:ln>
                      <a:noFill/>
                    </a:ln>
                  </pic:spPr>
                </pic:pic>
              </a:graphicData>
            </a:graphic>
          </wp:inline>
        </w:drawing>
      </w:r>
      <w:r>
        <w:t xml:space="preserve"> - коэффициент продольного изгиба.</w:t>
      </w:r>
    </w:p>
    <w:p w:rsidR="00212513" w:rsidRDefault="00212513">
      <w:pPr>
        <w:pStyle w:val="ConsPlusNormal"/>
        <w:ind w:firstLine="540"/>
        <w:jc w:val="both"/>
      </w:pPr>
    </w:p>
    <w:p w:rsidR="00212513" w:rsidRDefault="00212513">
      <w:pPr>
        <w:pStyle w:val="ConsPlusNormal"/>
        <w:jc w:val="center"/>
      </w:pPr>
      <w:r>
        <w:rPr>
          <w:b/>
        </w:rPr>
        <w:t xml:space="preserve">В </w:t>
      </w:r>
      <w:hyperlink w:anchor="P9301">
        <w:r>
          <w:rPr>
            <w:b/>
            <w:color w:val="0000FF"/>
          </w:rPr>
          <w:t>разделе 9</w:t>
        </w:r>
      </w:hyperlink>
      <w:r>
        <w:rPr>
          <w:b/>
        </w:rPr>
        <w:t xml:space="preserve"> "Сталежелезобетонные конструкции"</w:t>
      </w:r>
    </w:p>
    <w:p w:rsidR="00212513" w:rsidRDefault="00212513">
      <w:pPr>
        <w:pStyle w:val="ConsPlusNormal"/>
        <w:ind w:firstLine="540"/>
        <w:jc w:val="both"/>
      </w:pPr>
    </w:p>
    <w:p w:rsidR="00212513" w:rsidRDefault="00212513">
      <w:pPr>
        <w:pStyle w:val="ConsPlusNormal"/>
        <w:ind w:firstLine="540"/>
        <w:jc w:val="both"/>
      </w:pPr>
      <w:r>
        <w:rPr>
          <w:noProof/>
          <w:position w:val="-8"/>
        </w:rPr>
        <w:drawing>
          <wp:inline distT="0" distB="0" distL="0" distR="0">
            <wp:extent cx="167640" cy="251460"/>
            <wp:effectExtent l="0" t="0" r="0" b="0"/>
            <wp:docPr id="2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3"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коэффициент приведения </w:t>
      </w:r>
      <w:r>
        <w:rPr>
          <w:i/>
        </w:rPr>
        <w:t>i</w:t>
      </w:r>
      <w:r>
        <w:t>-го материала сечения;</w:t>
      </w:r>
    </w:p>
    <w:p w:rsidR="00212513" w:rsidRDefault="00212513">
      <w:pPr>
        <w:pStyle w:val="ConsPlusNormal"/>
        <w:spacing w:before="220"/>
        <w:ind w:firstLine="540"/>
        <w:jc w:val="both"/>
      </w:pPr>
      <w:r>
        <w:rPr>
          <w:noProof/>
          <w:position w:val="-8"/>
        </w:rPr>
        <w:drawing>
          <wp:inline distT="0" distB="0" distL="0" distR="0">
            <wp:extent cx="198755" cy="250825"/>
            <wp:effectExtent l="0" t="0" r="0" b="0"/>
            <wp:docPr id="2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4"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2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5"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модуль упругости </w:t>
      </w:r>
      <w:r>
        <w:rPr>
          <w:i/>
        </w:rPr>
        <w:t>i</w:t>
      </w:r>
      <w:r>
        <w:t xml:space="preserve">-го материала сечения с указанием </w:t>
      </w:r>
      <w:r>
        <w:rPr>
          <w:i/>
        </w:rPr>
        <w:t>j</w:t>
      </w:r>
      <w:r>
        <w:t>-го вида арматуры;</w:t>
      </w:r>
    </w:p>
    <w:p w:rsidR="00212513" w:rsidRDefault="00212513">
      <w:pPr>
        <w:pStyle w:val="ConsPlusNormal"/>
        <w:spacing w:before="220"/>
        <w:ind w:firstLine="540"/>
        <w:jc w:val="both"/>
      </w:pPr>
      <w:r>
        <w:rPr>
          <w:noProof/>
          <w:position w:val="-8"/>
        </w:rPr>
        <w:drawing>
          <wp:inline distT="0" distB="0" distL="0" distR="0">
            <wp:extent cx="156845" cy="251460"/>
            <wp:effectExtent l="0" t="0" r="0" b="0"/>
            <wp:docPr id="2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6"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w:t>
      </w:r>
      <w:r>
        <w:rPr>
          <w:noProof/>
          <w:position w:val="-9"/>
        </w:rPr>
        <w:drawing>
          <wp:inline distT="0" distB="0" distL="0" distR="0">
            <wp:extent cx="177800" cy="262890"/>
            <wp:effectExtent l="0" t="0" r="0" b="0"/>
            <wp:docPr id="2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7"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 момент инерции сечения или его частей с указанием принадлежности к </w:t>
      </w:r>
      <w:r>
        <w:rPr>
          <w:i/>
        </w:rPr>
        <w:t>j</w:t>
      </w:r>
      <w:r>
        <w:t>-му расчету;</w:t>
      </w:r>
    </w:p>
    <w:p w:rsidR="00212513" w:rsidRDefault="00212513">
      <w:pPr>
        <w:pStyle w:val="ConsPlusNormal"/>
        <w:spacing w:before="220"/>
        <w:ind w:firstLine="540"/>
        <w:jc w:val="both"/>
      </w:pPr>
      <w:r>
        <w:rPr>
          <w:noProof/>
          <w:position w:val="-9"/>
        </w:rPr>
        <w:drawing>
          <wp:inline distT="0" distB="0" distL="0" distR="0">
            <wp:extent cx="220980" cy="262890"/>
            <wp:effectExtent l="0" t="0" r="0" b="0"/>
            <wp:docPr id="2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8"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момент сопротивления </w:t>
      </w:r>
      <w:r>
        <w:rPr>
          <w:i/>
        </w:rPr>
        <w:t>i</w:t>
      </w:r>
      <w:r>
        <w:t xml:space="preserve">-й фибры </w:t>
      </w:r>
      <w:r>
        <w:rPr>
          <w:i/>
        </w:rPr>
        <w:t>j</w:t>
      </w:r>
      <w:r>
        <w:t>-й части сечения;</w:t>
      </w:r>
    </w:p>
    <w:p w:rsidR="00212513" w:rsidRDefault="00212513">
      <w:pPr>
        <w:pStyle w:val="ConsPlusNormal"/>
        <w:spacing w:before="220"/>
        <w:ind w:firstLine="540"/>
        <w:jc w:val="both"/>
      </w:pPr>
      <w:r>
        <w:rPr>
          <w:noProof/>
          <w:position w:val="-8"/>
        </w:rPr>
        <w:drawing>
          <wp:inline distT="0" distB="0" distL="0" distR="0">
            <wp:extent cx="177800" cy="251460"/>
            <wp:effectExtent l="0" t="0" r="0" b="0"/>
            <wp:docPr id="2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9"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w:t>
      </w:r>
      <w:r>
        <w:rPr>
          <w:noProof/>
          <w:position w:val="-9"/>
        </w:rPr>
        <w:drawing>
          <wp:inline distT="0" distB="0" distL="0" distR="0">
            <wp:extent cx="209550" cy="262890"/>
            <wp:effectExtent l="0" t="0" r="0" b="0"/>
            <wp:docPr id="2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0"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 площадь сечения или его элементов;</w:t>
      </w:r>
    </w:p>
    <w:p w:rsidR="00212513" w:rsidRDefault="00212513">
      <w:pPr>
        <w:pStyle w:val="ConsPlusNormal"/>
        <w:spacing w:before="220"/>
        <w:ind w:firstLine="540"/>
        <w:jc w:val="both"/>
      </w:pPr>
      <w:r>
        <w:rPr>
          <w:noProof/>
          <w:position w:val="-9"/>
        </w:rPr>
        <w:drawing>
          <wp:inline distT="0" distB="0" distL="0" distR="0">
            <wp:extent cx="177800" cy="262890"/>
            <wp:effectExtent l="0" t="0" r="0" b="0"/>
            <wp:docPr id="2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1"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 расстояние </w:t>
      </w:r>
      <w:r>
        <w:rPr>
          <w:i/>
        </w:rPr>
        <w:t>i</w:t>
      </w:r>
      <w:r>
        <w:t xml:space="preserve">-го элемента сечения до </w:t>
      </w:r>
      <w:r>
        <w:rPr>
          <w:i/>
        </w:rPr>
        <w:t>j</w:t>
      </w:r>
      <w:r>
        <w:t>-го центра тяжести;</w:t>
      </w:r>
    </w:p>
    <w:p w:rsidR="00212513" w:rsidRDefault="00212513">
      <w:pPr>
        <w:pStyle w:val="ConsPlusNormal"/>
        <w:spacing w:before="220"/>
        <w:ind w:firstLine="540"/>
        <w:jc w:val="both"/>
      </w:pPr>
      <w:r>
        <w:rPr>
          <w:i/>
        </w:rPr>
        <w:t>b</w:t>
      </w:r>
      <w:r>
        <w:t xml:space="preserve">, </w:t>
      </w:r>
      <w:r>
        <w:rPr>
          <w:noProof/>
          <w:position w:val="-8"/>
        </w:rPr>
        <w:drawing>
          <wp:inline distT="0" distB="0" distL="0" distR="0">
            <wp:extent cx="156845" cy="251460"/>
            <wp:effectExtent l="0" t="0" r="0" b="0"/>
            <wp:docPr id="2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2"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 ширина элемента или его </w:t>
      </w:r>
      <w:r>
        <w:rPr>
          <w:i/>
        </w:rPr>
        <w:t>i</w:t>
      </w:r>
      <w:r>
        <w:t>-й части;</w:t>
      </w:r>
    </w:p>
    <w:p w:rsidR="00212513" w:rsidRDefault="00212513">
      <w:pPr>
        <w:pStyle w:val="ConsPlusNormal"/>
        <w:spacing w:before="220"/>
        <w:ind w:firstLine="540"/>
        <w:jc w:val="both"/>
      </w:pPr>
      <w:r>
        <w:rPr>
          <w:noProof/>
          <w:position w:val="-8"/>
        </w:rPr>
        <w:drawing>
          <wp:inline distT="0" distB="0" distL="0" distR="0">
            <wp:extent cx="125730" cy="251460"/>
            <wp:effectExtent l="0" t="0" r="0" b="0"/>
            <wp:docPr id="2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3" cstate="print">
                      <a:extLst>
                        <a:ext uri="{28A0092B-C50C-407E-A947-70E740481C1C}">
                          <a14:useLocalDpi xmlns:a14="http://schemas.microsoft.com/office/drawing/2010/main" val="0"/>
                        </a:ext>
                      </a:extLst>
                    </a:blip>
                    <a:srcRect/>
                    <a:stretch>
                      <a:fillRect/>
                    </a:stretch>
                  </pic:blipFill>
                  <pic:spPr bwMode="auto">
                    <a:xfrm>
                      <a:off x="0" y="0"/>
                      <a:ext cx="125730" cy="251460"/>
                    </a:xfrm>
                    <a:prstGeom prst="rect">
                      <a:avLst/>
                    </a:prstGeom>
                    <a:noFill/>
                    <a:ln>
                      <a:noFill/>
                    </a:ln>
                  </pic:spPr>
                </pic:pic>
              </a:graphicData>
            </a:graphic>
          </wp:inline>
        </w:drawing>
      </w:r>
      <w:r>
        <w:t xml:space="preserve">, </w:t>
      </w:r>
      <w:r>
        <w:rPr>
          <w:noProof/>
          <w:position w:val="-9"/>
        </w:rPr>
        <w:drawing>
          <wp:inline distT="0" distB="0" distL="0" distR="0">
            <wp:extent cx="156845" cy="262890"/>
            <wp:effectExtent l="0" t="0" r="0" b="0"/>
            <wp:docPr id="2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4" cstate="print">
                      <a:extLst>
                        <a:ext uri="{28A0092B-C50C-407E-A947-70E740481C1C}">
                          <a14:useLocalDpi xmlns:a14="http://schemas.microsoft.com/office/drawing/2010/main" val="0"/>
                        </a:ext>
                      </a:extLst>
                    </a:blip>
                    <a:srcRect/>
                    <a:stretch>
                      <a:fillRect/>
                    </a:stretch>
                  </pic:blipFill>
                  <pic:spPr bwMode="auto">
                    <a:xfrm>
                      <a:off x="0" y="0"/>
                      <a:ext cx="156845" cy="262890"/>
                    </a:xfrm>
                    <a:prstGeom prst="rect">
                      <a:avLst/>
                    </a:prstGeom>
                    <a:noFill/>
                    <a:ln>
                      <a:noFill/>
                    </a:ln>
                  </pic:spPr>
                </pic:pic>
              </a:graphicData>
            </a:graphic>
          </wp:inline>
        </w:drawing>
      </w:r>
      <w:r>
        <w:t xml:space="preserve"> - толщина </w:t>
      </w:r>
      <w:r>
        <w:rPr>
          <w:i/>
        </w:rPr>
        <w:t>i</w:t>
      </w:r>
      <w:r>
        <w:t xml:space="preserve">-го элемента сечения с указанием местоположения </w:t>
      </w:r>
      <w:r>
        <w:rPr>
          <w:i/>
        </w:rPr>
        <w:t>j</w:t>
      </w:r>
      <w:r>
        <w:t>;</w:t>
      </w:r>
    </w:p>
    <w:p w:rsidR="00212513" w:rsidRDefault="00212513">
      <w:pPr>
        <w:pStyle w:val="ConsPlusNormal"/>
        <w:spacing w:before="220"/>
        <w:ind w:firstLine="540"/>
        <w:jc w:val="both"/>
      </w:pPr>
      <w:r>
        <w:rPr>
          <w:noProof/>
          <w:position w:val="-9"/>
        </w:rPr>
        <w:drawing>
          <wp:inline distT="0" distB="0" distL="0" distR="0">
            <wp:extent cx="367030" cy="262890"/>
            <wp:effectExtent l="0" t="0" r="0" b="0"/>
            <wp:docPr id="2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5" cstate="print">
                      <a:extLst>
                        <a:ext uri="{28A0092B-C50C-407E-A947-70E740481C1C}">
                          <a14:useLocalDpi xmlns:a14="http://schemas.microsoft.com/office/drawing/2010/main" val="0"/>
                        </a:ext>
                      </a:extLst>
                    </a:blip>
                    <a:srcRect/>
                    <a:stretch>
                      <a:fillRect/>
                    </a:stretch>
                  </pic:blipFill>
                  <pic:spPr bwMode="auto">
                    <a:xfrm>
                      <a:off x="0" y="0"/>
                      <a:ext cx="367030" cy="262890"/>
                    </a:xfrm>
                    <a:prstGeom prst="rect">
                      <a:avLst/>
                    </a:prstGeom>
                    <a:noFill/>
                    <a:ln>
                      <a:noFill/>
                    </a:ln>
                  </pic:spPr>
                </pic:pic>
              </a:graphicData>
            </a:graphic>
          </wp:inline>
        </w:drawing>
      </w:r>
      <w:r>
        <w:t xml:space="preserve">, </w:t>
      </w:r>
      <w:r>
        <w:rPr>
          <w:noProof/>
          <w:position w:val="-8"/>
        </w:rPr>
        <w:drawing>
          <wp:inline distT="0" distB="0" distL="0" distR="0">
            <wp:extent cx="262890" cy="251460"/>
            <wp:effectExtent l="0" t="0" r="0" b="0"/>
            <wp:docPr id="2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6"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эксплуатационная и расчетная максимальная разность температуры;</w:t>
      </w:r>
    </w:p>
    <w:p w:rsidR="00212513" w:rsidRDefault="00212513">
      <w:pPr>
        <w:pStyle w:val="ConsPlusNormal"/>
        <w:spacing w:before="220"/>
        <w:ind w:firstLine="540"/>
        <w:jc w:val="both"/>
      </w:pPr>
      <w:r>
        <w:rPr>
          <w:i/>
        </w:rPr>
        <w:t>M</w:t>
      </w:r>
      <w:r>
        <w:t xml:space="preserve">, </w:t>
      </w:r>
      <w:r>
        <w:rPr>
          <w:noProof/>
          <w:position w:val="-8"/>
        </w:rPr>
        <w:drawing>
          <wp:inline distT="0" distB="0" distL="0" distR="0">
            <wp:extent cx="241935" cy="251460"/>
            <wp:effectExtent l="0" t="0" r="0" b="0"/>
            <wp:docPr id="2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7"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w:t>
      </w:r>
      <w:r>
        <w:rPr>
          <w:noProof/>
          <w:position w:val="-9"/>
        </w:rPr>
        <w:drawing>
          <wp:inline distT="0" distB="0" distL="0" distR="0">
            <wp:extent cx="262890" cy="262890"/>
            <wp:effectExtent l="0" t="0" r="0" b="0"/>
            <wp:docPr id="2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8"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изгибающий момент </w:t>
      </w:r>
      <w:r>
        <w:rPr>
          <w:i/>
        </w:rPr>
        <w:t>i</w:t>
      </w:r>
      <w:r>
        <w:t xml:space="preserve">-й стадии работы для </w:t>
      </w:r>
      <w:r>
        <w:rPr>
          <w:i/>
        </w:rPr>
        <w:t>j</w:t>
      </w:r>
      <w:r>
        <w:t>-го расчетного случая;</w:t>
      </w:r>
    </w:p>
    <w:p w:rsidR="00212513" w:rsidRDefault="00212513">
      <w:pPr>
        <w:pStyle w:val="ConsPlusNormal"/>
        <w:spacing w:before="220"/>
        <w:ind w:firstLine="540"/>
        <w:jc w:val="both"/>
      </w:pPr>
      <w:r>
        <w:rPr>
          <w:i/>
        </w:rPr>
        <w:t>N</w:t>
      </w:r>
      <w:r>
        <w:t xml:space="preserve">, </w:t>
      </w:r>
      <w:r>
        <w:rPr>
          <w:noProof/>
          <w:position w:val="-8"/>
        </w:rPr>
        <w:drawing>
          <wp:inline distT="0" distB="0" distL="0" distR="0">
            <wp:extent cx="209550" cy="251460"/>
            <wp:effectExtent l="0" t="0" r="0" b="0"/>
            <wp:docPr id="2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9"/>
        </w:rPr>
        <w:drawing>
          <wp:inline distT="0" distB="0" distL="0" distR="0">
            <wp:extent cx="241935" cy="262890"/>
            <wp:effectExtent l="0" t="0" r="0" b="0"/>
            <wp:docPr id="2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0" cstate="print">
                      <a:extLst>
                        <a:ext uri="{28A0092B-C50C-407E-A947-70E740481C1C}">
                          <a14:useLocalDpi xmlns:a14="http://schemas.microsoft.com/office/drawing/2010/main" val="0"/>
                        </a:ext>
                      </a:extLst>
                    </a:blip>
                    <a:srcRect/>
                    <a:stretch>
                      <a:fillRect/>
                    </a:stretch>
                  </pic:blipFill>
                  <pic:spPr bwMode="auto">
                    <a:xfrm>
                      <a:off x="0" y="0"/>
                      <a:ext cx="241935" cy="262890"/>
                    </a:xfrm>
                    <a:prstGeom prst="rect">
                      <a:avLst/>
                    </a:prstGeom>
                    <a:noFill/>
                    <a:ln>
                      <a:noFill/>
                    </a:ln>
                  </pic:spPr>
                </pic:pic>
              </a:graphicData>
            </a:graphic>
          </wp:inline>
        </w:drawing>
      </w:r>
      <w:r>
        <w:t xml:space="preserve"> - нормальная сила от внешнего воздействия или замены </w:t>
      </w:r>
      <w:r>
        <w:rPr>
          <w:i/>
        </w:rPr>
        <w:t>i</w:t>
      </w:r>
      <w:r>
        <w:t xml:space="preserve">-й части сечения с указанием </w:t>
      </w:r>
      <w:r>
        <w:rPr>
          <w:i/>
        </w:rPr>
        <w:t>j</w:t>
      </w:r>
      <w:r>
        <w:t>-го напряженного состояния материалов, составляющих заменяемую часть;</w:t>
      </w:r>
    </w:p>
    <w:p w:rsidR="00212513" w:rsidRDefault="00212513">
      <w:pPr>
        <w:pStyle w:val="ConsPlusNormal"/>
        <w:spacing w:before="220"/>
        <w:ind w:firstLine="540"/>
        <w:jc w:val="both"/>
      </w:pPr>
      <w:r>
        <w:rPr>
          <w:noProof/>
          <w:position w:val="-8"/>
        </w:rPr>
        <w:drawing>
          <wp:inline distT="0" distB="0" distL="0" distR="0">
            <wp:extent cx="167640" cy="251460"/>
            <wp:effectExtent l="0" t="0" r="0" b="0"/>
            <wp:docPr id="2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1"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w:t>
      </w:r>
      <w:r>
        <w:rPr>
          <w:noProof/>
          <w:position w:val="-9"/>
        </w:rPr>
        <w:drawing>
          <wp:inline distT="0" distB="0" distL="0" distR="0">
            <wp:extent cx="209550" cy="262890"/>
            <wp:effectExtent l="0" t="0" r="0" b="0"/>
            <wp:docPr id="2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2"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 сдвигающее усилие, возникающее от </w:t>
      </w:r>
      <w:r>
        <w:rPr>
          <w:i/>
        </w:rPr>
        <w:t>i</w:t>
      </w:r>
      <w:r>
        <w:t xml:space="preserve">-го вида усилия или воздействия, с указанием местоположения </w:t>
      </w:r>
      <w:r>
        <w:rPr>
          <w:i/>
        </w:rPr>
        <w:t>j</w:t>
      </w:r>
      <w:r>
        <w:t xml:space="preserve"> (в отдельных случаях с указанием </w:t>
      </w:r>
      <w:r>
        <w:rPr>
          <w:i/>
        </w:rPr>
        <w:t>j</w:t>
      </w:r>
      <w:r>
        <w:t>-го вида расчета);</w:t>
      </w:r>
    </w:p>
    <w:p w:rsidR="00212513" w:rsidRDefault="00212513">
      <w:pPr>
        <w:pStyle w:val="ConsPlusNormal"/>
        <w:spacing w:before="220"/>
        <w:ind w:firstLine="540"/>
        <w:jc w:val="both"/>
      </w:pPr>
      <w:r>
        <w:rPr>
          <w:noProof/>
          <w:position w:val="-9"/>
        </w:rPr>
        <w:drawing>
          <wp:inline distT="0" distB="0" distL="0" distR="0">
            <wp:extent cx="177800" cy="262890"/>
            <wp:effectExtent l="0" t="0" r="0" b="0"/>
            <wp:docPr id="2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3"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 интенсивность сдвигающих усилий на </w:t>
      </w:r>
      <w:r>
        <w:rPr>
          <w:i/>
        </w:rPr>
        <w:t>i</w:t>
      </w:r>
      <w:r>
        <w:t xml:space="preserve">-м участке пролетного строения от </w:t>
      </w:r>
      <w:r>
        <w:rPr>
          <w:i/>
        </w:rPr>
        <w:t>j</w:t>
      </w:r>
      <w:r>
        <w:t>-го усилия;</w:t>
      </w:r>
    </w:p>
    <w:p w:rsidR="00212513" w:rsidRDefault="00212513">
      <w:pPr>
        <w:pStyle w:val="ConsPlusNormal"/>
        <w:spacing w:before="220"/>
        <w:ind w:firstLine="540"/>
        <w:jc w:val="both"/>
      </w:pPr>
      <w:r>
        <w:rPr>
          <w:noProof/>
          <w:position w:val="-8"/>
        </w:rPr>
        <w:drawing>
          <wp:inline distT="0" distB="0" distL="0" distR="0">
            <wp:extent cx="177800" cy="251460"/>
            <wp:effectExtent l="0" t="0" r="0" b="0"/>
            <wp:docPr id="2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4"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расчетное сопротивление </w:t>
      </w:r>
      <w:r>
        <w:rPr>
          <w:i/>
        </w:rPr>
        <w:t>i</w:t>
      </w:r>
      <w:r>
        <w:t>-го материала сечения;</w:t>
      </w:r>
    </w:p>
    <w:p w:rsidR="00212513" w:rsidRDefault="00212513">
      <w:pPr>
        <w:pStyle w:val="ConsPlusNormal"/>
        <w:spacing w:before="220"/>
        <w:ind w:firstLine="540"/>
        <w:jc w:val="both"/>
      </w:pPr>
      <w:r>
        <w:rPr>
          <w:noProof/>
          <w:position w:val="-8"/>
        </w:rPr>
        <w:drawing>
          <wp:inline distT="0" distB="0" distL="0" distR="0">
            <wp:extent cx="241935" cy="251460"/>
            <wp:effectExtent l="0" t="0" r="0" b="0"/>
            <wp:docPr id="2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5"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расчетное сопротивление бетона осевому растяжению;</w:t>
      </w:r>
    </w:p>
    <w:p w:rsidR="00212513" w:rsidRDefault="00212513">
      <w:pPr>
        <w:pStyle w:val="ConsPlusNormal"/>
        <w:spacing w:before="220"/>
        <w:ind w:firstLine="540"/>
        <w:jc w:val="both"/>
      </w:pPr>
      <w:r>
        <w:rPr>
          <w:noProof/>
          <w:position w:val="-9"/>
        </w:rPr>
        <w:drawing>
          <wp:inline distT="0" distB="0" distL="0" distR="0">
            <wp:extent cx="408940" cy="262890"/>
            <wp:effectExtent l="0" t="0" r="0" b="0"/>
            <wp:docPr id="2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6" cstate="print">
                      <a:extLst>
                        <a:ext uri="{28A0092B-C50C-407E-A947-70E740481C1C}">
                          <a14:useLocalDpi xmlns:a14="http://schemas.microsoft.com/office/drawing/2010/main" val="0"/>
                        </a:ext>
                      </a:extLst>
                    </a:blip>
                    <a:srcRect/>
                    <a:stretch>
                      <a:fillRect/>
                    </a:stretch>
                  </pic:blipFill>
                  <pic:spPr bwMode="auto">
                    <a:xfrm>
                      <a:off x="0" y="0"/>
                      <a:ext cx="408940" cy="262890"/>
                    </a:xfrm>
                    <a:prstGeom prst="rect">
                      <a:avLst/>
                    </a:prstGeom>
                    <a:noFill/>
                    <a:ln>
                      <a:noFill/>
                    </a:ln>
                  </pic:spPr>
                </pic:pic>
              </a:graphicData>
            </a:graphic>
          </wp:inline>
        </w:drawing>
      </w:r>
      <w:r>
        <w:t xml:space="preserve"> - расчетное сопротивление бетона осевому растяжению при расчете предварительно напряженных элементов по образованию трещин;</w:t>
      </w:r>
    </w:p>
    <w:p w:rsidR="00212513" w:rsidRDefault="00212513">
      <w:pPr>
        <w:pStyle w:val="ConsPlusNormal"/>
        <w:spacing w:before="220"/>
        <w:ind w:firstLine="540"/>
        <w:jc w:val="both"/>
      </w:pPr>
      <w:r>
        <w:rPr>
          <w:noProof/>
          <w:position w:val="-8"/>
        </w:rPr>
        <w:drawing>
          <wp:inline distT="0" distB="0" distL="0" distR="0">
            <wp:extent cx="198755" cy="250825"/>
            <wp:effectExtent l="0" t="0" r="0" b="0"/>
            <wp:docPr id="2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7"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8"/>
        </w:rPr>
        <w:drawing>
          <wp:inline distT="0" distB="0" distL="0" distR="0">
            <wp:extent cx="220980" cy="251460"/>
            <wp:effectExtent l="0" t="0" r="0" b="0"/>
            <wp:docPr id="2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8"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w:t>
      </w:r>
      <w:r>
        <w:rPr>
          <w:noProof/>
          <w:position w:val="-9"/>
        </w:rPr>
        <w:drawing>
          <wp:inline distT="0" distB="0" distL="0" distR="0">
            <wp:extent cx="220980" cy="262890"/>
            <wp:effectExtent l="0" t="0" r="0" b="0"/>
            <wp:docPr id="2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9"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напряжения в </w:t>
      </w:r>
      <w:r>
        <w:rPr>
          <w:i/>
        </w:rPr>
        <w:t>i</w:t>
      </w:r>
      <w:r>
        <w:t xml:space="preserve">-м материале сечения с указанием самоуравновешенных напряжений по сечению </w:t>
      </w:r>
      <w:r>
        <w:rPr>
          <w:i/>
        </w:rPr>
        <w:t>i</w:t>
      </w:r>
      <w:r>
        <w:t xml:space="preserve"> или местоположения проверяемой фибры </w:t>
      </w:r>
      <w:r>
        <w:rPr>
          <w:i/>
        </w:rPr>
        <w:t>j</w:t>
      </w:r>
      <w:r>
        <w:t>;</w:t>
      </w:r>
    </w:p>
    <w:p w:rsidR="00212513" w:rsidRDefault="00212513">
      <w:pPr>
        <w:pStyle w:val="ConsPlusNormal"/>
        <w:spacing w:before="220"/>
        <w:ind w:firstLine="540"/>
        <w:jc w:val="both"/>
      </w:pPr>
      <w:r>
        <w:rPr>
          <w:noProof/>
          <w:position w:val="-8"/>
        </w:rPr>
        <w:lastRenderedPageBreak/>
        <w:drawing>
          <wp:inline distT="0" distB="0" distL="0" distR="0">
            <wp:extent cx="167640" cy="251460"/>
            <wp:effectExtent l="0" t="0" r="0" b="0"/>
            <wp:docPr id="2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0"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w:t>
      </w:r>
      <w:r>
        <w:rPr>
          <w:noProof/>
          <w:position w:val="-9"/>
        </w:rPr>
        <w:drawing>
          <wp:inline distT="0" distB="0" distL="0" distR="0">
            <wp:extent cx="198755" cy="262890"/>
            <wp:effectExtent l="0" t="0" r="0" b="0"/>
            <wp:docPr id="2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1"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 деформации </w:t>
      </w:r>
      <w:r>
        <w:rPr>
          <w:i/>
        </w:rPr>
        <w:t>i</w:t>
      </w:r>
      <w:r>
        <w:t xml:space="preserve">-го материала сечения или от </w:t>
      </w:r>
      <w:r>
        <w:rPr>
          <w:i/>
        </w:rPr>
        <w:t>i</w:t>
      </w:r>
      <w:r>
        <w:t xml:space="preserve">-го воздействия с указанием </w:t>
      </w:r>
      <w:r>
        <w:rPr>
          <w:i/>
        </w:rPr>
        <w:t>j</w:t>
      </w:r>
      <w:r>
        <w:t>-го положения по сечению;</w:t>
      </w:r>
    </w:p>
    <w:p w:rsidR="00212513" w:rsidRDefault="00212513">
      <w:pPr>
        <w:pStyle w:val="ConsPlusNormal"/>
        <w:spacing w:before="220"/>
        <w:ind w:firstLine="540"/>
        <w:jc w:val="both"/>
      </w:pPr>
      <w:r>
        <w:rPr>
          <w:noProof/>
          <w:position w:val="-3"/>
        </w:rPr>
        <w:drawing>
          <wp:inline distT="0" distB="0" distL="0" distR="0">
            <wp:extent cx="167640" cy="177800"/>
            <wp:effectExtent l="0" t="0" r="0" b="0"/>
            <wp:docPr id="2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2"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характеристика цикла;</w:t>
      </w:r>
    </w:p>
    <w:p w:rsidR="00212513" w:rsidRDefault="00212513">
      <w:pPr>
        <w:pStyle w:val="ConsPlusNormal"/>
        <w:spacing w:before="220"/>
        <w:ind w:firstLine="540"/>
        <w:jc w:val="both"/>
      </w:pPr>
      <w:r>
        <w:rPr>
          <w:noProof/>
          <w:position w:val="-8"/>
        </w:rPr>
        <w:drawing>
          <wp:inline distT="0" distB="0" distL="0" distR="0">
            <wp:extent cx="198755" cy="250825"/>
            <wp:effectExtent l="0" t="0" r="0" b="0"/>
            <wp:docPr id="2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3"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3"/>
        </w:rPr>
        <w:drawing>
          <wp:inline distT="0" distB="0" distL="0" distR="0">
            <wp:extent cx="137160" cy="177800"/>
            <wp:effectExtent l="0" t="0" r="0" b="0"/>
            <wp:docPr id="2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4" cstate="print">
                      <a:extLst>
                        <a:ext uri="{28A0092B-C50C-407E-A947-70E740481C1C}">
                          <a14:useLocalDpi xmlns:a14="http://schemas.microsoft.com/office/drawing/2010/main" val="0"/>
                        </a:ext>
                      </a:extLst>
                    </a:blip>
                    <a:srcRect/>
                    <a:stretch>
                      <a:fillRect/>
                    </a:stretch>
                  </pic:blipFill>
                  <pic:spPr bwMode="auto">
                    <a:xfrm>
                      <a:off x="0" y="0"/>
                      <a:ext cx="137160" cy="177800"/>
                    </a:xfrm>
                    <a:prstGeom prst="rect">
                      <a:avLst/>
                    </a:prstGeom>
                    <a:noFill/>
                    <a:ln>
                      <a:noFill/>
                    </a:ln>
                  </pic:spPr>
                </pic:pic>
              </a:graphicData>
            </a:graphic>
          </wp:inline>
        </w:drawing>
      </w:r>
      <w:r>
        <w:t xml:space="preserve"> - поправочные коэффициенты к действующим усилиям;</w:t>
      </w:r>
    </w:p>
    <w:p w:rsidR="00212513" w:rsidRDefault="00212513">
      <w:pPr>
        <w:pStyle w:val="ConsPlusNormal"/>
        <w:spacing w:before="220"/>
        <w:ind w:firstLine="540"/>
        <w:jc w:val="both"/>
      </w:pPr>
      <w:r>
        <w:rPr>
          <w:i/>
        </w:rPr>
        <w:t>k</w:t>
      </w:r>
      <w:r>
        <w:t xml:space="preserve"> - поправочный коэффициент к величине деформации бетона;</w:t>
      </w:r>
    </w:p>
    <w:p w:rsidR="00212513" w:rsidRDefault="00212513">
      <w:pPr>
        <w:pStyle w:val="ConsPlusNormal"/>
        <w:spacing w:before="220"/>
        <w:ind w:firstLine="540"/>
        <w:jc w:val="both"/>
      </w:pPr>
      <w:r>
        <w:rPr>
          <w:noProof/>
          <w:position w:val="-8"/>
        </w:rPr>
        <w:drawing>
          <wp:inline distT="0" distB="0" distL="0" distR="0">
            <wp:extent cx="281940" cy="251460"/>
            <wp:effectExtent l="0" t="0" r="0" b="0"/>
            <wp:docPr id="2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5"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xml:space="preserve"> - коэффициент, учитывающий работу бетона при наличии трещин;</w:t>
      </w:r>
    </w:p>
    <w:p w:rsidR="00212513" w:rsidRDefault="00212513">
      <w:pPr>
        <w:pStyle w:val="ConsPlusNormal"/>
        <w:spacing w:before="220"/>
        <w:ind w:firstLine="540"/>
        <w:jc w:val="both"/>
      </w:pPr>
      <w:r>
        <w:rPr>
          <w:i/>
        </w:rPr>
        <w:t>m</w:t>
      </w:r>
      <w:r>
        <w:t xml:space="preserve">, </w:t>
      </w:r>
      <w:r>
        <w:rPr>
          <w:noProof/>
          <w:position w:val="-8"/>
        </w:rPr>
        <w:drawing>
          <wp:inline distT="0" distB="0" distL="0" distR="0">
            <wp:extent cx="198755" cy="250825"/>
            <wp:effectExtent l="0" t="0" r="0" b="0"/>
            <wp:docPr id="2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коэффициент условий работы </w:t>
      </w:r>
      <w:r>
        <w:rPr>
          <w:i/>
        </w:rPr>
        <w:t>i</w:t>
      </w:r>
      <w:r>
        <w:t>-го материала или элемента сечения;</w:t>
      </w:r>
    </w:p>
    <w:p w:rsidR="00212513" w:rsidRDefault="00212513">
      <w:pPr>
        <w:pStyle w:val="ConsPlusNormal"/>
        <w:spacing w:before="220"/>
        <w:ind w:firstLine="540"/>
        <w:jc w:val="both"/>
      </w:pPr>
      <w:r>
        <w:rPr>
          <w:noProof/>
          <w:position w:val="-8"/>
        </w:rPr>
        <w:drawing>
          <wp:inline distT="0" distB="0" distL="0" distR="0">
            <wp:extent cx="167640" cy="251460"/>
            <wp:effectExtent l="0" t="0" r="0" b="0"/>
            <wp:docPr id="2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7"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характерные точки сечения.</w:t>
      </w:r>
    </w:p>
    <w:p w:rsidR="00212513" w:rsidRDefault="00212513">
      <w:pPr>
        <w:pStyle w:val="ConsPlusNormal"/>
        <w:ind w:firstLine="540"/>
        <w:jc w:val="both"/>
      </w:pPr>
    </w:p>
    <w:p w:rsidR="00212513" w:rsidRDefault="00212513">
      <w:pPr>
        <w:pStyle w:val="ConsPlusNormal"/>
        <w:jc w:val="center"/>
      </w:pPr>
      <w:r>
        <w:t xml:space="preserve">В </w:t>
      </w:r>
      <w:hyperlink w:anchor="P10099">
        <w:r>
          <w:rPr>
            <w:color w:val="0000FF"/>
          </w:rPr>
          <w:t>разделе 10</w:t>
        </w:r>
      </w:hyperlink>
      <w:r>
        <w:t xml:space="preserve"> "Деревянные конструкции"</w:t>
      </w:r>
    </w:p>
    <w:p w:rsidR="00212513" w:rsidRDefault="00212513">
      <w:pPr>
        <w:pStyle w:val="ConsPlusNormal"/>
        <w:ind w:firstLine="540"/>
        <w:jc w:val="both"/>
      </w:pPr>
    </w:p>
    <w:p w:rsidR="00212513" w:rsidRDefault="00212513">
      <w:pPr>
        <w:pStyle w:val="ConsPlusNormal"/>
        <w:ind w:firstLine="540"/>
        <w:jc w:val="both"/>
      </w:pPr>
      <w:r>
        <w:rPr>
          <w:noProof/>
          <w:position w:val="-8"/>
        </w:rPr>
        <w:drawing>
          <wp:inline distT="0" distB="0" distL="0" distR="0">
            <wp:extent cx="241935" cy="251460"/>
            <wp:effectExtent l="0" t="0" r="0" b="0"/>
            <wp:docPr id="2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8"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расчетное значение осевого усилия;</w:t>
      </w:r>
    </w:p>
    <w:p w:rsidR="00212513" w:rsidRDefault="00212513">
      <w:pPr>
        <w:pStyle w:val="ConsPlusNormal"/>
        <w:spacing w:before="220"/>
        <w:ind w:firstLine="540"/>
        <w:jc w:val="both"/>
      </w:pPr>
      <w:r>
        <w:rPr>
          <w:noProof/>
          <w:position w:val="-8"/>
        </w:rPr>
        <w:drawing>
          <wp:inline distT="0" distB="0" distL="0" distR="0">
            <wp:extent cx="281940" cy="251460"/>
            <wp:effectExtent l="0" t="0" r="0" b="0"/>
            <wp:docPr id="2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9"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xml:space="preserve"> - расчетное значение изгибающего момента;</w:t>
      </w:r>
    </w:p>
    <w:p w:rsidR="00212513" w:rsidRDefault="00212513">
      <w:pPr>
        <w:pStyle w:val="ConsPlusNormal"/>
        <w:spacing w:before="220"/>
        <w:ind w:firstLine="540"/>
        <w:jc w:val="both"/>
      </w:pPr>
      <w:r>
        <w:rPr>
          <w:noProof/>
          <w:position w:val="-8"/>
        </w:rPr>
        <w:drawing>
          <wp:inline distT="0" distB="0" distL="0" distR="0">
            <wp:extent cx="220980" cy="251460"/>
            <wp:effectExtent l="0" t="0" r="0" b="0"/>
            <wp:docPr id="2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0"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расчетное значение поперечной силы;</w:t>
      </w:r>
    </w:p>
    <w:p w:rsidR="00212513" w:rsidRDefault="00212513">
      <w:pPr>
        <w:pStyle w:val="ConsPlusNormal"/>
        <w:spacing w:before="220"/>
        <w:ind w:firstLine="540"/>
        <w:jc w:val="both"/>
      </w:pPr>
      <w:r>
        <w:rPr>
          <w:noProof/>
          <w:position w:val="-8"/>
        </w:rPr>
        <w:drawing>
          <wp:inline distT="0" distB="0" distL="0" distR="0">
            <wp:extent cx="293370" cy="251460"/>
            <wp:effectExtent l="0" t="0" r="0" b="0"/>
            <wp:docPr id="2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1"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 расчетное значение несущей способности вклеенного штыря на выдергивание или продавливание.</w:t>
      </w:r>
    </w:p>
    <w:p w:rsidR="00212513" w:rsidRDefault="00212513">
      <w:pPr>
        <w:pStyle w:val="ConsPlusNormal"/>
        <w:ind w:firstLine="540"/>
        <w:jc w:val="both"/>
      </w:pPr>
    </w:p>
    <w:p w:rsidR="00212513" w:rsidRDefault="00212513">
      <w:pPr>
        <w:pStyle w:val="ConsPlusNormal"/>
        <w:jc w:val="center"/>
      </w:pPr>
      <w:r>
        <w:rPr>
          <w:i/>
        </w:rPr>
        <w:t>Расчетные сопротивления древесины</w:t>
      </w:r>
    </w:p>
    <w:p w:rsidR="00212513" w:rsidRDefault="00212513">
      <w:pPr>
        <w:pStyle w:val="ConsPlusNormal"/>
        <w:ind w:firstLine="540"/>
        <w:jc w:val="both"/>
      </w:pPr>
    </w:p>
    <w:p w:rsidR="00212513" w:rsidRDefault="00212513">
      <w:pPr>
        <w:pStyle w:val="ConsPlusNormal"/>
        <w:ind w:firstLine="540"/>
        <w:jc w:val="both"/>
      </w:pPr>
      <w:r>
        <w:rPr>
          <w:noProof/>
          <w:position w:val="-8"/>
        </w:rPr>
        <w:drawing>
          <wp:inline distT="0" distB="0" distL="0" distR="0">
            <wp:extent cx="251460" cy="251460"/>
            <wp:effectExtent l="0" t="0" r="0" b="0"/>
            <wp:docPr id="2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2"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при изгибе;</w:t>
      </w:r>
    </w:p>
    <w:p w:rsidR="00212513" w:rsidRDefault="00212513">
      <w:pPr>
        <w:pStyle w:val="ConsPlusNormal"/>
        <w:spacing w:before="220"/>
        <w:ind w:firstLine="540"/>
        <w:jc w:val="both"/>
      </w:pPr>
      <w:r>
        <w:rPr>
          <w:noProof/>
          <w:position w:val="-8"/>
        </w:rPr>
        <w:drawing>
          <wp:inline distT="0" distB="0" distL="0" distR="0">
            <wp:extent cx="241935" cy="251460"/>
            <wp:effectExtent l="0" t="0" r="0" b="0"/>
            <wp:docPr id="2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3"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растяжению вдоль волокон;</w:t>
      </w:r>
    </w:p>
    <w:p w:rsidR="00212513" w:rsidRDefault="00212513">
      <w:pPr>
        <w:pStyle w:val="ConsPlusNormal"/>
        <w:spacing w:before="220"/>
        <w:ind w:firstLine="540"/>
        <w:jc w:val="both"/>
      </w:pPr>
      <w:r>
        <w:rPr>
          <w:noProof/>
          <w:position w:val="-8"/>
        </w:rPr>
        <w:drawing>
          <wp:inline distT="0" distB="0" distL="0" distR="0">
            <wp:extent cx="251460" cy="251460"/>
            <wp:effectExtent l="0" t="0" r="0" b="0"/>
            <wp:docPr id="2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4"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сжатию вдоль волокон;</w:t>
      </w:r>
    </w:p>
    <w:p w:rsidR="00212513" w:rsidRDefault="00212513">
      <w:pPr>
        <w:pStyle w:val="ConsPlusNormal"/>
        <w:spacing w:before="220"/>
        <w:ind w:firstLine="540"/>
        <w:jc w:val="both"/>
      </w:pPr>
      <w:r>
        <w:rPr>
          <w:noProof/>
          <w:position w:val="-8"/>
        </w:rPr>
        <w:drawing>
          <wp:inline distT="0" distB="0" distL="0" distR="0">
            <wp:extent cx="251460" cy="251460"/>
            <wp:effectExtent l="0" t="0" r="0" b="0"/>
            <wp:docPr id="2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5"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то же, в клееных конструкциях;</w:t>
      </w:r>
    </w:p>
    <w:p w:rsidR="00212513" w:rsidRDefault="00212513">
      <w:pPr>
        <w:pStyle w:val="ConsPlusNormal"/>
        <w:spacing w:before="220"/>
        <w:ind w:firstLine="540"/>
        <w:jc w:val="both"/>
      </w:pPr>
      <w:r>
        <w:rPr>
          <w:noProof/>
          <w:position w:val="-9"/>
        </w:rPr>
        <w:drawing>
          <wp:inline distT="0" distB="0" distL="0" distR="0">
            <wp:extent cx="293370" cy="262890"/>
            <wp:effectExtent l="0" t="0" r="0" b="0"/>
            <wp:docPr id="2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6" cstate="print">
                      <a:extLst>
                        <a:ext uri="{28A0092B-C50C-407E-A947-70E740481C1C}">
                          <a14:useLocalDpi xmlns:a14="http://schemas.microsoft.com/office/drawing/2010/main" val="0"/>
                        </a:ext>
                      </a:extLst>
                    </a:blip>
                    <a:srcRect/>
                    <a:stretch>
                      <a:fillRect/>
                    </a:stretch>
                  </pic:blipFill>
                  <pic:spPr bwMode="auto">
                    <a:xfrm>
                      <a:off x="0" y="0"/>
                      <a:ext cx="293370" cy="262890"/>
                    </a:xfrm>
                    <a:prstGeom prst="rect">
                      <a:avLst/>
                    </a:prstGeom>
                    <a:noFill/>
                    <a:ln>
                      <a:noFill/>
                    </a:ln>
                  </pic:spPr>
                </pic:pic>
              </a:graphicData>
            </a:graphic>
          </wp:inline>
        </w:drawing>
      </w:r>
      <w:r>
        <w:t xml:space="preserve"> - смятию вдоль волокон;</w:t>
      </w:r>
    </w:p>
    <w:p w:rsidR="00212513" w:rsidRDefault="00212513">
      <w:pPr>
        <w:pStyle w:val="ConsPlusNormal"/>
        <w:spacing w:before="220"/>
        <w:ind w:firstLine="540"/>
        <w:jc w:val="both"/>
      </w:pPr>
      <w:r>
        <w:rPr>
          <w:noProof/>
          <w:position w:val="-9"/>
        </w:rPr>
        <w:drawing>
          <wp:inline distT="0" distB="0" distL="0" distR="0">
            <wp:extent cx="251460" cy="262890"/>
            <wp:effectExtent l="0" t="0" r="0" b="0"/>
            <wp:docPr id="2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7" cstate="print">
                      <a:extLst>
                        <a:ext uri="{28A0092B-C50C-407E-A947-70E740481C1C}">
                          <a14:useLocalDpi xmlns:a14="http://schemas.microsoft.com/office/drawing/2010/main" val="0"/>
                        </a:ext>
                      </a:extLst>
                    </a:blip>
                    <a:srcRect/>
                    <a:stretch>
                      <a:fillRect/>
                    </a:stretch>
                  </pic:blipFill>
                  <pic:spPr bwMode="auto">
                    <a:xfrm>
                      <a:off x="0" y="0"/>
                      <a:ext cx="251460" cy="262890"/>
                    </a:xfrm>
                    <a:prstGeom prst="rect">
                      <a:avLst/>
                    </a:prstGeom>
                    <a:noFill/>
                    <a:ln>
                      <a:noFill/>
                    </a:ln>
                  </pic:spPr>
                </pic:pic>
              </a:graphicData>
            </a:graphic>
          </wp:inline>
        </w:drawing>
      </w:r>
      <w:r>
        <w:t xml:space="preserve"> - сжатию и смятию всей поверхности поперек волокон;</w:t>
      </w:r>
    </w:p>
    <w:p w:rsidR="00212513" w:rsidRDefault="00212513">
      <w:pPr>
        <w:pStyle w:val="ConsPlusNormal"/>
        <w:spacing w:before="220"/>
        <w:ind w:firstLine="540"/>
        <w:jc w:val="both"/>
      </w:pPr>
      <w:r>
        <w:rPr>
          <w:noProof/>
          <w:position w:val="-9"/>
        </w:rPr>
        <w:drawing>
          <wp:inline distT="0" distB="0" distL="0" distR="0">
            <wp:extent cx="293370" cy="262890"/>
            <wp:effectExtent l="0" t="0" r="0" b="0"/>
            <wp:docPr id="2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8" cstate="print">
                      <a:extLst>
                        <a:ext uri="{28A0092B-C50C-407E-A947-70E740481C1C}">
                          <a14:useLocalDpi xmlns:a14="http://schemas.microsoft.com/office/drawing/2010/main" val="0"/>
                        </a:ext>
                      </a:extLst>
                    </a:blip>
                    <a:srcRect/>
                    <a:stretch>
                      <a:fillRect/>
                    </a:stretch>
                  </pic:blipFill>
                  <pic:spPr bwMode="auto">
                    <a:xfrm>
                      <a:off x="0" y="0"/>
                      <a:ext cx="293370" cy="262890"/>
                    </a:xfrm>
                    <a:prstGeom prst="rect">
                      <a:avLst/>
                    </a:prstGeom>
                    <a:noFill/>
                    <a:ln>
                      <a:noFill/>
                    </a:ln>
                  </pic:spPr>
                </pic:pic>
              </a:graphicData>
            </a:graphic>
          </wp:inline>
        </w:drawing>
      </w:r>
      <w:r>
        <w:t xml:space="preserve"> - то же, в клееных конструкциях;</w:t>
      </w:r>
    </w:p>
    <w:p w:rsidR="00212513" w:rsidRDefault="00212513">
      <w:pPr>
        <w:pStyle w:val="ConsPlusNormal"/>
        <w:spacing w:before="220"/>
        <w:ind w:firstLine="540"/>
        <w:jc w:val="both"/>
      </w:pPr>
      <w:r>
        <w:rPr>
          <w:noProof/>
          <w:position w:val="-9"/>
        </w:rPr>
        <w:drawing>
          <wp:inline distT="0" distB="0" distL="0" distR="0">
            <wp:extent cx="304165" cy="262890"/>
            <wp:effectExtent l="0" t="0" r="0" b="0"/>
            <wp:docPr id="2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9" cstate="print">
                      <a:extLst>
                        <a:ext uri="{28A0092B-C50C-407E-A947-70E740481C1C}">
                          <a14:useLocalDpi xmlns:a14="http://schemas.microsoft.com/office/drawing/2010/main" val="0"/>
                        </a:ext>
                      </a:extLst>
                    </a:blip>
                    <a:srcRect/>
                    <a:stretch>
                      <a:fillRect/>
                    </a:stretch>
                  </pic:blipFill>
                  <pic:spPr bwMode="auto">
                    <a:xfrm>
                      <a:off x="0" y="0"/>
                      <a:ext cx="304165" cy="262890"/>
                    </a:xfrm>
                    <a:prstGeom prst="rect">
                      <a:avLst/>
                    </a:prstGeom>
                    <a:noFill/>
                    <a:ln>
                      <a:noFill/>
                    </a:ln>
                  </pic:spPr>
                </pic:pic>
              </a:graphicData>
            </a:graphic>
          </wp:inline>
        </w:drawing>
      </w:r>
      <w:r>
        <w:t xml:space="preserve"> - местному смятию поперек волокон;</w:t>
      </w:r>
    </w:p>
    <w:p w:rsidR="00212513" w:rsidRDefault="00212513">
      <w:pPr>
        <w:pStyle w:val="ConsPlusNormal"/>
        <w:spacing w:before="220"/>
        <w:ind w:firstLine="540"/>
        <w:jc w:val="both"/>
      </w:pPr>
      <w:r>
        <w:rPr>
          <w:noProof/>
          <w:position w:val="-9"/>
        </w:rPr>
        <w:drawing>
          <wp:inline distT="0" distB="0" distL="0" distR="0">
            <wp:extent cx="304165" cy="262890"/>
            <wp:effectExtent l="0" t="0" r="0" b="0"/>
            <wp:docPr id="2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0" cstate="print">
                      <a:extLst>
                        <a:ext uri="{28A0092B-C50C-407E-A947-70E740481C1C}">
                          <a14:useLocalDpi xmlns:a14="http://schemas.microsoft.com/office/drawing/2010/main" val="0"/>
                        </a:ext>
                      </a:extLst>
                    </a:blip>
                    <a:srcRect/>
                    <a:stretch>
                      <a:fillRect/>
                    </a:stretch>
                  </pic:blipFill>
                  <pic:spPr bwMode="auto">
                    <a:xfrm>
                      <a:off x="0" y="0"/>
                      <a:ext cx="304165" cy="262890"/>
                    </a:xfrm>
                    <a:prstGeom prst="rect">
                      <a:avLst/>
                    </a:prstGeom>
                    <a:noFill/>
                    <a:ln>
                      <a:noFill/>
                    </a:ln>
                  </pic:spPr>
                </pic:pic>
              </a:graphicData>
            </a:graphic>
          </wp:inline>
        </w:drawing>
      </w:r>
      <w:r>
        <w:t xml:space="preserve"> - то же, на части длины элемента;</w:t>
      </w:r>
    </w:p>
    <w:p w:rsidR="00212513" w:rsidRDefault="00212513">
      <w:pPr>
        <w:pStyle w:val="ConsPlusNormal"/>
        <w:spacing w:before="220"/>
        <w:ind w:firstLine="540"/>
        <w:jc w:val="both"/>
      </w:pPr>
      <w:r>
        <w:rPr>
          <w:noProof/>
          <w:position w:val="-8"/>
        </w:rPr>
        <w:drawing>
          <wp:inline distT="0" distB="0" distL="0" distR="0">
            <wp:extent cx="304165" cy="251460"/>
            <wp:effectExtent l="0" t="0" r="0" b="0"/>
            <wp:docPr id="2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1" cstate="print">
                      <a:extLst>
                        <a:ext uri="{28A0092B-C50C-407E-A947-70E740481C1C}">
                          <a14:useLocalDpi xmlns:a14="http://schemas.microsoft.com/office/drawing/2010/main" val="0"/>
                        </a:ext>
                      </a:extLst>
                    </a:blip>
                    <a:srcRect/>
                    <a:stretch>
                      <a:fillRect/>
                    </a:stretch>
                  </pic:blipFill>
                  <pic:spPr bwMode="auto">
                    <a:xfrm>
                      <a:off x="0" y="0"/>
                      <a:ext cx="304165" cy="251460"/>
                    </a:xfrm>
                    <a:prstGeom prst="rect">
                      <a:avLst/>
                    </a:prstGeom>
                    <a:noFill/>
                    <a:ln>
                      <a:noFill/>
                    </a:ln>
                  </pic:spPr>
                </pic:pic>
              </a:graphicData>
            </a:graphic>
          </wp:inline>
        </w:drawing>
      </w:r>
      <w:r>
        <w:t xml:space="preserve"> - скалыванию вдоль волокон при изгибе;</w:t>
      </w:r>
    </w:p>
    <w:p w:rsidR="00212513" w:rsidRDefault="00212513">
      <w:pPr>
        <w:pStyle w:val="ConsPlusNormal"/>
        <w:spacing w:before="220"/>
        <w:ind w:firstLine="540"/>
        <w:jc w:val="both"/>
      </w:pPr>
      <w:r>
        <w:rPr>
          <w:noProof/>
          <w:position w:val="-8"/>
        </w:rPr>
        <w:lastRenderedPageBreak/>
        <w:drawing>
          <wp:inline distT="0" distB="0" distL="0" distR="0">
            <wp:extent cx="324485" cy="251460"/>
            <wp:effectExtent l="0" t="0" r="0" b="0"/>
            <wp:docPr id="2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2" cstate="print">
                      <a:extLst>
                        <a:ext uri="{28A0092B-C50C-407E-A947-70E740481C1C}">
                          <a14:useLocalDpi xmlns:a14="http://schemas.microsoft.com/office/drawing/2010/main" val="0"/>
                        </a:ext>
                      </a:extLst>
                    </a:blip>
                    <a:srcRect/>
                    <a:stretch>
                      <a:fillRect/>
                    </a:stretch>
                  </pic:blipFill>
                  <pic:spPr bwMode="auto">
                    <a:xfrm>
                      <a:off x="0" y="0"/>
                      <a:ext cx="324485" cy="251460"/>
                    </a:xfrm>
                    <a:prstGeom prst="rect">
                      <a:avLst/>
                    </a:prstGeom>
                    <a:noFill/>
                    <a:ln>
                      <a:noFill/>
                    </a:ln>
                  </pic:spPr>
                </pic:pic>
              </a:graphicData>
            </a:graphic>
          </wp:inline>
        </w:drawing>
      </w:r>
      <w:r>
        <w:t xml:space="preserve"> - скалыванию (непосредственному) вдоль волокон;</w:t>
      </w:r>
    </w:p>
    <w:p w:rsidR="00212513" w:rsidRDefault="00212513">
      <w:pPr>
        <w:pStyle w:val="ConsPlusNormal"/>
        <w:spacing w:before="220"/>
        <w:ind w:firstLine="540"/>
        <w:jc w:val="both"/>
      </w:pPr>
      <w:r>
        <w:rPr>
          <w:noProof/>
          <w:position w:val="-8"/>
        </w:rPr>
        <w:drawing>
          <wp:inline distT="0" distB="0" distL="0" distR="0">
            <wp:extent cx="324485" cy="251460"/>
            <wp:effectExtent l="0" t="0" r="0" b="0"/>
            <wp:docPr id="2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3" cstate="print">
                      <a:extLst>
                        <a:ext uri="{28A0092B-C50C-407E-A947-70E740481C1C}">
                          <a14:useLocalDpi xmlns:a14="http://schemas.microsoft.com/office/drawing/2010/main" val="0"/>
                        </a:ext>
                      </a:extLst>
                    </a:blip>
                    <a:srcRect/>
                    <a:stretch>
                      <a:fillRect/>
                    </a:stretch>
                  </pic:blipFill>
                  <pic:spPr bwMode="auto">
                    <a:xfrm>
                      <a:off x="0" y="0"/>
                      <a:ext cx="324485" cy="251460"/>
                    </a:xfrm>
                    <a:prstGeom prst="rect">
                      <a:avLst/>
                    </a:prstGeom>
                    <a:noFill/>
                    <a:ln>
                      <a:noFill/>
                    </a:ln>
                  </pic:spPr>
                </pic:pic>
              </a:graphicData>
            </a:graphic>
          </wp:inline>
        </w:drawing>
      </w:r>
      <w:r>
        <w:t xml:space="preserve"> - скалыванию поперек волокон;</w:t>
      </w:r>
    </w:p>
    <w:p w:rsidR="00212513" w:rsidRDefault="00212513">
      <w:pPr>
        <w:pStyle w:val="ConsPlusNormal"/>
        <w:spacing w:before="220"/>
        <w:ind w:firstLine="540"/>
        <w:jc w:val="both"/>
      </w:pPr>
      <w:r>
        <w:rPr>
          <w:noProof/>
          <w:position w:val="-9"/>
        </w:rPr>
        <w:drawing>
          <wp:inline distT="0" distB="0" distL="0" distR="0">
            <wp:extent cx="281940" cy="262890"/>
            <wp:effectExtent l="0" t="0" r="0" b="0"/>
            <wp:docPr id="2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4" cstate="print">
                      <a:extLst>
                        <a:ext uri="{28A0092B-C50C-407E-A947-70E740481C1C}">
                          <a14:useLocalDpi xmlns:a14="http://schemas.microsoft.com/office/drawing/2010/main" val="0"/>
                        </a:ext>
                      </a:extLst>
                    </a:blip>
                    <a:srcRect/>
                    <a:stretch>
                      <a:fillRect/>
                    </a:stretch>
                  </pic:blipFill>
                  <pic:spPr bwMode="auto">
                    <a:xfrm>
                      <a:off x="0" y="0"/>
                      <a:ext cx="281940" cy="262890"/>
                    </a:xfrm>
                    <a:prstGeom prst="rect">
                      <a:avLst/>
                    </a:prstGeom>
                    <a:noFill/>
                    <a:ln>
                      <a:noFill/>
                    </a:ln>
                  </pic:spPr>
                </pic:pic>
              </a:graphicData>
            </a:graphic>
          </wp:inline>
        </w:drawing>
      </w:r>
      <w:r>
        <w:t xml:space="preserve"> - смятию и скалыванию под углом </w:t>
      </w:r>
      <w:r>
        <w:rPr>
          <w:noProof/>
          <w:position w:val="-1"/>
        </w:rPr>
        <w:drawing>
          <wp:inline distT="0" distB="0" distL="0" distR="0">
            <wp:extent cx="167640" cy="156845"/>
            <wp:effectExtent l="0" t="0" r="0" b="0"/>
            <wp:docPr id="2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5"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к направлению волокон;</w:t>
      </w:r>
    </w:p>
    <w:p w:rsidR="00212513" w:rsidRDefault="00212513">
      <w:pPr>
        <w:pStyle w:val="ConsPlusNormal"/>
        <w:spacing w:before="220"/>
        <w:ind w:firstLine="540"/>
        <w:jc w:val="both"/>
      </w:pPr>
      <w:r>
        <w:rPr>
          <w:noProof/>
          <w:position w:val="-9"/>
        </w:rPr>
        <w:drawing>
          <wp:inline distT="0" distB="0" distL="0" distR="0">
            <wp:extent cx="304165" cy="262890"/>
            <wp:effectExtent l="0" t="0" r="0" b="0"/>
            <wp:docPr id="2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6" cstate="print">
                      <a:extLst>
                        <a:ext uri="{28A0092B-C50C-407E-A947-70E740481C1C}">
                          <a14:useLocalDpi xmlns:a14="http://schemas.microsoft.com/office/drawing/2010/main" val="0"/>
                        </a:ext>
                      </a:extLst>
                    </a:blip>
                    <a:srcRect/>
                    <a:stretch>
                      <a:fillRect/>
                    </a:stretch>
                  </pic:blipFill>
                  <pic:spPr bwMode="auto">
                    <a:xfrm>
                      <a:off x="0" y="0"/>
                      <a:ext cx="304165" cy="262890"/>
                    </a:xfrm>
                    <a:prstGeom prst="rect">
                      <a:avLst/>
                    </a:prstGeom>
                    <a:noFill/>
                    <a:ln>
                      <a:noFill/>
                    </a:ln>
                  </pic:spPr>
                </pic:pic>
              </a:graphicData>
            </a:graphic>
          </wp:inline>
        </w:drawing>
      </w:r>
      <w:r>
        <w:t xml:space="preserve"> - скалыванию по клеевым швам вдоль волокон при изгибе;</w:t>
      </w:r>
    </w:p>
    <w:p w:rsidR="00212513" w:rsidRDefault="00212513">
      <w:pPr>
        <w:pStyle w:val="ConsPlusNormal"/>
        <w:spacing w:before="220"/>
        <w:ind w:firstLine="540"/>
        <w:jc w:val="both"/>
      </w:pPr>
      <w:r>
        <w:rPr>
          <w:noProof/>
          <w:position w:val="-9"/>
        </w:rPr>
        <w:drawing>
          <wp:inline distT="0" distB="0" distL="0" distR="0">
            <wp:extent cx="304165" cy="262890"/>
            <wp:effectExtent l="0" t="0" r="0" b="0"/>
            <wp:docPr id="2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7" cstate="print">
                      <a:extLst>
                        <a:ext uri="{28A0092B-C50C-407E-A947-70E740481C1C}">
                          <a14:useLocalDpi xmlns:a14="http://schemas.microsoft.com/office/drawing/2010/main" val="0"/>
                        </a:ext>
                      </a:extLst>
                    </a:blip>
                    <a:srcRect/>
                    <a:stretch>
                      <a:fillRect/>
                    </a:stretch>
                  </pic:blipFill>
                  <pic:spPr bwMode="auto">
                    <a:xfrm>
                      <a:off x="0" y="0"/>
                      <a:ext cx="304165" cy="262890"/>
                    </a:xfrm>
                    <a:prstGeom prst="rect">
                      <a:avLst/>
                    </a:prstGeom>
                    <a:noFill/>
                    <a:ln>
                      <a:noFill/>
                    </a:ln>
                  </pic:spPr>
                </pic:pic>
              </a:graphicData>
            </a:graphic>
          </wp:inline>
        </w:drawing>
      </w:r>
      <w:r>
        <w:t xml:space="preserve"> - скалыванию по клеевому шву вдоль волокон в клеештыревых соединениях;</w:t>
      </w:r>
    </w:p>
    <w:p w:rsidR="00212513" w:rsidRDefault="00212513">
      <w:pPr>
        <w:pStyle w:val="ConsPlusNormal"/>
        <w:spacing w:before="220"/>
        <w:ind w:firstLine="540"/>
        <w:jc w:val="both"/>
      </w:pPr>
      <w:r>
        <w:rPr>
          <w:noProof/>
          <w:position w:val="-9"/>
        </w:rPr>
        <w:drawing>
          <wp:inline distT="0" distB="0" distL="0" distR="0">
            <wp:extent cx="367030" cy="262890"/>
            <wp:effectExtent l="0" t="0" r="0" b="0"/>
            <wp:docPr id="2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8" cstate="print">
                      <a:extLst>
                        <a:ext uri="{28A0092B-C50C-407E-A947-70E740481C1C}">
                          <a14:useLocalDpi xmlns:a14="http://schemas.microsoft.com/office/drawing/2010/main" val="0"/>
                        </a:ext>
                      </a:extLst>
                    </a:blip>
                    <a:srcRect/>
                    <a:stretch>
                      <a:fillRect/>
                    </a:stretch>
                  </pic:blipFill>
                  <pic:spPr bwMode="auto">
                    <a:xfrm>
                      <a:off x="0" y="0"/>
                      <a:ext cx="367030" cy="262890"/>
                    </a:xfrm>
                    <a:prstGeom prst="rect">
                      <a:avLst/>
                    </a:prstGeom>
                    <a:noFill/>
                    <a:ln>
                      <a:noFill/>
                    </a:ln>
                  </pic:spPr>
                </pic:pic>
              </a:graphicData>
            </a:graphic>
          </wp:inline>
        </w:drawing>
      </w:r>
      <w:r>
        <w:t xml:space="preserve"> - скалыванию по клеевому шву в клеештыревых соединениях при вклеивании штырей под углом </w:t>
      </w:r>
      <w:r>
        <w:rPr>
          <w:noProof/>
          <w:position w:val="-1"/>
        </w:rPr>
        <w:drawing>
          <wp:inline distT="0" distB="0" distL="0" distR="0">
            <wp:extent cx="167640" cy="156845"/>
            <wp:effectExtent l="0" t="0" r="0" b="0"/>
            <wp:docPr id="2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5"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к направлению волокон.</w:t>
      </w:r>
    </w:p>
    <w:p w:rsidR="00212513" w:rsidRDefault="00212513">
      <w:pPr>
        <w:pStyle w:val="ConsPlusNormal"/>
        <w:ind w:firstLine="540"/>
        <w:jc w:val="both"/>
      </w:pPr>
    </w:p>
    <w:p w:rsidR="00212513" w:rsidRDefault="00212513">
      <w:pPr>
        <w:pStyle w:val="ConsPlusNormal"/>
        <w:jc w:val="center"/>
      </w:pPr>
      <w:r>
        <w:rPr>
          <w:i/>
        </w:rPr>
        <w:t>Расчетные площади</w:t>
      </w:r>
    </w:p>
    <w:p w:rsidR="00212513" w:rsidRDefault="00212513">
      <w:pPr>
        <w:pStyle w:val="ConsPlusNormal"/>
        <w:ind w:firstLine="540"/>
        <w:jc w:val="both"/>
      </w:pPr>
    </w:p>
    <w:p w:rsidR="00212513" w:rsidRDefault="00212513">
      <w:pPr>
        <w:pStyle w:val="ConsPlusNormal"/>
        <w:ind w:firstLine="540"/>
        <w:jc w:val="both"/>
      </w:pPr>
      <w:r>
        <w:rPr>
          <w:noProof/>
          <w:position w:val="-8"/>
        </w:rPr>
        <w:drawing>
          <wp:inline distT="0" distB="0" distL="0" distR="0">
            <wp:extent cx="251460" cy="251460"/>
            <wp:effectExtent l="0" t="0" r="0" b="0"/>
            <wp:docPr id="2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9"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поперечного сечения брутто;</w:t>
      </w:r>
    </w:p>
    <w:p w:rsidR="00212513" w:rsidRDefault="00212513">
      <w:pPr>
        <w:pStyle w:val="ConsPlusNormal"/>
        <w:spacing w:before="220"/>
        <w:ind w:firstLine="540"/>
        <w:jc w:val="both"/>
      </w:pPr>
      <w:r>
        <w:rPr>
          <w:noProof/>
          <w:position w:val="-8"/>
        </w:rPr>
        <w:drawing>
          <wp:inline distT="0" distB="0" distL="0" distR="0">
            <wp:extent cx="241935" cy="251460"/>
            <wp:effectExtent l="0" t="0" r="0" b="0"/>
            <wp:docPr id="2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0"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поперечного сечения нетто;</w:t>
      </w:r>
    </w:p>
    <w:p w:rsidR="00212513" w:rsidRDefault="00212513">
      <w:pPr>
        <w:pStyle w:val="ConsPlusNormal"/>
        <w:spacing w:before="220"/>
        <w:ind w:firstLine="540"/>
        <w:jc w:val="both"/>
      </w:pPr>
      <w:r>
        <w:rPr>
          <w:noProof/>
          <w:position w:val="-8"/>
        </w:rPr>
        <w:drawing>
          <wp:inline distT="0" distB="0" distL="0" distR="0">
            <wp:extent cx="209550" cy="251460"/>
            <wp:effectExtent l="0" t="0" r="0" b="0"/>
            <wp:docPr id="2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поперечного сечения при проверке на устойчивость;</w:t>
      </w:r>
    </w:p>
    <w:p w:rsidR="00212513" w:rsidRDefault="00212513">
      <w:pPr>
        <w:pStyle w:val="ConsPlusNormal"/>
        <w:spacing w:before="220"/>
        <w:ind w:firstLine="540"/>
        <w:jc w:val="both"/>
      </w:pPr>
      <w:r>
        <w:rPr>
          <w:noProof/>
          <w:position w:val="-8"/>
        </w:rPr>
        <w:drawing>
          <wp:inline distT="0" distB="0" distL="0" distR="0">
            <wp:extent cx="209550" cy="251460"/>
            <wp:effectExtent l="0" t="0" r="0" b="0"/>
            <wp:docPr id="2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скалывания;</w:t>
      </w:r>
    </w:p>
    <w:p w:rsidR="00212513" w:rsidRDefault="00212513">
      <w:pPr>
        <w:pStyle w:val="ConsPlusNormal"/>
        <w:spacing w:before="220"/>
        <w:ind w:firstLine="540"/>
        <w:jc w:val="both"/>
      </w:pPr>
      <w:r>
        <w:rPr>
          <w:noProof/>
          <w:position w:val="-9"/>
        </w:rPr>
        <w:drawing>
          <wp:inline distT="0" distB="0" distL="0" distR="0">
            <wp:extent cx="209550" cy="262890"/>
            <wp:effectExtent l="0" t="0" r="0" b="0"/>
            <wp:docPr id="2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3"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 смятия.</w:t>
      </w:r>
    </w:p>
    <w:p w:rsidR="00212513" w:rsidRDefault="00212513">
      <w:pPr>
        <w:pStyle w:val="ConsPlusNormal"/>
        <w:ind w:firstLine="540"/>
        <w:jc w:val="both"/>
      </w:pPr>
    </w:p>
    <w:p w:rsidR="00212513" w:rsidRDefault="00212513">
      <w:pPr>
        <w:pStyle w:val="ConsPlusNormal"/>
        <w:jc w:val="center"/>
      </w:pPr>
      <w:r>
        <w:rPr>
          <w:i/>
        </w:rPr>
        <w:t>Другие характеристики</w:t>
      </w:r>
    </w:p>
    <w:p w:rsidR="00212513" w:rsidRDefault="00212513">
      <w:pPr>
        <w:pStyle w:val="ConsPlusNormal"/>
        <w:ind w:firstLine="540"/>
        <w:jc w:val="both"/>
      </w:pPr>
    </w:p>
    <w:p w:rsidR="00212513" w:rsidRDefault="00212513">
      <w:pPr>
        <w:pStyle w:val="ConsPlusNormal"/>
        <w:ind w:firstLine="540"/>
        <w:jc w:val="both"/>
      </w:pPr>
      <w:r>
        <w:rPr>
          <w:noProof/>
          <w:position w:val="-8"/>
        </w:rPr>
        <w:drawing>
          <wp:inline distT="0" distB="0" distL="0" distR="0">
            <wp:extent cx="241935" cy="251460"/>
            <wp:effectExtent l="0" t="0" r="0" b="0"/>
            <wp:docPr id="2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4"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статический момент брутто части сечения относительно нейтральной оси;</w:t>
      </w:r>
    </w:p>
    <w:p w:rsidR="00212513" w:rsidRDefault="00212513">
      <w:pPr>
        <w:pStyle w:val="ConsPlusNormal"/>
        <w:spacing w:before="220"/>
        <w:ind w:firstLine="540"/>
        <w:jc w:val="both"/>
      </w:pPr>
      <w:r>
        <w:rPr>
          <w:noProof/>
          <w:position w:val="-8"/>
        </w:rPr>
        <w:drawing>
          <wp:inline distT="0" distB="0" distL="0" distR="0">
            <wp:extent cx="251460" cy="251460"/>
            <wp:effectExtent l="0" t="0" r="0" b="0"/>
            <wp:docPr id="2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5"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момент сопротивления ослабленного сечения;</w:t>
      </w:r>
    </w:p>
    <w:p w:rsidR="00212513" w:rsidRDefault="00212513">
      <w:pPr>
        <w:pStyle w:val="ConsPlusNormal"/>
        <w:spacing w:before="220"/>
        <w:ind w:firstLine="540"/>
        <w:jc w:val="both"/>
      </w:pPr>
      <w:r>
        <w:rPr>
          <w:noProof/>
          <w:position w:val="-8"/>
        </w:rPr>
        <w:drawing>
          <wp:inline distT="0" distB="0" distL="0" distR="0">
            <wp:extent cx="177800" cy="251460"/>
            <wp:effectExtent l="0" t="0" r="0" b="0"/>
            <wp:docPr id="2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6"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w:t>
      </w:r>
      <w:r>
        <w:rPr>
          <w:noProof/>
          <w:position w:val="-9"/>
        </w:rPr>
        <w:drawing>
          <wp:inline distT="0" distB="0" distL="0" distR="0">
            <wp:extent cx="177800" cy="262890"/>
            <wp:effectExtent l="0" t="0" r="0" b="0"/>
            <wp:docPr id="2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7"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 моменты инерции сечения нетто соответственно относительно осей </w:t>
      </w:r>
      <w:r>
        <w:rPr>
          <w:i/>
        </w:rPr>
        <w:t>x</w:t>
      </w:r>
      <w:r>
        <w:t xml:space="preserve"> - </w:t>
      </w:r>
      <w:r>
        <w:rPr>
          <w:i/>
        </w:rPr>
        <w:t>x</w:t>
      </w:r>
      <w:r>
        <w:t xml:space="preserve"> и </w:t>
      </w:r>
      <w:r>
        <w:rPr>
          <w:i/>
        </w:rPr>
        <w:t>y</w:t>
      </w:r>
      <w:r>
        <w:t xml:space="preserve"> - </w:t>
      </w:r>
      <w:r>
        <w:rPr>
          <w:i/>
        </w:rPr>
        <w:t>y</w:t>
      </w:r>
      <w:r>
        <w:t>;</w:t>
      </w:r>
    </w:p>
    <w:p w:rsidR="00212513" w:rsidRDefault="00212513">
      <w:pPr>
        <w:pStyle w:val="ConsPlusNormal"/>
        <w:spacing w:before="220"/>
        <w:ind w:firstLine="540"/>
        <w:jc w:val="both"/>
      </w:pPr>
      <w:r>
        <w:rPr>
          <w:i/>
        </w:rPr>
        <w:t>x</w:t>
      </w:r>
      <w:r>
        <w:t xml:space="preserve">, </w:t>
      </w:r>
      <w:r>
        <w:rPr>
          <w:i/>
        </w:rPr>
        <w:t>y</w:t>
      </w:r>
      <w:r>
        <w:t xml:space="preserve"> - расстояния от главных осей соответственно </w:t>
      </w:r>
      <w:r>
        <w:rPr>
          <w:i/>
        </w:rPr>
        <w:t>x</w:t>
      </w:r>
      <w:r>
        <w:t xml:space="preserve"> - </w:t>
      </w:r>
      <w:r>
        <w:rPr>
          <w:i/>
        </w:rPr>
        <w:t>x</w:t>
      </w:r>
      <w:r>
        <w:t xml:space="preserve"> и </w:t>
      </w:r>
      <w:r>
        <w:rPr>
          <w:i/>
        </w:rPr>
        <w:t>y</w:t>
      </w:r>
      <w:r>
        <w:t xml:space="preserve"> - </w:t>
      </w:r>
      <w:r>
        <w:rPr>
          <w:i/>
        </w:rPr>
        <w:t>y</w:t>
      </w:r>
      <w:r>
        <w:t xml:space="preserve"> до наиболее удаленных точек сечения;</w:t>
      </w:r>
    </w:p>
    <w:p w:rsidR="00212513" w:rsidRDefault="00212513">
      <w:pPr>
        <w:pStyle w:val="ConsPlusNormal"/>
        <w:spacing w:before="220"/>
        <w:ind w:firstLine="540"/>
        <w:jc w:val="both"/>
      </w:pPr>
      <w:r>
        <w:rPr>
          <w:i/>
        </w:rPr>
        <w:t>l</w:t>
      </w:r>
      <w:r>
        <w:t xml:space="preserve"> - расчетный пролет плиты;</w:t>
      </w:r>
    </w:p>
    <w:p w:rsidR="00212513" w:rsidRDefault="00212513">
      <w:pPr>
        <w:pStyle w:val="ConsPlusNormal"/>
        <w:spacing w:before="220"/>
        <w:ind w:firstLine="540"/>
        <w:jc w:val="both"/>
      </w:pPr>
      <w:r>
        <w:rPr>
          <w:i/>
        </w:rPr>
        <w:t>l</w:t>
      </w:r>
      <w:r>
        <w:t xml:space="preserve"> - теоретическая длина сваи;</w:t>
      </w:r>
    </w:p>
    <w:p w:rsidR="00212513" w:rsidRDefault="00212513">
      <w:pPr>
        <w:pStyle w:val="ConsPlusNormal"/>
        <w:spacing w:before="220"/>
        <w:ind w:firstLine="540"/>
        <w:jc w:val="both"/>
      </w:pPr>
      <w:r>
        <w:rPr>
          <w:i/>
        </w:rPr>
        <w:t>l</w:t>
      </w:r>
      <w:r>
        <w:t xml:space="preserve"> - длина штопки;</w:t>
      </w:r>
    </w:p>
    <w:p w:rsidR="00212513" w:rsidRDefault="00212513">
      <w:pPr>
        <w:pStyle w:val="ConsPlusNormal"/>
        <w:spacing w:before="220"/>
        <w:ind w:firstLine="540"/>
        <w:jc w:val="both"/>
      </w:pPr>
      <w:r>
        <w:rPr>
          <w:noProof/>
          <w:position w:val="-8"/>
        </w:rPr>
        <w:drawing>
          <wp:inline distT="0" distB="0" distL="0" distR="0">
            <wp:extent cx="156845" cy="251460"/>
            <wp:effectExtent l="0" t="0" r="0" b="0"/>
            <wp:docPr id="2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8"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 расстояние между связями ветвей в составных элементах;</w:t>
      </w:r>
    </w:p>
    <w:p w:rsidR="00212513" w:rsidRDefault="00212513">
      <w:pPr>
        <w:pStyle w:val="ConsPlusNormal"/>
        <w:spacing w:before="220"/>
        <w:ind w:firstLine="540"/>
        <w:jc w:val="both"/>
      </w:pPr>
      <w:r>
        <w:rPr>
          <w:noProof/>
          <w:position w:val="-8"/>
        </w:rPr>
        <w:drawing>
          <wp:inline distT="0" distB="0" distL="0" distR="0">
            <wp:extent cx="156845" cy="251460"/>
            <wp:effectExtent l="0" t="0" r="0" b="0"/>
            <wp:docPr id="2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8"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 длина колодки в составных элементах;</w:t>
      </w:r>
    </w:p>
    <w:p w:rsidR="00212513" w:rsidRDefault="00212513">
      <w:pPr>
        <w:pStyle w:val="ConsPlusNormal"/>
        <w:spacing w:before="220"/>
        <w:ind w:firstLine="540"/>
        <w:jc w:val="both"/>
      </w:pPr>
      <w:r>
        <w:rPr>
          <w:noProof/>
          <w:position w:val="-8"/>
        </w:rPr>
        <w:drawing>
          <wp:inline distT="0" distB="0" distL="0" distR="0">
            <wp:extent cx="137160" cy="250825"/>
            <wp:effectExtent l="0" t="0" r="0" b="0"/>
            <wp:docPr id="2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9"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 расчетная длина элемента при проверке устойчивости;</w:t>
      </w:r>
    </w:p>
    <w:p w:rsidR="00212513" w:rsidRDefault="00212513">
      <w:pPr>
        <w:pStyle w:val="ConsPlusNormal"/>
        <w:spacing w:before="220"/>
        <w:ind w:firstLine="540"/>
        <w:jc w:val="both"/>
      </w:pPr>
      <w:r>
        <w:rPr>
          <w:noProof/>
          <w:position w:val="-8"/>
        </w:rPr>
        <w:lastRenderedPageBreak/>
        <w:drawing>
          <wp:inline distT="0" distB="0" distL="0" distR="0">
            <wp:extent cx="137160" cy="250825"/>
            <wp:effectExtent l="0" t="0" r="0" b="0"/>
            <wp:docPr id="2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0" cstate="print">
                      <a:extLst>
                        <a:ext uri="{28A0092B-C50C-407E-A947-70E740481C1C}">
                          <a14:useLocalDpi xmlns:a14="http://schemas.microsoft.com/office/drawing/2010/main" val="0"/>
                        </a:ext>
                      </a:extLst>
                    </a:blip>
                    <a:srcRect/>
                    <a:stretch>
                      <a:fillRect/>
                    </a:stretch>
                  </pic:blipFill>
                  <pic:spPr bwMode="auto">
                    <a:xfrm>
                      <a:off x="0" y="0"/>
                      <a:ext cx="137160" cy="250825"/>
                    </a:xfrm>
                    <a:prstGeom prst="rect">
                      <a:avLst/>
                    </a:prstGeom>
                    <a:noFill/>
                    <a:ln>
                      <a:noFill/>
                    </a:ln>
                  </pic:spPr>
                </pic:pic>
              </a:graphicData>
            </a:graphic>
          </wp:inline>
        </w:drawing>
      </w:r>
      <w:r>
        <w:t xml:space="preserve"> - длина площадки смятия древесины вдоль волокон;</w:t>
      </w:r>
    </w:p>
    <w:p w:rsidR="00212513" w:rsidRDefault="00212513">
      <w:pPr>
        <w:pStyle w:val="ConsPlusNormal"/>
        <w:spacing w:before="220"/>
        <w:ind w:firstLine="540"/>
        <w:jc w:val="both"/>
      </w:pPr>
      <w:r>
        <w:rPr>
          <w:noProof/>
          <w:position w:val="-8"/>
        </w:rPr>
        <w:drawing>
          <wp:inline distT="0" distB="0" distL="0" distR="0">
            <wp:extent cx="156845" cy="251460"/>
            <wp:effectExtent l="0" t="0" r="0" b="0"/>
            <wp:docPr id="2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1"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 расчетная длина скалывания в соединениях на колодках;</w:t>
      </w:r>
    </w:p>
    <w:p w:rsidR="00212513" w:rsidRDefault="00212513">
      <w:pPr>
        <w:pStyle w:val="ConsPlusNormal"/>
        <w:spacing w:before="220"/>
        <w:ind w:firstLine="540"/>
        <w:jc w:val="both"/>
      </w:pPr>
      <w:r>
        <w:rPr>
          <w:noProof/>
          <w:position w:val="-8"/>
        </w:rPr>
        <w:drawing>
          <wp:inline distT="0" distB="0" distL="0" distR="0">
            <wp:extent cx="125730" cy="251460"/>
            <wp:effectExtent l="0" t="0" r="0" b="0"/>
            <wp:docPr id="2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2" cstate="print">
                      <a:extLst>
                        <a:ext uri="{28A0092B-C50C-407E-A947-70E740481C1C}">
                          <a14:useLocalDpi xmlns:a14="http://schemas.microsoft.com/office/drawing/2010/main" val="0"/>
                        </a:ext>
                      </a:extLst>
                    </a:blip>
                    <a:srcRect/>
                    <a:stretch>
                      <a:fillRect/>
                    </a:stretch>
                  </pic:blipFill>
                  <pic:spPr bwMode="auto">
                    <a:xfrm>
                      <a:off x="0" y="0"/>
                      <a:ext cx="125730" cy="251460"/>
                    </a:xfrm>
                    <a:prstGeom prst="rect">
                      <a:avLst/>
                    </a:prstGeom>
                    <a:noFill/>
                    <a:ln>
                      <a:noFill/>
                    </a:ln>
                  </pic:spPr>
                </pic:pic>
              </a:graphicData>
            </a:graphic>
          </wp:inline>
        </w:drawing>
      </w:r>
      <w:r>
        <w:t xml:space="preserve"> - длина заделки скрепления;</w:t>
      </w:r>
    </w:p>
    <w:p w:rsidR="00212513" w:rsidRDefault="00212513">
      <w:pPr>
        <w:pStyle w:val="ConsPlusNormal"/>
        <w:spacing w:before="220"/>
        <w:ind w:firstLine="540"/>
        <w:jc w:val="both"/>
      </w:pPr>
      <w:r>
        <w:rPr>
          <w:i/>
        </w:rPr>
        <w:t>a</w:t>
      </w:r>
      <w:r>
        <w:t xml:space="preserve"> - размер ската колеса или гусеницы в направлении поперек дороги;</w:t>
      </w:r>
    </w:p>
    <w:p w:rsidR="00212513" w:rsidRDefault="00212513">
      <w:pPr>
        <w:pStyle w:val="ConsPlusNormal"/>
        <w:spacing w:before="220"/>
        <w:ind w:firstLine="540"/>
        <w:jc w:val="both"/>
      </w:pPr>
      <w:r>
        <w:rPr>
          <w:i/>
        </w:rPr>
        <w:t>a</w:t>
      </w:r>
      <w:r>
        <w:t xml:space="preserve"> - расстояние между колодками в свету;</w:t>
      </w:r>
    </w:p>
    <w:p w:rsidR="00212513" w:rsidRDefault="00212513">
      <w:pPr>
        <w:pStyle w:val="ConsPlusNormal"/>
        <w:spacing w:before="220"/>
        <w:ind w:firstLine="540"/>
        <w:jc w:val="both"/>
      </w:pPr>
      <w:r>
        <w:rPr>
          <w:i/>
        </w:rPr>
        <w:t>a</w:t>
      </w:r>
      <w:r>
        <w:t xml:space="preserve"> - глубина врезки;</w:t>
      </w:r>
    </w:p>
    <w:p w:rsidR="00212513" w:rsidRDefault="00212513">
      <w:pPr>
        <w:pStyle w:val="ConsPlusNormal"/>
        <w:spacing w:before="220"/>
        <w:ind w:firstLine="540"/>
        <w:jc w:val="both"/>
      </w:pPr>
      <w:r>
        <w:rPr>
          <w:i/>
        </w:rPr>
        <w:t>b</w:t>
      </w:r>
      <w:r>
        <w:t xml:space="preserve"> - ширина балки;</w:t>
      </w:r>
    </w:p>
    <w:p w:rsidR="00212513" w:rsidRDefault="00212513">
      <w:pPr>
        <w:pStyle w:val="ConsPlusNormal"/>
        <w:spacing w:before="220"/>
        <w:ind w:firstLine="540"/>
        <w:jc w:val="both"/>
      </w:pPr>
      <w:r>
        <w:rPr>
          <w:i/>
        </w:rPr>
        <w:t>b</w:t>
      </w:r>
      <w:r>
        <w:t xml:space="preserve"> - полная ширина сечения составного элемента;</w:t>
      </w:r>
    </w:p>
    <w:p w:rsidR="00212513" w:rsidRDefault="00212513">
      <w:pPr>
        <w:pStyle w:val="ConsPlusNormal"/>
        <w:spacing w:before="220"/>
        <w:ind w:firstLine="540"/>
        <w:jc w:val="both"/>
      </w:pPr>
      <w:r>
        <w:rPr>
          <w:i/>
        </w:rPr>
        <w:t>z</w:t>
      </w:r>
      <w:r>
        <w:t xml:space="preserve"> - плечо сил, скалывающих колодку;</w:t>
      </w:r>
    </w:p>
    <w:p w:rsidR="00212513" w:rsidRDefault="00212513">
      <w:pPr>
        <w:pStyle w:val="ConsPlusNormal"/>
        <w:spacing w:before="220"/>
        <w:ind w:firstLine="540"/>
        <w:jc w:val="both"/>
      </w:pPr>
      <w:r>
        <w:rPr>
          <w:i/>
        </w:rPr>
        <w:t>d</w:t>
      </w:r>
      <w:r>
        <w:t xml:space="preserve"> - диаметр;</w:t>
      </w:r>
    </w:p>
    <w:p w:rsidR="00212513" w:rsidRDefault="00212513">
      <w:pPr>
        <w:pStyle w:val="ConsPlusNormal"/>
        <w:spacing w:before="220"/>
        <w:ind w:firstLine="540"/>
        <w:jc w:val="both"/>
      </w:pPr>
      <w:r>
        <w:rPr>
          <w:noProof/>
          <w:position w:val="-8"/>
        </w:rPr>
        <w:drawing>
          <wp:inline distT="0" distB="0" distL="0" distR="0">
            <wp:extent cx="177800" cy="251460"/>
            <wp:effectExtent l="0" t="0" r="0" b="0"/>
            <wp:docPr id="2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3"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диаметр отверстия под штырь;</w:t>
      </w:r>
    </w:p>
    <w:p w:rsidR="00212513" w:rsidRDefault="00212513">
      <w:pPr>
        <w:pStyle w:val="ConsPlusNormal"/>
        <w:spacing w:before="220"/>
        <w:ind w:firstLine="540"/>
        <w:jc w:val="both"/>
      </w:pPr>
      <w:r>
        <w:rPr>
          <w:noProof/>
          <w:position w:val="-4"/>
        </w:rPr>
        <w:drawing>
          <wp:inline distT="0" distB="0" distL="0" distR="0">
            <wp:extent cx="156845" cy="198755"/>
            <wp:effectExtent l="0" t="0" r="0" b="0"/>
            <wp:docPr id="2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4"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 зазор при сплачивании бревен;</w:t>
      </w:r>
    </w:p>
    <w:p w:rsidR="00212513" w:rsidRDefault="00212513">
      <w:pPr>
        <w:pStyle w:val="ConsPlusNormal"/>
        <w:spacing w:before="220"/>
        <w:ind w:firstLine="540"/>
        <w:jc w:val="both"/>
      </w:pPr>
      <w:r>
        <w:rPr>
          <w:noProof/>
          <w:position w:val="-4"/>
        </w:rPr>
        <w:drawing>
          <wp:inline distT="0" distB="0" distL="0" distR="0">
            <wp:extent cx="156845" cy="198755"/>
            <wp:effectExtent l="0" t="0" r="0" b="0"/>
            <wp:docPr id="2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4"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 толщина одной доски;</w:t>
      </w:r>
    </w:p>
    <w:p w:rsidR="00212513" w:rsidRDefault="00212513">
      <w:pPr>
        <w:pStyle w:val="ConsPlusNormal"/>
        <w:spacing w:before="220"/>
        <w:ind w:firstLine="540"/>
        <w:jc w:val="both"/>
      </w:pPr>
      <w:r>
        <w:rPr>
          <w:i/>
        </w:rPr>
        <w:t>t</w:t>
      </w:r>
      <w:r>
        <w:t xml:space="preserve"> - толщина наиболее тонкого из соединяемых элементов;</w:t>
      </w:r>
    </w:p>
    <w:p w:rsidR="00212513" w:rsidRDefault="00212513">
      <w:pPr>
        <w:pStyle w:val="ConsPlusNormal"/>
        <w:spacing w:before="220"/>
        <w:ind w:firstLine="540"/>
        <w:jc w:val="both"/>
      </w:pPr>
      <w:r>
        <w:rPr>
          <w:noProof/>
          <w:position w:val="-8"/>
        </w:rPr>
        <w:drawing>
          <wp:inline distT="0" distB="0" distL="0" distR="0">
            <wp:extent cx="125730" cy="251460"/>
            <wp:effectExtent l="0" t="0" r="0" b="0"/>
            <wp:docPr id="2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5" cstate="print">
                      <a:extLst>
                        <a:ext uri="{28A0092B-C50C-407E-A947-70E740481C1C}">
                          <a14:useLocalDpi xmlns:a14="http://schemas.microsoft.com/office/drawing/2010/main" val="0"/>
                        </a:ext>
                      </a:extLst>
                    </a:blip>
                    <a:srcRect/>
                    <a:stretch>
                      <a:fillRect/>
                    </a:stretch>
                  </pic:blipFill>
                  <pic:spPr bwMode="auto">
                    <a:xfrm>
                      <a:off x="0" y="0"/>
                      <a:ext cx="125730" cy="251460"/>
                    </a:xfrm>
                    <a:prstGeom prst="rect">
                      <a:avLst/>
                    </a:prstGeom>
                    <a:noFill/>
                    <a:ln>
                      <a:noFill/>
                    </a:ln>
                  </pic:spPr>
                </pic:pic>
              </a:graphicData>
            </a:graphic>
          </wp:inline>
        </w:drawing>
      </w:r>
      <w:r>
        <w:t xml:space="preserve"> - толщина средних соединяемых элементов;</w:t>
      </w:r>
    </w:p>
    <w:p w:rsidR="00212513" w:rsidRDefault="00212513">
      <w:pPr>
        <w:pStyle w:val="ConsPlusNormal"/>
        <w:spacing w:before="220"/>
        <w:ind w:firstLine="540"/>
        <w:jc w:val="both"/>
      </w:pPr>
      <w:r>
        <w:rPr>
          <w:noProof/>
          <w:position w:val="-8"/>
        </w:rPr>
        <w:drawing>
          <wp:inline distT="0" distB="0" distL="0" distR="0">
            <wp:extent cx="156845" cy="251460"/>
            <wp:effectExtent l="0" t="0" r="0" b="0"/>
            <wp:docPr id="2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6"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 толщина крайних соединяемых элементов;</w:t>
      </w:r>
    </w:p>
    <w:p w:rsidR="00212513" w:rsidRDefault="00212513">
      <w:pPr>
        <w:pStyle w:val="ConsPlusNormal"/>
        <w:spacing w:before="220"/>
        <w:ind w:firstLine="540"/>
        <w:jc w:val="both"/>
      </w:pPr>
      <w:r>
        <w:rPr>
          <w:i/>
        </w:rPr>
        <w:t>t</w:t>
      </w:r>
      <w:r>
        <w:t xml:space="preserve"> - толщина дорожного покрытия;</w:t>
      </w:r>
    </w:p>
    <w:p w:rsidR="00212513" w:rsidRDefault="00212513">
      <w:pPr>
        <w:pStyle w:val="ConsPlusNormal"/>
        <w:spacing w:before="220"/>
        <w:ind w:firstLine="540"/>
        <w:jc w:val="both"/>
      </w:pPr>
      <w:r>
        <w:rPr>
          <w:noProof/>
          <w:position w:val="-3"/>
        </w:rPr>
        <w:drawing>
          <wp:inline distT="0" distB="0" distL="0" distR="0">
            <wp:extent cx="167640" cy="177800"/>
            <wp:effectExtent l="0" t="0" r="0" b="0"/>
            <wp:docPr id="2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7"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гибкость элемента;</w:t>
      </w:r>
    </w:p>
    <w:p w:rsidR="00212513" w:rsidRDefault="00212513">
      <w:pPr>
        <w:pStyle w:val="ConsPlusNormal"/>
        <w:spacing w:before="220"/>
        <w:ind w:firstLine="540"/>
        <w:jc w:val="both"/>
      </w:pPr>
      <w:r>
        <w:rPr>
          <w:noProof/>
          <w:position w:val="-8"/>
        </w:rPr>
        <w:drawing>
          <wp:inline distT="0" distB="0" distL="0" distR="0">
            <wp:extent cx="198755" cy="250825"/>
            <wp:effectExtent l="0" t="0" r="0" b="0"/>
            <wp:docPr id="2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8"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гибкость ветви составного элемента;</w:t>
      </w:r>
    </w:p>
    <w:p w:rsidR="00212513" w:rsidRDefault="00212513">
      <w:pPr>
        <w:pStyle w:val="ConsPlusNormal"/>
        <w:spacing w:before="220"/>
        <w:ind w:firstLine="540"/>
        <w:jc w:val="both"/>
      </w:pPr>
      <w:r>
        <w:rPr>
          <w:noProof/>
          <w:position w:val="-8"/>
        </w:rPr>
        <w:drawing>
          <wp:inline distT="0" distB="0" distL="0" distR="0">
            <wp:extent cx="177800" cy="251460"/>
            <wp:effectExtent l="0" t="0" r="0" b="0"/>
            <wp:docPr id="2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9"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приведенная гибкость составного элемента;</w:t>
      </w:r>
    </w:p>
    <w:p w:rsidR="00212513" w:rsidRDefault="00212513">
      <w:pPr>
        <w:pStyle w:val="ConsPlusNormal"/>
        <w:spacing w:before="220"/>
        <w:ind w:firstLine="540"/>
        <w:jc w:val="both"/>
      </w:pPr>
      <w:r>
        <w:rPr>
          <w:i/>
        </w:rPr>
        <w:t>N</w:t>
      </w:r>
      <w:r>
        <w:t xml:space="preserve"> - число срезов в начальном соединении;</w:t>
      </w:r>
    </w:p>
    <w:p w:rsidR="00212513" w:rsidRDefault="00212513">
      <w:pPr>
        <w:pStyle w:val="ConsPlusNormal"/>
        <w:spacing w:before="220"/>
        <w:ind w:firstLine="540"/>
        <w:jc w:val="both"/>
      </w:pPr>
      <w:r>
        <w:rPr>
          <w:noProof/>
          <w:position w:val="-9"/>
        </w:rPr>
        <w:drawing>
          <wp:inline distT="0" distB="0" distL="0" distR="0">
            <wp:extent cx="177800" cy="262890"/>
            <wp:effectExtent l="0" t="0" r="0" b="0"/>
            <wp:docPr id="2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0" cstate="print">
                      <a:extLst>
                        <a:ext uri="{28A0092B-C50C-407E-A947-70E740481C1C}">
                          <a14:useLocalDpi xmlns:a14="http://schemas.microsoft.com/office/drawing/2010/main" val="0"/>
                        </a:ext>
                      </a:extLst>
                    </a:blip>
                    <a:srcRect/>
                    <a:stretch>
                      <a:fillRect/>
                    </a:stretch>
                  </pic:blipFill>
                  <pic:spPr bwMode="auto">
                    <a:xfrm>
                      <a:off x="0" y="0"/>
                      <a:ext cx="177800" cy="262890"/>
                    </a:xfrm>
                    <a:prstGeom prst="rect">
                      <a:avLst/>
                    </a:prstGeom>
                    <a:noFill/>
                    <a:ln>
                      <a:noFill/>
                    </a:ln>
                  </pic:spPr>
                </pic:pic>
              </a:graphicData>
            </a:graphic>
          </wp:inline>
        </w:drawing>
      </w:r>
      <w:r>
        <w:t xml:space="preserve"> - число срезов связей в одном шве;</w:t>
      </w:r>
    </w:p>
    <w:p w:rsidR="00212513" w:rsidRDefault="00212513">
      <w:pPr>
        <w:pStyle w:val="ConsPlusNormal"/>
        <w:spacing w:before="220"/>
        <w:ind w:firstLine="540"/>
        <w:jc w:val="both"/>
      </w:pPr>
      <w:r>
        <w:rPr>
          <w:noProof/>
          <w:position w:val="-9"/>
        </w:rPr>
        <w:drawing>
          <wp:inline distT="0" distB="0" distL="0" distR="0">
            <wp:extent cx="209550" cy="262890"/>
            <wp:effectExtent l="0" t="0" r="0" b="0"/>
            <wp:docPr id="2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1" cstate="print">
                      <a:extLst>
                        <a:ext uri="{28A0092B-C50C-407E-A947-70E740481C1C}">
                          <a14:useLocalDpi xmlns:a14="http://schemas.microsoft.com/office/drawing/2010/main" val="0"/>
                        </a:ext>
                      </a:extLst>
                    </a:blip>
                    <a:srcRect/>
                    <a:stretch>
                      <a:fillRect/>
                    </a:stretch>
                  </pic:blipFill>
                  <pic:spPr bwMode="auto">
                    <a:xfrm>
                      <a:off x="0" y="0"/>
                      <a:ext cx="209550" cy="262890"/>
                    </a:xfrm>
                    <a:prstGeom prst="rect">
                      <a:avLst/>
                    </a:prstGeom>
                    <a:noFill/>
                    <a:ln>
                      <a:noFill/>
                    </a:ln>
                  </pic:spPr>
                </pic:pic>
              </a:graphicData>
            </a:graphic>
          </wp:inline>
        </w:drawing>
      </w:r>
      <w:r>
        <w:t xml:space="preserve"> - число швов между ветвями элементов;</w:t>
      </w:r>
    </w:p>
    <w:p w:rsidR="00212513" w:rsidRDefault="00212513">
      <w:pPr>
        <w:pStyle w:val="ConsPlusNormal"/>
        <w:spacing w:before="220"/>
        <w:ind w:firstLine="540"/>
        <w:jc w:val="both"/>
      </w:pPr>
      <w:r>
        <w:rPr>
          <w:i/>
        </w:rPr>
        <w:t>M</w:t>
      </w:r>
      <w:r>
        <w:t xml:space="preserve"> - коэффициент условий работы;</w:t>
      </w:r>
    </w:p>
    <w:p w:rsidR="00212513" w:rsidRDefault="00212513">
      <w:pPr>
        <w:pStyle w:val="ConsPlusNormal"/>
        <w:spacing w:before="220"/>
        <w:ind w:firstLine="540"/>
        <w:jc w:val="both"/>
      </w:pPr>
      <w:r>
        <w:rPr>
          <w:noProof/>
          <w:position w:val="-9"/>
        </w:rPr>
        <w:drawing>
          <wp:inline distT="0" distB="0" distL="0" distR="0">
            <wp:extent cx="220980" cy="262890"/>
            <wp:effectExtent l="0" t="0" r="0" b="0"/>
            <wp:docPr id="2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2" cstate="print">
                      <a:extLst>
                        <a:ext uri="{28A0092B-C50C-407E-A947-70E740481C1C}">
                          <a14:useLocalDpi xmlns:a14="http://schemas.microsoft.com/office/drawing/2010/main" val="0"/>
                        </a:ext>
                      </a:extLst>
                    </a:blip>
                    <a:srcRect/>
                    <a:stretch>
                      <a:fillRect/>
                    </a:stretch>
                  </pic:blipFill>
                  <pic:spPr bwMode="auto">
                    <a:xfrm>
                      <a:off x="0" y="0"/>
                      <a:ext cx="220980" cy="262890"/>
                    </a:xfrm>
                    <a:prstGeom prst="rect">
                      <a:avLst/>
                    </a:prstGeom>
                    <a:noFill/>
                    <a:ln>
                      <a:noFill/>
                    </a:ln>
                  </pic:spPr>
                </pic:pic>
              </a:graphicData>
            </a:graphic>
          </wp:inline>
        </w:drawing>
      </w:r>
      <w:r>
        <w:t xml:space="preserve"> - то же, на смятие поперек волокон;</w:t>
      </w:r>
    </w:p>
    <w:p w:rsidR="00212513" w:rsidRDefault="00212513">
      <w:pPr>
        <w:pStyle w:val="ConsPlusNormal"/>
        <w:spacing w:before="220"/>
        <w:ind w:firstLine="540"/>
        <w:jc w:val="both"/>
      </w:pPr>
      <w:r>
        <w:rPr>
          <w:noProof/>
          <w:position w:val="-8"/>
        </w:rPr>
        <w:drawing>
          <wp:inline distT="0" distB="0" distL="0" distR="0">
            <wp:extent cx="220980" cy="251460"/>
            <wp:effectExtent l="0" t="0" r="0" b="0"/>
            <wp:docPr id="2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3"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то же, на скалывание вдоль волокон;</w:t>
      </w:r>
    </w:p>
    <w:p w:rsidR="00212513" w:rsidRDefault="00212513">
      <w:pPr>
        <w:pStyle w:val="ConsPlusNormal"/>
        <w:spacing w:before="220"/>
        <w:ind w:firstLine="540"/>
        <w:jc w:val="both"/>
      </w:pPr>
      <w:r>
        <w:rPr>
          <w:noProof/>
          <w:position w:val="-2"/>
        </w:rPr>
        <w:lastRenderedPageBreak/>
        <w:drawing>
          <wp:inline distT="0" distB="0" distL="0" distR="0">
            <wp:extent cx="177800" cy="167640"/>
            <wp:effectExtent l="0" t="0" r="0" b="0"/>
            <wp:docPr id="2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4" cstate="print">
                      <a:extLst>
                        <a:ext uri="{28A0092B-C50C-407E-A947-70E740481C1C}">
                          <a14:useLocalDpi xmlns:a14="http://schemas.microsoft.com/office/drawing/2010/main" val="0"/>
                        </a:ext>
                      </a:extLst>
                    </a:blip>
                    <a:srcRect/>
                    <a:stretch>
                      <a:fillRect/>
                    </a:stretch>
                  </pic:blipFill>
                  <pic:spPr bwMode="auto">
                    <a:xfrm>
                      <a:off x="0" y="0"/>
                      <a:ext cx="177800" cy="167640"/>
                    </a:xfrm>
                    <a:prstGeom prst="rect">
                      <a:avLst/>
                    </a:prstGeom>
                    <a:noFill/>
                    <a:ln>
                      <a:noFill/>
                    </a:ln>
                  </pic:spPr>
                </pic:pic>
              </a:graphicData>
            </a:graphic>
          </wp:inline>
        </w:drawing>
      </w:r>
      <w:r>
        <w:t xml:space="preserve"> - коэффициент продольного изгиба;</w:t>
      </w:r>
    </w:p>
    <w:p w:rsidR="00212513" w:rsidRDefault="00212513">
      <w:pPr>
        <w:pStyle w:val="ConsPlusNormal"/>
        <w:spacing w:before="220"/>
        <w:ind w:firstLine="540"/>
        <w:jc w:val="both"/>
      </w:pPr>
      <w:r>
        <w:rPr>
          <w:noProof/>
          <w:position w:val="-8"/>
        </w:rPr>
        <w:drawing>
          <wp:inline distT="0" distB="0" distL="0" distR="0">
            <wp:extent cx="209550" cy="251460"/>
            <wp:effectExtent l="0" t="0" r="0" b="0"/>
            <wp:docPr id="2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 приведения гибкости;</w:t>
      </w:r>
    </w:p>
    <w:p w:rsidR="00212513" w:rsidRDefault="00212513">
      <w:pPr>
        <w:pStyle w:val="ConsPlusNormal"/>
        <w:spacing w:before="220"/>
        <w:ind w:firstLine="540"/>
        <w:jc w:val="both"/>
      </w:pPr>
      <w:r>
        <w:rPr>
          <w:noProof/>
          <w:position w:val="-3"/>
        </w:rPr>
        <w:drawing>
          <wp:inline distT="0" distB="0" distL="0" distR="0">
            <wp:extent cx="156845" cy="177800"/>
            <wp:effectExtent l="0" t="0" r="0" b="0"/>
            <wp:docPr id="2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6" cstate="print">
                      <a:extLst>
                        <a:ext uri="{28A0092B-C50C-407E-A947-70E740481C1C}">
                          <a14:useLocalDpi xmlns:a14="http://schemas.microsoft.com/office/drawing/2010/main" val="0"/>
                        </a:ext>
                      </a:extLst>
                    </a:blip>
                    <a:srcRect/>
                    <a:stretch>
                      <a:fillRect/>
                    </a:stretch>
                  </pic:blipFill>
                  <pic:spPr bwMode="auto">
                    <a:xfrm>
                      <a:off x="0" y="0"/>
                      <a:ext cx="156845" cy="177800"/>
                    </a:xfrm>
                    <a:prstGeom prst="rect">
                      <a:avLst/>
                    </a:prstGeom>
                    <a:noFill/>
                    <a:ln>
                      <a:noFill/>
                    </a:ln>
                  </pic:spPr>
                </pic:pic>
              </a:graphicData>
            </a:graphic>
          </wp:inline>
        </w:drawing>
      </w:r>
      <w:r>
        <w:t xml:space="preserve"> - коэффициент податливости соединения;</w:t>
      </w:r>
    </w:p>
    <w:p w:rsidR="00212513" w:rsidRDefault="00212513">
      <w:pPr>
        <w:pStyle w:val="ConsPlusNormal"/>
        <w:spacing w:before="220"/>
        <w:ind w:firstLine="540"/>
        <w:jc w:val="both"/>
      </w:pPr>
      <w:r>
        <w:rPr>
          <w:noProof/>
          <w:position w:val="-6"/>
        </w:rPr>
        <w:drawing>
          <wp:inline distT="0" distB="0" distL="0" distR="0">
            <wp:extent cx="137160" cy="220980"/>
            <wp:effectExtent l="0" t="0" r="0" b="0"/>
            <wp:docPr id="2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7" cstate="print">
                      <a:extLst>
                        <a:ext uri="{28A0092B-C50C-407E-A947-70E740481C1C}">
                          <a14:useLocalDpi xmlns:a14="http://schemas.microsoft.com/office/drawing/2010/main" val="0"/>
                        </a:ext>
                      </a:extLst>
                    </a:blip>
                    <a:srcRect/>
                    <a:stretch>
                      <a:fillRect/>
                    </a:stretch>
                  </pic:blipFill>
                  <pic:spPr bwMode="auto">
                    <a:xfrm>
                      <a:off x="0" y="0"/>
                      <a:ext cx="137160" cy="220980"/>
                    </a:xfrm>
                    <a:prstGeom prst="rect">
                      <a:avLst/>
                    </a:prstGeom>
                    <a:noFill/>
                    <a:ln>
                      <a:noFill/>
                    </a:ln>
                  </pic:spPr>
                </pic:pic>
              </a:graphicData>
            </a:graphic>
          </wp:inline>
        </w:drawing>
      </w:r>
      <w:r>
        <w:t xml:space="preserve"> - коэффициент, учитывающий влияние на устойчивость дополнительного момента от нормальной силы.</w:t>
      </w:r>
    </w:p>
    <w:p w:rsidR="00212513" w:rsidRDefault="00212513">
      <w:pPr>
        <w:pStyle w:val="ConsPlusNormal"/>
        <w:ind w:firstLine="540"/>
        <w:jc w:val="both"/>
      </w:pPr>
    </w:p>
    <w:p w:rsidR="00212513" w:rsidRDefault="00212513">
      <w:pPr>
        <w:pStyle w:val="ConsPlusNormal"/>
        <w:jc w:val="center"/>
      </w:pPr>
      <w:r>
        <w:rPr>
          <w:b/>
        </w:rPr>
        <w:t xml:space="preserve">В </w:t>
      </w:r>
      <w:hyperlink w:anchor="P10956">
        <w:r>
          <w:rPr>
            <w:b/>
            <w:color w:val="0000FF"/>
          </w:rPr>
          <w:t>разделе 11</w:t>
        </w:r>
      </w:hyperlink>
      <w:r>
        <w:rPr>
          <w:b/>
        </w:rPr>
        <w:t xml:space="preserve"> "Основания и фундаменты"</w:t>
      </w:r>
    </w:p>
    <w:p w:rsidR="00212513" w:rsidRDefault="00212513">
      <w:pPr>
        <w:pStyle w:val="ConsPlusNormal"/>
        <w:ind w:firstLine="540"/>
        <w:jc w:val="both"/>
      </w:pPr>
    </w:p>
    <w:p w:rsidR="00212513" w:rsidRDefault="00212513">
      <w:pPr>
        <w:pStyle w:val="ConsPlusNormal"/>
        <w:jc w:val="center"/>
      </w:pPr>
      <w:r>
        <w:rPr>
          <w:i/>
        </w:rPr>
        <w:t>Характеристика грунтов</w:t>
      </w:r>
    </w:p>
    <w:p w:rsidR="00212513" w:rsidRDefault="00212513">
      <w:pPr>
        <w:pStyle w:val="ConsPlusNormal"/>
        <w:ind w:firstLine="540"/>
        <w:jc w:val="both"/>
      </w:pPr>
    </w:p>
    <w:p w:rsidR="00212513" w:rsidRDefault="00212513">
      <w:pPr>
        <w:pStyle w:val="ConsPlusNormal"/>
        <w:ind w:firstLine="540"/>
        <w:jc w:val="both"/>
      </w:pPr>
      <w:r>
        <w:rPr>
          <w:i/>
        </w:rPr>
        <w:t>e</w:t>
      </w:r>
      <w:r>
        <w:t xml:space="preserve"> - коэффициент пористости;</w:t>
      </w:r>
    </w:p>
    <w:p w:rsidR="00212513" w:rsidRDefault="00212513">
      <w:pPr>
        <w:pStyle w:val="ConsPlusNormal"/>
        <w:spacing w:before="220"/>
        <w:ind w:firstLine="540"/>
        <w:jc w:val="both"/>
      </w:pPr>
      <w:r>
        <w:rPr>
          <w:noProof/>
          <w:position w:val="-8"/>
        </w:rPr>
        <w:drawing>
          <wp:inline distT="0" distB="0" distL="0" distR="0">
            <wp:extent cx="177800" cy="251460"/>
            <wp:effectExtent l="0" t="0" r="0" b="0"/>
            <wp:docPr id="2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8"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показатель текучести;</w:t>
      </w:r>
    </w:p>
    <w:p w:rsidR="00212513" w:rsidRDefault="00212513">
      <w:pPr>
        <w:pStyle w:val="ConsPlusNormal"/>
        <w:spacing w:before="220"/>
        <w:ind w:firstLine="540"/>
        <w:jc w:val="both"/>
      </w:pPr>
      <w:r>
        <w:rPr>
          <w:noProof/>
          <w:position w:val="-9"/>
        </w:rPr>
        <w:drawing>
          <wp:inline distT="0" distB="0" distL="0" distR="0">
            <wp:extent cx="198755" cy="262890"/>
            <wp:effectExtent l="0" t="0" r="0" b="0"/>
            <wp:docPr id="2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9"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 число пластичности;</w:t>
      </w:r>
    </w:p>
    <w:p w:rsidR="00212513" w:rsidRDefault="00212513">
      <w:pPr>
        <w:pStyle w:val="ConsPlusNormal"/>
        <w:spacing w:before="220"/>
        <w:ind w:firstLine="540"/>
        <w:jc w:val="both"/>
      </w:pPr>
      <w:r>
        <w:rPr>
          <w:noProof/>
          <w:position w:val="-3"/>
        </w:rPr>
        <w:drawing>
          <wp:inline distT="0" distB="0" distL="0" distR="0">
            <wp:extent cx="137160" cy="177800"/>
            <wp:effectExtent l="0" t="0" r="0" b="0"/>
            <wp:docPr id="2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0" cstate="print">
                      <a:extLst>
                        <a:ext uri="{28A0092B-C50C-407E-A947-70E740481C1C}">
                          <a14:useLocalDpi xmlns:a14="http://schemas.microsoft.com/office/drawing/2010/main" val="0"/>
                        </a:ext>
                      </a:extLst>
                    </a:blip>
                    <a:srcRect/>
                    <a:stretch>
                      <a:fillRect/>
                    </a:stretch>
                  </pic:blipFill>
                  <pic:spPr bwMode="auto">
                    <a:xfrm>
                      <a:off x="0" y="0"/>
                      <a:ext cx="137160" cy="177800"/>
                    </a:xfrm>
                    <a:prstGeom prst="rect">
                      <a:avLst/>
                    </a:prstGeom>
                    <a:noFill/>
                    <a:ln>
                      <a:noFill/>
                    </a:ln>
                  </pic:spPr>
                </pic:pic>
              </a:graphicData>
            </a:graphic>
          </wp:inline>
        </w:drawing>
      </w:r>
      <w:r>
        <w:t xml:space="preserve"> - удельный вес;</w:t>
      </w:r>
    </w:p>
    <w:p w:rsidR="00212513" w:rsidRDefault="00212513">
      <w:pPr>
        <w:pStyle w:val="ConsPlusNormal"/>
        <w:spacing w:before="220"/>
        <w:ind w:firstLine="540"/>
        <w:jc w:val="both"/>
      </w:pPr>
      <w:r>
        <w:rPr>
          <w:noProof/>
          <w:position w:val="-2"/>
        </w:rPr>
        <w:drawing>
          <wp:inline distT="0" distB="0" distL="0" distR="0">
            <wp:extent cx="177800" cy="167640"/>
            <wp:effectExtent l="0" t="0" r="0" b="0"/>
            <wp:docPr id="2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4" cstate="print">
                      <a:extLst>
                        <a:ext uri="{28A0092B-C50C-407E-A947-70E740481C1C}">
                          <a14:useLocalDpi xmlns:a14="http://schemas.microsoft.com/office/drawing/2010/main" val="0"/>
                        </a:ext>
                      </a:extLst>
                    </a:blip>
                    <a:srcRect/>
                    <a:stretch>
                      <a:fillRect/>
                    </a:stretch>
                  </pic:blipFill>
                  <pic:spPr bwMode="auto">
                    <a:xfrm>
                      <a:off x="0" y="0"/>
                      <a:ext cx="177800" cy="167640"/>
                    </a:xfrm>
                    <a:prstGeom prst="rect">
                      <a:avLst/>
                    </a:prstGeom>
                    <a:noFill/>
                    <a:ln>
                      <a:noFill/>
                    </a:ln>
                  </pic:spPr>
                </pic:pic>
              </a:graphicData>
            </a:graphic>
          </wp:inline>
        </w:drawing>
      </w:r>
      <w:r>
        <w:t xml:space="preserve"> - угол внутреннего трения;</w:t>
      </w:r>
    </w:p>
    <w:p w:rsidR="00212513" w:rsidRDefault="00212513">
      <w:pPr>
        <w:pStyle w:val="ConsPlusNormal"/>
        <w:spacing w:before="220"/>
        <w:ind w:firstLine="540"/>
        <w:jc w:val="both"/>
      </w:pPr>
      <w:r>
        <w:rPr>
          <w:noProof/>
          <w:position w:val="-8"/>
        </w:rPr>
        <w:drawing>
          <wp:inline distT="0" distB="0" distL="0" distR="0">
            <wp:extent cx="220345" cy="251460"/>
            <wp:effectExtent l="0" t="0" r="0" b="0"/>
            <wp:docPr id="2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1" cstate="print">
                      <a:extLst>
                        <a:ext uri="{28A0092B-C50C-407E-A947-70E740481C1C}">
                          <a14:useLocalDpi xmlns:a14="http://schemas.microsoft.com/office/drawing/2010/main" val="0"/>
                        </a:ext>
                      </a:extLst>
                    </a:blip>
                    <a:srcRect/>
                    <a:stretch>
                      <a:fillRect/>
                    </a:stretch>
                  </pic:blipFill>
                  <pic:spPr bwMode="auto">
                    <a:xfrm>
                      <a:off x="0" y="0"/>
                      <a:ext cx="220345" cy="251460"/>
                    </a:xfrm>
                    <a:prstGeom prst="rect">
                      <a:avLst/>
                    </a:prstGeom>
                    <a:noFill/>
                    <a:ln>
                      <a:noFill/>
                    </a:ln>
                  </pic:spPr>
                </pic:pic>
              </a:graphicData>
            </a:graphic>
          </wp:inline>
        </w:drawing>
      </w:r>
      <w:r>
        <w:t xml:space="preserve"> - предел прочности на одноосное сжатие образцов скальных грунтов;</w:t>
      </w:r>
    </w:p>
    <w:p w:rsidR="00212513" w:rsidRDefault="00212513">
      <w:pPr>
        <w:pStyle w:val="ConsPlusNormal"/>
        <w:spacing w:before="220"/>
        <w:ind w:firstLine="540"/>
        <w:jc w:val="both"/>
      </w:pPr>
      <w:r>
        <w:rPr>
          <w:noProof/>
          <w:position w:val="-8"/>
        </w:rPr>
        <w:drawing>
          <wp:inline distT="0" distB="0" distL="0" distR="0">
            <wp:extent cx="251460" cy="251460"/>
            <wp:effectExtent l="0" t="0" r="0" b="0"/>
            <wp:docPr id="2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2"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предел прочности на одноосное сжатие образцов глинистого грунта природной влажности.</w:t>
      </w:r>
    </w:p>
    <w:p w:rsidR="00212513" w:rsidRDefault="00212513">
      <w:pPr>
        <w:pStyle w:val="ConsPlusNormal"/>
        <w:ind w:firstLine="540"/>
        <w:jc w:val="both"/>
      </w:pPr>
    </w:p>
    <w:p w:rsidR="00212513" w:rsidRDefault="00212513">
      <w:pPr>
        <w:pStyle w:val="ConsPlusNormal"/>
        <w:jc w:val="center"/>
      </w:pPr>
      <w:r>
        <w:rPr>
          <w:i/>
        </w:rPr>
        <w:t>Нагрузки, давления, сопротивления</w:t>
      </w:r>
    </w:p>
    <w:p w:rsidR="00212513" w:rsidRDefault="00212513">
      <w:pPr>
        <w:pStyle w:val="ConsPlusNormal"/>
        <w:ind w:firstLine="540"/>
        <w:jc w:val="both"/>
      </w:pPr>
    </w:p>
    <w:p w:rsidR="00212513" w:rsidRDefault="00212513">
      <w:pPr>
        <w:pStyle w:val="ConsPlusNormal"/>
        <w:ind w:firstLine="540"/>
        <w:jc w:val="both"/>
      </w:pPr>
      <w:r>
        <w:rPr>
          <w:i/>
        </w:rPr>
        <w:t>F</w:t>
      </w:r>
      <w:r>
        <w:t xml:space="preserve"> - сила, расчетное значение силы;</w:t>
      </w:r>
    </w:p>
    <w:p w:rsidR="00212513" w:rsidRDefault="00212513">
      <w:pPr>
        <w:pStyle w:val="ConsPlusNormal"/>
        <w:spacing w:before="220"/>
        <w:ind w:firstLine="540"/>
        <w:jc w:val="both"/>
      </w:pPr>
      <w:r>
        <w:rPr>
          <w:i/>
        </w:rPr>
        <w:t>M</w:t>
      </w:r>
      <w:r>
        <w:t xml:space="preserve"> - момент сил;</w:t>
      </w:r>
    </w:p>
    <w:p w:rsidR="00212513" w:rsidRDefault="00212513">
      <w:pPr>
        <w:pStyle w:val="ConsPlusNormal"/>
        <w:spacing w:before="220"/>
        <w:ind w:firstLine="540"/>
        <w:jc w:val="both"/>
      </w:pPr>
      <w:r>
        <w:rPr>
          <w:i/>
        </w:rPr>
        <w:t>N</w:t>
      </w:r>
      <w:r>
        <w:t xml:space="preserve"> - сила, нормальная к подошве фундамента;</w:t>
      </w:r>
    </w:p>
    <w:p w:rsidR="00212513" w:rsidRDefault="00212513">
      <w:pPr>
        <w:pStyle w:val="ConsPlusNormal"/>
        <w:spacing w:before="220"/>
        <w:ind w:firstLine="540"/>
        <w:jc w:val="both"/>
      </w:pPr>
      <w:r>
        <w:rPr>
          <w:i/>
        </w:rPr>
        <w:t>p</w:t>
      </w:r>
      <w:r>
        <w:t xml:space="preserve">, </w:t>
      </w:r>
      <w:r>
        <w:rPr>
          <w:noProof/>
          <w:position w:val="-8"/>
        </w:rPr>
        <w:drawing>
          <wp:inline distT="0" distB="0" distL="0" distR="0">
            <wp:extent cx="335280" cy="251460"/>
            <wp:effectExtent l="0" t="0" r="0" b="0"/>
            <wp:docPr id="2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3" cstate="print">
                      <a:extLst>
                        <a:ext uri="{28A0092B-C50C-407E-A947-70E740481C1C}">
                          <a14:useLocalDpi xmlns:a14="http://schemas.microsoft.com/office/drawing/2010/main" val="0"/>
                        </a:ext>
                      </a:extLst>
                    </a:blip>
                    <a:srcRect/>
                    <a:stretch>
                      <a:fillRect/>
                    </a:stretch>
                  </pic:blipFill>
                  <pic:spPr bwMode="auto">
                    <a:xfrm>
                      <a:off x="0" y="0"/>
                      <a:ext cx="335280" cy="251460"/>
                    </a:xfrm>
                    <a:prstGeom prst="rect">
                      <a:avLst/>
                    </a:prstGeom>
                    <a:noFill/>
                    <a:ln>
                      <a:noFill/>
                    </a:ln>
                  </pic:spPr>
                </pic:pic>
              </a:graphicData>
            </a:graphic>
          </wp:inline>
        </w:drawing>
      </w:r>
      <w:r>
        <w:t xml:space="preserve"> - среднее и максимальное давления подошвы фундамента на грунт;</w:t>
      </w:r>
    </w:p>
    <w:p w:rsidR="00212513" w:rsidRDefault="00212513">
      <w:pPr>
        <w:pStyle w:val="ConsPlusNormal"/>
        <w:spacing w:before="220"/>
        <w:ind w:firstLine="540"/>
        <w:jc w:val="both"/>
      </w:pPr>
      <w:r>
        <w:rPr>
          <w:i/>
        </w:rPr>
        <w:t>R</w:t>
      </w:r>
      <w:r>
        <w:t xml:space="preserve"> - расчетное сопротивление грунта;</w:t>
      </w:r>
    </w:p>
    <w:p w:rsidR="00212513" w:rsidRDefault="00212513">
      <w:pPr>
        <w:pStyle w:val="ConsPlusNormal"/>
        <w:spacing w:before="220"/>
        <w:ind w:firstLine="540"/>
        <w:jc w:val="both"/>
      </w:pPr>
      <w:r>
        <w:rPr>
          <w:noProof/>
          <w:position w:val="-8"/>
        </w:rPr>
        <w:drawing>
          <wp:inline distT="0" distB="0" distL="0" distR="0">
            <wp:extent cx="209550" cy="251460"/>
            <wp:effectExtent l="0" t="0" r="0" b="0"/>
            <wp:docPr id="2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табличное значение условного сопротивления грунта.</w:t>
      </w:r>
    </w:p>
    <w:p w:rsidR="00212513" w:rsidRDefault="00212513">
      <w:pPr>
        <w:pStyle w:val="ConsPlusNormal"/>
        <w:ind w:firstLine="540"/>
        <w:jc w:val="both"/>
      </w:pPr>
    </w:p>
    <w:p w:rsidR="00212513" w:rsidRDefault="00212513">
      <w:pPr>
        <w:pStyle w:val="ConsPlusNormal"/>
        <w:jc w:val="center"/>
      </w:pPr>
      <w:r>
        <w:rPr>
          <w:i/>
        </w:rPr>
        <w:t>Геометрические характеристики</w:t>
      </w:r>
    </w:p>
    <w:p w:rsidR="00212513" w:rsidRDefault="00212513">
      <w:pPr>
        <w:pStyle w:val="ConsPlusNormal"/>
        <w:ind w:firstLine="540"/>
        <w:jc w:val="both"/>
      </w:pPr>
    </w:p>
    <w:p w:rsidR="00212513" w:rsidRDefault="00212513">
      <w:pPr>
        <w:pStyle w:val="ConsPlusNormal"/>
        <w:ind w:firstLine="540"/>
        <w:jc w:val="both"/>
      </w:pPr>
      <w:r>
        <w:rPr>
          <w:i/>
        </w:rPr>
        <w:t>B</w:t>
      </w:r>
      <w:r>
        <w:t xml:space="preserve"> - ширина (меньшая сторона или диаметр) подошвы фундамента;</w:t>
      </w:r>
    </w:p>
    <w:p w:rsidR="00212513" w:rsidRDefault="00212513">
      <w:pPr>
        <w:pStyle w:val="ConsPlusNormal"/>
        <w:spacing w:before="220"/>
        <w:ind w:firstLine="540"/>
        <w:jc w:val="both"/>
      </w:pPr>
      <w:r>
        <w:rPr>
          <w:i/>
        </w:rPr>
        <w:t>a</w:t>
      </w:r>
      <w:r>
        <w:t xml:space="preserve"> - длина подошвы фундамента;</w:t>
      </w:r>
    </w:p>
    <w:p w:rsidR="00212513" w:rsidRDefault="00212513">
      <w:pPr>
        <w:pStyle w:val="ConsPlusNormal"/>
        <w:spacing w:before="220"/>
        <w:ind w:firstLine="540"/>
        <w:jc w:val="both"/>
      </w:pPr>
      <w:r>
        <w:rPr>
          <w:i/>
        </w:rPr>
        <w:t>A</w:t>
      </w:r>
      <w:r>
        <w:t xml:space="preserve"> - площадь подошвы фундамента;</w:t>
      </w:r>
    </w:p>
    <w:p w:rsidR="00212513" w:rsidRDefault="00212513">
      <w:pPr>
        <w:pStyle w:val="ConsPlusNormal"/>
        <w:spacing w:before="220"/>
        <w:ind w:firstLine="540"/>
        <w:jc w:val="both"/>
      </w:pPr>
      <w:r>
        <w:rPr>
          <w:i/>
        </w:rPr>
        <w:t>d</w:t>
      </w:r>
      <w:r>
        <w:t xml:space="preserve"> - глубина заложения фундамента;</w:t>
      </w:r>
    </w:p>
    <w:p w:rsidR="00212513" w:rsidRDefault="00212513">
      <w:pPr>
        <w:pStyle w:val="ConsPlusNormal"/>
        <w:spacing w:before="220"/>
        <w:ind w:firstLine="540"/>
        <w:jc w:val="both"/>
      </w:pPr>
      <w:r>
        <w:rPr>
          <w:noProof/>
          <w:position w:val="-8"/>
        </w:rPr>
        <w:lastRenderedPageBreak/>
        <w:drawing>
          <wp:inline distT="0" distB="0" distL="0" distR="0">
            <wp:extent cx="209550" cy="251460"/>
            <wp:effectExtent l="0" t="0" r="0" b="0"/>
            <wp:docPr id="2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глубина воды;</w:t>
      </w:r>
    </w:p>
    <w:p w:rsidR="00212513" w:rsidRDefault="00212513">
      <w:pPr>
        <w:pStyle w:val="ConsPlusNormal"/>
        <w:spacing w:before="220"/>
        <w:ind w:firstLine="540"/>
        <w:jc w:val="both"/>
      </w:pPr>
      <w:r>
        <w:rPr>
          <w:i/>
        </w:rPr>
        <w:t>h</w:t>
      </w:r>
      <w:r>
        <w:t xml:space="preserve"> - толщина слоя грунта или высота насыпи;</w:t>
      </w:r>
    </w:p>
    <w:p w:rsidR="00212513" w:rsidRDefault="00212513">
      <w:pPr>
        <w:pStyle w:val="ConsPlusNormal"/>
        <w:spacing w:before="220"/>
        <w:ind w:firstLine="540"/>
        <w:jc w:val="both"/>
      </w:pPr>
      <w:r>
        <w:rPr>
          <w:noProof/>
          <w:position w:val="-8"/>
        </w:rPr>
        <w:drawing>
          <wp:inline distT="0" distB="0" distL="0" distR="0">
            <wp:extent cx="209550" cy="251460"/>
            <wp:effectExtent l="0" t="0" r="0" b="0"/>
            <wp:docPr id="2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эксцентриситет равнодействующей нагрузок относительно центральной оси подошвы фундамента;</w:t>
      </w:r>
    </w:p>
    <w:p w:rsidR="00212513" w:rsidRDefault="00212513">
      <w:pPr>
        <w:pStyle w:val="ConsPlusNormal"/>
        <w:spacing w:before="220"/>
        <w:ind w:firstLine="540"/>
        <w:jc w:val="both"/>
      </w:pPr>
      <w:r>
        <w:rPr>
          <w:i/>
        </w:rPr>
        <w:t>r</w:t>
      </w:r>
      <w:r>
        <w:t xml:space="preserve"> - радиус ядра сечения фундамента у его подошвы;</w:t>
      </w:r>
    </w:p>
    <w:p w:rsidR="00212513" w:rsidRDefault="00212513">
      <w:pPr>
        <w:pStyle w:val="ConsPlusNormal"/>
        <w:spacing w:before="220"/>
        <w:ind w:firstLine="540"/>
        <w:jc w:val="both"/>
      </w:pPr>
      <w:r>
        <w:rPr>
          <w:i/>
        </w:rPr>
        <w:t>W</w:t>
      </w:r>
      <w:r>
        <w:t xml:space="preserve"> - момент сопротивления подошвы фундамента для менее нагруженного ребра;</w:t>
      </w:r>
    </w:p>
    <w:p w:rsidR="00212513" w:rsidRDefault="00212513">
      <w:pPr>
        <w:pStyle w:val="ConsPlusNormal"/>
        <w:spacing w:before="220"/>
        <w:ind w:firstLine="540"/>
        <w:jc w:val="both"/>
      </w:pPr>
      <w:r>
        <w:rPr>
          <w:i/>
        </w:rPr>
        <w:t>z</w:t>
      </w:r>
      <w:r>
        <w:t xml:space="preserve"> - расстояние от подошвы фундамента.</w:t>
      </w:r>
    </w:p>
    <w:p w:rsidR="00212513" w:rsidRDefault="00212513">
      <w:pPr>
        <w:pStyle w:val="ConsPlusNormal"/>
        <w:ind w:firstLine="540"/>
        <w:jc w:val="both"/>
      </w:pPr>
    </w:p>
    <w:p w:rsidR="00212513" w:rsidRDefault="00212513">
      <w:pPr>
        <w:pStyle w:val="ConsPlusNormal"/>
        <w:jc w:val="center"/>
      </w:pPr>
      <w:r>
        <w:rPr>
          <w:i/>
        </w:rPr>
        <w:t>Коэффициенты</w:t>
      </w:r>
    </w:p>
    <w:p w:rsidR="00212513" w:rsidRDefault="00212513">
      <w:pPr>
        <w:pStyle w:val="ConsPlusNormal"/>
        <w:ind w:firstLine="540"/>
        <w:jc w:val="both"/>
      </w:pPr>
    </w:p>
    <w:p w:rsidR="00212513" w:rsidRDefault="00212513">
      <w:pPr>
        <w:pStyle w:val="ConsPlusNormal"/>
        <w:ind w:firstLine="540"/>
        <w:jc w:val="both"/>
      </w:pPr>
      <w:r>
        <w:rPr>
          <w:noProof/>
          <w:position w:val="-9"/>
        </w:rPr>
        <w:drawing>
          <wp:inline distT="0" distB="0" distL="0" distR="0">
            <wp:extent cx="198755" cy="262890"/>
            <wp:effectExtent l="0" t="0" r="0" b="0"/>
            <wp:docPr id="2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7" cstate="print">
                      <a:extLst>
                        <a:ext uri="{28A0092B-C50C-407E-A947-70E740481C1C}">
                          <a14:useLocalDpi xmlns:a14="http://schemas.microsoft.com/office/drawing/2010/main" val="0"/>
                        </a:ext>
                      </a:extLst>
                    </a:blip>
                    <a:srcRect/>
                    <a:stretch>
                      <a:fillRect/>
                    </a:stretch>
                  </pic:blipFill>
                  <pic:spPr bwMode="auto">
                    <a:xfrm>
                      <a:off x="0" y="0"/>
                      <a:ext cx="198755" cy="262890"/>
                    </a:xfrm>
                    <a:prstGeom prst="rect">
                      <a:avLst/>
                    </a:prstGeom>
                    <a:noFill/>
                    <a:ln>
                      <a:noFill/>
                    </a:ln>
                  </pic:spPr>
                </pic:pic>
              </a:graphicData>
            </a:graphic>
          </wp:inline>
        </w:drawing>
      </w:r>
      <w:r>
        <w:t xml:space="preserve"> - надежности по грунту;</w:t>
      </w:r>
    </w:p>
    <w:p w:rsidR="00212513" w:rsidRDefault="00212513">
      <w:pPr>
        <w:pStyle w:val="ConsPlusNormal"/>
        <w:spacing w:before="220"/>
        <w:ind w:firstLine="540"/>
        <w:jc w:val="both"/>
      </w:pPr>
      <w:r>
        <w:rPr>
          <w:noProof/>
          <w:position w:val="-8"/>
        </w:rPr>
        <w:drawing>
          <wp:inline distT="0" distB="0" distL="0" distR="0">
            <wp:extent cx="177800" cy="251460"/>
            <wp:effectExtent l="0" t="0" r="0" b="0"/>
            <wp:docPr id="2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8"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надежности по назначению сооружения;</w:t>
      </w:r>
    </w:p>
    <w:p w:rsidR="00212513" w:rsidRDefault="00212513">
      <w:pPr>
        <w:pStyle w:val="ConsPlusNormal"/>
        <w:spacing w:before="220"/>
        <w:ind w:firstLine="540"/>
        <w:jc w:val="both"/>
      </w:pPr>
      <w:r>
        <w:rPr>
          <w:noProof/>
          <w:position w:val="-8"/>
        </w:rPr>
        <w:drawing>
          <wp:inline distT="0" distB="0" distL="0" distR="0">
            <wp:extent cx="177800" cy="251460"/>
            <wp:effectExtent l="0" t="0" r="0" b="0"/>
            <wp:docPr id="2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9"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условий работы.</w:t>
      </w: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jc w:val="right"/>
        <w:outlineLvl w:val="0"/>
      </w:pPr>
      <w:r>
        <w:rPr>
          <w:b/>
        </w:rPr>
        <w:t>Приложение Г</w:t>
      </w:r>
    </w:p>
    <w:p w:rsidR="00212513" w:rsidRDefault="00212513">
      <w:pPr>
        <w:pStyle w:val="ConsPlusNormal"/>
        <w:jc w:val="right"/>
      </w:pPr>
      <w:r>
        <w:rPr>
          <w:b/>
        </w:rPr>
        <w:t>(обязательное)</w:t>
      </w:r>
    </w:p>
    <w:p w:rsidR="00212513" w:rsidRDefault="00212513">
      <w:pPr>
        <w:pStyle w:val="ConsPlusNormal"/>
        <w:ind w:firstLine="540"/>
        <w:jc w:val="both"/>
      </w:pPr>
    </w:p>
    <w:p w:rsidR="00212513" w:rsidRDefault="00212513">
      <w:pPr>
        <w:pStyle w:val="ConsPlusTitle"/>
        <w:jc w:val="center"/>
      </w:pPr>
      <w:bookmarkStart w:id="471" w:name="P12092"/>
      <w:bookmarkEnd w:id="471"/>
      <w:r>
        <w:t>ГАБАРИТЫ ПРИБЛИЖЕНИЯ КОНСТРУКЦИЙ</w:t>
      </w:r>
    </w:p>
    <w:p w:rsidR="00212513" w:rsidRDefault="00212513">
      <w:pPr>
        <w:pStyle w:val="ConsPlusTitle"/>
        <w:jc w:val="center"/>
      </w:pPr>
      <w:r>
        <w:t>МОСТОВЫХ СООРУЖЕНИЙ НА АВТОМОБИЛЬНЫХ ДОРОГАХ ОБЩЕГО</w:t>
      </w:r>
    </w:p>
    <w:p w:rsidR="00212513" w:rsidRDefault="00212513">
      <w:pPr>
        <w:pStyle w:val="ConsPlusTitle"/>
        <w:jc w:val="center"/>
      </w:pPr>
      <w:r>
        <w:t>ПОЛЬЗОВАНИЯ, ВНУТРИХОЗЯЙСТВЕННЫХ АВТОМОБИЛЬНЫХ ДОРОГАХ,</w:t>
      </w:r>
    </w:p>
    <w:p w:rsidR="00212513" w:rsidRDefault="00212513">
      <w:pPr>
        <w:pStyle w:val="ConsPlusTitle"/>
        <w:jc w:val="center"/>
      </w:pPr>
      <w:r>
        <w:t>В СЕЛЬСКОХОЗЯЙСТВЕННЫХ ПРЕДПРИЯТИЯХ, НА ВНУТРЕННИХ</w:t>
      </w:r>
    </w:p>
    <w:p w:rsidR="00212513" w:rsidRDefault="00212513">
      <w:pPr>
        <w:pStyle w:val="ConsPlusTitle"/>
        <w:jc w:val="center"/>
      </w:pPr>
      <w:r>
        <w:t>АВТОМОБИЛЬНЫХ ДОРОГАХ ПРОМЫШЛЕННЫХ ПРЕДПРИЯТИЙ,</w:t>
      </w:r>
    </w:p>
    <w:p w:rsidR="00212513" w:rsidRDefault="00212513">
      <w:pPr>
        <w:pStyle w:val="ConsPlusTitle"/>
        <w:jc w:val="center"/>
      </w:pPr>
      <w:r>
        <w:t>А ТАКЖЕ НА УЛИЦАХ И ДОРОГАХ В ГОРОДАХ, ПОСЕЛКАХ</w:t>
      </w:r>
    </w:p>
    <w:p w:rsidR="00212513" w:rsidRDefault="00212513">
      <w:pPr>
        <w:pStyle w:val="ConsPlusTitle"/>
        <w:jc w:val="center"/>
      </w:pPr>
      <w:r>
        <w:t>И СЕЛЬСКИХ НАСЕЛЕННЫХ ПУНКТАХ</w:t>
      </w:r>
    </w:p>
    <w:p w:rsidR="00212513" w:rsidRDefault="00212513">
      <w:pPr>
        <w:pStyle w:val="ConsPlusNormal"/>
        <w:ind w:firstLine="540"/>
        <w:jc w:val="both"/>
      </w:pPr>
    </w:p>
    <w:p w:rsidR="00212513" w:rsidRDefault="00212513">
      <w:pPr>
        <w:pStyle w:val="ConsPlusNormal"/>
        <w:ind w:firstLine="540"/>
        <w:jc w:val="both"/>
      </w:pPr>
      <w:r>
        <w:t>Г.1 Настоящее приложение устанавливает габариты приближения конструкций мостов - предельные поперечные очертания (в плоскости, перпендикулярной продольной оси проезжей части), внутрь которых не должны заходить какие-либо элементы сооружения или расположенных на нем устройств.</w:t>
      </w:r>
    </w:p>
    <w:p w:rsidR="00212513" w:rsidRDefault="00212513">
      <w:pPr>
        <w:pStyle w:val="ConsPlusNormal"/>
        <w:spacing w:before="220"/>
        <w:ind w:firstLine="540"/>
        <w:jc w:val="both"/>
      </w:pPr>
      <w:r>
        <w:t>Примечание - Габариты условно обозначают буквой Г и числом (после тире), равным расстоянию между ограждениями.</w:t>
      </w:r>
    </w:p>
    <w:p w:rsidR="00212513" w:rsidRDefault="00212513">
      <w:pPr>
        <w:pStyle w:val="ConsPlusNormal"/>
        <w:ind w:firstLine="540"/>
        <w:jc w:val="both"/>
      </w:pPr>
    </w:p>
    <w:p w:rsidR="00212513" w:rsidRDefault="00212513">
      <w:pPr>
        <w:pStyle w:val="ConsPlusNormal"/>
        <w:ind w:firstLine="540"/>
        <w:jc w:val="both"/>
      </w:pPr>
      <w:bookmarkStart w:id="472" w:name="P12103"/>
      <w:bookmarkEnd w:id="472"/>
      <w:r>
        <w:t xml:space="preserve">Г.2 Схемы габаритов приближения конструкций на автодорожных и городских мостах при отсутствии трамвайного движения приведены на </w:t>
      </w:r>
      <w:hyperlink w:anchor="P12124">
        <w:r>
          <w:rPr>
            <w:color w:val="0000FF"/>
          </w:rPr>
          <w:t>рисунке Г.1</w:t>
        </w:r>
      </w:hyperlink>
      <w:r>
        <w:t>, при этом левая половина каждой схемы относится к случаю примыкания тротуаров к ограждениям, правая - к случаю раздельного размещения тротуаров.</w:t>
      </w:r>
    </w:p>
    <w:p w:rsidR="00212513" w:rsidRDefault="00212513">
      <w:pPr>
        <w:pStyle w:val="ConsPlusNormal"/>
        <w:ind w:firstLine="540"/>
        <w:jc w:val="both"/>
      </w:pPr>
    </w:p>
    <w:p w:rsidR="00212513" w:rsidRDefault="00212513">
      <w:pPr>
        <w:pStyle w:val="ConsPlusNormal"/>
        <w:jc w:val="center"/>
      </w:pPr>
      <w:r>
        <w:t>а)</w:t>
      </w:r>
    </w:p>
    <w:p w:rsidR="00212513" w:rsidRDefault="00212513">
      <w:pPr>
        <w:pStyle w:val="ConsPlusNormal"/>
        <w:ind w:firstLine="540"/>
        <w:jc w:val="both"/>
      </w:pPr>
    </w:p>
    <w:p w:rsidR="00212513" w:rsidRDefault="00212513">
      <w:pPr>
        <w:pStyle w:val="ConsPlusNormal"/>
        <w:jc w:val="center"/>
      </w:pPr>
      <w:r>
        <w:rPr>
          <w:noProof/>
          <w:position w:val="-153"/>
        </w:rPr>
        <w:lastRenderedPageBreak/>
        <w:drawing>
          <wp:inline distT="0" distB="0" distL="0" distR="0">
            <wp:extent cx="3305810" cy="2092325"/>
            <wp:effectExtent l="0" t="0" r="0" b="0"/>
            <wp:docPr id="2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0" cstate="print">
                      <a:extLst>
                        <a:ext uri="{28A0092B-C50C-407E-A947-70E740481C1C}">
                          <a14:useLocalDpi xmlns:a14="http://schemas.microsoft.com/office/drawing/2010/main" val="0"/>
                        </a:ext>
                      </a:extLst>
                    </a:blip>
                    <a:srcRect/>
                    <a:stretch>
                      <a:fillRect/>
                    </a:stretch>
                  </pic:blipFill>
                  <pic:spPr bwMode="auto">
                    <a:xfrm>
                      <a:off x="0" y="0"/>
                      <a:ext cx="3305810" cy="2092325"/>
                    </a:xfrm>
                    <a:prstGeom prst="rect">
                      <a:avLst/>
                    </a:prstGeom>
                    <a:noFill/>
                    <a:ln>
                      <a:noFill/>
                    </a:ln>
                  </pic:spPr>
                </pic:pic>
              </a:graphicData>
            </a:graphic>
          </wp:inline>
        </w:drawing>
      </w:r>
    </w:p>
    <w:p w:rsidR="00212513" w:rsidRDefault="00212513">
      <w:pPr>
        <w:pStyle w:val="ConsPlusNormal"/>
        <w:ind w:firstLine="540"/>
        <w:jc w:val="both"/>
      </w:pPr>
    </w:p>
    <w:p w:rsidR="00212513" w:rsidRDefault="00212513">
      <w:pPr>
        <w:pStyle w:val="ConsPlusNormal"/>
        <w:jc w:val="center"/>
      </w:pPr>
      <w:r>
        <w:t>б)</w:t>
      </w:r>
    </w:p>
    <w:p w:rsidR="00212513" w:rsidRDefault="00212513">
      <w:pPr>
        <w:pStyle w:val="ConsPlusNormal"/>
        <w:jc w:val="center"/>
      </w:pPr>
    </w:p>
    <w:p w:rsidR="00212513" w:rsidRDefault="00212513">
      <w:pPr>
        <w:pStyle w:val="ConsPlusNormal"/>
        <w:jc w:val="center"/>
      </w:pPr>
      <w:r>
        <w:rPr>
          <w:noProof/>
          <w:position w:val="-140"/>
        </w:rPr>
        <w:drawing>
          <wp:inline distT="0" distB="0" distL="0" distR="0">
            <wp:extent cx="5541645" cy="1920875"/>
            <wp:effectExtent l="0" t="0" r="0" b="0"/>
            <wp:docPr id="2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1">
                      <a:extLst>
                        <a:ext uri="{28A0092B-C50C-407E-A947-70E740481C1C}">
                          <a14:useLocalDpi xmlns:a14="http://schemas.microsoft.com/office/drawing/2010/main" val="0"/>
                        </a:ext>
                      </a:extLst>
                    </a:blip>
                    <a:srcRect/>
                    <a:stretch>
                      <a:fillRect/>
                    </a:stretch>
                  </pic:blipFill>
                  <pic:spPr bwMode="auto">
                    <a:xfrm>
                      <a:off x="0" y="0"/>
                      <a:ext cx="5541645" cy="1920875"/>
                    </a:xfrm>
                    <a:prstGeom prst="rect">
                      <a:avLst/>
                    </a:prstGeom>
                    <a:noFill/>
                    <a:ln>
                      <a:noFill/>
                    </a:ln>
                  </pic:spPr>
                </pic:pic>
              </a:graphicData>
            </a:graphic>
          </wp:inline>
        </w:drawing>
      </w:r>
    </w:p>
    <w:p w:rsidR="00212513" w:rsidRDefault="00212513">
      <w:pPr>
        <w:pStyle w:val="ConsPlusNormal"/>
        <w:jc w:val="center"/>
      </w:pPr>
    </w:p>
    <w:p w:rsidR="00212513" w:rsidRDefault="00212513">
      <w:pPr>
        <w:pStyle w:val="ConsPlusNormal"/>
        <w:jc w:val="center"/>
      </w:pPr>
      <w:r>
        <w:t xml:space="preserve">(рисунок Г.1 б) в ред. </w:t>
      </w:r>
      <w:hyperlink r:id="rId3142">
        <w:r>
          <w:rPr>
            <w:color w:val="0000FF"/>
          </w:rPr>
          <w:t>Изменения N 4</w:t>
        </w:r>
      </w:hyperlink>
      <w:r>
        <w:t>, утв. Приказом</w:t>
      </w:r>
    </w:p>
    <w:p w:rsidR="00212513" w:rsidRDefault="00212513">
      <w:pPr>
        <w:pStyle w:val="ConsPlusNormal"/>
        <w:jc w:val="center"/>
      </w:pPr>
      <w:r>
        <w:t>Минстроя России от 30.05.2024 N 361/пр)</w:t>
      </w:r>
    </w:p>
    <w:p w:rsidR="00212513" w:rsidRDefault="00212513">
      <w:pPr>
        <w:pStyle w:val="ConsPlusNormal"/>
        <w:jc w:val="center"/>
      </w:pPr>
    </w:p>
    <w:p w:rsidR="00212513" w:rsidRDefault="00212513">
      <w:pPr>
        <w:pStyle w:val="ConsPlusNormal"/>
        <w:jc w:val="center"/>
      </w:pPr>
      <w:r>
        <w:t>в)</w:t>
      </w:r>
    </w:p>
    <w:p w:rsidR="00212513" w:rsidRDefault="00212513">
      <w:pPr>
        <w:pStyle w:val="ConsPlusNormal"/>
        <w:jc w:val="center"/>
      </w:pPr>
    </w:p>
    <w:p w:rsidR="00212513" w:rsidRDefault="00212513">
      <w:pPr>
        <w:pStyle w:val="ConsPlusNormal"/>
        <w:jc w:val="center"/>
      </w:pPr>
      <w:r>
        <w:rPr>
          <w:noProof/>
          <w:position w:val="-143"/>
        </w:rPr>
        <w:drawing>
          <wp:inline distT="0" distB="0" distL="0" distR="0">
            <wp:extent cx="4827905" cy="1964690"/>
            <wp:effectExtent l="0" t="0" r="0" b="0"/>
            <wp:docPr id="2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3" cstate="print">
                      <a:extLst>
                        <a:ext uri="{28A0092B-C50C-407E-A947-70E740481C1C}">
                          <a14:useLocalDpi xmlns:a14="http://schemas.microsoft.com/office/drawing/2010/main" val="0"/>
                        </a:ext>
                      </a:extLst>
                    </a:blip>
                    <a:srcRect/>
                    <a:stretch>
                      <a:fillRect/>
                    </a:stretch>
                  </pic:blipFill>
                  <pic:spPr bwMode="auto">
                    <a:xfrm>
                      <a:off x="0" y="0"/>
                      <a:ext cx="4827905" cy="1964690"/>
                    </a:xfrm>
                    <a:prstGeom prst="rect">
                      <a:avLst/>
                    </a:prstGeom>
                    <a:noFill/>
                    <a:ln>
                      <a:noFill/>
                    </a:ln>
                  </pic:spPr>
                </pic:pic>
              </a:graphicData>
            </a:graphic>
          </wp:inline>
        </w:drawing>
      </w:r>
    </w:p>
    <w:p w:rsidR="00212513" w:rsidRDefault="00212513">
      <w:pPr>
        <w:pStyle w:val="ConsPlusNormal"/>
        <w:ind w:firstLine="540"/>
        <w:jc w:val="both"/>
      </w:pPr>
    </w:p>
    <w:p w:rsidR="00212513" w:rsidRDefault="00212513">
      <w:pPr>
        <w:pStyle w:val="ConsPlusNormal"/>
        <w:jc w:val="center"/>
      </w:pPr>
      <w:r>
        <w:t>а - при отсутствии разделительной полосы;</w:t>
      </w:r>
    </w:p>
    <w:p w:rsidR="00212513" w:rsidRDefault="00212513">
      <w:pPr>
        <w:pStyle w:val="ConsPlusNormal"/>
        <w:jc w:val="center"/>
      </w:pPr>
      <w:r>
        <w:t>б - с разделительной полосой без ограждений;</w:t>
      </w:r>
    </w:p>
    <w:p w:rsidR="00212513" w:rsidRDefault="00212513">
      <w:pPr>
        <w:pStyle w:val="ConsPlusNormal"/>
        <w:jc w:val="center"/>
      </w:pPr>
      <w:r>
        <w:t>в - с разделительной полосой при наличии ограждений</w:t>
      </w:r>
    </w:p>
    <w:p w:rsidR="00212513" w:rsidRDefault="00212513">
      <w:pPr>
        <w:pStyle w:val="ConsPlusNormal"/>
        <w:ind w:firstLine="540"/>
        <w:jc w:val="both"/>
      </w:pPr>
    </w:p>
    <w:p w:rsidR="00212513" w:rsidRDefault="00212513">
      <w:pPr>
        <w:pStyle w:val="ConsPlusNormal"/>
        <w:jc w:val="center"/>
      </w:pPr>
      <w:bookmarkStart w:id="473" w:name="P12124"/>
      <w:bookmarkEnd w:id="473"/>
      <w:r>
        <w:rPr>
          <w:b/>
          <w:i/>
        </w:rPr>
        <w:t>Рисунок Г.1</w:t>
      </w:r>
      <w:r>
        <w:t xml:space="preserve"> </w:t>
      </w:r>
      <w:r>
        <w:rPr>
          <w:b/>
        </w:rPr>
        <w:t>- Схемы габаритов приближения</w:t>
      </w:r>
    </w:p>
    <w:p w:rsidR="00212513" w:rsidRDefault="00212513">
      <w:pPr>
        <w:pStyle w:val="ConsPlusNormal"/>
        <w:jc w:val="center"/>
      </w:pPr>
      <w:r>
        <w:rPr>
          <w:b/>
        </w:rPr>
        <w:t>конструкций на автодорожных и городских мостах</w:t>
      </w:r>
    </w:p>
    <w:p w:rsidR="00212513" w:rsidRDefault="00212513">
      <w:pPr>
        <w:pStyle w:val="ConsPlusNormal"/>
        <w:ind w:firstLine="540"/>
        <w:jc w:val="both"/>
      </w:pPr>
    </w:p>
    <w:p w:rsidR="00212513" w:rsidRDefault="00212513">
      <w:pPr>
        <w:pStyle w:val="ConsPlusNormal"/>
        <w:ind w:firstLine="540"/>
        <w:jc w:val="both"/>
      </w:pPr>
      <w:r>
        <w:t>Обозначения, принятые на схемах габаритов:</w:t>
      </w:r>
    </w:p>
    <w:p w:rsidR="00212513" w:rsidRDefault="00212513">
      <w:pPr>
        <w:pStyle w:val="ConsPlusNormal"/>
        <w:spacing w:before="220"/>
        <w:ind w:firstLine="540"/>
        <w:jc w:val="both"/>
      </w:pPr>
      <w:r>
        <w:rPr>
          <w:i/>
        </w:rPr>
        <w:lastRenderedPageBreak/>
        <w:t>nb</w:t>
      </w:r>
      <w:r>
        <w:t xml:space="preserve"> - общая ширина проезжей части или ширина проезжей части для движения одного направления;</w:t>
      </w:r>
    </w:p>
    <w:p w:rsidR="00212513" w:rsidRDefault="00212513">
      <w:pPr>
        <w:pStyle w:val="ConsPlusNormal"/>
        <w:spacing w:before="220"/>
        <w:ind w:firstLine="540"/>
        <w:jc w:val="both"/>
      </w:pPr>
      <w:r>
        <w:rPr>
          <w:i/>
        </w:rPr>
        <w:t>n</w:t>
      </w:r>
      <w:r>
        <w:t xml:space="preserve"> - число полос движения и </w:t>
      </w:r>
      <w:r>
        <w:rPr>
          <w:i/>
        </w:rPr>
        <w:t>b</w:t>
      </w:r>
      <w:r>
        <w:t xml:space="preserve"> - ширина каждой полосы движения принимаются:</w:t>
      </w:r>
    </w:p>
    <w:p w:rsidR="00212513" w:rsidRDefault="00212513">
      <w:pPr>
        <w:pStyle w:val="ConsPlusNormal"/>
        <w:spacing w:before="220"/>
        <w:ind w:firstLine="540"/>
        <w:jc w:val="both"/>
      </w:pPr>
      <w:r>
        <w:t xml:space="preserve">для мостов на дорогах общего пользования - по </w:t>
      </w:r>
      <w:hyperlink w:anchor="P12149">
        <w:r>
          <w:rPr>
            <w:color w:val="0000FF"/>
          </w:rPr>
          <w:t>таблице Г.1</w:t>
        </w:r>
      </w:hyperlink>
      <w:r>
        <w:t xml:space="preserve"> настоящего приложения, по </w:t>
      </w:r>
      <w:hyperlink r:id="rId3144">
        <w:r>
          <w:rPr>
            <w:color w:val="0000FF"/>
          </w:rPr>
          <w:t>СП 34.13330</w:t>
        </w:r>
      </w:hyperlink>
      <w:r>
        <w:t xml:space="preserve">, </w:t>
      </w:r>
      <w:hyperlink r:id="rId3145">
        <w:r>
          <w:rPr>
            <w:color w:val="0000FF"/>
          </w:rPr>
          <w:t>ГОСТ Р 52399</w:t>
        </w:r>
      </w:hyperlink>
      <w:r>
        <w:t>;</w:t>
      </w:r>
    </w:p>
    <w:p w:rsidR="00212513" w:rsidRDefault="00212513">
      <w:pPr>
        <w:pStyle w:val="ConsPlusNormal"/>
        <w:jc w:val="both"/>
      </w:pPr>
      <w:r>
        <w:t xml:space="preserve">(в ред. </w:t>
      </w:r>
      <w:hyperlink r:id="rId3146">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 xml:space="preserve">на внутрихозяйственных дорогах - по </w:t>
      </w:r>
      <w:hyperlink w:anchor="P12149">
        <w:r>
          <w:rPr>
            <w:color w:val="0000FF"/>
          </w:rPr>
          <w:t>таблице Г.1</w:t>
        </w:r>
      </w:hyperlink>
      <w:r>
        <w:t xml:space="preserve"> настоящего приложения;</w:t>
      </w:r>
    </w:p>
    <w:p w:rsidR="00212513" w:rsidRDefault="00212513">
      <w:pPr>
        <w:pStyle w:val="ConsPlusNormal"/>
        <w:spacing w:before="220"/>
        <w:ind w:firstLine="540"/>
        <w:jc w:val="both"/>
      </w:pPr>
      <w:r>
        <w:t xml:space="preserve">на дорогах промышленных предприятий - по </w:t>
      </w:r>
      <w:hyperlink r:id="rId3147">
        <w:r>
          <w:rPr>
            <w:color w:val="0000FF"/>
          </w:rPr>
          <w:t>СП 37.13330</w:t>
        </w:r>
      </w:hyperlink>
      <w:r>
        <w:t>;</w:t>
      </w:r>
    </w:p>
    <w:p w:rsidR="00212513" w:rsidRDefault="00212513">
      <w:pPr>
        <w:pStyle w:val="ConsPlusNormal"/>
        <w:spacing w:before="220"/>
        <w:ind w:firstLine="540"/>
        <w:jc w:val="both"/>
      </w:pPr>
      <w:r>
        <w:t xml:space="preserve">на улицах и дорогах в городах, поселках и сельских населенных пунктах - по </w:t>
      </w:r>
      <w:hyperlink r:id="rId3148">
        <w:r>
          <w:rPr>
            <w:color w:val="0000FF"/>
          </w:rPr>
          <w:t>СП 42.13330</w:t>
        </w:r>
      </w:hyperlink>
      <w:r>
        <w:t>;</w:t>
      </w:r>
    </w:p>
    <w:p w:rsidR="00212513" w:rsidRDefault="00212513">
      <w:pPr>
        <w:pStyle w:val="ConsPlusNormal"/>
        <w:spacing w:before="220"/>
        <w:ind w:firstLine="540"/>
        <w:jc w:val="both"/>
      </w:pPr>
      <w:r>
        <w:rPr>
          <w:i/>
        </w:rPr>
        <w:t>h</w:t>
      </w:r>
      <w:r>
        <w:t xml:space="preserve"> - габарит по высоте (расстояние от поверхности проезда до верхней линии очертания габарита), принимаемый для мостов (обозначение категорий дорог приведено в </w:t>
      </w:r>
      <w:hyperlink w:anchor="P12149">
        <w:r>
          <w:rPr>
            <w:color w:val="0000FF"/>
          </w:rPr>
          <w:t>таблице Г.1</w:t>
        </w:r>
      </w:hyperlink>
      <w:r>
        <w:t>):</w:t>
      </w:r>
    </w:p>
    <w:p w:rsidR="00212513" w:rsidRDefault="00212513">
      <w:pPr>
        <w:pStyle w:val="ConsPlusNormal"/>
        <w:spacing w:before="220"/>
        <w:ind w:firstLine="540"/>
        <w:jc w:val="both"/>
      </w:pPr>
      <w:r>
        <w:t>на автомобильных дорогах общего пользования и дорогах I - III категорий, внутрихозяйственных автомобильных дорогах и на улицах и дорогах в городах, поселках и сельских населенных пунктах - не менее 5 м;</w:t>
      </w:r>
    </w:p>
    <w:p w:rsidR="00212513" w:rsidRDefault="00212513">
      <w:pPr>
        <w:pStyle w:val="ConsPlusNormal"/>
        <w:spacing w:before="220"/>
        <w:ind w:firstLine="540"/>
        <w:jc w:val="both"/>
      </w:pPr>
      <w:r>
        <w:t xml:space="preserve">на улицах и дорогах в городах в случае ограничения обращения автомобилей высотой более 3,5 м и установки удерживающих габаритных ворот или выполнения проверок первого предельного состояния с учетом воздействия от ударов транспортных средств в соответствии с </w:t>
      </w:r>
      <w:hyperlink r:id="rId3149">
        <w:r>
          <w:rPr>
            <w:color w:val="0000FF"/>
          </w:rPr>
          <w:t>разделом 8.2</w:t>
        </w:r>
      </w:hyperlink>
      <w:r>
        <w:t xml:space="preserve"> СП 296.1325800.2017 - не менее 4,5 м. При этом категории дорог, указанные в </w:t>
      </w:r>
      <w:hyperlink r:id="rId3150">
        <w:r>
          <w:rPr>
            <w:color w:val="0000FF"/>
          </w:rPr>
          <w:t>таблице 8.1</w:t>
        </w:r>
      </w:hyperlink>
      <w:r>
        <w:t xml:space="preserve"> СП 296.1325800.2017, и величины воздействий следует принимать для улиц и дорог в городах в зависимости от расчетной скорости движения: автомагистрали и скоростные автомобильные дороги категорий IА и IБ - более 90 км/ч, обычные автомобильные дороги категорий IВ, II - более 70 км/ч, обычные автомобильные дороги категорий III - V - более 60 км/ч;</w:t>
      </w:r>
    </w:p>
    <w:p w:rsidR="00212513" w:rsidRDefault="00212513">
      <w:pPr>
        <w:pStyle w:val="ConsPlusNormal"/>
        <w:jc w:val="both"/>
      </w:pPr>
      <w:r>
        <w:t xml:space="preserve">(перечисление введено </w:t>
      </w:r>
      <w:hyperlink r:id="rId3151">
        <w:r>
          <w:rPr>
            <w:color w:val="0000FF"/>
          </w:rPr>
          <w:t>Изменением N 5</w:t>
        </w:r>
      </w:hyperlink>
      <w:r>
        <w:t>, утв. Приказом Минстроя России от 20.09.2024 N 636/пр)</w:t>
      </w:r>
    </w:p>
    <w:p w:rsidR="00212513" w:rsidRDefault="00212513">
      <w:pPr>
        <w:pStyle w:val="ConsPlusNormal"/>
        <w:spacing w:before="220"/>
        <w:ind w:firstLine="540"/>
        <w:jc w:val="both"/>
      </w:pPr>
      <w:r>
        <w:t>на автомобильных дорогах IV и V категорий и на внутрихозяйственных автомобильных дорогах - не менее 4,5 м;</w:t>
      </w:r>
    </w:p>
    <w:p w:rsidR="00212513" w:rsidRDefault="00212513">
      <w:pPr>
        <w:pStyle w:val="ConsPlusNormal"/>
        <w:spacing w:before="220"/>
        <w:ind w:firstLine="540"/>
        <w:jc w:val="both"/>
      </w:pPr>
      <w:r>
        <w:t>на автомобильных дорогах промышленных предприятий с обращением автомобилей особо большой грузоподъемности III-п и IV-п категорий - не менее высоты намеченных к обращению транспортных средств плюс 1 м, но не менее 5 м;</w:t>
      </w:r>
    </w:p>
    <w:p w:rsidR="00212513" w:rsidRDefault="00212513">
      <w:pPr>
        <w:pStyle w:val="ConsPlusNormal"/>
        <w:spacing w:before="220"/>
        <w:ind w:firstLine="540"/>
        <w:jc w:val="both"/>
      </w:pPr>
      <w:r>
        <w:rPr>
          <w:i/>
        </w:rPr>
        <w:t>П</w:t>
      </w:r>
      <w:r>
        <w:t xml:space="preserve"> - полосы безопасности (предохранительные полосы);</w:t>
      </w:r>
    </w:p>
    <w:p w:rsidR="00212513" w:rsidRDefault="00212513">
      <w:pPr>
        <w:pStyle w:val="ConsPlusNormal"/>
        <w:spacing w:before="220"/>
        <w:ind w:firstLine="540"/>
        <w:jc w:val="both"/>
      </w:pPr>
      <w:r>
        <w:rPr>
          <w:i/>
        </w:rPr>
        <w:t>С</w:t>
      </w:r>
      <w:r>
        <w:t xml:space="preserve"> - разделительные полосы (при многополосном движении в каждом направлении), ширина которых равна расстоянию между кромками проезжих частей разного направления движения;</w:t>
      </w:r>
    </w:p>
    <w:p w:rsidR="00212513" w:rsidRDefault="00212513">
      <w:pPr>
        <w:pStyle w:val="ConsPlusNormal"/>
        <w:spacing w:before="220"/>
        <w:ind w:firstLine="540"/>
        <w:jc w:val="both"/>
      </w:pPr>
      <w:r>
        <w:rPr>
          <w:i/>
        </w:rPr>
        <w:t>ЗП</w:t>
      </w:r>
      <w:r>
        <w:t xml:space="preserve"> - защитные полосы, ширину которых, как правило, следует принимать равной 0,5 м, для деревянных мостов с ездой понизу - 0,25 м;</w:t>
      </w:r>
    </w:p>
    <w:p w:rsidR="00212513" w:rsidRDefault="00212513">
      <w:pPr>
        <w:pStyle w:val="ConsPlusNormal"/>
        <w:spacing w:before="220"/>
        <w:ind w:firstLine="540"/>
        <w:jc w:val="both"/>
      </w:pPr>
      <w:r>
        <w:rPr>
          <w:i/>
        </w:rPr>
        <w:t>Г</w:t>
      </w:r>
      <w:r>
        <w:t xml:space="preserve"> - расстояние между ограждениями проезда, в которое входит и ширина разделительной полосы, не имеющей ограждений;</w:t>
      </w:r>
    </w:p>
    <w:p w:rsidR="00212513" w:rsidRDefault="00212513">
      <w:pPr>
        <w:pStyle w:val="ConsPlusNormal"/>
        <w:spacing w:before="220"/>
        <w:ind w:firstLine="540"/>
        <w:jc w:val="both"/>
      </w:pPr>
      <w:r>
        <w:rPr>
          <w:i/>
        </w:rPr>
        <w:t>T</w:t>
      </w:r>
      <w:r>
        <w:t xml:space="preserve"> - ширина тротуаров по </w:t>
      </w:r>
      <w:hyperlink w:anchor="P613">
        <w:r>
          <w:rPr>
            <w:color w:val="0000FF"/>
          </w:rPr>
          <w:t>5.61</w:t>
        </w:r>
      </w:hyperlink>
      <w:r>
        <w:t>;</w:t>
      </w:r>
    </w:p>
    <w:p w:rsidR="00212513" w:rsidRDefault="00212513">
      <w:pPr>
        <w:pStyle w:val="ConsPlusNormal"/>
        <w:spacing w:before="220"/>
        <w:ind w:firstLine="540"/>
        <w:jc w:val="both"/>
      </w:pPr>
      <w:r>
        <w:rPr>
          <w:i/>
        </w:rPr>
        <w:t>a</w:t>
      </w:r>
      <w:r>
        <w:t xml:space="preserve"> - высота ограждений проездов в соответствии с </w:t>
      </w:r>
      <w:hyperlink w:anchor="P624">
        <w:r>
          <w:rPr>
            <w:color w:val="0000FF"/>
          </w:rPr>
          <w:t>5.62</w:t>
        </w:r>
      </w:hyperlink>
      <w:r>
        <w:t>;</w:t>
      </w:r>
    </w:p>
    <w:p w:rsidR="00212513" w:rsidRDefault="00212513">
      <w:pPr>
        <w:pStyle w:val="ConsPlusNormal"/>
        <w:spacing w:before="220"/>
        <w:ind w:firstLine="540"/>
        <w:jc w:val="both"/>
      </w:pPr>
      <w:r>
        <w:rPr>
          <w:noProof/>
          <w:position w:val="-8"/>
        </w:rPr>
        <w:drawing>
          <wp:inline distT="0" distB="0" distL="0" distR="0">
            <wp:extent cx="167640" cy="251460"/>
            <wp:effectExtent l="0" t="0" r="0" b="0"/>
            <wp:docPr id="2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2"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габарит по высоте на тротуарах, принимаемый не менее 2,5 м.</w:t>
      </w:r>
    </w:p>
    <w:p w:rsidR="00212513" w:rsidRDefault="00212513">
      <w:pPr>
        <w:pStyle w:val="ConsPlusNormal"/>
        <w:ind w:firstLine="540"/>
        <w:jc w:val="both"/>
      </w:pPr>
    </w:p>
    <w:p w:rsidR="00212513" w:rsidRDefault="00212513">
      <w:pPr>
        <w:pStyle w:val="ConsPlusNormal"/>
        <w:jc w:val="right"/>
      </w:pPr>
      <w:bookmarkStart w:id="474" w:name="P12149"/>
      <w:bookmarkEnd w:id="474"/>
      <w:r>
        <w:lastRenderedPageBreak/>
        <w:t>Таблица Г.1</w:t>
      </w:r>
    </w:p>
    <w:p w:rsidR="00212513" w:rsidRDefault="00212513">
      <w:pPr>
        <w:pStyle w:val="ConsPlusNormal"/>
        <w:jc w:val="center"/>
      </w:pPr>
    </w:p>
    <w:p w:rsidR="00212513" w:rsidRDefault="00212513">
      <w:pPr>
        <w:pStyle w:val="ConsPlusNormal"/>
        <w:jc w:val="center"/>
      </w:pPr>
      <w:r>
        <w:t xml:space="preserve">(таблица Г.1 в ред. </w:t>
      </w:r>
      <w:hyperlink r:id="rId3153">
        <w:r>
          <w:rPr>
            <w:color w:val="0000FF"/>
          </w:rPr>
          <w:t>Изменения N 5</w:t>
        </w:r>
      </w:hyperlink>
      <w:r>
        <w:t>, утв. Приказом</w:t>
      </w:r>
    </w:p>
    <w:p w:rsidR="00212513" w:rsidRDefault="00212513">
      <w:pPr>
        <w:pStyle w:val="ConsPlusNormal"/>
        <w:jc w:val="center"/>
      </w:pPr>
      <w:r>
        <w:t>Минстроя России от 20.09.2024 N 636/пр)</w:t>
      </w:r>
    </w:p>
    <w:p w:rsidR="00212513" w:rsidRDefault="00212513">
      <w:pPr>
        <w:pStyle w:val="ConsPlusNormal"/>
        <w:jc w:val="both"/>
      </w:pPr>
    </w:p>
    <w:p w:rsidR="00212513" w:rsidRDefault="00212513">
      <w:pPr>
        <w:pStyle w:val="ConsPlusNormal"/>
        <w:sectPr w:rsidR="00212513">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14"/>
        <w:gridCol w:w="2028"/>
        <w:gridCol w:w="854"/>
        <w:gridCol w:w="1077"/>
        <w:gridCol w:w="2551"/>
        <w:gridCol w:w="794"/>
        <w:gridCol w:w="1157"/>
      </w:tblGrid>
      <w:tr w:rsidR="00212513">
        <w:tc>
          <w:tcPr>
            <w:tcW w:w="1814" w:type="dxa"/>
            <w:vMerge w:val="restart"/>
          </w:tcPr>
          <w:p w:rsidR="00212513" w:rsidRDefault="00212513">
            <w:pPr>
              <w:pStyle w:val="ConsPlusNormal"/>
              <w:jc w:val="center"/>
            </w:pPr>
            <w:r>
              <w:lastRenderedPageBreak/>
              <w:t>Расположение моста</w:t>
            </w:r>
          </w:p>
        </w:tc>
        <w:tc>
          <w:tcPr>
            <w:tcW w:w="2028" w:type="dxa"/>
            <w:vMerge w:val="restart"/>
          </w:tcPr>
          <w:p w:rsidR="00212513" w:rsidRDefault="00212513">
            <w:pPr>
              <w:pStyle w:val="ConsPlusNormal"/>
              <w:jc w:val="center"/>
            </w:pPr>
            <w:r>
              <w:t>Категория дороги или улицы</w:t>
            </w:r>
          </w:p>
        </w:tc>
        <w:tc>
          <w:tcPr>
            <w:tcW w:w="854" w:type="dxa"/>
            <w:vMerge w:val="restart"/>
          </w:tcPr>
          <w:p w:rsidR="00212513" w:rsidRDefault="00212513">
            <w:pPr>
              <w:pStyle w:val="ConsPlusNormal"/>
              <w:jc w:val="center"/>
            </w:pPr>
            <w:r>
              <w:t>Общее число полос движения</w:t>
            </w:r>
          </w:p>
        </w:tc>
        <w:tc>
          <w:tcPr>
            <w:tcW w:w="1077" w:type="dxa"/>
            <w:vMerge w:val="restart"/>
          </w:tcPr>
          <w:p w:rsidR="00212513" w:rsidRDefault="00212513">
            <w:pPr>
              <w:pStyle w:val="ConsPlusNormal"/>
              <w:jc w:val="center"/>
            </w:pPr>
            <w:r>
              <w:t xml:space="preserve">Ширина расчетного автомобиля </w:t>
            </w:r>
            <w:r>
              <w:rPr>
                <w:i/>
              </w:rPr>
              <w:t>d</w:t>
            </w:r>
            <w:r>
              <w:t>, м</w:t>
            </w:r>
          </w:p>
        </w:tc>
        <w:tc>
          <w:tcPr>
            <w:tcW w:w="2551" w:type="dxa"/>
            <w:vMerge w:val="restart"/>
          </w:tcPr>
          <w:p w:rsidR="00212513" w:rsidRDefault="00212513">
            <w:pPr>
              <w:pStyle w:val="ConsPlusNormal"/>
              <w:jc w:val="center"/>
            </w:pPr>
            <w:r>
              <w:t>Габарит</w:t>
            </w:r>
          </w:p>
        </w:tc>
        <w:tc>
          <w:tcPr>
            <w:tcW w:w="1951" w:type="dxa"/>
            <w:gridSpan w:val="2"/>
          </w:tcPr>
          <w:p w:rsidR="00212513" w:rsidRDefault="00212513">
            <w:pPr>
              <w:pStyle w:val="ConsPlusNormal"/>
              <w:jc w:val="center"/>
            </w:pPr>
            <w:r>
              <w:t>Ширина, м</w:t>
            </w:r>
          </w:p>
        </w:tc>
      </w:tr>
      <w:tr w:rsidR="00212513">
        <w:tc>
          <w:tcPr>
            <w:tcW w:w="1814" w:type="dxa"/>
            <w:vMerge/>
          </w:tcPr>
          <w:p w:rsidR="00212513" w:rsidRDefault="00212513">
            <w:pPr>
              <w:pStyle w:val="ConsPlusNormal"/>
            </w:pPr>
          </w:p>
        </w:tc>
        <w:tc>
          <w:tcPr>
            <w:tcW w:w="2028" w:type="dxa"/>
            <w:vMerge/>
          </w:tcPr>
          <w:p w:rsidR="00212513" w:rsidRDefault="00212513">
            <w:pPr>
              <w:pStyle w:val="ConsPlusNormal"/>
            </w:pPr>
          </w:p>
        </w:tc>
        <w:tc>
          <w:tcPr>
            <w:tcW w:w="854" w:type="dxa"/>
            <w:vMerge/>
          </w:tcPr>
          <w:p w:rsidR="00212513" w:rsidRDefault="00212513">
            <w:pPr>
              <w:pStyle w:val="ConsPlusNormal"/>
            </w:pPr>
          </w:p>
        </w:tc>
        <w:tc>
          <w:tcPr>
            <w:tcW w:w="1077" w:type="dxa"/>
            <w:vMerge/>
          </w:tcPr>
          <w:p w:rsidR="00212513" w:rsidRDefault="00212513">
            <w:pPr>
              <w:pStyle w:val="ConsPlusNormal"/>
            </w:pPr>
          </w:p>
        </w:tc>
        <w:tc>
          <w:tcPr>
            <w:tcW w:w="2551" w:type="dxa"/>
            <w:vMerge/>
          </w:tcPr>
          <w:p w:rsidR="00212513" w:rsidRDefault="00212513">
            <w:pPr>
              <w:pStyle w:val="ConsPlusNormal"/>
            </w:pPr>
          </w:p>
        </w:tc>
        <w:tc>
          <w:tcPr>
            <w:tcW w:w="794" w:type="dxa"/>
          </w:tcPr>
          <w:p w:rsidR="00212513" w:rsidRDefault="00212513">
            <w:pPr>
              <w:pStyle w:val="ConsPlusNormal"/>
              <w:jc w:val="center"/>
            </w:pPr>
            <w:r>
              <w:t xml:space="preserve">полос безопасности </w:t>
            </w:r>
            <w:r>
              <w:rPr>
                <w:i/>
              </w:rPr>
              <w:t>П</w:t>
            </w:r>
          </w:p>
        </w:tc>
        <w:tc>
          <w:tcPr>
            <w:tcW w:w="1157" w:type="dxa"/>
          </w:tcPr>
          <w:p w:rsidR="00212513" w:rsidRDefault="00212513">
            <w:pPr>
              <w:pStyle w:val="ConsPlusNormal"/>
              <w:jc w:val="center"/>
            </w:pPr>
            <w:r>
              <w:t xml:space="preserve">проезжей части </w:t>
            </w:r>
            <w:r>
              <w:rPr>
                <w:i/>
              </w:rPr>
              <w:t>nb</w:t>
            </w:r>
          </w:p>
        </w:tc>
      </w:tr>
      <w:tr w:rsidR="00212513">
        <w:tc>
          <w:tcPr>
            <w:tcW w:w="1814" w:type="dxa"/>
            <w:vMerge w:val="restart"/>
          </w:tcPr>
          <w:p w:rsidR="00212513" w:rsidRDefault="00212513">
            <w:pPr>
              <w:pStyle w:val="ConsPlusNormal"/>
            </w:pPr>
            <w:r>
              <w:t>Автомобильные дороги общего пользования, подъездные и внутренние автомобильные дороги промышленных предприятий (без обращения автомобилей особо большой грузоподъемности)</w:t>
            </w:r>
          </w:p>
        </w:tc>
        <w:tc>
          <w:tcPr>
            <w:tcW w:w="2028" w:type="dxa"/>
            <w:vMerge w:val="restart"/>
            <w:vAlign w:val="center"/>
          </w:tcPr>
          <w:p w:rsidR="00212513" w:rsidRDefault="00212513">
            <w:pPr>
              <w:pStyle w:val="ConsPlusNormal"/>
              <w:jc w:val="center"/>
            </w:pPr>
            <w:r>
              <w:t>IА</w:t>
            </w:r>
          </w:p>
        </w:tc>
        <w:tc>
          <w:tcPr>
            <w:tcW w:w="854" w:type="dxa"/>
            <w:vMerge w:val="restart"/>
            <w:vAlign w:val="center"/>
          </w:tcPr>
          <w:p w:rsidR="00212513" w:rsidRDefault="00212513">
            <w:pPr>
              <w:pStyle w:val="ConsPlusNormal"/>
              <w:jc w:val="center"/>
            </w:pPr>
            <w:r>
              <w:t>8</w:t>
            </w:r>
          </w:p>
        </w:tc>
        <w:tc>
          <w:tcPr>
            <w:tcW w:w="1077" w:type="dxa"/>
            <w:vMerge w:val="restart"/>
            <w:vAlign w:val="center"/>
          </w:tcPr>
          <w:p w:rsidR="00212513" w:rsidRDefault="00212513">
            <w:pPr>
              <w:pStyle w:val="ConsPlusNormal"/>
              <w:jc w:val="center"/>
            </w:pPr>
            <w:r>
              <w:t>2,5</w:t>
            </w:r>
          </w:p>
        </w:tc>
        <w:tc>
          <w:tcPr>
            <w:tcW w:w="2551" w:type="dxa"/>
            <w:vAlign w:val="center"/>
          </w:tcPr>
          <w:p w:rsidR="00212513" w:rsidRDefault="00212513">
            <w:pPr>
              <w:pStyle w:val="ConsPlusNormal"/>
              <w:jc w:val="center"/>
            </w:pPr>
            <w:r>
              <w:rPr>
                <w:i/>
              </w:rPr>
              <w:t>Г -</w:t>
            </w:r>
            <w:r>
              <w:t xml:space="preserve"> (17,0 + </w:t>
            </w:r>
            <w:r>
              <w:rPr>
                <w:i/>
              </w:rPr>
              <w:t>С</w:t>
            </w:r>
            <w:r>
              <w:t xml:space="preserve"> + 17,0)</w:t>
            </w:r>
          </w:p>
        </w:tc>
        <w:tc>
          <w:tcPr>
            <w:tcW w:w="794" w:type="dxa"/>
            <w:vAlign w:val="center"/>
          </w:tcPr>
          <w:p w:rsidR="00212513" w:rsidRDefault="00212513">
            <w:pPr>
              <w:pStyle w:val="ConsPlusNormal"/>
              <w:jc w:val="center"/>
            </w:pPr>
            <w:r>
              <w:t>2,0</w:t>
            </w:r>
          </w:p>
        </w:tc>
        <w:tc>
          <w:tcPr>
            <w:tcW w:w="1157" w:type="dxa"/>
            <w:vMerge w:val="restart"/>
            <w:vAlign w:val="center"/>
          </w:tcPr>
          <w:p w:rsidR="00212513" w:rsidRDefault="00212513">
            <w:pPr>
              <w:pStyle w:val="ConsPlusNormal"/>
              <w:jc w:val="center"/>
            </w:pPr>
            <w:r>
              <w:t>15,0 x 2</w:t>
            </w:r>
          </w:p>
        </w:tc>
      </w:tr>
      <w:tr w:rsidR="00212513">
        <w:tc>
          <w:tcPr>
            <w:tcW w:w="1814" w:type="dxa"/>
            <w:vMerge/>
          </w:tcPr>
          <w:p w:rsidR="00212513" w:rsidRDefault="00212513">
            <w:pPr>
              <w:pStyle w:val="ConsPlusNormal"/>
            </w:pPr>
          </w:p>
        </w:tc>
        <w:tc>
          <w:tcPr>
            <w:tcW w:w="2028" w:type="dxa"/>
            <w:vMerge/>
          </w:tcPr>
          <w:p w:rsidR="00212513" w:rsidRDefault="00212513">
            <w:pPr>
              <w:pStyle w:val="ConsPlusNormal"/>
            </w:pPr>
          </w:p>
        </w:tc>
        <w:tc>
          <w:tcPr>
            <w:tcW w:w="854" w:type="dxa"/>
            <w:vMerge/>
          </w:tcPr>
          <w:p w:rsidR="00212513" w:rsidRDefault="00212513">
            <w:pPr>
              <w:pStyle w:val="ConsPlusNormal"/>
            </w:pPr>
          </w:p>
        </w:tc>
        <w:tc>
          <w:tcPr>
            <w:tcW w:w="1077" w:type="dxa"/>
            <w:vMerge/>
          </w:tcPr>
          <w:p w:rsidR="00212513" w:rsidRDefault="00212513">
            <w:pPr>
              <w:pStyle w:val="ConsPlusNormal"/>
            </w:pPr>
          </w:p>
        </w:tc>
        <w:tc>
          <w:tcPr>
            <w:tcW w:w="2551" w:type="dxa"/>
            <w:vAlign w:val="center"/>
          </w:tcPr>
          <w:p w:rsidR="00212513" w:rsidRDefault="00212513">
            <w:pPr>
              <w:pStyle w:val="ConsPlusNormal"/>
              <w:jc w:val="center"/>
            </w:pPr>
            <w:r>
              <w:t>2(</w:t>
            </w:r>
            <w:r>
              <w:rPr>
                <w:i/>
              </w:rPr>
              <w:t>Г -</w:t>
            </w:r>
            <w:r>
              <w:t xml:space="preserve"> 18,5)</w:t>
            </w:r>
          </w:p>
        </w:tc>
        <w:tc>
          <w:tcPr>
            <w:tcW w:w="794" w:type="dxa"/>
            <w:vAlign w:val="center"/>
          </w:tcPr>
          <w:p w:rsidR="00212513" w:rsidRDefault="00212513">
            <w:pPr>
              <w:pStyle w:val="ConsPlusNormal"/>
              <w:jc w:val="center"/>
            </w:pPr>
            <w:r>
              <w:t xml:space="preserve">2,5 </w:t>
            </w:r>
            <w:hyperlink w:anchor="P12296">
              <w:r>
                <w:rPr>
                  <w:color w:val="0000FF"/>
                </w:rPr>
                <w:t>&lt;*4&gt;</w:t>
              </w:r>
            </w:hyperlink>
          </w:p>
        </w:tc>
        <w:tc>
          <w:tcPr>
            <w:tcW w:w="1157" w:type="dxa"/>
            <w:vMerge/>
          </w:tcPr>
          <w:p w:rsidR="00212513" w:rsidRDefault="00212513">
            <w:pPr>
              <w:pStyle w:val="ConsPlusNormal"/>
            </w:pPr>
          </w:p>
        </w:tc>
      </w:tr>
      <w:tr w:rsidR="00212513">
        <w:tc>
          <w:tcPr>
            <w:tcW w:w="1814" w:type="dxa"/>
            <w:vMerge/>
          </w:tcPr>
          <w:p w:rsidR="00212513" w:rsidRDefault="00212513">
            <w:pPr>
              <w:pStyle w:val="ConsPlusNormal"/>
            </w:pPr>
          </w:p>
        </w:tc>
        <w:tc>
          <w:tcPr>
            <w:tcW w:w="2028" w:type="dxa"/>
            <w:vMerge w:val="restart"/>
            <w:vAlign w:val="center"/>
          </w:tcPr>
          <w:p w:rsidR="00212513" w:rsidRDefault="00212513">
            <w:pPr>
              <w:pStyle w:val="ConsPlusNormal"/>
              <w:jc w:val="center"/>
            </w:pPr>
            <w:r>
              <w:t>IА, IБ, IВ</w:t>
            </w:r>
          </w:p>
        </w:tc>
        <w:tc>
          <w:tcPr>
            <w:tcW w:w="854" w:type="dxa"/>
            <w:vMerge w:val="restart"/>
            <w:vAlign w:val="center"/>
          </w:tcPr>
          <w:p w:rsidR="00212513" w:rsidRDefault="00212513">
            <w:pPr>
              <w:pStyle w:val="ConsPlusNormal"/>
              <w:jc w:val="center"/>
            </w:pPr>
            <w:r>
              <w:t>6</w:t>
            </w:r>
          </w:p>
        </w:tc>
        <w:tc>
          <w:tcPr>
            <w:tcW w:w="1077" w:type="dxa"/>
            <w:vMerge/>
          </w:tcPr>
          <w:p w:rsidR="00212513" w:rsidRDefault="00212513">
            <w:pPr>
              <w:pStyle w:val="ConsPlusNormal"/>
            </w:pPr>
          </w:p>
        </w:tc>
        <w:tc>
          <w:tcPr>
            <w:tcW w:w="2551" w:type="dxa"/>
            <w:vAlign w:val="center"/>
          </w:tcPr>
          <w:p w:rsidR="00212513" w:rsidRDefault="00212513">
            <w:pPr>
              <w:pStyle w:val="ConsPlusNormal"/>
              <w:jc w:val="center"/>
            </w:pPr>
            <w:r>
              <w:rPr>
                <w:i/>
              </w:rPr>
              <w:t>Г -</w:t>
            </w:r>
            <w:r>
              <w:t xml:space="preserve"> (13,25 + </w:t>
            </w:r>
            <w:r>
              <w:rPr>
                <w:i/>
              </w:rPr>
              <w:t>С</w:t>
            </w:r>
            <w:r>
              <w:t xml:space="preserve"> + 13,25)</w:t>
            </w:r>
          </w:p>
        </w:tc>
        <w:tc>
          <w:tcPr>
            <w:tcW w:w="794" w:type="dxa"/>
            <w:vAlign w:val="center"/>
          </w:tcPr>
          <w:p w:rsidR="00212513" w:rsidRDefault="00212513">
            <w:pPr>
              <w:pStyle w:val="ConsPlusNormal"/>
              <w:jc w:val="center"/>
            </w:pPr>
            <w:r>
              <w:t>2,0</w:t>
            </w:r>
          </w:p>
        </w:tc>
        <w:tc>
          <w:tcPr>
            <w:tcW w:w="1157" w:type="dxa"/>
            <w:vMerge w:val="restart"/>
            <w:vAlign w:val="center"/>
          </w:tcPr>
          <w:p w:rsidR="00212513" w:rsidRDefault="00212513">
            <w:pPr>
              <w:pStyle w:val="ConsPlusNormal"/>
              <w:jc w:val="center"/>
            </w:pPr>
            <w:r>
              <w:t>11,25 x 2</w:t>
            </w:r>
          </w:p>
        </w:tc>
      </w:tr>
      <w:tr w:rsidR="00212513">
        <w:tc>
          <w:tcPr>
            <w:tcW w:w="1814" w:type="dxa"/>
            <w:vMerge/>
          </w:tcPr>
          <w:p w:rsidR="00212513" w:rsidRDefault="00212513">
            <w:pPr>
              <w:pStyle w:val="ConsPlusNormal"/>
            </w:pPr>
          </w:p>
        </w:tc>
        <w:tc>
          <w:tcPr>
            <w:tcW w:w="2028" w:type="dxa"/>
            <w:vMerge/>
          </w:tcPr>
          <w:p w:rsidR="00212513" w:rsidRDefault="00212513">
            <w:pPr>
              <w:pStyle w:val="ConsPlusNormal"/>
            </w:pPr>
          </w:p>
        </w:tc>
        <w:tc>
          <w:tcPr>
            <w:tcW w:w="854" w:type="dxa"/>
            <w:vMerge/>
          </w:tcPr>
          <w:p w:rsidR="00212513" w:rsidRDefault="00212513">
            <w:pPr>
              <w:pStyle w:val="ConsPlusNormal"/>
            </w:pPr>
          </w:p>
        </w:tc>
        <w:tc>
          <w:tcPr>
            <w:tcW w:w="1077" w:type="dxa"/>
            <w:vMerge/>
          </w:tcPr>
          <w:p w:rsidR="00212513" w:rsidRDefault="00212513">
            <w:pPr>
              <w:pStyle w:val="ConsPlusNormal"/>
            </w:pPr>
          </w:p>
        </w:tc>
        <w:tc>
          <w:tcPr>
            <w:tcW w:w="2551" w:type="dxa"/>
            <w:vAlign w:val="center"/>
          </w:tcPr>
          <w:p w:rsidR="00212513" w:rsidRDefault="00212513">
            <w:pPr>
              <w:pStyle w:val="ConsPlusNormal"/>
              <w:jc w:val="center"/>
            </w:pPr>
            <w:r>
              <w:t>2(</w:t>
            </w:r>
            <w:r>
              <w:rPr>
                <w:i/>
              </w:rPr>
              <w:t>Г -</w:t>
            </w:r>
            <w:r>
              <w:t xml:space="preserve"> 14,75)</w:t>
            </w:r>
          </w:p>
        </w:tc>
        <w:tc>
          <w:tcPr>
            <w:tcW w:w="794" w:type="dxa"/>
            <w:vAlign w:val="center"/>
          </w:tcPr>
          <w:p w:rsidR="00212513" w:rsidRDefault="00212513">
            <w:pPr>
              <w:pStyle w:val="ConsPlusNormal"/>
              <w:jc w:val="center"/>
            </w:pPr>
            <w:r>
              <w:t xml:space="preserve">2,5 </w:t>
            </w:r>
            <w:hyperlink w:anchor="P12296">
              <w:r>
                <w:rPr>
                  <w:color w:val="0000FF"/>
                </w:rPr>
                <w:t>&lt;*4&gt;</w:t>
              </w:r>
            </w:hyperlink>
          </w:p>
        </w:tc>
        <w:tc>
          <w:tcPr>
            <w:tcW w:w="1157" w:type="dxa"/>
            <w:vMerge/>
          </w:tcPr>
          <w:p w:rsidR="00212513" w:rsidRDefault="00212513">
            <w:pPr>
              <w:pStyle w:val="ConsPlusNormal"/>
            </w:pPr>
          </w:p>
        </w:tc>
      </w:tr>
      <w:tr w:rsidR="00212513">
        <w:tc>
          <w:tcPr>
            <w:tcW w:w="1814" w:type="dxa"/>
            <w:vMerge/>
          </w:tcPr>
          <w:p w:rsidR="00212513" w:rsidRDefault="00212513">
            <w:pPr>
              <w:pStyle w:val="ConsPlusNormal"/>
            </w:pPr>
          </w:p>
        </w:tc>
        <w:tc>
          <w:tcPr>
            <w:tcW w:w="2028" w:type="dxa"/>
            <w:vMerge/>
          </w:tcPr>
          <w:p w:rsidR="00212513" w:rsidRDefault="00212513">
            <w:pPr>
              <w:pStyle w:val="ConsPlusNormal"/>
            </w:pPr>
          </w:p>
        </w:tc>
        <w:tc>
          <w:tcPr>
            <w:tcW w:w="854" w:type="dxa"/>
            <w:vMerge w:val="restart"/>
            <w:vAlign w:val="center"/>
          </w:tcPr>
          <w:p w:rsidR="00212513" w:rsidRDefault="00212513">
            <w:pPr>
              <w:pStyle w:val="ConsPlusNormal"/>
              <w:jc w:val="center"/>
            </w:pPr>
            <w:r>
              <w:t>4</w:t>
            </w:r>
          </w:p>
        </w:tc>
        <w:tc>
          <w:tcPr>
            <w:tcW w:w="1077" w:type="dxa"/>
            <w:vMerge/>
          </w:tcPr>
          <w:p w:rsidR="00212513" w:rsidRDefault="00212513">
            <w:pPr>
              <w:pStyle w:val="ConsPlusNormal"/>
            </w:pPr>
          </w:p>
        </w:tc>
        <w:tc>
          <w:tcPr>
            <w:tcW w:w="2551" w:type="dxa"/>
            <w:vAlign w:val="center"/>
          </w:tcPr>
          <w:p w:rsidR="00212513" w:rsidRDefault="00212513">
            <w:pPr>
              <w:pStyle w:val="ConsPlusNormal"/>
              <w:jc w:val="center"/>
            </w:pPr>
            <w:r>
              <w:rPr>
                <w:i/>
              </w:rPr>
              <w:t>Г -</w:t>
            </w:r>
            <w:r>
              <w:t xml:space="preserve"> (9,5 + </w:t>
            </w:r>
            <w:r>
              <w:rPr>
                <w:i/>
              </w:rPr>
              <w:t>С</w:t>
            </w:r>
            <w:r>
              <w:t xml:space="preserve"> + 9,5)</w:t>
            </w:r>
          </w:p>
        </w:tc>
        <w:tc>
          <w:tcPr>
            <w:tcW w:w="794" w:type="dxa"/>
            <w:vAlign w:val="center"/>
          </w:tcPr>
          <w:p w:rsidR="00212513" w:rsidRDefault="00212513">
            <w:pPr>
              <w:pStyle w:val="ConsPlusNormal"/>
              <w:jc w:val="center"/>
            </w:pPr>
            <w:r>
              <w:t>2,0</w:t>
            </w:r>
          </w:p>
        </w:tc>
        <w:tc>
          <w:tcPr>
            <w:tcW w:w="1157" w:type="dxa"/>
            <w:vMerge w:val="restart"/>
            <w:vAlign w:val="center"/>
          </w:tcPr>
          <w:p w:rsidR="00212513" w:rsidRDefault="00212513">
            <w:pPr>
              <w:pStyle w:val="ConsPlusNormal"/>
              <w:jc w:val="center"/>
            </w:pPr>
            <w:r>
              <w:t>7,5 x 2</w:t>
            </w:r>
          </w:p>
        </w:tc>
      </w:tr>
      <w:tr w:rsidR="00212513">
        <w:tc>
          <w:tcPr>
            <w:tcW w:w="1814" w:type="dxa"/>
            <w:vMerge/>
          </w:tcPr>
          <w:p w:rsidR="00212513" w:rsidRDefault="00212513">
            <w:pPr>
              <w:pStyle w:val="ConsPlusNormal"/>
            </w:pPr>
          </w:p>
        </w:tc>
        <w:tc>
          <w:tcPr>
            <w:tcW w:w="2028" w:type="dxa"/>
            <w:vMerge/>
          </w:tcPr>
          <w:p w:rsidR="00212513" w:rsidRDefault="00212513">
            <w:pPr>
              <w:pStyle w:val="ConsPlusNormal"/>
            </w:pPr>
          </w:p>
        </w:tc>
        <w:tc>
          <w:tcPr>
            <w:tcW w:w="854" w:type="dxa"/>
            <w:vMerge/>
          </w:tcPr>
          <w:p w:rsidR="00212513" w:rsidRDefault="00212513">
            <w:pPr>
              <w:pStyle w:val="ConsPlusNormal"/>
            </w:pPr>
          </w:p>
        </w:tc>
        <w:tc>
          <w:tcPr>
            <w:tcW w:w="1077" w:type="dxa"/>
            <w:vMerge/>
          </w:tcPr>
          <w:p w:rsidR="00212513" w:rsidRDefault="00212513">
            <w:pPr>
              <w:pStyle w:val="ConsPlusNormal"/>
            </w:pPr>
          </w:p>
        </w:tc>
        <w:tc>
          <w:tcPr>
            <w:tcW w:w="2551" w:type="dxa"/>
            <w:vAlign w:val="center"/>
          </w:tcPr>
          <w:p w:rsidR="00212513" w:rsidRDefault="00212513">
            <w:pPr>
              <w:pStyle w:val="ConsPlusNormal"/>
              <w:jc w:val="center"/>
            </w:pPr>
            <w:r>
              <w:t>2(</w:t>
            </w:r>
            <w:r>
              <w:rPr>
                <w:i/>
              </w:rPr>
              <w:t>Г -</w:t>
            </w:r>
            <w:r>
              <w:t xml:space="preserve"> 11,0)</w:t>
            </w:r>
          </w:p>
        </w:tc>
        <w:tc>
          <w:tcPr>
            <w:tcW w:w="794" w:type="dxa"/>
            <w:vAlign w:val="center"/>
          </w:tcPr>
          <w:p w:rsidR="00212513" w:rsidRDefault="00212513">
            <w:pPr>
              <w:pStyle w:val="ConsPlusNormal"/>
              <w:jc w:val="center"/>
            </w:pPr>
            <w:r>
              <w:t xml:space="preserve">2,5 </w:t>
            </w:r>
            <w:hyperlink w:anchor="P12296">
              <w:r>
                <w:rPr>
                  <w:color w:val="0000FF"/>
                </w:rPr>
                <w:t>&lt;*4&gt;</w:t>
              </w:r>
            </w:hyperlink>
          </w:p>
        </w:tc>
        <w:tc>
          <w:tcPr>
            <w:tcW w:w="1157" w:type="dxa"/>
            <w:vMerge/>
          </w:tcPr>
          <w:p w:rsidR="00212513" w:rsidRDefault="00212513">
            <w:pPr>
              <w:pStyle w:val="ConsPlusNormal"/>
            </w:pPr>
          </w:p>
        </w:tc>
      </w:tr>
      <w:tr w:rsidR="00212513">
        <w:tc>
          <w:tcPr>
            <w:tcW w:w="1814" w:type="dxa"/>
            <w:vMerge/>
          </w:tcPr>
          <w:p w:rsidR="00212513" w:rsidRDefault="00212513">
            <w:pPr>
              <w:pStyle w:val="ConsPlusNormal"/>
            </w:pPr>
          </w:p>
        </w:tc>
        <w:tc>
          <w:tcPr>
            <w:tcW w:w="2028" w:type="dxa"/>
            <w:vMerge w:val="restart"/>
            <w:vAlign w:val="center"/>
          </w:tcPr>
          <w:p w:rsidR="00212513" w:rsidRDefault="00212513">
            <w:pPr>
              <w:pStyle w:val="ConsPlusNormal"/>
              <w:jc w:val="center"/>
            </w:pPr>
            <w:r>
              <w:t>II</w:t>
            </w:r>
          </w:p>
        </w:tc>
        <w:tc>
          <w:tcPr>
            <w:tcW w:w="854" w:type="dxa"/>
            <w:vMerge w:val="restart"/>
            <w:vAlign w:val="center"/>
          </w:tcPr>
          <w:p w:rsidR="00212513" w:rsidRDefault="00212513">
            <w:pPr>
              <w:pStyle w:val="ConsPlusNormal"/>
              <w:jc w:val="center"/>
            </w:pPr>
            <w:r>
              <w:t>4</w:t>
            </w:r>
          </w:p>
        </w:tc>
        <w:tc>
          <w:tcPr>
            <w:tcW w:w="1077" w:type="dxa"/>
            <w:vMerge/>
          </w:tcPr>
          <w:p w:rsidR="00212513" w:rsidRDefault="00212513">
            <w:pPr>
              <w:pStyle w:val="ConsPlusNormal"/>
            </w:pPr>
          </w:p>
        </w:tc>
        <w:tc>
          <w:tcPr>
            <w:tcW w:w="2551" w:type="dxa"/>
            <w:vAlign w:val="center"/>
          </w:tcPr>
          <w:p w:rsidR="00212513" w:rsidRDefault="00212513">
            <w:pPr>
              <w:pStyle w:val="ConsPlusNormal"/>
              <w:jc w:val="center"/>
            </w:pPr>
            <w:r>
              <w:rPr>
                <w:i/>
              </w:rPr>
              <w:t>Г -</w:t>
            </w:r>
            <w:r>
              <w:t xml:space="preserve"> (9,0 + </w:t>
            </w:r>
            <w:r>
              <w:rPr>
                <w:i/>
              </w:rPr>
              <w:t>С</w:t>
            </w:r>
            <w:r>
              <w:t xml:space="preserve"> </w:t>
            </w:r>
            <w:hyperlink w:anchor="P12293">
              <w:r>
                <w:rPr>
                  <w:color w:val="0000FF"/>
                </w:rPr>
                <w:t>&lt;*&gt;</w:t>
              </w:r>
            </w:hyperlink>
            <w:r>
              <w:t xml:space="preserve"> + 9,0)</w:t>
            </w:r>
          </w:p>
        </w:tc>
        <w:tc>
          <w:tcPr>
            <w:tcW w:w="794" w:type="dxa"/>
            <w:vMerge w:val="restart"/>
            <w:vAlign w:val="center"/>
          </w:tcPr>
          <w:p w:rsidR="00212513" w:rsidRDefault="00212513">
            <w:pPr>
              <w:pStyle w:val="ConsPlusNormal"/>
              <w:jc w:val="center"/>
            </w:pPr>
            <w:r>
              <w:t>2,0</w:t>
            </w:r>
          </w:p>
        </w:tc>
        <w:tc>
          <w:tcPr>
            <w:tcW w:w="1157" w:type="dxa"/>
            <w:vMerge w:val="restart"/>
            <w:vAlign w:val="center"/>
          </w:tcPr>
          <w:p w:rsidR="00212513" w:rsidRDefault="00212513">
            <w:pPr>
              <w:pStyle w:val="ConsPlusNormal"/>
              <w:jc w:val="center"/>
            </w:pPr>
            <w:r>
              <w:t>7,0 x 2</w:t>
            </w:r>
          </w:p>
        </w:tc>
      </w:tr>
      <w:tr w:rsidR="00212513">
        <w:tc>
          <w:tcPr>
            <w:tcW w:w="1814" w:type="dxa"/>
            <w:vMerge/>
          </w:tcPr>
          <w:p w:rsidR="00212513" w:rsidRDefault="00212513">
            <w:pPr>
              <w:pStyle w:val="ConsPlusNormal"/>
            </w:pPr>
          </w:p>
        </w:tc>
        <w:tc>
          <w:tcPr>
            <w:tcW w:w="2028" w:type="dxa"/>
            <w:vMerge/>
          </w:tcPr>
          <w:p w:rsidR="00212513" w:rsidRDefault="00212513">
            <w:pPr>
              <w:pStyle w:val="ConsPlusNormal"/>
            </w:pPr>
          </w:p>
        </w:tc>
        <w:tc>
          <w:tcPr>
            <w:tcW w:w="854" w:type="dxa"/>
            <w:vMerge/>
          </w:tcPr>
          <w:p w:rsidR="00212513" w:rsidRDefault="00212513">
            <w:pPr>
              <w:pStyle w:val="ConsPlusNormal"/>
            </w:pPr>
          </w:p>
        </w:tc>
        <w:tc>
          <w:tcPr>
            <w:tcW w:w="1077" w:type="dxa"/>
            <w:vMerge/>
          </w:tcPr>
          <w:p w:rsidR="00212513" w:rsidRDefault="00212513">
            <w:pPr>
              <w:pStyle w:val="ConsPlusNormal"/>
            </w:pPr>
          </w:p>
        </w:tc>
        <w:tc>
          <w:tcPr>
            <w:tcW w:w="2551" w:type="dxa"/>
            <w:vAlign w:val="center"/>
          </w:tcPr>
          <w:p w:rsidR="00212513" w:rsidRDefault="00212513">
            <w:pPr>
              <w:pStyle w:val="ConsPlusNormal"/>
              <w:jc w:val="center"/>
            </w:pPr>
            <w:r>
              <w:t>2(</w:t>
            </w:r>
            <w:r>
              <w:rPr>
                <w:i/>
              </w:rPr>
              <w:t>Г -</w:t>
            </w:r>
            <w:r>
              <w:t xml:space="preserve"> 11,0)</w:t>
            </w:r>
          </w:p>
        </w:tc>
        <w:tc>
          <w:tcPr>
            <w:tcW w:w="794" w:type="dxa"/>
            <w:vMerge/>
          </w:tcPr>
          <w:p w:rsidR="00212513" w:rsidRDefault="00212513">
            <w:pPr>
              <w:pStyle w:val="ConsPlusNormal"/>
            </w:pPr>
          </w:p>
        </w:tc>
        <w:tc>
          <w:tcPr>
            <w:tcW w:w="1157" w:type="dxa"/>
            <w:vMerge/>
          </w:tcPr>
          <w:p w:rsidR="00212513" w:rsidRDefault="00212513">
            <w:pPr>
              <w:pStyle w:val="ConsPlusNormal"/>
            </w:pPr>
          </w:p>
        </w:tc>
      </w:tr>
      <w:tr w:rsidR="00212513">
        <w:tc>
          <w:tcPr>
            <w:tcW w:w="1814" w:type="dxa"/>
            <w:vMerge/>
          </w:tcPr>
          <w:p w:rsidR="00212513" w:rsidRDefault="00212513">
            <w:pPr>
              <w:pStyle w:val="ConsPlusNormal"/>
            </w:pPr>
          </w:p>
        </w:tc>
        <w:tc>
          <w:tcPr>
            <w:tcW w:w="2028" w:type="dxa"/>
            <w:vMerge/>
          </w:tcPr>
          <w:p w:rsidR="00212513" w:rsidRDefault="00212513">
            <w:pPr>
              <w:pStyle w:val="ConsPlusNormal"/>
            </w:pPr>
          </w:p>
        </w:tc>
        <w:tc>
          <w:tcPr>
            <w:tcW w:w="854" w:type="dxa"/>
            <w:vAlign w:val="center"/>
          </w:tcPr>
          <w:p w:rsidR="00212513" w:rsidRDefault="00212513">
            <w:pPr>
              <w:pStyle w:val="ConsPlusNormal"/>
              <w:jc w:val="center"/>
            </w:pPr>
            <w:r>
              <w:t>2</w:t>
            </w:r>
          </w:p>
        </w:tc>
        <w:tc>
          <w:tcPr>
            <w:tcW w:w="1077" w:type="dxa"/>
            <w:vMerge/>
          </w:tcPr>
          <w:p w:rsidR="00212513" w:rsidRDefault="00212513">
            <w:pPr>
              <w:pStyle w:val="ConsPlusNormal"/>
            </w:pPr>
          </w:p>
        </w:tc>
        <w:tc>
          <w:tcPr>
            <w:tcW w:w="2551" w:type="dxa"/>
            <w:vAlign w:val="center"/>
          </w:tcPr>
          <w:p w:rsidR="00212513" w:rsidRDefault="00212513">
            <w:pPr>
              <w:pStyle w:val="ConsPlusNormal"/>
              <w:jc w:val="center"/>
            </w:pPr>
            <w:r>
              <w:rPr>
                <w:i/>
              </w:rPr>
              <w:t>Г -</w:t>
            </w:r>
            <w:r>
              <w:t xml:space="preserve"> 11,5</w:t>
            </w:r>
          </w:p>
        </w:tc>
        <w:tc>
          <w:tcPr>
            <w:tcW w:w="794" w:type="dxa"/>
            <w:vMerge/>
          </w:tcPr>
          <w:p w:rsidR="00212513" w:rsidRDefault="00212513">
            <w:pPr>
              <w:pStyle w:val="ConsPlusNormal"/>
            </w:pPr>
          </w:p>
        </w:tc>
        <w:tc>
          <w:tcPr>
            <w:tcW w:w="1157" w:type="dxa"/>
            <w:vAlign w:val="center"/>
          </w:tcPr>
          <w:p w:rsidR="00212513" w:rsidRDefault="00212513">
            <w:pPr>
              <w:pStyle w:val="ConsPlusNormal"/>
              <w:jc w:val="center"/>
            </w:pPr>
            <w:r>
              <w:t>7,5</w:t>
            </w:r>
          </w:p>
        </w:tc>
      </w:tr>
      <w:tr w:rsidR="00212513">
        <w:tc>
          <w:tcPr>
            <w:tcW w:w="1814" w:type="dxa"/>
            <w:vMerge/>
          </w:tcPr>
          <w:p w:rsidR="00212513" w:rsidRDefault="00212513">
            <w:pPr>
              <w:pStyle w:val="ConsPlusNormal"/>
            </w:pPr>
          </w:p>
        </w:tc>
        <w:tc>
          <w:tcPr>
            <w:tcW w:w="2028" w:type="dxa"/>
            <w:tcBorders>
              <w:bottom w:val="nil"/>
            </w:tcBorders>
            <w:vAlign w:val="center"/>
          </w:tcPr>
          <w:p w:rsidR="00212513" w:rsidRDefault="00212513">
            <w:pPr>
              <w:pStyle w:val="ConsPlusNormal"/>
              <w:jc w:val="center"/>
            </w:pPr>
            <w:r>
              <w:t>III</w:t>
            </w:r>
          </w:p>
        </w:tc>
        <w:tc>
          <w:tcPr>
            <w:tcW w:w="854" w:type="dxa"/>
            <w:vMerge w:val="restart"/>
            <w:vAlign w:val="center"/>
          </w:tcPr>
          <w:p w:rsidR="00212513" w:rsidRDefault="00212513">
            <w:pPr>
              <w:pStyle w:val="ConsPlusNormal"/>
              <w:jc w:val="center"/>
            </w:pPr>
            <w:r>
              <w:t>2</w:t>
            </w:r>
          </w:p>
        </w:tc>
        <w:tc>
          <w:tcPr>
            <w:tcW w:w="1077" w:type="dxa"/>
            <w:vMerge/>
          </w:tcPr>
          <w:p w:rsidR="00212513" w:rsidRDefault="00212513">
            <w:pPr>
              <w:pStyle w:val="ConsPlusNormal"/>
            </w:pPr>
          </w:p>
        </w:tc>
        <w:tc>
          <w:tcPr>
            <w:tcW w:w="2551" w:type="dxa"/>
            <w:tcBorders>
              <w:bottom w:val="nil"/>
            </w:tcBorders>
            <w:vAlign w:val="center"/>
          </w:tcPr>
          <w:p w:rsidR="00212513" w:rsidRDefault="00212513">
            <w:pPr>
              <w:pStyle w:val="ConsPlusNormal"/>
              <w:jc w:val="center"/>
            </w:pPr>
            <w:r>
              <w:rPr>
                <w:i/>
              </w:rPr>
              <w:t>Г -</w:t>
            </w:r>
            <w:r>
              <w:t xml:space="preserve"> 10</w:t>
            </w:r>
          </w:p>
        </w:tc>
        <w:tc>
          <w:tcPr>
            <w:tcW w:w="794" w:type="dxa"/>
            <w:tcBorders>
              <w:bottom w:val="nil"/>
            </w:tcBorders>
            <w:vAlign w:val="center"/>
          </w:tcPr>
          <w:p w:rsidR="00212513" w:rsidRDefault="00212513">
            <w:pPr>
              <w:pStyle w:val="ConsPlusNormal"/>
              <w:jc w:val="center"/>
            </w:pPr>
            <w:r>
              <w:t>1,5</w:t>
            </w:r>
          </w:p>
        </w:tc>
        <w:tc>
          <w:tcPr>
            <w:tcW w:w="1157" w:type="dxa"/>
            <w:tcBorders>
              <w:bottom w:val="nil"/>
            </w:tcBorders>
            <w:vAlign w:val="center"/>
          </w:tcPr>
          <w:p w:rsidR="00212513" w:rsidRDefault="00212513">
            <w:pPr>
              <w:pStyle w:val="ConsPlusNormal"/>
              <w:jc w:val="center"/>
            </w:pPr>
            <w:r>
              <w:t>7,0</w:t>
            </w:r>
          </w:p>
        </w:tc>
      </w:tr>
      <w:tr w:rsidR="00212513">
        <w:tc>
          <w:tcPr>
            <w:tcW w:w="1814" w:type="dxa"/>
            <w:vMerge/>
          </w:tcPr>
          <w:p w:rsidR="00212513" w:rsidRDefault="00212513">
            <w:pPr>
              <w:pStyle w:val="ConsPlusNormal"/>
            </w:pPr>
          </w:p>
        </w:tc>
        <w:tc>
          <w:tcPr>
            <w:tcW w:w="2028" w:type="dxa"/>
            <w:tcBorders>
              <w:top w:val="nil"/>
            </w:tcBorders>
          </w:tcPr>
          <w:p w:rsidR="00212513" w:rsidRDefault="00212513">
            <w:pPr>
              <w:pStyle w:val="ConsPlusNormal"/>
              <w:jc w:val="center"/>
            </w:pPr>
            <w:r>
              <w:t>IV</w:t>
            </w:r>
          </w:p>
        </w:tc>
        <w:tc>
          <w:tcPr>
            <w:tcW w:w="854" w:type="dxa"/>
            <w:vMerge/>
          </w:tcPr>
          <w:p w:rsidR="00212513" w:rsidRDefault="00212513">
            <w:pPr>
              <w:pStyle w:val="ConsPlusNormal"/>
            </w:pPr>
          </w:p>
        </w:tc>
        <w:tc>
          <w:tcPr>
            <w:tcW w:w="1077" w:type="dxa"/>
            <w:vMerge/>
          </w:tcPr>
          <w:p w:rsidR="00212513" w:rsidRDefault="00212513">
            <w:pPr>
              <w:pStyle w:val="ConsPlusNormal"/>
            </w:pPr>
          </w:p>
        </w:tc>
        <w:tc>
          <w:tcPr>
            <w:tcW w:w="2551" w:type="dxa"/>
            <w:tcBorders>
              <w:top w:val="nil"/>
            </w:tcBorders>
          </w:tcPr>
          <w:p w:rsidR="00212513" w:rsidRDefault="00212513">
            <w:pPr>
              <w:pStyle w:val="ConsPlusNormal"/>
              <w:jc w:val="center"/>
            </w:pPr>
            <w:r>
              <w:rPr>
                <w:i/>
              </w:rPr>
              <w:t>Г -</w:t>
            </w:r>
            <w:r>
              <w:t xml:space="preserve"> 8 </w:t>
            </w:r>
            <w:hyperlink w:anchor="P12294">
              <w:r>
                <w:rPr>
                  <w:color w:val="0000FF"/>
                </w:rPr>
                <w:t>&lt;**&gt;</w:t>
              </w:r>
            </w:hyperlink>
          </w:p>
        </w:tc>
        <w:tc>
          <w:tcPr>
            <w:tcW w:w="794" w:type="dxa"/>
            <w:tcBorders>
              <w:top w:val="nil"/>
            </w:tcBorders>
          </w:tcPr>
          <w:p w:rsidR="00212513" w:rsidRDefault="00212513">
            <w:pPr>
              <w:pStyle w:val="ConsPlusNormal"/>
              <w:jc w:val="center"/>
            </w:pPr>
            <w:r>
              <w:t>1,0</w:t>
            </w:r>
          </w:p>
        </w:tc>
        <w:tc>
          <w:tcPr>
            <w:tcW w:w="1157" w:type="dxa"/>
            <w:tcBorders>
              <w:top w:val="nil"/>
            </w:tcBorders>
          </w:tcPr>
          <w:p w:rsidR="00212513" w:rsidRDefault="00212513">
            <w:pPr>
              <w:pStyle w:val="ConsPlusNormal"/>
              <w:jc w:val="center"/>
            </w:pPr>
            <w:r>
              <w:t>6,0</w:t>
            </w:r>
          </w:p>
        </w:tc>
      </w:tr>
      <w:tr w:rsidR="00212513">
        <w:tc>
          <w:tcPr>
            <w:tcW w:w="1814" w:type="dxa"/>
            <w:vMerge/>
          </w:tcPr>
          <w:p w:rsidR="00212513" w:rsidRDefault="00212513">
            <w:pPr>
              <w:pStyle w:val="ConsPlusNormal"/>
            </w:pPr>
          </w:p>
        </w:tc>
        <w:tc>
          <w:tcPr>
            <w:tcW w:w="2028" w:type="dxa"/>
            <w:vAlign w:val="center"/>
          </w:tcPr>
          <w:p w:rsidR="00212513" w:rsidRDefault="00212513">
            <w:pPr>
              <w:pStyle w:val="ConsPlusNormal"/>
              <w:jc w:val="center"/>
            </w:pPr>
            <w:r>
              <w:t>VА</w:t>
            </w:r>
          </w:p>
        </w:tc>
        <w:tc>
          <w:tcPr>
            <w:tcW w:w="854" w:type="dxa"/>
            <w:vMerge w:val="restart"/>
            <w:vAlign w:val="center"/>
          </w:tcPr>
          <w:p w:rsidR="00212513" w:rsidRDefault="00212513">
            <w:pPr>
              <w:pStyle w:val="ConsPlusNormal"/>
              <w:jc w:val="center"/>
            </w:pPr>
            <w:r>
              <w:t>1</w:t>
            </w:r>
          </w:p>
        </w:tc>
        <w:tc>
          <w:tcPr>
            <w:tcW w:w="1077" w:type="dxa"/>
            <w:vMerge/>
          </w:tcPr>
          <w:p w:rsidR="00212513" w:rsidRDefault="00212513">
            <w:pPr>
              <w:pStyle w:val="ConsPlusNormal"/>
            </w:pPr>
          </w:p>
        </w:tc>
        <w:tc>
          <w:tcPr>
            <w:tcW w:w="2551" w:type="dxa"/>
            <w:vAlign w:val="center"/>
          </w:tcPr>
          <w:p w:rsidR="00212513" w:rsidRDefault="00212513">
            <w:pPr>
              <w:pStyle w:val="ConsPlusNormal"/>
              <w:jc w:val="center"/>
            </w:pPr>
            <w:r>
              <w:rPr>
                <w:i/>
              </w:rPr>
              <w:t>Г -</w:t>
            </w:r>
            <w:r>
              <w:t xml:space="preserve"> 6,5 </w:t>
            </w:r>
            <w:hyperlink w:anchor="P12295">
              <w:r>
                <w:rPr>
                  <w:color w:val="0000FF"/>
                </w:rPr>
                <w:t>&lt;***&gt;</w:t>
              </w:r>
            </w:hyperlink>
          </w:p>
        </w:tc>
        <w:tc>
          <w:tcPr>
            <w:tcW w:w="794" w:type="dxa"/>
            <w:vAlign w:val="center"/>
          </w:tcPr>
          <w:p w:rsidR="00212513" w:rsidRDefault="00212513">
            <w:pPr>
              <w:pStyle w:val="ConsPlusNormal"/>
              <w:jc w:val="center"/>
            </w:pPr>
            <w:r>
              <w:t>1,0</w:t>
            </w:r>
          </w:p>
        </w:tc>
        <w:tc>
          <w:tcPr>
            <w:tcW w:w="1157" w:type="dxa"/>
            <w:vAlign w:val="center"/>
          </w:tcPr>
          <w:p w:rsidR="00212513" w:rsidRDefault="00212513">
            <w:pPr>
              <w:pStyle w:val="ConsPlusNormal"/>
              <w:jc w:val="center"/>
            </w:pPr>
            <w:r>
              <w:t>4,5</w:t>
            </w:r>
          </w:p>
        </w:tc>
      </w:tr>
      <w:tr w:rsidR="00212513">
        <w:tc>
          <w:tcPr>
            <w:tcW w:w="1814" w:type="dxa"/>
            <w:vMerge/>
          </w:tcPr>
          <w:p w:rsidR="00212513" w:rsidRDefault="00212513">
            <w:pPr>
              <w:pStyle w:val="ConsPlusNormal"/>
            </w:pPr>
          </w:p>
        </w:tc>
        <w:tc>
          <w:tcPr>
            <w:tcW w:w="2028" w:type="dxa"/>
            <w:vAlign w:val="center"/>
          </w:tcPr>
          <w:p w:rsidR="00212513" w:rsidRDefault="00212513">
            <w:pPr>
              <w:pStyle w:val="ConsPlusNormal"/>
              <w:jc w:val="center"/>
            </w:pPr>
            <w:r>
              <w:t>VБ</w:t>
            </w:r>
          </w:p>
        </w:tc>
        <w:tc>
          <w:tcPr>
            <w:tcW w:w="854" w:type="dxa"/>
            <w:vMerge/>
          </w:tcPr>
          <w:p w:rsidR="00212513" w:rsidRDefault="00212513">
            <w:pPr>
              <w:pStyle w:val="ConsPlusNormal"/>
            </w:pPr>
          </w:p>
        </w:tc>
        <w:tc>
          <w:tcPr>
            <w:tcW w:w="1077" w:type="dxa"/>
            <w:vMerge/>
          </w:tcPr>
          <w:p w:rsidR="00212513" w:rsidRDefault="00212513">
            <w:pPr>
              <w:pStyle w:val="ConsPlusNormal"/>
            </w:pPr>
          </w:p>
        </w:tc>
        <w:tc>
          <w:tcPr>
            <w:tcW w:w="2551" w:type="dxa"/>
            <w:vAlign w:val="center"/>
          </w:tcPr>
          <w:p w:rsidR="00212513" w:rsidRDefault="00212513">
            <w:pPr>
              <w:pStyle w:val="ConsPlusNormal"/>
              <w:jc w:val="center"/>
            </w:pPr>
            <w:r>
              <w:rPr>
                <w:i/>
              </w:rPr>
              <w:t>Г -</w:t>
            </w:r>
            <w:r>
              <w:t xml:space="preserve"> 5,5</w:t>
            </w:r>
          </w:p>
        </w:tc>
        <w:tc>
          <w:tcPr>
            <w:tcW w:w="794" w:type="dxa"/>
            <w:vAlign w:val="center"/>
          </w:tcPr>
          <w:p w:rsidR="00212513" w:rsidRDefault="00212513">
            <w:pPr>
              <w:pStyle w:val="ConsPlusNormal"/>
              <w:jc w:val="center"/>
            </w:pPr>
            <w:r>
              <w:t>0,5</w:t>
            </w:r>
          </w:p>
        </w:tc>
        <w:tc>
          <w:tcPr>
            <w:tcW w:w="1157" w:type="dxa"/>
            <w:vAlign w:val="center"/>
          </w:tcPr>
          <w:p w:rsidR="00212513" w:rsidRDefault="00212513">
            <w:pPr>
              <w:pStyle w:val="ConsPlusNormal"/>
              <w:jc w:val="center"/>
            </w:pPr>
            <w:r>
              <w:t>3,5</w:t>
            </w:r>
          </w:p>
        </w:tc>
      </w:tr>
      <w:tr w:rsidR="00212513">
        <w:tc>
          <w:tcPr>
            <w:tcW w:w="1814" w:type="dxa"/>
            <w:vMerge w:val="restart"/>
          </w:tcPr>
          <w:p w:rsidR="00212513" w:rsidRDefault="00212513">
            <w:pPr>
              <w:pStyle w:val="ConsPlusNormal"/>
            </w:pPr>
            <w:r>
              <w:t xml:space="preserve">Автомобильные </w:t>
            </w:r>
            <w:r>
              <w:lastRenderedPageBreak/>
              <w:t>внутрихозяйственные дороги в сельскохозяйственных предприятиях и организациях</w:t>
            </w:r>
          </w:p>
        </w:tc>
        <w:tc>
          <w:tcPr>
            <w:tcW w:w="2028" w:type="dxa"/>
            <w:vAlign w:val="center"/>
          </w:tcPr>
          <w:p w:rsidR="00212513" w:rsidRDefault="00212513">
            <w:pPr>
              <w:pStyle w:val="ConsPlusNormal"/>
              <w:jc w:val="center"/>
            </w:pPr>
            <w:r>
              <w:lastRenderedPageBreak/>
              <w:t>I-с</w:t>
            </w:r>
          </w:p>
        </w:tc>
        <w:tc>
          <w:tcPr>
            <w:tcW w:w="854" w:type="dxa"/>
            <w:vAlign w:val="center"/>
          </w:tcPr>
          <w:p w:rsidR="00212513" w:rsidRDefault="00212513">
            <w:pPr>
              <w:pStyle w:val="ConsPlusNormal"/>
              <w:jc w:val="center"/>
            </w:pPr>
            <w:r>
              <w:t>2</w:t>
            </w:r>
          </w:p>
        </w:tc>
        <w:tc>
          <w:tcPr>
            <w:tcW w:w="1077" w:type="dxa"/>
            <w:vMerge w:val="restart"/>
            <w:vAlign w:val="center"/>
          </w:tcPr>
          <w:p w:rsidR="00212513" w:rsidRDefault="00212513">
            <w:pPr>
              <w:pStyle w:val="ConsPlusNormal"/>
              <w:jc w:val="center"/>
            </w:pPr>
            <w:r>
              <w:t>2,5</w:t>
            </w:r>
          </w:p>
        </w:tc>
        <w:tc>
          <w:tcPr>
            <w:tcW w:w="2551" w:type="dxa"/>
            <w:vAlign w:val="center"/>
          </w:tcPr>
          <w:p w:rsidR="00212513" w:rsidRDefault="00212513">
            <w:pPr>
              <w:pStyle w:val="ConsPlusNormal"/>
              <w:jc w:val="center"/>
            </w:pPr>
            <w:r>
              <w:rPr>
                <w:i/>
              </w:rPr>
              <w:t>Г -</w:t>
            </w:r>
            <w:r>
              <w:t xml:space="preserve"> 8 </w:t>
            </w:r>
            <w:hyperlink w:anchor="P12294">
              <w:r>
                <w:rPr>
                  <w:color w:val="0000FF"/>
                </w:rPr>
                <w:t>&lt;**&gt;</w:t>
              </w:r>
            </w:hyperlink>
          </w:p>
        </w:tc>
        <w:tc>
          <w:tcPr>
            <w:tcW w:w="794" w:type="dxa"/>
            <w:vAlign w:val="center"/>
          </w:tcPr>
          <w:p w:rsidR="00212513" w:rsidRDefault="00212513">
            <w:pPr>
              <w:pStyle w:val="ConsPlusNormal"/>
              <w:jc w:val="center"/>
            </w:pPr>
            <w:r>
              <w:t>1,0</w:t>
            </w:r>
          </w:p>
        </w:tc>
        <w:tc>
          <w:tcPr>
            <w:tcW w:w="1157" w:type="dxa"/>
            <w:vAlign w:val="center"/>
          </w:tcPr>
          <w:p w:rsidR="00212513" w:rsidRDefault="00212513">
            <w:pPr>
              <w:pStyle w:val="ConsPlusNormal"/>
              <w:jc w:val="center"/>
            </w:pPr>
            <w:r>
              <w:t>6,0</w:t>
            </w:r>
          </w:p>
        </w:tc>
      </w:tr>
      <w:tr w:rsidR="00212513">
        <w:tc>
          <w:tcPr>
            <w:tcW w:w="1814" w:type="dxa"/>
            <w:vMerge/>
          </w:tcPr>
          <w:p w:rsidR="00212513" w:rsidRDefault="00212513">
            <w:pPr>
              <w:pStyle w:val="ConsPlusNormal"/>
            </w:pPr>
          </w:p>
        </w:tc>
        <w:tc>
          <w:tcPr>
            <w:tcW w:w="2028" w:type="dxa"/>
            <w:vMerge w:val="restart"/>
            <w:vAlign w:val="center"/>
          </w:tcPr>
          <w:p w:rsidR="00212513" w:rsidRDefault="00212513">
            <w:pPr>
              <w:pStyle w:val="ConsPlusNormal"/>
              <w:jc w:val="center"/>
            </w:pPr>
            <w:r>
              <w:t>II-с</w:t>
            </w:r>
          </w:p>
        </w:tc>
        <w:tc>
          <w:tcPr>
            <w:tcW w:w="854" w:type="dxa"/>
            <w:vMerge w:val="restart"/>
            <w:vAlign w:val="center"/>
          </w:tcPr>
          <w:p w:rsidR="00212513" w:rsidRDefault="00212513">
            <w:pPr>
              <w:pStyle w:val="ConsPlusNormal"/>
              <w:jc w:val="center"/>
            </w:pPr>
            <w:r>
              <w:t>1</w:t>
            </w:r>
          </w:p>
        </w:tc>
        <w:tc>
          <w:tcPr>
            <w:tcW w:w="1077" w:type="dxa"/>
            <w:vMerge/>
          </w:tcPr>
          <w:p w:rsidR="00212513" w:rsidRDefault="00212513">
            <w:pPr>
              <w:pStyle w:val="ConsPlusNormal"/>
            </w:pPr>
          </w:p>
        </w:tc>
        <w:tc>
          <w:tcPr>
            <w:tcW w:w="2551" w:type="dxa"/>
            <w:tcBorders>
              <w:bottom w:val="nil"/>
            </w:tcBorders>
            <w:vAlign w:val="center"/>
          </w:tcPr>
          <w:p w:rsidR="00212513" w:rsidRDefault="00212513">
            <w:pPr>
              <w:pStyle w:val="ConsPlusNormal"/>
              <w:jc w:val="center"/>
            </w:pPr>
            <w:r>
              <w:rPr>
                <w:i/>
              </w:rPr>
              <w:t>Г -</w:t>
            </w:r>
            <w:r>
              <w:t xml:space="preserve"> 6,5 </w:t>
            </w:r>
            <w:hyperlink w:anchor="P12295">
              <w:r>
                <w:rPr>
                  <w:color w:val="0000FF"/>
                </w:rPr>
                <w:t>&lt;***&gt;</w:t>
              </w:r>
            </w:hyperlink>
          </w:p>
        </w:tc>
        <w:tc>
          <w:tcPr>
            <w:tcW w:w="794" w:type="dxa"/>
            <w:tcBorders>
              <w:bottom w:val="nil"/>
            </w:tcBorders>
            <w:vAlign w:val="center"/>
          </w:tcPr>
          <w:p w:rsidR="00212513" w:rsidRDefault="00212513">
            <w:pPr>
              <w:pStyle w:val="ConsPlusNormal"/>
              <w:jc w:val="center"/>
            </w:pPr>
            <w:r>
              <w:t>1,0</w:t>
            </w:r>
          </w:p>
        </w:tc>
        <w:tc>
          <w:tcPr>
            <w:tcW w:w="1157" w:type="dxa"/>
            <w:tcBorders>
              <w:bottom w:val="nil"/>
            </w:tcBorders>
            <w:vAlign w:val="center"/>
          </w:tcPr>
          <w:p w:rsidR="00212513" w:rsidRDefault="00212513">
            <w:pPr>
              <w:pStyle w:val="ConsPlusNormal"/>
              <w:jc w:val="center"/>
            </w:pPr>
            <w:r>
              <w:t>4,5</w:t>
            </w:r>
          </w:p>
        </w:tc>
      </w:tr>
      <w:tr w:rsidR="00212513">
        <w:tc>
          <w:tcPr>
            <w:tcW w:w="1814" w:type="dxa"/>
            <w:vMerge/>
          </w:tcPr>
          <w:p w:rsidR="00212513" w:rsidRDefault="00212513">
            <w:pPr>
              <w:pStyle w:val="ConsPlusNormal"/>
            </w:pPr>
          </w:p>
        </w:tc>
        <w:tc>
          <w:tcPr>
            <w:tcW w:w="2028" w:type="dxa"/>
            <w:vMerge/>
          </w:tcPr>
          <w:p w:rsidR="00212513" w:rsidRDefault="00212513">
            <w:pPr>
              <w:pStyle w:val="ConsPlusNormal"/>
            </w:pPr>
          </w:p>
        </w:tc>
        <w:tc>
          <w:tcPr>
            <w:tcW w:w="854" w:type="dxa"/>
            <w:vMerge/>
          </w:tcPr>
          <w:p w:rsidR="00212513" w:rsidRDefault="00212513">
            <w:pPr>
              <w:pStyle w:val="ConsPlusNormal"/>
            </w:pPr>
          </w:p>
        </w:tc>
        <w:tc>
          <w:tcPr>
            <w:tcW w:w="1077" w:type="dxa"/>
            <w:vMerge/>
          </w:tcPr>
          <w:p w:rsidR="00212513" w:rsidRDefault="00212513">
            <w:pPr>
              <w:pStyle w:val="ConsPlusNormal"/>
            </w:pPr>
          </w:p>
        </w:tc>
        <w:tc>
          <w:tcPr>
            <w:tcW w:w="2551" w:type="dxa"/>
            <w:tcBorders>
              <w:top w:val="nil"/>
            </w:tcBorders>
          </w:tcPr>
          <w:p w:rsidR="00212513" w:rsidRDefault="00212513">
            <w:pPr>
              <w:pStyle w:val="ConsPlusNormal"/>
              <w:jc w:val="center"/>
            </w:pPr>
            <w:r>
              <w:rPr>
                <w:i/>
              </w:rPr>
              <w:t>Г -</w:t>
            </w:r>
            <w:r>
              <w:t xml:space="preserve"> 4,5</w:t>
            </w:r>
          </w:p>
        </w:tc>
        <w:tc>
          <w:tcPr>
            <w:tcW w:w="794" w:type="dxa"/>
            <w:tcBorders>
              <w:top w:val="nil"/>
            </w:tcBorders>
          </w:tcPr>
          <w:p w:rsidR="00212513" w:rsidRDefault="00212513">
            <w:pPr>
              <w:pStyle w:val="ConsPlusNormal"/>
              <w:jc w:val="center"/>
            </w:pPr>
            <w:r>
              <w:t>0,5</w:t>
            </w:r>
          </w:p>
        </w:tc>
        <w:tc>
          <w:tcPr>
            <w:tcW w:w="1157" w:type="dxa"/>
            <w:tcBorders>
              <w:top w:val="nil"/>
            </w:tcBorders>
          </w:tcPr>
          <w:p w:rsidR="00212513" w:rsidRDefault="00212513">
            <w:pPr>
              <w:pStyle w:val="ConsPlusNormal"/>
              <w:jc w:val="center"/>
            </w:pPr>
            <w:r>
              <w:t>3,5</w:t>
            </w:r>
          </w:p>
        </w:tc>
      </w:tr>
      <w:tr w:rsidR="00212513">
        <w:tc>
          <w:tcPr>
            <w:tcW w:w="1814" w:type="dxa"/>
            <w:vMerge/>
          </w:tcPr>
          <w:p w:rsidR="00212513" w:rsidRDefault="00212513">
            <w:pPr>
              <w:pStyle w:val="ConsPlusNormal"/>
            </w:pPr>
          </w:p>
        </w:tc>
        <w:tc>
          <w:tcPr>
            <w:tcW w:w="2028" w:type="dxa"/>
            <w:vAlign w:val="center"/>
          </w:tcPr>
          <w:p w:rsidR="00212513" w:rsidRDefault="00212513">
            <w:pPr>
              <w:pStyle w:val="ConsPlusNormal"/>
              <w:jc w:val="center"/>
            </w:pPr>
            <w:r>
              <w:t>III-с</w:t>
            </w:r>
          </w:p>
        </w:tc>
        <w:tc>
          <w:tcPr>
            <w:tcW w:w="854" w:type="dxa"/>
            <w:vAlign w:val="center"/>
          </w:tcPr>
          <w:p w:rsidR="00212513" w:rsidRDefault="00212513">
            <w:pPr>
              <w:pStyle w:val="ConsPlusNormal"/>
              <w:jc w:val="center"/>
            </w:pPr>
            <w:r>
              <w:t>1</w:t>
            </w:r>
          </w:p>
        </w:tc>
        <w:tc>
          <w:tcPr>
            <w:tcW w:w="1077" w:type="dxa"/>
            <w:vMerge/>
          </w:tcPr>
          <w:p w:rsidR="00212513" w:rsidRDefault="00212513">
            <w:pPr>
              <w:pStyle w:val="ConsPlusNormal"/>
            </w:pPr>
          </w:p>
        </w:tc>
        <w:tc>
          <w:tcPr>
            <w:tcW w:w="2551" w:type="dxa"/>
            <w:vAlign w:val="center"/>
          </w:tcPr>
          <w:p w:rsidR="00212513" w:rsidRDefault="00212513">
            <w:pPr>
              <w:pStyle w:val="ConsPlusNormal"/>
              <w:jc w:val="center"/>
            </w:pPr>
            <w:r>
              <w:rPr>
                <w:i/>
              </w:rPr>
              <w:t>Г -</w:t>
            </w:r>
            <w:r>
              <w:t xml:space="preserve"> 4,5</w:t>
            </w:r>
          </w:p>
        </w:tc>
        <w:tc>
          <w:tcPr>
            <w:tcW w:w="794" w:type="dxa"/>
            <w:vAlign w:val="center"/>
          </w:tcPr>
          <w:p w:rsidR="00212513" w:rsidRDefault="00212513">
            <w:pPr>
              <w:pStyle w:val="ConsPlusNormal"/>
              <w:jc w:val="center"/>
            </w:pPr>
            <w:r>
              <w:t>0,5</w:t>
            </w:r>
          </w:p>
        </w:tc>
        <w:tc>
          <w:tcPr>
            <w:tcW w:w="1157" w:type="dxa"/>
            <w:vAlign w:val="center"/>
          </w:tcPr>
          <w:p w:rsidR="00212513" w:rsidRDefault="00212513">
            <w:pPr>
              <w:pStyle w:val="ConsPlusNormal"/>
              <w:jc w:val="center"/>
            </w:pPr>
            <w:r>
              <w:t>3,5</w:t>
            </w:r>
          </w:p>
        </w:tc>
      </w:tr>
      <w:tr w:rsidR="00212513">
        <w:tc>
          <w:tcPr>
            <w:tcW w:w="1814" w:type="dxa"/>
            <w:vMerge w:val="restart"/>
          </w:tcPr>
          <w:p w:rsidR="00212513" w:rsidRDefault="00212513">
            <w:pPr>
              <w:pStyle w:val="ConsPlusNormal"/>
            </w:pPr>
            <w:r>
              <w:t>Улицы и дороги в городах, поселках и сельских населенных пунктах</w:t>
            </w:r>
          </w:p>
        </w:tc>
        <w:tc>
          <w:tcPr>
            <w:tcW w:w="2028" w:type="dxa"/>
            <w:vMerge w:val="restart"/>
          </w:tcPr>
          <w:p w:rsidR="00212513" w:rsidRDefault="00212513">
            <w:pPr>
              <w:pStyle w:val="ConsPlusNormal"/>
            </w:pPr>
            <w:r>
              <w:t>Магистральные дороги скоростного движения и улицы общегородского значения непрерывного движения</w:t>
            </w:r>
          </w:p>
        </w:tc>
        <w:tc>
          <w:tcPr>
            <w:tcW w:w="854" w:type="dxa"/>
            <w:vAlign w:val="center"/>
          </w:tcPr>
          <w:p w:rsidR="00212513" w:rsidRDefault="00212513">
            <w:pPr>
              <w:pStyle w:val="ConsPlusNormal"/>
              <w:jc w:val="center"/>
            </w:pPr>
            <w:r>
              <w:t>8</w:t>
            </w:r>
          </w:p>
        </w:tc>
        <w:tc>
          <w:tcPr>
            <w:tcW w:w="1077" w:type="dxa"/>
            <w:vMerge w:val="restart"/>
            <w:vAlign w:val="center"/>
          </w:tcPr>
          <w:p w:rsidR="00212513" w:rsidRDefault="00212513">
            <w:pPr>
              <w:pStyle w:val="ConsPlusNormal"/>
              <w:jc w:val="center"/>
            </w:pPr>
            <w:r>
              <w:t>2,5</w:t>
            </w:r>
          </w:p>
        </w:tc>
        <w:tc>
          <w:tcPr>
            <w:tcW w:w="2551" w:type="dxa"/>
            <w:vAlign w:val="center"/>
          </w:tcPr>
          <w:p w:rsidR="00212513" w:rsidRDefault="00212513">
            <w:pPr>
              <w:pStyle w:val="ConsPlusNormal"/>
              <w:jc w:val="center"/>
            </w:pPr>
            <w:r>
              <w:rPr>
                <w:i/>
              </w:rPr>
              <w:t>Г -</w:t>
            </w:r>
            <w:r>
              <w:t xml:space="preserve"> (16,5 + </w:t>
            </w:r>
            <w:r>
              <w:rPr>
                <w:i/>
              </w:rPr>
              <w:t>С</w:t>
            </w:r>
            <w:r>
              <w:t xml:space="preserve"> + 16,5)</w:t>
            </w:r>
          </w:p>
          <w:p w:rsidR="00212513" w:rsidRDefault="00212513">
            <w:pPr>
              <w:pStyle w:val="ConsPlusNormal"/>
              <w:jc w:val="center"/>
            </w:pPr>
            <w:r>
              <w:t>-------------------------</w:t>
            </w:r>
          </w:p>
          <w:p w:rsidR="00212513" w:rsidRDefault="00212513">
            <w:pPr>
              <w:pStyle w:val="ConsPlusNormal"/>
              <w:jc w:val="center"/>
            </w:pPr>
            <w:r>
              <w:t>2(</w:t>
            </w:r>
            <w:r>
              <w:rPr>
                <w:i/>
              </w:rPr>
              <w:t>Г -</w:t>
            </w:r>
            <w:r>
              <w:t xml:space="preserve"> 18)</w:t>
            </w:r>
          </w:p>
        </w:tc>
        <w:tc>
          <w:tcPr>
            <w:tcW w:w="794" w:type="dxa"/>
            <w:vMerge w:val="restart"/>
            <w:vAlign w:val="center"/>
          </w:tcPr>
          <w:p w:rsidR="00212513" w:rsidRDefault="00212513">
            <w:pPr>
              <w:pStyle w:val="ConsPlusNormal"/>
              <w:jc w:val="center"/>
            </w:pPr>
            <w:r>
              <w:t xml:space="preserve">1,5 </w:t>
            </w:r>
            <w:hyperlink w:anchor="P12297">
              <w:r>
                <w:rPr>
                  <w:color w:val="0000FF"/>
                </w:rPr>
                <w:t>&lt;*5&gt;</w:t>
              </w:r>
            </w:hyperlink>
          </w:p>
        </w:tc>
        <w:tc>
          <w:tcPr>
            <w:tcW w:w="1157" w:type="dxa"/>
            <w:vAlign w:val="center"/>
          </w:tcPr>
          <w:p w:rsidR="00212513" w:rsidRDefault="00212513">
            <w:pPr>
              <w:pStyle w:val="ConsPlusNormal"/>
              <w:jc w:val="center"/>
            </w:pPr>
            <w:r>
              <w:t>15 x 2</w:t>
            </w:r>
          </w:p>
        </w:tc>
      </w:tr>
      <w:tr w:rsidR="00212513">
        <w:tc>
          <w:tcPr>
            <w:tcW w:w="1814" w:type="dxa"/>
            <w:vMerge/>
          </w:tcPr>
          <w:p w:rsidR="00212513" w:rsidRDefault="00212513">
            <w:pPr>
              <w:pStyle w:val="ConsPlusNormal"/>
            </w:pPr>
          </w:p>
        </w:tc>
        <w:tc>
          <w:tcPr>
            <w:tcW w:w="2028" w:type="dxa"/>
            <w:vMerge/>
          </w:tcPr>
          <w:p w:rsidR="00212513" w:rsidRDefault="00212513">
            <w:pPr>
              <w:pStyle w:val="ConsPlusNormal"/>
            </w:pPr>
          </w:p>
        </w:tc>
        <w:tc>
          <w:tcPr>
            <w:tcW w:w="854" w:type="dxa"/>
            <w:vAlign w:val="center"/>
          </w:tcPr>
          <w:p w:rsidR="00212513" w:rsidRDefault="00212513">
            <w:pPr>
              <w:pStyle w:val="ConsPlusNormal"/>
              <w:jc w:val="center"/>
            </w:pPr>
            <w:r>
              <w:t>6</w:t>
            </w:r>
          </w:p>
        </w:tc>
        <w:tc>
          <w:tcPr>
            <w:tcW w:w="1077" w:type="dxa"/>
            <w:vMerge/>
          </w:tcPr>
          <w:p w:rsidR="00212513" w:rsidRDefault="00212513">
            <w:pPr>
              <w:pStyle w:val="ConsPlusNormal"/>
            </w:pPr>
          </w:p>
        </w:tc>
        <w:tc>
          <w:tcPr>
            <w:tcW w:w="2551" w:type="dxa"/>
            <w:vAlign w:val="center"/>
          </w:tcPr>
          <w:p w:rsidR="00212513" w:rsidRDefault="00212513">
            <w:pPr>
              <w:pStyle w:val="ConsPlusNormal"/>
              <w:jc w:val="center"/>
            </w:pPr>
            <w:r>
              <w:rPr>
                <w:i/>
              </w:rPr>
              <w:t>Г -</w:t>
            </w:r>
            <w:r>
              <w:t xml:space="preserve"> (12,75 + </w:t>
            </w:r>
            <w:r>
              <w:rPr>
                <w:i/>
              </w:rPr>
              <w:t>С</w:t>
            </w:r>
            <w:r>
              <w:t xml:space="preserve"> + 12,75)</w:t>
            </w:r>
          </w:p>
          <w:p w:rsidR="00212513" w:rsidRDefault="00212513">
            <w:pPr>
              <w:pStyle w:val="ConsPlusNormal"/>
              <w:jc w:val="center"/>
            </w:pPr>
            <w:r>
              <w:t>---------------------------</w:t>
            </w:r>
          </w:p>
          <w:p w:rsidR="00212513" w:rsidRDefault="00212513">
            <w:pPr>
              <w:pStyle w:val="ConsPlusNormal"/>
              <w:jc w:val="center"/>
            </w:pPr>
            <w:r>
              <w:t>2(</w:t>
            </w:r>
            <w:r>
              <w:rPr>
                <w:i/>
              </w:rPr>
              <w:t>Г -</w:t>
            </w:r>
            <w:r>
              <w:t xml:space="preserve"> 14,25)</w:t>
            </w:r>
          </w:p>
        </w:tc>
        <w:tc>
          <w:tcPr>
            <w:tcW w:w="794" w:type="dxa"/>
            <w:vMerge/>
          </w:tcPr>
          <w:p w:rsidR="00212513" w:rsidRDefault="00212513">
            <w:pPr>
              <w:pStyle w:val="ConsPlusNormal"/>
            </w:pPr>
          </w:p>
        </w:tc>
        <w:tc>
          <w:tcPr>
            <w:tcW w:w="1157" w:type="dxa"/>
            <w:vAlign w:val="center"/>
          </w:tcPr>
          <w:p w:rsidR="00212513" w:rsidRDefault="00212513">
            <w:pPr>
              <w:pStyle w:val="ConsPlusNormal"/>
              <w:jc w:val="center"/>
            </w:pPr>
            <w:r>
              <w:t>11,25 x 2</w:t>
            </w:r>
          </w:p>
        </w:tc>
      </w:tr>
      <w:tr w:rsidR="00212513">
        <w:tc>
          <w:tcPr>
            <w:tcW w:w="1814" w:type="dxa"/>
            <w:vMerge/>
          </w:tcPr>
          <w:p w:rsidR="00212513" w:rsidRDefault="00212513">
            <w:pPr>
              <w:pStyle w:val="ConsPlusNormal"/>
            </w:pPr>
          </w:p>
        </w:tc>
        <w:tc>
          <w:tcPr>
            <w:tcW w:w="2028" w:type="dxa"/>
            <w:vMerge/>
          </w:tcPr>
          <w:p w:rsidR="00212513" w:rsidRDefault="00212513">
            <w:pPr>
              <w:pStyle w:val="ConsPlusNormal"/>
            </w:pPr>
          </w:p>
        </w:tc>
        <w:tc>
          <w:tcPr>
            <w:tcW w:w="854" w:type="dxa"/>
            <w:vAlign w:val="center"/>
          </w:tcPr>
          <w:p w:rsidR="00212513" w:rsidRDefault="00212513">
            <w:pPr>
              <w:pStyle w:val="ConsPlusNormal"/>
              <w:jc w:val="center"/>
            </w:pPr>
            <w:r>
              <w:t>4</w:t>
            </w:r>
          </w:p>
        </w:tc>
        <w:tc>
          <w:tcPr>
            <w:tcW w:w="1077" w:type="dxa"/>
            <w:vMerge/>
          </w:tcPr>
          <w:p w:rsidR="00212513" w:rsidRDefault="00212513">
            <w:pPr>
              <w:pStyle w:val="ConsPlusNormal"/>
            </w:pPr>
          </w:p>
        </w:tc>
        <w:tc>
          <w:tcPr>
            <w:tcW w:w="2551" w:type="dxa"/>
            <w:vAlign w:val="center"/>
          </w:tcPr>
          <w:p w:rsidR="00212513" w:rsidRDefault="00212513">
            <w:pPr>
              <w:pStyle w:val="ConsPlusNormal"/>
              <w:jc w:val="center"/>
            </w:pPr>
            <w:r>
              <w:rPr>
                <w:i/>
              </w:rPr>
              <w:t>Г -</w:t>
            </w:r>
            <w:r>
              <w:t xml:space="preserve"> (9,0 + </w:t>
            </w:r>
            <w:r>
              <w:rPr>
                <w:i/>
              </w:rPr>
              <w:t>С</w:t>
            </w:r>
            <w:r>
              <w:t xml:space="preserve"> + 9,0)</w:t>
            </w:r>
          </w:p>
          <w:p w:rsidR="00212513" w:rsidRDefault="00212513">
            <w:pPr>
              <w:pStyle w:val="ConsPlusNormal"/>
              <w:jc w:val="center"/>
            </w:pPr>
            <w:r>
              <w:t>----------------------</w:t>
            </w:r>
          </w:p>
          <w:p w:rsidR="00212513" w:rsidRDefault="00212513">
            <w:pPr>
              <w:pStyle w:val="ConsPlusNormal"/>
              <w:jc w:val="center"/>
            </w:pPr>
            <w:r>
              <w:t>2(</w:t>
            </w:r>
            <w:r>
              <w:rPr>
                <w:i/>
              </w:rPr>
              <w:t>Г -</w:t>
            </w:r>
            <w:r>
              <w:t xml:space="preserve"> 10,5)</w:t>
            </w:r>
          </w:p>
        </w:tc>
        <w:tc>
          <w:tcPr>
            <w:tcW w:w="794" w:type="dxa"/>
            <w:vMerge/>
          </w:tcPr>
          <w:p w:rsidR="00212513" w:rsidRDefault="00212513">
            <w:pPr>
              <w:pStyle w:val="ConsPlusNormal"/>
            </w:pPr>
          </w:p>
        </w:tc>
        <w:tc>
          <w:tcPr>
            <w:tcW w:w="1157" w:type="dxa"/>
            <w:vAlign w:val="center"/>
          </w:tcPr>
          <w:p w:rsidR="00212513" w:rsidRDefault="00212513">
            <w:pPr>
              <w:pStyle w:val="ConsPlusNormal"/>
              <w:jc w:val="center"/>
            </w:pPr>
            <w:r>
              <w:t>7,5 x 2</w:t>
            </w:r>
          </w:p>
        </w:tc>
      </w:tr>
      <w:tr w:rsidR="00212513">
        <w:tc>
          <w:tcPr>
            <w:tcW w:w="1814" w:type="dxa"/>
            <w:vMerge/>
          </w:tcPr>
          <w:p w:rsidR="00212513" w:rsidRDefault="00212513">
            <w:pPr>
              <w:pStyle w:val="ConsPlusNormal"/>
            </w:pPr>
          </w:p>
        </w:tc>
        <w:tc>
          <w:tcPr>
            <w:tcW w:w="2028" w:type="dxa"/>
            <w:vMerge w:val="restart"/>
          </w:tcPr>
          <w:p w:rsidR="00212513" w:rsidRDefault="00212513">
            <w:pPr>
              <w:pStyle w:val="ConsPlusNormal"/>
            </w:pPr>
            <w:r>
              <w:t>Магистральные дороги и улицы общегородского значения регулируемого движения</w:t>
            </w:r>
          </w:p>
        </w:tc>
        <w:tc>
          <w:tcPr>
            <w:tcW w:w="854" w:type="dxa"/>
            <w:vAlign w:val="center"/>
          </w:tcPr>
          <w:p w:rsidR="00212513" w:rsidRDefault="00212513">
            <w:pPr>
              <w:pStyle w:val="ConsPlusNormal"/>
              <w:jc w:val="center"/>
            </w:pPr>
            <w:r>
              <w:t>8</w:t>
            </w:r>
          </w:p>
        </w:tc>
        <w:tc>
          <w:tcPr>
            <w:tcW w:w="1077" w:type="dxa"/>
            <w:vMerge w:val="restart"/>
            <w:vAlign w:val="center"/>
          </w:tcPr>
          <w:p w:rsidR="00212513" w:rsidRDefault="00212513">
            <w:pPr>
              <w:pStyle w:val="ConsPlusNormal"/>
              <w:jc w:val="center"/>
            </w:pPr>
            <w:r>
              <w:t>2,5</w:t>
            </w:r>
          </w:p>
        </w:tc>
        <w:tc>
          <w:tcPr>
            <w:tcW w:w="2551" w:type="dxa"/>
            <w:vAlign w:val="bottom"/>
          </w:tcPr>
          <w:p w:rsidR="00212513" w:rsidRDefault="00212513">
            <w:pPr>
              <w:pStyle w:val="ConsPlusNormal"/>
              <w:jc w:val="center"/>
            </w:pPr>
            <w:r>
              <w:rPr>
                <w:i/>
              </w:rPr>
              <w:t>Г -</w:t>
            </w:r>
            <w:r>
              <w:t xml:space="preserve"> (15,0 + </w:t>
            </w:r>
            <w:r>
              <w:rPr>
                <w:i/>
              </w:rPr>
              <w:t>С</w:t>
            </w:r>
            <w:r>
              <w:t xml:space="preserve"> + 15,0)</w:t>
            </w:r>
          </w:p>
          <w:p w:rsidR="00212513" w:rsidRDefault="00212513">
            <w:pPr>
              <w:pStyle w:val="ConsPlusNormal"/>
              <w:jc w:val="center"/>
            </w:pPr>
            <w:r>
              <w:t>-------------------------</w:t>
            </w:r>
          </w:p>
          <w:p w:rsidR="00212513" w:rsidRDefault="00212513">
            <w:pPr>
              <w:pStyle w:val="ConsPlusNormal"/>
              <w:jc w:val="center"/>
            </w:pPr>
            <w:r>
              <w:t>2(</w:t>
            </w:r>
            <w:r>
              <w:rPr>
                <w:i/>
              </w:rPr>
              <w:t>Г -</w:t>
            </w:r>
            <w:r>
              <w:t xml:space="preserve"> 16)</w:t>
            </w:r>
          </w:p>
        </w:tc>
        <w:tc>
          <w:tcPr>
            <w:tcW w:w="794" w:type="dxa"/>
            <w:vMerge w:val="restart"/>
            <w:vAlign w:val="center"/>
          </w:tcPr>
          <w:p w:rsidR="00212513" w:rsidRDefault="00212513">
            <w:pPr>
              <w:pStyle w:val="ConsPlusNormal"/>
              <w:jc w:val="center"/>
            </w:pPr>
            <w:r>
              <w:t xml:space="preserve">1,0 </w:t>
            </w:r>
            <w:hyperlink w:anchor="P12297">
              <w:r>
                <w:rPr>
                  <w:color w:val="0000FF"/>
                </w:rPr>
                <w:t>&lt;*5&gt;</w:t>
              </w:r>
            </w:hyperlink>
          </w:p>
        </w:tc>
        <w:tc>
          <w:tcPr>
            <w:tcW w:w="1157" w:type="dxa"/>
            <w:vAlign w:val="center"/>
          </w:tcPr>
          <w:p w:rsidR="00212513" w:rsidRDefault="00212513">
            <w:pPr>
              <w:pStyle w:val="ConsPlusNormal"/>
              <w:jc w:val="center"/>
            </w:pPr>
            <w:r>
              <w:t>14 x 2</w:t>
            </w:r>
          </w:p>
        </w:tc>
      </w:tr>
      <w:tr w:rsidR="00212513">
        <w:tc>
          <w:tcPr>
            <w:tcW w:w="1814" w:type="dxa"/>
            <w:vMerge/>
          </w:tcPr>
          <w:p w:rsidR="00212513" w:rsidRDefault="00212513">
            <w:pPr>
              <w:pStyle w:val="ConsPlusNormal"/>
            </w:pPr>
          </w:p>
        </w:tc>
        <w:tc>
          <w:tcPr>
            <w:tcW w:w="2028" w:type="dxa"/>
            <w:vMerge/>
          </w:tcPr>
          <w:p w:rsidR="00212513" w:rsidRDefault="00212513">
            <w:pPr>
              <w:pStyle w:val="ConsPlusNormal"/>
            </w:pPr>
          </w:p>
        </w:tc>
        <w:tc>
          <w:tcPr>
            <w:tcW w:w="854" w:type="dxa"/>
            <w:vAlign w:val="center"/>
          </w:tcPr>
          <w:p w:rsidR="00212513" w:rsidRDefault="00212513">
            <w:pPr>
              <w:pStyle w:val="ConsPlusNormal"/>
              <w:jc w:val="center"/>
            </w:pPr>
            <w:r>
              <w:t>6</w:t>
            </w:r>
          </w:p>
        </w:tc>
        <w:tc>
          <w:tcPr>
            <w:tcW w:w="1077" w:type="dxa"/>
            <w:vMerge/>
          </w:tcPr>
          <w:p w:rsidR="00212513" w:rsidRDefault="00212513">
            <w:pPr>
              <w:pStyle w:val="ConsPlusNormal"/>
            </w:pPr>
          </w:p>
        </w:tc>
        <w:tc>
          <w:tcPr>
            <w:tcW w:w="2551" w:type="dxa"/>
            <w:vAlign w:val="bottom"/>
          </w:tcPr>
          <w:p w:rsidR="00212513" w:rsidRDefault="00212513">
            <w:pPr>
              <w:pStyle w:val="ConsPlusNormal"/>
              <w:jc w:val="center"/>
            </w:pPr>
            <w:r>
              <w:rPr>
                <w:i/>
              </w:rPr>
              <w:t>Г -</w:t>
            </w:r>
            <w:r>
              <w:t xml:space="preserve"> (11,5 + </w:t>
            </w:r>
            <w:r>
              <w:rPr>
                <w:i/>
              </w:rPr>
              <w:t>С</w:t>
            </w:r>
            <w:r>
              <w:t xml:space="preserve"> + 11,5)</w:t>
            </w:r>
          </w:p>
          <w:p w:rsidR="00212513" w:rsidRDefault="00212513">
            <w:pPr>
              <w:pStyle w:val="ConsPlusNormal"/>
              <w:jc w:val="center"/>
            </w:pPr>
            <w:r>
              <w:t>-------------------------</w:t>
            </w:r>
          </w:p>
          <w:p w:rsidR="00212513" w:rsidRDefault="00212513">
            <w:pPr>
              <w:pStyle w:val="ConsPlusNormal"/>
              <w:jc w:val="center"/>
            </w:pPr>
            <w:r>
              <w:t>2(</w:t>
            </w:r>
            <w:r>
              <w:rPr>
                <w:i/>
              </w:rPr>
              <w:t>Г -</w:t>
            </w:r>
            <w:r>
              <w:t xml:space="preserve"> 12,5)</w:t>
            </w:r>
          </w:p>
        </w:tc>
        <w:tc>
          <w:tcPr>
            <w:tcW w:w="794" w:type="dxa"/>
            <w:vMerge/>
          </w:tcPr>
          <w:p w:rsidR="00212513" w:rsidRDefault="00212513">
            <w:pPr>
              <w:pStyle w:val="ConsPlusNormal"/>
            </w:pPr>
          </w:p>
        </w:tc>
        <w:tc>
          <w:tcPr>
            <w:tcW w:w="1157" w:type="dxa"/>
            <w:vAlign w:val="center"/>
          </w:tcPr>
          <w:p w:rsidR="00212513" w:rsidRDefault="00212513">
            <w:pPr>
              <w:pStyle w:val="ConsPlusNormal"/>
              <w:jc w:val="center"/>
            </w:pPr>
            <w:r>
              <w:t>10,5 x 2</w:t>
            </w:r>
          </w:p>
        </w:tc>
      </w:tr>
      <w:tr w:rsidR="00212513">
        <w:tc>
          <w:tcPr>
            <w:tcW w:w="1814" w:type="dxa"/>
            <w:vMerge/>
          </w:tcPr>
          <w:p w:rsidR="00212513" w:rsidRDefault="00212513">
            <w:pPr>
              <w:pStyle w:val="ConsPlusNormal"/>
            </w:pPr>
          </w:p>
        </w:tc>
        <w:tc>
          <w:tcPr>
            <w:tcW w:w="2028" w:type="dxa"/>
            <w:vMerge/>
          </w:tcPr>
          <w:p w:rsidR="00212513" w:rsidRDefault="00212513">
            <w:pPr>
              <w:pStyle w:val="ConsPlusNormal"/>
            </w:pPr>
          </w:p>
        </w:tc>
        <w:tc>
          <w:tcPr>
            <w:tcW w:w="854" w:type="dxa"/>
            <w:vAlign w:val="center"/>
          </w:tcPr>
          <w:p w:rsidR="00212513" w:rsidRDefault="00212513">
            <w:pPr>
              <w:pStyle w:val="ConsPlusNormal"/>
              <w:jc w:val="center"/>
            </w:pPr>
            <w:r>
              <w:t>4</w:t>
            </w:r>
          </w:p>
        </w:tc>
        <w:tc>
          <w:tcPr>
            <w:tcW w:w="1077" w:type="dxa"/>
            <w:vMerge/>
          </w:tcPr>
          <w:p w:rsidR="00212513" w:rsidRDefault="00212513">
            <w:pPr>
              <w:pStyle w:val="ConsPlusNormal"/>
            </w:pPr>
          </w:p>
        </w:tc>
        <w:tc>
          <w:tcPr>
            <w:tcW w:w="2551" w:type="dxa"/>
            <w:vAlign w:val="bottom"/>
          </w:tcPr>
          <w:p w:rsidR="00212513" w:rsidRDefault="00212513">
            <w:pPr>
              <w:pStyle w:val="ConsPlusNormal"/>
              <w:jc w:val="center"/>
            </w:pPr>
            <w:r>
              <w:rPr>
                <w:i/>
              </w:rPr>
              <w:t>Г -</w:t>
            </w:r>
            <w:r>
              <w:t xml:space="preserve"> (8,0 + </w:t>
            </w:r>
            <w:r>
              <w:rPr>
                <w:i/>
              </w:rPr>
              <w:t>С</w:t>
            </w:r>
            <w:r>
              <w:t xml:space="preserve"> + 8,0)</w:t>
            </w:r>
          </w:p>
          <w:p w:rsidR="00212513" w:rsidRDefault="00212513">
            <w:pPr>
              <w:pStyle w:val="ConsPlusNormal"/>
              <w:jc w:val="center"/>
            </w:pPr>
            <w:r>
              <w:t>---------------------</w:t>
            </w:r>
          </w:p>
          <w:p w:rsidR="00212513" w:rsidRDefault="00212513">
            <w:pPr>
              <w:pStyle w:val="ConsPlusNormal"/>
              <w:jc w:val="center"/>
            </w:pPr>
            <w:r>
              <w:t>2(</w:t>
            </w:r>
            <w:r>
              <w:rPr>
                <w:i/>
              </w:rPr>
              <w:t>Г -</w:t>
            </w:r>
            <w:r>
              <w:t xml:space="preserve"> 9)</w:t>
            </w:r>
          </w:p>
        </w:tc>
        <w:tc>
          <w:tcPr>
            <w:tcW w:w="794" w:type="dxa"/>
            <w:vMerge/>
          </w:tcPr>
          <w:p w:rsidR="00212513" w:rsidRDefault="00212513">
            <w:pPr>
              <w:pStyle w:val="ConsPlusNormal"/>
            </w:pPr>
          </w:p>
        </w:tc>
        <w:tc>
          <w:tcPr>
            <w:tcW w:w="1157" w:type="dxa"/>
            <w:vAlign w:val="center"/>
          </w:tcPr>
          <w:p w:rsidR="00212513" w:rsidRDefault="00212513">
            <w:pPr>
              <w:pStyle w:val="ConsPlusNormal"/>
              <w:jc w:val="center"/>
            </w:pPr>
            <w:r>
              <w:t>7 x 2</w:t>
            </w:r>
          </w:p>
        </w:tc>
      </w:tr>
      <w:tr w:rsidR="00212513">
        <w:tc>
          <w:tcPr>
            <w:tcW w:w="1814" w:type="dxa"/>
            <w:vMerge/>
          </w:tcPr>
          <w:p w:rsidR="00212513" w:rsidRDefault="00212513">
            <w:pPr>
              <w:pStyle w:val="ConsPlusNormal"/>
            </w:pPr>
          </w:p>
        </w:tc>
        <w:tc>
          <w:tcPr>
            <w:tcW w:w="2028" w:type="dxa"/>
            <w:vMerge/>
          </w:tcPr>
          <w:p w:rsidR="00212513" w:rsidRDefault="00212513">
            <w:pPr>
              <w:pStyle w:val="ConsPlusNormal"/>
            </w:pPr>
          </w:p>
        </w:tc>
        <w:tc>
          <w:tcPr>
            <w:tcW w:w="854" w:type="dxa"/>
          </w:tcPr>
          <w:p w:rsidR="00212513" w:rsidRDefault="00212513">
            <w:pPr>
              <w:pStyle w:val="ConsPlusNormal"/>
              <w:jc w:val="center"/>
            </w:pPr>
            <w:r>
              <w:t>2</w:t>
            </w:r>
          </w:p>
        </w:tc>
        <w:tc>
          <w:tcPr>
            <w:tcW w:w="1077" w:type="dxa"/>
            <w:vMerge/>
          </w:tcPr>
          <w:p w:rsidR="00212513" w:rsidRDefault="00212513">
            <w:pPr>
              <w:pStyle w:val="ConsPlusNormal"/>
            </w:pPr>
          </w:p>
        </w:tc>
        <w:tc>
          <w:tcPr>
            <w:tcW w:w="2551" w:type="dxa"/>
          </w:tcPr>
          <w:p w:rsidR="00212513" w:rsidRDefault="00212513">
            <w:pPr>
              <w:pStyle w:val="ConsPlusNormal"/>
              <w:jc w:val="center"/>
            </w:pPr>
            <w:r>
              <w:rPr>
                <w:i/>
              </w:rPr>
              <w:t>Г -</w:t>
            </w:r>
            <w:r>
              <w:t xml:space="preserve"> 9</w:t>
            </w:r>
          </w:p>
        </w:tc>
        <w:tc>
          <w:tcPr>
            <w:tcW w:w="794" w:type="dxa"/>
            <w:vMerge/>
          </w:tcPr>
          <w:p w:rsidR="00212513" w:rsidRDefault="00212513">
            <w:pPr>
              <w:pStyle w:val="ConsPlusNormal"/>
            </w:pPr>
          </w:p>
        </w:tc>
        <w:tc>
          <w:tcPr>
            <w:tcW w:w="1157" w:type="dxa"/>
          </w:tcPr>
          <w:p w:rsidR="00212513" w:rsidRDefault="00212513">
            <w:pPr>
              <w:pStyle w:val="ConsPlusNormal"/>
              <w:jc w:val="center"/>
            </w:pPr>
            <w:r>
              <w:t>7</w:t>
            </w:r>
          </w:p>
        </w:tc>
      </w:tr>
      <w:tr w:rsidR="00212513">
        <w:tc>
          <w:tcPr>
            <w:tcW w:w="1814" w:type="dxa"/>
            <w:vMerge w:val="restart"/>
          </w:tcPr>
          <w:p w:rsidR="00212513" w:rsidRDefault="00212513">
            <w:pPr>
              <w:pStyle w:val="ConsPlusNormal"/>
            </w:pPr>
            <w:r>
              <w:t xml:space="preserve">Улицы и дороги в </w:t>
            </w:r>
            <w:r>
              <w:lastRenderedPageBreak/>
              <w:t>городах, поселках и сельских населенных пунктах</w:t>
            </w:r>
          </w:p>
        </w:tc>
        <w:tc>
          <w:tcPr>
            <w:tcW w:w="2028" w:type="dxa"/>
            <w:vMerge w:val="restart"/>
          </w:tcPr>
          <w:p w:rsidR="00212513" w:rsidRDefault="00212513">
            <w:pPr>
              <w:pStyle w:val="ConsPlusNormal"/>
            </w:pPr>
            <w:r>
              <w:lastRenderedPageBreak/>
              <w:t xml:space="preserve">Магистральные </w:t>
            </w:r>
            <w:r>
              <w:lastRenderedPageBreak/>
              <w:t>транспортно-пешеходные улицы районного значения, улицы и дороги научно-производственных, промышленных и коммунально-складских районов, поселковые дороги и главные улицы</w:t>
            </w:r>
          </w:p>
        </w:tc>
        <w:tc>
          <w:tcPr>
            <w:tcW w:w="854" w:type="dxa"/>
            <w:vMerge w:val="restart"/>
            <w:vAlign w:val="center"/>
          </w:tcPr>
          <w:p w:rsidR="00212513" w:rsidRDefault="00212513">
            <w:pPr>
              <w:pStyle w:val="ConsPlusNormal"/>
              <w:jc w:val="center"/>
            </w:pPr>
            <w:r>
              <w:lastRenderedPageBreak/>
              <w:t>4</w:t>
            </w:r>
          </w:p>
        </w:tc>
        <w:tc>
          <w:tcPr>
            <w:tcW w:w="1077" w:type="dxa"/>
            <w:vMerge w:val="restart"/>
            <w:vAlign w:val="center"/>
          </w:tcPr>
          <w:p w:rsidR="00212513" w:rsidRDefault="00212513">
            <w:pPr>
              <w:pStyle w:val="ConsPlusNormal"/>
              <w:jc w:val="center"/>
            </w:pPr>
            <w:r>
              <w:t>2,5</w:t>
            </w:r>
          </w:p>
        </w:tc>
        <w:tc>
          <w:tcPr>
            <w:tcW w:w="2551" w:type="dxa"/>
            <w:tcBorders>
              <w:bottom w:val="nil"/>
            </w:tcBorders>
            <w:vAlign w:val="center"/>
          </w:tcPr>
          <w:p w:rsidR="00212513" w:rsidRDefault="00212513">
            <w:pPr>
              <w:pStyle w:val="ConsPlusNormal"/>
              <w:jc w:val="center"/>
            </w:pPr>
            <w:r>
              <w:rPr>
                <w:i/>
              </w:rPr>
              <w:t>Г -</w:t>
            </w:r>
            <w:r>
              <w:t xml:space="preserve"> 16</w:t>
            </w:r>
          </w:p>
        </w:tc>
        <w:tc>
          <w:tcPr>
            <w:tcW w:w="794" w:type="dxa"/>
            <w:vMerge w:val="restart"/>
            <w:vAlign w:val="center"/>
          </w:tcPr>
          <w:p w:rsidR="00212513" w:rsidRDefault="00212513">
            <w:pPr>
              <w:pStyle w:val="ConsPlusNormal"/>
              <w:jc w:val="center"/>
            </w:pPr>
            <w:r>
              <w:t xml:space="preserve">1,0 </w:t>
            </w:r>
            <w:hyperlink w:anchor="P12297">
              <w:r>
                <w:rPr>
                  <w:color w:val="0000FF"/>
                </w:rPr>
                <w:t>&lt;*5&gt;</w:t>
              </w:r>
            </w:hyperlink>
          </w:p>
        </w:tc>
        <w:tc>
          <w:tcPr>
            <w:tcW w:w="1157" w:type="dxa"/>
            <w:tcBorders>
              <w:bottom w:val="nil"/>
            </w:tcBorders>
            <w:vAlign w:val="center"/>
          </w:tcPr>
          <w:p w:rsidR="00212513" w:rsidRDefault="00212513">
            <w:pPr>
              <w:pStyle w:val="ConsPlusNormal"/>
              <w:jc w:val="center"/>
            </w:pPr>
            <w:r>
              <w:lastRenderedPageBreak/>
              <w:t>14</w:t>
            </w:r>
          </w:p>
        </w:tc>
      </w:tr>
      <w:tr w:rsidR="00212513">
        <w:tc>
          <w:tcPr>
            <w:tcW w:w="1814" w:type="dxa"/>
            <w:vMerge/>
          </w:tcPr>
          <w:p w:rsidR="00212513" w:rsidRDefault="00212513">
            <w:pPr>
              <w:pStyle w:val="ConsPlusNormal"/>
            </w:pPr>
          </w:p>
        </w:tc>
        <w:tc>
          <w:tcPr>
            <w:tcW w:w="2028" w:type="dxa"/>
            <w:vMerge/>
          </w:tcPr>
          <w:p w:rsidR="00212513" w:rsidRDefault="00212513">
            <w:pPr>
              <w:pStyle w:val="ConsPlusNormal"/>
            </w:pPr>
          </w:p>
        </w:tc>
        <w:tc>
          <w:tcPr>
            <w:tcW w:w="854" w:type="dxa"/>
            <w:vMerge/>
          </w:tcPr>
          <w:p w:rsidR="00212513" w:rsidRDefault="00212513">
            <w:pPr>
              <w:pStyle w:val="ConsPlusNormal"/>
            </w:pPr>
          </w:p>
        </w:tc>
        <w:tc>
          <w:tcPr>
            <w:tcW w:w="1077" w:type="dxa"/>
            <w:vMerge/>
          </w:tcPr>
          <w:p w:rsidR="00212513" w:rsidRDefault="00212513">
            <w:pPr>
              <w:pStyle w:val="ConsPlusNormal"/>
            </w:pPr>
          </w:p>
        </w:tc>
        <w:tc>
          <w:tcPr>
            <w:tcW w:w="2551" w:type="dxa"/>
            <w:tcBorders>
              <w:top w:val="nil"/>
            </w:tcBorders>
          </w:tcPr>
          <w:p w:rsidR="00212513" w:rsidRDefault="00212513">
            <w:pPr>
              <w:pStyle w:val="ConsPlusNormal"/>
              <w:jc w:val="center"/>
            </w:pPr>
            <w:r>
              <w:rPr>
                <w:i/>
              </w:rPr>
              <w:t>Г -</w:t>
            </w:r>
            <w:r>
              <w:t xml:space="preserve"> (8,0 + </w:t>
            </w:r>
            <w:r>
              <w:rPr>
                <w:i/>
              </w:rPr>
              <w:t>С</w:t>
            </w:r>
            <w:r>
              <w:t xml:space="preserve"> + 8,0)</w:t>
            </w:r>
          </w:p>
          <w:p w:rsidR="00212513" w:rsidRDefault="00212513">
            <w:pPr>
              <w:pStyle w:val="ConsPlusNormal"/>
              <w:jc w:val="center"/>
            </w:pPr>
            <w:r>
              <w:t>---------------------</w:t>
            </w:r>
          </w:p>
          <w:p w:rsidR="00212513" w:rsidRDefault="00212513">
            <w:pPr>
              <w:pStyle w:val="ConsPlusNormal"/>
              <w:jc w:val="center"/>
            </w:pPr>
            <w:r>
              <w:t>2(</w:t>
            </w:r>
            <w:r>
              <w:rPr>
                <w:i/>
              </w:rPr>
              <w:t>Г -</w:t>
            </w:r>
            <w:r>
              <w:t xml:space="preserve"> 9)</w:t>
            </w:r>
          </w:p>
        </w:tc>
        <w:tc>
          <w:tcPr>
            <w:tcW w:w="794" w:type="dxa"/>
            <w:vMerge/>
          </w:tcPr>
          <w:p w:rsidR="00212513" w:rsidRDefault="00212513">
            <w:pPr>
              <w:pStyle w:val="ConsPlusNormal"/>
            </w:pPr>
          </w:p>
        </w:tc>
        <w:tc>
          <w:tcPr>
            <w:tcW w:w="1157" w:type="dxa"/>
            <w:tcBorders>
              <w:top w:val="nil"/>
            </w:tcBorders>
            <w:vAlign w:val="center"/>
          </w:tcPr>
          <w:p w:rsidR="00212513" w:rsidRDefault="00212513">
            <w:pPr>
              <w:pStyle w:val="ConsPlusNormal"/>
              <w:jc w:val="center"/>
            </w:pPr>
            <w:r>
              <w:t>7 x 2</w:t>
            </w:r>
          </w:p>
        </w:tc>
      </w:tr>
      <w:tr w:rsidR="00212513">
        <w:tc>
          <w:tcPr>
            <w:tcW w:w="1814" w:type="dxa"/>
            <w:vMerge/>
          </w:tcPr>
          <w:p w:rsidR="00212513" w:rsidRDefault="00212513">
            <w:pPr>
              <w:pStyle w:val="ConsPlusNormal"/>
            </w:pPr>
          </w:p>
        </w:tc>
        <w:tc>
          <w:tcPr>
            <w:tcW w:w="2028" w:type="dxa"/>
            <w:vMerge/>
          </w:tcPr>
          <w:p w:rsidR="00212513" w:rsidRDefault="00212513">
            <w:pPr>
              <w:pStyle w:val="ConsPlusNormal"/>
            </w:pPr>
          </w:p>
        </w:tc>
        <w:tc>
          <w:tcPr>
            <w:tcW w:w="854" w:type="dxa"/>
            <w:vAlign w:val="center"/>
          </w:tcPr>
          <w:p w:rsidR="00212513" w:rsidRDefault="00212513">
            <w:pPr>
              <w:pStyle w:val="ConsPlusNormal"/>
              <w:jc w:val="center"/>
            </w:pPr>
            <w:r>
              <w:t>2</w:t>
            </w:r>
          </w:p>
        </w:tc>
        <w:tc>
          <w:tcPr>
            <w:tcW w:w="1077" w:type="dxa"/>
            <w:vMerge/>
          </w:tcPr>
          <w:p w:rsidR="00212513" w:rsidRDefault="00212513">
            <w:pPr>
              <w:pStyle w:val="ConsPlusNormal"/>
            </w:pPr>
          </w:p>
        </w:tc>
        <w:tc>
          <w:tcPr>
            <w:tcW w:w="2551" w:type="dxa"/>
            <w:vAlign w:val="center"/>
          </w:tcPr>
          <w:p w:rsidR="00212513" w:rsidRDefault="00212513">
            <w:pPr>
              <w:pStyle w:val="ConsPlusNormal"/>
              <w:jc w:val="center"/>
            </w:pPr>
            <w:r>
              <w:rPr>
                <w:i/>
              </w:rPr>
              <w:t>Г -</w:t>
            </w:r>
            <w:r>
              <w:t xml:space="preserve"> 9</w:t>
            </w:r>
          </w:p>
        </w:tc>
        <w:tc>
          <w:tcPr>
            <w:tcW w:w="794" w:type="dxa"/>
            <w:vMerge/>
          </w:tcPr>
          <w:p w:rsidR="00212513" w:rsidRDefault="00212513">
            <w:pPr>
              <w:pStyle w:val="ConsPlusNormal"/>
            </w:pPr>
          </w:p>
        </w:tc>
        <w:tc>
          <w:tcPr>
            <w:tcW w:w="1157" w:type="dxa"/>
            <w:vAlign w:val="center"/>
          </w:tcPr>
          <w:p w:rsidR="00212513" w:rsidRDefault="00212513">
            <w:pPr>
              <w:pStyle w:val="ConsPlusNormal"/>
              <w:jc w:val="center"/>
            </w:pPr>
            <w:r>
              <w:t>7</w:t>
            </w:r>
          </w:p>
        </w:tc>
      </w:tr>
      <w:tr w:rsidR="00212513">
        <w:tc>
          <w:tcPr>
            <w:tcW w:w="1814" w:type="dxa"/>
            <w:vMerge/>
          </w:tcPr>
          <w:p w:rsidR="00212513" w:rsidRDefault="00212513">
            <w:pPr>
              <w:pStyle w:val="ConsPlusNormal"/>
            </w:pPr>
          </w:p>
        </w:tc>
        <w:tc>
          <w:tcPr>
            <w:tcW w:w="2028" w:type="dxa"/>
            <w:vAlign w:val="center"/>
          </w:tcPr>
          <w:p w:rsidR="00212513" w:rsidRDefault="00212513">
            <w:pPr>
              <w:pStyle w:val="ConsPlusNormal"/>
            </w:pPr>
            <w:r>
              <w:t>Магистральные пешеходно-транспортные улицы районного значения</w:t>
            </w:r>
          </w:p>
        </w:tc>
        <w:tc>
          <w:tcPr>
            <w:tcW w:w="854" w:type="dxa"/>
            <w:vAlign w:val="center"/>
          </w:tcPr>
          <w:p w:rsidR="00212513" w:rsidRDefault="00212513">
            <w:pPr>
              <w:pStyle w:val="ConsPlusNormal"/>
              <w:jc w:val="center"/>
            </w:pPr>
            <w:r>
              <w:t>2</w:t>
            </w:r>
          </w:p>
        </w:tc>
        <w:tc>
          <w:tcPr>
            <w:tcW w:w="1077" w:type="dxa"/>
            <w:vMerge/>
          </w:tcPr>
          <w:p w:rsidR="00212513" w:rsidRDefault="00212513">
            <w:pPr>
              <w:pStyle w:val="ConsPlusNormal"/>
            </w:pPr>
          </w:p>
        </w:tc>
        <w:tc>
          <w:tcPr>
            <w:tcW w:w="2551" w:type="dxa"/>
            <w:vAlign w:val="center"/>
          </w:tcPr>
          <w:p w:rsidR="00212513" w:rsidRDefault="00212513">
            <w:pPr>
              <w:pStyle w:val="ConsPlusNormal"/>
              <w:jc w:val="center"/>
            </w:pPr>
            <w:r>
              <w:rPr>
                <w:i/>
              </w:rPr>
              <w:t>Г -</w:t>
            </w:r>
            <w:r>
              <w:t xml:space="preserve"> 10</w:t>
            </w:r>
          </w:p>
        </w:tc>
        <w:tc>
          <w:tcPr>
            <w:tcW w:w="794" w:type="dxa"/>
            <w:vMerge/>
          </w:tcPr>
          <w:p w:rsidR="00212513" w:rsidRDefault="00212513">
            <w:pPr>
              <w:pStyle w:val="ConsPlusNormal"/>
            </w:pPr>
          </w:p>
        </w:tc>
        <w:tc>
          <w:tcPr>
            <w:tcW w:w="1157" w:type="dxa"/>
            <w:vAlign w:val="center"/>
          </w:tcPr>
          <w:p w:rsidR="00212513" w:rsidRDefault="00212513">
            <w:pPr>
              <w:pStyle w:val="ConsPlusNormal"/>
              <w:jc w:val="center"/>
            </w:pPr>
            <w:r>
              <w:t>8</w:t>
            </w:r>
          </w:p>
        </w:tc>
      </w:tr>
      <w:tr w:rsidR="00212513">
        <w:tc>
          <w:tcPr>
            <w:tcW w:w="1814" w:type="dxa"/>
            <w:vMerge/>
          </w:tcPr>
          <w:p w:rsidR="00212513" w:rsidRDefault="00212513">
            <w:pPr>
              <w:pStyle w:val="ConsPlusNormal"/>
            </w:pPr>
          </w:p>
        </w:tc>
        <w:tc>
          <w:tcPr>
            <w:tcW w:w="2028" w:type="dxa"/>
            <w:vAlign w:val="center"/>
          </w:tcPr>
          <w:p w:rsidR="00212513" w:rsidRDefault="00212513">
            <w:pPr>
              <w:pStyle w:val="ConsPlusNormal"/>
            </w:pPr>
            <w:r>
              <w:t>Улицы и дороги в жилой застройке местного значения, парковые дороги</w:t>
            </w:r>
          </w:p>
        </w:tc>
        <w:tc>
          <w:tcPr>
            <w:tcW w:w="854" w:type="dxa"/>
            <w:vAlign w:val="center"/>
          </w:tcPr>
          <w:p w:rsidR="00212513" w:rsidRDefault="00212513">
            <w:pPr>
              <w:pStyle w:val="ConsPlusNormal"/>
              <w:jc w:val="center"/>
            </w:pPr>
            <w:r>
              <w:t>2</w:t>
            </w:r>
          </w:p>
        </w:tc>
        <w:tc>
          <w:tcPr>
            <w:tcW w:w="1077" w:type="dxa"/>
            <w:vMerge/>
          </w:tcPr>
          <w:p w:rsidR="00212513" w:rsidRDefault="00212513">
            <w:pPr>
              <w:pStyle w:val="ConsPlusNormal"/>
            </w:pPr>
          </w:p>
        </w:tc>
        <w:tc>
          <w:tcPr>
            <w:tcW w:w="2551" w:type="dxa"/>
            <w:vAlign w:val="center"/>
          </w:tcPr>
          <w:p w:rsidR="00212513" w:rsidRDefault="00212513">
            <w:pPr>
              <w:pStyle w:val="ConsPlusNormal"/>
              <w:jc w:val="center"/>
            </w:pPr>
            <w:r>
              <w:rPr>
                <w:i/>
              </w:rPr>
              <w:t>Г -</w:t>
            </w:r>
            <w:r>
              <w:t xml:space="preserve"> 8</w:t>
            </w:r>
          </w:p>
        </w:tc>
        <w:tc>
          <w:tcPr>
            <w:tcW w:w="794" w:type="dxa"/>
            <w:vMerge/>
          </w:tcPr>
          <w:p w:rsidR="00212513" w:rsidRDefault="00212513">
            <w:pPr>
              <w:pStyle w:val="ConsPlusNormal"/>
            </w:pPr>
          </w:p>
        </w:tc>
        <w:tc>
          <w:tcPr>
            <w:tcW w:w="1157" w:type="dxa"/>
            <w:vAlign w:val="center"/>
          </w:tcPr>
          <w:p w:rsidR="00212513" w:rsidRDefault="00212513">
            <w:pPr>
              <w:pStyle w:val="ConsPlusNormal"/>
              <w:jc w:val="center"/>
            </w:pPr>
            <w:r>
              <w:t>6</w:t>
            </w:r>
          </w:p>
        </w:tc>
      </w:tr>
      <w:tr w:rsidR="00212513">
        <w:tc>
          <w:tcPr>
            <w:tcW w:w="10275" w:type="dxa"/>
            <w:gridSpan w:val="7"/>
          </w:tcPr>
          <w:p w:rsidR="00212513" w:rsidRDefault="00212513">
            <w:pPr>
              <w:pStyle w:val="ConsPlusNormal"/>
              <w:ind w:firstLine="283"/>
              <w:jc w:val="both"/>
            </w:pPr>
            <w:bookmarkStart w:id="475" w:name="P12293"/>
            <w:bookmarkEnd w:id="475"/>
            <w:r>
              <w:t xml:space="preserve">&lt;*&gt; Наличие разделительной полосы определяется проектом организации движения и </w:t>
            </w:r>
            <w:hyperlink r:id="rId3154">
              <w:r>
                <w:rPr>
                  <w:color w:val="0000FF"/>
                </w:rPr>
                <w:t>ГОСТ 33382</w:t>
              </w:r>
            </w:hyperlink>
            <w:r>
              <w:t>.</w:t>
            </w:r>
          </w:p>
          <w:p w:rsidR="00212513" w:rsidRDefault="00212513">
            <w:pPr>
              <w:pStyle w:val="ConsPlusNormal"/>
              <w:ind w:firstLine="283"/>
              <w:jc w:val="both"/>
            </w:pPr>
            <w:bookmarkStart w:id="476" w:name="P12294"/>
            <w:bookmarkEnd w:id="476"/>
            <w:r>
              <w:t>&lt;**&gt; Для деревянных мостов (кроме мостов из клееной древесины) допускается применять габарит Г-7.</w:t>
            </w:r>
          </w:p>
          <w:p w:rsidR="00212513" w:rsidRDefault="00212513">
            <w:pPr>
              <w:pStyle w:val="ConsPlusNormal"/>
              <w:ind w:firstLine="283"/>
              <w:jc w:val="both"/>
            </w:pPr>
            <w:bookmarkStart w:id="477" w:name="P12295"/>
            <w:bookmarkEnd w:id="477"/>
            <w:r>
              <w:t>&lt;***&gt; То же, габарит Г-6.</w:t>
            </w:r>
          </w:p>
          <w:p w:rsidR="00212513" w:rsidRDefault="00212513">
            <w:pPr>
              <w:pStyle w:val="ConsPlusNormal"/>
              <w:ind w:firstLine="283"/>
              <w:jc w:val="both"/>
            </w:pPr>
            <w:bookmarkStart w:id="478" w:name="P12296"/>
            <w:bookmarkEnd w:id="478"/>
            <w:r>
              <w:t>&lt;*4&gt; Указана ширина со стороны правой полосы движения, ширина со стороны левой полосы - 1,0 м; при этом расстояние между пролетными строениями встречных направлений рекомендуется принимать не более 1,0 м в свету.</w:t>
            </w:r>
          </w:p>
          <w:p w:rsidR="00212513" w:rsidRDefault="00212513">
            <w:pPr>
              <w:pStyle w:val="ConsPlusNormal"/>
              <w:ind w:firstLine="283"/>
              <w:jc w:val="both"/>
            </w:pPr>
            <w:bookmarkStart w:id="479" w:name="P12297"/>
            <w:bookmarkEnd w:id="479"/>
            <w:r>
              <w:t>&lt;*5&gt; Указанная ширина может быть уменьшена при условии сохранения потребительских свойств дороги и мостового сооружения (но устанавливается не менее чем 0,5 м).</w:t>
            </w:r>
          </w:p>
          <w:p w:rsidR="00212513" w:rsidRDefault="00212513">
            <w:pPr>
              <w:pStyle w:val="ConsPlusNormal"/>
            </w:pPr>
          </w:p>
          <w:p w:rsidR="00212513" w:rsidRDefault="00212513">
            <w:pPr>
              <w:pStyle w:val="ConsPlusNormal"/>
              <w:ind w:firstLine="283"/>
              <w:jc w:val="both"/>
            </w:pPr>
            <w:r>
              <w:t>Примечания</w:t>
            </w:r>
          </w:p>
          <w:p w:rsidR="00212513" w:rsidRDefault="00212513">
            <w:pPr>
              <w:pStyle w:val="ConsPlusNormal"/>
              <w:ind w:firstLine="283"/>
              <w:jc w:val="both"/>
            </w:pPr>
            <w:r>
              <w:t xml:space="preserve">1 В графе "Габарит" над чертой указаны габариты мостов при отсутствии ограждений на </w:t>
            </w:r>
            <w:r>
              <w:lastRenderedPageBreak/>
              <w:t>разделительной полосе, под чертой - при наличии ограждений или при раздельных пролетных строениях под каждое направление движения.</w:t>
            </w:r>
          </w:p>
          <w:p w:rsidR="00212513" w:rsidRDefault="00212513">
            <w:pPr>
              <w:pStyle w:val="ConsPlusNormal"/>
              <w:ind w:firstLine="283"/>
              <w:jc w:val="both"/>
            </w:pPr>
            <w:r>
              <w:t xml:space="preserve">В графе "Категория дороги или улицы" на внутренних дорогах промышленных предприятий без обращения автомобилей особо большой грузоподъемности соответствующие категории дорог согласно </w:t>
            </w:r>
            <w:hyperlink r:id="rId3155">
              <w:r>
                <w:rPr>
                  <w:color w:val="0000FF"/>
                </w:rPr>
                <w:t>СП 37.13330</w:t>
              </w:r>
            </w:hyperlink>
            <w:r>
              <w:t xml:space="preserve"> имеют индекс "в" (внутренние) и индекс "к" (карьерные), с обращением автомобилей особо большой грузоподъемности (ширина автомобиля более 2,5 м) следует принимать индекс "п", а для сельскохозяйственных дорог согласно </w:t>
            </w:r>
            <w:hyperlink r:id="rId3156">
              <w:r>
                <w:rPr>
                  <w:color w:val="0000FF"/>
                </w:rPr>
                <w:t>СП 99.13330</w:t>
              </w:r>
            </w:hyperlink>
            <w:r>
              <w:t xml:space="preserve"> - индекс "с".</w:t>
            </w:r>
          </w:p>
          <w:p w:rsidR="00212513" w:rsidRDefault="00212513">
            <w:pPr>
              <w:pStyle w:val="ConsPlusNormal"/>
              <w:ind w:firstLine="283"/>
              <w:jc w:val="both"/>
            </w:pPr>
            <w:r>
              <w:t>2 В не предусмотренных таблицей Г.1 случаях (в частности, для мостов на дорогах промышленных предприятий с обращением автомобилей особо большой грузоподъемности) габариты мостов по ширине следует устанавливать по формулам:</w:t>
            </w:r>
          </w:p>
          <w:p w:rsidR="00212513" w:rsidRDefault="00212513">
            <w:pPr>
              <w:pStyle w:val="ConsPlusNormal"/>
            </w:pPr>
          </w:p>
          <w:p w:rsidR="00212513" w:rsidRDefault="00212513">
            <w:pPr>
              <w:pStyle w:val="ConsPlusNormal"/>
              <w:jc w:val="center"/>
            </w:pPr>
            <w:r>
              <w:rPr>
                <w:i/>
              </w:rPr>
              <w:t>Г = П + nb + С + nb + П; Г = П + nb + П.</w:t>
            </w:r>
          </w:p>
          <w:p w:rsidR="00212513" w:rsidRDefault="00212513">
            <w:pPr>
              <w:pStyle w:val="ConsPlusNormal"/>
            </w:pPr>
          </w:p>
          <w:p w:rsidR="00212513" w:rsidRDefault="00212513">
            <w:pPr>
              <w:pStyle w:val="ConsPlusNormal"/>
              <w:ind w:firstLine="283"/>
              <w:jc w:val="both"/>
            </w:pPr>
            <w:r>
              <w:t xml:space="preserve">3 Ширину полос безопасности </w:t>
            </w:r>
            <w:r>
              <w:rPr>
                <w:i/>
              </w:rPr>
              <w:t>П</w:t>
            </w:r>
            <w:r>
              <w:t xml:space="preserve"> следует принимать в зависимости от установленных для дороги расчетных скоростей движения (используя данные, приведенные в настоящей таблице).</w:t>
            </w:r>
          </w:p>
          <w:p w:rsidR="00212513" w:rsidRDefault="00212513">
            <w:pPr>
              <w:pStyle w:val="ConsPlusNormal"/>
              <w:ind w:firstLine="283"/>
              <w:jc w:val="both"/>
            </w:pPr>
            <w:r>
              <w:t xml:space="preserve">Для мостов на дорогах промышленных предприятий (в том числе и с обращением автомобилей особо большой грузоподъемности) размер полос безопасности следует принимать </w:t>
            </w:r>
            <w:r>
              <w:rPr>
                <w:i/>
              </w:rPr>
              <w:t>П</w:t>
            </w:r>
            <w:r>
              <w:t xml:space="preserve"> = 1,50 м.</w:t>
            </w:r>
          </w:p>
          <w:p w:rsidR="00212513" w:rsidRDefault="00212513">
            <w:pPr>
              <w:pStyle w:val="ConsPlusNormal"/>
              <w:ind w:firstLine="283"/>
              <w:jc w:val="both"/>
            </w:pPr>
            <w:r>
              <w:t>4 На лесовозных и хозяйственных дорогах лесозаготовительных предприятий, выходящих на сеть дорог общего пользования, габарит мостов (в том числе деревянных) на дорогах IV категории следует принимать равным Г-8 при ширине проезжей части 6,5 м и полосах безопасности 0,75 м.</w:t>
            </w:r>
          </w:p>
          <w:p w:rsidR="00212513" w:rsidRDefault="00212513">
            <w:pPr>
              <w:pStyle w:val="ConsPlusNormal"/>
              <w:ind w:firstLine="283"/>
              <w:jc w:val="both"/>
            </w:pPr>
            <w:r>
              <w:t>5 Если в данном регионе эксплуатируются (являются расчетными) сельскохозяйственные машины, имеющие габариты, превышающие указанные в таблице Г.1, то габариты мостов в этом регионе следует назначать увеличенными в зависимости от дорожного просвета (возвышения над дорожной одеждой) частей, выступающих за наружную поверхность шин колес или гусениц машины.</w:t>
            </w:r>
          </w:p>
          <w:p w:rsidR="00212513" w:rsidRDefault="00212513">
            <w:pPr>
              <w:pStyle w:val="ConsPlusNormal"/>
              <w:ind w:firstLine="283"/>
              <w:jc w:val="both"/>
            </w:pPr>
            <w:r>
              <w:t>В случаях когда дорожный просвет выступающих частей менее 0,35 м (для деревянных мостов - менее 0,30 м), габарит моста следует назначать на 1 м шире габарита машины в транспортном положении.</w:t>
            </w:r>
          </w:p>
          <w:p w:rsidR="00212513" w:rsidRDefault="00212513">
            <w:pPr>
              <w:pStyle w:val="ConsPlusNormal"/>
              <w:ind w:firstLine="283"/>
              <w:jc w:val="both"/>
            </w:pPr>
            <w:r>
              <w:t>В случаях когда дорожный просвет выступающих частей 0,35 м и более (для деревянных мостов - 0,30 м и более), габарит моста следует назначать на 1,5 м шире расстояния между наружными поверхностями шин колес или гусениц сельскохозяйственной машины.</w:t>
            </w:r>
          </w:p>
        </w:tc>
      </w:tr>
    </w:tbl>
    <w:p w:rsidR="00212513" w:rsidRDefault="00212513">
      <w:pPr>
        <w:pStyle w:val="ConsPlusNormal"/>
        <w:sectPr w:rsidR="00212513">
          <w:pgSz w:w="16838" w:h="11905" w:orient="landscape"/>
          <w:pgMar w:top="1701" w:right="1134" w:bottom="850" w:left="1134" w:header="0" w:footer="0" w:gutter="0"/>
          <w:cols w:space="720"/>
          <w:titlePg/>
        </w:sectPr>
      </w:pPr>
    </w:p>
    <w:p w:rsidR="00212513" w:rsidRDefault="00212513">
      <w:pPr>
        <w:pStyle w:val="ConsPlusNormal"/>
        <w:ind w:firstLine="540"/>
        <w:jc w:val="both"/>
      </w:pPr>
    </w:p>
    <w:p w:rsidR="00212513" w:rsidRDefault="00212513">
      <w:pPr>
        <w:pStyle w:val="ConsPlusNormal"/>
        <w:ind w:firstLine="540"/>
        <w:jc w:val="both"/>
      </w:pPr>
      <w:r>
        <w:t xml:space="preserve">Г.3 Габариты по ширине мостов, расположенных на автомобильных дорогах общего пользования, внутрихозяйственных дорогах в сельскохозяйственных предприятиях и организациях, дорогах промышленных предприятий, а также на улицах и дорогах в городах, поселках и сельских населенных пунктах, при отсутствии трамвайного движения следует принимать по </w:t>
      </w:r>
      <w:hyperlink w:anchor="P12149">
        <w:r>
          <w:rPr>
            <w:color w:val="0000FF"/>
          </w:rPr>
          <w:t>таблице Г.1</w:t>
        </w:r>
      </w:hyperlink>
      <w:r>
        <w:t>.</w:t>
      </w:r>
    </w:p>
    <w:p w:rsidR="00212513" w:rsidRDefault="00212513">
      <w:pPr>
        <w:pStyle w:val="ConsPlusNormal"/>
        <w:spacing w:before="220"/>
        <w:ind w:firstLine="540"/>
        <w:jc w:val="both"/>
      </w:pPr>
      <w:r>
        <w:t xml:space="preserve">Г.4 Схемы габаритов приближения конструкций для городских мостов с трамвайным движением следует принимать согласно </w:t>
      </w:r>
      <w:hyperlink w:anchor="P12324">
        <w:r>
          <w:rPr>
            <w:color w:val="0000FF"/>
          </w:rPr>
          <w:t>рисунку Г.2</w:t>
        </w:r>
      </w:hyperlink>
      <w:r>
        <w:t xml:space="preserve"> (обозначения - по </w:t>
      </w:r>
      <w:hyperlink w:anchor="P12103">
        <w:r>
          <w:rPr>
            <w:color w:val="0000FF"/>
          </w:rPr>
          <w:t>пункту Г.2</w:t>
        </w:r>
      </w:hyperlink>
      <w:r>
        <w:t xml:space="preserve"> настоящего приложения) и данным </w:t>
      </w:r>
      <w:hyperlink w:anchor="P12149">
        <w:r>
          <w:rPr>
            <w:color w:val="0000FF"/>
          </w:rPr>
          <w:t>таблицы Г.1</w:t>
        </w:r>
      </w:hyperlink>
      <w:r>
        <w:t>.</w:t>
      </w:r>
    </w:p>
    <w:p w:rsidR="00212513" w:rsidRDefault="00212513">
      <w:pPr>
        <w:pStyle w:val="ConsPlusNormal"/>
        <w:ind w:firstLine="540"/>
        <w:jc w:val="both"/>
      </w:pPr>
    </w:p>
    <w:p w:rsidR="00212513" w:rsidRDefault="00212513">
      <w:pPr>
        <w:pStyle w:val="ConsPlusNormal"/>
        <w:jc w:val="center"/>
      </w:pPr>
      <w:r>
        <w:rPr>
          <w:noProof/>
          <w:position w:val="-254"/>
        </w:rPr>
        <w:drawing>
          <wp:inline distT="0" distB="0" distL="0" distR="0">
            <wp:extent cx="4705350" cy="3368675"/>
            <wp:effectExtent l="0" t="0" r="0" b="0"/>
            <wp:docPr id="2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7" cstate="print">
                      <a:extLst>
                        <a:ext uri="{28A0092B-C50C-407E-A947-70E740481C1C}">
                          <a14:useLocalDpi xmlns:a14="http://schemas.microsoft.com/office/drawing/2010/main" val="0"/>
                        </a:ext>
                      </a:extLst>
                    </a:blip>
                    <a:srcRect/>
                    <a:stretch>
                      <a:fillRect/>
                    </a:stretch>
                  </pic:blipFill>
                  <pic:spPr bwMode="auto">
                    <a:xfrm>
                      <a:off x="0" y="0"/>
                      <a:ext cx="4705350" cy="3368675"/>
                    </a:xfrm>
                    <a:prstGeom prst="rect">
                      <a:avLst/>
                    </a:prstGeom>
                    <a:noFill/>
                    <a:ln>
                      <a:noFill/>
                    </a:ln>
                  </pic:spPr>
                </pic:pic>
              </a:graphicData>
            </a:graphic>
          </wp:inline>
        </w:drawing>
      </w:r>
    </w:p>
    <w:p w:rsidR="00212513" w:rsidRDefault="00212513">
      <w:pPr>
        <w:pStyle w:val="ConsPlusNormal"/>
        <w:ind w:firstLine="540"/>
        <w:jc w:val="both"/>
      </w:pPr>
    </w:p>
    <w:p w:rsidR="00212513" w:rsidRDefault="00212513">
      <w:pPr>
        <w:pStyle w:val="ConsPlusNormal"/>
        <w:jc w:val="center"/>
      </w:pPr>
      <w:r>
        <w:rPr>
          <w:noProof/>
          <w:position w:val="-306"/>
        </w:rPr>
        <w:lastRenderedPageBreak/>
        <w:drawing>
          <wp:inline distT="0" distB="0" distL="0" distR="0">
            <wp:extent cx="4530725" cy="4036060"/>
            <wp:effectExtent l="0" t="0" r="0" b="0"/>
            <wp:docPr id="2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8" cstate="print">
                      <a:extLst>
                        <a:ext uri="{28A0092B-C50C-407E-A947-70E740481C1C}">
                          <a14:useLocalDpi xmlns:a14="http://schemas.microsoft.com/office/drawing/2010/main" val="0"/>
                        </a:ext>
                      </a:extLst>
                    </a:blip>
                    <a:srcRect/>
                    <a:stretch>
                      <a:fillRect/>
                    </a:stretch>
                  </pic:blipFill>
                  <pic:spPr bwMode="auto">
                    <a:xfrm>
                      <a:off x="0" y="0"/>
                      <a:ext cx="4530725" cy="4036060"/>
                    </a:xfrm>
                    <a:prstGeom prst="rect">
                      <a:avLst/>
                    </a:prstGeom>
                    <a:noFill/>
                    <a:ln>
                      <a:noFill/>
                    </a:ln>
                  </pic:spPr>
                </pic:pic>
              </a:graphicData>
            </a:graphic>
          </wp:inline>
        </w:drawing>
      </w:r>
    </w:p>
    <w:p w:rsidR="00212513" w:rsidRDefault="00212513">
      <w:pPr>
        <w:pStyle w:val="ConsPlusNormal"/>
        <w:ind w:firstLine="540"/>
        <w:jc w:val="both"/>
      </w:pPr>
    </w:p>
    <w:p w:rsidR="00212513" w:rsidRDefault="00212513">
      <w:pPr>
        <w:pStyle w:val="ConsPlusNormal"/>
        <w:jc w:val="center"/>
      </w:pPr>
      <w:r>
        <w:t>а - на обособленном полотне; б - на общем полотне;</w:t>
      </w:r>
    </w:p>
    <w:p w:rsidR="00212513" w:rsidRDefault="00212513">
      <w:pPr>
        <w:pStyle w:val="ConsPlusNormal"/>
        <w:jc w:val="center"/>
      </w:pPr>
      <w:r>
        <w:t>I - трамвайные пути расположены на оси моста;</w:t>
      </w:r>
    </w:p>
    <w:p w:rsidR="00212513" w:rsidRDefault="00212513">
      <w:pPr>
        <w:pStyle w:val="ConsPlusNormal"/>
        <w:jc w:val="center"/>
      </w:pPr>
      <w:r>
        <w:t>II - трамвайные пути смещены относительно оси моста</w:t>
      </w:r>
    </w:p>
    <w:p w:rsidR="00212513" w:rsidRDefault="00212513">
      <w:pPr>
        <w:pStyle w:val="ConsPlusNormal"/>
        <w:ind w:firstLine="540"/>
        <w:jc w:val="both"/>
      </w:pPr>
    </w:p>
    <w:p w:rsidR="00212513" w:rsidRDefault="00212513">
      <w:pPr>
        <w:pStyle w:val="ConsPlusNormal"/>
        <w:jc w:val="center"/>
      </w:pPr>
      <w:bookmarkStart w:id="480" w:name="P12324"/>
      <w:bookmarkEnd w:id="480"/>
      <w:r>
        <w:rPr>
          <w:b/>
          <w:i/>
        </w:rPr>
        <w:t>Рисунок Г.2</w:t>
      </w:r>
      <w:r>
        <w:t xml:space="preserve"> </w:t>
      </w:r>
      <w:r>
        <w:rPr>
          <w:b/>
        </w:rPr>
        <w:t>- Схемы габаритов приближения конструкций</w:t>
      </w:r>
    </w:p>
    <w:p w:rsidR="00212513" w:rsidRDefault="00212513">
      <w:pPr>
        <w:pStyle w:val="ConsPlusNormal"/>
        <w:jc w:val="center"/>
      </w:pPr>
      <w:r>
        <w:rPr>
          <w:b/>
        </w:rPr>
        <w:t>на городских мостах с трамвайным движением</w:t>
      </w:r>
    </w:p>
    <w:p w:rsidR="00212513" w:rsidRDefault="00212513">
      <w:pPr>
        <w:pStyle w:val="ConsPlusNormal"/>
        <w:ind w:firstLine="540"/>
        <w:jc w:val="both"/>
      </w:pPr>
    </w:p>
    <w:p w:rsidR="00212513" w:rsidRDefault="00212513">
      <w:pPr>
        <w:pStyle w:val="ConsPlusNormal"/>
        <w:ind w:firstLine="540"/>
        <w:jc w:val="both"/>
      </w:pPr>
      <w:r>
        <w:t>Габарит по ширине мостов, предназначенных только под трамвайное движение (два пути), следует принимать не менее 9,0 м.</w:t>
      </w:r>
    </w:p>
    <w:p w:rsidR="00212513" w:rsidRDefault="00212513">
      <w:pPr>
        <w:pStyle w:val="ConsPlusNormal"/>
        <w:spacing w:before="220"/>
        <w:ind w:firstLine="540"/>
        <w:jc w:val="both"/>
      </w:pPr>
      <w:r>
        <w:t>Г.5 На совмещенных мостах при расположении двухполосной проезжей части автомобильной дороги по одной полосе с каждой стороны железнодорожных путей или путей метрополитена габарит по ширине на каждой полосе движения должен быть не менее 5,5 м.</w:t>
      </w:r>
    </w:p>
    <w:p w:rsidR="00212513" w:rsidRDefault="00212513">
      <w:pPr>
        <w:pStyle w:val="ConsPlusNormal"/>
        <w:spacing w:before="220"/>
        <w:ind w:firstLine="540"/>
        <w:jc w:val="both"/>
      </w:pPr>
      <w:bookmarkStart w:id="481" w:name="P12329"/>
      <w:bookmarkEnd w:id="481"/>
      <w:r>
        <w:t xml:space="preserve">Г.6 Полосы безопасности шириной меньшей, чем указано в </w:t>
      </w:r>
      <w:hyperlink w:anchor="P12149">
        <w:r>
          <w:rPr>
            <w:color w:val="0000FF"/>
          </w:rPr>
          <w:t>таблице Г.1</w:t>
        </w:r>
      </w:hyperlink>
      <w:r>
        <w:t>, допускается при соответствующем технико-экономическом обосновании назначать:</w:t>
      </w:r>
    </w:p>
    <w:p w:rsidR="00212513" w:rsidRDefault="00212513">
      <w:pPr>
        <w:pStyle w:val="ConsPlusNormal"/>
        <w:spacing w:before="220"/>
        <w:ind w:firstLine="540"/>
        <w:jc w:val="both"/>
      </w:pPr>
      <w:r>
        <w:t>для мостов длиной свыше 100 м на дорогах I - III и III-п категорий и длиной свыше 50 м на дорогах IV и IV-п категорий, если мосты расположены на расстоянии свыше 100 км от крупнейших городов и свыше 50 км от других городов, а расчетная интенсивность движения транспортных средств снижается в 2 раза и более по сравнению с пригородными участками указанных дорог;</w:t>
      </w:r>
    </w:p>
    <w:p w:rsidR="00212513" w:rsidRDefault="00212513">
      <w:pPr>
        <w:pStyle w:val="ConsPlusNormal"/>
        <w:spacing w:before="220"/>
        <w:ind w:firstLine="540"/>
        <w:jc w:val="both"/>
      </w:pPr>
      <w:r>
        <w:t>в случае расположения мостов на участках дорог с уменьшенной шириной обочины;</w:t>
      </w:r>
    </w:p>
    <w:p w:rsidR="00212513" w:rsidRDefault="00212513">
      <w:pPr>
        <w:pStyle w:val="ConsPlusNormal"/>
        <w:spacing w:before="220"/>
        <w:ind w:firstLine="540"/>
        <w:jc w:val="both"/>
      </w:pPr>
      <w:r>
        <w:t>при переустройстве мостов;</w:t>
      </w:r>
    </w:p>
    <w:p w:rsidR="00212513" w:rsidRDefault="00212513">
      <w:pPr>
        <w:pStyle w:val="ConsPlusNormal"/>
        <w:spacing w:before="220"/>
        <w:ind w:firstLine="540"/>
        <w:jc w:val="both"/>
      </w:pPr>
      <w:r>
        <w:t>на путепроводах - при наличии переходно-скоростных полос (со стороны этих полос);</w:t>
      </w:r>
    </w:p>
    <w:p w:rsidR="00212513" w:rsidRDefault="00212513">
      <w:pPr>
        <w:pStyle w:val="ConsPlusNormal"/>
        <w:spacing w:before="220"/>
        <w:ind w:firstLine="540"/>
        <w:jc w:val="both"/>
      </w:pPr>
      <w:r>
        <w:t>на мостах с дополнительной полосой движения на подъеме (со стороны этой полосы).</w:t>
      </w:r>
    </w:p>
    <w:p w:rsidR="00212513" w:rsidRDefault="00212513">
      <w:pPr>
        <w:pStyle w:val="ConsPlusNormal"/>
        <w:spacing w:before="220"/>
        <w:ind w:firstLine="540"/>
        <w:jc w:val="both"/>
      </w:pPr>
      <w:r>
        <w:t xml:space="preserve">При этом ширина полос безопасности должна быть не менее: 1,0 м на мостах дорог I - III и </w:t>
      </w:r>
      <w:r>
        <w:lastRenderedPageBreak/>
        <w:t>III-п категорий и 0,75 м на мостах дорог IV и IV-п категорий.</w:t>
      </w:r>
    </w:p>
    <w:p w:rsidR="00212513" w:rsidRDefault="00212513">
      <w:pPr>
        <w:pStyle w:val="ConsPlusNormal"/>
        <w:spacing w:before="220"/>
        <w:ind w:firstLine="540"/>
        <w:jc w:val="both"/>
      </w:pPr>
      <w:r>
        <w:t xml:space="preserve">Примечание - При назначении полос безопасности шириной меньшей, чем указано в </w:t>
      </w:r>
      <w:hyperlink w:anchor="P12149">
        <w:r>
          <w:rPr>
            <w:color w:val="0000FF"/>
          </w:rPr>
          <w:t>таблице Г.1</w:t>
        </w:r>
      </w:hyperlink>
      <w:r>
        <w:t>, следует предусматривать установку дорожных знаков, регулирующих режим движения транспортных средств.</w:t>
      </w:r>
    </w:p>
    <w:p w:rsidR="00212513" w:rsidRDefault="00212513">
      <w:pPr>
        <w:pStyle w:val="ConsPlusNormal"/>
        <w:ind w:firstLine="540"/>
        <w:jc w:val="both"/>
      </w:pPr>
    </w:p>
    <w:p w:rsidR="00212513" w:rsidRDefault="00212513">
      <w:pPr>
        <w:pStyle w:val="ConsPlusNormal"/>
        <w:ind w:firstLine="540"/>
        <w:jc w:val="both"/>
      </w:pPr>
      <w:r>
        <w:t xml:space="preserve">Г.7 При расположении мостов на кривых в плане проезжая часть должна быть уширена в зависимости от категории дорог в соответствии с требованиями </w:t>
      </w:r>
      <w:hyperlink r:id="rId3159">
        <w:r>
          <w:rPr>
            <w:color w:val="0000FF"/>
          </w:rPr>
          <w:t>СП 34.13330</w:t>
        </w:r>
      </w:hyperlink>
      <w:r>
        <w:t xml:space="preserve">, </w:t>
      </w:r>
      <w:hyperlink r:id="rId3160">
        <w:r>
          <w:rPr>
            <w:color w:val="0000FF"/>
          </w:rPr>
          <w:t>СП 37.13330</w:t>
        </w:r>
      </w:hyperlink>
      <w:r>
        <w:t xml:space="preserve"> или </w:t>
      </w:r>
      <w:hyperlink r:id="rId3161">
        <w:r>
          <w:rPr>
            <w:color w:val="0000FF"/>
          </w:rPr>
          <w:t>СП 42.13330</w:t>
        </w:r>
      </w:hyperlink>
      <w:r>
        <w:t>.</w:t>
      </w:r>
    </w:p>
    <w:p w:rsidR="00212513" w:rsidRDefault="00212513">
      <w:pPr>
        <w:pStyle w:val="ConsPlusNormal"/>
        <w:spacing w:before="220"/>
        <w:ind w:firstLine="540"/>
        <w:jc w:val="both"/>
      </w:pPr>
      <w:r>
        <w:t xml:space="preserve">Проезжую часть автодорожных мостов допускается уширять за счет уменьшения полос безопасности при условии соблюдения ее размеров по </w:t>
      </w:r>
      <w:hyperlink w:anchor="P12329">
        <w:r>
          <w:rPr>
            <w:color w:val="0000FF"/>
          </w:rPr>
          <w:t>Г.6</w:t>
        </w:r>
      </w:hyperlink>
      <w:r>
        <w:t xml:space="preserve"> или увеличения габаритов приближения конструкций.</w:t>
      </w:r>
    </w:p>
    <w:p w:rsidR="00212513" w:rsidRDefault="00212513">
      <w:pPr>
        <w:pStyle w:val="ConsPlusNormal"/>
        <w:spacing w:before="220"/>
        <w:ind w:firstLine="540"/>
        <w:jc w:val="both"/>
      </w:pPr>
      <w:r>
        <w:t>Г.8 Ширина разделительной полосы на мосту должна быть такой же, как на дороге или улице.</w:t>
      </w:r>
    </w:p>
    <w:p w:rsidR="00212513" w:rsidRDefault="00212513">
      <w:pPr>
        <w:pStyle w:val="ConsPlusNormal"/>
        <w:spacing w:before="220"/>
        <w:ind w:firstLine="540"/>
        <w:jc w:val="both"/>
      </w:pPr>
      <w:r>
        <w:t>На больших мостах при соответствующих технико-экономических обоснованиях ширину разделительной полосы допускается уменьшать, но принимать не менее чем 2,0 м плюс ширина ограждения.</w:t>
      </w:r>
    </w:p>
    <w:p w:rsidR="00212513" w:rsidRDefault="00212513">
      <w:pPr>
        <w:pStyle w:val="ConsPlusNormal"/>
        <w:spacing w:before="220"/>
        <w:ind w:firstLine="540"/>
        <w:jc w:val="both"/>
      </w:pPr>
      <w:r>
        <w:t xml:space="preserve">Г.9 Габариты приближения конструкций под путепроводами через автомобильные дороги при отсутствии пешеходного движения должны соответствовать </w:t>
      </w:r>
      <w:hyperlink w:anchor="P12353">
        <w:r>
          <w:rPr>
            <w:color w:val="0000FF"/>
          </w:rPr>
          <w:t>рисунку Г.3</w:t>
        </w:r>
      </w:hyperlink>
      <w:r>
        <w:t>.</w:t>
      </w:r>
    </w:p>
    <w:p w:rsidR="00212513" w:rsidRDefault="00212513">
      <w:pPr>
        <w:pStyle w:val="ConsPlusNormal"/>
        <w:ind w:firstLine="540"/>
        <w:jc w:val="both"/>
      </w:pPr>
    </w:p>
    <w:p w:rsidR="00212513" w:rsidRDefault="00212513">
      <w:pPr>
        <w:pStyle w:val="ConsPlusNormal"/>
        <w:jc w:val="center"/>
      </w:pPr>
      <w:r>
        <w:rPr>
          <w:noProof/>
          <w:position w:val="-355"/>
        </w:rPr>
        <w:drawing>
          <wp:inline distT="0" distB="0" distL="0" distR="0">
            <wp:extent cx="5340985" cy="4653280"/>
            <wp:effectExtent l="0" t="0" r="0" b="0"/>
            <wp:docPr id="2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2" cstate="print">
                      <a:extLst>
                        <a:ext uri="{28A0092B-C50C-407E-A947-70E740481C1C}">
                          <a14:useLocalDpi xmlns:a14="http://schemas.microsoft.com/office/drawing/2010/main" val="0"/>
                        </a:ext>
                      </a:extLst>
                    </a:blip>
                    <a:srcRect/>
                    <a:stretch>
                      <a:fillRect/>
                    </a:stretch>
                  </pic:blipFill>
                  <pic:spPr bwMode="auto">
                    <a:xfrm>
                      <a:off x="0" y="0"/>
                      <a:ext cx="5340985" cy="4653280"/>
                    </a:xfrm>
                    <a:prstGeom prst="rect">
                      <a:avLst/>
                    </a:prstGeom>
                    <a:noFill/>
                    <a:ln>
                      <a:noFill/>
                    </a:ln>
                  </pic:spPr>
                </pic:pic>
              </a:graphicData>
            </a:graphic>
          </wp:inline>
        </w:drawing>
      </w:r>
    </w:p>
    <w:p w:rsidR="00212513" w:rsidRDefault="00212513">
      <w:pPr>
        <w:pStyle w:val="ConsPlusNormal"/>
        <w:ind w:firstLine="540"/>
        <w:jc w:val="both"/>
      </w:pPr>
    </w:p>
    <w:p w:rsidR="00212513" w:rsidRDefault="00212513">
      <w:pPr>
        <w:pStyle w:val="ConsPlusNormal"/>
        <w:jc w:val="center"/>
      </w:pPr>
      <w:r>
        <w:t>а - высота ограждений; б - бровка земляного полотна</w:t>
      </w:r>
    </w:p>
    <w:p w:rsidR="00212513" w:rsidRDefault="00212513">
      <w:pPr>
        <w:pStyle w:val="ConsPlusNormal"/>
        <w:jc w:val="center"/>
      </w:pPr>
      <w:r>
        <w:t>определяется конструкцией ограждающих устройств;</w:t>
      </w:r>
    </w:p>
    <w:p w:rsidR="00212513" w:rsidRDefault="00212513">
      <w:pPr>
        <w:pStyle w:val="ConsPlusNormal"/>
        <w:jc w:val="center"/>
      </w:pPr>
      <w:r>
        <w:lastRenderedPageBreak/>
        <w:t>I - при отсутствии ограждений на пересекаемых дорогах;</w:t>
      </w:r>
    </w:p>
    <w:p w:rsidR="00212513" w:rsidRDefault="00212513">
      <w:pPr>
        <w:pStyle w:val="ConsPlusNormal"/>
        <w:jc w:val="center"/>
      </w:pPr>
      <w:r>
        <w:t>II - при наличии опор на разделительной полосе</w:t>
      </w:r>
    </w:p>
    <w:p w:rsidR="00212513" w:rsidRDefault="00212513">
      <w:pPr>
        <w:pStyle w:val="ConsPlusNormal"/>
        <w:jc w:val="center"/>
      </w:pPr>
      <w:r>
        <w:t>и ограждений на дороге; а) - категорий I - III;</w:t>
      </w:r>
    </w:p>
    <w:p w:rsidR="00212513" w:rsidRDefault="00212513">
      <w:pPr>
        <w:pStyle w:val="ConsPlusNormal"/>
        <w:jc w:val="center"/>
      </w:pPr>
      <w:r>
        <w:t>III-п и IV-п; б) - категорий IV и V</w:t>
      </w:r>
    </w:p>
    <w:p w:rsidR="00212513" w:rsidRDefault="00212513">
      <w:pPr>
        <w:pStyle w:val="ConsPlusNormal"/>
        <w:ind w:firstLine="540"/>
        <w:jc w:val="both"/>
      </w:pPr>
    </w:p>
    <w:p w:rsidR="00212513" w:rsidRDefault="00212513">
      <w:pPr>
        <w:pStyle w:val="ConsPlusNormal"/>
        <w:jc w:val="center"/>
      </w:pPr>
      <w:bookmarkStart w:id="482" w:name="P12353"/>
      <w:bookmarkEnd w:id="482"/>
      <w:r>
        <w:rPr>
          <w:b/>
          <w:i/>
        </w:rPr>
        <w:t>Рисунок Г.3</w:t>
      </w:r>
      <w:r>
        <w:t xml:space="preserve"> </w:t>
      </w:r>
      <w:r>
        <w:rPr>
          <w:b/>
        </w:rPr>
        <w:t>- Схемы габаритов приближения</w:t>
      </w:r>
    </w:p>
    <w:p w:rsidR="00212513" w:rsidRDefault="00212513">
      <w:pPr>
        <w:pStyle w:val="ConsPlusNormal"/>
        <w:jc w:val="center"/>
      </w:pPr>
      <w:r>
        <w:rPr>
          <w:b/>
        </w:rPr>
        <w:t>конструкций под путепроводами</w:t>
      </w:r>
    </w:p>
    <w:p w:rsidR="00212513" w:rsidRDefault="00212513">
      <w:pPr>
        <w:pStyle w:val="ConsPlusNormal"/>
        <w:ind w:firstLine="540"/>
        <w:jc w:val="both"/>
      </w:pPr>
    </w:p>
    <w:p w:rsidR="00212513" w:rsidRDefault="00212513">
      <w:pPr>
        <w:pStyle w:val="ConsPlusNormal"/>
        <w:ind w:firstLine="540"/>
        <w:jc w:val="both"/>
      </w:pPr>
      <w:r>
        <w:t>При расположении опор на разделительной полосе расстояние от кромки проезжей части до грани опоры должно быть, не менее, м:</w:t>
      </w:r>
    </w:p>
    <w:p w:rsidR="00212513" w:rsidRDefault="00212513">
      <w:pPr>
        <w:pStyle w:val="ConsPlusNonformat"/>
        <w:spacing w:before="200"/>
        <w:jc w:val="both"/>
      </w:pPr>
      <w:r>
        <w:t xml:space="preserve">    на дорогах I категории       2,0 для парапетных ограждений и</w:t>
      </w:r>
    </w:p>
    <w:p w:rsidR="00212513" w:rsidRDefault="00212513">
      <w:pPr>
        <w:pStyle w:val="ConsPlusNonformat"/>
        <w:jc w:val="both"/>
      </w:pPr>
      <w:r>
        <w:t xml:space="preserve">                                 2,25 для барьерных ограждений</w:t>
      </w:r>
    </w:p>
    <w:p w:rsidR="00212513" w:rsidRDefault="00212513">
      <w:pPr>
        <w:pStyle w:val="ConsPlusNonformat"/>
        <w:jc w:val="both"/>
      </w:pPr>
      <w:r>
        <w:t xml:space="preserve">                                 (в том числе полоса безопасности 1,5 м);</w:t>
      </w:r>
    </w:p>
    <w:p w:rsidR="00212513" w:rsidRDefault="00212513">
      <w:pPr>
        <w:pStyle w:val="ConsPlusNonformat"/>
        <w:jc w:val="both"/>
      </w:pPr>
      <w:r>
        <w:t xml:space="preserve">    на городских дорогах         1,5 для парапетных ограждений и</w:t>
      </w:r>
    </w:p>
    <w:p w:rsidR="00212513" w:rsidRDefault="00212513">
      <w:pPr>
        <w:pStyle w:val="ConsPlusNonformat"/>
        <w:jc w:val="both"/>
      </w:pPr>
      <w:r>
        <w:t xml:space="preserve">    и улицах                     1,75 для барьерных ограждений</w:t>
      </w:r>
    </w:p>
    <w:p w:rsidR="00212513" w:rsidRDefault="00212513">
      <w:pPr>
        <w:pStyle w:val="ConsPlusNonformat"/>
        <w:jc w:val="both"/>
      </w:pPr>
      <w:r>
        <w:t xml:space="preserve">                                 (в том числе полоса безопасности 1,0 м).</w:t>
      </w:r>
    </w:p>
    <w:p w:rsidR="00212513" w:rsidRDefault="00212513">
      <w:pPr>
        <w:pStyle w:val="ConsPlusNormal"/>
        <w:ind w:firstLine="540"/>
        <w:jc w:val="both"/>
      </w:pPr>
      <w:r>
        <w:t>Габариты по высоте под путепроводами через городские улицы и дороги следует принимать:</w:t>
      </w:r>
    </w:p>
    <w:p w:rsidR="00212513" w:rsidRDefault="00212513">
      <w:pPr>
        <w:pStyle w:val="ConsPlusNormal"/>
        <w:spacing w:before="220"/>
        <w:ind w:firstLine="540"/>
        <w:jc w:val="both"/>
      </w:pPr>
      <w:r>
        <w:t xml:space="preserve">при отсутствии трамвайных путей - по </w:t>
      </w:r>
      <w:hyperlink w:anchor="P12103">
        <w:r>
          <w:rPr>
            <w:color w:val="0000FF"/>
          </w:rPr>
          <w:t>Г.2</w:t>
        </w:r>
      </w:hyperlink>
      <w:r>
        <w:t>;</w:t>
      </w:r>
    </w:p>
    <w:p w:rsidR="00212513" w:rsidRDefault="00212513">
      <w:pPr>
        <w:pStyle w:val="ConsPlusNormal"/>
        <w:spacing w:before="220"/>
        <w:ind w:firstLine="540"/>
        <w:jc w:val="both"/>
      </w:pPr>
      <w:r>
        <w:t xml:space="preserve">при наличии трамвайных путей - по </w:t>
      </w:r>
      <w:hyperlink w:anchor="P12324">
        <w:r>
          <w:rPr>
            <w:color w:val="0000FF"/>
          </w:rPr>
          <w:t>рисунку Г.2</w:t>
        </w:r>
      </w:hyperlink>
      <w:r>
        <w:t>;</w:t>
      </w:r>
    </w:p>
    <w:p w:rsidR="00212513" w:rsidRDefault="00212513">
      <w:pPr>
        <w:pStyle w:val="ConsPlusNormal"/>
        <w:spacing w:before="220"/>
        <w:ind w:firstLine="540"/>
        <w:jc w:val="both"/>
      </w:pPr>
      <w:r>
        <w:t xml:space="preserve">при наличии троллейбусного движения - по </w:t>
      </w:r>
      <w:hyperlink w:anchor="P12324">
        <w:r>
          <w:rPr>
            <w:color w:val="0000FF"/>
          </w:rPr>
          <w:t>рисунку Г.2</w:t>
        </w:r>
      </w:hyperlink>
      <w:r>
        <w:t xml:space="preserve"> и </w:t>
      </w:r>
      <w:hyperlink r:id="rId3163">
        <w:r>
          <w:rPr>
            <w:color w:val="0000FF"/>
          </w:rPr>
          <w:t>СП 98.13330</w:t>
        </w:r>
      </w:hyperlink>
      <w:r>
        <w:t>.</w:t>
      </w:r>
    </w:p>
    <w:p w:rsidR="00212513" w:rsidRDefault="00212513">
      <w:pPr>
        <w:pStyle w:val="ConsPlusNormal"/>
        <w:jc w:val="both"/>
      </w:pPr>
      <w:r>
        <w:t xml:space="preserve">(абзац введен </w:t>
      </w:r>
      <w:hyperlink r:id="rId3164">
        <w:r>
          <w:rPr>
            <w:color w:val="0000FF"/>
          </w:rPr>
          <w:t>Изменением N 1</w:t>
        </w:r>
      </w:hyperlink>
      <w:r>
        <w:t>, утв. Приказом Минстроя России от 03.12.2016 N 879/пр)</w:t>
      </w:r>
    </w:p>
    <w:p w:rsidR="00212513" w:rsidRDefault="00212513">
      <w:pPr>
        <w:pStyle w:val="ConsPlusNormal"/>
        <w:spacing w:before="220"/>
        <w:ind w:firstLine="540"/>
        <w:jc w:val="both"/>
      </w:pPr>
      <w:r>
        <w:t xml:space="preserve">Габариты по высоте под путепроводами через дороги III-п и IV-п категорий следует принимать по </w:t>
      </w:r>
      <w:hyperlink w:anchor="P12103">
        <w:r>
          <w:rPr>
            <w:color w:val="0000FF"/>
          </w:rPr>
          <w:t>Г.2</w:t>
        </w:r>
      </w:hyperlink>
      <w:r>
        <w:t xml:space="preserve"> настоящего приложения.</w:t>
      </w:r>
    </w:p>
    <w:p w:rsidR="00212513" w:rsidRDefault="00212513">
      <w:pPr>
        <w:pStyle w:val="ConsPlusNormal"/>
        <w:spacing w:before="220"/>
        <w:ind w:firstLine="540"/>
        <w:jc w:val="both"/>
      </w:pPr>
      <w:r>
        <w:t>Г.10 При пересечении городских скоростных дорог и улиц опоры всех видов следует располагать на расстоянии не менее 1,0 м от ограждения (бордюра).</w:t>
      </w:r>
    </w:p>
    <w:p w:rsidR="00212513" w:rsidRDefault="00212513">
      <w:pPr>
        <w:pStyle w:val="ConsPlusNormal"/>
        <w:spacing w:before="220"/>
        <w:ind w:firstLine="540"/>
        <w:jc w:val="both"/>
      </w:pPr>
      <w:r>
        <w:t xml:space="preserve">Стенки (устои) городских путепроводов тоннельного типа следует располагать на границах габаритов приближения конструкций под путепроводами согласно </w:t>
      </w:r>
      <w:hyperlink w:anchor="P12353">
        <w:r>
          <w:rPr>
            <w:color w:val="0000FF"/>
          </w:rPr>
          <w:t>рисунку Г.3</w:t>
        </w:r>
      </w:hyperlink>
      <w:r>
        <w:t>.</w:t>
      </w:r>
    </w:p>
    <w:p w:rsidR="00212513" w:rsidRDefault="00212513">
      <w:pPr>
        <w:pStyle w:val="ConsPlusNormal"/>
        <w:spacing w:before="220"/>
        <w:ind w:firstLine="540"/>
        <w:jc w:val="both"/>
      </w:pPr>
      <w:r>
        <w:t xml:space="preserve">Г.11 Значения основных параметров ограждений и порядок их размещения следует принимать по </w:t>
      </w:r>
      <w:hyperlink r:id="rId3165">
        <w:r>
          <w:rPr>
            <w:color w:val="0000FF"/>
          </w:rPr>
          <w:t>ГОСТ Р 52289</w:t>
        </w:r>
      </w:hyperlink>
      <w:r>
        <w:t xml:space="preserve">, </w:t>
      </w:r>
      <w:hyperlink r:id="rId3166">
        <w:r>
          <w:rPr>
            <w:color w:val="0000FF"/>
          </w:rPr>
          <w:t>ГОСТ Р 52607</w:t>
        </w:r>
      </w:hyperlink>
      <w:r>
        <w:t>.</w:t>
      </w:r>
    </w:p>
    <w:p w:rsidR="00212513" w:rsidRDefault="00212513">
      <w:pPr>
        <w:pStyle w:val="ConsPlusNormal"/>
        <w:jc w:val="both"/>
      </w:pPr>
      <w:r>
        <w:t xml:space="preserve">(в ред. </w:t>
      </w:r>
      <w:hyperlink r:id="rId3167">
        <w:r>
          <w:rPr>
            <w:color w:val="0000FF"/>
          </w:rPr>
          <w:t>Изменения N 1</w:t>
        </w:r>
      </w:hyperlink>
      <w:r>
        <w:t>, утв. Приказом Минстроя России от 03.12.2016 N 879/пр)</w:t>
      </w: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jc w:val="right"/>
        <w:outlineLvl w:val="0"/>
      </w:pPr>
      <w:r>
        <w:rPr>
          <w:b/>
        </w:rPr>
        <w:t>Приложение Д</w:t>
      </w:r>
    </w:p>
    <w:p w:rsidR="00212513" w:rsidRDefault="00212513">
      <w:pPr>
        <w:pStyle w:val="ConsPlusNormal"/>
        <w:jc w:val="right"/>
      </w:pPr>
      <w:r>
        <w:rPr>
          <w:b/>
        </w:rPr>
        <w:t>(справочное)</w:t>
      </w:r>
    </w:p>
    <w:p w:rsidR="00212513" w:rsidRDefault="00212513">
      <w:pPr>
        <w:pStyle w:val="ConsPlusNormal"/>
        <w:ind w:firstLine="540"/>
        <w:jc w:val="both"/>
      </w:pPr>
    </w:p>
    <w:p w:rsidR="00212513" w:rsidRDefault="00212513">
      <w:pPr>
        <w:pStyle w:val="ConsPlusTitle"/>
        <w:jc w:val="center"/>
      </w:pPr>
      <w:bookmarkStart w:id="483" w:name="P12381"/>
      <w:bookmarkEnd w:id="483"/>
      <w:r>
        <w:t xml:space="preserve">КОЭФФИЦИЕНТ СОЧЕТАНИЙ </w:t>
      </w:r>
      <w:r>
        <w:rPr>
          <w:noProof/>
          <w:position w:val="-3"/>
        </w:rPr>
        <w:drawing>
          <wp:inline distT="0" distB="0" distL="0" distR="0">
            <wp:extent cx="137160" cy="177800"/>
            <wp:effectExtent l="0" t="0" r="0" b="0"/>
            <wp:docPr id="2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8" cstate="print">
                      <a:extLst>
                        <a:ext uri="{28A0092B-C50C-407E-A947-70E740481C1C}">
                          <a14:useLocalDpi xmlns:a14="http://schemas.microsoft.com/office/drawing/2010/main" val="0"/>
                        </a:ext>
                      </a:extLst>
                    </a:blip>
                    <a:srcRect/>
                    <a:stretch>
                      <a:fillRect/>
                    </a:stretch>
                  </pic:blipFill>
                  <pic:spPr bwMode="auto">
                    <a:xfrm>
                      <a:off x="0" y="0"/>
                      <a:ext cx="137160" cy="177800"/>
                    </a:xfrm>
                    <a:prstGeom prst="rect">
                      <a:avLst/>
                    </a:prstGeom>
                    <a:noFill/>
                    <a:ln>
                      <a:noFill/>
                    </a:ln>
                  </pic:spPr>
                </pic:pic>
              </a:graphicData>
            </a:graphic>
          </wp:inline>
        </w:drawing>
      </w:r>
      <w:r>
        <w:t xml:space="preserve"> ДЛЯ ВРЕМЕННЫХ</w:t>
      </w:r>
    </w:p>
    <w:p w:rsidR="00212513" w:rsidRDefault="00212513">
      <w:pPr>
        <w:pStyle w:val="ConsPlusTitle"/>
        <w:jc w:val="center"/>
      </w:pPr>
      <w:r>
        <w:t>НАГРУЗОК И ВОЗДЕЙСТВИЙ</w:t>
      </w:r>
    </w:p>
    <w:p w:rsidR="00212513" w:rsidRDefault="00212513">
      <w:pPr>
        <w:pStyle w:val="ConsPlusNormal"/>
        <w:ind w:firstLine="540"/>
        <w:jc w:val="both"/>
      </w:pPr>
    </w:p>
    <w:p w:rsidR="00212513" w:rsidRDefault="00212513">
      <w:pPr>
        <w:pStyle w:val="ConsPlusNormal"/>
        <w:sectPr w:rsidR="00212513">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55"/>
        <w:gridCol w:w="1814"/>
        <w:gridCol w:w="1145"/>
        <w:gridCol w:w="1145"/>
        <w:gridCol w:w="1145"/>
        <w:gridCol w:w="1145"/>
        <w:gridCol w:w="1145"/>
        <w:gridCol w:w="1145"/>
        <w:gridCol w:w="1145"/>
        <w:gridCol w:w="1145"/>
        <w:gridCol w:w="1145"/>
        <w:gridCol w:w="1145"/>
        <w:gridCol w:w="1145"/>
        <w:gridCol w:w="1145"/>
        <w:gridCol w:w="1150"/>
      </w:tblGrid>
      <w:tr w:rsidR="00212513">
        <w:tc>
          <w:tcPr>
            <w:tcW w:w="1155" w:type="dxa"/>
            <w:vMerge w:val="restart"/>
            <w:tcBorders>
              <w:top w:val="single" w:sz="4" w:space="0" w:color="auto"/>
              <w:bottom w:val="single" w:sz="4" w:space="0" w:color="auto"/>
            </w:tcBorders>
            <w:vAlign w:val="center"/>
          </w:tcPr>
          <w:p w:rsidR="00212513" w:rsidRDefault="00212513">
            <w:pPr>
              <w:pStyle w:val="ConsPlusNormal"/>
              <w:jc w:val="center"/>
            </w:pPr>
            <w:r>
              <w:lastRenderedPageBreak/>
              <w:t>Номера нагрузок (воздействий), наиболее неблагоприятных для данного расчета</w:t>
            </w:r>
          </w:p>
        </w:tc>
        <w:tc>
          <w:tcPr>
            <w:tcW w:w="1814" w:type="dxa"/>
            <w:vMerge w:val="restart"/>
            <w:tcBorders>
              <w:top w:val="single" w:sz="4" w:space="0" w:color="auto"/>
              <w:bottom w:val="single" w:sz="4" w:space="0" w:color="auto"/>
            </w:tcBorders>
            <w:vAlign w:val="center"/>
          </w:tcPr>
          <w:p w:rsidR="00212513" w:rsidRDefault="00212513">
            <w:pPr>
              <w:pStyle w:val="ConsPlusNormal"/>
              <w:jc w:val="center"/>
            </w:pPr>
            <w:r>
              <w:t>Номера комбинаций нагрузок (воздействий), действующих одновременно или порознь с наиболее неблагоприятными</w:t>
            </w:r>
          </w:p>
        </w:tc>
        <w:tc>
          <w:tcPr>
            <w:tcW w:w="14890" w:type="dxa"/>
            <w:gridSpan w:val="13"/>
            <w:tcBorders>
              <w:top w:val="single" w:sz="4" w:space="0" w:color="auto"/>
              <w:bottom w:val="single" w:sz="4" w:space="0" w:color="auto"/>
            </w:tcBorders>
            <w:vAlign w:val="center"/>
          </w:tcPr>
          <w:p w:rsidR="00212513" w:rsidRDefault="00212513">
            <w:pPr>
              <w:pStyle w:val="ConsPlusNormal"/>
              <w:jc w:val="center"/>
            </w:pPr>
            <w:r>
              <w:t>Коэффициент эта при различных комбинациях временных нагрузок и воздействий</w:t>
            </w:r>
          </w:p>
        </w:tc>
      </w:tr>
      <w:tr w:rsidR="00212513">
        <w:tc>
          <w:tcPr>
            <w:tcW w:w="1155" w:type="dxa"/>
            <w:vMerge/>
            <w:tcBorders>
              <w:top w:val="single" w:sz="4" w:space="0" w:color="auto"/>
              <w:bottom w:val="single" w:sz="4" w:space="0" w:color="auto"/>
            </w:tcBorders>
          </w:tcPr>
          <w:p w:rsidR="00212513" w:rsidRDefault="00212513">
            <w:pPr>
              <w:pStyle w:val="ConsPlusNormal"/>
            </w:pPr>
          </w:p>
        </w:tc>
        <w:tc>
          <w:tcPr>
            <w:tcW w:w="1814" w:type="dxa"/>
            <w:vMerge/>
            <w:tcBorders>
              <w:top w:val="single" w:sz="4" w:space="0" w:color="auto"/>
              <w:bottom w:val="single" w:sz="4" w:space="0" w:color="auto"/>
            </w:tcBorders>
          </w:tcPr>
          <w:p w:rsidR="00212513" w:rsidRDefault="00212513">
            <w:pPr>
              <w:pStyle w:val="ConsPlusNormal"/>
            </w:pPr>
          </w:p>
        </w:tc>
        <w:tc>
          <w:tcPr>
            <w:tcW w:w="1145" w:type="dxa"/>
            <w:tcBorders>
              <w:top w:val="single" w:sz="4" w:space="0" w:color="auto"/>
              <w:bottom w:val="single" w:sz="4" w:space="0" w:color="auto"/>
            </w:tcBorders>
            <w:vAlign w:val="center"/>
          </w:tcPr>
          <w:p w:rsidR="00212513" w:rsidRDefault="00212513">
            <w:pPr>
              <w:pStyle w:val="ConsPlusNormal"/>
              <w:jc w:val="center"/>
            </w:pPr>
            <w:hyperlink w:anchor="P910">
              <w:r>
                <w:rPr>
                  <w:color w:val="0000FF"/>
                </w:rPr>
                <w:t>N 7</w:t>
              </w:r>
            </w:hyperlink>
            <w:r>
              <w:t xml:space="preserve"> (временные вертикальные нагрузки)</w:t>
            </w:r>
          </w:p>
        </w:tc>
        <w:tc>
          <w:tcPr>
            <w:tcW w:w="1145" w:type="dxa"/>
            <w:tcBorders>
              <w:top w:val="single" w:sz="4" w:space="0" w:color="auto"/>
              <w:bottom w:val="single" w:sz="4" w:space="0" w:color="auto"/>
            </w:tcBorders>
            <w:vAlign w:val="center"/>
          </w:tcPr>
          <w:p w:rsidR="00212513" w:rsidRDefault="00212513">
            <w:pPr>
              <w:pStyle w:val="ConsPlusNormal"/>
              <w:jc w:val="center"/>
            </w:pPr>
            <w:hyperlink w:anchor="P913">
              <w:r>
                <w:rPr>
                  <w:color w:val="0000FF"/>
                </w:rPr>
                <w:t>N 8</w:t>
              </w:r>
            </w:hyperlink>
            <w:r>
              <w:t xml:space="preserve"> (давление грунта от подвижного состава)</w:t>
            </w:r>
          </w:p>
        </w:tc>
        <w:tc>
          <w:tcPr>
            <w:tcW w:w="1145" w:type="dxa"/>
            <w:tcBorders>
              <w:top w:val="single" w:sz="4" w:space="0" w:color="auto"/>
              <w:bottom w:val="single" w:sz="4" w:space="0" w:color="auto"/>
            </w:tcBorders>
            <w:vAlign w:val="center"/>
          </w:tcPr>
          <w:p w:rsidR="00212513" w:rsidRDefault="00212513">
            <w:pPr>
              <w:pStyle w:val="ConsPlusNormal"/>
              <w:jc w:val="center"/>
            </w:pPr>
            <w:hyperlink w:anchor="P916">
              <w:r>
                <w:rPr>
                  <w:color w:val="0000FF"/>
                </w:rPr>
                <w:t>N 9</w:t>
              </w:r>
            </w:hyperlink>
            <w:r>
              <w:t xml:space="preserve"> (центробежная сила)</w:t>
            </w:r>
          </w:p>
        </w:tc>
        <w:tc>
          <w:tcPr>
            <w:tcW w:w="1145" w:type="dxa"/>
            <w:tcBorders>
              <w:top w:val="single" w:sz="4" w:space="0" w:color="auto"/>
              <w:bottom w:val="single" w:sz="4" w:space="0" w:color="auto"/>
            </w:tcBorders>
            <w:vAlign w:val="center"/>
          </w:tcPr>
          <w:p w:rsidR="00212513" w:rsidRDefault="00212513">
            <w:pPr>
              <w:pStyle w:val="ConsPlusNormal"/>
              <w:jc w:val="center"/>
            </w:pPr>
            <w:hyperlink w:anchor="P919">
              <w:r>
                <w:rPr>
                  <w:color w:val="0000FF"/>
                </w:rPr>
                <w:t>N 10</w:t>
              </w:r>
            </w:hyperlink>
            <w:r>
              <w:t xml:space="preserve"> (поперечные удары подвижного состава)</w:t>
            </w:r>
          </w:p>
        </w:tc>
        <w:tc>
          <w:tcPr>
            <w:tcW w:w="1145" w:type="dxa"/>
            <w:tcBorders>
              <w:top w:val="single" w:sz="4" w:space="0" w:color="auto"/>
              <w:bottom w:val="single" w:sz="4" w:space="0" w:color="auto"/>
            </w:tcBorders>
            <w:vAlign w:val="center"/>
          </w:tcPr>
          <w:p w:rsidR="00212513" w:rsidRDefault="00212513">
            <w:pPr>
              <w:pStyle w:val="ConsPlusNormal"/>
              <w:jc w:val="center"/>
            </w:pPr>
            <w:hyperlink w:anchor="P922">
              <w:r>
                <w:rPr>
                  <w:color w:val="0000FF"/>
                </w:rPr>
                <w:t>N 11</w:t>
              </w:r>
            </w:hyperlink>
            <w:r>
              <w:t xml:space="preserve"> (торможение или сила тяги)</w:t>
            </w:r>
          </w:p>
        </w:tc>
        <w:tc>
          <w:tcPr>
            <w:tcW w:w="1145" w:type="dxa"/>
            <w:tcBorders>
              <w:top w:val="single" w:sz="4" w:space="0" w:color="auto"/>
              <w:bottom w:val="single" w:sz="4" w:space="0" w:color="auto"/>
            </w:tcBorders>
            <w:vAlign w:val="center"/>
          </w:tcPr>
          <w:p w:rsidR="00212513" w:rsidRDefault="00212513">
            <w:pPr>
              <w:pStyle w:val="ConsPlusNormal"/>
              <w:jc w:val="center"/>
            </w:pPr>
            <w:hyperlink w:anchor="P926">
              <w:r>
                <w:rPr>
                  <w:color w:val="0000FF"/>
                </w:rPr>
                <w:t>N 12</w:t>
              </w:r>
            </w:hyperlink>
            <w:r>
              <w:t xml:space="preserve"> (ветровая нагрузка)</w:t>
            </w:r>
          </w:p>
        </w:tc>
        <w:tc>
          <w:tcPr>
            <w:tcW w:w="1145" w:type="dxa"/>
            <w:tcBorders>
              <w:top w:val="single" w:sz="4" w:space="0" w:color="auto"/>
              <w:bottom w:val="single" w:sz="4" w:space="0" w:color="auto"/>
            </w:tcBorders>
            <w:vAlign w:val="center"/>
          </w:tcPr>
          <w:p w:rsidR="00212513" w:rsidRDefault="00212513">
            <w:pPr>
              <w:pStyle w:val="ConsPlusNormal"/>
              <w:jc w:val="center"/>
            </w:pPr>
            <w:hyperlink w:anchor="P929">
              <w:r>
                <w:rPr>
                  <w:color w:val="0000FF"/>
                </w:rPr>
                <w:t>N 13</w:t>
              </w:r>
            </w:hyperlink>
            <w:r>
              <w:t xml:space="preserve"> (ледовая нагрузка)</w:t>
            </w:r>
          </w:p>
        </w:tc>
        <w:tc>
          <w:tcPr>
            <w:tcW w:w="1145" w:type="dxa"/>
            <w:tcBorders>
              <w:top w:val="single" w:sz="4" w:space="0" w:color="auto"/>
              <w:bottom w:val="single" w:sz="4" w:space="0" w:color="auto"/>
            </w:tcBorders>
            <w:vAlign w:val="center"/>
          </w:tcPr>
          <w:p w:rsidR="00212513" w:rsidRDefault="00212513">
            <w:pPr>
              <w:pStyle w:val="ConsPlusNormal"/>
              <w:jc w:val="center"/>
            </w:pPr>
            <w:hyperlink w:anchor="P932">
              <w:r>
                <w:rPr>
                  <w:color w:val="0000FF"/>
                </w:rPr>
                <w:t>N 14</w:t>
              </w:r>
            </w:hyperlink>
            <w:r>
              <w:t xml:space="preserve"> (нагрузка от навала судов)</w:t>
            </w:r>
          </w:p>
        </w:tc>
        <w:tc>
          <w:tcPr>
            <w:tcW w:w="1145" w:type="dxa"/>
            <w:tcBorders>
              <w:top w:val="single" w:sz="4" w:space="0" w:color="auto"/>
              <w:bottom w:val="single" w:sz="4" w:space="0" w:color="auto"/>
            </w:tcBorders>
            <w:vAlign w:val="center"/>
          </w:tcPr>
          <w:p w:rsidR="00212513" w:rsidRDefault="00212513">
            <w:pPr>
              <w:pStyle w:val="ConsPlusNormal"/>
              <w:jc w:val="center"/>
            </w:pPr>
            <w:hyperlink w:anchor="P935">
              <w:r>
                <w:rPr>
                  <w:color w:val="0000FF"/>
                </w:rPr>
                <w:t>N 15</w:t>
              </w:r>
            </w:hyperlink>
            <w:r>
              <w:t xml:space="preserve"> (температурные климатические воздействия)</w:t>
            </w:r>
          </w:p>
        </w:tc>
        <w:tc>
          <w:tcPr>
            <w:tcW w:w="1145" w:type="dxa"/>
            <w:tcBorders>
              <w:top w:val="single" w:sz="4" w:space="0" w:color="auto"/>
              <w:bottom w:val="single" w:sz="4" w:space="0" w:color="auto"/>
            </w:tcBorders>
            <w:vAlign w:val="center"/>
          </w:tcPr>
          <w:p w:rsidR="00212513" w:rsidRDefault="00212513">
            <w:pPr>
              <w:pStyle w:val="ConsPlusNormal"/>
              <w:jc w:val="center"/>
            </w:pPr>
            <w:hyperlink w:anchor="P938">
              <w:r>
                <w:rPr>
                  <w:color w:val="0000FF"/>
                </w:rPr>
                <w:t>N 16</w:t>
              </w:r>
            </w:hyperlink>
            <w:r>
              <w:t xml:space="preserve"> (воздействие морозного пучения грунта)</w:t>
            </w:r>
          </w:p>
        </w:tc>
        <w:tc>
          <w:tcPr>
            <w:tcW w:w="1145" w:type="dxa"/>
            <w:tcBorders>
              <w:top w:val="single" w:sz="4" w:space="0" w:color="auto"/>
              <w:bottom w:val="single" w:sz="4" w:space="0" w:color="auto"/>
            </w:tcBorders>
            <w:vAlign w:val="center"/>
          </w:tcPr>
          <w:p w:rsidR="00212513" w:rsidRDefault="00212513">
            <w:pPr>
              <w:pStyle w:val="ConsPlusNormal"/>
              <w:jc w:val="center"/>
            </w:pPr>
            <w:hyperlink w:anchor="P941">
              <w:r>
                <w:rPr>
                  <w:color w:val="0000FF"/>
                </w:rPr>
                <w:t>N 17</w:t>
              </w:r>
            </w:hyperlink>
            <w:r>
              <w:t xml:space="preserve"> (строительные нагрузки)</w:t>
            </w:r>
          </w:p>
        </w:tc>
        <w:tc>
          <w:tcPr>
            <w:tcW w:w="1145" w:type="dxa"/>
            <w:tcBorders>
              <w:top w:val="single" w:sz="4" w:space="0" w:color="auto"/>
              <w:bottom w:val="single" w:sz="4" w:space="0" w:color="auto"/>
            </w:tcBorders>
            <w:vAlign w:val="center"/>
          </w:tcPr>
          <w:p w:rsidR="00212513" w:rsidRDefault="00212513">
            <w:pPr>
              <w:pStyle w:val="ConsPlusNormal"/>
              <w:jc w:val="center"/>
            </w:pPr>
            <w:hyperlink w:anchor="P944">
              <w:r>
                <w:rPr>
                  <w:color w:val="0000FF"/>
                </w:rPr>
                <w:t>N 18</w:t>
              </w:r>
            </w:hyperlink>
            <w:r>
              <w:t xml:space="preserve"> (сейсмические нагрузки)</w:t>
            </w:r>
          </w:p>
        </w:tc>
        <w:tc>
          <w:tcPr>
            <w:tcW w:w="1150" w:type="dxa"/>
            <w:tcBorders>
              <w:top w:val="single" w:sz="4" w:space="0" w:color="auto"/>
              <w:bottom w:val="single" w:sz="4" w:space="0" w:color="auto"/>
            </w:tcBorders>
            <w:vAlign w:val="center"/>
          </w:tcPr>
          <w:p w:rsidR="00212513" w:rsidRDefault="00212513">
            <w:pPr>
              <w:pStyle w:val="ConsPlusNormal"/>
              <w:jc w:val="center"/>
            </w:pPr>
            <w:hyperlink w:anchor="P947">
              <w:r>
                <w:rPr>
                  <w:color w:val="0000FF"/>
                </w:rPr>
                <w:t>N 19</w:t>
              </w:r>
            </w:hyperlink>
            <w:r>
              <w:t xml:space="preserve"> (трение или сопротивление сдвигу в опорных частях)</w:t>
            </w:r>
          </w:p>
        </w:tc>
      </w:tr>
      <w:tr w:rsidR="00212513">
        <w:tc>
          <w:tcPr>
            <w:tcW w:w="1155" w:type="dxa"/>
            <w:vMerge w:val="restart"/>
            <w:tcBorders>
              <w:top w:val="single" w:sz="4" w:space="0" w:color="auto"/>
              <w:bottom w:val="nil"/>
            </w:tcBorders>
          </w:tcPr>
          <w:p w:rsidR="00212513" w:rsidRDefault="00212513">
            <w:pPr>
              <w:pStyle w:val="ConsPlusNormal"/>
              <w:jc w:val="center"/>
            </w:pPr>
            <w:hyperlink w:anchor="P910">
              <w:r>
                <w:rPr>
                  <w:color w:val="0000FF"/>
                </w:rPr>
                <w:t>7</w:t>
              </w:r>
            </w:hyperlink>
            <w:r>
              <w:t xml:space="preserve"> и </w:t>
            </w:r>
            <w:hyperlink w:anchor="P913">
              <w:r>
                <w:rPr>
                  <w:color w:val="0000FF"/>
                </w:rPr>
                <w:t>8</w:t>
              </w:r>
            </w:hyperlink>
          </w:p>
        </w:tc>
        <w:tc>
          <w:tcPr>
            <w:tcW w:w="1814" w:type="dxa"/>
            <w:tcBorders>
              <w:top w:val="single" w:sz="4" w:space="0" w:color="auto"/>
              <w:bottom w:val="nil"/>
            </w:tcBorders>
          </w:tcPr>
          <w:p w:rsidR="00212513" w:rsidRDefault="00212513">
            <w:pPr>
              <w:pStyle w:val="ConsPlusNormal"/>
              <w:jc w:val="center"/>
            </w:pPr>
            <w:hyperlink w:anchor="P916">
              <w:r>
                <w:rPr>
                  <w:color w:val="0000FF"/>
                </w:rPr>
                <w:t>9</w:t>
              </w:r>
            </w:hyperlink>
          </w:p>
        </w:tc>
        <w:tc>
          <w:tcPr>
            <w:tcW w:w="1145" w:type="dxa"/>
            <w:tcBorders>
              <w:top w:val="single" w:sz="4" w:space="0" w:color="auto"/>
              <w:bottom w:val="nil"/>
            </w:tcBorders>
          </w:tcPr>
          <w:p w:rsidR="00212513" w:rsidRDefault="00212513">
            <w:pPr>
              <w:pStyle w:val="ConsPlusNormal"/>
              <w:jc w:val="center"/>
            </w:pPr>
            <w:r>
              <w:t>1</w:t>
            </w:r>
          </w:p>
        </w:tc>
        <w:tc>
          <w:tcPr>
            <w:tcW w:w="1145" w:type="dxa"/>
            <w:tcBorders>
              <w:top w:val="single" w:sz="4" w:space="0" w:color="auto"/>
              <w:bottom w:val="nil"/>
            </w:tcBorders>
          </w:tcPr>
          <w:p w:rsidR="00212513" w:rsidRDefault="00212513">
            <w:pPr>
              <w:pStyle w:val="ConsPlusNormal"/>
              <w:jc w:val="center"/>
            </w:pPr>
            <w:r>
              <w:t>1</w:t>
            </w:r>
          </w:p>
        </w:tc>
        <w:tc>
          <w:tcPr>
            <w:tcW w:w="1145" w:type="dxa"/>
            <w:tcBorders>
              <w:top w:val="single" w:sz="4" w:space="0" w:color="auto"/>
              <w:bottom w:val="nil"/>
            </w:tcBorders>
          </w:tcPr>
          <w:p w:rsidR="00212513" w:rsidRDefault="00212513">
            <w:pPr>
              <w:pStyle w:val="ConsPlusNormal"/>
              <w:jc w:val="center"/>
            </w:pPr>
            <w:r>
              <w:t>1</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rPr>
                <w:i/>
              </w:rPr>
              <w:t>-</w:t>
            </w:r>
          </w:p>
        </w:tc>
        <w:tc>
          <w:tcPr>
            <w:tcW w:w="1150" w:type="dxa"/>
            <w:tcBorders>
              <w:top w:val="single" w:sz="4" w:space="0" w:color="auto"/>
              <w:bottom w:val="nil"/>
            </w:tcBorders>
          </w:tcPr>
          <w:p w:rsidR="00212513" w:rsidRDefault="00212513">
            <w:pPr>
              <w:pStyle w:val="ConsPlusNormal"/>
              <w:jc w:val="center"/>
            </w:pPr>
            <w:r>
              <w:t>-</w:t>
            </w:r>
          </w:p>
        </w:tc>
      </w:tr>
      <w:tr w:rsidR="00212513">
        <w:tblPrEx>
          <w:tblBorders>
            <w:insideH w:val="none" w:sz="0" w:space="0" w:color="auto"/>
          </w:tblBorders>
        </w:tblPrEx>
        <w:tc>
          <w:tcPr>
            <w:tcW w:w="1155" w:type="dxa"/>
            <w:vMerge/>
            <w:tcBorders>
              <w:top w:val="single" w:sz="4" w:space="0" w:color="auto"/>
              <w:bottom w:val="nil"/>
            </w:tcBorders>
          </w:tcPr>
          <w:p w:rsidR="00212513" w:rsidRDefault="00212513">
            <w:pPr>
              <w:pStyle w:val="ConsPlusNormal"/>
            </w:pPr>
          </w:p>
        </w:tc>
        <w:tc>
          <w:tcPr>
            <w:tcW w:w="1814" w:type="dxa"/>
            <w:tcBorders>
              <w:top w:val="nil"/>
              <w:bottom w:val="nil"/>
            </w:tcBorders>
          </w:tcPr>
          <w:p w:rsidR="00212513" w:rsidRDefault="00212513">
            <w:pPr>
              <w:pStyle w:val="ConsPlusNormal"/>
              <w:jc w:val="center"/>
            </w:pPr>
            <w:hyperlink w:anchor="P919">
              <w:r>
                <w:rPr>
                  <w:color w:val="0000FF"/>
                </w:rPr>
                <w:t>10</w:t>
              </w:r>
            </w:hyperlink>
          </w:p>
        </w:tc>
        <w:tc>
          <w:tcPr>
            <w:tcW w:w="1145" w:type="dxa"/>
            <w:tcBorders>
              <w:top w:val="nil"/>
              <w:bottom w:val="nil"/>
            </w:tcBorders>
          </w:tcPr>
          <w:p w:rsidR="00212513" w:rsidRDefault="00212513">
            <w:pPr>
              <w:pStyle w:val="ConsPlusNormal"/>
              <w:jc w:val="center"/>
            </w:pPr>
            <w:r>
              <w:t>1</w:t>
            </w:r>
          </w:p>
        </w:tc>
        <w:tc>
          <w:tcPr>
            <w:tcW w:w="1145" w:type="dxa"/>
            <w:tcBorders>
              <w:top w:val="nil"/>
              <w:bottom w:val="nil"/>
            </w:tcBorders>
          </w:tcPr>
          <w:p w:rsidR="00212513" w:rsidRDefault="00212513">
            <w:pPr>
              <w:pStyle w:val="ConsPlusNormal"/>
              <w:jc w:val="center"/>
            </w:pPr>
            <w:r>
              <w:t>1</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1</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50" w:type="dxa"/>
            <w:tcBorders>
              <w:top w:val="nil"/>
              <w:bottom w:val="nil"/>
            </w:tcBorders>
          </w:tcPr>
          <w:p w:rsidR="00212513" w:rsidRDefault="00212513">
            <w:pPr>
              <w:pStyle w:val="ConsPlusNormal"/>
              <w:jc w:val="center"/>
            </w:pPr>
            <w:r>
              <w:t>-</w:t>
            </w:r>
          </w:p>
        </w:tc>
      </w:tr>
      <w:tr w:rsidR="00212513">
        <w:tblPrEx>
          <w:tblBorders>
            <w:insideH w:val="none" w:sz="0" w:space="0" w:color="auto"/>
          </w:tblBorders>
        </w:tblPrEx>
        <w:tc>
          <w:tcPr>
            <w:tcW w:w="1155" w:type="dxa"/>
            <w:vMerge/>
            <w:tcBorders>
              <w:top w:val="single" w:sz="4" w:space="0" w:color="auto"/>
              <w:bottom w:val="nil"/>
            </w:tcBorders>
          </w:tcPr>
          <w:p w:rsidR="00212513" w:rsidRDefault="00212513">
            <w:pPr>
              <w:pStyle w:val="ConsPlusNormal"/>
            </w:pPr>
          </w:p>
        </w:tc>
        <w:tc>
          <w:tcPr>
            <w:tcW w:w="1814" w:type="dxa"/>
            <w:tcBorders>
              <w:top w:val="nil"/>
              <w:bottom w:val="nil"/>
            </w:tcBorders>
          </w:tcPr>
          <w:p w:rsidR="00212513" w:rsidRDefault="00212513">
            <w:pPr>
              <w:pStyle w:val="ConsPlusNormal"/>
              <w:jc w:val="center"/>
            </w:pPr>
            <w:hyperlink w:anchor="P916">
              <w:r>
                <w:rPr>
                  <w:color w:val="0000FF"/>
                </w:rPr>
                <w:t>9</w:t>
              </w:r>
            </w:hyperlink>
            <w:r>
              <w:t xml:space="preserve">, </w:t>
            </w:r>
            <w:hyperlink w:anchor="P922">
              <w:r>
                <w:rPr>
                  <w:color w:val="0000FF"/>
                </w:rPr>
                <w:t>11</w:t>
              </w:r>
            </w:hyperlink>
            <w:r>
              <w:t xml:space="preserve">, </w:t>
            </w:r>
            <w:hyperlink w:anchor="P926">
              <w:r>
                <w:rPr>
                  <w:color w:val="0000FF"/>
                </w:rPr>
                <w:t>12</w:t>
              </w:r>
            </w:hyperlink>
            <w:r>
              <w:t xml:space="preserve">, </w:t>
            </w:r>
            <w:hyperlink w:anchor="P935">
              <w:r>
                <w:rPr>
                  <w:color w:val="0000FF"/>
                </w:rPr>
                <w:t>15</w:t>
              </w:r>
            </w:hyperlink>
          </w:p>
        </w:tc>
        <w:tc>
          <w:tcPr>
            <w:tcW w:w="1145" w:type="dxa"/>
            <w:tcBorders>
              <w:top w:val="nil"/>
              <w:bottom w:val="nil"/>
            </w:tcBorders>
          </w:tcPr>
          <w:p w:rsidR="00212513" w:rsidRDefault="00212513">
            <w:pPr>
              <w:pStyle w:val="ConsPlusNormal"/>
              <w:jc w:val="center"/>
            </w:pPr>
            <w:r>
              <w:t>0,8</w:t>
            </w:r>
          </w:p>
        </w:tc>
        <w:tc>
          <w:tcPr>
            <w:tcW w:w="1145" w:type="dxa"/>
            <w:tcBorders>
              <w:top w:val="nil"/>
              <w:bottom w:val="nil"/>
            </w:tcBorders>
          </w:tcPr>
          <w:p w:rsidR="00212513" w:rsidRDefault="00212513">
            <w:pPr>
              <w:pStyle w:val="ConsPlusNormal"/>
              <w:jc w:val="center"/>
            </w:pPr>
            <w:r>
              <w:t>0,8</w:t>
            </w:r>
          </w:p>
        </w:tc>
        <w:tc>
          <w:tcPr>
            <w:tcW w:w="1145" w:type="dxa"/>
            <w:tcBorders>
              <w:top w:val="nil"/>
              <w:bottom w:val="nil"/>
            </w:tcBorders>
          </w:tcPr>
          <w:p w:rsidR="00212513" w:rsidRDefault="00212513">
            <w:pPr>
              <w:pStyle w:val="ConsPlusNormal"/>
              <w:jc w:val="center"/>
            </w:pPr>
            <w:r>
              <w:t>0,8</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0,50</w:t>
            </w:r>
          </w:p>
          <w:p w:rsidR="00212513" w:rsidRDefault="00212513">
            <w:pPr>
              <w:pStyle w:val="ConsPlusNormal"/>
              <w:jc w:val="center"/>
            </w:pPr>
            <w:r>
              <w:t>-----</w:t>
            </w:r>
          </w:p>
          <w:p w:rsidR="00212513" w:rsidRDefault="00212513">
            <w:pPr>
              <w:pStyle w:val="ConsPlusNormal"/>
              <w:jc w:val="center"/>
            </w:pPr>
            <w:r>
              <w:t>0,35</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50" w:type="dxa"/>
            <w:tcBorders>
              <w:top w:val="nil"/>
              <w:bottom w:val="nil"/>
            </w:tcBorders>
          </w:tcPr>
          <w:p w:rsidR="00212513" w:rsidRDefault="00212513">
            <w:pPr>
              <w:pStyle w:val="ConsPlusNormal"/>
              <w:jc w:val="center"/>
            </w:pPr>
            <w:r>
              <w:t>-</w:t>
            </w:r>
          </w:p>
        </w:tc>
      </w:tr>
      <w:tr w:rsidR="00212513">
        <w:tblPrEx>
          <w:tblBorders>
            <w:insideH w:val="none" w:sz="0" w:space="0" w:color="auto"/>
          </w:tblBorders>
        </w:tblPrEx>
        <w:tc>
          <w:tcPr>
            <w:tcW w:w="1155" w:type="dxa"/>
            <w:vMerge/>
            <w:tcBorders>
              <w:top w:val="single" w:sz="4" w:space="0" w:color="auto"/>
              <w:bottom w:val="nil"/>
            </w:tcBorders>
          </w:tcPr>
          <w:p w:rsidR="00212513" w:rsidRDefault="00212513">
            <w:pPr>
              <w:pStyle w:val="ConsPlusNormal"/>
            </w:pPr>
          </w:p>
        </w:tc>
        <w:tc>
          <w:tcPr>
            <w:tcW w:w="1814" w:type="dxa"/>
            <w:tcBorders>
              <w:top w:val="nil"/>
              <w:bottom w:val="nil"/>
            </w:tcBorders>
          </w:tcPr>
          <w:p w:rsidR="00212513" w:rsidRDefault="00212513">
            <w:pPr>
              <w:pStyle w:val="ConsPlusNormal"/>
              <w:jc w:val="center"/>
            </w:pPr>
            <w:hyperlink w:anchor="P916">
              <w:r>
                <w:rPr>
                  <w:color w:val="0000FF"/>
                </w:rPr>
                <w:t>9</w:t>
              </w:r>
            </w:hyperlink>
            <w:r>
              <w:t xml:space="preserve">, </w:t>
            </w:r>
            <w:hyperlink w:anchor="P929">
              <w:r>
                <w:rPr>
                  <w:color w:val="0000FF"/>
                </w:rPr>
                <w:t>13</w:t>
              </w:r>
            </w:hyperlink>
            <w:r>
              <w:t xml:space="preserve">, </w:t>
            </w:r>
            <w:hyperlink w:anchor="P935">
              <w:r>
                <w:rPr>
                  <w:color w:val="0000FF"/>
                </w:rPr>
                <w:t>15</w:t>
              </w:r>
            </w:hyperlink>
            <w:r>
              <w:t xml:space="preserve"> и </w:t>
            </w:r>
            <w:hyperlink w:anchor="P947">
              <w:r>
                <w:rPr>
                  <w:color w:val="0000FF"/>
                </w:rPr>
                <w:t>19</w:t>
              </w:r>
            </w:hyperlink>
          </w:p>
        </w:tc>
        <w:tc>
          <w:tcPr>
            <w:tcW w:w="1145" w:type="dxa"/>
            <w:tcBorders>
              <w:top w:val="nil"/>
              <w:bottom w:val="nil"/>
            </w:tcBorders>
          </w:tcPr>
          <w:p w:rsidR="00212513" w:rsidRDefault="00212513">
            <w:pPr>
              <w:pStyle w:val="ConsPlusNormal"/>
              <w:jc w:val="center"/>
            </w:pPr>
            <w:r>
              <w:t>0,8</w:t>
            </w:r>
          </w:p>
        </w:tc>
        <w:tc>
          <w:tcPr>
            <w:tcW w:w="1145" w:type="dxa"/>
            <w:tcBorders>
              <w:top w:val="nil"/>
              <w:bottom w:val="nil"/>
            </w:tcBorders>
          </w:tcPr>
          <w:p w:rsidR="00212513" w:rsidRDefault="00212513">
            <w:pPr>
              <w:pStyle w:val="ConsPlusNormal"/>
              <w:jc w:val="center"/>
            </w:pPr>
            <w:r>
              <w:t>0,8</w:t>
            </w:r>
          </w:p>
        </w:tc>
        <w:tc>
          <w:tcPr>
            <w:tcW w:w="1145" w:type="dxa"/>
            <w:tcBorders>
              <w:top w:val="nil"/>
              <w:bottom w:val="nil"/>
            </w:tcBorders>
          </w:tcPr>
          <w:p w:rsidR="00212513" w:rsidRDefault="00212513">
            <w:pPr>
              <w:pStyle w:val="ConsPlusNormal"/>
              <w:jc w:val="center"/>
            </w:pPr>
            <w:r>
              <w:t>0,8</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0,50</w:t>
            </w:r>
          </w:p>
          <w:p w:rsidR="00212513" w:rsidRDefault="00212513">
            <w:pPr>
              <w:pStyle w:val="ConsPlusNormal"/>
              <w:jc w:val="center"/>
            </w:pPr>
            <w:r>
              <w:t>-----</w:t>
            </w:r>
          </w:p>
          <w:p w:rsidR="00212513" w:rsidRDefault="00212513">
            <w:pPr>
              <w:pStyle w:val="ConsPlusNormal"/>
              <w:jc w:val="center"/>
            </w:pPr>
            <w:r>
              <w:t>0,25</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50" w:type="dxa"/>
            <w:tcBorders>
              <w:top w:val="nil"/>
              <w:bottom w:val="nil"/>
            </w:tcBorders>
          </w:tcPr>
          <w:p w:rsidR="00212513" w:rsidRDefault="00212513">
            <w:pPr>
              <w:pStyle w:val="ConsPlusNormal"/>
              <w:jc w:val="center"/>
            </w:pPr>
            <w:r>
              <w:t>0,7</w:t>
            </w:r>
          </w:p>
        </w:tc>
      </w:tr>
      <w:tr w:rsidR="00212513">
        <w:tblPrEx>
          <w:tblBorders>
            <w:insideH w:val="none" w:sz="0" w:space="0" w:color="auto"/>
          </w:tblBorders>
        </w:tblPrEx>
        <w:tc>
          <w:tcPr>
            <w:tcW w:w="1155" w:type="dxa"/>
            <w:vMerge/>
            <w:tcBorders>
              <w:top w:val="single" w:sz="4" w:space="0" w:color="auto"/>
              <w:bottom w:val="nil"/>
            </w:tcBorders>
          </w:tcPr>
          <w:p w:rsidR="00212513" w:rsidRDefault="00212513">
            <w:pPr>
              <w:pStyle w:val="ConsPlusNormal"/>
            </w:pPr>
          </w:p>
        </w:tc>
        <w:tc>
          <w:tcPr>
            <w:tcW w:w="1814" w:type="dxa"/>
            <w:tcBorders>
              <w:top w:val="nil"/>
              <w:bottom w:val="nil"/>
            </w:tcBorders>
          </w:tcPr>
          <w:p w:rsidR="00212513" w:rsidRDefault="00212513">
            <w:pPr>
              <w:pStyle w:val="ConsPlusNormal"/>
              <w:jc w:val="center"/>
            </w:pPr>
            <w:hyperlink w:anchor="P919">
              <w:r>
                <w:rPr>
                  <w:color w:val="0000FF"/>
                </w:rPr>
                <w:t>10</w:t>
              </w:r>
            </w:hyperlink>
            <w:r>
              <w:t xml:space="preserve">, </w:t>
            </w:r>
            <w:hyperlink w:anchor="P929">
              <w:r>
                <w:rPr>
                  <w:color w:val="0000FF"/>
                </w:rPr>
                <w:t>13</w:t>
              </w:r>
            </w:hyperlink>
            <w:r>
              <w:t xml:space="preserve">, </w:t>
            </w:r>
            <w:hyperlink w:anchor="P935">
              <w:r>
                <w:rPr>
                  <w:color w:val="0000FF"/>
                </w:rPr>
                <w:t>15</w:t>
              </w:r>
            </w:hyperlink>
            <w:r>
              <w:t xml:space="preserve"> и </w:t>
            </w:r>
            <w:hyperlink w:anchor="P947">
              <w:r>
                <w:rPr>
                  <w:color w:val="0000FF"/>
                </w:rPr>
                <w:t>19</w:t>
              </w:r>
            </w:hyperlink>
          </w:p>
        </w:tc>
        <w:tc>
          <w:tcPr>
            <w:tcW w:w="1145" w:type="dxa"/>
            <w:tcBorders>
              <w:top w:val="nil"/>
              <w:bottom w:val="nil"/>
            </w:tcBorders>
          </w:tcPr>
          <w:p w:rsidR="00212513" w:rsidRDefault="00212513">
            <w:pPr>
              <w:pStyle w:val="ConsPlusNormal"/>
              <w:jc w:val="center"/>
            </w:pPr>
            <w:r>
              <w:t>0,8</w:t>
            </w:r>
          </w:p>
        </w:tc>
        <w:tc>
          <w:tcPr>
            <w:tcW w:w="1145" w:type="dxa"/>
            <w:tcBorders>
              <w:top w:val="nil"/>
              <w:bottom w:val="nil"/>
            </w:tcBorders>
          </w:tcPr>
          <w:p w:rsidR="00212513" w:rsidRDefault="00212513">
            <w:pPr>
              <w:pStyle w:val="ConsPlusNormal"/>
              <w:jc w:val="center"/>
            </w:pPr>
            <w:r>
              <w:t>0,8</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50" w:type="dxa"/>
            <w:tcBorders>
              <w:top w:val="nil"/>
              <w:bottom w:val="nil"/>
            </w:tcBorders>
          </w:tcPr>
          <w:p w:rsidR="00212513" w:rsidRDefault="00212513">
            <w:pPr>
              <w:pStyle w:val="ConsPlusNormal"/>
              <w:jc w:val="center"/>
            </w:pPr>
            <w:r>
              <w:t>0,7</w:t>
            </w:r>
          </w:p>
        </w:tc>
      </w:tr>
      <w:tr w:rsidR="00212513">
        <w:tblPrEx>
          <w:tblBorders>
            <w:insideH w:val="none" w:sz="0" w:space="0" w:color="auto"/>
          </w:tblBorders>
        </w:tblPrEx>
        <w:tc>
          <w:tcPr>
            <w:tcW w:w="1155" w:type="dxa"/>
            <w:vMerge/>
            <w:tcBorders>
              <w:top w:val="single" w:sz="4" w:space="0" w:color="auto"/>
              <w:bottom w:val="nil"/>
            </w:tcBorders>
          </w:tcPr>
          <w:p w:rsidR="00212513" w:rsidRDefault="00212513">
            <w:pPr>
              <w:pStyle w:val="ConsPlusNormal"/>
            </w:pPr>
          </w:p>
        </w:tc>
        <w:tc>
          <w:tcPr>
            <w:tcW w:w="1814" w:type="dxa"/>
            <w:tcBorders>
              <w:top w:val="nil"/>
              <w:bottom w:val="nil"/>
            </w:tcBorders>
          </w:tcPr>
          <w:p w:rsidR="00212513" w:rsidRDefault="00212513">
            <w:pPr>
              <w:pStyle w:val="ConsPlusNormal"/>
              <w:jc w:val="center"/>
            </w:pPr>
            <w:hyperlink w:anchor="P919">
              <w:r>
                <w:rPr>
                  <w:color w:val="0000FF"/>
                </w:rPr>
                <w:t>10</w:t>
              </w:r>
            </w:hyperlink>
            <w:r>
              <w:t xml:space="preserve">, </w:t>
            </w:r>
            <w:hyperlink w:anchor="P932">
              <w:r>
                <w:rPr>
                  <w:color w:val="0000FF"/>
                </w:rPr>
                <w:t>14</w:t>
              </w:r>
            </w:hyperlink>
          </w:p>
        </w:tc>
        <w:tc>
          <w:tcPr>
            <w:tcW w:w="1145" w:type="dxa"/>
            <w:tcBorders>
              <w:top w:val="nil"/>
              <w:bottom w:val="nil"/>
            </w:tcBorders>
          </w:tcPr>
          <w:p w:rsidR="00212513" w:rsidRDefault="00212513">
            <w:pPr>
              <w:pStyle w:val="ConsPlusNormal"/>
              <w:jc w:val="center"/>
            </w:pPr>
            <w:r>
              <w:t>0,8</w:t>
            </w:r>
          </w:p>
        </w:tc>
        <w:tc>
          <w:tcPr>
            <w:tcW w:w="1145" w:type="dxa"/>
            <w:tcBorders>
              <w:top w:val="nil"/>
              <w:bottom w:val="nil"/>
            </w:tcBorders>
          </w:tcPr>
          <w:p w:rsidR="00212513" w:rsidRDefault="00212513">
            <w:pPr>
              <w:pStyle w:val="ConsPlusNormal"/>
              <w:jc w:val="center"/>
            </w:pPr>
            <w:r>
              <w:t>0,8</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rPr>
                <w:b/>
                <w:i/>
              </w:rP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pPr>
          </w:p>
        </w:tc>
        <w:tc>
          <w:tcPr>
            <w:tcW w:w="1150" w:type="dxa"/>
            <w:tcBorders>
              <w:top w:val="nil"/>
              <w:bottom w:val="nil"/>
            </w:tcBorders>
          </w:tcPr>
          <w:p w:rsidR="00212513" w:rsidRDefault="00212513">
            <w:pPr>
              <w:pStyle w:val="ConsPlusNormal"/>
              <w:jc w:val="center"/>
            </w:pPr>
            <w:r>
              <w:t>-</w:t>
            </w:r>
          </w:p>
        </w:tc>
      </w:tr>
      <w:tr w:rsidR="00212513">
        <w:tblPrEx>
          <w:tblBorders>
            <w:insideH w:val="none" w:sz="0" w:space="0" w:color="auto"/>
          </w:tblBorders>
        </w:tblPrEx>
        <w:tc>
          <w:tcPr>
            <w:tcW w:w="1155" w:type="dxa"/>
            <w:vMerge/>
            <w:tcBorders>
              <w:top w:val="single" w:sz="4" w:space="0" w:color="auto"/>
              <w:bottom w:val="nil"/>
            </w:tcBorders>
          </w:tcPr>
          <w:p w:rsidR="00212513" w:rsidRDefault="00212513">
            <w:pPr>
              <w:pStyle w:val="ConsPlusNormal"/>
            </w:pPr>
          </w:p>
        </w:tc>
        <w:tc>
          <w:tcPr>
            <w:tcW w:w="1814" w:type="dxa"/>
            <w:tcBorders>
              <w:top w:val="nil"/>
              <w:bottom w:val="nil"/>
            </w:tcBorders>
          </w:tcPr>
          <w:p w:rsidR="00212513" w:rsidRDefault="00212513">
            <w:pPr>
              <w:pStyle w:val="ConsPlusNormal"/>
              <w:jc w:val="center"/>
            </w:pPr>
            <w:hyperlink w:anchor="P922">
              <w:r>
                <w:rPr>
                  <w:color w:val="0000FF"/>
                </w:rPr>
                <w:t>11</w:t>
              </w:r>
            </w:hyperlink>
            <w:r>
              <w:t xml:space="preserve">, </w:t>
            </w:r>
            <w:hyperlink w:anchor="P926">
              <w:r>
                <w:rPr>
                  <w:color w:val="0000FF"/>
                </w:rPr>
                <w:t>12</w:t>
              </w:r>
            </w:hyperlink>
            <w:r>
              <w:t xml:space="preserve">, </w:t>
            </w:r>
            <w:hyperlink w:anchor="P935">
              <w:r>
                <w:rPr>
                  <w:color w:val="0000FF"/>
                </w:rPr>
                <w:t>15</w:t>
              </w:r>
            </w:hyperlink>
          </w:p>
        </w:tc>
        <w:tc>
          <w:tcPr>
            <w:tcW w:w="1145" w:type="dxa"/>
            <w:tcBorders>
              <w:top w:val="nil"/>
              <w:bottom w:val="nil"/>
            </w:tcBorders>
          </w:tcPr>
          <w:p w:rsidR="00212513" w:rsidRDefault="00212513">
            <w:pPr>
              <w:pStyle w:val="ConsPlusNormal"/>
              <w:jc w:val="center"/>
            </w:pPr>
            <w:r>
              <w:t>0,8</w:t>
            </w:r>
          </w:p>
        </w:tc>
        <w:tc>
          <w:tcPr>
            <w:tcW w:w="1145" w:type="dxa"/>
            <w:tcBorders>
              <w:top w:val="nil"/>
              <w:bottom w:val="nil"/>
            </w:tcBorders>
          </w:tcPr>
          <w:p w:rsidR="00212513" w:rsidRDefault="00212513">
            <w:pPr>
              <w:pStyle w:val="ConsPlusNormal"/>
              <w:jc w:val="center"/>
            </w:pPr>
            <w:r>
              <w:t>0,8</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0,50</w:t>
            </w:r>
          </w:p>
          <w:p w:rsidR="00212513" w:rsidRDefault="00212513">
            <w:pPr>
              <w:pStyle w:val="ConsPlusNormal"/>
              <w:jc w:val="center"/>
            </w:pPr>
            <w:r>
              <w:t>-----</w:t>
            </w:r>
          </w:p>
          <w:p w:rsidR="00212513" w:rsidRDefault="00212513">
            <w:pPr>
              <w:pStyle w:val="ConsPlusNormal"/>
              <w:jc w:val="center"/>
            </w:pPr>
            <w:r>
              <w:t>0,35</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50" w:type="dxa"/>
            <w:tcBorders>
              <w:top w:val="nil"/>
              <w:bottom w:val="nil"/>
            </w:tcBorders>
          </w:tcPr>
          <w:p w:rsidR="00212513" w:rsidRDefault="00212513">
            <w:pPr>
              <w:pStyle w:val="ConsPlusNormal"/>
              <w:jc w:val="center"/>
            </w:pPr>
            <w:r>
              <w:t>-</w:t>
            </w:r>
          </w:p>
        </w:tc>
      </w:tr>
      <w:tr w:rsidR="00212513">
        <w:tblPrEx>
          <w:tblBorders>
            <w:insideH w:val="none" w:sz="0" w:space="0" w:color="auto"/>
          </w:tblBorders>
        </w:tblPrEx>
        <w:tc>
          <w:tcPr>
            <w:tcW w:w="1155" w:type="dxa"/>
            <w:vMerge/>
            <w:tcBorders>
              <w:top w:val="single" w:sz="4" w:space="0" w:color="auto"/>
              <w:bottom w:val="nil"/>
            </w:tcBorders>
          </w:tcPr>
          <w:p w:rsidR="00212513" w:rsidRDefault="00212513">
            <w:pPr>
              <w:pStyle w:val="ConsPlusNormal"/>
            </w:pPr>
          </w:p>
        </w:tc>
        <w:tc>
          <w:tcPr>
            <w:tcW w:w="1814" w:type="dxa"/>
            <w:tcBorders>
              <w:top w:val="nil"/>
              <w:bottom w:val="nil"/>
            </w:tcBorders>
          </w:tcPr>
          <w:p w:rsidR="00212513" w:rsidRDefault="00212513">
            <w:pPr>
              <w:pStyle w:val="ConsPlusNormal"/>
              <w:jc w:val="center"/>
            </w:pPr>
            <w:hyperlink w:anchor="P926">
              <w:r>
                <w:rPr>
                  <w:color w:val="0000FF"/>
                </w:rPr>
                <w:t>12</w:t>
              </w:r>
            </w:hyperlink>
            <w:r>
              <w:t xml:space="preserve">, </w:t>
            </w:r>
            <w:hyperlink w:anchor="P929">
              <w:r>
                <w:rPr>
                  <w:color w:val="0000FF"/>
                </w:rPr>
                <w:t>13</w:t>
              </w:r>
            </w:hyperlink>
            <w:r>
              <w:t xml:space="preserve">, </w:t>
            </w:r>
            <w:hyperlink w:anchor="P935">
              <w:r>
                <w:rPr>
                  <w:color w:val="0000FF"/>
                </w:rPr>
                <w:t>15</w:t>
              </w:r>
            </w:hyperlink>
          </w:p>
        </w:tc>
        <w:tc>
          <w:tcPr>
            <w:tcW w:w="1145" w:type="dxa"/>
            <w:tcBorders>
              <w:top w:val="nil"/>
              <w:bottom w:val="nil"/>
            </w:tcBorders>
          </w:tcPr>
          <w:p w:rsidR="00212513" w:rsidRDefault="00212513">
            <w:pPr>
              <w:pStyle w:val="ConsPlusNormal"/>
              <w:jc w:val="center"/>
            </w:pPr>
            <w:r>
              <w:t>0,8</w:t>
            </w:r>
          </w:p>
        </w:tc>
        <w:tc>
          <w:tcPr>
            <w:tcW w:w="1145" w:type="dxa"/>
            <w:tcBorders>
              <w:top w:val="nil"/>
              <w:bottom w:val="nil"/>
            </w:tcBorders>
          </w:tcPr>
          <w:p w:rsidR="00212513" w:rsidRDefault="00212513">
            <w:pPr>
              <w:pStyle w:val="ConsPlusNormal"/>
              <w:jc w:val="center"/>
            </w:pPr>
            <w:r>
              <w:t>0,8</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0,50</w:t>
            </w:r>
          </w:p>
          <w:p w:rsidR="00212513" w:rsidRDefault="00212513">
            <w:pPr>
              <w:pStyle w:val="ConsPlusNormal"/>
              <w:jc w:val="center"/>
            </w:pPr>
            <w:r>
              <w:t>-----</w:t>
            </w:r>
          </w:p>
          <w:p w:rsidR="00212513" w:rsidRDefault="00212513">
            <w:pPr>
              <w:pStyle w:val="ConsPlusNormal"/>
              <w:jc w:val="center"/>
            </w:pPr>
            <w:r>
              <w:t>0,35</w:t>
            </w:r>
          </w:p>
        </w:tc>
        <w:tc>
          <w:tcPr>
            <w:tcW w:w="1145" w:type="dxa"/>
            <w:tcBorders>
              <w:top w:val="nil"/>
              <w:bottom w:val="nil"/>
            </w:tcBorders>
          </w:tcPr>
          <w:p w:rsidR="00212513" w:rsidRDefault="00212513">
            <w:pPr>
              <w:pStyle w:val="ConsPlusNormal"/>
              <w:jc w:val="center"/>
            </w:pPr>
            <w:r>
              <w:rPr>
                <w:i/>
              </w:rP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50" w:type="dxa"/>
            <w:tcBorders>
              <w:top w:val="nil"/>
              <w:bottom w:val="nil"/>
            </w:tcBorders>
          </w:tcPr>
          <w:p w:rsidR="00212513" w:rsidRDefault="00212513">
            <w:pPr>
              <w:pStyle w:val="ConsPlusNormal"/>
              <w:jc w:val="center"/>
            </w:pPr>
            <w:r>
              <w:t>-</w:t>
            </w:r>
          </w:p>
        </w:tc>
      </w:tr>
      <w:tr w:rsidR="00212513">
        <w:tblPrEx>
          <w:tblBorders>
            <w:insideH w:val="none" w:sz="0" w:space="0" w:color="auto"/>
          </w:tblBorders>
        </w:tblPrEx>
        <w:tc>
          <w:tcPr>
            <w:tcW w:w="17859" w:type="dxa"/>
            <w:gridSpan w:val="15"/>
            <w:tcBorders>
              <w:top w:val="nil"/>
              <w:bottom w:val="single" w:sz="4" w:space="0" w:color="auto"/>
            </w:tcBorders>
          </w:tcPr>
          <w:p w:rsidR="00212513" w:rsidRDefault="00212513">
            <w:pPr>
              <w:pStyle w:val="ConsPlusNormal"/>
              <w:jc w:val="both"/>
            </w:pPr>
            <w:r>
              <w:lastRenderedPageBreak/>
              <w:t xml:space="preserve">(в ред. </w:t>
            </w:r>
            <w:hyperlink r:id="rId3169">
              <w:r>
                <w:rPr>
                  <w:color w:val="0000FF"/>
                </w:rPr>
                <w:t>Изменения N 3</w:t>
              </w:r>
            </w:hyperlink>
            <w:r>
              <w:t>, утв. Приказом Минстроя России от 29.12.2020 N 891/пр)</w:t>
            </w:r>
          </w:p>
        </w:tc>
      </w:tr>
      <w:tr w:rsidR="00212513">
        <w:tc>
          <w:tcPr>
            <w:tcW w:w="1155" w:type="dxa"/>
            <w:vMerge w:val="restart"/>
            <w:tcBorders>
              <w:top w:val="single" w:sz="4" w:space="0" w:color="auto"/>
              <w:bottom w:val="nil"/>
            </w:tcBorders>
          </w:tcPr>
          <w:p w:rsidR="00212513" w:rsidRDefault="00212513">
            <w:pPr>
              <w:pStyle w:val="ConsPlusNormal"/>
              <w:jc w:val="center"/>
            </w:pPr>
            <w:hyperlink w:anchor="P916">
              <w:r>
                <w:rPr>
                  <w:color w:val="0000FF"/>
                </w:rPr>
                <w:t>9</w:t>
              </w:r>
            </w:hyperlink>
          </w:p>
        </w:tc>
        <w:tc>
          <w:tcPr>
            <w:tcW w:w="1814" w:type="dxa"/>
            <w:tcBorders>
              <w:top w:val="single" w:sz="4" w:space="0" w:color="auto"/>
              <w:bottom w:val="nil"/>
            </w:tcBorders>
          </w:tcPr>
          <w:p w:rsidR="00212513" w:rsidRDefault="00212513">
            <w:pPr>
              <w:pStyle w:val="ConsPlusNormal"/>
              <w:jc w:val="center"/>
            </w:pPr>
            <w:hyperlink w:anchor="P922">
              <w:r>
                <w:rPr>
                  <w:color w:val="0000FF"/>
                </w:rPr>
                <w:t>11</w:t>
              </w:r>
            </w:hyperlink>
            <w:r>
              <w:t xml:space="preserve">, </w:t>
            </w:r>
            <w:hyperlink w:anchor="P926">
              <w:r>
                <w:rPr>
                  <w:color w:val="0000FF"/>
                </w:rPr>
                <w:t>12</w:t>
              </w:r>
            </w:hyperlink>
            <w:r>
              <w:t xml:space="preserve">, </w:t>
            </w:r>
            <w:hyperlink w:anchor="P935">
              <w:r>
                <w:rPr>
                  <w:color w:val="0000FF"/>
                </w:rPr>
                <w:t>15</w:t>
              </w:r>
            </w:hyperlink>
          </w:p>
        </w:tc>
        <w:tc>
          <w:tcPr>
            <w:tcW w:w="1145" w:type="dxa"/>
            <w:tcBorders>
              <w:top w:val="single" w:sz="4" w:space="0" w:color="auto"/>
              <w:bottom w:val="nil"/>
            </w:tcBorders>
          </w:tcPr>
          <w:p w:rsidR="00212513" w:rsidRDefault="00212513">
            <w:pPr>
              <w:pStyle w:val="ConsPlusNormal"/>
              <w:jc w:val="center"/>
            </w:pPr>
            <w:r>
              <w:t>0,8</w:t>
            </w:r>
          </w:p>
        </w:tc>
        <w:tc>
          <w:tcPr>
            <w:tcW w:w="1145" w:type="dxa"/>
            <w:tcBorders>
              <w:top w:val="single" w:sz="4" w:space="0" w:color="auto"/>
              <w:bottom w:val="nil"/>
            </w:tcBorders>
          </w:tcPr>
          <w:p w:rsidR="00212513" w:rsidRDefault="00212513">
            <w:pPr>
              <w:pStyle w:val="ConsPlusNormal"/>
              <w:jc w:val="center"/>
            </w:pPr>
            <w:r>
              <w:t>0,8</w:t>
            </w:r>
          </w:p>
        </w:tc>
        <w:tc>
          <w:tcPr>
            <w:tcW w:w="1145" w:type="dxa"/>
            <w:tcBorders>
              <w:top w:val="single" w:sz="4" w:space="0" w:color="auto"/>
              <w:bottom w:val="nil"/>
            </w:tcBorders>
          </w:tcPr>
          <w:p w:rsidR="00212513" w:rsidRDefault="00212513">
            <w:pPr>
              <w:pStyle w:val="ConsPlusNormal"/>
              <w:jc w:val="center"/>
            </w:pPr>
            <w:r>
              <w:t>0,8</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0,7</w:t>
            </w:r>
          </w:p>
        </w:tc>
        <w:tc>
          <w:tcPr>
            <w:tcW w:w="1145" w:type="dxa"/>
            <w:tcBorders>
              <w:top w:val="single" w:sz="4" w:space="0" w:color="auto"/>
              <w:bottom w:val="nil"/>
            </w:tcBorders>
          </w:tcPr>
          <w:p w:rsidR="00212513" w:rsidRDefault="00212513">
            <w:pPr>
              <w:pStyle w:val="ConsPlusNormal"/>
              <w:jc w:val="center"/>
            </w:pPr>
            <w:r>
              <w:t>0,50</w:t>
            </w:r>
          </w:p>
          <w:p w:rsidR="00212513" w:rsidRDefault="00212513">
            <w:pPr>
              <w:pStyle w:val="ConsPlusNormal"/>
              <w:jc w:val="center"/>
            </w:pPr>
            <w:r>
              <w:t>-----</w:t>
            </w:r>
          </w:p>
          <w:p w:rsidR="00212513" w:rsidRDefault="00212513">
            <w:pPr>
              <w:pStyle w:val="ConsPlusNormal"/>
              <w:jc w:val="center"/>
            </w:pPr>
            <w:r>
              <w:t>0,25</w:t>
            </w:r>
          </w:p>
        </w:tc>
        <w:tc>
          <w:tcPr>
            <w:tcW w:w="1145" w:type="dxa"/>
            <w:tcBorders>
              <w:top w:val="single" w:sz="4" w:space="0" w:color="auto"/>
              <w:bottom w:val="nil"/>
            </w:tcBorders>
          </w:tcPr>
          <w:p w:rsidR="00212513" w:rsidRDefault="00212513">
            <w:pPr>
              <w:pStyle w:val="ConsPlusNormal"/>
              <w:jc w:val="center"/>
            </w:pPr>
            <w:r>
              <w:rPr>
                <w:i/>
              </w:rP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0,7</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50" w:type="dxa"/>
            <w:tcBorders>
              <w:top w:val="single" w:sz="4" w:space="0" w:color="auto"/>
              <w:bottom w:val="nil"/>
            </w:tcBorders>
          </w:tcPr>
          <w:p w:rsidR="00212513" w:rsidRDefault="00212513">
            <w:pPr>
              <w:pStyle w:val="ConsPlusNormal"/>
              <w:jc w:val="center"/>
            </w:pPr>
            <w:r>
              <w:t>-</w:t>
            </w:r>
          </w:p>
        </w:tc>
      </w:tr>
      <w:tr w:rsidR="00212513">
        <w:tblPrEx>
          <w:tblBorders>
            <w:insideH w:val="none" w:sz="0" w:space="0" w:color="auto"/>
          </w:tblBorders>
        </w:tblPrEx>
        <w:tc>
          <w:tcPr>
            <w:tcW w:w="1155" w:type="dxa"/>
            <w:vMerge/>
            <w:tcBorders>
              <w:top w:val="single" w:sz="4" w:space="0" w:color="auto"/>
              <w:bottom w:val="nil"/>
            </w:tcBorders>
          </w:tcPr>
          <w:p w:rsidR="00212513" w:rsidRDefault="00212513">
            <w:pPr>
              <w:pStyle w:val="ConsPlusNormal"/>
            </w:pPr>
          </w:p>
        </w:tc>
        <w:tc>
          <w:tcPr>
            <w:tcW w:w="1814" w:type="dxa"/>
            <w:tcBorders>
              <w:top w:val="nil"/>
              <w:bottom w:val="nil"/>
            </w:tcBorders>
          </w:tcPr>
          <w:p w:rsidR="00212513" w:rsidRDefault="00212513">
            <w:pPr>
              <w:pStyle w:val="ConsPlusNormal"/>
              <w:jc w:val="center"/>
            </w:pPr>
            <w:hyperlink w:anchor="P926">
              <w:r>
                <w:rPr>
                  <w:color w:val="0000FF"/>
                </w:rPr>
                <w:t>12</w:t>
              </w:r>
            </w:hyperlink>
            <w:r>
              <w:t xml:space="preserve">, </w:t>
            </w:r>
            <w:hyperlink w:anchor="P929">
              <w:r>
                <w:rPr>
                  <w:color w:val="0000FF"/>
                </w:rPr>
                <w:t>13</w:t>
              </w:r>
            </w:hyperlink>
            <w:r>
              <w:t xml:space="preserve">, </w:t>
            </w:r>
            <w:hyperlink w:anchor="P935">
              <w:r>
                <w:rPr>
                  <w:color w:val="0000FF"/>
                </w:rPr>
                <w:t>15</w:t>
              </w:r>
            </w:hyperlink>
            <w:r>
              <w:t xml:space="preserve"> и </w:t>
            </w:r>
            <w:hyperlink w:anchor="P947">
              <w:r>
                <w:rPr>
                  <w:color w:val="0000FF"/>
                </w:rPr>
                <w:t>19</w:t>
              </w:r>
            </w:hyperlink>
          </w:p>
        </w:tc>
        <w:tc>
          <w:tcPr>
            <w:tcW w:w="1145" w:type="dxa"/>
            <w:tcBorders>
              <w:top w:val="nil"/>
              <w:bottom w:val="nil"/>
            </w:tcBorders>
          </w:tcPr>
          <w:p w:rsidR="00212513" w:rsidRDefault="00212513">
            <w:pPr>
              <w:pStyle w:val="ConsPlusNormal"/>
              <w:jc w:val="center"/>
            </w:pPr>
            <w:r>
              <w:t>0,8</w:t>
            </w:r>
          </w:p>
        </w:tc>
        <w:tc>
          <w:tcPr>
            <w:tcW w:w="1145" w:type="dxa"/>
            <w:tcBorders>
              <w:top w:val="nil"/>
              <w:bottom w:val="nil"/>
            </w:tcBorders>
          </w:tcPr>
          <w:p w:rsidR="00212513" w:rsidRDefault="00212513">
            <w:pPr>
              <w:pStyle w:val="ConsPlusNormal"/>
              <w:jc w:val="center"/>
            </w:pPr>
            <w:r>
              <w:t>0,8</w:t>
            </w:r>
          </w:p>
        </w:tc>
        <w:tc>
          <w:tcPr>
            <w:tcW w:w="1145" w:type="dxa"/>
            <w:tcBorders>
              <w:top w:val="nil"/>
              <w:bottom w:val="nil"/>
            </w:tcBorders>
          </w:tcPr>
          <w:p w:rsidR="00212513" w:rsidRDefault="00212513">
            <w:pPr>
              <w:pStyle w:val="ConsPlusNormal"/>
              <w:jc w:val="center"/>
            </w:pPr>
            <w:r>
              <w:t>0,8</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0,50</w:t>
            </w:r>
          </w:p>
          <w:p w:rsidR="00212513" w:rsidRDefault="00212513">
            <w:pPr>
              <w:pStyle w:val="ConsPlusNormal"/>
              <w:jc w:val="center"/>
            </w:pPr>
            <w:r>
              <w:t>-----</w:t>
            </w:r>
          </w:p>
          <w:p w:rsidR="00212513" w:rsidRDefault="00212513">
            <w:pPr>
              <w:pStyle w:val="ConsPlusNormal"/>
              <w:jc w:val="center"/>
            </w:pPr>
            <w:r>
              <w:t>0,25</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50" w:type="dxa"/>
            <w:tcBorders>
              <w:top w:val="nil"/>
              <w:bottom w:val="nil"/>
            </w:tcBorders>
          </w:tcPr>
          <w:p w:rsidR="00212513" w:rsidRDefault="00212513">
            <w:pPr>
              <w:pStyle w:val="ConsPlusNormal"/>
              <w:jc w:val="center"/>
            </w:pPr>
            <w:r>
              <w:t>0,7</w:t>
            </w:r>
          </w:p>
        </w:tc>
      </w:tr>
      <w:tr w:rsidR="00212513">
        <w:tblPrEx>
          <w:tblBorders>
            <w:insideH w:val="none" w:sz="0" w:space="0" w:color="auto"/>
          </w:tblBorders>
        </w:tblPrEx>
        <w:tc>
          <w:tcPr>
            <w:tcW w:w="1155" w:type="dxa"/>
            <w:tcBorders>
              <w:top w:val="nil"/>
              <w:bottom w:val="nil"/>
            </w:tcBorders>
          </w:tcPr>
          <w:p w:rsidR="00212513" w:rsidRDefault="00212513">
            <w:pPr>
              <w:pStyle w:val="ConsPlusNormal"/>
            </w:pPr>
          </w:p>
        </w:tc>
        <w:tc>
          <w:tcPr>
            <w:tcW w:w="1814" w:type="dxa"/>
            <w:tcBorders>
              <w:top w:val="nil"/>
              <w:bottom w:val="nil"/>
            </w:tcBorders>
          </w:tcPr>
          <w:p w:rsidR="00212513" w:rsidRDefault="00212513">
            <w:pPr>
              <w:pStyle w:val="ConsPlusNormal"/>
              <w:jc w:val="center"/>
            </w:pPr>
            <w:hyperlink w:anchor="P932">
              <w:r>
                <w:rPr>
                  <w:color w:val="0000FF"/>
                </w:rPr>
                <w:t>14</w:t>
              </w:r>
            </w:hyperlink>
          </w:p>
        </w:tc>
        <w:tc>
          <w:tcPr>
            <w:tcW w:w="1145" w:type="dxa"/>
            <w:tcBorders>
              <w:top w:val="nil"/>
              <w:bottom w:val="nil"/>
            </w:tcBorders>
          </w:tcPr>
          <w:p w:rsidR="00212513" w:rsidRDefault="00212513">
            <w:pPr>
              <w:pStyle w:val="ConsPlusNormal"/>
              <w:jc w:val="center"/>
            </w:pPr>
            <w:r>
              <w:t>0,8</w:t>
            </w:r>
          </w:p>
        </w:tc>
        <w:tc>
          <w:tcPr>
            <w:tcW w:w="1145" w:type="dxa"/>
            <w:tcBorders>
              <w:top w:val="nil"/>
              <w:bottom w:val="nil"/>
            </w:tcBorders>
          </w:tcPr>
          <w:p w:rsidR="00212513" w:rsidRDefault="00212513">
            <w:pPr>
              <w:pStyle w:val="ConsPlusNormal"/>
              <w:jc w:val="center"/>
            </w:pPr>
            <w:r>
              <w:t>0,8</w:t>
            </w:r>
          </w:p>
        </w:tc>
        <w:tc>
          <w:tcPr>
            <w:tcW w:w="1145" w:type="dxa"/>
            <w:tcBorders>
              <w:top w:val="nil"/>
              <w:bottom w:val="nil"/>
            </w:tcBorders>
          </w:tcPr>
          <w:p w:rsidR="00212513" w:rsidRDefault="00212513">
            <w:pPr>
              <w:pStyle w:val="ConsPlusNormal"/>
              <w:jc w:val="center"/>
            </w:pPr>
            <w:r>
              <w:t>0,8</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50" w:type="dxa"/>
            <w:tcBorders>
              <w:top w:val="nil"/>
              <w:bottom w:val="nil"/>
            </w:tcBorders>
          </w:tcPr>
          <w:p w:rsidR="00212513" w:rsidRDefault="00212513">
            <w:pPr>
              <w:pStyle w:val="ConsPlusNormal"/>
              <w:jc w:val="center"/>
            </w:pPr>
            <w:r>
              <w:t>-</w:t>
            </w:r>
          </w:p>
        </w:tc>
      </w:tr>
      <w:tr w:rsidR="00212513">
        <w:tblPrEx>
          <w:tblBorders>
            <w:insideH w:val="none" w:sz="0" w:space="0" w:color="auto"/>
          </w:tblBorders>
        </w:tblPrEx>
        <w:tc>
          <w:tcPr>
            <w:tcW w:w="17859" w:type="dxa"/>
            <w:gridSpan w:val="15"/>
            <w:tcBorders>
              <w:top w:val="nil"/>
              <w:bottom w:val="single" w:sz="4" w:space="0" w:color="auto"/>
            </w:tcBorders>
          </w:tcPr>
          <w:p w:rsidR="00212513" w:rsidRDefault="00212513">
            <w:pPr>
              <w:pStyle w:val="ConsPlusNormal"/>
              <w:jc w:val="both"/>
            </w:pPr>
            <w:r>
              <w:t xml:space="preserve">(в ред. </w:t>
            </w:r>
            <w:hyperlink r:id="rId3170">
              <w:r>
                <w:rPr>
                  <w:color w:val="0000FF"/>
                </w:rPr>
                <w:t>Изменения N 3</w:t>
              </w:r>
            </w:hyperlink>
            <w:r>
              <w:t>, утв. Приказом Минстроя России от 29.12.2020 N 891/пр)</w:t>
            </w:r>
          </w:p>
        </w:tc>
      </w:tr>
      <w:tr w:rsidR="00212513">
        <w:tblPrEx>
          <w:tblBorders>
            <w:insideH w:val="none" w:sz="0" w:space="0" w:color="auto"/>
          </w:tblBorders>
        </w:tblPrEx>
        <w:tc>
          <w:tcPr>
            <w:tcW w:w="1155" w:type="dxa"/>
            <w:tcBorders>
              <w:top w:val="single" w:sz="4" w:space="0" w:color="auto"/>
              <w:bottom w:val="nil"/>
            </w:tcBorders>
          </w:tcPr>
          <w:p w:rsidR="00212513" w:rsidRDefault="00212513">
            <w:pPr>
              <w:pStyle w:val="ConsPlusNormal"/>
              <w:jc w:val="center"/>
            </w:pPr>
            <w:hyperlink w:anchor="P919">
              <w:r>
                <w:rPr>
                  <w:color w:val="0000FF"/>
                </w:rPr>
                <w:t>10</w:t>
              </w:r>
            </w:hyperlink>
          </w:p>
        </w:tc>
        <w:tc>
          <w:tcPr>
            <w:tcW w:w="1814" w:type="dxa"/>
            <w:tcBorders>
              <w:top w:val="single" w:sz="4" w:space="0" w:color="auto"/>
              <w:bottom w:val="nil"/>
            </w:tcBorders>
          </w:tcPr>
          <w:p w:rsidR="00212513" w:rsidRDefault="00212513">
            <w:pPr>
              <w:pStyle w:val="ConsPlusNormal"/>
              <w:jc w:val="center"/>
            </w:pPr>
            <w:hyperlink w:anchor="P910">
              <w:r>
                <w:rPr>
                  <w:color w:val="0000FF"/>
                </w:rPr>
                <w:t>7</w:t>
              </w:r>
            </w:hyperlink>
            <w:r>
              <w:t xml:space="preserve">, </w:t>
            </w:r>
            <w:hyperlink w:anchor="P913">
              <w:r>
                <w:rPr>
                  <w:color w:val="0000FF"/>
                </w:rPr>
                <w:t>8</w:t>
              </w:r>
            </w:hyperlink>
            <w:r>
              <w:t xml:space="preserve">, </w:t>
            </w:r>
            <w:hyperlink w:anchor="P929">
              <w:r>
                <w:rPr>
                  <w:color w:val="0000FF"/>
                </w:rPr>
                <w:t>13</w:t>
              </w:r>
            </w:hyperlink>
            <w:r>
              <w:t xml:space="preserve">, </w:t>
            </w:r>
            <w:hyperlink w:anchor="P935">
              <w:r>
                <w:rPr>
                  <w:color w:val="0000FF"/>
                </w:rPr>
                <w:t>15</w:t>
              </w:r>
            </w:hyperlink>
            <w:r>
              <w:t xml:space="preserve"> и S</w:t>
            </w:r>
          </w:p>
        </w:tc>
        <w:tc>
          <w:tcPr>
            <w:tcW w:w="1145" w:type="dxa"/>
            <w:tcBorders>
              <w:top w:val="single" w:sz="4" w:space="0" w:color="auto"/>
              <w:bottom w:val="nil"/>
            </w:tcBorders>
          </w:tcPr>
          <w:p w:rsidR="00212513" w:rsidRDefault="00212513">
            <w:pPr>
              <w:pStyle w:val="ConsPlusNormal"/>
              <w:jc w:val="center"/>
            </w:pPr>
            <w:r>
              <w:t>0,7</w:t>
            </w:r>
          </w:p>
        </w:tc>
        <w:tc>
          <w:tcPr>
            <w:tcW w:w="1145" w:type="dxa"/>
            <w:tcBorders>
              <w:top w:val="single" w:sz="4" w:space="0" w:color="auto"/>
              <w:bottom w:val="nil"/>
            </w:tcBorders>
          </w:tcPr>
          <w:p w:rsidR="00212513" w:rsidRDefault="00212513">
            <w:pPr>
              <w:pStyle w:val="ConsPlusNormal"/>
              <w:jc w:val="center"/>
            </w:pPr>
            <w:r>
              <w:t>0,7</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0,8</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0,7</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0,7</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50" w:type="dxa"/>
            <w:tcBorders>
              <w:top w:val="single" w:sz="4" w:space="0" w:color="auto"/>
              <w:bottom w:val="nil"/>
            </w:tcBorders>
          </w:tcPr>
          <w:p w:rsidR="00212513" w:rsidRDefault="00212513">
            <w:pPr>
              <w:pStyle w:val="ConsPlusNormal"/>
              <w:jc w:val="center"/>
            </w:pPr>
            <w:r>
              <w:t>0,7</w:t>
            </w:r>
          </w:p>
        </w:tc>
      </w:tr>
      <w:tr w:rsidR="00212513">
        <w:tblPrEx>
          <w:tblBorders>
            <w:insideH w:val="none" w:sz="0" w:space="0" w:color="auto"/>
          </w:tblBorders>
        </w:tblPrEx>
        <w:tc>
          <w:tcPr>
            <w:tcW w:w="1155" w:type="dxa"/>
            <w:tcBorders>
              <w:top w:val="nil"/>
              <w:bottom w:val="single" w:sz="4" w:space="0" w:color="auto"/>
            </w:tcBorders>
          </w:tcPr>
          <w:p w:rsidR="00212513" w:rsidRDefault="00212513">
            <w:pPr>
              <w:pStyle w:val="ConsPlusNormal"/>
              <w:jc w:val="center"/>
            </w:pPr>
          </w:p>
        </w:tc>
        <w:tc>
          <w:tcPr>
            <w:tcW w:w="1814" w:type="dxa"/>
            <w:tcBorders>
              <w:top w:val="nil"/>
              <w:bottom w:val="single" w:sz="4" w:space="0" w:color="auto"/>
            </w:tcBorders>
          </w:tcPr>
          <w:p w:rsidR="00212513" w:rsidRDefault="00212513">
            <w:pPr>
              <w:pStyle w:val="ConsPlusNormal"/>
              <w:jc w:val="center"/>
            </w:pPr>
            <w:hyperlink w:anchor="P910">
              <w:r>
                <w:rPr>
                  <w:color w:val="0000FF"/>
                </w:rPr>
                <w:t>7</w:t>
              </w:r>
            </w:hyperlink>
            <w:r>
              <w:t xml:space="preserve">, </w:t>
            </w:r>
            <w:hyperlink w:anchor="P913">
              <w:r>
                <w:rPr>
                  <w:color w:val="0000FF"/>
                </w:rPr>
                <w:t>8</w:t>
              </w:r>
            </w:hyperlink>
            <w:r>
              <w:t xml:space="preserve">, </w:t>
            </w:r>
            <w:hyperlink w:anchor="P932">
              <w:r>
                <w:rPr>
                  <w:color w:val="0000FF"/>
                </w:rPr>
                <w:t>14</w:t>
              </w:r>
            </w:hyperlink>
          </w:p>
        </w:tc>
        <w:tc>
          <w:tcPr>
            <w:tcW w:w="1145" w:type="dxa"/>
            <w:tcBorders>
              <w:top w:val="nil"/>
              <w:bottom w:val="single" w:sz="4" w:space="0" w:color="auto"/>
            </w:tcBorders>
          </w:tcPr>
          <w:p w:rsidR="00212513" w:rsidRDefault="00212513">
            <w:pPr>
              <w:pStyle w:val="ConsPlusNormal"/>
              <w:jc w:val="center"/>
            </w:pPr>
            <w:r>
              <w:t>0,7</w:t>
            </w:r>
          </w:p>
        </w:tc>
        <w:tc>
          <w:tcPr>
            <w:tcW w:w="1145" w:type="dxa"/>
            <w:tcBorders>
              <w:top w:val="nil"/>
              <w:bottom w:val="single" w:sz="4" w:space="0" w:color="auto"/>
            </w:tcBorders>
          </w:tcPr>
          <w:p w:rsidR="00212513" w:rsidRDefault="00212513">
            <w:pPr>
              <w:pStyle w:val="ConsPlusNormal"/>
              <w:jc w:val="center"/>
            </w:pPr>
            <w:r>
              <w:t>0,7</w:t>
            </w:r>
          </w:p>
        </w:tc>
        <w:tc>
          <w:tcPr>
            <w:tcW w:w="1145" w:type="dxa"/>
            <w:tcBorders>
              <w:top w:val="nil"/>
              <w:bottom w:val="single" w:sz="4" w:space="0" w:color="auto"/>
            </w:tcBorders>
          </w:tcPr>
          <w:p w:rsidR="00212513" w:rsidRDefault="00212513">
            <w:pPr>
              <w:pStyle w:val="ConsPlusNormal"/>
              <w:jc w:val="center"/>
            </w:pPr>
            <w:r>
              <w:t>-</w:t>
            </w:r>
          </w:p>
        </w:tc>
        <w:tc>
          <w:tcPr>
            <w:tcW w:w="1145" w:type="dxa"/>
            <w:tcBorders>
              <w:top w:val="nil"/>
              <w:bottom w:val="single" w:sz="4" w:space="0" w:color="auto"/>
            </w:tcBorders>
          </w:tcPr>
          <w:p w:rsidR="00212513" w:rsidRDefault="00212513">
            <w:pPr>
              <w:pStyle w:val="ConsPlusNormal"/>
              <w:jc w:val="center"/>
            </w:pPr>
            <w:r>
              <w:t>0,8</w:t>
            </w:r>
          </w:p>
        </w:tc>
        <w:tc>
          <w:tcPr>
            <w:tcW w:w="1145" w:type="dxa"/>
            <w:tcBorders>
              <w:top w:val="nil"/>
              <w:bottom w:val="single" w:sz="4" w:space="0" w:color="auto"/>
            </w:tcBorders>
          </w:tcPr>
          <w:p w:rsidR="00212513" w:rsidRDefault="00212513">
            <w:pPr>
              <w:pStyle w:val="ConsPlusNormal"/>
              <w:jc w:val="center"/>
            </w:pPr>
            <w:r>
              <w:t>-</w:t>
            </w:r>
          </w:p>
        </w:tc>
        <w:tc>
          <w:tcPr>
            <w:tcW w:w="1145" w:type="dxa"/>
            <w:tcBorders>
              <w:top w:val="nil"/>
              <w:bottom w:val="single" w:sz="4" w:space="0" w:color="auto"/>
            </w:tcBorders>
          </w:tcPr>
          <w:p w:rsidR="00212513" w:rsidRDefault="00212513">
            <w:pPr>
              <w:pStyle w:val="ConsPlusNormal"/>
              <w:jc w:val="center"/>
            </w:pPr>
            <w:r>
              <w:t>-</w:t>
            </w:r>
          </w:p>
        </w:tc>
        <w:tc>
          <w:tcPr>
            <w:tcW w:w="1145" w:type="dxa"/>
            <w:tcBorders>
              <w:top w:val="nil"/>
              <w:bottom w:val="single" w:sz="4" w:space="0" w:color="auto"/>
            </w:tcBorders>
          </w:tcPr>
          <w:p w:rsidR="00212513" w:rsidRDefault="00212513">
            <w:pPr>
              <w:pStyle w:val="ConsPlusNormal"/>
              <w:jc w:val="center"/>
            </w:pPr>
            <w:r>
              <w:t>-</w:t>
            </w:r>
          </w:p>
        </w:tc>
        <w:tc>
          <w:tcPr>
            <w:tcW w:w="1145" w:type="dxa"/>
            <w:tcBorders>
              <w:top w:val="nil"/>
              <w:bottom w:val="single" w:sz="4" w:space="0" w:color="auto"/>
            </w:tcBorders>
          </w:tcPr>
          <w:p w:rsidR="00212513" w:rsidRDefault="00212513">
            <w:pPr>
              <w:pStyle w:val="ConsPlusNormal"/>
              <w:jc w:val="center"/>
            </w:pPr>
            <w:r>
              <w:t>0,7</w:t>
            </w:r>
          </w:p>
        </w:tc>
        <w:tc>
          <w:tcPr>
            <w:tcW w:w="1145" w:type="dxa"/>
            <w:tcBorders>
              <w:top w:val="nil"/>
              <w:bottom w:val="single" w:sz="4" w:space="0" w:color="auto"/>
            </w:tcBorders>
          </w:tcPr>
          <w:p w:rsidR="00212513" w:rsidRDefault="00212513">
            <w:pPr>
              <w:pStyle w:val="ConsPlusNormal"/>
              <w:jc w:val="center"/>
            </w:pPr>
            <w:r>
              <w:t>-</w:t>
            </w:r>
          </w:p>
        </w:tc>
        <w:tc>
          <w:tcPr>
            <w:tcW w:w="1145" w:type="dxa"/>
            <w:tcBorders>
              <w:top w:val="nil"/>
              <w:bottom w:val="single" w:sz="4" w:space="0" w:color="auto"/>
            </w:tcBorders>
          </w:tcPr>
          <w:p w:rsidR="00212513" w:rsidRDefault="00212513">
            <w:pPr>
              <w:pStyle w:val="ConsPlusNormal"/>
              <w:jc w:val="center"/>
            </w:pPr>
            <w:r>
              <w:t>-</w:t>
            </w:r>
          </w:p>
        </w:tc>
        <w:tc>
          <w:tcPr>
            <w:tcW w:w="1145" w:type="dxa"/>
            <w:tcBorders>
              <w:top w:val="nil"/>
              <w:bottom w:val="single" w:sz="4" w:space="0" w:color="auto"/>
            </w:tcBorders>
          </w:tcPr>
          <w:p w:rsidR="00212513" w:rsidRDefault="00212513">
            <w:pPr>
              <w:pStyle w:val="ConsPlusNormal"/>
              <w:jc w:val="center"/>
            </w:pPr>
            <w:r>
              <w:t>-</w:t>
            </w:r>
          </w:p>
        </w:tc>
        <w:tc>
          <w:tcPr>
            <w:tcW w:w="1145" w:type="dxa"/>
            <w:tcBorders>
              <w:top w:val="nil"/>
              <w:bottom w:val="single" w:sz="4" w:space="0" w:color="auto"/>
            </w:tcBorders>
          </w:tcPr>
          <w:p w:rsidR="00212513" w:rsidRDefault="00212513">
            <w:pPr>
              <w:pStyle w:val="ConsPlusNormal"/>
              <w:jc w:val="center"/>
            </w:pPr>
            <w:r>
              <w:t>-</w:t>
            </w:r>
          </w:p>
        </w:tc>
        <w:tc>
          <w:tcPr>
            <w:tcW w:w="1150" w:type="dxa"/>
            <w:tcBorders>
              <w:top w:val="nil"/>
              <w:bottom w:val="single" w:sz="4" w:space="0" w:color="auto"/>
            </w:tcBorders>
          </w:tcPr>
          <w:p w:rsidR="00212513" w:rsidRDefault="00212513">
            <w:pPr>
              <w:pStyle w:val="ConsPlusNormal"/>
              <w:jc w:val="center"/>
            </w:pPr>
            <w:r>
              <w:t>-</w:t>
            </w:r>
          </w:p>
        </w:tc>
      </w:tr>
      <w:tr w:rsidR="00212513">
        <w:tc>
          <w:tcPr>
            <w:tcW w:w="1155" w:type="dxa"/>
            <w:tcBorders>
              <w:top w:val="single" w:sz="4" w:space="0" w:color="auto"/>
              <w:bottom w:val="single" w:sz="4" w:space="0" w:color="auto"/>
            </w:tcBorders>
          </w:tcPr>
          <w:p w:rsidR="00212513" w:rsidRDefault="00212513">
            <w:pPr>
              <w:pStyle w:val="ConsPlusNormal"/>
              <w:jc w:val="center"/>
            </w:pPr>
            <w:hyperlink w:anchor="P922">
              <w:r>
                <w:rPr>
                  <w:color w:val="0000FF"/>
                </w:rPr>
                <w:t>11</w:t>
              </w:r>
            </w:hyperlink>
          </w:p>
        </w:tc>
        <w:tc>
          <w:tcPr>
            <w:tcW w:w="1814" w:type="dxa"/>
            <w:tcBorders>
              <w:top w:val="single" w:sz="4" w:space="0" w:color="auto"/>
              <w:bottom w:val="single" w:sz="4" w:space="0" w:color="auto"/>
            </w:tcBorders>
          </w:tcPr>
          <w:p w:rsidR="00212513" w:rsidRDefault="00212513">
            <w:pPr>
              <w:pStyle w:val="ConsPlusNormal"/>
              <w:jc w:val="center"/>
            </w:pPr>
            <w:hyperlink w:anchor="P910">
              <w:r>
                <w:rPr>
                  <w:color w:val="0000FF"/>
                </w:rPr>
                <w:t>7</w:t>
              </w:r>
            </w:hyperlink>
            <w:r>
              <w:t xml:space="preserve"> - </w:t>
            </w:r>
            <w:hyperlink w:anchor="P916">
              <w:r>
                <w:rPr>
                  <w:color w:val="0000FF"/>
                </w:rPr>
                <w:t>9</w:t>
              </w:r>
            </w:hyperlink>
            <w:r>
              <w:t xml:space="preserve">, </w:t>
            </w:r>
            <w:hyperlink w:anchor="P926">
              <w:r>
                <w:rPr>
                  <w:color w:val="0000FF"/>
                </w:rPr>
                <w:t>12</w:t>
              </w:r>
            </w:hyperlink>
            <w:r>
              <w:t xml:space="preserve">, </w:t>
            </w:r>
            <w:hyperlink w:anchor="P935">
              <w:r>
                <w:rPr>
                  <w:color w:val="0000FF"/>
                </w:rPr>
                <w:t>15</w:t>
              </w:r>
            </w:hyperlink>
          </w:p>
        </w:tc>
        <w:tc>
          <w:tcPr>
            <w:tcW w:w="1145" w:type="dxa"/>
            <w:tcBorders>
              <w:top w:val="single" w:sz="4" w:space="0" w:color="auto"/>
              <w:bottom w:val="single" w:sz="4" w:space="0" w:color="auto"/>
            </w:tcBorders>
          </w:tcPr>
          <w:p w:rsidR="00212513" w:rsidRDefault="00212513">
            <w:pPr>
              <w:pStyle w:val="ConsPlusNormal"/>
              <w:jc w:val="center"/>
            </w:pPr>
            <w:r>
              <w:t>0,8</w:t>
            </w:r>
          </w:p>
        </w:tc>
        <w:tc>
          <w:tcPr>
            <w:tcW w:w="1145" w:type="dxa"/>
            <w:tcBorders>
              <w:top w:val="single" w:sz="4" w:space="0" w:color="auto"/>
              <w:bottom w:val="single" w:sz="4" w:space="0" w:color="auto"/>
            </w:tcBorders>
          </w:tcPr>
          <w:p w:rsidR="00212513" w:rsidRDefault="00212513">
            <w:pPr>
              <w:pStyle w:val="ConsPlusNormal"/>
              <w:jc w:val="center"/>
            </w:pPr>
            <w:r>
              <w:t>0,8</w:t>
            </w:r>
          </w:p>
        </w:tc>
        <w:tc>
          <w:tcPr>
            <w:tcW w:w="1145" w:type="dxa"/>
            <w:tcBorders>
              <w:top w:val="single" w:sz="4" w:space="0" w:color="auto"/>
              <w:bottom w:val="single" w:sz="4" w:space="0" w:color="auto"/>
            </w:tcBorders>
          </w:tcPr>
          <w:p w:rsidR="00212513" w:rsidRDefault="00212513">
            <w:pPr>
              <w:pStyle w:val="ConsPlusNormal"/>
              <w:jc w:val="center"/>
            </w:pPr>
            <w:r>
              <w:t>0,8</w:t>
            </w:r>
          </w:p>
        </w:tc>
        <w:tc>
          <w:tcPr>
            <w:tcW w:w="1145" w:type="dxa"/>
            <w:tcBorders>
              <w:top w:val="single" w:sz="4" w:space="0" w:color="auto"/>
              <w:bottom w:val="single" w:sz="4" w:space="0" w:color="auto"/>
            </w:tcBorders>
          </w:tcPr>
          <w:p w:rsidR="00212513" w:rsidRDefault="00212513">
            <w:pPr>
              <w:pStyle w:val="ConsPlusNormal"/>
              <w:jc w:val="center"/>
            </w:pPr>
            <w:r>
              <w:t>-</w:t>
            </w:r>
          </w:p>
        </w:tc>
        <w:tc>
          <w:tcPr>
            <w:tcW w:w="1145" w:type="dxa"/>
            <w:tcBorders>
              <w:top w:val="single" w:sz="4" w:space="0" w:color="auto"/>
              <w:bottom w:val="single" w:sz="4" w:space="0" w:color="auto"/>
            </w:tcBorders>
          </w:tcPr>
          <w:p w:rsidR="00212513" w:rsidRDefault="00212513">
            <w:pPr>
              <w:pStyle w:val="ConsPlusNormal"/>
              <w:jc w:val="center"/>
            </w:pPr>
            <w:r>
              <w:t>0,8</w:t>
            </w:r>
          </w:p>
        </w:tc>
        <w:tc>
          <w:tcPr>
            <w:tcW w:w="1145" w:type="dxa"/>
            <w:tcBorders>
              <w:top w:val="single" w:sz="4" w:space="0" w:color="auto"/>
              <w:bottom w:val="single" w:sz="4" w:space="0" w:color="auto"/>
            </w:tcBorders>
          </w:tcPr>
          <w:p w:rsidR="00212513" w:rsidRDefault="00212513">
            <w:pPr>
              <w:pStyle w:val="ConsPlusNormal"/>
              <w:jc w:val="center"/>
            </w:pPr>
            <w:r>
              <w:t>0,50</w:t>
            </w:r>
          </w:p>
          <w:p w:rsidR="00212513" w:rsidRDefault="00212513">
            <w:pPr>
              <w:pStyle w:val="ConsPlusNormal"/>
              <w:jc w:val="center"/>
            </w:pPr>
            <w:r>
              <w:t>----</w:t>
            </w:r>
          </w:p>
          <w:p w:rsidR="00212513" w:rsidRDefault="00212513">
            <w:pPr>
              <w:pStyle w:val="ConsPlusNormal"/>
              <w:jc w:val="center"/>
            </w:pPr>
            <w:r>
              <w:t>0,25</w:t>
            </w:r>
          </w:p>
        </w:tc>
        <w:tc>
          <w:tcPr>
            <w:tcW w:w="1145" w:type="dxa"/>
            <w:tcBorders>
              <w:top w:val="single" w:sz="4" w:space="0" w:color="auto"/>
              <w:bottom w:val="single" w:sz="4" w:space="0" w:color="auto"/>
            </w:tcBorders>
          </w:tcPr>
          <w:p w:rsidR="00212513" w:rsidRDefault="00212513">
            <w:pPr>
              <w:pStyle w:val="ConsPlusNormal"/>
              <w:jc w:val="center"/>
            </w:pPr>
            <w:r>
              <w:t>-</w:t>
            </w:r>
          </w:p>
        </w:tc>
        <w:tc>
          <w:tcPr>
            <w:tcW w:w="1145" w:type="dxa"/>
            <w:tcBorders>
              <w:top w:val="single" w:sz="4" w:space="0" w:color="auto"/>
              <w:bottom w:val="single" w:sz="4" w:space="0" w:color="auto"/>
            </w:tcBorders>
          </w:tcPr>
          <w:p w:rsidR="00212513" w:rsidRDefault="00212513">
            <w:pPr>
              <w:pStyle w:val="ConsPlusNormal"/>
              <w:jc w:val="center"/>
            </w:pPr>
            <w:r>
              <w:t>-</w:t>
            </w:r>
          </w:p>
        </w:tc>
        <w:tc>
          <w:tcPr>
            <w:tcW w:w="1145" w:type="dxa"/>
            <w:tcBorders>
              <w:top w:val="single" w:sz="4" w:space="0" w:color="auto"/>
              <w:bottom w:val="single" w:sz="4" w:space="0" w:color="auto"/>
            </w:tcBorders>
          </w:tcPr>
          <w:p w:rsidR="00212513" w:rsidRDefault="00212513">
            <w:pPr>
              <w:pStyle w:val="ConsPlusNormal"/>
              <w:jc w:val="center"/>
            </w:pPr>
            <w:r>
              <w:t>0,7</w:t>
            </w:r>
          </w:p>
        </w:tc>
        <w:tc>
          <w:tcPr>
            <w:tcW w:w="1145" w:type="dxa"/>
            <w:tcBorders>
              <w:top w:val="single" w:sz="4" w:space="0" w:color="auto"/>
              <w:bottom w:val="single" w:sz="4" w:space="0" w:color="auto"/>
            </w:tcBorders>
          </w:tcPr>
          <w:p w:rsidR="00212513" w:rsidRDefault="00212513">
            <w:pPr>
              <w:pStyle w:val="ConsPlusNormal"/>
              <w:jc w:val="center"/>
            </w:pPr>
            <w:r>
              <w:t>-</w:t>
            </w:r>
          </w:p>
        </w:tc>
        <w:tc>
          <w:tcPr>
            <w:tcW w:w="1145" w:type="dxa"/>
            <w:tcBorders>
              <w:top w:val="single" w:sz="4" w:space="0" w:color="auto"/>
              <w:bottom w:val="single" w:sz="4" w:space="0" w:color="auto"/>
            </w:tcBorders>
          </w:tcPr>
          <w:p w:rsidR="00212513" w:rsidRDefault="00212513">
            <w:pPr>
              <w:pStyle w:val="ConsPlusNormal"/>
              <w:jc w:val="center"/>
            </w:pPr>
            <w:r>
              <w:t>-</w:t>
            </w:r>
          </w:p>
        </w:tc>
        <w:tc>
          <w:tcPr>
            <w:tcW w:w="1145" w:type="dxa"/>
            <w:tcBorders>
              <w:top w:val="single" w:sz="4" w:space="0" w:color="auto"/>
              <w:bottom w:val="single" w:sz="4" w:space="0" w:color="auto"/>
            </w:tcBorders>
          </w:tcPr>
          <w:p w:rsidR="00212513" w:rsidRDefault="00212513">
            <w:pPr>
              <w:pStyle w:val="ConsPlusNormal"/>
              <w:jc w:val="center"/>
            </w:pPr>
            <w:r>
              <w:t>-</w:t>
            </w:r>
          </w:p>
        </w:tc>
        <w:tc>
          <w:tcPr>
            <w:tcW w:w="1150" w:type="dxa"/>
            <w:tcBorders>
              <w:top w:val="single" w:sz="4" w:space="0" w:color="auto"/>
              <w:bottom w:val="single" w:sz="4" w:space="0" w:color="auto"/>
            </w:tcBorders>
          </w:tcPr>
          <w:p w:rsidR="00212513" w:rsidRDefault="00212513">
            <w:pPr>
              <w:pStyle w:val="ConsPlusNormal"/>
              <w:jc w:val="center"/>
            </w:pPr>
            <w:r>
              <w:t>-</w:t>
            </w:r>
          </w:p>
        </w:tc>
      </w:tr>
      <w:tr w:rsidR="00212513">
        <w:tblPrEx>
          <w:tblBorders>
            <w:insideH w:val="none" w:sz="0" w:space="0" w:color="auto"/>
          </w:tblBorders>
        </w:tblPrEx>
        <w:tc>
          <w:tcPr>
            <w:tcW w:w="1155" w:type="dxa"/>
            <w:tcBorders>
              <w:top w:val="single" w:sz="4" w:space="0" w:color="auto"/>
              <w:bottom w:val="nil"/>
            </w:tcBorders>
          </w:tcPr>
          <w:p w:rsidR="00212513" w:rsidRDefault="00212513">
            <w:pPr>
              <w:pStyle w:val="ConsPlusNormal"/>
              <w:jc w:val="center"/>
            </w:pPr>
            <w:hyperlink w:anchor="P926">
              <w:r>
                <w:rPr>
                  <w:color w:val="0000FF"/>
                </w:rPr>
                <w:t>12</w:t>
              </w:r>
            </w:hyperlink>
            <w:r>
              <w:t xml:space="preserve"> </w:t>
            </w:r>
            <w:hyperlink w:anchor="P13111">
              <w:r>
                <w:rPr>
                  <w:color w:val="0000FF"/>
                </w:rPr>
                <w:t>&lt;*&gt;</w:t>
              </w:r>
            </w:hyperlink>
          </w:p>
        </w:tc>
        <w:tc>
          <w:tcPr>
            <w:tcW w:w="1814" w:type="dxa"/>
            <w:tcBorders>
              <w:top w:val="single" w:sz="4" w:space="0" w:color="auto"/>
              <w:bottom w:val="nil"/>
            </w:tcBorders>
          </w:tcPr>
          <w:p w:rsidR="00212513" w:rsidRDefault="00212513">
            <w:pPr>
              <w:pStyle w:val="ConsPlusNormal"/>
              <w:jc w:val="center"/>
            </w:pPr>
            <w:hyperlink w:anchor="P910">
              <w:r>
                <w:rPr>
                  <w:color w:val="0000FF"/>
                </w:rPr>
                <w:t>7</w:t>
              </w:r>
            </w:hyperlink>
            <w:r>
              <w:t xml:space="preserve"> - </w:t>
            </w:r>
            <w:hyperlink w:anchor="P916">
              <w:r>
                <w:rPr>
                  <w:color w:val="0000FF"/>
                </w:rPr>
                <w:t>9</w:t>
              </w:r>
            </w:hyperlink>
          </w:p>
        </w:tc>
        <w:tc>
          <w:tcPr>
            <w:tcW w:w="1145" w:type="dxa"/>
            <w:tcBorders>
              <w:top w:val="single" w:sz="4" w:space="0" w:color="auto"/>
              <w:bottom w:val="nil"/>
            </w:tcBorders>
          </w:tcPr>
          <w:p w:rsidR="00212513" w:rsidRDefault="00212513">
            <w:pPr>
              <w:pStyle w:val="ConsPlusNormal"/>
              <w:jc w:val="center"/>
            </w:pPr>
            <w:r>
              <w:t>0,7</w:t>
            </w:r>
          </w:p>
        </w:tc>
        <w:tc>
          <w:tcPr>
            <w:tcW w:w="1145" w:type="dxa"/>
            <w:tcBorders>
              <w:top w:val="single" w:sz="4" w:space="0" w:color="auto"/>
              <w:bottom w:val="nil"/>
            </w:tcBorders>
          </w:tcPr>
          <w:p w:rsidR="00212513" w:rsidRDefault="00212513">
            <w:pPr>
              <w:pStyle w:val="ConsPlusNormal"/>
              <w:jc w:val="center"/>
            </w:pPr>
            <w:r>
              <w:t>0,7</w:t>
            </w:r>
          </w:p>
        </w:tc>
        <w:tc>
          <w:tcPr>
            <w:tcW w:w="1145" w:type="dxa"/>
            <w:tcBorders>
              <w:top w:val="single" w:sz="4" w:space="0" w:color="auto"/>
              <w:bottom w:val="nil"/>
            </w:tcBorders>
          </w:tcPr>
          <w:p w:rsidR="00212513" w:rsidRDefault="00212513">
            <w:pPr>
              <w:pStyle w:val="ConsPlusNormal"/>
              <w:jc w:val="center"/>
            </w:pPr>
            <w:r>
              <w:t>0,7</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0,50</w:t>
            </w:r>
          </w:p>
          <w:p w:rsidR="00212513" w:rsidRDefault="00212513">
            <w:pPr>
              <w:pStyle w:val="ConsPlusNormal"/>
              <w:jc w:val="center"/>
            </w:pPr>
            <w:r>
              <w:t>-----</w:t>
            </w:r>
          </w:p>
          <w:p w:rsidR="00212513" w:rsidRDefault="00212513">
            <w:pPr>
              <w:pStyle w:val="ConsPlusNormal"/>
              <w:jc w:val="center"/>
            </w:pPr>
            <w:r>
              <w:t>0,25</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50" w:type="dxa"/>
            <w:tcBorders>
              <w:top w:val="single" w:sz="4" w:space="0" w:color="auto"/>
              <w:bottom w:val="nil"/>
            </w:tcBorders>
          </w:tcPr>
          <w:p w:rsidR="00212513" w:rsidRDefault="00212513">
            <w:pPr>
              <w:pStyle w:val="ConsPlusNormal"/>
              <w:jc w:val="center"/>
            </w:pPr>
            <w:r>
              <w:t>-</w:t>
            </w:r>
          </w:p>
        </w:tc>
      </w:tr>
      <w:tr w:rsidR="00212513">
        <w:tblPrEx>
          <w:tblBorders>
            <w:insideH w:val="none" w:sz="0" w:space="0" w:color="auto"/>
          </w:tblBorders>
        </w:tblPrEx>
        <w:tc>
          <w:tcPr>
            <w:tcW w:w="1155" w:type="dxa"/>
            <w:tcBorders>
              <w:top w:val="nil"/>
              <w:bottom w:val="nil"/>
            </w:tcBorders>
          </w:tcPr>
          <w:p w:rsidR="00212513" w:rsidRDefault="00212513">
            <w:pPr>
              <w:pStyle w:val="ConsPlusNormal"/>
            </w:pPr>
          </w:p>
        </w:tc>
        <w:tc>
          <w:tcPr>
            <w:tcW w:w="1814" w:type="dxa"/>
            <w:tcBorders>
              <w:top w:val="nil"/>
              <w:bottom w:val="nil"/>
            </w:tcBorders>
          </w:tcPr>
          <w:p w:rsidR="00212513" w:rsidRDefault="00212513">
            <w:pPr>
              <w:pStyle w:val="ConsPlusNormal"/>
              <w:jc w:val="center"/>
            </w:pPr>
            <w:hyperlink w:anchor="P910">
              <w:r>
                <w:rPr>
                  <w:color w:val="0000FF"/>
                </w:rPr>
                <w:t>7</w:t>
              </w:r>
            </w:hyperlink>
            <w:r>
              <w:t xml:space="preserve">, </w:t>
            </w:r>
            <w:hyperlink w:anchor="P913">
              <w:r>
                <w:rPr>
                  <w:color w:val="0000FF"/>
                </w:rPr>
                <w:t>8</w:t>
              </w:r>
            </w:hyperlink>
            <w:r>
              <w:t xml:space="preserve">, </w:t>
            </w:r>
            <w:hyperlink w:anchor="P922">
              <w:r>
                <w:rPr>
                  <w:color w:val="0000FF"/>
                </w:rPr>
                <w:t>11</w:t>
              </w:r>
            </w:hyperlink>
            <w:r>
              <w:t xml:space="preserve">, </w:t>
            </w:r>
            <w:hyperlink w:anchor="P935">
              <w:r>
                <w:rPr>
                  <w:color w:val="0000FF"/>
                </w:rPr>
                <w:t>15</w:t>
              </w:r>
            </w:hyperlink>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0,50</w:t>
            </w:r>
          </w:p>
          <w:p w:rsidR="00212513" w:rsidRDefault="00212513">
            <w:pPr>
              <w:pStyle w:val="ConsPlusNormal"/>
              <w:jc w:val="center"/>
            </w:pPr>
            <w:r>
              <w:t>-----</w:t>
            </w:r>
          </w:p>
          <w:p w:rsidR="00212513" w:rsidRDefault="00212513">
            <w:pPr>
              <w:pStyle w:val="ConsPlusNormal"/>
              <w:jc w:val="center"/>
            </w:pPr>
            <w:r>
              <w:t>0,25</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50" w:type="dxa"/>
            <w:tcBorders>
              <w:top w:val="nil"/>
              <w:bottom w:val="nil"/>
            </w:tcBorders>
          </w:tcPr>
          <w:p w:rsidR="00212513" w:rsidRDefault="00212513">
            <w:pPr>
              <w:pStyle w:val="ConsPlusNormal"/>
              <w:jc w:val="center"/>
            </w:pPr>
            <w:r>
              <w:t>-</w:t>
            </w:r>
          </w:p>
        </w:tc>
      </w:tr>
      <w:tr w:rsidR="00212513">
        <w:tblPrEx>
          <w:tblBorders>
            <w:insideH w:val="none" w:sz="0" w:space="0" w:color="auto"/>
          </w:tblBorders>
        </w:tblPrEx>
        <w:tc>
          <w:tcPr>
            <w:tcW w:w="1155" w:type="dxa"/>
            <w:tcBorders>
              <w:top w:val="nil"/>
              <w:bottom w:val="nil"/>
            </w:tcBorders>
          </w:tcPr>
          <w:p w:rsidR="00212513" w:rsidRDefault="00212513">
            <w:pPr>
              <w:pStyle w:val="ConsPlusNormal"/>
            </w:pPr>
          </w:p>
        </w:tc>
        <w:tc>
          <w:tcPr>
            <w:tcW w:w="1814" w:type="dxa"/>
            <w:tcBorders>
              <w:top w:val="nil"/>
              <w:bottom w:val="nil"/>
            </w:tcBorders>
          </w:tcPr>
          <w:p w:rsidR="00212513" w:rsidRDefault="00212513">
            <w:pPr>
              <w:pStyle w:val="ConsPlusNormal"/>
              <w:jc w:val="center"/>
            </w:pPr>
            <w:hyperlink w:anchor="P910">
              <w:r>
                <w:rPr>
                  <w:color w:val="0000FF"/>
                </w:rPr>
                <w:t>7</w:t>
              </w:r>
            </w:hyperlink>
            <w:r>
              <w:t xml:space="preserve"> - </w:t>
            </w:r>
            <w:hyperlink w:anchor="P916">
              <w:r>
                <w:rPr>
                  <w:color w:val="0000FF"/>
                </w:rPr>
                <w:t>9</w:t>
              </w:r>
            </w:hyperlink>
            <w:r>
              <w:t xml:space="preserve">, </w:t>
            </w:r>
            <w:hyperlink w:anchor="P929">
              <w:r>
                <w:rPr>
                  <w:color w:val="0000FF"/>
                </w:rPr>
                <w:t>13</w:t>
              </w:r>
            </w:hyperlink>
            <w:r>
              <w:t xml:space="preserve">, </w:t>
            </w:r>
            <w:hyperlink w:anchor="P935">
              <w:r>
                <w:rPr>
                  <w:color w:val="0000FF"/>
                </w:rPr>
                <w:t>15</w:t>
              </w:r>
            </w:hyperlink>
            <w:r>
              <w:t xml:space="preserve"> и </w:t>
            </w:r>
            <w:hyperlink w:anchor="P947">
              <w:r>
                <w:rPr>
                  <w:color w:val="0000FF"/>
                </w:rPr>
                <w:t>19</w:t>
              </w:r>
            </w:hyperlink>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0,50</w:t>
            </w:r>
          </w:p>
          <w:p w:rsidR="00212513" w:rsidRDefault="00212513">
            <w:pPr>
              <w:pStyle w:val="ConsPlusNormal"/>
              <w:jc w:val="center"/>
            </w:pPr>
            <w:r>
              <w:t>-----</w:t>
            </w:r>
          </w:p>
          <w:p w:rsidR="00212513" w:rsidRDefault="00212513">
            <w:pPr>
              <w:pStyle w:val="ConsPlusNormal"/>
              <w:jc w:val="center"/>
            </w:pPr>
            <w:r>
              <w:t>0,25</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50" w:type="dxa"/>
            <w:tcBorders>
              <w:top w:val="nil"/>
              <w:bottom w:val="nil"/>
            </w:tcBorders>
          </w:tcPr>
          <w:p w:rsidR="00212513" w:rsidRDefault="00212513">
            <w:pPr>
              <w:pStyle w:val="ConsPlusNormal"/>
              <w:jc w:val="center"/>
            </w:pPr>
            <w:r>
              <w:t>0,7</w:t>
            </w:r>
          </w:p>
        </w:tc>
      </w:tr>
      <w:tr w:rsidR="00212513">
        <w:tblPrEx>
          <w:tblBorders>
            <w:insideH w:val="none" w:sz="0" w:space="0" w:color="auto"/>
          </w:tblBorders>
        </w:tblPrEx>
        <w:tc>
          <w:tcPr>
            <w:tcW w:w="1155" w:type="dxa"/>
            <w:tcBorders>
              <w:top w:val="nil"/>
              <w:bottom w:val="nil"/>
            </w:tcBorders>
          </w:tcPr>
          <w:p w:rsidR="00212513" w:rsidRDefault="00212513">
            <w:pPr>
              <w:pStyle w:val="ConsPlusNormal"/>
            </w:pPr>
          </w:p>
        </w:tc>
        <w:tc>
          <w:tcPr>
            <w:tcW w:w="1814" w:type="dxa"/>
            <w:tcBorders>
              <w:top w:val="nil"/>
              <w:bottom w:val="nil"/>
            </w:tcBorders>
          </w:tcPr>
          <w:p w:rsidR="00212513" w:rsidRDefault="00212513">
            <w:pPr>
              <w:pStyle w:val="ConsPlusNormal"/>
              <w:jc w:val="center"/>
            </w:pPr>
            <w:hyperlink w:anchor="P929">
              <w:r>
                <w:rPr>
                  <w:color w:val="0000FF"/>
                </w:rPr>
                <w:t>13</w:t>
              </w:r>
            </w:hyperlink>
            <w:r>
              <w:t xml:space="preserve">, </w:t>
            </w:r>
            <w:hyperlink w:anchor="P935">
              <w:r>
                <w:rPr>
                  <w:color w:val="0000FF"/>
                </w:rPr>
                <w:t>15</w:t>
              </w:r>
            </w:hyperlink>
            <w:r>
              <w:t xml:space="preserve">, </w:t>
            </w:r>
            <w:hyperlink w:anchor="P941">
              <w:r>
                <w:rPr>
                  <w:color w:val="0000FF"/>
                </w:rPr>
                <w:t>17</w:t>
              </w:r>
            </w:hyperlink>
            <w:r>
              <w:t xml:space="preserve"> и </w:t>
            </w:r>
            <w:hyperlink w:anchor="P947">
              <w:r>
                <w:rPr>
                  <w:color w:val="0000FF"/>
                </w:rPr>
                <w:t>19</w:t>
              </w:r>
            </w:hyperlink>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0,80</w:t>
            </w:r>
          </w:p>
          <w:p w:rsidR="00212513" w:rsidRDefault="00212513">
            <w:pPr>
              <w:pStyle w:val="ConsPlusNormal"/>
              <w:jc w:val="center"/>
            </w:pPr>
            <w:r>
              <w:t>-----</w:t>
            </w:r>
          </w:p>
          <w:p w:rsidR="00212513" w:rsidRDefault="00212513">
            <w:pPr>
              <w:pStyle w:val="ConsPlusNormal"/>
              <w:jc w:val="center"/>
            </w:pPr>
            <w:r>
              <w:lastRenderedPageBreak/>
              <w:t>0,50</w:t>
            </w:r>
          </w:p>
        </w:tc>
        <w:tc>
          <w:tcPr>
            <w:tcW w:w="1145" w:type="dxa"/>
            <w:tcBorders>
              <w:top w:val="nil"/>
              <w:bottom w:val="nil"/>
            </w:tcBorders>
          </w:tcPr>
          <w:p w:rsidR="00212513" w:rsidRDefault="00212513">
            <w:pPr>
              <w:pStyle w:val="ConsPlusNormal"/>
              <w:jc w:val="center"/>
            </w:pPr>
            <w:r>
              <w:lastRenderedPageBreak/>
              <w:t>0,7</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1</w:t>
            </w:r>
          </w:p>
        </w:tc>
        <w:tc>
          <w:tcPr>
            <w:tcW w:w="1145" w:type="dxa"/>
            <w:tcBorders>
              <w:top w:val="nil"/>
              <w:bottom w:val="nil"/>
            </w:tcBorders>
          </w:tcPr>
          <w:p w:rsidR="00212513" w:rsidRDefault="00212513">
            <w:pPr>
              <w:pStyle w:val="ConsPlusNormal"/>
              <w:jc w:val="center"/>
            </w:pPr>
            <w:r>
              <w:t>-</w:t>
            </w:r>
          </w:p>
        </w:tc>
        <w:tc>
          <w:tcPr>
            <w:tcW w:w="1150" w:type="dxa"/>
            <w:tcBorders>
              <w:top w:val="nil"/>
              <w:bottom w:val="nil"/>
            </w:tcBorders>
          </w:tcPr>
          <w:p w:rsidR="00212513" w:rsidRDefault="00212513">
            <w:pPr>
              <w:pStyle w:val="ConsPlusNormal"/>
              <w:jc w:val="center"/>
            </w:pPr>
            <w:r>
              <w:t>0,7</w:t>
            </w:r>
          </w:p>
        </w:tc>
      </w:tr>
      <w:tr w:rsidR="00212513">
        <w:tblPrEx>
          <w:tblBorders>
            <w:insideH w:val="none" w:sz="0" w:space="0" w:color="auto"/>
          </w:tblBorders>
        </w:tblPrEx>
        <w:tc>
          <w:tcPr>
            <w:tcW w:w="1155" w:type="dxa"/>
            <w:tcBorders>
              <w:top w:val="nil"/>
              <w:bottom w:val="nil"/>
            </w:tcBorders>
          </w:tcPr>
          <w:p w:rsidR="00212513" w:rsidRDefault="00212513">
            <w:pPr>
              <w:pStyle w:val="ConsPlusNormal"/>
            </w:pPr>
          </w:p>
        </w:tc>
        <w:tc>
          <w:tcPr>
            <w:tcW w:w="1814" w:type="dxa"/>
            <w:tcBorders>
              <w:top w:val="nil"/>
              <w:bottom w:val="nil"/>
            </w:tcBorders>
          </w:tcPr>
          <w:p w:rsidR="00212513" w:rsidRDefault="00212513">
            <w:pPr>
              <w:pStyle w:val="ConsPlusNormal"/>
              <w:jc w:val="center"/>
            </w:pPr>
            <w:hyperlink w:anchor="P935">
              <w:r>
                <w:rPr>
                  <w:color w:val="0000FF"/>
                </w:rPr>
                <w:t>15</w:t>
              </w:r>
            </w:hyperlink>
            <w:r>
              <w:t xml:space="preserve"> - </w:t>
            </w:r>
            <w:hyperlink w:anchor="P941">
              <w:r>
                <w:rPr>
                  <w:color w:val="0000FF"/>
                </w:rPr>
                <w:t>17</w:t>
              </w:r>
            </w:hyperlink>
            <w:r>
              <w:t xml:space="preserve"> и </w:t>
            </w:r>
            <w:hyperlink w:anchor="P947">
              <w:r>
                <w:rPr>
                  <w:color w:val="0000FF"/>
                </w:rPr>
                <w:t>19</w:t>
              </w:r>
            </w:hyperlink>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0,80</w:t>
            </w:r>
          </w:p>
          <w:p w:rsidR="00212513" w:rsidRDefault="00212513">
            <w:pPr>
              <w:pStyle w:val="ConsPlusNormal"/>
              <w:jc w:val="center"/>
            </w:pPr>
            <w:r>
              <w:t>-----</w:t>
            </w:r>
          </w:p>
          <w:p w:rsidR="00212513" w:rsidRDefault="00212513">
            <w:pPr>
              <w:pStyle w:val="ConsPlusNormal"/>
              <w:jc w:val="center"/>
            </w:pPr>
            <w:r>
              <w:t>0,50</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1</w:t>
            </w:r>
          </w:p>
        </w:tc>
        <w:tc>
          <w:tcPr>
            <w:tcW w:w="1145" w:type="dxa"/>
            <w:tcBorders>
              <w:top w:val="nil"/>
              <w:bottom w:val="nil"/>
            </w:tcBorders>
          </w:tcPr>
          <w:p w:rsidR="00212513" w:rsidRDefault="00212513">
            <w:pPr>
              <w:pStyle w:val="ConsPlusNormal"/>
              <w:jc w:val="center"/>
            </w:pPr>
            <w:r>
              <w:t>-</w:t>
            </w:r>
          </w:p>
        </w:tc>
        <w:tc>
          <w:tcPr>
            <w:tcW w:w="1150" w:type="dxa"/>
            <w:tcBorders>
              <w:top w:val="nil"/>
              <w:bottom w:val="nil"/>
            </w:tcBorders>
          </w:tcPr>
          <w:p w:rsidR="00212513" w:rsidRDefault="00212513">
            <w:pPr>
              <w:pStyle w:val="ConsPlusNormal"/>
              <w:jc w:val="center"/>
            </w:pPr>
            <w:r>
              <w:t>0,7</w:t>
            </w:r>
          </w:p>
        </w:tc>
      </w:tr>
      <w:tr w:rsidR="00212513">
        <w:tblPrEx>
          <w:tblBorders>
            <w:insideH w:val="none" w:sz="0" w:space="0" w:color="auto"/>
          </w:tblBorders>
        </w:tblPrEx>
        <w:tc>
          <w:tcPr>
            <w:tcW w:w="17859" w:type="dxa"/>
            <w:gridSpan w:val="15"/>
            <w:tcBorders>
              <w:top w:val="nil"/>
              <w:bottom w:val="single" w:sz="4" w:space="0" w:color="auto"/>
            </w:tcBorders>
          </w:tcPr>
          <w:p w:rsidR="00212513" w:rsidRDefault="00212513">
            <w:pPr>
              <w:pStyle w:val="ConsPlusNormal"/>
              <w:jc w:val="both"/>
            </w:pPr>
            <w:r>
              <w:t xml:space="preserve">(в ред. </w:t>
            </w:r>
            <w:hyperlink r:id="rId3171">
              <w:r>
                <w:rPr>
                  <w:color w:val="0000FF"/>
                </w:rPr>
                <w:t>Изменения N 1</w:t>
              </w:r>
            </w:hyperlink>
            <w:r>
              <w:t>, утв. Приказом Минстроя России от 03.12.2016 N 879/пр)</w:t>
            </w:r>
          </w:p>
        </w:tc>
      </w:tr>
      <w:tr w:rsidR="00212513">
        <w:tblPrEx>
          <w:tblBorders>
            <w:insideH w:val="none" w:sz="0" w:space="0" w:color="auto"/>
          </w:tblBorders>
        </w:tblPrEx>
        <w:tc>
          <w:tcPr>
            <w:tcW w:w="1155" w:type="dxa"/>
            <w:tcBorders>
              <w:top w:val="single" w:sz="4" w:space="0" w:color="auto"/>
              <w:bottom w:val="nil"/>
            </w:tcBorders>
          </w:tcPr>
          <w:p w:rsidR="00212513" w:rsidRDefault="00212513">
            <w:pPr>
              <w:pStyle w:val="ConsPlusNormal"/>
              <w:jc w:val="center"/>
            </w:pPr>
            <w:hyperlink w:anchor="P929">
              <w:r>
                <w:rPr>
                  <w:color w:val="0000FF"/>
                </w:rPr>
                <w:t>13</w:t>
              </w:r>
            </w:hyperlink>
          </w:p>
        </w:tc>
        <w:tc>
          <w:tcPr>
            <w:tcW w:w="1814"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1</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50" w:type="dxa"/>
            <w:tcBorders>
              <w:top w:val="single" w:sz="4" w:space="0" w:color="auto"/>
              <w:bottom w:val="nil"/>
            </w:tcBorders>
          </w:tcPr>
          <w:p w:rsidR="00212513" w:rsidRDefault="00212513">
            <w:pPr>
              <w:pStyle w:val="ConsPlusNormal"/>
              <w:jc w:val="center"/>
            </w:pPr>
            <w:r>
              <w:t>-</w:t>
            </w:r>
          </w:p>
        </w:tc>
      </w:tr>
      <w:tr w:rsidR="00212513">
        <w:tblPrEx>
          <w:tblBorders>
            <w:insideH w:val="none" w:sz="0" w:space="0" w:color="auto"/>
          </w:tblBorders>
        </w:tblPrEx>
        <w:tc>
          <w:tcPr>
            <w:tcW w:w="1155" w:type="dxa"/>
            <w:tcBorders>
              <w:top w:val="nil"/>
              <w:bottom w:val="nil"/>
            </w:tcBorders>
          </w:tcPr>
          <w:p w:rsidR="00212513" w:rsidRDefault="00212513">
            <w:pPr>
              <w:pStyle w:val="ConsPlusNormal"/>
            </w:pPr>
          </w:p>
        </w:tc>
        <w:tc>
          <w:tcPr>
            <w:tcW w:w="1814" w:type="dxa"/>
            <w:tcBorders>
              <w:top w:val="nil"/>
              <w:bottom w:val="nil"/>
            </w:tcBorders>
          </w:tcPr>
          <w:p w:rsidR="00212513" w:rsidRDefault="00212513">
            <w:pPr>
              <w:pStyle w:val="ConsPlusNormal"/>
              <w:jc w:val="center"/>
            </w:pPr>
            <w:hyperlink w:anchor="P910">
              <w:r>
                <w:rPr>
                  <w:color w:val="0000FF"/>
                </w:rPr>
                <w:t>7</w:t>
              </w:r>
            </w:hyperlink>
            <w:r>
              <w:t xml:space="preserve"> - </w:t>
            </w:r>
            <w:hyperlink w:anchor="P916">
              <w:r>
                <w:rPr>
                  <w:color w:val="0000FF"/>
                </w:rPr>
                <w:t>9</w:t>
              </w:r>
            </w:hyperlink>
            <w:r>
              <w:t xml:space="preserve">, </w:t>
            </w:r>
            <w:hyperlink w:anchor="P926">
              <w:r>
                <w:rPr>
                  <w:color w:val="0000FF"/>
                </w:rPr>
                <w:t>12</w:t>
              </w:r>
            </w:hyperlink>
            <w:r>
              <w:t xml:space="preserve">, </w:t>
            </w:r>
            <w:hyperlink w:anchor="P935">
              <w:r>
                <w:rPr>
                  <w:color w:val="0000FF"/>
                </w:rPr>
                <w:t>15</w:t>
              </w:r>
            </w:hyperlink>
            <w:r>
              <w:t xml:space="preserve"> и </w:t>
            </w:r>
            <w:hyperlink w:anchor="P947">
              <w:r>
                <w:rPr>
                  <w:color w:val="0000FF"/>
                </w:rPr>
                <w:t>19</w:t>
              </w:r>
            </w:hyperlink>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0,70</w:t>
            </w:r>
          </w:p>
          <w:p w:rsidR="00212513" w:rsidRDefault="00212513">
            <w:pPr>
              <w:pStyle w:val="ConsPlusNormal"/>
              <w:jc w:val="center"/>
            </w:pPr>
            <w:r>
              <w:t>-----</w:t>
            </w:r>
          </w:p>
          <w:p w:rsidR="00212513" w:rsidRDefault="00212513">
            <w:pPr>
              <w:pStyle w:val="ConsPlusNormal"/>
              <w:jc w:val="center"/>
            </w:pPr>
            <w:r>
              <w:t>0,50</w:t>
            </w:r>
          </w:p>
        </w:tc>
        <w:tc>
          <w:tcPr>
            <w:tcW w:w="1145" w:type="dxa"/>
            <w:tcBorders>
              <w:top w:val="nil"/>
              <w:bottom w:val="nil"/>
            </w:tcBorders>
          </w:tcPr>
          <w:p w:rsidR="00212513" w:rsidRDefault="00212513">
            <w:pPr>
              <w:pStyle w:val="ConsPlusNormal"/>
              <w:jc w:val="center"/>
            </w:pPr>
            <w:r>
              <w:t>0,8</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50" w:type="dxa"/>
            <w:tcBorders>
              <w:top w:val="nil"/>
              <w:bottom w:val="nil"/>
            </w:tcBorders>
          </w:tcPr>
          <w:p w:rsidR="00212513" w:rsidRDefault="00212513">
            <w:pPr>
              <w:pStyle w:val="ConsPlusNormal"/>
              <w:jc w:val="center"/>
            </w:pPr>
            <w:r>
              <w:t>0,7</w:t>
            </w:r>
          </w:p>
        </w:tc>
      </w:tr>
      <w:tr w:rsidR="00212513">
        <w:tblPrEx>
          <w:tblBorders>
            <w:insideH w:val="none" w:sz="0" w:space="0" w:color="auto"/>
          </w:tblBorders>
        </w:tblPrEx>
        <w:tc>
          <w:tcPr>
            <w:tcW w:w="1155" w:type="dxa"/>
            <w:tcBorders>
              <w:top w:val="nil"/>
              <w:bottom w:val="nil"/>
            </w:tcBorders>
          </w:tcPr>
          <w:p w:rsidR="00212513" w:rsidRDefault="00212513">
            <w:pPr>
              <w:pStyle w:val="ConsPlusNormal"/>
            </w:pPr>
          </w:p>
        </w:tc>
        <w:tc>
          <w:tcPr>
            <w:tcW w:w="1814" w:type="dxa"/>
            <w:tcBorders>
              <w:top w:val="nil"/>
              <w:bottom w:val="nil"/>
            </w:tcBorders>
          </w:tcPr>
          <w:p w:rsidR="00212513" w:rsidRDefault="00212513">
            <w:pPr>
              <w:pStyle w:val="ConsPlusNormal"/>
              <w:jc w:val="center"/>
            </w:pPr>
            <w:hyperlink w:anchor="P910">
              <w:r>
                <w:rPr>
                  <w:color w:val="0000FF"/>
                </w:rPr>
                <w:t>7</w:t>
              </w:r>
            </w:hyperlink>
            <w:r>
              <w:t xml:space="preserve">, </w:t>
            </w:r>
            <w:hyperlink w:anchor="P913">
              <w:r>
                <w:rPr>
                  <w:color w:val="0000FF"/>
                </w:rPr>
                <w:t>8</w:t>
              </w:r>
            </w:hyperlink>
            <w:r>
              <w:t xml:space="preserve">, </w:t>
            </w:r>
            <w:hyperlink w:anchor="P919">
              <w:r>
                <w:rPr>
                  <w:color w:val="0000FF"/>
                </w:rPr>
                <w:t>10</w:t>
              </w:r>
            </w:hyperlink>
            <w:r>
              <w:t xml:space="preserve">, </w:t>
            </w:r>
            <w:hyperlink w:anchor="P935">
              <w:r>
                <w:rPr>
                  <w:color w:val="0000FF"/>
                </w:rPr>
                <w:t>15</w:t>
              </w:r>
            </w:hyperlink>
            <w:r>
              <w:t xml:space="preserve"> и </w:t>
            </w:r>
            <w:hyperlink w:anchor="P947">
              <w:r>
                <w:rPr>
                  <w:color w:val="0000FF"/>
                </w:rPr>
                <w:t>19</w:t>
              </w:r>
            </w:hyperlink>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0,8</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50" w:type="dxa"/>
            <w:tcBorders>
              <w:top w:val="nil"/>
              <w:bottom w:val="nil"/>
            </w:tcBorders>
          </w:tcPr>
          <w:p w:rsidR="00212513" w:rsidRDefault="00212513">
            <w:pPr>
              <w:pStyle w:val="ConsPlusNormal"/>
              <w:jc w:val="center"/>
            </w:pPr>
            <w:r>
              <w:t>0,7</w:t>
            </w:r>
          </w:p>
        </w:tc>
      </w:tr>
      <w:tr w:rsidR="00212513">
        <w:tblPrEx>
          <w:tblBorders>
            <w:insideH w:val="none" w:sz="0" w:space="0" w:color="auto"/>
          </w:tblBorders>
        </w:tblPrEx>
        <w:tc>
          <w:tcPr>
            <w:tcW w:w="1155" w:type="dxa"/>
            <w:tcBorders>
              <w:top w:val="nil"/>
              <w:bottom w:val="nil"/>
            </w:tcBorders>
          </w:tcPr>
          <w:p w:rsidR="00212513" w:rsidRDefault="00212513">
            <w:pPr>
              <w:pStyle w:val="ConsPlusNormal"/>
            </w:pPr>
          </w:p>
        </w:tc>
        <w:tc>
          <w:tcPr>
            <w:tcW w:w="1814" w:type="dxa"/>
            <w:tcBorders>
              <w:top w:val="nil"/>
              <w:bottom w:val="nil"/>
            </w:tcBorders>
          </w:tcPr>
          <w:p w:rsidR="00212513" w:rsidRDefault="00212513">
            <w:pPr>
              <w:pStyle w:val="ConsPlusNormal"/>
              <w:jc w:val="center"/>
            </w:pPr>
            <w:hyperlink w:anchor="P926">
              <w:r>
                <w:rPr>
                  <w:color w:val="0000FF"/>
                </w:rPr>
                <w:t>12</w:t>
              </w:r>
            </w:hyperlink>
            <w:r>
              <w:t xml:space="preserve">, </w:t>
            </w:r>
            <w:hyperlink w:anchor="P935">
              <w:r>
                <w:rPr>
                  <w:color w:val="0000FF"/>
                </w:rPr>
                <w:t>15</w:t>
              </w:r>
            </w:hyperlink>
            <w:r>
              <w:t xml:space="preserve">, </w:t>
            </w:r>
            <w:hyperlink w:anchor="P941">
              <w:r>
                <w:rPr>
                  <w:color w:val="0000FF"/>
                </w:rPr>
                <w:t>17</w:t>
              </w:r>
            </w:hyperlink>
            <w:r>
              <w:t xml:space="preserve"> и </w:t>
            </w:r>
            <w:hyperlink w:anchor="P947">
              <w:r>
                <w:rPr>
                  <w:color w:val="0000FF"/>
                </w:rPr>
                <w:t>19</w:t>
              </w:r>
            </w:hyperlink>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0,70</w:t>
            </w:r>
          </w:p>
          <w:p w:rsidR="00212513" w:rsidRDefault="00212513">
            <w:pPr>
              <w:pStyle w:val="ConsPlusNormal"/>
              <w:jc w:val="center"/>
            </w:pPr>
            <w:r>
              <w:t>-----</w:t>
            </w:r>
          </w:p>
          <w:p w:rsidR="00212513" w:rsidRDefault="00212513">
            <w:pPr>
              <w:pStyle w:val="ConsPlusNormal"/>
              <w:jc w:val="center"/>
            </w:pPr>
            <w:r>
              <w:t>0,50</w:t>
            </w:r>
          </w:p>
        </w:tc>
        <w:tc>
          <w:tcPr>
            <w:tcW w:w="1145" w:type="dxa"/>
            <w:tcBorders>
              <w:top w:val="nil"/>
              <w:bottom w:val="nil"/>
            </w:tcBorders>
          </w:tcPr>
          <w:p w:rsidR="00212513" w:rsidRDefault="00212513">
            <w:pPr>
              <w:pStyle w:val="ConsPlusNormal"/>
              <w:jc w:val="center"/>
            </w:pPr>
            <w:r>
              <w:t>0,8</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1</w:t>
            </w:r>
          </w:p>
        </w:tc>
        <w:tc>
          <w:tcPr>
            <w:tcW w:w="1145" w:type="dxa"/>
            <w:tcBorders>
              <w:top w:val="nil"/>
              <w:bottom w:val="nil"/>
            </w:tcBorders>
          </w:tcPr>
          <w:p w:rsidR="00212513" w:rsidRDefault="00212513">
            <w:pPr>
              <w:pStyle w:val="ConsPlusNormal"/>
              <w:jc w:val="center"/>
            </w:pPr>
            <w:r>
              <w:t>-</w:t>
            </w:r>
          </w:p>
        </w:tc>
        <w:tc>
          <w:tcPr>
            <w:tcW w:w="1150" w:type="dxa"/>
            <w:tcBorders>
              <w:top w:val="nil"/>
              <w:bottom w:val="nil"/>
            </w:tcBorders>
          </w:tcPr>
          <w:p w:rsidR="00212513" w:rsidRDefault="00212513">
            <w:pPr>
              <w:pStyle w:val="ConsPlusNormal"/>
              <w:jc w:val="center"/>
            </w:pPr>
            <w:r>
              <w:t>0,7</w:t>
            </w:r>
          </w:p>
        </w:tc>
      </w:tr>
      <w:tr w:rsidR="00212513">
        <w:tblPrEx>
          <w:tblBorders>
            <w:insideH w:val="none" w:sz="0" w:space="0" w:color="auto"/>
          </w:tblBorders>
        </w:tblPrEx>
        <w:tc>
          <w:tcPr>
            <w:tcW w:w="17859" w:type="dxa"/>
            <w:gridSpan w:val="15"/>
            <w:tcBorders>
              <w:top w:val="nil"/>
              <w:bottom w:val="single" w:sz="4" w:space="0" w:color="auto"/>
            </w:tcBorders>
          </w:tcPr>
          <w:p w:rsidR="00212513" w:rsidRDefault="00212513">
            <w:pPr>
              <w:pStyle w:val="ConsPlusNormal"/>
              <w:jc w:val="both"/>
            </w:pPr>
            <w:r>
              <w:t xml:space="preserve">(в ред. </w:t>
            </w:r>
            <w:hyperlink r:id="rId3172">
              <w:r>
                <w:rPr>
                  <w:color w:val="0000FF"/>
                </w:rPr>
                <w:t>Изменения N 1</w:t>
              </w:r>
            </w:hyperlink>
            <w:r>
              <w:t>, утв. Приказом Минстроя России от 03.12.2016 N 879/пр)</w:t>
            </w:r>
          </w:p>
        </w:tc>
      </w:tr>
      <w:tr w:rsidR="00212513">
        <w:tblPrEx>
          <w:tblBorders>
            <w:insideH w:val="none" w:sz="0" w:space="0" w:color="auto"/>
          </w:tblBorders>
        </w:tblPrEx>
        <w:tc>
          <w:tcPr>
            <w:tcW w:w="1155" w:type="dxa"/>
            <w:tcBorders>
              <w:top w:val="single" w:sz="4" w:space="0" w:color="auto"/>
              <w:bottom w:val="nil"/>
            </w:tcBorders>
          </w:tcPr>
          <w:p w:rsidR="00212513" w:rsidRDefault="00212513">
            <w:pPr>
              <w:pStyle w:val="ConsPlusNormal"/>
              <w:jc w:val="center"/>
            </w:pPr>
            <w:hyperlink w:anchor="P932">
              <w:r>
                <w:rPr>
                  <w:color w:val="0000FF"/>
                </w:rPr>
                <w:t>14</w:t>
              </w:r>
            </w:hyperlink>
          </w:p>
        </w:tc>
        <w:tc>
          <w:tcPr>
            <w:tcW w:w="1814"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1</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50" w:type="dxa"/>
            <w:tcBorders>
              <w:top w:val="single" w:sz="4" w:space="0" w:color="auto"/>
              <w:bottom w:val="nil"/>
            </w:tcBorders>
          </w:tcPr>
          <w:p w:rsidR="00212513" w:rsidRDefault="00212513">
            <w:pPr>
              <w:pStyle w:val="ConsPlusNormal"/>
              <w:jc w:val="center"/>
            </w:pPr>
            <w:r>
              <w:t>-</w:t>
            </w:r>
          </w:p>
        </w:tc>
      </w:tr>
      <w:tr w:rsidR="00212513">
        <w:tblPrEx>
          <w:tblBorders>
            <w:insideH w:val="none" w:sz="0" w:space="0" w:color="auto"/>
          </w:tblBorders>
        </w:tblPrEx>
        <w:tc>
          <w:tcPr>
            <w:tcW w:w="1155" w:type="dxa"/>
            <w:tcBorders>
              <w:top w:val="nil"/>
              <w:bottom w:val="nil"/>
            </w:tcBorders>
          </w:tcPr>
          <w:p w:rsidR="00212513" w:rsidRDefault="00212513">
            <w:pPr>
              <w:pStyle w:val="ConsPlusNormal"/>
              <w:jc w:val="center"/>
            </w:pPr>
          </w:p>
        </w:tc>
        <w:tc>
          <w:tcPr>
            <w:tcW w:w="1814" w:type="dxa"/>
            <w:tcBorders>
              <w:top w:val="nil"/>
              <w:bottom w:val="nil"/>
            </w:tcBorders>
          </w:tcPr>
          <w:p w:rsidR="00212513" w:rsidRDefault="00212513">
            <w:pPr>
              <w:pStyle w:val="ConsPlusNormal"/>
              <w:jc w:val="center"/>
            </w:pPr>
            <w:hyperlink w:anchor="P910">
              <w:r>
                <w:rPr>
                  <w:color w:val="0000FF"/>
                </w:rPr>
                <w:t>7</w:t>
              </w:r>
            </w:hyperlink>
            <w:r>
              <w:t xml:space="preserve"> - </w:t>
            </w:r>
            <w:hyperlink w:anchor="P916">
              <w:r>
                <w:rPr>
                  <w:color w:val="0000FF"/>
                </w:rPr>
                <w:t>9</w:t>
              </w:r>
            </w:hyperlink>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0,8</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50" w:type="dxa"/>
            <w:tcBorders>
              <w:top w:val="nil"/>
              <w:bottom w:val="nil"/>
            </w:tcBorders>
          </w:tcPr>
          <w:p w:rsidR="00212513" w:rsidRDefault="00212513">
            <w:pPr>
              <w:pStyle w:val="ConsPlusNormal"/>
              <w:jc w:val="center"/>
            </w:pPr>
            <w:r>
              <w:t>-</w:t>
            </w:r>
          </w:p>
        </w:tc>
      </w:tr>
      <w:tr w:rsidR="00212513">
        <w:tblPrEx>
          <w:tblBorders>
            <w:insideH w:val="none" w:sz="0" w:space="0" w:color="auto"/>
          </w:tblBorders>
        </w:tblPrEx>
        <w:tc>
          <w:tcPr>
            <w:tcW w:w="1155" w:type="dxa"/>
            <w:tcBorders>
              <w:top w:val="nil"/>
              <w:bottom w:val="single" w:sz="4" w:space="0" w:color="auto"/>
            </w:tcBorders>
          </w:tcPr>
          <w:p w:rsidR="00212513" w:rsidRDefault="00212513">
            <w:pPr>
              <w:pStyle w:val="ConsPlusNormal"/>
              <w:jc w:val="center"/>
            </w:pPr>
          </w:p>
        </w:tc>
        <w:tc>
          <w:tcPr>
            <w:tcW w:w="1814" w:type="dxa"/>
            <w:tcBorders>
              <w:top w:val="nil"/>
              <w:bottom w:val="single" w:sz="4" w:space="0" w:color="auto"/>
            </w:tcBorders>
          </w:tcPr>
          <w:p w:rsidR="00212513" w:rsidRDefault="00212513">
            <w:pPr>
              <w:pStyle w:val="ConsPlusNormal"/>
              <w:jc w:val="center"/>
            </w:pPr>
            <w:hyperlink w:anchor="P910">
              <w:r>
                <w:rPr>
                  <w:color w:val="0000FF"/>
                </w:rPr>
                <w:t>7</w:t>
              </w:r>
            </w:hyperlink>
            <w:r>
              <w:t xml:space="preserve">, </w:t>
            </w:r>
            <w:hyperlink w:anchor="P913">
              <w:r>
                <w:rPr>
                  <w:color w:val="0000FF"/>
                </w:rPr>
                <w:t>8</w:t>
              </w:r>
            </w:hyperlink>
            <w:r>
              <w:t xml:space="preserve">, </w:t>
            </w:r>
            <w:hyperlink w:anchor="P919">
              <w:r>
                <w:rPr>
                  <w:color w:val="0000FF"/>
                </w:rPr>
                <w:t>10</w:t>
              </w:r>
            </w:hyperlink>
          </w:p>
        </w:tc>
        <w:tc>
          <w:tcPr>
            <w:tcW w:w="1145" w:type="dxa"/>
            <w:tcBorders>
              <w:top w:val="nil"/>
              <w:bottom w:val="single" w:sz="4" w:space="0" w:color="auto"/>
            </w:tcBorders>
          </w:tcPr>
          <w:p w:rsidR="00212513" w:rsidRDefault="00212513">
            <w:pPr>
              <w:pStyle w:val="ConsPlusNormal"/>
              <w:jc w:val="center"/>
            </w:pPr>
            <w:r>
              <w:t>0,7</w:t>
            </w:r>
          </w:p>
        </w:tc>
        <w:tc>
          <w:tcPr>
            <w:tcW w:w="1145" w:type="dxa"/>
            <w:tcBorders>
              <w:top w:val="nil"/>
              <w:bottom w:val="single" w:sz="4" w:space="0" w:color="auto"/>
            </w:tcBorders>
          </w:tcPr>
          <w:p w:rsidR="00212513" w:rsidRDefault="00212513">
            <w:pPr>
              <w:pStyle w:val="ConsPlusNormal"/>
              <w:jc w:val="center"/>
            </w:pPr>
            <w:r>
              <w:t>0,7</w:t>
            </w:r>
          </w:p>
        </w:tc>
        <w:tc>
          <w:tcPr>
            <w:tcW w:w="1145" w:type="dxa"/>
            <w:tcBorders>
              <w:top w:val="nil"/>
              <w:bottom w:val="single" w:sz="4" w:space="0" w:color="auto"/>
            </w:tcBorders>
          </w:tcPr>
          <w:p w:rsidR="00212513" w:rsidRDefault="00212513">
            <w:pPr>
              <w:pStyle w:val="ConsPlusNormal"/>
              <w:jc w:val="center"/>
            </w:pPr>
            <w:r>
              <w:t>-</w:t>
            </w:r>
          </w:p>
        </w:tc>
        <w:tc>
          <w:tcPr>
            <w:tcW w:w="1145" w:type="dxa"/>
            <w:tcBorders>
              <w:top w:val="nil"/>
              <w:bottom w:val="single" w:sz="4" w:space="0" w:color="auto"/>
            </w:tcBorders>
          </w:tcPr>
          <w:p w:rsidR="00212513" w:rsidRDefault="00212513">
            <w:pPr>
              <w:pStyle w:val="ConsPlusNormal"/>
              <w:jc w:val="center"/>
            </w:pPr>
            <w:r>
              <w:t>0,7</w:t>
            </w:r>
          </w:p>
        </w:tc>
        <w:tc>
          <w:tcPr>
            <w:tcW w:w="1145" w:type="dxa"/>
            <w:tcBorders>
              <w:top w:val="nil"/>
              <w:bottom w:val="single" w:sz="4" w:space="0" w:color="auto"/>
            </w:tcBorders>
          </w:tcPr>
          <w:p w:rsidR="00212513" w:rsidRDefault="00212513">
            <w:pPr>
              <w:pStyle w:val="ConsPlusNormal"/>
              <w:jc w:val="center"/>
            </w:pPr>
            <w:r>
              <w:t>-</w:t>
            </w:r>
          </w:p>
        </w:tc>
        <w:tc>
          <w:tcPr>
            <w:tcW w:w="1145" w:type="dxa"/>
            <w:tcBorders>
              <w:top w:val="nil"/>
              <w:bottom w:val="single" w:sz="4" w:space="0" w:color="auto"/>
            </w:tcBorders>
          </w:tcPr>
          <w:p w:rsidR="00212513" w:rsidRDefault="00212513">
            <w:pPr>
              <w:pStyle w:val="ConsPlusNormal"/>
              <w:jc w:val="center"/>
            </w:pPr>
            <w:r>
              <w:t>-</w:t>
            </w:r>
          </w:p>
        </w:tc>
        <w:tc>
          <w:tcPr>
            <w:tcW w:w="1145" w:type="dxa"/>
            <w:tcBorders>
              <w:top w:val="nil"/>
              <w:bottom w:val="single" w:sz="4" w:space="0" w:color="auto"/>
            </w:tcBorders>
          </w:tcPr>
          <w:p w:rsidR="00212513" w:rsidRDefault="00212513">
            <w:pPr>
              <w:pStyle w:val="ConsPlusNormal"/>
              <w:jc w:val="center"/>
            </w:pPr>
            <w:r>
              <w:t>-</w:t>
            </w:r>
          </w:p>
        </w:tc>
        <w:tc>
          <w:tcPr>
            <w:tcW w:w="1145" w:type="dxa"/>
            <w:tcBorders>
              <w:top w:val="nil"/>
              <w:bottom w:val="single" w:sz="4" w:space="0" w:color="auto"/>
            </w:tcBorders>
          </w:tcPr>
          <w:p w:rsidR="00212513" w:rsidRDefault="00212513">
            <w:pPr>
              <w:pStyle w:val="ConsPlusNormal"/>
              <w:jc w:val="center"/>
            </w:pPr>
            <w:r>
              <w:t>0,8</w:t>
            </w:r>
          </w:p>
        </w:tc>
        <w:tc>
          <w:tcPr>
            <w:tcW w:w="1145" w:type="dxa"/>
            <w:tcBorders>
              <w:top w:val="nil"/>
              <w:bottom w:val="single" w:sz="4" w:space="0" w:color="auto"/>
            </w:tcBorders>
          </w:tcPr>
          <w:p w:rsidR="00212513" w:rsidRDefault="00212513">
            <w:pPr>
              <w:pStyle w:val="ConsPlusNormal"/>
              <w:jc w:val="center"/>
            </w:pPr>
            <w:r>
              <w:t>-</w:t>
            </w:r>
          </w:p>
        </w:tc>
        <w:tc>
          <w:tcPr>
            <w:tcW w:w="1145" w:type="dxa"/>
            <w:tcBorders>
              <w:top w:val="nil"/>
              <w:bottom w:val="single" w:sz="4" w:space="0" w:color="auto"/>
            </w:tcBorders>
          </w:tcPr>
          <w:p w:rsidR="00212513" w:rsidRDefault="00212513">
            <w:pPr>
              <w:pStyle w:val="ConsPlusNormal"/>
              <w:jc w:val="center"/>
            </w:pPr>
            <w:r>
              <w:t>-</w:t>
            </w:r>
          </w:p>
        </w:tc>
        <w:tc>
          <w:tcPr>
            <w:tcW w:w="1145" w:type="dxa"/>
            <w:tcBorders>
              <w:top w:val="nil"/>
              <w:bottom w:val="single" w:sz="4" w:space="0" w:color="auto"/>
            </w:tcBorders>
          </w:tcPr>
          <w:p w:rsidR="00212513" w:rsidRDefault="00212513">
            <w:pPr>
              <w:pStyle w:val="ConsPlusNormal"/>
              <w:jc w:val="center"/>
            </w:pPr>
            <w:r>
              <w:t>-</w:t>
            </w:r>
          </w:p>
        </w:tc>
        <w:tc>
          <w:tcPr>
            <w:tcW w:w="1145" w:type="dxa"/>
            <w:tcBorders>
              <w:top w:val="nil"/>
              <w:bottom w:val="single" w:sz="4" w:space="0" w:color="auto"/>
            </w:tcBorders>
          </w:tcPr>
          <w:p w:rsidR="00212513" w:rsidRDefault="00212513">
            <w:pPr>
              <w:pStyle w:val="ConsPlusNormal"/>
              <w:jc w:val="center"/>
            </w:pPr>
            <w:r>
              <w:t>-</w:t>
            </w:r>
          </w:p>
        </w:tc>
        <w:tc>
          <w:tcPr>
            <w:tcW w:w="1150" w:type="dxa"/>
            <w:tcBorders>
              <w:top w:val="nil"/>
              <w:bottom w:val="single" w:sz="4" w:space="0" w:color="auto"/>
            </w:tcBorders>
          </w:tcPr>
          <w:p w:rsidR="00212513" w:rsidRDefault="00212513">
            <w:pPr>
              <w:pStyle w:val="ConsPlusNormal"/>
              <w:jc w:val="center"/>
            </w:pPr>
            <w:r>
              <w:t>-</w:t>
            </w:r>
          </w:p>
        </w:tc>
      </w:tr>
      <w:tr w:rsidR="00212513">
        <w:tblPrEx>
          <w:tblBorders>
            <w:insideH w:val="none" w:sz="0" w:space="0" w:color="auto"/>
          </w:tblBorders>
        </w:tblPrEx>
        <w:tc>
          <w:tcPr>
            <w:tcW w:w="1155" w:type="dxa"/>
            <w:tcBorders>
              <w:top w:val="single" w:sz="4" w:space="0" w:color="auto"/>
              <w:bottom w:val="nil"/>
            </w:tcBorders>
          </w:tcPr>
          <w:p w:rsidR="00212513" w:rsidRDefault="00212513">
            <w:pPr>
              <w:pStyle w:val="ConsPlusNormal"/>
              <w:jc w:val="center"/>
            </w:pPr>
            <w:hyperlink w:anchor="P935">
              <w:r>
                <w:rPr>
                  <w:color w:val="0000FF"/>
                </w:rPr>
                <w:t>15</w:t>
              </w:r>
            </w:hyperlink>
          </w:p>
        </w:tc>
        <w:tc>
          <w:tcPr>
            <w:tcW w:w="1814"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1</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50" w:type="dxa"/>
            <w:tcBorders>
              <w:top w:val="single" w:sz="4" w:space="0" w:color="auto"/>
              <w:bottom w:val="nil"/>
            </w:tcBorders>
          </w:tcPr>
          <w:p w:rsidR="00212513" w:rsidRDefault="00212513">
            <w:pPr>
              <w:pStyle w:val="ConsPlusNormal"/>
              <w:jc w:val="center"/>
            </w:pPr>
            <w:r>
              <w:t>-</w:t>
            </w:r>
          </w:p>
        </w:tc>
      </w:tr>
      <w:tr w:rsidR="00212513">
        <w:tblPrEx>
          <w:tblBorders>
            <w:insideH w:val="none" w:sz="0" w:space="0" w:color="auto"/>
          </w:tblBorders>
        </w:tblPrEx>
        <w:tc>
          <w:tcPr>
            <w:tcW w:w="1155" w:type="dxa"/>
            <w:tcBorders>
              <w:top w:val="nil"/>
              <w:bottom w:val="nil"/>
            </w:tcBorders>
          </w:tcPr>
          <w:p w:rsidR="00212513" w:rsidRDefault="00212513">
            <w:pPr>
              <w:pStyle w:val="ConsPlusNormal"/>
              <w:jc w:val="center"/>
            </w:pPr>
          </w:p>
        </w:tc>
        <w:tc>
          <w:tcPr>
            <w:tcW w:w="1814" w:type="dxa"/>
            <w:tcBorders>
              <w:top w:val="nil"/>
              <w:bottom w:val="nil"/>
            </w:tcBorders>
          </w:tcPr>
          <w:p w:rsidR="00212513" w:rsidRDefault="00212513">
            <w:pPr>
              <w:pStyle w:val="ConsPlusNormal"/>
              <w:jc w:val="center"/>
            </w:pPr>
            <w:hyperlink w:anchor="P910">
              <w:r>
                <w:rPr>
                  <w:color w:val="0000FF"/>
                </w:rPr>
                <w:t>7</w:t>
              </w:r>
            </w:hyperlink>
            <w:r>
              <w:t xml:space="preserve"> - </w:t>
            </w:r>
            <w:hyperlink w:anchor="P916">
              <w:r>
                <w:rPr>
                  <w:color w:val="0000FF"/>
                </w:rPr>
                <w:t>9</w:t>
              </w:r>
            </w:hyperlink>
            <w:r>
              <w:t xml:space="preserve">, </w:t>
            </w:r>
            <w:hyperlink w:anchor="P922">
              <w:r>
                <w:rPr>
                  <w:color w:val="0000FF"/>
                </w:rPr>
                <w:t>11</w:t>
              </w:r>
            </w:hyperlink>
            <w:r>
              <w:t xml:space="preserve">, </w:t>
            </w:r>
            <w:hyperlink w:anchor="P926">
              <w:r>
                <w:rPr>
                  <w:color w:val="0000FF"/>
                </w:rPr>
                <w:t>12</w:t>
              </w:r>
            </w:hyperlink>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0,50</w:t>
            </w:r>
          </w:p>
          <w:p w:rsidR="00212513" w:rsidRDefault="00212513">
            <w:pPr>
              <w:pStyle w:val="ConsPlusNormal"/>
              <w:jc w:val="center"/>
            </w:pPr>
            <w:r>
              <w:t>----</w:t>
            </w:r>
          </w:p>
          <w:p w:rsidR="00212513" w:rsidRDefault="00212513">
            <w:pPr>
              <w:pStyle w:val="ConsPlusNormal"/>
              <w:jc w:val="center"/>
            </w:pPr>
            <w:r>
              <w:t>0,25</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0,8</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50" w:type="dxa"/>
            <w:tcBorders>
              <w:top w:val="nil"/>
              <w:bottom w:val="nil"/>
            </w:tcBorders>
          </w:tcPr>
          <w:p w:rsidR="00212513" w:rsidRDefault="00212513">
            <w:pPr>
              <w:pStyle w:val="ConsPlusNormal"/>
              <w:jc w:val="center"/>
            </w:pPr>
            <w:r>
              <w:t>-</w:t>
            </w:r>
          </w:p>
        </w:tc>
      </w:tr>
      <w:tr w:rsidR="00212513">
        <w:tblPrEx>
          <w:tblBorders>
            <w:insideH w:val="none" w:sz="0" w:space="0" w:color="auto"/>
          </w:tblBorders>
        </w:tblPrEx>
        <w:tc>
          <w:tcPr>
            <w:tcW w:w="1155" w:type="dxa"/>
            <w:tcBorders>
              <w:top w:val="nil"/>
              <w:bottom w:val="nil"/>
            </w:tcBorders>
          </w:tcPr>
          <w:p w:rsidR="00212513" w:rsidRDefault="00212513">
            <w:pPr>
              <w:pStyle w:val="ConsPlusNormal"/>
              <w:jc w:val="center"/>
            </w:pPr>
          </w:p>
        </w:tc>
        <w:tc>
          <w:tcPr>
            <w:tcW w:w="1814" w:type="dxa"/>
            <w:tcBorders>
              <w:top w:val="nil"/>
              <w:bottom w:val="nil"/>
            </w:tcBorders>
          </w:tcPr>
          <w:p w:rsidR="00212513" w:rsidRDefault="00212513">
            <w:pPr>
              <w:pStyle w:val="ConsPlusNormal"/>
              <w:jc w:val="center"/>
            </w:pPr>
            <w:hyperlink w:anchor="P910">
              <w:r>
                <w:rPr>
                  <w:color w:val="0000FF"/>
                </w:rPr>
                <w:t>7</w:t>
              </w:r>
            </w:hyperlink>
            <w:r>
              <w:t xml:space="preserve"> - </w:t>
            </w:r>
            <w:hyperlink w:anchor="P916">
              <w:r>
                <w:rPr>
                  <w:color w:val="0000FF"/>
                </w:rPr>
                <w:t>9</w:t>
              </w:r>
            </w:hyperlink>
            <w:r>
              <w:t xml:space="preserve">, </w:t>
            </w:r>
            <w:hyperlink w:anchor="P926">
              <w:r>
                <w:rPr>
                  <w:color w:val="0000FF"/>
                </w:rPr>
                <w:t>12</w:t>
              </w:r>
            </w:hyperlink>
            <w:r>
              <w:t xml:space="preserve">, </w:t>
            </w:r>
            <w:hyperlink w:anchor="P929">
              <w:r>
                <w:rPr>
                  <w:color w:val="0000FF"/>
                </w:rPr>
                <w:t>13</w:t>
              </w:r>
            </w:hyperlink>
            <w:r>
              <w:t xml:space="preserve"> и S</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0,50</w:t>
            </w:r>
          </w:p>
          <w:p w:rsidR="00212513" w:rsidRDefault="00212513">
            <w:pPr>
              <w:pStyle w:val="ConsPlusNormal"/>
              <w:jc w:val="center"/>
            </w:pPr>
            <w:r>
              <w:t>----</w:t>
            </w:r>
          </w:p>
          <w:p w:rsidR="00212513" w:rsidRDefault="00212513">
            <w:pPr>
              <w:pStyle w:val="ConsPlusNormal"/>
              <w:jc w:val="center"/>
            </w:pPr>
            <w:r>
              <w:t>0,25</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0,8</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50" w:type="dxa"/>
            <w:tcBorders>
              <w:top w:val="nil"/>
              <w:bottom w:val="nil"/>
            </w:tcBorders>
          </w:tcPr>
          <w:p w:rsidR="00212513" w:rsidRDefault="00212513">
            <w:pPr>
              <w:pStyle w:val="ConsPlusNormal"/>
              <w:jc w:val="center"/>
            </w:pPr>
            <w:r>
              <w:t>0,7</w:t>
            </w:r>
          </w:p>
        </w:tc>
      </w:tr>
      <w:tr w:rsidR="00212513">
        <w:tblPrEx>
          <w:tblBorders>
            <w:insideH w:val="none" w:sz="0" w:space="0" w:color="auto"/>
          </w:tblBorders>
        </w:tblPrEx>
        <w:tc>
          <w:tcPr>
            <w:tcW w:w="1155" w:type="dxa"/>
            <w:tcBorders>
              <w:top w:val="nil"/>
              <w:bottom w:val="nil"/>
            </w:tcBorders>
          </w:tcPr>
          <w:p w:rsidR="00212513" w:rsidRDefault="00212513">
            <w:pPr>
              <w:pStyle w:val="ConsPlusNormal"/>
              <w:jc w:val="center"/>
            </w:pPr>
          </w:p>
        </w:tc>
        <w:tc>
          <w:tcPr>
            <w:tcW w:w="1814" w:type="dxa"/>
            <w:tcBorders>
              <w:top w:val="nil"/>
              <w:bottom w:val="nil"/>
            </w:tcBorders>
          </w:tcPr>
          <w:p w:rsidR="00212513" w:rsidRDefault="00212513">
            <w:pPr>
              <w:pStyle w:val="ConsPlusNormal"/>
              <w:jc w:val="center"/>
            </w:pPr>
            <w:hyperlink w:anchor="P910">
              <w:r>
                <w:rPr>
                  <w:color w:val="0000FF"/>
                </w:rPr>
                <w:t>7</w:t>
              </w:r>
            </w:hyperlink>
            <w:r>
              <w:t xml:space="preserve">, </w:t>
            </w:r>
            <w:hyperlink w:anchor="P913">
              <w:r>
                <w:rPr>
                  <w:color w:val="0000FF"/>
                </w:rPr>
                <w:t>8</w:t>
              </w:r>
            </w:hyperlink>
            <w:r>
              <w:t xml:space="preserve">, </w:t>
            </w:r>
            <w:hyperlink w:anchor="P919">
              <w:r>
                <w:rPr>
                  <w:color w:val="0000FF"/>
                </w:rPr>
                <w:t>10</w:t>
              </w:r>
            </w:hyperlink>
            <w:r>
              <w:t xml:space="preserve">, </w:t>
            </w:r>
            <w:hyperlink w:anchor="P929">
              <w:r>
                <w:rPr>
                  <w:color w:val="0000FF"/>
                </w:rPr>
                <w:t>13</w:t>
              </w:r>
            </w:hyperlink>
            <w:r>
              <w:t xml:space="preserve"> и S</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0,8</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50" w:type="dxa"/>
            <w:tcBorders>
              <w:top w:val="nil"/>
              <w:bottom w:val="nil"/>
            </w:tcBorders>
          </w:tcPr>
          <w:p w:rsidR="00212513" w:rsidRDefault="00212513">
            <w:pPr>
              <w:pStyle w:val="ConsPlusNormal"/>
              <w:jc w:val="center"/>
            </w:pPr>
            <w:r>
              <w:t>0,7</w:t>
            </w:r>
          </w:p>
        </w:tc>
      </w:tr>
      <w:tr w:rsidR="00212513">
        <w:tblPrEx>
          <w:tblBorders>
            <w:insideH w:val="none" w:sz="0" w:space="0" w:color="auto"/>
          </w:tblBorders>
        </w:tblPrEx>
        <w:tc>
          <w:tcPr>
            <w:tcW w:w="1155" w:type="dxa"/>
            <w:tcBorders>
              <w:top w:val="nil"/>
              <w:bottom w:val="nil"/>
            </w:tcBorders>
          </w:tcPr>
          <w:p w:rsidR="00212513" w:rsidRDefault="00212513">
            <w:pPr>
              <w:pStyle w:val="ConsPlusNormal"/>
              <w:jc w:val="center"/>
            </w:pPr>
          </w:p>
        </w:tc>
        <w:tc>
          <w:tcPr>
            <w:tcW w:w="1814" w:type="dxa"/>
            <w:tcBorders>
              <w:top w:val="nil"/>
              <w:bottom w:val="nil"/>
            </w:tcBorders>
          </w:tcPr>
          <w:p w:rsidR="00212513" w:rsidRDefault="00212513">
            <w:pPr>
              <w:pStyle w:val="ConsPlusNormal"/>
              <w:jc w:val="center"/>
            </w:pPr>
            <w:hyperlink w:anchor="P926">
              <w:r>
                <w:rPr>
                  <w:color w:val="0000FF"/>
                </w:rPr>
                <w:t>12</w:t>
              </w:r>
            </w:hyperlink>
            <w:r>
              <w:t xml:space="preserve">, </w:t>
            </w:r>
            <w:hyperlink w:anchor="P929">
              <w:r>
                <w:rPr>
                  <w:color w:val="0000FF"/>
                </w:rPr>
                <w:t>13</w:t>
              </w:r>
            </w:hyperlink>
            <w:r>
              <w:t xml:space="preserve">, </w:t>
            </w:r>
            <w:hyperlink w:anchor="P941">
              <w:r>
                <w:rPr>
                  <w:color w:val="0000FF"/>
                </w:rPr>
                <w:t>17</w:t>
              </w:r>
            </w:hyperlink>
            <w:r>
              <w:t xml:space="preserve"> и S</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0,7</w:t>
            </w:r>
          </w:p>
          <w:p w:rsidR="00212513" w:rsidRDefault="00212513">
            <w:pPr>
              <w:pStyle w:val="ConsPlusNormal"/>
              <w:jc w:val="center"/>
            </w:pPr>
            <w:r>
              <w:t>---</w:t>
            </w:r>
          </w:p>
          <w:p w:rsidR="00212513" w:rsidRDefault="00212513">
            <w:pPr>
              <w:pStyle w:val="ConsPlusNormal"/>
              <w:jc w:val="center"/>
            </w:pPr>
            <w:r>
              <w:t>0,5</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0,8</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1</w:t>
            </w:r>
          </w:p>
        </w:tc>
        <w:tc>
          <w:tcPr>
            <w:tcW w:w="1145" w:type="dxa"/>
            <w:tcBorders>
              <w:top w:val="nil"/>
              <w:bottom w:val="nil"/>
            </w:tcBorders>
          </w:tcPr>
          <w:p w:rsidR="00212513" w:rsidRDefault="00212513">
            <w:pPr>
              <w:pStyle w:val="ConsPlusNormal"/>
              <w:jc w:val="center"/>
            </w:pPr>
            <w:r>
              <w:t>-</w:t>
            </w:r>
          </w:p>
        </w:tc>
        <w:tc>
          <w:tcPr>
            <w:tcW w:w="1150" w:type="dxa"/>
            <w:tcBorders>
              <w:top w:val="nil"/>
              <w:bottom w:val="nil"/>
            </w:tcBorders>
          </w:tcPr>
          <w:p w:rsidR="00212513" w:rsidRDefault="00212513">
            <w:pPr>
              <w:pStyle w:val="ConsPlusNormal"/>
              <w:jc w:val="center"/>
            </w:pPr>
            <w:r>
              <w:t>0,7</w:t>
            </w:r>
          </w:p>
        </w:tc>
      </w:tr>
      <w:tr w:rsidR="00212513">
        <w:tblPrEx>
          <w:tblBorders>
            <w:insideH w:val="none" w:sz="0" w:space="0" w:color="auto"/>
          </w:tblBorders>
        </w:tblPrEx>
        <w:tc>
          <w:tcPr>
            <w:tcW w:w="1155" w:type="dxa"/>
            <w:tcBorders>
              <w:top w:val="nil"/>
              <w:bottom w:val="single" w:sz="4" w:space="0" w:color="auto"/>
            </w:tcBorders>
          </w:tcPr>
          <w:p w:rsidR="00212513" w:rsidRDefault="00212513">
            <w:pPr>
              <w:pStyle w:val="ConsPlusNormal"/>
              <w:jc w:val="center"/>
            </w:pPr>
          </w:p>
        </w:tc>
        <w:tc>
          <w:tcPr>
            <w:tcW w:w="1814" w:type="dxa"/>
            <w:tcBorders>
              <w:top w:val="nil"/>
              <w:bottom w:val="single" w:sz="4" w:space="0" w:color="auto"/>
            </w:tcBorders>
          </w:tcPr>
          <w:p w:rsidR="00212513" w:rsidRDefault="00212513">
            <w:pPr>
              <w:pStyle w:val="ConsPlusNormal"/>
              <w:jc w:val="center"/>
            </w:pPr>
            <w:hyperlink w:anchor="P926">
              <w:r>
                <w:rPr>
                  <w:color w:val="0000FF"/>
                </w:rPr>
                <w:t>12</w:t>
              </w:r>
            </w:hyperlink>
            <w:r>
              <w:t xml:space="preserve">, </w:t>
            </w:r>
            <w:hyperlink w:anchor="P938">
              <w:r>
                <w:rPr>
                  <w:color w:val="0000FF"/>
                </w:rPr>
                <w:t>16</w:t>
              </w:r>
            </w:hyperlink>
            <w:r>
              <w:t xml:space="preserve">, </w:t>
            </w:r>
            <w:hyperlink w:anchor="P941">
              <w:r>
                <w:rPr>
                  <w:color w:val="0000FF"/>
                </w:rPr>
                <w:t>17</w:t>
              </w:r>
            </w:hyperlink>
            <w:r>
              <w:t xml:space="preserve"> и S</w:t>
            </w:r>
          </w:p>
        </w:tc>
        <w:tc>
          <w:tcPr>
            <w:tcW w:w="1145" w:type="dxa"/>
            <w:tcBorders>
              <w:top w:val="nil"/>
              <w:bottom w:val="single" w:sz="4" w:space="0" w:color="auto"/>
            </w:tcBorders>
          </w:tcPr>
          <w:p w:rsidR="00212513" w:rsidRDefault="00212513">
            <w:pPr>
              <w:pStyle w:val="ConsPlusNormal"/>
              <w:jc w:val="center"/>
            </w:pPr>
            <w:r>
              <w:t>-</w:t>
            </w:r>
          </w:p>
        </w:tc>
        <w:tc>
          <w:tcPr>
            <w:tcW w:w="1145" w:type="dxa"/>
            <w:tcBorders>
              <w:top w:val="nil"/>
              <w:bottom w:val="single" w:sz="4" w:space="0" w:color="auto"/>
            </w:tcBorders>
          </w:tcPr>
          <w:p w:rsidR="00212513" w:rsidRDefault="00212513">
            <w:pPr>
              <w:pStyle w:val="ConsPlusNormal"/>
              <w:jc w:val="center"/>
            </w:pPr>
            <w:r>
              <w:t>-</w:t>
            </w:r>
          </w:p>
        </w:tc>
        <w:tc>
          <w:tcPr>
            <w:tcW w:w="1145" w:type="dxa"/>
            <w:tcBorders>
              <w:top w:val="nil"/>
              <w:bottom w:val="single" w:sz="4" w:space="0" w:color="auto"/>
            </w:tcBorders>
          </w:tcPr>
          <w:p w:rsidR="00212513" w:rsidRDefault="00212513">
            <w:pPr>
              <w:pStyle w:val="ConsPlusNormal"/>
              <w:jc w:val="center"/>
            </w:pPr>
            <w:r>
              <w:t>-</w:t>
            </w:r>
          </w:p>
        </w:tc>
        <w:tc>
          <w:tcPr>
            <w:tcW w:w="1145" w:type="dxa"/>
            <w:tcBorders>
              <w:top w:val="nil"/>
              <w:bottom w:val="single" w:sz="4" w:space="0" w:color="auto"/>
            </w:tcBorders>
          </w:tcPr>
          <w:p w:rsidR="00212513" w:rsidRDefault="00212513">
            <w:pPr>
              <w:pStyle w:val="ConsPlusNormal"/>
              <w:jc w:val="center"/>
            </w:pPr>
            <w:r>
              <w:t>-</w:t>
            </w:r>
          </w:p>
        </w:tc>
        <w:tc>
          <w:tcPr>
            <w:tcW w:w="1145" w:type="dxa"/>
            <w:tcBorders>
              <w:top w:val="nil"/>
              <w:bottom w:val="single" w:sz="4" w:space="0" w:color="auto"/>
            </w:tcBorders>
          </w:tcPr>
          <w:p w:rsidR="00212513" w:rsidRDefault="00212513">
            <w:pPr>
              <w:pStyle w:val="ConsPlusNormal"/>
              <w:jc w:val="center"/>
            </w:pPr>
            <w:r>
              <w:t>-</w:t>
            </w:r>
          </w:p>
        </w:tc>
        <w:tc>
          <w:tcPr>
            <w:tcW w:w="1145" w:type="dxa"/>
            <w:tcBorders>
              <w:top w:val="nil"/>
              <w:bottom w:val="single" w:sz="4" w:space="0" w:color="auto"/>
            </w:tcBorders>
          </w:tcPr>
          <w:p w:rsidR="00212513" w:rsidRDefault="00212513">
            <w:pPr>
              <w:pStyle w:val="ConsPlusNormal"/>
              <w:jc w:val="center"/>
            </w:pPr>
            <w:r>
              <w:t>0,7</w:t>
            </w:r>
          </w:p>
          <w:p w:rsidR="00212513" w:rsidRDefault="00212513">
            <w:pPr>
              <w:pStyle w:val="ConsPlusNormal"/>
              <w:jc w:val="center"/>
            </w:pPr>
            <w:r>
              <w:t>---</w:t>
            </w:r>
          </w:p>
          <w:p w:rsidR="00212513" w:rsidRDefault="00212513">
            <w:pPr>
              <w:pStyle w:val="ConsPlusNormal"/>
              <w:jc w:val="center"/>
            </w:pPr>
            <w:r>
              <w:t>0,5</w:t>
            </w:r>
          </w:p>
        </w:tc>
        <w:tc>
          <w:tcPr>
            <w:tcW w:w="1145" w:type="dxa"/>
            <w:tcBorders>
              <w:top w:val="nil"/>
              <w:bottom w:val="single" w:sz="4" w:space="0" w:color="auto"/>
            </w:tcBorders>
          </w:tcPr>
          <w:p w:rsidR="00212513" w:rsidRDefault="00212513">
            <w:pPr>
              <w:pStyle w:val="ConsPlusNormal"/>
              <w:jc w:val="center"/>
            </w:pPr>
            <w:r>
              <w:t>-</w:t>
            </w:r>
          </w:p>
        </w:tc>
        <w:tc>
          <w:tcPr>
            <w:tcW w:w="1145" w:type="dxa"/>
            <w:tcBorders>
              <w:top w:val="nil"/>
              <w:bottom w:val="single" w:sz="4" w:space="0" w:color="auto"/>
            </w:tcBorders>
          </w:tcPr>
          <w:p w:rsidR="00212513" w:rsidRDefault="00212513">
            <w:pPr>
              <w:pStyle w:val="ConsPlusNormal"/>
              <w:jc w:val="center"/>
            </w:pPr>
            <w:r>
              <w:t>-</w:t>
            </w:r>
          </w:p>
        </w:tc>
        <w:tc>
          <w:tcPr>
            <w:tcW w:w="1145" w:type="dxa"/>
            <w:tcBorders>
              <w:top w:val="nil"/>
              <w:bottom w:val="single" w:sz="4" w:space="0" w:color="auto"/>
            </w:tcBorders>
          </w:tcPr>
          <w:p w:rsidR="00212513" w:rsidRDefault="00212513">
            <w:pPr>
              <w:pStyle w:val="ConsPlusNormal"/>
              <w:jc w:val="center"/>
            </w:pPr>
            <w:r>
              <w:t>0,8</w:t>
            </w:r>
          </w:p>
        </w:tc>
        <w:tc>
          <w:tcPr>
            <w:tcW w:w="1145" w:type="dxa"/>
            <w:tcBorders>
              <w:top w:val="nil"/>
              <w:bottom w:val="single" w:sz="4" w:space="0" w:color="auto"/>
            </w:tcBorders>
          </w:tcPr>
          <w:p w:rsidR="00212513" w:rsidRDefault="00212513">
            <w:pPr>
              <w:pStyle w:val="ConsPlusNormal"/>
              <w:jc w:val="center"/>
            </w:pPr>
            <w:r>
              <w:t>0,7</w:t>
            </w:r>
          </w:p>
        </w:tc>
        <w:tc>
          <w:tcPr>
            <w:tcW w:w="1145" w:type="dxa"/>
            <w:tcBorders>
              <w:top w:val="nil"/>
              <w:bottom w:val="single" w:sz="4" w:space="0" w:color="auto"/>
            </w:tcBorders>
          </w:tcPr>
          <w:p w:rsidR="00212513" w:rsidRDefault="00212513">
            <w:pPr>
              <w:pStyle w:val="ConsPlusNormal"/>
              <w:jc w:val="center"/>
            </w:pPr>
            <w:r>
              <w:t>1</w:t>
            </w:r>
          </w:p>
        </w:tc>
        <w:tc>
          <w:tcPr>
            <w:tcW w:w="1145" w:type="dxa"/>
            <w:tcBorders>
              <w:top w:val="nil"/>
              <w:bottom w:val="single" w:sz="4" w:space="0" w:color="auto"/>
            </w:tcBorders>
          </w:tcPr>
          <w:p w:rsidR="00212513" w:rsidRDefault="00212513">
            <w:pPr>
              <w:pStyle w:val="ConsPlusNormal"/>
              <w:jc w:val="center"/>
            </w:pPr>
            <w:r>
              <w:t>-</w:t>
            </w:r>
          </w:p>
        </w:tc>
        <w:tc>
          <w:tcPr>
            <w:tcW w:w="1150" w:type="dxa"/>
            <w:tcBorders>
              <w:top w:val="nil"/>
              <w:bottom w:val="single" w:sz="4" w:space="0" w:color="auto"/>
            </w:tcBorders>
          </w:tcPr>
          <w:p w:rsidR="00212513" w:rsidRDefault="00212513">
            <w:pPr>
              <w:pStyle w:val="ConsPlusNormal"/>
              <w:jc w:val="center"/>
            </w:pPr>
            <w:r>
              <w:t>0,7</w:t>
            </w:r>
          </w:p>
        </w:tc>
      </w:tr>
      <w:tr w:rsidR="00212513">
        <w:tblPrEx>
          <w:tblBorders>
            <w:insideH w:val="none" w:sz="0" w:space="0" w:color="auto"/>
          </w:tblBorders>
        </w:tblPrEx>
        <w:tc>
          <w:tcPr>
            <w:tcW w:w="1155" w:type="dxa"/>
            <w:tcBorders>
              <w:top w:val="single" w:sz="4" w:space="0" w:color="auto"/>
              <w:bottom w:val="nil"/>
            </w:tcBorders>
          </w:tcPr>
          <w:p w:rsidR="00212513" w:rsidRDefault="00212513">
            <w:pPr>
              <w:pStyle w:val="ConsPlusNormal"/>
              <w:jc w:val="center"/>
            </w:pPr>
            <w:hyperlink w:anchor="P938">
              <w:r>
                <w:rPr>
                  <w:color w:val="0000FF"/>
                </w:rPr>
                <w:t>16</w:t>
              </w:r>
            </w:hyperlink>
          </w:p>
        </w:tc>
        <w:tc>
          <w:tcPr>
            <w:tcW w:w="1814"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1</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50" w:type="dxa"/>
            <w:tcBorders>
              <w:top w:val="single" w:sz="4" w:space="0" w:color="auto"/>
              <w:bottom w:val="nil"/>
            </w:tcBorders>
          </w:tcPr>
          <w:p w:rsidR="00212513" w:rsidRDefault="00212513">
            <w:pPr>
              <w:pStyle w:val="ConsPlusNormal"/>
              <w:jc w:val="center"/>
            </w:pPr>
            <w:r>
              <w:t>-</w:t>
            </w:r>
          </w:p>
        </w:tc>
      </w:tr>
      <w:tr w:rsidR="00212513">
        <w:tblPrEx>
          <w:tblBorders>
            <w:insideH w:val="none" w:sz="0" w:space="0" w:color="auto"/>
          </w:tblBorders>
        </w:tblPrEx>
        <w:tc>
          <w:tcPr>
            <w:tcW w:w="1155" w:type="dxa"/>
            <w:tcBorders>
              <w:top w:val="nil"/>
              <w:bottom w:val="single" w:sz="4" w:space="0" w:color="auto"/>
            </w:tcBorders>
          </w:tcPr>
          <w:p w:rsidR="00212513" w:rsidRDefault="00212513">
            <w:pPr>
              <w:pStyle w:val="ConsPlusNormal"/>
              <w:jc w:val="center"/>
            </w:pPr>
          </w:p>
        </w:tc>
        <w:tc>
          <w:tcPr>
            <w:tcW w:w="1814" w:type="dxa"/>
            <w:tcBorders>
              <w:top w:val="nil"/>
              <w:bottom w:val="single" w:sz="4" w:space="0" w:color="auto"/>
            </w:tcBorders>
          </w:tcPr>
          <w:p w:rsidR="00212513" w:rsidRDefault="00212513">
            <w:pPr>
              <w:pStyle w:val="ConsPlusNormal"/>
              <w:jc w:val="center"/>
            </w:pPr>
            <w:hyperlink w:anchor="P926">
              <w:r>
                <w:rPr>
                  <w:color w:val="0000FF"/>
                </w:rPr>
                <w:t>12</w:t>
              </w:r>
            </w:hyperlink>
            <w:r>
              <w:t xml:space="preserve">, </w:t>
            </w:r>
            <w:hyperlink w:anchor="P935">
              <w:r>
                <w:rPr>
                  <w:color w:val="0000FF"/>
                </w:rPr>
                <w:t>15</w:t>
              </w:r>
            </w:hyperlink>
            <w:r>
              <w:t xml:space="preserve">, </w:t>
            </w:r>
            <w:hyperlink w:anchor="P941">
              <w:r>
                <w:rPr>
                  <w:color w:val="0000FF"/>
                </w:rPr>
                <w:t>17</w:t>
              </w:r>
            </w:hyperlink>
            <w:r>
              <w:t xml:space="preserve"> и S</w:t>
            </w:r>
          </w:p>
        </w:tc>
        <w:tc>
          <w:tcPr>
            <w:tcW w:w="1145" w:type="dxa"/>
            <w:tcBorders>
              <w:top w:val="nil"/>
              <w:bottom w:val="single" w:sz="4" w:space="0" w:color="auto"/>
            </w:tcBorders>
          </w:tcPr>
          <w:p w:rsidR="00212513" w:rsidRDefault="00212513">
            <w:pPr>
              <w:pStyle w:val="ConsPlusNormal"/>
              <w:jc w:val="center"/>
            </w:pPr>
            <w:r>
              <w:t>-</w:t>
            </w:r>
          </w:p>
        </w:tc>
        <w:tc>
          <w:tcPr>
            <w:tcW w:w="1145" w:type="dxa"/>
            <w:tcBorders>
              <w:top w:val="nil"/>
              <w:bottom w:val="single" w:sz="4" w:space="0" w:color="auto"/>
            </w:tcBorders>
          </w:tcPr>
          <w:p w:rsidR="00212513" w:rsidRDefault="00212513">
            <w:pPr>
              <w:pStyle w:val="ConsPlusNormal"/>
              <w:jc w:val="center"/>
            </w:pPr>
            <w:r>
              <w:t>-</w:t>
            </w:r>
          </w:p>
        </w:tc>
        <w:tc>
          <w:tcPr>
            <w:tcW w:w="1145" w:type="dxa"/>
            <w:tcBorders>
              <w:top w:val="nil"/>
              <w:bottom w:val="single" w:sz="4" w:space="0" w:color="auto"/>
            </w:tcBorders>
          </w:tcPr>
          <w:p w:rsidR="00212513" w:rsidRDefault="00212513">
            <w:pPr>
              <w:pStyle w:val="ConsPlusNormal"/>
              <w:jc w:val="center"/>
            </w:pPr>
            <w:r>
              <w:t>-</w:t>
            </w:r>
          </w:p>
        </w:tc>
        <w:tc>
          <w:tcPr>
            <w:tcW w:w="1145" w:type="dxa"/>
            <w:tcBorders>
              <w:top w:val="nil"/>
              <w:bottom w:val="single" w:sz="4" w:space="0" w:color="auto"/>
            </w:tcBorders>
          </w:tcPr>
          <w:p w:rsidR="00212513" w:rsidRDefault="00212513">
            <w:pPr>
              <w:pStyle w:val="ConsPlusNormal"/>
              <w:jc w:val="center"/>
            </w:pPr>
            <w:r>
              <w:t>-</w:t>
            </w:r>
          </w:p>
        </w:tc>
        <w:tc>
          <w:tcPr>
            <w:tcW w:w="1145" w:type="dxa"/>
            <w:tcBorders>
              <w:top w:val="nil"/>
              <w:bottom w:val="single" w:sz="4" w:space="0" w:color="auto"/>
            </w:tcBorders>
          </w:tcPr>
          <w:p w:rsidR="00212513" w:rsidRDefault="00212513">
            <w:pPr>
              <w:pStyle w:val="ConsPlusNormal"/>
              <w:jc w:val="center"/>
            </w:pPr>
            <w:r>
              <w:t>-</w:t>
            </w:r>
          </w:p>
        </w:tc>
        <w:tc>
          <w:tcPr>
            <w:tcW w:w="1145" w:type="dxa"/>
            <w:tcBorders>
              <w:top w:val="nil"/>
              <w:bottom w:val="single" w:sz="4" w:space="0" w:color="auto"/>
            </w:tcBorders>
          </w:tcPr>
          <w:p w:rsidR="00212513" w:rsidRDefault="00212513">
            <w:pPr>
              <w:pStyle w:val="ConsPlusNormal"/>
              <w:jc w:val="center"/>
            </w:pPr>
            <w:r>
              <w:t>0,7</w:t>
            </w:r>
          </w:p>
          <w:p w:rsidR="00212513" w:rsidRDefault="00212513">
            <w:pPr>
              <w:pStyle w:val="ConsPlusNormal"/>
              <w:jc w:val="center"/>
            </w:pPr>
            <w:r>
              <w:t>---</w:t>
            </w:r>
          </w:p>
          <w:p w:rsidR="00212513" w:rsidRDefault="00212513">
            <w:pPr>
              <w:pStyle w:val="ConsPlusNormal"/>
              <w:jc w:val="center"/>
            </w:pPr>
            <w:r>
              <w:t>0,5</w:t>
            </w:r>
          </w:p>
        </w:tc>
        <w:tc>
          <w:tcPr>
            <w:tcW w:w="1145" w:type="dxa"/>
            <w:tcBorders>
              <w:top w:val="nil"/>
              <w:bottom w:val="single" w:sz="4" w:space="0" w:color="auto"/>
            </w:tcBorders>
          </w:tcPr>
          <w:p w:rsidR="00212513" w:rsidRDefault="00212513">
            <w:pPr>
              <w:pStyle w:val="ConsPlusNormal"/>
              <w:jc w:val="center"/>
            </w:pPr>
            <w:r>
              <w:t>-</w:t>
            </w:r>
          </w:p>
        </w:tc>
        <w:tc>
          <w:tcPr>
            <w:tcW w:w="1145" w:type="dxa"/>
            <w:tcBorders>
              <w:top w:val="nil"/>
              <w:bottom w:val="single" w:sz="4" w:space="0" w:color="auto"/>
            </w:tcBorders>
          </w:tcPr>
          <w:p w:rsidR="00212513" w:rsidRDefault="00212513">
            <w:pPr>
              <w:pStyle w:val="ConsPlusNormal"/>
              <w:jc w:val="center"/>
            </w:pPr>
            <w:r>
              <w:t>-</w:t>
            </w:r>
          </w:p>
        </w:tc>
        <w:tc>
          <w:tcPr>
            <w:tcW w:w="1145" w:type="dxa"/>
            <w:tcBorders>
              <w:top w:val="nil"/>
              <w:bottom w:val="single" w:sz="4" w:space="0" w:color="auto"/>
            </w:tcBorders>
          </w:tcPr>
          <w:p w:rsidR="00212513" w:rsidRDefault="00212513">
            <w:pPr>
              <w:pStyle w:val="ConsPlusNormal"/>
              <w:jc w:val="center"/>
            </w:pPr>
            <w:r>
              <w:t>0,7</w:t>
            </w:r>
          </w:p>
        </w:tc>
        <w:tc>
          <w:tcPr>
            <w:tcW w:w="1145" w:type="dxa"/>
            <w:tcBorders>
              <w:top w:val="nil"/>
              <w:bottom w:val="single" w:sz="4" w:space="0" w:color="auto"/>
            </w:tcBorders>
          </w:tcPr>
          <w:p w:rsidR="00212513" w:rsidRDefault="00212513">
            <w:pPr>
              <w:pStyle w:val="ConsPlusNormal"/>
              <w:jc w:val="center"/>
            </w:pPr>
            <w:r>
              <w:t>0,8</w:t>
            </w:r>
          </w:p>
        </w:tc>
        <w:tc>
          <w:tcPr>
            <w:tcW w:w="1145" w:type="dxa"/>
            <w:tcBorders>
              <w:top w:val="nil"/>
              <w:bottom w:val="single" w:sz="4" w:space="0" w:color="auto"/>
            </w:tcBorders>
          </w:tcPr>
          <w:p w:rsidR="00212513" w:rsidRDefault="00212513">
            <w:pPr>
              <w:pStyle w:val="ConsPlusNormal"/>
              <w:jc w:val="center"/>
            </w:pPr>
            <w:r>
              <w:t>1</w:t>
            </w:r>
          </w:p>
        </w:tc>
        <w:tc>
          <w:tcPr>
            <w:tcW w:w="1145" w:type="dxa"/>
            <w:tcBorders>
              <w:top w:val="nil"/>
              <w:bottom w:val="single" w:sz="4" w:space="0" w:color="auto"/>
            </w:tcBorders>
          </w:tcPr>
          <w:p w:rsidR="00212513" w:rsidRDefault="00212513">
            <w:pPr>
              <w:pStyle w:val="ConsPlusNormal"/>
              <w:jc w:val="center"/>
            </w:pPr>
            <w:r>
              <w:t>-</w:t>
            </w:r>
          </w:p>
        </w:tc>
        <w:tc>
          <w:tcPr>
            <w:tcW w:w="1150" w:type="dxa"/>
            <w:tcBorders>
              <w:top w:val="nil"/>
              <w:bottom w:val="single" w:sz="4" w:space="0" w:color="auto"/>
            </w:tcBorders>
          </w:tcPr>
          <w:p w:rsidR="00212513" w:rsidRDefault="00212513">
            <w:pPr>
              <w:pStyle w:val="ConsPlusNormal"/>
              <w:jc w:val="center"/>
            </w:pPr>
            <w:r>
              <w:t>0,7</w:t>
            </w:r>
          </w:p>
        </w:tc>
      </w:tr>
      <w:tr w:rsidR="00212513">
        <w:tblPrEx>
          <w:tblBorders>
            <w:insideH w:val="none" w:sz="0" w:space="0" w:color="auto"/>
          </w:tblBorders>
        </w:tblPrEx>
        <w:tc>
          <w:tcPr>
            <w:tcW w:w="1155" w:type="dxa"/>
            <w:tcBorders>
              <w:top w:val="single" w:sz="4" w:space="0" w:color="auto"/>
              <w:bottom w:val="nil"/>
            </w:tcBorders>
          </w:tcPr>
          <w:p w:rsidR="00212513" w:rsidRDefault="00212513">
            <w:pPr>
              <w:pStyle w:val="ConsPlusNormal"/>
              <w:jc w:val="center"/>
            </w:pPr>
            <w:hyperlink w:anchor="P941">
              <w:r>
                <w:rPr>
                  <w:color w:val="0000FF"/>
                </w:rPr>
                <w:t>17</w:t>
              </w:r>
            </w:hyperlink>
          </w:p>
        </w:tc>
        <w:tc>
          <w:tcPr>
            <w:tcW w:w="1814"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1</w:t>
            </w:r>
          </w:p>
        </w:tc>
        <w:tc>
          <w:tcPr>
            <w:tcW w:w="1145" w:type="dxa"/>
            <w:tcBorders>
              <w:top w:val="single" w:sz="4" w:space="0" w:color="auto"/>
              <w:bottom w:val="nil"/>
            </w:tcBorders>
          </w:tcPr>
          <w:p w:rsidR="00212513" w:rsidRDefault="00212513">
            <w:pPr>
              <w:pStyle w:val="ConsPlusNormal"/>
              <w:jc w:val="center"/>
            </w:pPr>
            <w:r>
              <w:t>-</w:t>
            </w:r>
          </w:p>
        </w:tc>
        <w:tc>
          <w:tcPr>
            <w:tcW w:w="1150" w:type="dxa"/>
            <w:tcBorders>
              <w:top w:val="single" w:sz="4" w:space="0" w:color="auto"/>
              <w:bottom w:val="nil"/>
            </w:tcBorders>
          </w:tcPr>
          <w:p w:rsidR="00212513" w:rsidRDefault="00212513">
            <w:pPr>
              <w:pStyle w:val="ConsPlusNormal"/>
              <w:jc w:val="center"/>
            </w:pPr>
            <w:r>
              <w:t>-</w:t>
            </w:r>
          </w:p>
        </w:tc>
      </w:tr>
      <w:tr w:rsidR="00212513">
        <w:tblPrEx>
          <w:tblBorders>
            <w:insideH w:val="none" w:sz="0" w:space="0" w:color="auto"/>
          </w:tblBorders>
        </w:tblPrEx>
        <w:tc>
          <w:tcPr>
            <w:tcW w:w="1155" w:type="dxa"/>
            <w:tcBorders>
              <w:top w:val="nil"/>
              <w:bottom w:val="nil"/>
            </w:tcBorders>
          </w:tcPr>
          <w:p w:rsidR="00212513" w:rsidRDefault="00212513">
            <w:pPr>
              <w:pStyle w:val="ConsPlusNormal"/>
              <w:jc w:val="center"/>
            </w:pPr>
          </w:p>
        </w:tc>
        <w:tc>
          <w:tcPr>
            <w:tcW w:w="1814" w:type="dxa"/>
            <w:tcBorders>
              <w:top w:val="nil"/>
              <w:bottom w:val="nil"/>
            </w:tcBorders>
          </w:tcPr>
          <w:p w:rsidR="00212513" w:rsidRDefault="00212513">
            <w:pPr>
              <w:pStyle w:val="ConsPlusNormal"/>
              <w:jc w:val="center"/>
            </w:pPr>
            <w:hyperlink w:anchor="P926">
              <w:r>
                <w:rPr>
                  <w:color w:val="0000FF"/>
                </w:rPr>
                <w:t>12</w:t>
              </w:r>
            </w:hyperlink>
            <w:r>
              <w:t xml:space="preserve">, </w:t>
            </w:r>
            <w:hyperlink w:anchor="P929">
              <w:r>
                <w:rPr>
                  <w:color w:val="0000FF"/>
                </w:rPr>
                <w:t>13</w:t>
              </w:r>
            </w:hyperlink>
            <w:r>
              <w:t xml:space="preserve">, </w:t>
            </w:r>
            <w:hyperlink w:anchor="P935">
              <w:r>
                <w:rPr>
                  <w:color w:val="0000FF"/>
                </w:rPr>
                <w:t>15</w:t>
              </w:r>
            </w:hyperlink>
            <w:r>
              <w:t xml:space="preserve"> и S</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0,7</w:t>
            </w:r>
          </w:p>
          <w:p w:rsidR="00212513" w:rsidRDefault="00212513">
            <w:pPr>
              <w:pStyle w:val="ConsPlusNormal"/>
              <w:jc w:val="center"/>
            </w:pPr>
            <w:r>
              <w:t>---</w:t>
            </w:r>
          </w:p>
          <w:p w:rsidR="00212513" w:rsidRDefault="00212513">
            <w:pPr>
              <w:pStyle w:val="ConsPlusNormal"/>
              <w:jc w:val="center"/>
            </w:pPr>
            <w:r>
              <w:t>0,5</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1</w:t>
            </w:r>
          </w:p>
        </w:tc>
        <w:tc>
          <w:tcPr>
            <w:tcW w:w="1145" w:type="dxa"/>
            <w:tcBorders>
              <w:top w:val="nil"/>
              <w:bottom w:val="nil"/>
            </w:tcBorders>
          </w:tcPr>
          <w:p w:rsidR="00212513" w:rsidRDefault="00212513">
            <w:pPr>
              <w:pStyle w:val="ConsPlusNormal"/>
              <w:jc w:val="center"/>
            </w:pPr>
            <w:r>
              <w:t>-</w:t>
            </w:r>
          </w:p>
        </w:tc>
        <w:tc>
          <w:tcPr>
            <w:tcW w:w="1150" w:type="dxa"/>
            <w:tcBorders>
              <w:top w:val="nil"/>
              <w:bottom w:val="nil"/>
            </w:tcBorders>
          </w:tcPr>
          <w:p w:rsidR="00212513" w:rsidRDefault="00212513">
            <w:pPr>
              <w:pStyle w:val="ConsPlusNormal"/>
              <w:jc w:val="center"/>
            </w:pPr>
            <w:r>
              <w:t>0,7</w:t>
            </w:r>
          </w:p>
        </w:tc>
      </w:tr>
      <w:tr w:rsidR="00212513">
        <w:tblPrEx>
          <w:tblBorders>
            <w:insideH w:val="none" w:sz="0" w:space="0" w:color="auto"/>
          </w:tblBorders>
        </w:tblPrEx>
        <w:tc>
          <w:tcPr>
            <w:tcW w:w="1155" w:type="dxa"/>
            <w:tcBorders>
              <w:top w:val="nil"/>
              <w:bottom w:val="single" w:sz="4" w:space="0" w:color="auto"/>
            </w:tcBorders>
          </w:tcPr>
          <w:p w:rsidR="00212513" w:rsidRDefault="00212513">
            <w:pPr>
              <w:pStyle w:val="ConsPlusNormal"/>
              <w:jc w:val="center"/>
            </w:pPr>
          </w:p>
        </w:tc>
        <w:tc>
          <w:tcPr>
            <w:tcW w:w="1814" w:type="dxa"/>
            <w:tcBorders>
              <w:top w:val="nil"/>
              <w:bottom w:val="single" w:sz="4" w:space="0" w:color="auto"/>
            </w:tcBorders>
          </w:tcPr>
          <w:p w:rsidR="00212513" w:rsidRDefault="00212513">
            <w:pPr>
              <w:pStyle w:val="ConsPlusNormal"/>
              <w:jc w:val="center"/>
            </w:pPr>
            <w:hyperlink w:anchor="P926">
              <w:r>
                <w:rPr>
                  <w:color w:val="0000FF"/>
                </w:rPr>
                <w:t>12</w:t>
              </w:r>
            </w:hyperlink>
            <w:r>
              <w:t xml:space="preserve">, </w:t>
            </w:r>
            <w:hyperlink w:anchor="P935">
              <w:r>
                <w:rPr>
                  <w:color w:val="0000FF"/>
                </w:rPr>
                <w:t>15</w:t>
              </w:r>
            </w:hyperlink>
            <w:r>
              <w:t xml:space="preserve">, </w:t>
            </w:r>
            <w:hyperlink w:anchor="P938">
              <w:r>
                <w:rPr>
                  <w:color w:val="0000FF"/>
                </w:rPr>
                <w:t>16</w:t>
              </w:r>
            </w:hyperlink>
            <w:r>
              <w:t xml:space="preserve"> и S</w:t>
            </w:r>
          </w:p>
        </w:tc>
        <w:tc>
          <w:tcPr>
            <w:tcW w:w="1145" w:type="dxa"/>
            <w:tcBorders>
              <w:top w:val="nil"/>
              <w:bottom w:val="single" w:sz="4" w:space="0" w:color="auto"/>
            </w:tcBorders>
          </w:tcPr>
          <w:p w:rsidR="00212513" w:rsidRDefault="00212513">
            <w:pPr>
              <w:pStyle w:val="ConsPlusNormal"/>
              <w:jc w:val="center"/>
            </w:pPr>
            <w:r>
              <w:t>-</w:t>
            </w:r>
          </w:p>
        </w:tc>
        <w:tc>
          <w:tcPr>
            <w:tcW w:w="1145" w:type="dxa"/>
            <w:tcBorders>
              <w:top w:val="nil"/>
              <w:bottom w:val="single" w:sz="4" w:space="0" w:color="auto"/>
            </w:tcBorders>
          </w:tcPr>
          <w:p w:rsidR="00212513" w:rsidRDefault="00212513">
            <w:pPr>
              <w:pStyle w:val="ConsPlusNormal"/>
              <w:jc w:val="center"/>
            </w:pPr>
            <w:r>
              <w:t>-</w:t>
            </w:r>
          </w:p>
        </w:tc>
        <w:tc>
          <w:tcPr>
            <w:tcW w:w="1145" w:type="dxa"/>
            <w:tcBorders>
              <w:top w:val="nil"/>
              <w:bottom w:val="single" w:sz="4" w:space="0" w:color="auto"/>
            </w:tcBorders>
          </w:tcPr>
          <w:p w:rsidR="00212513" w:rsidRDefault="00212513">
            <w:pPr>
              <w:pStyle w:val="ConsPlusNormal"/>
              <w:jc w:val="center"/>
            </w:pPr>
            <w:r>
              <w:t>-</w:t>
            </w:r>
          </w:p>
        </w:tc>
        <w:tc>
          <w:tcPr>
            <w:tcW w:w="1145" w:type="dxa"/>
            <w:tcBorders>
              <w:top w:val="nil"/>
              <w:bottom w:val="single" w:sz="4" w:space="0" w:color="auto"/>
            </w:tcBorders>
          </w:tcPr>
          <w:p w:rsidR="00212513" w:rsidRDefault="00212513">
            <w:pPr>
              <w:pStyle w:val="ConsPlusNormal"/>
              <w:jc w:val="center"/>
            </w:pPr>
            <w:r>
              <w:t>-</w:t>
            </w:r>
          </w:p>
        </w:tc>
        <w:tc>
          <w:tcPr>
            <w:tcW w:w="1145" w:type="dxa"/>
            <w:tcBorders>
              <w:top w:val="nil"/>
              <w:bottom w:val="single" w:sz="4" w:space="0" w:color="auto"/>
            </w:tcBorders>
          </w:tcPr>
          <w:p w:rsidR="00212513" w:rsidRDefault="00212513">
            <w:pPr>
              <w:pStyle w:val="ConsPlusNormal"/>
              <w:jc w:val="center"/>
            </w:pPr>
            <w:r>
              <w:t>-</w:t>
            </w:r>
          </w:p>
        </w:tc>
        <w:tc>
          <w:tcPr>
            <w:tcW w:w="1145" w:type="dxa"/>
            <w:tcBorders>
              <w:top w:val="nil"/>
              <w:bottom w:val="single" w:sz="4" w:space="0" w:color="auto"/>
            </w:tcBorders>
          </w:tcPr>
          <w:p w:rsidR="00212513" w:rsidRDefault="00212513">
            <w:pPr>
              <w:pStyle w:val="ConsPlusNormal"/>
              <w:jc w:val="center"/>
            </w:pPr>
            <w:r>
              <w:t>0,7</w:t>
            </w:r>
          </w:p>
          <w:p w:rsidR="00212513" w:rsidRDefault="00212513">
            <w:pPr>
              <w:pStyle w:val="ConsPlusNormal"/>
              <w:jc w:val="center"/>
            </w:pPr>
            <w:r>
              <w:t>---</w:t>
            </w:r>
          </w:p>
          <w:p w:rsidR="00212513" w:rsidRDefault="00212513">
            <w:pPr>
              <w:pStyle w:val="ConsPlusNormal"/>
              <w:jc w:val="center"/>
            </w:pPr>
            <w:r>
              <w:t>0,5</w:t>
            </w:r>
          </w:p>
        </w:tc>
        <w:tc>
          <w:tcPr>
            <w:tcW w:w="1145" w:type="dxa"/>
            <w:tcBorders>
              <w:top w:val="nil"/>
              <w:bottom w:val="single" w:sz="4" w:space="0" w:color="auto"/>
            </w:tcBorders>
          </w:tcPr>
          <w:p w:rsidR="00212513" w:rsidRDefault="00212513">
            <w:pPr>
              <w:pStyle w:val="ConsPlusNormal"/>
              <w:jc w:val="center"/>
            </w:pPr>
            <w:r>
              <w:t>-</w:t>
            </w:r>
          </w:p>
        </w:tc>
        <w:tc>
          <w:tcPr>
            <w:tcW w:w="1145" w:type="dxa"/>
            <w:tcBorders>
              <w:top w:val="nil"/>
              <w:bottom w:val="single" w:sz="4" w:space="0" w:color="auto"/>
            </w:tcBorders>
          </w:tcPr>
          <w:p w:rsidR="00212513" w:rsidRDefault="00212513">
            <w:pPr>
              <w:pStyle w:val="ConsPlusNormal"/>
              <w:jc w:val="center"/>
            </w:pPr>
            <w:r>
              <w:t>-</w:t>
            </w:r>
          </w:p>
        </w:tc>
        <w:tc>
          <w:tcPr>
            <w:tcW w:w="1145" w:type="dxa"/>
            <w:tcBorders>
              <w:top w:val="nil"/>
              <w:bottom w:val="single" w:sz="4" w:space="0" w:color="auto"/>
            </w:tcBorders>
          </w:tcPr>
          <w:p w:rsidR="00212513" w:rsidRDefault="00212513">
            <w:pPr>
              <w:pStyle w:val="ConsPlusNormal"/>
              <w:jc w:val="center"/>
            </w:pPr>
            <w:r>
              <w:t>0,7</w:t>
            </w:r>
          </w:p>
        </w:tc>
        <w:tc>
          <w:tcPr>
            <w:tcW w:w="1145" w:type="dxa"/>
            <w:tcBorders>
              <w:top w:val="nil"/>
              <w:bottom w:val="single" w:sz="4" w:space="0" w:color="auto"/>
            </w:tcBorders>
          </w:tcPr>
          <w:p w:rsidR="00212513" w:rsidRDefault="00212513">
            <w:pPr>
              <w:pStyle w:val="ConsPlusNormal"/>
              <w:jc w:val="center"/>
            </w:pPr>
            <w:r>
              <w:t>0,7</w:t>
            </w:r>
          </w:p>
        </w:tc>
        <w:tc>
          <w:tcPr>
            <w:tcW w:w="1145" w:type="dxa"/>
            <w:tcBorders>
              <w:top w:val="nil"/>
              <w:bottom w:val="single" w:sz="4" w:space="0" w:color="auto"/>
            </w:tcBorders>
          </w:tcPr>
          <w:p w:rsidR="00212513" w:rsidRDefault="00212513">
            <w:pPr>
              <w:pStyle w:val="ConsPlusNormal"/>
              <w:jc w:val="center"/>
            </w:pPr>
            <w:r>
              <w:t>1</w:t>
            </w:r>
          </w:p>
        </w:tc>
        <w:tc>
          <w:tcPr>
            <w:tcW w:w="1145" w:type="dxa"/>
            <w:tcBorders>
              <w:top w:val="nil"/>
              <w:bottom w:val="single" w:sz="4" w:space="0" w:color="auto"/>
            </w:tcBorders>
          </w:tcPr>
          <w:p w:rsidR="00212513" w:rsidRDefault="00212513">
            <w:pPr>
              <w:pStyle w:val="ConsPlusNormal"/>
              <w:jc w:val="center"/>
            </w:pPr>
            <w:r>
              <w:t>-</w:t>
            </w:r>
          </w:p>
        </w:tc>
        <w:tc>
          <w:tcPr>
            <w:tcW w:w="1150" w:type="dxa"/>
            <w:tcBorders>
              <w:top w:val="nil"/>
              <w:bottom w:val="single" w:sz="4" w:space="0" w:color="auto"/>
            </w:tcBorders>
          </w:tcPr>
          <w:p w:rsidR="00212513" w:rsidRDefault="00212513">
            <w:pPr>
              <w:pStyle w:val="ConsPlusNormal"/>
              <w:jc w:val="center"/>
            </w:pPr>
            <w:r>
              <w:t>0,7</w:t>
            </w:r>
          </w:p>
        </w:tc>
      </w:tr>
      <w:tr w:rsidR="00212513">
        <w:tc>
          <w:tcPr>
            <w:tcW w:w="1155" w:type="dxa"/>
            <w:vMerge w:val="restart"/>
            <w:tcBorders>
              <w:top w:val="single" w:sz="4" w:space="0" w:color="auto"/>
              <w:bottom w:val="nil"/>
            </w:tcBorders>
            <w:vAlign w:val="center"/>
          </w:tcPr>
          <w:p w:rsidR="00212513" w:rsidRDefault="00212513">
            <w:pPr>
              <w:pStyle w:val="ConsPlusNormal"/>
              <w:jc w:val="center"/>
            </w:pPr>
            <w:hyperlink w:anchor="P944">
              <w:r>
                <w:rPr>
                  <w:color w:val="0000FF"/>
                </w:rPr>
                <w:t>18</w:t>
              </w:r>
            </w:hyperlink>
            <w:r>
              <w:t xml:space="preserve"> </w:t>
            </w:r>
            <w:hyperlink w:anchor="P13112">
              <w:r>
                <w:rPr>
                  <w:color w:val="0000FF"/>
                </w:rPr>
                <w:t>&lt;**&gt;</w:t>
              </w:r>
            </w:hyperlink>
          </w:p>
        </w:tc>
        <w:tc>
          <w:tcPr>
            <w:tcW w:w="1814" w:type="dxa"/>
            <w:vMerge w:val="restart"/>
            <w:tcBorders>
              <w:top w:val="single" w:sz="4" w:space="0" w:color="auto"/>
              <w:bottom w:val="nil"/>
            </w:tcBorders>
            <w:vAlign w:val="center"/>
          </w:tcPr>
          <w:p w:rsidR="00212513" w:rsidRDefault="00212513">
            <w:pPr>
              <w:pStyle w:val="ConsPlusNormal"/>
              <w:jc w:val="center"/>
            </w:pPr>
            <w:hyperlink w:anchor="P910">
              <w:r>
                <w:rPr>
                  <w:color w:val="0000FF"/>
                </w:rPr>
                <w:t>7</w:t>
              </w:r>
            </w:hyperlink>
            <w:r>
              <w:t xml:space="preserve"> - </w:t>
            </w:r>
            <w:hyperlink w:anchor="P916">
              <w:r>
                <w:rPr>
                  <w:color w:val="0000FF"/>
                </w:rPr>
                <w:t>9</w:t>
              </w:r>
            </w:hyperlink>
            <w:r>
              <w:t xml:space="preserve">, </w:t>
            </w:r>
            <w:hyperlink w:anchor="P922">
              <w:r>
                <w:rPr>
                  <w:color w:val="0000FF"/>
                </w:rPr>
                <w:t>11</w:t>
              </w:r>
            </w:hyperlink>
            <w:r>
              <w:t xml:space="preserve"> и </w:t>
            </w:r>
            <w:hyperlink w:anchor="P947">
              <w:r>
                <w:rPr>
                  <w:color w:val="0000FF"/>
                </w:rPr>
                <w:t>19</w:t>
              </w:r>
            </w:hyperlink>
          </w:p>
        </w:tc>
        <w:tc>
          <w:tcPr>
            <w:tcW w:w="1145" w:type="dxa"/>
            <w:tcBorders>
              <w:top w:val="single" w:sz="4" w:space="0" w:color="auto"/>
              <w:bottom w:val="nil"/>
            </w:tcBorders>
            <w:vAlign w:val="center"/>
          </w:tcPr>
          <w:p w:rsidR="00212513" w:rsidRDefault="00212513">
            <w:pPr>
              <w:pStyle w:val="ConsPlusNormal"/>
              <w:jc w:val="center"/>
            </w:pPr>
            <w:r>
              <w:t>-</w:t>
            </w:r>
          </w:p>
        </w:tc>
        <w:tc>
          <w:tcPr>
            <w:tcW w:w="1145" w:type="dxa"/>
            <w:tcBorders>
              <w:top w:val="single" w:sz="4" w:space="0" w:color="auto"/>
              <w:bottom w:val="nil"/>
            </w:tcBorders>
            <w:vAlign w:val="center"/>
          </w:tcPr>
          <w:p w:rsidR="00212513" w:rsidRDefault="00212513">
            <w:pPr>
              <w:pStyle w:val="ConsPlusNormal"/>
              <w:jc w:val="center"/>
            </w:pPr>
            <w:r>
              <w:t>-</w:t>
            </w:r>
          </w:p>
        </w:tc>
        <w:tc>
          <w:tcPr>
            <w:tcW w:w="1145" w:type="dxa"/>
            <w:tcBorders>
              <w:top w:val="single" w:sz="4" w:space="0" w:color="auto"/>
              <w:bottom w:val="nil"/>
            </w:tcBorders>
            <w:vAlign w:val="center"/>
          </w:tcPr>
          <w:p w:rsidR="00212513" w:rsidRDefault="00212513">
            <w:pPr>
              <w:pStyle w:val="ConsPlusNormal"/>
              <w:jc w:val="center"/>
            </w:pPr>
            <w:r>
              <w:t>-</w:t>
            </w:r>
          </w:p>
        </w:tc>
        <w:tc>
          <w:tcPr>
            <w:tcW w:w="1145" w:type="dxa"/>
            <w:tcBorders>
              <w:top w:val="single" w:sz="4" w:space="0" w:color="auto"/>
              <w:bottom w:val="nil"/>
            </w:tcBorders>
            <w:vAlign w:val="center"/>
          </w:tcPr>
          <w:p w:rsidR="00212513" w:rsidRDefault="00212513">
            <w:pPr>
              <w:pStyle w:val="ConsPlusNormal"/>
              <w:jc w:val="center"/>
            </w:pPr>
            <w:r>
              <w:t>-</w:t>
            </w:r>
          </w:p>
        </w:tc>
        <w:tc>
          <w:tcPr>
            <w:tcW w:w="1145" w:type="dxa"/>
            <w:tcBorders>
              <w:top w:val="single" w:sz="4" w:space="0" w:color="auto"/>
              <w:bottom w:val="nil"/>
            </w:tcBorders>
            <w:vAlign w:val="center"/>
          </w:tcPr>
          <w:p w:rsidR="00212513" w:rsidRDefault="00212513">
            <w:pPr>
              <w:pStyle w:val="ConsPlusNormal"/>
              <w:jc w:val="center"/>
            </w:pPr>
            <w:r>
              <w:t>-</w:t>
            </w:r>
          </w:p>
        </w:tc>
        <w:tc>
          <w:tcPr>
            <w:tcW w:w="1145" w:type="dxa"/>
            <w:tcBorders>
              <w:top w:val="single" w:sz="4" w:space="0" w:color="auto"/>
              <w:bottom w:val="nil"/>
            </w:tcBorders>
            <w:vAlign w:val="center"/>
          </w:tcPr>
          <w:p w:rsidR="00212513" w:rsidRDefault="00212513">
            <w:pPr>
              <w:pStyle w:val="ConsPlusNormal"/>
              <w:jc w:val="center"/>
            </w:pPr>
            <w:r>
              <w:t>-</w:t>
            </w:r>
          </w:p>
        </w:tc>
        <w:tc>
          <w:tcPr>
            <w:tcW w:w="1145" w:type="dxa"/>
            <w:tcBorders>
              <w:top w:val="single" w:sz="4" w:space="0" w:color="auto"/>
              <w:bottom w:val="nil"/>
            </w:tcBorders>
            <w:vAlign w:val="center"/>
          </w:tcPr>
          <w:p w:rsidR="00212513" w:rsidRDefault="00212513">
            <w:pPr>
              <w:pStyle w:val="ConsPlusNormal"/>
              <w:jc w:val="center"/>
            </w:pPr>
            <w:r>
              <w:t>-</w:t>
            </w:r>
          </w:p>
        </w:tc>
        <w:tc>
          <w:tcPr>
            <w:tcW w:w="1145" w:type="dxa"/>
            <w:tcBorders>
              <w:top w:val="single" w:sz="4" w:space="0" w:color="auto"/>
              <w:bottom w:val="nil"/>
            </w:tcBorders>
            <w:vAlign w:val="center"/>
          </w:tcPr>
          <w:p w:rsidR="00212513" w:rsidRDefault="00212513">
            <w:pPr>
              <w:pStyle w:val="ConsPlusNormal"/>
              <w:jc w:val="center"/>
            </w:pPr>
            <w:r>
              <w:t>-</w:t>
            </w:r>
          </w:p>
        </w:tc>
        <w:tc>
          <w:tcPr>
            <w:tcW w:w="1145" w:type="dxa"/>
            <w:tcBorders>
              <w:top w:val="single" w:sz="4" w:space="0" w:color="auto"/>
              <w:bottom w:val="nil"/>
            </w:tcBorders>
            <w:vAlign w:val="center"/>
          </w:tcPr>
          <w:p w:rsidR="00212513" w:rsidRDefault="00212513">
            <w:pPr>
              <w:pStyle w:val="ConsPlusNormal"/>
              <w:jc w:val="center"/>
            </w:pPr>
            <w:r>
              <w:t>-</w:t>
            </w:r>
          </w:p>
        </w:tc>
        <w:tc>
          <w:tcPr>
            <w:tcW w:w="1145" w:type="dxa"/>
            <w:tcBorders>
              <w:top w:val="single" w:sz="4" w:space="0" w:color="auto"/>
              <w:bottom w:val="nil"/>
            </w:tcBorders>
            <w:vAlign w:val="center"/>
          </w:tcPr>
          <w:p w:rsidR="00212513" w:rsidRDefault="00212513">
            <w:pPr>
              <w:pStyle w:val="ConsPlusNormal"/>
              <w:jc w:val="center"/>
            </w:pPr>
            <w:r>
              <w:t>-</w:t>
            </w:r>
          </w:p>
        </w:tc>
        <w:tc>
          <w:tcPr>
            <w:tcW w:w="1145" w:type="dxa"/>
            <w:tcBorders>
              <w:top w:val="single" w:sz="4" w:space="0" w:color="auto"/>
              <w:bottom w:val="nil"/>
            </w:tcBorders>
            <w:vAlign w:val="center"/>
          </w:tcPr>
          <w:p w:rsidR="00212513" w:rsidRDefault="00212513">
            <w:pPr>
              <w:pStyle w:val="ConsPlusNormal"/>
              <w:jc w:val="center"/>
            </w:pPr>
            <w:r>
              <w:t>-</w:t>
            </w:r>
          </w:p>
        </w:tc>
        <w:tc>
          <w:tcPr>
            <w:tcW w:w="1145" w:type="dxa"/>
            <w:tcBorders>
              <w:top w:val="single" w:sz="4" w:space="0" w:color="auto"/>
              <w:bottom w:val="nil"/>
            </w:tcBorders>
            <w:vAlign w:val="center"/>
          </w:tcPr>
          <w:p w:rsidR="00212513" w:rsidRDefault="00212513">
            <w:pPr>
              <w:pStyle w:val="ConsPlusNormal"/>
              <w:jc w:val="center"/>
            </w:pPr>
            <w:r>
              <w:t>1</w:t>
            </w:r>
          </w:p>
        </w:tc>
        <w:tc>
          <w:tcPr>
            <w:tcW w:w="1150" w:type="dxa"/>
            <w:tcBorders>
              <w:top w:val="single" w:sz="4" w:space="0" w:color="auto"/>
              <w:bottom w:val="nil"/>
            </w:tcBorders>
            <w:vAlign w:val="center"/>
          </w:tcPr>
          <w:p w:rsidR="00212513" w:rsidRDefault="00212513">
            <w:pPr>
              <w:pStyle w:val="ConsPlusNormal"/>
              <w:jc w:val="center"/>
            </w:pPr>
            <w:r>
              <w:t>-</w:t>
            </w:r>
          </w:p>
        </w:tc>
      </w:tr>
      <w:tr w:rsidR="00212513">
        <w:tblPrEx>
          <w:tblBorders>
            <w:insideH w:val="none" w:sz="0" w:space="0" w:color="auto"/>
          </w:tblBorders>
        </w:tblPrEx>
        <w:tc>
          <w:tcPr>
            <w:tcW w:w="1155" w:type="dxa"/>
            <w:vMerge/>
            <w:tcBorders>
              <w:top w:val="single" w:sz="4" w:space="0" w:color="auto"/>
              <w:bottom w:val="nil"/>
            </w:tcBorders>
          </w:tcPr>
          <w:p w:rsidR="00212513" w:rsidRDefault="00212513">
            <w:pPr>
              <w:pStyle w:val="ConsPlusNormal"/>
            </w:pPr>
          </w:p>
        </w:tc>
        <w:tc>
          <w:tcPr>
            <w:tcW w:w="1814" w:type="dxa"/>
            <w:vMerge/>
            <w:tcBorders>
              <w:top w:val="single" w:sz="4" w:space="0" w:color="auto"/>
              <w:bottom w:val="nil"/>
            </w:tcBorders>
          </w:tcPr>
          <w:p w:rsidR="00212513" w:rsidRDefault="00212513">
            <w:pPr>
              <w:pStyle w:val="ConsPlusNormal"/>
            </w:pPr>
          </w:p>
        </w:tc>
        <w:tc>
          <w:tcPr>
            <w:tcW w:w="1145" w:type="dxa"/>
            <w:tcBorders>
              <w:top w:val="nil"/>
              <w:bottom w:val="nil"/>
            </w:tcBorders>
            <w:vAlign w:val="center"/>
          </w:tcPr>
          <w:p w:rsidR="00212513" w:rsidRDefault="00212513">
            <w:pPr>
              <w:pStyle w:val="ConsPlusNormal"/>
              <w:jc w:val="center"/>
            </w:pPr>
            <w:r>
              <w:t>0,7</w:t>
            </w:r>
          </w:p>
          <w:p w:rsidR="00212513" w:rsidRDefault="00212513">
            <w:pPr>
              <w:pStyle w:val="ConsPlusNormal"/>
              <w:jc w:val="center"/>
            </w:pPr>
            <w:r>
              <w:t>----</w:t>
            </w:r>
          </w:p>
          <w:p w:rsidR="00212513" w:rsidRDefault="00212513">
            <w:pPr>
              <w:pStyle w:val="ConsPlusNormal"/>
              <w:jc w:val="center"/>
            </w:pPr>
            <w:r>
              <w:t>0,5</w:t>
            </w:r>
          </w:p>
        </w:tc>
        <w:tc>
          <w:tcPr>
            <w:tcW w:w="1145" w:type="dxa"/>
            <w:tcBorders>
              <w:top w:val="nil"/>
              <w:bottom w:val="nil"/>
            </w:tcBorders>
            <w:vAlign w:val="center"/>
          </w:tcPr>
          <w:p w:rsidR="00212513" w:rsidRDefault="00212513">
            <w:pPr>
              <w:pStyle w:val="ConsPlusNormal"/>
              <w:jc w:val="center"/>
            </w:pPr>
            <w:r>
              <w:t>0,7</w:t>
            </w:r>
          </w:p>
          <w:p w:rsidR="00212513" w:rsidRDefault="00212513">
            <w:pPr>
              <w:pStyle w:val="ConsPlusNormal"/>
              <w:jc w:val="center"/>
            </w:pPr>
            <w:r>
              <w:t>----</w:t>
            </w:r>
          </w:p>
          <w:p w:rsidR="00212513" w:rsidRDefault="00212513">
            <w:pPr>
              <w:pStyle w:val="ConsPlusNormal"/>
              <w:jc w:val="center"/>
            </w:pPr>
            <w:r>
              <w:t>0,5</w:t>
            </w:r>
          </w:p>
        </w:tc>
        <w:tc>
          <w:tcPr>
            <w:tcW w:w="1145" w:type="dxa"/>
            <w:tcBorders>
              <w:top w:val="nil"/>
              <w:bottom w:val="nil"/>
            </w:tcBorders>
            <w:vAlign w:val="center"/>
          </w:tcPr>
          <w:p w:rsidR="00212513" w:rsidRDefault="00212513">
            <w:pPr>
              <w:pStyle w:val="ConsPlusNormal"/>
              <w:jc w:val="center"/>
            </w:pPr>
            <w:r>
              <w:t>0,7</w:t>
            </w:r>
          </w:p>
          <w:p w:rsidR="00212513" w:rsidRDefault="00212513">
            <w:pPr>
              <w:pStyle w:val="ConsPlusNormal"/>
              <w:jc w:val="center"/>
            </w:pPr>
            <w:r>
              <w:t>----</w:t>
            </w:r>
          </w:p>
          <w:p w:rsidR="00212513" w:rsidRDefault="00212513">
            <w:pPr>
              <w:pStyle w:val="ConsPlusNormal"/>
              <w:jc w:val="center"/>
            </w:pPr>
            <w:r>
              <w:t>-</w:t>
            </w:r>
          </w:p>
        </w:tc>
        <w:tc>
          <w:tcPr>
            <w:tcW w:w="1145" w:type="dxa"/>
            <w:tcBorders>
              <w:top w:val="nil"/>
              <w:bottom w:val="nil"/>
            </w:tcBorders>
            <w:vAlign w:val="center"/>
          </w:tcPr>
          <w:p w:rsidR="00212513" w:rsidRDefault="00212513">
            <w:pPr>
              <w:pStyle w:val="ConsPlusNormal"/>
              <w:jc w:val="center"/>
            </w:pPr>
            <w:r>
              <w:t>-</w:t>
            </w:r>
          </w:p>
        </w:tc>
        <w:tc>
          <w:tcPr>
            <w:tcW w:w="1145" w:type="dxa"/>
            <w:tcBorders>
              <w:top w:val="nil"/>
              <w:bottom w:val="nil"/>
            </w:tcBorders>
            <w:vAlign w:val="center"/>
          </w:tcPr>
          <w:p w:rsidR="00212513" w:rsidRDefault="00212513">
            <w:pPr>
              <w:pStyle w:val="ConsPlusNormal"/>
              <w:jc w:val="center"/>
            </w:pPr>
            <w:r>
              <w:t>0,7</w:t>
            </w:r>
          </w:p>
          <w:p w:rsidR="00212513" w:rsidRDefault="00212513">
            <w:pPr>
              <w:pStyle w:val="ConsPlusNormal"/>
              <w:jc w:val="center"/>
            </w:pPr>
            <w:r>
              <w:t>----</w:t>
            </w:r>
          </w:p>
          <w:p w:rsidR="00212513" w:rsidRDefault="00212513">
            <w:pPr>
              <w:pStyle w:val="ConsPlusNormal"/>
              <w:jc w:val="center"/>
            </w:pPr>
            <w:r>
              <w:t>-</w:t>
            </w:r>
          </w:p>
        </w:tc>
        <w:tc>
          <w:tcPr>
            <w:tcW w:w="1145" w:type="dxa"/>
            <w:tcBorders>
              <w:top w:val="nil"/>
              <w:bottom w:val="nil"/>
            </w:tcBorders>
            <w:vAlign w:val="center"/>
          </w:tcPr>
          <w:p w:rsidR="00212513" w:rsidRDefault="00212513">
            <w:pPr>
              <w:pStyle w:val="ConsPlusNormal"/>
              <w:jc w:val="center"/>
            </w:pPr>
            <w:r>
              <w:t>-</w:t>
            </w:r>
          </w:p>
        </w:tc>
        <w:tc>
          <w:tcPr>
            <w:tcW w:w="1145" w:type="dxa"/>
            <w:tcBorders>
              <w:top w:val="nil"/>
              <w:bottom w:val="nil"/>
            </w:tcBorders>
            <w:vAlign w:val="center"/>
          </w:tcPr>
          <w:p w:rsidR="00212513" w:rsidRDefault="00212513">
            <w:pPr>
              <w:pStyle w:val="ConsPlusNormal"/>
              <w:jc w:val="center"/>
            </w:pPr>
            <w:r>
              <w:t>-</w:t>
            </w:r>
          </w:p>
        </w:tc>
        <w:tc>
          <w:tcPr>
            <w:tcW w:w="1145" w:type="dxa"/>
            <w:tcBorders>
              <w:top w:val="nil"/>
              <w:bottom w:val="nil"/>
            </w:tcBorders>
            <w:vAlign w:val="center"/>
          </w:tcPr>
          <w:p w:rsidR="00212513" w:rsidRDefault="00212513">
            <w:pPr>
              <w:pStyle w:val="ConsPlusNormal"/>
              <w:jc w:val="center"/>
            </w:pPr>
            <w:r>
              <w:t>-</w:t>
            </w:r>
          </w:p>
        </w:tc>
        <w:tc>
          <w:tcPr>
            <w:tcW w:w="1145" w:type="dxa"/>
            <w:tcBorders>
              <w:top w:val="nil"/>
              <w:bottom w:val="nil"/>
            </w:tcBorders>
            <w:vAlign w:val="center"/>
          </w:tcPr>
          <w:p w:rsidR="00212513" w:rsidRDefault="00212513">
            <w:pPr>
              <w:pStyle w:val="ConsPlusNormal"/>
              <w:jc w:val="center"/>
            </w:pPr>
            <w:r>
              <w:t>-</w:t>
            </w:r>
          </w:p>
        </w:tc>
        <w:tc>
          <w:tcPr>
            <w:tcW w:w="1145" w:type="dxa"/>
            <w:tcBorders>
              <w:top w:val="nil"/>
              <w:bottom w:val="nil"/>
            </w:tcBorders>
            <w:vAlign w:val="center"/>
          </w:tcPr>
          <w:p w:rsidR="00212513" w:rsidRDefault="00212513">
            <w:pPr>
              <w:pStyle w:val="ConsPlusNormal"/>
              <w:jc w:val="center"/>
            </w:pPr>
            <w:r>
              <w:t>-</w:t>
            </w:r>
          </w:p>
        </w:tc>
        <w:tc>
          <w:tcPr>
            <w:tcW w:w="1145" w:type="dxa"/>
            <w:tcBorders>
              <w:top w:val="nil"/>
              <w:bottom w:val="nil"/>
            </w:tcBorders>
            <w:vAlign w:val="center"/>
          </w:tcPr>
          <w:p w:rsidR="00212513" w:rsidRDefault="00212513">
            <w:pPr>
              <w:pStyle w:val="ConsPlusNormal"/>
              <w:jc w:val="center"/>
            </w:pPr>
            <w:r>
              <w:t>-</w:t>
            </w:r>
          </w:p>
        </w:tc>
        <w:tc>
          <w:tcPr>
            <w:tcW w:w="1145" w:type="dxa"/>
            <w:tcBorders>
              <w:top w:val="nil"/>
              <w:bottom w:val="nil"/>
            </w:tcBorders>
            <w:vAlign w:val="center"/>
          </w:tcPr>
          <w:p w:rsidR="00212513" w:rsidRDefault="00212513">
            <w:pPr>
              <w:pStyle w:val="ConsPlusNormal"/>
              <w:jc w:val="center"/>
            </w:pPr>
            <w:r>
              <w:t>0,8</w:t>
            </w:r>
          </w:p>
        </w:tc>
        <w:tc>
          <w:tcPr>
            <w:tcW w:w="1150" w:type="dxa"/>
            <w:tcBorders>
              <w:top w:val="nil"/>
              <w:bottom w:val="nil"/>
            </w:tcBorders>
            <w:vAlign w:val="center"/>
          </w:tcPr>
          <w:p w:rsidR="00212513" w:rsidRDefault="00212513">
            <w:pPr>
              <w:pStyle w:val="ConsPlusNormal"/>
              <w:jc w:val="center"/>
            </w:pPr>
            <w:r>
              <w:t>0,7</w:t>
            </w:r>
          </w:p>
        </w:tc>
      </w:tr>
      <w:tr w:rsidR="00212513">
        <w:tblPrEx>
          <w:tblBorders>
            <w:insideH w:val="none" w:sz="0" w:space="0" w:color="auto"/>
          </w:tblBorders>
        </w:tblPrEx>
        <w:tc>
          <w:tcPr>
            <w:tcW w:w="17859" w:type="dxa"/>
            <w:gridSpan w:val="15"/>
            <w:tcBorders>
              <w:top w:val="nil"/>
              <w:bottom w:val="single" w:sz="4" w:space="0" w:color="auto"/>
            </w:tcBorders>
          </w:tcPr>
          <w:p w:rsidR="00212513" w:rsidRDefault="00212513">
            <w:pPr>
              <w:pStyle w:val="ConsPlusNormal"/>
              <w:jc w:val="both"/>
            </w:pPr>
            <w:r>
              <w:t xml:space="preserve">(в ред. </w:t>
            </w:r>
            <w:hyperlink r:id="rId3173">
              <w:r>
                <w:rPr>
                  <w:color w:val="0000FF"/>
                </w:rPr>
                <w:t>Изменения N 1</w:t>
              </w:r>
            </w:hyperlink>
            <w:r>
              <w:t>, утв. Приказом Минстроя России от 03.12.2016 N 879/пр)</w:t>
            </w:r>
          </w:p>
        </w:tc>
      </w:tr>
      <w:tr w:rsidR="00212513">
        <w:tblPrEx>
          <w:tblBorders>
            <w:insideH w:val="none" w:sz="0" w:space="0" w:color="auto"/>
          </w:tblBorders>
        </w:tblPrEx>
        <w:tc>
          <w:tcPr>
            <w:tcW w:w="1155" w:type="dxa"/>
            <w:tcBorders>
              <w:top w:val="single" w:sz="4" w:space="0" w:color="auto"/>
              <w:bottom w:val="nil"/>
            </w:tcBorders>
          </w:tcPr>
          <w:p w:rsidR="00212513" w:rsidRDefault="00212513">
            <w:pPr>
              <w:pStyle w:val="ConsPlusNormal"/>
              <w:jc w:val="center"/>
            </w:pPr>
            <w:hyperlink w:anchor="P947">
              <w:r>
                <w:rPr>
                  <w:color w:val="0000FF"/>
                </w:rPr>
                <w:t>19</w:t>
              </w:r>
            </w:hyperlink>
          </w:p>
        </w:tc>
        <w:tc>
          <w:tcPr>
            <w:tcW w:w="1814"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45" w:type="dxa"/>
            <w:tcBorders>
              <w:top w:val="single" w:sz="4" w:space="0" w:color="auto"/>
              <w:bottom w:val="nil"/>
            </w:tcBorders>
          </w:tcPr>
          <w:p w:rsidR="00212513" w:rsidRDefault="00212513">
            <w:pPr>
              <w:pStyle w:val="ConsPlusNormal"/>
              <w:jc w:val="center"/>
            </w:pPr>
            <w:r>
              <w:t>-</w:t>
            </w:r>
          </w:p>
        </w:tc>
        <w:tc>
          <w:tcPr>
            <w:tcW w:w="1150" w:type="dxa"/>
            <w:tcBorders>
              <w:top w:val="single" w:sz="4" w:space="0" w:color="auto"/>
              <w:bottom w:val="nil"/>
            </w:tcBorders>
          </w:tcPr>
          <w:p w:rsidR="00212513" w:rsidRDefault="00212513">
            <w:pPr>
              <w:pStyle w:val="ConsPlusNormal"/>
              <w:jc w:val="center"/>
            </w:pPr>
            <w:r>
              <w:t>1</w:t>
            </w:r>
          </w:p>
        </w:tc>
      </w:tr>
      <w:tr w:rsidR="00212513">
        <w:tblPrEx>
          <w:tblBorders>
            <w:insideH w:val="none" w:sz="0" w:space="0" w:color="auto"/>
          </w:tblBorders>
        </w:tblPrEx>
        <w:tc>
          <w:tcPr>
            <w:tcW w:w="1155" w:type="dxa"/>
            <w:tcBorders>
              <w:top w:val="nil"/>
              <w:bottom w:val="nil"/>
            </w:tcBorders>
          </w:tcPr>
          <w:p w:rsidR="00212513" w:rsidRDefault="00212513">
            <w:pPr>
              <w:pStyle w:val="ConsPlusNormal"/>
              <w:jc w:val="center"/>
            </w:pPr>
          </w:p>
        </w:tc>
        <w:tc>
          <w:tcPr>
            <w:tcW w:w="1814" w:type="dxa"/>
            <w:tcBorders>
              <w:top w:val="nil"/>
              <w:bottom w:val="nil"/>
            </w:tcBorders>
          </w:tcPr>
          <w:p w:rsidR="00212513" w:rsidRDefault="00212513">
            <w:pPr>
              <w:pStyle w:val="ConsPlusNormal"/>
              <w:jc w:val="center"/>
            </w:pPr>
            <w:hyperlink w:anchor="P910">
              <w:r>
                <w:rPr>
                  <w:color w:val="0000FF"/>
                </w:rPr>
                <w:t>7</w:t>
              </w:r>
            </w:hyperlink>
            <w:r>
              <w:t xml:space="preserve"> - </w:t>
            </w:r>
            <w:hyperlink w:anchor="P916">
              <w:r>
                <w:rPr>
                  <w:color w:val="0000FF"/>
                </w:rPr>
                <w:t>9</w:t>
              </w:r>
            </w:hyperlink>
            <w:r>
              <w:t xml:space="preserve">, </w:t>
            </w:r>
            <w:hyperlink w:anchor="P926">
              <w:r>
                <w:rPr>
                  <w:color w:val="0000FF"/>
                </w:rPr>
                <w:t>12</w:t>
              </w:r>
            </w:hyperlink>
            <w:r>
              <w:t xml:space="preserve">, </w:t>
            </w:r>
            <w:hyperlink w:anchor="P929">
              <w:r>
                <w:rPr>
                  <w:color w:val="0000FF"/>
                </w:rPr>
                <w:t>13</w:t>
              </w:r>
            </w:hyperlink>
            <w:r>
              <w:t xml:space="preserve">, </w:t>
            </w:r>
            <w:hyperlink w:anchor="P935">
              <w:r>
                <w:rPr>
                  <w:color w:val="0000FF"/>
                </w:rPr>
                <w:t>15</w:t>
              </w:r>
            </w:hyperlink>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0,50</w:t>
            </w:r>
          </w:p>
          <w:p w:rsidR="00212513" w:rsidRDefault="00212513">
            <w:pPr>
              <w:pStyle w:val="ConsPlusNormal"/>
              <w:jc w:val="center"/>
            </w:pPr>
            <w:r>
              <w:t>----</w:t>
            </w:r>
          </w:p>
          <w:p w:rsidR="00212513" w:rsidRDefault="00212513">
            <w:pPr>
              <w:pStyle w:val="ConsPlusNormal"/>
              <w:jc w:val="center"/>
            </w:pPr>
            <w:r>
              <w:t>0,25</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50" w:type="dxa"/>
            <w:tcBorders>
              <w:top w:val="nil"/>
              <w:bottom w:val="nil"/>
            </w:tcBorders>
          </w:tcPr>
          <w:p w:rsidR="00212513" w:rsidRDefault="00212513">
            <w:pPr>
              <w:pStyle w:val="ConsPlusNormal"/>
              <w:jc w:val="center"/>
            </w:pPr>
            <w:r>
              <w:t>0,8</w:t>
            </w:r>
          </w:p>
        </w:tc>
      </w:tr>
      <w:tr w:rsidR="00212513">
        <w:tblPrEx>
          <w:tblBorders>
            <w:insideH w:val="none" w:sz="0" w:space="0" w:color="auto"/>
          </w:tblBorders>
        </w:tblPrEx>
        <w:tc>
          <w:tcPr>
            <w:tcW w:w="1155" w:type="dxa"/>
            <w:tcBorders>
              <w:top w:val="nil"/>
              <w:bottom w:val="nil"/>
            </w:tcBorders>
          </w:tcPr>
          <w:p w:rsidR="00212513" w:rsidRDefault="00212513">
            <w:pPr>
              <w:pStyle w:val="ConsPlusNormal"/>
              <w:jc w:val="center"/>
            </w:pPr>
          </w:p>
        </w:tc>
        <w:tc>
          <w:tcPr>
            <w:tcW w:w="1814" w:type="dxa"/>
            <w:tcBorders>
              <w:top w:val="nil"/>
              <w:bottom w:val="nil"/>
            </w:tcBorders>
          </w:tcPr>
          <w:p w:rsidR="00212513" w:rsidRDefault="00212513">
            <w:pPr>
              <w:pStyle w:val="ConsPlusNormal"/>
              <w:jc w:val="center"/>
            </w:pPr>
            <w:hyperlink w:anchor="P910">
              <w:r>
                <w:rPr>
                  <w:color w:val="0000FF"/>
                </w:rPr>
                <w:t>7</w:t>
              </w:r>
            </w:hyperlink>
            <w:r>
              <w:t xml:space="preserve">, </w:t>
            </w:r>
            <w:hyperlink w:anchor="P913">
              <w:r>
                <w:rPr>
                  <w:color w:val="0000FF"/>
                </w:rPr>
                <w:t>8</w:t>
              </w:r>
            </w:hyperlink>
            <w:r>
              <w:t xml:space="preserve">, </w:t>
            </w:r>
            <w:hyperlink w:anchor="P919">
              <w:r>
                <w:rPr>
                  <w:color w:val="0000FF"/>
                </w:rPr>
                <w:t>10</w:t>
              </w:r>
            </w:hyperlink>
            <w:r>
              <w:t xml:space="preserve">, </w:t>
            </w:r>
            <w:hyperlink w:anchor="P929">
              <w:r>
                <w:rPr>
                  <w:color w:val="0000FF"/>
                </w:rPr>
                <w:t>13</w:t>
              </w:r>
            </w:hyperlink>
            <w:r>
              <w:t xml:space="preserve">, </w:t>
            </w:r>
            <w:hyperlink w:anchor="P935">
              <w:r>
                <w:rPr>
                  <w:color w:val="0000FF"/>
                </w:rPr>
                <w:t>15</w:t>
              </w:r>
            </w:hyperlink>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50" w:type="dxa"/>
            <w:tcBorders>
              <w:top w:val="nil"/>
              <w:bottom w:val="nil"/>
            </w:tcBorders>
          </w:tcPr>
          <w:p w:rsidR="00212513" w:rsidRDefault="00212513">
            <w:pPr>
              <w:pStyle w:val="ConsPlusNormal"/>
              <w:jc w:val="center"/>
            </w:pPr>
            <w:r>
              <w:t>0,8</w:t>
            </w:r>
          </w:p>
        </w:tc>
      </w:tr>
      <w:tr w:rsidR="00212513">
        <w:tblPrEx>
          <w:tblBorders>
            <w:insideH w:val="none" w:sz="0" w:space="0" w:color="auto"/>
          </w:tblBorders>
        </w:tblPrEx>
        <w:tc>
          <w:tcPr>
            <w:tcW w:w="1155" w:type="dxa"/>
            <w:tcBorders>
              <w:top w:val="nil"/>
              <w:bottom w:val="nil"/>
            </w:tcBorders>
          </w:tcPr>
          <w:p w:rsidR="00212513" w:rsidRDefault="00212513">
            <w:pPr>
              <w:pStyle w:val="ConsPlusNormal"/>
              <w:jc w:val="center"/>
            </w:pPr>
          </w:p>
        </w:tc>
        <w:tc>
          <w:tcPr>
            <w:tcW w:w="1814" w:type="dxa"/>
            <w:tcBorders>
              <w:top w:val="nil"/>
              <w:bottom w:val="nil"/>
            </w:tcBorders>
          </w:tcPr>
          <w:p w:rsidR="00212513" w:rsidRDefault="00212513">
            <w:pPr>
              <w:pStyle w:val="ConsPlusNormal"/>
              <w:jc w:val="center"/>
            </w:pPr>
            <w:hyperlink w:anchor="P926">
              <w:r>
                <w:rPr>
                  <w:color w:val="0000FF"/>
                </w:rPr>
                <w:t>12</w:t>
              </w:r>
            </w:hyperlink>
            <w:r>
              <w:t xml:space="preserve">, </w:t>
            </w:r>
            <w:hyperlink w:anchor="P929">
              <w:r>
                <w:rPr>
                  <w:color w:val="0000FF"/>
                </w:rPr>
                <w:t>13</w:t>
              </w:r>
            </w:hyperlink>
            <w:r>
              <w:t xml:space="preserve">, </w:t>
            </w:r>
            <w:hyperlink w:anchor="P935">
              <w:r>
                <w:rPr>
                  <w:color w:val="0000FF"/>
                </w:rPr>
                <w:t>15</w:t>
              </w:r>
            </w:hyperlink>
            <w:r>
              <w:t xml:space="preserve">, </w:t>
            </w:r>
            <w:hyperlink w:anchor="P941">
              <w:r>
                <w:rPr>
                  <w:color w:val="0000FF"/>
                </w:rPr>
                <w:t>17</w:t>
              </w:r>
            </w:hyperlink>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0,7</w:t>
            </w:r>
          </w:p>
          <w:p w:rsidR="00212513" w:rsidRDefault="00212513">
            <w:pPr>
              <w:pStyle w:val="ConsPlusNormal"/>
              <w:jc w:val="center"/>
            </w:pPr>
            <w:r>
              <w:t>---</w:t>
            </w:r>
          </w:p>
          <w:p w:rsidR="00212513" w:rsidRDefault="00212513">
            <w:pPr>
              <w:pStyle w:val="ConsPlusNormal"/>
              <w:jc w:val="center"/>
            </w:pPr>
            <w:r>
              <w:t>0,5</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0,7</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45" w:type="dxa"/>
            <w:tcBorders>
              <w:top w:val="nil"/>
              <w:bottom w:val="nil"/>
            </w:tcBorders>
          </w:tcPr>
          <w:p w:rsidR="00212513" w:rsidRDefault="00212513">
            <w:pPr>
              <w:pStyle w:val="ConsPlusNormal"/>
              <w:jc w:val="center"/>
            </w:pPr>
            <w:r>
              <w:t>-</w:t>
            </w:r>
          </w:p>
        </w:tc>
        <w:tc>
          <w:tcPr>
            <w:tcW w:w="1150" w:type="dxa"/>
            <w:tcBorders>
              <w:top w:val="nil"/>
              <w:bottom w:val="nil"/>
            </w:tcBorders>
          </w:tcPr>
          <w:p w:rsidR="00212513" w:rsidRDefault="00212513">
            <w:pPr>
              <w:pStyle w:val="ConsPlusNormal"/>
              <w:jc w:val="center"/>
            </w:pPr>
            <w:r>
              <w:t>0,8</w:t>
            </w:r>
          </w:p>
        </w:tc>
      </w:tr>
      <w:tr w:rsidR="00212513">
        <w:tblPrEx>
          <w:tblBorders>
            <w:insideH w:val="none" w:sz="0" w:space="0" w:color="auto"/>
          </w:tblBorders>
        </w:tblPrEx>
        <w:tc>
          <w:tcPr>
            <w:tcW w:w="1155" w:type="dxa"/>
            <w:tcBorders>
              <w:top w:val="nil"/>
              <w:bottom w:val="single" w:sz="4" w:space="0" w:color="auto"/>
            </w:tcBorders>
          </w:tcPr>
          <w:p w:rsidR="00212513" w:rsidRDefault="00212513">
            <w:pPr>
              <w:pStyle w:val="ConsPlusNormal"/>
              <w:jc w:val="center"/>
            </w:pPr>
          </w:p>
        </w:tc>
        <w:tc>
          <w:tcPr>
            <w:tcW w:w="1814" w:type="dxa"/>
            <w:tcBorders>
              <w:top w:val="nil"/>
              <w:bottom w:val="single" w:sz="4" w:space="0" w:color="auto"/>
            </w:tcBorders>
          </w:tcPr>
          <w:p w:rsidR="00212513" w:rsidRDefault="00212513">
            <w:pPr>
              <w:pStyle w:val="ConsPlusNormal"/>
              <w:jc w:val="center"/>
            </w:pPr>
            <w:hyperlink w:anchor="P926">
              <w:r>
                <w:rPr>
                  <w:color w:val="0000FF"/>
                </w:rPr>
                <w:t>12</w:t>
              </w:r>
            </w:hyperlink>
            <w:r>
              <w:t xml:space="preserve">, </w:t>
            </w:r>
            <w:hyperlink w:anchor="P935">
              <w:r>
                <w:rPr>
                  <w:color w:val="0000FF"/>
                </w:rPr>
                <w:t>15</w:t>
              </w:r>
            </w:hyperlink>
            <w:r>
              <w:t xml:space="preserve"> - </w:t>
            </w:r>
            <w:hyperlink w:anchor="P941">
              <w:r>
                <w:rPr>
                  <w:color w:val="0000FF"/>
                </w:rPr>
                <w:t>17</w:t>
              </w:r>
            </w:hyperlink>
          </w:p>
        </w:tc>
        <w:tc>
          <w:tcPr>
            <w:tcW w:w="1145" w:type="dxa"/>
            <w:tcBorders>
              <w:top w:val="nil"/>
              <w:bottom w:val="single" w:sz="4" w:space="0" w:color="auto"/>
            </w:tcBorders>
          </w:tcPr>
          <w:p w:rsidR="00212513" w:rsidRDefault="00212513">
            <w:pPr>
              <w:pStyle w:val="ConsPlusNormal"/>
              <w:jc w:val="center"/>
            </w:pPr>
            <w:r>
              <w:t>-</w:t>
            </w:r>
          </w:p>
        </w:tc>
        <w:tc>
          <w:tcPr>
            <w:tcW w:w="1145" w:type="dxa"/>
            <w:tcBorders>
              <w:top w:val="nil"/>
              <w:bottom w:val="single" w:sz="4" w:space="0" w:color="auto"/>
            </w:tcBorders>
          </w:tcPr>
          <w:p w:rsidR="00212513" w:rsidRDefault="00212513">
            <w:pPr>
              <w:pStyle w:val="ConsPlusNormal"/>
              <w:jc w:val="center"/>
            </w:pPr>
            <w:r>
              <w:t>-</w:t>
            </w:r>
          </w:p>
        </w:tc>
        <w:tc>
          <w:tcPr>
            <w:tcW w:w="1145" w:type="dxa"/>
            <w:tcBorders>
              <w:top w:val="nil"/>
              <w:bottom w:val="single" w:sz="4" w:space="0" w:color="auto"/>
            </w:tcBorders>
          </w:tcPr>
          <w:p w:rsidR="00212513" w:rsidRDefault="00212513">
            <w:pPr>
              <w:pStyle w:val="ConsPlusNormal"/>
              <w:jc w:val="center"/>
            </w:pPr>
            <w:r>
              <w:t>-</w:t>
            </w:r>
          </w:p>
        </w:tc>
        <w:tc>
          <w:tcPr>
            <w:tcW w:w="1145" w:type="dxa"/>
            <w:tcBorders>
              <w:top w:val="nil"/>
              <w:bottom w:val="single" w:sz="4" w:space="0" w:color="auto"/>
            </w:tcBorders>
          </w:tcPr>
          <w:p w:rsidR="00212513" w:rsidRDefault="00212513">
            <w:pPr>
              <w:pStyle w:val="ConsPlusNormal"/>
              <w:jc w:val="center"/>
            </w:pPr>
            <w:r>
              <w:t>-</w:t>
            </w:r>
          </w:p>
        </w:tc>
        <w:tc>
          <w:tcPr>
            <w:tcW w:w="1145" w:type="dxa"/>
            <w:tcBorders>
              <w:top w:val="nil"/>
              <w:bottom w:val="single" w:sz="4" w:space="0" w:color="auto"/>
            </w:tcBorders>
          </w:tcPr>
          <w:p w:rsidR="00212513" w:rsidRDefault="00212513">
            <w:pPr>
              <w:pStyle w:val="ConsPlusNormal"/>
              <w:jc w:val="center"/>
            </w:pPr>
            <w:r>
              <w:t>-</w:t>
            </w:r>
          </w:p>
        </w:tc>
        <w:tc>
          <w:tcPr>
            <w:tcW w:w="1145" w:type="dxa"/>
            <w:tcBorders>
              <w:top w:val="nil"/>
              <w:bottom w:val="single" w:sz="4" w:space="0" w:color="auto"/>
            </w:tcBorders>
          </w:tcPr>
          <w:p w:rsidR="00212513" w:rsidRDefault="00212513">
            <w:pPr>
              <w:pStyle w:val="ConsPlusNormal"/>
              <w:jc w:val="center"/>
            </w:pPr>
            <w:r>
              <w:t>0,7</w:t>
            </w:r>
          </w:p>
          <w:p w:rsidR="00212513" w:rsidRDefault="00212513">
            <w:pPr>
              <w:pStyle w:val="ConsPlusNormal"/>
              <w:jc w:val="center"/>
            </w:pPr>
            <w:r>
              <w:t>---</w:t>
            </w:r>
          </w:p>
          <w:p w:rsidR="00212513" w:rsidRDefault="00212513">
            <w:pPr>
              <w:pStyle w:val="ConsPlusNormal"/>
              <w:jc w:val="center"/>
            </w:pPr>
            <w:r>
              <w:t>0,5</w:t>
            </w:r>
          </w:p>
        </w:tc>
        <w:tc>
          <w:tcPr>
            <w:tcW w:w="1145" w:type="dxa"/>
            <w:tcBorders>
              <w:top w:val="nil"/>
              <w:bottom w:val="single" w:sz="4" w:space="0" w:color="auto"/>
            </w:tcBorders>
          </w:tcPr>
          <w:p w:rsidR="00212513" w:rsidRDefault="00212513">
            <w:pPr>
              <w:pStyle w:val="ConsPlusNormal"/>
              <w:jc w:val="center"/>
            </w:pPr>
            <w:r>
              <w:t>-</w:t>
            </w:r>
          </w:p>
        </w:tc>
        <w:tc>
          <w:tcPr>
            <w:tcW w:w="1145" w:type="dxa"/>
            <w:tcBorders>
              <w:top w:val="nil"/>
              <w:bottom w:val="single" w:sz="4" w:space="0" w:color="auto"/>
            </w:tcBorders>
          </w:tcPr>
          <w:p w:rsidR="00212513" w:rsidRDefault="00212513">
            <w:pPr>
              <w:pStyle w:val="ConsPlusNormal"/>
              <w:jc w:val="center"/>
            </w:pPr>
            <w:r>
              <w:t>-</w:t>
            </w:r>
          </w:p>
        </w:tc>
        <w:tc>
          <w:tcPr>
            <w:tcW w:w="1145" w:type="dxa"/>
            <w:tcBorders>
              <w:top w:val="nil"/>
              <w:bottom w:val="single" w:sz="4" w:space="0" w:color="auto"/>
            </w:tcBorders>
          </w:tcPr>
          <w:p w:rsidR="00212513" w:rsidRDefault="00212513">
            <w:pPr>
              <w:pStyle w:val="ConsPlusNormal"/>
              <w:jc w:val="center"/>
            </w:pPr>
            <w:r>
              <w:t>0,7</w:t>
            </w:r>
          </w:p>
        </w:tc>
        <w:tc>
          <w:tcPr>
            <w:tcW w:w="1145" w:type="dxa"/>
            <w:tcBorders>
              <w:top w:val="nil"/>
              <w:bottom w:val="single" w:sz="4" w:space="0" w:color="auto"/>
            </w:tcBorders>
          </w:tcPr>
          <w:p w:rsidR="00212513" w:rsidRDefault="00212513">
            <w:pPr>
              <w:pStyle w:val="ConsPlusNormal"/>
              <w:jc w:val="center"/>
            </w:pPr>
            <w:r>
              <w:t>0,7</w:t>
            </w:r>
          </w:p>
        </w:tc>
        <w:tc>
          <w:tcPr>
            <w:tcW w:w="1145" w:type="dxa"/>
            <w:tcBorders>
              <w:top w:val="nil"/>
              <w:bottom w:val="single" w:sz="4" w:space="0" w:color="auto"/>
            </w:tcBorders>
          </w:tcPr>
          <w:p w:rsidR="00212513" w:rsidRDefault="00212513">
            <w:pPr>
              <w:pStyle w:val="ConsPlusNormal"/>
              <w:jc w:val="center"/>
            </w:pPr>
            <w:r>
              <w:t>1</w:t>
            </w:r>
          </w:p>
        </w:tc>
        <w:tc>
          <w:tcPr>
            <w:tcW w:w="1145" w:type="dxa"/>
            <w:tcBorders>
              <w:top w:val="nil"/>
              <w:bottom w:val="single" w:sz="4" w:space="0" w:color="auto"/>
            </w:tcBorders>
          </w:tcPr>
          <w:p w:rsidR="00212513" w:rsidRDefault="00212513">
            <w:pPr>
              <w:pStyle w:val="ConsPlusNormal"/>
              <w:jc w:val="center"/>
            </w:pPr>
            <w:r>
              <w:t>-</w:t>
            </w:r>
          </w:p>
        </w:tc>
        <w:tc>
          <w:tcPr>
            <w:tcW w:w="1150" w:type="dxa"/>
            <w:tcBorders>
              <w:top w:val="nil"/>
              <w:bottom w:val="single" w:sz="4" w:space="0" w:color="auto"/>
            </w:tcBorders>
          </w:tcPr>
          <w:p w:rsidR="00212513" w:rsidRDefault="00212513">
            <w:pPr>
              <w:pStyle w:val="ConsPlusNormal"/>
              <w:jc w:val="center"/>
            </w:pPr>
            <w:r>
              <w:t>0,8</w:t>
            </w:r>
          </w:p>
        </w:tc>
      </w:tr>
      <w:tr w:rsidR="00212513">
        <w:tblPrEx>
          <w:tblBorders>
            <w:insideH w:val="none" w:sz="0" w:space="0" w:color="auto"/>
          </w:tblBorders>
        </w:tblPrEx>
        <w:tc>
          <w:tcPr>
            <w:tcW w:w="17859" w:type="dxa"/>
            <w:gridSpan w:val="15"/>
            <w:tcBorders>
              <w:top w:val="single" w:sz="4" w:space="0" w:color="auto"/>
              <w:bottom w:val="nil"/>
            </w:tcBorders>
          </w:tcPr>
          <w:p w:rsidR="00212513" w:rsidRDefault="00212513">
            <w:pPr>
              <w:pStyle w:val="ConsPlusNormal"/>
              <w:ind w:firstLine="283"/>
              <w:jc w:val="both"/>
            </w:pPr>
            <w:bookmarkStart w:id="484" w:name="P13111"/>
            <w:bookmarkEnd w:id="484"/>
            <w:r>
              <w:t xml:space="preserve">&lt;*&gt; См. </w:t>
            </w:r>
            <w:hyperlink w:anchor="P959">
              <w:r>
                <w:rPr>
                  <w:color w:val="0000FF"/>
                </w:rPr>
                <w:t>примечание 1 к 6.2</w:t>
              </w:r>
            </w:hyperlink>
            <w:r>
              <w:t>.</w:t>
            </w:r>
          </w:p>
          <w:p w:rsidR="00212513" w:rsidRDefault="00212513">
            <w:pPr>
              <w:pStyle w:val="ConsPlusNormal"/>
              <w:ind w:firstLine="283"/>
              <w:jc w:val="both"/>
            </w:pPr>
            <w:bookmarkStart w:id="485" w:name="P13112"/>
            <w:bookmarkEnd w:id="485"/>
            <w:r>
              <w:t xml:space="preserve">&lt;**&gt; См. </w:t>
            </w:r>
            <w:hyperlink w:anchor="P968">
              <w:r>
                <w:rPr>
                  <w:color w:val="0000FF"/>
                </w:rPr>
                <w:t>примечание 3 к 6.2</w:t>
              </w:r>
            </w:hyperlink>
            <w:r>
              <w:t>.</w:t>
            </w:r>
          </w:p>
        </w:tc>
      </w:tr>
      <w:tr w:rsidR="00212513">
        <w:tblPrEx>
          <w:tblBorders>
            <w:insideH w:val="none" w:sz="0" w:space="0" w:color="auto"/>
          </w:tblBorders>
        </w:tblPrEx>
        <w:tc>
          <w:tcPr>
            <w:tcW w:w="17859" w:type="dxa"/>
            <w:gridSpan w:val="15"/>
            <w:tcBorders>
              <w:top w:val="nil"/>
              <w:bottom w:val="single" w:sz="4" w:space="0" w:color="auto"/>
            </w:tcBorders>
          </w:tcPr>
          <w:p w:rsidR="00212513" w:rsidRDefault="00212513">
            <w:pPr>
              <w:pStyle w:val="ConsPlusNormal"/>
              <w:ind w:firstLine="283"/>
              <w:jc w:val="both"/>
            </w:pPr>
            <w:r>
              <w:t>Примечание - Над чертой указаны коэффициенты сочетаний, принимаемые при проектировании железнодорожных мостов и мостов метрополитена, под чертой - автодорожных и городских.</w:t>
            </w:r>
          </w:p>
        </w:tc>
      </w:tr>
    </w:tbl>
    <w:p w:rsidR="00212513" w:rsidRDefault="00212513">
      <w:pPr>
        <w:pStyle w:val="ConsPlusNormal"/>
        <w:sectPr w:rsidR="00212513">
          <w:pgSz w:w="16838" w:h="11905" w:orient="landscape"/>
          <w:pgMar w:top="1701" w:right="397" w:bottom="850" w:left="397" w:header="0" w:footer="0" w:gutter="0"/>
          <w:cols w:space="720"/>
          <w:titlePg/>
        </w:sectPr>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jc w:val="right"/>
        <w:outlineLvl w:val="0"/>
      </w:pPr>
      <w:r>
        <w:rPr>
          <w:b/>
        </w:rPr>
        <w:t>Приложение Е</w:t>
      </w:r>
    </w:p>
    <w:p w:rsidR="00212513" w:rsidRDefault="00212513">
      <w:pPr>
        <w:pStyle w:val="ConsPlusNormal"/>
        <w:jc w:val="right"/>
      </w:pPr>
      <w:r>
        <w:rPr>
          <w:b/>
        </w:rPr>
        <w:t>(обязательное)</w:t>
      </w:r>
    </w:p>
    <w:p w:rsidR="00212513" w:rsidRDefault="00212513">
      <w:pPr>
        <w:pStyle w:val="ConsPlusNormal"/>
        <w:ind w:firstLine="540"/>
        <w:jc w:val="both"/>
      </w:pPr>
    </w:p>
    <w:p w:rsidR="00212513" w:rsidRDefault="00212513">
      <w:pPr>
        <w:pStyle w:val="ConsPlusTitle"/>
        <w:jc w:val="center"/>
      </w:pPr>
      <w:bookmarkStart w:id="486" w:name="P13122"/>
      <w:bookmarkEnd w:id="486"/>
      <w:r>
        <w:t>МЕТОДИКА ОПРЕДЕЛЕНИЯ РАВНОДЕЙСТВУЮЩЕЙ</w:t>
      </w:r>
    </w:p>
    <w:p w:rsidR="00212513" w:rsidRDefault="00212513">
      <w:pPr>
        <w:pStyle w:val="ConsPlusTitle"/>
        <w:jc w:val="center"/>
      </w:pPr>
      <w:r>
        <w:t>НОРМАТИВНОГО ГОРИЗОНТАЛЬНОГО (БОКОВОГО) ДАВЛЕНИЯ</w:t>
      </w:r>
    </w:p>
    <w:p w:rsidR="00212513" w:rsidRDefault="00212513">
      <w:pPr>
        <w:pStyle w:val="ConsPlusTitle"/>
        <w:jc w:val="center"/>
      </w:pPr>
      <w:r>
        <w:t>ОТ СОБСТВЕННОГО ВЕСА ГРУНТА НА ОПОРЫ МОСТОВ</w:t>
      </w:r>
    </w:p>
    <w:p w:rsidR="00212513" w:rsidRDefault="00212513">
      <w:pPr>
        <w:pStyle w:val="ConsPlusNormal"/>
        <w:ind w:firstLine="540"/>
        <w:jc w:val="both"/>
      </w:pPr>
    </w:p>
    <w:p w:rsidR="00212513" w:rsidRDefault="00212513">
      <w:pPr>
        <w:pStyle w:val="ConsPlusNormal"/>
        <w:ind w:firstLine="540"/>
        <w:jc w:val="both"/>
      </w:pPr>
      <w:r>
        <w:t xml:space="preserve">Е.1 Равнодействующую нормативного горизонтального (бокового) давления </w:t>
      </w:r>
      <w:r>
        <w:rPr>
          <w:noProof/>
          <w:position w:val="-8"/>
        </w:rPr>
        <w:drawing>
          <wp:inline distT="0" distB="0" distL="0" distR="0">
            <wp:extent cx="198755" cy="250825"/>
            <wp:effectExtent l="0" t="0" r="0" b="0"/>
            <wp:docPr id="2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4"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на опоры мостов от собственного веса насыпного грунта, а также грунта, лежащего ниже естественной поверхности земли при глубине заложения подошвы фундамента 3 м и менее </w:t>
      </w:r>
      <w:hyperlink w:anchor="P13150">
        <w:r>
          <w:rPr>
            <w:color w:val="0000FF"/>
          </w:rPr>
          <w:t>(рисунок Е.1, а)</w:t>
        </w:r>
      </w:hyperlink>
      <w:r>
        <w:t>, следует определять по формуле</w:t>
      </w:r>
    </w:p>
    <w:p w:rsidR="00212513" w:rsidRDefault="00212513">
      <w:pPr>
        <w:pStyle w:val="ConsPlusNormal"/>
        <w:ind w:firstLine="540"/>
        <w:jc w:val="both"/>
      </w:pPr>
    </w:p>
    <w:p w:rsidR="00212513" w:rsidRDefault="00212513">
      <w:pPr>
        <w:pStyle w:val="ConsPlusNormal"/>
        <w:jc w:val="center"/>
      </w:pPr>
      <w:r>
        <w:rPr>
          <w:noProof/>
          <w:position w:val="-23"/>
        </w:rPr>
        <w:drawing>
          <wp:inline distT="0" distB="0" distL="0" distR="0">
            <wp:extent cx="896620" cy="440055"/>
            <wp:effectExtent l="0" t="0" r="0" b="0"/>
            <wp:docPr id="2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5" cstate="print">
                      <a:extLst>
                        <a:ext uri="{28A0092B-C50C-407E-A947-70E740481C1C}">
                          <a14:useLocalDpi xmlns:a14="http://schemas.microsoft.com/office/drawing/2010/main" val="0"/>
                        </a:ext>
                      </a:extLst>
                    </a:blip>
                    <a:srcRect/>
                    <a:stretch>
                      <a:fillRect/>
                    </a:stretch>
                  </pic:blipFill>
                  <pic:spPr bwMode="auto">
                    <a:xfrm>
                      <a:off x="0" y="0"/>
                      <a:ext cx="896620" cy="440055"/>
                    </a:xfrm>
                    <a:prstGeom prst="rect">
                      <a:avLst/>
                    </a:prstGeom>
                    <a:noFill/>
                    <a:ln>
                      <a:noFill/>
                    </a:ln>
                  </pic:spPr>
                </pic:pic>
              </a:graphicData>
            </a:graphic>
          </wp:inline>
        </w:drawing>
      </w:r>
      <w:r>
        <w:t xml:space="preserve"> (Е.1)</w:t>
      </w:r>
    </w:p>
    <w:p w:rsidR="00212513" w:rsidRDefault="00212513">
      <w:pPr>
        <w:pStyle w:val="ConsPlusNormal"/>
        <w:jc w:val="center"/>
      </w:pPr>
    </w:p>
    <w:p w:rsidR="00212513" w:rsidRDefault="00212513">
      <w:pPr>
        <w:pStyle w:val="ConsPlusNormal"/>
        <w:jc w:val="center"/>
      </w:pPr>
      <w:r>
        <w:t xml:space="preserve">(формула Е.1 в ред. </w:t>
      </w:r>
      <w:hyperlink r:id="rId3176">
        <w:r>
          <w:rPr>
            <w:color w:val="0000FF"/>
          </w:rPr>
          <w:t>Изменения N 4</w:t>
        </w:r>
      </w:hyperlink>
      <w:r>
        <w:t>, утв. Приказом</w:t>
      </w:r>
    </w:p>
    <w:p w:rsidR="00212513" w:rsidRDefault="00212513">
      <w:pPr>
        <w:pStyle w:val="ConsPlusNormal"/>
        <w:jc w:val="center"/>
      </w:pPr>
      <w:r>
        <w:t>Минстроя России от 30.05.2024 N 361/пр)</w:t>
      </w:r>
    </w:p>
    <w:p w:rsidR="00212513" w:rsidRDefault="00212513">
      <w:pPr>
        <w:pStyle w:val="ConsPlusNormal"/>
        <w:ind w:firstLine="540"/>
        <w:jc w:val="both"/>
      </w:pPr>
    </w:p>
    <w:p w:rsidR="00212513" w:rsidRDefault="00212513">
      <w:pPr>
        <w:pStyle w:val="ConsPlusNormal"/>
        <w:ind w:firstLine="540"/>
        <w:jc w:val="both"/>
      </w:pPr>
      <w:r>
        <w:t xml:space="preserve">где </w:t>
      </w:r>
      <w:r>
        <w:rPr>
          <w:i/>
        </w:rPr>
        <w:t>p</w:t>
      </w:r>
      <w:r>
        <w:rPr>
          <w:i/>
          <w:vertAlign w:val="subscript"/>
        </w:rPr>
        <w:t>n</w:t>
      </w:r>
      <w:r>
        <w:t xml:space="preserve"> - нормативное горизонтальное (боковое) давление грунта на уровне нижней поверхности рассматриваемого слоя, принимаемое согласно </w:t>
      </w:r>
      <w:hyperlink w:anchor="P1033">
        <w:r>
          <w:rPr>
            <w:color w:val="0000FF"/>
          </w:rPr>
          <w:t>6.6</w:t>
        </w:r>
      </w:hyperlink>
      <w:r>
        <w:t>;</w:t>
      </w:r>
    </w:p>
    <w:p w:rsidR="00212513" w:rsidRDefault="00212513">
      <w:pPr>
        <w:pStyle w:val="ConsPlusNormal"/>
        <w:jc w:val="both"/>
      </w:pPr>
      <w:r>
        <w:t xml:space="preserve">(в ред. </w:t>
      </w:r>
      <w:hyperlink r:id="rId3177">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rPr>
          <w:noProof/>
          <w:position w:val="-8"/>
        </w:rPr>
        <w:drawing>
          <wp:inline distT="0" distB="0" distL="0" distR="0">
            <wp:extent cx="177800" cy="251460"/>
            <wp:effectExtent l="0" t="0" r="0" b="0"/>
            <wp:docPr id="2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8"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высота засыпки, считая от подошвы рельсов или верха дорожного покрытия, м;</w:t>
      </w:r>
    </w:p>
    <w:p w:rsidR="00212513" w:rsidRDefault="00212513">
      <w:pPr>
        <w:pStyle w:val="ConsPlusNormal"/>
        <w:spacing w:before="220"/>
        <w:ind w:firstLine="540"/>
        <w:jc w:val="both"/>
      </w:pPr>
      <w:r>
        <w:rPr>
          <w:i/>
        </w:rPr>
        <w:t>b</w:t>
      </w:r>
      <w:r>
        <w:t xml:space="preserve"> - приведенная (средняя по высоте </w:t>
      </w:r>
      <w:r>
        <w:rPr>
          <w:noProof/>
          <w:position w:val="-8"/>
        </w:rPr>
        <w:drawing>
          <wp:inline distT="0" distB="0" distL="0" distR="0">
            <wp:extent cx="177800" cy="251460"/>
            <wp:effectExtent l="0" t="0" r="0" b="0"/>
            <wp:docPr id="2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8"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ширина опоры в плоскости задних граней, на которую распределяется горизонтальное (боковое) давление грунта, м.</w:t>
      </w:r>
    </w:p>
    <w:p w:rsidR="00212513" w:rsidRDefault="00212513">
      <w:pPr>
        <w:pStyle w:val="ConsPlusNormal"/>
        <w:ind w:firstLine="540"/>
        <w:jc w:val="both"/>
      </w:pPr>
    </w:p>
    <w:p w:rsidR="00212513" w:rsidRDefault="00212513">
      <w:pPr>
        <w:pStyle w:val="ConsPlusNormal"/>
        <w:jc w:val="center"/>
      </w:pPr>
      <w:r>
        <w:t>а)</w:t>
      </w:r>
    </w:p>
    <w:p w:rsidR="00212513" w:rsidRDefault="00212513">
      <w:pPr>
        <w:pStyle w:val="ConsPlusNormal"/>
        <w:ind w:firstLine="540"/>
        <w:jc w:val="both"/>
      </w:pPr>
    </w:p>
    <w:p w:rsidR="00212513" w:rsidRDefault="00212513">
      <w:pPr>
        <w:pStyle w:val="ConsPlusNormal"/>
        <w:jc w:val="center"/>
      </w:pPr>
      <w:r>
        <w:rPr>
          <w:noProof/>
          <w:position w:val="-113"/>
        </w:rPr>
        <w:drawing>
          <wp:inline distT="0" distB="0" distL="0" distR="0">
            <wp:extent cx="2380615" cy="1583055"/>
            <wp:effectExtent l="0" t="0" r="0" b="0"/>
            <wp:docPr id="2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9" cstate="print">
                      <a:extLst>
                        <a:ext uri="{28A0092B-C50C-407E-A947-70E740481C1C}">
                          <a14:useLocalDpi xmlns:a14="http://schemas.microsoft.com/office/drawing/2010/main" val="0"/>
                        </a:ext>
                      </a:extLst>
                    </a:blip>
                    <a:srcRect/>
                    <a:stretch>
                      <a:fillRect/>
                    </a:stretch>
                  </pic:blipFill>
                  <pic:spPr bwMode="auto">
                    <a:xfrm>
                      <a:off x="0" y="0"/>
                      <a:ext cx="2380615" cy="1583055"/>
                    </a:xfrm>
                    <a:prstGeom prst="rect">
                      <a:avLst/>
                    </a:prstGeom>
                    <a:noFill/>
                    <a:ln>
                      <a:noFill/>
                    </a:ln>
                  </pic:spPr>
                </pic:pic>
              </a:graphicData>
            </a:graphic>
          </wp:inline>
        </w:drawing>
      </w:r>
    </w:p>
    <w:p w:rsidR="00212513" w:rsidRDefault="00212513">
      <w:pPr>
        <w:pStyle w:val="ConsPlusNormal"/>
        <w:ind w:firstLine="540"/>
        <w:jc w:val="both"/>
      </w:pPr>
    </w:p>
    <w:p w:rsidR="00212513" w:rsidRDefault="00212513">
      <w:pPr>
        <w:pStyle w:val="ConsPlusNormal"/>
        <w:jc w:val="center"/>
      </w:pPr>
      <w:r>
        <w:t>б)</w:t>
      </w:r>
    </w:p>
    <w:p w:rsidR="00212513" w:rsidRDefault="00212513">
      <w:pPr>
        <w:pStyle w:val="ConsPlusNormal"/>
        <w:ind w:firstLine="540"/>
        <w:jc w:val="both"/>
      </w:pPr>
    </w:p>
    <w:p w:rsidR="00212513" w:rsidRDefault="00212513">
      <w:pPr>
        <w:pStyle w:val="ConsPlusNormal"/>
        <w:jc w:val="center"/>
      </w:pPr>
      <w:r>
        <w:rPr>
          <w:noProof/>
          <w:position w:val="-191"/>
        </w:rPr>
        <w:lastRenderedPageBreak/>
        <w:drawing>
          <wp:inline distT="0" distB="0" distL="0" distR="0">
            <wp:extent cx="3131185" cy="2571750"/>
            <wp:effectExtent l="0" t="0" r="0" b="0"/>
            <wp:docPr id="2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0" cstate="print">
                      <a:extLst>
                        <a:ext uri="{28A0092B-C50C-407E-A947-70E740481C1C}">
                          <a14:useLocalDpi xmlns:a14="http://schemas.microsoft.com/office/drawing/2010/main" val="0"/>
                        </a:ext>
                      </a:extLst>
                    </a:blip>
                    <a:srcRect/>
                    <a:stretch>
                      <a:fillRect/>
                    </a:stretch>
                  </pic:blipFill>
                  <pic:spPr bwMode="auto">
                    <a:xfrm>
                      <a:off x="0" y="0"/>
                      <a:ext cx="3131185" cy="2571750"/>
                    </a:xfrm>
                    <a:prstGeom prst="rect">
                      <a:avLst/>
                    </a:prstGeom>
                    <a:noFill/>
                    <a:ln>
                      <a:noFill/>
                    </a:ln>
                  </pic:spPr>
                </pic:pic>
              </a:graphicData>
            </a:graphic>
          </wp:inline>
        </w:drawing>
      </w:r>
    </w:p>
    <w:p w:rsidR="00212513" w:rsidRDefault="00212513">
      <w:pPr>
        <w:pStyle w:val="ConsPlusNormal"/>
        <w:ind w:firstLine="540"/>
        <w:jc w:val="both"/>
      </w:pPr>
    </w:p>
    <w:p w:rsidR="00212513" w:rsidRDefault="00212513">
      <w:pPr>
        <w:pStyle w:val="ConsPlusNormal"/>
        <w:jc w:val="center"/>
      </w:pPr>
      <w:r>
        <w:t>1 - первый слой; 2 - второй слой; 3 - третий</w:t>
      </w:r>
    </w:p>
    <w:p w:rsidR="00212513" w:rsidRDefault="00212513">
      <w:pPr>
        <w:pStyle w:val="ConsPlusNormal"/>
        <w:jc w:val="center"/>
      </w:pPr>
      <w:r>
        <w:t>слой; а - при глубине заложения подошвы</w:t>
      </w:r>
    </w:p>
    <w:p w:rsidR="00212513" w:rsidRDefault="00212513">
      <w:pPr>
        <w:pStyle w:val="ConsPlusNormal"/>
        <w:jc w:val="center"/>
      </w:pPr>
      <w:r>
        <w:t>фундамента 3 м и менее; б - то же, свыше 3 м</w:t>
      </w:r>
    </w:p>
    <w:p w:rsidR="00212513" w:rsidRDefault="00212513">
      <w:pPr>
        <w:pStyle w:val="ConsPlusNormal"/>
        <w:ind w:firstLine="540"/>
        <w:jc w:val="both"/>
      </w:pPr>
    </w:p>
    <w:p w:rsidR="00212513" w:rsidRDefault="00212513">
      <w:pPr>
        <w:pStyle w:val="ConsPlusNormal"/>
        <w:jc w:val="center"/>
      </w:pPr>
      <w:bookmarkStart w:id="487" w:name="P13150"/>
      <w:bookmarkEnd w:id="487"/>
      <w:r>
        <w:rPr>
          <w:b/>
          <w:i/>
        </w:rPr>
        <w:t>Рисунок Е.1</w:t>
      </w:r>
      <w:r>
        <w:t xml:space="preserve"> </w:t>
      </w:r>
      <w:r>
        <w:rPr>
          <w:b/>
        </w:rPr>
        <w:t>- Схема эпюр давления грунта на опоры</w:t>
      </w:r>
    </w:p>
    <w:p w:rsidR="00212513" w:rsidRDefault="00212513">
      <w:pPr>
        <w:pStyle w:val="ConsPlusNormal"/>
        <w:jc w:val="center"/>
      </w:pPr>
      <w:r>
        <w:rPr>
          <w:b/>
        </w:rPr>
        <w:t>моста для определения равнодействующей нормативного</w:t>
      </w:r>
    </w:p>
    <w:p w:rsidR="00212513" w:rsidRDefault="00212513">
      <w:pPr>
        <w:pStyle w:val="ConsPlusNormal"/>
        <w:jc w:val="center"/>
      </w:pPr>
      <w:r>
        <w:rPr>
          <w:b/>
        </w:rPr>
        <w:t>горизонтального (бокового) давления на опоры</w:t>
      </w:r>
    </w:p>
    <w:p w:rsidR="00212513" w:rsidRDefault="00212513">
      <w:pPr>
        <w:pStyle w:val="ConsPlusNormal"/>
        <w:ind w:firstLine="540"/>
        <w:jc w:val="both"/>
      </w:pPr>
    </w:p>
    <w:p w:rsidR="00212513" w:rsidRDefault="00212513">
      <w:pPr>
        <w:pStyle w:val="ConsPlusNormal"/>
        <w:ind w:firstLine="540"/>
        <w:jc w:val="both"/>
      </w:pPr>
      <w:r>
        <w:t xml:space="preserve">Плечо равнодействующей </w:t>
      </w:r>
      <w:r>
        <w:rPr>
          <w:noProof/>
          <w:position w:val="-8"/>
        </w:rPr>
        <w:drawing>
          <wp:inline distT="0" distB="0" distL="0" distR="0">
            <wp:extent cx="198755" cy="250825"/>
            <wp:effectExtent l="0" t="0" r="0" b="0"/>
            <wp:docPr id="2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4"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от подошвы фундамента следует принимать равным </w:t>
      </w:r>
      <w:r>
        <w:rPr>
          <w:noProof/>
          <w:position w:val="-8"/>
        </w:rPr>
        <w:drawing>
          <wp:inline distT="0" distB="0" distL="0" distR="0">
            <wp:extent cx="662940" cy="251460"/>
            <wp:effectExtent l="0" t="0" r="0" b="0"/>
            <wp:docPr id="2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1" cstate="print">
                      <a:extLst>
                        <a:ext uri="{28A0092B-C50C-407E-A947-70E740481C1C}">
                          <a14:useLocalDpi xmlns:a14="http://schemas.microsoft.com/office/drawing/2010/main" val="0"/>
                        </a:ext>
                      </a:extLst>
                    </a:blip>
                    <a:srcRect/>
                    <a:stretch>
                      <a:fillRect/>
                    </a:stretch>
                  </pic:blipFill>
                  <pic:spPr bwMode="auto">
                    <a:xfrm>
                      <a:off x="0" y="0"/>
                      <a:ext cx="662940" cy="251460"/>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Для массивных (в том числе с обратными стенками) и пустотелых (с продольными проемами) устоев, если ширина проема </w:t>
      </w:r>
      <w:r>
        <w:rPr>
          <w:noProof/>
          <w:position w:val="-8"/>
        </w:rPr>
        <w:drawing>
          <wp:inline distT="0" distB="0" distL="0" distR="0">
            <wp:extent cx="156845" cy="251460"/>
            <wp:effectExtent l="0" t="0" r="0" b="0"/>
            <wp:docPr id="2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2"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равна или менее двойной ширины обратной стенки </w:t>
      </w:r>
      <w:r>
        <w:rPr>
          <w:noProof/>
          <w:position w:val="-8"/>
        </w:rPr>
        <w:drawing>
          <wp:inline distT="0" distB="0" distL="0" distR="0">
            <wp:extent cx="167640" cy="251460"/>
            <wp:effectExtent l="0" t="0" r="0" b="0"/>
            <wp:docPr id="2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3"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а также для сплошных (без проемов) фундаментов ширину </w:t>
      </w:r>
      <w:r>
        <w:rPr>
          <w:i/>
        </w:rPr>
        <w:t>b</w:t>
      </w:r>
      <w:r>
        <w:t xml:space="preserve"> следует принимать равной расстоянию между внешними гранями конструкций.</w:t>
      </w:r>
    </w:p>
    <w:p w:rsidR="00212513" w:rsidRDefault="00212513">
      <w:pPr>
        <w:pStyle w:val="ConsPlusNormal"/>
        <w:spacing w:before="220"/>
        <w:ind w:firstLine="540"/>
        <w:jc w:val="both"/>
      </w:pPr>
      <w:r>
        <w:t xml:space="preserve">Для пустотелых (с продольными проемами) устоев или для раздельных (с проемами) фундаментов, если </w:t>
      </w:r>
      <w:r>
        <w:rPr>
          <w:noProof/>
          <w:position w:val="-8"/>
        </w:rPr>
        <w:drawing>
          <wp:inline distT="0" distB="0" distL="0" distR="0">
            <wp:extent cx="544830" cy="251460"/>
            <wp:effectExtent l="0" t="0" r="0" b="0"/>
            <wp:docPr id="2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4" cstate="print">
                      <a:extLst>
                        <a:ext uri="{28A0092B-C50C-407E-A947-70E740481C1C}">
                          <a14:useLocalDpi xmlns:a14="http://schemas.microsoft.com/office/drawing/2010/main" val="0"/>
                        </a:ext>
                      </a:extLst>
                    </a:blip>
                    <a:srcRect/>
                    <a:stretch>
                      <a:fillRect/>
                    </a:stretch>
                  </pic:blipFill>
                  <pic:spPr bwMode="auto">
                    <a:xfrm>
                      <a:off x="0" y="0"/>
                      <a:ext cx="544830" cy="251460"/>
                    </a:xfrm>
                    <a:prstGeom prst="rect">
                      <a:avLst/>
                    </a:prstGeom>
                    <a:noFill/>
                    <a:ln>
                      <a:noFill/>
                    </a:ln>
                  </pic:spPr>
                </pic:pic>
              </a:graphicData>
            </a:graphic>
          </wp:inline>
        </w:drawing>
      </w:r>
      <w:r>
        <w:t xml:space="preserve">, ширину </w:t>
      </w:r>
      <w:r>
        <w:rPr>
          <w:i/>
        </w:rPr>
        <w:t>b</w:t>
      </w:r>
      <w:r>
        <w:t xml:space="preserve"> следует принимать равной удвоенной суммарной ширине стенок или раздельных фундаментов.</w:t>
      </w:r>
    </w:p>
    <w:p w:rsidR="00212513" w:rsidRDefault="00212513">
      <w:pPr>
        <w:pStyle w:val="ConsPlusNormal"/>
        <w:spacing w:before="220"/>
        <w:ind w:firstLine="540"/>
        <w:jc w:val="both"/>
      </w:pPr>
      <w:r>
        <w:t xml:space="preserve">Для свайных или стоечных устоев, если суммарная ширина свай (стоек) равна или более половины всей ширины, за ширину </w:t>
      </w:r>
      <w:r>
        <w:rPr>
          <w:i/>
        </w:rPr>
        <w:t>b</w:t>
      </w:r>
      <w:r>
        <w:t xml:space="preserve"> следует принимать расстояние между внешними гранями свай (стоек); если суммарная ширина свай (стоек) менее половины всей ширины опоры, то за ширину </w:t>
      </w:r>
      <w:r>
        <w:rPr>
          <w:i/>
        </w:rPr>
        <w:t>b</w:t>
      </w:r>
      <w:r>
        <w:t xml:space="preserve"> следует принимать для каждой сваи (стойки) двойную ее ширину.</w:t>
      </w:r>
    </w:p>
    <w:p w:rsidR="00212513" w:rsidRDefault="00212513">
      <w:pPr>
        <w:pStyle w:val="ConsPlusNormal"/>
        <w:spacing w:before="220"/>
        <w:ind w:firstLine="540"/>
        <w:jc w:val="both"/>
      </w:pPr>
      <w:r>
        <w:t>Примечания</w:t>
      </w:r>
    </w:p>
    <w:p w:rsidR="00212513" w:rsidRDefault="00212513">
      <w:pPr>
        <w:pStyle w:val="ConsPlusNormal"/>
        <w:spacing w:before="220"/>
        <w:ind w:firstLine="540"/>
        <w:jc w:val="both"/>
      </w:pPr>
      <w:r>
        <w:t xml:space="preserve">1 Величины </w:t>
      </w:r>
      <w:r>
        <w:rPr>
          <w:noProof/>
          <w:position w:val="-8"/>
        </w:rPr>
        <w:drawing>
          <wp:inline distT="0" distB="0" distL="0" distR="0">
            <wp:extent cx="177800" cy="251460"/>
            <wp:effectExtent l="0" t="0" r="0" b="0"/>
            <wp:docPr id="2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5"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и </w:t>
      </w:r>
      <w:r>
        <w:rPr>
          <w:noProof/>
          <w:position w:val="-8"/>
        </w:rPr>
        <w:drawing>
          <wp:inline distT="0" distB="0" distL="0" distR="0">
            <wp:extent cx="198755" cy="250825"/>
            <wp:effectExtent l="0" t="0" r="0" b="0"/>
            <wp:docPr id="2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при определении давления </w:t>
      </w:r>
      <w:r>
        <w:rPr>
          <w:noProof/>
          <w:position w:val="-8"/>
        </w:rPr>
        <w:drawing>
          <wp:inline distT="0" distB="0" distL="0" distR="0">
            <wp:extent cx="209550" cy="251460"/>
            <wp:effectExtent l="0" t="0" r="0" b="0"/>
            <wp:docPr id="2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на всю высоту </w:t>
      </w:r>
      <w:r>
        <w:rPr>
          <w:noProof/>
          <w:position w:val="-8"/>
        </w:rPr>
        <w:drawing>
          <wp:inline distT="0" distB="0" distL="0" distR="0">
            <wp:extent cx="177800" cy="251460"/>
            <wp:effectExtent l="0" t="0" r="0" b="0"/>
            <wp:docPr id="2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8"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допускается принимать как для дренирующего грунта засыпки.</w:t>
      </w:r>
    </w:p>
    <w:p w:rsidR="00212513" w:rsidRDefault="00212513">
      <w:pPr>
        <w:pStyle w:val="ConsPlusNormal"/>
        <w:spacing w:before="220"/>
        <w:ind w:firstLine="540"/>
        <w:jc w:val="both"/>
      </w:pPr>
      <w:r>
        <w:t>2 Для свай, забитых в ранее возведенную (уплотненную) насыпь, горизонтальное (боковое) давление учитывать не следует.</w:t>
      </w:r>
    </w:p>
    <w:p w:rsidR="00212513" w:rsidRDefault="00212513">
      <w:pPr>
        <w:pStyle w:val="ConsPlusNormal"/>
        <w:spacing w:before="220"/>
        <w:ind w:firstLine="540"/>
        <w:jc w:val="both"/>
      </w:pPr>
      <w:r>
        <w:t>3 Горизонтальное (боковое) давление грунта на опоры моста со стороны пролета следует учитывать, если в проекте сооружения предусматриваются мероприятия, гарантирующие стабильность воздействия этого грунта при строительстве и эксплуатации моста.</w:t>
      </w:r>
    </w:p>
    <w:p w:rsidR="00212513" w:rsidRDefault="00212513">
      <w:pPr>
        <w:pStyle w:val="ConsPlusNormal"/>
        <w:spacing w:before="220"/>
        <w:ind w:firstLine="540"/>
        <w:jc w:val="both"/>
      </w:pPr>
      <w:r>
        <w:lastRenderedPageBreak/>
        <w:t xml:space="preserve">4 Наклон задней грани устоя и силы трения между грунтом засыпки и этой гранью при определении силы </w:t>
      </w:r>
      <w:r>
        <w:rPr>
          <w:noProof/>
          <w:position w:val="-8"/>
        </w:rPr>
        <w:drawing>
          <wp:inline distT="0" distB="0" distL="0" distR="0">
            <wp:extent cx="198755" cy="250825"/>
            <wp:effectExtent l="0" t="0" r="0" b="0"/>
            <wp:docPr id="2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4"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учитывать не следует.</w:t>
      </w:r>
    </w:p>
    <w:p w:rsidR="00212513" w:rsidRDefault="00212513">
      <w:pPr>
        <w:pStyle w:val="ConsPlusNormal"/>
        <w:ind w:firstLine="540"/>
        <w:jc w:val="both"/>
      </w:pPr>
    </w:p>
    <w:p w:rsidR="00212513" w:rsidRDefault="00212513">
      <w:pPr>
        <w:pStyle w:val="ConsPlusNormal"/>
        <w:ind w:firstLine="540"/>
        <w:jc w:val="both"/>
      </w:pPr>
      <w:r>
        <w:t xml:space="preserve">Е.2 При глубине заложения подошвы фундамента свыше 3 м, равнодействующую нормативного горизонтального (бокового) давления каждого </w:t>
      </w:r>
      <w:r>
        <w:rPr>
          <w:i/>
        </w:rPr>
        <w:t>i</w:t>
      </w:r>
      <w:r>
        <w:t>-го (снизу) слоя грунта, расположенного ниже естественной поверхности земли, следует определять по формуле</w:t>
      </w:r>
    </w:p>
    <w:p w:rsidR="00212513" w:rsidRDefault="00212513">
      <w:pPr>
        <w:pStyle w:val="ConsPlusNormal"/>
        <w:ind w:firstLine="540"/>
        <w:jc w:val="both"/>
      </w:pPr>
    </w:p>
    <w:p w:rsidR="00212513" w:rsidRDefault="00212513">
      <w:pPr>
        <w:pStyle w:val="ConsPlusNormal"/>
        <w:jc w:val="center"/>
      </w:pPr>
      <w:r>
        <w:rPr>
          <w:noProof/>
          <w:position w:val="-22"/>
        </w:rPr>
        <w:drawing>
          <wp:inline distT="0" distB="0" distL="0" distR="0">
            <wp:extent cx="1578610" cy="428625"/>
            <wp:effectExtent l="0" t="0" r="0" b="0"/>
            <wp:docPr id="2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8" cstate="print">
                      <a:extLst>
                        <a:ext uri="{28A0092B-C50C-407E-A947-70E740481C1C}">
                          <a14:useLocalDpi xmlns:a14="http://schemas.microsoft.com/office/drawing/2010/main" val="0"/>
                        </a:ext>
                      </a:extLst>
                    </a:blip>
                    <a:srcRect/>
                    <a:stretch>
                      <a:fillRect/>
                    </a:stretch>
                  </pic:blipFill>
                  <pic:spPr bwMode="auto">
                    <a:xfrm>
                      <a:off x="0" y="0"/>
                      <a:ext cx="1578610" cy="428625"/>
                    </a:xfrm>
                    <a:prstGeom prst="rect">
                      <a:avLst/>
                    </a:prstGeom>
                    <a:noFill/>
                    <a:ln>
                      <a:noFill/>
                    </a:ln>
                  </pic:spPr>
                </pic:pic>
              </a:graphicData>
            </a:graphic>
          </wp:inline>
        </w:drawing>
      </w:r>
      <w:r>
        <w:t>, (Е.2)</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8"/>
        </w:rPr>
        <w:drawing>
          <wp:inline distT="0" distB="0" distL="0" distR="0">
            <wp:extent cx="167640" cy="251460"/>
            <wp:effectExtent l="0" t="0" r="0" b="0"/>
            <wp:docPr id="2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9"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удельный вес грунта рассматриваемого слоя;</w:t>
      </w:r>
    </w:p>
    <w:p w:rsidR="00212513" w:rsidRDefault="00212513">
      <w:pPr>
        <w:pStyle w:val="ConsPlusNormal"/>
        <w:spacing w:before="220"/>
        <w:ind w:firstLine="540"/>
        <w:jc w:val="both"/>
      </w:pPr>
      <w:r>
        <w:rPr>
          <w:noProof/>
          <w:position w:val="-8"/>
        </w:rPr>
        <w:drawing>
          <wp:inline distT="0" distB="0" distL="0" distR="0">
            <wp:extent cx="156845" cy="251460"/>
            <wp:effectExtent l="0" t="0" r="0" b="0"/>
            <wp:docPr id="2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0"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 толщина рассматриваемого слоя;</w:t>
      </w:r>
    </w:p>
    <w:p w:rsidR="00212513" w:rsidRDefault="00212513">
      <w:pPr>
        <w:pStyle w:val="ConsPlusNormal"/>
        <w:spacing w:before="220"/>
        <w:ind w:firstLine="540"/>
        <w:jc w:val="both"/>
      </w:pPr>
      <w:r>
        <w:rPr>
          <w:noProof/>
          <w:position w:val="-8"/>
        </w:rPr>
        <w:drawing>
          <wp:inline distT="0" distB="0" distL="0" distR="0">
            <wp:extent cx="156845" cy="251460"/>
            <wp:effectExtent l="0" t="0" r="0" b="0"/>
            <wp:docPr id="2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1"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 коэффициент нормативного горизонтального (бокового) давления грунта для </w:t>
      </w:r>
      <w:r>
        <w:rPr>
          <w:i/>
        </w:rPr>
        <w:t>i</w:t>
      </w:r>
      <w:r>
        <w:t>-го слоя, равный</w:t>
      </w:r>
    </w:p>
    <w:p w:rsidR="00212513" w:rsidRDefault="00212513">
      <w:pPr>
        <w:pStyle w:val="ConsPlusNormal"/>
        <w:ind w:firstLine="540"/>
        <w:jc w:val="both"/>
      </w:pPr>
    </w:p>
    <w:p w:rsidR="00212513" w:rsidRDefault="00212513">
      <w:pPr>
        <w:pStyle w:val="ConsPlusNormal"/>
        <w:jc w:val="center"/>
      </w:pPr>
      <w:r>
        <w:rPr>
          <w:noProof/>
          <w:position w:val="-26"/>
        </w:rPr>
        <w:drawing>
          <wp:inline distT="0" distB="0" distL="0" distR="0">
            <wp:extent cx="1283970" cy="470535"/>
            <wp:effectExtent l="0" t="0" r="0" b="0"/>
            <wp:docPr id="2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2" cstate="print">
                      <a:extLst>
                        <a:ext uri="{28A0092B-C50C-407E-A947-70E740481C1C}">
                          <a14:useLocalDpi xmlns:a14="http://schemas.microsoft.com/office/drawing/2010/main" val="0"/>
                        </a:ext>
                      </a:extLst>
                    </a:blip>
                    <a:srcRect/>
                    <a:stretch>
                      <a:fillRect/>
                    </a:stretch>
                  </pic:blipFill>
                  <pic:spPr bwMode="auto">
                    <a:xfrm>
                      <a:off x="0" y="0"/>
                      <a:ext cx="1283970" cy="470535"/>
                    </a:xfrm>
                    <a:prstGeom prst="rect">
                      <a:avLst/>
                    </a:prstGeom>
                    <a:noFill/>
                    <a:ln>
                      <a:noFill/>
                    </a:ln>
                  </pic:spPr>
                </pic:pic>
              </a:graphicData>
            </a:graphic>
          </wp:inline>
        </w:drawing>
      </w:r>
      <w:r>
        <w:t>, (Е.3)</w:t>
      </w:r>
    </w:p>
    <w:p w:rsidR="00212513" w:rsidRDefault="00212513">
      <w:pPr>
        <w:pStyle w:val="ConsPlusNormal"/>
        <w:ind w:firstLine="540"/>
        <w:jc w:val="both"/>
      </w:pPr>
    </w:p>
    <w:p w:rsidR="00212513" w:rsidRDefault="00212513">
      <w:pPr>
        <w:pStyle w:val="ConsPlusNormal"/>
        <w:ind w:firstLine="540"/>
        <w:jc w:val="both"/>
      </w:pPr>
      <w:r>
        <w:rPr>
          <w:noProof/>
          <w:position w:val="-8"/>
        </w:rPr>
        <w:drawing>
          <wp:inline distT="0" distB="0" distL="0" distR="0">
            <wp:extent cx="177800" cy="251460"/>
            <wp:effectExtent l="0" t="0" r="0" b="0"/>
            <wp:docPr id="2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3"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нормативное значение угла внутреннего трения слоя грунта;</w:t>
      </w:r>
    </w:p>
    <w:p w:rsidR="00212513" w:rsidRDefault="00212513">
      <w:pPr>
        <w:pStyle w:val="ConsPlusNormal"/>
        <w:spacing w:before="220"/>
        <w:ind w:firstLine="540"/>
        <w:jc w:val="both"/>
      </w:pPr>
      <w:r>
        <w:rPr>
          <w:noProof/>
          <w:position w:val="-8"/>
        </w:rPr>
        <w:drawing>
          <wp:inline distT="0" distB="0" distL="0" distR="0">
            <wp:extent cx="209550" cy="251460"/>
            <wp:effectExtent l="0" t="0" r="0" b="0"/>
            <wp:docPr id="2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приведенная к удельному весу грунта засыпки общая толщина слоев грунта, лежащих выше верхней поверхности рассматриваемого слоя.</w:t>
      </w:r>
    </w:p>
    <w:p w:rsidR="00212513" w:rsidRDefault="00212513">
      <w:pPr>
        <w:pStyle w:val="ConsPlusNormal"/>
        <w:spacing w:before="220"/>
        <w:ind w:firstLine="540"/>
        <w:jc w:val="both"/>
      </w:pPr>
      <w:r>
        <w:t xml:space="preserve">Например, для нижнего (первого) слоя приведенная на </w:t>
      </w:r>
      <w:hyperlink w:anchor="P13150">
        <w:r>
          <w:rPr>
            <w:color w:val="0000FF"/>
          </w:rPr>
          <w:t>рисунке Е.1, б</w:t>
        </w:r>
      </w:hyperlink>
      <w:r>
        <w:t xml:space="preserve"> толщина составляет</w:t>
      </w:r>
    </w:p>
    <w:p w:rsidR="00212513" w:rsidRDefault="00212513">
      <w:pPr>
        <w:pStyle w:val="ConsPlusNormal"/>
        <w:ind w:firstLine="540"/>
        <w:jc w:val="both"/>
      </w:pPr>
    </w:p>
    <w:p w:rsidR="00212513" w:rsidRDefault="00212513">
      <w:pPr>
        <w:pStyle w:val="ConsPlusNormal"/>
        <w:jc w:val="center"/>
      </w:pPr>
      <w:r>
        <w:rPr>
          <w:noProof/>
          <w:position w:val="-26"/>
        </w:rPr>
        <w:drawing>
          <wp:inline distT="0" distB="0" distL="0" distR="0">
            <wp:extent cx="1550035" cy="470535"/>
            <wp:effectExtent l="0" t="0" r="0" b="0"/>
            <wp:docPr id="2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5" cstate="print">
                      <a:extLst>
                        <a:ext uri="{28A0092B-C50C-407E-A947-70E740481C1C}">
                          <a14:useLocalDpi xmlns:a14="http://schemas.microsoft.com/office/drawing/2010/main" val="0"/>
                        </a:ext>
                      </a:extLst>
                    </a:blip>
                    <a:srcRect/>
                    <a:stretch>
                      <a:fillRect/>
                    </a:stretch>
                  </pic:blipFill>
                  <pic:spPr bwMode="auto">
                    <a:xfrm>
                      <a:off x="0" y="0"/>
                      <a:ext cx="1550035" cy="470535"/>
                    </a:xfrm>
                    <a:prstGeom prst="rect">
                      <a:avLst/>
                    </a:prstGeom>
                    <a:noFill/>
                    <a:ln>
                      <a:noFill/>
                    </a:ln>
                  </pic:spPr>
                </pic:pic>
              </a:graphicData>
            </a:graphic>
          </wp:inline>
        </w:drawing>
      </w:r>
      <w:r>
        <w:t>. (Е.4)</w:t>
      </w:r>
    </w:p>
    <w:p w:rsidR="00212513" w:rsidRDefault="00212513">
      <w:pPr>
        <w:pStyle w:val="ConsPlusNormal"/>
        <w:ind w:firstLine="540"/>
        <w:jc w:val="both"/>
      </w:pPr>
    </w:p>
    <w:p w:rsidR="00212513" w:rsidRDefault="00212513">
      <w:pPr>
        <w:pStyle w:val="ConsPlusNormal"/>
        <w:ind w:firstLine="540"/>
        <w:jc w:val="both"/>
      </w:pPr>
      <w:r>
        <w:t xml:space="preserve">Плечо равнодействующей давления </w:t>
      </w:r>
      <w:r>
        <w:rPr>
          <w:i/>
        </w:rPr>
        <w:t>i</w:t>
      </w:r>
      <w:r>
        <w:t xml:space="preserve">-го слоя </w:t>
      </w:r>
      <w:r>
        <w:rPr>
          <w:noProof/>
          <w:position w:val="-8"/>
        </w:rPr>
        <w:drawing>
          <wp:inline distT="0" distB="0" distL="0" distR="0">
            <wp:extent cx="177800" cy="251460"/>
            <wp:effectExtent l="0" t="0" r="0" b="0"/>
            <wp:docPr id="2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6"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от нижней поверхности рассматриваемого слоя следует принимать равным</w:t>
      </w:r>
    </w:p>
    <w:p w:rsidR="00212513" w:rsidRDefault="00212513">
      <w:pPr>
        <w:pStyle w:val="ConsPlusNormal"/>
        <w:ind w:firstLine="540"/>
        <w:jc w:val="both"/>
      </w:pPr>
    </w:p>
    <w:p w:rsidR="00212513" w:rsidRDefault="00212513">
      <w:pPr>
        <w:pStyle w:val="ConsPlusNormal"/>
        <w:jc w:val="center"/>
      </w:pPr>
      <w:r>
        <w:rPr>
          <w:noProof/>
          <w:position w:val="-26"/>
        </w:rPr>
        <w:drawing>
          <wp:inline distT="0" distB="0" distL="0" distR="0">
            <wp:extent cx="1130935" cy="470535"/>
            <wp:effectExtent l="0" t="0" r="0" b="0"/>
            <wp:docPr id="2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7" cstate="print">
                      <a:extLst>
                        <a:ext uri="{28A0092B-C50C-407E-A947-70E740481C1C}">
                          <a14:useLocalDpi xmlns:a14="http://schemas.microsoft.com/office/drawing/2010/main" val="0"/>
                        </a:ext>
                      </a:extLst>
                    </a:blip>
                    <a:srcRect/>
                    <a:stretch>
                      <a:fillRect/>
                    </a:stretch>
                  </pic:blipFill>
                  <pic:spPr bwMode="auto">
                    <a:xfrm>
                      <a:off x="0" y="0"/>
                      <a:ext cx="1130935" cy="470535"/>
                    </a:xfrm>
                    <a:prstGeom prst="rect">
                      <a:avLst/>
                    </a:prstGeom>
                    <a:noFill/>
                    <a:ln>
                      <a:noFill/>
                    </a:ln>
                  </pic:spPr>
                </pic:pic>
              </a:graphicData>
            </a:graphic>
          </wp:inline>
        </w:drawing>
      </w:r>
      <w:r>
        <w:t>. (Е.5)</w:t>
      </w: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jc w:val="right"/>
        <w:outlineLvl w:val="0"/>
      </w:pPr>
      <w:r>
        <w:rPr>
          <w:b/>
        </w:rPr>
        <w:t>Приложение Ж</w:t>
      </w:r>
    </w:p>
    <w:p w:rsidR="00212513" w:rsidRDefault="00212513">
      <w:pPr>
        <w:pStyle w:val="ConsPlusNormal"/>
        <w:jc w:val="right"/>
      </w:pPr>
      <w:r>
        <w:rPr>
          <w:b/>
        </w:rPr>
        <w:t>(обязательное)</w:t>
      </w:r>
    </w:p>
    <w:p w:rsidR="00212513" w:rsidRDefault="00212513">
      <w:pPr>
        <w:pStyle w:val="ConsPlusNormal"/>
        <w:ind w:firstLine="540"/>
        <w:jc w:val="both"/>
      </w:pPr>
    </w:p>
    <w:p w:rsidR="00212513" w:rsidRDefault="00212513">
      <w:pPr>
        <w:pStyle w:val="ConsPlusTitle"/>
        <w:jc w:val="center"/>
      </w:pPr>
      <w:bookmarkStart w:id="488" w:name="P13191"/>
      <w:bookmarkEnd w:id="488"/>
      <w:r>
        <w:t>МЕТОДИКА ОПРЕДЕЛЕНИЯ КОЭФФИЦИЕНТА ВЕРТИКАЛЬНОГО ДАВЛЕНИЯ</w:t>
      </w:r>
    </w:p>
    <w:p w:rsidR="00212513" w:rsidRDefault="00212513">
      <w:pPr>
        <w:pStyle w:val="ConsPlusTitle"/>
        <w:jc w:val="center"/>
      </w:pPr>
      <w:r>
        <w:t>ГРУНТА ПРИ РАСЧЕТЕ ЗВЕНЬЕВ (СЕКЦИЙ) ТРУБ</w:t>
      </w:r>
    </w:p>
    <w:p w:rsidR="00212513" w:rsidRDefault="00212513">
      <w:pPr>
        <w:pStyle w:val="ConsPlusNormal"/>
        <w:ind w:firstLine="540"/>
        <w:jc w:val="both"/>
      </w:pPr>
    </w:p>
    <w:p w:rsidR="00212513" w:rsidRDefault="00212513">
      <w:pPr>
        <w:pStyle w:val="ConsPlusNormal"/>
        <w:ind w:firstLine="540"/>
        <w:jc w:val="both"/>
      </w:pPr>
      <w:r>
        <w:t xml:space="preserve">Ж.1 Коэффициент вертикального давления грунта для железобетонных и бетонных звеньев (секций) труб </w:t>
      </w:r>
      <w:r>
        <w:rPr>
          <w:noProof/>
          <w:position w:val="-8"/>
        </w:rPr>
        <w:drawing>
          <wp:inline distT="0" distB="0" distL="0" distR="0">
            <wp:extent cx="209550" cy="251460"/>
            <wp:effectExtent l="0" t="0" r="0" b="0"/>
            <wp:docPr id="2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следует определять по формулам:</w:t>
      </w:r>
    </w:p>
    <w:p w:rsidR="00212513" w:rsidRDefault="00212513">
      <w:pPr>
        <w:pStyle w:val="ConsPlusNormal"/>
        <w:ind w:firstLine="540"/>
        <w:jc w:val="both"/>
      </w:pPr>
    </w:p>
    <w:p w:rsidR="00212513" w:rsidRDefault="00212513">
      <w:pPr>
        <w:pStyle w:val="ConsPlusNormal"/>
        <w:jc w:val="center"/>
      </w:pPr>
      <w:r>
        <w:rPr>
          <w:noProof/>
          <w:position w:val="-26"/>
        </w:rPr>
        <w:drawing>
          <wp:inline distT="0" distB="0" distL="0" distR="0">
            <wp:extent cx="1871980" cy="470535"/>
            <wp:effectExtent l="0" t="0" r="0" b="0"/>
            <wp:docPr id="2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9" cstate="print">
                      <a:extLst>
                        <a:ext uri="{28A0092B-C50C-407E-A947-70E740481C1C}">
                          <a14:useLocalDpi xmlns:a14="http://schemas.microsoft.com/office/drawing/2010/main" val="0"/>
                        </a:ext>
                      </a:extLst>
                    </a:blip>
                    <a:srcRect/>
                    <a:stretch>
                      <a:fillRect/>
                    </a:stretch>
                  </pic:blipFill>
                  <pic:spPr bwMode="auto">
                    <a:xfrm>
                      <a:off x="0" y="0"/>
                      <a:ext cx="1871980" cy="470535"/>
                    </a:xfrm>
                    <a:prstGeom prst="rect">
                      <a:avLst/>
                    </a:prstGeom>
                    <a:noFill/>
                    <a:ln>
                      <a:noFill/>
                    </a:ln>
                  </pic:spPr>
                </pic:pic>
              </a:graphicData>
            </a:graphic>
          </wp:inline>
        </w:drawing>
      </w:r>
      <w:r>
        <w:t>; (Ж.1)</w:t>
      </w:r>
    </w:p>
    <w:p w:rsidR="00212513" w:rsidRDefault="00212513">
      <w:pPr>
        <w:pStyle w:val="ConsPlusNormal"/>
        <w:ind w:firstLine="540"/>
        <w:jc w:val="both"/>
      </w:pPr>
    </w:p>
    <w:p w:rsidR="00212513" w:rsidRDefault="00212513">
      <w:pPr>
        <w:pStyle w:val="ConsPlusNormal"/>
        <w:jc w:val="center"/>
      </w:pPr>
      <w:r>
        <w:rPr>
          <w:noProof/>
          <w:position w:val="-26"/>
        </w:rPr>
        <w:drawing>
          <wp:inline distT="0" distB="0" distL="0" distR="0">
            <wp:extent cx="1113790" cy="470535"/>
            <wp:effectExtent l="0" t="0" r="0" b="0"/>
            <wp:docPr id="2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0" cstate="print">
                      <a:extLst>
                        <a:ext uri="{28A0092B-C50C-407E-A947-70E740481C1C}">
                          <a14:useLocalDpi xmlns:a14="http://schemas.microsoft.com/office/drawing/2010/main" val="0"/>
                        </a:ext>
                      </a:extLst>
                    </a:blip>
                    <a:srcRect/>
                    <a:stretch>
                      <a:fillRect/>
                    </a:stretch>
                  </pic:blipFill>
                  <pic:spPr bwMode="auto">
                    <a:xfrm>
                      <a:off x="0" y="0"/>
                      <a:ext cx="1113790" cy="470535"/>
                    </a:xfrm>
                    <a:prstGeom prst="rect">
                      <a:avLst/>
                    </a:prstGeom>
                    <a:noFill/>
                    <a:ln>
                      <a:noFill/>
                    </a:ln>
                  </pic:spPr>
                </pic:pic>
              </a:graphicData>
            </a:graphic>
          </wp:inline>
        </w:drawing>
      </w:r>
      <w:r>
        <w:t>, (Ж.2)</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8"/>
        </w:rPr>
        <w:drawing>
          <wp:inline distT="0" distB="0" distL="0" distR="0">
            <wp:extent cx="198755" cy="250825"/>
            <wp:effectExtent l="0" t="0" r="0" b="0"/>
            <wp:docPr id="2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1"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 нормативный угол внутреннего трения грунта засыпки трубы;</w:t>
      </w:r>
    </w:p>
    <w:p w:rsidR="00212513" w:rsidRDefault="00212513">
      <w:pPr>
        <w:pStyle w:val="ConsPlusNormal"/>
        <w:spacing w:before="220"/>
        <w:ind w:firstLine="540"/>
        <w:jc w:val="both"/>
      </w:pPr>
      <w:r>
        <w:rPr>
          <w:noProof/>
          <w:position w:val="-8"/>
        </w:rPr>
        <w:drawing>
          <wp:inline distT="0" distB="0" distL="0" distR="0">
            <wp:extent cx="177800" cy="251460"/>
            <wp:effectExtent l="0" t="0" r="0" b="0"/>
            <wp:docPr id="2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2"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коэффициент нормативного горизонтального (бокового) давления грунта засыпки, определяемый по </w:t>
      </w:r>
      <w:hyperlink w:anchor="P1052">
        <w:r>
          <w:rPr>
            <w:color w:val="0000FF"/>
          </w:rPr>
          <w:t>формуле (6.4)</w:t>
        </w:r>
      </w:hyperlink>
      <w:r>
        <w:t xml:space="preserve"> в </w:t>
      </w:r>
      <w:hyperlink w:anchor="P1033">
        <w:r>
          <w:rPr>
            <w:color w:val="0000FF"/>
          </w:rPr>
          <w:t>6.6</w:t>
        </w:r>
      </w:hyperlink>
      <w:r>
        <w:t>;</w:t>
      </w:r>
    </w:p>
    <w:p w:rsidR="00212513" w:rsidRDefault="00212513">
      <w:pPr>
        <w:pStyle w:val="ConsPlusNormal"/>
        <w:spacing w:before="220"/>
        <w:ind w:firstLine="540"/>
        <w:jc w:val="both"/>
      </w:pPr>
      <w:r>
        <w:rPr>
          <w:i/>
        </w:rPr>
        <w:t>d</w:t>
      </w:r>
      <w:r>
        <w:t xml:space="preserve"> - диаметр (ширина) звена (секции) по внешнему контуру, м;</w:t>
      </w:r>
    </w:p>
    <w:p w:rsidR="00212513" w:rsidRDefault="00212513">
      <w:pPr>
        <w:pStyle w:val="ConsPlusNormal"/>
        <w:spacing w:before="220"/>
        <w:ind w:firstLine="540"/>
        <w:jc w:val="both"/>
      </w:pPr>
      <w:r>
        <w:rPr>
          <w:i/>
        </w:rPr>
        <w:t>h</w:t>
      </w:r>
      <w:r>
        <w:t xml:space="preserve"> - высота засыпки при определении вертикального давления по </w:t>
      </w:r>
      <w:hyperlink w:anchor="P1041">
        <w:r>
          <w:rPr>
            <w:color w:val="0000FF"/>
          </w:rPr>
          <w:t>формуле (6.2)</w:t>
        </w:r>
      </w:hyperlink>
      <w:r>
        <w:t xml:space="preserve"> в </w:t>
      </w:r>
      <w:hyperlink w:anchor="P1033">
        <w:r>
          <w:rPr>
            <w:color w:val="0000FF"/>
          </w:rPr>
          <w:t>6.6</w:t>
        </w:r>
      </w:hyperlink>
      <w:r>
        <w:t xml:space="preserve">, считая от подошвы рельсов или верха дорожного покрытия до верха звена (секции), м; при определении горизонтального (бокового) давления по </w:t>
      </w:r>
      <w:hyperlink w:anchor="P1045">
        <w:r>
          <w:rPr>
            <w:color w:val="0000FF"/>
          </w:rPr>
          <w:t>формуле (6.3)</w:t>
        </w:r>
      </w:hyperlink>
      <w:r>
        <w:t xml:space="preserve"> в </w:t>
      </w:r>
      <w:hyperlink w:anchor="P1033">
        <w:r>
          <w:rPr>
            <w:color w:val="0000FF"/>
          </w:rPr>
          <w:t>6.6</w:t>
        </w:r>
      </w:hyperlink>
      <w:r>
        <w:t xml:space="preserve"> высоту засыпки </w:t>
      </w:r>
      <w:r>
        <w:rPr>
          <w:noProof/>
          <w:position w:val="-8"/>
        </w:rPr>
        <w:drawing>
          <wp:inline distT="0" distB="0" distL="0" distR="0">
            <wp:extent cx="177800" cy="251460"/>
            <wp:effectExtent l="0" t="0" r="0" b="0"/>
            <wp:docPr id="2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3"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следует принимать до середины высоты звеньев (секций) трубы;</w:t>
      </w:r>
    </w:p>
    <w:p w:rsidR="00212513" w:rsidRDefault="00212513">
      <w:pPr>
        <w:pStyle w:val="ConsPlusNormal"/>
        <w:spacing w:before="220"/>
        <w:ind w:firstLine="540"/>
        <w:jc w:val="both"/>
      </w:pPr>
      <w:r>
        <w:rPr>
          <w:i/>
        </w:rPr>
        <w:t>a</w:t>
      </w:r>
      <w:r>
        <w:t xml:space="preserve"> - расстояние от основания насыпи до верха звена (секции) трубы, м;</w:t>
      </w:r>
    </w:p>
    <w:p w:rsidR="00212513" w:rsidRDefault="00212513">
      <w:pPr>
        <w:pStyle w:val="ConsPlusNormal"/>
        <w:spacing w:before="220"/>
        <w:ind w:firstLine="540"/>
        <w:jc w:val="both"/>
      </w:pPr>
      <w:r>
        <w:rPr>
          <w:i/>
        </w:rPr>
        <w:t>s</w:t>
      </w:r>
      <w:r>
        <w:t xml:space="preserve"> - коэффициент, принимаемый равным при фундаментах:</w:t>
      </w:r>
    </w:p>
    <w:p w:rsidR="00212513" w:rsidRDefault="00212513">
      <w:pPr>
        <w:pStyle w:val="ConsPlusNormal"/>
        <w:spacing w:before="220"/>
        <w:ind w:firstLine="540"/>
        <w:jc w:val="both"/>
      </w:pPr>
      <w:r>
        <w:t>1,2 - неподатливых (на скальном основании или на сваях-стойках);</w:t>
      </w:r>
    </w:p>
    <w:p w:rsidR="00212513" w:rsidRDefault="00212513">
      <w:pPr>
        <w:pStyle w:val="ConsPlusNormal"/>
        <w:spacing w:before="220"/>
        <w:ind w:firstLine="540"/>
        <w:jc w:val="both"/>
      </w:pPr>
      <w:r>
        <w:t>1,1 - малоподатливых (на висячих сваях);</w:t>
      </w:r>
    </w:p>
    <w:p w:rsidR="00212513" w:rsidRDefault="00212513">
      <w:pPr>
        <w:pStyle w:val="ConsPlusNormal"/>
        <w:spacing w:before="220"/>
        <w:ind w:firstLine="540"/>
        <w:jc w:val="both"/>
      </w:pPr>
      <w:r>
        <w:t>1,0 - массивных мелкого заложения и грунтовых (нескальных) основаниях.</w:t>
      </w:r>
    </w:p>
    <w:p w:rsidR="00212513" w:rsidRDefault="00212513">
      <w:pPr>
        <w:pStyle w:val="ConsPlusNormal"/>
        <w:spacing w:before="220"/>
        <w:ind w:firstLine="540"/>
        <w:jc w:val="both"/>
      </w:pPr>
      <w:r>
        <w:t xml:space="preserve">Если </w:t>
      </w:r>
      <w:r>
        <w:rPr>
          <w:i/>
        </w:rPr>
        <w:t>B</w:t>
      </w:r>
      <w:r>
        <w:t xml:space="preserve"> &gt; </w:t>
      </w:r>
      <w:r>
        <w:rPr>
          <w:i/>
        </w:rPr>
        <w:t>h</w:t>
      </w:r>
      <w:r>
        <w:t>/</w:t>
      </w:r>
      <w:r>
        <w:rPr>
          <w:i/>
        </w:rPr>
        <w:t>d</w:t>
      </w:r>
      <w:r>
        <w:t xml:space="preserve">, то следует принимать </w:t>
      </w:r>
      <w:r>
        <w:rPr>
          <w:i/>
        </w:rPr>
        <w:t>B</w:t>
      </w:r>
      <w:r>
        <w:t xml:space="preserve"> = </w:t>
      </w:r>
      <w:r>
        <w:rPr>
          <w:i/>
        </w:rPr>
        <w:t>h</w:t>
      </w:r>
      <w:r>
        <w:t>/</w:t>
      </w:r>
      <w:r>
        <w:rPr>
          <w:i/>
        </w:rPr>
        <w:t>d</w:t>
      </w:r>
      <w:r>
        <w:t>.</w:t>
      </w:r>
    </w:p>
    <w:p w:rsidR="00212513" w:rsidRDefault="00212513">
      <w:pPr>
        <w:pStyle w:val="ConsPlusNormal"/>
        <w:spacing w:before="220"/>
        <w:ind w:firstLine="540"/>
        <w:jc w:val="both"/>
      </w:pPr>
      <w:r>
        <w:t>Коэффициент вертикального давления грунта для многоочковых круглых водопропускных труб допускается вычислять по формуле</w:t>
      </w:r>
    </w:p>
    <w:p w:rsidR="00212513" w:rsidRDefault="00212513">
      <w:pPr>
        <w:pStyle w:val="ConsPlusNormal"/>
        <w:ind w:firstLine="540"/>
        <w:jc w:val="both"/>
      </w:pPr>
    </w:p>
    <w:p w:rsidR="00212513" w:rsidRDefault="00212513">
      <w:pPr>
        <w:pStyle w:val="ConsPlusNormal"/>
        <w:jc w:val="center"/>
      </w:pPr>
      <w:r>
        <w:rPr>
          <w:noProof/>
          <w:position w:val="-9"/>
        </w:rPr>
        <w:drawing>
          <wp:inline distT="0" distB="0" distL="0" distR="0">
            <wp:extent cx="691515" cy="262890"/>
            <wp:effectExtent l="0" t="0" r="0" b="0"/>
            <wp:docPr id="2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4" cstate="print">
                      <a:extLst>
                        <a:ext uri="{28A0092B-C50C-407E-A947-70E740481C1C}">
                          <a14:useLocalDpi xmlns:a14="http://schemas.microsoft.com/office/drawing/2010/main" val="0"/>
                        </a:ext>
                      </a:extLst>
                    </a:blip>
                    <a:srcRect/>
                    <a:stretch>
                      <a:fillRect/>
                    </a:stretch>
                  </pic:blipFill>
                  <pic:spPr bwMode="auto">
                    <a:xfrm>
                      <a:off x="0" y="0"/>
                      <a:ext cx="691515" cy="262890"/>
                    </a:xfrm>
                    <a:prstGeom prst="rect">
                      <a:avLst/>
                    </a:prstGeom>
                    <a:noFill/>
                    <a:ln>
                      <a:noFill/>
                    </a:ln>
                  </pic:spPr>
                </pic:pic>
              </a:graphicData>
            </a:graphic>
          </wp:inline>
        </w:drawing>
      </w:r>
      <w:r>
        <w:t>, (Ж.3)</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9"/>
        </w:rPr>
        <w:drawing>
          <wp:inline distT="0" distB="0" distL="0" distR="0">
            <wp:extent cx="2291080" cy="262890"/>
            <wp:effectExtent l="0" t="0" r="0" b="0"/>
            <wp:docPr id="2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5" cstate="print">
                      <a:extLst>
                        <a:ext uri="{28A0092B-C50C-407E-A947-70E740481C1C}">
                          <a14:useLocalDpi xmlns:a14="http://schemas.microsoft.com/office/drawing/2010/main" val="0"/>
                        </a:ext>
                      </a:extLst>
                    </a:blip>
                    <a:srcRect/>
                    <a:stretch>
                      <a:fillRect/>
                    </a:stretch>
                  </pic:blipFill>
                  <pic:spPr bwMode="auto">
                    <a:xfrm>
                      <a:off x="0" y="0"/>
                      <a:ext cx="2291080" cy="262890"/>
                    </a:xfrm>
                    <a:prstGeom prst="rect">
                      <a:avLst/>
                    </a:prstGeom>
                    <a:noFill/>
                    <a:ln>
                      <a:noFill/>
                    </a:ln>
                  </pic:spPr>
                </pic:pic>
              </a:graphicData>
            </a:graphic>
          </wp:inline>
        </w:drawing>
      </w:r>
      <w:r>
        <w:t xml:space="preserve">, но не более 1 (здесь </w:t>
      </w:r>
      <w:r>
        <w:rPr>
          <w:i/>
        </w:rPr>
        <w:t>l</w:t>
      </w:r>
      <w:r>
        <w:t xml:space="preserve"> - расстояние в свету между очками труб).</w:t>
      </w:r>
    </w:p>
    <w:p w:rsidR="00212513" w:rsidRDefault="00212513">
      <w:pPr>
        <w:pStyle w:val="ConsPlusNormal"/>
        <w:spacing w:before="220"/>
        <w:ind w:firstLine="540"/>
        <w:jc w:val="both"/>
      </w:pPr>
      <w:r>
        <w:t xml:space="preserve">При подсыпке насыпей, в которых со временем произошло естественное уплотнение грунта засыпки и физическое состояние конструкций трубы является удовлетворительным, допускается при определении нормативного давления на трубу от собственного веса грунта принимать независимо от податливости основания безразмерный коэффициент </w:t>
      </w:r>
      <w:r>
        <w:rPr>
          <w:i/>
        </w:rPr>
        <w:t>C</w:t>
      </w:r>
      <w:r>
        <w:t xml:space="preserve"> равным 1.</w:t>
      </w:r>
    </w:p>
    <w:p w:rsidR="00212513" w:rsidRDefault="00212513">
      <w:pPr>
        <w:pStyle w:val="ConsPlusNormal"/>
        <w:spacing w:before="220"/>
        <w:ind w:firstLine="540"/>
        <w:jc w:val="both"/>
      </w:pPr>
      <w:r>
        <w:t xml:space="preserve">Ж.2 При расчете гибких (из гофрированного металла и др.) звеньев (секций) труб и при определении давления на грунтовые (нескальные) основания коэффициент </w:t>
      </w:r>
      <w:r>
        <w:rPr>
          <w:noProof/>
          <w:position w:val="-8"/>
        </w:rPr>
        <w:drawing>
          <wp:inline distT="0" distB="0" distL="0" distR="0">
            <wp:extent cx="209550" cy="251460"/>
            <wp:effectExtent l="0" t="0" r="0" b="0"/>
            <wp:docPr id="2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следует принимать равным единице.</w:t>
      </w: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jc w:val="right"/>
        <w:outlineLvl w:val="0"/>
      </w:pPr>
      <w:r>
        <w:rPr>
          <w:b/>
        </w:rPr>
        <w:t>Приложение К</w:t>
      </w:r>
    </w:p>
    <w:p w:rsidR="00212513" w:rsidRDefault="00212513">
      <w:pPr>
        <w:pStyle w:val="ConsPlusNormal"/>
        <w:jc w:val="right"/>
      </w:pPr>
      <w:r>
        <w:rPr>
          <w:b/>
        </w:rPr>
        <w:t>(обязательное)</w:t>
      </w:r>
    </w:p>
    <w:p w:rsidR="00212513" w:rsidRDefault="00212513">
      <w:pPr>
        <w:pStyle w:val="ConsPlusNormal"/>
        <w:ind w:firstLine="540"/>
        <w:jc w:val="both"/>
      </w:pPr>
    </w:p>
    <w:p w:rsidR="00212513" w:rsidRDefault="00212513">
      <w:pPr>
        <w:pStyle w:val="ConsPlusTitle"/>
        <w:jc w:val="center"/>
      </w:pPr>
      <w:bookmarkStart w:id="489" w:name="P13225"/>
      <w:bookmarkEnd w:id="489"/>
      <w:r>
        <w:t>НОРМАТИВНАЯ ВРЕМЕННАЯ ВЕРТИКАЛЬНАЯ НАГРУЗКА СК</w:t>
      </w:r>
    </w:p>
    <w:p w:rsidR="00212513" w:rsidRDefault="00212513">
      <w:pPr>
        <w:pStyle w:val="ConsPlusTitle"/>
        <w:jc w:val="center"/>
      </w:pPr>
      <w:r>
        <w:t>ОТ ЖЕЛЕЗНОДОРОЖНОГО ПОДВИЖНОГО СОСТАВА И ПРАВИЛА</w:t>
      </w:r>
    </w:p>
    <w:p w:rsidR="00212513" w:rsidRDefault="00212513">
      <w:pPr>
        <w:pStyle w:val="ConsPlusTitle"/>
        <w:jc w:val="center"/>
      </w:pPr>
      <w:r>
        <w:t>ЗАГРУЖЕНИЯ ЕЮ ЛИНИЙ ВЛИЯНИЯ</w:t>
      </w:r>
    </w:p>
    <w:p w:rsidR="00212513" w:rsidRDefault="00212513">
      <w:pPr>
        <w:pStyle w:val="ConsPlusNormal"/>
        <w:ind w:firstLine="540"/>
        <w:jc w:val="both"/>
      </w:pPr>
    </w:p>
    <w:p w:rsidR="00212513" w:rsidRDefault="00212513">
      <w:pPr>
        <w:pStyle w:val="ConsPlusNormal"/>
        <w:ind w:firstLine="540"/>
        <w:jc w:val="both"/>
      </w:pPr>
      <w:r>
        <w:t xml:space="preserve">К.1 Величины нормативных эквивалентных нагрузок </w:t>
      </w:r>
      <w:r>
        <w:rPr>
          <w:noProof/>
          <w:position w:val="-1"/>
        </w:rPr>
        <w:drawing>
          <wp:inline distT="0" distB="0" distL="0" distR="0">
            <wp:extent cx="136525" cy="157480"/>
            <wp:effectExtent l="0" t="0" r="0" b="0"/>
            <wp:docPr id="2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7">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для загружения однозначных и отдельных участков двузначных линий влияния приведены в таблице К.1.</w:t>
      </w:r>
    </w:p>
    <w:p w:rsidR="00212513" w:rsidRDefault="00212513">
      <w:pPr>
        <w:pStyle w:val="ConsPlusNormal"/>
        <w:ind w:firstLine="540"/>
        <w:jc w:val="both"/>
      </w:pPr>
    </w:p>
    <w:p w:rsidR="00212513" w:rsidRDefault="00212513">
      <w:pPr>
        <w:pStyle w:val="ConsPlusNormal"/>
        <w:jc w:val="right"/>
      </w:pPr>
      <w:bookmarkStart w:id="490" w:name="P13231"/>
      <w:bookmarkEnd w:id="490"/>
      <w:r>
        <w:t>Таблица К.1</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71"/>
        <w:gridCol w:w="1791"/>
        <w:gridCol w:w="1791"/>
        <w:gridCol w:w="1791"/>
        <w:gridCol w:w="1794"/>
      </w:tblGrid>
      <w:tr w:rsidR="00212513">
        <w:tc>
          <w:tcPr>
            <w:tcW w:w="1871" w:type="dxa"/>
            <w:vMerge w:val="restart"/>
            <w:tcBorders>
              <w:top w:val="single" w:sz="4" w:space="0" w:color="auto"/>
              <w:bottom w:val="single" w:sz="4" w:space="0" w:color="auto"/>
            </w:tcBorders>
            <w:vAlign w:val="center"/>
          </w:tcPr>
          <w:p w:rsidR="00212513" w:rsidRDefault="00212513">
            <w:pPr>
              <w:pStyle w:val="ConsPlusNormal"/>
              <w:jc w:val="center"/>
            </w:pPr>
            <w:r>
              <w:t xml:space="preserve">Длина загружения </w:t>
            </w:r>
            <w:r>
              <w:rPr>
                <w:noProof/>
                <w:position w:val="-4"/>
              </w:rPr>
              <w:drawing>
                <wp:inline distT="0" distB="0" distL="0" distR="0">
                  <wp:extent cx="157480" cy="199390"/>
                  <wp:effectExtent l="0" t="0" r="0" b="0"/>
                  <wp:docPr id="2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8"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r>
              <w:t>, м</w:t>
            </w:r>
          </w:p>
        </w:tc>
        <w:tc>
          <w:tcPr>
            <w:tcW w:w="7167" w:type="dxa"/>
            <w:gridSpan w:val="4"/>
            <w:tcBorders>
              <w:top w:val="single" w:sz="4" w:space="0" w:color="auto"/>
              <w:bottom w:val="single" w:sz="4" w:space="0" w:color="auto"/>
            </w:tcBorders>
            <w:vAlign w:val="center"/>
          </w:tcPr>
          <w:p w:rsidR="00212513" w:rsidRDefault="00212513">
            <w:pPr>
              <w:pStyle w:val="ConsPlusNormal"/>
              <w:jc w:val="center"/>
            </w:pPr>
            <w:r>
              <w:t xml:space="preserve">Интенсивность эквивалентной нагрузки </w:t>
            </w:r>
            <w:r>
              <w:rPr>
                <w:noProof/>
                <w:position w:val="-1"/>
              </w:rPr>
              <w:drawing>
                <wp:inline distT="0" distB="0" distL="0" distR="0">
                  <wp:extent cx="136525" cy="157480"/>
                  <wp:effectExtent l="0" t="0" r="0" b="0"/>
                  <wp:docPr id="2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9"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кН/м пути, при</w:t>
            </w:r>
          </w:p>
        </w:tc>
      </w:tr>
      <w:tr w:rsidR="00212513">
        <w:tc>
          <w:tcPr>
            <w:tcW w:w="1871" w:type="dxa"/>
            <w:vMerge/>
            <w:tcBorders>
              <w:top w:val="single" w:sz="4" w:space="0" w:color="auto"/>
              <w:bottom w:val="single" w:sz="4" w:space="0" w:color="auto"/>
            </w:tcBorders>
          </w:tcPr>
          <w:p w:rsidR="00212513" w:rsidRDefault="00212513">
            <w:pPr>
              <w:pStyle w:val="ConsPlusNormal"/>
            </w:pPr>
          </w:p>
        </w:tc>
        <w:tc>
          <w:tcPr>
            <w:tcW w:w="3582" w:type="dxa"/>
            <w:gridSpan w:val="2"/>
            <w:tcBorders>
              <w:top w:val="single" w:sz="4" w:space="0" w:color="auto"/>
              <w:bottom w:val="single" w:sz="4" w:space="0" w:color="auto"/>
            </w:tcBorders>
            <w:vAlign w:val="center"/>
          </w:tcPr>
          <w:p w:rsidR="00212513" w:rsidRDefault="00212513">
            <w:pPr>
              <w:pStyle w:val="ConsPlusNormal"/>
              <w:jc w:val="center"/>
            </w:pPr>
            <w:r>
              <w:t>К = 1</w:t>
            </w:r>
          </w:p>
        </w:tc>
        <w:tc>
          <w:tcPr>
            <w:tcW w:w="3585" w:type="dxa"/>
            <w:gridSpan w:val="2"/>
            <w:tcBorders>
              <w:top w:val="single" w:sz="4" w:space="0" w:color="auto"/>
              <w:bottom w:val="single" w:sz="4" w:space="0" w:color="auto"/>
            </w:tcBorders>
            <w:vAlign w:val="center"/>
          </w:tcPr>
          <w:p w:rsidR="00212513" w:rsidRDefault="00212513">
            <w:pPr>
              <w:pStyle w:val="ConsPlusNormal"/>
              <w:jc w:val="center"/>
            </w:pPr>
            <w:r>
              <w:t>К = 14</w:t>
            </w:r>
          </w:p>
        </w:tc>
      </w:tr>
      <w:tr w:rsidR="00212513">
        <w:tc>
          <w:tcPr>
            <w:tcW w:w="1871" w:type="dxa"/>
            <w:vMerge/>
            <w:tcBorders>
              <w:top w:val="single" w:sz="4" w:space="0" w:color="auto"/>
              <w:bottom w:val="single" w:sz="4" w:space="0" w:color="auto"/>
            </w:tcBorders>
          </w:tcPr>
          <w:p w:rsidR="00212513" w:rsidRDefault="00212513">
            <w:pPr>
              <w:pStyle w:val="ConsPlusNormal"/>
            </w:pPr>
          </w:p>
        </w:tc>
        <w:tc>
          <w:tcPr>
            <w:tcW w:w="1791" w:type="dxa"/>
            <w:tcBorders>
              <w:top w:val="single" w:sz="4" w:space="0" w:color="auto"/>
              <w:bottom w:val="single" w:sz="4" w:space="0" w:color="auto"/>
            </w:tcBorders>
            <w:vAlign w:val="center"/>
          </w:tcPr>
          <w:p w:rsidR="00212513" w:rsidRDefault="00212513">
            <w:pPr>
              <w:pStyle w:val="ConsPlusNormal"/>
              <w:jc w:val="center"/>
            </w:pPr>
            <w:r>
              <w:rPr>
                <w:noProof/>
                <w:position w:val="-4"/>
              </w:rPr>
              <w:drawing>
                <wp:inline distT="0" distB="0" distL="0" distR="0">
                  <wp:extent cx="419100" cy="199390"/>
                  <wp:effectExtent l="0" t="0" r="0" b="0"/>
                  <wp:docPr id="2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0"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p>
        </w:tc>
        <w:tc>
          <w:tcPr>
            <w:tcW w:w="1791" w:type="dxa"/>
            <w:tcBorders>
              <w:top w:val="single" w:sz="4" w:space="0" w:color="auto"/>
              <w:bottom w:val="single" w:sz="4" w:space="0" w:color="auto"/>
            </w:tcBorders>
            <w:vAlign w:val="center"/>
          </w:tcPr>
          <w:p w:rsidR="00212513" w:rsidRDefault="00212513">
            <w:pPr>
              <w:pStyle w:val="ConsPlusNormal"/>
              <w:jc w:val="center"/>
            </w:pPr>
            <w:r>
              <w:rPr>
                <w:noProof/>
                <w:position w:val="-6"/>
              </w:rPr>
              <w:drawing>
                <wp:inline distT="0" distB="0" distL="0" distR="0">
                  <wp:extent cx="544830" cy="220345"/>
                  <wp:effectExtent l="0" t="0" r="0" b="0"/>
                  <wp:docPr id="2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1"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p>
        </w:tc>
        <w:tc>
          <w:tcPr>
            <w:tcW w:w="1791" w:type="dxa"/>
            <w:tcBorders>
              <w:top w:val="single" w:sz="4" w:space="0" w:color="auto"/>
              <w:bottom w:val="single" w:sz="4" w:space="0" w:color="auto"/>
            </w:tcBorders>
            <w:vAlign w:val="center"/>
          </w:tcPr>
          <w:p w:rsidR="00212513" w:rsidRDefault="00212513">
            <w:pPr>
              <w:pStyle w:val="ConsPlusNormal"/>
              <w:jc w:val="center"/>
            </w:pPr>
            <w:r>
              <w:rPr>
                <w:noProof/>
                <w:position w:val="-4"/>
              </w:rPr>
              <w:drawing>
                <wp:inline distT="0" distB="0" distL="0" distR="0">
                  <wp:extent cx="419100" cy="199390"/>
                  <wp:effectExtent l="0" t="0" r="0" b="0"/>
                  <wp:docPr id="2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0"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p>
        </w:tc>
        <w:tc>
          <w:tcPr>
            <w:tcW w:w="1794" w:type="dxa"/>
            <w:tcBorders>
              <w:top w:val="single" w:sz="4" w:space="0" w:color="auto"/>
              <w:bottom w:val="single" w:sz="4" w:space="0" w:color="auto"/>
            </w:tcBorders>
            <w:vAlign w:val="center"/>
          </w:tcPr>
          <w:p w:rsidR="00212513" w:rsidRDefault="00212513">
            <w:pPr>
              <w:pStyle w:val="ConsPlusNormal"/>
              <w:jc w:val="center"/>
            </w:pPr>
            <w:r>
              <w:rPr>
                <w:noProof/>
                <w:position w:val="-6"/>
              </w:rPr>
              <w:drawing>
                <wp:inline distT="0" distB="0" distL="0" distR="0">
                  <wp:extent cx="544830" cy="220345"/>
                  <wp:effectExtent l="0" t="0" r="0" b="0"/>
                  <wp:docPr id="2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1"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p>
        </w:tc>
      </w:tr>
      <w:tr w:rsidR="00212513">
        <w:tblPrEx>
          <w:tblBorders>
            <w:insideH w:val="none" w:sz="0" w:space="0" w:color="auto"/>
          </w:tblBorders>
        </w:tblPrEx>
        <w:tc>
          <w:tcPr>
            <w:tcW w:w="1871" w:type="dxa"/>
            <w:tcBorders>
              <w:top w:val="single" w:sz="4" w:space="0" w:color="auto"/>
              <w:bottom w:val="nil"/>
            </w:tcBorders>
          </w:tcPr>
          <w:p w:rsidR="00212513" w:rsidRDefault="00212513">
            <w:pPr>
              <w:pStyle w:val="ConsPlusNormal"/>
              <w:jc w:val="center"/>
            </w:pPr>
            <w:r>
              <w:t>1</w:t>
            </w:r>
          </w:p>
        </w:tc>
        <w:tc>
          <w:tcPr>
            <w:tcW w:w="1791" w:type="dxa"/>
            <w:tcBorders>
              <w:top w:val="single" w:sz="4" w:space="0" w:color="auto"/>
              <w:bottom w:val="nil"/>
            </w:tcBorders>
          </w:tcPr>
          <w:p w:rsidR="00212513" w:rsidRDefault="00212513">
            <w:pPr>
              <w:pStyle w:val="ConsPlusNormal"/>
              <w:jc w:val="center"/>
            </w:pPr>
            <w:r>
              <w:t>49,03</w:t>
            </w:r>
          </w:p>
        </w:tc>
        <w:tc>
          <w:tcPr>
            <w:tcW w:w="1791" w:type="dxa"/>
            <w:tcBorders>
              <w:top w:val="single" w:sz="4" w:space="0" w:color="auto"/>
              <w:bottom w:val="nil"/>
            </w:tcBorders>
          </w:tcPr>
          <w:p w:rsidR="00212513" w:rsidRDefault="00212513">
            <w:pPr>
              <w:pStyle w:val="ConsPlusNormal"/>
              <w:jc w:val="center"/>
            </w:pPr>
            <w:r>
              <w:t>49,03</w:t>
            </w:r>
          </w:p>
        </w:tc>
        <w:tc>
          <w:tcPr>
            <w:tcW w:w="1791" w:type="dxa"/>
            <w:tcBorders>
              <w:top w:val="single" w:sz="4" w:space="0" w:color="auto"/>
              <w:bottom w:val="nil"/>
            </w:tcBorders>
          </w:tcPr>
          <w:p w:rsidR="00212513" w:rsidRDefault="00212513">
            <w:pPr>
              <w:pStyle w:val="ConsPlusNormal"/>
              <w:jc w:val="center"/>
            </w:pPr>
            <w:r>
              <w:t>686,5</w:t>
            </w:r>
          </w:p>
        </w:tc>
        <w:tc>
          <w:tcPr>
            <w:tcW w:w="1794" w:type="dxa"/>
            <w:tcBorders>
              <w:top w:val="single" w:sz="4" w:space="0" w:color="auto"/>
              <w:bottom w:val="nil"/>
            </w:tcBorders>
          </w:tcPr>
          <w:p w:rsidR="00212513" w:rsidRDefault="00212513">
            <w:pPr>
              <w:pStyle w:val="ConsPlusNormal"/>
              <w:jc w:val="center"/>
            </w:pPr>
            <w:r>
              <w:t>686,5</w:t>
            </w:r>
          </w:p>
        </w:tc>
      </w:tr>
      <w:tr w:rsidR="00212513">
        <w:tblPrEx>
          <w:tblBorders>
            <w:insideH w:val="none" w:sz="0" w:space="0" w:color="auto"/>
          </w:tblBorders>
        </w:tblPrEx>
        <w:tc>
          <w:tcPr>
            <w:tcW w:w="1871" w:type="dxa"/>
            <w:tcBorders>
              <w:top w:val="nil"/>
              <w:bottom w:val="nil"/>
            </w:tcBorders>
          </w:tcPr>
          <w:p w:rsidR="00212513" w:rsidRDefault="00212513">
            <w:pPr>
              <w:pStyle w:val="ConsPlusNormal"/>
              <w:jc w:val="center"/>
            </w:pPr>
            <w:r>
              <w:t>1,5</w:t>
            </w:r>
          </w:p>
        </w:tc>
        <w:tc>
          <w:tcPr>
            <w:tcW w:w="1791" w:type="dxa"/>
            <w:tcBorders>
              <w:top w:val="nil"/>
              <w:bottom w:val="nil"/>
            </w:tcBorders>
          </w:tcPr>
          <w:p w:rsidR="00212513" w:rsidRDefault="00212513">
            <w:pPr>
              <w:pStyle w:val="ConsPlusNormal"/>
              <w:jc w:val="center"/>
            </w:pPr>
            <w:r>
              <w:t>39,15</w:t>
            </w:r>
          </w:p>
        </w:tc>
        <w:tc>
          <w:tcPr>
            <w:tcW w:w="1791" w:type="dxa"/>
            <w:tcBorders>
              <w:top w:val="nil"/>
              <w:bottom w:val="nil"/>
            </w:tcBorders>
          </w:tcPr>
          <w:p w:rsidR="00212513" w:rsidRDefault="00212513">
            <w:pPr>
              <w:pStyle w:val="ConsPlusNormal"/>
              <w:jc w:val="center"/>
            </w:pPr>
            <w:r>
              <w:t>34,25</w:t>
            </w:r>
          </w:p>
        </w:tc>
        <w:tc>
          <w:tcPr>
            <w:tcW w:w="1791" w:type="dxa"/>
            <w:tcBorders>
              <w:top w:val="nil"/>
              <w:bottom w:val="nil"/>
            </w:tcBorders>
          </w:tcPr>
          <w:p w:rsidR="00212513" w:rsidRDefault="00212513">
            <w:pPr>
              <w:pStyle w:val="ConsPlusNormal"/>
              <w:jc w:val="center"/>
            </w:pPr>
            <w:r>
              <w:t>548,1</w:t>
            </w:r>
          </w:p>
        </w:tc>
        <w:tc>
          <w:tcPr>
            <w:tcW w:w="1794" w:type="dxa"/>
            <w:tcBorders>
              <w:top w:val="nil"/>
              <w:bottom w:val="nil"/>
            </w:tcBorders>
          </w:tcPr>
          <w:p w:rsidR="00212513" w:rsidRDefault="00212513">
            <w:pPr>
              <w:pStyle w:val="ConsPlusNormal"/>
              <w:jc w:val="center"/>
            </w:pPr>
            <w:r>
              <w:t>479,5</w:t>
            </w:r>
          </w:p>
        </w:tc>
      </w:tr>
      <w:tr w:rsidR="00212513">
        <w:tblPrEx>
          <w:tblBorders>
            <w:insideH w:val="none" w:sz="0" w:space="0" w:color="auto"/>
          </w:tblBorders>
        </w:tblPrEx>
        <w:tc>
          <w:tcPr>
            <w:tcW w:w="1871" w:type="dxa"/>
            <w:tcBorders>
              <w:top w:val="nil"/>
              <w:bottom w:val="nil"/>
            </w:tcBorders>
          </w:tcPr>
          <w:p w:rsidR="00212513" w:rsidRDefault="00212513">
            <w:pPr>
              <w:pStyle w:val="ConsPlusNormal"/>
              <w:jc w:val="center"/>
            </w:pPr>
            <w:r>
              <w:t>2</w:t>
            </w:r>
          </w:p>
        </w:tc>
        <w:tc>
          <w:tcPr>
            <w:tcW w:w="1791" w:type="dxa"/>
            <w:tcBorders>
              <w:top w:val="nil"/>
              <w:bottom w:val="nil"/>
            </w:tcBorders>
          </w:tcPr>
          <w:p w:rsidR="00212513" w:rsidRDefault="00212513">
            <w:pPr>
              <w:pStyle w:val="ConsPlusNormal"/>
              <w:jc w:val="center"/>
            </w:pPr>
            <w:r>
              <w:t>30,55</w:t>
            </w:r>
          </w:p>
        </w:tc>
        <w:tc>
          <w:tcPr>
            <w:tcW w:w="1791" w:type="dxa"/>
            <w:tcBorders>
              <w:top w:val="nil"/>
              <w:bottom w:val="nil"/>
            </w:tcBorders>
          </w:tcPr>
          <w:p w:rsidR="00212513" w:rsidRDefault="00212513">
            <w:pPr>
              <w:pStyle w:val="ConsPlusNormal"/>
              <w:jc w:val="center"/>
            </w:pPr>
            <w:r>
              <w:t>26,73</w:t>
            </w:r>
          </w:p>
        </w:tc>
        <w:tc>
          <w:tcPr>
            <w:tcW w:w="1791" w:type="dxa"/>
            <w:tcBorders>
              <w:top w:val="nil"/>
              <w:bottom w:val="nil"/>
            </w:tcBorders>
          </w:tcPr>
          <w:p w:rsidR="00212513" w:rsidRDefault="00212513">
            <w:pPr>
              <w:pStyle w:val="ConsPlusNormal"/>
              <w:jc w:val="center"/>
            </w:pPr>
            <w:r>
              <w:t>427,7</w:t>
            </w:r>
          </w:p>
        </w:tc>
        <w:tc>
          <w:tcPr>
            <w:tcW w:w="1794" w:type="dxa"/>
            <w:tcBorders>
              <w:top w:val="nil"/>
              <w:bottom w:val="nil"/>
            </w:tcBorders>
          </w:tcPr>
          <w:p w:rsidR="00212513" w:rsidRDefault="00212513">
            <w:pPr>
              <w:pStyle w:val="ConsPlusNormal"/>
              <w:jc w:val="center"/>
            </w:pPr>
            <w:r>
              <w:t>374,2</w:t>
            </w:r>
          </w:p>
        </w:tc>
      </w:tr>
      <w:tr w:rsidR="00212513">
        <w:tblPrEx>
          <w:tblBorders>
            <w:insideH w:val="none" w:sz="0" w:space="0" w:color="auto"/>
          </w:tblBorders>
        </w:tblPrEx>
        <w:tc>
          <w:tcPr>
            <w:tcW w:w="1871" w:type="dxa"/>
            <w:tcBorders>
              <w:top w:val="nil"/>
              <w:bottom w:val="nil"/>
            </w:tcBorders>
          </w:tcPr>
          <w:p w:rsidR="00212513" w:rsidRDefault="00212513">
            <w:pPr>
              <w:pStyle w:val="ConsPlusNormal"/>
              <w:jc w:val="center"/>
            </w:pPr>
            <w:r>
              <w:t>3</w:t>
            </w:r>
          </w:p>
        </w:tc>
        <w:tc>
          <w:tcPr>
            <w:tcW w:w="1791" w:type="dxa"/>
            <w:tcBorders>
              <w:top w:val="nil"/>
              <w:bottom w:val="nil"/>
            </w:tcBorders>
          </w:tcPr>
          <w:p w:rsidR="00212513" w:rsidRDefault="00212513">
            <w:pPr>
              <w:pStyle w:val="ConsPlusNormal"/>
              <w:jc w:val="center"/>
            </w:pPr>
            <w:r>
              <w:t>24,16</w:t>
            </w:r>
          </w:p>
        </w:tc>
        <w:tc>
          <w:tcPr>
            <w:tcW w:w="1791" w:type="dxa"/>
            <w:tcBorders>
              <w:top w:val="nil"/>
              <w:bottom w:val="nil"/>
            </w:tcBorders>
          </w:tcPr>
          <w:p w:rsidR="00212513" w:rsidRDefault="00212513">
            <w:pPr>
              <w:pStyle w:val="ConsPlusNormal"/>
              <w:jc w:val="center"/>
            </w:pPr>
            <w:r>
              <w:t>21,14</w:t>
            </w:r>
          </w:p>
        </w:tc>
        <w:tc>
          <w:tcPr>
            <w:tcW w:w="1791" w:type="dxa"/>
            <w:tcBorders>
              <w:top w:val="nil"/>
              <w:bottom w:val="nil"/>
            </w:tcBorders>
          </w:tcPr>
          <w:p w:rsidR="00212513" w:rsidRDefault="00212513">
            <w:pPr>
              <w:pStyle w:val="ConsPlusNormal"/>
              <w:jc w:val="center"/>
            </w:pPr>
            <w:r>
              <w:t>338,3</w:t>
            </w:r>
          </w:p>
        </w:tc>
        <w:tc>
          <w:tcPr>
            <w:tcW w:w="1794" w:type="dxa"/>
            <w:tcBorders>
              <w:top w:val="nil"/>
              <w:bottom w:val="nil"/>
            </w:tcBorders>
          </w:tcPr>
          <w:p w:rsidR="00212513" w:rsidRDefault="00212513">
            <w:pPr>
              <w:pStyle w:val="ConsPlusNormal"/>
              <w:jc w:val="center"/>
            </w:pPr>
            <w:r>
              <w:t>296,0</w:t>
            </w:r>
          </w:p>
        </w:tc>
      </w:tr>
      <w:tr w:rsidR="00212513">
        <w:tblPrEx>
          <w:tblBorders>
            <w:insideH w:val="none" w:sz="0" w:space="0" w:color="auto"/>
          </w:tblBorders>
        </w:tblPrEx>
        <w:tc>
          <w:tcPr>
            <w:tcW w:w="1871" w:type="dxa"/>
            <w:tcBorders>
              <w:top w:val="nil"/>
              <w:bottom w:val="nil"/>
            </w:tcBorders>
          </w:tcPr>
          <w:p w:rsidR="00212513" w:rsidRDefault="00212513">
            <w:pPr>
              <w:pStyle w:val="ConsPlusNormal"/>
              <w:jc w:val="center"/>
            </w:pPr>
            <w:r>
              <w:t>4</w:t>
            </w:r>
          </w:p>
        </w:tc>
        <w:tc>
          <w:tcPr>
            <w:tcW w:w="1791" w:type="dxa"/>
            <w:tcBorders>
              <w:top w:val="nil"/>
              <w:bottom w:val="nil"/>
            </w:tcBorders>
          </w:tcPr>
          <w:p w:rsidR="00212513" w:rsidRDefault="00212513">
            <w:pPr>
              <w:pStyle w:val="ConsPlusNormal"/>
              <w:jc w:val="center"/>
            </w:pPr>
            <w:r>
              <w:t>21,69</w:t>
            </w:r>
          </w:p>
        </w:tc>
        <w:tc>
          <w:tcPr>
            <w:tcW w:w="1791" w:type="dxa"/>
            <w:tcBorders>
              <w:top w:val="nil"/>
              <w:bottom w:val="nil"/>
            </w:tcBorders>
          </w:tcPr>
          <w:p w:rsidR="00212513" w:rsidRDefault="00212513">
            <w:pPr>
              <w:pStyle w:val="ConsPlusNormal"/>
              <w:jc w:val="center"/>
            </w:pPr>
            <w:r>
              <w:t>18,99</w:t>
            </w:r>
          </w:p>
        </w:tc>
        <w:tc>
          <w:tcPr>
            <w:tcW w:w="1791" w:type="dxa"/>
            <w:tcBorders>
              <w:top w:val="nil"/>
              <w:bottom w:val="nil"/>
            </w:tcBorders>
          </w:tcPr>
          <w:p w:rsidR="00212513" w:rsidRDefault="00212513">
            <w:pPr>
              <w:pStyle w:val="ConsPlusNormal"/>
              <w:jc w:val="center"/>
            </w:pPr>
            <w:r>
              <w:t>303,7</w:t>
            </w:r>
          </w:p>
        </w:tc>
        <w:tc>
          <w:tcPr>
            <w:tcW w:w="1794" w:type="dxa"/>
            <w:tcBorders>
              <w:top w:val="nil"/>
              <w:bottom w:val="nil"/>
            </w:tcBorders>
          </w:tcPr>
          <w:p w:rsidR="00212513" w:rsidRDefault="00212513">
            <w:pPr>
              <w:pStyle w:val="ConsPlusNormal"/>
              <w:jc w:val="center"/>
            </w:pPr>
            <w:r>
              <w:t>265,8</w:t>
            </w:r>
          </w:p>
        </w:tc>
      </w:tr>
      <w:tr w:rsidR="00212513">
        <w:tblPrEx>
          <w:tblBorders>
            <w:insideH w:val="none" w:sz="0" w:space="0" w:color="auto"/>
          </w:tblBorders>
        </w:tblPrEx>
        <w:tc>
          <w:tcPr>
            <w:tcW w:w="1871" w:type="dxa"/>
            <w:tcBorders>
              <w:top w:val="nil"/>
              <w:bottom w:val="nil"/>
            </w:tcBorders>
          </w:tcPr>
          <w:p w:rsidR="00212513" w:rsidRDefault="00212513">
            <w:pPr>
              <w:pStyle w:val="ConsPlusNormal"/>
              <w:jc w:val="center"/>
            </w:pPr>
            <w:r>
              <w:t>5</w:t>
            </w:r>
          </w:p>
        </w:tc>
        <w:tc>
          <w:tcPr>
            <w:tcW w:w="1791" w:type="dxa"/>
            <w:tcBorders>
              <w:top w:val="nil"/>
              <w:bottom w:val="nil"/>
            </w:tcBorders>
          </w:tcPr>
          <w:p w:rsidR="00212513" w:rsidRDefault="00212513">
            <w:pPr>
              <w:pStyle w:val="ConsPlusNormal"/>
              <w:jc w:val="center"/>
            </w:pPr>
            <w:r>
              <w:t>20,37</w:t>
            </w:r>
          </w:p>
        </w:tc>
        <w:tc>
          <w:tcPr>
            <w:tcW w:w="1791" w:type="dxa"/>
            <w:tcBorders>
              <w:top w:val="nil"/>
              <w:bottom w:val="nil"/>
            </w:tcBorders>
          </w:tcPr>
          <w:p w:rsidR="00212513" w:rsidRDefault="00212513">
            <w:pPr>
              <w:pStyle w:val="ConsPlusNormal"/>
              <w:jc w:val="center"/>
            </w:pPr>
            <w:r>
              <w:t>17,82</w:t>
            </w:r>
          </w:p>
        </w:tc>
        <w:tc>
          <w:tcPr>
            <w:tcW w:w="1791" w:type="dxa"/>
            <w:tcBorders>
              <w:top w:val="nil"/>
              <w:bottom w:val="nil"/>
            </w:tcBorders>
          </w:tcPr>
          <w:p w:rsidR="00212513" w:rsidRDefault="00212513">
            <w:pPr>
              <w:pStyle w:val="ConsPlusNormal"/>
              <w:jc w:val="center"/>
            </w:pPr>
            <w:r>
              <w:t>285,2</w:t>
            </w:r>
          </w:p>
        </w:tc>
        <w:tc>
          <w:tcPr>
            <w:tcW w:w="1794" w:type="dxa"/>
            <w:tcBorders>
              <w:top w:val="nil"/>
              <w:bottom w:val="nil"/>
            </w:tcBorders>
          </w:tcPr>
          <w:p w:rsidR="00212513" w:rsidRDefault="00212513">
            <w:pPr>
              <w:pStyle w:val="ConsPlusNormal"/>
              <w:jc w:val="center"/>
            </w:pPr>
            <w:r>
              <w:t>249,5</w:t>
            </w:r>
          </w:p>
        </w:tc>
      </w:tr>
      <w:tr w:rsidR="00212513">
        <w:tblPrEx>
          <w:tblBorders>
            <w:insideH w:val="none" w:sz="0" w:space="0" w:color="auto"/>
          </w:tblBorders>
        </w:tblPrEx>
        <w:tc>
          <w:tcPr>
            <w:tcW w:w="1871" w:type="dxa"/>
            <w:tcBorders>
              <w:top w:val="nil"/>
              <w:bottom w:val="nil"/>
            </w:tcBorders>
          </w:tcPr>
          <w:p w:rsidR="00212513" w:rsidRDefault="00212513">
            <w:pPr>
              <w:pStyle w:val="ConsPlusNormal"/>
              <w:jc w:val="center"/>
            </w:pPr>
            <w:r>
              <w:t>6</w:t>
            </w:r>
          </w:p>
        </w:tc>
        <w:tc>
          <w:tcPr>
            <w:tcW w:w="1791" w:type="dxa"/>
            <w:tcBorders>
              <w:top w:val="nil"/>
              <w:bottom w:val="nil"/>
            </w:tcBorders>
          </w:tcPr>
          <w:p w:rsidR="00212513" w:rsidRDefault="00212513">
            <w:pPr>
              <w:pStyle w:val="ConsPlusNormal"/>
              <w:jc w:val="center"/>
            </w:pPr>
            <w:r>
              <w:t>19,50</w:t>
            </w:r>
          </w:p>
        </w:tc>
        <w:tc>
          <w:tcPr>
            <w:tcW w:w="1791" w:type="dxa"/>
            <w:tcBorders>
              <w:top w:val="nil"/>
              <w:bottom w:val="nil"/>
            </w:tcBorders>
          </w:tcPr>
          <w:p w:rsidR="00212513" w:rsidRDefault="00212513">
            <w:pPr>
              <w:pStyle w:val="ConsPlusNormal"/>
              <w:jc w:val="center"/>
            </w:pPr>
            <w:r>
              <w:t>17,06</w:t>
            </w:r>
          </w:p>
        </w:tc>
        <w:tc>
          <w:tcPr>
            <w:tcW w:w="1791" w:type="dxa"/>
            <w:tcBorders>
              <w:top w:val="nil"/>
              <w:bottom w:val="nil"/>
            </w:tcBorders>
          </w:tcPr>
          <w:p w:rsidR="00212513" w:rsidRDefault="00212513">
            <w:pPr>
              <w:pStyle w:val="ConsPlusNormal"/>
              <w:jc w:val="center"/>
            </w:pPr>
            <w:r>
              <w:t>272,9</w:t>
            </w:r>
          </w:p>
        </w:tc>
        <w:tc>
          <w:tcPr>
            <w:tcW w:w="1794" w:type="dxa"/>
            <w:tcBorders>
              <w:top w:val="nil"/>
              <w:bottom w:val="nil"/>
            </w:tcBorders>
          </w:tcPr>
          <w:p w:rsidR="00212513" w:rsidRDefault="00212513">
            <w:pPr>
              <w:pStyle w:val="ConsPlusNormal"/>
              <w:jc w:val="center"/>
            </w:pPr>
            <w:r>
              <w:t>238,8</w:t>
            </w:r>
          </w:p>
        </w:tc>
      </w:tr>
      <w:tr w:rsidR="00212513">
        <w:tblPrEx>
          <w:tblBorders>
            <w:insideH w:val="none" w:sz="0" w:space="0" w:color="auto"/>
          </w:tblBorders>
        </w:tblPrEx>
        <w:tc>
          <w:tcPr>
            <w:tcW w:w="1871" w:type="dxa"/>
            <w:tcBorders>
              <w:top w:val="nil"/>
              <w:bottom w:val="nil"/>
            </w:tcBorders>
          </w:tcPr>
          <w:p w:rsidR="00212513" w:rsidRDefault="00212513">
            <w:pPr>
              <w:pStyle w:val="ConsPlusNormal"/>
              <w:jc w:val="center"/>
            </w:pPr>
            <w:r>
              <w:t>7</w:t>
            </w:r>
          </w:p>
        </w:tc>
        <w:tc>
          <w:tcPr>
            <w:tcW w:w="1791" w:type="dxa"/>
            <w:tcBorders>
              <w:top w:val="nil"/>
              <w:bottom w:val="nil"/>
            </w:tcBorders>
          </w:tcPr>
          <w:p w:rsidR="00212513" w:rsidRDefault="00212513">
            <w:pPr>
              <w:pStyle w:val="ConsPlusNormal"/>
              <w:jc w:val="center"/>
            </w:pPr>
            <w:r>
              <w:t>18,84</w:t>
            </w:r>
          </w:p>
        </w:tc>
        <w:tc>
          <w:tcPr>
            <w:tcW w:w="1791" w:type="dxa"/>
            <w:tcBorders>
              <w:top w:val="nil"/>
              <w:bottom w:val="nil"/>
            </w:tcBorders>
          </w:tcPr>
          <w:p w:rsidR="00212513" w:rsidRDefault="00212513">
            <w:pPr>
              <w:pStyle w:val="ConsPlusNormal"/>
              <w:jc w:val="center"/>
            </w:pPr>
            <w:r>
              <w:t>16,48</w:t>
            </w:r>
          </w:p>
        </w:tc>
        <w:tc>
          <w:tcPr>
            <w:tcW w:w="1791" w:type="dxa"/>
            <w:tcBorders>
              <w:top w:val="nil"/>
              <w:bottom w:val="nil"/>
            </w:tcBorders>
          </w:tcPr>
          <w:p w:rsidR="00212513" w:rsidRDefault="00212513">
            <w:pPr>
              <w:pStyle w:val="ConsPlusNormal"/>
              <w:jc w:val="center"/>
            </w:pPr>
            <w:r>
              <w:t>263,7</w:t>
            </w:r>
          </w:p>
        </w:tc>
        <w:tc>
          <w:tcPr>
            <w:tcW w:w="1794" w:type="dxa"/>
            <w:tcBorders>
              <w:top w:val="nil"/>
              <w:bottom w:val="nil"/>
            </w:tcBorders>
          </w:tcPr>
          <w:p w:rsidR="00212513" w:rsidRDefault="00212513">
            <w:pPr>
              <w:pStyle w:val="ConsPlusNormal"/>
              <w:jc w:val="center"/>
            </w:pPr>
            <w:r>
              <w:t>230,7</w:t>
            </w:r>
          </w:p>
        </w:tc>
      </w:tr>
      <w:tr w:rsidR="00212513">
        <w:tblPrEx>
          <w:tblBorders>
            <w:insideH w:val="none" w:sz="0" w:space="0" w:color="auto"/>
          </w:tblBorders>
        </w:tblPrEx>
        <w:tc>
          <w:tcPr>
            <w:tcW w:w="1871" w:type="dxa"/>
            <w:tcBorders>
              <w:top w:val="nil"/>
              <w:bottom w:val="nil"/>
            </w:tcBorders>
          </w:tcPr>
          <w:p w:rsidR="00212513" w:rsidRDefault="00212513">
            <w:pPr>
              <w:pStyle w:val="ConsPlusNormal"/>
              <w:jc w:val="center"/>
            </w:pPr>
            <w:r>
              <w:t>8</w:t>
            </w:r>
          </w:p>
        </w:tc>
        <w:tc>
          <w:tcPr>
            <w:tcW w:w="1791" w:type="dxa"/>
            <w:tcBorders>
              <w:top w:val="nil"/>
              <w:bottom w:val="nil"/>
            </w:tcBorders>
          </w:tcPr>
          <w:p w:rsidR="00212513" w:rsidRDefault="00212513">
            <w:pPr>
              <w:pStyle w:val="ConsPlusNormal"/>
              <w:jc w:val="center"/>
            </w:pPr>
            <w:r>
              <w:t>18,32</w:t>
            </w:r>
          </w:p>
        </w:tc>
        <w:tc>
          <w:tcPr>
            <w:tcW w:w="1791" w:type="dxa"/>
            <w:tcBorders>
              <w:top w:val="nil"/>
              <w:bottom w:val="nil"/>
            </w:tcBorders>
          </w:tcPr>
          <w:p w:rsidR="00212513" w:rsidRDefault="00212513">
            <w:pPr>
              <w:pStyle w:val="ConsPlusNormal"/>
              <w:jc w:val="center"/>
            </w:pPr>
            <w:r>
              <w:t>16,02</w:t>
            </w:r>
          </w:p>
        </w:tc>
        <w:tc>
          <w:tcPr>
            <w:tcW w:w="1791" w:type="dxa"/>
            <w:tcBorders>
              <w:top w:val="nil"/>
              <w:bottom w:val="nil"/>
            </w:tcBorders>
          </w:tcPr>
          <w:p w:rsidR="00212513" w:rsidRDefault="00212513">
            <w:pPr>
              <w:pStyle w:val="ConsPlusNormal"/>
              <w:jc w:val="center"/>
            </w:pPr>
            <w:r>
              <w:t>256,4</w:t>
            </w:r>
          </w:p>
        </w:tc>
        <w:tc>
          <w:tcPr>
            <w:tcW w:w="1794" w:type="dxa"/>
            <w:tcBorders>
              <w:top w:val="nil"/>
              <w:bottom w:val="nil"/>
            </w:tcBorders>
          </w:tcPr>
          <w:p w:rsidR="00212513" w:rsidRDefault="00212513">
            <w:pPr>
              <w:pStyle w:val="ConsPlusNormal"/>
              <w:jc w:val="center"/>
            </w:pPr>
            <w:r>
              <w:t>224,4</w:t>
            </w:r>
          </w:p>
        </w:tc>
      </w:tr>
      <w:tr w:rsidR="00212513">
        <w:tblPrEx>
          <w:tblBorders>
            <w:insideH w:val="none" w:sz="0" w:space="0" w:color="auto"/>
          </w:tblBorders>
        </w:tblPrEx>
        <w:tc>
          <w:tcPr>
            <w:tcW w:w="1871" w:type="dxa"/>
            <w:tcBorders>
              <w:top w:val="nil"/>
              <w:bottom w:val="nil"/>
            </w:tcBorders>
          </w:tcPr>
          <w:p w:rsidR="00212513" w:rsidRDefault="00212513">
            <w:pPr>
              <w:pStyle w:val="ConsPlusNormal"/>
              <w:jc w:val="center"/>
            </w:pPr>
            <w:r>
              <w:t>9</w:t>
            </w:r>
          </w:p>
        </w:tc>
        <w:tc>
          <w:tcPr>
            <w:tcW w:w="1791" w:type="dxa"/>
            <w:tcBorders>
              <w:top w:val="nil"/>
              <w:bottom w:val="nil"/>
            </w:tcBorders>
          </w:tcPr>
          <w:p w:rsidR="00212513" w:rsidRDefault="00212513">
            <w:pPr>
              <w:pStyle w:val="ConsPlusNormal"/>
              <w:jc w:val="center"/>
            </w:pPr>
            <w:r>
              <w:t>17,87</w:t>
            </w:r>
          </w:p>
        </w:tc>
        <w:tc>
          <w:tcPr>
            <w:tcW w:w="1791" w:type="dxa"/>
            <w:tcBorders>
              <w:top w:val="nil"/>
              <w:bottom w:val="nil"/>
            </w:tcBorders>
          </w:tcPr>
          <w:p w:rsidR="00212513" w:rsidRDefault="00212513">
            <w:pPr>
              <w:pStyle w:val="ConsPlusNormal"/>
              <w:jc w:val="center"/>
            </w:pPr>
            <w:r>
              <w:t>15,63</w:t>
            </w:r>
          </w:p>
        </w:tc>
        <w:tc>
          <w:tcPr>
            <w:tcW w:w="1791" w:type="dxa"/>
            <w:tcBorders>
              <w:top w:val="nil"/>
              <w:bottom w:val="nil"/>
            </w:tcBorders>
          </w:tcPr>
          <w:p w:rsidR="00212513" w:rsidRDefault="00212513">
            <w:pPr>
              <w:pStyle w:val="ConsPlusNormal"/>
              <w:jc w:val="center"/>
            </w:pPr>
            <w:r>
              <w:t>250,2</w:t>
            </w:r>
          </w:p>
        </w:tc>
        <w:tc>
          <w:tcPr>
            <w:tcW w:w="1794" w:type="dxa"/>
            <w:tcBorders>
              <w:top w:val="nil"/>
              <w:bottom w:val="nil"/>
            </w:tcBorders>
          </w:tcPr>
          <w:p w:rsidR="00212513" w:rsidRDefault="00212513">
            <w:pPr>
              <w:pStyle w:val="ConsPlusNormal"/>
              <w:jc w:val="center"/>
            </w:pPr>
            <w:r>
              <w:t>218,9</w:t>
            </w:r>
          </w:p>
        </w:tc>
      </w:tr>
      <w:tr w:rsidR="00212513">
        <w:tblPrEx>
          <w:tblBorders>
            <w:insideH w:val="none" w:sz="0" w:space="0" w:color="auto"/>
          </w:tblBorders>
        </w:tblPrEx>
        <w:tc>
          <w:tcPr>
            <w:tcW w:w="1871" w:type="dxa"/>
            <w:tcBorders>
              <w:top w:val="nil"/>
              <w:bottom w:val="nil"/>
            </w:tcBorders>
          </w:tcPr>
          <w:p w:rsidR="00212513" w:rsidRDefault="00212513">
            <w:pPr>
              <w:pStyle w:val="ConsPlusNormal"/>
              <w:jc w:val="center"/>
            </w:pPr>
            <w:r>
              <w:t>10</w:t>
            </w:r>
          </w:p>
        </w:tc>
        <w:tc>
          <w:tcPr>
            <w:tcW w:w="1791" w:type="dxa"/>
            <w:tcBorders>
              <w:top w:val="nil"/>
              <w:bottom w:val="nil"/>
            </w:tcBorders>
          </w:tcPr>
          <w:p w:rsidR="00212513" w:rsidRDefault="00212513">
            <w:pPr>
              <w:pStyle w:val="ConsPlusNormal"/>
              <w:jc w:val="center"/>
            </w:pPr>
            <w:r>
              <w:t>17,47</w:t>
            </w:r>
          </w:p>
        </w:tc>
        <w:tc>
          <w:tcPr>
            <w:tcW w:w="1791" w:type="dxa"/>
            <w:tcBorders>
              <w:top w:val="nil"/>
              <w:bottom w:val="nil"/>
            </w:tcBorders>
          </w:tcPr>
          <w:p w:rsidR="00212513" w:rsidRDefault="00212513">
            <w:pPr>
              <w:pStyle w:val="ConsPlusNormal"/>
              <w:jc w:val="center"/>
            </w:pPr>
            <w:r>
              <w:t>15,28</w:t>
            </w:r>
          </w:p>
        </w:tc>
        <w:tc>
          <w:tcPr>
            <w:tcW w:w="1791" w:type="dxa"/>
            <w:tcBorders>
              <w:top w:val="nil"/>
              <w:bottom w:val="nil"/>
            </w:tcBorders>
          </w:tcPr>
          <w:p w:rsidR="00212513" w:rsidRDefault="00212513">
            <w:pPr>
              <w:pStyle w:val="ConsPlusNormal"/>
              <w:jc w:val="center"/>
            </w:pPr>
            <w:r>
              <w:t>244,5</w:t>
            </w:r>
          </w:p>
        </w:tc>
        <w:tc>
          <w:tcPr>
            <w:tcW w:w="1794" w:type="dxa"/>
            <w:tcBorders>
              <w:top w:val="nil"/>
              <w:bottom w:val="nil"/>
            </w:tcBorders>
          </w:tcPr>
          <w:p w:rsidR="00212513" w:rsidRDefault="00212513">
            <w:pPr>
              <w:pStyle w:val="ConsPlusNormal"/>
              <w:jc w:val="center"/>
            </w:pPr>
            <w:r>
              <w:t>214,0</w:t>
            </w:r>
          </w:p>
        </w:tc>
      </w:tr>
      <w:tr w:rsidR="00212513">
        <w:tblPrEx>
          <w:tblBorders>
            <w:insideH w:val="none" w:sz="0" w:space="0" w:color="auto"/>
          </w:tblBorders>
        </w:tblPrEx>
        <w:tc>
          <w:tcPr>
            <w:tcW w:w="1871" w:type="dxa"/>
            <w:tcBorders>
              <w:top w:val="nil"/>
              <w:bottom w:val="nil"/>
            </w:tcBorders>
          </w:tcPr>
          <w:p w:rsidR="00212513" w:rsidRDefault="00212513">
            <w:pPr>
              <w:pStyle w:val="ConsPlusNormal"/>
              <w:jc w:val="center"/>
            </w:pPr>
            <w:r>
              <w:t>12</w:t>
            </w:r>
          </w:p>
        </w:tc>
        <w:tc>
          <w:tcPr>
            <w:tcW w:w="1791" w:type="dxa"/>
            <w:tcBorders>
              <w:top w:val="nil"/>
              <w:bottom w:val="nil"/>
            </w:tcBorders>
          </w:tcPr>
          <w:p w:rsidR="00212513" w:rsidRDefault="00212513">
            <w:pPr>
              <w:pStyle w:val="ConsPlusNormal"/>
              <w:jc w:val="center"/>
            </w:pPr>
            <w:r>
              <w:t>16,78</w:t>
            </w:r>
          </w:p>
        </w:tc>
        <w:tc>
          <w:tcPr>
            <w:tcW w:w="1791" w:type="dxa"/>
            <w:tcBorders>
              <w:top w:val="nil"/>
              <w:bottom w:val="nil"/>
            </w:tcBorders>
          </w:tcPr>
          <w:p w:rsidR="00212513" w:rsidRDefault="00212513">
            <w:pPr>
              <w:pStyle w:val="ConsPlusNormal"/>
              <w:jc w:val="center"/>
            </w:pPr>
            <w:r>
              <w:t>14,68</w:t>
            </w:r>
          </w:p>
        </w:tc>
        <w:tc>
          <w:tcPr>
            <w:tcW w:w="1791" w:type="dxa"/>
            <w:tcBorders>
              <w:top w:val="nil"/>
              <w:bottom w:val="nil"/>
            </w:tcBorders>
          </w:tcPr>
          <w:p w:rsidR="00212513" w:rsidRDefault="00212513">
            <w:pPr>
              <w:pStyle w:val="ConsPlusNormal"/>
              <w:jc w:val="center"/>
            </w:pPr>
            <w:r>
              <w:t>234,9</w:t>
            </w:r>
          </w:p>
        </w:tc>
        <w:tc>
          <w:tcPr>
            <w:tcW w:w="1794" w:type="dxa"/>
            <w:tcBorders>
              <w:top w:val="nil"/>
              <w:bottom w:val="nil"/>
            </w:tcBorders>
          </w:tcPr>
          <w:p w:rsidR="00212513" w:rsidRDefault="00212513">
            <w:pPr>
              <w:pStyle w:val="ConsPlusNormal"/>
              <w:jc w:val="center"/>
            </w:pPr>
            <w:r>
              <w:t>205,5</w:t>
            </w:r>
          </w:p>
        </w:tc>
      </w:tr>
      <w:tr w:rsidR="00212513">
        <w:tblPrEx>
          <w:tblBorders>
            <w:insideH w:val="none" w:sz="0" w:space="0" w:color="auto"/>
          </w:tblBorders>
        </w:tblPrEx>
        <w:tc>
          <w:tcPr>
            <w:tcW w:w="1871" w:type="dxa"/>
            <w:tcBorders>
              <w:top w:val="nil"/>
              <w:bottom w:val="nil"/>
            </w:tcBorders>
          </w:tcPr>
          <w:p w:rsidR="00212513" w:rsidRDefault="00212513">
            <w:pPr>
              <w:pStyle w:val="ConsPlusNormal"/>
              <w:jc w:val="center"/>
            </w:pPr>
            <w:r>
              <w:t>14</w:t>
            </w:r>
          </w:p>
        </w:tc>
        <w:tc>
          <w:tcPr>
            <w:tcW w:w="1791" w:type="dxa"/>
            <w:tcBorders>
              <w:top w:val="nil"/>
              <w:bottom w:val="nil"/>
            </w:tcBorders>
          </w:tcPr>
          <w:p w:rsidR="00212513" w:rsidRDefault="00212513">
            <w:pPr>
              <w:pStyle w:val="ConsPlusNormal"/>
              <w:jc w:val="center"/>
            </w:pPr>
            <w:r>
              <w:t>16,19</w:t>
            </w:r>
          </w:p>
        </w:tc>
        <w:tc>
          <w:tcPr>
            <w:tcW w:w="1791" w:type="dxa"/>
            <w:tcBorders>
              <w:top w:val="nil"/>
              <w:bottom w:val="nil"/>
            </w:tcBorders>
          </w:tcPr>
          <w:p w:rsidR="00212513" w:rsidRDefault="00212513">
            <w:pPr>
              <w:pStyle w:val="ConsPlusNormal"/>
              <w:jc w:val="center"/>
            </w:pPr>
            <w:r>
              <w:t>14,16</w:t>
            </w:r>
          </w:p>
        </w:tc>
        <w:tc>
          <w:tcPr>
            <w:tcW w:w="1791" w:type="dxa"/>
            <w:tcBorders>
              <w:top w:val="nil"/>
              <w:bottom w:val="nil"/>
            </w:tcBorders>
          </w:tcPr>
          <w:p w:rsidR="00212513" w:rsidRDefault="00212513">
            <w:pPr>
              <w:pStyle w:val="ConsPlusNormal"/>
              <w:jc w:val="center"/>
            </w:pPr>
            <w:r>
              <w:t>226,6</w:t>
            </w:r>
          </w:p>
        </w:tc>
        <w:tc>
          <w:tcPr>
            <w:tcW w:w="1794" w:type="dxa"/>
            <w:tcBorders>
              <w:top w:val="nil"/>
              <w:bottom w:val="nil"/>
            </w:tcBorders>
          </w:tcPr>
          <w:p w:rsidR="00212513" w:rsidRDefault="00212513">
            <w:pPr>
              <w:pStyle w:val="ConsPlusNormal"/>
              <w:jc w:val="center"/>
            </w:pPr>
            <w:r>
              <w:t>198,3</w:t>
            </w:r>
          </w:p>
        </w:tc>
      </w:tr>
      <w:tr w:rsidR="00212513">
        <w:tblPrEx>
          <w:tblBorders>
            <w:insideH w:val="none" w:sz="0" w:space="0" w:color="auto"/>
          </w:tblBorders>
        </w:tblPrEx>
        <w:tc>
          <w:tcPr>
            <w:tcW w:w="1871" w:type="dxa"/>
            <w:tcBorders>
              <w:top w:val="nil"/>
              <w:bottom w:val="nil"/>
            </w:tcBorders>
          </w:tcPr>
          <w:p w:rsidR="00212513" w:rsidRDefault="00212513">
            <w:pPr>
              <w:pStyle w:val="ConsPlusNormal"/>
              <w:jc w:val="center"/>
            </w:pPr>
            <w:r>
              <w:t>16</w:t>
            </w:r>
          </w:p>
        </w:tc>
        <w:tc>
          <w:tcPr>
            <w:tcW w:w="1791" w:type="dxa"/>
            <w:tcBorders>
              <w:top w:val="nil"/>
              <w:bottom w:val="nil"/>
            </w:tcBorders>
          </w:tcPr>
          <w:p w:rsidR="00212513" w:rsidRDefault="00212513">
            <w:pPr>
              <w:pStyle w:val="ConsPlusNormal"/>
              <w:jc w:val="center"/>
            </w:pPr>
            <w:r>
              <w:t>15,66</w:t>
            </w:r>
          </w:p>
        </w:tc>
        <w:tc>
          <w:tcPr>
            <w:tcW w:w="1791" w:type="dxa"/>
            <w:tcBorders>
              <w:top w:val="nil"/>
              <w:bottom w:val="nil"/>
            </w:tcBorders>
          </w:tcPr>
          <w:p w:rsidR="00212513" w:rsidRDefault="00212513">
            <w:pPr>
              <w:pStyle w:val="ConsPlusNormal"/>
              <w:jc w:val="center"/>
            </w:pPr>
            <w:r>
              <w:t>13,71</w:t>
            </w:r>
          </w:p>
        </w:tc>
        <w:tc>
          <w:tcPr>
            <w:tcW w:w="1791" w:type="dxa"/>
            <w:tcBorders>
              <w:top w:val="nil"/>
              <w:bottom w:val="nil"/>
            </w:tcBorders>
          </w:tcPr>
          <w:p w:rsidR="00212513" w:rsidRDefault="00212513">
            <w:pPr>
              <w:pStyle w:val="ConsPlusNormal"/>
              <w:jc w:val="center"/>
            </w:pPr>
            <w:r>
              <w:t>219,3</w:t>
            </w:r>
          </w:p>
        </w:tc>
        <w:tc>
          <w:tcPr>
            <w:tcW w:w="1794" w:type="dxa"/>
            <w:tcBorders>
              <w:top w:val="nil"/>
              <w:bottom w:val="nil"/>
            </w:tcBorders>
          </w:tcPr>
          <w:p w:rsidR="00212513" w:rsidRDefault="00212513">
            <w:pPr>
              <w:pStyle w:val="ConsPlusNormal"/>
              <w:jc w:val="center"/>
            </w:pPr>
            <w:r>
              <w:t>191,8</w:t>
            </w:r>
          </w:p>
        </w:tc>
      </w:tr>
      <w:tr w:rsidR="00212513">
        <w:tblPrEx>
          <w:tblBorders>
            <w:insideH w:val="none" w:sz="0" w:space="0" w:color="auto"/>
          </w:tblBorders>
        </w:tblPrEx>
        <w:tc>
          <w:tcPr>
            <w:tcW w:w="1871" w:type="dxa"/>
            <w:tcBorders>
              <w:top w:val="nil"/>
              <w:bottom w:val="nil"/>
            </w:tcBorders>
          </w:tcPr>
          <w:p w:rsidR="00212513" w:rsidRDefault="00212513">
            <w:pPr>
              <w:pStyle w:val="ConsPlusNormal"/>
              <w:jc w:val="center"/>
            </w:pPr>
            <w:r>
              <w:t>18</w:t>
            </w:r>
          </w:p>
        </w:tc>
        <w:tc>
          <w:tcPr>
            <w:tcW w:w="1791" w:type="dxa"/>
            <w:tcBorders>
              <w:top w:val="nil"/>
              <w:bottom w:val="nil"/>
            </w:tcBorders>
          </w:tcPr>
          <w:p w:rsidR="00212513" w:rsidRDefault="00212513">
            <w:pPr>
              <w:pStyle w:val="ConsPlusNormal"/>
              <w:jc w:val="center"/>
            </w:pPr>
            <w:r>
              <w:t>15,19</w:t>
            </w:r>
          </w:p>
        </w:tc>
        <w:tc>
          <w:tcPr>
            <w:tcW w:w="1791" w:type="dxa"/>
            <w:tcBorders>
              <w:top w:val="nil"/>
              <w:bottom w:val="nil"/>
            </w:tcBorders>
          </w:tcPr>
          <w:p w:rsidR="00212513" w:rsidRDefault="00212513">
            <w:pPr>
              <w:pStyle w:val="ConsPlusNormal"/>
              <w:jc w:val="center"/>
            </w:pPr>
            <w:r>
              <w:t>13,30</w:t>
            </w:r>
          </w:p>
        </w:tc>
        <w:tc>
          <w:tcPr>
            <w:tcW w:w="1791" w:type="dxa"/>
            <w:tcBorders>
              <w:top w:val="nil"/>
              <w:bottom w:val="nil"/>
            </w:tcBorders>
          </w:tcPr>
          <w:p w:rsidR="00212513" w:rsidRDefault="00212513">
            <w:pPr>
              <w:pStyle w:val="ConsPlusNormal"/>
              <w:jc w:val="center"/>
            </w:pPr>
            <w:r>
              <w:t>212,7</w:t>
            </w:r>
          </w:p>
        </w:tc>
        <w:tc>
          <w:tcPr>
            <w:tcW w:w="1794" w:type="dxa"/>
            <w:tcBorders>
              <w:top w:val="nil"/>
              <w:bottom w:val="nil"/>
            </w:tcBorders>
          </w:tcPr>
          <w:p w:rsidR="00212513" w:rsidRDefault="00212513">
            <w:pPr>
              <w:pStyle w:val="ConsPlusNormal"/>
              <w:jc w:val="center"/>
            </w:pPr>
            <w:r>
              <w:t>186,0</w:t>
            </w:r>
          </w:p>
        </w:tc>
      </w:tr>
      <w:tr w:rsidR="00212513">
        <w:tblPrEx>
          <w:tblBorders>
            <w:insideH w:val="none" w:sz="0" w:space="0" w:color="auto"/>
          </w:tblBorders>
        </w:tblPrEx>
        <w:tc>
          <w:tcPr>
            <w:tcW w:w="1871" w:type="dxa"/>
            <w:tcBorders>
              <w:top w:val="nil"/>
              <w:bottom w:val="nil"/>
            </w:tcBorders>
          </w:tcPr>
          <w:p w:rsidR="00212513" w:rsidRDefault="00212513">
            <w:pPr>
              <w:pStyle w:val="ConsPlusNormal"/>
              <w:jc w:val="center"/>
            </w:pPr>
            <w:r>
              <w:t>20</w:t>
            </w:r>
          </w:p>
        </w:tc>
        <w:tc>
          <w:tcPr>
            <w:tcW w:w="1791" w:type="dxa"/>
            <w:tcBorders>
              <w:top w:val="nil"/>
              <w:bottom w:val="nil"/>
            </w:tcBorders>
          </w:tcPr>
          <w:p w:rsidR="00212513" w:rsidRDefault="00212513">
            <w:pPr>
              <w:pStyle w:val="ConsPlusNormal"/>
              <w:jc w:val="center"/>
            </w:pPr>
            <w:r>
              <w:t>14,76</w:t>
            </w:r>
          </w:p>
        </w:tc>
        <w:tc>
          <w:tcPr>
            <w:tcW w:w="1791" w:type="dxa"/>
            <w:tcBorders>
              <w:top w:val="nil"/>
              <w:bottom w:val="nil"/>
            </w:tcBorders>
          </w:tcPr>
          <w:p w:rsidR="00212513" w:rsidRDefault="00212513">
            <w:pPr>
              <w:pStyle w:val="ConsPlusNormal"/>
              <w:jc w:val="center"/>
            </w:pPr>
            <w:r>
              <w:t>12,92</w:t>
            </w:r>
          </w:p>
        </w:tc>
        <w:tc>
          <w:tcPr>
            <w:tcW w:w="1791" w:type="dxa"/>
            <w:tcBorders>
              <w:top w:val="nil"/>
              <w:bottom w:val="nil"/>
            </w:tcBorders>
          </w:tcPr>
          <w:p w:rsidR="00212513" w:rsidRDefault="00212513">
            <w:pPr>
              <w:pStyle w:val="ConsPlusNormal"/>
              <w:jc w:val="center"/>
            </w:pPr>
            <w:r>
              <w:t>206,6</w:t>
            </w:r>
          </w:p>
        </w:tc>
        <w:tc>
          <w:tcPr>
            <w:tcW w:w="1794" w:type="dxa"/>
            <w:tcBorders>
              <w:top w:val="nil"/>
              <w:bottom w:val="nil"/>
            </w:tcBorders>
          </w:tcPr>
          <w:p w:rsidR="00212513" w:rsidRDefault="00212513">
            <w:pPr>
              <w:pStyle w:val="ConsPlusNormal"/>
              <w:jc w:val="center"/>
            </w:pPr>
            <w:r>
              <w:t>180,8</w:t>
            </w:r>
          </w:p>
        </w:tc>
      </w:tr>
      <w:tr w:rsidR="00212513">
        <w:tblPrEx>
          <w:tblBorders>
            <w:insideH w:val="none" w:sz="0" w:space="0" w:color="auto"/>
          </w:tblBorders>
        </w:tblPrEx>
        <w:tc>
          <w:tcPr>
            <w:tcW w:w="1871" w:type="dxa"/>
            <w:tcBorders>
              <w:top w:val="nil"/>
              <w:bottom w:val="nil"/>
            </w:tcBorders>
          </w:tcPr>
          <w:p w:rsidR="00212513" w:rsidRDefault="00212513">
            <w:pPr>
              <w:pStyle w:val="ConsPlusNormal"/>
              <w:jc w:val="center"/>
            </w:pPr>
            <w:r>
              <w:t>25</w:t>
            </w:r>
          </w:p>
        </w:tc>
        <w:tc>
          <w:tcPr>
            <w:tcW w:w="1791" w:type="dxa"/>
            <w:tcBorders>
              <w:top w:val="nil"/>
              <w:bottom w:val="nil"/>
            </w:tcBorders>
          </w:tcPr>
          <w:p w:rsidR="00212513" w:rsidRDefault="00212513">
            <w:pPr>
              <w:pStyle w:val="ConsPlusNormal"/>
              <w:jc w:val="center"/>
            </w:pPr>
            <w:r>
              <w:t>13,85</w:t>
            </w:r>
          </w:p>
        </w:tc>
        <w:tc>
          <w:tcPr>
            <w:tcW w:w="1791" w:type="dxa"/>
            <w:tcBorders>
              <w:top w:val="nil"/>
              <w:bottom w:val="nil"/>
            </w:tcBorders>
          </w:tcPr>
          <w:p w:rsidR="00212513" w:rsidRDefault="00212513">
            <w:pPr>
              <w:pStyle w:val="ConsPlusNormal"/>
              <w:jc w:val="center"/>
            </w:pPr>
            <w:r>
              <w:t>12,12</w:t>
            </w:r>
          </w:p>
        </w:tc>
        <w:tc>
          <w:tcPr>
            <w:tcW w:w="1791" w:type="dxa"/>
            <w:tcBorders>
              <w:top w:val="nil"/>
              <w:bottom w:val="nil"/>
            </w:tcBorders>
          </w:tcPr>
          <w:p w:rsidR="00212513" w:rsidRDefault="00212513">
            <w:pPr>
              <w:pStyle w:val="ConsPlusNormal"/>
              <w:jc w:val="center"/>
            </w:pPr>
            <w:r>
              <w:t>193,9</w:t>
            </w:r>
          </w:p>
        </w:tc>
        <w:tc>
          <w:tcPr>
            <w:tcW w:w="1794" w:type="dxa"/>
            <w:tcBorders>
              <w:top w:val="nil"/>
              <w:bottom w:val="nil"/>
            </w:tcBorders>
          </w:tcPr>
          <w:p w:rsidR="00212513" w:rsidRDefault="00212513">
            <w:pPr>
              <w:pStyle w:val="ConsPlusNormal"/>
              <w:jc w:val="center"/>
            </w:pPr>
            <w:r>
              <w:t>169,7</w:t>
            </w:r>
          </w:p>
        </w:tc>
      </w:tr>
      <w:tr w:rsidR="00212513">
        <w:tblPrEx>
          <w:tblBorders>
            <w:insideH w:val="none" w:sz="0" w:space="0" w:color="auto"/>
          </w:tblBorders>
        </w:tblPrEx>
        <w:tc>
          <w:tcPr>
            <w:tcW w:w="1871" w:type="dxa"/>
            <w:tcBorders>
              <w:top w:val="nil"/>
              <w:bottom w:val="nil"/>
            </w:tcBorders>
          </w:tcPr>
          <w:p w:rsidR="00212513" w:rsidRDefault="00212513">
            <w:pPr>
              <w:pStyle w:val="ConsPlusNormal"/>
              <w:jc w:val="center"/>
            </w:pPr>
            <w:r>
              <w:t>30</w:t>
            </w:r>
          </w:p>
        </w:tc>
        <w:tc>
          <w:tcPr>
            <w:tcW w:w="1791" w:type="dxa"/>
            <w:tcBorders>
              <w:top w:val="nil"/>
              <w:bottom w:val="nil"/>
            </w:tcBorders>
          </w:tcPr>
          <w:p w:rsidR="00212513" w:rsidRDefault="00212513">
            <w:pPr>
              <w:pStyle w:val="ConsPlusNormal"/>
              <w:jc w:val="center"/>
            </w:pPr>
            <w:r>
              <w:t>13,10</w:t>
            </w:r>
          </w:p>
        </w:tc>
        <w:tc>
          <w:tcPr>
            <w:tcW w:w="1791" w:type="dxa"/>
            <w:tcBorders>
              <w:top w:val="nil"/>
              <w:bottom w:val="nil"/>
            </w:tcBorders>
          </w:tcPr>
          <w:p w:rsidR="00212513" w:rsidRDefault="00212513">
            <w:pPr>
              <w:pStyle w:val="ConsPlusNormal"/>
              <w:jc w:val="center"/>
            </w:pPr>
            <w:r>
              <w:t>11,46</w:t>
            </w:r>
          </w:p>
        </w:tc>
        <w:tc>
          <w:tcPr>
            <w:tcW w:w="1791" w:type="dxa"/>
            <w:tcBorders>
              <w:top w:val="nil"/>
              <w:bottom w:val="nil"/>
            </w:tcBorders>
          </w:tcPr>
          <w:p w:rsidR="00212513" w:rsidRDefault="00212513">
            <w:pPr>
              <w:pStyle w:val="ConsPlusNormal"/>
              <w:jc w:val="center"/>
            </w:pPr>
            <w:r>
              <w:t>183,4</w:t>
            </w:r>
          </w:p>
        </w:tc>
        <w:tc>
          <w:tcPr>
            <w:tcW w:w="1794" w:type="dxa"/>
            <w:tcBorders>
              <w:top w:val="nil"/>
              <w:bottom w:val="nil"/>
            </w:tcBorders>
          </w:tcPr>
          <w:p w:rsidR="00212513" w:rsidRDefault="00212513">
            <w:pPr>
              <w:pStyle w:val="ConsPlusNormal"/>
              <w:jc w:val="center"/>
            </w:pPr>
            <w:r>
              <w:t>160,5</w:t>
            </w:r>
          </w:p>
        </w:tc>
      </w:tr>
      <w:tr w:rsidR="00212513">
        <w:tblPrEx>
          <w:tblBorders>
            <w:insideH w:val="none" w:sz="0" w:space="0" w:color="auto"/>
          </w:tblBorders>
        </w:tblPrEx>
        <w:tc>
          <w:tcPr>
            <w:tcW w:w="1871" w:type="dxa"/>
            <w:tcBorders>
              <w:top w:val="nil"/>
              <w:bottom w:val="nil"/>
            </w:tcBorders>
          </w:tcPr>
          <w:p w:rsidR="00212513" w:rsidRDefault="00212513">
            <w:pPr>
              <w:pStyle w:val="ConsPlusNormal"/>
              <w:jc w:val="center"/>
            </w:pPr>
            <w:r>
              <w:t>35</w:t>
            </w:r>
          </w:p>
        </w:tc>
        <w:tc>
          <w:tcPr>
            <w:tcW w:w="1791" w:type="dxa"/>
            <w:tcBorders>
              <w:top w:val="nil"/>
              <w:bottom w:val="nil"/>
            </w:tcBorders>
          </w:tcPr>
          <w:p w:rsidR="00212513" w:rsidRDefault="00212513">
            <w:pPr>
              <w:pStyle w:val="ConsPlusNormal"/>
              <w:jc w:val="center"/>
            </w:pPr>
            <w:r>
              <w:t>12,50</w:t>
            </w:r>
          </w:p>
        </w:tc>
        <w:tc>
          <w:tcPr>
            <w:tcW w:w="1791" w:type="dxa"/>
            <w:tcBorders>
              <w:top w:val="nil"/>
              <w:bottom w:val="nil"/>
            </w:tcBorders>
          </w:tcPr>
          <w:p w:rsidR="00212513" w:rsidRDefault="00212513">
            <w:pPr>
              <w:pStyle w:val="ConsPlusNormal"/>
              <w:jc w:val="center"/>
            </w:pPr>
            <w:r>
              <w:t>10,94</w:t>
            </w:r>
          </w:p>
        </w:tc>
        <w:tc>
          <w:tcPr>
            <w:tcW w:w="1791" w:type="dxa"/>
            <w:tcBorders>
              <w:top w:val="nil"/>
              <w:bottom w:val="nil"/>
            </w:tcBorders>
          </w:tcPr>
          <w:p w:rsidR="00212513" w:rsidRDefault="00212513">
            <w:pPr>
              <w:pStyle w:val="ConsPlusNormal"/>
              <w:jc w:val="center"/>
            </w:pPr>
            <w:r>
              <w:t>175,0</w:t>
            </w:r>
          </w:p>
        </w:tc>
        <w:tc>
          <w:tcPr>
            <w:tcW w:w="1794" w:type="dxa"/>
            <w:tcBorders>
              <w:top w:val="nil"/>
              <w:bottom w:val="nil"/>
            </w:tcBorders>
          </w:tcPr>
          <w:p w:rsidR="00212513" w:rsidRDefault="00212513">
            <w:pPr>
              <w:pStyle w:val="ConsPlusNormal"/>
              <w:jc w:val="center"/>
            </w:pPr>
            <w:r>
              <w:t>153,2</w:t>
            </w:r>
          </w:p>
        </w:tc>
      </w:tr>
      <w:tr w:rsidR="00212513">
        <w:tblPrEx>
          <w:tblBorders>
            <w:insideH w:val="none" w:sz="0" w:space="0" w:color="auto"/>
          </w:tblBorders>
        </w:tblPrEx>
        <w:tc>
          <w:tcPr>
            <w:tcW w:w="1871" w:type="dxa"/>
            <w:tcBorders>
              <w:top w:val="nil"/>
              <w:bottom w:val="nil"/>
            </w:tcBorders>
          </w:tcPr>
          <w:p w:rsidR="00212513" w:rsidRDefault="00212513">
            <w:pPr>
              <w:pStyle w:val="ConsPlusNormal"/>
              <w:jc w:val="center"/>
            </w:pPr>
            <w:r>
              <w:t>40</w:t>
            </w:r>
          </w:p>
        </w:tc>
        <w:tc>
          <w:tcPr>
            <w:tcW w:w="1791" w:type="dxa"/>
            <w:tcBorders>
              <w:top w:val="nil"/>
              <w:bottom w:val="nil"/>
            </w:tcBorders>
          </w:tcPr>
          <w:p w:rsidR="00212513" w:rsidRDefault="00212513">
            <w:pPr>
              <w:pStyle w:val="ConsPlusNormal"/>
              <w:jc w:val="center"/>
            </w:pPr>
            <w:r>
              <w:t>12,01</w:t>
            </w:r>
          </w:p>
        </w:tc>
        <w:tc>
          <w:tcPr>
            <w:tcW w:w="1791" w:type="dxa"/>
            <w:tcBorders>
              <w:top w:val="nil"/>
              <w:bottom w:val="nil"/>
            </w:tcBorders>
          </w:tcPr>
          <w:p w:rsidR="00212513" w:rsidRDefault="00212513">
            <w:pPr>
              <w:pStyle w:val="ConsPlusNormal"/>
              <w:jc w:val="center"/>
            </w:pPr>
            <w:r>
              <w:t>10,51</w:t>
            </w:r>
          </w:p>
        </w:tc>
        <w:tc>
          <w:tcPr>
            <w:tcW w:w="1791" w:type="dxa"/>
            <w:tcBorders>
              <w:top w:val="nil"/>
              <w:bottom w:val="nil"/>
            </w:tcBorders>
          </w:tcPr>
          <w:p w:rsidR="00212513" w:rsidRDefault="00212513">
            <w:pPr>
              <w:pStyle w:val="ConsPlusNormal"/>
              <w:jc w:val="center"/>
            </w:pPr>
            <w:r>
              <w:t>168,2</w:t>
            </w:r>
          </w:p>
        </w:tc>
        <w:tc>
          <w:tcPr>
            <w:tcW w:w="1794" w:type="dxa"/>
            <w:tcBorders>
              <w:top w:val="nil"/>
              <w:bottom w:val="nil"/>
            </w:tcBorders>
          </w:tcPr>
          <w:p w:rsidR="00212513" w:rsidRDefault="00212513">
            <w:pPr>
              <w:pStyle w:val="ConsPlusNormal"/>
              <w:jc w:val="center"/>
            </w:pPr>
            <w:r>
              <w:t>147,2</w:t>
            </w:r>
          </w:p>
        </w:tc>
      </w:tr>
      <w:tr w:rsidR="00212513">
        <w:tblPrEx>
          <w:tblBorders>
            <w:insideH w:val="none" w:sz="0" w:space="0" w:color="auto"/>
          </w:tblBorders>
        </w:tblPrEx>
        <w:tc>
          <w:tcPr>
            <w:tcW w:w="1871" w:type="dxa"/>
            <w:tcBorders>
              <w:top w:val="nil"/>
              <w:bottom w:val="nil"/>
            </w:tcBorders>
          </w:tcPr>
          <w:p w:rsidR="00212513" w:rsidRDefault="00212513">
            <w:pPr>
              <w:pStyle w:val="ConsPlusNormal"/>
              <w:jc w:val="center"/>
            </w:pPr>
            <w:r>
              <w:lastRenderedPageBreak/>
              <w:t>45</w:t>
            </w:r>
          </w:p>
        </w:tc>
        <w:tc>
          <w:tcPr>
            <w:tcW w:w="1791" w:type="dxa"/>
            <w:tcBorders>
              <w:top w:val="nil"/>
              <w:bottom w:val="nil"/>
            </w:tcBorders>
          </w:tcPr>
          <w:p w:rsidR="00212513" w:rsidRDefault="00212513">
            <w:pPr>
              <w:pStyle w:val="ConsPlusNormal"/>
              <w:jc w:val="center"/>
            </w:pPr>
            <w:r>
              <w:t>11,61</w:t>
            </w:r>
          </w:p>
        </w:tc>
        <w:tc>
          <w:tcPr>
            <w:tcW w:w="1791" w:type="dxa"/>
            <w:tcBorders>
              <w:top w:val="nil"/>
              <w:bottom w:val="nil"/>
            </w:tcBorders>
          </w:tcPr>
          <w:p w:rsidR="00212513" w:rsidRDefault="00212513">
            <w:pPr>
              <w:pStyle w:val="ConsPlusNormal"/>
              <w:jc w:val="center"/>
            </w:pPr>
            <w:r>
              <w:t>10,16</w:t>
            </w:r>
          </w:p>
        </w:tc>
        <w:tc>
          <w:tcPr>
            <w:tcW w:w="1791" w:type="dxa"/>
            <w:tcBorders>
              <w:top w:val="nil"/>
              <w:bottom w:val="nil"/>
            </w:tcBorders>
          </w:tcPr>
          <w:p w:rsidR="00212513" w:rsidRDefault="00212513">
            <w:pPr>
              <w:pStyle w:val="ConsPlusNormal"/>
              <w:jc w:val="center"/>
            </w:pPr>
            <w:r>
              <w:t>162,6</w:t>
            </w:r>
          </w:p>
        </w:tc>
        <w:tc>
          <w:tcPr>
            <w:tcW w:w="1794" w:type="dxa"/>
            <w:tcBorders>
              <w:top w:val="nil"/>
              <w:bottom w:val="nil"/>
            </w:tcBorders>
          </w:tcPr>
          <w:p w:rsidR="00212513" w:rsidRDefault="00212513">
            <w:pPr>
              <w:pStyle w:val="ConsPlusNormal"/>
              <w:jc w:val="center"/>
            </w:pPr>
            <w:r>
              <w:t>142,2</w:t>
            </w:r>
          </w:p>
        </w:tc>
      </w:tr>
      <w:tr w:rsidR="00212513">
        <w:tblPrEx>
          <w:tblBorders>
            <w:insideH w:val="none" w:sz="0" w:space="0" w:color="auto"/>
          </w:tblBorders>
        </w:tblPrEx>
        <w:tc>
          <w:tcPr>
            <w:tcW w:w="1871" w:type="dxa"/>
            <w:tcBorders>
              <w:top w:val="nil"/>
              <w:bottom w:val="nil"/>
            </w:tcBorders>
          </w:tcPr>
          <w:p w:rsidR="00212513" w:rsidRDefault="00212513">
            <w:pPr>
              <w:pStyle w:val="ConsPlusNormal"/>
              <w:jc w:val="center"/>
            </w:pPr>
            <w:r>
              <w:t>50</w:t>
            </w:r>
          </w:p>
        </w:tc>
        <w:tc>
          <w:tcPr>
            <w:tcW w:w="1791" w:type="dxa"/>
            <w:tcBorders>
              <w:top w:val="nil"/>
              <w:bottom w:val="nil"/>
            </w:tcBorders>
          </w:tcPr>
          <w:p w:rsidR="00212513" w:rsidRDefault="00212513">
            <w:pPr>
              <w:pStyle w:val="ConsPlusNormal"/>
              <w:jc w:val="center"/>
            </w:pPr>
            <w:r>
              <w:t>11,29</w:t>
            </w:r>
          </w:p>
        </w:tc>
        <w:tc>
          <w:tcPr>
            <w:tcW w:w="1791" w:type="dxa"/>
            <w:tcBorders>
              <w:top w:val="nil"/>
              <w:bottom w:val="nil"/>
            </w:tcBorders>
          </w:tcPr>
          <w:p w:rsidR="00212513" w:rsidRDefault="00212513">
            <w:pPr>
              <w:pStyle w:val="ConsPlusNormal"/>
              <w:jc w:val="center"/>
            </w:pPr>
            <w:r>
              <w:t>9,875</w:t>
            </w:r>
          </w:p>
        </w:tc>
        <w:tc>
          <w:tcPr>
            <w:tcW w:w="1791" w:type="dxa"/>
            <w:tcBorders>
              <w:top w:val="nil"/>
              <w:bottom w:val="nil"/>
            </w:tcBorders>
          </w:tcPr>
          <w:p w:rsidR="00212513" w:rsidRDefault="00212513">
            <w:pPr>
              <w:pStyle w:val="ConsPlusNormal"/>
              <w:jc w:val="center"/>
            </w:pPr>
            <w:r>
              <w:t>158,0</w:t>
            </w:r>
          </w:p>
        </w:tc>
        <w:tc>
          <w:tcPr>
            <w:tcW w:w="1794" w:type="dxa"/>
            <w:tcBorders>
              <w:top w:val="nil"/>
              <w:bottom w:val="nil"/>
            </w:tcBorders>
          </w:tcPr>
          <w:p w:rsidR="00212513" w:rsidRDefault="00212513">
            <w:pPr>
              <w:pStyle w:val="ConsPlusNormal"/>
              <w:jc w:val="center"/>
            </w:pPr>
            <w:r>
              <w:t>138,3</w:t>
            </w:r>
          </w:p>
        </w:tc>
      </w:tr>
      <w:tr w:rsidR="00212513">
        <w:tblPrEx>
          <w:tblBorders>
            <w:insideH w:val="none" w:sz="0" w:space="0" w:color="auto"/>
          </w:tblBorders>
        </w:tblPrEx>
        <w:tc>
          <w:tcPr>
            <w:tcW w:w="1871" w:type="dxa"/>
            <w:tcBorders>
              <w:top w:val="nil"/>
              <w:bottom w:val="nil"/>
            </w:tcBorders>
          </w:tcPr>
          <w:p w:rsidR="00212513" w:rsidRDefault="00212513">
            <w:pPr>
              <w:pStyle w:val="ConsPlusNormal"/>
              <w:jc w:val="center"/>
            </w:pPr>
            <w:r>
              <w:t>60</w:t>
            </w:r>
          </w:p>
        </w:tc>
        <w:tc>
          <w:tcPr>
            <w:tcW w:w="1791" w:type="dxa"/>
            <w:tcBorders>
              <w:top w:val="nil"/>
              <w:bottom w:val="nil"/>
            </w:tcBorders>
          </w:tcPr>
          <w:p w:rsidR="00212513" w:rsidRDefault="00212513">
            <w:pPr>
              <w:pStyle w:val="ConsPlusNormal"/>
              <w:jc w:val="center"/>
            </w:pPr>
            <w:r>
              <w:t>10,80</w:t>
            </w:r>
          </w:p>
        </w:tc>
        <w:tc>
          <w:tcPr>
            <w:tcW w:w="1791" w:type="dxa"/>
            <w:tcBorders>
              <w:top w:val="nil"/>
              <w:bottom w:val="nil"/>
            </w:tcBorders>
          </w:tcPr>
          <w:p w:rsidR="00212513" w:rsidRDefault="00212513">
            <w:pPr>
              <w:pStyle w:val="ConsPlusNormal"/>
              <w:jc w:val="center"/>
            </w:pPr>
            <w:r>
              <w:t>9,807</w:t>
            </w:r>
          </w:p>
        </w:tc>
        <w:tc>
          <w:tcPr>
            <w:tcW w:w="1791" w:type="dxa"/>
            <w:tcBorders>
              <w:top w:val="nil"/>
              <w:bottom w:val="nil"/>
            </w:tcBorders>
          </w:tcPr>
          <w:p w:rsidR="00212513" w:rsidRDefault="00212513">
            <w:pPr>
              <w:pStyle w:val="ConsPlusNormal"/>
              <w:jc w:val="center"/>
            </w:pPr>
            <w:r>
              <w:t>151,1</w:t>
            </w:r>
          </w:p>
        </w:tc>
        <w:tc>
          <w:tcPr>
            <w:tcW w:w="1794" w:type="dxa"/>
            <w:tcBorders>
              <w:top w:val="nil"/>
              <w:bottom w:val="nil"/>
            </w:tcBorders>
          </w:tcPr>
          <w:p w:rsidR="00212513" w:rsidRDefault="00212513">
            <w:pPr>
              <w:pStyle w:val="ConsPlusNormal"/>
              <w:jc w:val="center"/>
            </w:pPr>
            <w:r>
              <w:t>137,3</w:t>
            </w:r>
          </w:p>
        </w:tc>
      </w:tr>
      <w:tr w:rsidR="00212513">
        <w:tblPrEx>
          <w:tblBorders>
            <w:insideH w:val="none" w:sz="0" w:space="0" w:color="auto"/>
          </w:tblBorders>
        </w:tblPrEx>
        <w:tc>
          <w:tcPr>
            <w:tcW w:w="1871" w:type="dxa"/>
            <w:tcBorders>
              <w:top w:val="nil"/>
              <w:bottom w:val="nil"/>
            </w:tcBorders>
          </w:tcPr>
          <w:p w:rsidR="00212513" w:rsidRDefault="00212513">
            <w:pPr>
              <w:pStyle w:val="ConsPlusNormal"/>
              <w:jc w:val="center"/>
            </w:pPr>
            <w:r>
              <w:t>70</w:t>
            </w:r>
          </w:p>
        </w:tc>
        <w:tc>
          <w:tcPr>
            <w:tcW w:w="1791" w:type="dxa"/>
            <w:tcBorders>
              <w:top w:val="nil"/>
              <w:bottom w:val="nil"/>
            </w:tcBorders>
          </w:tcPr>
          <w:p w:rsidR="00212513" w:rsidRDefault="00212513">
            <w:pPr>
              <w:pStyle w:val="ConsPlusNormal"/>
              <w:jc w:val="center"/>
            </w:pPr>
            <w:r>
              <w:t>10,47</w:t>
            </w:r>
          </w:p>
        </w:tc>
        <w:tc>
          <w:tcPr>
            <w:tcW w:w="1791" w:type="dxa"/>
            <w:tcBorders>
              <w:top w:val="nil"/>
              <w:bottom w:val="nil"/>
            </w:tcBorders>
          </w:tcPr>
          <w:p w:rsidR="00212513" w:rsidRDefault="00212513">
            <w:pPr>
              <w:pStyle w:val="ConsPlusNormal"/>
              <w:jc w:val="center"/>
            </w:pPr>
            <w:r>
              <w:t>9,807</w:t>
            </w:r>
          </w:p>
        </w:tc>
        <w:tc>
          <w:tcPr>
            <w:tcW w:w="1791" w:type="dxa"/>
            <w:tcBorders>
              <w:top w:val="nil"/>
              <w:bottom w:val="nil"/>
            </w:tcBorders>
          </w:tcPr>
          <w:p w:rsidR="00212513" w:rsidRDefault="00212513">
            <w:pPr>
              <w:pStyle w:val="ConsPlusNormal"/>
              <w:jc w:val="center"/>
            </w:pPr>
            <w:r>
              <w:t>146,6</w:t>
            </w:r>
          </w:p>
        </w:tc>
        <w:tc>
          <w:tcPr>
            <w:tcW w:w="1794" w:type="dxa"/>
            <w:tcBorders>
              <w:top w:val="nil"/>
              <w:bottom w:val="nil"/>
            </w:tcBorders>
          </w:tcPr>
          <w:p w:rsidR="00212513" w:rsidRDefault="00212513">
            <w:pPr>
              <w:pStyle w:val="ConsPlusNormal"/>
              <w:jc w:val="center"/>
            </w:pPr>
            <w:r>
              <w:t>137,3</w:t>
            </w:r>
          </w:p>
        </w:tc>
      </w:tr>
      <w:tr w:rsidR="00212513">
        <w:tblPrEx>
          <w:tblBorders>
            <w:insideH w:val="none" w:sz="0" w:space="0" w:color="auto"/>
          </w:tblBorders>
        </w:tblPrEx>
        <w:tc>
          <w:tcPr>
            <w:tcW w:w="1871" w:type="dxa"/>
            <w:tcBorders>
              <w:top w:val="nil"/>
              <w:bottom w:val="nil"/>
            </w:tcBorders>
          </w:tcPr>
          <w:p w:rsidR="00212513" w:rsidRDefault="00212513">
            <w:pPr>
              <w:pStyle w:val="ConsPlusNormal"/>
              <w:jc w:val="center"/>
            </w:pPr>
            <w:r>
              <w:t>80</w:t>
            </w:r>
          </w:p>
        </w:tc>
        <w:tc>
          <w:tcPr>
            <w:tcW w:w="1791" w:type="dxa"/>
            <w:tcBorders>
              <w:top w:val="nil"/>
              <w:bottom w:val="nil"/>
            </w:tcBorders>
          </w:tcPr>
          <w:p w:rsidR="00212513" w:rsidRDefault="00212513">
            <w:pPr>
              <w:pStyle w:val="ConsPlusNormal"/>
              <w:jc w:val="center"/>
            </w:pPr>
            <w:r>
              <w:t>10,26</w:t>
            </w:r>
          </w:p>
        </w:tc>
        <w:tc>
          <w:tcPr>
            <w:tcW w:w="1791" w:type="dxa"/>
            <w:tcBorders>
              <w:top w:val="nil"/>
              <w:bottom w:val="nil"/>
            </w:tcBorders>
          </w:tcPr>
          <w:p w:rsidR="00212513" w:rsidRDefault="00212513">
            <w:pPr>
              <w:pStyle w:val="ConsPlusNormal"/>
              <w:jc w:val="center"/>
            </w:pPr>
            <w:r>
              <w:t>9,807</w:t>
            </w:r>
          </w:p>
        </w:tc>
        <w:tc>
          <w:tcPr>
            <w:tcW w:w="1791" w:type="dxa"/>
            <w:tcBorders>
              <w:top w:val="nil"/>
              <w:bottom w:val="nil"/>
            </w:tcBorders>
          </w:tcPr>
          <w:p w:rsidR="00212513" w:rsidRDefault="00212513">
            <w:pPr>
              <w:pStyle w:val="ConsPlusNormal"/>
              <w:jc w:val="center"/>
            </w:pPr>
            <w:r>
              <w:t>143,6</w:t>
            </w:r>
          </w:p>
        </w:tc>
        <w:tc>
          <w:tcPr>
            <w:tcW w:w="1794" w:type="dxa"/>
            <w:tcBorders>
              <w:top w:val="nil"/>
              <w:bottom w:val="nil"/>
            </w:tcBorders>
          </w:tcPr>
          <w:p w:rsidR="00212513" w:rsidRDefault="00212513">
            <w:pPr>
              <w:pStyle w:val="ConsPlusNormal"/>
              <w:jc w:val="center"/>
            </w:pPr>
            <w:r>
              <w:t>137,3</w:t>
            </w:r>
          </w:p>
        </w:tc>
      </w:tr>
      <w:tr w:rsidR="00212513">
        <w:tblPrEx>
          <w:tblBorders>
            <w:insideH w:val="none" w:sz="0" w:space="0" w:color="auto"/>
          </w:tblBorders>
        </w:tblPrEx>
        <w:tc>
          <w:tcPr>
            <w:tcW w:w="1871" w:type="dxa"/>
            <w:tcBorders>
              <w:top w:val="nil"/>
              <w:bottom w:val="nil"/>
            </w:tcBorders>
          </w:tcPr>
          <w:p w:rsidR="00212513" w:rsidRDefault="00212513">
            <w:pPr>
              <w:pStyle w:val="ConsPlusNormal"/>
              <w:jc w:val="center"/>
            </w:pPr>
            <w:r>
              <w:t>90</w:t>
            </w:r>
          </w:p>
        </w:tc>
        <w:tc>
          <w:tcPr>
            <w:tcW w:w="1791" w:type="dxa"/>
            <w:tcBorders>
              <w:top w:val="nil"/>
              <w:bottom w:val="nil"/>
            </w:tcBorders>
          </w:tcPr>
          <w:p w:rsidR="00212513" w:rsidRDefault="00212513">
            <w:pPr>
              <w:pStyle w:val="ConsPlusNormal"/>
              <w:jc w:val="center"/>
            </w:pPr>
            <w:r>
              <w:t>10,10</w:t>
            </w:r>
          </w:p>
        </w:tc>
        <w:tc>
          <w:tcPr>
            <w:tcW w:w="1791" w:type="dxa"/>
            <w:tcBorders>
              <w:top w:val="nil"/>
              <w:bottom w:val="nil"/>
            </w:tcBorders>
          </w:tcPr>
          <w:p w:rsidR="00212513" w:rsidRDefault="00212513">
            <w:pPr>
              <w:pStyle w:val="ConsPlusNormal"/>
              <w:jc w:val="center"/>
            </w:pPr>
            <w:r>
              <w:t>9,807</w:t>
            </w:r>
          </w:p>
        </w:tc>
        <w:tc>
          <w:tcPr>
            <w:tcW w:w="1791" w:type="dxa"/>
            <w:tcBorders>
              <w:top w:val="nil"/>
              <w:bottom w:val="nil"/>
            </w:tcBorders>
          </w:tcPr>
          <w:p w:rsidR="00212513" w:rsidRDefault="00212513">
            <w:pPr>
              <w:pStyle w:val="ConsPlusNormal"/>
              <w:jc w:val="center"/>
            </w:pPr>
            <w:r>
              <w:t>141,4</w:t>
            </w:r>
          </w:p>
        </w:tc>
        <w:tc>
          <w:tcPr>
            <w:tcW w:w="1794" w:type="dxa"/>
            <w:tcBorders>
              <w:top w:val="nil"/>
              <w:bottom w:val="nil"/>
            </w:tcBorders>
          </w:tcPr>
          <w:p w:rsidR="00212513" w:rsidRDefault="00212513">
            <w:pPr>
              <w:pStyle w:val="ConsPlusNormal"/>
              <w:jc w:val="center"/>
            </w:pPr>
            <w:r>
              <w:t>137,3</w:t>
            </w:r>
          </w:p>
        </w:tc>
      </w:tr>
      <w:tr w:rsidR="00212513">
        <w:tblPrEx>
          <w:tblBorders>
            <w:insideH w:val="none" w:sz="0" w:space="0" w:color="auto"/>
          </w:tblBorders>
        </w:tblPrEx>
        <w:tc>
          <w:tcPr>
            <w:tcW w:w="1871" w:type="dxa"/>
            <w:tcBorders>
              <w:top w:val="nil"/>
              <w:bottom w:val="nil"/>
            </w:tcBorders>
          </w:tcPr>
          <w:p w:rsidR="00212513" w:rsidRDefault="00212513">
            <w:pPr>
              <w:pStyle w:val="ConsPlusNormal"/>
              <w:jc w:val="center"/>
            </w:pPr>
            <w:r>
              <w:t>100</w:t>
            </w:r>
          </w:p>
        </w:tc>
        <w:tc>
          <w:tcPr>
            <w:tcW w:w="1791" w:type="dxa"/>
            <w:tcBorders>
              <w:top w:val="nil"/>
              <w:bottom w:val="nil"/>
            </w:tcBorders>
          </w:tcPr>
          <w:p w:rsidR="00212513" w:rsidRDefault="00212513">
            <w:pPr>
              <w:pStyle w:val="ConsPlusNormal"/>
              <w:jc w:val="center"/>
            </w:pPr>
            <w:r>
              <w:t>10,00</w:t>
            </w:r>
          </w:p>
        </w:tc>
        <w:tc>
          <w:tcPr>
            <w:tcW w:w="1791" w:type="dxa"/>
            <w:tcBorders>
              <w:top w:val="nil"/>
              <w:bottom w:val="nil"/>
            </w:tcBorders>
          </w:tcPr>
          <w:p w:rsidR="00212513" w:rsidRDefault="00212513">
            <w:pPr>
              <w:pStyle w:val="ConsPlusNormal"/>
              <w:jc w:val="center"/>
            </w:pPr>
            <w:r>
              <w:t>9,807</w:t>
            </w:r>
          </w:p>
        </w:tc>
        <w:tc>
          <w:tcPr>
            <w:tcW w:w="1791" w:type="dxa"/>
            <w:tcBorders>
              <w:top w:val="nil"/>
              <w:bottom w:val="nil"/>
            </w:tcBorders>
          </w:tcPr>
          <w:p w:rsidR="00212513" w:rsidRDefault="00212513">
            <w:pPr>
              <w:pStyle w:val="ConsPlusNormal"/>
              <w:jc w:val="center"/>
            </w:pPr>
            <w:r>
              <w:t>140,0</w:t>
            </w:r>
          </w:p>
        </w:tc>
        <w:tc>
          <w:tcPr>
            <w:tcW w:w="1794" w:type="dxa"/>
            <w:tcBorders>
              <w:top w:val="nil"/>
              <w:bottom w:val="nil"/>
            </w:tcBorders>
          </w:tcPr>
          <w:p w:rsidR="00212513" w:rsidRDefault="00212513">
            <w:pPr>
              <w:pStyle w:val="ConsPlusNormal"/>
              <w:jc w:val="center"/>
            </w:pPr>
            <w:r>
              <w:t>137,3</w:t>
            </w:r>
          </w:p>
        </w:tc>
      </w:tr>
      <w:tr w:rsidR="00212513">
        <w:tblPrEx>
          <w:tblBorders>
            <w:insideH w:val="none" w:sz="0" w:space="0" w:color="auto"/>
          </w:tblBorders>
        </w:tblPrEx>
        <w:tc>
          <w:tcPr>
            <w:tcW w:w="1871" w:type="dxa"/>
            <w:tcBorders>
              <w:top w:val="nil"/>
              <w:bottom w:val="nil"/>
            </w:tcBorders>
          </w:tcPr>
          <w:p w:rsidR="00212513" w:rsidRDefault="00212513">
            <w:pPr>
              <w:pStyle w:val="ConsPlusNormal"/>
              <w:jc w:val="center"/>
            </w:pPr>
            <w:r>
              <w:t>110</w:t>
            </w:r>
          </w:p>
        </w:tc>
        <w:tc>
          <w:tcPr>
            <w:tcW w:w="1791" w:type="dxa"/>
            <w:tcBorders>
              <w:top w:val="nil"/>
              <w:bottom w:val="nil"/>
            </w:tcBorders>
          </w:tcPr>
          <w:p w:rsidR="00212513" w:rsidRDefault="00212513">
            <w:pPr>
              <w:pStyle w:val="ConsPlusNormal"/>
              <w:jc w:val="center"/>
            </w:pPr>
            <w:r>
              <w:t>9,944</w:t>
            </w:r>
          </w:p>
        </w:tc>
        <w:tc>
          <w:tcPr>
            <w:tcW w:w="1791" w:type="dxa"/>
            <w:tcBorders>
              <w:top w:val="nil"/>
              <w:bottom w:val="nil"/>
            </w:tcBorders>
          </w:tcPr>
          <w:p w:rsidR="00212513" w:rsidRDefault="00212513">
            <w:pPr>
              <w:pStyle w:val="ConsPlusNormal"/>
              <w:jc w:val="center"/>
            </w:pPr>
            <w:r>
              <w:t>9,807</w:t>
            </w:r>
          </w:p>
        </w:tc>
        <w:tc>
          <w:tcPr>
            <w:tcW w:w="1791" w:type="dxa"/>
            <w:tcBorders>
              <w:top w:val="nil"/>
              <w:bottom w:val="nil"/>
            </w:tcBorders>
          </w:tcPr>
          <w:p w:rsidR="00212513" w:rsidRDefault="00212513">
            <w:pPr>
              <w:pStyle w:val="ConsPlusNormal"/>
              <w:jc w:val="center"/>
            </w:pPr>
            <w:r>
              <w:t>139,3</w:t>
            </w:r>
          </w:p>
        </w:tc>
        <w:tc>
          <w:tcPr>
            <w:tcW w:w="1794" w:type="dxa"/>
            <w:tcBorders>
              <w:top w:val="nil"/>
              <w:bottom w:val="nil"/>
            </w:tcBorders>
          </w:tcPr>
          <w:p w:rsidR="00212513" w:rsidRDefault="00212513">
            <w:pPr>
              <w:pStyle w:val="ConsPlusNormal"/>
              <w:jc w:val="center"/>
            </w:pPr>
            <w:r>
              <w:t>137,3</w:t>
            </w:r>
          </w:p>
        </w:tc>
      </w:tr>
      <w:tr w:rsidR="00212513">
        <w:tblPrEx>
          <w:tblBorders>
            <w:insideH w:val="none" w:sz="0" w:space="0" w:color="auto"/>
          </w:tblBorders>
        </w:tblPrEx>
        <w:tc>
          <w:tcPr>
            <w:tcW w:w="1871" w:type="dxa"/>
            <w:tcBorders>
              <w:top w:val="nil"/>
              <w:bottom w:val="nil"/>
            </w:tcBorders>
          </w:tcPr>
          <w:p w:rsidR="00212513" w:rsidRDefault="00212513">
            <w:pPr>
              <w:pStyle w:val="ConsPlusNormal"/>
              <w:jc w:val="center"/>
            </w:pPr>
            <w:r>
              <w:t>120</w:t>
            </w:r>
          </w:p>
        </w:tc>
        <w:tc>
          <w:tcPr>
            <w:tcW w:w="1791" w:type="dxa"/>
            <w:tcBorders>
              <w:top w:val="nil"/>
              <w:bottom w:val="nil"/>
            </w:tcBorders>
          </w:tcPr>
          <w:p w:rsidR="00212513" w:rsidRDefault="00212513">
            <w:pPr>
              <w:pStyle w:val="ConsPlusNormal"/>
              <w:jc w:val="center"/>
            </w:pPr>
            <w:r>
              <w:t>9,895</w:t>
            </w:r>
          </w:p>
        </w:tc>
        <w:tc>
          <w:tcPr>
            <w:tcW w:w="1791" w:type="dxa"/>
            <w:tcBorders>
              <w:top w:val="nil"/>
              <w:bottom w:val="nil"/>
            </w:tcBorders>
          </w:tcPr>
          <w:p w:rsidR="00212513" w:rsidRDefault="00212513">
            <w:pPr>
              <w:pStyle w:val="ConsPlusNormal"/>
              <w:jc w:val="center"/>
            </w:pPr>
            <w:r>
              <w:t>9,807</w:t>
            </w:r>
          </w:p>
        </w:tc>
        <w:tc>
          <w:tcPr>
            <w:tcW w:w="1791" w:type="dxa"/>
            <w:tcBorders>
              <w:top w:val="nil"/>
              <w:bottom w:val="nil"/>
            </w:tcBorders>
          </w:tcPr>
          <w:p w:rsidR="00212513" w:rsidRDefault="00212513">
            <w:pPr>
              <w:pStyle w:val="ConsPlusNormal"/>
              <w:jc w:val="center"/>
            </w:pPr>
            <w:r>
              <w:t>138,6</w:t>
            </w:r>
          </w:p>
        </w:tc>
        <w:tc>
          <w:tcPr>
            <w:tcW w:w="1794" w:type="dxa"/>
            <w:tcBorders>
              <w:top w:val="nil"/>
              <w:bottom w:val="nil"/>
            </w:tcBorders>
          </w:tcPr>
          <w:p w:rsidR="00212513" w:rsidRDefault="00212513">
            <w:pPr>
              <w:pStyle w:val="ConsPlusNormal"/>
              <w:jc w:val="center"/>
            </w:pPr>
            <w:r>
              <w:t>137,3</w:t>
            </w:r>
          </w:p>
        </w:tc>
      </w:tr>
      <w:tr w:rsidR="00212513">
        <w:tblPrEx>
          <w:tblBorders>
            <w:insideH w:val="none" w:sz="0" w:space="0" w:color="auto"/>
          </w:tblBorders>
        </w:tblPrEx>
        <w:tc>
          <w:tcPr>
            <w:tcW w:w="1871" w:type="dxa"/>
            <w:tcBorders>
              <w:top w:val="nil"/>
              <w:bottom w:val="nil"/>
            </w:tcBorders>
          </w:tcPr>
          <w:p w:rsidR="00212513" w:rsidRDefault="00212513">
            <w:pPr>
              <w:pStyle w:val="ConsPlusNormal"/>
              <w:jc w:val="center"/>
            </w:pPr>
            <w:r>
              <w:t>130</w:t>
            </w:r>
          </w:p>
        </w:tc>
        <w:tc>
          <w:tcPr>
            <w:tcW w:w="1791" w:type="dxa"/>
            <w:tcBorders>
              <w:top w:val="nil"/>
              <w:bottom w:val="nil"/>
            </w:tcBorders>
          </w:tcPr>
          <w:p w:rsidR="00212513" w:rsidRDefault="00212513">
            <w:pPr>
              <w:pStyle w:val="ConsPlusNormal"/>
              <w:jc w:val="center"/>
            </w:pPr>
            <w:r>
              <w:t>9,865</w:t>
            </w:r>
          </w:p>
        </w:tc>
        <w:tc>
          <w:tcPr>
            <w:tcW w:w="1791" w:type="dxa"/>
            <w:tcBorders>
              <w:top w:val="nil"/>
              <w:bottom w:val="nil"/>
            </w:tcBorders>
          </w:tcPr>
          <w:p w:rsidR="00212513" w:rsidRDefault="00212513">
            <w:pPr>
              <w:pStyle w:val="ConsPlusNormal"/>
              <w:jc w:val="center"/>
            </w:pPr>
            <w:r>
              <w:t>9,807</w:t>
            </w:r>
          </w:p>
        </w:tc>
        <w:tc>
          <w:tcPr>
            <w:tcW w:w="1791" w:type="dxa"/>
            <w:tcBorders>
              <w:top w:val="nil"/>
              <w:bottom w:val="nil"/>
            </w:tcBorders>
          </w:tcPr>
          <w:p w:rsidR="00212513" w:rsidRDefault="00212513">
            <w:pPr>
              <w:pStyle w:val="ConsPlusNormal"/>
              <w:jc w:val="center"/>
            </w:pPr>
            <w:r>
              <w:t>138,1</w:t>
            </w:r>
          </w:p>
        </w:tc>
        <w:tc>
          <w:tcPr>
            <w:tcW w:w="1794" w:type="dxa"/>
            <w:tcBorders>
              <w:top w:val="nil"/>
              <w:bottom w:val="nil"/>
            </w:tcBorders>
          </w:tcPr>
          <w:p w:rsidR="00212513" w:rsidRDefault="00212513">
            <w:pPr>
              <w:pStyle w:val="ConsPlusNormal"/>
              <w:jc w:val="center"/>
            </w:pPr>
            <w:r>
              <w:t>137,3</w:t>
            </w:r>
          </w:p>
        </w:tc>
      </w:tr>
      <w:tr w:rsidR="00212513">
        <w:tblPrEx>
          <w:tblBorders>
            <w:insideH w:val="none" w:sz="0" w:space="0" w:color="auto"/>
          </w:tblBorders>
        </w:tblPrEx>
        <w:tc>
          <w:tcPr>
            <w:tcW w:w="1871" w:type="dxa"/>
            <w:tcBorders>
              <w:top w:val="nil"/>
              <w:bottom w:val="nil"/>
            </w:tcBorders>
          </w:tcPr>
          <w:p w:rsidR="00212513" w:rsidRDefault="00212513">
            <w:pPr>
              <w:pStyle w:val="ConsPlusNormal"/>
              <w:jc w:val="center"/>
            </w:pPr>
            <w:r>
              <w:t>140</w:t>
            </w:r>
          </w:p>
        </w:tc>
        <w:tc>
          <w:tcPr>
            <w:tcW w:w="1791" w:type="dxa"/>
            <w:tcBorders>
              <w:top w:val="nil"/>
              <w:bottom w:val="nil"/>
            </w:tcBorders>
          </w:tcPr>
          <w:p w:rsidR="00212513" w:rsidRDefault="00212513">
            <w:pPr>
              <w:pStyle w:val="ConsPlusNormal"/>
              <w:jc w:val="center"/>
            </w:pPr>
            <w:r>
              <w:t>9,846</w:t>
            </w:r>
          </w:p>
        </w:tc>
        <w:tc>
          <w:tcPr>
            <w:tcW w:w="1791" w:type="dxa"/>
            <w:tcBorders>
              <w:top w:val="nil"/>
              <w:bottom w:val="nil"/>
            </w:tcBorders>
          </w:tcPr>
          <w:p w:rsidR="00212513" w:rsidRDefault="00212513">
            <w:pPr>
              <w:pStyle w:val="ConsPlusNormal"/>
              <w:jc w:val="center"/>
            </w:pPr>
            <w:r>
              <w:t>9,807</w:t>
            </w:r>
          </w:p>
        </w:tc>
        <w:tc>
          <w:tcPr>
            <w:tcW w:w="1791" w:type="dxa"/>
            <w:tcBorders>
              <w:top w:val="nil"/>
              <w:bottom w:val="nil"/>
            </w:tcBorders>
          </w:tcPr>
          <w:p w:rsidR="00212513" w:rsidRDefault="00212513">
            <w:pPr>
              <w:pStyle w:val="ConsPlusNormal"/>
              <w:jc w:val="center"/>
            </w:pPr>
            <w:r>
              <w:t>137,9</w:t>
            </w:r>
          </w:p>
        </w:tc>
        <w:tc>
          <w:tcPr>
            <w:tcW w:w="1794" w:type="dxa"/>
            <w:tcBorders>
              <w:top w:val="nil"/>
              <w:bottom w:val="nil"/>
            </w:tcBorders>
          </w:tcPr>
          <w:p w:rsidR="00212513" w:rsidRDefault="00212513">
            <w:pPr>
              <w:pStyle w:val="ConsPlusNormal"/>
              <w:jc w:val="center"/>
            </w:pPr>
            <w:r>
              <w:t>137,3</w:t>
            </w:r>
          </w:p>
        </w:tc>
      </w:tr>
      <w:tr w:rsidR="00212513">
        <w:tblPrEx>
          <w:tblBorders>
            <w:insideH w:val="none" w:sz="0" w:space="0" w:color="auto"/>
          </w:tblBorders>
        </w:tblPrEx>
        <w:tc>
          <w:tcPr>
            <w:tcW w:w="1871" w:type="dxa"/>
            <w:tcBorders>
              <w:top w:val="nil"/>
              <w:bottom w:val="single" w:sz="4" w:space="0" w:color="auto"/>
            </w:tcBorders>
          </w:tcPr>
          <w:p w:rsidR="00212513" w:rsidRDefault="00212513">
            <w:pPr>
              <w:pStyle w:val="ConsPlusNormal"/>
              <w:jc w:val="center"/>
            </w:pPr>
            <w:r>
              <w:t>150 и более</w:t>
            </w:r>
          </w:p>
        </w:tc>
        <w:tc>
          <w:tcPr>
            <w:tcW w:w="1791" w:type="dxa"/>
            <w:tcBorders>
              <w:top w:val="nil"/>
              <w:bottom w:val="single" w:sz="4" w:space="0" w:color="auto"/>
            </w:tcBorders>
          </w:tcPr>
          <w:p w:rsidR="00212513" w:rsidRDefault="00212513">
            <w:pPr>
              <w:pStyle w:val="ConsPlusNormal"/>
              <w:jc w:val="center"/>
            </w:pPr>
            <w:r>
              <w:t>9,807</w:t>
            </w:r>
          </w:p>
        </w:tc>
        <w:tc>
          <w:tcPr>
            <w:tcW w:w="1791" w:type="dxa"/>
            <w:tcBorders>
              <w:top w:val="nil"/>
              <w:bottom w:val="single" w:sz="4" w:space="0" w:color="auto"/>
            </w:tcBorders>
          </w:tcPr>
          <w:p w:rsidR="00212513" w:rsidRDefault="00212513">
            <w:pPr>
              <w:pStyle w:val="ConsPlusNormal"/>
              <w:jc w:val="center"/>
            </w:pPr>
            <w:r>
              <w:t>9,807</w:t>
            </w:r>
          </w:p>
        </w:tc>
        <w:tc>
          <w:tcPr>
            <w:tcW w:w="1791" w:type="dxa"/>
            <w:tcBorders>
              <w:top w:val="nil"/>
              <w:bottom w:val="single" w:sz="4" w:space="0" w:color="auto"/>
            </w:tcBorders>
          </w:tcPr>
          <w:p w:rsidR="00212513" w:rsidRDefault="00212513">
            <w:pPr>
              <w:pStyle w:val="ConsPlusNormal"/>
              <w:jc w:val="center"/>
            </w:pPr>
            <w:r>
              <w:t>137,3</w:t>
            </w:r>
          </w:p>
        </w:tc>
        <w:tc>
          <w:tcPr>
            <w:tcW w:w="1794" w:type="dxa"/>
            <w:tcBorders>
              <w:top w:val="nil"/>
              <w:bottom w:val="single" w:sz="4" w:space="0" w:color="auto"/>
            </w:tcBorders>
          </w:tcPr>
          <w:p w:rsidR="00212513" w:rsidRDefault="00212513">
            <w:pPr>
              <w:pStyle w:val="ConsPlusNormal"/>
              <w:jc w:val="center"/>
            </w:pPr>
            <w:r>
              <w:t>137,3</w:t>
            </w:r>
          </w:p>
        </w:tc>
      </w:tr>
      <w:tr w:rsidR="00212513">
        <w:tc>
          <w:tcPr>
            <w:tcW w:w="9038" w:type="dxa"/>
            <w:gridSpan w:val="5"/>
            <w:tcBorders>
              <w:top w:val="single" w:sz="4" w:space="0" w:color="auto"/>
              <w:bottom w:val="single" w:sz="4" w:space="0" w:color="auto"/>
            </w:tcBorders>
          </w:tcPr>
          <w:p w:rsidR="00212513" w:rsidRDefault="00212513">
            <w:pPr>
              <w:pStyle w:val="ConsPlusNormal"/>
              <w:ind w:firstLine="283"/>
              <w:jc w:val="both"/>
            </w:pPr>
            <w:r>
              <w:t>Примечания</w:t>
            </w:r>
          </w:p>
          <w:p w:rsidR="00212513" w:rsidRDefault="00212513">
            <w:pPr>
              <w:pStyle w:val="ConsPlusNormal"/>
              <w:ind w:firstLine="283"/>
              <w:jc w:val="both"/>
            </w:pPr>
            <w:r>
              <w:t xml:space="preserve">1 Эквивалентные нагрузки при значениях параметров 1,5 &lt;= </w:t>
            </w:r>
            <w:r>
              <w:rPr>
                <w:i/>
              </w:rPr>
              <w:t>l</w:t>
            </w:r>
            <w:r>
              <w:t xml:space="preserve"> &lt;= 50 м (</w:t>
            </w:r>
            <w:r>
              <w:rPr>
                <w:noProof/>
                <w:position w:val="-4"/>
              </w:rPr>
              <w:drawing>
                <wp:inline distT="0" distB="0" distL="0" distR="0">
                  <wp:extent cx="418465" cy="198755"/>
                  <wp:effectExtent l="0" t="0" r="0" b="0"/>
                  <wp:docPr id="2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2" cstate="print">
                            <a:extLst>
                              <a:ext uri="{28A0092B-C50C-407E-A947-70E740481C1C}">
                                <a14:useLocalDpi xmlns:a14="http://schemas.microsoft.com/office/drawing/2010/main" val="0"/>
                              </a:ext>
                            </a:extLst>
                          </a:blip>
                          <a:srcRect/>
                          <a:stretch>
                            <a:fillRect/>
                          </a:stretch>
                        </pic:blipFill>
                        <pic:spPr bwMode="auto">
                          <a:xfrm>
                            <a:off x="0" y="0"/>
                            <a:ext cx="418465" cy="198755"/>
                          </a:xfrm>
                          <a:prstGeom prst="rect">
                            <a:avLst/>
                          </a:prstGeom>
                          <a:noFill/>
                          <a:ln>
                            <a:noFill/>
                          </a:ln>
                        </pic:spPr>
                      </pic:pic>
                    </a:graphicData>
                  </a:graphic>
                </wp:inline>
              </w:drawing>
            </w:r>
            <w:r>
              <w:t xml:space="preserve"> и </w:t>
            </w:r>
            <w:r>
              <w:rPr>
                <w:noProof/>
                <w:position w:val="-6"/>
              </w:rPr>
              <w:drawing>
                <wp:inline distT="0" distB="0" distL="0" distR="0">
                  <wp:extent cx="544830" cy="220980"/>
                  <wp:effectExtent l="0" t="0" r="0" b="0"/>
                  <wp:docPr id="2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3" cstate="print">
                            <a:extLst>
                              <a:ext uri="{28A0092B-C50C-407E-A947-70E740481C1C}">
                                <a14:useLocalDpi xmlns:a14="http://schemas.microsoft.com/office/drawing/2010/main" val="0"/>
                              </a:ext>
                            </a:extLst>
                          </a:blip>
                          <a:srcRect/>
                          <a:stretch>
                            <a:fillRect/>
                          </a:stretch>
                        </pic:blipFill>
                        <pic:spPr bwMode="auto">
                          <a:xfrm>
                            <a:off x="0" y="0"/>
                            <a:ext cx="544830" cy="220980"/>
                          </a:xfrm>
                          <a:prstGeom prst="rect">
                            <a:avLst/>
                          </a:prstGeom>
                          <a:noFill/>
                          <a:ln>
                            <a:noFill/>
                          </a:ln>
                        </pic:spPr>
                      </pic:pic>
                    </a:graphicData>
                  </a:graphic>
                </wp:inline>
              </w:drawing>
            </w:r>
            <w:r>
              <w:t xml:space="preserve">) и </w:t>
            </w:r>
            <w:r>
              <w:rPr>
                <w:noProof/>
                <w:position w:val="-6"/>
              </w:rPr>
              <w:drawing>
                <wp:inline distT="0" distB="0" distL="0" distR="0">
                  <wp:extent cx="648970" cy="220980"/>
                  <wp:effectExtent l="0" t="0" r="0" b="0"/>
                  <wp:docPr id="2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4" cstate="print">
                            <a:extLst>
                              <a:ext uri="{28A0092B-C50C-407E-A947-70E740481C1C}">
                                <a14:useLocalDpi xmlns:a14="http://schemas.microsoft.com/office/drawing/2010/main" val="0"/>
                              </a:ext>
                            </a:extLst>
                          </a:blip>
                          <a:srcRect/>
                          <a:stretch>
                            <a:fillRect/>
                          </a:stretch>
                        </pic:blipFill>
                        <pic:spPr bwMode="auto">
                          <a:xfrm>
                            <a:off x="0" y="0"/>
                            <a:ext cx="648970" cy="220980"/>
                          </a:xfrm>
                          <a:prstGeom prst="rect">
                            <a:avLst/>
                          </a:prstGeom>
                          <a:noFill/>
                          <a:ln>
                            <a:noFill/>
                          </a:ln>
                        </pic:spPr>
                      </pic:pic>
                    </a:graphicData>
                  </a:graphic>
                </wp:inline>
              </w:drawing>
            </w:r>
            <w:r>
              <w:t xml:space="preserve"> </w:t>
            </w:r>
            <w:r>
              <w:rPr>
                <w:noProof/>
                <w:position w:val="-6"/>
              </w:rPr>
              <w:drawing>
                <wp:inline distT="0" distB="0" distL="0" distR="0">
                  <wp:extent cx="535940" cy="220980"/>
                  <wp:effectExtent l="0" t="0" r="0" b="0"/>
                  <wp:docPr id="2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5" cstate="print">
                            <a:extLst>
                              <a:ext uri="{28A0092B-C50C-407E-A947-70E740481C1C}">
                                <a14:useLocalDpi xmlns:a14="http://schemas.microsoft.com/office/drawing/2010/main" val="0"/>
                              </a:ext>
                            </a:extLst>
                          </a:blip>
                          <a:srcRect/>
                          <a:stretch>
                            <a:fillRect/>
                          </a:stretch>
                        </pic:blipFill>
                        <pic:spPr bwMode="auto">
                          <a:xfrm>
                            <a:off x="0" y="0"/>
                            <a:ext cx="535940" cy="220980"/>
                          </a:xfrm>
                          <a:prstGeom prst="rect">
                            <a:avLst/>
                          </a:prstGeom>
                          <a:noFill/>
                          <a:ln>
                            <a:noFill/>
                          </a:ln>
                        </pic:spPr>
                      </pic:pic>
                    </a:graphicData>
                  </a:graphic>
                </wp:inline>
              </w:drawing>
            </w:r>
            <w:r>
              <w:t xml:space="preserve"> получены по формуле</w:t>
            </w:r>
          </w:p>
          <w:p w:rsidR="00212513" w:rsidRDefault="00212513">
            <w:pPr>
              <w:pStyle w:val="ConsPlusNormal"/>
              <w:ind w:firstLine="283"/>
              <w:jc w:val="both"/>
            </w:pPr>
          </w:p>
          <w:p w:rsidR="00212513" w:rsidRDefault="00212513">
            <w:pPr>
              <w:pStyle w:val="ConsPlusNormal"/>
              <w:jc w:val="center"/>
            </w:pPr>
            <w:r>
              <w:rPr>
                <w:noProof/>
                <w:position w:val="-26"/>
              </w:rPr>
              <w:drawing>
                <wp:inline distT="0" distB="0" distL="0" distR="0">
                  <wp:extent cx="2794000" cy="470535"/>
                  <wp:effectExtent l="0" t="0" r="0" b="0"/>
                  <wp:docPr id="2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6" cstate="print">
                            <a:extLst>
                              <a:ext uri="{28A0092B-C50C-407E-A947-70E740481C1C}">
                                <a14:useLocalDpi xmlns:a14="http://schemas.microsoft.com/office/drawing/2010/main" val="0"/>
                              </a:ext>
                            </a:extLst>
                          </a:blip>
                          <a:srcRect/>
                          <a:stretch>
                            <a:fillRect/>
                          </a:stretch>
                        </pic:blipFill>
                        <pic:spPr bwMode="auto">
                          <a:xfrm>
                            <a:off x="0" y="0"/>
                            <a:ext cx="2794000" cy="470535"/>
                          </a:xfrm>
                          <a:prstGeom prst="rect">
                            <a:avLst/>
                          </a:prstGeom>
                          <a:noFill/>
                          <a:ln>
                            <a:noFill/>
                          </a:ln>
                        </pic:spPr>
                      </pic:pic>
                    </a:graphicData>
                  </a:graphic>
                </wp:inline>
              </w:drawing>
            </w:r>
            <w:r>
              <w:t>,</w:t>
            </w:r>
          </w:p>
          <w:p w:rsidR="00212513" w:rsidRDefault="00212513">
            <w:pPr>
              <w:pStyle w:val="ConsPlusNormal"/>
              <w:ind w:firstLine="283"/>
              <w:jc w:val="both"/>
            </w:pPr>
          </w:p>
          <w:p w:rsidR="00212513" w:rsidRDefault="00212513">
            <w:pPr>
              <w:pStyle w:val="ConsPlusNormal"/>
              <w:ind w:firstLine="283"/>
              <w:jc w:val="both"/>
            </w:pPr>
            <w:r>
              <w:t xml:space="preserve">где </w:t>
            </w:r>
            <w:r>
              <w:rPr>
                <w:i/>
              </w:rPr>
              <w:t>e</w:t>
            </w:r>
            <w:r>
              <w:t xml:space="preserve"> = 2,718... - основание натуральных логарифмов.</w:t>
            </w:r>
          </w:p>
          <w:p w:rsidR="00212513" w:rsidRDefault="00212513">
            <w:pPr>
              <w:pStyle w:val="ConsPlusNormal"/>
              <w:ind w:firstLine="283"/>
              <w:jc w:val="both"/>
            </w:pPr>
            <w:r>
              <w:t xml:space="preserve">2 Для промежуточных значений длин загружения </w:t>
            </w:r>
            <w:r>
              <w:rPr>
                <w:noProof/>
                <w:position w:val="-4"/>
              </w:rPr>
              <w:drawing>
                <wp:inline distT="0" distB="0" distL="0" distR="0">
                  <wp:extent cx="156845" cy="198755"/>
                  <wp:effectExtent l="0" t="0" r="0" b="0"/>
                  <wp:docPr id="2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7"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и промежуточных положений вершин линий влияния </w:t>
            </w:r>
            <w:r>
              <w:rPr>
                <w:noProof/>
                <w:position w:val="-6"/>
              </w:rPr>
              <w:drawing>
                <wp:inline distT="0" distB="0" distL="0" distR="0">
                  <wp:extent cx="1005840" cy="220980"/>
                  <wp:effectExtent l="0" t="0" r="0" b="0"/>
                  <wp:docPr id="2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8" cstate="print">
                            <a:extLst>
                              <a:ext uri="{28A0092B-C50C-407E-A947-70E740481C1C}">
                                <a14:useLocalDpi xmlns:a14="http://schemas.microsoft.com/office/drawing/2010/main" val="0"/>
                              </a:ext>
                            </a:extLst>
                          </a:blip>
                          <a:srcRect/>
                          <a:stretch>
                            <a:fillRect/>
                          </a:stretch>
                        </pic:blipFill>
                        <pic:spPr bwMode="auto">
                          <a:xfrm>
                            <a:off x="0" y="0"/>
                            <a:ext cx="1005840" cy="220980"/>
                          </a:xfrm>
                          <a:prstGeom prst="rect">
                            <a:avLst/>
                          </a:prstGeom>
                          <a:noFill/>
                          <a:ln>
                            <a:noFill/>
                          </a:ln>
                        </pic:spPr>
                      </pic:pic>
                    </a:graphicData>
                  </a:graphic>
                </wp:inline>
              </w:drawing>
            </w:r>
            <w:r>
              <w:t>, величину нагрузки ню следует определять по интерполяции.</w:t>
            </w:r>
          </w:p>
          <w:p w:rsidR="00212513" w:rsidRDefault="00212513">
            <w:pPr>
              <w:pStyle w:val="ConsPlusNormal"/>
              <w:ind w:firstLine="283"/>
              <w:jc w:val="both"/>
            </w:pPr>
            <w:r>
              <w:t xml:space="preserve">3 Для определения массы поезда на мосту используется эквивалентная нагрузка для </w:t>
            </w:r>
            <w:r>
              <w:rPr>
                <w:noProof/>
                <w:position w:val="-6"/>
              </w:rPr>
              <w:drawing>
                <wp:inline distT="0" distB="0" distL="0" distR="0">
                  <wp:extent cx="544830" cy="220980"/>
                  <wp:effectExtent l="0" t="0" r="0" b="0"/>
                  <wp:docPr id="2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3" cstate="print">
                            <a:extLst>
                              <a:ext uri="{28A0092B-C50C-407E-A947-70E740481C1C}">
                                <a14:useLocalDpi xmlns:a14="http://schemas.microsoft.com/office/drawing/2010/main" val="0"/>
                              </a:ext>
                            </a:extLst>
                          </a:blip>
                          <a:srcRect/>
                          <a:stretch>
                            <a:fillRect/>
                          </a:stretch>
                        </pic:blipFill>
                        <pic:spPr bwMode="auto">
                          <a:xfrm>
                            <a:off x="0" y="0"/>
                            <a:ext cx="544830" cy="220980"/>
                          </a:xfrm>
                          <a:prstGeom prst="rect">
                            <a:avLst/>
                          </a:prstGeom>
                          <a:noFill/>
                          <a:ln>
                            <a:noFill/>
                          </a:ln>
                        </pic:spPr>
                      </pic:pic>
                    </a:graphicData>
                  </a:graphic>
                </wp:inline>
              </w:drawing>
            </w:r>
            <w:r>
              <w:t>.</w:t>
            </w:r>
          </w:p>
        </w:tc>
      </w:tr>
    </w:tbl>
    <w:p w:rsidR="00212513" w:rsidRDefault="00212513">
      <w:pPr>
        <w:pStyle w:val="ConsPlusNormal"/>
        <w:ind w:firstLine="540"/>
        <w:jc w:val="both"/>
      </w:pPr>
    </w:p>
    <w:p w:rsidR="00212513" w:rsidRDefault="00212513">
      <w:pPr>
        <w:pStyle w:val="ConsPlusNormal"/>
        <w:ind w:firstLine="540"/>
        <w:jc w:val="both"/>
      </w:pPr>
      <w:r>
        <w:t xml:space="preserve">В случаях, оговоренных ниже, при загружении линий влияния следует применять нагрузки - равномерную 9,81К кН/м пути и от порожнего подвижного состава, указанные в </w:t>
      </w:r>
      <w:hyperlink w:anchor="P1101">
        <w:r>
          <w:rPr>
            <w:color w:val="0000FF"/>
          </w:rPr>
          <w:t>6.11</w:t>
        </w:r>
      </w:hyperlink>
      <w:r>
        <w:t>.</w:t>
      </w:r>
    </w:p>
    <w:p w:rsidR="00212513" w:rsidRDefault="00212513">
      <w:pPr>
        <w:pStyle w:val="ConsPlusNormal"/>
        <w:spacing w:before="220"/>
        <w:ind w:firstLine="540"/>
        <w:jc w:val="both"/>
      </w:pPr>
      <w:bookmarkStart w:id="491" w:name="P13411"/>
      <w:bookmarkEnd w:id="491"/>
      <w:r>
        <w:t xml:space="preserve">К.2 При расчете элементов мостов следует учитывать передачу и распределение давления элементами верхнего строения пути, при этом эквивалентную нагрузку </w:t>
      </w:r>
      <w:r>
        <w:rPr>
          <w:noProof/>
          <w:position w:val="-1"/>
        </w:rPr>
        <w:drawing>
          <wp:inline distT="0" distB="0" distL="0" distR="0">
            <wp:extent cx="136525" cy="157480"/>
            <wp:effectExtent l="0" t="0" r="0" b="0"/>
            <wp:docPr id="2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9">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необходимо принимать:</w:t>
      </w:r>
    </w:p>
    <w:p w:rsidR="00212513" w:rsidRDefault="00212513">
      <w:pPr>
        <w:pStyle w:val="ConsPlusNormal"/>
        <w:spacing w:before="220"/>
        <w:ind w:firstLine="540"/>
        <w:jc w:val="both"/>
      </w:pPr>
      <w:r>
        <w:t>а) при определении местного давления, передаваемого мостовыми поперечинами, а также металлическими скреплениями (с резиновыми прокладками) при укладке рельсов по железобетонной плите, - равной 24,5К кН/м пути, для расчета по устойчивости стенки балки - не более 19,62К кН/м пути;</w:t>
      </w:r>
    </w:p>
    <w:p w:rsidR="00212513" w:rsidRDefault="00212513">
      <w:pPr>
        <w:pStyle w:val="ConsPlusNormal"/>
        <w:spacing w:before="220"/>
        <w:ind w:firstLine="540"/>
        <w:jc w:val="both"/>
      </w:pPr>
      <w:r>
        <w:t>б) при определении местного давления, передаваемого плитой балластного корыта (во всех случаях), а также при определении усилий для расчета плиты поперек пути - равной 19,62К кН/м пути, вдоль пути - не более 19,62К кН/м пути.</w:t>
      </w:r>
    </w:p>
    <w:p w:rsidR="00212513" w:rsidRDefault="00212513">
      <w:pPr>
        <w:pStyle w:val="ConsPlusNormal"/>
        <w:spacing w:before="220"/>
        <w:ind w:firstLine="540"/>
        <w:jc w:val="both"/>
      </w:pPr>
      <w:r>
        <w:t>Примечания</w:t>
      </w:r>
    </w:p>
    <w:p w:rsidR="00212513" w:rsidRDefault="00212513">
      <w:pPr>
        <w:pStyle w:val="ConsPlusNormal"/>
        <w:spacing w:before="220"/>
        <w:ind w:firstLine="540"/>
        <w:jc w:val="both"/>
      </w:pPr>
      <w:r>
        <w:lastRenderedPageBreak/>
        <w:t xml:space="preserve">1 При устройстве пути на балласте значение </w:t>
      </w:r>
      <w:r>
        <w:rPr>
          <w:noProof/>
          <w:position w:val="-6"/>
        </w:rPr>
        <w:drawing>
          <wp:inline distT="0" distB="0" distL="0" distR="0">
            <wp:extent cx="1215390" cy="220345"/>
            <wp:effectExtent l="0" t="0" r="0" b="0"/>
            <wp:docPr id="2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0">
                      <a:extLst>
                        <a:ext uri="{28A0092B-C50C-407E-A947-70E740481C1C}">
                          <a14:useLocalDpi xmlns:a14="http://schemas.microsoft.com/office/drawing/2010/main" val="0"/>
                        </a:ext>
                      </a:extLst>
                    </a:blip>
                    <a:srcRect/>
                    <a:stretch>
                      <a:fillRect/>
                    </a:stretch>
                  </pic:blipFill>
                  <pic:spPr bwMode="auto">
                    <a:xfrm>
                      <a:off x="0" y="0"/>
                      <a:ext cx="1215390" cy="220345"/>
                    </a:xfrm>
                    <a:prstGeom prst="rect">
                      <a:avLst/>
                    </a:prstGeom>
                    <a:noFill/>
                    <a:ln>
                      <a:noFill/>
                    </a:ln>
                  </pic:spPr>
                </pic:pic>
              </a:graphicData>
            </a:graphic>
          </wp:inline>
        </w:drawing>
      </w:r>
      <w:r>
        <w:t xml:space="preserve"> при </w:t>
      </w:r>
      <w:r>
        <w:rPr>
          <w:noProof/>
          <w:position w:val="-6"/>
        </w:rPr>
        <w:drawing>
          <wp:inline distT="0" distB="0" distL="0" distR="0">
            <wp:extent cx="648970" cy="220980"/>
            <wp:effectExtent l="0" t="0" r="0" b="0"/>
            <wp:docPr id="2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1" cstate="print">
                      <a:extLst>
                        <a:ext uri="{28A0092B-C50C-407E-A947-70E740481C1C}">
                          <a14:useLocalDpi xmlns:a14="http://schemas.microsoft.com/office/drawing/2010/main" val="0"/>
                        </a:ext>
                      </a:extLst>
                    </a:blip>
                    <a:srcRect/>
                    <a:stretch>
                      <a:fillRect/>
                    </a:stretch>
                  </pic:blipFill>
                  <pic:spPr bwMode="auto">
                    <a:xfrm>
                      <a:off x="0" y="0"/>
                      <a:ext cx="648970" cy="220980"/>
                    </a:xfrm>
                    <a:prstGeom prst="rect">
                      <a:avLst/>
                    </a:prstGeom>
                    <a:noFill/>
                    <a:ln>
                      <a:noFill/>
                    </a:ln>
                  </pic:spPr>
                </pic:pic>
              </a:graphicData>
            </a:graphic>
          </wp:inline>
        </w:drawing>
      </w:r>
      <w:r>
        <w:t xml:space="preserve"> следует принимать (в том числе для расчета опор, если балластный слой непрерывен) соответствующим </w:t>
      </w:r>
      <w:r>
        <w:rPr>
          <w:noProof/>
          <w:position w:val="-6"/>
        </w:rPr>
        <w:drawing>
          <wp:inline distT="0" distB="0" distL="0" distR="0">
            <wp:extent cx="544830" cy="220980"/>
            <wp:effectExtent l="0" t="0" r="0" b="0"/>
            <wp:docPr id="2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3" cstate="print">
                      <a:extLst>
                        <a:ext uri="{28A0092B-C50C-407E-A947-70E740481C1C}">
                          <a14:useLocalDpi xmlns:a14="http://schemas.microsoft.com/office/drawing/2010/main" val="0"/>
                        </a:ext>
                      </a:extLst>
                    </a:blip>
                    <a:srcRect/>
                    <a:stretch>
                      <a:fillRect/>
                    </a:stretch>
                  </pic:blipFill>
                  <pic:spPr bwMode="auto">
                    <a:xfrm>
                      <a:off x="0" y="0"/>
                      <a:ext cx="544830" cy="220980"/>
                    </a:xfrm>
                    <a:prstGeom prst="rect">
                      <a:avLst/>
                    </a:prstGeom>
                    <a:noFill/>
                    <a:ln>
                      <a:noFill/>
                    </a:ln>
                  </pic:spPr>
                </pic:pic>
              </a:graphicData>
            </a:graphic>
          </wp:inline>
        </w:drawing>
      </w:r>
      <w:r>
        <w:t xml:space="preserve"> независимо от положения вершин линий влияния.</w:t>
      </w:r>
    </w:p>
    <w:p w:rsidR="00212513" w:rsidRDefault="00212513">
      <w:pPr>
        <w:pStyle w:val="ConsPlusNormal"/>
        <w:spacing w:before="220"/>
        <w:ind w:firstLine="540"/>
        <w:jc w:val="both"/>
      </w:pPr>
      <w:r>
        <w:t xml:space="preserve">2 Величину нагрузки для расчета плиты балластного корыта следует принимать равной </w:t>
      </w:r>
      <w:r>
        <w:rPr>
          <w:noProof/>
          <w:position w:val="-4"/>
        </w:rPr>
        <w:drawing>
          <wp:inline distT="0" distB="0" distL="0" distR="0">
            <wp:extent cx="325120" cy="199390"/>
            <wp:effectExtent l="0" t="0" r="0" b="0"/>
            <wp:docPr id="2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2">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кПа, где </w:t>
      </w:r>
      <w:r>
        <w:rPr>
          <w:i/>
        </w:rPr>
        <w:t>b</w:t>
      </w:r>
      <w:r>
        <w:t xml:space="preserve"> - ширина распределения нагрузки, м, принимаемая равной 2,7 + </w:t>
      </w:r>
      <w:r>
        <w:rPr>
          <w:i/>
        </w:rPr>
        <w:t>h</w:t>
      </w:r>
      <w:r>
        <w:t xml:space="preserve"> или 2,7 + 2</w:t>
      </w:r>
      <w:r>
        <w:rPr>
          <w:i/>
        </w:rPr>
        <w:t>h</w:t>
      </w:r>
      <w:r>
        <w:t xml:space="preserve"> (в зависимости от того, что является более неблагоприятным при расчете отдельных сечений плиты), но не более ширины балластного корыта;</w:t>
      </w:r>
    </w:p>
    <w:p w:rsidR="00212513" w:rsidRDefault="00212513">
      <w:pPr>
        <w:pStyle w:val="ConsPlusNormal"/>
        <w:spacing w:before="220"/>
        <w:ind w:firstLine="540"/>
        <w:jc w:val="both"/>
      </w:pPr>
      <w:r>
        <w:rPr>
          <w:i/>
        </w:rPr>
        <w:t>h</w:t>
      </w:r>
      <w:r>
        <w:t xml:space="preserve"> - расстояние от подошвы шпал до верха плиты, м.</w:t>
      </w:r>
    </w:p>
    <w:p w:rsidR="00212513" w:rsidRDefault="00212513">
      <w:pPr>
        <w:pStyle w:val="ConsPlusNormal"/>
        <w:ind w:firstLine="540"/>
        <w:jc w:val="both"/>
      </w:pPr>
    </w:p>
    <w:p w:rsidR="00212513" w:rsidRDefault="00212513">
      <w:pPr>
        <w:pStyle w:val="ConsPlusNormal"/>
        <w:ind w:firstLine="540"/>
        <w:jc w:val="both"/>
      </w:pPr>
      <w:r>
        <w:t xml:space="preserve">К.3 При криволинейном, зубчатом (близком к треугольному) и четырехугольном очертаниях однозначные линии влияния и отдельно загруженные участки двузначных линий влияния при коэффициенте искаженности </w:t>
      </w:r>
      <w:r>
        <w:rPr>
          <w:noProof/>
          <w:position w:val="-6"/>
        </w:rPr>
        <w:drawing>
          <wp:inline distT="0" distB="0" distL="0" distR="0">
            <wp:extent cx="593725" cy="220980"/>
            <wp:effectExtent l="0" t="0" r="0" b="0"/>
            <wp:docPr id="2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3" cstate="print">
                      <a:extLst>
                        <a:ext uri="{28A0092B-C50C-407E-A947-70E740481C1C}">
                          <a14:useLocalDpi xmlns:a14="http://schemas.microsoft.com/office/drawing/2010/main" val="0"/>
                        </a:ext>
                      </a:extLst>
                    </a:blip>
                    <a:srcRect/>
                    <a:stretch>
                      <a:fillRect/>
                    </a:stretch>
                  </pic:blipFill>
                  <pic:spPr bwMode="auto">
                    <a:xfrm>
                      <a:off x="0" y="0"/>
                      <a:ext cx="593725" cy="220980"/>
                    </a:xfrm>
                    <a:prstGeom prst="rect">
                      <a:avLst/>
                    </a:prstGeom>
                    <a:noFill/>
                    <a:ln>
                      <a:noFill/>
                    </a:ln>
                  </pic:spPr>
                </pic:pic>
              </a:graphicData>
            </a:graphic>
          </wp:inline>
        </w:drawing>
      </w:r>
      <w:r>
        <w:t xml:space="preserve"> (отношение площади треугольной линии влияния к площади рассматриваемой линии влияния при одинаковых длинах линий влияния и при одинаковых их наибольших ординатах) загружаются эквивалентной нагрузкой </w:t>
      </w:r>
      <w:r>
        <w:rPr>
          <w:noProof/>
          <w:position w:val="-1"/>
        </w:rPr>
        <w:drawing>
          <wp:inline distT="0" distB="0" distL="0" distR="0">
            <wp:extent cx="136525" cy="157480"/>
            <wp:effectExtent l="0" t="0" r="0" b="0"/>
            <wp:docPr id="2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9">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согласно </w:t>
      </w:r>
      <w:hyperlink w:anchor="P13411">
        <w:r>
          <w:rPr>
            <w:color w:val="0000FF"/>
          </w:rPr>
          <w:t>К.2</w:t>
        </w:r>
      </w:hyperlink>
      <w:r>
        <w:t xml:space="preserve"> настоящего приложения.</w:t>
      </w:r>
    </w:p>
    <w:p w:rsidR="00212513" w:rsidRDefault="00212513">
      <w:pPr>
        <w:pStyle w:val="ConsPlusNormal"/>
        <w:spacing w:before="220"/>
        <w:ind w:firstLine="540"/>
        <w:jc w:val="both"/>
      </w:pPr>
      <w:r>
        <w:t xml:space="preserve">К.4 При криволинейном очертании однозначные линии влияния и отдельно загружаемые участки двузначных линий влияния при коэффициенте искаженности </w:t>
      </w:r>
      <w:r>
        <w:rPr>
          <w:noProof/>
          <w:position w:val="-6"/>
        </w:rPr>
        <w:drawing>
          <wp:inline distT="0" distB="0" distL="0" distR="0">
            <wp:extent cx="593725" cy="220980"/>
            <wp:effectExtent l="0" t="0" r="0" b="0"/>
            <wp:docPr id="2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4" cstate="print">
                      <a:extLst>
                        <a:ext uri="{28A0092B-C50C-407E-A947-70E740481C1C}">
                          <a14:useLocalDpi xmlns:a14="http://schemas.microsoft.com/office/drawing/2010/main" val="0"/>
                        </a:ext>
                      </a:extLst>
                    </a:blip>
                    <a:srcRect/>
                    <a:stretch>
                      <a:fillRect/>
                    </a:stretch>
                  </pic:blipFill>
                  <pic:spPr bwMode="auto">
                    <a:xfrm>
                      <a:off x="0" y="0"/>
                      <a:ext cx="593725" cy="220980"/>
                    </a:xfrm>
                    <a:prstGeom prst="rect">
                      <a:avLst/>
                    </a:prstGeom>
                    <a:noFill/>
                    <a:ln>
                      <a:noFill/>
                    </a:ln>
                  </pic:spPr>
                </pic:pic>
              </a:graphicData>
            </a:graphic>
          </wp:inline>
        </w:drawing>
      </w:r>
      <w:r>
        <w:t xml:space="preserve"> и длине </w:t>
      </w:r>
      <w:r>
        <w:rPr>
          <w:noProof/>
          <w:position w:val="-6"/>
        </w:rPr>
        <w:drawing>
          <wp:inline distT="0" distB="0" distL="0" distR="0">
            <wp:extent cx="552450" cy="220980"/>
            <wp:effectExtent l="0" t="0" r="0" b="0"/>
            <wp:docPr id="2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5" cstate="print">
                      <a:extLst>
                        <a:ext uri="{28A0092B-C50C-407E-A947-70E740481C1C}">
                          <a14:useLocalDpi xmlns:a14="http://schemas.microsoft.com/office/drawing/2010/main" val="0"/>
                        </a:ext>
                      </a:extLst>
                    </a:blip>
                    <a:srcRect/>
                    <a:stretch>
                      <a:fillRect/>
                    </a:stretch>
                  </pic:blipFill>
                  <pic:spPr bwMode="auto">
                    <a:xfrm>
                      <a:off x="0" y="0"/>
                      <a:ext cx="552450" cy="220980"/>
                    </a:xfrm>
                    <a:prstGeom prst="rect">
                      <a:avLst/>
                    </a:prstGeom>
                    <a:noFill/>
                    <a:ln>
                      <a:noFill/>
                    </a:ln>
                  </pic:spPr>
                </pic:pic>
              </a:graphicData>
            </a:graphic>
          </wp:inline>
        </w:drawing>
      </w:r>
      <w:r>
        <w:t xml:space="preserve"> загружаются согласно </w:t>
      </w:r>
      <w:hyperlink w:anchor="P13411">
        <w:r>
          <w:rPr>
            <w:color w:val="0000FF"/>
          </w:rPr>
          <w:t>К.2</w:t>
        </w:r>
      </w:hyperlink>
      <w:r>
        <w:t xml:space="preserve"> настоящего приложения с учетом следующих указаний:</w:t>
      </w:r>
    </w:p>
    <w:p w:rsidR="00212513" w:rsidRDefault="00212513">
      <w:pPr>
        <w:pStyle w:val="ConsPlusNormal"/>
        <w:spacing w:before="220"/>
        <w:ind w:firstLine="540"/>
        <w:jc w:val="both"/>
      </w:pPr>
      <w:r>
        <w:t xml:space="preserve">а) при </w:t>
      </w:r>
      <w:r>
        <w:rPr>
          <w:noProof/>
          <w:position w:val="-6"/>
        </w:rPr>
        <w:drawing>
          <wp:inline distT="0" distB="0" distL="0" distR="0">
            <wp:extent cx="1047750" cy="220980"/>
            <wp:effectExtent l="0" t="0" r="0" b="0"/>
            <wp:docPr id="2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6" cstate="print">
                      <a:extLst>
                        <a:ext uri="{28A0092B-C50C-407E-A947-70E740481C1C}">
                          <a14:useLocalDpi xmlns:a14="http://schemas.microsoft.com/office/drawing/2010/main" val="0"/>
                        </a:ext>
                      </a:extLst>
                    </a:blip>
                    <a:srcRect/>
                    <a:stretch>
                      <a:fillRect/>
                    </a:stretch>
                  </pic:blipFill>
                  <pic:spPr bwMode="auto">
                    <a:xfrm>
                      <a:off x="0" y="0"/>
                      <a:ext cx="1047750" cy="220980"/>
                    </a:xfrm>
                    <a:prstGeom prst="rect">
                      <a:avLst/>
                    </a:prstGeom>
                    <a:noFill/>
                    <a:ln>
                      <a:noFill/>
                    </a:ln>
                  </pic:spPr>
                </pic:pic>
              </a:graphicData>
            </a:graphic>
          </wp:inline>
        </w:drawing>
      </w:r>
      <w:r>
        <w:t xml:space="preserve"> (за исключением случая устройства пути на балласте и </w:t>
      </w:r>
      <w:r>
        <w:rPr>
          <w:noProof/>
          <w:position w:val="-6"/>
        </w:rPr>
        <w:drawing>
          <wp:inline distT="0" distB="0" distL="0" distR="0">
            <wp:extent cx="648970" cy="220980"/>
            <wp:effectExtent l="0" t="0" r="0" b="0"/>
            <wp:docPr id="2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7" cstate="print">
                      <a:extLst>
                        <a:ext uri="{28A0092B-C50C-407E-A947-70E740481C1C}">
                          <a14:useLocalDpi xmlns:a14="http://schemas.microsoft.com/office/drawing/2010/main" val="0"/>
                        </a:ext>
                      </a:extLst>
                    </a:blip>
                    <a:srcRect/>
                    <a:stretch>
                      <a:fillRect/>
                    </a:stretch>
                  </pic:blipFill>
                  <pic:spPr bwMode="auto">
                    <a:xfrm>
                      <a:off x="0" y="0"/>
                      <a:ext cx="648970" cy="220980"/>
                    </a:xfrm>
                    <a:prstGeom prst="rect">
                      <a:avLst/>
                    </a:prstGeom>
                    <a:noFill/>
                    <a:ln>
                      <a:noFill/>
                    </a:ln>
                  </pic:spPr>
                </pic:pic>
              </a:graphicData>
            </a:graphic>
          </wp:inline>
        </w:drawing>
      </w:r>
      <w:r>
        <w:t xml:space="preserve">) с увеличением интенсивности эквивалентной нагрузки на величину, %, равную </w:t>
      </w:r>
      <w:r>
        <w:rPr>
          <w:noProof/>
          <w:position w:val="-6"/>
        </w:rPr>
        <w:drawing>
          <wp:inline distT="0" distB="0" distL="0" distR="0">
            <wp:extent cx="552450" cy="220980"/>
            <wp:effectExtent l="0" t="0" r="0" b="0"/>
            <wp:docPr id="2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8" cstate="print">
                      <a:extLst>
                        <a:ext uri="{28A0092B-C50C-407E-A947-70E740481C1C}">
                          <a14:useLocalDpi xmlns:a14="http://schemas.microsoft.com/office/drawing/2010/main" val="0"/>
                        </a:ext>
                      </a:extLst>
                    </a:blip>
                    <a:srcRect/>
                    <a:stretch>
                      <a:fillRect/>
                    </a:stretch>
                  </pic:blipFill>
                  <pic:spPr bwMode="auto">
                    <a:xfrm>
                      <a:off x="0" y="0"/>
                      <a:ext cx="552450" cy="220980"/>
                    </a:xfrm>
                    <a:prstGeom prst="rect">
                      <a:avLst/>
                    </a:prstGeom>
                    <a:noFill/>
                    <a:ln>
                      <a:noFill/>
                    </a:ln>
                  </pic:spPr>
                </pic:pic>
              </a:graphicData>
            </a:graphic>
          </wp:inline>
        </w:drawing>
      </w:r>
      <w:r>
        <w:t xml:space="preserve">, где </w:t>
      </w:r>
      <w:r>
        <w:rPr>
          <w:i/>
        </w:rPr>
        <w:t>e</w:t>
      </w:r>
      <w:r>
        <w:t xml:space="preserve"> - коэффициент, определяемый по рисунку К.1.</w:t>
      </w:r>
    </w:p>
    <w:p w:rsidR="00212513" w:rsidRDefault="00212513">
      <w:pPr>
        <w:pStyle w:val="ConsPlusNormal"/>
        <w:ind w:firstLine="540"/>
        <w:jc w:val="both"/>
      </w:pPr>
    </w:p>
    <w:p w:rsidR="00212513" w:rsidRDefault="00212513">
      <w:pPr>
        <w:pStyle w:val="ConsPlusNormal"/>
        <w:jc w:val="center"/>
      </w:pPr>
      <w:r>
        <w:rPr>
          <w:noProof/>
          <w:position w:val="-170"/>
        </w:rPr>
        <w:drawing>
          <wp:inline distT="0" distB="0" distL="0" distR="0">
            <wp:extent cx="5556885" cy="2310765"/>
            <wp:effectExtent l="0" t="0" r="0" b="0"/>
            <wp:docPr id="2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9" cstate="print">
                      <a:extLst>
                        <a:ext uri="{28A0092B-C50C-407E-A947-70E740481C1C}">
                          <a14:useLocalDpi xmlns:a14="http://schemas.microsoft.com/office/drawing/2010/main" val="0"/>
                        </a:ext>
                      </a:extLst>
                    </a:blip>
                    <a:srcRect/>
                    <a:stretch>
                      <a:fillRect/>
                    </a:stretch>
                  </pic:blipFill>
                  <pic:spPr bwMode="auto">
                    <a:xfrm>
                      <a:off x="0" y="0"/>
                      <a:ext cx="5556885" cy="2310765"/>
                    </a:xfrm>
                    <a:prstGeom prst="rect">
                      <a:avLst/>
                    </a:prstGeom>
                    <a:noFill/>
                    <a:ln>
                      <a:noFill/>
                    </a:ln>
                  </pic:spPr>
                </pic:pic>
              </a:graphicData>
            </a:graphic>
          </wp:inline>
        </w:drawing>
      </w:r>
    </w:p>
    <w:p w:rsidR="00212513" w:rsidRDefault="00212513">
      <w:pPr>
        <w:pStyle w:val="ConsPlusNormal"/>
        <w:ind w:firstLine="540"/>
        <w:jc w:val="both"/>
      </w:pPr>
    </w:p>
    <w:p w:rsidR="00212513" w:rsidRDefault="00212513">
      <w:pPr>
        <w:pStyle w:val="ConsPlusNormal"/>
        <w:jc w:val="center"/>
      </w:pPr>
      <w:r>
        <w:rPr>
          <w:b/>
          <w:i/>
        </w:rPr>
        <w:t>Рисунок К.1</w:t>
      </w:r>
      <w:r>
        <w:t xml:space="preserve"> </w:t>
      </w:r>
      <w:r>
        <w:rPr>
          <w:b/>
        </w:rPr>
        <w:t>- Коэффициент</w:t>
      </w:r>
      <w:r>
        <w:t xml:space="preserve"> </w:t>
      </w:r>
      <w:r>
        <w:rPr>
          <w:b/>
          <w:i/>
        </w:rPr>
        <w:t>e</w:t>
      </w:r>
      <w:r>
        <w:t xml:space="preserve"> </w:t>
      </w:r>
      <w:r>
        <w:rPr>
          <w:b/>
        </w:rPr>
        <w:t xml:space="preserve">в зависимости от </w:t>
      </w:r>
      <w:r>
        <w:rPr>
          <w:noProof/>
          <w:position w:val="-4"/>
        </w:rPr>
        <w:drawing>
          <wp:inline distT="0" distB="0" distL="0" distR="0">
            <wp:extent cx="156845" cy="198755"/>
            <wp:effectExtent l="0" t="0" r="0" b="0"/>
            <wp:docPr id="2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0"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rPr>
          <w:b/>
        </w:rPr>
        <w:t xml:space="preserve"> и</w:t>
      </w:r>
      <w:r>
        <w:t> </w:t>
      </w:r>
      <w:r>
        <w:rPr>
          <w:noProof/>
          <w:position w:val="-1"/>
        </w:rPr>
        <w:drawing>
          <wp:inline distT="0" distB="0" distL="0" distR="0">
            <wp:extent cx="167640" cy="156845"/>
            <wp:effectExtent l="0" t="0" r="0" b="0"/>
            <wp:docPr id="2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1"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p>
    <w:p w:rsidR="00212513" w:rsidRDefault="00212513">
      <w:pPr>
        <w:pStyle w:val="ConsPlusNormal"/>
        <w:jc w:val="center"/>
      </w:pPr>
      <w:r>
        <w:rPr>
          <w:b/>
        </w:rPr>
        <w:t xml:space="preserve">(длина загружения </w:t>
      </w:r>
      <w:r>
        <w:rPr>
          <w:noProof/>
          <w:position w:val="-4"/>
        </w:rPr>
        <w:drawing>
          <wp:inline distT="0" distB="0" distL="0" distR="0">
            <wp:extent cx="156845" cy="198755"/>
            <wp:effectExtent l="0" t="0" r="0" b="0"/>
            <wp:docPr id="2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0"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rPr>
          <w:b/>
        </w:rPr>
        <w:t>, м, указана на графике)</w:t>
      </w:r>
    </w:p>
    <w:p w:rsidR="00212513" w:rsidRDefault="00212513">
      <w:pPr>
        <w:pStyle w:val="ConsPlusNormal"/>
        <w:ind w:firstLine="540"/>
        <w:jc w:val="both"/>
      </w:pPr>
    </w:p>
    <w:p w:rsidR="00212513" w:rsidRDefault="00212513">
      <w:pPr>
        <w:pStyle w:val="ConsPlusNormal"/>
        <w:ind w:firstLine="540"/>
        <w:jc w:val="both"/>
      </w:pPr>
      <w:r>
        <w:t xml:space="preserve">При устройстве пути на балласте и </w:t>
      </w:r>
      <w:r>
        <w:rPr>
          <w:noProof/>
          <w:position w:val="-6"/>
        </w:rPr>
        <w:drawing>
          <wp:inline distT="0" distB="0" distL="0" distR="0">
            <wp:extent cx="648970" cy="220980"/>
            <wp:effectExtent l="0" t="0" r="0" b="0"/>
            <wp:docPr id="2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7" cstate="print">
                      <a:extLst>
                        <a:ext uri="{28A0092B-C50C-407E-A947-70E740481C1C}">
                          <a14:useLocalDpi xmlns:a14="http://schemas.microsoft.com/office/drawing/2010/main" val="0"/>
                        </a:ext>
                      </a:extLst>
                    </a:blip>
                    <a:srcRect/>
                    <a:stretch>
                      <a:fillRect/>
                    </a:stretch>
                  </pic:blipFill>
                  <pic:spPr bwMode="auto">
                    <a:xfrm>
                      <a:off x="0" y="0"/>
                      <a:ext cx="648970" cy="220980"/>
                    </a:xfrm>
                    <a:prstGeom prst="rect">
                      <a:avLst/>
                    </a:prstGeom>
                    <a:noFill/>
                    <a:ln>
                      <a:noFill/>
                    </a:ln>
                  </pic:spPr>
                </pic:pic>
              </a:graphicData>
            </a:graphic>
          </wp:inline>
        </w:drawing>
      </w:r>
      <w:r>
        <w:t xml:space="preserve"> м величину </w:t>
      </w:r>
      <w:r>
        <w:rPr>
          <w:noProof/>
          <w:position w:val="-1"/>
        </w:rPr>
        <w:drawing>
          <wp:inline distT="0" distB="0" distL="0" distR="0">
            <wp:extent cx="136525" cy="157480"/>
            <wp:effectExtent l="0" t="0" r="0" b="0"/>
            <wp:docPr id="2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9">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следует принимать по </w:t>
      </w:r>
      <w:hyperlink w:anchor="P13231">
        <w:r>
          <w:rPr>
            <w:color w:val="0000FF"/>
          </w:rPr>
          <w:t>таблице К.1</w:t>
        </w:r>
      </w:hyperlink>
      <w:r>
        <w:t xml:space="preserve">, причем для </w:t>
      </w:r>
      <w:r>
        <w:rPr>
          <w:noProof/>
          <w:position w:val="-6"/>
        </w:rPr>
        <w:drawing>
          <wp:inline distT="0" distB="0" distL="0" distR="0">
            <wp:extent cx="628650" cy="220980"/>
            <wp:effectExtent l="0" t="0" r="0" b="0"/>
            <wp:docPr id="2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2" cstate="print">
                      <a:extLst>
                        <a:ext uri="{28A0092B-C50C-407E-A947-70E740481C1C}">
                          <a14:useLocalDpi xmlns:a14="http://schemas.microsoft.com/office/drawing/2010/main" val="0"/>
                        </a:ext>
                      </a:extLst>
                    </a:blip>
                    <a:srcRect/>
                    <a:stretch>
                      <a:fillRect/>
                    </a:stretch>
                  </pic:blipFill>
                  <pic:spPr bwMode="auto">
                    <a:xfrm>
                      <a:off x="0" y="0"/>
                      <a:ext cx="628650" cy="220980"/>
                    </a:xfrm>
                    <a:prstGeom prst="rect">
                      <a:avLst/>
                    </a:prstGeom>
                    <a:noFill/>
                    <a:ln>
                      <a:noFill/>
                    </a:ln>
                  </pic:spPr>
                </pic:pic>
              </a:graphicData>
            </a:graphic>
          </wp:inline>
        </w:drawing>
      </w:r>
      <w:r>
        <w:t xml:space="preserve"> независимо от положения вершин линий влияния - по графе, соответствующей </w:t>
      </w:r>
      <w:r>
        <w:rPr>
          <w:noProof/>
          <w:position w:val="-6"/>
        </w:rPr>
        <w:drawing>
          <wp:inline distT="0" distB="0" distL="0" distR="0">
            <wp:extent cx="544830" cy="220980"/>
            <wp:effectExtent l="0" t="0" r="0" b="0"/>
            <wp:docPr id="2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3" cstate="print">
                      <a:extLst>
                        <a:ext uri="{28A0092B-C50C-407E-A947-70E740481C1C}">
                          <a14:useLocalDpi xmlns:a14="http://schemas.microsoft.com/office/drawing/2010/main" val="0"/>
                        </a:ext>
                      </a:extLst>
                    </a:blip>
                    <a:srcRect/>
                    <a:stretch>
                      <a:fillRect/>
                    </a:stretch>
                  </pic:blipFill>
                  <pic:spPr bwMode="auto">
                    <a:xfrm>
                      <a:off x="0" y="0"/>
                      <a:ext cx="544830" cy="220980"/>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б) при </w:t>
      </w:r>
      <w:r>
        <w:rPr>
          <w:noProof/>
          <w:position w:val="-6"/>
        </w:rPr>
        <w:drawing>
          <wp:inline distT="0" distB="0" distL="0" distR="0">
            <wp:extent cx="621030" cy="220980"/>
            <wp:effectExtent l="0" t="0" r="0" b="0"/>
            <wp:docPr id="2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3" cstate="print">
                      <a:extLst>
                        <a:ext uri="{28A0092B-C50C-407E-A947-70E740481C1C}">
                          <a14:useLocalDpi xmlns:a14="http://schemas.microsoft.com/office/drawing/2010/main" val="0"/>
                        </a:ext>
                      </a:extLst>
                    </a:blip>
                    <a:srcRect/>
                    <a:stretch>
                      <a:fillRect/>
                    </a:stretch>
                  </pic:blipFill>
                  <pic:spPr bwMode="auto">
                    <a:xfrm>
                      <a:off x="0" y="0"/>
                      <a:ext cx="621030" cy="220980"/>
                    </a:xfrm>
                    <a:prstGeom prst="rect">
                      <a:avLst/>
                    </a:prstGeom>
                    <a:noFill/>
                    <a:ln>
                      <a:noFill/>
                    </a:ln>
                  </pic:spPr>
                </pic:pic>
              </a:graphicData>
            </a:graphic>
          </wp:inline>
        </w:drawing>
      </w:r>
      <w:r>
        <w:t xml:space="preserve"> следует суммировать от загружения частей линии влияния.</w:t>
      </w:r>
    </w:p>
    <w:p w:rsidR="00212513" w:rsidRDefault="00212513">
      <w:pPr>
        <w:pStyle w:val="ConsPlusNormal"/>
        <w:spacing w:before="220"/>
        <w:ind w:firstLine="540"/>
        <w:jc w:val="both"/>
      </w:pPr>
      <w:r>
        <w:t xml:space="preserve">Включающая вершину часть линии влияния длиной </w:t>
      </w:r>
      <w:r>
        <w:rPr>
          <w:noProof/>
          <w:position w:val="-8"/>
        </w:rPr>
        <w:drawing>
          <wp:inline distT="0" distB="0" distL="0" distR="0">
            <wp:extent cx="167640" cy="251460"/>
            <wp:effectExtent l="0" t="0" r="0" b="0"/>
            <wp:docPr id="2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и площадью </w:t>
      </w:r>
      <w:r>
        <w:rPr>
          <w:noProof/>
          <w:position w:val="-8"/>
        </w:rPr>
        <w:drawing>
          <wp:inline distT="0" distB="0" distL="0" distR="0">
            <wp:extent cx="177800" cy="251460"/>
            <wp:effectExtent l="0" t="0" r="0" b="0"/>
            <wp:docPr id="2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5"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(рисунок К.2), </w:t>
      </w:r>
      <w:r>
        <w:lastRenderedPageBreak/>
        <w:t xml:space="preserve">ограниченная ординатами </w:t>
      </w:r>
      <w:r>
        <w:rPr>
          <w:noProof/>
          <w:position w:val="-8"/>
        </w:rPr>
        <w:drawing>
          <wp:inline distT="0" distB="0" distL="0" distR="0">
            <wp:extent cx="177800" cy="251460"/>
            <wp:effectExtent l="0" t="0" r="0" b="0"/>
            <wp:docPr id="2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6"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и </w:t>
      </w:r>
      <w:r>
        <w:rPr>
          <w:noProof/>
          <w:position w:val="-8"/>
        </w:rPr>
        <w:drawing>
          <wp:inline distT="0" distB="0" distL="0" distR="0">
            <wp:extent cx="198755" cy="250825"/>
            <wp:effectExtent l="0" t="0" r="0" b="0"/>
            <wp:docPr id="2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7"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загружается на максимум (в соответствии с </w:t>
      </w:r>
      <w:r>
        <w:rPr>
          <w:noProof/>
          <w:position w:val="-8"/>
        </w:rPr>
        <w:drawing>
          <wp:inline distT="0" distB="0" distL="0" distR="0">
            <wp:extent cx="167640" cy="251460"/>
            <wp:effectExtent l="0" t="0" r="0" b="0"/>
            <wp:docPr id="2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и </w:t>
      </w:r>
      <w:r>
        <w:rPr>
          <w:noProof/>
          <w:position w:val="-8"/>
        </w:rPr>
        <w:drawing>
          <wp:inline distT="0" distB="0" distL="0" distR="0">
            <wp:extent cx="198755" cy="250825"/>
            <wp:effectExtent l="0" t="0" r="0" b="0"/>
            <wp:docPr id="2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8"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остальная часть линии влияния </w:t>
      </w:r>
      <w:r>
        <w:rPr>
          <w:noProof/>
          <w:position w:val="-8"/>
        </w:rPr>
        <w:drawing>
          <wp:inline distT="0" distB="0" distL="0" distR="0">
            <wp:extent cx="578485" cy="251460"/>
            <wp:effectExtent l="0" t="0" r="0" b="0"/>
            <wp:docPr id="2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9" cstate="print">
                      <a:extLst>
                        <a:ext uri="{28A0092B-C50C-407E-A947-70E740481C1C}">
                          <a14:useLocalDpi xmlns:a14="http://schemas.microsoft.com/office/drawing/2010/main" val="0"/>
                        </a:ext>
                      </a:extLst>
                    </a:blip>
                    <a:srcRect/>
                    <a:stretch>
                      <a:fillRect/>
                    </a:stretch>
                  </pic:blipFill>
                  <pic:spPr bwMode="auto">
                    <a:xfrm>
                      <a:off x="0" y="0"/>
                      <a:ext cx="578485" cy="251460"/>
                    </a:xfrm>
                    <a:prstGeom prst="rect">
                      <a:avLst/>
                    </a:prstGeom>
                    <a:noFill/>
                    <a:ln>
                      <a:noFill/>
                    </a:ln>
                  </pic:spPr>
                </pic:pic>
              </a:graphicData>
            </a:graphic>
          </wp:inline>
        </w:drawing>
      </w:r>
      <w:r>
        <w:t xml:space="preserve"> загружается нагрузкой 9,81К кН/м пути.</w:t>
      </w:r>
    </w:p>
    <w:p w:rsidR="00212513" w:rsidRDefault="00212513">
      <w:pPr>
        <w:pStyle w:val="ConsPlusNormal"/>
        <w:ind w:firstLine="540"/>
        <w:jc w:val="both"/>
      </w:pPr>
    </w:p>
    <w:p w:rsidR="00212513" w:rsidRDefault="00212513">
      <w:pPr>
        <w:pStyle w:val="ConsPlusNormal"/>
        <w:jc w:val="center"/>
      </w:pPr>
      <w:r>
        <w:rPr>
          <w:noProof/>
          <w:position w:val="-119"/>
        </w:rPr>
        <w:drawing>
          <wp:inline distT="0" distB="0" distL="0" distR="0">
            <wp:extent cx="2795270" cy="1652270"/>
            <wp:effectExtent l="0" t="0" r="0" b="0"/>
            <wp:docPr id="2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0" cstate="print">
                      <a:extLst>
                        <a:ext uri="{28A0092B-C50C-407E-A947-70E740481C1C}">
                          <a14:useLocalDpi xmlns:a14="http://schemas.microsoft.com/office/drawing/2010/main" val="0"/>
                        </a:ext>
                      </a:extLst>
                    </a:blip>
                    <a:srcRect/>
                    <a:stretch>
                      <a:fillRect/>
                    </a:stretch>
                  </pic:blipFill>
                  <pic:spPr bwMode="auto">
                    <a:xfrm>
                      <a:off x="0" y="0"/>
                      <a:ext cx="2795270" cy="1652270"/>
                    </a:xfrm>
                    <a:prstGeom prst="rect">
                      <a:avLst/>
                    </a:prstGeom>
                    <a:noFill/>
                    <a:ln>
                      <a:noFill/>
                    </a:ln>
                  </pic:spPr>
                </pic:pic>
              </a:graphicData>
            </a:graphic>
          </wp:inline>
        </w:drawing>
      </w:r>
    </w:p>
    <w:p w:rsidR="00212513" w:rsidRDefault="00212513">
      <w:pPr>
        <w:pStyle w:val="ConsPlusNormal"/>
        <w:ind w:firstLine="540"/>
        <w:jc w:val="both"/>
      </w:pPr>
    </w:p>
    <w:p w:rsidR="00212513" w:rsidRDefault="00212513">
      <w:pPr>
        <w:pStyle w:val="ConsPlusNormal"/>
        <w:jc w:val="center"/>
      </w:pPr>
      <w:r>
        <w:rPr>
          <w:b/>
          <w:i/>
        </w:rPr>
        <w:t>Рисунок К.2</w:t>
      </w:r>
      <w:r>
        <w:t xml:space="preserve"> </w:t>
      </w:r>
      <w:r>
        <w:rPr>
          <w:b/>
        </w:rPr>
        <w:t>- Часть линии влияния</w:t>
      </w:r>
    </w:p>
    <w:p w:rsidR="00212513" w:rsidRDefault="00212513">
      <w:pPr>
        <w:pStyle w:val="ConsPlusNormal"/>
        <w:jc w:val="center"/>
      </w:pPr>
      <w:r>
        <w:rPr>
          <w:b/>
        </w:rPr>
        <w:t xml:space="preserve">длиной </w:t>
      </w:r>
      <w:r>
        <w:rPr>
          <w:noProof/>
          <w:position w:val="-4"/>
        </w:rPr>
        <w:drawing>
          <wp:inline distT="0" distB="0" distL="0" distR="0">
            <wp:extent cx="156845" cy="198755"/>
            <wp:effectExtent l="0" t="0" r="0" b="0"/>
            <wp:docPr id="2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0"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rPr>
          <w:b/>
        </w:rPr>
        <w:t>, включая ее вершину</w:t>
      </w:r>
    </w:p>
    <w:p w:rsidR="00212513" w:rsidRDefault="00212513">
      <w:pPr>
        <w:pStyle w:val="ConsPlusNormal"/>
        <w:ind w:firstLine="540"/>
        <w:jc w:val="both"/>
      </w:pPr>
    </w:p>
    <w:p w:rsidR="00212513" w:rsidRDefault="00212513">
      <w:pPr>
        <w:pStyle w:val="ConsPlusNormal"/>
        <w:ind w:firstLine="540"/>
        <w:jc w:val="both"/>
      </w:pPr>
      <w:r>
        <w:t xml:space="preserve">При этом суммарную величину усилия следует принимать не менее </w:t>
      </w:r>
      <w:r>
        <w:rPr>
          <w:noProof/>
          <w:position w:val="-8"/>
        </w:rPr>
        <w:drawing>
          <wp:inline distT="0" distB="0" distL="0" distR="0">
            <wp:extent cx="712470" cy="251460"/>
            <wp:effectExtent l="0" t="0" r="0" b="0"/>
            <wp:docPr id="2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1" cstate="print">
                      <a:extLst>
                        <a:ext uri="{28A0092B-C50C-407E-A947-70E740481C1C}">
                          <a14:useLocalDpi xmlns:a14="http://schemas.microsoft.com/office/drawing/2010/main" val="0"/>
                        </a:ext>
                      </a:extLst>
                    </a:blip>
                    <a:srcRect/>
                    <a:stretch>
                      <a:fillRect/>
                    </a:stretch>
                  </pic:blipFill>
                  <pic:spPr bwMode="auto">
                    <a:xfrm>
                      <a:off x="0" y="0"/>
                      <a:ext cx="712470" cy="251460"/>
                    </a:xfrm>
                    <a:prstGeom prst="rect">
                      <a:avLst/>
                    </a:prstGeom>
                    <a:noFill/>
                    <a:ln>
                      <a:noFill/>
                    </a:ln>
                  </pic:spPr>
                </pic:pic>
              </a:graphicData>
            </a:graphic>
          </wp:inline>
        </w:drawing>
      </w:r>
      <w:r>
        <w:t xml:space="preserve">, где </w:t>
      </w:r>
      <w:r>
        <w:rPr>
          <w:noProof/>
          <w:position w:val="-1"/>
        </w:rPr>
        <w:drawing>
          <wp:inline distT="0" distB="0" distL="0" distR="0">
            <wp:extent cx="136525" cy="157480"/>
            <wp:effectExtent l="0" t="0" r="0" b="0"/>
            <wp:docPr id="2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9">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определяется в соответствии с </w:t>
      </w:r>
      <w:r>
        <w:rPr>
          <w:noProof/>
          <w:position w:val="-4"/>
        </w:rPr>
        <w:drawing>
          <wp:inline distT="0" distB="0" distL="0" distR="0">
            <wp:extent cx="156845" cy="198755"/>
            <wp:effectExtent l="0" t="0" r="0" b="0"/>
            <wp:docPr id="2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2"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и </w:t>
      </w:r>
      <w:r>
        <w:rPr>
          <w:noProof/>
          <w:position w:val="-1"/>
        </w:rPr>
        <w:drawing>
          <wp:inline distT="0" distB="0" distL="0" distR="0">
            <wp:extent cx="167640" cy="156845"/>
            <wp:effectExtent l="0" t="0" r="0" b="0"/>
            <wp:docPr id="2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3"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всей линии влияния.</w:t>
      </w:r>
    </w:p>
    <w:p w:rsidR="00212513" w:rsidRDefault="00212513">
      <w:pPr>
        <w:pStyle w:val="ConsPlusNormal"/>
        <w:spacing w:before="220"/>
        <w:ind w:firstLine="540"/>
        <w:jc w:val="both"/>
      </w:pPr>
      <w:r>
        <w:t xml:space="preserve">Длину </w:t>
      </w:r>
      <w:r>
        <w:rPr>
          <w:noProof/>
          <w:position w:val="-8"/>
        </w:rPr>
        <w:drawing>
          <wp:inline distT="0" distB="0" distL="0" distR="0">
            <wp:extent cx="167640" cy="251460"/>
            <wp:effectExtent l="0" t="0" r="0" b="0"/>
            <wp:docPr id="2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(см. рисунок К.2) следует назначать с учетом расчетной схемы конструкции.</w:t>
      </w:r>
    </w:p>
    <w:p w:rsidR="00212513" w:rsidRDefault="00212513">
      <w:pPr>
        <w:pStyle w:val="ConsPlusNormal"/>
        <w:spacing w:before="220"/>
        <w:ind w:firstLine="540"/>
        <w:jc w:val="both"/>
      </w:pPr>
      <w:bookmarkStart w:id="492" w:name="P13439"/>
      <w:bookmarkEnd w:id="492"/>
      <w:r>
        <w:t>К.5 Усилия (рассматриваемого знака) по линиям влияния, состоящим из нескольких участков, следует определять суммированием результатов загружения отдельных, рядом расположенных участков всей или части линии влияния.</w:t>
      </w:r>
    </w:p>
    <w:p w:rsidR="00212513" w:rsidRDefault="00212513">
      <w:pPr>
        <w:pStyle w:val="ConsPlusNormal"/>
        <w:spacing w:before="220"/>
        <w:ind w:firstLine="540"/>
        <w:jc w:val="both"/>
      </w:pPr>
      <w:r>
        <w:t xml:space="preserve">В соответствии с очертанием линий влияния и значениями величин </w:t>
      </w:r>
      <w:r>
        <w:rPr>
          <w:noProof/>
          <w:position w:val="-4"/>
        </w:rPr>
        <w:drawing>
          <wp:inline distT="0" distB="0" distL="0" distR="0">
            <wp:extent cx="156845" cy="198755"/>
            <wp:effectExtent l="0" t="0" r="0" b="0"/>
            <wp:docPr id="2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0" cstate="print">
                      <a:extLst>
                        <a:ext uri="{28A0092B-C50C-407E-A947-70E740481C1C}">
                          <a14:useLocalDpi xmlns:a14="http://schemas.microsoft.com/office/drawing/2010/main" val="0"/>
                        </a:ext>
                      </a:extLst>
                    </a:blip>
                    <a:srcRect/>
                    <a:stretch>
                      <a:fillRect/>
                    </a:stretch>
                  </pic:blipFill>
                  <pic:spPr bwMode="auto">
                    <a:xfrm>
                      <a:off x="0" y="0"/>
                      <a:ext cx="156845" cy="198755"/>
                    </a:xfrm>
                    <a:prstGeom prst="rect">
                      <a:avLst/>
                    </a:prstGeom>
                    <a:noFill/>
                    <a:ln>
                      <a:noFill/>
                    </a:ln>
                  </pic:spPr>
                </pic:pic>
              </a:graphicData>
            </a:graphic>
          </wp:inline>
        </w:drawing>
      </w:r>
      <w:r>
        <w:t xml:space="preserve"> и </w:t>
      </w:r>
      <w:r>
        <w:rPr>
          <w:noProof/>
          <w:position w:val="-1"/>
        </w:rPr>
        <w:drawing>
          <wp:inline distT="0" distB="0" distL="0" distR="0">
            <wp:extent cx="167640" cy="156845"/>
            <wp:effectExtent l="0" t="0" r="0" b="0"/>
            <wp:docPr id="2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1"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для участков следует загружать:</w:t>
      </w:r>
    </w:p>
    <w:p w:rsidR="00212513" w:rsidRDefault="00212513">
      <w:pPr>
        <w:pStyle w:val="ConsPlusNormal"/>
        <w:spacing w:before="220"/>
        <w:ind w:firstLine="540"/>
        <w:jc w:val="both"/>
      </w:pPr>
      <w:r>
        <w:t>два участка рассматриваемого знака, расположенные рядом или разделенные участком иного знака, при общей длине этих (двух или трех) участков менее 80 м;</w:t>
      </w:r>
    </w:p>
    <w:p w:rsidR="00212513" w:rsidRDefault="00212513">
      <w:pPr>
        <w:pStyle w:val="ConsPlusNormal"/>
        <w:spacing w:before="220"/>
        <w:ind w:firstLine="540"/>
        <w:jc w:val="both"/>
      </w:pPr>
      <w:r>
        <w:t>один участок рассматриваемого знака при длине 80 м и более;</w:t>
      </w:r>
    </w:p>
    <w:p w:rsidR="00212513" w:rsidRDefault="00212513">
      <w:pPr>
        <w:pStyle w:val="ConsPlusNormal"/>
        <w:spacing w:before="220"/>
        <w:ind w:firstLine="540"/>
        <w:jc w:val="both"/>
      </w:pPr>
      <w:r>
        <w:t>остальные участки того же знака - нагрузкой 9,81K кН/м пути.</w:t>
      </w:r>
    </w:p>
    <w:p w:rsidR="00212513" w:rsidRDefault="00212513">
      <w:pPr>
        <w:pStyle w:val="ConsPlusNormal"/>
        <w:spacing w:before="220"/>
        <w:ind w:firstLine="540"/>
        <w:jc w:val="both"/>
      </w:pPr>
      <w:r>
        <w:t>Разделяющие участки иного знака следует загружать нагрузкой 13,73 кН/м пути, а при наличии таких участков длиной до 20 м один из них не загружают.</w:t>
      </w:r>
    </w:p>
    <w:p w:rsidR="00212513" w:rsidRDefault="00212513">
      <w:pPr>
        <w:pStyle w:val="ConsPlusNormal"/>
        <w:spacing w:before="220"/>
        <w:ind w:firstLine="540"/>
        <w:jc w:val="both"/>
      </w:pPr>
      <w:r>
        <w:t xml:space="preserve">Примеры некоторых загружений приведены на </w:t>
      </w:r>
      <w:hyperlink w:anchor="P13449">
        <w:r>
          <w:rPr>
            <w:color w:val="0000FF"/>
          </w:rPr>
          <w:t>рисунках К.3</w:t>
        </w:r>
      </w:hyperlink>
      <w:r>
        <w:t xml:space="preserve"> и </w:t>
      </w:r>
      <w:hyperlink w:anchor="P13456">
        <w:r>
          <w:rPr>
            <w:color w:val="0000FF"/>
          </w:rPr>
          <w:t>К.4</w:t>
        </w:r>
      </w:hyperlink>
      <w:r>
        <w:t>.</w:t>
      </w:r>
    </w:p>
    <w:p w:rsidR="00212513" w:rsidRDefault="00212513">
      <w:pPr>
        <w:pStyle w:val="ConsPlusNormal"/>
        <w:ind w:firstLine="540"/>
        <w:jc w:val="both"/>
      </w:pPr>
    </w:p>
    <w:p w:rsidR="00212513" w:rsidRDefault="00212513">
      <w:pPr>
        <w:pStyle w:val="ConsPlusNormal"/>
        <w:jc w:val="center"/>
      </w:pPr>
      <w:r>
        <w:rPr>
          <w:noProof/>
          <w:position w:val="-169"/>
        </w:rPr>
        <w:lastRenderedPageBreak/>
        <w:drawing>
          <wp:inline distT="0" distB="0" distL="0" distR="0">
            <wp:extent cx="3148330" cy="2292985"/>
            <wp:effectExtent l="0" t="0" r="0" b="0"/>
            <wp:docPr id="2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4" cstate="print">
                      <a:extLst>
                        <a:ext uri="{28A0092B-C50C-407E-A947-70E740481C1C}">
                          <a14:useLocalDpi xmlns:a14="http://schemas.microsoft.com/office/drawing/2010/main" val="0"/>
                        </a:ext>
                      </a:extLst>
                    </a:blip>
                    <a:srcRect/>
                    <a:stretch>
                      <a:fillRect/>
                    </a:stretch>
                  </pic:blipFill>
                  <pic:spPr bwMode="auto">
                    <a:xfrm>
                      <a:off x="0" y="0"/>
                      <a:ext cx="3148330" cy="2292985"/>
                    </a:xfrm>
                    <a:prstGeom prst="rect">
                      <a:avLst/>
                    </a:prstGeom>
                    <a:noFill/>
                    <a:ln>
                      <a:noFill/>
                    </a:ln>
                  </pic:spPr>
                </pic:pic>
              </a:graphicData>
            </a:graphic>
          </wp:inline>
        </w:drawing>
      </w:r>
    </w:p>
    <w:p w:rsidR="00212513" w:rsidRDefault="00212513">
      <w:pPr>
        <w:pStyle w:val="ConsPlusNormal"/>
        <w:ind w:firstLine="540"/>
        <w:jc w:val="both"/>
      </w:pPr>
    </w:p>
    <w:p w:rsidR="00212513" w:rsidRDefault="00212513">
      <w:pPr>
        <w:pStyle w:val="ConsPlusNormal"/>
        <w:jc w:val="center"/>
      </w:pPr>
      <w:bookmarkStart w:id="493" w:name="P13449"/>
      <w:bookmarkEnd w:id="493"/>
      <w:r>
        <w:rPr>
          <w:b/>
          <w:i/>
        </w:rPr>
        <w:t>Рисунок К.3</w:t>
      </w:r>
      <w:r>
        <w:t xml:space="preserve"> </w:t>
      </w:r>
      <w:r>
        <w:rPr>
          <w:b/>
        </w:rPr>
        <w:t>- Схема загружения</w:t>
      </w:r>
    </w:p>
    <w:p w:rsidR="00212513" w:rsidRDefault="00212513">
      <w:pPr>
        <w:pStyle w:val="ConsPlusNormal"/>
        <w:jc w:val="center"/>
      </w:pPr>
      <w:r>
        <w:rPr>
          <w:b/>
        </w:rPr>
        <w:t>участков линии влияния при</w:t>
      </w:r>
      <w:r>
        <w:t> </w:t>
      </w:r>
      <w:r>
        <w:rPr>
          <w:noProof/>
          <w:position w:val="-6"/>
        </w:rPr>
        <w:drawing>
          <wp:inline distT="0" distB="0" distL="0" distR="0">
            <wp:extent cx="648970" cy="220980"/>
            <wp:effectExtent l="0" t="0" r="0" b="0"/>
            <wp:docPr id="2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5" cstate="print">
                      <a:extLst>
                        <a:ext uri="{28A0092B-C50C-407E-A947-70E740481C1C}">
                          <a14:useLocalDpi xmlns:a14="http://schemas.microsoft.com/office/drawing/2010/main" val="0"/>
                        </a:ext>
                      </a:extLst>
                    </a:blip>
                    <a:srcRect/>
                    <a:stretch>
                      <a:fillRect/>
                    </a:stretch>
                  </pic:blipFill>
                  <pic:spPr bwMode="auto">
                    <a:xfrm>
                      <a:off x="0" y="0"/>
                      <a:ext cx="648970" cy="220980"/>
                    </a:xfrm>
                    <a:prstGeom prst="rect">
                      <a:avLst/>
                    </a:prstGeom>
                    <a:noFill/>
                    <a:ln>
                      <a:noFill/>
                    </a:ln>
                  </pic:spPr>
                </pic:pic>
              </a:graphicData>
            </a:graphic>
          </wp:inline>
        </w:drawing>
      </w: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jc w:val="center"/>
      </w:pPr>
      <w:r>
        <w:rPr>
          <w:noProof/>
          <w:position w:val="-237"/>
        </w:rPr>
        <w:drawing>
          <wp:inline distT="0" distB="0" distL="0" distR="0">
            <wp:extent cx="3305810" cy="3158490"/>
            <wp:effectExtent l="0" t="0" r="0" b="0"/>
            <wp:docPr id="2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6" cstate="print">
                      <a:extLst>
                        <a:ext uri="{28A0092B-C50C-407E-A947-70E740481C1C}">
                          <a14:useLocalDpi xmlns:a14="http://schemas.microsoft.com/office/drawing/2010/main" val="0"/>
                        </a:ext>
                      </a:extLst>
                    </a:blip>
                    <a:srcRect/>
                    <a:stretch>
                      <a:fillRect/>
                    </a:stretch>
                  </pic:blipFill>
                  <pic:spPr bwMode="auto">
                    <a:xfrm>
                      <a:off x="0" y="0"/>
                      <a:ext cx="3305810" cy="3158490"/>
                    </a:xfrm>
                    <a:prstGeom prst="rect">
                      <a:avLst/>
                    </a:prstGeom>
                    <a:noFill/>
                    <a:ln>
                      <a:noFill/>
                    </a:ln>
                  </pic:spPr>
                </pic:pic>
              </a:graphicData>
            </a:graphic>
          </wp:inline>
        </w:drawing>
      </w:r>
    </w:p>
    <w:p w:rsidR="00212513" w:rsidRDefault="00212513">
      <w:pPr>
        <w:pStyle w:val="ConsPlusNormal"/>
        <w:ind w:firstLine="540"/>
        <w:jc w:val="both"/>
      </w:pPr>
    </w:p>
    <w:p w:rsidR="00212513" w:rsidRDefault="00212513">
      <w:pPr>
        <w:pStyle w:val="ConsPlusNormal"/>
        <w:jc w:val="center"/>
      </w:pPr>
      <w:bookmarkStart w:id="494" w:name="P13456"/>
      <w:bookmarkEnd w:id="494"/>
      <w:r>
        <w:rPr>
          <w:b/>
          <w:i/>
        </w:rPr>
        <w:t>Рисунок К.4</w:t>
      </w:r>
      <w:r>
        <w:t xml:space="preserve"> </w:t>
      </w:r>
      <w:r>
        <w:rPr>
          <w:b/>
        </w:rPr>
        <w:t>- Схема загружения пролета</w:t>
      </w:r>
    </w:p>
    <w:p w:rsidR="00212513" w:rsidRDefault="00212513">
      <w:pPr>
        <w:pStyle w:val="ConsPlusNormal"/>
        <w:jc w:val="center"/>
      </w:pPr>
      <w:r>
        <w:rPr>
          <w:b/>
        </w:rPr>
        <w:t>одновременно с призмой обрушения или пролета</w:t>
      </w:r>
    </w:p>
    <w:p w:rsidR="00212513" w:rsidRDefault="00212513">
      <w:pPr>
        <w:pStyle w:val="ConsPlusNormal"/>
        <w:jc w:val="center"/>
      </w:pPr>
      <w:r>
        <w:rPr>
          <w:b/>
        </w:rPr>
        <w:t>с устоем при расчете массивных устоев мостов</w:t>
      </w:r>
    </w:p>
    <w:p w:rsidR="00212513" w:rsidRDefault="00212513">
      <w:pPr>
        <w:pStyle w:val="ConsPlusNormal"/>
        <w:jc w:val="center"/>
      </w:pPr>
      <w:r>
        <w:rPr>
          <w:b/>
        </w:rPr>
        <w:t>с разрезными балочными пролетными строениями</w:t>
      </w:r>
    </w:p>
    <w:p w:rsidR="00212513" w:rsidRDefault="00212513">
      <w:pPr>
        <w:pStyle w:val="ConsPlusNormal"/>
        <w:ind w:firstLine="540"/>
        <w:jc w:val="both"/>
      </w:pPr>
    </w:p>
    <w:p w:rsidR="00212513" w:rsidRDefault="00212513">
      <w:pPr>
        <w:pStyle w:val="ConsPlusNormal"/>
        <w:ind w:firstLine="540"/>
        <w:jc w:val="both"/>
      </w:pPr>
      <w:r>
        <w:t xml:space="preserve">К.6 При расчете массивных устоев мостов с разрезными балочными пролетными строениями загружение пролета одновременно с призмой обрушения или пролета с устоем следует производить в соответствии с </w:t>
      </w:r>
      <w:hyperlink w:anchor="P13456">
        <w:r>
          <w:rPr>
            <w:color w:val="0000FF"/>
          </w:rPr>
          <w:t>рисунком К.4</w:t>
        </w:r>
      </w:hyperlink>
      <w:r>
        <w:t xml:space="preserve"> и таблицей К.2.</w:t>
      </w:r>
    </w:p>
    <w:p w:rsidR="00212513" w:rsidRDefault="00212513">
      <w:pPr>
        <w:pStyle w:val="ConsPlusNormal"/>
        <w:ind w:firstLine="540"/>
        <w:jc w:val="both"/>
      </w:pPr>
    </w:p>
    <w:p w:rsidR="00212513" w:rsidRDefault="00212513">
      <w:pPr>
        <w:pStyle w:val="ConsPlusNormal"/>
        <w:jc w:val="right"/>
      </w:pPr>
      <w:r>
        <w:t>Таблица К.2</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1134"/>
        <w:gridCol w:w="1531"/>
        <w:gridCol w:w="2551"/>
        <w:gridCol w:w="1304"/>
        <w:gridCol w:w="1474"/>
      </w:tblGrid>
      <w:tr w:rsidR="00212513">
        <w:tc>
          <w:tcPr>
            <w:tcW w:w="1077" w:type="dxa"/>
            <w:vAlign w:val="center"/>
          </w:tcPr>
          <w:p w:rsidR="00212513" w:rsidRDefault="00212513">
            <w:pPr>
              <w:pStyle w:val="ConsPlusNormal"/>
              <w:jc w:val="center"/>
            </w:pPr>
            <w:r>
              <w:t xml:space="preserve">Схема загружения (по </w:t>
            </w:r>
            <w:r>
              <w:lastRenderedPageBreak/>
              <w:t xml:space="preserve">рисунку </w:t>
            </w:r>
            <w:hyperlink w:anchor="P13456">
              <w:r>
                <w:rPr>
                  <w:color w:val="0000FF"/>
                </w:rPr>
                <w:t>К.4</w:t>
              </w:r>
            </w:hyperlink>
            <w:r>
              <w:t>)</w:t>
            </w:r>
          </w:p>
        </w:tc>
        <w:tc>
          <w:tcPr>
            <w:tcW w:w="1134" w:type="dxa"/>
            <w:vAlign w:val="center"/>
          </w:tcPr>
          <w:p w:rsidR="00212513" w:rsidRDefault="00212513">
            <w:pPr>
              <w:pStyle w:val="ConsPlusNormal"/>
              <w:jc w:val="center"/>
            </w:pPr>
            <w:r>
              <w:lastRenderedPageBreak/>
              <w:t>Загружаемая часть моста</w:t>
            </w:r>
          </w:p>
        </w:tc>
        <w:tc>
          <w:tcPr>
            <w:tcW w:w="1531" w:type="dxa"/>
            <w:vAlign w:val="center"/>
          </w:tcPr>
          <w:p w:rsidR="00212513" w:rsidRDefault="00212513">
            <w:pPr>
              <w:pStyle w:val="ConsPlusNormal"/>
              <w:jc w:val="center"/>
            </w:pPr>
            <w:r>
              <w:t>Длина загружаемого участка, м</w:t>
            </w:r>
          </w:p>
        </w:tc>
        <w:tc>
          <w:tcPr>
            <w:tcW w:w="2551" w:type="dxa"/>
            <w:vAlign w:val="center"/>
          </w:tcPr>
          <w:p w:rsidR="00212513" w:rsidRDefault="00212513">
            <w:pPr>
              <w:pStyle w:val="ConsPlusNormal"/>
              <w:jc w:val="center"/>
            </w:pPr>
            <w:r>
              <w:t>Ограничение</w:t>
            </w:r>
          </w:p>
        </w:tc>
        <w:tc>
          <w:tcPr>
            <w:tcW w:w="1304" w:type="dxa"/>
            <w:vAlign w:val="center"/>
          </w:tcPr>
          <w:p w:rsidR="00212513" w:rsidRDefault="00212513">
            <w:pPr>
              <w:pStyle w:val="ConsPlusNormal"/>
              <w:jc w:val="center"/>
            </w:pPr>
            <w:r>
              <w:t xml:space="preserve">Принимаемое положение </w:t>
            </w:r>
            <w:r>
              <w:lastRenderedPageBreak/>
              <w:t>вершины линии влияния </w:t>
            </w:r>
            <w:r>
              <w:rPr>
                <w:noProof/>
                <w:position w:val="-1"/>
              </w:rPr>
              <w:drawing>
                <wp:inline distT="0" distB="0" distL="0" distR="0">
                  <wp:extent cx="167640" cy="157480"/>
                  <wp:effectExtent l="0" t="0" r="0" b="0"/>
                  <wp:docPr id="2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7"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p>
        </w:tc>
        <w:tc>
          <w:tcPr>
            <w:tcW w:w="1474" w:type="dxa"/>
            <w:vAlign w:val="center"/>
          </w:tcPr>
          <w:p w:rsidR="00212513" w:rsidRDefault="00212513">
            <w:pPr>
              <w:pStyle w:val="ConsPlusNormal"/>
              <w:jc w:val="center"/>
            </w:pPr>
            <w:r>
              <w:lastRenderedPageBreak/>
              <w:t xml:space="preserve">Эквивалентная нагрузка </w:t>
            </w:r>
            <w:r>
              <w:rPr>
                <w:noProof/>
                <w:position w:val="-1"/>
              </w:rPr>
              <w:drawing>
                <wp:inline distT="0" distB="0" distL="0" distR="0">
                  <wp:extent cx="136525" cy="157480"/>
                  <wp:effectExtent l="0" t="0" r="0" b="0"/>
                  <wp:docPr id="2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8"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кН/м пути</w:t>
            </w:r>
          </w:p>
        </w:tc>
      </w:tr>
      <w:tr w:rsidR="00212513">
        <w:tc>
          <w:tcPr>
            <w:tcW w:w="1077" w:type="dxa"/>
            <w:vMerge w:val="restart"/>
          </w:tcPr>
          <w:p w:rsidR="00212513" w:rsidRDefault="00212513">
            <w:pPr>
              <w:pStyle w:val="ConsPlusNormal"/>
              <w:jc w:val="center"/>
            </w:pPr>
            <w:r>
              <w:lastRenderedPageBreak/>
              <w:t>а</w:t>
            </w:r>
          </w:p>
        </w:tc>
        <w:tc>
          <w:tcPr>
            <w:tcW w:w="1134" w:type="dxa"/>
            <w:tcBorders>
              <w:bottom w:val="nil"/>
            </w:tcBorders>
          </w:tcPr>
          <w:p w:rsidR="00212513" w:rsidRDefault="00212513">
            <w:pPr>
              <w:pStyle w:val="ConsPlusNormal"/>
            </w:pPr>
            <w:r>
              <w:t>Пролет</w:t>
            </w:r>
          </w:p>
        </w:tc>
        <w:tc>
          <w:tcPr>
            <w:tcW w:w="1531" w:type="dxa"/>
            <w:tcBorders>
              <w:bottom w:val="nil"/>
            </w:tcBorders>
          </w:tcPr>
          <w:p w:rsidR="00212513" w:rsidRDefault="00212513">
            <w:pPr>
              <w:pStyle w:val="ConsPlusNormal"/>
              <w:jc w:val="center"/>
            </w:pPr>
            <w:r>
              <w:rPr>
                <w:noProof/>
                <w:position w:val="-8"/>
              </w:rPr>
              <w:drawing>
                <wp:inline distT="0" distB="0" distL="0" distR="0">
                  <wp:extent cx="167640" cy="251460"/>
                  <wp:effectExtent l="0" t="0" r="0" b="0"/>
                  <wp:docPr id="2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9"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c>
        <w:tc>
          <w:tcPr>
            <w:tcW w:w="2551" w:type="dxa"/>
            <w:vMerge w:val="restart"/>
            <w:vAlign w:val="center"/>
          </w:tcPr>
          <w:p w:rsidR="00212513" w:rsidRDefault="00212513">
            <w:pPr>
              <w:pStyle w:val="ConsPlusNormal"/>
              <w:jc w:val="center"/>
            </w:pPr>
            <w:r>
              <w:rPr>
                <w:noProof/>
                <w:position w:val="-8"/>
              </w:rPr>
              <w:drawing>
                <wp:inline distT="0" distB="0" distL="0" distR="0">
                  <wp:extent cx="1383030" cy="251460"/>
                  <wp:effectExtent l="0" t="0" r="0" b="0"/>
                  <wp:docPr id="2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0" cstate="print">
                            <a:extLst>
                              <a:ext uri="{28A0092B-C50C-407E-A947-70E740481C1C}">
                                <a14:useLocalDpi xmlns:a14="http://schemas.microsoft.com/office/drawing/2010/main" val="0"/>
                              </a:ext>
                            </a:extLst>
                          </a:blip>
                          <a:srcRect/>
                          <a:stretch>
                            <a:fillRect/>
                          </a:stretch>
                        </pic:blipFill>
                        <pic:spPr bwMode="auto">
                          <a:xfrm>
                            <a:off x="0" y="0"/>
                            <a:ext cx="1383030" cy="251460"/>
                          </a:xfrm>
                          <a:prstGeom prst="rect">
                            <a:avLst/>
                          </a:prstGeom>
                          <a:noFill/>
                          <a:ln>
                            <a:noFill/>
                          </a:ln>
                        </pic:spPr>
                      </pic:pic>
                    </a:graphicData>
                  </a:graphic>
                </wp:inline>
              </w:drawing>
            </w:r>
          </w:p>
        </w:tc>
        <w:tc>
          <w:tcPr>
            <w:tcW w:w="1304" w:type="dxa"/>
            <w:tcBorders>
              <w:bottom w:val="nil"/>
            </w:tcBorders>
          </w:tcPr>
          <w:p w:rsidR="00212513" w:rsidRDefault="00212513">
            <w:pPr>
              <w:pStyle w:val="ConsPlusNormal"/>
              <w:jc w:val="center"/>
            </w:pPr>
            <w:r>
              <w:t xml:space="preserve">0 </w:t>
            </w:r>
            <w:hyperlink w:anchor="P13537">
              <w:r>
                <w:rPr>
                  <w:color w:val="0000FF"/>
                </w:rPr>
                <w:t>&lt;*&gt;</w:t>
              </w:r>
            </w:hyperlink>
          </w:p>
        </w:tc>
        <w:tc>
          <w:tcPr>
            <w:tcW w:w="1474" w:type="dxa"/>
            <w:tcBorders>
              <w:bottom w:val="nil"/>
            </w:tcBorders>
          </w:tcPr>
          <w:p w:rsidR="00212513" w:rsidRDefault="00212513">
            <w:pPr>
              <w:pStyle w:val="ConsPlusNormal"/>
              <w:jc w:val="center"/>
            </w:pPr>
            <w:r>
              <w:rPr>
                <w:noProof/>
                <w:position w:val="-8"/>
              </w:rPr>
              <w:drawing>
                <wp:inline distT="0" distB="0" distL="0" distR="0">
                  <wp:extent cx="156845" cy="251460"/>
                  <wp:effectExtent l="0" t="0" r="0" b="0"/>
                  <wp:docPr id="2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1"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p>
        </w:tc>
      </w:tr>
      <w:tr w:rsidR="00212513">
        <w:tblPrEx>
          <w:tblBorders>
            <w:insideH w:val="nil"/>
          </w:tblBorders>
        </w:tblPrEx>
        <w:tc>
          <w:tcPr>
            <w:tcW w:w="1077" w:type="dxa"/>
            <w:vMerge/>
          </w:tcPr>
          <w:p w:rsidR="00212513" w:rsidRDefault="00212513">
            <w:pPr>
              <w:pStyle w:val="ConsPlusNormal"/>
            </w:pPr>
          </w:p>
        </w:tc>
        <w:tc>
          <w:tcPr>
            <w:tcW w:w="1134" w:type="dxa"/>
            <w:tcBorders>
              <w:top w:val="nil"/>
              <w:bottom w:val="nil"/>
            </w:tcBorders>
          </w:tcPr>
          <w:p w:rsidR="00212513" w:rsidRDefault="00212513">
            <w:pPr>
              <w:pStyle w:val="ConsPlusNormal"/>
            </w:pPr>
            <w:r>
              <w:t>Устой</w:t>
            </w:r>
          </w:p>
        </w:tc>
        <w:tc>
          <w:tcPr>
            <w:tcW w:w="1531" w:type="dxa"/>
            <w:tcBorders>
              <w:top w:val="nil"/>
              <w:bottom w:val="nil"/>
            </w:tcBorders>
          </w:tcPr>
          <w:p w:rsidR="00212513" w:rsidRDefault="00212513">
            <w:pPr>
              <w:pStyle w:val="ConsPlusNormal"/>
              <w:jc w:val="center"/>
            </w:pPr>
            <w:r>
              <w:rPr>
                <w:noProof/>
                <w:position w:val="-8"/>
              </w:rPr>
              <w:drawing>
                <wp:inline distT="0" distB="0" distL="0" distR="0">
                  <wp:extent cx="544830" cy="251460"/>
                  <wp:effectExtent l="0" t="0" r="0" b="0"/>
                  <wp:docPr id="2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2" cstate="print">
                            <a:extLst>
                              <a:ext uri="{28A0092B-C50C-407E-A947-70E740481C1C}">
                                <a14:useLocalDpi xmlns:a14="http://schemas.microsoft.com/office/drawing/2010/main" val="0"/>
                              </a:ext>
                            </a:extLst>
                          </a:blip>
                          <a:srcRect/>
                          <a:stretch>
                            <a:fillRect/>
                          </a:stretch>
                        </pic:blipFill>
                        <pic:spPr bwMode="auto">
                          <a:xfrm>
                            <a:off x="0" y="0"/>
                            <a:ext cx="544830" cy="251460"/>
                          </a:xfrm>
                          <a:prstGeom prst="rect">
                            <a:avLst/>
                          </a:prstGeom>
                          <a:noFill/>
                          <a:ln>
                            <a:noFill/>
                          </a:ln>
                        </pic:spPr>
                      </pic:pic>
                    </a:graphicData>
                  </a:graphic>
                </wp:inline>
              </w:drawing>
            </w:r>
          </w:p>
        </w:tc>
        <w:tc>
          <w:tcPr>
            <w:tcW w:w="2551" w:type="dxa"/>
            <w:vMerge/>
          </w:tcPr>
          <w:p w:rsidR="00212513" w:rsidRDefault="00212513">
            <w:pPr>
              <w:pStyle w:val="ConsPlusNormal"/>
            </w:pPr>
          </w:p>
        </w:tc>
        <w:tc>
          <w:tcPr>
            <w:tcW w:w="1304" w:type="dxa"/>
            <w:tcBorders>
              <w:top w:val="nil"/>
              <w:bottom w:val="nil"/>
            </w:tcBorders>
          </w:tcPr>
          <w:p w:rsidR="00212513" w:rsidRDefault="00212513">
            <w:pPr>
              <w:pStyle w:val="ConsPlusNormal"/>
              <w:jc w:val="center"/>
            </w:pPr>
            <w:r>
              <w:t>-</w:t>
            </w:r>
          </w:p>
        </w:tc>
        <w:tc>
          <w:tcPr>
            <w:tcW w:w="1474" w:type="dxa"/>
            <w:tcBorders>
              <w:top w:val="nil"/>
              <w:bottom w:val="nil"/>
            </w:tcBorders>
          </w:tcPr>
          <w:p w:rsidR="00212513" w:rsidRDefault="00212513">
            <w:pPr>
              <w:pStyle w:val="ConsPlusNormal"/>
              <w:jc w:val="center"/>
            </w:pPr>
            <w:r>
              <w:t>0</w:t>
            </w:r>
          </w:p>
        </w:tc>
      </w:tr>
      <w:tr w:rsidR="00212513">
        <w:tc>
          <w:tcPr>
            <w:tcW w:w="1077" w:type="dxa"/>
            <w:vMerge/>
          </w:tcPr>
          <w:p w:rsidR="00212513" w:rsidRDefault="00212513">
            <w:pPr>
              <w:pStyle w:val="ConsPlusNormal"/>
            </w:pPr>
          </w:p>
        </w:tc>
        <w:tc>
          <w:tcPr>
            <w:tcW w:w="1134" w:type="dxa"/>
            <w:tcBorders>
              <w:top w:val="nil"/>
            </w:tcBorders>
          </w:tcPr>
          <w:p w:rsidR="00212513" w:rsidRDefault="00212513">
            <w:pPr>
              <w:pStyle w:val="ConsPlusNormal"/>
            </w:pPr>
            <w:r>
              <w:t>Призма обрушения</w:t>
            </w:r>
          </w:p>
        </w:tc>
        <w:tc>
          <w:tcPr>
            <w:tcW w:w="1531" w:type="dxa"/>
            <w:tcBorders>
              <w:top w:val="nil"/>
            </w:tcBorders>
          </w:tcPr>
          <w:p w:rsidR="00212513" w:rsidRDefault="00212513">
            <w:pPr>
              <w:pStyle w:val="ConsPlusNormal"/>
              <w:jc w:val="center"/>
            </w:pPr>
            <w:r>
              <w:rPr>
                <w:noProof/>
                <w:position w:val="-8"/>
              </w:rPr>
              <w:drawing>
                <wp:inline distT="0" distB="0" distL="0" distR="0">
                  <wp:extent cx="177800" cy="251460"/>
                  <wp:effectExtent l="0" t="0" r="0" b="0"/>
                  <wp:docPr id="2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3"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p>
        </w:tc>
        <w:tc>
          <w:tcPr>
            <w:tcW w:w="2551" w:type="dxa"/>
            <w:vMerge/>
          </w:tcPr>
          <w:p w:rsidR="00212513" w:rsidRDefault="00212513">
            <w:pPr>
              <w:pStyle w:val="ConsPlusNormal"/>
            </w:pPr>
          </w:p>
        </w:tc>
        <w:tc>
          <w:tcPr>
            <w:tcW w:w="1304" w:type="dxa"/>
            <w:tcBorders>
              <w:top w:val="nil"/>
            </w:tcBorders>
          </w:tcPr>
          <w:p w:rsidR="00212513" w:rsidRDefault="00212513">
            <w:pPr>
              <w:pStyle w:val="ConsPlusNormal"/>
              <w:jc w:val="center"/>
            </w:pPr>
            <w:r>
              <w:t>0,5</w:t>
            </w:r>
          </w:p>
        </w:tc>
        <w:tc>
          <w:tcPr>
            <w:tcW w:w="1474" w:type="dxa"/>
            <w:tcBorders>
              <w:top w:val="nil"/>
            </w:tcBorders>
          </w:tcPr>
          <w:p w:rsidR="00212513" w:rsidRDefault="00212513">
            <w:pPr>
              <w:pStyle w:val="ConsPlusNormal"/>
              <w:jc w:val="center"/>
            </w:pPr>
            <w:r>
              <w:rPr>
                <w:noProof/>
                <w:position w:val="-8"/>
              </w:rPr>
              <w:drawing>
                <wp:inline distT="0" distB="0" distL="0" distR="0">
                  <wp:extent cx="838200" cy="251460"/>
                  <wp:effectExtent l="0" t="0" r="0" b="0"/>
                  <wp:docPr id="2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4" cstate="print">
                            <a:extLst>
                              <a:ext uri="{28A0092B-C50C-407E-A947-70E740481C1C}">
                                <a14:useLocalDpi xmlns:a14="http://schemas.microsoft.com/office/drawing/2010/main" val="0"/>
                              </a:ext>
                            </a:extLst>
                          </a:blip>
                          <a:srcRect/>
                          <a:stretch>
                            <a:fillRect/>
                          </a:stretch>
                        </pic:blipFill>
                        <pic:spPr bwMode="auto">
                          <a:xfrm>
                            <a:off x="0" y="0"/>
                            <a:ext cx="838200" cy="251460"/>
                          </a:xfrm>
                          <a:prstGeom prst="rect">
                            <a:avLst/>
                          </a:prstGeom>
                          <a:noFill/>
                          <a:ln>
                            <a:noFill/>
                          </a:ln>
                        </pic:spPr>
                      </pic:pic>
                    </a:graphicData>
                  </a:graphic>
                </wp:inline>
              </w:drawing>
            </w:r>
          </w:p>
        </w:tc>
      </w:tr>
      <w:tr w:rsidR="00212513">
        <w:tc>
          <w:tcPr>
            <w:tcW w:w="1077" w:type="dxa"/>
            <w:vMerge w:val="restart"/>
          </w:tcPr>
          <w:p w:rsidR="00212513" w:rsidRDefault="00212513">
            <w:pPr>
              <w:pStyle w:val="ConsPlusNormal"/>
              <w:jc w:val="center"/>
            </w:pPr>
            <w:r>
              <w:rPr>
                <w:noProof/>
                <w:position w:val="-8"/>
              </w:rPr>
              <w:drawing>
                <wp:inline distT="0" distB="0" distL="0" distR="0">
                  <wp:extent cx="177800" cy="251460"/>
                  <wp:effectExtent l="0" t="0" r="0" b="0"/>
                  <wp:docPr id="2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5"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p>
        </w:tc>
        <w:tc>
          <w:tcPr>
            <w:tcW w:w="1134" w:type="dxa"/>
            <w:vMerge w:val="restart"/>
          </w:tcPr>
          <w:p w:rsidR="00212513" w:rsidRDefault="00212513">
            <w:pPr>
              <w:pStyle w:val="ConsPlusNormal"/>
            </w:pPr>
            <w:r>
              <w:t>То же</w:t>
            </w:r>
          </w:p>
        </w:tc>
        <w:tc>
          <w:tcPr>
            <w:tcW w:w="1531" w:type="dxa"/>
            <w:tcBorders>
              <w:bottom w:val="nil"/>
            </w:tcBorders>
          </w:tcPr>
          <w:p w:rsidR="00212513" w:rsidRDefault="00212513">
            <w:pPr>
              <w:pStyle w:val="ConsPlusNormal"/>
              <w:jc w:val="center"/>
            </w:pPr>
            <w:r>
              <w:rPr>
                <w:noProof/>
                <w:position w:val="-8"/>
              </w:rPr>
              <w:drawing>
                <wp:inline distT="0" distB="0" distL="0" distR="0">
                  <wp:extent cx="167640" cy="251460"/>
                  <wp:effectExtent l="0" t="0" r="0" b="0"/>
                  <wp:docPr id="2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9"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c>
        <w:tc>
          <w:tcPr>
            <w:tcW w:w="2551" w:type="dxa"/>
            <w:vMerge w:val="restart"/>
            <w:vAlign w:val="center"/>
          </w:tcPr>
          <w:p w:rsidR="00212513" w:rsidRDefault="00212513">
            <w:pPr>
              <w:pStyle w:val="ConsPlusNormal"/>
              <w:jc w:val="center"/>
            </w:pPr>
            <w:r>
              <w:rPr>
                <w:noProof/>
                <w:position w:val="-8"/>
              </w:rPr>
              <w:drawing>
                <wp:inline distT="0" distB="0" distL="0" distR="0">
                  <wp:extent cx="1383030" cy="251460"/>
                  <wp:effectExtent l="0" t="0" r="0" b="0"/>
                  <wp:docPr id="2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6" cstate="print">
                            <a:extLst>
                              <a:ext uri="{28A0092B-C50C-407E-A947-70E740481C1C}">
                                <a14:useLocalDpi xmlns:a14="http://schemas.microsoft.com/office/drawing/2010/main" val="0"/>
                              </a:ext>
                            </a:extLst>
                          </a:blip>
                          <a:srcRect/>
                          <a:stretch>
                            <a:fillRect/>
                          </a:stretch>
                        </pic:blipFill>
                        <pic:spPr bwMode="auto">
                          <a:xfrm>
                            <a:off x="0" y="0"/>
                            <a:ext cx="1383030" cy="251460"/>
                          </a:xfrm>
                          <a:prstGeom prst="rect">
                            <a:avLst/>
                          </a:prstGeom>
                          <a:noFill/>
                          <a:ln>
                            <a:noFill/>
                          </a:ln>
                        </pic:spPr>
                      </pic:pic>
                    </a:graphicData>
                  </a:graphic>
                </wp:inline>
              </w:drawing>
            </w:r>
          </w:p>
        </w:tc>
        <w:tc>
          <w:tcPr>
            <w:tcW w:w="1304" w:type="dxa"/>
            <w:tcBorders>
              <w:bottom w:val="nil"/>
            </w:tcBorders>
          </w:tcPr>
          <w:p w:rsidR="00212513" w:rsidRDefault="00212513">
            <w:pPr>
              <w:pStyle w:val="ConsPlusNormal"/>
              <w:jc w:val="center"/>
            </w:pPr>
            <w:r>
              <w:t>0</w:t>
            </w:r>
          </w:p>
        </w:tc>
        <w:tc>
          <w:tcPr>
            <w:tcW w:w="1474" w:type="dxa"/>
            <w:tcBorders>
              <w:bottom w:val="nil"/>
            </w:tcBorders>
          </w:tcPr>
          <w:p w:rsidR="00212513" w:rsidRDefault="00212513">
            <w:pPr>
              <w:pStyle w:val="ConsPlusNormal"/>
              <w:jc w:val="center"/>
            </w:pPr>
            <w:r>
              <w:rPr>
                <w:noProof/>
                <w:position w:val="-8"/>
              </w:rPr>
              <w:drawing>
                <wp:inline distT="0" distB="0" distL="0" distR="0">
                  <wp:extent cx="156845" cy="251460"/>
                  <wp:effectExtent l="0" t="0" r="0" b="0"/>
                  <wp:docPr id="2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1"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p>
        </w:tc>
      </w:tr>
      <w:tr w:rsidR="00212513">
        <w:tblPrEx>
          <w:tblBorders>
            <w:insideH w:val="nil"/>
          </w:tblBorders>
        </w:tblPrEx>
        <w:tc>
          <w:tcPr>
            <w:tcW w:w="1077" w:type="dxa"/>
            <w:vMerge/>
          </w:tcPr>
          <w:p w:rsidR="00212513" w:rsidRDefault="00212513">
            <w:pPr>
              <w:pStyle w:val="ConsPlusNormal"/>
            </w:pPr>
          </w:p>
        </w:tc>
        <w:tc>
          <w:tcPr>
            <w:tcW w:w="1134" w:type="dxa"/>
            <w:vMerge/>
          </w:tcPr>
          <w:p w:rsidR="00212513" w:rsidRDefault="00212513">
            <w:pPr>
              <w:pStyle w:val="ConsPlusNormal"/>
            </w:pPr>
          </w:p>
        </w:tc>
        <w:tc>
          <w:tcPr>
            <w:tcW w:w="1531" w:type="dxa"/>
            <w:tcBorders>
              <w:top w:val="nil"/>
              <w:bottom w:val="nil"/>
            </w:tcBorders>
          </w:tcPr>
          <w:p w:rsidR="00212513" w:rsidRDefault="00212513">
            <w:pPr>
              <w:pStyle w:val="ConsPlusNormal"/>
              <w:jc w:val="center"/>
            </w:pPr>
            <w:r>
              <w:rPr>
                <w:noProof/>
                <w:position w:val="-8"/>
              </w:rPr>
              <w:drawing>
                <wp:inline distT="0" distB="0" distL="0" distR="0">
                  <wp:extent cx="544830" cy="251460"/>
                  <wp:effectExtent l="0" t="0" r="0" b="0"/>
                  <wp:docPr id="2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2" cstate="print">
                            <a:extLst>
                              <a:ext uri="{28A0092B-C50C-407E-A947-70E740481C1C}">
                                <a14:useLocalDpi xmlns:a14="http://schemas.microsoft.com/office/drawing/2010/main" val="0"/>
                              </a:ext>
                            </a:extLst>
                          </a:blip>
                          <a:srcRect/>
                          <a:stretch>
                            <a:fillRect/>
                          </a:stretch>
                        </pic:blipFill>
                        <pic:spPr bwMode="auto">
                          <a:xfrm>
                            <a:off x="0" y="0"/>
                            <a:ext cx="544830" cy="251460"/>
                          </a:xfrm>
                          <a:prstGeom prst="rect">
                            <a:avLst/>
                          </a:prstGeom>
                          <a:noFill/>
                          <a:ln>
                            <a:noFill/>
                          </a:ln>
                        </pic:spPr>
                      </pic:pic>
                    </a:graphicData>
                  </a:graphic>
                </wp:inline>
              </w:drawing>
            </w:r>
          </w:p>
        </w:tc>
        <w:tc>
          <w:tcPr>
            <w:tcW w:w="2551" w:type="dxa"/>
            <w:vMerge/>
          </w:tcPr>
          <w:p w:rsidR="00212513" w:rsidRDefault="00212513">
            <w:pPr>
              <w:pStyle w:val="ConsPlusNormal"/>
            </w:pPr>
          </w:p>
        </w:tc>
        <w:tc>
          <w:tcPr>
            <w:tcW w:w="1304" w:type="dxa"/>
            <w:tcBorders>
              <w:top w:val="nil"/>
              <w:bottom w:val="nil"/>
            </w:tcBorders>
          </w:tcPr>
          <w:p w:rsidR="00212513" w:rsidRDefault="00212513">
            <w:pPr>
              <w:pStyle w:val="ConsPlusNormal"/>
              <w:jc w:val="center"/>
            </w:pPr>
            <w:r>
              <w:t>-</w:t>
            </w:r>
          </w:p>
        </w:tc>
        <w:tc>
          <w:tcPr>
            <w:tcW w:w="1474" w:type="dxa"/>
            <w:tcBorders>
              <w:top w:val="nil"/>
              <w:bottom w:val="nil"/>
            </w:tcBorders>
          </w:tcPr>
          <w:p w:rsidR="00212513" w:rsidRDefault="00212513">
            <w:pPr>
              <w:pStyle w:val="ConsPlusNormal"/>
              <w:jc w:val="center"/>
            </w:pPr>
            <w:r>
              <w:t>0</w:t>
            </w:r>
          </w:p>
        </w:tc>
      </w:tr>
      <w:tr w:rsidR="00212513">
        <w:tc>
          <w:tcPr>
            <w:tcW w:w="1077" w:type="dxa"/>
            <w:vMerge/>
          </w:tcPr>
          <w:p w:rsidR="00212513" w:rsidRDefault="00212513">
            <w:pPr>
              <w:pStyle w:val="ConsPlusNormal"/>
            </w:pPr>
          </w:p>
        </w:tc>
        <w:tc>
          <w:tcPr>
            <w:tcW w:w="1134" w:type="dxa"/>
            <w:vMerge/>
          </w:tcPr>
          <w:p w:rsidR="00212513" w:rsidRDefault="00212513">
            <w:pPr>
              <w:pStyle w:val="ConsPlusNormal"/>
            </w:pPr>
          </w:p>
        </w:tc>
        <w:tc>
          <w:tcPr>
            <w:tcW w:w="1531" w:type="dxa"/>
            <w:tcBorders>
              <w:top w:val="nil"/>
            </w:tcBorders>
          </w:tcPr>
          <w:p w:rsidR="00212513" w:rsidRDefault="00212513">
            <w:pPr>
              <w:pStyle w:val="ConsPlusNormal"/>
              <w:jc w:val="center"/>
            </w:pPr>
            <w:r>
              <w:rPr>
                <w:noProof/>
                <w:position w:val="-8"/>
              </w:rPr>
              <w:drawing>
                <wp:inline distT="0" distB="0" distL="0" distR="0">
                  <wp:extent cx="177800" cy="251460"/>
                  <wp:effectExtent l="0" t="0" r="0" b="0"/>
                  <wp:docPr id="2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3"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p>
        </w:tc>
        <w:tc>
          <w:tcPr>
            <w:tcW w:w="2551" w:type="dxa"/>
            <w:vMerge/>
          </w:tcPr>
          <w:p w:rsidR="00212513" w:rsidRDefault="00212513">
            <w:pPr>
              <w:pStyle w:val="ConsPlusNormal"/>
            </w:pPr>
          </w:p>
        </w:tc>
        <w:tc>
          <w:tcPr>
            <w:tcW w:w="1304" w:type="dxa"/>
            <w:tcBorders>
              <w:top w:val="nil"/>
            </w:tcBorders>
          </w:tcPr>
          <w:p w:rsidR="00212513" w:rsidRDefault="00212513">
            <w:pPr>
              <w:pStyle w:val="ConsPlusNormal"/>
              <w:jc w:val="center"/>
            </w:pPr>
            <w:r>
              <w:t>-</w:t>
            </w:r>
          </w:p>
        </w:tc>
        <w:tc>
          <w:tcPr>
            <w:tcW w:w="1474" w:type="dxa"/>
            <w:tcBorders>
              <w:top w:val="nil"/>
            </w:tcBorders>
          </w:tcPr>
          <w:p w:rsidR="00212513" w:rsidRDefault="00212513">
            <w:pPr>
              <w:pStyle w:val="ConsPlusNormal"/>
              <w:jc w:val="center"/>
            </w:pPr>
            <w:r>
              <w:rPr>
                <w:noProof/>
                <w:position w:val="-8"/>
              </w:rPr>
              <w:drawing>
                <wp:inline distT="0" distB="0" distL="0" distR="0">
                  <wp:extent cx="754380" cy="251460"/>
                  <wp:effectExtent l="0" t="0" r="0" b="0"/>
                  <wp:docPr id="2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7" cstate="print">
                            <a:extLst>
                              <a:ext uri="{28A0092B-C50C-407E-A947-70E740481C1C}">
                                <a14:useLocalDpi xmlns:a14="http://schemas.microsoft.com/office/drawing/2010/main" val="0"/>
                              </a:ext>
                            </a:extLst>
                          </a:blip>
                          <a:srcRect/>
                          <a:stretch>
                            <a:fillRect/>
                          </a:stretch>
                        </pic:blipFill>
                        <pic:spPr bwMode="auto">
                          <a:xfrm>
                            <a:off x="0" y="0"/>
                            <a:ext cx="754380" cy="251460"/>
                          </a:xfrm>
                          <a:prstGeom prst="rect">
                            <a:avLst/>
                          </a:prstGeom>
                          <a:noFill/>
                          <a:ln>
                            <a:noFill/>
                          </a:ln>
                        </pic:spPr>
                      </pic:pic>
                    </a:graphicData>
                  </a:graphic>
                </wp:inline>
              </w:drawing>
            </w:r>
          </w:p>
        </w:tc>
      </w:tr>
      <w:tr w:rsidR="00212513">
        <w:tc>
          <w:tcPr>
            <w:tcW w:w="1077" w:type="dxa"/>
            <w:vMerge w:val="restart"/>
          </w:tcPr>
          <w:p w:rsidR="00212513" w:rsidRDefault="00212513">
            <w:pPr>
              <w:pStyle w:val="ConsPlusNormal"/>
              <w:jc w:val="center"/>
            </w:pPr>
            <w:r>
              <w:rPr>
                <w:noProof/>
                <w:position w:val="-8"/>
              </w:rPr>
              <w:drawing>
                <wp:inline distT="0" distB="0" distL="0" distR="0">
                  <wp:extent cx="198755" cy="250825"/>
                  <wp:effectExtent l="0" t="0" r="0" b="0"/>
                  <wp:docPr id="2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8"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p>
        </w:tc>
        <w:tc>
          <w:tcPr>
            <w:tcW w:w="1134" w:type="dxa"/>
            <w:vMerge w:val="restart"/>
          </w:tcPr>
          <w:p w:rsidR="00212513" w:rsidRDefault="00212513">
            <w:pPr>
              <w:pStyle w:val="ConsPlusNormal"/>
              <w:ind w:left="283"/>
            </w:pPr>
            <w:r>
              <w:t>"</w:t>
            </w:r>
          </w:p>
        </w:tc>
        <w:tc>
          <w:tcPr>
            <w:tcW w:w="1531" w:type="dxa"/>
            <w:tcBorders>
              <w:bottom w:val="nil"/>
            </w:tcBorders>
          </w:tcPr>
          <w:p w:rsidR="00212513" w:rsidRDefault="00212513">
            <w:pPr>
              <w:pStyle w:val="ConsPlusNormal"/>
              <w:jc w:val="center"/>
            </w:pPr>
            <w:r>
              <w:rPr>
                <w:noProof/>
                <w:position w:val="-8"/>
              </w:rPr>
              <w:drawing>
                <wp:inline distT="0" distB="0" distL="0" distR="0">
                  <wp:extent cx="167640" cy="251460"/>
                  <wp:effectExtent l="0" t="0" r="0" b="0"/>
                  <wp:docPr id="2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9"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c>
        <w:tc>
          <w:tcPr>
            <w:tcW w:w="2551" w:type="dxa"/>
            <w:vMerge w:val="restart"/>
            <w:vAlign w:val="center"/>
          </w:tcPr>
          <w:p w:rsidR="00212513" w:rsidRDefault="00212513">
            <w:pPr>
              <w:pStyle w:val="ConsPlusNormal"/>
              <w:jc w:val="center"/>
            </w:pPr>
            <w:r>
              <w:rPr>
                <w:noProof/>
                <w:position w:val="-8"/>
              </w:rPr>
              <w:drawing>
                <wp:inline distT="0" distB="0" distL="0" distR="0">
                  <wp:extent cx="1383030" cy="251460"/>
                  <wp:effectExtent l="0" t="0" r="0" b="0"/>
                  <wp:docPr id="2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9" cstate="print">
                            <a:extLst>
                              <a:ext uri="{28A0092B-C50C-407E-A947-70E740481C1C}">
                                <a14:useLocalDpi xmlns:a14="http://schemas.microsoft.com/office/drawing/2010/main" val="0"/>
                              </a:ext>
                            </a:extLst>
                          </a:blip>
                          <a:srcRect/>
                          <a:stretch>
                            <a:fillRect/>
                          </a:stretch>
                        </pic:blipFill>
                        <pic:spPr bwMode="auto">
                          <a:xfrm>
                            <a:off x="0" y="0"/>
                            <a:ext cx="1383030" cy="251460"/>
                          </a:xfrm>
                          <a:prstGeom prst="rect">
                            <a:avLst/>
                          </a:prstGeom>
                          <a:noFill/>
                          <a:ln>
                            <a:noFill/>
                          </a:ln>
                        </pic:spPr>
                      </pic:pic>
                    </a:graphicData>
                  </a:graphic>
                </wp:inline>
              </w:drawing>
            </w:r>
          </w:p>
        </w:tc>
        <w:tc>
          <w:tcPr>
            <w:tcW w:w="1304" w:type="dxa"/>
            <w:tcBorders>
              <w:bottom w:val="nil"/>
            </w:tcBorders>
          </w:tcPr>
          <w:p w:rsidR="00212513" w:rsidRDefault="00212513">
            <w:pPr>
              <w:pStyle w:val="ConsPlusNormal"/>
              <w:jc w:val="center"/>
            </w:pPr>
            <w:r>
              <w:t>-</w:t>
            </w:r>
          </w:p>
        </w:tc>
        <w:tc>
          <w:tcPr>
            <w:tcW w:w="1474" w:type="dxa"/>
            <w:tcBorders>
              <w:bottom w:val="nil"/>
            </w:tcBorders>
          </w:tcPr>
          <w:p w:rsidR="00212513" w:rsidRDefault="00212513">
            <w:pPr>
              <w:pStyle w:val="ConsPlusNormal"/>
              <w:jc w:val="center"/>
            </w:pPr>
            <w:r>
              <w:rPr>
                <w:noProof/>
                <w:position w:val="-8"/>
              </w:rPr>
              <w:drawing>
                <wp:inline distT="0" distB="0" distL="0" distR="0">
                  <wp:extent cx="748030" cy="251460"/>
                  <wp:effectExtent l="0" t="0" r="0" b="0"/>
                  <wp:docPr id="2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0" cstate="print">
                            <a:extLst>
                              <a:ext uri="{28A0092B-C50C-407E-A947-70E740481C1C}">
                                <a14:useLocalDpi xmlns:a14="http://schemas.microsoft.com/office/drawing/2010/main" val="0"/>
                              </a:ext>
                            </a:extLst>
                          </a:blip>
                          <a:srcRect/>
                          <a:stretch>
                            <a:fillRect/>
                          </a:stretch>
                        </pic:blipFill>
                        <pic:spPr bwMode="auto">
                          <a:xfrm>
                            <a:off x="0" y="0"/>
                            <a:ext cx="748030" cy="251460"/>
                          </a:xfrm>
                          <a:prstGeom prst="rect">
                            <a:avLst/>
                          </a:prstGeom>
                          <a:noFill/>
                          <a:ln>
                            <a:noFill/>
                          </a:ln>
                        </pic:spPr>
                      </pic:pic>
                    </a:graphicData>
                  </a:graphic>
                </wp:inline>
              </w:drawing>
            </w:r>
          </w:p>
        </w:tc>
      </w:tr>
      <w:tr w:rsidR="00212513">
        <w:tblPrEx>
          <w:tblBorders>
            <w:insideH w:val="nil"/>
          </w:tblBorders>
        </w:tblPrEx>
        <w:tc>
          <w:tcPr>
            <w:tcW w:w="1077" w:type="dxa"/>
            <w:vMerge/>
          </w:tcPr>
          <w:p w:rsidR="00212513" w:rsidRDefault="00212513">
            <w:pPr>
              <w:pStyle w:val="ConsPlusNormal"/>
            </w:pPr>
          </w:p>
        </w:tc>
        <w:tc>
          <w:tcPr>
            <w:tcW w:w="1134" w:type="dxa"/>
            <w:vMerge/>
          </w:tcPr>
          <w:p w:rsidR="00212513" w:rsidRDefault="00212513">
            <w:pPr>
              <w:pStyle w:val="ConsPlusNormal"/>
            </w:pPr>
          </w:p>
        </w:tc>
        <w:tc>
          <w:tcPr>
            <w:tcW w:w="1531" w:type="dxa"/>
            <w:tcBorders>
              <w:top w:val="nil"/>
              <w:bottom w:val="nil"/>
            </w:tcBorders>
          </w:tcPr>
          <w:p w:rsidR="00212513" w:rsidRDefault="00212513">
            <w:pPr>
              <w:pStyle w:val="ConsPlusNormal"/>
              <w:jc w:val="center"/>
            </w:pPr>
            <w:r>
              <w:rPr>
                <w:noProof/>
                <w:position w:val="-8"/>
              </w:rPr>
              <w:drawing>
                <wp:inline distT="0" distB="0" distL="0" distR="0">
                  <wp:extent cx="544830" cy="251460"/>
                  <wp:effectExtent l="0" t="0" r="0" b="0"/>
                  <wp:docPr id="2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2" cstate="print">
                            <a:extLst>
                              <a:ext uri="{28A0092B-C50C-407E-A947-70E740481C1C}">
                                <a14:useLocalDpi xmlns:a14="http://schemas.microsoft.com/office/drawing/2010/main" val="0"/>
                              </a:ext>
                            </a:extLst>
                          </a:blip>
                          <a:srcRect/>
                          <a:stretch>
                            <a:fillRect/>
                          </a:stretch>
                        </pic:blipFill>
                        <pic:spPr bwMode="auto">
                          <a:xfrm>
                            <a:off x="0" y="0"/>
                            <a:ext cx="544830" cy="251460"/>
                          </a:xfrm>
                          <a:prstGeom prst="rect">
                            <a:avLst/>
                          </a:prstGeom>
                          <a:noFill/>
                          <a:ln>
                            <a:noFill/>
                          </a:ln>
                        </pic:spPr>
                      </pic:pic>
                    </a:graphicData>
                  </a:graphic>
                </wp:inline>
              </w:drawing>
            </w:r>
          </w:p>
        </w:tc>
        <w:tc>
          <w:tcPr>
            <w:tcW w:w="2551" w:type="dxa"/>
            <w:vMerge/>
          </w:tcPr>
          <w:p w:rsidR="00212513" w:rsidRDefault="00212513">
            <w:pPr>
              <w:pStyle w:val="ConsPlusNormal"/>
            </w:pPr>
          </w:p>
        </w:tc>
        <w:tc>
          <w:tcPr>
            <w:tcW w:w="1304" w:type="dxa"/>
            <w:tcBorders>
              <w:top w:val="nil"/>
              <w:bottom w:val="nil"/>
            </w:tcBorders>
          </w:tcPr>
          <w:p w:rsidR="00212513" w:rsidRDefault="00212513">
            <w:pPr>
              <w:pStyle w:val="ConsPlusNormal"/>
              <w:jc w:val="center"/>
            </w:pPr>
            <w:r>
              <w:t>-</w:t>
            </w:r>
          </w:p>
        </w:tc>
        <w:tc>
          <w:tcPr>
            <w:tcW w:w="1474" w:type="dxa"/>
            <w:tcBorders>
              <w:top w:val="nil"/>
              <w:bottom w:val="nil"/>
            </w:tcBorders>
          </w:tcPr>
          <w:p w:rsidR="00212513" w:rsidRDefault="00212513">
            <w:pPr>
              <w:pStyle w:val="ConsPlusNormal"/>
              <w:jc w:val="center"/>
            </w:pPr>
            <w:r>
              <w:t>0</w:t>
            </w:r>
          </w:p>
        </w:tc>
      </w:tr>
      <w:tr w:rsidR="00212513">
        <w:tc>
          <w:tcPr>
            <w:tcW w:w="1077" w:type="dxa"/>
            <w:vMerge/>
          </w:tcPr>
          <w:p w:rsidR="00212513" w:rsidRDefault="00212513">
            <w:pPr>
              <w:pStyle w:val="ConsPlusNormal"/>
            </w:pPr>
          </w:p>
        </w:tc>
        <w:tc>
          <w:tcPr>
            <w:tcW w:w="1134" w:type="dxa"/>
            <w:vMerge/>
          </w:tcPr>
          <w:p w:rsidR="00212513" w:rsidRDefault="00212513">
            <w:pPr>
              <w:pStyle w:val="ConsPlusNormal"/>
            </w:pPr>
          </w:p>
        </w:tc>
        <w:tc>
          <w:tcPr>
            <w:tcW w:w="1531" w:type="dxa"/>
            <w:tcBorders>
              <w:top w:val="nil"/>
            </w:tcBorders>
          </w:tcPr>
          <w:p w:rsidR="00212513" w:rsidRDefault="00212513">
            <w:pPr>
              <w:pStyle w:val="ConsPlusNormal"/>
              <w:jc w:val="center"/>
            </w:pPr>
            <w:r>
              <w:rPr>
                <w:noProof/>
                <w:position w:val="-8"/>
              </w:rPr>
              <w:drawing>
                <wp:inline distT="0" distB="0" distL="0" distR="0">
                  <wp:extent cx="177800" cy="251460"/>
                  <wp:effectExtent l="0" t="0" r="0" b="0"/>
                  <wp:docPr id="2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3"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p>
        </w:tc>
        <w:tc>
          <w:tcPr>
            <w:tcW w:w="2551" w:type="dxa"/>
            <w:vMerge/>
          </w:tcPr>
          <w:p w:rsidR="00212513" w:rsidRDefault="00212513">
            <w:pPr>
              <w:pStyle w:val="ConsPlusNormal"/>
            </w:pPr>
          </w:p>
        </w:tc>
        <w:tc>
          <w:tcPr>
            <w:tcW w:w="1304" w:type="dxa"/>
            <w:tcBorders>
              <w:top w:val="nil"/>
            </w:tcBorders>
          </w:tcPr>
          <w:p w:rsidR="00212513" w:rsidRDefault="00212513">
            <w:pPr>
              <w:pStyle w:val="ConsPlusNormal"/>
              <w:jc w:val="center"/>
            </w:pPr>
            <w:r>
              <w:t>0,5</w:t>
            </w:r>
          </w:p>
        </w:tc>
        <w:tc>
          <w:tcPr>
            <w:tcW w:w="1474" w:type="dxa"/>
            <w:tcBorders>
              <w:top w:val="nil"/>
            </w:tcBorders>
          </w:tcPr>
          <w:p w:rsidR="00212513" w:rsidRDefault="00212513">
            <w:pPr>
              <w:pStyle w:val="ConsPlusNormal"/>
              <w:jc w:val="center"/>
            </w:pPr>
            <w:r>
              <w:rPr>
                <w:noProof/>
                <w:position w:val="-8"/>
              </w:rPr>
              <w:drawing>
                <wp:inline distT="0" distB="0" distL="0" distR="0">
                  <wp:extent cx="167640" cy="251460"/>
                  <wp:effectExtent l="0" t="0" r="0" b="0"/>
                  <wp:docPr id="2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1"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c>
      </w:tr>
      <w:tr w:rsidR="00212513">
        <w:tc>
          <w:tcPr>
            <w:tcW w:w="1077" w:type="dxa"/>
            <w:vMerge w:val="restart"/>
          </w:tcPr>
          <w:p w:rsidR="00212513" w:rsidRDefault="00212513">
            <w:pPr>
              <w:pStyle w:val="ConsPlusNormal"/>
              <w:jc w:val="center"/>
            </w:pPr>
            <w:r>
              <w:t>в</w:t>
            </w:r>
          </w:p>
        </w:tc>
        <w:tc>
          <w:tcPr>
            <w:tcW w:w="1134" w:type="dxa"/>
            <w:tcBorders>
              <w:bottom w:val="nil"/>
            </w:tcBorders>
          </w:tcPr>
          <w:p w:rsidR="00212513" w:rsidRDefault="00212513">
            <w:pPr>
              <w:pStyle w:val="ConsPlusNormal"/>
            </w:pPr>
            <w:r>
              <w:t>Пролет</w:t>
            </w:r>
          </w:p>
        </w:tc>
        <w:tc>
          <w:tcPr>
            <w:tcW w:w="1531" w:type="dxa"/>
            <w:tcBorders>
              <w:bottom w:val="nil"/>
            </w:tcBorders>
          </w:tcPr>
          <w:p w:rsidR="00212513" w:rsidRDefault="00212513">
            <w:pPr>
              <w:pStyle w:val="ConsPlusNormal"/>
              <w:jc w:val="center"/>
            </w:pPr>
            <w:r>
              <w:rPr>
                <w:noProof/>
                <w:position w:val="-8"/>
              </w:rPr>
              <w:drawing>
                <wp:inline distT="0" distB="0" distL="0" distR="0">
                  <wp:extent cx="167640" cy="251460"/>
                  <wp:effectExtent l="0" t="0" r="0" b="0"/>
                  <wp:docPr id="2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2"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c>
        <w:tc>
          <w:tcPr>
            <w:tcW w:w="2551" w:type="dxa"/>
            <w:vMerge w:val="restart"/>
            <w:vAlign w:val="center"/>
          </w:tcPr>
          <w:p w:rsidR="00212513" w:rsidRDefault="00212513">
            <w:pPr>
              <w:pStyle w:val="ConsPlusNormal"/>
              <w:jc w:val="center"/>
            </w:pPr>
            <w:r>
              <w:rPr>
                <w:noProof/>
                <w:position w:val="-8"/>
              </w:rPr>
              <w:drawing>
                <wp:inline distT="0" distB="0" distL="0" distR="0">
                  <wp:extent cx="828040" cy="251460"/>
                  <wp:effectExtent l="0" t="0" r="0" b="0"/>
                  <wp:docPr id="2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3">
                            <a:extLst>
                              <a:ext uri="{28A0092B-C50C-407E-A947-70E740481C1C}">
                                <a14:useLocalDpi xmlns:a14="http://schemas.microsoft.com/office/drawing/2010/main" val="0"/>
                              </a:ext>
                            </a:extLst>
                          </a:blip>
                          <a:srcRect/>
                          <a:stretch>
                            <a:fillRect/>
                          </a:stretch>
                        </pic:blipFill>
                        <pic:spPr bwMode="auto">
                          <a:xfrm>
                            <a:off x="0" y="0"/>
                            <a:ext cx="828040" cy="251460"/>
                          </a:xfrm>
                          <a:prstGeom prst="rect">
                            <a:avLst/>
                          </a:prstGeom>
                          <a:noFill/>
                          <a:ln>
                            <a:noFill/>
                          </a:ln>
                        </pic:spPr>
                      </pic:pic>
                    </a:graphicData>
                  </a:graphic>
                </wp:inline>
              </w:drawing>
            </w:r>
          </w:p>
        </w:tc>
        <w:tc>
          <w:tcPr>
            <w:tcW w:w="1304" w:type="dxa"/>
            <w:tcBorders>
              <w:bottom w:val="nil"/>
            </w:tcBorders>
          </w:tcPr>
          <w:p w:rsidR="00212513" w:rsidRDefault="00212513">
            <w:pPr>
              <w:pStyle w:val="ConsPlusNormal"/>
              <w:jc w:val="center"/>
            </w:pPr>
            <w:r>
              <w:t>0</w:t>
            </w:r>
          </w:p>
        </w:tc>
        <w:tc>
          <w:tcPr>
            <w:tcW w:w="1474" w:type="dxa"/>
            <w:tcBorders>
              <w:bottom w:val="nil"/>
            </w:tcBorders>
          </w:tcPr>
          <w:p w:rsidR="00212513" w:rsidRDefault="00212513">
            <w:pPr>
              <w:pStyle w:val="ConsPlusNormal"/>
              <w:jc w:val="center"/>
            </w:pPr>
            <w:r>
              <w:rPr>
                <w:noProof/>
                <w:position w:val="-8"/>
              </w:rPr>
              <w:drawing>
                <wp:inline distT="0" distB="0" distL="0" distR="0">
                  <wp:extent cx="156845" cy="251460"/>
                  <wp:effectExtent l="0" t="0" r="0" b="0"/>
                  <wp:docPr id="2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1"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p>
        </w:tc>
      </w:tr>
      <w:tr w:rsidR="00212513">
        <w:tc>
          <w:tcPr>
            <w:tcW w:w="1077" w:type="dxa"/>
            <w:vMerge/>
          </w:tcPr>
          <w:p w:rsidR="00212513" w:rsidRDefault="00212513">
            <w:pPr>
              <w:pStyle w:val="ConsPlusNormal"/>
            </w:pPr>
          </w:p>
        </w:tc>
        <w:tc>
          <w:tcPr>
            <w:tcW w:w="1134" w:type="dxa"/>
            <w:tcBorders>
              <w:top w:val="nil"/>
            </w:tcBorders>
          </w:tcPr>
          <w:p w:rsidR="00212513" w:rsidRDefault="00212513">
            <w:pPr>
              <w:pStyle w:val="ConsPlusNormal"/>
            </w:pPr>
            <w:r>
              <w:t>Устой</w:t>
            </w:r>
          </w:p>
        </w:tc>
        <w:tc>
          <w:tcPr>
            <w:tcW w:w="1531" w:type="dxa"/>
            <w:tcBorders>
              <w:top w:val="nil"/>
            </w:tcBorders>
          </w:tcPr>
          <w:p w:rsidR="00212513" w:rsidRDefault="00212513">
            <w:pPr>
              <w:pStyle w:val="ConsPlusNormal"/>
              <w:jc w:val="center"/>
            </w:pPr>
            <w:r>
              <w:rPr>
                <w:noProof/>
                <w:position w:val="-8"/>
              </w:rPr>
              <w:drawing>
                <wp:inline distT="0" distB="0" distL="0" distR="0">
                  <wp:extent cx="198755" cy="250825"/>
                  <wp:effectExtent l="0" t="0" r="0" b="0"/>
                  <wp:docPr id="2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4"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p>
        </w:tc>
        <w:tc>
          <w:tcPr>
            <w:tcW w:w="2551" w:type="dxa"/>
            <w:vMerge/>
          </w:tcPr>
          <w:p w:rsidR="00212513" w:rsidRDefault="00212513">
            <w:pPr>
              <w:pStyle w:val="ConsPlusNormal"/>
            </w:pPr>
          </w:p>
        </w:tc>
        <w:tc>
          <w:tcPr>
            <w:tcW w:w="1304" w:type="dxa"/>
            <w:tcBorders>
              <w:top w:val="nil"/>
            </w:tcBorders>
          </w:tcPr>
          <w:p w:rsidR="00212513" w:rsidRDefault="00212513">
            <w:pPr>
              <w:pStyle w:val="ConsPlusNormal"/>
              <w:jc w:val="center"/>
            </w:pPr>
            <w:r>
              <w:t>0,5</w:t>
            </w:r>
          </w:p>
        </w:tc>
        <w:tc>
          <w:tcPr>
            <w:tcW w:w="1474" w:type="dxa"/>
            <w:tcBorders>
              <w:top w:val="nil"/>
            </w:tcBorders>
          </w:tcPr>
          <w:p w:rsidR="00212513" w:rsidRDefault="00212513">
            <w:pPr>
              <w:pStyle w:val="ConsPlusNormal"/>
              <w:jc w:val="center"/>
            </w:pPr>
            <w:r>
              <w:rPr>
                <w:noProof/>
                <w:position w:val="-8"/>
              </w:rPr>
              <w:drawing>
                <wp:inline distT="0" distB="0" distL="0" distR="0">
                  <wp:extent cx="857250" cy="250190"/>
                  <wp:effectExtent l="0" t="0" r="0" b="0"/>
                  <wp:docPr id="2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5" cstate="print">
                            <a:extLst>
                              <a:ext uri="{28A0092B-C50C-407E-A947-70E740481C1C}">
                                <a14:useLocalDpi xmlns:a14="http://schemas.microsoft.com/office/drawing/2010/main" val="0"/>
                              </a:ext>
                            </a:extLst>
                          </a:blip>
                          <a:srcRect/>
                          <a:stretch>
                            <a:fillRect/>
                          </a:stretch>
                        </pic:blipFill>
                        <pic:spPr bwMode="auto">
                          <a:xfrm>
                            <a:off x="0" y="0"/>
                            <a:ext cx="857250" cy="250190"/>
                          </a:xfrm>
                          <a:prstGeom prst="rect">
                            <a:avLst/>
                          </a:prstGeom>
                          <a:noFill/>
                          <a:ln>
                            <a:noFill/>
                          </a:ln>
                        </pic:spPr>
                      </pic:pic>
                    </a:graphicData>
                  </a:graphic>
                </wp:inline>
              </w:drawing>
            </w:r>
          </w:p>
        </w:tc>
      </w:tr>
      <w:tr w:rsidR="00212513">
        <w:tc>
          <w:tcPr>
            <w:tcW w:w="1077" w:type="dxa"/>
            <w:vMerge w:val="restart"/>
          </w:tcPr>
          <w:p w:rsidR="00212513" w:rsidRDefault="00212513">
            <w:pPr>
              <w:pStyle w:val="ConsPlusNormal"/>
              <w:jc w:val="center"/>
            </w:pPr>
            <w:r>
              <w:rPr>
                <w:noProof/>
                <w:position w:val="-8"/>
              </w:rPr>
              <w:drawing>
                <wp:inline distT="0" distB="0" distL="0" distR="0">
                  <wp:extent cx="167640" cy="251460"/>
                  <wp:effectExtent l="0" t="0" r="0" b="0"/>
                  <wp:docPr id="2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6"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c>
        <w:tc>
          <w:tcPr>
            <w:tcW w:w="1134" w:type="dxa"/>
            <w:vMerge w:val="restart"/>
          </w:tcPr>
          <w:p w:rsidR="00212513" w:rsidRDefault="00212513">
            <w:pPr>
              <w:pStyle w:val="ConsPlusNormal"/>
            </w:pPr>
            <w:r>
              <w:t>То же</w:t>
            </w:r>
          </w:p>
        </w:tc>
        <w:tc>
          <w:tcPr>
            <w:tcW w:w="1531" w:type="dxa"/>
            <w:tcBorders>
              <w:bottom w:val="nil"/>
            </w:tcBorders>
          </w:tcPr>
          <w:p w:rsidR="00212513" w:rsidRDefault="00212513">
            <w:pPr>
              <w:pStyle w:val="ConsPlusNormal"/>
              <w:jc w:val="center"/>
            </w:pPr>
            <w:r>
              <w:rPr>
                <w:noProof/>
                <w:position w:val="-8"/>
              </w:rPr>
              <w:drawing>
                <wp:inline distT="0" distB="0" distL="0" distR="0">
                  <wp:extent cx="167640" cy="251460"/>
                  <wp:effectExtent l="0" t="0" r="0" b="0"/>
                  <wp:docPr id="2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2"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c>
        <w:tc>
          <w:tcPr>
            <w:tcW w:w="2551" w:type="dxa"/>
            <w:vMerge w:val="restart"/>
            <w:vAlign w:val="center"/>
          </w:tcPr>
          <w:p w:rsidR="00212513" w:rsidRDefault="00212513">
            <w:pPr>
              <w:pStyle w:val="ConsPlusNormal"/>
              <w:jc w:val="center"/>
            </w:pPr>
            <w:r>
              <w:rPr>
                <w:noProof/>
                <w:position w:val="-8"/>
              </w:rPr>
              <w:drawing>
                <wp:inline distT="0" distB="0" distL="0" distR="0">
                  <wp:extent cx="828040" cy="251460"/>
                  <wp:effectExtent l="0" t="0" r="0" b="0"/>
                  <wp:docPr id="2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7">
                            <a:extLst>
                              <a:ext uri="{28A0092B-C50C-407E-A947-70E740481C1C}">
                                <a14:useLocalDpi xmlns:a14="http://schemas.microsoft.com/office/drawing/2010/main" val="0"/>
                              </a:ext>
                            </a:extLst>
                          </a:blip>
                          <a:srcRect/>
                          <a:stretch>
                            <a:fillRect/>
                          </a:stretch>
                        </pic:blipFill>
                        <pic:spPr bwMode="auto">
                          <a:xfrm>
                            <a:off x="0" y="0"/>
                            <a:ext cx="828040" cy="251460"/>
                          </a:xfrm>
                          <a:prstGeom prst="rect">
                            <a:avLst/>
                          </a:prstGeom>
                          <a:noFill/>
                          <a:ln>
                            <a:noFill/>
                          </a:ln>
                        </pic:spPr>
                      </pic:pic>
                    </a:graphicData>
                  </a:graphic>
                </wp:inline>
              </w:drawing>
            </w:r>
          </w:p>
        </w:tc>
        <w:tc>
          <w:tcPr>
            <w:tcW w:w="1304" w:type="dxa"/>
            <w:tcBorders>
              <w:bottom w:val="nil"/>
            </w:tcBorders>
          </w:tcPr>
          <w:p w:rsidR="00212513" w:rsidRDefault="00212513">
            <w:pPr>
              <w:pStyle w:val="ConsPlusNormal"/>
              <w:jc w:val="center"/>
            </w:pPr>
            <w:r>
              <w:t>0</w:t>
            </w:r>
          </w:p>
        </w:tc>
        <w:tc>
          <w:tcPr>
            <w:tcW w:w="1474" w:type="dxa"/>
            <w:tcBorders>
              <w:bottom w:val="nil"/>
            </w:tcBorders>
          </w:tcPr>
          <w:p w:rsidR="00212513" w:rsidRDefault="00212513">
            <w:pPr>
              <w:pStyle w:val="ConsPlusNormal"/>
              <w:jc w:val="center"/>
            </w:pPr>
            <w:r>
              <w:rPr>
                <w:noProof/>
                <w:position w:val="-8"/>
              </w:rPr>
              <w:drawing>
                <wp:inline distT="0" distB="0" distL="0" distR="0">
                  <wp:extent cx="156845" cy="251460"/>
                  <wp:effectExtent l="0" t="0" r="0" b="0"/>
                  <wp:docPr id="2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1"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p>
        </w:tc>
      </w:tr>
      <w:tr w:rsidR="00212513">
        <w:tc>
          <w:tcPr>
            <w:tcW w:w="1077" w:type="dxa"/>
            <w:vMerge/>
          </w:tcPr>
          <w:p w:rsidR="00212513" w:rsidRDefault="00212513">
            <w:pPr>
              <w:pStyle w:val="ConsPlusNormal"/>
            </w:pPr>
          </w:p>
        </w:tc>
        <w:tc>
          <w:tcPr>
            <w:tcW w:w="1134" w:type="dxa"/>
            <w:vMerge/>
          </w:tcPr>
          <w:p w:rsidR="00212513" w:rsidRDefault="00212513">
            <w:pPr>
              <w:pStyle w:val="ConsPlusNormal"/>
            </w:pPr>
          </w:p>
        </w:tc>
        <w:tc>
          <w:tcPr>
            <w:tcW w:w="1531" w:type="dxa"/>
            <w:tcBorders>
              <w:top w:val="nil"/>
            </w:tcBorders>
          </w:tcPr>
          <w:p w:rsidR="00212513" w:rsidRDefault="00212513">
            <w:pPr>
              <w:pStyle w:val="ConsPlusNormal"/>
              <w:jc w:val="center"/>
            </w:pPr>
            <w:r>
              <w:rPr>
                <w:noProof/>
                <w:position w:val="-8"/>
              </w:rPr>
              <w:drawing>
                <wp:inline distT="0" distB="0" distL="0" distR="0">
                  <wp:extent cx="198755" cy="250825"/>
                  <wp:effectExtent l="0" t="0" r="0" b="0"/>
                  <wp:docPr id="2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4"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p>
        </w:tc>
        <w:tc>
          <w:tcPr>
            <w:tcW w:w="2551" w:type="dxa"/>
            <w:vMerge/>
          </w:tcPr>
          <w:p w:rsidR="00212513" w:rsidRDefault="00212513">
            <w:pPr>
              <w:pStyle w:val="ConsPlusNormal"/>
            </w:pPr>
          </w:p>
        </w:tc>
        <w:tc>
          <w:tcPr>
            <w:tcW w:w="1304" w:type="dxa"/>
            <w:tcBorders>
              <w:top w:val="nil"/>
            </w:tcBorders>
          </w:tcPr>
          <w:p w:rsidR="00212513" w:rsidRDefault="00212513">
            <w:pPr>
              <w:pStyle w:val="ConsPlusNormal"/>
              <w:jc w:val="center"/>
            </w:pPr>
            <w:r>
              <w:t>-</w:t>
            </w:r>
          </w:p>
        </w:tc>
        <w:tc>
          <w:tcPr>
            <w:tcW w:w="1474" w:type="dxa"/>
            <w:tcBorders>
              <w:top w:val="nil"/>
            </w:tcBorders>
          </w:tcPr>
          <w:p w:rsidR="00212513" w:rsidRDefault="00212513">
            <w:pPr>
              <w:pStyle w:val="ConsPlusNormal"/>
              <w:jc w:val="center"/>
            </w:pPr>
            <w:r>
              <w:rPr>
                <w:noProof/>
                <w:position w:val="-8"/>
              </w:rPr>
              <w:drawing>
                <wp:inline distT="0" distB="0" distL="0" distR="0">
                  <wp:extent cx="775970" cy="251460"/>
                  <wp:effectExtent l="0" t="0" r="0" b="0"/>
                  <wp:docPr id="2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8" cstate="print">
                            <a:extLst>
                              <a:ext uri="{28A0092B-C50C-407E-A947-70E740481C1C}">
                                <a14:useLocalDpi xmlns:a14="http://schemas.microsoft.com/office/drawing/2010/main" val="0"/>
                              </a:ext>
                            </a:extLst>
                          </a:blip>
                          <a:srcRect/>
                          <a:stretch>
                            <a:fillRect/>
                          </a:stretch>
                        </pic:blipFill>
                        <pic:spPr bwMode="auto">
                          <a:xfrm>
                            <a:off x="0" y="0"/>
                            <a:ext cx="775970" cy="251460"/>
                          </a:xfrm>
                          <a:prstGeom prst="rect">
                            <a:avLst/>
                          </a:prstGeom>
                          <a:noFill/>
                          <a:ln>
                            <a:noFill/>
                          </a:ln>
                        </pic:spPr>
                      </pic:pic>
                    </a:graphicData>
                  </a:graphic>
                </wp:inline>
              </w:drawing>
            </w:r>
          </w:p>
        </w:tc>
      </w:tr>
      <w:tr w:rsidR="00212513">
        <w:tc>
          <w:tcPr>
            <w:tcW w:w="1077" w:type="dxa"/>
            <w:vMerge w:val="restart"/>
          </w:tcPr>
          <w:p w:rsidR="00212513" w:rsidRDefault="00212513">
            <w:pPr>
              <w:pStyle w:val="ConsPlusNormal"/>
              <w:jc w:val="center"/>
            </w:pPr>
            <w:r>
              <w:rPr>
                <w:noProof/>
                <w:position w:val="-8"/>
              </w:rPr>
              <w:drawing>
                <wp:inline distT="0" distB="0" distL="0" distR="0">
                  <wp:extent cx="177800" cy="251460"/>
                  <wp:effectExtent l="0" t="0" r="0" b="0"/>
                  <wp:docPr id="2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9"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p>
        </w:tc>
        <w:tc>
          <w:tcPr>
            <w:tcW w:w="1134" w:type="dxa"/>
            <w:vMerge w:val="restart"/>
          </w:tcPr>
          <w:p w:rsidR="00212513" w:rsidRDefault="00212513">
            <w:pPr>
              <w:pStyle w:val="ConsPlusNormal"/>
              <w:ind w:left="283"/>
            </w:pPr>
            <w:r>
              <w:t>"</w:t>
            </w:r>
          </w:p>
        </w:tc>
        <w:tc>
          <w:tcPr>
            <w:tcW w:w="1531" w:type="dxa"/>
            <w:tcBorders>
              <w:bottom w:val="nil"/>
            </w:tcBorders>
          </w:tcPr>
          <w:p w:rsidR="00212513" w:rsidRDefault="00212513">
            <w:pPr>
              <w:pStyle w:val="ConsPlusNormal"/>
              <w:jc w:val="center"/>
            </w:pPr>
            <w:r>
              <w:rPr>
                <w:noProof/>
                <w:position w:val="-8"/>
              </w:rPr>
              <w:drawing>
                <wp:inline distT="0" distB="0" distL="0" distR="0">
                  <wp:extent cx="167640" cy="251460"/>
                  <wp:effectExtent l="0" t="0" r="0" b="0"/>
                  <wp:docPr id="2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2"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c>
        <w:tc>
          <w:tcPr>
            <w:tcW w:w="2551" w:type="dxa"/>
            <w:vMerge w:val="restart"/>
            <w:vAlign w:val="center"/>
          </w:tcPr>
          <w:p w:rsidR="00212513" w:rsidRDefault="00212513">
            <w:pPr>
              <w:pStyle w:val="ConsPlusNormal"/>
              <w:jc w:val="center"/>
            </w:pPr>
            <w:r>
              <w:rPr>
                <w:noProof/>
                <w:position w:val="-8"/>
              </w:rPr>
              <w:drawing>
                <wp:inline distT="0" distB="0" distL="0" distR="0">
                  <wp:extent cx="828040" cy="251460"/>
                  <wp:effectExtent l="0" t="0" r="0" b="0"/>
                  <wp:docPr id="2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0">
                            <a:extLst>
                              <a:ext uri="{28A0092B-C50C-407E-A947-70E740481C1C}">
                                <a14:useLocalDpi xmlns:a14="http://schemas.microsoft.com/office/drawing/2010/main" val="0"/>
                              </a:ext>
                            </a:extLst>
                          </a:blip>
                          <a:srcRect/>
                          <a:stretch>
                            <a:fillRect/>
                          </a:stretch>
                        </pic:blipFill>
                        <pic:spPr bwMode="auto">
                          <a:xfrm>
                            <a:off x="0" y="0"/>
                            <a:ext cx="828040" cy="251460"/>
                          </a:xfrm>
                          <a:prstGeom prst="rect">
                            <a:avLst/>
                          </a:prstGeom>
                          <a:noFill/>
                          <a:ln>
                            <a:noFill/>
                          </a:ln>
                        </pic:spPr>
                      </pic:pic>
                    </a:graphicData>
                  </a:graphic>
                </wp:inline>
              </w:drawing>
            </w:r>
          </w:p>
        </w:tc>
        <w:tc>
          <w:tcPr>
            <w:tcW w:w="1304" w:type="dxa"/>
            <w:tcBorders>
              <w:bottom w:val="nil"/>
            </w:tcBorders>
          </w:tcPr>
          <w:p w:rsidR="00212513" w:rsidRDefault="00212513">
            <w:pPr>
              <w:pStyle w:val="ConsPlusNormal"/>
              <w:jc w:val="center"/>
            </w:pPr>
            <w:r>
              <w:t>-</w:t>
            </w:r>
          </w:p>
        </w:tc>
        <w:tc>
          <w:tcPr>
            <w:tcW w:w="1474" w:type="dxa"/>
            <w:tcBorders>
              <w:bottom w:val="nil"/>
            </w:tcBorders>
          </w:tcPr>
          <w:p w:rsidR="00212513" w:rsidRDefault="00212513">
            <w:pPr>
              <w:pStyle w:val="ConsPlusNormal"/>
              <w:jc w:val="center"/>
            </w:pPr>
            <w:r>
              <w:rPr>
                <w:noProof/>
                <w:position w:val="-8"/>
              </w:rPr>
              <w:drawing>
                <wp:inline distT="0" distB="0" distL="0" distR="0">
                  <wp:extent cx="748030" cy="251460"/>
                  <wp:effectExtent l="0" t="0" r="0" b="0"/>
                  <wp:docPr id="2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0" cstate="print">
                            <a:extLst>
                              <a:ext uri="{28A0092B-C50C-407E-A947-70E740481C1C}">
                                <a14:useLocalDpi xmlns:a14="http://schemas.microsoft.com/office/drawing/2010/main" val="0"/>
                              </a:ext>
                            </a:extLst>
                          </a:blip>
                          <a:srcRect/>
                          <a:stretch>
                            <a:fillRect/>
                          </a:stretch>
                        </pic:blipFill>
                        <pic:spPr bwMode="auto">
                          <a:xfrm>
                            <a:off x="0" y="0"/>
                            <a:ext cx="748030" cy="251460"/>
                          </a:xfrm>
                          <a:prstGeom prst="rect">
                            <a:avLst/>
                          </a:prstGeom>
                          <a:noFill/>
                          <a:ln>
                            <a:noFill/>
                          </a:ln>
                        </pic:spPr>
                      </pic:pic>
                    </a:graphicData>
                  </a:graphic>
                </wp:inline>
              </w:drawing>
            </w:r>
          </w:p>
        </w:tc>
      </w:tr>
      <w:tr w:rsidR="00212513">
        <w:tc>
          <w:tcPr>
            <w:tcW w:w="1077" w:type="dxa"/>
            <w:vMerge/>
          </w:tcPr>
          <w:p w:rsidR="00212513" w:rsidRDefault="00212513">
            <w:pPr>
              <w:pStyle w:val="ConsPlusNormal"/>
            </w:pPr>
          </w:p>
        </w:tc>
        <w:tc>
          <w:tcPr>
            <w:tcW w:w="1134" w:type="dxa"/>
            <w:vMerge/>
          </w:tcPr>
          <w:p w:rsidR="00212513" w:rsidRDefault="00212513">
            <w:pPr>
              <w:pStyle w:val="ConsPlusNormal"/>
            </w:pPr>
          </w:p>
        </w:tc>
        <w:tc>
          <w:tcPr>
            <w:tcW w:w="1531" w:type="dxa"/>
            <w:tcBorders>
              <w:top w:val="nil"/>
            </w:tcBorders>
          </w:tcPr>
          <w:p w:rsidR="00212513" w:rsidRDefault="00212513">
            <w:pPr>
              <w:pStyle w:val="ConsPlusNormal"/>
              <w:jc w:val="center"/>
            </w:pPr>
            <w:r>
              <w:rPr>
                <w:noProof/>
                <w:position w:val="-8"/>
              </w:rPr>
              <w:drawing>
                <wp:inline distT="0" distB="0" distL="0" distR="0">
                  <wp:extent cx="198755" cy="250825"/>
                  <wp:effectExtent l="0" t="0" r="0" b="0"/>
                  <wp:docPr id="2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4"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p>
        </w:tc>
        <w:tc>
          <w:tcPr>
            <w:tcW w:w="2551" w:type="dxa"/>
            <w:vMerge/>
          </w:tcPr>
          <w:p w:rsidR="00212513" w:rsidRDefault="00212513">
            <w:pPr>
              <w:pStyle w:val="ConsPlusNormal"/>
            </w:pPr>
          </w:p>
        </w:tc>
        <w:tc>
          <w:tcPr>
            <w:tcW w:w="1304" w:type="dxa"/>
            <w:tcBorders>
              <w:top w:val="nil"/>
            </w:tcBorders>
          </w:tcPr>
          <w:p w:rsidR="00212513" w:rsidRDefault="00212513">
            <w:pPr>
              <w:pStyle w:val="ConsPlusNormal"/>
              <w:jc w:val="center"/>
            </w:pPr>
            <w:r>
              <w:t>0,5</w:t>
            </w:r>
          </w:p>
        </w:tc>
        <w:tc>
          <w:tcPr>
            <w:tcW w:w="1474" w:type="dxa"/>
            <w:tcBorders>
              <w:top w:val="nil"/>
            </w:tcBorders>
          </w:tcPr>
          <w:p w:rsidR="00212513" w:rsidRDefault="00212513">
            <w:pPr>
              <w:pStyle w:val="ConsPlusNormal"/>
              <w:jc w:val="center"/>
            </w:pPr>
            <w:r>
              <w:rPr>
                <w:noProof/>
                <w:position w:val="-8"/>
              </w:rPr>
              <w:drawing>
                <wp:inline distT="0" distB="0" distL="0" distR="0">
                  <wp:extent cx="167640" cy="251460"/>
                  <wp:effectExtent l="0" t="0" r="0" b="0"/>
                  <wp:docPr id="2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1"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c>
      </w:tr>
      <w:tr w:rsidR="00212513">
        <w:tc>
          <w:tcPr>
            <w:tcW w:w="9071" w:type="dxa"/>
            <w:gridSpan w:val="6"/>
          </w:tcPr>
          <w:p w:rsidR="00212513" w:rsidRDefault="00212513">
            <w:pPr>
              <w:pStyle w:val="ConsPlusNormal"/>
              <w:ind w:firstLine="283"/>
              <w:jc w:val="both"/>
            </w:pPr>
            <w:bookmarkStart w:id="495" w:name="P13537"/>
            <w:bookmarkEnd w:id="495"/>
            <w:r>
              <w:t xml:space="preserve">&lt;*&gt; При устройстве езды на балласте при </w:t>
            </w:r>
            <w:r>
              <w:rPr>
                <w:noProof/>
                <w:position w:val="-8"/>
              </w:rPr>
              <w:drawing>
                <wp:inline distT="0" distB="0" distL="0" distR="0">
                  <wp:extent cx="691515" cy="251460"/>
                  <wp:effectExtent l="0" t="0" r="0" b="0"/>
                  <wp:docPr id="2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2" cstate="print">
                            <a:extLst>
                              <a:ext uri="{28A0092B-C50C-407E-A947-70E740481C1C}">
                                <a14:useLocalDpi xmlns:a14="http://schemas.microsoft.com/office/drawing/2010/main" val="0"/>
                              </a:ext>
                            </a:extLst>
                          </a:blip>
                          <a:srcRect/>
                          <a:stretch>
                            <a:fillRect/>
                          </a:stretch>
                        </pic:blipFill>
                        <pic:spPr bwMode="auto">
                          <a:xfrm>
                            <a:off x="0" y="0"/>
                            <a:ext cx="691515" cy="251460"/>
                          </a:xfrm>
                          <a:prstGeom prst="rect">
                            <a:avLst/>
                          </a:prstGeom>
                          <a:noFill/>
                          <a:ln>
                            <a:noFill/>
                          </a:ln>
                        </pic:spPr>
                      </pic:pic>
                    </a:graphicData>
                  </a:graphic>
                </wp:inline>
              </w:drawing>
            </w:r>
            <w:r>
              <w:t xml:space="preserve"> следует принимать </w:t>
            </w:r>
            <w:r>
              <w:rPr>
                <w:noProof/>
                <w:position w:val="-6"/>
              </w:rPr>
              <w:drawing>
                <wp:inline distT="0" distB="0" distL="0" distR="0">
                  <wp:extent cx="544830" cy="220980"/>
                  <wp:effectExtent l="0" t="0" r="0" b="0"/>
                  <wp:docPr id="2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3" cstate="print">
                            <a:extLst>
                              <a:ext uri="{28A0092B-C50C-407E-A947-70E740481C1C}">
                                <a14:useLocalDpi xmlns:a14="http://schemas.microsoft.com/office/drawing/2010/main" val="0"/>
                              </a:ext>
                            </a:extLst>
                          </a:blip>
                          <a:srcRect/>
                          <a:stretch>
                            <a:fillRect/>
                          </a:stretch>
                        </pic:blipFill>
                        <pic:spPr bwMode="auto">
                          <a:xfrm>
                            <a:off x="0" y="0"/>
                            <a:ext cx="544830" cy="220980"/>
                          </a:xfrm>
                          <a:prstGeom prst="rect">
                            <a:avLst/>
                          </a:prstGeom>
                          <a:noFill/>
                          <a:ln>
                            <a:noFill/>
                          </a:ln>
                        </pic:spPr>
                      </pic:pic>
                    </a:graphicData>
                  </a:graphic>
                </wp:inline>
              </w:drawing>
            </w:r>
            <w:r>
              <w:t xml:space="preserve"> (К.2).</w:t>
            </w:r>
          </w:p>
        </w:tc>
      </w:tr>
    </w:tbl>
    <w:p w:rsidR="00212513" w:rsidRDefault="00212513">
      <w:pPr>
        <w:pStyle w:val="ConsPlusNormal"/>
        <w:ind w:firstLine="540"/>
        <w:jc w:val="both"/>
      </w:pPr>
    </w:p>
    <w:p w:rsidR="00212513" w:rsidRDefault="00212513">
      <w:pPr>
        <w:pStyle w:val="ConsPlusNormal"/>
        <w:ind w:firstLine="540"/>
        <w:jc w:val="both"/>
      </w:pPr>
      <w:r>
        <w:t>Длину загружения призмы обрушения следует принимать равной половине высоты от подошвы шпал до рассматриваемого сечения опоры.</w:t>
      </w:r>
    </w:p>
    <w:p w:rsidR="00212513" w:rsidRDefault="00212513">
      <w:pPr>
        <w:pStyle w:val="ConsPlusNormal"/>
        <w:spacing w:before="220"/>
        <w:ind w:firstLine="540"/>
        <w:jc w:val="both"/>
      </w:pPr>
      <w:r>
        <w:t>Коэффициент надежности по нагрузке следует принимать, руководствуясь приведенной длиной загружения, равной сумме длин участков, на которых в каждом случае размещается временная нагрузка.</w:t>
      </w:r>
    </w:p>
    <w:p w:rsidR="00212513" w:rsidRDefault="00212513">
      <w:pPr>
        <w:pStyle w:val="ConsPlusNormal"/>
        <w:spacing w:before="220"/>
        <w:ind w:firstLine="540"/>
        <w:jc w:val="both"/>
      </w:pPr>
      <w:r>
        <w:t xml:space="preserve">К.7 При загружении пролетных строений, расположенных на кривых, величину нагрузки </w:t>
      </w:r>
      <w:r>
        <w:rPr>
          <w:noProof/>
          <w:position w:val="-1"/>
        </w:rPr>
        <w:drawing>
          <wp:inline distT="0" distB="0" distL="0" distR="0">
            <wp:extent cx="136525" cy="157480"/>
            <wp:effectExtent l="0" t="0" r="0" b="0"/>
            <wp:docPr id="2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9">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следует принимать с коэффициентом, отражающим влияние смещения центра тяжести подвижного состава, причем расчет следует осуществлять дважды:</w:t>
      </w:r>
    </w:p>
    <w:p w:rsidR="00212513" w:rsidRDefault="00212513">
      <w:pPr>
        <w:pStyle w:val="ConsPlusNormal"/>
        <w:spacing w:before="220"/>
        <w:ind w:firstLine="540"/>
        <w:jc w:val="both"/>
      </w:pPr>
      <w:r>
        <w:lastRenderedPageBreak/>
        <w:t>а) с учетом центробежной силы и динамического коэффициента, но без учета силовых факторов, возникающих вследствие возвышения наружного рельса;</w:t>
      </w:r>
    </w:p>
    <w:p w:rsidR="00212513" w:rsidRDefault="00212513">
      <w:pPr>
        <w:pStyle w:val="ConsPlusNormal"/>
        <w:spacing w:before="220"/>
        <w:ind w:firstLine="540"/>
        <w:jc w:val="both"/>
      </w:pPr>
      <w:r>
        <w:t>б) без учета центробежной силы и динамического коэффициента, но с учетом силовых факторов, возникающих вследствие возвышения наружного рельса.</w:t>
      </w:r>
    </w:p>
    <w:p w:rsidR="00212513" w:rsidRDefault="00212513">
      <w:pPr>
        <w:pStyle w:val="ConsPlusNormal"/>
        <w:spacing w:before="220"/>
        <w:ind w:firstLine="540"/>
        <w:jc w:val="both"/>
      </w:pPr>
      <w:r>
        <w:t xml:space="preserve">К.8 При расчете на выносливость максимальное и минимальное усилия (напряжения) по линиям влияния, указанным в </w:t>
      </w:r>
      <w:hyperlink w:anchor="P13439">
        <w:r>
          <w:rPr>
            <w:color w:val="0000FF"/>
          </w:rPr>
          <w:t>К.5</w:t>
        </w:r>
      </w:hyperlink>
      <w:r>
        <w:t xml:space="preserve">, определяются невыгоднейшим из загружений, возникающих от подвижного состава, и состоящим из нагрузки </w:t>
      </w:r>
      <w:r>
        <w:rPr>
          <w:noProof/>
          <w:position w:val="-4"/>
        </w:rPr>
        <w:drawing>
          <wp:inline distT="0" distB="0" distL="0" distR="0">
            <wp:extent cx="366395" cy="198755"/>
            <wp:effectExtent l="0" t="0" r="0" b="0"/>
            <wp:docPr id="2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3" cstate="print">
                      <a:extLst>
                        <a:ext uri="{28A0092B-C50C-407E-A947-70E740481C1C}">
                          <a14:useLocalDpi xmlns:a14="http://schemas.microsoft.com/office/drawing/2010/main" val="0"/>
                        </a:ext>
                      </a:extLst>
                    </a:blip>
                    <a:srcRect/>
                    <a:stretch>
                      <a:fillRect/>
                    </a:stretch>
                  </pic:blipFill>
                  <pic:spPr bwMode="auto">
                    <a:xfrm>
                      <a:off x="0" y="0"/>
                      <a:ext cx="366395" cy="198755"/>
                    </a:xfrm>
                    <a:prstGeom prst="rect">
                      <a:avLst/>
                    </a:prstGeom>
                    <a:noFill/>
                    <a:ln>
                      <a:noFill/>
                    </a:ln>
                  </pic:spPr>
                </pic:pic>
              </a:graphicData>
            </a:graphic>
          </wp:inline>
        </w:drawing>
      </w:r>
      <w:r>
        <w:t xml:space="preserve"> (которой загружается только один участок) и нагрузки 9,81К кН/м пути. Загружение ведется последовательно по участкам линии влияния - отдельно справа налево и слева направо (рисунок К.5). При симметричной линии влияния производится загружение в одном направлении.</w:t>
      </w:r>
    </w:p>
    <w:p w:rsidR="00212513" w:rsidRDefault="00212513">
      <w:pPr>
        <w:pStyle w:val="ConsPlusNormal"/>
        <w:ind w:firstLine="540"/>
        <w:jc w:val="both"/>
      </w:pPr>
    </w:p>
    <w:p w:rsidR="00212513" w:rsidRDefault="00212513">
      <w:pPr>
        <w:pStyle w:val="ConsPlusNormal"/>
        <w:jc w:val="center"/>
      </w:pPr>
      <w:r>
        <w:rPr>
          <w:noProof/>
          <w:position w:val="-129"/>
        </w:rPr>
        <w:drawing>
          <wp:inline distT="0" distB="0" distL="0" distR="0">
            <wp:extent cx="3101340" cy="1790065"/>
            <wp:effectExtent l="0" t="0" r="0" b="0"/>
            <wp:docPr id="2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4" cstate="print">
                      <a:extLst>
                        <a:ext uri="{28A0092B-C50C-407E-A947-70E740481C1C}">
                          <a14:useLocalDpi xmlns:a14="http://schemas.microsoft.com/office/drawing/2010/main" val="0"/>
                        </a:ext>
                      </a:extLst>
                    </a:blip>
                    <a:srcRect/>
                    <a:stretch>
                      <a:fillRect/>
                    </a:stretch>
                  </pic:blipFill>
                  <pic:spPr bwMode="auto">
                    <a:xfrm>
                      <a:off x="0" y="0"/>
                      <a:ext cx="3101340" cy="1790065"/>
                    </a:xfrm>
                    <a:prstGeom prst="rect">
                      <a:avLst/>
                    </a:prstGeom>
                    <a:noFill/>
                    <a:ln>
                      <a:noFill/>
                    </a:ln>
                  </pic:spPr>
                </pic:pic>
              </a:graphicData>
            </a:graphic>
          </wp:inline>
        </w:drawing>
      </w:r>
    </w:p>
    <w:p w:rsidR="00212513" w:rsidRDefault="00212513">
      <w:pPr>
        <w:pStyle w:val="ConsPlusNormal"/>
        <w:ind w:firstLine="540"/>
        <w:jc w:val="both"/>
      </w:pPr>
    </w:p>
    <w:p w:rsidR="00212513" w:rsidRDefault="00212513">
      <w:pPr>
        <w:pStyle w:val="ConsPlusNormal"/>
        <w:jc w:val="center"/>
      </w:pPr>
      <w:r>
        <w:rPr>
          <w:b/>
          <w:i/>
        </w:rPr>
        <w:t>Рисунок К.5</w:t>
      </w:r>
      <w:r>
        <w:t xml:space="preserve"> </w:t>
      </w:r>
      <w:r>
        <w:rPr>
          <w:b/>
        </w:rPr>
        <w:t>- Схема загружения участков линии</w:t>
      </w:r>
    </w:p>
    <w:p w:rsidR="00212513" w:rsidRDefault="00212513">
      <w:pPr>
        <w:pStyle w:val="ConsPlusNormal"/>
        <w:jc w:val="center"/>
      </w:pPr>
      <w:r>
        <w:rPr>
          <w:b/>
        </w:rPr>
        <w:t>влияния для определения максимальных и минимальных</w:t>
      </w:r>
    </w:p>
    <w:p w:rsidR="00212513" w:rsidRDefault="00212513">
      <w:pPr>
        <w:pStyle w:val="ConsPlusNormal"/>
        <w:jc w:val="center"/>
      </w:pPr>
      <w:r>
        <w:rPr>
          <w:b/>
        </w:rPr>
        <w:t>усилий (напряжений) при расчете на выносливость</w:t>
      </w: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jc w:val="right"/>
        <w:outlineLvl w:val="0"/>
      </w:pPr>
      <w:r>
        <w:rPr>
          <w:b/>
        </w:rPr>
        <w:t>Приложение Л</w:t>
      </w:r>
    </w:p>
    <w:p w:rsidR="00212513" w:rsidRDefault="00212513">
      <w:pPr>
        <w:pStyle w:val="ConsPlusNormal"/>
        <w:jc w:val="right"/>
      </w:pPr>
      <w:r>
        <w:rPr>
          <w:b/>
        </w:rPr>
        <w:t>(справочное)</w:t>
      </w:r>
    </w:p>
    <w:p w:rsidR="00212513" w:rsidRDefault="00212513">
      <w:pPr>
        <w:pStyle w:val="ConsPlusNormal"/>
        <w:ind w:firstLine="540"/>
        <w:jc w:val="both"/>
      </w:pPr>
    </w:p>
    <w:p w:rsidR="00212513" w:rsidRDefault="00212513">
      <w:pPr>
        <w:pStyle w:val="ConsPlusTitle"/>
        <w:jc w:val="center"/>
      </w:pPr>
      <w:bookmarkStart w:id="496" w:name="P13559"/>
      <w:bookmarkEnd w:id="496"/>
      <w:r>
        <w:t>ЭКВИВАЛЕНТНЫЕ НАГРУЗКИ ОТ ОДИНОЧНЫХ АВТОМОБИЛЕЙ,</w:t>
      </w:r>
    </w:p>
    <w:p w:rsidR="00212513" w:rsidRDefault="00212513">
      <w:pPr>
        <w:pStyle w:val="ConsPlusTitle"/>
        <w:jc w:val="center"/>
      </w:pPr>
      <w:r>
        <w:t>СТОЯЩИХ И ДВИЖУЩИХСЯ КОЛОНН АВТОМОБИЛЕЙ НАГРУЗКИ АБ</w:t>
      </w:r>
    </w:p>
    <w:p w:rsidR="00212513" w:rsidRDefault="00212513">
      <w:pPr>
        <w:pStyle w:val="ConsPlusNormal"/>
        <w:ind w:firstLine="540"/>
        <w:jc w:val="both"/>
      </w:pPr>
    </w:p>
    <w:p w:rsidR="00212513" w:rsidRDefault="00212513">
      <w:pPr>
        <w:pStyle w:val="ConsPlusNormal"/>
        <w:sectPr w:rsidR="00212513">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04"/>
        <w:gridCol w:w="1114"/>
        <w:gridCol w:w="1114"/>
        <w:gridCol w:w="1020"/>
        <w:gridCol w:w="1134"/>
        <w:gridCol w:w="340"/>
        <w:gridCol w:w="964"/>
        <w:gridCol w:w="1020"/>
        <w:gridCol w:w="1191"/>
        <w:gridCol w:w="1191"/>
        <w:gridCol w:w="1020"/>
      </w:tblGrid>
      <w:tr w:rsidR="00212513">
        <w:tc>
          <w:tcPr>
            <w:tcW w:w="1304" w:type="dxa"/>
            <w:vMerge w:val="restart"/>
            <w:tcBorders>
              <w:top w:val="single" w:sz="4" w:space="0" w:color="auto"/>
              <w:bottom w:val="single" w:sz="4" w:space="0" w:color="auto"/>
            </w:tcBorders>
            <w:vAlign w:val="center"/>
          </w:tcPr>
          <w:p w:rsidR="00212513" w:rsidRDefault="00212513">
            <w:pPr>
              <w:pStyle w:val="ConsPlusNormal"/>
              <w:jc w:val="center"/>
            </w:pPr>
            <w:r>
              <w:lastRenderedPageBreak/>
              <w:t xml:space="preserve">Длина загружения </w:t>
            </w:r>
            <w:r>
              <w:rPr>
                <w:noProof/>
                <w:position w:val="-4"/>
              </w:rPr>
              <w:drawing>
                <wp:inline distT="0" distB="0" distL="0" distR="0">
                  <wp:extent cx="157480" cy="199390"/>
                  <wp:effectExtent l="0" t="0" r="0" b="0"/>
                  <wp:docPr id="2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5"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r>
              <w:t>, м</w:t>
            </w:r>
          </w:p>
        </w:tc>
        <w:tc>
          <w:tcPr>
            <w:tcW w:w="10108" w:type="dxa"/>
            <w:gridSpan w:val="10"/>
            <w:tcBorders>
              <w:top w:val="single" w:sz="4" w:space="0" w:color="auto"/>
              <w:bottom w:val="single" w:sz="4" w:space="0" w:color="auto"/>
            </w:tcBorders>
            <w:vAlign w:val="center"/>
          </w:tcPr>
          <w:p w:rsidR="00212513" w:rsidRDefault="00212513">
            <w:pPr>
              <w:pStyle w:val="ConsPlusNormal"/>
              <w:jc w:val="center"/>
            </w:pPr>
            <w:r>
              <w:t>Эквивалентные нагрузки от нагрузок АБ при разных положениях вершин треугольных линий влияния, кН/м</w:t>
            </w:r>
          </w:p>
        </w:tc>
      </w:tr>
      <w:tr w:rsidR="00212513">
        <w:tc>
          <w:tcPr>
            <w:tcW w:w="1304" w:type="dxa"/>
            <w:vMerge/>
            <w:tcBorders>
              <w:top w:val="single" w:sz="4" w:space="0" w:color="auto"/>
              <w:bottom w:val="single" w:sz="4" w:space="0" w:color="auto"/>
            </w:tcBorders>
          </w:tcPr>
          <w:p w:rsidR="00212513" w:rsidRDefault="00212513">
            <w:pPr>
              <w:pStyle w:val="ConsPlusNormal"/>
            </w:pPr>
          </w:p>
        </w:tc>
        <w:tc>
          <w:tcPr>
            <w:tcW w:w="3248" w:type="dxa"/>
            <w:gridSpan w:val="3"/>
            <w:tcBorders>
              <w:top w:val="single" w:sz="4" w:space="0" w:color="auto"/>
              <w:bottom w:val="single" w:sz="4" w:space="0" w:color="auto"/>
            </w:tcBorders>
            <w:vAlign w:val="center"/>
          </w:tcPr>
          <w:p w:rsidR="00212513" w:rsidRDefault="00212513">
            <w:pPr>
              <w:pStyle w:val="ConsPlusNormal"/>
              <w:jc w:val="center"/>
            </w:pPr>
            <w:r>
              <w:t>АБ-51</w:t>
            </w:r>
          </w:p>
        </w:tc>
        <w:tc>
          <w:tcPr>
            <w:tcW w:w="3458" w:type="dxa"/>
            <w:gridSpan w:val="4"/>
            <w:tcBorders>
              <w:top w:val="single" w:sz="4" w:space="0" w:color="auto"/>
              <w:bottom w:val="single" w:sz="4" w:space="0" w:color="auto"/>
            </w:tcBorders>
            <w:vAlign w:val="center"/>
          </w:tcPr>
          <w:p w:rsidR="00212513" w:rsidRDefault="00212513">
            <w:pPr>
              <w:pStyle w:val="ConsPlusNormal"/>
              <w:jc w:val="center"/>
            </w:pPr>
            <w:r>
              <w:t>АБ-74</w:t>
            </w:r>
          </w:p>
        </w:tc>
        <w:tc>
          <w:tcPr>
            <w:tcW w:w="3402" w:type="dxa"/>
            <w:gridSpan w:val="3"/>
            <w:tcBorders>
              <w:top w:val="single" w:sz="4" w:space="0" w:color="auto"/>
              <w:bottom w:val="single" w:sz="4" w:space="0" w:color="auto"/>
            </w:tcBorders>
            <w:vAlign w:val="center"/>
          </w:tcPr>
          <w:p w:rsidR="00212513" w:rsidRDefault="00212513">
            <w:pPr>
              <w:pStyle w:val="ConsPlusNormal"/>
              <w:jc w:val="center"/>
            </w:pPr>
            <w:r>
              <w:t>АБ-151</w:t>
            </w:r>
          </w:p>
        </w:tc>
      </w:tr>
      <w:tr w:rsidR="00212513">
        <w:tc>
          <w:tcPr>
            <w:tcW w:w="1304" w:type="dxa"/>
            <w:vMerge/>
            <w:tcBorders>
              <w:top w:val="single" w:sz="4" w:space="0" w:color="auto"/>
              <w:bottom w:val="single" w:sz="4" w:space="0" w:color="auto"/>
            </w:tcBorders>
          </w:tcPr>
          <w:p w:rsidR="00212513" w:rsidRDefault="00212513">
            <w:pPr>
              <w:pStyle w:val="ConsPlusNormal"/>
            </w:pPr>
          </w:p>
        </w:tc>
        <w:tc>
          <w:tcPr>
            <w:tcW w:w="1114" w:type="dxa"/>
            <w:tcBorders>
              <w:top w:val="single" w:sz="4" w:space="0" w:color="auto"/>
              <w:bottom w:val="single" w:sz="4" w:space="0" w:color="auto"/>
            </w:tcBorders>
            <w:vAlign w:val="center"/>
          </w:tcPr>
          <w:p w:rsidR="00212513" w:rsidRDefault="00212513">
            <w:pPr>
              <w:pStyle w:val="ConsPlusNormal"/>
              <w:jc w:val="center"/>
            </w:pPr>
            <w:r>
              <w:rPr>
                <w:noProof/>
                <w:position w:val="-6"/>
              </w:rPr>
              <w:drawing>
                <wp:inline distT="0" distB="0" distL="0" distR="0">
                  <wp:extent cx="544830" cy="220345"/>
                  <wp:effectExtent l="0" t="0" r="0" b="0"/>
                  <wp:docPr id="2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6"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p>
        </w:tc>
        <w:tc>
          <w:tcPr>
            <w:tcW w:w="1114" w:type="dxa"/>
            <w:tcBorders>
              <w:top w:val="single" w:sz="4" w:space="0" w:color="auto"/>
              <w:bottom w:val="single" w:sz="4" w:space="0" w:color="auto"/>
            </w:tcBorders>
            <w:vAlign w:val="center"/>
          </w:tcPr>
          <w:p w:rsidR="00212513" w:rsidRDefault="00212513">
            <w:pPr>
              <w:pStyle w:val="ConsPlusNormal"/>
              <w:jc w:val="center"/>
            </w:pPr>
            <w:r>
              <w:rPr>
                <w:noProof/>
                <w:position w:val="-6"/>
              </w:rPr>
              <w:drawing>
                <wp:inline distT="0" distB="0" distL="0" distR="0">
                  <wp:extent cx="628650" cy="216535"/>
                  <wp:effectExtent l="0" t="0" r="0" b="0"/>
                  <wp:docPr id="2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7" cstate="print">
                            <a:extLst>
                              <a:ext uri="{28A0092B-C50C-407E-A947-70E740481C1C}">
                                <a14:useLocalDpi xmlns:a14="http://schemas.microsoft.com/office/drawing/2010/main" val="0"/>
                              </a:ext>
                            </a:extLst>
                          </a:blip>
                          <a:srcRect/>
                          <a:stretch>
                            <a:fillRect/>
                          </a:stretch>
                        </pic:blipFill>
                        <pic:spPr bwMode="auto">
                          <a:xfrm>
                            <a:off x="0" y="0"/>
                            <a:ext cx="628650" cy="216535"/>
                          </a:xfrm>
                          <a:prstGeom prst="rect">
                            <a:avLst/>
                          </a:prstGeom>
                          <a:noFill/>
                          <a:ln>
                            <a:noFill/>
                          </a:ln>
                        </pic:spPr>
                      </pic:pic>
                    </a:graphicData>
                  </a:graphic>
                </wp:inline>
              </w:drawing>
            </w:r>
          </w:p>
        </w:tc>
        <w:tc>
          <w:tcPr>
            <w:tcW w:w="1020" w:type="dxa"/>
            <w:tcBorders>
              <w:top w:val="single" w:sz="4" w:space="0" w:color="auto"/>
              <w:bottom w:val="single" w:sz="4" w:space="0" w:color="auto"/>
            </w:tcBorders>
            <w:vAlign w:val="center"/>
          </w:tcPr>
          <w:p w:rsidR="00212513" w:rsidRDefault="00212513">
            <w:pPr>
              <w:pStyle w:val="ConsPlusNormal"/>
              <w:jc w:val="center"/>
            </w:pPr>
            <w:r>
              <w:rPr>
                <w:noProof/>
                <w:position w:val="-4"/>
              </w:rPr>
              <w:drawing>
                <wp:inline distT="0" distB="0" distL="0" distR="0">
                  <wp:extent cx="419100" cy="199390"/>
                  <wp:effectExtent l="0" t="0" r="0" b="0"/>
                  <wp:docPr id="2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8"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p>
        </w:tc>
        <w:tc>
          <w:tcPr>
            <w:tcW w:w="1134" w:type="dxa"/>
            <w:tcBorders>
              <w:top w:val="single" w:sz="4" w:space="0" w:color="auto"/>
              <w:bottom w:val="single" w:sz="4" w:space="0" w:color="auto"/>
            </w:tcBorders>
            <w:vAlign w:val="center"/>
          </w:tcPr>
          <w:p w:rsidR="00212513" w:rsidRDefault="00212513">
            <w:pPr>
              <w:pStyle w:val="ConsPlusNormal"/>
              <w:jc w:val="center"/>
            </w:pPr>
            <w:r>
              <w:rPr>
                <w:noProof/>
                <w:position w:val="-6"/>
              </w:rPr>
              <w:drawing>
                <wp:inline distT="0" distB="0" distL="0" distR="0">
                  <wp:extent cx="544830" cy="220345"/>
                  <wp:effectExtent l="0" t="0" r="0" b="0"/>
                  <wp:docPr id="2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6"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p>
        </w:tc>
        <w:tc>
          <w:tcPr>
            <w:tcW w:w="1304" w:type="dxa"/>
            <w:gridSpan w:val="2"/>
            <w:tcBorders>
              <w:top w:val="single" w:sz="4" w:space="0" w:color="auto"/>
              <w:bottom w:val="single" w:sz="4" w:space="0" w:color="auto"/>
            </w:tcBorders>
            <w:vAlign w:val="center"/>
          </w:tcPr>
          <w:p w:rsidR="00212513" w:rsidRDefault="00212513">
            <w:pPr>
              <w:pStyle w:val="ConsPlusNormal"/>
              <w:jc w:val="center"/>
            </w:pPr>
            <w:r>
              <w:rPr>
                <w:noProof/>
                <w:position w:val="-6"/>
              </w:rPr>
              <w:drawing>
                <wp:inline distT="0" distB="0" distL="0" distR="0">
                  <wp:extent cx="639445" cy="220345"/>
                  <wp:effectExtent l="0" t="0" r="0" b="0"/>
                  <wp:docPr id="2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7"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p>
        </w:tc>
        <w:tc>
          <w:tcPr>
            <w:tcW w:w="1020" w:type="dxa"/>
            <w:tcBorders>
              <w:top w:val="single" w:sz="4" w:space="0" w:color="auto"/>
              <w:bottom w:val="single" w:sz="4" w:space="0" w:color="auto"/>
            </w:tcBorders>
            <w:vAlign w:val="center"/>
          </w:tcPr>
          <w:p w:rsidR="00212513" w:rsidRDefault="00212513">
            <w:pPr>
              <w:pStyle w:val="ConsPlusNormal"/>
              <w:jc w:val="center"/>
            </w:pPr>
            <w:r>
              <w:rPr>
                <w:noProof/>
                <w:position w:val="-4"/>
              </w:rPr>
              <w:drawing>
                <wp:inline distT="0" distB="0" distL="0" distR="0">
                  <wp:extent cx="419100" cy="199390"/>
                  <wp:effectExtent l="0" t="0" r="0" b="0"/>
                  <wp:docPr id="2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8"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p>
        </w:tc>
        <w:tc>
          <w:tcPr>
            <w:tcW w:w="1191" w:type="dxa"/>
            <w:tcBorders>
              <w:top w:val="single" w:sz="4" w:space="0" w:color="auto"/>
              <w:bottom w:val="single" w:sz="4" w:space="0" w:color="auto"/>
            </w:tcBorders>
            <w:vAlign w:val="center"/>
          </w:tcPr>
          <w:p w:rsidR="00212513" w:rsidRDefault="00212513">
            <w:pPr>
              <w:pStyle w:val="ConsPlusNormal"/>
              <w:jc w:val="center"/>
            </w:pPr>
            <w:r>
              <w:rPr>
                <w:noProof/>
                <w:position w:val="-6"/>
              </w:rPr>
              <w:drawing>
                <wp:inline distT="0" distB="0" distL="0" distR="0">
                  <wp:extent cx="544830" cy="220345"/>
                  <wp:effectExtent l="0" t="0" r="0" b="0"/>
                  <wp:docPr id="2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6"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p>
        </w:tc>
        <w:tc>
          <w:tcPr>
            <w:tcW w:w="1191" w:type="dxa"/>
            <w:tcBorders>
              <w:top w:val="single" w:sz="4" w:space="0" w:color="auto"/>
              <w:bottom w:val="single" w:sz="4" w:space="0" w:color="auto"/>
            </w:tcBorders>
            <w:vAlign w:val="center"/>
          </w:tcPr>
          <w:p w:rsidR="00212513" w:rsidRDefault="00212513">
            <w:pPr>
              <w:pStyle w:val="ConsPlusNormal"/>
              <w:jc w:val="center"/>
            </w:pPr>
            <w:r>
              <w:rPr>
                <w:noProof/>
                <w:position w:val="-6"/>
              </w:rPr>
              <w:drawing>
                <wp:inline distT="0" distB="0" distL="0" distR="0">
                  <wp:extent cx="639445" cy="220345"/>
                  <wp:effectExtent l="0" t="0" r="0" b="0"/>
                  <wp:docPr id="2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7"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p>
        </w:tc>
        <w:tc>
          <w:tcPr>
            <w:tcW w:w="1020" w:type="dxa"/>
            <w:tcBorders>
              <w:top w:val="single" w:sz="4" w:space="0" w:color="auto"/>
              <w:bottom w:val="single" w:sz="4" w:space="0" w:color="auto"/>
            </w:tcBorders>
            <w:vAlign w:val="center"/>
          </w:tcPr>
          <w:p w:rsidR="00212513" w:rsidRDefault="00212513">
            <w:pPr>
              <w:pStyle w:val="ConsPlusNormal"/>
              <w:jc w:val="center"/>
            </w:pPr>
            <w:r>
              <w:rPr>
                <w:noProof/>
                <w:position w:val="-4"/>
              </w:rPr>
              <w:drawing>
                <wp:inline distT="0" distB="0" distL="0" distR="0">
                  <wp:extent cx="419100" cy="199390"/>
                  <wp:effectExtent l="0" t="0" r="0" b="0"/>
                  <wp:docPr id="2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8"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p>
        </w:tc>
      </w:tr>
      <w:tr w:rsidR="00212513">
        <w:tc>
          <w:tcPr>
            <w:tcW w:w="11412" w:type="dxa"/>
            <w:gridSpan w:val="11"/>
            <w:tcBorders>
              <w:top w:val="single" w:sz="4" w:space="0" w:color="auto"/>
              <w:bottom w:val="single" w:sz="4" w:space="0" w:color="auto"/>
            </w:tcBorders>
          </w:tcPr>
          <w:p w:rsidR="00212513" w:rsidRDefault="00212513">
            <w:pPr>
              <w:pStyle w:val="ConsPlusNormal"/>
              <w:jc w:val="center"/>
            </w:pPr>
            <w:r>
              <w:rPr>
                <w:b/>
              </w:rPr>
              <w:t>А. Одиночный автомобиль</w:t>
            </w:r>
          </w:p>
        </w:tc>
      </w:tr>
      <w:tr w:rsidR="00212513">
        <w:tblPrEx>
          <w:tblBorders>
            <w:insideH w:val="none" w:sz="0" w:space="0" w:color="auto"/>
          </w:tblBorders>
        </w:tblPrEx>
        <w:tc>
          <w:tcPr>
            <w:tcW w:w="1304" w:type="dxa"/>
            <w:tcBorders>
              <w:top w:val="single" w:sz="4" w:space="0" w:color="auto"/>
              <w:bottom w:val="nil"/>
            </w:tcBorders>
          </w:tcPr>
          <w:p w:rsidR="00212513" w:rsidRDefault="00212513">
            <w:pPr>
              <w:pStyle w:val="ConsPlusNormal"/>
              <w:jc w:val="center"/>
            </w:pPr>
            <w:r>
              <w:t>4</w:t>
            </w:r>
          </w:p>
        </w:tc>
        <w:tc>
          <w:tcPr>
            <w:tcW w:w="1114" w:type="dxa"/>
            <w:tcBorders>
              <w:top w:val="single" w:sz="4" w:space="0" w:color="auto"/>
              <w:bottom w:val="nil"/>
            </w:tcBorders>
          </w:tcPr>
          <w:p w:rsidR="00212513" w:rsidRDefault="00212513">
            <w:pPr>
              <w:pStyle w:val="ConsPlusNormal"/>
              <w:jc w:val="center"/>
            </w:pPr>
            <w:r>
              <w:t>166,7</w:t>
            </w:r>
          </w:p>
        </w:tc>
        <w:tc>
          <w:tcPr>
            <w:tcW w:w="1114" w:type="dxa"/>
            <w:tcBorders>
              <w:top w:val="single" w:sz="4" w:space="0" w:color="auto"/>
              <w:bottom w:val="nil"/>
            </w:tcBorders>
          </w:tcPr>
          <w:p w:rsidR="00212513" w:rsidRDefault="00212513">
            <w:pPr>
              <w:pStyle w:val="ConsPlusNormal"/>
              <w:jc w:val="center"/>
            </w:pPr>
            <w:r>
              <w:t>166,7</w:t>
            </w:r>
          </w:p>
        </w:tc>
        <w:tc>
          <w:tcPr>
            <w:tcW w:w="1020" w:type="dxa"/>
            <w:tcBorders>
              <w:top w:val="single" w:sz="4" w:space="0" w:color="auto"/>
              <w:bottom w:val="nil"/>
            </w:tcBorders>
          </w:tcPr>
          <w:p w:rsidR="00212513" w:rsidRDefault="00212513">
            <w:pPr>
              <w:pStyle w:val="ConsPlusNormal"/>
              <w:jc w:val="center"/>
            </w:pPr>
            <w:r>
              <w:t>177,1</w:t>
            </w:r>
          </w:p>
        </w:tc>
        <w:tc>
          <w:tcPr>
            <w:tcW w:w="1134" w:type="dxa"/>
            <w:tcBorders>
              <w:top w:val="single" w:sz="4" w:space="0" w:color="auto"/>
              <w:bottom w:val="nil"/>
            </w:tcBorders>
          </w:tcPr>
          <w:p w:rsidR="00212513" w:rsidRDefault="00212513">
            <w:pPr>
              <w:pStyle w:val="ConsPlusNormal"/>
              <w:jc w:val="center"/>
            </w:pPr>
            <w:r>
              <w:t>245,2</w:t>
            </w:r>
          </w:p>
        </w:tc>
        <w:tc>
          <w:tcPr>
            <w:tcW w:w="1304" w:type="dxa"/>
            <w:gridSpan w:val="2"/>
            <w:tcBorders>
              <w:top w:val="single" w:sz="4" w:space="0" w:color="auto"/>
              <w:bottom w:val="nil"/>
            </w:tcBorders>
          </w:tcPr>
          <w:p w:rsidR="00212513" w:rsidRDefault="00212513">
            <w:pPr>
              <w:pStyle w:val="ConsPlusNormal"/>
              <w:jc w:val="center"/>
            </w:pPr>
            <w:r>
              <w:t>245,2</w:t>
            </w:r>
          </w:p>
        </w:tc>
        <w:tc>
          <w:tcPr>
            <w:tcW w:w="1020" w:type="dxa"/>
            <w:tcBorders>
              <w:top w:val="single" w:sz="4" w:space="0" w:color="auto"/>
              <w:bottom w:val="nil"/>
            </w:tcBorders>
          </w:tcPr>
          <w:p w:rsidR="00212513" w:rsidRDefault="00212513">
            <w:pPr>
              <w:pStyle w:val="ConsPlusNormal"/>
              <w:jc w:val="center"/>
            </w:pPr>
            <w:r>
              <w:t>245,2</w:t>
            </w:r>
          </w:p>
        </w:tc>
        <w:tc>
          <w:tcPr>
            <w:tcW w:w="1191" w:type="dxa"/>
            <w:tcBorders>
              <w:top w:val="single" w:sz="4" w:space="0" w:color="auto"/>
              <w:bottom w:val="nil"/>
            </w:tcBorders>
          </w:tcPr>
          <w:p w:rsidR="00212513" w:rsidRDefault="00212513">
            <w:pPr>
              <w:pStyle w:val="ConsPlusNormal"/>
              <w:jc w:val="center"/>
            </w:pPr>
            <w:r>
              <w:t>495,2</w:t>
            </w:r>
          </w:p>
        </w:tc>
        <w:tc>
          <w:tcPr>
            <w:tcW w:w="1191" w:type="dxa"/>
            <w:tcBorders>
              <w:top w:val="single" w:sz="4" w:space="0" w:color="auto"/>
              <w:bottom w:val="nil"/>
            </w:tcBorders>
          </w:tcPr>
          <w:p w:rsidR="00212513" w:rsidRDefault="00212513">
            <w:pPr>
              <w:pStyle w:val="ConsPlusNormal"/>
              <w:jc w:val="center"/>
            </w:pPr>
            <w:r>
              <w:t>495,2</w:t>
            </w:r>
          </w:p>
        </w:tc>
        <w:tc>
          <w:tcPr>
            <w:tcW w:w="1020" w:type="dxa"/>
            <w:tcBorders>
              <w:top w:val="single" w:sz="4" w:space="0" w:color="auto"/>
              <w:bottom w:val="nil"/>
            </w:tcBorders>
          </w:tcPr>
          <w:p w:rsidR="00212513" w:rsidRDefault="00212513">
            <w:pPr>
              <w:pStyle w:val="ConsPlusNormal"/>
              <w:jc w:val="center"/>
            </w:pPr>
            <w:r>
              <w:t>495,2</w:t>
            </w:r>
          </w:p>
        </w:tc>
      </w:tr>
      <w:tr w:rsidR="00212513">
        <w:tblPrEx>
          <w:tblBorders>
            <w:insideH w:val="none" w:sz="0" w:space="0" w:color="auto"/>
          </w:tblBorders>
        </w:tblPrEx>
        <w:tc>
          <w:tcPr>
            <w:tcW w:w="1304" w:type="dxa"/>
            <w:tcBorders>
              <w:top w:val="nil"/>
              <w:bottom w:val="nil"/>
            </w:tcBorders>
          </w:tcPr>
          <w:p w:rsidR="00212513" w:rsidRDefault="00212513">
            <w:pPr>
              <w:pStyle w:val="ConsPlusNormal"/>
              <w:jc w:val="center"/>
            </w:pPr>
            <w:r>
              <w:t>5</w:t>
            </w:r>
          </w:p>
        </w:tc>
        <w:tc>
          <w:tcPr>
            <w:tcW w:w="1114" w:type="dxa"/>
            <w:tcBorders>
              <w:top w:val="nil"/>
              <w:bottom w:val="nil"/>
            </w:tcBorders>
          </w:tcPr>
          <w:p w:rsidR="00212513" w:rsidRDefault="00212513">
            <w:pPr>
              <w:pStyle w:val="ConsPlusNormal"/>
              <w:jc w:val="center"/>
            </w:pPr>
            <w:r>
              <w:t>133,4</w:t>
            </w:r>
          </w:p>
        </w:tc>
        <w:tc>
          <w:tcPr>
            <w:tcW w:w="1114" w:type="dxa"/>
            <w:tcBorders>
              <w:top w:val="nil"/>
              <w:bottom w:val="nil"/>
            </w:tcBorders>
          </w:tcPr>
          <w:p w:rsidR="00212513" w:rsidRDefault="00212513">
            <w:pPr>
              <w:pStyle w:val="ConsPlusNormal"/>
              <w:jc w:val="center"/>
            </w:pPr>
            <w:r>
              <w:t>137,8</w:t>
            </w:r>
          </w:p>
        </w:tc>
        <w:tc>
          <w:tcPr>
            <w:tcW w:w="1020" w:type="dxa"/>
            <w:tcBorders>
              <w:top w:val="nil"/>
              <w:bottom w:val="nil"/>
            </w:tcBorders>
          </w:tcPr>
          <w:p w:rsidR="00212513" w:rsidRDefault="00212513">
            <w:pPr>
              <w:pStyle w:val="ConsPlusNormal"/>
              <w:jc w:val="center"/>
            </w:pPr>
            <w:r>
              <w:t>153,4</w:t>
            </w:r>
          </w:p>
        </w:tc>
        <w:tc>
          <w:tcPr>
            <w:tcW w:w="1134" w:type="dxa"/>
            <w:tcBorders>
              <w:top w:val="nil"/>
              <w:bottom w:val="nil"/>
            </w:tcBorders>
          </w:tcPr>
          <w:p w:rsidR="00212513" w:rsidRDefault="00212513">
            <w:pPr>
              <w:pStyle w:val="ConsPlusNormal"/>
              <w:jc w:val="center"/>
            </w:pPr>
            <w:r>
              <w:t>196,1</w:t>
            </w:r>
          </w:p>
        </w:tc>
        <w:tc>
          <w:tcPr>
            <w:tcW w:w="1304" w:type="dxa"/>
            <w:gridSpan w:val="2"/>
            <w:tcBorders>
              <w:top w:val="nil"/>
              <w:bottom w:val="nil"/>
            </w:tcBorders>
          </w:tcPr>
          <w:p w:rsidR="00212513" w:rsidRDefault="00212513">
            <w:pPr>
              <w:pStyle w:val="ConsPlusNormal"/>
              <w:jc w:val="center"/>
            </w:pPr>
            <w:r>
              <w:t>196,1</w:t>
            </w:r>
          </w:p>
        </w:tc>
        <w:tc>
          <w:tcPr>
            <w:tcW w:w="1020" w:type="dxa"/>
            <w:tcBorders>
              <w:top w:val="nil"/>
              <w:bottom w:val="nil"/>
            </w:tcBorders>
          </w:tcPr>
          <w:p w:rsidR="00212513" w:rsidRDefault="00212513">
            <w:pPr>
              <w:pStyle w:val="ConsPlusNormal"/>
              <w:jc w:val="center"/>
            </w:pPr>
            <w:r>
              <w:t>211,2</w:t>
            </w:r>
          </w:p>
        </w:tc>
        <w:tc>
          <w:tcPr>
            <w:tcW w:w="1191" w:type="dxa"/>
            <w:tcBorders>
              <w:top w:val="nil"/>
              <w:bottom w:val="nil"/>
            </w:tcBorders>
          </w:tcPr>
          <w:p w:rsidR="00212513" w:rsidRDefault="00212513">
            <w:pPr>
              <w:pStyle w:val="ConsPlusNormal"/>
              <w:jc w:val="center"/>
            </w:pPr>
            <w:r>
              <w:t>396,2</w:t>
            </w:r>
          </w:p>
        </w:tc>
        <w:tc>
          <w:tcPr>
            <w:tcW w:w="1191" w:type="dxa"/>
            <w:tcBorders>
              <w:top w:val="nil"/>
              <w:bottom w:val="nil"/>
            </w:tcBorders>
          </w:tcPr>
          <w:p w:rsidR="00212513" w:rsidRDefault="00212513">
            <w:pPr>
              <w:pStyle w:val="ConsPlusNormal"/>
              <w:jc w:val="center"/>
            </w:pPr>
            <w:r>
              <w:t>396,2</w:t>
            </w:r>
          </w:p>
        </w:tc>
        <w:tc>
          <w:tcPr>
            <w:tcW w:w="1020" w:type="dxa"/>
            <w:tcBorders>
              <w:top w:val="nil"/>
              <w:bottom w:val="nil"/>
            </w:tcBorders>
          </w:tcPr>
          <w:p w:rsidR="00212513" w:rsidRDefault="00212513">
            <w:pPr>
              <w:pStyle w:val="ConsPlusNormal"/>
              <w:jc w:val="center"/>
            </w:pPr>
            <w:r>
              <w:t>415,8</w:t>
            </w:r>
          </w:p>
        </w:tc>
      </w:tr>
      <w:tr w:rsidR="00212513">
        <w:tblPrEx>
          <w:tblBorders>
            <w:insideH w:val="none" w:sz="0" w:space="0" w:color="auto"/>
          </w:tblBorders>
        </w:tblPrEx>
        <w:tc>
          <w:tcPr>
            <w:tcW w:w="1304" w:type="dxa"/>
            <w:tcBorders>
              <w:top w:val="nil"/>
              <w:bottom w:val="nil"/>
            </w:tcBorders>
          </w:tcPr>
          <w:p w:rsidR="00212513" w:rsidRDefault="00212513">
            <w:pPr>
              <w:pStyle w:val="ConsPlusNormal"/>
              <w:jc w:val="center"/>
            </w:pPr>
            <w:r>
              <w:t>6</w:t>
            </w:r>
          </w:p>
        </w:tc>
        <w:tc>
          <w:tcPr>
            <w:tcW w:w="1114" w:type="dxa"/>
            <w:tcBorders>
              <w:top w:val="nil"/>
              <w:bottom w:val="nil"/>
            </w:tcBorders>
          </w:tcPr>
          <w:p w:rsidR="00212513" w:rsidRDefault="00212513">
            <w:pPr>
              <w:pStyle w:val="ConsPlusNormal"/>
              <w:jc w:val="center"/>
            </w:pPr>
            <w:r>
              <w:t>111,1</w:t>
            </w:r>
          </w:p>
        </w:tc>
        <w:tc>
          <w:tcPr>
            <w:tcW w:w="1114" w:type="dxa"/>
            <w:tcBorders>
              <w:top w:val="nil"/>
              <w:bottom w:val="nil"/>
            </w:tcBorders>
          </w:tcPr>
          <w:p w:rsidR="00212513" w:rsidRDefault="00212513">
            <w:pPr>
              <w:pStyle w:val="ConsPlusNormal"/>
              <w:jc w:val="center"/>
            </w:pPr>
            <w:r>
              <w:t>123,5</w:t>
            </w:r>
          </w:p>
        </w:tc>
        <w:tc>
          <w:tcPr>
            <w:tcW w:w="1020" w:type="dxa"/>
            <w:tcBorders>
              <w:top w:val="nil"/>
              <w:bottom w:val="nil"/>
            </w:tcBorders>
          </w:tcPr>
          <w:p w:rsidR="00212513" w:rsidRDefault="00212513">
            <w:pPr>
              <w:pStyle w:val="ConsPlusNormal"/>
              <w:jc w:val="center"/>
            </w:pPr>
            <w:r>
              <w:t>134,3</w:t>
            </w:r>
          </w:p>
        </w:tc>
        <w:tc>
          <w:tcPr>
            <w:tcW w:w="1134" w:type="dxa"/>
            <w:tcBorders>
              <w:top w:val="nil"/>
              <w:bottom w:val="nil"/>
            </w:tcBorders>
          </w:tcPr>
          <w:p w:rsidR="00212513" w:rsidRDefault="00212513">
            <w:pPr>
              <w:pStyle w:val="ConsPlusNormal"/>
              <w:jc w:val="center"/>
            </w:pPr>
            <w:r>
              <w:t>163,5</w:t>
            </w:r>
          </w:p>
        </w:tc>
        <w:tc>
          <w:tcPr>
            <w:tcW w:w="1304" w:type="dxa"/>
            <w:gridSpan w:val="2"/>
            <w:tcBorders>
              <w:top w:val="nil"/>
              <w:bottom w:val="nil"/>
            </w:tcBorders>
          </w:tcPr>
          <w:p w:rsidR="00212513" w:rsidRDefault="00212513">
            <w:pPr>
              <w:pStyle w:val="ConsPlusNormal"/>
              <w:jc w:val="center"/>
            </w:pPr>
            <w:r>
              <w:t>168,7</w:t>
            </w:r>
          </w:p>
        </w:tc>
        <w:tc>
          <w:tcPr>
            <w:tcW w:w="1020" w:type="dxa"/>
            <w:tcBorders>
              <w:top w:val="nil"/>
              <w:bottom w:val="nil"/>
            </w:tcBorders>
          </w:tcPr>
          <w:p w:rsidR="00212513" w:rsidRDefault="00212513">
            <w:pPr>
              <w:pStyle w:val="ConsPlusNormal"/>
              <w:jc w:val="center"/>
            </w:pPr>
            <w:r>
              <w:t>187,0</w:t>
            </w:r>
          </w:p>
        </w:tc>
        <w:tc>
          <w:tcPr>
            <w:tcW w:w="1191" w:type="dxa"/>
            <w:tcBorders>
              <w:top w:val="nil"/>
              <w:bottom w:val="nil"/>
            </w:tcBorders>
          </w:tcPr>
          <w:p w:rsidR="00212513" w:rsidRDefault="00212513">
            <w:pPr>
              <w:pStyle w:val="ConsPlusNormal"/>
              <w:jc w:val="center"/>
            </w:pPr>
            <w:r>
              <w:t>330,2</w:t>
            </w:r>
          </w:p>
        </w:tc>
        <w:tc>
          <w:tcPr>
            <w:tcW w:w="1191" w:type="dxa"/>
            <w:tcBorders>
              <w:top w:val="nil"/>
              <w:bottom w:val="nil"/>
            </w:tcBorders>
          </w:tcPr>
          <w:p w:rsidR="00212513" w:rsidRDefault="00212513">
            <w:pPr>
              <w:pStyle w:val="ConsPlusNormal"/>
              <w:jc w:val="center"/>
            </w:pPr>
            <w:r>
              <w:t>330,2</w:t>
            </w:r>
          </w:p>
        </w:tc>
        <w:tc>
          <w:tcPr>
            <w:tcW w:w="1020" w:type="dxa"/>
            <w:tcBorders>
              <w:top w:val="nil"/>
              <w:bottom w:val="nil"/>
            </w:tcBorders>
          </w:tcPr>
          <w:p w:rsidR="00212513" w:rsidRDefault="00212513">
            <w:pPr>
              <w:pStyle w:val="ConsPlusNormal"/>
              <w:jc w:val="center"/>
            </w:pPr>
            <w:r>
              <w:t>371,0</w:t>
            </w:r>
          </w:p>
        </w:tc>
      </w:tr>
      <w:tr w:rsidR="00212513">
        <w:tblPrEx>
          <w:tblBorders>
            <w:insideH w:val="none" w:sz="0" w:space="0" w:color="auto"/>
          </w:tblBorders>
        </w:tblPrEx>
        <w:tc>
          <w:tcPr>
            <w:tcW w:w="1304" w:type="dxa"/>
            <w:tcBorders>
              <w:top w:val="nil"/>
              <w:bottom w:val="nil"/>
            </w:tcBorders>
          </w:tcPr>
          <w:p w:rsidR="00212513" w:rsidRDefault="00212513">
            <w:pPr>
              <w:pStyle w:val="ConsPlusNormal"/>
              <w:jc w:val="center"/>
            </w:pPr>
            <w:r>
              <w:t>7</w:t>
            </w:r>
          </w:p>
        </w:tc>
        <w:tc>
          <w:tcPr>
            <w:tcW w:w="1114" w:type="dxa"/>
            <w:tcBorders>
              <w:top w:val="nil"/>
              <w:bottom w:val="nil"/>
            </w:tcBorders>
          </w:tcPr>
          <w:p w:rsidR="00212513" w:rsidRDefault="00212513">
            <w:pPr>
              <w:pStyle w:val="ConsPlusNormal"/>
              <w:jc w:val="center"/>
            </w:pPr>
            <w:r>
              <w:t>95,2</w:t>
            </w:r>
          </w:p>
        </w:tc>
        <w:tc>
          <w:tcPr>
            <w:tcW w:w="1114" w:type="dxa"/>
            <w:tcBorders>
              <w:top w:val="nil"/>
              <w:bottom w:val="nil"/>
            </w:tcBorders>
          </w:tcPr>
          <w:p w:rsidR="00212513" w:rsidRDefault="00212513">
            <w:pPr>
              <w:pStyle w:val="ConsPlusNormal"/>
              <w:jc w:val="center"/>
            </w:pPr>
            <w:r>
              <w:t>111,1</w:t>
            </w:r>
          </w:p>
        </w:tc>
        <w:tc>
          <w:tcPr>
            <w:tcW w:w="1020" w:type="dxa"/>
            <w:tcBorders>
              <w:top w:val="nil"/>
              <w:bottom w:val="nil"/>
            </w:tcBorders>
          </w:tcPr>
          <w:p w:rsidR="00212513" w:rsidRDefault="00212513">
            <w:pPr>
              <w:pStyle w:val="ConsPlusNormal"/>
              <w:jc w:val="center"/>
            </w:pPr>
            <w:r>
              <w:t>119,1</w:t>
            </w:r>
          </w:p>
        </w:tc>
        <w:tc>
          <w:tcPr>
            <w:tcW w:w="1134" w:type="dxa"/>
            <w:tcBorders>
              <w:top w:val="nil"/>
              <w:bottom w:val="nil"/>
            </w:tcBorders>
          </w:tcPr>
          <w:p w:rsidR="00212513" w:rsidRDefault="00212513">
            <w:pPr>
              <w:pStyle w:val="ConsPlusNormal"/>
              <w:jc w:val="center"/>
            </w:pPr>
            <w:r>
              <w:t>140,1</w:t>
            </w:r>
          </w:p>
        </w:tc>
        <w:tc>
          <w:tcPr>
            <w:tcW w:w="1304" w:type="dxa"/>
            <w:gridSpan w:val="2"/>
            <w:tcBorders>
              <w:top w:val="nil"/>
              <w:bottom w:val="nil"/>
            </w:tcBorders>
          </w:tcPr>
          <w:p w:rsidR="00212513" w:rsidRDefault="00212513">
            <w:pPr>
              <w:pStyle w:val="ConsPlusNormal"/>
              <w:jc w:val="center"/>
            </w:pPr>
            <w:r>
              <w:t>153,6</w:t>
            </w:r>
          </w:p>
        </w:tc>
        <w:tc>
          <w:tcPr>
            <w:tcW w:w="1020" w:type="dxa"/>
            <w:tcBorders>
              <w:top w:val="nil"/>
              <w:bottom w:val="nil"/>
            </w:tcBorders>
          </w:tcPr>
          <w:p w:rsidR="00212513" w:rsidRDefault="00212513">
            <w:pPr>
              <w:pStyle w:val="ConsPlusNormal"/>
              <w:jc w:val="center"/>
            </w:pPr>
            <w:r>
              <w:t>167,0</w:t>
            </w:r>
          </w:p>
        </w:tc>
        <w:tc>
          <w:tcPr>
            <w:tcW w:w="1191" w:type="dxa"/>
            <w:tcBorders>
              <w:top w:val="nil"/>
              <w:bottom w:val="nil"/>
            </w:tcBorders>
          </w:tcPr>
          <w:p w:rsidR="00212513" w:rsidRDefault="00212513">
            <w:pPr>
              <w:pStyle w:val="ConsPlusNormal"/>
              <w:jc w:val="center"/>
            </w:pPr>
            <w:r>
              <w:t>283,0</w:t>
            </w:r>
          </w:p>
        </w:tc>
        <w:tc>
          <w:tcPr>
            <w:tcW w:w="1191" w:type="dxa"/>
            <w:tcBorders>
              <w:top w:val="nil"/>
              <w:bottom w:val="nil"/>
            </w:tcBorders>
          </w:tcPr>
          <w:p w:rsidR="00212513" w:rsidRDefault="00212513">
            <w:pPr>
              <w:pStyle w:val="ConsPlusNormal"/>
              <w:jc w:val="center"/>
            </w:pPr>
            <w:r>
              <w:t>303,0</w:t>
            </w:r>
          </w:p>
        </w:tc>
        <w:tc>
          <w:tcPr>
            <w:tcW w:w="1020" w:type="dxa"/>
            <w:tcBorders>
              <w:top w:val="nil"/>
              <w:bottom w:val="nil"/>
            </w:tcBorders>
          </w:tcPr>
          <w:p w:rsidR="00212513" w:rsidRDefault="00212513">
            <w:pPr>
              <w:pStyle w:val="ConsPlusNormal"/>
              <w:jc w:val="center"/>
            </w:pPr>
            <w:r>
              <w:t>333,0</w:t>
            </w:r>
          </w:p>
        </w:tc>
      </w:tr>
      <w:tr w:rsidR="00212513">
        <w:tblPrEx>
          <w:tblBorders>
            <w:insideH w:val="none" w:sz="0" w:space="0" w:color="auto"/>
          </w:tblBorders>
        </w:tblPrEx>
        <w:tc>
          <w:tcPr>
            <w:tcW w:w="1304" w:type="dxa"/>
            <w:tcBorders>
              <w:top w:val="nil"/>
              <w:bottom w:val="nil"/>
            </w:tcBorders>
          </w:tcPr>
          <w:p w:rsidR="00212513" w:rsidRDefault="00212513">
            <w:pPr>
              <w:pStyle w:val="ConsPlusNormal"/>
              <w:jc w:val="center"/>
            </w:pPr>
            <w:r>
              <w:t>8</w:t>
            </w:r>
          </w:p>
        </w:tc>
        <w:tc>
          <w:tcPr>
            <w:tcW w:w="1114" w:type="dxa"/>
            <w:tcBorders>
              <w:top w:val="nil"/>
              <w:bottom w:val="nil"/>
            </w:tcBorders>
          </w:tcPr>
          <w:p w:rsidR="00212513" w:rsidRDefault="00212513">
            <w:pPr>
              <w:pStyle w:val="ConsPlusNormal"/>
              <w:jc w:val="center"/>
            </w:pPr>
            <w:r>
              <w:t>88,6</w:t>
            </w:r>
          </w:p>
        </w:tc>
        <w:tc>
          <w:tcPr>
            <w:tcW w:w="1114" w:type="dxa"/>
            <w:tcBorders>
              <w:top w:val="nil"/>
              <w:bottom w:val="nil"/>
            </w:tcBorders>
          </w:tcPr>
          <w:p w:rsidR="00212513" w:rsidRDefault="00212513">
            <w:pPr>
              <w:pStyle w:val="ConsPlusNormal"/>
              <w:jc w:val="center"/>
            </w:pPr>
            <w:r>
              <w:t>100,7</w:t>
            </w:r>
          </w:p>
        </w:tc>
        <w:tc>
          <w:tcPr>
            <w:tcW w:w="1020" w:type="dxa"/>
            <w:tcBorders>
              <w:top w:val="nil"/>
              <w:bottom w:val="nil"/>
            </w:tcBorders>
          </w:tcPr>
          <w:p w:rsidR="00212513" w:rsidRDefault="00212513">
            <w:pPr>
              <w:pStyle w:val="ConsPlusNormal"/>
              <w:jc w:val="center"/>
            </w:pPr>
            <w:r>
              <w:t>106,8</w:t>
            </w:r>
          </w:p>
        </w:tc>
        <w:tc>
          <w:tcPr>
            <w:tcW w:w="1134" w:type="dxa"/>
            <w:tcBorders>
              <w:top w:val="nil"/>
              <w:bottom w:val="nil"/>
            </w:tcBorders>
          </w:tcPr>
          <w:p w:rsidR="00212513" w:rsidRDefault="00212513">
            <w:pPr>
              <w:pStyle w:val="ConsPlusNormal"/>
              <w:jc w:val="center"/>
            </w:pPr>
            <w:r>
              <w:t>122,6</w:t>
            </w:r>
          </w:p>
        </w:tc>
        <w:tc>
          <w:tcPr>
            <w:tcW w:w="1304" w:type="dxa"/>
            <w:gridSpan w:val="2"/>
            <w:tcBorders>
              <w:top w:val="nil"/>
              <w:bottom w:val="nil"/>
            </w:tcBorders>
          </w:tcPr>
          <w:p w:rsidR="00212513" w:rsidRDefault="00212513">
            <w:pPr>
              <w:pStyle w:val="ConsPlusNormal"/>
              <w:jc w:val="center"/>
            </w:pPr>
            <w:r>
              <w:t>140,2</w:t>
            </w:r>
          </w:p>
        </w:tc>
        <w:tc>
          <w:tcPr>
            <w:tcW w:w="1020" w:type="dxa"/>
            <w:tcBorders>
              <w:top w:val="nil"/>
              <w:bottom w:val="nil"/>
            </w:tcBorders>
          </w:tcPr>
          <w:p w:rsidR="00212513" w:rsidRDefault="00212513">
            <w:pPr>
              <w:pStyle w:val="ConsPlusNormal"/>
              <w:jc w:val="center"/>
            </w:pPr>
            <w:r>
              <w:t>150,5</w:t>
            </w:r>
          </w:p>
        </w:tc>
        <w:tc>
          <w:tcPr>
            <w:tcW w:w="1191" w:type="dxa"/>
            <w:tcBorders>
              <w:top w:val="nil"/>
              <w:bottom w:val="nil"/>
            </w:tcBorders>
          </w:tcPr>
          <w:p w:rsidR="00212513" w:rsidRDefault="00212513">
            <w:pPr>
              <w:pStyle w:val="ConsPlusNormal"/>
              <w:jc w:val="center"/>
            </w:pPr>
            <w:r>
              <w:t>247,6</w:t>
            </w:r>
          </w:p>
        </w:tc>
        <w:tc>
          <w:tcPr>
            <w:tcW w:w="1191" w:type="dxa"/>
            <w:tcBorders>
              <w:top w:val="nil"/>
              <w:bottom w:val="nil"/>
            </w:tcBorders>
          </w:tcPr>
          <w:p w:rsidR="00212513" w:rsidRDefault="00212513">
            <w:pPr>
              <w:pStyle w:val="ConsPlusNormal"/>
              <w:jc w:val="center"/>
            </w:pPr>
            <w:r>
              <w:t>278,3</w:t>
            </w:r>
          </w:p>
        </w:tc>
        <w:tc>
          <w:tcPr>
            <w:tcW w:w="1020" w:type="dxa"/>
            <w:tcBorders>
              <w:top w:val="nil"/>
              <w:bottom w:val="nil"/>
            </w:tcBorders>
          </w:tcPr>
          <w:p w:rsidR="00212513" w:rsidRDefault="00212513">
            <w:pPr>
              <w:pStyle w:val="ConsPlusNormal"/>
              <w:jc w:val="center"/>
            </w:pPr>
            <w:r>
              <w:t>301,3</w:t>
            </w:r>
          </w:p>
        </w:tc>
      </w:tr>
      <w:tr w:rsidR="00212513">
        <w:tblPrEx>
          <w:tblBorders>
            <w:insideH w:val="none" w:sz="0" w:space="0" w:color="auto"/>
          </w:tblBorders>
        </w:tblPrEx>
        <w:tc>
          <w:tcPr>
            <w:tcW w:w="1304" w:type="dxa"/>
            <w:tcBorders>
              <w:top w:val="nil"/>
              <w:bottom w:val="nil"/>
            </w:tcBorders>
          </w:tcPr>
          <w:p w:rsidR="00212513" w:rsidRDefault="00212513">
            <w:pPr>
              <w:pStyle w:val="ConsPlusNormal"/>
              <w:jc w:val="center"/>
            </w:pPr>
            <w:r>
              <w:t>9</w:t>
            </w:r>
          </w:p>
        </w:tc>
        <w:tc>
          <w:tcPr>
            <w:tcW w:w="1114" w:type="dxa"/>
            <w:tcBorders>
              <w:top w:val="nil"/>
              <w:bottom w:val="nil"/>
            </w:tcBorders>
          </w:tcPr>
          <w:p w:rsidR="00212513" w:rsidRDefault="00212513">
            <w:pPr>
              <w:pStyle w:val="ConsPlusNormal"/>
              <w:jc w:val="center"/>
            </w:pPr>
            <w:r>
              <w:t>82,4</w:t>
            </w:r>
          </w:p>
        </w:tc>
        <w:tc>
          <w:tcPr>
            <w:tcW w:w="1114" w:type="dxa"/>
            <w:tcBorders>
              <w:top w:val="nil"/>
              <w:bottom w:val="nil"/>
            </w:tcBorders>
          </w:tcPr>
          <w:p w:rsidR="00212513" w:rsidRDefault="00212513">
            <w:pPr>
              <w:pStyle w:val="ConsPlusNormal"/>
              <w:jc w:val="center"/>
            </w:pPr>
            <w:r>
              <w:t>91,9</w:t>
            </w:r>
          </w:p>
        </w:tc>
        <w:tc>
          <w:tcPr>
            <w:tcW w:w="1020" w:type="dxa"/>
            <w:tcBorders>
              <w:top w:val="nil"/>
              <w:bottom w:val="nil"/>
            </w:tcBorders>
          </w:tcPr>
          <w:p w:rsidR="00212513" w:rsidRDefault="00212513">
            <w:pPr>
              <w:pStyle w:val="ConsPlusNormal"/>
              <w:jc w:val="center"/>
            </w:pPr>
            <w:r>
              <w:t>96,7</w:t>
            </w:r>
          </w:p>
        </w:tc>
        <w:tc>
          <w:tcPr>
            <w:tcW w:w="1134" w:type="dxa"/>
            <w:tcBorders>
              <w:top w:val="nil"/>
              <w:bottom w:val="nil"/>
            </w:tcBorders>
          </w:tcPr>
          <w:p w:rsidR="00212513" w:rsidRDefault="00212513">
            <w:pPr>
              <w:pStyle w:val="ConsPlusNormal"/>
              <w:jc w:val="center"/>
            </w:pPr>
            <w:r>
              <w:t>112,5</w:t>
            </w:r>
          </w:p>
        </w:tc>
        <w:tc>
          <w:tcPr>
            <w:tcW w:w="1304" w:type="dxa"/>
            <w:gridSpan w:val="2"/>
            <w:tcBorders>
              <w:top w:val="nil"/>
              <w:bottom w:val="nil"/>
            </w:tcBorders>
          </w:tcPr>
          <w:p w:rsidR="00212513" w:rsidRDefault="00212513">
            <w:pPr>
              <w:pStyle w:val="ConsPlusNormal"/>
              <w:jc w:val="center"/>
            </w:pPr>
            <w:r>
              <w:t>128,8</w:t>
            </w:r>
          </w:p>
        </w:tc>
        <w:tc>
          <w:tcPr>
            <w:tcW w:w="1020" w:type="dxa"/>
            <w:tcBorders>
              <w:top w:val="nil"/>
              <w:bottom w:val="nil"/>
            </w:tcBorders>
          </w:tcPr>
          <w:p w:rsidR="00212513" w:rsidRDefault="00212513">
            <w:pPr>
              <w:pStyle w:val="ConsPlusNormal"/>
              <w:jc w:val="center"/>
            </w:pPr>
            <w:r>
              <w:t>136,9</w:t>
            </w:r>
          </w:p>
        </w:tc>
        <w:tc>
          <w:tcPr>
            <w:tcW w:w="1191" w:type="dxa"/>
            <w:tcBorders>
              <w:top w:val="nil"/>
              <w:bottom w:val="nil"/>
            </w:tcBorders>
          </w:tcPr>
          <w:p w:rsidR="00212513" w:rsidRDefault="00212513">
            <w:pPr>
              <w:pStyle w:val="ConsPlusNormal"/>
              <w:jc w:val="center"/>
            </w:pPr>
            <w:r>
              <w:t>220,1</w:t>
            </w:r>
          </w:p>
        </w:tc>
        <w:tc>
          <w:tcPr>
            <w:tcW w:w="1191" w:type="dxa"/>
            <w:tcBorders>
              <w:top w:val="nil"/>
              <w:bottom w:val="nil"/>
            </w:tcBorders>
          </w:tcPr>
          <w:p w:rsidR="00212513" w:rsidRDefault="00212513">
            <w:pPr>
              <w:pStyle w:val="ConsPlusNormal"/>
              <w:jc w:val="center"/>
            </w:pPr>
            <w:r>
              <w:t>256,4</w:t>
            </w:r>
          </w:p>
        </w:tc>
        <w:tc>
          <w:tcPr>
            <w:tcW w:w="1020" w:type="dxa"/>
            <w:tcBorders>
              <w:top w:val="nil"/>
              <w:bottom w:val="nil"/>
            </w:tcBorders>
          </w:tcPr>
          <w:p w:rsidR="00212513" w:rsidRDefault="00212513">
            <w:pPr>
              <w:pStyle w:val="ConsPlusNormal"/>
              <w:jc w:val="center"/>
            </w:pPr>
            <w:r>
              <w:t>274,6</w:t>
            </w:r>
          </w:p>
        </w:tc>
      </w:tr>
      <w:tr w:rsidR="00212513">
        <w:tblPrEx>
          <w:tblBorders>
            <w:insideH w:val="none" w:sz="0" w:space="0" w:color="auto"/>
          </w:tblBorders>
        </w:tblPrEx>
        <w:tc>
          <w:tcPr>
            <w:tcW w:w="1304" w:type="dxa"/>
            <w:tcBorders>
              <w:top w:val="nil"/>
              <w:bottom w:val="nil"/>
            </w:tcBorders>
          </w:tcPr>
          <w:p w:rsidR="00212513" w:rsidRDefault="00212513">
            <w:pPr>
              <w:pStyle w:val="ConsPlusNormal"/>
              <w:jc w:val="center"/>
            </w:pPr>
            <w:r>
              <w:t>10</w:t>
            </w:r>
          </w:p>
        </w:tc>
        <w:tc>
          <w:tcPr>
            <w:tcW w:w="1114" w:type="dxa"/>
            <w:tcBorders>
              <w:top w:val="nil"/>
              <w:bottom w:val="nil"/>
            </w:tcBorders>
          </w:tcPr>
          <w:p w:rsidR="00212513" w:rsidRDefault="00212513">
            <w:pPr>
              <w:pStyle w:val="ConsPlusNormal"/>
              <w:jc w:val="center"/>
            </w:pPr>
            <w:r>
              <w:t>76,7</w:t>
            </w:r>
          </w:p>
        </w:tc>
        <w:tc>
          <w:tcPr>
            <w:tcW w:w="1114" w:type="dxa"/>
            <w:tcBorders>
              <w:top w:val="nil"/>
              <w:bottom w:val="nil"/>
            </w:tcBorders>
          </w:tcPr>
          <w:p w:rsidR="00212513" w:rsidRDefault="00212513">
            <w:pPr>
              <w:pStyle w:val="ConsPlusNormal"/>
              <w:jc w:val="center"/>
            </w:pPr>
            <w:r>
              <w:t>84,4</w:t>
            </w:r>
          </w:p>
        </w:tc>
        <w:tc>
          <w:tcPr>
            <w:tcW w:w="1020" w:type="dxa"/>
            <w:tcBorders>
              <w:top w:val="nil"/>
              <w:bottom w:val="nil"/>
            </w:tcBorders>
          </w:tcPr>
          <w:p w:rsidR="00212513" w:rsidRDefault="00212513">
            <w:pPr>
              <w:pStyle w:val="ConsPlusNormal"/>
              <w:jc w:val="center"/>
            </w:pPr>
            <w:r>
              <w:t>88,4</w:t>
            </w:r>
          </w:p>
        </w:tc>
        <w:tc>
          <w:tcPr>
            <w:tcW w:w="1134" w:type="dxa"/>
            <w:tcBorders>
              <w:top w:val="nil"/>
              <w:bottom w:val="nil"/>
            </w:tcBorders>
          </w:tcPr>
          <w:p w:rsidR="00212513" w:rsidRDefault="00212513">
            <w:pPr>
              <w:pStyle w:val="ConsPlusNormal"/>
              <w:jc w:val="center"/>
            </w:pPr>
            <w:r>
              <w:t>105,6</w:t>
            </w:r>
          </w:p>
        </w:tc>
        <w:tc>
          <w:tcPr>
            <w:tcW w:w="1304" w:type="dxa"/>
            <w:gridSpan w:val="2"/>
            <w:tcBorders>
              <w:top w:val="nil"/>
              <w:bottom w:val="nil"/>
            </w:tcBorders>
          </w:tcPr>
          <w:p w:rsidR="00212513" w:rsidRDefault="00212513">
            <w:pPr>
              <w:pStyle w:val="ConsPlusNormal"/>
              <w:jc w:val="center"/>
            </w:pPr>
            <w:r>
              <w:t>118,8</w:t>
            </w:r>
          </w:p>
        </w:tc>
        <w:tc>
          <w:tcPr>
            <w:tcW w:w="1020" w:type="dxa"/>
            <w:tcBorders>
              <w:top w:val="nil"/>
              <w:bottom w:val="nil"/>
            </w:tcBorders>
          </w:tcPr>
          <w:p w:rsidR="00212513" w:rsidRDefault="00212513">
            <w:pPr>
              <w:pStyle w:val="ConsPlusNormal"/>
              <w:jc w:val="center"/>
            </w:pPr>
            <w:r>
              <w:t>125,3</w:t>
            </w:r>
          </w:p>
        </w:tc>
        <w:tc>
          <w:tcPr>
            <w:tcW w:w="1191" w:type="dxa"/>
            <w:tcBorders>
              <w:top w:val="nil"/>
              <w:bottom w:val="nil"/>
            </w:tcBorders>
          </w:tcPr>
          <w:p w:rsidR="00212513" w:rsidRDefault="00212513">
            <w:pPr>
              <w:pStyle w:val="ConsPlusNormal"/>
              <w:jc w:val="center"/>
            </w:pPr>
            <w:r>
              <w:t>207,9</w:t>
            </w:r>
          </w:p>
        </w:tc>
        <w:tc>
          <w:tcPr>
            <w:tcW w:w="1191" w:type="dxa"/>
            <w:tcBorders>
              <w:top w:val="nil"/>
              <w:bottom w:val="nil"/>
            </w:tcBorders>
          </w:tcPr>
          <w:p w:rsidR="00212513" w:rsidRDefault="00212513">
            <w:pPr>
              <w:pStyle w:val="ConsPlusNormal"/>
              <w:jc w:val="center"/>
            </w:pPr>
            <w:r>
              <w:t>237,3</w:t>
            </w:r>
          </w:p>
        </w:tc>
        <w:tc>
          <w:tcPr>
            <w:tcW w:w="1020" w:type="dxa"/>
            <w:tcBorders>
              <w:top w:val="nil"/>
              <w:bottom w:val="nil"/>
            </w:tcBorders>
          </w:tcPr>
          <w:p w:rsidR="00212513" w:rsidRDefault="00212513">
            <w:pPr>
              <w:pStyle w:val="ConsPlusNormal"/>
              <w:jc w:val="center"/>
            </w:pPr>
            <w:r>
              <w:t>252,0</w:t>
            </w:r>
          </w:p>
        </w:tc>
      </w:tr>
      <w:tr w:rsidR="00212513">
        <w:tblPrEx>
          <w:tblBorders>
            <w:insideH w:val="none" w:sz="0" w:space="0" w:color="auto"/>
          </w:tblBorders>
        </w:tblPrEx>
        <w:tc>
          <w:tcPr>
            <w:tcW w:w="1304" w:type="dxa"/>
            <w:tcBorders>
              <w:top w:val="nil"/>
              <w:bottom w:val="nil"/>
            </w:tcBorders>
          </w:tcPr>
          <w:p w:rsidR="00212513" w:rsidRDefault="00212513">
            <w:pPr>
              <w:pStyle w:val="ConsPlusNormal"/>
              <w:jc w:val="center"/>
            </w:pPr>
            <w:r>
              <w:t>12</w:t>
            </w:r>
          </w:p>
        </w:tc>
        <w:tc>
          <w:tcPr>
            <w:tcW w:w="1114" w:type="dxa"/>
            <w:tcBorders>
              <w:top w:val="nil"/>
              <w:bottom w:val="nil"/>
            </w:tcBorders>
          </w:tcPr>
          <w:p w:rsidR="00212513" w:rsidRDefault="00212513">
            <w:pPr>
              <w:pStyle w:val="ConsPlusNormal"/>
              <w:jc w:val="center"/>
            </w:pPr>
            <w:r>
              <w:t>67,2</w:t>
            </w:r>
          </w:p>
        </w:tc>
        <w:tc>
          <w:tcPr>
            <w:tcW w:w="1114" w:type="dxa"/>
            <w:tcBorders>
              <w:top w:val="nil"/>
              <w:bottom w:val="nil"/>
            </w:tcBorders>
          </w:tcPr>
          <w:p w:rsidR="00212513" w:rsidRDefault="00212513">
            <w:pPr>
              <w:pStyle w:val="ConsPlusNormal"/>
              <w:jc w:val="center"/>
            </w:pPr>
            <w:r>
              <w:t>72,6</w:t>
            </w:r>
          </w:p>
        </w:tc>
        <w:tc>
          <w:tcPr>
            <w:tcW w:w="1020" w:type="dxa"/>
            <w:tcBorders>
              <w:top w:val="nil"/>
              <w:bottom w:val="nil"/>
            </w:tcBorders>
          </w:tcPr>
          <w:p w:rsidR="00212513" w:rsidRDefault="00212513">
            <w:pPr>
              <w:pStyle w:val="ConsPlusNormal"/>
              <w:jc w:val="center"/>
            </w:pPr>
            <w:r>
              <w:t>75,2</w:t>
            </w:r>
          </w:p>
        </w:tc>
        <w:tc>
          <w:tcPr>
            <w:tcW w:w="1134" w:type="dxa"/>
            <w:tcBorders>
              <w:top w:val="nil"/>
              <w:bottom w:val="nil"/>
            </w:tcBorders>
          </w:tcPr>
          <w:p w:rsidR="00212513" w:rsidRDefault="00212513">
            <w:pPr>
              <w:pStyle w:val="ConsPlusNormal"/>
              <w:jc w:val="center"/>
            </w:pPr>
            <w:r>
              <w:t>93,5</w:t>
            </w:r>
          </w:p>
        </w:tc>
        <w:tc>
          <w:tcPr>
            <w:tcW w:w="1304" w:type="dxa"/>
            <w:gridSpan w:val="2"/>
            <w:tcBorders>
              <w:top w:val="nil"/>
              <w:bottom w:val="nil"/>
            </w:tcBorders>
          </w:tcPr>
          <w:p w:rsidR="00212513" w:rsidRDefault="00212513">
            <w:pPr>
              <w:pStyle w:val="ConsPlusNormal"/>
              <w:jc w:val="center"/>
            </w:pPr>
            <w:r>
              <w:t>102,7</w:t>
            </w:r>
          </w:p>
        </w:tc>
        <w:tc>
          <w:tcPr>
            <w:tcW w:w="1020" w:type="dxa"/>
            <w:tcBorders>
              <w:top w:val="nil"/>
              <w:bottom w:val="nil"/>
            </w:tcBorders>
          </w:tcPr>
          <w:p w:rsidR="00212513" w:rsidRDefault="00212513">
            <w:pPr>
              <w:pStyle w:val="ConsPlusNormal"/>
              <w:jc w:val="center"/>
            </w:pPr>
            <w:r>
              <w:t>107,2</w:t>
            </w:r>
          </w:p>
        </w:tc>
        <w:tc>
          <w:tcPr>
            <w:tcW w:w="1191" w:type="dxa"/>
            <w:tcBorders>
              <w:top w:val="nil"/>
              <w:bottom w:val="nil"/>
            </w:tcBorders>
          </w:tcPr>
          <w:p w:rsidR="00212513" w:rsidRDefault="00212513">
            <w:pPr>
              <w:pStyle w:val="ConsPlusNormal"/>
              <w:jc w:val="center"/>
            </w:pPr>
            <w:r>
              <w:t>185,5</w:t>
            </w:r>
          </w:p>
        </w:tc>
        <w:tc>
          <w:tcPr>
            <w:tcW w:w="1191" w:type="dxa"/>
            <w:tcBorders>
              <w:top w:val="nil"/>
              <w:bottom w:val="nil"/>
            </w:tcBorders>
          </w:tcPr>
          <w:p w:rsidR="00212513" w:rsidRDefault="00212513">
            <w:pPr>
              <w:pStyle w:val="ConsPlusNormal"/>
              <w:jc w:val="center"/>
            </w:pPr>
            <w:r>
              <w:t>205,9</w:t>
            </w:r>
          </w:p>
        </w:tc>
        <w:tc>
          <w:tcPr>
            <w:tcW w:w="1020" w:type="dxa"/>
            <w:tcBorders>
              <w:top w:val="nil"/>
              <w:bottom w:val="nil"/>
            </w:tcBorders>
          </w:tcPr>
          <w:p w:rsidR="00212513" w:rsidRDefault="00212513">
            <w:pPr>
              <w:pStyle w:val="ConsPlusNormal"/>
              <w:jc w:val="center"/>
            </w:pPr>
            <w:r>
              <w:t>216,1</w:t>
            </w:r>
          </w:p>
        </w:tc>
      </w:tr>
      <w:tr w:rsidR="00212513">
        <w:tblPrEx>
          <w:tblBorders>
            <w:insideH w:val="none" w:sz="0" w:space="0" w:color="auto"/>
          </w:tblBorders>
        </w:tblPrEx>
        <w:tc>
          <w:tcPr>
            <w:tcW w:w="1304" w:type="dxa"/>
            <w:tcBorders>
              <w:top w:val="nil"/>
              <w:bottom w:val="nil"/>
            </w:tcBorders>
          </w:tcPr>
          <w:p w:rsidR="00212513" w:rsidRDefault="00212513">
            <w:pPr>
              <w:pStyle w:val="ConsPlusNormal"/>
              <w:jc w:val="center"/>
            </w:pPr>
            <w:r>
              <w:t>15</w:t>
            </w:r>
          </w:p>
        </w:tc>
        <w:tc>
          <w:tcPr>
            <w:tcW w:w="1114" w:type="dxa"/>
            <w:tcBorders>
              <w:top w:val="nil"/>
              <w:bottom w:val="nil"/>
            </w:tcBorders>
          </w:tcPr>
          <w:p w:rsidR="00212513" w:rsidRDefault="00212513">
            <w:pPr>
              <w:pStyle w:val="ConsPlusNormal"/>
              <w:jc w:val="center"/>
            </w:pPr>
            <w:r>
              <w:t>56,3</w:t>
            </w:r>
          </w:p>
        </w:tc>
        <w:tc>
          <w:tcPr>
            <w:tcW w:w="1114" w:type="dxa"/>
            <w:tcBorders>
              <w:top w:val="nil"/>
              <w:bottom w:val="nil"/>
            </w:tcBorders>
          </w:tcPr>
          <w:p w:rsidR="00212513" w:rsidRDefault="00212513">
            <w:pPr>
              <w:pStyle w:val="ConsPlusNormal"/>
              <w:jc w:val="center"/>
            </w:pPr>
            <w:r>
              <w:t>59,7</w:t>
            </w:r>
          </w:p>
        </w:tc>
        <w:tc>
          <w:tcPr>
            <w:tcW w:w="1020" w:type="dxa"/>
            <w:tcBorders>
              <w:top w:val="nil"/>
              <w:bottom w:val="nil"/>
            </w:tcBorders>
          </w:tcPr>
          <w:p w:rsidR="00212513" w:rsidRDefault="00212513">
            <w:pPr>
              <w:pStyle w:val="ConsPlusNormal"/>
              <w:jc w:val="center"/>
            </w:pPr>
            <w:r>
              <w:t>61,5</w:t>
            </w:r>
          </w:p>
        </w:tc>
        <w:tc>
          <w:tcPr>
            <w:tcW w:w="1134" w:type="dxa"/>
            <w:tcBorders>
              <w:top w:val="nil"/>
              <w:bottom w:val="nil"/>
            </w:tcBorders>
          </w:tcPr>
          <w:p w:rsidR="00212513" w:rsidRDefault="00212513">
            <w:pPr>
              <w:pStyle w:val="ConsPlusNormal"/>
              <w:jc w:val="center"/>
            </w:pPr>
            <w:r>
              <w:t>79,2</w:t>
            </w:r>
          </w:p>
        </w:tc>
        <w:tc>
          <w:tcPr>
            <w:tcW w:w="1304" w:type="dxa"/>
            <w:gridSpan w:val="2"/>
            <w:tcBorders>
              <w:top w:val="nil"/>
              <w:bottom w:val="nil"/>
            </w:tcBorders>
          </w:tcPr>
          <w:p w:rsidR="00212513" w:rsidRDefault="00212513">
            <w:pPr>
              <w:pStyle w:val="ConsPlusNormal"/>
              <w:jc w:val="center"/>
            </w:pPr>
            <w:r>
              <w:t>85,0</w:t>
            </w:r>
          </w:p>
        </w:tc>
        <w:tc>
          <w:tcPr>
            <w:tcW w:w="1020" w:type="dxa"/>
            <w:tcBorders>
              <w:top w:val="nil"/>
              <w:bottom w:val="nil"/>
            </w:tcBorders>
          </w:tcPr>
          <w:p w:rsidR="00212513" w:rsidRDefault="00212513">
            <w:pPr>
              <w:pStyle w:val="ConsPlusNormal"/>
              <w:jc w:val="center"/>
            </w:pPr>
            <w:r>
              <w:t>88,0</w:t>
            </w:r>
          </w:p>
        </w:tc>
        <w:tc>
          <w:tcPr>
            <w:tcW w:w="1191" w:type="dxa"/>
            <w:tcBorders>
              <w:top w:val="nil"/>
              <w:bottom w:val="nil"/>
            </w:tcBorders>
          </w:tcPr>
          <w:p w:rsidR="00212513" w:rsidRDefault="00212513">
            <w:pPr>
              <w:pStyle w:val="ConsPlusNormal"/>
              <w:jc w:val="center"/>
            </w:pPr>
            <w:r>
              <w:t>158,2</w:t>
            </w:r>
          </w:p>
        </w:tc>
        <w:tc>
          <w:tcPr>
            <w:tcW w:w="1191" w:type="dxa"/>
            <w:tcBorders>
              <w:top w:val="nil"/>
              <w:bottom w:val="nil"/>
            </w:tcBorders>
          </w:tcPr>
          <w:p w:rsidR="00212513" w:rsidRDefault="00212513">
            <w:pPr>
              <w:pStyle w:val="ConsPlusNormal"/>
              <w:jc w:val="center"/>
            </w:pPr>
            <w:r>
              <w:t>171,3</w:t>
            </w:r>
          </w:p>
        </w:tc>
        <w:tc>
          <w:tcPr>
            <w:tcW w:w="1020" w:type="dxa"/>
            <w:tcBorders>
              <w:top w:val="nil"/>
              <w:bottom w:val="nil"/>
            </w:tcBorders>
          </w:tcPr>
          <w:p w:rsidR="00212513" w:rsidRDefault="00212513">
            <w:pPr>
              <w:pStyle w:val="ConsPlusNormal"/>
              <w:jc w:val="center"/>
            </w:pPr>
            <w:r>
              <w:t>177,8</w:t>
            </w:r>
          </w:p>
        </w:tc>
      </w:tr>
      <w:tr w:rsidR="00212513">
        <w:tblPrEx>
          <w:tblBorders>
            <w:insideH w:val="none" w:sz="0" w:space="0" w:color="auto"/>
          </w:tblBorders>
        </w:tblPrEx>
        <w:tc>
          <w:tcPr>
            <w:tcW w:w="1304" w:type="dxa"/>
            <w:tcBorders>
              <w:top w:val="nil"/>
              <w:bottom w:val="nil"/>
            </w:tcBorders>
          </w:tcPr>
          <w:p w:rsidR="00212513" w:rsidRDefault="00212513">
            <w:pPr>
              <w:pStyle w:val="ConsPlusNormal"/>
              <w:jc w:val="center"/>
            </w:pPr>
            <w:r>
              <w:t>18</w:t>
            </w:r>
          </w:p>
        </w:tc>
        <w:tc>
          <w:tcPr>
            <w:tcW w:w="1114" w:type="dxa"/>
            <w:tcBorders>
              <w:top w:val="nil"/>
              <w:bottom w:val="nil"/>
            </w:tcBorders>
          </w:tcPr>
          <w:p w:rsidR="00212513" w:rsidRDefault="00212513">
            <w:pPr>
              <w:pStyle w:val="ConsPlusNormal"/>
              <w:jc w:val="center"/>
            </w:pPr>
            <w:r>
              <w:t>48,3</w:t>
            </w:r>
          </w:p>
        </w:tc>
        <w:tc>
          <w:tcPr>
            <w:tcW w:w="1114" w:type="dxa"/>
            <w:tcBorders>
              <w:top w:val="nil"/>
              <w:bottom w:val="nil"/>
            </w:tcBorders>
          </w:tcPr>
          <w:p w:rsidR="00212513" w:rsidRDefault="00212513">
            <w:pPr>
              <w:pStyle w:val="ConsPlusNormal"/>
              <w:jc w:val="center"/>
            </w:pPr>
            <w:r>
              <w:t>50,8</w:t>
            </w:r>
          </w:p>
        </w:tc>
        <w:tc>
          <w:tcPr>
            <w:tcW w:w="1020" w:type="dxa"/>
            <w:tcBorders>
              <w:top w:val="nil"/>
              <w:bottom w:val="nil"/>
            </w:tcBorders>
          </w:tcPr>
          <w:p w:rsidR="00212513" w:rsidRDefault="00212513">
            <w:pPr>
              <w:pStyle w:val="ConsPlusNormal"/>
              <w:jc w:val="center"/>
            </w:pPr>
            <w:r>
              <w:t>52,0</w:t>
            </w:r>
          </w:p>
        </w:tc>
        <w:tc>
          <w:tcPr>
            <w:tcW w:w="1134" w:type="dxa"/>
            <w:tcBorders>
              <w:top w:val="nil"/>
              <w:bottom w:val="nil"/>
            </w:tcBorders>
          </w:tcPr>
          <w:p w:rsidR="00212513" w:rsidRDefault="00212513">
            <w:pPr>
              <w:pStyle w:val="ConsPlusNormal"/>
              <w:jc w:val="center"/>
            </w:pPr>
            <w:r>
              <w:t>68,4</w:t>
            </w:r>
          </w:p>
        </w:tc>
        <w:tc>
          <w:tcPr>
            <w:tcW w:w="1304" w:type="dxa"/>
            <w:gridSpan w:val="2"/>
            <w:tcBorders>
              <w:top w:val="nil"/>
              <w:bottom w:val="nil"/>
            </w:tcBorders>
          </w:tcPr>
          <w:p w:rsidR="00212513" w:rsidRDefault="00212513">
            <w:pPr>
              <w:pStyle w:val="ConsPlusNormal"/>
              <w:jc w:val="center"/>
            </w:pPr>
            <w:r>
              <w:t>72,5</w:t>
            </w:r>
          </w:p>
        </w:tc>
        <w:tc>
          <w:tcPr>
            <w:tcW w:w="1020" w:type="dxa"/>
            <w:tcBorders>
              <w:top w:val="nil"/>
              <w:bottom w:val="nil"/>
            </w:tcBorders>
          </w:tcPr>
          <w:p w:rsidR="00212513" w:rsidRDefault="00212513">
            <w:pPr>
              <w:pStyle w:val="ConsPlusNormal"/>
              <w:jc w:val="center"/>
            </w:pPr>
            <w:r>
              <w:t>74,5</w:t>
            </w:r>
          </w:p>
        </w:tc>
        <w:tc>
          <w:tcPr>
            <w:tcW w:w="1191" w:type="dxa"/>
            <w:tcBorders>
              <w:top w:val="nil"/>
              <w:bottom w:val="nil"/>
            </w:tcBorders>
          </w:tcPr>
          <w:p w:rsidR="00212513" w:rsidRDefault="00212513">
            <w:pPr>
              <w:pStyle w:val="ConsPlusNormal"/>
              <w:jc w:val="center"/>
            </w:pPr>
            <w:r>
              <w:t>137,3</w:t>
            </w:r>
          </w:p>
        </w:tc>
        <w:tc>
          <w:tcPr>
            <w:tcW w:w="1191" w:type="dxa"/>
            <w:tcBorders>
              <w:top w:val="nil"/>
              <w:bottom w:val="nil"/>
            </w:tcBorders>
          </w:tcPr>
          <w:p w:rsidR="00212513" w:rsidRDefault="00212513">
            <w:pPr>
              <w:pStyle w:val="ConsPlusNormal"/>
              <w:jc w:val="center"/>
            </w:pPr>
            <w:r>
              <w:t>146,4</w:t>
            </w:r>
          </w:p>
        </w:tc>
        <w:tc>
          <w:tcPr>
            <w:tcW w:w="1020" w:type="dxa"/>
            <w:tcBorders>
              <w:top w:val="nil"/>
              <w:bottom w:val="nil"/>
            </w:tcBorders>
          </w:tcPr>
          <w:p w:rsidR="00212513" w:rsidRDefault="00212513">
            <w:pPr>
              <w:pStyle w:val="ConsPlusNormal"/>
              <w:jc w:val="center"/>
            </w:pPr>
            <w:r>
              <w:t>150,9</w:t>
            </w:r>
          </w:p>
        </w:tc>
      </w:tr>
      <w:tr w:rsidR="00212513">
        <w:tblPrEx>
          <w:tblBorders>
            <w:insideH w:val="none" w:sz="0" w:space="0" w:color="auto"/>
          </w:tblBorders>
        </w:tblPrEx>
        <w:tc>
          <w:tcPr>
            <w:tcW w:w="1304" w:type="dxa"/>
            <w:tcBorders>
              <w:top w:val="nil"/>
              <w:bottom w:val="nil"/>
            </w:tcBorders>
          </w:tcPr>
          <w:p w:rsidR="00212513" w:rsidRDefault="00212513">
            <w:pPr>
              <w:pStyle w:val="ConsPlusNormal"/>
              <w:jc w:val="center"/>
            </w:pPr>
            <w:r>
              <w:t>24</w:t>
            </w:r>
          </w:p>
        </w:tc>
        <w:tc>
          <w:tcPr>
            <w:tcW w:w="1114" w:type="dxa"/>
            <w:tcBorders>
              <w:top w:val="nil"/>
              <w:bottom w:val="nil"/>
            </w:tcBorders>
          </w:tcPr>
          <w:p w:rsidR="00212513" w:rsidRDefault="00212513">
            <w:pPr>
              <w:pStyle w:val="ConsPlusNormal"/>
              <w:jc w:val="center"/>
            </w:pPr>
            <w:r>
              <w:t>37,7</w:t>
            </w:r>
          </w:p>
        </w:tc>
        <w:tc>
          <w:tcPr>
            <w:tcW w:w="1114" w:type="dxa"/>
            <w:tcBorders>
              <w:top w:val="nil"/>
              <w:bottom w:val="nil"/>
            </w:tcBorders>
          </w:tcPr>
          <w:p w:rsidR="00212513" w:rsidRDefault="00212513">
            <w:pPr>
              <w:pStyle w:val="ConsPlusNormal"/>
              <w:jc w:val="center"/>
            </w:pPr>
            <w:r>
              <w:t>38,9</w:t>
            </w:r>
          </w:p>
        </w:tc>
        <w:tc>
          <w:tcPr>
            <w:tcW w:w="1020" w:type="dxa"/>
            <w:tcBorders>
              <w:top w:val="nil"/>
              <w:bottom w:val="nil"/>
            </w:tcBorders>
          </w:tcPr>
          <w:p w:rsidR="00212513" w:rsidRDefault="00212513">
            <w:pPr>
              <w:pStyle w:val="ConsPlusNormal"/>
              <w:jc w:val="center"/>
            </w:pPr>
            <w:r>
              <w:t>39,6</w:t>
            </w:r>
          </w:p>
        </w:tc>
        <w:tc>
          <w:tcPr>
            <w:tcW w:w="1134" w:type="dxa"/>
            <w:tcBorders>
              <w:top w:val="nil"/>
              <w:bottom w:val="nil"/>
            </w:tcBorders>
          </w:tcPr>
          <w:p w:rsidR="00212513" w:rsidRDefault="00212513">
            <w:pPr>
              <w:pStyle w:val="ConsPlusNormal"/>
              <w:jc w:val="center"/>
            </w:pPr>
            <w:r>
              <w:t>53,6</w:t>
            </w:r>
          </w:p>
        </w:tc>
        <w:tc>
          <w:tcPr>
            <w:tcW w:w="1304" w:type="dxa"/>
            <w:gridSpan w:val="2"/>
            <w:tcBorders>
              <w:top w:val="nil"/>
              <w:bottom w:val="nil"/>
            </w:tcBorders>
          </w:tcPr>
          <w:p w:rsidR="00212513" w:rsidRDefault="00212513">
            <w:pPr>
              <w:pStyle w:val="ConsPlusNormal"/>
              <w:jc w:val="center"/>
            </w:pPr>
            <w:r>
              <w:t>55,9</w:t>
            </w:r>
          </w:p>
        </w:tc>
        <w:tc>
          <w:tcPr>
            <w:tcW w:w="1020" w:type="dxa"/>
            <w:tcBorders>
              <w:top w:val="nil"/>
              <w:bottom w:val="nil"/>
            </w:tcBorders>
          </w:tcPr>
          <w:p w:rsidR="00212513" w:rsidRDefault="00212513">
            <w:pPr>
              <w:pStyle w:val="ConsPlusNormal"/>
              <w:jc w:val="center"/>
            </w:pPr>
            <w:r>
              <w:t>57,1</w:t>
            </w:r>
          </w:p>
        </w:tc>
        <w:tc>
          <w:tcPr>
            <w:tcW w:w="1191" w:type="dxa"/>
            <w:tcBorders>
              <w:top w:val="nil"/>
              <w:bottom w:val="nil"/>
            </w:tcBorders>
          </w:tcPr>
          <w:p w:rsidR="00212513" w:rsidRDefault="00212513">
            <w:pPr>
              <w:pStyle w:val="ConsPlusNormal"/>
              <w:jc w:val="center"/>
            </w:pPr>
            <w:r>
              <w:t>108,1</w:t>
            </w:r>
          </w:p>
        </w:tc>
        <w:tc>
          <w:tcPr>
            <w:tcW w:w="1191" w:type="dxa"/>
            <w:tcBorders>
              <w:top w:val="nil"/>
              <w:bottom w:val="nil"/>
            </w:tcBorders>
          </w:tcPr>
          <w:p w:rsidR="00212513" w:rsidRDefault="00212513">
            <w:pPr>
              <w:pStyle w:val="ConsPlusNormal"/>
              <w:jc w:val="center"/>
            </w:pPr>
            <w:r>
              <w:t>113,2</w:t>
            </w:r>
          </w:p>
        </w:tc>
        <w:tc>
          <w:tcPr>
            <w:tcW w:w="1020" w:type="dxa"/>
            <w:tcBorders>
              <w:top w:val="nil"/>
              <w:bottom w:val="nil"/>
            </w:tcBorders>
          </w:tcPr>
          <w:p w:rsidR="00212513" w:rsidRDefault="00212513">
            <w:pPr>
              <w:pStyle w:val="ConsPlusNormal"/>
              <w:jc w:val="center"/>
            </w:pPr>
            <w:r>
              <w:t>115,7</w:t>
            </w:r>
          </w:p>
        </w:tc>
      </w:tr>
      <w:tr w:rsidR="00212513">
        <w:tblPrEx>
          <w:tblBorders>
            <w:insideH w:val="none" w:sz="0" w:space="0" w:color="auto"/>
          </w:tblBorders>
        </w:tblPrEx>
        <w:tc>
          <w:tcPr>
            <w:tcW w:w="1304" w:type="dxa"/>
            <w:tcBorders>
              <w:top w:val="nil"/>
              <w:bottom w:val="nil"/>
            </w:tcBorders>
          </w:tcPr>
          <w:p w:rsidR="00212513" w:rsidRDefault="00212513">
            <w:pPr>
              <w:pStyle w:val="ConsPlusNormal"/>
              <w:jc w:val="center"/>
            </w:pPr>
            <w:r>
              <w:t>30</w:t>
            </w:r>
          </w:p>
        </w:tc>
        <w:tc>
          <w:tcPr>
            <w:tcW w:w="1114" w:type="dxa"/>
            <w:tcBorders>
              <w:top w:val="nil"/>
              <w:bottom w:val="nil"/>
            </w:tcBorders>
          </w:tcPr>
          <w:p w:rsidR="00212513" w:rsidRDefault="00212513">
            <w:pPr>
              <w:pStyle w:val="ConsPlusNormal"/>
              <w:jc w:val="center"/>
            </w:pPr>
            <w:r>
              <w:t>30,8</w:t>
            </w:r>
          </w:p>
        </w:tc>
        <w:tc>
          <w:tcPr>
            <w:tcW w:w="1114" w:type="dxa"/>
            <w:tcBorders>
              <w:top w:val="nil"/>
              <w:bottom w:val="nil"/>
            </w:tcBorders>
          </w:tcPr>
          <w:p w:rsidR="00212513" w:rsidRDefault="00212513">
            <w:pPr>
              <w:pStyle w:val="ConsPlusNormal"/>
              <w:jc w:val="center"/>
            </w:pPr>
            <w:r>
              <w:t>31,6</w:t>
            </w:r>
          </w:p>
        </w:tc>
        <w:tc>
          <w:tcPr>
            <w:tcW w:w="1020" w:type="dxa"/>
            <w:tcBorders>
              <w:top w:val="nil"/>
              <w:bottom w:val="nil"/>
            </w:tcBorders>
          </w:tcPr>
          <w:p w:rsidR="00212513" w:rsidRDefault="00212513">
            <w:pPr>
              <w:pStyle w:val="ConsPlusNormal"/>
              <w:jc w:val="center"/>
            </w:pPr>
            <w:r>
              <w:t>32,1</w:t>
            </w:r>
          </w:p>
        </w:tc>
        <w:tc>
          <w:tcPr>
            <w:tcW w:w="1134" w:type="dxa"/>
            <w:tcBorders>
              <w:top w:val="nil"/>
              <w:bottom w:val="nil"/>
            </w:tcBorders>
          </w:tcPr>
          <w:p w:rsidR="00212513" w:rsidRDefault="00212513">
            <w:pPr>
              <w:pStyle w:val="ConsPlusNormal"/>
              <w:jc w:val="center"/>
            </w:pPr>
            <w:r>
              <w:t>44,0</w:t>
            </w:r>
          </w:p>
        </w:tc>
        <w:tc>
          <w:tcPr>
            <w:tcW w:w="1304" w:type="dxa"/>
            <w:gridSpan w:val="2"/>
            <w:tcBorders>
              <w:top w:val="nil"/>
              <w:bottom w:val="nil"/>
            </w:tcBorders>
          </w:tcPr>
          <w:p w:rsidR="00212513" w:rsidRDefault="00212513">
            <w:pPr>
              <w:pStyle w:val="ConsPlusNormal"/>
              <w:jc w:val="center"/>
            </w:pPr>
            <w:r>
              <w:t>45,4</w:t>
            </w:r>
          </w:p>
        </w:tc>
        <w:tc>
          <w:tcPr>
            <w:tcW w:w="1020" w:type="dxa"/>
            <w:tcBorders>
              <w:top w:val="nil"/>
              <w:bottom w:val="nil"/>
            </w:tcBorders>
          </w:tcPr>
          <w:p w:rsidR="00212513" w:rsidRDefault="00212513">
            <w:pPr>
              <w:pStyle w:val="ConsPlusNormal"/>
              <w:jc w:val="center"/>
            </w:pPr>
            <w:r>
              <w:t>46,2</w:t>
            </w:r>
          </w:p>
        </w:tc>
        <w:tc>
          <w:tcPr>
            <w:tcW w:w="1191" w:type="dxa"/>
            <w:tcBorders>
              <w:top w:val="nil"/>
              <w:bottom w:val="nil"/>
            </w:tcBorders>
          </w:tcPr>
          <w:p w:rsidR="00212513" w:rsidRDefault="00212513">
            <w:pPr>
              <w:pStyle w:val="ConsPlusNormal"/>
              <w:jc w:val="center"/>
            </w:pPr>
            <w:r>
              <w:t>88,9</w:t>
            </w:r>
          </w:p>
        </w:tc>
        <w:tc>
          <w:tcPr>
            <w:tcW w:w="1191" w:type="dxa"/>
            <w:tcBorders>
              <w:top w:val="nil"/>
              <w:bottom w:val="nil"/>
            </w:tcBorders>
          </w:tcPr>
          <w:p w:rsidR="00212513" w:rsidRDefault="00212513">
            <w:pPr>
              <w:pStyle w:val="ConsPlusNormal"/>
              <w:jc w:val="center"/>
            </w:pPr>
            <w:r>
              <w:t>92,2</w:t>
            </w:r>
          </w:p>
        </w:tc>
        <w:tc>
          <w:tcPr>
            <w:tcW w:w="1020" w:type="dxa"/>
            <w:tcBorders>
              <w:top w:val="nil"/>
              <w:bottom w:val="nil"/>
            </w:tcBorders>
          </w:tcPr>
          <w:p w:rsidR="00212513" w:rsidRDefault="00212513">
            <w:pPr>
              <w:pStyle w:val="ConsPlusNormal"/>
              <w:jc w:val="center"/>
            </w:pPr>
            <w:r>
              <w:t>93,8</w:t>
            </w:r>
          </w:p>
        </w:tc>
      </w:tr>
      <w:tr w:rsidR="00212513">
        <w:tblPrEx>
          <w:tblBorders>
            <w:insideH w:val="none" w:sz="0" w:space="0" w:color="auto"/>
          </w:tblBorders>
        </w:tblPrEx>
        <w:tc>
          <w:tcPr>
            <w:tcW w:w="1304" w:type="dxa"/>
            <w:tcBorders>
              <w:top w:val="nil"/>
              <w:bottom w:val="nil"/>
            </w:tcBorders>
          </w:tcPr>
          <w:p w:rsidR="00212513" w:rsidRDefault="00212513">
            <w:pPr>
              <w:pStyle w:val="ConsPlusNormal"/>
              <w:jc w:val="center"/>
            </w:pPr>
            <w:r>
              <w:t>33</w:t>
            </w:r>
          </w:p>
        </w:tc>
        <w:tc>
          <w:tcPr>
            <w:tcW w:w="1114" w:type="dxa"/>
            <w:tcBorders>
              <w:top w:val="nil"/>
              <w:bottom w:val="nil"/>
            </w:tcBorders>
          </w:tcPr>
          <w:p w:rsidR="00212513" w:rsidRDefault="00212513">
            <w:pPr>
              <w:pStyle w:val="ConsPlusNormal"/>
              <w:jc w:val="center"/>
            </w:pPr>
            <w:r>
              <w:t>28,1</w:t>
            </w:r>
          </w:p>
        </w:tc>
        <w:tc>
          <w:tcPr>
            <w:tcW w:w="1114" w:type="dxa"/>
            <w:tcBorders>
              <w:top w:val="nil"/>
              <w:bottom w:val="nil"/>
            </w:tcBorders>
          </w:tcPr>
          <w:p w:rsidR="00212513" w:rsidRDefault="00212513">
            <w:pPr>
              <w:pStyle w:val="ConsPlusNormal"/>
              <w:jc w:val="center"/>
            </w:pPr>
            <w:r>
              <w:t>28,8</w:t>
            </w:r>
          </w:p>
        </w:tc>
        <w:tc>
          <w:tcPr>
            <w:tcW w:w="1020" w:type="dxa"/>
            <w:tcBorders>
              <w:top w:val="nil"/>
              <w:bottom w:val="nil"/>
            </w:tcBorders>
          </w:tcPr>
          <w:p w:rsidR="00212513" w:rsidRDefault="00212513">
            <w:pPr>
              <w:pStyle w:val="ConsPlusNormal"/>
              <w:jc w:val="center"/>
            </w:pPr>
            <w:r>
              <w:t>29,2</w:t>
            </w:r>
          </w:p>
        </w:tc>
        <w:tc>
          <w:tcPr>
            <w:tcW w:w="1134" w:type="dxa"/>
            <w:tcBorders>
              <w:top w:val="nil"/>
              <w:bottom w:val="nil"/>
            </w:tcBorders>
          </w:tcPr>
          <w:p w:rsidR="00212513" w:rsidRDefault="00212513">
            <w:pPr>
              <w:pStyle w:val="ConsPlusNormal"/>
              <w:jc w:val="center"/>
            </w:pPr>
            <w:r>
              <w:t>40,3</w:t>
            </w:r>
          </w:p>
        </w:tc>
        <w:tc>
          <w:tcPr>
            <w:tcW w:w="1304" w:type="dxa"/>
            <w:gridSpan w:val="2"/>
            <w:tcBorders>
              <w:top w:val="nil"/>
              <w:bottom w:val="nil"/>
            </w:tcBorders>
          </w:tcPr>
          <w:p w:rsidR="00212513" w:rsidRDefault="00212513">
            <w:pPr>
              <w:pStyle w:val="ConsPlusNormal"/>
              <w:jc w:val="center"/>
            </w:pPr>
            <w:r>
              <w:t>41,6</w:t>
            </w:r>
          </w:p>
        </w:tc>
        <w:tc>
          <w:tcPr>
            <w:tcW w:w="1020" w:type="dxa"/>
            <w:tcBorders>
              <w:top w:val="nil"/>
              <w:bottom w:val="nil"/>
            </w:tcBorders>
          </w:tcPr>
          <w:p w:rsidR="00212513" w:rsidRDefault="00212513">
            <w:pPr>
              <w:pStyle w:val="ConsPlusNormal"/>
              <w:jc w:val="center"/>
            </w:pPr>
            <w:r>
              <w:t>42,2</w:t>
            </w:r>
          </w:p>
        </w:tc>
        <w:tc>
          <w:tcPr>
            <w:tcW w:w="1191" w:type="dxa"/>
            <w:tcBorders>
              <w:top w:val="nil"/>
              <w:bottom w:val="nil"/>
            </w:tcBorders>
          </w:tcPr>
          <w:p w:rsidR="00212513" w:rsidRDefault="00212513">
            <w:pPr>
              <w:pStyle w:val="ConsPlusNormal"/>
              <w:jc w:val="center"/>
            </w:pPr>
            <w:r>
              <w:t>81,7</w:t>
            </w:r>
          </w:p>
        </w:tc>
        <w:tc>
          <w:tcPr>
            <w:tcW w:w="1191" w:type="dxa"/>
            <w:tcBorders>
              <w:top w:val="nil"/>
              <w:bottom w:val="nil"/>
            </w:tcBorders>
          </w:tcPr>
          <w:p w:rsidR="00212513" w:rsidRDefault="00212513">
            <w:pPr>
              <w:pStyle w:val="ConsPlusNormal"/>
              <w:jc w:val="center"/>
            </w:pPr>
            <w:r>
              <w:t>84,3</w:t>
            </w:r>
          </w:p>
        </w:tc>
        <w:tc>
          <w:tcPr>
            <w:tcW w:w="1020" w:type="dxa"/>
            <w:tcBorders>
              <w:top w:val="nil"/>
              <w:bottom w:val="nil"/>
            </w:tcBorders>
          </w:tcPr>
          <w:p w:rsidR="00212513" w:rsidRDefault="00212513">
            <w:pPr>
              <w:pStyle w:val="ConsPlusNormal"/>
              <w:jc w:val="center"/>
            </w:pPr>
            <w:r>
              <w:t>85,7</w:t>
            </w:r>
          </w:p>
        </w:tc>
      </w:tr>
      <w:tr w:rsidR="00212513">
        <w:tblPrEx>
          <w:tblBorders>
            <w:insideH w:val="none" w:sz="0" w:space="0" w:color="auto"/>
          </w:tblBorders>
        </w:tblPrEx>
        <w:tc>
          <w:tcPr>
            <w:tcW w:w="1304" w:type="dxa"/>
            <w:tcBorders>
              <w:top w:val="nil"/>
              <w:bottom w:val="nil"/>
            </w:tcBorders>
          </w:tcPr>
          <w:p w:rsidR="00212513" w:rsidRDefault="00212513">
            <w:pPr>
              <w:pStyle w:val="ConsPlusNormal"/>
              <w:jc w:val="center"/>
            </w:pPr>
            <w:r>
              <w:t>36</w:t>
            </w:r>
          </w:p>
        </w:tc>
        <w:tc>
          <w:tcPr>
            <w:tcW w:w="1114" w:type="dxa"/>
            <w:tcBorders>
              <w:top w:val="nil"/>
              <w:bottom w:val="nil"/>
            </w:tcBorders>
          </w:tcPr>
          <w:p w:rsidR="00212513" w:rsidRDefault="00212513">
            <w:pPr>
              <w:pStyle w:val="ConsPlusNormal"/>
              <w:jc w:val="center"/>
            </w:pPr>
            <w:r>
              <w:t>26,0</w:t>
            </w:r>
          </w:p>
        </w:tc>
        <w:tc>
          <w:tcPr>
            <w:tcW w:w="1114" w:type="dxa"/>
            <w:tcBorders>
              <w:top w:val="nil"/>
              <w:bottom w:val="nil"/>
            </w:tcBorders>
          </w:tcPr>
          <w:p w:rsidR="00212513" w:rsidRDefault="00212513">
            <w:pPr>
              <w:pStyle w:val="ConsPlusNormal"/>
              <w:jc w:val="center"/>
            </w:pPr>
            <w:r>
              <w:t>26,6</w:t>
            </w:r>
          </w:p>
        </w:tc>
        <w:tc>
          <w:tcPr>
            <w:tcW w:w="1020" w:type="dxa"/>
            <w:tcBorders>
              <w:top w:val="nil"/>
              <w:bottom w:val="nil"/>
            </w:tcBorders>
          </w:tcPr>
          <w:p w:rsidR="00212513" w:rsidRDefault="00212513">
            <w:pPr>
              <w:pStyle w:val="ConsPlusNormal"/>
              <w:jc w:val="center"/>
            </w:pPr>
            <w:r>
              <w:t>26,9</w:t>
            </w:r>
          </w:p>
        </w:tc>
        <w:tc>
          <w:tcPr>
            <w:tcW w:w="1134" w:type="dxa"/>
            <w:tcBorders>
              <w:top w:val="nil"/>
              <w:bottom w:val="nil"/>
            </w:tcBorders>
          </w:tcPr>
          <w:p w:rsidR="00212513" w:rsidRDefault="00212513">
            <w:pPr>
              <w:pStyle w:val="ConsPlusNormal"/>
              <w:jc w:val="center"/>
            </w:pPr>
            <w:r>
              <w:t>37,3</w:t>
            </w:r>
          </w:p>
        </w:tc>
        <w:tc>
          <w:tcPr>
            <w:tcW w:w="1304" w:type="dxa"/>
            <w:gridSpan w:val="2"/>
            <w:tcBorders>
              <w:top w:val="nil"/>
              <w:bottom w:val="nil"/>
            </w:tcBorders>
          </w:tcPr>
          <w:p w:rsidR="00212513" w:rsidRDefault="00212513">
            <w:pPr>
              <w:pStyle w:val="ConsPlusNormal"/>
              <w:jc w:val="center"/>
            </w:pPr>
            <w:r>
              <w:t>38,2</w:t>
            </w:r>
          </w:p>
        </w:tc>
        <w:tc>
          <w:tcPr>
            <w:tcW w:w="1020" w:type="dxa"/>
            <w:tcBorders>
              <w:top w:val="nil"/>
              <w:bottom w:val="nil"/>
            </w:tcBorders>
          </w:tcPr>
          <w:p w:rsidR="00212513" w:rsidRDefault="00212513">
            <w:pPr>
              <w:pStyle w:val="ConsPlusNormal"/>
              <w:jc w:val="center"/>
            </w:pPr>
            <w:r>
              <w:t>38,8</w:t>
            </w:r>
          </w:p>
        </w:tc>
        <w:tc>
          <w:tcPr>
            <w:tcW w:w="1191" w:type="dxa"/>
            <w:tcBorders>
              <w:top w:val="nil"/>
              <w:bottom w:val="nil"/>
            </w:tcBorders>
          </w:tcPr>
          <w:p w:rsidR="00212513" w:rsidRDefault="00212513">
            <w:pPr>
              <w:pStyle w:val="ConsPlusNormal"/>
              <w:jc w:val="center"/>
            </w:pPr>
            <w:r>
              <w:t>75,4</w:t>
            </w:r>
          </w:p>
        </w:tc>
        <w:tc>
          <w:tcPr>
            <w:tcW w:w="1191" w:type="dxa"/>
            <w:tcBorders>
              <w:top w:val="nil"/>
              <w:bottom w:val="nil"/>
            </w:tcBorders>
          </w:tcPr>
          <w:p w:rsidR="00212513" w:rsidRDefault="00212513">
            <w:pPr>
              <w:pStyle w:val="ConsPlusNormal"/>
              <w:jc w:val="center"/>
            </w:pPr>
            <w:r>
              <w:t>77,8</w:t>
            </w:r>
          </w:p>
        </w:tc>
        <w:tc>
          <w:tcPr>
            <w:tcW w:w="1020" w:type="dxa"/>
            <w:tcBorders>
              <w:top w:val="nil"/>
              <w:bottom w:val="nil"/>
            </w:tcBorders>
          </w:tcPr>
          <w:p w:rsidR="00212513" w:rsidRDefault="00212513">
            <w:pPr>
              <w:pStyle w:val="ConsPlusNormal"/>
              <w:jc w:val="center"/>
            </w:pPr>
            <w:r>
              <w:t>78,8</w:t>
            </w:r>
          </w:p>
        </w:tc>
      </w:tr>
      <w:tr w:rsidR="00212513">
        <w:tblPrEx>
          <w:tblBorders>
            <w:insideH w:val="none" w:sz="0" w:space="0" w:color="auto"/>
          </w:tblBorders>
        </w:tblPrEx>
        <w:tc>
          <w:tcPr>
            <w:tcW w:w="1304" w:type="dxa"/>
            <w:tcBorders>
              <w:top w:val="nil"/>
              <w:bottom w:val="nil"/>
            </w:tcBorders>
          </w:tcPr>
          <w:p w:rsidR="00212513" w:rsidRDefault="00212513">
            <w:pPr>
              <w:pStyle w:val="ConsPlusNormal"/>
              <w:jc w:val="center"/>
            </w:pPr>
            <w:r>
              <w:lastRenderedPageBreak/>
              <w:t>48</w:t>
            </w:r>
          </w:p>
        </w:tc>
        <w:tc>
          <w:tcPr>
            <w:tcW w:w="1114" w:type="dxa"/>
            <w:tcBorders>
              <w:top w:val="nil"/>
              <w:bottom w:val="nil"/>
            </w:tcBorders>
          </w:tcPr>
          <w:p w:rsidR="00212513" w:rsidRDefault="00212513">
            <w:pPr>
              <w:pStyle w:val="ConsPlusNormal"/>
              <w:jc w:val="center"/>
            </w:pPr>
            <w:r>
              <w:t>19,8</w:t>
            </w:r>
          </w:p>
        </w:tc>
        <w:tc>
          <w:tcPr>
            <w:tcW w:w="1114" w:type="dxa"/>
            <w:tcBorders>
              <w:top w:val="nil"/>
              <w:bottom w:val="nil"/>
            </w:tcBorders>
          </w:tcPr>
          <w:p w:rsidR="00212513" w:rsidRDefault="00212513">
            <w:pPr>
              <w:pStyle w:val="ConsPlusNormal"/>
              <w:jc w:val="center"/>
            </w:pPr>
            <w:r>
              <w:t>20,2</w:t>
            </w:r>
          </w:p>
        </w:tc>
        <w:tc>
          <w:tcPr>
            <w:tcW w:w="1020" w:type="dxa"/>
            <w:tcBorders>
              <w:top w:val="nil"/>
              <w:bottom w:val="nil"/>
            </w:tcBorders>
          </w:tcPr>
          <w:p w:rsidR="00212513" w:rsidRDefault="00212513">
            <w:pPr>
              <w:pStyle w:val="ConsPlusNormal"/>
              <w:jc w:val="center"/>
            </w:pPr>
            <w:r>
              <w:t>20,3</w:t>
            </w:r>
          </w:p>
        </w:tc>
        <w:tc>
          <w:tcPr>
            <w:tcW w:w="1134" w:type="dxa"/>
            <w:tcBorders>
              <w:top w:val="nil"/>
              <w:bottom w:val="nil"/>
            </w:tcBorders>
          </w:tcPr>
          <w:p w:rsidR="00212513" w:rsidRDefault="00212513">
            <w:pPr>
              <w:pStyle w:val="ConsPlusNormal"/>
              <w:jc w:val="center"/>
            </w:pPr>
            <w:r>
              <w:t>28,5</w:t>
            </w:r>
          </w:p>
        </w:tc>
        <w:tc>
          <w:tcPr>
            <w:tcW w:w="1304" w:type="dxa"/>
            <w:gridSpan w:val="2"/>
            <w:tcBorders>
              <w:top w:val="nil"/>
              <w:bottom w:val="nil"/>
            </w:tcBorders>
          </w:tcPr>
          <w:p w:rsidR="00212513" w:rsidRDefault="00212513">
            <w:pPr>
              <w:pStyle w:val="ConsPlusNormal"/>
              <w:jc w:val="center"/>
            </w:pPr>
            <w:r>
              <w:t>29,1</w:t>
            </w:r>
          </w:p>
        </w:tc>
        <w:tc>
          <w:tcPr>
            <w:tcW w:w="1020" w:type="dxa"/>
            <w:tcBorders>
              <w:top w:val="nil"/>
              <w:bottom w:val="nil"/>
            </w:tcBorders>
          </w:tcPr>
          <w:p w:rsidR="00212513" w:rsidRDefault="00212513">
            <w:pPr>
              <w:pStyle w:val="ConsPlusNormal"/>
              <w:jc w:val="center"/>
            </w:pPr>
            <w:r>
              <w:t>29,4</w:t>
            </w:r>
          </w:p>
        </w:tc>
        <w:tc>
          <w:tcPr>
            <w:tcW w:w="1191" w:type="dxa"/>
            <w:tcBorders>
              <w:top w:val="nil"/>
              <w:bottom w:val="nil"/>
            </w:tcBorders>
          </w:tcPr>
          <w:p w:rsidR="00212513" w:rsidRDefault="00212513">
            <w:pPr>
              <w:pStyle w:val="ConsPlusNormal"/>
              <w:jc w:val="center"/>
            </w:pPr>
            <w:r>
              <w:t>57,9</w:t>
            </w:r>
          </w:p>
        </w:tc>
        <w:tc>
          <w:tcPr>
            <w:tcW w:w="1191" w:type="dxa"/>
            <w:tcBorders>
              <w:top w:val="nil"/>
              <w:bottom w:val="nil"/>
            </w:tcBorders>
          </w:tcPr>
          <w:p w:rsidR="00212513" w:rsidRDefault="00212513">
            <w:pPr>
              <w:pStyle w:val="ConsPlusNormal"/>
              <w:jc w:val="center"/>
            </w:pPr>
            <w:r>
              <w:t>59,1</w:t>
            </w:r>
          </w:p>
        </w:tc>
        <w:tc>
          <w:tcPr>
            <w:tcW w:w="1020" w:type="dxa"/>
            <w:tcBorders>
              <w:top w:val="nil"/>
              <w:bottom w:val="nil"/>
            </w:tcBorders>
          </w:tcPr>
          <w:p w:rsidR="00212513" w:rsidRDefault="00212513">
            <w:pPr>
              <w:pStyle w:val="ConsPlusNormal"/>
              <w:jc w:val="center"/>
            </w:pPr>
            <w:r>
              <w:t>59,8</w:t>
            </w:r>
          </w:p>
        </w:tc>
      </w:tr>
      <w:tr w:rsidR="00212513">
        <w:tblPrEx>
          <w:tblBorders>
            <w:insideH w:val="none" w:sz="0" w:space="0" w:color="auto"/>
          </w:tblBorders>
        </w:tblPrEx>
        <w:tc>
          <w:tcPr>
            <w:tcW w:w="1304" w:type="dxa"/>
            <w:tcBorders>
              <w:top w:val="nil"/>
              <w:bottom w:val="single" w:sz="4" w:space="0" w:color="auto"/>
            </w:tcBorders>
          </w:tcPr>
          <w:p w:rsidR="00212513" w:rsidRDefault="00212513">
            <w:pPr>
              <w:pStyle w:val="ConsPlusNormal"/>
              <w:jc w:val="center"/>
            </w:pPr>
            <w:r>
              <w:t>66</w:t>
            </w:r>
          </w:p>
        </w:tc>
        <w:tc>
          <w:tcPr>
            <w:tcW w:w="1114" w:type="dxa"/>
            <w:tcBorders>
              <w:top w:val="nil"/>
              <w:bottom w:val="single" w:sz="4" w:space="0" w:color="auto"/>
            </w:tcBorders>
          </w:tcPr>
          <w:p w:rsidR="00212513" w:rsidRDefault="00212513">
            <w:pPr>
              <w:pStyle w:val="ConsPlusNormal"/>
              <w:jc w:val="center"/>
            </w:pPr>
            <w:r>
              <w:t>14,6</w:t>
            </w:r>
          </w:p>
        </w:tc>
        <w:tc>
          <w:tcPr>
            <w:tcW w:w="1114" w:type="dxa"/>
            <w:tcBorders>
              <w:top w:val="nil"/>
              <w:bottom w:val="single" w:sz="4" w:space="0" w:color="auto"/>
            </w:tcBorders>
          </w:tcPr>
          <w:p w:rsidR="00212513" w:rsidRDefault="00212513">
            <w:pPr>
              <w:pStyle w:val="ConsPlusNormal"/>
              <w:jc w:val="center"/>
            </w:pPr>
            <w:r>
              <w:t>14,8</w:t>
            </w:r>
          </w:p>
        </w:tc>
        <w:tc>
          <w:tcPr>
            <w:tcW w:w="1020" w:type="dxa"/>
            <w:tcBorders>
              <w:top w:val="nil"/>
              <w:bottom w:val="single" w:sz="4" w:space="0" w:color="auto"/>
            </w:tcBorders>
          </w:tcPr>
          <w:p w:rsidR="00212513" w:rsidRDefault="00212513">
            <w:pPr>
              <w:pStyle w:val="ConsPlusNormal"/>
              <w:jc w:val="center"/>
            </w:pPr>
            <w:r>
              <w:t>14,9</w:t>
            </w:r>
          </w:p>
        </w:tc>
        <w:tc>
          <w:tcPr>
            <w:tcW w:w="1134" w:type="dxa"/>
            <w:tcBorders>
              <w:top w:val="nil"/>
              <w:bottom w:val="single" w:sz="4" w:space="0" w:color="auto"/>
            </w:tcBorders>
          </w:tcPr>
          <w:p w:rsidR="00212513" w:rsidRDefault="00212513">
            <w:pPr>
              <w:pStyle w:val="ConsPlusNormal"/>
              <w:jc w:val="center"/>
            </w:pPr>
            <w:r>
              <w:t>21,1</w:t>
            </w:r>
          </w:p>
        </w:tc>
        <w:tc>
          <w:tcPr>
            <w:tcW w:w="1304" w:type="dxa"/>
            <w:gridSpan w:val="2"/>
            <w:tcBorders>
              <w:top w:val="nil"/>
              <w:bottom w:val="single" w:sz="4" w:space="0" w:color="auto"/>
            </w:tcBorders>
          </w:tcPr>
          <w:p w:rsidR="00212513" w:rsidRDefault="00212513">
            <w:pPr>
              <w:pStyle w:val="ConsPlusNormal"/>
              <w:jc w:val="center"/>
            </w:pPr>
            <w:r>
              <w:t>21,4</w:t>
            </w:r>
          </w:p>
        </w:tc>
        <w:tc>
          <w:tcPr>
            <w:tcW w:w="1020" w:type="dxa"/>
            <w:tcBorders>
              <w:top w:val="nil"/>
              <w:bottom w:val="single" w:sz="4" w:space="0" w:color="auto"/>
            </w:tcBorders>
          </w:tcPr>
          <w:p w:rsidR="00212513" w:rsidRDefault="00212513">
            <w:pPr>
              <w:pStyle w:val="ConsPlusNormal"/>
              <w:jc w:val="center"/>
            </w:pPr>
            <w:r>
              <w:t>21,6</w:t>
            </w:r>
          </w:p>
        </w:tc>
        <w:tc>
          <w:tcPr>
            <w:tcW w:w="1191" w:type="dxa"/>
            <w:tcBorders>
              <w:top w:val="nil"/>
              <w:bottom w:val="single" w:sz="4" w:space="0" w:color="auto"/>
            </w:tcBorders>
          </w:tcPr>
          <w:p w:rsidR="00212513" w:rsidRDefault="00212513">
            <w:pPr>
              <w:pStyle w:val="ConsPlusNormal"/>
              <w:jc w:val="center"/>
            </w:pPr>
            <w:r>
              <w:t>42,9</w:t>
            </w:r>
          </w:p>
        </w:tc>
        <w:tc>
          <w:tcPr>
            <w:tcW w:w="1191" w:type="dxa"/>
            <w:tcBorders>
              <w:top w:val="nil"/>
              <w:bottom w:val="single" w:sz="4" w:space="0" w:color="auto"/>
            </w:tcBorders>
          </w:tcPr>
          <w:p w:rsidR="00212513" w:rsidRDefault="00212513">
            <w:pPr>
              <w:pStyle w:val="ConsPlusNormal"/>
              <w:jc w:val="center"/>
            </w:pPr>
            <w:r>
              <w:t>43,5</w:t>
            </w:r>
          </w:p>
        </w:tc>
        <w:tc>
          <w:tcPr>
            <w:tcW w:w="1020" w:type="dxa"/>
            <w:tcBorders>
              <w:top w:val="nil"/>
              <w:bottom w:val="single" w:sz="4" w:space="0" w:color="auto"/>
            </w:tcBorders>
          </w:tcPr>
          <w:p w:rsidR="00212513" w:rsidRDefault="00212513">
            <w:pPr>
              <w:pStyle w:val="ConsPlusNormal"/>
              <w:jc w:val="center"/>
            </w:pPr>
            <w:r>
              <w:t>43,8</w:t>
            </w:r>
          </w:p>
        </w:tc>
      </w:tr>
      <w:tr w:rsidR="00212513">
        <w:tc>
          <w:tcPr>
            <w:tcW w:w="11412" w:type="dxa"/>
            <w:gridSpan w:val="11"/>
            <w:tcBorders>
              <w:top w:val="single" w:sz="4" w:space="0" w:color="auto"/>
              <w:bottom w:val="single" w:sz="4" w:space="0" w:color="auto"/>
            </w:tcBorders>
          </w:tcPr>
          <w:p w:rsidR="00212513" w:rsidRDefault="00212513">
            <w:pPr>
              <w:pStyle w:val="ConsPlusNormal"/>
              <w:jc w:val="center"/>
            </w:pPr>
            <w:r>
              <w:rPr>
                <w:b/>
              </w:rPr>
              <w:t>Б. Колонна стоящих автомобилей</w:t>
            </w:r>
          </w:p>
        </w:tc>
      </w:tr>
      <w:tr w:rsidR="00212513">
        <w:tblPrEx>
          <w:tblBorders>
            <w:insideH w:val="none" w:sz="0" w:space="0" w:color="auto"/>
          </w:tblBorders>
        </w:tblPrEx>
        <w:tc>
          <w:tcPr>
            <w:tcW w:w="1304" w:type="dxa"/>
            <w:tcBorders>
              <w:top w:val="single" w:sz="4" w:space="0" w:color="auto"/>
              <w:bottom w:val="nil"/>
            </w:tcBorders>
          </w:tcPr>
          <w:p w:rsidR="00212513" w:rsidRDefault="00212513">
            <w:pPr>
              <w:pStyle w:val="ConsPlusNormal"/>
              <w:jc w:val="center"/>
            </w:pPr>
            <w:r>
              <w:t>10</w:t>
            </w:r>
          </w:p>
        </w:tc>
        <w:tc>
          <w:tcPr>
            <w:tcW w:w="1114" w:type="dxa"/>
            <w:tcBorders>
              <w:top w:val="single" w:sz="4" w:space="0" w:color="auto"/>
              <w:bottom w:val="nil"/>
            </w:tcBorders>
          </w:tcPr>
          <w:p w:rsidR="00212513" w:rsidRDefault="00212513">
            <w:pPr>
              <w:pStyle w:val="ConsPlusNormal"/>
              <w:jc w:val="center"/>
            </w:pPr>
            <w:r>
              <w:t>76,7</w:t>
            </w:r>
          </w:p>
        </w:tc>
        <w:tc>
          <w:tcPr>
            <w:tcW w:w="1114" w:type="dxa"/>
            <w:tcBorders>
              <w:top w:val="single" w:sz="4" w:space="0" w:color="auto"/>
              <w:bottom w:val="nil"/>
            </w:tcBorders>
          </w:tcPr>
          <w:p w:rsidR="00212513" w:rsidRDefault="00212513">
            <w:pPr>
              <w:pStyle w:val="ConsPlusNormal"/>
              <w:jc w:val="center"/>
            </w:pPr>
            <w:r>
              <w:t>84,4</w:t>
            </w:r>
          </w:p>
        </w:tc>
        <w:tc>
          <w:tcPr>
            <w:tcW w:w="1020" w:type="dxa"/>
            <w:tcBorders>
              <w:top w:val="single" w:sz="4" w:space="0" w:color="auto"/>
              <w:bottom w:val="nil"/>
            </w:tcBorders>
          </w:tcPr>
          <w:p w:rsidR="00212513" w:rsidRDefault="00212513">
            <w:pPr>
              <w:pStyle w:val="ConsPlusNormal"/>
              <w:jc w:val="center"/>
            </w:pPr>
            <w:r>
              <w:t>88,4</w:t>
            </w:r>
          </w:p>
        </w:tc>
        <w:tc>
          <w:tcPr>
            <w:tcW w:w="1474" w:type="dxa"/>
            <w:gridSpan w:val="2"/>
            <w:tcBorders>
              <w:top w:val="single" w:sz="4" w:space="0" w:color="auto"/>
              <w:bottom w:val="nil"/>
            </w:tcBorders>
          </w:tcPr>
          <w:p w:rsidR="00212513" w:rsidRDefault="00212513">
            <w:pPr>
              <w:pStyle w:val="ConsPlusNormal"/>
              <w:jc w:val="center"/>
            </w:pPr>
            <w:r>
              <w:t>105,6</w:t>
            </w:r>
          </w:p>
        </w:tc>
        <w:tc>
          <w:tcPr>
            <w:tcW w:w="964" w:type="dxa"/>
            <w:tcBorders>
              <w:top w:val="single" w:sz="4" w:space="0" w:color="auto"/>
              <w:bottom w:val="nil"/>
            </w:tcBorders>
          </w:tcPr>
          <w:p w:rsidR="00212513" w:rsidRDefault="00212513">
            <w:pPr>
              <w:pStyle w:val="ConsPlusNormal"/>
              <w:jc w:val="center"/>
            </w:pPr>
            <w:r>
              <w:t>118,8</w:t>
            </w:r>
          </w:p>
        </w:tc>
        <w:tc>
          <w:tcPr>
            <w:tcW w:w="1020" w:type="dxa"/>
            <w:tcBorders>
              <w:top w:val="single" w:sz="4" w:space="0" w:color="auto"/>
              <w:bottom w:val="nil"/>
            </w:tcBorders>
          </w:tcPr>
          <w:p w:rsidR="00212513" w:rsidRDefault="00212513">
            <w:pPr>
              <w:pStyle w:val="ConsPlusNormal"/>
              <w:jc w:val="center"/>
            </w:pPr>
            <w:r>
              <w:t>125,3</w:t>
            </w:r>
          </w:p>
        </w:tc>
        <w:tc>
          <w:tcPr>
            <w:tcW w:w="1191" w:type="dxa"/>
            <w:tcBorders>
              <w:top w:val="single" w:sz="4" w:space="0" w:color="auto"/>
              <w:bottom w:val="nil"/>
            </w:tcBorders>
          </w:tcPr>
          <w:p w:rsidR="00212513" w:rsidRDefault="00212513">
            <w:pPr>
              <w:pStyle w:val="ConsPlusNormal"/>
              <w:jc w:val="center"/>
            </w:pPr>
            <w:r>
              <w:t>207,9</w:t>
            </w:r>
          </w:p>
        </w:tc>
        <w:tc>
          <w:tcPr>
            <w:tcW w:w="1191" w:type="dxa"/>
            <w:tcBorders>
              <w:top w:val="single" w:sz="4" w:space="0" w:color="auto"/>
              <w:bottom w:val="nil"/>
            </w:tcBorders>
          </w:tcPr>
          <w:p w:rsidR="00212513" w:rsidRDefault="00212513">
            <w:pPr>
              <w:pStyle w:val="ConsPlusNormal"/>
              <w:jc w:val="center"/>
            </w:pPr>
            <w:r>
              <w:t>237,3</w:t>
            </w:r>
          </w:p>
        </w:tc>
        <w:tc>
          <w:tcPr>
            <w:tcW w:w="1020" w:type="dxa"/>
            <w:tcBorders>
              <w:top w:val="single" w:sz="4" w:space="0" w:color="auto"/>
              <w:bottom w:val="nil"/>
            </w:tcBorders>
          </w:tcPr>
          <w:p w:rsidR="00212513" w:rsidRDefault="00212513">
            <w:pPr>
              <w:pStyle w:val="ConsPlusNormal"/>
              <w:jc w:val="center"/>
            </w:pPr>
            <w:r>
              <w:t>252,0</w:t>
            </w:r>
          </w:p>
        </w:tc>
      </w:tr>
      <w:tr w:rsidR="00212513">
        <w:tblPrEx>
          <w:tblBorders>
            <w:insideH w:val="none" w:sz="0" w:space="0" w:color="auto"/>
          </w:tblBorders>
        </w:tblPrEx>
        <w:tc>
          <w:tcPr>
            <w:tcW w:w="1304" w:type="dxa"/>
            <w:tcBorders>
              <w:top w:val="nil"/>
              <w:bottom w:val="nil"/>
            </w:tcBorders>
          </w:tcPr>
          <w:p w:rsidR="00212513" w:rsidRDefault="00212513">
            <w:pPr>
              <w:pStyle w:val="ConsPlusNormal"/>
              <w:jc w:val="center"/>
            </w:pPr>
            <w:r>
              <w:t>12</w:t>
            </w:r>
          </w:p>
        </w:tc>
        <w:tc>
          <w:tcPr>
            <w:tcW w:w="1114" w:type="dxa"/>
            <w:tcBorders>
              <w:top w:val="nil"/>
              <w:bottom w:val="nil"/>
            </w:tcBorders>
          </w:tcPr>
          <w:p w:rsidR="00212513" w:rsidRDefault="00212513">
            <w:pPr>
              <w:pStyle w:val="ConsPlusNormal"/>
              <w:jc w:val="center"/>
            </w:pPr>
            <w:r>
              <w:t>67,2</w:t>
            </w:r>
          </w:p>
        </w:tc>
        <w:tc>
          <w:tcPr>
            <w:tcW w:w="1114" w:type="dxa"/>
            <w:tcBorders>
              <w:top w:val="nil"/>
              <w:bottom w:val="nil"/>
            </w:tcBorders>
          </w:tcPr>
          <w:p w:rsidR="00212513" w:rsidRDefault="00212513">
            <w:pPr>
              <w:pStyle w:val="ConsPlusNormal"/>
              <w:jc w:val="center"/>
            </w:pPr>
            <w:r>
              <w:t>72,6</w:t>
            </w:r>
          </w:p>
        </w:tc>
        <w:tc>
          <w:tcPr>
            <w:tcW w:w="1020" w:type="dxa"/>
            <w:tcBorders>
              <w:top w:val="nil"/>
              <w:bottom w:val="nil"/>
            </w:tcBorders>
          </w:tcPr>
          <w:p w:rsidR="00212513" w:rsidRDefault="00212513">
            <w:pPr>
              <w:pStyle w:val="ConsPlusNormal"/>
              <w:jc w:val="center"/>
            </w:pPr>
            <w:r>
              <w:t>77,6</w:t>
            </w:r>
          </w:p>
        </w:tc>
        <w:tc>
          <w:tcPr>
            <w:tcW w:w="1474" w:type="dxa"/>
            <w:gridSpan w:val="2"/>
            <w:tcBorders>
              <w:top w:val="nil"/>
              <w:bottom w:val="nil"/>
            </w:tcBorders>
          </w:tcPr>
          <w:p w:rsidR="00212513" w:rsidRDefault="00212513">
            <w:pPr>
              <w:pStyle w:val="ConsPlusNormal"/>
              <w:jc w:val="center"/>
            </w:pPr>
            <w:r>
              <w:t>93,5</w:t>
            </w:r>
          </w:p>
        </w:tc>
        <w:tc>
          <w:tcPr>
            <w:tcW w:w="964" w:type="dxa"/>
            <w:tcBorders>
              <w:top w:val="nil"/>
              <w:bottom w:val="nil"/>
            </w:tcBorders>
          </w:tcPr>
          <w:p w:rsidR="00212513" w:rsidRDefault="00212513">
            <w:pPr>
              <w:pStyle w:val="ConsPlusNormal"/>
              <w:jc w:val="center"/>
            </w:pPr>
            <w:r>
              <w:t>102,7</w:t>
            </w:r>
          </w:p>
        </w:tc>
        <w:tc>
          <w:tcPr>
            <w:tcW w:w="1020" w:type="dxa"/>
            <w:tcBorders>
              <w:top w:val="nil"/>
              <w:bottom w:val="nil"/>
            </w:tcBorders>
          </w:tcPr>
          <w:p w:rsidR="00212513" w:rsidRDefault="00212513">
            <w:pPr>
              <w:pStyle w:val="ConsPlusNormal"/>
              <w:jc w:val="center"/>
            </w:pPr>
            <w:r>
              <w:t>107,2</w:t>
            </w:r>
          </w:p>
        </w:tc>
        <w:tc>
          <w:tcPr>
            <w:tcW w:w="1191" w:type="dxa"/>
            <w:tcBorders>
              <w:top w:val="nil"/>
              <w:bottom w:val="nil"/>
            </w:tcBorders>
          </w:tcPr>
          <w:p w:rsidR="00212513" w:rsidRDefault="00212513">
            <w:pPr>
              <w:pStyle w:val="ConsPlusNormal"/>
              <w:jc w:val="center"/>
            </w:pPr>
            <w:r>
              <w:t>185,5</w:t>
            </w:r>
          </w:p>
        </w:tc>
        <w:tc>
          <w:tcPr>
            <w:tcW w:w="1191" w:type="dxa"/>
            <w:tcBorders>
              <w:top w:val="nil"/>
              <w:bottom w:val="nil"/>
            </w:tcBorders>
          </w:tcPr>
          <w:p w:rsidR="00212513" w:rsidRDefault="00212513">
            <w:pPr>
              <w:pStyle w:val="ConsPlusNormal"/>
              <w:jc w:val="center"/>
            </w:pPr>
            <w:r>
              <w:t>205,9</w:t>
            </w:r>
          </w:p>
        </w:tc>
        <w:tc>
          <w:tcPr>
            <w:tcW w:w="1020" w:type="dxa"/>
            <w:tcBorders>
              <w:top w:val="nil"/>
              <w:bottom w:val="nil"/>
            </w:tcBorders>
          </w:tcPr>
          <w:p w:rsidR="00212513" w:rsidRDefault="00212513">
            <w:pPr>
              <w:pStyle w:val="ConsPlusNormal"/>
              <w:jc w:val="center"/>
            </w:pPr>
            <w:r>
              <w:t>216,1</w:t>
            </w:r>
          </w:p>
        </w:tc>
      </w:tr>
      <w:tr w:rsidR="00212513">
        <w:tblPrEx>
          <w:tblBorders>
            <w:insideH w:val="none" w:sz="0" w:space="0" w:color="auto"/>
          </w:tblBorders>
        </w:tblPrEx>
        <w:tc>
          <w:tcPr>
            <w:tcW w:w="1304" w:type="dxa"/>
            <w:tcBorders>
              <w:top w:val="nil"/>
              <w:bottom w:val="nil"/>
            </w:tcBorders>
          </w:tcPr>
          <w:p w:rsidR="00212513" w:rsidRDefault="00212513">
            <w:pPr>
              <w:pStyle w:val="ConsPlusNormal"/>
              <w:jc w:val="center"/>
            </w:pPr>
            <w:r>
              <w:t>15</w:t>
            </w:r>
          </w:p>
        </w:tc>
        <w:tc>
          <w:tcPr>
            <w:tcW w:w="1114" w:type="dxa"/>
            <w:tcBorders>
              <w:top w:val="nil"/>
              <w:bottom w:val="nil"/>
            </w:tcBorders>
          </w:tcPr>
          <w:p w:rsidR="00212513" w:rsidRDefault="00212513">
            <w:pPr>
              <w:pStyle w:val="ConsPlusNormal"/>
              <w:jc w:val="center"/>
            </w:pPr>
            <w:r>
              <w:t>56,3</w:t>
            </w:r>
          </w:p>
        </w:tc>
        <w:tc>
          <w:tcPr>
            <w:tcW w:w="1114" w:type="dxa"/>
            <w:tcBorders>
              <w:top w:val="nil"/>
              <w:bottom w:val="nil"/>
            </w:tcBorders>
          </w:tcPr>
          <w:p w:rsidR="00212513" w:rsidRDefault="00212513">
            <w:pPr>
              <w:pStyle w:val="ConsPlusNormal"/>
              <w:jc w:val="center"/>
            </w:pPr>
            <w:r>
              <w:t>59,7</w:t>
            </w:r>
          </w:p>
        </w:tc>
        <w:tc>
          <w:tcPr>
            <w:tcW w:w="1020" w:type="dxa"/>
            <w:tcBorders>
              <w:top w:val="nil"/>
              <w:bottom w:val="nil"/>
            </w:tcBorders>
          </w:tcPr>
          <w:p w:rsidR="00212513" w:rsidRDefault="00212513">
            <w:pPr>
              <w:pStyle w:val="ConsPlusNormal"/>
              <w:jc w:val="center"/>
            </w:pPr>
            <w:r>
              <w:t>71,9</w:t>
            </w:r>
          </w:p>
        </w:tc>
        <w:tc>
          <w:tcPr>
            <w:tcW w:w="1474" w:type="dxa"/>
            <w:gridSpan w:val="2"/>
            <w:tcBorders>
              <w:top w:val="nil"/>
              <w:bottom w:val="nil"/>
            </w:tcBorders>
          </w:tcPr>
          <w:p w:rsidR="00212513" w:rsidRDefault="00212513">
            <w:pPr>
              <w:pStyle w:val="ConsPlusNormal"/>
              <w:jc w:val="center"/>
            </w:pPr>
            <w:r>
              <w:t>79,2</w:t>
            </w:r>
          </w:p>
        </w:tc>
        <w:tc>
          <w:tcPr>
            <w:tcW w:w="964" w:type="dxa"/>
            <w:tcBorders>
              <w:top w:val="nil"/>
              <w:bottom w:val="nil"/>
            </w:tcBorders>
          </w:tcPr>
          <w:p w:rsidR="00212513" w:rsidRDefault="00212513">
            <w:pPr>
              <w:pStyle w:val="ConsPlusNormal"/>
              <w:jc w:val="center"/>
            </w:pPr>
            <w:r>
              <w:t>85,0</w:t>
            </w:r>
          </w:p>
        </w:tc>
        <w:tc>
          <w:tcPr>
            <w:tcW w:w="1020" w:type="dxa"/>
            <w:tcBorders>
              <w:top w:val="nil"/>
              <w:bottom w:val="nil"/>
            </w:tcBorders>
          </w:tcPr>
          <w:p w:rsidR="00212513" w:rsidRDefault="00212513">
            <w:pPr>
              <w:pStyle w:val="ConsPlusNormal"/>
              <w:jc w:val="center"/>
            </w:pPr>
            <w:r>
              <w:t>100,2</w:t>
            </w:r>
          </w:p>
        </w:tc>
        <w:tc>
          <w:tcPr>
            <w:tcW w:w="1191" w:type="dxa"/>
            <w:tcBorders>
              <w:top w:val="nil"/>
              <w:bottom w:val="nil"/>
            </w:tcBorders>
          </w:tcPr>
          <w:p w:rsidR="00212513" w:rsidRDefault="00212513">
            <w:pPr>
              <w:pStyle w:val="ConsPlusNormal"/>
              <w:jc w:val="center"/>
            </w:pPr>
            <w:r>
              <w:t>158,2</w:t>
            </w:r>
          </w:p>
        </w:tc>
        <w:tc>
          <w:tcPr>
            <w:tcW w:w="1191" w:type="dxa"/>
            <w:tcBorders>
              <w:top w:val="nil"/>
              <w:bottom w:val="nil"/>
            </w:tcBorders>
          </w:tcPr>
          <w:p w:rsidR="00212513" w:rsidRDefault="00212513">
            <w:pPr>
              <w:pStyle w:val="ConsPlusNormal"/>
              <w:jc w:val="center"/>
            </w:pPr>
            <w:r>
              <w:t>171,3</w:t>
            </w:r>
          </w:p>
        </w:tc>
        <w:tc>
          <w:tcPr>
            <w:tcW w:w="1020" w:type="dxa"/>
            <w:tcBorders>
              <w:top w:val="nil"/>
              <w:bottom w:val="nil"/>
            </w:tcBorders>
          </w:tcPr>
          <w:p w:rsidR="00212513" w:rsidRDefault="00212513">
            <w:pPr>
              <w:pStyle w:val="ConsPlusNormal"/>
              <w:jc w:val="center"/>
            </w:pPr>
            <w:r>
              <w:t>182,2</w:t>
            </w:r>
          </w:p>
        </w:tc>
      </w:tr>
      <w:tr w:rsidR="00212513">
        <w:tblPrEx>
          <w:tblBorders>
            <w:insideH w:val="none" w:sz="0" w:space="0" w:color="auto"/>
          </w:tblBorders>
        </w:tblPrEx>
        <w:tc>
          <w:tcPr>
            <w:tcW w:w="1304" w:type="dxa"/>
            <w:tcBorders>
              <w:top w:val="nil"/>
              <w:bottom w:val="nil"/>
            </w:tcBorders>
          </w:tcPr>
          <w:p w:rsidR="00212513" w:rsidRDefault="00212513">
            <w:pPr>
              <w:pStyle w:val="ConsPlusNormal"/>
              <w:jc w:val="center"/>
            </w:pPr>
            <w:r>
              <w:t>18</w:t>
            </w:r>
          </w:p>
        </w:tc>
        <w:tc>
          <w:tcPr>
            <w:tcW w:w="1114" w:type="dxa"/>
            <w:tcBorders>
              <w:top w:val="nil"/>
              <w:bottom w:val="nil"/>
            </w:tcBorders>
          </w:tcPr>
          <w:p w:rsidR="00212513" w:rsidRDefault="00212513">
            <w:pPr>
              <w:pStyle w:val="ConsPlusNormal"/>
              <w:jc w:val="center"/>
            </w:pPr>
            <w:r>
              <w:t>50,4</w:t>
            </w:r>
          </w:p>
        </w:tc>
        <w:tc>
          <w:tcPr>
            <w:tcW w:w="1114" w:type="dxa"/>
            <w:tcBorders>
              <w:top w:val="nil"/>
              <w:bottom w:val="nil"/>
            </w:tcBorders>
          </w:tcPr>
          <w:p w:rsidR="00212513" w:rsidRDefault="00212513">
            <w:pPr>
              <w:pStyle w:val="ConsPlusNormal"/>
              <w:jc w:val="center"/>
            </w:pPr>
            <w:r>
              <w:t>56,3</w:t>
            </w:r>
          </w:p>
        </w:tc>
        <w:tc>
          <w:tcPr>
            <w:tcW w:w="1020" w:type="dxa"/>
            <w:tcBorders>
              <w:top w:val="nil"/>
              <w:bottom w:val="nil"/>
            </w:tcBorders>
          </w:tcPr>
          <w:p w:rsidR="00212513" w:rsidRDefault="00212513">
            <w:pPr>
              <w:pStyle w:val="ConsPlusNormal"/>
              <w:jc w:val="center"/>
            </w:pPr>
            <w:r>
              <w:t>68,5</w:t>
            </w:r>
          </w:p>
        </w:tc>
        <w:tc>
          <w:tcPr>
            <w:tcW w:w="1474" w:type="dxa"/>
            <w:gridSpan w:val="2"/>
            <w:tcBorders>
              <w:top w:val="nil"/>
              <w:bottom w:val="nil"/>
            </w:tcBorders>
          </w:tcPr>
          <w:p w:rsidR="00212513" w:rsidRDefault="00212513">
            <w:pPr>
              <w:pStyle w:val="ConsPlusNormal"/>
              <w:jc w:val="center"/>
            </w:pPr>
            <w:r>
              <w:t>71,3</w:t>
            </w:r>
          </w:p>
        </w:tc>
        <w:tc>
          <w:tcPr>
            <w:tcW w:w="964" w:type="dxa"/>
            <w:tcBorders>
              <w:top w:val="nil"/>
              <w:bottom w:val="nil"/>
            </w:tcBorders>
          </w:tcPr>
          <w:p w:rsidR="00212513" w:rsidRDefault="00212513">
            <w:pPr>
              <w:pStyle w:val="ConsPlusNormal"/>
              <w:jc w:val="center"/>
            </w:pPr>
            <w:r>
              <w:t>77,8</w:t>
            </w:r>
          </w:p>
        </w:tc>
        <w:tc>
          <w:tcPr>
            <w:tcW w:w="1020" w:type="dxa"/>
            <w:tcBorders>
              <w:top w:val="nil"/>
              <w:bottom w:val="nil"/>
            </w:tcBorders>
          </w:tcPr>
          <w:p w:rsidR="00212513" w:rsidRDefault="00212513">
            <w:pPr>
              <w:pStyle w:val="ConsPlusNormal"/>
              <w:jc w:val="center"/>
            </w:pPr>
            <w:r>
              <w:t>94,4</w:t>
            </w:r>
          </w:p>
        </w:tc>
        <w:tc>
          <w:tcPr>
            <w:tcW w:w="1191" w:type="dxa"/>
            <w:tcBorders>
              <w:top w:val="nil"/>
              <w:bottom w:val="nil"/>
            </w:tcBorders>
          </w:tcPr>
          <w:p w:rsidR="00212513" w:rsidRDefault="00212513">
            <w:pPr>
              <w:pStyle w:val="ConsPlusNormal"/>
              <w:jc w:val="center"/>
            </w:pPr>
            <w:r>
              <w:t>137,3</w:t>
            </w:r>
          </w:p>
        </w:tc>
        <w:tc>
          <w:tcPr>
            <w:tcW w:w="1191" w:type="dxa"/>
            <w:tcBorders>
              <w:top w:val="nil"/>
              <w:bottom w:val="nil"/>
            </w:tcBorders>
          </w:tcPr>
          <w:p w:rsidR="00212513" w:rsidRDefault="00212513">
            <w:pPr>
              <w:pStyle w:val="ConsPlusNormal"/>
              <w:jc w:val="center"/>
            </w:pPr>
            <w:r>
              <w:t>146,4</w:t>
            </w:r>
          </w:p>
        </w:tc>
        <w:tc>
          <w:tcPr>
            <w:tcW w:w="1020" w:type="dxa"/>
            <w:tcBorders>
              <w:top w:val="nil"/>
              <w:bottom w:val="nil"/>
            </w:tcBorders>
          </w:tcPr>
          <w:p w:rsidR="00212513" w:rsidRDefault="00212513">
            <w:pPr>
              <w:pStyle w:val="ConsPlusNormal"/>
              <w:jc w:val="center"/>
            </w:pPr>
            <w:r>
              <w:t>172,3</w:t>
            </w:r>
          </w:p>
        </w:tc>
      </w:tr>
      <w:tr w:rsidR="00212513">
        <w:tblPrEx>
          <w:tblBorders>
            <w:insideH w:val="none" w:sz="0" w:space="0" w:color="auto"/>
          </w:tblBorders>
        </w:tblPrEx>
        <w:tc>
          <w:tcPr>
            <w:tcW w:w="1304" w:type="dxa"/>
            <w:tcBorders>
              <w:top w:val="nil"/>
              <w:bottom w:val="nil"/>
            </w:tcBorders>
          </w:tcPr>
          <w:p w:rsidR="00212513" w:rsidRDefault="00212513">
            <w:pPr>
              <w:pStyle w:val="ConsPlusNormal"/>
              <w:jc w:val="center"/>
            </w:pPr>
            <w:r>
              <w:t>24</w:t>
            </w:r>
          </w:p>
        </w:tc>
        <w:tc>
          <w:tcPr>
            <w:tcW w:w="1114" w:type="dxa"/>
            <w:tcBorders>
              <w:top w:val="nil"/>
              <w:bottom w:val="nil"/>
            </w:tcBorders>
          </w:tcPr>
          <w:p w:rsidR="00212513" w:rsidRDefault="00212513">
            <w:pPr>
              <w:pStyle w:val="ConsPlusNormal"/>
              <w:jc w:val="center"/>
            </w:pPr>
            <w:r>
              <w:t>44,6</w:t>
            </w:r>
          </w:p>
        </w:tc>
        <w:tc>
          <w:tcPr>
            <w:tcW w:w="1114" w:type="dxa"/>
            <w:tcBorders>
              <w:top w:val="nil"/>
              <w:bottom w:val="nil"/>
            </w:tcBorders>
          </w:tcPr>
          <w:p w:rsidR="00212513" w:rsidRDefault="00212513">
            <w:pPr>
              <w:pStyle w:val="ConsPlusNormal"/>
              <w:jc w:val="center"/>
            </w:pPr>
            <w:r>
              <w:t>51,3</w:t>
            </w:r>
          </w:p>
        </w:tc>
        <w:tc>
          <w:tcPr>
            <w:tcW w:w="1020" w:type="dxa"/>
            <w:tcBorders>
              <w:top w:val="nil"/>
              <w:bottom w:val="nil"/>
            </w:tcBorders>
          </w:tcPr>
          <w:p w:rsidR="00212513" w:rsidRDefault="00212513">
            <w:pPr>
              <w:pStyle w:val="ConsPlusNormal"/>
              <w:jc w:val="center"/>
            </w:pPr>
            <w:r>
              <w:t>60,5</w:t>
            </w:r>
          </w:p>
        </w:tc>
        <w:tc>
          <w:tcPr>
            <w:tcW w:w="1474" w:type="dxa"/>
            <w:gridSpan w:val="2"/>
            <w:tcBorders>
              <w:top w:val="nil"/>
              <w:bottom w:val="nil"/>
            </w:tcBorders>
          </w:tcPr>
          <w:p w:rsidR="00212513" w:rsidRDefault="00212513">
            <w:pPr>
              <w:pStyle w:val="ConsPlusNormal"/>
              <w:jc w:val="center"/>
            </w:pPr>
            <w:r>
              <w:t>60,1</w:t>
            </w:r>
          </w:p>
        </w:tc>
        <w:tc>
          <w:tcPr>
            <w:tcW w:w="964" w:type="dxa"/>
            <w:tcBorders>
              <w:top w:val="nil"/>
              <w:bottom w:val="nil"/>
            </w:tcBorders>
          </w:tcPr>
          <w:p w:rsidR="00212513" w:rsidRDefault="00212513">
            <w:pPr>
              <w:pStyle w:val="ConsPlusNormal"/>
              <w:jc w:val="center"/>
            </w:pPr>
            <w:r>
              <w:t>70,8</w:t>
            </w:r>
          </w:p>
        </w:tc>
        <w:tc>
          <w:tcPr>
            <w:tcW w:w="1020" w:type="dxa"/>
            <w:tcBorders>
              <w:top w:val="nil"/>
              <w:bottom w:val="nil"/>
            </w:tcBorders>
          </w:tcPr>
          <w:p w:rsidR="00212513" w:rsidRDefault="00212513">
            <w:pPr>
              <w:pStyle w:val="ConsPlusNormal"/>
              <w:jc w:val="center"/>
            </w:pPr>
            <w:r>
              <w:t>83,4</w:t>
            </w:r>
          </w:p>
        </w:tc>
        <w:tc>
          <w:tcPr>
            <w:tcW w:w="1191" w:type="dxa"/>
            <w:tcBorders>
              <w:top w:val="nil"/>
              <w:bottom w:val="nil"/>
            </w:tcBorders>
          </w:tcPr>
          <w:p w:rsidR="00212513" w:rsidRDefault="00212513">
            <w:pPr>
              <w:pStyle w:val="ConsPlusNormal"/>
              <w:jc w:val="center"/>
            </w:pPr>
            <w:r>
              <w:t>114,9</w:t>
            </w:r>
          </w:p>
        </w:tc>
        <w:tc>
          <w:tcPr>
            <w:tcW w:w="1191" w:type="dxa"/>
            <w:tcBorders>
              <w:top w:val="nil"/>
              <w:bottom w:val="nil"/>
            </w:tcBorders>
          </w:tcPr>
          <w:p w:rsidR="00212513" w:rsidRDefault="00212513">
            <w:pPr>
              <w:pStyle w:val="ConsPlusNormal"/>
              <w:jc w:val="center"/>
            </w:pPr>
            <w:r>
              <w:t>129,3</w:t>
            </w:r>
          </w:p>
        </w:tc>
        <w:tc>
          <w:tcPr>
            <w:tcW w:w="1020" w:type="dxa"/>
            <w:tcBorders>
              <w:top w:val="nil"/>
              <w:bottom w:val="nil"/>
            </w:tcBorders>
          </w:tcPr>
          <w:p w:rsidR="00212513" w:rsidRDefault="00212513">
            <w:pPr>
              <w:pStyle w:val="ConsPlusNormal"/>
              <w:jc w:val="center"/>
            </w:pPr>
            <w:r>
              <w:t>156,9</w:t>
            </w:r>
          </w:p>
        </w:tc>
      </w:tr>
      <w:tr w:rsidR="00212513">
        <w:tblPrEx>
          <w:tblBorders>
            <w:insideH w:val="none" w:sz="0" w:space="0" w:color="auto"/>
          </w:tblBorders>
        </w:tblPrEx>
        <w:tc>
          <w:tcPr>
            <w:tcW w:w="1304" w:type="dxa"/>
            <w:tcBorders>
              <w:top w:val="nil"/>
              <w:bottom w:val="nil"/>
            </w:tcBorders>
          </w:tcPr>
          <w:p w:rsidR="00212513" w:rsidRDefault="00212513">
            <w:pPr>
              <w:pStyle w:val="ConsPlusNormal"/>
              <w:jc w:val="center"/>
            </w:pPr>
            <w:r>
              <w:t>30</w:t>
            </w:r>
          </w:p>
        </w:tc>
        <w:tc>
          <w:tcPr>
            <w:tcW w:w="1114" w:type="dxa"/>
            <w:tcBorders>
              <w:top w:val="nil"/>
              <w:bottom w:val="nil"/>
            </w:tcBorders>
          </w:tcPr>
          <w:p w:rsidR="00212513" w:rsidRDefault="00212513">
            <w:pPr>
              <w:pStyle w:val="ConsPlusNormal"/>
              <w:jc w:val="center"/>
            </w:pPr>
            <w:r>
              <w:t>46,3</w:t>
            </w:r>
          </w:p>
        </w:tc>
        <w:tc>
          <w:tcPr>
            <w:tcW w:w="1114" w:type="dxa"/>
            <w:tcBorders>
              <w:top w:val="nil"/>
              <w:bottom w:val="nil"/>
            </w:tcBorders>
          </w:tcPr>
          <w:p w:rsidR="00212513" w:rsidRDefault="00212513">
            <w:pPr>
              <w:pStyle w:val="ConsPlusNormal"/>
              <w:jc w:val="center"/>
            </w:pPr>
            <w:r>
              <w:t>47,7</w:t>
            </w:r>
          </w:p>
        </w:tc>
        <w:tc>
          <w:tcPr>
            <w:tcW w:w="1020" w:type="dxa"/>
            <w:tcBorders>
              <w:top w:val="nil"/>
              <w:bottom w:val="nil"/>
            </w:tcBorders>
          </w:tcPr>
          <w:p w:rsidR="00212513" w:rsidRDefault="00212513">
            <w:pPr>
              <w:pStyle w:val="ConsPlusNormal"/>
              <w:jc w:val="center"/>
            </w:pPr>
            <w:r>
              <w:t>57,8</w:t>
            </w:r>
          </w:p>
        </w:tc>
        <w:tc>
          <w:tcPr>
            <w:tcW w:w="1474" w:type="dxa"/>
            <w:gridSpan w:val="2"/>
            <w:tcBorders>
              <w:top w:val="nil"/>
              <w:bottom w:val="nil"/>
            </w:tcBorders>
          </w:tcPr>
          <w:p w:rsidR="00212513" w:rsidRDefault="00212513">
            <w:pPr>
              <w:pStyle w:val="ConsPlusNormal"/>
              <w:jc w:val="center"/>
            </w:pPr>
            <w:r>
              <w:t>63,5</w:t>
            </w:r>
          </w:p>
        </w:tc>
        <w:tc>
          <w:tcPr>
            <w:tcW w:w="964" w:type="dxa"/>
            <w:tcBorders>
              <w:top w:val="nil"/>
              <w:bottom w:val="nil"/>
            </w:tcBorders>
          </w:tcPr>
          <w:p w:rsidR="00212513" w:rsidRDefault="00212513">
            <w:pPr>
              <w:pStyle w:val="ConsPlusNormal"/>
              <w:jc w:val="center"/>
            </w:pPr>
            <w:r>
              <w:t>66,3</w:t>
            </w:r>
          </w:p>
        </w:tc>
        <w:tc>
          <w:tcPr>
            <w:tcW w:w="1020" w:type="dxa"/>
            <w:tcBorders>
              <w:top w:val="nil"/>
              <w:bottom w:val="nil"/>
            </w:tcBorders>
          </w:tcPr>
          <w:p w:rsidR="00212513" w:rsidRDefault="00212513">
            <w:pPr>
              <w:pStyle w:val="ConsPlusNormal"/>
              <w:jc w:val="center"/>
            </w:pPr>
            <w:r>
              <w:t>79,5</w:t>
            </w:r>
          </w:p>
        </w:tc>
        <w:tc>
          <w:tcPr>
            <w:tcW w:w="1191" w:type="dxa"/>
            <w:tcBorders>
              <w:top w:val="nil"/>
              <w:bottom w:val="nil"/>
            </w:tcBorders>
          </w:tcPr>
          <w:p w:rsidR="00212513" w:rsidRDefault="00212513">
            <w:pPr>
              <w:pStyle w:val="ConsPlusNormal"/>
              <w:jc w:val="center"/>
            </w:pPr>
            <w:r>
              <w:t>102,0</w:t>
            </w:r>
          </w:p>
        </w:tc>
        <w:tc>
          <w:tcPr>
            <w:tcW w:w="1191" w:type="dxa"/>
            <w:tcBorders>
              <w:top w:val="nil"/>
              <w:bottom w:val="nil"/>
            </w:tcBorders>
          </w:tcPr>
          <w:p w:rsidR="00212513" w:rsidRDefault="00212513">
            <w:pPr>
              <w:pStyle w:val="ConsPlusNormal"/>
              <w:jc w:val="center"/>
            </w:pPr>
            <w:r>
              <w:t>120,7</w:t>
            </w:r>
          </w:p>
        </w:tc>
        <w:tc>
          <w:tcPr>
            <w:tcW w:w="1020" w:type="dxa"/>
            <w:tcBorders>
              <w:top w:val="nil"/>
              <w:bottom w:val="nil"/>
            </w:tcBorders>
          </w:tcPr>
          <w:p w:rsidR="00212513" w:rsidRDefault="00212513">
            <w:pPr>
              <w:pStyle w:val="ConsPlusNormal"/>
              <w:jc w:val="center"/>
            </w:pPr>
            <w:r>
              <w:t>142,1</w:t>
            </w:r>
          </w:p>
        </w:tc>
      </w:tr>
      <w:tr w:rsidR="00212513">
        <w:tblPrEx>
          <w:tblBorders>
            <w:insideH w:val="none" w:sz="0" w:space="0" w:color="auto"/>
          </w:tblBorders>
        </w:tblPrEx>
        <w:tc>
          <w:tcPr>
            <w:tcW w:w="1304" w:type="dxa"/>
            <w:tcBorders>
              <w:top w:val="nil"/>
              <w:bottom w:val="nil"/>
            </w:tcBorders>
          </w:tcPr>
          <w:p w:rsidR="00212513" w:rsidRDefault="00212513">
            <w:pPr>
              <w:pStyle w:val="ConsPlusNormal"/>
              <w:jc w:val="center"/>
            </w:pPr>
            <w:r>
              <w:t>33</w:t>
            </w:r>
          </w:p>
        </w:tc>
        <w:tc>
          <w:tcPr>
            <w:tcW w:w="1114" w:type="dxa"/>
            <w:tcBorders>
              <w:top w:val="nil"/>
              <w:bottom w:val="nil"/>
            </w:tcBorders>
          </w:tcPr>
          <w:p w:rsidR="00212513" w:rsidRDefault="00212513">
            <w:pPr>
              <w:pStyle w:val="ConsPlusNormal"/>
              <w:jc w:val="center"/>
            </w:pPr>
            <w:r>
              <w:t>46,6</w:t>
            </w:r>
          </w:p>
        </w:tc>
        <w:tc>
          <w:tcPr>
            <w:tcW w:w="1114" w:type="dxa"/>
            <w:tcBorders>
              <w:top w:val="nil"/>
              <w:bottom w:val="nil"/>
            </w:tcBorders>
          </w:tcPr>
          <w:p w:rsidR="00212513" w:rsidRDefault="00212513">
            <w:pPr>
              <w:pStyle w:val="ConsPlusNormal"/>
              <w:jc w:val="center"/>
            </w:pPr>
            <w:r>
              <w:t>47,3</w:t>
            </w:r>
          </w:p>
        </w:tc>
        <w:tc>
          <w:tcPr>
            <w:tcW w:w="1020" w:type="dxa"/>
            <w:tcBorders>
              <w:top w:val="nil"/>
              <w:bottom w:val="nil"/>
            </w:tcBorders>
          </w:tcPr>
          <w:p w:rsidR="00212513" w:rsidRDefault="00212513">
            <w:pPr>
              <w:pStyle w:val="ConsPlusNormal"/>
              <w:jc w:val="center"/>
            </w:pPr>
            <w:r>
              <w:t>56,0</w:t>
            </w:r>
          </w:p>
        </w:tc>
        <w:tc>
          <w:tcPr>
            <w:tcW w:w="1474" w:type="dxa"/>
            <w:gridSpan w:val="2"/>
            <w:tcBorders>
              <w:top w:val="nil"/>
              <w:bottom w:val="nil"/>
            </w:tcBorders>
          </w:tcPr>
          <w:p w:rsidR="00212513" w:rsidRDefault="00212513">
            <w:pPr>
              <w:pStyle w:val="ConsPlusNormal"/>
              <w:jc w:val="center"/>
            </w:pPr>
            <w:r>
              <w:t>63,3</w:t>
            </w:r>
          </w:p>
        </w:tc>
        <w:tc>
          <w:tcPr>
            <w:tcW w:w="964" w:type="dxa"/>
            <w:tcBorders>
              <w:top w:val="nil"/>
              <w:bottom w:val="nil"/>
            </w:tcBorders>
          </w:tcPr>
          <w:p w:rsidR="00212513" w:rsidRDefault="00212513">
            <w:pPr>
              <w:pStyle w:val="ConsPlusNormal"/>
              <w:jc w:val="center"/>
            </w:pPr>
            <w:r>
              <w:t>64,5</w:t>
            </w:r>
          </w:p>
        </w:tc>
        <w:tc>
          <w:tcPr>
            <w:tcW w:w="1020" w:type="dxa"/>
            <w:tcBorders>
              <w:top w:val="nil"/>
              <w:bottom w:val="nil"/>
            </w:tcBorders>
          </w:tcPr>
          <w:p w:rsidR="00212513" w:rsidRDefault="00212513">
            <w:pPr>
              <w:pStyle w:val="ConsPlusNormal"/>
              <w:jc w:val="center"/>
            </w:pPr>
            <w:r>
              <w:t>77,8</w:t>
            </w:r>
          </w:p>
        </w:tc>
        <w:tc>
          <w:tcPr>
            <w:tcW w:w="1191" w:type="dxa"/>
            <w:tcBorders>
              <w:top w:val="nil"/>
              <w:bottom w:val="nil"/>
            </w:tcBorders>
          </w:tcPr>
          <w:p w:rsidR="00212513" w:rsidRDefault="00212513">
            <w:pPr>
              <w:pStyle w:val="ConsPlusNormal"/>
              <w:jc w:val="center"/>
            </w:pPr>
            <w:r>
              <w:t>107,9</w:t>
            </w:r>
          </w:p>
        </w:tc>
        <w:tc>
          <w:tcPr>
            <w:tcW w:w="1191" w:type="dxa"/>
            <w:tcBorders>
              <w:top w:val="nil"/>
              <w:bottom w:val="nil"/>
            </w:tcBorders>
          </w:tcPr>
          <w:p w:rsidR="00212513" w:rsidRDefault="00212513">
            <w:pPr>
              <w:pStyle w:val="ConsPlusNormal"/>
              <w:jc w:val="center"/>
            </w:pPr>
            <w:r>
              <w:t>116,4</w:t>
            </w:r>
          </w:p>
        </w:tc>
        <w:tc>
          <w:tcPr>
            <w:tcW w:w="1020" w:type="dxa"/>
            <w:tcBorders>
              <w:top w:val="nil"/>
              <w:bottom w:val="nil"/>
            </w:tcBorders>
          </w:tcPr>
          <w:p w:rsidR="00212513" w:rsidRDefault="00212513">
            <w:pPr>
              <w:pStyle w:val="ConsPlusNormal"/>
              <w:jc w:val="center"/>
            </w:pPr>
            <w:r>
              <w:t>139,3</w:t>
            </w:r>
          </w:p>
        </w:tc>
      </w:tr>
      <w:tr w:rsidR="00212513">
        <w:tblPrEx>
          <w:tblBorders>
            <w:insideH w:val="none" w:sz="0" w:space="0" w:color="auto"/>
          </w:tblBorders>
        </w:tblPrEx>
        <w:tc>
          <w:tcPr>
            <w:tcW w:w="1304" w:type="dxa"/>
            <w:tcBorders>
              <w:top w:val="nil"/>
              <w:bottom w:val="nil"/>
            </w:tcBorders>
          </w:tcPr>
          <w:p w:rsidR="00212513" w:rsidRDefault="00212513">
            <w:pPr>
              <w:pStyle w:val="ConsPlusNormal"/>
              <w:jc w:val="center"/>
            </w:pPr>
            <w:r>
              <w:t>36</w:t>
            </w:r>
          </w:p>
        </w:tc>
        <w:tc>
          <w:tcPr>
            <w:tcW w:w="1114" w:type="dxa"/>
            <w:tcBorders>
              <w:top w:val="nil"/>
              <w:bottom w:val="nil"/>
            </w:tcBorders>
          </w:tcPr>
          <w:p w:rsidR="00212513" w:rsidRDefault="00212513">
            <w:pPr>
              <w:pStyle w:val="ConsPlusNormal"/>
              <w:jc w:val="center"/>
            </w:pPr>
            <w:r>
              <w:t>46,1</w:t>
            </w:r>
          </w:p>
        </w:tc>
        <w:tc>
          <w:tcPr>
            <w:tcW w:w="1114" w:type="dxa"/>
            <w:tcBorders>
              <w:top w:val="nil"/>
              <w:bottom w:val="nil"/>
            </w:tcBorders>
          </w:tcPr>
          <w:p w:rsidR="00212513" w:rsidRDefault="00212513">
            <w:pPr>
              <w:pStyle w:val="ConsPlusNormal"/>
              <w:jc w:val="center"/>
            </w:pPr>
            <w:r>
              <w:t>46,7</w:t>
            </w:r>
          </w:p>
        </w:tc>
        <w:tc>
          <w:tcPr>
            <w:tcW w:w="1020" w:type="dxa"/>
            <w:tcBorders>
              <w:top w:val="nil"/>
              <w:bottom w:val="nil"/>
            </w:tcBorders>
          </w:tcPr>
          <w:p w:rsidR="00212513" w:rsidRDefault="00212513">
            <w:pPr>
              <w:pStyle w:val="ConsPlusNormal"/>
              <w:jc w:val="center"/>
            </w:pPr>
            <w:r>
              <w:t>54,0</w:t>
            </w:r>
          </w:p>
        </w:tc>
        <w:tc>
          <w:tcPr>
            <w:tcW w:w="1474" w:type="dxa"/>
            <w:gridSpan w:val="2"/>
            <w:tcBorders>
              <w:top w:val="nil"/>
              <w:bottom w:val="nil"/>
            </w:tcBorders>
          </w:tcPr>
          <w:p w:rsidR="00212513" w:rsidRDefault="00212513">
            <w:pPr>
              <w:pStyle w:val="ConsPlusNormal"/>
              <w:jc w:val="center"/>
            </w:pPr>
            <w:r>
              <w:t>63,3</w:t>
            </w:r>
          </w:p>
        </w:tc>
        <w:tc>
          <w:tcPr>
            <w:tcW w:w="964" w:type="dxa"/>
            <w:tcBorders>
              <w:top w:val="nil"/>
              <w:bottom w:val="nil"/>
            </w:tcBorders>
          </w:tcPr>
          <w:p w:rsidR="00212513" w:rsidRDefault="00212513">
            <w:pPr>
              <w:pStyle w:val="ConsPlusNormal"/>
              <w:jc w:val="center"/>
            </w:pPr>
            <w:r>
              <w:t>64,2</w:t>
            </w:r>
          </w:p>
        </w:tc>
        <w:tc>
          <w:tcPr>
            <w:tcW w:w="1020" w:type="dxa"/>
            <w:tcBorders>
              <w:top w:val="nil"/>
              <w:bottom w:val="nil"/>
            </w:tcBorders>
          </w:tcPr>
          <w:p w:rsidR="00212513" w:rsidRDefault="00212513">
            <w:pPr>
              <w:pStyle w:val="ConsPlusNormal"/>
              <w:jc w:val="center"/>
            </w:pPr>
            <w:r>
              <w:t>75,4</w:t>
            </w:r>
          </w:p>
        </w:tc>
        <w:tc>
          <w:tcPr>
            <w:tcW w:w="1191" w:type="dxa"/>
            <w:tcBorders>
              <w:top w:val="nil"/>
              <w:bottom w:val="nil"/>
            </w:tcBorders>
          </w:tcPr>
          <w:p w:rsidR="00212513" w:rsidRDefault="00212513">
            <w:pPr>
              <w:pStyle w:val="ConsPlusNormal"/>
              <w:jc w:val="center"/>
            </w:pPr>
            <w:r>
              <w:t>108,9</w:t>
            </w:r>
          </w:p>
        </w:tc>
        <w:tc>
          <w:tcPr>
            <w:tcW w:w="1191" w:type="dxa"/>
            <w:tcBorders>
              <w:top w:val="nil"/>
              <w:bottom w:val="nil"/>
            </w:tcBorders>
          </w:tcPr>
          <w:p w:rsidR="00212513" w:rsidRDefault="00212513">
            <w:pPr>
              <w:pStyle w:val="ConsPlusNormal"/>
              <w:jc w:val="center"/>
            </w:pPr>
            <w:r>
              <w:t>113,8</w:t>
            </w:r>
          </w:p>
        </w:tc>
        <w:tc>
          <w:tcPr>
            <w:tcW w:w="1020" w:type="dxa"/>
            <w:tcBorders>
              <w:top w:val="nil"/>
              <w:bottom w:val="nil"/>
            </w:tcBorders>
          </w:tcPr>
          <w:p w:rsidR="00212513" w:rsidRDefault="00212513">
            <w:pPr>
              <w:pStyle w:val="ConsPlusNormal"/>
              <w:jc w:val="center"/>
            </w:pPr>
            <w:r>
              <w:t>137,2</w:t>
            </w:r>
          </w:p>
        </w:tc>
      </w:tr>
      <w:tr w:rsidR="00212513">
        <w:tblPrEx>
          <w:tblBorders>
            <w:insideH w:val="none" w:sz="0" w:space="0" w:color="auto"/>
          </w:tblBorders>
        </w:tblPrEx>
        <w:tc>
          <w:tcPr>
            <w:tcW w:w="1304" w:type="dxa"/>
            <w:tcBorders>
              <w:top w:val="nil"/>
              <w:bottom w:val="nil"/>
            </w:tcBorders>
          </w:tcPr>
          <w:p w:rsidR="00212513" w:rsidRDefault="00212513">
            <w:pPr>
              <w:pStyle w:val="ConsPlusNormal"/>
              <w:jc w:val="center"/>
            </w:pPr>
            <w:r>
              <w:t>48</w:t>
            </w:r>
          </w:p>
        </w:tc>
        <w:tc>
          <w:tcPr>
            <w:tcW w:w="1114" w:type="dxa"/>
            <w:tcBorders>
              <w:top w:val="nil"/>
              <w:bottom w:val="nil"/>
            </w:tcBorders>
          </w:tcPr>
          <w:p w:rsidR="00212513" w:rsidRDefault="00212513">
            <w:pPr>
              <w:pStyle w:val="ConsPlusNormal"/>
              <w:jc w:val="center"/>
            </w:pPr>
            <w:r>
              <w:t>41,6</w:t>
            </w:r>
          </w:p>
        </w:tc>
        <w:tc>
          <w:tcPr>
            <w:tcW w:w="1114" w:type="dxa"/>
            <w:tcBorders>
              <w:top w:val="nil"/>
              <w:bottom w:val="nil"/>
            </w:tcBorders>
          </w:tcPr>
          <w:p w:rsidR="00212513" w:rsidRDefault="00212513">
            <w:pPr>
              <w:pStyle w:val="ConsPlusNormal"/>
              <w:jc w:val="center"/>
            </w:pPr>
            <w:r>
              <w:t>41,9</w:t>
            </w:r>
          </w:p>
        </w:tc>
        <w:tc>
          <w:tcPr>
            <w:tcW w:w="1020" w:type="dxa"/>
            <w:tcBorders>
              <w:top w:val="nil"/>
              <w:bottom w:val="nil"/>
            </w:tcBorders>
          </w:tcPr>
          <w:p w:rsidR="00212513" w:rsidRDefault="00212513">
            <w:pPr>
              <w:pStyle w:val="ConsPlusNormal"/>
              <w:jc w:val="center"/>
            </w:pPr>
            <w:r>
              <w:t>46,0</w:t>
            </w:r>
          </w:p>
        </w:tc>
        <w:tc>
          <w:tcPr>
            <w:tcW w:w="1474" w:type="dxa"/>
            <w:gridSpan w:val="2"/>
            <w:tcBorders>
              <w:top w:val="nil"/>
              <w:bottom w:val="nil"/>
            </w:tcBorders>
          </w:tcPr>
          <w:p w:rsidR="00212513" w:rsidRDefault="00212513">
            <w:pPr>
              <w:pStyle w:val="ConsPlusNormal"/>
              <w:jc w:val="center"/>
            </w:pPr>
            <w:r>
              <w:t>58,3</w:t>
            </w:r>
          </w:p>
        </w:tc>
        <w:tc>
          <w:tcPr>
            <w:tcW w:w="964" w:type="dxa"/>
            <w:tcBorders>
              <w:top w:val="nil"/>
              <w:bottom w:val="nil"/>
            </w:tcBorders>
          </w:tcPr>
          <w:p w:rsidR="00212513" w:rsidRDefault="00212513">
            <w:pPr>
              <w:pStyle w:val="ConsPlusNormal"/>
              <w:jc w:val="center"/>
            </w:pPr>
            <w:r>
              <w:t>58,8</w:t>
            </w:r>
          </w:p>
        </w:tc>
        <w:tc>
          <w:tcPr>
            <w:tcW w:w="1020" w:type="dxa"/>
            <w:tcBorders>
              <w:top w:val="nil"/>
              <w:bottom w:val="nil"/>
            </w:tcBorders>
          </w:tcPr>
          <w:p w:rsidR="00212513" w:rsidRDefault="00212513">
            <w:pPr>
              <w:pStyle w:val="ConsPlusNormal"/>
              <w:jc w:val="center"/>
            </w:pPr>
            <w:r>
              <w:t>65,1</w:t>
            </w:r>
          </w:p>
        </w:tc>
        <w:tc>
          <w:tcPr>
            <w:tcW w:w="1191" w:type="dxa"/>
            <w:tcBorders>
              <w:top w:val="nil"/>
              <w:bottom w:val="nil"/>
            </w:tcBorders>
          </w:tcPr>
          <w:p w:rsidR="00212513" w:rsidRDefault="00212513">
            <w:pPr>
              <w:pStyle w:val="ConsPlusNormal"/>
              <w:jc w:val="center"/>
            </w:pPr>
            <w:r>
              <w:t>106,7</w:t>
            </w:r>
          </w:p>
        </w:tc>
        <w:tc>
          <w:tcPr>
            <w:tcW w:w="1191" w:type="dxa"/>
            <w:tcBorders>
              <w:top w:val="nil"/>
              <w:bottom w:val="nil"/>
            </w:tcBorders>
          </w:tcPr>
          <w:p w:rsidR="00212513" w:rsidRDefault="00212513">
            <w:pPr>
              <w:pStyle w:val="ConsPlusNormal"/>
              <w:jc w:val="center"/>
            </w:pPr>
            <w:r>
              <w:t>108,0</w:t>
            </w:r>
          </w:p>
        </w:tc>
        <w:tc>
          <w:tcPr>
            <w:tcW w:w="1020" w:type="dxa"/>
            <w:tcBorders>
              <w:top w:val="nil"/>
              <w:bottom w:val="nil"/>
            </w:tcBorders>
          </w:tcPr>
          <w:p w:rsidR="00212513" w:rsidRDefault="00212513">
            <w:pPr>
              <w:pStyle w:val="ConsPlusNormal"/>
              <w:jc w:val="center"/>
            </w:pPr>
            <w:r>
              <w:t>123,5</w:t>
            </w:r>
          </w:p>
        </w:tc>
      </w:tr>
      <w:tr w:rsidR="00212513">
        <w:tblPrEx>
          <w:tblBorders>
            <w:insideH w:val="none" w:sz="0" w:space="0" w:color="auto"/>
          </w:tblBorders>
        </w:tblPrEx>
        <w:tc>
          <w:tcPr>
            <w:tcW w:w="1304" w:type="dxa"/>
            <w:tcBorders>
              <w:top w:val="nil"/>
              <w:bottom w:val="single" w:sz="4" w:space="0" w:color="auto"/>
            </w:tcBorders>
          </w:tcPr>
          <w:p w:rsidR="00212513" w:rsidRDefault="00212513">
            <w:pPr>
              <w:pStyle w:val="ConsPlusNormal"/>
              <w:jc w:val="center"/>
            </w:pPr>
            <w:r>
              <w:t>66</w:t>
            </w:r>
          </w:p>
        </w:tc>
        <w:tc>
          <w:tcPr>
            <w:tcW w:w="1114" w:type="dxa"/>
            <w:tcBorders>
              <w:top w:val="nil"/>
              <w:bottom w:val="single" w:sz="4" w:space="0" w:color="auto"/>
            </w:tcBorders>
          </w:tcPr>
          <w:p w:rsidR="00212513" w:rsidRDefault="00212513">
            <w:pPr>
              <w:pStyle w:val="ConsPlusNormal"/>
              <w:jc w:val="center"/>
            </w:pPr>
            <w:r>
              <w:t>34,3</w:t>
            </w:r>
          </w:p>
        </w:tc>
        <w:tc>
          <w:tcPr>
            <w:tcW w:w="1114" w:type="dxa"/>
            <w:tcBorders>
              <w:top w:val="nil"/>
              <w:bottom w:val="single" w:sz="4" w:space="0" w:color="auto"/>
            </w:tcBorders>
          </w:tcPr>
          <w:p w:rsidR="00212513" w:rsidRDefault="00212513">
            <w:pPr>
              <w:pStyle w:val="ConsPlusNormal"/>
              <w:jc w:val="center"/>
            </w:pPr>
            <w:r>
              <w:t>34,5</w:t>
            </w:r>
          </w:p>
        </w:tc>
        <w:tc>
          <w:tcPr>
            <w:tcW w:w="1020" w:type="dxa"/>
            <w:tcBorders>
              <w:top w:val="nil"/>
              <w:bottom w:val="single" w:sz="4" w:space="0" w:color="auto"/>
            </w:tcBorders>
          </w:tcPr>
          <w:p w:rsidR="00212513" w:rsidRDefault="00212513">
            <w:pPr>
              <w:pStyle w:val="ConsPlusNormal"/>
              <w:jc w:val="center"/>
            </w:pPr>
            <w:r>
              <w:t>36,8</w:t>
            </w:r>
          </w:p>
        </w:tc>
        <w:tc>
          <w:tcPr>
            <w:tcW w:w="1474" w:type="dxa"/>
            <w:gridSpan w:val="2"/>
            <w:tcBorders>
              <w:top w:val="nil"/>
              <w:bottom w:val="single" w:sz="4" w:space="0" w:color="auto"/>
            </w:tcBorders>
          </w:tcPr>
          <w:p w:rsidR="00212513" w:rsidRDefault="00212513">
            <w:pPr>
              <w:pStyle w:val="ConsPlusNormal"/>
              <w:jc w:val="center"/>
            </w:pPr>
            <w:r>
              <w:t>48,8</w:t>
            </w:r>
          </w:p>
        </w:tc>
        <w:tc>
          <w:tcPr>
            <w:tcW w:w="964" w:type="dxa"/>
            <w:tcBorders>
              <w:top w:val="nil"/>
              <w:bottom w:val="single" w:sz="4" w:space="0" w:color="auto"/>
            </w:tcBorders>
          </w:tcPr>
          <w:p w:rsidR="00212513" w:rsidRDefault="00212513">
            <w:pPr>
              <w:pStyle w:val="ConsPlusNormal"/>
              <w:jc w:val="center"/>
            </w:pPr>
            <w:r>
              <w:t>49,1</w:t>
            </w:r>
          </w:p>
        </w:tc>
        <w:tc>
          <w:tcPr>
            <w:tcW w:w="1020" w:type="dxa"/>
            <w:tcBorders>
              <w:top w:val="nil"/>
              <w:bottom w:val="single" w:sz="4" w:space="0" w:color="auto"/>
            </w:tcBorders>
          </w:tcPr>
          <w:p w:rsidR="00212513" w:rsidRDefault="00212513">
            <w:pPr>
              <w:pStyle w:val="ConsPlusNormal"/>
              <w:jc w:val="center"/>
            </w:pPr>
            <w:r>
              <w:t>52,5</w:t>
            </w:r>
          </w:p>
        </w:tc>
        <w:tc>
          <w:tcPr>
            <w:tcW w:w="1191" w:type="dxa"/>
            <w:tcBorders>
              <w:top w:val="nil"/>
              <w:bottom w:val="single" w:sz="4" w:space="0" w:color="auto"/>
            </w:tcBorders>
          </w:tcPr>
          <w:p w:rsidR="00212513" w:rsidRDefault="00212513">
            <w:pPr>
              <w:pStyle w:val="ConsPlusNormal"/>
              <w:jc w:val="center"/>
            </w:pPr>
            <w:r>
              <w:t>93,2</w:t>
            </w:r>
          </w:p>
        </w:tc>
        <w:tc>
          <w:tcPr>
            <w:tcW w:w="1191" w:type="dxa"/>
            <w:tcBorders>
              <w:top w:val="nil"/>
              <w:bottom w:val="single" w:sz="4" w:space="0" w:color="auto"/>
            </w:tcBorders>
          </w:tcPr>
          <w:p w:rsidR="00212513" w:rsidRDefault="00212513">
            <w:pPr>
              <w:pStyle w:val="ConsPlusNormal"/>
              <w:jc w:val="center"/>
            </w:pPr>
            <w:r>
              <w:t>93,8</w:t>
            </w:r>
          </w:p>
        </w:tc>
        <w:tc>
          <w:tcPr>
            <w:tcW w:w="1020" w:type="dxa"/>
            <w:tcBorders>
              <w:top w:val="nil"/>
              <w:bottom w:val="single" w:sz="4" w:space="0" w:color="auto"/>
            </w:tcBorders>
          </w:tcPr>
          <w:p w:rsidR="00212513" w:rsidRDefault="00212513">
            <w:pPr>
              <w:pStyle w:val="ConsPlusNormal"/>
              <w:jc w:val="center"/>
            </w:pPr>
            <w:r>
              <w:t>102,0</w:t>
            </w:r>
          </w:p>
        </w:tc>
      </w:tr>
      <w:tr w:rsidR="00212513">
        <w:tc>
          <w:tcPr>
            <w:tcW w:w="11412" w:type="dxa"/>
            <w:gridSpan w:val="11"/>
            <w:tcBorders>
              <w:top w:val="single" w:sz="4" w:space="0" w:color="auto"/>
              <w:bottom w:val="single" w:sz="4" w:space="0" w:color="auto"/>
            </w:tcBorders>
          </w:tcPr>
          <w:p w:rsidR="00212513" w:rsidRDefault="00212513">
            <w:pPr>
              <w:pStyle w:val="ConsPlusNormal"/>
              <w:jc w:val="center"/>
            </w:pPr>
            <w:r>
              <w:rPr>
                <w:b/>
              </w:rPr>
              <w:t>В. Колонна движущихся автомобилей</w:t>
            </w:r>
          </w:p>
        </w:tc>
      </w:tr>
      <w:tr w:rsidR="00212513">
        <w:tblPrEx>
          <w:tblBorders>
            <w:insideH w:val="none" w:sz="0" w:space="0" w:color="auto"/>
          </w:tblBorders>
        </w:tblPrEx>
        <w:tc>
          <w:tcPr>
            <w:tcW w:w="1304" w:type="dxa"/>
            <w:tcBorders>
              <w:top w:val="single" w:sz="4" w:space="0" w:color="auto"/>
              <w:bottom w:val="nil"/>
            </w:tcBorders>
          </w:tcPr>
          <w:p w:rsidR="00212513" w:rsidRDefault="00212513">
            <w:pPr>
              <w:pStyle w:val="ConsPlusNormal"/>
              <w:jc w:val="center"/>
            </w:pPr>
            <w:r>
              <w:t>18</w:t>
            </w:r>
          </w:p>
        </w:tc>
        <w:tc>
          <w:tcPr>
            <w:tcW w:w="1114" w:type="dxa"/>
            <w:tcBorders>
              <w:top w:val="single" w:sz="4" w:space="0" w:color="auto"/>
              <w:bottom w:val="nil"/>
            </w:tcBorders>
          </w:tcPr>
          <w:p w:rsidR="00212513" w:rsidRDefault="00212513">
            <w:pPr>
              <w:pStyle w:val="ConsPlusNormal"/>
              <w:jc w:val="center"/>
            </w:pPr>
            <w:r>
              <w:t>48,3</w:t>
            </w:r>
          </w:p>
        </w:tc>
        <w:tc>
          <w:tcPr>
            <w:tcW w:w="1114" w:type="dxa"/>
            <w:tcBorders>
              <w:top w:val="single" w:sz="4" w:space="0" w:color="auto"/>
              <w:bottom w:val="nil"/>
            </w:tcBorders>
          </w:tcPr>
          <w:p w:rsidR="00212513" w:rsidRDefault="00212513">
            <w:pPr>
              <w:pStyle w:val="ConsPlusNormal"/>
              <w:jc w:val="center"/>
            </w:pPr>
            <w:r>
              <w:t>50,8</w:t>
            </w:r>
          </w:p>
        </w:tc>
        <w:tc>
          <w:tcPr>
            <w:tcW w:w="1020" w:type="dxa"/>
            <w:tcBorders>
              <w:top w:val="single" w:sz="4" w:space="0" w:color="auto"/>
              <w:bottom w:val="nil"/>
            </w:tcBorders>
          </w:tcPr>
          <w:p w:rsidR="00212513" w:rsidRDefault="00212513">
            <w:pPr>
              <w:pStyle w:val="ConsPlusNormal"/>
              <w:jc w:val="center"/>
            </w:pPr>
            <w:r>
              <w:t>52,0</w:t>
            </w:r>
          </w:p>
        </w:tc>
        <w:tc>
          <w:tcPr>
            <w:tcW w:w="1474" w:type="dxa"/>
            <w:gridSpan w:val="2"/>
            <w:tcBorders>
              <w:top w:val="single" w:sz="4" w:space="0" w:color="auto"/>
              <w:bottom w:val="nil"/>
            </w:tcBorders>
          </w:tcPr>
          <w:p w:rsidR="00212513" w:rsidRDefault="00212513">
            <w:pPr>
              <w:pStyle w:val="ConsPlusNormal"/>
              <w:jc w:val="center"/>
            </w:pPr>
            <w:r>
              <w:t>68,4</w:t>
            </w:r>
          </w:p>
        </w:tc>
        <w:tc>
          <w:tcPr>
            <w:tcW w:w="964" w:type="dxa"/>
            <w:tcBorders>
              <w:top w:val="single" w:sz="4" w:space="0" w:color="auto"/>
              <w:bottom w:val="nil"/>
            </w:tcBorders>
          </w:tcPr>
          <w:p w:rsidR="00212513" w:rsidRDefault="00212513">
            <w:pPr>
              <w:pStyle w:val="ConsPlusNormal"/>
              <w:jc w:val="center"/>
            </w:pPr>
            <w:r>
              <w:t>72,5</w:t>
            </w:r>
          </w:p>
        </w:tc>
        <w:tc>
          <w:tcPr>
            <w:tcW w:w="1020" w:type="dxa"/>
            <w:tcBorders>
              <w:top w:val="single" w:sz="4" w:space="0" w:color="auto"/>
              <w:bottom w:val="nil"/>
            </w:tcBorders>
          </w:tcPr>
          <w:p w:rsidR="00212513" w:rsidRDefault="00212513">
            <w:pPr>
              <w:pStyle w:val="ConsPlusNormal"/>
              <w:jc w:val="center"/>
            </w:pPr>
            <w:r>
              <w:t>74,5</w:t>
            </w:r>
          </w:p>
        </w:tc>
        <w:tc>
          <w:tcPr>
            <w:tcW w:w="1191" w:type="dxa"/>
            <w:tcBorders>
              <w:top w:val="single" w:sz="4" w:space="0" w:color="auto"/>
              <w:bottom w:val="nil"/>
            </w:tcBorders>
          </w:tcPr>
          <w:p w:rsidR="00212513" w:rsidRDefault="00212513">
            <w:pPr>
              <w:pStyle w:val="ConsPlusNormal"/>
              <w:jc w:val="center"/>
            </w:pPr>
            <w:r>
              <w:t>137,3</w:t>
            </w:r>
          </w:p>
        </w:tc>
        <w:tc>
          <w:tcPr>
            <w:tcW w:w="1191" w:type="dxa"/>
            <w:tcBorders>
              <w:top w:val="single" w:sz="4" w:space="0" w:color="auto"/>
              <w:bottom w:val="nil"/>
            </w:tcBorders>
          </w:tcPr>
          <w:p w:rsidR="00212513" w:rsidRDefault="00212513">
            <w:pPr>
              <w:pStyle w:val="ConsPlusNormal"/>
              <w:jc w:val="center"/>
            </w:pPr>
            <w:r>
              <w:t>146,4</w:t>
            </w:r>
          </w:p>
        </w:tc>
        <w:tc>
          <w:tcPr>
            <w:tcW w:w="1020" w:type="dxa"/>
            <w:tcBorders>
              <w:top w:val="single" w:sz="4" w:space="0" w:color="auto"/>
              <w:bottom w:val="nil"/>
            </w:tcBorders>
          </w:tcPr>
          <w:p w:rsidR="00212513" w:rsidRDefault="00212513">
            <w:pPr>
              <w:pStyle w:val="ConsPlusNormal"/>
              <w:jc w:val="center"/>
            </w:pPr>
            <w:r>
              <w:t>151,0</w:t>
            </w:r>
          </w:p>
        </w:tc>
      </w:tr>
      <w:tr w:rsidR="00212513">
        <w:tblPrEx>
          <w:tblBorders>
            <w:insideH w:val="none" w:sz="0" w:space="0" w:color="auto"/>
          </w:tblBorders>
        </w:tblPrEx>
        <w:tc>
          <w:tcPr>
            <w:tcW w:w="1304" w:type="dxa"/>
            <w:tcBorders>
              <w:top w:val="nil"/>
              <w:bottom w:val="nil"/>
            </w:tcBorders>
          </w:tcPr>
          <w:p w:rsidR="00212513" w:rsidRDefault="00212513">
            <w:pPr>
              <w:pStyle w:val="ConsPlusNormal"/>
              <w:jc w:val="center"/>
            </w:pPr>
            <w:r>
              <w:t>24</w:t>
            </w:r>
          </w:p>
        </w:tc>
        <w:tc>
          <w:tcPr>
            <w:tcW w:w="1114" w:type="dxa"/>
            <w:tcBorders>
              <w:top w:val="nil"/>
              <w:bottom w:val="nil"/>
            </w:tcBorders>
          </w:tcPr>
          <w:p w:rsidR="00212513" w:rsidRDefault="00212513">
            <w:pPr>
              <w:pStyle w:val="ConsPlusNormal"/>
              <w:jc w:val="center"/>
            </w:pPr>
            <w:r>
              <w:t>37,7</w:t>
            </w:r>
          </w:p>
        </w:tc>
        <w:tc>
          <w:tcPr>
            <w:tcW w:w="1114" w:type="dxa"/>
            <w:tcBorders>
              <w:top w:val="nil"/>
              <w:bottom w:val="nil"/>
            </w:tcBorders>
          </w:tcPr>
          <w:p w:rsidR="00212513" w:rsidRDefault="00212513">
            <w:pPr>
              <w:pStyle w:val="ConsPlusNormal"/>
              <w:jc w:val="center"/>
            </w:pPr>
            <w:r>
              <w:t>38,9</w:t>
            </w:r>
          </w:p>
        </w:tc>
        <w:tc>
          <w:tcPr>
            <w:tcW w:w="1020" w:type="dxa"/>
            <w:tcBorders>
              <w:top w:val="nil"/>
              <w:bottom w:val="nil"/>
            </w:tcBorders>
          </w:tcPr>
          <w:p w:rsidR="00212513" w:rsidRDefault="00212513">
            <w:pPr>
              <w:pStyle w:val="ConsPlusNormal"/>
              <w:jc w:val="center"/>
            </w:pPr>
            <w:r>
              <w:t>40,2</w:t>
            </w:r>
          </w:p>
        </w:tc>
        <w:tc>
          <w:tcPr>
            <w:tcW w:w="1474" w:type="dxa"/>
            <w:gridSpan w:val="2"/>
            <w:tcBorders>
              <w:top w:val="nil"/>
              <w:bottom w:val="nil"/>
            </w:tcBorders>
          </w:tcPr>
          <w:p w:rsidR="00212513" w:rsidRDefault="00212513">
            <w:pPr>
              <w:pStyle w:val="ConsPlusNormal"/>
              <w:jc w:val="center"/>
            </w:pPr>
            <w:r>
              <w:t>53,6</w:t>
            </w:r>
          </w:p>
        </w:tc>
        <w:tc>
          <w:tcPr>
            <w:tcW w:w="964" w:type="dxa"/>
            <w:tcBorders>
              <w:top w:val="nil"/>
              <w:bottom w:val="nil"/>
            </w:tcBorders>
          </w:tcPr>
          <w:p w:rsidR="00212513" w:rsidRDefault="00212513">
            <w:pPr>
              <w:pStyle w:val="ConsPlusNormal"/>
              <w:jc w:val="center"/>
            </w:pPr>
            <w:r>
              <w:t>55,9</w:t>
            </w:r>
          </w:p>
        </w:tc>
        <w:tc>
          <w:tcPr>
            <w:tcW w:w="1020" w:type="dxa"/>
            <w:tcBorders>
              <w:top w:val="nil"/>
              <w:bottom w:val="nil"/>
            </w:tcBorders>
          </w:tcPr>
          <w:p w:rsidR="00212513" w:rsidRDefault="00212513">
            <w:pPr>
              <w:pStyle w:val="ConsPlusNormal"/>
              <w:jc w:val="center"/>
            </w:pPr>
            <w:r>
              <w:t>57,1</w:t>
            </w:r>
          </w:p>
        </w:tc>
        <w:tc>
          <w:tcPr>
            <w:tcW w:w="1191" w:type="dxa"/>
            <w:tcBorders>
              <w:top w:val="nil"/>
              <w:bottom w:val="nil"/>
            </w:tcBorders>
          </w:tcPr>
          <w:p w:rsidR="00212513" w:rsidRDefault="00212513">
            <w:pPr>
              <w:pStyle w:val="ConsPlusNormal"/>
              <w:jc w:val="center"/>
            </w:pPr>
            <w:r>
              <w:t>108,1</w:t>
            </w:r>
          </w:p>
        </w:tc>
        <w:tc>
          <w:tcPr>
            <w:tcW w:w="1191" w:type="dxa"/>
            <w:tcBorders>
              <w:top w:val="nil"/>
              <w:bottom w:val="nil"/>
            </w:tcBorders>
          </w:tcPr>
          <w:p w:rsidR="00212513" w:rsidRDefault="00212513">
            <w:pPr>
              <w:pStyle w:val="ConsPlusNormal"/>
              <w:jc w:val="center"/>
            </w:pPr>
            <w:r>
              <w:t>113,2</w:t>
            </w:r>
          </w:p>
        </w:tc>
        <w:tc>
          <w:tcPr>
            <w:tcW w:w="1020" w:type="dxa"/>
            <w:tcBorders>
              <w:top w:val="nil"/>
              <w:bottom w:val="nil"/>
            </w:tcBorders>
          </w:tcPr>
          <w:p w:rsidR="00212513" w:rsidRDefault="00212513">
            <w:pPr>
              <w:pStyle w:val="ConsPlusNormal"/>
              <w:jc w:val="center"/>
            </w:pPr>
            <w:r>
              <w:t>115,8</w:t>
            </w:r>
          </w:p>
        </w:tc>
      </w:tr>
      <w:tr w:rsidR="00212513">
        <w:tblPrEx>
          <w:tblBorders>
            <w:insideH w:val="none" w:sz="0" w:space="0" w:color="auto"/>
          </w:tblBorders>
        </w:tblPrEx>
        <w:tc>
          <w:tcPr>
            <w:tcW w:w="1304" w:type="dxa"/>
            <w:tcBorders>
              <w:top w:val="nil"/>
              <w:bottom w:val="nil"/>
            </w:tcBorders>
          </w:tcPr>
          <w:p w:rsidR="00212513" w:rsidRDefault="00212513">
            <w:pPr>
              <w:pStyle w:val="ConsPlusNormal"/>
              <w:jc w:val="center"/>
            </w:pPr>
            <w:r>
              <w:t>30</w:t>
            </w:r>
          </w:p>
        </w:tc>
        <w:tc>
          <w:tcPr>
            <w:tcW w:w="1114" w:type="dxa"/>
            <w:tcBorders>
              <w:top w:val="nil"/>
              <w:bottom w:val="nil"/>
            </w:tcBorders>
          </w:tcPr>
          <w:p w:rsidR="00212513" w:rsidRDefault="00212513">
            <w:pPr>
              <w:pStyle w:val="ConsPlusNormal"/>
              <w:jc w:val="center"/>
            </w:pPr>
            <w:r>
              <w:t>30,8</w:t>
            </w:r>
          </w:p>
        </w:tc>
        <w:tc>
          <w:tcPr>
            <w:tcW w:w="1114" w:type="dxa"/>
            <w:tcBorders>
              <w:top w:val="nil"/>
              <w:bottom w:val="nil"/>
            </w:tcBorders>
          </w:tcPr>
          <w:p w:rsidR="00212513" w:rsidRDefault="00212513">
            <w:pPr>
              <w:pStyle w:val="ConsPlusNormal"/>
              <w:jc w:val="center"/>
            </w:pPr>
            <w:r>
              <w:t>31,6</w:t>
            </w:r>
          </w:p>
        </w:tc>
        <w:tc>
          <w:tcPr>
            <w:tcW w:w="1020" w:type="dxa"/>
            <w:tcBorders>
              <w:top w:val="nil"/>
              <w:bottom w:val="nil"/>
            </w:tcBorders>
          </w:tcPr>
          <w:p w:rsidR="00212513" w:rsidRDefault="00212513">
            <w:pPr>
              <w:pStyle w:val="ConsPlusNormal"/>
              <w:jc w:val="center"/>
            </w:pPr>
            <w:r>
              <w:t>38,0</w:t>
            </w:r>
          </w:p>
        </w:tc>
        <w:tc>
          <w:tcPr>
            <w:tcW w:w="1474" w:type="dxa"/>
            <w:gridSpan w:val="2"/>
            <w:tcBorders>
              <w:top w:val="nil"/>
              <w:bottom w:val="nil"/>
            </w:tcBorders>
          </w:tcPr>
          <w:p w:rsidR="00212513" w:rsidRDefault="00212513">
            <w:pPr>
              <w:pStyle w:val="ConsPlusNormal"/>
              <w:jc w:val="center"/>
            </w:pPr>
            <w:r>
              <w:t>44,0</w:t>
            </w:r>
          </w:p>
        </w:tc>
        <w:tc>
          <w:tcPr>
            <w:tcW w:w="964" w:type="dxa"/>
            <w:tcBorders>
              <w:top w:val="nil"/>
              <w:bottom w:val="nil"/>
            </w:tcBorders>
          </w:tcPr>
          <w:p w:rsidR="00212513" w:rsidRDefault="00212513">
            <w:pPr>
              <w:pStyle w:val="ConsPlusNormal"/>
              <w:jc w:val="center"/>
            </w:pPr>
            <w:r>
              <w:t>45,4</w:t>
            </w:r>
          </w:p>
        </w:tc>
        <w:tc>
          <w:tcPr>
            <w:tcW w:w="1020" w:type="dxa"/>
            <w:tcBorders>
              <w:top w:val="nil"/>
              <w:bottom w:val="nil"/>
            </w:tcBorders>
          </w:tcPr>
          <w:p w:rsidR="00212513" w:rsidRDefault="00212513">
            <w:pPr>
              <w:pStyle w:val="ConsPlusNormal"/>
              <w:jc w:val="center"/>
            </w:pPr>
            <w:r>
              <w:t>53,3</w:t>
            </w:r>
          </w:p>
        </w:tc>
        <w:tc>
          <w:tcPr>
            <w:tcW w:w="1191" w:type="dxa"/>
            <w:tcBorders>
              <w:top w:val="nil"/>
              <w:bottom w:val="nil"/>
            </w:tcBorders>
          </w:tcPr>
          <w:p w:rsidR="00212513" w:rsidRDefault="00212513">
            <w:pPr>
              <w:pStyle w:val="ConsPlusNormal"/>
              <w:jc w:val="center"/>
            </w:pPr>
            <w:r>
              <w:t>88,9</w:t>
            </w:r>
          </w:p>
        </w:tc>
        <w:tc>
          <w:tcPr>
            <w:tcW w:w="1191" w:type="dxa"/>
            <w:tcBorders>
              <w:top w:val="nil"/>
              <w:bottom w:val="nil"/>
            </w:tcBorders>
          </w:tcPr>
          <w:p w:rsidR="00212513" w:rsidRDefault="00212513">
            <w:pPr>
              <w:pStyle w:val="ConsPlusNormal"/>
              <w:jc w:val="center"/>
            </w:pPr>
            <w:r>
              <w:t>92,3</w:t>
            </w:r>
          </w:p>
        </w:tc>
        <w:tc>
          <w:tcPr>
            <w:tcW w:w="1020" w:type="dxa"/>
            <w:tcBorders>
              <w:top w:val="nil"/>
              <w:bottom w:val="nil"/>
            </w:tcBorders>
          </w:tcPr>
          <w:p w:rsidR="00212513" w:rsidRDefault="00212513">
            <w:pPr>
              <w:pStyle w:val="ConsPlusNormal"/>
              <w:jc w:val="center"/>
            </w:pPr>
            <w:r>
              <w:t>93,8</w:t>
            </w:r>
          </w:p>
        </w:tc>
      </w:tr>
      <w:tr w:rsidR="00212513">
        <w:tblPrEx>
          <w:tblBorders>
            <w:insideH w:val="none" w:sz="0" w:space="0" w:color="auto"/>
          </w:tblBorders>
        </w:tblPrEx>
        <w:tc>
          <w:tcPr>
            <w:tcW w:w="1304" w:type="dxa"/>
            <w:tcBorders>
              <w:top w:val="nil"/>
              <w:bottom w:val="nil"/>
            </w:tcBorders>
          </w:tcPr>
          <w:p w:rsidR="00212513" w:rsidRDefault="00212513">
            <w:pPr>
              <w:pStyle w:val="ConsPlusNormal"/>
              <w:jc w:val="center"/>
            </w:pPr>
            <w:r>
              <w:t>33</w:t>
            </w:r>
          </w:p>
        </w:tc>
        <w:tc>
          <w:tcPr>
            <w:tcW w:w="1114" w:type="dxa"/>
            <w:tcBorders>
              <w:top w:val="nil"/>
              <w:bottom w:val="nil"/>
            </w:tcBorders>
          </w:tcPr>
          <w:p w:rsidR="00212513" w:rsidRDefault="00212513">
            <w:pPr>
              <w:pStyle w:val="ConsPlusNormal"/>
              <w:jc w:val="center"/>
            </w:pPr>
            <w:r>
              <w:t>28,1</w:t>
            </w:r>
          </w:p>
        </w:tc>
        <w:tc>
          <w:tcPr>
            <w:tcW w:w="1114" w:type="dxa"/>
            <w:tcBorders>
              <w:top w:val="nil"/>
              <w:bottom w:val="nil"/>
            </w:tcBorders>
          </w:tcPr>
          <w:p w:rsidR="00212513" w:rsidRDefault="00212513">
            <w:pPr>
              <w:pStyle w:val="ConsPlusNormal"/>
              <w:jc w:val="center"/>
            </w:pPr>
            <w:r>
              <w:t>29,9</w:t>
            </w:r>
          </w:p>
        </w:tc>
        <w:tc>
          <w:tcPr>
            <w:tcW w:w="1020" w:type="dxa"/>
            <w:tcBorders>
              <w:top w:val="nil"/>
              <w:bottom w:val="nil"/>
            </w:tcBorders>
          </w:tcPr>
          <w:p w:rsidR="00212513" w:rsidRDefault="00212513">
            <w:pPr>
              <w:pStyle w:val="ConsPlusNormal"/>
              <w:jc w:val="center"/>
            </w:pPr>
            <w:r>
              <w:t>36,9</w:t>
            </w:r>
          </w:p>
        </w:tc>
        <w:tc>
          <w:tcPr>
            <w:tcW w:w="1474" w:type="dxa"/>
            <w:gridSpan w:val="2"/>
            <w:tcBorders>
              <w:top w:val="nil"/>
              <w:bottom w:val="nil"/>
            </w:tcBorders>
          </w:tcPr>
          <w:p w:rsidR="00212513" w:rsidRDefault="00212513">
            <w:pPr>
              <w:pStyle w:val="ConsPlusNormal"/>
              <w:jc w:val="center"/>
            </w:pPr>
            <w:r>
              <w:t>40,3</w:t>
            </w:r>
          </w:p>
        </w:tc>
        <w:tc>
          <w:tcPr>
            <w:tcW w:w="964" w:type="dxa"/>
            <w:tcBorders>
              <w:top w:val="nil"/>
              <w:bottom w:val="nil"/>
            </w:tcBorders>
          </w:tcPr>
          <w:p w:rsidR="00212513" w:rsidRDefault="00212513">
            <w:pPr>
              <w:pStyle w:val="ConsPlusNormal"/>
              <w:jc w:val="center"/>
            </w:pPr>
            <w:r>
              <w:t>42,3</w:t>
            </w:r>
          </w:p>
        </w:tc>
        <w:tc>
          <w:tcPr>
            <w:tcW w:w="1020" w:type="dxa"/>
            <w:tcBorders>
              <w:top w:val="nil"/>
              <w:bottom w:val="nil"/>
            </w:tcBorders>
          </w:tcPr>
          <w:p w:rsidR="00212513" w:rsidRDefault="00212513">
            <w:pPr>
              <w:pStyle w:val="ConsPlusNormal"/>
              <w:jc w:val="center"/>
            </w:pPr>
            <w:r>
              <w:t>52,1</w:t>
            </w:r>
          </w:p>
        </w:tc>
        <w:tc>
          <w:tcPr>
            <w:tcW w:w="1191" w:type="dxa"/>
            <w:tcBorders>
              <w:top w:val="nil"/>
              <w:bottom w:val="nil"/>
            </w:tcBorders>
          </w:tcPr>
          <w:p w:rsidR="00212513" w:rsidRDefault="00212513">
            <w:pPr>
              <w:pStyle w:val="ConsPlusNormal"/>
              <w:jc w:val="center"/>
            </w:pPr>
            <w:r>
              <w:t>81,7</w:t>
            </w:r>
          </w:p>
        </w:tc>
        <w:tc>
          <w:tcPr>
            <w:tcW w:w="1191" w:type="dxa"/>
            <w:tcBorders>
              <w:top w:val="nil"/>
              <w:bottom w:val="nil"/>
            </w:tcBorders>
          </w:tcPr>
          <w:p w:rsidR="00212513" w:rsidRDefault="00212513">
            <w:pPr>
              <w:pStyle w:val="ConsPlusNormal"/>
              <w:jc w:val="center"/>
            </w:pPr>
            <w:r>
              <w:t>84,4</w:t>
            </w:r>
          </w:p>
        </w:tc>
        <w:tc>
          <w:tcPr>
            <w:tcW w:w="1020" w:type="dxa"/>
            <w:tcBorders>
              <w:top w:val="nil"/>
              <w:bottom w:val="nil"/>
            </w:tcBorders>
          </w:tcPr>
          <w:p w:rsidR="00212513" w:rsidRDefault="00212513">
            <w:pPr>
              <w:pStyle w:val="ConsPlusNormal"/>
              <w:jc w:val="center"/>
            </w:pPr>
            <w:r>
              <w:t>90,2</w:t>
            </w:r>
          </w:p>
        </w:tc>
      </w:tr>
      <w:tr w:rsidR="00212513">
        <w:tblPrEx>
          <w:tblBorders>
            <w:insideH w:val="none" w:sz="0" w:space="0" w:color="auto"/>
          </w:tblBorders>
        </w:tblPrEx>
        <w:tc>
          <w:tcPr>
            <w:tcW w:w="1304" w:type="dxa"/>
            <w:tcBorders>
              <w:top w:val="nil"/>
              <w:bottom w:val="nil"/>
            </w:tcBorders>
          </w:tcPr>
          <w:p w:rsidR="00212513" w:rsidRDefault="00212513">
            <w:pPr>
              <w:pStyle w:val="ConsPlusNormal"/>
              <w:jc w:val="center"/>
            </w:pPr>
            <w:r>
              <w:t>36</w:t>
            </w:r>
          </w:p>
        </w:tc>
        <w:tc>
          <w:tcPr>
            <w:tcW w:w="1114" w:type="dxa"/>
            <w:tcBorders>
              <w:top w:val="nil"/>
              <w:bottom w:val="nil"/>
            </w:tcBorders>
          </w:tcPr>
          <w:p w:rsidR="00212513" w:rsidRDefault="00212513">
            <w:pPr>
              <w:pStyle w:val="ConsPlusNormal"/>
              <w:jc w:val="center"/>
            </w:pPr>
            <w:r>
              <w:t>26,0</w:t>
            </w:r>
          </w:p>
        </w:tc>
        <w:tc>
          <w:tcPr>
            <w:tcW w:w="1114" w:type="dxa"/>
            <w:tcBorders>
              <w:top w:val="nil"/>
              <w:bottom w:val="nil"/>
            </w:tcBorders>
          </w:tcPr>
          <w:p w:rsidR="00212513" w:rsidRDefault="00212513">
            <w:pPr>
              <w:pStyle w:val="ConsPlusNormal"/>
              <w:jc w:val="center"/>
            </w:pPr>
            <w:r>
              <w:t>29,0</w:t>
            </w:r>
          </w:p>
        </w:tc>
        <w:tc>
          <w:tcPr>
            <w:tcW w:w="1020" w:type="dxa"/>
            <w:tcBorders>
              <w:top w:val="nil"/>
              <w:bottom w:val="nil"/>
            </w:tcBorders>
          </w:tcPr>
          <w:p w:rsidR="00212513" w:rsidRDefault="00212513">
            <w:pPr>
              <w:pStyle w:val="ConsPlusNormal"/>
              <w:jc w:val="center"/>
            </w:pPr>
            <w:r>
              <w:t>35,6</w:t>
            </w:r>
          </w:p>
        </w:tc>
        <w:tc>
          <w:tcPr>
            <w:tcW w:w="1474" w:type="dxa"/>
            <w:gridSpan w:val="2"/>
            <w:tcBorders>
              <w:top w:val="nil"/>
              <w:bottom w:val="nil"/>
            </w:tcBorders>
          </w:tcPr>
          <w:p w:rsidR="00212513" w:rsidRDefault="00212513">
            <w:pPr>
              <w:pStyle w:val="ConsPlusNormal"/>
              <w:jc w:val="center"/>
            </w:pPr>
            <w:r>
              <w:t>37,3</w:t>
            </w:r>
          </w:p>
        </w:tc>
        <w:tc>
          <w:tcPr>
            <w:tcW w:w="964" w:type="dxa"/>
            <w:tcBorders>
              <w:top w:val="nil"/>
              <w:bottom w:val="nil"/>
            </w:tcBorders>
          </w:tcPr>
          <w:p w:rsidR="00212513" w:rsidRDefault="00212513">
            <w:pPr>
              <w:pStyle w:val="ConsPlusNormal"/>
              <w:jc w:val="center"/>
            </w:pPr>
            <w:r>
              <w:t>41,1</w:t>
            </w:r>
          </w:p>
        </w:tc>
        <w:tc>
          <w:tcPr>
            <w:tcW w:w="1020" w:type="dxa"/>
            <w:tcBorders>
              <w:top w:val="nil"/>
              <w:bottom w:val="nil"/>
            </w:tcBorders>
          </w:tcPr>
          <w:p w:rsidR="00212513" w:rsidRDefault="00212513">
            <w:pPr>
              <w:pStyle w:val="ConsPlusNormal"/>
              <w:jc w:val="center"/>
            </w:pPr>
            <w:r>
              <w:t>50,5</w:t>
            </w:r>
          </w:p>
        </w:tc>
        <w:tc>
          <w:tcPr>
            <w:tcW w:w="1191" w:type="dxa"/>
            <w:tcBorders>
              <w:top w:val="nil"/>
              <w:bottom w:val="nil"/>
            </w:tcBorders>
          </w:tcPr>
          <w:p w:rsidR="00212513" w:rsidRDefault="00212513">
            <w:pPr>
              <w:pStyle w:val="ConsPlusNormal"/>
              <w:jc w:val="center"/>
            </w:pPr>
            <w:r>
              <w:t>75,4</w:t>
            </w:r>
          </w:p>
        </w:tc>
        <w:tc>
          <w:tcPr>
            <w:tcW w:w="1191" w:type="dxa"/>
            <w:tcBorders>
              <w:top w:val="nil"/>
              <w:bottom w:val="nil"/>
            </w:tcBorders>
          </w:tcPr>
          <w:p w:rsidR="00212513" w:rsidRDefault="00212513">
            <w:pPr>
              <w:pStyle w:val="ConsPlusNormal"/>
              <w:jc w:val="center"/>
            </w:pPr>
            <w:r>
              <w:t>77,8</w:t>
            </w:r>
          </w:p>
        </w:tc>
        <w:tc>
          <w:tcPr>
            <w:tcW w:w="1020" w:type="dxa"/>
            <w:tcBorders>
              <w:top w:val="nil"/>
              <w:bottom w:val="nil"/>
            </w:tcBorders>
          </w:tcPr>
          <w:p w:rsidR="00212513" w:rsidRDefault="00212513">
            <w:pPr>
              <w:pStyle w:val="ConsPlusNormal"/>
              <w:jc w:val="center"/>
            </w:pPr>
            <w:r>
              <w:t>88,1</w:t>
            </w:r>
          </w:p>
        </w:tc>
      </w:tr>
      <w:tr w:rsidR="00212513">
        <w:tblPrEx>
          <w:tblBorders>
            <w:insideH w:val="none" w:sz="0" w:space="0" w:color="auto"/>
          </w:tblBorders>
        </w:tblPrEx>
        <w:tc>
          <w:tcPr>
            <w:tcW w:w="1304" w:type="dxa"/>
            <w:tcBorders>
              <w:top w:val="nil"/>
              <w:bottom w:val="nil"/>
            </w:tcBorders>
          </w:tcPr>
          <w:p w:rsidR="00212513" w:rsidRDefault="00212513">
            <w:pPr>
              <w:pStyle w:val="ConsPlusNormal"/>
              <w:jc w:val="center"/>
            </w:pPr>
            <w:r>
              <w:lastRenderedPageBreak/>
              <w:t>48</w:t>
            </w:r>
          </w:p>
        </w:tc>
        <w:tc>
          <w:tcPr>
            <w:tcW w:w="1114" w:type="dxa"/>
            <w:tcBorders>
              <w:top w:val="nil"/>
              <w:bottom w:val="nil"/>
            </w:tcBorders>
          </w:tcPr>
          <w:p w:rsidR="00212513" w:rsidRDefault="00212513">
            <w:pPr>
              <w:pStyle w:val="ConsPlusNormal"/>
              <w:jc w:val="center"/>
            </w:pPr>
            <w:r>
              <w:t>21,6</w:t>
            </w:r>
          </w:p>
        </w:tc>
        <w:tc>
          <w:tcPr>
            <w:tcW w:w="1114" w:type="dxa"/>
            <w:tcBorders>
              <w:top w:val="nil"/>
              <w:bottom w:val="nil"/>
            </w:tcBorders>
          </w:tcPr>
          <w:p w:rsidR="00212513" w:rsidRDefault="00212513">
            <w:pPr>
              <w:pStyle w:val="ConsPlusNormal"/>
              <w:jc w:val="center"/>
            </w:pPr>
            <w:r>
              <w:t>26,8</w:t>
            </w:r>
          </w:p>
        </w:tc>
        <w:tc>
          <w:tcPr>
            <w:tcW w:w="1020" w:type="dxa"/>
            <w:tcBorders>
              <w:top w:val="nil"/>
              <w:bottom w:val="nil"/>
            </w:tcBorders>
          </w:tcPr>
          <w:p w:rsidR="00212513" w:rsidRDefault="00212513">
            <w:pPr>
              <w:pStyle w:val="ConsPlusNormal"/>
              <w:jc w:val="center"/>
            </w:pPr>
            <w:r>
              <w:t>30,8</w:t>
            </w:r>
          </w:p>
        </w:tc>
        <w:tc>
          <w:tcPr>
            <w:tcW w:w="1474" w:type="dxa"/>
            <w:gridSpan w:val="2"/>
            <w:tcBorders>
              <w:top w:val="nil"/>
              <w:bottom w:val="nil"/>
            </w:tcBorders>
          </w:tcPr>
          <w:p w:rsidR="00212513" w:rsidRDefault="00212513">
            <w:pPr>
              <w:pStyle w:val="ConsPlusNormal"/>
              <w:jc w:val="center"/>
            </w:pPr>
            <w:r>
              <w:t>30,2</w:t>
            </w:r>
          </w:p>
        </w:tc>
        <w:tc>
          <w:tcPr>
            <w:tcW w:w="964" w:type="dxa"/>
            <w:tcBorders>
              <w:top w:val="nil"/>
              <w:bottom w:val="nil"/>
            </w:tcBorders>
          </w:tcPr>
          <w:p w:rsidR="00212513" w:rsidRDefault="00212513">
            <w:pPr>
              <w:pStyle w:val="ConsPlusNormal"/>
              <w:jc w:val="center"/>
            </w:pPr>
            <w:r>
              <w:t>37,9</w:t>
            </w:r>
          </w:p>
        </w:tc>
        <w:tc>
          <w:tcPr>
            <w:tcW w:w="1020" w:type="dxa"/>
            <w:tcBorders>
              <w:top w:val="nil"/>
              <w:bottom w:val="nil"/>
            </w:tcBorders>
          </w:tcPr>
          <w:p w:rsidR="00212513" w:rsidRDefault="00212513">
            <w:pPr>
              <w:pStyle w:val="ConsPlusNormal"/>
              <w:jc w:val="center"/>
            </w:pPr>
            <w:r>
              <w:t>43,5</w:t>
            </w:r>
          </w:p>
        </w:tc>
        <w:tc>
          <w:tcPr>
            <w:tcW w:w="1191" w:type="dxa"/>
            <w:tcBorders>
              <w:top w:val="nil"/>
              <w:bottom w:val="nil"/>
            </w:tcBorders>
          </w:tcPr>
          <w:p w:rsidR="00212513" w:rsidRDefault="00212513">
            <w:pPr>
              <w:pStyle w:val="ConsPlusNormal"/>
              <w:jc w:val="center"/>
            </w:pPr>
            <w:r>
              <w:t>57,9</w:t>
            </w:r>
          </w:p>
        </w:tc>
        <w:tc>
          <w:tcPr>
            <w:tcW w:w="1191" w:type="dxa"/>
            <w:tcBorders>
              <w:top w:val="nil"/>
              <w:bottom w:val="nil"/>
            </w:tcBorders>
          </w:tcPr>
          <w:p w:rsidR="00212513" w:rsidRDefault="00212513">
            <w:pPr>
              <w:pStyle w:val="ConsPlusNormal"/>
              <w:jc w:val="center"/>
            </w:pPr>
            <w:r>
              <w:t>66,2</w:t>
            </w:r>
          </w:p>
        </w:tc>
        <w:tc>
          <w:tcPr>
            <w:tcW w:w="1020" w:type="dxa"/>
            <w:tcBorders>
              <w:top w:val="nil"/>
              <w:bottom w:val="nil"/>
            </w:tcBorders>
          </w:tcPr>
          <w:p w:rsidR="00212513" w:rsidRDefault="00212513">
            <w:pPr>
              <w:pStyle w:val="ConsPlusNormal"/>
              <w:jc w:val="center"/>
            </w:pPr>
            <w:r>
              <w:t>80,3</w:t>
            </w:r>
          </w:p>
        </w:tc>
      </w:tr>
      <w:tr w:rsidR="00212513">
        <w:tblPrEx>
          <w:tblBorders>
            <w:insideH w:val="none" w:sz="0" w:space="0" w:color="auto"/>
          </w:tblBorders>
        </w:tblPrEx>
        <w:tc>
          <w:tcPr>
            <w:tcW w:w="1304" w:type="dxa"/>
            <w:tcBorders>
              <w:top w:val="nil"/>
              <w:bottom w:val="single" w:sz="4" w:space="0" w:color="auto"/>
            </w:tcBorders>
          </w:tcPr>
          <w:p w:rsidR="00212513" w:rsidRDefault="00212513">
            <w:pPr>
              <w:pStyle w:val="ConsPlusNormal"/>
              <w:jc w:val="center"/>
            </w:pPr>
            <w:r>
              <w:t>66</w:t>
            </w:r>
          </w:p>
        </w:tc>
        <w:tc>
          <w:tcPr>
            <w:tcW w:w="1114" w:type="dxa"/>
            <w:tcBorders>
              <w:top w:val="nil"/>
              <w:bottom w:val="single" w:sz="4" w:space="0" w:color="auto"/>
            </w:tcBorders>
          </w:tcPr>
          <w:p w:rsidR="00212513" w:rsidRDefault="00212513">
            <w:pPr>
              <w:pStyle w:val="ConsPlusNormal"/>
              <w:jc w:val="center"/>
            </w:pPr>
            <w:r>
              <w:t>23,3</w:t>
            </w:r>
          </w:p>
        </w:tc>
        <w:tc>
          <w:tcPr>
            <w:tcW w:w="1114" w:type="dxa"/>
            <w:tcBorders>
              <w:top w:val="nil"/>
              <w:bottom w:val="single" w:sz="4" w:space="0" w:color="auto"/>
            </w:tcBorders>
          </w:tcPr>
          <w:p w:rsidR="00212513" w:rsidRDefault="00212513">
            <w:pPr>
              <w:pStyle w:val="ConsPlusNormal"/>
              <w:jc w:val="center"/>
            </w:pPr>
            <w:r>
              <w:t>23,5</w:t>
            </w:r>
          </w:p>
        </w:tc>
        <w:tc>
          <w:tcPr>
            <w:tcW w:w="1020" w:type="dxa"/>
            <w:tcBorders>
              <w:top w:val="nil"/>
              <w:bottom w:val="single" w:sz="4" w:space="0" w:color="auto"/>
            </w:tcBorders>
          </w:tcPr>
          <w:p w:rsidR="00212513" w:rsidRDefault="00212513">
            <w:pPr>
              <w:pStyle w:val="ConsPlusNormal"/>
              <w:jc w:val="center"/>
            </w:pPr>
            <w:r>
              <w:t>28,4</w:t>
            </w:r>
          </w:p>
        </w:tc>
        <w:tc>
          <w:tcPr>
            <w:tcW w:w="1474" w:type="dxa"/>
            <w:gridSpan w:val="2"/>
            <w:tcBorders>
              <w:top w:val="nil"/>
              <w:bottom w:val="single" w:sz="4" w:space="0" w:color="auto"/>
            </w:tcBorders>
          </w:tcPr>
          <w:p w:rsidR="00212513" w:rsidRDefault="00212513">
            <w:pPr>
              <w:pStyle w:val="ConsPlusNormal"/>
              <w:jc w:val="center"/>
            </w:pPr>
            <w:r>
              <w:t>32,9</w:t>
            </w:r>
          </w:p>
        </w:tc>
        <w:tc>
          <w:tcPr>
            <w:tcW w:w="964" w:type="dxa"/>
            <w:tcBorders>
              <w:top w:val="nil"/>
              <w:bottom w:val="single" w:sz="4" w:space="0" w:color="auto"/>
            </w:tcBorders>
          </w:tcPr>
          <w:p w:rsidR="00212513" w:rsidRDefault="00212513">
            <w:pPr>
              <w:pStyle w:val="ConsPlusNormal"/>
              <w:jc w:val="center"/>
            </w:pPr>
            <w:r>
              <w:t>33,1</w:t>
            </w:r>
          </w:p>
        </w:tc>
        <w:tc>
          <w:tcPr>
            <w:tcW w:w="1020" w:type="dxa"/>
            <w:tcBorders>
              <w:top w:val="nil"/>
              <w:bottom w:val="single" w:sz="4" w:space="0" w:color="auto"/>
            </w:tcBorders>
          </w:tcPr>
          <w:p w:rsidR="00212513" w:rsidRDefault="00212513">
            <w:pPr>
              <w:pStyle w:val="ConsPlusNormal"/>
              <w:jc w:val="center"/>
            </w:pPr>
            <w:r>
              <w:t>40,4</w:t>
            </w:r>
          </w:p>
        </w:tc>
        <w:tc>
          <w:tcPr>
            <w:tcW w:w="1191" w:type="dxa"/>
            <w:tcBorders>
              <w:top w:val="nil"/>
              <w:bottom w:val="single" w:sz="4" w:space="0" w:color="auto"/>
            </w:tcBorders>
          </w:tcPr>
          <w:p w:rsidR="00212513" w:rsidRDefault="00212513">
            <w:pPr>
              <w:pStyle w:val="ConsPlusNormal"/>
              <w:jc w:val="center"/>
            </w:pPr>
            <w:r>
              <w:t>50,5</w:t>
            </w:r>
          </w:p>
        </w:tc>
        <w:tc>
          <w:tcPr>
            <w:tcW w:w="1191" w:type="dxa"/>
            <w:tcBorders>
              <w:top w:val="nil"/>
              <w:bottom w:val="single" w:sz="4" w:space="0" w:color="auto"/>
            </w:tcBorders>
          </w:tcPr>
          <w:p w:rsidR="00212513" w:rsidRDefault="00212513">
            <w:pPr>
              <w:pStyle w:val="ConsPlusNormal"/>
              <w:jc w:val="center"/>
            </w:pPr>
            <w:r>
              <w:t>59,4</w:t>
            </w:r>
          </w:p>
        </w:tc>
        <w:tc>
          <w:tcPr>
            <w:tcW w:w="1020" w:type="dxa"/>
            <w:tcBorders>
              <w:top w:val="nil"/>
              <w:bottom w:val="single" w:sz="4" w:space="0" w:color="auto"/>
            </w:tcBorders>
          </w:tcPr>
          <w:p w:rsidR="00212513" w:rsidRDefault="00212513">
            <w:pPr>
              <w:pStyle w:val="ConsPlusNormal"/>
              <w:jc w:val="center"/>
            </w:pPr>
            <w:r>
              <w:t>69,3</w:t>
            </w:r>
          </w:p>
        </w:tc>
      </w:tr>
      <w:tr w:rsidR="00212513">
        <w:tc>
          <w:tcPr>
            <w:tcW w:w="11412" w:type="dxa"/>
            <w:gridSpan w:val="11"/>
            <w:tcBorders>
              <w:top w:val="single" w:sz="4" w:space="0" w:color="auto"/>
              <w:bottom w:val="single" w:sz="4" w:space="0" w:color="auto"/>
            </w:tcBorders>
          </w:tcPr>
          <w:p w:rsidR="00212513" w:rsidRDefault="00212513">
            <w:pPr>
              <w:pStyle w:val="ConsPlusNormal"/>
              <w:ind w:firstLine="283"/>
              <w:jc w:val="both"/>
            </w:pPr>
            <w:r>
              <w:t>Примечание - Промежуточные значения эквивалентных нагрузок следует определять по интерполяции.</w:t>
            </w:r>
          </w:p>
        </w:tc>
      </w:tr>
    </w:tbl>
    <w:p w:rsidR="00212513" w:rsidRDefault="00212513">
      <w:pPr>
        <w:pStyle w:val="ConsPlusNormal"/>
        <w:sectPr w:rsidR="00212513">
          <w:pgSz w:w="16838" w:h="11905" w:orient="landscape"/>
          <w:pgMar w:top="1701" w:right="1134" w:bottom="850" w:left="1134" w:header="0" w:footer="0" w:gutter="0"/>
          <w:cols w:space="720"/>
          <w:titlePg/>
        </w:sectPr>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jc w:val="right"/>
        <w:outlineLvl w:val="0"/>
      </w:pPr>
      <w:r>
        <w:rPr>
          <w:b/>
        </w:rPr>
        <w:t>Приложение М</w:t>
      </w:r>
    </w:p>
    <w:p w:rsidR="00212513" w:rsidRDefault="00212513">
      <w:pPr>
        <w:pStyle w:val="ConsPlusNormal"/>
        <w:jc w:val="right"/>
      </w:pPr>
      <w:r>
        <w:rPr>
          <w:b/>
        </w:rPr>
        <w:t>(обязательное)</w:t>
      </w:r>
    </w:p>
    <w:p w:rsidR="00212513" w:rsidRDefault="00212513">
      <w:pPr>
        <w:pStyle w:val="ConsPlusNormal"/>
        <w:ind w:firstLine="540"/>
        <w:jc w:val="both"/>
      </w:pPr>
    </w:p>
    <w:p w:rsidR="00212513" w:rsidRDefault="00212513">
      <w:pPr>
        <w:pStyle w:val="ConsPlusTitle"/>
        <w:jc w:val="center"/>
      </w:pPr>
      <w:bookmarkStart w:id="497" w:name="P13918"/>
      <w:bookmarkEnd w:id="497"/>
      <w:r>
        <w:t>МЕТОДИКА ОПРЕДЕЛЕНИЯ ГОРИЗОНТАЛЬНОГО (БОКОВОГО) ДАВЛЕНИЯ</w:t>
      </w:r>
    </w:p>
    <w:p w:rsidR="00212513" w:rsidRDefault="00212513">
      <w:pPr>
        <w:pStyle w:val="ConsPlusTitle"/>
        <w:jc w:val="center"/>
      </w:pPr>
      <w:r>
        <w:t>ГРУНТА НА БЕРЕГОВЫЕ ОПОРЫ (УСТОИ) ОТ ТРАНСПОРТНЫХ СРЕДСТВ</w:t>
      </w:r>
    </w:p>
    <w:p w:rsidR="00212513" w:rsidRDefault="00212513">
      <w:pPr>
        <w:pStyle w:val="ConsPlusTitle"/>
        <w:jc w:val="center"/>
      </w:pPr>
      <w:r>
        <w:t>ЖЕЛЕЗНЫХ И АВТОМОБИЛЬНЫХ ДОРОГ</w:t>
      </w:r>
    </w:p>
    <w:p w:rsidR="00212513" w:rsidRDefault="00212513">
      <w:pPr>
        <w:pStyle w:val="ConsPlusNormal"/>
        <w:ind w:firstLine="540"/>
        <w:jc w:val="both"/>
      </w:pPr>
    </w:p>
    <w:p w:rsidR="00212513" w:rsidRDefault="00212513">
      <w:pPr>
        <w:pStyle w:val="ConsPlusNormal"/>
        <w:jc w:val="center"/>
      </w:pPr>
      <w:r>
        <w:rPr>
          <w:b/>
        </w:rPr>
        <w:t>При расположении на призме обрушения</w:t>
      </w:r>
    </w:p>
    <w:p w:rsidR="00212513" w:rsidRDefault="00212513">
      <w:pPr>
        <w:pStyle w:val="ConsPlusNormal"/>
        <w:jc w:val="center"/>
      </w:pPr>
      <w:r>
        <w:rPr>
          <w:b/>
        </w:rPr>
        <w:t>подвижного состава железных дорог</w:t>
      </w:r>
    </w:p>
    <w:p w:rsidR="00212513" w:rsidRDefault="00212513">
      <w:pPr>
        <w:pStyle w:val="ConsPlusNormal"/>
        <w:ind w:firstLine="540"/>
        <w:jc w:val="both"/>
      </w:pPr>
    </w:p>
    <w:p w:rsidR="00212513" w:rsidRDefault="00212513">
      <w:pPr>
        <w:pStyle w:val="ConsPlusNormal"/>
        <w:ind w:firstLine="540"/>
        <w:jc w:val="both"/>
      </w:pPr>
      <w:r>
        <w:t>М.1 Горизонтальное (боковое) давление, кН, следует определять по формулам:</w:t>
      </w:r>
    </w:p>
    <w:p w:rsidR="00212513" w:rsidRDefault="00212513">
      <w:pPr>
        <w:pStyle w:val="ConsPlusNormal"/>
        <w:spacing w:before="220"/>
        <w:ind w:firstLine="540"/>
        <w:jc w:val="both"/>
      </w:pPr>
      <w:r>
        <w:t>а) для однопутных устоев при симметричной (относительно оси устоя) нагрузке (</w:t>
      </w:r>
      <w:hyperlink w:anchor="P13948">
        <w:r>
          <w:rPr>
            <w:color w:val="0000FF"/>
          </w:rPr>
          <w:t>рисунок М.1</w:t>
        </w:r>
      </w:hyperlink>
      <w:r>
        <w:t>, а)</w:t>
      </w:r>
    </w:p>
    <w:p w:rsidR="00212513" w:rsidRDefault="00212513">
      <w:pPr>
        <w:pStyle w:val="ConsPlusNormal"/>
        <w:ind w:firstLine="540"/>
        <w:jc w:val="both"/>
      </w:pPr>
    </w:p>
    <w:p w:rsidR="00212513" w:rsidRDefault="00212513">
      <w:pPr>
        <w:pStyle w:val="ConsPlusNormal"/>
        <w:jc w:val="center"/>
      </w:pPr>
      <w:r>
        <w:rPr>
          <w:noProof/>
          <w:position w:val="-8"/>
        </w:rPr>
        <w:drawing>
          <wp:inline distT="0" distB="0" distL="0" distR="0">
            <wp:extent cx="2863850" cy="251460"/>
            <wp:effectExtent l="0" t="0" r="0" b="0"/>
            <wp:docPr id="2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9" cstate="print">
                      <a:extLst>
                        <a:ext uri="{28A0092B-C50C-407E-A947-70E740481C1C}">
                          <a14:useLocalDpi xmlns:a14="http://schemas.microsoft.com/office/drawing/2010/main" val="0"/>
                        </a:ext>
                      </a:extLst>
                    </a:blip>
                    <a:srcRect/>
                    <a:stretch>
                      <a:fillRect/>
                    </a:stretch>
                  </pic:blipFill>
                  <pic:spPr bwMode="auto">
                    <a:xfrm>
                      <a:off x="0" y="0"/>
                      <a:ext cx="2863850" cy="251460"/>
                    </a:xfrm>
                    <a:prstGeom prst="rect">
                      <a:avLst/>
                    </a:prstGeom>
                    <a:noFill/>
                    <a:ln>
                      <a:noFill/>
                    </a:ln>
                  </pic:spPr>
                </pic:pic>
              </a:graphicData>
            </a:graphic>
          </wp:inline>
        </w:drawing>
      </w:r>
      <w:r>
        <w:t>; (М.1)</w:t>
      </w:r>
    </w:p>
    <w:p w:rsidR="00212513" w:rsidRDefault="0021251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21251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12513" w:rsidRDefault="0021251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12513" w:rsidRDefault="0021251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12513" w:rsidRDefault="00212513">
            <w:pPr>
              <w:pStyle w:val="ConsPlusNormal"/>
              <w:jc w:val="both"/>
            </w:pPr>
            <w:r>
              <w:rPr>
                <w:color w:val="392C69"/>
              </w:rPr>
              <w:t>КонсультантПлюс: примечание.</w:t>
            </w:r>
          </w:p>
          <w:p w:rsidR="00212513" w:rsidRDefault="00212513">
            <w:pPr>
              <w:pStyle w:val="ConsPlusNormal"/>
              <w:jc w:val="both"/>
            </w:pPr>
            <w:r>
              <w:rPr>
                <w:color w:val="392C69"/>
              </w:rPr>
              <w:t>В официальном тексте документа, видимо, допущена опечатка: рисунок Р.1, б отсутствует. Возможно, имеется в виду рисунок М.1, б.</w:t>
            </w:r>
          </w:p>
        </w:tc>
        <w:tc>
          <w:tcPr>
            <w:tcW w:w="113" w:type="dxa"/>
            <w:tcBorders>
              <w:top w:val="nil"/>
              <w:left w:val="nil"/>
              <w:bottom w:val="nil"/>
              <w:right w:val="nil"/>
            </w:tcBorders>
            <w:shd w:val="clear" w:color="auto" w:fill="F4F3F8"/>
            <w:tcMar>
              <w:top w:w="0" w:type="dxa"/>
              <w:left w:w="0" w:type="dxa"/>
              <w:bottom w:w="0" w:type="dxa"/>
              <w:right w:w="0" w:type="dxa"/>
            </w:tcMar>
          </w:tcPr>
          <w:p w:rsidR="00212513" w:rsidRDefault="00212513">
            <w:pPr>
              <w:pStyle w:val="ConsPlusNormal"/>
            </w:pPr>
          </w:p>
        </w:tc>
      </w:tr>
    </w:tbl>
    <w:p w:rsidR="00212513" w:rsidRDefault="00212513">
      <w:pPr>
        <w:pStyle w:val="ConsPlusNormal"/>
        <w:spacing w:before="280"/>
        <w:ind w:firstLine="540"/>
        <w:jc w:val="both"/>
      </w:pPr>
      <w:r>
        <w:t>б) для многопутных устоев при несимметричной (относительно оси устоя) нагрузке (</w:t>
      </w:r>
      <w:hyperlink w:anchor="P13948">
        <w:r>
          <w:rPr>
            <w:color w:val="0000FF"/>
          </w:rPr>
          <w:t>рисунок Р.1</w:t>
        </w:r>
      </w:hyperlink>
      <w:r>
        <w:t>, б)</w:t>
      </w:r>
    </w:p>
    <w:p w:rsidR="00212513" w:rsidRDefault="00212513">
      <w:pPr>
        <w:pStyle w:val="ConsPlusNormal"/>
        <w:ind w:firstLine="540"/>
        <w:jc w:val="both"/>
      </w:pPr>
    </w:p>
    <w:p w:rsidR="00212513" w:rsidRDefault="00212513">
      <w:pPr>
        <w:pStyle w:val="ConsPlusNormal"/>
        <w:jc w:val="center"/>
      </w:pPr>
      <w:bookmarkStart w:id="498" w:name="P13934"/>
      <w:bookmarkEnd w:id="498"/>
      <w:r>
        <w:rPr>
          <w:noProof/>
          <w:position w:val="-28"/>
        </w:rPr>
        <w:drawing>
          <wp:inline distT="0" distB="0" distL="0" distR="0">
            <wp:extent cx="3855720" cy="502920"/>
            <wp:effectExtent l="0" t="0" r="0" b="0"/>
            <wp:docPr id="2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0" cstate="print">
                      <a:extLst>
                        <a:ext uri="{28A0092B-C50C-407E-A947-70E740481C1C}">
                          <a14:useLocalDpi xmlns:a14="http://schemas.microsoft.com/office/drawing/2010/main" val="0"/>
                        </a:ext>
                      </a:extLst>
                    </a:blip>
                    <a:srcRect/>
                    <a:stretch>
                      <a:fillRect/>
                    </a:stretch>
                  </pic:blipFill>
                  <pic:spPr bwMode="auto">
                    <a:xfrm>
                      <a:off x="0" y="0"/>
                      <a:ext cx="3855720" cy="502920"/>
                    </a:xfrm>
                    <a:prstGeom prst="rect">
                      <a:avLst/>
                    </a:prstGeom>
                    <a:noFill/>
                    <a:ln>
                      <a:noFill/>
                    </a:ln>
                  </pic:spPr>
                </pic:pic>
              </a:graphicData>
            </a:graphic>
          </wp:inline>
        </w:drawing>
      </w:r>
      <w:r>
        <w:t>. (М.2)</w:t>
      </w:r>
    </w:p>
    <w:p w:rsidR="00212513" w:rsidRDefault="00212513">
      <w:pPr>
        <w:pStyle w:val="ConsPlusNormal"/>
        <w:ind w:firstLine="540"/>
        <w:jc w:val="both"/>
      </w:pPr>
    </w:p>
    <w:p w:rsidR="00212513" w:rsidRDefault="00212513">
      <w:pPr>
        <w:pStyle w:val="ConsPlusNormal"/>
        <w:jc w:val="center"/>
      </w:pPr>
      <w:r>
        <w:rPr>
          <w:noProof/>
          <w:position w:val="-409"/>
        </w:rPr>
        <w:lastRenderedPageBreak/>
        <w:drawing>
          <wp:inline distT="0" distB="0" distL="0" distR="0">
            <wp:extent cx="3017520" cy="5337810"/>
            <wp:effectExtent l="0" t="0" r="0" b="0"/>
            <wp:docPr id="2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1" cstate="print">
                      <a:extLst>
                        <a:ext uri="{28A0092B-C50C-407E-A947-70E740481C1C}">
                          <a14:useLocalDpi xmlns:a14="http://schemas.microsoft.com/office/drawing/2010/main" val="0"/>
                        </a:ext>
                      </a:extLst>
                    </a:blip>
                    <a:srcRect/>
                    <a:stretch>
                      <a:fillRect/>
                    </a:stretch>
                  </pic:blipFill>
                  <pic:spPr bwMode="auto">
                    <a:xfrm>
                      <a:off x="0" y="0"/>
                      <a:ext cx="3017520" cy="5337810"/>
                    </a:xfrm>
                    <a:prstGeom prst="rect">
                      <a:avLst/>
                    </a:prstGeom>
                    <a:noFill/>
                    <a:ln>
                      <a:noFill/>
                    </a:ln>
                  </pic:spPr>
                </pic:pic>
              </a:graphicData>
            </a:graphic>
          </wp:inline>
        </w:drawing>
      </w:r>
    </w:p>
    <w:p w:rsidR="00212513" w:rsidRDefault="00212513">
      <w:pPr>
        <w:pStyle w:val="ConsPlusNormal"/>
        <w:ind w:firstLine="540"/>
        <w:jc w:val="both"/>
      </w:pPr>
    </w:p>
    <w:p w:rsidR="00212513" w:rsidRDefault="00212513">
      <w:pPr>
        <w:pStyle w:val="ConsPlusNormal"/>
        <w:jc w:val="center"/>
      </w:pPr>
      <w:r>
        <w:t>а - при расположении на призме обрушения подвижного состава</w:t>
      </w:r>
    </w:p>
    <w:p w:rsidR="00212513" w:rsidRDefault="00212513">
      <w:pPr>
        <w:pStyle w:val="ConsPlusNormal"/>
        <w:jc w:val="center"/>
      </w:pPr>
      <w:r>
        <w:t>железных дорог для однопутных устоев при симметричной</w:t>
      </w:r>
    </w:p>
    <w:p w:rsidR="00212513" w:rsidRDefault="00212513">
      <w:pPr>
        <w:pStyle w:val="ConsPlusNormal"/>
        <w:jc w:val="center"/>
      </w:pPr>
      <w:r>
        <w:t>(относительно оси устоя) нагрузке; б - то же, для</w:t>
      </w:r>
    </w:p>
    <w:p w:rsidR="00212513" w:rsidRDefault="00212513">
      <w:pPr>
        <w:pStyle w:val="ConsPlusNormal"/>
        <w:jc w:val="center"/>
      </w:pPr>
      <w:r>
        <w:t>многопутных устоев при несимметричной (относительно оси</w:t>
      </w:r>
    </w:p>
    <w:p w:rsidR="00212513" w:rsidRDefault="00212513">
      <w:pPr>
        <w:pStyle w:val="ConsPlusNormal"/>
        <w:jc w:val="center"/>
      </w:pPr>
      <w:r>
        <w:t>устоя) нагрузке; в - при расположении на призме обрушения</w:t>
      </w:r>
    </w:p>
    <w:p w:rsidR="00212513" w:rsidRDefault="00212513">
      <w:pPr>
        <w:pStyle w:val="ConsPlusNormal"/>
        <w:jc w:val="center"/>
      </w:pPr>
      <w:r>
        <w:t>автомобильной нагрузки и стенки перпендикулярно направлению</w:t>
      </w:r>
    </w:p>
    <w:p w:rsidR="00212513" w:rsidRDefault="00212513">
      <w:pPr>
        <w:pStyle w:val="ConsPlusNormal"/>
        <w:jc w:val="center"/>
      </w:pPr>
      <w:r>
        <w:t>движения (</w:t>
      </w:r>
      <w:r>
        <w:rPr>
          <w:i/>
        </w:rPr>
        <w:t>c</w:t>
      </w:r>
      <w:r>
        <w:t xml:space="preserve"> - длина соприкасания вдоль оси моста</w:t>
      </w:r>
    </w:p>
    <w:p w:rsidR="00212513" w:rsidRDefault="00212513">
      <w:pPr>
        <w:pStyle w:val="ConsPlusNormal"/>
        <w:jc w:val="center"/>
      </w:pPr>
      <w:r>
        <w:t xml:space="preserve">колес с покрытием проезжей части, угол </w:t>
      </w:r>
      <w:r>
        <w:rPr>
          <w:noProof/>
          <w:position w:val="-6"/>
        </w:rPr>
        <w:drawing>
          <wp:inline distT="0" distB="0" distL="0" distR="0">
            <wp:extent cx="167640" cy="220980"/>
            <wp:effectExtent l="0" t="0" r="0" b="0"/>
            <wp:docPr id="2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2" cstate="print">
                      <a:extLst>
                        <a:ext uri="{28A0092B-C50C-407E-A947-70E740481C1C}">
                          <a14:useLocalDpi xmlns:a14="http://schemas.microsoft.com/office/drawing/2010/main" val="0"/>
                        </a:ext>
                      </a:extLst>
                    </a:blip>
                    <a:srcRect/>
                    <a:stretch>
                      <a:fillRect/>
                    </a:stretch>
                  </pic:blipFill>
                  <pic:spPr bwMode="auto">
                    <a:xfrm>
                      <a:off x="0" y="0"/>
                      <a:ext cx="167640" cy="220980"/>
                    </a:xfrm>
                    <a:prstGeom prst="rect">
                      <a:avLst/>
                    </a:prstGeom>
                    <a:noFill/>
                    <a:ln>
                      <a:noFill/>
                    </a:ln>
                  </pic:spPr>
                </pic:pic>
              </a:graphicData>
            </a:graphic>
          </wp:inline>
        </w:drawing>
      </w:r>
      <w:r>
        <w:t xml:space="preserve"> - наклон</w:t>
      </w:r>
    </w:p>
    <w:p w:rsidR="00212513" w:rsidRDefault="00212513">
      <w:pPr>
        <w:pStyle w:val="ConsPlusNormal"/>
        <w:jc w:val="center"/>
      </w:pPr>
      <w:r>
        <w:t>к вертикальной плоскости скольжения грунта за устоем)</w:t>
      </w:r>
    </w:p>
    <w:p w:rsidR="00212513" w:rsidRDefault="00212513">
      <w:pPr>
        <w:pStyle w:val="ConsPlusNormal"/>
        <w:ind w:firstLine="540"/>
        <w:jc w:val="both"/>
      </w:pPr>
    </w:p>
    <w:p w:rsidR="00212513" w:rsidRDefault="00212513">
      <w:pPr>
        <w:pStyle w:val="ConsPlusNormal"/>
        <w:jc w:val="center"/>
      </w:pPr>
      <w:bookmarkStart w:id="499" w:name="P13948"/>
      <w:bookmarkEnd w:id="499"/>
      <w:r>
        <w:rPr>
          <w:b/>
          <w:i/>
        </w:rPr>
        <w:t>Рисунок М.1</w:t>
      </w:r>
      <w:r>
        <w:t xml:space="preserve"> </w:t>
      </w:r>
      <w:r>
        <w:rPr>
          <w:b/>
        </w:rPr>
        <w:t>- Схема загружения для определения</w:t>
      </w:r>
    </w:p>
    <w:p w:rsidR="00212513" w:rsidRDefault="00212513">
      <w:pPr>
        <w:pStyle w:val="ConsPlusNormal"/>
        <w:jc w:val="center"/>
      </w:pPr>
      <w:r>
        <w:rPr>
          <w:b/>
        </w:rPr>
        <w:t>горизонтального (бокового) давления</w:t>
      </w:r>
    </w:p>
    <w:p w:rsidR="00212513" w:rsidRDefault="00212513">
      <w:pPr>
        <w:pStyle w:val="ConsPlusNormal"/>
        <w:jc w:val="center"/>
      </w:pPr>
      <w:r>
        <w:rPr>
          <w:b/>
        </w:rPr>
        <w:t>грунта на береговые опоры (устои)</w:t>
      </w:r>
    </w:p>
    <w:p w:rsidR="00212513" w:rsidRDefault="00212513">
      <w:pPr>
        <w:pStyle w:val="ConsPlusNormal"/>
        <w:ind w:firstLine="540"/>
        <w:jc w:val="both"/>
      </w:pPr>
    </w:p>
    <w:p w:rsidR="00212513" w:rsidRDefault="00212513">
      <w:pPr>
        <w:pStyle w:val="ConsPlusNormal"/>
        <w:ind w:firstLine="540"/>
        <w:jc w:val="both"/>
      </w:pPr>
      <w:r>
        <w:t xml:space="preserve">Если </w:t>
      </w:r>
      <w:r>
        <w:rPr>
          <w:noProof/>
          <w:position w:val="-8"/>
        </w:rPr>
        <w:drawing>
          <wp:inline distT="0" distB="0" distL="0" distR="0">
            <wp:extent cx="450850" cy="251460"/>
            <wp:effectExtent l="0" t="0" r="0" b="0"/>
            <wp:docPr id="2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3" cstate="print">
                      <a:extLst>
                        <a:ext uri="{28A0092B-C50C-407E-A947-70E740481C1C}">
                          <a14:useLocalDpi xmlns:a14="http://schemas.microsoft.com/office/drawing/2010/main" val="0"/>
                        </a:ext>
                      </a:extLst>
                    </a:blip>
                    <a:srcRect/>
                    <a:stretch>
                      <a:fillRect/>
                    </a:stretch>
                  </pic:blipFill>
                  <pic:spPr bwMode="auto">
                    <a:xfrm>
                      <a:off x="0" y="0"/>
                      <a:ext cx="450850" cy="251460"/>
                    </a:xfrm>
                    <a:prstGeom prst="rect">
                      <a:avLst/>
                    </a:prstGeom>
                    <a:noFill/>
                    <a:ln>
                      <a:noFill/>
                    </a:ln>
                  </pic:spPr>
                </pic:pic>
              </a:graphicData>
            </a:graphic>
          </wp:inline>
        </w:drawing>
      </w:r>
      <w:r>
        <w:t xml:space="preserve">, то принимается </w:t>
      </w:r>
      <w:r>
        <w:rPr>
          <w:noProof/>
          <w:position w:val="-8"/>
        </w:rPr>
        <w:drawing>
          <wp:inline distT="0" distB="0" distL="0" distR="0">
            <wp:extent cx="502920" cy="251460"/>
            <wp:effectExtent l="0" t="0" r="0" b="0"/>
            <wp:docPr id="2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4" cstate="print">
                      <a:extLst>
                        <a:ext uri="{28A0092B-C50C-407E-A947-70E740481C1C}">
                          <a14:useLocalDpi xmlns:a14="http://schemas.microsoft.com/office/drawing/2010/main" val="0"/>
                        </a:ext>
                      </a:extLst>
                    </a:blip>
                    <a:srcRect/>
                    <a:stretch>
                      <a:fillRect/>
                    </a:stretch>
                  </pic:blipFill>
                  <pic:spPr bwMode="auto">
                    <a:xfrm>
                      <a:off x="0" y="0"/>
                      <a:ext cx="502920" cy="251460"/>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Плечи сил </w:t>
      </w:r>
      <w:r>
        <w:rPr>
          <w:noProof/>
          <w:position w:val="-8"/>
        </w:rPr>
        <w:drawing>
          <wp:inline distT="0" distB="0" distL="0" distR="0">
            <wp:extent cx="177800" cy="251460"/>
            <wp:effectExtent l="0" t="0" r="0" b="0"/>
            <wp:docPr id="2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5"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2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6"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2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7"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и </w:t>
      </w:r>
      <w:r>
        <w:rPr>
          <w:noProof/>
          <w:position w:val="-8"/>
        </w:rPr>
        <w:drawing>
          <wp:inline distT="0" distB="0" distL="0" distR="0">
            <wp:extent cx="198755" cy="250825"/>
            <wp:effectExtent l="0" t="0" r="0" b="0"/>
            <wp:docPr id="2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8"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считая от рассматриваемого сечения (</w:t>
      </w:r>
      <w:hyperlink w:anchor="P13948">
        <w:r>
          <w:rPr>
            <w:color w:val="0000FF"/>
          </w:rPr>
          <w:t>на рисунке М.1</w:t>
        </w:r>
      </w:hyperlink>
      <w:r>
        <w:t xml:space="preserve"> - подошвы фундамента), следует определять по формулам:</w:t>
      </w:r>
    </w:p>
    <w:p w:rsidR="00212513" w:rsidRDefault="00212513">
      <w:pPr>
        <w:pStyle w:val="ConsPlusNormal"/>
        <w:ind w:firstLine="540"/>
        <w:jc w:val="both"/>
      </w:pPr>
    </w:p>
    <w:p w:rsidR="00212513" w:rsidRDefault="00212513">
      <w:pPr>
        <w:pStyle w:val="ConsPlusNormal"/>
        <w:jc w:val="center"/>
      </w:pPr>
      <w:r>
        <w:rPr>
          <w:noProof/>
          <w:position w:val="-22"/>
        </w:rPr>
        <w:lastRenderedPageBreak/>
        <w:drawing>
          <wp:inline distT="0" distB="0" distL="0" distR="0">
            <wp:extent cx="733425" cy="428625"/>
            <wp:effectExtent l="0" t="0" r="0" b="0"/>
            <wp:docPr id="2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9" cstate="print">
                      <a:extLst>
                        <a:ext uri="{28A0092B-C50C-407E-A947-70E740481C1C}">
                          <a14:useLocalDpi xmlns:a14="http://schemas.microsoft.com/office/drawing/2010/main" val="0"/>
                        </a:ext>
                      </a:extLst>
                    </a:blip>
                    <a:srcRect/>
                    <a:stretch>
                      <a:fillRect/>
                    </a:stretch>
                  </pic:blipFill>
                  <pic:spPr bwMode="auto">
                    <a:xfrm>
                      <a:off x="0" y="0"/>
                      <a:ext cx="733425" cy="428625"/>
                    </a:xfrm>
                    <a:prstGeom prst="rect">
                      <a:avLst/>
                    </a:prstGeom>
                    <a:noFill/>
                    <a:ln>
                      <a:noFill/>
                    </a:ln>
                  </pic:spPr>
                </pic:pic>
              </a:graphicData>
            </a:graphic>
          </wp:inline>
        </w:drawing>
      </w:r>
      <w:r>
        <w:t>; (М.3)</w:t>
      </w:r>
    </w:p>
    <w:p w:rsidR="00212513" w:rsidRDefault="00212513">
      <w:pPr>
        <w:pStyle w:val="ConsPlusNormal"/>
        <w:ind w:firstLine="540"/>
        <w:jc w:val="both"/>
      </w:pPr>
    </w:p>
    <w:p w:rsidR="00212513" w:rsidRDefault="00212513">
      <w:pPr>
        <w:pStyle w:val="ConsPlusNormal"/>
        <w:jc w:val="center"/>
      </w:pPr>
      <w:r>
        <w:rPr>
          <w:noProof/>
          <w:position w:val="-28"/>
        </w:rPr>
        <w:drawing>
          <wp:inline distT="0" distB="0" distL="0" distR="0">
            <wp:extent cx="2011680" cy="502920"/>
            <wp:effectExtent l="0" t="0" r="0" b="0"/>
            <wp:docPr id="2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0" cstate="print">
                      <a:extLst>
                        <a:ext uri="{28A0092B-C50C-407E-A947-70E740481C1C}">
                          <a14:useLocalDpi xmlns:a14="http://schemas.microsoft.com/office/drawing/2010/main" val="0"/>
                        </a:ext>
                      </a:extLst>
                    </a:blip>
                    <a:srcRect/>
                    <a:stretch>
                      <a:fillRect/>
                    </a:stretch>
                  </pic:blipFill>
                  <pic:spPr bwMode="auto">
                    <a:xfrm>
                      <a:off x="0" y="0"/>
                      <a:ext cx="2011680" cy="502920"/>
                    </a:xfrm>
                    <a:prstGeom prst="rect">
                      <a:avLst/>
                    </a:prstGeom>
                    <a:noFill/>
                    <a:ln>
                      <a:noFill/>
                    </a:ln>
                  </pic:spPr>
                </pic:pic>
              </a:graphicData>
            </a:graphic>
          </wp:inline>
        </w:drawing>
      </w:r>
      <w:r>
        <w:t>; (М.4)</w:t>
      </w:r>
    </w:p>
    <w:p w:rsidR="00212513" w:rsidRDefault="00212513">
      <w:pPr>
        <w:pStyle w:val="ConsPlusNormal"/>
        <w:ind w:firstLine="540"/>
        <w:jc w:val="both"/>
      </w:pPr>
    </w:p>
    <w:p w:rsidR="00212513" w:rsidRDefault="00212513">
      <w:pPr>
        <w:pStyle w:val="ConsPlusNormal"/>
        <w:jc w:val="center"/>
      </w:pPr>
      <w:r>
        <w:rPr>
          <w:noProof/>
          <w:position w:val="-22"/>
        </w:rPr>
        <w:drawing>
          <wp:inline distT="0" distB="0" distL="0" distR="0">
            <wp:extent cx="754380" cy="428625"/>
            <wp:effectExtent l="0" t="0" r="0" b="0"/>
            <wp:docPr id="2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1" cstate="print">
                      <a:extLst>
                        <a:ext uri="{28A0092B-C50C-407E-A947-70E740481C1C}">
                          <a14:useLocalDpi xmlns:a14="http://schemas.microsoft.com/office/drawing/2010/main" val="0"/>
                        </a:ext>
                      </a:extLst>
                    </a:blip>
                    <a:srcRect/>
                    <a:stretch>
                      <a:fillRect/>
                    </a:stretch>
                  </pic:blipFill>
                  <pic:spPr bwMode="auto">
                    <a:xfrm>
                      <a:off x="0" y="0"/>
                      <a:ext cx="754380" cy="428625"/>
                    </a:xfrm>
                    <a:prstGeom prst="rect">
                      <a:avLst/>
                    </a:prstGeom>
                    <a:noFill/>
                    <a:ln>
                      <a:noFill/>
                    </a:ln>
                  </pic:spPr>
                </pic:pic>
              </a:graphicData>
            </a:graphic>
          </wp:inline>
        </w:drawing>
      </w:r>
      <w:r>
        <w:t>;</w:t>
      </w:r>
    </w:p>
    <w:p w:rsidR="00212513" w:rsidRDefault="00212513">
      <w:pPr>
        <w:pStyle w:val="ConsPlusNormal"/>
        <w:ind w:firstLine="540"/>
        <w:jc w:val="both"/>
      </w:pPr>
    </w:p>
    <w:p w:rsidR="00212513" w:rsidRDefault="00212513">
      <w:pPr>
        <w:pStyle w:val="ConsPlusNormal"/>
        <w:jc w:val="center"/>
      </w:pPr>
      <w:r>
        <w:rPr>
          <w:noProof/>
          <w:position w:val="-28"/>
        </w:rPr>
        <w:drawing>
          <wp:inline distT="0" distB="0" distL="0" distR="0">
            <wp:extent cx="2109470" cy="502920"/>
            <wp:effectExtent l="0" t="0" r="0" b="0"/>
            <wp:docPr id="2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2" cstate="print">
                      <a:extLst>
                        <a:ext uri="{28A0092B-C50C-407E-A947-70E740481C1C}">
                          <a14:useLocalDpi xmlns:a14="http://schemas.microsoft.com/office/drawing/2010/main" val="0"/>
                        </a:ext>
                      </a:extLst>
                    </a:blip>
                    <a:srcRect/>
                    <a:stretch>
                      <a:fillRect/>
                    </a:stretch>
                  </pic:blipFill>
                  <pic:spPr bwMode="auto">
                    <a:xfrm>
                      <a:off x="0" y="0"/>
                      <a:ext cx="2109470" cy="502920"/>
                    </a:xfrm>
                    <a:prstGeom prst="rect">
                      <a:avLst/>
                    </a:prstGeom>
                    <a:noFill/>
                    <a:ln>
                      <a:noFill/>
                    </a:ln>
                  </pic:spPr>
                </pic:pic>
              </a:graphicData>
            </a:graphic>
          </wp:inline>
        </w:drawing>
      </w:r>
      <w:r>
        <w:t>, (М.5)</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8"/>
        </w:rPr>
        <w:drawing>
          <wp:inline distT="0" distB="0" distL="0" distR="0">
            <wp:extent cx="857250" cy="251460"/>
            <wp:effectExtent l="0" t="0" r="0" b="0"/>
            <wp:docPr id="2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3" cstate="print">
                      <a:extLst>
                        <a:ext uri="{28A0092B-C50C-407E-A947-70E740481C1C}">
                          <a14:useLocalDpi xmlns:a14="http://schemas.microsoft.com/office/drawing/2010/main" val="0"/>
                        </a:ext>
                      </a:extLst>
                    </a:blip>
                    <a:srcRect/>
                    <a:stretch>
                      <a:fillRect/>
                    </a:stretch>
                  </pic:blipFill>
                  <pic:spPr bwMode="auto">
                    <a:xfrm>
                      <a:off x="0" y="0"/>
                      <a:ext cx="857250" cy="251460"/>
                    </a:xfrm>
                    <a:prstGeom prst="rect">
                      <a:avLst/>
                    </a:prstGeom>
                    <a:noFill/>
                    <a:ln>
                      <a:noFill/>
                    </a:ln>
                  </pic:spPr>
                </pic:pic>
              </a:graphicData>
            </a:graphic>
          </wp:inline>
        </w:drawing>
      </w:r>
      <w:r>
        <w:t xml:space="preserve"> - давление распределенной на длине шпал (2,70 м) временной вертикальной нагрузки, кПа;</w:t>
      </w:r>
    </w:p>
    <w:p w:rsidR="00212513" w:rsidRDefault="00212513">
      <w:pPr>
        <w:pStyle w:val="ConsPlusNormal"/>
        <w:spacing w:before="220"/>
        <w:ind w:firstLine="540"/>
        <w:jc w:val="both"/>
      </w:pPr>
      <w:r>
        <w:rPr>
          <w:noProof/>
          <w:position w:val="-1"/>
        </w:rPr>
        <w:drawing>
          <wp:inline distT="0" distB="0" distL="0" distR="0">
            <wp:extent cx="136525" cy="157480"/>
            <wp:effectExtent l="0" t="0" r="0" b="0"/>
            <wp:docPr id="2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9">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 равномерно распределенная нагрузка, кН/м, от подвижного состава на призме обрушения (по </w:t>
      </w:r>
      <w:hyperlink w:anchor="P13225">
        <w:r>
          <w:rPr>
            <w:color w:val="0000FF"/>
          </w:rPr>
          <w:t>приложению К</w:t>
        </w:r>
      </w:hyperlink>
      <w:r>
        <w:t>);</w:t>
      </w:r>
    </w:p>
    <w:p w:rsidR="00212513" w:rsidRDefault="00212513">
      <w:pPr>
        <w:pStyle w:val="ConsPlusNormal"/>
        <w:spacing w:before="220"/>
        <w:ind w:firstLine="540"/>
        <w:jc w:val="both"/>
      </w:pPr>
      <w:r>
        <w:rPr>
          <w:noProof/>
          <w:position w:val="-8"/>
        </w:rPr>
        <w:drawing>
          <wp:inline distT="0" distB="0" distL="0" distR="0">
            <wp:extent cx="167640" cy="251460"/>
            <wp:effectExtent l="0" t="0" r="0" b="0"/>
            <wp:docPr id="2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w:t>
      </w:r>
      <w:r>
        <w:rPr>
          <w:noProof/>
          <w:position w:val="-8"/>
        </w:rPr>
        <w:drawing>
          <wp:inline distT="0" distB="0" distL="0" distR="0">
            <wp:extent cx="177800" cy="251460"/>
            <wp:effectExtent l="0" t="0" r="0" b="0"/>
            <wp:docPr id="2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5"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высоты, в пределах которых площадь давления имеет переменную ширину, м;</w:t>
      </w:r>
    </w:p>
    <w:p w:rsidR="00212513" w:rsidRDefault="00212513">
      <w:pPr>
        <w:pStyle w:val="ConsPlusNormal"/>
        <w:spacing w:before="220"/>
        <w:ind w:firstLine="540"/>
        <w:jc w:val="both"/>
      </w:pPr>
      <w:r>
        <w:rPr>
          <w:i/>
        </w:rPr>
        <w:t>b</w:t>
      </w:r>
      <w:r>
        <w:t xml:space="preserve"> - ширина однопутного устоя или удвоенное наименьшее расстояние от вертикальной оси нагрузки до ближайшей боковой грани устоя при несимметричном загружении, м;</w:t>
      </w:r>
    </w:p>
    <w:p w:rsidR="00212513" w:rsidRDefault="00212513">
      <w:pPr>
        <w:pStyle w:val="ConsPlusNormal"/>
        <w:spacing w:before="220"/>
        <w:ind w:firstLine="540"/>
        <w:jc w:val="both"/>
      </w:pPr>
      <w:r>
        <w:rPr>
          <w:noProof/>
          <w:position w:val="-8"/>
        </w:rPr>
        <w:drawing>
          <wp:inline distT="0" distB="0" distL="0" distR="0">
            <wp:extent cx="922020" cy="251460"/>
            <wp:effectExtent l="0" t="0" r="0" b="0"/>
            <wp:docPr id="2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6" cstate="print">
                      <a:extLst>
                        <a:ext uri="{28A0092B-C50C-407E-A947-70E740481C1C}">
                          <a14:useLocalDpi xmlns:a14="http://schemas.microsoft.com/office/drawing/2010/main" val="0"/>
                        </a:ext>
                      </a:extLst>
                    </a:blip>
                    <a:srcRect/>
                    <a:stretch>
                      <a:fillRect/>
                    </a:stretch>
                  </pic:blipFill>
                  <pic:spPr bwMode="auto">
                    <a:xfrm>
                      <a:off x="0" y="0"/>
                      <a:ext cx="922020" cy="251460"/>
                    </a:xfrm>
                    <a:prstGeom prst="rect">
                      <a:avLst/>
                    </a:prstGeom>
                    <a:noFill/>
                    <a:ln>
                      <a:noFill/>
                    </a:ln>
                  </pic:spPr>
                </pic:pic>
              </a:graphicData>
            </a:graphic>
          </wp:inline>
        </w:drawing>
      </w:r>
      <w:r>
        <w:t xml:space="preserve"> - удвоенное расстояние от оси пути до точки пересечения линии распространения нагрузки с боковой удаленной от пути гранью, м, но не более удвоенного наибольшего расстояния от оси пути до боковой грани устоя;</w:t>
      </w:r>
    </w:p>
    <w:p w:rsidR="00212513" w:rsidRDefault="00212513">
      <w:pPr>
        <w:pStyle w:val="ConsPlusNormal"/>
        <w:spacing w:before="220"/>
        <w:ind w:firstLine="540"/>
        <w:jc w:val="both"/>
      </w:pPr>
      <w:r>
        <w:rPr>
          <w:noProof/>
          <w:position w:val="-8"/>
        </w:rPr>
        <w:drawing>
          <wp:inline distT="0" distB="0" distL="0" distR="0">
            <wp:extent cx="177800" cy="251460"/>
            <wp:effectExtent l="0" t="0" r="0" b="0"/>
            <wp:docPr id="2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7"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коэффициент нормативного горизонтального (бокового) давления грунта засыпки по </w:t>
      </w:r>
      <w:hyperlink w:anchor="P1033">
        <w:r>
          <w:rPr>
            <w:color w:val="0000FF"/>
          </w:rPr>
          <w:t>6.6</w:t>
        </w:r>
      </w:hyperlink>
      <w:r>
        <w:t>.</w:t>
      </w:r>
    </w:p>
    <w:p w:rsidR="00212513" w:rsidRDefault="00212513">
      <w:pPr>
        <w:pStyle w:val="ConsPlusNormal"/>
        <w:spacing w:before="220"/>
        <w:ind w:firstLine="540"/>
        <w:jc w:val="both"/>
      </w:pPr>
      <w:r>
        <w:t xml:space="preserve">Значения коэффициентов </w:t>
      </w:r>
      <w:r>
        <w:rPr>
          <w:noProof/>
          <w:position w:val="-1"/>
        </w:rPr>
        <w:drawing>
          <wp:inline distT="0" distB="0" distL="0" distR="0">
            <wp:extent cx="167640" cy="156845"/>
            <wp:effectExtent l="0" t="0" r="0" b="0"/>
            <wp:docPr id="2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8"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2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9"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2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w:t>
      </w:r>
      <w:r>
        <w:rPr>
          <w:noProof/>
          <w:position w:val="-6"/>
        </w:rPr>
        <w:drawing>
          <wp:inline distT="0" distB="0" distL="0" distR="0">
            <wp:extent cx="137160" cy="220980"/>
            <wp:effectExtent l="0" t="0" r="0" b="0"/>
            <wp:docPr id="2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1" cstate="print">
                      <a:extLst>
                        <a:ext uri="{28A0092B-C50C-407E-A947-70E740481C1C}">
                          <a14:useLocalDpi xmlns:a14="http://schemas.microsoft.com/office/drawing/2010/main" val="0"/>
                        </a:ext>
                      </a:extLst>
                    </a:blip>
                    <a:srcRect/>
                    <a:stretch>
                      <a:fillRect/>
                    </a:stretch>
                  </pic:blipFill>
                  <pic:spPr bwMode="auto">
                    <a:xfrm>
                      <a:off x="0" y="0"/>
                      <a:ext cx="137160" cy="220980"/>
                    </a:xfrm>
                    <a:prstGeom prst="rect">
                      <a:avLst/>
                    </a:prstGeom>
                    <a:noFill/>
                    <a:ln>
                      <a:noFill/>
                    </a:ln>
                  </pic:spPr>
                </pic:pic>
              </a:graphicData>
            </a:graphic>
          </wp:inline>
        </w:drawing>
      </w:r>
      <w:r>
        <w:t xml:space="preserve">, </w:t>
      </w:r>
      <w:r>
        <w:rPr>
          <w:noProof/>
          <w:position w:val="-8"/>
        </w:rPr>
        <w:drawing>
          <wp:inline distT="0" distB="0" distL="0" distR="0">
            <wp:extent cx="167640" cy="251460"/>
            <wp:effectExtent l="0" t="0" r="0" b="0"/>
            <wp:docPr id="2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2"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w:t>
      </w:r>
      <w:r>
        <w:rPr>
          <w:noProof/>
          <w:position w:val="-8"/>
        </w:rPr>
        <w:drawing>
          <wp:inline distT="0" distB="0" distL="0" distR="0">
            <wp:extent cx="177800" cy="251460"/>
            <wp:effectExtent l="0" t="0" r="0" b="0"/>
            <wp:docPr id="2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3"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в зависимости от соответствующих высот </w:t>
      </w:r>
      <w:r>
        <w:rPr>
          <w:i/>
        </w:rPr>
        <w:t>h</w:t>
      </w:r>
      <w:r>
        <w:t xml:space="preserve">, </w:t>
      </w:r>
      <w:r>
        <w:rPr>
          <w:noProof/>
          <w:position w:val="-8"/>
        </w:rPr>
        <w:drawing>
          <wp:inline distT="0" distB="0" distL="0" distR="0">
            <wp:extent cx="167640" cy="251460"/>
            <wp:effectExtent l="0" t="0" r="0" b="0"/>
            <wp:docPr id="2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w:t>
      </w:r>
      <w:r>
        <w:rPr>
          <w:noProof/>
          <w:position w:val="-8"/>
        </w:rPr>
        <w:drawing>
          <wp:inline distT="0" distB="0" distL="0" distR="0">
            <wp:extent cx="177800" cy="251460"/>
            <wp:effectExtent l="0" t="0" r="0" b="0"/>
            <wp:docPr id="2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5"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следует принимать по </w:t>
      </w:r>
      <w:hyperlink w:anchor="P13972">
        <w:r>
          <w:rPr>
            <w:color w:val="0000FF"/>
          </w:rPr>
          <w:t>таблице М.1</w:t>
        </w:r>
      </w:hyperlink>
      <w:r>
        <w:t>.</w:t>
      </w:r>
    </w:p>
    <w:p w:rsidR="00212513" w:rsidRDefault="00212513">
      <w:pPr>
        <w:pStyle w:val="ConsPlusNormal"/>
        <w:spacing w:before="220"/>
        <w:ind w:firstLine="540"/>
        <w:jc w:val="both"/>
      </w:pPr>
      <w:r>
        <w:t xml:space="preserve">Примечание - Для многопутного устоя общее давление от временной нагрузки следует определять как сумму давлений, получаемых по </w:t>
      </w:r>
      <w:hyperlink w:anchor="P13934">
        <w:r>
          <w:rPr>
            <w:color w:val="0000FF"/>
          </w:rPr>
          <w:t>формуле (М.2)</w:t>
        </w:r>
      </w:hyperlink>
      <w:r>
        <w:t xml:space="preserve"> для каждого из путей в отдельности при соответствующих значениях </w:t>
      </w:r>
      <w:r>
        <w:rPr>
          <w:i/>
        </w:rPr>
        <w:t>b</w:t>
      </w:r>
      <w:r>
        <w:t xml:space="preserve">, </w:t>
      </w:r>
      <w:r>
        <w:rPr>
          <w:noProof/>
          <w:position w:val="-8"/>
        </w:rPr>
        <w:drawing>
          <wp:inline distT="0" distB="0" distL="0" distR="0">
            <wp:extent cx="156845" cy="251460"/>
            <wp:effectExtent l="0" t="0" r="0" b="0"/>
            <wp:docPr id="2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4" cstate="print">
                      <a:extLst>
                        <a:ext uri="{28A0092B-C50C-407E-A947-70E740481C1C}">
                          <a14:useLocalDpi xmlns:a14="http://schemas.microsoft.com/office/drawing/2010/main" val="0"/>
                        </a:ext>
                      </a:extLst>
                    </a:blip>
                    <a:srcRect/>
                    <a:stretch>
                      <a:fillRect/>
                    </a:stretch>
                  </pic:blipFill>
                  <pic:spPr bwMode="auto">
                    <a:xfrm>
                      <a:off x="0" y="0"/>
                      <a:ext cx="156845" cy="251460"/>
                    </a:xfrm>
                    <a:prstGeom prst="rect">
                      <a:avLst/>
                    </a:prstGeom>
                    <a:noFill/>
                    <a:ln>
                      <a:noFill/>
                    </a:ln>
                  </pic:spPr>
                </pic:pic>
              </a:graphicData>
            </a:graphic>
          </wp:inline>
        </w:drawing>
      </w:r>
      <w:r>
        <w:t xml:space="preserve">, </w:t>
      </w:r>
      <w:r>
        <w:rPr>
          <w:i/>
        </w:rPr>
        <w:t>h</w:t>
      </w:r>
      <w:r>
        <w:t xml:space="preserve">, </w:t>
      </w:r>
      <w:r>
        <w:rPr>
          <w:noProof/>
          <w:position w:val="-8"/>
        </w:rPr>
        <w:drawing>
          <wp:inline distT="0" distB="0" distL="0" distR="0">
            <wp:extent cx="167640" cy="251460"/>
            <wp:effectExtent l="0" t="0" r="0" b="0"/>
            <wp:docPr id="2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w:t>
      </w:r>
      <w:r>
        <w:rPr>
          <w:noProof/>
          <w:position w:val="-8"/>
        </w:rPr>
        <w:drawing>
          <wp:inline distT="0" distB="0" distL="0" distR="0">
            <wp:extent cx="177800" cy="251460"/>
            <wp:effectExtent l="0" t="0" r="0" b="0"/>
            <wp:docPr id="2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5"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w:t>
      </w:r>
    </w:p>
    <w:p w:rsidR="00212513" w:rsidRDefault="00212513">
      <w:pPr>
        <w:pStyle w:val="ConsPlusNormal"/>
        <w:ind w:firstLine="540"/>
        <w:jc w:val="both"/>
      </w:pPr>
    </w:p>
    <w:p w:rsidR="00212513" w:rsidRDefault="00212513">
      <w:pPr>
        <w:pStyle w:val="ConsPlusNormal"/>
        <w:jc w:val="right"/>
      </w:pPr>
      <w:bookmarkStart w:id="500" w:name="P13972"/>
      <w:bookmarkEnd w:id="500"/>
      <w:r>
        <w:t>Таблица М.1</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48"/>
        <w:gridCol w:w="2648"/>
        <w:gridCol w:w="2650"/>
      </w:tblGrid>
      <w:tr w:rsidR="00212513">
        <w:tc>
          <w:tcPr>
            <w:tcW w:w="2648" w:type="dxa"/>
            <w:tcBorders>
              <w:top w:val="single" w:sz="4" w:space="0" w:color="auto"/>
              <w:bottom w:val="single" w:sz="4" w:space="0" w:color="auto"/>
            </w:tcBorders>
            <w:vAlign w:val="center"/>
          </w:tcPr>
          <w:p w:rsidR="00212513" w:rsidRDefault="00212513">
            <w:pPr>
              <w:pStyle w:val="ConsPlusNormal"/>
              <w:jc w:val="center"/>
            </w:pPr>
            <w:r>
              <w:rPr>
                <w:i/>
              </w:rPr>
              <w:t>h</w:t>
            </w:r>
            <w:r>
              <w:t xml:space="preserve">, </w:t>
            </w:r>
            <w:r>
              <w:rPr>
                <w:noProof/>
                <w:position w:val="-8"/>
              </w:rPr>
              <w:drawing>
                <wp:inline distT="0" distB="0" distL="0" distR="0">
                  <wp:extent cx="167640" cy="251460"/>
                  <wp:effectExtent l="0" t="0" r="0" b="0"/>
                  <wp:docPr id="2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5"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w:t>
            </w:r>
            <w:r>
              <w:rPr>
                <w:noProof/>
                <w:position w:val="-8"/>
              </w:rPr>
              <w:drawing>
                <wp:inline distT="0" distB="0" distL="0" distR="0">
                  <wp:extent cx="177800" cy="251460"/>
                  <wp:effectExtent l="0" t="0" r="0" b="0"/>
                  <wp:docPr id="2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6"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p>
        </w:tc>
        <w:tc>
          <w:tcPr>
            <w:tcW w:w="2648" w:type="dxa"/>
            <w:tcBorders>
              <w:top w:val="single" w:sz="4" w:space="0" w:color="auto"/>
              <w:bottom w:val="single" w:sz="4" w:space="0" w:color="auto"/>
            </w:tcBorders>
            <w:vAlign w:val="center"/>
          </w:tcPr>
          <w:p w:rsidR="00212513" w:rsidRDefault="00212513">
            <w:pPr>
              <w:pStyle w:val="ConsPlusNormal"/>
              <w:jc w:val="center"/>
            </w:pPr>
            <w:r>
              <w:rPr>
                <w:noProof/>
                <w:position w:val="-1"/>
              </w:rPr>
              <w:drawing>
                <wp:inline distT="0" distB="0" distL="0" distR="0">
                  <wp:extent cx="167640" cy="156845"/>
                  <wp:effectExtent l="0" t="0" r="0" b="0"/>
                  <wp:docPr id="2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7"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w:t>
            </w:r>
            <w:r>
              <w:rPr>
                <w:noProof/>
                <w:position w:val="-8"/>
              </w:rPr>
              <w:drawing>
                <wp:inline distT="0" distB="0" distL="0" distR="0">
                  <wp:extent cx="198755" cy="250825"/>
                  <wp:effectExtent l="0" t="0" r="0" b="0"/>
                  <wp:docPr id="2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9"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w:t>
            </w:r>
            <w:r>
              <w:rPr>
                <w:noProof/>
                <w:position w:val="-8"/>
              </w:rPr>
              <w:drawing>
                <wp:inline distT="0" distB="0" distL="0" distR="0">
                  <wp:extent cx="209550" cy="251460"/>
                  <wp:effectExtent l="0" t="0" r="0" b="0"/>
                  <wp:docPr id="2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2650" w:type="dxa"/>
            <w:tcBorders>
              <w:top w:val="single" w:sz="4" w:space="0" w:color="auto"/>
              <w:bottom w:val="single" w:sz="4" w:space="0" w:color="auto"/>
            </w:tcBorders>
            <w:vAlign w:val="center"/>
          </w:tcPr>
          <w:p w:rsidR="00212513" w:rsidRDefault="00212513">
            <w:pPr>
              <w:pStyle w:val="ConsPlusNormal"/>
              <w:jc w:val="center"/>
            </w:pPr>
            <w:r>
              <w:rPr>
                <w:noProof/>
                <w:position w:val="-6"/>
              </w:rPr>
              <w:drawing>
                <wp:inline distT="0" distB="0" distL="0" distR="0">
                  <wp:extent cx="137160" cy="220980"/>
                  <wp:effectExtent l="0" t="0" r="0" b="0"/>
                  <wp:docPr id="2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1" cstate="print">
                            <a:extLst>
                              <a:ext uri="{28A0092B-C50C-407E-A947-70E740481C1C}">
                                <a14:useLocalDpi xmlns:a14="http://schemas.microsoft.com/office/drawing/2010/main" val="0"/>
                              </a:ext>
                            </a:extLst>
                          </a:blip>
                          <a:srcRect/>
                          <a:stretch>
                            <a:fillRect/>
                          </a:stretch>
                        </pic:blipFill>
                        <pic:spPr bwMode="auto">
                          <a:xfrm>
                            <a:off x="0" y="0"/>
                            <a:ext cx="137160" cy="220980"/>
                          </a:xfrm>
                          <a:prstGeom prst="rect">
                            <a:avLst/>
                          </a:prstGeom>
                          <a:noFill/>
                          <a:ln>
                            <a:noFill/>
                          </a:ln>
                        </pic:spPr>
                      </pic:pic>
                    </a:graphicData>
                  </a:graphic>
                </wp:inline>
              </w:drawing>
            </w:r>
            <w:r>
              <w:t xml:space="preserve">, </w:t>
            </w:r>
            <w:r>
              <w:rPr>
                <w:noProof/>
                <w:position w:val="-8"/>
              </w:rPr>
              <w:drawing>
                <wp:inline distT="0" distB="0" distL="0" distR="0">
                  <wp:extent cx="167640" cy="251460"/>
                  <wp:effectExtent l="0" t="0" r="0" b="0"/>
                  <wp:docPr id="2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2"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w:t>
            </w:r>
            <w:r>
              <w:rPr>
                <w:noProof/>
                <w:position w:val="-8"/>
              </w:rPr>
              <w:drawing>
                <wp:inline distT="0" distB="0" distL="0" distR="0">
                  <wp:extent cx="177800" cy="251460"/>
                  <wp:effectExtent l="0" t="0" r="0" b="0"/>
                  <wp:docPr id="2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3"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p>
        </w:tc>
      </w:tr>
      <w:tr w:rsidR="00212513">
        <w:tblPrEx>
          <w:tblBorders>
            <w:insideH w:val="none" w:sz="0" w:space="0" w:color="auto"/>
          </w:tblBorders>
        </w:tblPrEx>
        <w:tc>
          <w:tcPr>
            <w:tcW w:w="2648" w:type="dxa"/>
            <w:tcBorders>
              <w:top w:val="single" w:sz="4" w:space="0" w:color="auto"/>
              <w:bottom w:val="nil"/>
            </w:tcBorders>
          </w:tcPr>
          <w:p w:rsidR="00212513" w:rsidRDefault="00212513">
            <w:pPr>
              <w:pStyle w:val="ConsPlusNormal"/>
              <w:jc w:val="center"/>
            </w:pPr>
            <w:r>
              <w:t>1</w:t>
            </w:r>
          </w:p>
        </w:tc>
        <w:tc>
          <w:tcPr>
            <w:tcW w:w="2648" w:type="dxa"/>
            <w:tcBorders>
              <w:top w:val="single" w:sz="4" w:space="0" w:color="auto"/>
              <w:bottom w:val="nil"/>
            </w:tcBorders>
          </w:tcPr>
          <w:p w:rsidR="00212513" w:rsidRDefault="00212513">
            <w:pPr>
              <w:pStyle w:val="ConsPlusNormal"/>
              <w:jc w:val="center"/>
            </w:pPr>
            <w:r>
              <w:t>0,85</w:t>
            </w:r>
          </w:p>
        </w:tc>
        <w:tc>
          <w:tcPr>
            <w:tcW w:w="2650" w:type="dxa"/>
            <w:tcBorders>
              <w:top w:val="single" w:sz="4" w:space="0" w:color="auto"/>
              <w:bottom w:val="nil"/>
            </w:tcBorders>
          </w:tcPr>
          <w:p w:rsidR="00212513" w:rsidRDefault="00212513">
            <w:pPr>
              <w:pStyle w:val="ConsPlusNormal"/>
              <w:jc w:val="center"/>
            </w:pPr>
            <w:r>
              <w:t>0,53</w:t>
            </w:r>
          </w:p>
        </w:tc>
      </w:tr>
      <w:tr w:rsidR="00212513">
        <w:tblPrEx>
          <w:tblBorders>
            <w:insideH w:val="none" w:sz="0" w:space="0" w:color="auto"/>
          </w:tblBorders>
        </w:tblPrEx>
        <w:tc>
          <w:tcPr>
            <w:tcW w:w="2648" w:type="dxa"/>
            <w:tcBorders>
              <w:top w:val="nil"/>
              <w:bottom w:val="nil"/>
            </w:tcBorders>
          </w:tcPr>
          <w:p w:rsidR="00212513" w:rsidRDefault="00212513">
            <w:pPr>
              <w:pStyle w:val="ConsPlusNormal"/>
              <w:jc w:val="center"/>
            </w:pPr>
            <w:r>
              <w:t>2</w:t>
            </w:r>
          </w:p>
        </w:tc>
        <w:tc>
          <w:tcPr>
            <w:tcW w:w="2648" w:type="dxa"/>
            <w:tcBorders>
              <w:top w:val="nil"/>
              <w:bottom w:val="nil"/>
            </w:tcBorders>
          </w:tcPr>
          <w:p w:rsidR="00212513" w:rsidRDefault="00212513">
            <w:pPr>
              <w:pStyle w:val="ConsPlusNormal"/>
              <w:jc w:val="center"/>
            </w:pPr>
            <w:r>
              <w:t>0,75</w:t>
            </w:r>
          </w:p>
        </w:tc>
        <w:tc>
          <w:tcPr>
            <w:tcW w:w="2650" w:type="dxa"/>
            <w:tcBorders>
              <w:top w:val="nil"/>
              <w:bottom w:val="nil"/>
            </w:tcBorders>
          </w:tcPr>
          <w:p w:rsidR="00212513" w:rsidRDefault="00212513">
            <w:pPr>
              <w:pStyle w:val="ConsPlusNormal"/>
              <w:jc w:val="center"/>
            </w:pPr>
            <w:r>
              <w:t>0,55</w:t>
            </w:r>
          </w:p>
        </w:tc>
      </w:tr>
      <w:tr w:rsidR="00212513">
        <w:tblPrEx>
          <w:tblBorders>
            <w:insideH w:val="none" w:sz="0" w:space="0" w:color="auto"/>
          </w:tblBorders>
        </w:tblPrEx>
        <w:tc>
          <w:tcPr>
            <w:tcW w:w="2648" w:type="dxa"/>
            <w:tcBorders>
              <w:top w:val="nil"/>
              <w:bottom w:val="nil"/>
            </w:tcBorders>
          </w:tcPr>
          <w:p w:rsidR="00212513" w:rsidRDefault="00212513">
            <w:pPr>
              <w:pStyle w:val="ConsPlusNormal"/>
              <w:jc w:val="center"/>
            </w:pPr>
            <w:r>
              <w:t>3</w:t>
            </w:r>
          </w:p>
        </w:tc>
        <w:tc>
          <w:tcPr>
            <w:tcW w:w="2648" w:type="dxa"/>
            <w:tcBorders>
              <w:top w:val="nil"/>
              <w:bottom w:val="nil"/>
            </w:tcBorders>
          </w:tcPr>
          <w:p w:rsidR="00212513" w:rsidRDefault="00212513">
            <w:pPr>
              <w:pStyle w:val="ConsPlusNormal"/>
              <w:jc w:val="center"/>
            </w:pPr>
            <w:r>
              <w:t>0,67</w:t>
            </w:r>
          </w:p>
        </w:tc>
        <w:tc>
          <w:tcPr>
            <w:tcW w:w="2650" w:type="dxa"/>
            <w:tcBorders>
              <w:top w:val="nil"/>
              <w:bottom w:val="nil"/>
            </w:tcBorders>
          </w:tcPr>
          <w:p w:rsidR="00212513" w:rsidRDefault="00212513">
            <w:pPr>
              <w:pStyle w:val="ConsPlusNormal"/>
              <w:jc w:val="center"/>
            </w:pPr>
            <w:r>
              <w:t>0,56</w:t>
            </w:r>
          </w:p>
        </w:tc>
      </w:tr>
      <w:tr w:rsidR="00212513">
        <w:tblPrEx>
          <w:tblBorders>
            <w:insideH w:val="none" w:sz="0" w:space="0" w:color="auto"/>
          </w:tblBorders>
        </w:tblPrEx>
        <w:tc>
          <w:tcPr>
            <w:tcW w:w="2648" w:type="dxa"/>
            <w:tcBorders>
              <w:top w:val="nil"/>
              <w:bottom w:val="nil"/>
            </w:tcBorders>
          </w:tcPr>
          <w:p w:rsidR="00212513" w:rsidRDefault="00212513">
            <w:pPr>
              <w:pStyle w:val="ConsPlusNormal"/>
              <w:jc w:val="center"/>
            </w:pPr>
            <w:r>
              <w:t>4</w:t>
            </w:r>
          </w:p>
        </w:tc>
        <w:tc>
          <w:tcPr>
            <w:tcW w:w="2648" w:type="dxa"/>
            <w:tcBorders>
              <w:top w:val="nil"/>
              <w:bottom w:val="nil"/>
            </w:tcBorders>
          </w:tcPr>
          <w:p w:rsidR="00212513" w:rsidRDefault="00212513">
            <w:pPr>
              <w:pStyle w:val="ConsPlusNormal"/>
              <w:jc w:val="center"/>
            </w:pPr>
            <w:r>
              <w:t>0,61</w:t>
            </w:r>
          </w:p>
        </w:tc>
        <w:tc>
          <w:tcPr>
            <w:tcW w:w="2650" w:type="dxa"/>
            <w:tcBorders>
              <w:top w:val="nil"/>
              <w:bottom w:val="nil"/>
            </w:tcBorders>
          </w:tcPr>
          <w:p w:rsidR="00212513" w:rsidRDefault="00212513">
            <w:pPr>
              <w:pStyle w:val="ConsPlusNormal"/>
              <w:jc w:val="center"/>
            </w:pPr>
            <w:r>
              <w:t>0,58</w:t>
            </w:r>
          </w:p>
        </w:tc>
      </w:tr>
      <w:tr w:rsidR="00212513">
        <w:tblPrEx>
          <w:tblBorders>
            <w:insideH w:val="none" w:sz="0" w:space="0" w:color="auto"/>
          </w:tblBorders>
        </w:tblPrEx>
        <w:tc>
          <w:tcPr>
            <w:tcW w:w="2648" w:type="dxa"/>
            <w:tcBorders>
              <w:top w:val="nil"/>
              <w:bottom w:val="nil"/>
            </w:tcBorders>
          </w:tcPr>
          <w:p w:rsidR="00212513" w:rsidRDefault="00212513">
            <w:pPr>
              <w:pStyle w:val="ConsPlusNormal"/>
              <w:jc w:val="center"/>
            </w:pPr>
            <w:r>
              <w:lastRenderedPageBreak/>
              <w:t>5</w:t>
            </w:r>
          </w:p>
        </w:tc>
        <w:tc>
          <w:tcPr>
            <w:tcW w:w="2648" w:type="dxa"/>
            <w:tcBorders>
              <w:top w:val="nil"/>
              <w:bottom w:val="nil"/>
            </w:tcBorders>
          </w:tcPr>
          <w:p w:rsidR="00212513" w:rsidRDefault="00212513">
            <w:pPr>
              <w:pStyle w:val="ConsPlusNormal"/>
              <w:jc w:val="center"/>
            </w:pPr>
            <w:r>
              <w:t>0,57</w:t>
            </w:r>
          </w:p>
        </w:tc>
        <w:tc>
          <w:tcPr>
            <w:tcW w:w="2650" w:type="dxa"/>
            <w:tcBorders>
              <w:top w:val="nil"/>
              <w:bottom w:val="nil"/>
            </w:tcBorders>
          </w:tcPr>
          <w:p w:rsidR="00212513" w:rsidRDefault="00212513">
            <w:pPr>
              <w:pStyle w:val="ConsPlusNormal"/>
              <w:jc w:val="center"/>
            </w:pPr>
            <w:r>
              <w:t>0,59</w:t>
            </w:r>
          </w:p>
        </w:tc>
      </w:tr>
      <w:tr w:rsidR="00212513">
        <w:tblPrEx>
          <w:tblBorders>
            <w:insideH w:val="none" w:sz="0" w:space="0" w:color="auto"/>
          </w:tblBorders>
        </w:tblPrEx>
        <w:tc>
          <w:tcPr>
            <w:tcW w:w="2648" w:type="dxa"/>
            <w:tcBorders>
              <w:top w:val="nil"/>
              <w:bottom w:val="nil"/>
            </w:tcBorders>
          </w:tcPr>
          <w:p w:rsidR="00212513" w:rsidRDefault="00212513">
            <w:pPr>
              <w:pStyle w:val="ConsPlusNormal"/>
              <w:jc w:val="center"/>
            </w:pPr>
            <w:r>
              <w:t>6</w:t>
            </w:r>
          </w:p>
        </w:tc>
        <w:tc>
          <w:tcPr>
            <w:tcW w:w="2648" w:type="dxa"/>
            <w:tcBorders>
              <w:top w:val="nil"/>
              <w:bottom w:val="nil"/>
            </w:tcBorders>
          </w:tcPr>
          <w:p w:rsidR="00212513" w:rsidRDefault="00212513">
            <w:pPr>
              <w:pStyle w:val="ConsPlusNormal"/>
              <w:jc w:val="center"/>
            </w:pPr>
            <w:r>
              <w:t>0,53</w:t>
            </w:r>
          </w:p>
        </w:tc>
        <w:tc>
          <w:tcPr>
            <w:tcW w:w="2650" w:type="dxa"/>
            <w:tcBorders>
              <w:top w:val="nil"/>
              <w:bottom w:val="nil"/>
            </w:tcBorders>
          </w:tcPr>
          <w:p w:rsidR="00212513" w:rsidRDefault="00212513">
            <w:pPr>
              <w:pStyle w:val="ConsPlusNormal"/>
              <w:jc w:val="center"/>
            </w:pPr>
            <w:r>
              <w:t>0,60</w:t>
            </w:r>
          </w:p>
        </w:tc>
      </w:tr>
      <w:tr w:rsidR="00212513">
        <w:tblPrEx>
          <w:tblBorders>
            <w:insideH w:val="none" w:sz="0" w:space="0" w:color="auto"/>
          </w:tblBorders>
        </w:tblPrEx>
        <w:tc>
          <w:tcPr>
            <w:tcW w:w="2648" w:type="dxa"/>
            <w:tcBorders>
              <w:top w:val="nil"/>
              <w:bottom w:val="nil"/>
            </w:tcBorders>
          </w:tcPr>
          <w:p w:rsidR="00212513" w:rsidRDefault="00212513">
            <w:pPr>
              <w:pStyle w:val="ConsPlusNormal"/>
              <w:jc w:val="center"/>
            </w:pPr>
            <w:r>
              <w:t>7</w:t>
            </w:r>
          </w:p>
        </w:tc>
        <w:tc>
          <w:tcPr>
            <w:tcW w:w="2648" w:type="dxa"/>
            <w:tcBorders>
              <w:top w:val="nil"/>
              <w:bottom w:val="nil"/>
            </w:tcBorders>
          </w:tcPr>
          <w:p w:rsidR="00212513" w:rsidRDefault="00212513">
            <w:pPr>
              <w:pStyle w:val="ConsPlusNormal"/>
              <w:jc w:val="center"/>
            </w:pPr>
            <w:r>
              <w:t>0,49</w:t>
            </w:r>
          </w:p>
        </w:tc>
        <w:tc>
          <w:tcPr>
            <w:tcW w:w="2650" w:type="dxa"/>
            <w:tcBorders>
              <w:top w:val="nil"/>
              <w:bottom w:val="nil"/>
            </w:tcBorders>
          </w:tcPr>
          <w:p w:rsidR="00212513" w:rsidRDefault="00212513">
            <w:pPr>
              <w:pStyle w:val="ConsPlusNormal"/>
              <w:jc w:val="center"/>
            </w:pPr>
            <w:r>
              <w:t>0,60</w:t>
            </w:r>
          </w:p>
        </w:tc>
      </w:tr>
      <w:tr w:rsidR="00212513">
        <w:tblPrEx>
          <w:tblBorders>
            <w:insideH w:val="none" w:sz="0" w:space="0" w:color="auto"/>
          </w:tblBorders>
        </w:tblPrEx>
        <w:tc>
          <w:tcPr>
            <w:tcW w:w="2648" w:type="dxa"/>
            <w:tcBorders>
              <w:top w:val="nil"/>
              <w:bottom w:val="nil"/>
            </w:tcBorders>
          </w:tcPr>
          <w:p w:rsidR="00212513" w:rsidRDefault="00212513">
            <w:pPr>
              <w:pStyle w:val="ConsPlusNormal"/>
              <w:jc w:val="center"/>
            </w:pPr>
            <w:r>
              <w:t>8</w:t>
            </w:r>
          </w:p>
        </w:tc>
        <w:tc>
          <w:tcPr>
            <w:tcW w:w="2648" w:type="dxa"/>
            <w:tcBorders>
              <w:top w:val="nil"/>
              <w:bottom w:val="nil"/>
            </w:tcBorders>
          </w:tcPr>
          <w:p w:rsidR="00212513" w:rsidRDefault="00212513">
            <w:pPr>
              <w:pStyle w:val="ConsPlusNormal"/>
              <w:jc w:val="center"/>
            </w:pPr>
            <w:r>
              <w:t>0,46</w:t>
            </w:r>
          </w:p>
        </w:tc>
        <w:tc>
          <w:tcPr>
            <w:tcW w:w="2650" w:type="dxa"/>
            <w:tcBorders>
              <w:top w:val="nil"/>
              <w:bottom w:val="nil"/>
            </w:tcBorders>
          </w:tcPr>
          <w:p w:rsidR="00212513" w:rsidRDefault="00212513">
            <w:pPr>
              <w:pStyle w:val="ConsPlusNormal"/>
              <w:jc w:val="center"/>
            </w:pPr>
            <w:r>
              <w:t>0,61</w:t>
            </w:r>
          </w:p>
        </w:tc>
      </w:tr>
      <w:tr w:rsidR="00212513">
        <w:tblPrEx>
          <w:tblBorders>
            <w:insideH w:val="none" w:sz="0" w:space="0" w:color="auto"/>
          </w:tblBorders>
        </w:tblPrEx>
        <w:tc>
          <w:tcPr>
            <w:tcW w:w="2648" w:type="dxa"/>
            <w:tcBorders>
              <w:top w:val="nil"/>
              <w:bottom w:val="nil"/>
            </w:tcBorders>
          </w:tcPr>
          <w:p w:rsidR="00212513" w:rsidRDefault="00212513">
            <w:pPr>
              <w:pStyle w:val="ConsPlusNormal"/>
              <w:jc w:val="center"/>
            </w:pPr>
            <w:r>
              <w:t>9</w:t>
            </w:r>
          </w:p>
        </w:tc>
        <w:tc>
          <w:tcPr>
            <w:tcW w:w="2648" w:type="dxa"/>
            <w:tcBorders>
              <w:top w:val="nil"/>
              <w:bottom w:val="nil"/>
            </w:tcBorders>
          </w:tcPr>
          <w:p w:rsidR="00212513" w:rsidRDefault="00212513">
            <w:pPr>
              <w:pStyle w:val="ConsPlusNormal"/>
              <w:jc w:val="center"/>
            </w:pPr>
            <w:r>
              <w:t>0,44</w:t>
            </w:r>
          </w:p>
        </w:tc>
        <w:tc>
          <w:tcPr>
            <w:tcW w:w="2650" w:type="dxa"/>
            <w:tcBorders>
              <w:top w:val="nil"/>
              <w:bottom w:val="nil"/>
            </w:tcBorders>
          </w:tcPr>
          <w:p w:rsidR="00212513" w:rsidRDefault="00212513">
            <w:pPr>
              <w:pStyle w:val="ConsPlusNormal"/>
              <w:jc w:val="center"/>
            </w:pPr>
            <w:r>
              <w:t>0,62</w:t>
            </w:r>
          </w:p>
        </w:tc>
      </w:tr>
      <w:tr w:rsidR="00212513">
        <w:tblPrEx>
          <w:tblBorders>
            <w:insideH w:val="none" w:sz="0" w:space="0" w:color="auto"/>
          </w:tblBorders>
        </w:tblPrEx>
        <w:tc>
          <w:tcPr>
            <w:tcW w:w="2648" w:type="dxa"/>
            <w:tcBorders>
              <w:top w:val="nil"/>
              <w:bottom w:val="nil"/>
            </w:tcBorders>
          </w:tcPr>
          <w:p w:rsidR="00212513" w:rsidRDefault="00212513">
            <w:pPr>
              <w:pStyle w:val="ConsPlusNormal"/>
              <w:jc w:val="center"/>
            </w:pPr>
            <w:r>
              <w:t>10</w:t>
            </w:r>
          </w:p>
        </w:tc>
        <w:tc>
          <w:tcPr>
            <w:tcW w:w="2648" w:type="dxa"/>
            <w:tcBorders>
              <w:top w:val="nil"/>
              <w:bottom w:val="nil"/>
            </w:tcBorders>
          </w:tcPr>
          <w:p w:rsidR="00212513" w:rsidRDefault="00212513">
            <w:pPr>
              <w:pStyle w:val="ConsPlusNormal"/>
              <w:jc w:val="center"/>
            </w:pPr>
            <w:r>
              <w:t>0,42</w:t>
            </w:r>
          </w:p>
        </w:tc>
        <w:tc>
          <w:tcPr>
            <w:tcW w:w="2650" w:type="dxa"/>
            <w:tcBorders>
              <w:top w:val="nil"/>
              <w:bottom w:val="nil"/>
            </w:tcBorders>
          </w:tcPr>
          <w:p w:rsidR="00212513" w:rsidRDefault="00212513">
            <w:pPr>
              <w:pStyle w:val="ConsPlusNormal"/>
              <w:jc w:val="center"/>
            </w:pPr>
            <w:r>
              <w:t>0,62</w:t>
            </w:r>
          </w:p>
        </w:tc>
      </w:tr>
      <w:tr w:rsidR="00212513">
        <w:tblPrEx>
          <w:tblBorders>
            <w:insideH w:val="none" w:sz="0" w:space="0" w:color="auto"/>
          </w:tblBorders>
        </w:tblPrEx>
        <w:tc>
          <w:tcPr>
            <w:tcW w:w="2648" w:type="dxa"/>
            <w:tcBorders>
              <w:top w:val="nil"/>
              <w:bottom w:val="nil"/>
            </w:tcBorders>
          </w:tcPr>
          <w:p w:rsidR="00212513" w:rsidRDefault="00212513">
            <w:pPr>
              <w:pStyle w:val="ConsPlusNormal"/>
              <w:jc w:val="center"/>
            </w:pPr>
            <w:r>
              <w:t>11</w:t>
            </w:r>
          </w:p>
        </w:tc>
        <w:tc>
          <w:tcPr>
            <w:tcW w:w="2648" w:type="dxa"/>
            <w:tcBorders>
              <w:top w:val="nil"/>
              <w:bottom w:val="nil"/>
            </w:tcBorders>
          </w:tcPr>
          <w:p w:rsidR="00212513" w:rsidRDefault="00212513">
            <w:pPr>
              <w:pStyle w:val="ConsPlusNormal"/>
              <w:jc w:val="center"/>
            </w:pPr>
            <w:r>
              <w:t>0,40</w:t>
            </w:r>
          </w:p>
        </w:tc>
        <w:tc>
          <w:tcPr>
            <w:tcW w:w="2650" w:type="dxa"/>
            <w:tcBorders>
              <w:top w:val="nil"/>
              <w:bottom w:val="nil"/>
            </w:tcBorders>
          </w:tcPr>
          <w:p w:rsidR="00212513" w:rsidRDefault="00212513">
            <w:pPr>
              <w:pStyle w:val="ConsPlusNormal"/>
              <w:jc w:val="center"/>
            </w:pPr>
            <w:r>
              <w:t>0,63</w:t>
            </w:r>
          </w:p>
        </w:tc>
      </w:tr>
      <w:tr w:rsidR="00212513">
        <w:tblPrEx>
          <w:tblBorders>
            <w:insideH w:val="none" w:sz="0" w:space="0" w:color="auto"/>
          </w:tblBorders>
        </w:tblPrEx>
        <w:tc>
          <w:tcPr>
            <w:tcW w:w="2648" w:type="dxa"/>
            <w:tcBorders>
              <w:top w:val="nil"/>
              <w:bottom w:val="nil"/>
            </w:tcBorders>
          </w:tcPr>
          <w:p w:rsidR="00212513" w:rsidRDefault="00212513">
            <w:pPr>
              <w:pStyle w:val="ConsPlusNormal"/>
              <w:jc w:val="center"/>
            </w:pPr>
            <w:r>
              <w:t>12</w:t>
            </w:r>
          </w:p>
        </w:tc>
        <w:tc>
          <w:tcPr>
            <w:tcW w:w="2648" w:type="dxa"/>
            <w:tcBorders>
              <w:top w:val="nil"/>
              <w:bottom w:val="nil"/>
            </w:tcBorders>
          </w:tcPr>
          <w:p w:rsidR="00212513" w:rsidRDefault="00212513">
            <w:pPr>
              <w:pStyle w:val="ConsPlusNormal"/>
              <w:jc w:val="center"/>
            </w:pPr>
            <w:r>
              <w:t>0,38</w:t>
            </w:r>
          </w:p>
        </w:tc>
        <w:tc>
          <w:tcPr>
            <w:tcW w:w="2650" w:type="dxa"/>
            <w:tcBorders>
              <w:top w:val="nil"/>
              <w:bottom w:val="nil"/>
            </w:tcBorders>
          </w:tcPr>
          <w:p w:rsidR="00212513" w:rsidRDefault="00212513">
            <w:pPr>
              <w:pStyle w:val="ConsPlusNormal"/>
              <w:jc w:val="center"/>
            </w:pPr>
            <w:r>
              <w:t>0,64</w:t>
            </w:r>
          </w:p>
        </w:tc>
      </w:tr>
      <w:tr w:rsidR="00212513">
        <w:tblPrEx>
          <w:tblBorders>
            <w:insideH w:val="none" w:sz="0" w:space="0" w:color="auto"/>
          </w:tblBorders>
        </w:tblPrEx>
        <w:tc>
          <w:tcPr>
            <w:tcW w:w="2648" w:type="dxa"/>
            <w:tcBorders>
              <w:top w:val="nil"/>
              <w:bottom w:val="nil"/>
            </w:tcBorders>
          </w:tcPr>
          <w:p w:rsidR="00212513" w:rsidRDefault="00212513">
            <w:pPr>
              <w:pStyle w:val="ConsPlusNormal"/>
              <w:jc w:val="center"/>
            </w:pPr>
            <w:r>
              <w:t>13</w:t>
            </w:r>
          </w:p>
        </w:tc>
        <w:tc>
          <w:tcPr>
            <w:tcW w:w="2648" w:type="dxa"/>
            <w:tcBorders>
              <w:top w:val="nil"/>
              <w:bottom w:val="nil"/>
            </w:tcBorders>
          </w:tcPr>
          <w:p w:rsidR="00212513" w:rsidRDefault="00212513">
            <w:pPr>
              <w:pStyle w:val="ConsPlusNormal"/>
              <w:jc w:val="center"/>
            </w:pPr>
            <w:r>
              <w:t>0,37</w:t>
            </w:r>
          </w:p>
        </w:tc>
        <w:tc>
          <w:tcPr>
            <w:tcW w:w="2650" w:type="dxa"/>
            <w:tcBorders>
              <w:top w:val="nil"/>
              <w:bottom w:val="nil"/>
            </w:tcBorders>
          </w:tcPr>
          <w:p w:rsidR="00212513" w:rsidRDefault="00212513">
            <w:pPr>
              <w:pStyle w:val="ConsPlusNormal"/>
              <w:jc w:val="center"/>
            </w:pPr>
            <w:r>
              <w:t>0,64</w:t>
            </w:r>
          </w:p>
        </w:tc>
      </w:tr>
      <w:tr w:rsidR="00212513">
        <w:tblPrEx>
          <w:tblBorders>
            <w:insideH w:val="none" w:sz="0" w:space="0" w:color="auto"/>
          </w:tblBorders>
        </w:tblPrEx>
        <w:tc>
          <w:tcPr>
            <w:tcW w:w="2648" w:type="dxa"/>
            <w:tcBorders>
              <w:top w:val="nil"/>
              <w:bottom w:val="nil"/>
            </w:tcBorders>
          </w:tcPr>
          <w:p w:rsidR="00212513" w:rsidRDefault="00212513">
            <w:pPr>
              <w:pStyle w:val="ConsPlusNormal"/>
              <w:jc w:val="center"/>
            </w:pPr>
            <w:r>
              <w:t>14</w:t>
            </w:r>
          </w:p>
        </w:tc>
        <w:tc>
          <w:tcPr>
            <w:tcW w:w="2648" w:type="dxa"/>
            <w:tcBorders>
              <w:top w:val="nil"/>
              <w:bottom w:val="nil"/>
            </w:tcBorders>
          </w:tcPr>
          <w:p w:rsidR="00212513" w:rsidRDefault="00212513">
            <w:pPr>
              <w:pStyle w:val="ConsPlusNormal"/>
              <w:jc w:val="center"/>
            </w:pPr>
            <w:r>
              <w:t>0,35</w:t>
            </w:r>
          </w:p>
        </w:tc>
        <w:tc>
          <w:tcPr>
            <w:tcW w:w="2650" w:type="dxa"/>
            <w:tcBorders>
              <w:top w:val="nil"/>
              <w:bottom w:val="nil"/>
            </w:tcBorders>
          </w:tcPr>
          <w:p w:rsidR="00212513" w:rsidRDefault="00212513">
            <w:pPr>
              <w:pStyle w:val="ConsPlusNormal"/>
              <w:jc w:val="center"/>
            </w:pPr>
            <w:r>
              <w:t>0,64</w:t>
            </w:r>
          </w:p>
        </w:tc>
      </w:tr>
      <w:tr w:rsidR="00212513">
        <w:tblPrEx>
          <w:tblBorders>
            <w:insideH w:val="none" w:sz="0" w:space="0" w:color="auto"/>
          </w:tblBorders>
        </w:tblPrEx>
        <w:tc>
          <w:tcPr>
            <w:tcW w:w="2648" w:type="dxa"/>
            <w:tcBorders>
              <w:top w:val="nil"/>
              <w:bottom w:val="nil"/>
            </w:tcBorders>
          </w:tcPr>
          <w:p w:rsidR="00212513" w:rsidRDefault="00212513">
            <w:pPr>
              <w:pStyle w:val="ConsPlusNormal"/>
              <w:jc w:val="center"/>
            </w:pPr>
            <w:r>
              <w:t>15</w:t>
            </w:r>
          </w:p>
        </w:tc>
        <w:tc>
          <w:tcPr>
            <w:tcW w:w="2648" w:type="dxa"/>
            <w:tcBorders>
              <w:top w:val="nil"/>
              <w:bottom w:val="nil"/>
            </w:tcBorders>
          </w:tcPr>
          <w:p w:rsidR="00212513" w:rsidRDefault="00212513">
            <w:pPr>
              <w:pStyle w:val="ConsPlusNormal"/>
              <w:jc w:val="center"/>
            </w:pPr>
            <w:r>
              <w:t>0,34</w:t>
            </w:r>
          </w:p>
        </w:tc>
        <w:tc>
          <w:tcPr>
            <w:tcW w:w="2650" w:type="dxa"/>
            <w:tcBorders>
              <w:top w:val="nil"/>
              <w:bottom w:val="nil"/>
            </w:tcBorders>
          </w:tcPr>
          <w:p w:rsidR="00212513" w:rsidRDefault="00212513">
            <w:pPr>
              <w:pStyle w:val="ConsPlusNormal"/>
              <w:jc w:val="center"/>
            </w:pPr>
            <w:r>
              <w:t>0,65</w:t>
            </w:r>
          </w:p>
        </w:tc>
      </w:tr>
      <w:tr w:rsidR="00212513">
        <w:tblPrEx>
          <w:tblBorders>
            <w:insideH w:val="none" w:sz="0" w:space="0" w:color="auto"/>
          </w:tblBorders>
        </w:tblPrEx>
        <w:tc>
          <w:tcPr>
            <w:tcW w:w="2648" w:type="dxa"/>
            <w:tcBorders>
              <w:top w:val="nil"/>
              <w:bottom w:val="nil"/>
            </w:tcBorders>
          </w:tcPr>
          <w:p w:rsidR="00212513" w:rsidRDefault="00212513">
            <w:pPr>
              <w:pStyle w:val="ConsPlusNormal"/>
              <w:jc w:val="center"/>
            </w:pPr>
            <w:r>
              <w:t>16</w:t>
            </w:r>
          </w:p>
        </w:tc>
        <w:tc>
          <w:tcPr>
            <w:tcW w:w="2648" w:type="dxa"/>
            <w:tcBorders>
              <w:top w:val="nil"/>
              <w:bottom w:val="nil"/>
            </w:tcBorders>
          </w:tcPr>
          <w:p w:rsidR="00212513" w:rsidRDefault="00212513">
            <w:pPr>
              <w:pStyle w:val="ConsPlusNormal"/>
              <w:jc w:val="center"/>
            </w:pPr>
            <w:r>
              <w:t>0,33</w:t>
            </w:r>
          </w:p>
        </w:tc>
        <w:tc>
          <w:tcPr>
            <w:tcW w:w="2650" w:type="dxa"/>
            <w:tcBorders>
              <w:top w:val="nil"/>
              <w:bottom w:val="nil"/>
            </w:tcBorders>
          </w:tcPr>
          <w:p w:rsidR="00212513" w:rsidRDefault="00212513">
            <w:pPr>
              <w:pStyle w:val="ConsPlusNormal"/>
              <w:jc w:val="center"/>
            </w:pPr>
            <w:r>
              <w:t>0,65</w:t>
            </w:r>
          </w:p>
        </w:tc>
      </w:tr>
      <w:tr w:rsidR="00212513">
        <w:tblPrEx>
          <w:tblBorders>
            <w:insideH w:val="none" w:sz="0" w:space="0" w:color="auto"/>
          </w:tblBorders>
        </w:tblPrEx>
        <w:tc>
          <w:tcPr>
            <w:tcW w:w="2648" w:type="dxa"/>
            <w:tcBorders>
              <w:top w:val="nil"/>
              <w:bottom w:val="nil"/>
            </w:tcBorders>
          </w:tcPr>
          <w:p w:rsidR="00212513" w:rsidRDefault="00212513">
            <w:pPr>
              <w:pStyle w:val="ConsPlusNormal"/>
              <w:jc w:val="center"/>
            </w:pPr>
            <w:r>
              <w:t>17</w:t>
            </w:r>
          </w:p>
        </w:tc>
        <w:tc>
          <w:tcPr>
            <w:tcW w:w="2648" w:type="dxa"/>
            <w:tcBorders>
              <w:top w:val="nil"/>
              <w:bottom w:val="nil"/>
            </w:tcBorders>
          </w:tcPr>
          <w:p w:rsidR="00212513" w:rsidRDefault="00212513">
            <w:pPr>
              <w:pStyle w:val="ConsPlusNormal"/>
              <w:jc w:val="center"/>
            </w:pPr>
            <w:r>
              <w:t>0,32</w:t>
            </w:r>
          </w:p>
        </w:tc>
        <w:tc>
          <w:tcPr>
            <w:tcW w:w="2650" w:type="dxa"/>
            <w:tcBorders>
              <w:top w:val="nil"/>
              <w:bottom w:val="nil"/>
            </w:tcBorders>
          </w:tcPr>
          <w:p w:rsidR="00212513" w:rsidRDefault="00212513">
            <w:pPr>
              <w:pStyle w:val="ConsPlusNormal"/>
              <w:jc w:val="center"/>
            </w:pPr>
            <w:r>
              <w:t>0,66</w:t>
            </w:r>
          </w:p>
        </w:tc>
      </w:tr>
      <w:tr w:rsidR="00212513">
        <w:tblPrEx>
          <w:tblBorders>
            <w:insideH w:val="none" w:sz="0" w:space="0" w:color="auto"/>
          </w:tblBorders>
        </w:tblPrEx>
        <w:tc>
          <w:tcPr>
            <w:tcW w:w="2648" w:type="dxa"/>
            <w:tcBorders>
              <w:top w:val="nil"/>
              <w:bottom w:val="nil"/>
            </w:tcBorders>
          </w:tcPr>
          <w:p w:rsidR="00212513" w:rsidRDefault="00212513">
            <w:pPr>
              <w:pStyle w:val="ConsPlusNormal"/>
              <w:jc w:val="center"/>
            </w:pPr>
            <w:r>
              <w:t>18</w:t>
            </w:r>
          </w:p>
        </w:tc>
        <w:tc>
          <w:tcPr>
            <w:tcW w:w="2648" w:type="dxa"/>
            <w:tcBorders>
              <w:top w:val="nil"/>
              <w:bottom w:val="nil"/>
            </w:tcBorders>
          </w:tcPr>
          <w:p w:rsidR="00212513" w:rsidRDefault="00212513">
            <w:pPr>
              <w:pStyle w:val="ConsPlusNormal"/>
              <w:jc w:val="center"/>
            </w:pPr>
            <w:r>
              <w:t>0,31</w:t>
            </w:r>
          </w:p>
        </w:tc>
        <w:tc>
          <w:tcPr>
            <w:tcW w:w="2650" w:type="dxa"/>
            <w:tcBorders>
              <w:top w:val="nil"/>
              <w:bottom w:val="nil"/>
            </w:tcBorders>
          </w:tcPr>
          <w:p w:rsidR="00212513" w:rsidRDefault="00212513">
            <w:pPr>
              <w:pStyle w:val="ConsPlusNormal"/>
              <w:jc w:val="center"/>
            </w:pPr>
            <w:r>
              <w:t>0,66</w:t>
            </w:r>
          </w:p>
        </w:tc>
      </w:tr>
      <w:tr w:rsidR="00212513">
        <w:tblPrEx>
          <w:tblBorders>
            <w:insideH w:val="none" w:sz="0" w:space="0" w:color="auto"/>
          </w:tblBorders>
        </w:tblPrEx>
        <w:tc>
          <w:tcPr>
            <w:tcW w:w="2648" w:type="dxa"/>
            <w:tcBorders>
              <w:top w:val="nil"/>
              <w:bottom w:val="nil"/>
            </w:tcBorders>
          </w:tcPr>
          <w:p w:rsidR="00212513" w:rsidRDefault="00212513">
            <w:pPr>
              <w:pStyle w:val="ConsPlusNormal"/>
              <w:jc w:val="center"/>
            </w:pPr>
            <w:r>
              <w:t>19</w:t>
            </w:r>
          </w:p>
        </w:tc>
        <w:tc>
          <w:tcPr>
            <w:tcW w:w="2648" w:type="dxa"/>
            <w:tcBorders>
              <w:top w:val="nil"/>
              <w:bottom w:val="nil"/>
            </w:tcBorders>
          </w:tcPr>
          <w:p w:rsidR="00212513" w:rsidRDefault="00212513">
            <w:pPr>
              <w:pStyle w:val="ConsPlusNormal"/>
              <w:jc w:val="center"/>
            </w:pPr>
            <w:r>
              <w:t>0,30</w:t>
            </w:r>
          </w:p>
        </w:tc>
        <w:tc>
          <w:tcPr>
            <w:tcW w:w="2650" w:type="dxa"/>
            <w:tcBorders>
              <w:top w:val="nil"/>
              <w:bottom w:val="nil"/>
            </w:tcBorders>
          </w:tcPr>
          <w:p w:rsidR="00212513" w:rsidRDefault="00212513">
            <w:pPr>
              <w:pStyle w:val="ConsPlusNormal"/>
              <w:jc w:val="center"/>
            </w:pPr>
            <w:r>
              <w:t>0,66</w:t>
            </w:r>
          </w:p>
        </w:tc>
      </w:tr>
      <w:tr w:rsidR="00212513">
        <w:tblPrEx>
          <w:tblBorders>
            <w:insideH w:val="none" w:sz="0" w:space="0" w:color="auto"/>
          </w:tblBorders>
        </w:tblPrEx>
        <w:tc>
          <w:tcPr>
            <w:tcW w:w="2648" w:type="dxa"/>
            <w:tcBorders>
              <w:top w:val="nil"/>
              <w:bottom w:val="nil"/>
            </w:tcBorders>
          </w:tcPr>
          <w:p w:rsidR="00212513" w:rsidRDefault="00212513">
            <w:pPr>
              <w:pStyle w:val="ConsPlusNormal"/>
              <w:jc w:val="center"/>
            </w:pPr>
            <w:r>
              <w:t>20</w:t>
            </w:r>
          </w:p>
        </w:tc>
        <w:tc>
          <w:tcPr>
            <w:tcW w:w="2648" w:type="dxa"/>
            <w:tcBorders>
              <w:top w:val="nil"/>
              <w:bottom w:val="nil"/>
            </w:tcBorders>
          </w:tcPr>
          <w:p w:rsidR="00212513" w:rsidRDefault="00212513">
            <w:pPr>
              <w:pStyle w:val="ConsPlusNormal"/>
              <w:jc w:val="center"/>
            </w:pPr>
            <w:r>
              <w:t>0,29</w:t>
            </w:r>
          </w:p>
        </w:tc>
        <w:tc>
          <w:tcPr>
            <w:tcW w:w="2650" w:type="dxa"/>
            <w:tcBorders>
              <w:top w:val="nil"/>
              <w:bottom w:val="nil"/>
            </w:tcBorders>
          </w:tcPr>
          <w:p w:rsidR="00212513" w:rsidRDefault="00212513">
            <w:pPr>
              <w:pStyle w:val="ConsPlusNormal"/>
              <w:jc w:val="center"/>
            </w:pPr>
            <w:r>
              <w:t>0,67</w:t>
            </w:r>
          </w:p>
        </w:tc>
      </w:tr>
      <w:tr w:rsidR="00212513">
        <w:tblPrEx>
          <w:tblBorders>
            <w:insideH w:val="none" w:sz="0" w:space="0" w:color="auto"/>
          </w:tblBorders>
        </w:tblPrEx>
        <w:tc>
          <w:tcPr>
            <w:tcW w:w="2648" w:type="dxa"/>
            <w:tcBorders>
              <w:top w:val="nil"/>
              <w:bottom w:val="nil"/>
            </w:tcBorders>
          </w:tcPr>
          <w:p w:rsidR="00212513" w:rsidRDefault="00212513">
            <w:pPr>
              <w:pStyle w:val="ConsPlusNormal"/>
              <w:jc w:val="center"/>
            </w:pPr>
            <w:r>
              <w:t>21</w:t>
            </w:r>
          </w:p>
        </w:tc>
        <w:tc>
          <w:tcPr>
            <w:tcW w:w="2648" w:type="dxa"/>
            <w:tcBorders>
              <w:top w:val="nil"/>
              <w:bottom w:val="nil"/>
            </w:tcBorders>
          </w:tcPr>
          <w:p w:rsidR="00212513" w:rsidRDefault="00212513">
            <w:pPr>
              <w:pStyle w:val="ConsPlusNormal"/>
              <w:jc w:val="center"/>
            </w:pPr>
            <w:r>
              <w:t>0,28</w:t>
            </w:r>
          </w:p>
        </w:tc>
        <w:tc>
          <w:tcPr>
            <w:tcW w:w="2650" w:type="dxa"/>
            <w:tcBorders>
              <w:top w:val="nil"/>
              <w:bottom w:val="nil"/>
            </w:tcBorders>
          </w:tcPr>
          <w:p w:rsidR="00212513" w:rsidRDefault="00212513">
            <w:pPr>
              <w:pStyle w:val="ConsPlusNormal"/>
              <w:jc w:val="center"/>
            </w:pPr>
            <w:r>
              <w:t>0,67</w:t>
            </w:r>
          </w:p>
        </w:tc>
      </w:tr>
      <w:tr w:rsidR="00212513">
        <w:tblPrEx>
          <w:tblBorders>
            <w:insideH w:val="none" w:sz="0" w:space="0" w:color="auto"/>
          </w:tblBorders>
        </w:tblPrEx>
        <w:tc>
          <w:tcPr>
            <w:tcW w:w="2648" w:type="dxa"/>
            <w:tcBorders>
              <w:top w:val="nil"/>
              <w:bottom w:val="nil"/>
            </w:tcBorders>
          </w:tcPr>
          <w:p w:rsidR="00212513" w:rsidRDefault="00212513">
            <w:pPr>
              <w:pStyle w:val="ConsPlusNormal"/>
              <w:jc w:val="center"/>
            </w:pPr>
            <w:r>
              <w:t>22</w:t>
            </w:r>
          </w:p>
        </w:tc>
        <w:tc>
          <w:tcPr>
            <w:tcW w:w="2648" w:type="dxa"/>
            <w:tcBorders>
              <w:top w:val="nil"/>
              <w:bottom w:val="nil"/>
            </w:tcBorders>
          </w:tcPr>
          <w:p w:rsidR="00212513" w:rsidRDefault="00212513">
            <w:pPr>
              <w:pStyle w:val="ConsPlusNormal"/>
              <w:jc w:val="center"/>
            </w:pPr>
            <w:r>
              <w:t>0,27</w:t>
            </w:r>
          </w:p>
        </w:tc>
        <w:tc>
          <w:tcPr>
            <w:tcW w:w="2650" w:type="dxa"/>
            <w:tcBorders>
              <w:top w:val="nil"/>
              <w:bottom w:val="nil"/>
            </w:tcBorders>
          </w:tcPr>
          <w:p w:rsidR="00212513" w:rsidRDefault="00212513">
            <w:pPr>
              <w:pStyle w:val="ConsPlusNormal"/>
              <w:jc w:val="center"/>
            </w:pPr>
            <w:r>
              <w:t>0,67</w:t>
            </w:r>
          </w:p>
        </w:tc>
      </w:tr>
      <w:tr w:rsidR="00212513">
        <w:tblPrEx>
          <w:tblBorders>
            <w:insideH w:val="none" w:sz="0" w:space="0" w:color="auto"/>
          </w:tblBorders>
        </w:tblPrEx>
        <w:tc>
          <w:tcPr>
            <w:tcW w:w="2648" w:type="dxa"/>
            <w:tcBorders>
              <w:top w:val="nil"/>
              <w:bottom w:val="nil"/>
            </w:tcBorders>
          </w:tcPr>
          <w:p w:rsidR="00212513" w:rsidRDefault="00212513">
            <w:pPr>
              <w:pStyle w:val="ConsPlusNormal"/>
              <w:jc w:val="center"/>
            </w:pPr>
            <w:r>
              <w:t>23</w:t>
            </w:r>
          </w:p>
        </w:tc>
        <w:tc>
          <w:tcPr>
            <w:tcW w:w="2648" w:type="dxa"/>
            <w:tcBorders>
              <w:top w:val="nil"/>
              <w:bottom w:val="nil"/>
            </w:tcBorders>
          </w:tcPr>
          <w:p w:rsidR="00212513" w:rsidRDefault="00212513">
            <w:pPr>
              <w:pStyle w:val="ConsPlusNormal"/>
              <w:jc w:val="center"/>
            </w:pPr>
            <w:r>
              <w:t>0,27</w:t>
            </w:r>
          </w:p>
        </w:tc>
        <w:tc>
          <w:tcPr>
            <w:tcW w:w="2650" w:type="dxa"/>
            <w:tcBorders>
              <w:top w:val="nil"/>
              <w:bottom w:val="nil"/>
            </w:tcBorders>
          </w:tcPr>
          <w:p w:rsidR="00212513" w:rsidRDefault="00212513">
            <w:pPr>
              <w:pStyle w:val="ConsPlusNormal"/>
              <w:jc w:val="center"/>
            </w:pPr>
            <w:r>
              <w:t>0,67</w:t>
            </w:r>
          </w:p>
        </w:tc>
      </w:tr>
      <w:tr w:rsidR="00212513">
        <w:tblPrEx>
          <w:tblBorders>
            <w:insideH w:val="none" w:sz="0" w:space="0" w:color="auto"/>
          </w:tblBorders>
        </w:tblPrEx>
        <w:tc>
          <w:tcPr>
            <w:tcW w:w="2648" w:type="dxa"/>
            <w:tcBorders>
              <w:top w:val="nil"/>
              <w:bottom w:val="nil"/>
            </w:tcBorders>
          </w:tcPr>
          <w:p w:rsidR="00212513" w:rsidRDefault="00212513">
            <w:pPr>
              <w:pStyle w:val="ConsPlusNormal"/>
              <w:jc w:val="center"/>
            </w:pPr>
            <w:r>
              <w:t>24</w:t>
            </w:r>
          </w:p>
        </w:tc>
        <w:tc>
          <w:tcPr>
            <w:tcW w:w="2648" w:type="dxa"/>
            <w:tcBorders>
              <w:top w:val="nil"/>
              <w:bottom w:val="nil"/>
            </w:tcBorders>
          </w:tcPr>
          <w:p w:rsidR="00212513" w:rsidRDefault="00212513">
            <w:pPr>
              <w:pStyle w:val="ConsPlusNormal"/>
              <w:jc w:val="center"/>
            </w:pPr>
            <w:r>
              <w:t>0,26</w:t>
            </w:r>
          </w:p>
        </w:tc>
        <w:tc>
          <w:tcPr>
            <w:tcW w:w="2650" w:type="dxa"/>
            <w:tcBorders>
              <w:top w:val="nil"/>
              <w:bottom w:val="nil"/>
            </w:tcBorders>
          </w:tcPr>
          <w:p w:rsidR="00212513" w:rsidRDefault="00212513">
            <w:pPr>
              <w:pStyle w:val="ConsPlusNormal"/>
              <w:jc w:val="center"/>
            </w:pPr>
            <w:r>
              <w:t>0,68</w:t>
            </w:r>
          </w:p>
        </w:tc>
      </w:tr>
      <w:tr w:rsidR="00212513">
        <w:tblPrEx>
          <w:tblBorders>
            <w:insideH w:val="none" w:sz="0" w:space="0" w:color="auto"/>
          </w:tblBorders>
        </w:tblPrEx>
        <w:tc>
          <w:tcPr>
            <w:tcW w:w="2648" w:type="dxa"/>
            <w:tcBorders>
              <w:top w:val="nil"/>
              <w:bottom w:val="nil"/>
            </w:tcBorders>
          </w:tcPr>
          <w:p w:rsidR="00212513" w:rsidRDefault="00212513">
            <w:pPr>
              <w:pStyle w:val="ConsPlusNormal"/>
              <w:jc w:val="center"/>
            </w:pPr>
            <w:r>
              <w:t>25</w:t>
            </w:r>
          </w:p>
        </w:tc>
        <w:tc>
          <w:tcPr>
            <w:tcW w:w="2648" w:type="dxa"/>
            <w:tcBorders>
              <w:top w:val="nil"/>
              <w:bottom w:val="nil"/>
            </w:tcBorders>
          </w:tcPr>
          <w:p w:rsidR="00212513" w:rsidRDefault="00212513">
            <w:pPr>
              <w:pStyle w:val="ConsPlusNormal"/>
              <w:jc w:val="center"/>
            </w:pPr>
            <w:r>
              <w:t>0,25</w:t>
            </w:r>
          </w:p>
        </w:tc>
        <w:tc>
          <w:tcPr>
            <w:tcW w:w="2650" w:type="dxa"/>
            <w:tcBorders>
              <w:top w:val="nil"/>
              <w:bottom w:val="nil"/>
            </w:tcBorders>
          </w:tcPr>
          <w:p w:rsidR="00212513" w:rsidRDefault="00212513">
            <w:pPr>
              <w:pStyle w:val="ConsPlusNormal"/>
              <w:jc w:val="center"/>
            </w:pPr>
            <w:r>
              <w:t>0,68</w:t>
            </w:r>
          </w:p>
        </w:tc>
      </w:tr>
      <w:tr w:rsidR="00212513">
        <w:tblPrEx>
          <w:tblBorders>
            <w:insideH w:val="none" w:sz="0" w:space="0" w:color="auto"/>
          </w:tblBorders>
        </w:tblPrEx>
        <w:tc>
          <w:tcPr>
            <w:tcW w:w="2648" w:type="dxa"/>
            <w:tcBorders>
              <w:top w:val="nil"/>
              <w:bottom w:val="nil"/>
            </w:tcBorders>
          </w:tcPr>
          <w:p w:rsidR="00212513" w:rsidRDefault="00212513">
            <w:pPr>
              <w:pStyle w:val="ConsPlusNormal"/>
              <w:jc w:val="center"/>
            </w:pPr>
            <w:r>
              <w:t>26</w:t>
            </w:r>
          </w:p>
        </w:tc>
        <w:tc>
          <w:tcPr>
            <w:tcW w:w="2648" w:type="dxa"/>
            <w:tcBorders>
              <w:top w:val="nil"/>
              <w:bottom w:val="nil"/>
            </w:tcBorders>
          </w:tcPr>
          <w:p w:rsidR="00212513" w:rsidRDefault="00212513">
            <w:pPr>
              <w:pStyle w:val="ConsPlusNormal"/>
              <w:jc w:val="center"/>
            </w:pPr>
            <w:r>
              <w:t>0,25</w:t>
            </w:r>
          </w:p>
        </w:tc>
        <w:tc>
          <w:tcPr>
            <w:tcW w:w="2650" w:type="dxa"/>
            <w:tcBorders>
              <w:top w:val="nil"/>
              <w:bottom w:val="nil"/>
            </w:tcBorders>
          </w:tcPr>
          <w:p w:rsidR="00212513" w:rsidRDefault="00212513">
            <w:pPr>
              <w:pStyle w:val="ConsPlusNormal"/>
              <w:jc w:val="center"/>
            </w:pPr>
            <w:r>
              <w:t>0,68</w:t>
            </w:r>
          </w:p>
        </w:tc>
      </w:tr>
      <w:tr w:rsidR="00212513">
        <w:tblPrEx>
          <w:tblBorders>
            <w:insideH w:val="none" w:sz="0" w:space="0" w:color="auto"/>
          </w:tblBorders>
        </w:tblPrEx>
        <w:tc>
          <w:tcPr>
            <w:tcW w:w="2648" w:type="dxa"/>
            <w:tcBorders>
              <w:top w:val="nil"/>
              <w:bottom w:val="nil"/>
            </w:tcBorders>
          </w:tcPr>
          <w:p w:rsidR="00212513" w:rsidRDefault="00212513">
            <w:pPr>
              <w:pStyle w:val="ConsPlusNormal"/>
              <w:jc w:val="center"/>
            </w:pPr>
            <w:r>
              <w:t>27</w:t>
            </w:r>
          </w:p>
        </w:tc>
        <w:tc>
          <w:tcPr>
            <w:tcW w:w="2648" w:type="dxa"/>
            <w:tcBorders>
              <w:top w:val="nil"/>
              <w:bottom w:val="nil"/>
            </w:tcBorders>
          </w:tcPr>
          <w:p w:rsidR="00212513" w:rsidRDefault="00212513">
            <w:pPr>
              <w:pStyle w:val="ConsPlusNormal"/>
              <w:jc w:val="center"/>
            </w:pPr>
            <w:r>
              <w:t>0,24</w:t>
            </w:r>
          </w:p>
        </w:tc>
        <w:tc>
          <w:tcPr>
            <w:tcW w:w="2650" w:type="dxa"/>
            <w:tcBorders>
              <w:top w:val="nil"/>
              <w:bottom w:val="nil"/>
            </w:tcBorders>
          </w:tcPr>
          <w:p w:rsidR="00212513" w:rsidRDefault="00212513">
            <w:pPr>
              <w:pStyle w:val="ConsPlusNormal"/>
              <w:jc w:val="center"/>
            </w:pPr>
            <w:r>
              <w:t>0,68</w:t>
            </w:r>
          </w:p>
        </w:tc>
      </w:tr>
      <w:tr w:rsidR="00212513">
        <w:tblPrEx>
          <w:tblBorders>
            <w:insideH w:val="none" w:sz="0" w:space="0" w:color="auto"/>
          </w:tblBorders>
        </w:tblPrEx>
        <w:tc>
          <w:tcPr>
            <w:tcW w:w="2648" w:type="dxa"/>
            <w:tcBorders>
              <w:top w:val="nil"/>
              <w:bottom w:val="nil"/>
            </w:tcBorders>
          </w:tcPr>
          <w:p w:rsidR="00212513" w:rsidRDefault="00212513">
            <w:pPr>
              <w:pStyle w:val="ConsPlusNormal"/>
              <w:jc w:val="center"/>
            </w:pPr>
            <w:r>
              <w:t>28</w:t>
            </w:r>
          </w:p>
        </w:tc>
        <w:tc>
          <w:tcPr>
            <w:tcW w:w="2648" w:type="dxa"/>
            <w:tcBorders>
              <w:top w:val="nil"/>
              <w:bottom w:val="nil"/>
            </w:tcBorders>
          </w:tcPr>
          <w:p w:rsidR="00212513" w:rsidRDefault="00212513">
            <w:pPr>
              <w:pStyle w:val="ConsPlusNormal"/>
              <w:jc w:val="center"/>
            </w:pPr>
            <w:r>
              <w:t>0,23</w:t>
            </w:r>
          </w:p>
        </w:tc>
        <w:tc>
          <w:tcPr>
            <w:tcW w:w="2650" w:type="dxa"/>
            <w:tcBorders>
              <w:top w:val="nil"/>
              <w:bottom w:val="nil"/>
            </w:tcBorders>
          </w:tcPr>
          <w:p w:rsidR="00212513" w:rsidRDefault="00212513">
            <w:pPr>
              <w:pStyle w:val="ConsPlusNormal"/>
              <w:jc w:val="center"/>
            </w:pPr>
            <w:r>
              <w:t>0,69</w:t>
            </w:r>
          </w:p>
        </w:tc>
      </w:tr>
      <w:tr w:rsidR="00212513">
        <w:tblPrEx>
          <w:tblBorders>
            <w:insideH w:val="none" w:sz="0" w:space="0" w:color="auto"/>
          </w:tblBorders>
        </w:tblPrEx>
        <w:tc>
          <w:tcPr>
            <w:tcW w:w="2648" w:type="dxa"/>
            <w:tcBorders>
              <w:top w:val="nil"/>
              <w:bottom w:val="nil"/>
            </w:tcBorders>
          </w:tcPr>
          <w:p w:rsidR="00212513" w:rsidRDefault="00212513">
            <w:pPr>
              <w:pStyle w:val="ConsPlusNormal"/>
              <w:jc w:val="center"/>
            </w:pPr>
            <w:r>
              <w:t>29</w:t>
            </w:r>
          </w:p>
        </w:tc>
        <w:tc>
          <w:tcPr>
            <w:tcW w:w="2648" w:type="dxa"/>
            <w:tcBorders>
              <w:top w:val="nil"/>
              <w:bottom w:val="nil"/>
            </w:tcBorders>
          </w:tcPr>
          <w:p w:rsidR="00212513" w:rsidRDefault="00212513">
            <w:pPr>
              <w:pStyle w:val="ConsPlusNormal"/>
              <w:jc w:val="center"/>
            </w:pPr>
            <w:r>
              <w:t>0,23</w:t>
            </w:r>
          </w:p>
        </w:tc>
        <w:tc>
          <w:tcPr>
            <w:tcW w:w="2650" w:type="dxa"/>
            <w:tcBorders>
              <w:top w:val="nil"/>
              <w:bottom w:val="nil"/>
            </w:tcBorders>
          </w:tcPr>
          <w:p w:rsidR="00212513" w:rsidRDefault="00212513">
            <w:pPr>
              <w:pStyle w:val="ConsPlusNormal"/>
              <w:jc w:val="center"/>
            </w:pPr>
            <w:r>
              <w:t>0,69</w:t>
            </w:r>
          </w:p>
        </w:tc>
      </w:tr>
      <w:tr w:rsidR="00212513">
        <w:tblPrEx>
          <w:tblBorders>
            <w:insideH w:val="none" w:sz="0" w:space="0" w:color="auto"/>
          </w:tblBorders>
        </w:tblPrEx>
        <w:tc>
          <w:tcPr>
            <w:tcW w:w="2648" w:type="dxa"/>
            <w:tcBorders>
              <w:top w:val="nil"/>
              <w:bottom w:val="single" w:sz="4" w:space="0" w:color="auto"/>
            </w:tcBorders>
          </w:tcPr>
          <w:p w:rsidR="00212513" w:rsidRDefault="00212513">
            <w:pPr>
              <w:pStyle w:val="ConsPlusNormal"/>
              <w:jc w:val="center"/>
            </w:pPr>
            <w:r>
              <w:t>30</w:t>
            </w:r>
          </w:p>
        </w:tc>
        <w:tc>
          <w:tcPr>
            <w:tcW w:w="2648" w:type="dxa"/>
            <w:tcBorders>
              <w:top w:val="nil"/>
              <w:bottom w:val="single" w:sz="4" w:space="0" w:color="auto"/>
            </w:tcBorders>
          </w:tcPr>
          <w:p w:rsidR="00212513" w:rsidRDefault="00212513">
            <w:pPr>
              <w:pStyle w:val="ConsPlusNormal"/>
              <w:jc w:val="center"/>
            </w:pPr>
            <w:r>
              <w:t>0,22</w:t>
            </w:r>
          </w:p>
        </w:tc>
        <w:tc>
          <w:tcPr>
            <w:tcW w:w="2650" w:type="dxa"/>
            <w:tcBorders>
              <w:top w:val="nil"/>
              <w:bottom w:val="single" w:sz="4" w:space="0" w:color="auto"/>
            </w:tcBorders>
          </w:tcPr>
          <w:p w:rsidR="00212513" w:rsidRDefault="00212513">
            <w:pPr>
              <w:pStyle w:val="ConsPlusNormal"/>
              <w:jc w:val="center"/>
            </w:pPr>
            <w:r>
              <w:t>0,69</w:t>
            </w:r>
          </w:p>
        </w:tc>
      </w:tr>
    </w:tbl>
    <w:p w:rsidR="00212513" w:rsidRDefault="00212513">
      <w:pPr>
        <w:pStyle w:val="ConsPlusNormal"/>
        <w:ind w:firstLine="540"/>
        <w:jc w:val="both"/>
      </w:pPr>
    </w:p>
    <w:p w:rsidR="00212513" w:rsidRDefault="00212513">
      <w:pPr>
        <w:pStyle w:val="ConsPlusNormal"/>
        <w:jc w:val="center"/>
      </w:pPr>
      <w:r>
        <w:rPr>
          <w:b/>
        </w:rPr>
        <w:t>При расположении на призме обрушения</w:t>
      </w:r>
    </w:p>
    <w:p w:rsidR="00212513" w:rsidRDefault="00212513">
      <w:pPr>
        <w:pStyle w:val="ConsPlusNormal"/>
        <w:jc w:val="center"/>
      </w:pPr>
      <w:r>
        <w:rPr>
          <w:b/>
        </w:rPr>
        <w:t>колесной автомобильной нагрузки</w:t>
      </w:r>
    </w:p>
    <w:p w:rsidR="00212513" w:rsidRDefault="00212513">
      <w:pPr>
        <w:pStyle w:val="ConsPlusNormal"/>
        <w:ind w:firstLine="540"/>
        <w:jc w:val="both"/>
      </w:pPr>
    </w:p>
    <w:p w:rsidR="00212513" w:rsidRDefault="00212513">
      <w:pPr>
        <w:pStyle w:val="ConsPlusNormal"/>
        <w:ind w:firstLine="540"/>
        <w:jc w:val="both"/>
      </w:pPr>
      <w:r>
        <w:t>М.2 При отсутствии переходных плит от насыпи на устой давление от транспортных средств автомобильных дорог на призме обрушения следует принимать распределенным на площадки опирания:</w:t>
      </w:r>
    </w:p>
    <w:p w:rsidR="00212513" w:rsidRDefault="00212513">
      <w:pPr>
        <w:pStyle w:val="ConsPlusNormal"/>
        <w:spacing w:before="220"/>
        <w:ind w:firstLine="540"/>
        <w:jc w:val="both"/>
      </w:pPr>
      <w:r>
        <w:lastRenderedPageBreak/>
        <w:t xml:space="preserve">а) в случае расположения стенки перпендикулярно направлению движения давление от каждого ряда колес распределяется на площадки опирания размером </w:t>
      </w:r>
      <w:r>
        <w:rPr>
          <w:i/>
        </w:rPr>
        <w:t>c</w:t>
      </w:r>
      <w:r>
        <w:t xml:space="preserve"> x </w:t>
      </w:r>
      <w:r>
        <w:rPr>
          <w:i/>
        </w:rPr>
        <w:t>b</w:t>
      </w:r>
      <w:r>
        <w:t xml:space="preserve">, где </w:t>
      </w:r>
      <w:r>
        <w:rPr>
          <w:i/>
        </w:rPr>
        <w:t>c</w:t>
      </w:r>
      <w:r>
        <w:t xml:space="preserve"> - длина соприкасания вдоль оси моста колес рассматриваемых нагрузок с покрытием проезжей части (</w:t>
      </w:r>
      <w:hyperlink w:anchor="P13948">
        <w:r>
          <w:rPr>
            <w:color w:val="0000FF"/>
          </w:rPr>
          <w:t>рисунок М.1</w:t>
        </w:r>
      </w:hyperlink>
      <w:r>
        <w:t>, в), принимаемая, м:</w:t>
      </w:r>
    </w:p>
    <w:p w:rsidR="00212513" w:rsidRDefault="00212513">
      <w:pPr>
        <w:pStyle w:val="ConsPlusNormal"/>
        <w:spacing w:before="220"/>
        <w:ind w:firstLine="540"/>
        <w:jc w:val="both"/>
      </w:pPr>
      <w:r>
        <w:t>для колес тележек нагрузки АК - 0,2;</w:t>
      </w:r>
    </w:p>
    <w:p w:rsidR="00212513" w:rsidRDefault="00212513">
      <w:pPr>
        <w:pStyle w:val="ConsPlusNormal"/>
        <w:spacing w:before="220"/>
        <w:ind w:firstLine="540"/>
        <w:jc w:val="both"/>
      </w:pPr>
      <w:r>
        <w:t xml:space="preserve">то же, автомобилей нагрузки АБ - по </w:t>
      </w:r>
      <w:hyperlink w:anchor="P1188">
        <w:r>
          <w:rPr>
            <w:color w:val="0000FF"/>
          </w:rPr>
          <w:t>таблице 6.6</w:t>
        </w:r>
      </w:hyperlink>
      <w:r>
        <w:t xml:space="preserve"> в 6.13;</w:t>
      </w:r>
    </w:p>
    <w:p w:rsidR="00212513" w:rsidRDefault="00212513">
      <w:pPr>
        <w:pStyle w:val="ConsPlusNormal"/>
        <w:spacing w:before="220"/>
        <w:ind w:firstLine="540"/>
        <w:jc w:val="both"/>
      </w:pPr>
      <w:r>
        <w:t>для колесной нагрузки НК - 3,8;</w:t>
      </w:r>
    </w:p>
    <w:p w:rsidR="00212513" w:rsidRDefault="00212513">
      <w:pPr>
        <w:pStyle w:val="ConsPlusNormal"/>
        <w:spacing w:before="220"/>
        <w:ind w:firstLine="540"/>
        <w:jc w:val="both"/>
      </w:pPr>
      <w:r>
        <w:rPr>
          <w:i/>
        </w:rPr>
        <w:t>b</w:t>
      </w:r>
      <w:r>
        <w:t xml:space="preserve"> - ширина, равная расстоянию между внешними гранями колес (для тележек нагрузки АК, автомобилей нагрузки АБ, колесной нагрузки НК).</w:t>
      </w:r>
    </w:p>
    <w:p w:rsidR="00212513" w:rsidRDefault="00212513">
      <w:pPr>
        <w:pStyle w:val="ConsPlusNormal"/>
        <w:spacing w:before="220"/>
        <w:ind w:firstLine="540"/>
        <w:jc w:val="both"/>
      </w:pPr>
      <w:r>
        <w:t xml:space="preserve">В случаях, когда сосредоточенное давление распределяется в стороны вдоль рассчитываемой стенки (например, устои с откосными крыльями), его учитывают с коэффициентом </w:t>
      </w:r>
      <w:r>
        <w:rPr>
          <w:noProof/>
        </w:rPr>
        <w:drawing>
          <wp:inline distT="0" distB="0" distL="0" distR="0">
            <wp:extent cx="167640" cy="150495"/>
            <wp:effectExtent l="0" t="0" r="0" b="0"/>
            <wp:docPr id="2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8"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r>
        <w:t xml:space="preserve">, зависящим от отношения </w:t>
      </w:r>
      <w:r>
        <w:rPr>
          <w:i/>
        </w:rPr>
        <w:t>b/h</w:t>
      </w:r>
      <w:r>
        <w:t xml:space="preserve"> по таблице М.2, где </w:t>
      </w:r>
      <w:r>
        <w:rPr>
          <w:i/>
        </w:rPr>
        <w:t>h</w:t>
      </w:r>
      <w:r>
        <w:t xml:space="preserve"> - высота приложения нагрузки </w:t>
      </w:r>
      <w:hyperlink w:anchor="P13948">
        <w:r>
          <w:rPr>
            <w:color w:val="0000FF"/>
          </w:rPr>
          <w:t>(рисунок М.1, в)</w:t>
        </w:r>
      </w:hyperlink>
      <w:r>
        <w:t>.</w:t>
      </w:r>
    </w:p>
    <w:p w:rsidR="00212513" w:rsidRDefault="00212513">
      <w:pPr>
        <w:pStyle w:val="ConsPlusNormal"/>
        <w:jc w:val="both"/>
      </w:pPr>
      <w:r>
        <w:t xml:space="preserve">(в ред. </w:t>
      </w:r>
      <w:hyperlink r:id="rId3309">
        <w:r>
          <w:rPr>
            <w:color w:val="0000FF"/>
          </w:rPr>
          <w:t>Изменения N 1</w:t>
        </w:r>
      </w:hyperlink>
      <w:r>
        <w:t>, утв. Приказом Минстроя России от 03.12.2016 N 879/пр)</w:t>
      </w:r>
    </w:p>
    <w:p w:rsidR="00212513" w:rsidRDefault="00212513">
      <w:pPr>
        <w:pStyle w:val="ConsPlusNormal"/>
        <w:ind w:firstLine="540"/>
        <w:jc w:val="both"/>
      </w:pPr>
    </w:p>
    <w:p w:rsidR="00212513" w:rsidRDefault="00212513">
      <w:pPr>
        <w:pStyle w:val="ConsPlusNormal"/>
        <w:jc w:val="right"/>
      </w:pPr>
      <w:r>
        <w:t>Таблица М.2</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7"/>
        <w:gridCol w:w="3967"/>
      </w:tblGrid>
      <w:tr w:rsidR="00212513">
        <w:tc>
          <w:tcPr>
            <w:tcW w:w="3967" w:type="dxa"/>
            <w:tcBorders>
              <w:top w:val="single" w:sz="4" w:space="0" w:color="auto"/>
              <w:bottom w:val="single" w:sz="4" w:space="0" w:color="auto"/>
            </w:tcBorders>
            <w:vAlign w:val="center"/>
          </w:tcPr>
          <w:p w:rsidR="00212513" w:rsidRDefault="00212513">
            <w:pPr>
              <w:pStyle w:val="ConsPlusNormal"/>
              <w:jc w:val="center"/>
            </w:pPr>
            <w:r>
              <w:rPr>
                <w:i/>
              </w:rPr>
              <w:t>b</w:t>
            </w:r>
            <w:r>
              <w:t>/</w:t>
            </w:r>
            <w:r>
              <w:rPr>
                <w:i/>
              </w:rPr>
              <w:t>h</w:t>
            </w:r>
          </w:p>
        </w:tc>
        <w:tc>
          <w:tcPr>
            <w:tcW w:w="3967" w:type="dxa"/>
            <w:tcBorders>
              <w:top w:val="single" w:sz="4" w:space="0" w:color="auto"/>
              <w:bottom w:val="single" w:sz="4" w:space="0" w:color="auto"/>
            </w:tcBorders>
            <w:vAlign w:val="center"/>
          </w:tcPr>
          <w:p w:rsidR="00212513" w:rsidRDefault="00212513">
            <w:pPr>
              <w:pStyle w:val="ConsPlusNormal"/>
              <w:jc w:val="center"/>
            </w:pPr>
            <w:r>
              <w:rPr>
                <w:noProof/>
                <w:position w:val="-1"/>
              </w:rPr>
              <w:drawing>
                <wp:inline distT="0" distB="0" distL="0" distR="0">
                  <wp:extent cx="167640" cy="157480"/>
                  <wp:effectExtent l="0" t="0" r="0" b="0"/>
                  <wp:docPr id="2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0"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p>
        </w:tc>
      </w:tr>
      <w:tr w:rsidR="00212513">
        <w:tblPrEx>
          <w:tblBorders>
            <w:insideH w:val="none" w:sz="0" w:space="0" w:color="auto"/>
          </w:tblBorders>
        </w:tblPrEx>
        <w:tc>
          <w:tcPr>
            <w:tcW w:w="3967" w:type="dxa"/>
            <w:tcBorders>
              <w:top w:val="single" w:sz="4" w:space="0" w:color="auto"/>
              <w:bottom w:val="nil"/>
            </w:tcBorders>
          </w:tcPr>
          <w:p w:rsidR="00212513" w:rsidRDefault="00212513">
            <w:pPr>
              <w:pStyle w:val="ConsPlusNormal"/>
              <w:jc w:val="center"/>
            </w:pPr>
            <w:r>
              <w:t>0,10</w:t>
            </w:r>
          </w:p>
        </w:tc>
        <w:tc>
          <w:tcPr>
            <w:tcW w:w="3967" w:type="dxa"/>
            <w:tcBorders>
              <w:top w:val="single" w:sz="4" w:space="0" w:color="auto"/>
              <w:bottom w:val="nil"/>
            </w:tcBorders>
          </w:tcPr>
          <w:p w:rsidR="00212513" w:rsidRDefault="00212513">
            <w:pPr>
              <w:pStyle w:val="ConsPlusNormal"/>
              <w:jc w:val="center"/>
            </w:pPr>
            <w:r>
              <w:t>0,327</w:t>
            </w:r>
          </w:p>
        </w:tc>
      </w:tr>
      <w:tr w:rsidR="00212513">
        <w:tblPrEx>
          <w:tblBorders>
            <w:insideH w:val="none" w:sz="0" w:space="0" w:color="auto"/>
          </w:tblBorders>
        </w:tblPrEx>
        <w:tc>
          <w:tcPr>
            <w:tcW w:w="3967" w:type="dxa"/>
            <w:tcBorders>
              <w:top w:val="nil"/>
              <w:bottom w:val="nil"/>
            </w:tcBorders>
          </w:tcPr>
          <w:p w:rsidR="00212513" w:rsidRDefault="00212513">
            <w:pPr>
              <w:pStyle w:val="ConsPlusNormal"/>
              <w:jc w:val="center"/>
            </w:pPr>
            <w:r>
              <w:t>0,12</w:t>
            </w:r>
          </w:p>
        </w:tc>
        <w:tc>
          <w:tcPr>
            <w:tcW w:w="3967" w:type="dxa"/>
            <w:tcBorders>
              <w:top w:val="nil"/>
              <w:bottom w:val="nil"/>
            </w:tcBorders>
          </w:tcPr>
          <w:p w:rsidR="00212513" w:rsidRDefault="00212513">
            <w:pPr>
              <w:pStyle w:val="ConsPlusNormal"/>
              <w:jc w:val="center"/>
            </w:pPr>
            <w:r>
              <w:t>0,360</w:t>
            </w:r>
          </w:p>
        </w:tc>
      </w:tr>
      <w:tr w:rsidR="00212513">
        <w:tblPrEx>
          <w:tblBorders>
            <w:insideH w:val="none" w:sz="0" w:space="0" w:color="auto"/>
          </w:tblBorders>
        </w:tblPrEx>
        <w:tc>
          <w:tcPr>
            <w:tcW w:w="3967" w:type="dxa"/>
            <w:tcBorders>
              <w:top w:val="nil"/>
              <w:bottom w:val="nil"/>
            </w:tcBorders>
          </w:tcPr>
          <w:p w:rsidR="00212513" w:rsidRDefault="00212513">
            <w:pPr>
              <w:pStyle w:val="ConsPlusNormal"/>
              <w:jc w:val="center"/>
            </w:pPr>
            <w:r>
              <w:t>0,14</w:t>
            </w:r>
          </w:p>
        </w:tc>
        <w:tc>
          <w:tcPr>
            <w:tcW w:w="3967" w:type="dxa"/>
            <w:tcBorders>
              <w:top w:val="nil"/>
              <w:bottom w:val="nil"/>
            </w:tcBorders>
          </w:tcPr>
          <w:p w:rsidR="00212513" w:rsidRDefault="00212513">
            <w:pPr>
              <w:pStyle w:val="ConsPlusNormal"/>
              <w:jc w:val="center"/>
            </w:pPr>
            <w:r>
              <w:t>0,89</w:t>
            </w:r>
          </w:p>
        </w:tc>
      </w:tr>
      <w:tr w:rsidR="00212513">
        <w:tblPrEx>
          <w:tblBorders>
            <w:insideH w:val="none" w:sz="0" w:space="0" w:color="auto"/>
          </w:tblBorders>
        </w:tblPrEx>
        <w:tc>
          <w:tcPr>
            <w:tcW w:w="3967" w:type="dxa"/>
            <w:tcBorders>
              <w:top w:val="nil"/>
              <w:bottom w:val="nil"/>
            </w:tcBorders>
          </w:tcPr>
          <w:p w:rsidR="00212513" w:rsidRDefault="00212513">
            <w:pPr>
              <w:pStyle w:val="ConsPlusNormal"/>
              <w:jc w:val="center"/>
            </w:pPr>
            <w:r>
              <w:t>0,16</w:t>
            </w:r>
          </w:p>
        </w:tc>
        <w:tc>
          <w:tcPr>
            <w:tcW w:w="3967" w:type="dxa"/>
            <w:tcBorders>
              <w:top w:val="nil"/>
              <w:bottom w:val="nil"/>
            </w:tcBorders>
          </w:tcPr>
          <w:p w:rsidR="00212513" w:rsidRDefault="00212513">
            <w:pPr>
              <w:pStyle w:val="ConsPlusNormal"/>
              <w:jc w:val="center"/>
            </w:pPr>
            <w:r>
              <w:t>0,414</w:t>
            </w:r>
          </w:p>
        </w:tc>
      </w:tr>
      <w:tr w:rsidR="00212513">
        <w:tblPrEx>
          <w:tblBorders>
            <w:insideH w:val="none" w:sz="0" w:space="0" w:color="auto"/>
          </w:tblBorders>
        </w:tblPrEx>
        <w:tc>
          <w:tcPr>
            <w:tcW w:w="3967" w:type="dxa"/>
            <w:tcBorders>
              <w:top w:val="nil"/>
              <w:bottom w:val="nil"/>
            </w:tcBorders>
          </w:tcPr>
          <w:p w:rsidR="00212513" w:rsidRDefault="00212513">
            <w:pPr>
              <w:pStyle w:val="ConsPlusNormal"/>
              <w:jc w:val="center"/>
            </w:pPr>
            <w:r>
              <w:t>0,18</w:t>
            </w:r>
          </w:p>
        </w:tc>
        <w:tc>
          <w:tcPr>
            <w:tcW w:w="3967" w:type="dxa"/>
            <w:tcBorders>
              <w:top w:val="nil"/>
              <w:bottom w:val="nil"/>
            </w:tcBorders>
          </w:tcPr>
          <w:p w:rsidR="00212513" w:rsidRDefault="00212513">
            <w:pPr>
              <w:pStyle w:val="ConsPlusNormal"/>
              <w:jc w:val="center"/>
            </w:pPr>
            <w:r>
              <w:t>0,437</w:t>
            </w:r>
          </w:p>
        </w:tc>
      </w:tr>
      <w:tr w:rsidR="00212513">
        <w:tblPrEx>
          <w:tblBorders>
            <w:insideH w:val="none" w:sz="0" w:space="0" w:color="auto"/>
          </w:tblBorders>
        </w:tblPrEx>
        <w:tc>
          <w:tcPr>
            <w:tcW w:w="3967" w:type="dxa"/>
            <w:tcBorders>
              <w:top w:val="nil"/>
              <w:bottom w:val="nil"/>
            </w:tcBorders>
          </w:tcPr>
          <w:p w:rsidR="00212513" w:rsidRDefault="00212513">
            <w:pPr>
              <w:pStyle w:val="ConsPlusNormal"/>
              <w:jc w:val="center"/>
            </w:pPr>
            <w:r>
              <w:t>0,20</w:t>
            </w:r>
          </w:p>
        </w:tc>
        <w:tc>
          <w:tcPr>
            <w:tcW w:w="3967" w:type="dxa"/>
            <w:tcBorders>
              <w:top w:val="nil"/>
              <w:bottom w:val="nil"/>
            </w:tcBorders>
          </w:tcPr>
          <w:p w:rsidR="00212513" w:rsidRDefault="00212513">
            <w:pPr>
              <w:pStyle w:val="ConsPlusNormal"/>
              <w:jc w:val="center"/>
            </w:pPr>
            <w:r>
              <w:t>0,459</w:t>
            </w:r>
          </w:p>
        </w:tc>
      </w:tr>
      <w:tr w:rsidR="00212513">
        <w:tblPrEx>
          <w:tblBorders>
            <w:insideH w:val="none" w:sz="0" w:space="0" w:color="auto"/>
          </w:tblBorders>
        </w:tblPrEx>
        <w:tc>
          <w:tcPr>
            <w:tcW w:w="3967" w:type="dxa"/>
            <w:tcBorders>
              <w:top w:val="nil"/>
              <w:bottom w:val="nil"/>
            </w:tcBorders>
          </w:tcPr>
          <w:p w:rsidR="00212513" w:rsidRDefault="00212513">
            <w:pPr>
              <w:pStyle w:val="ConsPlusNormal"/>
              <w:jc w:val="center"/>
            </w:pPr>
            <w:r>
              <w:t>0,25</w:t>
            </w:r>
          </w:p>
        </w:tc>
        <w:tc>
          <w:tcPr>
            <w:tcW w:w="3967" w:type="dxa"/>
            <w:tcBorders>
              <w:top w:val="nil"/>
              <w:bottom w:val="nil"/>
            </w:tcBorders>
          </w:tcPr>
          <w:p w:rsidR="00212513" w:rsidRDefault="00212513">
            <w:pPr>
              <w:pStyle w:val="ConsPlusNormal"/>
              <w:jc w:val="center"/>
            </w:pPr>
            <w:r>
              <w:t>0,505</w:t>
            </w:r>
          </w:p>
        </w:tc>
      </w:tr>
      <w:tr w:rsidR="00212513">
        <w:tblPrEx>
          <w:tblBorders>
            <w:insideH w:val="none" w:sz="0" w:space="0" w:color="auto"/>
          </w:tblBorders>
        </w:tblPrEx>
        <w:tc>
          <w:tcPr>
            <w:tcW w:w="3967" w:type="dxa"/>
            <w:tcBorders>
              <w:top w:val="nil"/>
              <w:bottom w:val="nil"/>
            </w:tcBorders>
          </w:tcPr>
          <w:p w:rsidR="00212513" w:rsidRDefault="00212513">
            <w:pPr>
              <w:pStyle w:val="ConsPlusNormal"/>
              <w:jc w:val="center"/>
            </w:pPr>
            <w:r>
              <w:t>0,30</w:t>
            </w:r>
          </w:p>
        </w:tc>
        <w:tc>
          <w:tcPr>
            <w:tcW w:w="3967" w:type="dxa"/>
            <w:tcBorders>
              <w:top w:val="nil"/>
              <w:bottom w:val="nil"/>
            </w:tcBorders>
          </w:tcPr>
          <w:p w:rsidR="00212513" w:rsidRDefault="00212513">
            <w:pPr>
              <w:pStyle w:val="ConsPlusNormal"/>
              <w:jc w:val="center"/>
            </w:pPr>
            <w:r>
              <w:t>0,544</w:t>
            </w:r>
          </w:p>
        </w:tc>
      </w:tr>
      <w:tr w:rsidR="00212513">
        <w:tblPrEx>
          <w:tblBorders>
            <w:insideH w:val="none" w:sz="0" w:space="0" w:color="auto"/>
          </w:tblBorders>
        </w:tblPrEx>
        <w:tc>
          <w:tcPr>
            <w:tcW w:w="3967" w:type="dxa"/>
            <w:tcBorders>
              <w:top w:val="nil"/>
              <w:bottom w:val="nil"/>
            </w:tcBorders>
          </w:tcPr>
          <w:p w:rsidR="00212513" w:rsidRDefault="00212513">
            <w:pPr>
              <w:pStyle w:val="ConsPlusNormal"/>
              <w:jc w:val="center"/>
            </w:pPr>
            <w:r>
              <w:t>0,35</w:t>
            </w:r>
          </w:p>
        </w:tc>
        <w:tc>
          <w:tcPr>
            <w:tcW w:w="3967" w:type="dxa"/>
            <w:tcBorders>
              <w:top w:val="nil"/>
              <w:bottom w:val="nil"/>
            </w:tcBorders>
          </w:tcPr>
          <w:p w:rsidR="00212513" w:rsidRDefault="00212513">
            <w:pPr>
              <w:pStyle w:val="ConsPlusNormal"/>
              <w:jc w:val="center"/>
            </w:pPr>
            <w:r>
              <w:t>0,576</w:t>
            </w:r>
          </w:p>
        </w:tc>
      </w:tr>
      <w:tr w:rsidR="00212513">
        <w:tblPrEx>
          <w:tblBorders>
            <w:insideH w:val="none" w:sz="0" w:space="0" w:color="auto"/>
          </w:tblBorders>
        </w:tblPrEx>
        <w:tc>
          <w:tcPr>
            <w:tcW w:w="3967" w:type="dxa"/>
            <w:tcBorders>
              <w:top w:val="nil"/>
              <w:bottom w:val="nil"/>
            </w:tcBorders>
          </w:tcPr>
          <w:p w:rsidR="00212513" w:rsidRDefault="00212513">
            <w:pPr>
              <w:pStyle w:val="ConsPlusNormal"/>
              <w:jc w:val="center"/>
            </w:pPr>
            <w:r>
              <w:t>0,40</w:t>
            </w:r>
          </w:p>
        </w:tc>
        <w:tc>
          <w:tcPr>
            <w:tcW w:w="3967" w:type="dxa"/>
            <w:tcBorders>
              <w:top w:val="nil"/>
              <w:bottom w:val="nil"/>
            </w:tcBorders>
          </w:tcPr>
          <w:p w:rsidR="00212513" w:rsidRDefault="00212513">
            <w:pPr>
              <w:pStyle w:val="ConsPlusNormal"/>
              <w:jc w:val="center"/>
            </w:pPr>
            <w:r>
              <w:t>0,602</w:t>
            </w:r>
          </w:p>
        </w:tc>
      </w:tr>
      <w:tr w:rsidR="00212513">
        <w:tblPrEx>
          <w:tblBorders>
            <w:insideH w:val="none" w:sz="0" w:space="0" w:color="auto"/>
          </w:tblBorders>
        </w:tblPrEx>
        <w:tc>
          <w:tcPr>
            <w:tcW w:w="3967" w:type="dxa"/>
            <w:tcBorders>
              <w:top w:val="nil"/>
              <w:bottom w:val="nil"/>
            </w:tcBorders>
          </w:tcPr>
          <w:p w:rsidR="00212513" w:rsidRDefault="00212513">
            <w:pPr>
              <w:pStyle w:val="ConsPlusNormal"/>
              <w:jc w:val="center"/>
            </w:pPr>
            <w:r>
              <w:t>0,50</w:t>
            </w:r>
          </w:p>
        </w:tc>
        <w:tc>
          <w:tcPr>
            <w:tcW w:w="3967" w:type="dxa"/>
            <w:tcBorders>
              <w:top w:val="nil"/>
              <w:bottom w:val="nil"/>
            </w:tcBorders>
          </w:tcPr>
          <w:p w:rsidR="00212513" w:rsidRDefault="00212513">
            <w:pPr>
              <w:pStyle w:val="ConsPlusNormal"/>
              <w:jc w:val="center"/>
            </w:pPr>
            <w:r>
              <w:t>0,668</w:t>
            </w:r>
          </w:p>
        </w:tc>
      </w:tr>
      <w:tr w:rsidR="00212513">
        <w:tblPrEx>
          <w:tblBorders>
            <w:insideH w:val="none" w:sz="0" w:space="0" w:color="auto"/>
          </w:tblBorders>
        </w:tblPrEx>
        <w:tc>
          <w:tcPr>
            <w:tcW w:w="3967" w:type="dxa"/>
            <w:tcBorders>
              <w:top w:val="nil"/>
              <w:bottom w:val="nil"/>
            </w:tcBorders>
          </w:tcPr>
          <w:p w:rsidR="00212513" w:rsidRDefault="00212513">
            <w:pPr>
              <w:pStyle w:val="ConsPlusNormal"/>
              <w:jc w:val="center"/>
            </w:pPr>
            <w:r>
              <w:t>0,60</w:t>
            </w:r>
          </w:p>
        </w:tc>
        <w:tc>
          <w:tcPr>
            <w:tcW w:w="3967" w:type="dxa"/>
            <w:tcBorders>
              <w:top w:val="nil"/>
              <w:bottom w:val="nil"/>
            </w:tcBorders>
          </w:tcPr>
          <w:p w:rsidR="00212513" w:rsidRDefault="00212513">
            <w:pPr>
              <w:pStyle w:val="ConsPlusNormal"/>
              <w:jc w:val="center"/>
            </w:pPr>
            <w:r>
              <w:t>0,681</w:t>
            </w:r>
          </w:p>
        </w:tc>
      </w:tr>
      <w:tr w:rsidR="00212513">
        <w:tblPrEx>
          <w:tblBorders>
            <w:insideH w:val="none" w:sz="0" w:space="0" w:color="auto"/>
          </w:tblBorders>
        </w:tblPrEx>
        <w:tc>
          <w:tcPr>
            <w:tcW w:w="3967" w:type="dxa"/>
            <w:tcBorders>
              <w:top w:val="nil"/>
              <w:bottom w:val="nil"/>
            </w:tcBorders>
          </w:tcPr>
          <w:p w:rsidR="00212513" w:rsidRDefault="00212513">
            <w:pPr>
              <w:pStyle w:val="ConsPlusNormal"/>
              <w:jc w:val="center"/>
            </w:pPr>
            <w:r>
              <w:t>0,70</w:t>
            </w:r>
          </w:p>
        </w:tc>
        <w:tc>
          <w:tcPr>
            <w:tcW w:w="3967" w:type="dxa"/>
            <w:tcBorders>
              <w:top w:val="nil"/>
              <w:bottom w:val="nil"/>
            </w:tcBorders>
          </w:tcPr>
          <w:p w:rsidR="00212513" w:rsidRDefault="00212513">
            <w:pPr>
              <w:pStyle w:val="ConsPlusNormal"/>
              <w:jc w:val="center"/>
            </w:pPr>
            <w:r>
              <w:t>0,710</w:t>
            </w:r>
          </w:p>
        </w:tc>
      </w:tr>
      <w:tr w:rsidR="00212513">
        <w:tblPrEx>
          <w:tblBorders>
            <w:insideH w:val="none" w:sz="0" w:space="0" w:color="auto"/>
          </w:tblBorders>
        </w:tblPrEx>
        <w:tc>
          <w:tcPr>
            <w:tcW w:w="3967" w:type="dxa"/>
            <w:tcBorders>
              <w:top w:val="nil"/>
              <w:bottom w:val="nil"/>
            </w:tcBorders>
          </w:tcPr>
          <w:p w:rsidR="00212513" w:rsidRDefault="00212513">
            <w:pPr>
              <w:pStyle w:val="ConsPlusNormal"/>
              <w:jc w:val="center"/>
            </w:pPr>
            <w:r>
              <w:t>0,80</w:t>
            </w:r>
          </w:p>
        </w:tc>
        <w:tc>
          <w:tcPr>
            <w:tcW w:w="3967" w:type="dxa"/>
            <w:tcBorders>
              <w:top w:val="nil"/>
              <w:bottom w:val="nil"/>
            </w:tcBorders>
          </w:tcPr>
          <w:p w:rsidR="00212513" w:rsidRDefault="00212513">
            <w:pPr>
              <w:pStyle w:val="ConsPlusNormal"/>
              <w:jc w:val="center"/>
            </w:pPr>
            <w:r>
              <w:t>0,735</w:t>
            </w:r>
          </w:p>
        </w:tc>
      </w:tr>
      <w:tr w:rsidR="00212513">
        <w:tblPrEx>
          <w:tblBorders>
            <w:insideH w:val="none" w:sz="0" w:space="0" w:color="auto"/>
          </w:tblBorders>
        </w:tblPrEx>
        <w:tc>
          <w:tcPr>
            <w:tcW w:w="3967" w:type="dxa"/>
            <w:tcBorders>
              <w:top w:val="nil"/>
              <w:bottom w:val="nil"/>
            </w:tcBorders>
          </w:tcPr>
          <w:p w:rsidR="00212513" w:rsidRDefault="00212513">
            <w:pPr>
              <w:pStyle w:val="ConsPlusNormal"/>
              <w:jc w:val="center"/>
            </w:pPr>
            <w:r>
              <w:t>0,90</w:t>
            </w:r>
          </w:p>
        </w:tc>
        <w:tc>
          <w:tcPr>
            <w:tcW w:w="3967" w:type="dxa"/>
            <w:tcBorders>
              <w:top w:val="nil"/>
              <w:bottom w:val="nil"/>
            </w:tcBorders>
          </w:tcPr>
          <w:p w:rsidR="00212513" w:rsidRDefault="00212513">
            <w:pPr>
              <w:pStyle w:val="ConsPlusNormal"/>
              <w:jc w:val="center"/>
            </w:pPr>
            <w:r>
              <w:t>0,754</w:t>
            </w:r>
          </w:p>
        </w:tc>
      </w:tr>
      <w:tr w:rsidR="00212513">
        <w:tblPrEx>
          <w:tblBorders>
            <w:insideH w:val="none" w:sz="0" w:space="0" w:color="auto"/>
          </w:tblBorders>
        </w:tblPrEx>
        <w:tc>
          <w:tcPr>
            <w:tcW w:w="3967" w:type="dxa"/>
            <w:tcBorders>
              <w:top w:val="nil"/>
              <w:bottom w:val="nil"/>
            </w:tcBorders>
          </w:tcPr>
          <w:p w:rsidR="00212513" w:rsidRDefault="00212513">
            <w:pPr>
              <w:pStyle w:val="ConsPlusNormal"/>
              <w:jc w:val="center"/>
            </w:pPr>
            <w:r>
              <w:t>1,00</w:t>
            </w:r>
          </w:p>
        </w:tc>
        <w:tc>
          <w:tcPr>
            <w:tcW w:w="3967" w:type="dxa"/>
            <w:tcBorders>
              <w:top w:val="nil"/>
              <w:bottom w:val="nil"/>
            </w:tcBorders>
          </w:tcPr>
          <w:p w:rsidR="00212513" w:rsidRDefault="00212513">
            <w:pPr>
              <w:pStyle w:val="ConsPlusNormal"/>
              <w:jc w:val="center"/>
            </w:pPr>
            <w:r>
              <w:t>0,772</w:t>
            </w:r>
          </w:p>
        </w:tc>
      </w:tr>
      <w:tr w:rsidR="00212513">
        <w:tblPrEx>
          <w:tblBorders>
            <w:insideH w:val="none" w:sz="0" w:space="0" w:color="auto"/>
          </w:tblBorders>
        </w:tblPrEx>
        <w:tc>
          <w:tcPr>
            <w:tcW w:w="3967" w:type="dxa"/>
            <w:tcBorders>
              <w:top w:val="nil"/>
              <w:bottom w:val="nil"/>
            </w:tcBorders>
          </w:tcPr>
          <w:p w:rsidR="00212513" w:rsidRDefault="00212513">
            <w:pPr>
              <w:pStyle w:val="ConsPlusNormal"/>
              <w:jc w:val="center"/>
            </w:pPr>
            <w:r>
              <w:t>1,20</w:t>
            </w:r>
          </w:p>
        </w:tc>
        <w:tc>
          <w:tcPr>
            <w:tcW w:w="3967" w:type="dxa"/>
            <w:tcBorders>
              <w:top w:val="nil"/>
              <w:bottom w:val="nil"/>
            </w:tcBorders>
          </w:tcPr>
          <w:p w:rsidR="00212513" w:rsidRDefault="00212513">
            <w:pPr>
              <w:pStyle w:val="ConsPlusNormal"/>
              <w:jc w:val="center"/>
            </w:pPr>
            <w:r>
              <w:t>0,810</w:t>
            </w:r>
          </w:p>
        </w:tc>
      </w:tr>
      <w:tr w:rsidR="00212513">
        <w:tblPrEx>
          <w:tblBorders>
            <w:insideH w:val="none" w:sz="0" w:space="0" w:color="auto"/>
          </w:tblBorders>
        </w:tblPrEx>
        <w:tc>
          <w:tcPr>
            <w:tcW w:w="3967" w:type="dxa"/>
            <w:tcBorders>
              <w:top w:val="nil"/>
              <w:bottom w:val="nil"/>
            </w:tcBorders>
          </w:tcPr>
          <w:p w:rsidR="00212513" w:rsidRDefault="00212513">
            <w:pPr>
              <w:pStyle w:val="ConsPlusNormal"/>
              <w:jc w:val="center"/>
            </w:pPr>
            <w:r>
              <w:lastRenderedPageBreak/>
              <w:t>1,50</w:t>
            </w:r>
          </w:p>
        </w:tc>
        <w:tc>
          <w:tcPr>
            <w:tcW w:w="3967" w:type="dxa"/>
            <w:tcBorders>
              <w:top w:val="nil"/>
              <w:bottom w:val="nil"/>
            </w:tcBorders>
          </w:tcPr>
          <w:p w:rsidR="00212513" w:rsidRDefault="00212513">
            <w:pPr>
              <w:pStyle w:val="ConsPlusNormal"/>
              <w:jc w:val="center"/>
            </w:pPr>
            <w:r>
              <w:t>0,840</w:t>
            </w:r>
          </w:p>
        </w:tc>
      </w:tr>
      <w:tr w:rsidR="00212513">
        <w:tblPrEx>
          <w:tblBorders>
            <w:insideH w:val="none" w:sz="0" w:space="0" w:color="auto"/>
          </w:tblBorders>
        </w:tblPrEx>
        <w:tc>
          <w:tcPr>
            <w:tcW w:w="3967" w:type="dxa"/>
            <w:tcBorders>
              <w:top w:val="nil"/>
              <w:bottom w:val="nil"/>
            </w:tcBorders>
          </w:tcPr>
          <w:p w:rsidR="00212513" w:rsidRDefault="00212513">
            <w:pPr>
              <w:pStyle w:val="ConsPlusNormal"/>
              <w:jc w:val="center"/>
            </w:pPr>
            <w:r>
              <w:t>2,00</w:t>
            </w:r>
          </w:p>
        </w:tc>
        <w:tc>
          <w:tcPr>
            <w:tcW w:w="3967" w:type="dxa"/>
            <w:tcBorders>
              <w:top w:val="nil"/>
              <w:bottom w:val="nil"/>
            </w:tcBorders>
          </w:tcPr>
          <w:p w:rsidR="00212513" w:rsidRDefault="00212513">
            <w:pPr>
              <w:pStyle w:val="ConsPlusNormal"/>
              <w:jc w:val="center"/>
            </w:pPr>
            <w:r>
              <w:t>0,875</w:t>
            </w:r>
          </w:p>
        </w:tc>
      </w:tr>
      <w:tr w:rsidR="00212513">
        <w:tblPrEx>
          <w:tblBorders>
            <w:insideH w:val="none" w:sz="0" w:space="0" w:color="auto"/>
          </w:tblBorders>
        </w:tblPrEx>
        <w:tc>
          <w:tcPr>
            <w:tcW w:w="3967" w:type="dxa"/>
            <w:tcBorders>
              <w:top w:val="nil"/>
              <w:bottom w:val="nil"/>
            </w:tcBorders>
          </w:tcPr>
          <w:p w:rsidR="00212513" w:rsidRDefault="00212513">
            <w:pPr>
              <w:pStyle w:val="ConsPlusNormal"/>
              <w:jc w:val="center"/>
            </w:pPr>
            <w:r>
              <w:t>3,00</w:t>
            </w:r>
          </w:p>
        </w:tc>
        <w:tc>
          <w:tcPr>
            <w:tcW w:w="3967" w:type="dxa"/>
            <w:tcBorders>
              <w:top w:val="nil"/>
              <w:bottom w:val="nil"/>
            </w:tcBorders>
          </w:tcPr>
          <w:p w:rsidR="00212513" w:rsidRDefault="00212513">
            <w:pPr>
              <w:pStyle w:val="ConsPlusNormal"/>
              <w:jc w:val="center"/>
            </w:pPr>
            <w:r>
              <w:t>0,900</w:t>
            </w:r>
          </w:p>
        </w:tc>
      </w:tr>
      <w:tr w:rsidR="00212513">
        <w:tblPrEx>
          <w:tblBorders>
            <w:insideH w:val="none" w:sz="0" w:space="0" w:color="auto"/>
          </w:tblBorders>
        </w:tblPrEx>
        <w:tc>
          <w:tcPr>
            <w:tcW w:w="3967" w:type="dxa"/>
            <w:tcBorders>
              <w:top w:val="nil"/>
              <w:bottom w:val="nil"/>
            </w:tcBorders>
          </w:tcPr>
          <w:p w:rsidR="00212513" w:rsidRDefault="00212513">
            <w:pPr>
              <w:pStyle w:val="ConsPlusNormal"/>
              <w:jc w:val="center"/>
            </w:pPr>
            <w:r>
              <w:t>4,00</w:t>
            </w:r>
          </w:p>
        </w:tc>
        <w:tc>
          <w:tcPr>
            <w:tcW w:w="3967" w:type="dxa"/>
            <w:tcBorders>
              <w:top w:val="nil"/>
              <w:bottom w:val="nil"/>
            </w:tcBorders>
          </w:tcPr>
          <w:p w:rsidR="00212513" w:rsidRDefault="00212513">
            <w:pPr>
              <w:pStyle w:val="ConsPlusNormal"/>
              <w:jc w:val="center"/>
            </w:pPr>
            <w:r>
              <w:t>0,950</w:t>
            </w:r>
          </w:p>
        </w:tc>
      </w:tr>
      <w:tr w:rsidR="00212513">
        <w:tblPrEx>
          <w:tblBorders>
            <w:insideH w:val="none" w:sz="0" w:space="0" w:color="auto"/>
          </w:tblBorders>
        </w:tblPrEx>
        <w:tc>
          <w:tcPr>
            <w:tcW w:w="3967" w:type="dxa"/>
            <w:tcBorders>
              <w:top w:val="nil"/>
              <w:bottom w:val="single" w:sz="4" w:space="0" w:color="auto"/>
            </w:tcBorders>
          </w:tcPr>
          <w:p w:rsidR="00212513" w:rsidRDefault="00212513">
            <w:pPr>
              <w:pStyle w:val="ConsPlusNormal"/>
              <w:jc w:val="center"/>
            </w:pPr>
            <w:r>
              <w:t>Свыше 4,00</w:t>
            </w:r>
          </w:p>
        </w:tc>
        <w:tc>
          <w:tcPr>
            <w:tcW w:w="3967" w:type="dxa"/>
            <w:tcBorders>
              <w:top w:val="nil"/>
              <w:bottom w:val="single" w:sz="4" w:space="0" w:color="auto"/>
            </w:tcBorders>
          </w:tcPr>
          <w:p w:rsidR="00212513" w:rsidRDefault="00212513">
            <w:pPr>
              <w:pStyle w:val="ConsPlusNormal"/>
              <w:jc w:val="center"/>
            </w:pPr>
            <w:r>
              <w:t>1,000</w:t>
            </w:r>
          </w:p>
        </w:tc>
      </w:tr>
    </w:tbl>
    <w:p w:rsidR="00212513" w:rsidRDefault="00212513">
      <w:pPr>
        <w:pStyle w:val="ConsPlusNormal"/>
        <w:ind w:firstLine="540"/>
        <w:jc w:val="both"/>
      </w:pPr>
    </w:p>
    <w:p w:rsidR="00212513" w:rsidRDefault="00212513">
      <w:pPr>
        <w:pStyle w:val="ConsPlusNormal"/>
        <w:ind w:firstLine="540"/>
        <w:jc w:val="both"/>
      </w:pPr>
      <w:r>
        <w:t xml:space="preserve">В устоях с обратными стенками, расположенными параллельно оси моста, коэффициент </w:t>
      </w:r>
      <w:r>
        <w:rPr>
          <w:noProof/>
          <w:position w:val="-1"/>
        </w:rPr>
        <w:drawing>
          <wp:inline distT="0" distB="0" distL="0" distR="0">
            <wp:extent cx="167640" cy="156845"/>
            <wp:effectExtent l="0" t="0" r="0" b="0"/>
            <wp:docPr id="2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1"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не учитывается;</w:t>
      </w:r>
    </w:p>
    <w:p w:rsidR="00212513" w:rsidRDefault="00212513">
      <w:pPr>
        <w:pStyle w:val="ConsPlusNormal"/>
        <w:spacing w:before="220"/>
        <w:ind w:firstLine="540"/>
        <w:jc w:val="both"/>
      </w:pPr>
      <w:r>
        <w:t xml:space="preserve">б) в случае расположения стенки параллельно оси моста давление от каждого ряда колес вдоль моста распределяется на площадки опирания размером </w:t>
      </w:r>
      <w:r>
        <w:rPr>
          <w:i/>
        </w:rPr>
        <w:t>a</w:t>
      </w:r>
      <w:r>
        <w:t xml:space="preserve"> x </w:t>
      </w:r>
      <w:r>
        <w:rPr>
          <w:i/>
        </w:rPr>
        <w:t>d</w:t>
      </w:r>
      <w:r>
        <w:t xml:space="preserve">, где </w:t>
      </w:r>
      <w:r>
        <w:rPr>
          <w:i/>
        </w:rPr>
        <w:t>a</w:t>
      </w:r>
      <w:r>
        <w:t xml:space="preserve"> - длина, принимаемая для нагрузок, м:</w:t>
      </w:r>
    </w:p>
    <w:p w:rsidR="00212513" w:rsidRDefault="00212513">
      <w:pPr>
        <w:pStyle w:val="ConsPlusNormal"/>
        <w:spacing w:before="220"/>
        <w:ind w:firstLine="540"/>
        <w:jc w:val="both"/>
      </w:pPr>
      <w:r>
        <w:t xml:space="preserve">АК - </w:t>
      </w:r>
      <w:r>
        <w:rPr>
          <w:i/>
        </w:rPr>
        <w:t>h</w:t>
      </w:r>
      <w:r>
        <w:t xml:space="preserve"> + 1,5;</w:t>
      </w:r>
    </w:p>
    <w:p w:rsidR="00212513" w:rsidRDefault="00212513">
      <w:pPr>
        <w:pStyle w:val="ConsPlusNormal"/>
        <w:spacing w:before="220"/>
        <w:ind w:firstLine="540"/>
        <w:jc w:val="both"/>
      </w:pPr>
      <w:r>
        <w:t xml:space="preserve">АБ - </w:t>
      </w:r>
      <w:r>
        <w:rPr>
          <w:i/>
        </w:rPr>
        <w:t>h</w:t>
      </w:r>
      <w:r>
        <w:t xml:space="preserve"> + </w:t>
      </w:r>
      <w:r>
        <w:rPr>
          <w:i/>
        </w:rPr>
        <w:t>c</w:t>
      </w:r>
      <w:r>
        <w:t>, но не более базы автомобиля;</w:t>
      </w:r>
    </w:p>
    <w:p w:rsidR="00212513" w:rsidRDefault="00212513">
      <w:pPr>
        <w:pStyle w:val="ConsPlusNormal"/>
        <w:spacing w:before="220"/>
        <w:ind w:firstLine="540"/>
        <w:jc w:val="both"/>
      </w:pPr>
      <w:r>
        <w:t>НК - 3,8;</w:t>
      </w:r>
    </w:p>
    <w:p w:rsidR="00212513" w:rsidRDefault="00212513">
      <w:pPr>
        <w:pStyle w:val="ConsPlusNormal"/>
        <w:spacing w:before="220"/>
        <w:ind w:firstLine="540"/>
        <w:jc w:val="both"/>
      </w:pPr>
      <w:r>
        <w:rPr>
          <w:i/>
        </w:rPr>
        <w:t>h</w:t>
      </w:r>
      <w:r>
        <w:t xml:space="preserve">, </w:t>
      </w:r>
      <w:r>
        <w:rPr>
          <w:i/>
        </w:rPr>
        <w:t>c</w:t>
      </w:r>
      <w:r>
        <w:t xml:space="preserve"> - по М.2, а;</w:t>
      </w:r>
    </w:p>
    <w:p w:rsidR="00212513" w:rsidRDefault="00212513">
      <w:pPr>
        <w:pStyle w:val="ConsPlusNormal"/>
        <w:spacing w:before="220"/>
        <w:ind w:firstLine="540"/>
        <w:jc w:val="both"/>
      </w:pPr>
      <w:r>
        <w:rPr>
          <w:i/>
        </w:rPr>
        <w:t>d</w:t>
      </w:r>
      <w:r>
        <w:t xml:space="preserve"> - ширина колеса рассматриваемых нагрузок.</w:t>
      </w:r>
    </w:p>
    <w:p w:rsidR="00212513" w:rsidRDefault="00212513">
      <w:pPr>
        <w:pStyle w:val="ConsPlusNormal"/>
        <w:spacing w:before="220"/>
        <w:ind w:firstLine="540"/>
        <w:jc w:val="both"/>
      </w:pPr>
      <w:r>
        <w:t xml:space="preserve">Во всех случаях длина </w:t>
      </w:r>
      <w:r>
        <w:rPr>
          <w:i/>
        </w:rPr>
        <w:t>a</w:t>
      </w:r>
      <w:r>
        <w:t xml:space="preserve"> не должна превышать длины рассчитываемого участка стенки.</w:t>
      </w:r>
    </w:p>
    <w:p w:rsidR="00212513" w:rsidRDefault="00212513">
      <w:pPr>
        <w:pStyle w:val="ConsPlusNormal"/>
        <w:spacing w:before="220"/>
        <w:ind w:firstLine="540"/>
        <w:jc w:val="both"/>
      </w:pPr>
      <w:r>
        <w:t>М.3 При наличии переходных плит (от насыпи на устой) опирание на грунт (вдоль оси моста) следует учитывать на половине длины плиты со стороны насыпи, при этом давление следует принимать только от части подвижной нагрузки, расположенной на этой половине, и считать его приложенным посередине длины опирания.</w:t>
      </w: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jc w:val="right"/>
        <w:outlineLvl w:val="0"/>
      </w:pPr>
      <w:r>
        <w:rPr>
          <w:b/>
        </w:rPr>
        <w:t>Приложение Н</w:t>
      </w:r>
    </w:p>
    <w:p w:rsidR="00212513" w:rsidRDefault="00212513">
      <w:pPr>
        <w:pStyle w:val="ConsPlusNormal"/>
        <w:jc w:val="right"/>
      </w:pPr>
      <w:r>
        <w:rPr>
          <w:b/>
        </w:rPr>
        <w:t>(обязательное)</w:t>
      </w:r>
    </w:p>
    <w:p w:rsidR="00212513" w:rsidRDefault="00212513">
      <w:pPr>
        <w:pStyle w:val="ConsPlusNormal"/>
        <w:ind w:firstLine="540"/>
        <w:jc w:val="both"/>
      </w:pPr>
    </w:p>
    <w:p w:rsidR="00212513" w:rsidRDefault="00212513">
      <w:pPr>
        <w:pStyle w:val="ConsPlusTitle"/>
        <w:jc w:val="center"/>
      </w:pPr>
      <w:bookmarkStart w:id="501" w:name="P14146"/>
      <w:bookmarkEnd w:id="501"/>
      <w:r>
        <w:t>АЭРОДИНАМИЧЕСКИЕ КОЭФФИЦИЕНТЫ</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36"/>
        <w:gridCol w:w="2778"/>
      </w:tblGrid>
      <w:tr w:rsidR="00212513">
        <w:tc>
          <w:tcPr>
            <w:tcW w:w="6236" w:type="dxa"/>
            <w:tcBorders>
              <w:top w:val="single" w:sz="4" w:space="0" w:color="auto"/>
              <w:bottom w:val="single" w:sz="4" w:space="0" w:color="auto"/>
            </w:tcBorders>
            <w:vAlign w:val="center"/>
          </w:tcPr>
          <w:p w:rsidR="00212513" w:rsidRDefault="00212513">
            <w:pPr>
              <w:pStyle w:val="ConsPlusNormal"/>
              <w:jc w:val="center"/>
            </w:pPr>
            <w:r>
              <w:t>Части или элементы пролетных строений и опор мостов</w:t>
            </w:r>
          </w:p>
        </w:tc>
        <w:tc>
          <w:tcPr>
            <w:tcW w:w="2778" w:type="dxa"/>
            <w:tcBorders>
              <w:top w:val="single" w:sz="4" w:space="0" w:color="auto"/>
              <w:bottom w:val="single" w:sz="4" w:space="0" w:color="auto"/>
            </w:tcBorders>
            <w:vAlign w:val="center"/>
          </w:tcPr>
          <w:p w:rsidR="00212513" w:rsidRDefault="00212513">
            <w:pPr>
              <w:pStyle w:val="ConsPlusNormal"/>
              <w:jc w:val="center"/>
            </w:pPr>
            <w:r>
              <w:t xml:space="preserve">Значения аэродинамического коэффициента лобового сопротивления </w:t>
            </w:r>
            <w:r>
              <w:rPr>
                <w:i/>
              </w:rPr>
              <w:t>c</w:t>
            </w:r>
            <w:r>
              <w:rPr>
                <w:i/>
                <w:vertAlign w:val="subscript"/>
              </w:rPr>
              <w:t>w</w:t>
            </w:r>
          </w:p>
        </w:tc>
      </w:tr>
      <w:tr w:rsidR="00212513">
        <w:tblPrEx>
          <w:tblBorders>
            <w:insideH w:val="none" w:sz="0" w:space="0" w:color="auto"/>
          </w:tblBorders>
        </w:tblPrEx>
        <w:tc>
          <w:tcPr>
            <w:tcW w:w="6236" w:type="dxa"/>
            <w:tcBorders>
              <w:top w:val="single" w:sz="4" w:space="0" w:color="auto"/>
              <w:bottom w:val="nil"/>
            </w:tcBorders>
          </w:tcPr>
          <w:p w:rsidR="00212513" w:rsidRDefault="00212513">
            <w:pPr>
              <w:pStyle w:val="ConsPlusNormal"/>
            </w:pPr>
            <w:r>
              <w:t>1 Главные фермы сквозных пролетных строений балочной и арочной систем:</w:t>
            </w:r>
          </w:p>
        </w:tc>
        <w:tc>
          <w:tcPr>
            <w:tcW w:w="2778" w:type="dxa"/>
            <w:tcBorders>
              <w:top w:val="single" w:sz="4" w:space="0" w:color="auto"/>
              <w:bottom w:val="nil"/>
            </w:tcBorders>
          </w:tcPr>
          <w:p w:rsidR="00212513" w:rsidRDefault="00212513">
            <w:pPr>
              <w:pStyle w:val="ConsPlusNormal"/>
              <w:jc w:val="both"/>
            </w:pPr>
          </w:p>
        </w:tc>
      </w:tr>
      <w:tr w:rsidR="00212513">
        <w:tblPrEx>
          <w:tblBorders>
            <w:insideH w:val="none" w:sz="0" w:space="0" w:color="auto"/>
          </w:tblBorders>
        </w:tblPrEx>
        <w:tc>
          <w:tcPr>
            <w:tcW w:w="6236" w:type="dxa"/>
            <w:tcBorders>
              <w:top w:val="nil"/>
              <w:bottom w:val="nil"/>
            </w:tcBorders>
          </w:tcPr>
          <w:p w:rsidR="00212513" w:rsidRDefault="00212513">
            <w:pPr>
              <w:pStyle w:val="ConsPlusNormal"/>
              <w:ind w:left="283"/>
            </w:pPr>
            <w:r>
              <w:t>а) железнодорожных с ездой:</w:t>
            </w:r>
          </w:p>
        </w:tc>
        <w:tc>
          <w:tcPr>
            <w:tcW w:w="2778"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6236" w:type="dxa"/>
            <w:tcBorders>
              <w:top w:val="nil"/>
              <w:bottom w:val="nil"/>
            </w:tcBorders>
          </w:tcPr>
          <w:p w:rsidR="00212513" w:rsidRDefault="00212513">
            <w:pPr>
              <w:pStyle w:val="ConsPlusNormal"/>
              <w:ind w:left="566"/>
            </w:pPr>
            <w:r>
              <w:t>понизу при наличии на них поезда</w:t>
            </w:r>
          </w:p>
        </w:tc>
        <w:tc>
          <w:tcPr>
            <w:tcW w:w="2778" w:type="dxa"/>
            <w:tcBorders>
              <w:top w:val="nil"/>
              <w:bottom w:val="nil"/>
            </w:tcBorders>
          </w:tcPr>
          <w:p w:rsidR="00212513" w:rsidRDefault="00212513">
            <w:pPr>
              <w:pStyle w:val="ConsPlusNormal"/>
              <w:jc w:val="center"/>
            </w:pPr>
            <w:r>
              <w:t>2,15</w:t>
            </w:r>
          </w:p>
        </w:tc>
      </w:tr>
      <w:tr w:rsidR="00212513">
        <w:tblPrEx>
          <w:tblBorders>
            <w:insideH w:val="none" w:sz="0" w:space="0" w:color="auto"/>
          </w:tblBorders>
        </w:tblPrEx>
        <w:tc>
          <w:tcPr>
            <w:tcW w:w="6236" w:type="dxa"/>
            <w:tcBorders>
              <w:top w:val="nil"/>
              <w:bottom w:val="nil"/>
            </w:tcBorders>
          </w:tcPr>
          <w:p w:rsidR="00212513" w:rsidRDefault="00212513">
            <w:pPr>
              <w:pStyle w:val="ConsPlusNormal"/>
              <w:ind w:left="566"/>
            </w:pPr>
            <w:r>
              <w:lastRenderedPageBreak/>
              <w:t>при отсутствии поезда</w:t>
            </w:r>
          </w:p>
        </w:tc>
        <w:tc>
          <w:tcPr>
            <w:tcW w:w="2778" w:type="dxa"/>
            <w:tcBorders>
              <w:top w:val="nil"/>
              <w:bottom w:val="nil"/>
            </w:tcBorders>
          </w:tcPr>
          <w:p w:rsidR="00212513" w:rsidRDefault="00212513">
            <w:pPr>
              <w:pStyle w:val="ConsPlusNormal"/>
              <w:jc w:val="center"/>
            </w:pPr>
            <w:r>
              <w:t>2,55</w:t>
            </w:r>
          </w:p>
        </w:tc>
      </w:tr>
      <w:tr w:rsidR="00212513">
        <w:tblPrEx>
          <w:tblBorders>
            <w:insideH w:val="none" w:sz="0" w:space="0" w:color="auto"/>
          </w:tblBorders>
        </w:tblPrEx>
        <w:tc>
          <w:tcPr>
            <w:tcW w:w="6236" w:type="dxa"/>
            <w:tcBorders>
              <w:top w:val="nil"/>
              <w:bottom w:val="nil"/>
            </w:tcBorders>
          </w:tcPr>
          <w:p w:rsidR="00212513" w:rsidRDefault="00212513">
            <w:pPr>
              <w:pStyle w:val="ConsPlusNormal"/>
              <w:ind w:left="566"/>
            </w:pPr>
            <w:r>
              <w:t>поверху при расстоянии между осями ферм от 2 до 4 м соответственно</w:t>
            </w:r>
          </w:p>
        </w:tc>
        <w:tc>
          <w:tcPr>
            <w:tcW w:w="2778" w:type="dxa"/>
            <w:tcBorders>
              <w:top w:val="nil"/>
              <w:bottom w:val="nil"/>
            </w:tcBorders>
          </w:tcPr>
          <w:p w:rsidR="00212513" w:rsidRDefault="00212513">
            <w:pPr>
              <w:pStyle w:val="ConsPlusNormal"/>
              <w:jc w:val="center"/>
            </w:pPr>
            <w:r>
              <w:t>2,15 - 2,45</w:t>
            </w:r>
          </w:p>
        </w:tc>
      </w:tr>
      <w:tr w:rsidR="00212513">
        <w:tblPrEx>
          <w:tblBorders>
            <w:insideH w:val="none" w:sz="0" w:space="0" w:color="auto"/>
          </w:tblBorders>
        </w:tblPrEx>
        <w:tc>
          <w:tcPr>
            <w:tcW w:w="6236" w:type="dxa"/>
            <w:tcBorders>
              <w:top w:val="nil"/>
              <w:bottom w:val="nil"/>
            </w:tcBorders>
          </w:tcPr>
          <w:p w:rsidR="00212513" w:rsidRDefault="00212513">
            <w:pPr>
              <w:pStyle w:val="ConsPlusNormal"/>
              <w:ind w:left="283"/>
            </w:pPr>
            <w:r>
              <w:t>б) автодорожных</w:t>
            </w:r>
          </w:p>
        </w:tc>
        <w:tc>
          <w:tcPr>
            <w:tcW w:w="2778" w:type="dxa"/>
            <w:tcBorders>
              <w:top w:val="nil"/>
              <w:bottom w:val="nil"/>
            </w:tcBorders>
          </w:tcPr>
          <w:p w:rsidR="00212513" w:rsidRDefault="00212513">
            <w:pPr>
              <w:pStyle w:val="ConsPlusNormal"/>
              <w:jc w:val="center"/>
            </w:pPr>
            <w:r>
              <w:t>2,80</w:t>
            </w:r>
          </w:p>
        </w:tc>
      </w:tr>
      <w:tr w:rsidR="00212513">
        <w:tblPrEx>
          <w:tblBorders>
            <w:insideH w:val="none" w:sz="0" w:space="0" w:color="auto"/>
          </w:tblBorders>
        </w:tblPrEx>
        <w:tc>
          <w:tcPr>
            <w:tcW w:w="6236" w:type="dxa"/>
            <w:tcBorders>
              <w:top w:val="nil"/>
              <w:bottom w:val="nil"/>
            </w:tcBorders>
          </w:tcPr>
          <w:p w:rsidR="00212513" w:rsidRDefault="00212513">
            <w:pPr>
              <w:pStyle w:val="ConsPlusNormal"/>
            </w:pPr>
            <w:r>
              <w:t>2 Балочная клетка и мостовое полотно проезжей части пролетных строений:</w:t>
            </w:r>
          </w:p>
        </w:tc>
        <w:tc>
          <w:tcPr>
            <w:tcW w:w="2778"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6236" w:type="dxa"/>
            <w:tcBorders>
              <w:top w:val="nil"/>
              <w:bottom w:val="nil"/>
            </w:tcBorders>
          </w:tcPr>
          <w:p w:rsidR="00212513" w:rsidRDefault="00212513">
            <w:pPr>
              <w:pStyle w:val="ConsPlusNormal"/>
              <w:ind w:left="283"/>
            </w:pPr>
            <w:r>
              <w:t>а) железнодорожных</w:t>
            </w:r>
          </w:p>
        </w:tc>
        <w:tc>
          <w:tcPr>
            <w:tcW w:w="2778" w:type="dxa"/>
            <w:tcBorders>
              <w:top w:val="nil"/>
              <w:bottom w:val="nil"/>
            </w:tcBorders>
          </w:tcPr>
          <w:p w:rsidR="00212513" w:rsidRDefault="00212513">
            <w:pPr>
              <w:pStyle w:val="ConsPlusNormal"/>
              <w:jc w:val="center"/>
            </w:pPr>
            <w:r>
              <w:t>1,85</w:t>
            </w:r>
          </w:p>
        </w:tc>
      </w:tr>
      <w:tr w:rsidR="00212513">
        <w:tblPrEx>
          <w:tblBorders>
            <w:insideH w:val="none" w:sz="0" w:space="0" w:color="auto"/>
          </w:tblBorders>
        </w:tblPrEx>
        <w:tc>
          <w:tcPr>
            <w:tcW w:w="6236" w:type="dxa"/>
            <w:tcBorders>
              <w:top w:val="nil"/>
              <w:bottom w:val="nil"/>
            </w:tcBorders>
          </w:tcPr>
          <w:p w:rsidR="00212513" w:rsidRDefault="00212513">
            <w:pPr>
              <w:pStyle w:val="ConsPlusNormal"/>
              <w:ind w:left="283"/>
            </w:pPr>
            <w:r>
              <w:t>б) автодорожных</w:t>
            </w:r>
          </w:p>
        </w:tc>
        <w:tc>
          <w:tcPr>
            <w:tcW w:w="2778" w:type="dxa"/>
            <w:tcBorders>
              <w:top w:val="nil"/>
              <w:bottom w:val="nil"/>
            </w:tcBorders>
          </w:tcPr>
          <w:p w:rsidR="00212513" w:rsidRDefault="00212513">
            <w:pPr>
              <w:pStyle w:val="ConsPlusNormal"/>
              <w:jc w:val="center"/>
            </w:pPr>
            <w:r>
              <w:t>1,60</w:t>
            </w:r>
          </w:p>
        </w:tc>
      </w:tr>
      <w:tr w:rsidR="00212513">
        <w:tblPrEx>
          <w:tblBorders>
            <w:insideH w:val="none" w:sz="0" w:space="0" w:color="auto"/>
          </w:tblBorders>
        </w:tblPrEx>
        <w:tc>
          <w:tcPr>
            <w:tcW w:w="6236" w:type="dxa"/>
            <w:tcBorders>
              <w:top w:val="nil"/>
              <w:bottom w:val="nil"/>
            </w:tcBorders>
          </w:tcPr>
          <w:p w:rsidR="00212513" w:rsidRDefault="00212513">
            <w:pPr>
              <w:pStyle w:val="ConsPlusNormal"/>
            </w:pPr>
            <w:r>
              <w:t>3 Пролетные строения со сплошными балками:</w:t>
            </w:r>
          </w:p>
        </w:tc>
        <w:tc>
          <w:tcPr>
            <w:tcW w:w="2778"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6236" w:type="dxa"/>
            <w:tcBorders>
              <w:top w:val="nil"/>
              <w:bottom w:val="nil"/>
            </w:tcBorders>
          </w:tcPr>
          <w:p w:rsidR="00212513" w:rsidRDefault="00212513">
            <w:pPr>
              <w:pStyle w:val="ConsPlusNormal"/>
              <w:ind w:left="283"/>
            </w:pPr>
            <w:r>
              <w:t>а) железнодорожные:</w:t>
            </w:r>
          </w:p>
        </w:tc>
        <w:tc>
          <w:tcPr>
            <w:tcW w:w="2778"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6236" w:type="dxa"/>
            <w:tcBorders>
              <w:top w:val="nil"/>
              <w:bottom w:val="nil"/>
            </w:tcBorders>
          </w:tcPr>
          <w:p w:rsidR="00212513" w:rsidRDefault="00212513">
            <w:pPr>
              <w:pStyle w:val="ConsPlusNormal"/>
              <w:ind w:left="566"/>
            </w:pPr>
            <w:r>
              <w:t>однопутные с ездой поверху</w:t>
            </w:r>
          </w:p>
        </w:tc>
        <w:tc>
          <w:tcPr>
            <w:tcW w:w="2778" w:type="dxa"/>
            <w:tcBorders>
              <w:top w:val="nil"/>
              <w:bottom w:val="nil"/>
            </w:tcBorders>
          </w:tcPr>
          <w:p w:rsidR="00212513" w:rsidRDefault="00212513">
            <w:pPr>
              <w:pStyle w:val="ConsPlusNormal"/>
              <w:jc w:val="center"/>
            </w:pPr>
            <w:r>
              <w:t>1,90</w:t>
            </w:r>
          </w:p>
        </w:tc>
      </w:tr>
      <w:tr w:rsidR="00212513">
        <w:tblPrEx>
          <w:tblBorders>
            <w:insideH w:val="none" w:sz="0" w:space="0" w:color="auto"/>
          </w:tblBorders>
        </w:tblPrEx>
        <w:tc>
          <w:tcPr>
            <w:tcW w:w="6236" w:type="dxa"/>
            <w:tcBorders>
              <w:top w:val="nil"/>
              <w:bottom w:val="nil"/>
            </w:tcBorders>
          </w:tcPr>
          <w:p w:rsidR="00212513" w:rsidRDefault="00212513">
            <w:pPr>
              <w:pStyle w:val="ConsPlusNormal"/>
              <w:ind w:left="566"/>
            </w:pPr>
            <w:r>
              <w:t>два однопутных с ездой поверху, установленные на общих опорах двухпутного моста</w:t>
            </w:r>
          </w:p>
        </w:tc>
        <w:tc>
          <w:tcPr>
            <w:tcW w:w="2778" w:type="dxa"/>
            <w:tcBorders>
              <w:top w:val="nil"/>
              <w:bottom w:val="nil"/>
            </w:tcBorders>
          </w:tcPr>
          <w:p w:rsidR="00212513" w:rsidRDefault="00212513">
            <w:pPr>
              <w:pStyle w:val="ConsPlusNormal"/>
              <w:jc w:val="center"/>
            </w:pPr>
            <w:r>
              <w:t>2,10</w:t>
            </w:r>
          </w:p>
        </w:tc>
      </w:tr>
      <w:tr w:rsidR="00212513">
        <w:tblPrEx>
          <w:tblBorders>
            <w:insideH w:val="none" w:sz="0" w:space="0" w:color="auto"/>
          </w:tblBorders>
        </w:tblPrEx>
        <w:tc>
          <w:tcPr>
            <w:tcW w:w="6236" w:type="dxa"/>
            <w:tcBorders>
              <w:top w:val="nil"/>
              <w:bottom w:val="nil"/>
            </w:tcBorders>
          </w:tcPr>
          <w:p w:rsidR="00212513" w:rsidRDefault="00212513">
            <w:pPr>
              <w:pStyle w:val="ConsPlusNormal"/>
              <w:ind w:left="566"/>
            </w:pPr>
            <w:r>
              <w:t>однопутные в виде замкнутой коробки</w:t>
            </w:r>
          </w:p>
        </w:tc>
        <w:tc>
          <w:tcPr>
            <w:tcW w:w="2778" w:type="dxa"/>
            <w:tcBorders>
              <w:top w:val="nil"/>
              <w:bottom w:val="nil"/>
            </w:tcBorders>
          </w:tcPr>
          <w:p w:rsidR="00212513" w:rsidRDefault="00212513">
            <w:pPr>
              <w:pStyle w:val="ConsPlusNormal"/>
              <w:jc w:val="center"/>
            </w:pPr>
            <w:r>
              <w:t>1,50</w:t>
            </w:r>
          </w:p>
        </w:tc>
      </w:tr>
      <w:tr w:rsidR="00212513">
        <w:tblPrEx>
          <w:tblBorders>
            <w:insideH w:val="none" w:sz="0" w:space="0" w:color="auto"/>
          </w:tblBorders>
        </w:tblPrEx>
        <w:tc>
          <w:tcPr>
            <w:tcW w:w="6236" w:type="dxa"/>
            <w:tcBorders>
              <w:top w:val="nil"/>
              <w:bottom w:val="nil"/>
            </w:tcBorders>
          </w:tcPr>
          <w:p w:rsidR="00212513" w:rsidRDefault="00212513">
            <w:pPr>
              <w:pStyle w:val="ConsPlusNormal"/>
              <w:ind w:left="566"/>
            </w:pPr>
            <w:r>
              <w:t>однопутные с ездой понизу</w:t>
            </w:r>
          </w:p>
        </w:tc>
        <w:tc>
          <w:tcPr>
            <w:tcW w:w="2778" w:type="dxa"/>
            <w:tcBorders>
              <w:top w:val="nil"/>
              <w:bottom w:val="nil"/>
            </w:tcBorders>
          </w:tcPr>
          <w:p w:rsidR="00212513" w:rsidRDefault="00212513">
            <w:pPr>
              <w:pStyle w:val="ConsPlusNormal"/>
              <w:jc w:val="center"/>
            </w:pPr>
            <w:r>
              <w:t>2,25</w:t>
            </w:r>
          </w:p>
        </w:tc>
      </w:tr>
      <w:tr w:rsidR="00212513">
        <w:tblPrEx>
          <w:tblBorders>
            <w:insideH w:val="none" w:sz="0" w:space="0" w:color="auto"/>
          </w:tblBorders>
        </w:tblPrEx>
        <w:tc>
          <w:tcPr>
            <w:tcW w:w="6236" w:type="dxa"/>
            <w:tcBorders>
              <w:top w:val="nil"/>
              <w:bottom w:val="nil"/>
            </w:tcBorders>
          </w:tcPr>
          <w:p w:rsidR="00212513" w:rsidRDefault="00212513">
            <w:pPr>
              <w:pStyle w:val="ConsPlusNormal"/>
              <w:ind w:left="566"/>
            </w:pPr>
            <w:r>
              <w:t>двухпутные с ездой понизу</w:t>
            </w:r>
          </w:p>
        </w:tc>
        <w:tc>
          <w:tcPr>
            <w:tcW w:w="2778" w:type="dxa"/>
            <w:tcBorders>
              <w:top w:val="nil"/>
              <w:bottom w:val="nil"/>
            </w:tcBorders>
          </w:tcPr>
          <w:p w:rsidR="00212513" w:rsidRDefault="00212513">
            <w:pPr>
              <w:pStyle w:val="ConsPlusNormal"/>
              <w:jc w:val="center"/>
            </w:pPr>
            <w:r>
              <w:t>2,45</w:t>
            </w:r>
          </w:p>
        </w:tc>
      </w:tr>
      <w:tr w:rsidR="00212513">
        <w:tblPrEx>
          <w:tblBorders>
            <w:insideH w:val="none" w:sz="0" w:space="0" w:color="auto"/>
          </w:tblBorders>
        </w:tblPrEx>
        <w:tc>
          <w:tcPr>
            <w:tcW w:w="6236" w:type="dxa"/>
            <w:tcBorders>
              <w:top w:val="nil"/>
              <w:bottom w:val="nil"/>
            </w:tcBorders>
          </w:tcPr>
          <w:p w:rsidR="00212513" w:rsidRDefault="00212513">
            <w:pPr>
              <w:pStyle w:val="ConsPlusNormal"/>
              <w:ind w:left="283"/>
            </w:pPr>
            <w:r>
              <w:t>б) автодорожные с ездой поверху:</w:t>
            </w:r>
          </w:p>
        </w:tc>
        <w:tc>
          <w:tcPr>
            <w:tcW w:w="2778"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6236" w:type="dxa"/>
            <w:tcBorders>
              <w:top w:val="nil"/>
              <w:bottom w:val="nil"/>
            </w:tcBorders>
          </w:tcPr>
          <w:p w:rsidR="00212513" w:rsidRDefault="00212513">
            <w:pPr>
              <w:pStyle w:val="ConsPlusNormal"/>
              <w:ind w:left="566"/>
            </w:pPr>
            <w:r>
              <w:t>с плоскими главными балками</w:t>
            </w:r>
          </w:p>
        </w:tc>
        <w:tc>
          <w:tcPr>
            <w:tcW w:w="2778" w:type="dxa"/>
            <w:tcBorders>
              <w:top w:val="nil"/>
              <w:bottom w:val="nil"/>
            </w:tcBorders>
          </w:tcPr>
          <w:p w:rsidR="00212513" w:rsidRDefault="00212513">
            <w:pPr>
              <w:pStyle w:val="ConsPlusNormal"/>
              <w:jc w:val="center"/>
            </w:pPr>
            <w:r>
              <w:t>1,70</w:t>
            </w:r>
          </w:p>
        </w:tc>
      </w:tr>
      <w:tr w:rsidR="00212513">
        <w:tblPrEx>
          <w:tblBorders>
            <w:insideH w:val="none" w:sz="0" w:space="0" w:color="auto"/>
          </w:tblBorders>
        </w:tblPrEx>
        <w:tc>
          <w:tcPr>
            <w:tcW w:w="6236" w:type="dxa"/>
            <w:tcBorders>
              <w:top w:val="nil"/>
              <w:bottom w:val="nil"/>
            </w:tcBorders>
          </w:tcPr>
          <w:p w:rsidR="00212513" w:rsidRDefault="00212513">
            <w:pPr>
              <w:pStyle w:val="ConsPlusNormal"/>
              <w:ind w:left="566"/>
            </w:pPr>
            <w:r>
              <w:t>с одной коробчатой балкой</w:t>
            </w:r>
          </w:p>
        </w:tc>
        <w:tc>
          <w:tcPr>
            <w:tcW w:w="2778" w:type="dxa"/>
            <w:tcBorders>
              <w:top w:val="nil"/>
              <w:bottom w:val="nil"/>
            </w:tcBorders>
          </w:tcPr>
          <w:p w:rsidR="00212513" w:rsidRDefault="00212513">
            <w:pPr>
              <w:pStyle w:val="ConsPlusNormal"/>
              <w:jc w:val="center"/>
            </w:pPr>
            <w:r>
              <w:t>1,50</w:t>
            </w:r>
          </w:p>
        </w:tc>
      </w:tr>
      <w:tr w:rsidR="00212513">
        <w:tblPrEx>
          <w:tblBorders>
            <w:insideH w:val="none" w:sz="0" w:space="0" w:color="auto"/>
          </w:tblBorders>
        </w:tblPrEx>
        <w:tc>
          <w:tcPr>
            <w:tcW w:w="6236" w:type="dxa"/>
            <w:tcBorders>
              <w:top w:val="nil"/>
              <w:bottom w:val="nil"/>
            </w:tcBorders>
          </w:tcPr>
          <w:p w:rsidR="00212513" w:rsidRDefault="00212513">
            <w:pPr>
              <w:pStyle w:val="ConsPlusNormal"/>
              <w:ind w:left="566"/>
            </w:pPr>
            <w:r>
              <w:t>с двумя коробчатыми балками</w:t>
            </w:r>
          </w:p>
        </w:tc>
        <w:tc>
          <w:tcPr>
            <w:tcW w:w="2778" w:type="dxa"/>
            <w:tcBorders>
              <w:top w:val="nil"/>
              <w:bottom w:val="nil"/>
            </w:tcBorders>
          </w:tcPr>
          <w:p w:rsidR="00212513" w:rsidRDefault="00212513">
            <w:pPr>
              <w:pStyle w:val="ConsPlusNormal"/>
              <w:jc w:val="center"/>
            </w:pPr>
            <w:r>
              <w:t>1,75</w:t>
            </w:r>
          </w:p>
        </w:tc>
      </w:tr>
      <w:tr w:rsidR="00212513">
        <w:tblPrEx>
          <w:tblBorders>
            <w:insideH w:val="none" w:sz="0" w:space="0" w:color="auto"/>
          </w:tblBorders>
        </w:tblPrEx>
        <w:tc>
          <w:tcPr>
            <w:tcW w:w="6236" w:type="dxa"/>
            <w:tcBorders>
              <w:top w:val="nil"/>
              <w:bottom w:val="nil"/>
            </w:tcBorders>
          </w:tcPr>
          <w:p w:rsidR="00212513" w:rsidRDefault="00212513">
            <w:pPr>
              <w:pStyle w:val="ConsPlusNormal"/>
            </w:pPr>
            <w:r>
              <w:t>4 Прогоны деревянных мостов</w:t>
            </w:r>
          </w:p>
        </w:tc>
        <w:tc>
          <w:tcPr>
            <w:tcW w:w="2778" w:type="dxa"/>
            <w:tcBorders>
              <w:top w:val="nil"/>
              <w:bottom w:val="nil"/>
            </w:tcBorders>
          </w:tcPr>
          <w:p w:rsidR="00212513" w:rsidRDefault="00212513">
            <w:pPr>
              <w:pStyle w:val="ConsPlusNormal"/>
              <w:jc w:val="center"/>
            </w:pPr>
            <w:r>
              <w:t>1,95</w:t>
            </w:r>
          </w:p>
        </w:tc>
      </w:tr>
      <w:tr w:rsidR="00212513">
        <w:tblPrEx>
          <w:tblBorders>
            <w:insideH w:val="none" w:sz="0" w:space="0" w:color="auto"/>
          </w:tblBorders>
        </w:tblPrEx>
        <w:tc>
          <w:tcPr>
            <w:tcW w:w="6236" w:type="dxa"/>
            <w:tcBorders>
              <w:top w:val="nil"/>
              <w:bottom w:val="nil"/>
            </w:tcBorders>
          </w:tcPr>
          <w:p w:rsidR="00212513" w:rsidRDefault="00212513">
            <w:pPr>
              <w:pStyle w:val="ConsPlusNormal"/>
            </w:pPr>
            <w:r>
              <w:t>5 Железнодорожный подвижной состав, находящийся на пролетном строении с ездой:</w:t>
            </w:r>
          </w:p>
        </w:tc>
        <w:tc>
          <w:tcPr>
            <w:tcW w:w="2778"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6236" w:type="dxa"/>
            <w:tcBorders>
              <w:top w:val="nil"/>
              <w:bottom w:val="nil"/>
            </w:tcBorders>
          </w:tcPr>
          <w:p w:rsidR="00212513" w:rsidRDefault="00212513">
            <w:pPr>
              <w:pStyle w:val="ConsPlusNormal"/>
              <w:ind w:left="283"/>
            </w:pPr>
            <w:r>
              <w:t>а) понизу</w:t>
            </w:r>
          </w:p>
        </w:tc>
        <w:tc>
          <w:tcPr>
            <w:tcW w:w="2778" w:type="dxa"/>
            <w:tcBorders>
              <w:top w:val="nil"/>
              <w:bottom w:val="nil"/>
            </w:tcBorders>
          </w:tcPr>
          <w:p w:rsidR="00212513" w:rsidRDefault="00212513">
            <w:pPr>
              <w:pStyle w:val="ConsPlusNormal"/>
              <w:jc w:val="center"/>
            </w:pPr>
            <w:r>
              <w:t>1,50</w:t>
            </w:r>
          </w:p>
        </w:tc>
      </w:tr>
      <w:tr w:rsidR="00212513">
        <w:tblPrEx>
          <w:tblBorders>
            <w:insideH w:val="none" w:sz="0" w:space="0" w:color="auto"/>
          </w:tblBorders>
        </w:tblPrEx>
        <w:tc>
          <w:tcPr>
            <w:tcW w:w="6236" w:type="dxa"/>
            <w:tcBorders>
              <w:top w:val="nil"/>
              <w:bottom w:val="nil"/>
            </w:tcBorders>
          </w:tcPr>
          <w:p w:rsidR="00212513" w:rsidRDefault="00212513">
            <w:pPr>
              <w:pStyle w:val="ConsPlusNormal"/>
              <w:ind w:left="283"/>
            </w:pPr>
            <w:r>
              <w:t>б) поверху</w:t>
            </w:r>
          </w:p>
        </w:tc>
        <w:tc>
          <w:tcPr>
            <w:tcW w:w="2778" w:type="dxa"/>
            <w:tcBorders>
              <w:top w:val="nil"/>
              <w:bottom w:val="nil"/>
            </w:tcBorders>
          </w:tcPr>
          <w:p w:rsidR="00212513" w:rsidRDefault="00212513">
            <w:pPr>
              <w:pStyle w:val="ConsPlusNormal"/>
              <w:jc w:val="center"/>
            </w:pPr>
            <w:r>
              <w:t>1,80</w:t>
            </w:r>
          </w:p>
        </w:tc>
      </w:tr>
      <w:tr w:rsidR="00212513">
        <w:tblPrEx>
          <w:tblBorders>
            <w:insideH w:val="none" w:sz="0" w:space="0" w:color="auto"/>
          </w:tblBorders>
        </w:tblPrEx>
        <w:tc>
          <w:tcPr>
            <w:tcW w:w="6236" w:type="dxa"/>
            <w:tcBorders>
              <w:top w:val="nil"/>
              <w:bottom w:val="nil"/>
            </w:tcBorders>
          </w:tcPr>
          <w:p w:rsidR="00212513" w:rsidRDefault="00212513">
            <w:pPr>
              <w:pStyle w:val="ConsPlusNormal"/>
            </w:pPr>
            <w:r>
              <w:t>6 Каменные, бетонные и железобетонные опоры мостов:</w:t>
            </w:r>
          </w:p>
        </w:tc>
        <w:tc>
          <w:tcPr>
            <w:tcW w:w="2778"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6236" w:type="dxa"/>
            <w:tcBorders>
              <w:top w:val="nil"/>
              <w:bottom w:val="nil"/>
            </w:tcBorders>
          </w:tcPr>
          <w:p w:rsidR="00212513" w:rsidRDefault="00212513">
            <w:pPr>
              <w:pStyle w:val="ConsPlusNormal"/>
              <w:ind w:left="283"/>
            </w:pPr>
            <w:r>
              <w:t>а) поперек моста:</w:t>
            </w:r>
          </w:p>
        </w:tc>
        <w:tc>
          <w:tcPr>
            <w:tcW w:w="2778"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6236" w:type="dxa"/>
            <w:tcBorders>
              <w:top w:val="nil"/>
              <w:bottom w:val="nil"/>
            </w:tcBorders>
          </w:tcPr>
          <w:p w:rsidR="00212513" w:rsidRDefault="00212513">
            <w:pPr>
              <w:pStyle w:val="ConsPlusNormal"/>
              <w:ind w:left="566"/>
            </w:pPr>
            <w:r>
              <w:t>при прямоугольном сечении</w:t>
            </w:r>
          </w:p>
        </w:tc>
        <w:tc>
          <w:tcPr>
            <w:tcW w:w="2778" w:type="dxa"/>
            <w:tcBorders>
              <w:top w:val="nil"/>
              <w:bottom w:val="nil"/>
            </w:tcBorders>
          </w:tcPr>
          <w:p w:rsidR="00212513" w:rsidRDefault="00212513">
            <w:pPr>
              <w:pStyle w:val="ConsPlusNormal"/>
              <w:jc w:val="center"/>
            </w:pPr>
            <w:r>
              <w:t>2,10</w:t>
            </w:r>
          </w:p>
        </w:tc>
      </w:tr>
      <w:tr w:rsidR="00212513">
        <w:tblPrEx>
          <w:tblBorders>
            <w:insideH w:val="none" w:sz="0" w:space="0" w:color="auto"/>
          </w:tblBorders>
        </w:tblPrEx>
        <w:tc>
          <w:tcPr>
            <w:tcW w:w="6236" w:type="dxa"/>
            <w:tcBorders>
              <w:top w:val="nil"/>
              <w:bottom w:val="nil"/>
            </w:tcBorders>
          </w:tcPr>
          <w:p w:rsidR="00212513" w:rsidRDefault="00212513">
            <w:pPr>
              <w:pStyle w:val="ConsPlusNormal"/>
              <w:ind w:left="566"/>
            </w:pPr>
            <w:r>
              <w:t>то же, но с обтекателями в носовой и кормовой частях</w:t>
            </w:r>
          </w:p>
        </w:tc>
        <w:tc>
          <w:tcPr>
            <w:tcW w:w="2778" w:type="dxa"/>
            <w:tcBorders>
              <w:top w:val="nil"/>
              <w:bottom w:val="nil"/>
            </w:tcBorders>
          </w:tcPr>
          <w:p w:rsidR="00212513" w:rsidRDefault="00212513">
            <w:pPr>
              <w:pStyle w:val="ConsPlusNormal"/>
              <w:jc w:val="center"/>
            </w:pPr>
            <w:r>
              <w:t>1,75</w:t>
            </w:r>
          </w:p>
        </w:tc>
      </w:tr>
      <w:tr w:rsidR="00212513">
        <w:tblPrEx>
          <w:tblBorders>
            <w:insideH w:val="none" w:sz="0" w:space="0" w:color="auto"/>
          </w:tblBorders>
        </w:tblPrEx>
        <w:tc>
          <w:tcPr>
            <w:tcW w:w="6236" w:type="dxa"/>
            <w:tcBorders>
              <w:top w:val="nil"/>
              <w:bottom w:val="nil"/>
            </w:tcBorders>
          </w:tcPr>
          <w:p w:rsidR="00212513" w:rsidRDefault="00212513">
            <w:pPr>
              <w:pStyle w:val="ConsPlusNormal"/>
              <w:ind w:left="566"/>
            </w:pPr>
            <w:r>
              <w:t>при круглом сечении</w:t>
            </w:r>
          </w:p>
        </w:tc>
        <w:tc>
          <w:tcPr>
            <w:tcW w:w="2778" w:type="dxa"/>
            <w:tcBorders>
              <w:top w:val="nil"/>
              <w:bottom w:val="nil"/>
            </w:tcBorders>
          </w:tcPr>
          <w:p w:rsidR="00212513" w:rsidRDefault="00212513">
            <w:pPr>
              <w:pStyle w:val="ConsPlusNormal"/>
              <w:jc w:val="center"/>
            </w:pPr>
            <w:r>
              <w:t>1,40</w:t>
            </w:r>
          </w:p>
        </w:tc>
      </w:tr>
      <w:tr w:rsidR="00212513">
        <w:tblPrEx>
          <w:tblBorders>
            <w:insideH w:val="none" w:sz="0" w:space="0" w:color="auto"/>
          </w:tblBorders>
        </w:tblPrEx>
        <w:tc>
          <w:tcPr>
            <w:tcW w:w="6236" w:type="dxa"/>
            <w:tcBorders>
              <w:top w:val="nil"/>
              <w:bottom w:val="nil"/>
            </w:tcBorders>
          </w:tcPr>
          <w:p w:rsidR="00212513" w:rsidRDefault="00212513">
            <w:pPr>
              <w:pStyle w:val="ConsPlusNormal"/>
              <w:ind w:left="566"/>
            </w:pPr>
            <w:r>
              <w:t>в виде двух круглых столбов</w:t>
            </w:r>
          </w:p>
        </w:tc>
        <w:tc>
          <w:tcPr>
            <w:tcW w:w="2778" w:type="dxa"/>
            <w:tcBorders>
              <w:top w:val="nil"/>
              <w:bottom w:val="nil"/>
            </w:tcBorders>
          </w:tcPr>
          <w:p w:rsidR="00212513" w:rsidRDefault="00212513">
            <w:pPr>
              <w:pStyle w:val="ConsPlusNormal"/>
              <w:jc w:val="center"/>
            </w:pPr>
            <w:r>
              <w:t>1,80</w:t>
            </w:r>
          </w:p>
        </w:tc>
      </w:tr>
      <w:tr w:rsidR="00212513">
        <w:tblPrEx>
          <w:tblBorders>
            <w:insideH w:val="none" w:sz="0" w:space="0" w:color="auto"/>
          </w:tblBorders>
        </w:tblPrEx>
        <w:tc>
          <w:tcPr>
            <w:tcW w:w="6236" w:type="dxa"/>
            <w:tcBorders>
              <w:top w:val="nil"/>
              <w:bottom w:val="nil"/>
            </w:tcBorders>
          </w:tcPr>
          <w:p w:rsidR="00212513" w:rsidRDefault="00212513">
            <w:pPr>
              <w:pStyle w:val="ConsPlusNormal"/>
              <w:ind w:left="283"/>
            </w:pPr>
            <w:r>
              <w:t>б) вдоль моста при прямоугольном сечении</w:t>
            </w:r>
          </w:p>
        </w:tc>
        <w:tc>
          <w:tcPr>
            <w:tcW w:w="2778" w:type="dxa"/>
            <w:tcBorders>
              <w:top w:val="nil"/>
              <w:bottom w:val="nil"/>
            </w:tcBorders>
          </w:tcPr>
          <w:p w:rsidR="00212513" w:rsidRDefault="00212513">
            <w:pPr>
              <w:pStyle w:val="ConsPlusNormal"/>
              <w:jc w:val="center"/>
            </w:pPr>
            <w:r>
              <w:t>2,10</w:t>
            </w:r>
          </w:p>
        </w:tc>
      </w:tr>
      <w:tr w:rsidR="00212513">
        <w:tblPrEx>
          <w:tblBorders>
            <w:insideH w:val="none" w:sz="0" w:space="0" w:color="auto"/>
          </w:tblBorders>
        </w:tblPrEx>
        <w:tc>
          <w:tcPr>
            <w:tcW w:w="6236" w:type="dxa"/>
            <w:tcBorders>
              <w:top w:val="nil"/>
              <w:bottom w:val="nil"/>
            </w:tcBorders>
          </w:tcPr>
          <w:p w:rsidR="00212513" w:rsidRDefault="00212513">
            <w:pPr>
              <w:pStyle w:val="ConsPlusNormal"/>
            </w:pPr>
            <w:r>
              <w:lastRenderedPageBreak/>
              <w:t>7 Деревянные сквозные опоры мостов:</w:t>
            </w:r>
          </w:p>
        </w:tc>
        <w:tc>
          <w:tcPr>
            <w:tcW w:w="2778"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6236" w:type="dxa"/>
            <w:tcBorders>
              <w:top w:val="nil"/>
              <w:bottom w:val="nil"/>
            </w:tcBorders>
          </w:tcPr>
          <w:p w:rsidR="00212513" w:rsidRDefault="00212513">
            <w:pPr>
              <w:pStyle w:val="ConsPlusNormal"/>
              <w:ind w:left="283"/>
            </w:pPr>
            <w:r>
              <w:t>а) башенного типа:</w:t>
            </w:r>
          </w:p>
        </w:tc>
        <w:tc>
          <w:tcPr>
            <w:tcW w:w="2778"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6236" w:type="dxa"/>
            <w:tcBorders>
              <w:top w:val="nil"/>
              <w:bottom w:val="nil"/>
            </w:tcBorders>
          </w:tcPr>
          <w:p w:rsidR="00212513" w:rsidRDefault="00212513">
            <w:pPr>
              <w:pStyle w:val="ConsPlusNormal"/>
              <w:ind w:left="566"/>
            </w:pPr>
            <w:r>
              <w:t>поперек моста</w:t>
            </w:r>
          </w:p>
        </w:tc>
        <w:tc>
          <w:tcPr>
            <w:tcW w:w="2778" w:type="dxa"/>
            <w:tcBorders>
              <w:top w:val="nil"/>
              <w:bottom w:val="nil"/>
            </w:tcBorders>
          </w:tcPr>
          <w:p w:rsidR="00212513" w:rsidRDefault="00212513">
            <w:pPr>
              <w:pStyle w:val="ConsPlusNormal"/>
              <w:jc w:val="center"/>
            </w:pPr>
            <w:r>
              <w:t>3,20</w:t>
            </w:r>
          </w:p>
        </w:tc>
      </w:tr>
      <w:tr w:rsidR="00212513">
        <w:tblPrEx>
          <w:tblBorders>
            <w:insideH w:val="none" w:sz="0" w:space="0" w:color="auto"/>
          </w:tblBorders>
        </w:tblPrEx>
        <w:tc>
          <w:tcPr>
            <w:tcW w:w="6236" w:type="dxa"/>
            <w:tcBorders>
              <w:top w:val="nil"/>
              <w:bottom w:val="nil"/>
            </w:tcBorders>
          </w:tcPr>
          <w:p w:rsidR="00212513" w:rsidRDefault="00212513">
            <w:pPr>
              <w:pStyle w:val="ConsPlusNormal"/>
              <w:ind w:left="566"/>
            </w:pPr>
            <w:r>
              <w:t>вдоль моста</w:t>
            </w:r>
          </w:p>
        </w:tc>
        <w:tc>
          <w:tcPr>
            <w:tcW w:w="2778" w:type="dxa"/>
            <w:tcBorders>
              <w:top w:val="nil"/>
              <w:bottom w:val="nil"/>
            </w:tcBorders>
          </w:tcPr>
          <w:p w:rsidR="00212513" w:rsidRDefault="00212513">
            <w:pPr>
              <w:pStyle w:val="ConsPlusNormal"/>
              <w:jc w:val="center"/>
            </w:pPr>
            <w:r>
              <w:t>2,40</w:t>
            </w:r>
          </w:p>
        </w:tc>
      </w:tr>
      <w:tr w:rsidR="00212513">
        <w:tblPrEx>
          <w:tblBorders>
            <w:insideH w:val="none" w:sz="0" w:space="0" w:color="auto"/>
          </w:tblBorders>
        </w:tblPrEx>
        <w:tc>
          <w:tcPr>
            <w:tcW w:w="6236" w:type="dxa"/>
            <w:tcBorders>
              <w:top w:val="nil"/>
              <w:bottom w:val="nil"/>
            </w:tcBorders>
          </w:tcPr>
          <w:p w:rsidR="00212513" w:rsidRDefault="00212513">
            <w:pPr>
              <w:pStyle w:val="ConsPlusNormal"/>
              <w:ind w:left="283"/>
            </w:pPr>
            <w:r>
              <w:t>б) однорядные и сдвоенные:</w:t>
            </w:r>
          </w:p>
        </w:tc>
        <w:tc>
          <w:tcPr>
            <w:tcW w:w="2778"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6236" w:type="dxa"/>
            <w:tcBorders>
              <w:top w:val="nil"/>
              <w:bottom w:val="nil"/>
            </w:tcBorders>
          </w:tcPr>
          <w:p w:rsidR="00212513" w:rsidRDefault="00212513">
            <w:pPr>
              <w:pStyle w:val="ConsPlusNormal"/>
              <w:ind w:left="566"/>
            </w:pPr>
            <w:r>
              <w:t>поперек моста</w:t>
            </w:r>
          </w:p>
        </w:tc>
        <w:tc>
          <w:tcPr>
            <w:tcW w:w="2778" w:type="dxa"/>
            <w:tcBorders>
              <w:top w:val="nil"/>
              <w:bottom w:val="nil"/>
            </w:tcBorders>
          </w:tcPr>
          <w:p w:rsidR="00212513" w:rsidRDefault="00212513">
            <w:pPr>
              <w:pStyle w:val="ConsPlusNormal"/>
              <w:jc w:val="center"/>
            </w:pPr>
            <w:r>
              <w:t>2,50</w:t>
            </w:r>
          </w:p>
        </w:tc>
      </w:tr>
      <w:tr w:rsidR="00212513">
        <w:tblPrEx>
          <w:tblBorders>
            <w:insideH w:val="none" w:sz="0" w:space="0" w:color="auto"/>
          </w:tblBorders>
        </w:tblPrEx>
        <w:tc>
          <w:tcPr>
            <w:tcW w:w="6236" w:type="dxa"/>
            <w:tcBorders>
              <w:top w:val="nil"/>
              <w:bottom w:val="nil"/>
            </w:tcBorders>
          </w:tcPr>
          <w:p w:rsidR="00212513" w:rsidRDefault="00212513">
            <w:pPr>
              <w:pStyle w:val="ConsPlusNormal"/>
              <w:ind w:left="566"/>
            </w:pPr>
            <w:r>
              <w:t>вдоль моста</w:t>
            </w:r>
          </w:p>
        </w:tc>
        <w:tc>
          <w:tcPr>
            <w:tcW w:w="2778" w:type="dxa"/>
            <w:tcBorders>
              <w:top w:val="nil"/>
              <w:bottom w:val="nil"/>
            </w:tcBorders>
          </w:tcPr>
          <w:p w:rsidR="00212513" w:rsidRDefault="00212513">
            <w:pPr>
              <w:pStyle w:val="ConsPlusNormal"/>
              <w:jc w:val="center"/>
            </w:pPr>
            <w:r>
              <w:t>1,50</w:t>
            </w:r>
          </w:p>
        </w:tc>
      </w:tr>
      <w:tr w:rsidR="00212513">
        <w:tblPrEx>
          <w:tblBorders>
            <w:insideH w:val="none" w:sz="0" w:space="0" w:color="auto"/>
          </w:tblBorders>
        </w:tblPrEx>
        <w:tc>
          <w:tcPr>
            <w:tcW w:w="6236" w:type="dxa"/>
            <w:tcBorders>
              <w:top w:val="nil"/>
              <w:bottom w:val="nil"/>
            </w:tcBorders>
          </w:tcPr>
          <w:p w:rsidR="00212513" w:rsidRDefault="00212513">
            <w:pPr>
              <w:pStyle w:val="ConsPlusNormal"/>
            </w:pPr>
            <w:r>
              <w:t>8 Стальные опоры:</w:t>
            </w:r>
          </w:p>
        </w:tc>
        <w:tc>
          <w:tcPr>
            <w:tcW w:w="2778"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6236" w:type="dxa"/>
            <w:tcBorders>
              <w:top w:val="nil"/>
              <w:bottom w:val="nil"/>
            </w:tcBorders>
          </w:tcPr>
          <w:p w:rsidR="00212513" w:rsidRDefault="00212513">
            <w:pPr>
              <w:pStyle w:val="ConsPlusNormal"/>
              <w:ind w:left="283"/>
            </w:pPr>
            <w:r>
              <w:t>а) однорядные:</w:t>
            </w:r>
          </w:p>
        </w:tc>
        <w:tc>
          <w:tcPr>
            <w:tcW w:w="2778"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6236" w:type="dxa"/>
            <w:tcBorders>
              <w:top w:val="nil"/>
              <w:bottom w:val="nil"/>
            </w:tcBorders>
          </w:tcPr>
          <w:p w:rsidR="00212513" w:rsidRDefault="00212513">
            <w:pPr>
              <w:pStyle w:val="ConsPlusNormal"/>
              <w:ind w:left="566"/>
            </w:pPr>
            <w:r>
              <w:t>поперек моста</w:t>
            </w:r>
          </w:p>
        </w:tc>
        <w:tc>
          <w:tcPr>
            <w:tcW w:w="2778" w:type="dxa"/>
            <w:tcBorders>
              <w:top w:val="nil"/>
              <w:bottom w:val="nil"/>
            </w:tcBorders>
          </w:tcPr>
          <w:p w:rsidR="00212513" w:rsidRDefault="00212513">
            <w:pPr>
              <w:pStyle w:val="ConsPlusNormal"/>
              <w:jc w:val="center"/>
            </w:pPr>
            <w:r>
              <w:t>2,50</w:t>
            </w:r>
          </w:p>
        </w:tc>
      </w:tr>
      <w:tr w:rsidR="00212513">
        <w:tblPrEx>
          <w:tblBorders>
            <w:insideH w:val="none" w:sz="0" w:space="0" w:color="auto"/>
          </w:tblBorders>
        </w:tblPrEx>
        <w:tc>
          <w:tcPr>
            <w:tcW w:w="6236" w:type="dxa"/>
            <w:tcBorders>
              <w:top w:val="nil"/>
              <w:bottom w:val="nil"/>
            </w:tcBorders>
          </w:tcPr>
          <w:p w:rsidR="00212513" w:rsidRDefault="00212513">
            <w:pPr>
              <w:pStyle w:val="ConsPlusNormal"/>
              <w:ind w:left="566"/>
            </w:pPr>
            <w:r>
              <w:t>вдоль моста</w:t>
            </w:r>
          </w:p>
        </w:tc>
        <w:tc>
          <w:tcPr>
            <w:tcW w:w="2778" w:type="dxa"/>
            <w:tcBorders>
              <w:top w:val="nil"/>
              <w:bottom w:val="nil"/>
            </w:tcBorders>
          </w:tcPr>
          <w:p w:rsidR="00212513" w:rsidRDefault="00212513">
            <w:pPr>
              <w:pStyle w:val="ConsPlusNormal"/>
              <w:jc w:val="center"/>
            </w:pPr>
            <w:r>
              <w:t>1,80</w:t>
            </w:r>
          </w:p>
        </w:tc>
      </w:tr>
      <w:tr w:rsidR="00212513">
        <w:tblPrEx>
          <w:tblBorders>
            <w:insideH w:val="none" w:sz="0" w:space="0" w:color="auto"/>
          </w:tblBorders>
        </w:tblPrEx>
        <w:tc>
          <w:tcPr>
            <w:tcW w:w="6236" w:type="dxa"/>
            <w:tcBorders>
              <w:top w:val="nil"/>
              <w:bottom w:val="nil"/>
            </w:tcBorders>
          </w:tcPr>
          <w:p w:rsidR="00212513" w:rsidRDefault="00212513">
            <w:pPr>
              <w:pStyle w:val="ConsPlusNormal"/>
              <w:ind w:left="283"/>
            </w:pPr>
            <w:r>
              <w:t>б) башенные сквозные при числе плоскостей (поперек направления ветра) от 2 до 4</w:t>
            </w:r>
          </w:p>
        </w:tc>
        <w:tc>
          <w:tcPr>
            <w:tcW w:w="2778" w:type="dxa"/>
            <w:tcBorders>
              <w:top w:val="nil"/>
              <w:bottom w:val="nil"/>
            </w:tcBorders>
          </w:tcPr>
          <w:p w:rsidR="00212513" w:rsidRDefault="00212513">
            <w:pPr>
              <w:pStyle w:val="ConsPlusNormal"/>
              <w:jc w:val="center"/>
            </w:pPr>
            <w:r>
              <w:t>2,10 - 3,00</w:t>
            </w:r>
          </w:p>
        </w:tc>
      </w:tr>
      <w:tr w:rsidR="00212513">
        <w:tblPrEx>
          <w:tblBorders>
            <w:insideH w:val="none" w:sz="0" w:space="0" w:color="auto"/>
          </w:tblBorders>
        </w:tblPrEx>
        <w:tc>
          <w:tcPr>
            <w:tcW w:w="6236" w:type="dxa"/>
            <w:tcBorders>
              <w:top w:val="nil"/>
              <w:bottom w:val="nil"/>
            </w:tcBorders>
          </w:tcPr>
          <w:p w:rsidR="00212513" w:rsidRDefault="00212513">
            <w:pPr>
              <w:pStyle w:val="ConsPlusNormal"/>
            </w:pPr>
            <w:r>
              <w:t>9 Перильные ограждения:</w:t>
            </w:r>
          </w:p>
        </w:tc>
        <w:tc>
          <w:tcPr>
            <w:tcW w:w="2778"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6236" w:type="dxa"/>
            <w:tcBorders>
              <w:top w:val="nil"/>
              <w:bottom w:val="nil"/>
            </w:tcBorders>
          </w:tcPr>
          <w:p w:rsidR="00212513" w:rsidRDefault="00212513">
            <w:pPr>
              <w:pStyle w:val="ConsPlusNormal"/>
              <w:ind w:left="283"/>
            </w:pPr>
            <w:r>
              <w:t>а) в мостах с ездой поверху для плоскостей:</w:t>
            </w:r>
          </w:p>
        </w:tc>
        <w:tc>
          <w:tcPr>
            <w:tcW w:w="2778"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6236" w:type="dxa"/>
            <w:tcBorders>
              <w:top w:val="nil"/>
              <w:bottom w:val="nil"/>
            </w:tcBorders>
          </w:tcPr>
          <w:p w:rsidR="00212513" w:rsidRDefault="00212513">
            <w:pPr>
              <w:pStyle w:val="ConsPlusNormal"/>
              <w:ind w:left="566"/>
            </w:pPr>
            <w:r>
              <w:t>не защищенных от ветра</w:t>
            </w:r>
          </w:p>
        </w:tc>
        <w:tc>
          <w:tcPr>
            <w:tcW w:w="2778" w:type="dxa"/>
            <w:tcBorders>
              <w:top w:val="nil"/>
              <w:bottom w:val="nil"/>
            </w:tcBorders>
          </w:tcPr>
          <w:p w:rsidR="00212513" w:rsidRDefault="00212513">
            <w:pPr>
              <w:pStyle w:val="ConsPlusNormal"/>
              <w:jc w:val="center"/>
            </w:pPr>
            <w:r>
              <w:t>1,4</w:t>
            </w:r>
          </w:p>
        </w:tc>
      </w:tr>
      <w:tr w:rsidR="00212513">
        <w:tblPrEx>
          <w:tblBorders>
            <w:insideH w:val="none" w:sz="0" w:space="0" w:color="auto"/>
          </w:tblBorders>
        </w:tblPrEx>
        <w:tc>
          <w:tcPr>
            <w:tcW w:w="6236" w:type="dxa"/>
            <w:tcBorders>
              <w:top w:val="nil"/>
              <w:bottom w:val="nil"/>
            </w:tcBorders>
          </w:tcPr>
          <w:p w:rsidR="00212513" w:rsidRDefault="00212513">
            <w:pPr>
              <w:pStyle w:val="ConsPlusNormal"/>
              <w:ind w:left="566"/>
            </w:pPr>
            <w:r>
              <w:t>закрытых от ветра подвижным составом</w:t>
            </w:r>
          </w:p>
        </w:tc>
        <w:tc>
          <w:tcPr>
            <w:tcW w:w="2778" w:type="dxa"/>
            <w:tcBorders>
              <w:top w:val="nil"/>
              <w:bottom w:val="nil"/>
            </w:tcBorders>
          </w:tcPr>
          <w:p w:rsidR="00212513" w:rsidRDefault="00212513">
            <w:pPr>
              <w:pStyle w:val="ConsPlusNormal"/>
              <w:jc w:val="center"/>
            </w:pPr>
            <w:r>
              <w:t>0,8</w:t>
            </w:r>
          </w:p>
        </w:tc>
      </w:tr>
      <w:tr w:rsidR="00212513">
        <w:tblPrEx>
          <w:tblBorders>
            <w:insideH w:val="none" w:sz="0" w:space="0" w:color="auto"/>
          </w:tblBorders>
        </w:tblPrEx>
        <w:tc>
          <w:tcPr>
            <w:tcW w:w="6236" w:type="dxa"/>
            <w:tcBorders>
              <w:top w:val="nil"/>
              <w:bottom w:val="nil"/>
            </w:tcBorders>
          </w:tcPr>
          <w:p w:rsidR="00212513" w:rsidRDefault="00212513">
            <w:pPr>
              <w:pStyle w:val="ConsPlusNormal"/>
              <w:ind w:left="283"/>
            </w:pPr>
            <w:r>
              <w:t>б) в мостах с ездой понизу:</w:t>
            </w:r>
          </w:p>
        </w:tc>
        <w:tc>
          <w:tcPr>
            <w:tcW w:w="2778"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6236" w:type="dxa"/>
            <w:tcBorders>
              <w:top w:val="nil"/>
              <w:bottom w:val="nil"/>
            </w:tcBorders>
          </w:tcPr>
          <w:p w:rsidR="00212513" w:rsidRDefault="00212513">
            <w:pPr>
              <w:pStyle w:val="ConsPlusNormal"/>
              <w:ind w:left="566"/>
            </w:pPr>
            <w:r>
              <w:t>с наветренной стороны, не закрытой элементами сквозных ферм</w:t>
            </w:r>
          </w:p>
        </w:tc>
        <w:tc>
          <w:tcPr>
            <w:tcW w:w="2778" w:type="dxa"/>
            <w:tcBorders>
              <w:top w:val="nil"/>
              <w:bottom w:val="nil"/>
            </w:tcBorders>
          </w:tcPr>
          <w:p w:rsidR="00212513" w:rsidRDefault="00212513">
            <w:pPr>
              <w:pStyle w:val="ConsPlusNormal"/>
              <w:jc w:val="center"/>
            </w:pPr>
            <w:r>
              <w:t>1,4</w:t>
            </w:r>
          </w:p>
        </w:tc>
      </w:tr>
      <w:tr w:rsidR="00212513">
        <w:tblPrEx>
          <w:tblBorders>
            <w:insideH w:val="none" w:sz="0" w:space="0" w:color="auto"/>
          </w:tblBorders>
        </w:tblPrEx>
        <w:tc>
          <w:tcPr>
            <w:tcW w:w="6236" w:type="dxa"/>
            <w:tcBorders>
              <w:top w:val="nil"/>
              <w:bottom w:val="nil"/>
            </w:tcBorders>
          </w:tcPr>
          <w:p w:rsidR="00212513" w:rsidRDefault="00212513">
            <w:pPr>
              <w:pStyle w:val="ConsPlusNormal"/>
              <w:ind w:left="566"/>
            </w:pPr>
            <w:r>
              <w:t>то же, закрытой элементами сквозных ферм</w:t>
            </w:r>
          </w:p>
        </w:tc>
        <w:tc>
          <w:tcPr>
            <w:tcW w:w="2778" w:type="dxa"/>
            <w:tcBorders>
              <w:top w:val="nil"/>
              <w:bottom w:val="nil"/>
            </w:tcBorders>
          </w:tcPr>
          <w:p w:rsidR="00212513" w:rsidRDefault="00212513">
            <w:pPr>
              <w:pStyle w:val="ConsPlusNormal"/>
              <w:jc w:val="center"/>
            </w:pPr>
            <w:r>
              <w:t>1,1</w:t>
            </w:r>
          </w:p>
        </w:tc>
      </w:tr>
      <w:tr w:rsidR="00212513">
        <w:tblPrEx>
          <w:tblBorders>
            <w:insideH w:val="none" w:sz="0" w:space="0" w:color="auto"/>
          </w:tblBorders>
        </w:tblPrEx>
        <w:tc>
          <w:tcPr>
            <w:tcW w:w="6236" w:type="dxa"/>
            <w:tcBorders>
              <w:top w:val="nil"/>
              <w:bottom w:val="single" w:sz="4" w:space="0" w:color="auto"/>
            </w:tcBorders>
          </w:tcPr>
          <w:p w:rsidR="00212513" w:rsidRDefault="00212513">
            <w:pPr>
              <w:pStyle w:val="ConsPlusNormal"/>
              <w:ind w:left="566"/>
            </w:pPr>
            <w:r>
              <w:t>то же, закрытой элементами сквозных ферм и подвижным составом</w:t>
            </w:r>
          </w:p>
        </w:tc>
        <w:tc>
          <w:tcPr>
            <w:tcW w:w="2778" w:type="dxa"/>
            <w:tcBorders>
              <w:top w:val="nil"/>
              <w:bottom w:val="single" w:sz="4" w:space="0" w:color="auto"/>
            </w:tcBorders>
          </w:tcPr>
          <w:p w:rsidR="00212513" w:rsidRDefault="00212513">
            <w:pPr>
              <w:pStyle w:val="ConsPlusNormal"/>
              <w:jc w:val="center"/>
            </w:pPr>
            <w:r>
              <w:t>0,6</w:t>
            </w:r>
          </w:p>
        </w:tc>
      </w:tr>
      <w:tr w:rsidR="00212513">
        <w:tc>
          <w:tcPr>
            <w:tcW w:w="9014" w:type="dxa"/>
            <w:gridSpan w:val="2"/>
            <w:tcBorders>
              <w:top w:val="single" w:sz="4" w:space="0" w:color="auto"/>
              <w:bottom w:val="single" w:sz="4" w:space="0" w:color="auto"/>
            </w:tcBorders>
          </w:tcPr>
          <w:p w:rsidR="00212513" w:rsidRDefault="00212513">
            <w:pPr>
              <w:pStyle w:val="ConsPlusNormal"/>
              <w:ind w:firstLine="283"/>
              <w:jc w:val="both"/>
            </w:pPr>
            <w:r>
              <w:t>Примечание - Для опор, состоящих по высоте из нескольких ярусов, имеющих различные конструктивные формы, ветровую нагрузку необходимо определять для каждого яруса отдельно с учетом соответствующего аэродинамического коэффициента.</w:t>
            </w:r>
          </w:p>
        </w:tc>
      </w:tr>
    </w:tbl>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jc w:val="right"/>
        <w:outlineLvl w:val="0"/>
      </w:pPr>
      <w:r>
        <w:rPr>
          <w:b/>
        </w:rPr>
        <w:t>Приложение П</w:t>
      </w:r>
    </w:p>
    <w:p w:rsidR="00212513" w:rsidRDefault="00212513">
      <w:pPr>
        <w:pStyle w:val="ConsPlusNormal"/>
        <w:jc w:val="right"/>
      </w:pPr>
      <w:r>
        <w:rPr>
          <w:b/>
        </w:rPr>
        <w:t>(обязательное)</w:t>
      </w:r>
    </w:p>
    <w:p w:rsidR="00212513" w:rsidRDefault="00212513">
      <w:pPr>
        <w:pStyle w:val="ConsPlusNormal"/>
        <w:ind w:firstLine="540"/>
        <w:jc w:val="both"/>
      </w:pPr>
    </w:p>
    <w:p w:rsidR="00212513" w:rsidRDefault="00212513">
      <w:pPr>
        <w:pStyle w:val="ConsPlusTitle"/>
        <w:jc w:val="center"/>
      </w:pPr>
      <w:bookmarkStart w:id="502" w:name="P14261"/>
      <w:bookmarkEnd w:id="502"/>
      <w:r>
        <w:t>НОРМАТИВНАЯ ЛЕДОВАЯ НАГРУЗКА</w:t>
      </w:r>
    </w:p>
    <w:p w:rsidR="00212513" w:rsidRDefault="00212513">
      <w:pPr>
        <w:pStyle w:val="ConsPlusNormal"/>
        <w:ind w:firstLine="540"/>
        <w:jc w:val="both"/>
      </w:pPr>
    </w:p>
    <w:p w:rsidR="00212513" w:rsidRDefault="00212513">
      <w:pPr>
        <w:pStyle w:val="ConsPlusNormal"/>
        <w:ind w:firstLine="540"/>
        <w:jc w:val="both"/>
      </w:pPr>
      <w:bookmarkStart w:id="503" w:name="P14263"/>
      <w:bookmarkEnd w:id="503"/>
      <w:r>
        <w:t xml:space="preserve">П.1 Нагрузку от льда на опоры мостов следует определять на основе исходных данных по ледовой обстановке в районе расположения сооружения для периода с наибольшими ледовыми </w:t>
      </w:r>
      <w:r>
        <w:lastRenderedPageBreak/>
        <w:t>воздействиями, при этом период натурных наблюдений должен быть не менее пяти лет.</w:t>
      </w:r>
    </w:p>
    <w:p w:rsidR="00212513" w:rsidRDefault="00212513">
      <w:pPr>
        <w:pStyle w:val="ConsPlusNormal"/>
        <w:spacing w:before="220"/>
        <w:ind w:firstLine="540"/>
        <w:jc w:val="both"/>
      </w:pPr>
      <w:r>
        <w:t>Пределы прочности льда следует определять по опытным данным.</w:t>
      </w:r>
    </w:p>
    <w:p w:rsidR="00212513" w:rsidRDefault="00212513">
      <w:pPr>
        <w:pStyle w:val="ConsPlusNormal"/>
        <w:spacing w:before="220"/>
        <w:ind w:firstLine="540"/>
        <w:jc w:val="both"/>
      </w:pPr>
      <w:r>
        <w:t>При отсутствии опытных данных допускается принимать:</w:t>
      </w:r>
    </w:p>
    <w:p w:rsidR="00212513" w:rsidRDefault="00212513">
      <w:pPr>
        <w:pStyle w:val="ConsPlusNormal"/>
        <w:spacing w:before="220"/>
        <w:ind w:firstLine="540"/>
        <w:jc w:val="both"/>
      </w:pPr>
      <w:r>
        <w:t>для I района страны:</w:t>
      </w:r>
    </w:p>
    <w:p w:rsidR="00212513" w:rsidRDefault="00212513">
      <w:pPr>
        <w:pStyle w:val="ConsPlusNormal"/>
        <w:spacing w:before="220"/>
        <w:ind w:firstLine="540"/>
        <w:jc w:val="both"/>
      </w:pPr>
      <w:r>
        <w:t xml:space="preserve">а) предел прочности льда на раздробление (с учетом местного смятия) </w:t>
      </w:r>
      <w:r>
        <w:rPr>
          <w:noProof/>
          <w:position w:val="-8"/>
        </w:rPr>
        <w:drawing>
          <wp:inline distT="0" distB="0" distL="0" distR="0">
            <wp:extent cx="241935" cy="251460"/>
            <wp:effectExtent l="0" t="0" r="0" b="0"/>
            <wp:docPr id="2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2"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w:t>
      </w:r>
    </w:p>
    <w:p w:rsidR="00212513" w:rsidRDefault="00212513">
      <w:pPr>
        <w:pStyle w:val="ConsPlusNormal"/>
        <w:spacing w:before="220"/>
        <w:ind w:firstLine="540"/>
        <w:jc w:val="both"/>
      </w:pPr>
      <w:r>
        <w:t>в начальной стадии ледохода (при первой подвижке) - 735 кПа;</w:t>
      </w:r>
    </w:p>
    <w:p w:rsidR="00212513" w:rsidRDefault="00212513">
      <w:pPr>
        <w:pStyle w:val="ConsPlusNormal"/>
        <w:spacing w:before="220"/>
        <w:ind w:firstLine="540"/>
        <w:jc w:val="both"/>
      </w:pPr>
      <w:r>
        <w:t>при наивысшем уровне ледохода - 441 кПа;</w:t>
      </w:r>
    </w:p>
    <w:p w:rsidR="00212513" w:rsidRDefault="00212513">
      <w:pPr>
        <w:pStyle w:val="ConsPlusNormal"/>
        <w:spacing w:before="220"/>
        <w:ind w:firstLine="540"/>
        <w:jc w:val="both"/>
      </w:pPr>
      <w:r>
        <w:t xml:space="preserve">б) предел прочности льда на изгиб </w:t>
      </w:r>
      <w:r>
        <w:rPr>
          <w:noProof/>
          <w:position w:val="-8"/>
        </w:rPr>
        <w:drawing>
          <wp:inline distT="0" distB="0" distL="0" distR="0">
            <wp:extent cx="262890" cy="251460"/>
            <wp:effectExtent l="0" t="0" r="0" b="0"/>
            <wp:docPr id="2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3" cstate="print">
                      <a:extLst>
                        <a:ext uri="{28A0092B-C50C-407E-A947-70E740481C1C}">
                          <a14:useLocalDpi xmlns:a14="http://schemas.microsoft.com/office/drawing/2010/main" val="0"/>
                        </a:ext>
                      </a:extLst>
                    </a:blip>
                    <a:srcRect/>
                    <a:stretch>
                      <a:fillRect/>
                    </a:stretch>
                  </pic:blipFill>
                  <pic:spPr bwMode="auto">
                    <a:xfrm>
                      <a:off x="0" y="0"/>
                      <a:ext cx="262890" cy="251460"/>
                    </a:xfrm>
                    <a:prstGeom prst="rect">
                      <a:avLst/>
                    </a:prstGeom>
                    <a:noFill/>
                    <a:ln>
                      <a:noFill/>
                    </a:ln>
                  </pic:spPr>
                </pic:pic>
              </a:graphicData>
            </a:graphic>
          </wp:inline>
        </w:drawing>
      </w:r>
      <w:r>
        <w:t xml:space="preserve"> - 70% соответствующих значений прочности льда на раздробление (по "а");</w:t>
      </w:r>
    </w:p>
    <w:p w:rsidR="00212513" w:rsidRDefault="00212513">
      <w:pPr>
        <w:pStyle w:val="ConsPlusNormal"/>
        <w:spacing w:before="220"/>
        <w:ind w:firstLine="540"/>
        <w:jc w:val="both"/>
      </w:pPr>
      <w:r>
        <w:t>для остальных районов страны - по формулам:</w:t>
      </w:r>
    </w:p>
    <w:p w:rsidR="00212513" w:rsidRDefault="00212513">
      <w:pPr>
        <w:pStyle w:val="ConsPlusNormal"/>
        <w:ind w:firstLine="540"/>
        <w:jc w:val="both"/>
      </w:pPr>
    </w:p>
    <w:p w:rsidR="00212513" w:rsidRDefault="00212513">
      <w:pPr>
        <w:pStyle w:val="ConsPlusNormal"/>
        <w:jc w:val="center"/>
      </w:pPr>
      <w:r>
        <w:rPr>
          <w:noProof/>
          <w:position w:val="-8"/>
        </w:rPr>
        <w:drawing>
          <wp:inline distT="0" distB="0" distL="0" distR="0">
            <wp:extent cx="818515" cy="251460"/>
            <wp:effectExtent l="0" t="0" r="0" b="0"/>
            <wp:docPr id="2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4" cstate="print">
                      <a:extLst>
                        <a:ext uri="{28A0092B-C50C-407E-A947-70E740481C1C}">
                          <a14:useLocalDpi xmlns:a14="http://schemas.microsoft.com/office/drawing/2010/main" val="0"/>
                        </a:ext>
                      </a:extLst>
                    </a:blip>
                    <a:srcRect/>
                    <a:stretch>
                      <a:fillRect/>
                    </a:stretch>
                  </pic:blipFill>
                  <pic:spPr bwMode="auto">
                    <a:xfrm>
                      <a:off x="0" y="0"/>
                      <a:ext cx="818515" cy="251460"/>
                    </a:xfrm>
                    <a:prstGeom prst="rect">
                      <a:avLst/>
                    </a:prstGeom>
                    <a:noFill/>
                    <a:ln>
                      <a:noFill/>
                    </a:ln>
                  </pic:spPr>
                </pic:pic>
              </a:graphicData>
            </a:graphic>
          </wp:inline>
        </w:drawing>
      </w:r>
      <w:r>
        <w:t>; (П.1)</w:t>
      </w:r>
    </w:p>
    <w:p w:rsidR="00212513" w:rsidRDefault="00212513">
      <w:pPr>
        <w:pStyle w:val="ConsPlusNormal"/>
        <w:ind w:firstLine="540"/>
        <w:jc w:val="both"/>
      </w:pPr>
    </w:p>
    <w:p w:rsidR="00212513" w:rsidRDefault="00212513">
      <w:pPr>
        <w:pStyle w:val="ConsPlusNormal"/>
        <w:jc w:val="center"/>
      </w:pPr>
      <w:r>
        <w:rPr>
          <w:noProof/>
          <w:position w:val="-8"/>
        </w:rPr>
        <w:drawing>
          <wp:inline distT="0" distB="0" distL="0" distR="0">
            <wp:extent cx="880110" cy="251460"/>
            <wp:effectExtent l="0" t="0" r="0" b="0"/>
            <wp:docPr id="2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5" cstate="print">
                      <a:extLst>
                        <a:ext uri="{28A0092B-C50C-407E-A947-70E740481C1C}">
                          <a14:useLocalDpi xmlns:a14="http://schemas.microsoft.com/office/drawing/2010/main" val="0"/>
                        </a:ext>
                      </a:extLst>
                    </a:blip>
                    <a:srcRect/>
                    <a:stretch>
                      <a:fillRect/>
                    </a:stretch>
                  </pic:blipFill>
                  <pic:spPr bwMode="auto">
                    <a:xfrm>
                      <a:off x="0" y="0"/>
                      <a:ext cx="880110" cy="251460"/>
                    </a:xfrm>
                    <a:prstGeom prst="rect">
                      <a:avLst/>
                    </a:prstGeom>
                    <a:noFill/>
                    <a:ln>
                      <a:noFill/>
                    </a:ln>
                  </pic:spPr>
                </pic:pic>
              </a:graphicData>
            </a:graphic>
          </wp:inline>
        </w:drawing>
      </w:r>
      <w:r>
        <w:t>, (П.2)</w:t>
      </w:r>
    </w:p>
    <w:p w:rsidR="00212513" w:rsidRDefault="00212513">
      <w:pPr>
        <w:pStyle w:val="ConsPlusNormal"/>
        <w:ind w:firstLine="540"/>
        <w:jc w:val="both"/>
      </w:pPr>
    </w:p>
    <w:p w:rsidR="00212513" w:rsidRDefault="00212513">
      <w:pPr>
        <w:pStyle w:val="ConsPlusNormal"/>
        <w:ind w:firstLine="540"/>
        <w:jc w:val="both"/>
      </w:pPr>
      <w:r>
        <w:t xml:space="preserve">где </w:t>
      </w:r>
      <w:r>
        <w:rPr>
          <w:i/>
        </w:rPr>
        <w:t>n</w:t>
      </w:r>
      <w:r>
        <w:t xml:space="preserve"> - порядковый номер района страны;</w:t>
      </w:r>
    </w:p>
    <w:p w:rsidR="00212513" w:rsidRDefault="00212513">
      <w:pPr>
        <w:pStyle w:val="ConsPlusNormal"/>
        <w:spacing w:before="220"/>
        <w:ind w:firstLine="540"/>
        <w:jc w:val="both"/>
      </w:pPr>
      <w:r>
        <w:rPr>
          <w:noProof/>
          <w:position w:val="-8"/>
        </w:rPr>
        <w:drawing>
          <wp:inline distT="0" distB="0" distL="0" distR="0">
            <wp:extent cx="241935" cy="251460"/>
            <wp:effectExtent l="0" t="0" r="0" b="0"/>
            <wp:docPr id="2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климатический коэффициент для данного района страны.</w:t>
      </w:r>
    </w:p>
    <w:p w:rsidR="00212513" w:rsidRDefault="00212513">
      <w:pPr>
        <w:pStyle w:val="ConsPlusNormal"/>
        <w:spacing w:before="220"/>
        <w:ind w:firstLine="540"/>
        <w:jc w:val="both"/>
      </w:pPr>
      <w:r>
        <w:t>Границы районов и климатические коэффициенты, соответствующие районам, следует принимать по таблице П.1. При этом для рек, вскрывающихся при отрицательной температуре, климатический коэффициент следует принимать не менее 2.</w:t>
      </w:r>
    </w:p>
    <w:p w:rsidR="00212513" w:rsidRDefault="00212513">
      <w:pPr>
        <w:pStyle w:val="ConsPlusNormal"/>
        <w:ind w:firstLine="540"/>
        <w:jc w:val="both"/>
      </w:pPr>
    </w:p>
    <w:p w:rsidR="00212513" w:rsidRDefault="00212513">
      <w:pPr>
        <w:pStyle w:val="ConsPlusNormal"/>
        <w:jc w:val="right"/>
      </w:pPr>
      <w:r>
        <w:t>Таблица П.1</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20"/>
        <w:gridCol w:w="6180"/>
        <w:gridCol w:w="1871"/>
      </w:tblGrid>
      <w:tr w:rsidR="00212513">
        <w:tc>
          <w:tcPr>
            <w:tcW w:w="1020" w:type="dxa"/>
            <w:tcBorders>
              <w:top w:val="single" w:sz="4" w:space="0" w:color="auto"/>
              <w:bottom w:val="single" w:sz="4" w:space="0" w:color="auto"/>
            </w:tcBorders>
            <w:vAlign w:val="center"/>
          </w:tcPr>
          <w:p w:rsidR="00212513" w:rsidRDefault="00212513">
            <w:pPr>
              <w:pStyle w:val="ConsPlusNormal"/>
              <w:jc w:val="center"/>
            </w:pPr>
            <w:r>
              <w:t>Номер района</w:t>
            </w:r>
          </w:p>
        </w:tc>
        <w:tc>
          <w:tcPr>
            <w:tcW w:w="6180" w:type="dxa"/>
            <w:tcBorders>
              <w:top w:val="single" w:sz="4" w:space="0" w:color="auto"/>
              <w:bottom w:val="single" w:sz="4" w:space="0" w:color="auto"/>
            </w:tcBorders>
            <w:vAlign w:val="center"/>
          </w:tcPr>
          <w:p w:rsidR="00212513" w:rsidRDefault="00212513">
            <w:pPr>
              <w:pStyle w:val="ConsPlusNormal"/>
              <w:jc w:val="center"/>
            </w:pPr>
            <w:r>
              <w:t>Граница района</w:t>
            </w:r>
          </w:p>
        </w:tc>
        <w:tc>
          <w:tcPr>
            <w:tcW w:w="1871" w:type="dxa"/>
            <w:tcBorders>
              <w:top w:val="single" w:sz="4" w:space="0" w:color="auto"/>
              <w:bottom w:val="single" w:sz="4" w:space="0" w:color="auto"/>
            </w:tcBorders>
            <w:vAlign w:val="center"/>
          </w:tcPr>
          <w:p w:rsidR="00212513" w:rsidRDefault="00212513">
            <w:pPr>
              <w:pStyle w:val="ConsPlusNormal"/>
              <w:jc w:val="center"/>
            </w:pPr>
            <w:r>
              <w:t>Климатический коэффициент </w:t>
            </w:r>
            <w:r>
              <w:rPr>
                <w:noProof/>
                <w:position w:val="-8"/>
              </w:rPr>
              <w:drawing>
                <wp:inline distT="0" distB="0" distL="0" distR="0">
                  <wp:extent cx="241935" cy="251460"/>
                  <wp:effectExtent l="0" t="0" r="0" b="0"/>
                  <wp:docPr id="2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p>
        </w:tc>
      </w:tr>
      <w:tr w:rsidR="00212513">
        <w:tblPrEx>
          <w:tblBorders>
            <w:insideH w:val="none" w:sz="0" w:space="0" w:color="auto"/>
          </w:tblBorders>
        </w:tblPrEx>
        <w:tc>
          <w:tcPr>
            <w:tcW w:w="1020" w:type="dxa"/>
            <w:tcBorders>
              <w:top w:val="single" w:sz="4" w:space="0" w:color="auto"/>
              <w:bottom w:val="nil"/>
            </w:tcBorders>
          </w:tcPr>
          <w:p w:rsidR="00212513" w:rsidRDefault="00212513">
            <w:pPr>
              <w:pStyle w:val="ConsPlusNormal"/>
              <w:jc w:val="center"/>
            </w:pPr>
            <w:r>
              <w:t>I</w:t>
            </w:r>
          </w:p>
        </w:tc>
        <w:tc>
          <w:tcPr>
            <w:tcW w:w="6180" w:type="dxa"/>
            <w:tcBorders>
              <w:top w:val="single" w:sz="4" w:space="0" w:color="auto"/>
              <w:bottom w:val="nil"/>
            </w:tcBorders>
          </w:tcPr>
          <w:p w:rsidR="00212513" w:rsidRDefault="00212513">
            <w:pPr>
              <w:pStyle w:val="ConsPlusNormal"/>
            </w:pPr>
            <w:r>
              <w:t>Южнее линии Выборг - Смоленск - Камышин - Актюбинск - Балхаш</w:t>
            </w:r>
          </w:p>
        </w:tc>
        <w:tc>
          <w:tcPr>
            <w:tcW w:w="1871" w:type="dxa"/>
            <w:tcBorders>
              <w:top w:val="single" w:sz="4" w:space="0" w:color="auto"/>
              <w:bottom w:val="nil"/>
            </w:tcBorders>
          </w:tcPr>
          <w:p w:rsidR="00212513" w:rsidRDefault="00212513">
            <w:pPr>
              <w:pStyle w:val="ConsPlusNormal"/>
              <w:jc w:val="center"/>
            </w:pPr>
            <w:r>
              <w:t>1</w:t>
            </w:r>
          </w:p>
        </w:tc>
      </w:tr>
      <w:tr w:rsidR="00212513">
        <w:tblPrEx>
          <w:tblBorders>
            <w:insideH w:val="none" w:sz="0" w:space="0" w:color="auto"/>
          </w:tblBorders>
        </w:tblPrEx>
        <w:tc>
          <w:tcPr>
            <w:tcW w:w="1020" w:type="dxa"/>
            <w:tcBorders>
              <w:top w:val="nil"/>
              <w:bottom w:val="nil"/>
            </w:tcBorders>
          </w:tcPr>
          <w:p w:rsidR="00212513" w:rsidRDefault="00212513">
            <w:pPr>
              <w:pStyle w:val="ConsPlusNormal"/>
              <w:jc w:val="center"/>
            </w:pPr>
            <w:r>
              <w:t>II</w:t>
            </w:r>
          </w:p>
        </w:tc>
        <w:tc>
          <w:tcPr>
            <w:tcW w:w="6180" w:type="dxa"/>
            <w:tcBorders>
              <w:top w:val="nil"/>
              <w:bottom w:val="nil"/>
            </w:tcBorders>
          </w:tcPr>
          <w:p w:rsidR="00212513" w:rsidRDefault="00212513">
            <w:pPr>
              <w:pStyle w:val="ConsPlusNormal"/>
            </w:pPr>
            <w:r>
              <w:t>Южнее линии Архангельск - Киров - Уфа - Кустанай - Караганда - Усть-Каменогорск</w:t>
            </w:r>
          </w:p>
        </w:tc>
        <w:tc>
          <w:tcPr>
            <w:tcW w:w="1871" w:type="dxa"/>
            <w:tcBorders>
              <w:top w:val="nil"/>
              <w:bottom w:val="nil"/>
            </w:tcBorders>
          </w:tcPr>
          <w:p w:rsidR="00212513" w:rsidRDefault="00212513">
            <w:pPr>
              <w:pStyle w:val="ConsPlusNormal"/>
              <w:jc w:val="center"/>
            </w:pPr>
            <w:r>
              <w:t>1,25</w:t>
            </w:r>
          </w:p>
        </w:tc>
      </w:tr>
      <w:tr w:rsidR="00212513">
        <w:tblPrEx>
          <w:tblBorders>
            <w:insideH w:val="none" w:sz="0" w:space="0" w:color="auto"/>
          </w:tblBorders>
        </w:tblPrEx>
        <w:tc>
          <w:tcPr>
            <w:tcW w:w="1020" w:type="dxa"/>
            <w:tcBorders>
              <w:top w:val="nil"/>
              <w:bottom w:val="nil"/>
            </w:tcBorders>
          </w:tcPr>
          <w:p w:rsidR="00212513" w:rsidRDefault="00212513">
            <w:pPr>
              <w:pStyle w:val="ConsPlusNormal"/>
              <w:jc w:val="center"/>
            </w:pPr>
            <w:r>
              <w:t>III</w:t>
            </w:r>
          </w:p>
        </w:tc>
        <w:tc>
          <w:tcPr>
            <w:tcW w:w="6180" w:type="dxa"/>
            <w:tcBorders>
              <w:top w:val="nil"/>
              <w:bottom w:val="nil"/>
            </w:tcBorders>
          </w:tcPr>
          <w:p w:rsidR="00212513" w:rsidRDefault="00212513">
            <w:pPr>
              <w:pStyle w:val="ConsPlusNormal"/>
            </w:pPr>
            <w:r>
              <w:t>Южнее линии Воркута - Ханты-Мансийск - Красноярск - Улан-Удэ - Николаевск-на-Амуре</w:t>
            </w:r>
          </w:p>
        </w:tc>
        <w:tc>
          <w:tcPr>
            <w:tcW w:w="1871" w:type="dxa"/>
            <w:tcBorders>
              <w:top w:val="nil"/>
              <w:bottom w:val="nil"/>
            </w:tcBorders>
          </w:tcPr>
          <w:p w:rsidR="00212513" w:rsidRDefault="00212513">
            <w:pPr>
              <w:pStyle w:val="ConsPlusNormal"/>
              <w:jc w:val="center"/>
            </w:pPr>
            <w:r>
              <w:t>1,75</w:t>
            </w:r>
          </w:p>
        </w:tc>
      </w:tr>
      <w:tr w:rsidR="00212513">
        <w:tblPrEx>
          <w:tblBorders>
            <w:insideH w:val="none" w:sz="0" w:space="0" w:color="auto"/>
          </w:tblBorders>
        </w:tblPrEx>
        <w:tc>
          <w:tcPr>
            <w:tcW w:w="1020" w:type="dxa"/>
            <w:tcBorders>
              <w:top w:val="nil"/>
              <w:bottom w:val="single" w:sz="4" w:space="0" w:color="auto"/>
            </w:tcBorders>
          </w:tcPr>
          <w:p w:rsidR="00212513" w:rsidRDefault="00212513">
            <w:pPr>
              <w:pStyle w:val="ConsPlusNormal"/>
              <w:jc w:val="center"/>
            </w:pPr>
            <w:r>
              <w:t>IV</w:t>
            </w:r>
          </w:p>
        </w:tc>
        <w:tc>
          <w:tcPr>
            <w:tcW w:w="6180" w:type="dxa"/>
            <w:tcBorders>
              <w:top w:val="nil"/>
              <w:bottom w:val="single" w:sz="4" w:space="0" w:color="auto"/>
            </w:tcBorders>
          </w:tcPr>
          <w:p w:rsidR="00212513" w:rsidRDefault="00212513">
            <w:pPr>
              <w:pStyle w:val="ConsPlusNormal"/>
            </w:pPr>
            <w:r>
              <w:t>Севернее линии Воркута - Ханты-Мансийск - Красноярск - Улан-Удэ - Николаевск-на-Амуре</w:t>
            </w:r>
          </w:p>
        </w:tc>
        <w:tc>
          <w:tcPr>
            <w:tcW w:w="1871" w:type="dxa"/>
            <w:tcBorders>
              <w:top w:val="nil"/>
              <w:bottom w:val="single" w:sz="4" w:space="0" w:color="auto"/>
            </w:tcBorders>
          </w:tcPr>
          <w:p w:rsidR="00212513" w:rsidRDefault="00212513">
            <w:pPr>
              <w:pStyle w:val="ConsPlusNormal"/>
              <w:jc w:val="center"/>
            </w:pPr>
            <w:r>
              <w:t>2</w:t>
            </w:r>
          </w:p>
        </w:tc>
      </w:tr>
      <w:tr w:rsidR="00212513">
        <w:tc>
          <w:tcPr>
            <w:tcW w:w="9071" w:type="dxa"/>
            <w:gridSpan w:val="3"/>
            <w:tcBorders>
              <w:top w:val="single" w:sz="4" w:space="0" w:color="auto"/>
              <w:bottom w:val="single" w:sz="4" w:space="0" w:color="auto"/>
            </w:tcBorders>
          </w:tcPr>
          <w:p w:rsidR="00212513" w:rsidRDefault="00212513">
            <w:pPr>
              <w:pStyle w:val="ConsPlusNormal"/>
              <w:ind w:firstLine="283"/>
              <w:jc w:val="both"/>
            </w:pPr>
            <w:r>
              <w:t>Примечание - Для II и III районов южной границей является северная граница предыдущего района.</w:t>
            </w:r>
          </w:p>
        </w:tc>
      </w:tr>
    </w:tbl>
    <w:p w:rsidR="00212513" w:rsidRDefault="00212513">
      <w:pPr>
        <w:pStyle w:val="ConsPlusNormal"/>
        <w:ind w:firstLine="540"/>
        <w:jc w:val="both"/>
      </w:pPr>
    </w:p>
    <w:p w:rsidR="00212513" w:rsidRDefault="00212513">
      <w:pPr>
        <w:pStyle w:val="ConsPlusNormal"/>
        <w:ind w:firstLine="540"/>
        <w:jc w:val="both"/>
      </w:pPr>
      <w:r>
        <w:t xml:space="preserve">На промерзающих до дна реках, если ледоход начинается после прохода по льду весенних вод, предел прочности льда на раздробление следует принимать по фактическим данным (с </w:t>
      </w:r>
      <w:r>
        <w:lastRenderedPageBreak/>
        <w:t>учетом ослабления льда вследствие его протаивания), но не менее величин, установленных для ледохода при наивысшем уровне.</w:t>
      </w:r>
    </w:p>
    <w:p w:rsidR="00212513" w:rsidRDefault="00212513">
      <w:pPr>
        <w:pStyle w:val="ConsPlusNormal"/>
        <w:spacing w:before="220"/>
        <w:ind w:firstLine="540"/>
        <w:jc w:val="both"/>
      </w:pPr>
      <w:r>
        <w:t>П.2 Равнодействующую ледовой нагрузки необходимо прикладывать в точке, расположенной ниже расчетного уровня воды на 0,3</w:t>
      </w:r>
      <w:r>
        <w:rPr>
          <w:i/>
        </w:rPr>
        <w:t>t</w:t>
      </w:r>
      <w:r>
        <w:t xml:space="preserve">, где </w:t>
      </w:r>
      <w:r>
        <w:rPr>
          <w:i/>
        </w:rPr>
        <w:t>t</w:t>
      </w:r>
      <w:r>
        <w:t xml:space="preserve"> - расчетная толщина льда, м, принимаемая равной 0,8 максимальной за зимний период толщины льда обеспеченностью 1%.</w:t>
      </w:r>
    </w:p>
    <w:p w:rsidR="00212513" w:rsidRDefault="00212513">
      <w:pPr>
        <w:pStyle w:val="ConsPlusNormal"/>
        <w:spacing w:before="220"/>
        <w:ind w:firstLine="540"/>
        <w:jc w:val="both"/>
      </w:pPr>
      <w:bookmarkStart w:id="504" w:name="P14302"/>
      <w:bookmarkEnd w:id="504"/>
      <w:r>
        <w:t>П.3 Нагрузку от движущихся ледяных полей на опоры мостов с вертикальной передней гранью необходимо принимать по наименьшему значению из определяемых по формулам:</w:t>
      </w:r>
    </w:p>
    <w:p w:rsidR="00212513" w:rsidRDefault="00212513">
      <w:pPr>
        <w:pStyle w:val="ConsPlusNormal"/>
        <w:spacing w:before="220"/>
        <w:ind w:firstLine="540"/>
        <w:jc w:val="both"/>
      </w:pPr>
      <w:r>
        <w:t>при прорезании опорой льда</w:t>
      </w:r>
    </w:p>
    <w:p w:rsidR="00212513" w:rsidRDefault="00212513">
      <w:pPr>
        <w:pStyle w:val="ConsPlusNormal"/>
        <w:ind w:firstLine="540"/>
        <w:jc w:val="both"/>
      </w:pPr>
    </w:p>
    <w:p w:rsidR="00212513" w:rsidRDefault="00212513">
      <w:pPr>
        <w:pStyle w:val="ConsPlusNormal"/>
        <w:jc w:val="center"/>
      </w:pPr>
      <w:bookmarkStart w:id="505" w:name="P14305"/>
      <w:bookmarkEnd w:id="505"/>
      <w:r>
        <w:rPr>
          <w:noProof/>
          <w:position w:val="-8"/>
        </w:rPr>
        <w:drawing>
          <wp:inline distT="0" distB="0" distL="0" distR="0">
            <wp:extent cx="859790" cy="251460"/>
            <wp:effectExtent l="0" t="0" r="0" b="0"/>
            <wp:docPr id="2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7" cstate="print">
                      <a:extLst>
                        <a:ext uri="{28A0092B-C50C-407E-A947-70E740481C1C}">
                          <a14:useLocalDpi xmlns:a14="http://schemas.microsoft.com/office/drawing/2010/main" val="0"/>
                        </a:ext>
                      </a:extLst>
                    </a:blip>
                    <a:srcRect/>
                    <a:stretch>
                      <a:fillRect/>
                    </a:stretch>
                  </pic:blipFill>
                  <pic:spPr bwMode="auto">
                    <a:xfrm>
                      <a:off x="0" y="0"/>
                      <a:ext cx="859790" cy="251460"/>
                    </a:xfrm>
                    <a:prstGeom prst="rect">
                      <a:avLst/>
                    </a:prstGeom>
                    <a:noFill/>
                    <a:ln>
                      <a:noFill/>
                    </a:ln>
                  </pic:spPr>
                </pic:pic>
              </a:graphicData>
            </a:graphic>
          </wp:inline>
        </w:drawing>
      </w:r>
      <w:r>
        <w:t>, кН; (П.3)</w:t>
      </w:r>
    </w:p>
    <w:p w:rsidR="00212513" w:rsidRDefault="00212513">
      <w:pPr>
        <w:pStyle w:val="ConsPlusNormal"/>
        <w:ind w:firstLine="540"/>
        <w:jc w:val="both"/>
      </w:pPr>
    </w:p>
    <w:p w:rsidR="00212513" w:rsidRDefault="00212513">
      <w:pPr>
        <w:pStyle w:val="ConsPlusNormal"/>
        <w:ind w:firstLine="540"/>
        <w:jc w:val="both"/>
      </w:pPr>
      <w:r>
        <w:t>при остановке ледяного поля опорой</w:t>
      </w:r>
    </w:p>
    <w:p w:rsidR="00212513" w:rsidRDefault="00212513">
      <w:pPr>
        <w:pStyle w:val="ConsPlusNormal"/>
        <w:ind w:firstLine="540"/>
        <w:jc w:val="both"/>
      </w:pPr>
    </w:p>
    <w:p w:rsidR="00212513" w:rsidRDefault="00212513">
      <w:pPr>
        <w:pStyle w:val="ConsPlusNormal"/>
        <w:jc w:val="center"/>
      </w:pPr>
      <w:r>
        <w:rPr>
          <w:noProof/>
          <w:position w:val="-12"/>
        </w:rPr>
        <w:drawing>
          <wp:inline distT="0" distB="0" distL="0" distR="0">
            <wp:extent cx="1494155" cy="293370"/>
            <wp:effectExtent l="0" t="0" r="0" b="0"/>
            <wp:docPr id="2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8" cstate="print">
                      <a:extLst>
                        <a:ext uri="{28A0092B-C50C-407E-A947-70E740481C1C}">
                          <a14:useLocalDpi xmlns:a14="http://schemas.microsoft.com/office/drawing/2010/main" val="0"/>
                        </a:ext>
                      </a:extLst>
                    </a:blip>
                    <a:srcRect/>
                    <a:stretch>
                      <a:fillRect/>
                    </a:stretch>
                  </pic:blipFill>
                  <pic:spPr bwMode="auto">
                    <a:xfrm>
                      <a:off x="0" y="0"/>
                      <a:ext cx="1494155" cy="293370"/>
                    </a:xfrm>
                    <a:prstGeom prst="rect">
                      <a:avLst/>
                    </a:prstGeom>
                    <a:noFill/>
                    <a:ln>
                      <a:noFill/>
                    </a:ln>
                  </pic:spPr>
                </pic:pic>
              </a:graphicData>
            </a:graphic>
          </wp:inline>
        </w:drawing>
      </w:r>
      <w:r>
        <w:t>, кН, (П.4)</w:t>
      </w:r>
    </w:p>
    <w:p w:rsidR="00212513" w:rsidRDefault="00212513">
      <w:pPr>
        <w:pStyle w:val="ConsPlusNormal"/>
        <w:jc w:val="both"/>
      </w:pPr>
    </w:p>
    <w:p w:rsidR="00212513" w:rsidRDefault="00212513">
      <w:pPr>
        <w:pStyle w:val="ConsPlusNormal"/>
        <w:ind w:firstLine="540"/>
        <w:jc w:val="both"/>
      </w:pPr>
      <w:r>
        <w:t xml:space="preserve">где </w:t>
      </w:r>
      <w:r>
        <w:rPr>
          <w:noProof/>
          <w:position w:val="-8"/>
        </w:rPr>
        <w:drawing>
          <wp:inline distT="0" distB="0" distL="0" distR="0">
            <wp:extent cx="198755" cy="250825"/>
            <wp:effectExtent l="0" t="0" r="0" b="0"/>
            <wp:docPr id="2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9"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2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коэффициенты формы, определяемые по </w:t>
      </w:r>
      <w:hyperlink w:anchor="P14318">
        <w:r>
          <w:rPr>
            <w:color w:val="0000FF"/>
          </w:rPr>
          <w:t>таблице П.2</w:t>
        </w:r>
      </w:hyperlink>
      <w:r>
        <w:t>;</w:t>
      </w:r>
    </w:p>
    <w:p w:rsidR="00212513" w:rsidRDefault="00212513">
      <w:pPr>
        <w:pStyle w:val="ConsPlusNormal"/>
        <w:spacing w:before="220"/>
        <w:ind w:firstLine="540"/>
        <w:jc w:val="both"/>
      </w:pPr>
      <w:r>
        <w:rPr>
          <w:noProof/>
          <w:position w:val="-8"/>
        </w:rPr>
        <w:drawing>
          <wp:inline distT="0" distB="0" distL="0" distR="0">
            <wp:extent cx="220980" cy="251460"/>
            <wp:effectExtent l="0" t="0" r="0" b="0"/>
            <wp:docPr id="2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1"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t xml:space="preserve"> - сопротивление льда раздроблению для районов строительства, кПа;</w:t>
      </w:r>
    </w:p>
    <w:p w:rsidR="00212513" w:rsidRDefault="00212513">
      <w:pPr>
        <w:pStyle w:val="ConsPlusNormal"/>
        <w:spacing w:before="220"/>
        <w:ind w:firstLine="540"/>
        <w:jc w:val="both"/>
      </w:pPr>
      <w:r>
        <w:rPr>
          <w:i/>
        </w:rPr>
        <w:t>b</w:t>
      </w:r>
      <w:r>
        <w:t xml:space="preserve"> - ширина опоры на уровне действия льда, м;</w:t>
      </w:r>
    </w:p>
    <w:p w:rsidR="00212513" w:rsidRDefault="00212513">
      <w:pPr>
        <w:pStyle w:val="ConsPlusNormal"/>
        <w:spacing w:before="220"/>
        <w:ind w:firstLine="540"/>
        <w:jc w:val="both"/>
      </w:pPr>
      <w:r>
        <w:rPr>
          <w:i/>
        </w:rPr>
        <w:t>t</w:t>
      </w:r>
      <w:r>
        <w:t xml:space="preserve"> - толщина льда, м;</w:t>
      </w:r>
    </w:p>
    <w:p w:rsidR="00212513" w:rsidRDefault="00212513">
      <w:pPr>
        <w:pStyle w:val="ConsPlusNormal"/>
        <w:spacing w:before="220"/>
        <w:ind w:firstLine="540"/>
        <w:jc w:val="both"/>
      </w:pPr>
      <w:r>
        <w:rPr>
          <w:i/>
        </w:rPr>
        <w:t>v</w:t>
      </w:r>
      <w:r>
        <w:t xml:space="preserve"> - скорость движения ледяного поля, м/с, определяемая по данным натурных наблюдений, а при их отсутствии принимаемая равной скорости течения воды;</w:t>
      </w:r>
    </w:p>
    <w:p w:rsidR="00212513" w:rsidRDefault="00212513">
      <w:pPr>
        <w:pStyle w:val="ConsPlusNormal"/>
        <w:spacing w:before="220"/>
        <w:ind w:firstLine="540"/>
        <w:jc w:val="both"/>
      </w:pPr>
      <w:r>
        <w:rPr>
          <w:i/>
        </w:rPr>
        <w:t>A</w:t>
      </w:r>
      <w:r>
        <w:t xml:space="preserve"> - площадь ледяного поля, м</w:t>
      </w:r>
      <w:r>
        <w:rPr>
          <w:vertAlign w:val="superscript"/>
        </w:rPr>
        <w:t>2</w:t>
      </w:r>
      <w:r>
        <w:t>, устанавливаемая по натурным наблюдениям в месте перехода или вблизи от него.</w:t>
      </w:r>
    </w:p>
    <w:p w:rsidR="00212513" w:rsidRDefault="00212513">
      <w:pPr>
        <w:pStyle w:val="ConsPlusNormal"/>
        <w:ind w:firstLine="540"/>
        <w:jc w:val="both"/>
      </w:pPr>
    </w:p>
    <w:p w:rsidR="00212513" w:rsidRDefault="00212513">
      <w:pPr>
        <w:pStyle w:val="ConsPlusNormal"/>
        <w:jc w:val="right"/>
      </w:pPr>
      <w:bookmarkStart w:id="506" w:name="P14318"/>
      <w:bookmarkEnd w:id="506"/>
      <w:r>
        <w:t>Таблица П.2</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1928"/>
        <w:gridCol w:w="1928"/>
        <w:gridCol w:w="689"/>
        <w:gridCol w:w="689"/>
        <w:gridCol w:w="689"/>
        <w:gridCol w:w="689"/>
        <w:gridCol w:w="689"/>
        <w:gridCol w:w="692"/>
      </w:tblGrid>
      <w:tr w:rsidR="00212513">
        <w:tc>
          <w:tcPr>
            <w:tcW w:w="1077" w:type="dxa"/>
            <w:vMerge w:val="restart"/>
            <w:vAlign w:val="center"/>
          </w:tcPr>
          <w:p w:rsidR="00212513" w:rsidRDefault="00212513">
            <w:pPr>
              <w:pStyle w:val="ConsPlusNormal"/>
              <w:jc w:val="center"/>
            </w:pPr>
            <w:r>
              <w:t>Коэффициент</w:t>
            </w:r>
          </w:p>
        </w:tc>
        <w:tc>
          <w:tcPr>
            <w:tcW w:w="7993" w:type="dxa"/>
            <w:gridSpan w:val="8"/>
            <w:vAlign w:val="center"/>
          </w:tcPr>
          <w:p w:rsidR="00212513" w:rsidRDefault="00212513">
            <w:pPr>
              <w:pStyle w:val="ConsPlusNormal"/>
              <w:jc w:val="center"/>
            </w:pPr>
            <w:r>
              <w:t>Коэффициент формы для опор с носовой частью, имеющей в плане форму</w:t>
            </w:r>
          </w:p>
        </w:tc>
      </w:tr>
      <w:tr w:rsidR="00212513">
        <w:tc>
          <w:tcPr>
            <w:tcW w:w="1077" w:type="dxa"/>
            <w:vMerge/>
          </w:tcPr>
          <w:p w:rsidR="00212513" w:rsidRDefault="00212513">
            <w:pPr>
              <w:pStyle w:val="ConsPlusNormal"/>
            </w:pPr>
          </w:p>
        </w:tc>
        <w:tc>
          <w:tcPr>
            <w:tcW w:w="1928" w:type="dxa"/>
            <w:vMerge w:val="restart"/>
            <w:vAlign w:val="center"/>
          </w:tcPr>
          <w:p w:rsidR="00212513" w:rsidRDefault="00212513">
            <w:pPr>
              <w:pStyle w:val="ConsPlusNormal"/>
              <w:jc w:val="center"/>
            </w:pPr>
            <w:r>
              <w:t>многоугольника</w:t>
            </w:r>
          </w:p>
        </w:tc>
        <w:tc>
          <w:tcPr>
            <w:tcW w:w="1928" w:type="dxa"/>
            <w:vMerge w:val="restart"/>
            <w:vAlign w:val="center"/>
          </w:tcPr>
          <w:p w:rsidR="00212513" w:rsidRDefault="00212513">
            <w:pPr>
              <w:pStyle w:val="ConsPlusNormal"/>
              <w:jc w:val="center"/>
            </w:pPr>
            <w:r>
              <w:t>прямоугольника</w:t>
            </w:r>
          </w:p>
        </w:tc>
        <w:tc>
          <w:tcPr>
            <w:tcW w:w="4137" w:type="dxa"/>
            <w:gridSpan w:val="6"/>
            <w:vAlign w:val="center"/>
          </w:tcPr>
          <w:p w:rsidR="00212513" w:rsidRDefault="00212513">
            <w:pPr>
              <w:pStyle w:val="ConsPlusNormal"/>
              <w:jc w:val="center"/>
            </w:pPr>
            <w:r>
              <w:t>треугольника с углом заострения в плане, град</w:t>
            </w:r>
          </w:p>
        </w:tc>
      </w:tr>
      <w:tr w:rsidR="00212513">
        <w:tc>
          <w:tcPr>
            <w:tcW w:w="1077" w:type="dxa"/>
            <w:vMerge/>
          </w:tcPr>
          <w:p w:rsidR="00212513" w:rsidRDefault="00212513">
            <w:pPr>
              <w:pStyle w:val="ConsPlusNormal"/>
            </w:pPr>
          </w:p>
        </w:tc>
        <w:tc>
          <w:tcPr>
            <w:tcW w:w="1928" w:type="dxa"/>
            <w:vMerge/>
          </w:tcPr>
          <w:p w:rsidR="00212513" w:rsidRDefault="00212513">
            <w:pPr>
              <w:pStyle w:val="ConsPlusNormal"/>
            </w:pPr>
          </w:p>
        </w:tc>
        <w:tc>
          <w:tcPr>
            <w:tcW w:w="1928" w:type="dxa"/>
            <w:vMerge/>
          </w:tcPr>
          <w:p w:rsidR="00212513" w:rsidRDefault="00212513">
            <w:pPr>
              <w:pStyle w:val="ConsPlusNormal"/>
            </w:pPr>
          </w:p>
        </w:tc>
        <w:tc>
          <w:tcPr>
            <w:tcW w:w="689" w:type="dxa"/>
            <w:vAlign w:val="center"/>
          </w:tcPr>
          <w:p w:rsidR="00212513" w:rsidRDefault="00212513">
            <w:pPr>
              <w:pStyle w:val="ConsPlusNormal"/>
              <w:jc w:val="center"/>
            </w:pPr>
            <w:r>
              <w:t>45</w:t>
            </w:r>
          </w:p>
        </w:tc>
        <w:tc>
          <w:tcPr>
            <w:tcW w:w="689" w:type="dxa"/>
            <w:vAlign w:val="center"/>
          </w:tcPr>
          <w:p w:rsidR="00212513" w:rsidRDefault="00212513">
            <w:pPr>
              <w:pStyle w:val="ConsPlusNormal"/>
              <w:jc w:val="center"/>
            </w:pPr>
            <w:r>
              <w:t>60</w:t>
            </w:r>
          </w:p>
        </w:tc>
        <w:tc>
          <w:tcPr>
            <w:tcW w:w="689" w:type="dxa"/>
            <w:vAlign w:val="center"/>
          </w:tcPr>
          <w:p w:rsidR="00212513" w:rsidRDefault="00212513">
            <w:pPr>
              <w:pStyle w:val="ConsPlusNormal"/>
              <w:jc w:val="center"/>
            </w:pPr>
            <w:r>
              <w:t>75</w:t>
            </w:r>
          </w:p>
        </w:tc>
        <w:tc>
          <w:tcPr>
            <w:tcW w:w="689" w:type="dxa"/>
            <w:vAlign w:val="center"/>
          </w:tcPr>
          <w:p w:rsidR="00212513" w:rsidRDefault="00212513">
            <w:pPr>
              <w:pStyle w:val="ConsPlusNormal"/>
              <w:jc w:val="center"/>
            </w:pPr>
            <w:r>
              <w:t>90</w:t>
            </w:r>
          </w:p>
        </w:tc>
        <w:tc>
          <w:tcPr>
            <w:tcW w:w="689" w:type="dxa"/>
            <w:vAlign w:val="center"/>
          </w:tcPr>
          <w:p w:rsidR="00212513" w:rsidRDefault="00212513">
            <w:pPr>
              <w:pStyle w:val="ConsPlusNormal"/>
              <w:jc w:val="center"/>
            </w:pPr>
            <w:r>
              <w:t>120</w:t>
            </w:r>
          </w:p>
        </w:tc>
        <w:tc>
          <w:tcPr>
            <w:tcW w:w="692" w:type="dxa"/>
            <w:vAlign w:val="center"/>
          </w:tcPr>
          <w:p w:rsidR="00212513" w:rsidRDefault="00212513">
            <w:pPr>
              <w:pStyle w:val="ConsPlusNormal"/>
              <w:jc w:val="center"/>
            </w:pPr>
            <w:r>
              <w:t>150</w:t>
            </w:r>
          </w:p>
        </w:tc>
      </w:tr>
      <w:tr w:rsidR="00212513">
        <w:tblPrEx>
          <w:tblBorders>
            <w:insideH w:val="nil"/>
          </w:tblBorders>
        </w:tblPrEx>
        <w:tc>
          <w:tcPr>
            <w:tcW w:w="1077" w:type="dxa"/>
            <w:tcBorders>
              <w:bottom w:val="nil"/>
            </w:tcBorders>
          </w:tcPr>
          <w:p w:rsidR="00212513" w:rsidRDefault="00212513">
            <w:pPr>
              <w:pStyle w:val="ConsPlusNormal"/>
              <w:jc w:val="center"/>
            </w:pPr>
            <w:r>
              <w:rPr>
                <w:noProof/>
                <w:position w:val="-8"/>
              </w:rPr>
              <w:drawing>
                <wp:inline distT="0" distB="0" distL="0" distR="0">
                  <wp:extent cx="199390" cy="251460"/>
                  <wp:effectExtent l="0" t="0" r="0" b="0"/>
                  <wp:docPr id="2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2"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p>
        </w:tc>
        <w:tc>
          <w:tcPr>
            <w:tcW w:w="1928" w:type="dxa"/>
            <w:tcBorders>
              <w:bottom w:val="nil"/>
            </w:tcBorders>
            <w:vAlign w:val="center"/>
          </w:tcPr>
          <w:p w:rsidR="00212513" w:rsidRDefault="00212513">
            <w:pPr>
              <w:pStyle w:val="ConsPlusNormal"/>
              <w:jc w:val="center"/>
            </w:pPr>
            <w:r>
              <w:t>0,90</w:t>
            </w:r>
          </w:p>
        </w:tc>
        <w:tc>
          <w:tcPr>
            <w:tcW w:w="1928" w:type="dxa"/>
            <w:tcBorders>
              <w:bottom w:val="nil"/>
            </w:tcBorders>
            <w:vAlign w:val="center"/>
          </w:tcPr>
          <w:p w:rsidR="00212513" w:rsidRDefault="00212513">
            <w:pPr>
              <w:pStyle w:val="ConsPlusNormal"/>
              <w:jc w:val="center"/>
            </w:pPr>
            <w:r>
              <w:t>1,00</w:t>
            </w:r>
          </w:p>
        </w:tc>
        <w:tc>
          <w:tcPr>
            <w:tcW w:w="689" w:type="dxa"/>
            <w:tcBorders>
              <w:bottom w:val="nil"/>
            </w:tcBorders>
            <w:vAlign w:val="center"/>
          </w:tcPr>
          <w:p w:rsidR="00212513" w:rsidRDefault="00212513">
            <w:pPr>
              <w:pStyle w:val="ConsPlusNormal"/>
              <w:jc w:val="center"/>
            </w:pPr>
            <w:r>
              <w:t>0,54</w:t>
            </w:r>
          </w:p>
        </w:tc>
        <w:tc>
          <w:tcPr>
            <w:tcW w:w="689" w:type="dxa"/>
            <w:tcBorders>
              <w:bottom w:val="nil"/>
            </w:tcBorders>
            <w:vAlign w:val="center"/>
          </w:tcPr>
          <w:p w:rsidR="00212513" w:rsidRDefault="00212513">
            <w:pPr>
              <w:pStyle w:val="ConsPlusNormal"/>
              <w:jc w:val="center"/>
            </w:pPr>
            <w:r>
              <w:t>0,59</w:t>
            </w:r>
          </w:p>
        </w:tc>
        <w:tc>
          <w:tcPr>
            <w:tcW w:w="689" w:type="dxa"/>
            <w:tcBorders>
              <w:bottom w:val="nil"/>
            </w:tcBorders>
            <w:vAlign w:val="center"/>
          </w:tcPr>
          <w:p w:rsidR="00212513" w:rsidRDefault="00212513">
            <w:pPr>
              <w:pStyle w:val="ConsPlusNormal"/>
              <w:jc w:val="center"/>
            </w:pPr>
            <w:r>
              <w:t>0,64</w:t>
            </w:r>
          </w:p>
        </w:tc>
        <w:tc>
          <w:tcPr>
            <w:tcW w:w="689" w:type="dxa"/>
            <w:tcBorders>
              <w:bottom w:val="nil"/>
            </w:tcBorders>
            <w:vAlign w:val="center"/>
          </w:tcPr>
          <w:p w:rsidR="00212513" w:rsidRDefault="00212513">
            <w:pPr>
              <w:pStyle w:val="ConsPlusNormal"/>
              <w:jc w:val="center"/>
            </w:pPr>
            <w:r>
              <w:t>0,69</w:t>
            </w:r>
          </w:p>
        </w:tc>
        <w:tc>
          <w:tcPr>
            <w:tcW w:w="689" w:type="dxa"/>
            <w:tcBorders>
              <w:bottom w:val="nil"/>
            </w:tcBorders>
            <w:vAlign w:val="center"/>
          </w:tcPr>
          <w:p w:rsidR="00212513" w:rsidRDefault="00212513">
            <w:pPr>
              <w:pStyle w:val="ConsPlusNormal"/>
              <w:jc w:val="center"/>
            </w:pPr>
            <w:r>
              <w:t>0,77</w:t>
            </w:r>
          </w:p>
        </w:tc>
        <w:tc>
          <w:tcPr>
            <w:tcW w:w="692" w:type="dxa"/>
            <w:tcBorders>
              <w:bottom w:val="nil"/>
            </w:tcBorders>
            <w:vAlign w:val="center"/>
          </w:tcPr>
          <w:p w:rsidR="00212513" w:rsidRDefault="00212513">
            <w:pPr>
              <w:pStyle w:val="ConsPlusNormal"/>
              <w:jc w:val="center"/>
            </w:pPr>
            <w:r>
              <w:t>1,00</w:t>
            </w:r>
          </w:p>
        </w:tc>
      </w:tr>
      <w:tr w:rsidR="00212513">
        <w:tblPrEx>
          <w:tblBorders>
            <w:insideH w:val="nil"/>
          </w:tblBorders>
        </w:tblPrEx>
        <w:tc>
          <w:tcPr>
            <w:tcW w:w="1077" w:type="dxa"/>
            <w:tcBorders>
              <w:top w:val="nil"/>
            </w:tcBorders>
          </w:tcPr>
          <w:p w:rsidR="00212513" w:rsidRDefault="00212513">
            <w:pPr>
              <w:pStyle w:val="ConsPlusNormal"/>
              <w:jc w:val="center"/>
            </w:pPr>
            <w:r>
              <w:rPr>
                <w:noProof/>
                <w:position w:val="-8"/>
              </w:rPr>
              <w:drawing>
                <wp:inline distT="0" distB="0" distL="0" distR="0">
                  <wp:extent cx="209550" cy="251460"/>
                  <wp:effectExtent l="0" t="0" r="0" b="0"/>
                  <wp:docPr id="2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1928" w:type="dxa"/>
            <w:tcBorders>
              <w:top w:val="nil"/>
            </w:tcBorders>
            <w:vAlign w:val="center"/>
          </w:tcPr>
          <w:p w:rsidR="00212513" w:rsidRDefault="00212513">
            <w:pPr>
              <w:pStyle w:val="ConsPlusNormal"/>
              <w:jc w:val="center"/>
            </w:pPr>
            <w:r>
              <w:t>2,4</w:t>
            </w:r>
          </w:p>
        </w:tc>
        <w:tc>
          <w:tcPr>
            <w:tcW w:w="1928" w:type="dxa"/>
            <w:tcBorders>
              <w:top w:val="nil"/>
            </w:tcBorders>
            <w:vAlign w:val="center"/>
          </w:tcPr>
          <w:p w:rsidR="00212513" w:rsidRDefault="00212513">
            <w:pPr>
              <w:pStyle w:val="ConsPlusNormal"/>
              <w:jc w:val="center"/>
            </w:pPr>
            <w:r>
              <w:t>2,7</w:t>
            </w:r>
          </w:p>
        </w:tc>
        <w:tc>
          <w:tcPr>
            <w:tcW w:w="689" w:type="dxa"/>
            <w:tcBorders>
              <w:top w:val="nil"/>
            </w:tcBorders>
            <w:vAlign w:val="center"/>
          </w:tcPr>
          <w:p w:rsidR="00212513" w:rsidRDefault="00212513">
            <w:pPr>
              <w:pStyle w:val="ConsPlusNormal"/>
              <w:jc w:val="center"/>
            </w:pPr>
            <w:r>
              <w:t>0,2</w:t>
            </w:r>
          </w:p>
        </w:tc>
        <w:tc>
          <w:tcPr>
            <w:tcW w:w="689" w:type="dxa"/>
            <w:tcBorders>
              <w:top w:val="nil"/>
            </w:tcBorders>
            <w:vAlign w:val="center"/>
          </w:tcPr>
          <w:p w:rsidR="00212513" w:rsidRDefault="00212513">
            <w:pPr>
              <w:pStyle w:val="ConsPlusNormal"/>
              <w:jc w:val="center"/>
            </w:pPr>
            <w:r>
              <w:t>0,5</w:t>
            </w:r>
          </w:p>
        </w:tc>
        <w:tc>
          <w:tcPr>
            <w:tcW w:w="689" w:type="dxa"/>
            <w:tcBorders>
              <w:top w:val="nil"/>
            </w:tcBorders>
            <w:vAlign w:val="center"/>
          </w:tcPr>
          <w:p w:rsidR="00212513" w:rsidRDefault="00212513">
            <w:pPr>
              <w:pStyle w:val="ConsPlusNormal"/>
              <w:jc w:val="center"/>
            </w:pPr>
            <w:r>
              <w:t>0,8</w:t>
            </w:r>
          </w:p>
        </w:tc>
        <w:tc>
          <w:tcPr>
            <w:tcW w:w="689" w:type="dxa"/>
            <w:tcBorders>
              <w:top w:val="nil"/>
            </w:tcBorders>
            <w:vAlign w:val="center"/>
          </w:tcPr>
          <w:p w:rsidR="00212513" w:rsidRDefault="00212513">
            <w:pPr>
              <w:pStyle w:val="ConsPlusNormal"/>
              <w:jc w:val="center"/>
            </w:pPr>
            <w:r>
              <w:t>1,0</w:t>
            </w:r>
          </w:p>
        </w:tc>
        <w:tc>
          <w:tcPr>
            <w:tcW w:w="689" w:type="dxa"/>
            <w:tcBorders>
              <w:top w:val="nil"/>
            </w:tcBorders>
            <w:vAlign w:val="center"/>
          </w:tcPr>
          <w:p w:rsidR="00212513" w:rsidRDefault="00212513">
            <w:pPr>
              <w:pStyle w:val="ConsPlusNormal"/>
              <w:jc w:val="center"/>
            </w:pPr>
            <w:r>
              <w:t>1,3</w:t>
            </w:r>
          </w:p>
        </w:tc>
        <w:tc>
          <w:tcPr>
            <w:tcW w:w="692" w:type="dxa"/>
            <w:tcBorders>
              <w:top w:val="nil"/>
            </w:tcBorders>
            <w:vAlign w:val="center"/>
          </w:tcPr>
          <w:p w:rsidR="00212513" w:rsidRDefault="00212513">
            <w:pPr>
              <w:pStyle w:val="ConsPlusNormal"/>
              <w:jc w:val="center"/>
            </w:pPr>
            <w:r>
              <w:t>2,7</w:t>
            </w:r>
          </w:p>
        </w:tc>
      </w:tr>
    </w:tbl>
    <w:p w:rsidR="00212513" w:rsidRDefault="00212513">
      <w:pPr>
        <w:pStyle w:val="ConsPlusNormal"/>
        <w:ind w:firstLine="540"/>
        <w:jc w:val="both"/>
      </w:pPr>
    </w:p>
    <w:p w:rsidR="00212513" w:rsidRDefault="00212513">
      <w:pPr>
        <w:pStyle w:val="ConsPlusNormal"/>
        <w:ind w:firstLine="540"/>
        <w:jc w:val="both"/>
      </w:pPr>
      <w:r>
        <w:t xml:space="preserve">При отсутствии натурных данных площадь ледяного поля допускается принимать </w:t>
      </w:r>
      <w:r>
        <w:rPr>
          <w:noProof/>
          <w:position w:val="-8"/>
        </w:rPr>
        <w:drawing>
          <wp:inline distT="0" distB="0" distL="0" distR="0">
            <wp:extent cx="712470" cy="251460"/>
            <wp:effectExtent l="0" t="0" r="0" b="0"/>
            <wp:docPr id="2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4" cstate="print">
                      <a:extLst>
                        <a:ext uri="{28A0092B-C50C-407E-A947-70E740481C1C}">
                          <a14:useLocalDpi xmlns:a14="http://schemas.microsoft.com/office/drawing/2010/main" val="0"/>
                        </a:ext>
                      </a:extLst>
                    </a:blip>
                    <a:srcRect/>
                    <a:stretch>
                      <a:fillRect/>
                    </a:stretch>
                  </pic:blipFill>
                  <pic:spPr bwMode="auto">
                    <a:xfrm>
                      <a:off x="0" y="0"/>
                      <a:ext cx="712470" cy="251460"/>
                    </a:xfrm>
                    <a:prstGeom prst="rect">
                      <a:avLst/>
                    </a:prstGeom>
                    <a:noFill/>
                    <a:ln>
                      <a:noFill/>
                    </a:ln>
                  </pic:spPr>
                </pic:pic>
              </a:graphicData>
            </a:graphic>
          </wp:inline>
        </w:drawing>
      </w:r>
      <w:r>
        <w:t xml:space="preserve">, где </w:t>
      </w:r>
      <w:r>
        <w:rPr>
          <w:i/>
        </w:rPr>
        <w:t>l</w:t>
      </w:r>
      <w:r>
        <w:t xml:space="preserve"> - величина пролета, м, а при уклонах участков водной поверхности </w:t>
      </w:r>
      <w:r>
        <w:rPr>
          <w:i/>
        </w:rPr>
        <w:t>i</w:t>
      </w:r>
      <w:r>
        <w:t xml:space="preserve"> &gt;= 0,007</w:t>
      </w:r>
    </w:p>
    <w:p w:rsidR="00212513" w:rsidRDefault="00212513">
      <w:pPr>
        <w:pStyle w:val="ConsPlusNormal"/>
        <w:ind w:firstLine="540"/>
        <w:jc w:val="both"/>
      </w:pPr>
    </w:p>
    <w:p w:rsidR="00212513" w:rsidRDefault="00212513">
      <w:pPr>
        <w:pStyle w:val="ConsPlusNormal"/>
        <w:jc w:val="center"/>
      </w:pPr>
      <w:r>
        <w:rPr>
          <w:noProof/>
          <w:position w:val="-8"/>
        </w:rPr>
        <w:drawing>
          <wp:inline distT="0" distB="0" distL="0" distR="0">
            <wp:extent cx="880110" cy="251460"/>
            <wp:effectExtent l="0" t="0" r="0" b="0"/>
            <wp:docPr id="2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5" cstate="print">
                      <a:extLst>
                        <a:ext uri="{28A0092B-C50C-407E-A947-70E740481C1C}">
                          <a14:useLocalDpi xmlns:a14="http://schemas.microsoft.com/office/drawing/2010/main" val="0"/>
                        </a:ext>
                      </a:extLst>
                    </a:blip>
                    <a:srcRect/>
                    <a:stretch>
                      <a:fillRect/>
                    </a:stretch>
                  </pic:blipFill>
                  <pic:spPr bwMode="auto">
                    <a:xfrm>
                      <a:off x="0" y="0"/>
                      <a:ext cx="880110" cy="251460"/>
                    </a:xfrm>
                    <a:prstGeom prst="rect">
                      <a:avLst/>
                    </a:prstGeom>
                    <a:noFill/>
                    <a:ln>
                      <a:noFill/>
                    </a:ln>
                  </pic:spPr>
                </pic:pic>
              </a:graphicData>
            </a:graphic>
          </wp:inline>
        </w:drawing>
      </w:r>
      <w:r>
        <w:t>, (П.5)</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8"/>
        </w:rPr>
        <w:drawing>
          <wp:inline distT="0" distB="0" distL="0" distR="0">
            <wp:extent cx="281940" cy="251460"/>
            <wp:effectExtent l="0" t="0" r="0" b="0"/>
            <wp:docPr id="2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6"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xml:space="preserve"> - предел прочности льда на изгиб в районе строительства, кПа.</w:t>
      </w:r>
    </w:p>
    <w:p w:rsidR="00212513" w:rsidRDefault="00212513">
      <w:pPr>
        <w:pStyle w:val="ConsPlusNormal"/>
        <w:spacing w:before="220"/>
        <w:ind w:firstLine="540"/>
        <w:jc w:val="both"/>
      </w:pPr>
      <w:r>
        <w:lastRenderedPageBreak/>
        <w:t xml:space="preserve">П.4 При движении ледяного поля под углом </w:t>
      </w:r>
      <w:r>
        <w:rPr>
          <w:noProof/>
          <w:position w:val="-6"/>
        </w:rPr>
        <w:drawing>
          <wp:inline distT="0" distB="0" distL="0" distR="0">
            <wp:extent cx="544830" cy="220980"/>
            <wp:effectExtent l="0" t="0" r="0" b="0"/>
            <wp:docPr id="2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7" cstate="print">
                      <a:extLst>
                        <a:ext uri="{28A0092B-C50C-407E-A947-70E740481C1C}">
                          <a14:useLocalDpi xmlns:a14="http://schemas.microsoft.com/office/drawing/2010/main" val="0"/>
                        </a:ext>
                      </a:extLst>
                    </a:blip>
                    <a:srcRect/>
                    <a:stretch>
                      <a:fillRect/>
                    </a:stretch>
                  </pic:blipFill>
                  <pic:spPr bwMode="auto">
                    <a:xfrm>
                      <a:off x="0" y="0"/>
                      <a:ext cx="544830" cy="220980"/>
                    </a:xfrm>
                    <a:prstGeom prst="rect">
                      <a:avLst/>
                    </a:prstGeom>
                    <a:noFill/>
                    <a:ln>
                      <a:noFill/>
                    </a:ln>
                  </pic:spPr>
                </pic:pic>
              </a:graphicData>
            </a:graphic>
          </wp:inline>
        </w:drawing>
      </w:r>
      <w:r>
        <w:t xml:space="preserve"> к оси моста нагрузку ото льда на вертикальную грань опоры необходимо уменьшать путем умножения ее на </w:t>
      </w:r>
      <w:r>
        <w:rPr>
          <w:noProof/>
          <w:position w:val="-6"/>
        </w:rPr>
        <w:drawing>
          <wp:inline distT="0" distB="0" distL="0" distR="0">
            <wp:extent cx="377190" cy="220980"/>
            <wp:effectExtent l="0" t="0" r="0" b="0"/>
            <wp:docPr id="2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8" cstate="print">
                      <a:extLst>
                        <a:ext uri="{28A0092B-C50C-407E-A947-70E740481C1C}">
                          <a14:useLocalDpi xmlns:a14="http://schemas.microsoft.com/office/drawing/2010/main" val="0"/>
                        </a:ext>
                      </a:extLst>
                    </a:blip>
                    <a:srcRect/>
                    <a:stretch>
                      <a:fillRect/>
                    </a:stretch>
                  </pic:blipFill>
                  <pic:spPr bwMode="auto">
                    <a:xfrm>
                      <a:off x="0" y="0"/>
                      <a:ext cx="377190" cy="220980"/>
                    </a:xfrm>
                    <a:prstGeom prst="rect">
                      <a:avLst/>
                    </a:prstGeom>
                    <a:noFill/>
                    <a:ln>
                      <a:noFill/>
                    </a:ln>
                  </pic:spPr>
                </pic:pic>
              </a:graphicData>
            </a:graphic>
          </wp:inline>
        </w:drawing>
      </w:r>
      <w:r>
        <w:t>.</w:t>
      </w:r>
    </w:p>
    <w:p w:rsidR="00212513" w:rsidRDefault="00212513">
      <w:pPr>
        <w:pStyle w:val="ConsPlusNormal"/>
        <w:spacing w:before="220"/>
        <w:ind w:firstLine="540"/>
        <w:jc w:val="both"/>
      </w:pPr>
      <w:r>
        <w:t>П.5 Давление льда на опору, имеющую в зоне действия льда наклонную поверхность, следует определять:</w:t>
      </w:r>
    </w:p>
    <w:p w:rsidR="00212513" w:rsidRDefault="00212513">
      <w:pPr>
        <w:pStyle w:val="ConsPlusNormal"/>
        <w:spacing w:before="220"/>
        <w:ind w:firstLine="540"/>
        <w:jc w:val="both"/>
      </w:pPr>
      <w:r>
        <w:t xml:space="preserve">а) горизонтальную составляющую </w:t>
      </w:r>
      <w:r>
        <w:rPr>
          <w:noProof/>
          <w:position w:val="-8"/>
        </w:rPr>
        <w:drawing>
          <wp:inline distT="0" distB="0" distL="0" distR="0">
            <wp:extent cx="198755" cy="250825"/>
            <wp:effectExtent l="0" t="0" r="0" b="0"/>
            <wp:docPr id="2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9"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xml:space="preserve">, кН, - по наименьшей из величин, полученных по </w:t>
      </w:r>
      <w:hyperlink w:anchor="P14305">
        <w:r>
          <w:rPr>
            <w:color w:val="0000FF"/>
          </w:rPr>
          <w:t>формуле (П.3)</w:t>
        </w:r>
      </w:hyperlink>
      <w:r>
        <w:t xml:space="preserve"> настоящего приложения и по формуле</w:t>
      </w:r>
    </w:p>
    <w:p w:rsidR="00212513" w:rsidRDefault="00212513">
      <w:pPr>
        <w:pStyle w:val="ConsPlusNormal"/>
        <w:ind w:firstLine="540"/>
        <w:jc w:val="both"/>
      </w:pPr>
    </w:p>
    <w:p w:rsidR="00212513" w:rsidRDefault="00212513">
      <w:pPr>
        <w:pStyle w:val="ConsPlusNormal"/>
        <w:jc w:val="center"/>
      </w:pPr>
      <w:r>
        <w:rPr>
          <w:noProof/>
          <w:position w:val="-9"/>
        </w:rPr>
        <w:drawing>
          <wp:inline distT="0" distB="0" distL="0" distR="0">
            <wp:extent cx="1156970" cy="262890"/>
            <wp:effectExtent l="0" t="0" r="0" b="0"/>
            <wp:docPr id="2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0" cstate="print">
                      <a:extLst>
                        <a:ext uri="{28A0092B-C50C-407E-A947-70E740481C1C}">
                          <a14:useLocalDpi xmlns:a14="http://schemas.microsoft.com/office/drawing/2010/main" val="0"/>
                        </a:ext>
                      </a:extLst>
                    </a:blip>
                    <a:srcRect/>
                    <a:stretch>
                      <a:fillRect/>
                    </a:stretch>
                  </pic:blipFill>
                  <pic:spPr bwMode="auto">
                    <a:xfrm>
                      <a:off x="0" y="0"/>
                      <a:ext cx="1156970" cy="262890"/>
                    </a:xfrm>
                    <a:prstGeom prst="rect">
                      <a:avLst/>
                    </a:prstGeom>
                    <a:noFill/>
                    <a:ln>
                      <a:noFill/>
                    </a:ln>
                  </pic:spPr>
                </pic:pic>
              </a:graphicData>
            </a:graphic>
          </wp:inline>
        </w:drawing>
      </w:r>
      <w:r>
        <w:t>; (П.6)</w:t>
      </w:r>
    </w:p>
    <w:p w:rsidR="00212513" w:rsidRDefault="00212513">
      <w:pPr>
        <w:pStyle w:val="ConsPlusNormal"/>
        <w:ind w:firstLine="540"/>
        <w:jc w:val="both"/>
      </w:pPr>
    </w:p>
    <w:p w:rsidR="00212513" w:rsidRDefault="00212513">
      <w:pPr>
        <w:pStyle w:val="ConsPlusNormal"/>
        <w:ind w:firstLine="540"/>
        <w:jc w:val="both"/>
      </w:pPr>
      <w:r>
        <w:t xml:space="preserve">б) вертикальную составляющую </w:t>
      </w:r>
      <w:r>
        <w:rPr>
          <w:noProof/>
          <w:position w:val="-8"/>
        </w:rPr>
        <w:drawing>
          <wp:inline distT="0" distB="0" distL="0" distR="0">
            <wp:extent cx="198755" cy="250825"/>
            <wp:effectExtent l="0" t="0" r="0" b="0"/>
            <wp:docPr id="2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1" cstate="print">
                      <a:extLst>
                        <a:ext uri="{28A0092B-C50C-407E-A947-70E740481C1C}">
                          <a14:useLocalDpi xmlns:a14="http://schemas.microsoft.com/office/drawing/2010/main" val="0"/>
                        </a:ext>
                      </a:extLst>
                    </a:blip>
                    <a:srcRect/>
                    <a:stretch>
                      <a:fillRect/>
                    </a:stretch>
                  </pic:blipFill>
                  <pic:spPr bwMode="auto">
                    <a:xfrm>
                      <a:off x="0" y="0"/>
                      <a:ext cx="198755" cy="250825"/>
                    </a:xfrm>
                    <a:prstGeom prst="rect">
                      <a:avLst/>
                    </a:prstGeom>
                    <a:noFill/>
                    <a:ln>
                      <a:noFill/>
                    </a:ln>
                  </pic:spPr>
                </pic:pic>
              </a:graphicData>
            </a:graphic>
          </wp:inline>
        </w:drawing>
      </w:r>
      <w:r>
        <w:t>, кН, - по формуле</w:t>
      </w:r>
    </w:p>
    <w:p w:rsidR="00212513" w:rsidRDefault="00212513">
      <w:pPr>
        <w:pStyle w:val="ConsPlusNormal"/>
        <w:ind w:firstLine="540"/>
        <w:jc w:val="both"/>
      </w:pPr>
    </w:p>
    <w:p w:rsidR="00212513" w:rsidRDefault="00212513">
      <w:pPr>
        <w:pStyle w:val="ConsPlusNormal"/>
        <w:jc w:val="center"/>
      </w:pPr>
      <w:r>
        <w:rPr>
          <w:noProof/>
          <w:position w:val="-25"/>
        </w:rPr>
        <w:drawing>
          <wp:inline distT="0" distB="0" distL="0" distR="0">
            <wp:extent cx="691515" cy="461010"/>
            <wp:effectExtent l="0" t="0" r="0" b="0"/>
            <wp:docPr id="2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2" cstate="print">
                      <a:extLst>
                        <a:ext uri="{28A0092B-C50C-407E-A947-70E740481C1C}">
                          <a14:useLocalDpi xmlns:a14="http://schemas.microsoft.com/office/drawing/2010/main" val="0"/>
                        </a:ext>
                      </a:extLst>
                    </a:blip>
                    <a:srcRect/>
                    <a:stretch>
                      <a:fillRect/>
                    </a:stretch>
                  </pic:blipFill>
                  <pic:spPr bwMode="auto">
                    <a:xfrm>
                      <a:off x="0" y="0"/>
                      <a:ext cx="691515" cy="461010"/>
                    </a:xfrm>
                    <a:prstGeom prst="rect">
                      <a:avLst/>
                    </a:prstGeom>
                    <a:noFill/>
                    <a:ln>
                      <a:noFill/>
                    </a:ln>
                  </pic:spPr>
                </pic:pic>
              </a:graphicData>
            </a:graphic>
          </wp:inline>
        </w:drawing>
      </w:r>
      <w:r>
        <w:t>, (П.7)</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3"/>
        </w:rPr>
        <w:drawing>
          <wp:inline distT="0" distB="0" distL="0" distR="0">
            <wp:extent cx="167640" cy="177800"/>
            <wp:effectExtent l="0" t="0" r="0" b="0"/>
            <wp:docPr id="2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3"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коэффициент, принимаемый равным 0,2 </w:t>
      </w:r>
      <w:r>
        <w:rPr>
          <w:i/>
        </w:rPr>
        <w:t>b</w:t>
      </w:r>
      <w:r>
        <w:t>/</w:t>
      </w:r>
      <w:r>
        <w:rPr>
          <w:i/>
        </w:rPr>
        <w:t>t</w:t>
      </w:r>
      <w:r>
        <w:t>, но не менее 1;</w:t>
      </w:r>
    </w:p>
    <w:p w:rsidR="00212513" w:rsidRDefault="00212513">
      <w:pPr>
        <w:pStyle w:val="ConsPlusNormal"/>
        <w:spacing w:before="220"/>
        <w:ind w:firstLine="540"/>
        <w:jc w:val="both"/>
      </w:pPr>
      <w:r>
        <w:rPr>
          <w:noProof/>
          <w:position w:val="-6"/>
        </w:rPr>
        <w:drawing>
          <wp:inline distT="0" distB="0" distL="0" distR="0">
            <wp:extent cx="167640" cy="220980"/>
            <wp:effectExtent l="0" t="0" r="0" b="0"/>
            <wp:docPr id="2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4" cstate="print">
                      <a:extLst>
                        <a:ext uri="{28A0092B-C50C-407E-A947-70E740481C1C}">
                          <a14:useLocalDpi xmlns:a14="http://schemas.microsoft.com/office/drawing/2010/main" val="0"/>
                        </a:ext>
                      </a:extLst>
                    </a:blip>
                    <a:srcRect/>
                    <a:stretch>
                      <a:fillRect/>
                    </a:stretch>
                  </pic:blipFill>
                  <pic:spPr bwMode="auto">
                    <a:xfrm>
                      <a:off x="0" y="0"/>
                      <a:ext cx="167640" cy="220980"/>
                    </a:xfrm>
                    <a:prstGeom prst="rect">
                      <a:avLst/>
                    </a:prstGeom>
                    <a:noFill/>
                    <a:ln>
                      <a:noFill/>
                    </a:ln>
                  </pic:spPr>
                </pic:pic>
              </a:graphicData>
            </a:graphic>
          </wp:inline>
        </w:drawing>
      </w:r>
      <w:r>
        <w:t xml:space="preserve"> - угол наклона к горизонту режущего ребра опоры;</w:t>
      </w:r>
    </w:p>
    <w:p w:rsidR="00212513" w:rsidRDefault="00212513">
      <w:pPr>
        <w:pStyle w:val="ConsPlusNormal"/>
        <w:spacing w:before="220"/>
        <w:ind w:firstLine="540"/>
        <w:jc w:val="both"/>
      </w:pPr>
      <w:r>
        <w:rPr>
          <w:noProof/>
          <w:position w:val="-8"/>
        </w:rPr>
        <w:drawing>
          <wp:inline distT="0" distB="0" distL="0" distR="0">
            <wp:extent cx="281940" cy="251460"/>
            <wp:effectExtent l="0" t="0" r="0" b="0"/>
            <wp:docPr id="2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5"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xml:space="preserve">, </w:t>
      </w:r>
      <w:r>
        <w:rPr>
          <w:i/>
        </w:rPr>
        <w:t>b</w:t>
      </w:r>
      <w:r>
        <w:t xml:space="preserve">, </w:t>
      </w:r>
      <w:r>
        <w:rPr>
          <w:i/>
        </w:rPr>
        <w:t>t</w:t>
      </w:r>
      <w:r>
        <w:t xml:space="preserve"> - принимаются по </w:t>
      </w:r>
      <w:hyperlink w:anchor="P14263">
        <w:r>
          <w:rPr>
            <w:color w:val="0000FF"/>
          </w:rPr>
          <w:t>П.1</w:t>
        </w:r>
      </w:hyperlink>
      <w:r>
        <w:t xml:space="preserve"> - </w:t>
      </w:r>
      <w:hyperlink w:anchor="P14302">
        <w:r>
          <w:rPr>
            <w:color w:val="0000FF"/>
          </w:rPr>
          <w:t>П.3</w:t>
        </w:r>
      </w:hyperlink>
      <w:r>
        <w:t>.</w:t>
      </w:r>
    </w:p>
    <w:p w:rsidR="00212513" w:rsidRDefault="00212513">
      <w:pPr>
        <w:pStyle w:val="ConsPlusNormal"/>
        <w:spacing w:before="220"/>
        <w:ind w:firstLine="540"/>
        <w:jc w:val="both"/>
      </w:pPr>
      <w:r>
        <w:t>П.6 При сложной ледовой обстановке в районе проектируемого мостового перехода в необходимых случаях следует учитывать нагрузки от:</w:t>
      </w:r>
    </w:p>
    <w:p w:rsidR="00212513" w:rsidRDefault="00212513">
      <w:pPr>
        <w:pStyle w:val="ConsPlusNormal"/>
        <w:spacing w:before="220"/>
        <w:ind w:firstLine="540"/>
        <w:jc w:val="both"/>
      </w:pPr>
      <w:r>
        <w:t>остановившегося при навале на опору ледяного поля, когда кроме течения воды происходит воздействие на поле ветра;</w:t>
      </w:r>
    </w:p>
    <w:p w:rsidR="00212513" w:rsidRDefault="00212513">
      <w:pPr>
        <w:pStyle w:val="ConsPlusNormal"/>
        <w:spacing w:before="220"/>
        <w:ind w:firstLine="540"/>
        <w:jc w:val="both"/>
      </w:pPr>
      <w:r>
        <w:t>давления зажорных масс;</w:t>
      </w:r>
    </w:p>
    <w:p w:rsidR="00212513" w:rsidRDefault="00212513">
      <w:pPr>
        <w:pStyle w:val="ConsPlusNormal"/>
        <w:spacing w:before="220"/>
        <w:ind w:firstLine="540"/>
        <w:jc w:val="both"/>
      </w:pPr>
      <w:r>
        <w:t>примерзшего к опоре (сваям или свайным кустам) ледяного покрова при колебаниях уровня воды;</w:t>
      </w:r>
    </w:p>
    <w:p w:rsidR="00212513" w:rsidRDefault="00212513">
      <w:pPr>
        <w:pStyle w:val="ConsPlusNormal"/>
        <w:spacing w:before="220"/>
        <w:ind w:firstLine="540"/>
        <w:jc w:val="both"/>
      </w:pPr>
      <w:r>
        <w:t>ледяного покрова при его температурном расширении и наличии с одной стороны опоры поддерживаемой майны льда на податливые (гибкие) опоры.</w:t>
      </w:r>
    </w:p>
    <w:p w:rsidR="00212513" w:rsidRDefault="00212513">
      <w:pPr>
        <w:pStyle w:val="ConsPlusNormal"/>
        <w:spacing w:before="220"/>
        <w:ind w:firstLine="540"/>
        <w:jc w:val="both"/>
      </w:pPr>
      <w:r>
        <w:t xml:space="preserve">Указанные нагрузки следует определять по </w:t>
      </w:r>
      <w:hyperlink r:id="rId3336">
        <w:r>
          <w:rPr>
            <w:color w:val="0000FF"/>
          </w:rPr>
          <w:t>СП 38.13330</w:t>
        </w:r>
      </w:hyperlink>
      <w:r>
        <w:t>.</w:t>
      </w:r>
    </w:p>
    <w:p w:rsidR="00212513" w:rsidRDefault="00212513">
      <w:pPr>
        <w:pStyle w:val="ConsPlusNormal"/>
        <w:jc w:val="both"/>
      </w:pPr>
      <w:r>
        <w:t xml:space="preserve">(в ред. </w:t>
      </w:r>
      <w:hyperlink r:id="rId3337">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 xml:space="preserve">П.7 При расположении в одном створе вдоль течения реки двух опор кругового или близкого к нему очертания </w:t>
      </w:r>
      <w:hyperlink w:anchor="P14381">
        <w:r>
          <w:rPr>
            <w:color w:val="0000FF"/>
          </w:rPr>
          <w:t>(рисунок П.1)</w:t>
        </w:r>
      </w:hyperlink>
      <w:r>
        <w:t xml:space="preserve"> давление от прорезания льда при его первой подвижке на низовую (вторую) по течению реки опору допускается принимать в размере </w:t>
      </w:r>
      <w:r>
        <w:rPr>
          <w:noProof/>
          <w:position w:val="-8"/>
        </w:rPr>
        <w:drawing>
          <wp:inline distT="0" distB="0" distL="0" distR="0">
            <wp:extent cx="281940" cy="251460"/>
            <wp:effectExtent l="0" t="0" r="0" b="0"/>
            <wp:docPr id="2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8"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здесь </w:t>
      </w:r>
      <w:r>
        <w:rPr>
          <w:noProof/>
          <w:position w:val="-1"/>
        </w:rPr>
        <w:drawing>
          <wp:inline distT="0" distB="0" distL="0" distR="0">
            <wp:extent cx="167640" cy="156845"/>
            <wp:effectExtent l="0" t="0" r="0" b="0"/>
            <wp:docPr id="2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9"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 коэффициент уменьшения давления на низовую (вторую) опору, зависящий от отношения </w:t>
      </w:r>
      <w:r>
        <w:rPr>
          <w:noProof/>
          <w:position w:val="-8"/>
        </w:rPr>
        <w:drawing>
          <wp:inline distT="0" distB="0" distL="0" distR="0">
            <wp:extent cx="428625" cy="251460"/>
            <wp:effectExtent l="0" t="0" r="0" b="0"/>
            <wp:docPr id="2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0" cstate="print">
                      <a:extLst>
                        <a:ext uri="{28A0092B-C50C-407E-A947-70E740481C1C}">
                          <a14:useLocalDpi xmlns:a14="http://schemas.microsoft.com/office/drawing/2010/main" val="0"/>
                        </a:ext>
                      </a:extLst>
                    </a:blip>
                    <a:srcRect/>
                    <a:stretch>
                      <a:fillRect/>
                    </a:stretch>
                  </pic:blipFill>
                  <pic:spPr bwMode="auto">
                    <a:xfrm>
                      <a:off x="0" y="0"/>
                      <a:ext cx="428625" cy="251460"/>
                    </a:xfrm>
                    <a:prstGeom prst="rect">
                      <a:avLst/>
                    </a:prstGeom>
                    <a:noFill/>
                    <a:ln>
                      <a:noFill/>
                    </a:ln>
                  </pic:spPr>
                </pic:pic>
              </a:graphicData>
            </a:graphic>
          </wp:inline>
        </w:drawing>
      </w:r>
      <w:r>
        <w:t xml:space="preserve"> (</w:t>
      </w:r>
      <w:r>
        <w:rPr>
          <w:noProof/>
          <w:position w:val="-8"/>
        </w:rPr>
        <w:drawing>
          <wp:inline distT="0" distB="0" distL="0" distR="0">
            <wp:extent cx="177800" cy="251460"/>
            <wp:effectExtent l="0" t="0" r="0" b="0"/>
            <wp:docPr id="2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1"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расстояние между осями опор, </w:t>
      </w:r>
      <w:r>
        <w:rPr>
          <w:i/>
        </w:rPr>
        <w:t>D</w:t>
      </w:r>
      <w:r>
        <w:t xml:space="preserve"> - диаметр опор);</w:t>
      </w:r>
    </w:p>
    <w:p w:rsidR="00212513" w:rsidRDefault="00212513">
      <w:pPr>
        <w:pStyle w:val="ConsPlusNormal"/>
        <w:spacing w:before="220"/>
        <w:ind w:firstLine="540"/>
        <w:jc w:val="both"/>
      </w:pPr>
      <w:r>
        <w:rPr>
          <w:noProof/>
          <w:position w:val="-8"/>
        </w:rPr>
        <w:drawing>
          <wp:inline distT="0" distB="0" distL="0" distR="0">
            <wp:extent cx="177800" cy="251460"/>
            <wp:effectExtent l="0" t="0" r="0" b="0"/>
            <wp:docPr id="2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2"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давление от прорезания льда на верховую (первую) по течению опору (по </w:t>
      </w:r>
      <w:hyperlink w:anchor="P14302">
        <w:r>
          <w:rPr>
            <w:color w:val="0000FF"/>
          </w:rPr>
          <w:t>П.3</w:t>
        </w:r>
      </w:hyperlink>
      <w:r>
        <w:t>).</w:t>
      </w:r>
    </w:p>
    <w:p w:rsidR="00212513" w:rsidRDefault="00212513">
      <w:pPr>
        <w:pStyle w:val="ConsPlusNormal"/>
        <w:ind w:firstLine="540"/>
        <w:jc w:val="both"/>
      </w:pPr>
    </w:p>
    <w:p w:rsidR="00212513" w:rsidRDefault="00212513">
      <w:pPr>
        <w:pStyle w:val="ConsPlusNormal"/>
        <w:jc w:val="center"/>
      </w:pPr>
      <w:r>
        <w:rPr>
          <w:noProof/>
          <w:position w:val="-200"/>
        </w:rPr>
        <w:lastRenderedPageBreak/>
        <w:drawing>
          <wp:inline distT="0" distB="0" distL="0" distR="0">
            <wp:extent cx="2957195" cy="2691765"/>
            <wp:effectExtent l="0" t="0" r="0" b="0"/>
            <wp:docPr id="2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3" cstate="print">
                      <a:extLst>
                        <a:ext uri="{28A0092B-C50C-407E-A947-70E740481C1C}">
                          <a14:useLocalDpi xmlns:a14="http://schemas.microsoft.com/office/drawing/2010/main" val="0"/>
                        </a:ext>
                      </a:extLst>
                    </a:blip>
                    <a:srcRect/>
                    <a:stretch>
                      <a:fillRect/>
                    </a:stretch>
                  </pic:blipFill>
                  <pic:spPr bwMode="auto">
                    <a:xfrm>
                      <a:off x="0" y="0"/>
                      <a:ext cx="2957195" cy="2691765"/>
                    </a:xfrm>
                    <a:prstGeom prst="rect">
                      <a:avLst/>
                    </a:prstGeom>
                    <a:noFill/>
                    <a:ln>
                      <a:noFill/>
                    </a:ln>
                  </pic:spPr>
                </pic:pic>
              </a:graphicData>
            </a:graphic>
          </wp:inline>
        </w:drawing>
      </w:r>
    </w:p>
    <w:p w:rsidR="00212513" w:rsidRDefault="00212513">
      <w:pPr>
        <w:pStyle w:val="ConsPlusNormal"/>
        <w:ind w:firstLine="540"/>
        <w:jc w:val="both"/>
      </w:pPr>
    </w:p>
    <w:p w:rsidR="00212513" w:rsidRDefault="00212513">
      <w:pPr>
        <w:pStyle w:val="ConsPlusNormal"/>
        <w:jc w:val="center"/>
      </w:pPr>
      <w:bookmarkStart w:id="507" w:name="P14381"/>
      <w:bookmarkEnd w:id="507"/>
      <w:r>
        <w:rPr>
          <w:b/>
          <w:i/>
        </w:rPr>
        <w:t>Рисунок П.1</w:t>
      </w:r>
      <w:r>
        <w:t xml:space="preserve"> </w:t>
      </w:r>
      <w:r>
        <w:rPr>
          <w:b/>
        </w:rPr>
        <w:t>- Схема расположения в одном створе</w:t>
      </w:r>
    </w:p>
    <w:p w:rsidR="00212513" w:rsidRDefault="00212513">
      <w:pPr>
        <w:pStyle w:val="ConsPlusNormal"/>
        <w:jc w:val="center"/>
      </w:pPr>
      <w:r>
        <w:rPr>
          <w:b/>
        </w:rPr>
        <w:t>вдоль течения реки двух опор кругового очертания</w:t>
      </w:r>
    </w:p>
    <w:p w:rsidR="00212513" w:rsidRDefault="00212513">
      <w:pPr>
        <w:pStyle w:val="ConsPlusNormal"/>
        <w:ind w:firstLine="540"/>
        <w:jc w:val="both"/>
      </w:pPr>
    </w:p>
    <w:p w:rsidR="00212513" w:rsidRDefault="00212513">
      <w:pPr>
        <w:pStyle w:val="ConsPlusNormal"/>
        <w:ind w:firstLine="540"/>
        <w:jc w:val="both"/>
      </w:pPr>
      <w:r>
        <w:t xml:space="preserve">Значения коэффициента </w:t>
      </w:r>
      <w:r>
        <w:rPr>
          <w:noProof/>
          <w:position w:val="-1"/>
        </w:rPr>
        <w:drawing>
          <wp:inline distT="0" distB="0" distL="0" distR="0">
            <wp:extent cx="167640" cy="156845"/>
            <wp:effectExtent l="0" t="0" r="0" b="0"/>
            <wp:docPr id="2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9"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r>
        <w:t xml:space="preserve"> следует принимать по таблице П.3.</w:t>
      </w:r>
    </w:p>
    <w:p w:rsidR="00212513" w:rsidRDefault="00212513">
      <w:pPr>
        <w:pStyle w:val="ConsPlusNormal"/>
        <w:ind w:firstLine="540"/>
        <w:jc w:val="both"/>
      </w:pPr>
    </w:p>
    <w:p w:rsidR="00212513" w:rsidRDefault="00212513">
      <w:pPr>
        <w:pStyle w:val="ConsPlusNormal"/>
        <w:jc w:val="right"/>
      </w:pPr>
      <w:r>
        <w:t>Таблица П.3</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20"/>
        <w:gridCol w:w="894"/>
        <w:gridCol w:w="894"/>
        <w:gridCol w:w="894"/>
        <w:gridCol w:w="894"/>
        <w:gridCol w:w="894"/>
        <w:gridCol w:w="894"/>
        <w:gridCol w:w="894"/>
        <w:gridCol w:w="894"/>
        <w:gridCol w:w="900"/>
      </w:tblGrid>
      <w:tr w:rsidR="00212513">
        <w:tc>
          <w:tcPr>
            <w:tcW w:w="1020" w:type="dxa"/>
          </w:tcPr>
          <w:p w:rsidR="00212513" w:rsidRDefault="00212513">
            <w:pPr>
              <w:pStyle w:val="ConsPlusNormal"/>
              <w:jc w:val="center"/>
            </w:pPr>
            <w:r>
              <w:rPr>
                <w:noProof/>
                <w:position w:val="-9"/>
              </w:rPr>
              <w:drawing>
                <wp:inline distT="0" distB="0" distL="0" distR="0">
                  <wp:extent cx="428625" cy="261620"/>
                  <wp:effectExtent l="0" t="0" r="0" b="0"/>
                  <wp:docPr id="2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0" cstate="print">
                            <a:extLst>
                              <a:ext uri="{28A0092B-C50C-407E-A947-70E740481C1C}">
                                <a14:useLocalDpi xmlns:a14="http://schemas.microsoft.com/office/drawing/2010/main" val="0"/>
                              </a:ext>
                            </a:extLst>
                          </a:blip>
                          <a:srcRect/>
                          <a:stretch>
                            <a:fillRect/>
                          </a:stretch>
                        </pic:blipFill>
                        <pic:spPr bwMode="auto">
                          <a:xfrm>
                            <a:off x="0" y="0"/>
                            <a:ext cx="428625" cy="261620"/>
                          </a:xfrm>
                          <a:prstGeom prst="rect">
                            <a:avLst/>
                          </a:prstGeom>
                          <a:noFill/>
                          <a:ln>
                            <a:noFill/>
                          </a:ln>
                        </pic:spPr>
                      </pic:pic>
                    </a:graphicData>
                  </a:graphic>
                </wp:inline>
              </w:drawing>
            </w:r>
          </w:p>
        </w:tc>
        <w:tc>
          <w:tcPr>
            <w:tcW w:w="894" w:type="dxa"/>
            <w:vAlign w:val="center"/>
          </w:tcPr>
          <w:p w:rsidR="00212513" w:rsidRDefault="00212513">
            <w:pPr>
              <w:pStyle w:val="ConsPlusNormal"/>
              <w:jc w:val="center"/>
            </w:pPr>
            <w:r>
              <w:t>1,0</w:t>
            </w:r>
          </w:p>
        </w:tc>
        <w:tc>
          <w:tcPr>
            <w:tcW w:w="894" w:type="dxa"/>
            <w:vAlign w:val="center"/>
          </w:tcPr>
          <w:p w:rsidR="00212513" w:rsidRDefault="00212513">
            <w:pPr>
              <w:pStyle w:val="ConsPlusNormal"/>
              <w:jc w:val="center"/>
            </w:pPr>
            <w:r>
              <w:t>1,1</w:t>
            </w:r>
          </w:p>
        </w:tc>
        <w:tc>
          <w:tcPr>
            <w:tcW w:w="894" w:type="dxa"/>
            <w:vAlign w:val="center"/>
          </w:tcPr>
          <w:p w:rsidR="00212513" w:rsidRDefault="00212513">
            <w:pPr>
              <w:pStyle w:val="ConsPlusNormal"/>
              <w:jc w:val="center"/>
            </w:pPr>
            <w:r>
              <w:t>1,2</w:t>
            </w:r>
          </w:p>
        </w:tc>
        <w:tc>
          <w:tcPr>
            <w:tcW w:w="894" w:type="dxa"/>
            <w:vAlign w:val="center"/>
          </w:tcPr>
          <w:p w:rsidR="00212513" w:rsidRDefault="00212513">
            <w:pPr>
              <w:pStyle w:val="ConsPlusNormal"/>
              <w:jc w:val="center"/>
            </w:pPr>
            <w:r>
              <w:t>1,3</w:t>
            </w:r>
          </w:p>
        </w:tc>
        <w:tc>
          <w:tcPr>
            <w:tcW w:w="894" w:type="dxa"/>
            <w:vAlign w:val="center"/>
          </w:tcPr>
          <w:p w:rsidR="00212513" w:rsidRDefault="00212513">
            <w:pPr>
              <w:pStyle w:val="ConsPlusNormal"/>
              <w:jc w:val="center"/>
            </w:pPr>
            <w:r>
              <w:t>1,4</w:t>
            </w:r>
          </w:p>
        </w:tc>
        <w:tc>
          <w:tcPr>
            <w:tcW w:w="894" w:type="dxa"/>
            <w:vAlign w:val="center"/>
          </w:tcPr>
          <w:p w:rsidR="00212513" w:rsidRDefault="00212513">
            <w:pPr>
              <w:pStyle w:val="ConsPlusNormal"/>
              <w:jc w:val="center"/>
            </w:pPr>
            <w:r>
              <w:t>1,5</w:t>
            </w:r>
          </w:p>
        </w:tc>
        <w:tc>
          <w:tcPr>
            <w:tcW w:w="894" w:type="dxa"/>
            <w:vAlign w:val="center"/>
          </w:tcPr>
          <w:p w:rsidR="00212513" w:rsidRDefault="00212513">
            <w:pPr>
              <w:pStyle w:val="ConsPlusNormal"/>
              <w:jc w:val="center"/>
            </w:pPr>
            <w:r>
              <w:t>1,6</w:t>
            </w:r>
          </w:p>
        </w:tc>
        <w:tc>
          <w:tcPr>
            <w:tcW w:w="894" w:type="dxa"/>
            <w:vAlign w:val="center"/>
          </w:tcPr>
          <w:p w:rsidR="00212513" w:rsidRDefault="00212513">
            <w:pPr>
              <w:pStyle w:val="ConsPlusNormal"/>
              <w:jc w:val="center"/>
            </w:pPr>
            <w:r>
              <w:t>1,7</w:t>
            </w:r>
          </w:p>
        </w:tc>
        <w:tc>
          <w:tcPr>
            <w:tcW w:w="900" w:type="dxa"/>
            <w:vAlign w:val="center"/>
          </w:tcPr>
          <w:p w:rsidR="00212513" w:rsidRDefault="00212513">
            <w:pPr>
              <w:pStyle w:val="ConsPlusNormal"/>
              <w:jc w:val="center"/>
            </w:pPr>
            <w:r>
              <w:t>1,8</w:t>
            </w:r>
          </w:p>
        </w:tc>
      </w:tr>
      <w:tr w:rsidR="00212513">
        <w:tc>
          <w:tcPr>
            <w:tcW w:w="1020" w:type="dxa"/>
            <w:vAlign w:val="center"/>
          </w:tcPr>
          <w:p w:rsidR="00212513" w:rsidRDefault="00212513">
            <w:pPr>
              <w:pStyle w:val="ConsPlusNormal"/>
              <w:jc w:val="center"/>
            </w:pPr>
            <w:r>
              <w:rPr>
                <w:noProof/>
                <w:position w:val="-1"/>
              </w:rPr>
              <w:drawing>
                <wp:inline distT="0" distB="0" distL="0" distR="0">
                  <wp:extent cx="167640" cy="156845"/>
                  <wp:effectExtent l="0" t="0" r="0" b="0"/>
                  <wp:docPr id="2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9" cstate="print">
                            <a:extLst>
                              <a:ext uri="{28A0092B-C50C-407E-A947-70E740481C1C}">
                                <a14:useLocalDpi xmlns:a14="http://schemas.microsoft.com/office/drawing/2010/main" val="0"/>
                              </a:ext>
                            </a:extLst>
                          </a:blip>
                          <a:srcRect/>
                          <a:stretch>
                            <a:fillRect/>
                          </a:stretch>
                        </pic:blipFill>
                        <pic:spPr bwMode="auto">
                          <a:xfrm>
                            <a:off x="0" y="0"/>
                            <a:ext cx="167640" cy="156845"/>
                          </a:xfrm>
                          <a:prstGeom prst="rect">
                            <a:avLst/>
                          </a:prstGeom>
                          <a:noFill/>
                          <a:ln>
                            <a:noFill/>
                          </a:ln>
                        </pic:spPr>
                      </pic:pic>
                    </a:graphicData>
                  </a:graphic>
                </wp:inline>
              </w:drawing>
            </w:r>
          </w:p>
        </w:tc>
        <w:tc>
          <w:tcPr>
            <w:tcW w:w="894" w:type="dxa"/>
            <w:vAlign w:val="center"/>
          </w:tcPr>
          <w:p w:rsidR="00212513" w:rsidRDefault="00212513">
            <w:pPr>
              <w:pStyle w:val="ConsPlusNormal"/>
              <w:jc w:val="center"/>
            </w:pPr>
            <w:r>
              <w:t>0,200</w:t>
            </w:r>
          </w:p>
        </w:tc>
        <w:tc>
          <w:tcPr>
            <w:tcW w:w="894" w:type="dxa"/>
            <w:vAlign w:val="center"/>
          </w:tcPr>
          <w:p w:rsidR="00212513" w:rsidRDefault="00212513">
            <w:pPr>
              <w:pStyle w:val="ConsPlusNormal"/>
              <w:jc w:val="center"/>
            </w:pPr>
            <w:r>
              <w:t>0,204</w:t>
            </w:r>
          </w:p>
        </w:tc>
        <w:tc>
          <w:tcPr>
            <w:tcW w:w="894" w:type="dxa"/>
            <w:vAlign w:val="center"/>
          </w:tcPr>
          <w:p w:rsidR="00212513" w:rsidRDefault="00212513">
            <w:pPr>
              <w:pStyle w:val="ConsPlusNormal"/>
              <w:jc w:val="center"/>
            </w:pPr>
            <w:r>
              <w:t>0,212</w:t>
            </w:r>
          </w:p>
        </w:tc>
        <w:tc>
          <w:tcPr>
            <w:tcW w:w="894" w:type="dxa"/>
            <w:vAlign w:val="center"/>
          </w:tcPr>
          <w:p w:rsidR="00212513" w:rsidRDefault="00212513">
            <w:pPr>
              <w:pStyle w:val="ConsPlusNormal"/>
              <w:jc w:val="center"/>
            </w:pPr>
            <w:r>
              <w:t>0,230</w:t>
            </w:r>
          </w:p>
        </w:tc>
        <w:tc>
          <w:tcPr>
            <w:tcW w:w="894" w:type="dxa"/>
            <w:vAlign w:val="center"/>
          </w:tcPr>
          <w:p w:rsidR="00212513" w:rsidRDefault="00212513">
            <w:pPr>
              <w:pStyle w:val="ConsPlusNormal"/>
              <w:jc w:val="center"/>
            </w:pPr>
            <w:r>
              <w:t>0,280</w:t>
            </w:r>
          </w:p>
        </w:tc>
        <w:tc>
          <w:tcPr>
            <w:tcW w:w="894" w:type="dxa"/>
            <w:vAlign w:val="center"/>
          </w:tcPr>
          <w:p w:rsidR="00212513" w:rsidRDefault="00212513">
            <w:pPr>
              <w:pStyle w:val="ConsPlusNormal"/>
              <w:jc w:val="center"/>
            </w:pPr>
            <w:r>
              <w:t>0,398</w:t>
            </w:r>
          </w:p>
        </w:tc>
        <w:tc>
          <w:tcPr>
            <w:tcW w:w="894" w:type="dxa"/>
            <w:vAlign w:val="center"/>
          </w:tcPr>
          <w:p w:rsidR="00212513" w:rsidRDefault="00212513">
            <w:pPr>
              <w:pStyle w:val="ConsPlusNormal"/>
              <w:jc w:val="center"/>
            </w:pPr>
            <w:r>
              <w:t>0,472</w:t>
            </w:r>
          </w:p>
        </w:tc>
        <w:tc>
          <w:tcPr>
            <w:tcW w:w="894" w:type="dxa"/>
            <w:vAlign w:val="center"/>
          </w:tcPr>
          <w:p w:rsidR="00212513" w:rsidRDefault="00212513">
            <w:pPr>
              <w:pStyle w:val="ConsPlusNormal"/>
              <w:jc w:val="center"/>
            </w:pPr>
            <w:r>
              <w:t>0,542</w:t>
            </w:r>
          </w:p>
        </w:tc>
        <w:tc>
          <w:tcPr>
            <w:tcW w:w="900" w:type="dxa"/>
            <w:vAlign w:val="center"/>
          </w:tcPr>
          <w:p w:rsidR="00212513" w:rsidRDefault="00212513">
            <w:pPr>
              <w:pStyle w:val="ConsPlusNormal"/>
              <w:jc w:val="center"/>
            </w:pPr>
            <w:r>
              <w:t>0,608</w:t>
            </w:r>
          </w:p>
        </w:tc>
      </w:tr>
    </w:tbl>
    <w:p w:rsidR="00212513" w:rsidRDefault="00212513">
      <w:pPr>
        <w:pStyle w:val="ConsPlusNormal"/>
        <w:ind w:firstLine="540"/>
        <w:jc w:val="both"/>
      </w:pPr>
    </w:p>
    <w:p w:rsidR="00212513" w:rsidRDefault="00212513">
      <w:pPr>
        <w:pStyle w:val="ConsPlusNormal"/>
        <w:jc w:val="right"/>
      </w:pPr>
      <w:r>
        <w:t>Окончание таблицы П.3</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20"/>
        <w:gridCol w:w="1005"/>
        <w:gridCol w:w="1005"/>
        <w:gridCol w:w="1005"/>
        <w:gridCol w:w="1005"/>
        <w:gridCol w:w="1005"/>
        <w:gridCol w:w="1005"/>
        <w:gridCol w:w="1005"/>
        <w:gridCol w:w="1009"/>
      </w:tblGrid>
      <w:tr w:rsidR="00212513">
        <w:tc>
          <w:tcPr>
            <w:tcW w:w="1020" w:type="dxa"/>
          </w:tcPr>
          <w:p w:rsidR="00212513" w:rsidRDefault="00212513">
            <w:pPr>
              <w:pStyle w:val="ConsPlusNormal"/>
              <w:jc w:val="center"/>
            </w:pPr>
            <w:r>
              <w:rPr>
                <w:noProof/>
                <w:position w:val="-9"/>
              </w:rPr>
              <w:drawing>
                <wp:inline distT="0" distB="0" distL="0" distR="0">
                  <wp:extent cx="428625" cy="261620"/>
                  <wp:effectExtent l="0" t="0" r="0" b="0"/>
                  <wp:docPr id="2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0" cstate="print">
                            <a:extLst>
                              <a:ext uri="{28A0092B-C50C-407E-A947-70E740481C1C}">
                                <a14:useLocalDpi xmlns:a14="http://schemas.microsoft.com/office/drawing/2010/main" val="0"/>
                              </a:ext>
                            </a:extLst>
                          </a:blip>
                          <a:srcRect/>
                          <a:stretch>
                            <a:fillRect/>
                          </a:stretch>
                        </pic:blipFill>
                        <pic:spPr bwMode="auto">
                          <a:xfrm>
                            <a:off x="0" y="0"/>
                            <a:ext cx="428625" cy="261620"/>
                          </a:xfrm>
                          <a:prstGeom prst="rect">
                            <a:avLst/>
                          </a:prstGeom>
                          <a:noFill/>
                          <a:ln>
                            <a:noFill/>
                          </a:ln>
                        </pic:spPr>
                      </pic:pic>
                    </a:graphicData>
                  </a:graphic>
                </wp:inline>
              </w:drawing>
            </w:r>
          </w:p>
        </w:tc>
        <w:tc>
          <w:tcPr>
            <w:tcW w:w="1005" w:type="dxa"/>
          </w:tcPr>
          <w:p w:rsidR="00212513" w:rsidRDefault="00212513">
            <w:pPr>
              <w:pStyle w:val="ConsPlusNormal"/>
              <w:jc w:val="center"/>
            </w:pPr>
            <w:r>
              <w:t>1,9</w:t>
            </w:r>
          </w:p>
        </w:tc>
        <w:tc>
          <w:tcPr>
            <w:tcW w:w="1005" w:type="dxa"/>
          </w:tcPr>
          <w:p w:rsidR="00212513" w:rsidRDefault="00212513">
            <w:pPr>
              <w:pStyle w:val="ConsPlusNormal"/>
              <w:jc w:val="center"/>
            </w:pPr>
            <w:r>
              <w:t>2,0</w:t>
            </w:r>
          </w:p>
        </w:tc>
        <w:tc>
          <w:tcPr>
            <w:tcW w:w="1005" w:type="dxa"/>
          </w:tcPr>
          <w:p w:rsidR="00212513" w:rsidRDefault="00212513">
            <w:pPr>
              <w:pStyle w:val="ConsPlusNormal"/>
              <w:jc w:val="center"/>
            </w:pPr>
            <w:r>
              <w:t>2,1</w:t>
            </w:r>
          </w:p>
        </w:tc>
        <w:tc>
          <w:tcPr>
            <w:tcW w:w="1005" w:type="dxa"/>
          </w:tcPr>
          <w:p w:rsidR="00212513" w:rsidRDefault="00212513">
            <w:pPr>
              <w:pStyle w:val="ConsPlusNormal"/>
              <w:jc w:val="center"/>
            </w:pPr>
            <w:r>
              <w:t>2,2</w:t>
            </w:r>
          </w:p>
        </w:tc>
        <w:tc>
          <w:tcPr>
            <w:tcW w:w="1005" w:type="dxa"/>
          </w:tcPr>
          <w:p w:rsidR="00212513" w:rsidRDefault="00212513">
            <w:pPr>
              <w:pStyle w:val="ConsPlusNormal"/>
              <w:jc w:val="center"/>
            </w:pPr>
            <w:r>
              <w:t>2,3</w:t>
            </w:r>
          </w:p>
        </w:tc>
        <w:tc>
          <w:tcPr>
            <w:tcW w:w="1005" w:type="dxa"/>
          </w:tcPr>
          <w:p w:rsidR="00212513" w:rsidRDefault="00212513">
            <w:pPr>
              <w:pStyle w:val="ConsPlusNormal"/>
              <w:jc w:val="center"/>
            </w:pPr>
            <w:r>
              <w:t>2,4</w:t>
            </w:r>
          </w:p>
        </w:tc>
        <w:tc>
          <w:tcPr>
            <w:tcW w:w="1005" w:type="dxa"/>
          </w:tcPr>
          <w:p w:rsidR="00212513" w:rsidRDefault="00212513">
            <w:pPr>
              <w:pStyle w:val="ConsPlusNormal"/>
              <w:jc w:val="center"/>
            </w:pPr>
            <w:r>
              <w:t>2,5</w:t>
            </w:r>
          </w:p>
        </w:tc>
        <w:tc>
          <w:tcPr>
            <w:tcW w:w="1009" w:type="dxa"/>
            <w:vAlign w:val="center"/>
          </w:tcPr>
          <w:p w:rsidR="00212513" w:rsidRDefault="00212513">
            <w:pPr>
              <w:pStyle w:val="ConsPlusNormal"/>
              <w:jc w:val="center"/>
            </w:pPr>
            <w:r>
              <w:t>2,6 и более</w:t>
            </w:r>
          </w:p>
        </w:tc>
      </w:tr>
      <w:tr w:rsidR="00212513">
        <w:tc>
          <w:tcPr>
            <w:tcW w:w="1020" w:type="dxa"/>
            <w:vAlign w:val="center"/>
          </w:tcPr>
          <w:p w:rsidR="00212513" w:rsidRDefault="00212513">
            <w:pPr>
              <w:pStyle w:val="ConsPlusNormal"/>
              <w:jc w:val="center"/>
            </w:pPr>
            <w:r>
              <w:rPr>
                <w:noProof/>
              </w:rPr>
              <w:drawing>
                <wp:inline distT="0" distB="0" distL="0" distR="0">
                  <wp:extent cx="167640" cy="146050"/>
                  <wp:effectExtent l="0" t="0" r="0" b="0"/>
                  <wp:docPr id="2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9"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p>
        </w:tc>
        <w:tc>
          <w:tcPr>
            <w:tcW w:w="1005" w:type="dxa"/>
            <w:vAlign w:val="center"/>
          </w:tcPr>
          <w:p w:rsidR="00212513" w:rsidRDefault="00212513">
            <w:pPr>
              <w:pStyle w:val="ConsPlusNormal"/>
              <w:jc w:val="center"/>
            </w:pPr>
            <w:r>
              <w:t>0,671</w:t>
            </w:r>
          </w:p>
        </w:tc>
        <w:tc>
          <w:tcPr>
            <w:tcW w:w="1005" w:type="dxa"/>
            <w:vAlign w:val="center"/>
          </w:tcPr>
          <w:p w:rsidR="00212513" w:rsidRDefault="00212513">
            <w:pPr>
              <w:pStyle w:val="ConsPlusNormal"/>
              <w:jc w:val="center"/>
            </w:pPr>
            <w:r>
              <w:t>0,730</w:t>
            </w:r>
          </w:p>
        </w:tc>
        <w:tc>
          <w:tcPr>
            <w:tcW w:w="1005" w:type="dxa"/>
            <w:vAlign w:val="center"/>
          </w:tcPr>
          <w:p w:rsidR="00212513" w:rsidRDefault="00212513">
            <w:pPr>
              <w:pStyle w:val="ConsPlusNormal"/>
              <w:jc w:val="center"/>
            </w:pPr>
            <w:r>
              <w:t>0,785</w:t>
            </w:r>
          </w:p>
        </w:tc>
        <w:tc>
          <w:tcPr>
            <w:tcW w:w="1005" w:type="dxa"/>
            <w:vAlign w:val="center"/>
          </w:tcPr>
          <w:p w:rsidR="00212513" w:rsidRDefault="00212513">
            <w:pPr>
              <w:pStyle w:val="ConsPlusNormal"/>
              <w:jc w:val="center"/>
            </w:pPr>
            <w:r>
              <w:t>0,836</w:t>
            </w:r>
          </w:p>
        </w:tc>
        <w:tc>
          <w:tcPr>
            <w:tcW w:w="1005" w:type="dxa"/>
            <w:vAlign w:val="center"/>
          </w:tcPr>
          <w:p w:rsidR="00212513" w:rsidRDefault="00212513">
            <w:pPr>
              <w:pStyle w:val="ConsPlusNormal"/>
              <w:jc w:val="center"/>
            </w:pPr>
            <w:r>
              <w:t>0,884</w:t>
            </w:r>
          </w:p>
        </w:tc>
        <w:tc>
          <w:tcPr>
            <w:tcW w:w="1005" w:type="dxa"/>
            <w:vAlign w:val="center"/>
          </w:tcPr>
          <w:p w:rsidR="00212513" w:rsidRDefault="00212513">
            <w:pPr>
              <w:pStyle w:val="ConsPlusNormal"/>
              <w:jc w:val="center"/>
            </w:pPr>
            <w:r>
              <w:t>0,928</w:t>
            </w:r>
          </w:p>
        </w:tc>
        <w:tc>
          <w:tcPr>
            <w:tcW w:w="1005" w:type="dxa"/>
            <w:vAlign w:val="center"/>
          </w:tcPr>
          <w:p w:rsidR="00212513" w:rsidRDefault="00212513">
            <w:pPr>
              <w:pStyle w:val="ConsPlusNormal"/>
              <w:jc w:val="center"/>
            </w:pPr>
            <w:r>
              <w:t>0,968</w:t>
            </w:r>
          </w:p>
        </w:tc>
        <w:tc>
          <w:tcPr>
            <w:tcW w:w="1009" w:type="dxa"/>
            <w:vAlign w:val="center"/>
          </w:tcPr>
          <w:p w:rsidR="00212513" w:rsidRDefault="00212513">
            <w:pPr>
              <w:pStyle w:val="ConsPlusNormal"/>
              <w:jc w:val="center"/>
            </w:pPr>
            <w:r>
              <w:t>1,000</w:t>
            </w:r>
          </w:p>
        </w:tc>
      </w:tr>
      <w:tr w:rsidR="00212513">
        <w:tc>
          <w:tcPr>
            <w:tcW w:w="9064" w:type="dxa"/>
            <w:gridSpan w:val="9"/>
          </w:tcPr>
          <w:p w:rsidR="00212513" w:rsidRDefault="00212513">
            <w:pPr>
              <w:pStyle w:val="ConsPlusNormal"/>
              <w:ind w:firstLine="283"/>
              <w:jc w:val="both"/>
            </w:pPr>
            <w:r>
              <w:t>Примечание - Промежуточные значения определяются по интерполяции.</w:t>
            </w:r>
          </w:p>
        </w:tc>
      </w:tr>
    </w:tbl>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jc w:val="right"/>
        <w:outlineLvl w:val="0"/>
      </w:pPr>
      <w:r>
        <w:rPr>
          <w:b/>
        </w:rPr>
        <w:t>Приложение Р</w:t>
      </w:r>
    </w:p>
    <w:p w:rsidR="00212513" w:rsidRDefault="00212513">
      <w:pPr>
        <w:pStyle w:val="ConsPlusNormal"/>
        <w:jc w:val="right"/>
      </w:pPr>
      <w:r>
        <w:rPr>
          <w:b/>
        </w:rPr>
        <w:t>(обязательное)</w:t>
      </w:r>
    </w:p>
    <w:p w:rsidR="00212513" w:rsidRDefault="00212513">
      <w:pPr>
        <w:pStyle w:val="ConsPlusNormal"/>
        <w:ind w:firstLine="540"/>
        <w:jc w:val="both"/>
      </w:pPr>
    </w:p>
    <w:p w:rsidR="00212513" w:rsidRDefault="00212513">
      <w:pPr>
        <w:pStyle w:val="ConsPlusTitle"/>
        <w:jc w:val="center"/>
      </w:pPr>
      <w:bookmarkStart w:id="508" w:name="P14438"/>
      <w:bookmarkEnd w:id="508"/>
      <w:r>
        <w:t>ПОТЕРИ ПРЕДВАРИТЕЛЬНОГО НАПРЯЖЕНИЯ АРМАТУРЫ</w:t>
      </w:r>
    </w:p>
    <w:p w:rsidR="00212513" w:rsidRDefault="00212513">
      <w:pPr>
        <w:pStyle w:val="ConsPlusNormal"/>
        <w:ind w:firstLine="540"/>
        <w:jc w:val="both"/>
      </w:pPr>
    </w:p>
    <w:p w:rsidR="00212513" w:rsidRDefault="00212513">
      <w:pPr>
        <w:pStyle w:val="ConsPlusNormal"/>
        <w:jc w:val="right"/>
      </w:pPr>
      <w:bookmarkStart w:id="509" w:name="P14440"/>
      <w:bookmarkEnd w:id="509"/>
      <w:r>
        <w:t>Таблица Р.1</w:t>
      </w:r>
    </w:p>
    <w:p w:rsidR="00212513" w:rsidRDefault="00212513">
      <w:pPr>
        <w:pStyle w:val="ConsPlusNormal"/>
        <w:jc w:val="center"/>
      </w:pPr>
    </w:p>
    <w:p w:rsidR="00212513" w:rsidRDefault="00212513">
      <w:pPr>
        <w:pStyle w:val="ConsPlusNormal"/>
        <w:jc w:val="center"/>
      </w:pPr>
      <w:r>
        <w:t xml:space="preserve">(таблица Р.1 в ред. </w:t>
      </w:r>
      <w:hyperlink r:id="rId3344">
        <w:r>
          <w:rPr>
            <w:color w:val="0000FF"/>
          </w:rPr>
          <w:t>Изменения N 3</w:t>
        </w:r>
      </w:hyperlink>
      <w:r>
        <w:t>, утв. Приказом</w:t>
      </w:r>
    </w:p>
    <w:p w:rsidR="00212513" w:rsidRDefault="00212513">
      <w:pPr>
        <w:pStyle w:val="ConsPlusNormal"/>
        <w:jc w:val="center"/>
      </w:pPr>
      <w:r>
        <w:t>Минстроя России от 29.12.2020 N 891/пр)</w:t>
      </w:r>
    </w:p>
    <w:p w:rsidR="00212513" w:rsidRDefault="0021251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72"/>
        <w:gridCol w:w="1832"/>
        <w:gridCol w:w="1832"/>
        <w:gridCol w:w="1835"/>
      </w:tblGrid>
      <w:tr w:rsidR="00212513">
        <w:tc>
          <w:tcPr>
            <w:tcW w:w="3572" w:type="dxa"/>
            <w:tcBorders>
              <w:top w:val="single" w:sz="4" w:space="0" w:color="auto"/>
              <w:bottom w:val="single" w:sz="4" w:space="0" w:color="auto"/>
            </w:tcBorders>
            <w:vAlign w:val="center"/>
          </w:tcPr>
          <w:p w:rsidR="00212513" w:rsidRDefault="00212513">
            <w:pPr>
              <w:pStyle w:val="ConsPlusNormal"/>
              <w:jc w:val="center"/>
            </w:pPr>
            <w:r>
              <w:lastRenderedPageBreak/>
              <w:t>Фактор, вызывающий потери предварительного напряжения</w:t>
            </w:r>
          </w:p>
        </w:tc>
        <w:tc>
          <w:tcPr>
            <w:tcW w:w="5499" w:type="dxa"/>
            <w:gridSpan w:val="3"/>
            <w:tcBorders>
              <w:top w:val="single" w:sz="4" w:space="0" w:color="auto"/>
              <w:bottom w:val="single" w:sz="4" w:space="0" w:color="auto"/>
            </w:tcBorders>
            <w:vAlign w:val="center"/>
          </w:tcPr>
          <w:p w:rsidR="00212513" w:rsidRDefault="00212513">
            <w:pPr>
              <w:pStyle w:val="ConsPlusNormal"/>
              <w:jc w:val="center"/>
            </w:pPr>
            <w:r>
              <w:t>Значение потерь предварительного напряжения, МПа</w:t>
            </w:r>
          </w:p>
        </w:tc>
      </w:tr>
      <w:tr w:rsidR="00212513">
        <w:tblPrEx>
          <w:tblBorders>
            <w:insideH w:val="none" w:sz="0" w:space="0" w:color="auto"/>
          </w:tblBorders>
        </w:tblPrEx>
        <w:tc>
          <w:tcPr>
            <w:tcW w:w="3572" w:type="dxa"/>
            <w:tcBorders>
              <w:top w:val="single" w:sz="4" w:space="0" w:color="auto"/>
              <w:bottom w:val="nil"/>
            </w:tcBorders>
          </w:tcPr>
          <w:p w:rsidR="00212513" w:rsidRDefault="00212513">
            <w:pPr>
              <w:pStyle w:val="ConsPlusNormal"/>
            </w:pPr>
            <w:bookmarkStart w:id="510" w:name="P14447"/>
            <w:bookmarkEnd w:id="510"/>
            <w:r>
              <w:t>1 Релаксация напряжений арматуры:</w:t>
            </w:r>
          </w:p>
          <w:p w:rsidR="00212513" w:rsidRDefault="00212513">
            <w:pPr>
              <w:pStyle w:val="ConsPlusNormal"/>
              <w:ind w:left="283"/>
            </w:pPr>
            <w:r>
              <w:t>а) при механическом способе натяжения арматуры:</w:t>
            </w:r>
          </w:p>
        </w:tc>
        <w:tc>
          <w:tcPr>
            <w:tcW w:w="5499" w:type="dxa"/>
            <w:gridSpan w:val="3"/>
            <w:tcBorders>
              <w:top w:val="single" w:sz="4" w:space="0" w:color="auto"/>
              <w:bottom w:val="nil"/>
            </w:tcBorders>
          </w:tcPr>
          <w:p w:rsidR="00212513" w:rsidRDefault="00212513">
            <w:pPr>
              <w:pStyle w:val="ConsPlusNormal"/>
            </w:pPr>
          </w:p>
        </w:tc>
      </w:tr>
      <w:tr w:rsidR="00212513">
        <w:tblPrEx>
          <w:tblBorders>
            <w:insideH w:val="none" w:sz="0" w:space="0" w:color="auto"/>
          </w:tblBorders>
        </w:tblPrEx>
        <w:tc>
          <w:tcPr>
            <w:tcW w:w="3572" w:type="dxa"/>
            <w:tcBorders>
              <w:top w:val="nil"/>
              <w:bottom w:val="nil"/>
            </w:tcBorders>
          </w:tcPr>
          <w:p w:rsidR="00212513" w:rsidRDefault="00212513">
            <w:pPr>
              <w:pStyle w:val="ConsPlusNormal"/>
              <w:ind w:left="567"/>
            </w:pPr>
            <w:r>
              <w:t>проволочной и арматурных канатов</w:t>
            </w:r>
          </w:p>
        </w:tc>
        <w:tc>
          <w:tcPr>
            <w:tcW w:w="5499" w:type="dxa"/>
            <w:gridSpan w:val="3"/>
            <w:tcBorders>
              <w:top w:val="nil"/>
              <w:bottom w:val="nil"/>
            </w:tcBorders>
            <w:vAlign w:val="bottom"/>
          </w:tcPr>
          <w:p w:rsidR="00212513" w:rsidRDefault="00212513">
            <w:pPr>
              <w:pStyle w:val="ConsPlusNormal"/>
              <w:jc w:val="both"/>
            </w:pPr>
            <w:r>
              <w:rPr>
                <w:noProof/>
                <w:position w:val="-9"/>
              </w:rPr>
              <w:drawing>
                <wp:inline distT="0" distB="0" distL="0" distR="0">
                  <wp:extent cx="1603375" cy="262255"/>
                  <wp:effectExtent l="0" t="0" r="0" b="0"/>
                  <wp:docPr id="2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5" cstate="print">
                            <a:extLst>
                              <a:ext uri="{28A0092B-C50C-407E-A947-70E740481C1C}">
                                <a14:useLocalDpi xmlns:a14="http://schemas.microsoft.com/office/drawing/2010/main" val="0"/>
                              </a:ext>
                            </a:extLst>
                          </a:blip>
                          <a:srcRect/>
                          <a:stretch>
                            <a:fillRect/>
                          </a:stretch>
                        </pic:blipFill>
                        <pic:spPr bwMode="auto">
                          <a:xfrm>
                            <a:off x="0" y="0"/>
                            <a:ext cx="1603375" cy="262255"/>
                          </a:xfrm>
                          <a:prstGeom prst="rect">
                            <a:avLst/>
                          </a:prstGeom>
                          <a:noFill/>
                          <a:ln>
                            <a:noFill/>
                          </a:ln>
                        </pic:spPr>
                      </pic:pic>
                    </a:graphicData>
                  </a:graphic>
                </wp:inline>
              </w:drawing>
            </w:r>
          </w:p>
        </w:tc>
      </w:tr>
      <w:tr w:rsidR="00212513">
        <w:tblPrEx>
          <w:tblBorders>
            <w:insideH w:val="none" w:sz="0" w:space="0" w:color="auto"/>
          </w:tblBorders>
        </w:tblPrEx>
        <w:tc>
          <w:tcPr>
            <w:tcW w:w="3572" w:type="dxa"/>
            <w:tcBorders>
              <w:top w:val="nil"/>
              <w:bottom w:val="nil"/>
            </w:tcBorders>
          </w:tcPr>
          <w:p w:rsidR="00212513" w:rsidRDefault="00212513">
            <w:pPr>
              <w:pStyle w:val="ConsPlusNormal"/>
              <w:ind w:left="567"/>
            </w:pPr>
            <w:r>
              <w:t>стержневой</w:t>
            </w:r>
          </w:p>
        </w:tc>
        <w:tc>
          <w:tcPr>
            <w:tcW w:w="5499" w:type="dxa"/>
            <w:gridSpan w:val="3"/>
            <w:tcBorders>
              <w:top w:val="nil"/>
              <w:bottom w:val="nil"/>
            </w:tcBorders>
            <w:vAlign w:val="bottom"/>
          </w:tcPr>
          <w:p w:rsidR="00212513" w:rsidRDefault="00212513">
            <w:pPr>
              <w:pStyle w:val="ConsPlusNormal"/>
            </w:pPr>
            <w:r>
              <w:rPr>
                <w:noProof/>
                <w:position w:val="-9"/>
              </w:rPr>
              <w:drawing>
                <wp:inline distT="0" distB="0" distL="0" distR="0">
                  <wp:extent cx="744220" cy="262255"/>
                  <wp:effectExtent l="0" t="0" r="0" b="0"/>
                  <wp:docPr id="2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6" cstate="print">
                            <a:extLst>
                              <a:ext uri="{28A0092B-C50C-407E-A947-70E740481C1C}">
                                <a14:useLocalDpi xmlns:a14="http://schemas.microsoft.com/office/drawing/2010/main" val="0"/>
                              </a:ext>
                            </a:extLst>
                          </a:blip>
                          <a:srcRect/>
                          <a:stretch>
                            <a:fillRect/>
                          </a:stretch>
                        </pic:blipFill>
                        <pic:spPr bwMode="auto">
                          <a:xfrm>
                            <a:off x="0" y="0"/>
                            <a:ext cx="744220" cy="262255"/>
                          </a:xfrm>
                          <a:prstGeom prst="rect">
                            <a:avLst/>
                          </a:prstGeom>
                          <a:noFill/>
                          <a:ln>
                            <a:noFill/>
                          </a:ln>
                        </pic:spPr>
                      </pic:pic>
                    </a:graphicData>
                  </a:graphic>
                </wp:inline>
              </w:drawing>
            </w:r>
          </w:p>
        </w:tc>
      </w:tr>
      <w:tr w:rsidR="00212513">
        <w:tblPrEx>
          <w:tblBorders>
            <w:insideH w:val="none" w:sz="0" w:space="0" w:color="auto"/>
          </w:tblBorders>
        </w:tblPrEx>
        <w:tc>
          <w:tcPr>
            <w:tcW w:w="3572" w:type="dxa"/>
            <w:vMerge w:val="restart"/>
            <w:tcBorders>
              <w:top w:val="nil"/>
              <w:bottom w:val="single" w:sz="4" w:space="0" w:color="auto"/>
            </w:tcBorders>
          </w:tcPr>
          <w:p w:rsidR="00212513" w:rsidRDefault="00212513">
            <w:pPr>
              <w:pStyle w:val="ConsPlusNormal"/>
              <w:ind w:left="283"/>
            </w:pPr>
            <w:r>
              <w:t>б) при электротермическом и электротермомеханическом способах натяжения стержневой арматуры</w:t>
            </w:r>
          </w:p>
        </w:tc>
        <w:tc>
          <w:tcPr>
            <w:tcW w:w="5499" w:type="dxa"/>
            <w:gridSpan w:val="3"/>
            <w:tcBorders>
              <w:top w:val="nil"/>
              <w:bottom w:val="nil"/>
            </w:tcBorders>
          </w:tcPr>
          <w:p w:rsidR="00212513" w:rsidRDefault="00212513">
            <w:pPr>
              <w:pStyle w:val="ConsPlusNormal"/>
            </w:pPr>
            <w:r>
              <w:rPr>
                <w:noProof/>
                <w:position w:val="-9"/>
              </w:rPr>
              <w:drawing>
                <wp:inline distT="0" distB="0" distL="0" distR="0">
                  <wp:extent cx="534670" cy="262255"/>
                  <wp:effectExtent l="0" t="0" r="0" b="0"/>
                  <wp:docPr id="2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7" cstate="print">
                            <a:extLst>
                              <a:ext uri="{28A0092B-C50C-407E-A947-70E740481C1C}">
                                <a14:useLocalDpi xmlns:a14="http://schemas.microsoft.com/office/drawing/2010/main" val="0"/>
                              </a:ext>
                            </a:extLst>
                          </a:blip>
                          <a:srcRect/>
                          <a:stretch>
                            <a:fillRect/>
                          </a:stretch>
                        </pic:blipFill>
                        <pic:spPr bwMode="auto">
                          <a:xfrm>
                            <a:off x="0" y="0"/>
                            <a:ext cx="534670" cy="262255"/>
                          </a:xfrm>
                          <a:prstGeom prst="rect">
                            <a:avLst/>
                          </a:prstGeom>
                          <a:noFill/>
                          <a:ln>
                            <a:noFill/>
                          </a:ln>
                        </pic:spPr>
                      </pic:pic>
                    </a:graphicData>
                  </a:graphic>
                </wp:inline>
              </w:drawing>
            </w:r>
          </w:p>
          <w:p w:rsidR="00212513" w:rsidRDefault="00212513">
            <w:pPr>
              <w:pStyle w:val="ConsPlusNormal"/>
            </w:pPr>
          </w:p>
          <w:p w:rsidR="00212513" w:rsidRDefault="00212513">
            <w:pPr>
              <w:pStyle w:val="ConsPlusNormal"/>
            </w:pPr>
            <w:r>
              <w:rPr>
                <w:noProof/>
                <w:position w:val="-9"/>
              </w:rPr>
              <w:drawing>
                <wp:inline distT="0" distB="0" distL="0" distR="0">
                  <wp:extent cx="220345" cy="262255"/>
                  <wp:effectExtent l="0" t="0" r="0" b="0"/>
                  <wp:docPr id="2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8"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r>
              <w:t xml:space="preserve"> </w:t>
            </w:r>
            <w:r>
              <w:rPr>
                <w:i/>
              </w:rPr>
              <w:t>-</w:t>
            </w:r>
            <w:r>
              <w:t xml:space="preserve"> напряжение в напрягаемой арматуре без учета перетяжки и потерь, за исключением потерь от сил трения;</w:t>
            </w:r>
          </w:p>
          <w:p w:rsidR="00212513" w:rsidRDefault="00212513">
            <w:pPr>
              <w:pStyle w:val="ConsPlusNormal"/>
            </w:pPr>
            <w:r>
              <w:rPr>
                <w:i/>
              </w:rPr>
              <w:t>R</w:t>
            </w:r>
            <w:r>
              <w:rPr>
                <w:i/>
                <w:vertAlign w:val="subscript"/>
              </w:rPr>
              <w:t>pn</w:t>
            </w:r>
            <w:r>
              <w:t xml:space="preserve"> </w:t>
            </w:r>
            <w:r>
              <w:rPr>
                <w:i/>
              </w:rPr>
              <w:t>-</w:t>
            </w:r>
            <w:r>
              <w:t xml:space="preserve"> гарантированное значение условного предела текучести напрягаемой арматуры, принимается по данным нормативного документа на ее изготовление.</w:t>
            </w:r>
          </w:p>
        </w:tc>
      </w:tr>
      <w:tr w:rsidR="00212513">
        <w:tblPrEx>
          <w:tblBorders>
            <w:insideH w:val="none" w:sz="0" w:space="0" w:color="auto"/>
          </w:tblBorders>
        </w:tblPrEx>
        <w:tc>
          <w:tcPr>
            <w:tcW w:w="3572" w:type="dxa"/>
            <w:vMerge/>
            <w:tcBorders>
              <w:top w:val="nil"/>
              <w:bottom w:val="single" w:sz="4" w:space="0" w:color="auto"/>
            </w:tcBorders>
          </w:tcPr>
          <w:p w:rsidR="00212513" w:rsidRDefault="00212513">
            <w:pPr>
              <w:pStyle w:val="ConsPlusNormal"/>
            </w:pPr>
          </w:p>
        </w:tc>
        <w:tc>
          <w:tcPr>
            <w:tcW w:w="5499" w:type="dxa"/>
            <w:gridSpan w:val="3"/>
            <w:tcBorders>
              <w:top w:val="nil"/>
              <w:bottom w:val="nil"/>
            </w:tcBorders>
          </w:tcPr>
          <w:p w:rsidR="00212513" w:rsidRDefault="00212513">
            <w:pPr>
              <w:pStyle w:val="ConsPlusNormal"/>
            </w:pPr>
            <w:r>
              <w:t>Если вычисленные значения потерь от релаксации напряжений оказываются отрицательными, их следует принимать равными нулю.</w:t>
            </w:r>
          </w:p>
        </w:tc>
      </w:tr>
      <w:tr w:rsidR="00212513">
        <w:tblPrEx>
          <w:tblBorders>
            <w:insideH w:val="none" w:sz="0" w:space="0" w:color="auto"/>
          </w:tblBorders>
        </w:tblPrEx>
        <w:tc>
          <w:tcPr>
            <w:tcW w:w="3572" w:type="dxa"/>
            <w:vMerge/>
            <w:tcBorders>
              <w:top w:val="nil"/>
              <w:bottom w:val="single" w:sz="4" w:space="0" w:color="auto"/>
            </w:tcBorders>
          </w:tcPr>
          <w:p w:rsidR="00212513" w:rsidRDefault="00212513">
            <w:pPr>
              <w:pStyle w:val="ConsPlusNormal"/>
            </w:pPr>
          </w:p>
        </w:tc>
        <w:tc>
          <w:tcPr>
            <w:tcW w:w="5499" w:type="dxa"/>
            <w:gridSpan w:val="3"/>
            <w:tcBorders>
              <w:top w:val="nil"/>
              <w:bottom w:val="nil"/>
            </w:tcBorders>
          </w:tcPr>
          <w:p w:rsidR="00212513" w:rsidRDefault="00212513">
            <w:pPr>
              <w:pStyle w:val="ConsPlusNormal"/>
            </w:pPr>
            <w:r>
              <w:t xml:space="preserve">Проявление потерь от релаксации во времени следует учитывать в соответствии с </w:t>
            </w:r>
            <w:hyperlink w:anchor="P2145">
              <w:r>
                <w:rPr>
                  <w:color w:val="0000FF"/>
                </w:rPr>
                <w:t>7.14</w:t>
              </w:r>
            </w:hyperlink>
            <w:r>
              <w:t>.</w:t>
            </w:r>
          </w:p>
        </w:tc>
      </w:tr>
      <w:tr w:rsidR="00212513">
        <w:tc>
          <w:tcPr>
            <w:tcW w:w="3572" w:type="dxa"/>
            <w:vMerge/>
            <w:tcBorders>
              <w:top w:val="nil"/>
              <w:bottom w:val="single" w:sz="4" w:space="0" w:color="auto"/>
            </w:tcBorders>
          </w:tcPr>
          <w:p w:rsidR="00212513" w:rsidRDefault="00212513">
            <w:pPr>
              <w:pStyle w:val="ConsPlusNormal"/>
            </w:pPr>
          </w:p>
        </w:tc>
        <w:tc>
          <w:tcPr>
            <w:tcW w:w="5499" w:type="dxa"/>
            <w:gridSpan w:val="3"/>
            <w:tcBorders>
              <w:top w:val="nil"/>
              <w:bottom w:val="single" w:sz="4" w:space="0" w:color="auto"/>
            </w:tcBorders>
          </w:tcPr>
          <w:p w:rsidR="00212513" w:rsidRDefault="00212513">
            <w:pPr>
              <w:pStyle w:val="ConsPlusNormal"/>
            </w:pPr>
            <w:r>
              <w:t>Формула для определения потерь дана для нестабилизированной арматуры, в процессе натяжения которой проводится перетяжка. Для стабилизированной арматуры (с пониженной релаксацией), для которой перетяжку выполнять не следует, значения, полученные по формуле, необходимо уменьшать в два раза. В случае если для нестабилизированной арматуры перетяжка не выполняется, значения, полученные по формуле, следует увеличивать в два раза</w:t>
            </w:r>
          </w:p>
        </w:tc>
      </w:tr>
      <w:tr w:rsidR="00212513">
        <w:tc>
          <w:tcPr>
            <w:tcW w:w="3572" w:type="dxa"/>
            <w:tcBorders>
              <w:top w:val="single" w:sz="4" w:space="0" w:color="auto"/>
              <w:bottom w:val="single" w:sz="4" w:space="0" w:color="auto"/>
            </w:tcBorders>
          </w:tcPr>
          <w:p w:rsidR="00212513" w:rsidRDefault="00212513">
            <w:pPr>
              <w:pStyle w:val="ConsPlusNormal"/>
            </w:pPr>
            <w:r>
              <w:t>2 Температурный перепад при натяжении на упоры (разность температуры натянутой арматуры в зоне нагрева и устройства, воспринимающего усилие натяжения при прогреве бетона)</w:t>
            </w:r>
          </w:p>
        </w:tc>
        <w:tc>
          <w:tcPr>
            <w:tcW w:w="5499" w:type="dxa"/>
            <w:gridSpan w:val="3"/>
            <w:tcBorders>
              <w:top w:val="single" w:sz="4" w:space="0" w:color="auto"/>
              <w:bottom w:val="single" w:sz="4" w:space="0" w:color="auto"/>
            </w:tcBorders>
          </w:tcPr>
          <w:p w:rsidR="00212513" w:rsidRDefault="00212513">
            <w:pPr>
              <w:pStyle w:val="ConsPlusNonformat"/>
              <w:jc w:val="both"/>
            </w:pPr>
            <w:r>
              <w:t xml:space="preserve">Для бетона классов B25 - B40 - </w:t>
            </w:r>
            <w:r>
              <w:rPr>
                <w:noProof/>
                <w:position w:val="-5"/>
              </w:rPr>
              <w:drawing>
                <wp:inline distT="0" distB="0" distL="0" distR="0">
                  <wp:extent cx="447675" cy="200025"/>
                  <wp:effectExtent l="0" t="0" r="0" b="0"/>
                  <wp:docPr id="2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9"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t>;</w:t>
            </w:r>
          </w:p>
          <w:p w:rsidR="00212513" w:rsidRDefault="00212513">
            <w:pPr>
              <w:pStyle w:val="ConsPlusNonformat"/>
              <w:jc w:val="both"/>
            </w:pPr>
            <w:r>
              <w:t xml:space="preserve">то же,     класса B45 и выше - </w:t>
            </w:r>
            <w:r>
              <w:rPr>
                <w:noProof/>
                <w:position w:val="-5"/>
              </w:rPr>
              <w:drawing>
                <wp:inline distT="0" distB="0" distL="0" distR="0">
                  <wp:extent cx="447675" cy="200025"/>
                  <wp:effectExtent l="0" t="0" r="0" b="0"/>
                  <wp:docPr id="2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0"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t>,</w:t>
            </w:r>
          </w:p>
          <w:p w:rsidR="00212513" w:rsidRDefault="00212513">
            <w:pPr>
              <w:pStyle w:val="ConsPlusNormal"/>
            </w:pPr>
            <w:r>
              <w:t xml:space="preserve">где </w:t>
            </w:r>
            <w:r>
              <w:rPr>
                <w:noProof/>
                <w:position w:val="-4"/>
              </w:rPr>
              <w:drawing>
                <wp:inline distT="0" distB="0" distL="0" distR="0">
                  <wp:extent cx="209550" cy="199390"/>
                  <wp:effectExtent l="0" t="0" r="0" b="0"/>
                  <wp:docPr id="2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1"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 xml:space="preserve"> - разность между температурой нагреваемой арматуры и неподвижных упоров (вне зоны нагрева), воспринимающих усилие натяжения, °C. Расчетное значение </w:t>
            </w:r>
            <w:r>
              <w:rPr>
                <w:noProof/>
                <w:position w:val="-4"/>
              </w:rPr>
              <w:drawing>
                <wp:inline distT="0" distB="0" distL="0" distR="0">
                  <wp:extent cx="209550" cy="199390"/>
                  <wp:effectExtent l="0" t="0" r="0" b="0"/>
                  <wp:docPr id="2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1"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 xml:space="preserve"> при отсутствии точных данных следует принимать равным 65 °C. Потери от температурного перепада не учитываются, если температура стенда равна температуре нагреваемой арматуры или если в процессе термообработки проводится подтяжка напрягаемой арматуры на величину, компенсирующую потери от температурного перепада</w:t>
            </w:r>
          </w:p>
        </w:tc>
      </w:tr>
      <w:tr w:rsidR="00212513">
        <w:tblPrEx>
          <w:tblBorders>
            <w:insideH w:val="none" w:sz="0" w:space="0" w:color="auto"/>
          </w:tblBorders>
        </w:tblPrEx>
        <w:tc>
          <w:tcPr>
            <w:tcW w:w="3572" w:type="dxa"/>
            <w:tcBorders>
              <w:top w:val="single" w:sz="4" w:space="0" w:color="auto"/>
              <w:bottom w:val="nil"/>
            </w:tcBorders>
          </w:tcPr>
          <w:p w:rsidR="00212513" w:rsidRDefault="00212513">
            <w:pPr>
              <w:pStyle w:val="ConsPlusNormal"/>
            </w:pPr>
            <w:r>
              <w:lastRenderedPageBreak/>
              <w:t>3 Деформация анкеров, расположенных у натяжных устройств, при натяжении:</w:t>
            </w:r>
          </w:p>
        </w:tc>
        <w:tc>
          <w:tcPr>
            <w:tcW w:w="5499" w:type="dxa"/>
            <w:gridSpan w:val="3"/>
            <w:tcBorders>
              <w:top w:val="single" w:sz="4" w:space="0" w:color="auto"/>
              <w:bottom w:val="nil"/>
            </w:tcBorders>
          </w:tcPr>
          <w:p w:rsidR="00212513" w:rsidRDefault="00212513">
            <w:pPr>
              <w:pStyle w:val="ConsPlusNormal"/>
            </w:pPr>
          </w:p>
        </w:tc>
      </w:tr>
      <w:tr w:rsidR="00212513">
        <w:tblPrEx>
          <w:tblBorders>
            <w:insideH w:val="none" w:sz="0" w:space="0" w:color="auto"/>
          </w:tblBorders>
        </w:tblPrEx>
        <w:tc>
          <w:tcPr>
            <w:tcW w:w="3572" w:type="dxa"/>
            <w:tcBorders>
              <w:top w:val="nil"/>
              <w:bottom w:val="nil"/>
            </w:tcBorders>
          </w:tcPr>
          <w:p w:rsidR="00212513" w:rsidRDefault="00212513">
            <w:pPr>
              <w:pStyle w:val="ConsPlusNormal"/>
              <w:ind w:left="283"/>
            </w:pPr>
            <w:r>
              <w:t>а) на упоры</w:t>
            </w:r>
          </w:p>
        </w:tc>
        <w:tc>
          <w:tcPr>
            <w:tcW w:w="5499" w:type="dxa"/>
            <w:gridSpan w:val="3"/>
            <w:tcBorders>
              <w:top w:val="nil"/>
              <w:bottom w:val="nil"/>
            </w:tcBorders>
          </w:tcPr>
          <w:p w:rsidR="00212513" w:rsidRDefault="00212513">
            <w:pPr>
              <w:pStyle w:val="ConsPlusNormal"/>
              <w:jc w:val="center"/>
            </w:pPr>
            <w:r>
              <w:rPr>
                <w:noProof/>
                <w:position w:val="-9"/>
              </w:rPr>
              <w:drawing>
                <wp:inline distT="0" distB="0" distL="0" distR="0">
                  <wp:extent cx="576580" cy="262255"/>
                  <wp:effectExtent l="0" t="0" r="0" b="0"/>
                  <wp:docPr id="2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2" cstate="print">
                            <a:extLst>
                              <a:ext uri="{28A0092B-C50C-407E-A947-70E740481C1C}">
                                <a14:useLocalDpi xmlns:a14="http://schemas.microsoft.com/office/drawing/2010/main" val="0"/>
                              </a:ext>
                            </a:extLst>
                          </a:blip>
                          <a:srcRect/>
                          <a:stretch>
                            <a:fillRect/>
                          </a:stretch>
                        </pic:blipFill>
                        <pic:spPr bwMode="auto">
                          <a:xfrm>
                            <a:off x="0" y="0"/>
                            <a:ext cx="576580" cy="262255"/>
                          </a:xfrm>
                          <a:prstGeom prst="rect">
                            <a:avLst/>
                          </a:prstGeom>
                          <a:noFill/>
                          <a:ln>
                            <a:noFill/>
                          </a:ln>
                        </pic:spPr>
                      </pic:pic>
                    </a:graphicData>
                  </a:graphic>
                </wp:inline>
              </w:drawing>
            </w:r>
          </w:p>
          <w:p w:rsidR="00212513" w:rsidRDefault="00212513">
            <w:pPr>
              <w:pStyle w:val="ConsPlusNormal"/>
              <w:jc w:val="center"/>
            </w:pPr>
          </w:p>
          <w:p w:rsidR="00212513" w:rsidRDefault="00212513">
            <w:pPr>
              <w:pStyle w:val="ConsPlusNormal"/>
            </w:pPr>
            <w:r>
              <w:t xml:space="preserve">где </w:t>
            </w:r>
            <w:r>
              <w:rPr>
                <w:noProof/>
                <w:position w:val="-4"/>
              </w:rPr>
              <w:drawing>
                <wp:inline distT="0" distB="0" distL="0" distR="0">
                  <wp:extent cx="209550" cy="199390"/>
                  <wp:effectExtent l="0" t="0" r="0" b="0"/>
                  <wp:docPr id="2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3"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 xml:space="preserve"> - сжатие опрессованных шайб, смятие высаженных головок и т.п., принимаемое равным 2 мм на каждый анкер</w:t>
            </w:r>
          </w:p>
        </w:tc>
      </w:tr>
      <w:tr w:rsidR="00212513">
        <w:tblPrEx>
          <w:tblBorders>
            <w:insideH w:val="none" w:sz="0" w:space="0" w:color="auto"/>
          </w:tblBorders>
        </w:tblPrEx>
        <w:tc>
          <w:tcPr>
            <w:tcW w:w="3572" w:type="dxa"/>
            <w:tcBorders>
              <w:top w:val="nil"/>
              <w:bottom w:val="single" w:sz="4" w:space="0" w:color="auto"/>
            </w:tcBorders>
          </w:tcPr>
          <w:p w:rsidR="00212513" w:rsidRDefault="00212513">
            <w:pPr>
              <w:pStyle w:val="ConsPlusNormal"/>
              <w:ind w:left="283"/>
            </w:pPr>
            <w:r>
              <w:t>б) на бетон</w:t>
            </w:r>
          </w:p>
        </w:tc>
        <w:tc>
          <w:tcPr>
            <w:tcW w:w="5499" w:type="dxa"/>
            <w:gridSpan w:val="3"/>
            <w:tcBorders>
              <w:top w:val="nil"/>
              <w:bottom w:val="single" w:sz="4" w:space="0" w:color="auto"/>
            </w:tcBorders>
          </w:tcPr>
          <w:p w:rsidR="00212513" w:rsidRDefault="00212513">
            <w:pPr>
              <w:pStyle w:val="ConsPlusNormal"/>
              <w:jc w:val="center"/>
            </w:pPr>
            <w:r>
              <w:rPr>
                <w:noProof/>
                <w:position w:val="-9"/>
              </w:rPr>
              <w:drawing>
                <wp:inline distT="0" distB="0" distL="0" distR="0">
                  <wp:extent cx="1100455" cy="262255"/>
                  <wp:effectExtent l="0" t="0" r="0" b="0"/>
                  <wp:docPr id="2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4" cstate="print">
                            <a:extLst>
                              <a:ext uri="{28A0092B-C50C-407E-A947-70E740481C1C}">
                                <a14:useLocalDpi xmlns:a14="http://schemas.microsoft.com/office/drawing/2010/main" val="0"/>
                              </a:ext>
                            </a:extLst>
                          </a:blip>
                          <a:srcRect/>
                          <a:stretch>
                            <a:fillRect/>
                          </a:stretch>
                        </pic:blipFill>
                        <pic:spPr bwMode="auto">
                          <a:xfrm>
                            <a:off x="0" y="0"/>
                            <a:ext cx="1100455" cy="262255"/>
                          </a:xfrm>
                          <a:prstGeom prst="rect">
                            <a:avLst/>
                          </a:prstGeom>
                          <a:noFill/>
                          <a:ln>
                            <a:noFill/>
                          </a:ln>
                        </pic:spPr>
                      </pic:pic>
                    </a:graphicData>
                  </a:graphic>
                </wp:inline>
              </w:drawing>
            </w:r>
          </w:p>
          <w:p w:rsidR="00212513" w:rsidRDefault="00212513">
            <w:pPr>
              <w:pStyle w:val="ConsPlusNormal"/>
              <w:jc w:val="center"/>
            </w:pPr>
          </w:p>
          <w:p w:rsidR="00212513" w:rsidRDefault="00212513">
            <w:pPr>
              <w:pStyle w:val="ConsPlusNormal"/>
            </w:pPr>
            <w:r>
              <w:t xml:space="preserve">где </w:t>
            </w:r>
            <w:r>
              <w:rPr>
                <w:noProof/>
                <w:position w:val="-8"/>
              </w:rPr>
              <w:drawing>
                <wp:inline distT="0" distB="0" distL="0" distR="0">
                  <wp:extent cx="241300" cy="251460"/>
                  <wp:effectExtent l="0" t="0" r="0" b="0"/>
                  <wp:docPr id="2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5" cstate="print">
                            <a:extLst>
                              <a:ext uri="{28A0092B-C50C-407E-A947-70E740481C1C}">
                                <a14:useLocalDpi xmlns:a14="http://schemas.microsoft.com/office/drawing/2010/main" val="0"/>
                              </a:ext>
                            </a:extLst>
                          </a:blip>
                          <a:srcRect/>
                          <a:stretch>
                            <a:fillRect/>
                          </a:stretch>
                        </pic:blipFill>
                        <pic:spPr bwMode="auto">
                          <a:xfrm>
                            <a:off x="0" y="0"/>
                            <a:ext cx="241300" cy="251460"/>
                          </a:xfrm>
                          <a:prstGeom prst="rect">
                            <a:avLst/>
                          </a:prstGeom>
                          <a:noFill/>
                          <a:ln>
                            <a:noFill/>
                          </a:ln>
                        </pic:spPr>
                      </pic:pic>
                    </a:graphicData>
                  </a:graphic>
                </wp:inline>
              </w:drawing>
            </w:r>
            <w:r>
              <w:t xml:space="preserve"> - обжатие шайб под анкерами и обмятие бетона под шайбами, равное 0,5 мм на каждый шов, но не менее 2 мм на каждый анкер, за который проводится натяжение;</w:t>
            </w:r>
          </w:p>
          <w:p w:rsidR="00212513" w:rsidRDefault="00212513">
            <w:pPr>
              <w:pStyle w:val="ConsPlusNormal"/>
            </w:pPr>
            <w:r>
              <w:rPr>
                <w:noProof/>
                <w:position w:val="-8"/>
              </w:rPr>
              <w:drawing>
                <wp:inline distT="0" distB="0" distL="0" distR="0">
                  <wp:extent cx="251460" cy="251460"/>
                  <wp:effectExtent l="0" t="0" r="0" b="0"/>
                  <wp:docPr id="2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6"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деформация арматурного элемента относительно анкера, принимаемая равной: для анкера стаканного типа, в котором проволока закрепляется с помощью сплава, бетона, конусного закрепления, высаженных головок, - 2 мм на анкер; для напрягаемых хомутов - 1 мм на анкер; для конусных анкеров пучков из арматурных канатов класса К7 - 8 мм на анкер; для стержневых хомутов с плотно завинчивающимися гайками с шайбой или парных коротышей - общую величину потерь всех видов в таких хомутах допускается учитывать в размере 98 МПа;</w:t>
            </w:r>
          </w:p>
          <w:p w:rsidR="00212513" w:rsidRDefault="00212513">
            <w:pPr>
              <w:pStyle w:val="ConsPlusNormal"/>
            </w:pPr>
            <w:r>
              <w:rPr>
                <w:i/>
              </w:rPr>
              <w:t>l</w:t>
            </w:r>
            <w:r>
              <w:t xml:space="preserve"> - длина участка пучка (на котором происходят потери напряжений от данного фактора), уменьшенная в два раза, мм;</w:t>
            </w:r>
          </w:p>
          <w:p w:rsidR="00212513" w:rsidRDefault="00212513">
            <w:pPr>
              <w:pStyle w:val="ConsPlusNormal"/>
            </w:pPr>
            <w:r>
              <w:rPr>
                <w:i/>
              </w:rPr>
              <w:t>E</w:t>
            </w:r>
            <w:r>
              <w:rPr>
                <w:i/>
                <w:vertAlign w:val="subscript"/>
              </w:rPr>
              <w:t>р</w:t>
            </w:r>
            <w:r>
              <w:t xml:space="preserve"> </w:t>
            </w:r>
            <w:r>
              <w:rPr>
                <w:i/>
              </w:rPr>
              <w:t>-</w:t>
            </w:r>
            <w:r>
              <w:t xml:space="preserve"> модуль упругости напрягаемой арматуры</w:t>
            </w:r>
          </w:p>
        </w:tc>
      </w:tr>
      <w:tr w:rsidR="00212513">
        <w:tblPrEx>
          <w:tblBorders>
            <w:insideH w:val="none" w:sz="0" w:space="0" w:color="auto"/>
          </w:tblBorders>
        </w:tblPrEx>
        <w:tc>
          <w:tcPr>
            <w:tcW w:w="3572" w:type="dxa"/>
            <w:tcBorders>
              <w:top w:val="single" w:sz="4" w:space="0" w:color="auto"/>
              <w:bottom w:val="nil"/>
            </w:tcBorders>
          </w:tcPr>
          <w:p w:rsidR="00212513" w:rsidRDefault="00212513">
            <w:pPr>
              <w:pStyle w:val="ConsPlusNormal"/>
            </w:pPr>
            <w:r>
              <w:t>4 Трение арматуры</w:t>
            </w:r>
          </w:p>
        </w:tc>
        <w:tc>
          <w:tcPr>
            <w:tcW w:w="5499" w:type="dxa"/>
            <w:gridSpan w:val="3"/>
            <w:tcBorders>
              <w:top w:val="single" w:sz="4" w:space="0" w:color="auto"/>
              <w:bottom w:val="nil"/>
            </w:tcBorders>
          </w:tcPr>
          <w:p w:rsidR="00212513" w:rsidRDefault="00212513">
            <w:pPr>
              <w:pStyle w:val="ConsPlusNormal"/>
            </w:pPr>
          </w:p>
        </w:tc>
      </w:tr>
      <w:tr w:rsidR="00212513">
        <w:tblPrEx>
          <w:tblBorders>
            <w:insideH w:val="none" w:sz="0" w:space="0" w:color="auto"/>
          </w:tblBorders>
        </w:tblPrEx>
        <w:tc>
          <w:tcPr>
            <w:tcW w:w="3572" w:type="dxa"/>
            <w:tcBorders>
              <w:top w:val="nil"/>
              <w:bottom w:val="nil"/>
            </w:tcBorders>
          </w:tcPr>
          <w:p w:rsidR="00212513" w:rsidRDefault="00212513">
            <w:pPr>
              <w:pStyle w:val="ConsPlusNormal"/>
              <w:ind w:left="283"/>
            </w:pPr>
            <w:r>
              <w:t>а) о стенки закрытых и открытых каналов при натяжении арматуры на бетон</w:t>
            </w:r>
          </w:p>
        </w:tc>
        <w:tc>
          <w:tcPr>
            <w:tcW w:w="5499" w:type="dxa"/>
            <w:gridSpan w:val="3"/>
            <w:tcBorders>
              <w:top w:val="nil"/>
              <w:bottom w:val="nil"/>
            </w:tcBorders>
          </w:tcPr>
          <w:p w:rsidR="00212513" w:rsidRDefault="00212513">
            <w:pPr>
              <w:pStyle w:val="ConsPlusNormal"/>
              <w:jc w:val="center"/>
            </w:pPr>
            <w:r>
              <w:rPr>
                <w:noProof/>
                <w:position w:val="-11"/>
              </w:rPr>
              <w:drawing>
                <wp:inline distT="0" distB="0" distL="0" distR="0">
                  <wp:extent cx="1121410" cy="283210"/>
                  <wp:effectExtent l="0" t="0" r="0" b="0"/>
                  <wp:docPr id="2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7" cstate="print">
                            <a:extLst>
                              <a:ext uri="{28A0092B-C50C-407E-A947-70E740481C1C}">
                                <a14:useLocalDpi xmlns:a14="http://schemas.microsoft.com/office/drawing/2010/main" val="0"/>
                              </a:ext>
                            </a:extLst>
                          </a:blip>
                          <a:srcRect/>
                          <a:stretch>
                            <a:fillRect/>
                          </a:stretch>
                        </pic:blipFill>
                        <pic:spPr bwMode="auto">
                          <a:xfrm>
                            <a:off x="0" y="0"/>
                            <a:ext cx="1121410" cy="283210"/>
                          </a:xfrm>
                          <a:prstGeom prst="rect">
                            <a:avLst/>
                          </a:prstGeom>
                          <a:noFill/>
                          <a:ln>
                            <a:noFill/>
                          </a:ln>
                        </pic:spPr>
                      </pic:pic>
                    </a:graphicData>
                  </a:graphic>
                </wp:inline>
              </w:drawing>
            </w:r>
          </w:p>
          <w:p w:rsidR="00212513" w:rsidRDefault="00212513">
            <w:pPr>
              <w:pStyle w:val="ConsPlusNormal"/>
              <w:jc w:val="center"/>
            </w:pPr>
          </w:p>
          <w:p w:rsidR="00212513" w:rsidRDefault="00212513">
            <w:pPr>
              <w:pStyle w:val="ConsPlusNormal"/>
            </w:pPr>
            <w:r>
              <w:t xml:space="preserve">где </w:t>
            </w:r>
            <w:r>
              <w:rPr>
                <w:noProof/>
                <w:position w:val="-9"/>
              </w:rPr>
              <w:drawing>
                <wp:inline distT="0" distB="0" distL="0" distR="0">
                  <wp:extent cx="220345" cy="262255"/>
                  <wp:effectExtent l="0" t="0" r="0" b="0"/>
                  <wp:docPr id="2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8"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r>
              <w:t xml:space="preserve"> - принимается без учета потерь;</w:t>
            </w:r>
          </w:p>
          <w:p w:rsidR="00212513" w:rsidRDefault="00212513">
            <w:pPr>
              <w:pStyle w:val="ConsPlusNormal"/>
            </w:pPr>
            <w:r>
              <w:rPr>
                <w:i/>
              </w:rPr>
              <w:t>e -</w:t>
            </w:r>
            <w:r>
              <w:t xml:space="preserve"> основание натуральных логарифмов;</w:t>
            </w:r>
          </w:p>
          <w:p w:rsidR="00212513" w:rsidRDefault="00212513">
            <w:pPr>
              <w:pStyle w:val="ConsPlusNormal"/>
            </w:pPr>
            <w:r>
              <w:rPr>
                <w:noProof/>
                <w:position w:val="-1"/>
              </w:rPr>
              <w:drawing>
                <wp:inline distT="0" distB="0" distL="0" distR="0">
                  <wp:extent cx="167640" cy="157480"/>
                  <wp:effectExtent l="0" t="0" r="0" b="0"/>
                  <wp:docPr id="2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9"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r>
              <w:t xml:space="preserve">, </w:t>
            </w:r>
            <w:r>
              <w:rPr>
                <w:noProof/>
                <w:position w:val="-4"/>
              </w:rPr>
              <w:drawing>
                <wp:inline distT="0" distB="0" distL="0" distR="0">
                  <wp:extent cx="157480" cy="199390"/>
                  <wp:effectExtent l="0" t="0" r="0" b="0"/>
                  <wp:docPr id="2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0"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r>
              <w:t xml:space="preserve"> - коэффициенты, определяемые по </w:t>
            </w:r>
            <w:hyperlink w:anchor="P14560">
              <w:r>
                <w:rPr>
                  <w:color w:val="0000FF"/>
                </w:rPr>
                <w:t>таблице Р.2</w:t>
              </w:r>
            </w:hyperlink>
            <w:r>
              <w:t xml:space="preserve"> настоящего приложения. Разрешается применять иные обоснованные натурными измерениями значения коэффициентов, в том числе при корректировке значений контролируемых вытяжек;</w:t>
            </w:r>
          </w:p>
          <w:p w:rsidR="00212513" w:rsidRDefault="00212513">
            <w:pPr>
              <w:pStyle w:val="ConsPlusNormal"/>
            </w:pPr>
            <w:r>
              <w:rPr>
                <w:i/>
              </w:rPr>
              <w:t>x -</w:t>
            </w:r>
            <w:r>
              <w:t xml:space="preserve"> длина участка от натяжного устройства до расчетного сечения, м;</w:t>
            </w:r>
          </w:p>
          <w:p w:rsidR="00212513" w:rsidRDefault="00212513">
            <w:pPr>
              <w:pStyle w:val="ConsPlusNormal"/>
            </w:pPr>
            <w:r>
              <w:rPr>
                <w:noProof/>
                <w:position w:val="-4"/>
              </w:rPr>
              <w:drawing>
                <wp:inline distT="0" distB="0" distL="0" distR="0">
                  <wp:extent cx="136525" cy="199390"/>
                  <wp:effectExtent l="0" t="0" r="0" b="0"/>
                  <wp:docPr id="2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1"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 суммарный угол поворота оси арматуры, рад. Для криволинейных пролетных строений следует учитывать угол поворота пролетного строения в плане. Допускается учитывать смещение оси пучка относительно оси канала</w:t>
            </w:r>
          </w:p>
        </w:tc>
      </w:tr>
      <w:tr w:rsidR="00212513">
        <w:tblPrEx>
          <w:tblBorders>
            <w:insideH w:val="none" w:sz="0" w:space="0" w:color="auto"/>
          </w:tblBorders>
        </w:tblPrEx>
        <w:tc>
          <w:tcPr>
            <w:tcW w:w="3572" w:type="dxa"/>
            <w:tcBorders>
              <w:top w:val="nil"/>
              <w:bottom w:val="single" w:sz="4" w:space="0" w:color="auto"/>
            </w:tcBorders>
          </w:tcPr>
          <w:p w:rsidR="00212513" w:rsidRDefault="00212513">
            <w:pPr>
              <w:pStyle w:val="ConsPlusNormal"/>
              <w:ind w:left="283"/>
            </w:pPr>
            <w:r>
              <w:lastRenderedPageBreak/>
              <w:t>б) об огибающие приспособления</w:t>
            </w:r>
          </w:p>
        </w:tc>
        <w:tc>
          <w:tcPr>
            <w:tcW w:w="5499" w:type="dxa"/>
            <w:gridSpan w:val="3"/>
            <w:tcBorders>
              <w:top w:val="nil"/>
              <w:bottom w:val="single" w:sz="4" w:space="0" w:color="auto"/>
            </w:tcBorders>
          </w:tcPr>
          <w:p w:rsidR="00212513" w:rsidRDefault="00212513">
            <w:pPr>
              <w:pStyle w:val="ConsPlusNormal"/>
              <w:jc w:val="center"/>
            </w:pPr>
            <w:r>
              <w:rPr>
                <w:noProof/>
                <w:position w:val="-11"/>
              </w:rPr>
              <w:drawing>
                <wp:inline distT="0" distB="0" distL="0" distR="0">
                  <wp:extent cx="932815" cy="283210"/>
                  <wp:effectExtent l="0" t="0" r="0" b="0"/>
                  <wp:docPr id="2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2" cstate="print">
                            <a:extLst>
                              <a:ext uri="{28A0092B-C50C-407E-A947-70E740481C1C}">
                                <a14:useLocalDpi xmlns:a14="http://schemas.microsoft.com/office/drawing/2010/main" val="0"/>
                              </a:ext>
                            </a:extLst>
                          </a:blip>
                          <a:srcRect/>
                          <a:stretch>
                            <a:fillRect/>
                          </a:stretch>
                        </pic:blipFill>
                        <pic:spPr bwMode="auto">
                          <a:xfrm>
                            <a:off x="0" y="0"/>
                            <a:ext cx="932815" cy="283210"/>
                          </a:xfrm>
                          <a:prstGeom prst="rect">
                            <a:avLst/>
                          </a:prstGeom>
                          <a:noFill/>
                          <a:ln>
                            <a:noFill/>
                          </a:ln>
                        </pic:spPr>
                      </pic:pic>
                    </a:graphicData>
                  </a:graphic>
                </wp:inline>
              </w:drawing>
            </w:r>
          </w:p>
          <w:p w:rsidR="00212513" w:rsidRDefault="00212513">
            <w:pPr>
              <w:pStyle w:val="ConsPlusNormal"/>
              <w:jc w:val="center"/>
            </w:pPr>
          </w:p>
          <w:p w:rsidR="00212513" w:rsidRDefault="00212513">
            <w:pPr>
              <w:pStyle w:val="ConsPlusNormal"/>
            </w:pPr>
            <w:r>
              <w:t xml:space="preserve">где </w:t>
            </w:r>
            <w:r>
              <w:rPr>
                <w:noProof/>
                <w:position w:val="-9"/>
              </w:rPr>
              <w:drawing>
                <wp:inline distT="0" distB="0" distL="0" distR="0">
                  <wp:extent cx="220345" cy="262255"/>
                  <wp:effectExtent l="0" t="0" r="0" b="0"/>
                  <wp:docPr id="2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8"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r>
              <w:t xml:space="preserve"> </w:t>
            </w:r>
            <w:r>
              <w:rPr>
                <w:i/>
              </w:rPr>
              <w:t>-</w:t>
            </w:r>
            <w:r>
              <w:t xml:space="preserve"> принимается без учета потерь;</w:t>
            </w:r>
          </w:p>
          <w:p w:rsidR="00212513" w:rsidRDefault="00212513">
            <w:pPr>
              <w:pStyle w:val="ConsPlusNormal"/>
            </w:pPr>
            <w:r>
              <w:rPr>
                <w:i/>
              </w:rPr>
              <w:t>e -</w:t>
            </w:r>
            <w:r>
              <w:t xml:space="preserve"> основание натуральных логарифмов;</w:t>
            </w:r>
          </w:p>
          <w:p w:rsidR="00212513" w:rsidRDefault="00212513">
            <w:pPr>
              <w:pStyle w:val="ConsPlusNormal"/>
            </w:pPr>
            <w:r>
              <w:rPr>
                <w:noProof/>
                <w:position w:val="-4"/>
              </w:rPr>
              <w:drawing>
                <wp:inline distT="0" distB="0" distL="0" distR="0">
                  <wp:extent cx="157480" cy="199390"/>
                  <wp:effectExtent l="0" t="0" r="0" b="0"/>
                  <wp:docPr id="2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0"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r>
              <w:t xml:space="preserve"> - коэффициент, принимаемый равным 0,25;</w:t>
            </w:r>
          </w:p>
          <w:p w:rsidR="00212513" w:rsidRDefault="00212513">
            <w:pPr>
              <w:pStyle w:val="ConsPlusNormal"/>
            </w:pPr>
            <w:r>
              <w:rPr>
                <w:noProof/>
                <w:position w:val="-4"/>
              </w:rPr>
              <w:drawing>
                <wp:inline distT="0" distB="0" distL="0" distR="0">
                  <wp:extent cx="136525" cy="199390"/>
                  <wp:effectExtent l="0" t="0" r="0" b="0"/>
                  <wp:docPr id="2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1"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 суммарный угол поворота оси арматуры, рад.</w:t>
            </w:r>
          </w:p>
          <w:p w:rsidR="00212513" w:rsidRDefault="00212513">
            <w:pPr>
              <w:pStyle w:val="ConsPlusNormal"/>
            </w:pPr>
            <w:r>
              <w:t>При применении промежуточных отклоняющих упорных устройств, раздельных для каждого арматурного элемента и имеющих перемещение (за счет поворота) вдоль стенда, потери от трения об упорные устройства допускается не учитывать</w:t>
            </w:r>
          </w:p>
        </w:tc>
      </w:tr>
      <w:tr w:rsidR="00212513">
        <w:tc>
          <w:tcPr>
            <w:tcW w:w="3572" w:type="dxa"/>
            <w:tcBorders>
              <w:top w:val="single" w:sz="4" w:space="0" w:color="auto"/>
              <w:bottom w:val="single" w:sz="4" w:space="0" w:color="auto"/>
            </w:tcBorders>
          </w:tcPr>
          <w:p w:rsidR="00212513" w:rsidRDefault="00212513">
            <w:pPr>
              <w:pStyle w:val="ConsPlusNormal"/>
            </w:pPr>
            <w:bookmarkStart w:id="511" w:name="P14497"/>
            <w:bookmarkEnd w:id="511"/>
            <w:r>
              <w:t>5 Деформация стальной формы при изготовлении предварительно напряженных железобетонных конструкций с натяжением на упоры</w:t>
            </w:r>
          </w:p>
        </w:tc>
        <w:tc>
          <w:tcPr>
            <w:tcW w:w="5499" w:type="dxa"/>
            <w:gridSpan w:val="3"/>
            <w:tcBorders>
              <w:top w:val="single" w:sz="4" w:space="0" w:color="auto"/>
              <w:bottom w:val="single" w:sz="4" w:space="0" w:color="auto"/>
            </w:tcBorders>
          </w:tcPr>
          <w:p w:rsidR="00212513" w:rsidRDefault="00212513">
            <w:pPr>
              <w:pStyle w:val="ConsPlusNormal"/>
              <w:jc w:val="center"/>
            </w:pPr>
            <w:r>
              <w:rPr>
                <w:noProof/>
                <w:position w:val="-8"/>
              </w:rPr>
              <w:drawing>
                <wp:inline distT="0" distB="0" distL="0" distR="0">
                  <wp:extent cx="786130" cy="251460"/>
                  <wp:effectExtent l="0" t="0" r="0" b="0"/>
                  <wp:docPr id="2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3" cstate="print">
                            <a:extLst>
                              <a:ext uri="{28A0092B-C50C-407E-A947-70E740481C1C}">
                                <a14:useLocalDpi xmlns:a14="http://schemas.microsoft.com/office/drawing/2010/main" val="0"/>
                              </a:ext>
                            </a:extLst>
                          </a:blip>
                          <a:srcRect/>
                          <a:stretch>
                            <a:fillRect/>
                          </a:stretch>
                        </pic:blipFill>
                        <pic:spPr bwMode="auto">
                          <a:xfrm>
                            <a:off x="0" y="0"/>
                            <a:ext cx="786130" cy="251460"/>
                          </a:xfrm>
                          <a:prstGeom prst="rect">
                            <a:avLst/>
                          </a:prstGeom>
                          <a:noFill/>
                          <a:ln>
                            <a:noFill/>
                          </a:ln>
                        </pic:spPr>
                      </pic:pic>
                    </a:graphicData>
                  </a:graphic>
                </wp:inline>
              </w:drawing>
            </w:r>
          </w:p>
          <w:p w:rsidR="00212513" w:rsidRDefault="00212513">
            <w:pPr>
              <w:pStyle w:val="ConsPlusNormal"/>
              <w:jc w:val="center"/>
            </w:pPr>
          </w:p>
          <w:p w:rsidR="00212513" w:rsidRDefault="00212513">
            <w:pPr>
              <w:pStyle w:val="ConsPlusNormal"/>
            </w:pPr>
            <w:r>
              <w:t xml:space="preserve">где </w:t>
            </w:r>
            <w:r>
              <w:rPr>
                <w:noProof/>
                <w:position w:val="-3"/>
              </w:rPr>
              <w:drawing>
                <wp:inline distT="0" distB="0" distL="0" distR="0">
                  <wp:extent cx="136525" cy="178435"/>
                  <wp:effectExtent l="0" t="0" r="0" b="0"/>
                  <wp:docPr id="2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4"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 xml:space="preserve"> - коэффициент, который при натяжении арматуры домкратом определяется по формуле</w:t>
            </w:r>
          </w:p>
          <w:p w:rsidR="00212513" w:rsidRDefault="00212513">
            <w:pPr>
              <w:pStyle w:val="ConsPlusNormal"/>
            </w:pPr>
          </w:p>
          <w:p w:rsidR="00212513" w:rsidRDefault="00212513">
            <w:pPr>
              <w:pStyle w:val="ConsPlusNormal"/>
              <w:jc w:val="center"/>
            </w:pPr>
            <w:r>
              <w:rPr>
                <w:noProof/>
                <w:position w:val="-6"/>
              </w:rPr>
              <w:drawing>
                <wp:inline distT="0" distB="0" distL="0" distR="0">
                  <wp:extent cx="1121410" cy="220345"/>
                  <wp:effectExtent l="0" t="0" r="0" b="0"/>
                  <wp:docPr id="2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5" cstate="print">
                            <a:extLst>
                              <a:ext uri="{28A0092B-C50C-407E-A947-70E740481C1C}">
                                <a14:useLocalDpi xmlns:a14="http://schemas.microsoft.com/office/drawing/2010/main" val="0"/>
                              </a:ext>
                            </a:extLst>
                          </a:blip>
                          <a:srcRect/>
                          <a:stretch>
                            <a:fillRect/>
                          </a:stretch>
                        </pic:blipFill>
                        <pic:spPr bwMode="auto">
                          <a:xfrm>
                            <a:off x="0" y="0"/>
                            <a:ext cx="1121410" cy="220345"/>
                          </a:xfrm>
                          <a:prstGeom prst="rect">
                            <a:avLst/>
                          </a:prstGeom>
                          <a:noFill/>
                          <a:ln>
                            <a:noFill/>
                          </a:ln>
                        </pic:spPr>
                      </pic:pic>
                    </a:graphicData>
                  </a:graphic>
                </wp:inline>
              </w:drawing>
            </w:r>
          </w:p>
          <w:p w:rsidR="00212513" w:rsidRDefault="00212513">
            <w:pPr>
              <w:pStyle w:val="ConsPlusNormal"/>
              <w:jc w:val="center"/>
            </w:pPr>
          </w:p>
          <w:p w:rsidR="00212513" w:rsidRDefault="00212513">
            <w:pPr>
              <w:pStyle w:val="ConsPlusNormal"/>
            </w:pPr>
            <w:r>
              <w:rPr>
                <w:noProof/>
                <w:position w:val="-4"/>
              </w:rPr>
              <w:drawing>
                <wp:inline distT="0" distB="0" distL="0" distR="0">
                  <wp:extent cx="209550" cy="199390"/>
                  <wp:effectExtent l="0" t="0" r="0" b="0"/>
                  <wp:docPr id="2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6"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 xml:space="preserve"> - сближение упоров на линии действия усилия предварительного напряжения, определяемое из расчета деформаций формы;</w:t>
            </w:r>
          </w:p>
          <w:p w:rsidR="00212513" w:rsidRDefault="00212513">
            <w:pPr>
              <w:pStyle w:val="ConsPlusNormal"/>
            </w:pPr>
            <w:r>
              <w:rPr>
                <w:i/>
              </w:rPr>
              <w:t>l</w:t>
            </w:r>
            <w:r>
              <w:t xml:space="preserve"> - расстояние между наружными гранями упоров;</w:t>
            </w:r>
          </w:p>
          <w:p w:rsidR="00212513" w:rsidRDefault="00212513">
            <w:pPr>
              <w:pStyle w:val="ConsPlusNormal"/>
            </w:pPr>
            <w:r>
              <w:rPr>
                <w:i/>
              </w:rPr>
              <w:t>n -</w:t>
            </w:r>
            <w:r>
              <w:t xml:space="preserve"> число групп арматурных элементов, натягиваемых не одновременно;</w:t>
            </w:r>
          </w:p>
          <w:p w:rsidR="00212513" w:rsidRDefault="00212513">
            <w:pPr>
              <w:pStyle w:val="ConsPlusNormal"/>
            </w:pPr>
            <w:r>
              <w:rPr>
                <w:i/>
              </w:rPr>
              <w:t>E</w:t>
            </w:r>
            <w:r>
              <w:rPr>
                <w:i/>
                <w:vertAlign w:val="subscript"/>
              </w:rPr>
              <w:t>s</w:t>
            </w:r>
            <w:r>
              <w:t xml:space="preserve"> </w:t>
            </w:r>
            <w:r>
              <w:rPr>
                <w:i/>
              </w:rPr>
              <w:t>-</w:t>
            </w:r>
            <w:r>
              <w:t xml:space="preserve"> модуль упругости стали форм.</w:t>
            </w:r>
          </w:p>
          <w:p w:rsidR="00212513" w:rsidRDefault="00212513">
            <w:pPr>
              <w:pStyle w:val="ConsPlusNormal"/>
            </w:pPr>
            <w:r>
              <w:t>При отсутствии данных о технологии изготовления и конструкции форм потери от деформации форм следует принимать равными 30 МПа</w:t>
            </w:r>
          </w:p>
        </w:tc>
      </w:tr>
      <w:tr w:rsidR="00212513">
        <w:tblPrEx>
          <w:tblBorders>
            <w:insideH w:val="none" w:sz="0" w:space="0" w:color="auto"/>
          </w:tblBorders>
        </w:tblPrEx>
        <w:tc>
          <w:tcPr>
            <w:tcW w:w="3572" w:type="dxa"/>
            <w:tcBorders>
              <w:top w:val="single" w:sz="4" w:space="0" w:color="auto"/>
              <w:bottom w:val="nil"/>
            </w:tcBorders>
          </w:tcPr>
          <w:p w:rsidR="00212513" w:rsidRDefault="00212513">
            <w:pPr>
              <w:pStyle w:val="ConsPlusNormal"/>
            </w:pPr>
            <w:bookmarkStart w:id="512" w:name="P14509"/>
            <w:bookmarkEnd w:id="512"/>
            <w:r>
              <w:t>6 Быстронатекающая ползучесть при натяжении на упоры для бетона:</w:t>
            </w:r>
          </w:p>
        </w:tc>
        <w:tc>
          <w:tcPr>
            <w:tcW w:w="5499" w:type="dxa"/>
            <w:gridSpan w:val="3"/>
            <w:tcBorders>
              <w:top w:val="single" w:sz="4" w:space="0" w:color="auto"/>
              <w:bottom w:val="nil"/>
            </w:tcBorders>
          </w:tcPr>
          <w:p w:rsidR="00212513" w:rsidRDefault="00212513">
            <w:pPr>
              <w:pStyle w:val="ConsPlusNormal"/>
            </w:pPr>
          </w:p>
        </w:tc>
      </w:tr>
      <w:tr w:rsidR="00212513">
        <w:tblPrEx>
          <w:tblBorders>
            <w:insideH w:val="none" w:sz="0" w:space="0" w:color="auto"/>
          </w:tblBorders>
        </w:tblPrEx>
        <w:tc>
          <w:tcPr>
            <w:tcW w:w="3572" w:type="dxa"/>
            <w:tcBorders>
              <w:top w:val="nil"/>
              <w:bottom w:val="nil"/>
            </w:tcBorders>
          </w:tcPr>
          <w:p w:rsidR="00212513" w:rsidRDefault="00212513">
            <w:pPr>
              <w:pStyle w:val="ConsPlusNormal"/>
              <w:ind w:left="283"/>
            </w:pPr>
            <w:r>
              <w:t>а) естественного твердения</w:t>
            </w:r>
          </w:p>
        </w:tc>
        <w:tc>
          <w:tcPr>
            <w:tcW w:w="5499" w:type="dxa"/>
            <w:gridSpan w:val="3"/>
            <w:tcBorders>
              <w:top w:val="nil"/>
              <w:bottom w:val="nil"/>
            </w:tcBorders>
          </w:tcPr>
          <w:p w:rsidR="00212513" w:rsidRDefault="00212513">
            <w:pPr>
              <w:pStyle w:val="ConsPlusNormal"/>
              <w:jc w:val="center"/>
            </w:pPr>
            <w:bookmarkStart w:id="513" w:name="P14512"/>
            <w:bookmarkEnd w:id="513"/>
            <w:r>
              <w:rPr>
                <w:noProof/>
                <w:position w:val="-9"/>
              </w:rPr>
              <w:drawing>
                <wp:inline distT="0" distB="0" distL="0" distR="0">
                  <wp:extent cx="740410" cy="262890"/>
                  <wp:effectExtent l="0" t="0" r="0" b="0"/>
                  <wp:docPr id="2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7" cstate="print">
                            <a:extLst>
                              <a:ext uri="{28A0092B-C50C-407E-A947-70E740481C1C}">
                                <a14:useLocalDpi xmlns:a14="http://schemas.microsoft.com/office/drawing/2010/main" val="0"/>
                              </a:ext>
                            </a:extLst>
                          </a:blip>
                          <a:srcRect/>
                          <a:stretch>
                            <a:fillRect/>
                          </a:stretch>
                        </pic:blipFill>
                        <pic:spPr bwMode="auto">
                          <a:xfrm>
                            <a:off x="0" y="0"/>
                            <a:ext cx="740410" cy="262890"/>
                          </a:xfrm>
                          <a:prstGeom prst="rect">
                            <a:avLst/>
                          </a:prstGeom>
                          <a:noFill/>
                          <a:ln>
                            <a:noFill/>
                          </a:ln>
                        </pic:spPr>
                      </pic:pic>
                    </a:graphicData>
                  </a:graphic>
                </wp:inline>
              </w:drawing>
            </w:r>
            <w:r>
              <w:t xml:space="preserve"> при </w:t>
            </w:r>
            <w:r>
              <w:rPr>
                <w:noProof/>
                <w:position w:val="-9"/>
              </w:rPr>
              <w:drawing>
                <wp:inline distT="0" distB="0" distL="0" distR="0">
                  <wp:extent cx="991870" cy="262890"/>
                  <wp:effectExtent l="0" t="0" r="0" b="0"/>
                  <wp:docPr id="2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8" cstate="print">
                            <a:extLst>
                              <a:ext uri="{28A0092B-C50C-407E-A947-70E740481C1C}">
                                <a14:useLocalDpi xmlns:a14="http://schemas.microsoft.com/office/drawing/2010/main" val="0"/>
                              </a:ext>
                            </a:extLst>
                          </a:blip>
                          <a:srcRect/>
                          <a:stretch>
                            <a:fillRect/>
                          </a:stretch>
                        </pic:blipFill>
                        <pic:spPr bwMode="auto">
                          <a:xfrm>
                            <a:off x="0" y="0"/>
                            <a:ext cx="991870" cy="262890"/>
                          </a:xfrm>
                          <a:prstGeom prst="rect">
                            <a:avLst/>
                          </a:prstGeom>
                          <a:noFill/>
                          <a:ln>
                            <a:noFill/>
                          </a:ln>
                        </pic:spPr>
                      </pic:pic>
                    </a:graphicData>
                  </a:graphic>
                </wp:inline>
              </w:drawing>
            </w:r>
          </w:p>
          <w:p w:rsidR="00212513" w:rsidRDefault="00212513">
            <w:pPr>
              <w:pStyle w:val="ConsPlusNormal"/>
              <w:jc w:val="center"/>
            </w:pPr>
            <w:r>
              <w:rPr>
                <w:noProof/>
                <w:position w:val="-9"/>
              </w:rPr>
              <w:drawing>
                <wp:inline distT="0" distB="0" distL="0" distR="0">
                  <wp:extent cx="1536700" cy="262890"/>
                  <wp:effectExtent l="0" t="0" r="0" b="0"/>
                  <wp:docPr id="2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9" cstate="print">
                            <a:extLst>
                              <a:ext uri="{28A0092B-C50C-407E-A947-70E740481C1C}">
                                <a14:useLocalDpi xmlns:a14="http://schemas.microsoft.com/office/drawing/2010/main" val="0"/>
                              </a:ext>
                            </a:extLst>
                          </a:blip>
                          <a:srcRect/>
                          <a:stretch>
                            <a:fillRect/>
                          </a:stretch>
                        </pic:blipFill>
                        <pic:spPr bwMode="auto">
                          <a:xfrm>
                            <a:off x="0" y="0"/>
                            <a:ext cx="1536700" cy="262890"/>
                          </a:xfrm>
                          <a:prstGeom prst="rect">
                            <a:avLst/>
                          </a:prstGeom>
                          <a:noFill/>
                          <a:ln>
                            <a:noFill/>
                          </a:ln>
                        </pic:spPr>
                      </pic:pic>
                    </a:graphicData>
                  </a:graphic>
                </wp:inline>
              </w:drawing>
            </w:r>
            <w:r>
              <w:t xml:space="preserve"> при </w:t>
            </w:r>
            <w:r>
              <w:rPr>
                <w:noProof/>
                <w:position w:val="-9"/>
              </w:rPr>
              <w:drawing>
                <wp:inline distT="0" distB="0" distL="0" distR="0">
                  <wp:extent cx="991870" cy="262890"/>
                  <wp:effectExtent l="0" t="0" r="0" b="0"/>
                  <wp:docPr id="2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0" cstate="print">
                            <a:extLst>
                              <a:ext uri="{28A0092B-C50C-407E-A947-70E740481C1C}">
                                <a14:useLocalDpi xmlns:a14="http://schemas.microsoft.com/office/drawing/2010/main" val="0"/>
                              </a:ext>
                            </a:extLst>
                          </a:blip>
                          <a:srcRect/>
                          <a:stretch>
                            <a:fillRect/>
                          </a:stretch>
                        </pic:blipFill>
                        <pic:spPr bwMode="auto">
                          <a:xfrm>
                            <a:off x="0" y="0"/>
                            <a:ext cx="991870" cy="262890"/>
                          </a:xfrm>
                          <a:prstGeom prst="rect">
                            <a:avLst/>
                          </a:prstGeom>
                          <a:noFill/>
                          <a:ln>
                            <a:noFill/>
                          </a:ln>
                        </pic:spPr>
                      </pic:pic>
                    </a:graphicData>
                  </a:graphic>
                </wp:inline>
              </w:drawing>
            </w:r>
          </w:p>
          <w:p w:rsidR="00212513" w:rsidRDefault="00212513">
            <w:pPr>
              <w:pStyle w:val="ConsPlusNormal"/>
              <w:jc w:val="center"/>
            </w:pPr>
          </w:p>
          <w:p w:rsidR="00212513" w:rsidRDefault="00212513">
            <w:pPr>
              <w:pStyle w:val="ConsPlusNormal"/>
            </w:pPr>
            <w:r>
              <w:t xml:space="preserve">где </w:t>
            </w:r>
            <w:r>
              <w:rPr>
                <w:noProof/>
                <w:position w:val="-9"/>
              </w:rPr>
              <w:drawing>
                <wp:inline distT="0" distB="0" distL="0" distR="0">
                  <wp:extent cx="262890" cy="262890"/>
                  <wp:effectExtent l="0" t="0" r="0" b="0"/>
                  <wp:docPr id="2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1"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определяется на уровне центров тяжести соответствующей продольной арматуры с учетом потерь по </w:t>
            </w:r>
            <w:hyperlink w:anchor="P14447">
              <w:r>
                <w:rPr>
                  <w:color w:val="0000FF"/>
                </w:rPr>
                <w:t>позициям 1</w:t>
              </w:r>
            </w:hyperlink>
            <w:r>
              <w:t xml:space="preserve"> - </w:t>
            </w:r>
            <w:hyperlink w:anchor="P14497">
              <w:r>
                <w:rPr>
                  <w:color w:val="0000FF"/>
                </w:rPr>
                <w:t>5</w:t>
              </w:r>
            </w:hyperlink>
            <w:r>
              <w:t xml:space="preserve"> настоящей таблицы.</w:t>
            </w:r>
          </w:p>
        </w:tc>
      </w:tr>
      <w:tr w:rsidR="00212513">
        <w:tblPrEx>
          <w:tblBorders>
            <w:insideH w:val="none" w:sz="0" w:space="0" w:color="auto"/>
          </w:tblBorders>
        </w:tblPrEx>
        <w:tc>
          <w:tcPr>
            <w:tcW w:w="3572" w:type="dxa"/>
            <w:tcBorders>
              <w:top w:val="nil"/>
              <w:bottom w:val="single" w:sz="4" w:space="0" w:color="auto"/>
            </w:tcBorders>
          </w:tcPr>
          <w:p w:rsidR="00212513" w:rsidRDefault="00212513">
            <w:pPr>
              <w:pStyle w:val="ConsPlusNormal"/>
              <w:ind w:left="283"/>
            </w:pPr>
            <w:r>
              <w:t>б) подвергнутого тепловой обработке (при температуре 50 °C и более)</w:t>
            </w:r>
          </w:p>
        </w:tc>
        <w:tc>
          <w:tcPr>
            <w:tcW w:w="5499" w:type="dxa"/>
            <w:gridSpan w:val="3"/>
            <w:tcBorders>
              <w:top w:val="nil"/>
              <w:bottom w:val="single" w:sz="4" w:space="0" w:color="auto"/>
            </w:tcBorders>
          </w:tcPr>
          <w:p w:rsidR="00212513" w:rsidRDefault="00212513">
            <w:pPr>
              <w:pStyle w:val="ConsPlusNormal"/>
            </w:pPr>
            <w:r>
              <w:t xml:space="preserve">Потери вычисляются по </w:t>
            </w:r>
            <w:hyperlink w:anchor="P14512">
              <w:r>
                <w:rPr>
                  <w:color w:val="0000FF"/>
                </w:rPr>
                <w:t>формулам позиции 6, а)</w:t>
              </w:r>
            </w:hyperlink>
            <w:r>
              <w:t>, настоящей таблицы с умножением полученного результата на коэффициент, равный 0,85</w:t>
            </w:r>
          </w:p>
        </w:tc>
      </w:tr>
      <w:tr w:rsidR="00212513">
        <w:tc>
          <w:tcPr>
            <w:tcW w:w="3572" w:type="dxa"/>
            <w:vMerge w:val="restart"/>
            <w:tcBorders>
              <w:top w:val="single" w:sz="4" w:space="0" w:color="auto"/>
              <w:bottom w:val="nil"/>
            </w:tcBorders>
          </w:tcPr>
          <w:p w:rsidR="00212513" w:rsidRDefault="00212513">
            <w:pPr>
              <w:pStyle w:val="ConsPlusNormal"/>
            </w:pPr>
            <w:r>
              <w:t>7 Усадка бетона при натяжении:</w:t>
            </w:r>
          </w:p>
          <w:p w:rsidR="00212513" w:rsidRDefault="00212513">
            <w:pPr>
              <w:pStyle w:val="ConsPlusNormal"/>
              <w:ind w:left="283"/>
              <w:jc w:val="both"/>
            </w:pPr>
            <w:r>
              <w:t>а) на упоры:</w:t>
            </w:r>
          </w:p>
        </w:tc>
        <w:tc>
          <w:tcPr>
            <w:tcW w:w="5499" w:type="dxa"/>
            <w:gridSpan w:val="3"/>
            <w:tcBorders>
              <w:top w:val="single" w:sz="4" w:space="0" w:color="auto"/>
              <w:bottom w:val="single" w:sz="4" w:space="0" w:color="auto"/>
            </w:tcBorders>
          </w:tcPr>
          <w:p w:rsidR="00212513" w:rsidRDefault="00212513">
            <w:pPr>
              <w:pStyle w:val="ConsPlusNormal"/>
              <w:jc w:val="center"/>
            </w:pPr>
            <w:r>
              <w:t>Бетон классов по прочности на сжатие</w:t>
            </w:r>
          </w:p>
        </w:tc>
      </w:tr>
      <w:tr w:rsidR="00212513">
        <w:tc>
          <w:tcPr>
            <w:tcW w:w="3572" w:type="dxa"/>
            <w:vMerge/>
            <w:tcBorders>
              <w:top w:val="single" w:sz="4" w:space="0" w:color="auto"/>
              <w:bottom w:val="nil"/>
            </w:tcBorders>
          </w:tcPr>
          <w:p w:rsidR="00212513" w:rsidRDefault="00212513">
            <w:pPr>
              <w:pStyle w:val="ConsPlusNormal"/>
            </w:pPr>
          </w:p>
        </w:tc>
        <w:tc>
          <w:tcPr>
            <w:tcW w:w="1832" w:type="dxa"/>
            <w:tcBorders>
              <w:top w:val="single" w:sz="4" w:space="0" w:color="auto"/>
              <w:bottom w:val="single" w:sz="4" w:space="0" w:color="auto"/>
            </w:tcBorders>
          </w:tcPr>
          <w:p w:rsidR="00212513" w:rsidRDefault="00212513">
            <w:pPr>
              <w:pStyle w:val="ConsPlusNormal"/>
              <w:jc w:val="center"/>
            </w:pPr>
            <w:r>
              <w:t>B35 и ниже</w:t>
            </w:r>
          </w:p>
        </w:tc>
        <w:tc>
          <w:tcPr>
            <w:tcW w:w="1832" w:type="dxa"/>
            <w:tcBorders>
              <w:top w:val="single" w:sz="4" w:space="0" w:color="auto"/>
              <w:bottom w:val="single" w:sz="4" w:space="0" w:color="auto"/>
            </w:tcBorders>
          </w:tcPr>
          <w:p w:rsidR="00212513" w:rsidRDefault="00212513">
            <w:pPr>
              <w:pStyle w:val="ConsPlusNormal"/>
              <w:jc w:val="center"/>
            </w:pPr>
            <w:r>
              <w:t>B40</w:t>
            </w:r>
          </w:p>
        </w:tc>
        <w:tc>
          <w:tcPr>
            <w:tcW w:w="1835" w:type="dxa"/>
            <w:tcBorders>
              <w:top w:val="single" w:sz="4" w:space="0" w:color="auto"/>
              <w:bottom w:val="single" w:sz="4" w:space="0" w:color="auto"/>
            </w:tcBorders>
          </w:tcPr>
          <w:p w:rsidR="00212513" w:rsidRDefault="00212513">
            <w:pPr>
              <w:pStyle w:val="ConsPlusNormal"/>
              <w:jc w:val="center"/>
            </w:pPr>
            <w:r>
              <w:t>B45 и выше</w:t>
            </w:r>
          </w:p>
        </w:tc>
      </w:tr>
      <w:tr w:rsidR="00212513">
        <w:tblPrEx>
          <w:tblBorders>
            <w:insideH w:val="none" w:sz="0" w:space="0" w:color="auto"/>
          </w:tblBorders>
        </w:tblPrEx>
        <w:tc>
          <w:tcPr>
            <w:tcW w:w="3572" w:type="dxa"/>
            <w:tcBorders>
              <w:top w:val="nil"/>
              <w:bottom w:val="nil"/>
            </w:tcBorders>
          </w:tcPr>
          <w:p w:rsidR="00212513" w:rsidRDefault="00212513">
            <w:pPr>
              <w:pStyle w:val="ConsPlusNormal"/>
              <w:ind w:left="567"/>
            </w:pPr>
            <w:r>
              <w:t xml:space="preserve">бетон естественного </w:t>
            </w:r>
            <w:r>
              <w:lastRenderedPageBreak/>
              <w:t>твердения</w:t>
            </w:r>
          </w:p>
        </w:tc>
        <w:tc>
          <w:tcPr>
            <w:tcW w:w="1832" w:type="dxa"/>
            <w:tcBorders>
              <w:top w:val="single" w:sz="4" w:space="0" w:color="auto"/>
              <w:bottom w:val="nil"/>
            </w:tcBorders>
            <w:vAlign w:val="bottom"/>
          </w:tcPr>
          <w:p w:rsidR="00212513" w:rsidRDefault="00212513">
            <w:pPr>
              <w:pStyle w:val="ConsPlusNormal"/>
              <w:jc w:val="center"/>
            </w:pPr>
            <w:r>
              <w:lastRenderedPageBreak/>
              <w:t>40</w:t>
            </w:r>
          </w:p>
        </w:tc>
        <w:tc>
          <w:tcPr>
            <w:tcW w:w="1832" w:type="dxa"/>
            <w:tcBorders>
              <w:top w:val="single" w:sz="4" w:space="0" w:color="auto"/>
              <w:bottom w:val="nil"/>
            </w:tcBorders>
            <w:vAlign w:val="bottom"/>
          </w:tcPr>
          <w:p w:rsidR="00212513" w:rsidRDefault="00212513">
            <w:pPr>
              <w:pStyle w:val="ConsPlusNormal"/>
              <w:jc w:val="center"/>
            </w:pPr>
            <w:r>
              <w:t>50</w:t>
            </w:r>
          </w:p>
        </w:tc>
        <w:tc>
          <w:tcPr>
            <w:tcW w:w="1835" w:type="dxa"/>
            <w:tcBorders>
              <w:top w:val="single" w:sz="4" w:space="0" w:color="auto"/>
              <w:bottom w:val="nil"/>
            </w:tcBorders>
            <w:vAlign w:val="bottom"/>
          </w:tcPr>
          <w:p w:rsidR="00212513" w:rsidRDefault="00212513">
            <w:pPr>
              <w:pStyle w:val="ConsPlusNormal"/>
              <w:jc w:val="center"/>
            </w:pPr>
            <w:r>
              <w:t>60</w:t>
            </w:r>
          </w:p>
        </w:tc>
      </w:tr>
      <w:tr w:rsidR="00212513">
        <w:tblPrEx>
          <w:tblBorders>
            <w:insideH w:val="none" w:sz="0" w:space="0" w:color="auto"/>
          </w:tblBorders>
        </w:tblPrEx>
        <w:tc>
          <w:tcPr>
            <w:tcW w:w="3572" w:type="dxa"/>
            <w:tcBorders>
              <w:top w:val="nil"/>
              <w:bottom w:val="nil"/>
            </w:tcBorders>
          </w:tcPr>
          <w:p w:rsidR="00212513" w:rsidRDefault="00212513">
            <w:pPr>
              <w:pStyle w:val="ConsPlusNormal"/>
              <w:ind w:left="567"/>
            </w:pPr>
            <w:r>
              <w:lastRenderedPageBreak/>
              <w:t>бетон с тепловой обработкой</w:t>
            </w:r>
          </w:p>
        </w:tc>
        <w:tc>
          <w:tcPr>
            <w:tcW w:w="1832" w:type="dxa"/>
            <w:tcBorders>
              <w:top w:val="nil"/>
              <w:bottom w:val="nil"/>
            </w:tcBorders>
            <w:vAlign w:val="bottom"/>
          </w:tcPr>
          <w:p w:rsidR="00212513" w:rsidRDefault="00212513">
            <w:pPr>
              <w:pStyle w:val="ConsPlusNormal"/>
              <w:jc w:val="center"/>
            </w:pPr>
            <w:r>
              <w:t>35</w:t>
            </w:r>
          </w:p>
        </w:tc>
        <w:tc>
          <w:tcPr>
            <w:tcW w:w="1832" w:type="dxa"/>
            <w:tcBorders>
              <w:top w:val="nil"/>
              <w:bottom w:val="nil"/>
            </w:tcBorders>
            <w:vAlign w:val="bottom"/>
          </w:tcPr>
          <w:p w:rsidR="00212513" w:rsidRDefault="00212513">
            <w:pPr>
              <w:pStyle w:val="ConsPlusNormal"/>
              <w:jc w:val="center"/>
            </w:pPr>
            <w:r>
              <w:t>40</w:t>
            </w:r>
          </w:p>
        </w:tc>
        <w:tc>
          <w:tcPr>
            <w:tcW w:w="1835" w:type="dxa"/>
            <w:tcBorders>
              <w:top w:val="nil"/>
              <w:bottom w:val="nil"/>
            </w:tcBorders>
            <w:vAlign w:val="bottom"/>
          </w:tcPr>
          <w:p w:rsidR="00212513" w:rsidRDefault="00212513">
            <w:pPr>
              <w:pStyle w:val="ConsPlusNormal"/>
              <w:jc w:val="center"/>
            </w:pPr>
            <w:r>
              <w:t>50</w:t>
            </w:r>
          </w:p>
        </w:tc>
      </w:tr>
      <w:tr w:rsidR="00212513">
        <w:tblPrEx>
          <w:tblBorders>
            <w:insideH w:val="none" w:sz="0" w:space="0" w:color="auto"/>
          </w:tblBorders>
        </w:tblPrEx>
        <w:tc>
          <w:tcPr>
            <w:tcW w:w="3572" w:type="dxa"/>
            <w:vMerge w:val="restart"/>
            <w:tcBorders>
              <w:top w:val="nil"/>
              <w:bottom w:val="single" w:sz="4" w:space="0" w:color="auto"/>
            </w:tcBorders>
          </w:tcPr>
          <w:p w:rsidR="00212513" w:rsidRDefault="00212513">
            <w:pPr>
              <w:pStyle w:val="ConsPlusNormal"/>
              <w:ind w:left="283"/>
            </w:pPr>
            <w:r>
              <w:t>б) на бетон независимо от условий твердения</w:t>
            </w:r>
          </w:p>
        </w:tc>
        <w:tc>
          <w:tcPr>
            <w:tcW w:w="1832" w:type="dxa"/>
            <w:tcBorders>
              <w:top w:val="nil"/>
              <w:bottom w:val="single" w:sz="4" w:space="0" w:color="auto"/>
            </w:tcBorders>
            <w:vAlign w:val="bottom"/>
          </w:tcPr>
          <w:p w:rsidR="00212513" w:rsidRDefault="00212513">
            <w:pPr>
              <w:pStyle w:val="ConsPlusNormal"/>
              <w:jc w:val="center"/>
            </w:pPr>
            <w:r>
              <w:t>30</w:t>
            </w:r>
          </w:p>
        </w:tc>
        <w:tc>
          <w:tcPr>
            <w:tcW w:w="1832" w:type="dxa"/>
            <w:tcBorders>
              <w:top w:val="nil"/>
              <w:bottom w:val="single" w:sz="4" w:space="0" w:color="auto"/>
            </w:tcBorders>
            <w:vAlign w:val="bottom"/>
          </w:tcPr>
          <w:p w:rsidR="00212513" w:rsidRDefault="00212513">
            <w:pPr>
              <w:pStyle w:val="ConsPlusNormal"/>
              <w:jc w:val="center"/>
            </w:pPr>
            <w:r>
              <w:t>35</w:t>
            </w:r>
          </w:p>
        </w:tc>
        <w:tc>
          <w:tcPr>
            <w:tcW w:w="1835" w:type="dxa"/>
            <w:tcBorders>
              <w:top w:val="nil"/>
              <w:bottom w:val="single" w:sz="4" w:space="0" w:color="auto"/>
            </w:tcBorders>
            <w:vAlign w:val="bottom"/>
          </w:tcPr>
          <w:p w:rsidR="00212513" w:rsidRDefault="00212513">
            <w:pPr>
              <w:pStyle w:val="ConsPlusNormal"/>
              <w:jc w:val="center"/>
            </w:pPr>
            <w:r>
              <w:t>40</w:t>
            </w:r>
          </w:p>
        </w:tc>
      </w:tr>
      <w:tr w:rsidR="00212513">
        <w:tc>
          <w:tcPr>
            <w:tcW w:w="3572" w:type="dxa"/>
            <w:vMerge/>
            <w:tcBorders>
              <w:top w:val="nil"/>
              <w:bottom w:val="single" w:sz="4" w:space="0" w:color="auto"/>
            </w:tcBorders>
          </w:tcPr>
          <w:p w:rsidR="00212513" w:rsidRDefault="00212513">
            <w:pPr>
              <w:pStyle w:val="ConsPlusNormal"/>
            </w:pPr>
          </w:p>
        </w:tc>
        <w:tc>
          <w:tcPr>
            <w:tcW w:w="5499" w:type="dxa"/>
            <w:gridSpan w:val="3"/>
            <w:tcBorders>
              <w:top w:val="single" w:sz="4" w:space="0" w:color="auto"/>
              <w:bottom w:val="single" w:sz="4" w:space="0" w:color="auto"/>
            </w:tcBorders>
          </w:tcPr>
          <w:p w:rsidR="00212513" w:rsidRDefault="00212513">
            <w:pPr>
              <w:pStyle w:val="ConsPlusNormal"/>
            </w:pPr>
            <w:r>
              <w:t xml:space="preserve">Проявление потерь от усадки во времени следует учитывать в соответствии с </w:t>
            </w:r>
            <w:hyperlink w:anchor="P2157">
              <w:r>
                <w:rPr>
                  <w:color w:val="0000FF"/>
                </w:rPr>
                <w:t>7.15</w:t>
              </w:r>
            </w:hyperlink>
          </w:p>
        </w:tc>
      </w:tr>
      <w:tr w:rsidR="00212513">
        <w:tc>
          <w:tcPr>
            <w:tcW w:w="3572" w:type="dxa"/>
            <w:tcBorders>
              <w:top w:val="single" w:sz="4" w:space="0" w:color="auto"/>
              <w:bottom w:val="single" w:sz="4" w:space="0" w:color="auto"/>
            </w:tcBorders>
          </w:tcPr>
          <w:p w:rsidR="00212513" w:rsidRDefault="00212513">
            <w:pPr>
              <w:pStyle w:val="ConsPlusNormal"/>
            </w:pPr>
            <w:r>
              <w:t>8 Ползучесть бетона</w:t>
            </w:r>
          </w:p>
        </w:tc>
        <w:tc>
          <w:tcPr>
            <w:tcW w:w="5499" w:type="dxa"/>
            <w:gridSpan w:val="3"/>
            <w:tcBorders>
              <w:top w:val="single" w:sz="4" w:space="0" w:color="auto"/>
              <w:bottom w:val="single" w:sz="4" w:space="0" w:color="auto"/>
            </w:tcBorders>
          </w:tcPr>
          <w:p w:rsidR="00212513" w:rsidRDefault="00212513">
            <w:pPr>
              <w:pStyle w:val="ConsPlusNormal"/>
              <w:ind w:firstLine="540"/>
            </w:pPr>
            <w:r>
              <w:rPr>
                <w:noProof/>
                <w:position w:val="-9"/>
              </w:rPr>
              <w:drawing>
                <wp:inline distT="0" distB="0" distL="0" distR="0">
                  <wp:extent cx="1047750" cy="262890"/>
                  <wp:effectExtent l="0" t="0" r="0" b="0"/>
                  <wp:docPr id="2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2" cstate="print">
                            <a:extLst>
                              <a:ext uri="{28A0092B-C50C-407E-A947-70E740481C1C}">
                                <a14:useLocalDpi xmlns:a14="http://schemas.microsoft.com/office/drawing/2010/main" val="0"/>
                              </a:ext>
                            </a:extLst>
                          </a:blip>
                          <a:srcRect/>
                          <a:stretch>
                            <a:fillRect/>
                          </a:stretch>
                        </pic:blipFill>
                        <pic:spPr bwMode="auto">
                          <a:xfrm>
                            <a:off x="0" y="0"/>
                            <a:ext cx="1047750" cy="262890"/>
                          </a:xfrm>
                          <a:prstGeom prst="rect">
                            <a:avLst/>
                          </a:prstGeom>
                          <a:noFill/>
                          <a:ln>
                            <a:noFill/>
                          </a:ln>
                        </pic:spPr>
                      </pic:pic>
                    </a:graphicData>
                  </a:graphic>
                </wp:inline>
              </w:drawing>
            </w:r>
            <w:r>
              <w:t xml:space="preserve"> при </w:t>
            </w:r>
            <w:r>
              <w:rPr>
                <w:noProof/>
                <w:position w:val="-9"/>
              </w:rPr>
              <w:drawing>
                <wp:inline distT="0" distB="0" distL="0" distR="0">
                  <wp:extent cx="1187450" cy="262890"/>
                  <wp:effectExtent l="0" t="0" r="0" b="0"/>
                  <wp:docPr id="2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3" cstate="print">
                            <a:extLst>
                              <a:ext uri="{28A0092B-C50C-407E-A947-70E740481C1C}">
                                <a14:useLocalDpi xmlns:a14="http://schemas.microsoft.com/office/drawing/2010/main" val="0"/>
                              </a:ext>
                            </a:extLst>
                          </a:blip>
                          <a:srcRect/>
                          <a:stretch>
                            <a:fillRect/>
                          </a:stretch>
                        </pic:blipFill>
                        <pic:spPr bwMode="auto">
                          <a:xfrm>
                            <a:off x="0" y="0"/>
                            <a:ext cx="1187450" cy="262890"/>
                          </a:xfrm>
                          <a:prstGeom prst="rect">
                            <a:avLst/>
                          </a:prstGeom>
                          <a:noFill/>
                          <a:ln>
                            <a:noFill/>
                          </a:ln>
                        </pic:spPr>
                      </pic:pic>
                    </a:graphicData>
                  </a:graphic>
                </wp:inline>
              </w:drawing>
            </w:r>
          </w:p>
          <w:p w:rsidR="00212513" w:rsidRDefault="00212513">
            <w:pPr>
              <w:pStyle w:val="ConsPlusNormal"/>
              <w:ind w:firstLine="540"/>
            </w:pPr>
            <w:r>
              <w:rPr>
                <w:noProof/>
                <w:position w:val="-9"/>
              </w:rPr>
              <w:drawing>
                <wp:inline distT="0" distB="0" distL="0" distR="0">
                  <wp:extent cx="1592580" cy="262890"/>
                  <wp:effectExtent l="0" t="0" r="0" b="0"/>
                  <wp:docPr id="2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4" cstate="print">
                            <a:extLst>
                              <a:ext uri="{28A0092B-C50C-407E-A947-70E740481C1C}">
                                <a14:useLocalDpi xmlns:a14="http://schemas.microsoft.com/office/drawing/2010/main" val="0"/>
                              </a:ext>
                            </a:extLst>
                          </a:blip>
                          <a:srcRect/>
                          <a:stretch>
                            <a:fillRect/>
                          </a:stretch>
                        </pic:blipFill>
                        <pic:spPr bwMode="auto">
                          <a:xfrm>
                            <a:off x="0" y="0"/>
                            <a:ext cx="1592580" cy="262890"/>
                          </a:xfrm>
                          <a:prstGeom prst="rect">
                            <a:avLst/>
                          </a:prstGeom>
                          <a:noFill/>
                          <a:ln>
                            <a:noFill/>
                          </a:ln>
                        </pic:spPr>
                      </pic:pic>
                    </a:graphicData>
                  </a:graphic>
                </wp:inline>
              </w:drawing>
            </w:r>
            <w:r>
              <w:t xml:space="preserve"> при </w:t>
            </w:r>
            <w:r>
              <w:rPr>
                <w:noProof/>
                <w:position w:val="-9"/>
              </w:rPr>
              <w:drawing>
                <wp:inline distT="0" distB="0" distL="0" distR="0">
                  <wp:extent cx="1215390" cy="262255"/>
                  <wp:effectExtent l="0" t="0" r="0" b="0"/>
                  <wp:docPr id="2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5" cstate="print">
                            <a:extLst>
                              <a:ext uri="{28A0092B-C50C-407E-A947-70E740481C1C}">
                                <a14:useLocalDpi xmlns:a14="http://schemas.microsoft.com/office/drawing/2010/main" val="0"/>
                              </a:ext>
                            </a:extLst>
                          </a:blip>
                          <a:srcRect/>
                          <a:stretch>
                            <a:fillRect/>
                          </a:stretch>
                        </pic:blipFill>
                        <pic:spPr bwMode="auto">
                          <a:xfrm>
                            <a:off x="0" y="0"/>
                            <a:ext cx="1215390" cy="262255"/>
                          </a:xfrm>
                          <a:prstGeom prst="rect">
                            <a:avLst/>
                          </a:prstGeom>
                          <a:noFill/>
                          <a:ln>
                            <a:noFill/>
                          </a:ln>
                        </pic:spPr>
                      </pic:pic>
                    </a:graphicData>
                  </a:graphic>
                </wp:inline>
              </w:drawing>
            </w:r>
          </w:p>
          <w:p w:rsidR="00212513" w:rsidRDefault="00212513">
            <w:pPr>
              <w:pStyle w:val="ConsPlusNormal"/>
              <w:ind w:firstLine="540"/>
            </w:pPr>
          </w:p>
          <w:p w:rsidR="00212513" w:rsidRDefault="00212513">
            <w:pPr>
              <w:pStyle w:val="ConsPlusNormal"/>
            </w:pPr>
            <w:r>
              <w:t xml:space="preserve">где </w:t>
            </w:r>
            <w:r>
              <w:rPr>
                <w:noProof/>
                <w:position w:val="-9"/>
              </w:rPr>
              <w:drawing>
                <wp:inline distT="0" distB="0" distL="0" distR="0">
                  <wp:extent cx="262890" cy="262890"/>
                  <wp:effectExtent l="0" t="0" r="0" b="0"/>
                  <wp:docPr id="2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6" cstate="print">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a:ln>
                            <a:noFill/>
                          </a:ln>
                        </pic:spPr>
                      </pic:pic>
                    </a:graphicData>
                  </a:graphic>
                </wp:inline>
              </w:drawing>
            </w:r>
            <w:r>
              <w:t xml:space="preserve"> - то же, что и в </w:t>
            </w:r>
            <w:hyperlink w:anchor="P14509">
              <w:r>
                <w:rPr>
                  <w:color w:val="0000FF"/>
                </w:rPr>
                <w:t>позиции 6</w:t>
              </w:r>
            </w:hyperlink>
            <w:r>
              <w:t xml:space="preserve"> настоящей таблицы, но с учетом потерь по </w:t>
            </w:r>
            <w:hyperlink w:anchor="P14447">
              <w:r>
                <w:rPr>
                  <w:color w:val="0000FF"/>
                </w:rPr>
                <w:t>позициям 1</w:t>
              </w:r>
            </w:hyperlink>
            <w:r>
              <w:t xml:space="preserve"> - </w:t>
            </w:r>
            <w:hyperlink w:anchor="P14509">
              <w:r>
                <w:rPr>
                  <w:color w:val="0000FF"/>
                </w:rPr>
                <w:t>6</w:t>
              </w:r>
            </w:hyperlink>
            <w:r>
              <w:t>;</w:t>
            </w:r>
          </w:p>
          <w:p w:rsidR="00212513" w:rsidRDefault="00212513">
            <w:pPr>
              <w:pStyle w:val="ConsPlusNormal"/>
            </w:pPr>
            <w:r>
              <w:rPr>
                <w:i/>
              </w:rPr>
              <w:t>R</w:t>
            </w:r>
            <w:r>
              <w:rPr>
                <w:i/>
                <w:vertAlign w:val="subscript"/>
              </w:rPr>
              <w:t>bp</w:t>
            </w:r>
            <w:r>
              <w:t xml:space="preserve"> - передаточная прочность;</w:t>
            </w:r>
          </w:p>
          <w:p w:rsidR="00212513" w:rsidRDefault="00212513">
            <w:pPr>
              <w:pStyle w:val="ConsPlusNormal"/>
            </w:pPr>
            <w:r>
              <w:rPr>
                <w:noProof/>
                <w:position w:val="-1"/>
              </w:rPr>
              <w:drawing>
                <wp:inline distT="0" distB="0" distL="0" distR="0">
                  <wp:extent cx="167640" cy="157480"/>
                  <wp:effectExtent l="0" t="0" r="0" b="0"/>
                  <wp:docPr id="2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7"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r>
              <w:t xml:space="preserve"> - коэффициент, принимаемый равным для бетона:</w:t>
            </w:r>
          </w:p>
          <w:p w:rsidR="00212513" w:rsidRDefault="00212513">
            <w:pPr>
              <w:pStyle w:val="ConsPlusNormal"/>
            </w:pPr>
            <w:r>
              <w:t>естественного твердения - 1,0;</w:t>
            </w:r>
          </w:p>
          <w:p w:rsidR="00212513" w:rsidRDefault="00212513">
            <w:pPr>
              <w:pStyle w:val="ConsPlusNormal"/>
            </w:pPr>
            <w:r>
              <w:t>подвергнутого тепловой обработке при атмосферном давлении - 0,85.</w:t>
            </w:r>
          </w:p>
          <w:p w:rsidR="00212513" w:rsidRDefault="00212513">
            <w:pPr>
              <w:pStyle w:val="ConsPlusNormal"/>
            </w:pPr>
            <w:r>
              <w:t xml:space="preserve">Проявление потерь от ползучести во времени следует учитывать в соответствии с </w:t>
            </w:r>
            <w:hyperlink w:anchor="P2157">
              <w:r>
                <w:rPr>
                  <w:color w:val="0000FF"/>
                </w:rPr>
                <w:t>7.15</w:t>
              </w:r>
            </w:hyperlink>
          </w:p>
        </w:tc>
      </w:tr>
      <w:tr w:rsidR="00212513">
        <w:tc>
          <w:tcPr>
            <w:tcW w:w="3572" w:type="dxa"/>
            <w:tcBorders>
              <w:top w:val="single" w:sz="4" w:space="0" w:color="auto"/>
              <w:bottom w:val="single" w:sz="4" w:space="0" w:color="auto"/>
            </w:tcBorders>
          </w:tcPr>
          <w:p w:rsidR="00212513" w:rsidRDefault="00212513">
            <w:pPr>
              <w:pStyle w:val="ConsPlusNormal"/>
            </w:pPr>
            <w:r>
              <w:t xml:space="preserve">9 Смятие под витками спиральной или кольцевой арматуры, наматываемой на бетон (при диаметре конструкции </w:t>
            </w:r>
            <w:r>
              <w:rPr>
                <w:i/>
              </w:rPr>
              <w:t>d</w:t>
            </w:r>
            <w:r>
              <w:rPr>
                <w:i/>
                <w:vertAlign w:val="subscript"/>
              </w:rPr>
              <w:t>txt</w:t>
            </w:r>
            <w:r>
              <w:t xml:space="preserve"> до 3 м)</w:t>
            </w:r>
          </w:p>
        </w:tc>
        <w:tc>
          <w:tcPr>
            <w:tcW w:w="5499" w:type="dxa"/>
            <w:gridSpan w:val="3"/>
            <w:tcBorders>
              <w:top w:val="single" w:sz="4" w:space="0" w:color="auto"/>
              <w:bottom w:val="single" w:sz="4" w:space="0" w:color="auto"/>
            </w:tcBorders>
          </w:tcPr>
          <w:p w:rsidR="00212513" w:rsidRDefault="00212513">
            <w:pPr>
              <w:pStyle w:val="ConsPlusNormal"/>
              <w:jc w:val="center"/>
            </w:pPr>
            <w:r>
              <w:t xml:space="preserve">70 - 0,22 </w:t>
            </w:r>
            <w:r>
              <w:rPr>
                <w:i/>
              </w:rPr>
              <w:t>d</w:t>
            </w:r>
            <w:r>
              <w:rPr>
                <w:i/>
                <w:vertAlign w:val="subscript"/>
              </w:rPr>
              <w:t>ext</w:t>
            </w:r>
          </w:p>
        </w:tc>
      </w:tr>
      <w:tr w:rsidR="00212513">
        <w:tc>
          <w:tcPr>
            <w:tcW w:w="3572" w:type="dxa"/>
            <w:tcBorders>
              <w:top w:val="single" w:sz="4" w:space="0" w:color="auto"/>
              <w:bottom w:val="single" w:sz="4" w:space="0" w:color="auto"/>
            </w:tcBorders>
          </w:tcPr>
          <w:p w:rsidR="00212513" w:rsidRDefault="00212513">
            <w:pPr>
              <w:pStyle w:val="ConsPlusNormal"/>
            </w:pPr>
            <w:r>
              <w:t>10 Деформация обжатия стыков между блоками (для конструкций, состоящих из блоков)</w:t>
            </w:r>
          </w:p>
        </w:tc>
        <w:tc>
          <w:tcPr>
            <w:tcW w:w="5499" w:type="dxa"/>
            <w:gridSpan w:val="3"/>
            <w:tcBorders>
              <w:top w:val="single" w:sz="4" w:space="0" w:color="auto"/>
              <w:bottom w:val="single" w:sz="4" w:space="0" w:color="auto"/>
            </w:tcBorders>
          </w:tcPr>
          <w:p w:rsidR="00212513" w:rsidRDefault="00212513">
            <w:pPr>
              <w:pStyle w:val="ConsPlusNormal"/>
              <w:jc w:val="center"/>
            </w:pPr>
            <w:r>
              <w:rPr>
                <w:noProof/>
                <w:position w:val="-8"/>
              </w:rPr>
              <w:drawing>
                <wp:inline distT="0" distB="0" distL="0" distR="0">
                  <wp:extent cx="786130" cy="251460"/>
                  <wp:effectExtent l="0" t="0" r="0" b="0"/>
                  <wp:docPr id="2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3" cstate="print">
                            <a:extLst>
                              <a:ext uri="{28A0092B-C50C-407E-A947-70E740481C1C}">
                                <a14:useLocalDpi xmlns:a14="http://schemas.microsoft.com/office/drawing/2010/main" val="0"/>
                              </a:ext>
                            </a:extLst>
                          </a:blip>
                          <a:srcRect/>
                          <a:stretch>
                            <a:fillRect/>
                          </a:stretch>
                        </pic:blipFill>
                        <pic:spPr bwMode="auto">
                          <a:xfrm>
                            <a:off x="0" y="0"/>
                            <a:ext cx="786130" cy="251460"/>
                          </a:xfrm>
                          <a:prstGeom prst="rect">
                            <a:avLst/>
                          </a:prstGeom>
                          <a:noFill/>
                          <a:ln>
                            <a:noFill/>
                          </a:ln>
                        </pic:spPr>
                      </pic:pic>
                    </a:graphicData>
                  </a:graphic>
                </wp:inline>
              </w:drawing>
            </w:r>
          </w:p>
          <w:p w:rsidR="00212513" w:rsidRDefault="00212513">
            <w:pPr>
              <w:pStyle w:val="ConsPlusNormal"/>
              <w:jc w:val="center"/>
            </w:pPr>
          </w:p>
          <w:p w:rsidR="00212513" w:rsidRDefault="00212513">
            <w:pPr>
              <w:pStyle w:val="ConsPlusNormal"/>
            </w:pPr>
            <w:r>
              <w:t xml:space="preserve">где </w:t>
            </w:r>
            <w:r>
              <w:rPr>
                <w:i/>
              </w:rPr>
              <w:t>n</w:t>
            </w:r>
            <w:r>
              <w:t xml:space="preserve"> - число швов конструкции и оснастки по длине натягиваемой арматуры;</w:t>
            </w:r>
          </w:p>
          <w:p w:rsidR="00212513" w:rsidRDefault="00212513">
            <w:pPr>
              <w:pStyle w:val="ConsPlusNormal"/>
            </w:pPr>
            <w:r>
              <w:rPr>
                <w:noProof/>
                <w:position w:val="-4"/>
              </w:rPr>
              <w:drawing>
                <wp:inline distT="0" distB="0" distL="0" distR="0">
                  <wp:extent cx="209550" cy="199390"/>
                  <wp:effectExtent l="0" t="0" r="0" b="0"/>
                  <wp:docPr id="2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8"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 xml:space="preserve"> - обжатие стыка, принимаемое равным для стыков:</w:t>
            </w:r>
          </w:p>
          <w:p w:rsidR="00212513" w:rsidRDefault="00212513">
            <w:pPr>
              <w:pStyle w:val="ConsPlusNormal"/>
            </w:pPr>
            <w:r>
              <w:t>заполненных бетоном - 0,3 мм;</w:t>
            </w:r>
          </w:p>
          <w:p w:rsidR="00212513" w:rsidRDefault="00212513">
            <w:pPr>
              <w:pStyle w:val="ConsPlusNormal"/>
            </w:pPr>
            <w:r>
              <w:t>клееных после отверждения клея - 0,0;</w:t>
            </w:r>
          </w:p>
          <w:p w:rsidR="00212513" w:rsidRDefault="00212513">
            <w:pPr>
              <w:pStyle w:val="ConsPlusNormal"/>
            </w:pPr>
            <w:r>
              <w:rPr>
                <w:i/>
              </w:rPr>
              <w:t>l</w:t>
            </w:r>
            <w:r>
              <w:t xml:space="preserve"> - длина участка пучка (на котором происходят потери напряжений от данного фактора), уменьшенная в два раза, мм.</w:t>
            </w:r>
          </w:p>
          <w:p w:rsidR="00212513" w:rsidRDefault="00212513">
            <w:pPr>
              <w:pStyle w:val="ConsPlusNormal"/>
            </w:pPr>
            <w:r>
              <w:t>Допускается определение деформации стыков иными способами на основании опытных данных</w:t>
            </w:r>
          </w:p>
        </w:tc>
      </w:tr>
      <w:tr w:rsidR="00212513">
        <w:tc>
          <w:tcPr>
            <w:tcW w:w="9071" w:type="dxa"/>
            <w:gridSpan w:val="4"/>
            <w:tcBorders>
              <w:top w:val="single" w:sz="4" w:space="0" w:color="auto"/>
              <w:bottom w:val="single" w:sz="4" w:space="0" w:color="auto"/>
            </w:tcBorders>
          </w:tcPr>
          <w:p w:rsidR="00212513" w:rsidRDefault="00212513">
            <w:pPr>
              <w:pStyle w:val="ConsPlusNormal"/>
              <w:ind w:firstLine="283"/>
              <w:jc w:val="both"/>
            </w:pPr>
            <w:r>
              <w:t xml:space="preserve">Примечание - Каждому виду потерь предварительного напряжения арматуры в соответствии с номерами позиций присваивать обозначения от </w:t>
            </w:r>
            <w:r>
              <w:rPr>
                <w:noProof/>
                <w:position w:val="-8"/>
              </w:rPr>
              <w:drawing>
                <wp:inline distT="0" distB="0" distL="0" distR="0">
                  <wp:extent cx="199390" cy="251460"/>
                  <wp:effectExtent l="0" t="0" r="0" b="0"/>
                  <wp:docPr id="2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9"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до </w:t>
            </w:r>
            <w:r>
              <w:rPr>
                <w:noProof/>
                <w:position w:val="-8"/>
              </w:rPr>
              <w:drawing>
                <wp:inline distT="0" distB="0" distL="0" distR="0">
                  <wp:extent cx="251460" cy="251460"/>
                  <wp:effectExtent l="0" t="0" r="0" b="0"/>
                  <wp:docPr id="2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w:t>
            </w:r>
          </w:p>
        </w:tc>
      </w:tr>
    </w:tbl>
    <w:p w:rsidR="00212513" w:rsidRDefault="00212513">
      <w:pPr>
        <w:pStyle w:val="ConsPlusNormal"/>
        <w:ind w:firstLine="540"/>
        <w:jc w:val="both"/>
      </w:pPr>
    </w:p>
    <w:p w:rsidR="00212513" w:rsidRDefault="00212513">
      <w:pPr>
        <w:pStyle w:val="ConsPlusNormal"/>
        <w:jc w:val="right"/>
      </w:pPr>
      <w:bookmarkStart w:id="514" w:name="P14560"/>
      <w:bookmarkEnd w:id="514"/>
      <w:r>
        <w:t>Таблица Р.2</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31"/>
        <w:gridCol w:w="964"/>
        <w:gridCol w:w="3005"/>
        <w:gridCol w:w="1871"/>
      </w:tblGrid>
      <w:tr w:rsidR="00212513">
        <w:tc>
          <w:tcPr>
            <w:tcW w:w="3231" w:type="dxa"/>
            <w:vMerge w:val="restart"/>
            <w:tcBorders>
              <w:top w:val="single" w:sz="4" w:space="0" w:color="auto"/>
              <w:bottom w:val="single" w:sz="4" w:space="0" w:color="auto"/>
            </w:tcBorders>
            <w:vAlign w:val="center"/>
          </w:tcPr>
          <w:p w:rsidR="00212513" w:rsidRDefault="00212513">
            <w:pPr>
              <w:pStyle w:val="ConsPlusNormal"/>
              <w:jc w:val="center"/>
            </w:pPr>
            <w:r>
              <w:t>Поверхность канала</w:t>
            </w:r>
          </w:p>
        </w:tc>
        <w:tc>
          <w:tcPr>
            <w:tcW w:w="5840" w:type="dxa"/>
            <w:gridSpan w:val="3"/>
            <w:tcBorders>
              <w:top w:val="single" w:sz="4" w:space="0" w:color="auto"/>
              <w:bottom w:val="single" w:sz="4" w:space="0" w:color="auto"/>
            </w:tcBorders>
            <w:vAlign w:val="center"/>
          </w:tcPr>
          <w:p w:rsidR="00212513" w:rsidRDefault="00212513">
            <w:pPr>
              <w:pStyle w:val="ConsPlusNormal"/>
              <w:jc w:val="center"/>
            </w:pPr>
            <w:r>
              <w:t>Коэффициенты для определения потерь от трения арматуры</w:t>
            </w:r>
          </w:p>
        </w:tc>
      </w:tr>
      <w:tr w:rsidR="00212513">
        <w:tc>
          <w:tcPr>
            <w:tcW w:w="3231" w:type="dxa"/>
            <w:vMerge/>
            <w:tcBorders>
              <w:top w:val="single" w:sz="4" w:space="0" w:color="auto"/>
              <w:bottom w:val="single" w:sz="4" w:space="0" w:color="auto"/>
            </w:tcBorders>
          </w:tcPr>
          <w:p w:rsidR="00212513" w:rsidRDefault="00212513">
            <w:pPr>
              <w:pStyle w:val="ConsPlusNormal"/>
            </w:pPr>
          </w:p>
        </w:tc>
        <w:tc>
          <w:tcPr>
            <w:tcW w:w="964" w:type="dxa"/>
            <w:vMerge w:val="restart"/>
            <w:tcBorders>
              <w:top w:val="single" w:sz="4" w:space="0" w:color="auto"/>
              <w:bottom w:val="single" w:sz="4" w:space="0" w:color="auto"/>
            </w:tcBorders>
            <w:vAlign w:val="center"/>
          </w:tcPr>
          <w:p w:rsidR="00212513" w:rsidRDefault="00212513">
            <w:pPr>
              <w:pStyle w:val="ConsPlusNormal"/>
              <w:jc w:val="center"/>
            </w:pPr>
            <w:r>
              <w:rPr>
                <w:noProof/>
                <w:position w:val="-1"/>
              </w:rPr>
              <w:drawing>
                <wp:inline distT="0" distB="0" distL="0" distR="0">
                  <wp:extent cx="167640" cy="157480"/>
                  <wp:effectExtent l="0" t="0" r="0" b="0"/>
                  <wp:docPr id="2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1"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p>
        </w:tc>
        <w:tc>
          <w:tcPr>
            <w:tcW w:w="4876" w:type="dxa"/>
            <w:gridSpan w:val="2"/>
            <w:tcBorders>
              <w:top w:val="single" w:sz="4" w:space="0" w:color="auto"/>
              <w:bottom w:val="single" w:sz="4" w:space="0" w:color="auto"/>
            </w:tcBorders>
            <w:vAlign w:val="center"/>
          </w:tcPr>
          <w:p w:rsidR="00212513" w:rsidRDefault="00212513">
            <w:pPr>
              <w:pStyle w:val="ConsPlusNormal"/>
              <w:jc w:val="center"/>
            </w:pPr>
            <w:r>
              <w:rPr>
                <w:noProof/>
                <w:position w:val="-4"/>
              </w:rPr>
              <w:drawing>
                <wp:inline distT="0" distB="0" distL="0" distR="0">
                  <wp:extent cx="157480" cy="199390"/>
                  <wp:effectExtent l="0" t="0" r="0" b="0"/>
                  <wp:docPr id="2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2"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r>
              <w:t xml:space="preserve"> при арматуре в виде</w:t>
            </w:r>
          </w:p>
        </w:tc>
      </w:tr>
      <w:tr w:rsidR="00212513">
        <w:tc>
          <w:tcPr>
            <w:tcW w:w="3231" w:type="dxa"/>
            <w:vMerge/>
            <w:tcBorders>
              <w:top w:val="single" w:sz="4" w:space="0" w:color="auto"/>
              <w:bottom w:val="single" w:sz="4" w:space="0" w:color="auto"/>
            </w:tcBorders>
          </w:tcPr>
          <w:p w:rsidR="00212513" w:rsidRDefault="00212513">
            <w:pPr>
              <w:pStyle w:val="ConsPlusNormal"/>
            </w:pPr>
          </w:p>
        </w:tc>
        <w:tc>
          <w:tcPr>
            <w:tcW w:w="964" w:type="dxa"/>
            <w:vMerge/>
            <w:tcBorders>
              <w:top w:val="single" w:sz="4" w:space="0" w:color="auto"/>
              <w:bottom w:val="single" w:sz="4" w:space="0" w:color="auto"/>
            </w:tcBorders>
          </w:tcPr>
          <w:p w:rsidR="00212513" w:rsidRDefault="00212513">
            <w:pPr>
              <w:pStyle w:val="ConsPlusNormal"/>
            </w:pPr>
          </w:p>
        </w:tc>
        <w:tc>
          <w:tcPr>
            <w:tcW w:w="3005" w:type="dxa"/>
            <w:tcBorders>
              <w:top w:val="single" w:sz="4" w:space="0" w:color="auto"/>
              <w:bottom w:val="single" w:sz="4" w:space="0" w:color="auto"/>
            </w:tcBorders>
            <w:vAlign w:val="center"/>
          </w:tcPr>
          <w:p w:rsidR="00212513" w:rsidRDefault="00212513">
            <w:pPr>
              <w:pStyle w:val="ConsPlusNormal"/>
              <w:jc w:val="center"/>
            </w:pPr>
            <w:r>
              <w:t>пучков из высокопрочной проволоки, арматурных канатов класса К7, стальных канатов и гладких стержней</w:t>
            </w:r>
          </w:p>
        </w:tc>
        <w:tc>
          <w:tcPr>
            <w:tcW w:w="1871" w:type="dxa"/>
            <w:tcBorders>
              <w:top w:val="single" w:sz="4" w:space="0" w:color="auto"/>
              <w:bottom w:val="single" w:sz="4" w:space="0" w:color="auto"/>
            </w:tcBorders>
            <w:vAlign w:val="center"/>
          </w:tcPr>
          <w:p w:rsidR="00212513" w:rsidRDefault="00212513">
            <w:pPr>
              <w:pStyle w:val="ConsPlusNormal"/>
              <w:jc w:val="center"/>
            </w:pPr>
            <w:r>
              <w:t>стержней периодического профиля</w:t>
            </w:r>
          </w:p>
        </w:tc>
      </w:tr>
      <w:tr w:rsidR="00212513">
        <w:tblPrEx>
          <w:tblBorders>
            <w:insideH w:val="none" w:sz="0" w:space="0" w:color="auto"/>
          </w:tblBorders>
        </w:tblPrEx>
        <w:tc>
          <w:tcPr>
            <w:tcW w:w="3231" w:type="dxa"/>
            <w:tcBorders>
              <w:top w:val="single" w:sz="4" w:space="0" w:color="auto"/>
              <w:bottom w:val="nil"/>
            </w:tcBorders>
          </w:tcPr>
          <w:p w:rsidR="00212513" w:rsidRDefault="00212513">
            <w:pPr>
              <w:pStyle w:val="ConsPlusNormal"/>
            </w:pPr>
            <w:r>
              <w:t>Гладкая металлическая</w:t>
            </w:r>
          </w:p>
        </w:tc>
        <w:tc>
          <w:tcPr>
            <w:tcW w:w="964" w:type="dxa"/>
            <w:tcBorders>
              <w:top w:val="single" w:sz="4" w:space="0" w:color="auto"/>
              <w:bottom w:val="nil"/>
            </w:tcBorders>
          </w:tcPr>
          <w:p w:rsidR="00212513" w:rsidRDefault="00212513">
            <w:pPr>
              <w:pStyle w:val="ConsPlusNormal"/>
              <w:jc w:val="center"/>
            </w:pPr>
            <w:r>
              <w:t>0,003</w:t>
            </w:r>
          </w:p>
        </w:tc>
        <w:tc>
          <w:tcPr>
            <w:tcW w:w="3005" w:type="dxa"/>
            <w:tcBorders>
              <w:top w:val="single" w:sz="4" w:space="0" w:color="auto"/>
              <w:bottom w:val="nil"/>
            </w:tcBorders>
          </w:tcPr>
          <w:p w:rsidR="00212513" w:rsidRDefault="00212513">
            <w:pPr>
              <w:pStyle w:val="ConsPlusNormal"/>
              <w:jc w:val="center"/>
            </w:pPr>
            <w:r>
              <w:t>0,35</w:t>
            </w:r>
          </w:p>
        </w:tc>
        <w:tc>
          <w:tcPr>
            <w:tcW w:w="1871" w:type="dxa"/>
            <w:tcBorders>
              <w:top w:val="single" w:sz="4" w:space="0" w:color="auto"/>
              <w:bottom w:val="nil"/>
            </w:tcBorders>
          </w:tcPr>
          <w:p w:rsidR="00212513" w:rsidRDefault="00212513">
            <w:pPr>
              <w:pStyle w:val="ConsPlusNormal"/>
              <w:jc w:val="center"/>
            </w:pPr>
            <w:r>
              <w:t>0,40</w:t>
            </w:r>
          </w:p>
        </w:tc>
      </w:tr>
      <w:tr w:rsidR="00212513">
        <w:tblPrEx>
          <w:tblBorders>
            <w:insideH w:val="none" w:sz="0" w:space="0" w:color="auto"/>
          </w:tblBorders>
        </w:tblPrEx>
        <w:tc>
          <w:tcPr>
            <w:tcW w:w="3231" w:type="dxa"/>
            <w:tcBorders>
              <w:top w:val="nil"/>
              <w:bottom w:val="nil"/>
            </w:tcBorders>
          </w:tcPr>
          <w:p w:rsidR="00212513" w:rsidRDefault="00212513">
            <w:pPr>
              <w:pStyle w:val="ConsPlusNormal"/>
            </w:pPr>
            <w:r>
              <w:t>Бетонная, образованная с помощью жесткого каналообразователя (или полиэтиленовых труб)</w:t>
            </w:r>
          </w:p>
        </w:tc>
        <w:tc>
          <w:tcPr>
            <w:tcW w:w="964" w:type="dxa"/>
            <w:tcBorders>
              <w:top w:val="nil"/>
              <w:bottom w:val="nil"/>
            </w:tcBorders>
          </w:tcPr>
          <w:p w:rsidR="00212513" w:rsidRDefault="00212513">
            <w:pPr>
              <w:pStyle w:val="ConsPlusNormal"/>
              <w:jc w:val="center"/>
            </w:pPr>
            <w:r>
              <w:t>0,005</w:t>
            </w:r>
          </w:p>
        </w:tc>
        <w:tc>
          <w:tcPr>
            <w:tcW w:w="3005" w:type="dxa"/>
            <w:tcBorders>
              <w:top w:val="nil"/>
              <w:bottom w:val="nil"/>
            </w:tcBorders>
          </w:tcPr>
          <w:p w:rsidR="00212513" w:rsidRDefault="00212513">
            <w:pPr>
              <w:pStyle w:val="ConsPlusNormal"/>
              <w:jc w:val="center"/>
            </w:pPr>
            <w:r>
              <w:t>0,55</w:t>
            </w:r>
          </w:p>
        </w:tc>
        <w:tc>
          <w:tcPr>
            <w:tcW w:w="1871" w:type="dxa"/>
            <w:tcBorders>
              <w:top w:val="nil"/>
              <w:bottom w:val="nil"/>
            </w:tcBorders>
          </w:tcPr>
          <w:p w:rsidR="00212513" w:rsidRDefault="00212513">
            <w:pPr>
              <w:pStyle w:val="ConsPlusNormal"/>
              <w:jc w:val="center"/>
            </w:pPr>
            <w:r>
              <w:t>0,65</w:t>
            </w:r>
          </w:p>
        </w:tc>
      </w:tr>
      <w:tr w:rsidR="00212513">
        <w:tblPrEx>
          <w:tblBorders>
            <w:insideH w:val="none" w:sz="0" w:space="0" w:color="auto"/>
          </w:tblBorders>
        </w:tblPrEx>
        <w:tc>
          <w:tcPr>
            <w:tcW w:w="3231" w:type="dxa"/>
            <w:tcBorders>
              <w:top w:val="nil"/>
              <w:bottom w:val="nil"/>
            </w:tcBorders>
          </w:tcPr>
          <w:p w:rsidR="00212513" w:rsidRDefault="00212513">
            <w:pPr>
              <w:pStyle w:val="ConsPlusNormal"/>
            </w:pPr>
            <w:r>
              <w:t>Гофрированные металлические неизвлекаемые:</w:t>
            </w:r>
          </w:p>
        </w:tc>
        <w:tc>
          <w:tcPr>
            <w:tcW w:w="964" w:type="dxa"/>
            <w:tcBorders>
              <w:top w:val="nil"/>
              <w:bottom w:val="nil"/>
            </w:tcBorders>
          </w:tcPr>
          <w:p w:rsidR="00212513" w:rsidRDefault="00212513">
            <w:pPr>
              <w:pStyle w:val="ConsPlusNormal"/>
              <w:jc w:val="center"/>
            </w:pPr>
          </w:p>
        </w:tc>
        <w:tc>
          <w:tcPr>
            <w:tcW w:w="3005" w:type="dxa"/>
            <w:tcBorders>
              <w:top w:val="nil"/>
              <w:bottom w:val="nil"/>
            </w:tcBorders>
          </w:tcPr>
          <w:p w:rsidR="00212513" w:rsidRDefault="00212513">
            <w:pPr>
              <w:pStyle w:val="ConsPlusNormal"/>
              <w:jc w:val="center"/>
            </w:pPr>
          </w:p>
        </w:tc>
        <w:tc>
          <w:tcPr>
            <w:tcW w:w="1871" w:type="dxa"/>
            <w:tcBorders>
              <w:top w:val="nil"/>
              <w:bottom w:val="nil"/>
            </w:tcBorders>
          </w:tcPr>
          <w:p w:rsidR="00212513" w:rsidRDefault="00212513">
            <w:pPr>
              <w:pStyle w:val="ConsPlusNormal"/>
              <w:jc w:val="center"/>
            </w:pPr>
          </w:p>
        </w:tc>
      </w:tr>
      <w:tr w:rsidR="00212513">
        <w:tblPrEx>
          <w:tblBorders>
            <w:insideH w:val="none" w:sz="0" w:space="0" w:color="auto"/>
          </w:tblBorders>
        </w:tblPrEx>
        <w:tc>
          <w:tcPr>
            <w:tcW w:w="3231" w:type="dxa"/>
            <w:tcBorders>
              <w:top w:val="nil"/>
              <w:bottom w:val="nil"/>
            </w:tcBorders>
          </w:tcPr>
          <w:p w:rsidR="00212513" w:rsidRDefault="00212513">
            <w:pPr>
              <w:pStyle w:val="ConsPlusNormal"/>
              <w:ind w:firstLine="283"/>
            </w:pPr>
            <w:r>
              <w:t>новые</w:t>
            </w:r>
          </w:p>
        </w:tc>
        <w:tc>
          <w:tcPr>
            <w:tcW w:w="964" w:type="dxa"/>
            <w:tcBorders>
              <w:top w:val="nil"/>
              <w:bottom w:val="nil"/>
            </w:tcBorders>
          </w:tcPr>
          <w:p w:rsidR="00212513" w:rsidRDefault="00212513">
            <w:pPr>
              <w:pStyle w:val="ConsPlusNormal"/>
              <w:jc w:val="center"/>
            </w:pPr>
            <w:r>
              <w:t>0,0016</w:t>
            </w:r>
          </w:p>
        </w:tc>
        <w:tc>
          <w:tcPr>
            <w:tcW w:w="3005" w:type="dxa"/>
            <w:tcBorders>
              <w:top w:val="nil"/>
              <w:bottom w:val="nil"/>
            </w:tcBorders>
          </w:tcPr>
          <w:p w:rsidR="00212513" w:rsidRDefault="00212513">
            <w:pPr>
              <w:pStyle w:val="ConsPlusNormal"/>
              <w:jc w:val="center"/>
            </w:pPr>
            <w:r>
              <w:t>0,20</w:t>
            </w:r>
          </w:p>
        </w:tc>
        <w:tc>
          <w:tcPr>
            <w:tcW w:w="1871" w:type="dxa"/>
            <w:tcBorders>
              <w:top w:val="nil"/>
              <w:bottom w:val="nil"/>
            </w:tcBorders>
          </w:tcPr>
          <w:p w:rsidR="00212513" w:rsidRDefault="00212513">
            <w:pPr>
              <w:pStyle w:val="ConsPlusNormal"/>
              <w:jc w:val="center"/>
            </w:pPr>
            <w:r>
              <w:t>-</w:t>
            </w:r>
          </w:p>
        </w:tc>
      </w:tr>
      <w:tr w:rsidR="00212513">
        <w:tblPrEx>
          <w:tblBorders>
            <w:insideH w:val="none" w:sz="0" w:space="0" w:color="auto"/>
          </w:tblBorders>
        </w:tblPrEx>
        <w:tc>
          <w:tcPr>
            <w:tcW w:w="3231" w:type="dxa"/>
            <w:tcBorders>
              <w:top w:val="nil"/>
              <w:bottom w:val="single" w:sz="4" w:space="0" w:color="auto"/>
            </w:tcBorders>
          </w:tcPr>
          <w:p w:rsidR="00212513" w:rsidRDefault="00212513">
            <w:pPr>
              <w:pStyle w:val="ConsPlusNormal"/>
              <w:ind w:firstLine="283"/>
            </w:pPr>
            <w:r>
              <w:t>подверженные коррозии</w:t>
            </w:r>
          </w:p>
        </w:tc>
        <w:tc>
          <w:tcPr>
            <w:tcW w:w="964" w:type="dxa"/>
            <w:tcBorders>
              <w:top w:val="nil"/>
              <w:bottom w:val="single" w:sz="4" w:space="0" w:color="auto"/>
            </w:tcBorders>
          </w:tcPr>
          <w:p w:rsidR="00212513" w:rsidRDefault="00212513">
            <w:pPr>
              <w:pStyle w:val="ConsPlusNormal"/>
              <w:jc w:val="center"/>
            </w:pPr>
            <w:r>
              <w:t>0,003</w:t>
            </w:r>
          </w:p>
        </w:tc>
        <w:tc>
          <w:tcPr>
            <w:tcW w:w="3005" w:type="dxa"/>
            <w:tcBorders>
              <w:top w:val="nil"/>
              <w:bottom w:val="single" w:sz="4" w:space="0" w:color="auto"/>
            </w:tcBorders>
          </w:tcPr>
          <w:p w:rsidR="00212513" w:rsidRDefault="00212513">
            <w:pPr>
              <w:pStyle w:val="ConsPlusNormal"/>
              <w:jc w:val="center"/>
            </w:pPr>
            <w:r>
              <w:t>0,30</w:t>
            </w:r>
          </w:p>
        </w:tc>
        <w:tc>
          <w:tcPr>
            <w:tcW w:w="1871" w:type="dxa"/>
            <w:tcBorders>
              <w:top w:val="nil"/>
              <w:bottom w:val="single" w:sz="4" w:space="0" w:color="auto"/>
            </w:tcBorders>
          </w:tcPr>
          <w:p w:rsidR="00212513" w:rsidRDefault="00212513">
            <w:pPr>
              <w:pStyle w:val="ConsPlusNormal"/>
              <w:jc w:val="center"/>
            </w:pPr>
            <w:r>
              <w:t>-</w:t>
            </w:r>
          </w:p>
        </w:tc>
      </w:tr>
    </w:tbl>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jc w:val="right"/>
        <w:outlineLvl w:val="0"/>
      </w:pPr>
      <w:r>
        <w:rPr>
          <w:b/>
        </w:rPr>
        <w:t>Приложение С</w:t>
      </w:r>
    </w:p>
    <w:p w:rsidR="00212513" w:rsidRDefault="00212513">
      <w:pPr>
        <w:pStyle w:val="ConsPlusNormal"/>
        <w:jc w:val="right"/>
      </w:pPr>
      <w:r>
        <w:rPr>
          <w:b/>
        </w:rPr>
        <w:t>(обязательное)</w:t>
      </w:r>
    </w:p>
    <w:p w:rsidR="00212513" w:rsidRDefault="00212513">
      <w:pPr>
        <w:pStyle w:val="ConsPlusNormal"/>
        <w:ind w:firstLine="540"/>
        <w:jc w:val="both"/>
      </w:pPr>
    </w:p>
    <w:p w:rsidR="00212513" w:rsidRDefault="00212513">
      <w:pPr>
        <w:pStyle w:val="ConsPlusTitle"/>
        <w:jc w:val="center"/>
      </w:pPr>
      <w:bookmarkStart w:id="515" w:name="P14596"/>
      <w:bookmarkEnd w:id="515"/>
      <w:r>
        <w:t>РАСЧЕТ ЖЕСТКИХ ЗВЕНЬЕВ КРУГЛЫХ ЖЕЛЕЗОБЕТОННЫХ ТРУБ</w:t>
      </w:r>
    </w:p>
    <w:p w:rsidR="00212513" w:rsidRDefault="00212513">
      <w:pPr>
        <w:pStyle w:val="ConsPlusNormal"/>
        <w:ind w:firstLine="540"/>
        <w:jc w:val="both"/>
      </w:pPr>
    </w:p>
    <w:p w:rsidR="00212513" w:rsidRDefault="00212513">
      <w:pPr>
        <w:pStyle w:val="ConsPlusNormal"/>
        <w:ind w:firstLine="540"/>
        <w:jc w:val="both"/>
      </w:pPr>
      <w:r>
        <w:t>Жесткие звенья круглых железобетонных труб допускается рассчитывать на изгибающие моменты (без учета нормальных и поперечных сил), расчетные значения которых следует определять по формуле</w:t>
      </w:r>
    </w:p>
    <w:p w:rsidR="00212513" w:rsidRDefault="00212513">
      <w:pPr>
        <w:pStyle w:val="ConsPlusNormal"/>
        <w:ind w:firstLine="540"/>
        <w:jc w:val="both"/>
      </w:pPr>
    </w:p>
    <w:p w:rsidR="00212513" w:rsidRDefault="00212513">
      <w:pPr>
        <w:pStyle w:val="ConsPlusNormal"/>
        <w:jc w:val="center"/>
      </w:pPr>
      <w:r>
        <w:rPr>
          <w:noProof/>
          <w:position w:val="-9"/>
        </w:rPr>
        <w:drawing>
          <wp:inline distT="0" distB="0" distL="0" distR="0">
            <wp:extent cx="1173480" cy="262890"/>
            <wp:effectExtent l="0" t="0" r="0" b="0"/>
            <wp:docPr id="2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3" cstate="print">
                      <a:extLst>
                        <a:ext uri="{28A0092B-C50C-407E-A947-70E740481C1C}">
                          <a14:useLocalDpi xmlns:a14="http://schemas.microsoft.com/office/drawing/2010/main" val="0"/>
                        </a:ext>
                      </a:extLst>
                    </a:blip>
                    <a:srcRect/>
                    <a:stretch>
                      <a:fillRect/>
                    </a:stretch>
                  </pic:blipFill>
                  <pic:spPr bwMode="auto">
                    <a:xfrm>
                      <a:off x="0" y="0"/>
                      <a:ext cx="1173480" cy="262890"/>
                    </a:xfrm>
                    <a:prstGeom prst="rect">
                      <a:avLst/>
                    </a:prstGeom>
                    <a:noFill/>
                    <a:ln>
                      <a:noFill/>
                    </a:ln>
                  </pic:spPr>
                </pic:pic>
              </a:graphicData>
            </a:graphic>
          </wp:inline>
        </w:drawing>
      </w:r>
      <w:r>
        <w:t>, (С.1)</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9"/>
        </w:rPr>
        <w:drawing>
          <wp:inline distT="0" distB="0" distL="0" distR="0">
            <wp:extent cx="167640" cy="261620"/>
            <wp:effectExtent l="0" t="0" r="0" b="0"/>
            <wp:docPr id="2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4"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 средний радиус звена, м;</w:t>
      </w:r>
    </w:p>
    <w:p w:rsidR="00212513" w:rsidRDefault="00212513">
      <w:pPr>
        <w:pStyle w:val="ConsPlusNormal"/>
        <w:spacing w:before="220"/>
        <w:ind w:firstLine="540"/>
        <w:jc w:val="both"/>
      </w:pPr>
      <w:r>
        <w:rPr>
          <w:i/>
        </w:rPr>
        <w:t>p</w:t>
      </w:r>
      <w:r>
        <w:t xml:space="preserve"> - расчетное давление на звено, принимаемое равным:</w:t>
      </w:r>
    </w:p>
    <w:p w:rsidR="00212513" w:rsidRDefault="00212513">
      <w:pPr>
        <w:pStyle w:val="ConsPlusNormal"/>
        <w:spacing w:before="220"/>
        <w:ind w:firstLine="540"/>
        <w:jc w:val="both"/>
      </w:pPr>
      <w:r>
        <w:t>для железнодорожных труб</w:t>
      </w:r>
    </w:p>
    <w:p w:rsidR="00212513" w:rsidRDefault="00212513">
      <w:pPr>
        <w:pStyle w:val="ConsPlusNormal"/>
        <w:ind w:firstLine="540"/>
        <w:jc w:val="both"/>
      </w:pPr>
    </w:p>
    <w:p w:rsidR="00212513" w:rsidRDefault="00212513">
      <w:pPr>
        <w:pStyle w:val="ConsPlusNormal"/>
        <w:jc w:val="center"/>
      </w:pPr>
      <w:r>
        <w:rPr>
          <w:noProof/>
          <w:position w:val="-10"/>
        </w:rPr>
        <w:drawing>
          <wp:inline distT="0" distB="0" distL="0" distR="0">
            <wp:extent cx="1173480" cy="267970"/>
            <wp:effectExtent l="0" t="0" r="0" b="0"/>
            <wp:docPr id="2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5" cstate="print">
                      <a:extLst>
                        <a:ext uri="{28A0092B-C50C-407E-A947-70E740481C1C}">
                          <a14:useLocalDpi xmlns:a14="http://schemas.microsoft.com/office/drawing/2010/main" val="0"/>
                        </a:ext>
                      </a:extLst>
                    </a:blip>
                    <a:srcRect/>
                    <a:stretch>
                      <a:fillRect/>
                    </a:stretch>
                  </pic:blipFill>
                  <pic:spPr bwMode="auto">
                    <a:xfrm>
                      <a:off x="0" y="0"/>
                      <a:ext cx="1173480" cy="267970"/>
                    </a:xfrm>
                    <a:prstGeom prst="rect">
                      <a:avLst/>
                    </a:prstGeom>
                    <a:noFill/>
                    <a:ln>
                      <a:noFill/>
                    </a:ln>
                  </pic:spPr>
                </pic:pic>
              </a:graphicData>
            </a:graphic>
          </wp:inline>
        </w:drawing>
      </w:r>
      <w:r>
        <w:t xml:space="preserve"> (С.2)</w:t>
      </w:r>
    </w:p>
    <w:p w:rsidR="00212513" w:rsidRDefault="00212513">
      <w:pPr>
        <w:pStyle w:val="ConsPlusNormal"/>
        <w:jc w:val="center"/>
      </w:pPr>
    </w:p>
    <w:p w:rsidR="00212513" w:rsidRDefault="00212513">
      <w:pPr>
        <w:pStyle w:val="ConsPlusNormal"/>
        <w:jc w:val="center"/>
      </w:pPr>
      <w:r>
        <w:t xml:space="preserve">(в ред. </w:t>
      </w:r>
      <w:hyperlink r:id="rId3386">
        <w:r>
          <w:rPr>
            <w:color w:val="0000FF"/>
          </w:rPr>
          <w:t>Изменения N 1</w:t>
        </w:r>
      </w:hyperlink>
      <w:r>
        <w:t>, утв. Приказом</w:t>
      </w:r>
    </w:p>
    <w:p w:rsidR="00212513" w:rsidRDefault="00212513">
      <w:pPr>
        <w:pStyle w:val="ConsPlusNormal"/>
        <w:jc w:val="center"/>
      </w:pPr>
      <w:r>
        <w:t>Минстроя России от 03.12.2016 N 879/пр)</w:t>
      </w:r>
    </w:p>
    <w:p w:rsidR="00212513" w:rsidRDefault="00212513">
      <w:pPr>
        <w:pStyle w:val="ConsPlusNormal"/>
        <w:jc w:val="center"/>
      </w:pPr>
    </w:p>
    <w:p w:rsidR="00212513" w:rsidRDefault="00212513">
      <w:pPr>
        <w:pStyle w:val="ConsPlusNormal"/>
        <w:ind w:firstLine="540"/>
        <w:jc w:val="both"/>
      </w:pPr>
      <w:r>
        <w:t>для автодорожных труб</w:t>
      </w:r>
    </w:p>
    <w:p w:rsidR="00212513" w:rsidRDefault="00212513">
      <w:pPr>
        <w:pStyle w:val="ConsPlusNormal"/>
        <w:ind w:firstLine="540"/>
        <w:jc w:val="both"/>
      </w:pPr>
    </w:p>
    <w:p w:rsidR="00212513" w:rsidRDefault="00212513">
      <w:pPr>
        <w:pStyle w:val="ConsPlusNormal"/>
        <w:jc w:val="center"/>
      </w:pPr>
      <w:r>
        <w:rPr>
          <w:noProof/>
          <w:position w:val="-10"/>
        </w:rPr>
        <w:drawing>
          <wp:inline distT="0" distB="0" distL="0" distR="0">
            <wp:extent cx="1173480" cy="267970"/>
            <wp:effectExtent l="0" t="0" r="0" b="0"/>
            <wp:docPr id="2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7" cstate="print">
                      <a:extLst>
                        <a:ext uri="{28A0092B-C50C-407E-A947-70E740481C1C}">
                          <a14:useLocalDpi xmlns:a14="http://schemas.microsoft.com/office/drawing/2010/main" val="0"/>
                        </a:ext>
                      </a:extLst>
                    </a:blip>
                    <a:srcRect/>
                    <a:stretch>
                      <a:fillRect/>
                    </a:stretch>
                  </pic:blipFill>
                  <pic:spPr bwMode="auto">
                    <a:xfrm>
                      <a:off x="0" y="0"/>
                      <a:ext cx="1173480" cy="267970"/>
                    </a:xfrm>
                    <a:prstGeom prst="rect">
                      <a:avLst/>
                    </a:prstGeom>
                    <a:noFill/>
                    <a:ln>
                      <a:noFill/>
                    </a:ln>
                  </pic:spPr>
                </pic:pic>
              </a:graphicData>
            </a:graphic>
          </wp:inline>
        </w:drawing>
      </w:r>
      <w:r>
        <w:t xml:space="preserve"> (С.3)</w:t>
      </w:r>
    </w:p>
    <w:p w:rsidR="00212513" w:rsidRDefault="00212513">
      <w:pPr>
        <w:pStyle w:val="ConsPlusNormal"/>
        <w:jc w:val="center"/>
      </w:pPr>
    </w:p>
    <w:p w:rsidR="00212513" w:rsidRDefault="00212513">
      <w:pPr>
        <w:pStyle w:val="ConsPlusNormal"/>
        <w:jc w:val="center"/>
      </w:pPr>
      <w:r>
        <w:t xml:space="preserve">(в ред. </w:t>
      </w:r>
      <w:hyperlink r:id="rId3388">
        <w:r>
          <w:rPr>
            <w:color w:val="0000FF"/>
          </w:rPr>
          <w:t>Изменения N 1</w:t>
        </w:r>
      </w:hyperlink>
      <w:r>
        <w:t>, утв. Приказом</w:t>
      </w:r>
    </w:p>
    <w:p w:rsidR="00212513" w:rsidRDefault="00212513">
      <w:pPr>
        <w:pStyle w:val="ConsPlusNormal"/>
        <w:jc w:val="center"/>
      </w:pPr>
      <w:r>
        <w:t>Минстроя России от 03.12.2016 N 879/пр)</w:t>
      </w:r>
    </w:p>
    <w:p w:rsidR="00212513" w:rsidRDefault="00212513">
      <w:pPr>
        <w:pStyle w:val="ConsPlusNormal"/>
        <w:ind w:firstLine="540"/>
        <w:jc w:val="both"/>
      </w:pPr>
    </w:p>
    <w:p w:rsidR="00212513" w:rsidRDefault="00212513">
      <w:pPr>
        <w:pStyle w:val="ConsPlusNormal"/>
        <w:ind w:firstLine="540"/>
        <w:jc w:val="both"/>
      </w:pPr>
      <w:r>
        <w:lastRenderedPageBreak/>
        <w:t xml:space="preserve">где </w:t>
      </w:r>
      <w:r>
        <w:rPr>
          <w:noProof/>
          <w:position w:val="-10"/>
        </w:rPr>
        <w:drawing>
          <wp:inline distT="0" distB="0" distL="0" distR="0">
            <wp:extent cx="310515" cy="267970"/>
            <wp:effectExtent l="0" t="0" r="0" b="0"/>
            <wp:docPr id="2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9" cstate="print">
                      <a:extLst>
                        <a:ext uri="{28A0092B-C50C-407E-A947-70E740481C1C}">
                          <a14:useLocalDpi xmlns:a14="http://schemas.microsoft.com/office/drawing/2010/main" val="0"/>
                        </a:ext>
                      </a:extLst>
                    </a:blip>
                    <a:srcRect/>
                    <a:stretch>
                      <a:fillRect/>
                    </a:stretch>
                  </pic:blipFill>
                  <pic:spPr bwMode="auto">
                    <a:xfrm>
                      <a:off x="0" y="0"/>
                      <a:ext cx="310515" cy="267970"/>
                    </a:xfrm>
                    <a:prstGeom prst="rect">
                      <a:avLst/>
                    </a:prstGeom>
                    <a:noFill/>
                    <a:ln>
                      <a:noFill/>
                    </a:ln>
                  </pic:spPr>
                </pic:pic>
              </a:graphicData>
            </a:graphic>
          </wp:inline>
        </w:drawing>
      </w:r>
      <w:r>
        <w:t xml:space="preserve"> и </w:t>
      </w:r>
      <w:r>
        <w:rPr>
          <w:noProof/>
          <w:position w:val="-10"/>
        </w:rPr>
        <w:drawing>
          <wp:inline distT="0" distB="0" distL="0" distR="0">
            <wp:extent cx="293370" cy="267970"/>
            <wp:effectExtent l="0" t="0" r="0" b="0"/>
            <wp:docPr id="2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0" cstate="print">
                      <a:extLst>
                        <a:ext uri="{28A0092B-C50C-407E-A947-70E740481C1C}">
                          <a14:useLocalDpi xmlns:a14="http://schemas.microsoft.com/office/drawing/2010/main" val="0"/>
                        </a:ext>
                      </a:extLst>
                    </a:blip>
                    <a:srcRect/>
                    <a:stretch>
                      <a:fillRect/>
                    </a:stretch>
                  </pic:blipFill>
                  <pic:spPr bwMode="auto">
                    <a:xfrm>
                      <a:off x="0" y="0"/>
                      <a:ext cx="293370" cy="267970"/>
                    </a:xfrm>
                    <a:prstGeom prst="rect">
                      <a:avLst/>
                    </a:prstGeom>
                    <a:noFill/>
                    <a:ln>
                      <a:noFill/>
                    </a:ln>
                  </pic:spPr>
                </pic:pic>
              </a:graphicData>
            </a:graphic>
          </wp:inline>
        </w:drawing>
      </w:r>
      <w:r>
        <w:t xml:space="preserve"> - коэффициенты надежности к постоянной и временной нагрузкам, принимаемые в соответствии с </w:t>
      </w:r>
      <w:hyperlink w:anchor="P974">
        <w:r>
          <w:rPr>
            <w:color w:val="0000FF"/>
          </w:rPr>
          <w:t>6.3</w:t>
        </w:r>
      </w:hyperlink>
      <w:r>
        <w:t>;</w:t>
      </w:r>
    </w:p>
    <w:p w:rsidR="00212513" w:rsidRDefault="00212513">
      <w:pPr>
        <w:pStyle w:val="ConsPlusNormal"/>
        <w:jc w:val="both"/>
      </w:pPr>
      <w:r>
        <w:t xml:space="preserve">(абзац введен </w:t>
      </w:r>
      <w:hyperlink r:id="rId3391">
        <w:r>
          <w:rPr>
            <w:color w:val="0000FF"/>
          </w:rPr>
          <w:t>Изменением N 1</w:t>
        </w:r>
      </w:hyperlink>
      <w:r>
        <w:t>, утв. Приказом Минстроя России от 03.12.2016 N 879/пр)</w:t>
      </w:r>
    </w:p>
    <w:p w:rsidR="00212513" w:rsidRDefault="00212513">
      <w:pPr>
        <w:pStyle w:val="ConsPlusNormal"/>
        <w:spacing w:before="220"/>
        <w:ind w:firstLine="540"/>
        <w:jc w:val="both"/>
      </w:pPr>
      <w:r>
        <w:rPr>
          <w:noProof/>
          <w:position w:val="-9"/>
        </w:rPr>
        <w:drawing>
          <wp:inline distT="0" distB="0" distL="0" distR="0">
            <wp:extent cx="261620" cy="262890"/>
            <wp:effectExtent l="0" t="0" r="0" b="0"/>
            <wp:docPr id="2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2" cstate="print">
                      <a:extLst>
                        <a:ext uri="{28A0092B-C50C-407E-A947-70E740481C1C}">
                          <a14:useLocalDpi xmlns:a14="http://schemas.microsoft.com/office/drawing/2010/main" val="0"/>
                        </a:ext>
                      </a:extLst>
                    </a:blip>
                    <a:srcRect/>
                    <a:stretch>
                      <a:fillRect/>
                    </a:stretch>
                  </pic:blipFill>
                  <pic:spPr bwMode="auto">
                    <a:xfrm>
                      <a:off x="0" y="0"/>
                      <a:ext cx="261620" cy="262890"/>
                    </a:xfrm>
                    <a:prstGeom prst="rect">
                      <a:avLst/>
                    </a:prstGeom>
                    <a:noFill/>
                    <a:ln>
                      <a:noFill/>
                    </a:ln>
                  </pic:spPr>
                </pic:pic>
              </a:graphicData>
            </a:graphic>
          </wp:inline>
        </w:drawing>
      </w:r>
      <w:r>
        <w:t xml:space="preserve"> - нормативное вертикальное давление грунта насыпи, принимаемое по </w:t>
      </w:r>
      <w:hyperlink w:anchor="P1033">
        <w:r>
          <w:rPr>
            <w:color w:val="0000FF"/>
          </w:rPr>
          <w:t>6.6</w:t>
        </w:r>
      </w:hyperlink>
      <w:r>
        <w:t>;</w:t>
      </w:r>
    </w:p>
    <w:p w:rsidR="00212513" w:rsidRDefault="00212513">
      <w:pPr>
        <w:pStyle w:val="ConsPlusNormal"/>
        <w:spacing w:before="220"/>
        <w:ind w:firstLine="540"/>
        <w:jc w:val="both"/>
      </w:pPr>
      <w:r>
        <w:rPr>
          <w:noProof/>
          <w:position w:val="-9"/>
        </w:rPr>
        <w:drawing>
          <wp:inline distT="0" distB="0" distL="0" distR="0">
            <wp:extent cx="261620" cy="261620"/>
            <wp:effectExtent l="0" t="0" r="0" b="0"/>
            <wp:docPr id="2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3" cstate="print">
                      <a:extLst>
                        <a:ext uri="{28A0092B-C50C-407E-A947-70E740481C1C}">
                          <a14:useLocalDpi xmlns:a14="http://schemas.microsoft.com/office/drawing/2010/main" val="0"/>
                        </a:ext>
                      </a:extLst>
                    </a:blip>
                    <a:srcRect/>
                    <a:stretch>
                      <a:fillRect/>
                    </a:stretch>
                  </pic:blipFill>
                  <pic:spPr bwMode="auto">
                    <a:xfrm>
                      <a:off x="0" y="0"/>
                      <a:ext cx="261620" cy="261620"/>
                    </a:xfrm>
                    <a:prstGeom prst="rect">
                      <a:avLst/>
                    </a:prstGeom>
                    <a:noFill/>
                    <a:ln>
                      <a:noFill/>
                    </a:ln>
                  </pic:spPr>
                </pic:pic>
              </a:graphicData>
            </a:graphic>
          </wp:inline>
        </w:drawing>
      </w:r>
      <w:r>
        <w:t xml:space="preserve"> - нормативное вертикальное давление от временной вертикальной нагрузки, принимаемое по </w:t>
      </w:r>
      <w:hyperlink w:anchor="P1311">
        <w:r>
          <w:rPr>
            <w:color w:val="0000FF"/>
          </w:rPr>
          <w:t>6.17</w:t>
        </w:r>
      </w:hyperlink>
      <w:r>
        <w:t>;</w:t>
      </w:r>
    </w:p>
    <w:p w:rsidR="00212513" w:rsidRDefault="00212513">
      <w:pPr>
        <w:pStyle w:val="ConsPlusNormal"/>
        <w:ind w:firstLine="540"/>
        <w:jc w:val="both"/>
      </w:pPr>
    </w:p>
    <w:p w:rsidR="00212513" w:rsidRDefault="00212513">
      <w:pPr>
        <w:pStyle w:val="ConsPlusNormal"/>
        <w:jc w:val="center"/>
      </w:pPr>
      <w:r>
        <w:rPr>
          <w:noProof/>
          <w:position w:val="-26"/>
        </w:rPr>
        <w:drawing>
          <wp:inline distT="0" distB="0" distL="0" distR="0">
            <wp:extent cx="1298575" cy="470535"/>
            <wp:effectExtent l="0" t="0" r="0" b="0"/>
            <wp:docPr id="2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4" cstate="print">
                      <a:extLst>
                        <a:ext uri="{28A0092B-C50C-407E-A947-70E740481C1C}">
                          <a14:useLocalDpi xmlns:a14="http://schemas.microsoft.com/office/drawing/2010/main" val="0"/>
                        </a:ext>
                      </a:extLst>
                    </a:blip>
                    <a:srcRect/>
                    <a:stretch>
                      <a:fillRect/>
                    </a:stretch>
                  </pic:blipFill>
                  <pic:spPr bwMode="auto">
                    <a:xfrm>
                      <a:off x="0" y="0"/>
                      <a:ext cx="1298575" cy="470535"/>
                    </a:xfrm>
                    <a:prstGeom prst="rect">
                      <a:avLst/>
                    </a:prstGeom>
                    <a:noFill/>
                    <a:ln>
                      <a:noFill/>
                    </a:ln>
                  </pic:spPr>
                </pic:pic>
              </a:graphicData>
            </a:graphic>
          </wp:inline>
        </w:drawing>
      </w:r>
      <w:r>
        <w:t>, (С.4)</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7"/>
        </w:rPr>
        <w:drawing>
          <wp:inline distT="0" distB="0" distL="0" distR="0">
            <wp:extent cx="198755" cy="240665"/>
            <wp:effectExtent l="0" t="0" r="0" b="0"/>
            <wp:docPr id="2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5" cstate="print">
                      <a:extLst>
                        <a:ext uri="{28A0092B-C50C-407E-A947-70E740481C1C}">
                          <a14:useLocalDpi xmlns:a14="http://schemas.microsoft.com/office/drawing/2010/main" val="0"/>
                        </a:ext>
                      </a:extLst>
                    </a:blip>
                    <a:srcRect/>
                    <a:stretch>
                      <a:fillRect/>
                    </a:stretch>
                  </pic:blipFill>
                  <pic:spPr bwMode="auto">
                    <a:xfrm>
                      <a:off x="0" y="0"/>
                      <a:ext cx="198755" cy="240665"/>
                    </a:xfrm>
                    <a:prstGeom prst="rect">
                      <a:avLst/>
                    </a:prstGeom>
                    <a:noFill/>
                    <a:ln>
                      <a:noFill/>
                    </a:ln>
                  </pic:spPr>
                </pic:pic>
              </a:graphicData>
            </a:graphic>
          </wp:inline>
        </w:drawing>
      </w:r>
      <w:r>
        <w:t xml:space="preserve"> - нормативный угол внутреннего трения грунта засыпки, град;</w:t>
      </w:r>
    </w:p>
    <w:p w:rsidR="00212513" w:rsidRDefault="00212513">
      <w:pPr>
        <w:pStyle w:val="ConsPlusNormal"/>
        <w:jc w:val="both"/>
      </w:pPr>
      <w:r>
        <w:t xml:space="preserve">(в ред. </w:t>
      </w:r>
      <w:hyperlink r:id="rId3396">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rPr>
          <w:noProof/>
          <w:position w:val="-4"/>
        </w:rPr>
        <w:drawing>
          <wp:inline distT="0" distB="0" distL="0" distR="0">
            <wp:extent cx="146050" cy="198755"/>
            <wp:effectExtent l="0" t="0" r="0" b="0"/>
            <wp:docPr id="2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7" cstate="print">
                      <a:extLst>
                        <a:ext uri="{28A0092B-C50C-407E-A947-70E740481C1C}">
                          <a14:useLocalDpi xmlns:a14="http://schemas.microsoft.com/office/drawing/2010/main" val="0"/>
                        </a:ext>
                      </a:extLst>
                    </a:blip>
                    <a:srcRect/>
                    <a:stretch>
                      <a:fillRect/>
                    </a:stretch>
                  </pic:blipFill>
                  <pic:spPr bwMode="auto">
                    <a:xfrm>
                      <a:off x="0" y="0"/>
                      <a:ext cx="146050" cy="198755"/>
                    </a:xfrm>
                    <a:prstGeom prst="rect">
                      <a:avLst/>
                    </a:prstGeom>
                    <a:noFill/>
                    <a:ln>
                      <a:noFill/>
                    </a:ln>
                  </pic:spPr>
                </pic:pic>
              </a:graphicData>
            </a:graphic>
          </wp:inline>
        </w:drawing>
      </w:r>
      <w:r>
        <w:t xml:space="preserve"> - коэффициент, принимаемый в зависимости от условий опирания звена на фундамент или грунтовую (профилированную) уплотненную подушку согласно таблице С.1.</w:t>
      </w:r>
    </w:p>
    <w:p w:rsidR="00212513" w:rsidRDefault="00212513">
      <w:pPr>
        <w:pStyle w:val="ConsPlusNormal"/>
        <w:ind w:firstLine="540"/>
        <w:jc w:val="both"/>
      </w:pPr>
    </w:p>
    <w:p w:rsidR="00212513" w:rsidRDefault="00212513">
      <w:pPr>
        <w:pStyle w:val="ConsPlusNormal"/>
        <w:jc w:val="right"/>
      </w:pPr>
      <w:r>
        <w:t>Таблица С.1</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57"/>
        <w:gridCol w:w="5613"/>
        <w:gridCol w:w="1701"/>
      </w:tblGrid>
      <w:tr w:rsidR="00212513">
        <w:tc>
          <w:tcPr>
            <w:tcW w:w="1757" w:type="dxa"/>
            <w:tcBorders>
              <w:top w:val="single" w:sz="4" w:space="0" w:color="auto"/>
              <w:bottom w:val="single" w:sz="4" w:space="0" w:color="auto"/>
            </w:tcBorders>
            <w:vAlign w:val="center"/>
          </w:tcPr>
          <w:p w:rsidR="00212513" w:rsidRDefault="00212513">
            <w:pPr>
              <w:pStyle w:val="ConsPlusNormal"/>
              <w:jc w:val="center"/>
            </w:pPr>
            <w:r>
              <w:t>Звено</w:t>
            </w:r>
          </w:p>
        </w:tc>
        <w:tc>
          <w:tcPr>
            <w:tcW w:w="5613" w:type="dxa"/>
            <w:tcBorders>
              <w:top w:val="single" w:sz="4" w:space="0" w:color="auto"/>
              <w:bottom w:val="single" w:sz="4" w:space="0" w:color="auto"/>
            </w:tcBorders>
            <w:vAlign w:val="center"/>
          </w:tcPr>
          <w:p w:rsidR="00212513" w:rsidRDefault="00212513">
            <w:pPr>
              <w:pStyle w:val="ConsPlusNormal"/>
              <w:jc w:val="center"/>
            </w:pPr>
            <w:r>
              <w:t>Условие опирания</w:t>
            </w:r>
          </w:p>
        </w:tc>
        <w:tc>
          <w:tcPr>
            <w:tcW w:w="1701" w:type="dxa"/>
            <w:tcBorders>
              <w:top w:val="single" w:sz="4" w:space="0" w:color="auto"/>
              <w:bottom w:val="single" w:sz="4" w:space="0" w:color="auto"/>
            </w:tcBorders>
            <w:vAlign w:val="center"/>
          </w:tcPr>
          <w:p w:rsidR="00212513" w:rsidRDefault="00212513">
            <w:pPr>
              <w:pStyle w:val="ConsPlusNormal"/>
              <w:jc w:val="center"/>
            </w:pPr>
            <w:r>
              <w:t>Коэффициент </w:t>
            </w:r>
            <w:r>
              <w:rPr>
                <w:noProof/>
                <w:position w:val="-4"/>
              </w:rPr>
              <w:drawing>
                <wp:inline distT="0" distB="0" distL="0" distR="0">
                  <wp:extent cx="157480" cy="199390"/>
                  <wp:effectExtent l="0" t="0" r="0" b="0"/>
                  <wp:docPr id="2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8"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p>
        </w:tc>
      </w:tr>
      <w:tr w:rsidR="00212513">
        <w:tblPrEx>
          <w:tblBorders>
            <w:insideH w:val="none" w:sz="0" w:space="0" w:color="auto"/>
          </w:tblBorders>
        </w:tblPrEx>
        <w:tc>
          <w:tcPr>
            <w:tcW w:w="1757" w:type="dxa"/>
            <w:tcBorders>
              <w:top w:val="single" w:sz="4" w:space="0" w:color="auto"/>
              <w:bottom w:val="nil"/>
            </w:tcBorders>
          </w:tcPr>
          <w:p w:rsidR="00212513" w:rsidRDefault="00212513">
            <w:pPr>
              <w:pStyle w:val="ConsPlusNormal"/>
            </w:pPr>
            <w:r>
              <w:t>Круглое</w:t>
            </w:r>
          </w:p>
        </w:tc>
        <w:tc>
          <w:tcPr>
            <w:tcW w:w="5613" w:type="dxa"/>
            <w:tcBorders>
              <w:top w:val="single" w:sz="4" w:space="0" w:color="auto"/>
              <w:bottom w:val="nil"/>
            </w:tcBorders>
          </w:tcPr>
          <w:p w:rsidR="00212513" w:rsidRDefault="00212513">
            <w:pPr>
              <w:pStyle w:val="ConsPlusNormal"/>
            </w:pPr>
            <w:r>
              <w:t>На грунтовую (профилированную) уплотненную подушку при </w:t>
            </w:r>
            <w:r>
              <w:rPr>
                <w:noProof/>
                <w:position w:val="-4"/>
              </w:rPr>
              <w:drawing>
                <wp:inline distT="0" distB="0" distL="0" distR="0">
                  <wp:extent cx="555625" cy="199390"/>
                  <wp:effectExtent l="0" t="0" r="0" b="0"/>
                  <wp:docPr id="2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p>
        </w:tc>
        <w:tc>
          <w:tcPr>
            <w:tcW w:w="1701" w:type="dxa"/>
            <w:tcBorders>
              <w:top w:val="single" w:sz="4" w:space="0" w:color="auto"/>
              <w:bottom w:val="nil"/>
            </w:tcBorders>
          </w:tcPr>
          <w:p w:rsidR="00212513" w:rsidRDefault="00212513">
            <w:pPr>
              <w:pStyle w:val="ConsPlusNormal"/>
              <w:jc w:val="center"/>
            </w:pPr>
            <w:r>
              <w:t>0,25</w:t>
            </w:r>
          </w:p>
        </w:tc>
      </w:tr>
      <w:tr w:rsidR="00212513">
        <w:tblPrEx>
          <w:tblBorders>
            <w:insideH w:val="none" w:sz="0" w:space="0" w:color="auto"/>
          </w:tblBorders>
        </w:tblPrEx>
        <w:tc>
          <w:tcPr>
            <w:tcW w:w="1757" w:type="dxa"/>
            <w:tcBorders>
              <w:top w:val="nil"/>
              <w:bottom w:val="nil"/>
            </w:tcBorders>
          </w:tcPr>
          <w:p w:rsidR="00212513" w:rsidRDefault="00212513">
            <w:pPr>
              <w:pStyle w:val="ConsPlusNormal"/>
              <w:jc w:val="both"/>
            </w:pPr>
          </w:p>
        </w:tc>
        <w:tc>
          <w:tcPr>
            <w:tcW w:w="5613" w:type="dxa"/>
            <w:tcBorders>
              <w:top w:val="nil"/>
              <w:bottom w:val="nil"/>
            </w:tcBorders>
          </w:tcPr>
          <w:p w:rsidR="00212513" w:rsidRDefault="00212513">
            <w:pPr>
              <w:pStyle w:val="ConsPlusNormal"/>
            </w:pPr>
            <w:r>
              <w:t>На фундамент (бетонный, железобетонный) через бетонную подушку при </w:t>
            </w:r>
            <w:r>
              <w:rPr>
                <w:noProof/>
                <w:position w:val="-4"/>
              </w:rPr>
              <w:drawing>
                <wp:inline distT="0" distB="0" distL="0" distR="0">
                  <wp:extent cx="628650" cy="199390"/>
                  <wp:effectExtent l="0" t="0" r="0" b="0"/>
                  <wp:docPr id="2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0"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p>
        </w:tc>
        <w:tc>
          <w:tcPr>
            <w:tcW w:w="1701" w:type="dxa"/>
            <w:tcBorders>
              <w:top w:val="nil"/>
              <w:bottom w:val="nil"/>
            </w:tcBorders>
          </w:tcPr>
          <w:p w:rsidR="00212513" w:rsidRDefault="00212513">
            <w:pPr>
              <w:pStyle w:val="ConsPlusNormal"/>
              <w:jc w:val="center"/>
            </w:pPr>
            <w:r>
              <w:t>0,22</w:t>
            </w:r>
          </w:p>
        </w:tc>
      </w:tr>
      <w:tr w:rsidR="00212513">
        <w:tblPrEx>
          <w:tblBorders>
            <w:insideH w:val="none" w:sz="0" w:space="0" w:color="auto"/>
          </w:tblBorders>
        </w:tblPrEx>
        <w:tc>
          <w:tcPr>
            <w:tcW w:w="1757" w:type="dxa"/>
            <w:tcBorders>
              <w:top w:val="nil"/>
              <w:bottom w:val="single" w:sz="4" w:space="0" w:color="auto"/>
            </w:tcBorders>
          </w:tcPr>
          <w:p w:rsidR="00212513" w:rsidRDefault="00212513">
            <w:pPr>
              <w:pStyle w:val="ConsPlusNormal"/>
            </w:pPr>
            <w:r>
              <w:t>Круглое с плоской пятой</w:t>
            </w:r>
          </w:p>
        </w:tc>
        <w:tc>
          <w:tcPr>
            <w:tcW w:w="5613" w:type="dxa"/>
            <w:tcBorders>
              <w:top w:val="nil"/>
              <w:bottom w:val="single" w:sz="4" w:space="0" w:color="auto"/>
            </w:tcBorders>
          </w:tcPr>
          <w:p w:rsidR="00212513" w:rsidRDefault="00212513">
            <w:pPr>
              <w:pStyle w:val="ConsPlusNormal"/>
            </w:pPr>
            <w:r>
              <w:t>На фундамент (бетонный, железобетонный) или на грунтовую уплотненную подушку</w:t>
            </w:r>
          </w:p>
        </w:tc>
        <w:tc>
          <w:tcPr>
            <w:tcW w:w="1701" w:type="dxa"/>
            <w:tcBorders>
              <w:top w:val="nil"/>
              <w:bottom w:val="single" w:sz="4" w:space="0" w:color="auto"/>
            </w:tcBorders>
          </w:tcPr>
          <w:p w:rsidR="00212513" w:rsidRDefault="00212513">
            <w:pPr>
              <w:pStyle w:val="ConsPlusNormal"/>
              <w:jc w:val="center"/>
            </w:pPr>
            <w:r>
              <w:t>0,22</w:t>
            </w:r>
          </w:p>
        </w:tc>
      </w:tr>
    </w:tbl>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jc w:val="right"/>
        <w:outlineLvl w:val="0"/>
      </w:pPr>
      <w:r>
        <w:rPr>
          <w:b/>
        </w:rPr>
        <w:t>Приложение Т</w:t>
      </w:r>
    </w:p>
    <w:p w:rsidR="00212513" w:rsidRDefault="00212513">
      <w:pPr>
        <w:pStyle w:val="ConsPlusNormal"/>
        <w:jc w:val="right"/>
      </w:pPr>
      <w:r>
        <w:rPr>
          <w:b/>
        </w:rPr>
        <w:t>(обязательное)</w:t>
      </w:r>
    </w:p>
    <w:p w:rsidR="00212513" w:rsidRDefault="00212513">
      <w:pPr>
        <w:pStyle w:val="ConsPlusNormal"/>
        <w:ind w:firstLine="540"/>
        <w:jc w:val="both"/>
      </w:pPr>
    </w:p>
    <w:p w:rsidR="00212513" w:rsidRDefault="00212513">
      <w:pPr>
        <w:pStyle w:val="ConsPlusTitle"/>
        <w:jc w:val="center"/>
      </w:pPr>
      <w:bookmarkStart w:id="516" w:name="P14651"/>
      <w:bookmarkEnd w:id="516"/>
      <w:r>
        <w:t>ОПРЕДЕЛЕНИЕ ЖЕСТКОСТЕЙ СЕЧЕНИЙ ЖЕЛЕЗОБЕТОННЫХ ЭЛЕМЕНТОВ</w:t>
      </w:r>
    </w:p>
    <w:p w:rsidR="00212513" w:rsidRDefault="00212513">
      <w:pPr>
        <w:pStyle w:val="ConsPlusTitle"/>
        <w:jc w:val="center"/>
      </w:pPr>
      <w:r>
        <w:t>ДЛЯ РАСЧЕТА ПРОГИБОВ И УГЛОВ ПОВОРОТА</w:t>
      </w:r>
    </w:p>
    <w:p w:rsidR="00212513" w:rsidRDefault="00212513">
      <w:pPr>
        <w:pStyle w:val="ConsPlusTitle"/>
        <w:jc w:val="center"/>
      </w:pPr>
      <w:r>
        <w:t>С УЧЕТОМ ПОЛЗУЧЕСТИ БЕТОНА</w:t>
      </w:r>
    </w:p>
    <w:p w:rsidR="00212513" w:rsidRDefault="00212513">
      <w:pPr>
        <w:pStyle w:val="ConsPlusNormal"/>
        <w:ind w:firstLine="540"/>
        <w:jc w:val="both"/>
      </w:pPr>
    </w:p>
    <w:p w:rsidR="00212513" w:rsidRDefault="00212513">
      <w:pPr>
        <w:pStyle w:val="ConsPlusNormal"/>
        <w:ind w:firstLine="540"/>
        <w:jc w:val="both"/>
      </w:pPr>
      <w:r>
        <w:t xml:space="preserve">Т.1 Жесткость сечения предварительно напряженного элемента (целого по длине) при длительном воздействии усилия предварительного напряжения </w:t>
      </w:r>
      <w:r>
        <w:rPr>
          <w:noProof/>
          <w:position w:val="-10"/>
        </w:rPr>
        <w:drawing>
          <wp:inline distT="0" distB="0" distL="0" distR="0">
            <wp:extent cx="230505" cy="273685"/>
            <wp:effectExtent l="0" t="0" r="0" b="0"/>
            <wp:docPr id="2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1"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или постоянной нагрузки </w:t>
      </w:r>
      <w:r>
        <w:rPr>
          <w:noProof/>
          <w:position w:val="-10"/>
        </w:rPr>
        <w:drawing>
          <wp:inline distT="0" distB="0" distL="0" distR="0">
            <wp:extent cx="230505" cy="273685"/>
            <wp:effectExtent l="0" t="0" r="0" b="0"/>
            <wp:docPr id="2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2"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приложенных в моменты времени </w:t>
      </w:r>
      <w:r>
        <w:rPr>
          <w:noProof/>
          <w:position w:val="-9"/>
        </w:rPr>
        <w:drawing>
          <wp:inline distT="0" distB="0" distL="0" distR="0">
            <wp:extent cx="125730" cy="261620"/>
            <wp:effectExtent l="0" t="0" r="0" b="0"/>
            <wp:docPr id="2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3" cstate="print">
                      <a:extLst>
                        <a:ext uri="{28A0092B-C50C-407E-A947-70E740481C1C}">
                          <a14:useLocalDpi xmlns:a14="http://schemas.microsoft.com/office/drawing/2010/main" val="0"/>
                        </a:ext>
                      </a:extLst>
                    </a:blip>
                    <a:srcRect/>
                    <a:stretch>
                      <a:fillRect/>
                    </a:stretch>
                  </pic:blipFill>
                  <pic:spPr bwMode="auto">
                    <a:xfrm>
                      <a:off x="0" y="0"/>
                      <a:ext cx="125730" cy="261620"/>
                    </a:xfrm>
                    <a:prstGeom prst="rect">
                      <a:avLst/>
                    </a:prstGeom>
                    <a:noFill/>
                    <a:ln>
                      <a:noFill/>
                    </a:ln>
                  </pic:spPr>
                </pic:pic>
              </a:graphicData>
            </a:graphic>
          </wp:inline>
        </w:drawing>
      </w:r>
      <w:r>
        <w:t>, рекомендуется определять по формуле</w:t>
      </w:r>
    </w:p>
    <w:p w:rsidR="00212513" w:rsidRDefault="00212513">
      <w:pPr>
        <w:pStyle w:val="ConsPlusNormal"/>
        <w:ind w:firstLine="540"/>
        <w:jc w:val="both"/>
      </w:pPr>
    </w:p>
    <w:p w:rsidR="00212513" w:rsidRDefault="00212513">
      <w:pPr>
        <w:pStyle w:val="ConsPlusNormal"/>
        <w:jc w:val="center"/>
      </w:pPr>
      <w:bookmarkStart w:id="517" w:name="P14657"/>
      <w:bookmarkEnd w:id="517"/>
      <w:r>
        <w:rPr>
          <w:noProof/>
          <w:position w:val="-28"/>
        </w:rPr>
        <w:drawing>
          <wp:inline distT="0" distB="0" distL="0" distR="0">
            <wp:extent cx="922020" cy="502920"/>
            <wp:effectExtent l="0" t="0" r="0" b="0"/>
            <wp:docPr id="2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4" cstate="print">
                      <a:extLst>
                        <a:ext uri="{28A0092B-C50C-407E-A947-70E740481C1C}">
                          <a14:useLocalDpi xmlns:a14="http://schemas.microsoft.com/office/drawing/2010/main" val="0"/>
                        </a:ext>
                      </a:extLst>
                    </a:blip>
                    <a:srcRect/>
                    <a:stretch>
                      <a:fillRect/>
                    </a:stretch>
                  </pic:blipFill>
                  <pic:spPr bwMode="auto">
                    <a:xfrm>
                      <a:off x="0" y="0"/>
                      <a:ext cx="922020" cy="502920"/>
                    </a:xfrm>
                    <a:prstGeom prst="rect">
                      <a:avLst/>
                    </a:prstGeom>
                    <a:noFill/>
                    <a:ln>
                      <a:noFill/>
                    </a:ln>
                  </pic:spPr>
                </pic:pic>
              </a:graphicData>
            </a:graphic>
          </wp:inline>
        </w:drawing>
      </w:r>
      <w:r>
        <w:t>, (Т.1)</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9"/>
        </w:rPr>
        <w:drawing>
          <wp:inline distT="0" distB="0" distL="0" distR="0">
            <wp:extent cx="450215" cy="261620"/>
            <wp:effectExtent l="0" t="0" r="0" b="0"/>
            <wp:docPr id="2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5" cstate="print">
                      <a:extLst>
                        <a:ext uri="{28A0092B-C50C-407E-A947-70E740481C1C}">
                          <a14:useLocalDpi xmlns:a14="http://schemas.microsoft.com/office/drawing/2010/main" val="0"/>
                        </a:ext>
                      </a:extLst>
                    </a:blip>
                    <a:srcRect/>
                    <a:stretch>
                      <a:fillRect/>
                    </a:stretch>
                  </pic:blipFill>
                  <pic:spPr bwMode="auto">
                    <a:xfrm>
                      <a:off x="0" y="0"/>
                      <a:ext cx="450215" cy="261620"/>
                    </a:xfrm>
                    <a:prstGeom prst="rect">
                      <a:avLst/>
                    </a:prstGeom>
                    <a:noFill/>
                    <a:ln>
                      <a:noFill/>
                    </a:ln>
                  </pic:spPr>
                </pic:pic>
              </a:graphicData>
            </a:graphic>
          </wp:inline>
        </w:drawing>
      </w:r>
      <w:r>
        <w:t xml:space="preserve"> - жесткость приведенного сплошного сечения элемента;</w:t>
      </w:r>
    </w:p>
    <w:p w:rsidR="00212513" w:rsidRDefault="00212513">
      <w:pPr>
        <w:pStyle w:val="ConsPlusNormal"/>
        <w:spacing w:before="220"/>
        <w:ind w:firstLine="540"/>
        <w:jc w:val="both"/>
      </w:pPr>
      <w:r>
        <w:rPr>
          <w:i/>
        </w:rPr>
        <w:t>k</w:t>
      </w:r>
      <w:r>
        <w:t xml:space="preserve"> - коэффициент, учитывающий влияние неупругих деформаций бетона при кратковременном приложении нагрузки и принимаемый равным 0,85;</w:t>
      </w:r>
    </w:p>
    <w:p w:rsidR="00212513" w:rsidRDefault="00212513">
      <w:pPr>
        <w:pStyle w:val="ConsPlusNormal"/>
        <w:spacing w:before="220"/>
        <w:ind w:firstLine="540"/>
        <w:jc w:val="both"/>
      </w:pPr>
      <w:r>
        <w:rPr>
          <w:noProof/>
          <w:position w:val="-10"/>
        </w:rPr>
        <w:drawing>
          <wp:inline distT="0" distB="0" distL="0" distR="0">
            <wp:extent cx="953770" cy="273685"/>
            <wp:effectExtent l="0" t="0" r="0" b="0"/>
            <wp:docPr id="2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6" cstate="print">
                      <a:extLst>
                        <a:ext uri="{28A0092B-C50C-407E-A947-70E740481C1C}">
                          <a14:useLocalDpi xmlns:a14="http://schemas.microsoft.com/office/drawing/2010/main" val="0"/>
                        </a:ext>
                      </a:extLst>
                    </a:blip>
                    <a:srcRect/>
                    <a:stretch>
                      <a:fillRect/>
                    </a:stretch>
                  </pic:blipFill>
                  <pic:spPr bwMode="auto">
                    <a:xfrm>
                      <a:off x="0" y="0"/>
                      <a:ext cx="953770" cy="273685"/>
                    </a:xfrm>
                    <a:prstGeom prst="rect">
                      <a:avLst/>
                    </a:prstGeom>
                    <a:noFill/>
                    <a:ln>
                      <a:noFill/>
                    </a:ln>
                  </pic:spPr>
                </pic:pic>
              </a:graphicData>
            </a:graphic>
          </wp:inline>
        </w:drawing>
      </w:r>
      <w:r>
        <w:t xml:space="preserve"> - приведенная величина предельной характеристики ползучести бетона.</w:t>
      </w:r>
    </w:p>
    <w:p w:rsidR="00212513" w:rsidRDefault="00212513">
      <w:pPr>
        <w:pStyle w:val="ConsPlusNormal"/>
        <w:spacing w:before="220"/>
        <w:ind w:firstLine="540"/>
        <w:jc w:val="both"/>
      </w:pPr>
      <w:r>
        <w:t xml:space="preserve">При определении прогибов и углов поворота от действия временной нагрузки или кратковременного действия постоянной нагрузки (в том числе кратковременного выгиба от усилия предварительного напряжения) в </w:t>
      </w:r>
      <w:hyperlink w:anchor="P14657">
        <w:r>
          <w:rPr>
            <w:color w:val="0000FF"/>
          </w:rPr>
          <w:t>формуле (Т.1)</w:t>
        </w:r>
      </w:hyperlink>
      <w:r>
        <w:t xml:space="preserve"> значение </w:t>
      </w:r>
      <w:r>
        <w:rPr>
          <w:noProof/>
          <w:position w:val="-10"/>
        </w:rPr>
        <w:drawing>
          <wp:inline distT="0" distB="0" distL="0" distR="0">
            <wp:extent cx="335280" cy="273685"/>
            <wp:effectExtent l="0" t="0" r="0" b="0"/>
            <wp:docPr id="2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7"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следует принимать равным нулю, а жесткость </w:t>
      </w:r>
      <w:r>
        <w:rPr>
          <w:i/>
        </w:rPr>
        <w:t>B</w:t>
      </w:r>
      <w:r>
        <w:t xml:space="preserve">* заменить на </w:t>
      </w:r>
      <w:r>
        <w:rPr>
          <w:i/>
        </w:rPr>
        <w:t>B</w:t>
      </w:r>
      <w:r>
        <w:t>.</w:t>
      </w:r>
    </w:p>
    <w:p w:rsidR="00212513" w:rsidRDefault="00212513">
      <w:pPr>
        <w:pStyle w:val="ConsPlusNormal"/>
        <w:spacing w:before="220"/>
        <w:ind w:firstLine="540"/>
        <w:jc w:val="both"/>
      </w:pPr>
      <w:r>
        <w:t xml:space="preserve">Т.2 Величины </w:t>
      </w:r>
      <w:r>
        <w:rPr>
          <w:noProof/>
          <w:position w:val="-10"/>
        </w:rPr>
        <w:drawing>
          <wp:inline distT="0" distB="0" distL="0" distR="0">
            <wp:extent cx="335280" cy="273685"/>
            <wp:effectExtent l="0" t="0" r="0" b="0"/>
            <wp:docPr id="2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8"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рекомендуется вычислять по формулам:</w:t>
      </w:r>
    </w:p>
    <w:p w:rsidR="00212513" w:rsidRDefault="00212513">
      <w:pPr>
        <w:pStyle w:val="ConsPlusNormal"/>
        <w:spacing w:before="220"/>
        <w:ind w:firstLine="540"/>
        <w:jc w:val="both"/>
      </w:pPr>
      <w:r>
        <w:t>при определении жесткости </w:t>
      </w:r>
      <w:r>
        <w:rPr>
          <w:noProof/>
          <w:position w:val="-10"/>
        </w:rPr>
        <w:drawing>
          <wp:inline distT="0" distB="0" distL="0" distR="0">
            <wp:extent cx="230505" cy="273685"/>
            <wp:effectExtent l="0" t="0" r="0" b="0"/>
            <wp:docPr id="2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1"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p>
    <w:p w:rsidR="00212513" w:rsidRDefault="00212513">
      <w:pPr>
        <w:pStyle w:val="ConsPlusNormal"/>
        <w:ind w:firstLine="540"/>
        <w:jc w:val="both"/>
      </w:pPr>
    </w:p>
    <w:p w:rsidR="00212513" w:rsidRDefault="00212513">
      <w:pPr>
        <w:pStyle w:val="ConsPlusNormal"/>
        <w:jc w:val="center"/>
      </w:pPr>
      <w:r>
        <w:rPr>
          <w:noProof/>
          <w:position w:val="-27"/>
        </w:rPr>
        <w:drawing>
          <wp:inline distT="0" distB="0" distL="0" distR="0">
            <wp:extent cx="953770" cy="494030"/>
            <wp:effectExtent l="0" t="0" r="0" b="0"/>
            <wp:docPr id="2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9" cstate="print">
                      <a:extLst>
                        <a:ext uri="{28A0092B-C50C-407E-A947-70E740481C1C}">
                          <a14:useLocalDpi xmlns:a14="http://schemas.microsoft.com/office/drawing/2010/main" val="0"/>
                        </a:ext>
                      </a:extLst>
                    </a:blip>
                    <a:srcRect/>
                    <a:stretch>
                      <a:fillRect/>
                    </a:stretch>
                  </pic:blipFill>
                  <pic:spPr bwMode="auto">
                    <a:xfrm>
                      <a:off x="0" y="0"/>
                      <a:ext cx="953770" cy="494030"/>
                    </a:xfrm>
                    <a:prstGeom prst="rect">
                      <a:avLst/>
                    </a:prstGeom>
                    <a:noFill/>
                    <a:ln>
                      <a:noFill/>
                    </a:ln>
                  </pic:spPr>
                </pic:pic>
              </a:graphicData>
            </a:graphic>
          </wp:inline>
        </w:drawing>
      </w:r>
      <w:r>
        <w:t>; (Т.2)</w:t>
      </w:r>
    </w:p>
    <w:p w:rsidR="00212513" w:rsidRDefault="00212513">
      <w:pPr>
        <w:pStyle w:val="ConsPlusNormal"/>
        <w:ind w:firstLine="540"/>
        <w:jc w:val="both"/>
      </w:pPr>
    </w:p>
    <w:p w:rsidR="00212513" w:rsidRDefault="00212513">
      <w:pPr>
        <w:pStyle w:val="ConsPlusNormal"/>
        <w:ind w:firstLine="540"/>
        <w:jc w:val="both"/>
      </w:pPr>
      <w:r>
        <w:t>при определении жесткости </w:t>
      </w:r>
      <w:r>
        <w:rPr>
          <w:noProof/>
          <w:position w:val="-10"/>
        </w:rPr>
        <w:drawing>
          <wp:inline distT="0" distB="0" distL="0" distR="0">
            <wp:extent cx="230505" cy="273685"/>
            <wp:effectExtent l="0" t="0" r="0" b="0"/>
            <wp:docPr id="2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2"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p>
    <w:p w:rsidR="00212513" w:rsidRDefault="00212513">
      <w:pPr>
        <w:pStyle w:val="ConsPlusNormal"/>
        <w:ind w:firstLine="540"/>
        <w:jc w:val="both"/>
      </w:pPr>
    </w:p>
    <w:p w:rsidR="00212513" w:rsidRDefault="00212513">
      <w:pPr>
        <w:pStyle w:val="ConsPlusNormal"/>
        <w:jc w:val="center"/>
      </w:pPr>
      <w:r>
        <w:rPr>
          <w:noProof/>
          <w:position w:val="-36"/>
        </w:rPr>
        <w:drawing>
          <wp:inline distT="0" distB="0" distL="0" distR="0">
            <wp:extent cx="3101340" cy="605790"/>
            <wp:effectExtent l="0" t="0" r="0" b="0"/>
            <wp:docPr id="2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0" cstate="print">
                      <a:extLst>
                        <a:ext uri="{28A0092B-C50C-407E-A947-70E740481C1C}">
                          <a14:useLocalDpi xmlns:a14="http://schemas.microsoft.com/office/drawing/2010/main" val="0"/>
                        </a:ext>
                      </a:extLst>
                    </a:blip>
                    <a:srcRect/>
                    <a:stretch>
                      <a:fillRect/>
                    </a:stretch>
                  </pic:blipFill>
                  <pic:spPr bwMode="auto">
                    <a:xfrm>
                      <a:off x="0" y="0"/>
                      <a:ext cx="3101340" cy="605790"/>
                    </a:xfrm>
                    <a:prstGeom prst="rect">
                      <a:avLst/>
                    </a:prstGeom>
                    <a:noFill/>
                    <a:ln>
                      <a:noFill/>
                    </a:ln>
                  </pic:spPr>
                </pic:pic>
              </a:graphicData>
            </a:graphic>
          </wp:inline>
        </w:drawing>
      </w:r>
      <w:r>
        <w:t xml:space="preserve"> (Т.3)</w:t>
      </w:r>
    </w:p>
    <w:p w:rsidR="00212513" w:rsidRDefault="00212513">
      <w:pPr>
        <w:pStyle w:val="ConsPlusNormal"/>
        <w:jc w:val="center"/>
      </w:pPr>
    </w:p>
    <w:p w:rsidR="00212513" w:rsidRDefault="00212513">
      <w:pPr>
        <w:pStyle w:val="ConsPlusNormal"/>
        <w:jc w:val="center"/>
      </w:pPr>
      <w:r>
        <w:t xml:space="preserve">(формула Т.3 в ред. </w:t>
      </w:r>
      <w:hyperlink r:id="rId3411">
        <w:r>
          <w:rPr>
            <w:color w:val="0000FF"/>
          </w:rPr>
          <w:t>Изменения N 4</w:t>
        </w:r>
      </w:hyperlink>
      <w:r>
        <w:t>, утв. Приказом</w:t>
      </w:r>
    </w:p>
    <w:p w:rsidR="00212513" w:rsidRDefault="00212513">
      <w:pPr>
        <w:pStyle w:val="ConsPlusNormal"/>
        <w:jc w:val="center"/>
      </w:pPr>
      <w:r>
        <w:t>Минстроя России от 30.05.2024 N 361/пр)</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9"/>
        </w:rPr>
        <w:drawing>
          <wp:inline distT="0" distB="0" distL="0" distR="0">
            <wp:extent cx="241935" cy="261620"/>
            <wp:effectExtent l="0" t="0" r="0" b="0"/>
            <wp:docPr id="2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2" cstate="print">
                      <a:extLst>
                        <a:ext uri="{28A0092B-C50C-407E-A947-70E740481C1C}">
                          <a14:useLocalDpi xmlns:a14="http://schemas.microsoft.com/office/drawing/2010/main" val="0"/>
                        </a:ext>
                      </a:extLst>
                    </a:blip>
                    <a:srcRect/>
                    <a:stretch>
                      <a:fillRect/>
                    </a:stretch>
                  </pic:blipFill>
                  <pic:spPr bwMode="auto">
                    <a:xfrm>
                      <a:off x="0" y="0"/>
                      <a:ext cx="241935" cy="261620"/>
                    </a:xfrm>
                    <a:prstGeom prst="rect">
                      <a:avLst/>
                    </a:prstGeom>
                    <a:noFill/>
                    <a:ln>
                      <a:noFill/>
                    </a:ln>
                  </pic:spPr>
                </pic:pic>
              </a:graphicData>
            </a:graphic>
          </wp:inline>
        </w:drawing>
      </w:r>
      <w:r>
        <w:t xml:space="preserve"> - функция, учитывающая влияние предварительного напряжения (обжатия) бетона под постоянной нагрузкой на предельную (при </w:t>
      </w:r>
      <w:r>
        <w:rPr>
          <w:noProof/>
          <w:position w:val="-2"/>
        </w:rPr>
        <w:drawing>
          <wp:inline distT="0" distB="0" distL="0" distR="0">
            <wp:extent cx="461010" cy="167640"/>
            <wp:effectExtent l="0" t="0" r="0" b="0"/>
            <wp:docPr id="2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3" cstate="print">
                      <a:extLst>
                        <a:ext uri="{28A0092B-C50C-407E-A947-70E740481C1C}">
                          <a14:useLocalDpi xmlns:a14="http://schemas.microsoft.com/office/drawing/2010/main" val="0"/>
                        </a:ext>
                      </a:extLst>
                    </a:blip>
                    <a:srcRect/>
                    <a:stretch>
                      <a:fillRect/>
                    </a:stretch>
                  </pic:blipFill>
                  <pic:spPr bwMode="auto">
                    <a:xfrm>
                      <a:off x="0" y="0"/>
                      <a:ext cx="461010" cy="167640"/>
                    </a:xfrm>
                    <a:prstGeom prst="rect">
                      <a:avLst/>
                    </a:prstGeom>
                    <a:noFill/>
                    <a:ln>
                      <a:noFill/>
                    </a:ln>
                  </pic:spPr>
                </pic:pic>
              </a:graphicData>
            </a:graphic>
          </wp:inline>
        </w:drawing>
      </w:r>
      <w:r>
        <w:t>) величину изменения предварительного напряжения арматуры по Т.3.</w:t>
      </w:r>
    </w:p>
    <w:p w:rsidR="00212513" w:rsidRDefault="00212513">
      <w:pPr>
        <w:pStyle w:val="ConsPlusNormal"/>
        <w:spacing w:before="220"/>
        <w:ind w:firstLine="540"/>
        <w:jc w:val="both"/>
      </w:pPr>
      <w:r>
        <w:t xml:space="preserve">Т.3 Определение компонентов для вычисления приведенной характеристики ползучести бетона </w:t>
      </w:r>
      <w:r>
        <w:rPr>
          <w:noProof/>
          <w:position w:val="-10"/>
        </w:rPr>
        <w:drawing>
          <wp:inline distT="0" distB="0" distL="0" distR="0">
            <wp:extent cx="335280" cy="273685"/>
            <wp:effectExtent l="0" t="0" r="0" b="0"/>
            <wp:docPr id="2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8"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w:t>
      </w:r>
    </w:p>
    <w:p w:rsidR="00212513" w:rsidRDefault="00212513">
      <w:pPr>
        <w:pStyle w:val="ConsPlusNormal"/>
        <w:spacing w:before="220"/>
        <w:ind w:firstLine="540"/>
        <w:jc w:val="both"/>
      </w:pPr>
      <w:r>
        <w:rPr>
          <w:noProof/>
          <w:position w:val="-9"/>
        </w:rPr>
        <w:drawing>
          <wp:inline distT="0" distB="0" distL="0" distR="0">
            <wp:extent cx="241935" cy="261620"/>
            <wp:effectExtent l="0" t="0" r="0" b="0"/>
            <wp:docPr id="2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2" cstate="print">
                      <a:extLst>
                        <a:ext uri="{28A0092B-C50C-407E-A947-70E740481C1C}">
                          <a14:useLocalDpi xmlns:a14="http://schemas.microsoft.com/office/drawing/2010/main" val="0"/>
                        </a:ext>
                      </a:extLst>
                    </a:blip>
                    <a:srcRect/>
                    <a:stretch>
                      <a:fillRect/>
                    </a:stretch>
                  </pic:blipFill>
                  <pic:spPr bwMode="auto">
                    <a:xfrm>
                      <a:off x="0" y="0"/>
                      <a:ext cx="241935" cy="261620"/>
                    </a:xfrm>
                    <a:prstGeom prst="rect">
                      <a:avLst/>
                    </a:prstGeom>
                    <a:noFill/>
                    <a:ln>
                      <a:noFill/>
                    </a:ln>
                  </pic:spPr>
                </pic:pic>
              </a:graphicData>
            </a:graphic>
          </wp:inline>
        </w:drawing>
      </w:r>
      <w:r>
        <w:t xml:space="preserve"> - функция, учитывающая влияние предварительного напряжения (обжатия) бетона под постоянной нагрузкой на предельную (при </w:t>
      </w:r>
      <w:r>
        <w:rPr>
          <w:noProof/>
          <w:position w:val="-2"/>
        </w:rPr>
        <w:drawing>
          <wp:inline distT="0" distB="0" distL="0" distR="0">
            <wp:extent cx="461010" cy="167640"/>
            <wp:effectExtent l="0" t="0" r="0" b="0"/>
            <wp:docPr id="2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3" cstate="print">
                      <a:extLst>
                        <a:ext uri="{28A0092B-C50C-407E-A947-70E740481C1C}">
                          <a14:useLocalDpi xmlns:a14="http://schemas.microsoft.com/office/drawing/2010/main" val="0"/>
                        </a:ext>
                      </a:extLst>
                    </a:blip>
                    <a:srcRect/>
                    <a:stretch>
                      <a:fillRect/>
                    </a:stretch>
                  </pic:blipFill>
                  <pic:spPr bwMode="auto">
                    <a:xfrm>
                      <a:off x="0" y="0"/>
                      <a:ext cx="461010" cy="167640"/>
                    </a:xfrm>
                    <a:prstGeom prst="rect">
                      <a:avLst/>
                    </a:prstGeom>
                    <a:noFill/>
                    <a:ln>
                      <a:noFill/>
                    </a:ln>
                  </pic:spPr>
                </pic:pic>
              </a:graphicData>
            </a:graphic>
          </wp:inline>
        </w:drawing>
      </w:r>
      <w:r>
        <w:t>) величину изменения предварительного напряжения арматуры и определяемая по формуле</w:t>
      </w:r>
    </w:p>
    <w:p w:rsidR="00212513" w:rsidRDefault="00212513">
      <w:pPr>
        <w:pStyle w:val="ConsPlusNormal"/>
        <w:ind w:firstLine="540"/>
        <w:jc w:val="both"/>
      </w:pPr>
    </w:p>
    <w:p w:rsidR="00212513" w:rsidRDefault="00212513">
      <w:pPr>
        <w:pStyle w:val="ConsPlusNormal"/>
        <w:jc w:val="center"/>
      </w:pPr>
      <w:r>
        <w:rPr>
          <w:noProof/>
          <w:position w:val="-28"/>
        </w:rPr>
        <w:drawing>
          <wp:inline distT="0" distB="0" distL="0" distR="0">
            <wp:extent cx="2011680" cy="502920"/>
            <wp:effectExtent l="0" t="0" r="0" b="0"/>
            <wp:docPr id="2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4" cstate="print">
                      <a:extLst>
                        <a:ext uri="{28A0092B-C50C-407E-A947-70E740481C1C}">
                          <a14:useLocalDpi xmlns:a14="http://schemas.microsoft.com/office/drawing/2010/main" val="0"/>
                        </a:ext>
                      </a:extLst>
                    </a:blip>
                    <a:srcRect/>
                    <a:stretch>
                      <a:fillRect/>
                    </a:stretch>
                  </pic:blipFill>
                  <pic:spPr bwMode="auto">
                    <a:xfrm>
                      <a:off x="0" y="0"/>
                      <a:ext cx="2011680" cy="502920"/>
                    </a:xfrm>
                    <a:prstGeom prst="rect">
                      <a:avLst/>
                    </a:prstGeom>
                    <a:noFill/>
                    <a:ln>
                      <a:noFill/>
                    </a:ln>
                  </pic:spPr>
                </pic:pic>
              </a:graphicData>
            </a:graphic>
          </wp:inline>
        </w:drawing>
      </w:r>
      <w:r>
        <w:t>, (Т.4)</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9"/>
        </w:rPr>
        <w:drawing>
          <wp:inline distT="0" distB="0" distL="0" distR="0">
            <wp:extent cx="567055" cy="261620"/>
            <wp:effectExtent l="0" t="0" r="0" b="0"/>
            <wp:docPr id="2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5" cstate="print">
                      <a:extLst>
                        <a:ext uri="{28A0092B-C50C-407E-A947-70E740481C1C}">
                          <a14:useLocalDpi xmlns:a14="http://schemas.microsoft.com/office/drawing/2010/main" val="0"/>
                        </a:ext>
                      </a:extLst>
                    </a:blip>
                    <a:srcRect/>
                    <a:stretch>
                      <a:fillRect/>
                    </a:stretch>
                  </pic:blipFill>
                  <pic:spPr bwMode="auto">
                    <a:xfrm>
                      <a:off x="0" y="0"/>
                      <a:ext cx="567055" cy="261620"/>
                    </a:xfrm>
                    <a:prstGeom prst="rect">
                      <a:avLst/>
                    </a:prstGeom>
                    <a:noFill/>
                    <a:ln>
                      <a:noFill/>
                    </a:ln>
                  </pic:spPr>
                </pic:pic>
              </a:graphicData>
            </a:graphic>
          </wp:inline>
        </w:drawing>
      </w:r>
      <w:r>
        <w:t xml:space="preserve">; </w:t>
      </w:r>
      <w:r>
        <w:rPr>
          <w:noProof/>
          <w:position w:val="-28"/>
        </w:rPr>
        <w:drawing>
          <wp:inline distT="0" distB="0" distL="0" distR="0">
            <wp:extent cx="1106170" cy="502920"/>
            <wp:effectExtent l="0" t="0" r="0" b="0"/>
            <wp:docPr id="2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6" cstate="print">
                      <a:extLst>
                        <a:ext uri="{28A0092B-C50C-407E-A947-70E740481C1C}">
                          <a14:useLocalDpi xmlns:a14="http://schemas.microsoft.com/office/drawing/2010/main" val="0"/>
                        </a:ext>
                      </a:extLst>
                    </a:blip>
                    <a:srcRect/>
                    <a:stretch>
                      <a:fillRect/>
                    </a:stretch>
                  </pic:blipFill>
                  <pic:spPr bwMode="auto">
                    <a:xfrm>
                      <a:off x="0" y="0"/>
                      <a:ext cx="1106170" cy="502920"/>
                    </a:xfrm>
                    <a:prstGeom prst="rect">
                      <a:avLst/>
                    </a:prstGeom>
                    <a:noFill/>
                    <a:ln>
                      <a:noFill/>
                    </a:ln>
                  </pic:spPr>
                </pic:pic>
              </a:graphicData>
            </a:graphic>
          </wp:inline>
        </w:drawing>
      </w:r>
      <w:r>
        <w:t xml:space="preserve">; </w:t>
      </w:r>
      <w:r>
        <w:rPr>
          <w:noProof/>
          <w:position w:val="-29"/>
        </w:rPr>
        <w:drawing>
          <wp:inline distT="0" distB="0" distL="0" distR="0">
            <wp:extent cx="963930" cy="511810"/>
            <wp:effectExtent l="0" t="0" r="0" b="0"/>
            <wp:docPr id="2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7" cstate="print">
                      <a:extLst>
                        <a:ext uri="{28A0092B-C50C-407E-A947-70E740481C1C}">
                          <a14:useLocalDpi xmlns:a14="http://schemas.microsoft.com/office/drawing/2010/main" val="0"/>
                        </a:ext>
                      </a:extLst>
                    </a:blip>
                    <a:srcRect/>
                    <a:stretch>
                      <a:fillRect/>
                    </a:stretch>
                  </pic:blipFill>
                  <pic:spPr bwMode="auto">
                    <a:xfrm>
                      <a:off x="0" y="0"/>
                      <a:ext cx="963930" cy="511810"/>
                    </a:xfrm>
                    <a:prstGeom prst="rect">
                      <a:avLst/>
                    </a:prstGeom>
                    <a:noFill/>
                    <a:ln>
                      <a:noFill/>
                    </a:ln>
                  </pic:spPr>
                </pic:pic>
              </a:graphicData>
            </a:graphic>
          </wp:inline>
        </w:drawing>
      </w:r>
      <w:r>
        <w:t>;</w:t>
      </w:r>
    </w:p>
    <w:p w:rsidR="00212513" w:rsidRDefault="00212513">
      <w:pPr>
        <w:pStyle w:val="ConsPlusNormal"/>
        <w:spacing w:before="220"/>
        <w:ind w:firstLine="540"/>
        <w:jc w:val="both"/>
      </w:pPr>
      <w:r>
        <w:rPr>
          <w:noProof/>
          <w:position w:val="-27"/>
        </w:rPr>
        <w:lastRenderedPageBreak/>
        <w:drawing>
          <wp:inline distT="0" distB="0" distL="0" distR="0">
            <wp:extent cx="899160" cy="484505"/>
            <wp:effectExtent l="0" t="0" r="0" b="0"/>
            <wp:docPr id="2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8" cstate="print">
                      <a:extLst>
                        <a:ext uri="{28A0092B-C50C-407E-A947-70E740481C1C}">
                          <a14:useLocalDpi xmlns:a14="http://schemas.microsoft.com/office/drawing/2010/main" val="0"/>
                        </a:ext>
                      </a:extLst>
                    </a:blip>
                    <a:srcRect/>
                    <a:stretch>
                      <a:fillRect/>
                    </a:stretch>
                  </pic:blipFill>
                  <pic:spPr bwMode="auto">
                    <a:xfrm>
                      <a:off x="0" y="0"/>
                      <a:ext cx="899160" cy="484505"/>
                    </a:xfrm>
                    <a:prstGeom prst="rect">
                      <a:avLst/>
                    </a:prstGeom>
                    <a:noFill/>
                    <a:ln>
                      <a:noFill/>
                    </a:ln>
                  </pic:spPr>
                </pic:pic>
              </a:graphicData>
            </a:graphic>
          </wp:inline>
        </w:drawing>
      </w:r>
      <w:r>
        <w:t xml:space="preserve"> - характеристика бетонной части сечения;</w:t>
      </w:r>
    </w:p>
    <w:p w:rsidR="00212513" w:rsidRDefault="00212513">
      <w:pPr>
        <w:pStyle w:val="ConsPlusNormal"/>
        <w:spacing w:before="220"/>
        <w:ind w:firstLine="540"/>
        <w:jc w:val="both"/>
      </w:pPr>
      <w:r>
        <w:rPr>
          <w:noProof/>
          <w:position w:val="-9"/>
        </w:rPr>
        <w:drawing>
          <wp:inline distT="0" distB="0" distL="0" distR="0">
            <wp:extent cx="220345" cy="261620"/>
            <wp:effectExtent l="0" t="0" r="0" b="0"/>
            <wp:docPr id="2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9"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w:t>
      </w:r>
      <w:r>
        <w:rPr>
          <w:noProof/>
          <w:position w:val="-9"/>
        </w:rPr>
        <w:drawing>
          <wp:inline distT="0" distB="0" distL="0" distR="0">
            <wp:extent cx="167640" cy="261620"/>
            <wp:effectExtent l="0" t="0" r="0" b="0"/>
            <wp:docPr id="2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0"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 площадь и момент инерции бетонной части сечения относительно центра тяжести сечения;</w:t>
      </w:r>
    </w:p>
    <w:p w:rsidR="00212513" w:rsidRDefault="00212513">
      <w:pPr>
        <w:pStyle w:val="ConsPlusNormal"/>
        <w:spacing w:before="220"/>
        <w:ind w:firstLine="540"/>
        <w:jc w:val="both"/>
      </w:pPr>
      <w:r>
        <w:rPr>
          <w:i/>
        </w:rPr>
        <w:t>y</w:t>
      </w:r>
      <w:r>
        <w:t xml:space="preserve"> - расстояние от центра тяжести бетонной части сечения до центра тяжести рассматриваемой напрягаемой арматуры;</w:t>
      </w:r>
    </w:p>
    <w:p w:rsidR="00212513" w:rsidRDefault="00212513">
      <w:pPr>
        <w:pStyle w:val="ConsPlusNormal"/>
        <w:spacing w:before="220"/>
        <w:ind w:firstLine="540"/>
        <w:jc w:val="both"/>
      </w:pPr>
      <w:r>
        <w:rPr>
          <w:noProof/>
          <w:position w:val="-9"/>
        </w:rPr>
        <w:drawing>
          <wp:inline distT="0" distB="0" distL="0" distR="0">
            <wp:extent cx="167640" cy="261620"/>
            <wp:effectExtent l="0" t="0" r="0" b="0"/>
            <wp:docPr id="2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1"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 отношение модулей упругости арматуры и бетона, принимаемое по </w:t>
      </w:r>
      <w:hyperlink w:anchor="P3883">
        <w:r>
          <w:rPr>
            <w:color w:val="0000FF"/>
          </w:rPr>
          <w:t>7.48</w:t>
        </w:r>
      </w:hyperlink>
      <w:r>
        <w:t>;</w:t>
      </w:r>
    </w:p>
    <w:p w:rsidR="00212513" w:rsidRDefault="00212513">
      <w:pPr>
        <w:pStyle w:val="ConsPlusNormal"/>
        <w:spacing w:before="220"/>
        <w:ind w:firstLine="540"/>
        <w:jc w:val="both"/>
      </w:pPr>
      <w:r>
        <w:rPr>
          <w:noProof/>
          <w:position w:val="-10"/>
        </w:rPr>
        <w:drawing>
          <wp:inline distT="0" distB="0" distL="0" distR="0">
            <wp:extent cx="838200" cy="273685"/>
            <wp:effectExtent l="0" t="0" r="0" b="0"/>
            <wp:docPr id="2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2" cstate="print">
                      <a:extLst>
                        <a:ext uri="{28A0092B-C50C-407E-A947-70E740481C1C}">
                          <a14:useLocalDpi xmlns:a14="http://schemas.microsoft.com/office/drawing/2010/main" val="0"/>
                        </a:ext>
                      </a:extLst>
                    </a:blip>
                    <a:srcRect/>
                    <a:stretch>
                      <a:fillRect/>
                    </a:stretch>
                  </pic:blipFill>
                  <pic:spPr bwMode="auto">
                    <a:xfrm>
                      <a:off x="0" y="0"/>
                      <a:ext cx="838200" cy="273685"/>
                    </a:xfrm>
                    <a:prstGeom prst="rect">
                      <a:avLst/>
                    </a:prstGeom>
                    <a:noFill/>
                    <a:ln>
                      <a:noFill/>
                    </a:ln>
                  </pic:spPr>
                </pic:pic>
              </a:graphicData>
            </a:graphic>
          </wp:inline>
        </w:drawing>
      </w:r>
      <w:r>
        <w:t xml:space="preserve"> - коэффициент армирования напрягаемой арматурой [при площади поперечного сечения </w:t>
      </w:r>
      <w:r>
        <w:rPr>
          <w:noProof/>
          <w:position w:val="-10"/>
        </w:rPr>
        <w:drawing>
          <wp:inline distT="0" distB="0" distL="0" distR="0">
            <wp:extent cx="774700" cy="273685"/>
            <wp:effectExtent l="0" t="0" r="0" b="0"/>
            <wp:docPr id="2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3" cstate="print">
                      <a:extLst>
                        <a:ext uri="{28A0092B-C50C-407E-A947-70E740481C1C}">
                          <a14:useLocalDpi xmlns:a14="http://schemas.microsoft.com/office/drawing/2010/main" val="0"/>
                        </a:ext>
                      </a:extLst>
                    </a:blip>
                    <a:srcRect/>
                    <a:stretch>
                      <a:fillRect/>
                    </a:stretch>
                  </pic:blipFill>
                  <pic:spPr bwMode="auto">
                    <a:xfrm>
                      <a:off x="0" y="0"/>
                      <a:ext cx="774700" cy="273685"/>
                    </a:xfrm>
                    <a:prstGeom prst="rect">
                      <a:avLst/>
                    </a:prstGeom>
                    <a:noFill/>
                    <a:ln>
                      <a:noFill/>
                    </a:ln>
                  </pic:spPr>
                </pic:pic>
              </a:graphicData>
            </a:graphic>
          </wp:inline>
        </w:drawing>
      </w:r>
      <w:r>
        <w:t xml:space="preserve"> следует принимать </w:t>
      </w:r>
      <w:r>
        <w:rPr>
          <w:noProof/>
          <w:position w:val="-10"/>
        </w:rPr>
        <w:drawing>
          <wp:inline distT="0" distB="0" distL="0" distR="0">
            <wp:extent cx="1283970" cy="273685"/>
            <wp:effectExtent l="0" t="0" r="0" b="0"/>
            <wp:docPr id="2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4" cstate="print">
                      <a:extLst>
                        <a:ext uri="{28A0092B-C50C-407E-A947-70E740481C1C}">
                          <a14:useLocalDpi xmlns:a14="http://schemas.microsoft.com/office/drawing/2010/main" val="0"/>
                        </a:ext>
                      </a:extLst>
                    </a:blip>
                    <a:srcRect/>
                    <a:stretch>
                      <a:fillRect/>
                    </a:stretch>
                  </pic:blipFill>
                  <pic:spPr bwMode="auto">
                    <a:xfrm>
                      <a:off x="0" y="0"/>
                      <a:ext cx="1283970" cy="273685"/>
                    </a:xfrm>
                    <a:prstGeom prst="rect">
                      <a:avLst/>
                    </a:prstGeom>
                    <a:noFill/>
                    <a:ln>
                      <a:noFill/>
                    </a:ln>
                  </pic:spPr>
                </pic:pic>
              </a:graphicData>
            </a:graphic>
          </wp:inline>
        </w:drawing>
      </w:r>
      <w:r>
        <w:t>];</w:t>
      </w:r>
    </w:p>
    <w:p w:rsidR="00212513" w:rsidRDefault="00212513">
      <w:pPr>
        <w:pStyle w:val="ConsPlusNormal"/>
        <w:spacing w:before="220"/>
        <w:ind w:firstLine="540"/>
        <w:jc w:val="both"/>
      </w:pPr>
      <w:r>
        <w:rPr>
          <w:noProof/>
          <w:position w:val="-10"/>
        </w:rPr>
        <w:drawing>
          <wp:inline distT="0" distB="0" distL="0" distR="0">
            <wp:extent cx="356235" cy="273685"/>
            <wp:effectExtent l="0" t="0" r="0" b="0"/>
            <wp:docPr id="2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5" cstate="print">
                      <a:extLst>
                        <a:ext uri="{28A0092B-C50C-407E-A947-70E740481C1C}">
                          <a14:useLocalDpi xmlns:a14="http://schemas.microsoft.com/office/drawing/2010/main" val="0"/>
                        </a:ext>
                      </a:extLst>
                    </a:blip>
                    <a:srcRect/>
                    <a:stretch>
                      <a:fillRect/>
                    </a:stretch>
                  </pic:blipFill>
                  <pic:spPr bwMode="auto">
                    <a:xfrm>
                      <a:off x="0" y="0"/>
                      <a:ext cx="356235" cy="273685"/>
                    </a:xfrm>
                    <a:prstGeom prst="rect">
                      <a:avLst/>
                    </a:prstGeom>
                    <a:noFill/>
                    <a:ln>
                      <a:noFill/>
                    </a:ln>
                  </pic:spPr>
                </pic:pic>
              </a:graphicData>
            </a:graphic>
          </wp:inline>
        </w:drawing>
      </w:r>
      <w:r>
        <w:t xml:space="preserve">, </w:t>
      </w:r>
      <w:r>
        <w:rPr>
          <w:noProof/>
          <w:position w:val="-9"/>
        </w:rPr>
        <w:drawing>
          <wp:inline distT="0" distB="0" distL="0" distR="0">
            <wp:extent cx="220345" cy="261620"/>
            <wp:effectExtent l="0" t="0" r="0" b="0"/>
            <wp:docPr id="2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6"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 расчетное сопротивление бетона осевому сжатию по </w:t>
      </w:r>
      <w:hyperlink w:anchor="P2350">
        <w:r>
          <w:rPr>
            <w:color w:val="0000FF"/>
          </w:rPr>
          <w:t>таблице 7.6</w:t>
        </w:r>
      </w:hyperlink>
      <w:r>
        <w:t xml:space="preserve"> при расчете по предельным состояниям второй группы и значение модуля упругости бетона, МПа, по </w:t>
      </w:r>
      <w:hyperlink w:anchor="P2688">
        <w:r>
          <w:rPr>
            <w:color w:val="0000FF"/>
          </w:rPr>
          <w:t>таблице 7.11</w:t>
        </w:r>
      </w:hyperlink>
      <w:r>
        <w:t xml:space="preserve"> (к началу данной стадии), соответствующее передаточной прочности бетона </w:t>
      </w:r>
      <w:r>
        <w:rPr>
          <w:noProof/>
          <w:position w:val="-10"/>
        </w:rPr>
        <w:drawing>
          <wp:inline distT="0" distB="0" distL="0" distR="0">
            <wp:extent cx="261620" cy="273685"/>
            <wp:effectExtent l="0" t="0" r="0" b="0"/>
            <wp:docPr id="2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7" cstate="print">
                      <a:extLst>
                        <a:ext uri="{28A0092B-C50C-407E-A947-70E740481C1C}">
                          <a14:useLocalDpi xmlns:a14="http://schemas.microsoft.com/office/drawing/2010/main" val="0"/>
                        </a:ext>
                      </a:extLst>
                    </a:blip>
                    <a:srcRect/>
                    <a:stretch>
                      <a:fillRect/>
                    </a:stretch>
                  </pic:blipFill>
                  <pic:spPr bwMode="auto">
                    <a:xfrm>
                      <a:off x="0" y="0"/>
                      <a:ext cx="261620" cy="273685"/>
                    </a:xfrm>
                    <a:prstGeom prst="rect">
                      <a:avLst/>
                    </a:prstGeom>
                    <a:noFill/>
                    <a:ln>
                      <a:noFill/>
                    </a:ln>
                  </pic:spPr>
                </pic:pic>
              </a:graphicData>
            </a:graphic>
          </wp:inline>
        </w:drawing>
      </w:r>
      <w:r>
        <w:t>;</w:t>
      </w:r>
    </w:p>
    <w:p w:rsidR="00212513" w:rsidRDefault="00212513">
      <w:pPr>
        <w:pStyle w:val="ConsPlusNormal"/>
        <w:spacing w:before="220"/>
        <w:ind w:firstLine="540"/>
        <w:jc w:val="both"/>
      </w:pPr>
      <w:r>
        <w:rPr>
          <w:noProof/>
          <w:position w:val="-10"/>
        </w:rPr>
        <w:drawing>
          <wp:inline distT="0" distB="0" distL="0" distR="0">
            <wp:extent cx="670560" cy="273685"/>
            <wp:effectExtent l="0" t="0" r="0" b="0"/>
            <wp:docPr id="2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8" cstate="print">
                      <a:extLst>
                        <a:ext uri="{28A0092B-C50C-407E-A947-70E740481C1C}">
                          <a14:useLocalDpi xmlns:a14="http://schemas.microsoft.com/office/drawing/2010/main" val="0"/>
                        </a:ext>
                      </a:extLst>
                    </a:blip>
                    <a:srcRect/>
                    <a:stretch>
                      <a:fillRect/>
                    </a:stretch>
                  </pic:blipFill>
                  <pic:spPr bwMode="auto">
                    <a:xfrm>
                      <a:off x="0" y="0"/>
                      <a:ext cx="670560" cy="273685"/>
                    </a:xfrm>
                    <a:prstGeom prst="rect">
                      <a:avLst/>
                    </a:prstGeom>
                    <a:noFill/>
                    <a:ln>
                      <a:noFill/>
                    </a:ln>
                  </pic:spPr>
                </pic:pic>
              </a:graphicData>
            </a:graphic>
          </wp:inline>
        </w:drawing>
      </w:r>
      <w:r>
        <w:t xml:space="preserve"> - относительный уровень напряжений в бетоне в начале данной стадии </w:t>
      </w:r>
      <w:r>
        <w:rPr>
          <w:noProof/>
          <w:position w:val="-3"/>
        </w:rPr>
        <w:drawing>
          <wp:inline distT="0" distB="0" distL="0" distR="0">
            <wp:extent cx="220345" cy="189230"/>
            <wp:effectExtent l="0" t="0" r="0" b="0"/>
            <wp:docPr id="2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9" cstate="print">
                      <a:extLst>
                        <a:ext uri="{28A0092B-C50C-407E-A947-70E740481C1C}">
                          <a14:useLocalDpi xmlns:a14="http://schemas.microsoft.com/office/drawing/2010/main" val="0"/>
                        </a:ext>
                      </a:extLst>
                    </a:blip>
                    <a:srcRect/>
                    <a:stretch>
                      <a:fillRect/>
                    </a:stretch>
                  </pic:blipFill>
                  <pic:spPr bwMode="auto">
                    <a:xfrm>
                      <a:off x="0" y="0"/>
                      <a:ext cx="220345" cy="189230"/>
                    </a:xfrm>
                    <a:prstGeom prst="rect">
                      <a:avLst/>
                    </a:prstGeom>
                    <a:noFill/>
                    <a:ln>
                      <a:noFill/>
                    </a:ln>
                  </pic:spPr>
                </pic:pic>
              </a:graphicData>
            </a:graphic>
          </wp:inline>
        </w:drawing>
      </w:r>
      <w:r>
        <w:t>;</w:t>
      </w:r>
    </w:p>
    <w:p w:rsidR="00212513" w:rsidRDefault="00212513">
      <w:pPr>
        <w:pStyle w:val="ConsPlusNormal"/>
        <w:spacing w:before="220"/>
        <w:ind w:firstLine="540"/>
        <w:jc w:val="both"/>
      </w:pPr>
      <w:r>
        <w:rPr>
          <w:noProof/>
          <w:position w:val="-9"/>
        </w:rPr>
        <w:drawing>
          <wp:inline distT="0" distB="0" distL="0" distR="0">
            <wp:extent cx="670560" cy="261620"/>
            <wp:effectExtent l="0" t="0" r="0" b="0"/>
            <wp:docPr id="2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0" cstate="print">
                      <a:extLst>
                        <a:ext uri="{28A0092B-C50C-407E-A947-70E740481C1C}">
                          <a14:useLocalDpi xmlns:a14="http://schemas.microsoft.com/office/drawing/2010/main" val="0"/>
                        </a:ext>
                      </a:extLst>
                    </a:blip>
                    <a:srcRect/>
                    <a:stretch>
                      <a:fillRect/>
                    </a:stretch>
                  </pic:blipFill>
                  <pic:spPr bwMode="auto">
                    <a:xfrm>
                      <a:off x="0" y="0"/>
                      <a:ext cx="670560" cy="261620"/>
                    </a:xfrm>
                    <a:prstGeom prst="rect">
                      <a:avLst/>
                    </a:prstGeom>
                    <a:noFill/>
                    <a:ln>
                      <a:noFill/>
                    </a:ln>
                  </pic:spPr>
                </pic:pic>
              </a:graphicData>
            </a:graphic>
          </wp:inline>
        </w:drawing>
      </w:r>
      <w:r>
        <w:t xml:space="preserve"> - характеристика линейной ползучести бетона, проявившаяся на протяжении рассматриваемой стадии (за время </w:t>
      </w:r>
      <w:r>
        <w:rPr>
          <w:noProof/>
          <w:position w:val="-2"/>
        </w:rPr>
        <w:drawing>
          <wp:inline distT="0" distB="0" distL="0" distR="0">
            <wp:extent cx="220345" cy="177165"/>
            <wp:effectExtent l="0" t="0" r="0" b="0"/>
            <wp:docPr id="2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9" cstate="print">
                      <a:extLst>
                        <a:ext uri="{28A0092B-C50C-407E-A947-70E740481C1C}">
                          <a14:useLocalDpi xmlns:a14="http://schemas.microsoft.com/office/drawing/2010/main" val="0"/>
                        </a:ext>
                      </a:extLst>
                    </a:blip>
                    <a:srcRect/>
                    <a:stretch>
                      <a:fillRect/>
                    </a:stretch>
                  </pic:blipFill>
                  <pic:spPr bwMode="auto">
                    <a:xfrm>
                      <a:off x="0" y="0"/>
                      <a:ext cx="220345" cy="177165"/>
                    </a:xfrm>
                    <a:prstGeom prst="rect">
                      <a:avLst/>
                    </a:prstGeom>
                    <a:noFill/>
                    <a:ln>
                      <a:noFill/>
                    </a:ln>
                  </pic:spPr>
                </pic:pic>
              </a:graphicData>
            </a:graphic>
          </wp:inline>
        </w:drawing>
      </w:r>
      <w:r>
        <w:t>);</w:t>
      </w:r>
    </w:p>
    <w:p w:rsidR="00212513" w:rsidRDefault="00212513">
      <w:pPr>
        <w:pStyle w:val="ConsPlusNormal"/>
        <w:spacing w:before="220"/>
        <w:ind w:firstLine="540"/>
        <w:jc w:val="both"/>
      </w:pPr>
      <w:r>
        <w:rPr>
          <w:noProof/>
          <w:position w:val="-9"/>
        </w:rPr>
        <w:drawing>
          <wp:inline distT="0" distB="0" distL="0" distR="0">
            <wp:extent cx="177800" cy="261620"/>
            <wp:effectExtent l="0" t="0" r="0" b="0"/>
            <wp:docPr id="2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1"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 удельная деформация ползучести бетона, соответствующая заданному периоду выдержки под нагрузкой, ее рекомендуется определять по формулам:</w:t>
      </w:r>
    </w:p>
    <w:p w:rsidR="00212513" w:rsidRDefault="00212513">
      <w:pPr>
        <w:pStyle w:val="ConsPlusNormal"/>
        <w:spacing w:before="220"/>
        <w:ind w:firstLine="540"/>
        <w:jc w:val="both"/>
      </w:pPr>
      <w:r>
        <w:t>при </w:t>
      </w:r>
      <w:r>
        <w:rPr>
          <w:noProof/>
          <w:position w:val="-9"/>
        </w:rPr>
        <w:drawing>
          <wp:inline distT="0" distB="0" distL="0" distR="0">
            <wp:extent cx="535940" cy="261620"/>
            <wp:effectExtent l="0" t="0" r="0" b="0"/>
            <wp:docPr id="2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2" cstate="print">
                      <a:extLst>
                        <a:ext uri="{28A0092B-C50C-407E-A947-70E740481C1C}">
                          <a14:useLocalDpi xmlns:a14="http://schemas.microsoft.com/office/drawing/2010/main" val="0"/>
                        </a:ext>
                      </a:extLst>
                    </a:blip>
                    <a:srcRect/>
                    <a:stretch>
                      <a:fillRect/>
                    </a:stretch>
                  </pic:blipFill>
                  <pic:spPr bwMode="auto">
                    <a:xfrm>
                      <a:off x="0" y="0"/>
                      <a:ext cx="535940" cy="261620"/>
                    </a:xfrm>
                    <a:prstGeom prst="rect">
                      <a:avLst/>
                    </a:prstGeom>
                    <a:noFill/>
                    <a:ln>
                      <a:noFill/>
                    </a:ln>
                  </pic:spPr>
                </pic:pic>
              </a:graphicData>
            </a:graphic>
          </wp:inline>
        </w:drawing>
      </w:r>
    </w:p>
    <w:p w:rsidR="00212513" w:rsidRDefault="00212513">
      <w:pPr>
        <w:pStyle w:val="ConsPlusNormal"/>
        <w:ind w:firstLine="540"/>
        <w:jc w:val="both"/>
      </w:pPr>
    </w:p>
    <w:p w:rsidR="00212513" w:rsidRDefault="00212513">
      <w:pPr>
        <w:pStyle w:val="ConsPlusNormal"/>
        <w:jc w:val="center"/>
      </w:pPr>
      <w:r>
        <w:rPr>
          <w:noProof/>
          <w:position w:val="-33"/>
        </w:rPr>
        <w:drawing>
          <wp:inline distT="0" distB="0" distL="0" distR="0">
            <wp:extent cx="1199515" cy="564515"/>
            <wp:effectExtent l="0" t="0" r="0" b="0"/>
            <wp:docPr id="2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3" cstate="print">
                      <a:extLst>
                        <a:ext uri="{28A0092B-C50C-407E-A947-70E740481C1C}">
                          <a14:useLocalDpi xmlns:a14="http://schemas.microsoft.com/office/drawing/2010/main" val="0"/>
                        </a:ext>
                      </a:extLst>
                    </a:blip>
                    <a:srcRect/>
                    <a:stretch>
                      <a:fillRect/>
                    </a:stretch>
                  </pic:blipFill>
                  <pic:spPr bwMode="auto">
                    <a:xfrm>
                      <a:off x="0" y="0"/>
                      <a:ext cx="1199515" cy="564515"/>
                    </a:xfrm>
                    <a:prstGeom prst="rect">
                      <a:avLst/>
                    </a:prstGeom>
                    <a:noFill/>
                    <a:ln>
                      <a:noFill/>
                    </a:ln>
                  </pic:spPr>
                </pic:pic>
              </a:graphicData>
            </a:graphic>
          </wp:inline>
        </w:drawing>
      </w:r>
      <w:r>
        <w:t>; (Т.5)</w:t>
      </w:r>
    </w:p>
    <w:p w:rsidR="00212513" w:rsidRDefault="00212513">
      <w:pPr>
        <w:pStyle w:val="ConsPlusNormal"/>
        <w:ind w:firstLine="540"/>
        <w:jc w:val="both"/>
      </w:pPr>
    </w:p>
    <w:p w:rsidR="00212513" w:rsidRDefault="00212513">
      <w:pPr>
        <w:pStyle w:val="ConsPlusNormal"/>
        <w:ind w:firstLine="540"/>
        <w:jc w:val="both"/>
      </w:pPr>
      <w:r>
        <w:t>при </w:t>
      </w:r>
      <w:r>
        <w:rPr>
          <w:noProof/>
          <w:position w:val="-9"/>
        </w:rPr>
        <w:drawing>
          <wp:inline distT="0" distB="0" distL="0" distR="0">
            <wp:extent cx="535940" cy="261620"/>
            <wp:effectExtent l="0" t="0" r="0" b="0"/>
            <wp:docPr id="2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4" cstate="print">
                      <a:extLst>
                        <a:ext uri="{28A0092B-C50C-407E-A947-70E740481C1C}">
                          <a14:useLocalDpi xmlns:a14="http://schemas.microsoft.com/office/drawing/2010/main" val="0"/>
                        </a:ext>
                      </a:extLst>
                    </a:blip>
                    <a:srcRect/>
                    <a:stretch>
                      <a:fillRect/>
                    </a:stretch>
                  </pic:blipFill>
                  <pic:spPr bwMode="auto">
                    <a:xfrm>
                      <a:off x="0" y="0"/>
                      <a:ext cx="535940" cy="261620"/>
                    </a:xfrm>
                    <a:prstGeom prst="rect">
                      <a:avLst/>
                    </a:prstGeom>
                    <a:noFill/>
                    <a:ln>
                      <a:noFill/>
                    </a:ln>
                  </pic:spPr>
                </pic:pic>
              </a:graphicData>
            </a:graphic>
          </wp:inline>
        </w:drawing>
      </w:r>
    </w:p>
    <w:p w:rsidR="00212513" w:rsidRDefault="00212513">
      <w:pPr>
        <w:pStyle w:val="ConsPlusNormal"/>
        <w:ind w:firstLine="540"/>
        <w:jc w:val="both"/>
      </w:pPr>
    </w:p>
    <w:p w:rsidR="00212513" w:rsidRDefault="00212513">
      <w:pPr>
        <w:pStyle w:val="ConsPlusNormal"/>
        <w:jc w:val="center"/>
      </w:pPr>
      <w:r>
        <w:rPr>
          <w:noProof/>
          <w:position w:val="-27"/>
        </w:rPr>
        <w:drawing>
          <wp:inline distT="0" distB="0" distL="0" distR="0">
            <wp:extent cx="1173480" cy="484505"/>
            <wp:effectExtent l="0" t="0" r="0" b="0"/>
            <wp:docPr id="2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5" cstate="print">
                      <a:extLst>
                        <a:ext uri="{28A0092B-C50C-407E-A947-70E740481C1C}">
                          <a14:useLocalDpi xmlns:a14="http://schemas.microsoft.com/office/drawing/2010/main" val="0"/>
                        </a:ext>
                      </a:extLst>
                    </a:blip>
                    <a:srcRect/>
                    <a:stretch>
                      <a:fillRect/>
                    </a:stretch>
                  </pic:blipFill>
                  <pic:spPr bwMode="auto">
                    <a:xfrm>
                      <a:off x="0" y="0"/>
                      <a:ext cx="1173480" cy="484505"/>
                    </a:xfrm>
                    <a:prstGeom prst="rect">
                      <a:avLst/>
                    </a:prstGeom>
                    <a:noFill/>
                    <a:ln>
                      <a:noFill/>
                    </a:ln>
                  </pic:spPr>
                </pic:pic>
              </a:graphicData>
            </a:graphic>
          </wp:inline>
        </w:drawing>
      </w:r>
      <w:r>
        <w:t>, (Т.6)</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2"/>
        </w:rPr>
        <w:drawing>
          <wp:inline distT="0" distB="0" distL="0" distR="0">
            <wp:extent cx="220345" cy="177165"/>
            <wp:effectExtent l="0" t="0" r="0" b="0"/>
            <wp:docPr id="2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6" cstate="print">
                      <a:extLst>
                        <a:ext uri="{28A0092B-C50C-407E-A947-70E740481C1C}">
                          <a14:useLocalDpi xmlns:a14="http://schemas.microsoft.com/office/drawing/2010/main" val="0"/>
                        </a:ext>
                      </a:extLst>
                    </a:blip>
                    <a:srcRect/>
                    <a:stretch>
                      <a:fillRect/>
                    </a:stretch>
                  </pic:blipFill>
                  <pic:spPr bwMode="auto">
                    <a:xfrm>
                      <a:off x="0" y="0"/>
                      <a:ext cx="220345" cy="177165"/>
                    </a:xfrm>
                    <a:prstGeom prst="rect">
                      <a:avLst/>
                    </a:prstGeom>
                    <a:noFill/>
                    <a:ln>
                      <a:noFill/>
                    </a:ln>
                  </pic:spPr>
                </pic:pic>
              </a:graphicData>
            </a:graphic>
          </wp:inline>
        </w:drawing>
      </w:r>
      <w:r>
        <w:t xml:space="preserve"> - время, отсчитываемое с момента приложения нагрузки, сут;</w:t>
      </w:r>
    </w:p>
    <w:p w:rsidR="00212513" w:rsidRDefault="00212513">
      <w:pPr>
        <w:pStyle w:val="ConsPlusNormal"/>
        <w:spacing w:before="220"/>
        <w:ind w:firstLine="540"/>
        <w:jc w:val="both"/>
      </w:pPr>
      <w:r>
        <w:rPr>
          <w:noProof/>
          <w:position w:val="-9"/>
        </w:rPr>
        <w:drawing>
          <wp:inline distT="0" distB="0" distL="0" distR="0">
            <wp:extent cx="220345" cy="261620"/>
            <wp:effectExtent l="0" t="0" r="0" b="0"/>
            <wp:docPr id="2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7"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 параметр, характеризующий скорость развития во времени деформации ползучести бетона и принимаемый по таблице Т.1.</w:t>
      </w:r>
    </w:p>
    <w:p w:rsidR="00212513" w:rsidRDefault="00212513">
      <w:pPr>
        <w:pStyle w:val="ConsPlusNormal"/>
        <w:ind w:firstLine="540"/>
        <w:jc w:val="both"/>
      </w:pPr>
    </w:p>
    <w:p w:rsidR="00212513" w:rsidRDefault="00212513">
      <w:pPr>
        <w:pStyle w:val="ConsPlusNormal"/>
        <w:jc w:val="right"/>
      </w:pPr>
      <w:r>
        <w:t>Таблица Т.1</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12"/>
        <w:gridCol w:w="680"/>
        <w:gridCol w:w="680"/>
        <w:gridCol w:w="680"/>
        <w:gridCol w:w="680"/>
        <w:gridCol w:w="680"/>
        <w:gridCol w:w="680"/>
        <w:gridCol w:w="1077"/>
      </w:tblGrid>
      <w:tr w:rsidR="00212513">
        <w:tc>
          <w:tcPr>
            <w:tcW w:w="3912" w:type="dxa"/>
          </w:tcPr>
          <w:p w:rsidR="00212513" w:rsidRDefault="00212513">
            <w:pPr>
              <w:pStyle w:val="ConsPlusNormal"/>
            </w:pPr>
            <w:r>
              <w:t xml:space="preserve">Приведенные характеристики поперечного сечения элемента, см </w:t>
            </w:r>
            <w:r>
              <w:lastRenderedPageBreak/>
              <w:t>(отношение площади поперечного сечения элемента к его периметру)</w:t>
            </w:r>
          </w:p>
        </w:tc>
        <w:tc>
          <w:tcPr>
            <w:tcW w:w="680" w:type="dxa"/>
          </w:tcPr>
          <w:p w:rsidR="00212513" w:rsidRDefault="00212513">
            <w:pPr>
              <w:pStyle w:val="ConsPlusNormal"/>
              <w:jc w:val="center"/>
            </w:pPr>
            <w:r>
              <w:lastRenderedPageBreak/>
              <w:t>2,5</w:t>
            </w:r>
          </w:p>
        </w:tc>
        <w:tc>
          <w:tcPr>
            <w:tcW w:w="680" w:type="dxa"/>
          </w:tcPr>
          <w:p w:rsidR="00212513" w:rsidRDefault="00212513">
            <w:pPr>
              <w:pStyle w:val="ConsPlusNormal"/>
              <w:jc w:val="center"/>
            </w:pPr>
            <w:r>
              <w:t>5,0</w:t>
            </w:r>
          </w:p>
        </w:tc>
        <w:tc>
          <w:tcPr>
            <w:tcW w:w="680" w:type="dxa"/>
          </w:tcPr>
          <w:p w:rsidR="00212513" w:rsidRDefault="00212513">
            <w:pPr>
              <w:pStyle w:val="ConsPlusNormal"/>
              <w:jc w:val="center"/>
            </w:pPr>
            <w:r>
              <w:t>7,5</w:t>
            </w:r>
          </w:p>
        </w:tc>
        <w:tc>
          <w:tcPr>
            <w:tcW w:w="680" w:type="dxa"/>
          </w:tcPr>
          <w:p w:rsidR="00212513" w:rsidRDefault="00212513">
            <w:pPr>
              <w:pStyle w:val="ConsPlusNormal"/>
              <w:jc w:val="center"/>
            </w:pPr>
            <w:r>
              <w:t>10,0</w:t>
            </w:r>
          </w:p>
        </w:tc>
        <w:tc>
          <w:tcPr>
            <w:tcW w:w="680" w:type="dxa"/>
          </w:tcPr>
          <w:p w:rsidR="00212513" w:rsidRDefault="00212513">
            <w:pPr>
              <w:pStyle w:val="ConsPlusNormal"/>
              <w:jc w:val="center"/>
            </w:pPr>
            <w:r>
              <w:t>12,5</w:t>
            </w:r>
          </w:p>
        </w:tc>
        <w:tc>
          <w:tcPr>
            <w:tcW w:w="680" w:type="dxa"/>
          </w:tcPr>
          <w:p w:rsidR="00212513" w:rsidRDefault="00212513">
            <w:pPr>
              <w:pStyle w:val="ConsPlusNormal"/>
              <w:jc w:val="center"/>
            </w:pPr>
            <w:r>
              <w:t>15,0</w:t>
            </w:r>
          </w:p>
        </w:tc>
        <w:tc>
          <w:tcPr>
            <w:tcW w:w="1077" w:type="dxa"/>
          </w:tcPr>
          <w:p w:rsidR="00212513" w:rsidRDefault="00212513">
            <w:pPr>
              <w:pStyle w:val="ConsPlusNormal"/>
              <w:jc w:val="center"/>
            </w:pPr>
            <w:r>
              <w:t>20,0 и более</w:t>
            </w:r>
          </w:p>
        </w:tc>
      </w:tr>
      <w:tr w:rsidR="00212513">
        <w:tc>
          <w:tcPr>
            <w:tcW w:w="3912" w:type="dxa"/>
          </w:tcPr>
          <w:p w:rsidR="00212513" w:rsidRDefault="00212513">
            <w:pPr>
              <w:pStyle w:val="ConsPlusNormal"/>
            </w:pPr>
            <w:r>
              <w:lastRenderedPageBreak/>
              <w:t xml:space="preserve">Параметры, характеризующие скорость развития во времени деформации ползучести </w:t>
            </w:r>
            <w:r>
              <w:rPr>
                <w:i/>
              </w:rPr>
              <w:t>a</w:t>
            </w:r>
            <w:r>
              <w:rPr>
                <w:i/>
                <w:vertAlign w:val="subscript"/>
              </w:rPr>
              <w:t>m</w:t>
            </w:r>
            <w:r>
              <w:t>, сут</w:t>
            </w:r>
          </w:p>
        </w:tc>
        <w:tc>
          <w:tcPr>
            <w:tcW w:w="680" w:type="dxa"/>
          </w:tcPr>
          <w:p w:rsidR="00212513" w:rsidRDefault="00212513">
            <w:pPr>
              <w:pStyle w:val="ConsPlusNormal"/>
              <w:jc w:val="center"/>
            </w:pPr>
            <w:r>
              <w:t>55</w:t>
            </w:r>
          </w:p>
        </w:tc>
        <w:tc>
          <w:tcPr>
            <w:tcW w:w="680" w:type="dxa"/>
          </w:tcPr>
          <w:p w:rsidR="00212513" w:rsidRDefault="00212513">
            <w:pPr>
              <w:pStyle w:val="ConsPlusNormal"/>
              <w:jc w:val="center"/>
            </w:pPr>
            <w:r>
              <w:t>80</w:t>
            </w:r>
          </w:p>
        </w:tc>
        <w:tc>
          <w:tcPr>
            <w:tcW w:w="680" w:type="dxa"/>
          </w:tcPr>
          <w:p w:rsidR="00212513" w:rsidRDefault="00212513">
            <w:pPr>
              <w:pStyle w:val="ConsPlusNormal"/>
              <w:jc w:val="center"/>
            </w:pPr>
            <w:r>
              <w:t>110</w:t>
            </w:r>
          </w:p>
        </w:tc>
        <w:tc>
          <w:tcPr>
            <w:tcW w:w="680" w:type="dxa"/>
          </w:tcPr>
          <w:p w:rsidR="00212513" w:rsidRDefault="00212513">
            <w:pPr>
              <w:pStyle w:val="ConsPlusNormal"/>
              <w:jc w:val="center"/>
            </w:pPr>
            <w:r>
              <w:t>135</w:t>
            </w:r>
          </w:p>
        </w:tc>
        <w:tc>
          <w:tcPr>
            <w:tcW w:w="680" w:type="dxa"/>
          </w:tcPr>
          <w:p w:rsidR="00212513" w:rsidRDefault="00212513">
            <w:pPr>
              <w:pStyle w:val="ConsPlusNormal"/>
              <w:jc w:val="center"/>
            </w:pPr>
            <w:r>
              <w:t>165</w:t>
            </w:r>
          </w:p>
        </w:tc>
        <w:tc>
          <w:tcPr>
            <w:tcW w:w="680" w:type="dxa"/>
          </w:tcPr>
          <w:p w:rsidR="00212513" w:rsidRDefault="00212513">
            <w:pPr>
              <w:pStyle w:val="ConsPlusNormal"/>
              <w:jc w:val="center"/>
            </w:pPr>
            <w:r>
              <w:t>190</w:t>
            </w:r>
          </w:p>
        </w:tc>
        <w:tc>
          <w:tcPr>
            <w:tcW w:w="1077" w:type="dxa"/>
          </w:tcPr>
          <w:p w:rsidR="00212513" w:rsidRDefault="00212513">
            <w:pPr>
              <w:pStyle w:val="ConsPlusNormal"/>
              <w:jc w:val="center"/>
            </w:pPr>
            <w:r>
              <w:t>250</w:t>
            </w:r>
          </w:p>
        </w:tc>
      </w:tr>
    </w:tbl>
    <w:p w:rsidR="00212513" w:rsidRDefault="00212513">
      <w:pPr>
        <w:pStyle w:val="ConsPlusNormal"/>
        <w:ind w:firstLine="540"/>
        <w:jc w:val="both"/>
      </w:pPr>
    </w:p>
    <w:p w:rsidR="00212513" w:rsidRDefault="00212513">
      <w:pPr>
        <w:pStyle w:val="ConsPlusNormal"/>
        <w:ind w:firstLine="540"/>
        <w:jc w:val="both"/>
      </w:pPr>
      <w:r>
        <w:t xml:space="preserve">Для конструкций, эксплуатируемых в климатическом подрайоне IVA, согласно </w:t>
      </w:r>
      <w:hyperlink r:id="rId3438">
        <w:r>
          <w:rPr>
            <w:color w:val="0000FF"/>
          </w:rPr>
          <w:t>СП 131.13330</w:t>
        </w:r>
      </w:hyperlink>
      <w:r>
        <w:t xml:space="preserve"> значение </w:t>
      </w:r>
      <w:r>
        <w:rPr>
          <w:noProof/>
          <w:position w:val="-9"/>
        </w:rPr>
        <w:drawing>
          <wp:inline distT="0" distB="0" distL="0" distR="0">
            <wp:extent cx="220345" cy="261620"/>
            <wp:effectExtent l="0" t="0" r="0" b="0"/>
            <wp:docPr id="2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7"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для летнего времени года (август) следует снижать на 35%, а для зимнего (февраль) - увеличивать на 10%, для остальных месяцев - принимать по линейной интерполяции;</w:t>
      </w:r>
    </w:p>
    <w:p w:rsidR="00212513" w:rsidRDefault="00212513">
      <w:pPr>
        <w:pStyle w:val="ConsPlusNormal"/>
        <w:jc w:val="both"/>
      </w:pPr>
      <w:r>
        <w:t xml:space="preserve">(в ред. </w:t>
      </w:r>
      <w:hyperlink r:id="rId3439">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rPr>
          <w:noProof/>
          <w:position w:val="-10"/>
        </w:rPr>
        <w:drawing>
          <wp:inline distT="0" distB="0" distL="0" distR="0">
            <wp:extent cx="325755" cy="273685"/>
            <wp:effectExtent l="0" t="0" r="0" b="0"/>
            <wp:docPr id="2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0" cstate="print">
                      <a:extLst>
                        <a:ext uri="{28A0092B-C50C-407E-A947-70E740481C1C}">
                          <a14:useLocalDpi xmlns:a14="http://schemas.microsoft.com/office/drawing/2010/main" val="0"/>
                        </a:ext>
                      </a:extLst>
                    </a:blip>
                    <a:srcRect/>
                    <a:stretch>
                      <a:fillRect/>
                    </a:stretch>
                  </pic:blipFill>
                  <pic:spPr bwMode="auto">
                    <a:xfrm>
                      <a:off x="0" y="0"/>
                      <a:ext cx="325755" cy="273685"/>
                    </a:xfrm>
                    <a:prstGeom prst="rect">
                      <a:avLst/>
                    </a:prstGeom>
                    <a:noFill/>
                    <a:ln>
                      <a:noFill/>
                    </a:ln>
                  </pic:spPr>
                </pic:pic>
              </a:graphicData>
            </a:graphic>
          </wp:inline>
        </w:drawing>
      </w:r>
      <w:r>
        <w:t xml:space="preserve"> - предельные значения удельных деформаций ползучести бетона, принимаемые в соответствии с </w:t>
      </w:r>
      <w:hyperlink w:anchor="P2674">
        <w:r>
          <w:rPr>
            <w:color w:val="0000FF"/>
          </w:rPr>
          <w:t>7.32</w:t>
        </w:r>
      </w:hyperlink>
      <w:r>
        <w:t>.</w:t>
      </w: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jc w:val="right"/>
        <w:outlineLvl w:val="0"/>
      </w:pPr>
      <w:r>
        <w:rPr>
          <w:b/>
        </w:rPr>
        <w:t>Приложение У</w:t>
      </w:r>
    </w:p>
    <w:p w:rsidR="00212513" w:rsidRDefault="00212513">
      <w:pPr>
        <w:pStyle w:val="ConsPlusNormal"/>
        <w:jc w:val="right"/>
      </w:pPr>
      <w:r>
        <w:rPr>
          <w:b/>
        </w:rPr>
        <w:t>(обязательное)</w:t>
      </w:r>
    </w:p>
    <w:p w:rsidR="00212513" w:rsidRDefault="00212513">
      <w:pPr>
        <w:pStyle w:val="ConsPlusNormal"/>
        <w:ind w:firstLine="540"/>
        <w:jc w:val="both"/>
      </w:pPr>
    </w:p>
    <w:p w:rsidR="00212513" w:rsidRDefault="00212513">
      <w:pPr>
        <w:pStyle w:val="ConsPlusTitle"/>
        <w:jc w:val="center"/>
      </w:pPr>
      <w:bookmarkStart w:id="518" w:name="P14732"/>
      <w:bookmarkEnd w:id="518"/>
      <w:r>
        <w:t>КОЭФФИЦИЕНТЫ УСЛОВИЙ РАБОТЫ КАНАТОВ</w:t>
      </w:r>
    </w:p>
    <w:p w:rsidR="00212513" w:rsidRDefault="00212513">
      <w:pPr>
        <w:pStyle w:val="ConsPlusNormal"/>
        <w:ind w:firstLine="540"/>
        <w:jc w:val="both"/>
      </w:pPr>
    </w:p>
    <w:p w:rsidR="00212513" w:rsidRDefault="00212513">
      <w:pPr>
        <w:pStyle w:val="ConsPlusNormal"/>
        <w:ind w:firstLine="540"/>
        <w:jc w:val="both"/>
      </w:pPr>
      <w:r>
        <w:t xml:space="preserve">У.1 Величину коэффициента условий работы </w:t>
      </w:r>
      <w:r>
        <w:rPr>
          <w:noProof/>
          <w:position w:val="-9"/>
        </w:rPr>
        <w:drawing>
          <wp:inline distT="0" distB="0" distL="0" distR="0">
            <wp:extent cx="220345" cy="261620"/>
            <wp:effectExtent l="0" t="0" r="0" b="0"/>
            <wp:docPr id="2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1"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следует принимать:</w:t>
      </w:r>
    </w:p>
    <w:p w:rsidR="00212513" w:rsidRDefault="00212513">
      <w:pPr>
        <w:pStyle w:val="ConsPlusNormal"/>
        <w:ind w:firstLine="540"/>
        <w:jc w:val="both"/>
      </w:pPr>
    </w:p>
    <w:p w:rsidR="00212513" w:rsidRDefault="00212513">
      <w:pPr>
        <w:pStyle w:val="ConsPlusNormal"/>
        <w:jc w:val="center"/>
      </w:pPr>
      <w:r>
        <w:rPr>
          <w:noProof/>
          <w:position w:val="-29"/>
        </w:rPr>
        <w:drawing>
          <wp:inline distT="0" distB="0" distL="0" distR="0">
            <wp:extent cx="1885950" cy="511810"/>
            <wp:effectExtent l="0" t="0" r="0" b="0"/>
            <wp:docPr id="2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2" cstate="print">
                      <a:extLst>
                        <a:ext uri="{28A0092B-C50C-407E-A947-70E740481C1C}">
                          <a14:useLocalDpi xmlns:a14="http://schemas.microsoft.com/office/drawing/2010/main" val="0"/>
                        </a:ext>
                      </a:extLst>
                    </a:blip>
                    <a:srcRect/>
                    <a:stretch>
                      <a:fillRect/>
                    </a:stretch>
                  </pic:blipFill>
                  <pic:spPr bwMode="auto">
                    <a:xfrm>
                      <a:off x="0" y="0"/>
                      <a:ext cx="1885950" cy="511810"/>
                    </a:xfrm>
                    <a:prstGeom prst="rect">
                      <a:avLst/>
                    </a:prstGeom>
                    <a:noFill/>
                    <a:ln>
                      <a:noFill/>
                    </a:ln>
                  </pic:spPr>
                </pic:pic>
              </a:graphicData>
            </a:graphic>
          </wp:inline>
        </w:drawing>
      </w:r>
      <w:r>
        <w:t>, (У.1)</w:t>
      </w:r>
    </w:p>
    <w:p w:rsidR="00212513" w:rsidRDefault="00212513">
      <w:pPr>
        <w:pStyle w:val="ConsPlusNormal"/>
        <w:ind w:firstLine="540"/>
        <w:jc w:val="both"/>
      </w:pPr>
    </w:p>
    <w:p w:rsidR="00212513" w:rsidRDefault="00212513">
      <w:pPr>
        <w:pStyle w:val="ConsPlusNormal"/>
        <w:ind w:firstLine="540"/>
        <w:jc w:val="both"/>
      </w:pPr>
      <w:r>
        <w:t xml:space="preserve">где </w:t>
      </w:r>
      <w:r>
        <w:rPr>
          <w:i/>
        </w:rPr>
        <w:t>D</w:t>
      </w:r>
      <w:r>
        <w:t xml:space="preserve"> = 2</w:t>
      </w:r>
      <w:r>
        <w:rPr>
          <w:i/>
        </w:rPr>
        <w:t>R</w:t>
      </w:r>
      <w:r>
        <w:t>;</w:t>
      </w:r>
    </w:p>
    <w:p w:rsidR="00212513" w:rsidRDefault="00212513">
      <w:pPr>
        <w:pStyle w:val="ConsPlusNormal"/>
        <w:spacing w:before="220"/>
        <w:ind w:firstLine="540"/>
        <w:jc w:val="both"/>
      </w:pPr>
      <w:r>
        <w:rPr>
          <w:i/>
        </w:rPr>
        <w:t>R</w:t>
      </w:r>
      <w:r>
        <w:t xml:space="preserve"> - радиус кривой, по которой отгибается на отклоняющем устройстве канат одинарной свивки из проволоки диаметром </w:t>
      </w:r>
      <w:r>
        <w:rPr>
          <w:i/>
        </w:rPr>
        <w:t>d</w:t>
      </w:r>
      <w:r>
        <w:t xml:space="preserve"> с временным сопротивлением 1470 - 1765 МПа; при этом должно соблюдаться условие </w:t>
      </w:r>
      <w:r>
        <w:rPr>
          <w:i/>
        </w:rPr>
        <w:t>D</w:t>
      </w:r>
      <w:r>
        <w:t>/</w:t>
      </w:r>
      <w:r>
        <w:rPr>
          <w:i/>
        </w:rPr>
        <w:t>d</w:t>
      </w:r>
      <w:r>
        <w:t xml:space="preserve"> &gt;= 580 и </w:t>
      </w:r>
      <w:r>
        <w:rPr>
          <w:noProof/>
          <w:position w:val="-9"/>
        </w:rPr>
        <w:drawing>
          <wp:inline distT="0" distB="0" distL="0" distR="0">
            <wp:extent cx="684530" cy="261620"/>
            <wp:effectExtent l="0" t="0" r="0" b="0"/>
            <wp:docPr id="2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3" cstate="print">
                      <a:extLst>
                        <a:ext uri="{28A0092B-C50C-407E-A947-70E740481C1C}">
                          <a14:useLocalDpi xmlns:a14="http://schemas.microsoft.com/office/drawing/2010/main" val="0"/>
                        </a:ext>
                      </a:extLst>
                    </a:blip>
                    <a:srcRect/>
                    <a:stretch>
                      <a:fillRect/>
                    </a:stretch>
                  </pic:blipFill>
                  <pic:spPr bwMode="auto">
                    <a:xfrm>
                      <a:off x="0" y="0"/>
                      <a:ext cx="684530" cy="261620"/>
                    </a:xfrm>
                    <a:prstGeom prst="rect">
                      <a:avLst/>
                    </a:prstGeom>
                    <a:noFill/>
                    <a:ln>
                      <a:noFill/>
                    </a:ln>
                  </pic:spPr>
                </pic:pic>
              </a:graphicData>
            </a:graphic>
          </wp:inline>
        </w:drawing>
      </w:r>
      <w:r>
        <w:t>;</w:t>
      </w:r>
    </w:p>
    <w:p w:rsidR="00212513" w:rsidRDefault="00212513">
      <w:pPr>
        <w:pStyle w:val="ConsPlusNormal"/>
        <w:spacing w:before="220"/>
        <w:ind w:firstLine="540"/>
        <w:jc w:val="both"/>
      </w:pPr>
      <w:r>
        <w:rPr>
          <w:noProof/>
          <w:position w:val="-9"/>
        </w:rPr>
        <w:drawing>
          <wp:inline distT="0" distB="0" distL="0" distR="0">
            <wp:extent cx="450215" cy="261620"/>
            <wp:effectExtent l="0" t="0" r="0" b="0"/>
            <wp:docPr id="2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4" cstate="print">
                      <a:extLst>
                        <a:ext uri="{28A0092B-C50C-407E-A947-70E740481C1C}">
                          <a14:useLocalDpi xmlns:a14="http://schemas.microsoft.com/office/drawing/2010/main" val="0"/>
                        </a:ext>
                      </a:extLst>
                    </a:blip>
                    <a:srcRect/>
                    <a:stretch>
                      <a:fillRect/>
                    </a:stretch>
                  </pic:blipFill>
                  <pic:spPr bwMode="auto">
                    <a:xfrm>
                      <a:off x="0" y="0"/>
                      <a:ext cx="450215" cy="261620"/>
                    </a:xfrm>
                    <a:prstGeom prst="rect">
                      <a:avLst/>
                    </a:prstGeom>
                    <a:noFill/>
                    <a:ln>
                      <a:noFill/>
                    </a:ln>
                  </pic:spPr>
                </pic:pic>
              </a:graphicData>
            </a:graphic>
          </wp:inline>
        </w:drawing>
      </w:r>
      <w:r>
        <w:t xml:space="preserve"> при отгибе закрытых несущих канатов на отклоняющем устройстве по круговой кривой диаметром </w:t>
      </w:r>
      <w:r>
        <w:rPr>
          <w:i/>
        </w:rPr>
        <w:t>D</w:t>
      </w:r>
      <w:r>
        <w:t>, мм, и соблюдении условий:</w:t>
      </w:r>
    </w:p>
    <w:p w:rsidR="00212513" w:rsidRDefault="00212513">
      <w:pPr>
        <w:pStyle w:val="ConsPlusNormal"/>
        <w:ind w:firstLine="540"/>
        <w:jc w:val="both"/>
      </w:pPr>
    </w:p>
    <w:p w:rsidR="00212513" w:rsidRDefault="00212513">
      <w:pPr>
        <w:pStyle w:val="ConsPlusNormal"/>
        <w:jc w:val="center"/>
      </w:pPr>
      <w:r>
        <w:rPr>
          <w:noProof/>
          <w:position w:val="-27"/>
        </w:rPr>
        <w:drawing>
          <wp:inline distT="0" distB="0" distL="0" distR="0">
            <wp:extent cx="1064895" cy="484505"/>
            <wp:effectExtent l="0" t="0" r="0" b="0"/>
            <wp:docPr id="2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5" cstate="print">
                      <a:extLst>
                        <a:ext uri="{28A0092B-C50C-407E-A947-70E740481C1C}">
                          <a14:useLocalDpi xmlns:a14="http://schemas.microsoft.com/office/drawing/2010/main" val="0"/>
                        </a:ext>
                      </a:extLst>
                    </a:blip>
                    <a:srcRect/>
                    <a:stretch>
                      <a:fillRect/>
                    </a:stretch>
                  </pic:blipFill>
                  <pic:spPr bwMode="auto">
                    <a:xfrm>
                      <a:off x="0" y="0"/>
                      <a:ext cx="1064895" cy="484505"/>
                    </a:xfrm>
                    <a:prstGeom prst="rect">
                      <a:avLst/>
                    </a:prstGeom>
                    <a:noFill/>
                    <a:ln>
                      <a:noFill/>
                    </a:ln>
                  </pic:spPr>
                </pic:pic>
              </a:graphicData>
            </a:graphic>
          </wp:inline>
        </w:drawing>
      </w:r>
      <w:r>
        <w:t xml:space="preserve">; </w:t>
      </w:r>
      <w:r>
        <w:rPr>
          <w:noProof/>
          <w:position w:val="-9"/>
        </w:rPr>
        <w:drawing>
          <wp:inline distT="0" distB="0" distL="0" distR="0">
            <wp:extent cx="851535" cy="261620"/>
            <wp:effectExtent l="0" t="0" r="0" b="0"/>
            <wp:docPr id="2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6" cstate="print">
                      <a:extLst>
                        <a:ext uri="{28A0092B-C50C-407E-A947-70E740481C1C}">
                          <a14:useLocalDpi xmlns:a14="http://schemas.microsoft.com/office/drawing/2010/main" val="0"/>
                        </a:ext>
                      </a:extLst>
                    </a:blip>
                    <a:srcRect/>
                    <a:stretch>
                      <a:fillRect/>
                    </a:stretch>
                  </pic:blipFill>
                  <pic:spPr bwMode="auto">
                    <a:xfrm>
                      <a:off x="0" y="0"/>
                      <a:ext cx="851535" cy="261620"/>
                    </a:xfrm>
                    <a:prstGeom prst="rect">
                      <a:avLst/>
                    </a:prstGeom>
                    <a:noFill/>
                    <a:ln>
                      <a:noFill/>
                    </a:ln>
                  </pic:spPr>
                </pic:pic>
              </a:graphicData>
            </a:graphic>
          </wp:inline>
        </w:drawing>
      </w:r>
      <w:r>
        <w:t>;</w:t>
      </w:r>
    </w:p>
    <w:p w:rsidR="00212513" w:rsidRDefault="00212513">
      <w:pPr>
        <w:pStyle w:val="ConsPlusNormal"/>
        <w:jc w:val="center"/>
      </w:pPr>
    </w:p>
    <w:p w:rsidR="00212513" w:rsidRDefault="00212513">
      <w:pPr>
        <w:pStyle w:val="ConsPlusNormal"/>
        <w:jc w:val="center"/>
      </w:pPr>
      <w:r>
        <w:rPr>
          <w:noProof/>
          <w:position w:val="-27"/>
        </w:rPr>
        <w:drawing>
          <wp:inline distT="0" distB="0" distL="0" distR="0">
            <wp:extent cx="564515" cy="484505"/>
            <wp:effectExtent l="0" t="0" r="0" b="0"/>
            <wp:docPr id="2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7" cstate="print">
                      <a:extLst>
                        <a:ext uri="{28A0092B-C50C-407E-A947-70E740481C1C}">
                          <a14:useLocalDpi xmlns:a14="http://schemas.microsoft.com/office/drawing/2010/main" val="0"/>
                        </a:ext>
                      </a:extLst>
                    </a:blip>
                    <a:srcRect/>
                    <a:stretch>
                      <a:fillRect/>
                    </a:stretch>
                  </pic:blipFill>
                  <pic:spPr bwMode="auto">
                    <a:xfrm>
                      <a:off x="0" y="0"/>
                      <a:ext cx="564515" cy="484505"/>
                    </a:xfrm>
                    <a:prstGeom prst="rect">
                      <a:avLst/>
                    </a:prstGeom>
                    <a:noFill/>
                    <a:ln>
                      <a:noFill/>
                    </a:ln>
                  </pic:spPr>
                </pic:pic>
              </a:graphicData>
            </a:graphic>
          </wp:inline>
        </w:drawing>
      </w:r>
      <w:r>
        <w:t xml:space="preserve">; </w:t>
      </w:r>
      <w:r>
        <w:rPr>
          <w:noProof/>
          <w:position w:val="-9"/>
        </w:rPr>
        <w:drawing>
          <wp:inline distT="0" distB="0" distL="0" distR="0">
            <wp:extent cx="535940" cy="261620"/>
            <wp:effectExtent l="0" t="0" r="0" b="0"/>
            <wp:docPr id="2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8" cstate="print">
                      <a:extLst>
                        <a:ext uri="{28A0092B-C50C-407E-A947-70E740481C1C}">
                          <a14:useLocalDpi xmlns:a14="http://schemas.microsoft.com/office/drawing/2010/main" val="0"/>
                        </a:ext>
                      </a:extLst>
                    </a:blip>
                    <a:srcRect/>
                    <a:stretch>
                      <a:fillRect/>
                    </a:stretch>
                  </pic:blipFill>
                  <pic:spPr bwMode="auto">
                    <a:xfrm>
                      <a:off x="0" y="0"/>
                      <a:ext cx="535940" cy="261620"/>
                    </a:xfrm>
                    <a:prstGeom prst="rect">
                      <a:avLst/>
                    </a:prstGeom>
                    <a:noFill/>
                    <a:ln>
                      <a:noFill/>
                    </a:ln>
                  </pic:spPr>
                </pic:pic>
              </a:graphicData>
            </a:graphic>
          </wp:inline>
        </w:drawing>
      </w:r>
      <w:r>
        <w:t>,</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9"/>
        </w:rPr>
        <w:drawing>
          <wp:inline distT="0" distB="0" distL="0" distR="0">
            <wp:extent cx="177165" cy="260985"/>
            <wp:effectExtent l="0" t="0" r="0" b="0"/>
            <wp:docPr id="2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9" cstate="print">
                      <a:extLst>
                        <a:ext uri="{28A0092B-C50C-407E-A947-70E740481C1C}">
                          <a14:useLocalDpi xmlns:a14="http://schemas.microsoft.com/office/drawing/2010/main" val="0"/>
                        </a:ext>
                      </a:extLst>
                    </a:blip>
                    <a:srcRect/>
                    <a:stretch>
                      <a:fillRect/>
                    </a:stretch>
                  </pic:blipFill>
                  <pic:spPr bwMode="auto">
                    <a:xfrm>
                      <a:off x="0" y="0"/>
                      <a:ext cx="177165" cy="260985"/>
                    </a:xfrm>
                    <a:prstGeom prst="rect">
                      <a:avLst/>
                    </a:prstGeom>
                    <a:noFill/>
                    <a:ln>
                      <a:noFill/>
                    </a:ln>
                  </pic:spPr>
                </pic:pic>
              </a:graphicData>
            </a:graphic>
          </wp:inline>
        </w:drawing>
      </w:r>
      <w:r>
        <w:t xml:space="preserve"> - диаметр каната, мм.</w:t>
      </w:r>
    </w:p>
    <w:p w:rsidR="00212513" w:rsidRDefault="00212513">
      <w:pPr>
        <w:pStyle w:val="ConsPlusNormal"/>
        <w:spacing w:before="220"/>
        <w:ind w:firstLine="540"/>
        <w:jc w:val="both"/>
      </w:pPr>
      <w:r>
        <w:t xml:space="preserve">При действии на растянутый закрытый несущий канат поперечной нагрузки </w:t>
      </w:r>
      <w:r>
        <w:rPr>
          <w:i/>
        </w:rPr>
        <w:t>q</w:t>
      </w:r>
      <w:r>
        <w:t xml:space="preserve"> через плоские </w:t>
      </w:r>
      <w:r>
        <w:lastRenderedPageBreak/>
        <w:t xml:space="preserve">стальные накладки </w:t>
      </w:r>
      <w:r>
        <w:rPr>
          <w:noProof/>
          <w:position w:val="-9"/>
        </w:rPr>
        <w:drawing>
          <wp:inline distT="0" distB="0" distL="0" distR="0">
            <wp:extent cx="220345" cy="261620"/>
            <wp:effectExtent l="0" t="0" r="0" b="0"/>
            <wp:docPr id="2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1"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следует принимать по таблице У.1.</w:t>
      </w:r>
    </w:p>
    <w:p w:rsidR="00212513" w:rsidRDefault="00212513">
      <w:pPr>
        <w:pStyle w:val="ConsPlusNormal"/>
        <w:ind w:firstLine="540"/>
        <w:jc w:val="both"/>
      </w:pPr>
    </w:p>
    <w:p w:rsidR="00212513" w:rsidRDefault="00212513">
      <w:pPr>
        <w:pStyle w:val="ConsPlusNormal"/>
        <w:jc w:val="right"/>
      </w:pPr>
      <w:r>
        <w:t>Таблица У.1</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1152"/>
        <w:gridCol w:w="1152"/>
        <w:gridCol w:w="1152"/>
        <w:gridCol w:w="1152"/>
        <w:gridCol w:w="1152"/>
        <w:gridCol w:w="1154"/>
      </w:tblGrid>
      <w:tr w:rsidR="00212513">
        <w:tc>
          <w:tcPr>
            <w:tcW w:w="2154" w:type="dxa"/>
          </w:tcPr>
          <w:p w:rsidR="00212513" w:rsidRDefault="00212513">
            <w:pPr>
              <w:pStyle w:val="ConsPlusNormal"/>
            </w:pPr>
            <w:r>
              <w:rPr>
                <w:i/>
              </w:rPr>
              <w:t>q</w:t>
            </w:r>
            <w:r>
              <w:t>, МН/м</w:t>
            </w:r>
          </w:p>
        </w:tc>
        <w:tc>
          <w:tcPr>
            <w:tcW w:w="1152" w:type="dxa"/>
          </w:tcPr>
          <w:p w:rsidR="00212513" w:rsidRDefault="00212513">
            <w:pPr>
              <w:pStyle w:val="ConsPlusNormal"/>
              <w:jc w:val="center"/>
            </w:pPr>
            <w:r>
              <w:t>1</w:t>
            </w:r>
          </w:p>
        </w:tc>
        <w:tc>
          <w:tcPr>
            <w:tcW w:w="1152" w:type="dxa"/>
          </w:tcPr>
          <w:p w:rsidR="00212513" w:rsidRDefault="00212513">
            <w:pPr>
              <w:pStyle w:val="ConsPlusNormal"/>
              <w:jc w:val="center"/>
            </w:pPr>
            <w:r>
              <w:t>2</w:t>
            </w:r>
          </w:p>
        </w:tc>
        <w:tc>
          <w:tcPr>
            <w:tcW w:w="1152" w:type="dxa"/>
          </w:tcPr>
          <w:p w:rsidR="00212513" w:rsidRDefault="00212513">
            <w:pPr>
              <w:pStyle w:val="ConsPlusNormal"/>
              <w:jc w:val="center"/>
            </w:pPr>
            <w:r>
              <w:t>4,9</w:t>
            </w:r>
          </w:p>
        </w:tc>
        <w:tc>
          <w:tcPr>
            <w:tcW w:w="1152" w:type="dxa"/>
          </w:tcPr>
          <w:p w:rsidR="00212513" w:rsidRDefault="00212513">
            <w:pPr>
              <w:pStyle w:val="ConsPlusNormal"/>
              <w:jc w:val="center"/>
            </w:pPr>
            <w:r>
              <w:t>9,8</w:t>
            </w:r>
          </w:p>
        </w:tc>
        <w:tc>
          <w:tcPr>
            <w:tcW w:w="1152" w:type="dxa"/>
          </w:tcPr>
          <w:p w:rsidR="00212513" w:rsidRDefault="00212513">
            <w:pPr>
              <w:pStyle w:val="ConsPlusNormal"/>
              <w:jc w:val="center"/>
            </w:pPr>
            <w:r>
              <w:t>14,7</w:t>
            </w:r>
          </w:p>
        </w:tc>
        <w:tc>
          <w:tcPr>
            <w:tcW w:w="1154" w:type="dxa"/>
          </w:tcPr>
          <w:p w:rsidR="00212513" w:rsidRDefault="00212513">
            <w:pPr>
              <w:pStyle w:val="ConsPlusNormal"/>
              <w:jc w:val="center"/>
            </w:pPr>
            <w:r>
              <w:t>19,6</w:t>
            </w:r>
          </w:p>
        </w:tc>
      </w:tr>
      <w:tr w:rsidR="00212513">
        <w:tc>
          <w:tcPr>
            <w:tcW w:w="2154" w:type="dxa"/>
          </w:tcPr>
          <w:p w:rsidR="00212513" w:rsidRDefault="00212513">
            <w:pPr>
              <w:pStyle w:val="ConsPlusNormal"/>
            </w:pPr>
            <w:r>
              <w:t>Коэффициент </w:t>
            </w:r>
            <w:r>
              <w:rPr>
                <w:noProof/>
                <w:position w:val="-9"/>
              </w:rPr>
              <w:drawing>
                <wp:inline distT="0" distB="0" distL="0" distR="0">
                  <wp:extent cx="220345" cy="261620"/>
                  <wp:effectExtent l="0" t="0" r="0" b="0"/>
                  <wp:docPr id="2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1"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p>
        </w:tc>
        <w:tc>
          <w:tcPr>
            <w:tcW w:w="1152" w:type="dxa"/>
          </w:tcPr>
          <w:p w:rsidR="00212513" w:rsidRDefault="00212513">
            <w:pPr>
              <w:pStyle w:val="ConsPlusNormal"/>
              <w:jc w:val="center"/>
            </w:pPr>
            <w:r>
              <w:t>1</w:t>
            </w:r>
          </w:p>
        </w:tc>
        <w:tc>
          <w:tcPr>
            <w:tcW w:w="1152" w:type="dxa"/>
          </w:tcPr>
          <w:p w:rsidR="00212513" w:rsidRDefault="00212513">
            <w:pPr>
              <w:pStyle w:val="ConsPlusNormal"/>
              <w:jc w:val="center"/>
            </w:pPr>
            <w:r>
              <w:t>0,99</w:t>
            </w:r>
          </w:p>
        </w:tc>
        <w:tc>
          <w:tcPr>
            <w:tcW w:w="1152" w:type="dxa"/>
          </w:tcPr>
          <w:p w:rsidR="00212513" w:rsidRDefault="00212513">
            <w:pPr>
              <w:pStyle w:val="ConsPlusNormal"/>
              <w:jc w:val="center"/>
            </w:pPr>
            <w:r>
              <w:t>0,98</w:t>
            </w:r>
          </w:p>
        </w:tc>
        <w:tc>
          <w:tcPr>
            <w:tcW w:w="1152" w:type="dxa"/>
          </w:tcPr>
          <w:p w:rsidR="00212513" w:rsidRDefault="00212513">
            <w:pPr>
              <w:pStyle w:val="ConsPlusNormal"/>
              <w:jc w:val="center"/>
            </w:pPr>
            <w:r>
              <w:t>0,96</w:t>
            </w:r>
          </w:p>
        </w:tc>
        <w:tc>
          <w:tcPr>
            <w:tcW w:w="1152" w:type="dxa"/>
          </w:tcPr>
          <w:p w:rsidR="00212513" w:rsidRDefault="00212513">
            <w:pPr>
              <w:pStyle w:val="ConsPlusNormal"/>
              <w:jc w:val="center"/>
            </w:pPr>
            <w:r>
              <w:t>0,93</w:t>
            </w:r>
          </w:p>
        </w:tc>
        <w:tc>
          <w:tcPr>
            <w:tcW w:w="1154" w:type="dxa"/>
          </w:tcPr>
          <w:p w:rsidR="00212513" w:rsidRDefault="00212513">
            <w:pPr>
              <w:pStyle w:val="ConsPlusNormal"/>
              <w:jc w:val="center"/>
            </w:pPr>
            <w:r>
              <w:t>0,85</w:t>
            </w:r>
          </w:p>
        </w:tc>
      </w:tr>
    </w:tbl>
    <w:p w:rsidR="00212513" w:rsidRDefault="00212513">
      <w:pPr>
        <w:pStyle w:val="ConsPlusNormal"/>
        <w:ind w:firstLine="540"/>
        <w:jc w:val="both"/>
      </w:pPr>
    </w:p>
    <w:p w:rsidR="00212513" w:rsidRDefault="00212513">
      <w:pPr>
        <w:pStyle w:val="ConsPlusNormal"/>
        <w:ind w:firstLine="540"/>
        <w:jc w:val="both"/>
      </w:pPr>
      <w:r>
        <w:t xml:space="preserve">У.2 Величину коэффициента условий работы </w:t>
      </w:r>
      <w:r>
        <w:rPr>
          <w:noProof/>
          <w:position w:val="-9"/>
        </w:rPr>
        <w:drawing>
          <wp:inline distT="0" distB="0" distL="0" distR="0">
            <wp:extent cx="220345" cy="261620"/>
            <wp:effectExtent l="0" t="0" r="0" b="0"/>
            <wp:docPr id="2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1"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при закреплении канатов в концевых анкерах следует принимать:</w:t>
      </w:r>
    </w:p>
    <w:p w:rsidR="00212513" w:rsidRDefault="00212513">
      <w:pPr>
        <w:pStyle w:val="ConsPlusNormal"/>
        <w:spacing w:before="220"/>
        <w:ind w:firstLine="540"/>
        <w:jc w:val="both"/>
      </w:pPr>
      <w:r>
        <w:t xml:space="preserve">при заливке конца каната в конической или цилиндрической полости корпуса сплавом цветных металлов на длине не менее 5 диаметров каната - </w:t>
      </w:r>
      <w:r>
        <w:rPr>
          <w:noProof/>
          <w:position w:val="-9"/>
        </w:rPr>
        <w:drawing>
          <wp:inline distT="0" distB="0" distL="0" distR="0">
            <wp:extent cx="684530" cy="261620"/>
            <wp:effectExtent l="0" t="0" r="0" b="0"/>
            <wp:docPr id="2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0" cstate="print">
                      <a:extLst>
                        <a:ext uri="{28A0092B-C50C-407E-A947-70E740481C1C}">
                          <a14:useLocalDpi xmlns:a14="http://schemas.microsoft.com/office/drawing/2010/main" val="0"/>
                        </a:ext>
                      </a:extLst>
                    </a:blip>
                    <a:srcRect/>
                    <a:stretch>
                      <a:fillRect/>
                    </a:stretch>
                  </pic:blipFill>
                  <pic:spPr bwMode="auto">
                    <a:xfrm>
                      <a:off x="0" y="0"/>
                      <a:ext cx="684530" cy="261620"/>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при заливке конца каната в конической полости корпуса эпоксидным компаундом на длине не менее 4 диаметров каната - </w:t>
      </w:r>
      <w:r>
        <w:rPr>
          <w:noProof/>
          <w:position w:val="-9"/>
        </w:rPr>
        <w:drawing>
          <wp:inline distT="0" distB="0" distL="0" distR="0">
            <wp:extent cx="441960" cy="261620"/>
            <wp:effectExtent l="0" t="0" r="0" b="0"/>
            <wp:docPr id="2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4" cstate="print">
                      <a:extLst>
                        <a:ext uri="{28A0092B-C50C-407E-A947-70E740481C1C}">
                          <a14:useLocalDpi xmlns:a14="http://schemas.microsoft.com/office/drawing/2010/main" val="0"/>
                        </a:ext>
                      </a:extLst>
                    </a:blip>
                    <a:srcRect/>
                    <a:stretch>
                      <a:fillRect/>
                    </a:stretch>
                  </pic:blipFill>
                  <pic:spPr bwMode="auto">
                    <a:xfrm>
                      <a:off x="0" y="0"/>
                      <a:ext cx="441960" cy="261620"/>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при клиновых анкерах, применении алюминиевых прокладок и заполнении пустот эпоксидным компаундом - </w:t>
      </w:r>
      <w:r>
        <w:rPr>
          <w:noProof/>
          <w:position w:val="-9"/>
        </w:rPr>
        <w:drawing>
          <wp:inline distT="0" distB="0" distL="0" distR="0">
            <wp:extent cx="450215" cy="261620"/>
            <wp:effectExtent l="0" t="0" r="0" b="0"/>
            <wp:docPr id="2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4" cstate="print">
                      <a:extLst>
                        <a:ext uri="{28A0092B-C50C-407E-A947-70E740481C1C}">
                          <a14:useLocalDpi xmlns:a14="http://schemas.microsoft.com/office/drawing/2010/main" val="0"/>
                        </a:ext>
                      </a:extLst>
                    </a:blip>
                    <a:srcRect/>
                    <a:stretch>
                      <a:fillRect/>
                    </a:stretch>
                  </pic:blipFill>
                  <pic:spPr bwMode="auto">
                    <a:xfrm>
                      <a:off x="0" y="0"/>
                      <a:ext cx="450215" cy="261620"/>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в анкере со сплющиванием концов круглых проволок, защемлением их в анкерной плите и заполнением пустот эпоксидным компаундом с наполнителем из стальной дроби - </w:t>
      </w:r>
      <w:r>
        <w:rPr>
          <w:noProof/>
          <w:position w:val="-9"/>
        </w:rPr>
        <w:drawing>
          <wp:inline distT="0" distB="0" distL="0" distR="0">
            <wp:extent cx="450215" cy="261620"/>
            <wp:effectExtent l="0" t="0" r="0" b="0"/>
            <wp:docPr id="2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4" cstate="print">
                      <a:extLst>
                        <a:ext uri="{28A0092B-C50C-407E-A947-70E740481C1C}">
                          <a14:useLocalDpi xmlns:a14="http://schemas.microsoft.com/office/drawing/2010/main" val="0"/>
                        </a:ext>
                      </a:extLst>
                    </a:blip>
                    <a:srcRect/>
                    <a:stretch>
                      <a:fillRect/>
                    </a:stretch>
                  </pic:blipFill>
                  <pic:spPr bwMode="auto">
                    <a:xfrm>
                      <a:off x="0" y="0"/>
                      <a:ext cx="450215" cy="261620"/>
                    </a:xfrm>
                    <a:prstGeom prst="rect">
                      <a:avLst/>
                    </a:prstGeom>
                    <a:noFill/>
                    <a:ln>
                      <a:noFill/>
                    </a:ln>
                  </pic:spPr>
                </pic:pic>
              </a:graphicData>
            </a:graphic>
          </wp:inline>
        </w:drawing>
      </w:r>
      <w:r>
        <w:t>.</w:t>
      </w: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jc w:val="right"/>
        <w:outlineLvl w:val="0"/>
      </w:pPr>
      <w:r>
        <w:rPr>
          <w:b/>
        </w:rPr>
        <w:t>Приложение Ф</w:t>
      </w:r>
    </w:p>
    <w:p w:rsidR="00212513" w:rsidRDefault="00212513">
      <w:pPr>
        <w:pStyle w:val="ConsPlusNormal"/>
        <w:jc w:val="right"/>
      </w:pPr>
      <w:r>
        <w:rPr>
          <w:b/>
        </w:rPr>
        <w:t>(обязательное)</w:t>
      </w:r>
    </w:p>
    <w:p w:rsidR="00212513" w:rsidRDefault="00212513">
      <w:pPr>
        <w:pStyle w:val="ConsPlusNormal"/>
        <w:ind w:firstLine="540"/>
        <w:jc w:val="both"/>
      </w:pPr>
    </w:p>
    <w:p w:rsidR="00212513" w:rsidRDefault="00212513">
      <w:pPr>
        <w:pStyle w:val="ConsPlusTitle"/>
        <w:jc w:val="center"/>
      </w:pPr>
      <w:bookmarkStart w:id="519" w:name="P14779"/>
      <w:bookmarkEnd w:id="519"/>
      <w:r>
        <w:t>КОЭФФИЦИЕНТЫ ДЛЯ РАСЧЕТА ПО УСТОЙЧИВОСТИ СТЕРЖНЕЙ И БАЛОК</w:t>
      </w:r>
    </w:p>
    <w:p w:rsidR="00212513" w:rsidRDefault="00212513">
      <w:pPr>
        <w:pStyle w:val="ConsPlusNormal"/>
        <w:ind w:firstLine="540"/>
        <w:jc w:val="both"/>
      </w:pPr>
    </w:p>
    <w:p w:rsidR="00212513" w:rsidRDefault="00212513">
      <w:pPr>
        <w:pStyle w:val="ConsPlusNormal"/>
        <w:jc w:val="right"/>
      </w:pPr>
      <w:bookmarkStart w:id="520" w:name="P14781"/>
      <w:bookmarkEnd w:id="520"/>
      <w:r>
        <w:t>Таблица Ф.1</w:t>
      </w:r>
    </w:p>
    <w:p w:rsidR="00212513" w:rsidRDefault="00212513">
      <w:pPr>
        <w:pStyle w:val="ConsPlusNormal"/>
        <w:ind w:firstLine="540"/>
        <w:jc w:val="both"/>
      </w:pPr>
    </w:p>
    <w:p w:rsidR="00212513" w:rsidRDefault="00212513">
      <w:pPr>
        <w:pStyle w:val="ConsPlusNormal"/>
        <w:sectPr w:rsidR="00212513">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958"/>
        <w:gridCol w:w="958"/>
        <w:gridCol w:w="958"/>
        <w:gridCol w:w="958"/>
        <w:gridCol w:w="958"/>
        <w:gridCol w:w="958"/>
        <w:gridCol w:w="958"/>
        <w:gridCol w:w="958"/>
        <w:gridCol w:w="958"/>
        <w:gridCol w:w="958"/>
        <w:gridCol w:w="958"/>
        <w:gridCol w:w="958"/>
        <w:gridCol w:w="958"/>
      </w:tblGrid>
      <w:tr w:rsidR="00212513">
        <w:tc>
          <w:tcPr>
            <w:tcW w:w="1134" w:type="dxa"/>
            <w:vMerge w:val="restart"/>
            <w:tcBorders>
              <w:top w:val="single" w:sz="4" w:space="0" w:color="auto"/>
              <w:bottom w:val="single" w:sz="4" w:space="0" w:color="auto"/>
            </w:tcBorders>
            <w:vAlign w:val="center"/>
          </w:tcPr>
          <w:p w:rsidR="00212513" w:rsidRDefault="00212513">
            <w:pPr>
              <w:pStyle w:val="ConsPlusNormal"/>
              <w:jc w:val="center"/>
            </w:pPr>
            <w:r>
              <w:lastRenderedPageBreak/>
              <w:t xml:space="preserve">Гибкость </w:t>
            </w:r>
            <w:r>
              <w:rPr>
                <w:noProof/>
                <w:position w:val="-4"/>
              </w:rPr>
              <w:drawing>
                <wp:inline distT="0" distB="0" distL="0" distR="0">
                  <wp:extent cx="157480" cy="199390"/>
                  <wp:effectExtent l="0" t="0" r="0" b="0"/>
                  <wp:docPr id="2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1"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r>
              <w:t xml:space="preserve">, </w:t>
            </w:r>
            <w:r>
              <w:rPr>
                <w:noProof/>
                <w:position w:val="-8"/>
              </w:rPr>
              <w:drawing>
                <wp:inline distT="0" distB="0" distL="0" distR="0">
                  <wp:extent cx="199390" cy="251460"/>
                  <wp:effectExtent l="0" t="0" r="0" b="0"/>
                  <wp:docPr id="2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2"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w:t>
            </w:r>
            <w:r>
              <w:rPr>
                <w:noProof/>
                <w:position w:val="-9"/>
              </w:rPr>
              <w:drawing>
                <wp:inline distT="0" distB="0" distL="0" distR="0">
                  <wp:extent cx="199390" cy="262255"/>
                  <wp:effectExtent l="0" t="0" r="0" b="0"/>
                  <wp:docPr id="2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w:t>
            </w:r>
            <w:r>
              <w:rPr>
                <w:noProof/>
                <w:position w:val="-9"/>
              </w:rPr>
              <w:drawing>
                <wp:inline distT="0" distB="0" distL="0" distR="0">
                  <wp:extent cx="241300" cy="262255"/>
                  <wp:effectExtent l="0" t="0" r="0" b="0"/>
                  <wp:docPr id="2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4" cstate="print">
                            <a:extLst>
                              <a:ext uri="{28A0092B-C50C-407E-A947-70E740481C1C}">
                                <a14:useLocalDpi xmlns:a14="http://schemas.microsoft.com/office/drawing/2010/main" val="0"/>
                              </a:ext>
                            </a:extLst>
                          </a:blip>
                          <a:srcRect/>
                          <a:stretch>
                            <a:fillRect/>
                          </a:stretch>
                        </pic:blipFill>
                        <pic:spPr bwMode="auto">
                          <a:xfrm>
                            <a:off x="0" y="0"/>
                            <a:ext cx="241300" cy="262255"/>
                          </a:xfrm>
                          <a:prstGeom prst="rect">
                            <a:avLst/>
                          </a:prstGeom>
                          <a:noFill/>
                          <a:ln>
                            <a:noFill/>
                          </a:ln>
                        </pic:spPr>
                      </pic:pic>
                    </a:graphicData>
                  </a:graphic>
                </wp:inline>
              </w:drawing>
            </w:r>
          </w:p>
        </w:tc>
        <w:tc>
          <w:tcPr>
            <w:tcW w:w="12454" w:type="dxa"/>
            <w:gridSpan w:val="13"/>
            <w:tcBorders>
              <w:top w:val="single" w:sz="4" w:space="0" w:color="auto"/>
              <w:bottom w:val="single" w:sz="4" w:space="0" w:color="auto"/>
            </w:tcBorders>
            <w:vAlign w:val="center"/>
          </w:tcPr>
          <w:p w:rsidR="00212513" w:rsidRDefault="00212513">
            <w:pPr>
              <w:pStyle w:val="ConsPlusNormal"/>
              <w:jc w:val="center"/>
            </w:pPr>
            <w:r>
              <w:t xml:space="preserve">Коэффициенты </w:t>
            </w:r>
            <w:r>
              <w:rPr>
                <w:noProof/>
                <w:position w:val="-3"/>
              </w:rPr>
              <w:drawing>
                <wp:inline distT="0" distB="0" distL="0" distR="0">
                  <wp:extent cx="157480" cy="178435"/>
                  <wp:effectExtent l="0" t="0" r="0" b="0"/>
                  <wp:docPr id="2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5" cstate="print">
                            <a:extLst>
                              <a:ext uri="{28A0092B-C50C-407E-A947-70E740481C1C}">
                                <a14:useLocalDpi xmlns:a14="http://schemas.microsoft.com/office/drawing/2010/main" val="0"/>
                              </a:ext>
                            </a:extLst>
                          </a:blip>
                          <a:srcRect/>
                          <a:stretch>
                            <a:fillRect/>
                          </a:stretch>
                        </pic:blipFill>
                        <pic:spPr bwMode="auto">
                          <a:xfrm>
                            <a:off x="0" y="0"/>
                            <a:ext cx="157480" cy="178435"/>
                          </a:xfrm>
                          <a:prstGeom prst="rect">
                            <a:avLst/>
                          </a:prstGeom>
                          <a:noFill/>
                          <a:ln>
                            <a:noFill/>
                          </a:ln>
                        </pic:spPr>
                      </pic:pic>
                    </a:graphicData>
                  </a:graphic>
                </wp:inline>
              </w:drawing>
            </w:r>
            <w:r>
              <w:t xml:space="preserve">, </w:t>
            </w:r>
            <w:r>
              <w:rPr>
                <w:noProof/>
                <w:position w:val="-8"/>
              </w:rPr>
              <w:drawing>
                <wp:inline distT="0" distB="0" distL="0" distR="0">
                  <wp:extent cx="199390" cy="251460"/>
                  <wp:effectExtent l="0" t="0" r="0" b="0"/>
                  <wp:docPr id="2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6"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w:t>
            </w:r>
            <w:r>
              <w:rPr>
                <w:noProof/>
                <w:position w:val="-8"/>
              </w:rPr>
              <w:drawing>
                <wp:inline distT="0" distB="0" distL="0" distR="0">
                  <wp:extent cx="199390" cy="251460"/>
                  <wp:effectExtent l="0" t="0" r="0" b="0"/>
                  <wp:docPr id="2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7"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для расчета по устойчивости стержней и балок из стали с классом прочности С235 по </w:t>
            </w:r>
            <w:hyperlink r:id="rId3458">
              <w:r>
                <w:rPr>
                  <w:color w:val="0000FF"/>
                </w:rPr>
                <w:t>ГОСТ 6713</w:t>
              </w:r>
            </w:hyperlink>
            <w:r>
              <w:t xml:space="preserve"> и </w:t>
            </w:r>
            <w:hyperlink r:id="rId3459">
              <w:r>
                <w:rPr>
                  <w:color w:val="0000FF"/>
                </w:rPr>
                <w:t>ГОСТ 14637</w:t>
              </w:r>
            </w:hyperlink>
            <w:r>
              <w:t xml:space="preserve">, </w:t>
            </w:r>
            <w:hyperlink r:id="rId3460">
              <w:r>
                <w:rPr>
                  <w:color w:val="0000FF"/>
                </w:rPr>
                <w:t>ГОСТ 535</w:t>
              </w:r>
            </w:hyperlink>
            <w:r>
              <w:t xml:space="preserve"> при приведенном относительном эксцентриситете </w:t>
            </w:r>
            <w:r>
              <w:rPr>
                <w:noProof/>
                <w:position w:val="-9"/>
              </w:rPr>
              <w:drawing>
                <wp:inline distT="0" distB="0" distL="0" distR="0">
                  <wp:extent cx="209550" cy="262255"/>
                  <wp:effectExtent l="0" t="0" r="0" b="0"/>
                  <wp:docPr id="2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1" cstate="print">
                            <a:extLst>
                              <a:ext uri="{28A0092B-C50C-407E-A947-70E740481C1C}">
                                <a14:useLocalDpi xmlns:a14="http://schemas.microsoft.com/office/drawing/2010/main" val="0"/>
                              </a:ext>
                            </a:extLst>
                          </a:blip>
                          <a:srcRect/>
                          <a:stretch>
                            <a:fillRect/>
                          </a:stretch>
                        </pic:blipFill>
                        <pic:spPr bwMode="auto">
                          <a:xfrm>
                            <a:off x="0" y="0"/>
                            <a:ext cx="209550" cy="262255"/>
                          </a:xfrm>
                          <a:prstGeom prst="rect">
                            <a:avLst/>
                          </a:prstGeom>
                          <a:noFill/>
                          <a:ln>
                            <a:noFill/>
                          </a:ln>
                        </pic:spPr>
                      </pic:pic>
                    </a:graphicData>
                  </a:graphic>
                </wp:inline>
              </w:drawing>
            </w:r>
          </w:p>
        </w:tc>
      </w:tr>
      <w:tr w:rsidR="00212513">
        <w:tc>
          <w:tcPr>
            <w:tcW w:w="1134" w:type="dxa"/>
            <w:vMerge/>
            <w:tcBorders>
              <w:top w:val="single" w:sz="4" w:space="0" w:color="auto"/>
              <w:bottom w:val="single" w:sz="4" w:space="0" w:color="auto"/>
            </w:tcBorders>
          </w:tcPr>
          <w:p w:rsidR="00212513" w:rsidRDefault="00212513">
            <w:pPr>
              <w:pStyle w:val="ConsPlusNormal"/>
            </w:pPr>
          </w:p>
        </w:tc>
        <w:tc>
          <w:tcPr>
            <w:tcW w:w="958" w:type="dxa"/>
            <w:tcBorders>
              <w:top w:val="single" w:sz="4" w:space="0" w:color="auto"/>
              <w:bottom w:val="single" w:sz="4" w:space="0" w:color="auto"/>
            </w:tcBorders>
            <w:vAlign w:val="center"/>
          </w:tcPr>
          <w:p w:rsidR="00212513" w:rsidRDefault="00212513">
            <w:pPr>
              <w:pStyle w:val="ConsPlusNormal"/>
              <w:jc w:val="center"/>
            </w:pPr>
            <w:r>
              <w:t>0</w:t>
            </w:r>
          </w:p>
        </w:tc>
        <w:tc>
          <w:tcPr>
            <w:tcW w:w="958" w:type="dxa"/>
            <w:tcBorders>
              <w:top w:val="single" w:sz="4" w:space="0" w:color="auto"/>
              <w:bottom w:val="single" w:sz="4" w:space="0" w:color="auto"/>
            </w:tcBorders>
            <w:vAlign w:val="center"/>
          </w:tcPr>
          <w:p w:rsidR="00212513" w:rsidRDefault="00212513">
            <w:pPr>
              <w:pStyle w:val="ConsPlusNormal"/>
              <w:jc w:val="center"/>
            </w:pPr>
            <w:r>
              <w:t>0,10</w:t>
            </w:r>
          </w:p>
        </w:tc>
        <w:tc>
          <w:tcPr>
            <w:tcW w:w="958" w:type="dxa"/>
            <w:tcBorders>
              <w:top w:val="single" w:sz="4" w:space="0" w:color="auto"/>
              <w:bottom w:val="single" w:sz="4" w:space="0" w:color="auto"/>
            </w:tcBorders>
            <w:vAlign w:val="center"/>
          </w:tcPr>
          <w:p w:rsidR="00212513" w:rsidRDefault="00212513">
            <w:pPr>
              <w:pStyle w:val="ConsPlusNormal"/>
              <w:jc w:val="center"/>
            </w:pPr>
            <w:r>
              <w:t>0,25</w:t>
            </w:r>
          </w:p>
        </w:tc>
        <w:tc>
          <w:tcPr>
            <w:tcW w:w="958" w:type="dxa"/>
            <w:tcBorders>
              <w:top w:val="single" w:sz="4" w:space="0" w:color="auto"/>
              <w:bottom w:val="single" w:sz="4" w:space="0" w:color="auto"/>
            </w:tcBorders>
            <w:vAlign w:val="center"/>
          </w:tcPr>
          <w:p w:rsidR="00212513" w:rsidRDefault="00212513">
            <w:pPr>
              <w:pStyle w:val="ConsPlusNormal"/>
              <w:jc w:val="center"/>
            </w:pPr>
            <w:r>
              <w:t>0,50</w:t>
            </w:r>
          </w:p>
        </w:tc>
        <w:tc>
          <w:tcPr>
            <w:tcW w:w="958" w:type="dxa"/>
            <w:tcBorders>
              <w:top w:val="single" w:sz="4" w:space="0" w:color="auto"/>
              <w:bottom w:val="single" w:sz="4" w:space="0" w:color="auto"/>
            </w:tcBorders>
            <w:vAlign w:val="center"/>
          </w:tcPr>
          <w:p w:rsidR="00212513" w:rsidRDefault="00212513">
            <w:pPr>
              <w:pStyle w:val="ConsPlusNormal"/>
              <w:jc w:val="center"/>
            </w:pPr>
            <w:r>
              <w:t>0,75</w:t>
            </w:r>
          </w:p>
        </w:tc>
        <w:tc>
          <w:tcPr>
            <w:tcW w:w="958" w:type="dxa"/>
            <w:tcBorders>
              <w:top w:val="single" w:sz="4" w:space="0" w:color="auto"/>
              <w:bottom w:val="single" w:sz="4" w:space="0" w:color="auto"/>
            </w:tcBorders>
            <w:vAlign w:val="center"/>
          </w:tcPr>
          <w:p w:rsidR="00212513" w:rsidRDefault="00212513">
            <w:pPr>
              <w:pStyle w:val="ConsPlusNormal"/>
              <w:jc w:val="center"/>
            </w:pPr>
            <w:r>
              <w:t>1,00</w:t>
            </w:r>
          </w:p>
        </w:tc>
        <w:tc>
          <w:tcPr>
            <w:tcW w:w="958" w:type="dxa"/>
            <w:tcBorders>
              <w:top w:val="single" w:sz="4" w:space="0" w:color="auto"/>
              <w:bottom w:val="single" w:sz="4" w:space="0" w:color="auto"/>
            </w:tcBorders>
            <w:vAlign w:val="center"/>
          </w:tcPr>
          <w:p w:rsidR="00212513" w:rsidRDefault="00212513">
            <w:pPr>
              <w:pStyle w:val="ConsPlusNormal"/>
              <w:jc w:val="center"/>
            </w:pPr>
            <w:r>
              <w:t>1,50</w:t>
            </w:r>
          </w:p>
        </w:tc>
        <w:tc>
          <w:tcPr>
            <w:tcW w:w="958" w:type="dxa"/>
            <w:tcBorders>
              <w:top w:val="single" w:sz="4" w:space="0" w:color="auto"/>
              <w:bottom w:val="single" w:sz="4" w:space="0" w:color="auto"/>
            </w:tcBorders>
            <w:vAlign w:val="center"/>
          </w:tcPr>
          <w:p w:rsidR="00212513" w:rsidRDefault="00212513">
            <w:pPr>
              <w:pStyle w:val="ConsPlusNormal"/>
              <w:jc w:val="center"/>
            </w:pPr>
            <w:r>
              <w:t>2,00</w:t>
            </w:r>
          </w:p>
        </w:tc>
        <w:tc>
          <w:tcPr>
            <w:tcW w:w="958" w:type="dxa"/>
            <w:tcBorders>
              <w:top w:val="single" w:sz="4" w:space="0" w:color="auto"/>
              <w:bottom w:val="single" w:sz="4" w:space="0" w:color="auto"/>
            </w:tcBorders>
            <w:vAlign w:val="center"/>
          </w:tcPr>
          <w:p w:rsidR="00212513" w:rsidRDefault="00212513">
            <w:pPr>
              <w:pStyle w:val="ConsPlusNormal"/>
              <w:jc w:val="center"/>
            </w:pPr>
            <w:r>
              <w:t>2,50</w:t>
            </w:r>
          </w:p>
        </w:tc>
        <w:tc>
          <w:tcPr>
            <w:tcW w:w="958" w:type="dxa"/>
            <w:tcBorders>
              <w:top w:val="single" w:sz="4" w:space="0" w:color="auto"/>
              <w:bottom w:val="single" w:sz="4" w:space="0" w:color="auto"/>
            </w:tcBorders>
            <w:vAlign w:val="center"/>
          </w:tcPr>
          <w:p w:rsidR="00212513" w:rsidRDefault="00212513">
            <w:pPr>
              <w:pStyle w:val="ConsPlusNormal"/>
              <w:jc w:val="center"/>
            </w:pPr>
            <w:r>
              <w:t>3,00</w:t>
            </w:r>
          </w:p>
        </w:tc>
        <w:tc>
          <w:tcPr>
            <w:tcW w:w="958" w:type="dxa"/>
            <w:tcBorders>
              <w:top w:val="single" w:sz="4" w:space="0" w:color="auto"/>
              <w:bottom w:val="single" w:sz="4" w:space="0" w:color="auto"/>
            </w:tcBorders>
            <w:vAlign w:val="center"/>
          </w:tcPr>
          <w:p w:rsidR="00212513" w:rsidRDefault="00212513">
            <w:pPr>
              <w:pStyle w:val="ConsPlusNormal"/>
              <w:jc w:val="center"/>
            </w:pPr>
            <w:r>
              <w:t>3,50</w:t>
            </w:r>
          </w:p>
        </w:tc>
        <w:tc>
          <w:tcPr>
            <w:tcW w:w="958" w:type="dxa"/>
            <w:tcBorders>
              <w:top w:val="single" w:sz="4" w:space="0" w:color="auto"/>
              <w:bottom w:val="single" w:sz="4" w:space="0" w:color="auto"/>
            </w:tcBorders>
            <w:vAlign w:val="center"/>
          </w:tcPr>
          <w:p w:rsidR="00212513" w:rsidRDefault="00212513">
            <w:pPr>
              <w:pStyle w:val="ConsPlusNormal"/>
              <w:jc w:val="center"/>
            </w:pPr>
            <w:r>
              <w:t>4,00</w:t>
            </w:r>
          </w:p>
        </w:tc>
        <w:tc>
          <w:tcPr>
            <w:tcW w:w="958" w:type="dxa"/>
            <w:tcBorders>
              <w:top w:val="single" w:sz="4" w:space="0" w:color="auto"/>
              <w:bottom w:val="single" w:sz="4" w:space="0" w:color="auto"/>
            </w:tcBorders>
            <w:vAlign w:val="center"/>
          </w:tcPr>
          <w:p w:rsidR="00212513" w:rsidRDefault="00212513">
            <w:pPr>
              <w:pStyle w:val="ConsPlusNormal"/>
              <w:jc w:val="center"/>
            </w:pPr>
            <w:r>
              <w:t>5,00</w:t>
            </w:r>
          </w:p>
        </w:tc>
      </w:tr>
      <w:tr w:rsidR="00212513">
        <w:tblPrEx>
          <w:tblBorders>
            <w:insideH w:val="none" w:sz="0" w:space="0" w:color="auto"/>
          </w:tblBorders>
        </w:tblPrEx>
        <w:tc>
          <w:tcPr>
            <w:tcW w:w="1134" w:type="dxa"/>
            <w:tcBorders>
              <w:top w:val="single" w:sz="4" w:space="0" w:color="auto"/>
              <w:bottom w:val="nil"/>
            </w:tcBorders>
          </w:tcPr>
          <w:p w:rsidR="00212513" w:rsidRDefault="00212513">
            <w:pPr>
              <w:pStyle w:val="ConsPlusNormal"/>
              <w:jc w:val="center"/>
            </w:pPr>
            <w:r>
              <w:t>0</w:t>
            </w:r>
          </w:p>
        </w:tc>
        <w:tc>
          <w:tcPr>
            <w:tcW w:w="958" w:type="dxa"/>
            <w:tcBorders>
              <w:top w:val="single" w:sz="4" w:space="0" w:color="auto"/>
              <w:bottom w:val="nil"/>
            </w:tcBorders>
          </w:tcPr>
          <w:p w:rsidR="00212513" w:rsidRDefault="00212513">
            <w:pPr>
              <w:pStyle w:val="ConsPlusNormal"/>
              <w:jc w:val="center"/>
            </w:pPr>
            <w:r>
              <w:t>0,93</w:t>
            </w:r>
          </w:p>
        </w:tc>
        <w:tc>
          <w:tcPr>
            <w:tcW w:w="958" w:type="dxa"/>
            <w:tcBorders>
              <w:top w:val="single" w:sz="4" w:space="0" w:color="auto"/>
              <w:bottom w:val="nil"/>
            </w:tcBorders>
          </w:tcPr>
          <w:p w:rsidR="00212513" w:rsidRDefault="00212513">
            <w:pPr>
              <w:pStyle w:val="ConsPlusNormal"/>
              <w:jc w:val="center"/>
            </w:pPr>
            <w:r>
              <w:t>0,85</w:t>
            </w:r>
          </w:p>
        </w:tc>
        <w:tc>
          <w:tcPr>
            <w:tcW w:w="958" w:type="dxa"/>
            <w:tcBorders>
              <w:top w:val="single" w:sz="4" w:space="0" w:color="auto"/>
              <w:bottom w:val="nil"/>
            </w:tcBorders>
          </w:tcPr>
          <w:p w:rsidR="00212513" w:rsidRDefault="00212513">
            <w:pPr>
              <w:pStyle w:val="ConsPlusNormal"/>
              <w:jc w:val="center"/>
            </w:pPr>
            <w:r>
              <w:t>0,79</w:t>
            </w:r>
          </w:p>
        </w:tc>
        <w:tc>
          <w:tcPr>
            <w:tcW w:w="958" w:type="dxa"/>
            <w:tcBorders>
              <w:top w:val="single" w:sz="4" w:space="0" w:color="auto"/>
              <w:bottom w:val="nil"/>
            </w:tcBorders>
          </w:tcPr>
          <w:p w:rsidR="00212513" w:rsidRDefault="00212513">
            <w:pPr>
              <w:pStyle w:val="ConsPlusNormal"/>
              <w:jc w:val="center"/>
            </w:pPr>
            <w:r>
              <w:t>0,68</w:t>
            </w:r>
          </w:p>
        </w:tc>
        <w:tc>
          <w:tcPr>
            <w:tcW w:w="958" w:type="dxa"/>
            <w:tcBorders>
              <w:top w:val="single" w:sz="4" w:space="0" w:color="auto"/>
              <w:bottom w:val="nil"/>
            </w:tcBorders>
          </w:tcPr>
          <w:p w:rsidR="00212513" w:rsidRDefault="00212513">
            <w:pPr>
              <w:pStyle w:val="ConsPlusNormal"/>
              <w:jc w:val="center"/>
            </w:pPr>
            <w:r>
              <w:t>0,60 (0,58)</w:t>
            </w:r>
          </w:p>
        </w:tc>
        <w:tc>
          <w:tcPr>
            <w:tcW w:w="958" w:type="dxa"/>
            <w:tcBorders>
              <w:top w:val="single" w:sz="4" w:space="0" w:color="auto"/>
              <w:bottom w:val="nil"/>
            </w:tcBorders>
          </w:tcPr>
          <w:p w:rsidR="00212513" w:rsidRDefault="00212513">
            <w:pPr>
              <w:pStyle w:val="ConsPlusNormal"/>
              <w:jc w:val="center"/>
            </w:pPr>
            <w:r>
              <w:t>0,52 (0,50)</w:t>
            </w:r>
          </w:p>
        </w:tc>
        <w:tc>
          <w:tcPr>
            <w:tcW w:w="958" w:type="dxa"/>
            <w:tcBorders>
              <w:top w:val="single" w:sz="4" w:space="0" w:color="auto"/>
              <w:bottom w:val="nil"/>
            </w:tcBorders>
          </w:tcPr>
          <w:p w:rsidR="00212513" w:rsidRDefault="00212513">
            <w:pPr>
              <w:pStyle w:val="ConsPlusNormal"/>
              <w:jc w:val="center"/>
            </w:pPr>
            <w:r>
              <w:t>0,43 (0,41)</w:t>
            </w:r>
          </w:p>
        </w:tc>
        <w:tc>
          <w:tcPr>
            <w:tcW w:w="958" w:type="dxa"/>
            <w:tcBorders>
              <w:top w:val="single" w:sz="4" w:space="0" w:color="auto"/>
              <w:bottom w:val="nil"/>
            </w:tcBorders>
          </w:tcPr>
          <w:p w:rsidR="00212513" w:rsidRDefault="00212513">
            <w:pPr>
              <w:pStyle w:val="ConsPlusNormal"/>
              <w:jc w:val="center"/>
            </w:pPr>
            <w:r>
              <w:t>0,35</w:t>
            </w:r>
          </w:p>
        </w:tc>
        <w:tc>
          <w:tcPr>
            <w:tcW w:w="958" w:type="dxa"/>
            <w:tcBorders>
              <w:top w:val="single" w:sz="4" w:space="0" w:color="auto"/>
              <w:bottom w:val="nil"/>
            </w:tcBorders>
          </w:tcPr>
          <w:p w:rsidR="00212513" w:rsidRDefault="00212513">
            <w:pPr>
              <w:pStyle w:val="ConsPlusNormal"/>
              <w:jc w:val="center"/>
            </w:pPr>
            <w:r>
              <w:t>0,30</w:t>
            </w:r>
          </w:p>
        </w:tc>
        <w:tc>
          <w:tcPr>
            <w:tcW w:w="958" w:type="dxa"/>
            <w:tcBorders>
              <w:top w:val="single" w:sz="4" w:space="0" w:color="auto"/>
              <w:bottom w:val="nil"/>
            </w:tcBorders>
          </w:tcPr>
          <w:p w:rsidR="00212513" w:rsidRDefault="00212513">
            <w:pPr>
              <w:pStyle w:val="ConsPlusNormal"/>
              <w:jc w:val="center"/>
            </w:pPr>
            <w:r>
              <w:t>0,27</w:t>
            </w:r>
          </w:p>
        </w:tc>
        <w:tc>
          <w:tcPr>
            <w:tcW w:w="958" w:type="dxa"/>
            <w:tcBorders>
              <w:top w:val="single" w:sz="4" w:space="0" w:color="auto"/>
              <w:bottom w:val="nil"/>
            </w:tcBorders>
          </w:tcPr>
          <w:p w:rsidR="00212513" w:rsidRDefault="00212513">
            <w:pPr>
              <w:pStyle w:val="ConsPlusNormal"/>
              <w:jc w:val="center"/>
            </w:pPr>
            <w:r>
              <w:t>0,24</w:t>
            </w:r>
          </w:p>
        </w:tc>
        <w:tc>
          <w:tcPr>
            <w:tcW w:w="958" w:type="dxa"/>
            <w:tcBorders>
              <w:top w:val="single" w:sz="4" w:space="0" w:color="auto"/>
              <w:bottom w:val="nil"/>
            </w:tcBorders>
          </w:tcPr>
          <w:p w:rsidR="00212513" w:rsidRDefault="00212513">
            <w:pPr>
              <w:pStyle w:val="ConsPlusNormal"/>
              <w:jc w:val="center"/>
            </w:pPr>
            <w:r>
              <w:t>0,21</w:t>
            </w:r>
          </w:p>
        </w:tc>
        <w:tc>
          <w:tcPr>
            <w:tcW w:w="958" w:type="dxa"/>
            <w:tcBorders>
              <w:top w:val="single" w:sz="4" w:space="0" w:color="auto"/>
              <w:bottom w:val="nil"/>
            </w:tcBorders>
          </w:tcPr>
          <w:p w:rsidR="00212513" w:rsidRDefault="00212513">
            <w:pPr>
              <w:pStyle w:val="ConsPlusNormal"/>
              <w:jc w:val="center"/>
            </w:pPr>
            <w:r>
              <w:t>0,17</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10</w:t>
            </w:r>
          </w:p>
        </w:tc>
        <w:tc>
          <w:tcPr>
            <w:tcW w:w="958" w:type="dxa"/>
            <w:tcBorders>
              <w:top w:val="nil"/>
              <w:bottom w:val="nil"/>
            </w:tcBorders>
          </w:tcPr>
          <w:p w:rsidR="00212513" w:rsidRDefault="00212513">
            <w:pPr>
              <w:pStyle w:val="ConsPlusNormal"/>
              <w:jc w:val="center"/>
            </w:pPr>
            <w:r>
              <w:t>0,92</w:t>
            </w:r>
          </w:p>
        </w:tc>
        <w:tc>
          <w:tcPr>
            <w:tcW w:w="958" w:type="dxa"/>
            <w:tcBorders>
              <w:top w:val="nil"/>
              <w:bottom w:val="nil"/>
            </w:tcBorders>
          </w:tcPr>
          <w:p w:rsidR="00212513" w:rsidRDefault="00212513">
            <w:pPr>
              <w:pStyle w:val="ConsPlusNormal"/>
              <w:jc w:val="center"/>
            </w:pPr>
            <w:r>
              <w:t>0,84</w:t>
            </w:r>
          </w:p>
        </w:tc>
        <w:tc>
          <w:tcPr>
            <w:tcW w:w="958" w:type="dxa"/>
            <w:tcBorders>
              <w:top w:val="nil"/>
              <w:bottom w:val="nil"/>
            </w:tcBorders>
          </w:tcPr>
          <w:p w:rsidR="00212513" w:rsidRDefault="00212513">
            <w:pPr>
              <w:pStyle w:val="ConsPlusNormal"/>
              <w:jc w:val="center"/>
            </w:pPr>
            <w:r>
              <w:t>0,78</w:t>
            </w:r>
          </w:p>
        </w:tc>
        <w:tc>
          <w:tcPr>
            <w:tcW w:w="958" w:type="dxa"/>
            <w:tcBorders>
              <w:top w:val="nil"/>
              <w:bottom w:val="nil"/>
            </w:tcBorders>
          </w:tcPr>
          <w:p w:rsidR="00212513" w:rsidRDefault="00212513">
            <w:pPr>
              <w:pStyle w:val="ConsPlusNormal"/>
              <w:jc w:val="center"/>
            </w:pPr>
            <w:r>
              <w:t>0,68 (0,67)</w:t>
            </w:r>
          </w:p>
        </w:tc>
        <w:tc>
          <w:tcPr>
            <w:tcW w:w="958" w:type="dxa"/>
            <w:tcBorders>
              <w:top w:val="nil"/>
              <w:bottom w:val="nil"/>
            </w:tcBorders>
          </w:tcPr>
          <w:p w:rsidR="00212513" w:rsidRDefault="00212513">
            <w:pPr>
              <w:pStyle w:val="ConsPlusNormal"/>
              <w:jc w:val="center"/>
            </w:pPr>
            <w:r>
              <w:t>0,60 (0,57)</w:t>
            </w:r>
          </w:p>
        </w:tc>
        <w:tc>
          <w:tcPr>
            <w:tcW w:w="958" w:type="dxa"/>
            <w:tcBorders>
              <w:top w:val="nil"/>
              <w:bottom w:val="nil"/>
            </w:tcBorders>
          </w:tcPr>
          <w:p w:rsidR="00212513" w:rsidRDefault="00212513">
            <w:pPr>
              <w:pStyle w:val="ConsPlusNormal"/>
              <w:jc w:val="center"/>
            </w:pPr>
            <w:r>
              <w:t>0,52 (0,50)</w:t>
            </w:r>
          </w:p>
        </w:tc>
        <w:tc>
          <w:tcPr>
            <w:tcW w:w="958" w:type="dxa"/>
            <w:tcBorders>
              <w:top w:val="nil"/>
              <w:bottom w:val="nil"/>
            </w:tcBorders>
          </w:tcPr>
          <w:p w:rsidR="00212513" w:rsidRDefault="00212513">
            <w:pPr>
              <w:pStyle w:val="ConsPlusNormal"/>
              <w:jc w:val="center"/>
            </w:pPr>
            <w:r>
              <w:t>0,42 (0,40)</w:t>
            </w:r>
          </w:p>
        </w:tc>
        <w:tc>
          <w:tcPr>
            <w:tcW w:w="958" w:type="dxa"/>
            <w:tcBorders>
              <w:top w:val="nil"/>
              <w:bottom w:val="nil"/>
            </w:tcBorders>
          </w:tcPr>
          <w:p w:rsidR="00212513" w:rsidRDefault="00212513">
            <w:pPr>
              <w:pStyle w:val="ConsPlusNormal"/>
              <w:jc w:val="center"/>
            </w:pPr>
            <w:r>
              <w:t>0,35</w:t>
            </w:r>
          </w:p>
        </w:tc>
        <w:tc>
          <w:tcPr>
            <w:tcW w:w="958" w:type="dxa"/>
            <w:tcBorders>
              <w:top w:val="nil"/>
              <w:bottom w:val="nil"/>
            </w:tcBorders>
          </w:tcPr>
          <w:p w:rsidR="00212513" w:rsidRDefault="00212513">
            <w:pPr>
              <w:pStyle w:val="ConsPlusNormal"/>
              <w:jc w:val="center"/>
            </w:pPr>
            <w:r>
              <w:t>0,30</w:t>
            </w:r>
          </w:p>
        </w:tc>
        <w:tc>
          <w:tcPr>
            <w:tcW w:w="958" w:type="dxa"/>
            <w:tcBorders>
              <w:top w:val="nil"/>
              <w:bottom w:val="nil"/>
            </w:tcBorders>
          </w:tcPr>
          <w:p w:rsidR="00212513" w:rsidRDefault="00212513">
            <w:pPr>
              <w:pStyle w:val="ConsPlusNormal"/>
              <w:jc w:val="center"/>
            </w:pPr>
            <w:r>
              <w:t>0,26</w:t>
            </w:r>
          </w:p>
        </w:tc>
        <w:tc>
          <w:tcPr>
            <w:tcW w:w="958" w:type="dxa"/>
            <w:tcBorders>
              <w:top w:val="nil"/>
              <w:bottom w:val="nil"/>
            </w:tcBorders>
          </w:tcPr>
          <w:p w:rsidR="00212513" w:rsidRDefault="00212513">
            <w:pPr>
              <w:pStyle w:val="ConsPlusNormal"/>
              <w:jc w:val="center"/>
            </w:pPr>
            <w:r>
              <w:t>0,23</w:t>
            </w:r>
          </w:p>
        </w:tc>
        <w:tc>
          <w:tcPr>
            <w:tcW w:w="958" w:type="dxa"/>
            <w:tcBorders>
              <w:top w:val="nil"/>
              <w:bottom w:val="nil"/>
            </w:tcBorders>
          </w:tcPr>
          <w:p w:rsidR="00212513" w:rsidRDefault="00212513">
            <w:pPr>
              <w:pStyle w:val="ConsPlusNormal"/>
              <w:jc w:val="center"/>
            </w:pPr>
            <w:r>
              <w:t>0,21</w:t>
            </w:r>
          </w:p>
        </w:tc>
        <w:tc>
          <w:tcPr>
            <w:tcW w:w="958" w:type="dxa"/>
            <w:tcBorders>
              <w:top w:val="nil"/>
              <w:bottom w:val="nil"/>
            </w:tcBorders>
          </w:tcPr>
          <w:p w:rsidR="00212513" w:rsidRDefault="00212513">
            <w:pPr>
              <w:pStyle w:val="ConsPlusNormal"/>
              <w:jc w:val="center"/>
            </w:pPr>
            <w:r>
              <w:t>0,17</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20</w:t>
            </w:r>
          </w:p>
        </w:tc>
        <w:tc>
          <w:tcPr>
            <w:tcW w:w="958" w:type="dxa"/>
            <w:tcBorders>
              <w:top w:val="nil"/>
              <w:bottom w:val="nil"/>
            </w:tcBorders>
          </w:tcPr>
          <w:p w:rsidR="00212513" w:rsidRDefault="00212513">
            <w:pPr>
              <w:pStyle w:val="ConsPlusNormal"/>
              <w:jc w:val="center"/>
            </w:pPr>
            <w:r>
              <w:t>0,90</w:t>
            </w:r>
          </w:p>
        </w:tc>
        <w:tc>
          <w:tcPr>
            <w:tcW w:w="958" w:type="dxa"/>
            <w:tcBorders>
              <w:top w:val="nil"/>
              <w:bottom w:val="nil"/>
            </w:tcBorders>
          </w:tcPr>
          <w:p w:rsidR="00212513" w:rsidRDefault="00212513">
            <w:pPr>
              <w:pStyle w:val="ConsPlusNormal"/>
              <w:jc w:val="center"/>
            </w:pPr>
            <w:r>
              <w:t>0,83</w:t>
            </w:r>
          </w:p>
        </w:tc>
        <w:tc>
          <w:tcPr>
            <w:tcW w:w="958" w:type="dxa"/>
            <w:tcBorders>
              <w:top w:val="nil"/>
              <w:bottom w:val="nil"/>
            </w:tcBorders>
          </w:tcPr>
          <w:p w:rsidR="00212513" w:rsidRDefault="00212513">
            <w:pPr>
              <w:pStyle w:val="ConsPlusNormal"/>
              <w:jc w:val="center"/>
            </w:pPr>
            <w:r>
              <w:t>0,77 (0,76)</w:t>
            </w:r>
          </w:p>
        </w:tc>
        <w:tc>
          <w:tcPr>
            <w:tcW w:w="958" w:type="dxa"/>
            <w:tcBorders>
              <w:top w:val="nil"/>
              <w:bottom w:val="nil"/>
            </w:tcBorders>
          </w:tcPr>
          <w:p w:rsidR="00212513" w:rsidRDefault="00212513">
            <w:pPr>
              <w:pStyle w:val="ConsPlusNormal"/>
              <w:jc w:val="center"/>
            </w:pPr>
            <w:r>
              <w:t>0,67 (0,66)</w:t>
            </w:r>
          </w:p>
        </w:tc>
        <w:tc>
          <w:tcPr>
            <w:tcW w:w="958" w:type="dxa"/>
            <w:tcBorders>
              <w:top w:val="nil"/>
              <w:bottom w:val="nil"/>
            </w:tcBorders>
          </w:tcPr>
          <w:p w:rsidR="00212513" w:rsidRDefault="00212513">
            <w:pPr>
              <w:pStyle w:val="ConsPlusNormal"/>
              <w:jc w:val="center"/>
            </w:pPr>
            <w:r>
              <w:t>0,58 (0,56)</w:t>
            </w:r>
          </w:p>
        </w:tc>
        <w:tc>
          <w:tcPr>
            <w:tcW w:w="958" w:type="dxa"/>
            <w:tcBorders>
              <w:top w:val="nil"/>
              <w:bottom w:val="nil"/>
            </w:tcBorders>
          </w:tcPr>
          <w:p w:rsidR="00212513" w:rsidRDefault="00212513">
            <w:pPr>
              <w:pStyle w:val="ConsPlusNormal"/>
              <w:jc w:val="center"/>
            </w:pPr>
            <w:r>
              <w:t>0,50 (0,49)</w:t>
            </w:r>
          </w:p>
        </w:tc>
        <w:tc>
          <w:tcPr>
            <w:tcW w:w="958" w:type="dxa"/>
            <w:tcBorders>
              <w:top w:val="nil"/>
              <w:bottom w:val="nil"/>
            </w:tcBorders>
          </w:tcPr>
          <w:p w:rsidR="00212513" w:rsidRDefault="00212513">
            <w:pPr>
              <w:pStyle w:val="ConsPlusNormal"/>
              <w:jc w:val="center"/>
            </w:pPr>
            <w:r>
              <w:t>0,41 (0,40)</w:t>
            </w:r>
          </w:p>
        </w:tc>
        <w:tc>
          <w:tcPr>
            <w:tcW w:w="958" w:type="dxa"/>
            <w:tcBorders>
              <w:top w:val="nil"/>
              <w:bottom w:val="nil"/>
            </w:tcBorders>
          </w:tcPr>
          <w:p w:rsidR="00212513" w:rsidRDefault="00212513">
            <w:pPr>
              <w:pStyle w:val="ConsPlusNormal"/>
              <w:jc w:val="center"/>
            </w:pPr>
            <w:r>
              <w:t>0,34</w:t>
            </w:r>
          </w:p>
        </w:tc>
        <w:tc>
          <w:tcPr>
            <w:tcW w:w="958" w:type="dxa"/>
            <w:tcBorders>
              <w:top w:val="nil"/>
              <w:bottom w:val="nil"/>
            </w:tcBorders>
          </w:tcPr>
          <w:p w:rsidR="00212513" w:rsidRDefault="00212513">
            <w:pPr>
              <w:pStyle w:val="ConsPlusNormal"/>
              <w:jc w:val="center"/>
            </w:pPr>
            <w:r>
              <w:t>0,29</w:t>
            </w:r>
          </w:p>
        </w:tc>
        <w:tc>
          <w:tcPr>
            <w:tcW w:w="958" w:type="dxa"/>
            <w:tcBorders>
              <w:top w:val="nil"/>
              <w:bottom w:val="nil"/>
            </w:tcBorders>
          </w:tcPr>
          <w:p w:rsidR="00212513" w:rsidRDefault="00212513">
            <w:pPr>
              <w:pStyle w:val="ConsPlusNormal"/>
              <w:jc w:val="center"/>
            </w:pPr>
            <w:r>
              <w:t>0,26</w:t>
            </w:r>
          </w:p>
        </w:tc>
        <w:tc>
          <w:tcPr>
            <w:tcW w:w="958" w:type="dxa"/>
            <w:tcBorders>
              <w:top w:val="nil"/>
              <w:bottom w:val="nil"/>
            </w:tcBorders>
          </w:tcPr>
          <w:p w:rsidR="00212513" w:rsidRDefault="00212513">
            <w:pPr>
              <w:pStyle w:val="ConsPlusNormal"/>
              <w:jc w:val="center"/>
            </w:pPr>
            <w:r>
              <w:t>0,23</w:t>
            </w:r>
          </w:p>
        </w:tc>
        <w:tc>
          <w:tcPr>
            <w:tcW w:w="958" w:type="dxa"/>
            <w:tcBorders>
              <w:top w:val="nil"/>
              <w:bottom w:val="nil"/>
            </w:tcBorders>
          </w:tcPr>
          <w:p w:rsidR="00212513" w:rsidRDefault="00212513">
            <w:pPr>
              <w:pStyle w:val="ConsPlusNormal"/>
              <w:jc w:val="center"/>
            </w:pPr>
            <w:r>
              <w:t>0,21</w:t>
            </w:r>
          </w:p>
        </w:tc>
        <w:tc>
          <w:tcPr>
            <w:tcW w:w="958" w:type="dxa"/>
            <w:tcBorders>
              <w:top w:val="nil"/>
              <w:bottom w:val="nil"/>
            </w:tcBorders>
          </w:tcPr>
          <w:p w:rsidR="00212513" w:rsidRDefault="00212513">
            <w:pPr>
              <w:pStyle w:val="ConsPlusNormal"/>
              <w:jc w:val="center"/>
            </w:pPr>
            <w:r>
              <w:t>0,17</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30</w:t>
            </w:r>
          </w:p>
        </w:tc>
        <w:tc>
          <w:tcPr>
            <w:tcW w:w="958" w:type="dxa"/>
            <w:tcBorders>
              <w:top w:val="nil"/>
              <w:bottom w:val="nil"/>
            </w:tcBorders>
          </w:tcPr>
          <w:p w:rsidR="00212513" w:rsidRDefault="00212513">
            <w:pPr>
              <w:pStyle w:val="ConsPlusNormal"/>
              <w:jc w:val="center"/>
            </w:pPr>
            <w:r>
              <w:t>0,88</w:t>
            </w:r>
          </w:p>
        </w:tc>
        <w:tc>
          <w:tcPr>
            <w:tcW w:w="958" w:type="dxa"/>
            <w:tcBorders>
              <w:top w:val="nil"/>
              <w:bottom w:val="nil"/>
            </w:tcBorders>
          </w:tcPr>
          <w:p w:rsidR="00212513" w:rsidRDefault="00212513">
            <w:pPr>
              <w:pStyle w:val="ConsPlusNormal"/>
              <w:jc w:val="center"/>
            </w:pPr>
            <w:r>
              <w:t>0,81</w:t>
            </w:r>
          </w:p>
        </w:tc>
        <w:tc>
          <w:tcPr>
            <w:tcW w:w="958" w:type="dxa"/>
            <w:tcBorders>
              <w:top w:val="nil"/>
              <w:bottom w:val="nil"/>
            </w:tcBorders>
          </w:tcPr>
          <w:p w:rsidR="00212513" w:rsidRDefault="00212513">
            <w:pPr>
              <w:pStyle w:val="ConsPlusNormal"/>
              <w:jc w:val="center"/>
            </w:pPr>
            <w:r>
              <w:t>0,76 (0,73)</w:t>
            </w:r>
          </w:p>
        </w:tc>
        <w:tc>
          <w:tcPr>
            <w:tcW w:w="958" w:type="dxa"/>
            <w:tcBorders>
              <w:top w:val="nil"/>
              <w:bottom w:val="nil"/>
            </w:tcBorders>
          </w:tcPr>
          <w:p w:rsidR="00212513" w:rsidRDefault="00212513">
            <w:pPr>
              <w:pStyle w:val="ConsPlusNormal"/>
              <w:jc w:val="center"/>
            </w:pPr>
            <w:r>
              <w:t>0,65 (0,63)</w:t>
            </w:r>
          </w:p>
        </w:tc>
        <w:tc>
          <w:tcPr>
            <w:tcW w:w="958" w:type="dxa"/>
            <w:tcBorders>
              <w:top w:val="nil"/>
              <w:bottom w:val="nil"/>
            </w:tcBorders>
          </w:tcPr>
          <w:p w:rsidR="00212513" w:rsidRDefault="00212513">
            <w:pPr>
              <w:pStyle w:val="ConsPlusNormal"/>
              <w:jc w:val="center"/>
            </w:pPr>
            <w:r>
              <w:t>0,56 (0,54)</w:t>
            </w:r>
          </w:p>
        </w:tc>
        <w:tc>
          <w:tcPr>
            <w:tcW w:w="958" w:type="dxa"/>
            <w:tcBorders>
              <w:top w:val="nil"/>
              <w:bottom w:val="nil"/>
            </w:tcBorders>
          </w:tcPr>
          <w:p w:rsidR="00212513" w:rsidRDefault="00212513">
            <w:pPr>
              <w:pStyle w:val="ConsPlusNormal"/>
              <w:jc w:val="center"/>
            </w:pPr>
            <w:r>
              <w:t>0,49 (0,47)</w:t>
            </w:r>
          </w:p>
        </w:tc>
        <w:tc>
          <w:tcPr>
            <w:tcW w:w="958" w:type="dxa"/>
            <w:tcBorders>
              <w:top w:val="nil"/>
              <w:bottom w:val="nil"/>
            </w:tcBorders>
          </w:tcPr>
          <w:p w:rsidR="00212513" w:rsidRDefault="00212513">
            <w:pPr>
              <w:pStyle w:val="ConsPlusNormal"/>
              <w:jc w:val="center"/>
            </w:pPr>
            <w:r>
              <w:t>0,40 (0,39)</w:t>
            </w:r>
          </w:p>
        </w:tc>
        <w:tc>
          <w:tcPr>
            <w:tcW w:w="958" w:type="dxa"/>
            <w:tcBorders>
              <w:top w:val="nil"/>
              <w:bottom w:val="nil"/>
            </w:tcBorders>
          </w:tcPr>
          <w:p w:rsidR="00212513" w:rsidRDefault="00212513">
            <w:pPr>
              <w:pStyle w:val="ConsPlusNormal"/>
              <w:jc w:val="center"/>
            </w:pPr>
            <w:r>
              <w:t>0,33</w:t>
            </w:r>
          </w:p>
        </w:tc>
        <w:tc>
          <w:tcPr>
            <w:tcW w:w="958" w:type="dxa"/>
            <w:tcBorders>
              <w:top w:val="nil"/>
              <w:bottom w:val="nil"/>
            </w:tcBorders>
          </w:tcPr>
          <w:p w:rsidR="00212513" w:rsidRDefault="00212513">
            <w:pPr>
              <w:pStyle w:val="ConsPlusNormal"/>
              <w:jc w:val="center"/>
            </w:pPr>
            <w:r>
              <w:t>0,29</w:t>
            </w:r>
          </w:p>
        </w:tc>
        <w:tc>
          <w:tcPr>
            <w:tcW w:w="958" w:type="dxa"/>
            <w:tcBorders>
              <w:top w:val="nil"/>
              <w:bottom w:val="nil"/>
            </w:tcBorders>
          </w:tcPr>
          <w:p w:rsidR="00212513" w:rsidRDefault="00212513">
            <w:pPr>
              <w:pStyle w:val="ConsPlusNormal"/>
              <w:jc w:val="center"/>
            </w:pPr>
            <w:r>
              <w:t>0,25</w:t>
            </w:r>
          </w:p>
        </w:tc>
        <w:tc>
          <w:tcPr>
            <w:tcW w:w="958" w:type="dxa"/>
            <w:tcBorders>
              <w:top w:val="nil"/>
              <w:bottom w:val="nil"/>
            </w:tcBorders>
          </w:tcPr>
          <w:p w:rsidR="00212513" w:rsidRDefault="00212513">
            <w:pPr>
              <w:pStyle w:val="ConsPlusNormal"/>
              <w:jc w:val="center"/>
            </w:pPr>
            <w:r>
              <w:t>0,22</w:t>
            </w:r>
          </w:p>
        </w:tc>
        <w:tc>
          <w:tcPr>
            <w:tcW w:w="958" w:type="dxa"/>
            <w:tcBorders>
              <w:top w:val="nil"/>
              <w:bottom w:val="nil"/>
            </w:tcBorders>
          </w:tcPr>
          <w:p w:rsidR="00212513" w:rsidRDefault="00212513">
            <w:pPr>
              <w:pStyle w:val="ConsPlusNormal"/>
              <w:jc w:val="center"/>
            </w:pPr>
            <w:r>
              <w:t>0,21</w:t>
            </w:r>
          </w:p>
        </w:tc>
        <w:tc>
          <w:tcPr>
            <w:tcW w:w="958" w:type="dxa"/>
            <w:tcBorders>
              <w:top w:val="nil"/>
              <w:bottom w:val="nil"/>
            </w:tcBorders>
          </w:tcPr>
          <w:p w:rsidR="00212513" w:rsidRDefault="00212513">
            <w:pPr>
              <w:pStyle w:val="ConsPlusNormal"/>
              <w:jc w:val="center"/>
            </w:pPr>
            <w:r>
              <w:t>0,17</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40</w:t>
            </w:r>
          </w:p>
        </w:tc>
        <w:tc>
          <w:tcPr>
            <w:tcW w:w="958" w:type="dxa"/>
            <w:tcBorders>
              <w:top w:val="nil"/>
              <w:bottom w:val="nil"/>
            </w:tcBorders>
          </w:tcPr>
          <w:p w:rsidR="00212513" w:rsidRDefault="00212513">
            <w:pPr>
              <w:pStyle w:val="ConsPlusNormal"/>
              <w:jc w:val="center"/>
            </w:pPr>
            <w:r>
              <w:t>0,85</w:t>
            </w:r>
          </w:p>
        </w:tc>
        <w:tc>
          <w:tcPr>
            <w:tcW w:w="958" w:type="dxa"/>
            <w:tcBorders>
              <w:top w:val="nil"/>
              <w:bottom w:val="nil"/>
            </w:tcBorders>
          </w:tcPr>
          <w:p w:rsidR="00212513" w:rsidRDefault="00212513">
            <w:pPr>
              <w:pStyle w:val="ConsPlusNormal"/>
              <w:jc w:val="center"/>
            </w:pPr>
            <w:r>
              <w:t>0,79 (0,77)</w:t>
            </w:r>
          </w:p>
        </w:tc>
        <w:tc>
          <w:tcPr>
            <w:tcW w:w="958" w:type="dxa"/>
            <w:tcBorders>
              <w:top w:val="nil"/>
              <w:bottom w:val="nil"/>
            </w:tcBorders>
          </w:tcPr>
          <w:p w:rsidR="00212513" w:rsidRDefault="00212513">
            <w:pPr>
              <w:pStyle w:val="ConsPlusNormal"/>
              <w:jc w:val="center"/>
            </w:pPr>
            <w:r>
              <w:t>0,73 (0,70)</w:t>
            </w:r>
          </w:p>
        </w:tc>
        <w:tc>
          <w:tcPr>
            <w:tcW w:w="958" w:type="dxa"/>
            <w:tcBorders>
              <w:top w:val="nil"/>
              <w:bottom w:val="nil"/>
            </w:tcBorders>
          </w:tcPr>
          <w:p w:rsidR="00212513" w:rsidRDefault="00212513">
            <w:pPr>
              <w:pStyle w:val="ConsPlusNormal"/>
              <w:jc w:val="center"/>
            </w:pPr>
            <w:r>
              <w:t>0,63 (0,61)</w:t>
            </w:r>
          </w:p>
        </w:tc>
        <w:tc>
          <w:tcPr>
            <w:tcW w:w="958" w:type="dxa"/>
            <w:tcBorders>
              <w:top w:val="nil"/>
              <w:bottom w:val="nil"/>
            </w:tcBorders>
          </w:tcPr>
          <w:p w:rsidR="00212513" w:rsidRDefault="00212513">
            <w:pPr>
              <w:pStyle w:val="ConsPlusNormal"/>
              <w:jc w:val="center"/>
            </w:pPr>
            <w:r>
              <w:t>0,54 (0,52)</w:t>
            </w:r>
          </w:p>
        </w:tc>
        <w:tc>
          <w:tcPr>
            <w:tcW w:w="958" w:type="dxa"/>
            <w:tcBorders>
              <w:top w:val="nil"/>
              <w:bottom w:val="nil"/>
            </w:tcBorders>
          </w:tcPr>
          <w:p w:rsidR="00212513" w:rsidRDefault="00212513">
            <w:pPr>
              <w:pStyle w:val="ConsPlusNormal"/>
              <w:jc w:val="center"/>
            </w:pPr>
            <w:r>
              <w:t>0,47 (0,45)</w:t>
            </w:r>
          </w:p>
        </w:tc>
        <w:tc>
          <w:tcPr>
            <w:tcW w:w="958" w:type="dxa"/>
            <w:tcBorders>
              <w:top w:val="nil"/>
              <w:bottom w:val="nil"/>
            </w:tcBorders>
          </w:tcPr>
          <w:p w:rsidR="00212513" w:rsidRDefault="00212513">
            <w:pPr>
              <w:pStyle w:val="ConsPlusNormal"/>
              <w:jc w:val="center"/>
            </w:pPr>
            <w:r>
              <w:t>0,39 (0,38)</w:t>
            </w:r>
          </w:p>
        </w:tc>
        <w:tc>
          <w:tcPr>
            <w:tcW w:w="958" w:type="dxa"/>
            <w:tcBorders>
              <w:top w:val="nil"/>
              <w:bottom w:val="nil"/>
            </w:tcBorders>
          </w:tcPr>
          <w:p w:rsidR="00212513" w:rsidRDefault="00212513">
            <w:pPr>
              <w:pStyle w:val="ConsPlusNormal"/>
              <w:jc w:val="center"/>
            </w:pPr>
            <w:r>
              <w:t>0,32</w:t>
            </w:r>
          </w:p>
        </w:tc>
        <w:tc>
          <w:tcPr>
            <w:tcW w:w="958" w:type="dxa"/>
            <w:tcBorders>
              <w:top w:val="nil"/>
              <w:bottom w:val="nil"/>
            </w:tcBorders>
          </w:tcPr>
          <w:p w:rsidR="00212513" w:rsidRDefault="00212513">
            <w:pPr>
              <w:pStyle w:val="ConsPlusNormal"/>
              <w:jc w:val="center"/>
            </w:pPr>
            <w:r>
              <w:t>0,28</w:t>
            </w:r>
          </w:p>
        </w:tc>
        <w:tc>
          <w:tcPr>
            <w:tcW w:w="958" w:type="dxa"/>
            <w:tcBorders>
              <w:top w:val="nil"/>
              <w:bottom w:val="nil"/>
            </w:tcBorders>
          </w:tcPr>
          <w:p w:rsidR="00212513" w:rsidRDefault="00212513">
            <w:pPr>
              <w:pStyle w:val="ConsPlusNormal"/>
              <w:jc w:val="center"/>
            </w:pPr>
            <w:r>
              <w:t>0,24</w:t>
            </w:r>
          </w:p>
        </w:tc>
        <w:tc>
          <w:tcPr>
            <w:tcW w:w="958" w:type="dxa"/>
            <w:tcBorders>
              <w:top w:val="nil"/>
              <w:bottom w:val="nil"/>
            </w:tcBorders>
          </w:tcPr>
          <w:p w:rsidR="00212513" w:rsidRDefault="00212513">
            <w:pPr>
              <w:pStyle w:val="ConsPlusNormal"/>
              <w:jc w:val="center"/>
            </w:pPr>
            <w:r>
              <w:t>0,22</w:t>
            </w:r>
          </w:p>
        </w:tc>
        <w:tc>
          <w:tcPr>
            <w:tcW w:w="958" w:type="dxa"/>
            <w:tcBorders>
              <w:top w:val="nil"/>
              <w:bottom w:val="nil"/>
            </w:tcBorders>
          </w:tcPr>
          <w:p w:rsidR="00212513" w:rsidRDefault="00212513">
            <w:pPr>
              <w:pStyle w:val="ConsPlusNormal"/>
              <w:jc w:val="center"/>
            </w:pPr>
            <w:r>
              <w:t>0,20</w:t>
            </w:r>
          </w:p>
        </w:tc>
        <w:tc>
          <w:tcPr>
            <w:tcW w:w="958" w:type="dxa"/>
            <w:tcBorders>
              <w:top w:val="nil"/>
              <w:bottom w:val="nil"/>
            </w:tcBorders>
          </w:tcPr>
          <w:p w:rsidR="00212513" w:rsidRDefault="00212513">
            <w:pPr>
              <w:pStyle w:val="ConsPlusNormal"/>
              <w:jc w:val="center"/>
            </w:pPr>
            <w:r>
              <w:t>0,17</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50</w:t>
            </w:r>
          </w:p>
        </w:tc>
        <w:tc>
          <w:tcPr>
            <w:tcW w:w="958" w:type="dxa"/>
            <w:tcBorders>
              <w:top w:val="nil"/>
              <w:bottom w:val="nil"/>
            </w:tcBorders>
          </w:tcPr>
          <w:p w:rsidR="00212513" w:rsidRDefault="00212513">
            <w:pPr>
              <w:pStyle w:val="ConsPlusNormal"/>
              <w:jc w:val="center"/>
            </w:pPr>
            <w:r>
              <w:t>0,85 (0,80)</w:t>
            </w:r>
          </w:p>
        </w:tc>
        <w:tc>
          <w:tcPr>
            <w:tcW w:w="958" w:type="dxa"/>
            <w:tcBorders>
              <w:top w:val="nil"/>
              <w:bottom w:val="nil"/>
            </w:tcBorders>
          </w:tcPr>
          <w:p w:rsidR="00212513" w:rsidRDefault="00212513">
            <w:pPr>
              <w:pStyle w:val="ConsPlusNormal"/>
              <w:jc w:val="center"/>
            </w:pPr>
            <w:r>
              <w:t>0,76 (0,73)</w:t>
            </w:r>
          </w:p>
        </w:tc>
        <w:tc>
          <w:tcPr>
            <w:tcW w:w="958" w:type="dxa"/>
            <w:tcBorders>
              <w:top w:val="nil"/>
              <w:bottom w:val="nil"/>
            </w:tcBorders>
          </w:tcPr>
          <w:p w:rsidR="00212513" w:rsidRDefault="00212513">
            <w:pPr>
              <w:pStyle w:val="ConsPlusNormal"/>
              <w:jc w:val="center"/>
            </w:pPr>
            <w:r>
              <w:t>0,70 (0,65)</w:t>
            </w:r>
          </w:p>
        </w:tc>
        <w:tc>
          <w:tcPr>
            <w:tcW w:w="958" w:type="dxa"/>
            <w:tcBorders>
              <w:top w:val="nil"/>
              <w:bottom w:val="nil"/>
            </w:tcBorders>
          </w:tcPr>
          <w:p w:rsidR="00212513" w:rsidRDefault="00212513">
            <w:pPr>
              <w:pStyle w:val="ConsPlusNormal"/>
              <w:jc w:val="center"/>
            </w:pPr>
            <w:r>
              <w:t>0,60 (0,57)</w:t>
            </w:r>
          </w:p>
        </w:tc>
        <w:tc>
          <w:tcPr>
            <w:tcW w:w="958" w:type="dxa"/>
            <w:tcBorders>
              <w:top w:val="nil"/>
              <w:bottom w:val="nil"/>
            </w:tcBorders>
          </w:tcPr>
          <w:p w:rsidR="00212513" w:rsidRDefault="00212513">
            <w:pPr>
              <w:pStyle w:val="ConsPlusNormal"/>
              <w:jc w:val="center"/>
            </w:pPr>
            <w:r>
              <w:t>0,51 (0,49)</w:t>
            </w:r>
          </w:p>
        </w:tc>
        <w:tc>
          <w:tcPr>
            <w:tcW w:w="958" w:type="dxa"/>
            <w:tcBorders>
              <w:top w:val="nil"/>
              <w:bottom w:val="nil"/>
            </w:tcBorders>
          </w:tcPr>
          <w:p w:rsidR="00212513" w:rsidRDefault="00212513">
            <w:pPr>
              <w:pStyle w:val="ConsPlusNormal"/>
              <w:jc w:val="center"/>
            </w:pPr>
            <w:r>
              <w:t>0,45 (0,43)</w:t>
            </w:r>
          </w:p>
        </w:tc>
        <w:tc>
          <w:tcPr>
            <w:tcW w:w="958" w:type="dxa"/>
            <w:tcBorders>
              <w:top w:val="nil"/>
              <w:bottom w:val="nil"/>
            </w:tcBorders>
          </w:tcPr>
          <w:p w:rsidR="00212513" w:rsidRDefault="00212513">
            <w:pPr>
              <w:pStyle w:val="ConsPlusNormal"/>
              <w:jc w:val="center"/>
            </w:pPr>
            <w:r>
              <w:t>0,37 (0,36)</w:t>
            </w:r>
          </w:p>
        </w:tc>
        <w:tc>
          <w:tcPr>
            <w:tcW w:w="958" w:type="dxa"/>
            <w:tcBorders>
              <w:top w:val="nil"/>
              <w:bottom w:val="nil"/>
            </w:tcBorders>
          </w:tcPr>
          <w:p w:rsidR="00212513" w:rsidRDefault="00212513">
            <w:pPr>
              <w:pStyle w:val="ConsPlusNormal"/>
              <w:jc w:val="center"/>
            </w:pPr>
            <w:r>
              <w:t>0,31</w:t>
            </w:r>
          </w:p>
        </w:tc>
        <w:tc>
          <w:tcPr>
            <w:tcW w:w="958" w:type="dxa"/>
            <w:tcBorders>
              <w:top w:val="nil"/>
              <w:bottom w:val="nil"/>
            </w:tcBorders>
          </w:tcPr>
          <w:p w:rsidR="00212513" w:rsidRDefault="00212513">
            <w:pPr>
              <w:pStyle w:val="ConsPlusNormal"/>
              <w:jc w:val="center"/>
            </w:pPr>
            <w:r>
              <w:t>0,27</w:t>
            </w:r>
          </w:p>
        </w:tc>
        <w:tc>
          <w:tcPr>
            <w:tcW w:w="958" w:type="dxa"/>
            <w:tcBorders>
              <w:top w:val="nil"/>
              <w:bottom w:val="nil"/>
            </w:tcBorders>
          </w:tcPr>
          <w:p w:rsidR="00212513" w:rsidRDefault="00212513">
            <w:pPr>
              <w:pStyle w:val="ConsPlusNormal"/>
              <w:jc w:val="center"/>
            </w:pPr>
            <w:r>
              <w:t>0,24</w:t>
            </w:r>
          </w:p>
        </w:tc>
        <w:tc>
          <w:tcPr>
            <w:tcW w:w="958" w:type="dxa"/>
            <w:tcBorders>
              <w:top w:val="nil"/>
              <w:bottom w:val="nil"/>
            </w:tcBorders>
          </w:tcPr>
          <w:p w:rsidR="00212513" w:rsidRDefault="00212513">
            <w:pPr>
              <w:pStyle w:val="ConsPlusNormal"/>
              <w:jc w:val="center"/>
            </w:pPr>
            <w:r>
              <w:t>0,22</w:t>
            </w:r>
          </w:p>
        </w:tc>
        <w:tc>
          <w:tcPr>
            <w:tcW w:w="958" w:type="dxa"/>
            <w:tcBorders>
              <w:top w:val="nil"/>
              <w:bottom w:val="nil"/>
            </w:tcBorders>
          </w:tcPr>
          <w:p w:rsidR="00212513" w:rsidRDefault="00212513">
            <w:pPr>
              <w:pStyle w:val="ConsPlusNormal"/>
              <w:jc w:val="center"/>
            </w:pPr>
            <w:r>
              <w:t>0,20</w:t>
            </w:r>
          </w:p>
        </w:tc>
        <w:tc>
          <w:tcPr>
            <w:tcW w:w="958" w:type="dxa"/>
            <w:tcBorders>
              <w:top w:val="nil"/>
              <w:bottom w:val="nil"/>
            </w:tcBorders>
          </w:tcPr>
          <w:p w:rsidR="00212513" w:rsidRDefault="00212513">
            <w:pPr>
              <w:pStyle w:val="ConsPlusNormal"/>
              <w:jc w:val="center"/>
            </w:pPr>
            <w:r>
              <w:t>0,16</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60</w:t>
            </w:r>
          </w:p>
        </w:tc>
        <w:tc>
          <w:tcPr>
            <w:tcW w:w="958" w:type="dxa"/>
            <w:tcBorders>
              <w:top w:val="nil"/>
              <w:bottom w:val="nil"/>
            </w:tcBorders>
          </w:tcPr>
          <w:p w:rsidR="00212513" w:rsidRDefault="00212513">
            <w:pPr>
              <w:pStyle w:val="ConsPlusNormal"/>
              <w:jc w:val="center"/>
            </w:pPr>
            <w:r>
              <w:t>0,78 (0,73)</w:t>
            </w:r>
          </w:p>
        </w:tc>
        <w:tc>
          <w:tcPr>
            <w:tcW w:w="958" w:type="dxa"/>
            <w:tcBorders>
              <w:top w:val="nil"/>
              <w:bottom w:val="nil"/>
            </w:tcBorders>
          </w:tcPr>
          <w:p w:rsidR="00212513" w:rsidRDefault="00212513">
            <w:pPr>
              <w:pStyle w:val="ConsPlusNormal"/>
              <w:jc w:val="center"/>
            </w:pPr>
            <w:r>
              <w:t>0,72 (0,66)</w:t>
            </w:r>
          </w:p>
        </w:tc>
        <w:tc>
          <w:tcPr>
            <w:tcW w:w="958" w:type="dxa"/>
            <w:tcBorders>
              <w:top w:val="nil"/>
              <w:bottom w:val="nil"/>
            </w:tcBorders>
          </w:tcPr>
          <w:p w:rsidR="00212513" w:rsidRDefault="00212513">
            <w:pPr>
              <w:pStyle w:val="ConsPlusNormal"/>
              <w:jc w:val="center"/>
            </w:pPr>
            <w:r>
              <w:t>0,66 (0,60)</w:t>
            </w:r>
          </w:p>
        </w:tc>
        <w:tc>
          <w:tcPr>
            <w:tcW w:w="958" w:type="dxa"/>
            <w:tcBorders>
              <w:top w:val="nil"/>
              <w:bottom w:val="nil"/>
            </w:tcBorders>
          </w:tcPr>
          <w:p w:rsidR="00212513" w:rsidRDefault="00212513">
            <w:pPr>
              <w:pStyle w:val="ConsPlusNormal"/>
              <w:jc w:val="center"/>
            </w:pPr>
            <w:r>
              <w:t>0,57 (0,53)</w:t>
            </w:r>
          </w:p>
        </w:tc>
        <w:tc>
          <w:tcPr>
            <w:tcW w:w="958" w:type="dxa"/>
            <w:tcBorders>
              <w:top w:val="nil"/>
              <w:bottom w:val="nil"/>
            </w:tcBorders>
          </w:tcPr>
          <w:p w:rsidR="00212513" w:rsidRDefault="00212513">
            <w:pPr>
              <w:pStyle w:val="ConsPlusNormal"/>
              <w:jc w:val="center"/>
            </w:pPr>
            <w:r>
              <w:t>0,49 (0,46)</w:t>
            </w:r>
          </w:p>
        </w:tc>
        <w:tc>
          <w:tcPr>
            <w:tcW w:w="958" w:type="dxa"/>
            <w:tcBorders>
              <w:top w:val="nil"/>
              <w:bottom w:val="nil"/>
            </w:tcBorders>
          </w:tcPr>
          <w:p w:rsidR="00212513" w:rsidRDefault="00212513">
            <w:pPr>
              <w:pStyle w:val="ConsPlusNormal"/>
              <w:jc w:val="center"/>
            </w:pPr>
            <w:r>
              <w:t>0,43 (0,41)</w:t>
            </w:r>
          </w:p>
        </w:tc>
        <w:tc>
          <w:tcPr>
            <w:tcW w:w="958" w:type="dxa"/>
            <w:tcBorders>
              <w:top w:val="nil"/>
              <w:bottom w:val="nil"/>
            </w:tcBorders>
          </w:tcPr>
          <w:p w:rsidR="00212513" w:rsidRDefault="00212513">
            <w:pPr>
              <w:pStyle w:val="ConsPlusNormal"/>
              <w:jc w:val="center"/>
            </w:pPr>
            <w:r>
              <w:t>0,35 (0,34)</w:t>
            </w:r>
          </w:p>
        </w:tc>
        <w:tc>
          <w:tcPr>
            <w:tcW w:w="958" w:type="dxa"/>
            <w:tcBorders>
              <w:top w:val="nil"/>
              <w:bottom w:val="nil"/>
            </w:tcBorders>
          </w:tcPr>
          <w:p w:rsidR="00212513" w:rsidRDefault="00212513">
            <w:pPr>
              <w:pStyle w:val="ConsPlusNormal"/>
              <w:jc w:val="center"/>
            </w:pPr>
            <w:r>
              <w:t>0,30</w:t>
            </w:r>
          </w:p>
        </w:tc>
        <w:tc>
          <w:tcPr>
            <w:tcW w:w="958" w:type="dxa"/>
            <w:tcBorders>
              <w:top w:val="nil"/>
              <w:bottom w:val="nil"/>
            </w:tcBorders>
          </w:tcPr>
          <w:p w:rsidR="00212513" w:rsidRDefault="00212513">
            <w:pPr>
              <w:pStyle w:val="ConsPlusNormal"/>
              <w:jc w:val="center"/>
            </w:pPr>
            <w:r>
              <w:t>0,26</w:t>
            </w:r>
          </w:p>
        </w:tc>
        <w:tc>
          <w:tcPr>
            <w:tcW w:w="958" w:type="dxa"/>
            <w:tcBorders>
              <w:top w:val="nil"/>
              <w:bottom w:val="nil"/>
            </w:tcBorders>
          </w:tcPr>
          <w:p w:rsidR="00212513" w:rsidRDefault="00212513">
            <w:pPr>
              <w:pStyle w:val="ConsPlusNormal"/>
              <w:jc w:val="center"/>
            </w:pPr>
            <w:r>
              <w:t>0,23</w:t>
            </w:r>
          </w:p>
        </w:tc>
        <w:tc>
          <w:tcPr>
            <w:tcW w:w="958" w:type="dxa"/>
            <w:tcBorders>
              <w:top w:val="nil"/>
              <w:bottom w:val="nil"/>
            </w:tcBorders>
          </w:tcPr>
          <w:p w:rsidR="00212513" w:rsidRDefault="00212513">
            <w:pPr>
              <w:pStyle w:val="ConsPlusNormal"/>
              <w:jc w:val="center"/>
            </w:pPr>
            <w:r>
              <w:t>0,21</w:t>
            </w:r>
          </w:p>
        </w:tc>
        <w:tc>
          <w:tcPr>
            <w:tcW w:w="958" w:type="dxa"/>
            <w:tcBorders>
              <w:top w:val="nil"/>
              <w:bottom w:val="nil"/>
            </w:tcBorders>
          </w:tcPr>
          <w:p w:rsidR="00212513" w:rsidRDefault="00212513">
            <w:pPr>
              <w:pStyle w:val="ConsPlusNormal"/>
              <w:jc w:val="center"/>
            </w:pPr>
            <w:r>
              <w:t>0,19</w:t>
            </w:r>
          </w:p>
        </w:tc>
        <w:tc>
          <w:tcPr>
            <w:tcW w:w="958" w:type="dxa"/>
            <w:tcBorders>
              <w:top w:val="nil"/>
              <w:bottom w:val="nil"/>
            </w:tcBorders>
          </w:tcPr>
          <w:p w:rsidR="00212513" w:rsidRDefault="00212513">
            <w:pPr>
              <w:pStyle w:val="ConsPlusNormal"/>
              <w:jc w:val="center"/>
            </w:pPr>
            <w:r>
              <w:t>0,16</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70</w:t>
            </w:r>
          </w:p>
        </w:tc>
        <w:tc>
          <w:tcPr>
            <w:tcW w:w="958" w:type="dxa"/>
            <w:tcBorders>
              <w:top w:val="nil"/>
              <w:bottom w:val="nil"/>
            </w:tcBorders>
          </w:tcPr>
          <w:p w:rsidR="00212513" w:rsidRDefault="00212513">
            <w:pPr>
              <w:pStyle w:val="ConsPlusNormal"/>
              <w:jc w:val="center"/>
            </w:pPr>
            <w:r>
              <w:t>0,74 (0,66)</w:t>
            </w:r>
          </w:p>
        </w:tc>
        <w:tc>
          <w:tcPr>
            <w:tcW w:w="958" w:type="dxa"/>
            <w:tcBorders>
              <w:top w:val="nil"/>
              <w:bottom w:val="nil"/>
            </w:tcBorders>
          </w:tcPr>
          <w:p w:rsidR="00212513" w:rsidRDefault="00212513">
            <w:pPr>
              <w:pStyle w:val="ConsPlusNormal"/>
              <w:jc w:val="center"/>
            </w:pPr>
            <w:r>
              <w:t>0,67 (0,60)</w:t>
            </w:r>
          </w:p>
        </w:tc>
        <w:tc>
          <w:tcPr>
            <w:tcW w:w="958" w:type="dxa"/>
            <w:tcBorders>
              <w:top w:val="nil"/>
              <w:bottom w:val="nil"/>
            </w:tcBorders>
          </w:tcPr>
          <w:p w:rsidR="00212513" w:rsidRDefault="00212513">
            <w:pPr>
              <w:pStyle w:val="ConsPlusNormal"/>
              <w:jc w:val="center"/>
            </w:pPr>
            <w:r>
              <w:t>0,62 (0,54)</w:t>
            </w:r>
          </w:p>
        </w:tc>
        <w:tc>
          <w:tcPr>
            <w:tcW w:w="958" w:type="dxa"/>
            <w:tcBorders>
              <w:top w:val="nil"/>
              <w:bottom w:val="nil"/>
            </w:tcBorders>
          </w:tcPr>
          <w:p w:rsidR="00212513" w:rsidRDefault="00212513">
            <w:pPr>
              <w:pStyle w:val="ConsPlusNormal"/>
              <w:jc w:val="center"/>
            </w:pPr>
            <w:r>
              <w:t>0,54 (0,48)</w:t>
            </w:r>
          </w:p>
        </w:tc>
        <w:tc>
          <w:tcPr>
            <w:tcW w:w="958" w:type="dxa"/>
            <w:tcBorders>
              <w:top w:val="nil"/>
              <w:bottom w:val="nil"/>
            </w:tcBorders>
          </w:tcPr>
          <w:p w:rsidR="00212513" w:rsidRDefault="00212513">
            <w:pPr>
              <w:pStyle w:val="ConsPlusNormal"/>
              <w:jc w:val="center"/>
            </w:pPr>
            <w:r>
              <w:t>0,46 (0,42)</w:t>
            </w:r>
          </w:p>
        </w:tc>
        <w:tc>
          <w:tcPr>
            <w:tcW w:w="958" w:type="dxa"/>
            <w:tcBorders>
              <w:top w:val="nil"/>
              <w:bottom w:val="nil"/>
            </w:tcBorders>
          </w:tcPr>
          <w:p w:rsidR="00212513" w:rsidRDefault="00212513">
            <w:pPr>
              <w:pStyle w:val="ConsPlusNormal"/>
              <w:jc w:val="center"/>
            </w:pPr>
            <w:r>
              <w:t>0,41 (0,38)</w:t>
            </w:r>
          </w:p>
        </w:tc>
        <w:tc>
          <w:tcPr>
            <w:tcW w:w="958" w:type="dxa"/>
            <w:tcBorders>
              <w:top w:val="nil"/>
              <w:bottom w:val="nil"/>
            </w:tcBorders>
          </w:tcPr>
          <w:p w:rsidR="00212513" w:rsidRDefault="00212513">
            <w:pPr>
              <w:pStyle w:val="ConsPlusNormal"/>
              <w:jc w:val="center"/>
            </w:pPr>
            <w:r>
              <w:t>0,34 (0,32)</w:t>
            </w:r>
          </w:p>
        </w:tc>
        <w:tc>
          <w:tcPr>
            <w:tcW w:w="958" w:type="dxa"/>
            <w:tcBorders>
              <w:top w:val="nil"/>
              <w:bottom w:val="nil"/>
            </w:tcBorders>
          </w:tcPr>
          <w:p w:rsidR="00212513" w:rsidRDefault="00212513">
            <w:pPr>
              <w:pStyle w:val="ConsPlusNormal"/>
              <w:jc w:val="center"/>
            </w:pPr>
            <w:r>
              <w:t>0,29</w:t>
            </w:r>
          </w:p>
        </w:tc>
        <w:tc>
          <w:tcPr>
            <w:tcW w:w="958" w:type="dxa"/>
            <w:tcBorders>
              <w:top w:val="nil"/>
              <w:bottom w:val="nil"/>
            </w:tcBorders>
          </w:tcPr>
          <w:p w:rsidR="00212513" w:rsidRDefault="00212513">
            <w:pPr>
              <w:pStyle w:val="ConsPlusNormal"/>
              <w:jc w:val="center"/>
            </w:pPr>
            <w:r>
              <w:t>0,25</w:t>
            </w:r>
          </w:p>
        </w:tc>
        <w:tc>
          <w:tcPr>
            <w:tcW w:w="958" w:type="dxa"/>
            <w:tcBorders>
              <w:top w:val="nil"/>
              <w:bottom w:val="nil"/>
            </w:tcBorders>
          </w:tcPr>
          <w:p w:rsidR="00212513" w:rsidRDefault="00212513">
            <w:pPr>
              <w:pStyle w:val="ConsPlusNormal"/>
              <w:jc w:val="center"/>
            </w:pPr>
            <w:r>
              <w:t>0,22</w:t>
            </w:r>
          </w:p>
        </w:tc>
        <w:tc>
          <w:tcPr>
            <w:tcW w:w="958" w:type="dxa"/>
            <w:tcBorders>
              <w:top w:val="nil"/>
              <w:bottom w:val="nil"/>
            </w:tcBorders>
          </w:tcPr>
          <w:p w:rsidR="00212513" w:rsidRDefault="00212513">
            <w:pPr>
              <w:pStyle w:val="ConsPlusNormal"/>
              <w:jc w:val="center"/>
            </w:pPr>
            <w:r>
              <w:t>0,20</w:t>
            </w:r>
          </w:p>
        </w:tc>
        <w:tc>
          <w:tcPr>
            <w:tcW w:w="958" w:type="dxa"/>
            <w:tcBorders>
              <w:top w:val="nil"/>
              <w:bottom w:val="nil"/>
            </w:tcBorders>
          </w:tcPr>
          <w:p w:rsidR="00212513" w:rsidRDefault="00212513">
            <w:pPr>
              <w:pStyle w:val="ConsPlusNormal"/>
              <w:jc w:val="center"/>
            </w:pPr>
            <w:r>
              <w:t>0,19</w:t>
            </w:r>
          </w:p>
        </w:tc>
        <w:tc>
          <w:tcPr>
            <w:tcW w:w="958" w:type="dxa"/>
            <w:tcBorders>
              <w:top w:val="nil"/>
              <w:bottom w:val="nil"/>
            </w:tcBorders>
          </w:tcPr>
          <w:p w:rsidR="00212513" w:rsidRDefault="00212513">
            <w:pPr>
              <w:pStyle w:val="ConsPlusNormal"/>
              <w:jc w:val="center"/>
            </w:pPr>
            <w:r>
              <w:t>0,16</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80</w:t>
            </w:r>
          </w:p>
        </w:tc>
        <w:tc>
          <w:tcPr>
            <w:tcW w:w="958" w:type="dxa"/>
            <w:tcBorders>
              <w:top w:val="nil"/>
              <w:bottom w:val="nil"/>
            </w:tcBorders>
          </w:tcPr>
          <w:p w:rsidR="00212513" w:rsidRDefault="00212513">
            <w:pPr>
              <w:pStyle w:val="ConsPlusNormal"/>
              <w:jc w:val="center"/>
            </w:pPr>
            <w:r>
              <w:t>0,69 (0,60)</w:t>
            </w:r>
          </w:p>
        </w:tc>
        <w:tc>
          <w:tcPr>
            <w:tcW w:w="958" w:type="dxa"/>
            <w:tcBorders>
              <w:top w:val="nil"/>
              <w:bottom w:val="nil"/>
            </w:tcBorders>
          </w:tcPr>
          <w:p w:rsidR="00212513" w:rsidRDefault="00212513">
            <w:pPr>
              <w:pStyle w:val="ConsPlusNormal"/>
              <w:jc w:val="center"/>
            </w:pPr>
            <w:r>
              <w:t>0,62 (0,54)</w:t>
            </w:r>
          </w:p>
        </w:tc>
        <w:tc>
          <w:tcPr>
            <w:tcW w:w="958" w:type="dxa"/>
            <w:tcBorders>
              <w:top w:val="nil"/>
              <w:bottom w:val="nil"/>
            </w:tcBorders>
          </w:tcPr>
          <w:p w:rsidR="00212513" w:rsidRDefault="00212513">
            <w:pPr>
              <w:pStyle w:val="ConsPlusNormal"/>
              <w:jc w:val="center"/>
            </w:pPr>
            <w:r>
              <w:t>0,57 (0,49)</w:t>
            </w:r>
          </w:p>
        </w:tc>
        <w:tc>
          <w:tcPr>
            <w:tcW w:w="958" w:type="dxa"/>
            <w:tcBorders>
              <w:top w:val="nil"/>
              <w:bottom w:val="nil"/>
            </w:tcBorders>
          </w:tcPr>
          <w:p w:rsidR="00212513" w:rsidRDefault="00212513">
            <w:pPr>
              <w:pStyle w:val="ConsPlusNormal"/>
              <w:jc w:val="center"/>
            </w:pPr>
            <w:r>
              <w:t>0,50 (0,43)</w:t>
            </w:r>
          </w:p>
        </w:tc>
        <w:tc>
          <w:tcPr>
            <w:tcW w:w="958" w:type="dxa"/>
            <w:tcBorders>
              <w:top w:val="nil"/>
              <w:bottom w:val="nil"/>
            </w:tcBorders>
          </w:tcPr>
          <w:p w:rsidR="00212513" w:rsidRDefault="00212513">
            <w:pPr>
              <w:pStyle w:val="ConsPlusNormal"/>
              <w:jc w:val="center"/>
            </w:pPr>
            <w:r>
              <w:t>0,43 (0,39)</w:t>
            </w:r>
          </w:p>
        </w:tc>
        <w:tc>
          <w:tcPr>
            <w:tcW w:w="958" w:type="dxa"/>
            <w:tcBorders>
              <w:top w:val="nil"/>
              <w:bottom w:val="nil"/>
            </w:tcBorders>
          </w:tcPr>
          <w:p w:rsidR="00212513" w:rsidRDefault="00212513">
            <w:pPr>
              <w:pStyle w:val="ConsPlusNormal"/>
              <w:jc w:val="center"/>
            </w:pPr>
            <w:r>
              <w:t>0,38 (0,36)</w:t>
            </w:r>
          </w:p>
        </w:tc>
        <w:tc>
          <w:tcPr>
            <w:tcW w:w="958" w:type="dxa"/>
            <w:tcBorders>
              <w:top w:val="nil"/>
              <w:bottom w:val="nil"/>
            </w:tcBorders>
          </w:tcPr>
          <w:p w:rsidR="00212513" w:rsidRDefault="00212513">
            <w:pPr>
              <w:pStyle w:val="ConsPlusNormal"/>
              <w:jc w:val="center"/>
            </w:pPr>
            <w:r>
              <w:t>0,32 (0,31)</w:t>
            </w:r>
          </w:p>
        </w:tc>
        <w:tc>
          <w:tcPr>
            <w:tcW w:w="958" w:type="dxa"/>
            <w:tcBorders>
              <w:top w:val="nil"/>
              <w:bottom w:val="nil"/>
            </w:tcBorders>
          </w:tcPr>
          <w:p w:rsidR="00212513" w:rsidRDefault="00212513">
            <w:pPr>
              <w:pStyle w:val="ConsPlusNormal"/>
              <w:jc w:val="center"/>
            </w:pPr>
            <w:r>
              <w:t>0,28</w:t>
            </w:r>
          </w:p>
        </w:tc>
        <w:tc>
          <w:tcPr>
            <w:tcW w:w="958" w:type="dxa"/>
            <w:tcBorders>
              <w:top w:val="nil"/>
              <w:bottom w:val="nil"/>
            </w:tcBorders>
          </w:tcPr>
          <w:p w:rsidR="00212513" w:rsidRDefault="00212513">
            <w:pPr>
              <w:pStyle w:val="ConsPlusNormal"/>
              <w:jc w:val="center"/>
            </w:pPr>
            <w:r>
              <w:t>0,24</w:t>
            </w:r>
          </w:p>
        </w:tc>
        <w:tc>
          <w:tcPr>
            <w:tcW w:w="958" w:type="dxa"/>
            <w:tcBorders>
              <w:top w:val="nil"/>
              <w:bottom w:val="nil"/>
            </w:tcBorders>
          </w:tcPr>
          <w:p w:rsidR="00212513" w:rsidRDefault="00212513">
            <w:pPr>
              <w:pStyle w:val="ConsPlusNormal"/>
              <w:jc w:val="center"/>
            </w:pPr>
            <w:r>
              <w:t>0,22</w:t>
            </w:r>
          </w:p>
        </w:tc>
        <w:tc>
          <w:tcPr>
            <w:tcW w:w="958" w:type="dxa"/>
            <w:tcBorders>
              <w:top w:val="nil"/>
              <w:bottom w:val="nil"/>
            </w:tcBorders>
          </w:tcPr>
          <w:p w:rsidR="00212513" w:rsidRDefault="00212513">
            <w:pPr>
              <w:pStyle w:val="ConsPlusNormal"/>
              <w:jc w:val="center"/>
            </w:pPr>
            <w:r>
              <w:t>0,20</w:t>
            </w:r>
          </w:p>
        </w:tc>
        <w:tc>
          <w:tcPr>
            <w:tcW w:w="958" w:type="dxa"/>
            <w:tcBorders>
              <w:top w:val="nil"/>
              <w:bottom w:val="nil"/>
            </w:tcBorders>
          </w:tcPr>
          <w:p w:rsidR="00212513" w:rsidRDefault="00212513">
            <w:pPr>
              <w:pStyle w:val="ConsPlusNormal"/>
              <w:jc w:val="center"/>
            </w:pPr>
            <w:r>
              <w:t>0,19</w:t>
            </w:r>
          </w:p>
        </w:tc>
        <w:tc>
          <w:tcPr>
            <w:tcW w:w="958" w:type="dxa"/>
            <w:tcBorders>
              <w:top w:val="nil"/>
              <w:bottom w:val="nil"/>
            </w:tcBorders>
          </w:tcPr>
          <w:p w:rsidR="00212513" w:rsidRDefault="00212513">
            <w:pPr>
              <w:pStyle w:val="ConsPlusNormal"/>
              <w:jc w:val="center"/>
            </w:pPr>
            <w:r>
              <w:t>0,15</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90</w:t>
            </w:r>
          </w:p>
        </w:tc>
        <w:tc>
          <w:tcPr>
            <w:tcW w:w="958" w:type="dxa"/>
            <w:tcBorders>
              <w:top w:val="nil"/>
              <w:bottom w:val="nil"/>
            </w:tcBorders>
          </w:tcPr>
          <w:p w:rsidR="00212513" w:rsidRDefault="00212513">
            <w:pPr>
              <w:pStyle w:val="ConsPlusNormal"/>
              <w:jc w:val="center"/>
            </w:pPr>
            <w:r>
              <w:t>0,63 (0,54)</w:t>
            </w:r>
          </w:p>
        </w:tc>
        <w:tc>
          <w:tcPr>
            <w:tcW w:w="958" w:type="dxa"/>
            <w:tcBorders>
              <w:top w:val="nil"/>
              <w:bottom w:val="nil"/>
            </w:tcBorders>
          </w:tcPr>
          <w:p w:rsidR="00212513" w:rsidRDefault="00212513">
            <w:pPr>
              <w:pStyle w:val="ConsPlusNormal"/>
              <w:jc w:val="center"/>
            </w:pPr>
            <w:r>
              <w:t>0,56 (0,49)</w:t>
            </w:r>
          </w:p>
        </w:tc>
        <w:tc>
          <w:tcPr>
            <w:tcW w:w="958" w:type="dxa"/>
            <w:tcBorders>
              <w:top w:val="nil"/>
              <w:bottom w:val="nil"/>
            </w:tcBorders>
          </w:tcPr>
          <w:p w:rsidR="00212513" w:rsidRDefault="00212513">
            <w:pPr>
              <w:pStyle w:val="ConsPlusNormal"/>
              <w:jc w:val="center"/>
            </w:pPr>
            <w:r>
              <w:t>0,51 (0,44)</w:t>
            </w:r>
          </w:p>
        </w:tc>
        <w:tc>
          <w:tcPr>
            <w:tcW w:w="958" w:type="dxa"/>
            <w:tcBorders>
              <w:top w:val="nil"/>
              <w:bottom w:val="nil"/>
            </w:tcBorders>
          </w:tcPr>
          <w:p w:rsidR="00212513" w:rsidRDefault="00212513">
            <w:pPr>
              <w:pStyle w:val="ConsPlusNormal"/>
              <w:jc w:val="center"/>
            </w:pPr>
            <w:r>
              <w:t>0,45 (0,40)</w:t>
            </w:r>
          </w:p>
        </w:tc>
        <w:tc>
          <w:tcPr>
            <w:tcW w:w="958" w:type="dxa"/>
            <w:tcBorders>
              <w:top w:val="nil"/>
              <w:bottom w:val="nil"/>
            </w:tcBorders>
          </w:tcPr>
          <w:p w:rsidR="00212513" w:rsidRDefault="00212513">
            <w:pPr>
              <w:pStyle w:val="ConsPlusNormal"/>
              <w:jc w:val="center"/>
            </w:pPr>
            <w:r>
              <w:t>0,40 (0,36)</w:t>
            </w:r>
          </w:p>
        </w:tc>
        <w:tc>
          <w:tcPr>
            <w:tcW w:w="958" w:type="dxa"/>
            <w:tcBorders>
              <w:top w:val="nil"/>
              <w:bottom w:val="nil"/>
            </w:tcBorders>
          </w:tcPr>
          <w:p w:rsidR="00212513" w:rsidRDefault="00212513">
            <w:pPr>
              <w:pStyle w:val="ConsPlusNormal"/>
              <w:jc w:val="center"/>
            </w:pPr>
            <w:r>
              <w:t>0,36 (0,33)</w:t>
            </w:r>
          </w:p>
        </w:tc>
        <w:tc>
          <w:tcPr>
            <w:tcW w:w="958" w:type="dxa"/>
            <w:tcBorders>
              <w:top w:val="nil"/>
              <w:bottom w:val="nil"/>
            </w:tcBorders>
          </w:tcPr>
          <w:p w:rsidR="00212513" w:rsidRDefault="00212513">
            <w:pPr>
              <w:pStyle w:val="ConsPlusNormal"/>
              <w:jc w:val="center"/>
            </w:pPr>
            <w:r>
              <w:t>0,30 (0,28)</w:t>
            </w:r>
          </w:p>
        </w:tc>
        <w:tc>
          <w:tcPr>
            <w:tcW w:w="958" w:type="dxa"/>
            <w:tcBorders>
              <w:top w:val="nil"/>
              <w:bottom w:val="nil"/>
            </w:tcBorders>
          </w:tcPr>
          <w:p w:rsidR="00212513" w:rsidRDefault="00212513">
            <w:pPr>
              <w:pStyle w:val="ConsPlusNormal"/>
              <w:jc w:val="center"/>
            </w:pPr>
            <w:r>
              <w:t>0,26</w:t>
            </w:r>
          </w:p>
        </w:tc>
        <w:tc>
          <w:tcPr>
            <w:tcW w:w="958" w:type="dxa"/>
            <w:tcBorders>
              <w:top w:val="nil"/>
              <w:bottom w:val="nil"/>
            </w:tcBorders>
          </w:tcPr>
          <w:p w:rsidR="00212513" w:rsidRDefault="00212513">
            <w:pPr>
              <w:pStyle w:val="ConsPlusNormal"/>
              <w:jc w:val="center"/>
            </w:pPr>
            <w:r>
              <w:t>0,23</w:t>
            </w:r>
          </w:p>
        </w:tc>
        <w:tc>
          <w:tcPr>
            <w:tcW w:w="958" w:type="dxa"/>
            <w:tcBorders>
              <w:top w:val="nil"/>
              <w:bottom w:val="nil"/>
            </w:tcBorders>
          </w:tcPr>
          <w:p w:rsidR="00212513" w:rsidRDefault="00212513">
            <w:pPr>
              <w:pStyle w:val="ConsPlusNormal"/>
              <w:jc w:val="center"/>
            </w:pPr>
            <w:r>
              <w:t>0,21</w:t>
            </w:r>
          </w:p>
        </w:tc>
        <w:tc>
          <w:tcPr>
            <w:tcW w:w="958" w:type="dxa"/>
            <w:tcBorders>
              <w:top w:val="nil"/>
              <w:bottom w:val="nil"/>
            </w:tcBorders>
          </w:tcPr>
          <w:p w:rsidR="00212513" w:rsidRDefault="00212513">
            <w:pPr>
              <w:pStyle w:val="ConsPlusNormal"/>
              <w:jc w:val="center"/>
            </w:pPr>
            <w:r>
              <w:t>0,19</w:t>
            </w:r>
          </w:p>
        </w:tc>
        <w:tc>
          <w:tcPr>
            <w:tcW w:w="958" w:type="dxa"/>
            <w:tcBorders>
              <w:top w:val="nil"/>
              <w:bottom w:val="nil"/>
            </w:tcBorders>
          </w:tcPr>
          <w:p w:rsidR="00212513" w:rsidRDefault="00212513">
            <w:pPr>
              <w:pStyle w:val="ConsPlusNormal"/>
              <w:jc w:val="center"/>
            </w:pPr>
            <w:r>
              <w:t>0,18</w:t>
            </w:r>
          </w:p>
        </w:tc>
        <w:tc>
          <w:tcPr>
            <w:tcW w:w="958" w:type="dxa"/>
            <w:tcBorders>
              <w:top w:val="nil"/>
              <w:bottom w:val="nil"/>
            </w:tcBorders>
          </w:tcPr>
          <w:p w:rsidR="00212513" w:rsidRDefault="00212513">
            <w:pPr>
              <w:pStyle w:val="ConsPlusNormal"/>
              <w:jc w:val="center"/>
            </w:pPr>
            <w:r>
              <w:t>0,15</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lastRenderedPageBreak/>
              <w:t>100</w:t>
            </w:r>
          </w:p>
        </w:tc>
        <w:tc>
          <w:tcPr>
            <w:tcW w:w="958" w:type="dxa"/>
            <w:tcBorders>
              <w:top w:val="nil"/>
              <w:bottom w:val="nil"/>
            </w:tcBorders>
          </w:tcPr>
          <w:p w:rsidR="00212513" w:rsidRDefault="00212513">
            <w:pPr>
              <w:pStyle w:val="ConsPlusNormal"/>
              <w:jc w:val="center"/>
            </w:pPr>
            <w:r>
              <w:t>0,56 (0,49)</w:t>
            </w:r>
          </w:p>
        </w:tc>
        <w:tc>
          <w:tcPr>
            <w:tcW w:w="958" w:type="dxa"/>
            <w:tcBorders>
              <w:top w:val="nil"/>
              <w:bottom w:val="nil"/>
            </w:tcBorders>
          </w:tcPr>
          <w:p w:rsidR="00212513" w:rsidRDefault="00212513">
            <w:pPr>
              <w:pStyle w:val="ConsPlusNormal"/>
              <w:jc w:val="center"/>
            </w:pPr>
            <w:r>
              <w:t>0,49 (0,44)</w:t>
            </w:r>
          </w:p>
        </w:tc>
        <w:tc>
          <w:tcPr>
            <w:tcW w:w="958" w:type="dxa"/>
            <w:tcBorders>
              <w:top w:val="nil"/>
              <w:bottom w:val="nil"/>
            </w:tcBorders>
          </w:tcPr>
          <w:p w:rsidR="00212513" w:rsidRDefault="00212513">
            <w:pPr>
              <w:pStyle w:val="ConsPlusNormal"/>
              <w:jc w:val="center"/>
            </w:pPr>
            <w:r>
              <w:t>0,45 (0,40)</w:t>
            </w:r>
          </w:p>
        </w:tc>
        <w:tc>
          <w:tcPr>
            <w:tcW w:w="958" w:type="dxa"/>
            <w:tcBorders>
              <w:top w:val="nil"/>
              <w:bottom w:val="nil"/>
            </w:tcBorders>
          </w:tcPr>
          <w:p w:rsidR="00212513" w:rsidRDefault="00212513">
            <w:pPr>
              <w:pStyle w:val="ConsPlusNormal"/>
              <w:jc w:val="center"/>
            </w:pPr>
            <w:r>
              <w:t>0,41 (0,37)</w:t>
            </w:r>
          </w:p>
        </w:tc>
        <w:tc>
          <w:tcPr>
            <w:tcW w:w="958" w:type="dxa"/>
            <w:tcBorders>
              <w:top w:val="nil"/>
              <w:bottom w:val="nil"/>
            </w:tcBorders>
          </w:tcPr>
          <w:p w:rsidR="00212513" w:rsidRDefault="00212513">
            <w:pPr>
              <w:pStyle w:val="ConsPlusNormal"/>
              <w:jc w:val="center"/>
            </w:pPr>
            <w:r>
              <w:t>0,37 (0,33)</w:t>
            </w:r>
          </w:p>
        </w:tc>
        <w:tc>
          <w:tcPr>
            <w:tcW w:w="958" w:type="dxa"/>
            <w:tcBorders>
              <w:top w:val="nil"/>
              <w:bottom w:val="nil"/>
            </w:tcBorders>
          </w:tcPr>
          <w:p w:rsidR="00212513" w:rsidRDefault="00212513">
            <w:pPr>
              <w:pStyle w:val="ConsPlusNormal"/>
              <w:jc w:val="center"/>
            </w:pPr>
            <w:r>
              <w:t>0,33 (0,30)</w:t>
            </w:r>
          </w:p>
        </w:tc>
        <w:tc>
          <w:tcPr>
            <w:tcW w:w="958" w:type="dxa"/>
            <w:tcBorders>
              <w:top w:val="nil"/>
              <w:bottom w:val="nil"/>
            </w:tcBorders>
          </w:tcPr>
          <w:p w:rsidR="00212513" w:rsidRDefault="00212513">
            <w:pPr>
              <w:pStyle w:val="ConsPlusNormal"/>
              <w:jc w:val="center"/>
            </w:pPr>
            <w:r>
              <w:t>0,29 (0,26)</w:t>
            </w:r>
          </w:p>
        </w:tc>
        <w:tc>
          <w:tcPr>
            <w:tcW w:w="958" w:type="dxa"/>
            <w:tcBorders>
              <w:top w:val="nil"/>
              <w:bottom w:val="nil"/>
            </w:tcBorders>
          </w:tcPr>
          <w:p w:rsidR="00212513" w:rsidRDefault="00212513">
            <w:pPr>
              <w:pStyle w:val="ConsPlusNormal"/>
              <w:jc w:val="center"/>
            </w:pPr>
            <w:r>
              <w:t>0,25</w:t>
            </w:r>
          </w:p>
        </w:tc>
        <w:tc>
          <w:tcPr>
            <w:tcW w:w="958" w:type="dxa"/>
            <w:tcBorders>
              <w:top w:val="nil"/>
              <w:bottom w:val="nil"/>
            </w:tcBorders>
          </w:tcPr>
          <w:p w:rsidR="00212513" w:rsidRDefault="00212513">
            <w:pPr>
              <w:pStyle w:val="ConsPlusNormal"/>
              <w:jc w:val="center"/>
            </w:pPr>
            <w:r>
              <w:t>0,22</w:t>
            </w:r>
          </w:p>
        </w:tc>
        <w:tc>
          <w:tcPr>
            <w:tcW w:w="958" w:type="dxa"/>
            <w:tcBorders>
              <w:top w:val="nil"/>
              <w:bottom w:val="nil"/>
            </w:tcBorders>
          </w:tcPr>
          <w:p w:rsidR="00212513" w:rsidRDefault="00212513">
            <w:pPr>
              <w:pStyle w:val="ConsPlusNormal"/>
              <w:jc w:val="center"/>
            </w:pPr>
            <w:r>
              <w:t>0,20</w:t>
            </w:r>
          </w:p>
        </w:tc>
        <w:tc>
          <w:tcPr>
            <w:tcW w:w="958" w:type="dxa"/>
            <w:tcBorders>
              <w:top w:val="nil"/>
              <w:bottom w:val="nil"/>
            </w:tcBorders>
          </w:tcPr>
          <w:p w:rsidR="00212513" w:rsidRDefault="00212513">
            <w:pPr>
              <w:pStyle w:val="ConsPlusNormal"/>
              <w:jc w:val="center"/>
            </w:pPr>
            <w:r>
              <w:t>0,19</w:t>
            </w:r>
          </w:p>
        </w:tc>
        <w:tc>
          <w:tcPr>
            <w:tcW w:w="958" w:type="dxa"/>
            <w:tcBorders>
              <w:top w:val="nil"/>
              <w:bottom w:val="nil"/>
            </w:tcBorders>
          </w:tcPr>
          <w:p w:rsidR="00212513" w:rsidRDefault="00212513">
            <w:pPr>
              <w:pStyle w:val="ConsPlusNormal"/>
              <w:jc w:val="center"/>
            </w:pPr>
            <w:r>
              <w:t>0,17</w:t>
            </w:r>
          </w:p>
        </w:tc>
        <w:tc>
          <w:tcPr>
            <w:tcW w:w="958" w:type="dxa"/>
            <w:tcBorders>
              <w:top w:val="nil"/>
              <w:bottom w:val="nil"/>
            </w:tcBorders>
          </w:tcPr>
          <w:p w:rsidR="00212513" w:rsidRDefault="00212513">
            <w:pPr>
              <w:pStyle w:val="ConsPlusNormal"/>
              <w:jc w:val="center"/>
            </w:pPr>
            <w:r>
              <w:t>0,14</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110</w:t>
            </w:r>
          </w:p>
        </w:tc>
        <w:tc>
          <w:tcPr>
            <w:tcW w:w="958" w:type="dxa"/>
            <w:tcBorders>
              <w:top w:val="nil"/>
              <w:bottom w:val="nil"/>
            </w:tcBorders>
          </w:tcPr>
          <w:p w:rsidR="00212513" w:rsidRDefault="00212513">
            <w:pPr>
              <w:pStyle w:val="ConsPlusNormal"/>
              <w:jc w:val="center"/>
            </w:pPr>
            <w:r>
              <w:t>0,49 (0,44)</w:t>
            </w:r>
          </w:p>
        </w:tc>
        <w:tc>
          <w:tcPr>
            <w:tcW w:w="958" w:type="dxa"/>
            <w:tcBorders>
              <w:top w:val="nil"/>
              <w:bottom w:val="nil"/>
            </w:tcBorders>
          </w:tcPr>
          <w:p w:rsidR="00212513" w:rsidRDefault="00212513">
            <w:pPr>
              <w:pStyle w:val="ConsPlusNormal"/>
              <w:jc w:val="center"/>
            </w:pPr>
            <w:r>
              <w:t>0,43 (0,40)</w:t>
            </w:r>
          </w:p>
        </w:tc>
        <w:tc>
          <w:tcPr>
            <w:tcW w:w="958" w:type="dxa"/>
            <w:tcBorders>
              <w:top w:val="nil"/>
              <w:bottom w:val="nil"/>
            </w:tcBorders>
          </w:tcPr>
          <w:p w:rsidR="00212513" w:rsidRDefault="00212513">
            <w:pPr>
              <w:pStyle w:val="ConsPlusNormal"/>
              <w:jc w:val="center"/>
            </w:pPr>
            <w:r>
              <w:t>0,41 (0,37)</w:t>
            </w:r>
          </w:p>
        </w:tc>
        <w:tc>
          <w:tcPr>
            <w:tcW w:w="958" w:type="dxa"/>
            <w:tcBorders>
              <w:top w:val="nil"/>
              <w:bottom w:val="nil"/>
            </w:tcBorders>
          </w:tcPr>
          <w:p w:rsidR="00212513" w:rsidRDefault="00212513">
            <w:pPr>
              <w:pStyle w:val="ConsPlusNormal"/>
              <w:jc w:val="center"/>
            </w:pPr>
            <w:r>
              <w:t>0,37 (0,34)</w:t>
            </w:r>
          </w:p>
        </w:tc>
        <w:tc>
          <w:tcPr>
            <w:tcW w:w="958" w:type="dxa"/>
            <w:tcBorders>
              <w:top w:val="nil"/>
              <w:bottom w:val="nil"/>
            </w:tcBorders>
          </w:tcPr>
          <w:p w:rsidR="00212513" w:rsidRDefault="00212513">
            <w:pPr>
              <w:pStyle w:val="ConsPlusNormal"/>
              <w:jc w:val="center"/>
            </w:pPr>
            <w:r>
              <w:t>0,34 (0,31)</w:t>
            </w:r>
          </w:p>
        </w:tc>
        <w:tc>
          <w:tcPr>
            <w:tcW w:w="958" w:type="dxa"/>
            <w:tcBorders>
              <w:top w:val="nil"/>
              <w:bottom w:val="nil"/>
            </w:tcBorders>
          </w:tcPr>
          <w:p w:rsidR="00212513" w:rsidRDefault="00212513">
            <w:pPr>
              <w:pStyle w:val="ConsPlusNormal"/>
              <w:jc w:val="center"/>
            </w:pPr>
            <w:r>
              <w:t>0,31 (0,29)</w:t>
            </w:r>
          </w:p>
        </w:tc>
        <w:tc>
          <w:tcPr>
            <w:tcW w:w="958" w:type="dxa"/>
            <w:tcBorders>
              <w:top w:val="nil"/>
              <w:bottom w:val="nil"/>
            </w:tcBorders>
          </w:tcPr>
          <w:p w:rsidR="00212513" w:rsidRDefault="00212513">
            <w:pPr>
              <w:pStyle w:val="ConsPlusNormal"/>
              <w:jc w:val="center"/>
            </w:pPr>
            <w:r>
              <w:t>0,27 (0,25)</w:t>
            </w:r>
          </w:p>
        </w:tc>
        <w:tc>
          <w:tcPr>
            <w:tcW w:w="958" w:type="dxa"/>
            <w:tcBorders>
              <w:top w:val="nil"/>
              <w:bottom w:val="nil"/>
            </w:tcBorders>
          </w:tcPr>
          <w:p w:rsidR="00212513" w:rsidRDefault="00212513">
            <w:pPr>
              <w:pStyle w:val="ConsPlusNormal"/>
              <w:jc w:val="center"/>
            </w:pPr>
            <w:r>
              <w:t>0,24</w:t>
            </w:r>
          </w:p>
        </w:tc>
        <w:tc>
          <w:tcPr>
            <w:tcW w:w="958" w:type="dxa"/>
            <w:tcBorders>
              <w:top w:val="nil"/>
              <w:bottom w:val="nil"/>
            </w:tcBorders>
          </w:tcPr>
          <w:p w:rsidR="00212513" w:rsidRDefault="00212513">
            <w:pPr>
              <w:pStyle w:val="ConsPlusNormal"/>
              <w:jc w:val="center"/>
            </w:pPr>
            <w:r>
              <w:t>0,21</w:t>
            </w:r>
          </w:p>
        </w:tc>
        <w:tc>
          <w:tcPr>
            <w:tcW w:w="958" w:type="dxa"/>
            <w:tcBorders>
              <w:top w:val="nil"/>
              <w:bottom w:val="nil"/>
            </w:tcBorders>
          </w:tcPr>
          <w:p w:rsidR="00212513" w:rsidRDefault="00212513">
            <w:pPr>
              <w:pStyle w:val="ConsPlusNormal"/>
              <w:jc w:val="center"/>
            </w:pPr>
            <w:r>
              <w:t>0,19</w:t>
            </w:r>
          </w:p>
        </w:tc>
        <w:tc>
          <w:tcPr>
            <w:tcW w:w="958" w:type="dxa"/>
            <w:tcBorders>
              <w:top w:val="nil"/>
              <w:bottom w:val="nil"/>
            </w:tcBorders>
          </w:tcPr>
          <w:p w:rsidR="00212513" w:rsidRDefault="00212513">
            <w:pPr>
              <w:pStyle w:val="ConsPlusNormal"/>
              <w:jc w:val="center"/>
            </w:pPr>
            <w:r>
              <w:t>0,18</w:t>
            </w:r>
          </w:p>
        </w:tc>
        <w:tc>
          <w:tcPr>
            <w:tcW w:w="958" w:type="dxa"/>
            <w:tcBorders>
              <w:top w:val="nil"/>
              <w:bottom w:val="nil"/>
            </w:tcBorders>
          </w:tcPr>
          <w:p w:rsidR="00212513" w:rsidRDefault="00212513">
            <w:pPr>
              <w:pStyle w:val="ConsPlusNormal"/>
              <w:jc w:val="center"/>
            </w:pPr>
            <w:r>
              <w:t>0,16</w:t>
            </w:r>
          </w:p>
        </w:tc>
        <w:tc>
          <w:tcPr>
            <w:tcW w:w="958" w:type="dxa"/>
            <w:tcBorders>
              <w:top w:val="nil"/>
              <w:bottom w:val="nil"/>
            </w:tcBorders>
          </w:tcPr>
          <w:p w:rsidR="00212513" w:rsidRDefault="00212513">
            <w:pPr>
              <w:pStyle w:val="ConsPlusNormal"/>
              <w:jc w:val="center"/>
            </w:pPr>
            <w:r>
              <w:t>0,14</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120</w:t>
            </w:r>
          </w:p>
        </w:tc>
        <w:tc>
          <w:tcPr>
            <w:tcW w:w="958" w:type="dxa"/>
            <w:tcBorders>
              <w:top w:val="nil"/>
              <w:bottom w:val="nil"/>
            </w:tcBorders>
          </w:tcPr>
          <w:p w:rsidR="00212513" w:rsidRDefault="00212513">
            <w:pPr>
              <w:pStyle w:val="ConsPlusNormal"/>
              <w:jc w:val="center"/>
            </w:pPr>
            <w:r>
              <w:t>0,43 (0,41)</w:t>
            </w:r>
          </w:p>
        </w:tc>
        <w:tc>
          <w:tcPr>
            <w:tcW w:w="958" w:type="dxa"/>
            <w:tcBorders>
              <w:top w:val="nil"/>
              <w:bottom w:val="nil"/>
            </w:tcBorders>
          </w:tcPr>
          <w:p w:rsidR="00212513" w:rsidRDefault="00212513">
            <w:pPr>
              <w:pStyle w:val="ConsPlusNormal"/>
              <w:jc w:val="center"/>
            </w:pPr>
            <w:r>
              <w:t>0,39 (0,37)</w:t>
            </w:r>
          </w:p>
        </w:tc>
        <w:tc>
          <w:tcPr>
            <w:tcW w:w="958" w:type="dxa"/>
            <w:tcBorders>
              <w:top w:val="nil"/>
              <w:bottom w:val="nil"/>
            </w:tcBorders>
          </w:tcPr>
          <w:p w:rsidR="00212513" w:rsidRDefault="00212513">
            <w:pPr>
              <w:pStyle w:val="ConsPlusNormal"/>
              <w:jc w:val="center"/>
            </w:pPr>
            <w:r>
              <w:t>0,37 (0,34)</w:t>
            </w:r>
          </w:p>
        </w:tc>
        <w:tc>
          <w:tcPr>
            <w:tcW w:w="958" w:type="dxa"/>
            <w:tcBorders>
              <w:top w:val="nil"/>
              <w:bottom w:val="nil"/>
            </w:tcBorders>
          </w:tcPr>
          <w:p w:rsidR="00212513" w:rsidRDefault="00212513">
            <w:pPr>
              <w:pStyle w:val="ConsPlusNormal"/>
              <w:jc w:val="center"/>
            </w:pPr>
            <w:r>
              <w:t>0,34 (0,31)</w:t>
            </w:r>
          </w:p>
        </w:tc>
        <w:tc>
          <w:tcPr>
            <w:tcW w:w="958" w:type="dxa"/>
            <w:tcBorders>
              <w:top w:val="nil"/>
              <w:bottom w:val="nil"/>
            </w:tcBorders>
          </w:tcPr>
          <w:p w:rsidR="00212513" w:rsidRDefault="00212513">
            <w:pPr>
              <w:pStyle w:val="ConsPlusNormal"/>
              <w:jc w:val="center"/>
            </w:pPr>
            <w:r>
              <w:t>0,31 (0,28)</w:t>
            </w:r>
          </w:p>
        </w:tc>
        <w:tc>
          <w:tcPr>
            <w:tcW w:w="958" w:type="dxa"/>
            <w:tcBorders>
              <w:top w:val="nil"/>
              <w:bottom w:val="nil"/>
            </w:tcBorders>
          </w:tcPr>
          <w:p w:rsidR="00212513" w:rsidRDefault="00212513">
            <w:pPr>
              <w:pStyle w:val="ConsPlusNormal"/>
              <w:jc w:val="center"/>
            </w:pPr>
            <w:r>
              <w:t>0,29 (0,27)</w:t>
            </w:r>
          </w:p>
        </w:tc>
        <w:tc>
          <w:tcPr>
            <w:tcW w:w="958" w:type="dxa"/>
            <w:tcBorders>
              <w:top w:val="nil"/>
              <w:bottom w:val="nil"/>
            </w:tcBorders>
          </w:tcPr>
          <w:p w:rsidR="00212513" w:rsidRDefault="00212513">
            <w:pPr>
              <w:pStyle w:val="ConsPlusNormal"/>
              <w:jc w:val="center"/>
            </w:pPr>
            <w:r>
              <w:t>0,25 (0,23)</w:t>
            </w:r>
          </w:p>
        </w:tc>
        <w:tc>
          <w:tcPr>
            <w:tcW w:w="958" w:type="dxa"/>
            <w:tcBorders>
              <w:top w:val="nil"/>
              <w:bottom w:val="nil"/>
            </w:tcBorders>
          </w:tcPr>
          <w:p w:rsidR="00212513" w:rsidRDefault="00212513">
            <w:pPr>
              <w:pStyle w:val="ConsPlusNormal"/>
              <w:jc w:val="center"/>
            </w:pPr>
            <w:r>
              <w:t>0,22</w:t>
            </w:r>
          </w:p>
        </w:tc>
        <w:tc>
          <w:tcPr>
            <w:tcW w:w="958" w:type="dxa"/>
            <w:tcBorders>
              <w:top w:val="nil"/>
              <w:bottom w:val="nil"/>
            </w:tcBorders>
          </w:tcPr>
          <w:p w:rsidR="00212513" w:rsidRDefault="00212513">
            <w:pPr>
              <w:pStyle w:val="ConsPlusNormal"/>
              <w:jc w:val="center"/>
            </w:pPr>
            <w:r>
              <w:t>0,20</w:t>
            </w:r>
          </w:p>
        </w:tc>
        <w:tc>
          <w:tcPr>
            <w:tcW w:w="958" w:type="dxa"/>
            <w:tcBorders>
              <w:top w:val="nil"/>
              <w:bottom w:val="nil"/>
            </w:tcBorders>
          </w:tcPr>
          <w:p w:rsidR="00212513" w:rsidRDefault="00212513">
            <w:pPr>
              <w:pStyle w:val="ConsPlusNormal"/>
              <w:jc w:val="center"/>
            </w:pPr>
            <w:r>
              <w:t>0,18</w:t>
            </w:r>
          </w:p>
        </w:tc>
        <w:tc>
          <w:tcPr>
            <w:tcW w:w="958" w:type="dxa"/>
            <w:tcBorders>
              <w:top w:val="nil"/>
              <w:bottom w:val="nil"/>
            </w:tcBorders>
          </w:tcPr>
          <w:p w:rsidR="00212513" w:rsidRDefault="00212513">
            <w:pPr>
              <w:pStyle w:val="ConsPlusNormal"/>
              <w:jc w:val="center"/>
            </w:pPr>
            <w:r>
              <w:t>0,17</w:t>
            </w:r>
          </w:p>
        </w:tc>
        <w:tc>
          <w:tcPr>
            <w:tcW w:w="958" w:type="dxa"/>
            <w:tcBorders>
              <w:top w:val="nil"/>
              <w:bottom w:val="nil"/>
            </w:tcBorders>
          </w:tcPr>
          <w:p w:rsidR="00212513" w:rsidRDefault="00212513">
            <w:pPr>
              <w:pStyle w:val="ConsPlusNormal"/>
              <w:jc w:val="center"/>
            </w:pPr>
            <w:r>
              <w:t>0,15</w:t>
            </w:r>
          </w:p>
        </w:tc>
        <w:tc>
          <w:tcPr>
            <w:tcW w:w="958" w:type="dxa"/>
            <w:tcBorders>
              <w:top w:val="nil"/>
              <w:bottom w:val="nil"/>
            </w:tcBorders>
          </w:tcPr>
          <w:p w:rsidR="00212513" w:rsidRDefault="00212513">
            <w:pPr>
              <w:pStyle w:val="ConsPlusNormal"/>
              <w:jc w:val="center"/>
            </w:pPr>
            <w:r>
              <w:t>0,13</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130</w:t>
            </w:r>
          </w:p>
        </w:tc>
        <w:tc>
          <w:tcPr>
            <w:tcW w:w="958" w:type="dxa"/>
            <w:tcBorders>
              <w:top w:val="nil"/>
              <w:bottom w:val="nil"/>
            </w:tcBorders>
          </w:tcPr>
          <w:p w:rsidR="00212513" w:rsidRDefault="00212513">
            <w:pPr>
              <w:pStyle w:val="ConsPlusNormal"/>
              <w:jc w:val="center"/>
            </w:pPr>
            <w:r>
              <w:t>0,38 (0,37)</w:t>
            </w:r>
          </w:p>
        </w:tc>
        <w:tc>
          <w:tcPr>
            <w:tcW w:w="958" w:type="dxa"/>
            <w:tcBorders>
              <w:top w:val="nil"/>
              <w:bottom w:val="nil"/>
            </w:tcBorders>
          </w:tcPr>
          <w:p w:rsidR="00212513" w:rsidRDefault="00212513">
            <w:pPr>
              <w:pStyle w:val="ConsPlusNormal"/>
              <w:jc w:val="center"/>
            </w:pPr>
            <w:r>
              <w:t>0,35 (0,34)</w:t>
            </w:r>
          </w:p>
        </w:tc>
        <w:tc>
          <w:tcPr>
            <w:tcW w:w="958" w:type="dxa"/>
            <w:tcBorders>
              <w:top w:val="nil"/>
              <w:bottom w:val="nil"/>
            </w:tcBorders>
          </w:tcPr>
          <w:p w:rsidR="00212513" w:rsidRDefault="00212513">
            <w:pPr>
              <w:pStyle w:val="ConsPlusNormal"/>
              <w:jc w:val="center"/>
            </w:pPr>
            <w:r>
              <w:t>0,33 (0,31)</w:t>
            </w:r>
          </w:p>
        </w:tc>
        <w:tc>
          <w:tcPr>
            <w:tcW w:w="958" w:type="dxa"/>
            <w:tcBorders>
              <w:top w:val="nil"/>
              <w:bottom w:val="nil"/>
            </w:tcBorders>
          </w:tcPr>
          <w:p w:rsidR="00212513" w:rsidRDefault="00212513">
            <w:pPr>
              <w:pStyle w:val="ConsPlusNormal"/>
              <w:jc w:val="center"/>
            </w:pPr>
            <w:r>
              <w:t>0,31 (0,29)</w:t>
            </w:r>
          </w:p>
        </w:tc>
        <w:tc>
          <w:tcPr>
            <w:tcW w:w="958" w:type="dxa"/>
            <w:tcBorders>
              <w:top w:val="nil"/>
              <w:bottom w:val="nil"/>
            </w:tcBorders>
          </w:tcPr>
          <w:p w:rsidR="00212513" w:rsidRDefault="00212513">
            <w:pPr>
              <w:pStyle w:val="ConsPlusNormal"/>
              <w:jc w:val="center"/>
            </w:pPr>
            <w:r>
              <w:t>0,29 (0,27)</w:t>
            </w:r>
          </w:p>
        </w:tc>
        <w:tc>
          <w:tcPr>
            <w:tcW w:w="958" w:type="dxa"/>
            <w:tcBorders>
              <w:top w:val="nil"/>
              <w:bottom w:val="nil"/>
            </w:tcBorders>
          </w:tcPr>
          <w:p w:rsidR="00212513" w:rsidRDefault="00212513">
            <w:pPr>
              <w:pStyle w:val="ConsPlusNormal"/>
              <w:jc w:val="center"/>
            </w:pPr>
            <w:r>
              <w:t>0,26 (0,25)</w:t>
            </w:r>
          </w:p>
        </w:tc>
        <w:tc>
          <w:tcPr>
            <w:tcW w:w="958" w:type="dxa"/>
            <w:tcBorders>
              <w:top w:val="nil"/>
              <w:bottom w:val="nil"/>
            </w:tcBorders>
          </w:tcPr>
          <w:p w:rsidR="00212513" w:rsidRDefault="00212513">
            <w:pPr>
              <w:pStyle w:val="ConsPlusNormal"/>
              <w:jc w:val="center"/>
            </w:pPr>
            <w:r>
              <w:t>0,23 (0,22)</w:t>
            </w:r>
          </w:p>
        </w:tc>
        <w:tc>
          <w:tcPr>
            <w:tcW w:w="958" w:type="dxa"/>
            <w:tcBorders>
              <w:top w:val="nil"/>
              <w:bottom w:val="nil"/>
            </w:tcBorders>
          </w:tcPr>
          <w:p w:rsidR="00212513" w:rsidRDefault="00212513">
            <w:pPr>
              <w:pStyle w:val="ConsPlusNormal"/>
              <w:jc w:val="center"/>
            </w:pPr>
            <w:r>
              <w:t>0,21</w:t>
            </w:r>
          </w:p>
        </w:tc>
        <w:tc>
          <w:tcPr>
            <w:tcW w:w="958" w:type="dxa"/>
            <w:tcBorders>
              <w:top w:val="nil"/>
              <w:bottom w:val="nil"/>
            </w:tcBorders>
          </w:tcPr>
          <w:p w:rsidR="00212513" w:rsidRDefault="00212513">
            <w:pPr>
              <w:pStyle w:val="ConsPlusNormal"/>
              <w:jc w:val="center"/>
            </w:pPr>
            <w:r>
              <w:t>0,19</w:t>
            </w:r>
          </w:p>
        </w:tc>
        <w:tc>
          <w:tcPr>
            <w:tcW w:w="958" w:type="dxa"/>
            <w:tcBorders>
              <w:top w:val="nil"/>
              <w:bottom w:val="nil"/>
            </w:tcBorders>
          </w:tcPr>
          <w:p w:rsidR="00212513" w:rsidRDefault="00212513">
            <w:pPr>
              <w:pStyle w:val="ConsPlusNormal"/>
              <w:jc w:val="center"/>
            </w:pPr>
            <w:r>
              <w:t>0,17</w:t>
            </w:r>
          </w:p>
        </w:tc>
        <w:tc>
          <w:tcPr>
            <w:tcW w:w="958" w:type="dxa"/>
            <w:tcBorders>
              <w:top w:val="nil"/>
              <w:bottom w:val="nil"/>
            </w:tcBorders>
          </w:tcPr>
          <w:p w:rsidR="00212513" w:rsidRDefault="00212513">
            <w:pPr>
              <w:pStyle w:val="ConsPlusNormal"/>
              <w:jc w:val="center"/>
            </w:pPr>
            <w:r>
              <w:t>0,16</w:t>
            </w:r>
          </w:p>
        </w:tc>
        <w:tc>
          <w:tcPr>
            <w:tcW w:w="958" w:type="dxa"/>
            <w:tcBorders>
              <w:top w:val="nil"/>
              <w:bottom w:val="nil"/>
            </w:tcBorders>
          </w:tcPr>
          <w:p w:rsidR="00212513" w:rsidRDefault="00212513">
            <w:pPr>
              <w:pStyle w:val="ConsPlusNormal"/>
              <w:jc w:val="center"/>
            </w:pPr>
            <w:r>
              <w:t>0,14</w:t>
            </w:r>
          </w:p>
        </w:tc>
        <w:tc>
          <w:tcPr>
            <w:tcW w:w="958" w:type="dxa"/>
            <w:tcBorders>
              <w:top w:val="nil"/>
              <w:bottom w:val="nil"/>
            </w:tcBorders>
          </w:tcPr>
          <w:p w:rsidR="00212513" w:rsidRDefault="00212513">
            <w:pPr>
              <w:pStyle w:val="ConsPlusNormal"/>
              <w:jc w:val="center"/>
            </w:pPr>
            <w:r>
              <w:t>0,13</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140</w:t>
            </w:r>
          </w:p>
        </w:tc>
        <w:tc>
          <w:tcPr>
            <w:tcW w:w="958" w:type="dxa"/>
            <w:tcBorders>
              <w:top w:val="nil"/>
              <w:bottom w:val="nil"/>
            </w:tcBorders>
          </w:tcPr>
          <w:p w:rsidR="00212513" w:rsidRDefault="00212513">
            <w:pPr>
              <w:pStyle w:val="ConsPlusNormal"/>
              <w:jc w:val="center"/>
            </w:pPr>
            <w:r>
              <w:t>0,34</w:t>
            </w:r>
          </w:p>
        </w:tc>
        <w:tc>
          <w:tcPr>
            <w:tcW w:w="958" w:type="dxa"/>
            <w:tcBorders>
              <w:top w:val="nil"/>
              <w:bottom w:val="nil"/>
            </w:tcBorders>
          </w:tcPr>
          <w:p w:rsidR="00212513" w:rsidRDefault="00212513">
            <w:pPr>
              <w:pStyle w:val="ConsPlusNormal"/>
              <w:jc w:val="center"/>
            </w:pPr>
            <w:r>
              <w:t>0,31</w:t>
            </w:r>
          </w:p>
        </w:tc>
        <w:tc>
          <w:tcPr>
            <w:tcW w:w="958" w:type="dxa"/>
            <w:tcBorders>
              <w:top w:val="nil"/>
              <w:bottom w:val="nil"/>
            </w:tcBorders>
          </w:tcPr>
          <w:p w:rsidR="00212513" w:rsidRDefault="00212513">
            <w:pPr>
              <w:pStyle w:val="ConsPlusNormal"/>
              <w:jc w:val="center"/>
            </w:pPr>
            <w:r>
              <w:t>0,30 (0,29)</w:t>
            </w:r>
          </w:p>
        </w:tc>
        <w:tc>
          <w:tcPr>
            <w:tcW w:w="958" w:type="dxa"/>
            <w:tcBorders>
              <w:top w:val="nil"/>
              <w:bottom w:val="nil"/>
            </w:tcBorders>
          </w:tcPr>
          <w:p w:rsidR="00212513" w:rsidRDefault="00212513">
            <w:pPr>
              <w:pStyle w:val="ConsPlusNormal"/>
              <w:jc w:val="center"/>
            </w:pPr>
            <w:r>
              <w:t>0,28 (0,27)</w:t>
            </w:r>
          </w:p>
        </w:tc>
        <w:tc>
          <w:tcPr>
            <w:tcW w:w="958" w:type="dxa"/>
            <w:tcBorders>
              <w:top w:val="nil"/>
              <w:bottom w:val="nil"/>
            </w:tcBorders>
          </w:tcPr>
          <w:p w:rsidR="00212513" w:rsidRDefault="00212513">
            <w:pPr>
              <w:pStyle w:val="ConsPlusNormal"/>
              <w:jc w:val="center"/>
            </w:pPr>
            <w:r>
              <w:t>0,26 (0,25)</w:t>
            </w:r>
          </w:p>
        </w:tc>
        <w:tc>
          <w:tcPr>
            <w:tcW w:w="958" w:type="dxa"/>
            <w:tcBorders>
              <w:top w:val="nil"/>
              <w:bottom w:val="nil"/>
            </w:tcBorders>
          </w:tcPr>
          <w:p w:rsidR="00212513" w:rsidRDefault="00212513">
            <w:pPr>
              <w:pStyle w:val="ConsPlusNormal"/>
              <w:jc w:val="center"/>
            </w:pPr>
            <w:r>
              <w:t>0,24 (0,23)</w:t>
            </w:r>
          </w:p>
        </w:tc>
        <w:tc>
          <w:tcPr>
            <w:tcW w:w="958" w:type="dxa"/>
            <w:tcBorders>
              <w:top w:val="nil"/>
              <w:bottom w:val="nil"/>
            </w:tcBorders>
          </w:tcPr>
          <w:p w:rsidR="00212513" w:rsidRDefault="00212513">
            <w:pPr>
              <w:pStyle w:val="ConsPlusNormal"/>
              <w:jc w:val="center"/>
            </w:pPr>
            <w:r>
              <w:t>0,21</w:t>
            </w:r>
          </w:p>
        </w:tc>
        <w:tc>
          <w:tcPr>
            <w:tcW w:w="958" w:type="dxa"/>
            <w:tcBorders>
              <w:top w:val="nil"/>
              <w:bottom w:val="nil"/>
            </w:tcBorders>
          </w:tcPr>
          <w:p w:rsidR="00212513" w:rsidRDefault="00212513">
            <w:pPr>
              <w:pStyle w:val="ConsPlusNormal"/>
              <w:jc w:val="center"/>
            </w:pPr>
            <w:r>
              <w:t>0,20</w:t>
            </w:r>
          </w:p>
        </w:tc>
        <w:tc>
          <w:tcPr>
            <w:tcW w:w="958" w:type="dxa"/>
            <w:tcBorders>
              <w:top w:val="nil"/>
              <w:bottom w:val="nil"/>
            </w:tcBorders>
          </w:tcPr>
          <w:p w:rsidR="00212513" w:rsidRDefault="00212513">
            <w:pPr>
              <w:pStyle w:val="ConsPlusNormal"/>
              <w:jc w:val="center"/>
            </w:pPr>
            <w:r>
              <w:t>0,18</w:t>
            </w:r>
          </w:p>
        </w:tc>
        <w:tc>
          <w:tcPr>
            <w:tcW w:w="958" w:type="dxa"/>
            <w:tcBorders>
              <w:top w:val="nil"/>
              <w:bottom w:val="nil"/>
            </w:tcBorders>
          </w:tcPr>
          <w:p w:rsidR="00212513" w:rsidRDefault="00212513">
            <w:pPr>
              <w:pStyle w:val="ConsPlusNormal"/>
              <w:jc w:val="center"/>
            </w:pPr>
            <w:r>
              <w:t>0,16</w:t>
            </w:r>
          </w:p>
        </w:tc>
        <w:tc>
          <w:tcPr>
            <w:tcW w:w="958" w:type="dxa"/>
            <w:tcBorders>
              <w:top w:val="nil"/>
              <w:bottom w:val="nil"/>
            </w:tcBorders>
          </w:tcPr>
          <w:p w:rsidR="00212513" w:rsidRDefault="00212513">
            <w:pPr>
              <w:pStyle w:val="ConsPlusNormal"/>
              <w:jc w:val="center"/>
            </w:pPr>
            <w:r>
              <w:t>0,15</w:t>
            </w:r>
          </w:p>
        </w:tc>
        <w:tc>
          <w:tcPr>
            <w:tcW w:w="958" w:type="dxa"/>
            <w:tcBorders>
              <w:top w:val="nil"/>
              <w:bottom w:val="nil"/>
            </w:tcBorders>
          </w:tcPr>
          <w:p w:rsidR="00212513" w:rsidRDefault="00212513">
            <w:pPr>
              <w:pStyle w:val="ConsPlusNormal"/>
              <w:jc w:val="center"/>
            </w:pPr>
            <w:r>
              <w:t>0,14</w:t>
            </w:r>
          </w:p>
        </w:tc>
        <w:tc>
          <w:tcPr>
            <w:tcW w:w="958" w:type="dxa"/>
            <w:tcBorders>
              <w:top w:val="nil"/>
              <w:bottom w:val="nil"/>
            </w:tcBorders>
          </w:tcPr>
          <w:p w:rsidR="00212513" w:rsidRDefault="00212513">
            <w:pPr>
              <w:pStyle w:val="ConsPlusNormal"/>
              <w:jc w:val="center"/>
            </w:pPr>
            <w:r>
              <w:t>0,12</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150</w:t>
            </w:r>
          </w:p>
        </w:tc>
        <w:tc>
          <w:tcPr>
            <w:tcW w:w="958" w:type="dxa"/>
            <w:tcBorders>
              <w:top w:val="nil"/>
              <w:bottom w:val="nil"/>
            </w:tcBorders>
          </w:tcPr>
          <w:p w:rsidR="00212513" w:rsidRDefault="00212513">
            <w:pPr>
              <w:pStyle w:val="ConsPlusNormal"/>
              <w:jc w:val="center"/>
            </w:pPr>
            <w:r>
              <w:t>0,31</w:t>
            </w:r>
          </w:p>
        </w:tc>
        <w:tc>
          <w:tcPr>
            <w:tcW w:w="958" w:type="dxa"/>
            <w:tcBorders>
              <w:top w:val="nil"/>
              <w:bottom w:val="nil"/>
            </w:tcBorders>
          </w:tcPr>
          <w:p w:rsidR="00212513" w:rsidRDefault="00212513">
            <w:pPr>
              <w:pStyle w:val="ConsPlusNormal"/>
              <w:jc w:val="center"/>
            </w:pPr>
            <w:r>
              <w:t>0,28</w:t>
            </w:r>
          </w:p>
        </w:tc>
        <w:tc>
          <w:tcPr>
            <w:tcW w:w="958" w:type="dxa"/>
            <w:tcBorders>
              <w:top w:val="nil"/>
              <w:bottom w:val="nil"/>
            </w:tcBorders>
          </w:tcPr>
          <w:p w:rsidR="00212513" w:rsidRDefault="00212513">
            <w:pPr>
              <w:pStyle w:val="ConsPlusNormal"/>
              <w:jc w:val="center"/>
            </w:pPr>
            <w:r>
              <w:t>0,27</w:t>
            </w:r>
          </w:p>
        </w:tc>
        <w:tc>
          <w:tcPr>
            <w:tcW w:w="958" w:type="dxa"/>
            <w:tcBorders>
              <w:top w:val="nil"/>
              <w:bottom w:val="nil"/>
            </w:tcBorders>
          </w:tcPr>
          <w:p w:rsidR="00212513" w:rsidRDefault="00212513">
            <w:pPr>
              <w:pStyle w:val="ConsPlusNormal"/>
              <w:jc w:val="center"/>
            </w:pPr>
            <w:r>
              <w:t>0,25</w:t>
            </w:r>
          </w:p>
        </w:tc>
        <w:tc>
          <w:tcPr>
            <w:tcW w:w="958" w:type="dxa"/>
            <w:tcBorders>
              <w:top w:val="nil"/>
              <w:bottom w:val="nil"/>
            </w:tcBorders>
          </w:tcPr>
          <w:p w:rsidR="00212513" w:rsidRDefault="00212513">
            <w:pPr>
              <w:pStyle w:val="ConsPlusNormal"/>
              <w:jc w:val="center"/>
            </w:pPr>
            <w:r>
              <w:t>0,23</w:t>
            </w:r>
          </w:p>
        </w:tc>
        <w:tc>
          <w:tcPr>
            <w:tcW w:w="958" w:type="dxa"/>
            <w:tcBorders>
              <w:top w:val="nil"/>
              <w:bottom w:val="nil"/>
            </w:tcBorders>
          </w:tcPr>
          <w:p w:rsidR="00212513" w:rsidRDefault="00212513">
            <w:pPr>
              <w:pStyle w:val="ConsPlusNormal"/>
              <w:jc w:val="center"/>
            </w:pPr>
            <w:r>
              <w:t>0,22</w:t>
            </w:r>
          </w:p>
        </w:tc>
        <w:tc>
          <w:tcPr>
            <w:tcW w:w="958" w:type="dxa"/>
            <w:tcBorders>
              <w:top w:val="nil"/>
              <w:bottom w:val="nil"/>
            </w:tcBorders>
          </w:tcPr>
          <w:p w:rsidR="00212513" w:rsidRDefault="00212513">
            <w:pPr>
              <w:pStyle w:val="ConsPlusNormal"/>
              <w:jc w:val="center"/>
            </w:pPr>
            <w:r>
              <w:t>0,20</w:t>
            </w:r>
          </w:p>
        </w:tc>
        <w:tc>
          <w:tcPr>
            <w:tcW w:w="958" w:type="dxa"/>
            <w:tcBorders>
              <w:top w:val="nil"/>
              <w:bottom w:val="nil"/>
            </w:tcBorders>
          </w:tcPr>
          <w:p w:rsidR="00212513" w:rsidRDefault="00212513">
            <w:pPr>
              <w:pStyle w:val="ConsPlusNormal"/>
              <w:jc w:val="center"/>
            </w:pPr>
            <w:r>
              <w:t>0,18</w:t>
            </w:r>
          </w:p>
        </w:tc>
        <w:tc>
          <w:tcPr>
            <w:tcW w:w="958" w:type="dxa"/>
            <w:tcBorders>
              <w:top w:val="nil"/>
              <w:bottom w:val="nil"/>
            </w:tcBorders>
          </w:tcPr>
          <w:p w:rsidR="00212513" w:rsidRDefault="00212513">
            <w:pPr>
              <w:pStyle w:val="ConsPlusNormal"/>
              <w:jc w:val="center"/>
            </w:pPr>
            <w:r>
              <w:t>0,16</w:t>
            </w:r>
          </w:p>
        </w:tc>
        <w:tc>
          <w:tcPr>
            <w:tcW w:w="958" w:type="dxa"/>
            <w:tcBorders>
              <w:top w:val="nil"/>
              <w:bottom w:val="nil"/>
            </w:tcBorders>
          </w:tcPr>
          <w:p w:rsidR="00212513" w:rsidRDefault="00212513">
            <w:pPr>
              <w:pStyle w:val="ConsPlusNormal"/>
              <w:jc w:val="center"/>
            </w:pPr>
            <w:r>
              <w:t>0,15</w:t>
            </w:r>
          </w:p>
        </w:tc>
        <w:tc>
          <w:tcPr>
            <w:tcW w:w="958" w:type="dxa"/>
            <w:tcBorders>
              <w:top w:val="nil"/>
              <w:bottom w:val="nil"/>
            </w:tcBorders>
          </w:tcPr>
          <w:p w:rsidR="00212513" w:rsidRDefault="00212513">
            <w:pPr>
              <w:pStyle w:val="ConsPlusNormal"/>
              <w:jc w:val="center"/>
            </w:pPr>
            <w:r>
              <w:t>0,14</w:t>
            </w:r>
          </w:p>
        </w:tc>
        <w:tc>
          <w:tcPr>
            <w:tcW w:w="958" w:type="dxa"/>
            <w:tcBorders>
              <w:top w:val="nil"/>
              <w:bottom w:val="nil"/>
            </w:tcBorders>
          </w:tcPr>
          <w:p w:rsidR="00212513" w:rsidRDefault="00212513">
            <w:pPr>
              <w:pStyle w:val="ConsPlusNormal"/>
              <w:jc w:val="center"/>
            </w:pPr>
            <w:r>
              <w:t>0,13</w:t>
            </w:r>
          </w:p>
        </w:tc>
        <w:tc>
          <w:tcPr>
            <w:tcW w:w="958" w:type="dxa"/>
            <w:tcBorders>
              <w:top w:val="nil"/>
              <w:bottom w:val="nil"/>
            </w:tcBorders>
          </w:tcPr>
          <w:p w:rsidR="00212513" w:rsidRDefault="00212513">
            <w:pPr>
              <w:pStyle w:val="ConsPlusNormal"/>
              <w:jc w:val="center"/>
            </w:pPr>
            <w:r>
              <w:t>0,12</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160</w:t>
            </w:r>
          </w:p>
        </w:tc>
        <w:tc>
          <w:tcPr>
            <w:tcW w:w="958" w:type="dxa"/>
            <w:tcBorders>
              <w:top w:val="nil"/>
              <w:bottom w:val="nil"/>
            </w:tcBorders>
          </w:tcPr>
          <w:p w:rsidR="00212513" w:rsidRDefault="00212513">
            <w:pPr>
              <w:pStyle w:val="ConsPlusNormal"/>
              <w:jc w:val="center"/>
            </w:pPr>
            <w:r>
              <w:t>0,28</w:t>
            </w:r>
          </w:p>
        </w:tc>
        <w:tc>
          <w:tcPr>
            <w:tcW w:w="958" w:type="dxa"/>
            <w:tcBorders>
              <w:top w:val="nil"/>
              <w:bottom w:val="nil"/>
            </w:tcBorders>
          </w:tcPr>
          <w:p w:rsidR="00212513" w:rsidRDefault="00212513">
            <w:pPr>
              <w:pStyle w:val="ConsPlusNormal"/>
              <w:jc w:val="center"/>
            </w:pPr>
            <w:r>
              <w:t>0,26</w:t>
            </w:r>
          </w:p>
        </w:tc>
        <w:tc>
          <w:tcPr>
            <w:tcW w:w="958" w:type="dxa"/>
            <w:tcBorders>
              <w:top w:val="nil"/>
              <w:bottom w:val="nil"/>
            </w:tcBorders>
          </w:tcPr>
          <w:p w:rsidR="00212513" w:rsidRDefault="00212513">
            <w:pPr>
              <w:pStyle w:val="ConsPlusNormal"/>
              <w:jc w:val="center"/>
            </w:pPr>
            <w:r>
              <w:t>0,24</w:t>
            </w:r>
          </w:p>
        </w:tc>
        <w:tc>
          <w:tcPr>
            <w:tcW w:w="958" w:type="dxa"/>
            <w:tcBorders>
              <w:top w:val="nil"/>
              <w:bottom w:val="nil"/>
            </w:tcBorders>
          </w:tcPr>
          <w:p w:rsidR="00212513" w:rsidRDefault="00212513">
            <w:pPr>
              <w:pStyle w:val="ConsPlusNormal"/>
              <w:jc w:val="center"/>
            </w:pPr>
            <w:r>
              <w:t>0,23</w:t>
            </w:r>
          </w:p>
        </w:tc>
        <w:tc>
          <w:tcPr>
            <w:tcW w:w="958" w:type="dxa"/>
            <w:tcBorders>
              <w:top w:val="nil"/>
              <w:bottom w:val="nil"/>
            </w:tcBorders>
          </w:tcPr>
          <w:p w:rsidR="00212513" w:rsidRDefault="00212513">
            <w:pPr>
              <w:pStyle w:val="ConsPlusNormal"/>
              <w:jc w:val="center"/>
            </w:pPr>
            <w:r>
              <w:t>0,22</w:t>
            </w:r>
          </w:p>
        </w:tc>
        <w:tc>
          <w:tcPr>
            <w:tcW w:w="958" w:type="dxa"/>
            <w:tcBorders>
              <w:top w:val="nil"/>
              <w:bottom w:val="nil"/>
            </w:tcBorders>
          </w:tcPr>
          <w:p w:rsidR="00212513" w:rsidRDefault="00212513">
            <w:pPr>
              <w:pStyle w:val="ConsPlusNormal"/>
              <w:jc w:val="center"/>
            </w:pPr>
            <w:r>
              <w:t>0,21</w:t>
            </w:r>
          </w:p>
        </w:tc>
        <w:tc>
          <w:tcPr>
            <w:tcW w:w="958" w:type="dxa"/>
            <w:tcBorders>
              <w:top w:val="nil"/>
              <w:bottom w:val="nil"/>
            </w:tcBorders>
          </w:tcPr>
          <w:p w:rsidR="00212513" w:rsidRDefault="00212513">
            <w:pPr>
              <w:pStyle w:val="ConsPlusNormal"/>
              <w:jc w:val="center"/>
            </w:pPr>
            <w:r>
              <w:t>0,19</w:t>
            </w:r>
          </w:p>
        </w:tc>
        <w:tc>
          <w:tcPr>
            <w:tcW w:w="958" w:type="dxa"/>
            <w:tcBorders>
              <w:top w:val="nil"/>
              <w:bottom w:val="nil"/>
            </w:tcBorders>
          </w:tcPr>
          <w:p w:rsidR="00212513" w:rsidRDefault="00212513">
            <w:pPr>
              <w:pStyle w:val="ConsPlusNormal"/>
              <w:jc w:val="center"/>
            </w:pPr>
            <w:r>
              <w:t>0,17</w:t>
            </w:r>
          </w:p>
        </w:tc>
        <w:tc>
          <w:tcPr>
            <w:tcW w:w="958" w:type="dxa"/>
            <w:tcBorders>
              <w:top w:val="nil"/>
              <w:bottom w:val="nil"/>
            </w:tcBorders>
          </w:tcPr>
          <w:p w:rsidR="00212513" w:rsidRDefault="00212513">
            <w:pPr>
              <w:pStyle w:val="ConsPlusNormal"/>
              <w:jc w:val="center"/>
            </w:pPr>
            <w:r>
              <w:t>0,15</w:t>
            </w:r>
          </w:p>
        </w:tc>
        <w:tc>
          <w:tcPr>
            <w:tcW w:w="958" w:type="dxa"/>
            <w:tcBorders>
              <w:top w:val="nil"/>
              <w:bottom w:val="nil"/>
            </w:tcBorders>
          </w:tcPr>
          <w:p w:rsidR="00212513" w:rsidRDefault="00212513">
            <w:pPr>
              <w:pStyle w:val="ConsPlusNormal"/>
              <w:jc w:val="center"/>
            </w:pPr>
            <w:r>
              <w:t>0,14</w:t>
            </w:r>
          </w:p>
        </w:tc>
        <w:tc>
          <w:tcPr>
            <w:tcW w:w="958" w:type="dxa"/>
            <w:tcBorders>
              <w:top w:val="nil"/>
              <w:bottom w:val="nil"/>
            </w:tcBorders>
          </w:tcPr>
          <w:p w:rsidR="00212513" w:rsidRDefault="00212513">
            <w:pPr>
              <w:pStyle w:val="ConsPlusNormal"/>
              <w:jc w:val="center"/>
            </w:pPr>
            <w:r>
              <w:t>0,14</w:t>
            </w:r>
          </w:p>
        </w:tc>
        <w:tc>
          <w:tcPr>
            <w:tcW w:w="958" w:type="dxa"/>
            <w:tcBorders>
              <w:top w:val="nil"/>
              <w:bottom w:val="nil"/>
            </w:tcBorders>
          </w:tcPr>
          <w:p w:rsidR="00212513" w:rsidRDefault="00212513">
            <w:pPr>
              <w:pStyle w:val="ConsPlusNormal"/>
              <w:jc w:val="center"/>
            </w:pPr>
            <w:r>
              <w:t>0,12</w:t>
            </w:r>
          </w:p>
        </w:tc>
        <w:tc>
          <w:tcPr>
            <w:tcW w:w="958" w:type="dxa"/>
            <w:tcBorders>
              <w:top w:val="nil"/>
              <w:bottom w:val="nil"/>
            </w:tcBorders>
          </w:tcPr>
          <w:p w:rsidR="00212513" w:rsidRDefault="00212513">
            <w:pPr>
              <w:pStyle w:val="ConsPlusNormal"/>
              <w:jc w:val="center"/>
            </w:pPr>
            <w:r>
              <w:t>0,11</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170</w:t>
            </w:r>
          </w:p>
        </w:tc>
        <w:tc>
          <w:tcPr>
            <w:tcW w:w="958" w:type="dxa"/>
            <w:tcBorders>
              <w:top w:val="nil"/>
              <w:bottom w:val="nil"/>
            </w:tcBorders>
          </w:tcPr>
          <w:p w:rsidR="00212513" w:rsidRDefault="00212513">
            <w:pPr>
              <w:pStyle w:val="ConsPlusNormal"/>
              <w:jc w:val="center"/>
            </w:pPr>
            <w:r>
              <w:t>0,25</w:t>
            </w:r>
          </w:p>
        </w:tc>
        <w:tc>
          <w:tcPr>
            <w:tcW w:w="958" w:type="dxa"/>
            <w:tcBorders>
              <w:top w:val="nil"/>
              <w:bottom w:val="nil"/>
            </w:tcBorders>
          </w:tcPr>
          <w:p w:rsidR="00212513" w:rsidRDefault="00212513">
            <w:pPr>
              <w:pStyle w:val="ConsPlusNormal"/>
              <w:jc w:val="center"/>
            </w:pPr>
            <w:r>
              <w:t>0,24</w:t>
            </w:r>
          </w:p>
        </w:tc>
        <w:tc>
          <w:tcPr>
            <w:tcW w:w="958" w:type="dxa"/>
            <w:tcBorders>
              <w:top w:val="nil"/>
              <w:bottom w:val="nil"/>
            </w:tcBorders>
          </w:tcPr>
          <w:p w:rsidR="00212513" w:rsidRDefault="00212513">
            <w:pPr>
              <w:pStyle w:val="ConsPlusNormal"/>
              <w:jc w:val="center"/>
            </w:pPr>
            <w:r>
              <w:t>0,22</w:t>
            </w:r>
          </w:p>
        </w:tc>
        <w:tc>
          <w:tcPr>
            <w:tcW w:w="958" w:type="dxa"/>
            <w:tcBorders>
              <w:top w:val="nil"/>
              <w:bottom w:val="nil"/>
            </w:tcBorders>
          </w:tcPr>
          <w:p w:rsidR="00212513" w:rsidRDefault="00212513">
            <w:pPr>
              <w:pStyle w:val="ConsPlusNormal"/>
              <w:jc w:val="center"/>
            </w:pPr>
            <w:r>
              <w:t>0,21</w:t>
            </w:r>
          </w:p>
        </w:tc>
        <w:tc>
          <w:tcPr>
            <w:tcW w:w="958" w:type="dxa"/>
            <w:tcBorders>
              <w:top w:val="nil"/>
              <w:bottom w:val="nil"/>
            </w:tcBorders>
          </w:tcPr>
          <w:p w:rsidR="00212513" w:rsidRDefault="00212513">
            <w:pPr>
              <w:pStyle w:val="ConsPlusNormal"/>
              <w:jc w:val="center"/>
            </w:pPr>
            <w:r>
              <w:t>0,20</w:t>
            </w:r>
          </w:p>
        </w:tc>
        <w:tc>
          <w:tcPr>
            <w:tcW w:w="958" w:type="dxa"/>
            <w:tcBorders>
              <w:top w:val="nil"/>
              <w:bottom w:val="nil"/>
            </w:tcBorders>
          </w:tcPr>
          <w:p w:rsidR="00212513" w:rsidRDefault="00212513">
            <w:pPr>
              <w:pStyle w:val="ConsPlusNormal"/>
              <w:jc w:val="center"/>
            </w:pPr>
            <w:r>
              <w:t>0,19</w:t>
            </w:r>
          </w:p>
        </w:tc>
        <w:tc>
          <w:tcPr>
            <w:tcW w:w="958" w:type="dxa"/>
            <w:tcBorders>
              <w:top w:val="nil"/>
              <w:bottom w:val="nil"/>
            </w:tcBorders>
          </w:tcPr>
          <w:p w:rsidR="00212513" w:rsidRDefault="00212513">
            <w:pPr>
              <w:pStyle w:val="ConsPlusNormal"/>
              <w:jc w:val="center"/>
            </w:pPr>
            <w:r>
              <w:t>0,17</w:t>
            </w:r>
          </w:p>
        </w:tc>
        <w:tc>
          <w:tcPr>
            <w:tcW w:w="958" w:type="dxa"/>
            <w:tcBorders>
              <w:top w:val="nil"/>
              <w:bottom w:val="nil"/>
            </w:tcBorders>
          </w:tcPr>
          <w:p w:rsidR="00212513" w:rsidRDefault="00212513">
            <w:pPr>
              <w:pStyle w:val="ConsPlusNormal"/>
              <w:jc w:val="center"/>
            </w:pPr>
            <w:r>
              <w:t>0,16</w:t>
            </w:r>
          </w:p>
        </w:tc>
        <w:tc>
          <w:tcPr>
            <w:tcW w:w="958" w:type="dxa"/>
            <w:tcBorders>
              <w:top w:val="nil"/>
              <w:bottom w:val="nil"/>
            </w:tcBorders>
          </w:tcPr>
          <w:p w:rsidR="00212513" w:rsidRDefault="00212513">
            <w:pPr>
              <w:pStyle w:val="ConsPlusNormal"/>
              <w:jc w:val="center"/>
            </w:pPr>
            <w:r>
              <w:t>0,15</w:t>
            </w:r>
          </w:p>
        </w:tc>
        <w:tc>
          <w:tcPr>
            <w:tcW w:w="958" w:type="dxa"/>
            <w:tcBorders>
              <w:top w:val="nil"/>
              <w:bottom w:val="nil"/>
            </w:tcBorders>
          </w:tcPr>
          <w:p w:rsidR="00212513" w:rsidRDefault="00212513">
            <w:pPr>
              <w:pStyle w:val="ConsPlusNormal"/>
              <w:jc w:val="center"/>
            </w:pPr>
            <w:r>
              <w:t>0,14</w:t>
            </w:r>
          </w:p>
        </w:tc>
        <w:tc>
          <w:tcPr>
            <w:tcW w:w="958" w:type="dxa"/>
            <w:tcBorders>
              <w:top w:val="nil"/>
              <w:bottom w:val="nil"/>
            </w:tcBorders>
          </w:tcPr>
          <w:p w:rsidR="00212513" w:rsidRDefault="00212513">
            <w:pPr>
              <w:pStyle w:val="ConsPlusNormal"/>
              <w:jc w:val="center"/>
            </w:pPr>
            <w:r>
              <w:t>0,13</w:t>
            </w:r>
          </w:p>
        </w:tc>
        <w:tc>
          <w:tcPr>
            <w:tcW w:w="958" w:type="dxa"/>
            <w:tcBorders>
              <w:top w:val="nil"/>
              <w:bottom w:val="nil"/>
            </w:tcBorders>
          </w:tcPr>
          <w:p w:rsidR="00212513" w:rsidRDefault="00212513">
            <w:pPr>
              <w:pStyle w:val="ConsPlusNormal"/>
              <w:jc w:val="center"/>
            </w:pPr>
            <w:r>
              <w:t>0,12</w:t>
            </w:r>
          </w:p>
        </w:tc>
        <w:tc>
          <w:tcPr>
            <w:tcW w:w="958" w:type="dxa"/>
            <w:tcBorders>
              <w:top w:val="nil"/>
              <w:bottom w:val="nil"/>
            </w:tcBorders>
          </w:tcPr>
          <w:p w:rsidR="00212513" w:rsidRDefault="00212513">
            <w:pPr>
              <w:pStyle w:val="ConsPlusNormal"/>
              <w:jc w:val="center"/>
            </w:pPr>
            <w:r>
              <w:t>0,11</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180</w:t>
            </w:r>
          </w:p>
        </w:tc>
        <w:tc>
          <w:tcPr>
            <w:tcW w:w="958" w:type="dxa"/>
            <w:tcBorders>
              <w:top w:val="nil"/>
              <w:bottom w:val="nil"/>
            </w:tcBorders>
          </w:tcPr>
          <w:p w:rsidR="00212513" w:rsidRDefault="00212513">
            <w:pPr>
              <w:pStyle w:val="ConsPlusNormal"/>
              <w:jc w:val="center"/>
            </w:pPr>
            <w:r>
              <w:t>0,23</w:t>
            </w:r>
          </w:p>
        </w:tc>
        <w:tc>
          <w:tcPr>
            <w:tcW w:w="958" w:type="dxa"/>
            <w:tcBorders>
              <w:top w:val="nil"/>
              <w:bottom w:val="nil"/>
            </w:tcBorders>
          </w:tcPr>
          <w:p w:rsidR="00212513" w:rsidRDefault="00212513">
            <w:pPr>
              <w:pStyle w:val="ConsPlusNormal"/>
              <w:jc w:val="center"/>
            </w:pPr>
            <w:r>
              <w:t>0,21</w:t>
            </w:r>
          </w:p>
        </w:tc>
        <w:tc>
          <w:tcPr>
            <w:tcW w:w="958" w:type="dxa"/>
            <w:tcBorders>
              <w:top w:val="nil"/>
              <w:bottom w:val="nil"/>
            </w:tcBorders>
          </w:tcPr>
          <w:p w:rsidR="00212513" w:rsidRDefault="00212513">
            <w:pPr>
              <w:pStyle w:val="ConsPlusNormal"/>
              <w:jc w:val="center"/>
            </w:pPr>
            <w:r>
              <w:t>0,20</w:t>
            </w:r>
          </w:p>
        </w:tc>
        <w:tc>
          <w:tcPr>
            <w:tcW w:w="958" w:type="dxa"/>
            <w:tcBorders>
              <w:top w:val="nil"/>
              <w:bottom w:val="nil"/>
            </w:tcBorders>
          </w:tcPr>
          <w:p w:rsidR="00212513" w:rsidRDefault="00212513">
            <w:pPr>
              <w:pStyle w:val="ConsPlusNormal"/>
              <w:jc w:val="center"/>
            </w:pPr>
            <w:r>
              <w:t>0,19</w:t>
            </w:r>
          </w:p>
        </w:tc>
        <w:tc>
          <w:tcPr>
            <w:tcW w:w="958" w:type="dxa"/>
            <w:tcBorders>
              <w:top w:val="nil"/>
              <w:bottom w:val="nil"/>
            </w:tcBorders>
          </w:tcPr>
          <w:p w:rsidR="00212513" w:rsidRDefault="00212513">
            <w:pPr>
              <w:pStyle w:val="ConsPlusNormal"/>
              <w:jc w:val="center"/>
            </w:pPr>
            <w:r>
              <w:t>0,19</w:t>
            </w:r>
          </w:p>
        </w:tc>
        <w:tc>
          <w:tcPr>
            <w:tcW w:w="958" w:type="dxa"/>
            <w:tcBorders>
              <w:top w:val="nil"/>
              <w:bottom w:val="nil"/>
            </w:tcBorders>
          </w:tcPr>
          <w:p w:rsidR="00212513" w:rsidRDefault="00212513">
            <w:pPr>
              <w:pStyle w:val="ConsPlusNormal"/>
              <w:jc w:val="center"/>
            </w:pPr>
            <w:r>
              <w:t>0,18</w:t>
            </w:r>
          </w:p>
        </w:tc>
        <w:tc>
          <w:tcPr>
            <w:tcW w:w="958" w:type="dxa"/>
            <w:tcBorders>
              <w:top w:val="nil"/>
              <w:bottom w:val="nil"/>
            </w:tcBorders>
          </w:tcPr>
          <w:p w:rsidR="00212513" w:rsidRDefault="00212513">
            <w:pPr>
              <w:pStyle w:val="ConsPlusNormal"/>
              <w:jc w:val="center"/>
            </w:pPr>
            <w:r>
              <w:t>0,16</w:t>
            </w:r>
          </w:p>
        </w:tc>
        <w:tc>
          <w:tcPr>
            <w:tcW w:w="958" w:type="dxa"/>
            <w:tcBorders>
              <w:top w:val="nil"/>
              <w:bottom w:val="nil"/>
            </w:tcBorders>
          </w:tcPr>
          <w:p w:rsidR="00212513" w:rsidRDefault="00212513">
            <w:pPr>
              <w:pStyle w:val="ConsPlusNormal"/>
              <w:jc w:val="center"/>
            </w:pPr>
            <w:r>
              <w:t>0,15</w:t>
            </w:r>
          </w:p>
        </w:tc>
        <w:tc>
          <w:tcPr>
            <w:tcW w:w="958" w:type="dxa"/>
            <w:tcBorders>
              <w:top w:val="nil"/>
              <w:bottom w:val="nil"/>
            </w:tcBorders>
          </w:tcPr>
          <w:p w:rsidR="00212513" w:rsidRDefault="00212513">
            <w:pPr>
              <w:pStyle w:val="ConsPlusNormal"/>
              <w:jc w:val="center"/>
            </w:pPr>
            <w:r>
              <w:t>0,14</w:t>
            </w:r>
          </w:p>
        </w:tc>
        <w:tc>
          <w:tcPr>
            <w:tcW w:w="958" w:type="dxa"/>
            <w:tcBorders>
              <w:top w:val="nil"/>
              <w:bottom w:val="nil"/>
            </w:tcBorders>
          </w:tcPr>
          <w:p w:rsidR="00212513" w:rsidRDefault="00212513">
            <w:pPr>
              <w:pStyle w:val="ConsPlusNormal"/>
              <w:jc w:val="center"/>
            </w:pPr>
            <w:r>
              <w:t>0,13</w:t>
            </w:r>
          </w:p>
        </w:tc>
        <w:tc>
          <w:tcPr>
            <w:tcW w:w="958" w:type="dxa"/>
            <w:tcBorders>
              <w:top w:val="nil"/>
              <w:bottom w:val="nil"/>
            </w:tcBorders>
          </w:tcPr>
          <w:p w:rsidR="00212513" w:rsidRDefault="00212513">
            <w:pPr>
              <w:pStyle w:val="ConsPlusNormal"/>
              <w:jc w:val="center"/>
            </w:pPr>
            <w:r>
              <w:t>0,12</w:t>
            </w:r>
          </w:p>
        </w:tc>
        <w:tc>
          <w:tcPr>
            <w:tcW w:w="958" w:type="dxa"/>
            <w:tcBorders>
              <w:top w:val="nil"/>
              <w:bottom w:val="nil"/>
            </w:tcBorders>
          </w:tcPr>
          <w:p w:rsidR="00212513" w:rsidRDefault="00212513">
            <w:pPr>
              <w:pStyle w:val="ConsPlusNormal"/>
              <w:jc w:val="center"/>
            </w:pPr>
            <w:r>
              <w:t>0,11</w:t>
            </w:r>
          </w:p>
        </w:tc>
        <w:tc>
          <w:tcPr>
            <w:tcW w:w="958" w:type="dxa"/>
            <w:tcBorders>
              <w:top w:val="nil"/>
              <w:bottom w:val="nil"/>
            </w:tcBorders>
          </w:tcPr>
          <w:p w:rsidR="00212513" w:rsidRDefault="00212513">
            <w:pPr>
              <w:pStyle w:val="ConsPlusNormal"/>
              <w:jc w:val="center"/>
            </w:pPr>
            <w:r>
              <w:t>0,10</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190</w:t>
            </w:r>
          </w:p>
        </w:tc>
        <w:tc>
          <w:tcPr>
            <w:tcW w:w="958" w:type="dxa"/>
            <w:tcBorders>
              <w:top w:val="nil"/>
              <w:bottom w:val="nil"/>
            </w:tcBorders>
          </w:tcPr>
          <w:p w:rsidR="00212513" w:rsidRDefault="00212513">
            <w:pPr>
              <w:pStyle w:val="ConsPlusNormal"/>
              <w:jc w:val="center"/>
            </w:pPr>
            <w:r>
              <w:t>0,21</w:t>
            </w:r>
          </w:p>
        </w:tc>
        <w:tc>
          <w:tcPr>
            <w:tcW w:w="958" w:type="dxa"/>
            <w:tcBorders>
              <w:top w:val="nil"/>
              <w:bottom w:val="nil"/>
            </w:tcBorders>
          </w:tcPr>
          <w:p w:rsidR="00212513" w:rsidRDefault="00212513">
            <w:pPr>
              <w:pStyle w:val="ConsPlusNormal"/>
              <w:jc w:val="center"/>
            </w:pPr>
            <w:r>
              <w:t>0,20</w:t>
            </w:r>
          </w:p>
        </w:tc>
        <w:tc>
          <w:tcPr>
            <w:tcW w:w="958" w:type="dxa"/>
            <w:tcBorders>
              <w:top w:val="nil"/>
              <w:bottom w:val="nil"/>
            </w:tcBorders>
          </w:tcPr>
          <w:p w:rsidR="00212513" w:rsidRDefault="00212513">
            <w:pPr>
              <w:pStyle w:val="ConsPlusNormal"/>
              <w:jc w:val="center"/>
            </w:pPr>
            <w:r>
              <w:t>0,19</w:t>
            </w:r>
          </w:p>
        </w:tc>
        <w:tc>
          <w:tcPr>
            <w:tcW w:w="958" w:type="dxa"/>
            <w:tcBorders>
              <w:top w:val="nil"/>
              <w:bottom w:val="nil"/>
            </w:tcBorders>
          </w:tcPr>
          <w:p w:rsidR="00212513" w:rsidRDefault="00212513">
            <w:pPr>
              <w:pStyle w:val="ConsPlusNormal"/>
              <w:jc w:val="center"/>
            </w:pPr>
            <w:r>
              <w:t>0,18</w:t>
            </w:r>
          </w:p>
        </w:tc>
        <w:tc>
          <w:tcPr>
            <w:tcW w:w="958" w:type="dxa"/>
            <w:tcBorders>
              <w:top w:val="nil"/>
              <w:bottom w:val="nil"/>
            </w:tcBorders>
          </w:tcPr>
          <w:p w:rsidR="00212513" w:rsidRDefault="00212513">
            <w:pPr>
              <w:pStyle w:val="ConsPlusNormal"/>
              <w:jc w:val="center"/>
            </w:pPr>
            <w:r>
              <w:t>0,17</w:t>
            </w:r>
          </w:p>
        </w:tc>
        <w:tc>
          <w:tcPr>
            <w:tcW w:w="958" w:type="dxa"/>
            <w:tcBorders>
              <w:top w:val="nil"/>
              <w:bottom w:val="nil"/>
            </w:tcBorders>
          </w:tcPr>
          <w:p w:rsidR="00212513" w:rsidRDefault="00212513">
            <w:pPr>
              <w:pStyle w:val="ConsPlusNormal"/>
              <w:jc w:val="center"/>
            </w:pPr>
            <w:r>
              <w:t>0,17</w:t>
            </w:r>
          </w:p>
        </w:tc>
        <w:tc>
          <w:tcPr>
            <w:tcW w:w="958" w:type="dxa"/>
            <w:tcBorders>
              <w:top w:val="nil"/>
              <w:bottom w:val="nil"/>
            </w:tcBorders>
          </w:tcPr>
          <w:p w:rsidR="00212513" w:rsidRDefault="00212513">
            <w:pPr>
              <w:pStyle w:val="ConsPlusNormal"/>
              <w:jc w:val="center"/>
            </w:pPr>
            <w:r>
              <w:t>0,15</w:t>
            </w:r>
          </w:p>
        </w:tc>
        <w:tc>
          <w:tcPr>
            <w:tcW w:w="958" w:type="dxa"/>
            <w:tcBorders>
              <w:top w:val="nil"/>
              <w:bottom w:val="nil"/>
            </w:tcBorders>
          </w:tcPr>
          <w:p w:rsidR="00212513" w:rsidRDefault="00212513">
            <w:pPr>
              <w:pStyle w:val="ConsPlusNormal"/>
              <w:jc w:val="center"/>
            </w:pPr>
            <w:r>
              <w:t>0,14</w:t>
            </w:r>
          </w:p>
        </w:tc>
        <w:tc>
          <w:tcPr>
            <w:tcW w:w="958" w:type="dxa"/>
            <w:tcBorders>
              <w:top w:val="nil"/>
              <w:bottom w:val="nil"/>
            </w:tcBorders>
          </w:tcPr>
          <w:p w:rsidR="00212513" w:rsidRDefault="00212513">
            <w:pPr>
              <w:pStyle w:val="ConsPlusNormal"/>
              <w:jc w:val="center"/>
            </w:pPr>
            <w:r>
              <w:t>0,13</w:t>
            </w:r>
          </w:p>
        </w:tc>
        <w:tc>
          <w:tcPr>
            <w:tcW w:w="958" w:type="dxa"/>
            <w:tcBorders>
              <w:top w:val="nil"/>
              <w:bottom w:val="nil"/>
            </w:tcBorders>
          </w:tcPr>
          <w:p w:rsidR="00212513" w:rsidRDefault="00212513">
            <w:pPr>
              <w:pStyle w:val="ConsPlusNormal"/>
              <w:jc w:val="center"/>
            </w:pPr>
            <w:r>
              <w:t>0,12</w:t>
            </w:r>
          </w:p>
        </w:tc>
        <w:tc>
          <w:tcPr>
            <w:tcW w:w="958" w:type="dxa"/>
            <w:tcBorders>
              <w:top w:val="nil"/>
              <w:bottom w:val="nil"/>
            </w:tcBorders>
          </w:tcPr>
          <w:p w:rsidR="00212513" w:rsidRDefault="00212513">
            <w:pPr>
              <w:pStyle w:val="ConsPlusNormal"/>
              <w:jc w:val="center"/>
            </w:pPr>
            <w:r>
              <w:t>0,12</w:t>
            </w:r>
          </w:p>
        </w:tc>
        <w:tc>
          <w:tcPr>
            <w:tcW w:w="958" w:type="dxa"/>
            <w:tcBorders>
              <w:top w:val="nil"/>
              <w:bottom w:val="nil"/>
            </w:tcBorders>
          </w:tcPr>
          <w:p w:rsidR="00212513" w:rsidRDefault="00212513">
            <w:pPr>
              <w:pStyle w:val="ConsPlusNormal"/>
              <w:jc w:val="center"/>
            </w:pPr>
            <w:r>
              <w:t>0,11</w:t>
            </w:r>
          </w:p>
        </w:tc>
        <w:tc>
          <w:tcPr>
            <w:tcW w:w="958" w:type="dxa"/>
            <w:tcBorders>
              <w:top w:val="nil"/>
              <w:bottom w:val="nil"/>
            </w:tcBorders>
          </w:tcPr>
          <w:p w:rsidR="00212513" w:rsidRDefault="00212513">
            <w:pPr>
              <w:pStyle w:val="ConsPlusNormal"/>
              <w:jc w:val="center"/>
            </w:pPr>
            <w:r>
              <w:t>0,10</w:t>
            </w:r>
          </w:p>
        </w:tc>
      </w:tr>
      <w:tr w:rsidR="00212513">
        <w:tblPrEx>
          <w:tblBorders>
            <w:insideH w:val="none" w:sz="0" w:space="0" w:color="auto"/>
          </w:tblBorders>
        </w:tblPrEx>
        <w:tc>
          <w:tcPr>
            <w:tcW w:w="1134" w:type="dxa"/>
            <w:tcBorders>
              <w:top w:val="nil"/>
              <w:bottom w:val="single" w:sz="4" w:space="0" w:color="auto"/>
            </w:tcBorders>
          </w:tcPr>
          <w:p w:rsidR="00212513" w:rsidRDefault="00212513">
            <w:pPr>
              <w:pStyle w:val="ConsPlusNormal"/>
              <w:jc w:val="center"/>
            </w:pPr>
            <w:r>
              <w:t>200</w:t>
            </w:r>
          </w:p>
        </w:tc>
        <w:tc>
          <w:tcPr>
            <w:tcW w:w="958" w:type="dxa"/>
            <w:tcBorders>
              <w:top w:val="nil"/>
              <w:bottom w:val="single" w:sz="4" w:space="0" w:color="auto"/>
            </w:tcBorders>
          </w:tcPr>
          <w:p w:rsidR="00212513" w:rsidRDefault="00212513">
            <w:pPr>
              <w:pStyle w:val="ConsPlusNormal"/>
              <w:jc w:val="center"/>
            </w:pPr>
            <w:r>
              <w:t>0,19</w:t>
            </w:r>
          </w:p>
        </w:tc>
        <w:tc>
          <w:tcPr>
            <w:tcW w:w="958" w:type="dxa"/>
            <w:tcBorders>
              <w:top w:val="nil"/>
              <w:bottom w:val="single" w:sz="4" w:space="0" w:color="auto"/>
            </w:tcBorders>
          </w:tcPr>
          <w:p w:rsidR="00212513" w:rsidRDefault="00212513">
            <w:pPr>
              <w:pStyle w:val="ConsPlusNormal"/>
              <w:jc w:val="center"/>
            </w:pPr>
            <w:r>
              <w:t>0,19</w:t>
            </w:r>
          </w:p>
        </w:tc>
        <w:tc>
          <w:tcPr>
            <w:tcW w:w="958" w:type="dxa"/>
            <w:tcBorders>
              <w:top w:val="nil"/>
              <w:bottom w:val="single" w:sz="4" w:space="0" w:color="auto"/>
            </w:tcBorders>
          </w:tcPr>
          <w:p w:rsidR="00212513" w:rsidRDefault="00212513">
            <w:pPr>
              <w:pStyle w:val="ConsPlusNormal"/>
              <w:jc w:val="center"/>
            </w:pPr>
            <w:r>
              <w:t>0,18</w:t>
            </w:r>
          </w:p>
        </w:tc>
        <w:tc>
          <w:tcPr>
            <w:tcW w:w="958" w:type="dxa"/>
            <w:tcBorders>
              <w:top w:val="nil"/>
              <w:bottom w:val="single" w:sz="4" w:space="0" w:color="auto"/>
            </w:tcBorders>
          </w:tcPr>
          <w:p w:rsidR="00212513" w:rsidRDefault="00212513">
            <w:pPr>
              <w:pStyle w:val="ConsPlusNormal"/>
              <w:jc w:val="center"/>
            </w:pPr>
            <w:r>
              <w:t>0,18</w:t>
            </w:r>
          </w:p>
        </w:tc>
        <w:tc>
          <w:tcPr>
            <w:tcW w:w="958" w:type="dxa"/>
            <w:tcBorders>
              <w:top w:val="nil"/>
              <w:bottom w:val="single" w:sz="4" w:space="0" w:color="auto"/>
            </w:tcBorders>
          </w:tcPr>
          <w:p w:rsidR="00212513" w:rsidRDefault="00212513">
            <w:pPr>
              <w:pStyle w:val="ConsPlusNormal"/>
              <w:jc w:val="center"/>
            </w:pPr>
            <w:r>
              <w:t>0,17</w:t>
            </w:r>
          </w:p>
        </w:tc>
        <w:tc>
          <w:tcPr>
            <w:tcW w:w="958" w:type="dxa"/>
            <w:tcBorders>
              <w:top w:val="nil"/>
              <w:bottom w:val="single" w:sz="4" w:space="0" w:color="auto"/>
            </w:tcBorders>
          </w:tcPr>
          <w:p w:rsidR="00212513" w:rsidRDefault="00212513">
            <w:pPr>
              <w:pStyle w:val="ConsPlusNormal"/>
              <w:jc w:val="center"/>
            </w:pPr>
            <w:r>
              <w:t>0,16</w:t>
            </w:r>
          </w:p>
        </w:tc>
        <w:tc>
          <w:tcPr>
            <w:tcW w:w="958" w:type="dxa"/>
            <w:tcBorders>
              <w:top w:val="nil"/>
              <w:bottom w:val="single" w:sz="4" w:space="0" w:color="auto"/>
            </w:tcBorders>
          </w:tcPr>
          <w:p w:rsidR="00212513" w:rsidRDefault="00212513">
            <w:pPr>
              <w:pStyle w:val="ConsPlusNormal"/>
              <w:jc w:val="center"/>
            </w:pPr>
            <w:r>
              <w:t>0,15</w:t>
            </w:r>
          </w:p>
        </w:tc>
        <w:tc>
          <w:tcPr>
            <w:tcW w:w="958" w:type="dxa"/>
            <w:tcBorders>
              <w:top w:val="nil"/>
              <w:bottom w:val="single" w:sz="4" w:space="0" w:color="auto"/>
            </w:tcBorders>
          </w:tcPr>
          <w:p w:rsidR="00212513" w:rsidRDefault="00212513">
            <w:pPr>
              <w:pStyle w:val="ConsPlusNormal"/>
              <w:jc w:val="center"/>
            </w:pPr>
            <w:r>
              <w:t>0,14</w:t>
            </w:r>
          </w:p>
        </w:tc>
        <w:tc>
          <w:tcPr>
            <w:tcW w:w="958" w:type="dxa"/>
            <w:tcBorders>
              <w:top w:val="nil"/>
              <w:bottom w:val="single" w:sz="4" w:space="0" w:color="auto"/>
            </w:tcBorders>
          </w:tcPr>
          <w:p w:rsidR="00212513" w:rsidRDefault="00212513">
            <w:pPr>
              <w:pStyle w:val="ConsPlusNormal"/>
              <w:jc w:val="center"/>
            </w:pPr>
            <w:r>
              <w:t>0,13</w:t>
            </w:r>
          </w:p>
        </w:tc>
        <w:tc>
          <w:tcPr>
            <w:tcW w:w="958" w:type="dxa"/>
            <w:tcBorders>
              <w:top w:val="nil"/>
              <w:bottom w:val="single" w:sz="4" w:space="0" w:color="auto"/>
            </w:tcBorders>
          </w:tcPr>
          <w:p w:rsidR="00212513" w:rsidRDefault="00212513">
            <w:pPr>
              <w:pStyle w:val="ConsPlusNormal"/>
              <w:jc w:val="center"/>
            </w:pPr>
            <w:r>
              <w:t>0,12</w:t>
            </w:r>
          </w:p>
        </w:tc>
        <w:tc>
          <w:tcPr>
            <w:tcW w:w="958" w:type="dxa"/>
            <w:tcBorders>
              <w:top w:val="nil"/>
              <w:bottom w:val="single" w:sz="4" w:space="0" w:color="auto"/>
            </w:tcBorders>
          </w:tcPr>
          <w:p w:rsidR="00212513" w:rsidRDefault="00212513">
            <w:pPr>
              <w:pStyle w:val="ConsPlusNormal"/>
              <w:jc w:val="center"/>
            </w:pPr>
            <w:r>
              <w:t>0,11</w:t>
            </w:r>
          </w:p>
        </w:tc>
        <w:tc>
          <w:tcPr>
            <w:tcW w:w="958" w:type="dxa"/>
            <w:tcBorders>
              <w:top w:val="nil"/>
              <w:bottom w:val="single" w:sz="4" w:space="0" w:color="auto"/>
            </w:tcBorders>
          </w:tcPr>
          <w:p w:rsidR="00212513" w:rsidRDefault="00212513">
            <w:pPr>
              <w:pStyle w:val="ConsPlusNormal"/>
              <w:jc w:val="center"/>
            </w:pPr>
            <w:r>
              <w:t>0,11</w:t>
            </w:r>
          </w:p>
        </w:tc>
        <w:tc>
          <w:tcPr>
            <w:tcW w:w="958" w:type="dxa"/>
            <w:tcBorders>
              <w:top w:val="nil"/>
              <w:bottom w:val="single" w:sz="4" w:space="0" w:color="auto"/>
            </w:tcBorders>
          </w:tcPr>
          <w:p w:rsidR="00212513" w:rsidRDefault="00212513">
            <w:pPr>
              <w:pStyle w:val="ConsPlusNormal"/>
              <w:jc w:val="center"/>
            </w:pPr>
            <w:r>
              <w:t>0,10</w:t>
            </w:r>
          </w:p>
        </w:tc>
      </w:tr>
      <w:tr w:rsidR="00212513">
        <w:tc>
          <w:tcPr>
            <w:tcW w:w="13588" w:type="dxa"/>
            <w:gridSpan w:val="14"/>
            <w:tcBorders>
              <w:top w:val="single" w:sz="4" w:space="0" w:color="auto"/>
              <w:bottom w:val="single" w:sz="4" w:space="0" w:color="auto"/>
            </w:tcBorders>
          </w:tcPr>
          <w:p w:rsidR="00212513" w:rsidRDefault="00212513">
            <w:pPr>
              <w:pStyle w:val="ConsPlusNormal"/>
              <w:ind w:firstLine="283"/>
              <w:jc w:val="both"/>
            </w:pPr>
            <w:bookmarkStart w:id="521" w:name="P15092"/>
            <w:bookmarkEnd w:id="521"/>
            <w:r>
              <w:t xml:space="preserve">Примечание - Для прокатных двутавров с параллельными гранями полок и сварных элементов двутаврового и H-образного сечений коэффициенты </w:t>
            </w:r>
            <w:r>
              <w:rPr>
                <w:noProof/>
                <w:position w:val="-3"/>
              </w:rPr>
              <w:drawing>
                <wp:inline distT="0" distB="0" distL="0" distR="0">
                  <wp:extent cx="157480" cy="178435"/>
                  <wp:effectExtent l="0" t="0" r="0" b="0"/>
                  <wp:docPr id="2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2" cstate="print">
                            <a:extLst>
                              <a:ext uri="{28A0092B-C50C-407E-A947-70E740481C1C}">
                                <a14:useLocalDpi xmlns:a14="http://schemas.microsoft.com/office/drawing/2010/main" val="0"/>
                              </a:ext>
                            </a:extLst>
                          </a:blip>
                          <a:srcRect/>
                          <a:stretch>
                            <a:fillRect/>
                          </a:stretch>
                        </pic:blipFill>
                        <pic:spPr bwMode="auto">
                          <a:xfrm>
                            <a:off x="0" y="0"/>
                            <a:ext cx="157480" cy="178435"/>
                          </a:xfrm>
                          <a:prstGeom prst="rect">
                            <a:avLst/>
                          </a:prstGeom>
                          <a:noFill/>
                          <a:ln>
                            <a:noFill/>
                          </a:ln>
                        </pic:spPr>
                      </pic:pic>
                    </a:graphicData>
                  </a:graphic>
                </wp:inline>
              </w:drawing>
            </w:r>
            <w:r>
              <w:t xml:space="preserve">, </w:t>
            </w:r>
            <w:r>
              <w:rPr>
                <w:noProof/>
                <w:position w:val="-8"/>
              </w:rPr>
              <w:drawing>
                <wp:inline distT="0" distB="0" distL="0" distR="0">
                  <wp:extent cx="199390" cy="251460"/>
                  <wp:effectExtent l="0" t="0" r="0" b="0"/>
                  <wp:docPr id="2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3"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w:t>
            </w:r>
            <w:r>
              <w:rPr>
                <w:noProof/>
                <w:position w:val="-8"/>
              </w:rPr>
              <w:drawing>
                <wp:inline distT="0" distB="0" distL="0" distR="0">
                  <wp:extent cx="199390" cy="251460"/>
                  <wp:effectExtent l="0" t="0" r="0" b="0"/>
                  <wp:docPr id="2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4"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по настоящему приложению применяются при собственных остаточных сжимающих напряжениях на кромках полок не более 49 МПа. Для элементов указанного типа с собственными остаточными сжимающими напряжениями на кромках полок свыше 49 МПа при расчете по устойчивости в плоскости полок принимаются коэффициенты </w:t>
            </w:r>
            <w:r>
              <w:rPr>
                <w:noProof/>
                <w:position w:val="-3"/>
              </w:rPr>
              <w:drawing>
                <wp:inline distT="0" distB="0" distL="0" distR="0">
                  <wp:extent cx="157480" cy="178435"/>
                  <wp:effectExtent l="0" t="0" r="0" b="0"/>
                  <wp:docPr id="2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2" cstate="print">
                            <a:extLst>
                              <a:ext uri="{28A0092B-C50C-407E-A947-70E740481C1C}">
                                <a14:useLocalDpi xmlns:a14="http://schemas.microsoft.com/office/drawing/2010/main" val="0"/>
                              </a:ext>
                            </a:extLst>
                          </a:blip>
                          <a:srcRect/>
                          <a:stretch>
                            <a:fillRect/>
                          </a:stretch>
                        </pic:blipFill>
                        <pic:spPr bwMode="auto">
                          <a:xfrm>
                            <a:off x="0" y="0"/>
                            <a:ext cx="157480" cy="178435"/>
                          </a:xfrm>
                          <a:prstGeom prst="rect">
                            <a:avLst/>
                          </a:prstGeom>
                          <a:noFill/>
                          <a:ln>
                            <a:noFill/>
                          </a:ln>
                        </pic:spPr>
                      </pic:pic>
                    </a:graphicData>
                  </a:graphic>
                </wp:inline>
              </w:drawing>
            </w:r>
            <w:r>
              <w:t xml:space="preserve">, </w:t>
            </w:r>
            <w:r>
              <w:rPr>
                <w:noProof/>
                <w:position w:val="-8"/>
              </w:rPr>
              <w:drawing>
                <wp:inline distT="0" distB="0" distL="0" distR="0">
                  <wp:extent cx="199390" cy="251460"/>
                  <wp:effectExtent l="0" t="0" r="0" b="0"/>
                  <wp:docPr id="2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3"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w:t>
            </w:r>
            <w:r>
              <w:rPr>
                <w:noProof/>
                <w:position w:val="-8"/>
              </w:rPr>
              <w:drawing>
                <wp:inline distT="0" distB="0" distL="0" distR="0">
                  <wp:extent cx="199390" cy="251460"/>
                  <wp:effectExtent l="0" t="0" r="0" b="0"/>
                  <wp:docPr id="2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4"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указанные в скобках.</w:t>
            </w:r>
          </w:p>
        </w:tc>
      </w:tr>
    </w:tbl>
    <w:p w:rsidR="00212513" w:rsidRDefault="00212513">
      <w:pPr>
        <w:pStyle w:val="ConsPlusNormal"/>
        <w:ind w:firstLine="540"/>
        <w:jc w:val="both"/>
      </w:pPr>
    </w:p>
    <w:p w:rsidR="00212513" w:rsidRDefault="00212513">
      <w:pPr>
        <w:pStyle w:val="ConsPlusNormal"/>
        <w:jc w:val="right"/>
      </w:pPr>
      <w:r>
        <w:t>Таблица Ф.2</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957"/>
        <w:gridCol w:w="957"/>
        <w:gridCol w:w="957"/>
        <w:gridCol w:w="957"/>
        <w:gridCol w:w="957"/>
        <w:gridCol w:w="957"/>
        <w:gridCol w:w="957"/>
        <w:gridCol w:w="957"/>
        <w:gridCol w:w="957"/>
        <w:gridCol w:w="957"/>
        <w:gridCol w:w="957"/>
        <w:gridCol w:w="957"/>
        <w:gridCol w:w="968"/>
      </w:tblGrid>
      <w:tr w:rsidR="00212513">
        <w:tc>
          <w:tcPr>
            <w:tcW w:w="1134" w:type="dxa"/>
            <w:vMerge w:val="restart"/>
            <w:tcBorders>
              <w:top w:val="single" w:sz="4" w:space="0" w:color="auto"/>
              <w:bottom w:val="single" w:sz="4" w:space="0" w:color="auto"/>
            </w:tcBorders>
            <w:vAlign w:val="center"/>
          </w:tcPr>
          <w:p w:rsidR="00212513" w:rsidRDefault="00212513">
            <w:pPr>
              <w:pStyle w:val="ConsPlusNormal"/>
              <w:jc w:val="center"/>
            </w:pPr>
            <w:r>
              <w:lastRenderedPageBreak/>
              <w:t xml:space="preserve">Гибкость </w:t>
            </w:r>
            <w:r>
              <w:rPr>
                <w:noProof/>
                <w:position w:val="-4"/>
              </w:rPr>
              <w:drawing>
                <wp:inline distT="0" distB="0" distL="0" distR="0">
                  <wp:extent cx="157480" cy="199390"/>
                  <wp:effectExtent l="0" t="0" r="0" b="0"/>
                  <wp:docPr id="2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1"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r>
              <w:t xml:space="preserve">, </w:t>
            </w:r>
            <w:r>
              <w:rPr>
                <w:noProof/>
                <w:position w:val="-8"/>
              </w:rPr>
              <w:drawing>
                <wp:inline distT="0" distB="0" distL="0" distR="0">
                  <wp:extent cx="199390" cy="251460"/>
                  <wp:effectExtent l="0" t="0" r="0" b="0"/>
                  <wp:docPr id="2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2"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w:t>
            </w:r>
            <w:r>
              <w:rPr>
                <w:noProof/>
                <w:position w:val="-9"/>
              </w:rPr>
              <w:drawing>
                <wp:inline distT="0" distB="0" distL="0" distR="0">
                  <wp:extent cx="199390" cy="262255"/>
                  <wp:effectExtent l="0" t="0" r="0" b="0"/>
                  <wp:docPr id="2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w:t>
            </w:r>
            <w:r>
              <w:rPr>
                <w:noProof/>
                <w:position w:val="-9"/>
              </w:rPr>
              <w:drawing>
                <wp:inline distT="0" distB="0" distL="0" distR="0">
                  <wp:extent cx="241300" cy="262255"/>
                  <wp:effectExtent l="0" t="0" r="0" b="0"/>
                  <wp:docPr id="2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4" cstate="print">
                            <a:extLst>
                              <a:ext uri="{28A0092B-C50C-407E-A947-70E740481C1C}">
                                <a14:useLocalDpi xmlns:a14="http://schemas.microsoft.com/office/drawing/2010/main" val="0"/>
                              </a:ext>
                            </a:extLst>
                          </a:blip>
                          <a:srcRect/>
                          <a:stretch>
                            <a:fillRect/>
                          </a:stretch>
                        </pic:blipFill>
                        <pic:spPr bwMode="auto">
                          <a:xfrm>
                            <a:off x="0" y="0"/>
                            <a:ext cx="241300" cy="262255"/>
                          </a:xfrm>
                          <a:prstGeom prst="rect">
                            <a:avLst/>
                          </a:prstGeom>
                          <a:noFill/>
                          <a:ln>
                            <a:noFill/>
                          </a:ln>
                        </pic:spPr>
                      </pic:pic>
                    </a:graphicData>
                  </a:graphic>
                </wp:inline>
              </w:drawing>
            </w:r>
          </w:p>
        </w:tc>
        <w:tc>
          <w:tcPr>
            <w:tcW w:w="12452" w:type="dxa"/>
            <w:gridSpan w:val="13"/>
            <w:tcBorders>
              <w:top w:val="single" w:sz="4" w:space="0" w:color="auto"/>
              <w:bottom w:val="single" w:sz="4" w:space="0" w:color="auto"/>
            </w:tcBorders>
            <w:vAlign w:val="center"/>
          </w:tcPr>
          <w:p w:rsidR="00212513" w:rsidRDefault="00212513">
            <w:pPr>
              <w:pStyle w:val="ConsPlusNormal"/>
              <w:jc w:val="center"/>
            </w:pPr>
            <w:r>
              <w:t xml:space="preserve">Коэффициенты </w:t>
            </w:r>
            <w:r>
              <w:rPr>
                <w:noProof/>
                <w:position w:val="-3"/>
              </w:rPr>
              <w:drawing>
                <wp:inline distT="0" distB="0" distL="0" distR="0">
                  <wp:extent cx="157480" cy="178435"/>
                  <wp:effectExtent l="0" t="0" r="0" b="0"/>
                  <wp:docPr id="2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5" cstate="print">
                            <a:extLst>
                              <a:ext uri="{28A0092B-C50C-407E-A947-70E740481C1C}">
                                <a14:useLocalDpi xmlns:a14="http://schemas.microsoft.com/office/drawing/2010/main" val="0"/>
                              </a:ext>
                            </a:extLst>
                          </a:blip>
                          <a:srcRect/>
                          <a:stretch>
                            <a:fillRect/>
                          </a:stretch>
                        </pic:blipFill>
                        <pic:spPr bwMode="auto">
                          <a:xfrm>
                            <a:off x="0" y="0"/>
                            <a:ext cx="157480" cy="178435"/>
                          </a:xfrm>
                          <a:prstGeom prst="rect">
                            <a:avLst/>
                          </a:prstGeom>
                          <a:noFill/>
                          <a:ln>
                            <a:noFill/>
                          </a:ln>
                        </pic:spPr>
                      </pic:pic>
                    </a:graphicData>
                  </a:graphic>
                </wp:inline>
              </w:drawing>
            </w:r>
            <w:r>
              <w:t xml:space="preserve">, </w:t>
            </w:r>
            <w:r>
              <w:rPr>
                <w:noProof/>
                <w:position w:val="-8"/>
              </w:rPr>
              <w:drawing>
                <wp:inline distT="0" distB="0" distL="0" distR="0">
                  <wp:extent cx="199390" cy="251460"/>
                  <wp:effectExtent l="0" t="0" r="0" b="0"/>
                  <wp:docPr id="2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6"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w:t>
            </w:r>
            <w:r>
              <w:rPr>
                <w:noProof/>
                <w:position w:val="-8"/>
              </w:rPr>
              <w:drawing>
                <wp:inline distT="0" distB="0" distL="0" distR="0">
                  <wp:extent cx="199390" cy="251460"/>
                  <wp:effectExtent l="0" t="0" r="0" b="0"/>
                  <wp:docPr id="2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7"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для расчета по устойчивости стержней и балок из стали с классами прочности С325 - С345 по </w:t>
            </w:r>
            <w:hyperlink r:id="rId3465">
              <w:r>
                <w:rPr>
                  <w:color w:val="0000FF"/>
                </w:rPr>
                <w:t>ГОСТ 6713</w:t>
              </w:r>
            </w:hyperlink>
            <w:r>
              <w:t xml:space="preserve">, </w:t>
            </w:r>
            <w:hyperlink r:id="rId3466">
              <w:r>
                <w:rPr>
                  <w:color w:val="0000FF"/>
                </w:rPr>
                <w:t>ГОСТ Р 55374</w:t>
              </w:r>
            </w:hyperlink>
            <w:r>
              <w:t xml:space="preserve"> и </w:t>
            </w:r>
            <w:hyperlink r:id="rId3467">
              <w:r>
                <w:rPr>
                  <w:color w:val="0000FF"/>
                </w:rPr>
                <w:t>ГОСТ 19281</w:t>
              </w:r>
            </w:hyperlink>
            <w:r>
              <w:t xml:space="preserve"> при приведенном относительном эксцентриситете </w:t>
            </w:r>
            <w:r>
              <w:rPr>
                <w:noProof/>
                <w:position w:val="-9"/>
              </w:rPr>
              <w:drawing>
                <wp:inline distT="0" distB="0" distL="0" distR="0">
                  <wp:extent cx="209550" cy="262255"/>
                  <wp:effectExtent l="0" t="0" r="0" b="0"/>
                  <wp:docPr id="2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1" cstate="print">
                            <a:extLst>
                              <a:ext uri="{28A0092B-C50C-407E-A947-70E740481C1C}">
                                <a14:useLocalDpi xmlns:a14="http://schemas.microsoft.com/office/drawing/2010/main" val="0"/>
                              </a:ext>
                            </a:extLst>
                          </a:blip>
                          <a:srcRect/>
                          <a:stretch>
                            <a:fillRect/>
                          </a:stretch>
                        </pic:blipFill>
                        <pic:spPr bwMode="auto">
                          <a:xfrm>
                            <a:off x="0" y="0"/>
                            <a:ext cx="209550" cy="262255"/>
                          </a:xfrm>
                          <a:prstGeom prst="rect">
                            <a:avLst/>
                          </a:prstGeom>
                          <a:noFill/>
                          <a:ln>
                            <a:noFill/>
                          </a:ln>
                        </pic:spPr>
                      </pic:pic>
                    </a:graphicData>
                  </a:graphic>
                </wp:inline>
              </w:drawing>
            </w:r>
          </w:p>
        </w:tc>
      </w:tr>
      <w:tr w:rsidR="00212513">
        <w:tc>
          <w:tcPr>
            <w:tcW w:w="1134" w:type="dxa"/>
            <w:vMerge/>
            <w:tcBorders>
              <w:top w:val="single" w:sz="4" w:space="0" w:color="auto"/>
              <w:bottom w:val="single" w:sz="4" w:space="0" w:color="auto"/>
            </w:tcBorders>
          </w:tcPr>
          <w:p w:rsidR="00212513" w:rsidRDefault="00212513">
            <w:pPr>
              <w:pStyle w:val="ConsPlusNormal"/>
            </w:pPr>
          </w:p>
        </w:tc>
        <w:tc>
          <w:tcPr>
            <w:tcW w:w="957" w:type="dxa"/>
            <w:tcBorders>
              <w:top w:val="single" w:sz="4" w:space="0" w:color="auto"/>
              <w:bottom w:val="single" w:sz="4" w:space="0" w:color="auto"/>
            </w:tcBorders>
            <w:vAlign w:val="center"/>
          </w:tcPr>
          <w:p w:rsidR="00212513" w:rsidRDefault="00212513">
            <w:pPr>
              <w:pStyle w:val="ConsPlusNormal"/>
              <w:jc w:val="center"/>
            </w:pPr>
            <w:r>
              <w:t>0</w:t>
            </w:r>
          </w:p>
        </w:tc>
        <w:tc>
          <w:tcPr>
            <w:tcW w:w="957" w:type="dxa"/>
            <w:tcBorders>
              <w:top w:val="single" w:sz="4" w:space="0" w:color="auto"/>
              <w:bottom w:val="single" w:sz="4" w:space="0" w:color="auto"/>
            </w:tcBorders>
            <w:vAlign w:val="center"/>
          </w:tcPr>
          <w:p w:rsidR="00212513" w:rsidRDefault="00212513">
            <w:pPr>
              <w:pStyle w:val="ConsPlusNormal"/>
              <w:jc w:val="center"/>
            </w:pPr>
            <w:r>
              <w:t>0,10</w:t>
            </w:r>
          </w:p>
        </w:tc>
        <w:tc>
          <w:tcPr>
            <w:tcW w:w="957" w:type="dxa"/>
            <w:tcBorders>
              <w:top w:val="single" w:sz="4" w:space="0" w:color="auto"/>
              <w:bottom w:val="single" w:sz="4" w:space="0" w:color="auto"/>
            </w:tcBorders>
            <w:vAlign w:val="center"/>
          </w:tcPr>
          <w:p w:rsidR="00212513" w:rsidRDefault="00212513">
            <w:pPr>
              <w:pStyle w:val="ConsPlusNormal"/>
              <w:jc w:val="center"/>
            </w:pPr>
            <w:r>
              <w:t>0,25</w:t>
            </w:r>
          </w:p>
        </w:tc>
        <w:tc>
          <w:tcPr>
            <w:tcW w:w="957" w:type="dxa"/>
            <w:tcBorders>
              <w:top w:val="single" w:sz="4" w:space="0" w:color="auto"/>
              <w:bottom w:val="single" w:sz="4" w:space="0" w:color="auto"/>
            </w:tcBorders>
            <w:vAlign w:val="center"/>
          </w:tcPr>
          <w:p w:rsidR="00212513" w:rsidRDefault="00212513">
            <w:pPr>
              <w:pStyle w:val="ConsPlusNormal"/>
              <w:jc w:val="center"/>
            </w:pPr>
            <w:r>
              <w:t>0,50</w:t>
            </w:r>
          </w:p>
        </w:tc>
        <w:tc>
          <w:tcPr>
            <w:tcW w:w="957" w:type="dxa"/>
            <w:tcBorders>
              <w:top w:val="single" w:sz="4" w:space="0" w:color="auto"/>
              <w:bottom w:val="single" w:sz="4" w:space="0" w:color="auto"/>
            </w:tcBorders>
            <w:vAlign w:val="center"/>
          </w:tcPr>
          <w:p w:rsidR="00212513" w:rsidRDefault="00212513">
            <w:pPr>
              <w:pStyle w:val="ConsPlusNormal"/>
              <w:jc w:val="center"/>
            </w:pPr>
            <w:r>
              <w:t>0,75</w:t>
            </w:r>
          </w:p>
        </w:tc>
        <w:tc>
          <w:tcPr>
            <w:tcW w:w="957" w:type="dxa"/>
            <w:tcBorders>
              <w:top w:val="single" w:sz="4" w:space="0" w:color="auto"/>
              <w:bottom w:val="single" w:sz="4" w:space="0" w:color="auto"/>
            </w:tcBorders>
            <w:vAlign w:val="center"/>
          </w:tcPr>
          <w:p w:rsidR="00212513" w:rsidRDefault="00212513">
            <w:pPr>
              <w:pStyle w:val="ConsPlusNormal"/>
              <w:jc w:val="center"/>
            </w:pPr>
            <w:r>
              <w:t>1,00</w:t>
            </w:r>
          </w:p>
        </w:tc>
        <w:tc>
          <w:tcPr>
            <w:tcW w:w="957" w:type="dxa"/>
            <w:tcBorders>
              <w:top w:val="single" w:sz="4" w:space="0" w:color="auto"/>
              <w:bottom w:val="single" w:sz="4" w:space="0" w:color="auto"/>
            </w:tcBorders>
            <w:vAlign w:val="center"/>
          </w:tcPr>
          <w:p w:rsidR="00212513" w:rsidRDefault="00212513">
            <w:pPr>
              <w:pStyle w:val="ConsPlusNormal"/>
              <w:jc w:val="center"/>
            </w:pPr>
            <w:r>
              <w:t>1,50</w:t>
            </w:r>
          </w:p>
        </w:tc>
        <w:tc>
          <w:tcPr>
            <w:tcW w:w="957" w:type="dxa"/>
            <w:tcBorders>
              <w:top w:val="single" w:sz="4" w:space="0" w:color="auto"/>
              <w:bottom w:val="single" w:sz="4" w:space="0" w:color="auto"/>
            </w:tcBorders>
            <w:vAlign w:val="center"/>
          </w:tcPr>
          <w:p w:rsidR="00212513" w:rsidRDefault="00212513">
            <w:pPr>
              <w:pStyle w:val="ConsPlusNormal"/>
              <w:jc w:val="center"/>
            </w:pPr>
            <w:r>
              <w:t>2,00</w:t>
            </w:r>
          </w:p>
        </w:tc>
        <w:tc>
          <w:tcPr>
            <w:tcW w:w="957" w:type="dxa"/>
            <w:tcBorders>
              <w:top w:val="single" w:sz="4" w:space="0" w:color="auto"/>
              <w:bottom w:val="single" w:sz="4" w:space="0" w:color="auto"/>
            </w:tcBorders>
            <w:vAlign w:val="center"/>
          </w:tcPr>
          <w:p w:rsidR="00212513" w:rsidRDefault="00212513">
            <w:pPr>
              <w:pStyle w:val="ConsPlusNormal"/>
              <w:jc w:val="center"/>
            </w:pPr>
            <w:r>
              <w:t>2,50</w:t>
            </w:r>
          </w:p>
        </w:tc>
        <w:tc>
          <w:tcPr>
            <w:tcW w:w="957" w:type="dxa"/>
            <w:tcBorders>
              <w:top w:val="single" w:sz="4" w:space="0" w:color="auto"/>
              <w:bottom w:val="single" w:sz="4" w:space="0" w:color="auto"/>
            </w:tcBorders>
            <w:vAlign w:val="center"/>
          </w:tcPr>
          <w:p w:rsidR="00212513" w:rsidRDefault="00212513">
            <w:pPr>
              <w:pStyle w:val="ConsPlusNormal"/>
              <w:jc w:val="center"/>
            </w:pPr>
            <w:r>
              <w:t>3,00</w:t>
            </w:r>
          </w:p>
        </w:tc>
        <w:tc>
          <w:tcPr>
            <w:tcW w:w="957" w:type="dxa"/>
            <w:tcBorders>
              <w:top w:val="single" w:sz="4" w:space="0" w:color="auto"/>
              <w:bottom w:val="single" w:sz="4" w:space="0" w:color="auto"/>
            </w:tcBorders>
            <w:vAlign w:val="center"/>
          </w:tcPr>
          <w:p w:rsidR="00212513" w:rsidRDefault="00212513">
            <w:pPr>
              <w:pStyle w:val="ConsPlusNormal"/>
              <w:jc w:val="center"/>
            </w:pPr>
            <w:r>
              <w:t>3,50</w:t>
            </w:r>
          </w:p>
        </w:tc>
        <w:tc>
          <w:tcPr>
            <w:tcW w:w="957" w:type="dxa"/>
            <w:tcBorders>
              <w:top w:val="single" w:sz="4" w:space="0" w:color="auto"/>
              <w:bottom w:val="single" w:sz="4" w:space="0" w:color="auto"/>
            </w:tcBorders>
            <w:vAlign w:val="center"/>
          </w:tcPr>
          <w:p w:rsidR="00212513" w:rsidRDefault="00212513">
            <w:pPr>
              <w:pStyle w:val="ConsPlusNormal"/>
              <w:jc w:val="center"/>
            </w:pPr>
            <w:r>
              <w:t>4,00</w:t>
            </w:r>
          </w:p>
        </w:tc>
        <w:tc>
          <w:tcPr>
            <w:tcW w:w="968" w:type="dxa"/>
            <w:tcBorders>
              <w:top w:val="single" w:sz="4" w:space="0" w:color="auto"/>
              <w:bottom w:val="single" w:sz="4" w:space="0" w:color="auto"/>
            </w:tcBorders>
            <w:vAlign w:val="center"/>
          </w:tcPr>
          <w:p w:rsidR="00212513" w:rsidRDefault="00212513">
            <w:pPr>
              <w:pStyle w:val="ConsPlusNormal"/>
              <w:jc w:val="center"/>
            </w:pPr>
            <w:r>
              <w:t>5,00</w:t>
            </w:r>
          </w:p>
        </w:tc>
      </w:tr>
      <w:tr w:rsidR="00212513">
        <w:tblPrEx>
          <w:tblBorders>
            <w:insideH w:val="none" w:sz="0" w:space="0" w:color="auto"/>
          </w:tblBorders>
        </w:tblPrEx>
        <w:tc>
          <w:tcPr>
            <w:tcW w:w="1134" w:type="dxa"/>
            <w:tcBorders>
              <w:top w:val="single" w:sz="4" w:space="0" w:color="auto"/>
              <w:bottom w:val="nil"/>
            </w:tcBorders>
          </w:tcPr>
          <w:p w:rsidR="00212513" w:rsidRDefault="00212513">
            <w:pPr>
              <w:pStyle w:val="ConsPlusNormal"/>
              <w:jc w:val="center"/>
            </w:pPr>
            <w:r>
              <w:t>0</w:t>
            </w:r>
          </w:p>
        </w:tc>
        <w:tc>
          <w:tcPr>
            <w:tcW w:w="957" w:type="dxa"/>
            <w:tcBorders>
              <w:top w:val="single" w:sz="4" w:space="0" w:color="auto"/>
              <w:bottom w:val="nil"/>
            </w:tcBorders>
          </w:tcPr>
          <w:p w:rsidR="00212513" w:rsidRDefault="00212513">
            <w:pPr>
              <w:pStyle w:val="ConsPlusNormal"/>
              <w:jc w:val="center"/>
            </w:pPr>
            <w:r>
              <w:t>0,93</w:t>
            </w:r>
          </w:p>
        </w:tc>
        <w:tc>
          <w:tcPr>
            <w:tcW w:w="957" w:type="dxa"/>
            <w:tcBorders>
              <w:top w:val="single" w:sz="4" w:space="0" w:color="auto"/>
              <w:bottom w:val="nil"/>
            </w:tcBorders>
          </w:tcPr>
          <w:p w:rsidR="00212513" w:rsidRDefault="00212513">
            <w:pPr>
              <w:pStyle w:val="ConsPlusNormal"/>
              <w:jc w:val="center"/>
            </w:pPr>
            <w:r>
              <w:t>0,86</w:t>
            </w:r>
          </w:p>
        </w:tc>
        <w:tc>
          <w:tcPr>
            <w:tcW w:w="957" w:type="dxa"/>
            <w:tcBorders>
              <w:top w:val="single" w:sz="4" w:space="0" w:color="auto"/>
              <w:bottom w:val="nil"/>
            </w:tcBorders>
          </w:tcPr>
          <w:p w:rsidR="00212513" w:rsidRDefault="00212513">
            <w:pPr>
              <w:pStyle w:val="ConsPlusNormal"/>
              <w:jc w:val="center"/>
            </w:pPr>
            <w:r>
              <w:t>0,78</w:t>
            </w:r>
          </w:p>
        </w:tc>
        <w:tc>
          <w:tcPr>
            <w:tcW w:w="957" w:type="dxa"/>
            <w:tcBorders>
              <w:top w:val="single" w:sz="4" w:space="0" w:color="auto"/>
              <w:bottom w:val="nil"/>
            </w:tcBorders>
          </w:tcPr>
          <w:p w:rsidR="00212513" w:rsidRDefault="00212513">
            <w:pPr>
              <w:pStyle w:val="ConsPlusNormal"/>
              <w:jc w:val="center"/>
            </w:pPr>
            <w:r>
              <w:t>0,69</w:t>
            </w:r>
          </w:p>
        </w:tc>
        <w:tc>
          <w:tcPr>
            <w:tcW w:w="957" w:type="dxa"/>
            <w:tcBorders>
              <w:top w:val="single" w:sz="4" w:space="0" w:color="auto"/>
              <w:bottom w:val="nil"/>
            </w:tcBorders>
          </w:tcPr>
          <w:p w:rsidR="00212513" w:rsidRDefault="00212513">
            <w:pPr>
              <w:pStyle w:val="ConsPlusNormal"/>
              <w:jc w:val="center"/>
            </w:pPr>
            <w:r>
              <w:t>0,62</w:t>
            </w:r>
          </w:p>
        </w:tc>
        <w:tc>
          <w:tcPr>
            <w:tcW w:w="957" w:type="dxa"/>
            <w:tcBorders>
              <w:top w:val="single" w:sz="4" w:space="0" w:color="auto"/>
              <w:bottom w:val="nil"/>
            </w:tcBorders>
          </w:tcPr>
          <w:p w:rsidR="00212513" w:rsidRDefault="00212513">
            <w:pPr>
              <w:pStyle w:val="ConsPlusNormal"/>
              <w:jc w:val="center"/>
            </w:pPr>
            <w:r>
              <w:t>0,54</w:t>
            </w:r>
          </w:p>
        </w:tc>
        <w:tc>
          <w:tcPr>
            <w:tcW w:w="957" w:type="dxa"/>
            <w:tcBorders>
              <w:top w:val="single" w:sz="4" w:space="0" w:color="auto"/>
              <w:bottom w:val="nil"/>
            </w:tcBorders>
          </w:tcPr>
          <w:p w:rsidR="00212513" w:rsidRDefault="00212513">
            <w:pPr>
              <w:pStyle w:val="ConsPlusNormal"/>
              <w:jc w:val="center"/>
            </w:pPr>
            <w:r>
              <w:t>0,44</w:t>
            </w:r>
          </w:p>
        </w:tc>
        <w:tc>
          <w:tcPr>
            <w:tcW w:w="957" w:type="dxa"/>
            <w:tcBorders>
              <w:top w:val="single" w:sz="4" w:space="0" w:color="auto"/>
              <w:bottom w:val="nil"/>
            </w:tcBorders>
          </w:tcPr>
          <w:p w:rsidR="00212513" w:rsidRDefault="00212513">
            <w:pPr>
              <w:pStyle w:val="ConsPlusNormal"/>
              <w:jc w:val="center"/>
            </w:pPr>
            <w:r>
              <w:t>0,34</w:t>
            </w:r>
          </w:p>
        </w:tc>
        <w:tc>
          <w:tcPr>
            <w:tcW w:w="957" w:type="dxa"/>
            <w:tcBorders>
              <w:top w:val="single" w:sz="4" w:space="0" w:color="auto"/>
              <w:bottom w:val="nil"/>
            </w:tcBorders>
          </w:tcPr>
          <w:p w:rsidR="00212513" w:rsidRDefault="00212513">
            <w:pPr>
              <w:pStyle w:val="ConsPlusNormal"/>
              <w:jc w:val="center"/>
            </w:pPr>
            <w:r>
              <w:t>0,28</w:t>
            </w:r>
          </w:p>
        </w:tc>
        <w:tc>
          <w:tcPr>
            <w:tcW w:w="957" w:type="dxa"/>
            <w:tcBorders>
              <w:top w:val="single" w:sz="4" w:space="0" w:color="auto"/>
              <w:bottom w:val="nil"/>
            </w:tcBorders>
          </w:tcPr>
          <w:p w:rsidR="00212513" w:rsidRDefault="00212513">
            <w:pPr>
              <w:pStyle w:val="ConsPlusNormal"/>
              <w:jc w:val="center"/>
            </w:pPr>
            <w:r>
              <w:t>0,24</w:t>
            </w:r>
          </w:p>
        </w:tc>
        <w:tc>
          <w:tcPr>
            <w:tcW w:w="957" w:type="dxa"/>
            <w:tcBorders>
              <w:top w:val="single" w:sz="4" w:space="0" w:color="auto"/>
              <w:bottom w:val="nil"/>
            </w:tcBorders>
          </w:tcPr>
          <w:p w:rsidR="00212513" w:rsidRDefault="00212513">
            <w:pPr>
              <w:pStyle w:val="ConsPlusNormal"/>
              <w:jc w:val="center"/>
            </w:pPr>
            <w:r>
              <w:t>0,22</w:t>
            </w:r>
          </w:p>
        </w:tc>
        <w:tc>
          <w:tcPr>
            <w:tcW w:w="957" w:type="dxa"/>
            <w:tcBorders>
              <w:top w:val="single" w:sz="4" w:space="0" w:color="auto"/>
              <w:bottom w:val="nil"/>
            </w:tcBorders>
          </w:tcPr>
          <w:p w:rsidR="00212513" w:rsidRDefault="00212513">
            <w:pPr>
              <w:pStyle w:val="ConsPlusNormal"/>
              <w:jc w:val="center"/>
            </w:pPr>
            <w:r>
              <w:t>0,20</w:t>
            </w:r>
          </w:p>
        </w:tc>
        <w:tc>
          <w:tcPr>
            <w:tcW w:w="968" w:type="dxa"/>
            <w:tcBorders>
              <w:top w:val="single" w:sz="4" w:space="0" w:color="auto"/>
              <w:bottom w:val="nil"/>
            </w:tcBorders>
          </w:tcPr>
          <w:p w:rsidR="00212513" w:rsidRDefault="00212513">
            <w:pPr>
              <w:pStyle w:val="ConsPlusNormal"/>
              <w:jc w:val="center"/>
            </w:pPr>
            <w:r>
              <w:t>0,17</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10</w:t>
            </w:r>
          </w:p>
        </w:tc>
        <w:tc>
          <w:tcPr>
            <w:tcW w:w="957" w:type="dxa"/>
            <w:tcBorders>
              <w:top w:val="nil"/>
              <w:bottom w:val="nil"/>
            </w:tcBorders>
          </w:tcPr>
          <w:p w:rsidR="00212513" w:rsidRDefault="00212513">
            <w:pPr>
              <w:pStyle w:val="ConsPlusNormal"/>
              <w:jc w:val="center"/>
            </w:pPr>
            <w:r>
              <w:t>0,92</w:t>
            </w:r>
          </w:p>
        </w:tc>
        <w:tc>
          <w:tcPr>
            <w:tcW w:w="957" w:type="dxa"/>
            <w:tcBorders>
              <w:top w:val="nil"/>
              <w:bottom w:val="nil"/>
            </w:tcBorders>
          </w:tcPr>
          <w:p w:rsidR="00212513" w:rsidRDefault="00212513">
            <w:pPr>
              <w:pStyle w:val="ConsPlusNormal"/>
              <w:jc w:val="center"/>
            </w:pPr>
            <w:r>
              <w:t>0,84</w:t>
            </w:r>
          </w:p>
        </w:tc>
        <w:tc>
          <w:tcPr>
            <w:tcW w:w="957" w:type="dxa"/>
            <w:tcBorders>
              <w:top w:val="nil"/>
              <w:bottom w:val="nil"/>
            </w:tcBorders>
          </w:tcPr>
          <w:p w:rsidR="00212513" w:rsidRDefault="00212513">
            <w:pPr>
              <w:pStyle w:val="ConsPlusNormal"/>
              <w:jc w:val="center"/>
            </w:pPr>
            <w:r>
              <w:t>0,77</w:t>
            </w:r>
          </w:p>
        </w:tc>
        <w:tc>
          <w:tcPr>
            <w:tcW w:w="957" w:type="dxa"/>
            <w:tcBorders>
              <w:top w:val="nil"/>
              <w:bottom w:val="nil"/>
            </w:tcBorders>
          </w:tcPr>
          <w:p w:rsidR="00212513" w:rsidRDefault="00212513">
            <w:pPr>
              <w:pStyle w:val="ConsPlusNormal"/>
              <w:jc w:val="center"/>
            </w:pPr>
            <w:r>
              <w:t>0,68</w:t>
            </w:r>
          </w:p>
        </w:tc>
        <w:tc>
          <w:tcPr>
            <w:tcW w:w="957" w:type="dxa"/>
            <w:tcBorders>
              <w:top w:val="nil"/>
              <w:bottom w:val="nil"/>
            </w:tcBorders>
          </w:tcPr>
          <w:p w:rsidR="00212513" w:rsidRDefault="00212513">
            <w:pPr>
              <w:pStyle w:val="ConsPlusNormal"/>
              <w:jc w:val="center"/>
            </w:pPr>
            <w:r>
              <w:t>0,60</w:t>
            </w:r>
          </w:p>
        </w:tc>
        <w:tc>
          <w:tcPr>
            <w:tcW w:w="957" w:type="dxa"/>
            <w:tcBorders>
              <w:top w:val="nil"/>
              <w:bottom w:val="nil"/>
            </w:tcBorders>
          </w:tcPr>
          <w:p w:rsidR="00212513" w:rsidRDefault="00212513">
            <w:pPr>
              <w:pStyle w:val="ConsPlusNormal"/>
              <w:jc w:val="center"/>
            </w:pPr>
            <w:r>
              <w:t>0,52</w:t>
            </w:r>
          </w:p>
        </w:tc>
        <w:tc>
          <w:tcPr>
            <w:tcW w:w="957" w:type="dxa"/>
            <w:tcBorders>
              <w:top w:val="nil"/>
              <w:bottom w:val="nil"/>
            </w:tcBorders>
          </w:tcPr>
          <w:p w:rsidR="00212513" w:rsidRDefault="00212513">
            <w:pPr>
              <w:pStyle w:val="ConsPlusNormal"/>
              <w:jc w:val="center"/>
            </w:pPr>
            <w:r>
              <w:t>0,43</w:t>
            </w:r>
          </w:p>
        </w:tc>
        <w:tc>
          <w:tcPr>
            <w:tcW w:w="957" w:type="dxa"/>
            <w:tcBorders>
              <w:top w:val="nil"/>
              <w:bottom w:val="nil"/>
            </w:tcBorders>
          </w:tcPr>
          <w:p w:rsidR="00212513" w:rsidRDefault="00212513">
            <w:pPr>
              <w:pStyle w:val="ConsPlusNormal"/>
              <w:jc w:val="center"/>
            </w:pPr>
            <w:r>
              <w:t>0,34</w:t>
            </w:r>
          </w:p>
        </w:tc>
        <w:tc>
          <w:tcPr>
            <w:tcW w:w="957" w:type="dxa"/>
            <w:tcBorders>
              <w:top w:val="nil"/>
              <w:bottom w:val="nil"/>
            </w:tcBorders>
          </w:tcPr>
          <w:p w:rsidR="00212513" w:rsidRDefault="00212513">
            <w:pPr>
              <w:pStyle w:val="ConsPlusNormal"/>
              <w:jc w:val="center"/>
            </w:pPr>
            <w:r>
              <w:t>0,28</w:t>
            </w:r>
          </w:p>
        </w:tc>
        <w:tc>
          <w:tcPr>
            <w:tcW w:w="957" w:type="dxa"/>
            <w:tcBorders>
              <w:top w:val="nil"/>
              <w:bottom w:val="nil"/>
            </w:tcBorders>
          </w:tcPr>
          <w:p w:rsidR="00212513" w:rsidRDefault="00212513">
            <w:pPr>
              <w:pStyle w:val="ConsPlusNormal"/>
              <w:jc w:val="center"/>
            </w:pPr>
            <w:r>
              <w:t>0,24</w:t>
            </w:r>
          </w:p>
        </w:tc>
        <w:tc>
          <w:tcPr>
            <w:tcW w:w="957" w:type="dxa"/>
            <w:tcBorders>
              <w:top w:val="nil"/>
              <w:bottom w:val="nil"/>
            </w:tcBorders>
          </w:tcPr>
          <w:p w:rsidR="00212513" w:rsidRDefault="00212513">
            <w:pPr>
              <w:pStyle w:val="ConsPlusNormal"/>
              <w:jc w:val="center"/>
            </w:pPr>
            <w:r>
              <w:t>0,22</w:t>
            </w:r>
          </w:p>
        </w:tc>
        <w:tc>
          <w:tcPr>
            <w:tcW w:w="957" w:type="dxa"/>
            <w:tcBorders>
              <w:top w:val="nil"/>
              <w:bottom w:val="nil"/>
            </w:tcBorders>
          </w:tcPr>
          <w:p w:rsidR="00212513" w:rsidRDefault="00212513">
            <w:pPr>
              <w:pStyle w:val="ConsPlusNormal"/>
              <w:jc w:val="center"/>
            </w:pPr>
            <w:r>
              <w:t>0,20</w:t>
            </w:r>
          </w:p>
        </w:tc>
        <w:tc>
          <w:tcPr>
            <w:tcW w:w="968" w:type="dxa"/>
            <w:tcBorders>
              <w:top w:val="nil"/>
              <w:bottom w:val="nil"/>
            </w:tcBorders>
          </w:tcPr>
          <w:p w:rsidR="00212513" w:rsidRDefault="00212513">
            <w:pPr>
              <w:pStyle w:val="ConsPlusNormal"/>
              <w:jc w:val="center"/>
            </w:pPr>
            <w:r>
              <w:t>0,17</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20</w:t>
            </w:r>
          </w:p>
        </w:tc>
        <w:tc>
          <w:tcPr>
            <w:tcW w:w="957" w:type="dxa"/>
            <w:tcBorders>
              <w:top w:val="nil"/>
              <w:bottom w:val="nil"/>
            </w:tcBorders>
          </w:tcPr>
          <w:p w:rsidR="00212513" w:rsidRDefault="00212513">
            <w:pPr>
              <w:pStyle w:val="ConsPlusNormal"/>
              <w:jc w:val="center"/>
            </w:pPr>
            <w:r>
              <w:t>0,90</w:t>
            </w:r>
          </w:p>
        </w:tc>
        <w:tc>
          <w:tcPr>
            <w:tcW w:w="957" w:type="dxa"/>
            <w:tcBorders>
              <w:top w:val="nil"/>
              <w:bottom w:val="nil"/>
            </w:tcBorders>
          </w:tcPr>
          <w:p w:rsidR="00212513" w:rsidRDefault="00212513">
            <w:pPr>
              <w:pStyle w:val="ConsPlusNormal"/>
              <w:jc w:val="center"/>
            </w:pPr>
            <w:r>
              <w:t>0,83</w:t>
            </w:r>
          </w:p>
        </w:tc>
        <w:tc>
          <w:tcPr>
            <w:tcW w:w="957" w:type="dxa"/>
            <w:tcBorders>
              <w:top w:val="nil"/>
              <w:bottom w:val="nil"/>
            </w:tcBorders>
          </w:tcPr>
          <w:p w:rsidR="00212513" w:rsidRDefault="00212513">
            <w:pPr>
              <w:pStyle w:val="ConsPlusNormal"/>
              <w:jc w:val="center"/>
            </w:pPr>
            <w:r>
              <w:t>0,76</w:t>
            </w:r>
          </w:p>
        </w:tc>
        <w:tc>
          <w:tcPr>
            <w:tcW w:w="957" w:type="dxa"/>
            <w:tcBorders>
              <w:top w:val="nil"/>
              <w:bottom w:val="nil"/>
            </w:tcBorders>
          </w:tcPr>
          <w:p w:rsidR="00212513" w:rsidRDefault="00212513">
            <w:pPr>
              <w:pStyle w:val="ConsPlusNormal"/>
              <w:jc w:val="center"/>
            </w:pPr>
            <w:r>
              <w:t>0,66</w:t>
            </w:r>
          </w:p>
        </w:tc>
        <w:tc>
          <w:tcPr>
            <w:tcW w:w="957" w:type="dxa"/>
            <w:tcBorders>
              <w:top w:val="nil"/>
              <w:bottom w:val="nil"/>
            </w:tcBorders>
          </w:tcPr>
          <w:p w:rsidR="00212513" w:rsidRDefault="00212513">
            <w:pPr>
              <w:pStyle w:val="ConsPlusNormal"/>
              <w:jc w:val="center"/>
            </w:pPr>
            <w:r>
              <w:t>0,58</w:t>
            </w:r>
          </w:p>
        </w:tc>
        <w:tc>
          <w:tcPr>
            <w:tcW w:w="957" w:type="dxa"/>
            <w:tcBorders>
              <w:top w:val="nil"/>
              <w:bottom w:val="nil"/>
            </w:tcBorders>
          </w:tcPr>
          <w:p w:rsidR="00212513" w:rsidRDefault="00212513">
            <w:pPr>
              <w:pStyle w:val="ConsPlusNormal"/>
              <w:jc w:val="center"/>
            </w:pPr>
            <w:r>
              <w:t>0,51</w:t>
            </w:r>
          </w:p>
        </w:tc>
        <w:tc>
          <w:tcPr>
            <w:tcW w:w="957" w:type="dxa"/>
            <w:tcBorders>
              <w:top w:val="nil"/>
              <w:bottom w:val="nil"/>
            </w:tcBorders>
          </w:tcPr>
          <w:p w:rsidR="00212513" w:rsidRDefault="00212513">
            <w:pPr>
              <w:pStyle w:val="ConsPlusNormal"/>
              <w:jc w:val="center"/>
            </w:pPr>
            <w:r>
              <w:t>0,41</w:t>
            </w:r>
          </w:p>
        </w:tc>
        <w:tc>
          <w:tcPr>
            <w:tcW w:w="957" w:type="dxa"/>
            <w:tcBorders>
              <w:top w:val="nil"/>
              <w:bottom w:val="nil"/>
            </w:tcBorders>
          </w:tcPr>
          <w:p w:rsidR="00212513" w:rsidRDefault="00212513">
            <w:pPr>
              <w:pStyle w:val="ConsPlusNormal"/>
              <w:jc w:val="center"/>
            </w:pPr>
            <w:r>
              <w:t>0,33</w:t>
            </w:r>
          </w:p>
        </w:tc>
        <w:tc>
          <w:tcPr>
            <w:tcW w:w="957" w:type="dxa"/>
            <w:tcBorders>
              <w:top w:val="nil"/>
              <w:bottom w:val="nil"/>
            </w:tcBorders>
          </w:tcPr>
          <w:p w:rsidR="00212513" w:rsidRDefault="00212513">
            <w:pPr>
              <w:pStyle w:val="ConsPlusNormal"/>
              <w:jc w:val="center"/>
            </w:pPr>
            <w:r>
              <w:t>0,28</w:t>
            </w:r>
          </w:p>
        </w:tc>
        <w:tc>
          <w:tcPr>
            <w:tcW w:w="957" w:type="dxa"/>
            <w:tcBorders>
              <w:top w:val="nil"/>
              <w:bottom w:val="nil"/>
            </w:tcBorders>
          </w:tcPr>
          <w:p w:rsidR="00212513" w:rsidRDefault="00212513">
            <w:pPr>
              <w:pStyle w:val="ConsPlusNormal"/>
              <w:jc w:val="center"/>
            </w:pPr>
            <w:r>
              <w:t>0,24</w:t>
            </w:r>
          </w:p>
        </w:tc>
        <w:tc>
          <w:tcPr>
            <w:tcW w:w="957" w:type="dxa"/>
            <w:tcBorders>
              <w:top w:val="nil"/>
              <w:bottom w:val="nil"/>
            </w:tcBorders>
          </w:tcPr>
          <w:p w:rsidR="00212513" w:rsidRDefault="00212513">
            <w:pPr>
              <w:pStyle w:val="ConsPlusNormal"/>
              <w:jc w:val="center"/>
            </w:pPr>
            <w:r>
              <w:t>0,22</w:t>
            </w:r>
          </w:p>
        </w:tc>
        <w:tc>
          <w:tcPr>
            <w:tcW w:w="957" w:type="dxa"/>
            <w:tcBorders>
              <w:top w:val="nil"/>
              <w:bottom w:val="nil"/>
            </w:tcBorders>
          </w:tcPr>
          <w:p w:rsidR="00212513" w:rsidRDefault="00212513">
            <w:pPr>
              <w:pStyle w:val="ConsPlusNormal"/>
              <w:jc w:val="center"/>
            </w:pPr>
            <w:r>
              <w:t>0,20</w:t>
            </w:r>
          </w:p>
        </w:tc>
        <w:tc>
          <w:tcPr>
            <w:tcW w:w="968" w:type="dxa"/>
            <w:tcBorders>
              <w:top w:val="nil"/>
              <w:bottom w:val="nil"/>
            </w:tcBorders>
          </w:tcPr>
          <w:p w:rsidR="00212513" w:rsidRDefault="00212513">
            <w:pPr>
              <w:pStyle w:val="ConsPlusNormal"/>
              <w:jc w:val="center"/>
            </w:pPr>
            <w:r>
              <w:t>0,17</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30</w:t>
            </w:r>
          </w:p>
        </w:tc>
        <w:tc>
          <w:tcPr>
            <w:tcW w:w="957" w:type="dxa"/>
            <w:tcBorders>
              <w:top w:val="nil"/>
              <w:bottom w:val="nil"/>
            </w:tcBorders>
          </w:tcPr>
          <w:p w:rsidR="00212513" w:rsidRDefault="00212513">
            <w:pPr>
              <w:pStyle w:val="ConsPlusNormal"/>
              <w:jc w:val="center"/>
            </w:pPr>
            <w:r>
              <w:t>0,88</w:t>
            </w:r>
          </w:p>
        </w:tc>
        <w:tc>
          <w:tcPr>
            <w:tcW w:w="957" w:type="dxa"/>
            <w:tcBorders>
              <w:top w:val="nil"/>
              <w:bottom w:val="nil"/>
            </w:tcBorders>
          </w:tcPr>
          <w:p w:rsidR="00212513" w:rsidRDefault="00212513">
            <w:pPr>
              <w:pStyle w:val="ConsPlusNormal"/>
              <w:jc w:val="center"/>
            </w:pPr>
            <w:r>
              <w:t>0,81</w:t>
            </w:r>
          </w:p>
        </w:tc>
        <w:tc>
          <w:tcPr>
            <w:tcW w:w="957" w:type="dxa"/>
            <w:tcBorders>
              <w:top w:val="nil"/>
              <w:bottom w:val="nil"/>
            </w:tcBorders>
          </w:tcPr>
          <w:p w:rsidR="00212513" w:rsidRDefault="00212513">
            <w:pPr>
              <w:pStyle w:val="ConsPlusNormal"/>
              <w:jc w:val="center"/>
            </w:pPr>
            <w:r>
              <w:t>0,73</w:t>
            </w:r>
          </w:p>
        </w:tc>
        <w:tc>
          <w:tcPr>
            <w:tcW w:w="957" w:type="dxa"/>
            <w:tcBorders>
              <w:top w:val="nil"/>
              <w:bottom w:val="nil"/>
            </w:tcBorders>
          </w:tcPr>
          <w:p w:rsidR="00212513" w:rsidRDefault="00212513">
            <w:pPr>
              <w:pStyle w:val="ConsPlusNormal"/>
              <w:jc w:val="center"/>
            </w:pPr>
            <w:r>
              <w:t>0,63</w:t>
            </w:r>
          </w:p>
        </w:tc>
        <w:tc>
          <w:tcPr>
            <w:tcW w:w="957" w:type="dxa"/>
            <w:tcBorders>
              <w:top w:val="nil"/>
              <w:bottom w:val="nil"/>
            </w:tcBorders>
          </w:tcPr>
          <w:p w:rsidR="00212513" w:rsidRDefault="00212513">
            <w:pPr>
              <w:pStyle w:val="ConsPlusNormal"/>
              <w:jc w:val="center"/>
            </w:pPr>
            <w:r>
              <w:t>0,56 (0,55)</w:t>
            </w:r>
          </w:p>
        </w:tc>
        <w:tc>
          <w:tcPr>
            <w:tcW w:w="957" w:type="dxa"/>
            <w:tcBorders>
              <w:top w:val="nil"/>
              <w:bottom w:val="nil"/>
            </w:tcBorders>
          </w:tcPr>
          <w:p w:rsidR="00212513" w:rsidRDefault="00212513">
            <w:pPr>
              <w:pStyle w:val="ConsPlusNormal"/>
              <w:jc w:val="center"/>
            </w:pPr>
            <w:r>
              <w:t>0,49 (0,48)</w:t>
            </w:r>
          </w:p>
        </w:tc>
        <w:tc>
          <w:tcPr>
            <w:tcW w:w="957" w:type="dxa"/>
            <w:tcBorders>
              <w:top w:val="nil"/>
              <w:bottom w:val="nil"/>
            </w:tcBorders>
          </w:tcPr>
          <w:p w:rsidR="00212513" w:rsidRDefault="00212513">
            <w:pPr>
              <w:pStyle w:val="ConsPlusNormal"/>
              <w:jc w:val="center"/>
            </w:pPr>
            <w:r>
              <w:t>0,40 (0,39)</w:t>
            </w:r>
          </w:p>
        </w:tc>
        <w:tc>
          <w:tcPr>
            <w:tcW w:w="957" w:type="dxa"/>
            <w:tcBorders>
              <w:top w:val="nil"/>
              <w:bottom w:val="nil"/>
            </w:tcBorders>
          </w:tcPr>
          <w:p w:rsidR="00212513" w:rsidRDefault="00212513">
            <w:pPr>
              <w:pStyle w:val="ConsPlusNormal"/>
              <w:jc w:val="center"/>
            </w:pPr>
            <w:r>
              <w:t>0,32</w:t>
            </w:r>
          </w:p>
        </w:tc>
        <w:tc>
          <w:tcPr>
            <w:tcW w:w="957" w:type="dxa"/>
            <w:tcBorders>
              <w:top w:val="nil"/>
              <w:bottom w:val="nil"/>
            </w:tcBorders>
          </w:tcPr>
          <w:p w:rsidR="00212513" w:rsidRDefault="00212513">
            <w:pPr>
              <w:pStyle w:val="ConsPlusNormal"/>
              <w:jc w:val="center"/>
            </w:pPr>
            <w:r>
              <w:t>0,27</w:t>
            </w:r>
          </w:p>
        </w:tc>
        <w:tc>
          <w:tcPr>
            <w:tcW w:w="957" w:type="dxa"/>
            <w:tcBorders>
              <w:top w:val="nil"/>
              <w:bottom w:val="nil"/>
            </w:tcBorders>
          </w:tcPr>
          <w:p w:rsidR="00212513" w:rsidRDefault="00212513">
            <w:pPr>
              <w:pStyle w:val="ConsPlusNormal"/>
              <w:jc w:val="center"/>
            </w:pPr>
            <w:r>
              <w:t>0,24</w:t>
            </w:r>
          </w:p>
        </w:tc>
        <w:tc>
          <w:tcPr>
            <w:tcW w:w="957" w:type="dxa"/>
            <w:tcBorders>
              <w:top w:val="nil"/>
              <w:bottom w:val="nil"/>
            </w:tcBorders>
          </w:tcPr>
          <w:p w:rsidR="00212513" w:rsidRDefault="00212513">
            <w:pPr>
              <w:pStyle w:val="ConsPlusNormal"/>
              <w:jc w:val="center"/>
            </w:pPr>
            <w:r>
              <w:t>0,21</w:t>
            </w:r>
          </w:p>
        </w:tc>
        <w:tc>
          <w:tcPr>
            <w:tcW w:w="957" w:type="dxa"/>
            <w:tcBorders>
              <w:top w:val="nil"/>
              <w:bottom w:val="nil"/>
            </w:tcBorders>
          </w:tcPr>
          <w:p w:rsidR="00212513" w:rsidRDefault="00212513">
            <w:pPr>
              <w:pStyle w:val="ConsPlusNormal"/>
              <w:jc w:val="center"/>
            </w:pPr>
            <w:r>
              <w:t>0,19</w:t>
            </w:r>
          </w:p>
        </w:tc>
        <w:tc>
          <w:tcPr>
            <w:tcW w:w="968" w:type="dxa"/>
            <w:tcBorders>
              <w:top w:val="nil"/>
              <w:bottom w:val="nil"/>
            </w:tcBorders>
          </w:tcPr>
          <w:p w:rsidR="00212513" w:rsidRDefault="00212513">
            <w:pPr>
              <w:pStyle w:val="ConsPlusNormal"/>
              <w:jc w:val="center"/>
            </w:pPr>
            <w:r>
              <w:t>0,16</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40</w:t>
            </w:r>
          </w:p>
        </w:tc>
        <w:tc>
          <w:tcPr>
            <w:tcW w:w="957" w:type="dxa"/>
            <w:tcBorders>
              <w:top w:val="nil"/>
              <w:bottom w:val="nil"/>
            </w:tcBorders>
          </w:tcPr>
          <w:p w:rsidR="00212513" w:rsidRDefault="00212513">
            <w:pPr>
              <w:pStyle w:val="ConsPlusNormal"/>
              <w:jc w:val="center"/>
            </w:pPr>
            <w:r>
              <w:t>0,85 (0,84)</w:t>
            </w:r>
          </w:p>
        </w:tc>
        <w:tc>
          <w:tcPr>
            <w:tcW w:w="957" w:type="dxa"/>
            <w:tcBorders>
              <w:top w:val="nil"/>
              <w:bottom w:val="nil"/>
            </w:tcBorders>
          </w:tcPr>
          <w:p w:rsidR="00212513" w:rsidRDefault="00212513">
            <w:pPr>
              <w:pStyle w:val="ConsPlusNormal"/>
              <w:jc w:val="center"/>
            </w:pPr>
            <w:r>
              <w:t>0,77 (0,76)</w:t>
            </w:r>
          </w:p>
        </w:tc>
        <w:tc>
          <w:tcPr>
            <w:tcW w:w="957" w:type="dxa"/>
            <w:tcBorders>
              <w:top w:val="nil"/>
              <w:bottom w:val="nil"/>
            </w:tcBorders>
          </w:tcPr>
          <w:p w:rsidR="00212513" w:rsidRDefault="00212513">
            <w:pPr>
              <w:pStyle w:val="ConsPlusNormal"/>
              <w:jc w:val="center"/>
            </w:pPr>
            <w:r>
              <w:t>0,69 (0,68)</w:t>
            </w:r>
          </w:p>
        </w:tc>
        <w:tc>
          <w:tcPr>
            <w:tcW w:w="957" w:type="dxa"/>
            <w:tcBorders>
              <w:top w:val="nil"/>
              <w:bottom w:val="nil"/>
            </w:tcBorders>
          </w:tcPr>
          <w:p w:rsidR="00212513" w:rsidRDefault="00212513">
            <w:pPr>
              <w:pStyle w:val="ConsPlusNormal"/>
              <w:jc w:val="center"/>
            </w:pPr>
            <w:r>
              <w:t>0,59 (0,58)</w:t>
            </w:r>
          </w:p>
        </w:tc>
        <w:tc>
          <w:tcPr>
            <w:tcW w:w="957" w:type="dxa"/>
            <w:tcBorders>
              <w:top w:val="nil"/>
              <w:bottom w:val="nil"/>
            </w:tcBorders>
          </w:tcPr>
          <w:p w:rsidR="00212513" w:rsidRDefault="00212513">
            <w:pPr>
              <w:pStyle w:val="ConsPlusNormal"/>
              <w:jc w:val="center"/>
            </w:pPr>
            <w:r>
              <w:t>0,52 (0,51)</w:t>
            </w:r>
          </w:p>
        </w:tc>
        <w:tc>
          <w:tcPr>
            <w:tcW w:w="957" w:type="dxa"/>
            <w:tcBorders>
              <w:top w:val="nil"/>
              <w:bottom w:val="nil"/>
            </w:tcBorders>
          </w:tcPr>
          <w:p w:rsidR="00212513" w:rsidRDefault="00212513">
            <w:pPr>
              <w:pStyle w:val="ConsPlusNormal"/>
              <w:jc w:val="center"/>
            </w:pPr>
            <w:r>
              <w:t>0,46 (0,45)</w:t>
            </w:r>
          </w:p>
        </w:tc>
        <w:tc>
          <w:tcPr>
            <w:tcW w:w="957" w:type="dxa"/>
            <w:tcBorders>
              <w:top w:val="nil"/>
              <w:bottom w:val="nil"/>
            </w:tcBorders>
          </w:tcPr>
          <w:p w:rsidR="00212513" w:rsidRDefault="00212513">
            <w:pPr>
              <w:pStyle w:val="ConsPlusNormal"/>
              <w:jc w:val="center"/>
            </w:pPr>
            <w:r>
              <w:t>0,38 (0,37)</w:t>
            </w:r>
          </w:p>
        </w:tc>
        <w:tc>
          <w:tcPr>
            <w:tcW w:w="957" w:type="dxa"/>
            <w:tcBorders>
              <w:top w:val="nil"/>
              <w:bottom w:val="nil"/>
            </w:tcBorders>
          </w:tcPr>
          <w:p w:rsidR="00212513" w:rsidRDefault="00212513">
            <w:pPr>
              <w:pStyle w:val="ConsPlusNormal"/>
              <w:jc w:val="center"/>
            </w:pPr>
            <w:r>
              <w:t>0,31</w:t>
            </w:r>
          </w:p>
        </w:tc>
        <w:tc>
          <w:tcPr>
            <w:tcW w:w="957" w:type="dxa"/>
            <w:tcBorders>
              <w:top w:val="nil"/>
              <w:bottom w:val="nil"/>
            </w:tcBorders>
          </w:tcPr>
          <w:p w:rsidR="00212513" w:rsidRDefault="00212513">
            <w:pPr>
              <w:pStyle w:val="ConsPlusNormal"/>
              <w:jc w:val="center"/>
            </w:pPr>
            <w:r>
              <w:t>0,26</w:t>
            </w:r>
          </w:p>
        </w:tc>
        <w:tc>
          <w:tcPr>
            <w:tcW w:w="957" w:type="dxa"/>
            <w:tcBorders>
              <w:top w:val="nil"/>
              <w:bottom w:val="nil"/>
            </w:tcBorders>
          </w:tcPr>
          <w:p w:rsidR="00212513" w:rsidRDefault="00212513">
            <w:pPr>
              <w:pStyle w:val="ConsPlusNormal"/>
              <w:jc w:val="center"/>
            </w:pPr>
            <w:r>
              <w:t>0,23</w:t>
            </w:r>
          </w:p>
        </w:tc>
        <w:tc>
          <w:tcPr>
            <w:tcW w:w="957" w:type="dxa"/>
            <w:tcBorders>
              <w:top w:val="nil"/>
              <w:bottom w:val="nil"/>
            </w:tcBorders>
          </w:tcPr>
          <w:p w:rsidR="00212513" w:rsidRDefault="00212513">
            <w:pPr>
              <w:pStyle w:val="ConsPlusNormal"/>
              <w:jc w:val="center"/>
            </w:pPr>
            <w:r>
              <w:t>0,21</w:t>
            </w:r>
          </w:p>
        </w:tc>
        <w:tc>
          <w:tcPr>
            <w:tcW w:w="957" w:type="dxa"/>
            <w:tcBorders>
              <w:top w:val="nil"/>
              <w:bottom w:val="nil"/>
            </w:tcBorders>
          </w:tcPr>
          <w:p w:rsidR="00212513" w:rsidRDefault="00212513">
            <w:pPr>
              <w:pStyle w:val="ConsPlusNormal"/>
              <w:jc w:val="center"/>
            </w:pPr>
            <w:r>
              <w:t>0,19</w:t>
            </w:r>
          </w:p>
        </w:tc>
        <w:tc>
          <w:tcPr>
            <w:tcW w:w="968" w:type="dxa"/>
            <w:tcBorders>
              <w:top w:val="nil"/>
              <w:bottom w:val="nil"/>
            </w:tcBorders>
          </w:tcPr>
          <w:p w:rsidR="00212513" w:rsidRDefault="00212513">
            <w:pPr>
              <w:pStyle w:val="ConsPlusNormal"/>
              <w:jc w:val="center"/>
            </w:pPr>
            <w:r>
              <w:t>0,16</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50</w:t>
            </w:r>
          </w:p>
        </w:tc>
        <w:tc>
          <w:tcPr>
            <w:tcW w:w="957" w:type="dxa"/>
            <w:tcBorders>
              <w:top w:val="nil"/>
              <w:bottom w:val="nil"/>
            </w:tcBorders>
          </w:tcPr>
          <w:p w:rsidR="00212513" w:rsidRDefault="00212513">
            <w:pPr>
              <w:pStyle w:val="ConsPlusNormal"/>
              <w:jc w:val="center"/>
            </w:pPr>
            <w:r>
              <w:t>0,80 (0,78)</w:t>
            </w:r>
          </w:p>
        </w:tc>
        <w:tc>
          <w:tcPr>
            <w:tcW w:w="957" w:type="dxa"/>
            <w:tcBorders>
              <w:top w:val="nil"/>
              <w:bottom w:val="nil"/>
            </w:tcBorders>
          </w:tcPr>
          <w:p w:rsidR="00212513" w:rsidRDefault="00212513">
            <w:pPr>
              <w:pStyle w:val="ConsPlusNormal"/>
              <w:jc w:val="center"/>
            </w:pPr>
            <w:r>
              <w:t>0,72 (0,70)</w:t>
            </w:r>
          </w:p>
        </w:tc>
        <w:tc>
          <w:tcPr>
            <w:tcW w:w="957" w:type="dxa"/>
            <w:tcBorders>
              <w:top w:val="nil"/>
              <w:bottom w:val="nil"/>
            </w:tcBorders>
          </w:tcPr>
          <w:p w:rsidR="00212513" w:rsidRDefault="00212513">
            <w:pPr>
              <w:pStyle w:val="ConsPlusNormal"/>
              <w:jc w:val="center"/>
            </w:pPr>
            <w:r>
              <w:t>0,64 (0,62)</w:t>
            </w:r>
          </w:p>
        </w:tc>
        <w:tc>
          <w:tcPr>
            <w:tcW w:w="957" w:type="dxa"/>
            <w:tcBorders>
              <w:top w:val="nil"/>
              <w:bottom w:val="nil"/>
            </w:tcBorders>
          </w:tcPr>
          <w:p w:rsidR="00212513" w:rsidRDefault="00212513">
            <w:pPr>
              <w:pStyle w:val="ConsPlusNormal"/>
              <w:jc w:val="center"/>
            </w:pPr>
            <w:r>
              <w:t>0,54 (0,52)</w:t>
            </w:r>
          </w:p>
        </w:tc>
        <w:tc>
          <w:tcPr>
            <w:tcW w:w="957" w:type="dxa"/>
            <w:tcBorders>
              <w:top w:val="nil"/>
              <w:bottom w:val="nil"/>
            </w:tcBorders>
          </w:tcPr>
          <w:p w:rsidR="00212513" w:rsidRDefault="00212513">
            <w:pPr>
              <w:pStyle w:val="ConsPlusNormal"/>
              <w:jc w:val="center"/>
            </w:pPr>
            <w:r>
              <w:t>0,48 (0,46)</w:t>
            </w:r>
          </w:p>
        </w:tc>
        <w:tc>
          <w:tcPr>
            <w:tcW w:w="957" w:type="dxa"/>
            <w:tcBorders>
              <w:top w:val="nil"/>
              <w:bottom w:val="nil"/>
            </w:tcBorders>
          </w:tcPr>
          <w:p w:rsidR="00212513" w:rsidRDefault="00212513">
            <w:pPr>
              <w:pStyle w:val="ConsPlusNormal"/>
              <w:jc w:val="center"/>
            </w:pPr>
            <w:r>
              <w:t>0,43 (0,42)</w:t>
            </w:r>
          </w:p>
        </w:tc>
        <w:tc>
          <w:tcPr>
            <w:tcW w:w="957" w:type="dxa"/>
            <w:tcBorders>
              <w:top w:val="nil"/>
              <w:bottom w:val="nil"/>
            </w:tcBorders>
          </w:tcPr>
          <w:p w:rsidR="00212513" w:rsidRDefault="00212513">
            <w:pPr>
              <w:pStyle w:val="ConsPlusNormal"/>
              <w:jc w:val="center"/>
            </w:pPr>
            <w:r>
              <w:t>0,36 (0,35)</w:t>
            </w:r>
          </w:p>
        </w:tc>
        <w:tc>
          <w:tcPr>
            <w:tcW w:w="957" w:type="dxa"/>
            <w:tcBorders>
              <w:top w:val="nil"/>
              <w:bottom w:val="nil"/>
            </w:tcBorders>
          </w:tcPr>
          <w:p w:rsidR="00212513" w:rsidRDefault="00212513">
            <w:pPr>
              <w:pStyle w:val="ConsPlusNormal"/>
              <w:jc w:val="center"/>
            </w:pPr>
            <w:r>
              <w:t>0,30</w:t>
            </w:r>
          </w:p>
        </w:tc>
        <w:tc>
          <w:tcPr>
            <w:tcW w:w="957" w:type="dxa"/>
            <w:tcBorders>
              <w:top w:val="nil"/>
              <w:bottom w:val="nil"/>
            </w:tcBorders>
          </w:tcPr>
          <w:p w:rsidR="00212513" w:rsidRDefault="00212513">
            <w:pPr>
              <w:pStyle w:val="ConsPlusNormal"/>
              <w:jc w:val="center"/>
            </w:pPr>
            <w:r>
              <w:t>0,25</w:t>
            </w:r>
          </w:p>
        </w:tc>
        <w:tc>
          <w:tcPr>
            <w:tcW w:w="957" w:type="dxa"/>
            <w:tcBorders>
              <w:top w:val="nil"/>
              <w:bottom w:val="nil"/>
            </w:tcBorders>
          </w:tcPr>
          <w:p w:rsidR="00212513" w:rsidRDefault="00212513">
            <w:pPr>
              <w:pStyle w:val="ConsPlusNormal"/>
              <w:jc w:val="center"/>
            </w:pPr>
            <w:r>
              <w:t>0,22</w:t>
            </w:r>
          </w:p>
        </w:tc>
        <w:tc>
          <w:tcPr>
            <w:tcW w:w="957" w:type="dxa"/>
            <w:tcBorders>
              <w:top w:val="nil"/>
              <w:bottom w:val="nil"/>
            </w:tcBorders>
          </w:tcPr>
          <w:p w:rsidR="00212513" w:rsidRDefault="00212513">
            <w:pPr>
              <w:pStyle w:val="ConsPlusNormal"/>
              <w:jc w:val="center"/>
            </w:pPr>
            <w:r>
              <w:t>0,21</w:t>
            </w:r>
          </w:p>
        </w:tc>
        <w:tc>
          <w:tcPr>
            <w:tcW w:w="957" w:type="dxa"/>
            <w:tcBorders>
              <w:top w:val="nil"/>
              <w:bottom w:val="nil"/>
            </w:tcBorders>
          </w:tcPr>
          <w:p w:rsidR="00212513" w:rsidRDefault="00212513">
            <w:pPr>
              <w:pStyle w:val="ConsPlusNormal"/>
              <w:jc w:val="center"/>
            </w:pPr>
            <w:r>
              <w:t>0,19</w:t>
            </w:r>
          </w:p>
        </w:tc>
        <w:tc>
          <w:tcPr>
            <w:tcW w:w="968" w:type="dxa"/>
            <w:tcBorders>
              <w:top w:val="nil"/>
              <w:bottom w:val="nil"/>
            </w:tcBorders>
          </w:tcPr>
          <w:p w:rsidR="00212513" w:rsidRDefault="00212513">
            <w:pPr>
              <w:pStyle w:val="ConsPlusNormal"/>
              <w:jc w:val="center"/>
            </w:pPr>
            <w:r>
              <w:t>0,16</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60</w:t>
            </w:r>
          </w:p>
        </w:tc>
        <w:tc>
          <w:tcPr>
            <w:tcW w:w="957" w:type="dxa"/>
            <w:tcBorders>
              <w:top w:val="nil"/>
              <w:bottom w:val="nil"/>
            </w:tcBorders>
          </w:tcPr>
          <w:p w:rsidR="00212513" w:rsidRDefault="00212513">
            <w:pPr>
              <w:pStyle w:val="ConsPlusNormal"/>
              <w:jc w:val="center"/>
            </w:pPr>
            <w:r>
              <w:t>0,74 (0,71)</w:t>
            </w:r>
          </w:p>
        </w:tc>
        <w:tc>
          <w:tcPr>
            <w:tcW w:w="957" w:type="dxa"/>
            <w:tcBorders>
              <w:top w:val="nil"/>
              <w:bottom w:val="nil"/>
            </w:tcBorders>
          </w:tcPr>
          <w:p w:rsidR="00212513" w:rsidRDefault="00212513">
            <w:pPr>
              <w:pStyle w:val="ConsPlusNormal"/>
              <w:jc w:val="center"/>
            </w:pPr>
            <w:r>
              <w:t>0,66 (0,63)</w:t>
            </w:r>
          </w:p>
        </w:tc>
        <w:tc>
          <w:tcPr>
            <w:tcW w:w="957" w:type="dxa"/>
            <w:tcBorders>
              <w:top w:val="nil"/>
              <w:bottom w:val="nil"/>
            </w:tcBorders>
          </w:tcPr>
          <w:p w:rsidR="00212513" w:rsidRDefault="00212513">
            <w:pPr>
              <w:pStyle w:val="ConsPlusNormal"/>
              <w:jc w:val="center"/>
            </w:pPr>
            <w:r>
              <w:t>0,58 (0,56)</w:t>
            </w:r>
          </w:p>
        </w:tc>
        <w:tc>
          <w:tcPr>
            <w:tcW w:w="957" w:type="dxa"/>
            <w:tcBorders>
              <w:top w:val="nil"/>
              <w:bottom w:val="nil"/>
            </w:tcBorders>
          </w:tcPr>
          <w:p w:rsidR="00212513" w:rsidRDefault="00212513">
            <w:pPr>
              <w:pStyle w:val="ConsPlusNormal"/>
              <w:jc w:val="center"/>
            </w:pPr>
            <w:r>
              <w:t>0,48 (0,46)</w:t>
            </w:r>
          </w:p>
        </w:tc>
        <w:tc>
          <w:tcPr>
            <w:tcW w:w="957" w:type="dxa"/>
            <w:tcBorders>
              <w:top w:val="nil"/>
              <w:bottom w:val="nil"/>
            </w:tcBorders>
          </w:tcPr>
          <w:p w:rsidR="00212513" w:rsidRDefault="00212513">
            <w:pPr>
              <w:pStyle w:val="ConsPlusNormal"/>
              <w:jc w:val="center"/>
            </w:pPr>
            <w:r>
              <w:t>0,43 (0,41)</w:t>
            </w:r>
          </w:p>
        </w:tc>
        <w:tc>
          <w:tcPr>
            <w:tcW w:w="957" w:type="dxa"/>
            <w:tcBorders>
              <w:top w:val="nil"/>
              <w:bottom w:val="nil"/>
            </w:tcBorders>
          </w:tcPr>
          <w:p w:rsidR="00212513" w:rsidRDefault="00212513">
            <w:pPr>
              <w:pStyle w:val="ConsPlusNormal"/>
              <w:jc w:val="center"/>
            </w:pPr>
            <w:r>
              <w:t>0,39 (0,38)</w:t>
            </w:r>
          </w:p>
        </w:tc>
        <w:tc>
          <w:tcPr>
            <w:tcW w:w="957" w:type="dxa"/>
            <w:tcBorders>
              <w:top w:val="nil"/>
              <w:bottom w:val="nil"/>
            </w:tcBorders>
          </w:tcPr>
          <w:p w:rsidR="00212513" w:rsidRDefault="00212513">
            <w:pPr>
              <w:pStyle w:val="ConsPlusNormal"/>
              <w:jc w:val="center"/>
            </w:pPr>
            <w:r>
              <w:t>0,33 (0,32)</w:t>
            </w:r>
          </w:p>
        </w:tc>
        <w:tc>
          <w:tcPr>
            <w:tcW w:w="957" w:type="dxa"/>
            <w:tcBorders>
              <w:top w:val="nil"/>
              <w:bottom w:val="nil"/>
            </w:tcBorders>
          </w:tcPr>
          <w:p w:rsidR="00212513" w:rsidRDefault="00212513">
            <w:pPr>
              <w:pStyle w:val="ConsPlusNormal"/>
              <w:jc w:val="center"/>
            </w:pPr>
            <w:r>
              <w:t>0,28</w:t>
            </w:r>
          </w:p>
        </w:tc>
        <w:tc>
          <w:tcPr>
            <w:tcW w:w="957" w:type="dxa"/>
            <w:tcBorders>
              <w:top w:val="nil"/>
              <w:bottom w:val="nil"/>
            </w:tcBorders>
          </w:tcPr>
          <w:p w:rsidR="00212513" w:rsidRDefault="00212513">
            <w:pPr>
              <w:pStyle w:val="ConsPlusNormal"/>
              <w:jc w:val="center"/>
            </w:pPr>
            <w:r>
              <w:t>0,25</w:t>
            </w:r>
          </w:p>
        </w:tc>
        <w:tc>
          <w:tcPr>
            <w:tcW w:w="957" w:type="dxa"/>
            <w:tcBorders>
              <w:top w:val="nil"/>
              <w:bottom w:val="nil"/>
            </w:tcBorders>
          </w:tcPr>
          <w:p w:rsidR="00212513" w:rsidRDefault="00212513">
            <w:pPr>
              <w:pStyle w:val="ConsPlusNormal"/>
              <w:jc w:val="center"/>
            </w:pPr>
            <w:r>
              <w:t>0,22</w:t>
            </w:r>
          </w:p>
        </w:tc>
        <w:tc>
          <w:tcPr>
            <w:tcW w:w="957" w:type="dxa"/>
            <w:tcBorders>
              <w:top w:val="nil"/>
              <w:bottom w:val="nil"/>
            </w:tcBorders>
          </w:tcPr>
          <w:p w:rsidR="00212513" w:rsidRDefault="00212513">
            <w:pPr>
              <w:pStyle w:val="ConsPlusNormal"/>
              <w:jc w:val="center"/>
            </w:pPr>
            <w:r>
              <w:t>0,20</w:t>
            </w:r>
          </w:p>
        </w:tc>
        <w:tc>
          <w:tcPr>
            <w:tcW w:w="957" w:type="dxa"/>
            <w:tcBorders>
              <w:top w:val="nil"/>
              <w:bottom w:val="nil"/>
            </w:tcBorders>
          </w:tcPr>
          <w:p w:rsidR="00212513" w:rsidRDefault="00212513">
            <w:pPr>
              <w:pStyle w:val="ConsPlusNormal"/>
              <w:jc w:val="center"/>
            </w:pPr>
            <w:r>
              <w:t>0,18</w:t>
            </w:r>
          </w:p>
        </w:tc>
        <w:tc>
          <w:tcPr>
            <w:tcW w:w="968" w:type="dxa"/>
            <w:tcBorders>
              <w:top w:val="nil"/>
              <w:bottom w:val="nil"/>
            </w:tcBorders>
          </w:tcPr>
          <w:p w:rsidR="00212513" w:rsidRDefault="00212513">
            <w:pPr>
              <w:pStyle w:val="ConsPlusNormal"/>
              <w:jc w:val="center"/>
            </w:pPr>
            <w:r>
              <w:t>0,15</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70</w:t>
            </w:r>
          </w:p>
        </w:tc>
        <w:tc>
          <w:tcPr>
            <w:tcW w:w="957" w:type="dxa"/>
            <w:tcBorders>
              <w:top w:val="nil"/>
              <w:bottom w:val="nil"/>
            </w:tcBorders>
          </w:tcPr>
          <w:p w:rsidR="00212513" w:rsidRDefault="00212513">
            <w:pPr>
              <w:pStyle w:val="ConsPlusNormal"/>
              <w:jc w:val="center"/>
            </w:pPr>
            <w:r>
              <w:t>0,67 (0,63)</w:t>
            </w:r>
          </w:p>
        </w:tc>
        <w:tc>
          <w:tcPr>
            <w:tcW w:w="957" w:type="dxa"/>
            <w:tcBorders>
              <w:top w:val="nil"/>
              <w:bottom w:val="nil"/>
            </w:tcBorders>
          </w:tcPr>
          <w:p w:rsidR="00212513" w:rsidRDefault="00212513">
            <w:pPr>
              <w:pStyle w:val="ConsPlusNormal"/>
              <w:jc w:val="center"/>
            </w:pPr>
            <w:r>
              <w:t>0,58 (0,55)</w:t>
            </w:r>
          </w:p>
        </w:tc>
        <w:tc>
          <w:tcPr>
            <w:tcW w:w="957" w:type="dxa"/>
            <w:tcBorders>
              <w:top w:val="nil"/>
              <w:bottom w:val="nil"/>
            </w:tcBorders>
          </w:tcPr>
          <w:p w:rsidR="00212513" w:rsidRDefault="00212513">
            <w:pPr>
              <w:pStyle w:val="ConsPlusNormal"/>
              <w:jc w:val="center"/>
            </w:pPr>
            <w:r>
              <w:t>0,51 (0,49)</w:t>
            </w:r>
          </w:p>
        </w:tc>
        <w:tc>
          <w:tcPr>
            <w:tcW w:w="957" w:type="dxa"/>
            <w:tcBorders>
              <w:top w:val="nil"/>
              <w:bottom w:val="nil"/>
            </w:tcBorders>
          </w:tcPr>
          <w:p w:rsidR="00212513" w:rsidRDefault="00212513">
            <w:pPr>
              <w:pStyle w:val="ConsPlusNormal"/>
              <w:jc w:val="center"/>
            </w:pPr>
            <w:r>
              <w:t>0,43 (0,41)</w:t>
            </w:r>
          </w:p>
        </w:tc>
        <w:tc>
          <w:tcPr>
            <w:tcW w:w="957" w:type="dxa"/>
            <w:tcBorders>
              <w:top w:val="nil"/>
              <w:bottom w:val="nil"/>
            </w:tcBorders>
          </w:tcPr>
          <w:p w:rsidR="00212513" w:rsidRDefault="00212513">
            <w:pPr>
              <w:pStyle w:val="ConsPlusNormal"/>
              <w:jc w:val="center"/>
            </w:pPr>
            <w:r>
              <w:t>0,39 (0,37)</w:t>
            </w:r>
          </w:p>
        </w:tc>
        <w:tc>
          <w:tcPr>
            <w:tcW w:w="957" w:type="dxa"/>
            <w:tcBorders>
              <w:top w:val="nil"/>
              <w:bottom w:val="nil"/>
            </w:tcBorders>
          </w:tcPr>
          <w:p w:rsidR="00212513" w:rsidRDefault="00212513">
            <w:pPr>
              <w:pStyle w:val="ConsPlusNormal"/>
              <w:jc w:val="center"/>
            </w:pPr>
            <w:r>
              <w:t>0,35 (0,34)</w:t>
            </w:r>
          </w:p>
        </w:tc>
        <w:tc>
          <w:tcPr>
            <w:tcW w:w="957" w:type="dxa"/>
            <w:tcBorders>
              <w:top w:val="nil"/>
              <w:bottom w:val="nil"/>
            </w:tcBorders>
          </w:tcPr>
          <w:p w:rsidR="00212513" w:rsidRDefault="00212513">
            <w:pPr>
              <w:pStyle w:val="ConsPlusNormal"/>
              <w:jc w:val="center"/>
            </w:pPr>
            <w:r>
              <w:t>0,32 (0,31)</w:t>
            </w:r>
          </w:p>
        </w:tc>
        <w:tc>
          <w:tcPr>
            <w:tcW w:w="957" w:type="dxa"/>
            <w:tcBorders>
              <w:top w:val="nil"/>
              <w:bottom w:val="nil"/>
            </w:tcBorders>
          </w:tcPr>
          <w:p w:rsidR="00212513" w:rsidRDefault="00212513">
            <w:pPr>
              <w:pStyle w:val="ConsPlusNormal"/>
              <w:jc w:val="center"/>
            </w:pPr>
            <w:r>
              <w:t>0,27</w:t>
            </w:r>
          </w:p>
        </w:tc>
        <w:tc>
          <w:tcPr>
            <w:tcW w:w="957" w:type="dxa"/>
            <w:tcBorders>
              <w:top w:val="nil"/>
              <w:bottom w:val="nil"/>
            </w:tcBorders>
          </w:tcPr>
          <w:p w:rsidR="00212513" w:rsidRDefault="00212513">
            <w:pPr>
              <w:pStyle w:val="ConsPlusNormal"/>
              <w:jc w:val="center"/>
            </w:pPr>
            <w:r>
              <w:t>0,23</w:t>
            </w:r>
          </w:p>
        </w:tc>
        <w:tc>
          <w:tcPr>
            <w:tcW w:w="957" w:type="dxa"/>
            <w:tcBorders>
              <w:top w:val="nil"/>
              <w:bottom w:val="nil"/>
            </w:tcBorders>
          </w:tcPr>
          <w:p w:rsidR="00212513" w:rsidRDefault="00212513">
            <w:pPr>
              <w:pStyle w:val="ConsPlusNormal"/>
              <w:jc w:val="center"/>
            </w:pPr>
            <w:r>
              <w:t>0,21</w:t>
            </w:r>
          </w:p>
        </w:tc>
        <w:tc>
          <w:tcPr>
            <w:tcW w:w="957" w:type="dxa"/>
            <w:tcBorders>
              <w:top w:val="nil"/>
              <w:bottom w:val="nil"/>
            </w:tcBorders>
          </w:tcPr>
          <w:p w:rsidR="00212513" w:rsidRDefault="00212513">
            <w:pPr>
              <w:pStyle w:val="ConsPlusNormal"/>
              <w:jc w:val="center"/>
            </w:pPr>
            <w:r>
              <w:t>0,20</w:t>
            </w:r>
          </w:p>
        </w:tc>
        <w:tc>
          <w:tcPr>
            <w:tcW w:w="957" w:type="dxa"/>
            <w:tcBorders>
              <w:top w:val="nil"/>
              <w:bottom w:val="nil"/>
            </w:tcBorders>
          </w:tcPr>
          <w:p w:rsidR="00212513" w:rsidRDefault="00212513">
            <w:pPr>
              <w:pStyle w:val="ConsPlusNormal"/>
              <w:jc w:val="center"/>
            </w:pPr>
            <w:r>
              <w:t>0,18</w:t>
            </w:r>
          </w:p>
        </w:tc>
        <w:tc>
          <w:tcPr>
            <w:tcW w:w="968" w:type="dxa"/>
            <w:tcBorders>
              <w:top w:val="nil"/>
              <w:bottom w:val="nil"/>
            </w:tcBorders>
          </w:tcPr>
          <w:p w:rsidR="00212513" w:rsidRDefault="00212513">
            <w:pPr>
              <w:pStyle w:val="ConsPlusNormal"/>
              <w:jc w:val="center"/>
            </w:pPr>
            <w:r>
              <w:t>0,15</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80</w:t>
            </w:r>
          </w:p>
        </w:tc>
        <w:tc>
          <w:tcPr>
            <w:tcW w:w="957" w:type="dxa"/>
            <w:tcBorders>
              <w:top w:val="nil"/>
              <w:bottom w:val="nil"/>
            </w:tcBorders>
          </w:tcPr>
          <w:p w:rsidR="00212513" w:rsidRDefault="00212513">
            <w:pPr>
              <w:pStyle w:val="ConsPlusNormal"/>
              <w:jc w:val="center"/>
            </w:pPr>
            <w:r>
              <w:t>0,58 (0,53)</w:t>
            </w:r>
          </w:p>
        </w:tc>
        <w:tc>
          <w:tcPr>
            <w:tcW w:w="957" w:type="dxa"/>
            <w:tcBorders>
              <w:top w:val="nil"/>
              <w:bottom w:val="nil"/>
            </w:tcBorders>
          </w:tcPr>
          <w:p w:rsidR="00212513" w:rsidRDefault="00212513">
            <w:pPr>
              <w:pStyle w:val="ConsPlusNormal"/>
              <w:jc w:val="center"/>
            </w:pPr>
            <w:r>
              <w:t>0,50 (0,46)</w:t>
            </w:r>
          </w:p>
        </w:tc>
        <w:tc>
          <w:tcPr>
            <w:tcW w:w="957" w:type="dxa"/>
            <w:tcBorders>
              <w:top w:val="nil"/>
              <w:bottom w:val="nil"/>
            </w:tcBorders>
          </w:tcPr>
          <w:p w:rsidR="00212513" w:rsidRDefault="00212513">
            <w:pPr>
              <w:pStyle w:val="ConsPlusNormal"/>
              <w:jc w:val="center"/>
            </w:pPr>
            <w:r>
              <w:t>0,45 (0,42)</w:t>
            </w:r>
          </w:p>
        </w:tc>
        <w:tc>
          <w:tcPr>
            <w:tcW w:w="957" w:type="dxa"/>
            <w:tcBorders>
              <w:top w:val="nil"/>
              <w:bottom w:val="nil"/>
            </w:tcBorders>
          </w:tcPr>
          <w:p w:rsidR="00212513" w:rsidRDefault="00212513">
            <w:pPr>
              <w:pStyle w:val="ConsPlusNormal"/>
              <w:jc w:val="center"/>
            </w:pPr>
            <w:r>
              <w:t>0,38 (0,35)</w:t>
            </w:r>
          </w:p>
        </w:tc>
        <w:tc>
          <w:tcPr>
            <w:tcW w:w="957" w:type="dxa"/>
            <w:tcBorders>
              <w:top w:val="nil"/>
              <w:bottom w:val="nil"/>
            </w:tcBorders>
          </w:tcPr>
          <w:p w:rsidR="00212513" w:rsidRDefault="00212513">
            <w:pPr>
              <w:pStyle w:val="ConsPlusNormal"/>
              <w:jc w:val="center"/>
            </w:pPr>
            <w:r>
              <w:t>0,35 (0,33)</w:t>
            </w:r>
          </w:p>
        </w:tc>
        <w:tc>
          <w:tcPr>
            <w:tcW w:w="957" w:type="dxa"/>
            <w:tcBorders>
              <w:top w:val="nil"/>
              <w:bottom w:val="nil"/>
            </w:tcBorders>
          </w:tcPr>
          <w:p w:rsidR="00212513" w:rsidRDefault="00212513">
            <w:pPr>
              <w:pStyle w:val="ConsPlusNormal"/>
              <w:jc w:val="center"/>
            </w:pPr>
            <w:r>
              <w:t>0,32 (0,31)</w:t>
            </w:r>
          </w:p>
        </w:tc>
        <w:tc>
          <w:tcPr>
            <w:tcW w:w="957" w:type="dxa"/>
            <w:tcBorders>
              <w:top w:val="nil"/>
              <w:bottom w:val="nil"/>
            </w:tcBorders>
          </w:tcPr>
          <w:p w:rsidR="00212513" w:rsidRDefault="00212513">
            <w:pPr>
              <w:pStyle w:val="ConsPlusNormal"/>
              <w:jc w:val="center"/>
            </w:pPr>
            <w:r>
              <w:t>0,30 (0,29)</w:t>
            </w:r>
          </w:p>
        </w:tc>
        <w:tc>
          <w:tcPr>
            <w:tcW w:w="957" w:type="dxa"/>
            <w:tcBorders>
              <w:top w:val="nil"/>
              <w:bottom w:val="nil"/>
            </w:tcBorders>
          </w:tcPr>
          <w:p w:rsidR="00212513" w:rsidRDefault="00212513">
            <w:pPr>
              <w:pStyle w:val="ConsPlusNormal"/>
              <w:jc w:val="center"/>
            </w:pPr>
            <w:r>
              <w:t>0,25</w:t>
            </w:r>
          </w:p>
        </w:tc>
        <w:tc>
          <w:tcPr>
            <w:tcW w:w="957" w:type="dxa"/>
            <w:tcBorders>
              <w:top w:val="nil"/>
              <w:bottom w:val="nil"/>
            </w:tcBorders>
          </w:tcPr>
          <w:p w:rsidR="00212513" w:rsidRDefault="00212513">
            <w:pPr>
              <w:pStyle w:val="ConsPlusNormal"/>
              <w:jc w:val="center"/>
            </w:pPr>
            <w:r>
              <w:t>0,22</w:t>
            </w:r>
          </w:p>
        </w:tc>
        <w:tc>
          <w:tcPr>
            <w:tcW w:w="957" w:type="dxa"/>
            <w:tcBorders>
              <w:top w:val="nil"/>
              <w:bottom w:val="nil"/>
            </w:tcBorders>
          </w:tcPr>
          <w:p w:rsidR="00212513" w:rsidRDefault="00212513">
            <w:pPr>
              <w:pStyle w:val="ConsPlusNormal"/>
              <w:jc w:val="center"/>
            </w:pPr>
            <w:r>
              <w:t>0,20</w:t>
            </w:r>
          </w:p>
        </w:tc>
        <w:tc>
          <w:tcPr>
            <w:tcW w:w="957" w:type="dxa"/>
            <w:tcBorders>
              <w:top w:val="nil"/>
              <w:bottom w:val="nil"/>
            </w:tcBorders>
          </w:tcPr>
          <w:p w:rsidR="00212513" w:rsidRDefault="00212513">
            <w:pPr>
              <w:pStyle w:val="ConsPlusNormal"/>
              <w:jc w:val="center"/>
            </w:pPr>
            <w:r>
              <w:t>0,18</w:t>
            </w:r>
          </w:p>
        </w:tc>
        <w:tc>
          <w:tcPr>
            <w:tcW w:w="957" w:type="dxa"/>
            <w:tcBorders>
              <w:top w:val="nil"/>
              <w:bottom w:val="nil"/>
            </w:tcBorders>
          </w:tcPr>
          <w:p w:rsidR="00212513" w:rsidRDefault="00212513">
            <w:pPr>
              <w:pStyle w:val="ConsPlusNormal"/>
              <w:jc w:val="center"/>
            </w:pPr>
            <w:r>
              <w:t>0,17</w:t>
            </w:r>
          </w:p>
        </w:tc>
        <w:tc>
          <w:tcPr>
            <w:tcW w:w="968" w:type="dxa"/>
            <w:tcBorders>
              <w:top w:val="nil"/>
              <w:bottom w:val="nil"/>
            </w:tcBorders>
          </w:tcPr>
          <w:p w:rsidR="00212513" w:rsidRDefault="00212513">
            <w:pPr>
              <w:pStyle w:val="ConsPlusNormal"/>
              <w:jc w:val="center"/>
            </w:pPr>
            <w:r>
              <w:t>0,14</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90</w:t>
            </w:r>
          </w:p>
        </w:tc>
        <w:tc>
          <w:tcPr>
            <w:tcW w:w="957" w:type="dxa"/>
            <w:tcBorders>
              <w:top w:val="nil"/>
              <w:bottom w:val="nil"/>
            </w:tcBorders>
          </w:tcPr>
          <w:p w:rsidR="00212513" w:rsidRDefault="00212513">
            <w:pPr>
              <w:pStyle w:val="ConsPlusNormal"/>
              <w:jc w:val="center"/>
            </w:pPr>
            <w:r>
              <w:t>0,48 (0,43)</w:t>
            </w:r>
          </w:p>
        </w:tc>
        <w:tc>
          <w:tcPr>
            <w:tcW w:w="957" w:type="dxa"/>
            <w:tcBorders>
              <w:top w:val="nil"/>
              <w:bottom w:val="nil"/>
            </w:tcBorders>
          </w:tcPr>
          <w:p w:rsidR="00212513" w:rsidRDefault="00212513">
            <w:pPr>
              <w:pStyle w:val="ConsPlusNormal"/>
              <w:jc w:val="center"/>
            </w:pPr>
            <w:r>
              <w:t>0,43 (0,39)</w:t>
            </w:r>
          </w:p>
        </w:tc>
        <w:tc>
          <w:tcPr>
            <w:tcW w:w="957" w:type="dxa"/>
            <w:tcBorders>
              <w:top w:val="nil"/>
              <w:bottom w:val="nil"/>
            </w:tcBorders>
          </w:tcPr>
          <w:p w:rsidR="00212513" w:rsidRDefault="00212513">
            <w:pPr>
              <w:pStyle w:val="ConsPlusNormal"/>
              <w:jc w:val="center"/>
            </w:pPr>
            <w:r>
              <w:t>0,40 (0,37)</w:t>
            </w:r>
          </w:p>
        </w:tc>
        <w:tc>
          <w:tcPr>
            <w:tcW w:w="957" w:type="dxa"/>
            <w:tcBorders>
              <w:top w:val="nil"/>
              <w:bottom w:val="nil"/>
            </w:tcBorders>
          </w:tcPr>
          <w:p w:rsidR="00212513" w:rsidRDefault="00212513">
            <w:pPr>
              <w:pStyle w:val="ConsPlusNormal"/>
              <w:jc w:val="center"/>
            </w:pPr>
            <w:r>
              <w:t>0,34 (0,31)</w:t>
            </w:r>
          </w:p>
        </w:tc>
        <w:tc>
          <w:tcPr>
            <w:tcW w:w="957" w:type="dxa"/>
            <w:tcBorders>
              <w:top w:val="nil"/>
              <w:bottom w:val="nil"/>
            </w:tcBorders>
          </w:tcPr>
          <w:p w:rsidR="00212513" w:rsidRDefault="00212513">
            <w:pPr>
              <w:pStyle w:val="ConsPlusNormal"/>
              <w:jc w:val="center"/>
            </w:pPr>
            <w:r>
              <w:t>0,31 (0,29)</w:t>
            </w:r>
          </w:p>
        </w:tc>
        <w:tc>
          <w:tcPr>
            <w:tcW w:w="957" w:type="dxa"/>
            <w:tcBorders>
              <w:top w:val="nil"/>
              <w:bottom w:val="nil"/>
            </w:tcBorders>
          </w:tcPr>
          <w:p w:rsidR="00212513" w:rsidRDefault="00212513">
            <w:pPr>
              <w:pStyle w:val="ConsPlusNormal"/>
              <w:jc w:val="center"/>
            </w:pPr>
            <w:r>
              <w:t>0,29 (0,28)</w:t>
            </w:r>
          </w:p>
        </w:tc>
        <w:tc>
          <w:tcPr>
            <w:tcW w:w="957" w:type="dxa"/>
            <w:tcBorders>
              <w:top w:val="nil"/>
              <w:bottom w:val="nil"/>
            </w:tcBorders>
          </w:tcPr>
          <w:p w:rsidR="00212513" w:rsidRDefault="00212513">
            <w:pPr>
              <w:pStyle w:val="ConsPlusNormal"/>
              <w:jc w:val="center"/>
            </w:pPr>
            <w:r>
              <w:t>0,27 (0,26)</w:t>
            </w:r>
          </w:p>
        </w:tc>
        <w:tc>
          <w:tcPr>
            <w:tcW w:w="957" w:type="dxa"/>
            <w:tcBorders>
              <w:top w:val="nil"/>
              <w:bottom w:val="nil"/>
            </w:tcBorders>
          </w:tcPr>
          <w:p w:rsidR="00212513" w:rsidRDefault="00212513">
            <w:pPr>
              <w:pStyle w:val="ConsPlusNormal"/>
              <w:jc w:val="center"/>
            </w:pPr>
            <w:r>
              <w:t>0,23</w:t>
            </w:r>
          </w:p>
        </w:tc>
        <w:tc>
          <w:tcPr>
            <w:tcW w:w="957" w:type="dxa"/>
            <w:tcBorders>
              <w:top w:val="nil"/>
              <w:bottom w:val="nil"/>
            </w:tcBorders>
          </w:tcPr>
          <w:p w:rsidR="00212513" w:rsidRDefault="00212513">
            <w:pPr>
              <w:pStyle w:val="ConsPlusNormal"/>
              <w:jc w:val="center"/>
            </w:pPr>
            <w:r>
              <w:t>0,21</w:t>
            </w:r>
          </w:p>
        </w:tc>
        <w:tc>
          <w:tcPr>
            <w:tcW w:w="957" w:type="dxa"/>
            <w:tcBorders>
              <w:top w:val="nil"/>
              <w:bottom w:val="nil"/>
            </w:tcBorders>
          </w:tcPr>
          <w:p w:rsidR="00212513" w:rsidRDefault="00212513">
            <w:pPr>
              <w:pStyle w:val="ConsPlusNormal"/>
              <w:jc w:val="center"/>
            </w:pPr>
            <w:r>
              <w:t>0,19</w:t>
            </w:r>
          </w:p>
        </w:tc>
        <w:tc>
          <w:tcPr>
            <w:tcW w:w="957" w:type="dxa"/>
            <w:tcBorders>
              <w:top w:val="nil"/>
              <w:bottom w:val="nil"/>
            </w:tcBorders>
          </w:tcPr>
          <w:p w:rsidR="00212513" w:rsidRDefault="00212513">
            <w:pPr>
              <w:pStyle w:val="ConsPlusNormal"/>
              <w:jc w:val="center"/>
            </w:pPr>
            <w:r>
              <w:t>0,18</w:t>
            </w:r>
          </w:p>
        </w:tc>
        <w:tc>
          <w:tcPr>
            <w:tcW w:w="957" w:type="dxa"/>
            <w:tcBorders>
              <w:top w:val="nil"/>
              <w:bottom w:val="nil"/>
            </w:tcBorders>
          </w:tcPr>
          <w:p w:rsidR="00212513" w:rsidRDefault="00212513">
            <w:pPr>
              <w:pStyle w:val="ConsPlusNormal"/>
              <w:jc w:val="center"/>
            </w:pPr>
            <w:r>
              <w:t>0,16</w:t>
            </w:r>
          </w:p>
        </w:tc>
        <w:tc>
          <w:tcPr>
            <w:tcW w:w="968" w:type="dxa"/>
            <w:tcBorders>
              <w:top w:val="nil"/>
              <w:bottom w:val="nil"/>
            </w:tcBorders>
          </w:tcPr>
          <w:p w:rsidR="00212513" w:rsidRDefault="00212513">
            <w:pPr>
              <w:pStyle w:val="ConsPlusNormal"/>
              <w:jc w:val="center"/>
            </w:pPr>
            <w:r>
              <w:t>0,14</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100</w:t>
            </w:r>
          </w:p>
        </w:tc>
        <w:tc>
          <w:tcPr>
            <w:tcW w:w="957" w:type="dxa"/>
            <w:tcBorders>
              <w:top w:val="nil"/>
              <w:bottom w:val="nil"/>
            </w:tcBorders>
          </w:tcPr>
          <w:p w:rsidR="00212513" w:rsidRDefault="00212513">
            <w:pPr>
              <w:pStyle w:val="ConsPlusNormal"/>
              <w:jc w:val="center"/>
            </w:pPr>
            <w:r>
              <w:t>0,40 (0,36)</w:t>
            </w:r>
          </w:p>
        </w:tc>
        <w:tc>
          <w:tcPr>
            <w:tcW w:w="957" w:type="dxa"/>
            <w:tcBorders>
              <w:top w:val="nil"/>
              <w:bottom w:val="nil"/>
            </w:tcBorders>
          </w:tcPr>
          <w:p w:rsidR="00212513" w:rsidRDefault="00212513">
            <w:pPr>
              <w:pStyle w:val="ConsPlusNormal"/>
              <w:jc w:val="center"/>
            </w:pPr>
            <w:r>
              <w:t>0,38 (0,34)</w:t>
            </w:r>
          </w:p>
        </w:tc>
        <w:tc>
          <w:tcPr>
            <w:tcW w:w="957" w:type="dxa"/>
            <w:tcBorders>
              <w:top w:val="nil"/>
              <w:bottom w:val="nil"/>
            </w:tcBorders>
          </w:tcPr>
          <w:p w:rsidR="00212513" w:rsidRDefault="00212513">
            <w:pPr>
              <w:pStyle w:val="ConsPlusNormal"/>
              <w:jc w:val="center"/>
            </w:pPr>
            <w:r>
              <w:t>0,35 (0,32)</w:t>
            </w:r>
          </w:p>
        </w:tc>
        <w:tc>
          <w:tcPr>
            <w:tcW w:w="957" w:type="dxa"/>
            <w:tcBorders>
              <w:top w:val="nil"/>
              <w:bottom w:val="nil"/>
            </w:tcBorders>
          </w:tcPr>
          <w:p w:rsidR="00212513" w:rsidRDefault="00212513">
            <w:pPr>
              <w:pStyle w:val="ConsPlusNormal"/>
              <w:jc w:val="center"/>
            </w:pPr>
            <w:r>
              <w:t>0,31 (0,29)</w:t>
            </w:r>
          </w:p>
        </w:tc>
        <w:tc>
          <w:tcPr>
            <w:tcW w:w="957" w:type="dxa"/>
            <w:tcBorders>
              <w:top w:val="nil"/>
              <w:bottom w:val="nil"/>
            </w:tcBorders>
          </w:tcPr>
          <w:p w:rsidR="00212513" w:rsidRDefault="00212513">
            <w:pPr>
              <w:pStyle w:val="ConsPlusNormal"/>
              <w:jc w:val="center"/>
            </w:pPr>
            <w:r>
              <w:t>0,28 (0,26)</w:t>
            </w:r>
          </w:p>
        </w:tc>
        <w:tc>
          <w:tcPr>
            <w:tcW w:w="957" w:type="dxa"/>
            <w:tcBorders>
              <w:top w:val="nil"/>
              <w:bottom w:val="nil"/>
            </w:tcBorders>
          </w:tcPr>
          <w:p w:rsidR="00212513" w:rsidRDefault="00212513">
            <w:pPr>
              <w:pStyle w:val="ConsPlusNormal"/>
              <w:jc w:val="center"/>
            </w:pPr>
            <w:r>
              <w:t>0,26 (0,25)</w:t>
            </w:r>
          </w:p>
        </w:tc>
        <w:tc>
          <w:tcPr>
            <w:tcW w:w="957" w:type="dxa"/>
            <w:tcBorders>
              <w:top w:val="nil"/>
              <w:bottom w:val="nil"/>
            </w:tcBorders>
          </w:tcPr>
          <w:p w:rsidR="00212513" w:rsidRDefault="00212513">
            <w:pPr>
              <w:pStyle w:val="ConsPlusNormal"/>
              <w:jc w:val="center"/>
            </w:pPr>
            <w:r>
              <w:t>0,25 (0,24)</w:t>
            </w:r>
          </w:p>
        </w:tc>
        <w:tc>
          <w:tcPr>
            <w:tcW w:w="957" w:type="dxa"/>
            <w:tcBorders>
              <w:top w:val="nil"/>
              <w:bottom w:val="nil"/>
            </w:tcBorders>
          </w:tcPr>
          <w:p w:rsidR="00212513" w:rsidRDefault="00212513">
            <w:pPr>
              <w:pStyle w:val="ConsPlusNormal"/>
              <w:jc w:val="center"/>
            </w:pPr>
            <w:r>
              <w:t>0,21</w:t>
            </w:r>
          </w:p>
        </w:tc>
        <w:tc>
          <w:tcPr>
            <w:tcW w:w="957" w:type="dxa"/>
            <w:tcBorders>
              <w:top w:val="nil"/>
              <w:bottom w:val="nil"/>
            </w:tcBorders>
          </w:tcPr>
          <w:p w:rsidR="00212513" w:rsidRDefault="00212513">
            <w:pPr>
              <w:pStyle w:val="ConsPlusNormal"/>
              <w:jc w:val="center"/>
            </w:pPr>
            <w:r>
              <w:t>0,19</w:t>
            </w:r>
          </w:p>
        </w:tc>
        <w:tc>
          <w:tcPr>
            <w:tcW w:w="957" w:type="dxa"/>
            <w:tcBorders>
              <w:top w:val="nil"/>
              <w:bottom w:val="nil"/>
            </w:tcBorders>
          </w:tcPr>
          <w:p w:rsidR="00212513" w:rsidRDefault="00212513">
            <w:pPr>
              <w:pStyle w:val="ConsPlusNormal"/>
              <w:jc w:val="center"/>
            </w:pPr>
            <w:r>
              <w:t>0,18</w:t>
            </w:r>
          </w:p>
        </w:tc>
        <w:tc>
          <w:tcPr>
            <w:tcW w:w="957" w:type="dxa"/>
            <w:tcBorders>
              <w:top w:val="nil"/>
              <w:bottom w:val="nil"/>
            </w:tcBorders>
          </w:tcPr>
          <w:p w:rsidR="00212513" w:rsidRDefault="00212513">
            <w:pPr>
              <w:pStyle w:val="ConsPlusNormal"/>
              <w:jc w:val="center"/>
            </w:pPr>
            <w:r>
              <w:t>0,17</w:t>
            </w:r>
          </w:p>
        </w:tc>
        <w:tc>
          <w:tcPr>
            <w:tcW w:w="957" w:type="dxa"/>
            <w:tcBorders>
              <w:top w:val="nil"/>
              <w:bottom w:val="nil"/>
            </w:tcBorders>
          </w:tcPr>
          <w:p w:rsidR="00212513" w:rsidRDefault="00212513">
            <w:pPr>
              <w:pStyle w:val="ConsPlusNormal"/>
              <w:jc w:val="center"/>
            </w:pPr>
            <w:r>
              <w:t>0,16</w:t>
            </w:r>
          </w:p>
        </w:tc>
        <w:tc>
          <w:tcPr>
            <w:tcW w:w="968" w:type="dxa"/>
            <w:tcBorders>
              <w:top w:val="nil"/>
              <w:bottom w:val="nil"/>
            </w:tcBorders>
          </w:tcPr>
          <w:p w:rsidR="00212513" w:rsidRDefault="00212513">
            <w:pPr>
              <w:pStyle w:val="ConsPlusNormal"/>
              <w:jc w:val="center"/>
            </w:pPr>
            <w:r>
              <w:t>0,13</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110</w:t>
            </w:r>
          </w:p>
        </w:tc>
        <w:tc>
          <w:tcPr>
            <w:tcW w:w="957" w:type="dxa"/>
            <w:tcBorders>
              <w:top w:val="nil"/>
              <w:bottom w:val="nil"/>
            </w:tcBorders>
          </w:tcPr>
          <w:p w:rsidR="00212513" w:rsidRDefault="00212513">
            <w:pPr>
              <w:pStyle w:val="ConsPlusNormal"/>
              <w:jc w:val="center"/>
            </w:pPr>
            <w:r>
              <w:t xml:space="preserve">0,35 </w:t>
            </w:r>
            <w:r>
              <w:lastRenderedPageBreak/>
              <w:t>(0,32)</w:t>
            </w:r>
          </w:p>
        </w:tc>
        <w:tc>
          <w:tcPr>
            <w:tcW w:w="957" w:type="dxa"/>
            <w:tcBorders>
              <w:top w:val="nil"/>
              <w:bottom w:val="nil"/>
            </w:tcBorders>
          </w:tcPr>
          <w:p w:rsidR="00212513" w:rsidRDefault="00212513">
            <w:pPr>
              <w:pStyle w:val="ConsPlusNormal"/>
              <w:jc w:val="center"/>
            </w:pPr>
            <w:r>
              <w:lastRenderedPageBreak/>
              <w:t xml:space="preserve">0,33 </w:t>
            </w:r>
            <w:r>
              <w:lastRenderedPageBreak/>
              <w:t>(0,30)</w:t>
            </w:r>
          </w:p>
        </w:tc>
        <w:tc>
          <w:tcPr>
            <w:tcW w:w="957" w:type="dxa"/>
            <w:tcBorders>
              <w:top w:val="nil"/>
              <w:bottom w:val="nil"/>
            </w:tcBorders>
          </w:tcPr>
          <w:p w:rsidR="00212513" w:rsidRDefault="00212513">
            <w:pPr>
              <w:pStyle w:val="ConsPlusNormal"/>
              <w:jc w:val="center"/>
            </w:pPr>
            <w:r>
              <w:lastRenderedPageBreak/>
              <w:t xml:space="preserve">0,31 </w:t>
            </w:r>
            <w:r>
              <w:lastRenderedPageBreak/>
              <w:t>(0,29)</w:t>
            </w:r>
          </w:p>
        </w:tc>
        <w:tc>
          <w:tcPr>
            <w:tcW w:w="957" w:type="dxa"/>
            <w:tcBorders>
              <w:top w:val="nil"/>
              <w:bottom w:val="nil"/>
            </w:tcBorders>
          </w:tcPr>
          <w:p w:rsidR="00212513" w:rsidRDefault="00212513">
            <w:pPr>
              <w:pStyle w:val="ConsPlusNormal"/>
              <w:jc w:val="center"/>
            </w:pPr>
            <w:r>
              <w:lastRenderedPageBreak/>
              <w:t xml:space="preserve">0,28 </w:t>
            </w:r>
            <w:r>
              <w:lastRenderedPageBreak/>
              <w:t>(0,26)</w:t>
            </w:r>
          </w:p>
        </w:tc>
        <w:tc>
          <w:tcPr>
            <w:tcW w:w="957" w:type="dxa"/>
            <w:tcBorders>
              <w:top w:val="nil"/>
              <w:bottom w:val="nil"/>
            </w:tcBorders>
          </w:tcPr>
          <w:p w:rsidR="00212513" w:rsidRDefault="00212513">
            <w:pPr>
              <w:pStyle w:val="ConsPlusNormal"/>
              <w:jc w:val="center"/>
            </w:pPr>
            <w:r>
              <w:lastRenderedPageBreak/>
              <w:t xml:space="preserve">0,25 </w:t>
            </w:r>
            <w:r>
              <w:lastRenderedPageBreak/>
              <w:t>(0,24)</w:t>
            </w:r>
          </w:p>
        </w:tc>
        <w:tc>
          <w:tcPr>
            <w:tcW w:w="957" w:type="dxa"/>
            <w:tcBorders>
              <w:top w:val="nil"/>
              <w:bottom w:val="nil"/>
            </w:tcBorders>
          </w:tcPr>
          <w:p w:rsidR="00212513" w:rsidRDefault="00212513">
            <w:pPr>
              <w:pStyle w:val="ConsPlusNormal"/>
              <w:jc w:val="center"/>
            </w:pPr>
            <w:r>
              <w:lastRenderedPageBreak/>
              <w:t xml:space="preserve">0,23 </w:t>
            </w:r>
            <w:r>
              <w:lastRenderedPageBreak/>
              <w:t>(0,22)</w:t>
            </w:r>
          </w:p>
        </w:tc>
        <w:tc>
          <w:tcPr>
            <w:tcW w:w="957" w:type="dxa"/>
            <w:tcBorders>
              <w:top w:val="nil"/>
              <w:bottom w:val="nil"/>
            </w:tcBorders>
          </w:tcPr>
          <w:p w:rsidR="00212513" w:rsidRDefault="00212513">
            <w:pPr>
              <w:pStyle w:val="ConsPlusNormal"/>
              <w:jc w:val="center"/>
            </w:pPr>
            <w:r>
              <w:lastRenderedPageBreak/>
              <w:t xml:space="preserve">0,23 </w:t>
            </w:r>
            <w:r>
              <w:lastRenderedPageBreak/>
              <w:t>(0,22)</w:t>
            </w:r>
          </w:p>
        </w:tc>
        <w:tc>
          <w:tcPr>
            <w:tcW w:w="957" w:type="dxa"/>
            <w:tcBorders>
              <w:top w:val="nil"/>
              <w:bottom w:val="nil"/>
            </w:tcBorders>
          </w:tcPr>
          <w:p w:rsidR="00212513" w:rsidRDefault="00212513">
            <w:pPr>
              <w:pStyle w:val="ConsPlusNormal"/>
              <w:jc w:val="center"/>
            </w:pPr>
            <w:r>
              <w:lastRenderedPageBreak/>
              <w:t>0,20</w:t>
            </w:r>
          </w:p>
        </w:tc>
        <w:tc>
          <w:tcPr>
            <w:tcW w:w="957" w:type="dxa"/>
            <w:tcBorders>
              <w:top w:val="nil"/>
              <w:bottom w:val="nil"/>
            </w:tcBorders>
          </w:tcPr>
          <w:p w:rsidR="00212513" w:rsidRDefault="00212513">
            <w:pPr>
              <w:pStyle w:val="ConsPlusNormal"/>
              <w:jc w:val="center"/>
            </w:pPr>
            <w:r>
              <w:t>0,19</w:t>
            </w:r>
          </w:p>
        </w:tc>
        <w:tc>
          <w:tcPr>
            <w:tcW w:w="957" w:type="dxa"/>
            <w:tcBorders>
              <w:top w:val="nil"/>
              <w:bottom w:val="nil"/>
            </w:tcBorders>
          </w:tcPr>
          <w:p w:rsidR="00212513" w:rsidRDefault="00212513">
            <w:pPr>
              <w:pStyle w:val="ConsPlusNormal"/>
              <w:jc w:val="center"/>
            </w:pPr>
            <w:r>
              <w:t>0,17</w:t>
            </w:r>
          </w:p>
        </w:tc>
        <w:tc>
          <w:tcPr>
            <w:tcW w:w="957" w:type="dxa"/>
            <w:tcBorders>
              <w:top w:val="nil"/>
              <w:bottom w:val="nil"/>
            </w:tcBorders>
          </w:tcPr>
          <w:p w:rsidR="00212513" w:rsidRDefault="00212513">
            <w:pPr>
              <w:pStyle w:val="ConsPlusNormal"/>
              <w:jc w:val="center"/>
            </w:pPr>
            <w:r>
              <w:t>0,16</w:t>
            </w:r>
          </w:p>
        </w:tc>
        <w:tc>
          <w:tcPr>
            <w:tcW w:w="957" w:type="dxa"/>
            <w:tcBorders>
              <w:top w:val="nil"/>
              <w:bottom w:val="nil"/>
            </w:tcBorders>
          </w:tcPr>
          <w:p w:rsidR="00212513" w:rsidRDefault="00212513">
            <w:pPr>
              <w:pStyle w:val="ConsPlusNormal"/>
              <w:jc w:val="center"/>
            </w:pPr>
            <w:r>
              <w:t>0,15</w:t>
            </w:r>
          </w:p>
        </w:tc>
        <w:tc>
          <w:tcPr>
            <w:tcW w:w="968" w:type="dxa"/>
            <w:tcBorders>
              <w:top w:val="nil"/>
              <w:bottom w:val="nil"/>
            </w:tcBorders>
          </w:tcPr>
          <w:p w:rsidR="00212513" w:rsidRDefault="00212513">
            <w:pPr>
              <w:pStyle w:val="ConsPlusNormal"/>
              <w:jc w:val="center"/>
            </w:pPr>
            <w:r>
              <w:t>0,13</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lastRenderedPageBreak/>
              <w:t>120</w:t>
            </w:r>
          </w:p>
        </w:tc>
        <w:tc>
          <w:tcPr>
            <w:tcW w:w="957" w:type="dxa"/>
            <w:tcBorders>
              <w:top w:val="nil"/>
              <w:bottom w:val="nil"/>
            </w:tcBorders>
          </w:tcPr>
          <w:p w:rsidR="00212513" w:rsidRDefault="00212513">
            <w:pPr>
              <w:pStyle w:val="ConsPlusNormal"/>
              <w:jc w:val="center"/>
            </w:pPr>
            <w:r>
              <w:t>0,30 (0,28)</w:t>
            </w:r>
          </w:p>
        </w:tc>
        <w:tc>
          <w:tcPr>
            <w:tcW w:w="957" w:type="dxa"/>
            <w:tcBorders>
              <w:top w:val="nil"/>
              <w:bottom w:val="nil"/>
            </w:tcBorders>
          </w:tcPr>
          <w:p w:rsidR="00212513" w:rsidRDefault="00212513">
            <w:pPr>
              <w:pStyle w:val="ConsPlusNormal"/>
              <w:jc w:val="center"/>
            </w:pPr>
            <w:r>
              <w:t>0,29 (0,27)</w:t>
            </w:r>
          </w:p>
        </w:tc>
        <w:tc>
          <w:tcPr>
            <w:tcW w:w="957" w:type="dxa"/>
            <w:tcBorders>
              <w:top w:val="nil"/>
              <w:bottom w:val="nil"/>
            </w:tcBorders>
          </w:tcPr>
          <w:p w:rsidR="00212513" w:rsidRDefault="00212513">
            <w:pPr>
              <w:pStyle w:val="ConsPlusNormal"/>
              <w:jc w:val="center"/>
            </w:pPr>
            <w:r>
              <w:t>0,27 (0,26)</w:t>
            </w:r>
          </w:p>
        </w:tc>
        <w:tc>
          <w:tcPr>
            <w:tcW w:w="957" w:type="dxa"/>
            <w:tcBorders>
              <w:top w:val="nil"/>
              <w:bottom w:val="nil"/>
            </w:tcBorders>
          </w:tcPr>
          <w:p w:rsidR="00212513" w:rsidRDefault="00212513">
            <w:pPr>
              <w:pStyle w:val="ConsPlusNormal"/>
              <w:jc w:val="center"/>
            </w:pPr>
            <w:r>
              <w:t>0,25 (0,24)</w:t>
            </w:r>
          </w:p>
        </w:tc>
        <w:tc>
          <w:tcPr>
            <w:tcW w:w="957" w:type="dxa"/>
            <w:tcBorders>
              <w:top w:val="nil"/>
              <w:bottom w:val="nil"/>
            </w:tcBorders>
          </w:tcPr>
          <w:p w:rsidR="00212513" w:rsidRDefault="00212513">
            <w:pPr>
              <w:pStyle w:val="ConsPlusNormal"/>
              <w:jc w:val="center"/>
            </w:pPr>
            <w:r>
              <w:t>0,23 (0,22)</w:t>
            </w:r>
          </w:p>
        </w:tc>
        <w:tc>
          <w:tcPr>
            <w:tcW w:w="957" w:type="dxa"/>
            <w:tcBorders>
              <w:top w:val="nil"/>
              <w:bottom w:val="nil"/>
            </w:tcBorders>
          </w:tcPr>
          <w:p w:rsidR="00212513" w:rsidRDefault="00212513">
            <w:pPr>
              <w:pStyle w:val="ConsPlusNormal"/>
              <w:jc w:val="center"/>
            </w:pPr>
            <w:r>
              <w:t>0,22 (0,21)</w:t>
            </w:r>
          </w:p>
        </w:tc>
        <w:tc>
          <w:tcPr>
            <w:tcW w:w="957" w:type="dxa"/>
            <w:tcBorders>
              <w:top w:val="nil"/>
              <w:bottom w:val="nil"/>
            </w:tcBorders>
          </w:tcPr>
          <w:p w:rsidR="00212513" w:rsidRDefault="00212513">
            <w:pPr>
              <w:pStyle w:val="ConsPlusNormal"/>
              <w:jc w:val="center"/>
            </w:pPr>
            <w:r>
              <w:t>0,21 (0,20)</w:t>
            </w:r>
          </w:p>
        </w:tc>
        <w:tc>
          <w:tcPr>
            <w:tcW w:w="957" w:type="dxa"/>
            <w:tcBorders>
              <w:top w:val="nil"/>
              <w:bottom w:val="nil"/>
            </w:tcBorders>
          </w:tcPr>
          <w:p w:rsidR="00212513" w:rsidRDefault="00212513">
            <w:pPr>
              <w:pStyle w:val="ConsPlusNormal"/>
              <w:jc w:val="center"/>
            </w:pPr>
            <w:r>
              <w:t>0,18</w:t>
            </w:r>
          </w:p>
        </w:tc>
        <w:tc>
          <w:tcPr>
            <w:tcW w:w="957" w:type="dxa"/>
            <w:tcBorders>
              <w:top w:val="nil"/>
              <w:bottom w:val="nil"/>
            </w:tcBorders>
          </w:tcPr>
          <w:p w:rsidR="00212513" w:rsidRDefault="00212513">
            <w:pPr>
              <w:pStyle w:val="ConsPlusNormal"/>
              <w:jc w:val="center"/>
            </w:pPr>
            <w:r>
              <w:t>0,17</w:t>
            </w:r>
          </w:p>
        </w:tc>
        <w:tc>
          <w:tcPr>
            <w:tcW w:w="957" w:type="dxa"/>
            <w:tcBorders>
              <w:top w:val="nil"/>
              <w:bottom w:val="nil"/>
            </w:tcBorders>
          </w:tcPr>
          <w:p w:rsidR="00212513" w:rsidRDefault="00212513">
            <w:pPr>
              <w:pStyle w:val="ConsPlusNormal"/>
              <w:jc w:val="center"/>
            </w:pPr>
            <w:r>
              <w:t>0,16</w:t>
            </w:r>
          </w:p>
        </w:tc>
        <w:tc>
          <w:tcPr>
            <w:tcW w:w="957" w:type="dxa"/>
            <w:tcBorders>
              <w:top w:val="nil"/>
              <w:bottom w:val="nil"/>
            </w:tcBorders>
          </w:tcPr>
          <w:p w:rsidR="00212513" w:rsidRDefault="00212513">
            <w:pPr>
              <w:pStyle w:val="ConsPlusNormal"/>
              <w:jc w:val="center"/>
            </w:pPr>
            <w:r>
              <w:t>0,15</w:t>
            </w:r>
          </w:p>
        </w:tc>
        <w:tc>
          <w:tcPr>
            <w:tcW w:w="957" w:type="dxa"/>
            <w:tcBorders>
              <w:top w:val="nil"/>
              <w:bottom w:val="nil"/>
            </w:tcBorders>
          </w:tcPr>
          <w:p w:rsidR="00212513" w:rsidRDefault="00212513">
            <w:pPr>
              <w:pStyle w:val="ConsPlusNormal"/>
              <w:jc w:val="center"/>
            </w:pPr>
            <w:r>
              <w:t>0,14</w:t>
            </w:r>
          </w:p>
        </w:tc>
        <w:tc>
          <w:tcPr>
            <w:tcW w:w="968" w:type="dxa"/>
            <w:tcBorders>
              <w:top w:val="nil"/>
              <w:bottom w:val="nil"/>
            </w:tcBorders>
          </w:tcPr>
          <w:p w:rsidR="00212513" w:rsidRDefault="00212513">
            <w:pPr>
              <w:pStyle w:val="ConsPlusNormal"/>
              <w:jc w:val="center"/>
            </w:pPr>
            <w:r>
              <w:t>0,12</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130</w:t>
            </w:r>
          </w:p>
        </w:tc>
        <w:tc>
          <w:tcPr>
            <w:tcW w:w="957" w:type="dxa"/>
            <w:tcBorders>
              <w:top w:val="nil"/>
              <w:bottom w:val="nil"/>
            </w:tcBorders>
          </w:tcPr>
          <w:p w:rsidR="00212513" w:rsidRDefault="00212513">
            <w:pPr>
              <w:pStyle w:val="ConsPlusNormal"/>
              <w:jc w:val="center"/>
            </w:pPr>
            <w:r>
              <w:t>0,27 (0,25)</w:t>
            </w:r>
          </w:p>
        </w:tc>
        <w:tc>
          <w:tcPr>
            <w:tcW w:w="957" w:type="dxa"/>
            <w:tcBorders>
              <w:top w:val="nil"/>
              <w:bottom w:val="nil"/>
            </w:tcBorders>
          </w:tcPr>
          <w:p w:rsidR="00212513" w:rsidRDefault="00212513">
            <w:pPr>
              <w:pStyle w:val="ConsPlusNormal"/>
              <w:jc w:val="center"/>
            </w:pPr>
            <w:r>
              <w:t>0,25 (0,24)</w:t>
            </w:r>
          </w:p>
        </w:tc>
        <w:tc>
          <w:tcPr>
            <w:tcW w:w="957" w:type="dxa"/>
            <w:tcBorders>
              <w:top w:val="nil"/>
              <w:bottom w:val="nil"/>
            </w:tcBorders>
          </w:tcPr>
          <w:p w:rsidR="00212513" w:rsidRDefault="00212513">
            <w:pPr>
              <w:pStyle w:val="ConsPlusNormal"/>
              <w:jc w:val="center"/>
            </w:pPr>
            <w:r>
              <w:t>0,24 (0,23)</w:t>
            </w:r>
          </w:p>
        </w:tc>
        <w:tc>
          <w:tcPr>
            <w:tcW w:w="957" w:type="dxa"/>
            <w:tcBorders>
              <w:top w:val="nil"/>
              <w:bottom w:val="nil"/>
            </w:tcBorders>
          </w:tcPr>
          <w:p w:rsidR="00212513" w:rsidRDefault="00212513">
            <w:pPr>
              <w:pStyle w:val="ConsPlusNormal"/>
              <w:jc w:val="center"/>
            </w:pPr>
            <w:r>
              <w:t>0,22 (0,21)</w:t>
            </w:r>
          </w:p>
        </w:tc>
        <w:tc>
          <w:tcPr>
            <w:tcW w:w="957" w:type="dxa"/>
            <w:tcBorders>
              <w:top w:val="nil"/>
              <w:bottom w:val="nil"/>
            </w:tcBorders>
          </w:tcPr>
          <w:p w:rsidR="00212513" w:rsidRDefault="00212513">
            <w:pPr>
              <w:pStyle w:val="ConsPlusNormal"/>
              <w:jc w:val="center"/>
            </w:pPr>
            <w:r>
              <w:t>0,21 (0,20)</w:t>
            </w:r>
          </w:p>
        </w:tc>
        <w:tc>
          <w:tcPr>
            <w:tcW w:w="957" w:type="dxa"/>
            <w:tcBorders>
              <w:top w:val="nil"/>
              <w:bottom w:val="nil"/>
            </w:tcBorders>
          </w:tcPr>
          <w:p w:rsidR="00212513" w:rsidRDefault="00212513">
            <w:pPr>
              <w:pStyle w:val="ConsPlusNormal"/>
              <w:jc w:val="center"/>
            </w:pPr>
            <w:r>
              <w:t>0,19 (0,18)</w:t>
            </w:r>
          </w:p>
        </w:tc>
        <w:tc>
          <w:tcPr>
            <w:tcW w:w="957" w:type="dxa"/>
            <w:tcBorders>
              <w:top w:val="nil"/>
              <w:bottom w:val="nil"/>
            </w:tcBorders>
          </w:tcPr>
          <w:p w:rsidR="00212513" w:rsidRDefault="00212513">
            <w:pPr>
              <w:pStyle w:val="ConsPlusNormal"/>
              <w:jc w:val="center"/>
            </w:pPr>
            <w:r>
              <w:t>0,19 (0,18)</w:t>
            </w:r>
          </w:p>
        </w:tc>
        <w:tc>
          <w:tcPr>
            <w:tcW w:w="957" w:type="dxa"/>
            <w:tcBorders>
              <w:top w:val="nil"/>
              <w:bottom w:val="nil"/>
            </w:tcBorders>
          </w:tcPr>
          <w:p w:rsidR="00212513" w:rsidRDefault="00212513">
            <w:pPr>
              <w:pStyle w:val="ConsPlusNormal"/>
              <w:jc w:val="center"/>
            </w:pPr>
            <w:r>
              <w:t>0,17</w:t>
            </w:r>
          </w:p>
        </w:tc>
        <w:tc>
          <w:tcPr>
            <w:tcW w:w="957" w:type="dxa"/>
            <w:tcBorders>
              <w:top w:val="nil"/>
              <w:bottom w:val="nil"/>
            </w:tcBorders>
          </w:tcPr>
          <w:p w:rsidR="00212513" w:rsidRDefault="00212513">
            <w:pPr>
              <w:pStyle w:val="ConsPlusNormal"/>
              <w:jc w:val="center"/>
            </w:pPr>
            <w:r>
              <w:t>0,16</w:t>
            </w:r>
          </w:p>
        </w:tc>
        <w:tc>
          <w:tcPr>
            <w:tcW w:w="957" w:type="dxa"/>
            <w:tcBorders>
              <w:top w:val="nil"/>
              <w:bottom w:val="nil"/>
            </w:tcBorders>
          </w:tcPr>
          <w:p w:rsidR="00212513" w:rsidRDefault="00212513">
            <w:pPr>
              <w:pStyle w:val="ConsPlusNormal"/>
              <w:jc w:val="center"/>
            </w:pPr>
            <w:r>
              <w:t>0,15</w:t>
            </w:r>
          </w:p>
        </w:tc>
        <w:tc>
          <w:tcPr>
            <w:tcW w:w="957" w:type="dxa"/>
            <w:tcBorders>
              <w:top w:val="nil"/>
              <w:bottom w:val="nil"/>
            </w:tcBorders>
          </w:tcPr>
          <w:p w:rsidR="00212513" w:rsidRDefault="00212513">
            <w:pPr>
              <w:pStyle w:val="ConsPlusNormal"/>
              <w:jc w:val="center"/>
            </w:pPr>
            <w:r>
              <w:t>0,14</w:t>
            </w:r>
          </w:p>
        </w:tc>
        <w:tc>
          <w:tcPr>
            <w:tcW w:w="957" w:type="dxa"/>
            <w:tcBorders>
              <w:top w:val="nil"/>
              <w:bottom w:val="nil"/>
            </w:tcBorders>
          </w:tcPr>
          <w:p w:rsidR="00212513" w:rsidRDefault="00212513">
            <w:pPr>
              <w:pStyle w:val="ConsPlusNormal"/>
              <w:jc w:val="center"/>
            </w:pPr>
            <w:r>
              <w:t>0,13</w:t>
            </w:r>
          </w:p>
        </w:tc>
        <w:tc>
          <w:tcPr>
            <w:tcW w:w="968" w:type="dxa"/>
            <w:tcBorders>
              <w:top w:val="nil"/>
              <w:bottom w:val="nil"/>
            </w:tcBorders>
          </w:tcPr>
          <w:p w:rsidR="00212513" w:rsidRDefault="00212513">
            <w:pPr>
              <w:pStyle w:val="ConsPlusNormal"/>
              <w:jc w:val="center"/>
            </w:pPr>
            <w:r>
              <w:t>0,12</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140</w:t>
            </w:r>
          </w:p>
        </w:tc>
        <w:tc>
          <w:tcPr>
            <w:tcW w:w="957" w:type="dxa"/>
            <w:tcBorders>
              <w:top w:val="nil"/>
              <w:bottom w:val="nil"/>
            </w:tcBorders>
          </w:tcPr>
          <w:p w:rsidR="00212513" w:rsidRDefault="00212513">
            <w:pPr>
              <w:pStyle w:val="ConsPlusNormal"/>
              <w:jc w:val="center"/>
            </w:pPr>
            <w:r>
              <w:t>0,24 (0,23)</w:t>
            </w:r>
          </w:p>
        </w:tc>
        <w:tc>
          <w:tcPr>
            <w:tcW w:w="957" w:type="dxa"/>
            <w:tcBorders>
              <w:top w:val="nil"/>
              <w:bottom w:val="nil"/>
            </w:tcBorders>
          </w:tcPr>
          <w:p w:rsidR="00212513" w:rsidRDefault="00212513">
            <w:pPr>
              <w:pStyle w:val="ConsPlusNormal"/>
              <w:jc w:val="center"/>
            </w:pPr>
            <w:r>
              <w:t>0,23 (0,22)</w:t>
            </w:r>
          </w:p>
        </w:tc>
        <w:tc>
          <w:tcPr>
            <w:tcW w:w="957" w:type="dxa"/>
            <w:tcBorders>
              <w:top w:val="nil"/>
              <w:bottom w:val="nil"/>
            </w:tcBorders>
          </w:tcPr>
          <w:p w:rsidR="00212513" w:rsidRDefault="00212513">
            <w:pPr>
              <w:pStyle w:val="ConsPlusNormal"/>
              <w:jc w:val="center"/>
            </w:pPr>
            <w:r>
              <w:t>0,22 (0,21)</w:t>
            </w:r>
          </w:p>
        </w:tc>
        <w:tc>
          <w:tcPr>
            <w:tcW w:w="957" w:type="dxa"/>
            <w:tcBorders>
              <w:top w:val="nil"/>
              <w:bottom w:val="nil"/>
            </w:tcBorders>
          </w:tcPr>
          <w:p w:rsidR="00212513" w:rsidRDefault="00212513">
            <w:pPr>
              <w:pStyle w:val="ConsPlusNormal"/>
              <w:jc w:val="center"/>
            </w:pPr>
            <w:r>
              <w:t>0,20 (0,19)</w:t>
            </w:r>
          </w:p>
        </w:tc>
        <w:tc>
          <w:tcPr>
            <w:tcW w:w="957" w:type="dxa"/>
            <w:tcBorders>
              <w:top w:val="nil"/>
              <w:bottom w:val="nil"/>
            </w:tcBorders>
          </w:tcPr>
          <w:p w:rsidR="00212513" w:rsidRDefault="00212513">
            <w:pPr>
              <w:pStyle w:val="ConsPlusNormal"/>
              <w:jc w:val="center"/>
            </w:pPr>
            <w:r>
              <w:t>0,19 (0,18)</w:t>
            </w:r>
          </w:p>
        </w:tc>
        <w:tc>
          <w:tcPr>
            <w:tcW w:w="957" w:type="dxa"/>
            <w:tcBorders>
              <w:top w:val="nil"/>
              <w:bottom w:val="nil"/>
            </w:tcBorders>
          </w:tcPr>
          <w:p w:rsidR="00212513" w:rsidRDefault="00212513">
            <w:pPr>
              <w:pStyle w:val="ConsPlusNormal"/>
              <w:jc w:val="center"/>
            </w:pPr>
            <w:r>
              <w:t>0,18 (0,17)</w:t>
            </w:r>
          </w:p>
        </w:tc>
        <w:tc>
          <w:tcPr>
            <w:tcW w:w="957" w:type="dxa"/>
            <w:tcBorders>
              <w:top w:val="nil"/>
              <w:bottom w:val="nil"/>
            </w:tcBorders>
          </w:tcPr>
          <w:p w:rsidR="00212513" w:rsidRDefault="00212513">
            <w:pPr>
              <w:pStyle w:val="ConsPlusNormal"/>
              <w:jc w:val="center"/>
            </w:pPr>
            <w:r>
              <w:t>0,17 (0,16)</w:t>
            </w:r>
          </w:p>
        </w:tc>
        <w:tc>
          <w:tcPr>
            <w:tcW w:w="957" w:type="dxa"/>
            <w:tcBorders>
              <w:top w:val="nil"/>
              <w:bottom w:val="nil"/>
            </w:tcBorders>
          </w:tcPr>
          <w:p w:rsidR="00212513" w:rsidRDefault="00212513">
            <w:pPr>
              <w:pStyle w:val="ConsPlusNormal"/>
              <w:jc w:val="center"/>
            </w:pPr>
            <w:r>
              <w:t>0,16</w:t>
            </w:r>
          </w:p>
        </w:tc>
        <w:tc>
          <w:tcPr>
            <w:tcW w:w="957" w:type="dxa"/>
            <w:tcBorders>
              <w:top w:val="nil"/>
              <w:bottom w:val="nil"/>
            </w:tcBorders>
          </w:tcPr>
          <w:p w:rsidR="00212513" w:rsidRDefault="00212513">
            <w:pPr>
              <w:pStyle w:val="ConsPlusNormal"/>
              <w:jc w:val="center"/>
            </w:pPr>
            <w:r>
              <w:t>0,15</w:t>
            </w:r>
          </w:p>
        </w:tc>
        <w:tc>
          <w:tcPr>
            <w:tcW w:w="957" w:type="dxa"/>
            <w:tcBorders>
              <w:top w:val="nil"/>
              <w:bottom w:val="nil"/>
            </w:tcBorders>
          </w:tcPr>
          <w:p w:rsidR="00212513" w:rsidRDefault="00212513">
            <w:pPr>
              <w:pStyle w:val="ConsPlusNormal"/>
              <w:jc w:val="center"/>
            </w:pPr>
            <w:r>
              <w:t>0,14</w:t>
            </w:r>
          </w:p>
        </w:tc>
        <w:tc>
          <w:tcPr>
            <w:tcW w:w="957" w:type="dxa"/>
            <w:tcBorders>
              <w:top w:val="nil"/>
              <w:bottom w:val="nil"/>
            </w:tcBorders>
          </w:tcPr>
          <w:p w:rsidR="00212513" w:rsidRDefault="00212513">
            <w:pPr>
              <w:pStyle w:val="ConsPlusNormal"/>
              <w:jc w:val="center"/>
            </w:pPr>
            <w:r>
              <w:t>0,13</w:t>
            </w:r>
          </w:p>
        </w:tc>
        <w:tc>
          <w:tcPr>
            <w:tcW w:w="957" w:type="dxa"/>
            <w:tcBorders>
              <w:top w:val="nil"/>
              <w:bottom w:val="nil"/>
            </w:tcBorders>
          </w:tcPr>
          <w:p w:rsidR="00212513" w:rsidRDefault="00212513">
            <w:pPr>
              <w:pStyle w:val="ConsPlusNormal"/>
              <w:jc w:val="center"/>
            </w:pPr>
            <w:r>
              <w:t>0,13</w:t>
            </w:r>
          </w:p>
        </w:tc>
        <w:tc>
          <w:tcPr>
            <w:tcW w:w="968" w:type="dxa"/>
            <w:tcBorders>
              <w:top w:val="nil"/>
              <w:bottom w:val="nil"/>
            </w:tcBorders>
          </w:tcPr>
          <w:p w:rsidR="00212513" w:rsidRDefault="00212513">
            <w:pPr>
              <w:pStyle w:val="ConsPlusNormal"/>
              <w:jc w:val="center"/>
            </w:pPr>
            <w:r>
              <w:t>0,11</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150</w:t>
            </w:r>
          </w:p>
        </w:tc>
        <w:tc>
          <w:tcPr>
            <w:tcW w:w="957" w:type="dxa"/>
            <w:tcBorders>
              <w:top w:val="nil"/>
              <w:bottom w:val="nil"/>
            </w:tcBorders>
          </w:tcPr>
          <w:p w:rsidR="00212513" w:rsidRDefault="00212513">
            <w:pPr>
              <w:pStyle w:val="ConsPlusNormal"/>
              <w:jc w:val="center"/>
            </w:pPr>
            <w:r>
              <w:t>0,22</w:t>
            </w:r>
          </w:p>
        </w:tc>
        <w:tc>
          <w:tcPr>
            <w:tcW w:w="957" w:type="dxa"/>
            <w:tcBorders>
              <w:top w:val="nil"/>
              <w:bottom w:val="nil"/>
            </w:tcBorders>
          </w:tcPr>
          <w:p w:rsidR="00212513" w:rsidRDefault="00212513">
            <w:pPr>
              <w:pStyle w:val="ConsPlusNormal"/>
              <w:jc w:val="center"/>
            </w:pPr>
            <w:r>
              <w:t>0,21</w:t>
            </w:r>
          </w:p>
        </w:tc>
        <w:tc>
          <w:tcPr>
            <w:tcW w:w="957" w:type="dxa"/>
            <w:tcBorders>
              <w:top w:val="nil"/>
              <w:bottom w:val="nil"/>
            </w:tcBorders>
          </w:tcPr>
          <w:p w:rsidR="00212513" w:rsidRDefault="00212513">
            <w:pPr>
              <w:pStyle w:val="ConsPlusNormal"/>
              <w:jc w:val="center"/>
            </w:pPr>
            <w:r>
              <w:t>0,20</w:t>
            </w:r>
          </w:p>
        </w:tc>
        <w:tc>
          <w:tcPr>
            <w:tcW w:w="957" w:type="dxa"/>
            <w:tcBorders>
              <w:top w:val="nil"/>
              <w:bottom w:val="nil"/>
            </w:tcBorders>
          </w:tcPr>
          <w:p w:rsidR="00212513" w:rsidRDefault="00212513">
            <w:pPr>
              <w:pStyle w:val="ConsPlusNormal"/>
              <w:jc w:val="center"/>
            </w:pPr>
            <w:r>
              <w:t>0,18</w:t>
            </w:r>
          </w:p>
        </w:tc>
        <w:tc>
          <w:tcPr>
            <w:tcW w:w="957" w:type="dxa"/>
            <w:tcBorders>
              <w:top w:val="nil"/>
              <w:bottom w:val="nil"/>
            </w:tcBorders>
          </w:tcPr>
          <w:p w:rsidR="00212513" w:rsidRDefault="00212513">
            <w:pPr>
              <w:pStyle w:val="ConsPlusNormal"/>
              <w:jc w:val="center"/>
            </w:pPr>
            <w:r>
              <w:t>0,17</w:t>
            </w:r>
          </w:p>
        </w:tc>
        <w:tc>
          <w:tcPr>
            <w:tcW w:w="957" w:type="dxa"/>
            <w:tcBorders>
              <w:top w:val="nil"/>
              <w:bottom w:val="nil"/>
            </w:tcBorders>
          </w:tcPr>
          <w:p w:rsidR="00212513" w:rsidRDefault="00212513">
            <w:pPr>
              <w:pStyle w:val="ConsPlusNormal"/>
              <w:jc w:val="center"/>
            </w:pPr>
            <w:r>
              <w:t>0,17</w:t>
            </w:r>
          </w:p>
        </w:tc>
        <w:tc>
          <w:tcPr>
            <w:tcW w:w="957" w:type="dxa"/>
            <w:tcBorders>
              <w:top w:val="nil"/>
              <w:bottom w:val="nil"/>
            </w:tcBorders>
          </w:tcPr>
          <w:p w:rsidR="00212513" w:rsidRDefault="00212513">
            <w:pPr>
              <w:pStyle w:val="ConsPlusNormal"/>
              <w:jc w:val="center"/>
            </w:pPr>
            <w:r>
              <w:t>0,15</w:t>
            </w:r>
          </w:p>
        </w:tc>
        <w:tc>
          <w:tcPr>
            <w:tcW w:w="957" w:type="dxa"/>
            <w:tcBorders>
              <w:top w:val="nil"/>
              <w:bottom w:val="nil"/>
            </w:tcBorders>
          </w:tcPr>
          <w:p w:rsidR="00212513" w:rsidRDefault="00212513">
            <w:pPr>
              <w:pStyle w:val="ConsPlusNormal"/>
              <w:jc w:val="center"/>
            </w:pPr>
            <w:r>
              <w:t>0,14</w:t>
            </w:r>
          </w:p>
        </w:tc>
        <w:tc>
          <w:tcPr>
            <w:tcW w:w="957" w:type="dxa"/>
            <w:tcBorders>
              <w:top w:val="nil"/>
              <w:bottom w:val="nil"/>
            </w:tcBorders>
          </w:tcPr>
          <w:p w:rsidR="00212513" w:rsidRDefault="00212513">
            <w:pPr>
              <w:pStyle w:val="ConsPlusNormal"/>
              <w:jc w:val="center"/>
            </w:pPr>
            <w:r>
              <w:t>0,15</w:t>
            </w:r>
          </w:p>
        </w:tc>
        <w:tc>
          <w:tcPr>
            <w:tcW w:w="957" w:type="dxa"/>
            <w:tcBorders>
              <w:top w:val="nil"/>
              <w:bottom w:val="nil"/>
            </w:tcBorders>
          </w:tcPr>
          <w:p w:rsidR="00212513" w:rsidRDefault="00212513">
            <w:pPr>
              <w:pStyle w:val="ConsPlusNormal"/>
              <w:jc w:val="center"/>
            </w:pPr>
            <w:r>
              <w:t>0,13</w:t>
            </w:r>
          </w:p>
        </w:tc>
        <w:tc>
          <w:tcPr>
            <w:tcW w:w="957" w:type="dxa"/>
            <w:tcBorders>
              <w:top w:val="nil"/>
              <w:bottom w:val="nil"/>
            </w:tcBorders>
          </w:tcPr>
          <w:p w:rsidR="00212513" w:rsidRDefault="00212513">
            <w:pPr>
              <w:pStyle w:val="ConsPlusNormal"/>
              <w:jc w:val="center"/>
            </w:pPr>
            <w:r>
              <w:t>0,12</w:t>
            </w:r>
          </w:p>
        </w:tc>
        <w:tc>
          <w:tcPr>
            <w:tcW w:w="957" w:type="dxa"/>
            <w:tcBorders>
              <w:top w:val="nil"/>
              <w:bottom w:val="nil"/>
            </w:tcBorders>
          </w:tcPr>
          <w:p w:rsidR="00212513" w:rsidRDefault="00212513">
            <w:pPr>
              <w:pStyle w:val="ConsPlusNormal"/>
              <w:jc w:val="center"/>
            </w:pPr>
            <w:r>
              <w:t>0,11</w:t>
            </w:r>
          </w:p>
        </w:tc>
        <w:tc>
          <w:tcPr>
            <w:tcW w:w="968" w:type="dxa"/>
            <w:tcBorders>
              <w:top w:val="nil"/>
              <w:bottom w:val="nil"/>
            </w:tcBorders>
          </w:tcPr>
          <w:p w:rsidR="00212513" w:rsidRDefault="00212513">
            <w:pPr>
              <w:pStyle w:val="ConsPlusNormal"/>
              <w:jc w:val="center"/>
            </w:pPr>
            <w:r>
              <w:t>0,10</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160</w:t>
            </w:r>
          </w:p>
        </w:tc>
        <w:tc>
          <w:tcPr>
            <w:tcW w:w="957" w:type="dxa"/>
            <w:tcBorders>
              <w:top w:val="nil"/>
              <w:bottom w:val="nil"/>
            </w:tcBorders>
          </w:tcPr>
          <w:p w:rsidR="00212513" w:rsidRDefault="00212513">
            <w:pPr>
              <w:pStyle w:val="ConsPlusNormal"/>
              <w:jc w:val="center"/>
            </w:pPr>
            <w:r>
              <w:t>0,20</w:t>
            </w:r>
          </w:p>
        </w:tc>
        <w:tc>
          <w:tcPr>
            <w:tcW w:w="957" w:type="dxa"/>
            <w:tcBorders>
              <w:top w:val="nil"/>
              <w:bottom w:val="nil"/>
            </w:tcBorders>
          </w:tcPr>
          <w:p w:rsidR="00212513" w:rsidRDefault="00212513">
            <w:pPr>
              <w:pStyle w:val="ConsPlusNormal"/>
              <w:jc w:val="center"/>
            </w:pPr>
            <w:r>
              <w:t>0,19</w:t>
            </w:r>
          </w:p>
        </w:tc>
        <w:tc>
          <w:tcPr>
            <w:tcW w:w="957" w:type="dxa"/>
            <w:tcBorders>
              <w:top w:val="nil"/>
              <w:bottom w:val="nil"/>
            </w:tcBorders>
          </w:tcPr>
          <w:p w:rsidR="00212513" w:rsidRDefault="00212513">
            <w:pPr>
              <w:pStyle w:val="ConsPlusNormal"/>
              <w:jc w:val="center"/>
            </w:pPr>
            <w:r>
              <w:t>0,18</w:t>
            </w:r>
          </w:p>
        </w:tc>
        <w:tc>
          <w:tcPr>
            <w:tcW w:w="957" w:type="dxa"/>
            <w:tcBorders>
              <w:top w:val="nil"/>
              <w:bottom w:val="nil"/>
            </w:tcBorders>
          </w:tcPr>
          <w:p w:rsidR="00212513" w:rsidRDefault="00212513">
            <w:pPr>
              <w:pStyle w:val="ConsPlusNormal"/>
              <w:jc w:val="center"/>
            </w:pPr>
            <w:r>
              <w:t>0,17</w:t>
            </w:r>
          </w:p>
        </w:tc>
        <w:tc>
          <w:tcPr>
            <w:tcW w:w="957" w:type="dxa"/>
            <w:tcBorders>
              <w:top w:val="nil"/>
              <w:bottom w:val="nil"/>
            </w:tcBorders>
          </w:tcPr>
          <w:p w:rsidR="00212513" w:rsidRDefault="00212513">
            <w:pPr>
              <w:pStyle w:val="ConsPlusNormal"/>
              <w:jc w:val="center"/>
            </w:pPr>
            <w:r>
              <w:t>0,16</w:t>
            </w:r>
          </w:p>
        </w:tc>
        <w:tc>
          <w:tcPr>
            <w:tcW w:w="957" w:type="dxa"/>
            <w:tcBorders>
              <w:top w:val="nil"/>
              <w:bottom w:val="nil"/>
            </w:tcBorders>
          </w:tcPr>
          <w:p w:rsidR="00212513" w:rsidRDefault="00212513">
            <w:pPr>
              <w:pStyle w:val="ConsPlusNormal"/>
              <w:jc w:val="center"/>
            </w:pPr>
            <w:r>
              <w:t>0,15</w:t>
            </w:r>
          </w:p>
        </w:tc>
        <w:tc>
          <w:tcPr>
            <w:tcW w:w="957" w:type="dxa"/>
            <w:tcBorders>
              <w:top w:val="nil"/>
              <w:bottom w:val="nil"/>
            </w:tcBorders>
          </w:tcPr>
          <w:p w:rsidR="00212513" w:rsidRDefault="00212513">
            <w:pPr>
              <w:pStyle w:val="ConsPlusNormal"/>
              <w:jc w:val="center"/>
            </w:pPr>
            <w:r>
              <w:t>0,14</w:t>
            </w:r>
          </w:p>
        </w:tc>
        <w:tc>
          <w:tcPr>
            <w:tcW w:w="957" w:type="dxa"/>
            <w:tcBorders>
              <w:top w:val="nil"/>
              <w:bottom w:val="nil"/>
            </w:tcBorders>
          </w:tcPr>
          <w:p w:rsidR="00212513" w:rsidRDefault="00212513">
            <w:pPr>
              <w:pStyle w:val="ConsPlusNormal"/>
              <w:jc w:val="center"/>
            </w:pPr>
            <w:r>
              <w:t>0,14</w:t>
            </w:r>
          </w:p>
        </w:tc>
        <w:tc>
          <w:tcPr>
            <w:tcW w:w="957" w:type="dxa"/>
            <w:tcBorders>
              <w:top w:val="nil"/>
              <w:bottom w:val="nil"/>
            </w:tcBorders>
          </w:tcPr>
          <w:p w:rsidR="00212513" w:rsidRDefault="00212513">
            <w:pPr>
              <w:pStyle w:val="ConsPlusNormal"/>
              <w:jc w:val="center"/>
            </w:pPr>
            <w:r>
              <w:t>0,13</w:t>
            </w:r>
          </w:p>
        </w:tc>
        <w:tc>
          <w:tcPr>
            <w:tcW w:w="957" w:type="dxa"/>
            <w:tcBorders>
              <w:top w:val="nil"/>
              <w:bottom w:val="nil"/>
            </w:tcBorders>
          </w:tcPr>
          <w:p w:rsidR="00212513" w:rsidRDefault="00212513">
            <w:pPr>
              <w:pStyle w:val="ConsPlusNormal"/>
              <w:jc w:val="center"/>
            </w:pPr>
            <w:r>
              <w:t>0,12</w:t>
            </w:r>
          </w:p>
        </w:tc>
        <w:tc>
          <w:tcPr>
            <w:tcW w:w="957" w:type="dxa"/>
            <w:tcBorders>
              <w:top w:val="nil"/>
              <w:bottom w:val="nil"/>
            </w:tcBorders>
          </w:tcPr>
          <w:p w:rsidR="00212513" w:rsidRDefault="00212513">
            <w:pPr>
              <w:pStyle w:val="ConsPlusNormal"/>
              <w:jc w:val="center"/>
            </w:pPr>
            <w:r>
              <w:t>0,12</w:t>
            </w:r>
          </w:p>
        </w:tc>
        <w:tc>
          <w:tcPr>
            <w:tcW w:w="957" w:type="dxa"/>
            <w:tcBorders>
              <w:top w:val="nil"/>
              <w:bottom w:val="nil"/>
            </w:tcBorders>
          </w:tcPr>
          <w:p w:rsidR="00212513" w:rsidRDefault="00212513">
            <w:pPr>
              <w:pStyle w:val="ConsPlusNormal"/>
              <w:jc w:val="center"/>
            </w:pPr>
            <w:r>
              <w:t>0,11</w:t>
            </w:r>
          </w:p>
        </w:tc>
        <w:tc>
          <w:tcPr>
            <w:tcW w:w="968" w:type="dxa"/>
            <w:tcBorders>
              <w:top w:val="nil"/>
              <w:bottom w:val="nil"/>
            </w:tcBorders>
          </w:tcPr>
          <w:p w:rsidR="00212513" w:rsidRDefault="00212513">
            <w:pPr>
              <w:pStyle w:val="ConsPlusNormal"/>
              <w:jc w:val="center"/>
            </w:pPr>
            <w:r>
              <w:t>0,10</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170</w:t>
            </w:r>
          </w:p>
        </w:tc>
        <w:tc>
          <w:tcPr>
            <w:tcW w:w="957" w:type="dxa"/>
            <w:tcBorders>
              <w:top w:val="nil"/>
              <w:bottom w:val="nil"/>
            </w:tcBorders>
          </w:tcPr>
          <w:p w:rsidR="00212513" w:rsidRDefault="00212513">
            <w:pPr>
              <w:pStyle w:val="ConsPlusNormal"/>
              <w:jc w:val="center"/>
            </w:pPr>
            <w:r>
              <w:t>0,18</w:t>
            </w:r>
          </w:p>
        </w:tc>
        <w:tc>
          <w:tcPr>
            <w:tcW w:w="957" w:type="dxa"/>
            <w:tcBorders>
              <w:top w:val="nil"/>
              <w:bottom w:val="nil"/>
            </w:tcBorders>
          </w:tcPr>
          <w:p w:rsidR="00212513" w:rsidRDefault="00212513">
            <w:pPr>
              <w:pStyle w:val="ConsPlusNormal"/>
              <w:jc w:val="center"/>
            </w:pPr>
            <w:r>
              <w:t>0,17</w:t>
            </w:r>
          </w:p>
        </w:tc>
        <w:tc>
          <w:tcPr>
            <w:tcW w:w="957" w:type="dxa"/>
            <w:tcBorders>
              <w:top w:val="nil"/>
              <w:bottom w:val="nil"/>
            </w:tcBorders>
          </w:tcPr>
          <w:p w:rsidR="00212513" w:rsidRDefault="00212513">
            <w:pPr>
              <w:pStyle w:val="ConsPlusNormal"/>
              <w:jc w:val="center"/>
            </w:pPr>
            <w:r>
              <w:t>0,16</w:t>
            </w:r>
          </w:p>
        </w:tc>
        <w:tc>
          <w:tcPr>
            <w:tcW w:w="957" w:type="dxa"/>
            <w:tcBorders>
              <w:top w:val="nil"/>
              <w:bottom w:val="nil"/>
            </w:tcBorders>
          </w:tcPr>
          <w:p w:rsidR="00212513" w:rsidRDefault="00212513">
            <w:pPr>
              <w:pStyle w:val="ConsPlusNormal"/>
              <w:jc w:val="center"/>
            </w:pPr>
            <w:r>
              <w:t>0,15</w:t>
            </w:r>
          </w:p>
        </w:tc>
        <w:tc>
          <w:tcPr>
            <w:tcW w:w="957" w:type="dxa"/>
            <w:tcBorders>
              <w:top w:val="nil"/>
              <w:bottom w:val="nil"/>
            </w:tcBorders>
          </w:tcPr>
          <w:p w:rsidR="00212513" w:rsidRDefault="00212513">
            <w:pPr>
              <w:pStyle w:val="ConsPlusNormal"/>
              <w:jc w:val="center"/>
            </w:pPr>
            <w:r>
              <w:t>0,14</w:t>
            </w:r>
          </w:p>
        </w:tc>
        <w:tc>
          <w:tcPr>
            <w:tcW w:w="957" w:type="dxa"/>
            <w:tcBorders>
              <w:top w:val="nil"/>
              <w:bottom w:val="nil"/>
            </w:tcBorders>
          </w:tcPr>
          <w:p w:rsidR="00212513" w:rsidRDefault="00212513">
            <w:pPr>
              <w:pStyle w:val="ConsPlusNormal"/>
              <w:jc w:val="center"/>
            </w:pPr>
            <w:r>
              <w:t>0,14</w:t>
            </w:r>
          </w:p>
        </w:tc>
        <w:tc>
          <w:tcPr>
            <w:tcW w:w="957" w:type="dxa"/>
            <w:tcBorders>
              <w:top w:val="nil"/>
              <w:bottom w:val="nil"/>
            </w:tcBorders>
          </w:tcPr>
          <w:p w:rsidR="00212513" w:rsidRDefault="00212513">
            <w:pPr>
              <w:pStyle w:val="ConsPlusNormal"/>
              <w:jc w:val="center"/>
            </w:pPr>
            <w:r>
              <w:t>0,13</w:t>
            </w:r>
          </w:p>
        </w:tc>
        <w:tc>
          <w:tcPr>
            <w:tcW w:w="957" w:type="dxa"/>
            <w:tcBorders>
              <w:top w:val="nil"/>
              <w:bottom w:val="nil"/>
            </w:tcBorders>
          </w:tcPr>
          <w:p w:rsidR="00212513" w:rsidRDefault="00212513">
            <w:pPr>
              <w:pStyle w:val="ConsPlusNormal"/>
              <w:jc w:val="center"/>
            </w:pPr>
            <w:r>
              <w:t>0,12</w:t>
            </w:r>
          </w:p>
        </w:tc>
        <w:tc>
          <w:tcPr>
            <w:tcW w:w="957" w:type="dxa"/>
            <w:tcBorders>
              <w:top w:val="nil"/>
              <w:bottom w:val="nil"/>
            </w:tcBorders>
          </w:tcPr>
          <w:p w:rsidR="00212513" w:rsidRDefault="00212513">
            <w:pPr>
              <w:pStyle w:val="ConsPlusNormal"/>
              <w:jc w:val="center"/>
            </w:pPr>
            <w:r>
              <w:t>0,12</w:t>
            </w:r>
          </w:p>
        </w:tc>
        <w:tc>
          <w:tcPr>
            <w:tcW w:w="957" w:type="dxa"/>
            <w:tcBorders>
              <w:top w:val="nil"/>
              <w:bottom w:val="nil"/>
            </w:tcBorders>
          </w:tcPr>
          <w:p w:rsidR="00212513" w:rsidRDefault="00212513">
            <w:pPr>
              <w:pStyle w:val="ConsPlusNormal"/>
              <w:jc w:val="center"/>
            </w:pPr>
            <w:r>
              <w:t>0,11</w:t>
            </w:r>
          </w:p>
        </w:tc>
        <w:tc>
          <w:tcPr>
            <w:tcW w:w="957" w:type="dxa"/>
            <w:tcBorders>
              <w:top w:val="nil"/>
              <w:bottom w:val="nil"/>
            </w:tcBorders>
          </w:tcPr>
          <w:p w:rsidR="00212513" w:rsidRDefault="00212513">
            <w:pPr>
              <w:pStyle w:val="ConsPlusNormal"/>
              <w:jc w:val="center"/>
            </w:pPr>
            <w:r>
              <w:t>0,11</w:t>
            </w:r>
          </w:p>
        </w:tc>
        <w:tc>
          <w:tcPr>
            <w:tcW w:w="957" w:type="dxa"/>
            <w:tcBorders>
              <w:top w:val="nil"/>
              <w:bottom w:val="nil"/>
            </w:tcBorders>
          </w:tcPr>
          <w:p w:rsidR="00212513" w:rsidRDefault="00212513">
            <w:pPr>
              <w:pStyle w:val="ConsPlusNormal"/>
              <w:jc w:val="center"/>
            </w:pPr>
            <w:r>
              <w:t>0,10</w:t>
            </w:r>
          </w:p>
        </w:tc>
        <w:tc>
          <w:tcPr>
            <w:tcW w:w="968" w:type="dxa"/>
            <w:tcBorders>
              <w:top w:val="nil"/>
              <w:bottom w:val="nil"/>
            </w:tcBorders>
          </w:tcPr>
          <w:p w:rsidR="00212513" w:rsidRDefault="00212513">
            <w:pPr>
              <w:pStyle w:val="ConsPlusNormal"/>
              <w:jc w:val="center"/>
            </w:pPr>
            <w:r>
              <w:t>0,09</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180</w:t>
            </w:r>
          </w:p>
        </w:tc>
        <w:tc>
          <w:tcPr>
            <w:tcW w:w="957" w:type="dxa"/>
            <w:tcBorders>
              <w:top w:val="nil"/>
              <w:bottom w:val="nil"/>
            </w:tcBorders>
          </w:tcPr>
          <w:p w:rsidR="00212513" w:rsidRDefault="00212513">
            <w:pPr>
              <w:pStyle w:val="ConsPlusNormal"/>
              <w:jc w:val="center"/>
            </w:pPr>
            <w:r>
              <w:t>0,16</w:t>
            </w:r>
          </w:p>
        </w:tc>
        <w:tc>
          <w:tcPr>
            <w:tcW w:w="957" w:type="dxa"/>
            <w:tcBorders>
              <w:top w:val="nil"/>
              <w:bottom w:val="nil"/>
            </w:tcBorders>
          </w:tcPr>
          <w:p w:rsidR="00212513" w:rsidRDefault="00212513">
            <w:pPr>
              <w:pStyle w:val="ConsPlusNormal"/>
              <w:jc w:val="center"/>
            </w:pPr>
            <w:r>
              <w:t>0,16</w:t>
            </w:r>
          </w:p>
        </w:tc>
        <w:tc>
          <w:tcPr>
            <w:tcW w:w="957" w:type="dxa"/>
            <w:tcBorders>
              <w:top w:val="nil"/>
              <w:bottom w:val="nil"/>
            </w:tcBorders>
          </w:tcPr>
          <w:p w:rsidR="00212513" w:rsidRDefault="00212513">
            <w:pPr>
              <w:pStyle w:val="ConsPlusNormal"/>
              <w:jc w:val="center"/>
            </w:pPr>
            <w:r>
              <w:t>0,15</w:t>
            </w:r>
          </w:p>
        </w:tc>
        <w:tc>
          <w:tcPr>
            <w:tcW w:w="957" w:type="dxa"/>
            <w:tcBorders>
              <w:top w:val="nil"/>
              <w:bottom w:val="nil"/>
            </w:tcBorders>
          </w:tcPr>
          <w:p w:rsidR="00212513" w:rsidRDefault="00212513">
            <w:pPr>
              <w:pStyle w:val="ConsPlusNormal"/>
              <w:jc w:val="center"/>
            </w:pPr>
            <w:r>
              <w:t>0,14</w:t>
            </w:r>
          </w:p>
        </w:tc>
        <w:tc>
          <w:tcPr>
            <w:tcW w:w="957" w:type="dxa"/>
            <w:tcBorders>
              <w:top w:val="nil"/>
              <w:bottom w:val="nil"/>
            </w:tcBorders>
          </w:tcPr>
          <w:p w:rsidR="00212513" w:rsidRDefault="00212513">
            <w:pPr>
              <w:pStyle w:val="ConsPlusNormal"/>
              <w:jc w:val="center"/>
            </w:pPr>
            <w:r>
              <w:t>0,13</w:t>
            </w:r>
          </w:p>
        </w:tc>
        <w:tc>
          <w:tcPr>
            <w:tcW w:w="957" w:type="dxa"/>
            <w:tcBorders>
              <w:top w:val="nil"/>
              <w:bottom w:val="nil"/>
            </w:tcBorders>
          </w:tcPr>
          <w:p w:rsidR="00212513" w:rsidRDefault="00212513">
            <w:pPr>
              <w:pStyle w:val="ConsPlusNormal"/>
              <w:jc w:val="center"/>
            </w:pPr>
            <w:r>
              <w:t>0,13</w:t>
            </w:r>
          </w:p>
        </w:tc>
        <w:tc>
          <w:tcPr>
            <w:tcW w:w="957" w:type="dxa"/>
            <w:tcBorders>
              <w:top w:val="nil"/>
              <w:bottom w:val="nil"/>
            </w:tcBorders>
          </w:tcPr>
          <w:p w:rsidR="00212513" w:rsidRDefault="00212513">
            <w:pPr>
              <w:pStyle w:val="ConsPlusNormal"/>
              <w:jc w:val="center"/>
            </w:pPr>
            <w:r>
              <w:t>0,12</w:t>
            </w:r>
          </w:p>
        </w:tc>
        <w:tc>
          <w:tcPr>
            <w:tcW w:w="957" w:type="dxa"/>
            <w:tcBorders>
              <w:top w:val="nil"/>
              <w:bottom w:val="nil"/>
            </w:tcBorders>
          </w:tcPr>
          <w:p w:rsidR="00212513" w:rsidRDefault="00212513">
            <w:pPr>
              <w:pStyle w:val="ConsPlusNormal"/>
              <w:jc w:val="center"/>
            </w:pPr>
            <w:r>
              <w:t>0,12</w:t>
            </w:r>
          </w:p>
        </w:tc>
        <w:tc>
          <w:tcPr>
            <w:tcW w:w="957" w:type="dxa"/>
            <w:tcBorders>
              <w:top w:val="nil"/>
              <w:bottom w:val="nil"/>
            </w:tcBorders>
          </w:tcPr>
          <w:p w:rsidR="00212513" w:rsidRDefault="00212513">
            <w:pPr>
              <w:pStyle w:val="ConsPlusNormal"/>
              <w:jc w:val="center"/>
            </w:pPr>
            <w:r>
              <w:t>0,11</w:t>
            </w:r>
          </w:p>
        </w:tc>
        <w:tc>
          <w:tcPr>
            <w:tcW w:w="957" w:type="dxa"/>
            <w:tcBorders>
              <w:top w:val="nil"/>
              <w:bottom w:val="nil"/>
            </w:tcBorders>
          </w:tcPr>
          <w:p w:rsidR="00212513" w:rsidRDefault="00212513">
            <w:pPr>
              <w:pStyle w:val="ConsPlusNormal"/>
              <w:jc w:val="center"/>
            </w:pPr>
            <w:r>
              <w:t>0,11</w:t>
            </w:r>
          </w:p>
        </w:tc>
        <w:tc>
          <w:tcPr>
            <w:tcW w:w="957" w:type="dxa"/>
            <w:tcBorders>
              <w:top w:val="nil"/>
              <w:bottom w:val="nil"/>
            </w:tcBorders>
          </w:tcPr>
          <w:p w:rsidR="00212513" w:rsidRDefault="00212513">
            <w:pPr>
              <w:pStyle w:val="ConsPlusNormal"/>
              <w:jc w:val="center"/>
            </w:pPr>
            <w:r>
              <w:t>0,10</w:t>
            </w:r>
          </w:p>
        </w:tc>
        <w:tc>
          <w:tcPr>
            <w:tcW w:w="957" w:type="dxa"/>
            <w:tcBorders>
              <w:top w:val="nil"/>
              <w:bottom w:val="nil"/>
            </w:tcBorders>
          </w:tcPr>
          <w:p w:rsidR="00212513" w:rsidRDefault="00212513">
            <w:pPr>
              <w:pStyle w:val="ConsPlusNormal"/>
              <w:jc w:val="center"/>
            </w:pPr>
            <w:r>
              <w:t>0,10</w:t>
            </w:r>
          </w:p>
        </w:tc>
        <w:tc>
          <w:tcPr>
            <w:tcW w:w="968" w:type="dxa"/>
            <w:tcBorders>
              <w:top w:val="nil"/>
              <w:bottom w:val="nil"/>
            </w:tcBorders>
          </w:tcPr>
          <w:p w:rsidR="00212513" w:rsidRDefault="00212513">
            <w:pPr>
              <w:pStyle w:val="ConsPlusNormal"/>
              <w:jc w:val="center"/>
            </w:pPr>
            <w:r>
              <w:t>0,09</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190</w:t>
            </w:r>
          </w:p>
        </w:tc>
        <w:tc>
          <w:tcPr>
            <w:tcW w:w="957" w:type="dxa"/>
            <w:tcBorders>
              <w:top w:val="nil"/>
              <w:bottom w:val="nil"/>
            </w:tcBorders>
          </w:tcPr>
          <w:p w:rsidR="00212513" w:rsidRDefault="00212513">
            <w:pPr>
              <w:pStyle w:val="ConsPlusNormal"/>
              <w:jc w:val="center"/>
            </w:pPr>
            <w:r>
              <w:t>0,15</w:t>
            </w:r>
          </w:p>
        </w:tc>
        <w:tc>
          <w:tcPr>
            <w:tcW w:w="957" w:type="dxa"/>
            <w:tcBorders>
              <w:top w:val="nil"/>
              <w:bottom w:val="nil"/>
            </w:tcBorders>
          </w:tcPr>
          <w:p w:rsidR="00212513" w:rsidRDefault="00212513">
            <w:pPr>
              <w:pStyle w:val="ConsPlusNormal"/>
              <w:jc w:val="center"/>
            </w:pPr>
            <w:r>
              <w:t>0,14</w:t>
            </w:r>
          </w:p>
        </w:tc>
        <w:tc>
          <w:tcPr>
            <w:tcW w:w="957" w:type="dxa"/>
            <w:tcBorders>
              <w:top w:val="nil"/>
              <w:bottom w:val="nil"/>
            </w:tcBorders>
          </w:tcPr>
          <w:p w:rsidR="00212513" w:rsidRDefault="00212513">
            <w:pPr>
              <w:pStyle w:val="ConsPlusNormal"/>
              <w:jc w:val="center"/>
            </w:pPr>
            <w:r>
              <w:t>0,13</w:t>
            </w:r>
          </w:p>
        </w:tc>
        <w:tc>
          <w:tcPr>
            <w:tcW w:w="957" w:type="dxa"/>
            <w:tcBorders>
              <w:top w:val="nil"/>
              <w:bottom w:val="nil"/>
            </w:tcBorders>
          </w:tcPr>
          <w:p w:rsidR="00212513" w:rsidRDefault="00212513">
            <w:pPr>
              <w:pStyle w:val="ConsPlusNormal"/>
              <w:jc w:val="center"/>
            </w:pPr>
            <w:r>
              <w:t>0,13</w:t>
            </w:r>
          </w:p>
        </w:tc>
        <w:tc>
          <w:tcPr>
            <w:tcW w:w="957" w:type="dxa"/>
            <w:tcBorders>
              <w:top w:val="nil"/>
              <w:bottom w:val="nil"/>
            </w:tcBorders>
          </w:tcPr>
          <w:p w:rsidR="00212513" w:rsidRDefault="00212513">
            <w:pPr>
              <w:pStyle w:val="ConsPlusNormal"/>
              <w:jc w:val="center"/>
            </w:pPr>
            <w:r>
              <w:t>0,12</w:t>
            </w:r>
          </w:p>
        </w:tc>
        <w:tc>
          <w:tcPr>
            <w:tcW w:w="957" w:type="dxa"/>
            <w:tcBorders>
              <w:top w:val="nil"/>
              <w:bottom w:val="nil"/>
            </w:tcBorders>
          </w:tcPr>
          <w:p w:rsidR="00212513" w:rsidRDefault="00212513">
            <w:pPr>
              <w:pStyle w:val="ConsPlusNormal"/>
              <w:jc w:val="center"/>
            </w:pPr>
            <w:r>
              <w:t>0,12</w:t>
            </w:r>
          </w:p>
        </w:tc>
        <w:tc>
          <w:tcPr>
            <w:tcW w:w="957" w:type="dxa"/>
            <w:tcBorders>
              <w:top w:val="nil"/>
              <w:bottom w:val="nil"/>
            </w:tcBorders>
          </w:tcPr>
          <w:p w:rsidR="00212513" w:rsidRDefault="00212513">
            <w:pPr>
              <w:pStyle w:val="ConsPlusNormal"/>
              <w:jc w:val="center"/>
            </w:pPr>
            <w:r>
              <w:t>0,11</w:t>
            </w:r>
          </w:p>
        </w:tc>
        <w:tc>
          <w:tcPr>
            <w:tcW w:w="957" w:type="dxa"/>
            <w:tcBorders>
              <w:top w:val="nil"/>
              <w:bottom w:val="nil"/>
            </w:tcBorders>
          </w:tcPr>
          <w:p w:rsidR="00212513" w:rsidRDefault="00212513">
            <w:pPr>
              <w:pStyle w:val="ConsPlusNormal"/>
              <w:jc w:val="center"/>
            </w:pPr>
            <w:r>
              <w:t>0,10</w:t>
            </w:r>
          </w:p>
        </w:tc>
        <w:tc>
          <w:tcPr>
            <w:tcW w:w="957" w:type="dxa"/>
            <w:tcBorders>
              <w:top w:val="nil"/>
              <w:bottom w:val="nil"/>
            </w:tcBorders>
          </w:tcPr>
          <w:p w:rsidR="00212513" w:rsidRDefault="00212513">
            <w:pPr>
              <w:pStyle w:val="ConsPlusNormal"/>
              <w:jc w:val="center"/>
            </w:pPr>
            <w:r>
              <w:t>0,10</w:t>
            </w:r>
          </w:p>
        </w:tc>
        <w:tc>
          <w:tcPr>
            <w:tcW w:w="957" w:type="dxa"/>
            <w:tcBorders>
              <w:top w:val="nil"/>
              <w:bottom w:val="nil"/>
            </w:tcBorders>
          </w:tcPr>
          <w:p w:rsidR="00212513" w:rsidRDefault="00212513">
            <w:pPr>
              <w:pStyle w:val="ConsPlusNormal"/>
              <w:jc w:val="center"/>
            </w:pPr>
            <w:r>
              <w:t>0,10</w:t>
            </w:r>
          </w:p>
        </w:tc>
        <w:tc>
          <w:tcPr>
            <w:tcW w:w="957" w:type="dxa"/>
            <w:tcBorders>
              <w:top w:val="nil"/>
              <w:bottom w:val="nil"/>
            </w:tcBorders>
          </w:tcPr>
          <w:p w:rsidR="00212513" w:rsidRDefault="00212513">
            <w:pPr>
              <w:pStyle w:val="ConsPlusNormal"/>
              <w:jc w:val="center"/>
            </w:pPr>
            <w:r>
              <w:t>0,09</w:t>
            </w:r>
          </w:p>
        </w:tc>
        <w:tc>
          <w:tcPr>
            <w:tcW w:w="957" w:type="dxa"/>
            <w:tcBorders>
              <w:top w:val="nil"/>
              <w:bottom w:val="nil"/>
            </w:tcBorders>
          </w:tcPr>
          <w:p w:rsidR="00212513" w:rsidRDefault="00212513">
            <w:pPr>
              <w:pStyle w:val="ConsPlusNormal"/>
              <w:jc w:val="center"/>
            </w:pPr>
            <w:r>
              <w:t>0,09</w:t>
            </w:r>
          </w:p>
        </w:tc>
        <w:tc>
          <w:tcPr>
            <w:tcW w:w="968" w:type="dxa"/>
            <w:tcBorders>
              <w:top w:val="nil"/>
              <w:bottom w:val="nil"/>
            </w:tcBorders>
          </w:tcPr>
          <w:p w:rsidR="00212513" w:rsidRDefault="00212513">
            <w:pPr>
              <w:pStyle w:val="ConsPlusNormal"/>
              <w:jc w:val="center"/>
            </w:pPr>
            <w:r>
              <w:t>0,08</w:t>
            </w:r>
          </w:p>
        </w:tc>
      </w:tr>
      <w:tr w:rsidR="00212513">
        <w:tblPrEx>
          <w:tblBorders>
            <w:insideH w:val="none" w:sz="0" w:space="0" w:color="auto"/>
          </w:tblBorders>
        </w:tblPrEx>
        <w:tc>
          <w:tcPr>
            <w:tcW w:w="1134" w:type="dxa"/>
            <w:tcBorders>
              <w:top w:val="nil"/>
              <w:bottom w:val="single" w:sz="4" w:space="0" w:color="auto"/>
            </w:tcBorders>
          </w:tcPr>
          <w:p w:rsidR="00212513" w:rsidRDefault="00212513">
            <w:pPr>
              <w:pStyle w:val="ConsPlusNormal"/>
              <w:jc w:val="center"/>
            </w:pPr>
            <w:r>
              <w:t>200</w:t>
            </w:r>
          </w:p>
        </w:tc>
        <w:tc>
          <w:tcPr>
            <w:tcW w:w="957" w:type="dxa"/>
            <w:tcBorders>
              <w:top w:val="nil"/>
              <w:bottom w:val="single" w:sz="4" w:space="0" w:color="auto"/>
            </w:tcBorders>
          </w:tcPr>
          <w:p w:rsidR="00212513" w:rsidRDefault="00212513">
            <w:pPr>
              <w:pStyle w:val="ConsPlusNormal"/>
              <w:jc w:val="center"/>
            </w:pPr>
            <w:r>
              <w:t>0,13</w:t>
            </w:r>
          </w:p>
        </w:tc>
        <w:tc>
          <w:tcPr>
            <w:tcW w:w="957" w:type="dxa"/>
            <w:tcBorders>
              <w:top w:val="nil"/>
              <w:bottom w:val="single" w:sz="4" w:space="0" w:color="auto"/>
            </w:tcBorders>
          </w:tcPr>
          <w:p w:rsidR="00212513" w:rsidRDefault="00212513">
            <w:pPr>
              <w:pStyle w:val="ConsPlusNormal"/>
              <w:jc w:val="center"/>
            </w:pPr>
            <w:r>
              <w:t>0,13</w:t>
            </w:r>
          </w:p>
        </w:tc>
        <w:tc>
          <w:tcPr>
            <w:tcW w:w="957" w:type="dxa"/>
            <w:tcBorders>
              <w:top w:val="nil"/>
              <w:bottom w:val="single" w:sz="4" w:space="0" w:color="auto"/>
            </w:tcBorders>
          </w:tcPr>
          <w:p w:rsidR="00212513" w:rsidRDefault="00212513">
            <w:pPr>
              <w:pStyle w:val="ConsPlusNormal"/>
              <w:jc w:val="center"/>
            </w:pPr>
            <w:r>
              <w:t>0,12</w:t>
            </w:r>
          </w:p>
        </w:tc>
        <w:tc>
          <w:tcPr>
            <w:tcW w:w="957" w:type="dxa"/>
            <w:tcBorders>
              <w:top w:val="nil"/>
              <w:bottom w:val="single" w:sz="4" w:space="0" w:color="auto"/>
            </w:tcBorders>
          </w:tcPr>
          <w:p w:rsidR="00212513" w:rsidRDefault="00212513">
            <w:pPr>
              <w:pStyle w:val="ConsPlusNormal"/>
              <w:jc w:val="center"/>
            </w:pPr>
            <w:r>
              <w:t>0,12</w:t>
            </w:r>
          </w:p>
        </w:tc>
        <w:tc>
          <w:tcPr>
            <w:tcW w:w="957" w:type="dxa"/>
            <w:tcBorders>
              <w:top w:val="nil"/>
              <w:bottom w:val="single" w:sz="4" w:space="0" w:color="auto"/>
            </w:tcBorders>
          </w:tcPr>
          <w:p w:rsidR="00212513" w:rsidRDefault="00212513">
            <w:pPr>
              <w:pStyle w:val="ConsPlusNormal"/>
              <w:jc w:val="center"/>
            </w:pPr>
            <w:r>
              <w:t>0,11</w:t>
            </w:r>
          </w:p>
        </w:tc>
        <w:tc>
          <w:tcPr>
            <w:tcW w:w="957" w:type="dxa"/>
            <w:tcBorders>
              <w:top w:val="nil"/>
              <w:bottom w:val="single" w:sz="4" w:space="0" w:color="auto"/>
            </w:tcBorders>
          </w:tcPr>
          <w:p w:rsidR="00212513" w:rsidRDefault="00212513">
            <w:pPr>
              <w:pStyle w:val="ConsPlusNormal"/>
              <w:jc w:val="center"/>
            </w:pPr>
            <w:r>
              <w:t>0,10</w:t>
            </w:r>
          </w:p>
        </w:tc>
        <w:tc>
          <w:tcPr>
            <w:tcW w:w="957" w:type="dxa"/>
            <w:tcBorders>
              <w:top w:val="nil"/>
              <w:bottom w:val="single" w:sz="4" w:space="0" w:color="auto"/>
            </w:tcBorders>
          </w:tcPr>
          <w:p w:rsidR="00212513" w:rsidRDefault="00212513">
            <w:pPr>
              <w:pStyle w:val="ConsPlusNormal"/>
              <w:jc w:val="center"/>
            </w:pPr>
            <w:r>
              <w:t>0,10</w:t>
            </w:r>
          </w:p>
        </w:tc>
        <w:tc>
          <w:tcPr>
            <w:tcW w:w="957" w:type="dxa"/>
            <w:tcBorders>
              <w:top w:val="nil"/>
              <w:bottom w:val="single" w:sz="4" w:space="0" w:color="auto"/>
            </w:tcBorders>
          </w:tcPr>
          <w:p w:rsidR="00212513" w:rsidRDefault="00212513">
            <w:pPr>
              <w:pStyle w:val="ConsPlusNormal"/>
              <w:jc w:val="center"/>
            </w:pPr>
            <w:r>
              <w:t>0,09</w:t>
            </w:r>
          </w:p>
        </w:tc>
        <w:tc>
          <w:tcPr>
            <w:tcW w:w="957" w:type="dxa"/>
            <w:tcBorders>
              <w:top w:val="nil"/>
              <w:bottom w:val="single" w:sz="4" w:space="0" w:color="auto"/>
            </w:tcBorders>
          </w:tcPr>
          <w:p w:rsidR="00212513" w:rsidRDefault="00212513">
            <w:pPr>
              <w:pStyle w:val="ConsPlusNormal"/>
              <w:jc w:val="center"/>
            </w:pPr>
            <w:r>
              <w:t>0,09</w:t>
            </w:r>
          </w:p>
        </w:tc>
        <w:tc>
          <w:tcPr>
            <w:tcW w:w="957" w:type="dxa"/>
            <w:tcBorders>
              <w:top w:val="nil"/>
              <w:bottom w:val="single" w:sz="4" w:space="0" w:color="auto"/>
            </w:tcBorders>
          </w:tcPr>
          <w:p w:rsidR="00212513" w:rsidRDefault="00212513">
            <w:pPr>
              <w:pStyle w:val="ConsPlusNormal"/>
              <w:jc w:val="center"/>
            </w:pPr>
            <w:r>
              <w:t>0,09</w:t>
            </w:r>
          </w:p>
        </w:tc>
        <w:tc>
          <w:tcPr>
            <w:tcW w:w="957" w:type="dxa"/>
            <w:tcBorders>
              <w:top w:val="nil"/>
              <w:bottom w:val="single" w:sz="4" w:space="0" w:color="auto"/>
            </w:tcBorders>
          </w:tcPr>
          <w:p w:rsidR="00212513" w:rsidRDefault="00212513">
            <w:pPr>
              <w:pStyle w:val="ConsPlusNormal"/>
              <w:jc w:val="center"/>
            </w:pPr>
            <w:r>
              <w:t>0,08</w:t>
            </w:r>
          </w:p>
        </w:tc>
        <w:tc>
          <w:tcPr>
            <w:tcW w:w="957" w:type="dxa"/>
            <w:tcBorders>
              <w:top w:val="nil"/>
              <w:bottom w:val="single" w:sz="4" w:space="0" w:color="auto"/>
            </w:tcBorders>
          </w:tcPr>
          <w:p w:rsidR="00212513" w:rsidRDefault="00212513">
            <w:pPr>
              <w:pStyle w:val="ConsPlusNormal"/>
              <w:jc w:val="center"/>
            </w:pPr>
            <w:r>
              <w:t>0,08</w:t>
            </w:r>
          </w:p>
        </w:tc>
        <w:tc>
          <w:tcPr>
            <w:tcW w:w="968" w:type="dxa"/>
            <w:tcBorders>
              <w:top w:val="nil"/>
              <w:bottom w:val="single" w:sz="4" w:space="0" w:color="auto"/>
            </w:tcBorders>
          </w:tcPr>
          <w:p w:rsidR="00212513" w:rsidRDefault="00212513">
            <w:pPr>
              <w:pStyle w:val="ConsPlusNormal"/>
              <w:jc w:val="center"/>
            </w:pPr>
            <w:r>
              <w:t>0,08</w:t>
            </w:r>
          </w:p>
        </w:tc>
      </w:tr>
      <w:tr w:rsidR="00212513">
        <w:tc>
          <w:tcPr>
            <w:tcW w:w="13586" w:type="dxa"/>
            <w:gridSpan w:val="14"/>
            <w:tcBorders>
              <w:top w:val="single" w:sz="4" w:space="0" w:color="auto"/>
              <w:bottom w:val="single" w:sz="4" w:space="0" w:color="auto"/>
            </w:tcBorders>
          </w:tcPr>
          <w:p w:rsidR="00212513" w:rsidRDefault="00212513">
            <w:pPr>
              <w:pStyle w:val="ConsPlusNormal"/>
              <w:ind w:firstLine="283"/>
              <w:jc w:val="both"/>
            </w:pPr>
            <w:r>
              <w:t xml:space="preserve">Примечание - См. </w:t>
            </w:r>
            <w:hyperlink w:anchor="P15092">
              <w:r>
                <w:rPr>
                  <w:color w:val="0000FF"/>
                </w:rPr>
                <w:t>примечание к таблице Ф.1</w:t>
              </w:r>
            </w:hyperlink>
            <w:r>
              <w:t>.</w:t>
            </w:r>
          </w:p>
        </w:tc>
      </w:tr>
    </w:tbl>
    <w:p w:rsidR="00212513" w:rsidRDefault="00212513">
      <w:pPr>
        <w:pStyle w:val="ConsPlusNormal"/>
        <w:jc w:val="both"/>
      </w:pPr>
    </w:p>
    <w:p w:rsidR="00212513" w:rsidRDefault="00212513">
      <w:pPr>
        <w:pStyle w:val="ConsPlusNormal"/>
        <w:jc w:val="both"/>
      </w:pPr>
      <w:r>
        <w:t xml:space="preserve">(в ред. </w:t>
      </w:r>
      <w:hyperlink r:id="rId3468">
        <w:r>
          <w:rPr>
            <w:color w:val="0000FF"/>
          </w:rPr>
          <w:t>Изменения N 4</w:t>
        </w:r>
      </w:hyperlink>
      <w:r>
        <w:t>, утв. Приказом Минстроя России от 30.05.2024 N 361/пр)</w:t>
      </w:r>
    </w:p>
    <w:p w:rsidR="00212513" w:rsidRDefault="00212513">
      <w:pPr>
        <w:pStyle w:val="ConsPlusNormal"/>
        <w:ind w:firstLine="540"/>
        <w:jc w:val="both"/>
      </w:pPr>
    </w:p>
    <w:p w:rsidR="00212513" w:rsidRDefault="00212513">
      <w:pPr>
        <w:pStyle w:val="ConsPlusNormal"/>
        <w:jc w:val="right"/>
      </w:pPr>
      <w:bookmarkStart w:id="522" w:name="P15409"/>
      <w:bookmarkEnd w:id="522"/>
      <w:r>
        <w:t>Таблица Ф.3</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957"/>
        <w:gridCol w:w="957"/>
        <w:gridCol w:w="957"/>
        <w:gridCol w:w="957"/>
        <w:gridCol w:w="957"/>
        <w:gridCol w:w="957"/>
        <w:gridCol w:w="957"/>
        <w:gridCol w:w="957"/>
        <w:gridCol w:w="957"/>
        <w:gridCol w:w="957"/>
        <w:gridCol w:w="957"/>
        <w:gridCol w:w="957"/>
        <w:gridCol w:w="968"/>
      </w:tblGrid>
      <w:tr w:rsidR="00212513">
        <w:tc>
          <w:tcPr>
            <w:tcW w:w="1134" w:type="dxa"/>
            <w:vMerge w:val="restart"/>
            <w:tcBorders>
              <w:top w:val="single" w:sz="4" w:space="0" w:color="auto"/>
              <w:bottom w:val="single" w:sz="4" w:space="0" w:color="auto"/>
            </w:tcBorders>
            <w:vAlign w:val="center"/>
          </w:tcPr>
          <w:p w:rsidR="00212513" w:rsidRDefault="00212513">
            <w:pPr>
              <w:pStyle w:val="ConsPlusNormal"/>
              <w:jc w:val="center"/>
            </w:pPr>
            <w:r>
              <w:t xml:space="preserve">Гибкость </w:t>
            </w:r>
            <w:r>
              <w:rPr>
                <w:noProof/>
                <w:position w:val="-4"/>
              </w:rPr>
              <w:drawing>
                <wp:inline distT="0" distB="0" distL="0" distR="0">
                  <wp:extent cx="157480" cy="199390"/>
                  <wp:effectExtent l="0" t="0" r="0" b="0"/>
                  <wp:docPr id="2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1"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r>
              <w:t xml:space="preserve">, </w:t>
            </w:r>
            <w:r>
              <w:rPr>
                <w:noProof/>
                <w:position w:val="-8"/>
              </w:rPr>
              <w:drawing>
                <wp:inline distT="0" distB="0" distL="0" distR="0">
                  <wp:extent cx="199390" cy="251460"/>
                  <wp:effectExtent l="0" t="0" r="0" b="0"/>
                  <wp:docPr id="2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2"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w:t>
            </w:r>
            <w:r>
              <w:rPr>
                <w:noProof/>
                <w:position w:val="-9"/>
              </w:rPr>
              <w:drawing>
                <wp:inline distT="0" distB="0" distL="0" distR="0">
                  <wp:extent cx="199390" cy="262255"/>
                  <wp:effectExtent l="0" t="0" r="0" b="0"/>
                  <wp:docPr id="2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w:t>
            </w:r>
            <w:r>
              <w:rPr>
                <w:noProof/>
                <w:position w:val="-9"/>
              </w:rPr>
              <w:drawing>
                <wp:inline distT="0" distB="0" distL="0" distR="0">
                  <wp:extent cx="241300" cy="262255"/>
                  <wp:effectExtent l="0" t="0" r="0" b="0"/>
                  <wp:docPr id="2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4" cstate="print">
                            <a:extLst>
                              <a:ext uri="{28A0092B-C50C-407E-A947-70E740481C1C}">
                                <a14:useLocalDpi xmlns:a14="http://schemas.microsoft.com/office/drawing/2010/main" val="0"/>
                              </a:ext>
                            </a:extLst>
                          </a:blip>
                          <a:srcRect/>
                          <a:stretch>
                            <a:fillRect/>
                          </a:stretch>
                        </pic:blipFill>
                        <pic:spPr bwMode="auto">
                          <a:xfrm>
                            <a:off x="0" y="0"/>
                            <a:ext cx="241300" cy="262255"/>
                          </a:xfrm>
                          <a:prstGeom prst="rect">
                            <a:avLst/>
                          </a:prstGeom>
                          <a:noFill/>
                          <a:ln>
                            <a:noFill/>
                          </a:ln>
                        </pic:spPr>
                      </pic:pic>
                    </a:graphicData>
                  </a:graphic>
                </wp:inline>
              </w:drawing>
            </w:r>
          </w:p>
        </w:tc>
        <w:tc>
          <w:tcPr>
            <w:tcW w:w="12452" w:type="dxa"/>
            <w:gridSpan w:val="13"/>
            <w:tcBorders>
              <w:top w:val="single" w:sz="4" w:space="0" w:color="auto"/>
              <w:bottom w:val="single" w:sz="4" w:space="0" w:color="auto"/>
            </w:tcBorders>
            <w:vAlign w:val="center"/>
          </w:tcPr>
          <w:p w:rsidR="00212513" w:rsidRDefault="00212513">
            <w:pPr>
              <w:pStyle w:val="ConsPlusNormal"/>
              <w:jc w:val="center"/>
            </w:pPr>
            <w:r>
              <w:t xml:space="preserve">Коэффициенты </w:t>
            </w:r>
            <w:r>
              <w:rPr>
                <w:noProof/>
                <w:position w:val="-3"/>
              </w:rPr>
              <w:drawing>
                <wp:inline distT="0" distB="0" distL="0" distR="0">
                  <wp:extent cx="157480" cy="178435"/>
                  <wp:effectExtent l="0" t="0" r="0" b="0"/>
                  <wp:docPr id="2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5" cstate="print">
                            <a:extLst>
                              <a:ext uri="{28A0092B-C50C-407E-A947-70E740481C1C}">
                                <a14:useLocalDpi xmlns:a14="http://schemas.microsoft.com/office/drawing/2010/main" val="0"/>
                              </a:ext>
                            </a:extLst>
                          </a:blip>
                          <a:srcRect/>
                          <a:stretch>
                            <a:fillRect/>
                          </a:stretch>
                        </pic:blipFill>
                        <pic:spPr bwMode="auto">
                          <a:xfrm>
                            <a:off x="0" y="0"/>
                            <a:ext cx="157480" cy="178435"/>
                          </a:xfrm>
                          <a:prstGeom prst="rect">
                            <a:avLst/>
                          </a:prstGeom>
                          <a:noFill/>
                          <a:ln>
                            <a:noFill/>
                          </a:ln>
                        </pic:spPr>
                      </pic:pic>
                    </a:graphicData>
                  </a:graphic>
                </wp:inline>
              </w:drawing>
            </w:r>
            <w:r>
              <w:t xml:space="preserve">, </w:t>
            </w:r>
            <w:r>
              <w:rPr>
                <w:noProof/>
                <w:position w:val="-8"/>
              </w:rPr>
              <w:drawing>
                <wp:inline distT="0" distB="0" distL="0" distR="0">
                  <wp:extent cx="199390" cy="251460"/>
                  <wp:effectExtent l="0" t="0" r="0" b="0"/>
                  <wp:docPr id="2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6"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w:t>
            </w:r>
            <w:r>
              <w:rPr>
                <w:noProof/>
                <w:position w:val="-8"/>
              </w:rPr>
              <w:drawing>
                <wp:inline distT="0" distB="0" distL="0" distR="0">
                  <wp:extent cx="199390" cy="251460"/>
                  <wp:effectExtent l="0" t="0" r="0" b="0"/>
                  <wp:docPr id="2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7"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для расчета по устойчивости стержней и балок из стали с классами прочности С390 по </w:t>
            </w:r>
            <w:hyperlink r:id="rId3469">
              <w:r>
                <w:rPr>
                  <w:color w:val="0000FF"/>
                </w:rPr>
                <w:t>ГОСТ 6713</w:t>
              </w:r>
            </w:hyperlink>
            <w:r>
              <w:t xml:space="preserve"> и </w:t>
            </w:r>
            <w:hyperlink r:id="rId3470">
              <w:r>
                <w:rPr>
                  <w:color w:val="0000FF"/>
                </w:rPr>
                <w:t>ГОСТ Р 55374</w:t>
              </w:r>
            </w:hyperlink>
            <w:r>
              <w:t xml:space="preserve"> при приведенном относительном эксцентриситете </w:t>
            </w:r>
            <w:r>
              <w:rPr>
                <w:noProof/>
                <w:position w:val="-9"/>
              </w:rPr>
              <w:drawing>
                <wp:inline distT="0" distB="0" distL="0" distR="0">
                  <wp:extent cx="209550" cy="262255"/>
                  <wp:effectExtent l="0" t="0" r="0" b="0"/>
                  <wp:docPr id="2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1" cstate="print">
                            <a:extLst>
                              <a:ext uri="{28A0092B-C50C-407E-A947-70E740481C1C}">
                                <a14:useLocalDpi xmlns:a14="http://schemas.microsoft.com/office/drawing/2010/main" val="0"/>
                              </a:ext>
                            </a:extLst>
                          </a:blip>
                          <a:srcRect/>
                          <a:stretch>
                            <a:fillRect/>
                          </a:stretch>
                        </pic:blipFill>
                        <pic:spPr bwMode="auto">
                          <a:xfrm>
                            <a:off x="0" y="0"/>
                            <a:ext cx="209550" cy="262255"/>
                          </a:xfrm>
                          <a:prstGeom prst="rect">
                            <a:avLst/>
                          </a:prstGeom>
                          <a:noFill/>
                          <a:ln>
                            <a:noFill/>
                          </a:ln>
                        </pic:spPr>
                      </pic:pic>
                    </a:graphicData>
                  </a:graphic>
                </wp:inline>
              </w:drawing>
            </w:r>
          </w:p>
        </w:tc>
      </w:tr>
      <w:tr w:rsidR="00212513">
        <w:tc>
          <w:tcPr>
            <w:tcW w:w="1134" w:type="dxa"/>
            <w:vMerge/>
            <w:tcBorders>
              <w:top w:val="single" w:sz="4" w:space="0" w:color="auto"/>
              <w:bottom w:val="single" w:sz="4" w:space="0" w:color="auto"/>
            </w:tcBorders>
          </w:tcPr>
          <w:p w:rsidR="00212513" w:rsidRDefault="00212513">
            <w:pPr>
              <w:pStyle w:val="ConsPlusNormal"/>
            </w:pPr>
          </w:p>
        </w:tc>
        <w:tc>
          <w:tcPr>
            <w:tcW w:w="957" w:type="dxa"/>
            <w:tcBorders>
              <w:top w:val="single" w:sz="4" w:space="0" w:color="auto"/>
              <w:bottom w:val="single" w:sz="4" w:space="0" w:color="auto"/>
            </w:tcBorders>
            <w:vAlign w:val="center"/>
          </w:tcPr>
          <w:p w:rsidR="00212513" w:rsidRDefault="00212513">
            <w:pPr>
              <w:pStyle w:val="ConsPlusNormal"/>
              <w:jc w:val="center"/>
            </w:pPr>
            <w:r>
              <w:t>0</w:t>
            </w:r>
          </w:p>
        </w:tc>
        <w:tc>
          <w:tcPr>
            <w:tcW w:w="957" w:type="dxa"/>
            <w:tcBorders>
              <w:top w:val="single" w:sz="4" w:space="0" w:color="auto"/>
              <w:bottom w:val="single" w:sz="4" w:space="0" w:color="auto"/>
            </w:tcBorders>
            <w:vAlign w:val="center"/>
          </w:tcPr>
          <w:p w:rsidR="00212513" w:rsidRDefault="00212513">
            <w:pPr>
              <w:pStyle w:val="ConsPlusNormal"/>
              <w:jc w:val="center"/>
            </w:pPr>
            <w:r>
              <w:t>0,10</w:t>
            </w:r>
          </w:p>
        </w:tc>
        <w:tc>
          <w:tcPr>
            <w:tcW w:w="957" w:type="dxa"/>
            <w:tcBorders>
              <w:top w:val="single" w:sz="4" w:space="0" w:color="auto"/>
              <w:bottom w:val="single" w:sz="4" w:space="0" w:color="auto"/>
            </w:tcBorders>
            <w:vAlign w:val="center"/>
          </w:tcPr>
          <w:p w:rsidR="00212513" w:rsidRDefault="00212513">
            <w:pPr>
              <w:pStyle w:val="ConsPlusNormal"/>
              <w:jc w:val="center"/>
            </w:pPr>
            <w:r>
              <w:t>0,25</w:t>
            </w:r>
          </w:p>
        </w:tc>
        <w:tc>
          <w:tcPr>
            <w:tcW w:w="957" w:type="dxa"/>
            <w:tcBorders>
              <w:top w:val="single" w:sz="4" w:space="0" w:color="auto"/>
              <w:bottom w:val="single" w:sz="4" w:space="0" w:color="auto"/>
            </w:tcBorders>
            <w:vAlign w:val="center"/>
          </w:tcPr>
          <w:p w:rsidR="00212513" w:rsidRDefault="00212513">
            <w:pPr>
              <w:pStyle w:val="ConsPlusNormal"/>
              <w:jc w:val="center"/>
            </w:pPr>
            <w:r>
              <w:t>0,50</w:t>
            </w:r>
          </w:p>
        </w:tc>
        <w:tc>
          <w:tcPr>
            <w:tcW w:w="957" w:type="dxa"/>
            <w:tcBorders>
              <w:top w:val="single" w:sz="4" w:space="0" w:color="auto"/>
              <w:bottom w:val="single" w:sz="4" w:space="0" w:color="auto"/>
            </w:tcBorders>
            <w:vAlign w:val="center"/>
          </w:tcPr>
          <w:p w:rsidR="00212513" w:rsidRDefault="00212513">
            <w:pPr>
              <w:pStyle w:val="ConsPlusNormal"/>
              <w:jc w:val="center"/>
            </w:pPr>
            <w:r>
              <w:t>0,75</w:t>
            </w:r>
          </w:p>
        </w:tc>
        <w:tc>
          <w:tcPr>
            <w:tcW w:w="957" w:type="dxa"/>
            <w:tcBorders>
              <w:top w:val="single" w:sz="4" w:space="0" w:color="auto"/>
              <w:bottom w:val="single" w:sz="4" w:space="0" w:color="auto"/>
            </w:tcBorders>
            <w:vAlign w:val="center"/>
          </w:tcPr>
          <w:p w:rsidR="00212513" w:rsidRDefault="00212513">
            <w:pPr>
              <w:pStyle w:val="ConsPlusNormal"/>
              <w:jc w:val="center"/>
            </w:pPr>
            <w:r>
              <w:t>1,00</w:t>
            </w:r>
          </w:p>
        </w:tc>
        <w:tc>
          <w:tcPr>
            <w:tcW w:w="957" w:type="dxa"/>
            <w:tcBorders>
              <w:top w:val="single" w:sz="4" w:space="0" w:color="auto"/>
              <w:bottom w:val="single" w:sz="4" w:space="0" w:color="auto"/>
            </w:tcBorders>
            <w:vAlign w:val="center"/>
          </w:tcPr>
          <w:p w:rsidR="00212513" w:rsidRDefault="00212513">
            <w:pPr>
              <w:pStyle w:val="ConsPlusNormal"/>
              <w:jc w:val="center"/>
            </w:pPr>
            <w:r>
              <w:t>1,50</w:t>
            </w:r>
          </w:p>
        </w:tc>
        <w:tc>
          <w:tcPr>
            <w:tcW w:w="957" w:type="dxa"/>
            <w:tcBorders>
              <w:top w:val="single" w:sz="4" w:space="0" w:color="auto"/>
              <w:bottom w:val="single" w:sz="4" w:space="0" w:color="auto"/>
            </w:tcBorders>
            <w:vAlign w:val="center"/>
          </w:tcPr>
          <w:p w:rsidR="00212513" w:rsidRDefault="00212513">
            <w:pPr>
              <w:pStyle w:val="ConsPlusNormal"/>
              <w:jc w:val="center"/>
            </w:pPr>
            <w:r>
              <w:t>2,00</w:t>
            </w:r>
          </w:p>
        </w:tc>
        <w:tc>
          <w:tcPr>
            <w:tcW w:w="957" w:type="dxa"/>
            <w:tcBorders>
              <w:top w:val="single" w:sz="4" w:space="0" w:color="auto"/>
              <w:bottom w:val="single" w:sz="4" w:space="0" w:color="auto"/>
            </w:tcBorders>
            <w:vAlign w:val="center"/>
          </w:tcPr>
          <w:p w:rsidR="00212513" w:rsidRDefault="00212513">
            <w:pPr>
              <w:pStyle w:val="ConsPlusNormal"/>
              <w:jc w:val="center"/>
            </w:pPr>
            <w:r>
              <w:t>2,50</w:t>
            </w:r>
          </w:p>
        </w:tc>
        <w:tc>
          <w:tcPr>
            <w:tcW w:w="957" w:type="dxa"/>
            <w:tcBorders>
              <w:top w:val="single" w:sz="4" w:space="0" w:color="auto"/>
              <w:bottom w:val="single" w:sz="4" w:space="0" w:color="auto"/>
            </w:tcBorders>
            <w:vAlign w:val="center"/>
          </w:tcPr>
          <w:p w:rsidR="00212513" w:rsidRDefault="00212513">
            <w:pPr>
              <w:pStyle w:val="ConsPlusNormal"/>
              <w:jc w:val="center"/>
            </w:pPr>
            <w:r>
              <w:t>3,00</w:t>
            </w:r>
          </w:p>
        </w:tc>
        <w:tc>
          <w:tcPr>
            <w:tcW w:w="957" w:type="dxa"/>
            <w:tcBorders>
              <w:top w:val="single" w:sz="4" w:space="0" w:color="auto"/>
              <w:bottom w:val="single" w:sz="4" w:space="0" w:color="auto"/>
            </w:tcBorders>
            <w:vAlign w:val="center"/>
          </w:tcPr>
          <w:p w:rsidR="00212513" w:rsidRDefault="00212513">
            <w:pPr>
              <w:pStyle w:val="ConsPlusNormal"/>
              <w:jc w:val="center"/>
            </w:pPr>
            <w:r>
              <w:t>3,50</w:t>
            </w:r>
          </w:p>
        </w:tc>
        <w:tc>
          <w:tcPr>
            <w:tcW w:w="957" w:type="dxa"/>
            <w:tcBorders>
              <w:top w:val="single" w:sz="4" w:space="0" w:color="auto"/>
              <w:bottom w:val="single" w:sz="4" w:space="0" w:color="auto"/>
            </w:tcBorders>
            <w:vAlign w:val="center"/>
          </w:tcPr>
          <w:p w:rsidR="00212513" w:rsidRDefault="00212513">
            <w:pPr>
              <w:pStyle w:val="ConsPlusNormal"/>
              <w:jc w:val="center"/>
            </w:pPr>
            <w:r>
              <w:t>4,00</w:t>
            </w:r>
          </w:p>
        </w:tc>
        <w:tc>
          <w:tcPr>
            <w:tcW w:w="968" w:type="dxa"/>
            <w:tcBorders>
              <w:top w:val="single" w:sz="4" w:space="0" w:color="auto"/>
              <w:bottom w:val="single" w:sz="4" w:space="0" w:color="auto"/>
            </w:tcBorders>
            <w:vAlign w:val="center"/>
          </w:tcPr>
          <w:p w:rsidR="00212513" w:rsidRDefault="00212513">
            <w:pPr>
              <w:pStyle w:val="ConsPlusNormal"/>
              <w:jc w:val="center"/>
            </w:pPr>
            <w:r>
              <w:t>5,00</w:t>
            </w:r>
          </w:p>
        </w:tc>
      </w:tr>
      <w:tr w:rsidR="00212513">
        <w:tblPrEx>
          <w:tblBorders>
            <w:insideH w:val="none" w:sz="0" w:space="0" w:color="auto"/>
          </w:tblBorders>
        </w:tblPrEx>
        <w:tc>
          <w:tcPr>
            <w:tcW w:w="1134" w:type="dxa"/>
            <w:tcBorders>
              <w:top w:val="single" w:sz="4" w:space="0" w:color="auto"/>
              <w:bottom w:val="nil"/>
            </w:tcBorders>
          </w:tcPr>
          <w:p w:rsidR="00212513" w:rsidRDefault="00212513">
            <w:pPr>
              <w:pStyle w:val="ConsPlusNormal"/>
              <w:jc w:val="center"/>
            </w:pPr>
            <w:r>
              <w:lastRenderedPageBreak/>
              <w:t>0</w:t>
            </w:r>
          </w:p>
        </w:tc>
        <w:tc>
          <w:tcPr>
            <w:tcW w:w="957" w:type="dxa"/>
            <w:tcBorders>
              <w:top w:val="single" w:sz="4" w:space="0" w:color="auto"/>
              <w:bottom w:val="nil"/>
            </w:tcBorders>
          </w:tcPr>
          <w:p w:rsidR="00212513" w:rsidRDefault="00212513">
            <w:pPr>
              <w:pStyle w:val="ConsPlusNormal"/>
              <w:jc w:val="center"/>
            </w:pPr>
            <w:r>
              <w:t>0,93</w:t>
            </w:r>
          </w:p>
        </w:tc>
        <w:tc>
          <w:tcPr>
            <w:tcW w:w="957" w:type="dxa"/>
            <w:tcBorders>
              <w:top w:val="single" w:sz="4" w:space="0" w:color="auto"/>
              <w:bottom w:val="nil"/>
            </w:tcBorders>
          </w:tcPr>
          <w:p w:rsidR="00212513" w:rsidRDefault="00212513">
            <w:pPr>
              <w:pStyle w:val="ConsPlusNormal"/>
              <w:jc w:val="center"/>
            </w:pPr>
            <w:r>
              <w:t>0,86</w:t>
            </w:r>
          </w:p>
        </w:tc>
        <w:tc>
          <w:tcPr>
            <w:tcW w:w="957" w:type="dxa"/>
            <w:tcBorders>
              <w:top w:val="single" w:sz="4" w:space="0" w:color="auto"/>
              <w:bottom w:val="nil"/>
            </w:tcBorders>
          </w:tcPr>
          <w:p w:rsidR="00212513" w:rsidRDefault="00212513">
            <w:pPr>
              <w:pStyle w:val="ConsPlusNormal"/>
              <w:jc w:val="center"/>
            </w:pPr>
            <w:r>
              <w:t>0,78</w:t>
            </w:r>
          </w:p>
        </w:tc>
        <w:tc>
          <w:tcPr>
            <w:tcW w:w="957" w:type="dxa"/>
            <w:tcBorders>
              <w:top w:val="single" w:sz="4" w:space="0" w:color="auto"/>
              <w:bottom w:val="nil"/>
            </w:tcBorders>
          </w:tcPr>
          <w:p w:rsidR="00212513" w:rsidRDefault="00212513">
            <w:pPr>
              <w:pStyle w:val="ConsPlusNormal"/>
              <w:jc w:val="center"/>
            </w:pPr>
            <w:r>
              <w:t>0,70</w:t>
            </w:r>
          </w:p>
        </w:tc>
        <w:tc>
          <w:tcPr>
            <w:tcW w:w="957" w:type="dxa"/>
            <w:tcBorders>
              <w:top w:val="single" w:sz="4" w:space="0" w:color="auto"/>
              <w:bottom w:val="nil"/>
            </w:tcBorders>
          </w:tcPr>
          <w:p w:rsidR="00212513" w:rsidRDefault="00212513">
            <w:pPr>
              <w:pStyle w:val="ConsPlusNormal"/>
              <w:jc w:val="center"/>
            </w:pPr>
            <w:r>
              <w:t>0,63</w:t>
            </w:r>
          </w:p>
        </w:tc>
        <w:tc>
          <w:tcPr>
            <w:tcW w:w="957" w:type="dxa"/>
            <w:tcBorders>
              <w:top w:val="single" w:sz="4" w:space="0" w:color="auto"/>
              <w:bottom w:val="nil"/>
            </w:tcBorders>
          </w:tcPr>
          <w:p w:rsidR="00212513" w:rsidRDefault="00212513">
            <w:pPr>
              <w:pStyle w:val="ConsPlusNormal"/>
              <w:jc w:val="center"/>
            </w:pPr>
            <w:r>
              <w:t>0,55</w:t>
            </w:r>
          </w:p>
        </w:tc>
        <w:tc>
          <w:tcPr>
            <w:tcW w:w="957" w:type="dxa"/>
            <w:tcBorders>
              <w:top w:val="single" w:sz="4" w:space="0" w:color="auto"/>
              <w:bottom w:val="nil"/>
            </w:tcBorders>
          </w:tcPr>
          <w:p w:rsidR="00212513" w:rsidRDefault="00212513">
            <w:pPr>
              <w:pStyle w:val="ConsPlusNormal"/>
              <w:jc w:val="center"/>
            </w:pPr>
            <w:r>
              <w:t>0,45</w:t>
            </w:r>
          </w:p>
        </w:tc>
        <w:tc>
          <w:tcPr>
            <w:tcW w:w="957" w:type="dxa"/>
            <w:tcBorders>
              <w:top w:val="single" w:sz="4" w:space="0" w:color="auto"/>
              <w:bottom w:val="nil"/>
            </w:tcBorders>
          </w:tcPr>
          <w:p w:rsidR="00212513" w:rsidRDefault="00212513">
            <w:pPr>
              <w:pStyle w:val="ConsPlusNormal"/>
              <w:jc w:val="center"/>
            </w:pPr>
            <w:r>
              <w:t>0,35</w:t>
            </w:r>
          </w:p>
        </w:tc>
        <w:tc>
          <w:tcPr>
            <w:tcW w:w="957" w:type="dxa"/>
            <w:tcBorders>
              <w:top w:val="single" w:sz="4" w:space="0" w:color="auto"/>
              <w:bottom w:val="nil"/>
            </w:tcBorders>
          </w:tcPr>
          <w:p w:rsidR="00212513" w:rsidRDefault="00212513">
            <w:pPr>
              <w:pStyle w:val="ConsPlusNormal"/>
              <w:jc w:val="center"/>
            </w:pPr>
            <w:r>
              <w:t>0,29</w:t>
            </w:r>
          </w:p>
        </w:tc>
        <w:tc>
          <w:tcPr>
            <w:tcW w:w="957" w:type="dxa"/>
            <w:tcBorders>
              <w:top w:val="single" w:sz="4" w:space="0" w:color="auto"/>
              <w:bottom w:val="nil"/>
            </w:tcBorders>
          </w:tcPr>
          <w:p w:rsidR="00212513" w:rsidRDefault="00212513">
            <w:pPr>
              <w:pStyle w:val="ConsPlusNormal"/>
              <w:jc w:val="center"/>
            </w:pPr>
            <w:r>
              <w:t>0,25</w:t>
            </w:r>
          </w:p>
        </w:tc>
        <w:tc>
          <w:tcPr>
            <w:tcW w:w="957" w:type="dxa"/>
            <w:tcBorders>
              <w:top w:val="single" w:sz="4" w:space="0" w:color="auto"/>
              <w:bottom w:val="nil"/>
            </w:tcBorders>
          </w:tcPr>
          <w:p w:rsidR="00212513" w:rsidRDefault="00212513">
            <w:pPr>
              <w:pStyle w:val="ConsPlusNormal"/>
              <w:jc w:val="center"/>
            </w:pPr>
            <w:r>
              <w:t>0,23</w:t>
            </w:r>
          </w:p>
        </w:tc>
        <w:tc>
          <w:tcPr>
            <w:tcW w:w="957" w:type="dxa"/>
            <w:tcBorders>
              <w:top w:val="single" w:sz="4" w:space="0" w:color="auto"/>
              <w:bottom w:val="nil"/>
            </w:tcBorders>
          </w:tcPr>
          <w:p w:rsidR="00212513" w:rsidRDefault="00212513">
            <w:pPr>
              <w:pStyle w:val="ConsPlusNormal"/>
              <w:jc w:val="center"/>
            </w:pPr>
            <w:r>
              <w:t>0,21</w:t>
            </w:r>
          </w:p>
        </w:tc>
        <w:tc>
          <w:tcPr>
            <w:tcW w:w="968" w:type="dxa"/>
            <w:tcBorders>
              <w:top w:val="single" w:sz="4" w:space="0" w:color="auto"/>
              <w:bottom w:val="nil"/>
            </w:tcBorders>
          </w:tcPr>
          <w:p w:rsidR="00212513" w:rsidRDefault="00212513">
            <w:pPr>
              <w:pStyle w:val="ConsPlusNormal"/>
              <w:jc w:val="center"/>
            </w:pPr>
            <w:r>
              <w:t>0,18</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10</w:t>
            </w:r>
          </w:p>
        </w:tc>
        <w:tc>
          <w:tcPr>
            <w:tcW w:w="957" w:type="dxa"/>
            <w:tcBorders>
              <w:top w:val="nil"/>
              <w:bottom w:val="nil"/>
            </w:tcBorders>
          </w:tcPr>
          <w:p w:rsidR="00212513" w:rsidRDefault="00212513">
            <w:pPr>
              <w:pStyle w:val="ConsPlusNormal"/>
              <w:jc w:val="center"/>
            </w:pPr>
            <w:r>
              <w:t>0,92</w:t>
            </w:r>
          </w:p>
        </w:tc>
        <w:tc>
          <w:tcPr>
            <w:tcW w:w="957" w:type="dxa"/>
            <w:tcBorders>
              <w:top w:val="nil"/>
              <w:bottom w:val="nil"/>
            </w:tcBorders>
          </w:tcPr>
          <w:p w:rsidR="00212513" w:rsidRDefault="00212513">
            <w:pPr>
              <w:pStyle w:val="ConsPlusNormal"/>
              <w:jc w:val="center"/>
            </w:pPr>
            <w:r>
              <w:t>0,84</w:t>
            </w:r>
          </w:p>
        </w:tc>
        <w:tc>
          <w:tcPr>
            <w:tcW w:w="957" w:type="dxa"/>
            <w:tcBorders>
              <w:top w:val="nil"/>
              <w:bottom w:val="nil"/>
            </w:tcBorders>
          </w:tcPr>
          <w:p w:rsidR="00212513" w:rsidRDefault="00212513">
            <w:pPr>
              <w:pStyle w:val="ConsPlusNormal"/>
              <w:jc w:val="center"/>
            </w:pPr>
            <w:r>
              <w:t>0,77</w:t>
            </w:r>
          </w:p>
        </w:tc>
        <w:tc>
          <w:tcPr>
            <w:tcW w:w="957" w:type="dxa"/>
            <w:tcBorders>
              <w:top w:val="nil"/>
              <w:bottom w:val="nil"/>
            </w:tcBorders>
          </w:tcPr>
          <w:p w:rsidR="00212513" w:rsidRDefault="00212513">
            <w:pPr>
              <w:pStyle w:val="ConsPlusNormal"/>
              <w:jc w:val="center"/>
            </w:pPr>
            <w:r>
              <w:t>0,68</w:t>
            </w:r>
          </w:p>
        </w:tc>
        <w:tc>
          <w:tcPr>
            <w:tcW w:w="957" w:type="dxa"/>
            <w:tcBorders>
              <w:top w:val="nil"/>
              <w:bottom w:val="nil"/>
            </w:tcBorders>
          </w:tcPr>
          <w:p w:rsidR="00212513" w:rsidRDefault="00212513">
            <w:pPr>
              <w:pStyle w:val="ConsPlusNormal"/>
              <w:jc w:val="center"/>
            </w:pPr>
            <w:r>
              <w:t>0,60</w:t>
            </w:r>
          </w:p>
        </w:tc>
        <w:tc>
          <w:tcPr>
            <w:tcW w:w="957" w:type="dxa"/>
            <w:tcBorders>
              <w:top w:val="nil"/>
              <w:bottom w:val="nil"/>
            </w:tcBorders>
          </w:tcPr>
          <w:p w:rsidR="00212513" w:rsidRDefault="00212513">
            <w:pPr>
              <w:pStyle w:val="ConsPlusNormal"/>
              <w:jc w:val="center"/>
            </w:pPr>
            <w:r>
              <w:t>0,52</w:t>
            </w:r>
          </w:p>
        </w:tc>
        <w:tc>
          <w:tcPr>
            <w:tcW w:w="957" w:type="dxa"/>
            <w:tcBorders>
              <w:top w:val="nil"/>
              <w:bottom w:val="nil"/>
            </w:tcBorders>
          </w:tcPr>
          <w:p w:rsidR="00212513" w:rsidRDefault="00212513">
            <w:pPr>
              <w:pStyle w:val="ConsPlusNormal"/>
              <w:jc w:val="center"/>
            </w:pPr>
            <w:r>
              <w:t>0,43</w:t>
            </w:r>
          </w:p>
        </w:tc>
        <w:tc>
          <w:tcPr>
            <w:tcW w:w="957" w:type="dxa"/>
            <w:tcBorders>
              <w:top w:val="nil"/>
              <w:bottom w:val="nil"/>
            </w:tcBorders>
          </w:tcPr>
          <w:p w:rsidR="00212513" w:rsidRDefault="00212513">
            <w:pPr>
              <w:pStyle w:val="ConsPlusNormal"/>
              <w:jc w:val="center"/>
            </w:pPr>
            <w:r>
              <w:t>0,34</w:t>
            </w:r>
          </w:p>
        </w:tc>
        <w:tc>
          <w:tcPr>
            <w:tcW w:w="957" w:type="dxa"/>
            <w:tcBorders>
              <w:top w:val="nil"/>
              <w:bottom w:val="nil"/>
            </w:tcBorders>
          </w:tcPr>
          <w:p w:rsidR="00212513" w:rsidRDefault="00212513">
            <w:pPr>
              <w:pStyle w:val="ConsPlusNormal"/>
              <w:jc w:val="center"/>
            </w:pPr>
            <w:r>
              <w:t>0,28</w:t>
            </w:r>
          </w:p>
        </w:tc>
        <w:tc>
          <w:tcPr>
            <w:tcW w:w="957" w:type="dxa"/>
            <w:tcBorders>
              <w:top w:val="nil"/>
              <w:bottom w:val="nil"/>
            </w:tcBorders>
          </w:tcPr>
          <w:p w:rsidR="00212513" w:rsidRDefault="00212513">
            <w:pPr>
              <w:pStyle w:val="ConsPlusNormal"/>
              <w:jc w:val="center"/>
            </w:pPr>
            <w:r>
              <w:t>0,24</w:t>
            </w:r>
          </w:p>
        </w:tc>
        <w:tc>
          <w:tcPr>
            <w:tcW w:w="957" w:type="dxa"/>
            <w:tcBorders>
              <w:top w:val="nil"/>
              <w:bottom w:val="nil"/>
            </w:tcBorders>
          </w:tcPr>
          <w:p w:rsidR="00212513" w:rsidRDefault="00212513">
            <w:pPr>
              <w:pStyle w:val="ConsPlusNormal"/>
              <w:jc w:val="center"/>
            </w:pPr>
            <w:r>
              <w:t>0,22</w:t>
            </w:r>
          </w:p>
        </w:tc>
        <w:tc>
          <w:tcPr>
            <w:tcW w:w="957" w:type="dxa"/>
            <w:tcBorders>
              <w:top w:val="nil"/>
              <w:bottom w:val="nil"/>
            </w:tcBorders>
          </w:tcPr>
          <w:p w:rsidR="00212513" w:rsidRDefault="00212513">
            <w:pPr>
              <w:pStyle w:val="ConsPlusNormal"/>
              <w:jc w:val="center"/>
            </w:pPr>
            <w:r>
              <w:t>0,20</w:t>
            </w:r>
          </w:p>
        </w:tc>
        <w:tc>
          <w:tcPr>
            <w:tcW w:w="968" w:type="dxa"/>
            <w:tcBorders>
              <w:top w:val="nil"/>
              <w:bottom w:val="nil"/>
            </w:tcBorders>
          </w:tcPr>
          <w:p w:rsidR="00212513" w:rsidRDefault="00212513">
            <w:pPr>
              <w:pStyle w:val="ConsPlusNormal"/>
              <w:jc w:val="center"/>
            </w:pPr>
            <w:r>
              <w:t>0,17</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20</w:t>
            </w:r>
          </w:p>
        </w:tc>
        <w:tc>
          <w:tcPr>
            <w:tcW w:w="957" w:type="dxa"/>
            <w:tcBorders>
              <w:top w:val="nil"/>
              <w:bottom w:val="nil"/>
            </w:tcBorders>
          </w:tcPr>
          <w:p w:rsidR="00212513" w:rsidRDefault="00212513">
            <w:pPr>
              <w:pStyle w:val="ConsPlusNormal"/>
              <w:jc w:val="center"/>
            </w:pPr>
            <w:r>
              <w:t>0,90</w:t>
            </w:r>
          </w:p>
        </w:tc>
        <w:tc>
          <w:tcPr>
            <w:tcW w:w="957" w:type="dxa"/>
            <w:tcBorders>
              <w:top w:val="nil"/>
              <w:bottom w:val="nil"/>
            </w:tcBorders>
          </w:tcPr>
          <w:p w:rsidR="00212513" w:rsidRDefault="00212513">
            <w:pPr>
              <w:pStyle w:val="ConsPlusNormal"/>
              <w:jc w:val="center"/>
            </w:pPr>
            <w:r>
              <w:t>0,83</w:t>
            </w:r>
          </w:p>
        </w:tc>
        <w:tc>
          <w:tcPr>
            <w:tcW w:w="957" w:type="dxa"/>
            <w:tcBorders>
              <w:top w:val="nil"/>
              <w:bottom w:val="nil"/>
            </w:tcBorders>
          </w:tcPr>
          <w:p w:rsidR="00212513" w:rsidRDefault="00212513">
            <w:pPr>
              <w:pStyle w:val="ConsPlusNormal"/>
              <w:jc w:val="center"/>
            </w:pPr>
            <w:r>
              <w:t>0,76</w:t>
            </w:r>
          </w:p>
        </w:tc>
        <w:tc>
          <w:tcPr>
            <w:tcW w:w="957" w:type="dxa"/>
            <w:tcBorders>
              <w:top w:val="nil"/>
              <w:bottom w:val="nil"/>
            </w:tcBorders>
          </w:tcPr>
          <w:p w:rsidR="00212513" w:rsidRDefault="00212513">
            <w:pPr>
              <w:pStyle w:val="ConsPlusNormal"/>
              <w:jc w:val="center"/>
            </w:pPr>
            <w:r>
              <w:t>0,66</w:t>
            </w:r>
          </w:p>
        </w:tc>
        <w:tc>
          <w:tcPr>
            <w:tcW w:w="957" w:type="dxa"/>
            <w:tcBorders>
              <w:top w:val="nil"/>
              <w:bottom w:val="nil"/>
            </w:tcBorders>
          </w:tcPr>
          <w:p w:rsidR="00212513" w:rsidRDefault="00212513">
            <w:pPr>
              <w:pStyle w:val="ConsPlusNormal"/>
              <w:jc w:val="center"/>
            </w:pPr>
            <w:r>
              <w:t>0,58</w:t>
            </w:r>
          </w:p>
        </w:tc>
        <w:tc>
          <w:tcPr>
            <w:tcW w:w="957" w:type="dxa"/>
            <w:tcBorders>
              <w:top w:val="nil"/>
              <w:bottom w:val="nil"/>
            </w:tcBorders>
          </w:tcPr>
          <w:p w:rsidR="00212513" w:rsidRDefault="00212513">
            <w:pPr>
              <w:pStyle w:val="ConsPlusNormal"/>
              <w:jc w:val="center"/>
            </w:pPr>
            <w:r>
              <w:t>0,51</w:t>
            </w:r>
          </w:p>
        </w:tc>
        <w:tc>
          <w:tcPr>
            <w:tcW w:w="957" w:type="dxa"/>
            <w:tcBorders>
              <w:top w:val="nil"/>
              <w:bottom w:val="nil"/>
            </w:tcBorders>
          </w:tcPr>
          <w:p w:rsidR="00212513" w:rsidRDefault="00212513">
            <w:pPr>
              <w:pStyle w:val="ConsPlusNormal"/>
              <w:jc w:val="center"/>
            </w:pPr>
            <w:r>
              <w:t>0,41</w:t>
            </w:r>
          </w:p>
        </w:tc>
        <w:tc>
          <w:tcPr>
            <w:tcW w:w="957" w:type="dxa"/>
            <w:tcBorders>
              <w:top w:val="nil"/>
              <w:bottom w:val="nil"/>
            </w:tcBorders>
          </w:tcPr>
          <w:p w:rsidR="00212513" w:rsidRDefault="00212513">
            <w:pPr>
              <w:pStyle w:val="ConsPlusNormal"/>
              <w:jc w:val="center"/>
            </w:pPr>
            <w:r>
              <w:t>0,33</w:t>
            </w:r>
          </w:p>
        </w:tc>
        <w:tc>
          <w:tcPr>
            <w:tcW w:w="957" w:type="dxa"/>
            <w:tcBorders>
              <w:top w:val="nil"/>
              <w:bottom w:val="nil"/>
            </w:tcBorders>
          </w:tcPr>
          <w:p w:rsidR="00212513" w:rsidRDefault="00212513">
            <w:pPr>
              <w:pStyle w:val="ConsPlusNormal"/>
              <w:jc w:val="center"/>
            </w:pPr>
            <w:r>
              <w:t>0,28</w:t>
            </w:r>
          </w:p>
        </w:tc>
        <w:tc>
          <w:tcPr>
            <w:tcW w:w="957" w:type="dxa"/>
            <w:tcBorders>
              <w:top w:val="nil"/>
              <w:bottom w:val="nil"/>
            </w:tcBorders>
          </w:tcPr>
          <w:p w:rsidR="00212513" w:rsidRDefault="00212513">
            <w:pPr>
              <w:pStyle w:val="ConsPlusNormal"/>
              <w:jc w:val="center"/>
            </w:pPr>
            <w:r>
              <w:t>0,24</w:t>
            </w:r>
          </w:p>
        </w:tc>
        <w:tc>
          <w:tcPr>
            <w:tcW w:w="957" w:type="dxa"/>
            <w:tcBorders>
              <w:top w:val="nil"/>
              <w:bottom w:val="nil"/>
            </w:tcBorders>
          </w:tcPr>
          <w:p w:rsidR="00212513" w:rsidRDefault="00212513">
            <w:pPr>
              <w:pStyle w:val="ConsPlusNormal"/>
              <w:jc w:val="center"/>
            </w:pPr>
            <w:r>
              <w:t>0,22</w:t>
            </w:r>
          </w:p>
        </w:tc>
        <w:tc>
          <w:tcPr>
            <w:tcW w:w="957" w:type="dxa"/>
            <w:tcBorders>
              <w:top w:val="nil"/>
              <w:bottom w:val="nil"/>
            </w:tcBorders>
          </w:tcPr>
          <w:p w:rsidR="00212513" w:rsidRDefault="00212513">
            <w:pPr>
              <w:pStyle w:val="ConsPlusNormal"/>
              <w:jc w:val="center"/>
            </w:pPr>
            <w:r>
              <w:t>0,20</w:t>
            </w:r>
          </w:p>
        </w:tc>
        <w:tc>
          <w:tcPr>
            <w:tcW w:w="968" w:type="dxa"/>
            <w:tcBorders>
              <w:top w:val="nil"/>
              <w:bottom w:val="nil"/>
            </w:tcBorders>
          </w:tcPr>
          <w:p w:rsidR="00212513" w:rsidRDefault="00212513">
            <w:pPr>
              <w:pStyle w:val="ConsPlusNormal"/>
              <w:jc w:val="center"/>
            </w:pPr>
            <w:r>
              <w:t>0,17</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30</w:t>
            </w:r>
          </w:p>
        </w:tc>
        <w:tc>
          <w:tcPr>
            <w:tcW w:w="957" w:type="dxa"/>
            <w:tcBorders>
              <w:top w:val="nil"/>
              <w:bottom w:val="nil"/>
            </w:tcBorders>
          </w:tcPr>
          <w:p w:rsidR="00212513" w:rsidRDefault="00212513">
            <w:pPr>
              <w:pStyle w:val="ConsPlusNormal"/>
              <w:jc w:val="center"/>
            </w:pPr>
            <w:r>
              <w:t>0,88</w:t>
            </w:r>
          </w:p>
        </w:tc>
        <w:tc>
          <w:tcPr>
            <w:tcW w:w="957" w:type="dxa"/>
            <w:tcBorders>
              <w:top w:val="nil"/>
              <w:bottom w:val="nil"/>
            </w:tcBorders>
          </w:tcPr>
          <w:p w:rsidR="00212513" w:rsidRDefault="00212513">
            <w:pPr>
              <w:pStyle w:val="ConsPlusNormal"/>
              <w:jc w:val="center"/>
            </w:pPr>
            <w:r>
              <w:t>0,81</w:t>
            </w:r>
          </w:p>
        </w:tc>
        <w:tc>
          <w:tcPr>
            <w:tcW w:w="957" w:type="dxa"/>
            <w:tcBorders>
              <w:top w:val="nil"/>
              <w:bottom w:val="nil"/>
            </w:tcBorders>
          </w:tcPr>
          <w:p w:rsidR="00212513" w:rsidRDefault="00212513">
            <w:pPr>
              <w:pStyle w:val="ConsPlusNormal"/>
              <w:jc w:val="center"/>
            </w:pPr>
            <w:r>
              <w:t>0,73</w:t>
            </w:r>
          </w:p>
        </w:tc>
        <w:tc>
          <w:tcPr>
            <w:tcW w:w="957" w:type="dxa"/>
            <w:tcBorders>
              <w:top w:val="nil"/>
              <w:bottom w:val="nil"/>
            </w:tcBorders>
          </w:tcPr>
          <w:p w:rsidR="00212513" w:rsidRDefault="00212513">
            <w:pPr>
              <w:pStyle w:val="ConsPlusNormal"/>
              <w:jc w:val="center"/>
            </w:pPr>
            <w:r>
              <w:t>0,63</w:t>
            </w:r>
          </w:p>
        </w:tc>
        <w:tc>
          <w:tcPr>
            <w:tcW w:w="957" w:type="dxa"/>
            <w:tcBorders>
              <w:top w:val="nil"/>
              <w:bottom w:val="nil"/>
            </w:tcBorders>
          </w:tcPr>
          <w:p w:rsidR="00212513" w:rsidRDefault="00212513">
            <w:pPr>
              <w:pStyle w:val="ConsPlusNormal"/>
              <w:jc w:val="center"/>
            </w:pPr>
            <w:r>
              <w:t>0,55</w:t>
            </w:r>
          </w:p>
        </w:tc>
        <w:tc>
          <w:tcPr>
            <w:tcW w:w="957" w:type="dxa"/>
            <w:tcBorders>
              <w:top w:val="nil"/>
              <w:bottom w:val="nil"/>
            </w:tcBorders>
          </w:tcPr>
          <w:p w:rsidR="00212513" w:rsidRDefault="00212513">
            <w:pPr>
              <w:pStyle w:val="ConsPlusNormal"/>
              <w:jc w:val="center"/>
            </w:pPr>
            <w:r>
              <w:t>0,48</w:t>
            </w:r>
          </w:p>
        </w:tc>
        <w:tc>
          <w:tcPr>
            <w:tcW w:w="957" w:type="dxa"/>
            <w:tcBorders>
              <w:top w:val="nil"/>
              <w:bottom w:val="nil"/>
            </w:tcBorders>
          </w:tcPr>
          <w:p w:rsidR="00212513" w:rsidRDefault="00212513">
            <w:pPr>
              <w:pStyle w:val="ConsPlusNormal"/>
              <w:jc w:val="center"/>
            </w:pPr>
            <w:r>
              <w:t>0,39</w:t>
            </w:r>
          </w:p>
        </w:tc>
        <w:tc>
          <w:tcPr>
            <w:tcW w:w="957" w:type="dxa"/>
            <w:tcBorders>
              <w:top w:val="nil"/>
              <w:bottom w:val="nil"/>
            </w:tcBorders>
          </w:tcPr>
          <w:p w:rsidR="00212513" w:rsidRDefault="00212513">
            <w:pPr>
              <w:pStyle w:val="ConsPlusNormal"/>
              <w:jc w:val="center"/>
            </w:pPr>
            <w:r>
              <w:t>0,32</w:t>
            </w:r>
          </w:p>
        </w:tc>
        <w:tc>
          <w:tcPr>
            <w:tcW w:w="957" w:type="dxa"/>
            <w:tcBorders>
              <w:top w:val="nil"/>
              <w:bottom w:val="nil"/>
            </w:tcBorders>
          </w:tcPr>
          <w:p w:rsidR="00212513" w:rsidRDefault="00212513">
            <w:pPr>
              <w:pStyle w:val="ConsPlusNormal"/>
              <w:jc w:val="center"/>
            </w:pPr>
            <w:r>
              <w:t>0,27</w:t>
            </w:r>
          </w:p>
        </w:tc>
        <w:tc>
          <w:tcPr>
            <w:tcW w:w="957" w:type="dxa"/>
            <w:tcBorders>
              <w:top w:val="nil"/>
              <w:bottom w:val="nil"/>
            </w:tcBorders>
          </w:tcPr>
          <w:p w:rsidR="00212513" w:rsidRDefault="00212513">
            <w:pPr>
              <w:pStyle w:val="ConsPlusNormal"/>
              <w:jc w:val="center"/>
            </w:pPr>
            <w:r>
              <w:t>0,24</w:t>
            </w:r>
          </w:p>
        </w:tc>
        <w:tc>
          <w:tcPr>
            <w:tcW w:w="957" w:type="dxa"/>
            <w:tcBorders>
              <w:top w:val="nil"/>
              <w:bottom w:val="nil"/>
            </w:tcBorders>
          </w:tcPr>
          <w:p w:rsidR="00212513" w:rsidRDefault="00212513">
            <w:pPr>
              <w:pStyle w:val="ConsPlusNormal"/>
              <w:jc w:val="center"/>
            </w:pPr>
            <w:r>
              <w:t>0,21</w:t>
            </w:r>
          </w:p>
        </w:tc>
        <w:tc>
          <w:tcPr>
            <w:tcW w:w="957" w:type="dxa"/>
            <w:tcBorders>
              <w:top w:val="nil"/>
              <w:bottom w:val="nil"/>
            </w:tcBorders>
          </w:tcPr>
          <w:p w:rsidR="00212513" w:rsidRDefault="00212513">
            <w:pPr>
              <w:pStyle w:val="ConsPlusNormal"/>
              <w:jc w:val="center"/>
            </w:pPr>
            <w:r>
              <w:t>0,19</w:t>
            </w:r>
          </w:p>
        </w:tc>
        <w:tc>
          <w:tcPr>
            <w:tcW w:w="968" w:type="dxa"/>
            <w:tcBorders>
              <w:top w:val="nil"/>
              <w:bottom w:val="nil"/>
            </w:tcBorders>
          </w:tcPr>
          <w:p w:rsidR="00212513" w:rsidRDefault="00212513">
            <w:pPr>
              <w:pStyle w:val="ConsPlusNormal"/>
              <w:jc w:val="center"/>
            </w:pPr>
            <w:r>
              <w:t>0,16</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40</w:t>
            </w:r>
          </w:p>
        </w:tc>
        <w:tc>
          <w:tcPr>
            <w:tcW w:w="957" w:type="dxa"/>
            <w:tcBorders>
              <w:top w:val="nil"/>
              <w:bottom w:val="nil"/>
            </w:tcBorders>
          </w:tcPr>
          <w:p w:rsidR="00212513" w:rsidRDefault="00212513">
            <w:pPr>
              <w:pStyle w:val="ConsPlusNormal"/>
              <w:jc w:val="center"/>
            </w:pPr>
            <w:r>
              <w:t>0,84 (0,83)</w:t>
            </w:r>
          </w:p>
        </w:tc>
        <w:tc>
          <w:tcPr>
            <w:tcW w:w="957" w:type="dxa"/>
            <w:tcBorders>
              <w:top w:val="nil"/>
              <w:bottom w:val="nil"/>
            </w:tcBorders>
          </w:tcPr>
          <w:p w:rsidR="00212513" w:rsidRDefault="00212513">
            <w:pPr>
              <w:pStyle w:val="ConsPlusNormal"/>
              <w:jc w:val="center"/>
            </w:pPr>
            <w:r>
              <w:t>0,76 (0,75)</w:t>
            </w:r>
          </w:p>
        </w:tc>
        <w:tc>
          <w:tcPr>
            <w:tcW w:w="957" w:type="dxa"/>
            <w:tcBorders>
              <w:top w:val="nil"/>
              <w:bottom w:val="nil"/>
            </w:tcBorders>
          </w:tcPr>
          <w:p w:rsidR="00212513" w:rsidRDefault="00212513">
            <w:pPr>
              <w:pStyle w:val="ConsPlusNormal"/>
              <w:jc w:val="center"/>
            </w:pPr>
            <w:r>
              <w:t>0,68 (0,67)</w:t>
            </w:r>
          </w:p>
        </w:tc>
        <w:tc>
          <w:tcPr>
            <w:tcW w:w="957" w:type="dxa"/>
            <w:tcBorders>
              <w:top w:val="nil"/>
              <w:bottom w:val="nil"/>
            </w:tcBorders>
          </w:tcPr>
          <w:p w:rsidR="00212513" w:rsidRDefault="00212513">
            <w:pPr>
              <w:pStyle w:val="ConsPlusNormal"/>
              <w:jc w:val="center"/>
            </w:pPr>
            <w:r>
              <w:t>0,58 (0,57)</w:t>
            </w:r>
          </w:p>
        </w:tc>
        <w:tc>
          <w:tcPr>
            <w:tcW w:w="957" w:type="dxa"/>
            <w:tcBorders>
              <w:top w:val="nil"/>
              <w:bottom w:val="nil"/>
            </w:tcBorders>
          </w:tcPr>
          <w:p w:rsidR="00212513" w:rsidRDefault="00212513">
            <w:pPr>
              <w:pStyle w:val="ConsPlusNormal"/>
              <w:jc w:val="center"/>
            </w:pPr>
            <w:r>
              <w:t>0,51 (0,50)</w:t>
            </w:r>
          </w:p>
        </w:tc>
        <w:tc>
          <w:tcPr>
            <w:tcW w:w="957" w:type="dxa"/>
            <w:tcBorders>
              <w:top w:val="nil"/>
              <w:bottom w:val="nil"/>
            </w:tcBorders>
          </w:tcPr>
          <w:p w:rsidR="00212513" w:rsidRDefault="00212513">
            <w:pPr>
              <w:pStyle w:val="ConsPlusNormal"/>
              <w:jc w:val="center"/>
            </w:pPr>
            <w:r>
              <w:t>0,45 (0,44)</w:t>
            </w:r>
          </w:p>
        </w:tc>
        <w:tc>
          <w:tcPr>
            <w:tcW w:w="957" w:type="dxa"/>
            <w:tcBorders>
              <w:top w:val="nil"/>
              <w:bottom w:val="nil"/>
            </w:tcBorders>
          </w:tcPr>
          <w:p w:rsidR="00212513" w:rsidRDefault="00212513">
            <w:pPr>
              <w:pStyle w:val="ConsPlusNormal"/>
              <w:jc w:val="center"/>
            </w:pPr>
            <w:r>
              <w:t>0,37 (0,36)</w:t>
            </w:r>
          </w:p>
        </w:tc>
        <w:tc>
          <w:tcPr>
            <w:tcW w:w="957" w:type="dxa"/>
            <w:tcBorders>
              <w:top w:val="nil"/>
              <w:bottom w:val="nil"/>
            </w:tcBorders>
          </w:tcPr>
          <w:p w:rsidR="00212513" w:rsidRDefault="00212513">
            <w:pPr>
              <w:pStyle w:val="ConsPlusNormal"/>
              <w:jc w:val="center"/>
            </w:pPr>
            <w:r>
              <w:t>0,31 (0,30)</w:t>
            </w:r>
          </w:p>
        </w:tc>
        <w:tc>
          <w:tcPr>
            <w:tcW w:w="957" w:type="dxa"/>
            <w:tcBorders>
              <w:top w:val="nil"/>
              <w:bottom w:val="nil"/>
            </w:tcBorders>
          </w:tcPr>
          <w:p w:rsidR="00212513" w:rsidRDefault="00212513">
            <w:pPr>
              <w:pStyle w:val="ConsPlusNormal"/>
              <w:jc w:val="center"/>
            </w:pPr>
            <w:r>
              <w:t>0,26 (0,25)</w:t>
            </w:r>
          </w:p>
        </w:tc>
        <w:tc>
          <w:tcPr>
            <w:tcW w:w="957" w:type="dxa"/>
            <w:tcBorders>
              <w:top w:val="nil"/>
              <w:bottom w:val="nil"/>
            </w:tcBorders>
          </w:tcPr>
          <w:p w:rsidR="00212513" w:rsidRDefault="00212513">
            <w:pPr>
              <w:pStyle w:val="ConsPlusNormal"/>
              <w:jc w:val="center"/>
            </w:pPr>
            <w:r>
              <w:t>0,23 (0,22)</w:t>
            </w:r>
          </w:p>
        </w:tc>
        <w:tc>
          <w:tcPr>
            <w:tcW w:w="957" w:type="dxa"/>
            <w:tcBorders>
              <w:top w:val="nil"/>
              <w:bottom w:val="nil"/>
            </w:tcBorders>
          </w:tcPr>
          <w:p w:rsidR="00212513" w:rsidRDefault="00212513">
            <w:pPr>
              <w:pStyle w:val="ConsPlusNormal"/>
              <w:jc w:val="center"/>
            </w:pPr>
            <w:r>
              <w:t>0,21 (0,20)</w:t>
            </w:r>
          </w:p>
        </w:tc>
        <w:tc>
          <w:tcPr>
            <w:tcW w:w="957" w:type="dxa"/>
            <w:tcBorders>
              <w:top w:val="nil"/>
              <w:bottom w:val="nil"/>
            </w:tcBorders>
          </w:tcPr>
          <w:p w:rsidR="00212513" w:rsidRDefault="00212513">
            <w:pPr>
              <w:pStyle w:val="ConsPlusNormal"/>
              <w:jc w:val="center"/>
            </w:pPr>
            <w:r>
              <w:t>0,19 (0,18)</w:t>
            </w:r>
          </w:p>
        </w:tc>
        <w:tc>
          <w:tcPr>
            <w:tcW w:w="968" w:type="dxa"/>
            <w:tcBorders>
              <w:top w:val="nil"/>
              <w:bottom w:val="nil"/>
            </w:tcBorders>
          </w:tcPr>
          <w:p w:rsidR="00212513" w:rsidRDefault="00212513">
            <w:pPr>
              <w:pStyle w:val="ConsPlusNormal"/>
              <w:jc w:val="center"/>
            </w:pPr>
            <w:r>
              <w:t>0,16 (0,15)</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50</w:t>
            </w:r>
          </w:p>
        </w:tc>
        <w:tc>
          <w:tcPr>
            <w:tcW w:w="957" w:type="dxa"/>
            <w:tcBorders>
              <w:top w:val="nil"/>
              <w:bottom w:val="nil"/>
            </w:tcBorders>
          </w:tcPr>
          <w:p w:rsidR="00212513" w:rsidRDefault="00212513">
            <w:pPr>
              <w:pStyle w:val="ConsPlusNormal"/>
              <w:jc w:val="center"/>
            </w:pPr>
            <w:r>
              <w:t>0,79 (0,77)</w:t>
            </w:r>
          </w:p>
        </w:tc>
        <w:tc>
          <w:tcPr>
            <w:tcW w:w="957" w:type="dxa"/>
            <w:tcBorders>
              <w:top w:val="nil"/>
              <w:bottom w:val="nil"/>
            </w:tcBorders>
          </w:tcPr>
          <w:p w:rsidR="00212513" w:rsidRDefault="00212513">
            <w:pPr>
              <w:pStyle w:val="ConsPlusNormal"/>
              <w:jc w:val="center"/>
            </w:pPr>
            <w:r>
              <w:t>0,71 (0,69)</w:t>
            </w:r>
          </w:p>
        </w:tc>
        <w:tc>
          <w:tcPr>
            <w:tcW w:w="957" w:type="dxa"/>
            <w:tcBorders>
              <w:top w:val="nil"/>
              <w:bottom w:val="nil"/>
            </w:tcBorders>
          </w:tcPr>
          <w:p w:rsidR="00212513" w:rsidRDefault="00212513">
            <w:pPr>
              <w:pStyle w:val="ConsPlusNormal"/>
              <w:jc w:val="center"/>
            </w:pPr>
            <w:r>
              <w:t>0,63 (0,61)</w:t>
            </w:r>
          </w:p>
        </w:tc>
        <w:tc>
          <w:tcPr>
            <w:tcW w:w="957" w:type="dxa"/>
            <w:tcBorders>
              <w:top w:val="nil"/>
              <w:bottom w:val="nil"/>
            </w:tcBorders>
          </w:tcPr>
          <w:p w:rsidR="00212513" w:rsidRDefault="00212513">
            <w:pPr>
              <w:pStyle w:val="ConsPlusNormal"/>
              <w:jc w:val="center"/>
            </w:pPr>
            <w:r>
              <w:t>0,53 (0,51)</w:t>
            </w:r>
          </w:p>
        </w:tc>
        <w:tc>
          <w:tcPr>
            <w:tcW w:w="957" w:type="dxa"/>
            <w:tcBorders>
              <w:top w:val="nil"/>
              <w:bottom w:val="nil"/>
            </w:tcBorders>
          </w:tcPr>
          <w:p w:rsidR="00212513" w:rsidRDefault="00212513">
            <w:pPr>
              <w:pStyle w:val="ConsPlusNormal"/>
              <w:jc w:val="center"/>
            </w:pPr>
            <w:r>
              <w:t>0,47 (0,45)</w:t>
            </w:r>
          </w:p>
        </w:tc>
        <w:tc>
          <w:tcPr>
            <w:tcW w:w="957" w:type="dxa"/>
            <w:tcBorders>
              <w:top w:val="nil"/>
              <w:bottom w:val="nil"/>
            </w:tcBorders>
          </w:tcPr>
          <w:p w:rsidR="00212513" w:rsidRDefault="00212513">
            <w:pPr>
              <w:pStyle w:val="ConsPlusNormal"/>
              <w:jc w:val="center"/>
            </w:pPr>
            <w:r>
              <w:t>0,43 (0,41)</w:t>
            </w:r>
          </w:p>
        </w:tc>
        <w:tc>
          <w:tcPr>
            <w:tcW w:w="957" w:type="dxa"/>
            <w:tcBorders>
              <w:top w:val="nil"/>
              <w:bottom w:val="nil"/>
            </w:tcBorders>
          </w:tcPr>
          <w:p w:rsidR="00212513" w:rsidRDefault="00212513">
            <w:pPr>
              <w:pStyle w:val="ConsPlusNormal"/>
              <w:jc w:val="center"/>
            </w:pPr>
            <w:r>
              <w:t>0,36 (0,34)</w:t>
            </w:r>
          </w:p>
        </w:tc>
        <w:tc>
          <w:tcPr>
            <w:tcW w:w="957" w:type="dxa"/>
            <w:tcBorders>
              <w:top w:val="nil"/>
              <w:bottom w:val="nil"/>
            </w:tcBorders>
          </w:tcPr>
          <w:p w:rsidR="00212513" w:rsidRDefault="00212513">
            <w:pPr>
              <w:pStyle w:val="ConsPlusNormal"/>
              <w:jc w:val="center"/>
            </w:pPr>
            <w:r>
              <w:t>0,31 (0,29)</w:t>
            </w:r>
          </w:p>
        </w:tc>
        <w:tc>
          <w:tcPr>
            <w:tcW w:w="957" w:type="dxa"/>
            <w:tcBorders>
              <w:top w:val="nil"/>
              <w:bottom w:val="nil"/>
            </w:tcBorders>
          </w:tcPr>
          <w:p w:rsidR="00212513" w:rsidRDefault="00212513">
            <w:pPr>
              <w:pStyle w:val="ConsPlusNormal"/>
              <w:jc w:val="center"/>
            </w:pPr>
            <w:r>
              <w:t>0,26 (0,24)</w:t>
            </w:r>
          </w:p>
        </w:tc>
        <w:tc>
          <w:tcPr>
            <w:tcW w:w="957" w:type="dxa"/>
            <w:tcBorders>
              <w:top w:val="nil"/>
              <w:bottom w:val="nil"/>
            </w:tcBorders>
          </w:tcPr>
          <w:p w:rsidR="00212513" w:rsidRDefault="00212513">
            <w:pPr>
              <w:pStyle w:val="ConsPlusNormal"/>
              <w:jc w:val="center"/>
            </w:pPr>
            <w:r>
              <w:t>0,23 (0,21)</w:t>
            </w:r>
          </w:p>
        </w:tc>
        <w:tc>
          <w:tcPr>
            <w:tcW w:w="957" w:type="dxa"/>
            <w:tcBorders>
              <w:top w:val="nil"/>
              <w:bottom w:val="nil"/>
            </w:tcBorders>
          </w:tcPr>
          <w:p w:rsidR="00212513" w:rsidRDefault="00212513">
            <w:pPr>
              <w:pStyle w:val="ConsPlusNormal"/>
              <w:jc w:val="center"/>
            </w:pPr>
            <w:r>
              <w:t>0,21 (0,20)</w:t>
            </w:r>
          </w:p>
        </w:tc>
        <w:tc>
          <w:tcPr>
            <w:tcW w:w="957" w:type="dxa"/>
            <w:tcBorders>
              <w:top w:val="nil"/>
              <w:bottom w:val="nil"/>
            </w:tcBorders>
          </w:tcPr>
          <w:p w:rsidR="00212513" w:rsidRDefault="00212513">
            <w:pPr>
              <w:pStyle w:val="ConsPlusNormal"/>
              <w:jc w:val="center"/>
            </w:pPr>
            <w:r>
              <w:t>0,19 (0,18)</w:t>
            </w:r>
          </w:p>
        </w:tc>
        <w:tc>
          <w:tcPr>
            <w:tcW w:w="968" w:type="dxa"/>
            <w:tcBorders>
              <w:top w:val="nil"/>
              <w:bottom w:val="nil"/>
            </w:tcBorders>
          </w:tcPr>
          <w:p w:rsidR="00212513" w:rsidRDefault="00212513">
            <w:pPr>
              <w:pStyle w:val="ConsPlusNormal"/>
              <w:jc w:val="center"/>
            </w:pPr>
            <w:r>
              <w:t>0,16 (0,15)</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60</w:t>
            </w:r>
          </w:p>
        </w:tc>
        <w:tc>
          <w:tcPr>
            <w:tcW w:w="957" w:type="dxa"/>
            <w:tcBorders>
              <w:top w:val="nil"/>
              <w:bottom w:val="nil"/>
            </w:tcBorders>
          </w:tcPr>
          <w:p w:rsidR="00212513" w:rsidRDefault="00212513">
            <w:pPr>
              <w:pStyle w:val="ConsPlusNormal"/>
              <w:jc w:val="center"/>
            </w:pPr>
            <w:r>
              <w:t>0,73 (0,70)</w:t>
            </w:r>
          </w:p>
        </w:tc>
        <w:tc>
          <w:tcPr>
            <w:tcW w:w="957" w:type="dxa"/>
            <w:tcBorders>
              <w:top w:val="nil"/>
              <w:bottom w:val="nil"/>
            </w:tcBorders>
          </w:tcPr>
          <w:p w:rsidR="00212513" w:rsidRDefault="00212513">
            <w:pPr>
              <w:pStyle w:val="ConsPlusNormal"/>
              <w:jc w:val="center"/>
            </w:pPr>
            <w:r>
              <w:t>0,65 (0,62)</w:t>
            </w:r>
          </w:p>
        </w:tc>
        <w:tc>
          <w:tcPr>
            <w:tcW w:w="957" w:type="dxa"/>
            <w:tcBorders>
              <w:top w:val="nil"/>
              <w:bottom w:val="nil"/>
            </w:tcBorders>
          </w:tcPr>
          <w:p w:rsidR="00212513" w:rsidRDefault="00212513">
            <w:pPr>
              <w:pStyle w:val="ConsPlusNormal"/>
              <w:jc w:val="center"/>
            </w:pPr>
            <w:r>
              <w:t>0,58 (0,55)</w:t>
            </w:r>
          </w:p>
        </w:tc>
        <w:tc>
          <w:tcPr>
            <w:tcW w:w="957" w:type="dxa"/>
            <w:tcBorders>
              <w:top w:val="nil"/>
              <w:bottom w:val="nil"/>
            </w:tcBorders>
          </w:tcPr>
          <w:p w:rsidR="00212513" w:rsidRDefault="00212513">
            <w:pPr>
              <w:pStyle w:val="ConsPlusNormal"/>
              <w:jc w:val="center"/>
            </w:pPr>
            <w:r>
              <w:t>0,48 (0,45)</w:t>
            </w:r>
          </w:p>
        </w:tc>
        <w:tc>
          <w:tcPr>
            <w:tcW w:w="957" w:type="dxa"/>
            <w:tcBorders>
              <w:top w:val="nil"/>
              <w:bottom w:val="nil"/>
            </w:tcBorders>
          </w:tcPr>
          <w:p w:rsidR="00212513" w:rsidRDefault="00212513">
            <w:pPr>
              <w:pStyle w:val="ConsPlusNormal"/>
              <w:jc w:val="center"/>
            </w:pPr>
            <w:r>
              <w:t>0,43 (0,40)</w:t>
            </w:r>
          </w:p>
        </w:tc>
        <w:tc>
          <w:tcPr>
            <w:tcW w:w="957" w:type="dxa"/>
            <w:tcBorders>
              <w:top w:val="nil"/>
              <w:bottom w:val="nil"/>
            </w:tcBorders>
          </w:tcPr>
          <w:p w:rsidR="00212513" w:rsidRDefault="00212513">
            <w:pPr>
              <w:pStyle w:val="ConsPlusNormal"/>
              <w:jc w:val="center"/>
            </w:pPr>
            <w:r>
              <w:t>0,40 (0,37)</w:t>
            </w:r>
          </w:p>
        </w:tc>
        <w:tc>
          <w:tcPr>
            <w:tcW w:w="957" w:type="dxa"/>
            <w:tcBorders>
              <w:top w:val="nil"/>
              <w:bottom w:val="nil"/>
            </w:tcBorders>
          </w:tcPr>
          <w:p w:rsidR="00212513" w:rsidRDefault="00212513">
            <w:pPr>
              <w:pStyle w:val="ConsPlusNormal"/>
              <w:jc w:val="center"/>
            </w:pPr>
            <w:r>
              <w:t>0,34 (0,31)</w:t>
            </w:r>
          </w:p>
        </w:tc>
        <w:tc>
          <w:tcPr>
            <w:tcW w:w="957" w:type="dxa"/>
            <w:tcBorders>
              <w:top w:val="nil"/>
              <w:bottom w:val="nil"/>
            </w:tcBorders>
          </w:tcPr>
          <w:p w:rsidR="00212513" w:rsidRDefault="00212513">
            <w:pPr>
              <w:pStyle w:val="ConsPlusNormal"/>
              <w:jc w:val="center"/>
            </w:pPr>
            <w:r>
              <w:t>0,30 (0,27)</w:t>
            </w:r>
          </w:p>
        </w:tc>
        <w:tc>
          <w:tcPr>
            <w:tcW w:w="957" w:type="dxa"/>
            <w:tcBorders>
              <w:top w:val="nil"/>
              <w:bottom w:val="nil"/>
            </w:tcBorders>
          </w:tcPr>
          <w:p w:rsidR="00212513" w:rsidRDefault="00212513">
            <w:pPr>
              <w:pStyle w:val="ConsPlusNormal"/>
              <w:jc w:val="center"/>
            </w:pPr>
            <w:r>
              <w:t>0,26 (0,24)</w:t>
            </w:r>
          </w:p>
        </w:tc>
        <w:tc>
          <w:tcPr>
            <w:tcW w:w="957" w:type="dxa"/>
            <w:tcBorders>
              <w:top w:val="nil"/>
              <w:bottom w:val="nil"/>
            </w:tcBorders>
          </w:tcPr>
          <w:p w:rsidR="00212513" w:rsidRDefault="00212513">
            <w:pPr>
              <w:pStyle w:val="ConsPlusNormal"/>
              <w:jc w:val="center"/>
            </w:pPr>
            <w:r>
              <w:t>0,23 (0,21)</w:t>
            </w:r>
          </w:p>
        </w:tc>
        <w:tc>
          <w:tcPr>
            <w:tcW w:w="957" w:type="dxa"/>
            <w:tcBorders>
              <w:top w:val="nil"/>
              <w:bottom w:val="nil"/>
            </w:tcBorders>
          </w:tcPr>
          <w:p w:rsidR="00212513" w:rsidRDefault="00212513">
            <w:pPr>
              <w:pStyle w:val="ConsPlusNormal"/>
              <w:jc w:val="center"/>
            </w:pPr>
            <w:r>
              <w:t>0,21 (0,19)</w:t>
            </w:r>
          </w:p>
        </w:tc>
        <w:tc>
          <w:tcPr>
            <w:tcW w:w="957" w:type="dxa"/>
            <w:tcBorders>
              <w:top w:val="nil"/>
              <w:bottom w:val="nil"/>
            </w:tcBorders>
          </w:tcPr>
          <w:p w:rsidR="00212513" w:rsidRDefault="00212513">
            <w:pPr>
              <w:pStyle w:val="ConsPlusNormal"/>
              <w:jc w:val="center"/>
            </w:pPr>
            <w:r>
              <w:t>0,19 (0,17)</w:t>
            </w:r>
          </w:p>
        </w:tc>
        <w:tc>
          <w:tcPr>
            <w:tcW w:w="968" w:type="dxa"/>
            <w:tcBorders>
              <w:top w:val="nil"/>
              <w:bottom w:val="nil"/>
            </w:tcBorders>
          </w:tcPr>
          <w:p w:rsidR="00212513" w:rsidRDefault="00212513">
            <w:pPr>
              <w:pStyle w:val="ConsPlusNormal"/>
              <w:jc w:val="center"/>
            </w:pPr>
            <w:r>
              <w:t>0,16 (0,14)</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70</w:t>
            </w:r>
          </w:p>
        </w:tc>
        <w:tc>
          <w:tcPr>
            <w:tcW w:w="957" w:type="dxa"/>
            <w:tcBorders>
              <w:top w:val="nil"/>
              <w:bottom w:val="nil"/>
            </w:tcBorders>
          </w:tcPr>
          <w:p w:rsidR="00212513" w:rsidRDefault="00212513">
            <w:pPr>
              <w:pStyle w:val="ConsPlusNormal"/>
              <w:jc w:val="center"/>
            </w:pPr>
            <w:r>
              <w:t>0,63 (0,59)</w:t>
            </w:r>
          </w:p>
        </w:tc>
        <w:tc>
          <w:tcPr>
            <w:tcW w:w="957" w:type="dxa"/>
            <w:tcBorders>
              <w:top w:val="nil"/>
              <w:bottom w:val="nil"/>
            </w:tcBorders>
          </w:tcPr>
          <w:p w:rsidR="00212513" w:rsidRDefault="00212513">
            <w:pPr>
              <w:pStyle w:val="ConsPlusNormal"/>
              <w:jc w:val="center"/>
            </w:pPr>
            <w:r>
              <w:t>0,55 (0,51)</w:t>
            </w:r>
          </w:p>
        </w:tc>
        <w:tc>
          <w:tcPr>
            <w:tcW w:w="957" w:type="dxa"/>
            <w:tcBorders>
              <w:top w:val="nil"/>
              <w:bottom w:val="nil"/>
            </w:tcBorders>
          </w:tcPr>
          <w:p w:rsidR="00212513" w:rsidRDefault="00212513">
            <w:pPr>
              <w:pStyle w:val="ConsPlusNormal"/>
              <w:jc w:val="center"/>
            </w:pPr>
            <w:r>
              <w:t>0,49 (0,45)</w:t>
            </w:r>
          </w:p>
        </w:tc>
        <w:tc>
          <w:tcPr>
            <w:tcW w:w="957" w:type="dxa"/>
            <w:tcBorders>
              <w:top w:val="nil"/>
              <w:bottom w:val="nil"/>
            </w:tcBorders>
          </w:tcPr>
          <w:p w:rsidR="00212513" w:rsidRDefault="00212513">
            <w:pPr>
              <w:pStyle w:val="ConsPlusNormal"/>
              <w:jc w:val="center"/>
            </w:pPr>
            <w:r>
              <w:t>0,41 (0,37)</w:t>
            </w:r>
          </w:p>
        </w:tc>
        <w:tc>
          <w:tcPr>
            <w:tcW w:w="957" w:type="dxa"/>
            <w:tcBorders>
              <w:top w:val="nil"/>
              <w:bottom w:val="nil"/>
            </w:tcBorders>
          </w:tcPr>
          <w:p w:rsidR="00212513" w:rsidRDefault="00212513">
            <w:pPr>
              <w:pStyle w:val="ConsPlusNormal"/>
              <w:jc w:val="center"/>
            </w:pPr>
            <w:r>
              <w:t>0,39 (0,33)</w:t>
            </w:r>
          </w:p>
        </w:tc>
        <w:tc>
          <w:tcPr>
            <w:tcW w:w="957" w:type="dxa"/>
            <w:tcBorders>
              <w:top w:val="nil"/>
              <w:bottom w:val="nil"/>
            </w:tcBorders>
          </w:tcPr>
          <w:p w:rsidR="00212513" w:rsidRDefault="00212513">
            <w:pPr>
              <w:pStyle w:val="ConsPlusNormal"/>
              <w:jc w:val="center"/>
            </w:pPr>
            <w:r>
              <w:t>0,36 (0,30)</w:t>
            </w:r>
          </w:p>
        </w:tc>
        <w:tc>
          <w:tcPr>
            <w:tcW w:w="957" w:type="dxa"/>
            <w:tcBorders>
              <w:top w:val="nil"/>
              <w:bottom w:val="nil"/>
            </w:tcBorders>
          </w:tcPr>
          <w:p w:rsidR="00212513" w:rsidRDefault="00212513">
            <w:pPr>
              <w:pStyle w:val="ConsPlusNormal"/>
              <w:jc w:val="center"/>
            </w:pPr>
            <w:r>
              <w:t>0,31 (0,25)</w:t>
            </w:r>
          </w:p>
        </w:tc>
        <w:tc>
          <w:tcPr>
            <w:tcW w:w="957" w:type="dxa"/>
            <w:tcBorders>
              <w:top w:val="nil"/>
              <w:bottom w:val="nil"/>
            </w:tcBorders>
          </w:tcPr>
          <w:p w:rsidR="00212513" w:rsidRDefault="00212513">
            <w:pPr>
              <w:pStyle w:val="ConsPlusNormal"/>
              <w:jc w:val="center"/>
            </w:pPr>
            <w:r>
              <w:t>0,29 (0,23)</w:t>
            </w:r>
          </w:p>
        </w:tc>
        <w:tc>
          <w:tcPr>
            <w:tcW w:w="957" w:type="dxa"/>
            <w:tcBorders>
              <w:top w:val="nil"/>
              <w:bottom w:val="nil"/>
            </w:tcBorders>
          </w:tcPr>
          <w:p w:rsidR="00212513" w:rsidRDefault="00212513">
            <w:pPr>
              <w:pStyle w:val="ConsPlusNormal"/>
              <w:jc w:val="center"/>
            </w:pPr>
            <w:r>
              <w:t>0,25 (0,19)</w:t>
            </w:r>
          </w:p>
        </w:tc>
        <w:tc>
          <w:tcPr>
            <w:tcW w:w="957" w:type="dxa"/>
            <w:tcBorders>
              <w:top w:val="nil"/>
              <w:bottom w:val="nil"/>
            </w:tcBorders>
          </w:tcPr>
          <w:p w:rsidR="00212513" w:rsidRDefault="00212513">
            <w:pPr>
              <w:pStyle w:val="ConsPlusNormal"/>
              <w:jc w:val="center"/>
            </w:pPr>
            <w:r>
              <w:t>0,23 (0,17)</w:t>
            </w:r>
          </w:p>
        </w:tc>
        <w:tc>
          <w:tcPr>
            <w:tcW w:w="957" w:type="dxa"/>
            <w:tcBorders>
              <w:top w:val="nil"/>
              <w:bottom w:val="nil"/>
            </w:tcBorders>
          </w:tcPr>
          <w:p w:rsidR="00212513" w:rsidRDefault="00212513">
            <w:pPr>
              <w:pStyle w:val="ConsPlusNormal"/>
              <w:jc w:val="center"/>
            </w:pPr>
            <w:r>
              <w:t>0,21 (0,16)</w:t>
            </w:r>
          </w:p>
        </w:tc>
        <w:tc>
          <w:tcPr>
            <w:tcW w:w="957" w:type="dxa"/>
            <w:tcBorders>
              <w:top w:val="nil"/>
              <w:bottom w:val="nil"/>
            </w:tcBorders>
          </w:tcPr>
          <w:p w:rsidR="00212513" w:rsidRDefault="00212513">
            <w:pPr>
              <w:pStyle w:val="ConsPlusNormal"/>
              <w:jc w:val="center"/>
            </w:pPr>
            <w:r>
              <w:t>0,19 (0,14)</w:t>
            </w:r>
          </w:p>
        </w:tc>
        <w:tc>
          <w:tcPr>
            <w:tcW w:w="968" w:type="dxa"/>
            <w:tcBorders>
              <w:top w:val="nil"/>
              <w:bottom w:val="nil"/>
            </w:tcBorders>
          </w:tcPr>
          <w:p w:rsidR="00212513" w:rsidRDefault="00212513">
            <w:pPr>
              <w:pStyle w:val="ConsPlusNormal"/>
              <w:jc w:val="center"/>
            </w:pPr>
            <w:r>
              <w:t>0,16 (0,11)</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80</w:t>
            </w:r>
          </w:p>
        </w:tc>
        <w:tc>
          <w:tcPr>
            <w:tcW w:w="957" w:type="dxa"/>
            <w:tcBorders>
              <w:top w:val="nil"/>
              <w:bottom w:val="nil"/>
            </w:tcBorders>
          </w:tcPr>
          <w:p w:rsidR="00212513" w:rsidRDefault="00212513">
            <w:pPr>
              <w:pStyle w:val="ConsPlusNormal"/>
              <w:jc w:val="center"/>
            </w:pPr>
            <w:r>
              <w:t>0,53 (0,49)</w:t>
            </w:r>
          </w:p>
        </w:tc>
        <w:tc>
          <w:tcPr>
            <w:tcW w:w="957" w:type="dxa"/>
            <w:tcBorders>
              <w:top w:val="nil"/>
              <w:bottom w:val="nil"/>
            </w:tcBorders>
          </w:tcPr>
          <w:p w:rsidR="00212513" w:rsidRDefault="00212513">
            <w:pPr>
              <w:pStyle w:val="ConsPlusNormal"/>
              <w:jc w:val="center"/>
            </w:pPr>
            <w:r>
              <w:t>0,46 (0,42)</w:t>
            </w:r>
          </w:p>
        </w:tc>
        <w:tc>
          <w:tcPr>
            <w:tcW w:w="957" w:type="dxa"/>
            <w:tcBorders>
              <w:top w:val="nil"/>
              <w:bottom w:val="nil"/>
            </w:tcBorders>
          </w:tcPr>
          <w:p w:rsidR="00212513" w:rsidRDefault="00212513">
            <w:pPr>
              <w:pStyle w:val="ConsPlusNormal"/>
              <w:jc w:val="center"/>
            </w:pPr>
            <w:r>
              <w:t>0,42 (0,38)</w:t>
            </w:r>
          </w:p>
        </w:tc>
        <w:tc>
          <w:tcPr>
            <w:tcW w:w="957" w:type="dxa"/>
            <w:tcBorders>
              <w:top w:val="nil"/>
              <w:bottom w:val="nil"/>
            </w:tcBorders>
          </w:tcPr>
          <w:p w:rsidR="00212513" w:rsidRDefault="00212513">
            <w:pPr>
              <w:pStyle w:val="ConsPlusNormal"/>
              <w:jc w:val="center"/>
            </w:pPr>
            <w:r>
              <w:t>0,35 (0,31)</w:t>
            </w:r>
          </w:p>
        </w:tc>
        <w:tc>
          <w:tcPr>
            <w:tcW w:w="957" w:type="dxa"/>
            <w:tcBorders>
              <w:top w:val="nil"/>
              <w:bottom w:val="nil"/>
            </w:tcBorders>
          </w:tcPr>
          <w:p w:rsidR="00212513" w:rsidRDefault="00212513">
            <w:pPr>
              <w:pStyle w:val="ConsPlusNormal"/>
              <w:jc w:val="center"/>
            </w:pPr>
            <w:r>
              <w:t>0,33 (0,29)</w:t>
            </w:r>
          </w:p>
        </w:tc>
        <w:tc>
          <w:tcPr>
            <w:tcW w:w="957" w:type="dxa"/>
            <w:tcBorders>
              <w:top w:val="nil"/>
              <w:bottom w:val="nil"/>
            </w:tcBorders>
          </w:tcPr>
          <w:p w:rsidR="00212513" w:rsidRDefault="00212513">
            <w:pPr>
              <w:pStyle w:val="ConsPlusNormal"/>
              <w:jc w:val="center"/>
            </w:pPr>
            <w:r>
              <w:t>0,31 (0,27)</w:t>
            </w:r>
          </w:p>
        </w:tc>
        <w:tc>
          <w:tcPr>
            <w:tcW w:w="957" w:type="dxa"/>
            <w:tcBorders>
              <w:top w:val="nil"/>
              <w:bottom w:val="nil"/>
            </w:tcBorders>
          </w:tcPr>
          <w:p w:rsidR="00212513" w:rsidRDefault="00212513">
            <w:pPr>
              <w:pStyle w:val="ConsPlusNormal"/>
              <w:jc w:val="center"/>
            </w:pPr>
            <w:r>
              <w:t>0,26 (0,22)</w:t>
            </w:r>
          </w:p>
        </w:tc>
        <w:tc>
          <w:tcPr>
            <w:tcW w:w="957" w:type="dxa"/>
            <w:tcBorders>
              <w:top w:val="nil"/>
              <w:bottom w:val="nil"/>
            </w:tcBorders>
          </w:tcPr>
          <w:p w:rsidR="00212513" w:rsidRDefault="00212513">
            <w:pPr>
              <w:pStyle w:val="ConsPlusNormal"/>
              <w:jc w:val="center"/>
            </w:pPr>
            <w:r>
              <w:t>0,25 (0,21)</w:t>
            </w:r>
          </w:p>
        </w:tc>
        <w:tc>
          <w:tcPr>
            <w:tcW w:w="957" w:type="dxa"/>
            <w:tcBorders>
              <w:top w:val="nil"/>
              <w:bottom w:val="nil"/>
            </w:tcBorders>
          </w:tcPr>
          <w:p w:rsidR="00212513" w:rsidRDefault="00212513">
            <w:pPr>
              <w:pStyle w:val="ConsPlusNormal"/>
              <w:jc w:val="center"/>
            </w:pPr>
            <w:r>
              <w:t>0,22 (0,18)</w:t>
            </w:r>
          </w:p>
        </w:tc>
        <w:tc>
          <w:tcPr>
            <w:tcW w:w="957" w:type="dxa"/>
            <w:tcBorders>
              <w:top w:val="nil"/>
              <w:bottom w:val="nil"/>
            </w:tcBorders>
          </w:tcPr>
          <w:p w:rsidR="00212513" w:rsidRDefault="00212513">
            <w:pPr>
              <w:pStyle w:val="ConsPlusNormal"/>
              <w:jc w:val="center"/>
            </w:pPr>
            <w:r>
              <w:t>0,20 (0,16)</w:t>
            </w:r>
          </w:p>
        </w:tc>
        <w:tc>
          <w:tcPr>
            <w:tcW w:w="957" w:type="dxa"/>
            <w:tcBorders>
              <w:top w:val="nil"/>
              <w:bottom w:val="nil"/>
            </w:tcBorders>
          </w:tcPr>
          <w:p w:rsidR="00212513" w:rsidRDefault="00212513">
            <w:pPr>
              <w:pStyle w:val="ConsPlusNormal"/>
              <w:jc w:val="center"/>
            </w:pPr>
            <w:r>
              <w:t>0,18 (0,14)</w:t>
            </w:r>
          </w:p>
        </w:tc>
        <w:tc>
          <w:tcPr>
            <w:tcW w:w="957" w:type="dxa"/>
            <w:tcBorders>
              <w:top w:val="nil"/>
              <w:bottom w:val="nil"/>
            </w:tcBorders>
          </w:tcPr>
          <w:p w:rsidR="00212513" w:rsidRDefault="00212513">
            <w:pPr>
              <w:pStyle w:val="ConsPlusNormal"/>
              <w:jc w:val="center"/>
            </w:pPr>
            <w:r>
              <w:t>0,17 (0,13)</w:t>
            </w:r>
          </w:p>
        </w:tc>
        <w:tc>
          <w:tcPr>
            <w:tcW w:w="968" w:type="dxa"/>
            <w:tcBorders>
              <w:top w:val="nil"/>
              <w:bottom w:val="nil"/>
            </w:tcBorders>
          </w:tcPr>
          <w:p w:rsidR="00212513" w:rsidRDefault="00212513">
            <w:pPr>
              <w:pStyle w:val="ConsPlusNormal"/>
              <w:jc w:val="center"/>
            </w:pPr>
            <w:r>
              <w:t>0,14 (0,10)</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90</w:t>
            </w:r>
          </w:p>
        </w:tc>
        <w:tc>
          <w:tcPr>
            <w:tcW w:w="957" w:type="dxa"/>
            <w:tcBorders>
              <w:top w:val="nil"/>
              <w:bottom w:val="nil"/>
            </w:tcBorders>
          </w:tcPr>
          <w:p w:rsidR="00212513" w:rsidRDefault="00212513">
            <w:pPr>
              <w:pStyle w:val="ConsPlusNormal"/>
              <w:jc w:val="center"/>
            </w:pPr>
            <w:r>
              <w:t>0,43 (0,38)</w:t>
            </w:r>
          </w:p>
        </w:tc>
        <w:tc>
          <w:tcPr>
            <w:tcW w:w="957" w:type="dxa"/>
            <w:tcBorders>
              <w:top w:val="nil"/>
              <w:bottom w:val="nil"/>
            </w:tcBorders>
          </w:tcPr>
          <w:p w:rsidR="00212513" w:rsidRDefault="00212513">
            <w:pPr>
              <w:pStyle w:val="ConsPlusNormal"/>
              <w:jc w:val="center"/>
            </w:pPr>
            <w:r>
              <w:t>0,39 (0,34)</w:t>
            </w:r>
          </w:p>
        </w:tc>
        <w:tc>
          <w:tcPr>
            <w:tcW w:w="957" w:type="dxa"/>
            <w:tcBorders>
              <w:top w:val="nil"/>
              <w:bottom w:val="nil"/>
            </w:tcBorders>
          </w:tcPr>
          <w:p w:rsidR="00212513" w:rsidRDefault="00212513">
            <w:pPr>
              <w:pStyle w:val="ConsPlusNormal"/>
              <w:jc w:val="center"/>
            </w:pPr>
            <w:r>
              <w:t>0,37 (0,32)</w:t>
            </w:r>
          </w:p>
        </w:tc>
        <w:tc>
          <w:tcPr>
            <w:tcW w:w="957" w:type="dxa"/>
            <w:tcBorders>
              <w:top w:val="nil"/>
              <w:bottom w:val="nil"/>
            </w:tcBorders>
          </w:tcPr>
          <w:p w:rsidR="00212513" w:rsidRDefault="00212513">
            <w:pPr>
              <w:pStyle w:val="ConsPlusNormal"/>
              <w:jc w:val="center"/>
            </w:pPr>
            <w:r>
              <w:t>0,31 (0,26)</w:t>
            </w:r>
          </w:p>
        </w:tc>
        <w:tc>
          <w:tcPr>
            <w:tcW w:w="957" w:type="dxa"/>
            <w:tcBorders>
              <w:top w:val="nil"/>
              <w:bottom w:val="nil"/>
            </w:tcBorders>
          </w:tcPr>
          <w:p w:rsidR="00212513" w:rsidRDefault="00212513">
            <w:pPr>
              <w:pStyle w:val="ConsPlusNormal"/>
              <w:jc w:val="center"/>
            </w:pPr>
            <w:r>
              <w:t>0,29 (0,24)</w:t>
            </w:r>
          </w:p>
        </w:tc>
        <w:tc>
          <w:tcPr>
            <w:tcW w:w="957" w:type="dxa"/>
            <w:tcBorders>
              <w:top w:val="nil"/>
              <w:bottom w:val="nil"/>
            </w:tcBorders>
          </w:tcPr>
          <w:p w:rsidR="00212513" w:rsidRDefault="00212513">
            <w:pPr>
              <w:pStyle w:val="ConsPlusNormal"/>
              <w:jc w:val="center"/>
            </w:pPr>
            <w:r>
              <w:t>0,28 (0,23)</w:t>
            </w:r>
          </w:p>
        </w:tc>
        <w:tc>
          <w:tcPr>
            <w:tcW w:w="957" w:type="dxa"/>
            <w:tcBorders>
              <w:top w:val="nil"/>
              <w:bottom w:val="nil"/>
            </w:tcBorders>
          </w:tcPr>
          <w:p w:rsidR="00212513" w:rsidRDefault="00212513">
            <w:pPr>
              <w:pStyle w:val="ConsPlusNormal"/>
              <w:jc w:val="center"/>
            </w:pPr>
            <w:r>
              <w:t>0,24 (0,19)</w:t>
            </w:r>
          </w:p>
        </w:tc>
        <w:tc>
          <w:tcPr>
            <w:tcW w:w="957" w:type="dxa"/>
            <w:tcBorders>
              <w:top w:val="nil"/>
              <w:bottom w:val="nil"/>
            </w:tcBorders>
          </w:tcPr>
          <w:p w:rsidR="00212513" w:rsidRDefault="00212513">
            <w:pPr>
              <w:pStyle w:val="ConsPlusNormal"/>
              <w:jc w:val="center"/>
            </w:pPr>
            <w:r>
              <w:t>0,23 (0,18)</w:t>
            </w:r>
          </w:p>
        </w:tc>
        <w:tc>
          <w:tcPr>
            <w:tcW w:w="957" w:type="dxa"/>
            <w:tcBorders>
              <w:top w:val="nil"/>
              <w:bottom w:val="nil"/>
            </w:tcBorders>
          </w:tcPr>
          <w:p w:rsidR="00212513" w:rsidRDefault="00212513">
            <w:pPr>
              <w:pStyle w:val="ConsPlusNormal"/>
              <w:jc w:val="center"/>
            </w:pPr>
            <w:r>
              <w:t>0,21 (0,16)</w:t>
            </w:r>
          </w:p>
        </w:tc>
        <w:tc>
          <w:tcPr>
            <w:tcW w:w="957" w:type="dxa"/>
            <w:tcBorders>
              <w:top w:val="nil"/>
              <w:bottom w:val="nil"/>
            </w:tcBorders>
          </w:tcPr>
          <w:p w:rsidR="00212513" w:rsidRDefault="00212513">
            <w:pPr>
              <w:pStyle w:val="ConsPlusNormal"/>
              <w:jc w:val="center"/>
            </w:pPr>
            <w:r>
              <w:t>0,19 (0,14)</w:t>
            </w:r>
          </w:p>
        </w:tc>
        <w:tc>
          <w:tcPr>
            <w:tcW w:w="957" w:type="dxa"/>
            <w:tcBorders>
              <w:top w:val="nil"/>
              <w:bottom w:val="nil"/>
            </w:tcBorders>
          </w:tcPr>
          <w:p w:rsidR="00212513" w:rsidRDefault="00212513">
            <w:pPr>
              <w:pStyle w:val="ConsPlusNormal"/>
              <w:jc w:val="center"/>
            </w:pPr>
            <w:r>
              <w:t>0,18 (0,13)</w:t>
            </w:r>
          </w:p>
        </w:tc>
        <w:tc>
          <w:tcPr>
            <w:tcW w:w="957" w:type="dxa"/>
            <w:tcBorders>
              <w:top w:val="nil"/>
              <w:bottom w:val="nil"/>
            </w:tcBorders>
          </w:tcPr>
          <w:p w:rsidR="00212513" w:rsidRDefault="00212513">
            <w:pPr>
              <w:pStyle w:val="ConsPlusNormal"/>
              <w:jc w:val="center"/>
            </w:pPr>
            <w:r>
              <w:t>0,17 (0,11)</w:t>
            </w:r>
          </w:p>
        </w:tc>
        <w:tc>
          <w:tcPr>
            <w:tcW w:w="968" w:type="dxa"/>
            <w:tcBorders>
              <w:top w:val="nil"/>
              <w:bottom w:val="nil"/>
            </w:tcBorders>
          </w:tcPr>
          <w:p w:rsidR="00212513" w:rsidRDefault="00212513">
            <w:pPr>
              <w:pStyle w:val="ConsPlusNormal"/>
              <w:jc w:val="center"/>
            </w:pPr>
            <w:r>
              <w:t>0,14 (0,09)</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100</w:t>
            </w:r>
          </w:p>
        </w:tc>
        <w:tc>
          <w:tcPr>
            <w:tcW w:w="957" w:type="dxa"/>
            <w:tcBorders>
              <w:top w:val="nil"/>
              <w:bottom w:val="nil"/>
            </w:tcBorders>
          </w:tcPr>
          <w:p w:rsidR="00212513" w:rsidRDefault="00212513">
            <w:pPr>
              <w:pStyle w:val="ConsPlusNormal"/>
              <w:jc w:val="center"/>
            </w:pPr>
            <w:r>
              <w:t>0,35 (0,32)</w:t>
            </w:r>
          </w:p>
        </w:tc>
        <w:tc>
          <w:tcPr>
            <w:tcW w:w="957" w:type="dxa"/>
            <w:tcBorders>
              <w:top w:val="nil"/>
              <w:bottom w:val="nil"/>
            </w:tcBorders>
          </w:tcPr>
          <w:p w:rsidR="00212513" w:rsidRDefault="00212513">
            <w:pPr>
              <w:pStyle w:val="ConsPlusNormal"/>
              <w:jc w:val="center"/>
            </w:pPr>
            <w:r>
              <w:t>0,33 (0,30)</w:t>
            </w:r>
          </w:p>
        </w:tc>
        <w:tc>
          <w:tcPr>
            <w:tcW w:w="957" w:type="dxa"/>
            <w:tcBorders>
              <w:top w:val="nil"/>
              <w:bottom w:val="nil"/>
            </w:tcBorders>
          </w:tcPr>
          <w:p w:rsidR="00212513" w:rsidRDefault="00212513">
            <w:pPr>
              <w:pStyle w:val="ConsPlusNormal"/>
              <w:jc w:val="center"/>
            </w:pPr>
            <w:r>
              <w:t>0,31 (0,28)</w:t>
            </w:r>
          </w:p>
        </w:tc>
        <w:tc>
          <w:tcPr>
            <w:tcW w:w="957" w:type="dxa"/>
            <w:tcBorders>
              <w:top w:val="nil"/>
              <w:bottom w:val="nil"/>
            </w:tcBorders>
          </w:tcPr>
          <w:p w:rsidR="00212513" w:rsidRDefault="00212513">
            <w:pPr>
              <w:pStyle w:val="ConsPlusNormal"/>
              <w:jc w:val="center"/>
            </w:pPr>
            <w:r>
              <w:t>0,26 (0,23)</w:t>
            </w:r>
          </w:p>
        </w:tc>
        <w:tc>
          <w:tcPr>
            <w:tcW w:w="957" w:type="dxa"/>
            <w:tcBorders>
              <w:top w:val="nil"/>
              <w:bottom w:val="nil"/>
            </w:tcBorders>
          </w:tcPr>
          <w:p w:rsidR="00212513" w:rsidRDefault="00212513">
            <w:pPr>
              <w:pStyle w:val="ConsPlusNormal"/>
              <w:jc w:val="center"/>
            </w:pPr>
            <w:r>
              <w:t>0,25 (0,22)</w:t>
            </w:r>
          </w:p>
        </w:tc>
        <w:tc>
          <w:tcPr>
            <w:tcW w:w="957" w:type="dxa"/>
            <w:tcBorders>
              <w:top w:val="nil"/>
              <w:bottom w:val="nil"/>
            </w:tcBorders>
          </w:tcPr>
          <w:p w:rsidR="00212513" w:rsidRDefault="00212513">
            <w:pPr>
              <w:pStyle w:val="ConsPlusNormal"/>
              <w:jc w:val="center"/>
            </w:pPr>
            <w:r>
              <w:t>0,24 (0,21)</w:t>
            </w:r>
          </w:p>
        </w:tc>
        <w:tc>
          <w:tcPr>
            <w:tcW w:w="957" w:type="dxa"/>
            <w:tcBorders>
              <w:top w:val="nil"/>
              <w:bottom w:val="nil"/>
            </w:tcBorders>
          </w:tcPr>
          <w:p w:rsidR="00212513" w:rsidRDefault="00212513">
            <w:pPr>
              <w:pStyle w:val="ConsPlusNormal"/>
              <w:jc w:val="center"/>
            </w:pPr>
            <w:r>
              <w:t>0,21 (0,18)</w:t>
            </w:r>
          </w:p>
        </w:tc>
        <w:tc>
          <w:tcPr>
            <w:tcW w:w="957" w:type="dxa"/>
            <w:tcBorders>
              <w:top w:val="nil"/>
              <w:bottom w:val="nil"/>
            </w:tcBorders>
          </w:tcPr>
          <w:p w:rsidR="00212513" w:rsidRDefault="00212513">
            <w:pPr>
              <w:pStyle w:val="ConsPlusNormal"/>
              <w:jc w:val="center"/>
            </w:pPr>
            <w:r>
              <w:t>0,20 (0,17)</w:t>
            </w:r>
          </w:p>
        </w:tc>
        <w:tc>
          <w:tcPr>
            <w:tcW w:w="957" w:type="dxa"/>
            <w:tcBorders>
              <w:top w:val="nil"/>
              <w:bottom w:val="nil"/>
            </w:tcBorders>
          </w:tcPr>
          <w:p w:rsidR="00212513" w:rsidRDefault="00212513">
            <w:pPr>
              <w:pStyle w:val="ConsPlusNormal"/>
              <w:jc w:val="center"/>
            </w:pPr>
            <w:r>
              <w:t>0,19 (0,15)</w:t>
            </w:r>
          </w:p>
        </w:tc>
        <w:tc>
          <w:tcPr>
            <w:tcW w:w="957" w:type="dxa"/>
            <w:tcBorders>
              <w:top w:val="nil"/>
              <w:bottom w:val="nil"/>
            </w:tcBorders>
          </w:tcPr>
          <w:p w:rsidR="00212513" w:rsidRDefault="00212513">
            <w:pPr>
              <w:pStyle w:val="ConsPlusNormal"/>
              <w:jc w:val="center"/>
            </w:pPr>
            <w:r>
              <w:t>0,19 (0,14)</w:t>
            </w:r>
          </w:p>
        </w:tc>
        <w:tc>
          <w:tcPr>
            <w:tcW w:w="957" w:type="dxa"/>
            <w:tcBorders>
              <w:top w:val="nil"/>
              <w:bottom w:val="nil"/>
            </w:tcBorders>
          </w:tcPr>
          <w:p w:rsidR="00212513" w:rsidRDefault="00212513">
            <w:pPr>
              <w:pStyle w:val="ConsPlusNormal"/>
              <w:jc w:val="center"/>
            </w:pPr>
            <w:r>
              <w:t>0,18 (0,13)</w:t>
            </w:r>
          </w:p>
        </w:tc>
        <w:tc>
          <w:tcPr>
            <w:tcW w:w="957" w:type="dxa"/>
            <w:tcBorders>
              <w:top w:val="nil"/>
              <w:bottom w:val="nil"/>
            </w:tcBorders>
          </w:tcPr>
          <w:p w:rsidR="00212513" w:rsidRDefault="00212513">
            <w:pPr>
              <w:pStyle w:val="ConsPlusNormal"/>
              <w:jc w:val="center"/>
            </w:pPr>
            <w:r>
              <w:t>0,17 (0,11)</w:t>
            </w:r>
          </w:p>
        </w:tc>
        <w:tc>
          <w:tcPr>
            <w:tcW w:w="968" w:type="dxa"/>
            <w:tcBorders>
              <w:top w:val="nil"/>
              <w:bottom w:val="nil"/>
            </w:tcBorders>
          </w:tcPr>
          <w:p w:rsidR="00212513" w:rsidRDefault="00212513">
            <w:pPr>
              <w:pStyle w:val="ConsPlusNormal"/>
              <w:jc w:val="center"/>
            </w:pPr>
            <w:r>
              <w:t>0,14 (0,08)</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110</w:t>
            </w:r>
          </w:p>
        </w:tc>
        <w:tc>
          <w:tcPr>
            <w:tcW w:w="957" w:type="dxa"/>
            <w:tcBorders>
              <w:top w:val="nil"/>
              <w:bottom w:val="nil"/>
            </w:tcBorders>
          </w:tcPr>
          <w:p w:rsidR="00212513" w:rsidRDefault="00212513">
            <w:pPr>
              <w:pStyle w:val="ConsPlusNormal"/>
              <w:jc w:val="center"/>
            </w:pPr>
            <w:r>
              <w:t>0,30 (0,27)</w:t>
            </w:r>
          </w:p>
        </w:tc>
        <w:tc>
          <w:tcPr>
            <w:tcW w:w="957" w:type="dxa"/>
            <w:tcBorders>
              <w:top w:val="nil"/>
              <w:bottom w:val="nil"/>
            </w:tcBorders>
          </w:tcPr>
          <w:p w:rsidR="00212513" w:rsidRDefault="00212513">
            <w:pPr>
              <w:pStyle w:val="ConsPlusNormal"/>
              <w:jc w:val="center"/>
            </w:pPr>
            <w:r>
              <w:t>0,28 (0,25)</w:t>
            </w:r>
          </w:p>
        </w:tc>
        <w:tc>
          <w:tcPr>
            <w:tcW w:w="957" w:type="dxa"/>
            <w:tcBorders>
              <w:top w:val="nil"/>
              <w:bottom w:val="nil"/>
            </w:tcBorders>
          </w:tcPr>
          <w:p w:rsidR="00212513" w:rsidRDefault="00212513">
            <w:pPr>
              <w:pStyle w:val="ConsPlusNormal"/>
              <w:jc w:val="center"/>
            </w:pPr>
            <w:r>
              <w:t>0,27 (0,24)</w:t>
            </w:r>
          </w:p>
        </w:tc>
        <w:tc>
          <w:tcPr>
            <w:tcW w:w="957" w:type="dxa"/>
            <w:tcBorders>
              <w:top w:val="nil"/>
              <w:bottom w:val="nil"/>
            </w:tcBorders>
          </w:tcPr>
          <w:p w:rsidR="00212513" w:rsidRDefault="00212513">
            <w:pPr>
              <w:pStyle w:val="ConsPlusNormal"/>
              <w:jc w:val="center"/>
            </w:pPr>
            <w:r>
              <w:t>0,23 (0,20)</w:t>
            </w:r>
          </w:p>
        </w:tc>
        <w:tc>
          <w:tcPr>
            <w:tcW w:w="957" w:type="dxa"/>
            <w:tcBorders>
              <w:top w:val="nil"/>
              <w:bottom w:val="nil"/>
            </w:tcBorders>
          </w:tcPr>
          <w:p w:rsidR="00212513" w:rsidRDefault="00212513">
            <w:pPr>
              <w:pStyle w:val="ConsPlusNormal"/>
              <w:jc w:val="center"/>
            </w:pPr>
            <w:r>
              <w:t>0,22 (0,19)</w:t>
            </w:r>
          </w:p>
        </w:tc>
        <w:tc>
          <w:tcPr>
            <w:tcW w:w="957" w:type="dxa"/>
            <w:tcBorders>
              <w:top w:val="nil"/>
              <w:bottom w:val="nil"/>
            </w:tcBorders>
          </w:tcPr>
          <w:p w:rsidR="00212513" w:rsidRDefault="00212513">
            <w:pPr>
              <w:pStyle w:val="ConsPlusNormal"/>
              <w:jc w:val="center"/>
            </w:pPr>
            <w:r>
              <w:t>0,20 (0,17)</w:t>
            </w:r>
          </w:p>
        </w:tc>
        <w:tc>
          <w:tcPr>
            <w:tcW w:w="957" w:type="dxa"/>
            <w:tcBorders>
              <w:top w:val="nil"/>
              <w:bottom w:val="nil"/>
            </w:tcBorders>
          </w:tcPr>
          <w:p w:rsidR="00212513" w:rsidRDefault="00212513">
            <w:pPr>
              <w:pStyle w:val="ConsPlusNormal"/>
              <w:jc w:val="center"/>
            </w:pPr>
            <w:r>
              <w:t>0,18 (0,15)</w:t>
            </w:r>
          </w:p>
        </w:tc>
        <w:tc>
          <w:tcPr>
            <w:tcW w:w="957" w:type="dxa"/>
            <w:tcBorders>
              <w:top w:val="nil"/>
              <w:bottom w:val="nil"/>
            </w:tcBorders>
          </w:tcPr>
          <w:p w:rsidR="00212513" w:rsidRDefault="00212513">
            <w:pPr>
              <w:pStyle w:val="ConsPlusNormal"/>
              <w:jc w:val="center"/>
            </w:pPr>
            <w:r>
              <w:t>0,18 (0,15)</w:t>
            </w:r>
          </w:p>
        </w:tc>
        <w:tc>
          <w:tcPr>
            <w:tcW w:w="957" w:type="dxa"/>
            <w:tcBorders>
              <w:top w:val="nil"/>
              <w:bottom w:val="nil"/>
            </w:tcBorders>
          </w:tcPr>
          <w:p w:rsidR="00212513" w:rsidRDefault="00212513">
            <w:pPr>
              <w:pStyle w:val="ConsPlusNormal"/>
              <w:jc w:val="center"/>
            </w:pPr>
            <w:r>
              <w:t>0,17 (0,14)</w:t>
            </w:r>
          </w:p>
        </w:tc>
        <w:tc>
          <w:tcPr>
            <w:tcW w:w="957" w:type="dxa"/>
            <w:tcBorders>
              <w:top w:val="nil"/>
              <w:bottom w:val="nil"/>
            </w:tcBorders>
          </w:tcPr>
          <w:p w:rsidR="00212513" w:rsidRDefault="00212513">
            <w:pPr>
              <w:pStyle w:val="ConsPlusNormal"/>
              <w:jc w:val="center"/>
            </w:pPr>
            <w:r>
              <w:t>0,15 (0,12)</w:t>
            </w:r>
          </w:p>
        </w:tc>
        <w:tc>
          <w:tcPr>
            <w:tcW w:w="957" w:type="dxa"/>
            <w:tcBorders>
              <w:top w:val="nil"/>
              <w:bottom w:val="nil"/>
            </w:tcBorders>
          </w:tcPr>
          <w:p w:rsidR="00212513" w:rsidRDefault="00212513">
            <w:pPr>
              <w:pStyle w:val="ConsPlusNormal"/>
              <w:jc w:val="center"/>
            </w:pPr>
            <w:r>
              <w:t>0,15 (0,11)</w:t>
            </w:r>
          </w:p>
        </w:tc>
        <w:tc>
          <w:tcPr>
            <w:tcW w:w="957" w:type="dxa"/>
            <w:tcBorders>
              <w:top w:val="nil"/>
              <w:bottom w:val="nil"/>
            </w:tcBorders>
          </w:tcPr>
          <w:p w:rsidR="00212513" w:rsidRDefault="00212513">
            <w:pPr>
              <w:pStyle w:val="ConsPlusNormal"/>
              <w:jc w:val="center"/>
            </w:pPr>
            <w:r>
              <w:t>0,15 (0,10)</w:t>
            </w:r>
          </w:p>
        </w:tc>
        <w:tc>
          <w:tcPr>
            <w:tcW w:w="968" w:type="dxa"/>
            <w:tcBorders>
              <w:top w:val="nil"/>
              <w:bottom w:val="nil"/>
            </w:tcBorders>
          </w:tcPr>
          <w:p w:rsidR="00212513" w:rsidRDefault="00212513">
            <w:pPr>
              <w:pStyle w:val="ConsPlusNormal"/>
              <w:jc w:val="center"/>
            </w:pPr>
            <w:r>
              <w:t>0,13 (0,08)</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120</w:t>
            </w:r>
          </w:p>
        </w:tc>
        <w:tc>
          <w:tcPr>
            <w:tcW w:w="957" w:type="dxa"/>
            <w:tcBorders>
              <w:top w:val="nil"/>
              <w:bottom w:val="nil"/>
            </w:tcBorders>
          </w:tcPr>
          <w:p w:rsidR="00212513" w:rsidRDefault="00212513">
            <w:pPr>
              <w:pStyle w:val="ConsPlusNormal"/>
              <w:jc w:val="center"/>
            </w:pPr>
            <w:r>
              <w:t>0,26 (0,24)</w:t>
            </w:r>
          </w:p>
        </w:tc>
        <w:tc>
          <w:tcPr>
            <w:tcW w:w="957" w:type="dxa"/>
            <w:tcBorders>
              <w:top w:val="nil"/>
              <w:bottom w:val="nil"/>
            </w:tcBorders>
          </w:tcPr>
          <w:p w:rsidR="00212513" w:rsidRDefault="00212513">
            <w:pPr>
              <w:pStyle w:val="ConsPlusNormal"/>
              <w:jc w:val="center"/>
            </w:pPr>
            <w:r>
              <w:t>0,25 (0,23)</w:t>
            </w:r>
          </w:p>
        </w:tc>
        <w:tc>
          <w:tcPr>
            <w:tcW w:w="957" w:type="dxa"/>
            <w:tcBorders>
              <w:top w:val="nil"/>
              <w:bottom w:val="nil"/>
            </w:tcBorders>
          </w:tcPr>
          <w:p w:rsidR="00212513" w:rsidRDefault="00212513">
            <w:pPr>
              <w:pStyle w:val="ConsPlusNormal"/>
              <w:jc w:val="center"/>
            </w:pPr>
            <w:r>
              <w:t>0,24 (0,22)</w:t>
            </w:r>
          </w:p>
        </w:tc>
        <w:tc>
          <w:tcPr>
            <w:tcW w:w="957" w:type="dxa"/>
            <w:tcBorders>
              <w:top w:val="nil"/>
              <w:bottom w:val="nil"/>
            </w:tcBorders>
          </w:tcPr>
          <w:p w:rsidR="00212513" w:rsidRDefault="00212513">
            <w:pPr>
              <w:pStyle w:val="ConsPlusNormal"/>
              <w:jc w:val="center"/>
            </w:pPr>
            <w:r>
              <w:t>0,21 (0,19)</w:t>
            </w:r>
          </w:p>
        </w:tc>
        <w:tc>
          <w:tcPr>
            <w:tcW w:w="957" w:type="dxa"/>
            <w:tcBorders>
              <w:top w:val="nil"/>
              <w:bottom w:val="nil"/>
            </w:tcBorders>
          </w:tcPr>
          <w:p w:rsidR="00212513" w:rsidRDefault="00212513">
            <w:pPr>
              <w:pStyle w:val="ConsPlusNormal"/>
              <w:jc w:val="center"/>
            </w:pPr>
            <w:r>
              <w:t>0,20 (0,18)</w:t>
            </w:r>
          </w:p>
        </w:tc>
        <w:tc>
          <w:tcPr>
            <w:tcW w:w="957" w:type="dxa"/>
            <w:tcBorders>
              <w:top w:val="nil"/>
              <w:bottom w:val="nil"/>
            </w:tcBorders>
          </w:tcPr>
          <w:p w:rsidR="00212513" w:rsidRDefault="00212513">
            <w:pPr>
              <w:pStyle w:val="ConsPlusNormal"/>
              <w:jc w:val="center"/>
            </w:pPr>
            <w:r>
              <w:t>0,19 (0,17)</w:t>
            </w:r>
          </w:p>
        </w:tc>
        <w:tc>
          <w:tcPr>
            <w:tcW w:w="957" w:type="dxa"/>
            <w:tcBorders>
              <w:top w:val="nil"/>
              <w:bottom w:val="nil"/>
            </w:tcBorders>
          </w:tcPr>
          <w:p w:rsidR="00212513" w:rsidRDefault="00212513">
            <w:pPr>
              <w:pStyle w:val="ConsPlusNormal"/>
              <w:jc w:val="center"/>
            </w:pPr>
            <w:r>
              <w:t>0,16 (0,14)</w:t>
            </w:r>
          </w:p>
        </w:tc>
        <w:tc>
          <w:tcPr>
            <w:tcW w:w="957" w:type="dxa"/>
            <w:tcBorders>
              <w:top w:val="nil"/>
              <w:bottom w:val="nil"/>
            </w:tcBorders>
          </w:tcPr>
          <w:p w:rsidR="00212513" w:rsidRDefault="00212513">
            <w:pPr>
              <w:pStyle w:val="ConsPlusNormal"/>
              <w:jc w:val="center"/>
            </w:pPr>
            <w:r>
              <w:t>0,16 (0,14)</w:t>
            </w:r>
          </w:p>
        </w:tc>
        <w:tc>
          <w:tcPr>
            <w:tcW w:w="957" w:type="dxa"/>
            <w:tcBorders>
              <w:top w:val="nil"/>
              <w:bottom w:val="nil"/>
            </w:tcBorders>
          </w:tcPr>
          <w:p w:rsidR="00212513" w:rsidRDefault="00212513">
            <w:pPr>
              <w:pStyle w:val="ConsPlusNormal"/>
              <w:jc w:val="center"/>
            </w:pPr>
            <w:r>
              <w:t>0,15 (0,13)</w:t>
            </w:r>
          </w:p>
        </w:tc>
        <w:tc>
          <w:tcPr>
            <w:tcW w:w="957" w:type="dxa"/>
            <w:tcBorders>
              <w:top w:val="nil"/>
              <w:bottom w:val="nil"/>
            </w:tcBorders>
          </w:tcPr>
          <w:p w:rsidR="00212513" w:rsidRDefault="00212513">
            <w:pPr>
              <w:pStyle w:val="ConsPlusNormal"/>
              <w:jc w:val="center"/>
            </w:pPr>
            <w:r>
              <w:t>0,14 (0,12)</w:t>
            </w:r>
          </w:p>
        </w:tc>
        <w:tc>
          <w:tcPr>
            <w:tcW w:w="957" w:type="dxa"/>
            <w:tcBorders>
              <w:top w:val="nil"/>
              <w:bottom w:val="nil"/>
            </w:tcBorders>
          </w:tcPr>
          <w:p w:rsidR="00212513" w:rsidRDefault="00212513">
            <w:pPr>
              <w:pStyle w:val="ConsPlusNormal"/>
              <w:jc w:val="center"/>
            </w:pPr>
            <w:r>
              <w:t>0,13 (0,11)</w:t>
            </w:r>
          </w:p>
        </w:tc>
        <w:tc>
          <w:tcPr>
            <w:tcW w:w="957" w:type="dxa"/>
            <w:tcBorders>
              <w:top w:val="nil"/>
              <w:bottom w:val="nil"/>
            </w:tcBorders>
          </w:tcPr>
          <w:p w:rsidR="00212513" w:rsidRDefault="00212513">
            <w:pPr>
              <w:pStyle w:val="ConsPlusNormal"/>
              <w:jc w:val="center"/>
            </w:pPr>
            <w:r>
              <w:t>0,12 (0,10)</w:t>
            </w:r>
          </w:p>
        </w:tc>
        <w:tc>
          <w:tcPr>
            <w:tcW w:w="968" w:type="dxa"/>
            <w:tcBorders>
              <w:top w:val="nil"/>
              <w:bottom w:val="nil"/>
            </w:tcBorders>
          </w:tcPr>
          <w:p w:rsidR="00212513" w:rsidRDefault="00212513">
            <w:pPr>
              <w:pStyle w:val="ConsPlusNormal"/>
              <w:jc w:val="center"/>
            </w:pPr>
            <w:r>
              <w:t>0,10 (0,08)</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130</w:t>
            </w:r>
          </w:p>
        </w:tc>
        <w:tc>
          <w:tcPr>
            <w:tcW w:w="957" w:type="dxa"/>
            <w:tcBorders>
              <w:top w:val="nil"/>
              <w:bottom w:val="nil"/>
            </w:tcBorders>
          </w:tcPr>
          <w:p w:rsidR="00212513" w:rsidRDefault="00212513">
            <w:pPr>
              <w:pStyle w:val="ConsPlusNormal"/>
              <w:jc w:val="center"/>
            </w:pPr>
            <w:r>
              <w:t>0,23 (0,21)</w:t>
            </w:r>
          </w:p>
        </w:tc>
        <w:tc>
          <w:tcPr>
            <w:tcW w:w="957" w:type="dxa"/>
            <w:tcBorders>
              <w:top w:val="nil"/>
              <w:bottom w:val="nil"/>
            </w:tcBorders>
          </w:tcPr>
          <w:p w:rsidR="00212513" w:rsidRDefault="00212513">
            <w:pPr>
              <w:pStyle w:val="ConsPlusNormal"/>
              <w:jc w:val="center"/>
            </w:pPr>
            <w:r>
              <w:t>0,22 (0,21)</w:t>
            </w:r>
          </w:p>
        </w:tc>
        <w:tc>
          <w:tcPr>
            <w:tcW w:w="957" w:type="dxa"/>
            <w:tcBorders>
              <w:top w:val="nil"/>
              <w:bottom w:val="nil"/>
            </w:tcBorders>
          </w:tcPr>
          <w:p w:rsidR="00212513" w:rsidRDefault="00212513">
            <w:pPr>
              <w:pStyle w:val="ConsPlusNormal"/>
              <w:jc w:val="center"/>
            </w:pPr>
            <w:r>
              <w:t>0,21 (0,19)</w:t>
            </w:r>
          </w:p>
        </w:tc>
        <w:tc>
          <w:tcPr>
            <w:tcW w:w="957" w:type="dxa"/>
            <w:tcBorders>
              <w:top w:val="nil"/>
              <w:bottom w:val="nil"/>
            </w:tcBorders>
          </w:tcPr>
          <w:p w:rsidR="00212513" w:rsidRDefault="00212513">
            <w:pPr>
              <w:pStyle w:val="ConsPlusNormal"/>
              <w:jc w:val="center"/>
            </w:pPr>
            <w:r>
              <w:t>0,19 (0,17)</w:t>
            </w:r>
          </w:p>
        </w:tc>
        <w:tc>
          <w:tcPr>
            <w:tcW w:w="957" w:type="dxa"/>
            <w:tcBorders>
              <w:top w:val="nil"/>
              <w:bottom w:val="nil"/>
            </w:tcBorders>
          </w:tcPr>
          <w:p w:rsidR="00212513" w:rsidRDefault="00212513">
            <w:pPr>
              <w:pStyle w:val="ConsPlusNormal"/>
              <w:jc w:val="center"/>
            </w:pPr>
            <w:r>
              <w:t>0,18 (0,16)</w:t>
            </w:r>
          </w:p>
        </w:tc>
        <w:tc>
          <w:tcPr>
            <w:tcW w:w="957" w:type="dxa"/>
            <w:tcBorders>
              <w:top w:val="nil"/>
              <w:bottom w:val="nil"/>
            </w:tcBorders>
          </w:tcPr>
          <w:p w:rsidR="00212513" w:rsidRDefault="00212513">
            <w:pPr>
              <w:pStyle w:val="ConsPlusNormal"/>
              <w:jc w:val="center"/>
            </w:pPr>
            <w:r>
              <w:t>0,17 (0,15)</w:t>
            </w:r>
          </w:p>
        </w:tc>
        <w:tc>
          <w:tcPr>
            <w:tcW w:w="957" w:type="dxa"/>
            <w:tcBorders>
              <w:top w:val="nil"/>
              <w:bottom w:val="nil"/>
            </w:tcBorders>
          </w:tcPr>
          <w:p w:rsidR="00212513" w:rsidRDefault="00212513">
            <w:pPr>
              <w:pStyle w:val="ConsPlusNormal"/>
              <w:jc w:val="center"/>
            </w:pPr>
            <w:r>
              <w:t>0,15 (0,13)</w:t>
            </w:r>
          </w:p>
        </w:tc>
        <w:tc>
          <w:tcPr>
            <w:tcW w:w="957" w:type="dxa"/>
            <w:tcBorders>
              <w:top w:val="nil"/>
              <w:bottom w:val="nil"/>
            </w:tcBorders>
          </w:tcPr>
          <w:p w:rsidR="00212513" w:rsidRDefault="00212513">
            <w:pPr>
              <w:pStyle w:val="ConsPlusNormal"/>
              <w:jc w:val="center"/>
            </w:pPr>
            <w:r>
              <w:t>0,15 (0,13)</w:t>
            </w:r>
          </w:p>
        </w:tc>
        <w:tc>
          <w:tcPr>
            <w:tcW w:w="957" w:type="dxa"/>
            <w:tcBorders>
              <w:top w:val="nil"/>
              <w:bottom w:val="nil"/>
            </w:tcBorders>
          </w:tcPr>
          <w:p w:rsidR="00212513" w:rsidRDefault="00212513">
            <w:pPr>
              <w:pStyle w:val="ConsPlusNormal"/>
              <w:jc w:val="center"/>
            </w:pPr>
            <w:r>
              <w:t>0,14 (0,12)</w:t>
            </w:r>
          </w:p>
        </w:tc>
        <w:tc>
          <w:tcPr>
            <w:tcW w:w="957" w:type="dxa"/>
            <w:tcBorders>
              <w:top w:val="nil"/>
              <w:bottom w:val="nil"/>
            </w:tcBorders>
          </w:tcPr>
          <w:p w:rsidR="00212513" w:rsidRDefault="00212513">
            <w:pPr>
              <w:pStyle w:val="ConsPlusNormal"/>
              <w:jc w:val="center"/>
            </w:pPr>
            <w:r>
              <w:t>0,13 (0,11)</w:t>
            </w:r>
          </w:p>
        </w:tc>
        <w:tc>
          <w:tcPr>
            <w:tcW w:w="957" w:type="dxa"/>
            <w:tcBorders>
              <w:top w:val="nil"/>
              <w:bottom w:val="nil"/>
            </w:tcBorders>
          </w:tcPr>
          <w:p w:rsidR="00212513" w:rsidRDefault="00212513">
            <w:pPr>
              <w:pStyle w:val="ConsPlusNormal"/>
              <w:jc w:val="center"/>
            </w:pPr>
            <w:r>
              <w:t>0,12 (0,11)</w:t>
            </w:r>
          </w:p>
        </w:tc>
        <w:tc>
          <w:tcPr>
            <w:tcW w:w="957" w:type="dxa"/>
            <w:tcBorders>
              <w:top w:val="nil"/>
              <w:bottom w:val="nil"/>
            </w:tcBorders>
          </w:tcPr>
          <w:p w:rsidR="00212513" w:rsidRDefault="00212513">
            <w:pPr>
              <w:pStyle w:val="ConsPlusNormal"/>
              <w:jc w:val="center"/>
            </w:pPr>
            <w:r>
              <w:t>0,11 (0,09)</w:t>
            </w:r>
          </w:p>
        </w:tc>
        <w:tc>
          <w:tcPr>
            <w:tcW w:w="968" w:type="dxa"/>
            <w:tcBorders>
              <w:top w:val="nil"/>
              <w:bottom w:val="nil"/>
            </w:tcBorders>
          </w:tcPr>
          <w:p w:rsidR="00212513" w:rsidRDefault="00212513">
            <w:pPr>
              <w:pStyle w:val="ConsPlusNormal"/>
              <w:jc w:val="center"/>
            </w:pPr>
            <w:r>
              <w:t>0,10 (0,08)</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lastRenderedPageBreak/>
              <w:t>140</w:t>
            </w:r>
          </w:p>
        </w:tc>
        <w:tc>
          <w:tcPr>
            <w:tcW w:w="957" w:type="dxa"/>
            <w:tcBorders>
              <w:top w:val="nil"/>
              <w:bottom w:val="nil"/>
            </w:tcBorders>
          </w:tcPr>
          <w:p w:rsidR="00212513" w:rsidRDefault="00212513">
            <w:pPr>
              <w:pStyle w:val="ConsPlusNormal"/>
              <w:jc w:val="center"/>
            </w:pPr>
            <w:r>
              <w:t>0,21 (0,20)</w:t>
            </w:r>
          </w:p>
        </w:tc>
        <w:tc>
          <w:tcPr>
            <w:tcW w:w="957" w:type="dxa"/>
            <w:tcBorders>
              <w:top w:val="nil"/>
              <w:bottom w:val="nil"/>
            </w:tcBorders>
          </w:tcPr>
          <w:p w:rsidR="00212513" w:rsidRDefault="00212513">
            <w:pPr>
              <w:pStyle w:val="ConsPlusNormal"/>
              <w:jc w:val="center"/>
            </w:pPr>
            <w:r>
              <w:t>0,20 (0,19)</w:t>
            </w:r>
          </w:p>
        </w:tc>
        <w:tc>
          <w:tcPr>
            <w:tcW w:w="957" w:type="dxa"/>
            <w:tcBorders>
              <w:top w:val="nil"/>
              <w:bottom w:val="nil"/>
            </w:tcBorders>
          </w:tcPr>
          <w:p w:rsidR="00212513" w:rsidRDefault="00212513">
            <w:pPr>
              <w:pStyle w:val="ConsPlusNormal"/>
              <w:jc w:val="center"/>
            </w:pPr>
            <w:r>
              <w:t>0,19 (0,18)</w:t>
            </w:r>
          </w:p>
        </w:tc>
        <w:tc>
          <w:tcPr>
            <w:tcW w:w="957" w:type="dxa"/>
            <w:tcBorders>
              <w:top w:val="nil"/>
              <w:bottom w:val="nil"/>
            </w:tcBorders>
          </w:tcPr>
          <w:p w:rsidR="00212513" w:rsidRDefault="00212513">
            <w:pPr>
              <w:pStyle w:val="ConsPlusNormal"/>
              <w:jc w:val="center"/>
            </w:pPr>
            <w:r>
              <w:t>0,17 (0,16)</w:t>
            </w:r>
          </w:p>
        </w:tc>
        <w:tc>
          <w:tcPr>
            <w:tcW w:w="957" w:type="dxa"/>
            <w:tcBorders>
              <w:top w:val="nil"/>
              <w:bottom w:val="nil"/>
            </w:tcBorders>
          </w:tcPr>
          <w:p w:rsidR="00212513" w:rsidRDefault="00212513">
            <w:pPr>
              <w:pStyle w:val="ConsPlusNormal"/>
              <w:jc w:val="center"/>
            </w:pPr>
            <w:r>
              <w:t>0,16 (0,15)</w:t>
            </w:r>
          </w:p>
        </w:tc>
        <w:tc>
          <w:tcPr>
            <w:tcW w:w="957" w:type="dxa"/>
            <w:tcBorders>
              <w:top w:val="nil"/>
              <w:bottom w:val="nil"/>
            </w:tcBorders>
          </w:tcPr>
          <w:p w:rsidR="00212513" w:rsidRDefault="00212513">
            <w:pPr>
              <w:pStyle w:val="ConsPlusNormal"/>
              <w:jc w:val="center"/>
            </w:pPr>
            <w:r>
              <w:t>0,16 (0,15)</w:t>
            </w:r>
          </w:p>
        </w:tc>
        <w:tc>
          <w:tcPr>
            <w:tcW w:w="957" w:type="dxa"/>
            <w:tcBorders>
              <w:top w:val="nil"/>
              <w:bottom w:val="nil"/>
            </w:tcBorders>
          </w:tcPr>
          <w:p w:rsidR="00212513" w:rsidRDefault="00212513">
            <w:pPr>
              <w:pStyle w:val="ConsPlusNormal"/>
              <w:jc w:val="center"/>
            </w:pPr>
            <w:r>
              <w:t>0,14 (0,13)</w:t>
            </w:r>
          </w:p>
        </w:tc>
        <w:tc>
          <w:tcPr>
            <w:tcW w:w="957" w:type="dxa"/>
            <w:tcBorders>
              <w:top w:val="nil"/>
              <w:bottom w:val="nil"/>
            </w:tcBorders>
          </w:tcPr>
          <w:p w:rsidR="00212513" w:rsidRDefault="00212513">
            <w:pPr>
              <w:pStyle w:val="ConsPlusNormal"/>
              <w:jc w:val="center"/>
            </w:pPr>
            <w:r>
              <w:t>0,14 (0,13)</w:t>
            </w:r>
          </w:p>
        </w:tc>
        <w:tc>
          <w:tcPr>
            <w:tcW w:w="957" w:type="dxa"/>
            <w:tcBorders>
              <w:top w:val="nil"/>
              <w:bottom w:val="nil"/>
            </w:tcBorders>
          </w:tcPr>
          <w:p w:rsidR="00212513" w:rsidRDefault="00212513">
            <w:pPr>
              <w:pStyle w:val="ConsPlusNormal"/>
              <w:jc w:val="center"/>
            </w:pPr>
            <w:r>
              <w:t>0,13 (0,12)</w:t>
            </w:r>
          </w:p>
        </w:tc>
        <w:tc>
          <w:tcPr>
            <w:tcW w:w="957" w:type="dxa"/>
            <w:tcBorders>
              <w:top w:val="nil"/>
              <w:bottom w:val="nil"/>
            </w:tcBorders>
          </w:tcPr>
          <w:p w:rsidR="00212513" w:rsidRDefault="00212513">
            <w:pPr>
              <w:pStyle w:val="ConsPlusNormal"/>
              <w:jc w:val="center"/>
            </w:pPr>
            <w:r>
              <w:t>0,12 (0,11)</w:t>
            </w:r>
          </w:p>
        </w:tc>
        <w:tc>
          <w:tcPr>
            <w:tcW w:w="957" w:type="dxa"/>
            <w:tcBorders>
              <w:top w:val="nil"/>
              <w:bottom w:val="nil"/>
            </w:tcBorders>
          </w:tcPr>
          <w:p w:rsidR="00212513" w:rsidRDefault="00212513">
            <w:pPr>
              <w:pStyle w:val="ConsPlusNormal"/>
              <w:jc w:val="center"/>
            </w:pPr>
            <w:r>
              <w:t>0,11 (0,10)</w:t>
            </w:r>
          </w:p>
        </w:tc>
        <w:tc>
          <w:tcPr>
            <w:tcW w:w="957" w:type="dxa"/>
            <w:tcBorders>
              <w:top w:val="nil"/>
              <w:bottom w:val="nil"/>
            </w:tcBorders>
          </w:tcPr>
          <w:p w:rsidR="00212513" w:rsidRDefault="00212513">
            <w:pPr>
              <w:pStyle w:val="ConsPlusNormal"/>
              <w:jc w:val="center"/>
            </w:pPr>
            <w:r>
              <w:t>0,11 (0,09)</w:t>
            </w:r>
          </w:p>
        </w:tc>
        <w:tc>
          <w:tcPr>
            <w:tcW w:w="968" w:type="dxa"/>
            <w:tcBorders>
              <w:top w:val="nil"/>
              <w:bottom w:val="nil"/>
            </w:tcBorders>
          </w:tcPr>
          <w:p w:rsidR="00212513" w:rsidRDefault="00212513">
            <w:pPr>
              <w:pStyle w:val="ConsPlusNormal"/>
              <w:jc w:val="center"/>
            </w:pPr>
            <w:r>
              <w:t>0,09 (0,08)</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150</w:t>
            </w:r>
          </w:p>
        </w:tc>
        <w:tc>
          <w:tcPr>
            <w:tcW w:w="957" w:type="dxa"/>
            <w:tcBorders>
              <w:top w:val="nil"/>
              <w:bottom w:val="nil"/>
            </w:tcBorders>
          </w:tcPr>
          <w:p w:rsidR="00212513" w:rsidRDefault="00212513">
            <w:pPr>
              <w:pStyle w:val="ConsPlusNormal"/>
              <w:jc w:val="center"/>
            </w:pPr>
            <w:r>
              <w:t>0,19</w:t>
            </w:r>
          </w:p>
        </w:tc>
        <w:tc>
          <w:tcPr>
            <w:tcW w:w="957" w:type="dxa"/>
            <w:tcBorders>
              <w:top w:val="nil"/>
              <w:bottom w:val="nil"/>
            </w:tcBorders>
          </w:tcPr>
          <w:p w:rsidR="00212513" w:rsidRDefault="00212513">
            <w:pPr>
              <w:pStyle w:val="ConsPlusNormal"/>
              <w:jc w:val="center"/>
            </w:pPr>
            <w:r>
              <w:t>0,18</w:t>
            </w:r>
          </w:p>
        </w:tc>
        <w:tc>
          <w:tcPr>
            <w:tcW w:w="957" w:type="dxa"/>
            <w:tcBorders>
              <w:top w:val="nil"/>
              <w:bottom w:val="nil"/>
            </w:tcBorders>
          </w:tcPr>
          <w:p w:rsidR="00212513" w:rsidRDefault="00212513">
            <w:pPr>
              <w:pStyle w:val="ConsPlusNormal"/>
              <w:jc w:val="center"/>
            </w:pPr>
            <w:r>
              <w:t>0,17</w:t>
            </w:r>
          </w:p>
        </w:tc>
        <w:tc>
          <w:tcPr>
            <w:tcW w:w="957" w:type="dxa"/>
            <w:tcBorders>
              <w:top w:val="nil"/>
              <w:bottom w:val="nil"/>
            </w:tcBorders>
          </w:tcPr>
          <w:p w:rsidR="00212513" w:rsidRDefault="00212513">
            <w:pPr>
              <w:pStyle w:val="ConsPlusNormal"/>
              <w:jc w:val="center"/>
            </w:pPr>
            <w:r>
              <w:t>0,15</w:t>
            </w:r>
          </w:p>
        </w:tc>
        <w:tc>
          <w:tcPr>
            <w:tcW w:w="957" w:type="dxa"/>
            <w:tcBorders>
              <w:top w:val="nil"/>
              <w:bottom w:val="nil"/>
            </w:tcBorders>
          </w:tcPr>
          <w:p w:rsidR="00212513" w:rsidRDefault="00212513">
            <w:pPr>
              <w:pStyle w:val="ConsPlusNormal"/>
              <w:jc w:val="center"/>
            </w:pPr>
            <w:r>
              <w:t>0,14</w:t>
            </w:r>
          </w:p>
        </w:tc>
        <w:tc>
          <w:tcPr>
            <w:tcW w:w="957" w:type="dxa"/>
            <w:tcBorders>
              <w:top w:val="nil"/>
              <w:bottom w:val="nil"/>
            </w:tcBorders>
          </w:tcPr>
          <w:p w:rsidR="00212513" w:rsidRDefault="00212513">
            <w:pPr>
              <w:pStyle w:val="ConsPlusNormal"/>
              <w:jc w:val="center"/>
            </w:pPr>
            <w:r>
              <w:t>0,14</w:t>
            </w:r>
          </w:p>
        </w:tc>
        <w:tc>
          <w:tcPr>
            <w:tcW w:w="957" w:type="dxa"/>
            <w:tcBorders>
              <w:top w:val="nil"/>
              <w:bottom w:val="nil"/>
            </w:tcBorders>
          </w:tcPr>
          <w:p w:rsidR="00212513" w:rsidRDefault="00212513">
            <w:pPr>
              <w:pStyle w:val="ConsPlusNormal"/>
              <w:jc w:val="center"/>
            </w:pPr>
            <w:r>
              <w:t>0,12</w:t>
            </w:r>
          </w:p>
        </w:tc>
        <w:tc>
          <w:tcPr>
            <w:tcW w:w="957" w:type="dxa"/>
            <w:tcBorders>
              <w:top w:val="nil"/>
              <w:bottom w:val="nil"/>
            </w:tcBorders>
          </w:tcPr>
          <w:p w:rsidR="00212513" w:rsidRDefault="00212513">
            <w:pPr>
              <w:pStyle w:val="ConsPlusNormal"/>
              <w:jc w:val="center"/>
            </w:pPr>
            <w:r>
              <w:t>0,11</w:t>
            </w:r>
          </w:p>
        </w:tc>
        <w:tc>
          <w:tcPr>
            <w:tcW w:w="957" w:type="dxa"/>
            <w:tcBorders>
              <w:top w:val="nil"/>
              <w:bottom w:val="nil"/>
            </w:tcBorders>
          </w:tcPr>
          <w:p w:rsidR="00212513" w:rsidRDefault="00212513">
            <w:pPr>
              <w:pStyle w:val="ConsPlusNormal"/>
              <w:jc w:val="center"/>
            </w:pPr>
            <w:r>
              <w:t>0,10</w:t>
            </w:r>
          </w:p>
        </w:tc>
        <w:tc>
          <w:tcPr>
            <w:tcW w:w="957" w:type="dxa"/>
            <w:tcBorders>
              <w:top w:val="nil"/>
              <w:bottom w:val="nil"/>
            </w:tcBorders>
          </w:tcPr>
          <w:p w:rsidR="00212513" w:rsidRDefault="00212513">
            <w:pPr>
              <w:pStyle w:val="ConsPlusNormal"/>
              <w:jc w:val="center"/>
            </w:pPr>
            <w:r>
              <w:t>0,10</w:t>
            </w:r>
          </w:p>
        </w:tc>
        <w:tc>
          <w:tcPr>
            <w:tcW w:w="957" w:type="dxa"/>
            <w:tcBorders>
              <w:top w:val="nil"/>
              <w:bottom w:val="nil"/>
            </w:tcBorders>
          </w:tcPr>
          <w:p w:rsidR="00212513" w:rsidRDefault="00212513">
            <w:pPr>
              <w:pStyle w:val="ConsPlusNormal"/>
              <w:jc w:val="center"/>
            </w:pPr>
            <w:r>
              <w:t>0,09</w:t>
            </w:r>
          </w:p>
        </w:tc>
        <w:tc>
          <w:tcPr>
            <w:tcW w:w="957" w:type="dxa"/>
            <w:tcBorders>
              <w:top w:val="nil"/>
              <w:bottom w:val="nil"/>
            </w:tcBorders>
          </w:tcPr>
          <w:p w:rsidR="00212513" w:rsidRDefault="00212513">
            <w:pPr>
              <w:pStyle w:val="ConsPlusNormal"/>
              <w:jc w:val="center"/>
            </w:pPr>
            <w:r>
              <w:t>0,08</w:t>
            </w:r>
          </w:p>
        </w:tc>
        <w:tc>
          <w:tcPr>
            <w:tcW w:w="968" w:type="dxa"/>
            <w:tcBorders>
              <w:top w:val="nil"/>
              <w:bottom w:val="nil"/>
            </w:tcBorders>
          </w:tcPr>
          <w:p w:rsidR="00212513" w:rsidRDefault="00212513">
            <w:pPr>
              <w:pStyle w:val="ConsPlusNormal"/>
              <w:jc w:val="center"/>
            </w:pPr>
            <w:r>
              <w:t>0,07</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160</w:t>
            </w:r>
          </w:p>
        </w:tc>
        <w:tc>
          <w:tcPr>
            <w:tcW w:w="957" w:type="dxa"/>
            <w:tcBorders>
              <w:top w:val="nil"/>
              <w:bottom w:val="nil"/>
            </w:tcBorders>
          </w:tcPr>
          <w:p w:rsidR="00212513" w:rsidRDefault="00212513">
            <w:pPr>
              <w:pStyle w:val="ConsPlusNormal"/>
              <w:jc w:val="center"/>
            </w:pPr>
            <w:r>
              <w:t>0,17</w:t>
            </w:r>
          </w:p>
        </w:tc>
        <w:tc>
          <w:tcPr>
            <w:tcW w:w="957" w:type="dxa"/>
            <w:tcBorders>
              <w:top w:val="nil"/>
              <w:bottom w:val="nil"/>
            </w:tcBorders>
          </w:tcPr>
          <w:p w:rsidR="00212513" w:rsidRDefault="00212513">
            <w:pPr>
              <w:pStyle w:val="ConsPlusNormal"/>
              <w:jc w:val="center"/>
            </w:pPr>
            <w:r>
              <w:t>0,16</w:t>
            </w:r>
          </w:p>
        </w:tc>
        <w:tc>
          <w:tcPr>
            <w:tcW w:w="957" w:type="dxa"/>
            <w:tcBorders>
              <w:top w:val="nil"/>
              <w:bottom w:val="nil"/>
            </w:tcBorders>
          </w:tcPr>
          <w:p w:rsidR="00212513" w:rsidRDefault="00212513">
            <w:pPr>
              <w:pStyle w:val="ConsPlusNormal"/>
              <w:jc w:val="center"/>
            </w:pPr>
            <w:r>
              <w:t>0,15</w:t>
            </w:r>
          </w:p>
        </w:tc>
        <w:tc>
          <w:tcPr>
            <w:tcW w:w="957" w:type="dxa"/>
            <w:tcBorders>
              <w:top w:val="nil"/>
              <w:bottom w:val="nil"/>
            </w:tcBorders>
          </w:tcPr>
          <w:p w:rsidR="00212513" w:rsidRDefault="00212513">
            <w:pPr>
              <w:pStyle w:val="ConsPlusNormal"/>
              <w:jc w:val="center"/>
            </w:pPr>
            <w:r>
              <w:t>0,14</w:t>
            </w:r>
          </w:p>
        </w:tc>
        <w:tc>
          <w:tcPr>
            <w:tcW w:w="957" w:type="dxa"/>
            <w:tcBorders>
              <w:top w:val="nil"/>
              <w:bottom w:val="nil"/>
            </w:tcBorders>
          </w:tcPr>
          <w:p w:rsidR="00212513" w:rsidRDefault="00212513">
            <w:pPr>
              <w:pStyle w:val="ConsPlusNormal"/>
              <w:jc w:val="center"/>
            </w:pPr>
            <w:r>
              <w:t>0,13</w:t>
            </w:r>
          </w:p>
        </w:tc>
        <w:tc>
          <w:tcPr>
            <w:tcW w:w="957" w:type="dxa"/>
            <w:tcBorders>
              <w:top w:val="nil"/>
              <w:bottom w:val="nil"/>
            </w:tcBorders>
          </w:tcPr>
          <w:p w:rsidR="00212513" w:rsidRDefault="00212513">
            <w:pPr>
              <w:pStyle w:val="ConsPlusNormal"/>
              <w:jc w:val="center"/>
            </w:pPr>
            <w:r>
              <w:t>0,12</w:t>
            </w:r>
          </w:p>
        </w:tc>
        <w:tc>
          <w:tcPr>
            <w:tcW w:w="957" w:type="dxa"/>
            <w:tcBorders>
              <w:top w:val="nil"/>
              <w:bottom w:val="nil"/>
            </w:tcBorders>
          </w:tcPr>
          <w:p w:rsidR="00212513" w:rsidRDefault="00212513">
            <w:pPr>
              <w:pStyle w:val="ConsPlusNormal"/>
              <w:jc w:val="center"/>
            </w:pPr>
            <w:r>
              <w:t>0,11</w:t>
            </w:r>
          </w:p>
        </w:tc>
        <w:tc>
          <w:tcPr>
            <w:tcW w:w="957" w:type="dxa"/>
            <w:tcBorders>
              <w:top w:val="nil"/>
              <w:bottom w:val="nil"/>
            </w:tcBorders>
          </w:tcPr>
          <w:p w:rsidR="00212513" w:rsidRDefault="00212513">
            <w:pPr>
              <w:pStyle w:val="ConsPlusNormal"/>
              <w:jc w:val="center"/>
            </w:pPr>
            <w:r>
              <w:t>0,11</w:t>
            </w:r>
          </w:p>
        </w:tc>
        <w:tc>
          <w:tcPr>
            <w:tcW w:w="957" w:type="dxa"/>
            <w:tcBorders>
              <w:top w:val="nil"/>
              <w:bottom w:val="nil"/>
            </w:tcBorders>
          </w:tcPr>
          <w:p w:rsidR="00212513" w:rsidRDefault="00212513">
            <w:pPr>
              <w:pStyle w:val="ConsPlusNormal"/>
              <w:jc w:val="center"/>
            </w:pPr>
            <w:r>
              <w:t>0,10</w:t>
            </w:r>
          </w:p>
        </w:tc>
        <w:tc>
          <w:tcPr>
            <w:tcW w:w="957" w:type="dxa"/>
            <w:tcBorders>
              <w:top w:val="nil"/>
              <w:bottom w:val="nil"/>
            </w:tcBorders>
          </w:tcPr>
          <w:p w:rsidR="00212513" w:rsidRDefault="00212513">
            <w:pPr>
              <w:pStyle w:val="ConsPlusNormal"/>
              <w:jc w:val="center"/>
            </w:pPr>
            <w:r>
              <w:t>0,09</w:t>
            </w:r>
          </w:p>
        </w:tc>
        <w:tc>
          <w:tcPr>
            <w:tcW w:w="957" w:type="dxa"/>
            <w:tcBorders>
              <w:top w:val="nil"/>
              <w:bottom w:val="nil"/>
            </w:tcBorders>
          </w:tcPr>
          <w:p w:rsidR="00212513" w:rsidRDefault="00212513">
            <w:pPr>
              <w:pStyle w:val="ConsPlusNormal"/>
              <w:jc w:val="center"/>
            </w:pPr>
            <w:r>
              <w:t>0,09</w:t>
            </w:r>
          </w:p>
        </w:tc>
        <w:tc>
          <w:tcPr>
            <w:tcW w:w="957" w:type="dxa"/>
            <w:tcBorders>
              <w:top w:val="nil"/>
              <w:bottom w:val="nil"/>
            </w:tcBorders>
          </w:tcPr>
          <w:p w:rsidR="00212513" w:rsidRDefault="00212513">
            <w:pPr>
              <w:pStyle w:val="ConsPlusNormal"/>
              <w:jc w:val="center"/>
            </w:pPr>
            <w:r>
              <w:t>0,08</w:t>
            </w:r>
          </w:p>
        </w:tc>
        <w:tc>
          <w:tcPr>
            <w:tcW w:w="968" w:type="dxa"/>
            <w:tcBorders>
              <w:top w:val="nil"/>
              <w:bottom w:val="nil"/>
            </w:tcBorders>
          </w:tcPr>
          <w:p w:rsidR="00212513" w:rsidRDefault="00212513">
            <w:pPr>
              <w:pStyle w:val="ConsPlusNormal"/>
              <w:jc w:val="center"/>
            </w:pPr>
            <w:r>
              <w:t>0,07</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170</w:t>
            </w:r>
          </w:p>
        </w:tc>
        <w:tc>
          <w:tcPr>
            <w:tcW w:w="957" w:type="dxa"/>
            <w:tcBorders>
              <w:top w:val="nil"/>
              <w:bottom w:val="nil"/>
            </w:tcBorders>
          </w:tcPr>
          <w:p w:rsidR="00212513" w:rsidRDefault="00212513">
            <w:pPr>
              <w:pStyle w:val="ConsPlusNormal"/>
              <w:jc w:val="center"/>
            </w:pPr>
            <w:r>
              <w:t>0,15</w:t>
            </w:r>
          </w:p>
        </w:tc>
        <w:tc>
          <w:tcPr>
            <w:tcW w:w="957" w:type="dxa"/>
            <w:tcBorders>
              <w:top w:val="nil"/>
              <w:bottom w:val="nil"/>
            </w:tcBorders>
          </w:tcPr>
          <w:p w:rsidR="00212513" w:rsidRDefault="00212513">
            <w:pPr>
              <w:pStyle w:val="ConsPlusNormal"/>
              <w:jc w:val="center"/>
            </w:pPr>
            <w:r>
              <w:t>0,14</w:t>
            </w:r>
          </w:p>
        </w:tc>
        <w:tc>
          <w:tcPr>
            <w:tcW w:w="957" w:type="dxa"/>
            <w:tcBorders>
              <w:top w:val="nil"/>
              <w:bottom w:val="nil"/>
            </w:tcBorders>
          </w:tcPr>
          <w:p w:rsidR="00212513" w:rsidRDefault="00212513">
            <w:pPr>
              <w:pStyle w:val="ConsPlusNormal"/>
              <w:jc w:val="center"/>
            </w:pPr>
            <w:r>
              <w:t>0,13</w:t>
            </w:r>
          </w:p>
        </w:tc>
        <w:tc>
          <w:tcPr>
            <w:tcW w:w="957" w:type="dxa"/>
            <w:tcBorders>
              <w:top w:val="nil"/>
              <w:bottom w:val="nil"/>
            </w:tcBorders>
          </w:tcPr>
          <w:p w:rsidR="00212513" w:rsidRDefault="00212513">
            <w:pPr>
              <w:pStyle w:val="ConsPlusNormal"/>
              <w:jc w:val="center"/>
            </w:pPr>
            <w:r>
              <w:t>0,12</w:t>
            </w:r>
          </w:p>
        </w:tc>
        <w:tc>
          <w:tcPr>
            <w:tcW w:w="957" w:type="dxa"/>
            <w:tcBorders>
              <w:top w:val="nil"/>
              <w:bottom w:val="nil"/>
            </w:tcBorders>
          </w:tcPr>
          <w:p w:rsidR="00212513" w:rsidRDefault="00212513">
            <w:pPr>
              <w:pStyle w:val="ConsPlusNormal"/>
              <w:jc w:val="center"/>
            </w:pPr>
            <w:r>
              <w:t>0,11</w:t>
            </w:r>
          </w:p>
        </w:tc>
        <w:tc>
          <w:tcPr>
            <w:tcW w:w="957" w:type="dxa"/>
            <w:tcBorders>
              <w:top w:val="nil"/>
              <w:bottom w:val="nil"/>
            </w:tcBorders>
          </w:tcPr>
          <w:p w:rsidR="00212513" w:rsidRDefault="00212513">
            <w:pPr>
              <w:pStyle w:val="ConsPlusNormal"/>
              <w:jc w:val="center"/>
            </w:pPr>
            <w:r>
              <w:t>0,11</w:t>
            </w:r>
          </w:p>
        </w:tc>
        <w:tc>
          <w:tcPr>
            <w:tcW w:w="957" w:type="dxa"/>
            <w:tcBorders>
              <w:top w:val="nil"/>
              <w:bottom w:val="nil"/>
            </w:tcBorders>
          </w:tcPr>
          <w:p w:rsidR="00212513" w:rsidRDefault="00212513">
            <w:pPr>
              <w:pStyle w:val="ConsPlusNormal"/>
              <w:jc w:val="center"/>
            </w:pPr>
            <w:r>
              <w:t>0,10</w:t>
            </w:r>
          </w:p>
        </w:tc>
        <w:tc>
          <w:tcPr>
            <w:tcW w:w="957" w:type="dxa"/>
            <w:tcBorders>
              <w:top w:val="nil"/>
              <w:bottom w:val="nil"/>
            </w:tcBorders>
          </w:tcPr>
          <w:p w:rsidR="00212513" w:rsidRDefault="00212513">
            <w:pPr>
              <w:pStyle w:val="ConsPlusNormal"/>
              <w:jc w:val="center"/>
            </w:pPr>
            <w:r>
              <w:t>0,09</w:t>
            </w:r>
          </w:p>
        </w:tc>
        <w:tc>
          <w:tcPr>
            <w:tcW w:w="957" w:type="dxa"/>
            <w:tcBorders>
              <w:top w:val="nil"/>
              <w:bottom w:val="nil"/>
            </w:tcBorders>
          </w:tcPr>
          <w:p w:rsidR="00212513" w:rsidRDefault="00212513">
            <w:pPr>
              <w:pStyle w:val="ConsPlusNormal"/>
              <w:jc w:val="center"/>
            </w:pPr>
            <w:r>
              <w:t>0,09</w:t>
            </w:r>
          </w:p>
        </w:tc>
        <w:tc>
          <w:tcPr>
            <w:tcW w:w="957" w:type="dxa"/>
            <w:tcBorders>
              <w:top w:val="nil"/>
              <w:bottom w:val="nil"/>
            </w:tcBorders>
          </w:tcPr>
          <w:p w:rsidR="00212513" w:rsidRDefault="00212513">
            <w:pPr>
              <w:pStyle w:val="ConsPlusNormal"/>
              <w:jc w:val="center"/>
            </w:pPr>
            <w:r>
              <w:t>0,08</w:t>
            </w:r>
          </w:p>
        </w:tc>
        <w:tc>
          <w:tcPr>
            <w:tcW w:w="957" w:type="dxa"/>
            <w:tcBorders>
              <w:top w:val="nil"/>
              <w:bottom w:val="nil"/>
            </w:tcBorders>
          </w:tcPr>
          <w:p w:rsidR="00212513" w:rsidRDefault="00212513">
            <w:pPr>
              <w:pStyle w:val="ConsPlusNormal"/>
              <w:jc w:val="center"/>
            </w:pPr>
            <w:r>
              <w:t>0,08</w:t>
            </w:r>
          </w:p>
        </w:tc>
        <w:tc>
          <w:tcPr>
            <w:tcW w:w="957" w:type="dxa"/>
            <w:tcBorders>
              <w:top w:val="nil"/>
              <w:bottom w:val="nil"/>
            </w:tcBorders>
          </w:tcPr>
          <w:p w:rsidR="00212513" w:rsidRDefault="00212513">
            <w:pPr>
              <w:pStyle w:val="ConsPlusNormal"/>
              <w:jc w:val="center"/>
            </w:pPr>
            <w:r>
              <w:t>0,07</w:t>
            </w:r>
          </w:p>
        </w:tc>
        <w:tc>
          <w:tcPr>
            <w:tcW w:w="968" w:type="dxa"/>
            <w:tcBorders>
              <w:top w:val="nil"/>
              <w:bottom w:val="nil"/>
            </w:tcBorders>
          </w:tcPr>
          <w:p w:rsidR="00212513" w:rsidRDefault="00212513">
            <w:pPr>
              <w:pStyle w:val="ConsPlusNormal"/>
              <w:jc w:val="center"/>
            </w:pPr>
            <w:r>
              <w:t>0,06</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180</w:t>
            </w:r>
          </w:p>
        </w:tc>
        <w:tc>
          <w:tcPr>
            <w:tcW w:w="957" w:type="dxa"/>
            <w:tcBorders>
              <w:top w:val="nil"/>
              <w:bottom w:val="nil"/>
            </w:tcBorders>
          </w:tcPr>
          <w:p w:rsidR="00212513" w:rsidRDefault="00212513">
            <w:pPr>
              <w:pStyle w:val="ConsPlusNormal"/>
              <w:jc w:val="center"/>
            </w:pPr>
            <w:r>
              <w:t>0,13</w:t>
            </w:r>
          </w:p>
        </w:tc>
        <w:tc>
          <w:tcPr>
            <w:tcW w:w="957" w:type="dxa"/>
            <w:tcBorders>
              <w:top w:val="nil"/>
              <w:bottom w:val="nil"/>
            </w:tcBorders>
          </w:tcPr>
          <w:p w:rsidR="00212513" w:rsidRDefault="00212513">
            <w:pPr>
              <w:pStyle w:val="ConsPlusNormal"/>
              <w:jc w:val="center"/>
            </w:pPr>
            <w:r>
              <w:t>0,13</w:t>
            </w:r>
          </w:p>
        </w:tc>
        <w:tc>
          <w:tcPr>
            <w:tcW w:w="957" w:type="dxa"/>
            <w:tcBorders>
              <w:top w:val="nil"/>
              <w:bottom w:val="nil"/>
            </w:tcBorders>
          </w:tcPr>
          <w:p w:rsidR="00212513" w:rsidRDefault="00212513">
            <w:pPr>
              <w:pStyle w:val="ConsPlusNormal"/>
              <w:jc w:val="center"/>
            </w:pPr>
            <w:r>
              <w:t>0,12</w:t>
            </w:r>
          </w:p>
        </w:tc>
        <w:tc>
          <w:tcPr>
            <w:tcW w:w="957" w:type="dxa"/>
            <w:tcBorders>
              <w:top w:val="nil"/>
              <w:bottom w:val="nil"/>
            </w:tcBorders>
          </w:tcPr>
          <w:p w:rsidR="00212513" w:rsidRDefault="00212513">
            <w:pPr>
              <w:pStyle w:val="ConsPlusNormal"/>
              <w:jc w:val="center"/>
            </w:pPr>
            <w:r>
              <w:t>0,11</w:t>
            </w:r>
          </w:p>
        </w:tc>
        <w:tc>
          <w:tcPr>
            <w:tcW w:w="957" w:type="dxa"/>
            <w:tcBorders>
              <w:top w:val="nil"/>
              <w:bottom w:val="nil"/>
            </w:tcBorders>
          </w:tcPr>
          <w:p w:rsidR="00212513" w:rsidRDefault="00212513">
            <w:pPr>
              <w:pStyle w:val="ConsPlusNormal"/>
              <w:jc w:val="center"/>
            </w:pPr>
            <w:r>
              <w:t>0,10</w:t>
            </w:r>
          </w:p>
        </w:tc>
        <w:tc>
          <w:tcPr>
            <w:tcW w:w="957" w:type="dxa"/>
            <w:tcBorders>
              <w:top w:val="nil"/>
              <w:bottom w:val="nil"/>
            </w:tcBorders>
          </w:tcPr>
          <w:p w:rsidR="00212513" w:rsidRDefault="00212513">
            <w:pPr>
              <w:pStyle w:val="ConsPlusNormal"/>
              <w:jc w:val="center"/>
            </w:pPr>
            <w:r>
              <w:t>0,10</w:t>
            </w:r>
          </w:p>
        </w:tc>
        <w:tc>
          <w:tcPr>
            <w:tcW w:w="957" w:type="dxa"/>
            <w:tcBorders>
              <w:top w:val="nil"/>
              <w:bottom w:val="nil"/>
            </w:tcBorders>
          </w:tcPr>
          <w:p w:rsidR="00212513" w:rsidRDefault="00212513">
            <w:pPr>
              <w:pStyle w:val="ConsPlusNormal"/>
              <w:jc w:val="center"/>
            </w:pPr>
            <w:r>
              <w:t>0,09</w:t>
            </w:r>
          </w:p>
        </w:tc>
        <w:tc>
          <w:tcPr>
            <w:tcW w:w="957" w:type="dxa"/>
            <w:tcBorders>
              <w:top w:val="nil"/>
              <w:bottom w:val="nil"/>
            </w:tcBorders>
          </w:tcPr>
          <w:p w:rsidR="00212513" w:rsidRDefault="00212513">
            <w:pPr>
              <w:pStyle w:val="ConsPlusNormal"/>
              <w:jc w:val="center"/>
            </w:pPr>
            <w:r>
              <w:t>0,09</w:t>
            </w:r>
          </w:p>
        </w:tc>
        <w:tc>
          <w:tcPr>
            <w:tcW w:w="957" w:type="dxa"/>
            <w:tcBorders>
              <w:top w:val="nil"/>
              <w:bottom w:val="nil"/>
            </w:tcBorders>
          </w:tcPr>
          <w:p w:rsidR="00212513" w:rsidRDefault="00212513">
            <w:pPr>
              <w:pStyle w:val="ConsPlusNormal"/>
              <w:jc w:val="center"/>
            </w:pPr>
            <w:r>
              <w:t>0,08</w:t>
            </w:r>
          </w:p>
        </w:tc>
        <w:tc>
          <w:tcPr>
            <w:tcW w:w="957" w:type="dxa"/>
            <w:tcBorders>
              <w:top w:val="nil"/>
              <w:bottom w:val="nil"/>
            </w:tcBorders>
          </w:tcPr>
          <w:p w:rsidR="00212513" w:rsidRDefault="00212513">
            <w:pPr>
              <w:pStyle w:val="ConsPlusNormal"/>
              <w:jc w:val="center"/>
            </w:pPr>
            <w:r>
              <w:t>0,08</w:t>
            </w:r>
          </w:p>
        </w:tc>
        <w:tc>
          <w:tcPr>
            <w:tcW w:w="957" w:type="dxa"/>
            <w:tcBorders>
              <w:top w:val="nil"/>
              <w:bottom w:val="nil"/>
            </w:tcBorders>
          </w:tcPr>
          <w:p w:rsidR="00212513" w:rsidRDefault="00212513">
            <w:pPr>
              <w:pStyle w:val="ConsPlusNormal"/>
              <w:jc w:val="center"/>
            </w:pPr>
            <w:r>
              <w:t>0,07</w:t>
            </w:r>
          </w:p>
        </w:tc>
        <w:tc>
          <w:tcPr>
            <w:tcW w:w="957" w:type="dxa"/>
            <w:tcBorders>
              <w:top w:val="nil"/>
              <w:bottom w:val="nil"/>
            </w:tcBorders>
          </w:tcPr>
          <w:p w:rsidR="00212513" w:rsidRDefault="00212513">
            <w:pPr>
              <w:pStyle w:val="ConsPlusNormal"/>
              <w:jc w:val="center"/>
            </w:pPr>
            <w:r>
              <w:t>0,07</w:t>
            </w:r>
          </w:p>
        </w:tc>
        <w:tc>
          <w:tcPr>
            <w:tcW w:w="968" w:type="dxa"/>
            <w:tcBorders>
              <w:top w:val="nil"/>
              <w:bottom w:val="nil"/>
            </w:tcBorders>
          </w:tcPr>
          <w:p w:rsidR="00212513" w:rsidRDefault="00212513">
            <w:pPr>
              <w:pStyle w:val="ConsPlusNormal"/>
              <w:jc w:val="center"/>
            </w:pPr>
            <w:r>
              <w:t>0,06</w:t>
            </w:r>
          </w:p>
        </w:tc>
      </w:tr>
      <w:tr w:rsidR="00212513">
        <w:tblPrEx>
          <w:tblBorders>
            <w:insideH w:val="none" w:sz="0" w:space="0" w:color="auto"/>
          </w:tblBorders>
        </w:tblPrEx>
        <w:tc>
          <w:tcPr>
            <w:tcW w:w="1134" w:type="dxa"/>
            <w:tcBorders>
              <w:top w:val="nil"/>
              <w:bottom w:val="nil"/>
            </w:tcBorders>
          </w:tcPr>
          <w:p w:rsidR="00212513" w:rsidRDefault="00212513">
            <w:pPr>
              <w:pStyle w:val="ConsPlusNormal"/>
              <w:jc w:val="center"/>
            </w:pPr>
            <w:r>
              <w:t>190</w:t>
            </w:r>
          </w:p>
        </w:tc>
        <w:tc>
          <w:tcPr>
            <w:tcW w:w="957" w:type="dxa"/>
            <w:tcBorders>
              <w:top w:val="nil"/>
              <w:bottom w:val="nil"/>
            </w:tcBorders>
          </w:tcPr>
          <w:p w:rsidR="00212513" w:rsidRDefault="00212513">
            <w:pPr>
              <w:pStyle w:val="ConsPlusNormal"/>
              <w:jc w:val="center"/>
            </w:pPr>
            <w:r>
              <w:t>0,12</w:t>
            </w:r>
          </w:p>
        </w:tc>
        <w:tc>
          <w:tcPr>
            <w:tcW w:w="957" w:type="dxa"/>
            <w:tcBorders>
              <w:top w:val="nil"/>
              <w:bottom w:val="nil"/>
            </w:tcBorders>
          </w:tcPr>
          <w:p w:rsidR="00212513" w:rsidRDefault="00212513">
            <w:pPr>
              <w:pStyle w:val="ConsPlusNormal"/>
              <w:jc w:val="center"/>
            </w:pPr>
            <w:r>
              <w:t>0,11</w:t>
            </w:r>
          </w:p>
        </w:tc>
        <w:tc>
          <w:tcPr>
            <w:tcW w:w="957" w:type="dxa"/>
            <w:tcBorders>
              <w:top w:val="nil"/>
              <w:bottom w:val="nil"/>
            </w:tcBorders>
          </w:tcPr>
          <w:p w:rsidR="00212513" w:rsidRDefault="00212513">
            <w:pPr>
              <w:pStyle w:val="ConsPlusNormal"/>
              <w:jc w:val="center"/>
            </w:pPr>
            <w:r>
              <w:t>0,10</w:t>
            </w:r>
          </w:p>
        </w:tc>
        <w:tc>
          <w:tcPr>
            <w:tcW w:w="957" w:type="dxa"/>
            <w:tcBorders>
              <w:top w:val="nil"/>
              <w:bottom w:val="nil"/>
            </w:tcBorders>
          </w:tcPr>
          <w:p w:rsidR="00212513" w:rsidRDefault="00212513">
            <w:pPr>
              <w:pStyle w:val="ConsPlusNormal"/>
              <w:jc w:val="center"/>
            </w:pPr>
            <w:r>
              <w:t>0,10</w:t>
            </w:r>
          </w:p>
        </w:tc>
        <w:tc>
          <w:tcPr>
            <w:tcW w:w="957" w:type="dxa"/>
            <w:tcBorders>
              <w:top w:val="nil"/>
              <w:bottom w:val="nil"/>
            </w:tcBorders>
          </w:tcPr>
          <w:p w:rsidR="00212513" w:rsidRDefault="00212513">
            <w:pPr>
              <w:pStyle w:val="ConsPlusNormal"/>
              <w:jc w:val="center"/>
            </w:pPr>
            <w:r>
              <w:t>0,09</w:t>
            </w:r>
          </w:p>
        </w:tc>
        <w:tc>
          <w:tcPr>
            <w:tcW w:w="957" w:type="dxa"/>
            <w:tcBorders>
              <w:top w:val="nil"/>
              <w:bottom w:val="nil"/>
            </w:tcBorders>
          </w:tcPr>
          <w:p w:rsidR="00212513" w:rsidRDefault="00212513">
            <w:pPr>
              <w:pStyle w:val="ConsPlusNormal"/>
              <w:jc w:val="center"/>
            </w:pPr>
            <w:r>
              <w:t>0,09</w:t>
            </w:r>
          </w:p>
        </w:tc>
        <w:tc>
          <w:tcPr>
            <w:tcW w:w="957" w:type="dxa"/>
            <w:tcBorders>
              <w:top w:val="nil"/>
              <w:bottom w:val="nil"/>
            </w:tcBorders>
          </w:tcPr>
          <w:p w:rsidR="00212513" w:rsidRDefault="00212513">
            <w:pPr>
              <w:pStyle w:val="ConsPlusNormal"/>
              <w:jc w:val="center"/>
            </w:pPr>
            <w:r>
              <w:t>0,08</w:t>
            </w:r>
          </w:p>
        </w:tc>
        <w:tc>
          <w:tcPr>
            <w:tcW w:w="957" w:type="dxa"/>
            <w:tcBorders>
              <w:top w:val="nil"/>
              <w:bottom w:val="nil"/>
            </w:tcBorders>
          </w:tcPr>
          <w:p w:rsidR="00212513" w:rsidRDefault="00212513">
            <w:pPr>
              <w:pStyle w:val="ConsPlusNormal"/>
              <w:jc w:val="center"/>
            </w:pPr>
            <w:r>
              <w:t>0,07</w:t>
            </w:r>
          </w:p>
        </w:tc>
        <w:tc>
          <w:tcPr>
            <w:tcW w:w="957" w:type="dxa"/>
            <w:tcBorders>
              <w:top w:val="nil"/>
              <w:bottom w:val="nil"/>
            </w:tcBorders>
          </w:tcPr>
          <w:p w:rsidR="00212513" w:rsidRDefault="00212513">
            <w:pPr>
              <w:pStyle w:val="ConsPlusNormal"/>
              <w:jc w:val="center"/>
            </w:pPr>
            <w:r>
              <w:t>0,07</w:t>
            </w:r>
          </w:p>
        </w:tc>
        <w:tc>
          <w:tcPr>
            <w:tcW w:w="957" w:type="dxa"/>
            <w:tcBorders>
              <w:top w:val="nil"/>
              <w:bottom w:val="nil"/>
            </w:tcBorders>
          </w:tcPr>
          <w:p w:rsidR="00212513" w:rsidRDefault="00212513">
            <w:pPr>
              <w:pStyle w:val="ConsPlusNormal"/>
              <w:jc w:val="center"/>
            </w:pPr>
            <w:r>
              <w:t>0,07</w:t>
            </w:r>
          </w:p>
        </w:tc>
        <w:tc>
          <w:tcPr>
            <w:tcW w:w="957" w:type="dxa"/>
            <w:tcBorders>
              <w:top w:val="nil"/>
              <w:bottom w:val="nil"/>
            </w:tcBorders>
          </w:tcPr>
          <w:p w:rsidR="00212513" w:rsidRDefault="00212513">
            <w:pPr>
              <w:pStyle w:val="ConsPlusNormal"/>
              <w:jc w:val="center"/>
            </w:pPr>
            <w:r>
              <w:t>0,06</w:t>
            </w:r>
          </w:p>
        </w:tc>
        <w:tc>
          <w:tcPr>
            <w:tcW w:w="957" w:type="dxa"/>
            <w:tcBorders>
              <w:top w:val="nil"/>
              <w:bottom w:val="nil"/>
            </w:tcBorders>
          </w:tcPr>
          <w:p w:rsidR="00212513" w:rsidRDefault="00212513">
            <w:pPr>
              <w:pStyle w:val="ConsPlusNormal"/>
              <w:jc w:val="center"/>
            </w:pPr>
            <w:r>
              <w:t>0,06</w:t>
            </w:r>
          </w:p>
        </w:tc>
        <w:tc>
          <w:tcPr>
            <w:tcW w:w="968" w:type="dxa"/>
            <w:tcBorders>
              <w:top w:val="nil"/>
              <w:bottom w:val="nil"/>
            </w:tcBorders>
          </w:tcPr>
          <w:p w:rsidR="00212513" w:rsidRDefault="00212513">
            <w:pPr>
              <w:pStyle w:val="ConsPlusNormal"/>
              <w:jc w:val="center"/>
            </w:pPr>
            <w:r>
              <w:t>0,05</w:t>
            </w:r>
          </w:p>
        </w:tc>
      </w:tr>
      <w:tr w:rsidR="00212513">
        <w:tblPrEx>
          <w:tblBorders>
            <w:insideH w:val="none" w:sz="0" w:space="0" w:color="auto"/>
          </w:tblBorders>
        </w:tblPrEx>
        <w:tc>
          <w:tcPr>
            <w:tcW w:w="1134" w:type="dxa"/>
            <w:tcBorders>
              <w:top w:val="nil"/>
              <w:bottom w:val="single" w:sz="4" w:space="0" w:color="auto"/>
            </w:tcBorders>
          </w:tcPr>
          <w:p w:rsidR="00212513" w:rsidRDefault="00212513">
            <w:pPr>
              <w:pStyle w:val="ConsPlusNormal"/>
              <w:jc w:val="center"/>
            </w:pPr>
            <w:r>
              <w:t>200</w:t>
            </w:r>
          </w:p>
        </w:tc>
        <w:tc>
          <w:tcPr>
            <w:tcW w:w="957" w:type="dxa"/>
            <w:tcBorders>
              <w:top w:val="nil"/>
              <w:bottom w:val="single" w:sz="4" w:space="0" w:color="auto"/>
            </w:tcBorders>
          </w:tcPr>
          <w:p w:rsidR="00212513" w:rsidRDefault="00212513">
            <w:pPr>
              <w:pStyle w:val="ConsPlusNormal"/>
              <w:jc w:val="center"/>
            </w:pPr>
            <w:r>
              <w:t>0,11</w:t>
            </w:r>
          </w:p>
        </w:tc>
        <w:tc>
          <w:tcPr>
            <w:tcW w:w="957" w:type="dxa"/>
            <w:tcBorders>
              <w:top w:val="nil"/>
              <w:bottom w:val="single" w:sz="4" w:space="0" w:color="auto"/>
            </w:tcBorders>
          </w:tcPr>
          <w:p w:rsidR="00212513" w:rsidRDefault="00212513">
            <w:pPr>
              <w:pStyle w:val="ConsPlusNormal"/>
              <w:jc w:val="center"/>
            </w:pPr>
            <w:r>
              <w:t>0,11</w:t>
            </w:r>
          </w:p>
        </w:tc>
        <w:tc>
          <w:tcPr>
            <w:tcW w:w="957" w:type="dxa"/>
            <w:tcBorders>
              <w:top w:val="nil"/>
              <w:bottom w:val="single" w:sz="4" w:space="0" w:color="auto"/>
            </w:tcBorders>
          </w:tcPr>
          <w:p w:rsidR="00212513" w:rsidRDefault="00212513">
            <w:pPr>
              <w:pStyle w:val="ConsPlusNormal"/>
              <w:jc w:val="center"/>
            </w:pPr>
            <w:r>
              <w:t>0,10</w:t>
            </w:r>
          </w:p>
        </w:tc>
        <w:tc>
          <w:tcPr>
            <w:tcW w:w="957" w:type="dxa"/>
            <w:tcBorders>
              <w:top w:val="nil"/>
              <w:bottom w:val="single" w:sz="4" w:space="0" w:color="auto"/>
            </w:tcBorders>
          </w:tcPr>
          <w:p w:rsidR="00212513" w:rsidRDefault="00212513">
            <w:pPr>
              <w:pStyle w:val="ConsPlusNormal"/>
              <w:jc w:val="center"/>
            </w:pPr>
            <w:r>
              <w:t>0,10</w:t>
            </w:r>
          </w:p>
        </w:tc>
        <w:tc>
          <w:tcPr>
            <w:tcW w:w="957" w:type="dxa"/>
            <w:tcBorders>
              <w:top w:val="nil"/>
              <w:bottom w:val="single" w:sz="4" w:space="0" w:color="auto"/>
            </w:tcBorders>
          </w:tcPr>
          <w:p w:rsidR="00212513" w:rsidRDefault="00212513">
            <w:pPr>
              <w:pStyle w:val="ConsPlusNormal"/>
              <w:jc w:val="center"/>
            </w:pPr>
            <w:r>
              <w:t>0,09</w:t>
            </w:r>
          </w:p>
        </w:tc>
        <w:tc>
          <w:tcPr>
            <w:tcW w:w="957" w:type="dxa"/>
            <w:tcBorders>
              <w:top w:val="nil"/>
              <w:bottom w:val="single" w:sz="4" w:space="0" w:color="auto"/>
            </w:tcBorders>
          </w:tcPr>
          <w:p w:rsidR="00212513" w:rsidRDefault="00212513">
            <w:pPr>
              <w:pStyle w:val="ConsPlusNormal"/>
              <w:jc w:val="center"/>
            </w:pPr>
            <w:r>
              <w:t>0,08</w:t>
            </w:r>
          </w:p>
        </w:tc>
        <w:tc>
          <w:tcPr>
            <w:tcW w:w="957" w:type="dxa"/>
            <w:tcBorders>
              <w:top w:val="nil"/>
              <w:bottom w:val="single" w:sz="4" w:space="0" w:color="auto"/>
            </w:tcBorders>
          </w:tcPr>
          <w:p w:rsidR="00212513" w:rsidRDefault="00212513">
            <w:pPr>
              <w:pStyle w:val="ConsPlusNormal"/>
              <w:jc w:val="center"/>
            </w:pPr>
            <w:r>
              <w:t>0,07</w:t>
            </w:r>
          </w:p>
        </w:tc>
        <w:tc>
          <w:tcPr>
            <w:tcW w:w="957" w:type="dxa"/>
            <w:tcBorders>
              <w:top w:val="nil"/>
              <w:bottom w:val="single" w:sz="4" w:space="0" w:color="auto"/>
            </w:tcBorders>
          </w:tcPr>
          <w:p w:rsidR="00212513" w:rsidRDefault="00212513">
            <w:pPr>
              <w:pStyle w:val="ConsPlusNormal"/>
              <w:jc w:val="center"/>
            </w:pPr>
            <w:r>
              <w:t>0,06</w:t>
            </w:r>
          </w:p>
        </w:tc>
        <w:tc>
          <w:tcPr>
            <w:tcW w:w="957" w:type="dxa"/>
            <w:tcBorders>
              <w:top w:val="nil"/>
              <w:bottom w:val="single" w:sz="4" w:space="0" w:color="auto"/>
            </w:tcBorders>
          </w:tcPr>
          <w:p w:rsidR="00212513" w:rsidRDefault="00212513">
            <w:pPr>
              <w:pStyle w:val="ConsPlusNormal"/>
              <w:jc w:val="center"/>
            </w:pPr>
            <w:r>
              <w:t>0,06</w:t>
            </w:r>
          </w:p>
        </w:tc>
        <w:tc>
          <w:tcPr>
            <w:tcW w:w="957" w:type="dxa"/>
            <w:tcBorders>
              <w:top w:val="nil"/>
              <w:bottom w:val="single" w:sz="4" w:space="0" w:color="auto"/>
            </w:tcBorders>
          </w:tcPr>
          <w:p w:rsidR="00212513" w:rsidRDefault="00212513">
            <w:pPr>
              <w:pStyle w:val="ConsPlusNormal"/>
              <w:jc w:val="center"/>
            </w:pPr>
            <w:r>
              <w:t>0,06</w:t>
            </w:r>
          </w:p>
        </w:tc>
        <w:tc>
          <w:tcPr>
            <w:tcW w:w="957" w:type="dxa"/>
            <w:tcBorders>
              <w:top w:val="nil"/>
              <w:bottom w:val="single" w:sz="4" w:space="0" w:color="auto"/>
            </w:tcBorders>
          </w:tcPr>
          <w:p w:rsidR="00212513" w:rsidRDefault="00212513">
            <w:pPr>
              <w:pStyle w:val="ConsPlusNormal"/>
              <w:jc w:val="center"/>
            </w:pPr>
            <w:r>
              <w:t>0,05</w:t>
            </w:r>
          </w:p>
        </w:tc>
        <w:tc>
          <w:tcPr>
            <w:tcW w:w="957" w:type="dxa"/>
            <w:tcBorders>
              <w:top w:val="nil"/>
              <w:bottom w:val="single" w:sz="4" w:space="0" w:color="auto"/>
            </w:tcBorders>
          </w:tcPr>
          <w:p w:rsidR="00212513" w:rsidRDefault="00212513">
            <w:pPr>
              <w:pStyle w:val="ConsPlusNormal"/>
              <w:jc w:val="center"/>
            </w:pPr>
            <w:r>
              <w:t>0,05</w:t>
            </w:r>
          </w:p>
        </w:tc>
        <w:tc>
          <w:tcPr>
            <w:tcW w:w="968" w:type="dxa"/>
            <w:tcBorders>
              <w:top w:val="nil"/>
              <w:bottom w:val="single" w:sz="4" w:space="0" w:color="auto"/>
            </w:tcBorders>
          </w:tcPr>
          <w:p w:rsidR="00212513" w:rsidRDefault="00212513">
            <w:pPr>
              <w:pStyle w:val="ConsPlusNormal"/>
              <w:jc w:val="center"/>
            </w:pPr>
            <w:r>
              <w:t>0,05</w:t>
            </w:r>
          </w:p>
        </w:tc>
      </w:tr>
      <w:tr w:rsidR="00212513">
        <w:tc>
          <w:tcPr>
            <w:tcW w:w="13586" w:type="dxa"/>
            <w:gridSpan w:val="14"/>
            <w:tcBorders>
              <w:top w:val="single" w:sz="4" w:space="0" w:color="auto"/>
              <w:bottom w:val="single" w:sz="4" w:space="0" w:color="auto"/>
            </w:tcBorders>
          </w:tcPr>
          <w:p w:rsidR="00212513" w:rsidRDefault="00212513">
            <w:pPr>
              <w:pStyle w:val="ConsPlusNormal"/>
              <w:ind w:firstLine="283"/>
              <w:jc w:val="both"/>
            </w:pPr>
            <w:r>
              <w:t xml:space="preserve">Примечание - См. </w:t>
            </w:r>
            <w:hyperlink w:anchor="P15092">
              <w:r>
                <w:rPr>
                  <w:color w:val="0000FF"/>
                </w:rPr>
                <w:t>примечание к таблице Ф.1</w:t>
              </w:r>
            </w:hyperlink>
            <w:r>
              <w:t>.</w:t>
            </w:r>
          </w:p>
        </w:tc>
      </w:tr>
    </w:tbl>
    <w:p w:rsidR="00212513" w:rsidRDefault="00212513">
      <w:pPr>
        <w:pStyle w:val="ConsPlusNormal"/>
        <w:sectPr w:rsidR="00212513">
          <w:pgSz w:w="16838" w:h="11905" w:orient="landscape"/>
          <w:pgMar w:top="1701" w:right="1134" w:bottom="850" w:left="1134" w:header="0" w:footer="0" w:gutter="0"/>
          <w:cols w:space="720"/>
          <w:titlePg/>
        </w:sectPr>
      </w:pPr>
    </w:p>
    <w:p w:rsidR="00212513" w:rsidRDefault="00212513">
      <w:pPr>
        <w:pStyle w:val="ConsPlusNormal"/>
        <w:jc w:val="both"/>
      </w:pPr>
    </w:p>
    <w:p w:rsidR="00212513" w:rsidRDefault="00212513">
      <w:pPr>
        <w:pStyle w:val="ConsPlusNormal"/>
        <w:jc w:val="both"/>
      </w:pPr>
      <w:r>
        <w:t xml:space="preserve">(в ред. </w:t>
      </w:r>
      <w:hyperlink r:id="rId3471">
        <w:r>
          <w:rPr>
            <w:color w:val="0000FF"/>
          </w:rPr>
          <w:t>Изменения N 4</w:t>
        </w:r>
      </w:hyperlink>
      <w:r>
        <w:t>, утв. Приказом Минстроя России от 30.05.2024 N 361/пр)</w:t>
      </w:r>
    </w:p>
    <w:p w:rsidR="00212513" w:rsidRDefault="00212513">
      <w:pPr>
        <w:pStyle w:val="ConsPlusNormal"/>
        <w:ind w:firstLine="540"/>
        <w:jc w:val="both"/>
      </w:pPr>
    </w:p>
    <w:p w:rsidR="00212513" w:rsidRDefault="00212513">
      <w:pPr>
        <w:pStyle w:val="ConsPlusNormal"/>
        <w:jc w:val="center"/>
      </w:pPr>
      <w:r>
        <w:rPr>
          <w:b/>
        </w:rPr>
        <w:t>Коэффициенты влияния формы сечения</w:t>
      </w:r>
      <w:r>
        <w:t> </w:t>
      </w:r>
      <w:r>
        <w:rPr>
          <w:noProof/>
          <w:position w:val="-3"/>
        </w:rPr>
        <w:drawing>
          <wp:inline distT="0" distB="0" distL="0" distR="0">
            <wp:extent cx="146685" cy="177800"/>
            <wp:effectExtent l="0" t="0" r="0" b="0"/>
            <wp:docPr id="2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2" cstate="print">
                      <a:extLst>
                        <a:ext uri="{28A0092B-C50C-407E-A947-70E740481C1C}">
                          <a14:useLocalDpi xmlns:a14="http://schemas.microsoft.com/office/drawing/2010/main" val="0"/>
                        </a:ext>
                      </a:extLst>
                    </a:blip>
                    <a:srcRect/>
                    <a:stretch>
                      <a:fillRect/>
                    </a:stretch>
                  </pic:blipFill>
                  <pic:spPr bwMode="auto">
                    <a:xfrm>
                      <a:off x="0" y="0"/>
                      <a:ext cx="146685" cy="177800"/>
                    </a:xfrm>
                    <a:prstGeom prst="rect">
                      <a:avLst/>
                    </a:prstGeom>
                    <a:noFill/>
                    <a:ln>
                      <a:noFill/>
                    </a:ln>
                  </pic:spPr>
                </pic:pic>
              </a:graphicData>
            </a:graphic>
          </wp:inline>
        </w:drawing>
      </w:r>
    </w:p>
    <w:p w:rsidR="00212513" w:rsidRDefault="00212513">
      <w:pPr>
        <w:pStyle w:val="ConsPlusNormal"/>
        <w:ind w:firstLine="540"/>
        <w:jc w:val="both"/>
      </w:pPr>
    </w:p>
    <w:p w:rsidR="00212513" w:rsidRDefault="00212513">
      <w:pPr>
        <w:pStyle w:val="ConsPlusNormal"/>
        <w:ind w:firstLine="540"/>
        <w:jc w:val="both"/>
      </w:pPr>
      <w:r>
        <w:t xml:space="preserve">Коэффициенты влияния формы сечения </w:t>
      </w:r>
      <w:r>
        <w:rPr>
          <w:noProof/>
          <w:position w:val="-3"/>
        </w:rPr>
        <w:drawing>
          <wp:inline distT="0" distB="0" distL="0" distR="0">
            <wp:extent cx="146685" cy="177800"/>
            <wp:effectExtent l="0" t="0" r="0" b="0"/>
            <wp:docPr id="2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2" cstate="print">
                      <a:extLst>
                        <a:ext uri="{28A0092B-C50C-407E-A947-70E740481C1C}">
                          <a14:useLocalDpi xmlns:a14="http://schemas.microsoft.com/office/drawing/2010/main" val="0"/>
                        </a:ext>
                      </a:extLst>
                    </a:blip>
                    <a:srcRect/>
                    <a:stretch>
                      <a:fillRect/>
                    </a:stretch>
                  </pic:blipFill>
                  <pic:spPr bwMode="auto">
                    <a:xfrm>
                      <a:off x="0" y="0"/>
                      <a:ext cx="146685" cy="177800"/>
                    </a:xfrm>
                    <a:prstGeom prst="rect">
                      <a:avLst/>
                    </a:prstGeom>
                    <a:noFill/>
                    <a:ln>
                      <a:noFill/>
                    </a:ln>
                  </pic:spPr>
                </pic:pic>
              </a:graphicData>
            </a:graphic>
          </wp:inline>
        </w:drawing>
      </w:r>
      <w:r>
        <w:t xml:space="preserve"> при определении приведенного относительного эксцентриситета по формуле </w:t>
      </w:r>
      <w:r>
        <w:rPr>
          <w:noProof/>
          <w:position w:val="-10"/>
        </w:rPr>
        <w:drawing>
          <wp:inline distT="0" distB="0" distL="0" distR="0">
            <wp:extent cx="670560" cy="273685"/>
            <wp:effectExtent l="0" t="0" r="0" b="0"/>
            <wp:docPr id="2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3" cstate="print">
                      <a:extLst>
                        <a:ext uri="{28A0092B-C50C-407E-A947-70E740481C1C}">
                          <a14:useLocalDpi xmlns:a14="http://schemas.microsoft.com/office/drawing/2010/main" val="0"/>
                        </a:ext>
                      </a:extLst>
                    </a:blip>
                    <a:srcRect/>
                    <a:stretch>
                      <a:fillRect/>
                    </a:stretch>
                  </pic:blipFill>
                  <pic:spPr bwMode="auto">
                    <a:xfrm>
                      <a:off x="0" y="0"/>
                      <a:ext cx="670560" cy="273685"/>
                    </a:xfrm>
                    <a:prstGeom prst="rect">
                      <a:avLst/>
                    </a:prstGeom>
                    <a:noFill/>
                    <a:ln>
                      <a:noFill/>
                    </a:ln>
                  </pic:spPr>
                </pic:pic>
              </a:graphicData>
            </a:graphic>
          </wp:inline>
        </w:drawing>
      </w:r>
      <w:r>
        <w:t xml:space="preserve"> следует принимать по </w:t>
      </w:r>
      <w:hyperlink r:id="rId3474">
        <w:r>
          <w:rPr>
            <w:color w:val="0000FF"/>
          </w:rPr>
          <w:t>СП 16.13330</w:t>
        </w:r>
      </w:hyperlink>
      <w:r>
        <w:t xml:space="preserve">, вычисляя при этом условную гибкость </w:t>
      </w:r>
      <w:r>
        <w:rPr>
          <w:noProof/>
          <w:position w:val="-7"/>
        </w:rPr>
        <w:drawing>
          <wp:inline distT="0" distB="0" distL="0" distR="0">
            <wp:extent cx="167640" cy="230505"/>
            <wp:effectExtent l="0" t="0" r="0" b="0"/>
            <wp:docPr id="26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5" cstate="print">
                      <a:extLst>
                        <a:ext uri="{28A0092B-C50C-407E-A947-70E740481C1C}">
                          <a14:useLocalDpi xmlns:a14="http://schemas.microsoft.com/office/drawing/2010/main" val="0"/>
                        </a:ext>
                      </a:extLst>
                    </a:blip>
                    <a:srcRect/>
                    <a:stretch>
                      <a:fillRect/>
                    </a:stretch>
                  </pic:blipFill>
                  <pic:spPr bwMode="auto">
                    <a:xfrm>
                      <a:off x="0" y="0"/>
                      <a:ext cx="167640" cy="230505"/>
                    </a:xfrm>
                    <a:prstGeom prst="rect">
                      <a:avLst/>
                    </a:prstGeom>
                    <a:noFill/>
                    <a:ln>
                      <a:noFill/>
                    </a:ln>
                  </pic:spPr>
                </pic:pic>
              </a:graphicData>
            </a:graphic>
          </wp:inline>
        </w:drawing>
      </w:r>
      <w:r>
        <w:t xml:space="preserve"> по формуле</w:t>
      </w:r>
    </w:p>
    <w:p w:rsidR="00212513" w:rsidRDefault="00212513">
      <w:pPr>
        <w:pStyle w:val="ConsPlusNormal"/>
        <w:ind w:firstLine="540"/>
        <w:jc w:val="both"/>
      </w:pPr>
    </w:p>
    <w:p w:rsidR="00212513" w:rsidRDefault="00212513">
      <w:pPr>
        <w:pStyle w:val="ConsPlusNormal"/>
        <w:jc w:val="center"/>
      </w:pPr>
      <w:r>
        <w:rPr>
          <w:noProof/>
          <w:position w:val="-10"/>
        </w:rPr>
        <w:drawing>
          <wp:inline distT="0" distB="0" distL="0" distR="0">
            <wp:extent cx="621030" cy="273685"/>
            <wp:effectExtent l="0" t="0" r="0" b="0"/>
            <wp:docPr id="26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6" cstate="print">
                      <a:extLst>
                        <a:ext uri="{28A0092B-C50C-407E-A947-70E740481C1C}">
                          <a14:useLocalDpi xmlns:a14="http://schemas.microsoft.com/office/drawing/2010/main" val="0"/>
                        </a:ext>
                      </a:extLst>
                    </a:blip>
                    <a:srcRect/>
                    <a:stretch>
                      <a:fillRect/>
                    </a:stretch>
                  </pic:blipFill>
                  <pic:spPr bwMode="auto">
                    <a:xfrm>
                      <a:off x="0" y="0"/>
                      <a:ext cx="621030" cy="273685"/>
                    </a:xfrm>
                    <a:prstGeom prst="rect">
                      <a:avLst/>
                    </a:prstGeom>
                    <a:noFill/>
                    <a:ln>
                      <a:noFill/>
                    </a:ln>
                  </pic:spPr>
                </pic:pic>
              </a:graphicData>
            </a:graphic>
          </wp:inline>
        </w:drawing>
      </w:r>
      <w:r>
        <w:t>,</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9"/>
        </w:rPr>
        <w:drawing>
          <wp:inline distT="0" distB="0" distL="0" distR="0">
            <wp:extent cx="230505" cy="261620"/>
            <wp:effectExtent l="0" t="0" r="0" b="0"/>
            <wp:docPr id="2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7" cstate="print">
                      <a:extLst>
                        <a:ext uri="{28A0092B-C50C-407E-A947-70E740481C1C}">
                          <a14:useLocalDpi xmlns:a14="http://schemas.microsoft.com/office/drawing/2010/main" val="0"/>
                        </a:ext>
                      </a:extLst>
                    </a:blip>
                    <a:srcRect/>
                    <a:stretch>
                      <a:fillRect/>
                    </a:stretch>
                  </pic:blipFill>
                  <pic:spPr bwMode="auto">
                    <a:xfrm>
                      <a:off x="0" y="0"/>
                      <a:ext cx="230505" cy="261620"/>
                    </a:xfrm>
                    <a:prstGeom prst="rect">
                      <a:avLst/>
                    </a:prstGeom>
                    <a:noFill/>
                    <a:ln>
                      <a:noFill/>
                    </a:ln>
                  </pic:spPr>
                </pic:pic>
              </a:graphicData>
            </a:graphic>
          </wp:inline>
        </w:drawing>
      </w:r>
      <w:r>
        <w:t xml:space="preserve"> - коэффициент, принимаемый по таблице Ф.4, при этом </w:t>
      </w:r>
      <w:r>
        <w:rPr>
          <w:noProof/>
          <w:position w:val="-9"/>
        </w:rPr>
        <w:drawing>
          <wp:inline distT="0" distB="0" distL="0" distR="0">
            <wp:extent cx="535940" cy="261620"/>
            <wp:effectExtent l="0" t="0" r="0" b="0"/>
            <wp:docPr id="26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8" cstate="print">
                      <a:extLst>
                        <a:ext uri="{28A0092B-C50C-407E-A947-70E740481C1C}">
                          <a14:useLocalDpi xmlns:a14="http://schemas.microsoft.com/office/drawing/2010/main" val="0"/>
                        </a:ext>
                      </a:extLst>
                    </a:blip>
                    <a:srcRect/>
                    <a:stretch>
                      <a:fillRect/>
                    </a:stretch>
                  </pic:blipFill>
                  <pic:spPr bwMode="auto">
                    <a:xfrm>
                      <a:off x="0" y="0"/>
                      <a:ext cx="535940" cy="261620"/>
                    </a:xfrm>
                    <a:prstGeom prst="rect">
                      <a:avLst/>
                    </a:prstGeom>
                    <a:noFill/>
                    <a:ln>
                      <a:noFill/>
                    </a:ln>
                  </pic:spPr>
                </pic:pic>
              </a:graphicData>
            </a:graphic>
          </wp:inline>
        </w:drawing>
      </w:r>
      <w:r>
        <w:t>.</w:t>
      </w:r>
    </w:p>
    <w:p w:rsidR="00212513" w:rsidRDefault="00212513">
      <w:pPr>
        <w:pStyle w:val="ConsPlusNormal"/>
        <w:ind w:firstLine="540"/>
        <w:jc w:val="both"/>
      </w:pPr>
    </w:p>
    <w:p w:rsidR="00212513" w:rsidRDefault="00212513">
      <w:pPr>
        <w:pStyle w:val="ConsPlusNormal"/>
        <w:jc w:val="right"/>
      </w:pPr>
      <w:bookmarkStart w:id="523" w:name="P15732"/>
      <w:bookmarkEnd w:id="523"/>
      <w:r>
        <w:t>Таблица Ф.4</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2948"/>
        <w:gridCol w:w="3212"/>
      </w:tblGrid>
      <w:tr w:rsidR="00212513">
        <w:tc>
          <w:tcPr>
            <w:tcW w:w="2891" w:type="dxa"/>
            <w:vAlign w:val="center"/>
          </w:tcPr>
          <w:p w:rsidR="00212513" w:rsidRDefault="00212513">
            <w:pPr>
              <w:pStyle w:val="ConsPlusNormal"/>
              <w:jc w:val="center"/>
            </w:pPr>
            <w:r>
              <w:t>Класс прочности стали</w:t>
            </w:r>
          </w:p>
        </w:tc>
        <w:tc>
          <w:tcPr>
            <w:tcW w:w="2948" w:type="dxa"/>
            <w:vAlign w:val="center"/>
          </w:tcPr>
          <w:p w:rsidR="00212513" w:rsidRDefault="00212513">
            <w:pPr>
              <w:pStyle w:val="ConsPlusNormal"/>
              <w:jc w:val="center"/>
            </w:pPr>
            <w:r>
              <w:t>Толщина проката, мм</w:t>
            </w:r>
          </w:p>
        </w:tc>
        <w:tc>
          <w:tcPr>
            <w:tcW w:w="3212" w:type="dxa"/>
            <w:vAlign w:val="center"/>
          </w:tcPr>
          <w:p w:rsidR="00212513" w:rsidRDefault="00212513">
            <w:pPr>
              <w:pStyle w:val="ConsPlusNormal"/>
              <w:jc w:val="center"/>
            </w:pPr>
            <w:r>
              <w:t>Значение коэффициента </w:t>
            </w:r>
            <w:r>
              <w:rPr>
                <w:noProof/>
                <w:position w:val="-8"/>
              </w:rPr>
              <w:drawing>
                <wp:inline distT="0" distB="0" distL="0" distR="0">
                  <wp:extent cx="220345" cy="251460"/>
                  <wp:effectExtent l="0" t="0" r="0" b="0"/>
                  <wp:docPr id="26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9" cstate="print">
                            <a:extLst>
                              <a:ext uri="{28A0092B-C50C-407E-A947-70E740481C1C}">
                                <a14:useLocalDpi xmlns:a14="http://schemas.microsoft.com/office/drawing/2010/main" val="0"/>
                              </a:ext>
                            </a:extLst>
                          </a:blip>
                          <a:srcRect/>
                          <a:stretch>
                            <a:fillRect/>
                          </a:stretch>
                        </pic:blipFill>
                        <pic:spPr bwMode="auto">
                          <a:xfrm>
                            <a:off x="0" y="0"/>
                            <a:ext cx="220345" cy="251460"/>
                          </a:xfrm>
                          <a:prstGeom prst="rect">
                            <a:avLst/>
                          </a:prstGeom>
                          <a:noFill/>
                          <a:ln>
                            <a:noFill/>
                          </a:ln>
                        </pic:spPr>
                      </pic:pic>
                    </a:graphicData>
                  </a:graphic>
                </wp:inline>
              </w:drawing>
            </w:r>
          </w:p>
        </w:tc>
      </w:tr>
      <w:tr w:rsidR="00212513">
        <w:tc>
          <w:tcPr>
            <w:tcW w:w="2891" w:type="dxa"/>
            <w:vMerge w:val="restart"/>
          </w:tcPr>
          <w:p w:rsidR="00212513" w:rsidRDefault="00212513">
            <w:pPr>
              <w:pStyle w:val="ConsPlusNormal"/>
              <w:jc w:val="center"/>
            </w:pPr>
            <w:r>
              <w:t>С235</w:t>
            </w:r>
          </w:p>
        </w:tc>
        <w:tc>
          <w:tcPr>
            <w:tcW w:w="2948" w:type="dxa"/>
            <w:tcBorders>
              <w:bottom w:val="nil"/>
            </w:tcBorders>
          </w:tcPr>
          <w:p w:rsidR="00212513" w:rsidRDefault="00212513">
            <w:pPr>
              <w:pStyle w:val="ConsPlusNormal"/>
              <w:jc w:val="center"/>
            </w:pPr>
            <w:r>
              <w:t>До 20</w:t>
            </w:r>
          </w:p>
        </w:tc>
        <w:tc>
          <w:tcPr>
            <w:tcW w:w="3212" w:type="dxa"/>
            <w:tcBorders>
              <w:bottom w:val="nil"/>
            </w:tcBorders>
          </w:tcPr>
          <w:p w:rsidR="00212513" w:rsidRDefault="00212513">
            <w:pPr>
              <w:pStyle w:val="ConsPlusNormal"/>
              <w:jc w:val="center"/>
            </w:pPr>
            <w:r>
              <w:t>0,0324</w:t>
            </w:r>
          </w:p>
        </w:tc>
      </w:tr>
      <w:tr w:rsidR="00212513">
        <w:tblPrEx>
          <w:tblBorders>
            <w:insideH w:val="nil"/>
          </w:tblBorders>
        </w:tblPrEx>
        <w:tc>
          <w:tcPr>
            <w:tcW w:w="2891" w:type="dxa"/>
            <w:vMerge/>
          </w:tcPr>
          <w:p w:rsidR="00212513" w:rsidRDefault="00212513">
            <w:pPr>
              <w:pStyle w:val="ConsPlusNormal"/>
            </w:pPr>
          </w:p>
        </w:tc>
        <w:tc>
          <w:tcPr>
            <w:tcW w:w="2948" w:type="dxa"/>
            <w:tcBorders>
              <w:top w:val="nil"/>
              <w:bottom w:val="nil"/>
            </w:tcBorders>
          </w:tcPr>
          <w:p w:rsidR="00212513" w:rsidRDefault="00212513">
            <w:pPr>
              <w:pStyle w:val="ConsPlusNormal"/>
              <w:jc w:val="center"/>
            </w:pPr>
            <w:r>
              <w:t>21 - 40</w:t>
            </w:r>
          </w:p>
        </w:tc>
        <w:tc>
          <w:tcPr>
            <w:tcW w:w="3212" w:type="dxa"/>
            <w:tcBorders>
              <w:top w:val="nil"/>
              <w:bottom w:val="nil"/>
            </w:tcBorders>
          </w:tcPr>
          <w:p w:rsidR="00212513" w:rsidRDefault="00212513">
            <w:pPr>
              <w:pStyle w:val="ConsPlusNormal"/>
              <w:jc w:val="center"/>
            </w:pPr>
            <w:r>
              <w:t>0,0316</w:t>
            </w:r>
          </w:p>
        </w:tc>
      </w:tr>
      <w:tr w:rsidR="00212513">
        <w:tc>
          <w:tcPr>
            <w:tcW w:w="2891" w:type="dxa"/>
            <w:vMerge/>
          </w:tcPr>
          <w:p w:rsidR="00212513" w:rsidRDefault="00212513">
            <w:pPr>
              <w:pStyle w:val="ConsPlusNormal"/>
            </w:pPr>
          </w:p>
        </w:tc>
        <w:tc>
          <w:tcPr>
            <w:tcW w:w="2948" w:type="dxa"/>
            <w:tcBorders>
              <w:top w:val="nil"/>
            </w:tcBorders>
          </w:tcPr>
          <w:p w:rsidR="00212513" w:rsidRDefault="00212513">
            <w:pPr>
              <w:pStyle w:val="ConsPlusNormal"/>
              <w:jc w:val="center"/>
            </w:pPr>
            <w:r>
              <w:t>41 - 60</w:t>
            </w:r>
          </w:p>
        </w:tc>
        <w:tc>
          <w:tcPr>
            <w:tcW w:w="3212" w:type="dxa"/>
            <w:tcBorders>
              <w:top w:val="nil"/>
            </w:tcBorders>
          </w:tcPr>
          <w:p w:rsidR="00212513" w:rsidRDefault="00212513">
            <w:pPr>
              <w:pStyle w:val="ConsPlusNormal"/>
              <w:jc w:val="center"/>
            </w:pPr>
            <w:r>
              <w:t>0,0309</w:t>
            </w:r>
          </w:p>
        </w:tc>
      </w:tr>
      <w:tr w:rsidR="00212513">
        <w:tc>
          <w:tcPr>
            <w:tcW w:w="2891" w:type="dxa"/>
            <w:vMerge w:val="restart"/>
          </w:tcPr>
          <w:p w:rsidR="00212513" w:rsidRDefault="00212513">
            <w:pPr>
              <w:pStyle w:val="ConsPlusNormal"/>
              <w:jc w:val="center"/>
            </w:pPr>
            <w:r>
              <w:t>С325 - С345</w:t>
            </w:r>
          </w:p>
        </w:tc>
        <w:tc>
          <w:tcPr>
            <w:tcW w:w="2948" w:type="dxa"/>
            <w:tcBorders>
              <w:bottom w:val="nil"/>
            </w:tcBorders>
          </w:tcPr>
          <w:p w:rsidR="00212513" w:rsidRDefault="00212513">
            <w:pPr>
              <w:pStyle w:val="ConsPlusNormal"/>
              <w:jc w:val="center"/>
            </w:pPr>
            <w:r>
              <w:t>8 - 32</w:t>
            </w:r>
          </w:p>
        </w:tc>
        <w:tc>
          <w:tcPr>
            <w:tcW w:w="3212" w:type="dxa"/>
            <w:tcBorders>
              <w:bottom w:val="nil"/>
            </w:tcBorders>
          </w:tcPr>
          <w:p w:rsidR="00212513" w:rsidRDefault="00212513">
            <w:pPr>
              <w:pStyle w:val="ConsPlusNormal"/>
              <w:jc w:val="center"/>
            </w:pPr>
            <w:r>
              <w:t>0,0378</w:t>
            </w:r>
          </w:p>
        </w:tc>
      </w:tr>
      <w:tr w:rsidR="00212513">
        <w:tc>
          <w:tcPr>
            <w:tcW w:w="2891" w:type="dxa"/>
            <w:vMerge/>
          </w:tcPr>
          <w:p w:rsidR="00212513" w:rsidRDefault="00212513">
            <w:pPr>
              <w:pStyle w:val="ConsPlusNormal"/>
            </w:pPr>
          </w:p>
        </w:tc>
        <w:tc>
          <w:tcPr>
            <w:tcW w:w="2948" w:type="dxa"/>
            <w:tcBorders>
              <w:top w:val="nil"/>
            </w:tcBorders>
          </w:tcPr>
          <w:p w:rsidR="00212513" w:rsidRDefault="00212513">
            <w:pPr>
              <w:pStyle w:val="ConsPlusNormal"/>
              <w:jc w:val="center"/>
            </w:pPr>
            <w:r>
              <w:t>33 - 50</w:t>
            </w:r>
          </w:p>
        </w:tc>
        <w:tc>
          <w:tcPr>
            <w:tcW w:w="3212" w:type="dxa"/>
            <w:tcBorders>
              <w:top w:val="nil"/>
            </w:tcBorders>
          </w:tcPr>
          <w:p w:rsidR="00212513" w:rsidRDefault="00212513">
            <w:pPr>
              <w:pStyle w:val="ConsPlusNormal"/>
              <w:jc w:val="center"/>
            </w:pPr>
            <w:r>
              <w:t>0,0372</w:t>
            </w:r>
          </w:p>
        </w:tc>
      </w:tr>
      <w:tr w:rsidR="00212513">
        <w:tc>
          <w:tcPr>
            <w:tcW w:w="2891" w:type="dxa"/>
          </w:tcPr>
          <w:p w:rsidR="00212513" w:rsidRDefault="00212513">
            <w:pPr>
              <w:pStyle w:val="ConsPlusNormal"/>
              <w:jc w:val="center"/>
            </w:pPr>
            <w:r>
              <w:t>С390</w:t>
            </w:r>
          </w:p>
        </w:tc>
        <w:tc>
          <w:tcPr>
            <w:tcW w:w="2948" w:type="dxa"/>
          </w:tcPr>
          <w:p w:rsidR="00212513" w:rsidRDefault="00212513">
            <w:pPr>
              <w:pStyle w:val="ConsPlusNormal"/>
              <w:jc w:val="center"/>
            </w:pPr>
            <w:r>
              <w:t>8 - 50</w:t>
            </w:r>
          </w:p>
        </w:tc>
        <w:tc>
          <w:tcPr>
            <w:tcW w:w="3212" w:type="dxa"/>
          </w:tcPr>
          <w:p w:rsidR="00212513" w:rsidRDefault="00212513">
            <w:pPr>
              <w:pStyle w:val="ConsPlusNormal"/>
              <w:jc w:val="center"/>
            </w:pPr>
            <w:r>
              <w:t>0,0412</w:t>
            </w:r>
          </w:p>
        </w:tc>
      </w:tr>
    </w:tbl>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jc w:val="right"/>
        <w:outlineLvl w:val="0"/>
      </w:pPr>
      <w:r>
        <w:rPr>
          <w:b/>
        </w:rPr>
        <w:t>Приложение Х</w:t>
      </w:r>
    </w:p>
    <w:p w:rsidR="00212513" w:rsidRDefault="00212513">
      <w:pPr>
        <w:pStyle w:val="ConsPlusNormal"/>
        <w:jc w:val="right"/>
      </w:pPr>
      <w:r>
        <w:rPr>
          <w:b/>
        </w:rPr>
        <w:t>(обязательное)</w:t>
      </w:r>
    </w:p>
    <w:p w:rsidR="00212513" w:rsidRDefault="00212513">
      <w:pPr>
        <w:pStyle w:val="ConsPlusNormal"/>
        <w:ind w:firstLine="540"/>
        <w:jc w:val="both"/>
      </w:pPr>
    </w:p>
    <w:p w:rsidR="00212513" w:rsidRDefault="00212513">
      <w:pPr>
        <w:pStyle w:val="ConsPlusTitle"/>
        <w:jc w:val="center"/>
      </w:pPr>
      <w:bookmarkStart w:id="524" w:name="P15760"/>
      <w:bookmarkEnd w:id="524"/>
      <w:r>
        <w:t>РАСЧЕТ ПО УСТОЙЧИВОСТИ ПОЛОК И СТЕНОК ЭЛЕМЕНТОВ,</w:t>
      </w:r>
    </w:p>
    <w:p w:rsidR="00212513" w:rsidRDefault="00212513">
      <w:pPr>
        <w:pStyle w:val="ConsPlusTitle"/>
        <w:jc w:val="center"/>
      </w:pPr>
      <w:r>
        <w:t>ПОДКРЕПЛЕННЫХ РЕБРАМИ ЖЕСТКОСТИ</w:t>
      </w:r>
    </w:p>
    <w:p w:rsidR="00212513" w:rsidRDefault="00212513">
      <w:pPr>
        <w:pStyle w:val="ConsPlusNormal"/>
        <w:ind w:firstLine="540"/>
        <w:jc w:val="both"/>
      </w:pPr>
    </w:p>
    <w:p w:rsidR="00212513" w:rsidRDefault="00212513">
      <w:pPr>
        <w:pStyle w:val="ConsPlusNormal"/>
        <w:ind w:firstLine="540"/>
        <w:jc w:val="both"/>
      </w:pPr>
      <w:bookmarkStart w:id="525" w:name="P15763"/>
      <w:bookmarkEnd w:id="525"/>
      <w:r>
        <w:t>Х.1 Прямоугольные отсеки полок и стенок (далее - пластинки), заключенные между подкрепляющими их по контуру ортогональными деталями (ребра жесткости, полка для стенки и стенка для полки), следует рассчитывать по устойчивости. При этом расчетными размерами и параметрами проверяемой пластинки являются:</w:t>
      </w:r>
    </w:p>
    <w:p w:rsidR="00212513" w:rsidRDefault="00212513">
      <w:pPr>
        <w:pStyle w:val="ConsPlusNormal"/>
        <w:spacing w:before="220"/>
        <w:ind w:firstLine="540"/>
        <w:jc w:val="both"/>
      </w:pPr>
      <w:r>
        <w:rPr>
          <w:i/>
        </w:rPr>
        <w:t>a</w:t>
      </w:r>
      <w:r>
        <w:t xml:space="preserve"> - длина пластинки, равная расстоянию между осями поперечных ребер жесткости;</w:t>
      </w:r>
    </w:p>
    <w:p w:rsidR="00212513" w:rsidRDefault="00212513">
      <w:pPr>
        <w:pStyle w:val="ConsPlusNormal"/>
        <w:spacing w:before="220"/>
        <w:ind w:firstLine="540"/>
        <w:jc w:val="both"/>
      </w:pPr>
      <w:r>
        <w:rPr>
          <w:noProof/>
          <w:position w:val="-10"/>
        </w:rPr>
        <w:drawing>
          <wp:inline distT="0" distB="0" distL="0" distR="0">
            <wp:extent cx="230505" cy="273685"/>
            <wp:effectExtent l="0" t="0" r="0" b="0"/>
            <wp:docPr id="2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0"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 расчетная ширина пластинки, равная:</w:t>
      </w:r>
    </w:p>
    <w:p w:rsidR="00212513" w:rsidRDefault="00212513">
      <w:pPr>
        <w:pStyle w:val="ConsPlusNormal"/>
        <w:spacing w:before="220"/>
        <w:ind w:firstLine="540"/>
        <w:jc w:val="both"/>
      </w:pPr>
      <w:r>
        <w:t xml:space="preserve">при отсутствии продольных ребер жесткости у прокатного или сварного элемента - расстоянию между осями поясов </w:t>
      </w:r>
      <w:r>
        <w:rPr>
          <w:noProof/>
          <w:position w:val="-9"/>
        </w:rPr>
        <w:drawing>
          <wp:inline distT="0" distB="0" distL="0" distR="0">
            <wp:extent cx="177165" cy="260985"/>
            <wp:effectExtent l="0" t="0" r="0" b="0"/>
            <wp:docPr id="26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1" cstate="print">
                      <a:extLst>
                        <a:ext uri="{28A0092B-C50C-407E-A947-70E740481C1C}">
                          <a14:useLocalDpi xmlns:a14="http://schemas.microsoft.com/office/drawing/2010/main" val="0"/>
                        </a:ext>
                      </a:extLst>
                    </a:blip>
                    <a:srcRect/>
                    <a:stretch>
                      <a:fillRect/>
                    </a:stretch>
                  </pic:blipFill>
                  <pic:spPr bwMode="auto">
                    <a:xfrm>
                      <a:off x="0" y="0"/>
                      <a:ext cx="177165" cy="260985"/>
                    </a:xfrm>
                    <a:prstGeom prst="rect">
                      <a:avLst/>
                    </a:prstGeom>
                    <a:noFill/>
                    <a:ln>
                      <a:noFill/>
                    </a:ln>
                  </pic:spPr>
                </pic:pic>
              </a:graphicData>
            </a:graphic>
          </wp:inline>
        </w:drawing>
      </w:r>
      <w:r>
        <w:t xml:space="preserve"> или осями стенок коробчатого сечения </w:t>
      </w:r>
      <w:r>
        <w:rPr>
          <w:noProof/>
          <w:position w:val="-10"/>
        </w:rPr>
        <w:drawing>
          <wp:inline distT="0" distB="0" distL="0" distR="0">
            <wp:extent cx="177165" cy="273685"/>
            <wp:effectExtent l="0" t="0" r="0" b="0"/>
            <wp:docPr id="2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2" cstate="print">
                      <a:extLst>
                        <a:ext uri="{28A0092B-C50C-407E-A947-70E740481C1C}">
                          <a14:useLocalDpi xmlns:a14="http://schemas.microsoft.com/office/drawing/2010/main" val="0"/>
                        </a:ext>
                      </a:extLst>
                    </a:blip>
                    <a:srcRect/>
                    <a:stretch>
                      <a:fillRect/>
                    </a:stretch>
                  </pic:blipFill>
                  <pic:spPr bwMode="auto">
                    <a:xfrm>
                      <a:off x="0" y="0"/>
                      <a:ext cx="177165" cy="273685"/>
                    </a:xfrm>
                    <a:prstGeom prst="rect">
                      <a:avLst/>
                    </a:prstGeom>
                    <a:noFill/>
                    <a:ln>
                      <a:noFill/>
                    </a:ln>
                  </pic:spPr>
                </pic:pic>
              </a:graphicData>
            </a:graphic>
          </wp:inline>
        </w:drawing>
      </w:r>
      <w:r>
        <w:t>;</w:t>
      </w:r>
    </w:p>
    <w:p w:rsidR="00212513" w:rsidRDefault="00212513">
      <w:pPr>
        <w:pStyle w:val="ConsPlusNormal"/>
        <w:spacing w:before="220"/>
        <w:ind w:firstLine="540"/>
        <w:jc w:val="both"/>
      </w:pPr>
      <w:r>
        <w:lastRenderedPageBreak/>
        <w:t>то же, у составного элемента с болтовыми соединениями - расстоянию между ближайшими рисками поясных уголков;</w:t>
      </w:r>
    </w:p>
    <w:p w:rsidR="00212513" w:rsidRDefault="00212513">
      <w:pPr>
        <w:pStyle w:val="ConsPlusNormal"/>
        <w:spacing w:before="220"/>
        <w:ind w:firstLine="540"/>
        <w:jc w:val="both"/>
      </w:pPr>
      <w:r>
        <w:t xml:space="preserve">при наличии продольных ребер жесткости у сварного или прокатного элемента - расстоянию от оси пояса (стенки) до оси крайнего продольного ребра жесткости </w:t>
      </w:r>
      <w:r>
        <w:rPr>
          <w:noProof/>
          <w:position w:val="-9"/>
        </w:rPr>
        <w:drawing>
          <wp:inline distT="0" distB="0" distL="0" distR="0">
            <wp:extent cx="167640" cy="261620"/>
            <wp:effectExtent l="0" t="0" r="0" b="0"/>
            <wp:docPr id="26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3"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и </w:t>
      </w:r>
      <w:r>
        <w:rPr>
          <w:noProof/>
          <w:position w:val="-9"/>
        </w:rPr>
        <w:drawing>
          <wp:inline distT="0" distB="0" distL="0" distR="0">
            <wp:extent cx="177800" cy="261620"/>
            <wp:effectExtent l="0" t="0" r="0" b="0"/>
            <wp:docPr id="27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4"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или расстоянию между осями соседних продольных ребер жесткости </w:t>
      </w:r>
      <w:r>
        <w:rPr>
          <w:noProof/>
          <w:position w:val="-9"/>
        </w:rPr>
        <w:drawing>
          <wp:inline distT="0" distB="0" distL="0" distR="0">
            <wp:extent cx="146050" cy="261620"/>
            <wp:effectExtent l="0" t="0" r="0" b="0"/>
            <wp:docPr id="2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5" cstate="print">
                      <a:extLst>
                        <a:ext uri="{28A0092B-C50C-407E-A947-70E740481C1C}">
                          <a14:useLocalDpi xmlns:a14="http://schemas.microsoft.com/office/drawing/2010/main" val="0"/>
                        </a:ext>
                      </a:extLst>
                    </a:blip>
                    <a:srcRect/>
                    <a:stretch>
                      <a:fillRect/>
                    </a:stretch>
                  </pic:blipFill>
                  <pic:spPr bwMode="auto">
                    <a:xfrm>
                      <a:off x="0" y="0"/>
                      <a:ext cx="146050" cy="261620"/>
                    </a:xfrm>
                    <a:prstGeom prst="rect">
                      <a:avLst/>
                    </a:prstGeom>
                    <a:noFill/>
                    <a:ln>
                      <a:noFill/>
                    </a:ln>
                  </pic:spPr>
                </pic:pic>
              </a:graphicData>
            </a:graphic>
          </wp:inline>
        </w:drawing>
      </w:r>
      <w:r>
        <w:t xml:space="preserve"> (</w:t>
      </w:r>
      <w:r>
        <w:rPr>
          <w:i/>
        </w:rPr>
        <w:t>i</w:t>
      </w:r>
      <w:r>
        <w:t xml:space="preserve"> = 2; 3; 4; 5...);</w:t>
      </w:r>
    </w:p>
    <w:p w:rsidR="00212513" w:rsidRDefault="00212513">
      <w:pPr>
        <w:pStyle w:val="ConsPlusNormal"/>
        <w:spacing w:before="220"/>
        <w:ind w:firstLine="540"/>
        <w:jc w:val="both"/>
      </w:pPr>
      <w:r>
        <w:t xml:space="preserve">то же, у составного элемента с болтовыми соединениями - расстоянию от оси крайнего ребра жесткости до ближайшей риски поясного уголка </w:t>
      </w:r>
      <w:r>
        <w:rPr>
          <w:noProof/>
          <w:position w:val="-9"/>
        </w:rPr>
        <w:drawing>
          <wp:inline distT="0" distB="0" distL="0" distR="0">
            <wp:extent cx="167640" cy="261620"/>
            <wp:effectExtent l="0" t="0" r="0" b="0"/>
            <wp:docPr id="2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3"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и </w:t>
      </w:r>
      <w:r>
        <w:rPr>
          <w:noProof/>
          <w:position w:val="-9"/>
        </w:rPr>
        <w:drawing>
          <wp:inline distT="0" distB="0" distL="0" distR="0">
            <wp:extent cx="177800" cy="261620"/>
            <wp:effectExtent l="0" t="0" r="0" b="0"/>
            <wp:docPr id="2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4"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или расстоянию между осями соседних продольных ребер жесткости </w:t>
      </w:r>
      <w:r>
        <w:rPr>
          <w:noProof/>
          <w:position w:val="-9"/>
        </w:rPr>
        <w:drawing>
          <wp:inline distT="0" distB="0" distL="0" distR="0">
            <wp:extent cx="146050" cy="261620"/>
            <wp:effectExtent l="0" t="0" r="0" b="0"/>
            <wp:docPr id="2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5" cstate="print">
                      <a:extLst>
                        <a:ext uri="{28A0092B-C50C-407E-A947-70E740481C1C}">
                          <a14:useLocalDpi xmlns:a14="http://schemas.microsoft.com/office/drawing/2010/main" val="0"/>
                        </a:ext>
                      </a:extLst>
                    </a:blip>
                    <a:srcRect/>
                    <a:stretch>
                      <a:fillRect/>
                    </a:stretch>
                  </pic:blipFill>
                  <pic:spPr bwMode="auto">
                    <a:xfrm>
                      <a:off x="0" y="0"/>
                      <a:ext cx="146050" cy="261620"/>
                    </a:xfrm>
                    <a:prstGeom prst="rect">
                      <a:avLst/>
                    </a:prstGeom>
                    <a:noFill/>
                    <a:ln>
                      <a:noFill/>
                    </a:ln>
                  </pic:spPr>
                </pic:pic>
              </a:graphicData>
            </a:graphic>
          </wp:inline>
        </w:drawing>
      </w:r>
      <w:r>
        <w:t xml:space="preserve"> (</w:t>
      </w:r>
      <w:r>
        <w:rPr>
          <w:i/>
        </w:rPr>
        <w:t>i</w:t>
      </w:r>
      <w:r>
        <w:t xml:space="preserve"> = 2; 3; 4; 5...);</w:t>
      </w:r>
    </w:p>
    <w:p w:rsidR="00212513" w:rsidRDefault="00212513">
      <w:pPr>
        <w:pStyle w:val="ConsPlusNormal"/>
        <w:spacing w:before="220"/>
        <w:ind w:firstLine="540"/>
        <w:jc w:val="both"/>
      </w:pPr>
      <w:r>
        <w:rPr>
          <w:i/>
        </w:rPr>
        <w:t>t</w:t>
      </w:r>
      <w:r>
        <w:t xml:space="preserve"> - толщина проверяемой пластинки;</w:t>
      </w:r>
    </w:p>
    <w:p w:rsidR="00212513" w:rsidRDefault="00212513">
      <w:pPr>
        <w:pStyle w:val="ConsPlusNormal"/>
        <w:spacing w:before="220"/>
        <w:ind w:firstLine="540"/>
        <w:jc w:val="both"/>
      </w:pPr>
      <w:r>
        <w:rPr>
          <w:noProof/>
          <w:position w:val="-9"/>
        </w:rPr>
        <w:drawing>
          <wp:inline distT="0" distB="0" distL="0" distR="0">
            <wp:extent cx="125730" cy="261620"/>
            <wp:effectExtent l="0" t="0" r="0" b="0"/>
            <wp:docPr id="2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6" cstate="print">
                      <a:extLst>
                        <a:ext uri="{28A0092B-C50C-407E-A947-70E740481C1C}">
                          <a14:useLocalDpi xmlns:a14="http://schemas.microsoft.com/office/drawing/2010/main" val="0"/>
                        </a:ext>
                      </a:extLst>
                    </a:blip>
                    <a:srcRect/>
                    <a:stretch>
                      <a:fillRect/>
                    </a:stretch>
                  </pic:blipFill>
                  <pic:spPr bwMode="auto">
                    <a:xfrm>
                      <a:off x="0" y="0"/>
                      <a:ext cx="125730" cy="261620"/>
                    </a:xfrm>
                    <a:prstGeom prst="rect">
                      <a:avLst/>
                    </a:prstGeom>
                    <a:noFill/>
                    <a:ln>
                      <a:noFill/>
                    </a:ln>
                  </pic:spPr>
                </pic:pic>
              </a:graphicData>
            </a:graphic>
          </wp:inline>
        </w:drawing>
      </w:r>
      <w:r>
        <w:t xml:space="preserve">, </w:t>
      </w:r>
      <w:r>
        <w:rPr>
          <w:noProof/>
          <w:position w:val="-9"/>
        </w:rPr>
        <w:drawing>
          <wp:inline distT="0" distB="0" distL="0" distR="0">
            <wp:extent cx="146050" cy="261620"/>
            <wp:effectExtent l="0" t="0" r="0" b="0"/>
            <wp:docPr id="2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7" cstate="print">
                      <a:extLst>
                        <a:ext uri="{28A0092B-C50C-407E-A947-70E740481C1C}">
                          <a14:useLocalDpi xmlns:a14="http://schemas.microsoft.com/office/drawing/2010/main" val="0"/>
                        </a:ext>
                      </a:extLst>
                    </a:blip>
                    <a:srcRect/>
                    <a:stretch>
                      <a:fillRect/>
                    </a:stretch>
                  </pic:blipFill>
                  <pic:spPr bwMode="auto">
                    <a:xfrm>
                      <a:off x="0" y="0"/>
                      <a:ext cx="146050" cy="261620"/>
                    </a:xfrm>
                    <a:prstGeom prst="rect">
                      <a:avLst/>
                    </a:prstGeom>
                    <a:noFill/>
                    <a:ln>
                      <a:noFill/>
                    </a:ln>
                  </pic:spPr>
                </pic:pic>
              </a:graphicData>
            </a:graphic>
          </wp:inline>
        </w:drawing>
      </w:r>
      <w:r>
        <w:t xml:space="preserve"> - толщина и расчетная ширина листа, ортогонального к проверяемой пластинке; в расчетную ширину этого листа в двутавровом сечении следует включать (в каждую сторону от проверяемой пластинки) участок листа шириной </w:t>
      </w:r>
      <w:r>
        <w:rPr>
          <w:noProof/>
          <w:position w:val="-9"/>
        </w:rPr>
        <w:drawing>
          <wp:inline distT="0" distB="0" distL="0" distR="0">
            <wp:extent cx="273685" cy="261620"/>
            <wp:effectExtent l="0" t="0" r="0" b="0"/>
            <wp:docPr id="2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8" cstate="print">
                      <a:extLst>
                        <a:ext uri="{28A0092B-C50C-407E-A947-70E740481C1C}">
                          <a14:useLocalDpi xmlns:a14="http://schemas.microsoft.com/office/drawing/2010/main" val="0"/>
                        </a:ext>
                      </a:extLst>
                    </a:blip>
                    <a:srcRect/>
                    <a:stretch>
                      <a:fillRect/>
                    </a:stretch>
                  </pic:blipFill>
                  <pic:spPr bwMode="auto">
                    <a:xfrm>
                      <a:off x="0" y="0"/>
                      <a:ext cx="273685" cy="261620"/>
                    </a:xfrm>
                    <a:prstGeom prst="rect">
                      <a:avLst/>
                    </a:prstGeom>
                    <a:noFill/>
                    <a:ln>
                      <a:noFill/>
                    </a:ln>
                  </pic:spPr>
                </pic:pic>
              </a:graphicData>
            </a:graphic>
          </wp:inline>
        </w:drawing>
      </w:r>
      <w:r>
        <w:t xml:space="preserve">, но не более ширины свеса, а в коробчатом сечении - участок шириной </w:t>
      </w:r>
      <w:r>
        <w:rPr>
          <w:noProof/>
          <w:position w:val="-9"/>
        </w:rPr>
        <w:drawing>
          <wp:inline distT="0" distB="0" distL="0" distR="0">
            <wp:extent cx="521970" cy="261620"/>
            <wp:effectExtent l="0" t="0" r="0" b="0"/>
            <wp:docPr id="2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9" cstate="print">
                      <a:extLst>
                        <a:ext uri="{28A0092B-C50C-407E-A947-70E740481C1C}">
                          <a14:useLocalDpi xmlns:a14="http://schemas.microsoft.com/office/drawing/2010/main" val="0"/>
                        </a:ext>
                      </a:extLst>
                    </a:blip>
                    <a:srcRect/>
                    <a:stretch>
                      <a:fillRect/>
                    </a:stretch>
                  </pic:blipFill>
                  <pic:spPr bwMode="auto">
                    <a:xfrm>
                      <a:off x="0" y="0"/>
                      <a:ext cx="521970" cy="261620"/>
                    </a:xfrm>
                    <a:prstGeom prst="rect">
                      <a:avLst/>
                    </a:prstGeom>
                    <a:noFill/>
                    <a:ln>
                      <a:noFill/>
                    </a:ln>
                  </pic:spPr>
                </pic:pic>
              </a:graphicData>
            </a:graphic>
          </wp:inline>
        </w:drawing>
      </w:r>
      <w:r>
        <w:t xml:space="preserve">, но не более половины расстояния между стенками коробки (здесь коэффициенты </w:t>
      </w:r>
      <w:r>
        <w:rPr>
          <w:noProof/>
          <w:position w:val="-9"/>
        </w:rPr>
        <w:drawing>
          <wp:inline distT="0" distB="0" distL="0" distR="0">
            <wp:extent cx="188595" cy="261620"/>
            <wp:effectExtent l="0" t="0" r="0" b="0"/>
            <wp:docPr id="2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0" cstate="print">
                      <a:extLst>
                        <a:ext uri="{28A0092B-C50C-407E-A947-70E740481C1C}">
                          <a14:useLocalDpi xmlns:a14="http://schemas.microsoft.com/office/drawing/2010/main" val="0"/>
                        </a:ext>
                      </a:extLst>
                    </a:blip>
                    <a:srcRect/>
                    <a:stretch>
                      <a:fillRect/>
                    </a:stretch>
                  </pic:blipFill>
                  <pic:spPr bwMode="auto">
                    <a:xfrm>
                      <a:off x="0" y="0"/>
                      <a:ext cx="188595" cy="261620"/>
                    </a:xfrm>
                    <a:prstGeom prst="rect">
                      <a:avLst/>
                    </a:prstGeom>
                    <a:noFill/>
                    <a:ln>
                      <a:noFill/>
                    </a:ln>
                  </pic:spPr>
                </pic:pic>
              </a:graphicData>
            </a:graphic>
          </wp:inline>
        </w:drawing>
      </w:r>
      <w:r>
        <w:t xml:space="preserve"> и </w:t>
      </w:r>
      <w:r>
        <w:rPr>
          <w:noProof/>
          <w:position w:val="-9"/>
        </w:rPr>
        <w:drawing>
          <wp:inline distT="0" distB="0" distL="0" distR="0">
            <wp:extent cx="177165" cy="260985"/>
            <wp:effectExtent l="0" t="0" r="0" b="0"/>
            <wp:docPr id="2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1" cstate="print">
                      <a:extLst>
                        <a:ext uri="{28A0092B-C50C-407E-A947-70E740481C1C}">
                          <a14:useLocalDpi xmlns:a14="http://schemas.microsoft.com/office/drawing/2010/main" val="0"/>
                        </a:ext>
                      </a:extLst>
                    </a:blip>
                    <a:srcRect/>
                    <a:stretch>
                      <a:fillRect/>
                    </a:stretch>
                  </pic:blipFill>
                  <pic:spPr bwMode="auto">
                    <a:xfrm>
                      <a:off x="0" y="0"/>
                      <a:ext cx="177165" cy="260985"/>
                    </a:xfrm>
                    <a:prstGeom prst="rect">
                      <a:avLst/>
                    </a:prstGeom>
                    <a:noFill/>
                    <a:ln>
                      <a:noFill/>
                    </a:ln>
                  </pic:spPr>
                </pic:pic>
              </a:graphicData>
            </a:graphic>
          </wp:inline>
        </w:drawing>
      </w:r>
      <w:r>
        <w:t xml:space="preserve"> следует определять по </w:t>
      </w:r>
      <w:hyperlink w:anchor="P8039">
        <w:r>
          <w:rPr>
            <w:color w:val="0000FF"/>
          </w:rPr>
          <w:t>8.55</w:t>
        </w:r>
      </w:hyperlink>
      <w:r>
        <w:t>);</w:t>
      </w:r>
    </w:p>
    <w:p w:rsidR="00212513" w:rsidRDefault="00212513">
      <w:pPr>
        <w:pStyle w:val="ConsPlusNormal"/>
        <w:spacing w:before="220"/>
        <w:ind w:firstLine="540"/>
        <w:jc w:val="both"/>
      </w:pPr>
      <w:r>
        <w:rPr>
          <w:noProof/>
          <w:position w:val="-27"/>
        </w:rPr>
        <w:drawing>
          <wp:inline distT="0" distB="0" distL="0" distR="0">
            <wp:extent cx="719455" cy="484505"/>
            <wp:effectExtent l="0" t="0" r="0" b="0"/>
            <wp:docPr id="2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2" cstate="print">
                      <a:extLst>
                        <a:ext uri="{28A0092B-C50C-407E-A947-70E740481C1C}">
                          <a14:useLocalDpi xmlns:a14="http://schemas.microsoft.com/office/drawing/2010/main" val="0"/>
                        </a:ext>
                      </a:extLst>
                    </a:blip>
                    <a:srcRect/>
                    <a:stretch>
                      <a:fillRect/>
                    </a:stretch>
                  </pic:blipFill>
                  <pic:spPr bwMode="auto">
                    <a:xfrm>
                      <a:off x="0" y="0"/>
                      <a:ext cx="719455" cy="484505"/>
                    </a:xfrm>
                    <a:prstGeom prst="rect">
                      <a:avLst/>
                    </a:prstGeom>
                    <a:noFill/>
                    <a:ln>
                      <a:noFill/>
                    </a:ln>
                  </pic:spPr>
                </pic:pic>
              </a:graphicData>
            </a:graphic>
          </wp:inline>
        </w:drawing>
      </w:r>
      <w:r>
        <w:t xml:space="preserve">, здесь </w:t>
      </w:r>
      <w:r>
        <w:rPr>
          <w:noProof/>
          <w:position w:val="-9"/>
        </w:rPr>
        <w:drawing>
          <wp:inline distT="0" distB="0" distL="0" distR="0">
            <wp:extent cx="220345" cy="261620"/>
            <wp:effectExtent l="0" t="0" r="0" b="0"/>
            <wp:docPr id="2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3"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и </w:t>
      </w:r>
      <w:r>
        <w:rPr>
          <w:noProof/>
          <w:position w:val="-9"/>
        </w:rPr>
        <w:drawing>
          <wp:inline distT="0" distB="0" distL="0" distR="0">
            <wp:extent cx="220345" cy="261620"/>
            <wp:effectExtent l="0" t="0" r="0" b="0"/>
            <wp:docPr id="2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4"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определяются по </w:t>
      </w:r>
      <w:hyperlink w:anchor="P15797">
        <w:r>
          <w:rPr>
            <w:color w:val="0000FF"/>
          </w:rPr>
          <w:t>Х.2</w:t>
        </w:r>
      </w:hyperlink>
      <w:r>
        <w:t>;</w:t>
      </w:r>
    </w:p>
    <w:p w:rsidR="00212513" w:rsidRDefault="00212513">
      <w:pPr>
        <w:pStyle w:val="ConsPlusNormal"/>
        <w:spacing w:before="220"/>
        <w:ind w:firstLine="540"/>
        <w:jc w:val="both"/>
      </w:pPr>
      <w:r>
        <w:rPr>
          <w:noProof/>
          <w:position w:val="-27"/>
        </w:rPr>
        <w:drawing>
          <wp:inline distT="0" distB="0" distL="0" distR="0">
            <wp:extent cx="544830" cy="494030"/>
            <wp:effectExtent l="0" t="0" r="0" b="0"/>
            <wp:docPr id="2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5" cstate="print">
                      <a:extLst>
                        <a:ext uri="{28A0092B-C50C-407E-A947-70E740481C1C}">
                          <a14:useLocalDpi xmlns:a14="http://schemas.microsoft.com/office/drawing/2010/main" val="0"/>
                        </a:ext>
                      </a:extLst>
                    </a:blip>
                    <a:srcRect/>
                    <a:stretch>
                      <a:fillRect/>
                    </a:stretch>
                  </pic:blipFill>
                  <pic:spPr bwMode="auto">
                    <a:xfrm>
                      <a:off x="0" y="0"/>
                      <a:ext cx="544830" cy="494030"/>
                    </a:xfrm>
                    <a:prstGeom prst="rect">
                      <a:avLst/>
                    </a:prstGeom>
                    <a:noFill/>
                    <a:ln>
                      <a:noFill/>
                    </a:ln>
                  </pic:spPr>
                </pic:pic>
              </a:graphicData>
            </a:graphic>
          </wp:inline>
        </w:drawing>
      </w:r>
      <w:r>
        <w:t>;</w:t>
      </w:r>
    </w:p>
    <w:p w:rsidR="00212513" w:rsidRDefault="00212513">
      <w:pPr>
        <w:pStyle w:val="ConsPlusNormal"/>
        <w:spacing w:before="220"/>
        <w:ind w:firstLine="540"/>
        <w:jc w:val="both"/>
      </w:pPr>
      <w:r>
        <w:rPr>
          <w:noProof/>
          <w:position w:val="-31"/>
        </w:rPr>
        <w:drawing>
          <wp:inline distT="0" distB="0" distL="0" distR="0">
            <wp:extent cx="1029335" cy="544830"/>
            <wp:effectExtent l="0" t="0" r="0" b="0"/>
            <wp:docPr id="2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6" cstate="print">
                      <a:extLst>
                        <a:ext uri="{28A0092B-C50C-407E-A947-70E740481C1C}">
                          <a14:useLocalDpi xmlns:a14="http://schemas.microsoft.com/office/drawing/2010/main" val="0"/>
                        </a:ext>
                      </a:extLst>
                    </a:blip>
                    <a:srcRect/>
                    <a:stretch>
                      <a:fillRect/>
                    </a:stretch>
                  </pic:blipFill>
                  <pic:spPr bwMode="auto">
                    <a:xfrm>
                      <a:off x="0" y="0"/>
                      <a:ext cx="1029335" cy="544830"/>
                    </a:xfrm>
                    <a:prstGeom prst="rect">
                      <a:avLst/>
                    </a:prstGeom>
                    <a:noFill/>
                    <a:ln>
                      <a:noFill/>
                    </a:ln>
                  </pic:spPr>
                </pic:pic>
              </a:graphicData>
            </a:graphic>
          </wp:inline>
        </w:drawing>
      </w:r>
      <w:r>
        <w:t xml:space="preserve">, здесь </w:t>
      </w:r>
      <w:r>
        <w:rPr>
          <w:noProof/>
          <w:position w:val="-7"/>
        </w:rPr>
        <w:drawing>
          <wp:inline distT="0" distB="0" distL="0" distR="0">
            <wp:extent cx="167640" cy="230505"/>
            <wp:effectExtent l="0" t="0" r="0" b="0"/>
            <wp:docPr id="2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7" cstate="print">
                      <a:extLst>
                        <a:ext uri="{28A0092B-C50C-407E-A947-70E740481C1C}">
                          <a14:useLocalDpi xmlns:a14="http://schemas.microsoft.com/office/drawing/2010/main" val="0"/>
                        </a:ext>
                      </a:extLst>
                    </a:blip>
                    <a:srcRect/>
                    <a:stretch>
                      <a:fillRect/>
                    </a:stretch>
                  </pic:blipFill>
                  <pic:spPr bwMode="auto">
                    <a:xfrm>
                      <a:off x="0" y="0"/>
                      <a:ext cx="167640" cy="230505"/>
                    </a:xfrm>
                    <a:prstGeom prst="rect">
                      <a:avLst/>
                    </a:prstGeom>
                    <a:noFill/>
                    <a:ln>
                      <a:noFill/>
                    </a:ln>
                  </pic:spPr>
                </pic:pic>
              </a:graphicData>
            </a:graphic>
          </wp:inline>
        </w:drawing>
      </w:r>
      <w:r>
        <w:t xml:space="preserve"> - коэффициент, принимаемый по таблице Х.1.</w:t>
      </w:r>
    </w:p>
    <w:p w:rsidR="00212513" w:rsidRDefault="00212513">
      <w:pPr>
        <w:pStyle w:val="ConsPlusNormal"/>
        <w:ind w:firstLine="540"/>
        <w:jc w:val="both"/>
      </w:pPr>
    </w:p>
    <w:p w:rsidR="00212513" w:rsidRDefault="00212513">
      <w:pPr>
        <w:pStyle w:val="ConsPlusNormal"/>
        <w:jc w:val="right"/>
      </w:pPr>
      <w:r>
        <w:t>Таблица Х.1</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50"/>
        <w:gridCol w:w="2721"/>
      </w:tblGrid>
      <w:tr w:rsidR="00212513">
        <w:tc>
          <w:tcPr>
            <w:tcW w:w="6350" w:type="dxa"/>
            <w:tcBorders>
              <w:top w:val="single" w:sz="4" w:space="0" w:color="auto"/>
              <w:bottom w:val="single" w:sz="4" w:space="0" w:color="auto"/>
            </w:tcBorders>
            <w:vAlign w:val="center"/>
          </w:tcPr>
          <w:p w:rsidR="00212513" w:rsidRDefault="00212513">
            <w:pPr>
              <w:pStyle w:val="ConsPlusNormal"/>
              <w:jc w:val="center"/>
            </w:pPr>
            <w:r>
              <w:t>Характер закрепления сжатого пояса</w:t>
            </w:r>
          </w:p>
        </w:tc>
        <w:tc>
          <w:tcPr>
            <w:tcW w:w="2721" w:type="dxa"/>
            <w:tcBorders>
              <w:top w:val="single" w:sz="4" w:space="0" w:color="auto"/>
              <w:bottom w:val="single" w:sz="4" w:space="0" w:color="auto"/>
            </w:tcBorders>
            <w:vAlign w:val="center"/>
          </w:tcPr>
          <w:p w:rsidR="00212513" w:rsidRDefault="00212513">
            <w:pPr>
              <w:pStyle w:val="ConsPlusNormal"/>
              <w:jc w:val="center"/>
            </w:pPr>
            <w:r>
              <w:t>Значение коэффициента </w:t>
            </w:r>
            <w:r>
              <w:rPr>
                <w:noProof/>
                <w:position w:val="-6"/>
              </w:rPr>
              <w:drawing>
                <wp:inline distT="0" distB="0" distL="0" distR="0">
                  <wp:extent cx="167640" cy="220345"/>
                  <wp:effectExtent l="0" t="0" r="0" b="0"/>
                  <wp:docPr id="2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8" cstate="print">
                            <a:extLst>
                              <a:ext uri="{28A0092B-C50C-407E-A947-70E740481C1C}">
                                <a14:useLocalDpi xmlns:a14="http://schemas.microsoft.com/office/drawing/2010/main" val="0"/>
                              </a:ext>
                            </a:extLst>
                          </a:blip>
                          <a:srcRect/>
                          <a:stretch>
                            <a:fillRect/>
                          </a:stretch>
                        </pic:blipFill>
                        <pic:spPr bwMode="auto">
                          <a:xfrm>
                            <a:off x="0" y="0"/>
                            <a:ext cx="167640" cy="220345"/>
                          </a:xfrm>
                          <a:prstGeom prst="rect">
                            <a:avLst/>
                          </a:prstGeom>
                          <a:noFill/>
                          <a:ln>
                            <a:noFill/>
                          </a:ln>
                        </pic:spPr>
                      </pic:pic>
                    </a:graphicData>
                  </a:graphic>
                </wp:inline>
              </w:drawing>
            </w:r>
          </w:p>
        </w:tc>
      </w:tr>
      <w:tr w:rsidR="00212513">
        <w:tblPrEx>
          <w:tblBorders>
            <w:insideH w:val="none" w:sz="0" w:space="0" w:color="auto"/>
          </w:tblBorders>
        </w:tblPrEx>
        <w:tc>
          <w:tcPr>
            <w:tcW w:w="6350" w:type="dxa"/>
            <w:tcBorders>
              <w:top w:val="single" w:sz="4" w:space="0" w:color="auto"/>
              <w:bottom w:val="nil"/>
            </w:tcBorders>
          </w:tcPr>
          <w:p w:rsidR="00212513" w:rsidRDefault="00212513">
            <w:pPr>
              <w:pStyle w:val="ConsPlusNormal"/>
            </w:pPr>
            <w:r>
              <w:t>К поясу с помощью лапчатых болтов прикреплены мостовые брусья</w:t>
            </w:r>
          </w:p>
        </w:tc>
        <w:tc>
          <w:tcPr>
            <w:tcW w:w="2721" w:type="dxa"/>
            <w:tcBorders>
              <w:top w:val="single" w:sz="4" w:space="0" w:color="auto"/>
              <w:bottom w:val="nil"/>
            </w:tcBorders>
          </w:tcPr>
          <w:p w:rsidR="00212513" w:rsidRDefault="00212513">
            <w:pPr>
              <w:pStyle w:val="ConsPlusNormal"/>
              <w:jc w:val="center"/>
            </w:pPr>
            <w:r>
              <w:t>0,3</w:t>
            </w:r>
          </w:p>
        </w:tc>
      </w:tr>
      <w:tr w:rsidR="00212513">
        <w:tblPrEx>
          <w:tblBorders>
            <w:insideH w:val="none" w:sz="0" w:space="0" w:color="auto"/>
          </w:tblBorders>
        </w:tblPrEx>
        <w:tc>
          <w:tcPr>
            <w:tcW w:w="6350" w:type="dxa"/>
            <w:tcBorders>
              <w:top w:val="nil"/>
              <w:bottom w:val="nil"/>
            </w:tcBorders>
          </w:tcPr>
          <w:p w:rsidR="00212513" w:rsidRDefault="00212513">
            <w:pPr>
              <w:pStyle w:val="ConsPlusNormal"/>
            </w:pPr>
            <w:r>
              <w:t>К поясу с помощью высокопрочных шпилек и деревянных подкладок прикреплены сборные железобетонные плиты проезжей части</w:t>
            </w:r>
          </w:p>
        </w:tc>
        <w:tc>
          <w:tcPr>
            <w:tcW w:w="2721" w:type="dxa"/>
            <w:tcBorders>
              <w:top w:val="nil"/>
              <w:bottom w:val="nil"/>
            </w:tcBorders>
          </w:tcPr>
          <w:p w:rsidR="00212513" w:rsidRDefault="00212513">
            <w:pPr>
              <w:pStyle w:val="ConsPlusNormal"/>
              <w:jc w:val="center"/>
            </w:pPr>
            <w:r>
              <w:t>0,5</w:t>
            </w:r>
          </w:p>
        </w:tc>
      </w:tr>
      <w:tr w:rsidR="00212513">
        <w:tblPrEx>
          <w:tblBorders>
            <w:insideH w:val="none" w:sz="0" w:space="0" w:color="auto"/>
          </w:tblBorders>
        </w:tblPrEx>
        <w:tc>
          <w:tcPr>
            <w:tcW w:w="6350" w:type="dxa"/>
            <w:tcBorders>
              <w:top w:val="nil"/>
              <w:bottom w:val="nil"/>
            </w:tcBorders>
          </w:tcPr>
          <w:p w:rsidR="00212513" w:rsidRDefault="00212513">
            <w:pPr>
              <w:pStyle w:val="ConsPlusNormal"/>
            </w:pPr>
            <w:r>
              <w:t>Пояс свободен</w:t>
            </w:r>
          </w:p>
        </w:tc>
        <w:tc>
          <w:tcPr>
            <w:tcW w:w="2721" w:type="dxa"/>
            <w:tcBorders>
              <w:top w:val="nil"/>
              <w:bottom w:val="nil"/>
            </w:tcBorders>
          </w:tcPr>
          <w:p w:rsidR="00212513" w:rsidRDefault="00212513">
            <w:pPr>
              <w:pStyle w:val="ConsPlusNormal"/>
              <w:jc w:val="center"/>
            </w:pPr>
            <w:r>
              <w:t>0,8</w:t>
            </w:r>
          </w:p>
        </w:tc>
      </w:tr>
      <w:tr w:rsidR="00212513">
        <w:tblPrEx>
          <w:tblBorders>
            <w:insideH w:val="none" w:sz="0" w:space="0" w:color="auto"/>
          </w:tblBorders>
        </w:tblPrEx>
        <w:tc>
          <w:tcPr>
            <w:tcW w:w="6350" w:type="dxa"/>
            <w:tcBorders>
              <w:top w:val="nil"/>
              <w:bottom w:val="nil"/>
            </w:tcBorders>
          </w:tcPr>
          <w:p w:rsidR="00212513" w:rsidRDefault="00212513">
            <w:pPr>
              <w:pStyle w:val="ConsPlusNormal"/>
            </w:pPr>
            <w:r>
              <w:t>К поясу приварен внахлестку или встык лист ортотропной плиты</w:t>
            </w:r>
          </w:p>
        </w:tc>
        <w:tc>
          <w:tcPr>
            <w:tcW w:w="2721" w:type="dxa"/>
            <w:tcBorders>
              <w:top w:val="nil"/>
              <w:bottom w:val="nil"/>
            </w:tcBorders>
          </w:tcPr>
          <w:p w:rsidR="00212513" w:rsidRDefault="00212513">
            <w:pPr>
              <w:pStyle w:val="ConsPlusNormal"/>
              <w:jc w:val="center"/>
            </w:pPr>
            <w:r>
              <w:t>2,0</w:t>
            </w:r>
          </w:p>
        </w:tc>
      </w:tr>
      <w:tr w:rsidR="00212513">
        <w:tblPrEx>
          <w:tblBorders>
            <w:insideH w:val="none" w:sz="0" w:space="0" w:color="auto"/>
          </w:tblBorders>
        </w:tblPrEx>
        <w:tc>
          <w:tcPr>
            <w:tcW w:w="6350" w:type="dxa"/>
            <w:tcBorders>
              <w:top w:val="nil"/>
              <w:bottom w:val="nil"/>
            </w:tcBorders>
          </w:tcPr>
          <w:p w:rsidR="00212513" w:rsidRDefault="00212513">
            <w:pPr>
              <w:pStyle w:val="ConsPlusNormal"/>
            </w:pPr>
            <w:r>
              <w:t>К поясу с помощью закладных деталей и высокопрочных болтов присоединена сборная проезжая часть сталежелезобетонного пролетного строения</w:t>
            </w:r>
          </w:p>
        </w:tc>
        <w:tc>
          <w:tcPr>
            <w:tcW w:w="2721" w:type="dxa"/>
            <w:tcBorders>
              <w:top w:val="nil"/>
              <w:bottom w:val="nil"/>
            </w:tcBorders>
          </w:tcPr>
          <w:p w:rsidR="00212513" w:rsidRDefault="00212513">
            <w:pPr>
              <w:pStyle w:val="ConsPlusNormal"/>
              <w:jc w:val="center"/>
            </w:pPr>
            <w:r>
              <w:t>1,5</w:t>
            </w:r>
          </w:p>
        </w:tc>
      </w:tr>
      <w:tr w:rsidR="00212513">
        <w:tblPrEx>
          <w:tblBorders>
            <w:insideH w:val="none" w:sz="0" w:space="0" w:color="auto"/>
          </w:tblBorders>
        </w:tblPrEx>
        <w:tc>
          <w:tcPr>
            <w:tcW w:w="6350" w:type="dxa"/>
            <w:tcBorders>
              <w:top w:val="nil"/>
              <w:bottom w:val="nil"/>
            </w:tcBorders>
          </w:tcPr>
          <w:p w:rsidR="00212513" w:rsidRDefault="00212513">
            <w:pPr>
              <w:pStyle w:val="ConsPlusNormal"/>
            </w:pPr>
            <w:r>
              <w:lastRenderedPageBreak/>
              <w:t>К поясу непрерывно по всей длине пролета присоединена проезжая часть сталежелезобетонного пролетного строения с помощью высокопрочных болтов и подливки цементно-песчаным раствором</w:t>
            </w:r>
          </w:p>
        </w:tc>
        <w:tc>
          <w:tcPr>
            <w:tcW w:w="2721" w:type="dxa"/>
            <w:tcBorders>
              <w:top w:val="nil"/>
              <w:bottom w:val="nil"/>
            </w:tcBorders>
          </w:tcPr>
          <w:p w:rsidR="00212513" w:rsidRDefault="00212513">
            <w:pPr>
              <w:pStyle w:val="ConsPlusNormal"/>
              <w:jc w:val="center"/>
            </w:pPr>
            <w:r>
              <w:t>2,0</w:t>
            </w:r>
          </w:p>
        </w:tc>
      </w:tr>
      <w:tr w:rsidR="00212513">
        <w:tblPrEx>
          <w:tblBorders>
            <w:insideH w:val="none" w:sz="0" w:space="0" w:color="auto"/>
          </w:tblBorders>
        </w:tblPrEx>
        <w:tc>
          <w:tcPr>
            <w:tcW w:w="9071" w:type="dxa"/>
            <w:gridSpan w:val="2"/>
            <w:tcBorders>
              <w:top w:val="nil"/>
              <w:bottom w:val="single" w:sz="4" w:space="0" w:color="auto"/>
            </w:tcBorders>
          </w:tcPr>
          <w:p w:rsidR="00212513" w:rsidRDefault="00212513">
            <w:pPr>
              <w:pStyle w:val="ConsPlusNormal"/>
              <w:jc w:val="both"/>
            </w:pPr>
            <w:r>
              <w:t xml:space="preserve">(в ред. </w:t>
            </w:r>
            <w:hyperlink r:id="rId3499">
              <w:r>
                <w:rPr>
                  <w:color w:val="0000FF"/>
                </w:rPr>
                <w:t>Изменения N 1</w:t>
              </w:r>
            </w:hyperlink>
            <w:r>
              <w:t>, утв. Приказом Минстроя России от 03.12.2016 N 879/пр)</w:t>
            </w:r>
          </w:p>
        </w:tc>
      </w:tr>
    </w:tbl>
    <w:p w:rsidR="00212513" w:rsidRDefault="00212513">
      <w:pPr>
        <w:pStyle w:val="ConsPlusNormal"/>
        <w:jc w:val="both"/>
      </w:pPr>
    </w:p>
    <w:p w:rsidR="00212513" w:rsidRDefault="00212513">
      <w:pPr>
        <w:pStyle w:val="ConsPlusNormal"/>
        <w:jc w:val="both"/>
      </w:pPr>
      <w:r>
        <w:t xml:space="preserve">(в ред. </w:t>
      </w:r>
      <w:hyperlink r:id="rId3500">
        <w:r>
          <w:rPr>
            <w:color w:val="0000FF"/>
          </w:rPr>
          <w:t>Изменения N 4</w:t>
        </w:r>
      </w:hyperlink>
      <w:r>
        <w:t>, утв. Приказом Минстроя России от 30.05.2024 N 361/пр)</w:t>
      </w:r>
    </w:p>
    <w:p w:rsidR="00212513" w:rsidRDefault="00212513">
      <w:pPr>
        <w:pStyle w:val="ConsPlusNormal"/>
        <w:ind w:firstLine="540"/>
        <w:jc w:val="both"/>
      </w:pPr>
    </w:p>
    <w:p w:rsidR="00212513" w:rsidRDefault="00212513">
      <w:pPr>
        <w:pStyle w:val="ConsPlusNormal"/>
        <w:ind w:firstLine="540"/>
        <w:jc w:val="both"/>
      </w:pPr>
      <w:r>
        <w:t xml:space="preserve">В случае если проверяемая пластинка примыкает к пакету из двух листов и более, за </w:t>
      </w:r>
      <w:r>
        <w:rPr>
          <w:noProof/>
          <w:position w:val="-9"/>
        </w:rPr>
        <w:drawing>
          <wp:inline distT="0" distB="0" distL="0" distR="0">
            <wp:extent cx="125730" cy="261620"/>
            <wp:effectExtent l="0" t="0" r="0" b="0"/>
            <wp:docPr id="2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6" cstate="print">
                      <a:extLst>
                        <a:ext uri="{28A0092B-C50C-407E-A947-70E740481C1C}">
                          <a14:useLocalDpi xmlns:a14="http://schemas.microsoft.com/office/drawing/2010/main" val="0"/>
                        </a:ext>
                      </a:extLst>
                    </a:blip>
                    <a:srcRect/>
                    <a:stretch>
                      <a:fillRect/>
                    </a:stretch>
                  </pic:blipFill>
                  <pic:spPr bwMode="auto">
                    <a:xfrm>
                      <a:off x="0" y="0"/>
                      <a:ext cx="125730" cy="261620"/>
                    </a:xfrm>
                    <a:prstGeom prst="rect">
                      <a:avLst/>
                    </a:prstGeom>
                    <a:noFill/>
                    <a:ln>
                      <a:noFill/>
                    </a:ln>
                  </pic:spPr>
                </pic:pic>
              </a:graphicData>
            </a:graphic>
          </wp:inline>
        </w:drawing>
      </w:r>
      <w:r>
        <w:t xml:space="preserve"> и </w:t>
      </w:r>
      <w:r>
        <w:rPr>
          <w:noProof/>
          <w:position w:val="-9"/>
        </w:rPr>
        <w:drawing>
          <wp:inline distT="0" distB="0" distL="0" distR="0">
            <wp:extent cx="146050" cy="261620"/>
            <wp:effectExtent l="0" t="0" r="0" b="0"/>
            <wp:docPr id="2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7" cstate="print">
                      <a:extLst>
                        <a:ext uri="{28A0092B-C50C-407E-A947-70E740481C1C}">
                          <a14:useLocalDpi xmlns:a14="http://schemas.microsoft.com/office/drawing/2010/main" val="0"/>
                        </a:ext>
                      </a:extLst>
                    </a:blip>
                    <a:srcRect/>
                    <a:stretch>
                      <a:fillRect/>
                    </a:stretch>
                  </pic:blipFill>
                  <pic:spPr bwMode="auto">
                    <a:xfrm>
                      <a:off x="0" y="0"/>
                      <a:ext cx="146050" cy="261620"/>
                    </a:xfrm>
                    <a:prstGeom prst="rect">
                      <a:avLst/>
                    </a:prstGeom>
                    <a:noFill/>
                    <a:ln>
                      <a:noFill/>
                    </a:ln>
                  </pic:spPr>
                </pic:pic>
              </a:graphicData>
            </a:graphic>
          </wp:inline>
        </w:drawing>
      </w:r>
      <w:r>
        <w:t xml:space="preserve"> принимаются толщина и расчетная ширина первого листа пакета, непосредственно примыкающего к указанной пластинке.</w:t>
      </w:r>
    </w:p>
    <w:p w:rsidR="00212513" w:rsidRDefault="00212513">
      <w:pPr>
        <w:pStyle w:val="ConsPlusNormal"/>
        <w:spacing w:before="220"/>
        <w:ind w:firstLine="540"/>
        <w:jc w:val="both"/>
      </w:pPr>
      <w:bookmarkStart w:id="526" w:name="P15797"/>
      <w:bookmarkEnd w:id="526"/>
      <w:r>
        <w:t xml:space="preserve">Х.2 Расчет по устойчивости пластинок следует выполнять с учетом всех компонентов напряженного состояния - </w:t>
      </w:r>
      <w:r>
        <w:rPr>
          <w:noProof/>
          <w:position w:val="-9"/>
        </w:rPr>
        <w:drawing>
          <wp:inline distT="0" distB="0" distL="0" distR="0">
            <wp:extent cx="220345" cy="261620"/>
            <wp:effectExtent l="0" t="0" r="0" b="0"/>
            <wp:docPr id="2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1"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w:t>
      </w:r>
      <w:r>
        <w:rPr>
          <w:noProof/>
          <w:position w:val="-10"/>
        </w:rPr>
        <w:drawing>
          <wp:inline distT="0" distB="0" distL="0" distR="0">
            <wp:extent cx="230505" cy="273685"/>
            <wp:effectExtent l="0" t="0" r="0" b="0"/>
            <wp:docPr id="2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2"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w:t>
      </w:r>
      <w:r>
        <w:rPr>
          <w:noProof/>
          <w:position w:val="-10"/>
        </w:rPr>
        <w:drawing>
          <wp:inline distT="0" distB="0" distL="0" distR="0">
            <wp:extent cx="230505" cy="273685"/>
            <wp:effectExtent l="0" t="0" r="0" b="0"/>
            <wp:docPr id="2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3"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Напряжения </w:t>
      </w:r>
      <w:r>
        <w:rPr>
          <w:noProof/>
          <w:position w:val="-9"/>
        </w:rPr>
        <w:drawing>
          <wp:inline distT="0" distB="0" distL="0" distR="0">
            <wp:extent cx="220345" cy="261620"/>
            <wp:effectExtent l="0" t="0" r="0" b="0"/>
            <wp:docPr id="2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1"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w:t>
      </w:r>
      <w:r>
        <w:rPr>
          <w:noProof/>
          <w:position w:val="-10"/>
        </w:rPr>
        <w:drawing>
          <wp:inline distT="0" distB="0" distL="0" distR="0">
            <wp:extent cx="230505" cy="273685"/>
            <wp:effectExtent l="0" t="0" r="0" b="0"/>
            <wp:docPr id="2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2"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w:t>
      </w:r>
      <w:r>
        <w:rPr>
          <w:noProof/>
          <w:position w:val="-10"/>
        </w:rPr>
        <w:drawing>
          <wp:inline distT="0" distB="0" distL="0" distR="0">
            <wp:extent cx="230505" cy="273685"/>
            <wp:effectExtent l="0" t="0" r="0" b="0"/>
            <wp:docPr id="2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3"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следует вычислять в предположении упругой работы материала по сечению брутто без учета коэффициентов продольного изгиба.</w:t>
      </w:r>
    </w:p>
    <w:p w:rsidR="00212513" w:rsidRDefault="00212513">
      <w:pPr>
        <w:pStyle w:val="ConsPlusNormal"/>
        <w:spacing w:before="220"/>
        <w:ind w:firstLine="540"/>
        <w:jc w:val="both"/>
      </w:pPr>
      <w:r>
        <w:t xml:space="preserve">Максимальное </w:t>
      </w:r>
      <w:r>
        <w:rPr>
          <w:noProof/>
          <w:position w:val="-9"/>
        </w:rPr>
        <w:drawing>
          <wp:inline distT="0" distB="0" distL="0" distR="0">
            <wp:extent cx="220345" cy="261620"/>
            <wp:effectExtent l="0" t="0" r="0" b="0"/>
            <wp:docPr id="2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1"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и минимальное </w:t>
      </w:r>
      <w:r>
        <w:rPr>
          <w:noProof/>
          <w:position w:val="-9"/>
        </w:rPr>
        <w:drawing>
          <wp:inline distT="0" distB="0" distL="0" distR="0">
            <wp:extent cx="220345" cy="261620"/>
            <wp:effectExtent l="0" t="0" r="0" b="0"/>
            <wp:docPr id="2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4"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продольные нормальные напряжения (положительные при сжатии) по продольным границам пластинки следует определять по формулам:</w:t>
      </w:r>
    </w:p>
    <w:p w:rsidR="00212513" w:rsidRDefault="00212513">
      <w:pPr>
        <w:pStyle w:val="ConsPlusNormal"/>
        <w:ind w:firstLine="540"/>
        <w:jc w:val="both"/>
      </w:pPr>
    </w:p>
    <w:p w:rsidR="00212513" w:rsidRDefault="00212513">
      <w:pPr>
        <w:pStyle w:val="ConsPlusNormal"/>
        <w:jc w:val="center"/>
      </w:pPr>
      <w:r>
        <w:rPr>
          <w:noProof/>
          <w:position w:val="-27"/>
        </w:rPr>
        <w:drawing>
          <wp:inline distT="0" distB="0" distL="0" distR="0">
            <wp:extent cx="1283970" cy="484505"/>
            <wp:effectExtent l="0" t="0" r="0" b="0"/>
            <wp:docPr id="2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5" cstate="print">
                      <a:extLst>
                        <a:ext uri="{28A0092B-C50C-407E-A947-70E740481C1C}">
                          <a14:useLocalDpi xmlns:a14="http://schemas.microsoft.com/office/drawing/2010/main" val="0"/>
                        </a:ext>
                      </a:extLst>
                    </a:blip>
                    <a:srcRect/>
                    <a:stretch>
                      <a:fillRect/>
                    </a:stretch>
                  </pic:blipFill>
                  <pic:spPr bwMode="auto">
                    <a:xfrm>
                      <a:off x="0" y="0"/>
                      <a:ext cx="1283970" cy="484505"/>
                    </a:xfrm>
                    <a:prstGeom prst="rect">
                      <a:avLst/>
                    </a:prstGeom>
                    <a:noFill/>
                    <a:ln>
                      <a:noFill/>
                    </a:ln>
                  </pic:spPr>
                </pic:pic>
              </a:graphicData>
            </a:graphic>
          </wp:inline>
        </w:drawing>
      </w:r>
      <w:r>
        <w:t>; (Х.1)</w:t>
      </w:r>
    </w:p>
    <w:p w:rsidR="00212513" w:rsidRDefault="00212513">
      <w:pPr>
        <w:pStyle w:val="ConsPlusNormal"/>
        <w:jc w:val="center"/>
      </w:pPr>
    </w:p>
    <w:p w:rsidR="00212513" w:rsidRDefault="00212513">
      <w:pPr>
        <w:pStyle w:val="ConsPlusNormal"/>
        <w:jc w:val="center"/>
      </w:pPr>
      <w:r>
        <w:rPr>
          <w:noProof/>
          <w:position w:val="-27"/>
        </w:rPr>
        <w:drawing>
          <wp:inline distT="0" distB="0" distL="0" distR="0">
            <wp:extent cx="1282700" cy="484505"/>
            <wp:effectExtent l="0" t="0" r="0" b="0"/>
            <wp:docPr id="2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6" cstate="print">
                      <a:extLst>
                        <a:ext uri="{28A0092B-C50C-407E-A947-70E740481C1C}">
                          <a14:useLocalDpi xmlns:a14="http://schemas.microsoft.com/office/drawing/2010/main" val="0"/>
                        </a:ext>
                      </a:extLst>
                    </a:blip>
                    <a:srcRect/>
                    <a:stretch>
                      <a:fillRect/>
                    </a:stretch>
                  </pic:blipFill>
                  <pic:spPr bwMode="auto">
                    <a:xfrm>
                      <a:off x="0" y="0"/>
                      <a:ext cx="1282700" cy="484505"/>
                    </a:xfrm>
                    <a:prstGeom prst="rect">
                      <a:avLst/>
                    </a:prstGeom>
                    <a:noFill/>
                    <a:ln>
                      <a:noFill/>
                    </a:ln>
                  </pic:spPr>
                </pic:pic>
              </a:graphicData>
            </a:graphic>
          </wp:inline>
        </w:drawing>
      </w:r>
      <w:r>
        <w:t>, (Х.2)</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9"/>
        </w:rPr>
        <w:drawing>
          <wp:inline distT="0" distB="0" distL="0" distR="0">
            <wp:extent cx="314960" cy="261620"/>
            <wp:effectExtent l="0" t="0" r="0" b="0"/>
            <wp:docPr id="2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7" cstate="print">
                      <a:extLst>
                        <a:ext uri="{28A0092B-C50C-407E-A947-70E740481C1C}">
                          <a14:useLocalDpi xmlns:a14="http://schemas.microsoft.com/office/drawing/2010/main" val="0"/>
                        </a:ext>
                      </a:extLst>
                    </a:blip>
                    <a:srcRect/>
                    <a:stretch>
                      <a:fillRect/>
                    </a:stretch>
                  </pic:blipFill>
                  <pic:spPr bwMode="auto">
                    <a:xfrm>
                      <a:off x="0" y="0"/>
                      <a:ext cx="314960" cy="261620"/>
                    </a:xfrm>
                    <a:prstGeom prst="rect">
                      <a:avLst/>
                    </a:prstGeom>
                    <a:noFill/>
                    <a:ln>
                      <a:noFill/>
                    </a:ln>
                  </pic:spPr>
                </pic:pic>
              </a:graphicData>
            </a:graphic>
          </wp:inline>
        </w:drawing>
      </w:r>
      <w:r>
        <w:t xml:space="preserve">, </w:t>
      </w:r>
      <w:r>
        <w:rPr>
          <w:noProof/>
          <w:position w:val="-9"/>
        </w:rPr>
        <w:drawing>
          <wp:inline distT="0" distB="0" distL="0" distR="0">
            <wp:extent cx="325755" cy="261620"/>
            <wp:effectExtent l="0" t="0" r="0" b="0"/>
            <wp:docPr id="2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8" cstate="print">
                      <a:extLst>
                        <a:ext uri="{28A0092B-C50C-407E-A947-70E740481C1C}">
                          <a14:useLocalDpi xmlns:a14="http://schemas.microsoft.com/office/drawing/2010/main" val="0"/>
                        </a:ext>
                      </a:extLst>
                    </a:blip>
                    <a:srcRect/>
                    <a:stretch>
                      <a:fillRect/>
                    </a:stretch>
                  </pic:blipFill>
                  <pic:spPr bwMode="auto">
                    <a:xfrm>
                      <a:off x="0" y="0"/>
                      <a:ext cx="325755" cy="261620"/>
                    </a:xfrm>
                    <a:prstGeom prst="rect">
                      <a:avLst/>
                    </a:prstGeom>
                    <a:noFill/>
                    <a:ln>
                      <a:noFill/>
                    </a:ln>
                  </pic:spPr>
                </pic:pic>
              </a:graphicData>
            </a:graphic>
          </wp:inline>
        </w:drawing>
      </w:r>
      <w:r>
        <w:t xml:space="preserve"> - максимальное и минимальное расстояния от нейтральной оси до продольной границы пластинки (с учетом знака);</w:t>
      </w:r>
    </w:p>
    <w:p w:rsidR="00212513" w:rsidRDefault="00212513">
      <w:pPr>
        <w:pStyle w:val="ConsPlusNormal"/>
        <w:spacing w:before="220"/>
        <w:ind w:firstLine="540"/>
        <w:jc w:val="both"/>
      </w:pPr>
      <w:r>
        <w:rPr>
          <w:noProof/>
          <w:position w:val="-9"/>
        </w:rPr>
        <w:drawing>
          <wp:inline distT="0" distB="0" distL="0" distR="0">
            <wp:extent cx="273685" cy="261620"/>
            <wp:effectExtent l="0" t="0" r="0" b="0"/>
            <wp:docPr id="2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9" cstate="print">
                      <a:extLst>
                        <a:ext uri="{28A0092B-C50C-407E-A947-70E740481C1C}">
                          <a14:useLocalDpi xmlns:a14="http://schemas.microsoft.com/office/drawing/2010/main" val="0"/>
                        </a:ext>
                      </a:extLst>
                    </a:blip>
                    <a:srcRect/>
                    <a:stretch>
                      <a:fillRect/>
                    </a:stretch>
                  </pic:blipFill>
                  <pic:spPr bwMode="auto">
                    <a:xfrm>
                      <a:off x="0" y="0"/>
                      <a:ext cx="273685" cy="261620"/>
                    </a:xfrm>
                    <a:prstGeom prst="rect">
                      <a:avLst/>
                    </a:prstGeom>
                    <a:noFill/>
                    <a:ln>
                      <a:noFill/>
                    </a:ln>
                  </pic:spPr>
                </pic:pic>
              </a:graphicData>
            </a:graphic>
          </wp:inline>
        </w:drawing>
      </w:r>
      <w:r>
        <w:t xml:space="preserve"> - среднее значение изгибающего момента в пределах отсека при </w:t>
      </w:r>
      <w:r>
        <w:rPr>
          <w:noProof/>
          <w:position w:val="-7"/>
        </w:rPr>
        <w:drawing>
          <wp:inline distT="0" distB="0" distL="0" distR="0">
            <wp:extent cx="377190" cy="230505"/>
            <wp:effectExtent l="0" t="0" r="0" b="0"/>
            <wp:docPr id="2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0" cstate="print">
                      <a:extLst>
                        <a:ext uri="{28A0092B-C50C-407E-A947-70E740481C1C}">
                          <a14:useLocalDpi xmlns:a14="http://schemas.microsoft.com/office/drawing/2010/main" val="0"/>
                        </a:ext>
                      </a:extLst>
                    </a:blip>
                    <a:srcRect/>
                    <a:stretch>
                      <a:fillRect/>
                    </a:stretch>
                  </pic:blipFill>
                  <pic:spPr bwMode="auto">
                    <a:xfrm>
                      <a:off x="0" y="0"/>
                      <a:ext cx="377190" cy="230505"/>
                    </a:xfrm>
                    <a:prstGeom prst="rect">
                      <a:avLst/>
                    </a:prstGeom>
                    <a:noFill/>
                    <a:ln>
                      <a:noFill/>
                    </a:ln>
                  </pic:spPr>
                </pic:pic>
              </a:graphicData>
            </a:graphic>
          </wp:inline>
        </w:drawing>
      </w:r>
      <w:r>
        <w:t xml:space="preserve">; если длина отсека больше его расчетной ширины, то </w:t>
      </w:r>
      <w:r>
        <w:rPr>
          <w:noProof/>
          <w:position w:val="-9"/>
        </w:rPr>
        <w:drawing>
          <wp:inline distT="0" distB="0" distL="0" distR="0">
            <wp:extent cx="273685" cy="261620"/>
            <wp:effectExtent l="0" t="0" r="0" b="0"/>
            <wp:docPr id="2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9" cstate="print">
                      <a:extLst>
                        <a:ext uri="{28A0092B-C50C-407E-A947-70E740481C1C}">
                          <a14:useLocalDpi xmlns:a14="http://schemas.microsoft.com/office/drawing/2010/main" val="0"/>
                        </a:ext>
                      </a:extLst>
                    </a:blip>
                    <a:srcRect/>
                    <a:stretch>
                      <a:fillRect/>
                    </a:stretch>
                  </pic:blipFill>
                  <pic:spPr bwMode="auto">
                    <a:xfrm>
                      <a:off x="0" y="0"/>
                      <a:ext cx="273685" cy="261620"/>
                    </a:xfrm>
                    <a:prstGeom prst="rect">
                      <a:avLst/>
                    </a:prstGeom>
                    <a:noFill/>
                    <a:ln>
                      <a:noFill/>
                    </a:ln>
                  </pic:spPr>
                </pic:pic>
              </a:graphicData>
            </a:graphic>
          </wp:inline>
        </w:drawing>
      </w:r>
      <w:r>
        <w:t xml:space="preserve"> следует вычислять для более напряженного участка длиной, равной ширине отсека; если в пределах отсека момент меняет знак, то </w:t>
      </w:r>
      <w:r>
        <w:rPr>
          <w:noProof/>
          <w:position w:val="-9"/>
        </w:rPr>
        <w:drawing>
          <wp:inline distT="0" distB="0" distL="0" distR="0">
            <wp:extent cx="273685" cy="261620"/>
            <wp:effectExtent l="0" t="0" r="0" b="0"/>
            <wp:docPr id="2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9" cstate="print">
                      <a:extLst>
                        <a:ext uri="{28A0092B-C50C-407E-A947-70E740481C1C}">
                          <a14:useLocalDpi xmlns:a14="http://schemas.microsoft.com/office/drawing/2010/main" val="0"/>
                        </a:ext>
                      </a:extLst>
                    </a:blip>
                    <a:srcRect/>
                    <a:stretch>
                      <a:fillRect/>
                    </a:stretch>
                  </pic:blipFill>
                  <pic:spPr bwMode="auto">
                    <a:xfrm>
                      <a:off x="0" y="0"/>
                      <a:ext cx="273685" cy="261620"/>
                    </a:xfrm>
                    <a:prstGeom prst="rect">
                      <a:avLst/>
                    </a:prstGeom>
                    <a:noFill/>
                    <a:ln>
                      <a:noFill/>
                    </a:ln>
                  </pic:spPr>
                </pic:pic>
              </a:graphicData>
            </a:graphic>
          </wp:inline>
        </w:drawing>
      </w:r>
      <w:r>
        <w:t xml:space="preserve"> следует вычислять на участке отсека с моментом одного знака.</w:t>
      </w:r>
    </w:p>
    <w:p w:rsidR="00212513" w:rsidRDefault="00212513">
      <w:pPr>
        <w:pStyle w:val="ConsPlusNormal"/>
        <w:spacing w:before="220"/>
        <w:ind w:firstLine="540"/>
        <w:jc w:val="both"/>
      </w:pPr>
      <w:r>
        <w:t xml:space="preserve">Среднее касательное напряжение </w:t>
      </w:r>
      <w:r>
        <w:rPr>
          <w:noProof/>
          <w:position w:val="-10"/>
        </w:rPr>
        <w:drawing>
          <wp:inline distT="0" distB="0" distL="0" distR="0">
            <wp:extent cx="230505" cy="273685"/>
            <wp:effectExtent l="0" t="0" r="0" b="0"/>
            <wp:docPr id="2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3"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следует определять:</w:t>
      </w:r>
    </w:p>
    <w:p w:rsidR="00212513" w:rsidRDefault="00212513">
      <w:pPr>
        <w:pStyle w:val="ConsPlusNormal"/>
        <w:spacing w:before="220"/>
        <w:ind w:firstLine="540"/>
        <w:jc w:val="both"/>
      </w:pPr>
      <w:r>
        <w:t>при отсутствии продольных ребер жесткости - по формуле</w:t>
      </w:r>
    </w:p>
    <w:p w:rsidR="00212513" w:rsidRDefault="00212513">
      <w:pPr>
        <w:pStyle w:val="ConsPlusNormal"/>
        <w:ind w:firstLine="540"/>
        <w:jc w:val="both"/>
      </w:pPr>
    </w:p>
    <w:p w:rsidR="00212513" w:rsidRDefault="00212513">
      <w:pPr>
        <w:pStyle w:val="ConsPlusNormal"/>
        <w:jc w:val="center"/>
      </w:pPr>
      <w:bookmarkStart w:id="527" w:name="P15810"/>
      <w:bookmarkEnd w:id="527"/>
      <w:r>
        <w:rPr>
          <w:noProof/>
          <w:position w:val="-24"/>
        </w:rPr>
        <w:drawing>
          <wp:inline distT="0" distB="0" distL="0" distR="0">
            <wp:extent cx="774700" cy="450215"/>
            <wp:effectExtent l="0" t="0" r="0" b="0"/>
            <wp:docPr id="2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1" cstate="print">
                      <a:extLst>
                        <a:ext uri="{28A0092B-C50C-407E-A947-70E740481C1C}">
                          <a14:useLocalDpi xmlns:a14="http://schemas.microsoft.com/office/drawing/2010/main" val="0"/>
                        </a:ext>
                      </a:extLst>
                    </a:blip>
                    <a:srcRect/>
                    <a:stretch>
                      <a:fillRect/>
                    </a:stretch>
                  </pic:blipFill>
                  <pic:spPr bwMode="auto">
                    <a:xfrm>
                      <a:off x="0" y="0"/>
                      <a:ext cx="774700" cy="450215"/>
                    </a:xfrm>
                    <a:prstGeom prst="rect">
                      <a:avLst/>
                    </a:prstGeom>
                    <a:noFill/>
                    <a:ln>
                      <a:noFill/>
                    </a:ln>
                  </pic:spPr>
                </pic:pic>
              </a:graphicData>
            </a:graphic>
          </wp:inline>
        </w:drawing>
      </w:r>
      <w:r>
        <w:t>, (Х.3)</w:t>
      </w:r>
    </w:p>
    <w:p w:rsidR="00212513" w:rsidRDefault="00212513">
      <w:pPr>
        <w:pStyle w:val="ConsPlusNormal"/>
        <w:ind w:firstLine="540"/>
        <w:jc w:val="both"/>
      </w:pPr>
    </w:p>
    <w:p w:rsidR="00212513" w:rsidRDefault="00212513">
      <w:pPr>
        <w:pStyle w:val="ConsPlusNormal"/>
        <w:ind w:firstLine="540"/>
        <w:jc w:val="both"/>
      </w:pPr>
      <w:r>
        <w:t>где</w:t>
      </w:r>
    </w:p>
    <w:p w:rsidR="00212513" w:rsidRDefault="00212513">
      <w:pPr>
        <w:pStyle w:val="ConsPlusNormal"/>
        <w:ind w:firstLine="540"/>
        <w:jc w:val="both"/>
      </w:pPr>
    </w:p>
    <w:p w:rsidR="00212513" w:rsidRDefault="00212513">
      <w:pPr>
        <w:pStyle w:val="ConsPlusNormal"/>
        <w:jc w:val="center"/>
      </w:pPr>
      <w:r>
        <w:rPr>
          <w:noProof/>
          <w:position w:val="-27"/>
        </w:rPr>
        <w:lastRenderedPageBreak/>
        <w:drawing>
          <wp:inline distT="0" distB="0" distL="0" distR="0">
            <wp:extent cx="986790" cy="484505"/>
            <wp:effectExtent l="0" t="0" r="0" b="0"/>
            <wp:docPr id="2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2" cstate="print">
                      <a:extLst>
                        <a:ext uri="{28A0092B-C50C-407E-A947-70E740481C1C}">
                          <a14:useLocalDpi xmlns:a14="http://schemas.microsoft.com/office/drawing/2010/main" val="0"/>
                        </a:ext>
                      </a:extLst>
                    </a:blip>
                    <a:srcRect/>
                    <a:stretch>
                      <a:fillRect/>
                    </a:stretch>
                  </pic:blipFill>
                  <pic:spPr bwMode="auto">
                    <a:xfrm>
                      <a:off x="0" y="0"/>
                      <a:ext cx="986790" cy="484505"/>
                    </a:xfrm>
                    <a:prstGeom prst="rect">
                      <a:avLst/>
                    </a:prstGeom>
                    <a:noFill/>
                    <a:ln>
                      <a:noFill/>
                    </a:ln>
                  </pic:spPr>
                </pic:pic>
              </a:graphicData>
            </a:graphic>
          </wp:inline>
        </w:drawing>
      </w:r>
      <w:r>
        <w:t>; (Х.4)</w:t>
      </w:r>
    </w:p>
    <w:p w:rsidR="00212513" w:rsidRDefault="00212513">
      <w:pPr>
        <w:pStyle w:val="ConsPlusNormal"/>
        <w:ind w:firstLine="540"/>
        <w:jc w:val="both"/>
      </w:pPr>
    </w:p>
    <w:p w:rsidR="00212513" w:rsidRDefault="00212513">
      <w:pPr>
        <w:pStyle w:val="ConsPlusNormal"/>
        <w:ind w:firstLine="540"/>
        <w:jc w:val="both"/>
      </w:pPr>
      <w:r>
        <w:t>при их наличии - по формуле</w:t>
      </w:r>
    </w:p>
    <w:p w:rsidR="00212513" w:rsidRDefault="00212513">
      <w:pPr>
        <w:pStyle w:val="ConsPlusNormal"/>
        <w:ind w:firstLine="540"/>
        <w:jc w:val="both"/>
      </w:pPr>
    </w:p>
    <w:p w:rsidR="00212513" w:rsidRDefault="00212513">
      <w:pPr>
        <w:pStyle w:val="ConsPlusNormal"/>
        <w:jc w:val="center"/>
      </w:pPr>
      <w:r>
        <w:rPr>
          <w:noProof/>
          <w:position w:val="-22"/>
        </w:rPr>
        <w:drawing>
          <wp:inline distT="0" distB="0" distL="0" distR="0">
            <wp:extent cx="847725" cy="427990"/>
            <wp:effectExtent l="0" t="0" r="0" b="0"/>
            <wp:docPr id="2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3" cstate="print">
                      <a:extLst>
                        <a:ext uri="{28A0092B-C50C-407E-A947-70E740481C1C}">
                          <a14:useLocalDpi xmlns:a14="http://schemas.microsoft.com/office/drawing/2010/main" val="0"/>
                        </a:ext>
                      </a:extLst>
                    </a:blip>
                    <a:srcRect/>
                    <a:stretch>
                      <a:fillRect/>
                    </a:stretch>
                  </pic:blipFill>
                  <pic:spPr bwMode="auto">
                    <a:xfrm>
                      <a:off x="0" y="0"/>
                      <a:ext cx="847725" cy="427990"/>
                    </a:xfrm>
                    <a:prstGeom prst="rect">
                      <a:avLst/>
                    </a:prstGeom>
                    <a:noFill/>
                    <a:ln>
                      <a:noFill/>
                    </a:ln>
                  </pic:spPr>
                </pic:pic>
              </a:graphicData>
            </a:graphic>
          </wp:inline>
        </w:drawing>
      </w:r>
      <w:r>
        <w:t>. (Х.5)</w:t>
      </w:r>
    </w:p>
    <w:p w:rsidR="00212513" w:rsidRDefault="00212513">
      <w:pPr>
        <w:pStyle w:val="ConsPlusNormal"/>
        <w:jc w:val="center"/>
      </w:pPr>
    </w:p>
    <w:p w:rsidR="00212513" w:rsidRDefault="00212513">
      <w:pPr>
        <w:pStyle w:val="ConsPlusNormal"/>
        <w:jc w:val="center"/>
      </w:pPr>
      <w:r>
        <w:t xml:space="preserve">(в ред. </w:t>
      </w:r>
      <w:hyperlink r:id="rId3514">
        <w:r>
          <w:rPr>
            <w:color w:val="0000FF"/>
          </w:rPr>
          <w:t>Изменения N 1</w:t>
        </w:r>
      </w:hyperlink>
      <w:r>
        <w:t>, утв. Приказом</w:t>
      </w:r>
    </w:p>
    <w:p w:rsidR="00212513" w:rsidRDefault="00212513">
      <w:pPr>
        <w:pStyle w:val="ConsPlusNormal"/>
        <w:jc w:val="center"/>
      </w:pPr>
      <w:r>
        <w:t>Минстроя России от 03.12.2016 N 879/пр)</w:t>
      </w:r>
    </w:p>
    <w:p w:rsidR="00212513" w:rsidRDefault="00212513">
      <w:pPr>
        <w:pStyle w:val="ConsPlusNormal"/>
        <w:jc w:val="center"/>
      </w:pPr>
    </w:p>
    <w:p w:rsidR="00212513" w:rsidRDefault="00212513">
      <w:pPr>
        <w:pStyle w:val="ConsPlusNormal"/>
        <w:ind w:firstLine="540"/>
        <w:jc w:val="both"/>
      </w:pPr>
      <w:r>
        <w:t>В формулах (Х.4) и (Х.5):</w:t>
      </w:r>
    </w:p>
    <w:p w:rsidR="00212513" w:rsidRDefault="00212513">
      <w:pPr>
        <w:pStyle w:val="ConsPlusNormal"/>
        <w:spacing w:before="220"/>
        <w:ind w:firstLine="540"/>
        <w:jc w:val="both"/>
      </w:pPr>
      <w:r>
        <w:rPr>
          <w:noProof/>
          <w:position w:val="-9"/>
        </w:rPr>
        <w:drawing>
          <wp:inline distT="0" distB="0" distL="0" distR="0">
            <wp:extent cx="241935" cy="261620"/>
            <wp:effectExtent l="0" t="0" r="0" b="0"/>
            <wp:docPr id="2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5" cstate="print">
                      <a:extLst>
                        <a:ext uri="{28A0092B-C50C-407E-A947-70E740481C1C}">
                          <a14:useLocalDpi xmlns:a14="http://schemas.microsoft.com/office/drawing/2010/main" val="0"/>
                        </a:ext>
                      </a:extLst>
                    </a:blip>
                    <a:srcRect/>
                    <a:stretch>
                      <a:fillRect/>
                    </a:stretch>
                  </pic:blipFill>
                  <pic:spPr bwMode="auto">
                    <a:xfrm>
                      <a:off x="0" y="0"/>
                      <a:ext cx="241935" cy="261620"/>
                    </a:xfrm>
                    <a:prstGeom prst="rect">
                      <a:avLst/>
                    </a:prstGeom>
                    <a:noFill/>
                    <a:ln>
                      <a:noFill/>
                    </a:ln>
                  </pic:spPr>
                </pic:pic>
              </a:graphicData>
            </a:graphic>
          </wp:inline>
        </w:drawing>
      </w:r>
      <w:r>
        <w:t xml:space="preserve"> - среднее значение поперечной силы в пределах отсека, определяемое так же, как и </w:t>
      </w:r>
      <w:r>
        <w:rPr>
          <w:noProof/>
          <w:position w:val="-9"/>
        </w:rPr>
        <w:drawing>
          <wp:inline distT="0" distB="0" distL="0" distR="0">
            <wp:extent cx="273685" cy="261620"/>
            <wp:effectExtent l="0" t="0" r="0" b="0"/>
            <wp:docPr id="2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6" cstate="print">
                      <a:extLst>
                        <a:ext uri="{28A0092B-C50C-407E-A947-70E740481C1C}">
                          <a14:useLocalDpi xmlns:a14="http://schemas.microsoft.com/office/drawing/2010/main" val="0"/>
                        </a:ext>
                      </a:extLst>
                    </a:blip>
                    <a:srcRect/>
                    <a:stretch>
                      <a:fillRect/>
                    </a:stretch>
                  </pic:blipFill>
                  <pic:spPr bwMode="auto">
                    <a:xfrm>
                      <a:off x="0" y="0"/>
                      <a:ext cx="273685" cy="261620"/>
                    </a:xfrm>
                    <a:prstGeom prst="rect">
                      <a:avLst/>
                    </a:prstGeom>
                    <a:noFill/>
                    <a:ln>
                      <a:noFill/>
                    </a:ln>
                  </pic:spPr>
                </pic:pic>
              </a:graphicData>
            </a:graphic>
          </wp:inline>
        </w:drawing>
      </w:r>
      <w:r>
        <w:t>;</w:t>
      </w:r>
    </w:p>
    <w:p w:rsidR="00212513" w:rsidRDefault="00212513">
      <w:pPr>
        <w:pStyle w:val="ConsPlusNormal"/>
        <w:spacing w:before="220"/>
        <w:ind w:firstLine="540"/>
        <w:jc w:val="both"/>
      </w:pPr>
      <w:r>
        <w:rPr>
          <w:noProof/>
          <w:position w:val="-9"/>
        </w:rPr>
        <w:drawing>
          <wp:inline distT="0" distB="0" distL="0" distR="0">
            <wp:extent cx="146050" cy="261620"/>
            <wp:effectExtent l="0" t="0" r="0" b="0"/>
            <wp:docPr id="2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7" cstate="print">
                      <a:extLst>
                        <a:ext uri="{28A0092B-C50C-407E-A947-70E740481C1C}">
                          <a14:useLocalDpi xmlns:a14="http://schemas.microsoft.com/office/drawing/2010/main" val="0"/>
                        </a:ext>
                      </a:extLst>
                    </a:blip>
                    <a:srcRect/>
                    <a:stretch>
                      <a:fillRect/>
                    </a:stretch>
                  </pic:blipFill>
                  <pic:spPr bwMode="auto">
                    <a:xfrm>
                      <a:off x="0" y="0"/>
                      <a:ext cx="146050" cy="261620"/>
                    </a:xfrm>
                    <a:prstGeom prst="rect">
                      <a:avLst/>
                    </a:prstGeom>
                    <a:noFill/>
                    <a:ln>
                      <a:noFill/>
                    </a:ln>
                  </pic:spPr>
                </pic:pic>
              </a:graphicData>
            </a:graphic>
          </wp:inline>
        </w:drawing>
      </w:r>
      <w:r>
        <w:t xml:space="preserve">, </w:t>
      </w:r>
      <w:r>
        <w:rPr>
          <w:noProof/>
          <w:position w:val="-9"/>
        </w:rPr>
        <w:drawing>
          <wp:inline distT="0" distB="0" distL="0" distR="0">
            <wp:extent cx="177800" cy="261620"/>
            <wp:effectExtent l="0" t="0" r="0" b="0"/>
            <wp:docPr id="2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8"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 значения касательных напряжений на продольных границах пластинки, определяемые по </w:t>
      </w:r>
      <w:hyperlink w:anchor="P15810">
        <w:r>
          <w:rPr>
            <w:color w:val="0000FF"/>
          </w:rPr>
          <w:t>формуле (Х.3)</w:t>
        </w:r>
      </w:hyperlink>
      <w:r>
        <w:t xml:space="preserve"> при замене </w:t>
      </w:r>
      <w:r>
        <w:rPr>
          <w:noProof/>
          <w:position w:val="-9"/>
        </w:rPr>
        <w:drawing>
          <wp:inline distT="0" distB="0" distL="0" distR="0">
            <wp:extent cx="314960" cy="261620"/>
            <wp:effectExtent l="0" t="0" r="0" b="0"/>
            <wp:docPr id="2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9" cstate="print">
                      <a:extLst>
                        <a:ext uri="{28A0092B-C50C-407E-A947-70E740481C1C}">
                          <a14:useLocalDpi xmlns:a14="http://schemas.microsoft.com/office/drawing/2010/main" val="0"/>
                        </a:ext>
                      </a:extLst>
                    </a:blip>
                    <a:srcRect/>
                    <a:stretch>
                      <a:fillRect/>
                    </a:stretch>
                  </pic:blipFill>
                  <pic:spPr bwMode="auto">
                    <a:xfrm>
                      <a:off x="0" y="0"/>
                      <a:ext cx="314960" cy="261620"/>
                    </a:xfrm>
                    <a:prstGeom prst="rect">
                      <a:avLst/>
                    </a:prstGeom>
                    <a:noFill/>
                    <a:ln>
                      <a:noFill/>
                    </a:ln>
                  </pic:spPr>
                </pic:pic>
              </a:graphicData>
            </a:graphic>
          </wp:inline>
        </w:drawing>
      </w:r>
      <w:r>
        <w:t xml:space="preserve"> соответствующими значениями </w:t>
      </w:r>
      <w:r>
        <w:rPr>
          <w:i/>
        </w:rPr>
        <w:t>S</w:t>
      </w:r>
      <w:r>
        <w:t>.</w:t>
      </w:r>
    </w:p>
    <w:p w:rsidR="00212513" w:rsidRDefault="00212513">
      <w:pPr>
        <w:pStyle w:val="ConsPlusNormal"/>
        <w:spacing w:before="220"/>
        <w:ind w:firstLine="540"/>
        <w:jc w:val="both"/>
      </w:pPr>
      <w:r>
        <w:t xml:space="preserve">Поперечное нормальное напряжение </w:t>
      </w:r>
      <w:r>
        <w:rPr>
          <w:noProof/>
          <w:position w:val="-10"/>
        </w:rPr>
        <w:drawing>
          <wp:inline distT="0" distB="0" distL="0" distR="0">
            <wp:extent cx="230505" cy="273685"/>
            <wp:effectExtent l="0" t="0" r="0" b="0"/>
            <wp:docPr id="2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0"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(положительное при сжатии), действующее на внешнюю кромку крайней пластинки, следует определять:</w:t>
      </w:r>
    </w:p>
    <w:p w:rsidR="00212513" w:rsidRDefault="00212513">
      <w:pPr>
        <w:pStyle w:val="ConsPlusNormal"/>
        <w:spacing w:before="220"/>
        <w:ind w:firstLine="540"/>
        <w:jc w:val="both"/>
      </w:pPr>
      <w:r>
        <w:t>от подвижной нагрузки СК - по формуле</w:t>
      </w:r>
    </w:p>
    <w:p w:rsidR="00212513" w:rsidRDefault="00212513">
      <w:pPr>
        <w:pStyle w:val="ConsPlusNormal"/>
        <w:jc w:val="both"/>
      </w:pPr>
      <w:r>
        <w:t xml:space="preserve">(в ред. </w:t>
      </w:r>
      <w:hyperlink r:id="rId3521">
        <w:r>
          <w:rPr>
            <w:color w:val="0000FF"/>
          </w:rPr>
          <w:t>Изменения N 4</w:t>
        </w:r>
      </w:hyperlink>
      <w:r>
        <w:t>, утв. Приказом Минстроя России от 30.05.2024 N 361/пр)</w:t>
      </w:r>
    </w:p>
    <w:p w:rsidR="00212513" w:rsidRDefault="00212513">
      <w:pPr>
        <w:pStyle w:val="ConsPlusNormal"/>
        <w:ind w:firstLine="540"/>
        <w:jc w:val="both"/>
      </w:pPr>
    </w:p>
    <w:p w:rsidR="00212513" w:rsidRDefault="00212513">
      <w:pPr>
        <w:pStyle w:val="ConsPlusNormal"/>
        <w:jc w:val="center"/>
      </w:pPr>
      <w:r>
        <w:rPr>
          <w:noProof/>
          <w:position w:val="-24"/>
        </w:rPr>
        <w:drawing>
          <wp:inline distT="0" distB="0" distL="0" distR="0">
            <wp:extent cx="544830" cy="450215"/>
            <wp:effectExtent l="0" t="0" r="0" b="0"/>
            <wp:docPr id="2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2" cstate="print">
                      <a:extLst>
                        <a:ext uri="{28A0092B-C50C-407E-A947-70E740481C1C}">
                          <a14:useLocalDpi xmlns:a14="http://schemas.microsoft.com/office/drawing/2010/main" val="0"/>
                        </a:ext>
                      </a:extLst>
                    </a:blip>
                    <a:srcRect/>
                    <a:stretch>
                      <a:fillRect/>
                    </a:stretch>
                  </pic:blipFill>
                  <pic:spPr bwMode="auto">
                    <a:xfrm>
                      <a:off x="0" y="0"/>
                      <a:ext cx="544830" cy="450215"/>
                    </a:xfrm>
                    <a:prstGeom prst="rect">
                      <a:avLst/>
                    </a:prstGeom>
                    <a:noFill/>
                    <a:ln>
                      <a:noFill/>
                    </a:ln>
                  </pic:spPr>
                </pic:pic>
              </a:graphicData>
            </a:graphic>
          </wp:inline>
        </w:drawing>
      </w:r>
      <w:r>
        <w:t>, (Х.6)</w:t>
      </w:r>
    </w:p>
    <w:p w:rsidR="00212513" w:rsidRDefault="00212513">
      <w:pPr>
        <w:pStyle w:val="ConsPlusNormal"/>
        <w:ind w:firstLine="540"/>
        <w:jc w:val="both"/>
      </w:pPr>
    </w:p>
    <w:p w:rsidR="00212513" w:rsidRDefault="00212513">
      <w:pPr>
        <w:pStyle w:val="ConsPlusNormal"/>
        <w:ind w:firstLine="540"/>
        <w:jc w:val="both"/>
      </w:pPr>
      <w:bookmarkStart w:id="528" w:name="P15832"/>
      <w:bookmarkEnd w:id="528"/>
      <w:r>
        <w:t xml:space="preserve">где </w:t>
      </w:r>
      <w:r>
        <w:rPr>
          <w:i/>
        </w:rPr>
        <w:t>P</w:t>
      </w:r>
      <w:r>
        <w:t xml:space="preserve"> - распределенное давление на внешнюю кромку крайней пластинки, определяемое для нагрузки СК по </w:t>
      </w:r>
      <w:hyperlink w:anchor="P13225">
        <w:r>
          <w:rPr>
            <w:color w:val="0000FF"/>
          </w:rPr>
          <w:t>приложению К</w:t>
        </w:r>
      </w:hyperlink>
      <w:r>
        <w:t>;</w:t>
      </w:r>
    </w:p>
    <w:p w:rsidR="00212513" w:rsidRDefault="00212513">
      <w:pPr>
        <w:pStyle w:val="ConsPlusNormal"/>
        <w:spacing w:before="220"/>
        <w:ind w:firstLine="540"/>
        <w:jc w:val="both"/>
      </w:pPr>
      <w:r>
        <w:t>от подвижной нагрузки АК - по формуле</w:t>
      </w:r>
    </w:p>
    <w:p w:rsidR="00212513" w:rsidRDefault="00212513">
      <w:pPr>
        <w:pStyle w:val="ConsPlusNormal"/>
        <w:jc w:val="both"/>
      </w:pPr>
    </w:p>
    <w:p w:rsidR="00212513" w:rsidRDefault="00212513">
      <w:pPr>
        <w:pStyle w:val="ConsPlusNormal"/>
        <w:jc w:val="center"/>
      </w:pPr>
      <w:bookmarkStart w:id="529" w:name="P15835"/>
      <w:bookmarkEnd w:id="529"/>
      <w:r>
        <w:rPr>
          <w:noProof/>
          <w:position w:val="-30"/>
        </w:rPr>
        <w:drawing>
          <wp:inline distT="0" distB="0" distL="0" distR="0">
            <wp:extent cx="2195830" cy="525145"/>
            <wp:effectExtent l="0" t="0" r="0" b="0"/>
            <wp:docPr id="2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3" cstate="print">
                      <a:extLst>
                        <a:ext uri="{28A0092B-C50C-407E-A947-70E740481C1C}">
                          <a14:useLocalDpi xmlns:a14="http://schemas.microsoft.com/office/drawing/2010/main" val="0"/>
                        </a:ext>
                      </a:extLst>
                    </a:blip>
                    <a:srcRect/>
                    <a:stretch>
                      <a:fillRect/>
                    </a:stretch>
                  </pic:blipFill>
                  <pic:spPr bwMode="auto">
                    <a:xfrm>
                      <a:off x="0" y="0"/>
                      <a:ext cx="2195830" cy="525145"/>
                    </a:xfrm>
                    <a:prstGeom prst="rect">
                      <a:avLst/>
                    </a:prstGeom>
                    <a:noFill/>
                    <a:ln>
                      <a:noFill/>
                    </a:ln>
                  </pic:spPr>
                </pic:pic>
              </a:graphicData>
            </a:graphic>
          </wp:inline>
        </w:drawing>
      </w:r>
      <w:r>
        <w:t xml:space="preserve"> (Х.6а)</w:t>
      </w:r>
    </w:p>
    <w:p w:rsidR="00212513" w:rsidRDefault="00212513">
      <w:pPr>
        <w:pStyle w:val="ConsPlusNormal"/>
        <w:jc w:val="both"/>
      </w:pPr>
    </w:p>
    <w:p w:rsidR="00212513" w:rsidRDefault="00212513">
      <w:pPr>
        <w:pStyle w:val="ConsPlusNormal"/>
        <w:ind w:firstLine="540"/>
        <w:jc w:val="both"/>
      </w:pPr>
      <w:r>
        <w:t xml:space="preserve">где </w:t>
      </w:r>
      <w:r>
        <w:rPr>
          <w:i/>
        </w:rPr>
        <w:t>P</w:t>
      </w:r>
      <w:r>
        <w:rPr>
          <w:vertAlign w:val="subscript"/>
        </w:rPr>
        <w:t>АК</w:t>
      </w:r>
      <w:r>
        <w:t xml:space="preserve"> - осевая нагрузка от тележки АК согласно </w:t>
      </w:r>
      <w:hyperlink w:anchor="P1131">
        <w:r>
          <w:rPr>
            <w:color w:val="0000FF"/>
          </w:rPr>
          <w:t>6.12</w:t>
        </w:r>
      </w:hyperlink>
      <w:r>
        <w:t>;</w:t>
      </w:r>
    </w:p>
    <w:p w:rsidR="00212513" w:rsidRDefault="00212513">
      <w:pPr>
        <w:pStyle w:val="ConsPlusNormal"/>
        <w:spacing w:before="220"/>
        <w:ind w:firstLine="540"/>
        <w:jc w:val="both"/>
      </w:pPr>
      <w:r>
        <w:rPr>
          <w:noProof/>
          <w:position w:val="-8"/>
        </w:rPr>
        <w:drawing>
          <wp:inline distT="0" distB="0" distL="0" distR="0">
            <wp:extent cx="271145" cy="251460"/>
            <wp:effectExtent l="0" t="0" r="0" b="0"/>
            <wp:docPr id="2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4" cstate="print">
                      <a:extLst>
                        <a:ext uri="{28A0092B-C50C-407E-A947-70E740481C1C}">
                          <a14:useLocalDpi xmlns:a14="http://schemas.microsoft.com/office/drawing/2010/main" val="0"/>
                        </a:ext>
                      </a:extLst>
                    </a:blip>
                    <a:srcRect/>
                    <a:stretch>
                      <a:fillRect/>
                    </a:stretch>
                  </pic:blipFill>
                  <pic:spPr bwMode="auto">
                    <a:xfrm>
                      <a:off x="0" y="0"/>
                      <a:ext cx="271145" cy="251460"/>
                    </a:xfrm>
                    <a:prstGeom prst="rect">
                      <a:avLst/>
                    </a:prstGeom>
                    <a:noFill/>
                    <a:ln>
                      <a:noFill/>
                    </a:ln>
                  </pic:spPr>
                </pic:pic>
              </a:graphicData>
            </a:graphic>
          </wp:inline>
        </w:drawing>
      </w:r>
      <w:r>
        <w:t xml:space="preserve"> - интенсивность равномерно распределенной части нагрузки АК согласно </w:t>
      </w:r>
      <w:hyperlink w:anchor="P1131">
        <w:r>
          <w:rPr>
            <w:color w:val="0000FF"/>
          </w:rPr>
          <w:t>6.12</w:t>
        </w:r>
      </w:hyperlink>
      <w:r>
        <w:t>;</w:t>
      </w:r>
    </w:p>
    <w:p w:rsidR="00212513" w:rsidRDefault="00212513">
      <w:pPr>
        <w:pStyle w:val="ConsPlusNormal"/>
        <w:spacing w:before="220"/>
        <w:ind w:firstLine="540"/>
        <w:jc w:val="both"/>
      </w:pPr>
      <w:r>
        <w:rPr>
          <w:noProof/>
          <w:position w:val="-10"/>
        </w:rPr>
        <w:drawing>
          <wp:inline distT="0" distB="0" distL="0" distR="0">
            <wp:extent cx="502920" cy="271145"/>
            <wp:effectExtent l="0" t="0" r="0" b="0"/>
            <wp:docPr id="2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5" cstate="print">
                      <a:extLst>
                        <a:ext uri="{28A0092B-C50C-407E-A947-70E740481C1C}">
                          <a14:useLocalDpi xmlns:a14="http://schemas.microsoft.com/office/drawing/2010/main" val="0"/>
                        </a:ext>
                      </a:extLst>
                    </a:blip>
                    <a:srcRect/>
                    <a:stretch>
                      <a:fillRect/>
                    </a:stretch>
                  </pic:blipFill>
                  <pic:spPr bwMode="auto">
                    <a:xfrm>
                      <a:off x="0" y="0"/>
                      <a:ext cx="502920" cy="271145"/>
                    </a:xfrm>
                    <a:prstGeom prst="rect">
                      <a:avLst/>
                    </a:prstGeom>
                    <a:noFill/>
                    <a:ln>
                      <a:noFill/>
                    </a:ln>
                  </pic:spPr>
                </pic:pic>
              </a:graphicData>
            </a:graphic>
          </wp:inline>
        </w:drawing>
      </w:r>
      <w:r>
        <w:t xml:space="preserve"> - динамический коэффициент согласно </w:t>
      </w:r>
      <w:hyperlink w:anchor="P1539">
        <w:r>
          <w:rPr>
            <w:color w:val="0000FF"/>
          </w:rPr>
          <w:t>6.22, перечисление 2 а)</w:t>
        </w:r>
      </w:hyperlink>
      <w:r>
        <w:t>;</w:t>
      </w:r>
    </w:p>
    <w:p w:rsidR="00212513" w:rsidRDefault="00212513">
      <w:pPr>
        <w:pStyle w:val="ConsPlusNormal"/>
        <w:spacing w:before="220"/>
        <w:ind w:firstLine="540"/>
        <w:jc w:val="both"/>
      </w:pPr>
      <w:r>
        <w:rPr>
          <w:noProof/>
          <w:position w:val="-10"/>
        </w:rPr>
        <w:drawing>
          <wp:inline distT="0" distB="0" distL="0" distR="0">
            <wp:extent cx="209550" cy="273685"/>
            <wp:effectExtent l="0" t="0" r="0" b="0"/>
            <wp:docPr id="2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6" cstate="print">
                      <a:extLst>
                        <a:ext uri="{28A0092B-C50C-407E-A947-70E740481C1C}">
                          <a14:useLocalDpi xmlns:a14="http://schemas.microsoft.com/office/drawing/2010/main" val="0"/>
                        </a:ext>
                      </a:extLst>
                    </a:blip>
                    <a:srcRect/>
                    <a:stretch>
                      <a:fillRect/>
                    </a:stretch>
                  </pic:blipFill>
                  <pic:spPr bwMode="auto">
                    <a:xfrm>
                      <a:off x="0" y="0"/>
                      <a:ext cx="209550" cy="273685"/>
                    </a:xfrm>
                    <a:prstGeom prst="rect">
                      <a:avLst/>
                    </a:prstGeom>
                    <a:noFill/>
                    <a:ln>
                      <a:noFill/>
                    </a:ln>
                  </pic:spPr>
                </pic:pic>
              </a:graphicData>
            </a:graphic>
          </wp:inline>
        </w:drawing>
      </w:r>
      <w:r>
        <w:t xml:space="preserve"> - коэффициент надежности по нагрузке согласно </w:t>
      </w:r>
      <w:hyperlink w:anchor="P1603">
        <w:r>
          <w:rPr>
            <w:color w:val="0000FF"/>
          </w:rPr>
          <w:t>6.23, перечисление б)</w:t>
        </w:r>
      </w:hyperlink>
      <w:r>
        <w:t>;</w:t>
      </w:r>
    </w:p>
    <w:p w:rsidR="00212513" w:rsidRDefault="00212513">
      <w:pPr>
        <w:pStyle w:val="ConsPlusNormal"/>
        <w:spacing w:before="220"/>
        <w:ind w:firstLine="540"/>
        <w:jc w:val="both"/>
      </w:pPr>
      <w:r>
        <w:rPr>
          <w:i/>
        </w:rPr>
        <w:t>l</w:t>
      </w:r>
      <w:r>
        <w:rPr>
          <w:i/>
          <w:vertAlign w:val="subscript"/>
        </w:rPr>
        <w:t>ef</w:t>
      </w:r>
      <w:r>
        <w:t xml:space="preserve"> - условная длина распределения нагрузки.</w:t>
      </w:r>
    </w:p>
    <w:p w:rsidR="00212513" w:rsidRDefault="00212513">
      <w:pPr>
        <w:pStyle w:val="ConsPlusNormal"/>
        <w:jc w:val="both"/>
      </w:pPr>
      <w:r>
        <w:t xml:space="preserve">(в ред. </w:t>
      </w:r>
      <w:hyperlink r:id="rId3527">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lastRenderedPageBreak/>
        <w:t xml:space="preserve">Условную длину распределения нагрузки </w:t>
      </w:r>
      <w:r>
        <w:rPr>
          <w:noProof/>
          <w:position w:val="-10"/>
        </w:rPr>
        <w:drawing>
          <wp:inline distT="0" distB="0" distL="0" distR="0">
            <wp:extent cx="177800" cy="273685"/>
            <wp:effectExtent l="0" t="0" r="0" b="0"/>
            <wp:docPr id="2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8" cstate="print">
                      <a:extLst>
                        <a:ext uri="{28A0092B-C50C-407E-A947-70E740481C1C}">
                          <a14:useLocalDpi xmlns:a14="http://schemas.microsoft.com/office/drawing/2010/main" val="0"/>
                        </a:ext>
                      </a:extLst>
                    </a:blip>
                    <a:srcRect/>
                    <a:stretch>
                      <a:fillRect/>
                    </a:stretch>
                  </pic:blipFill>
                  <pic:spPr bwMode="auto">
                    <a:xfrm>
                      <a:off x="0" y="0"/>
                      <a:ext cx="177800" cy="273685"/>
                    </a:xfrm>
                    <a:prstGeom prst="rect">
                      <a:avLst/>
                    </a:prstGeom>
                    <a:noFill/>
                    <a:ln>
                      <a:noFill/>
                    </a:ln>
                  </pic:spPr>
                </pic:pic>
              </a:graphicData>
            </a:graphic>
          </wp:inline>
        </w:drawing>
      </w:r>
      <w:r>
        <w:t xml:space="preserve"> следует определять:</w:t>
      </w:r>
    </w:p>
    <w:p w:rsidR="00212513" w:rsidRDefault="00212513">
      <w:pPr>
        <w:pStyle w:val="ConsPlusNormal"/>
        <w:spacing w:before="220"/>
        <w:ind w:firstLine="540"/>
        <w:jc w:val="both"/>
      </w:pPr>
      <w:r>
        <w:t>при передаче нагрузки непосредственно через пояс балки или через рельс и пояс - по формуле</w:t>
      </w:r>
    </w:p>
    <w:p w:rsidR="00212513" w:rsidRDefault="00212513">
      <w:pPr>
        <w:pStyle w:val="ConsPlusNormal"/>
        <w:ind w:firstLine="540"/>
        <w:jc w:val="both"/>
      </w:pPr>
    </w:p>
    <w:p w:rsidR="00212513" w:rsidRDefault="00212513">
      <w:pPr>
        <w:pStyle w:val="ConsPlusNormal"/>
        <w:jc w:val="center"/>
      </w:pPr>
      <w:r>
        <w:rPr>
          <w:noProof/>
          <w:position w:val="-27"/>
        </w:rPr>
        <w:drawing>
          <wp:inline distT="0" distB="0" distL="0" distR="0">
            <wp:extent cx="684530" cy="494030"/>
            <wp:effectExtent l="0" t="0" r="0" b="0"/>
            <wp:docPr id="2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9" cstate="print">
                      <a:extLst>
                        <a:ext uri="{28A0092B-C50C-407E-A947-70E740481C1C}">
                          <a14:useLocalDpi xmlns:a14="http://schemas.microsoft.com/office/drawing/2010/main" val="0"/>
                        </a:ext>
                      </a:extLst>
                    </a:blip>
                    <a:srcRect/>
                    <a:stretch>
                      <a:fillRect/>
                    </a:stretch>
                  </pic:blipFill>
                  <pic:spPr bwMode="auto">
                    <a:xfrm>
                      <a:off x="0" y="0"/>
                      <a:ext cx="684530" cy="494030"/>
                    </a:xfrm>
                    <a:prstGeom prst="rect">
                      <a:avLst/>
                    </a:prstGeom>
                    <a:noFill/>
                    <a:ln>
                      <a:noFill/>
                    </a:ln>
                  </pic:spPr>
                </pic:pic>
              </a:graphicData>
            </a:graphic>
          </wp:inline>
        </w:drawing>
      </w:r>
      <w:r>
        <w:t>, (Х.8)</w:t>
      </w:r>
    </w:p>
    <w:p w:rsidR="00212513" w:rsidRDefault="00212513">
      <w:pPr>
        <w:pStyle w:val="ConsPlusNormal"/>
        <w:ind w:firstLine="540"/>
        <w:jc w:val="both"/>
      </w:pPr>
    </w:p>
    <w:p w:rsidR="00212513" w:rsidRDefault="00212513">
      <w:pPr>
        <w:pStyle w:val="ConsPlusNormal"/>
        <w:ind w:firstLine="540"/>
        <w:jc w:val="both"/>
      </w:pPr>
      <w:r>
        <w:t xml:space="preserve">где </w:t>
      </w:r>
      <w:r>
        <w:rPr>
          <w:i/>
        </w:rPr>
        <w:t>c</w:t>
      </w:r>
      <w:r>
        <w:t xml:space="preserve"> - коэффициент, принимаемый для сварных и прокатных элементов равным 3,25, для элементов с соединениями на высокопрочных болтах - 3,75, на обычных болтах - 4,5;</w:t>
      </w:r>
    </w:p>
    <w:p w:rsidR="00212513" w:rsidRDefault="00212513">
      <w:pPr>
        <w:pStyle w:val="ConsPlusNormal"/>
        <w:spacing w:before="220"/>
        <w:ind w:firstLine="540"/>
        <w:jc w:val="both"/>
      </w:pPr>
      <w:r>
        <w:rPr>
          <w:i/>
        </w:rPr>
        <w:t>I</w:t>
      </w:r>
      <w:r>
        <w:t xml:space="preserve"> - момент инерции пояса балки или сумма моментов инерции пояса и рельса;</w:t>
      </w:r>
    </w:p>
    <w:p w:rsidR="00212513" w:rsidRDefault="00212513">
      <w:pPr>
        <w:pStyle w:val="ConsPlusNormal"/>
        <w:spacing w:before="220"/>
        <w:ind w:firstLine="540"/>
        <w:jc w:val="both"/>
      </w:pPr>
      <w:r>
        <w:t>при передаче нагрузки от катка через рельс, деревянный лежень и пояс балки - равной 2</w:t>
      </w:r>
      <w:r>
        <w:rPr>
          <w:i/>
        </w:rPr>
        <w:t>h</w:t>
      </w:r>
      <w:r>
        <w:t xml:space="preserve"> (где </w:t>
      </w:r>
      <w:r>
        <w:rPr>
          <w:i/>
        </w:rPr>
        <w:t>h</w:t>
      </w:r>
      <w:r>
        <w:t xml:space="preserve"> - расстояние от поверхности рельса до кромки пластинки), но не более расстояния между соседними катками, для автодорожных мостов допускается принимать:</w:t>
      </w:r>
    </w:p>
    <w:p w:rsidR="00212513" w:rsidRDefault="00212513">
      <w:pPr>
        <w:pStyle w:val="ConsPlusNormal"/>
        <w:jc w:val="both"/>
      </w:pPr>
    </w:p>
    <w:p w:rsidR="00212513" w:rsidRDefault="00212513">
      <w:pPr>
        <w:pStyle w:val="ConsPlusNormal"/>
        <w:jc w:val="center"/>
      </w:pPr>
      <w:r>
        <w:rPr>
          <w:i/>
        </w:rPr>
        <w:t>l</w:t>
      </w:r>
      <w:r>
        <w:rPr>
          <w:i/>
          <w:vertAlign w:val="subscript"/>
        </w:rPr>
        <w:t>ef</w:t>
      </w:r>
      <w:r>
        <w:t xml:space="preserve"> = </w:t>
      </w:r>
      <w:r>
        <w:rPr>
          <w:i/>
        </w:rPr>
        <w:t>c</w:t>
      </w:r>
      <w:r>
        <w:t xml:space="preserve"> + 2</w:t>
      </w:r>
      <w:r>
        <w:rPr>
          <w:i/>
        </w:rPr>
        <w:t>H</w:t>
      </w:r>
      <w:r>
        <w:t>, (Х.8а)</w:t>
      </w:r>
    </w:p>
    <w:p w:rsidR="00212513" w:rsidRDefault="00212513">
      <w:pPr>
        <w:pStyle w:val="ConsPlusNormal"/>
        <w:jc w:val="both"/>
      </w:pPr>
    </w:p>
    <w:p w:rsidR="00212513" w:rsidRDefault="00212513">
      <w:pPr>
        <w:pStyle w:val="ConsPlusNormal"/>
        <w:ind w:firstLine="540"/>
        <w:jc w:val="both"/>
      </w:pPr>
      <w:r>
        <w:t xml:space="preserve">где </w:t>
      </w:r>
      <w:r>
        <w:rPr>
          <w:i/>
        </w:rPr>
        <w:t>c</w:t>
      </w:r>
      <w:r>
        <w:t xml:space="preserve"> - длина опирания колеса нагрузки АК вдоль пролета балки </w:t>
      </w:r>
      <w:hyperlink w:anchor="P1134">
        <w:r>
          <w:rPr>
            <w:color w:val="0000FF"/>
          </w:rPr>
          <w:t>(рисунок 6.1, а)</w:t>
        </w:r>
      </w:hyperlink>
      <w:r>
        <w:t>;</w:t>
      </w:r>
    </w:p>
    <w:p w:rsidR="00212513" w:rsidRDefault="00212513">
      <w:pPr>
        <w:pStyle w:val="ConsPlusNormal"/>
        <w:spacing w:before="220"/>
        <w:ind w:firstLine="540"/>
        <w:jc w:val="both"/>
      </w:pPr>
      <w:r>
        <w:rPr>
          <w:i/>
        </w:rPr>
        <w:t>H</w:t>
      </w:r>
      <w:r>
        <w:t xml:space="preserve"> - расстояние от верха покрытия проезжей части до верха стенки балки.</w:t>
      </w:r>
    </w:p>
    <w:p w:rsidR="00212513" w:rsidRDefault="00212513">
      <w:pPr>
        <w:pStyle w:val="ConsPlusNormal"/>
        <w:jc w:val="both"/>
      </w:pPr>
      <w:r>
        <w:t xml:space="preserve">(в ред. </w:t>
      </w:r>
      <w:hyperlink r:id="rId3530">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 xml:space="preserve">Поперечные нормальные напряжения </w:t>
      </w:r>
      <w:r>
        <w:rPr>
          <w:noProof/>
          <w:position w:val="-10"/>
        </w:rPr>
        <w:drawing>
          <wp:inline distT="0" distB="0" distL="0" distR="0">
            <wp:extent cx="230505" cy="273685"/>
            <wp:effectExtent l="0" t="0" r="0" b="0"/>
            <wp:docPr id="2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0"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на границе второй и последующих пластинок следует определять, как правило, по теории упругости.</w:t>
      </w:r>
    </w:p>
    <w:p w:rsidR="00212513" w:rsidRDefault="00212513">
      <w:pPr>
        <w:pStyle w:val="ConsPlusNormal"/>
        <w:spacing w:before="220"/>
        <w:ind w:firstLine="540"/>
        <w:jc w:val="both"/>
      </w:pPr>
      <w:r>
        <w:t>Допускается их определять:</w:t>
      </w:r>
    </w:p>
    <w:p w:rsidR="00212513" w:rsidRDefault="00212513">
      <w:pPr>
        <w:pStyle w:val="ConsPlusNormal"/>
        <w:spacing w:before="220"/>
        <w:ind w:firstLine="540"/>
        <w:jc w:val="both"/>
      </w:pPr>
      <w:r>
        <w:t>при нагрузке, распределенной по всей длине пластинки, - по формуле</w:t>
      </w:r>
    </w:p>
    <w:p w:rsidR="00212513" w:rsidRDefault="00212513">
      <w:pPr>
        <w:pStyle w:val="ConsPlusNormal"/>
        <w:ind w:firstLine="540"/>
        <w:jc w:val="both"/>
      </w:pPr>
    </w:p>
    <w:p w:rsidR="00212513" w:rsidRDefault="00212513">
      <w:pPr>
        <w:pStyle w:val="ConsPlusNormal"/>
        <w:jc w:val="center"/>
      </w:pPr>
      <w:bookmarkStart w:id="530" w:name="P15861"/>
      <w:bookmarkEnd w:id="530"/>
      <w:r>
        <w:rPr>
          <w:noProof/>
          <w:position w:val="-24"/>
        </w:rPr>
        <w:drawing>
          <wp:inline distT="0" distB="0" distL="0" distR="0">
            <wp:extent cx="1494155" cy="450215"/>
            <wp:effectExtent l="0" t="0" r="0" b="0"/>
            <wp:docPr id="2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1" cstate="print">
                      <a:extLst>
                        <a:ext uri="{28A0092B-C50C-407E-A947-70E740481C1C}">
                          <a14:useLocalDpi xmlns:a14="http://schemas.microsoft.com/office/drawing/2010/main" val="0"/>
                        </a:ext>
                      </a:extLst>
                    </a:blip>
                    <a:srcRect/>
                    <a:stretch>
                      <a:fillRect/>
                    </a:stretch>
                  </pic:blipFill>
                  <pic:spPr bwMode="auto">
                    <a:xfrm>
                      <a:off x="0" y="0"/>
                      <a:ext cx="1494155" cy="450215"/>
                    </a:xfrm>
                    <a:prstGeom prst="rect">
                      <a:avLst/>
                    </a:prstGeom>
                    <a:noFill/>
                    <a:ln>
                      <a:noFill/>
                    </a:ln>
                  </pic:spPr>
                </pic:pic>
              </a:graphicData>
            </a:graphic>
          </wp:inline>
        </w:drawing>
      </w:r>
      <w:r>
        <w:t>; (Х.9)</w:t>
      </w:r>
    </w:p>
    <w:p w:rsidR="00212513" w:rsidRDefault="00212513">
      <w:pPr>
        <w:pStyle w:val="ConsPlusNormal"/>
        <w:ind w:firstLine="540"/>
        <w:jc w:val="both"/>
      </w:pPr>
    </w:p>
    <w:p w:rsidR="00212513" w:rsidRDefault="00212513">
      <w:pPr>
        <w:pStyle w:val="ConsPlusNormal"/>
        <w:ind w:firstLine="540"/>
        <w:jc w:val="both"/>
      </w:pPr>
      <w:r>
        <w:t>при сосредоточенной нагрузке - по формуле</w:t>
      </w:r>
    </w:p>
    <w:p w:rsidR="00212513" w:rsidRDefault="00212513">
      <w:pPr>
        <w:pStyle w:val="ConsPlusNormal"/>
        <w:ind w:firstLine="540"/>
        <w:jc w:val="both"/>
      </w:pPr>
    </w:p>
    <w:p w:rsidR="00212513" w:rsidRDefault="00212513">
      <w:pPr>
        <w:pStyle w:val="ConsPlusNormal"/>
        <w:jc w:val="center"/>
      </w:pPr>
      <w:bookmarkStart w:id="531" w:name="P15865"/>
      <w:bookmarkEnd w:id="531"/>
      <w:r>
        <w:rPr>
          <w:noProof/>
          <w:position w:val="-29"/>
        </w:rPr>
        <w:drawing>
          <wp:inline distT="0" distB="0" distL="0" distR="0">
            <wp:extent cx="2947670" cy="511810"/>
            <wp:effectExtent l="0" t="0" r="0" b="0"/>
            <wp:docPr id="2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2" cstate="print">
                      <a:extLst>
                        <a:ext uri="{28A0092B-C50C-407E-A947-70E740481C1C}">
                          <a14:useLocalDpi xmlns:a14="http://schemas.microsoft.com/office/drawing/2010/main" val="0"/>
                        </a:ext>
                      </a:extLst>
                    </a:blip>
                    <a:srcRect/>
                    <a:stretch>
                      <a:fillRect/>
                    </a:stretch>
                  </pic:blipFill>
                  <pic:spPr bwMode="auto">
                    <a:xfrm>
                      <a:off x="0" y="0"/>
                      <a:ext cx="2947670" cy="511810"/>
                    </a:xfrm>
                    <a:prstGeom prst="rect">
                      <a:avLst/>
                    </a:prstGeom>
                    <a:noFill/>
                    <a:ln>
                      <a:noFill/>
                    </a:ln>
                  </pic:spPr>
                </pic:pic>
              </a:graphicData>
            </a:graphic>
          </wp:inline>
        </w:drawing>
      </w:r>
      <w:r>
        <w:t>. (Х.10)</w:t>
      </w:r>
    </w:p>
    <w:p w:rsidR="00212513" w:rsidRDefault="00212513">
      <w:pPr>
        <w:pStyle w:val="ConsPlusNormal"/>
        <w:ind w:firstLine="540"/>
        <w:jc w:val="both"/>
      </w:pPr>
    </w:p>
    <w:p w:rsidR="00212513" w:rsidRDefault="00212513">
      <w:pPr>
        <w:pStyle w:val="ConsPlusNormal"/>
        <w:ind w:firstLine="540"/>
        <w:jc w:val="both"/>
      </w:pPr>
      <w:r>
        <w:t>В формулах (Х.9) и (Х.10):</w:t>
      </w:r>
    </w:p>
    <w:p w:rsidR="00212513" w:rsidRDefault="00212513">
      <w:pPr>
        <w:pStyle w:val="ConsPlusNormal"/>
        <w:ind w:firstLine="540"/>
        <w:jc w:val="both"/>
      </w:pPr>
    </w:p>
    <w:p w:rsidR="00212513" w:rsidRDefault="00212513">
      <w:pPr>
        <w:pStyle w:val="ConsPlusNormal"/>
        <w:jc w:val="center"/>
      </w:pPr>
      <w:r>
        <w:rPr>
          <w:noProof/>
          <w:position w:val="-28"/>
        </w:rPr>
        <w:drawing>
          <wp:inline distT="0" distB="0" distL="0" distR="0">
            <wp:extent cx="762000" cy="502920"/>
            <wp:effectExtent l="0" t="0" r="0" b="0"/>
            <wp:docPr id="2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3" cstate="print">
                      <a:extLst>
                        <a:ext uri="{28A0092B-C50C-407E-A947-70E740481C1C}">
                          <a14:useLocalDpi xmlns:a14="http://schemas.microsoft.com/office/drawing/2010/main" val="0"/>
                        </a:ext>
                      </a:extLst>
                    </a:blip>
                    <a:srcRect/>
                    <a:stretch>
                      <a:fillRect/>
                    </a:stretch>
                  </pic:blipFill>
                  <pic:spPr bwMode="auto">
                    <a:xfrm>
                      <a:off x="0" y="0"/>
                      <a:ext cx="762000" cy="502920"/>
                    </a:xfrm>
                    <a:prstGeom prst="rect">
                      <a:avLst/>
                    </a:prstGeom>
                    <a:noFill/>
                    <a:ln>
                      <a:noFill/>
                    </a:ln>
                  </pic:spPr>
                </pic:pic>
              </a:graphicData>
            </a:graphic>
          </wp:inline>
        </w:drawing>
      </w:r>
      <w:r>
        <w:t xml:space="preserve">; </w:t>
      </w:r>
      <w:r>
        <w:rPr>
          <w:noProof/>
          <w:position w:val="-27"/>
        </w:rPr>
        <w:drawing>
          <wp:inline distT="0" distB="0" distL="0" distR="0">
            <wp:extent cx="494030" cy="484505"/>
            <wp:effectExtent l="0" t="0" r="0" b="0"/>
            <wp:docPr id="2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4" cstate="print">
                      <a:extLst>
                        <a:ext uri="{28A0092B-C50C-407E-A947-70E740481C1C}">
                          <a14:useLocalDpi xmlns:a14="http://schemas.microsoft.com/office/drawing/2010/main" val="0"/>
                        </a:ext>
                      </a:extLst>
                    </a:blip>
                    <a:srcRect/>
                    <a:stretch>
                      <a:fillRect/>
                    </a:stretch>
                  </pic:blipFill>
                  <pic:spPr bwMode="auto">
                    <a:xfrm>
                      <a:off x="0" y="0"/>
                      <a:ext cx="494030" cy="484505"/>
                    </a:xfrm>
                    <a:prstGeom prst="rect">
                      <a:avLst/>
                    </a:prstGeom>
                    <a:noFill/>
                    <a:ln>
                      <a:noFill/>
                    </a:ln>
                  </pic:spPr>
                </pic:pic>
              </a:graphicData>
            </a:graphic>
          </wp:inline>
        </w:drawing>
      </w:r>
      <w:r>
        <w:t>,</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9"/>
        </w:rPr>
        <w:drawing>
          <wp:inline distT="0" distB="0" distL="0" distR="0">
            <wp:extent cx="177800" cy="261620"/>
            <wp:effectExtent l="0" t="0" r="0" b="0"/>
            <wp:docPr id="2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5"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 часть высоты стенки, равная расстоянию от оси нагруженного пояса в сварных и прокатных балках или от ближайшей риски поясного уголка в балках с болтовыми соединениями до границы проверяемой пластинки;</w:t>
      </w:r>
    </w:p>
    <w:p w:rsidR="00212513" w:rsidRDefault="00212513">
      <w:pPr>
        <w:pStyle w:val="ConsPlusNormal"/>
        <w:spacing w:before="220"/>
        <w:ind w:firstLine="540"/>
        <w:jc w:val="both"/>
      </w:pPr>
      <w:r>
        <w:rPr>
          <w:noProof/>
          <w:position w:val="-9"/>
        </w:rPr>
        <w:drawing>
          <wp:inline distT="0" distB="0" distL="0" distR="0">
            <wp:extent cx="177165" cy="260985"/>
            <wp:effectExtent l="0" t="0" r="0" b="0"/>
            <wp:docPr id="2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6" cstate="print">
                      <a:extLst>
                        <a:ext uri="{28A0092B-C50C-407E-A947-70E740481C1C}">
                          <a14:useLocalDpi xmlns:a14="http://schemas.microsoft.com/office/drawing/2010/main" val="0"/>
                        </a:ext>
                      </a:extLst>
                    </a:blip>
                    <a:srcRect/>
                    <a:stretch>
                      <a:fillRect/>
                    </a:stretch>
                  </pic:blipFill>
                  <pic:spPr bwMode="auto">
                    <a:xfrm>
                      <a:off x="0" y="0"/>
                      <a:ext cx="177165" cy="260985"/>
                    </a:xfrm>
                    <a:prstGeom prst="rect">
                      <a:avLst/>
                    </a:prstGeom>
                    <a:noFill/>
                    <a:ln>
                      <a:noFill/>
                    </a:ln>
                  </pic:spPr>
                </pic:pic>
              </a:graphicData>
            </a:graphic>
          </wp:inline>
        </w:drawing>
      </w:r>
      <w:r>
        <w:t xml:space="preserve"> - полная высота стенки.</w:t>
      </w:r>
    </w:p>
    <w:p w:rsidR="00212513" w:rsidRDefault="00212513">
      <w:pPr>
        <w:pStyle w:val="ConsPlusNormal"/>
        <w:spacing w:before="220"/>
        <w:ind w:firstLine="540"/>
        <w:jc w:val="both"/>
      </w:pPr>
      <w:r>
        <w:lastRenderedPageBreak/>
        <w:t xml:space="preserve">Примечание - Для автодорожных мостов допускается вычислять </w:t>
      </w:r>
      <w:r>
        <w:rPr>
          <w:noProof/>
          <w:position w:val="-10"/>
        </w:rPr>
        <w:drawing>
          <wp:inline distT="0" distB="0" distL="0" distR="0">
            <wp:extent cx="231140" cy="273685"/>
            <wp:effectExtent l="0" t="0" r="0" b="0"/>
            <wp:docPr id="2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7" cstate="print">
                      <a:extLst>
                        <a:ext uri="{28A0092B-C50C-407E-A947-70E740481C1C}">
                          <a14:useLocalDpi xmlns:a14="http://schemas.microsoft.com/office/drawing/2010/main" val="0"/>
                        </a:ext>
                      </a:extLst>
                    </a:blip>
                    <a:srcRect/>
                    <a:stretch>
                      <a:fillRect/>
                    </a:stretch>
                  </pic:blipFill>
                  <pic:spPr bwMode="auto">
                    <a:xfrm>
                      <a:off x="0" y="0"/>
                      <a:ext cx="231140" cy="273685"/>
                    </a:xfrm>
                    <a:prstGeom prst="rect">
                      <a:avLst/>
                    </a:prstGeom>
                    <a:noFill/>
                    <a:ln>
                      <a:noFill/>
                    </a:ln>
                  </pic:spPr>
                </pic:pic>
              </a:graphicData>
            </a:graphic>
          </wp:inline>
        </w:drawing>
      </w:r>
      <w:r>
        <w:t xml:space="preserve"> суммированием результатов расчетов по </w:t>
      </w:r>
      <w:hyperlink w:anchor="P15861">
        <w:r>
          <w:rPr>
            <w:color w:val="0000FF"/>
          </w:rPr>
          <w:t>формуле (Х.9)</w:t>
        </w:r>
      </w:hyperlink>
      <w:r>
        <w:t xml:space="preserve"> и </w:t>
      </w:r>
      <w:hyperlink w:anchor="P15865">
        <w:r>
          <w:rPr>
            <w:color w:val="0000FF"/>
          </w:rPr>
          <w:t>(Х.10)</w:t>
        </w:r>
      </w:hyperlink>
      <w:r>
        <w:t xml:space="preserve">, принимая </w:t>
      </w:r>
      <w:r>
        <w:rPr>
          <w:noProof/>
          <w:position w:val="-25"/>
        </w:rPr>
        <w:drawing>
          <wp:inline distT="0" distB="0" distL="0" distR="0">
            <wp:extent cx="1408430" cy="461010"/>
            <wp:effectExtent l="0" t="0" r="0" b="0"/>
            <wp:docPr id="2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8" cstate="print">
                      <a:extLst>
                        <a:ext uri="{28A0092B-C50C-407E-A947-70E740481C1C}">
                          <a14:useLocalDpi xmlns:a14="http://schemas.microsoft.com/office/drawing/2010/main" val="0"/>
                        </a:ext>
                      </a:extLst>
                    </a:blip>
                    <a:srcRect/>
                    <a:stretch>
                      <a:fillRect/>
                    </a:stretch>
                  </pic:blipFill>
                  <pic:spPr bwMode="auto">
                    <a:xfrm>
                      <a:off x="0" y="0"/>
                      <a:ext cx="1408430" cy="461010"/>
                    </a:xfrm>
                    <a:prstGeom prst="rect">
                      <a:avLst/>
                    </a:prstGeom>
                    <a:noFill/>
                    <a:ln>
                      <a:noFill/>
                    </a:ln>
                  </pic:spPr>
                </pic:pic>
              </a:graphicData>
            </a:graphic>
          </wp:inline>
        </w:drawing>
      </w:r>
      <w:r>
        <w:t xml:space="preserve">, а </w:t>
      </w:r>
      <w:r>
        <w:rPr>
          <w:noProof/>
          <w:position w:val="-23"/>
        </w:rPr>
        <w:drawing>
          <wp:inline distT="0" distB="0" distL="0" distR="0">
            <wp:extent cx="854710" cy="440055"/>
            <wp:effectExtent l="0" t="0" r="0" b="0"/>
            <wp:docPr id="2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9" cstate="print">
                      <a:extLst>
                        <a:ext uri="{28A0092B-C50C-407E-A947-70E740481C1C}">
                          <a14:useLocalDpi xmlns:a14="http://schemas.microsoft.com/office/drawing/2010/main" val="0"/>
                        </a:ext>
                      </a:extLst>
                    </a:blip>
                    <a:srcRect/>
                    <a:stretch>
                      <a:fillRect/>
                    </a:stretch>
                  </pic:blipFill>
                  <pic:spPr bwMode="auto">
                    <a:xfrm>
                      <a:off x="0" y="0"/>
                      <a:ext cx="854710" cy="440055"/>
                    </a:xfrm>
                    <a:prstGeom prst="rect">
                      <a:avLst/>
                    </a:prstGeom>
                    <a:noFill/>
                    <a:ln>
                      <a:noFill/>
                    </a:ln>
                  </pic:spPr>
                </pic:pic>
              </a:graphicData>
            </a:graphic>
          </wp:inline>
        </w:drawing>
      </w:r>
      <w:r>
        <w:t xml:space="preserve"> аналогично </w:t>
      </w:r>
      <w:hyperlink w:anchor="P15835">
        <w:r>
          <w:rPr>
            <w:color w:val="0000FF"/>
          </w:rPr>
          <w:t>формуле (Х.6а)</w:t>
        </w:r>
      </w:hyperlink>
      <w:r>
        <w:t>.</w:t>
      </w:r>
    </w:p>
    <w:p w:rsidR="00212513" w:rsidRDefault="00212513">
      <w:pPr>
        <w:pStyle w:val="ConsPlusNormal"/>
        <w:jc w:val="both"/>
      </w:pPr>
      <w:r>
        <w:t xml:space="preserve">(примечание введено </w:t>
      </w:r>
      <w:hyperlink r:id="rId3540">
        <w:r>
          <w:rPr>
            <w:color w:val="0000FF"/>
          </w:rPr>
          <w:t>Изменением N 4</w:t>
        </w:r>
      </w:hyperlink>
      <w:r>
        <w:t>, утв. Приказом Минстроя России от 30.05.2024 N 361/пр)</w:t>
      </w:r>
    </w:p>
    <w:p w:rsidR="00212513" w:rsidRDefault="00212513">
      <w:pPr>
        <w:pStyle w:val="ConsPlusNormal"/>
        <w:ind w:firstLine="540"/>
        <w:jc w:val="both"/>
      </w:pPr>
    </w:p>
    <w:p w:rsidR="00212513" w:rsidRDefault="00212513">
      <w:pPr>
        <w:pStyle w:val="ConsPlusNormal"/>
        <w:ind w:firstLine="540"/>
        <w:jc w:val="both"/>
      </w:pPr>
      <w:r>
        <w:t xml:space="preserve">Х.3 Критические напряжения </w:t>
      </w:r>
      <w:r>
        <w:rPr>
          <w:noProof/>
          <w:position w:val="-10"/>
        </w:rPr>
        <w:drawing>
          <wp:inline distT="0" distB="0" distL="0" distR="0">
            <wp:extent cx="335280" cy="273685"/>
            <wp:effectExtent l="0" t="0" r="0" b="0"/>
            <wp:docPr id="2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1"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w:t>
      </w:r>
      <w:r>
        <w:rPr>
          <w:noProof/>
          <w:position w:val="-10"/>
        </w:rPr>
        <w:drawing>
          <wp:inline distT="0" distB="0" distL="0" distR="0">
            <wp:extent cx="335280" cy="273685"/>
            <wp:effectExtent l="0" t="0" r="0" b="0"/>
            <wp:docPr id="2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2"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w:t>
      </w:r>
      <w:r>
        <w:rPr>
          <w:noProof/>
          <w:position w:val="-10"/>
        </w:rPr>
        <w:drawing>
          <wp:inline distT="0" distB="0" distL="0" distR="0">
            <wp:extent cx="355600" cy="273685"/>
            <wp:effectExtent l="0" t="0" r="0" b="0"/>
            <wp:docPr id="2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3" cstate="print">
                      <a:extLst>
                        <a:ext uri="{28A0092B-C50C-407E-A947-70E740481C1C}">
                          <a14:useLocalDpi xmlns:a14="http://schemas.microsoft.com/office/drawing/2010/main" val="0"/>
                        </a:ext>
                      </a:extLst>
                    </a:blip>
                    <a:srcRect/>
                    <a:stretch>
                      <a:fillRect/>
                    </a:stretch>
                  </pic:blipFill>
                  <pic:spPr bwMode="auto">
                    <a:xfrm>
                      <a:off x="0" y="0"/>
                      <a:ext cx="355600" cy="273685"/>
                    </a:xfrm>
                    <a:prstGeom prst="rect">
                      <a:avLst/>
                    </a:prstGeom>
                    <a:noFill/>
                    <a:ln>
                      <a:noFill/>
                    </a:ln>
                  </pic:spPr>
                </pic:pic>
              </a:graphicData>
            </a:graphic>
          </wp:inline>
        </w:drawing>
      </w:r>
      <w:r>
        <w:t xml:space="preserve">, </w:t>
      </w:r>
      <w:r>
        <w:rPr>
          <w:noProof/>
          <w:position w:val="-10"/>
        </w:rPr>
        <w:drawing>
          <wp:inline distT="0" distB="0" distL="0" distR="0">
            <wp:extent cx="461010" cy="273685"/>
            <wp:effectExtent l="0" t="0" r="0" b="0"/>
            <wp:docPr id="2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4" cstate="print">
                      <a:extLst>
                        <a:ext uri="{28A0092B-C50C-407E-A947-70E740481C1C}">
                          <a14:useLocalDpi xmlns:a14="http://schemas.microsoft.com/office/drawing/2010/main" val="0"/>
                        </a:ext>
                      </a:extLst>
                    </a:blip>
                    <a:srcRect/>
                    <a:stretch>
                      <a:fillRect/>
                    </a:stretch>
                  </pic:blipFill>
                  <pic:spPr bwMode="auto">
                    <a:xfrm>
                      <a:off x="0" y="0"/>
                      <a:ext cx="461010" cy="273685"/>
                    </a:xfrm>
                    <a:prstGeom prst="rect">
                      <a:avLst/>
                    </a:prstGeom>
                    <a:noFill/>
                    <a:ln>
                      <a:noFill/>
                    </a:ln>
                  </pic:spPr>
                </pic:pic>
              </a:graphicData>
            </a:graphic>
          </wp:inline>
        </w:drawing>
      </w:r>
      <w:r>
        <w:t xml:space="preserve">, </w:t>
      </w:r>
      <w:r>
        <w:rPr>
          <w:noProof/>
          <w:position w:val="-10"/>
        </w:rPr>
        <w:drawing>
          <wp:inline distT="0" distB="0" distL="0" distR="0">
            <wp:extent cx="484505" cy="273685"/>
            <wp:effectExtent l="0" t="0" r="0" b="0"/>
            <wp:docPr id="27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5"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w:t>
      </w:r>
      <w:r>
        <w:rPr>
          <w:noProof/>
          <w:position w:val="-10"/>
        </w:rPr>
        <w:drawing>
          <wp:inline distT="0" distB="0" distL="0" distR="0">
            <wp:extent cx="484505" cy="273685"/>
            <wp:effectExtent l="0" t="0" r="0" b="0"/>
            <wp:docPr id="2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6"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следует определять в предположении действия только одного из рассматриваемых напряжений </w:t>
      </w:r>
      <w:r>
        <w:rPr>
          <w:noProof/>
          <w:position w:val="-9"/>
        </w:rPr>
        <w:drawing>
          <wp:inline distT="0" distB="0" distL="0" distR="0">
            <wp:extent cx="220345" cy="261620"/>
            <wp:effectExtent l="0" t="0" r="0" b="0"/>
            <wp:docPr id="2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7"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w:t>
      </w:r>
      <w:r>
        <w:rPr>
          <w:noProof/>
          <w:position w:val="-10"/>
        </w:rPr>
        <w:drawing>
          <wp:inline distT="0" distB="0" distL="0" distR="0">
            <wp:extent cx="230505" cy="273685"/>
            <wp:effectExtent l="0" t="0" r="0" b="0"/>
            <wp:docPr id="2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8"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w:t>
      </w:r>
      <w:r>
        <w:rPr>
          <w:noProof/>
          <w:position w:val="-10"/>
        </w:rPr>
        <w:drawing>
          <wp:inline distT="0" distB="0" distL="0" distR="0">
            <wp:extent cx="230505" cy="273685"/>
            <wp:effectExtent l="0" t="0" r="0" b="0"/>
            <wp:docPr id="27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9"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Приведенные критические напряжения </w:t>
      </w:r>
      <w:r>
        <w:rPr>
          <w:noProof/>
          <w:position w:val="-10"/>
        </w:rPr>
        <w:drawing>
          <wp:inline distT="0" distB="0" distL="0" distR="0">
            <wp:extent cx="461010" cy="273685"/>
            <wp:effectExtent l="0" t="0" r="0" b="0"/>
            <wp:docPr id="27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4" cstate="print">
                      <a:extLst>
                        <a:ext uri="{28A0092B-C50C-407E-A947-70E740481C1C}">
                          <a14:useLocalDpi xmlns:a14="http://schemas.microsoft.com/office/drawing/2010/main" val="0"/>
                        </a:ext>
                      </a:extLst>
                    </a:blip>
                    <a:srcRect/>
                    <a:stretch>
                      <a:fillRect/>
                    </a:stretch>
                  </pic:blipFill>
                  <pic:spPr bwMode="auto">
                    <a:xfrm>
                      <a:off x="0" y="0"/>
                      <a:ext cx="461010" cy="273685"/>
                    </a:xfrm>
                    <a:prstGeom prst="rect">
                      <a:avLst/>
                    </a:prstGeom>
                    <a:noFill/>
                    <a:ln>
                      <a:noFill/>
                    </a:ln>
                  </pic:spPr>
                </pic:pic>
              </a:graphicData>
            </a:graphic>
          </wp:inline>
        </w:drawing>
      </w:r>
      <w:r>
        <w:t xml:space="preserve">, </w:t>
      </w:r>
      <w:r>
        <w:rPr>
          <w:noProof/>
          <w:position w:val="-10"/>
        </w:rPr>
        <w:drawing>
          <wp:inline distT="0" distB="0" distL="0" distR="0">
            <wp:extent cx="484505" cy="273685"/>
            <wp:effectExtent l="0" t="0" r="0" b="0"/>
            <wp:docPr id="27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5"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w:t>
      </w:r>
      <w:r>
        <w:rPr>
          <w:noProof/>
          <w:position w:val="-10"/>
        </w:rPr>
        <w:drawing>
          <wp:inline distT="0" distB="0" distL="0" distR="0">
            <wp:extent cx="484505" cy="273685"/>
            <wp:effectExtent l="0" t="0" r="0" b="0"/>
            <wp:docPr id="27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6"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в общем случае вычисляют в предположении неограниченной упругости материала на основе теории устойчивости первого рода (бифуркация форм равновесия) для пластинчатых систем.</w:t>
      </w:r>
    </w:p>
    <w:p w:rsidR="00212513" w:rsidRDefault="00212513">
      <w:pPr>
        <w:pStyle w:val="ConsPlusNormal"/>
        <w:spacing w:before="220"/>
        <w:ind w:firstLine="540"/>
        <w:jc w:val="both"/>
      </w:pPr>
      <w:r>
        <w:t xml:space="preserve">Значения приводимых в </w:t>
      </w:r>
      <w:hyperlink w:anchor="P15887">
        <w:r>
          <w:rPr>
            <w:color w:val="0000FF"/>
          </w:rPr>
          <w:t>таблицах Х.2</w:t>
        </w:r>
      </w:hyperlink>
      <w:r>
        <w:t xml:space="preserve">, </w:t>
      </w:r>
      <w:hyperlink w:anchor="P15946">
        <w:r>
          <w:rPr>
            <w:color w:val="0000FF"/>
          </w:rPr>
          <w:t>Х.4</w:t>
        </w:r>
      </w:hyperlink>
      <w:r>
        <w:t xml:space="preserve"> - </w:t>
      </w:r>
      <w:hyperlink w:anchor="P16469">
        <w:r>
          <w:rPr>
            <w:color w:val="0000FF"/>
          </w:rPr>
          <w:t>Х.13</w:t>
        </w:r>
      </w:hyperlink>
      <w:r>
        <w:t xml:space="preserve"> параметров для определения критических напряжений в пластинках допускается находить по линейной интерполяции.</w:t>
      </w:r>
    </w:p>
    <w:p w:rsidR="00212513" w:rsidRDefault="00212513">
      <w:pPr>
        <w:pStyle w:val="ConsPlusNormal"/>
        <w:spacing w:before="220"/>
        <w:ind w:firstLine="540"/>
        <w:jc w:val="both"/>
      </w:pPr>
      <w:bookmarkStart w:id="532" w:name="P15878"/>
      <w:bookmarkEnd w:id="532"/>
      <w:r>
        <w:t>Х.4 Расчет по устойчивости стенки сплошных изгибаемых элементов, имеющей только поперечные ребра жесткости, следует выполнять по формуле</w:t>
      </w:r>
    </w:p>
    <w:p w:rsidR="00212513" w:rsidRDefault="00212513">
      <w:pPr>
        <w:pStyle w:val="ConsPlusNormal"/>
        <w:ind w:firstLine="540"/>
        <w:jc w:val="both"/>
      </w:pPr>
    </w:p>
    <w:p w:rsidR="00212513" w:rsidRDefault="00212513">
      <w:pPr>
        <w:pStyle w:val="ConsPlusNormal"/>
        <w:jc w:val="center"/>
      </w:pPr>
      <w:bookmarkStart w:id="533" w:name="P15880"/>
      <w:bookmarkEnd w:id="533"/>
      <w:r>
        <w:rPr>
          <w:noProof/>
          <w:position w:val="-40"/>
        </w:rPr>
        <w:drawing>
          <wp:inline distT="0" distB="0" distL="0" distR="0">
            <wp:extent cx="2458720" cy="650240"/>
            <wp:effectExtent l="0" t="0" r="0" b="0"/>
            <wp:docPr id="27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0" cstate="print">
                      <a:extLst>
                        <a:ext uri="{28A0092B-C50C-407E-A947-70E740481C1C}">
                          <a14:useLocalDpi xmlns:a14="http://schemas.microsoft.com/office/drawing/2010/main" val="0"/>
                        </a:ext>
                      </a:extLst>
                    </a:blip>
                    <a:srcRect/>
                    <a:stretch>
                      <a:fillRect/>
                    </a:stretch>
                  </pic:blipFill>
                  <pic:spPr bwMode="auto">
                    <a:xfrm>
                      <a:off x="0" y="0"/>
                      <a:ext cx="2458720" cy="650240"/>
                    </a:xfrm>
                    <a:prstGeom prst="rect">
                      <a:avLst/>
                    </a:prstGeom>
                    <a:noFill/>
                    <a:ln>
                      <a:noFill/>
                    </a:ln>
                  </pic:spPr>
                </pic:pic>
              </a:graphicData>
            </a:graphic>
          </wp:inline>
        </w:drawing>
      </w:r>
      <w:r>
        <w:t>, (Х.11)</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10"/>
        </w:rPr>
        <w:drawing>
          <wp:inline distT="0" distB="0" distL="0" distR="0">
            <wp:extent cx="335280" cy="273685"/>
            <wp:effectExtent l="0" t="0" r="0" b="0"/>
            <wp:docPr id="27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1"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w:t>
      </w:r>
      <w:r>
        <w:rPr>
          <w:noProof/>
          <w:position w:val="-10"/>
        </w:rPr>
        <w:drawing>
          <wp:inline distT="0" distB="0" distL="0" distR="0">
            <wp:extent cx="335280" cy="273685"/>
            <wp:effectExtent l="0" t="0" r="0" b="0"/>
            <wp:docPr id="27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2"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 критические нормальные напряжения соответственно продольное и поперечное;</w:t>
      </w:r>
    </w:p>
    <w:p w:rsidR="00212513" w:rsidRDefault="00212513">
      <w:pPr>
        <w:pStyle w:val="ConsPlusNormal"/>
        <w:spacing w:before="220"/>
        <w:ind w:firstLine="540"/>
        <w:jc w:val="both"/>
      </w:pPr>
      <w:r>
        <w:rPr>
          <w:noProof/>
          <w:position w:val="-10"/>
        </w:rPr>
        <w:drawing>
          <wp:inline distT="0" distB="0" distL="0" distR="0">
            <wp:extent cx="355600" cy="273685"/>
            <wp:effectExtent l="0" t="0" r="0" b="0"/>
            <wp:docPr id="27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3" cstate="print">
                      <a:extLst>
                        <a:ext uri="{28A0092B-C50C-407E-A947-70E740481C1C}">
                          <a14:useLocalDpi xmlns:a14="http://schemas.microsoft.com/office/drawing/2010/main" val="0"/>
                        </a:ext>
                      </a:extLst>
                    </a:blip>
                    <a:srcRect/>
                    <a:stretch>
                      <a:fillRect/>
                    </a:stretch>
                  </pic:blipFill>
                  <pic:spPr bwMode="auto">
                    <a:xfrm>
                      <a:off x="0" y="0"/>
                      <a:ext cx="355600" cy="273685"/>
                    </a:xfrm>
                    <a:prstGeom prst="rect">
                      <a:avLst/>
                    </a:prstGeom>
                    <a:noFill/>
                    <a:ln>
                      <a:noFill/>
                    </a:ln>
                  </pic:spPr>
                </pic:pic>
              </a:graphicData>
            </a:graphic>
          </wp:inline>
        </w:drawing>
      </w:r>
      <w:r>
        <w:t xml:space="preserve"> - критическое касательное напряжение;</w:t>
      </w:r>
    </w:p>
    <w:p w:rsidR="00212513" w:rsidRDefault="00212513">
      <w:pPr>
        <w:pStyle w:val="ConsPlusNormal"/>
        <w:spacing w:before="220"/>
        <w:ind w:firstLine="540"/>
        <w:jc w:val="both"/>
      </w:pPr>
      <w:r>
        <w:rPr>
          <w:noProof/>
          <w:position w:val="-9"/>
        </w:rPr>
        <w:drawing>
          <wp:inline distT="0" distB="0" distL="0" distR="0">
            <wp:extent cx="177165" cy="260985"/>
            <wp:effectExtent l="0" t="0" r="0" b="0"/>
            <wp:docPr id="27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1" cstate="print">
                      <a:extLst>
                        <a:ext uri="{28A0092B-C50C-407E-A947-70E740481C1C}">
                          <a14:useLocalDpi xmlns:a14="http://schemas.microsoft.com/office/drawing/2010/main" val="0"/>
                        </a:ext>
                      </a:extLst>
                    </a:blip>
                    <a:srcRect/>
                    <a:stretch>
                      <a:fillRect/>
                    </a:stretch>
                  </pic:blipFill>
                  <pic:spPr bwMode="auto">
                    <a:xfrm>
                      <a:off x="0" y="0"/>
                      <a:ext cx="177165" cy="260985"/>
                    </a:xfrm>
                    <a:prstGeom prst="rect">
                      <a:avLst/>
                    </a:prstGeom>
                    <a:noFill/>
                    <a:ln>
                      <a:noFill/>
                    </a:ln>
                  </pic:spPr>
                </pic:pic>
              </a:graphicData>
            </a:graphic>
          </wp:inline>
        </w:drawing>
      </w:r>
      <w:r>
        <w:t xml:space="preserve"> - коэффициент, принимаемый по </w:t>
      </w:r>
      <w:hyperlink w:anchor="P15887">
        <w:r>
          <w:rPr>
            <w:color w:val="0000FF"/>
          </w:rPr>
          <w:t>таблице Х.2</w:t>
        </w:r>
      </w:hyperlink>
      <w:r>
        <w:t>;</w:t>
      </w:r>
    </w:p>
    <w:p w:rsidR="00212513" w:rsidRDefault="00212513">
      <w:pPr>
        <w:pStyle w:val="ConsPlusNormal"/>
        <w:spacing w:before="220"/>
        <w:ind w:firstLine="540"/>
        <w:jc w:val="both"/>
      </w:pPr>
      <w:r>
        <w:rPr>
          <w:noProof/>
          <w:position w:val="-27"/>
        </w:rPr>
        <w:drawing>
          <wp:inline distT="0" distB="0" distL="0" distR="0">
            <wp:extent cx="1690370" cy="484505"/>
            <wp:effectExtent l="0" t="0" r="0" b="0"/>
            <wp:docPr id="27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2" cstate="print">
                      <a:extLst>
                        <a:ext uri="{28A0092B-C50C-407E-A947-70E740481C1C}">
                          <a14:useLocalDpi xmlns:a14="http://schemas.microsoft.com/office/drawing/2010/main" val="0"/>
                        </a:ext>
                      </a:extLst>
                    </a:blip>
                    <a:srcRect/>
                    <a:stretch>
                      <a:fillRect/>
                    </a:stretch>
                  </pic:blipFill>
                  <pic:spPr bwMode="auto">
                    <a:xfrm>
                      <a:off x="0" y="0"/>
                      <a:ext cx="1690370" cy="484505"/>
                    </a:xfrm>
                    <a:prstGeom prst="rect">
                      <a:avLst/>
                    </a:prstGeom>
                    <a:noFill/>
                    <a:ln>
                      <a:noFill/>
                    </a:ln>
                  </pic:spPr>
                </pic:pic>
              </a:graphicData>
            </a:graphic>
          </wp:inline>
        </w:drawing>
      </w:r>
      <w:r>
        <w:t xml:space="preserve"> - коэффициент, вводимый при расчете автодорожных и городских мостов при </w:t>
      </w:r>
      <w:r>
        <w:rPr>
          <w:noProof/>
          <w:position w:val="-9"/>
        </w:rPr>
        <w:drawing>
          <wp:inline distT="0" distB="0" distL="0" distR="0">
            <wp:extent cx="768350" cy="261620"/>
            <wp:effectExtent l="0" t="0" r="0" b="0"/>
            <wp:docPr id="2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3" cstate="print">
                      <a:extLst>
                        <a:ext uri="{28A0092B-C50C-407E-A947-70E740481C1C}">
                          <a14:useLocalDpi xmlns:a14="http://schemas.microsoft.com/office/drawing/2010/main" val="0"/>
                        </a:ext>
                      </a:extLst>
                    </a:blip>
                    <a:srcRect/>
                    <a:stretch>
                      <a:fillRect/>
                    </a:stretch>
                  </pic:blipFill>
                  <pic:spPr bwMode="auto">
                    <a:xfrm>
                      <a:off x="0" y="0"/>
                      <a:ext cx="768350" cy="261620"/>
                    </a:xfrm>
                    <a:prstGeom prst="rect">
                      <a:avLst/>
                    </a:prstGeom>
                    <a:noFill/>
                    <a:ln>
                      <a:noFill/>
                    </a:ln>
                  </pic:spPr>
                </pic:pic>
              </a:graphicData>
            </a:graphic>
          </wp:inline>
        </w:drawing>
      </w:r>
      <w:r>
        <w:t>.</w:t>
      </w:r>
    </w:p>
    <w:p w:rsidR="00212513" w:rsidRDefault="00212513">
      <w:pPr>
        <w:pStyle w:val="ConsPlusNormal"/>
        <w:ind w:firstLine="540"/>
        <w:jc w:val="both"/>
      </w:pPr>
    </w:p>
    <w:p w:rsidR="00212513" w:rsidRDefault="00212513">
      <w:pPr>
        <w:pStyle w:val="ConsPlusNormal"/>
        <w:jc w:val="right"/>
      </w:pPr>
      <w:bookmarkStart w:id="534" w:name="P15887"/>
      <w:bookmarkEnd w:id="534"/>
      <w:r>
        <w:t>Таблица Х.2</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04"/>
        <w:gridCol w:w="1110"/>
        <w:gridCol w:w="1110"/>
        <w:gridCol w:w="1110"/>
        <w:gridCol w:w="1110"/>
        <w:gridCol w:w="1110"/>
        <w:gridCol w:w="1110"/>
        <w:gridCol w:w="1116"/>
      </w:tblGrid>
      <w:tr w:rsidR="00212513">
        <w:tc>
          <w:tcPr>
            <w:tcW w:w="1204" w:type="dxa"/>
          </w:tcPr>
          <w:p w:rsidR="00212513" w:rsidRDefault="00212513">
            <w:pPr>
              <w:pStyle w:val="ConsPlusNormal"/>
              <w:jc w:val="center"/>
            </w:pPr>
            <w:r>
              <w:rPr>
                <w:noProof/>
                <w:position w:val="-6"/>
              </w:rPr>
              <w:drawing>
                <wp:inline distT="0" distB="0" distL="0" distR="0">
                  <wp:extent cx="136525" cy="220345"/>
                  <wp:effectExtent l="0" t="0" r="0" b="0"/>
                  <wp:docPr id="27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4" cstate="print">
                            <a:extLst>
                              <a:ext uri="{28A0092B-C50C-407E-A947-70E740481C1C}">
                                <a14:useLocalDpi xmlns:a14="http://schemas.microsoft.com/office/drawing/2010/main" val="0"/>
                              </a:ext>
                            </a:extLst>
                          </a:blip>
                          <a:srcRect/>
                          <a:stretch>
                            <a:fillRect/>
                          </a:stretch>
                        </pic:blipFill>
                        <pic:spPr bwMode="auto">
                          <a:xfrm>
                            <a:off x="0" y="0"/>
                            <a:ext cx="136525" cy="220345"/>
                          </a:xfrm>
                          <a:prstGeom prst="rect">
                            <a:avLst/>
                          </a:prstGeom>
                          <a:noFill/>
                          <a:ln>
                            <a:noFill/>
                          </a:ln>
                        </pic:spPr>
                      </pic:pic>
                    </a:graphicData>
                  </a:graphic>
                </wp:inline>
              </w:drawing>
            </w:r>
          </w:p>
        </w:tc>
        <w:tc>
          <w:tcPr>
            <w:tcW w:w="1110" w:type="dxa"/>
            <w:vAlign w:val="center"/>
          </w:tcPr>
          <w:p w:rsidR="00212513" w:rsidRDefault="00212513">
            <w:pPr>
              <w:pStyle w:val="ConsPlusNormal"/>
              <w:jc w:val="center"/>
            </w:pPr>
            <w:r>
              <w:t>0</w:t>
            </w:r>
          </w:p>
        </w:tc>
        <w:tc>
          <w:tcPr>
            <w:tcW w:w="1110" w:type="dxa"/>
            <w:vAlign w:val="center"/>
          </w:tcPr>
          <w:p w:rsidR="00212513" w:rsidRDefault="00212513">
            <w:pPr>
              <w:pStyle w:val="ConsPlusNormal"/>
              <w:jc w:val="center"/>
            </w:pPr>
            <w:r>
              <w:t>0,5</w:t>
            </w:r>
          </w:p>
        </w:tc>
        <w:tc>
          <w:tcPr>
            <w:tcW w:w="1110" w:type="dxa"/>
            <w:vAlign w:val="center"/>
          </w:tcPr>
          <w:p w:rsidR="00212513" w:rsidRDefault="00212513">
            <w:pPr>
              <w:pStyle w:val="ConsPlusNormal"/>
              <w:jc w:val="center"/>
            </w:pPr>
            <w:r>
              <w:t>1,0</w:t>
            </w:r>
          </w:p>
        </w:tc>
        <w:tc>
          <w:tcPr>
            <w:tcW w:w="1110" w:type="dxa"/>
            <w:vAlign w:val="center"/>
          </w:tcPr>
          <w:p w:rsidR="00212513" w:rsidRDefault="00212513">
            <w:pPr>
              <w:pStyle w:val="ConsPlusNormal"/>
              <w:jc w:val="center"/>
            </w:pPr>
            <w:r>
              <w:t>1,5</w:t>
            </w:r>
          </w:p>
        </w:tc>
        <w:tc>
          <w:tcPr>
            <w:tcW w:w="1110" w:type="dxa"/>
            <w:vAlign w:val="center"/>
          </w:tcPr>
          <w:p w:rsidR="00212513" w:rsidRDefault="00212513">
            <w:pPr>
              <w:pStyle w:val="ConsPlusNormal"/>
              <w:jc w:val="center"/>
            </w:pPr>
            <w:r>
              <w:t>2,0</w:t>
            </w:r>
          </w:p>
        </w:tc>
        <w:tc>
          <w:tcPr>
            <w:tcW w:w="1110" w:type="dxa"/>
            <w:vAlign w:val="center"/>
          </w:tcPr>
          <w:p w:rsidR="00212513" w:rsidRDefault="00212513">
            <w:pPr>
              <w:pStyle w:val="ConsPlusNormal"/>
              <w:jc w:val="center"/>
            </w:pPr>
            <w:r>
              <w:t>3,0</w:t>
            </w:r>
          </w:p>
        </w:tc>
        <w:tc>
          <w:tcPr>
            <w:tcW w:w="1116" w:type="dxa"/>
            <w:vAlign w:val="center"/>
          </w:tcPr>
          <w:p w:rsidR="00212513" w:rsidRDefault="00212513">
            <w:pPr>
              <w:pStyle w:val="ConsPlusNormal"/>
              <w:jc w:val="center"/>
            </w:pPr>
            <w:r>
              <w:t>4,0</w:t>
            </w:r>
          </w:p>
        </w:tc>
      </w:tr>
      <w:tr w:rsidR="00212513">
        <w:tc>
          <w:tcPr>
            <w:tcW w:w="1204" w:type="dxa"/>
          </w:tcPr>
          <w:p w:rsidR="00212513" w:rsidRDefault="00212513">
            <w:pPr>
              <w:pStyle w:val="ConsPlusNormal"/>
              <w:jc w:val="center"/>
            </w:pPr>
            <w:r>
              <w:rPr>
                <w:noProof/>
                <w:position w:val="-8"/>
              </w:rPr>
              <w:drawing>
                <wp:inline distT="0" distB="0" distL="0" distR="0">
                  <wp:extent cx="199390" cy="251460"/>
                  <wp:effectExtent l="0" t="0" r="0" b="0"/>
                  <wp:docPr id="27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5"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p>
        </w:tc>
        <w:tc>
          <w:tcPr>
            <w:tcW w:w="1110" w:type="dxa"/>
            <w:vAlign w:val="center"/>
          </w:tcPr>
          <w:p w:rsidR="00212513" w:rsidRDefault="00212513">
            <w:pPr>
              <w:pStyle w:val="ConsPlusNormal"/>
              <w:jc w:val="center"/>
            </w:pPr>
            <w:r>
              <w:t>1,00</w:t>
            </w:r>
          </w:p>
        </w:tc>
        <w:tc>
          <w:tcPr>
            <w:tcW w:w="1110" w:type="dxa"/>
            <w:vAlign w:val="center"/>
          </w:tcPr>
          <w:p w:rsidR="00212513" w:rsidRDefault="00212513">
            <w:pPr>
              <w:pStyle w:val="ConsPlusNormal"/>
              <w:jc w:val="center"/>
            </w:pPr>
            <w:r>
              <w:t>1,05</w:t>
            </w:r>
          </w:p>
        </w:tc>
        <w:tc>
          <w:tcPr>
            <w:tcW w:w="1110" w:type="dxa"/>
            <w:vAlign w:val="center"/>
          </w:tcPr>
          <w:p w:rsidR="00212513" w:rsidRDefault="00212513">
            <w:pPr>
              <w:pStyle w:val="ConsPlusNormal"/>
              <w:jc w:val="center"/>
            </w:pPr>
            <w:r>
              <w:t>1,10</w:t>
            </w:r>
          </w:p>
        </w:tc>
        <w:tc>
          <w:tcPr>
            <w:tcW w:w="1110" w:type="dxa"/>
            <w:vAlign w:val="center"/>
          </w:tcPr>
          <w:p w:rsidR="00212513" w:rsidRDefault="00212513">
            <w:pPr>
              <w:pStyle w:val="ConsPlusNormal"/>
              <w:jc w:val="center"/>
            </w:pPr>
            <w:r>
              <w:t>1,15</w:t>
            </w:r>
          </w:p>
        </w:tc>
        <w:tc>
          <w:tcPr>
            <w:tcW w:w="1110" w:type="dxa"/>
            <w:vAlign w:val="center"/>
          </w:tcPr>
          <w:p w:rsidR="00212513" w:rsidRDefault="00212513">
            <w:pPr>
              <w:pStyle w:val="ConsPlusNormal"/>
              <w:jc w:val="center"/>
            </w:pPr>
            <w:r>
              <w:t>1,20</w:t>
            </w:r>
          </w:p>
        </w:tc>
        <w:tc>
          <w:tcPr>
            <w:tcW w:w="1110" w:type="dxa"/>
            <w:vAlign w:val="center"/>
          </w:tcPr>
          <w:p w:rsidR="00212513" w:rsidRDefault="00212513">
            <w:pPr>
              <w:pStyle w:val="ConsPlusNormal"/>
              <w:jc w:val="center"/>
            </w:pPr>
            <w:r>
              <w:t>1,30</w:t>
            </w:r>
          </w:p>
        </w:tc>
        <w:tc>
          <w:tcPr>
            <w:tcW w:w="1116" w:type="dxa"/>
            <w:vAlign w:val="center"/>
          </w:tcPr>
          <w:p w:rsidR="00212513" w:rsidRDefault="00212513">
            <w:pPr>
              <w:pStyle w:val="ConsPlusNormal"/>
              <w:jc w:val="center"/>
            </w:pPr>
            <w:r>
              <w:t>1,40</w:t>
            </w:r>
          </w:p>
        </w:tc>
      </w:tr>
    </w:tbl>
    <w:p w:rsidR="00212513" w:rsidRDefault="00212513">
      <w:pPr>
        <w:pStyle w:val="ConsPlusNormal"/>
        <w:ind w:firstLine="540"/>
        <w:jc w:val="both"/>
      </w:pPr>
    </w:p>
    <w:p w:rsidR="00212513" w:rsidRDefault="00212513">
      <w:pPr>
        <w:pStyle w:val="ConsPlusNormal"/>
        <w:ind w:firstLine="540"/>
        <w:jc w:val="both"/>
      </w:pPr>
      <w:r>
        <w:t xml:space="preserve">Критические напряжения </w:t>
      </w:r>
      <w:r>
        <w:rPr>
          <w:noProof/>
          <w:position w:val="-10"/>
        </w:rPr>
        <w:drawing>
          <wp:inline distT="0" distB="0" distL="0" distR="0">
            <wp:extent cx="335280" cy="273685"/>
            <wp:effectExtent l="0" t="0" r="0" b="0"/>
            <wp:docPr id="27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1"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w:t>
      </w:r>
      <w:r>
        <w:rPr>
          <w:noProof/>
          <w:position w:val="-10"/>
        </w:rPr>
        <w:drawing>
          <wp:inline distT="0" distB="0" distL="0" distR="0">
            <wp:extent cx="335280" cy="273685"/>
            <wp:effectExtent l="0" t="0" r="0" b="0"/>
            <wp:docPr id="27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2"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w:t>
      </w:r>
      <w:r>
        <w:rPr>
          <w:noProof/>
          <w:position w:val="-10"/>
        </w:rPr>
        <w:drawing>
          <wp:inline distT="0" distB="0" distL="0" distR="0">
            <wp:extent cx="355600" cy="273685"/>
            <wp:effectExtent l="0" t="0" r="0" b="0"/>
            <wp:docPr id="27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3" cstate="print">
                      <a:extLst>
                        <a:ext uri="{28A0092B-C50C-407E-A947-70E740481C1C}">
                          <a14:useLocalDpi xmlns:a14="http://schemas.microsoft.com/office/drawing/2010/main" val="0"/>
                        </a:ext>
                      </a:extLst>
                    </a:blip>
                    <a:srcRect/>
                    <a:stretch>
                      <a:fillRect/>
                    </a:stretch>
                  </pic:blipFill>
                  <pic:spPr bwMode="auto">
                    <a:xfrm>
                      <a:off x="0" y="0"/>
                      <a:ext cx="355600" cy="273685"/>
                    </a:xfrm>
                    <a:prstGeom prst="rect">
                      <a:avLst/>
                    </a:prstGeom>
                    <a:noFill/>
                    <a:ln>
                      <a:noFill/>
                    </a:ln>
                  </pic:spPr>
                </pic:pic>
              </a:graphicData>
            </a:graphic>
          </wp:inline>
        </w:drawing>
      </w:r>
      <w:r>
        <w:t xml:space="preserve"> следует определять по формулам таблицы Х.3 в зависимости от приведенных критических напряжений </w:t>
      </w:r>
      <w:r>
        <w:rPr>
          <w:noProof/>
          <w:position w:val="-10"/>
        </w:rPr>
        <w:drawing>
          <wp:inline distT="0" distB="0" distL="0" distR="0">
            <wp:extent cx="461010" cy="273685"/>
            <wp:effectExtent l="0" t="0" r="0" b="0"/>
            <wp:docPr id="27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4" cstate="print">
                      <a:extLst>
                        <a:ext uri="{28A0092B-C50C-407E-A947-70E740481C1C}">
                          <a14:useLocalDpi xmlns:a14="http://schemas.microsoft.com/office/drawing/2010/main" val="0"/>
                        </a:ext>
                      </a:extLst>
                    </a:blip>
                    <a:srcRect/>
                    <a:stretch>
                      <a:fillRect/>
                    </a:stretch>
                  </pic:blipFill>
                  <pic:spPr bwMode="auto">
                    <a:xfrm>
                      <a:off x="0" y="0"/>
                      <a:ext cx="461010" cy="273685"/>
                    </a:xfrm>
                    <a:prstGeom prst="rect">
                      <a:avLst/>
                    </a:prstGeom>
                    <a:noFill/>
                    <a:ln>
                      <a:noFill/>
                    </a:ln>
                  </pic:spPr>
                </pic:pic>
              </a:graphicData>
            </a:graphic>
          </wp:inline>
        </w:drawing>
      </w:r>
      <w:r>
        <w:t xml:space="preserve">, </w:t>
      </w:r>
      <w:r>
        <w:rPr>
          <w:noProof/>
          <w:position w:val="-10"/>
        </w:rPr>
        <w:drawing>
          <wp:inline distT="0" distB="0" distL="0" distR="0">
            <wp:extent cx="484505" cy="273685"/>
            <wp:effectExtent l="0" t="0" r="0" b="0"/>
            <wp:docPr id="27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5"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w:t>
      </w:r>
      <w:r>
        <w:rPr>
          <w:noProof/>
          <w:position w:val="-10"/>
        </w:rPr>
        <w:drawing>
          <wp:inline distT="0" distB="0" distL="0" distR="0">
            <wp:extent cx="484505" cy="273685"/>
            <wp:effectExtent l="0" t="0" r="0" b="0"/>
            <wp:docPr id="27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6"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вычисляемых по </w:t>
      </w:r>
      <w:hyperlink w:anchor="P15939">
        <w:r>
          <w:rPr>
            <w:color w:val="0000FF"/>
          </w:rPr>
          <w:t>Х.4.1</w:t>
        </w:r>
      </w:hyperlink>
      <w:r>
        <w:t xml:space="preserve"> - </w:t>
      </w:r>
      <w:hyperlink w:anchor="P16303">
        <w:r>
          <w:rPr>
            <w:color w:val="0000FF"/>
          </w:rPr>
          <w:t>Х.4.3</w:t>
        </w:r>
      </w:hyperlink>
      <w:r>
        <w:t xml:space="preserve">. При этом </w:t>
      </w:r>
      <w:r>
        <w:rPr>
          <w:noProof/>
          <w:position w:val="-10"/>
        </w:rPr>
        <w:drawing>
          <wp:inline distT="0" distB="0" distL="0" distR="0">
            <wp:extent cx="355600" cy="273685"/>
            <wp:effectExtent l="0" t="0" r="0" b="0"/>
            <wp:docPr id="27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3" cstate="print">
                      <a:extLst>
                        <a:ext uri="{28A0092B-C50C-407E-A947-70E740481C1C}">
                          <a14:useLocalDpi xmlns:a14="http://schemas.microsoft.com/office/drawing/2010/main" val="0"/>
                        </a:ext>
                      </a:extLst>
                    </a:blip>
                    <a:srcRect/>
                    <a:stretch>
                      <a:fillRect/>
                    </a:stretch>
                  </pic:blipFill>
                  <pic:spPr bwMode="auto">
                    <a:xfrm>
                      <a:off x="0" y="0"/>
                      <a:ext cx="355600" cy="273685"/>
                    </a:xfrm>
                    <a:prstGeom prst="rect">
                      <a:avLst/>
                    </a:prstGeom>
                    <a:noFill/>
                    <a:ln>
                      <a:noFill/>
                    </a:ln>
                  </pic:spPr>
                </pic:pic>
              </a:graphicData>
            </a:graphic>
          </wp:inline>
        </w:drawing>
      </w:r>
      <w:r>
        <w:t xml:space="preserve"> определяется по формулам для </w:t>
      </w:r>
      <w:r>
        <w:rPr>
          <w:noProof/>
          <w:position w:val="-10"/>
        </w:rPr>
        <w:drawing>
          <wp:inline distT="0" distB="0" distL="0" distR="0">
            <wp:extent cx="335280" cy="273685"/>
            <wp:effectExtent l="0" t="0" r="0" b="0"/>
            <wp:docPr id="27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1"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с подстановкой в них соотношений:</w:t>
      </w:r>
    </w:p>
    <w:p w:rsidR="00212513" w:rsidRDefault="00212513">
      <w:pPr>
        <w:pStyle w:val="ConsPlusNormal"/>
        <w:ind w:firstLine="540"/>
        <w:jc w:val="both"/>
      </w:pPr>
    </w:p>
    <w:p w:rsidR="00212513" w:rsidRDefault="00212513">
      <w:pPr>
        <w:pStyle w:val="ConsPlusNormal"/>
        <w:jc w:val="center"/>
      </w:pPr>
      <w:r>
        <w:rPr>
          <w:noProof/>
          <w:position w:val="-27"/>
        </w:rPr>
        <w:lastRenderedPageBreak/>
        <w:drawing>
          <wp:inline distT="0" distB="0" distL="0" distR="0">
            <wp:extent cx="851535" cy="494030"/>
            <wp:effectExtent l="0" t="0" r="0" b="0"/>
            <wp:docPr id="27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6" cstate="print">
                      <a:extLst>
                        <a:ext uri="{28A0092B-C50C-407E-A947-70E740481C1C}">
                          <a14:useLocalDpi xmlns:a14="http://schemas.microsoft.com/office/drawing/2010/main" val="0"/>
                        </a:ext>
                      </a:extLst>
                    </a:blip>
                    <a:srcRect/>
                    <a:stretch>
                      <a:fillRect/>
                    </a:stretch>
                  </pic:blipFill>
                  <pic:spPr bwMode="auto">
                    <a:xfrm>
                      <a:off x="0" y="0"/>
                      <a:ext cx="851535" cy="494030"/>
                    </a:xfrm>
                    <a:prstGeom prst="rect">
                      <a:avLst/>
                    </a:prstGeom>
                    <a:noFill/>
                    <a:ln>
                      <a:noFill/>
                    </a:ln>
                  </pic:spPr>
                </pic:pic>
              </a:graphicData>
            </a:graphic>
          </wp:inline>
        </w:drawing>
      </w:r>
      <w:r>
        <w:t xml:space="preserve">; </w:t>
      </w:r>
      <w:r>
        <w:rPr>
          <w:noProof/>
          <w:position w:val="-27"/>
        </w:rPr>
        <w:drawing>
          <wp:inline distT="0" distB="0" distL="0" distR="0">
            <wp:extent cx="1113790" cy="494030"/>
            <wp:effectExtent l="0" t="0" r="0" b="0"/>
            <wp:docPr id="27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7" cstate="print">
                      <a:extLst>
                        <a:ext uri="{28A0092B-C50C-407E-A947-70E740481C1C}">
                          <a14:useLocalDpi xmlns:a14="http://schemas.microsoft.com/office/drawing/2010/main" val="0"/>
                        </a:ext>
                      </a:extLst>
                    </a:blip>
                    <a:srcRect/>
                    <a:stretch>
                      <a:fillRect/>
                    </a:stretch>
                  </pic:blipFill>
                  <pic:spPr bwMode="auto">
                    <a:xfrm>
                      <a:off x="0" y="0"/>
                      <a:ext cx="1113790" cy="494030"/>
                    </a:xfrm>
                    <a:prstGeom prst="rect">
                      <a:avLst/>
                    </a:prstGeom>
                    <a:noFill/>
                    <a:ln>
                      <a:noFill/>
                    </a:ln>
                  </pic:spPr>
                </pic:pic>
              </a:graphicData>
            </a:graphic>
          </wp:inline>
        </w:drawing>
      </w:r>
      <w:r>
        <w:t>.</w:t>
      </w:r>
    </w:p>
    <w:p w:rsidR="00212513" w:rsidRDefault="00212513">
      <w:pPr>
        <w:pStyle w:val="ConsPlusNormal"/>
        <w:ind w:firstLine="540"/>
        <w:jc w:val="both"/>
      </w:pPr>
    </w:p>
    <w:p w:rsidR="00212513" w:rsidRDefault="00212513">
      <w:pPr>
        <w:pStyle w:val="ConsPlusNormal"/>
        <w:jc w:val="right"/>
      </w:pPr>
      <w:r>
        <w:t>Таблица Х.3</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7"/>
        <w:gridCol w:w="1304"/>
        <w:gridCol w:w="6576"/>
      </w:tblGrid>
      <w:tr w:rsidR="00212513">
        <w:tc>
          <w:tcPr>
            <w:tcW w:w="1417" w:type="dxa"/>
            <w:tcBorders>
              <w:top w:val="single" w:sz="4" w:space="0" w:color="auto"/>
              <w:bottom w:val="single" w:sz="4" w:space="0" w:color="auto"/>
            </w:tcBorders>
            <w:vAlign w:val="center"/>
          </w:tcPr>
          <w:p w:rsidR="00212513" w:rsidRDefault="00212513">
            <w:pPr>
              <w:pStyle w:val="ConsPlusNormal"/>
              <w:jc w:val="center"/>
            </w:pPr>
            <w:r>
              <w:t>Класс прочности стали</w:t>
            </w:r>
          </w:p>
        </w:tc>
        <w:tc>
          <w:tcPr>
            <w:tcW w:w="1304" w:type="dxa"/>
            <w:tcBorders>
              <w:top w:val="single" w:sz="4" w:space="0" w:color="auto"/>
              <w:bottom w:val="single" w:sz="4" w:space="0" w:color="auto"/>
            </w:tcBorders>
            <w:vAlign w:val="center"/>
          </w:tcPr>
          <w:p w:rsidR="00212513" w:rsidRDefault="00212513">
            <w:pPr>
              <w:pStyle w:val="ConsPlusNormal"/>
              <w:jc w:val="center"/>
            </w:pPr>
            <w:r>
              <w:t xml:space="preserve">Интервал значений </w:t>
            </w:r>
            <w:r>
              <w:rPr>
                <w:noProof/>
                <w:position w:val="-10"/>
              </w:rPr>
              <w:drawing>
                <wp:inline distT="0" distB="0" distL="0" distR="0">
                  <wp:extent cx="461010" cy="273685"/>
                  <wp:effectExtent l="0" t="0" r="0" b="0"/>
                  <wp:docPr id="27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4" cstate="print">
                            <a:extLst>
                              <a:ext uri="{28A0092B-C50C-407E-A947-70E740481C1C}">
                                <a14:useLocalDpi xmlns:a14="http://schemas.microsoft.com/office/drawing/2010/main" val="0"/>
                              </a:ext>
                            </a:extLst>
                          </a:blip>
                          <a:srcRect/>
                          <a:stretch>
                            <a:fillRect/>
                          </a:stretch>
                        </pic:blipFill>
                        <pic:spPr bwMode="auto">
                          <a:xfrm>
                            <a:off x="0" y="0"/>
                            <a:ext cx="461010" cy="273685"/>
                          </a:xfrm>
                          <a:prstGeom prst="rect">
                            <a:avLst/>
                          </a:prstGeom>
                          <a:noFill/>
                          <a:ln>
                            <a:noFill/>
                          </a:ln>
                        </pic:spPr>
                      </pic:pic>
                    </a:graphicData>
                  </a:graphic>
                </wp:inline>
              </w:drawing>
            </w:r>
            <w:r>
              <w:t>, МПа</w:t>
            </w:r>
          </w:p>
        </w:tc>
        <w:tc>
          <w:tcPr>
            <w:tcW w:w="6576" w:type="dxa"/>
            <w:tcBorders>
              <w:top w:val="single" w:sz="4" w:space="0" w:color="auto"/>
              <w:bottom w:val="single" w:sz="4" w:space="0" w:color="auto"/>
            </w:tcBorders>
            <w:vAlign w:val="center"/>
          </w:tcPr>
          <w:p w:rsidR="00212513" w:rsidRDefault="00212513">
            <w:pPr>
              <w:pStyle w:val="ConsPlusNormal"/>
              <w:jc w:val="center"/>
            </w:pPr>
            <w:r>
              <w:t xml:space="preserve">Формулы </w:t>
            </w:r>
            <w:hyperlink w:anchor="P15936">
              <w:r>
                <w:rPr>
                  <w:color w:val="0000FF"/>
                </w:rPr>
                <w:t>&lt;*&gt;</w:t>
              </w:r>
            </w:hyperlink>
            <w:r>
              <w:t xml:space="preserve"> для определения </w:t>
            </w:r>
            <w:r>
              <w:rPr>
                <w:noProof/>
                <w:position w:val="-10"/>
              </w:rPr>
              <w:drawing>
                <wp:inline distT="0" distB="0" distL="0" distR="0">
                  <wp:extent cx="335280" cy="273685"/>
                  <wp:effectExtent l="0" t="0" r="0" b="0"/>
                  <wp:docPr id="27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1"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и </w:t>
            </w:r>
            <w:r>
              <w:rPr>
                <w:noProof/>
                <w:position w:val="-10"/>
              </w:rPr>
              <w:drawing>
                <wp:inline distT="0" distB="0" distL="0" distR="0">
                  <wp:extent cx="335280" cy="273685"/>
                  <wp:effectExtent l="0" t="0" r="0" b="0"/>
                  <wp:docPr id="27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2"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p>
        </w:tc>
      </w:tr>
      <w:tr w:rsidR="00212513">
        <w:tc>
          <w:tcPr>
            <w:tcW w:w="1417" w:type="dxa"/>
            <w:vMerge w:val="restart"/>
            <w:tcBorders>
              <w:top w:val="single" w:sz="4" w:space="0" w:color="auto"/>
              <w:bottom w:val="single" w:sz="4" w:space="0" w:color="auto"/>
            </w:tcBorders>
            <w:vAlign w:val="center"/>
          </w:tcPr>
          <w:p w:rsidR="00212513" w:rsidRDefault="00212513">
            <w:pPr>
              <w:pStyle w:val="ConsPlusNormal"/>
              <w:jc w:val="center"/>
            </w:pPr>
            <w:r>
              <w:t>С235</w:t>
            </w:r>
          </w:p>
        </w:tc>
        <w:tc>
          <w:tcPr>
            <w:tcW w:w="1304" w:type="dxa"/>
            <w:tcBorders>
              <w:top w:val="single" w:sz="4" w:space="0" w:color="auto"/>
              <w:bottom w:val="nil"/>
            </w:tcBorders>
          </w:tcPr>
          <w:p w:rsidR="00212513" w:rsidRDefault="00212513">
            <w:pPr>
              <w:pStyle w:val="ConsPlusNormal"/>
              <w:jc w:val="center"/>
            </w:pPr>
            <w:r>
              <w:t>0 - 196</w:t>
            </w:r>
          </w:p>
        </w:tc>
        <w:tc>
          <w:tcPr>
            <w:tcW w:w="6576" w:type="dxa"/>
            <w:tcBorders>
              <w:top w:val="single" w:sz="4" w:space="0" w:color="auto"/>
              <w:bottom w:val="nil"/>
            </w:tcBorders>
          </w:tcPr>
          <w:p w:rsidR="00212513" w:rsidRDefault="00212513">
            <w:pPr>
              <w:pStyle w:val="ConsPlusNormal"/>
            </w:pPr>
            <w:r>
              <w:rPr>
                <w:noProof/>
                <w:position w:val="-10"/>
              </w:rPr>
              <w:drawing>
                <wp:inline distT="0" distB="0" distL="0" distR="0">
                  <wp:extent cx="1285240" cy="273685"/>
                  <wp:effectExtent l="0" t="0" r="0" b="0"/>
                  <wp:docPr id="27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8" cstate="print">
                            <a:extLst>
                              <a:ext uri="{28A0092B-C50C-407E-A947-70E740481C1C}">
                                <a14:useLocalDpi xmlns:a14="http://schemas.microsoft.com/office/drawing/2010/main" val="0"/>
                              </a:ext>
                            </a:extLst>
                          </a:blip>
                          <a:srcRect/>
                          <a:stretch>
                            <a:fillRect/>
                          </a:stretch>
                        </pic:blipFill>
                        <pic:spPr bwMode="auto">
                          <a:xfrm>
                            <a:off x="0" y="0"/>
                            <a:ext cx="1285240" cy="273685"/>
                          </a:xfrm>
                          <a:prstGeom prst="rect">
                            <a:avLst/>
                          </a:prstGeom>
                          <a:noFill/>
                          <a:ln>
                            <a:noFill/>
                          </a:ln>
                        </pic:spPr>
                      </pic:pic>
                    </a:graphicData>
                  </a:graphic>
                </wp:inline>
              </w:drawing>
            </w:r>
          </w:p>
        </w:tc>
      </w:tr>
      <w:tr w:rsidR="00212513">
        <w:tblPrEx>
          <w:tblBorders>
            <w:insideH w:val="none" w:sz="0" w:space="0" w:color="auto"/>
          </w:tblBorders>
        </w:tblPrEx>
        <w:tc>
          <w:tcPr>
            <w:tcW w:w="1417" w:type="dxa"/>
            <w:vMerge/>
            <w:tcBorders>
              <w:top w:val="single" w:sz="4" w:space="0" w:color="auto"/>
              <w:bottom w:val="single" w:sz="4" w:space="0" w:color="auto"/>
            </w:tcBorders>
          </w:tcPr>
          <w:p w:rsidR="00212513" w:rsidRDefault="00212513">
            <w:pPr>
              <w:pStyle w:val="ConsPlusNormal"/>
            </w:pPr>
          </w:p>
        </w:tc>
        <w:tc>
          <w:tcPr>
            <w:tcW w:w="1304" w:type="dxa"/>
            <w:tcBorders>
              <w:top w:val="nil"/>
              <w:bottom w:val="nil"/>
            </w:tcBorders>
          </w:tcPr>
          <w:p w:rsidR="00212513" w:rsidRDefault="00212513">
            <w:pPr>
              <w:pStyle w:val="ConsPlusNormal"/>
              <w:jc w:val="center"/>
            </w:pPr>
            <w:r>
              <w:t>196 - 385</w:t>
            </w:r>
          </w:p>
        </w:tc>
        <w:tc>
          <w:tcPr>
            <w:tcW w:w="6576" w:type="dxa"/>
            <w:tcBorders>
              <w:top w:val="nil"/>
              <w:bottom w:val="nil"/>
            </w:tcBorders>
          </w:tcPr>
          <w:p w:rsidR="00212513" w:rsidRDefault="00212513">
            <w:pPr>
              <w:pStyle w:val="ConsPlusNormal"/>
            </w:pPr>
            <w:r>
              <w:rPr>
                <w:noProof/>
                <w:position w:val="-8"/>
              </w:rPr>
              <w:drawing>
                <wp:inline distT="0" distB="0" distL="0" distR="0">
                  <wp:extent cx="4097020" cy="245110"/>
                  <wp:effectExtent l="0" t="0" r="0" b="0"/>
                  <wp:docPr id="27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9" cstate="print">
                            <a:extLst>
                              <a:ext uri="{28A0092B-C50C-407E-A947-70E740481C1C}">
                                <a14:useLocalDpi xmlns:a14="http://schemas.microsoft.com/office/drawing/2010/main" val="0"/>
                              </a:ext>
                            </a:extLst>
                          </a:blip>
                          <a:srcRect/>
                          <a:stretch>
                            <a:fillRect/>
                          </a:stretch>
                        </pic:blipFill>
                        <pic:spPr bwMode="auto">
                          <a:xfrm>
                            <a:off x="0" y="0"/>
                            <a:ext cx="4097020" cy="245110"/>
                          </a:xfrm>
                          <a:prstGeom prst="rect">
                            <a:avLst/>
                          </a:prstGeom>
                          <a:noFill/>
                          <a:ln>
                            <a:noFill/>
                          </a:ln>
                        </pic:spPr>
                      </pic:pic>
                    </a:graphicData>
                  </a:graphic>
                </wp:inline>
              </w:drawing>
            </w:r>
          </w:p>
        </w:tc>
      </w:tr>
      <w:tr w:rsidR="00212513">
        <w:tc>
          <w:tcPr>
            <w:tcW w:w="1417" w:type="dxa"/>
            <w:vMerge/>
            <w:tcBorders>
              <w:top w:val="single" w:sz="4" w:space="0" w:color="auto"/>
              <w:bottom w:val="single" w:sz="4" w:space="0" w:color="auto"/>
            </w:tcBorders>
          </w:tcPr>
          <w:p w:rsidR="00212513" w:rsidRDefault="00212513">
            <w:pPr>
              <w:pStyle w:val="ConsPlusNormal"/>
            </w:pPr>
          </w:p>
        </w:tc>
        <w:tc>
          <w:tcPr>
            <w:tcW w:w="1304" w:type="dxa"/>
            <w:tcBorders>
              <w:top w:val="nil"/>
              <w:bottom w:val="single" w:sz="4" w:space="0" w:color="auto"/>
            </w:tcBorders>
          </w:tcPr>
          <w:p w:rsidR="00212513" w:rsidRDefault="00212513">
            <w:pPr>
              <w:pStyle w:val="ConsPlusNormal"/>
              <w:jc w:val="center"/>
            </w:pPr>
            <w:r>
              <w:t>Свыше 385</w:t>
            </w:r>
          </w:p>
        </w:tc>
        <w:tc>
          <w:tcPr>
            <w:tcW w:w="6576" w:type="dxa"/>
            <w:tcBorders>
              <w:top w:val="nil"/>
              <w:bottom w:val="single" w:sz="4" w:space="0" w:color="auto"/>
            </w:tcBorders>
          </w:tcPr>
          <w:p w:rsidR="00212513" w:rsidRDefault="00212513">
            <w:pPr>
              <w:pStyle w:val="ConsPlusNormal"/>
            </w:pPr>
            <w:r>
              <w:rPr>
                <w:noProof/>
                <w:position w:val="-10"/>
              </w:rPr>
              <w:drawing>
                <wp:inline distT="0" distB="0" distL="0" distR="0">
                  <wp:extent cx="3143250" cy="271145"/>
                  <wp:effectExtent l="0" t="0" r="0" b="0"/>
                  <wp:docPr id="27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0" cstate="print">
                            <a:extLst>
                              <a:ext uri="{28A0092B-C50C-407E-A947-70E740481C1C}">
                                <a14:useLocalDpi xmlns:a14="http://schemas.microsoft.com/office/drawing/2010/main" val="0"/>
                              </a:ext>
                            </a:extLst>
                          </a:blip>
                          <a:srcRect/>
                          <a:stretch>
                            <a:fillRect/>
                          </a:stretch>
                        </pic:blipFill>
                        <pic:spPr bwMode="auto">
                          <a:xfrm>
                            <a:off x="0" y="0"/>
                            <a:ext cx="3143250" cy="271145"/>
                          </a:xfrm>
                          <a:prstGeom prst="rect">
                            <a:avLst/>
                          </a:prstGeom>
                          <a:noFill/>
                          <a:ln>
                            <a:noFill/>
                          </a:ln>
                        </pic:spPr>
                      </pic:pic>
                    </a:graphicData>
                  </a:graphic>
                </wp:inline>
              </w:drawing>
            </w:r>
          </w:p>
        </w:tc>
      </w:tr>
      <w:tr w:rsidR="00212513">
        <w:tc>
          <w:tcPr>
            <w:tcW w:w="1417" w:type="dxa"/>
            <w:vMerge w:val="restart"/>
            <w:tcBorders>
              <w:top w:val="single" w:sz="4" w:space="0" w:color="auto"/>
              <w:bottom w:val="single" w:sz="4" w:space="0" w:color="auto"/>
            </w:tcBorders>
            <w:vAlign w:val="center"/>
          </w:tcPr>
          <w:p w:rsidR="00212513" w:rsidRDefault="00212513">
            <w:pPr>
              <w:pStyle w:val="ConsPlusNormal"/>
              <w:jc w:val="center"/>
            </w:pPr>
            <w:r>
              <w:t>С325 - С345</w:t>
            </w:r>
          </w:p>
        </w:tc>
        <w:tc>
          <w:tcPr>
            <w:tcW w:w="1304" w:type="dxa"/>
            <w:tcBorders>
              <w:top w:val="single" w:sz="4" w:space="0" w:color="auto"/>
              <w:bottom w:val="nil"/>
            </w:tcBorders>
          </w:tcPr>
          <w:p w:rsidR="00212513" w:rsidRDefault="00212513">
            <w:pPr>
              <w:pStyle w:val="ConsPlusNormal"/>
              <w:jc w:val="center"/>
            </w:pPr>
            <w:r>
              <w:t>0 - 207</w:t>
            </w:r>
          </w:p>
        </w:tc>
        <w:tc>
          <w:tcPr>
            <w:tcW w:w="6576" w:type="dxa"/>
            <w:tcBorders>
              <w:top w:val="single" w:sz="4" w:space="0" w:color="auto"/>
              <w:bottom w:val="nil"/>
            </w:tcBorders>
          </w:tcPr>
          <w:p w:rsidR="00212513" w:rsidRDefault="00212513">
            <w:pPr>
              <w:pStyle w:val="ConsPlusNormal"/>
            </w:pPr>
            <w:r>
              <w:rPr>
                <w:noProof/>
                <w:position w:val="-10"/>
              </w:rPr>
              <w:drawing>
                <wp:inline distT="0" distB="0" distL="0" distR="0">
                  <wp:extent cx="1285240" cy="273685"/>
                  <wp:effectExtent l="0" t="0" r="0" b="0"/>
                  <wp:docPr id="28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8" cstate="print">
                            <a:extLst>
                              <a:ext uri="{28A0092B-C50C-407E-A947-70E740481C1C}">
                                <a14:useLocalDpi xmlns:a14="http://schemas.microsoft.com/office/drawing/2010/main" val="0"/>
                              </a:ext>
                            </a:extLst>
                          </a:blip>
                          <a:srcRect/>
                          <a:stretch>
                            <a:fillRect/>
                          </a:stretch>
                        </pic:blipFill>
                        <pic:spPr bwMode="auto">
                          <a:xfrm>
                            <a:off x="0" y="0"/>
                            <a:ext cx="1285240" cy="273685"/>
                          </a:xfrm>
                          <a:prstGeom prst="rect">
                            <a:avLst/>
                          </a:prstGeom>
                          <a:noFill/>
                          <a:ln>
                            <a:noFill/>
                          </a:ln>
                        </pic:spPr>
                      </pic:pic>
                    </a:graphicData>
                  </a:graphic>
                </wp:inline>
              </w:drawing>
            </w:r>
          </w:p>
        </w:tc>
      </w:tr>
      <w:tr w:rsidR="00212513">
        <w:tblPrEx>
          <w:tblBorders>
            <w:insideH w:val="none" w:sz="0" w:space="0" w:color="auto"/>
          </w:tblBorders>
        </w:tblPrEx>
        <w:tc>
          <w:tcPr>
            <w:tcW w:w="1417" w:type="dxa"/>
            <w:vMerge/>
            <w:tcBorders>
              <w:top w:val="single" w:sz="4" w:space="0" w:color="auto"/>
              <w:bottom w:val="single" w:sz="4" w:space="0" w:color="auto"/>
            </w:tcBorders>
          </w:tcPr>
          <w:p w:rsidR="00212513" w:rsidRDefault="00212513">
            <w:pPr>
              <w:pStyle w:val="ConsPlusNormal"/>
            </w:pPr>
          </w:p>
        </w:tc>
        <w:tc>
          <w:tcPr>
            <w:tcW w:w="1304" w:type="dxa"/>
            <w:tcBorders>
              <w:top w:val="nil"/>
              <w:bottom w:val="nil"/>
            </w:tcBorders>
          </w:tcPr>
          <w:p w:rsidR="00212513" w:rsidRDefault="00212513">
            <w:pPr>
              <w:pStyle w:val="ConsPlusNormal"/>
              <w:jc w:val="center"/>
            </w:pPr>
            <w:r>
              <w:t>207 - 524</w:t>
            </w:r>
          </w:p>
        </w:tc>
        <w:tc>
          <w:tcPr>
            <w:tcW w:w="6576" w:type="dxa"/>
            <w:tcBorders>
              <w:top w:val="nil"/>
              <w:bottom w:val="nil"/>
            </w:tcBorders>
          </w:tcPr>
          <w:p w:rsidR="00212513" w:rsidRDefault="00212513">
            <w:pPr>
              <w:pStyle w:val="ConsPlusNormal"/>
            </w:pPr>
            <w:r>
              <w:rPr>
                <w:noProof/>
                <w:position w:val="-8"/>
              </w:rPr>
              <w:drawing>
                <wp:inline distT="0" distB="0" distL="0" distR="0">
                  <wp:extent cx="4097020" cy="252095"/>
                  <wp:effectExtent l="0" t="0" r="0" b="0"/>
                  <wp:docPr id="28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1" cstate="print">
                            <a:extLst>
                              <a:ext uri="{28A0092B-C50C-407E-A947-70E740481C1C}">
                                <a14:useLocalDpi xmlns:a14="http://schemas.microsoft.com/office/drawing/2010/main" val="0"/>
                              </a:ext>
                            </a:extLst>
                          </a:blip>
                          <a:srcRect/>
                          <a:stretch>
                            <a:fillRect/>
                          </a:stretch>
                        </pic:blipFill>
                        <pic:spPr bwMode="auto">
                          <a:xfrm>
                            <a:off x="0" y="0"/>
                            <a:ext cx="4097020" cy="252095"/>
                          </a:xfrm>
                          <a:prstGeom prst="rect">
                            <a:avLst/>
                          </a:prstGeom>
                          <a:noFill/>
                          <a:ln>
                            <a:noFill/>
                          </a:ln>
                        </pic:spPr>
                      </pic:pic>
                    </a:graphicData>
                  </a:graphic>
                </wp:inline>
              </w:drawing>
            </w:r>
          </w:p>
        </w:tc>
      </w:tr>
      <w:tr w:rsidR="00212513">
        <w:tc>
          <w:tcPr>
            <w:tcW w:w="1417" w:type="dxa"/>
            <w:vMerge/>
            <w:tcBorders>
              <w:top w:val="single" w:sz="4" w:space="0" w:color="auto"/>
              <w:bottom w:val="single" w:sz="4" w:space="0" w:color="auto"/>
            </w:tcBorders>
          </w:tcPr>
          <w:p w:rsidR="00212513" w:rsidRDefault="00212513">
            <w:pPr>
              <w:pStyle w:val="ConsPlusNormal"/>
            </w:pPr>
          </w:p>
        </w:tc>
        <w:tc>
          <w:tcPr>
            <w:tcW w:w="1304" w:type="dxa"/>
            <w:tcBorders>
              <w:top w:val="nil"/>
              <w:bottom w:val="single" w:sz="4" w:space="0" w:color="auto"/>
            </w:tcBorders>
          </w:tcPr>
          <w:p w:rsidR="00212513" w:rsidRDefault="00212513">
            <w:pPr>
              <w:pStyle w:val="ConsPlusNormal"/>
              <w:jc w:val="center"/>
            </w:pPr>
            <w:r>
              <w:t>Свыше 524</w:t>
            </w:r>
          </w:p>
        </w:tc>
        <w:tc>
          <w:tcPr>
            <w:tcW w:w="6576" w:type="dxa"/>
            <w:tcBorders>
              <w:top w:val="nil"/>
              <w:bottom w:val="single" w:sz="4" w:space="0" w:color="auto"/>
            </w:tcBorders>
          </w:tcPr>
          <w:p w:rsidR="00212513" w:rsidRDefault="00212513">
            <w:pPr>
              <w:pStyle w:val="ConsPlusNormal"/>
            </w:pPr>
            <w:r>
              <w:rPr>
                <w:noProof/>
                <w:position w:val="-10"/>
              </w:rPr>
              <w:drawing>
                <wp:inline distT="0" distB="0" distL="0" distR="0">
                  <wp:extent cx="3031490" cy="271145"/>
                  <wp:effectExtent l="0" t="0" r="0" b="0"/>
                  <wp:docPr id="28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2" cstate="print">
                            <a:extLst>
                              <a:ext uri="{28A0092B-C50C-407E-A947-70E740481C1C}">
                                <a14:useLocalDpi xmlns:a14="http://schemas.microsoft.com/office/drawing/2010/main" val="0"/>
                              </a:ext>
                            </a:extLst>
                          </a:blip>
                          <a:srcRect/>
                          <a:stretch>
                            <a:fillRect/>
                          </a:stretch>
                        </pic:blipFill>
                        <pic:spPr bwMode="auto">
                          <a:xfrm>
                            <a:off x="0" y="0"/>
                            <a:ext cx="3031490" cy="271145"/>
                          </a:xfrm>
                          <a:prstGeom prst="rect">
                            <a:avLst/>
                          </a:prstGeom>
                          <a:noFill/>
                          <a:ln>
                            <a:noFill/>
                          </a:ln>
                        </pic:spPr>
                      </pic:pic>
                    </a:graphicData>
                  </a:graphic>
                </wp:inline>
              </w:drawing>
            </w:r>
          </w:p>
        </w:tc>
      </w:tr>
      <w:tr w:rsidR="00212513">
        <w:tc>
          <w:tcPr>
            <w:tcW w:w="1417" w:type="dxa"/>
            <w:vMerge w:val="restart"/>
            <w:tcBorders>
              <w:top w:val="single" w:sz="4" w:space="0" w:color="auto"/>
              <w:bottom w:val="single" w:sz="4" w:space="0" w:color="auto"/>
            </w:tcBorders>
            <w:vAlign w:val="center"/>
          </w:tcPr>
          <w:p w:rsidR="00212513" w:rsidRDefault="00212513">
            <w:pPr>
              <w:pStyle w:val="ConsPlusNormal"/>
              <w:jc w:val="center"/>
            </w:pPr>
            <w:r>
              <w:t>С390</w:t>
            </w:r>
          </w:p>
        </w:tc>
        <w:tc>
          <w:tcPr>
            <w:tcW w:w="1304" w:type="dxa"/>
            <w:tcBorders>
              <w:top w:val="single" w:sz="4" w:space="0" w:color="auto"/>
              <w:bottom w:val="nil"/>
            </w:tcBorders>
          </w:tcPr>
          <w:p w:rsidR="00212513" w:rsidRDefault="00212513">
            <w:pPr>
              <w:pStyle w:val="ConsPlusNormal"/>
              <w:jc w:val="center"/>
            </w:pPr>
            <w:r>
              <w:t>0 - 229</w:t>
            </w:r>
          </w:p>
        </w:tc>
        <w:tc>
          <w:tcPr>
            <w:tcW w:w="6576" w:type="dxa"/>
            <w:tcBorders>
              <w:top w:val="single" w:sz="4" w:space="0" w:color="auto"/>
              <w:bottom w:val="nil"/>
            </w:tcBorders>
          </w:tcPr>
          <w:p w:rsidR="00212513" w:rsidRDefault="00212513">
            <w:pPr>
              <w:pStyle w:val="ConsPlusNormal"/>
            </w:pPr>
            <w:r>
              <w:rPr>
                <w:noProof/>
                <w:position w:val="-10"/>
              </w:rPr>
              <w:drawing>
                <wp:inline distT="0" distB="0" distL="0" distR="0">
                  <wp:extent cx="1285240" cy="273685"/>
                  <wp:effectExtent l="0" t="0" r="0" b="0"/>
                  <wp:docPr id="28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8" cstate="print">
                            <a:extLst>
                              <a:ext uri="{28A0092B-C50C-407E-A947-70E740481C1C}">
                                <a14:useLocalDpi xmlns:a14="http://schemas.microsoft.com/office/drawing/2010/main" val="0"/>
                              </a:ext>
                            </a:extLst>
                          </a:blip>
                          <a:srcRect/>
                          <a:stretch>
                            <a:fillRect/>
                          </a:stretch>
                        </pic:blipFill>
                        <pic:spPr bwMode="auto">
                          <a:xfrm>
                            <a:off x="0" y="0"/>
                            <a:ext cx="1285240" cy="273685"/>
                          </a:xfrm>
                          <a:prstGeom prst="rect">
                            <a:avLst/>
                          </a:prstGeom>
                          <a:noFill/>
                          <a:ln>
                            <a:noFill/>
                          </a:ln>
                        </pic:spPr>
                      </pic:pic>
                    </a:graphicData>
                  </a:graphic>
                </wp:inline>
              </w:drawing>
            </w:r>
          </w:p>
        </w:tc>
      </w:tr>
      <w:tr w:rsidR="00212513">
        <w:tblPrEx>
          <w:tblBorders>
            <w:insideH w:val="none" w:sz="0" w:space="0" w:color="auto"/>
          </w:tblBorders>
        </w:tblPrEx>
        <w:tc>
          <w:tcPr>
            <w:tcW w:w="1417" w:type="dxa"/>
            <w:vMerge/>
            <w:tcBorders>
              <w:top w:val="single" w:sz="4" w:space="0" w:color="auto"/>
              <w:bottom w:val="single" w:sz="4" w:space="0" w:color="auto"/>
            </w:tcBorders>
          </w:tcPr>
          <w:p w:rsidR="00212513" w:rsidRDefault="00212513">
            <w:pPr>
              <w:pStyle w:val="ConsPlusNormal"/>
            </w:pPr>
          </w:p>
        </w:tc>
        <w:tc>
          <w:tcPr>
            <w:tcW w:w="1304" w:type="dxa"/>
            <w:tcBorders>
              <w:top w:val="nil"/>
              <w:bottom w:val="nil"/>
            </w:tcBorders>
          </w:tcPr>
          <w:p w:rsidR="00212513" w:rsidRDefault="00212513">
            <w:pPr>
              <w:pStyle w:val="ConsPlusNormal"/>
              <w:jc w:val="center"/>
            </w:pPr>
            <w:r>
              <w:t>229 - 591</w:t>
            </w:r>
          </w:p>
        </w:tc>
        <w:tc>
          <w:tcPr>
            <w:tcW w:w="6576" w:type="dxa"/>
            <w:tcBorders>
              <w:top w:val="nil"/>
              <w:bottom w:val="nil"/>
            </w:tcBorders>
          </w:tcPr>
          <w:p w:rsidR="00212513" w:rsidRDefault="00212513">
            <w:pPr>
              <w:pStyle w:val="ConsPlusNormal"/>
            </w:pPr>
            <w:r>
              <w:rPr>
                <w:noProof/>
                <w:position w:val="-9"/>
              </w:rPr>
              <w:drawing>
                <wp:inline distT="0" distB="0" distL="0" distR="0">
                  <wp:extent cx="4097020" cy="254000"/>
                  <wp:effectExtent l="0" t="0" r="0" b="0"/>
                  <wp:docPr id="28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3" cstate="print">
                            <a:extLst>
                              <a:ext uri="{28A0092B-C50C-407E-A947-70E740481C1C}">
                                <a14:useLocalDpi xmlns:a14="http://schemas.microsoft.com/office/drawing/2010/main" val="0"/>
                              </a:ext>
                            </a:extLst>
                          </a:blip>
                          <a:srcRect/>
                          <a:stretch>
                            <a:fillRect/>
                          </a:stretch>
                        </pic:blipFill>
                        <pic:spPr bwMode="auto">
                          <a:xfrm>
                            <a:off x="0" y="0"/>
                            <a:ext cx="4097020" cy="254000"/>
                          </a:xfrm>
                          <a:prstGeom prst="rect">
                            <a:avLst/>
                          </a:prstGeom>
                          <a:noFill/>
                          <a:ln>
                            <a:noFill/>
                          </a:ln>
                        </pic:spPr>
                      </pic:pic>
                    </a:graphicData>
                  </a:graphic>
                </wp:inline>
              </w:drawing>
            </w:r>
          </w:p>
        </w:tc>
      </w:tr>
      <w:tr w:rsidR="00212513">
        <w:tc>
          <w:tcPr>
            <w:tcW w:w="1417" w:type="dxa"/>
            <w:vMerge/>
            <w:tcBorders>
              <w:top w:val="single" w:sz="4" w:space="0" w:color="auto"/>
              <w:bottom w:val="single" w:sz="4" w:space="0" w:color="auto"/>
            </w:tcBorders>
          </w:tcPr>
          <w:p w:rsidR="00212513" w:rsidRDefault="00212513">
            <w:pPr>
              <w:pStyle w:val="ConsPlusNormal"/>
            </w:pPr>
          </w:p>
        </w:tc>
        <w:tc>
          <w:tcPr>
            <w:tcW w:w="1304" w:type="dxa"/>
            <w:tcBorders>
              <w:top w:val="nil"/>
              <w:bottom w:val="single" w:sz="4" w:space="0" w:color="auto"/>
            </w:tcBorders>
          </w:tcPr>
          <w:p w:rsidR="00212513" w:rsidRDefault="00212513">
            <w:pPr>
              <w:pStyle w:val="ConsPlusNormal"/>
              <w:jc w:val="center"/>
            </w:pPr>
            <w:r>
              <w:t>Свыше 591</w:t>
            </w:r>
          </w:p>
        </w:tc>
        <w:tc>
          <w:tcPr>
            <w:tcW w:w="6576" w:type="dxa"/>
            <w:tcBorders>
              <w:top w:val="nil"/>
              <w:bottom w:val="single" w:sz="4" w:space="0" w:color="auto"/>
            </w:tcBorders>
          </w:tcPr>
          <w:p w:rsidR="00212513" w:rsidRDefault="00212513">
            <w:pPr>
              <w:pStyle w:val="ConsPlusNormal"/>
            </w:pPr>
            <w:r>
              <w:rPr>
                <w:noProof/>
                <w:position w:val="-10"/>
              </w:rPr>
              <w:drawing>
                <wp:inline distT="0" distB="0" distL="0" distR="0">
                  <wp:extent cx="3017520" cy="271145"/>
                  <wp:effectExtent l="0" t="0" r="0" b="0"/>
                  <wp:docPr id="28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4" cstate="print">
                            <a:extLst>
                              <a:ext uri="{28A0092B-C50C-407E-A947-70E740481C1C}">
                                <a14:useLocalDpi xmlns:a14="http://schemas.microsoft.com/office/drawing/2010/main" val="0"/>
                              </a:ext>
                            </a:extLst>
                          </a:blip>
                          <a:srcRect/>
                          <a:stretch>
                            <a:fillRect/>
                          </a:stretch>
                        </pic:blipFill>
                        <pic:spPr bwMode="auto">
                          <a:xfrm>
                            <a:off x="0" y="0"/>
                            <a:ext cx="3017520" cy="271145"/>
                          </a:xfrm>
                          <a:prstGeom prst="rect">
                            <a:avLst/>
                          </a:prstGeom>
                          <a:noFill/>
                          <a:ln>
                            <a:noFill/>
                          </a:ln>
                        </pic:spPr>
                      </pic:pic>
                    </a:graphicData>
                  </a:graphic>
                </wp:inline>
              </w:drawing>
            </w:r>
          </w:p>
        </w:tc>
      </w:tr>
      <w:tr w:rsidR="00212513">
        <w:tc>
          <w:tcPr>
            <w:tcW w:w="9297" w:type="dxa"/>
            <w:gridSpan w:val="3"/>
            <w:tcBorders>
              <w:top w:val="single" w:sz="4" w:space="0" w:color="auto"/>
              <w:bottom w:val="single" w:sz="4" w:space="0" w:color="auto"/>
            </w:tcBorders>
          </w:tcPr>
          <w:p w:rsidR="00212513" w:rsidRDefault="00212513">
            <w:pPr>
              <w:pStyle w:val="ConsPlusNormal"/>
              <w:ind w:firstLine="283"/>
              <w:jc w:val="both"/>
            </w:pPr>
            <w:bookmarkStart w:id="535" w:name="P15936"/>
            <w:bookmarkEnd w:id="535"/>
            <w:r>
              <w:t xml:space="preserve">&lt;*&gt; При определении поперечных нормальных критических напряжений в формулах заменяются </w:t>
            </w:r>
            <w:r>
              <w:rPr>
                <w:noProof/>
                <w:position w:val="-10"/>
              </w:rPr>
              <w:drawing>
                <wp:inline distT="0" distB="0" distL="0" distR="0">
                  <wp:extent cx="335280" cy="273685"/>
                  <wp:effectExtent l="0" t="0" r="0" b="0"/>
                  <wp:docPr id="28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1"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на </w:t>
            </w:r>
            <w:r>
              <w:rPr>
                <w:noProof/>
                <w:position w:val="-10"/>
              </w:rPr>
              <w:drawing>
                <wp:inline distT="0" distB="0" distL="0" distR="0">
                  <wp:extent cx="335280" cy="273685"/>
                  <wp:effectExtent l="0" t="0" r="0" b="0"/>
                  <wp:docPr id="28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2"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и </w:t>
            </w:r>
            <w:r>
              <w:rPr>
                <w:noProof/>
                <w:position w:val="-10"/>
              </w:rPr>
              <w:drawing>
                <wp:inline distT="0" distB="0" distL="0" distR="0">
                  <wp:extent cx="461010" cy="273685"/>
                  <wp:effectExtent l="0" t="0" r="0" b="0"/>
                  <wp:docPr id="28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4" cstate="print">
                            <a:extLst>
                              <a:ext uri="{28A0092B-C50C-407E-A947-70E740481C1C}">
                                <a14:useLocalDpi xmlns:a14="http://schemas.microsoft.com/office/drawing/2010/main" val="0"/>
                              </a:ext>
                            </a:extLst>
                          </a:blip>
                          <a:srcRect/>
                          <a:stretch>
                            <a:fillRect/>
                          </a:stretch>
                        </pic:blipFill>
                        <pic:spPr bwMode="auto">
                          <a:xfrm>
                            <a:off x="0" y="0"/>
                            <a:ext cx="461010" cy="273685"/>
                          </a:xfrm>
                          <a:prstGeom prst="rect">
                            <a:avLst/>
                          </a:prstGeom>
                          <a:noFill/>
                          <a:ln>
                            <a:noFill/>
                          </a:ln>
                        </pic:spPr>
                      </pic:pic>
                    </a:graphicData>
                  </a:graphic>
                </wp:inline>
              </w:drawing>
            </w:r>
            <w:r>
              <w:t xml:space="preserve"> на </w:t>
            </w:r>
            <w:r>
              <w:rPr>
                <w:noProof/>
                <w:position w:val="-10"/>
              </w:rPr>
              <w:drawing>
                <wp:inline distT="0" distB="0" distL="0" distR="0">
                  <wp:extent cx="484505" cy="273685"/>
                  <wp:effectExtent l="0" t="0" r="0" b="0"/>
                  <wp:docPr id="28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5"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w:t>
            </w:r>
          </w:p>
          <w:p w:rsidR="00212513" w:rsidRDefault="00212513">
            <w:pPr>
              <w:pStyle w:val="ConsPlusNormal"/>
              <w:ind w:firstLine="283"/>
              <w:jc w:val="both"/>
            </w:pPr>
            <w:r>
              <w:t xml:space="preserve">Здесь </w:t>
            </w:r>
            <w:r>
              <w:rPr>
                <w:i/>
              </w:rPr>
              <w:t>m</w:t>
            </w:r>
            <w:r>
              <w:t xml:space="preserve"> - коэффициент условий работы, принимаемый по </w:t>
            </w:r>
            <w:hyperlink w:anchor="P6905">
              <w:r>
                <w:rPr>
                  <w:color w:val="0000FF"/>
                </w:rPr>
                <w:t>таблице 8.15</w:t>
              </w:r>
            </w:hyperlink>
            <w:r>
              <w:t>.</w:t>
            </w:r>
          </w:p>
        </w:tc>
      </w:tr>
    </w:tbl>
    <w:p w:rsidR="00212513" w:rsidRDefault="00212513">
      <w:pPr>
        <w:pStyle w:val="ConsPlusNormal"/>
        <w:ind w:firstLine="540"/>
        <w:jc w:val="both"/>
      </w:pPr>
    </w:p>
    <w:p w:rsidR="00212513" w:rsidRDefault="00212513">
      <w:pPr>
        <w:pStyle w:val="ConsPlusNormal"/>
        <w:ind w:firstLine="540"/>
        <w:jc w:val="both"/>
      </w:pPr>
      <w:bookmarkStart w:id="536" w:name="P15939"/>
      <w:bookmarkEnd w:id="536"/>
      <w:r>
        <w:t>Х.4.1 Приведенное критическое продольное нормальное напряжение для пластинок стенки изгибаемого элемента следует определять по формуле</w:t>
      </w:r>
    </w:p>
    <w:p w:rsidR="00212513" w:rsidRDefault="00212513">
      <w:pPr>
        <w:pStyle w:val="ConsPlusNormal"/>
        <w:ind w:firstLine="540"/>
        <w:jc w:val="both"/>
      </w:pPr>
    </w:p>
    <w:p w:rsidR="00212513" w:rsidRDefault="00212513">
      <w:pPr>
        <w:pStyle w:val="ConsPlusNormal"/>
        <w:jc w:val="center"/>
      </w:pPr>
      <w:bookmarkStart w:id="537" w:name="P15941"/>
      <w:bookmarkEnd w:id="537"/>
      <w:r>
        <w:rPr>
          <w:noProof/>
          <w:position w:val="-35"/>
        </w:rPr>
        <w:drawing>
          <wp:inline distT="0" distB="0" distL="0" distR="0">
            <wp:extent cx="2205990" cy="593725"/>
            <wp:effectExtent l="0" t="0" r="0" b="0"/>
            <wp:docPr id="28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5" cstate="print">
                      <a:extLst>
                        <a:ext uri="{28A0092B-C50C-407E-A947-70E740481C1C}">
                          <a14:useLocalDpi xmlns:a14="http://schemas.microsoft.com/office/drawing/2010/main" val="0"/>
                        </a:ext>
                      </a:extLst>
                    </a:blip>
                    <a:srcRect/>
                    <a:stretch>
                      <a:fillRect/>
                    </a:stretch>
                  </pic:blipFill>
                  <pic:spPr bwMode="auto">
                    <a:xfrm>
                      <a:off x="0" y="0"/>
                      <a:ext cx="2205990" cy="593725"/>
                    </a:xfrm>
                    <a:prstGeom prst="rect">
                      <a:avLst/>
                    </a:prstGeom>
                    <a:noFill/>
                    <a:ln>
                      <a:noFill/>
                    </a:ln>
                  </pic:spPr>
                </pic:pic>
              </a:graphicData>
            </a:graphic>
          </wp:inline>
        </w:drawing>
      </w:r>
      <w:r>
        <w:t>, (Х.12)</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3"/>
        </w:rPr>
        <w:drawing>
          <wp:inline distT="0" distB="0" distL="0" distR="0">
            <wp:extent cx="167640" cy="177800"/>
            <wp:effectExtent l="0" t="0" r="0" b="0"/>
            <wp:docPr id="28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6"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коэффициент упругого защемления стенки, принимаемый для элементов с болтовыми соединениями равным 1,4, для сварных элементов - по таблице Х.4;</w:t>
      </w:r>
    </w:p>
    <w:p w:rsidR="00212513" w:rsidRDefault="00212513">
      <w:pPr>
        <w:pStyle w:val="ConsPlusNormal"/>
        <w:spacing w:before="220"/>
        <w:ind w:firstLine="540"/>
        <w:jc w:val="both"/>
      </w:pPr>
      <w:r>
        <w:rPr>
          <w:noProof/>
        </w:rPr>
        <w:drawing>
          <wp:inline distT="0" distB="0" distL="0" distR="0">
            <wp:extent cx="146685" cy="146050"/>
            <wp:effectExtent l="0" t="0" r="0" b="0"/>
            <wp:docPr id="28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7"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xml:space="preserve"> - коэффициент, принимаемый по </w:t>
      </w:r>
      <w:hyperlink w:anchor="P15965">
        <w:r>
          <w:rPr>
            <w:color w:val="0000FF"/>
          </w:rPr>
          <w:t>таблице Х.5</w:t>
        </w:r>
      </w:hyperlink>
      <w:r>
        <w:t>.</w:t>
      </w:r>
    </w:p>
    <w:p w:rsidR="00212513" w:rsidRDefault="00212513">
      <w:pPr>
        <w:pStyle w:val="ConsPlusNormal"/>
        <w:ind w:firstLine="540"/>
        <w:jc w:val="both"/>
      </w:pPr>
    </w:p>
    <w:p w:rsidR="00212513" w:rsidRDefault="00212513">
      <w:pPr>
        <w:pStyle w:val="ConsPlusNormal"/>
        <w:jc w:val="right"/>
      </w:pPr>
      <w:bookmarkStart w:id="538" w:name="P15946"/>
      <w:bookmarkEnd w:id="538"/>
      <w:r>
        <w:t>Таблица Х.4</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04"/>
        <w:gridCol w:w="1092"/>
        <w:gridCol w:w="1092"/>
        <w:gridCol w:w="1092"/>
        <w:gridCol w:w="1092"/>
        <w:gridCol w:w="1092"/>
        <w:gridCol w:w="1097"/>
        <w:gridCol w:w="1304"/>
      </w:tblGrid>
      <w:tr w:rsidR="00212513">
        <w:tc>
          <w:tcPr>
            <w:tcW w:w="1204" w:type="dxa"/>
            <w:vAlign w:val="center"/>
          </w:tcPr>
          <w:p w:rsidR="00212513" w:rsidRDefault="00212513">
            <w:pPr>
              <w:pStyle w:val="ConsPlusNormal"/>
              <w:jc w:val="center"/>
            </w:pPr>
            <w:r>
              <w:rPr>
                <w:noProof/>
                <w:position w:val="-3"/>
              </w:rPr>
              <w:lastRenderedPageBreak/>
              <w:drawing>
                <wp:inline distT="0" distB="0" distL="0" distR="0">
                  <wp:extent cx="136525" cy="178435"/>
                  <wp:effectExtent l="0" t="0" r="0" b="0"/>
                  <wp:docPr id="28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8"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p>
        </w:tc>
        <w:tc>
          <w:tcPr>
            <w:tcW w:w="1092" w:type="dxa"/>
            <w:vAlign w:val="center"/>
          </w:tcPr>
          <w:p w:rsidR="00212513" w:rsidRDefault="00212513">
            <w:pPr>
              <w:pStyle w:val="ConsPlusNormal"/>
              <w:jc w:val="center"/>
            </w:pPr>
            <w:r>
              <w:t>0,25</w:t>
            </w:r>
          </w:p>
        </w:tc>
        <w:tc>
          <w:tcPr>
            <w:tcW w:w="1092" w:type="dxa"/>
            <w:vAlign w:val="center"/>
          </w:tcPr>
          <w:p w:rsidR="00212513" w:rsidRDefault="00212513">
            <w:pPr>
              <w:pStyle w:val="ConsPlusNormal"/>
              <w:jc w:val="center"/>
            </w:pPr>
            <w:r>
              <w:t>0,5</w:t>
            </w:r>
          </w:p>
        </w:tc>
        <w:tc>
          <w:tcPr>
            <w:tcW w:w="1092" w:type="dxa"/>
            <w:vAlign w:val="center"/>
          </w:tcPr>
          <w:p w:rsidR="00212513" w:rsidRDefault="00212513">
            <w:pPr>
              <w:pStyle w:val="ConsPlusNormal"/>
              <w:jc w:val="center"/>
            </w:pPr>
            <w:r>
              <w:t>1,0</w:t>
            </w:r>
          </w:p>
        </w:tc>
        <w:tc>
          <w:tcPr>
            <w:tcW w:w="1092" w:type="dxa"/>
            <w:vAlign w:val="center"/>
          </w:tcPr>
          <w:p w:rsidR="00212513" w:rsidRDefault="00212513">
            <w:pPr>
              <w:pStyle w:val="ConsPlusNormal"/>
              <w:jc w:val="center"/>
            </w:pPr>
            <w:r>
              <w:t>2,0</w:t>
            </w:r>
          </w:p>
        </w:tc>
        <w:tc>
          <w:tcPr>
            <w:tcW w:w="1092" w:type="dxa"/>
            <w:vAlign w:val="center"/>
          </w:tcPr>
          <w:p w:rsidR="00212513" w:rsidRDefault="00212513">
            <w:pPr>
              <w:pStyle w:val="ConsPlusNormal"/>
              <w:jc w:val="center"/>
            </w:pPr>
            <w:r>
              <w:t>4,0</w:t>
            </w:r>
          </w:p>
        </w:tc>
        <w:tc>
          <w:tcPr>
            <w:tcW w:w="1097" w:type="dxa"/>
            <w:vAlign w:val="center"/>
          </w:tcPr>
          <w:p w:rsidR="00212513" w:rsidRDefault="00212513">
            <w:pPr>
              <w:pStyle w:val="ConsPlusNormal"/>
              <w:jc w:val="center"/>
            </w:pPr>
            <w:r>
              <w:t>10,0</w:t>
            </w:r>
          </w:p>
        </w:tc>
        <w:tc>
          <w:tcPr>
            <w:tcW w:w="1304" w:type="dxa"/>
            <w:vAlign w:val="center"/>
          </w:tcPr>
          <w:p w:rsidR="00212513" w:rsidRDefault="00212513">
            <w:pPr>
              <w:pStyle w:val="ConsPlusNormal"/>
              <w:jc w:val="center"/>
            </w:pPr>
            <w:r>
              <w:t>Свыше 10</w:t>
            </w:r>
          </w:p>
        </w:tc>
      </w:tr>
      <w:tr w:rsidR="00212513">
        <w:tc>
          <w:tcPr>
            <w:tcW w:w="1204" w:type="dxa"/>
            <w:vAlign w:val="center"/>
          </w:tcPr>
          <w:p w:rsidR="00212513" w:rsidRDefault="00212513">
            <w:pPr>
              <w:pStyle w:val="ConsPlusNormal"/>
              <w:jc w:val="center"/>
            </w:pPr>
            <w:r>
              <w:rPr>
                <w:noProof/>
                <w:position w:val="-3"/>
              </w:rPr>
              <w:drawing>
                <wp:inline distT="0" distB="0" distL="0" distR="0">
                  <wp:extent cx="167640" cy="178435"/>
                  <wp:effectExtent l="0" t="0" r="0" b="0"/>
                  <wp:docPr id="28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9"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p>
        </w:tc>
        <w:tc>
          <w:tcPr>
            <w:tcW w:w="1092" w:type="dxa"/>
            <w:vAlign w:val="center"/>
          </w:tcPr>
          <w:p w:rsidR="00212513" w:rsidRDefault="00212513">
            <w:pPr>
              <w:pStyle w:val="ConsPlusNormal"/>
              <w:jc w:val="center"/>
            </w:pPr>
            <w:r>
              <w:t>1,21</w:t>
            </w:r>
          </w:p>
        </w:tc>
        <w:tc>
          <w:tcPr>
            <w:tcW w:w="1092" w:type="dxa"/>
            <w:vAlign w:val="center"/>
          </w:tcPr>
          <w:p w:rsidR="00212513" w:rsidRDefault="00212513">
            <w:pPr>
              <w:pStyle w:val="ConsPlusNormal"/>
              <w:jc w:val="center"/>
            </w:pPr>
            <w:r>
              <w:t>1,33</w:t>
            </w:r>
          </w:p>
        </w:tc>
        <w:tc>
          <w:tcPr>
            <w:tcW w:w="1092" w:type="dxa"/>
            <w:vAlign w:val="center"/>
          </w:tcPr>
          <w:p w:rsidR="00212513" w:rsidRDefault="00212513">
            <w:pPr>
              <w:pStyle w:val="ConsPlusNormal"/>
              <w:jc w:val="center"/>
            </w:pPr>
            <w:r>
              <w:t>1,46</w:t>
            </w:r>
          </w:p>
        </w:tc>
        <w:tc>
          <w:tcPr>
            <w:tcW w:w="1092" w:type="dxa"/>
            <w:vAlign w:val="center"/>
          </w:tcPr>
          <w:p w:rsidR="00212513" w:rsidRDefault="00212513">
            <w:pPr>
              <w:pStyle w:val="ConsPlusNormal"/>
              <w:jc w:val="center"/>
            </w:pPr>
            <w:r>
              <w:t>1,55</w:t>
            </w:r>
          </w:p>
        </w:tc>
        <w:tc>
          <w:tcPr>
            <w:tcW w:w="1092" w:type="dxa"/>
            <w:vAlign w:val="center"/>
          </w:tcPr>
          <w:p w:rsidR="00212513" w:rsidRDefault="00212513">
            <w:pPr>
              <w:pStyle w:val="ConsPlusNormal"/>
              <w:jc w:val="center"/>
            </w:pPr>
            <w:r>
              <w:t>1,60</w:t>
            </w:r>
          </w:p>
        </w:tc>
        <w:tc>
          <w:tcPr>
            <w:tcW w:w="1097" w:type="dxa"/>
            <w:vAlign w:val="center"/>
          </w:tcPr>
          <w:p w:rsidR="00212513" w:rsidRDefault="00212513">
            <w:pPr>
              <w:pStyle w:val="ConsPlusNormal"/>
              <w:jc w:val="center"/>
            </w:pPr>
            <w:r>
              <w:t>1,63</w:t>
            </w:r>
          </w:p>
        </w:tc>
        <w:tc>
          <w:tcPr>
            <w:tcW w:w="1304" w:type="dxa"/>
            <w:vAlign w:val="center"/>
          </w:tcPr>
          <w:p w:rsidR="00212513" w:rsidRDefault="00212513">
            <w:pPr>
              <w:pStyle w:val="ConsPlusNormal"/>
              <w:jc w:val="center"/>
            </w:pPr>
            <w:r>
              <w:t>1,65</w:t>
            </w:r>
          </w:p>
        </w:tc>
      </w:tr>
    </w:tbl>
    <w:p w:rsidR="00212513" w:rsidRDefault="00212513">
      <w:pPr>
        <w:pStyle w:val="ConsPlusNormal"/>
        <w:ind w:firstLine="540"/>
        <w:jc w:val="both"/>
      </w:pPr>
    </w:p>
    <w:p w:rsidR="00212513" w:rsidRDefault="00212513">
      <w:pPr>
        <w:pStyle w:val="ConsPlusNormal"/>
        <w:jc w:val="right"/>
      </w:pPr>
      <w:bookmarkStart w:id="539" w:name="P15965"/>
      <w:bookmarkEnd w:id="539"/>
      <w:r>
        <w:t>Таблица Х.5</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48"/>
        <w:gridCol w:w="787"/>
        <w:gridCol w:w="787"/>
        <w:gridCol w:w="787"/>
        <w:gridCol w:w="787"/>
        <w:gridCol w:w="787"/>
        <w:gridCol w:w="787"/>
        <w:gridCol w:w="787"/>
        <w:gridCol w:w="787"/>
        <w:gridCol w:w="788"/>
        <w:gridCol w:w="1134"/>
      </w:tblGrid>
      <w:tr w:rsidR="00212513">
        <w:tc>
          <w:tcPr>
            <w:tcW w:w="848" w:type="dxa"/>
            <w:vMerge w:val="restart"/>
            <w:tcBorders>
              <w:top w:val="single" w:sz="4" w:space="0" w:color="auto"/>
              <w:bottom w:val="single" w:sz="4" w:space="0" w:color="auto"/>
            </w:tcBorders>
            <w:vAlign w:val="center"/>
          </w:tcPr>
          <w:p w:rsidR="00212513" w:rsidRDefault="00212513">
            <w:pPr>
              <w:pStyle w:val="ConsPlusNormal"/>
              <w:jc w:val="center"/>
            </w:pPr>
            <w:r>
              <w:rPr>
                <w:noProof/>
                <w:position w:val="-6"/>
              </w:rPr>
              <w:drawing>
                <wp:inline distT="0" distB="0" distL="0" distR="0">
                  <wp:extent cx="136525" cy="220345"/>
                  <wp:effectExtent l="0" t="0" r="0" b="0"/>
                  <wp:docPr id="28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0" cstate="print">
                            <a:extLst>
                              <a:ext uri="{28A0092B-C50C-407E-A947-70E740481C1C}">
                                <a14:useLocalDpi xmlns:a14="http://schemas.microsoft.com/office/drawing/2010/main" val="0"/>
                              </a:ext>
                            </a:extLst>
                          </a:blip>
                          <a:srcRect/>
                          <a:stretch>
                            <a:fillRect/>
                          </a:stretch>
                        </pic:blipFill>
                        <pic:spPr bwMode="auto">
                          <a:xfrm>
                            <a:off x="0" y="0"/>
                            <a:ext cx="136525" cy="220345"/>
                          </a:xfrm>
                          <a:prstGeom prst="rect">
                            <a:avLst/>
                          </a:prstGeom>
                          <a:noFill/>
                          <a:ln>
                            <a:noFill/>
                          </a:ln>
                        </pic:spPr>
                      </pic:pic>
                    </a:graphicData>
                  </a:graphic>
                </wp:inline>
              </w:drawing>
            </w:r>
          </w:p>
        </w:tc>
        <w:tc>
          <w:tcPr>
            <w:tcW w:w="8218" w:type="dxa"/>
            <w:gridSpan w:val="10"/>
            <w:tcBorders>
              <w:top w:val="single" w:sz="4" w:space="0" w:color="auto"/>
              <w:bottom w:val="single" w:sz="4" w:space="0" w:color="auto"/>
            </w:tcBorders>
            <w:vAlign w:val="center"/>
          </w:tcPr>
          <w:p w:rsidR="00212513" w:rsidRDefault="00212513">
            <w:pPr>
              <w:pStyle w:val="ConsPlusNormal"/>
              <w:jc w:val="center"/>
            </w:pPr>
            <w:r>
              <w:t xml:space="preserve">Значение коэффициента </w:t>
            </w:r>
            <w:r>
              <w:rPr>
                <w:noProof/>
                <w:position w:val="-1"/>
              </w:rPr>
              <w:drawing>
                <wp:inline distT="0" distB="0" distL="0" distR="0">
                  <wp:extent cx="136525" cy="157480"/>
                  <wp:effectExtent l="0" t="0" r="0" b="0"/>
                  <wp:docPr id="28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1"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при </w:t>
            </w:r>
            <w:r>
              <w:rPr>
                <w:noProof/>
                <w:position w:val="-3"/>
              </w:rPr>
              <w:drawing>
                <wp:inline distT="0" distB="0" distL="0" distR="0">
                  <wp:extent cx="167640" cy="178435"/>
                  <wp:effectExtent l="0" t="0" r="0" b="0"/>
                  <wp:docPr id="28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2"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p>
        </w:tc>
      </w:tr>
      <w:tr w:rsidR="00212513">
        <w:tc>
          <w:tcPr>
            <w:tcW w:w="848" w:type="dxa"/>
            <w:vMerge/>
            <w:tcBorders>
              <w:top w:val="single" w:sz="4" w:space="0" w:color="auto"/>
              <w:bottom w:val="single" w:sz="4" w:space="0" w:color="auto"/>
            </w:tcBorders>
          </w:tcPr>
          <w:p w:rsidR="00212513" w:rsidRDefault="00212513">
            <w:pPr>
              <w:pStyle w:val="ConsPlusNormal"/>
            </w:pPr>
          </w:p>
        </w:tc>
        <w:tc>
          <w:tcPr>
            <w:tcW w:w="787" w:type="dxa"/>
            <w:tcBorders>
              <w:top w:val="single" w:sz="4" w:space="0" w:color="auto"/>
              <w:bottom w:val="single" w:sz="4" w:space="0" w:color="auto"/>
            </w:tcBorders>
            <w:vAlign w:val="center"/>
          </w:tcPr>
          <w:p w:rsidR="00212513" w:rsidRDefault="00212513">
            <w:pPr>
              <w:pStyle w:val="ConsPlusNormal"/>
              <w:jc w:val="center"/>
            </w:pPr>
            <w:r>
              <w:t>0,4</w:t>
            </w:r>
          </w:p>
        </w:tc>
        <w:tc>
          <w:tcPr>
            <w:tcW w:w="787" w:type="dxa"/>
            <w:tcBorders>
              <w:top w:val="single" w:sz="4" w:space="0" w:color="auto"/>
              <w:bottom w:val="single" w:sz="4" w:space="0" w:color="auto"/>
            </w:tcBorders>
            <w:vAlign w:val="center"/>
          </w:tcPr>
          <w:p w:rsidR="00212513" w:rsidRDefault="00212513">
            <w:pPr>
              <w:pStyle w:val="ConsPlusNormal"/>
              <w:jc w:val="center"/>
            </w:pPr>
            <w:r>
              <w:t>0,5</w:t>
            </w:r>
          </w:p>
        </w:tc>
        <w:tc>
          <w:tcPr>
            <w:tcW w:w="787" w:type="dxa"/>
            <w:tcBorders>
              <w:top w:val="single" w:sz="4" w:space="0" w:color="auto"/>
              <w:bottom w:val="single" w:sz="4" w:space="0" w:color="auto"/>
            </w:tcBorders>
            <w:vAlign w:val="center"/>
          </w:tcPr>
          <w:p w:rsidR="00212513" w:rsidRDefault="00212513">
            <w:pPr>
              <w:pStyle w:val="ConsPlusNormal"/>
              <w:jc w:val="center"/>
            </w:pPr>
            <w:r>
              <w:t>0,6</w:t>
            </w:r>
          </w:p>
        </w:tc>
        <w:tc>
          <w:tcPr>
            <w:tcW w:w="787" w:type="dxa"/>
            <w:tcBorders>
              <w:top w:val="single" w:sz="4" w:space="0" w:color="auto"/>
              <w:bottom w:val="single" w:sz="4" w:space="0" w:color="auto"/>
            </w:tcBorders>
            <w:vAlign w:val="center"/>
          </w:tcPr>
          <w:p w:rsidR="00212513" w:rsidRDefault="00212513">
            <w:pPr>
              <w:pStyle w:val="ConsPlusNormal"/>
              <w:jc w:val="center"/>
            </w:pPr>
            <w:r>
              <w:t>0,67</w:t>
            </w:r>
          </w:p>
        </w:tc>
        <w:tc>
          <w:tcPr>
            <w:tcW w:w="787" w:type="dxa"/>
            <w:tcBorders>
              <w:top w:val="single" w:sz="4" w:space="0" w:color="auto"/>
              <w:bottom w:val="single" w:sz="4" w:space="0" w:color="auto"/>
            </w:tcBorders>
            <w:vAlign w:val="center"/>
          </w:tcPr>
          <w:p w:rsidR="00212513" w:rsidRDefault="00212513">
            <w:pPr>
              <w:pStyle w:val="ConsPlusNormal"/>
              <w:jc w:val="center"/>
            </w:pPr>
            <w:r>
              <w:t>0,75</w:t>
            </w:r>
          </w:p>
        </w:tc>
        <w:tc>
          <w:tcPr>
            <w:tcW w:w="787" w:type="dxa"/>
            <w:tcBorders>
              <w:top w:val="single" w:sz="4" w:space="0" w:color="auto"/>
              <w:bottom w:val="single" w:sz="4" w:space="0" w:color="auto"/>
            </w:tcBorders>
            <w:vAlign w:val="center"/>
          </w:tcPr>
          <w:p w:rsidR="00212513" w:rsidRDefault="00212513">
            <w:pPr>
              <w:pStyle w:val="ConsPlusNormal"/>
              <w:jc w:val="center"/>
            </w:pPr>
            <w:r>
              <w:t>0,8</w:t>
            </w:r>
          </w:p>
        </w:tc>
        <w:tc>
          <w:tcPr>
            <w:tcW w:w="787" w:type="dxa"/>
            <w:tcBorders>
              <w:top w:val="single" w:sz="4" w:space="0" w:color="auto"/>
              <w:bottom w:val="single" w:sz="4" w:space="0" w:color="auto"/>
            </w:tcBorders>
            <w:vAlign w:val="center"/>
          </w:tcPr>
          <w:p w:rsidR="00212513" w:rsidRDefault="00212513">
            <w:pPr>
              <w:pStyle w:val="ConsPlusNormal"/>
              <w:jc w:val="center"/>
            </w:pPr>
            <w:r>
              <w:t>0,9</w:t>
            </w:r>
          </w:p>
        </w:tc>
        <w:tc>
          <w:tcPr>
            <w:tcW w:w="787" w:type="dxa"/>
            <w:tcBorders>
              <w:top w:val="single" w:sz="4" w:space="0" w:color="auto"/>
              <w:bottom w:val="single" w:sz="4" w:space="0" w:color="auto"/>
            </w:tcBorders>
            <w:vAlign w:val="center"/>
          </w:tcPr>
          <w:p w:rsidR="00212513" w:rsidRDefault="00212513">
            <w:pPr>
              <w:pStyle w:val="ConsPlusNormal"/>
              <w:jc w:val="center"/>
            </w:pPr>
            <w:r>
              <w:t>1,0</w:t>
            </w:r>
          </w:p>
        </w:tc>
        <w:tc>
          <w:tcPr>
            <w:tcW w:w="788" w:type="dxa"/>
            <w:tcBorders>
              <w:top w:val="single" w:sz="4" w:space="0" w:color="auto"/>
              <w:bottom w:val="single" w:sz="4" w:space="0" w:color="auto"/>
            </w:tcBorders>
            <w:vAlign w:val="center"/>
          </w:tcPr>
          <w:p w:rsidR="00212513" w:rsidRDefault="00212513">
            <w:pPr>
              <w:pStyle w:val="ConsPlusNormal"/>
              <w:jc w:val="center"/>
            </w:pPr>
            <w:r>
              <w:t>1,5</w:t>
            </w:r>
          </w:p>
        </w:tc>
        <w:tc>
          <w:tcPr>
            <w:tcW w:w="1134" w:type="dxa"/>
            <w:tcBorders>
              <w:top w:val="single" w:sz="4" w:space="0" w:color="auto"/>
              <w:bottom w:val="single" w:sz="4" w:space="0" w:color="auto"/>
            </w:tcBorders>
            <w:vAlign w:val="center"/>
          </w:tcPr>
          <w:p w:rsidR="00212513" w:rsidRDefault="00212513">
            <w:pPr>
              <w:pStyle w:val="ConsPlusNormal"/>
              <w:jc w:val="center"/>
            </w:pPr>
            <w:r>
              <w:t>2 и более</w:t>
            </w:r>
          </w:p>
        </w:tc>
      </w:tr>
      <w:tr w:rsidR="00212513">
        <w:tblPrEx>
          <w:tblBorders>
            <w:insideH w:val="none" w:sz="0" w:space="0" w:color="auto"/>
          </w:tblBorders>
        </w:tblPrEx>
        <w:tc>
          <w:tcPr>
            <w:tcW w:w="848" w:type="dxa"/>
            <w:tcBorders>
              <w:top w:val="single" w:sz="4" w:space="0" w:color="auto"/>
              <w:bottom w:val="nil"/>
            </w:tcBorders>
          </w:tcPr>
          <w:p w:rsidR="00212513" w:rsidRDefault="00212513">
            <w:pPr>
              <w:pStyle w:val="ConsPlusNormal"/>
              <w:jc w:val="center"/>
            </w:pPr>
            <w:r>
              <w:t>0</w:t>
            </w:r>
          </w:p>
        </w:tc>
        <w:tc>
          <w:tcPr>
            <w:tcW w:w="787" w:type="dxa"/>
            <w:tcBorders>
              <w:top w:val="single" w:sz="4" w:space="0" w:color="auto"/>
              <w:bottom w:val="nil"/>
            </w:tcBorders>
          </w:tcPr>
          <w:p w:rsidR="00212513" w:rsidRDefault="00212513">
            <w:pPr>
              <w:pStyle w:val="ConsPlusNormal"/>
              <w:jc w:val="center"/>
            </w:pPr>
            <w:r>
              <w:t>8,41</w:t>
            </w:r>
          </w:p>
        </w:tc>
        <w:tc>
          <w:tcPr>
            <w:tcW w:w="787" w:type="dxa"/>
            <w:tcBorders>
              <w:top w:val="single" w:sz="4" w:space="0" w:color="auto"/>
              <w:bottom w:val="nil"/>
            </w:tcBorders>
          </w:tcPr>
          <w:p w:rsidR="00212513" w:rsidRDefault="00212513">
            <w:pPr>
              <w:pStyle w:val="ConsPlusNormal"/>
              <w:jc w:val="center"/>
            </w:pPr>
            <w:r>
              <w:t>6,25</w:t>
            </w:r>
          </w:p>
        </w:tc>
        <w:tc>
          <w:tcPr>
            <w:tcW w:w="787" w:type="dxa"/>
            <w:tcBorders>
              <w:top w:val="single" w:sz="4" w:space="0" w:color="auto"/>
              <w:bottom w:val="nil"/>
            </w:tcBorders>
          </w:tcPr>
          <w:p w:rsidR="00212513" w:rsidRDefault="00212513">
            <w:pPr>
              <w:pStyle w:val="ConsPlusNormal"/>
              <w:jc w:val="center"/>
            </w:pPr>
            <w:r>
              <w:t>5,14</w:t>
            </w:r>
          </w:p>
        </w:tc>
        <w:tc>
          <w:tcPr>
            <w:tcW w:w="787" w:type="dxa"/>
            <w:tcBorders>
              <w:top w:val="single" w:sz="4" w:space="0" w:color="auto"/>
              <w:bottom w:val="nil"/>
            </w:tcBorders>
          </w:tcPr>
          <w:p w:rsidR="00212513" w:rsidRDefault="00212513">
            <w:pPr>
              <w:pStyle w:val="ConsPlusNormal"/>
              <w:jc w:val="center"/>
            </w:pPr>
            <w:r>
              <w:t>4,75</w:t>
            </w:r>
          </w:p>
        </w:tc>
        <w:tc>
          <w:tcPr>
            <w:tcW w:w="787" w:type="dxa"/>
            <w:tcBorders>
              <w:top w:val="single" w:sz="4" w:space="0" w:color="auto"/>
              <w:bottom w:val="nil"/>
            </w:tcBorders>
          </w:tcPr>
          <w:p w:rsidR="00212513" w:rsidRDefault="00212513">
            <w:pPr>
              <w:pStyle w:val="ConsPlusNormal"/>
              <w:jc w:val="center"/>
            </w:pPr>
            <w:r>
              <w:t>4,36</w:t>
            </w:r>
          </w:p>
        </w:tc>
        <w:tc>
          <w:tcPr>
            <w:tcW w:w="787" w:type="dxa"/>
            <w:tcBorders>
              <w:top w:val="single" w:sz="4" w:space="0" w:color="auto"/>
              <w:bottom w:val="nil"/>
            </w:tcBorders>
          </w:tcPr>
          <w:p w:rsidR="00212513" w:rsidRDefault="00212513">
            <w:pPr>
              <w:pStyle w:val="ConsPlusNormal"/>
              <w:jc w:val="center"/>
            </w:pPr>
            <w:r>
              <w:t>4,2</w:t>
            </w:r>
          </w:p>
        </w:tc>
        <w:tc>
          <w:tcPr>
            <w:tcW w:w="787" w:type="dxa"/>
            <w:tcBorders>
              <w:top w:val="single" w:sz="4" w:space="0" w:color="auto"/>
              <w:bottom w:val="nil"/>
            </w:tcBorders>
          </w:tcPr>
          <w:p w:rsidR="00212513" w:rsidRDefault="00212513">
            <w:pPr>
              <w:pStyle w:val="ConsPlusNormal"/>
              <w:jc w:val="center"/>
            </w:pPr>
            <w:r>
              <w:t>4,04</w:t>
            </w:r>
          </w:p>
        </w:tc>
        <w:tc>
          <w:tcPr>
            <w:tcW w:w="787" w:type="dxa"/>
            <w:tcBorders>
              <w:top w:val="single" w:sz="4" w:space="0" w:color="auto"/>
              <w:bottom w:val="nil"/>
            </w:tcBorders>
          </w:tcPr>
          <w:p w:rsidR="00212513" w:rsidRDefault="00212513">
            <w:pPr>
              <w:pStyle w:val="ConsPlusNormal"/>
              <w:jc w:val="center"/>
            </w:pPr>
            <w:r>
              <w:t>4,0</w:t>
            </w:r>
          </w:p>
        </w:tc>
        <w:tc>
          <w:tcPr>
            <w:tcW w:w="788" w:type="dxa"/>
            <w:tcBorders>
              <w:top w:val="single" w:sz="4" w:space="0" w:color="auto"/>
              <w:bottom w:val="nil"/>
            </w:tcBorders>
          </w:tcPr>
          <w:p w:rsidR="00212513" w:rsidRDefault="00212513">
            <w:pPr>
              <w:pStyle w:val="ConsPlusNormal"/>
              <w:jc w:val="center"/>
            </w:pPr>
            <w:r>
              <w:t>4,34</w:t>
            </w:r>
          </w:p>
        </w:tc>
        <w:tc>
          <w:tcPr>
            <w:tcW w:w="1134" w:type="dxa"/>
            <w:tcBorders>
              <w:top w:val="single" w:sz="4" w:space="0" w:color="auto"/>
              <w:bottom w:val="nil"/>
            </w:tcBorders>
          </w:tcPr>
          <w:p w:rsidR="00212513" w:rsidRDefault="00212513">
            <w:pPr>
              <w:pStyle w:val="ConsPlusNormal"/>
              <w:jc w:val="center"/>
            </w:pPr>
            <w:r>
              <w:t>4,0</w:t>
            </w:r>
          </w:p>
        </w:tc>
      </w:tr>
      <w:tr w:rsidR="00212513">
        <w:tblPrEx>
          <w:tblBorders>
            <w:insideH w:val="none" w:sz="0" w:space="0" w:color="auto"/>
          </w:tblBorders>
        </w:tblPrEx>
        <w:tc>
          <w:tcPr>
            <w:tcW w:w="848" w:type="dxa"/>
            <w:tcBorders>
              <w:top w:val="nil"/>
              <w:bottom w:val="nil"/>
            </w:tcBorders>
          </w:tcPr>
          <w:p w:rsidR="00212513" w:rsidRDefault="00212513">
            <w:pPr>
              <w:pStyle w:val="ConsPlusNormal"/>
              <w:jc w:val="center"/>
            </w:pPr>
            <w:r>
              <w:t>0,67</w:t>
            </w:r>
          </w:p>
        </w:tc>
        <w:tc>
          <w:tcPr>
            <w:tcW w:w="787" w:type="dxa"/>
            <w:tcBorders>
              <w:top w:val="nil"/>
              <w:bottom w:val="nil"/>
            </w:tcBorders>
          </w:tcPr>
          <w:p w:rsidR="00212513" w:rsidRDefault="00212513">
            <w:pPr>
              <w:pStyle w:val="ConsPlusNormal"/>
              <w:jc w:val="center"/>
            </w:pPr>
            <w:r>
              <w:t>10,8</w:t>
            </w:r>
          </w:p>
        </w:tc>
        <w:tc>
          <w:tcPr>
            <w:tcW w:w="787" w:type="dxa"/>
            <w:tcBorders>
              <w:top w:val="nil"/>
              <w:bottom w:val="nil"/>
            </w:tcBorders>
          </w:tcPr>
          <w:p w:rsidR="00212513" w:rsidRDefault="00212513">
            <w:pPr>
              <w:pStyle w:val="ConsPlusNormal"/>
              <w:jc w:val="center"/>
            </w:pPr>
            <w:r>
              <w:t>8,0</w:t>
            </w:r>
          </w:p>
        </w:tc>
        <w:tc>
          <w:tcPr>
            <w:tcW w:w="787" w:type="dxa"/>
            <w:tcBorders>
              <w:top w:val="nil"/>
              <w:bottom w:val="nil"/>
            </w:tcBorders>
          </w:tcPr>
          <w:p w:rsidR="00212513" w:rsidRDefault="00212513">
            <w:pPr>
              <w:pStyle w:val="ConsPlusNormal"/>
              <w:jc w:val="center"/>
            </w:pPr>
            <w:r>
              <w:t>7,1</w:t>
            </w:r>
          </w:p>
        </w:tc>
        <w:tc>
          <w:tcPr>
            <w:tcW w:w="787" w:type="dxa"/>
            <w:tcBorders>
              <w:top w:val="nil"/>
              <w:bottom w:val="nil"/>
            </w:tcBorders>
          </w:tcPr>
          <w:p w:rsidR="00212513" w:rsidRDefault="00212513">
            <w:pPr>
              <w:pStyle w:val="ConsPlusNormal"/>
              <w:jc w:val="center"/>
            </w:pPr>
            <w:r>
              <w:t>6,6</w:t>
            </w:r>
          </w:p>
        </w:tc>
        <w:tc>
          <w:tcPr>
            <w:tcW w:w="787" w:type="dxa"/>
            <w:tcBorders>
              <w:top w:val="nil"/>
              <w:bottom w:val="nil"/>
            </w:tcBorders>
          </w:tcPr>
          <w:p w:rsidR="00212513" w:rsidRDefault="00212513">
            <w:pPr>
              <w:pStyle w:val="ConsPlusNormal"/>
              <w:jc w:val="center"/>
            </w:pPr>
            <w:r>
              <w:t>6,1</w:t>
            </w:r>
          </w:p>
        </w:tc>
        <w:tc>
          <w:tcPr>
            <w:tcW w:w="787" w:type="dxa"/>
            <w:tcBorders>
              <w:top w:val="nil"/>
              <w:bottom w:val="nil"/>
            </w:tcBorders>
          </w:tcPr>
          <w:p w:rsidR="00212513" w:rsidRDefault="00212513">
            <w:pPr>
              <w:pStyle w:val="ConsPlusNormal"/>
              <w:jc w:val="center"/>
            </w:pPr>
            <w:r>
              <w:t>6,0</w:t>
            </w:r>
          </w:p>
        </w:tc>
        <w:tc>
          <w:tcPr>
            <w:tcW w:w="787" w:type="dxa"/>
            <w:tcBorders>
              <w:top w:val="nil"/>
              <w:bottom w:val="nil"/>
            </w:tcBorders>
          </w:tcPr>
          <w:p w:rsidR="00212513" w:rsidRDefault="00212513">
            <w:pPr>
              <w:pStyle w:val="ConsPlusNormal"/>
              <w:jc w:val="center"/>
            </w:pPr>
            <w:r>
              <w:t>5,9</w:t>
            </w:r>
          </w:p>
        </w:tc>
        <w:tc>
          <w:tcPr>
            <w:tcW w:w="787" w:type="dxa"/>
            <w:tcBorders>
              <w:top w:val="nil"/>
              <w:bottom w:val="nil"/>
            </w:tcBorders>
          </w:tcPr>
          <w:p w:rsidR="00212513" w:rsidRDefault="00212513">
            <w:pPr>
              <w:pStyle w:val="ConsPlusNormal"/>
              <w:jc w:val="center"/>
            </w:pPr>
            <w:r>
              <w:t>5,8</w:t>
            </w:r>
          </w:p>
        </w:tc>
        <w:tc>
          <w:tcPr>
            <w:tcW w:w="788" w:type="dxa"/>
            <w:tcBorders>
              <w:top w:val="nil"/>
              <w:bottom w:val="nil"/>
            </w:tcBorders>
          </w:tcPr>
          <w:p w:rsidR="00212513" w:rsidRDefault="00212513">
            <w:pPr>
              <w:pStyle w:val="ConsPlusNormal"/>
              <w:jc w:val="center"/>
            </w:pPr>
            <w:r>
              <w:t>6,1</w:t>
            </w:r>
          </w:p>
        </w:tc>
        <w:tc>
          <w:tcPr>
            <w:tcW w:w="1134" w:type="dxa"/>
            <w:tcBorders>
              <w:top w:val="nil"/>
              <w:bottom w:val="nil"/>
            </w:tcBorders>
          </w:tcPr>
          <w:p w:rsidR="00212513" w:rsidRDefault="00212513">
            <w:pPr>
              <w:pStyle w:val="ConsPlusNormal"/>
              <w:jc w:val="center"/>
            </w:pPr>
            <w:r>
              <w:t>5,8</w:t>
            </w:r>
          </w:p>
        </w:tc>
      </w:tr>
      <w:tr w:rsidR="00212513">
        <w:tblPrEx>
          <w:tblBorders>
            <w:insideH w:val="none" w:sz="0" w:space="0" w:color="auto"/>
          </w:tblBorders>
        </w:tblPrEx>
        <w:tc>
          <w:tcPr>
            <w:tcW w:w="848" w:type="dxa"/>
            <w:tcBorders>
              <w:top w:val="nil"/>
              <w:bottom w:val="nil"/>
            </w:tcBorders>
          </w:tcPr>
          <w:p w:rsidR="00212513" w:rsidRDefault="00212513">
            <w:pPr>
              <w:pStyle w:val="ConsPlusNormal"/>
              <w:jc w:val="center"/>
            </w:pPr>
            <w:r>
              <w:t>0,80</w:t>
            </w:r>
          </w:p>
        </w:tc>
        <w:tc>
          <w:tcPr>
            <w:tcW w:w="787" w:type="dxa"/>
            <w:tcBorders>
              <w:top w:val="nil"/>
              <w:bottom w:val="nil"/>
            </w:tcBorders>
          </w:tcPr>
          <w:p w:rsidR="00212513" w:rsidRDefault="00212513">
            <w:pPr>
              <w:pStyle w:val="ConsPlusNormal"/>
              <w:jc w:val="center"/>
            </w:pPr>
            <w:r>
              <w:t>13,3</w:t>
            </w:r>
          </w:p>
        </w:tc>
        <w:tc>
          <w:tcPr>
            <w:tcW w:w="787" w:type="dxa"/>
            <w:tcBorders>
              <w:top w:val="nil"/>
              <w:bottom w:val="nil"/>
            </w:tcBorders>
          </w:tcPr>
          <w:p w:rsidR="00212513" w:rsidRDefault="00212513">
            <w:pPr>
              <w:pStyle w:val="ConsPlusNormal"/>
              <w:jc w:val="center"/>
            </w:pPr>
            <w:r>
              <w:t>9,6</w:t>
            </w:r>
          </w:p>
        </w:tc>
        <w:tc>
          <w:tcPr>
            <w:tcW w:w="787" w:type="dxa"/>
            <w:tcBorders>
              <w:top w:val="nil"/>
              <w:bottom w:val="nil"/>
            </w:tcBorders>
          </w:tcPr>
          <w:p w:rsidR="00212513" w:rsidRDefault="00212513">
            <w:pPr>
              <w:pStyle w:val="ConsPlusNormal"/>
              <w:jc w:val="center"/>
            </w:pPr>
            <w:r>
              <w:t>8,3</w:t>
            </w:r>
          </w:p>
        </w:tc>
        <w:tc>
          <w:tcPr>
            <w:tcW w:w="787" w:type="dxa"/>
            <w:tcBorders>
              <w:top w:val="nil"/>
              <w:bottom w:val="nil"/>
            </w:tcBorders>
          </w:tcPr>
          <w:p w:rsidR="00212513" w:rsidRDefault="00212513">
            <w:pPr>
              <w:pStyle w:val="ConsPlusNormal"/>
              <w:jc w:val="center"/>
            </w:pPr>
            <w:r>
              <w:t>7,7</w:t>
            </w:r>
          </w:p>
        </w:tc>
        <w:tc>
          <w:tcPr>
            <w:tcW w:w="787" w:type="dxa"/>
            <w:tcBorders>
              <w:top w:val="nil"/>
              <w:bottom w:val="nil"/>
            </w:tcBorders>
          </w:tcPr>
          <w:p w:rsidR="00212513" w:rsidRDefault="00212513">
            <w:pPr>
              <w:pStyle w:val="ConsPlusNormal"/>
              <w:jc w:val="center"/>
            </w:pPr>
            <w:r>
              <w:t>7,1</w:t>
            </w:r>
          </w:p>
        </w:tc>
        <w:tc>
          <w:tcPr>
            <w:tcW w:w="787" w:type="dxa"/>
            <w:tcBorders>
              <w:top w:val="nil"/>
              <w:bottom w:val="nil"/>
            </w:tcBorders>
          </w:tcPr>
          <w:p w:rsidR="00212513" w:rsidRDefault="00212513">
            <w:pPr>
              <w:pStyle w:val="ConsPlusNormal"/>
              <w:jc w:val="center"/>
            </w:pPr>
            <w:r>
              <w:t>6,9</w:t>
            </w:r>
          </w:p>
        </w:tc>
        <w:tc>
          <w:tcPr>
            <w:tcW w:w="787" w:type="dxa"/>
            <w:tcBorders>
              <w:top w:val="nil"/>
              <w:bottom w:val="nil"/>
            </w:tcBorders>
          </w:tcPr>
          <w:p w:rsidR="00212513" w:rsidRDefault="00212513">
            <w:pPr>
              <w:pStyle w:val="ConsPlusNormal"/>
              <w:jc w:val="center"/>
            </w:pPr>
            <w:r>
              <w:t>6,7</w:t>
            </w:r>
          </w:p>
        </w:tc>
        <w:tc>
          <w:tcPr>
            <w:tcW w:w="787" w:type="dxa"/>
            <w:tcBorders>
              <w:top w:val="nil"/>
              <w:bottom w:val="nil"/>
            </w:tcBorders>
          </w:tcPr>
          <w:p w:rsidR="00212513" w:rsidRDefault="00212513">
            <w:pPr>
              <w:pStyle w:val="ConsPlusNormal"/>
              <w:jc w:val="center"/>
            </w:pPr>
            <w:r>
              <w:t>6,6</w:t>
            </w:r>
          </w:p>
        </w:tc>
        <w:tc>
          <w:tcPr>
            <w:tcW w:w="788" w:type="dxa"/>
            <w:tcBorders>
              <w:top w:val="nil"/>
              <w:bottom w:val="nil"/>
            </w:tcBorders>
          </w:tcPr>
          <w:p w:rsidR="00212513" w:rsidRDefault="00212513">
            <w:pPr>
              <w:pStyle w:val="ConsPlusNormal"/>
              <w:jc w:val="center"/>
            </w:pPr>
            <w:r>
              <w:t>7,1</w:t>
            </w:r>
          </w:p>
        </w:tc>
        <w:tc>
          <w:tcPr>
            <w:tcW w:w="1134" w:type="dxa"/>
            <w:tcBorders>
              <w:top w:val="nil"/>
              <w:bottom w:val="nil"/>
            </w:tcBorders>
          </w:tcPr>
          <w:p w:rsidR="00212513" w:rsidRDefault="00212513">
            <w:pPr>
              <w:pStyle w:val="ConsPlusNormal"/>
              <w:jc w:val="center"/>
            </w:pPr>
            <w:r>
              <w:t>6,6</w:t>
            </w:r>
          </w:p>
        </w:tc>
      </w:tr>
      <w:tr w:rsidR="00212513">
        <w:tblPrEx>
          <w:tblBorders>
            <w:insideH w:val="none" w:sz="0" w:space="0" w:color="auto"/>
          </w:tblBorders>
        </w:tblPrEx>
        <w:tc>
          <w:tcPr>
            <w:tcW w:w="848" w:type="dxa"/>
            <w:tcBorders>
              <w:top w:val="nil"/>
              <w:bottom w:val="nil"/>
            </w:tcBorders>
          </w:tcPr>
          <w:p w:rsidR="00212513" w:rsidRDefault="00212513">
            <w:pPr>
              <w:pStyle w:val="ConsPlusNormal"/>
              <w:jc w:val="center"/>
            </w:pPr>
            <w:r>
              <w:t>1,00</w:t>
            </w:r>
          </w:p>
        </w:tc>
        <w:tc>
          <w:tcPr>
            <w:tcW w:w="787" w:type="dxa"/>
            <w:tcBorders>
              <w:top w:val="nil"/>
              <w:bottom w:val="nil"/>
            </w:tcBorders>
          </w:tcPr>
          <w:p w:rsidR="00212513" w:rsidRDefault="00212513">
            <w:pPr>
              <w:pStyle w:val="ConsPlusNormal"/>
              <w:jc w:val="center"/>
            </w:pPr>
            <w:r>
              <w:t>15,1</w:t>
            </w:r>
          </w:p>
        </w:tc>
        <w:tc>
          <w:tcPr>
            <w:tcW w:w="787" w:type="dxa"/>
            <w:tcBorders>
              <w:top w:val="nil"/>
              <w:bottom w:val="nil"/>
            </w:tcBorders>
          </w:tcPr>
          <w:p w:rsidR="00212513" w:rsidRDefault="00212513">
            <w:pPr>
              <w:pStyle w:val="ConsPlusNormal"/>
              <w:jc w:val="center"/>
            </w:pPr>
            <w:r>
              <w:t>110</w:t>
            </w:r>
          </w:p>
        </w:tc>
        <w:tc>
          <w:tcPr>
            <w:tcW w:w="787" w:type="dxa"/>
            <w:tcBorders>
              <w:top w:val="nil"/>
              <w:bottom w:val="nil"/>
            </w:tcBorders>
          </w:tcPr>
          <w:p w:rsidR="00212513" w:rsidRDefault="00212513">
            <w:pPr>
              <w:pStyle w:val="ConsPlusNormal"/>
              <w:jc w:val="center"/>
            </w:pPr>
            <w:r>
              <w:t>9,7</w:t>
            </w:r>
          </w:p>
        </w:tc>
        <w:tc>
          <w:tcPr>
            <w:tcW w:w="787" w:type="dxa"/>
            <w:tcBorders>
              <w:top w:val="nil"/>
              <w:bottom w:val="nil"/>
            </w:tcBorders>
          </w:tcPr>
          <w:p w:rsidR="00212513" w:rsidRDefault="00212513">
            <w:pPr>
              <w:pStyle w:val="ConsPlusNormal"/>
              <w:jc w:val="center"/>
            </w:pPr>
            <w:r>
              <w:t>9,0</w:t>
            </w:r>
          </w:p>
        </w:tc>
        <w:tc>
          <w:tcPr>
            <w:tcW w:w="787" w:type="dxa"/>
            <w:tcBorders>
              <w:top w:val="nil"/>
              <w:bottom w:val="nil"/>
            </w:tcBorders>
          </w:tcPr>
          <w:p w:rsidR="00212513" w:rsidRDefault="00212513">
            <w:pPr>
              <w:pStyle w:val="ConsPlusNormal"/>
              <w:jc w:val="center"/>
            </w:pPr>
            <w:r>
              <w:t>8,4</w:t>
            </w:r>
          </w:p>
        </w:tc>
        <w:tc>
          <w:tcPr>
            <w:tcW w:w="787" w:type="dxa"/>
            <w:tcBorders>
              <w:top w:val="nil"/>
              <w:bottom w:val="nil"/>
            </w:tcBorders>
          </w:tcPr>
          <w:p w:rsidR="00212513" w:rsidRDefault="00212513">
            <w:pPr>
              <w:pStyle w:val="ConsPlusNormal"/>
              <w:jc w:val="center"/>
            </w:pPr>
            <w:r>
              <w:t>8,1</w:t>
            </w:r>
          </w:p>
        </w:tc>
        <w:tc>
          <w:tcPr>
            <w:tcW w:w="787" w:type="dxa"/>
            <w:tcBorders>
              <w:top w:val="nil"/>
              <w:bottom w:val="nil"/>
            </w:tcBorders>
          </w:tcPr>
          <w:p w:rsidR="00212513" w:rsidRDefault="00212513">
            <w:pPr>
              <w:pStyle w:val="ConsPlusNormal"/>
              <w:jc w:val="center"/>
            </w:pPr>
            <w:r>
              <w:t>7,9</w:t>
            </w:r>
          </w:p>
        </w:tc>
        <w:tc>
          <w:tcPr>
            <w:tcW w:w="787" w:type="dxa"/>
            <w:tcBorders>
              <w:top w:val="nil"/>
              <w:bottom w:val="nil"/>
            </w:tcBorders>
          </w:tcPr>
          <w:p w:rsidR="00212513" w:rsidRDefault="00212513">
            <w:pPr>
              <w:pStyle w:val="ConsPlusNormal"/>
              <w:jc w:val="center"/>
            </w:pPr>
            <w:r>
              <w:t>7,8</w:t>
            </w:r>
          </w:p>
        </w:tc>
        <w:tc>
          <w:tcPr>
            <w:tcW w:w="788" w:type="dxa"/>
            <w:tcBorders>
              <w:top w:val="nil"/>
              <w:bottom w:val="nil"/>
            </w:tcBorders>
          </w:tcPr>
          <w:p w:rsidR="00212513" w:rsidRDefault="00212513">
            <w:pPr>
              <w:pStyle w:val="ConsPlusNormal"/>
              <w:jc w:val="center"/>
            </w:pPr>
            <w:r>
              <w:t>8,4</w:t>
            </w:r>
          </w:p>
        </w:tc>
        <w:tc>
          <w:tcPr>
            <w:tcW w:w="1134" w:type="dxa"/>
            <w:tcBorders>
              <w:top w:val="nil"/>
              <w:bottom w:val="nil"/>
            </w:tcBorders>
          </w:tcPr>
          <w:p w:rsidR="00212513" w:rsidRDefault="00212513">
            <w:pPr>
              <w:pStyle w:val="ConsPlusNormal"/>
              <w:jc w:val="center"/>
            </w:pPr>
            <w:r>
              <w:t>7,8</w:t>
            </w:r>
          </w:p>
        </w:tc>
      </w:tr>
      <w:tr w:rsidR="00212513">
        <w:tblPrEx>
          <w:tblBorders>
            <w:insideH w:val="none" w:sz="0" w:space="0" w:color="auto"/>
          </w:tblBorders>
        </w:tblPrEx>
        <w:tc>
          <w:tcPr>
            <w:tcW w:w="848" w:type="dxa"/>
            <w:tcBorders>
              <w:top w:val="nil"/>
              <w:bottom w:val="nil"/>
            </w:tcBorders>
          </w:tcPr>
          <w:p w:rsidR="00212513" w:rsidRDefault="00212513">
            <w:pPr>
              <w:pStyle w:val="ConsPlusNormal"/>
              <w:jc w:val="center"/>
            </w:pPr>
            <w:r>
              <w:t>1,33</w:t>
            </w:r>
          </w:p>
        </w:tc>
        <w:tc>
          <w:tcPr>
            <w:tcW w:w="787" w:type="dxa"/>
            <w:tcBorders>
              <w:top w:val="nil"/>
              <w:bottom w:val="nil"/>
            </w:tcBorders>
          </w:tcPr>
          <w:p w:rsidR="00212513" w:rsidRDefault="00212513">
            <w:pPr>
              <w:pStyle w:val="ConsPlusNormal"/>
              <w:jc w:val="center"/>
            </w:pPr>
            <w:r>
              <w:t>18,7</w:t>
            </w:r>
          </w:p>
        </w:tc>
        <w:tc>
          <w:tcPr>
            <w:tcW w:w="787" w:type="dxa"/>
            <w:tcBorders>
              <w:top w:val="nil"/>
              <w:bottom w:val="nil"/>
            </w:tcBorders>
          </w:tcPr>
          <w:p w:rsidR="00212513" w:rsidRDefault="00212513">
            <w:pPr>
              <w:pStyle w:val="ConsPlusNormal"/>
              <w:jc w:val="center"/>
            </w:pPr>
            <w:r>
              <w:t>14,2</w:t>
            </w:r>
          </w:p>
        </w:tc>
        <w:tc>
          <w:tcPr>
            <w:tcW w:w="787" w:type="dxa"/>
            <w:tcBorders>
              <w:top w:val="nil"/>
              <w:bottom w:val="nil"/>
            </w:tcBorders>
          </w:tcPr>
          <w:p w:rsidR="00212513" w:rsidRDefault="00212513">
            <w:pPr>
              <w:pStyle w:val="ConsPlusNormal"/>
              <w:jc w:val="center"/>
            </w:pPr>
            <w:r>
              <w:t>12,9</w:t>
            </w:r>
          </w:p>
        </w:tc>
        <w:tc>
          <w:tcPr>
            <w:tcW w:w="787" w:type="dxa"/>
            <w:tcBorders>
              <w:top w:val="nil"/>
              <w:bottom w:val="nil"/>
            </w:tcBorders>
          </w:tcPr>
          <w:p w:rsidR="00212513" w:rsidRDefault="00212513">
            <w:pPr>
              <w:pStyle w:val="ConsPlusNormal"/>
              <w:jc w:val="center"/>
            </w:pPr>
            <w:r>
              <w:t>12,0</w:t>
            </w:r>
          </w:p>
        </w:tc>
        <w:tc>
          <w:tcPr>
            <w:tcW w:w="787" w:type="dxa"/>
            <w:tcBorders>
              <w:top w:val="nil"/>
              <w:bottom w:val="nil"/>
            </w:tcBorders>
          </w:tcPr>
          <w:p w:rsidR="00212513" w:rsidRDefault="00212513">
            <w:pPr>
              <w:pStyle w:val="ConsPlusNormal"/>
              <w:jc w:val="center"/>
            </w:pPr>
            <w:r>
              <w:t>11,0</w:t>
            </w:r>
          </w:p>
        </w:tc>
        <w:tc>
          <w:tcPr>
            <w:tcW w:w="787" w:type="dxa"/>
            <w:tcBorders>
              <w:top w:val="nil"/>
              <w:bottom w:val="nil"/>
            </w:tcBorders>
          </w:tcPr>
          <w:p w:rsidR="00212513" w:rsidRDefault="00212513">
            <w:pPr>
              <w:pStyle w:val="ConsPlusNormal"/>
              <w:jc w:val="center"/>
            </w:pPr>
            <w:r>
              <w:t>11,2</w:t>
            </w:r>
          </w:p>
        </w:tc>
        <w:tc>
          <w:tcPr>
            <w:tcW w:w="787" w:type="dxa"/>
            <w:tcBorders>
              <w:top w:val="nil"/>
              <w:bottom w:val="nil"/>
            </w:tcBorders>
          </w:tcPr>
          <w:p w:rsidR="00212513" w:rsidRDefault="00212513">
            <w:pPr>
              <w:pStyle w:val="ConsPlusNormal"/>
              <w:jc w:val="center"/>
            </w:pPr>
            <w:r>
              <w:t>11,1</w:t>
            </w:r>
          </w:p>
        </w:tc>
        <w:tc>
          <w:tcPr>
            <w:tcW w:w="787" w:type="dxa"/>
            <w:tcBorders>
              <w:top w:val="nil"/>
              <w:bottom w:val="nil"/>
            </w:tcBorders>
          </w:tcPr>
          <w:p w:rsidR="00212513" w:rsidRDefault="00212513">
            <w:pPr>
              <w:pStyle w:val="ConsPlusNormal"/>
              <w:jc w:val="center"/>
            </w:pPr>
            <w:r>
              <w:t>11,0</w:t>
            </w:r>
          </w:p>
        </w:tc>
        <w:tc>
          <w:tcPr>
            <w:tcW w:w="788" w:type="dxa"/>
            <w:tcBorders>
              <w:top w:val="nil"/>
              <w:bottom w:val="nil"/>
            </w:tcBorders>
          </w:tcPr>
          <w:p w:rsidR="00212513" w:rsidRDefault="00212513">
            <w:pPr>
              <w:pStyle w:val="ConsPlusNormal"/>
              <w:jc w:val="center"/>
            </w:pPr>
            <w:r>
              <w:t>11,5</w:t>
            </w:r>
          </w:p>
        </w:tc>
        <w:tc>
          <w:tcPr>
            <w:tcW w:w="1134" w:type="dxa"/>
            <w:tcBorders>
              <w:top w:val="nil"/>
              <w:bottom w:val="nil"/>
            </w:tcBorders>
          </w:tcPr>
          <w:p w:rsidR="00212513" w:rsidRDefault="00212513">
            <w:pPr>
              <w:pStyle w:val="ConsPlusNormal"/>
              <w:jc w:val="center"/>
            </w:pPr>
            <w:r>
              <w:t>11,0</w:t>
            </w:r>
          </w:p>
        </w:tc>
      </w:tr>
      <w:tr w:rsidR="00212513">
        <w:tblPrEx>
          <w:tblBorders>
            <w:insideH w:val="none" w:sz="0" w:space="0" w:color="auto"/>
          </w:tblBorders>
        </w:tblPrEx>
        <w:tc>
          <w:tcPr>
            <w:tcW w:w="848" w:type="dxa"/>
            <w:tcBorders>
              <w:top w:val="nil"/>
              <w:bottom w:val="nil"/>
            </w:tcBorders>
          </w:tcPr>
          <w:p w:rsidR="00212513" w:rsidRDefault="00212513">
            <w:pPr>
              <w:pStyle w:val="ConsPlusNormal"/>
              <w:jc w:val="center"/>
            </w:pPr>
            <w:r>
              <w:t>2,00</w:t>
            </w:r>
          </w:p>
        </w:tc>
        <w:tc>
          <w:tcPr>
            <w:tcW w:w="787" w:type="dxa"/>
            <w:tcBorders>
              <w:top w:val="nil"/>
              <w:bottom w:val="nil"/>
            </w:tcBorders>
          </w:tcPr>
          <w:p w:rsidR="00212513" w:rsidRDefault="00212513">
            <w:pPr>
              <w:pStyle w:val="ConsPlusNormal"/>
              <w:jc w:val="center"/>
            </w:pPr>
            <w:r>
              <w:t>29,1</w:t>
            </w:r>
          </w:p>
        </w:tc>
        <w:tc>
          <w:tcPr>
            <w:tcW w:w="787" w:type="dxa"/>
            <w:tcBorders>
              <w:top w:val="nil"/>
              <w:bottom w:val="nil"/>
            </w:tcBorders>
          </w:tcPr>
          <w:p w:rsidR="00212513" w:rsidRDefault="00212513">
            <w:pPr>
              <w:pStyle w:val="ConsPlusNormal"/>
              <w:jc w:val="center"/>
            </w:pPr>
            <w:r>
              <w:t>25,6</w:t>
            </w:r>
          </w:p>
        </w:tc>
        <w:tc>
          <w:tcPr>
            <w:tcW w:w="787" w:type="dxa"/>
            <w:tcBorders>
              <w:top w:val="nil"/>
              <w:bottom w:val="nil"/>
            </w:tcBorders>
          </w:tcPr>
          <w:p w:rsidR="00212513" w:rsidRDefault="00212513">
            <w:pPr>
              <w:pStyle w:val="ConsPlusNormal"/>
              <w:jc w:val="center"/>
            </w:pPr>
            <w:r>
              <w:t>24,1</w:t>
            </w:r>
          </w:p>
        </w:tc>
        <w:tc>
          <w:tcPr>
            <w:tcW w:w="787" w:type="dxa"/>
            <w:tcBorders>
              <w:top w:val="nil"/>
              <w:bottom w:val="nil"/>
            </w:tcBorders>
          </w:tcPr>
          <w:p w:rsidR="00212513" w:rsidRDefault="00212513">
            <w:pPr>
              <w:pStyle w:val="ConsPlusNormal"/>
              <w:jc w:val="center"/>
            </w:pPr>
            <w:r>
              <w:t>23,9</w:t>
            </w:r>
          </w:p>
        </w:tc>
        <w:tc>
          <w:tcPr>
            <w:tcW w:w="787" w:type="dxa"/>
            <w:tcBorders>
              <w:top w:val="nil"/>
              <w:bottom w:val="nil"/>
            </w:tcBorders>
          </w:tcPr>
          <w:p w:rsidR="00212513" w:rsidRDefault="00212513">
            <w:pPr>
              <w:pStyle w:val="ConsPlusNormal"/>
              <w:jc w:val="center"/>
            </w:pPr>
            <w:r>
              <w:t>24,1</w:t>
            </w:r>
          </w:p>
        </w:tc>
        <w:tc>
          <w:tcPr>
            <w:tcW w:w="787" w:type="dxa"/>
            <w:tcBorders>
              <w:top w:val="nil"/>
              <w:bottom w:val="nil"/>
            </w:tcBorders>
          </w:tcPr>
          <w:p w:rsidR="00212513" w:rsidRDefault="00212513">
            <w:pPr>
              <w:pStyle w:val="ConsPlusNormal"/>
              <w:jc w:val="center"/>
            </w:pPr>
            <w:r>
              <w:t>24,4</w:t>
            </w:r>
          </w:p>
        </w:tc>
        <w:tc>
          <w:tcPr>
            <w:tcW w:w="787" w:type="dxa"/>
            <w:tcBorders>
              <w:top w:val="nil"/>
              <w:bottom w:val="nil"/>
            </w:tcBorders>
          </w:tcPr>
          <w:p w:rsidR="00212513" w:rsidRDefault="00212513">
            <w:pPr>
              <w:pStyle w:val="ConsPlusNormal"/>
              <w:jc w:val="center"/>
            </w:pPr>
            <w:r>
              <w:t>25,6</w:t>
            </w:r>
          </w:p>
        </w:tc>
        <w:tc>
          <w:tcPr>
            <w:tcW w:w="787" w:type="dxa"/>
            <w:tcBorders>
              <w:top w:val="nil"/>
              <w:bottom w:val="nil"/>
            </w:tcBorders>
          </w:tcPr>
          <w:p w:rsidR="00212513" w:rsidRDefault="00212513">
            <w:pPr>
              <w:pStyle w:val="ConsPlusNormal"/>
              <w:jc w:val="center"/>
            </w:pPr>
            <w:r>
              <w:t>24,1</w:t>
            </w:r>
          </w:p>
        </w:tc>
        <w:tc>
          <w:tcPr>
            <w:tcW w:w="788" w:type="dxa"/>
            <w:tcBorders>
              <w:top w:val="nil"/>
              <w:bottom w:val="nil"/>
            </w:tcBorders>
          </w:tcPr>
          <w:p w:rsidR="00212513" w:rsidRDefault="00212513">
            <w:pPr>
              <w:pStyle w:val="ConsPlusNormal"/>
              <w:jc w:val="center"/>
            </w:pPr>
            <w:r>
              <w:t>24,1</w:t>
            </w:r>
          </w:p>
        </w:tc>
        <w:tc>
          <w:tcPr>
            <w:tcW w:w="1134" w:type="dxa"/>
            <w:tcBorders>
              <w:top w:val="nil"/>
              <w:bottom w:val="nil"/>
            </w:tcBorders>
          </w:tcPr>
          <w:p w:rsidR="00212513" w:rsidRDefault="00212513">
            <w:pPr>
              <w:pStyle w:val="ConsPlusNormal"/>
              <w:jc w:val="center"/>
            </w:pPr>
            <w:r>
              <w:t>23,9</w:t>
            </w:r>
          </w:p>
        </w:tc>
      </w:tr>
      <w:tr w:rsidR="00212513">
        <w:tblPrEx>
          <w:tblBorders>
            <w:insideH w:val="none" w:sz="0" w:space="0" w:color="auto"/>
          </w:tblBorders>
        </w:tblPrEx>
        <w:tc>
          <w:tcPr>
            <w:tcW w:w="848" w:type="dxa"/>
            <w:tcBorders>
              <w:top w:val="nil"/>
              <w:bottom w:val="nil"/>
            </w:tcBorders>
          </w:tcPr>
          <w:p w:rsidR="00212513" w:rsidRDefault="00212513">
            <w:pPr>
              <w:pStyle w:val="ConsPlusNormal"/>
              <w:jc w:val="center"/>
            </w:pPr>
            <w:r>
              <w:t>3,00</w:t>
            </w:r>
          </w:p>
        </w:tc>
        <w:tc>
          <w:tcPr>
            <w:tcW w:w="787" w:type="dxa"/>
            <w:tcBorders>
              <w:top w:val="nil"/>
              <w:bottom w:val="nil"/>
            </w:tcBorders>
          </w:tcPr>
          <w:p w:rsidR="00212513" w:rsidRDefault="00212513">
            <w:pPr>
              <w:pStyle w:val="ConsPlusNormal"/>
              <w:jc w:val="center"/>
            </w:pPr>
            <w:r>
              <w:t>54,3</w:t>
            </w:r>
          </w:p>
        </w:tc>
        <w:tc>
          <w:tcPr>
            <w:tcW w:w="787" w:type="dxa"/>
            <w:tcBorders>
              <w:top w:val="nil"/>
              <w:bottom w:val="nil"/>
            </w:tcBorders>
          </w:tcPr>
          <w:p w:rsidR="00212513" w:rsidRDefault="00212513">
            <w:pPr>
              <w:pStyle w:val="ConsPlusNormal"/>
              <w:jc w:val="center"/>
            </w:pPr>
            <w:r>
              <w:t>54,5</w:t>
            </w:r>
          </w:p>
        </w:tc>
        <w:tc>
          <w:tcPr>
            <w:tcW w:w="787" w:type="dxa"/>
            <w:tcBorders>
              <w:top w:val="nil"/>
              <w:bottom w:val="nil"/>
            </w:tcBorders>
          </w:tcPr>
          <w:p w:rsidR="00212513" w:rsidRDefault="00212513">
            <w:pPr>
              <w:pStyle w:val="ConsPlusNormal"/>
              <w:jc w:val="center"/>
            </w:pPr>
            <w:r>
              <w:t>58,0</w:t>
            </w:r>
          </w:p>
        </w:tc>
        <w:tc>
          <w:tcPr>
            <w:tcW w:w="787" w:type="dxa"/>
            <w:tcBorders>
              <w:top w:val="nil"/>
              <w:bottom w:val="nil"/>
            </w:tcBorders>
          </w:tcPr>
          <w:p w:rsidR="00212513" w:rsidRDefault="00212513">
            <w:pPr>
              <w:pStyle w:val="ConsPlusNormal"/>
              <w:jc w:val="center"/>
            </w:pPr>
            <w:r>
              <w:t>53,8</w:t>
            </w:r>
          </w:p>
        </w:tc>
        <w:tc>
          <w:tcPr>
            <w:tcW w:w="787" w:type="dxa"/>
            <w:tcBorders>
              <w:top w:val="nil"/>
              <w:bottom w:val="nil"/>
            </w:tcBorders>
          </w:tcPr>
          <w:p w:rsidR="00212513" w:rsidRDefault="00212513">
            <w:pPr>
              <w:pStyle w:val="ConsPlusNormal"/>
              <w:jc w:val="center"/>
            </w:pPr>
            <w:r>
              <w:t>53,8</w:t>
            </w:r>
          </w:p>
        </w:tc>
        <w:tc>
          <w:tcPr>
            <w:tcW w:w="787" w:type="dxa"/>
            <w:tcBorders>
              <w:top w:val="nil"/>
              <w:bottom w:val="nil"/>
            </w:tcBorders>
          </w:tcPr>
          <w:p w:rsidR="00212513" w:rsidRDefault="00212513">
            <w:pPr>
              <w:pStyle w:val="ConsPlusNormal"/>
              <w:jc w:val="center"/>
            </w:pPr>
            <w:r>
              <w:t>53,8</w:t>
            </w:r>
          </w:p>
        </w:tc>
        <w:tc>
          <w:tcPr>
            <w:tcW w:w="787" w:type="dxa"/>
            <w:tcBorders>
              <w:top w:val="nil"/>
              <w:bottom w:val="nil"/>
            </w:tcBorders>
          </w:tcPr>
          <w:p w:rsidR="00212513" w:rsidRDefault="00212513">
            <w:pPr>
              <w:pStyle w:val="ConsPlusNormal"/>
              <w:jc w:val="center"/>
            </w:pPr>
            <w:r>
              <w:t>53,8</w:t>
            </w:r>
          </w:p>
        </w:tc>
        <w:tc>
          <w:tcPr>
            <w:tcW w:w="787" w:type="dxa"/>
            <w:tcBorders>
              <w:top w:val="nil"/>
              <w:bottom w:val="nil"/>
            </w:tcBorders>
          </w:tcPr>
          <w:p w:rsidR="00212513" w:rsidRDefault="00212513">
            <w:pPr>
              <w:pStyle w:val="ConsPlusNormal"/>
              <w:jc w:val="center"/>
            </w:pPr>
            <w:r>
              <w:t>53,8</w:t>
            </w:r>
          </w:p>
        </w:tc>
        <w:tc>
          <w:tcPr>
            <w:tcW w:w="788" w:type="dxa"/>
            <w:tcBorders>
              <w:top w:val="nil"/>
              <w:bottom w:val="nil"/>
            </w:tcBorders>
          </w:tcPr>
          <w:p w:rsidR="00212513" w:rsidRDefault="00212513">
            <w:pPr>
              <w:pStyle w:val="ConsPlusNormal"/>
              <w:jc w:val="center"/>
            </w:pPr>
            <w:r>
              <w:t>53,8</w:t>
            </w:r>
          </w:p>
        </w:tc>
        <w:tc>
          <w:tcPr>
            <w:tcW w:w="1134" w:type="dxa"/>
            <w:tcBorders>
              <w:top w:val="nil"/>
              <w:bottom w:val="nil"/>
            </w:tcBorders>
          </w:tcPr>
          <w:p w:rsidR="00212513" w:rsidRDefault="00212513">
            <w:pPr>
              <w:pStyle w:val="ConsPlusNormal"/>
              <w:jc w:val="center"/>
            </w:pPr>
            <w:r>
              <w:t>53,8</w:t>
            </w:r>
          </w:p>
        </w:tc>
      </w:tr>
      <w:tr w:rsidR="00212513">
        <w:tblPrEx>
          <w:tblBorders>
            <w:insideH w:val="none" w:sz="0" w:space="0" w:color="auto"/>
          </w:tblBorders>
        </w:tblPrEx>
        <w:tc>
          <w:tcPr>
            <w:tcW w:w="848" w:type="dxa"/>
            <w:tcBorders>
              <w:top w:val="nil"/>
              <w:bottom w:val="single" w:sz="4" w:space="0" w:color="auto"/>
            </w:tcBorders>
          </w:tcPr>
          <w:p w:rsidR="00212513" w:rsidRDefault="00212513">
            <w:pPr>
              <w:pStyle w:val="ConsPlusNormal"/>
              <w:jc w:val="center"/>
            </w:pPr>
            <w:r>
              <w:t>4,00</w:t>
            </w:r>
          </w:p>
        </w:tc>
        <w:tc>
          <w:tcPr>
            <w:tcW w:w="787" w:type="dxa"/>
            <w:tcBorders>
              <w:top w:val="nil"/>
              <w:bottom w:val="single" w:sz="4" w:space="0" w:color="auto"/>
            </w:tcBorders>
          </w:tcPr>
          <w:p w:rsidR="00212513" w:rsidRDefault="00212513">
            <w:pPr>
              <w:pStyle w:val="ConsPlusNormal"/>
              <w:jc w:val="center"/>
            </w:pPr>
            <w:r>
              <w:t>95,7</w:t>
            </w:r>
          </w:p>
        </w:tc>
        <w:tc>
          <w:tcPr>
            <w:tcW w:w="787" w:type="dxa"/>
            <w:tcBorders>
              <w:top w:val="nil"/>
              <w:bottom w:val="single" w:sz="4" w:space="0" w:color="auto"/>
            </w:tcBorders>
          </w:tcPr>
          <w:p w:rsidR="00212513" w:rsidRDefault="00212513">
            <w:pPr>
              <w:pStyle w:val="ConsPlusNormal"/>
              <w:jc w:val="center"/>
            </w:pPr>
            <w:r>
              <w:t>95,7</w:t>
            </w:r>
          </w:p>
        </w:tc>
        <w:tc>
          <w:tcPr>
            <w:tcW w:w="787" w:type="dxa"/>
            <w:tcBorders>
              <w:top w:val="nil"/>
              <w:bottom w:val="single" w:sz="4" w:space="0" w:color="auto"/>
            </w:tcBorders>
          </w:tcPr>
          <w:p w:rsidR="00212513" w:rsidRDefault="00212513">
            <w:pPr>
              <w:pStyle w:val="ConsPlusNormal"/>
              <w:jc w:val="center"/>
            </w:pPr>
            <w:r>
              <w:t>95,7</w:t>
            </w:r>
          </w:p>
        </w:tc>
        <w:tc>
          <w:tcPr>
            <w:tcW w:w="787" w:type="dxa"/>
            <w:tcBorders>
              <w:top w:val="nil"/>
              <w:bottom w:val="single" w:sz="4" w:space="0" w:color="auto"/>
            </w:tcBorders>
          </w:tcPr>
          <w:p w:rsidR="00212513" w:rsidRDefault="00212513">
            <w:pPr>
              <w:pStyle w:val="ConsPlusNormal"/>
              <w:jc w:val="center"/>
            </w:pPr>
            <w:r>
              <w:t>95,7</w:t>
            </w:r>
          </w:p>
        </w:tc>
        <w:tc>
          <w:tcPr>
            <w:tcW w:w="787" w:type="dxa"/>
            <w:tcBorders>
              <w:top w:val="nil"/>
              <w:bottom w:val="single" w:sz="4" w:space="0" w:color="auto"/>
            </w:tcBorders>
          </w:tcPr>
          <w:p w:rsidR="00212513" w:rsidRDefault="00212513">
            <w:pPr>
              <w:pStyle w:val="ConsPlusNormal"/>
              <w:jc w:val="center"/>
            </w:pPr>
            <w:r>
              <w:t>95,7</w:t>
            </w:r>
          </w:p>
        </w:tc>
        <w:tc>
          <w:tcPr>
            <w:tcW w:w="787" w:type="dxa"/>
            <w:tcBorders>
              <w:top w:val="nil"/>
              <w:bottom w:val="single" w:sz="4" w:space="0" w:color="auto"/>
            </w:tcBorders>
          </w:tcPr>
          <w:p w:rsidR="00212513" w:rsidRDefault="00212513">
            <w:pPr>
              <w:pStyle w:val="ConsPlusNormal"/>
              <w:jc w:val="center"/>
            </w:pPr>
            <w:r>
              <w:t>95,7</w:t>
            </w:r>
          </w:p>
        </w:tc>
        <w:tc>
          <w:tcPr>
            <w:tcW w:w="787" w:type="dxa"/>
            <w:tcBorders>
              <w:top w:val="nil"/>
              <w:bottom w:val="single" w:sz="4" w:space="0" w:color="auto"/>
            </w:tcBorders>
          </w:tcPr>
          <w:p w:rsidR="00212513" w:rsidRDefault="00212513">
            <w:pPr>
              <w:pStyle w:val="ConsPlusNormal"/>
              <w:jc w:val="center"/>
            </w:pPr>
            <w:r>
              <w:t>95,7</w:t>
            </w:r>
          </w:p>
        </w:tc>
        <w:tc>
          <w:tcPr>
            <w:tcW w:w="787" w:type="dxa"/>
            <w:tcBorders>
              <w:top w:val="nil"/>
              <w:bottom w:val="single" w:sz="4" w:space="0" w:color="auto"/>
            </w:tcBorders>
          </w:tcPr>
          <w:p w:rsidR="00212513" w:rsidRDefault="00212513">
            <w:pPr>
              <w:pStyle w:val="ConsPlusNormal"/>
              <w:jc w:val="center"/>
            </w:pPr>
            <w:r>
              <w:t>95,7</w:t>
            </w:r>
          </w:p>
        </w:tc>
        <w:tc>
          <w:tcPr>
            <w:tcW w:w="788" w:type="dxa"/>
            <w:tcBorders>
              <w:top w:val="nil"/>
              <w:bottom w:val="single" w:sz="4" w:space="0" w:color="auto"/>
            </w:tcBorders>
          </w:tcPr>
          <w:p w:rsidR="00212513" w:rsidRDefault="00212513">
            <w:pPr>
              <w:pStyle w:val="ConsPlusNormal"/>
              <w:jc w:val="center"/>
            </w:pPr>
            <w:r>
              <w:t>95,7</w:t>
            </w:r>
          </w:p>
        </w:tc>
        <w:tc>
          <w:tcPr>
            <w:tcW w:w="1134" w:type="dxa"/>
            <w:tcBorders>
              <w:top w:val="nil"/>
              <w:bottom w:val="single" w:sz="4" w:space="0" w:color="auto"/>
            </w:tcBorders>
          </w:tcPr>
          <w:p w:rsidR="00212513" w:rsidRDefault="00212513">
            <w:pPr>
              <w:pStyle w:val="ConsPlusNormal"/>
              <w:jc w:val="center"/>
            </w:pPr>
            <w:r>
              <w:t>95,7</w:t>
            </w:r>
          </w:p>
        </w:tc>
      </w:tr>
    </w:tbl>
    <w:p w:rsidR="00212513" w:rsidRDefault="00212513">
      <w:pPr>
        <w:pStyle w:val="ConsPlusNormal"/>
        <w:ind w:firstLine="540"/>
        <w:jc w:val="both"/>
      </w:pPr>
    </w:p>
    <w:p w:rsidR="00212513" w:rsidRDefault="00212513">
      <w:pPr>
        <w:pStyle w:val="ConsPlusNormal"/>
        <w:ind w:firstLine="540"/>
        <w:jc w:val="both"/>
      </w:pPr>
      <w:r>
        <w:t xml:space="preserve">Х.4.2 Приведенное критическое поперечное нормальное напряжение </w:t>
      </w:r>
      <w:r>
        <w:rPr>
          <w:noProof/>
          <w:position w:val="-10"/>
        </w:rPr>
        <w:drawing>
          <wp:inline distT="0" distB="0" distL="0" distR="0">
            <wp:extent cx="484505" cy="273685"/>
            <wp:effectExtent l="0" t="0" r="0" b="0"/>
            <wp:docPr id="28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3"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для пластинок стенки изгибаемого элемента следует определять по формуле</w:t>
      </w:r>
    </w:p>
    <w:p w:rsidR="00212513" w:rsidRDefault="0021251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21251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12513" w:rsidRDefault="0021251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12513" w:rsidRDefault="0021251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12513" w:rsidRDefault="00212513">
            <w:pPr>
              <w:pStyle w:val="ConsPlusNormal"/>
              <w:jc w:val="both"/>
            </w:pPr>
            <w:r>
              <w:rPr>
                <w:color w:val="392C69"/>
              </w:rPr>
              <w:t>КонсультантПлюс: примечание.</w:t>
            </w:r>
          </w:p>
          <w:p w:rsidR="00212513" w:rsidRDefault="00212513">
            <w:pPr>
              <w:pStyle w:val="ConsPlusNormal"/>
              <w:jc w:val="both"/>
            </w:pPr>
            <w:r>
              <w:rPr>
                <w:color w:val="392C69"/>
              </w:rPr>
              <w:t>Формула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212513" w:rsidRDefault="00212513">
            <w:pPr>
              <w:pStyle w:val="ConsPlusNormal"/>
            </w:pPr>
          </w:p>
        </w:tc>
      </w:tr>
    </w:tbl>
    <w:p w:rsidR="00212513" w:rsidRDefault="00212513">
      <w:pPr>
        <w:pStyle w:val="ConsPlusNormal"/>
        <w:spacing w:before="280"/>
        <w:jc w:val="center"/>
      </w:pPr>
      <w:bookmarkStart w:id="540" w:name="P16072"/>
      <w:bookmarkEnd w:id="540"/>
      <w:r>
        <w:rPr>
          <w:noProof/>
          <w:position w:val="-28"/>
        </w:rPr>
        <w:drawing>
          <wp:inline distT="0" distB="0" distL="0" distR="0">
            <wp:extent cx="2291080" cy="502920"/>
            <wp:effectExtent l="0" t="0" r="0" b="0"/>
            <wp:docPr id="28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4" cstate="print">
                      <a:extLst>
                        <a:ext uri="{28A0092B-C50C-407E-A947-70E740481C1C}">
                          <a14:useLocalDpi xmlns:a14="http://schemas.microsoft.com/office/drawing/2010/main" val="0"/>
                        </a:ext>
                      </a:extLst>
                    </a:blip>
                    <a:srcRect/>
                    <a:stretch>
                      <a:fillRect/>
                    </a:stretch>
                  </pic:blipFill>
                  <pic:spPr bwMode="auto">
                    <a:xfrm>
                      <a:off x="0" y="0"/>
                      <a:ext cx="2291080" cy="502920"/>
                    </a:xfrm>
                    <a:prstGeom prst="rect">
                      <a:avLst/>
                    </a:prstGeom>
                    <a:noFill/>
                    <a:ln>
                      <a:noFill/>
                    </a:ln>
                  </pic:spPr>
                </pic:pic>
              </a:graphicData>
            </a:graphic>
          </wp:inline>
        </w:drawing>
      </w:r>
      <w:r>
        <w:t>, (Х.13)</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7"/>
        </w:rPr>
        <w:drawing>
          <wp:inline distT="0" distB="0" distL="0" distR="0">
            <wp:extent cx="167640" cy="230505"/>
            <wp:effectExtent l="0" t="0" r="0" b="0"/>
            <wp:docPr id="28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5" cstate="print">
                      <a:extLst>
                        <a:ext uri="{28A0092B-C50C-407E-A947-70E740481C1C}">
                          <a14:useLocalDpi xmlns:a14="http://schemas.microsoft.com/office/drawing/2010/main" val="0"/>
                        </a:ext>
                      </a:extLst>
                    </a:blip>
                    <a:srcRect/>
                    <a:stretch>
                      <a:fillRect/>
                    </a:stretch>
                  </pic:blipFill>
                  <pic:spPr bwMode="auto">
                    <a:xfrm>
                      <a:off x="0" y="0"/>
                      <a:ext cx="167640" cy="230505"/>
                    </a:xfrm>
                    <a:prstGeom prst="rect">
                      <a:avLst/>
                    </a:prstGeom>
                    <a:noFill/>
                    <a:ln>
                      <a:noFill/>
                    </a:ln>
                  </pic:spPr>
                </pic:pic>
              </a:graphicData>
            </a:graphic>
          </wp:inline>
        </w:drawing>
      </w:r>
      <w:r>
        <w:t xml:space="preserve"> - коэффициент, принимаемый равным единице при нагрузке, распределенной по всей длине пластинки, и по </w:t>
      </w:r>
      <w:hyperlink w:anchor="P16078">
        <w:r>
          <w:rPr>
            <w:color w:val="0000FF"/>
          </w:rPr>
          <w:t>таблице Х.6</w:t>
        </w:r>
      </w:hyperlink>
      <w:r>
        <w:t xml:space="preserve"> - при сосредоточенной нагрузке;</w:t>
      </w:r>
    </w:p>
    <w:p w:rsidR="00212513" w:rsidRDefault="00212513">
      <w:pPr>
        <w:pStyle w:val="ConsPlusNormal"/>
        <w:spacing w:before="220"/>
        <w:ind w:firstLine="540"/>
        <w:jc w:val="both"/>
      </w:pPr>
      <w:r>
        <w:rPr>
          <w:noProof/>
          <w:position w:val="-3"/>
        </w:rPr>
        <w:drawing>
          <wp:inline distT="0" distB="0" distL="0" distR="0">
            <wp:extent cx="167640" cy="177800"/>
            <wp:effectExtent l="0" t="0" r="0" b="0"/>
            <wp:docPr id="28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6"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коэффициент упругого защемления стенки, принимаемый по </w:t>
      </w:r>
      <w:hyperlink w:anchor="P16226">
        <w:r>
          <w:rPr>
            <w:color w:val="0000FF"/>
          </w:rPr>
          <w:t>таблице Х.7</w:t>
        </w:r>
      </w:hyperlink>
      <w:r>
        <w:t>;</w:t>
      </w:r>
    </w:p>
    <w:p w:rsidR="00212513" w:rsidRDefault="00212513">
      <w:pPr>
        <w:pStyle w:val="ConsPlusNormal"/>
        <w:spacing w:before="220"/>
        <w:ind w:firstLine="540"/>
        <w:jc w:val="both"/>
      </w:pPr>
      <w:r>
        <w:rPr>
          <w:i/>
        </w:rPr>
        <w:t>z</w:t>
      </w:r>
      <w:r>
        <w:t xml:space="preserve"> - коэффициент, принимаемый по </w:t>
      </w:r>
      <w:hyperlink w:anchor="P16272">
        <w:r>
          <w:rPr>
            <w:color w:val="0000FF"/>
          </w:rPr>
          <w:t>таблице Х.8</w:t>
        </w:r>
      </w:hyperlink>
      <w:r>
        <w:t>.</w:t>
      </w:r>
    </w:p>
    <w:p w:rsidR="00212513" w:rsidRDefault="00212513">
      <w:pPr>
        <w:pStyle w:val="ConsPlusNormal"/>
        <w:ind w:firstLine="540"/>
        <w:jc w:val="both"/>
      </w:pPr>
    </w:p>
    <w:p w:rsidR="00212513" w:rsidRDefault="00212513">
      <w:pPr>
        <w:pStyle w:val="ConsPlusNormal"/>
        <w:jc w:val="right"/>
      </w:pPr>
      <w:bookmarkStart w:id="541" w:name="P16078"/>
      <w:bookmarkEnd w:id="541"/>
      <w:r>
        <w:t>Таблица Х.6</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666"/>
        <w:gridCol w:w="666"/>
        <w:gridCol w:w="666"/>
        <w:gridCol w:w="666"/>
        <w:gridCol w:w="666"/>
        <w:gridCol w:w="666"/>
        <w:gridCol w:w="666"/>
        <w:gridCol w:w="666"/>
        <w:gridCol w:w="666"/>
        <w:gridCol w:w="666"/>
        <w:gridCol w:w="666"/>
        <w:gridCol w:w="672"/>
      </w:tblGrid>
      <w:tr w:rsidR="00212513">
        <w:tc>
          <w:tcPr>
            <w:tcW w:w="1077" w:type="dxa"/>
            <w:vMerge w:val="restart"/>
            <w:tcBorders>
              <w:top w:val="single" w:sz="4" w:space="0" w:color="auto"/>
              <w:bottom w:val="single" w:sz="4" w:space="0" w:color="auto"/>
            </w:tcBorders>
            <w:vAlign w:val="center"/>
          </w:tcPr>
          <w:p w:rsidR="00212513" w:rsidRDefault="00212513">
            <w:pPr>
              <w:pStyle w:val="ConsPlusNormal"/>
              <w:jc w:val="center"/>
            </w:pPr>
            <w:r>
              <w:rPr>
                <w:noProof/>
                <w:position w:val="-3"/>
              </w:rPr>
              <w:drawing>
                <wp:inline distT="0" distB="0" distL="0" distR="0">
                  <wp:extent cx="167640" cy="178435"/>
                  <wp:effectExtent l="0" t="0" r="0" b="0"/>
                  <wp:docPr id="28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7"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p>
        </w:tc>
        <w:tc>
          <w:tcPr>
            <w:tcW w:w="7998" w:type="dxa"/>
            <w:gridSpan w:val="12"/>
            <w:tcBorders>
              <w:top w:val="single" w:sz="4" w:space="0" w:color="auto"/>
              <w:bottom w:val="single" w:sz="4" w:space="0" w:color="auto"/>
            </w:tcBorders>
            <w:vAlign w:val="center"/>
          </w:tcPr>
          <w:p w:rsidR="00212513" w:rsidRDefault="00212513">
            <w:pPr>
              <w:pStyle w:val="ConsPlusNormal"/>
              <w:jc w:val="center"/>
            </w:pPr>
            <w:r>
              <w:t xml:space="preserve">Значение коэффициента </w:t>
            </w:r>
            <w:r>
              <w:rPr>
                <w:noProof/>
                <w:position w:val="-6"/>
              </w:rPr>
              <w:drawing>
                <wp:inline distT="0" distB="0" distL="0" distR="0">
                  <wp:extent cx="167640" cy="220345"/>
                  <wp:effectExtent l="0" t="0" r="0" b="0"/>
                  <wp:docPr id="28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8" cstate="print">
                            <a:extLst>
                              <a:ext uri="{28A0092B-C50C-407E-A947-70E740481C1C}">
                                <a14:useLocalDpi xmlns:a14="http://schemas.microsoft.com/office/drawing/2010/main" val="0"/>
                              </a:ext>
                            </a:extLst>
                          </a:blip>
                          <a:srcRect/>
                          <a:stretch>
                            <a:fillRect/>
                          </a:stretch>
                        </pic:blipFill>
                        <pic:spPr bwMode="auto">
                          <a:xfrm>
                            <a:off x="0" y="0"/>
                            <a:ext cx="167640" cy="220345"/>
                          </a:xfrm>
                          <a:prstGeom prst="rect">
                            <a:avLst/>
                          </a:prstGeom>
                          <a:noFill/>
                          <a:ln>
                            <a:noFill/>
                          </a:ln>
                        </pic:spPr>
                      </pic:pic>
                    </a:graphicData>
                  </a:graphic>
                </wp:inline>
              </w:drawing>
            </w:r>
            <w:r>
              <w:t xml:space="preserve"> при </w:t>
            </w:r>
            <w:r>
              <w:rPr>
                <w:noProof/>
                <w:position w:val="-3"/>
              </w:rPr>
              <w:drawing>
                <wp:inline distT="0" distB="0" distL="0" distR="0">
                  <wp:extent cx="167640" cy="178435"/>
                  <wp:effectExtent l="0" t="0" r="0" b="0"/>
                  <wp:docPr id="28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9"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p>
        </w:tc>
      </w:tr>
      <w:tr w:rsidR="00212513">
        <w:tc>
          <w:tcPr>
            <w:tcW w:w="1077" w:type="dxa"/>
            <w:vMerge/>
            <w:tcBorders>
              <w:top w:val="single" w:sz="4" w:space="0" w:color="auto"/>
              <w:bottom w:val="single" w:sz="4" w:space="0" w:color="auto"/>
            </w:tcBorders>
          </w:tcPr>
          <w:p w:rsidR="00212513" w:rsidRDefault="00212513">
            <w:pPr>
              <w:pStyle w:val="ConsPlusNormal"/>
            </w:pPr>
          </w:p>
        </w:tc>
        <w:tc>
          <w:tcPr>
            <w:tcW w:w="666" w:type="dxa"/>
            <w:tcBorders>
              <w:top w:val="single" w:sz="4" w:space="0" w:color="auto"/>
              <w:bottom w:val="single" w:sz="4" w:space="0" w:color="auto"/>
            </w:tcBorders>
            <w:vAlign w:val="center"/>
          </w:tcPr>
          <w:p w:rsidR="00212513" w:rsidRDefault="00212513">
            <w:pPr>
              <w:pStyle w:val="ConsPlusNormal"/>
              <w:jc w:val="center"/>
            </w:pPr>
            <w:r>
              <w:t>0,10</w:t>
            </w:r>
          </w:p>
        </w:tc>
        <w:tc>
          <w:tcPr>
            <w:tcW w:w="666" w:type="dxa"/>
            <w:tcBorders>
              <w:top w:val="single" w:sz="4" w:space="0" w:color="auto"/>
              <w:bottom w:val="single" w:sz="4" w:space="0" w:color="auto"/>
            </w:tcBorders>
            <w:vAlign w:val="center"/>
          </w:tcPr>
          <w:p w:rsidR="00212513" w:rsidRDefault="00212513">
            <w:pPr>
              <w:pStyle w:val="ConsPlusNormal"/>
              <w:jc w:val="center"/>
            </w:pPr>
            <w:r>
              <w:t>0,11</w:t>
            </w:r>
          </w:p>
        </w:tc>
        <w:tc>
          <w:tcPr>
            <w:tcW w:w="666" w:type="dxa"/>
            <w:tcBorders>
              <w:top w:val="single" w:sz="4" w:space="0" w:color="auto"/>
              <w:bottom w:val="single" w:sz="4" w:space="0" w:color="auto"/>
            </w:tcBorders>
            <w:vAlign w:val="center"/>
          </w:tcPr>
          <w:p w:rsidR="00212513" w:rsidRDefault="00212513">
            <w:pPr>
              <w:pStyle w:val="ConsPlusNormal"/>
              <w:jc w:val="center"/>
            </w:pPr>
            <w:r>
              <w:t>0,12</w:t>
            </w:r>
          </w:p>
        </w:tc>
        <w:tc>
          <w:tcPr>
            <w:tcW w:w="666" w:type="dxa"/>
            <w:tcBorders>
              <w:top w:val="single" w:sz="4" w:space="0" w:color="auto"/>
              <w:bottom w:val="single" w:sz="4" w:space="0" w:color="auto"/>
            </w:tcBorders>
            <w:vAlign w:val="center"/>
          </w:tcPr>
          <w:p w:rsidR="00212513" w:rsidRDefault="00212513">
            <w:pPr>
              <w:pStyle w:val="ConsPlusNormal"/>
              <w:jc w:val="center"/>
            </w:pPr>
            <w:r>
              <w:t>0,13</w:t>
            </w:r>
          </w:p>
        </w:tc>
        <w:tc>
          <w:tcPr>
            <w:tcW w:w="666" w:type="dxa"/>
            <w:tcBorders>
              <w:top w:val="single" w:sz="4" w:space="0" w:color="auto"/>
              <w:bottom w:val="single" w:sz="4" w:space="0" w:color="auto"/>
            </w:tcBorders>
            <w:vAlign w:val="center"/>
          </w:tcPr>
          <w:p w:rsidR="00212513" w:rsidRDefault="00212513">
            <w:pPr>
              <w:pStyle w:val="ConsPlusNormal"/>
              <w:jc w:val="center"/>
            </w:pPr>
            <w:r>
              <w:t>0,14</w:t>
            </w:r>
          </w:p>
        </w:tc>
        <w:tc>
          <w:tcPr>
            <w:tcW w:w="666" w:type="dxa"/>
            <w:tcBorders>
              <w:top w:val="single" w:sz="4" w:space="0" w:color="auto"/>
              <w:bottom w:val="single" w:sz="4" w:space="0" w:color="auto"/>
            </w:tcBorders>
            <w:vAlign w:val="center"/>
          </w:tcPr>
          <w:p w:rsidR="00212513" w:rsidRDefault="00212513">
            <w:pPr>
              <w:pStyle w:val="ConsPlusNormal"/>
              <w:jc w:val="center"/>
            </w:pPr>
            <w:r>
              <w:t>0,15</w:t>
            </w:r>
          </w:p>
        </w:tc>
        <w:tc>
          <w:tcPr>
            <w:tcW w:w="666" w:type="dxa"/>
            <w:tcBorders>
              <w:top w:val="single" w:sz="4" w:space="0" w:color="auto"/>
              <w:bottom w:val="single" w:sz="4" w:space="0" w:color="auto"/>
            </w:tcBorders>
            <w:vAlign w:val="center"/>
          </w:tcPr>
          <w:p w:rsidR="00212513" w:rsidRDefault="00212513">
            <w:pPr>
              <w:pStyle w:val="ConsPlusNormal"/>
              <w:jc w:val="center"/>
            </w:pPr>
            <w:r>
              <w:t>0,16</w:t>
            </w:r>
          </w:p>
        </w:tc>
        <w:tc>
          <w:tcPr>
            <w:tcW w:w="666" w:type="dxa"/>
            <w:tcBorders>
              <w:top w:val="single" w:sz="4" w:space="0" w:color="auto"/>
              <w:bottom w:val="single" w:sz="4" w:space="0" w:color="auto"/>
            </w:tcBorders>
            <w:vAlign w:val="center"/>
          </w:tcPr>
          <w:p w:rsidR="00212513" w:rsidRDefault="00212513">
            <w:pPr>
              <w:pStyle w:val="ConsPlusNormal"/>
              <w:jc w:val="center"/>
            </w:pPr>
            <w:r>
              <w:t>0,18</w:t>
            </w:r>
          </w:p>
        </w:tc>
        <w:tc>
          <w:tcPr>
            <w:tcW w:w="666" w:type="dxa"/>
            <w:tcBorders>
              <w:top w:val="single" w:sz="4" w:space="0" w:color="auto"/>
              <w:bottom w:val="single" w:sz="4" w:space="0" w:color="auto"/>
            </w:tcBorders>
            <w:vAlign w:val="center"/>
          </w:tcPr>
          <w:p w:rsidR="00212513" w:rsidRDefault="00212513">
            <w:pPr>
              <w:pStyle w:val="ConsPlusNormal"/>
              <w:jc w:val="center"/>
            </w:pPr>
            <w:r>
              <w:t>0,20</w:t>
            </w:r>
          </w:p>
        </w:tc>
        <w:tc>
          <w:tcPr>
            <w:tcW w:w="666" w:type="dxa"/>
            <w:tcBorders>
              <w:top w:val="single" w:sz="4" w:space="0" w:color="auto"/>
              <w:bottom w:val="single" w:sz="4" w:space="0" w:color="auto"/>
            </w:tcBorders>
            <w:vAlign w:val="center"/>
          </w:tcPr>
          <w:p w:rsidR="00212513" w:rsidRDefault="00212513">
            <w:pPr>
              <w:pStyle w:val="ConsPlusNormal"/>
              <w:jc w:val="center"/>
            </w:pPr>
            <w:r>
              <w:t>0,25</w:t>
            </w:r>
          </w:p>
        </w:tc>
        <w:tc>
          <w:tcPr>
            <w:tcW w:w="666" w:type="dxa"/>
            <w:tcBorders>
              <w:top w:val="single" w:sz="4" w:space="0" w:color="auto"/>
              <w:bottom w:val="single" w:sz="4" w:space="0" w:color="auto"/>
            </w:tcBorders>
            <w:vAlign w:val="center"/>
          </w:tcPr>
          <w:p w:rsidR="00212513" w:rsidRDefault="00212513">
            <w:pPr>
              <w:pStyle w:val="ConsPlusNormal"/>
              <w:jc w:val="center"/>
            </w:pPr>
            <w:r>
              <w:t>0,30</w:t>
            </w:r>
          </w:p>
        </w:tc>
        <w:tc>
          <w:tcPr>
            <w:tcW w:w="672" w:type="dxa"/>
            <w:tcBorders>
              <w:top w:val="single" w:sz="4" w:space="0" w:color="auto"/>
              <w:bottom w:val="single" w:sz="4" w:space="0" w:color="auto"/>
            </w:tcBorders>
            <w:vAlign w:val="center"/>
          </w:tcPr>
          <w:p w:rsidR="00212513" w:rsidRDefault="00212513">
            <w:pPr>
              <w:pStyle w:val="ConsPlusNormal"/>
              <w:jc w:val="center"/>
            </w:pPr>
            <w:r>
              <w:t>0,35</w:t>
            </w:r>
          </w:p>
        </w:tc>
      </w:tr>
      <w:tr w:rsidR="00212513">
        <w:tblPrEx>
          <w:tblBorders>
            <w:insideH w:val="none" w:sz="0" w:space="0" w:color="auto"/>
          </w:tblBorders>
        </w:tblPrEx>
        <w:tc>
          <w:tcPr>
            <w:tcW w:w="1077" w:type="dxa"/>
            <w:tcBorders>
              <w:top w:val="single" w:sz="4" w:space="0" w:color="auto"/>
              <w:bottom w:val="nil"/>
            </w:tcBorders>
          </w:tcPr>
          <w:p w:rsidR="00212513" w:rsidRDefault="00212513">
            <w:pPr>
              <w:pStyle w:val="ConsPlusNormal"/>
              <w:jc w:val="center"/>
            </w:pPr>
            <w:r>
              <w:t>0,5</w:t>
            </w:r>
          </w:p>
        </w:tc>
        <w:tc>
          <w:tcPr>
            <w:tcW w:w="666" w:type="dxa"/>
            <w:tcBorders>
              <w:top w:val="single" w:sz="4" w:space="0" w:color="auto"/>
              <w:bottom w:val="nil"/>
            </w:tcBorders>
          </w:tcPr>
          <w:p w:rsidR="00212513" w:rsidRDefault="00212513">
            <w:pPr>
              <w:pStyle w:val="ConsPlusNormal"/>
              <w:jc w:val="center"/>
            </w:pPr>
            <w:r>
              <w:t>1,70</w:t>
            </w:r>
          </w:p>
        </w:tc>
        <w:tc>
          <w:tcPr>
            <w:tcW w:w="666" w:type="dxa"/>
            <w:tcBorders>
              <w:top w:val="single" w:sz="4" w:space="0" w:color="auto"/>
              <w:bottom w:val="nil"/>
            </w:tcBorders>
          </w:tcPr>
          <w:p w:rsidR="00212513" w:rsidRDefault="00212513">
            <w:pPr>
              <w:pStyle w:val="ConsPlusNormal"/>
              <w:jc w:val="center"/>
            </w:pPr>
            <w:r>
              <w:t>1,67</w:t>
            </w:r>
          </w:p>
        </w:tc>
        <w:tc>
          <w:tcPr>
            <w:tcW w:w="666" w:type="dxa"/>
            <w:tcBorders>
              <w:top w:val="single" w:sz="4" w:space="0" w:color="auto"/>
              <w:bottom w:val="nil"/>
            </w:tcBorders>
          </w:tcPr>
          <w:p w:rsidR="00212513" w:rsidRDefault="00212513">
            <w:pPr>
              <w:pStyle w:val="ConsPlusNormal"/>
              <w:jc w:val="center"/>
            </w:pPr>
            <w:r>
              <w:t>1,65</w:t>
            </w:r>
          </w:p>
        </w:tc>
        <w:tc>
          <w:tcPr>
            <w:tcW w:w="666" w:type="dxa"/>
            <w:tcBorders>
              <w:top w:val="single" w:sz="4" w:space="0" w:color="auto"/>
              <w:bottom w:val="nil"/>
            </w:tcBorders>
          </w:tcPr>
          <w:p w:rsidR="00212513" w:rsidRDefault="00212513">
            <w:pPr>
              <w:pStyle w:val="ConsPlusNormal"/>
              <w:jc w:val="center"/>
            </w:pPr>
            <w:r>
              <w:t>1,63</w:t>
            </w:r>
          </w:p>
        </w:tc>
        <w:tc>
          <w:tcPr>
            <w:tcW w:w="666" w:type="dxa"/>
            <w:tcBorders>
              <w:top w:val="single" w:sz="4" w:space="0" w:color="auto"/>
              <w:bottom w:val="nil"/>
            </w:tcBorders>
          </w:tcPr>
          <w:p w:rsidR="00212513" w:rsidRDefault="00212513">
            <w:pPr>
              <w:pStyle w:val="ConsPlusNormal"/>
              <w:jc w:val="center"/>
            </w:pPr>
            <w:r>
              <w:t>1,61</w:t>
            </w:r>
          </w:p>
        </w:tc>
        <w:tc>
          <w:tcPr>
            <w:tcW w:w="666" w:type="dxa"/>
            <w:tcBorders>
              <w:top w:val="single" w:sz="4" w:space="0" w:color="auto"/>
              <w:bottom w:val="nil"/>
            </w:tcBorders>
          </w:tcPr>
          <w:p w:rsidR="00212513" w:rsidRDefault="00212513">
            <w:pPr>
              <w:pStyle w:val="ConsPlusNormal"/>
              <w:jc w:val="center"/>
            </w:pPr>
            <w:r>
              <w:t>1,60</w:t>
            </w:r>
          </w:p>
        </w:tc>
        <w:tc>
          <w:tcPr>
            <w:tcW w:w="666" w:type="dxa"/>
            <w:tcBorders>
              <w:top w:val="single" w:sz="4" w:space="0" w:color="auto"/>
              <w:bottom w:val="nil"/>
            </w:tcBorders>
          </w:tcPr>
          <w:p w:rsidR="00212513" w:rsidRDefault="00212513">
            <w:pPr>
              <w:pStyle w:val="ConsPlusNormal"/>
              <w:jc w:val="center"/>
            </w:pPr>
            <w:r>
              <w:t>1,60</w:t>
            </w:r>
          </w:p>
        </w:tc>
        <w:tc>
          <w:tcPr>
            <w:tcW w:w="666" w:type="dxa"/>
            <w:tcBorders>
              <w:top w:val="single" w:sz="4" w:space="0" w:color="auto"/>
              <w:bottom w:val="nil"/>
            </w:tcBorders>
          </w:tcPr>
          <w:p w:rsidR="00212513" w:rsidRDefault="00212513">
            <w:pPr>
              <w:pStyle w:val="ConsPlusNormal"/>
              <w:jc w:val="center"/>
            </w:pPr>
            <w:r>
              <w:t>1,60</w:t>
            </w:r>
          </w:p>
        </w:tc>
        <w:tc>
          <w:tcPr>
            <w:tcW w:w="666" w:type="dxa"/>
            <w:tcBorders>
              <w:top w:val="single" w:sz="4" w:space="0" w:color="auto"/>
              <w:bottom w:val="nil"/>
            </w:tcBorders>
          </w:tcPr>
          <w:p w:rsidR="00212513" w:rsidRDefault="00212513">
            <w:pPr>
              <w:pStyle w:val="ConsPlusNormal"/>
              <w:jc w:val="center"/>
            </w:pPr>
            <w:r>
              <w:t>1,60</w:t>
            </w:r>
          </w:p>
        </w:tc>
        <w:tc>
          <w:tcPr>
            <w:tcW w:w="666" w:type="dxa"/>
            <w:tcBorders>
              <w:top w:val="single" w:sz="4" w:space="0" w:color="auto"/>
              <w:bottom w:val="nil"/>
            </w:tcBorders>
          </w:tcPr>
          <w:p w:rsidR="00212513" w:rsidRDefault="00212513">
            <w:pPr>
              <w:pStyle w:val="ConsPlusNormal"/>
              <w:jc w:val="center"/>
            </w:pPr>
            <w:r>
              <w:t>1,60</w:t>
            </w:r>
          </w:p>
        </w:tc>
        <w:tc>
          <w:tcPr>
            <w:tcW w:w="666" w:type="dxa"/>
            <w:tcBorders>
              <w:top w:val="single" w:sz="4" w:space="0" w:color="auto"/>
              <w:bottom w:val="nil"/>
            </w:tcBorders>
          </w:tcPr>
          <w:p w:rsidR="00212513" w:rsidRDefault="00212513">
            <w:pPr>
              <w:pStyle w:val="ConsPlusNormal"/>
              <w:jc w:val="center"/>
            </w:pPr>
            <w:r>
              <w:t>1,60</w:t>
            </w:r>
          </w:p>
        </w:tc>
        <w:tc>
          <w:tcPr>
            <w:tcW w:w="672" w:type="dxa"/>
            <w:tcBorders>
              <w:top w:val="single" w:sz="4" w:space="0" w:color="auto"/>
              <w:bottom w:val="nil"/>
            </w:tcBorders>
          </w:tcPr>
          <w:p w:rsidR="00212513" w:rsidRDefault="00212513">
            <w:pPr>
              <w:pStyle w:val="ConsPlusNormal"/>
              <w:jc w:val="center"/>
            </w:pPr>
            <w:r>
              <w:t>1,60</w:t>
            </w:r>
          </w:p>
        </w:tc>
      </w:tr>
      <w:tr w:rsidR="00212513">
        <w:tblPrEx>
          <w:tblBorders>
            <w:insideH w:val="none" w:sz="0" w:space="0" w:color="auto"/>
          </w:tblBorders>
        </w:tblPrEx>
        <w:tc>
          <w:tcPr>
            <w:tcW w:w="1077" w:type="dxa"/>
            <w:tcBorders>
              <w:top w:val="nil"/>
              <w:bottom w:val="nil"/>
            </w:tcBorders>
          </w:tcPr>
          <w:p w:rsidR="00212513" w:rsidRDefault="00212513">
            <w:pPr>
              <w:pStyle w:val="ConsPlusNormal"/>
              <w:jc w:val="center"/>
            </w:pPr>
            <w:r>
              <w:t>0,6</w:t>
            </w:r>
          </w:p>
        </w:tc>
        <w:tc>
          <w:tcPr>
            <w:tcW w:w="666" w:type="dxa"/>
            <w:tcBorders>
              <w:top w:val="nil"/>
              <w:bottom w:val="nil"/>
            </w:tcBorders>
          </w:tcPr>
          <w:p w:rsidR="00212513" w:rsidRDefault="00212513">
            <w:pPr>
              <w:pStyle w:val="ConsPlusNormal"/>
              <w:jc w:val="center"/>
            </w:pPr>
            <w:r>
              <w:t>1,98</w:t>
            </w:r>
          </w:p>
        </w:tc>
        <w:tc>
          <w:tcPr>
            <w:tcW w:w="666" w:type="dxa"/>
            <w:tcBorders>
              <w:top w:val="nil"/>
              <w:bottom w:val="nil"/>
            </w:tcBorders>
          </w:tcPr>
          <w:p w:rsidR="00212513" w:rsidRDefault="00212513">
            <w:pPr>
              <w:pStyle w:val="ConsPlusNormal"/>
              <w:jc w:val="center"/>
            </w:pPr>
            <w:r>
              <w:t>1,93</w:t>
            </w:r>
          </w:p>
        </w:tc>
        <w:tc>
          <w:tcPr>
            <w:tcW w:w="666" w:type="dxa"/>
            <w:tcBorders>
              <w:top w:val="nil"/>
              <w:bottom w:val="nil"/>
            </w:tcBorders>
          </w:tcPr>
          <w:p w:rsidR="00212513" w:rsidRDefault="00212513">
            <w:pPr>
              <w:pStyle w:val="ConsPlusNormal"/>
              <w:jc w:val="center"/>
            </w:pPr>
            <w:r>
              <w:t>1,89</w:t>
            </w:r>
          </w:p>
        </w:tc>
        <w:tc>
          <w:tcPr>
            <w:tcW w:w="666" w:type="dxa"/>
            <w:tcBorders>
              <w:top w:val="nil"/>
              <w:bottom w:val="nil"/>
            </w:tcBorders>
          </w:tcPr>
          <w:p w:rsidR="00212513" w:rsidRDefault="00212513">
            <w:pPr>
              <w:pStyle w:val="ConsPlusNormal"/>
              <w:jc w:val="center"/>
            </w:pPr>
            <w:r>
              <w:t>1,85</w:t>
            </w:r>
          </w:p>
        </w:tc>
        <w:tc>
          <w:tcPr>
            <w:tcW w:w="666" w:type="dxa"/>
            <w:tcBorders>
              <w:top w:val="nil"/>
              <w:bottom w:val="nil"/>
            </w:tcBorders>
          </w:tcPr>
          <w:p w:rsidR="00212513" w:rsidRDefault="00212513">
            <w:pPr>
              <w:pStyle w:val="ConsPlusNormal"/>
              <w:jc w:val="center"/>
            </w:pPr>
            <w:r>
              <w:t>1,82</w:t>
            </w:r>
          </w:p>
        </w:tc>
        <w:tc>
          <w:tcPr>
            <w:tcW w:w="666" w:type="dxa"/>
            <w:tcBorders>
              <w:top w:val="nil"/>
              <w:bottom w:val="nil"/>
            </w:tcBorders>
          </w:tcPr>
          <w:p w:rsidR="00212513" w:rsidRDefault="00212513">
            <w:pPr>
              <w:pStyle w:val="ConsPlusNormal"/>
              <w:jc w:val="center"/>
            </w:pPr>
            <w:r>
              <w:t>1,80</w:t>
            </w:r>
          </w:p>
        </w:tc>
        <w:tc>
          <w:tcPr>
            <w:tcW w:w="666" w:type="dxa"/>
            <w:tcBorders>
              <w:top w:val="nil"/>
              <w:bottom w:val="nil"/>
            </w:tcBorders>
          </w:tcPr>
          <w:p w:rsidR="00212513" w:rsidRDefault="00212513">
            <w:pPr>
              <w:pStyle w:val="ConsPlusNormal"/>
              <w:jc w:val="center"/>
            </w:pPr>
            <w:r>
              <w:t>1,79</w:t>
            </w:r>
          </w:p>
        </w:tc>
        <w:tc>
          <w:tcPr>
            <w:tcW w:w="666" w:type="dxa"/>
            <w:tcBorders>
              <w:top w:val="nil"/>
              <w:bottom w:val="nil"/>
            </w:tcBorders>
          </w:tcPr>
          <w:p w:rsidR="00212513" w:rsidRDefault="00212513">
            <w:pPr>
              <w:pStyle w:val="ConsPlusNormal"/>
              <w:jc w:val="center"/>
            </w:pPr>
            <w:r>
              <w:t>1,78</w:t>
            </w:r>
          </w:p>
        </w:tc>
        <w:tc>
          <w:tcPr>
            <w:tcW w:w="666" w:type="dxa"/>
            <w:tcBorders>
              <w:top w:val="nil"/>
              <w:bottom w:val="nil"/>
            </w:tcBorders>
          </w:tcPr>
          <w:p w:rsidR="00212513" w:rsidRDefault="00212513">
            <w:pPr>
              <w:pStyle w:val="ConsPlusNormal"/>
              <w:jc w:val="center"/>
            </w:pPr>
            <w:r>
              <w:t>1,76</w:t>
            </w:r>
          </w:p>
        </w:tc>
        <w:tc>
          <w:tcPr>
            <w:tcW w:w="666" w:type="dxa"/>
            <w:tcBorders>
              <w:top w:val="nil"/>
              <w:bottom w:val="nil"/>
            </w:tcBorders>
          </w:tcPr>
          <w:p w:rsidR="00212513" w:rsidRDefault="00212513">
            <w:pPr>
              <w:pStyle w:val="ConsPlusNormal"/>
              <w:jc w:val="center"/>
            </w:pPr>
            <w:r>
              <w:t>1,72</w:t>
            </w:r>
          </w:p>
        </w:tc>
        <w:tc>
          <w:tcPr>
            <w:tcW w:w="666" w:type="dxa"/>
            <w:tcBorders>
              <w:top w:val="nil"/>
              <w:bottom w:val="nil"/>
            </w:tcBorders>
          </w:tcPr>
          <w:p w:rsidR="00212513" w:rsidRDefault="00212513">
            <w:pPr>
              <w:pStyle w:val="ConsPlusNormal"/>
              <w:jc w:val="center"/>
            </w:pPr>
            <w:r>
              <w:t>1,71</w:t>
            </w:r>
          </w:p>
        </w:tc>
        <w:tc>
          <w:tcPr>
            <w:tcW w:w="672" w:type="dxa"/>
            <w:tcBorders>
              <w:top w:val="nil"/>
              <w:bottom w:val="nil"/>
            </w:tcBorders>
          </w:tcPr>
          <w:p w:rsidR="00212513" w:rsidRDefault="00212513">
            <w:pPr>
              <w:pStyle w:val="ConsPlusNormal"/>
              <w:jc w:val="center"/>
            </w:pPr>
            <w:r>
              <w:t>1,69</w:t>
            </w:r>
          </w:p>
        </w:tc>
      </w:tr>
      <w:tr w:rsidR="00212513">
        <w:tblPrEx>
          <w:tblBorders>
            <w:insideH w:val="none" w:sz="0" w:space="0" w:color="auto"/>
          </w:tblBorders>
        </w:tblPrEx>
        <w:tc>
          <w:tcPr>
            <w:tcW w:w="1077" w:type="dxa"/>
            <w:tcBorders>
              <w:top w:val="nil"/>
              <w:bottom w:val="nil"/>
            </w:tcBorders>
          </w:tcPr>
          <w:p w:rsidR="00212513" w:rsidRDefault="00212513">
            <w:pPr>
              <w:pStyle w:val="ConsPlusNormal"/>
              <w:jc w:val="center"/>
            </w:pPr>
            <w:r>
              <w:lastRenderedPageBreak/>
              <w:t>0,7</w:t>
            </w:r>
          </w:p>
        </w:tc>
        <w:tc>
          <w:tcPr>
            <w:tcW w:w="666" w:type="dxa"/>
            <w:tcBorders>
              <w:top w:val="nil"/>
              <w:bottom w:val="nil"/>
            </w:tcBorders>
          </w:tcPr>
          <w:p w:rsidR="00212513" w:rsidRDefault="00212513">
            <w:pPr>
              <w:pStyle w:val="ConsPlusNormal"/>
              <w:jc w:val="center"/>
            </w:pPr>
            <w:r>
              <w:t>2,23</w:t>
            </w:r>
          </w:p>
        </w:tc>
        <w:tc>
          <w:tcPr>
            <w:tcW w:w="666" w:type="dxa"/>
            <w:tcBorders>
              <w:top w:val="nil"/>
              <w:bottom w:val="nil"/>
            </w:tcBorders>
          </w:tcPr>
          <w:p w:rsidR="00212513" w:rsidRDefault="00212513">
            <w:pPr>
              <w:pStyle w:val="ConsPlusNormal"/>
              <w:jc w:val="center"/>
            </w:pPr>
            <w:r>
              <w:t>2,17</w:t>
            </w:r>
          </w:p>
        </w:tc>
        <w:tc>
          <w:tcPr>
            <w:tcW w:w="666" w:type="dxa"/>
            <w:tcBorders>
              <w:top w:val="nil"/>
              <w:bottom w:val="nil"/>
            </w:tcBorders>
          </w:tcPr>
          <w:p w:rsidR="00212513" w:rsidRDefault="00212513">
            <w:pPr>
              <w:pStyle w:val="ConsPlusNormal"/>
              <w:jc w:val="center"/>
            </w:pPr>
            <w:r>
              <w:t>2,11</w:t>
            </w:r>
          </w:p>
        </w:tc>
        <w:tc>
          <w:tcPr>
            <w:tcW w:w="666" w:type="dxa"/>
            <w:tcBorders>
              <w:top w:val="nil"/>
              <w:bottom w:val="nil"/>
            </w:tcBorders>
          </w:tcPr>
          <w:p w:rsidR="00212513" w:rsidRDefault="00212513">
            <w:pPr>
              <w:pStyle w:val="ConsPlusNormal"/>
              <w:jc w:val="center"/>
            </w:pPr>
            <w:r>
              <w:t>2,06</w:t>
            </w:r>
          </w:p>
        </w:tc>
        <w:tc>
          <w:tcPr>
            <w:tcW w:w="666" w:type="dxa"/>
            <w:tcBorders>
              <w:top w:val="nil"/>
              <w:bottom w:val="nil"/>
            </w:tcBorders>
          </w:tcPr>
          <w:p w:rsidR="00212513" w:rsidRDefault="00212513">
            <w:pPr>
              <w:pStyle w:val="ConsPlusNormal"/>
              <w:jc w:val="center"/>
            </w:pPr>
            <w:r>
              <w:t>2,02</w:t>
            </w:r>
          </w:p>
        </w:tc>
        <w:tc>
          <w:tcPr>
            <w:tcW w:w="666" w:type="dxa"/>
            <w:tcBorders>
              <w:top w:val="nil"/>
              <w:bottom w:val="nil"/>
            </w:tcBorders>
          </w:tcPr>
          <w:p w:rsidR="00212513" w:rsidRDefault="00212513">
            <w:pPr>
              <w:pStyle w:val="ConsPlusNormal"/>
              <w:jc w:val="center"/>
            </w:pPr>
            <w:r>
              <w:t>1,98</w:t>
            </w:r>
          </w:p>
        </w:tc>
        <w:tc>
          <w:tcPr>
            <w:tcW w:w="666" w:type="dxa"/>
            <w:tcBorders>
              <w:top w:val="nil"/>
              <w:bottom w:val="nil"/>
            </w:tcBorders>
          </w:tcPr>
          <w:p w:rsidR="00212513" w:rsidRDefault="00212513">
            <w:pPr>
              <w:pStyle w:val="ConsPlusNormal"/>
              <w:jc w:val="center"/>
            </w:pPr>
            <w:r>
              <w:t>1,96</w:t>
            </w:r>
          </w:p>
        </w:tc>
        <w:tc>
          <w:tcPr>
            <w:tcW w:w="666" w:type="dxa"/>
            <w:tcBorders>
              <w:top w:val="nil"/>
              <w:bottom w:val="nil"/>
            </w:tcBorders>
          </w:tcPr>
          <w:p w:rsidR="00212513" w:rsidRDefault="00212513">
            <w:pPr>
              <w:pStyle w:val="ConsPlusNormal"/>
              <w:jc w:val="center"/>
            </w:pPr>
            <w:r>
              <w:t>1,93</w:t>
            </w:r>
          </w:p>
        </w:tc>
        <w:tc>
          <w:tcPr>
            <w:tcW w:w="666" w:type="dxa"/>
            <w:tcBorders>
              <w:top w:val="nil"/>
              <w:bottom w:val="nil"/>
            </w:tcBorders>
          </w:tcPr>
          <w:p w:rsidR="00212513" w:rsidRDefault="00212513">
            <w:pPr>
              <w:pStyle w:val="ConsPlusNormal"/>
              <w:jc w:val="center"/>
            </w:pPr>
            <w:r>
              <w:t>1,89</w:t>
            </w:r>
          </w:p>
        </w:tc>
        <w:tc>
          <w:tcPr>
            <w:tcW w:w="666" w:type="dxa"/>
            <w:tcBorders>
              <w:top w:val="nil"/>
              <w:bottom w:val="nil"/>
            </w:tcBorders>
          </w:tcPr>
          <w:p w:rsidR="00212513" w:rsidRDefault="00212513">
            <w:pPr>
              <w:pStyle w:val="ConsPlusNormal"/>
              <w:jc w:val="center"/>
            </w:pPr>
            <w:r>
              <w:t>1,82</w:t>
            </w:r>
          </w:p>
        </w:tc>
        <w:tc>
          <w:tcPr>
            <w:tcW w:w="666" w:type="dxa"/>
            <w:tcBorders>
              <w:top w:val="nil"/>
              <w:bottom w:val="nil"/>
            </w:tcBorders>
          </w:tcPr>
          <w:p w:rsidR="00212513" w:rsidRDefault="00212513">
            <w:pPr>
              <w:pStyle w:val="ConsPlusNormal"/>
              <w:jc w:val="center"/>
            </w:pPr>
            <w:r>
              <w:t>1,79</w:t>
            </w:r>
          </w:p>
        </w:tc>
        <w:tc>
          <w:tcPr>
            <w:tcW w:w="672" w:type="dxa"/>
            <w:tcBorders>
              <w:top w:val="nil"/>
              <w:bottom w:val="nil"/>
            </w:tcBorders>
          </w:tcPr>
          <w:p w:rsidR="00212513" w:rsidRDefault="00212513">
            <w:pPr>
              <w:pStyle w:val="ConsPlusNormal"/>
              <w:jc w:val="center"/>
            </w:pPr>
            <w:r>
              <w:t>1,76</w:t>
            </w:r>
          </w:p>
        </w:tc>
      </w:tr>
      <w:tr w:rsidR="00212513">
        <w:tblPrEx>
          <w:tblBorders>
            <w:insideH w:val="none" w:sz="0" w:space="0" w:color="auto"/>
          </w:tblBorders>
        </w:tblPrEx>
        <w:tc>
          <w:tcPr>
            <w:tcW w:w="1077" w:type="dxa"/>
            <w:tcBorders>
              <w:top w:val="nil"/>
              <w:bottom w:val="nil"/>
            </w:tcBorders>
          </w:tcPr>
          <w:p w:rsidR="00212513" w:rsidRDefault="00212513">
            <w:pPr>
              <w:pStyle w:val="ConsPlusNormal"/>
              <w:jc w:val="center"/>
            </w:pPr>
            <w:r>
              <w:t>0,8</w:t>
            </w:r>
          </w:p>
        </w:tc>
        <w:tc>
          <w:tcPr>
            <w:tcW w:w="666" w:type="dxa"/>
            <w:tcBorders>
              <w:top w:val="nil"/>
              <w:bottom w:val="nil"/>
            </w:tcBorders>
          </w:tcPr>
          <w:p w:rsidR="00212513" w:rsidRDefault="00212513">
            <w:pPr>
              <w:pStyle w:val="ConsPlusNormal"/>
              <w:jc w:val="center"/>
            </w:pPr>
            <w:r>
              <w:t>2,43</w:t>
            </w:r>
          </w:p>
        </w:tc>
        <w:tc>
          <w:tcPr>
            <w:tcW w:w="666" w:type="dxa"/>
            <w:tcBorders>
              <w:top w:val="nil"/>
              <w:bottom w:val="nil"/>
            </w:tcBorders>
          </w:tcPr>
          <w:p w:rsidR="00212513" w:rsidRDefault="00212513">
            <w:pPr>
              <w:pStyle w:val="ConsPlusNormal"/>
              <w:jc w:val="center"/>
            </w:pPr>
            <w:r>
              <w:t>2,35</w:t>
            </w:r>
          </w:p>
        </w:tc>
        <w:tc>
          <w:tcPr>
            <w:tcW w:w="666" w:type="dxa"/>
            <w:tcBorders>
              <w:top w:val="nil"/>
              <w:bottom w:val="nil"/>
            </w:tcBorders>
          </w:tcPr>
          <w:p w:rsidR="00212513" w:rsidRDefault="00212513">
            <w:pPr>
              <w:pStyle w:val="ConsPlusNormal"/>
              <w:jc w:val="center"/>
            </w:pPr>
            <w:r>
              <w:t>2,28</w:t>
            </w:r>
          </w:p>
        </w:tc>
        <w:tc>
          <w:tcPr>
            <w:tcW w:w="666" w:type="dxa"/>
            <w:tcBorders>
              <w:top w:val="nil"/>
              <w:bottom w:val="nil"/>
            </w:tcBorders>
          </w:tcPr>
          <w:p w:rsidR="00212513" w:rsidRDefault="00212513">
            <w:pPr>
              <w:pStyle w:val="ConsPlusNormal"/>
              <w:jc w:val="center"/>
            </w:pPr>
            <w:r>
              <w:t>2,22</w:t>
            </w:r>
          </w:p>
        </w:tc>
        <w:tc>
          <w:tcPr>
            <w:tcW w:w="666" w:type="dxa"/>
            <w:tcBorders>
              <w:top w:val="nil"/>
              <w:bottom w:val="nil"/>
            </w:tcBorders>
          </w:tcPr>
          <w:p w:rsidR="00212513" w:rsidRDefault="00212513">
            <w:pPr>
              <w:pStyle w:val="ConsPlusNormal"/>
              <w:jc w:val="center"/>
            </w:pPr>
            <w:r>
              <w:t>2,17</w:t>
            </w:r>
          </w:p>
        </w:tc>
        <w:tc>
          <w:tcPr>
            <w:tcW w:w="666" w:type="dxa"/>
            <w:tcBorders>
              <w:top w:val="nil"/>
              <w:bottom w:val="nil"/>
            </w:tcBorders>
          </w:tcPr>
          <w:p w:rsidR="00212513" w:rsidRDefault="00212513">
            <w:pPr>
              <w:pStyle w:val="ConsPlusNormal"/>
              <w:jc w:val="center"/>
            </w:pPr>
            <w:r>
              <w:t>2,12</w:t>
            </w:r>
          </w:p>
        </w:tc>
        <w:tc>
          <w:tcPr>
            <w:tcW w:w="666" w:type="dxa"/>
            <w:tcBorders>
              <w:top w:val="nil"/>
              <w:bottom w:val="nil"/>
            </w:tcBorders>
          </w:tcPr>
          <w:p w:rsidR="00212513" w:rsidRDefault="00212513">
            <w:pPr>
              <w:pStyle w:val="ConsPlusNormal"/>
              <w:jc w:val="center"/>
            </w:pPr>
            <w:r>
              <w:t>2,10</w:t>
            </w:r>
          </w:p>
        </w:tc>
        <w:tc>
          <w:tcPr>
            <w:tcW w:w="666" w:type="dxa"/>
            <w:tcBorders>
              <w:top w:val="nil"/>
              <w:bottom w:val="nil"/>
            </w:tcBorders>
          </w:tcPr>
          <w:p w:rsidR="00212513" w:rsidRDefault="00212513">
            <w:pPr>
              <w:pStyle w:val="ConsPlusNormal"/>
              <w:jc w:val="center"/>
            </w:pPr>
            <w:r>
              <w:t>2,05</w:t>
            </w:r>
          </w:p>
        </w:tc>
        <w:tc>
          <w:tcPr>
            <w:tcW w:w="666" w:type="dxa"/>
            <w:tcBorders>
              <w:top w:val="nil"/>
              <w:bottom w:val="nil"/>
            </w:tcBorders>
          </w:tcPr>
          <w:p w:rsidR="00212513" w:rsidRDefault="00212513">
            <w:pPr>
              <w:pStyle w:val="ConsPlusNormal"/>
              <w:jc w:val="center"/>
            </w:pPr>
            <w:r>
              <w:t>2,01</w:t>
            </w:r>
          </w:p>
        </w:tc>
        <w:tc>
          <w:tcPr>
            <w:tcW w:w="666" w:type="dxa"/>
            <w:tcBorders>
              <w:top w:val="nil"/>
              <w:bottom w:val="nil"/>
            </w:tcBorders>
          </w:tcPr>
          <w:p w:rsidR="00212513" w:rsidRDefault="00212513">
            <w:pPr>
              <w:pStyle w:val="ConsPlusNormal"/>
              <w:jc w:val="center"/>
            </w:pPr>
            <w:r>
              <w:t>1,91</w:t>
            </w:r>
          </w:p>
        </w:tc>
        <w:tc>
          <w:tcPr>
            <w:tcW w:w="666" w:type="dxa"/>
            <w:tcBorders>
              <w:top w:val="nil"/>
              <w:bottom w:val="nil"/>
            </w:tcBorders>
          </w:tcPr>
          <w:p w:rsidR="00212513" w:rsidRDefault="00212513">
            <w:pPr>
              <w:pStyle w:val="ConsPlusNormal"/>
              <w:jc w:val="center"/>
            </w:pPr>
            <w:r>
              <w:t>1,86</w:t>
            </w:r>
          </w:p>
        </w:tc>
        <w:tc>
          <w:tcPr>
            <w:tcW w:w="672" w:type="dxa"/>
            <w:tcBorders>
              <w:top w:val="nil"/>
              <w:bottom w:val="nil"/>
            </w:tcBorders>
          </w:tcPr>
          <w:p w:rsidR="00212513" w:rsidRDefault="00212513">
            <w:pPr>
              <w:pStyle w:val="ConsPlusNormal"/>
              <w:jc w:val="center"/>
            </w:pPr>
            <w:r>
              <w:t>0,82</w:t>
            </w:r>
          </w:p>
        </w:tc>
      </w:tr>
      <w:tr w:rsidR="00212513">
        <w:tblPrEx>
          <w:tblBorders>
            <w:insideH w:val="none" w:sz="0" w:space="0" w:color="auto"/>
          </w:tblBorders>
        </w:tblPrEx>
        <w:tc>
          <w:tcPr>
            <w:tcW w:w="1077" w:type="dxa"/>
            <w:tcBorders>
              <w:top w:val="nil"/>
              <w:bottom w:val="nil"/>
            </w:tcBorders>
          </w:tcPr>
          <w:p w:rsidR="00212513" w:rsidRDefault="00212513">
            <w:pPr>
              <w:pStyle w:val="ConsPlusNormal"/>
              <w:jc w:val="center"/>
            </w:pPr>
            <w:r>
              <w:t>0,9</w:t>
            </w:r>
          </w:p>
        </w:tc>
        <w:tc>
          <w:tcPr>
            <w:tcW w:w="666" w:type="dxa"/>
            <w:tcBorders>
              <w:top w:val="nil"/>
              <w:bottom w:val="nil"/>
            </w:tcBorders>
          </w:tcPr>
          <w:p w:rsidR="00212513" w:rsidRDefault="00212513">
            <w:pPr>
              <w:pStyle w:val="ConsPlusNormal"/>
              <w:jc w:val="center"/>
            </w:pPr>
            <w:r>
              <w:t>2,61</w:t>
            </w:r>
          </w:p>
        </w:tc>
        <w:tc>
          <w:tcPr>
            <w:tcW w:w="666" w:type="dxa"/>
            <w:tcBorders>
              <w:top w:val="nil"/>
              <w:bottom w:val="nil"/>
            </w:tcBorders>
          </w:tcPr>
          <w:p w:rsidR="00212513" w:rsidRDefault="00212513">
            <w:pPr>
              <w:pStyle w:val="ConsPlusNormal"/>
              <w:jc w:val="center"/>
            </w:pPr>
            <w:r>
              <w:t>2,51</w:t>
            </w:r>
          </w:p>
        </w:tc>
        <w:tc>
          <w:tcPr>
            <w:tcW w:w="666" w:type="dxa"/>
            <w:tcBorders>
              <w:top w:val="nil"/>
              <w:bottom w:val="nil"/>
            </w:tcBorders>
          </w:tcPr>
          <w:p w:rsidR="00212513" w:rsidRDefault="00212513">
            <w:pPr>
              <w:pStyle w:val="ConsPlusNormal"/>
              <w:jc w:val="center"/>
            </w:pPr>
            <w:r>
              <w:t>2,43</w:t>
            </w:r>
          </w:p>
        </w:tc>
        <w:tc>
          <w:tcPr>
            <w:tcW w:w="666" w:type="dxa"/>
            <w:tcBorders>
              <w:top w:val="nil"/>
              <w:bottom w:val="nil"/>
            </w:tcBorders>
          </w:tcPr>
          <w:p w:rsidR="00212513" w:rsidRDefault="00212513">
            <w:pPr>
              <w:pStyle w:val="ConsPlusNormal"/>
              <w:jc w:val="center"/>
            </w:pPr>
            <w:r>
              <w:t>2,36</w:t>
            </w:r>
          </w:p>
        </w:tc>
        <w:tc>
          <w:tcPr>
            <w:tcW w:w="666" w:type="dxa"/>
            <w:tcBorders>
              <w:top w:val="nil"/>
              <w:bottom w:val="nil"/>
            </w:tcBorders>
          </w:tcPr>
          <w:p w:rsidR="00212513" w:rsidRDefault="00212513">
            <w:pPr>
              <w:pStyle w:val="ConsPlusNormal"/>
              <w:jc w:val="center"/>
            </w:pPr>
            <w:r>
              <w:t>2,30</w:t>
            </w:r>
          </w:p>
        </w:tc>
        <w:tc>
          <w:tcPr>
            <w:tcW w:w="666" w:type="dxa"/>
            <w:tcBorders>
              <w:top w:val="nil"/>
              <w:bottom w:val="nil"/>
            </w:tcBorders>
          </w:tcPr>
          <w:p w:rsidR="00212513" w:rsidRDefault="00212513">
            <w:pPr>
              <w:pStyle w:val="ConsPlusNormal"/>
              <w:jc w:val="center"/>
            </w:pPr>
            <w:r>
              <w:t>2,24</w:t>
            </w:r>
          </w:p>
        </w:tc>
        <w:tc>
          <w:tcPr>
            <w:tcW w:w="666" w:type="dxa"/>
            <w:tcBorders>
              <w:top w:val="nil"/>
              <w:bottom w:val="nil"/>
            </w:tcBorders>
          </w:tcPr>
          <w:p w:rsidR="00212513" w:rsidRDefault="00212513">
            <w:pPr>
              <w:pStyle w:val="ConsPlusNormal"/>
              <w:jc w:val="center"/>
            </w:pPr>
            <w:r>
              <w:t>2,21</w:t>
            </w:r>
          </w:p>
        </w:tc>
        <w:tc>
          <w:tcPr>
            <w:tcW w:w="666" w:type="dxa"/>
            <w:tcBorders>
              <w:top w:val="nil"/>
              <w:bottom w:val="nil"/>
            </w:tcBorders>
          </w:tcPr>
          <w:p w:rsidR="00212513" w:rsidRDefault="00212513">
            <w:pPr>
              <w:pStyle w:val="ConsPlusNormal"/>
              <w:jc w:val="center"/>
            </w:pPr>
            <w:r>
              <w:t>2,16</w:t>
            </w:r>
          </w:p>
        </w:tc>
        <w:tc>
          <w:tcPr>
            <w:tcW w:w="666" w:type="dxa"/>
            <w:tcBorders>
              <w:top w:val="nil"/>
              <w:bottom w:val="nil"/>
            </w:tcBorders>
          </w:tcPr>
          <w:p w:rsidR="00212513" w:rsidRDefault="00212513">
            <w:pPr>
              <w:pStyle w:val="ConsPlusNormal"/>
              <w:jc w:val="center"/>
            </w:pPr>
            <w:r>
              <w:t>2,11</w:t>
            </w:r>
          </w:p>
        </w:tc>
        <w:tc>
          <w:tcPr>
            <w:tcW w:w="666" w:type="dxa"/>
            <w:tcBorders>
              <w:top w:val="nil"/>
              <w:bottom w:val="nil"/>
            </w:tcBorders>
          </w:tcPr>
          <w:p w:rsidR="00212513" w:rsidRDefault="00212513">
            <w:pPr>
              <w:pStyle w:val="ConsPlusNormal"/>
              <w:jc w:val="center"/>
            </w:pPr>
            <w:r>
              <w:t>1,98</w:t>
            </w:r>
          </w:p>
        </w:tc>
        <w:tc>
          <w:tcPr>
            <w:tcW w:w="666" w:type="dxa"/>
            <w:tcBorders>
              <w:top w:val="nil"/>
              <w:bottom w:val="nil"/>
            </w:tcBorders>
          </w:tcPr>
          <w:p w:rsidR="00212513" w:rsidRDefault="00212513">
            <w:pPr>
              <w:pStyle w:val="ConsPlusNormal"/>
              <w:jc w:val="center"/>
            </w:pPr>
            <w:r>
              <w:t>1,92</w:t>
            </w:r>
          </w:p>
        </w:tc>
        <w:tc>
          <w:tcPr>
            <w:tcW w:w="672" w:type="dxa"/>
            <w:tcBorders>
              <w:top w:val="nil"/>
              <w:bottom w:val="nil"/>
            </w:tcBorders>
          </w:tcPr>
          <w:p w:rsidR="00212513" w:rsidRDefault="00212513">
            <w:pPr>
              <w:pStyle w:val="ConsPlusNormal"/>
              <w:jc w:val="center"/>
            </w:pPr>
            <w:r>
              <w:t>1,87</w:t>
            </w:r>
          </w:p>
        </w:tc>
      </w:tr>
      <w:tr w:rsidR="00212513">
        <w:tblPrEx>
          <w:tblBorders>
            <w:insideH w:val="none" w:sz="0" w:space="0" w:color="auto"/>
          </w:tblBorders>
        </w:tblPrEx>
        <w:tc>
          <w:tcPr>
            <w:tcW w:w="1077" w:type="dxa"/>
            <w:tcBorders>
              <w:top w:val="nil"/>
              <w:bottom w:val="nil"/>
            </w:tcBorders>
          </w:tcPr>
          <w:p w:rsidR="00212513" w:rsidRDefault="00212513">
            <w:pPr>
              <w:pStyle w:val="ConsPlusNormal"/>
              <w:jc w:val="center"/>
            </w:pPr>
            <w:r>
              <w:t>1,0</w:t>
            </w:r>
          </w:p>
        </w:tc>
        <w:tc>
          <w:tcPr>
            <w:tcW w:w="666" w:type="dxa"/>
            <w:tcBorders>
              <w:top w:val="nil"/>
              <w:bottom w:val="nil"/>
            </w:tcBorders>
          </w:tcPr>
          <w:p w:rsidR="00212513" w:rsidRDefault="00212513">
            <w:pPr>
              <w:pStyle w:val="ConsPlusNormal"/>
              <w:jc w:val="center"/>
            </w:pPr>
            <w:r>
              <w:t>2,74</w:t>
            </w:r>
          </w:p>
        </w:tc>
        <w:tc>
          <w:tcPr>
            <w:tcW w:w="666" w:type="dxa"/>
            <w:tcBorders>
              <w:top w:val="nil"/>
              <w:bottom w:val="nil"/>
            </w:tcBorders>
          </w:tcPr>
          <w:p w:rsidR="00212513" w:rsidRDefault="00212513">
            <w:pPr>
              <w:pStyle w:val="ConsPlusNormal"/>
              <w:jc w:val="center"/>
            </w:pPr>
            <w:r>
              <w:t>2,64</w:t>
            </w:r>
          </w:p>
        </w:tc>
        <w:tc>
          <w:tcPr>
            <w:tcW w:w="666" w:type="dxa"/>
            <w:tcBorders>
              <w:top w:val="nil"/>
              <w:bottom w:val="nil"/>
            </w:tcBorders>
          </w:tcPr>
          <w:p w:rsidR="00212513" w:rsidRDefault="00212513">
            <w:pPr>
              <w:pStyle w:val="ConsPlusNormal"/>
              <w:jc w:val="center"/>
            </w:pPr>
            <w:r>
              <w:t>2,55</w:t>
            </w:r>
          </w:p>
        </w:tc>
        <w:tc>
          <w:tcPr>
            <w:tcW w:w="666" w:type="dxa"/>
            <w:tcBorders>
              <w:top w:val="nil"/>
              <w:bottom w:val="nil"/>
            </w:tcBorders>
          </w:tcPr>
          <w:p w:rsidR="00212513" w:rsidRDefault="00212513">
            <w:pPr>
              <w:pStyle w:val="ConsPlusNormal"/>
              <w:jc w:val="center"/>
            </w:pPr>
            <w:r>
              <w:t>2,47</w:t>
            </w:r>
          </w:p>
        </w:tc>
        <w:tc>
          <w:tcPr>
            <w:tcW w:w="666" w:type="dxa"/>
            <w:tcBorders>
              <w:top w:val="nil"/>
              <w:bottom w:val="nil"/>
            </w:tcBorders>
          </w:tcPr>
          <w:p w:rsidR="00212513" w:rsidRDefault="00212513">
            <w:pPr>
              <w:pStyle w:val="ConsPlusNormal"/>
              <w:jc w:val="center"/>
            </w:pPr>
            <w:r>
              <w:t>2,40</w:t>
            </w:r>
          </w:p>
        </w:tc>
        <w:tc>
          <w:tcPr>
            <w:tcW w:w="666" w:type="dxa"/>
            <w:tcBorders>
              <w:top w:val="nil"/>
              <w:bottom w:val="nil"/>
            </w:tcBorders>
          </w:tcPr>
          <w:p w:rsidR="00212513" w:rsidRDefault="00212513">
            <w:pPr>
              <w:pStyle w:val="ConsPlusNormal"/>
              <w:jc w:val="center"/>
            </w:pPr>
            <w:r>
              <w:t>2,34</w:t>
            </w:r>
          </w:p>
        </w:tc>
        <w:tc>
          <w:tcPr>
            <w:tcW w:w="666" w:type="dxa"/>
            <w:tcBorders>
              <w:top w:val="nil"/>
              <w:bottom w:val="nil"/>
            </w:tcBorders>
          </w:tcPr>
          <w:p w:rsidR="00212513" w:rsidRDefault="00212513">
            <w:pPr>
              <w:pStyle w:val="ConsPlusNormal"/>
              <w:jc w:val="center"/>
            </w:pPr>
            <w:r>
              <w:t>2,31</w:t>
            </w:r>
          </w:p>
        </w:tc>
        <w:tc>
          <w:tcPr>
            <w:tcW w:w="666" w:type="dxa"/>
            <w:tcBorders>
              <w:top w:val="nil"/>
              <w:bottom w:val="nil"/>
            </w:tcBorders>
          </w:tcPr>
          <w:p w:rsidR="00212513" w:rsidRDefault="00212513">
            <w:pPr>
              <w:pStyle w:val="ConsPlusNormal"/>
              <w:jc w:val="center"/>
            </w:pPr>
            <w:r>
              <w:t>2,24</w:t>
            </w:r>
          </w:p>
        </w:tc>
        <w:tc>
          <w:tcPr>
            <w:tcW w:w="666" w:type="dxa"/>
            <w:tcBorders>
              <w:top w:val="nil"/>
              <w:bottom w:val="nil"/>
            </w:tcBorders>
          </w:tcPr>
          <w:p w:rsidR="00212513" w:rsidRDefault="00212513">
            <w:pPr>
              <w:pStyle w:val="ConsPlusNormal"/>
              <w:jc w:val="center"/>
            </w:pPr>
            <w:r>
              <w:t>2,17</w:t>
            </w:r>
          </w:p>
        </w:tc>
        <w:tc>
          <w:tcPr>
            <w:tcW w:w="666" w:type="dxa"/>
            <w:tcBorders>
              <w:top w:val="nil"/>
              <w:bottom w:val="nil"/>
            </w:tcBorders>
          </w:tcPr>
          <w:p w:rsidR="00212513" w:rsidRDefault="00212513">
            <w:pPr>
              <w:pStyle w:val="ConsPlusNormal"/>
              <w:jc w:val="center"/>
            </w:pPr>
            <w:r>
              <w:t>2,04</w:t>
            </w:r>
          </w:p>
        </w:tc>
        <w:tc>
          <w:tcPr>
            <w:tcW w:w="666" w:type="dxa"/>
            <w:tcBorders>
              <w:top w:val="nil"/>
              <w:bottom w:val="nil"/>
            </w:tcBorders>
          </w:tcPr>
          <w:p w:rsidR="00212513" w:rsidRDefault="00212513">
            <w:pPr>
              <w:pStyle w:val="ConsPlusNormal"/>
              <w:jc w:val="center"/>
            </w:pPr>
            <w:r>
              <w:t>1,97</w:t>
            </w:r>
          </w:p>
        </w:tc>
        <w:tc>
          <w:tcPr>
            <w:tcW w:w="672" w:type="dxa"/>
            <w:tcBorders>
              <w:top w:val="nil"/>
              <w:bottom w:val="nil"/>
            </w:tcBorders>
          </w:tcPr>
          <w:p w:rsidR="00212513" w:rsidRDefault="00212513">
            <w:pPr>
              <w:pStyle w:val="ConsPlusNormal"/>
              <w:jc w:val="center"/>
            </w:pPr>
            <w:r>
              <w:t>0,91</w:t>
            </w:r>
          </w:p>
        </w:tc>
      </w:tr>
      <w:tr w:rsidR="00212513">
        <w:tblPrEx>
          <w:tblBorders>
            <w:insideH w:val="none" w:sz="0" w:space="0" w:color="auto"/>
          </w:tblBorders>
        </w:tblPrEx>
        <w:tc>
          <w:tcPr>
            <w:tcW w:w="1077" w:type="dxa"/>
            <w:tcBorders>
              <w:top w:val="nil"/>
              <w:bottom w:val="nil"/>
            </w:tcBorders>
          </w:tcPr>
          <w:p w:rsidR="00212513" w:rsidRDefault="00212513">
            <w:pPr>
              <w:pStyle w:val="ConsPlusNormal"/>
              <w:jc w:val="center"/>
            </w:pPr>
            <w:r>
              <w:t>1,2</w:t>
            </w:r>
          </w:p>
        </w:tc>
        <w:tc>
          <w:tcPr>
            <w:tcW w:w="666" w:type="dxa"/>
            <w:tcBorders>
              <w:top w:val="nil"/>
              <w:bottom w:val="nil"/>
            </w:tcBorders>
          </w:tcPr>
          <w:p w:rsidR="00212513" w:rsidRDefault="00212513">
            <w:pPr>
              <w:pStyle w:val="ConsPlusNormal"/>
              <w:jc w:val="center"/>
            </w:pPr>
            <w:r>
              <w:t>2,79</w:t>
            </w:r>
          </w:p>
        </w:tc>
        <w:tc>
          <w:tcPr>
            <w:tcW w:w="666" w:type="dxa"/>
            <w:tcBorders>
              <w:top w:val="nil"/>
              <w:bottom w:val="nil"/>
            </w:tcBorders>
          </w:tcPr>
          <w:p w:rsidR="00212513" w:rsidRDefault="00212513">
            <w:pPr>
              <w:pStyle w:val="ConsPlusNormal"/>
              <w:jc w:val="center"/>
            </w:pPr>
            <w:r>
              <w:t>2,68</w:t>
            </w:r>
          </w:p>
        </w:tc>
        <w:tc>
          <w:tcPr>
            <w:tcW w:w="666" w:type="dxa"/>
            <w:tcBorders>
              <w:top w:val="nil"/>
              <w:bottom w:val="nil"/>
            </w:tcBorders>
          </w:tcPr>
          <w:p w:rsidR="00212513" w:rsidRDefault="00212513">
            <w:pPr>
              <w:pStyle w:val="ConsPlusNormal"/>
              <w:jc w:val="center"/>
            </w:pPr>
            <w:r>
              <w:t>2,59</w:t>
            </w:r>
          </w:p>
        </w:tc>
        <w:tc>
          <w:tcPr>
            <w:tcW w:w="666" w:type="dxa"/>
            <w:tcBorders>
              <w:top w:val="nil"/>
              <w:bottom w:val="nil"/>
            </w:tcBorders>
          </w:tcPr>
          <w:p w:rsidR="00212513" w:rsidRDefault="00212513">
            <w:pPr>
              <w:pStyle w:val="ConsPlusNormal"/>
              <w:jc w:val="center"/>
            </w:pPr>
            <w:r>
              <w:t>2,51</w:t>
            </w:r>
          </w:p>
        </w:tc>
        <w:tc>
          <w:tcPr>
            <w:tcW w:w="666" w:type="dxa"/>
            <w:tcBorders>
              <w:top w:val="nil"/>
              <w:bottom w:val="nil"/>
            </w:tcBorders>
          </w:tcPr>
          <w:p w:rsidR="00212513" w:rsidRDefault="00212513">
            <w:pPr>
              <w:pStyle w:val="ConsPlusNormal"/>
              <w:jc w:val="center"/>
            </w:pPr>
            <w:r>
              <w:t>2,43</w:t>
            </w:r>
          </w:p>
        </w:tc>
        <w:tc>
          <w:tcPr>
            <w:tcW w:w="666" w:type="dxa"/>
            <w:tcBorders>
              <w:top w:val="nil"/>
              <w:bottom w:val="nil"/>
            </w:tcBorders>
          </w:tcPr>
          <w:p w:rsidR="00212513" w:rsidRDefault="00212513">
            <w:pPr>
              <w:pStyle w:val="ConsPlusNormal"/>
              <w:jc w:val="center"/>
            </w:pPr>
            <w:r>
              <w:t>2,37</w:t>
            </w:r>
          </w:p>
        </w:tc>
        <w:tc>
          <w:tcPr>
            <w:tcW w:w="666" w:type="dxa"/>
            <w:tcBorders>
              <w:top w:val="nil"/>
              <w:bottom w:val="nil"/>
            </w:tcBorders>
          </w:tcPr>
          <w:p w:rsidR="00212513" w:rsidRDefault="00212513">
            <w:pPr>
              <w:pStyle w:val="ConsPlusNormal"/>
              <w:jc w:val="center"/>
            </w:pPr>
            <w:r>
              <w:t>2,33</w:t>
            </w:r>
          </w:p>
        </w:tc>
        <w:tc>
          <w:tcPr>
            <w:tcW w:w="666" w:type="dxa"/>
            <w:tcBorders>
              <w:top w:val="nil"/>
              <w:bottom w:val="nil"/>
            </w:tcBorders>
          </w:tcPr>
          <w:p w:rsidR="00212513" w:rsidRDefault="00212513">
            <w:pPr>
              <w:pStyle w:val="ConsPlusNormal"/>
              <w:jc w:val="center"/>
            </w:pPr>
            <w:r>
              <w:t>2,26</w:t>
            </w:r>
          </w:p>
        </w:tc>
        <w:tc>
          <w:tcPr>
            <w:tcW w:w="666" w:type="dxa"/>
            <w:tcBorders>
              <w:top w:val="nil"/>
              <w:bottom w:val="nil"/>
            </w:tcBorders>
          </w:tcPr>
          <w:p w:rsidR="00212513" w:rsidRDefault="00212513">
            <w:pPr>
              <w:pStyle w:val="ConsPlusNormal"/>
              <w:jc w:val="center"/>
            </w:pPr>
            <w:r>
              <w:t>2,19</w:t>
            </w:r>
          </w:p>
        </w:tc>
        <w:tc>
          <w:tcPr>
            <w:tcW w:w="666" w:type="dxa"/>
            <w:tcBorders>
              <w:top w:val="nil"/>
              <w:bottom w:val="nil"/>
            </w:tcBorders>
          </w:tcPr>
          <w:p w:rsidR="00212513" w:rsidRDefault="00212513">
            <w:pPr>
              <w:pStyle w:val="ConsPlusNormal"/>
              <w:jc w:val="center"/>
            </w:pPr>
            <w:r>
              <w:t>2,05</w:t>
            </w:r>
          </w:p>
        </w:tc>
        <w:tc>
          <w:tcPr>
            <w:tcW w:w="666" w:type="dxa"/>
            <w:tcBorders>
              <w:top w:val="nil"/>
              <w:bottom w:val="nil"/>
            </w:tcBorders>
          </w:tcPr>
          <w:p w:rsidR="00212513" w:rsidRDefault="00212513">
            <w:pPr>
              <w:pStyle w:val="ConsPlusNormal"/>
              <w:jc w:val="center"/>
            </w:pPr>
            <w:r>
              <w:t>1,98</w:t>
            </w:r>
          </w:p>
        </w:tc>
        <w:tc>
          <w:tcPr>
            <w:tcW w:w="672" w:type="dxa"/>
            <w:tcBorders>
              <w:top w:val="nil"/>
              <w:bottom w:val="nil"/>
            </w:tcBorders>
          </w:tcPr>
          <w:p w:rsidR="00212513" w:rsidRDefault="00212513">
            <w:pPr>
              <w:pStyle w:val="ConsPlusNormal"/>
              <w:jc w:val="center"/>
            </w:pPr>
            <w:r>
              <w:t>1,91</w:t>
            </w:r>
          </w:p>
        </w:tc>
      </w:tr>
      <w:tr w:rsidR="00212513">
        <w:tblPrEx>
          <w:tblBorders>
            <w:insideH w:val="none" w:sz="0" w:space="0" w:color="auto"/>
          </w:tblBorders>
        </w:tblPrEx>
        <w:tc>
          <w:tcPr>
            <w:tcW w:w="1077" w:type="dxa"/>
            <w:tcBorders>
              <w:top w:val="nil"/>
              <w:bottom w:val="nil"/>
            </w:tcBorders>
          </w:tcPr>
          <w:p w:rsidR="00212513" w:rsidRDefault="00212513">
            <w:pPr>
              <w:pStyle w:val="ConsPlusNormal"/>
              <w:jc w:val="center"/>
            </w:pPr>
            <w:r>
              <w:t>1,4</w:t>
            </w:r>
          </w:p>
        </w:tc>
        <w:tc>
          <w:tcPr>
            <w:tcW w:w="666" w:type="dxa"/>
            <w:tcBorders>
              <w:top w:val="nil"/>
              <w:bottom w:val="nil"/>
            </w:tcBorders>
          </w:tcPr>
          <w:p w:rsidR="00212513" w:rsidRDefault="00212513">
            <w:pPr>
              <w:pStyle w:val="ConsPlusNormal"/>
              <w:jc w:val="center"/>
            </w:pPr>
            <w:r>
              <w:t>2,84</w:t>
            </w:r>
          </w:p>
        </w:tc>
        <w:tc>
          <w:tcPr>
            <w:tcW w:w="666" w:type="dxa"/>
            <w:tcBorders>
              <w:top w:val="nil"/>
              <w:bottom w:val="nil"/>
            </w:tcBorders>
          </w:tcPr>
          <w:p w:rsidR="00212513" w:rsidRDefault="00212513">
            <w:pPr>
              <w:pStyle w:val="ConsPlusNormal"/>
              <w:jc w:val="center"/>
            </w:pPr>
            <w:r>
              <w:t>2,73</w:t>
            </w:r>
          </w:p>
        </w:tc>
        <w:tc>
          <w:tcPr>
            <w:tcW w:w="666" w:type="dxa"/>
            <w:tcBorders>
              <w:top w:val="nil"/>
              <w:bottom w:val="nil"/>
            </w:tcBorders>
          </w:tcPr>
          <w:p w:rsidR="00212513" w:rsidRDefault="00212513">
            <w:pPr>
              <w:pStyle w:val="ConsPlusNormal"/>
              <w:jc w:val="center"/>
            </w:pPr>
            <w:r>
              <w:t>2,63</w:t>
            </w:r>
          </w:p>
        </w:tc>
        <w:tc>
          <w:tcPr>
            <w:tcW w:w="666" w:type="dxa"/>
            <w:tcBorders>
              <w:top w:val="nil"/>
              <w:bottom w:val="nil"/>
            </w:tcBorders>
          </w:tcPr>
          <w:p w:rsidR="00212513" w:rsidRDefault="00212513">
            <w:pPr>
              <w:pStyle w:val="ConsPlusNormal"/>
              <w:jc w:val="center"/>
            </w:pPr>
            <w:r>
              <w:t>2,54</w:t>
            </w:r>
          </w:p>
        </w:tc>
        <w:tc>
          <w:tcPr>
            <w:tcW w:w="666" w:type="dxa"/>
            <w:tcBorders>
              <w:top w:val="nil"/>
              <w:bottom w:val="nil"/>
            </w:tcBorders>
          </w:tcPr>
          <w:p w:rsidR="00212513" w:rsidRDefault="00212513">
            <w:pPr>
              <w:pStyle w:val="ConsPlusNormal"/>
              <w:jc w:val="center"/>
            </w:pPr>
            <w:r>
              <w:t>2,46</w:t>
            </w:r>
          </w:p>
        </w:tc>
        <w:tc>
          <w:tcPr>
            <w:tcW w:w="666" w:type="dxa"/>
            <w:tcBorders>
              <w:top w:val="nil"/>
              <w:bottom w:val="nil"/>
            </w:tcBorders>
          </w:tcPr>
          <w:p w:rsidR="00212513" w:rsidRDefault="00212513">
            <w:pPr>
              <w:pStyle w:val="ConsPlusNormal"/>
              <w:jc w:val="center"/>
            </w:pPr>
            <w:r>
              <w:t>2,39</w:t>
            </w:r>
          </w:p>
        </w:tc>
        <w:tc>
          <w:tcPr>
            <w:tcW w:w="666" w:type="dxa"/>
            <w:tcBorders>
              <w:top w:val="nil"/>
              <w:bottom w:val="nil"/>
            </w:tcBorders>
          </w:tcPr>
          <w:p w:rsidR="00212513" w:rsidRDefault="00212513">
            <w:pPr>
              <w:pStyle w:val="ConsPlusNormal"/>
              <w:jc w:val="center"/>
            </w:pPr>
            <w:r>
              <w:t>2,35</w:t>
            </w:r>
          </w:p>
        </w:tc>
        <w:tc>
          <w:tcPr>
            <w:tcW w:w="666" w:type="dxa"/>
            <w:tcBorders>
              <w:top w:val="nil"/>
              <w:bottom w:val="nil"/>
            </w:tcBorders>
          </w:tcPr>
          <w:p w:rsidR="00212513" w:rsidRDefault="00212513">
            <w:pPr>
              <w:pStyle w:val="ConsPlusNormal"/>
              <w:jc w:val="center"/>
            </w:pPr>
            <w:r>
              <w:t>2,28</w:t>
            </w:r>
          </w:p>
        </w:tc>
        <w:tc>
          <w:tcPr>
            <w:tcW w:w="666" w:type="dxa"/>
            <w:tcBorders>
              <w:top w:val="nil"/>
              <w:bottom w:val="nil"/>
            </w:tcBorders>
          </w:tcPr>
          <w:p w:rsidR="00212513" w:rsidRDefault="00212513">
            <w:pPr>
              <w:pStyle w:val="ConsPlusNormal"/>
              <w:jc w:val="center"/>
            </w:pPr>
            <w:r>
              <w:t>2,21</w:t>
            </w:r>
          </w:p>
        </w:tc>
        <w:tc>
          <w:tcPr>
            <w:tcW w:w="666" w:type="dxa"/>
            <w:tcBorders>
              <w:top w:val="nil"/>
              <w:bottom w:val="nil"/>
            </w:tcBorders>
          </w:tcPr>
          <w:p w:rsidR="00212513" w:rsidRDefault="00212513">
            <w:pPr>
              <w:pStyle w:val="ConsPlusNormal"/>
              <w:jc w:val="center"/>
            </w:pPr>
            <w:r>
              <w:t>2,05</w:t>
            </w:r>
          </w:p>
        </w:tc>
        <w:tc>
          <w:tcPr>
            <w:tcW w:w="666" w:type="dxa"/>
            <w:tcBorders>
              <w:top w:val="nil"/>
              <w:bottom w:val="nil"/>
            </w:tcBorders>
          </w:tcPr>
          <w:p w:rsidR="00212513" w:rsidRDefault="00212513">
            <w:pPr>
              <w:pStyle w:val="ConsPlusNormal"/>
              <w:jc w:val="center"/>
            </w:pPr>
            <w:r>
              <w:t>1,98</w:t>
            </w:r>
          </w:p>
        </w:tc>
        <w:tc>
          <w:tcPr>
            <w:tcW w:w="672" w:type="dxa"/>
            <w:tcBorders>
              <w:top w:val="nil"/>
              <w:bottom w:val="nil"/>
            </w:tcBorders>
          </w:tcPr>
          <w:p w:rsidR="00212513" w:rsidRDefault="00212513">
            <w:pPr>
              <w:pStyle w:val="ConsPlusNormal"/>
              <w:jc w:val="center"/>
            </w:pPr>
            <w:r>
              <w:t>1,91</w:t>
            </w:r>
          </w:p>
        </w:tc>
      </w:tr>
      <w:tr w:rsidR="00212513">
        <w:tblPrEx>
          <w:tblBorders>
            <w:insideH w:val="none" w:sz="0" w:space="0" w:color="auto"/>
          </w:tblBorders>
        </w:tblPrEx>
        <w:tc>
          <w:tcPr>
            <w:tcW w:w="1077" w:type="dxa"/>
            <w:tcBorders>
              <w:top w:val="nil"/>
              <w:bottom w:val="nil"/>
            </w:tcBorders>
          </w:tcPr>
          <w:p w:rsidR="00212513" w:rsidRDefault="00212513">
            <w:pPr>
              <w:pStyle w:val="ConsPlusNormal"/>
              <w:jc w:val="center"/>
            </w:pPr>
            <w:r>
              <w:t>1,5</w:t>
            </w:r>
          </w:p>
        </w:tc>
        <w:tc>
          <w:tcPr>
            <w:tcW w:w="666" w:type="dxa"/>
            <w:tcBorders>
              <w:top w:val="nil"/>
              <w:bottom w:val="nil"/>
            </w:tcBorders>
          </w:tcPr>
          <w:p w:rsidR="00212513" w:rsidRDefault="00212513">
            <w:pPr>
              <w:pStyle w:val="ConsPlusNormal"/>
              <w:jc w:val="center"/>
            </w:pPr>
            <w:r>
              <w:t>2,86</w:t>
            </w:r>
          </w:p>
        </w:tc>
        <w:tc>
          <w:tcPr>
            <w:tcW w:w="666" w:type="dxa"/>
            <w:tcBorders>
              <w:top w:val="nil"/>
              <w:bottom w:val="nil"/>
            </w:tcBorders>
          </w:tcPr>
          <w:p w:rsidR="00212513" w:rsidRDefault="00212513">
            <w:pPr>
              <w:pStyle w:val="ConsPlusNormal"/>
              <w:jc w:val="center"/>
            </w:pPr>
            <w:r>
              <w:t>2,75</w:t>
            </w:r>
          </w:p>
        </w:tc>
        <w:tc>
          <w:tcPr>
            <w:tcW w:w="666" w:type="dxa"/>
            <w:tcBorders>
              <w:top w:val="nil"/>
              <w:bottom w:val="nil"/>
            </w:tcBorders>
          </w:tcPr>
          <w:p w:rsidR="00212513" w:rsidRDefault="00212513">
            <w:pPr>
              <w:pStyle w:val="ConsPlusNormal"/>
              <w:jc w:val="center"/>
            </w:pPr>
            <w:r>
              <w:t>2,65</w:t>
            </w:r>
          </w:p>
        </w:tc>
        <w:tc>
          <w:tcPr>
            <w:tcW w:w="666" w:type="dxa"/>
            <w:tcBorders>
              <w:top w:val="nil"/>
              <w:bottom w:val="nil"/>
            </w:tcBorders>
          </w:tcPr>
          <w:p w:rsidR="00212513" w:rsidRDefault="00212513">
            <w:pPr>
              <w:pStyle w:val="ConsPlusNormal"/>
              <w:jc w:val="center"/>
            </w:pPr>
            <w:r>
              <w:t>2,56</w:t>
            </w:r>
          </w:p>
        </w:tc>
        <w:tc>
          <w:tcPr>
            <w:tcW w:w="666" w:type="dxa"/>
            <w:tcBorders>
              <w:top w:val="nil"/>
              <w:bottom w:val="nil"/>
            </w:tcBorders>
          </w:tcPr>
          <w:p w:rsidR="00212513" w:rsidRDefault="00212513">
            <w:pPr>
              <w:pStyle w:val="ConsPlusNormal"/>
              <w:jc w:val="center"/>
            </w:pPr>
            <w:r>
              <w:t>2,48</w:t>
            </w:r>
          </w:p>
        </w:tc>
        <w:tc>
          <w:tcPr>
            <w:tcW w:w="666" w:type="dxa"/>
            <w:tcBorders>
              <w:top w:val="nil"/>
              <w:bottom w:val="nil"/>
            </w:tcBorders>
          </w:tcPr>
          <w:p w:rsidR="00212513" w:rsidRDefault="00212513">
            <w:pPr>
              <w:pStyle w:val="ConsPlusNormal"/>
              <w:jc w:val="center"/>
            </w:pPr>
            <w:r>
              <w:t>2,41</w:t>
            </w:r>
          </w:p>
        </w:tc>
        <w:tc>
          <w:tcPr>
            <w:tcW w:w="666" w:type="dxa"/>
            <w:tcBorders>
              <w:top w:val="nil"/>
              <w:bottom w:val="nil"/>
            </w:tcBorders>
          </w:tcPr>
          <w:p w:rsidR="00212513" w:rsidRDefault="00212513">
            <w:pPr>
              <w:pStyle w:val="ConsPlusNormal"/>
              <w:jc w:val="center"/>
            </w:pPr>
            <w:r>
              <w:t>2,37</w:t>
            </w:r>
          </w:p>
        </w:tc>
        <w:tc>
          <w:tcPr>
            <w:tcW w:w="666" w:type="dxa"/>
            <w:tcBorders>
              <w:top w:val="nil"/>
              <w:bottom w:val="nil"/>
            </w:tcBorders>
          </w:tcPr>
          <w:p w:rsidR="00212513" w:rsidRDefault="00212513">
            <w:pPr>
              <w:pStyle w:val="ConsPlusNormal"/>
              <w:jc w:val="center"/>
            </w:pPr>
            <w:r>
              <w:t>2,30</w:t>
            </w:r>
          </w:p>
        </w:tc>
        <w:tc>
          <w:tcPr>
            <w:tcW w:w="666" w:type="dxa"/>
            <w:tcBorders>
              <w:top w:val="nil"/>
              <w:bottom w:val="nil"/>
            </w:tcBorders>
          </w:tcPr>
          <w:p w:rsidR="00212513" w:rsidRDefault="00212513">
            <w:pPr>
              <w:pStyle w:val="ConsPlusNormal"/>
              <w:jc w:val="center"/>
            </w:pPr>
            <w:r>
              <w:t>2,22</w:t>
            </w:r>
          </w:p>
        </w:tc>
        <w:tc>
          <w:tcPr>
            <w:tcW w:w="666" w:type="dxa"/>
            <w:tcBorders>
              <w:top w:val="nil"/>
              <w:bottom w:val="nil"/>
            </w:tcBorders>
          </w:tcPr>
          <w:p w:rsidR="00212513" w:rsidRDefault="00212513">
            <w:pPr>
              <w:pStyle w:val="ConsPlusNormal"/>
              <w:jc w:val="center"/>
            </w:pPr>
            <w:r>
              <w:t>2,07</w:t>
            </w:r>
          </w:p>
        </w:tc>
        <w:tc>
          <w:tcPr>
            <w:tcW w:w="666" w:type="dxa"/>
            <w:tcBorders>
              <w:top w:val="nil"/>
              <w:bottom w:val="nil"/>
            </w:tcBorders>
          </w:tcPr>
          <w:p w:rsidR="00212513" w:rsidRDefault="00212513">
            <w:pPr>
              <w:pStyle w:val="ConsPlusNormal"/>
              <w:jc w:val="center"/>
            </w:pPr>
            <w:r>
              <w:t>1,99</w:t>
            </w:r>
          </w:p>
        </w:tc>
        <w:tc>
          <w:tcPr>
            <w:tcW w:w="672" w:type="dxa"/>
            <w:tcBorders>
              <w:top w:val="nil"/>
              <w:bottom w:val="nil"/>
            </w:tcBorders>
          </w:tcPr>
          <w:p w:rsidR="00212513" w:rsidRDefault="00212513">
            <w:pPr>
              <w:pStyle w:val="ConsPlusNormal"/>
              <w:jc w:val="center"/>
            </w:pPr>
            <w:r>
              <w:t>1,91</w:t>
            </w:r>
          </w:p>
        </w:tc>
      </w:tr>
      <w:tr w:rsidR="00212513">
        <w:tblPrEx>
          <w:tblBorders>
            <w:insideH w:val="none" w:sz="0" w:space="0" w:color="auto"/>
          </w:tblBorders>
        </w:tblPrEx>
        <w:tc>
          <w:tcPr>
            <w:tcW w:w="1077" w:type="dxa"/>
            <w:tcBorders>
              <w:top w:val="nil"/>
              <w:bottom w:val="single" w:sz="4" w:space="0" w:color="auto"/>
            </w:tcBorders>
          </w:tcPr>
          <w:p w:rsidR="00212513" w:rsidRDefault="00212513">
            <w:pPr>
              <w:pStyle w:val="ConsPlusNormal"/>
              <w:jc w:val="center"/>
            </w:pPr>
            <w:r>
              <w:t>2,0 и более</w:t>
            </w:r>
          </w:p>
        </w:tc>
        <w:tc>
          <w:tcPr>
            <w:tcW w:w="666" w:type="dxa"/>
            <w:tcBorders>
              <w:top w:val="nil"/>
              <w:bottom w:val="single" w:sz="4" w:space="0" w:color="auto"/>
            </w:tcBorders>
          </w:tcPr>
          <w:p w:rsidR="00212513" w:rsidRDefault="00212513">
            <w:pPr>
              <w:pStyle w:val="ConsPlusNormal"/>
              <w:jc w:val="center"/>
            </w:pPr>
            <w:r>
              <w:t>2,86</w:t>
            </w:r>
          </w:p>
        </w:tc>
        <w:tc>
          <w:tcPr>
            <w:tcW w:w="666" w:type="dxa"/>
            <w:tcBorders>
              <w:top w:val="nil"/>
              <w:bottom w:val="single" w:sz="4" w:space="0" w:color="auto"/>
            </w:tcBorders>
          </w:tcPr>
          <w:p w:rsidR="00212513" w:rsidRDefault="00212513">
            <w:pPr>
              <w:pStyle w:val="ConsPlusNormal"/>
              <w:jc w:val="center"/>
            </w:pPr>
            <w:r>
              <w:t>2,75</w:t>
            </w:r>
          </w:p>
        </w:tc>
        <w:tc>
          <w:tcPr>
            <w:tcW w:w="666" w:type="dxa"/>
            <w:tcBorders>
              <w:top w:val="nil"/>
              <w:bottom w:val="single" w:sz="4" w:space="0" w:color="auto"/>
            </w:tcBorders>
          </w:tcPr>
          <w:p w:rsidR="00212513" w:rsidRDefault="00212513">
            <w:pPr>
              <w:pStyle w:val="ConsPlusNormal"/>
              <w:jc w:val="center"/>
            </w:pPr>
            <w:r>
              <w:t>2,65</w:t>
            </w:r>
          </w:p>
        </w:tc>
        <w:tc>
          <w:tcPr>
            <w:tcW w:w="666" w:type="dxa"/>
            <w:tcBorders>
              <w:top w:val="nil"/>
              <w:bottom w:val="single" w:sz="4" w:space="0" w:color="auto"/>
            </w:tcBorders>
          </w:tcPr>
          <w:p w:rsidR="00212513" w:rsidRDefault="00212513">
            <w:pPr>
              <w:pStyle w:val="ConsPlusNormal"/>
              <w:jc w:val="center"/>
            </w:pPr>
            <w:r>
              <w:t>2,55</w:t>
            </w:r>
          </w:p>
        </w:tc>
        <w:tc>
          <w:tcPr>
            <w:tcW w:w="666" w:type="dxa"/>
            <w:tcBorders>
              <w:top w:val="nil"/>
              <w:bottom w:val="single" w:sz="4" w:space="0" w:color="auto"/>
            </w:tcBorders>
          </w:tcPr>
          <w:p w:rsidR="00212513" w:rsidRDefault="00212513">
            <w:pPr>
              <w:pStyle w:val="ConsPlusNormal"/>
              <w:jc w:val="center"/>
            </w:pPr>
            <w:r>
              <w:t>2,47</w:t>
            </w:r>
          </w:p>
        </w:tc>
        <w:tc>
          <w:tcPr>
            <w:tcW w:w="666" w:type="dxa"/>
            <w:tcBorders>
              <w:top w:val="nil"/>
              <w:bottom w:val="single" w:sz="4" w:space="0" w:color="auto"/>
            </w:tcBorders>
          </w:tcPr>
          <w:p w:rsidR="00212513" w:rsidRDefault="00212513">
            <w:pPr>
              <w:pStyle w:val="ConsPlusNormal"/>
              <w:jc w:val="center"/>
            </w:pPr>
            <w:r>
              <w:t>2,40</w:t>
            </w:r>
          </w:p>
        </w:tc>
        <w:tc>
          <w:tcPr>
            <w:tcW w:w="666" w:type="dxa"/>
            <w:tcBorders>
              <w:top w:val="nil"/>
              <w:bottom w:val="single" w:sz="4" w:space="0" w:color="auto"/>
            </w:tcBorders>
          </w:tcPr>
          <w:p w:rsidR="00212513" w:rsidRDefault="00212513">
            <w:pPr>
              <w:pStyle w:val="ConsPlusNormal"/>
              <w:jc w:val="center"/>
            </w:pPr>
            <w:r>
              <w:t>2,36</w:t>
            </w:r>
          </w:p>
        </w:tc>
        <w:tc>
          <w:tcPr>
            <w:tcW w:w="666" w:type="dxa"/>
            <w:tcBorders>
              <w:top w:val="nil"/>
              <w:bottom w:val="single" w:sz="4" w:space="0" w:color="auto"/>
            </w:tcBorders>
          </w:tcPr>
          <w:p w:rsidR="00212513" w:rsidRDefault="00212513">
            <w:pPr>
              <w:pStyle w:val="ConsPlusNormal"/>
              <w:jc w:val="center"/>
            </w:pPr>
            <w:r>
              <w:t>2,28</w:t>
            </w:r>
          </w:p>
        </w:tc>
        <w:tc>
          <w:tcPr>
            <w:tcW w:w="666" w:type="dxa"/>
            <w:tcBorders>
              <w:top w:val="nil"/>
              <w:bottom w:val="single" w:sz="4" w:space="0" w:color="auto"/>
            </w:tcBorders>
          </w:tcPr>
          <w:p w:rsidR="00212513" w:rsidRDefault="00212513">
            <w:pPr>
              <w:pStyle w:val="ConsPlusNormal"/>
              <w:jc w:val="center"/>
            </w:pPr>
            <w:r>
              <w:t>2,20</w:t>
            </w:r>
          </w:p>
        </w:tc>
        <w:tc>
          <w:tcPr>
            <w:tcW w:w="666" w:type="dxa"/>
            <w:tcBorders>
              <w:top w:val="nil"/>
              <w:bottom w:val="single" w:sz="4" w:space="0" w:color="auto"/>
            </w:tcBorders>
          </w:tcPr>
          <w:p w:rsidR="00212513" w:rsidRDefault="00212513">
            <w:pPr>
              <w:pStyle w:val="ConsPlusNormal"/>
              <w:jc w:val="center"/>
            </w:pPr>
            <w:r>
              <w:t>2,05</w:t>
            </w:r>
          </w:p>
        </w:tc>
        <w:tc>
          <w:tcPr>
            <w:tcW w:w="666" w:type="dxa"/>
            <w:tcBorders>
              <w:top w:val="nil"/>
              <w:bottom w:val="single" w:sz="4" w:space="0" w:color="auto"/>
            </w:tcBorders>
          </w:tcPr>
          <w:p w:rsidR="00212513" w:rsidRDefault="00212513">
            <w:pPr>
              <w:pStyle w:val="ConsPlusNormal"/>
              <w:jc w:val="center"/>
            </w:pPr>
            <w:r>
              <w:t>1,96</w:t>
            </w:r>
          </w:p>
        </w:tc>
        <w:tc>
          <w:tcPr>
            <w:tcW w:w="672" w:type="dxa"/>
            <w:tcBorders>
              <w:top w:val="nil"/>
              <w:bottom w:val="single" w:sz="4" w:space="0" w:color="auto"/>
            </w:tcBorders>
          </w:tcPr>
          <w:p w:rsidR="00212513" w:rsidRDefault="00212513">
            <w:pPr>
              <w:pStyle w:val="ConsPlusNormal"/>
              <w:jc w:val="center"/>
            </w:pPr>
            <w:r>
              <w:t>1,88</w:t>
            </w:r>
          </w:p>
        </w:tc>
      </w:tr>
      <w:tr w:rsidR="00212513">
        <w:tc>
          <w:tcPr>
            <w:tcW w:w="9075" w:type="dxa"/>
            <w:gridSpan w:val="13"/>
            <w:tcBorders>
              <w:top w:val="single" w:sz="4" w:space="0" w:color="auto"/>
              <w:bottom w:val="single" w:sz="4" w:space="0" w:color="auto"/>
            </w:tcBorders>
          </w:tcPr>
          <w:p w:rsidR="00212513" w:rsidRDefault="00212513">
            <w:pPr>
              <w:pStyle w:val="ConsPlusNormal"/>
              <w:ind w:firstLine="283"/>
              <w:jc w:val="both"/>
            </w:pPr>
            <w:r>
              <w:t xml:space="preserve">В </w:t>
            </w:r>
            <w:hyperlink w:anchor="P16078">
              <w:r>
                <w:rPr>
                  <w:color w:val="0000FF"/>
                </w:rPr>
                <w:t>таблице Х.6</w:t>
              </w:r>
            </w:hyperlink>
            <w:r>
              <w:t xml:space="preserve"> обозначено: </w:t>
            </w:r>
            <w:r>
              <w:rPr>
                <w:noProof/>
                <w:position w:val="-10"/>
              </w:rPr>
              <w:drawing>
                <wp:inline distT="0" distB="0" distL="0" distR="0">
                  <wp:extent cx="1022985" cy="273685"/>
                  <wp:effectExtent l="0" t="0" r="0" b="0"/>
                  <wp:docPr id="28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0" cstate="print">
                            <a:extLst>
                              <a:ext uri="{28A0092B-C50C-407E-A947-70E740481C1C}">
                                <a14:useLocalDpi xmlns:a14="http://schemas.microsoft.com/office/drawing/2010/main" val="0"/>
                              </a:ext>
                            </a:extLst>
                          </a:blip>
                          <a:srcRect/>
                          <a:stretch>
                            <a:fillRect/>
                          </a:stretch>
                        </pic:blipFill>
                        <pic:spPr bwMode="auto">
                          <a:xfrm>
                            <a:off x="0" y="0"/>
                            <a:ext cx="1022985" cy="273685"/>
                          </a:xfrm>
                          <a:prstGeom prst="rect">
                            <a:avLst/>
                          </a:prstGeom>
                          <a:noFill/>
                          <a:ln>
                            <a:noFill/>
                          </a:ln>
                        </pic:spPr>
                      </pic:pic>
                    </a:graphicData>
                  </a:graphic>
                </wp:inline>
              </w:drawing>
            </w:r>
            <w:r>
              <w:t>.</w:t>
            </w:r>
          </w:p>
        </w:tc>
      </w:tr>
    </w:tbl>
    <w:p w:rsidR="00212513" w:rsidRDefault="00212513">
      <w:pPr>
        <w:pStyle w:val="ConsPlusNormal"/>
        <w:ind w:firstLine="540"/>
        <w:jc w:val="both"/>
      </w:pPr>
    </w:p>
    <w:p w:rsidR="00212513" w:rsidRDefault="00212513">
      <w:pPr>
        <w:pStyle w:val="ConsPlusNormal"/>
        <w:jc w:val="right"/>
      </w:pPr>
      <w:bookmarkStart w:id="542" w:name="P16226"/>
      <w:bookmarkEnd w:id="542"/>
      <w:r>
        <w:t>Таблица Х.7</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71"/>
        <w:gridCol w:w="1264"/>
        <w:gridCol w:w="1264"/>
        <w:gridCol w:w="1264"/>
        <w:gridCol w:w="1264"/>
        <w:gridCol w:w="1266"/>
        <w:gridCol w:w="1374"/>
      </w:tblGrid>
      <w:tr w:rsidR="00212513">
        <w:tc>
          <w:tcPr>
            <w:tcW w:w="1371" w:type="dxa"/>
            <w:vMerge w:val="restart"/>
            <w:tcBorders>
              <w:top w:val="single" w:sz="4" w:space="0" w:color="auto"/>
              <w:bottom w:val="single" w:sz="4" w:space="0" w:color="auto"/>
            </w:tcBorders>
            <w:vAlign w:val="center"/>
          </w:tcPr>
          <w:p w:rsidR="00212513" w:rsidRDefault="00212513">
            <w:pPr>
              <w:pStyle w:val="ConsPlusNormal"/>
              <w:jc w:val="center"/>
            </w:pPr>
            <w:r>
              <w:rPr>
                <w:noProof/>
                <w:position w:val="-3"/>
              </w:rPr>
              <w:drawing>
                <wp:inline distT="0" distB="0" distL="0" distR="0">
                  <wp:extent cx="136525" cy="178435"/>
                  <wp:effectExtent l="0" t="0" r="0" b="0"/>
                  <wp:docPr id="28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1"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p>
        </w:tc>
        <w:tc>
          <w:tcPr>
            <w:tcW w:w="7696" w:type="dxa"/>
            <w:gridSpan w:val="6"/>
            <w:tcBorders>
              <w:top w:val="single" w:sz="4" w:space="0" w:color="auto"/>
              <w:bottom w:val="single" w:sz="4" w:space="0" w:color="auto"/>
            </w:tcBorders>
            <w:vAlign w:val="center"/>
          </w:tcPr>
          <w:p w:rsidR="00212513" w:rsidRDefault="00212513">
            <w:pPr>
              <w:pStyle w:val="ConsPlusNormal"/>
              <w:jc w:val="center"/>
            </w:pPr>
            <w:r>
              <w:t xml:space="preserve">Значение коэффициента </w:t>
            </w:r>
            <w:r>
              <w:rPr>
                <w:noProof/>
                <w:position w:val="-3"/>
              </w:rPr>
              <w:drawing>
                <wp:inline distT="0" distB="0" distL="0" distR="0">
                  <wp:extent cx="167640" cy="178435"/>
                  <wp:effectExtent l="0" t="0" r="0" b="0"/>
                  <wp:docPr id="28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2"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r>
              <w:t xml:space="preserve"> при </w:t>
            </w:r>
            <w:r>
              <w:rPr>
                <w:noProof/>
                <w:position w:val="-3"/>
              </w:rPr>
              <w:drawing>
                <wp:inline distT="0" distB="0" distL="0" distR="0">
                  <wp:extent cx="167640" cy="178435"/>
                  <wp:effectExtent l="0" t="0" r="0" b="0"/>
                  <wp:docPr id="28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3"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p>
        </w:tc>
      </w:tr>
      <w:tr w:rsidR="00212513">
        <w:tc>
          <w:tcPr>
            <w:tcW w:w="1371" w:type="dxa"/>
            <w:vMerge/>
            <w:tcBorders>
              <w:top w:val="single" w:sz="4" w:space="0" w:color="auto"/>
              <w:bottom w:val="single" w:sz="4" w:space="0" w:color="auto"/>
            </w:tcBorders>
          </w:tcPr>
          <w:p w:rsidR="00212513" w:rsidRDefault="00212513">
            <w:pPr>
              <w:pStyle w:val="ConsPlusNormal"/>
            </w:pPr>
          </w:p>
        </w:tc>
        <w:tc>
          <w:tcPr>
            <w:tcW w:w="1264" w:type="dxa"/>
            <w:tcBorders>
              <w:top w:val="single" w:sz="4" w:space="0" w:color="auto"/>
              <w:bottom w:val="single" w:sz="4" w:space="0" w:color="auto"/>
            </w:tcBorders>
            <w:vAlign w:val="center"/>
          </w:tcPr>
          <w:p w:rsidR="00212513" w:rsidRDefault="00212513">
            <w:pPr>
              <w:pStyle w:val="ConsPlusNormal"/>
              <w:jc w:val="center"/>
            </w:pPr>
            <w:r>
              <w:t>0,4</w:t>
            </w:r>
          </w:p>
        </w:tc>
        <w:tc>
          <w:tcPr>
            <w:tcW w:w="1264" w:type="dxa"/>
            <w:tcBorders>
              <w:top w:val="single" w:sz="4" w:space="0" w:color="auto"/>
              <w:bottom w:val="single" w:sz="4" w:space="0" w:color="auto"/>
            </w:tcBorders>
            <w:vAlign w:val="center"/>
          </w:tcPr>
          <w:p w:rsidR="00212513" w:rsidRDefault="00212513">
            <w:pPr>
              <w:pStyle w:val="ConsPlusNormal"/>
              <w:jc w:val="center"/>
            </w:pPr>
            <w:r>
              <w:t>0,6</w:t>
            </w:r>
          </w:p>
        </w:tc>
        <w:tc>
          <w:tcPr>
            <w:tcW w:w="1264" w:type="dxa"/>
            <w:tcBorders>
              <w:top w:val="single" w:sz="4" w:space="0" w:color="auto"/>
              <w:bottom w:val="single" w:sz="4" w:space="0" w:color="auto"/>
            </w:tcBorders>
            <w:vAlign w:val="center"/>
          </w:tcPr>
          <w:p w:rsidR="00212513" w:rsidRDefault="00212513">
            <w:pPr>
              <w:pStyle w:val="ConsPlusNormal"/>
              <w:jc w:val="center"/>
            </w:pPr>
            <w:r>
              <w:t>0,8</w:t>
            </w:r>
          </w:p>
        </w:tc>
        <w:tc>
          <w:tcPr>
            <w:tcW w:w="1264" w:type="dxa"/>
            <w:tcBorders>
              <w:top w:val="single" w:sz="4" w:space="0" w:color="auto"/>
              <w:bottom w:val="single" w:sz="4" w:space="0" w:color="auto"/>
            </w:tcBorders>
            <w:vAlign w:val="center"/>
          </w:tcPr>
          <w:p w:rsidR="00212513" w:rsidRDefault="00212513">
            <w:pPr>
              <w:pStyle w:val="ConsPlusNormal"/>
              <w:jc w:val="center"/>
            </w:pPr>
            <w:r>
              <w:t>1,0</w:t>
            </w:r>
          </w:p>
        </w:tc>
        <w:tc>
          <w:tcPr>
            <w:tcW w:w="1266" w:type="dxa"/>
            <w:tcBorders>
              <w:top w:val="single" w:sz="4" w:space="0" w:color="auto"/>
              <w:bottom w:val="single" w:sz="4" w:space="0" w:color="auto"/>
            </w:tcBorders>
            <w:vAlign w:val="center"/>
          </w:tcPr>
          <w:p w:rsidR="00212513" w:rsidRDefault="00212513">
            <w:pPr>
              <w:pStyle w:val="ConsPlusNormal"/>
              <w:jc w:val="center"/>
            </w:pPr>
            <w:r>
              <w:t>1,5</w:t>
            </w:r>
          </w:p>
        </w:tc>
        <w:tc>
          <w:tcPr>
            <w:tcW w:w="1374" w:type="dxa"/>
            <w:tcBorders>
              <w:top w:val="single" w:sz="4" w:space="0" w:color="auto"/>
              <w:bottom w:val="single" w:sz="4" w:space="0" w:color="auto"/>
            </w:tcBorders>
            <w:vAlign w:val="center"/>
          </w:tcPr>
          <w:p w:rsidR="00212513" w:rsidRDefault="00212513">
            <w:pPr>
              <w:pStyle w:val="ConsPlusNormal"/>
              <w:jc w:val="center"/>
            </w:pPr>
            <w:r>
              <w:t>2,0 и более</w:t>
            </w:r>
          </w:p>
        </w:tc>
      </w:tr>
      <w:tr w:rsidR="00212513">
        <w:tblPrEx>
          <w:tblBorders>
            <w:insideH w:val="none" w:sz="0" w:space="0" w:color="auto"/>
          </w:tblBorders>
        </w:tblPrEx>
        <w:tc>
          <w:tcPr>
            <w:tcW w:w="1371" w:type="dxa"/>
            <w:tcBorders>
              <w:top w:val="single" w:sz="4" w:space="0" w:color="auto"/>
              <w:bottom w:val="nil"/>
            </w:tcBorders>
          </w:tcPr>
          <w:p w:rsidR="00212513" w:rsidRDefault="00212513">
            <w:pPr>
              <w:pStyle w:val="ConsPlusNormal"/>
              <w:jc w:val="center"/>
            </w:pPr>
            <w:r>
              <w:t>0,25</w:t>
            </w:r>
          </w:p>
        </w:tc>
        <w:tc>
          <w:tcPr>
            <w:tcW w:w="1264" w:type="dxa"/>
            <w:tcBorders>
              <w:top w:val="single" w:sz="4" w:space="0" w:color="auto"/>
              <w:bottom w:val="nil"/>
            </w:tcBorders>
          </w:tcPr>
          <w:p w:rsidR="00212513" w:rsidRDefault="00212513">
            <w:pPr>
              <w:pStyle w:val="ConsPlusNormal"/>
              <w:jc w:val="center"/>
            </w:pPr>
            <w:r>
              <w:t>1,19</w:t>
            </w:r>
          </w:p>
        </w:tc>
        <w:tc>
          <w:tcPr>
            <w:tcW w:w="1264" w:type="dxa"/>
            <w:tcBorders>
              <w:top w:val="single" w:sz="4" w:space="0" w:color="auto"/>
              <w:bottom w:val="nil"/>
            </w:tcBorders>
          </w:tcPr>
          <w:p w:rsidR="00212513" w:rsidRDefault="00212513">
            <w:pPr>
              <w:pStyle w:val="ConsPlusNormal"/>
              <w:jc w:val="center"/>
            </w:pPr>
            <w:r>
              <w:t>1,19</w:t>
            </w:r>
          </w:p>
        </w:tc>
        <w:tc>
          <w:tcPr>
            <w:tcW w:w="1264" w:type="dxa"/>
            <w:tcBorders>
              <w:top w:val="single" w:sz="4" w:space="0" w:color="auto"/>
              <w:bottom w:val="nil"/>
            </w:tcBorders>
          </w:tcPr>
          <w:p w:rsidR="00212513" w:rsidRDefault="00212513">
            <w:pPr>
              <w:pStyle w:val="ConsPlusNormal"/>
              <w:jc w:val="center"/>
            </w:pPr>
            <w:r>
              <w:t>1,20</w:t>
            </w:r>
          </w:p>
        </w:tc>
        <w:tc>
          <w:tcPr>
            <w:tcW w:w="1264" w:type="dxa"/>
            <w:tcBorders>
              <w:top w:val="single" w:sz="4" w:space="0" w:color="auto"/>
              <w:bottom w:val="nil"/>
            </w:tcBorders>
          </w:tcPr>
          <w:p w:rsidR="00212513" w:rsidRDefault="00212513">
            <w:pPr>
              <w:pStyle w:val="ConsPlusNormal"/>
              <w:jc w:val="center"/>
            </w:pPr>
            <w:r>
              <w:t>1,20</w:t>
            </w:r>
          </w:p>
        </w:tc>
        <w:tc>
          <w:tcPr>
            <w:tcW w:w="1266" w:type="dxa"/>
            <w:tcBorders>
              <w:top w:val="single" w:sz="4" w:space="0" w:color="auto"/>
              <w:bottom w:val="nil"/>
            </w:tcBorders>
          </w:tcPr>
          <w:p w:rsidR="00212513" w:rsidRDefault="00212513">
            <w:pPr>
              <w:pStyle w:val="ConsPlusNormal"/>
              <w:jc w:val="center"/>
            </w:pPr>
            <w:r>
              <w:t>1,19</w:t>
            </w:r>
          </w:p>
        </w:tc>
        <w:tc>
          <w:tcPr>
            <w:tcW w:w="1374" w:type="dxa"/>
            <w:tcBorders>
              <w:top w:val="single" w:sz="4" w:space="0" w:color="auto"/>
              <w:bottom w:val="nil"/>
            </w:tcBorders>
          </w:tcPr>
          <w:p w:rsidR="00212513" w:rsidRDefault="00212513">
            <w:pPr>
              <w:pStyle w:val="ConsPlusNormal"/>
              <w:jc w:val="center"/>
            </w:pPr>
            <w:r>
              <w:t>1,18</w:t>
            </w:r>
          </w:p>
        </w:tc>
      </w:tr>
      <w:tr w:rsidR="00212513">
        <w:tblPrEx>
          <w:tblBorders>
            <w:insideH w:val="none" w:sz="0" w:space="0" w:color="auto"/>
          </w:tblBorders>
        </w:tblPrEx>
        <w:tc>
          <w:tcPr>
            <w:tcW w:w="1371" w:type="dxa"/>
            <w:tcBorders>
              <w:top w:val="nil"/>
              <w:bottom w:val="nil"/>
            </w:tcBorders>
          </w:tcPr>
          <w:p w:rsidR="00212513" w:rsidRDefault="00212513">
            <w:pPr>
              <w:pStyle w:val="ConsPlusNormal"/>
              <w:jc w:val="center"/>
            </w:pPr>
            <w:r>
              <w:t>0,5</w:t>
            </w:r>
          </w:p>
        </w:tc>
        <w:tc>
          <w:tcPr>
            <w:tcW w:w="1264" w:type="dxa"/>
            <w:tcBorders>
              <w:top w:val="nil"/>
              <w:bottom w:val="nil"/>
            </w:tcBorders>
          </w:tcPr>
          <w:p w:rsidR="00212513" w:rsidRDefault="00212513">
            <w:pPr>
              <w:pStyle w:val="ConsPlusNormal"/>
              <w:jc w:val="center"/>
            </w:pPr>
            <w:r>
              <w:t>1,24</w:t>
            </w:r>
          </w:p>
        </w:tc>
        <w:tc>
          <w:tcPr>
            <w:tcW w:w="1264" w:type="dxa"/>
            <w:tcBorders>
              <w:top w:val="nil"/>
              <w:bottom w:val="nil"/>
            </w:tcBorders>
          </w:tcPr>
          <w:p w:rsidR="00212513" w:rsidRDefault="00212513">
            <w:pPr>
              <w:pStyle w:val="ConsPlusNormal"/>
              <w:jc w:val="center"/>
            </w:pPr>
            <w:r>
              <w:t>1,29</w:t>
            </w:r>
          </w:p>
        </w:tc>
        <w:tc>
          <w:tcPr>
            <w:tcW w:w="1264" w:type="dxa"/>
            <w:tcBorders>
              <w:top w:val="nil"/>
              <w:bottom w:val="nil"/>
            </w:tcBorders>
          </w:tcPr>
          <w:p w:rsidR="00212513" w:rsidRDefault="00212513">
            <w:pPr>
              <w:pStyle w:val="ConsPlusNormal"/>
              <w:jc w:val="center"/>
            </w:pPr>
            <w:r>
              <w:t>1,30</w:t>
            </w:r>
          </w:p>
        </w:tc>
        <w:tc>
          <w:tcPr>
            <w:tcW w:w="1264" w:type="dxa"/>
            <w:tcBorders>
              <w:top w:val="nil"/>
              <w:bottom w:val="nil"/>
            </w:tcBorders>
          </w:tcPr>
          <w:p w:rsidR="00212513" w:rsidRDefault="00212513">
            <w:pPr>
              <w:pStyle w:val="ConsPlusNormal"/>
              <w:jc w:val="center"/>
            </w:pPr>
            <w:r>
              <w:t>1,32</w:t>
            </w:r>
          </w:p>
        </w:tc>
        <w:tc>
          <w:tcPr>
            <w:tcW w:w="1266" w:type="dxa"/>
            <w:tcBorders>
              <w:top w:val="nil"/>
              <w:bottom w:val="nil"/>
            </w:tcBorders>
          </w:tcPr>
          <w:p w:rsidR="00212513" w:rsidRDefault="00212513">
            <w:pPr>
              <w:pStyle w:val="ConsPlusNormal"/>
              <w:jc w:val="center"/>
            </w:pPr>
            <w:r>
              <w:t>1,32</w:t>
            </w:r>
          </w:p>
        </w:tc>
        <w:tc>
          <w:tcPr>
            <w:tcW w:w="1374" w:type="dxa"/>
            <w:tcBorders>
              <w:top w:val="nil"/>
              <w:bottom w:val="nil"/>
            </w:tcBorders>
          </w:tcPr>
          <w:p w:rsidR="00212513" w:rsidRDefault="00212513">
            <w:pPr>
              <w:pStyle w:val="ConsPlusNormal"/>
              <w:jc w:val="center"/>
            </w:pPr>
            <w:r>
              <w:t>1,32</w:t>
            </w:r>
          </w:p>
        </w:tc>
      </w:tr>
      <w:tr w:rsidR="00212513">
        <w:tblPrEx>
          <w:tblBorders>
            <w:insideH w:val="none" w:sz="0" w:space="0" w:color="auto"/>
          </w:tblBorders>
        </w:tblPrEx>
        <w:tc>
          <w:tcPr>
            <w:tcW w:w="1371" w:type="dxa"/>
            <w:tcBorders>
              <w:top w:val="nil"/>
              <w:bottom w:val="nil"/>
            </w:tcBorders>
          </w:tcPr>
          <w:p w:rsidR="00212513" w:rsidRDefault="00212513">
            <w:pPr>
              <w:pStyle w:val="ConsPlusNormal"/>
              <w:jc w:val="center"/>
            </w:pPr>
            <w:r>
              <w:t>1,0</w:t>
            </w:r>
          </w:p>
        </w:tc>
        <w:tc>
          <w:tcPr>
            <w:tcW w:w="1264" w:type="dxa"/>
            <w:tcBorders>
              <w:top w:val="nil"/>
              <w:bottom w:val="nil"/>
            </w:tcBorders>
          </w:tcPr>
          <w:p w:rsidR="00212513" w:rsidRDefault="00212513">
            <w:pPr>
              <w:pStyle w:val="ConsPlusNormal"/>
              <w:jc w:val="center"/>
            </w:pPr>
            <w:r>
              <w:t>1,28</w:t>
            </w:r>
          </w:p>
        </w:tc>
        <w:tc>
          <w:tcPr>
            <w:tcW w:w="1264" w:type="dxa"/>
            <w:tcBorders>
              <w:top w:val="nil"/>
              <w:bottom w:val="nil"/>
            </w:tcBorders>
          </w:tcPr>
          <w:p w:rsidR="00212513" w:rsidRDefault="00212513">
            <w:pPr>
              <w:pStyle w:val="ConsPlusNormal"/>
              <w:jc w:val="center"/>
            </w:pPr>
            <w:r>
              <w:t>1,36</w:t>
            </w:r>
          </w:p>
        </w:tc>
        <w:tc>
          <w:tcPr>
            <w:tcW w:w="1264" w:type="dxa"/>
            <w:tcBorders>
              <w:top w:val="nil"/>
              <w:bottom w:val="nil"/>
            </w:tcBorders>
          </w:tcPr>
          <w:p w:rsidR="00212513" w:rsidRDefault="00212513">
            <w:pPr>
              <w:pStyle w:val="ConsPlusNormal"/>
              <w:jc w:val="center"/>
            </w:pPr>
            <w:r>
              <w:t>1,41</w:t>
            </w:r>
          </w:p>
        </w:tc>
        <w:tc>
          <w:tcPr>
            <w:tcW w:w="1264" w:type="dxa"/>
            <w:tcBorders>
              <w:top w:val="nil"/>
              <w:bottom w:val="nil"/>
            </w:tcBorders>
          </w:tcPr>
          <w:p w:rsidR="00212513" w:rsidRDefault="00212513">
            <w:pPr>
              <w:pStyle w:val="ConsPlusNormal"/>
              <w:jc w:val="center"/>
            </w:pPr>
            <w:r>
              <w:t>1,47</w:t>
            </w:r>
          </w:p>
        </w:tc>
        <w:tc>
          <w:tcPr>
            <w:tcW w:w="1266" w:type="dxa"/>
            <w:tcBorders>
              <w:top w:val="nil"/>
              <w:bottom w:val="nil"/>
            </w:tcBorders>
          </w:tcPr>
          <w:p w:rsidR="00212513" w:rsidRDefault="00212513">
            <w:pPr>
              <w:pStyle w:val="ConsPlusNormal"/>
              <w:jc w:val="center"/>
            </w:pPr>
            <w:r>
              <w:t>1,52</w:t>
            </w:r>
          </w:p>
        </w:tc>
        <w:tc>
          <w:tcPr>
            <w:tcW w:w="1374" w:type="dxa"/>
            <w:tcBorders>
              <w:top w:val="nil"/>
              <w:bottom w:val="nil"/>
            </w:tcBorders>
          </w:tcPr>
          <w:p w:rsidR="00212513" w:rsidRDefault="00212513">
            <w:pPr>
              <w:pStyle w:val="ConsPlusNormal"/>
              <w:jc w:val="center"/>
            </w:pPr>
            <w:r>
              <w:t>1,56</w:t>
            </w:r>
          </w:p>
        </w:tc>
      </w:tr>
      <w:tr w:rsidR="00212513">
        <w:tblPrEx>
          <w:tblBorders>
            <w:insideH w:val="none" w:sz="0" w:space="0" w:color="auto"/>
          </w:tblBorders>
        </w:tblPrEx>
        <w:tc>
          <w:tcPr>
            <w:tcW w:w="1371" w:type="dxa"/>
            <w:tcBorders>
              <w:top w:val="nil"/>
              <w:bottom w:val="nil"/>
            </w:tcBorders>
          </w:tcPr>
          <w:p w:rsidR="00212513" w:rsidRDefault="00212513">
            <w:pPr>
              <w:pStyle w:val="ConsPlusNormal"/>
              <w:jc w:val="center"/>
            </w:pPr>
            <w:r>
              <w:t>4,0</w:t>
            </w:r>
          </w:p>
        </w:tc>
        <w:tc>
          <w:tcPr>
            <w:tcW w:w="1264" w:type="dxa"/>
            <w:tcBorders>
              <w:top w:val="nil"/>
              <w:bottom w:val="nil"/>
            </w:tcBorders>
          </w:tcPr>
          <w:p w:rsidR="00212513" w:rsidRDefault="00212513">
            <w:pPr>
              <w:pStyle w:val="ConsPlusNormal"/>
              <w:jc w:val="center"/>
            </w:pPr>
            <w:r>
              <w:t>1,32</w:t>
            </w:r>
          </w:p>
        </w:tc>
        <w:tc>
          <w:tcPr>
            <w:tcW w:w="1264" w:type="dxa"/>
            <w:tcBorders>
              <w:top w:val="nil"/>
              <w:bottom w:val="nil"/>
            </w:tcBorders>
          </w:tcPr>
          <w:p w:rsidR="00212513" w:rsidRDefault="00212513">
            <w:pPr>
              <w:pStyle w:val="ConsPlusNormal"/>
              <w:jc w:val="center"/>
            </w:pPr>
            <w:r>
              <w:t>1,45</w:t>
            </w:r>
          </w:p>
        </w:tc>
        <w:tc>
          <w:tcPr>
            <w:tcW w:w="1264" w:type="dxa"/>
            <w:tcBorders>
              <w:top w:val="nil"/>
              <w:bottom w:val="nil"/>
            </w:tcBorders>
          </w:tcPr>
          <w:p w:rsidR="00212513" w:rsidRDefault="00212513">
            <w:pPr>
              <w:pStyle w:val="ConsPlusNormal"/>
              <w:jc w:val="center"/>
            </w:pPr>
            <w:r>
              <w:t>1,57</w:t>
            </w:r>
          </w:p>
        </w:tc>
        <w:tc>
          <w:tcPr>
            <w:tcW w:w="1264" w:type="dxa"/>
            <w:tcBorders>
              <w:top w:val="nil"/>
              <w:bottom w:val="nil"/>
            </w:tcBorders>
          </w:tcPr>
          <w:p w:rsidR="00212513" w:rsidRDefault="00212513">
            <w:pPr>
              <w:pStyle w:val="ConsPlusNormal"/>
              <w:jc w:val="center"/>
            </w:pPr>
            <w:r>
              <w:t>1,73</w:t>
            </w:r>
          </w:p>
        </w:tc>
        <w:tc>
          <w:tcPr>
            <w:tcW w:w="1266" w:type="dxa"/>
            <w:tcBorders>
              <w:top w:val="nil"/>
              <w:bottom w:val="nil"/>
            </w:tcBorders>
          </w:tcPr>
          <w:p w:rsidR="00212513" w:rsidRDefault="00212513">
            <w:pPr>
              <w:pStyle w:val="ConsPlusNormal"/>
              <w:jc w:val="center"/>
            </w:pPr>
            <w:r>
              <w:t>1,97</w:t>
            </w:r>
          </w:p>
        </w:tc>
        <w:tc>
          <w:tcPr>
            <w:tcW w:w="1374" w:type="dxa"/>
            <w:tcBorders>
              <w:top w:val="nil"/>
              <w:bottom w:val="nil"/>
            </w:tcBorders>
          </w:tcPr>
          <w:p w:rsidR="00212513" w:rsidRDefault="00212513">
            <w:pPr>
              <w:pStyle w:val="ConsPlusNormal"/>
              <w:jc w:val="center"/>
            </w:pPr>
            <w:r>
              <w:t>2,21</w:t>
            </w:r>
          </w:p>
        </w:tc>
      </w:tr>
      <w:tr w:rsidR="00212513">
        <w:tblPrEx>
          <w:tblBorders>
            <w:insideH w:val="none" w:sz="0" w:space="0" w:color="auto"/>
          </w:tblBorders>
        </w:tblPrEx>
        <w:tc>
          <w:tcPr>
            <w:tcW w:w="1371" w:type="dxa"/>
            <w:tcBorders>
              <w:top w:val="nil"/>
              <w:bottom w:val="single" w:sz="4" w:space="0" w:color="auto"/>
            </w:tcBorders>
          </w:tcPr>
          <w:p w:rsidR="00212513" w:rsidRDefault="00212513">
            <w:pPr>
              <w:pStyle w:val="ConsPlusNormal"/>
              <w:jc w:val="center"/>
            </w:pPr>
            <w:r>
              <w:t>10 и более</w:t>
            </w:r>
          </w:p>
        </w:tc>
        <w:tc>
          <w:tcPr>
            <w:tcW w:w="1264" w:type="dxa"/>
            <w:tcBorders>
              <w:top w:val="nil"/>
              <w:bottom w:val="single" w:sz="4" w:space="0" w:color="auto"/>
            </w:tcBorders>
          </w:tcPr>
          <w:p w:rsidR="00212513" w:rsidRDefault="00212513">
            <w:pPr>
              <w:pStyle w:val="ConsPlusNormal"/>
              <w:jc w:val="center"/>
            </w:pPr>
            <w:r>
              <w:t>1,34</w:t>
            </w:r>
          </w:p>
        </w:tc>
        <w:tc>
          <w:tcPr>
            <w:tcW w:w="1264" w:type="dxa"/>
            <w:tcBorders>
              <w:top w:val="nil"/>
              <w:bottom w:val="single" w:sz="4" w:space="0" w:color="auto"/>
            </w:tcBorders>
          </w:tcPr>
          <w:p w:rsidR="00212513" w:rsidRDefault="00212513">
            <w:pPr>
              <w:pStyle w:val="ConsPlusNormal"/>
              <w:jc w:val="center"/>
            </w:pPr>
            <w:r>
              <w:t>1,49</w:t>
            </w:r>
          </w:p>
        </w:tc>
        <w:tc>
          <w:tcPr>
            <w:tcW w:w="1264" w:type="dxa"/>
            <w:tcBorders>
              <w:top w:val="nil"/>
              <w:bottom w:val="single" w:sz="4" w:space="0" w:color="auto"/>
            </w:tcBorders>
          </w:tcPr>
          <w:p w:rsidR="00212513" w:rsidRDefault="00212513">
            <w:pPr>
              <w:pStyle w:val="ConsPlusNormal"/>
              <w:jc w:val="center"/>
            </w:pPr>
            <w:r>
              <w:t>1,65</w:t>
            </w:r>
          </w:p>
        </w:tc>
        <w:tc>
          <w:tcPr>
            <w:tcW w:w="1264" w:type="dxa"/>
            <w:tcBorders>
              <w:top w:val="nil"/>
              <w:bottom w:val="single" w:sz="4" w:space="0" w:color="auto"/>
            </w:tcBorders>
          </w:tcPr>
          <w:p w:rsidR="00212513" w:rsidRDefault="00212513">
            <w:pPr>
              <w:pStyle w:val="ConsPlusNormal"/>
              <w:jc w:val="center"/>
            </w:pPr>
            <w:r>
              <w:t>1,88</w:t>
            </w:r>
          </w:p>
        </w:tc>
        <w:tc>
          <w:tcPr>
            <w:tcW w:w="1266" w:type="dxa"/>
            <w:tcBorders>
              <w:top w:val="nil"/>
              <w:bottom w:val="single" w:sz="4" w:space="0" w:color="auto"/>
            </w:tcBorders>
          </w:tcPr>
          <w:p w:rsidR="00212513" w:rsidRDefault="00212513">
            <w:pPr>
              <w:pStyle w:val="ConsPlusNormal"/>
              <w:jc w:val="center"/>
            </w:pPr>
            <w:r>
              <w:t>2,51</w:t>
            </w:r>
          </w:p>
        </w:tc>
        <w:tc>
          <w:tcPr>
            <w:tcW w:w="1374" w:type="dxa"/>
            <w:tcBorders>
              <w:top w:val="nil"/>
              <w:bottom w:val="single" w:sz="4" w:space="0" w:color="auto"/>
            </w:tcBorders>
          </w:tcPr>
          <w:p w:rsidR="00212513" w:rsidRDefault="00212513">
            <w:pPr>
              <w:pStyle w:val="ConsPlusNormal"/>
              <w:jc w:val="center"/>
            </w:pPr>
            <w:r>
              <w:t>2,95</w:t>
            </w:r>
          </w:p>
        </w:tc>
      </w:tr>
    </w:tbl>
    <w:p w:rsidR="00212513" w:rsidRDefault="00212513">
      <w:pPr>
        <w:pStyle w:val="ConsPlusNormal"/>
        <w:ind w:firstLine="540"/>
        <w:jc w:val="both"/>
      </w:pPr>
    </w:p>
    <w:p w:rsidR="00212513" w:rsidRDefault="00212513">
      <w:pPr>
        <w:pStyle w:val="ConsPlusNormal"/>
        <w:jc w:val="right"/>
      </w:pPr>
      <w:bookmarkStart w:id="543" w:name="P16272"/>
      <w:bookmarkEnd w:id="543"/>
      <w:r>
        <w:t>Таблица Х.8</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81"/>
        <w:gridCol w:w="3981"/>
      </w:tblGrid>
      <w:tr w:rsidR="00212513">
        <w:tc>
          <w:tcPr>
            <w:tcW w:w="3981" w:type="dxa"/>
            <w:tcBorders>
              <w:top w:val="single" w:sz="4" w:space="0" w:color="auto"/>
              <w:bottom w:val="single" w:sz="4" w:space="0" w:color="auto"/>
            </w:tcBorders>
            <w:vAlign w:val="center"/>
          </w:tcPr>
          <w:p w:rsidR="00212513" w:rsidRDefault="00212513">
            <w:pPr>
              <w:pStyle w:val="ConsPlusNormal"/>
              <w:jc w:val="center"/>
            </w:pPr>
            <w:r>
              <w:rPr>
                <w:noProof/>
                <w:position w:val="-3"/>
              </w:rPr>
              <w:drawing>
                <wp:inline distT="0" distB="0" distL="0" distR="0">
                  <wp:extent cx="167640" cy="178435"/>
                  <wp:effectExtent l="0" t="0" r="0" b="0"/>
                  <wp:docPr id="28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4"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p>
        </w:tc>
        <w:tc>
          <w:tcPr>
            <w:tcW w:w="3981" w:type="dxa"/>
            <w:tcBorders>
              <w:top w:val="single" w:sz="4" w:space="0" w:color="auto"/>
              <w:bottom w:val="single" w:sz="4" w:space="0" w:color="auto"/>
            </w:tcBorders>
            <w:vAlign w:val="center"/>
          </w:tcPr>
          <w:p w:rsidR="00212513" w:rsidRDefault="00212513">
            <w:pPr>
              <w:pStyle w:val="ConsPlusNormal"/>
              <w:jc w:val="center"/>
            </w:pPr>
            <w:r>
              <w:rPr>
                <w:i/>
              </w:rPr>
              <w:t>z</w:t>
            </w:r>
          </w:p>
        </w:tc>
      </w:tr>
      <w:tr w:rsidR="00212513">
        <w:tblPrEx>
          <w:tblBorders>
            <w:insideH w:val="none" w:sz="0" w:space="0" w:color="auto"/>
          </w:tblBorders>
        </w:tblPrEx>
        <w:tc>
          <w:tcPr>
            <w:tcW w:w="3981" w:type="dxa"/>
            <w:tcBorders>
              <w:top w:val="single" w:sz="4" w:space="0" w:color="auto"/>
              <w:bottom w:val="nil"/>
            </w:tcBorders>
          </w:tcPr>
          <w:p w:rsidR="00212513" w:rsidRDefault="00212513">
            <w:pPr>
              <w:pStyle w:val="ConsPlusNormal"/>
              <w:jc w:val="center"/>
            </w:pPr>
            <w:r>
              <w:t>0,4</w:t>
            </w:r>
          </w:p>
        </w:tc>
        <w:tc>
          <w:tcPr>
            <w:tcW w:w="3981" w:type="dxa"/>
            <w:tcBorders>
              <w:top w:val="single" w:sz="4" w:space="0" w:color="auto"/>
              <w:bottom w:val="nil"/>
            </w:tcBorders>
          </w:tcPr>
          <w:p w:rsidR="00212513" w:rsidRDefault="00212513">
            <w:pPr>
              <w:pStyle w:val="ConsPlusNormal"/>
              <w:jc w:val="center"/>
            </w:pPr>
            <w:r>
              <w:t>4,88</w:t>
            </w:r>
          </w:p>
        </w:tc>
      </w:tr>
      <w:tr w:rsidR="00212513">
        <w:tblPrEx>
          <w:tblBorders>
            <w:insideH w:val="none" w:sz="0" w:space="0" w:color="auto"/>
          </w:tblBorders>
        </w:tblPrEx>
        <w:tc>
          <w:tcPr>
            <w:tcW w:w="3981" w:type="dxa"/>
            <w:tcBorders>
              <w:top w:val="nil"/>
              <w:bottom w:val="nil"/>
            </w:tcBorders>
          </w:tcPr>
          <w:p w:rsidR="00212513" w:rsidRDefault="00212513">
            <w:pPr>
              <w:pStyle w:val="ConsPlusNormal"/>
              <w:jc w:val="center"/>
            </w:pPr>
            <w:r>
              <w:t>0,5</w:t>
            </w:r>
          </w:p>
        </w:tc>
        <w:tc>
          <w:tcPr>
            <w:tcW w:w="3981" w:type="dxa"/>
            <w:tcBorders>
              <w:top w:val="nil"/>
              <w:bottom w:val="nil"/>
            </w:tcBorders>
          </w:tcPr>
          <w:p w:rsidR="00212513" w:rsidRDefault="00212513">
            <w:pPr>
              <w:pStyle w:val="ConsPlusNormal"/>
              <w:jc w:val="center"/>
            </w:pPr>
            <w:r>
              <w:t>5,12</w:t>
            </w:r>
          </w:p>
        </w:tc>
      </w:tr>
      <w:tr w:rsidR="00212513">
        <w:tblPrEx>
          <w:tblBorders>
            <w:insideH w:val="none" w:sz="0" w:space="0" w:color="auto"/>
          </w:tblBorders>
        </w:tblPrEx>
        <w:tc>
          <w:tcPr>
            <w:tcW w:w="3981" w:type="dxa"/>
            <w:tcBorders>
              <w:top w:val="nil"/>
              <w:bottom w:val="nil"/>
            </w:tcBorders>
          </w:tcPr>
          <w:p w:rsidR="00212513" w:rsidRDefault="00212513">
            <w:pPr>
              <w:pStyle w:val="ConsPlusNormal"/>
              <w:jc w:val="center"/>
            </w:pPr>
            <w:r>
              <w:t>0,6</w:t>
            </w:r>
          </w:p>
        </w:tc>
        <w:tc>
          <w:tcPr>
            <w:tcW w:w="3981" w:type="dxa"/>
            <w:tcBorders>
              <w:top w:val="nil"/>
              <w:bottom w:val="nil"/>
            </w:tcBorders>
          </w:tcPr>
          <w:p w:rsidR="00212513" w:rsidRDefault="00212513">
            <w:pPr>
              <w:pStyle w:val="ConsPlusNormal"/>
              <w:jc w:val="center"/>
            </w:pPr>
            <w:r>
              <w:t>5,37</w:t>
            </w:r>
          </w:p>
        </w:tc>
      </w:tr>
      <w:tr w:rsidR="00212513">
        <w:tblPrEx>
          <w:tblBorders>
            <w:insideH w:val="none" w:sz="0" w:space="0" w:color="auto"/>
          </w:tblBorders>
        </w:tblPrEx>
        <w:tc>
          <w:tcPr>
            <w:tcW w:w="3981" w:type="dxa"/>
            <w:tcBorders>
              <w:top w:val="nil"/>
              <w:bottom w:val="nil"/>
            </w:tcBorders>
          </w:tcPr>
          <w:p w:rsidR="00212513" w:rsidRDefault="00212513">
            <w:pPr>
              <w:pStyle w:val="ConsPlusNormal"/>
              <w:jc w:val="center"/>
            </w:pPr>
            <w:r>
              <w:t>0,7</w:t>
            </w:r>
          </w:p>
        </w:tc>
        <w:tc>
          <w:tcPr>
            <w:tcW w:w="3981" w:type="dxa"/>
            <w:tcBorders>
              <w:top w:val="nil"/>
              <w:bottom w:val="nil"/>
            </w:tcBorders>
          </w:tcPr>
          <w:p w:rsidR="00212513" w:rsidRDefault="00212513">
            <w:pPr>
              <w:pStyle w:val="ConsPlusNormal"/>
              <w:jc w:val="center"/>
            </w:pPr>
            <w:r>
              <w:t>5,59</w:t>
            </w:r>
          </w:p>
        </w:tc>
      </w:tr>
      <w:tr w:rsidR="00212513">
        <w:tblPrEx>
          <w:tblBorders>
            <w:insideH w:val="none" w:sz="0" w:space="0" w:color="auto"/>
          </w:tblBorders>
        </w:tblPrEx>
        <w:tc>
          <w:tcPr>
            <w:tcW w:w="3981" w:type="dxa"/>
            <w:tcBorders>
              <w:top w:val="nil"/>
              <w:bottom w:val="nil"/>
            </w:tcBorders>
          </w:tcPr>
          <w:p w:rsidR="00212513" w:rsidRDefault="00212513">
            <w:pPr>
              <w:pStyle w:val="ConsPlusNormal"/>
              <w:jc w:val="center"/>
            </w:pPr>
            <w:r>
              <w:t>0,8</w:t>
            </w:r>
          </w:p>
        </w:tc>
        <w:tc>
          <w:tcPr>
            <w:tcW w:w="3981" w:type="dxa"/>
            <w:tcBorders>
              <w:top w:val="nil"/>
              <w:bottom w:val="nil"/>
            </w:tcBorders>
          </w:tcPr>
          <w:p w:rsidR="00212513" w:rsidRDefault="00212513">
            <w:pPr>
              <w:pStyle w:val="ConsPlusNormal"/>
              <w:jc w:val="center"/>
            </w:pPr>
            <w:r>
              <w:t>5,80</w:t>
            </w:r>
          </w:p>
        </w:tc>
      </w:tr>
      <w:tr w:rsidR="00212513">
        <w:tblPrEx>
          <w:tblBorders>
            <w:insideH w:val="none" w:sz="0" w:space="0" w:color="auto"/>
          </w:tblBorders>
        </w:tblPrEx>
        <w:tc>
          <w:tcPr>
            <w:tcW w:w="3981" w:type="dxa"/>
            <w:tcBorders>
              <w:top w:val="nil"/>
              <w:bottom w:val="nil"/>
            </w:tcBorders>
          </w:tcPr>
          <w:p w:rsidR="00212513" w:rsidRDefault="00212513">
            <w:pPr>
              <w:pStyle w:val="ConsPlusNormal"/>
              <w:jc w:val="center"/>
            </w:pPr>
            <w:r>
              <w:t>1,0</w:t>
            </w:r>
          </w:p>
        </w:tc>
        <w:tc>
          <w:tcPr>
            <w:tcW w:w="3981" w:type="dxa"/>
            <w:tcBorders>
              <w:top w:val="nil"/>
              <w:bottom w:val="nil"/>
            </w:tcBorders>
          </w:tcPr>
          <w:p w:rsidR="00212513" w:rsidRDefault="00212513">
            <w:pPr>
              <w:pStyle w:val="ConsPlusNormal"/>
              <w:jc w:val="center"/>
            </w:pPr>
            <w:r>
              <w:t>6,26</w:t>
            </w:r>
          </w:p>
        </w:tc>
      </w:tr>
      <w:tr w:rsidR="00212513">
        <w:tblPrEx>
          <w:tblBorders>
            <w:insideH w:val="none" w:sz="0" w:space="0" w:color="auto"/>
          </w:tblBorders>
        </w:tblPrEx>
        <w:tc>
          <w:tcPr>
            <w:tcW w:w="3981" w:type="dxa"/>
            <w:tcBorders>
              <w:top w:val="nil"/>
              <w:bottom w:val="nil"/>
            </w:tcBorders>
          </w:tcPr>
          <w:p w:rsidR="00212513" w:rsidRDefault="00212513">
            <w:pPr>
              <w:pStyle w:val="ConsPlusNormal"/>
              <w:jc w:val="center"/>
            </w:pPr>
            <w:r>
              <w:t>1,2</w:t>
            </w:r>
          </w:p>
        </w:tc>
        <w:tc>
          <w:tcPr>
            <w:tcW w:w="3981" w:type="dxa"/>
            <w:tcBorders>
              <w:top w:val="nil"/>
              <w:bottom w:val="nil"/>
            </w:tcBorders>
          </w:tcPr>
          <w:p w:rsidR="00212513" w:rsidRDefault="00212513">
            <w:pPr>
              <w:pStyle w:val="ConsPlusNormal"/>
              <w:jc w:val="center"/>
            </w:pPr>
            <w:r>
              <w:t>6,87</w:t>
            </w:r>
          </w:p>
        </w:tc>
      </w:tr>
      <w:tr w:rsidR="00212513">
        <w:tblPrEx>
          <w:tblBorders>
            <w:insideH w:val="none" w:sz="0" w:space="0" w:color="auto"/>
          </w:tblBorders>
        </w:tblPrEx>
        <w:tc>
          <w:tcPr>
            <w:tcW w:w="3981" w:type="dxa"/>
            <w:tcBorders>
              <w:top w:val="nil"/>
              <w:bottom w:val="nil"/>
            </w:tcBorders>
          </w:tcPr>
          <w:p w:rsidR="00212513" w:rsidRDefault="00212513">
            <w:pPr>
              <w:pStyle w:val="ConsPlusNormal"/>
              <w:jc w:val="center"/>
            </w:pPr>
            <w:r>
              <w:t>1,4</w:t>
            </w:r>
          </w:p>
        </w:tc>
        <w:tc>
          <w:tcPr>
            <w:tcW w:w="3981" w:type="dxa"/>
            <w:tcBorders>
              <w:top w:val="nil"/>
              <w:bottom w:val="nil"/>
            </w:tcBorders>
          </w:tcPr>
          <w:p w:rsidR="00212513" w:rsidRDefault="00212513">
            <w:pPr>
              <w:pStyle w:val="ConsPlusNormal"/>
              <w:jc w:val="center"/>
            </w:pPr>
            <w:r>
              <w:t>7,69</w:t>
            </w:r>
          </w:p>
        </w:tc>
      </w:tr>
      <w:tr w:rsidR="00212513">
        <w:tblPrEx>
          <w:tblBorders>
            <w:insideH w:val="none" w:sz="0" w:space="0" w:color="auto"/>
          </w:tblBorders>
        </w:tblPrEx>
        <w:tc>
          <w:tcPr>
            <w:tcW w:w="3981" w:type="dxa"/>
            <w:tcBorders>
              <w:top w:val="nil"/>
              <w:bottom w:val="nil"/>
            </w:tcBorders>
          </w:tcPr>
          <w:p w:rsidR="00212513" w:rsidRDefault="00212513">
            <w:pPr>
              <w:pStyle w:val="ConsPlusNormal"/>
              <w:jc w:val="center"/>
            </w:pPr>
            <w:r>
              <w:t>1,6</w:t>
            </w:r>
          </w:p>
        </w:tc>
        <w:tc>
          <w:tcPr>
            <w:tcW w:w="3981" w:type="dxa"/>
            <w:tcBorders>
              <w:top w:val="nil"/>
              <w:bottom w:val="nil"/>
            </w:tcBorders>
          </w:tcPr>
          <w:p w:rsidR="00212513" w:rsidRDefault="00212513">
            <w:pPr>
              <w:pStyle w:val="ConsPlusNormal"/>
              <w:jc w:val="center"/>
            </w:pPr>
            <w:r>
              <w:t>8,69</w:t>
            </w:r>
          </w:p>
        </w:tc>
      </w:tr>
      <w:tr w:rsidR="00212513">
        <w:tblPrEx>
          <w:tblBorders>
            <w:insideH w:val="none" w:sz="0" w:space="0" w:color="auto"/>
          </w:tblBorders>
        </w:tblPrEx>
        <w:tc>
          <w:tcPr>
            <w:tcW w:w="3981" w:type="dxa"/>
            <w:tcBorders>
              <w:top w:val="nil"/>
              <w:bottom w:val="nil"/>
            </w:tcBorders>
          </w:tcPr>
          <w:p w:rsidR="00212513" w:rsidRDefault="00212513">
            <w:pPr>
              <w:pStyle w:val="ConsPlusNormal"/>
              <w:jc w:val="center"/>
            </w:pPr>
            <w:r>
              <w:lastRenderedPageBreak/>
              <w:t>1,8</w:t>
            </w:r>
          </w:p>
        </w:tc>
        <w:tc>
          <w:tcPr>
            <w:tcW w:w="3981" w:type="dxa"/>
            <w:tcBorders>
              <w:top w:val="nil"/>
              <w:bottom w:val="nil"/>
            </w:tcBorders>
          </w:tcPr>
          <w:p w:rsidR="00212513" w:rsidRDefault="00212513">
            <w:pPr>
              <w:pStyle w:val="ConsPlusNormal"/>
              <w:jc w:val="center"/>
            </w:pPr>
            <w:r>
              <w:t>9,86</w:t>
            </w:r>
          </w:p>
        </w:tc>
      </w:tr>
      <w:tr w:rsidR="00212513">
        <w:tblPrEx>
          <w:tblBorders>
            <w:insideH w:val="none" w:sz="0" w:space="0" w:color="auto"/>
          </w:tblBorders>
        </w:tblPrEx>
        <w:tc>
          <w:tcPr>
            <w:tcW w:w="3981" w:type="dxa"/>
            <w:tcBorders>
              <w:top w:val="nil"/>
              <w:bottom w:val="nil"/>
            </w:tcBorders>
          </w:tcPr>
          <w:p w:rsidR="00212513" w:rsidRDefault="00212513">
            <w:pPr>
              <w:pStyle w:val="ConsPlusNormal"/>
              <w:jc w:val="center"/>
            </w:pPr>
            <w:r>
              <w:t>2,05</w:t>
            </w:r>
          </w:p>
        </w:tc>
        <w:tc>
          <w:tcPr>
            <w:tcW w:w="3981" w:type="dxa"/>
            <w:tcBorders>
              <w:top w:val="nil"/>
              <w:bottom w:val="nil"/>
            </w:tcBorders>
          </w:tcPr>
          <w:p w:rsidR="00212513" w:rsidRDefault="00212513">
            <w:pPr>
              <w:pStyle w:val="ConsPlusNormal"/>
              <w:jc w:val="center"/>
            </w:pPr>
            <w:r>
              <w:t>11,21</w:t>
            </w:r>
          </w:p>
        </w:tc>
      </w:tr>
      <w:tr w:rsidR="00212513">
        <w:tblPrEx>
          <w:tblBorders>
            <w:insideH w:val="none" w:sz="0" w:space="0" w:color="auto"/>
          </w:tblBorders>
        </w:tblPrEx>
        <w:tc>
          <w:tcPr>
            <w:tcW w:w="3981" w:type="dxa"/>
            <w:tcBorders>
              <w:top w:val="nil"/>
              <w:bottom w:val="single" w:sz="4" w:space="0" w:color="auto"/>
            </w:tcBorders>
          </w:tcPr>
          <w:p w:rsidR="00212513" w:rsidRDefault="00212513">
            <w:pPr>
              <w:pStyle w:val="ConsPlusNormal"/>
              <w:jc w:val="center"/>
            </w:pPr>
            <w:r>
              <w:t>2,5 и более</w:t>
            </w:r>
          </w:p>
        </w:tc>
        <w:tc>
          <w:tcPr>
            <w:tcW w:w="3981" w:type="dxa"/>
            <w:tcBorders>
              <w:top w:val="nil"/>
              <w:bottom w:val="single" w:sz="4" w:space="0" w:color="auto"/>
            </w:tcBorders>
          </w:tcPr>
          <w:p w:rsidR="00212513" w:rsidRDefault="00212513">
            <w:pPr>
              <w:pStyle w:val="ConsPlusNormal"/>
              <w:jc w:val="center"/>
            </w:pPr>
            <w:r>
              <w:t>15,28</w:t>
            </w:r>
          </w:p>
        </w:tc>
      </w:tr>
    </w:tbl>
    <w:p w:rsidR="00212513" w:rsidRDefault="0021251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21251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12513" w:rsidRDefault="0021251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12513" w:rsidRDefault="0021251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12513" w:rsidRDefault="00212513">
            <w:pPr>
              <w:pStyle w:val="ConsPlusNormal"/>
              <w:jc w:val="both"/>
            </w:pPr>
            <w:r>
              <w:rPr>
                <w:color w:val="392C69"/>
              </w:rPr>
              <w:t>КонсультантПлюс: примечание.</w:t>
            </w:r>
          </w:p>
          <w:p w:rsidR="00212513" w:rsidRDefault="00212513">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212513" w:rsidRDefault="00212513">
            <w:pPr>
              <w:pStyle w:val="ConsPlusNormal"/>
            </w:pPr>
          </w:p>
        </w:tc>
      </w:tr>
    </w:tbl>
    <w:p w:rsidR="00212513" w:rsidRDefault="00212513">
      <w:pPr>
        <w:pStyle w:val="ConsPlusNormal"/>
        <w:spacing w:before="280"/>
        <w:ind w:firstLine="540"/>
        <w:jc w:val="both"/>
      </w:pPr>
      <w:bookmarkStart w:id="544" w:name="P16303"/>
      <w:bookmarkEnd w:id="544"/>
      <w:r>
        <w:t xml:space="preserve">Х.3 Приведенное критическое касательное напряжение </w:t>
      </w:r>
      <w:r>
        <w:rPr>
          <w:noProof/>
          <w:position w:val="-10"/>
        </w:rPr>
        <w:drawing>
          <wp:inline distT="0" distB="0" distL="0" distR="0">
            <wp:extent cx="484505" cy="273685"/>
            <wp:effectExtent l="0" t="0" r="0" b="0"/>
            <wp:docPr id="28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5"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для пластинок стенок изгибаемого элемента следует определять по формуле</w:t>
      </w:r>
    </w:p>
    <w:p w:rsidR="00212513" w:rsidRDefault="00212513">
      <w:pPr>
        <w:pStyle w:val="ConsPlusNormal"/>
        <w:ind w:firstLine="540"/>
        <w:jc w:val="both"/>
      </w:pPr>
    </w:p>
    <w:p w:rsidR="00212513" w:rsidRDefault="00212513">
      <w:pPr>
        <w:pStyle w:val="ConsPlusNormal"/>
        <w:jc w:val="center"/>
      </w:pPr>
      <w:bookmarkStart w:id="545" w:name="P16305"/>
      <w:bookmarkEnd w:id="545"/>
      <w:r>
        <w:rPr>
          <w:noProof/>
          <w:position w:val="-31"/>
        </w:rPr>
        <w:drawing>
          <wp:inline distT="0" distB="0" distL="0" distR="0">
            <wp:extent cx="3157220" cy="544830"/>
            <wp:effectExtent l="0" t="0" r="0" b="0"/>
            <wp:docPr id="28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6" cstate="print">
                      <a:extLst>
                        <a:ext uri="{28A0092B-C50C-407E-A947-70E740481C1C}">
                          <a14:useLocalDpi xmlns:a14="http://schemas.microsoft.com/office/drawing/2010/main" val="0"/>
                        </a:ext>
                      </a:extLst>
                    </a:blip>
                    <a:srcRect/>
                    <a:stretch>
                      <a:fillRect/>
                    </a:stretch>
                  </pic:blipFill>
                  <pic:spPr bwMode="auto">
                    <a:xfrm>
                      <a:off x="0" y="0"/>
                      <a:ext cx="3157220" cy="544830"/>
                    </a:xfrm>
                    <a:prstGeom prst="rect">
                      <a:avLst/>
                    </a:prstGeom>
                    <a:noFill/>
                    <a:ln>
                      <a:noFill/>
                    </a:ln>
                  </pic:spPr>
                </pic:pic>
              </a:graphicData>
            </a:graphic>
          </wp:inline>
        </w:drawing>
      </w:r>
      <w:r>
        <w:t>, (Х.14)</w:t>
      </w:r>
    </w:p>
    <w:p w:rsidR="00212513" w:rsidRDefault="00212513">
      <w:pPr>
        <w:pStyle w:val="ConsPlusNormal"/>
        <w:ind w:firstLine="540"/>
        <w:jc w:val="both"/>
      </w:pPr>
    </w:p>
    <w:p w:rsidR="00212513" w:rsidRDefault="00212513">
      <w:pPr>
        <w:pStyle w:val="ConsPlusNormal"/>
        <w:ind w:firstLine="540"/>
        <w:jc w:val="both"/>
      </w:pPr>
      <w:r>
        <w:t xml:space="preserve">где </w:t>
      </w:r>
      <w:r>
        <w:rPr>
          <w:i/>
        </w:rPr>
        <w:t>d</w:t>
      </w:r>
      <w:r>
        <w:t xml:space="preserve"> - меньшая сторона отсека (</w:t>
      </w:r>
      <w:r>
        <w:rPr>
          <w:i/>
        </w:rPr>
        <w:t>a</w:t>
      </w:r>
      <w:r>
        <w:t xml:space="preserve"> или </w:t>
      </w:r>
      <w:r>
        <w:rPr>
          <w:noProof/>
          <w:position w:val="-10"/>
        </w:rPr>
        <w:drawing>
          <wp:inline distT="0" distB="0" distL="0" distR="0">
            <wp:extent cx="230505" cy="273685"/>
            <wp:effectExtent l="0" t="0" r="0" b="0"/>
            <wp:docPr id="28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7"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w:t>
      </w:r>
    </w:p>
    <w:p w:rsidR="00212513" w:rsidRDefault="00212513">
      <w:pPr>
        <w:pStyle w:val="ConsPlusNormal"/>
        <w:spacing w:before="220"/>
        <w:ind w:firstLine="540"/>
        <w:jc w:val="both"/>
      </w:pPr>
      <w:r>
        <w:rPr>
          <w:noProof/>
          <w:position w:val="-7"/>
        </w:rPr>
        <w:drawing>
          <wp:inline distT="0" distB="0" distL="0" distR="0">
            <wp:extent cx="177165" cy="240665"/>
            <wp:effectExtent l="0" t="0" r="0" b="0"/>
            <wp:docPr id="28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8"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 коэффициент, принимаемый равным </w:t>
      </w:r>
      <w:r>
        <w:rPr>
          <w:noProof/>
          <w:position w:val="-3"/>
        </w:rPr>
        <w:drawing>
          <wp:inline distT="0" distB="0" distL="0" distR="0">
            <wp:extent cx="167640" cy="177800"/>
            <wp:effectExtent l="0" t="0" r="0" b="0"/>
            <wp:docPr id="28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9"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при </w:t>
      </w:r>
      <w:r>
        <w:rPr>
          <w:noProof/>
          <w:position w:val="-10"/>
        </w:rPr>
        <w:drawing>
          <wp:inline distT="0" distB="0" distL="0" distR="0">
            <wp:extent cx="484505" cy="273685"/>
            <wp:effectExtent l="0" t="0" r="0" b="0"/>
            <wp:docPr id="28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0"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и </w:t>
      </w:r>
      <w:r>
        <w:rPr>
          <w:noProof/>
          <w:position w:val="-7"/>
        </w:rPr>
        <w:drawing>
          <wp:inline distT="0" distB="0" distL="0" distR="0">
            <wp:extent cx="314960" cy="230505"/>
            <wp:effectExtent l="0" t="0" r="0" b="0"/>
            <wp:docPr id="28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1" cstate="print">
                      <a:extLst>
                        <a:ext uri="{28A0092B-C50C-407E-A947-70E740481C1C}">
                          <a14:useLocalDpi xmlns:a14="http://schemas.microsoft.com/office/drawing/2010/main" val="0"/>
                        </a:ext>
                      </a:extLst>
                    </a:blip>
                    <a:srcRect/>
                    <a:stretch>
                      <a:fillRect/>
                    </a:stretch>
                  </pic:blipFill>
                  <pic:spPr bwMode="auto">
                    <a:xfrm>
                      <a:off x="0" y="0"/>
                      <a:ext cx="314960" cy="230505"/>
                    </a:xfrm>
                    <a:prstGeom prst="rect">
                      <a:avLst/>
                    </a:prstGeom>
                    <a:noFill/>
                    <a:ln>
                      <a:noFill/>
                    </a:ln>
                  </pic:spPr>
                </pic:pic>
              </a:graphicData>
            </a:graphic>
          </wp:inline>
        </w:drawing>
      </w:r>
      <w:r>
        <w:t xml:space="preserve"> при </w:t>
      </w:r>
      <w:r>
        <w:rPr>
          <w:noProof/>
          <w:position w:val="-10"/>
        </w:rPr>
        <w:drawing>
          <wp:inline distT="0" distB="0" distL="0" distR="0">
            <wp:extent cx="484505" cy="273685"/>
            <wp:effectExtent l="0" t="0" r="0" b="0"/>
            <wp:docPr id="28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2"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w:t>
      </w:r>
    </w:p>
    <w:p w:rsidR="00212513" w:rsidRDefault="00212513">
      <w:pPr>
        <w:pStyle w:val="ConsPlusNormal"/>
        <w:spacing w:before="220"/>
        <w:ind w:firstLine="540"/>
        <w:jc w:val="both"/>
      </w:pPr>
      <w:r>
        <w:rPr>
          <w:noProof/>
          <w:position w:val="-3"/>
        </w:rPr>
        <w:drawing>
          <wp:inline distT="0" distB="0" distL="0" distR="0">
            <wp:extent cx="167640" cy="177800"/>
            <wp:effectExtent l="0" t="0" r="0" b="0"/>
            <wp:docPr id="28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6"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коэффициент упругого защемления стенки, принимаемый равным единице для элементов с болтовыми соединениями и по таблице Х.9 - для сварных элементов.</w:t>
      </w:r>
    </w:p>
    <w:p w:rsidR="00212513" w:rsidRDefault="00212513">
      <w:pPr>
        <w:pStyle w:val="ConsPlusNormal"/>
        <w:ind w:firstLine="540"/>
        <w:jc w:val="both"/>
      </w:pPr>
    </w:p>
    <w:p w:rsidR="00212513" w:rsidRDefault="00212513">
      <w:pPr>
        <w:pStyle w:val="ConsPlusNormal"/>
        <w:jc w:val="right"/>
      </w:pPr>
      <w:r>
        <w:t>Таблица Х.9</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04"/>
        <w:gridCol w:w="1439"/>
        <w:gridCol w:w="1439"/>
        <w:gridCol w:w="1439"/>
        <w:gridCol w:w="1441"/>
        <w:gridCol w:w="1644"/>
      </w:tblGrid>
      <w:tr w:rsidR="00212513">
        <w:tc>
          <w:tcPr>
            <w:tcW w:w="1604" w:type="dxa"/>
            <w:vMerge w:val="restart"/>
            <w:tcBorders>
              <w:top w:val="single" w:sz="4" w:space="0" w:color="auto"/>
              <w:bottom w:val="single" w:sz="4" w:space="0" w:color="auto"/>
            </w:tcBorders>
            <w:vAlign w:val="center"/>
          </w:tcPr>
          <w:p w:rsidR="00212513" w:rsidRDefault="00212513">
            <w:pPr>
              <w:pStyle w:val="ConsPlusNormal"/>
              <w:jc w:val="center"/>
            </w:pPr>
            <w:r>
              <w:rPr>
                <w:noProof/>
                <w:position w:val="-3"/>
              </w:rPr>
              <w:drawing>
                <wp:inline distT="0" distB="0" distL="0" distR="0">
                  <wp:extent cx="136525" cy="178435"/>
                  <wp:effectExtent l="0" t="0" r="0" b="0"/>
                  <wp:docPr id="28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3"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p>
        </w:tc>
        <w:tc>
          <w:tcPr>
            <w:tcW w:w="7402" w:type="dxa"/>
            <w:gridSpan w:val="5"/>
            <w:tcBorders>
              <w:top w:val="single" w:sz="4" w:space="0" w:color="auto"/>
              <w:bottom w:val="single" w:sz="4" w:space="0" w:color="auto"/>
            </w:tcBorders>
            <w:vAlign w:val="center"/>
          </w:tcPr>
          <w:p w:rsidR="00212513" w:rsidRDefault="00212513">
            <w:pPr>
              <w:pStyle w:val="ConsPlusNormal"/>
              <w:jc w:val="center"/>
            </w:pPr>
            <w:r>
              <w:t xml:space="preserve">Значение коэффициента </w:t>
            </w:r>
            <w:r>
              <w:rPr>
                <w:noProof/>
                <w:position w:val="-3"/>
              </w:rPr>
              <w:drawing>
                <wp:inline distT="0" distB="0" distL="0" distR="0">
                  <wp:extent cx="167640" cy="178435"/>
                  <wp:effectExtent l="0" t="0" r="0" b="0"/>
                  <wp:docPr id="28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4"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r>
              <w:t xml:space="preserve"> при </w:t>
            </w:r>
            <w:r>
              <w:rPr>
                <w:noProof/>
                <w:position w:val="-3"/>
              </w:rPr>
              <w:drawing>
                <wp:inline distT="0" distB="0" distL="0" distR="0">
                  <wp:extent cx="167640" cy="178435"/>
                  <wp:effectExtent l="0" t="0" r="0" b="0"/>
                  <wp:docPr id="28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5"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p>
        </w:tc>
      </w:tr>
      <w:tr w:rsidR="00212513">
        <w:tc>
          <w:tcPr>
            <w:tcW w:w="1604" w:type="dxa"/>
            <w:vMerge/>
            <w:tcBorders>
              <w:top w:val="single" w:sz="4" w:space="0" w:color="auto"/>
              <w:bottom w:val="single" w:sz="4" w:space="0" w:color="auto"/>
            </w:tcBorders>
          </w:tcPr>
          <w:p w:rsidR="00212513" w:rsidRDefault="00212513">
            <w:pPr>
              <w:pStyle w:val="ConsPlusNormal"/>
            </w:pPr>
          </w:p>
        </w:tc>
        <w:tc>
          <w:tcPr>
            <w:tcW w:w="1439" w:type="dxa"/>
            <w:tcBorders>
              <w:top w:val="single" w:sz="4" w:space="0" w:color="auto"/>
              <w:bottom w:val="single" w:sz="4" w:space="0" w:color="auto"/>
            </w:tcBorders>
            <w:vAlign w:val="center"/>
          </w:tcPr>
          <w:p w:rsidR="00212513" w:rsidRDefault="00212513">
            <w:pPr>
              <w:pStyle w:val="ConsPlusNormal"/>
              <w:jc w:val="center"/>
            </w:pPr>
            <w:r>
              <w:t>0,5</w:t>
            </w:r>
          </w:p>
        </w:tc>
        <w:tc>
          <w:tcPr>
            <w:tcW w:w="1439" w:type="dxa"/>
            <w:tcBorders>
              <w:top w:val="single" w:sz="4" w:space="0" w:color="auto"/>
              <w:bottom w:val="single" w:sz="4" w:space="0" w:color="auto"/>
            </w:tcBorders>
            <w:vAlign w:val="center"/>
          </w:tcPr>
          <w:p w:rsidR="00212513" w:rsidRDefault="00212513">
            <w:pPr>
              <w:pStyle w:val="ConsPlusNormal"/>
              <w:jc w:val="center"/>
            </w:pPr>
            <w:r>
              <w:t>0,67</w:t>
            </w:r>
          </w:p>
        </w:tc>
        <w:tc>
          <w:tcPr>
            <w:tcW w:w="1439" w:type="dxa"/>
            <w:tcBorders>
              <w:top w:val="single" w:sz="4" w:space="0" w:color="auto"/>
              <w:bottom w:val="single" w:sz="4" w:space="0" w:color="auto"/>
            </w:tcBorders>
            <w:vAlign w:val="center"/>
          </w:tcPr>
          <w:p w:rsidR="00212513" w:rsidRDefault="00212513">
            <w:pPr>
              <w:pStyle w:val="ConsPlusNormal"/>
              <w:jc w:val="center"/>
            </w:pPr>
            <w:r>
              <w:t>1,0</w:t>
            </w:r>
          </w:p>
        </w:tc>
        <w:tc>
          <w:tcPr>
            <w:tcW w:w="1441" w:type="dxa"/>
            <w:tcBorders>
              <w:top w:val="single" w:sz="4" w:space="0" w:color="auto"/>
              <w:bottom w:val="single" w:sz="4" w:space="0" w:color="auto"/>
            </w:tcBorders>
            <w:vAlign w:val="center"/>
          </w:tcPr>
          <w:p w:rsidR="00212513" w:rsidRDefault="00212513">
            <w:pPr>
              <w:pStyle w:val="ConsPlusNormal"/>
              <w:jc w:val="center"/>
            </w:pPr>
            <w:r>
              <w:t>2,0</w:t>
            </w:r>
          </w:p>
        </w:tc>
        <w:tc>
          <w:tcPr>
            <w:tcW w:w="1644" w:type="dxa"/>
            <w:tcBorders>
              <w:top w:val="single" w:sz="4" w:space="0" w:color="auto"/>
              <w:bottom w:val="single" w:sz="4" w:space="0" w:color="auto"/>
            </w:tcBorders>
            <w:vAlign w:val="center"/>
          </w:tcPr>
          <w:p w:rsidR="00212513" w:rsidRDefault="00212513">
            <w:pPr>
              <w:pStyle w:val="ConsPlusNormal"/>
              <w:jc w:val="center"/>
            </w:pPr>
            <w:r>
              <w:t>2,5 и более</w:t>
            </w:r>
          </w:p>
        </w:tc>
      </w:tr>
      <w:tr w:rsidR="00212513">
        <w:tblPrEx>
          <w:tblBorders>
            <w:insideH w:val="none" w:sz="0" w:space="0" w:color="auto"/>
          </w:tblBorders>
        </w:tblPrEx>
        <w:tc>
          <w:tcPr>
            <w:tcW w:w="1604" w:type="dxa"/>
            <w:tcBorders>
              <w:top w:val="single" w:sz="4" w:space="0" w:color="auto"/>
              <w:bottom w:val="nil"/>
            </w:tcBorders>
          </w:tcPr>
          <w:p w:rsidR="00212513" w:rsidRDefault="00212513">
            <w:pPr>
              <w:pStyle w:val="ConsPlusNormal"/>
              <w:jc w:val="center"/>
            </w:pPr>
            <w:r>
              <w:t>0,25</w:t>
            </w:r>
          </w:p>
        </w:tc>
        <w:tc>
          <w:tcPr>
            <w:tcW w:w="1439" w:type="dxa"/>
            <w:tcBorders>
              <w:top w:val="single" w:sz="4" w:space="0" w:color="auto"/>
              <w:bottom w:val="nil"/>
            </w:tcBorders>
          </w:tcPr>
          <w:p w:rsidR="00212513" w:rsidRDefault="00212513">
            <w:pPr>
              <w:pStyle w:val="ConsPlusNormal"/>
              <w:jc w:val="center"/>
            </w:pPr>
            <w:r>
              <w:t>1,014</w:t>
            </w:r>
          </w:p>
        </w:tc>
        <w:tc>
          <w:tcPr>
            <w:tcW w:w="1439" w:type="dxa"/>
            <w:tcBorders>
              <w:top w:val="single" w:sz="4" w:space="0" w:color="auto"/>
              <w:bottom w:val="nil"/>
            </w:tcBorders>
          </w:tcPr>
          <w:p w:rsidR="00212513" w:rsidRDefault="00212513">
            <w:pPr>
              <w:pStyle w:val="ConsPlusNormal"/>
              <w:jc w:val="center"/>
            </w:pPr>
            <w:r>
              <w:t>1,063</w:t>
            </w:r>
          </w:p>
        </w:tc>
        <w:tc>
          <w:tcPr>
            <w:tcW w:w="1439" w:type="dxa"/>
            <w:tcBorders>
              <w:top w:val="single" w:sz="4" w:space="0" w:color="auto"/>
              <w:bottom w:val="nil"/>
            </w:tcBorders>
          </w:tcPr>
          <w:p w:rsidR="00212513" w:rsidRDefault="00212513">
            <w:pPr>
              <w:pStyle w:val="ConsPlusNormal"/>
              <w:jc w:val="center"/>
            </w:pPr>
            <w:r>
              <w:t>1,166</w:t>
            </w:r>
          </w:p>
        </w:tc>
        <w:tc>
          <w:tcPr>
            <w:tcW w:w="1441" w:type="dxa"/>
            <w:tcBorders>
              <w:top w:val="single" w:sz="4" w:space="0" w:color="auto"/>
              <w:bottom w:val="nil"/>
            </w:tcBorders>
          </w:tcPr>
          <w:p w:rsidR="00212513" w:rsidRDefault="00212513">
            <w:pPr>
              <w:pStyle w:val="ConsPlusNormal"/>
              <w:jc w:val="center"/>
            </w:pPr>
            <w:r>
              <w:t>1,170</w:t>
            </w:r>
          </w:p>
        </w:tc>
        <w:tc>
          <w:tcPr>
            <w:tcW w:w="1644" w:type="dxa"/>
            <w:tcBorders>
              <w:top w:val="single" w:sz="4" w:space="0" w:color="auto"/>
              <w:bottom w:val="nil"/>
            </w:tcBorders>
          </w:tcPr>
          <w:p w:rsidR="00212513" w:rsidRDefault="00212513">
            <w:pPr>
              <w:pStyle w:val="ConsPlusNormal"/>
              <w:jc w:val="center"/>
            </w:pPr>
            <w:r>
              <w:t>1,192</w:t>
            </w:r>
          </w:p>
        </w:tc>
      </w:tr>
      <w:tr w:rsidR="00212513">
        <w:tblPrEx>
          <w:tblBorders>
            <w:insideH w:val="none" w:sz="0" w:space="0" w:color="auto"/>
          </w:tblBorders>
        </w:tblPrEx>
        <w:tc>
          <w:tcPr>
            <w:tcW w:w="1604" w:type="dxa"/>
            <w:tcBorders>
              <w:top w:val="nil"/>
              <w:bottom w:val="nil"/>
            </w:tcBorders>
          </w:tcPr>
          <w:p w:rsidR="00212513" w:rsidRDefault="00212513">
            <w:pPr>
              <w:pStyle w:val="ConsPlusNormal"/>
              <w:jc w:val="center"/>
            </w:pPr>
            <w:r>
              <w:t>0,5</w:t>
            </w:r>
          </w:p>
        </w:tc>
        <w:tc>
          <w:tcPr>
            <w:tcW w:w="1439" w:type="dxa"/>
            <w:tcBorders>
              <w:top w:val="nil"/>
              <w:bottom w:val="nil"/>
            </w:tcBorders>
          </w:tcPr>
          <w:p w:rsidR="00212513" w:rsidRDefault="00212513">
            <w:pPr>
              <w:pStyle w:val="ConsPlusNormal"/>
              <w:jc w:val="center"/>
            </w:pPr>
            <w:r>
              <w:t>1,016</w:t>
            </w:r>
          </w:p>
        </w:tc>
        <w:tc>
          <w:tcPr>
            <w:tcW w:w="1439" w:type="dxa"/>
            <w:tcBorders>
              <w:top w:val="nil"/>
              <w:bottom w:val="nil"/>
            </w:tcBorders>
          </w:tcPr>
          <w:p w:rsidR="00212513" w:rsidRDefault="00212513">
            <w:pPr>
              <w:pStyle w:val="ConsPlusNormal"/>
              <w:jc w:val="center"/>
            </w:pPr>
            <w:r>
              <w:t>1,075</w:t>
            </w:r>
          </w:p>
        </w:tc>
        <w:tc>
          <w:tcPr>
            <w:tcW w:w="1439" w:type="dxa"/>
            <w:tcBorders>
              <w:top w:val="nil"/>
              <w:bottom w:val="nil"/>
            </w:tcBorders>
          </w:tcPr>
          <w:p w:rsidR="00212513" w:rsidRDefault="00212513">
            <w:pPr>
              <w:pStyle w:val="ConsPlusNormal"/>
              <w:jc w:val="center"/>
            </w:pPr>
            <w:r>
              <w:t>1,214</w:t>
            </w:r>
          </w:p>
        </w:tc>
        <w:tc>
          <w:tcPr>
            <w:tcW w:w="1441" w:type="dxa"/>
            <w:tcBorders>
              <w:top w:val="nil"/>
              <w:bottom w:val="nil"/>
            </w:tcBorders>
          </w:tcPr>
          <w:p w:rsidR="00212513" w:rsidRDefault="00212513">
            <w:pPr>
              <w:pStyle w:val="ConsPlusNormal"/>
              <w:jc w:val="center"/>
            </w:pPr>
            <w:r>
              <w:t>1,260</w:t>
            </w:r>
          </w:p>
        </w:tc>
        <w:tc>
          <w:tcPr>
            <w:tcW w:w="1644" w:type="dxa"/>
            <w:tcBorders>
              <w:top w:val="nil"/>
              <w:bottom w:val="nil"/>
            </w:tcBorders>
          </w:tcPr>
          <w:p w:rsidR="00212513" w:rsidRDefault="00212513">
            <w:pPr>
              <w:pStyle w:val="ConsPlusNormal"/>
              <w:jc w:val="center"/>
            </w:pPr>
            <w:r>
              <w:t>1,300</w:t>
            </w:r>
          </w:p>
        </w:tc>
      </w:tr>
      <w:tr w:rsidR="00212513">
        <w:tblPrEx>
          <w:tblBorders>
            <w:insideH w:val="none" w:sz="0" w:space="0" w:color="auto"/>
          </w:tblBorders>
        </w:tblPrEx>
        <w:tc>
          <w:tcPr>
            <w:tcW w:w="1604" w:type="dxa"/>
            <w:tcBorders>
              <w:top w:val="nil"/>
              <w:bottom w:val="nil"/>
            </w:tcBorders>
          </w:tcPr>
          <w:p w:rsidR="00212513" w:rsidRDefault="00212513">
            <w:pPr>
              <w:pStyle w:val="ConsPlusNormal"/>
              <w:jc w:val="center"/>
            </w:pPr>
            <w:r>
              <w:t>1,0</w:t>
            </w:r>
          </w:p>
        </w:tc>
        <w:tc>
          <w:tcPr>
            <w:tcW w:w="1439" w:type="dxa"/>
            <w:tcBorders>
              <w:top w:val="nil"/>
              <w:bottom w:val="nil"/>
            </w:tcBorders>
          </w:tcPr>
          <w:p w:rsidR="00212513" w:rsidRDefault="00212513">
            <w:pPr>
              <w:pStyle w:val="ConsPlusNormal"/>
              <w:jc w:val="center"/>
            </w:pPr>
            <w:r>
              <w:t>1,017</w:t>
            </w:r>
          </w:p>
        </w:tc>
        <w:tc>
          <w:tcPr>
            <w:tcW w:w="1439" w:type="dxa"/>
            <w:tcBorders>
              <w:top w:val="nil"/>
              <w:bottom w:val="nil"/>
            </w:tcBorders>
          </w:tcPr>
          <w:p w:rsidR="00212513" w:rsidRDefault="00212513">
            <w:pPr>
              <w:pStyle w:val="ConsPlusNormal"/>
              <w:jc w:val="center"/>
            </w:pPr>
            <w:r>
              <w:t>1,081</w:t>
            </w:r>
          </w:p>
        </w:tc>
        <w:tc>
          <w:tcPr>
            <w:tcW w:w="1439" w:type="dxa"/>
            <w:tcBorders>
              <w:top w:val="nil"/>
              <w:bottom w:val="nil"/>
            </w:tcBorders>
          </w:tcPr>
          <w:p w:rsidR="00212513" w:rsidRDefault="00212513">
            <w:pPr>
              <w:pStyle w:val="ConsPlusNormal"/>
              <w:jc w:val="center"/>
            </w:pPr>
            <w:r>
              <w:t>1,252</w:t>
            </w:r>
          </w:p>
        </w:tc>
        <w:tc>
          <w:tcPr>
            <w:tcW w:w="1441" w:type="dxa"/>
            <w:tcBorders>
              <w:top w:val="nil"/>
              <w:bottom w:val="nil"/>
            </w:tcBorders>
          </w:tcPr>
          <w:p w:rsidR="00212513" w:rsidRDefault="00212513">
            <w:pPr>
              <w:pStyle w:val="ConsPlusNormal"/>
              <w:jc w:val="center"/>
            </w:pPr>
            <w:r>
              <w:t>1,358</w:t>
            </w:r>
          </w:p>
        </w:tc>
        <w:tc>
          <w:tcPr>
            <w:tcW w:w="1644" w:type="dxa"/>
            <w:tcBorders>
              <w:top w:val="nil"/>
              <w:bottom w:val="nil"/>
            </w:tcBorders>
          </w:tcPr>
          <w:p w:rsidR="00212513" w:rsidRDefault="00212513">
            <w:pPr>
              <w:pStyle w:val="ConsPlusNormal"/>
              <w:jc w:val="center"/>
            </w:pPr>
            <w:r>
              <w:t>1,416</w:t>
            </w:r>
          </w:p>
        </w:tc>
      </w:tr>
      <w:tr w:rsidR="00212513">
        <w:tblPrEx>
          <w:tblBorders>
            <w:insideH w:val="none" w:sz="0" w:space="0" w:color="auto"/>
          </w:tblBorders>
        </w:tblPrEx>
        <w:tc>
          <w:tcPr>
            <w:tcW w:w="1604" w:type="dxa"/>
            <w:tcBorders>
              <w:top w:val="nil"/>
              <w:bottom w:val="nil"/>
            </w:tcBorders>
          </w:tcPr>
          <w:p w:rsidR="00212513" w:rsidRDefault="00212513">
            <w:pPr>
              <w:pStyle w:val="ConsPlusNormal"/>
              <w:jc w:val="center"/>
            </w:pPr>
            <w:r>
              <w:t>2,0</w:t>
            </w:r>
          </w:p>
        </w:tc>
        <w:tc>
          <w:tcPr>
            <w:tcW w:w="1439" w:type="dxa"/>
            <w:tcBorders>
              <w:top w:val="nil"/>
              <w:bottom w:val="nil"/>
            </w:tcBorders>
          </w:tcPr>
          <w:p w:rsidR="00212513" w:rsidRDefault="00212513">
            <w:pPr>
              <w:pStyle w:val="ConsPlusNormal"/>
              <w:jc w:val="center"/>
            </w:pPr>
            <w:r>
              <w:t>1,018</w:t>
            </w:r>
          </w:p>
        </w:tc>
        <w:tc>
          <w:tcPr>
            <w:tcW w:w="1439" w:type="dxa"/>
            <w:tcBorders>
              <w:top w:val="nil"/>
              <w:bottom w:val="nil"/>
            </w:tcBorders>
          </w:tcPr>
          <w:p w:rsidR="00212513" w:rsidRDefault="00212513">
            <w:pPr>
              <w:pStyle w:val="ConsPlusNormal"/>
              <w:jc w:val="center"/>
            </w:pPr>
            <w:r>
              <w:t>1,085</w:t>
            </w:r>
          </w:p>
        </w:tc>
        <w:tc>
          <w:tcPr>
            <w:tcW w:w="1439" w:type="dxa"/>
            <w:tcBorders>
              <w:top w:val="nil"/>
              <w:bottom w:val="nil"/>
            </w:tcBorders>
          </w:tcPr>
          <w:p w:rsidR="00212513" w:rsidRDefault="00212513">
            <w:pPr>
              <w:pStyle w:val="ConsPlusNormal"/>
              <w:jc w:val="center"/>
            </w:pPr>
            <w:r>
              <w:t>1,275</w:t>
            </w:r>
          </w:p>
        </w:tc>
        <w:tc>
          <w:tcPr>
            <w:tcW w:w="1441" w:type="dxa"/>
            <w:tcBorders>
              <w:top w:val="nil"/>
              <w:bottom w:val="nil"/>
            </w:tcBorders>
          </w:tcPr>
          <w:p w:rsidR="00212513" w:rsidRDefault="00212513">
            <w:pPr>
              <w:pStyle w:val="ConsPlusNormal"/>
              <w:jc w:val="center"/>
            </w:pPr>
            <w:r>
              <w:t>1,481</w:t>
            </w:r>
          </w:p>
        </w:tc>
        <w:tc>
          <w:tcPr>
            <w:tcW w:w="1644" w:type="dxa"/>
            <w:tcBorders>
              <w:top w:val="nil"/>
              <w:bottom w:val="nil"/>
            </w:tcBorders>
          </w:tcPr>
          <w:p w:rsidR="00212513" w:rsidRDefault="00212513">
            <w:pPr>
              <w:pStyle w:val="ConsPlusNormal"/>
              <w:jc w:val="center"/>
            </w:pPr>
            <w:r>
              <w:t>1,516</w:t>
            </w:r>
          </w:p>
        </w:tc>
      </w:tr>
      <w:tr w:rsidR="00212513">
        <w:tblPrEx>
          <w:tblBorders>
            <w:insideH w:val="none" w:sz="0" w:space="0" w:color="auto"/>
          </w:tblBorders>
        </w:tblPrEx>
        <w:tc>
          <w:tcPr>
            <w:tcW w:w="1604" w:type="dxa"/>
            <w:tcBorders>
              <w:top w:val="nil"/>
              <w:bottom w:val="nil"/>
            </w:tcBorders>
          </w:tcPr>
          <w:p w:rsidR="00212513" w:rsidRDefault="00212513">
            <w:pPr>
              <w:pStyle w:val="ConsPlusNormal"/>
              <w:jc w:val="center"/>
            </w:pPr>
            <w:r>
              <w:t>5,0</w:t>
            </w:r>
          </w:p>
        </w:tc>
        <w:tc>
          <w:tcPr>
            <w:tcW w:w="1439" w:type="dxa"/>
            <w:tcBorders>
              <w:top w:val="nil"/>
              <w:bottom w:val="nil"/>
            </w:tcBorders>
          </w:tcPr>
          <w:p w:rsidR="00212513" w:rsidRDefault="00212513">
            <w:pPr>
              <w:pStyle w:val="ConsPlusNormal"/>
              <w:jc w:val="center"/>
            </w:pPr>
            <w:r>
              <w:t>1,018</w:t>
            </w:r>
          </w:p>
        </w:tc>
        <w:tc>
          <w:tcPr>
            <w:tcW w:w="1439" w:type="dxa"/>
            <w:tcBorders>
              <w:top w:val="nil"/>
              <w:bottom w:val="nil"/>
            </w:tcBorders>
          </w:tcPr>
          <w:p w:rsidR="00212513" w:rsidRDefault="00212513">
            <w:pPr>
              <w:pStyle w:val="ConsPlusNormal"/>
              <w:jc w:val="center"/>
            </w:pPr>
            <w:r>
              <w:t>1,088</w:t>
            </w:r>
          </w:p>
        </w:tc>
        <w:tc>
          <w:tcPr>
            <w:tcW w:w="1439" w:type="dxa"/>
            <w:tcBorders>
              <w:top w:val="nil"/>
              <w:bottom w:val="nil"/>
            </w:tcBorders>
          </w:tcPr>
          <w:p w:rsidR="00212513" w:rsidRDefault="00212513">
            <w:pPr>
              <w:pStyle w:val="ConsPlusNormal"/>
              <w:jc w:val="center"/>
            </w:pPr>
            <w:r>
              <w:t>1,292</w:t>
            </w:r>
          </w:p>
        </w:tc>
        <w:tc>
          <w:tcPr>
            <w:tcW w:w="1441" w:type="dxa"/>
            <w:tcBorders>
              <w:top w:val="nil"/>
              <w:bottom w:val="nil"/>
            </w:tcBorders>
          </w:tcPr>
          <w:p w:rsidR="00212513" w:rsidRDefault="00212513">
            <w:pPr>
              <w:pStyle w:val="ConsPlusNormal"/>
              <w:jc w:val="center"/>
            </w:pPr>
            <w:r>
              <w:t>1,496</w:t>
            </w:r>
          </w:p>
        </w:tc>
        <w:tc>
          <w:tcPr>
            <w:tcW w:w="1644" w:type="dxa"/>
            <w:tcBorders>
              <w:top w:val="nil"/>
              <w:bottom w:val="nil"/>
            </w:tcBorders>
          </w:tcPr>
          <w:p w:rsidR="00212513" w:rsidRDefault="00212513">
            <w:pPr>
              <w:pStyle w:val="ConsPlusNormal"/>
              <w:jc w:val="center"/>
            </w:pPr>
            <w:r>
              <w:t>1,602</w:t>
            </w:r>
          </w:p>
        </w:tc>
      </w:tr>
      <w:tr w:rsidR="00212513">
        <w:tblPrEx>
          <w:tblBorders>
            <w:insideH w:val="none" w:sz="0" w:space="0" w:color="auto"/>
          </w:tblBorders>
        </w:tblPrEx>
        <w:tc>
          <w:tcPr>
            <w:tcW w:w="1604" w:type="dxa"/>
            <w:tcBorders>
              <w:top w:val="nil"/>
              <w:bottom w:val="nil"/>
            </w:tcBorders>
          </w:tcPr>
          <w:p w:rsidR="00212513" w:rsidRDefault="00212513">
            <w:pPr>
              <w:pStyle w:val="ConsPlusNormal"/>
              <w:jc w:val="center"/>
            </w:pPr>
            <w:r>
              <w:t>10,0</w:t>
            </w:r>
          </w:p>
        </w:tc>
        <w:tc>
          <w:tcPr>
            <w:tcW w:w="1439" w:type="dxa"/>
            <w:tcBorders>
              <w:top w:val="nil"/>
              <w:bottom w:val="nil"/>
            </w:tcBorders>
          </w:tcPr>
          <w:p w:rsidR="00212513" w:rsidRDefault="00212513">
            <w:pPr>
              <w:pStyle w:val="ConsPlusNormal"/>
              <w:jc w:val="center"/>
            </w:pPr>
            <w:r>
              <w:t>1,018</w:t>
            </w:r>
          </w:p>
        </w:tc>
        <w:tc>
          <w:tcPr>
            <w:tcW w:w="1439" w:type="dxa"/>
            <w:tcBorders>
              <w:top w:val="nil"/>
              <w:bottom w:val="nil"/>
            </w:tcBorders>
          </w:tcPr>
          <w:p w:rsidR="00212513" w:rsidRDefault="00212513">
            <w:pPr>
              <w:pStyle w:val="ConsPlusNormal"/>
              <w:jc w:val="center"/>
            </w:pPr>
            <w:r>
              <w:t>1,088</w:t>
            </w:r>
          </w:p>
        </w:tc>
        <w:tc>
          <w:tcPr>
            <w:tcW w:w="1439" w:type="dxa"/>
            <w:tcBorders>
              <w:top w:val="nil"/>
              <w:bottom w:val="nil"/>
            </w:tcBorders>
          </w:tcPr>
          <w:p w:rsidR="00212513" w:rsidRDefault="00212513">
            <w:pPr>
              <w:pStyle w:val="ConsPlusNormal"/>
              <w:jc w:val="center"/>
            </w:pPr>
            <w:r>
              <w:t>1,298</w:t>
            </w:r>
          </w:p>
        </w:tc>
        <w:tc>
          <w:tcPr>
            <w:tcW w:w="1441" w:type="dxa"/>
            <w:tcBorders>
              <w:top w:val="nil"/>
              <w:bottom w:val="nil"/>
            </w:tcBorders>
          </w:tcPr>
          <w:p w:rsidR="00212513" w:rsidRDefault="00212513">
            <w:pPr>
              <w:pStyle w:val="ConsPlusNormal"/>
              <w:jc w:val="center"/>
            </w:pPr>
            <w:r>
              <w:t>1,524</w:t>
            </w:r>
          </w:p>
        </w:tc>
        <w:tc>
          <w:tcPr>
            <w:tcW w:w="1644" w:type="dxa"/>
            <w:tcBorders>
              <w:top w:val="nil"/>
              <w:bottom w:val="nil"/>
            </w:tcBorders>
          </w:tcPr>
          <w:p w:rsidR="00212513" w:rsidRDefault="00212513">
            <w:pPr>
              <w:pStyle w:val="ConsPlusNormal"/>
              <w:jc w:val="center"/>
            </w:pPr>
            <w:r>
              <w:t>1,636</w:t>
            </w:r>
          </w:p>
        </w:tc>
      </w:tr>
      <w:tr w:rsidR="00212513">
        <w:tblPrEx>
          <w:tblBorders>
            <w:insideH w:val="none" w:sz="0" w:space="0" w:color="auto"/>
          </w:tblBorders>
        </w:tblPrEx>
        <w:tc>
          <w:tcPr>
            <w:tcW w:w="1604" w:type="dxa"/>
            <w:tcBorders>
              <w:top w:val="nil"/>
              <w:bottom w:val="single" w:sz="4" w:space="0" w:color="auto"/>
            </w:tcBorders>
          </w:tcPr>
          <w:p w:rsidR="00212513" w:rsidRDefault="00212513">
            <w:pPr>
              <w:pStyle w:val="ConsPlusNormal"/>
              <w:jc w:val="center"/>
            </w:pPr>
            <w:r>
              <w:t>Свыше 10</w:t>
            </w:r>
          </w:p>
        </w:tc>
        <w:tc>
          <w:tcPr>
            <w:tcW w:w="1439" w:type="dxa"/>
            <w:tcBorders>
              <w:top w:val="nil"/>
              <w:bottom w:val="single" w:sz="4" w:space="0" w:color="auto"/>
            </w:tcBorders>
          </w:tcPr>
          <w:p w:rsidR="00212513" w:rsidRDefault="00212513">
            <w:pPr>
              <w:pStyle w:val="ConsPlusNormal"/>
              <w:jc w:val="center"/>
            </w:pPr>
            <w:r>
              <w:t>1,018</w:t>
            </w:r>
          </w:p>
        </w:tc>
        <w:tc>
          <w:tcPr>
            <w:tcW w:w="1439" w:type="dxa"/>
            <w:tcBorders>
              <w:top w:val="nil"/>
              <w:bottom w:val="single" w:sz="4" w:space="0" w:color="auto"/>
            </w:tcBorders>
          </w:tcPr>
          <w:p w:rsidR="00212513" w:rsidRDefault="00212513">
            <w:pPr>
              <w:pStyle w:val="ConsPlusNormal"/>
              <w:jc w:val="center"/>
            </w:pPr>
            <w:r>
              <w:t>1,089</w:t>
            </w:r>
          </w:p>
        </w:tc>
        <w:tc>
          <w:tcPr>
            <w:tcW w:w="1439" w:type="dxa"/>
            <w:tcBorders>
              <w:top w:val="nil"/>
              <w:bottom w:val="single" w:sz="4" w:space="0" w:color="auto"/>
            </w:tcBorders>
          </w:tcPr>
          <w:p w:rsidR="00212513" w:rsidRDefault="00212513">
            <w:pPr>
              <w:pStyle w:val="ConsPlusNormal"/>
              <w:jc w:val="center"/>
            </w:pPr>
            <w:r>
              <w:t>1,303</w:t>
            </w:r>
          </w:p>
        </w:tc>
        <w:tc>
          <w:tcPr>
            <w:tcW w:w="1441" w:type="dxa"/>
            <w:tcBorders>
              <w:top w:val="nil"/>
              <w:bottom w:val="single" w:sz="4" w:space="0" w:color="auto"/>
            </w:tcBorders>
          </w:tcPr>
          <w:p w:rsidR="00212513" w:rsidRDefault="00212513">
            <w:pPr>
              <w:pStyle w:val="ConsPlusNormal"/>
              <w:jc w:val="center"/>
            </w:pPr>
            <w:r>
              <w:t>1,552</w:t>
            </w:r>
          </w:p>
        </w:tc>
        <w:tc>
          <w:tcPr>
            <w:tcW w:w="1644" w:type="dxa"/>
            <w:tcBorders>
              <w:top w:val="nil"/>
              <w:bottom w:val="single" w:sz="4" w:space="0" w:color="auto"/>
            </w:tcBorders>
          </w:tcPr>
          <w:p w:rsidR="00212513" w:rsidRDefault="00212513">
            <w:pPr>
              <w:pStyle w:val="ConsPlusNormal"/>
              <w:jc w:val="center"/>
            </w:pPr>
            <w:r>
              <w:t>1,680</w:t>
            </w:r>
          </w:p>
        </w:tc>
      </w:tr>
    </w:tbl>
    <w:p w:rsidR="00212513" w:rsidRDefault="00212513">
      <w:pPr>
        <w:pStyle w:val="ConsPlusNormal"/>
        <w:ind w:firstLine="540"/>
        <w:jc w:val="both"/>
      </w:pPr>
    </w:p>
    <w:p w:rsidR="00212513" w:rsidRDefault="00212513">
      <w:pPr>
        <w:pStyle w:val="ConsPlusNormal"/>
        <w:ind w:firstLine="540"/>
        <w:jc w:val="both"/>
      </w:pPr>
      <w:bookmarkStart w:id="546" w:name="P16363"/>
      <w:bookmarkEnd w:id="546"/>
      <w:r>
        <w:t>Х.5 Расчет по устойчивости пластинок стенки сплошных изгибаемых элементов, имеющих поперечные ребра и одно продольное ребро в сжатой зоне, следует выполнять:</w:t>
      </w:r>
    </w:p>
    <w:p w:rsidR="00212513" w:rsidRDefault="00212513">
      <w:pPr>
        <w:pStyle w:val="ConsPlusNormal"/>
        <w:spacing w:before="220"/>
        <w:ind w:firstLine="540"/>
        <w:jc w:val="both"/>
      </w:pPr>
      <w:r>
        <w:t>первой пластинки - между сжатым поясом и продольным ребром - по формуле</w:t>
      </w:r>
    </w:p>
    <w:p w:rsidR="00212513" w:rsidRDefault="00212513">
      <w:pPr>
        <w:pStyle w:val="ConsPlusNormal"/>
        <w:ind w:firstLine="540"/>
        <w:jc w:val="both"/>
      </w:pPr>
    </w:p>
    <w:p w:rsidR="00212513" w:rsidRDefault="00212513">
      <w:pPr>
        <w:pStyle w:val="ConsPlusNormal"/>
        <w:jc w:val="center"/>
      </w:pPr>
      <w:bookmarkStart w:id="547" w:name="P16366"/>
      <w:bookmarkEnd w:id="547"/>
      <w:r>
        <w:rPr>
          <w:noProof/>
          <w:position w:val="-37"/>
        </w:rPr>
        <w:drawing>
          <wp:inline distT="0" distB="0" distL="0" distR="0">
            <wp:extent cx="2078990" cy="609600"/>
            <wp:effectExtent l="0" t="0" r="0" b="0"/>
            <wp:docPr id="28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6" cstate="print">
                      <a:extLst>
                        <a:ext uri="{28A0092B-C50C-407E-A947-70E740481C1C}">
                          <a14:useLocalDpi xmlns:a14="http://schemas.microsoft.com/office/drawing/2010/main" val="0"/>
                        </a:ext>
                      </a:extLst>
                    </a:blip>
                    <a:srcRect/>
                    <a:stretch>
                      <a:fillRect/>
                    </a:stretch>
                  </pic:blipFill>
                  <pic:spPr bwMode="auto">
                    <a:xfrm>
                      <a:off x="0" y="0"/>
                      <a:ext cx="2078990" cy="609600"/>
                    </a:xfrm>
                    <a:prstGeom prst="rect">
                      <a:avLst/>
                    </a:prstGeom>
                    <a:noFill/>
                    <a:ln>
                      <a:noFill/>
                    </a:ln>
                  </pic:spPr>
                </pic:pic>
              </a:graphicData>
            </a:graphic>
          </wp:inline>
        </w:drawing>
      </w:r>
      <w:r>
        <w:t xml:space="preserve"> (Х.15)</w:t>
      </w:r>
    </w:p>
    <w:p w:rsidR="00212513" w:rsidRDefault="00212513">
      <w:pPr>
        <w:pStyle w:val="ConsPlusNormal"/>
        <w:jc w:val="center"/>
      </w:pPr>
    </w:p>
    <w:p w:rsidR="00212513" w:rsidRDefault="00212513">
      <w:pPr>
        <w:pStyle w:val="ConsPlusNormal"/>
        <w:jc w:val="center"/>
      </w:pPr>
      <w:r>
        <w:t xml:space="preserve">(формула Х.15 в ред. </w:t>
      </w:r>
      <w:hyperlink r:id="rId3597">
        <w:r>
          <w:rPr>
            <w:color w:val="0000FF"/>
          </w:rPr>
          <w:t>Изменения N 4</w:t>
        </w:r>
      </w:hyperlink>
      <w:r>
        <w:t>, утв. Приказом</w:t>
      </w:r>
    </w:p>
    <w:p w:rsidR="00212513" w:rsidRDefault="00212513">
      <w:pPr>
        <w:pStyle w:val="ConsPlusNormal"/>
        <w:jc w:val="center"/>
      </w:pPr>
      <w:r>
        <w:t>Минстроя России от 30.05.2024 N 361/пр)</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8"/>
        </w:rPr>
        <w:drawing>
          <wp:inline distT="0" distB="0" distL="0" distR="0">
            <wp:extent cx="189230" cy="251460"/>
            <wp:effectExtent l="0" t="0" r="0" b="0"/>
            <wp:docPr id="28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8" cstate="print">
                      <a:extLst>
                        <a:ext uri="{28A0092B-C50C-407E-A947-70E740481C1C}">
                          <a14:useLocalDpi xmlns:a14="http://schemas.microsoft.com/office/drawing/2010/main" val="0"/>
                        </a:ext>
                      </a:extLst>
                    </a:blip>
                    <a:srcRect/>
                    <a:stretch>
                      <a:fillRect/>
                    </a:stretch>
                  </pic:blipFill>
                  <pic:spPr bwMode="auto">
                    <a:xfrm>
                      <a:off x="0" y="0"/>
                      <a:ext cx="189230" cy="251460"/>
                    </a:xfrm>
                    <a:prstGeom prst="rect">
                      <a:avLst/>
                    </a:prstGeom>
                    <a:noFill/>
                    <a:ln>
                      <a:noFill/>
                    </a:ln>
                  </pic:spPr>
                </pic:pic>
              </a:graphicData>
            </a:graphic>
          </wp:inline>
        </w:drawing>
      </w:r>
      <w:r>
        <w:t xml:space="preserve"> - коэффициент, определяемый по </w:t>
      </w:r>
      <w:hyperlink w:anchor="P15887">
        <w:r>
          <w:rPr>
            <w:color w:val="0000FF"/>
          </w:rPr>
          <w:t>таблице Х.2</w:t>
        </w:r>
      </w:hyperlink>
      <w:r>
        <w:t>;</w:t>
      </w:r>
    </w:p>
    <w:p w:rsidR="00212513" w:rsidRDefault="00212513">
      <w:pPr>
        <w:pStyle w:val="ConsPlusNormal"/>
        <w:spacing w:before="220"/>
        <w:ind w:firstLine="540"/>
        <w:jc w:val="both"/>
      </w:pPr>
      <w:r>
        <w:rPr>
          <w:noProof/>
          <w:position w:val="-8"/>
        </w:rPr>
        <w:drawing>
          <wp:inline distT="0" distB="0" distL="0" distR="0">
            <wp:extent cx="209550" cy="251460"/>
            <wp:effectExtent l="0" t="0" r="0" b="0"/>
            <wp:docPr id="28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10"/>
        </w:rPr>
        <w:drawing>
          <wp:inline distT="0" distB="0" distL="0" distR="0">
            <wp:extent cx="231140" cy="273685"/>
            <wp:effectExtent l="0" t="0" r="0" b="0"/>
            <wp:docPr id="28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0" cstate="print">
                      <a:extLst>
                        <a:ext uri="{28A0092B-C50C-407E-A947-70E740481C1C}">
                          <a14:useLocalDpi xmlns:a14="http://schemas.microsoft.com/office/drawing/2010/main" val="0"/>
                        </a:ext>
                      </a:extLst>
                    </a:blip>
                    <a:srcRect/>
                    <a:stretch>
                      <a:fillRect/>
                    </a:stretch>
                  </pic:blipFill>
                  <pic:spPr bwMode="auto">
                    <a:xfrm>
                      <a:off x="0" y="0"/>
                      <a:ext cx="231140" cy="273685"/>
                    </a:xfrm>
                    <a:prstGeom prst="rect">
                      <a:avLst/>
                    </a:prstGeom>
                    <a:noFill/>
                    <a:ln>
                      <a:noFill/>
                    </a:ln>
                  </pic:spPr>
                </pic:pic>
              </a:graphicData>
            </a:graphic>
          </wp:inline>
        </w:drawing>
      </w:r>
      <w:r>
        <w:t xml:space="preserve">, </w:t>
      </w:r>
      <w:r>
        <w:rPr>
          <w:noProof/>
          <w:position w:val="-10"/>
        </w:rPr>
        <w:drawing>
          <wp:inline distT="0" distB="0" distL="0" distR="0">
            <wp:extent cx="231140" cy="273685"/>
            <wp:effectExtent l="0" t="0" r="0" b="0"/>
            <wp:docPr id="28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1" cstate="print">
                      <a:extLst>
                        <a:ext uri="{28A0092B-C50C-407E-A947-70E740481C1C}">
                          <a14:useLocalDpi xmlns:a14="http://schemas.microsoft.com/office/drawing/2010/main" val="0"/>
                        </a:ext>
                      </a:extLst>
                    </a:blip>
                    <a:srcRect/>
                    <a:stretch>
                      <a:fillRect/>
                    </a:stretch>
                  </pic:blipFill>
                  <pic:spPr bwMode="auto">
                    <a:xfrm>
                      <a:off x="0" y="0"/>
                      <a:ext cx="231140" cy="273685"/>
                    </a:xfrm>
                    <a:prstGeom prst="rect">
                      <a:avLst/>
                    </a:prstGeom>
                    <a:noFill/>
                    <a:ln>
                      <a:noFill/>
                    </a:ln>
                  </pic:spPr>
                </pic:pic>
              </a:graphicData>
            </a:graphic>
          </wp:inline>
        </w:drawing>
      </w:r>
      <w:r>
        <w:t xml:space="preserve"> - напряжения, определяемые по </w:t>
      </w:r>
      <w:hyperlink w:anchor="P15797">
        <w:r>
          <w:rPr>
            <w:color w:val="0000FF"/>
          </w:rPr>
          <w:t>Х.2</w:t>
        </w:r>
      </w:hyperlink>
      <w:r>
        <w:t>;</w:t>
      </w:r>
    </w:p>
    <w:p w:rsidR="00212513" w:rsidRDefault="00212513">
      <w:pPr>
        <w:pStyle w:val="ConsPlusNormal"/>
        <w:spacing w:before="220"/>
        <w:ind w:firstLine="540"/>
        <w:jc w:val="both"/>
      </w:pPr>
      <w:r>
        <w:rPr>
          <w:noProof/>
          <w:position w:val="-10"/>
        </w:rPr>
        <w:drawing>
          <wp:inline distT="0" distB="0" distL="0" distR="0">
            <wp:extent cx="335280" cy="273685"/>
            <wp:effectExtent l="0" t="0" r="0" b="0"/>
            <wp:docPr id="28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2"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w:t>
      </w:r>
      <w:r>
        <w:rPr>
          <w:noProof/>
          <w:position w:val="-10"/>
        </w:rPr>
        <w:drawing>
          <wp:inline distT="0" distB="0" distL="0" distR="0">
            <wp:extent cx="335280" cy="273685"/>
            <wp:effectExtent l="0" t="0" r="0" b="0"/>
            <wp:docPr id="28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3"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w:t>
      </w:r>
      <w:r>
        <w:rPr>
          <w:noProof/>
          <w:position w:val="-10"/>
        </w:rPr>
        <w:drawing>
          <wp:inline distT="0" distB="0" distL="0" distR="0">
            <wp:extent cx="335280" cy="273685"/>
            <wp:effectExtent l="0" t="0" r="0" b="0"/>
            <wp:docPr id="28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4"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 критические напряжения, определяемые по </w:t>
      </w:r>
      <w:hyperlink w:anchor="P15878">
        <w:r>
          <w:rPr>
            <w:color w:val="0000FF"/>
          </w:rPr>
          <w:t>Х.4</w:t>
        </w:r>
      </w:hyperlink>
      <w:r>
        <w:t>;</w:t>
      </w:r>
    </w:p>
    <w:p w:rsidR="00212513" w:rsidRDefault="00212513">
      <w:pPr>
        <w:pStyle w:val="ConsPlusNormal"/>
        <w:spacing w:before="220"/>
        <w:ind w:firstLine="540"/>
        <w:jc w:val="both"/>
      </w:pPr>
      <w:r>
        <w:t xml:space="preserve">второй пластинки - между растянутым поясом и продольным ребром - по </w:t>
      </w:r>
      <w:hyperlink w:anchor="P15880">
        <w:r>
          <w:rPr>
            <w:color w:val="0000FF"/>
          </w:rPr>
          <w:t>формуле (Х.11)</w:t>
        </w:r>
      </w:hyperlink>
      <w:r>
        <w:t xml:space="preserve">, принимая при этом </w:t>
      </w:r>
      <w:r>
        <w:rPr>
          <w:noProof/>
          <w:position w:val="-8"/>
        </w:rPr>
        <w:drawing>
          <wp:inline distT="0" distB="0" distL="0" distR="0">
            <wp:extent cx="440055" cy="251460"/>
            <wp:effectExtent l="0" t="0" r="0" b="0"/>
            <wp:docPr id="28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5" cstate="print">
                      <a:extLst>
                        <a:ext uri="{28A0092B-C50C-407E-A947-70E740481C1C}">
                          <a14:useLocalDpi xmlns:a14="http://schemas.microsoft.com/office/drawing/2010/main" val="0"/>
                        </a:ext>
                      </a:extLst>
                    </a:blip>
                    <a:srcRect/>
                    <a:stretch>
                      <a:fillRect/>
                    </a:stretch>
                  </pic:blipFill>
                  <pic:spPr bwMode="auto">
                    <a:xfrm>
                      <a:off x="0" y="0"/>
                      <a:ext cx="440055" cy="251460"/>
                    </a:xfrm>
                    <a:prstGeom prst="rect">
                      <a:avLst/>
                    </a:prstGeom>
                    <a:noFill/>
                    <a:ln>
                      <a:noFill/>
                    </a:ln>
                  </pic:spPr>
                </pic:pic>
              </a:graphicData>
            </a:graphic>
          </wp:inline>
        </w:drawing>
      </w:r>
      <w:r>
        <w:t>.</w:t>
      </w:r>
    </w:p>
    <w:p w:rsidR="00212513" w:rsidRDefault="00212513">
      <w:pPr>
        <w:pStyle w:val="ConsPlusNormal"/>
        <w:jc w:val="both"/>
      </w:pPr>
      <w:r>
        <w:t xml:space="preserve">(в ред. </w:t>
      </w:r>
      <w:hyperlink r:id="rId3606">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 xml:space="preserve">Х.5.1 Приведенное критическое продольное нормальное напряжение </w:t>
      </w:r>
      <w:r>
        <w:rPr>
          <w:noProof/>
          <w:position w:val="-10"/>
        </w:rPr>
        <w:drawing>
          <wp:inline distT="0" distB="0" distL="0" distR="0">
            <wp:extent cx="461010" cy="273685"/>
            <wp:effectExtent l="0" t="0" r="0" b="0"/>
            <wp:docPr id="28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7" cstate="print">
                      <a:extLst>
                        <a:ext uri="{28A0092B-C50C-407E-A947-70E740481C1C}">
                          <a14:useLocalDpi xmlns:a14="http://schemas.microsoft.com/office/drawing/2010/main" val="0"/>
                        </a:ext>
                      </a:extLst>
                    </a:blip>
                    <a:srcRect/>
                    <a:stretch>
                      <a:fillRect/>
                    </a:stretch>
                  </pic:blipFill>
                  <pic:spPr bwMode="auto">
                    <a:xfrm>
                      <a:off x="0" y="0"/>
                      <a:ext cx="461010" cy="273685"/>
                    </a:xfrm>
                    <a:prstGeom prst="rect">
                      <a:avLst/>
                    </a:prstGeom>
                    <a:noFill/>
                    <a:ln>
                      <a:noFill/>
                    </a:ln>
                  </pic:spPr>
                </pic:pic>
              </a:graphicData>
            </a:graphic>
          </wp:inline>
        </w:drawing>
      </w:r>
      <w:r>
        <w:t xml:space="preserve"> следует определять по </w:t>
      </w:r>
      <w:hyperlink w:anchor="P15941">
        <w:r>
          <w:rPr>
            <w:color w:val="0000FF"/>
          </w:rPr>
          <w:t>формуле (Х.12)</w:t>
        </w:r>
      </w:hyperlink>
      <w:r>
        <w:t xml:space="preserve">, при этом коэффициент упругого защемления </w:t>
      </w:r>
      <w:r>
        <w:rPr>
          <w:noProof/>
          <w:position w:val="-3"/>
        </w:rPr>
        <w:drawing>
          <wp:inline distT="0" distB="0" distL="0" distR="0">
            <wp:extent cx="167640" cy="177800"/>
            <wp:effectExtent l="0" t="0" r="0" b="0"/>
            <wp:docPr id="28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8"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следует принимать:</w:t>
      </w:r>
    </w:p>
    <w:p w:rsidR="00212513" w:rsidRDefault="00212513">
      <w:pPr>
        <w:pStyle w:val="ConsPlusNormal"/>
        <w:spacing w:before="220"/>
        <w:ind w:firstLine="540"/>
        <w:jc w:val="both"/>
      </w:pPr>
      <w:r>
        <w:t xml:space="preserve">первой пластинки: элементов с болтовыми соединениями - </w:t>
      </w:r>
      <w:r>
        <w:rPr>
          <w:noProof/>
          <w:position w:val="-7"/>
        </w:rPr>
        <w:drawing>
          <wp:inline distT="0" distB="0" distL="0" distR="0">
            <wp:extent cx="511810" cy="230505"/>
            <wp:effectExtent l="0" t="0" r="0" b="0"/>
            <wp:docPr id="28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9" cstate="print">
                      <a:extLst>
                        <a:ext uri="{28A0092B-C50C-407E-A947-70E740481C1C}">
                          <a14:useLocalDpi xmlns:a14="http://schemas.microsoft.com/office/drawing/2010/main" val="0"/>
                        </a:ext>
                      </a:extLst>
                    </a:blip>
                    <a:srcRect/>
                    <a:stretch>
                      <a:fillRect/>
                    </a:stretch>
                  </pic:blipFill>
                  <pic:spPr bwMode="auto">
                    <a:xfrm>
                      <a:off x="0" y="0"/>
                      <a:ext cx="511810" cy="230505"/>
                    </a:xfrm>
                    <a:prstGeom prst="rect">
                      <a:avLst/>
                    </a:prstGeom>
                    <a:noFill/>
                    <a:ln>
                      <a:noFill/>
                    </a:ln>
                  </pic:spPr>
                </pic:pic>
              </a:graphicData>
            </a:graphic>
          </wp:inline>
        </w:drawing>
      </w:r>
      <w:r>
        <w:t xml:space="preserve">; таких же и сварных элементов при объединении с железобетонной плитой - </w:t>
      </w:r>
      <w:r>
        <w:rPr>
          <w:noProof/>
          <w:position w:val="-7"/>
        </w:rPr>
        <w:drawing>
          <wp:inline distT="0" distB="0" distL="0" distR="0">
            <wp:extent cx="605790" cy="230505"/>
            <wp:effectExtent l="0" t="0" r="0" b="0"/>
            <wp:docPr id="28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0" cstate="print">
                      <a:extLst>
                        <a:ext uri="{28A0092B-C50C-407E-A947-70E740481C1C}">
                          <a14:useLocalDpi xmlns:a14="http://schemas.microsoft.com/office/drawing/2010/main" val="0"/>
                        </a:ext>
                      </a:extLst>
                    </a:blip>
                    <a:srcRect/>
                    <a:stretch>
                      <a:fillRect/>
                    </a:stretch>
                  </pic:blipFill>
                  <pic:spPr bwMode="auto">
                    <a:xfrm>
                      <a:off x="0" y="0"/>
                      <a:ext cx="605790" cy="230505"/>
                    </a:xfrm>
                    <a:prstGeom prst="rect">
                      <a:avLst/>
                    </a:prstGeom>
                    <a:noFill/>
                    <a:ln>
                      <a:noFill/>
                    </a:ln>
                  </pic:spPr>
                </pic:pic>
              </a:graphicData>
            </a:graphic>
          </wp:inline>
        </w:drawing>
      </w:r>
      <w:r>
        <w:t>; прочих сварных элементов - по таблице Х.10;</w:t>
      </w:r>
    </w:p>
    <w:p w:rsidR="00212513" w:rsidRDefault="00212513">
      <w:pPr>
        <w:pStyle w:val="ConsPlusNormal"/>
        <w:spacing w:before="220"/>
        <w:ind w:firstLine="540"/>
        <w:jc w:val="both"/>
      </w:pPr>
      <w:r>
        <w:t xml:space="preserve">второй пластинки - </w:t>
      </w:r>
      <w:r>
        <w:rPr>
          <w:noProof/>
          <w:position w:val="-7"/>
        </w:rPr>
        <w:drawing>
          <wp:inline distT="0" distB="0" distL="0" distR="0">
            <wp:extent cx="398780" cy="230505"/>
            <wp:effectExtent l="0" t="0" r="0" b="0"/>
            <wp:docPr id="28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1" cstate="print">
                      <a:extLst>
                        <a:ext uri="{28A0092B-C50C-407E-A947-70E740481C1C}">
                          <a14:useLocalDpi xmlns:a14="http://schemas.microsoft.com/office/drawing/2010/main" val="0"/>
                        </a:ext>
                      </a:extLst>
                    </a:blip>
                    <a:srcRect/>
                    <a:stretch>
                      <a:fillRect/>
                    </a:stretch>
                  </pic:blipFill>
                  <pic:spPr bwMode="auto">
                    <a:xfrm>
                      <a:off x="0" y="0"/>
                      <a:ext cx="398780" cy="230505"/>
                    </a:xfrm>
                    <a:prstGeom prst="rect">
                      <a:avLst/>
                    </a:prstGeom>
                    <a:noFill/>
                    <a:ln>
                      <a:noFill/>
                    </a:ln>
                  </pic:spPr>
                </pic:pic>
              </a:graphicData>
            </a:graphic>
          </wp:inline>
        </w:drawing>
      </w:r>
      <w:r>
        <w:t>.</w:t>
      </w:r>
    </w:p>
    <w:p w:rsidR="00212513" w:rsidRDefault="00212513">
      <w:pPr>
        <w:pStyle w:val="ConsPlusNormal"/>
        <w:ind w:firstLine="540"/>
        <w:jc w:val="both"/>
      </w:pPr>
    </w:p>
    <w:p w:rsidR="00212513" w:rsidRDefault="00212513">
      <w:pPr>
        <w:pStyle w:val="ConsPlusNormal"/>
        <w:jc w:val="right"/>
      </w:pPr>
      <w:r>
        <w:t>Таблица Х.10</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07"/>
        <w:gridCol w:w="1488"/>
        <w:gridCol w:w="1488"/>
        <w:gridCol w:w="1488"/>
        <w:gridCol w:w="1489"/>
        <w:gridCol w:w="1531"/>
      </w:tblGrid>
      <w:tr w:rsidR="00212513">
        <w:tc>
          <w:tcPr>
            <w:tcW w:w="1607" w:type="dxa"/>
            <w:vAlign w:val="center"/>
          </w:tcPr>
          <w:p w:rsidR="00212513" w:rsidRDefault="00212513">
            <w:pPr>
              <w:pStyle w:val="ConsPlusNormal"/>
              <w:jc w:val="center"/>
            </w:pPr>
            <w:r>
              <w:rPr>
                <w:noProof/>
                <w:position w:val="-3"/>
              </w:rPr>
              <w:drawing>
                <wp:inline distT="0" distB="0" distL="0" distR="0">
                  <wp:extent cx="136525" cy="178435"/>
                  <wp:effectExtent l="0" t="0" r="0" b="0"/>
                  <wp:docPr id="28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2"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p>
        </w:tc>
        <w:tc>
          <w:tcPr>
            <w:tcW w:w="1488" w:type="dxa"/>
            <w:vAlign w:val="center"/>
          </w:tcPr>
          <w:p w:rsidR="00212513" w:rsidRDefault="00212513">
            <w:pPr>
              <w:pStyle w:val="ConsPlusNormal"/>
              <w:jc w:val="center"/>
            </w:pPr>
            <w:r>
              <w:t>0,5</w:t>
            </w:r>
          </w:p>
        </w:tc>
        <w:tc>
          <w:tcPr>
            <w:tcW w:w="1488" w:type="dxa"/>
            <w:vAlign w:val="center"/>
          </w:tcPr>
          <w:p w:rsidR="00212513" w:rsidRDefault="00212513">
            <w:pPr>
              <w:pStyle w:val="ConsPlusNormal"/>
              <w:jc w:val="center"/>
            </w:pPr>
            <w:r>
              <w:t>1,0</w:t>
            </w:r>
          </w:p>
        </w:tc>
        <w:tc>
          <w:tcPr>
            <w:tcW w:w="1488" w:type="dxa"/>
            <w:vAlign w:val="center"/>
          </w:tcPr>
          <w:p w:rsidR="00212513" w:rsidRDefault="00212513">
            <w:pPr>
              <w:pStyle w:val="ConsPlusNormal"/>
              <w:jc w:val="center"/>
            </w:pPr>
            <w:r>
              <w:t>2,0</w:t>
            </w:r>
          </w:p>
        </w:tc>
        <w:tc>
          <w:tcPr>
            <w:tcW w:w="1489" w:type="dxa"/>
            <w:vAlign w:val="center"/>
          </w:tcPr>
          <w:p w:rsidR="00212513" w:rsidRDefault="00212513">
            <w:pPr>
              <w:pStyle w:val="ConsPlusNormal"/>
              <w:jc w:val="center"/>
            </w:pPr>
            <w:r>
              <w:t>5,0</w:t>
            </w:r>
          </w:p>
        </w:tc>
        <w:tc>
          <w:tcPr>
            <w:tcW w:w="1531" w:type="dxa"/>
            <w:vAlign w:val="center"/>
          </w:tcPr>
          <w:p w:rsidR="00212513" w:rsidRDefault="00212513">
            <w:pPr>
              <w:pStyle w:val="ConsPlusNormal"/>
              <w:jc w:val="center"/>
            </w:pPr>
            <w:r>
              <w:t>10 и более</w:t>
            </w:r>
          </w:p>
        </w:tc>
      </w:tr>
      <w:tr w:rsidR="00212513">
        <w:tc>
          <w:tcPr>
            <w:tcW w:w="1607" w:type="dxa"/>
            <w:vAlign w:val="center"/>
          </w:tcPr>
          <w:p w:rsidR="00212513" w:rsidRDefault="00212513">
            <w:pPr>
              <w:pStyle w:val="ConsPlusNormal"/>
              <w:jc w:val="center"/>
            </w:pPr>
            <w:r>
              <w:rPr>
                <w:noProof/>
                <w:position w:val="-3"/>
              </w:rPr>
              <w:drawing>
                <wp:inline distT="0" distB="0" distL="0" distR="0">
                  <wp:extent cx="167640" cy="178435"/>
                  <wp:effectExtent l="0" t="0" r="0" b="0"/>
                  <wp:docPr id="28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3"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p>
        </w:tc>
        <w:tc>
          <w:tcPr>
            <w:tcW w:w="1488" w:type="dxa"/>
            <w:vAlign w:val="center"/>
          </w:tcPr>
          <w:p w:rsidR="00212513" w:rsidRDefault="00212513">
            <w:pPr>
              <w:pStyle w:val="ConsPlusNormal"/>
              <w:jc w:val="center"/>
            </w:pPr>
            <w:r>
              <w:t>1,16</w:t>
            </w:r>
          </w:p>
        </w:tc>
        <w:tc>
          <w:tcPr>
            <w:tcW w:w="1488" w:type="dxa"/>
            <w:vAlign w:val="center"/>
          </w:tcPr>
          <w:p w:rsidR="00212513" w:rsidRDefault="00212513">
            <w:pPr>
              <w:pStyle w:val="ConsPlusNormal"/>
              <w:jc w:val="center"/>
            </w:pPr>
            <w:r>
              <w:t>1,22</w:t>
            </w:r>
          </w:p>
        </w:tc>
        <w:tc>
          <w:tcPr>
            <w:tcW w:w="1488" w:type="dxa"/>
            <w:vAlign w:val="center"/>
          </w:tcPr>
          <w:p w:rsidR="00212513" w:rsidRDefault="00212513">
            <w:pPr>
              <w:pStyle w:val="ConsPlusNormal"/>
              <w:jc w:val="center"/>
            </w:pPr>
            <w:r>
              <w:t>1,27</w:t>
            </w:r>
          </w:p>
        </w:tc>
        <w:tc>
          <w:tcPr>
            <w:tcW w:w="1489" w:type="dxa"/>
            <w:vAlign w:val="center"/>
          </w:tcPr>
          <w:p w:rsidR="00212513" w:rsidRDefault="00212513">
            <w:pPr>
              <w:pStyle w:val="ConsPlusNormal"/>
              <w:jc w:val="center"/>
            </w:pPr>
            <w:r>
              <w:t>1,31</w:t>
            </w:r>
          </w:p>
        </w:tc>
        <w:tc>
          <w:tcPr>
            <w:tcW w:w="1531" w:type="dxa"/>
            <w:vAlign w:val="center"/>
          </w:tcPr>
          <w:p w:rsidR="00212513" w:rsidRDefault="00212513">
            <w:pPr>
              <w:pStyle w:val="ConsPlusNormal"/>
              <w:jc w:val="center"/>
            </w:pPr>
            <w:r>
              <w:t>1,35</w:t>
            </w:r>
          </w:p>
        </w:tc>
      </w:tr>
    </w:tbl>
    <w:p w:rsidR="00212513" w:rsidRDefault="00212513">
      <w:pPr>
        <w:pStyle w:val="ConsPlusNormal"/>
        <w:ind w:firstLine="540"/>
        <w:jc w:val="both"/>
      </w:pPr>
    </w:p>
    <w:p w:rsidR="00212513" w:rsidRDefault="00212513">
      <w:pPr>
        <w:pStyle w:val="ConsPlusNormal"/>
        <w:ind w:firstLine="540"/>
        <w:jc w:val="both"/>
      </w:pPr>
      <w:r>
        <w:t xml:space="preserve">Х.5.2 Приведенное критическое поперечное нормальное напряжение </w:t>
      </w:r>
      <w:r>
        <w:rPr>
          <w:noProof/>
          <w:position w:val="-10"/>
        </w:rPr>
        <w:drawing>
          <wp:inline distT="0" distB="0" distL="0" distR="0">
            <wp:extent cx="461010" cy="267970"/>
            <wp:effectExtent l="0" t="0" r="0" b="0"/>
            <wp:docPr id="28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4" cstate="print">
                      <a:extLst>
                        <a:ext uri="{28A0092B-C50C-407E-A947-70E740481C1C}">
                          <a14:useLocalDpi xmlns:a14="http://schemas.microsoft.com/office/drawing/2010/main" val="0"/>
                        </a:ext>
                      </a:extLst>
                    </a:blip>
                    <a:srcRect/>
                    <a:stretch>
                      <a:fillRect/>
                    </a:stretch>
                  </pic:blipFill>
                  <pic:spPr bwMode="auto">
                    <a:xfrm>
                      <a:off x="0" y="0"/>
                      <a:ext cx="461010" cy="267970"/>
                    </a:xfrm>
                    <a:prstGeom prst="rect">
                      <a:avLst/>
                    </a:prstGeom>
                    <a:noFill/>
                    <a:ln>
                      <a:noFill/>
                    </a:ln>
                  </pic:spPr>
                </pic:pic>
              </a:graphicData>
            </a:graphic>
          </wp:inline>
        </w:drawing>
      </w:r>
      <w:r>
        <w:t xml:space="preserve"> в первой пластинке следует определять по формуле</w:t>
      </w:r>
    </w:p>
    <w:p w:rsidR="00212513" w:rsidRDefault="00212513">
      <w:pPr>
        <w:pStyle w:val="ConsPlusNormal"/>
        <w:jc w:val="both"/>
      </w:pPr>
      <w:r>
        <w:t xml:space="preserve">(в ред. </w:t>
      </w:r>
      <w:hyperlink r:id="rId3615">
        <w:r>
          <w:rPr>
            <w:color w:val="0000FF"/>
          </w:rPr>
          <w:t>Изменения N 1</w:t>
        </w:r>
      </w:hyperlink>
      <w:r>
        <w:t>, утв. Приказом Минстроя России от 03.12.2016 N 879/пр)</w:t>
      </w:r>
    </w:p>
    <w:p w:rsidR="00212513" w:rsidRDefault="00212513">
      <w:pPr>
        <w:pStyle w:val="ConsPlusNormal"/>
        <w:ind w:firstLine="540"/>
        <w:jc w:val="both"/>
      </w:pPr>
    </w:p>
    <w:p w:rsidR="00212513" w:rsidRDefault="00212513">
      <w:pPr>
        <w:pStyle w:val="ConsPlusNormal"/>
        <w:jc w:val="center"/>
      </w:pPr>
      <w:bookmarkStart w:id="548" w:name="P16398"/>
      <w:bookmarkEnd w:id="548"/>
      <w:r>
        <w:rPr>
          <w:noProof/>
          <w:position w:val="-29"/>
        </w:rPr>
        <w:drawing>
          <wp:inline distT="0" distB="0" distL="0" distR="0">
            <wp:extent cx="2863850" cy="511810"/>
            <wp:effectExtent l="0" t="0" r="0" b="0"/>
            <wp:docPr id="28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6" cstate="print">
                      <a:extLst>
                        <a:ext uri="{28A0092B-C50C-407E-A947-70E740481C1C}">
                          <a14:useLocalDpi xmlns:a14="http://schemas.microsoft.com/office/drawing/2010/main" val="0"/>
                        </a:ext>
                      </a:extLst>
                    </a:blip>
                    <a:srcRect/>
                    <a:stretch>
                      <a:fillRect/>
                    </a:stretch>
                  </pic:blipFill>
                  <pic:spPr bwMode="auto">
                    <a:xfrm>
                      <a:off x="0" y="0"/>
                      <a:ext cx="2863850" cy="511810"/>
                    </a:xfrm>
                    <a:prstGeom prst="rect">
                      <a:avLst/>
                    </a:prstGeom>
                    <a:noFill/>
                    <a:ln>
                      <a:noFill/>
                    </a:ln>
                  </pic:spPr>
                </pic:pic>
              </a:graphicData>
            </a:graphic>
          </wp:inline>
        </w:drawing>
      </w:r>
      <w:r>
        <w:t>, (Х.16)</w:t>
      </w:r>
    </w:p>
    <w:p w:rsidR="00212513" w:rsidRDefault="00212513">
      <w:pPr>
        <w:pStyle w:val="ConsPlusNormal"/>
        <w:ind w:firstLine="540"/>
        <w:jc w:val="both"/>
      </w:pPr>
    </w:p>
    <w:p w:rsidR="00212513" w:rsidRDefault="00212513">
      <w:pPr>
        <w:pStyle w:val="ConsPlusNormal"/>
        <w:ind w:firstLine="540"/>
        <w:jc w:val="both"/>
      </w:pPr>
      <w:r>
        <w:t xml:space="preserve">где </w:t>
      </w:r>
      <w:r>
        <w:rPr>
          <w:i/>
        </w:rPr>
        <w:t>i</w:t>
      </w:r>
      <w:r>
        <w:t xml:space="preserve"> - коэффициент, принимаемый равным 1,0 при </w:t>
      </w:r>
      <w:r>
        <w:rPr>
          <w:noProof/>
          <w:position w:val="-9"/>
        </w:rPr>
        <w:drawing>
          <wp:inline distT="0" distB="0" distL="0" distR="0">
            <wp:extent cx="1023620" cy="261620"/>
            <wp:effectExtent l="0" t="0" r="0" b="0"/>
            <wp:docPr id="28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7" cstate="print">
                      <a:extLst>
                        <a:ext uri="{28A0092B-C50C-407E-A947-70E740481C1C}">
                          <a14:useLocalDpi xmlns:a14="http://schemas.microsoft.com/office/drawing/2010/main" val="0"/>
                        </a:ext>
                      </a:extLst>
                    </a:blip>
                    <a:srcRect/>
                    <a:stretch>
                      <a:fillRect/>
                    </a:stretch>
                  </pic:blipFill>
                  <pic:spPr bwMode="auto">
                    <a:xfrm>
                      <a:off x="0" y="0"/>
                      <a:ext cx="1023620" cy="261620"/>
                    </a:xfrm>
                    <a:prstGeom prst="rect">
                      <a:avLst/>
                    </a:prstGeom>
                    <a:noFill/>
                    <a:ln>
                      <a:noFill/>
                    </a:ln>
                  </pic:spPr>
                </pic:pic>
              </a:graphicData>
            </a:graphic>
          </wp:inline>
        </w:drawing>
      </w:r>
      <w:r>
        <w:t xml:space="preserve"> и 2,0 при </w:t>
      </w:r>
      <w:r>
        <w:rPr>
          <w:noProof/>
          <w:position w:val="-7"/>
        </w:rPr>
        <w:drawing>
          <wp:inline distT="0" distB="0" distL="0" distR="0">
            <wp:extent cx="939800" cy="230505"/>
            <wp:effectExtent l="0" t="0" r="0" b="0"/>
            <wp:docPr id="28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8" cstate="print">
                      <a:extLst>
                        <a:ext uri="{28A0092B-C50C-407E-A947-70E740481C1C}">
                          <a14:useLocalDpi xmlns:a14="http://schemas.microsoft.com/office/drawing/2010/main" val="0"/>
                        </a:ext>
                      </a:extLst>
                    </a:blip>
                    <a:srcRect/>
                    <a:stretch>
                      <a:fillRect/>
                    </a:stretch>
                  </pic:blipFill>
                  <pic:spPr bwMode="auto">
                    <a:xfrm>
                      <a:off x="0" y="0"/>
                      <a:ext cx="939800" cy="230505"/>
                    </a:xfrm>
                    <a:prstGeom prst="rect">
                      <a:avLst/>
                    </a:prstGeom>
                    <a:noFill/>
                    <a:ln>
                      <a:noFill/>
                    </a:ln>
                  </pic:spPr>
                </pic:pic>
              </a:graphicData>
            </a:graphic>
          </wp:inline>
        </w:drawing>
      </w:r>
      <w:r>
        <w:t>;</w:t>
      </w:r>
    </w:p>
    <w:p w:rsidR="00212513" w:rsidRDefault="00212513">
      <w:pPr>
        <w:pStyle w:val="ConsPlusNormal"/>
        <w:spacing w:before="220"/>
        <w:ind w:firstLine="540"/>
        <w:jc w:val="both"/>
      </w:pPr>
      <w:r>
        <w:rPr>
          <w:noProof/>
          <w:position w:val="-3"/>
        </w:rPr>
        <w:drawing>
          <wp:inline distT="0" distB="0" distL="0" distR="0">
            <wp:extent cx="167640" cy="177800"/>
            <wp:effectExtent l="0" t="0" r="0" b="0"/>
            <wp:docPr id="28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9"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коэффициент упругого защемления, принимаемый по таблице Х.11 для элементов, объединенных с железобетонной плитой, и для балок с болтовыми соединениями, по </w:t>
      </w:r>
      <w:hyperlink w:anchor="P16418">
        <w:r>
          <w:rPr>
            <w:color w:val="0000FF"/>
          </w:rPr>
          <w:t>таблице Х.12</w:t>
        </w:r>
      </w:hyperlink>
      <w:r>
        <w:t xml:space="preserve"> - для сварных балок.</w:t>
      </w:r>
    </w:p>
    <w:p w:rsidR="00212513" w:rsidRDefault="00212513">
      <w:pPr>
        <w:pStyle w:val="ConsPlusNormal"/>
        <w:ind w:firstLine="540"/>
        <w:jc w:val="both"/>
      </w:pPr>
    </w:p>
    <w:p w:rsidR="00212513" w:rsidRDefault="00212513">
      <w:pPr>
        <w:pStyle w:val="ConsPlusNormal"/>
        <w:jc w:val="right"/>
      </w:pPr>
      <w:r>
        <w:t>Таблица Х.11</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02"/>
        <w:gridCol w:w="1484"/>
        <w:gridCol w:w="1484"/>
        <w:gridCol w:w="1484"/>
        <w:gridCol w:w="1486"/>
        <w:gridCol w:w="1531"/>
      </w:tblGrid>
      <w:tr w:rsidR="00212513">
        <w:tc>
          <w:tcPr>
            <w:tcW w:w="1602" w:type="dxa"/>
            <w:vAlign w:val="center"/>
          </w:tcPr>
          <w:p w:rsidR="00212513" w:rsidRDefault="00212513">
            <w:pPr>
              <w:pStyle w:val="ConsPlusNormal"/>
              <w:jc w:val="center"/>
            </w:pPr>
            <w:r>
              <w:rPr>
                <w:noProof/>
                <w:position w:val="-3"/>
              </w:rPr>
              <w:drawing>
                <wp:inline distT="0" distB="0" distL="0" distR="0">
                  <wp:extent cx="167640" cy="178435"/>
                  <wp:effectExtent l="0" t="0" r="0" b="0"/>
                  <wp:docPr id="28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0"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p>
        </w:tc>
        <w:tc>
          <w:tcPr>
            <w:tcW w:w="1484" w:type="dxa"/>
            <w:vAlign w:val="center"/>
          </w:tcPr>
          <w:p w:rsidR="00212513" w:rsidRDefault="00212513">
            <w:pPr>
              <w:pStyle w:val="ConsPlusNormal"/>
              <w:jc w:val="center"/>
            </w:pPr>
            <w:r>
              <w:t>0,5</w:t>
            </w:r>
          </w:p>
        </w:tc>
        <w:tc>
          <w:tcPr>
            <w:tcW w:w="1484" w:type="dxa"/>
            <w:vAlign w:val="center"/>
          </w:tcPr>
          <w:p w:rsidR="00212513" w:rsidRDefault="00212513">
            <w:pPr>
              <w:pStyle w:val="ConsPlusNormal"/>
              <w:jc w:val="center"/>
            </w:pPr>
            <w:r>
              <w:t>0,8</w:t>
            </w:r>
          </w:p>
        </w:tc>
        <w:tc>
          <w:tcPr>
            <w:tcW w:w="1484" w:type="dxa"/>
            <w:vAlign w:val="center"/>
          </w:tcPr>
          <w:p w:rsidR="00212513" w:rsidRDefault="00212513">
            <w:pPr>
              <w:pStyle w:val="ConsPlusNormal"/>
              <w:jc w:val="center"/>
            </w:pPr>
            <w:r>
              <w:t>1,0</w:t>
            </w:r>
          </w:p>
        </w:tc>
        <w:tc>
          <w:tcPr>
            <w:tcW w:w="1486" w:type="dxa"/>
            <w:vAlign w:val="center"/>
          </w:tcPr>
          <w:p w:rsidR="00212513" w:rsidRDefault="00212513">
            <w:pPr>
              <w:pStyle w:val="ConsPlusNormal"/>
              <w:jc w:val="center"/>
            </w:pPr>
            <w:r>
              <w:t>1,5</w:t>
            </w:r>
          </w:p>
        </w:tc>
        <w:tc>
          <w:tcPr>
            <w:tcW w:w="1531" w:type="dxa"/>
            <w:vAlign w:val="center"/>
          </w:tcPr>
          <w:p w:rsidR="00212513" w:rsidRDefault="00212513">
            <w:pPr>
              <w:pStyle w:val="ConsPlusNormal"/>
              <w:jc w:val="center"/>
            </w:pPr>
            <w:r>
              <w:t>2,0 и более</w:t>
            </w:r>
          </w:p>
        </w:tc>
      </w:tr>
      <w:tr w:rsidR="00212513">
        <w:tc>
          <w:tcPr>
            <w:tcW w:w="1602" w:type="dxa"/>
            <w:vAlign w:val="center"/>
          </w:tcPr>
          <w:p w:rsidR="00212513" w:rsidRDefault="00212513">
            <w:pPr>
              <w:pStyle w:val="ConsPlusNormal"/>
              <w:jc w:val="center"/>
            </w:pPr>
            <w:r>
              <w:rPr>
                <w:noProof/>
                <w:position w:val="-3"/>
              </w:rPr>
              <w:lastRenderedPageBreak/>
              <w:drawing>
                <wp:inline distT="0" distB="0" distL="0" distR="0">
                  <wp:extent cx="167640" cy="178435"/>
                  <wp:effectExtent l="0" t="0" r="0" b="0"/>
                  <wp:docPr id="28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1"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p>
        </w:tc>
        <w:tc>
          <w:tcPr>
            <w:tcW w:w="1484" w:type="dxa"/>
            <w:vAlign w:val="center"/>
          </w:tcPr>
          <w:p w:rsidR="00212513" w:rsidRDefault="00212513">
            <w:pPr>
              <w:pStyle w:val="ConsPlusNormal"/>
              <w:jc w:val="center"/>
            </w:pPr>
            <w:r>
              <w:t>1,07</w:t>
            </w:r>
          </w:p>
        </w:tc>
        <w:tc>
          <w:tcPr>
            <w:tcW w:w="1484" w:type="dxa"/>
            <w:vAlign w:val="center"/>
          </w:tcPr>
          <w:p w:rsidR="00212513" w:rsidRDefault="00212513">
            <w:pPr>
              <w:pStyle w:val="ConsPlusNormal"/>
              <w:jc w:val="center"/>
            </w:pPr>
            <w:r>
              <w:t>1,18</w:t>
            </w:r>
          </w:p>
        </w:tc>
        <w:tc>
          <w:tcPr>
            <w:tcW w:w="1484" w:type="dxa"/>
            <w:vAlign w:val="center"/>
          </w:tcPr>
          <w:p w:rsidR="00212513" w:rsidRDefault="00212513">
            <w:pPr>
              <w:pStyle w:val="ConsPlusNormal"/>
              <w:jc w:val="center"/>
            </w:pPr>
            <w:r>
              <w:t>1,31</w:t>
            </w:r>
          </w:p>
        </w:tc>
        <w:tc>
          <w:tcPr>
            <w:tcW w:w="1486" w:type="dxa"/>
            <w:vAlign w:val="center"/>
          </w:tcPr>
          <w:p w:rsidR="00212513" w:rsidRDefault="00212513">
            <w:pPr>
              <w:pStyle w:val="ConsPlusNormal"/>
              <w:jc w:val="center"/>
            </w:pPr>
            <w:r>
              <w:t>1,52</w:t>
            </w:r>
          </w:p>
        </w:tc>
        <w:tc>
          <w:tcPr>
            <w:tcW w:w="1531" w:type="dxa"/>
            <w:vAlign w:val="center"/>
          </w:tcPr>
          <w:p w:rsidR="00212513" w:rsidRDefault="00212513">
            <w:pPr>
              <w:pStyle w:val="ConsPlusNormal"/>
              <w:jc w:val="center"/>
            </w:pPr>
            <w:r>
              <w:t>1,62</w:t>
            </w:r>
          </w:p>
        </w:tc>
      </w:tr>
    </w:tbl>
    <w:p w:rsidR="00212513" w:rsidRDefault="00212513">
      <w:pPr>
        <w:pStyle w:val="ConsPlusNormal"/>
        <w:ind w:firstLine="540"/>
        <w:jc w:val="both"/>
      </w:pPr>
    </w:p>
    <w:p w:rsidR="00212513" w:rsidRDefault="00212513">
      <w:pPr>
        <w:pStyle w:val="ConsPlusNormal"/>
        <w:jc w:val="right"/>
      </w:pPr>
      <w:bookmarkStart w:id="549" w:name="P16418"/>
      <w:bookmarkEnd w:id="549"/>
      <w:r>
        <w:t>Таблица Х.12</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67"/>
        <w:gridCol w:w="993"/>
        <w:gridCol w:w="993"/>
        <w:gridCol w:w="993"/>
        <w:gridCol w:w="993"/>
        <w:gridCol w:w="993"/>
        <w:gridCol w:w="993"/>
        <w:gridCol w:w="993"/>
        <w:gridCol w:w="1000"/>
      </w:tblGrid>
      <w:tr w:rsidR="00212513">
        <w:tc>
          <w:tcPr>
            <w:tcW w:w="1067" w:type="dxa"/>
            <w:vMerge w:val="restart"/>
            <w:vAlign w:val="center"/>
          </w:tcPr>
          <w:p w:rsidR="00212513" w:rsidRDefault="00212513">
            <w:pPr>
              <w:pStyle w:val="ConsPlusNormal"/>
              <w:jc w:val="center"/>
            </w:pPr>
            <w:r>
              <w:rPr>
                <w:noProof/>
                <w:position w:val="-3"/>
              </w:rPr>
              <w:drawing>
                <wp:inline distT="0" distB="0" distL="0" distR="0">
                  <wp:extent cx="136525" cy="178435"/>
                  <wp:effectExtent l="0" t="0" r="0" b="0"/>
                  <wp:docPr id="28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2"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p>
        </w:tc>
        <w:tc>
          <w:tcPr>
            <w:tcW w:w="7951" w:type="dxa"/>
            <w:gridSpan w:val="8"/>
            <w:vAlign w:val="center"/>
          </w:tcPr>
          <w:p w:rsidR="00212513" w:rsidRDefault="00212513">
            <w:pPr>
              <w:pStyle w:val="ConsPlusNormal"/>
              <w:jc w:val="center"/>
            </w:pPr>
            <w:r>
              <w:t xml:space="preserve">Значение коэффициента </w:t>
            </w:r>
            <w:r>
              <w:rPr>
                <w:noProof/>
                <w:position w:val="-3"/>
              </w:rPr>
              <w:drawing>
                <wp:inline distT="0" distB="0" distL="0" distR="0">
                  <wp:extent cx="167640" cy="178435"/>
                  <wp:effectExtent l="0" t="0" r="0" b="0"/>
                  <wp:docPr id="28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3"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r>
              <w:t xml:space="preserve"> при </w:t>
            </w:r>
            <w:r>
              <w:rPr>
                <w:noProof/>
                <w:position w:val="-3"/>
              </w:rPr>
              <w:drawing>
                <wp:inline distT="0" distB="0" distL="0" distR="0">
                  <wp:extent cx="167640" cy="178435"/>
                  <wp:effectExtent l="0" t="0" r="0" b="0"/>
                  <wp:docPr id="28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4"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p>
        </w:tc>
      </w:tr>
      <w:tr w:rsidR="00212513">
        <w:tc>
          <w:tcPr>
            <w:tcW w:w="1067" w:type="dxa"/>
            <w:vMerge/>
          </w:tcPr>
          <w:p w:rsidR="00212513" w:rsidRDefault="00212513">
            <w:pPr>
              <w:pStyle w:val="ConsPlusNormal"/>
            </w:pPr>
          </w:p>
        </w:tc>
        <w:tc>
          <w:tcPr>
            <w:tcW w:w="993" w:type="dxa"/>
            <w:vAlign w:val="center"/>
          </w:tcPr>
          <w:p w:rsidR="00212513" w:rsidRDefault="00212513">
            <w:pPr>
              <w:pStyle w:val="ConsPlusNormal"/>
              <w:jc w:val="center"/>
            </w:pPr>
            <w:r>
              <w:t>0,5</w:t>
            </w:r>
          </w:p>
        </w:tc>
        <w:tc>
          <w:tcPr>
            <w:tcW w:w="993" w:type="dxa"/>
            <w:vAlign w:val="center"/>
          </w:tcPr>
          <w:p w:rsidR="00212513" w:rsidRDefault="00212513">
            <w:pPr>
              <w:pStyle w:val="ConsPlusNormal"/>
              <w:jc w:val="center"/>
            </w:pPr>
            <w:r>
              <w:t>0,6</w:t>
            </w:r>
          </w:p>
        </w:tc>
        <w:tc>
          <w:tcPr>
            <w:tcW w:w="993" w:type="dxa"/>
            <w:vAlign w:val="center"/>
          </w:tcPr>
          <w:p w:rsidR="00212513" w:rsidRDefault="00212513">
            <w:pPr>
              <w:pStyle w:val="ConsPlusNormal"/>
              <w:jc w:val="center"/>
            </w:pPr>
            <w:r>
              <w:t>0,9</w:t>
            </w:r>
          </w:p>
        </w:tc>
        <w:tc>
          <w:tcPr>
            <w:tcW w:w="993" w:type="dxa"/>
            <w:vAlign w:val="center"/>
          </w:tcPr>
          <w:p w:rsidR="00212513" w:rsidRDefault="00212513">
            <w:pPr>
              <w:pStyle w:val="ConsPlusNormal"/>
              <w:jc w:val="center"/>
            </w:pPr>
            <w:r>
              <w:t>1,0</w:t>
            </w:r>
          </w:p>
        </w:tc>
        <w:tc>
          <w:tcPr>
            <w:tcW w:w="993" w:type="dxa"/>
            <w:vAlign w:val="center"/>
          </w:tcPr>
          <w:p w:rsidR="00212513" w:rsidRDefault="00212513">
            <w:pPr>
              <w:pStyle w:val="ConsPlusNormal"/>
              <w:jc w:val="center"/>
            </w:pPr>
            <w:r>
              <w:t>1,5</w:t>
            </w:r>
          </w:p>
        </w:tc>
        <w:tc>
          <w:tcPr>
            <w:tcW w:w="993" w:type="dxa"/>
            <w:vAlign w:val="center"/>
          </w:tcPr>
          <w:p w:rsidR="00212513" w:rsidRDefault="00212513">
            <w:pPr>
              <w:pStyle w:val="ConsPlusNormal"/>
              <w:jc w:val="center"/>
            </w:pPr>
            <w:r>
              <w:t>2,0</w:t>
            </w:r>
          </w:p>
        </w:tc>
        <w:tc>
          <w:tcPr>
            <w:tcW w:w="993" w:type="dxa"/>
            <w:vAlign w:val="center"/>
          </w:tcPr>
          <w:p w:rsidR="00212513" w:rsidRDefault="00212513">
            <w:pPr>
              <w:pStyle w:val="ConsPlusNormal"/>
              <w:jc w:val="center"/>
            </w:pPr>
            <w:r>
              <w:t>2,5</w:t>
            </w:r>
          </w:p>
        </w:tc>
        <w:tc>
          <w:tcPr>
            <w:tcW w:w="1000" w:type="dxa"/>
            <w:vAlign w:val="center"/>
          </w:tcPr>
          <w:p w:rsidR="00212513" w:rsidRDefault="00212513">
            <w:pPr>
              <w:pStyle w:val="ConsPlusNormal"/>
              <w:jc w:val="center"/>
            </w:pPr>
            <w:r>
              <w:t>3,0</w:t>
            </w:r>
          </w:p>
        </w:tc>
      </w:tr>
      <w:tr w:rsidR="00212513">
        <w:tblPrEx>
          <w:tblBorders>
            <w:insideH w:val="nil"/>
          </w:tblBorders>
        </w:tblPrEx>
        <w:tc>
          <w:tcPr>
            <w:tcW w:w="1067" w:type="dxa"/>
            <w:tcBorders>
              <w:bottom w:val="nil"/>
            </w:tcBorders>
          </w:tcPr>
          <w:p w:rsidR="00212513" w:rsidRDefault="00212513">
            <w:pPr>
              <w:pStyle w:val="ConsPlusNormal"/>
              <w:jc w:val="center"/>
            </w:pPr>
            <w:r>
              <w:t>2</w:t>
            </w:r>
          </w:p>
        </w:tc>
        <w:tc>
          <w:tcPr>
            <w:tcW w:w="993" w:type="dxa"/>
            <w:tcBorders>
              <w:bottom w:val="nil"/>
            </w:tcBorders>
          </w:tcPr>
          <w:p w:rsidR="00212513" w:rsidRDefault="00212513">
            <w:pPr>
              <w:pStyle w:val="ConsPlusNormal"/>
              <w:jc w:val="center"/>
            </w:pPr>
            <w:r>
              <w:t>1,06</w:t>
            </w:r>
          </w:p>
        </w:tc>
        <w:tc>
          <w:tcPr>
            <w:tcW w:w="993" w:type="dxa"/>
            <w:tcBorders>
              <w:bottom w:val="nil"/>
            </w:tcBorders>
          </w:tcPr>
          <w:p w:rsidR="00212513" w:rsidRDefault="00212513">
            <w:pPr>
              <w:pStyle w:val="ConsPlusNormal"/>
              <w:jc w:val="center"/>
            </w:pPr>
            <w:r>
              <w:t>1,07</w:t>
            </w:r>
          </w:p>
        </w:tc>
        <w:tc>
          <w:tcPr>
            <w:tcW w:w="993" w:type="dxa"/>
            <w:tcBorders>
              <w:bottom w:val="nil"/>
            </w:tcBorders>
          </w:tcPr>
          <w:p w:rsidR="00212513" w:rsidRDefault="00212513">
            <w:pPr>
              <w:pStyle w:val="ConsPlusNormal"/>
              <w:jc w:val="center"/>
            </w:pPr>
            <w:r>
              <w:t>1,13</w:t>
            </w:r>
          </w:p>
        </w:tc>
        <w:tc>
          <w:tcPr>
            <w:tcW w:w="993" w:type="dxa"/>
            <w:tcBorders>
              <w:bottom w:val="nil"/>
            </w:tcBorders>
          </w:tcPr>
          <w:p w:rsidR="00212513" w:rsidRDefault="00212513">
            <w:pPr>
              <w:pStyle w:val="ConsPlusNormal"/>
              <w:jc w:val="center"/>
            </w:pPr>
            <w:r>
              <w:t>1,17</w:t>
            </w:r>
          </w:p>
        </w:tc>
        <w:tc>
          <w:tcPr>
            <w:tcW w:w="993" w:type="dxa"/>
            <w:tcBorders>
              <w:bottom w:val="nil"/>
            </w:tcBorders>
          </w:tcPr>
          <w:p w:rsidR="00212513" w:rsidRDefault="00212513">
            <w:pPr>
              <w:pStyle w:val="ConsPlusNormal"/>
              <w:jc w:val="center"/>
            </w:pPr>
            <w:r>
              <w:t>1,31</w:t>
            </w:r>
          </w:p>
        </w:tc>
        <w:tc>
          <w:tcPr>
            <w:tcW w:w="993" w:type="dxa"/>
            <w:tcBorders>
              <w:bottom w:val="nil"/>
            </w:tcBorders>
          </w:tcPr>
          <w:p w:rsidR="00212513" w:rsidRDefault="00212513">
            <w:pPr>
              <w:pStyle w:val="ConsPlusNormal"/>
              <w:jc w:val="center"/>
            </w:pPr>
            <w:r>
              <w:t>1,32</w:t>
            </w:r>
          </w:p>
        </w:tc>
        <w:tc>
          <w:tcPr>
            <w:tcW w:w="993" w:type="dxa"/>
            <w:tcBorders>
              <w:bottom w:val="nil"/>
            </w:tcBorders>
          </w:tcPr>
          <w:p w:rsidR="00212513" w:rsidRDefault="00212513">
            <w:pPr>
              <w:pStyle w:val="ConsPlusNormal"/>
              <w:jc w:val="center"/>
            </w:pPr>
            <w:r>
              <w:t>1,29</w:t>
            </w:r>
          </w:p>
        </w:tc>
        <w:tc>
          <w:tcPr>
            <w:tcW w:w="1000" w:type="dxa"/>
            <w:tcBorders>
              <w:bottom w:val="nil"/>
            </w:tcBorders>
          </w:tcPr>
          <w:p w:rsidR="00212513" w:rsidRDefault="00212513">
            <w:pPr>
              <w:pStyle w:val="ConsPlusNormal"/>
              <w:jc w:val="center"/>
            </w:pPr>
            <w:r>
              <w:t>1,25</w:t>
            </w:r>
          </w:p>
        </w:tc>
      </w:tr>
      <w:tr w:rsidR="00212513">
        <w:tblPrEx>
          <w:tblBorders>
            <w:insideH w:val="nil"/>
          </w:tblBorders>
        </w:tblPrEx>
        <w:tc>
          <w:tcPr>
            <w:tcW w:w="1067" w:type="dxa"/>
            <w:tcBorders>
              <w:top w:val="nil"/>
            </w:tcBorders>
          </w:tcPr>
          <w:p w:rsidR="00212513" w:rsidRDefault="00212513">
            <w:pPr>
              <w:pStyle w:val="ConsPlusNormal"/>
              <w:jc w:val="center"/>
            </w:pPr>
            <w:r>
              <w:t>4</w:t>
            </w:r>
          </w:p>
        </w:tc>
        <w:tc>
          <w:tcPr>
            <w:tcW w:w="993" w:type="dxa"/>
            <w:tcBorders>
              <w:top w:val="nil"/>
            </w:tcBorders>
          </w:tcPr>
          <w:p w:rsidR="00212513" w:rsidRDefault="00212513">
            <w:pPr>
              <w:pStyle w:val="ConsPlusNormal"/>
              <w:jc w:val="center"/>
            </w:pPr>
            <w:r>
              <w:t>1,06</w:t>
            </w:r>
          </w:p>
        </w:tc>
        <w:tc>
          <w:tcPr>
            <w:tcW w:w="993" w:type="dxa"/>
            <w:tcBorders>
              <w:top w:val="nil"/>
            </w:tcBorders>
          </w:tcPr>
          <w:p w:rsidR="00212513" w:rsidRDefault="00212513">
            <w:pPr>
              <w:pStyle w:val="ConsPlusNormal"/>
              <w:jc w:val="center"/>
            </w:pPr>
            <w:r>
              <w:t>1,07</w:t>
            </w:r>
          </w:p>
        </w:tc>
        <w:tc>
          <w:tcPr>
            <w:tcW w:w="993" w:type="dxa"/>
            <w:tcBorders>
              <w:top w:val="nil"/>
            </w:tcBorders>
          </w:tcPr>
          <w:p w:rsidR="00212513" w:rsidRDefault="00212513">
            <w:pPr>
              <w:pStyle w:val="ConsPlusNormal"/>
              <w:jc w:val="center"/>
            </w:pPr>
            <w:r>
              <w:t>1,14</w:t>
            </w:r>
          </w:p>
        </w:tc>
        <w:tc>
          <w:tcPr>
            <w:tcW w:w="993" w:type="dxa"/>
            <w:tcBorders>
              <w:top w:val="nil"/>
            </w:tcBorders>
          </w:tcPr>
          <w:p w:rsidR="00212513" w:rsidRDefault="00212513">
            <w:pPr>
              <w:pStyle w:val="ConsPlusNormal"/>
              <w:jc w:val="center"/>
            </w:pPr>
            <w:r>
              <w:t>1,19</w:t>
            </w:r>
          </w:p>
        </w:tc>
        <w:tc>
          <w:tcPr>
            <w:tcW w:w="993" w:type="dxa"/>
            <w:tcBorders>
              <w:top w:val="nil"/>
            </w:tcBorders>
          </w:tcPr>
          <w:p w:rsidR="00212513" w:rsidRDefault="00212513">
            <w:pPr>
              <w:pStyle w:val="ConsPlusNormal"/>
              <w:jc w:val="center"/>
            </w:pPr>
            <w:r>
              <w:t>1,38</w:t>
            </w:r>
          </w:p>
        </w:tc>
        <w:tc>
          <w:tcPr>
            <w:tcW w:w="993" w:type="dxa"/>
            <w:tcBorders>
              <w:top w:val="nil"/>
            </w:tcBorders>
          </w:tcPr>
          <w:p w:rsidR="00212513" w:rsidRDefault="00212513">
            <w:pPr>
              <w:pStyle w:val="ConsPlusNormal"/>
              <w:jc w:val="center"/>
            </w:pPr>
            <w:r>
              <w:t>1,44</w:t>
            </w:r>
          </w:p>
        </w:tc>
        <w:tc>
          <w:tcPr>
            <w:tcW w:w="993" w:type="dxa"/>
            <w:tcBorders>
              <w:top w:val="nil"/>
            </w:tcBorders>
          </w:tcPr>
          <w:p w:rsidR="00212513" w:rsidRDefault="00212513">
            <w:pPr>
              <w:pStyle w:val="ConsPlusNormal"/>
              <w:jc w:val="center"/>
            </w:pPr>
            <w:r>
              <w:t>1,43</w:t>
            </w:r>
          </w:p>
        </w:tc>
        <w:tc>
          <w:tcPr>
            <w:tcW w:w="1000" w:type="dxa"/>
            <w:tcBorders>
              <w:top w:val="nil"/>
            </w:tcBorders>
          </w:tcPr>
          <w:p w:rsidR="00212513" w:rsidRDefault="00212513">
            <w:pPr>
              <w:pStyle w:val="ConsPlusNormal"/>
              <w:jc w:val="center"/>
            </w:pPr>
            <w:r>
              <w:t>1,39</w:t>
            </w:r>
          </w:p>
        </w:tc>
      </w:tr>
    </w:tbl>
    <w:p w:rsidR="00212513" w:rsidRDefault="00212513">
      <w:pPr>
        <w:pStyle w:val="ConsPlusNormal"/>
        <w:ind w:firstLine="540"/>
        <w:jc w:val="both"/>
      </w:pPr>
    </w:p>
    <w:p w:rsidR="00212513" w:rsidRDefault="00212513">
      <w:pPr>
        <w:pStyle w:val="ConsPlusNormal"/>
        <w:ind w:firstLine="540"/>
        <w:jc w:val="both"/>
      </w:pPr>
      <w:r>
        <w:t xml:space="preserve">Приведенное критическое поперечное нормальное напряжение </w:t>
      </w:r>
      <w:r>
        <w:rPr>
          <w:noProof/>
          <w:position w:val="-10"/>
        </w:rPr>
        <w:drawing>
          <wp:inline distT="0" distB="0" distL="0" distR="0">
            <wp:extent cx="461010" cy="273685"/>
            <wp:effectExtent l="0" t="0" r="0" b="0"/>
            <wp:docPr id="28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5" cstate="print">
                      <a:extLst>
                        <a:ext uri="{28A0092B-C50C-407E-A947-70E740481C1C}">
                          <a14:useLocalDpi xmlns:a14="http://schemas.microsoft.com/office/drawing/2010/main" val="0"/>
                        </a:ext>
                      </a:extLst>
                    </a:blip>
                    <a:srcRect/>
                    <a:stretch>
                      <a:fillRect/>
                    </a:stretch>
                  </pic:blipFill>
                  <pic:spPr bwMode="auto">
                    <a:xfrm>
                      <a:off x="0" y="0"/>
                      <a:ext cx="461010" cy="273685"/>
                    </a:xfrm>
                    <a:prstGeom prst="rect">
                      <a:avLst/>
                    </a:prstGeom>
                    <a:noFill/>
                    <a:ln>
                      <a:noFill/>
                    </a:ln>
                  </pic:spPr>
                </pic:pic>
              </a:graphicData>
            </a:graphic>
          </wp:inline>
        </w:drawing>
      </w:r>
      <w:r>
        <w:t xml:space="preserve"> при воздействии сосредоточенной нагрузки, когда действующие напряжения определяются по </w:t>
      </w:r>
      <w:hyperlink w:anchor="P15832">
        <w:r>
          <w:rPr>
            <w:color w:val="0000FF"/>
          </w:rPr>
          <w:t>формуле (Х.7)</w:t>
        </w:r>
      </w:hyperlink>
      <w:r>
        <w:t xml:space="preserve">, следует вычислять по </w:t>
      </w:r>
      <w:hyperlink w:anchor="P16398">
        <w:r>
          <w:rPr>
            <w:color w:val="0000FF"/>
          </w:rPr>
          <w:t>формуле (Х.16)</w:t>
        </w:r>
      </w:hyperlink>
      <w:r>
        <w:t xml:space="preserve"> с умножением на коэффициент 1,55; если при этом </w:t>
      </w:r>
      <w:r>
        <w:rPr>
          <w:noProof/>
          <w:position w:val="-10"/>
        </w:rPr>
        <w:drawing>
          <wp:inline distT="0" distB="0" distL="0" distR="0">
            <wp:extent cx="902970" cy="273685"/>
            <wp:effectExtent l="0" t="0" r="0" b="0"/>
            <wp:docPr id="28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6" cstate="print">
                      <a:extLst>
                        <a:ext uri="{28A0092B-C50C-407E-A947-70E740481C1C}">
                          <a14:useLocalDpi xmlns:a14="http://schemas.microsoft.com/office/drawing/2010/main" val="0"/>
                        </a:ext>
                      </a:extLst>
                    </a:blip>
                    <a:srcRect/>
                    <a:stretch>
                      <a:fillRect/>
                    </a:stretch>
                  </pic:blipFill>
                  <pic:spPr bwMode="auto">
                    <a:xfrm>
                      <a:off x="0" y="0"/>
                      <a:ext cx="902970" cy="273685"/>
                    </a:xfrm>
                    <a:prstGeom prst="rect">
                      <a:avLst/>
                    </a:prstGeom>
                    <a:noFill/>
                    <a:ln>
                      <a:noFill/>
                    </a:ln>
                  </pic:spPr>
                </pic:pic>
              </a:graphicData>
            </a:graphic>
          </wp:inline>
        </w:drawing>
      </w:r>
      <w:r>
        <w:t xml:space="preserve">, то надлежит принимать </w:t>
      </w:r>
      <w:r>
        <w:rPr>
          <w:noProof/>
          <w:position w:val="-28"/>
        </w:rPr>
        <w:drawing>
          <wp:inline distT="0" distB="0" distL="0" distR="0">
            <wp:extent cx="963930" cy="502920"/>
            <wp:effectExtent l="0" t="0" r="0" b="0"/>
            <wp:docPr id="28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7" cstate="print">
                      <a:extLst>
                        <a:ext uri="{28A0092B-C50C-407E-A947-70E740481C1C}">
                          <a14:useLocalDpi xmlns:a14="http://schemas.microsoft.com/office/drawing/2010/main" val="0"/>
                        </a:ext>
                      </a:extLst>
                    </a:blip>
                    <a:srcRect/>
                    <a:stretch>
                      <a:fillRect/>
                    </a:stretch>
                  </pic:blipFill>
                  <pic:spPr bwMode="auto">
                    <a:xfrm>
                      <a:off x="0" y="0"/>
                      <a:ext cx="963930" cy="502920"/>
                    </a:xfrm>
                    <a:prstGeom prst="rect">
                      <a:avLst/>
                    </a:prstGeom>
                    <a:noFill/>
                    <a:ln>
                      <a:noFill/>
                    </a:ln>
                  </pic:spPr>
                </pic:pic>
              </a:graphicData>
            </a:graphic>
          </wp:inline>
        </w:drawing>
      </w:r>
      <w:r>
        <w:t>.</w:t>
      </w:r>
    </w:p>
    <w:p w:rsidR="00212513" w:rsidRDefault="00212513">
      <w:pPr>
        <w:pStyle w:val="ConsPlusNormal"/>
        <w:jc w:val="both"/>
      </w:pPr>
      <w:r>
        <w:t xml:space="preserve">(в ред. </w:t>
      </w:r>
      <w:hyperlink r:id="rId3628">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 xml:space="preserve">Приведенное критическое поперечное нормальное напряжение </w:t>
      </w:r>
      <w:r>
        <w:rPr>
          <w:noProof/>
          <w:position w:val="-10"/>
        </w:rPr>
        <w:drawing>
          <wp:inline distT="0" distB="0" distL="0" distR="0">
            <wp:extent cx="461010" cy="273685"/>
            <wp:effectExtent l="0" t="0" r="0" b="0"/>
            <wp:docPr id="28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5" cstate="print">
                      <a:extLst>
                        <a:ext uri="{28A0092B-C50C-407E-A947-70E740481C1C}">
                          <a14:useLocalDpi xmlns:a14="http://schemas.microsoft.com/office/drawing/2010/main" val="0"/>
                        </a:ext>
                      </a:extLst>
                    </a:blip>
                    <a:srcRect/>
                    <a:stretch>
                      <a:fillRect/>
                    </a:stretch>
                  </pic:blipFill>
                  <pic:spPr bwMode="auto">
                    <a:xfrm>
                      <a:off x="0" y="0"/>
                      <a:ext cx="461010" cy="273685"/>
                    </a:xfrm>
                    <a:prstGeom prst="rect">
                      <a:avLst/>
                    </a:prstGeom>
                    <a:noFill/>
                    <a:ln>
                      <a:noFill/>
                    </a:ln>
                  </pic:spPr>
                </pic:pic>
              </a:graphicData>
            </a:graphic>
          </wp:inline>
        </w:drawing>
      </w:r>
      <w:r>
        <w:t xml:space="preserve"> во второй пластинке следует определять по </w:t>
      </w:r>
      <w:hyperlink w:anchor="P16072">
        <w:r>
          <w:rPr>
            <w:color w:val="0000FF"/>
          </w:rPr>
          <w:t>формуле (Х.13)</w:t>
        </w:r>
      </w:hyperlink>
      <w:r>
        <w:t xml:space="preserve">, при этом следует принимать: </w:t>
      </w:r>
      <w:r>
        <w:rPr>
          <w:noProof/>
          <w:position w:val="-7"/>
        </w:rPr>
        <w:drawing>
          <wp:inline distT="0" distB="0" distL="0" distR="0">
            <wp:extent cx="398780" cy="230505"/>
            <wp:effectExtent l="0" t="0" r="0" b="0"/>
            <wp:docPr id="28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1" cstate="print">
                      <a:extLst>
                        <a:ext uri="{28A0092B-C50C-407E-A947-70E740481C1C}">
                          <a14:useLocalDpi xmlns:a14="http://schemas.microsoft.com/office/drawing/2010/main" val="0"/>
                        </a:ext>
                      </a:extLst>
                    </a:blip>
                    <a:srcRect/>
                    <a:stretch>
                      <a:fillRect/>
                    </a:stretch>
                  </pic:blipFill>
                  <pic:spPr bwMode="auto">
                    <a:xfrm>
                      <a:off x="0" y="0"/>
                      <a:ext cx="398780" cy="230505"/>
                    </a:xfrm>
                    <a:prstGeom prst="rect">
                      <a:avLst/>
                    </a:prstGeom>
                    <a:noFill/>
                    <a:ln>
                      <a:noFill/>
                    </a:ln>
                  </pic:spPr>
                </pic:pic>
              </a:graphicData>
            </a:graphic>
          </wp:inline>
        </w:drawing>
      </w:r>
      <w:r>
        <w:t xml:space="preserve">; </w:t>
      </w:r>
      <w:r>
        <w:rPr>
          <w:i/>
        </w:rPr>
        <w:t>z</w:t>
      </w:r>
      <w:r>
        <w:t xml:space="preserve"> - по </w:t>
      </w:r>
      <w:hyperlink w:anchor="P16272">
        <w:r>
          <w:rPr>
            <w:color w:val="0000FF"/>
          </w:rPr>
          <w:t>таблице Х.8</w:t>
        </w:r>
      </w:hyperlink>
      <w:r>
        <w:t xml:space="preserve">; </w:t>
      </w:r>
      <w:r>
        <w:rPr>
          <w:noProof/>
          <w:position w:val="-7"/>
        </w:rPr>
        <w:drawing>
          <wp:inline distT="0" distB="0" distL="0" distR="0">
            <wp:extent cx="167640" cy="230505"/>
            <wp:effectExtent l="0" t="0" r="0" b="0"/>
            <wp:docPr id="28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9" cstate="print">
                      <a:extLst>
                        <a:ext uri="{28A0092B-C50C-407E-A947-70E740481C1C}">
                          <a14:useLocalDpi xmlns:a14="http://schemas.microsoft.com/office/drawing/2010/main" val="0"/>
                        </a:ext>
                      </a:extLst>
                    </a:blip>
                    <a:srcRect/>
                    <a:stretch>
                      <a:fillRect/>
                    </a:stretch>
                  </pic:blipFill>
                  <pic:spPr bwMode="auto">
                    <a:xfrm>
                      <a:off x="0" y="0"/>
                      <a:ext cx="167640" cy="230505"/>
                    </a:xfrm>
                    <a:prstGeom prst="rect">
                      <a:avLst/>
                    </a:prstGeom>
                    <a:noFill/>
                    <a:ln>
                      <a:noFill/>
                    </a:ln>
                  </pic:spPr>
                </pic:pic>
              </a:graphicData>
            </a:graphic>
          </wp:inline>
        </w:drawing>
      </w:r>
      <w:r>
        <w:t xml:space="preserve"> - по </w:t>
      </w:r>
      <w:hyperlink w:anchor="P16078">
        <w:r>
          <w:rPr>
            <w:color w:val="0000FF"/>
          </w:rPr>
          <w:t>таблице Х.6</w:t>
        </w:r>
      </w:hyperlink>
      <w:r>
        <w:t xml:space="preserve"> при </w:t>
      </w:r>
      <w:r>
        <w:rPr>
          <w:noProof/>
          <w:position w:val="-7"/>
        </w:rPr>
        <w:drawing>
          <wp:inline distT="0" distB="0" distL="0" distR="0">
            <wp:extent cx="628650" cy="230505"/>
            <wp:effectExtent l="0" t="0" r="0" b="0"/>
            <wp:docPr id="28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0" cstate="print">
                      <a:extLst>
                        <a:ext uri="{28A0092B-C50C-407E-A947-70E740481C1C}">
                          <a14:useLocalDpi xmlns:a14="http://schemas.microsoft.com/office/drawing/2010/main" val="0"/>
                        </a:ext>
                      </a:extLst>
                    </a:blip>
                    <a:srcRect/>
                    <a:stretch>
                      <a:fillRect/>
                    </a:stretch>
                  </pic:blipFill>
                  <pic:spPr bwMode="auto">
                    <a:xfrm>
                      <a:off x="0" y="0"/>
                      <a:ext cx="628650" cy="230505"/>
                    </a:xfrm>
                    <a:prstGeom prst="rect">
                      <a:avLst/>
                    </a:prstGeom>
                    <a:noFill/>
                    <a:ln>
                      <a:noFill/>
                    </a:ln>
                  </pic:spPr>
                </pic:pic>
              </a:graphicData>
            </a:graphic>
          </wp:inline>
        </w:drawing>
      </w:r>
      <w:r>
        <w:t>.</w:t>
      </w:r>
    </w:p>
    <w:p w:rsidR="00212513" w:rsidRDefault="00212513">
      <w:pPr>
        <w:pStyle w:val="ConsPlusNormal"/>
        <w:jc w:val="both"/>
      </w:pPr>
      <w:r>
        <w:t xml:space="preserve">(в ред. </w:t>
      </w:r>
      <w:hyperlink r:id="rId3631">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 xml:space="preserve">Х.5.3 Приведенное критическое касательное напряжение </w:t>
      </w:r>
      <w:r>
        <w:rPr>
          <w:noProof/>
          <w:position w:val="-10"/>
        </w:rPr>
        <w:drawing>
          <wp:inline distT="0" distB="0" distL="0" distR="0">
            <wp:extent cx="450215" cy="273685"/>
            <wp:effectExtent l="0" t="0" r="0" b="0"/>
            <wp:docPr id="28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2" cstate="print">
                      <a:extLst>
                        <a:ext uri="{28A0092B-C50C-407E-A947-70E740481C1C}">
                          <a14:useLocalDpi xmlns:a14="http://schemas.microsoft.com/office/drawing/2010/main" val="0"/>
                        </a:ext>
                      </a:extLst>
                    </a:blip>
                    <a:srcRect/>
                    <a:stretch>
                      <a:fillRect/>
                    </a:stretch>
                  </pic:blipFill>
                  <pic:spPr bwMode="auto">
                    <a:xfrm>
                      <a:off x="0" y="0"/>
                      <a:ext cx="450215" cy="273685"/>
                    </a:xfrm>
                    <a:prstGeom prst="rect">
                      <a:avLst/>
                    </a:prstGeom>
                    <a:noFill/>
                    <a:ln>
                      <a:noFill/>
                    </a:ln>
                  </pic:spPr>
                </pic:pic>
              </a:graphicData>
            </a:graphic>
          </wp:inline>
        </w:drawing>
      </w:r>
      <w:r>
        <w:t xml:space="preserve"> следует определять по </w:t>
      </w:r>
      <w:hyperlink w:anchor="P16305">
        <w:r>
          <w:rPr>
            <w:color w:val="0000FF"/>
          </w:rPr>
          <w:t>формуле (Х.14)</w:t>
        </w:r>
      </w:hyperlink>
      <w:r>
        <w:t xml:space="preserve">, при этом для первой пластинки вместо коэффициента защемления </w:t>
      </w:r>
      <w:r>
        <w:rPr>
          <w:noProof/>
          <w:position w:val="-3"/>
        </w:rPr>
        <w:drawing>
          <wp:inline distT="0" distB="0" distL="0" distR="0">
            <wp:extent cx="167640" cy="177800"/>
            <wp:effectExtent l="0" t="0" r="0" b="0"/>
            <wp:docPr id="28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3"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должен быть принят коэффициент </w:t>
      </w:r>
      <w:r>
        <w:rPr>
          <w:noProof/>
          <w:position w:val="-24"/>
        </w:rPr>
        <w:drawing>
          <wp:inline distT="0" distB="0" distL="0" distR="0">
            <wp:extent cx="711835" cy="450215"/>
            <wp:effectExtent l="0" t="0" r="0" b="0"/>
            <wp:docPr id="28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4" cstate="print">
                      <a:extLst>
                        <a:ext uri="{28A0092B-C50C-407E-A947-70E740481C1C}">
                          <a14:useLocalDpi xmlns:a14="http://schemas.microsoft.com/office/drawing/2010/main" val="0"/>
                        </a:ext>
                      </a:extLst>
                    </a:blip>
                    <a:srcRect/>
                    <a:stretch>
                      <a:fillRect/>
                    </a:stretch>
                  </pic:blipFill>
                  <pic:spPr bwMode="auto">
                    <a:xfrm>
                      <a:off x="0" y="0"/>
                      <a:ext cx="711835" cy="450215"/>
                    </a:xfrm>
                    <a:prstGeom prst="rect">
                      <a:avLst/>
                    </a:prstGeom>
                    <a:noFill/>
                    <a:ln>
                      <a:noFill/>
                    </a:ln>
                  </pic:spPr>
                </pic:pic>
              </a:graphicData>
            </a:graphic>
          </wp:inline>
        </w:drawing>
      </w:r>
      <w:r>
        <w:t xml:space="preserve">, для второй пластинки - </w:t>
      </w:r>
      <w:r>
        <w:rPr>
          <w:noProof/>
          <w:position w:val="-7"/>
        </w:rPr>
        <w:drawing>
          <wp:inline distT="0" distB="0" distL="0" distR="0">
            <wp:extent cx="398780" cy="230505"/>
            <wp:effectExtent l="0" t="0" r="0" b="0"/>
            <wp:docPr id="28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1" cstate="print">
                      <a:extLst>
                        <a:ext uri="{28A0092B-C50C-407E-A947-70E740481C1C}">
                          <a14:useLocalDpi xmlns:a14="http://schemas.microsoft.com/office/drawing/2010/main" val="0"/>
                        </a:ext>
                      </a:extLst>
                    </a:blip>
                    <a:srcRect/>
                    <a:stretch>
                      <a:fillRect/>
                    </a:stretch>
                  </pic:blipFill>
                  <pic:spPr bwMode="auto">
                    <a:xfrm>
                      <a:off x="0" y="0"/>
                      <a:ext cx="398780" cy="230505"/>
                    </a:xfrm>
                    <a:prstGeom prst="rect">
                      <a:avLst/>
                    </a:prstGeom>
                    <a:noFill/>
                    <a:ln>
                      <a:noFill/>
                    </a:ln>
                  </pic:spPr>
                </pic:pic>
              </a:graphicData>
            </a:graphic>
          </wp:inline>
        </w:drawing>
      </w:r>
      <w:r>
        <w:t>.</w:t>
      </w:r>
    </w:p>
    <w:p w:rsidR="00212513" w:rsidRDefault="00212513">
      <w:pPr>
        <w:pStyle w:val="ConsPlusNormal"/>
        <w:spacing w:before="220"/>
        <w:ind w:firstLine="540"/>
        <w:jc w:val="both"/>
      </w:pPr>
      <w:bookmarkStart w:id="550" w:name="P16454"/>
      <w:bookmarkEnd w:id="550"/>
      <w:r>
        <w:t>Х.6 Расчет по устойчивости пластинок стенки сплошных изгибаемых элементов, имеющих поперечные ребра и несколько продольных ребер жесткости, следует выполнять:</w:t>
      </w:r>
    </w:p>
    <w:p w:rsidR="00212513" w:rsidRDefault="00212513">
      <w:pPr>
        <w:pStyle w:val="ConsPlusNormal"/>
        <w:spacing w:before="220"/>
        <w:ind w:firstLine="540"/>
        <w:jc w:val="both"/>
      </w:pPr>
      <w:r>
        <w:t xml:space="preserve">первой пластинки - между сжатым поясом и ближайшим ребром - по </w:t>
      </w:r>
      <w:hyperlink w:anchor="P16366">
        <w:r>
          <w:rPr>
            <w:color w:val="0000FF"/>
          </w:rPr>
          <w:t>формуле (Х.15)</w:t>
        </w:r>
      </w:hyperlink>
      <w:r>
        <w:t xml:space="preserve"> и </w:t>
      </w:r>
      <w:hyperlink w:anchor="P15941">
        <w:r>
          <w:rPr>
            <w:color w:val="0000FF"/>
          </w:rPr>
          <w:t>формулам (Х.12)</w:t>
        </w:r>
      </w:hyperlink>
      <w:r>
        <w:t xml:space="preserve">, </w:t>
      </w:r>
      <w:hyperlink w:anchor="P16398">
        <w:r>
          <w:rPr>
            <w:color w:val="0000FF"/>
          </w:rPr>
          <w:t>(Х.16)</w:t>
        </w:r>
      </w:hyperlink>
      <w:r>
        <w:t xml:space="preserve"> и </w:t>
      </w:r>
      <w:hyperlink w:anchor="P16305">
        <w:r>
          <w:rPr>
            <w:color w:val="0000FF"/>
          </w:rPr>
          <w:t>(Х.14)</w:t>
        </w:r>
      </w:hyperlink>
      <w:r>
        <w:t xml:space="preserve"> для </w:t>
      </w:r>
      <w:r>
        <w:rPr>
          <w:noProof/>
          <w:position w:val="-10"/>
        </w:rPr>
        <w:drawing>
          <wp:inline distT="0" distB="0" distL="0" distR="0">
            <wp:extent cx="461010" cy="273685"/>
            <wp:effectExtent l="0" t="0" r="0" b="0"/>
            <wp:docPr id="28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7" cstate="print">
                      <a:extLst>
                        <a:ext uri="{28A0092B-C50C-407E-A947-70E740481C1C}">
                          <a14:useLocalDpi xmlns:a14="http://schemas.microsoft.com/office/drawing/2010/main" val="0"/>
                        </a:ext>
                      </a:extLst>
                    </a:blip>
                    <a:srcRect/>
                    <a:stretch>
                      <a:fillRect/>
                    </a:stretch>
                  </pic:blipFill>
                  <pic:spPr bwMode="auto">
                    <a:xfrm>
                      <a:off x="0" y="0"/>
                      <a:ext cx="461010" cy="273685"/>
                    </a:xfrm>
                    <a:prstGeom prst="rect">
                      <a:avLst/>
                    </a:prstGeom>
                    <a:noFill/>
                    <a:ln>
                      <a:noFill/>
                    </a:ln>
                  </pic:spPr>
                </pic:pic>
              </a:graphicData>
            </a:graphic>
          </wp:inline>
        </w:drawing>
      </w:r>
      <w:r>
        <w:t xml:space="preserve">, </w:t>
      </w:r>
      <w:r>
        <w:rPr>
          <w:noProof/>
          <w:position w:val="-10"/>
        </w:rPr>
        <w:drawing>
          <wp:inline distT="0" distB="0" distL="0" distR="0">
            <wp:extent cx="484505" cy="273685"/>
            <wp:effectExtent l="0" t="0" r="0" b="0"/>
            <wp:docPr id="28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5"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w:t>
      </w:r>
      <w:r>
        <w:rPr>
          <w:noProof/>
          <w:position w:val="-10"/>
        </w:rPr>
        <w:drawing>
          <wp:inline distT="0" distB="0" distL="0" distR="0">
            <wp:extent cx="484505" cy="273685"/>
            <wp:effectExtent l="0" t="0" r="0" b="0"/>
            <wp:docPr id="28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6"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соответственно;</w:t>
      </w:r>
    </w:p>
    <w:p w:rsidR="00212513" w:rsidRDefault="00212513">
      <w:pPr>
        <w:pStyle w:val="ConsPlusNormal"/>
        <w:spacing w:before="220"/>
        <w:ind w:firstLine="540"/>
        <w:jc w:val="both"/>
      </w:pPr>
      <w:r>
        <w:t xml:space="preserve">для последующих сжатых пластинок - по формулам для первой пластинки, принимая коэффициент защемления </w:t>
      </w:r>
      <w:r>
        <w:rPr>
          <w:noProof/>
          <w:position w:val="-7"/>
        </w:rPr>
        <w:drawing>
          <wp:inline distT="0" distB="0" distL="0" distR="0">
            <wp:extent cx="398780" cy="230505"/>
            <wp:effectExtent l="0" t="0" r="0" b="0"/>
            <wp:docPr id="28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1" cstate="print">
                      <a:extLst>
                        <a:ext uri="{28A0092B-C50C-407E-A947-70E740481C1C}">
                          <a14:useLocalDpi xmlns:a14="http://schemas.microsoft.com/office/drawing/2010/main" val="0"/>
                        </a:ext>
                      </a:extLst>
                    </a:blip>
                    <a:srcRect/>
                    <a:stretch>
                      <a:fillRect/>
                    </a:stretch>
                  </pic:blipFill>
                  <pic:spPr bwMode="auto">
                    <a:xfrm>
                      <a:off x="0" y="0"/>
                      <a:ext cx="398780" cy="230505"/>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для сжато-растянутой пластинки - по </w:t>
      </w:r>
      <w:hyperlink w:anchor="P15880">
        <w:r>
          <w:rPr>
            <w:color w:val="0000FF"/>
          </w:rPr>
          <w:t>формуле (Х.11)</w:t>
        </w:r>
      </w:hyperlink>
      <w:r>
        <w:t xml:space="preserve">, принимая </w:t>
      </w:r>
      <w:r>
        <w:rPr>
          <w:noProof/>
          <w:position w:val="-9"/>
        </w:rPr>
        <w:drawing>
          <wp:inline distT="0" distB="0" distL="0" distR="0">
            <wp:extent cx="450215" cy="261620"/>
            <wp:effectExtent l="0" t="0" r="0" b="0"/>
            <wp:docPr id="28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7" cstate="print">
                      <a:extLst>
                        <a:ext uri="{28A0092B-C50C-407E-A947-70E740481C1C}">
                          <a14:useLocalDpi xmlns:a14="http://schemas.microsoft.com/office/drawing/2010/main" val="0"/>
                        </a:ext>
                      </a:extLst>
                    </a:blip>
                    <a:srcRect/>
                    <a:stretch>
                      <a:fillRect/>
                    </a:stretch>
                  </pic:blipFill>
                  <pic:spPr bwMode="auto">
                    <a:xfrm>
                      <a:off x="0" y="0"/>
                      <a:ext cx="450215" cy="261620"/>
                    </a:xfrm>
                    <a:prstGeom prst="rect">
                      <a:avLst/>
                    </a:prstGeom>
                    <a:noFill/>
                    <a:ln>
                      <a:noFill/>
                    </a:ln>
                  </pic:spPr>
                </pic:pic>
              </a:graphicData>
            </a:graphic>
          </wp:inline>
        </w:drawing>
      </w:r>
      <w:r>
        <w:t xml:space="preserve">, и </w:t>
      </w:r>
      <w:hyperlink w:anchor="P15941">
        <w:r>
          <w:rPr>
            <w:color w:val="0000FF"/>
          </w:rPr>
          <w:t>формулам (Х.12)</w:t>
        </w:r>
      </w:hyperlink>
      <w:r>
        <w:t xml:space="preserve">, </w:t>
      </w:r>
      <w:hyperlink w:anchor="P16398">
        <w:r>
          <w:rPr>
            <w:color w:val="0000FF"/>
          </w:rPr>
          <w:t>(Х.16)</w:t>
        </w:r>
      </w:hyperlink>
      <w:r>
        <w:t xml:space="preserve"> и </w:t>
      </w:r>
      <w:hyperlink w:anchor="P16305">
        <w:r>
          <w:rPr>
            <w:color w:val="0000FF"/>
          </w:rPr>
          <w:t>(Х.14)</w:t>
        </w:r>
      </w:hyperlink>
      <w:r>
        <w:t xml:space="preserve"> для </w:t>
      </w:r>
      <w:r>
        <w:rPr>
          <w:noProof/>
          <w:position w:val="-10"/>
        </w:rPr>
        <w:drawing>
          <wp:inline distT="0" distB="0" distL="0" distR="0">
            <wp:extent cx="461010" cy="273685"/>
            <wp:effectExtent l="0" t="0" r="0" b="0"/>
            <wp:docPr id="28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7" cstate="print">
                      <a:extLst>
                        <a:ext uri="{28A0092B-C50C-407E-A947-70E740481C1C}">
                          <a14:useLocalDpi xmlns:a14="http://schemas.microsoft.com/office/drawing/2010/main" val="0"/>
                        </a:ext>
                      </a:extLst>
                    </a:blip>
                    <a:srcRect/>
                    <a:stretch>
                      <a:fillRect/>
                    </a:stretch>
                  </pic:blipFill>
                  <pic:spPr bwMode="auto">
                    <a:xfrm>
                      <a:off x="0" y="0"/>
                      <a:ext cx="461010" cy="273685"/>
                    </a:xfrm>
                    <a:prstGeom prst="rect">
                      <a:avLst/>
                    </a:prstGeom>
                    <a:noFill/>
                    <a:ln>
                      <a:noFill/>
                    </a:ln>
                  </pic:spPr>
                </pic:pic>
              </a:graphicData>
            </a:graphic>
          </wp:inline>
        </w:drawing>
      </w:r>
      <w:r>
        <w:t xml:space="preserve">, </w:t>
      </w:r>
      <w:r>
        <w:rPr>
          <w:noProof/>
          <w:position w:val="-10"/>
        </w:rPr>
        <w:drawing>
          <wp:inline distT="0" distB="0" distL="0" distR="0">
            <wp:extent cx="484505" cy="273685"/>
            <wp:effectExtent l="0" t="0" r="0" b="0"/>
            <wp:docPr id="28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5"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w:t>
      </w:r>
      <w:r>
        <w:rPr>
          <w:noProof/>
          <w:position w:val="-10"/>
        </w:rPr>
        <w:drawing>
          <wp:inline distT="0" distB="0" distL="0" distR="0">
            <wp:extent cx="484505" cy="273685"/>
            <wp:effectExtent l="0" t="0" r="0" b="0"/>
            <wp:docPr id="28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6"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как для второй пластинки по </w:t>
      </w:r>
      <w:hyperlink w:anchor="P16363">
        <w:r>
          <w:rPr>
            <w:color w:val="0000FF"/>
          </w:rPr>
          <w:t>Х.5</w:t>
        </w:r>
      </w:hyperlink>
      <w:r>
        <w:t>.</w:t>
      </w:r>
    </w:p>
    <w:p w:rsidR="00212513" w:rsidRDefault="00212513">
      <w:pPr>
        <w:pStyle w:val="ConsPlusNormal"/>
        <w:spacing w:before="220"/>
        <w:ind w:firstLine="540"/>
        <w:jc w:val="both"/>
      </w:pPr>
      <w:r>
        <w:t>Расчет по устойчивости пластинки растянутой зоны стенки следует выполнять по формуле</w:t>
      </w:r>
    </w:p>
    <w:p w:rsidR="00212513" w:rsidRDefault="00212513">
      <w:pPr>
        <w:pStyle w:val="ConsPlusNormal"/>
        <w:ind w:firstLine="540"/>
        <w:jc w:val="both"/>
      </w:pPr>
    </w:p>
    <w:p w:rsidR="00212513" w:rsidRDefault="00212513">
      <w:pPr>
        <w:pStyle w:val="ConsPlusNormal"/>
        <w:jc w:val="center"/>
      </w:pPr>
      <w:r>
        <w:rPr>
          <w:noProof/>
          <w:position w:val="-40"/>
        </w:rPr>
        <w:drawing>
          <wp:inline distT="0" distB="0" distL="0" distR="0">
            <wp:extent cx="1550670" cy="650240"/>
            <wp:effectExtent l="0" t="0" r="0" b="0"/>
            <wp:docPr id="28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8" cstate="print">
                      <a:extLst>
                        <a:ext uri="{28A0092B-C50C-407E-A947-70E740481C1C}">
                          <a14:useLocalDpi xmlns:a14="http://schemas.microsoft.com/office/drawing/2010/main" val="0"/>
                        </a:ext>
                      </a:extLst>
                    </a:blip>
                    <a:srcRect/>
                    <a:stretch>
                      <a:fillRect/>
                    </a:stretch>
                  </pic:blipFill>
                  <pic:spPr bwMode="auto">
                    <a:xfrm>
                      <a:off x="0" y="0"/>
                      <a:ext cx="1550670" cy="650240"/>
                    </a:xfrm>
                    <a:prstGeom prst="rect">
                      <a:avLst/>
                    </a:prstGeom>
                    <a:noFill/>
                    <a:ln>
                      <a:noFill/>
                    </a:ln>
                  </pic:spPr>
                </pic:pic>
              </a:graphicData>
            </a:graphic>
          </wp:inline>
        </w:drawing>
      </w:r>
      <w:r>
        <w:t>, (Х.17)</w:t>
      </w:r>
    </w:p>
    <w:p w:rsidR="00212513" w:rsidRDefault="00212513">
      <w:pPr>
        <w:pStyle w:val="ConsPlusNormal"/>
        <w:ind w:firstLine="540"/>
        <w:jc w:val="both"/>
      </w:pPr>
    </w:p>
    <w:p w:rsidR="00212513" w:rsidRDefault="00212513">
      <w:pPr>
        <w:pStyle w:val="ConsPlusNormal"/>
        <w:ind w:firstLine="540"/>
        <w:jc w:val="both"/>
      </w:pPr>
      <w:r>
        <w:lastRenderedPageBreak/>
        <w:t xml:space="preserve">где </w:t>
      </w:r>
      <w:r>
        <w:rPr>
          <w:noProof/>
          <w:position w:val="-10"/>
        </w:rPr>
        <w:drawing>
          <wp:inline distT="0" distB="0" distL="0" distR="0">
            <wp:extent cx="335280" cy="273685"/>
            <wp:effectExtent l="0" t="0" r="0" b="0"/>
            <wp:docPr id="28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9"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w:t>
      </w:r>
      <w:r>
        <w:rPr>
          <w:noProof/>
          <w:position w:val="-10"/>
        </w:rPr>
        <w:drawing>
          <wp:inline distT="0" distB="0" distL="0" distR="0">
            <wp:extent cx="355600" cy="273685"/>
            <wp:effectExtent l="0" t="0" r="0" b="0"/>
            <wp:docPr id="28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0" cstate="print">
                      <a:extLst>
                        <a:ext uri="{28A0092B-C50C-407E-A947-70E740481C1C}">
                          <a14:useLocalDpi xmlns:a14="http://schemas.microsoft.com/office/drawing/2010/main" val="0"/>
                        </a:ext>
                      </a:extLst>
                    </a:blip>
                    <a:srcRect/>
                    <a:stretch>
                      <a:fillRect/>
                    </a:stretch>
                  </pic:blipFill>
                  <pic:spPr bwMode="auto">
                    <a:xfrm>
                      <a:off x="0" y="0"/>
                      <a:ext cx="355600" cy="273685"/>
                    </a:xfrm>
                    <a:prstGeom prst="rect">
                      <a:avLst/>
                    </a:prstGeom>
                    <a:noFill/>
                    <a:ln>
                      <a:noFill/>
                    </a:ln>
                  </pic:spPr>
                </pic:pic>
              </a:graphicData>
            </a:graphic>
          </wp:inline>
        </w:drawing>
      </w:r>
      <w:r>
        <w:t xml:space="preserve"> - критические поперечное нормальное и касательное напряжения, определяемые по </w:t>
      </w:r>
      <w:r>
        <w:rPr>
          <w:noProof/>
          <w:position w:val="-10"/>
        </w:rPr>
        <w:drawing>
          <wp:inline distT="0" distB="0" distL="0" distR="0">
            <wp:extent cx="484505" cy="273685"/>
            <wp:effectExtent l="0" t="0" r="0" b="0"/>
            <wp:docPr id="28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5"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w:t>
      </w:r>
      <w:r>
        <w:rPr>
          <w:noProof/>
          <w:position w:val="-10"/>
        </w:rPr>
        <w:drawing>
          <wp:inline distT="0" distB="0" distL="0" distR="0">
            <wp:extent cx="484505" cy="273685"/>
            <wp:effectExtent l="0" t="0" r="0" b="0"/>
            <wp:docPr id="28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6"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согласно указаниям </w:t>
      </w:r>
      <w:hyperlink w:anchor="P15878">
        <w:r>
          <w:rPr>
            <w:color w:val="0000FF"/>
          </w:rPr>
          <w:t>Х.4</w:t>
        </w:r>
      </w:hyperlink>
      <w:r>
        <w:t xml:space="preserve">, при этом приведенное критическое поперечное нормальное напряжение </w:t>
      </w:r>
      <w:r>
        <w:rPr>
          <w:noProof/>
          <w:position w:val="-10"/>
        </w:rPr>
        <w:drawing>
          <wp:inline distT="0" distB="0" distL="0" distR="0">
            <wp:extent cx="484505" cy="273685"/>
            <wp:effectExtent l="0" t="0" r="0" b="0"/>
            <wp:docPr id="28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5"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следует определять по формуле</w:t>
      </w:r>
    </w:p>
    <w:p w:rsidR="00212513" w:rsidRDefault="00212513">
      <w:pPr>
        <w:pStyle w:val="ConsPlusNormal"/>
        <w:jc w:val="both"/>
      </w:pPr>
      <w:r>
        <w:t xml:space="preserve">(в ред. </w:t>
      </w:r>
      <w:hyperlink r:id="rId3641">
        <w:r>
          <w:rPr>
            <w:color w:val="0000FF"/>
          </w:rPr>
          <w:t>Изменения N 4</w:t>
        </w:r>
      </w:hyperlink>
      <w:r>
        <w:t>, утв. Приказом Минстроя России от 30.05.2024 N 361/пр)</w:t>
      </w:r>
    </w:p>
    <w:p w:rsidR="00212513" w:rsidRDefault="00212513">
      <w:pPr>
        <w:pStyle w:val="ConsPlusNormal"/>
        <w:ind w:firstLine="540"/>
        <w:jc w:val="both"/>
      </w:pPr>
    </w:p>
    <w:p w:rsidR="00212513" w:rsidRDefault="00212513">
      <w:pPr>
        <w:pStyle w:val="ConsPlusNormal"/>
        <w:jc w:val="center"/>
      </w:pPr>
      <w:r>
        <w:rPr>
          <w:noProof/>
          <w:position w:val="-29"/>
        </w:rPr>
        <w:drawing>
          <wp:inline distT="0" distB="0" distL="0" distR="0">
            <wp:extent cx="2207260" cy="511810"/>
            <wp:effectExtent l="0" t="0" r="0" b="0"/>
            <wp:docPr id="28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2" cstate="print">
                      <a:extLst>
                        <a:ext uri="{28A0092B-C50C-407E-A947-70E740481C1C}">
                          <a14:useLocalDpi xmlns:a14="http://schemas.microsoft.com/office/drawing/2010/main" val="0"/>
                        </a:ext>
                      </a:extLst>
                    </a:blip>
                    <a:srcRect/>
                    <a:stretch>
                      <a:fillRect/>
                    </a:stretch>
                  </pic:blipFill>
                  <pic:spPr bwMode="auto">
                    <a:xfrm>
                      <a:off x="0" y="0"/>
                      <a:ext cx="2207260" cy="511810"/>
                    </a:xfrm>
                    <a:prstGeom prst="rect">
                      <a:avLst/>
                    </a:prstGeom>
                    <a:noFill/>
                    <a:ln>
                      <a:noFill/>
                    </a:ln>
                  </pic:spPr>
                </pic:pic>
              </a:graphicData>
            </a:graphic>
          </wp:inline>
        </w:drawing>
      </w:r>
      <w:r>
        <w:t>, (Х.18)</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2"/>
        </w:rPr>
        <w:drawing>
          <wp:inline distT="0" distB="0" distL="0" distR="0">
            <wp:extent cx="146050" cy="177165"/>
            <wp:effectExtent l="0" t="0" r="0" b="0"/>
            <wp:docPr id="28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3" cstate="print">
                      <a:extLst>
                        <a:ext uri="{28A0092B-C50C-407E-A947-70E740481C1C}">
                          <a14:useLocalDpi xmlns:a14="http://schemas.microsoft.com/office/drawing/2010/main" val="0"/>
                        </a:ext>
                      </a:extLst>
                    </a:blip>
                    <a:srcRect/>
                    <a:stretch>
                      <a:fillRect/>
                    </a:stretch>
                  </pic:blipFill>
                  <pic:spPr bwMode="auto">
                    <a:xfrm>
                      <a:off x="0" y="0"/>
                      <a:ext cx="146050" cy="177165"/>
                    </a:xfrm>
                    <a:prstGeom prst="rect">
                      <a:avLst/>
                    </a:prstGeom>
                    <a:noFill/>
                    <a:ln>
                      <a:noFill/>
                    </a:ln>
                  </pic:spPr>
                </pic:pic>
              </a:graphicData>
            </a:graphic>
          </wp:inline>
        </w:drawing>
      </w:r>
      <w:r>
        <w:t xml:space="preserve"> - коэффициент, принимаемый по таблице Х.13.</w:t>
      </w:r>
    </w:p>
    <w:p w:rsidR="00212513" w:rsidRDefault="00212513">
      <w:pPr>
        <w:pStyle w:val="ConsPlusNormal"/>
        <w:ind w:firstLine="540"/>
        <w:jc w:val="both"/>
      </w:pPr>
    </w:p>
    <w:p w:rsidR="00212513" w:rsidRDefault="00212513">
      <w:pPr>
        <w:pStyle w:val="ConsPlusNormal"/>
        <w:jc w:val="right"/>
      </w:pPr>
      <w:bookmarkStart w:id="551" w:name="P16469"/>
      <w:bookmarkEnd w:id="551"/>
      <w:r>
        <w:t>Таблица Х.13</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65"/>
        <w:gridCol w:w="796"/>
        <w:gridCol w:w="796"/>
        <w:gridCol w:w="796"/>
        <w:gridCol w:w="796"/>
        <w:gridCol w:w="796"/>
        <w:gridCol w:w="796"/>
        <w:gridCol w:w="796"/>
        <w:gridCol w:w="798"/>
      </w:tblGrid>
      <w:tr w:rsidR="00212513">
        <w:tc>
          <w:tcPr>
            <w:tcW w:w="2665" w:type="dxa"/>
            <w:vMerge w:val="restart"/>
            <w:vAlign w:val="center"/>
          </w:tcPr>
          <w:p w:rsidR="00212513" w:rsidRDefault="00212513">
            <w:pPr>
              <w:pStyle w:val="ConsPlusNormal"/>
              <w:jc w:val="center"/>
            </w:pPr>
            <w:r>
              <w:t>Тип пластинки</w:t>
            </w:r>
          </w:p>
        </w:tc>
        <w:tc>
          <w:tcPr>
            <w:tcW w:w="6370" w:type="dxa"/>
            <w:gridSpan w:val="8"/>
            <w:vAlign w:val="center"/>
          </w:tcPr>
          <w:p w:rsidR="00212513" w:rsidRDefault="00212513">
            <w:pPr>
              <w:pStyle w:val="ConsPlusNormal"/>
              <w:jc w:val="center"/>
            </w:pPr>
            <w:r>
              <w:t xml:space="preserve">Значения коэффициента </w:t>
            </w:r>
            <w:r>
              <w:rPr>
                <w:noProof/>
                <w:position w:val="-4"/>
              </w:rPr>
              <w:drawing>
                <wp:inline distT="0" distB="0" distL="0" distR="0">
                  <wp:extent cx="157480" cy="199390"/>
                  <wp:effectExtent l="0" t="0" r="0" b="0"/>
                  <wp:docPr id="28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4"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r>
              <w:t xml:space="preserve"> при </w:t>
            </w:r>
            <w:r>
              <w:rPr>
                <w:noProof/>
                <w:position w:val="-9"/>
              </w:rPr>
              <w:drawing>
                <wp:inline distT="0" distB="0" distL="0" distR="0">
                  <wp:extent cx="387985" cy="262255"/>
                  <wp:effectExtent l="0" t="0" r="0" b="0"/>
                  <wp:docPr id="28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5" cstate="print">
                            <a:extLst>
                              <a:ext uri="{28A0092B-C50C-407E-A947-70E740481C1C}">
                                <a14:useLocalDpi xmlns:a14="http://schemas.microsoft.com/office/drawing/2010/main" val="0"/>
                              </a:ext>
                            </a:extLst>
                          </a:blip>
                          <a:srcRect/>
                          <a:stretch>
                            <a:fillRect/>
                          </a:stretch>
                        </pic:blipFill>
                        <pic:spPr bwMode="auto">
                          <a:xfrm>
                            <a:off x="0" y="0"/>
                            <a:ext cx="387985" cy="262255"/>
                          </a:xfrm>
                          <a:prstGeom prst="rect">
                            <a:avLst/>
                          </a:prstGeom>
                          <a:noFill/>
                          <a:ln>
                            <a:noFill/>
                          </a:ln>
                        </pic:spPr>
                      </pic:pic>
                    </a:graphicData>
                  </a:graphic>
                </wp:inline>
              </w:drawing>
            </w:r>
          </w:p>
        </w:tc>
      </w:tr>
      <w:tr w:rsidR="00212513">
        <w:tc>
          <w:tcPr>
            <w:tcW w:w="2665" w:type="dxa"/>
            <w:vMerge/>
          </w:tcPr>
          <w:p w:rsidR="00212513" w:rsidRDefault="00212513">
            <w:pPr>
              <w:pStyle w:val="ConsPlusNormal"/>
            </w:pPr>
          </w:p>
        </w:tc>
        <w:tc>
          <w:tcPr>
            <w:tcW w:w="796" w:type="dxa"/>
            <w:vAlign w:val="center"/>
          </w:tcPr>
          <w:p w:rsidR="00212513" w:rsidRDefault="00212513">
            <w:pPr>
              <w:pStyle w:val="ConsPlusNormal"/>
              <w:jc w:val="center"/>
            </w:pPr>
            <w:r>
              <w:t>0,4</w:t>
            </w:r>
          </w:p>
        </w:tc>
        <w:tc>
          <w:tcPr>
            <w:tcW w:w="796" w:type="dxa"/>
            <w:vAlign w:val="center"/>
          </w:tcPr>
          <w:p w:rsidR="00212513" w:rsidRDefault="00212513">
            <w:pPr>
              <w:pStyle w:val="ConsPlusNormal"/>
              <w:jc w:val="center"/>
            </w:pPr>
            <w:r>
              <w:t>0,5</w:t>
            </w:r>
          </w:p>
        </w:tc>
        <w:tc>
          <w:tcPr>
            <w:tcW w:w="796" w:type="dxa"/>
            <w:vAlign w:val="center"/>
          </w:tcPr>
          <w:p w:rsidR="00212513" w:rsidRDefault="00212513">
            <w:pPr>
              <w:pStyle w:val="ConsPlusNormal"/>
              <w:jc w:val="center"/>
            </w:pPr>
            <w:r>
              <w:t>0,6</w:t>
            </w:r>
          </w:p>
        </w:tc>
        <w:tc>
          <w:tcPr>
            <w:tcW w:w="796" w:type="dxa"/>
            <w:vAlign w:val="center"/>
          </w:tcPr>
          <w:p w:rsidR="00212513" w:rsidRDefault="00212513">
            <w:pPr>
              <w:pStyle w:val="ConsPlusNormal"/>
              <w:jc w:val="center"/>
            </w:pPr>
            <w:r>
              <w:t>0,7</w:t>
            </w:r>
          </w:p>
        </w:tc>
        <w:tc>
          <w:tcPr>
            <w:tcW w:w="796" w:type="dxa"/>
            <w:vAlign w:val="center"/>
          </w:tcPr>
          <w:p w:rsidR="00212513" w:rsidRDefault="00212513">
            <w:pPr>
              <w:pStyle w:val="ConsPlusNormal"/>
              <w:jc w:val="center"/>
            </w:pPr>
            <w:r>
              <w:t>0,8</w:t>
            </w:r>
          </w:p>
        </w:tc>
        <w:tc>
          <w:tcPr>
            <w:tcW w:w="796" w:type="dxa"/>
            <w:vAlign w:val="center"/>
          </w:tcPr>
          <w:p w:rsidR="00212513" w:rsidRDefault="00212513">
            <w:pPr>
              <w:pStyle w:val="ConsPlusNormal"/>
              <w:jc w:val="center"/>
            </w:pPr>
            <w:r>
              <w:t>1,0</w:t>
            </w:r>
          </w:p>
        </w:tc>
        <w:tc>
          <w:tcPr>
            <w:tcW w:w="796" w:type="dxa"/>
            <w:vAlign w:val="center"/>
          </w:tcPr>
          <w:p w:rsidR="00212513" w:rsidRDefault="00212513">
            <w:pPr>
              <w:pStyle w:val="ConsPlusNormal"/>
              <w:jc w:val="center"/>
            </w:pPr>
            <w:r>
              <w:t>1,5</w:t>
            </w:r>
          </w:p>
        </w:tc>
        <w:tc>
          <w:tcPr>
            <w:tcW w:w="798" w:type="dxa"/>
            <w:vAlign w:val="center"/>
          </w:tcPr>
          <w:p w:rsidR="00212513" w:rsidRDefault="00212513">
            <w:pPr>
              <w:pStyle w:val="ConsPlusNormal"/>
              <w:jc w:val="center"/>
            </w:pPr>
            <w:r>
              <w:t>2,0</w:t>
            </w:r>
          </w:p>
        </w:tc>
      </w:tr>
      <w:tr w:rsidR="00212513">
        <w:tblPrEx>
          <w:tblBorders>
            <w:insideH w:val="nil"/>
          </w:tblBorders>
        </w:tblPrEx>
        <w:tc>
          <w:tcPr>
            <w:tcW w:w="2665" w:type="dxa"/>
            <w:tcBorders>
              <w:bottom w:val="nil"/>
            </w:tcBorders>
          </w:tcPr>
          <w:p w:rsidR="00212513" w:rsidRDefault="00212513">
            <w:pPr>
              <w:pStyle w:val="ConsPlusNormal"/>
            </w:pPr>
            <w:r>
              <w:t>Примыкающая к растянутому поясу</w:t>
            </w:r>
          </w:p>
        </w:tc>
        <w:tc>
          <w:tcPr>
            <w:tcW w:w="796" w:type="dxa"/>
            <w:tcBorders>
              <w:bottom w:val="nil"/>
            </w:tcBorders>
          </w:tcPr>
          <w:p w:rsidR="00212513" w:rsidRDefault="00212513">
            <w:pPr>
              <w:pStyle w:val="ConsPlusNormal"/>
              <w:jc w:val="center"/>
            </w:pPr>
            <w:r>
              <w:t>1240</w:t>
            </w:r>
          </w:p>
        </w:tc>
        <w:tc>
          <w:tcPr>
            <w:tcW w:w="796" w:type="dxa"/>
            <w:tcBorders>
              <w:bottom w:val="nil"/>
            </w:tcBorders>
          </w:tcPr>
          <w:p w:rsidR="00212513" w:rsidRDefault="00212513">
            <w:pPr>
              <w:pStyle w:val="ConsPlusNormal"/>
              <w:jc w:val="center"/>
            </w:pPr>
            <w:r>
              <w:t>1380</w:t>
            </w:r>
          </w:p>
        </w:tc>
        <w:tc>
          <w:tcPr>
            <w:tcW w:w="796" w:type="dxa"/>
            <w:tcBorders>
              <w:bottom w:val="nil"/>
            </w:tcBorders>
          </w:tcPr>
          <w:p w:rsidR="00212513" w:rsidRDefault="00212513">
            <w:pPr>
              <w:pStyle w:val="ConsPlusNormal"/>
              <w:jc w:val="center"/>
            </w:pPr>
            <w:r>
              <w:t>1520</w:t>
            </w:r>
          </w:p>
        </w:tc>
        <w:tc>
          <w:tcPr>
            <w:tcW w:w="796" w:type="dxa"/>
            <w:tcBorders>
              <w:bottom w:val="nil"/>
            </w:tcBorders>
          </w:tcPr>
          <w:p w:rsidR="00212513" w:rsidRDefault="00212513">
            <w:pPr>
              <w:pStyle w:val="ConsPlusNormal"/>
              <w:jc w:val="center"/>
            </w:pPr>
            <w:r>
              <w:t>1650</w:t>
            </w:r>
          </w:p>
        </w:tc>
        <w:tc>
          <w:tcPr>
            <w:tcW w:w="796" w:type="dxa"/>
            <w:tcBorders>
              <w:bottom w:val="nil"/>
            </w:tcBorders>
          </w:tcPr>
          <w:p w:rsidR="00212513" w:rsidRDefault="00212513">
            <w:pPr>
              <w:pStyle w:val="ConsPlusNormal"/>
              <w:jc w:val="center"/>
            </w:pPr>
            <w:r>
              <w:t>1820</w:t>
            </w:r>
          </w:p>
        </w:tc>
        <w:tc>
          <w:tcPr>
            <w:tcW w:w="796" w:type="dxa"/>
            <w:tcBorders>
              <w:bottom w:val="nil"/>
            </w:tcBorders>
          </w:tcPr>
          <w:p w:rsidR="00212513" w:rsidRDefault="00212513">
            <w:pPr>
              <w:pStyle w:val="ConsPlusNormal"/>
              <w:jc w:val="center"/>
            </w:pPr>
            <w:r>
              <w:t>2240</w:t>
            </w:r>
          </w:p>
        </w:tc>
        <w:tc>
          <w:tcPr>
            <w:tcW w:w="796" w:type="dxa"/>
            <w:tcBorders>
              <w:bottom w:val="nil"/>
            </w:tcBorders>
          </w:tcPr>
          <w:p w:rsidR="00212513" w:rsidRDefault="00212513">
            <w:pPr>
              <w:pStyle w:val="ConsPlusNormal"/>
              <w:jc w:val="center"/>
            </w:pPr>
            <w:r>
              <w:t>3860</w:t>
            </w:r>
          </w:p>
        </w:tc>
        <w:tc>
          <w:tcPr>
            <w:tcW w:w="798" w:type="dxa"/>
            <w:tcBorders>
              <w:bottom w:val="nil"/>
            </w:tcBorders>
          </w:tcPr>
          <w:p w:rsidR="00212513" w:rsidRDefault="00212513">
            <w:pPr>
              <w:pStyle w:val="ConsPlusNormal"/>
              <w:jc w:val="center"/>
            </w:pPr>
            <w:r>
              <w:t>6300</w:t>
            </w:r>
          </w:p>
        </w:tc>
      </w:tr>
      <w:tr w:rsidR="00212513">
        <w:tblPrEx>
          <w:tblBorders>
            <w:insideH w:val="nil"/>
          </w:tblBorders>
        </w:tblPrEx>
        <w:tc>
          <w:tcPr>
            <w:tcW w:w="2665" w:type="dxa"/>
            <w:tcBorders>
              <w:top w:val="nil"/>
            </w:tcBorders>
          </w:tcPr>
          <w:p w:rsidR="00212513" w:rsidRDefault="00212513">
            <w:pPr>
              <w:pStyle w:val="ConsPlusNormal"/>
            </w:pPr>
            <w:r>
              <w:t>Промежуточная</w:t>
            </w:r>
          </w:p>
        </w:tc>
        <w:tc>
          <w:tcPr>
            <w:tcW w:w="796" w:type="dxa"/>
            <w:tcBorders>
              <w:top w:val="nil"/>
            </w:tcBorders>
          </w:tcPr>
          <w:p w:rsidR="00212513" w:rsidRDefault="00212513">
            <w:pPr>
              <w:pStyle w:val="ConsPlusNormal"/>
              <w:jc w:val="center"/>
            </w:pPr>
            <w:r>
              <w:t>920</w:t>
            </w:r>
          </w:p>
        </w:tc>
        <w:tc>
          <w:tcPr>
            <w:tcW w:w="796" w:type="dxa"/>
            <w:tcBorders>
              <w:top w:val="nil"/>
            </w:tcBorders>
          </w:tcPr>
          <w:p w:rsidR="00212513" w:rsidRDefault="00212513">
            <w:pPr>
              <w:pStyle w:val="ConsPlusNormal"/>
              <w:jc w:val="center"/>
            </w:pPr>
            <w:r>
              <w:t>970</w:t>
            </w:r>
          </w:p>
        </w:tc>
        <w:tc>
          <w:tcPr>
            <w:tcW w:w="796" w:type="dxa"/>
            <w:tcBorders>
              <w:top w:val="nil"/>
            </w:tcBorders>
          </w:tcPr>
          <w:p w:rsidR="00212513" w:rsidRDefault="00212513">
            <w:pPr>
              <w:pStyle w:val="ConsPlusNormal"/>
              <w:jc w:val="center"/>
            </w:pPr>
            <w:r>
              <w:t>1020</w:t>
            </w:r>
          </w:p>
        </w:tc>
        <w:tc>
          <w:tcPr>
            <w:tcW w:w="796" w:type="dxa"/>
            <w:tcBorders>
              <w:top w:val="nil"/>
            </w:tcBorders>
          </w:tcPr>
          <w:p w:rsidR="00212513" w:rsidRDefault="00212513">
            <w:pPr>
              <w:pStyle w:val="ConsPlusNormal"/>
              <w:jc w:val="center"/>
            </w:pPr>
            <w:r>
              <w:t>1060</w:t>
            </w:r>
          </w:p>
        </w:tc>
        <w:tc>
          <w:tcPr>
            <w:tcW w:w="796" w:type="dxa"/>
            <w:tcBorders>
              <w:top w:val="nil"/>
            </w:tcBorders>
          </w:tcPr>
          <w:p w:rsidR="00212513" w:rsidRDefault="00212513">
            <w:pPr>
              <w:pStyle w:val="ConsPlusNormal"/>
              <w:jc w:val="center"/>
            </w:pPr>
            <w:r>
              <w:t>1100</w:t>
            </w:r>
          </w:p>
        </w:tc>
        <w:tc>
          <w:tcPr>
            <w:tcW w:w="796" w:type="dxa"/>
            <w:tcBorders>
              <w:top w:val="nil"/>
            </w:tcBorders>
          </w:tcPr>
          <w:p w:rsidR="00212513" w:rsidRDefault="00212513">
            <w:pPr>
              <w:pStyle w:val="ConsPlusNormal"/>
              <w:jc w:val="center"/>
            </w:pPr>
            <w:r>
              <w:t>1190</w:t>
            </w:r>
          </w:p>
        </w:tc>
        <w:tc>
          <w:tcPr>
            <w:tcW w:w="796" w:type="dxa"/>
            <w:tcBorders>
              <w:top w:val="nil"/>
            </w:tcBorders>
          </w:tcPr>
          <w:p w:rsidR="00212513" w:rsidRDefault="00212513">
            <w:pPr>
              <w:pStyle w:val="ConsPlusNormal"/>
              <w:jc w:val="center"/>
            </w:pPr>
            <w:r>
              <w:t>1530</w:t>
            </w:r>
          </w:p>
        </w:tc>
        <w:tc>
          <w:tcPr>
            <w:tcW w:w="798" w:type="dxa"/>
            <w:tcBorders>
              <w:top w:val="nil"/>
            </w:tcBorders>
          </w:tcPr>
          <w:p w:rsidR="00212513" w:rsidRDefault="00212513">
            <w:pPr>
              <w:pStyle w:val="ConsPlusNormal"/>
              <w:jc w:val="center"/>
            </w:pPr>
            <w:r>
              <w:t>2130</w:t>
            </w:r>
          </w:p>
        </w:tc>
      </w:tr>
      <w:tr w:rsidR="00212513">
        <w:tc>
          <w:tcPr>
            <w:tcW w:w="9035" w:type="dxa"/>
            <w:gridSpan w:val="9"/>
          </w:tcPr>
          <w:p w:rsidR="00212513" w:rsidRDefault="00212513">
            <w:pPr>
              <w:pStyle w:val="ConsPlusNormal"/>
              <w:ind w:firstLine="283"/>
              <w:jc w:val="both"/>
            </w:pPr>
            <w:r>
              <w:t xml:space="preserve">Примечание - </w:t>
            </w:r>
            <w:r>
              <w:rPr>
                <w:i/>
              </w:rPr>
              <w:t>a</w:t>
            </w:r>
            <w:r>
              <w:t xml:space="preserve"> и </w:t>
            </w:r>
            <w:r>
              <w:rPr>
                <w:noProof/>
                <w:position w:val="-9"/>
              </w:rPr>
              <w:drawing>
                <wp:inline distT="0" distB="0" distL="0" distR="0">
                  <wp:extent cx="220345" cy="262255"/>
                  <wp:effectExtent l="0" t="0" r="0" b="0"/>
                  <wp:docPr id="28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6" cstate="print">
                            <a:extLst>
                              <a:ext uri="{28A0092B-C50C-407E-A947-70E740481C1C}">
                                <a14:useLocalDpi xmlns:a14="http://schemas.microsoft.com/office/drawing/2010/main" val="0"/>
                              </a:ext>
                            </a:extLst>
                          </a:blip>
                          <a:srcRect/>
                          <a:stretch>
                            <a:fillRect/>
                          </a:stretch>
                        </pic:blipFill>
                        <pic:spPr bwMode="auto">
                          <a:xfrm>
                            <a:off x="0" y="0"/>
                            <a:ext cx="220345" cy="262255"/>
                          </a:xfrm>
                          <a:prstGeom prst="rect">
                            <a:avLst/>
                          </a:prstGeom>
                          <a:noFill/>
                          <a:ln>
                            <a:noFill/>
                          </a:ln>
                        </pic:spPr>
                      </pic:pic>
                    </a:graphicData>
                  </a:graphic>
                </wp:inline>
              </w:drawing>
            </w:r>
            <w:r>
              <w:t xml:space="preserve"> следует определять по </w:t>
            </w:r>
            <w:hyperlink w:anchor="P15763">
              <w:r>
                <w:rPr>
                  <w:color w:val="0000FF"/>
                </w:rPr>
                <w:t>Х.1</w:t>
              </w:r>
            </w:hyperlink>
            <w:r>
              <w:t>.</w:t>
            </w:r>
          </w:p>
        </w:tc>
      </w:tr>
    </w:tbl>
    <w:p w:rsidR="00212513" w:rsidRDefault="00212513">
      <w:pPr>
        <w:pStyle w:val="ConsPlusNormal"/>
        <w:ind w:firstLine="540"/>
        <w:jc w:val="both"/>
      </w:pPr>
    </w:p>
    <w:p w:rsidR="00212513" w:rsidRDefault="00212513">
      <w:pPr>
        <w:pStyle w:val="ConsPlusNormal"/>
        <w:ind w:firstLine="540"/>
        <w:jc w:val="both"/>
      </w:pPr>
      <w:r>
        <w:t xml:space="preserve">Приведенное критическое касательное напряжение </w:t>
      </w:r>
      <w:r>
        <w:rPr>
          <w:noProof/>
          <w:position w:val="-10"/>
        </w:rPr>
        <w:drawing>
          <wp:inline distT="0" distB="0" distL="0" distR="0">
            <wp:extent cx="484505" cy="273685"/>
            <wp:effectExtent l="0" t="0" r="0" b="0"/>
            <wp:docPr id="28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6"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следует определять:</w:t>
      </w:r>
    </w:p>
    <w:p w:rsidR="00212513" w:rsidRDefault="00212513">
      <w:pPr>
        <w:pStyle w:val="ConsPlusNormal"/>
        <w:spacing w:before="220"/>
        <w:ind w:firstLine="540"/>
        <w:jc w:val="both"/>
      </w:pPr>
      <w:r>
        <w:t>для пластинки, примыкающей к растянутому поясу, - по формуле</w:t>
      </w:r>
    </w:p>
    <w:p w:rsidR="00212513" w:rsidRDefault="00212513">
      <w:pPr>
        <w:pStyle w:val="ConsPlusNormal"/>
        <w:ind w:firstLine="540"/>
        <w:jc w:val="both"/>
      </w:pPr>
    </w:p>
    <w:p w:rsidR="00212513" w:rsidRDefault="00212513">
      <w:pPr>
        <w:pStyle w:val="ConsPlusNormal"/>
        <w:jc w:val="center"/>
      </w:pPr>
      <w:r>
        <w:rPr>
          <w:noProof/>
          <w:position w:val="-31"/>
        </w:rPr>
        <w:drawing>
          <wp:inline distT="0" distB="0" distL="0" distR="0">
            <wp:extent cx="3031490" cy="544830"/>
            <wp:effectExtent l="0" t="0" r="0" b="0"/>
            <wp:docPr id="28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7" cstate="print">
                      <a:extLst>
                        <a:ext uri="{28A0092B-C50C-407E-A947-70E740481C1C}">
                          <a14:useLocalDpi xmlns:a14="http://schemas.microsoft.com/office/drawing/2010/main" val="0"/>
                        </a:ext>
                      </a:extLst>
                    </a:blip>
                    <a:srcRect/>
                    <a:stretch>
                      <a:fillRect/>
                    </a:stretch>
                  </pic:blipFill>
                  <pic:spPr bwMode="auto">
                    <a:xfrm>
                      <a:off x="0" y="0"/>
                      <a:ext cx="3031490" cy="544830"/>
                    </a:xfrm>
                    <a:prstGeom prst="rect">
                      <a:avLst/>
                    </a:prstGeom>
                    <a:noFill/>
                    <a:ln>
                      <a:noFill/>
                    </a:ln>
                  </pic:spPr>
                </pic:pic>
              </a:graphicData>
            </a:graphic>
          </wp:inline>
        </w:drawing>
      </w:r>
      <w:r>
        <w:t>, (Х.19)</w:t>
      </w:r>
    </w:p>
    <w:p w:rsidR="00212513" w:rsidRDefault="00212513">
      <w:pPr>
        <w:pStyle w:val="ConsPlusNormal"/>
        <w:ind w:firstLine="540"/>
        <w:jc w:val="both"/>
      </w:pPr>
    </w:p>
    <w:p w:rsidR="00212513" w:rsidRDefault="00212513">
      <w:pPr>
        <w:pStyle w:val="ConsPlusNormal"/>
        <w:ind w:firstLine="540"/>
        <w:jc w:val="both"/>
      </w:pPr>
      <w:r>
        <w:t>для промежуточной растянутой пластинки - по формуле</w:t>
      </w:r>
    </w:p>
    <w:p w:rsidR="00212513" w:rsidRDefault="00212513">
      <w:pPr>
        <w:pStyle w:val="ConsPlusNormal"/>
        <w:ind w:firstLine="540"/>
        <w:jc w:val="both"/>
      </w:pPr>
    </w:p>
    <w:p w:rsidR="00212513" w:rsidRDefault="00212513">
      <w:pPr>
        <w:pStyle w:val="ConsPlusNormal"/>
        <w:jc w:val="center"/>
      </w:pPr>
      <w:r>
        <w:rPr>
          <w:noProof/>
          <w:position w:val="-31"/>
        </w:rPr>
        <w:drawing>
          <wp:inline distT="0" distB="0" distL="0" distR="0">
            <wp:extent cx="3045460" cy="544830"/>
            <wp:effectExtent l="0" t="0" r="0" b="0"/>
            <wp:docPr id="29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8" cstate="print">
                      <a:extLst>
                        <a:ext uri="{28A0092B-C50C-407E-A947-70E740481C1C}">
                          <a14:useLocalDpi xmlns:a14="http://schemas.microsoft.com/office/drawing/2010/main" val="0"/>
                        </a:ext>
                      </a:extLst>
                    </a:blip>
                    <a:srcRect/>
                    <a:stretch>
                      <a:fillRect/>
                    </a:stretch>
                  </pic:blipFill>
                  <pic:spPr bwMode="auto">
                    <a:xfrm>
                      <a:off x="0" y="0"/>
                      <a:ext cx="3045460" cy="544830"/>
                    </a:xfrm>
                    <a:prstGeom prst="rect">
                      <a:avLst/>
                    </a:prstGeom>
                    <a:noFill/>
                    <a:ln>
                      <a:noFill/>
                    </a:ln>
                  </pic:spPr>
                </pic:pic>
              </a:graphicData>
            </a:graphic>
          </wp:inline>
        </w:drawing>
      </w:r>
      <w:r>
        <w:t>, (Х.20)</w:t>
      </w:r>
    </w:p>
    <w:p w:rsidR="00212513" w:rsidRDefault="00212513">
      <w:pPr>
        <w:pStyle w:val="ConsPlusNormal"/>
        <w:ind w:firstLine="540"/>
        <w:jc w:val="both"/>
      </w:pPr>
    </w:p>
    <w:p w:rsidR="00212513" w:rsidRDefault="00212513">
      <w:pPr>
        <w:pStyle w:val="ConsPlusNormal"/>
        <w:ind w:firstLine="540"/>
        <w:jc w:val="both"/>
      </w:pPr>
      <w:r>
        <w:t xml:space="preserve">где </w:t>
      </w:r>
      <w:r>
        <w:rPr>
          <w:i/>
        </w:rPr>
        <w:t>d</w:t>
      </w:r>
      <w:r>
        <w:t xml:space="preserve"> - меньшая сторона отсека (</w:t>
      </w:r>
      <w:r>
        <w:rPr>
          <w:i/>
        </w:rPr>
        <w:t>a</w:t>
      </w:r>
      <w:r>
        <w:t xml:space="preserve"> или </w:t>
      </w:r>
      <w:r>
        <w:rPr>
          <w:noProof/>
          <w:position w:val="-10"/>
        </w:rPr>
        <w:drawing>
          <wp:inline distT="0" distB="0" distL="0" distR="0">
            <wp:extent cx="230505" cy="273685"/>
            <wp:effectExtent l="0" t="0" r="0" b="0"/>
            <wp:docPr id="29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9"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w:t>
      </w:r>
    </w:p>
    <w:p w:rsidR="00212513" w:rsidRDefault="00212513">
      <w:pPr>
        <w:pStyle w:val="ConsPlusNormal"/>
        <w:spacing w:before="220"/>
        <w:ind w:firstLine="540"/>
        <w:jc w:val="both"/>
      </w:pPr>
      <w:r>
        <w:rPr>
          <w:noProof/>
          <w:position w:val="-7"/>
        </w:rPr>
        <w:drawing>
          <wp:inline distT="0" distB="0" distL="0" distR="0">
            <wp:extent cx="177165" cy="240665"/>
            <wp:effectExtent l="0" t="0" r="0" b="0"/>
            <wp:docPr id="29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0"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 коэффициент, принимаемый равным </w:t>
      </w:r>
      <w:r>
        <w:rPr>
          <w:noProof/>
          <w:position w:val="-3"/>
        </w:rPr>
        <w:drawing>
          <wp:inline distT="0" distB="0" distL="0" distR="0">
            <wp:extent cx="167640" cy="177800"/>
            <wp:effectExtent l="0" t="0" r="0" b="0"/>
            <wp:docPr id="29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1"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при </w:t>
      </w:r>
      <w:r>
        <w:rPr>
          <w:noProof/>
          <w:position w:val="-10"/>
        </w:rPr>
        <w:drawing>
          <wp:inline distT="0" distB="0" distL="0" distR="0">
            <wp:extent cx="484505" cy="273685"/>
            <wp:effectExtent l="0" t="0" r="0" b="0"/>
            <wp:docPr id="29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2"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и </w:t>
      </w:r>
      <w:r>
        <w:rPr>
          <w:noProof/>
          <w:position w:val="-7"/>
        </w:rPr>
        <w:drawing>
          <wp:inline distT="0" distB="0" distL="0" distR="0">
            <wp:extent cx="314960" cy="230505"/>
            <wp:effectExtent l="0" t="0" r="0" b="0"/>
            <wp:docPr id="29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3" cstate="print">
                      <a:extLst>
                        <a:ext uri="{28A0092B-C50C-407E-A947-70E740481C1C}">
                          <a14:useLocalDpi xmlns:a14="http://schemas.microsoft.com/office/drawing/2010/main" val="0"/>
                        </a:ext>
                      </a:extLst>
                    </a:blip>
                    <a:srcRect/>
                    <a:stretch>
                      <a:fillRect/>
                    </a:stretch>
                  </pic:blipFill>
                  <pic:spPr bwMode="auto">
                    <a:xfrm>
                      <a:off x="0" y="0"/>
                      <a:ext cx="314960" cy="230505"/>
                    </a:xfrm>
                    <a:prstGeom prst="rect">
                      <a:avLst/>
                    </a:prstGeom>
                    <a:noFill/>
                    <a:ln>
                      <a:noFill/>
                    </a:ln>
                  </pic:spPr>
                </pic:pic>
              </a:graphicData>
            </a:graphic>
          </wp:inline>
        </w:drawing>
      </w:r>
      <w:r>
        <w:t xml:space="preserve"> при </w:t>
      </w:r>
      <w:r>
        <w:rPr>
          <w:noProof/>
          <w:position w:val="-10"/>
        </w:rPr>
        <w:drawing>
          <wp:inline distT="0" distB="0" distL="0" distR="0">
            <wp:extent cx="484505" cy="273685"/>
            <wp:effectExtent l="0" t="0" r="0" b="0"/>
            <wp:docPr id="29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4"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w:t>
      </w:r>
    </w:p>
    <w:p w:rsidR="00212513" w:rsidRDefault="00212513">
      <w:pPr>
        <w:pStyle w:val="ConsPlusNormal"/>
        <w:spacing w:before="220"/>
        <w:ind w:firstLine="540"/>
        <w:jc w:val="both"/>
      </w:pPr>
      <w:r>
        <w:t>Х.7 Расчет по устойчивости пластинок стенки сплошных сжато-изгибаемых элементов (балки жесткости пролетного строения распорной системы, арки или пилона) при сжатии сечения по всей высоте следует выполнять по формуле</w:t>
      </w:r>
    </w:p>
    <w:p w:rsidR="00212513" w:rsidRDefault="00212513">
      <w:pPr>
        <w:pStyle w:val="ConsPlusNormal"/>
        <w:ind w:firstLine="540"/>
        <w:jc w:val="both"/>
      </w:pPr>
    </w:p>
    <w:p w:rsidR="00212513" w:rsidRDefault="00212513">
      <w:pPr>
        <w:pStyle w:val="ConsPlusNormal"/>
        <w:jc w:val="center"/>
      </w:pPr>
      <w:r>
        <w:rPr>
          <w:noProof/>
          <w:position w:val="-37"/>
        </w:rPr>
        <w:lastRenderedPageBreak/>
        <w:drawing>
          <wp:inline distT="0" distB="0" distL="0" distR="0">
            <wp:extent cx="1983740" cy="621030"/>
            <wp:effectExtent l="0" t="0" r="0" b="0"/>
            <wp:docPr id="29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5" cstate="print">
                      <a:extLst>
                        <a:ext uri="{28A0092B-C50C-407E-A947-70E740481C1C}">
                          <a14:useLocalDpi xmlns:a14="http://schemas.microsoft.com/office/drawing/2010/main" val="0"/>
                        </a:ext>
                      </a:extLst>
                    </a:blip>
                    <a:srcRect/>
                    <a:stretch>
                      <a:fillRect/>
                    </a:stretch>
                  </pic:blipFill>
                  <pic:spPr bwMode="auto">
                    <a:xfrm>
                      <a:off x="0" y="0"/>
                      <a:ext cx="1983740" cy="621030"/>
                    </a:xfrm>
                    <a:prstGeom prst="rect">
                      <a:avLst/>
                    </a:prstGeom>
                    <a:noFill/>
                    <a:ln>
                      <a:noFill/>
                    </a:ln>
                  </pic:spPr>
                </pic:pic>
              </a:graphicData>
            </a:graphic>
          </wp:inline>
        </w:drawing>
      </w:r>
      <w:r>
        <w:t>, (Х.21)</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9"/>
        </w:rPr>
        <w:drawing>
          <wp:inline distT="0" distB="0" distL="0" distR="0">
            <wp:extent cx="209550" cy="261620"/>
            <wp:effectExtent l="0" t="0" r="0" b="0"/>
            <wp:docPr id="29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6"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 xml:space="preserve"> - максимальное продольное нормальное напряжение на границе пластинки от продольной силы N и изгибающего момента </w:t>
      </w:r>
      <w:r>
        <w:rPr>
          <w:noProof/>
          <w:position w:val="-9"/>
        </w:rPr>
        <w:drawing>
          <wp:inline distT="0" distB="0" distL="0" distR="0">
            <wp:extent cx="273685" cy="261620"/>
            <wp:effectExtent l="0" t="0" r="0" b="0"/>
            <wp:docPr id="29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7" cstate="print">
                      <a:extLst>
                        <a:ext uri="{28A0092B-C50C-407E-A947-70E740481C1C}">
                          <a14:useLocalDpi xmlns:a14="http://schemas.microsoft.com/office/drawing/2010/main" val="0"/>
                        </a:ext>
                      </a:extLst>
                    </a:blip>
                    <a:srcRect/>
                    <a:stretch>
                      <a:fillRect/>
                    </a:stretch>
                  </pic:blipFill>
                  <pic:spPr bwMode="auto">
                    <a:xfrm>
                      <a:off x="0" y="0"/>
                      <a:ext cx="273685" cy="261620"/>
                    </a:xfrm>
                    <a:prstGeom prst="rect">
                      <a:avLst/>
                    </a:prstGeom>
                    <a:noFill/>
                    <a:ln>
                      <a:noFill/>
                    </a:ln>
                  </pic:spPr>
                </pic:pic>
              </a:graphicData>
            </a:graphic>
          </wp:inline>
        </w:drawing>
      </w:r>
      <w:r>
        <w:t xml:space="preserve">, принимаемого в соответствии с </w:t>
      </w:r>
      <w:hyperlink w:anchor="P15797">
        <w:r>
          <w:rPr>
            <w:color w:val="0000FF"/>
          </w:rPr>
          <w:t>Х.2</w:t>
        </w:r>
      </w:hyperlink>
      <w:r>
        <w:t>;</w:t>
      </w:r>
    </w:p>
    <w:p w:rsidR="00212513" w:rsidRDefault="00212513">
      <w:pPr>
        <w:pStyle w:val="ConsPlusNormal"/>
        <w:spacing w:before="220"/>
        <w:ind w:firstLine="540"/>
        <w:jc w:val="both"/>
      </w:pPr>
      <w:r>
        <w:rPr>
          <w:noProof/>
          <w:position w:val="-7"/>
        </w:rPr>
        <w:drawing>
          <wp:inline distT="0" distB="0" distL="0" distR="0">
            <wp:extent cx="177165" cy="240665"/>
            <wp:effectExtent l="0" t="0" r="0" b="0"/>
            <wp:docPr id="29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8"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 коэффициент, определяемый по </w:t>
      </w:r>
      <w:hyperlink w:anchor="P15887">
        <w:r>
          <w:rPr>
            <w:color w:val="0000FF"/>
          </w:rPr>
          <w:t>таблице Х.2</w:t>
        </w:r>
      </w:hyperlink>
      <w:r>
        <w:t>;</w:t>
      </w:r>
    </w:p>
    <w:p w:rsidR="00212513" w:rsidRDefault="00212513">
      <w:pPr>
        <w:pStyle w:val="ConsPlusNormal"/>
        <w:spacing w:before="220"/>
        <w:ind w:firstLine="540"/>
        <w:jc w:val="both"/>
      </w:pPr>
      <w:r>
        <w:rPr>
          <w:noProof/>
          <w:position w:val="-10"/>
        </w:rPr>
        <w:drawing>
          <wp:inline distT="0" distB="0" distL="0" distR="0">
            <wp:extent cx="230505" cy="273685"/>
            <wp:effectExtent l="0" t="0" r="0" b="0"/>
            <wp:docPr id="29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9"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w:t>
      </w:r>
      <w:r>
        <w:rPr>
          <w:noProof/>
          <w:position w:val="-10"/>
        </w:rPr>
        <w:drawing>
          <wp:inline distT="0" distB="0" distL="0" distR="0">
            <wp:extent cx="230505" cy="273685"/>
            <wp:effectExtent l="0" t="0" r="0" b="0"/>
            <wp:docPr id="29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0"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 поперечное нормальное и среднее касательное напряжения, определяемые согласно </w:t>
      </w:r>
      <w:hyperlink w:anchor="P15797">
        <w:r>
          <w:rPr>
            <w:color w:val="0000FF"/>
          </w:rPr>
          <w:t>Х.2</w:t>
        </w:r>
      </w:hyperlink>
      <w:r>
        <w:t>;</w:t>
      </w:r>
    </w:p>
    <w:p w:rsidR="00212513" w:rsidRDefault="00212513">
      <w:pPr>
        <w:pStyle w:val="ConsPlusNormal"/>
        <w:spacing w:before="220"/>
        <w:ind w:firstLine="540"/>
        <w:jc w:val="both"/>
      </w:pPr>
      <w:r>
        <w:rPr>
          <w:noProof/>
          <w:position w:val="-10"/>
        </w:rPr>
        <w:drawing>
          <wp:inline distT="0" distB="0" distL="0" distR="0">
            <wp:extent cx="335280" cy="273685"/>
            <wp:effectExtent l="0" t="0" r="0" b="0"/>
            <wp:docPr id="29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1"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w:t>
      </w:r>
      <w:r>
        <w:rPr>
          <w:noProof/>
          <w:position w:val="-10"/>
        </w:rPr>
        <w:drawing>
          <wp:inline distT="0" distB="0" distL="0" distR="0">
            <wp:extent cx="335280" cy="273685"/>
            <wp:effectExtent l="0" t="0" r="0" b="0"/>
            <wp:docPr id="29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2"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w:t>
      </w:r>
      <w:r>
        <w:rPr>
          <w:noProof/>
          <w:position w:val="-10"/>
        </w:rPr>
        <w:drawing>
          <wp:inline distT="0" distB="0" distL="0" distR="0">
            <wp:extent cx="355600" cy="273685"/>
            <wp:effectExtent l="0" t="0" r="0" b="0"/>
            <wp:docPr id="29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3" cstate="print">
                      <a:extLst>
                        <a:ext uri="{28A0092B-C50C-407E-A947-70E740481C1C}">
                          <a14:useLocalDpi xmlns:a14="http://schemas.microsoft.com/office/drawing/2010/main" val="0"/>
                        </a:ext>
                      </a:extLst>
                    </a:blip>
                    <a:srcRect/>
                    <a:stretch>
                      <a:fillRect/>
                    </a:stretch>
                  </pic:blipFill>
                  <pic:spPr bwMode="auto">
                    <a:xfrm>
                      <a:off x="0" y="0"/>
                      <a:ext cx="355600" cy="273685"/>
                    </a:xfrm>
                    <a:prstGeom prst="rect">
                      <a:avLst/>
                    </a:prstGeom>
                    <a:noFill/>
                    <a:ln>
                      <a:noFill/>
                    </a:ln>
                  </pic:spPr>
                </pic:pic>
              </a:graphicData>
            </a:graphic>
          </wp:inline>
        </w:drawing>
      </w:r>
      <w:r>
        <w:t xml:space="preserve"> - критические напряжения, определяемые по </w:t>
      </w:r>
      <w:r>
        <w:rPr>
          <w:noProof/>
          <w:position w:val="-10"/>
        </w:rPr>
        <w:drawing>
          <wp:inline distT="0" distB="0" distL="0" distR="0">
            <wp:extent cx="461010" cy="273685"/>
            <wp:effectExtent l="0" t="0" r="0" b="0"/>
            <wp:docPr id="29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7" cstate="print">
                      <a:extLst>
                        <a:ext uri="{28A0092B-C50C-407E-A947-70E740481C1C}">
                          <a14:useLocalDpi xmlns:a14="http://schemas.microsoft.com/office/drawing/2010/main" val="0"/>
                        </a:ext>
                      </a:extLst>
                    </a:blip>
                    <a:srcRect/>
                    <a:stretch>
                      <a:fillRect/>
                    </a:stretch>
                  </pic:blipFill>
                  <pic:spPr bwMode="auto">
                    <a:xfrm>
                      <a:off x="0" y="0"/>
                      <a:ext cx="461010" cy="273685"/>
                    </a:xfrm>
                    <a:prstGeom prst="rect">
                      <a:avLst/>
                    </a:prstGeom>
                    <a:noFill/>
                    <a:ln>
                      <a:noFill/>
                    </a:ln>
                  </pic:spPr>
                </pic:pic>
              </a:graphicData>
            </a:graphic>
          </wp:inline>
        </w:drawing>
      </w:r>
      <w:r>
        <w:t xml:space="preserve">, </w:t>
      </w:r>
      <w:r>
        <w:rPr>
          <w:noProof/>
          <w:position w:val="-10"/>
        </w:rPr>
        <w:drawing>
          <wp:inline distT="0" distB="0" distL="0" distR="0">
            <wp:extent cx="484505" cy="273685"/>
            <wp:effectExtent l="0" t="0" r="0" b="0"/>
            <wp:docPr id="29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5"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w:t>
      </w:r>
      <w:r>
        <w:rPr>
          <w:noProof/>
          <w:position w:val="-10"/>
        </w:rPr>
        <w:drawing>
          <wp:inline distT="0" distB="0" distL="0" distR="0">
            <wp:extent cx="484505" cy="273685"/>
            <wp:effectExtent l="0" t="0" r="0" b="0"/>
            <wp:docPr id="29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6" cstate="print">
                      <a:extLst>
                        <a:ext uri="{28A0092B-C50C-407E-A947-70E740481C1C}">
                          <a14:useLocalDpi xmlns:a14="http://schemas.microsoft.com/office/drawing/2010/main" val="0"/>
                        </a:ext>
                      </a:extLst>
                    </a:blip>
                    <a:srcRect/>
                    <a:stretch>
                      <a:fillRect/>
                    </a:stretch>
                  </pic:blipFill>
                  <pic:spPr bwMode="auto">
                    <a:xfrm>
                      <a:off x="0" y="0"/>
                      <a:ext cx="484505" cy="273685"/>
                    </a:xfrm>
                    <a:prstGeom prst="rect">
                      <a:avLst/>
                    </a:prstGeom>
                    <a:noFill/>
                    <a:ln>
                      <a:noFill/>
                    </a:ln>
                  </pic:spPr>
                </pic:pic>
              </a:graphicData>
            </a:graphic>
          </wp:inline>
        </w:drawing>
      </w:r>
      <w:r>
        <w:t xml:space="preserve"> согласно указаниям </w:t>
      </w:r>
      <w:hyperlink w:anchor="P15878">
        <w:r>
          <w:rPr>
            <w:color w:val="0000FF"/>
          </w:rPr>
          <w:t>Х.4</w:t>
        </w:r>
      </w:hyperlink>
      <w:r>
        <w:t>.</w:t>
      </w:r>
    </w:p>
    <w:p w:rsidR="00212513" w:rsidRDefault="00212513">
      <w:pPr>
        <w:pStyle w:val="ConsPlusNormal"/>
        <w:spacing w:before="220"/>
        <w:ind w:firstLine="540"/>
        <w:jc w:val="both"/>
      </w:pPr>
      <w:r>
        <w:t xml:space="preserve">При действии на части высоты сечения растягивающих напряжений расчет следует выполнять как для стенки сплошных изгибаемых элементов по </w:t>
      </w:r>
      <w:hyperlink w:anchor="P15878">
        <w:r>
          <w:rPr>
            <w:color w:val="0000FF"/>
          </w:rPr>
          <w:t>Х.4</w:t>
        </w:r>
      </w:hyperlink>
      <w:r>
        <w:t xml:space="preserve"> - </w:t>
      </w:r>
      <w:hyperlink w:anchor="P16454">
        <w:r>
          <w:rPr>
            <w:color w:val="0000FF"/>
          </w:rPr>
          <w:t>Х.6</w:t>
        </w:r>
      </w:hyperlink>
      <w:r>
        <w:t>.</w:t>
      </w: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jc w:val="right"/>
        <w:outlineLvl w:val="0"/>
      </w:pPr>
      <w:r>
        <w:rPr>
          <w:b/>
        </w:rPr>
        <w:t>Приложение Ц</w:t>
      </w:r>
    </w:p>
    <w:p w:rsidR="00212513" w:rsidRDefault="00212513">
      <w:pPr>
        <w:pStyle w:val="ConsPlusNormal"/>
        <w:jc w:val="right"/>
      </w:pPr>
      <w:r>
        <w:rPr>
          <w:b/>
        </w:rPr>
        <w:t>(обязательное)</w:t>
      </w:r>
    </w:p>
    <w:p w:rsidR="00212513" w:rsidRDefault="00212513">
      <w:pPr>
        <w:pStyle w:val="ConsPlusNormal"/>
        <w:ind w:firstLine="540"/>
        <w:jc w:val="both"/>
      </w:pPr>
    </w:p>
    <w:p w:rsidR="00212513" w:rsidRDefault="00212513">
      <w:pPr>
        <w:pStyle w:val="ConsPlusTitle"/>
        <w:jc w:val="center"/>
      </w:pPr>
      <w:r>
        <w:t>КОЭФФИЦИЕНТЫ ДЛЯ РАСЧЕТА НА ВЫНОСЛИВОСТЬ</w:t>
      </w:r>
    </w:p>
    <w:p w:rsidR="00212513" w:rsidRDefault="00212513">
      <w:pPr>
        <w:pStyle w:val="ConsPlusNormal"/>
        <w:ind w:firstLine="540"/>
        <w:jc w:val="both"/>
      </w:pPr>
    </w:p>
    <w:p w:rsidR="00212513" w:rsidRDefault="00212513">
      <w:pPr>
        <w:pStyle w:val="ConsPlusNormal"/>
        <w:jc w:val="right"/>
      </w:pPr>
      <w:bookmarkStart w:id="552" w:name="P16531"/>
      <w:bookmarkEnd w:id="552"/>
      <w:r>
        <w:t>Таблица Ц.1</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123"/>
        <w:gridCol w:w="1473"/>
        <w:gridCol w:w="1473"/>
      </w:tblGrid>
      <w:tr w:rsidR="00212513">
        <w:tc>
          <w:tcPr>
            <w:tcW w:w="6123" w:type="dxa"/>
            <w:vMerge w:val="restart"/>
            <w:tcBorders>
              <w:top w:val="single" w:sz="4" w:space="0" w:color="auto"/>
              <w:bottom w:val="single" w:sz="4" w:space="0" w:color="auto"/>
            </w:tcBorders>
            <w:vAlign w:val="center"/>
          </w:tcPr>
          <w:p w:rsidR="00212513" w:rsidRDefault="00212513">
            <w:pPr>
              <w:pStyle w:val="ConsPlusNormal"/>
              <w:jc w:val="center"/>
            </w:pPr>
            <w:r>
              <w:t>Расположение расчетного сечения и характеристика стальной конструкции моста</w:t>
            </w:r>
          </w:p>
        </w:tc>
        <w:tc>
          <w:tcPr>
            <w:tcW w:w="2946" w:type="dxa"/>
            <w:gridSpan w:val="2"/>
            <w:tcBorders>
              <w:top w:val="single" w:sz="4" w:space="0" w:color="auto"/>
              <w:bottom w:val="single" w:sz="4" w:space="0" w:color="auto"/>
            </w:tcBorders>
            <w:vAlign w:val="center"/>
          </w:tcPr>
          <w:p w:rsidR="00212513" w:rsidRDefault="00212513">
            <w:pPr>
              <w:pStyle w:val="ConsPlusNormal"/>
              <w:jc w:val="center"/>
            </w:pPr>
            <w:r>
              <w:t>Эффективный коэффициент концентрации напряжений бета для стали марок</w:t>
            </w:r>
          </w:p>
        </w:tc>
      </w:tr>
      <w:tr w:rsidR="00212513">
        <w:tc>
          <w:tcPr>
            <w:tcW w:w="6123" w:type="dxa"/>
            <w:vMerge/>
            <w:tcBorders>
              <w:top w:val="single" w:sz="4" w:space="0" w:color="auto"/>
              <w:bottom w:val="single" w:sz="4" w:space="0" w:color="auto"/>
            </w:tcBorders>
          </w:tcPr>
          <w:p w:rsidR="00212513" w:rsidRDefault="00212513">
            <w:pPr>
              <w:pStyle w:val="ConsPlusNormal"/>
            </w:pPr>
          </w:p>
        </w:tc>
        <w:tc>
          <w:tcPr>
            <w:tcW w:w="1473" w:type="dxa"/>
            <w:tcBorders>
              <w:top w:val="single" w:sz="4" w:space="0" w:color="auto"/>
              <w:bottom w:val="single" w:sz="4" w:space="0" w:color="auto"/>
            </w:tcBorders>
            <w:vAlign w:val="center"/>
          </w:tcPr>
          <w:p w:rsidR="00212513" w:rsidRDefault="00212513">
            <w:pPr>
              <w:pStyle w:val="ConsPlusNormal"/>
              <w:jc w:val="center"/>
            </w:pPr>
            <w:r>
              <w:t>С235</w:t>
            </w:r>
          </w:p>
        </w:tc>
        <w:tc>
          <w:tcPr>
            <w:tcW w:w="1473" w:type="dxa"/>
            <w:tcBorders>
              <w:top w:val="single" w:sz="4" w:space="0" w:color="auto"/>
              <w:bottom w:val="single" w:sz="4" w:space="0" w:color="auto"/>
            </w:tcBorders>
            <w:vAlign w:val="center"/>
          </w:tcPr>
          <w:p w:rsidR="00212513" w:rsidRDefault="00212513">
            <w:pPr>
              <w:pStyle w:val="ConsPlusNormal"/>
              <w:jc w:val="center"/>
            </w:pPr>
            <w:r>
              <w:t>С325 - С390</w:t>
            </w:r>
          </w:p>
        </w:tc>
      </w:tr>
      <w:tr w:rsidR="00212513">
        <w:tblPrEx>
          <w:tblBorders>
            <w:insideH w:val="none" w:sz="0" w:space="0" w:color="auto"/>
          </w:tblBorders>
        </w:tblPrEx>
        <w:tc>
          <w:tcPr>
            <w:tcW w:w="6123" w:type="dxa"/>
            <w:tcBorders>
              <w:top w:val="single" w:sz="4" w:space="0" w:color="auto"/>
              <w:bottom w:val="nil"/>
            </w:tcBorders>
          </w:tcPr>
          <w:p w:rsidR="00212513" w:rsidRDefault="00212513">
            <w:pPr>
              <w:pStyle w:val="ConsPlusNormal"/>
            </w:pPr>
            <w:r>
              <w:t>1 По основному металлу после дробеметной очистки или с необработанной прокатной поверхностью у деталей с прокатными, обработанными фрезерованием, строжкой кромками в сечениях вне сварных швов и болтов</w:t>
            </w:r>
          </w:p>
        </w:tc>
        <w:tc>
          <w:tcPr>
            <w:tcW w:w="1473" w:type="dxa"/>
            <w:tcBorders>
              <w:top w:val="single" w:sz="4" w:space="0" w:color="auto"/>
              <w:bottom w:val="nil"/>
            </w:tcBorders>
          </w:tcPr>
          <w:p w:rsidR="00212513" w:rsidRDefault="00212513">
            <w:pPr>
              <w:pStyle w:val="ConsPlusNormal"/>
              <w:jc w:val="center"/>
            </w:pPr>
            <w:r>
              <w:t>1,0</w:t>
            </w:r>
          </w:p>
        </w:tc>
        <w:tc>
          <w:tcPr>
            <w:tcW w:w="1473" w:type="dxa"/>
            <w:tcBorders>
              <w:top w:val="single" w:sz="4" w:space="0" w:color="auto"/>
              <w:bottom w:val="nil"/>
            </w:tcBorders>
          </w:tcPr>
          <w:p w:rsidR="00212513" w:rsidRDefault="00212513">
            <w:pPr>
              <w:pStyle w:val="ConsPlusNormal"/>
              <w:jc w:val="center"/>
            </w:pPr>
            <w:r>
              <w:t>1,0</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pPr>
            <w:r>
              <w:t>2 То же, с кромками, обрезанными газовой машинной резкой:</w:t>
            </w:r>
          </w:p>
        </w:tc>
        <w:tc>
          <w:tcPr>
            <w:tcW w:w="1473" w:type="dxa"/>
            <w:tcBorders>
              <w:top w:val="nil"/>
              <w:bottom w:val="nil"/>
            </w:tcBorders>
          </w:tcPr>
          <w:p w:rsidR="00212513" w:rsidRDefault="00212513">
            <w:pPr>
              <w:pStyle w:val="ConsPlusNormal"/>
              <w:jc w:val="both"/>
            </w:pPr>
          </w:p>
        </w:tc>
        <w:tc>
          <w:tcPr>
            <w:tcW w:w="1473"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283"/>
            </w:pPr>
            <w:r>
              <w:t>а) нормального качества</w:t>
            </w:r>
          </w:p>
        </w:tc>
        <w:tc>
          <w:tcPr>
            <w:tcW w:w="1473" w:type="dxa"/>
            <w:tcBorders>
              <w:top w:val="nil"/>
              <w:bottom w:val="nil"/>
            </w:tcBorders>
          </w:tcPr>
          <w:p w:rsidR="00212513" w:rsidRDefault="00212513">
            <w:pPr>
              <w:pStyle w:val="ConsPlusNormal"/>
              <w:jc w:val="center"/>
            </w:pPr>
            <w:r>
              <w:t>1,1</w:t>
            </w:r>
          </w:p>
        </w:tc>
        <w:tc>
          <w:tcPr>
            <w:tcW w:w="1473" w:type="dxa"/>
            <w:tcBorders>
              <w:top w:val="nil"/>
              <w:bottom w:val="nil"/>
            </w:tcBorders>
          </w:tcPr>
          <w:p w:rsidR="00212513" w:rsidRDefault="00212513">
            <w:pPr>
              <w:pStyle w:val="ConsPlusNormal"/>
              <w:jc w:val="center"/>
            </w:pPr>
            <w:r>
              <w:t>1,2</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283"/>
            </w:pPr>
            <w:r>
              <w:t>б) чистовой (смыв-процесс, резка с кислородной завесой, кислородно-плазменная)</w:t>
            </w:r>
          </w:p>
        </w:tc>
        <w:tc>
          <w:tcPr>
            <w:tcW w:w="1473" w:type="dxa"/>
            <w:tcBorders>
              <w:top w:val="nil"/>
              <w:bottom w:val="nil"/>
            </w:tcBorders>
          </w:tcPr>
          <w:p w:rsidR="00212513" w:rsidRDefault="00212513">
            <w:pPr>
              <w:pStyle w:val="ConsPlusNormal"/>
              <w:jc w:val="center"/>
            </w:pPr>
            <w:r>
              <w:t>1,0</w:t>
            </w:r>
          </w:p>
        </w:tc>
        <w:tc>
          <w:tcPr>
            <w:tcW w:w="1473" w:type="dxa"/>
            <w:tcBorders>
              <w:top w:val="nil"/>
              <w:bottom w:val="nil"/>
            </w:tcBorders>
          </w:tcPr>
          <w:p w:rsidR="00212513" w:rsidRDefault="00212513">
            <w:pPr>
              <w:pStyle w:val="ConsPlusNormal"/>
              <w:jc w:val="center"/>
            </w:pPr>
            <w:r>
              <w:t>1,0</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pPr>
            <w:r>
              <w:t>3 По основному металлу деталей в сечениях:</w:t>
            </w:r>
          </w:p>
        </w:tc>
        <w:tc>
          <w:tcPr>
            <w:tcW w:w="1473" w:type="dxa"/>
            <w:tcBorders>
              <w:top w:val="nil"/>
              <w:bottom w:val="nil"/>
            </w:tcBorders>
          </w:tcPr>
          <w:p w:rsidR="00212513" w:rsidRDefault="00212513">
            <w:pPr>
              <w:pStyle w:val="ConsPlusNormal"/>
              <w:jc w:val="both"/>
            </w:pPr>
          </w:p>
        </w:tc>
        <w:tc>
          <w:tcPr>
            <w:tcW w:w="1473"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283"/>
            </w:pPr>
            <w:r>
              <w:t xml:space="preserve">а) нетто по соединительным болтам составных элементов, а также у свободного отверстия </w:t>
            </w:r>
            <w:hyperlink w:anchor="P16783">
              <w:r>
                <w:rPr>
                  <w:color w:val="0000FF"/>
                </w:rPr>
                <w:t>(рисунок Ц.1)</w:t>
              </w:r>
            </w:hyperlink>
          </w:p>
        </w:tc>
        <w:tc>
          <w:tcPr>
            <w:tcW w:w="1473" w:type="dxa"/>
            <w:tcBorders>
              <w:top w:val="nil"/>
              <w:bottom w:val="nil"/>
            </w:tcBorders>
          </w:tcPr>
          <w:p w:rsidR="00212513" w:rsidRDefault="00212513">
            <w:pPr>
              <w:pStyle w:val="ConsPlusNormal"/>
              <w:jc w:val="center"/>
            </w:pPr>
            <w:r>
              <w:t>1,3</w:t>
            </w:r>
          </w:p>
        </w:tc>
        <w:tc>
          <w:tcPr>
            <w:tcW w:w="1473" w:type="dxa"/>
            <w:tcBorders>
              <w:top w:val="nil"/>
              <w:bottom w:val="nil"/>
            </w:tcBorders>
          </w:tcPr>
          <w:p w:rsidR="00212513" w:rsidRDefault="00212513">
            <w:pPr>
              <w:pStyle w:val="ConsPlusNormal"/>
              <w:jc w:val="center"/>
            </w:pPr>
            <w:r>
              <w:t>1,5</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283"/>
            </w:pPr>
            <w:r>
              <w:lastRenderedPageBreak/>
              <w:t xml:space="preserve">б) нетто у отверстия с поставленным в него высокопрочным болтом, затянутым на нормативное усилие </w:t>
            </w:r>
            <w:hyperlink w:anchor="P16792">
              <w:r>
                <w:rPr>
                  <w:color w:val="0000FF"/>
                </w:rPr>
                <w:t>(рисунок Ц.2)</w:t>
              </w:r>
            </w:hyperlink>
          </w:p>
        </w:tc>
        <w:tc>
          <w:tcPr>
            <w:tcW w:w="1473" w:type="dxa"/>
            <w:tcBorders>
              <w:top w:val="nil"/>
              <w:bottom w:val="nil"/>
            </w:tcBorders>
          </w:tcPr>
          <w:p w:rsidR="00212513" w:rsidRDefault="00212513">
            <w:pPr>
              <w:pStyle w:val="ConsPlusNormal"/>
              <w:jc w:val="center"/>
            </w:pPr>
            <w:r>
              <w:t>1,1</w:t>
            </w:r>
          </w:p>
        </w:tc>
        <w:tc>
          <w:tcPr>
            <w:tcW w:w="1473" w:type="dxa"/>
            <w:tcBorders>
              <w:top w:val="nil"/>
              <w:bottom w:val="nil"/>
            </w:tcBorders>
          </w:tcPr>
          <w:p w:rsidR="00212513" w:rsidRDefault="00212513">
            <w:pPr>
              <w:pStyle w:val="ConsPlusNormal"/>
              <w:jc w:val="center"/>
            </w:pPr>
            <w:r>
              <w:t>1,3</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283"/>
            </w:pPr>
            <w:bookmarkStart w:id="553" w:name="P16558"/>
            <w:bookmarkEnd w:id="553"/>
            <w:r>
              <w:t xml:space="preserve">в) брутто по первому ряду высокопрочных болтов в прикреплении фасонки к не стыкуемым в данном узле поясам сплошных балок и элементам решетчатых ферм </w:t>
            </w:r>
            <w:hyperlink w:anchor="P16801">
              <w:r>
                <w:rPr>
                  <w:color w:val="0000FF"/>
                </w:rPr>
                <w:t>(рисунок Ц.3)</w:t>
              </w:r>
            </w:hyperlink>
          </w:p>
        </w:tc>
        <w:tc>
          <w:tcPr>
            <w:tcW w:w="1473" w:type="dxa"/>
            <w:tcBorders>
              <w:top w:val="nil"/>
              <w:bottom w:val="nil"/>
            </w:tcBorders>
          </w:tcPr>
          <w:p w:rsidR="00212513" w:rsidRDefault="00212513">
            <w:pPr>
              <w:pStyle w:val="ConsPlusNormal"/>
              <w:jc w:val="center"/>
            </w:pPr>
            <w:r>
              <w:t>1,3</w:t>
            </w:r>
            <w:r>
              <w:rPr>
                <w:i/>
              </w:rPr>
              <w:t>m</w:t>
            </w:r>
            <w:r>
              <w:rPr>
                <w:i/>
                <w:vertAlign w:val="subscript"/>
              </w:rPr>
              <w:t>f</w:t>
            </w:r>
          </w:p>
        </w:tc>
        <w:tc>
          <w:tcPr>
            <w:tcW w:w="1473" w:type="dxa"/>
            <w:tcBorders>
              <w:top w:val="nil"/>
              <w:bottom w:val="nil"/>
            </w:tcBorders>
          </w:tcPr>
          <w:p w:rsidR="00212513" w:rsidRDefault="00212513">
            <w:pPr>
              <w:pStyle w:val="ConsPlusNormal"/>
              <w:jc w:val="center"/>
            </w:pPr>
            <w:r>
              <w:t>1,5</w:t>
            </w:r>
            <w:r>
              <w:rPr>
                <w:i/>
              </w:rPr>
              <w:t>m</w:t>
            </w:r>
            <w:r>
              <w:rPr>
                <w:i/>
                <w:vertAlign w:val="subscript"/>
              </w:rPr>
              <w:t>f</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283"/>
            </w:pPr>
            <w:bookmarkStart w:id="554" w:name="P16561"/>
            <w:bookmarkEnd w:id="554"/>
            <w:r>
              <w:t>г) то же, в прикреплении к узлу или в стыке двухстенчатых элементов, у которых:</w:t>
            </w:r>
          </w:p>
        </w:tc>
        <w:tc>
          <w:tcPr>
            <w:tcW w:w="1473" w:type="dxa"/>
            <w:tcBorders>
              <w:top w:val="nil"/>
              <w:bottom w:val="nil"/>
            </w:tcBorders>
          </w:tcPr>
          <w:p w:rsidR="00212513" w:rsidRDefault="00212513">
            <w:pPr>
              <w:pStyle w:val="ConsPlusNormal"/>
              <w:jc w:val="both"/>
            </w:pPr>
          </w:p>
        </w:tc>
        <w:tc>
          <w:tcPr>
            <w:tcW w:w="1473"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566"/>
            </w:pPr>
            <w:r>
              <w:t>непосредственно перекрытая часть сечения (2</w:t>
            </w:r>
            <w:r>
              <w:rPr>
                <w:i/>
              </w:rPr>
              <w:t>A</w:t>
            </w:r>
            <w:r>
              <w:rPr>
                <w:i/>
                <w:vertAlign w:val="subscript"/>
              </w:rPr>
              <w:t>v</w:t>
            </w:r>
            <w:r>
              <w:t xml:space="preserve">) составляет не менее, %: 80 общей площади сечения, в том числе при двусторонних накладках - 60 </w:t>
            </w:r>
            <w:hyperlink w:anchor="P16811">
              <w:r>
                <w:rPr>
                  <w:color w:val="0000FF"/>
                </w:rPr>
                <w:t>(рисунок Ц.4)</w:t>
              </w:r>
            </w:hyperlink>
          </w:p>
        </w:tc>
        <w:tc>
          <w:tcPr>
            <w:tcW w:w="1473" w:type="dxa"/>
            <w:tcBorders>
              <w:top w:val="nil"/>
              <w:bottom w:val="nil"/>
            </w:tcBorders>
          </w:tcPr>
          <w:p w:rsidR="00212513" w:rsidRDefault="00212513">
            <w:pPr>
              <w:pStyle w:val="ConsPlusNormal"/>
              <w:jc w:val="center"/>
            </w:pPr>
            <w:r>
              <w:t>1,4</w:t>
            </w:r>
            <w:r>
              <w:rPr>
                <w:i/>
              </w:rPr>
              <w:t>m</w:t>
            </w:r>
            <w:r>
              <w:rPr>
                <w:i/>
                <w:vertAlign w:val="subscript"/>
              </w:rPr>
              <w:t>f</w:t>
            </w:r>
          </w:p>
        </w:tc>
        <w:tc>
          <w:tcPr>
            <w:tcW w:w="1473" w:type="dxa"/>
            <w:tcBorders>
              <w:top w:val="nil"/>
              <w:bottom w:val="nil"/>
            </w:tcBorders>
          </w:tcPr>
          <w:p w:rsidR="00212513" w:rsidRDefault="00212513">
            <w:pPr>
              <w:pStyle w:val="ConsPlusNormal"/>
              <w:jc w:val="center"/>
            </w:pPr>
            <w:r>
              <w:t>1,6</w:t>
            </w:r>
            <w:r>
              <w:rPr>
                <w:i/>
              </w:rPr>
              <w:t>m</w:t>
            </w:r>
            <w:r>
              <w:rPr>
                <w:i/>
                <w:vertAlign w:val="subscript"/>
              </w:rPr>
              <w:t>f</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566"/>
            </w:pPr>
            <w:r>
              <w:t>непосредственно перекрытая часть сечения (2</w:t>
            </w:r>
            <w:r>
              <w:rPr>
                <w:i/>
              </w:rPr>
              <w:t>A</w:t>
            </w:r>
            <w:r>
              <w:rPr>
                <w:i/>
                <w:vertAlign w:val="subscript"/>
              </w:rPr>
              <w:t>v</w:t>
            </w:r>
            <w:r>
              <w:t xml:space="preserve">) составляет не менее, %: 60 общей площади сечения, в том числе при двусторонних накладках - 40 </w:t>
            </w:r>
            <w:hyperlink w:anchor="P16811">
              <w:r>
                <w:rPr>
                  <w:color w:val="0000FF"/>
                </w:rPr>
                <w:t>(рисунок Ц.4)</w:t>
              </w:r>
            </w:hyperlink>
          </w:p>
        </w:tc>
        <w:tc>
          <w:tcPr>
            <w:tcW w:w="1473" w:type="dxa"/>
            <w:tcBorders>
              <w:top w:val="nil"/>
              <w:bottom w:val="nil"/>
            </w:tcBorders>
          </w:tcPr>
          <w:p w:rsidR="00212513" w:rsidRDefault="00212513">
            <w:pPr>
              <w:pStyle w:val="ConsPlusNormal"/>
              <w:jc w:val="center"/>
            </w:pPr>
            <w:r>
              <w:t>1,5</w:t>
            </w:r>
            <w:r>
              <w:rPr>
                <w:i/>
              </w:rPr>
              <w:t>m</w:t>
            </w:r>
            <w:r>
              <w:rPr>
                <w:i/>
                <w:vertAlign w:val="subscript"/>
              </w:rPr>
              <w:t>f</w:t>
            </w:r>
          </w:p>
        </w:tc>
        <w:tc>
          <w:tcPr>
            <w:tcW w:w="1473" w:type="dxa"/>
            <w:tcBorders>
              <w:top w:val="nil"/>
              <w:bottom w:val="nil"/>
            </w:tcBorders>
          </w:tcPr>
          <w:p w:rsidR="00212513" w:rsidRDefault="00212513">
            <w:pPr>
              <w:pStyle w:val="ConsPlusNormal"/>
              <w:jc w:val="center"/>
            </w:pPr>
            <w:r>
              <w:t>1,7</w:t>
            </w:r>
            <w:r>
              <w:rPr>
                <w:i/>
              </w:rPr>
              <w:t>m</w:t>
            </w:r>
            <w:r>
              <w:rPr>
                <w:i/>
                <w:vertAlign w:val="subscript"/>
              </w:rPr>
              <w:t>f</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283"/>
            </w:pPr>
            <w:bookmarkStart w:id="555" w:name="P16570"/>
            <w:bookmarkEnd w:id="555"/>
            <w:r>
              <w:t>д) то же, в прикреплении к узлу или в стыке с односторонними накладками двухстенчатых элементов, у которых непосредственно перекрытая часть сечения (2</w:t>
            </w:r>
            <w:r>
              <w:rPr>
                <w:i/>
              </w:rPr>
              <w:t>A</w:t>
            </w:r>
            <w:r>
              <w:rPr>
                <w:i/>
                <w:vertAlign w:val="subscript"/>
              </w:rPr>
              <w:t>v</w:t>
            </w:r>
            <w:r>
              <w:t xml:space="preserve">) составляет </w:t>
            </w:r>
            <w:hyperlink w:anchor="P16820">
              <w:r>
                <w:rPr>
                  <w:color w:val="0000FF"/>
                </w:rPr>
                <w:t>(рисунок Ц.5)</w:t>
              </w:r>
            </w:hyperlink>
            <w:r>
              <w:t>, % общей площади сечения:</w:t>
            </w:r>
          </w:p>
        </w:tc>
        <w:tc>
          <w:tcPr>
            <w:tcW w:w="1473" w:type="dxa"/>
            <w:tcBorders>
              <w:top w:val="nil"/>
              <w:bottom w:val="nil"/>
            </w:tcBorders>
          </w:tcPr>
          <w:p w:rsidR="00212513" w:rsidRDefault="00212513">
            <w:pPr>
              <w:pStyle w:val="ConsPlusNormal"/>
              <w:jc w:val="both"/>
            </w:pPr>
          </w:p>
        </w:tc>
        <w:tc>
          <w:tcPr>
            <w:tcW w:w="1473"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566"/>
            </w:pPr>
            <w:r>
              <w:t>60 и более</w:t>
            </w:r>
          </w:p>
        </w:tc>
        <w:tc>
          <w:tcPr>
            <w:tcW w:w="1473" w:type="dxa"/>
            <w:tcBorders>
              <w:top w:val="nil"/>
              <w:bottom w:val="nil"/>
            </w:tcBorders>
          </w:tcPr>
          <w:p w:rsidR="00212513" w:rsidRDefault="00212513">
            <w:pPr>
              <w:pStyle w:val="ConsPlusNormal"/>
              <w:jc w:val="center"/>
            </w:pPr>
            <w:r>
              <w:t>1,6</w:t>
            </w:r>
            <w:r>
              <w:rPr>
                <w:i/>
              </w:rPr>
              <w:t>m</w:t>
            </w:r>
            <w:r>
              <w:rPr>
                <w:i/>
                <w:vertAlign w:val="subscript"/>
              </w:rPr>
              <w:t>f</w:t>
            </w:r>
          </w:p>
        </w:tc>
        <w:tc>
          <w:tcPr>
            <w:tcW w:w="1473" w:type="dxa"/>
            <w:tcBorders>
              <w:top w:val="nil"/>
              <w:bottom w:val="nil"/>
            </w:tcBorders>
          </w:tcPr>
          <w:p w:rsidR="00212513" w:rsidRDefault="00212513">
            <w:pPr>
              <w:pStyle w:val="ConsPlusNormal"/>
              <w:jc w:val="center"/>
            </w:pPr>
            <w:r>
              <w:t>1,8</w:t>
            </w:r>
            <w:r>
              <w:rPr>
                <w:i/>
              </w:rPr>
              <w:t>m</w:t>
            </w:r>
            <w:r>
              <w:rPr>
                <w:i/>
                <w:vertAlign w:val="subscript"/>
              </w:rPr>
              <w:t>f</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566"/>
            </w:pPr>
            <w:r>
              <w:t>менее 60</w:t>
            </w:r>
          </w:p>
        </w:tc>
        <w:tc>
          <w:tcPr>
            <w:tcW w:w="1473" w:type="dxa"/>
            <w:tcBorders>
              <w:top w:val="nil"/>
              <w:bottom w:val="nil"/>
            </w:tcBorders>
          </w:tcPr>
          <w:p w:rsidR="00212513" w:rsidRDefault="00212513">
            <w:pPr>
              <w:pStyle w:val="ConsPlusNormal"/>
              <w:jc w:val="center"/>
            </w:pPr>
            <w:r>
              <w:t>1,7</w:t>
            </w:r>
            <w:r>
              <w:rPr>
                <w:i/>
              </w:rPr>
              <w:t>m</w:t>
            </w:r>
            <w:r>
              <w:rPr>
                <w:i/>
                <w:vertAlign w:val="subscript"/>
              </w:rPr>
              <w:t>f</w:t>
            </w:r>
          </w:p>
        </w:tc>
        <w:tc>
          <w:tcPr>
            <w:tcW w:w="1473" w:type="dxa"/>
            <w:tcBorders>
              <w:top w:val="nil"/>
              <w:bottom w:val="nil"/>
            </w:tcBorders>
          </w:tcPr>
          <w:p w:rsidR="00212513" w:rsidRDefault="00212513">
            <w:pPr>
              <w:pStyle w:val="ConsPlusNormal"/>
              <w:jc w:val="center"/>
            </w:pPr>
            <w:r>
              <w:t>1,9</w:t>
            </w:r>
            <w:r>
              <w:rPr>
                <w:i/>
              </w:rPr>
              <w:t>m</w:t>
            </w:r>
            <w:r>
              <w:rPr>
                <w:i/>
                <w:vertAlign w:val="subscript"/>
              </w:rPr>
              <w:t>f</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283"/>
            </w:pPr>
            <w:bookmarkStart w:id="556" w:name="P16579"/>
            <w:bookmarkEnd w:id="556"/>
            <w:r>
              <w:t xml:space="preserve">е) то же, в прикреплении к узлу или в стыке с односторонними накладками одностенчатых элементов </w:t>
            </w:r>
            <w:hyperlink w:anchor="P16830">
              <w:r>
                <w:rPr>
                  <w:color w:val="0000FF"/>
                </w:rPr>
                <w:t>(рисунок Ц.6)</w:t>
              </w:r>
            </w:hyperlink>
          </w:p>
        </w:tc>
        <w:tc>
          <w:tcPr>
            <w:tcW w:w="1473" w:type="dxa"/>
            <w:tcBorders>
              <w:top w:val="nil"/>
              <w:bottom w:val="nil"/>
            </w:tcBorders>
          </w:tcPr>
          <w:p w:rsidR="00212513" w:rsidRDefault="00212513">
            <w:pPr>
              <w:pStyle w:val="ConsPlusNormal"/>
              <w:jc w:val="center"/>
            </w:pPr>
            <w:r>
              <w:t>2,2</w:t>
            </w:r>
            <w:r>
              <w:rPr>
                <w:i/>
              </w:rPr>
              <w:t>m</w:t>
            </w:r>
            <w:r>
              <w:rPr>
                <w:i/>
                <w:vertAlign w:val="subscript"/>
              </w:rPr>
              <w:t>f</w:t>
            </w:r>
          </w:p>
        </w:tc>
        <w:tc>
          <w:tcPr>
            <w:tcW w:w="1473" w:type="dxa"/>
            <w:tcBorders>
              <w:top w:val="nil"/>
              <w:bottom w:val="nil"/>
            </w:tcBorders>
          </w:tcPr>
          <w:p w:rsidR="00212513" w:rsidRDefault="00212513">
            <w:pPr>
              <w:pStyle w:val="ConsPlusNormal"/>
              <w:jc w:val="center"/>
            </w:pPr>
            <w:r>
              <w:t>2,5</w:t>
            </w:r>
            <w:r>
              <w:rPr>
                <w:i/>
              </w:rPr>
              <w:t>m</w:t>
            </w:r>
            <w:r>
              <w:rPr>
                <w:i/>
                <w:vertAlign w:val="subscript"/>
              </w:rPr>
              <w:t>f</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pPr>
            <w:r>
              <w:t>4 По основному металлу деталей в сечении по границе необработанного стыкового шва с усилением, имеющим плавный переход (при стыковании листов одинаковой толщины и ширины)</w:t>
            </w:r>
          </w:p>
        </w:tc>
        <w:tc>
          <w:tcPr>
            <w:tcW w:w="1473" w:type="dxa"/>
            <w:tcBorders>
              <w:top w:val="nil"/>
              <w:bottom w:val="nil"/>
            </w:tcBorders>
          </w:tcPr>
          <w:p w:rsidR="00212513" w:rsidRDefault="00212513">
            <w:pPr>
              <w:pStyle w:val="ConsPlusNormal"/>
              <w:jc w:val="center"/>
            </w:pPr>
            <w:r>
              <w:t>1,5</w:t>
            </w:r>
          </w:p>
        </w:tc>
        <w:tc>
          <w:tcPr>
            <w:tcW w:w="1473" w:type="dxa"/>
            <w:tcBorders>
              <w:top w:val="nil"/>
              <w:bottom w:val="nil"/>
            </w:tcBorders>
          </w:tcPr>
          <w:p w:rsidR="00212513" w:rsidRDefault="00212513">
            <w:pPr>
              <w:pStyle w:val="ConsPlusNormal"/>
              <w:jc w:val="center"/>
            </w:pPr>
            <w:r>
              <w:t>1,8</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pPr>
            <w:r>
              <w:t>5 По основному металлу деталей в сечении по зоне перехода к стыковому шву, обработанному в этом месте абразивным кругом или фрезой при стыковании листов:</w:t>
            </w:r>
          </w:p>
        </w:tc>
        <w:tc>
          <w:tcPr>
            <w:tcW w:w="1473" w:type="dxa"/>
            <w:tcBorders>
              <w:top w:val="nil"/>
              <w:bottom w:val="nil"/>
            </w:tcBorders>
          </w:tcPr>
          <w:p w:rsidR="00212513" w:rsidRDefault="00212513">
            <w:pPr>
              <w:pStyle w:val="ConsPlusNormal"/>
              <w:jc w:val="both"/>
            </w:pPr>
          </w:p>
        </w:tc>
        <w:tc>
          <w:tcPr>
            <w:tcW w:w="1473"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283"/>
            </w:pPr>
            <w:r>
              <w:t>а) одинаковой толщины и ширины</w:t>
            </w:r>
          </w:p>
        </w:tc>
        <w:tc>
          <w:tcPr>
            <w:tcW w:w="1473" w:type="dxa"/>
            <w:tcBorders>
              <w:top w:val="nil"/>
              <w:bottom w:val="nil"/>
            </w:tcBorders>
          </w:tcPr>
          <w:p w:rsidR="00212513" w:rsidRDefault="00212513">
            <w:pPr>
              <w:pStyle w:val="ConsPlusNormal"/>
              <w:jc w:val="center"/>
            </w:pPr>
            <w:r>
              <w:t>1,0</w:t>
            </w:r>
          </w:p>
        </w:tc>
        <w:tc>
          <w:tcPr>
            <w:tcW w:w="1473" w:type="dxa"/>
            <w:tcBorders>
              <w:top w:val="nil"/>
              <w:bottom w:val="nil"/>
            </w:tcBorders>
          </w:tcPr>
          <w:p w:rsidR="00212513" w:rsidRDefault="00212513">
            <w:pPr>
              <w:pStyle w:val="ConsPlusNormal"/>
              <w:jc w:val="center"/>
            </w:pPr>
            <w:r>
              <w:t>1,0</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283"/>
            </w:pPr>
            <w:r>
              <w:t>б) разной ширины в сечении по более узкому листу</w:t>
            </w:r>
          </w:p>
        </w:tc>
        <w:tc>
          <w:tcPr>
            <w:tcW w:w="1473" w:type="dxa"/>
            <w:tcBorders>
              <w:top w:val="nil"/>
              <w:bottom w:val="nil"/>
            </w:tcBorders>
          </w:tcPr>
          <w:p w:rsidR="00212513" w:rsidRDefault="00212513">
            <w:pPr>
              <w:pStyle w:val="ConsPlusNormal"/>
              <w:jc w:val="center"/>
            </w:pPr>
            <w:r>
              <w:t>1,2</w:t>
            </w:r>
          </w:p>
        </w:tc>
        <w:tc>
          <w:tcPr>
            <w:tcW w:w="1473" w:type="dxa"/>
            <w:tcBorders>
              <w:top w:val="nil"/>
              <w:bottom w:val="nil"/>
            </w:tcBorders>
          </w:tcPr>
          <w:p w:rsidR="00212513" w:rsidRDefault="00212513">
            <w:pPr>
              <w:pStyle w:val="ConsPlusNormal"/>
              <w:jc w:val="center"/>
            </w:pPr>
            <w:r>
              <w:t>1,4</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283"/>
            </w:pPr>
            <w:r>
              <w:t>в) разной толщины в сечении по более тонкому листу</w:t>
            </w:r>
          </w:p>
        </w:tc>
        <w:tc>
          <w:tcPr>
            <w:tcW w:w="1473" w:type="dxa"/>
            <w:tcBorders>
              <w:top w:val="nil"/>
              <w:bottom w:val="nil"/>
            </w:tcBorders>
          </w:tcPr>
          <w:p w:rsidR="00212513" w:rsidRDefault="00212513">
            <w:pPr>
              <w:pStyle w:val="ConsPlusNormal"/>
              <w:jc w:val="center"/>
            </w:pPr>
            <w:r>
              <w:t>1,3</w:t>
            </w:r>
          </w:p>
        </w:tc>
        <w:tc>
          <w:tcPr>
            <w:tcW w:w="1473" w:type="dxa"/>
            <w:tcBorders>
              <w:top w:val="nil"/>
              <w:bottom w:val="nil"/>
            </w:tcBorders>
          </w:tcPr>
          <w:p w:rsidR="00212513" w:rsidRDefault="00212513">
            <w:pPr>
              <w:pStyle w:val="ConsPlusNormal"/>
              <w:jc w:val="center"/>
            </w:pPr>
            <w:r>
              <w:t>1,5</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283"/>
            </w:pPr>
            <w:r>
              <w:t>г) разной толщины и ширины в сечении по листу с меньшей площадью</w:t>
            </w:r>
          </w:p>
        </w:tc>
        <w:tc>
          <w:tcPr>
            <w:tcW w:w="1473" w:type="dxa"/>
            <w:tcBorders>
              <w:top w:val="nil"/>
              <w:bottom w:val="nil"/>
            </w:tcBorders>
          </w:tcPr>
          <w:p w:rsidR="00212513" w:rsidRDefault="00212513">
            <w:pPr>
              <w:pStyle w:val="ConsPlusNormal"/>
              <w:jc w:val="center"/>
            </w:pPr>
            <w:r>
              <w:t>1,6</w:t>
            </w:r>
          </w:p>
        </w:tc>
        <w:tc>
          <w:tcPr>
            <w:tcW w:w="1473" w:type="dxa"/>
            <w:tcBorders>
              <w:top w:val="nil"/>
              <w:bottom w:val="nil"/>
            </w:tcBorders>
          </w:tcPr>
          <w:p w:rsidR="00212513" w:rsidRDefault="00212513">
            <w:pPr>
              <w:pStyle w:val="ConsPlusNormal"/>
              <w:jc w:val="center"/>
            </w:pPr>
            <w:r>
              <w:t>1,9</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pPr>
            <w:r>
              <w:t>6 По основному металлу элемента, прикрепляемого внахлестку, в сечении по границе лобового углового шва:</w:t>
            </w:r>
          </w:p>
        </w:tc>
        <w:tc>
          <w:tcPr>
            <w:tcW w:w="1473" w:type="dxa"/>
            <w:tcBorders>
              <w:top w:val="nil"/>
              <w:bottom w:val="nil"/>
            </w:tcBorders>
          </w:tcPr>
          <w:p w:rsidR="00212513" w:rsidRDefault="00212513">
            <w:pPr>
              <w:pStyle w:val="ConsPlusNormal"/>
              <w:jc w:val="both"/>
            </w:pPr>
          </w:p>
        </w:tc>
        <w:tc>
          <w:tcPr>
            <w:tcW w:w="1473"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283"/>
            </w:pPr>
            <w:r>
              <w:t xml:space="preserve">а) без механической обработки этого шва при отношении его катетов </w:t>
            </w:r>
            <w:r>
              <w:rPr>
                <w:i/>
              </w:rPr>
              <w:t>b : a</w:t>
            </w:r>
            <w:r>
              <w:t xml:space="preserve"> &gt;= 2 (при направлении большего катета </w:t>
            </w:r>
            <w:r>
              <w:rPr>
                <w:i/>
              </w:rPr>
              <w:t>b</w:t>
            </w:r>
            <w:r>
              <w:t xml:space="preserve"> вдоль усилия)</w:t>
            </w:r>
          </w:p>
        </w:tc>
        <w:tc>
          <w:tcPr>
            <w:tcW w:w="1473" w:type="dxa"/>
            <w:tcBorders>
              <w:top w:val="nil"/>
              <w:bottom w:val="nil"/>
            </w:tcBorders>
          </w:tcPr>
          <w:p w:rsidR="00212513" w:rsidRDefault="00212513">
            <w:pPr>
              <w:pStyle w:val="ConsPlusNormal"/>
              <w:jc w:val="center"/>
            </w:pPr>
            <w:r>
              <w:t>2,3</w:t>
            </w:r>
          </w:p>
        </w:tc>
        <w:tc>
          <w:tcPr>
            <w:tcW w:w="1473" w:type="dxa"/>
            <w:tcBorders>
              <w:top w:val="nil"/>
              <w:bottom w:val="nil"/>
            </w:tcBorders>
          </w:tcPr>
          <w:p w:rsidR="00212513" w:rsidRDefault="00212513">
            <w:pPr>
              <w:pStyle w:val="ConsPlusNormal"/>
              <w:jc w:val="center"/>
            </w:pPr>
            <w:r>
              <w:t>3,2</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283"/>
            </w:pPr>
            <w:r>
              <w:lastRenderedPageBreak/>
              <w:t xml:space="preserve">б) то же, при отношении катетов </w:t>
            </w:r>
            <w:r>
              <w:rPr>
                <w:i/>
              </w:rPr>
              <w:t>b : a</w:t>
            </w:r>
            <w:r>
              <w:t xml:space="preserve"> = 1,5</w:t>
            </w:r>
          </w:p>
        </w:tc>
        <w:tc>
          <w:tcPr>
            <w:tcW w:w="1473" w:type="dxa"/>
            <w:tcBorders>
              <w:top w:val="nil"/>
              <w:bottom w:val="nil"/>
            </w:tcBorders>
          </w:tcPr>
          <w:p w:rsidR="00212513" w:rsidRDefault="00212513">
            <w:pPr>
              <w:pStyle w:val="ConsPlusNormal"/>
              <w:jc w:val="center"/>
            </w:pPr>
            <w:r>
              <w:t>2,7</w:t>
            </w:r>
          </w:p>
        </w:tc>
        <w:tc>
          <w:tcPr>
            <w:tcW w:w="1473" w:type="dxa"/>
            <w:tcBorders>
              <w:top w:val="nil"/>
              <w:bottom w:val="nil"/>
            </w:tcBorders>
          </w:tcPr>
          <w:p w:rsidR="00212513" w:rsidRDefault="00212513">
            <w:pPr>
              <w:pStyle w:val="ConsPlusNormal"/>
              <w:jc w:val="center"/>
            </w:pPr>
            <w:r>
              <w:t>3,7</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283"/>
            </w:pPr>
            <w:r>
              <w:t xml:space="preserve">в) при механической обработке этого шва и отношении катетов </w:t>
            </w:r>
            <w:r>
              <w:rPr>
                <w:i/>
              </w:rPr>
              <w:t>b : a</w:t>
            </w:r>
            <w:r>
              <w:t xml:space="preserve"> &gt;= 2</w:t>
            </w:r>
          </w:p>
        </w:tc>
        <w:tc>
          <w:tcPr>
            <w:tcW w:w="1473" w:type="dxa"/>
            <w:tcBorders>
              <w:top w:val="nil"/>
              <w:bottom w:val="nil"/>
            </w:tcBorders>
          </w:tcPr>
          <w:p w:rsidR="00212513" w:rsidRDefault="00212513">
            <w:pPr>
              <w:pStyle w:val="ConsPlusNormal"/>
              <w:jc w:val="center"/>
            </w:pPr>
            <w:r>
              <w:t>1,2</w:t>
            </w:r>
          </w:p>
        </w:tc>
        <w:tc>
          <w:tcPr>
            <w:tcW w:w="1473" w:type="dxa"/>
            <w:tcBorders>
              <w:top w:val="nil"/>
              <w:bottom w:val="nil"/>
            </w:tcBorders>
          </w:tcPr>
          <w:p w:rsidR="00212513" w:rsidRDefault="00212513">
            <w:pPr>
              <w:pStyle w:val="ConsPlusNormal"/>
              <w:jc w:val="center"/>
            </w:pPr>
            <w:r>
              <w:t>1,4</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283"/>
            </w:pPr>
            <w:r>
              <w:t xml:space="preserve">г) то же, при отношении катетов </w:t>
            </w:r>
            <w:r>
              <w:rPr>
                <w:i/>
              </w:rPr>
              <w:t>b : a</w:t>
            </w:r>
            <w:r>
              <w:t xml:space="preserve"> = 1,5</w:t>
            </w:r>
          </w:p>
        </w:tc>
        <w:tc>
          <w:tcPr>
            <w:tcW w:w="1473" w:type="dxa"/>
            <w:tcBorders>
              <w:top w:val="nil"/>
              <w:bottom w:val="nil"/>
            </w:tcBorders>
          </w:tcPr>
          <w:p w:rsidR="00212513" w:rsidRDefault="00212513">
            <w:pPr>
              <w:pStyle w:val="ConsPlusNormal"/>
              <w:jc w:val="center"/>
            </w:pPr>
            <w:r>
              <w:t>1,6</w:t>
            </w:r>
          </w:p>
        </w:tc>
        <w:tc>
          <w:tcPr>
            <w:tcW w:w="1473" w:type="dxa"/>
            <w:tcBorders>
              <w:top w:val="nil"/>
              <w:bottom w:val="nil"/>
            </w:tcBorders>
          </w:tcPr>
          <w:p w:rsidR="00212513" w:rsidRDefault="00212513">
            <w:pPr>
              <w:pStyle w:val="ConsPlusNormal"/>
              <w:jc w:val="center"/>
            </w:pPr>
            <w:r>
              <w:t>1,9</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pPr>
            <w:r>
              <w:t>7 По основному металлу элемента, прикрепляемого внахлестку фланговыми угловыми швами, в сечениях по концам этих швов независимо от их обработки</w:t>
            </w:r>
          </w:p>
        </w:tc>
        <w:tc>
          <w:tcPr>
            <w:tcW w:w="1473" w:type="dxa"/>
            <w:tcBorders>
              <w:top w:val="nil"/>
              <w:bottom w:val="nil"/>
            </w:tcBorders>
          </w:tcPr>
          <w:p w:rsidR="00212513" w:rsidRDefault="00212513">
            <w:pPr>
              <w:pStyle w:val="ConsPlusNormal"/>
              <w:jc w:val="center"/>
            </w:pPr>
            <w:r>
              <w:t>3,4</w:t>
            </w:r>
          </w:p>
        </w:tc>
        <w:tc>
          <w:tcPr>
            <w:tcW w:w="1473" w:type="dxa"/>
            <w:tcBorders>
              <w:top w:val="nil"/>
              <w:bottom w:val="nil"/>
            </w:tcBorders>
          </w:tcPr>
          <w:p w:rsidR="00212513" w:rsidRDefault="00212513">
            <w:pPr>
              <w:pStyle w:val="ConsPlusNormal"/>
              <w:jc w:val="center"/>
            </w:pPr>
            <w:r>
              <w:t>4,4</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pPr>
            <w:r>
              <w:t>8 По основному металлу растянутых поясов балок и элементов ферм в сечении по границе поперечного углового шва, прикрепляющего диафрагму или ребро жесткости:</w:t>
            </w:r>
          </w:p>
        </w:tc>
        <w:tc>
          <w:tcPr>
            <w:tcW w:w="1473" w:type="dxa"/>
            <w:tcBorders>
              <w:top w:val="nil"/>
              <w:bottom w:val="nil"/>
            </w:tcBorders>
          </w:tcPr>
          <w:p w:rsidR="00212513" w:rsidRDefault="00212513">
            <w:pPr>
              <w:pStyle w:val="ConsPlusNormal"/>
              <w:jc w:val="both"/>
            </w:pPr>
          </w:p>
        </w:tc>
        <w:tc>
          <w:tcPr>
            <w:tcW w:w="1473"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283"/>
            </w:pPr>
            <w:r>
              <w:t>а) без механической обработки шва, но при наличии плавного перехода от шва к основному металлу при сварке:</w:t>
            </w:r>
          </w:p>
        </w:tc>
        <w:tc>
          <w:tcPr>
            <w:tcW w:w="1473" w:type="dxa"/>
            <w:tcBorders>
              <w:top w:val="nil"/>
              <w:bottom w:val="nil"/>
            </w:tcBorders>
          </w:tcPr>
          <w:p w:rsidR="00212513" w:rsidRDefault="00212513">
            <w:pPr>
              <w:pStyle w:val="ConsPlusNormal"/>
              <w:jc w:val="both"/>
            </w:pPr>
          </w:p>
        </w:tc>
        <w:tc>
          <w:tcPr>
            <w:tcW w:w="1473"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566"/>
            </w:pPr>
            <w:r>
              <w:t>ручной</w:t>
            </w:r>
          </w:p>
        </w:tc>
        <w:tc>
          <w:tcPr>
            <w:tcW w:w="1473" w:type="dxa"/>
            <w:tcBorders>
              <w:top w:val="nil"/>
              <w:bottom w:val="nil"/>
            </w:tcBorders>
          </w:tcPr>
          <w:p w:rsidR="00212513" w:rsidRDefault="00212513">
            <w:pPr>
              <w:pStyle w:val="ConsPlusNormal"/>
              <w:jc w:val="center"/>
            </w:pPr>
            <w:r>
              <w:t>1,6</w:t>
            </w:r>
          </w:p>
        </w:tc>
        <w:tc>
          <w:tcPr>
            <w:tcW w:w="1473" w:type="dxa"/>
            <w:tcBorders>
              <w:top w:val="nil"/>
              <w:bottom w:val="nil"/>
            </w:tcBorders>
          </w:tcPr>
          <w:p w:rsidR="00212513" w:rsidRDefault="00212513">
            <w:pPr>
              <w:pStyle w:val="ConsPlusNormal"/>
              <w:jc w:val="center"/>
            </w:pPr>
            <w:r>
              <w:t>1,8</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566"/>
            </w:pPr>
            <w:r>
              <w:t>полуавтоматической под флюсом</w:t>
            </w:r>
          </w:p>
        </w:tc>
        <w:tc>
          <w:tcPr>
            <w:tcW w:w="1473" w:type="dxa"/>
            <w:tcBorders>
              <w:top w:val="nil"/>
              <w:bottom w:val="nil"/>
            </w:tcBorders>
          </w:tcPr>
          <w:p w:rsidR="00212513" w:rsidRDefault="00212513">
            <w:pPr>
              <w:pStyle w:val="ConsPlusNormal"/>
              <w:jc w:val="center"/>
            </w:pPr>
            <w:r>
              <w:t>1,3</w:t>
            </w:r>
          </w:p>
        </w:tc>
        <w:tc>
          <w:tcPr>
            <w:tcW w:w="1473" w:type="dxa"/>
            <w:tcBorders>
              <w:top w:val="nil"/>
              <w:bottom w:val="nil"/>
            </w:tcBorders>
          </w:tcPr>
          <w:p w:rsidR="00212513" w:rsidRDefault="00212513">
            <w:pPr>
              <w:pStyle w:val="ConsPlusNormal"/>
              <w:jc w:val="center"/>
            </w:pPr>
            <w:r>
              <w:t>1,5</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283"/>
            </w:pPr>
            <w:r>
              <w:t>б) при механической обработке шва фрезой</w:t>
            </w:r>
          </w:p>
        </w:tc>
        <w:tc>
          <w:tcPr>
            <w:tcW w:w="1473" w:type="dxa"/>
            <w:tcBorders>
              <w:top w:val="nil"/>
              <w:bottom w:val="nil"/>
            </w:tcBorders>
          </w:tcPr>
          <w:p w:rsidR="00212513" w:rsidRDefault="00212513">
            <w:pPr>
              <w:pStyle w:val="ConsPlusNormal"/>
              <w:jc w:val="center"/>
            </w:pPr>
            <w:r>
              <w:t>1,0</w:t>
            </w:r>
          </w:p>
        </w:tc>
        <w:tc>
          <w:tcPr>
            <w:tcW w:w="1473" w:type="dxa"/>
            <w:tcBorders>
              <w:top w:val="nil"/>
              <w:bottom w:val="nil"/>
            </w:tcBorders>
          </w:tcPr>
          <w:p w:rsidR="00212513" w:rsidRDefault="00212513">
            <w:pPr>
              <w:pStyle w:val="ConsPlusNormal"/>
              <w:jc w:val="center"/>
            </w:pPr>
            <w:r>
              <w:t>1,1</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pPr>
            <w:r>
              <w:t>9 Сечения составных элементов из листов, соединенных непрерывными продольными швами, сваренными автоматом, при действии усилия вдоль оси шва</w:t>
            </w:r>
          </w:p>
        </w:tc>
        <w:tc>
          <w:tcPr>
            <w:tcW w:w="1473" w:type="dxa"/>
            <w:tcBorders>
              <w:top w:val="nil"/>
              <w:bottom w:val="nil"/>
            </w:tcBorders>
          </w:tcPr>
          <w:p w:rsidR="00212513" w:rsidRDefault="00212513">
            <w:pPr>
              <w:pStyle w:val="ConsPlusNormal"/>
              <w:jc w:val="center"/>
            </w:pPr>
            <w:r>
              <w:t>1,0</w:t>
            </w:r>
          </w:p>
        </w:tc>
        <w:tc>
          <w:tcPr>
            <w:tcW w:w="1473" w:type="dxa"/>
            <w:tcBorders>
              <w:top w:val="nil"/>
              <w:bottom w:val="nil"/>
            </w:tcBorders>
          </w:tcPr>
          <w:p w:rsidR="00212513" w:rsidRDefault="00212513">
            <w:pPr>
              <w:pStyle w:val="ConsPlusNormal"/>
              <w:jc w:val="center"/>
            </w:pPr>
            <w:r>
              <w:t>1,0</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pPr>
            <w:r>
              <w:t>10 По основному металлу элементов в местах, где обрываются детали:</w:t>
            </w:r>
          </w:p>
        </w:tc>
        <w:tc>
          <w:tcPr>
            <w:tcW w:w="1473" w:type="dxa"/>
            <w:tcBorders>
              <w:top w:val="nil"/>
              <w:bottom w:val="nil"/>
            </w:tcBorders>
          </w:tcPr>
          <w:p w:rsidR="00212513" w:rsidRDefault="00212513">
            <w:pPr>
              <w:pStyle w:val="ConsPlusNormal"/>
              <w:jc w:val="both"/>
            </w:pPr>
          </w:p>
        </w:tc>
        <w:tc>
          <w:tcPr>
            <w:tcW w:w="1473"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283"/>
            </w:pPr>
            <w:r>
              <w:t>а) фасонки, привариваемые встык к кромкам поясов балок и ферм или втавр к стенкам и поясам балок, а также к элементам ферм, при плавной криволинейной форме и механической обработке перехода от фасонки к поясу, при полном проплавлении толщины фасонки</w:t>
            </w:r>
          </w:p>
        </w:tc>
        <w:tc>
          <w:tcPr>
            <w:tcW w:w="1473" w:type="dxa"/>
            <w:tcBorders>
              <w:top w:val="nil"/>
              <w:bottom w:val="nil"/>
            </w:tcBorders>
          </w:tcPr>
          <w:p w:rsidR="00212513" w:rsidRDefault="00212513">
            <w:pPr>
              <w:pStyle w:val="ConsPlusNormal"/>
              <w:jc w:val="center"/>
            </w:pPr>
            <w:r>
              <w:t>1,2</w:t>
            </w:r>
          </w:p>
        </w:tc>
        <w:tc>
          <w:tcPr>
            <w:tcW w:w="1473" w:type="dxa"/>
            <w:tcBorders>
              <w:top w:val="nil"/>
              <w:bottom w:val="nil"/>
            </w:tcBorders>
          </w:tcPr>
          <w:p w:rsidR="00212513" w:rsidRDefault="00212513">
            <w:pPr>
              <w:pStyle w:val="ConsPlusNormal"/>
              <w:jc w:val="center"/>
            </w:pPr>
            <w:r>
              <w:t>1,4</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283"/>
            </w:pPr>
            <w:r>
              <w:t>б) оба пояса на стенке двутаврового сечения при условии постепенного уменьшения к месту обрыва ширины и толщины пояса, присоединения стенки к поясам на концевом участке с полным проплавлением и механической обработкой перехода поясов к стенке</w:t>
            </w:r>
          </w:p>
        </w:tc>
        <w:tc>
          <w:tcPr>
            <w:tcW w:w="1473" w:type="dxa"/>
            <w:tcBorders>
              <w:top w:val="nil"/>
              <w:bottom w:val="nil"/>
            </w:tcBorders>
          </w:tcPr>
          <w:p w:rsidR="00212513" w:rsidRDefault="00212513">
            <w:pPr>
              <w:pStyle w:val="ConsPlusNormal"/>
              <w:jc w:val="center"/>
            </w:pPr>
            <w:r>
              <w:t>1,3</w:t>
            </w:r>
          </w:p>
        </w:tc>
        <w:tc>
          <w:tcPr>
            <w:tcW w:w="1473" w:type="dxa"/>
            <w:tcBorders>
              <w:top w:val="nil"/>
              <w:bottom w:val="nil"/>
            </w:tcBorders>
          </w:tcPr>
          <w:p w:rsidR="00212513" w:rsidRDefault="00212513">
            <w:pPr>
              <w:pStyle w:val="ConsPlusNormal"/>
              <w:jc w:val="center"/>
            </w:pPr>
            <w:r>
              <w:t>1,6</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283"/>
            </w:pPr>
            <w:r>
              <w:t>в) один лист пакета пояса сварной балки при уменьшении к месту обрыва толщины с уклоном не круче 1:8 и ширины листа со сведением ее на нет, с уклоном не круче 1:4 и с механической обработкой концов швов</w:t>
            </w:r>
          </w:p>
        </w:tc>
        <w:tc>
          <w:tcPr>
            <w:tcW w:w="1473" w:type="dxa"/>
            <w:tcBorders>
              <w:top w:val="nil"/>
              <w:bottom w:val="nil"/>
            </w:tcBorders>
          </w:tcPr>
          <w:p w:rsidR="00212513" w:rsidRDefault="00212513">
            <w:pPr>
              <w:pStyle w:val="ConsPlusNormal"/>
              <w:jc w:val="center"/>
            </w:pPr>
            <w:r>
              <w:t>1,2</w:t>
            </w:r>
          </w:p>
        </w:tc>
        <w:tc>
          <w:tcPr>
            <w:tcW w:w="1473" w:type="dxa"/>
            <w:tcBorders>
              <w:top w:val="nil"/>
              <w:bottom w:val="nil"/>
            </w:tcBorders>
          </w:tcPr>
          <w:p w:rsidR="00212513" w:rsidRDefault="00212513">
            <w:pPr>
              <w:pStyle w:val="ConsPlusNormal"/>
              <w:jc w:val="center"/>
            </w:pPr>
            <w:r>
              <w:t>1,4</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283"/>
            </w:pPr>
            <w:r>
              <w:t>г) накладная деталь для усиления ослабленного отверстиями сечения элемента (компенсатор ослабления) при симметричном уменьшении ее ширины со сведением на нет, с уклоном не круче 1:1 и с механической обработкой концов швов</w:t>
            </w:r>
          </w:p>
        </w:tc>
        <w:tc>
          <w:tcPr>
            <w:tcW w:w="1473" w:type="dxa"/>
            <w:tcBorders>
              <w:top w:val="nil"/>
              <w:bottom w:val="nil"/>
            </w:tcBorders>
          </w:tcPr>
          <w:p w:rsidR="00212513" w:rsidRDefault="00212513">
            <w:pPr>
              <w:pStyle w:val="ConsPlusNormal"/>
              <w:jc w:val="center"/>
            </w:pPr>
            <w:r>
              <w:t>1,2</w:t>
            </w:r>
          </w:p>
        </w:tc>
        <w:tc>
          <w:tcPr>
            <w:tcW w:w="1473" w:type="dxa"/>
            <w:tcBorders>
              <w:top w:val="nil"/>
              <w:bottom w:val="nil"/>
            </w:tcBorders>
          </w:tcPr>
          <w:p w:rsidR="00212513" w:rsidRDefault="00212513">
            <w:pPr>
              <w:pStyle w:val="ConsPlusNormal"/>
              <w:jc w:val="center"/>
            </w:pPr>
            <w:r>
              <w:t>1,4</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pPr>
            <w:r>
              <w:t>11 По основному металлу элементов проезжей части в сечениях по крайнему ряду высокопрочных болтов в прикреплении:</w:t>
            </w:r>
          </w:p>
        </w:tc>
        <w:tc>
          <w:tcPr>
            <w:tcW w:w="1473" w:type="dxa"/>
            <w:tcBorders>
              <w:top w:val="nil"/>
              <w:bottom w:val="nil"/>
            </w:tcBorders>
          </w:tcPr>
          <w:p w:rsidR="00212513" w:rsidRDefault="00212513">
            <w:pPr>
              <w:pStyle w:val="ConsPlusNormal"/>
              <w:jc w:val="both"/>
            </w:pPr>
          </w:p>
        </w:tc>
        <w:tc>
          <w:tcPr>
            <w:tcW w:w="1473"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283"/>
            </w:pPr>
            <w:r>
              <w:lastRenderedPageBreak/>
              <w:t>а) диагонали продольных связей к нижнему поясу продольной балки, а также "рыбки" к нижнему поясу поперечной балки</w:t>
            </w:r>
          </w:p>
        </w:tc>
        <w:tc>
          <w:tcPr>
            <w:tcW w:w="1473" w:type="dxa"/>
            <w:tcBorders>
              <w:top w:val="nil"/>
              <w:bottom w:val="nil"/>
            </w:tcBorders>
          </w:tcPr>
          <w:p w:rsidR="00212513" w:rsidRDefault="00212513">
            <w:pPr>
              <w:pStyle w:val="ConsPlusNormal"/>
              <w:jc w:val="center"/>
            </w:pPr>
            <w:r>
              <w:t>1,1</w:t>
            </w:r>
          </w:p>
        </w:tc>
        <w:tc>
          <w:tcPr>
            <w:tcW w:w="1473" w:type="dxa"/>
            <w:tcBorders>
              <w:top w:val="nil"/>
              <w:bottom w:val="nil"/>
            </w:tcBorders>
          </w:tcPr>
          <w:p w:rsidR="00212513" w:rsidRDefault="00212513">
            <w:pPr>
              <w:pStyle w:val="ConsPlusNormal"/>
              <w:jc w:val="center"/>
            </w:pPr>
            <w:r>
              <w:t>1,3</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283"/>
            </w:pPr>
            <w:r>
              <w:t>б) фасонки горизонтальной диафрагмы к нижнему поясу продольной балки</w:t>
            </w:r>
          </w:p>
        </w:tc>
        <w:tc>
          <w:tcPr>
            <w:tcW w:w="1473" w:type="dxa"/>
            <w:tcBorders>
              <w:top w:val="nil"/>
              <w:bottom w:val="nil"/>
            </w:tcBorders>
          </w:tcPr>
          <w:p w:rsidR="00212513" w:rsidRDefault="00212513">
            <w:pPr>
              <w:pStyle w:val="ConsPlusNormal"/>
              <w:jc w:val="center"/>
            </w:pPr>
            <w:r>
              <w:t>1,3</w:t>
            </w:r>
          </w:p>
        </w:tc>
        <w:tc>
          <w:tcPr>
            <w:tcW w:w="1473" w:type="dxa"/>
            <w:tcBorders>
              <w:top w:val="nil"/>
              <w:bottom w:val="nil"/>
            </w:tcBorders>
          </w:tcPr>
          <w:p w:rsidR="00212513" w:rsidRDefault="00212513">
            <w:pPr>
              <w:pStyle w:val="ConsPlusNormal"/>
              <w:jc w:val="center"/>
            </w:pPr>
            <w:r>
              <w:t>1,5</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283"/>
            </w:pPr>
            <w:r>
              <w:t>в) "рыбки" к верхнему поясу продольной балки</w:t>
            </w:r>
          </w:p>
        </w:tc>
        <w:tc>
          <w:tcPr>
            <w:tcW w:w="1473" w:type="dxa"/>
            <w:tcBorders>
              <w:top w:val="nil"/>
              <w:bottom w:val="nil"/>
            </w:tcBorders>
          </w:tcPr>
          <w:p w:rsidR="00212513" w:rsidRDefault="00212513">
            <w:pPr>
              <w:pStyle w:val="ConsPlusNormal"/>
              <w:jc w:val="center"/>
            </w:pPr>
            <w:r>
              <w:t>1,6</w:t>
            </w:r>
          </w:p>
        </w:tc>
        <w:tc>
          <w:tcPr>
            <w:tcW w:w="1473" w:type="dxa"/>
            <w:tcBorders>
              <w:top w:val="nil"/>
              <w:bottom w:val="nil"/>
            </w:tcBorders>
          </w:tcPr>
          <w:p w:rsidR="00212513" w:rsidRDefault="00212513">
            <w:pPr>
              <w:pStyle w:val="ConsPlusNormal"/>
              <w:jc w:val="center"/>
            </w:pPr>
            <w:r>
              <w:t>1,8</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pPr>
            <w:r>
              <w:t>12 По оси стыкового шва с полным проплавлением корня шва:</w:t>
            </w:r>
          </w:p>
        </w:tc>
        <w:tc>
          <w:tcPr>
            <w:tcW w:w="1473" w:type="dxa"/>
            <w:tcBorders>
              <w:top w:val="nil"/>
              <w:bottom w:val="nil"/>
            </w:tcBorders>
          </w:tcPr>
          <w:p w:rsidR="00212513" w:rsidRDefault="00212513">
            <w:pPr>
              <w:pStyle w:val="ConsPlusNormal"/>
              <w:jc w:val="both"/>
            </w:pPr>
          </w:p>
        </w:tc>
        <w:tc>
          <w:tcPr>
            <w:tcW w:w="1473"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283"/>
            </w:pPr>
            <w:r>
              <w:t>а) при автоматической и полуавтоматической сварке под флюсом и ручной сварке, с контролем с помощью ультразвуковой дефектоскопии (УЗД)</w:t>
            </w:r>
          </w:p>
        </w:tc>
        <w:tc>
          <w:tcPr>
            <w:tcW w:w="1473" w:type="dxa"/>
            <w:tcBorders>
              <w:top w:val="nil"/>
              <w:bottom w:val="nil"/>
            </w:tcBorders>
          </w:tcPr>
          <w:p w:rsidR="00212513" w:rsidRDefault="00212513">
            <w:pPr>
              <w:pStyle w:val="ConsPlusNormal"/>
              <w:jc w:val="center"/>
            </w:pPr>
            <w:r>
              <w:t>1,0</w:t>
            </w:r>
          </w:p>
        </w:tc>
        <w:tc>
          <w:tcPr>
            <w:tcW w:w="1473" w:type="dxa"/>
            <w:tcBorders>
              <w:top w:val="nil"/>
              <w:bottom w:val="nil"/>
            </w:tcBorders>
          </w:tcPr>
          <w:p w:rsidR="00212513" w:rsidRDefault="00212513">
            <w:pPr>
              <w:pStyle w:val="ConsPlusNormal"/>
              <w:jc w:val="center"/>
            </w:pPr>
            <w:r>
              <w:t>1,2</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283"/>
            </w:pPr>
            <w:r>
              <w:t>б) то же, без контроля УЗД</w:t>
            </w:r>
          </w:p>
        </w:tc>
        <w:tc>
          <w:tcPr>
            <w:tcW w:w="1473" w:type="dxa"/>
            <w:tcBorders>
              <w:top w:val="nil"/>
              <w:bottom w:val="nil"/>
            </w:tcBorders>
          </w:tcPr>
          <w:p w:rsidR="00212513" w:rsidRDefault="00212513">
            <w:pPr>
              <w:pStyle w:val="ConsPlusNormal"/>
              <w:jc w:val="center"/>
            </w:pPr>
            <w:r>
              <w:t>1,2</w:t>
            </w:r>
          </w:p>
        </w:tc>
        <w:tc>
          <w:tcPr>
            <w:tcW w:w="1473" w:type="dxa"/>
            <w:tcBorders>
              <w:top w:val="nil"/>
              <w:bottom w:val="nil"/>
            </w:tcBorders>
          </w:tcPr>
          <w:p w:rsidR="00212513" w:rsidRDefault="00212513">
            <w:pPr>
              <w:pStyle w:val="ConsPlusNormal"/>
              <w:jc w:val="center"/>
            </w:pPr>
            <w:r>
              <w:t>1,4</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pPr>
            <w:r>
              <w:t>13 По расчетному сечению углового шва:</w:t>
            </w:r>
          </w:p>
        </w:tc>
        <w:tc>
          <w:tcPr>
            <w:tcW w:w="1473" w:type="dxa"/>
            <w:tcBorders>
              <w:top w:val="nil"/>
              <w:bottom w:val="nil"/>
            </w:tcBorders>
          </w:tcPr>
          <w:p w:rsidR="00212513" w:rsidRDefault="00212513">
            <w:pPr>
              <w:pStyle w:val="ConsPlusNormal"/>
              <w:jc w:val="both"/>
            </w:pPr>
          </w:p>
        </w:tc>
        <w:tc>
          <w:tcPr>
            <w:tcW w:w="1473"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283"/>
            </w:pPr>
            <w:r>
              <w:t>а) лобового шва, выполненного сваркой:</w:t>
            </w:r>
          </w:p>
        </w:tc>
        <w:tc>
          <w:tcPr>
            <w:tcW w:w="1473" w:type="dxa"/>
            <w:tcBorders>
              <w:top w:val="nil"/>
              <w:bottom w:val="nil"/>
            </w:tcBorders>
          </w:tcPr>
          <w:p w:rsidR="00212513" w:rsidRDefault="00212513">
            <w:pPr>
              <w:pStyle w:val="ConsPlusNormal"/>
              <w:jc w:val="both"/>
            </w:pPr>
          </w:p>
        </w:tc>
        <w:tc>
          <w:tcPr>
            <w:tcW w:w="1473"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566"/>
            </w:pPr>
            <w:r>
              <w:t>ручной</w:t>
            </w:r>
          </w:p>
        </w:tc>
        <w:tc>
          <w:tcPr>
            <w:tcW w:w="1473" w:type="dxa"/>
            <w:tcBorders>
              <w:top w:val="nil"/>
              <w:bottom w:val="nil"/>
            </w:tcBorders>
          </w:tcPr>
          <w:p w:rsidR="00212513" w:rsidRDefault="00212513">
            <w:pPr>
              <w:pStyle w:val="ConsPlusNormal"/>
              <w:jc w:val="center"/>
            </w:pPr>
            <w:r>
              <w:t>2,3</w:t>
            </w:r>
          </w:p>
        </w:tc>
        <w:tc>
          <w:tcPr>
            <w:tcW w:w="1473" w:type="dxa"/>
            <w:tcBorders>
              <w:top w:val="nil"/>
              <w:bottom w:val="nil"/>
            </w:tcBorders>
          </w:tcPr>
          <w:p w:rsidR="00212513" w:rsidRDefault="00212513">
            <w:pPr>
              <w:pStyle w:val="ConsPlusNormal"/>
              <w:jc w:val="center"/>
            </w:pPr>
            <w:r>
              <w:t>3,2</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566"/>
            </w:pPr>
            <w:r>
              <w:t>автоматической и полуавтоматической под флюсом</w:t>
            </w:r>
          </w:p>
        </w:tc>
        <w:tc>
          <w:tcPr>
            <w:tcW w:w="1473" w:type="dxa"/>
            <w:tcBorders>
              <w:top w:val="nil"/>
              <w:bottom w:val="nil"/>
            </w:tcBorders>
          </w:tcPr>
          <w:p w:rsidR="00212513" w:rsidRDefault="00212513">
            <w:pPr>
              <w:pStyle w:val="ConsPlusNormal"/>
              <w:jc w:val="center"/>
            </w:pPr>
            <w:r>
              <w:t>1,9</w:t>
            </w:r>
          </w:p>
        </w:tc>
        <w:tc>
          <w:tcPr>
            <w:tcW w:w="1473" w:type="dxa"/>
            <w:tcBorders>
              <w:top w:val="nil"/>
              <w:bottom w:val="nil"/>
            </w:tcBorders>
          </w:tcPr>
          <w:p w:rsidR="00212513" w:rsidRDefault="00212513">
            <w:pPr>
              <w:pStyle w:val="ConsPlusNormal"/>
              <w:jc w:val="center"/>
            </w:pPr>
            <w:r>
              <w:t>2,4</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283"/>
            </w:pPr>
            <w:r>
              <w:t>б) флангового шва</w:t>
            </w:r>
          </w:p>
        </w:tc>
        <w:tc>
          <w:tcPr>
            <w:tcW w:w="1473" w:type="dxa"/>
            <w:tcBorders>
              <w:top w:val="nil"/>
              <w:bottom w:val="nil"/>
            </w:tcBorders>
          </w:tcPr>
          <w:p w:rsidR="00212513" w:rsidRDefault="00212513">
            <w:pPr>
              <w:pStyle w:val="ConsPlusNormal"/>
              <w:jc w:val="center"/>
            </w:pPr>
            <w:r>
              <w:t>3,4</w:t>
            </w:r>
          </w:p>
        </w:tc>
        <w:tc>
          <w:tcPr>
            <w:tcW w:w="1473" w:type="dxa"/>
            <w:tcBorders>
              <w:top w:val="nil"/>
              <w:bottom w:val="nil"/>
            </w:tcBorders>
          </w:tcPr>
          <w:p w:rsidR="00212513" w:rsidRDefault="00212513">
            <w:pPr>
              <w:pStyle w:val="ConsPlusNormal"/>
              <w:jc w:val="center"/>
            </w:pPr>
            <w:r>
              <w:t>4,4</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283"/>
            </w:pPr>
            <w:r>
              <w:t>в) продольного соединительного шва составного элемента на участке его прикрепления к узлу при непосредственном перекрытии стыковыми накладками или узловыми фасонками лишь части сечения</w:t>
            </w:r>
          </w:p>
        </w:tc>
        <w:tc>
          <w:tcPr>
            <w:tcW w:w="1473" w:type="dxa"/>
            <w:tcBorders>
              <w:top w:val="nil"/>
              <w:bottom w:val="nil"/>
            </w:tcBorders>
          </w:tcPr>
          <w:p w:rsidR="00212513" w:rsidRDefault="00212513">
            <w:pPr>
              <w:pStyle w:val="ConsPlusNormal"/>
              <w:jc w:val="center"/>
            </w:pPr>
            <w:r>
              <w:t>1,5</w:t>
            </w:r>
          </w:p>
        </w:tc>
        <w:tc>
          <w:tcPr>
            <w:tcW w:w="1473" w:type="dxa"/>
            <w:tcBorders>
              <w:top w:val="nil"/>
              <w:bottom w:val="nil"/>
            </w:tcBorders>
          </w:tcPr>
          <w:p w:rsidR="00212513" w:rsidRDefault="00212513">
            <w:pPr>
              <w:pStyle w:val="ConsPlusNormal"/>
              <w:jc w:val="center"/>
            </w:pPr>
            <w:r>
              <w:t>1,7</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283"/>
            </w:pPr>
            <w:r>
              <w:t>г) продольного поясного шва балки</w:t>
            </w:r>
          </w:p>
        </w:tc>
        <w:tc>
          <w:tcPr>
            <w:tcW w:w="1473" w:type="dxa"/>
            <w:tcBorders>
              <w:top w:val="nil"/>
              <w:bottom w:val="nil"/>
            </w:tcBorders>
          </w:tcPr>
          <w:p w:rsidR="00212513" w:rsidRDefault="00212513">
            <w:pPr>
              <w:pStyle w:val="ConsPlusNormal"/>
              <w:jc w:val="center"/>
            </w:pPr>
            <w:r>
              <w:t>1,7</w:t>
            </w:r>
          </w:p>
        </w:tc>
        <w:tc>
          <w:tcPr>
            <w:tcW w:w="1473" w:type="dxa"/>
            <w:tcBorders>
              <w:top w:val="nil"/>
              <w:bottom w:val="nil"/>
            </w:tcBorders>
          </w:tcPr>
          <w:p w:rsidR="00212513" w:rsidRDefault="00212513">
            <w:pPr>
              <w:pStyle w:val="ConsPlusNormal"/>
              <w:jc w:val="center"/>
            </w:pPr>
            <w:r>
              <w:t>1,9</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pPr>
            <w:r>
              <w:t>14 По основному металлу листа настила ортотропной плиты в зоне перехода к монтажному стыковому шву, выполненному односторонней автоматической сваркой под флюсом:</w:t>
            </w:r>
          </w:p>
        </w:tc>
        <w:tc>
          <w:tcPr>
            <w:tcW w:w="1473" w:type="dxa"/>
            <w:tcBorders>
              <w:top w:val="nil"/>
              <w:bottom w:val="nil"/>
            </w:tcBorders>
          </w:tcPr>
          <w:p w:rsidR="00212513" w:rsidRDefault="00212513">
            <w:pPr>
              <w:pStyle w:val="ConsPlusNormal"/>
              <w:jc w:val="both"/>
            </w:pPr>
          </w:p>
        </w:tc>
        <w:tc>
          <w:tcPr>
            <w:tcW w:w="1473"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283"/>
            </w:pPr>
            <w:r>
              <w:t>а) с наложением первого слоя ручной сваркой на флюсомедной подкладке, без механической обработки усиления</w:t>
            </w:r>
          </w:p>
        </w:tc>
        <w:tc>
          <w:tcPr>
            <w:tcW w:w="1473" w:type="dxa"/>
            <w:tcBorders>
              <w:top w:val="nil"/>
              <w:bottom w:val="nil"/>
            </w:tcBorders>
          </w:tcPr>
          <w:p w:rsidR="00212513" w:rsidRDefault="00212513">
            <w:pPr>
              <w:pStyle w:val="ConsPlusNormal"/>
              <w:jc w:val="center"/>
            </w:pPr>
            <w:r>
              <w:t>2,4</w:t>
            </w:r>
          </w:p>
        </w:tc>
        <w:tc>
          <w:tcPr>
            <w:tcW w:w="1473" w:type="dxa"/>
            <w:tcBorders>
              <w:top w:val="nil"/>
              <w:bottom w:val="nil"/>
            </w:tcBorders>
          </w:tcPr>
          <w:p w:rsidR="00212513" w:rsidRDefault="00212513">
            <w:pPr>
              <w:pStyle w:val="ConsPlusNormal"/>
              <w:jc w:val="center"/>
            </w:pPr>
            <w:r>
              <w:t>2,7</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283"/>
            </w:pPr>
            <w:r>
              <w:t>б) то же, с механической обработкой усиления с обратной стороны стыка</w:t>
            </w:r>
          </w:p>
        </w:tc>
        <w:tc>
          <w:tcPr>
            <w:tcW w:w="1473" w:type="dxa"/>
            <w:tcBorders>
              <w:top w:val="nil"/>
              <w:bottom w:val="nil"/>
            </w:tcBorders>
          </w:tcPr>
          <w:p w:rsidR="00212513" w:rsidRDefault="00212513">
            <w:pPr>
              <w:pStyle w:val="ConsPlusNormal"/>
              <w:jc w:val="center"/>
            </w:pPr>
            <w:r>
              <w:t>1,6</w:t>
            </w:r>
          </w:p>
        </w:tc>
        <w:tc>
          <w:tcPr>
            <w:tcW w:w="1473" w:type="dxa"/>
            <w:tcBorders>
              <w:top w:val="nil"/>
              <w:bottom w:val="nil"/>
            </w:tcBorders>
          </w:tcPr>
          <w:p w:rsidR="00212513" w:rsidRDefault="00212513">
            <w:pPr>
              <w:pStyle w:val="ConsPlusNormal"/>
              <w:jc w:val="center"/>
            </w:pPr>
            <w:r>
              <w:t>1,8</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283"/>
            </w:pPr>
            <w:r>
              <w:t>в) на стеклотканево-медной подкладке с применением гранулированной металлохимической присадки, без механической обработки усиления</w:t>
            </w:r>
          </w:p>
        </w:tc>
        <w:tc>
          <w:tcPr>
            <w:tcW w:w="1473" w:type="dxa"/>
            <w:tcBorders>
              <w:top w:val="nil"/>
              <w:bottom w:val="nil"/>
            </w:tcBorders>
          </w:tcPr>
          <w:p w:rsidR="00212513" w:rsidRDefault="00212513">
            <w:pPr>
              <w:pStyle w:val="ConsPlusNormal"/>
              <w:jc w:val="center"/>
            </w:pPr>
            <w:r>
              <w:t>1,5</w:t>
            </w:r>
          </w:p>
        </w:tc>
        <w:tc>
          <w:tcPr>
            <w:tcW w:w="1473" w:type="dxa"/>
            <w:tcBorders>
              <w:top w:val="nil"/>
              <w:bottom w:val="nil"/>
            </w:tcBorders>
          </w:tcPr>
          <w:p w:rsidR="00212513" w:rsidRDefault="00212513">
            <w:pPr>
              <w:pStyle w:val="ConsPlusNormal"/>
              <w:jc w:val="center"/>
            </w:pPr>
            <w:r>
              <w:t>1,65</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pPr>
            <w:r>
              <w:t>15 По основному металлу листа настила ортотропной плиты в зоне перехода к потолочному угловому шву его монтажного соединения с поясом главной балки или фермы внахлестку:</w:t>
            </w:r>
          </w:p>
        </w:tc>
        <w:tc>
          <w:tcPr>
            <w:tcW w:w="1473" w:type="dxa"/>
            <w:tcBorders>
              <w:top w:val="nil"/>
              <w:bottom w:val="nil"/>
            </w:tcBorders>
          </w:tcPr>
          <w:p w:rsidR="00212513" w:rsidRDefault="00212513">
            <w:pPr>
              <w:pStyle w:val="ConsPlusNormal"/>
              <w:jc w:val="both"/>
            </w:pPr>
          </w:p>
        </w:tc>
        <w:tc>
          <w:tcPr>
            <w:tcW w:w="1473"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283"/>
            </w:pPr>
            <w:r>
              <w:t>а) выполненному ручной сваркой</w:t>
            </w:r>
          </w:p>
        </w:tc>
        <w:tc>
          <w:tcPr>
            <w:tcW w:w="1473" w:type="dxa"/>
            <w:tcBorders>
              <w:top w:val="nil"/>
              <w:bottom w:val="nil"/>
            </w:tcBorders>
          </w:tcPr>
          <w:p w:rsidR="00212513" w:rsidRDefault="00212513">
            <w:pPr>
              <w:pStyle w:val="ConsPlusNormal"/>
              <w:jc w:val="center"/>
            </w:pPr>
            <w:r>
              <w:t>6,4</w:t>
            </w:r>
          </w:p>
        </w:tc>
        <w:tc>
          <w:tcPr>
            <w:tcW w:w="1473" w:type="dxa"/>
            <w:tcBorders>
              <w:top w:val="nil"/>
              <w:bottom w:val="nil"/>
            </w:tcBorders>
          </w:tcPr>
          <w:p w:rsidR="00212513" w:rsidRDefault="00212513">
            <w:pPr>
              <w:pStyle w:val="ConsPlusNormal"/>
              <w:jc w:val="center"/>
            </w:pPr>
            <w:r>
              <w:t>7,1</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283"/>
            </w:pPr>
            <w:r>
              <w:t>б) то же, с применением монтажной полосовой вставки, привариваемой встык к кромкам ортотропных плит, прикрепляемых внахлестку к поясу балки</w:t>
            </w:r>
          </w:p>
        </w:tc>
        <w:tc>
          <w:tcPr>
            <w:tcW w:w="1473" w:type="dxa"/>
            <w:tcBorders>
              <w:top w:val="nil"/>
              <w:bottom w:val="nil"/>
            </w:tcBorders>
          </w:tcPr>
          <w:p w:rsidR="00212513" w:rsidRDefault="00212513">
            <w:pPr>
              <w:pStyle w:val="ConsPlusNormal"/>
              <w:jc w:val="center"/>
            </w:pPr>
            <w:r>
              <w:t>3,8</w:t>
            </w:r>
          </w:p>
        </w:tc>
        <w:tc>
          <w:tcPr>
            <w:tcW w:w="1473" w:type="dxa"/>
            <w:tcBorders>
              <w:top w:val="nil"/>
              <w:bottom w:val="nil"/>
            </w:tcBorders>
          </w:tcPr>
          <w:p w:rsidR="00212513" w:rsidRDefault="00212513">
            <w:pPr>
              <w:pStyle w:val="ConsPlusNormal"/>
              <w:jc w:val="center"/>
            </w:pPr>
            <w:r>
              <w:t>4,2</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pPr>
            <w:r>
              <w:lastRenderedPageBreak/>
              <w:t>16 По основному металлу листа настила ортотропной плиты в зоне перехода к его монтажному стыковому соединению с поясом главной балки или фермы, выполненному односторонней автоматической сваркой под флюсом:</w:t>
            </w:r>
          </w:p>
        </w:tc>
        <w:tc>
          <w:tcPr>
            <w:tcW w:w="1473" w:type="dxa"/>
            <w:tcBorders>
              <w:top w:val="nil"/>
              <w:bottom w:val="nil"/>
            </w:tcBorders>
          </w:tcPr>
          <w:p w:rsidR="00212513" w:rsidRDefault="00212513">
            <w:pPr>
              <w:pStyle w:val="ConsPlusNormal"/>
              <w:jc w:val="both"/>
            </w:pPr>
          </w:p>
        </w:tc>
        <w:tc>
          <w:tcPr>
            <w:tcW w:w="1473"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283"/>
            </w:pPr>
            <w:r>
              <w:t>а) с наложением первого слоя ручной сваркой на флюсомедной подкладке, с механической обработкой усиления с обратной стороны стыка, при одинаковой толщине стыкуемых листов</w:t>
            </w:r>
          </w:p>
        </w:tc>
        <w:tc>
          <w:tcPr>
            <w:tcW w:w="1473" w:type="dxa"/>
            <w:tcBorders>
              <w:top w:val="nil"/>
              <w:bottom w:val="nil"/>
            </w:tcBorders>
          </w:tcPr>
          <w:p w:rsidR="00212513" w:rsidRDefault="00212513">
            <w:pPr>
              <w:pStyle w:val="ConsPlusNormal"/>
              <w:jc w:val="center"/>
            </w:pPr>
            <w:r>
              <w:t>1,6</w:t>
            </w:r>
          </w:p>
        </w:tc>
        <w:tc>
          <w:tcPr>
            <w:tcW w:w="1473" w:type="dxa"/>
            <w:tcBorders>
              <w:top w:val="nil"/>
              <w:bottom w:val="nil"/>
            </w:tcBorders>
          </w:tcPr>
          <w:p w:rsidR="00212513" w:rsidRDefault="00212513">
            <w:pPr>
              <w:pStyle w:val="ConsPlusNormal"/>
              <w:jc w:val="center"/>
            </w:pPr>
            <w:r>
              <w:t>1,8</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283"/>
            </w:pPr>
            <w:r>
              <w:t>б) то же, при разной толщине стыкуемых листов</w:t>
            </w:r>
          </w:p>
        </w:tc>
        <w:tc>
          <w:tcPr>
            <w:tcW w:w="1473" w:type="dxa"/>
            <w:tcBorders>
              <w:top w:val="nil"/>
              <w:bottom w:val="nil"/>
            </w:tcBorders>
          </w:tcPr>
          <w:p w:rsidR="00212513" w:rsidRDefault="00212513">
            <w:pPr>
              <w:pStyle w:val="ConsPlusNormal"/>
              <w:jc w:val="center"/>
            </w:pPr>
            <w:r>
              <w:t>1,8</w:t>
            </w:r>
          </w:p>
        </w:tc>
        <w:tc>
          <w:tcPr>
            <w:tcW w:w="1473" w:type="dxa"/>
            <w:tcBorders>
              <w:top w:val="nil"/>
              <w:bottom w:val="nil"/>
            </w:tcBorders>
          </w:tcPr>
          <w:p w:rsidR="00212513" w:rsidRDefault="00212513">
            <w:pPr>
              <w:pStyle w:val="ConsPlusNormal"/>
              <w:jc w:val="center"/>
            </w:pPr>
            <w:r>
              <w:t>2,0</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283"/>
            </w:pPr>
            <w:r>
              <w:t>в) на стеклотканево-медной подкладке с применением металлохимической присадки, без механической обработки усиления, при одинаковой толщине стыкуемых листов</w:t>
            </w:r>
          </w:p>
        </w:tc>
        <w:tc>
          <w:tcPr>
            <w:tcW w:w="1473" w:type="dxa"/>
            <w:tcBorders>
              <w:top w:val="nil"/>
              <w:bottom w:val="nil"/>
            </w:tcBorders>
          </w:tcPr>
          <w:p w:rsidR="00212513" w:rsidRDefault="00212513">
            <w:pPr>
              <w:pStyle w:val="ConsPlusNormal"/>
              <w:jc w:val="center"/>
            </w:pPr>
            <w:r>
              <w:t>1,5</w:t>
            </w:r>
          </w:p>
        </w:tc>
        <w:tc>
          <w:tcPr>
            <w:tcW w:w="1473" w:type="dxa"/>
            <w:tcBorders>
              <w:top w:val="nil"/>
              <w:bottom w:val="nil"/>
            </w:tcBorders>
          </w:tcPr>
          <w:p w:rsidR="00212513" w:rsidRDefault="00212513">
            <w:pPr>
              <w:pStyle w:val="ConsPlusNormal"/>
              <w:jc w:val="center"/>
            </w:pPr>
            <w:r>
              <w:t>1,65</w:t>
            </w:r>
          </w:p>
        </w:tc>
      </w:tr>
      <w:tr w:rsidR="00212513">
        <w:tblPrEx>
          <w:tblBorders>
            <w:insideH w:val="none" w:sz="0" w:space="0" w:color="auto"/>
          </w:tblBorders>
        </w:tblPrEx>
        <w:tc>
          <w:tcPr>
            <w:tcW w:w="6123" w:type="dxa"/>
            <w:tcBorders>
              <w:top w:val="nil"/>
              <w:bottom w:val="single" w:sz="4" w:space="0" w:color="auto"/>
            </w:tcBorders>
          </w:tcPr>
          <w:p w:rsidR="00212513" w:rsidRDefault="00212513">
            <w:pPr>
              <w:pStyle w:val="ConsPlusNormal"/>
              <w:ind w:left="283"/>
            </w:pPr>
            <w:r>
              <w:t>г) то же, при разной толщине стыкуемых листов</w:t>
            </w:r>
          </w:p>
        </w:tc>
        <w:tc>
          <w:tcPr>
            <w:tcW w:w="1473" w:type="dxa"/>
            <w:tcBorders>
              <w:top w:val="nil"/>
              <w:bottom w:val="single" w:sz="4" w:space="0" w:color="auto"/>
            </w:tcBorders>
          </w:tcPr>
          <w:p w:rsidR="00212513" w:rsidRDefault="00212513">
            <w:pPr>
              <w:pStyle w:val="ConsPlusNormal"/>
              <w:jc w:val="center"/>
            </w:pPr>
            <w:r>
              <w:t>1,7</w:t>
            </w:r>
          </w:p>
        </w:tc>
        <w:tc>
          <w:tcPr>
            <w:tcW w:w="1473" w:type="dxa"/>
            <w:tcBorders>
              <w:top w:val="nil"/>
              <w:bottom w:val="single" w:sz="4" w:space="0" w:color="auto"/>
            </w:tcBorders>
          </w:tcPr>
          <w:p w:rsidR="00212513" w:rsidRDefault="00212513">
            <w:pPr>
              <w:pStyle w:val="ConsPlusNormal"/>
              <w:jc w:val="center"/>
            </w:pPr>
            <w:r>
              <w:t>1,9</w:t>
            </w:r>
          </w:p>
        </w:tc>
      </w:tr>
      <w:tr w:rsidR="00212513">
        <w:tblPrEx>
          <w:tblBorders>
            <w:insideH w:val="none" w:sz="0" w:space="0" w:color="auto"/>
          </w:tblBorders>
        </w:tblPrEx>
        <w:tc>
          <w:tcPr>
            <w:tcW w:w="6123" w:type="dxa"/>
            <w:tcBorders>
              <w:top w:val="single" w:sz="4" w:space="0" w:color="auto"/>
              <w:bottom w:val="nil"/>
            </w:tcBorders>
          </w:tcPr>
          <w:p w:rsidR="00212513" w:rsidRDefault="00212513">
            <w:pPr>
              <w:pStyle w:val="ConsPlusNormal"/>
            </w:pPr>
            <w:r>
              <w:t>17 По основному металлу в зоне узла пересечения продольного ребра ортотропной плиты с поперечной балкой в одноярусной ортотропной плите:</w:t>
            </w:r>
          </w:p>
        </w:tc>
        <w:tc>
          <w:tcPr>
            <w:tcW w:w="1473" w:type="dxa"/>
            <w:tcBorders>
              <w:top w:val="single" w:sz="4" w:space="0" w:color="auto"/>
              <w:bottom w:val="nil"/>
            </w:tcBorders>
          </w:tcPr>
          <w:p w:rsidR="00212513" w:rsidRDefault="00212513">
            <w:pPr>
              <w:pStyle w:val="ConsPlusNormal"/>
            </w:pPr>
          </w:p>
        </w:tc>
        <w:tc>
          <w:tcPr>
            <w:tcW w:w="1473" w:type="dxa"/>
            <w:tcBorders>
              <w:top w:val="single" w:sz="4" w:space="0" w:color="auto"/>
              <w:bottom w:val="nil"/>
            </w:tcBorders>
          </w:tcPr>
          <w:p w:rsidR="00212513" w:rsidRDefault="00212513">
            <w:pPr>
              <w:pStyle w:val="ConsPlusNormal"/>
            </w:pP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283"/>
            </w:pPr>
            <w:bookmarkStart w:id="557" w:name="P16732"/>
            <w:bookmarkEnd w:id="557"/>
            <w:r>
              <w:t>а) продольное ребро проходит через V-образный вырез с выкружками на концах радиусом 15 - 20 мм в стенке поперечной балки и приварено к ней с одной стороны двумя угловыми швами</w:t>
            </w:r>
          </w:p>
        </w:tc>
        <w:tc>
          <w:tcPr>
            <w:tcW w:w="1473" w:type="dxa"/>
            <w:tcBorders>
              <w:top w:val="nil"/>
              <w:bottom w:val="nil"/>
            </w:tcBorders>
            <w:vAlign w:val="bottom"/>
          </w:tcPr>
          <w:p w:rsidR="00212513" w:rsidRDefault="00212513">
            <w:pPr>
              <w:pStyle w:val="ConsPlusNormal"/>
              <w:jc w:val="center"/>
            </w:pPr>
            <w:r>
              <w:t>2,2</w:t>
            </w:r>
          </w:p>
        </w:tc>
        <w:tc>
          <w:tcPr>
            <w:tcW w:w="1473" w:type="dxa"/>
            <w:tcBorders>
              <w:top w:val="nil"/>
              <w:bottom w:val="nil"/>
            </w:tcBorders>
            <w:vAlign w:val="bottom"/>
          </w:tcPr>
          <w:p w:rsidR="00212513" w:rsidRDefault="00212513">
            <w:pPr>
              <w:pStyle w:val="ConsPlusNormal"/>
              <w:jc w:val="center"/>
            </w:pPr>
            <w:r>
              <w:t>2,4</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283"/>
            </w:pPr>
            <w:bookmarkStart w:id="558" w:name="P16735"/>
            <w:bookmarkEnd w:id="558"/>
            <w:r>
              <w:t>б) продольное ребро проходит через вырез в стенке поперечной балки и в опорной пластинке и приварено к ней угловыми швами</w:t>
            </w:r>
          </w:p>
        </w:tc>
        <w:tc>
          <w:tcPr>
            <w:tcW w:w="1473" w:type="dxa"/>
            <w:tcBorders>
              <w:top w:val="nil"/>
              <w:bottom w:val="nil"/>
            </w:tcBorders>
            <w:vAlign w:val="bottom"/>
          </w:tcPr>
          <w:p w:rsidR="00212513" w:rsidRDefault="00212513">
            <w:pPr>
              <w:pStyle w:val="ConsPlusNormal"/>
              <w:jc w:val="center"/>
            </w:pPr>
            <w:r>
              <w:t>1,3</w:t>
            </w:r>
          </w:p>
        </w:tc>
        <w:tc>
          <w:tcPr>
            <w:tcW w:w="1473" w:type="dxa"/>
            <w:tcBorders>
              <w:top w:val="nil"/>
              <w:bottom w:val="nil"/>
            </w:tcBorders>
            <w:vAlign w:val="bottom"/>
          </w:tcPr>
          <w:p w:rsidR="00212513" w:rsidRDefault="00212513">
            <w:pPr>
              <w:pStyle w:val="ConsPlusNormal"/>
              <w:jc w:val="center"/>
            </w:pPr>
            <w:r>
              <w:t>1,5</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283"/>
            </w:pPr>
            <w:r>
              <w:t xml:space="preserve">в) торец продольного ребра с уширением рукавом приварен к стенке поперечной балки и его нижнему горизонтальному листу по всему контуру примыкания или в соединении продольного ребра и поперечной балки одинаковой высоты, как показано на </w:t>
            </w:r>
            <w:hyperlink w:anchor="P16830">
              <w:r>
                <w:rPr>
                  <w:color w:val="0000FF"/>
                </w:rPr>
                <w:t>рисунке Ц.6</w:t>
              </w:r>
            </w:hyperlink>
          </w:p>
        </w:tc>
        <w:tc>
          <w:tcPr>
            <w:tcW w:w="1473" w:type="dxa"/>
            <w:tcBorders>
              <w:top w:val="nil"/>
              <w:bottom w:val="nil"/>
            </w:tcBorders>
            <w:vAlign w:val="bottom"/>
          </w:tcPr>
          <w:p w:rsidR="00212513" w:rsidRDefault="00212513">
            <w:pPr>
              <w:pStyle w:val="ConsPlusNormal"/>
              <w:jc w:val="center"/>
            </w:pPr>
            <w:r>
              <w:t>2,1</w:t>
            </w:r>
          </w:p>
        </w:tc>
        <w:tc>
          <w:tcPr>
            <w:tcW w:w="1473" w:type="dxa"/>
            <w:tcBorders>
              <w:top w:val="nil"/>
              <w:bottom w:val="nil"/>
            </w:tcBorders>
            <w:vAlign w:val="bottom"/>
          </w:tcPr>
          <w:p w:rsidR="00212513" w:rsidRDefault="00212513">
            <w:pPr>
              <w:pStyle w:val="ConsPlusNormal"/>
              <w:jc w:val="center"/>
            </w:pPr>
            <w:r>
              <w:t>2,2</w:t>
            </w:r>
          </w:p>
        </w:tc>
      </w:tr>
      <w:tr w:rsidR="00212513">
        <w:tblPrEx>
          <w:tblBorders>
            <w:insideH w:val="none" w:sz="0" w:space="0" w:color="auto"/>
          </w:tblBorders>
        </w:tblPrEx>
        <w:tc>
          <w:tcPr>
            <w:tcW w:w="9069" w:type="dxa"/>
            <w:gridSpan w:val="3"/>
            <w:tcBorders>
              <w:top w:val="nil"/>
              <w:bottom w:val="single" w:sz="4" w:space="0" w:color="auto"/>
            </w:tcBorders>
          </w:tcPr>
          <w:p w:rsidR="00212513" w:rsidRDefault="00212513">
            <w:pPr>
              <w:pStyle w:val="ConsPlusNormal"/>
              <w:jc w:val="both"/>
            </w:pPr>
            <w:r>
              <w:t xml:space="preserve">(п. 17 в ред. </w:t>
            </w:r>
            <w:hyperlink r:id="rId3664">
              <w:r>
                <w:rPr>
                  <w:color w:val="0000FF"/>
                </w:rPr>
                <w:t>Изменения N 1</w:t>
              </w:r>
            </w:hyperlink>
            <w:r>
              <w:t>, утв. Приказом Минстроя России от 03.12.2016 N 879/пр)</w:t>
            </w:r>
          </w:p>
        </w:tc>
      </w:tr>
      <w:tr w:rsidR="00212513">
        <w:tblPrEx>
          <w:tblBorders>
            <w:insideH w:val="none" w:sz="0" w:space="0" w:color="auto"/>
          </w:tblBorders>
        </w:tblPrEx>
        <w:tc>
          <w:tcPr>
            <w:tcW w:w="6123" w:type="dxa"/>
            <w:tcBorders>
              <w:top w:val="single" w:sz="4" w:space="0" w:color="auto"/>
              <w:bottom w:val="nil"/>
            </w:tcBorders>
          </w:tcPr>
          <w:p w:rsidR="00212513" w:rsidRDefault="00212513">
            <w:pPr>
              <w:pStyle w:val="ConsPlusNormal"/>
            </w:pPr>
            <w:r>
              <w:t>18 То же, в двухъярусной ортотропной плите:</w:t>
            </w:r>
          </w:p>
        </w:tc>
        <w:tc>
          <w:tcPr>
            <w:tcW w:w="1473" w:type="dxa"/>
            <w:tcBorders>
              <w:top w:val="single" w:sz="4" w:space="0" w:color="auto"/>
              <w:bottom w:val="nil"/>
            </w:tcBorders>
          </w:tcPr>
          <w:p w:rsidR="00212513" w:rsidRDefault="00212513">
            <w:pPr>
              <w:pStyle w:val="ConsPlusNormal"/>
              <w:jc w:val="both"/>
            </w:pPr>
          </w:p>
        </w:tc>
        <w:tc>
          <w:tcPr>
            <w:tcW w:w="1473" w:type="dxa"/>
            <w:tcBorders>
              <w:top w:val="single" w:sz="4" w:space="0" w:color="auto"/>
              <w:bottom w:val="nil"/>
            </w:tcBorders>
          </w:tcPr>
          <w:p w:rsidR="00212513" w:rsidRDefault="00212513">
            <w:pPr>
              <w:pStyle w:val="ConsPlusNormal"/>
              <w:jc w:val="both"/>
            </w:pP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283"/>
            </w:pPr>
            <w:r>
              <w:t>а) тавровое продольное ребро соединяется с поперечным высокопрочными болтами через отверстия, просверленные в полке продольного и поясе поперечного ребер</w:t>
            </w:r>
          </w:p>
        </w:tc>
        <w:tc>
          <w:tcPr>
            <w:tcW w:w="1473" w:type="dxa"/>
            <w:tcBorders>
              <w:top w:val="nil"/>
              <w:bottom w:val="nil"/>
            </w:tcBorders>
          </w:tcPr>
          <w:p w:rsidR="00212513" w:rsidRDefault="00212513">
            <w:pPr>
              <w:pStyle w:val="ConsPlusNormal"/>
              <w:jc w:val="center"/>
            </w:pPr>
            <w:r>
              <w:t>1,2</w:t>
            </w:r>
          </w:p>
        </w:tc>
        <w:tc>
          <w:tcPr>
            <w:tcW w:w="1473" w:type="dxa"/>
            <w:tcBorders>
              <w:top w:val="nil"/>
              <w:bottom w:val="nil"/>
            </w:tcBorders>
          </w:tcPr>
          <w:p w:rsidR="00212513" w:rsidRDefault="00212513">
            <w:pPr>
              <w:pStyle w:val="ConsPlusNormal"/>
              <w:jc w:val="center"/>
            </w:pPr>
            <w:r>
              <w:t>1,3</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283"/>
            </w:pPr>
            <w:r>
              <w:t>б) тавровое продольное ребро соединяется с поперечным специальными прижимами</w:t>
            </w:r>
          </w:p>
        </w:tc>
        <w:tc>
          <w:tcPr>
            <w:tcW w:w="1473" w:type="dxa"/>
            <w:tcBorders>
              <w:top w:val="nil"/>
              <w:bottom w:val="nil"/>
            </w:tcBorders>
          </w:tcPr>
          <w:p w:rsidR="00212513" w:rsidRDefault="00212513">
            <w:pPr>
              <w:pStyle w:val="ConsPlusNormal"/>
              <w:jc w:val="center"/>
            </w:pPr>
            <w:r>
              <w:t>1,1</w:t>
            </w:r>
          </w:p>
        </w:tc>
        <w:tc>
          <w:tcPr>
            <w:tcW w:w="1473" w:type="dxa"/>
            <w:tcBorders>
              <w:top w:val="nil"/>
              <w:bottom w:val="nil"/>
            </w:tcBorders>
          </w:tcPr>
          <w:p w:rsidR="00212513" w:rsidRDefault="00212513">
            <w:pPr>
              <w:pStyle w:val="ConsPlusNormal"/>
              <w:jc w:val="center"/>
            </w:pPr>
            <w:r>
              <w:t>1,2</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pPr>
            <w:r>
              <w:t>19 По основному металлу листа настила и продольных ребер ортотропной плиты по границе швов в зоне цельносварного монтажного поперечного стыка ортотропной плиты:</w:t>
            </w:r>
          </w:p>
        </w:tc>
        <w:tc>
          <w:tcPr>
            <w:tcW w:w="1473" w:type="dxa"/>
            <w:tcBorders>
              <w:top w:val="nil"/>
              <w:bottom w:val="nil"/>
            </w:tcBorders>
          </w:tcPr>
          <w:p w:rsidR="00212513" w:rsidRDefault="00212513">
            <w:pPr>
              <w:pStyle w:val="ConsPlusNormal"/>
              <w:jc w:val="both"/>
            </w:pPr>
          </w:p>
        </w:tc>
        <w:tc>
          <w:tcPr>
            <w:tcW w:w="1473"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283"/>
            </w:pPr>
            <w:r>
              <w:t>а) при совмещенных в одном сечении стыках листа настила и продольных ребер, без механической обработки усиления швов</w:t>
            </w:r>
          </w:p>
        </w:tc>
        <w:tc>
          <w:tcPr>
            <w:tcW w:w="1473" w:type="dxa"/>
            <w:tcBorders>
              <w:top w:val="nil"/>
              <w:bottom w:val="nil"/>
            </w:tcBorders>
          </w:tcPr>
          <w:p w:rsidR="00212513" w:rsidRDefault="00212513">
            <w:pPr>
              <w:pStyle w:val="ConsPlusNormal"/>
              <w:jc w:val="center"/>
            </w:pPr>
            <w:r>
              <w:t>2,2</w:t>
            </w:r>
          </w:p>
        </w:tc>
        <w:tc>
          <w:tcPr>
            <w:tcW w:w="1473" w:type="dxa"/>
            <w:tcBorders>
              <w:top w:val="nil"/>
              <w:bottom w:val="nil"/>
            </w:tcBorders>
          </w:tcPr>
          <w:p w:rsidR="00212513" w:rsidRDefault="00212513">
            <w:pPr>
              <w:pStyle w:val="ConsPlusNormal"/>
              <w:jc w:val="center"/>
            </w:pPr>
            <w:r>
              <w:t>2,5</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283"/>
            </w:pPr>
            <w:r>
              <w:t xml:space="preserve">б) с разнесенными от стыка листа настила стыками </w:t>
            </w:r>
            <w:r>
              <w:lastRenderedPageBreak/>
              <w:t>продольного ребра, без механической обработки усиления швов</w:t>
            </w:r>
          </w:p>
        </w:tc>
        <w:tc>
          <w:tcPr>
            <w:tcW w:w="1473" w:type="dxa"/>
            <w:tcBorders>
              <w:top w:val="nil"/>
              <w:bottom w:val="nil"/>
            </w:tcBorders>
          </w:tcPr>
          <w:p w:rsidR="00212513" w:rsidRDefault="00212513">
            <w:pPr>
              <w:pStyle w:val="ConsPlusNormal"/>
              <w:jc w:val="center"/>
            </w:pPr>
            <w:r>
              <w:lastRenderedPageBreak/>
              <w:t>2,2</w:t>
            </w:r>
          </w:p>
        </w:tc>
        <w:tc>
          <w:tcPr>
            <w:tcW w:w="1473" w:type="dxa"/>
            <w:tcBorders>
              <w:top w:val="nil"/>
              <w:bottom w:val="nil"/>
            </w:tcBorders>
          </w:tcPr>
          <w:p w:rsidR="00212513" w:rsidRDefault="00212513">
            <w:pPr>
              <w:pStyle w:val="ConsPlusNormal"/>
              <w:jc w:val="center"/>
            </w:pPr>
            <w:r>
              <w:t>2,4</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283"/>
            </w:pPr>
            <w:r>
              <w:lastRenderedPageBreak/>
              <w:t>в) с разнесенными от стыка листа настила обработанными стыками продольного ребра, с механической обработкой усиления с обратной стороны стыка листа настила</w:t>
            </w:r>
          </w:p>
        </w:tc>
        <w:tc>
          <w:tcPr>
            <w:tcW w:w="1473" w:type="dxa"/>
            <w:tcBorders>
              <w:top w:val="nil"/>
              <w:bottom w:val="nil"/>
            </w:tcBorders>
          </w:tcPr>
          <w:p w:rsidR="00212513" w:rsidRDefault="00212513">
            <w:pPr>
              <w:pStyle w:val="ConsPlusNormal"/>
              <w:jc w:val="center"/>
            </w:pPr>
            <w:r>
              <w:t>2,1</w:t>
            </w:r>
          </w:p>
        </w:tc>
        <w:tc>
          <w:tcPr>
            <w:tcW w:w="1473" w:type="dxa"/>
            <w:tcBorders>
              <w:top w:val="nil"/>
              <w:bottom w:val="nil"/>
            </w:tcBorders>
          </w:tcPr>
          <w:p w:rsidR="00212513" w:rsidRDefault="00212513">
            <w:pPr>
              <w:pStyle w:val="ConsPlusNormal"/>
              <w:jc w:val="center"/>
            </w:pPr>
            <w:r>
              <w:t>2,3</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pPr>
            <w:r>
              <w:t>20 То же, в комбинированном стыке - сварном листа настила, болтовом в ребрах:</w:t>
            </w:r>
          </w:p>
        </w:tc>
        <w:tc>
          <w:tcPr>
            <w:tcW w:w="1473" w:type="dxa"/>
            <w:tcBorders>
              <w:top w:val="nil"/>
              <w:bottom w:val="nil"/>
            </w:tcBorders>
          </w:tcPr>
          <w:p w:rsidR="00212513" w:rsidRDefault="00212513">
            <w:pPr>
              <w:pStyle w:val="ConsPlusNormal"/>
              <w:jc w:val="both"/>
            </w:pPr>
          </w:p>
        </w:tc>
        <w:tc>
          <w:tcPr>
            <w:tcW w:w="1473"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283"/>
            </w:pPr>
            <w:r>
              <w:t>а) с устройством прямоугольных скругленных вырезов в продольных ребрах, без полного проплавления их концевых участков, без механической обработки усиления стыкового шва листа настила</w:t>
            </w:r>
          </w:p>
        </w:tc>
        <w:tc>
          <w:tcPr>
            <w:tcW w:w="1473" w:type="dxa"/>
            <w:tcBorders>
              <w:top w:val="nil"/>
              <w:bottom w:val="nil"/>
            </w:tcBorders>
          </w:tcPr>
          <w:p w:rsidR="00212513" w:rsidRDefault="00212513">
            <w:pPr>
              <w:pStyle w:val="ConsPlusNormal"/>
              <w:jc w:val="center"/>
            </w:pPr>
            <w:r>
              <w:t>2,8</w:t>
            </w:r>
          </w:p>
        </w:tc>
        <w:tc>
          <w:tcPr>
            <w:tcW w:w="1473" w:type="dxa"/>
            <w:tcBorders>
              <w:top w:val="nil"/>
              <w:bottom w:val="nil"/>
            </w:tcBorders>
          </w:tcPr>
          <w:p w:rsidR="00212513" w:rsidRDefault="00212513">
            <w:pPr>
              <w:pStyle w:val="ConsPlusNormal"/>
              <w:jc w:val="center"/>
            </w:pPr>
            <w:r>
              <w:t>3,1</w:t>
            </w:r>
          </w:p>
        </w:tc>
      </w:tr>
      <w:tr w:rsidR="00212513">
        <w:tblPrEx>
          <w:tblBorders>
            <w:insideH w:val="none" w:sz="0" w:space="0" w:color="auto"/>
          </w:tblBorders>
        </w:tblPrEx>
        <w:tc>
          <w:tcPr>
            <w:tcW w:w="6123" w:type="dxa"/>
            <w:tcBorders>
              <w:top w:val="nil"/>
              <w:bottom w:val="nil"/>
            </w:tcBorders>
          </w:tcPr>
          <w:p w:rsidR="00212513" w:rsidRDefault="00212513">
            <w:pPr>
              <w:pStyle w:val="ConsPlusNormal"/>
              <w:ind w:left="283"/>
            </w:pPr>
            <w:r>
              <w:t>б) с устройством обработанных полукруглых выкружек в продольных ребрах, с полным проплавлением их концевых участков, с механической обработкой усиления шва с обратной стороны стыка листа настила</w:t>
            </w:r>
          </w:p>
        </w:tc>
        <w:tc>
          <w:tcPr>
            <w:tcW w:w="1473" w:type="dxa"/>
            <w:tcBorders>
              <w:top w:val="nil"/>
              <w:bottom w:val="nil"/>
            </w:tcBorders>
          </w:tcPr>
          <w:p w:rsidR="00212513" w:rsidRDefault="00212513">
            <w:pPr>
              <w:pStyle w:val="ConsPlusNormal"/>
              <w:jc w:val="center"/>
            </w:pPr>
            <w:r>
              <w:t>2,1</w:t>
            </w:r>
          </w:p>
        </w:tc>
        <w:tc>
          <w:tcPr>
            <w:tcW w:w="1473" w:type="dxa"/>
            <w:tcBorders>
              <w:top w:val="nil"/>
              <w:bottom w:val="nil"/>
            </w:tcBorders>
          </w:tcPr>
          <w:p w:rsidR="00212513" w:rsidRDefault="00212513">
            <w:pPr>
              <w:pStyle w:val="ConsPlusNormal"/>
              <w:jc w:val="center"/>
            </w:pPr>
            <w:r>
              <w:t>2,3</w:t>
            </w:r>
          </w:p>
        </w:tc>
      </w:tr>
      <w:tr w:rsidR="00212513">
        <w:tblPrEx>
          <w:tblBorders>
            <w:insideH w:val="none" w:sz="0" w:space="0" w:color="auto"/>
          </w:tblBorders>
        </w:tblPrEx>
        <w:tc>
          <w:tcPr>
            <w:tcW w:w="6123" w:type="dxa"/>
            <w:tcBorders>
              <w:top w:val="nil"/>
              <w:bottom w:val="single" w:sz="4" w:space="0" w:color="auto"/>
            </w:tcBorders>
          </w:tcPr>
          <w:p w:rsidR="00212513" w:rsidRDefault="00212513">
            <w:pPr>
              <w:pStyle w:val="ConsPlusNormal"/>
              <w:ind w:left="283"/>
            </w:pPr>
            <w:r>
              <w:t>в) с обрывом продольных ребер вблизи стыка листа настила и постановкой вставки между их торцами, без механической обработки усиления стыкового шва листа настила</w:t>
            </w:r>
          </w:p>
        </w:tc>
        <w:tc>
          <w:tcPr>
            <w:tcW w:w="1473" w:type="dxa"/>
            <w:tcBorders>
              <w:top w:val="nil"/>
              <w:bottom w:val="single" w:sz="4" w:space="0" w:color="auto"/>
            </w:tcBorders>
          </w:tcPr>
          <w:p w:rsidR="00212513" w:rsidRDefault="00212513">
            <w:pPr>
              <w:pStyle w:val="ConsPlusNormal"/>
              <w:jc w:val="center"/>
            </w:pPr>
            <w:r>
              <w:t>1,9</w:t>
            </w:r>
          </w:p>
        </w:tc>
        <w:tc>
          <w:tcPr>
            <w:tcW w:w="1473" w:type="dxa"/>
            <w:tcBorders>
              <w:top w:val="nil"/>
              <w:bottom w:val="single" w:sz="4" w:space="0" w:color="auto"/>
            </w:tcBorders>
          </w:tcPr>
          <w:p w:rsidR="00212513" w:rsidRDefault="00212513">
            <w:pPr>
              <w:pStyle w:val="ConsPlusNormal"/>
              <w:jc w:val="center"/>
            </w:pPr>
            <w:r>
              <w:t>2,1</w:t>
            </w:r>
          </w:p>
        </w:tc>
      </w:tr>
      <w:tr w:rsidR="00212513">
        <w:tc>
          <w:tcPr>
            <w:tcW w:w="9069" w:type="dxa"/>
            <w:gridSpan w:val="3"/>
            <w:tcBorders>
              <w:top w:val="single" w:sz="4" w:space="0" w:color="auto"/>
              <w:bottom w:val="single" w:sz="4" w:space="0" w:color="auto"/>
            </w:tcBorders>
          </w:tcPr>
          <w:p w:rsidR="00212513" w:rsidRDefault="00212513">
            <w:pPr>
              <w:pStyle w:val="ConsPlusNormal"/>
              <w:ind w:firstLine="283"/>
              <w:jc w:val="both"/>
            </w:pPr>
            <w:r>
              <w:t>Примечания</w:t>
            </w:r>
          </w:p>
          <w:p w:rsidR="00212513" w:rsidRDefault="00212513">
            <w:pPr>
              <w:pStyle w:val="ConsPlusNormal"/>
              <w:ind w:firstLine="283"/>
              <w:jc w:val="both"/>
            </w:pPr>
            <w:r>
              <w:t xml:space="preserve">1 </w:t>
            </w:r>
            <w:r>
              <w:rPr>
                <w:i/>
              </w:rPr>
              <w:t>m</w:t>
            </w:r>
            <w:r>
              <w:rPr>
                <w:i/>
                <w:vertAlign w:val="subscript"/>
              </w:rPr>
              <w:t>f</w:t>
            </w:r>
            <w:r>
              <w:t xml:space="preserve"> - коэффициент, учитывающий влияние сдвигов по контактам соединяемых элементов и принимаемый по </w:t>
            </w:r>
            <w:hyperlink w:anchor="P16863">
              <w:r>
                <w:rPr>
                  <w:color w:val="0000FF"/>
                </w:rPr>
                <w:t>таблице Ц.3</w:t>
              </w:r>
            </w:hyperlink>
            <w:r>
              <w:t xml:space="preserve"> в зависимости от числа поперечных рядов болтов </w:t>
            </w:r>
            <w:r>
              <w:rPr>
                <w:i/>
              </w:rPr>
              <w:t>n</w:t>
            </w:r>
            <w:r>
              <w:t xml:space="preserve"> в соединении.</w:t>
            </w:r>
          </w:p>
          <w:p w:rsidR="00212513" w:rsidRDefault="00212513">
            <w:pPr>
              <w:pStyle w:val="ConsPlusNormal"/>
              <w:ind w:firstLine="283"/>
              <w:jc w:val="both"/>
            </w:pPr>
            <w:r>
              <w:t xml:space="preserve">2 Параметр </w:t>
            </w:r>
            <w:r>
              <w:rPr>
                <w:i/>
              </w:rPr>
              <w:t>n</w:t>
            </w:r>
            <w:r>
              <w:t xml:space="preserve"> определяется:</w:t>
            </w:r>
          </w:p>
          <w:p w:rsidR="00212513" w:rsidRDefault="00212513">
            <w:pPr>
              <w:pStyle w:val="ConsPlusNormal"/>
              <w:ind w:firstLine="283"/>
              <w:jc w:val="both"/>
            </w:pPr>
            <w:r>
              <w:t>числом поперечных рядов болтов в прикреплении данного элемента к фасонке или стыковой накладке, когда этот элемент обрывается в данном узле (</w:t>
            </w:r>
            <w:hyperlink w:anchor="P16561">
              <w:r>
                <w:rPr>
                  <w:color w:val="0000FF"/>
                </w:rPr>
                <w:t>Ц.3, г</w:t>
              </w:r>
            </w:hyperlink>
            <w:r>
              <w:t xml:space="preserve">, </w:t>
            </w:r>
            <w:hyperlink w:anchor="P16570">
              <w:r>
                <w:rPr>
                  <w:color w:val="0000FF"/>
                </w:rPr>
                <w:t>д</w:t>
              </w:r>
            </w:hyperlink>
            <w:r>
              <w:t xml:space="preserve">, </w:t>
            </w:r>
            <w:hyperlink w:anchor="P16579">
              <w:r>
                <w:rPr>
                  <w:color w:val="0000FF"/>
                </w:rPr>
                <w:t>е</w:t>
              </w:r>
            </w:hyperlink>
            <w:r>
              <w:t>);</w:t>
            </w:r>
          </w:p>
          <w:p w:rsidR="00212513" w:rsidRDefault="00212513">
            <w:pPr>
              <w:pStyle w:val="ConsPlusNormal"/>
              <w:ind w:firstLine="283"/>
              <w:jc w:val="both"/>
            </w:pPr>
            <w:r>
              <w:t xml:space="preserve">общим числом поперечных рядов болтов в прикреплении фасонки к непрерывному элементу </w:t>
            </w:r>
            <w:hyperlink w:anchor="P16558">
              <w:r>
                <w:rPr>
                  <w:color w:val="0000FF"/>
                </w:rPr>
                <w:t>(Ц.3, в)</w:t>
              </w:r>
            </w:hyperlink>
            <w:r>
              <w:t>.</w:t>
            </w:r>
          </w:p>
        </w:tc>
      </w:tr>
    </w:tbl>
    <w:p w:rsidR="00212513" w:rsidRDefault="00212513">
      <w:pPr>
        <w:pStyle w:val="ConsPlusNormal"/>
        <w:ind w:firstLine="540"/>
        <w:jc w:val="both"/>
      </w:pPr>
    </w:p>
    <w:p w:rsidR="00212513" w:rsidRDefault="00212513">
      <w:pPr>
        <w:pStyle w:val="ConsPlusNormal"/>
        <w:jc w:val="center"/>
      </w:pPr>
      <w:r>
        <w:rPr>
          <w:noProof/>
          <w:position w:val="-112"/>
        </w:rPr>
        <w:drawing>
          <wp:inline distT="0" distB="0" distL="0" distR="0">
            <wp:extent cx="1113790" cy="1565910"/>
            <wp:effectExtent l="0" t="0" r="0" b="0"/>
            <wp:docPr id="29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5" cstate="print">
                      <a:extLst>
                        <a:ext uri="{28A0092B-C50C-407E-A947-70E740481C1C}">
                          <a14:useLocalDpi xmlns:a14="http://schemas.microsoft.com/office/drawing/2010/main" val="0"/>
                        </a:ext>
                      </a:extLst>
                    </a:blip>
                    <a:srcRect/>
                    <a:stretch>
                      <a:fillRect/>
                    </a:stretch>
                  </pic:blipFill>
                  <pic:spPr bwMode="auto">
                    <a:xfrm>
                      <a:off x="0" y="0"/>
                      <a:ext cx="1113790" cy="1565910"/>
                    </a:xfrm>
                    <a:prstGeom prst="rect">
                      <a:avLst/>
                    </a:prstGeom>
                    <a:noFill/>
                    <a:ln>
                      <a:noFill/>
                    </a:ln>
                  </pic:spPr>
                </pic:pic>
              </a:graphicData>
            </a:graphic>
          </wp:inline>
        </w:drawing>
      </w:r>
    </w:p>
    <w:p w:rsidR="00212513" w:rsidRDefault="00212513">
      <w:pPr>
        <w:pStyle w:val="ConsPlusNormal"/>
        <w:jc w:val="center"/>
      </w:pPr>
    </w:p>
    <w:p w:rsidR="00212513" w:rsidRDefault="00212513">
      <w:pPr>
        <w:pStyle w:val="ConsPlusNormal"/>
        <w:jc w:val="center"/>
      </w:pPr>
      <w:bookmarkStart w:id="559" w:name="P16783"/>
      <w:bookmarkEnd w:id="559"/>
      <w:r>
        <w:rPr>
          <w:b/>
          <w:i/>
        </w:rPr>
        <w:t>Рисунок Ц.1 -</w:t>
      </w:r>
      <w:r>
        <w:t xml:space="preserve"> </w:t>
      </w:r>
      <w:r>
        <w:rPr>
          <w:b/>
        </w:rPr>
        <w:t>Расположение проверяемого на выносливость</w:t>
      </w:r>
    </w:p>
    <w:p w:rsidR="00212513" w:rsidRDefault="00212513">
      <w:pPr>
        <w:pStyle w:val="ConsPlusNormal"/>
        <w:jc w:val="center"/>
      </w:pPr>
      <w:r>
        <w:rPr>
          <w:b/>
        </w:rPr>
        <w:t>расчетного сечения А-А по основному металлу в сечениях нетто</w:t>
      </w:r>
    </w:p>
    <w:p w:rsidR="00212513" w:rsidRDefault="00212513">
      <w:pPr>
        <w:pStyle w:val="ConsPlusNormal"/>
        <w:jc w:val="center"/>
      </w:pPr>
      <w:r>
        <w:rPr>
          <w:b/>
        </w:rPr>
        <w:t>по соединительным болтам составных элементов,</w:t>
      </w:r>
    </w:p>
    <w:p w:rsidR="00212513" w:rsidRDefault="00212513">
      <w:pPr>
        <w:pStyle w:val="ConsPlusNormal"/>
        <w:jc w:val="center"/>
      </w:pPr>
      <w:r>
        <w:rPr>
          <w:b/>
        </w:rPr>
        <w:t>а также у свободного отверстия</w:t>
      </w:r>
    </w:p>
    <w:p w:rsidR="00212513" w:rsidRDefault="00212513">
      <w:pPr>
        <w:pStyle w:val="ConsPlusNormal"/>
        <w:jc w:val="center"/>
      </w:pPr>
    </w:p>
    <w:p w:rsidR="00212513" w:rsidRDefault="00212513">
      <w:pPr>
        <w:pStyle w:val="ConsPlusNormal"/>
        <w:jc w:val="center"/>
      </w:pPr>
    </w:p>
    <w:p w:rsidR="00212513" w:rsidRDefault="00212513">
      <w:pPr>
        <w:pStyle w:val="ConsPlusNormal"/>
        <w:jc w:val="center"/>
      </w:pPr>
    </w:p>
    <w:p w:rsidR="00212513" w:rsidRDefault="00212513">
      <w:pPr>
        <w:pStyle w:val="ConsPlusNormal"/>
        <w:jc w:val="center"/>
      </w:pPr>
      <w:r>
        <w:rPr>
          <w:noProof/>
          <w:position w:val="-55"/>
        </w:rPr>
        <w:lastRenderedPageBreak/>
        <w:drawing>
          <wp:inline distT="0" distB="0" distL="0" distR="0">
            <wp:extent cx="1029335" cy="847725"/>
            <wp:effectExtent l="0" t="0" r="0" b="0"/>
            <wp:docPr id="29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6" cstate="print">
                      <a:extLst>
                        <a:ext uri="{28A0092B-C50C-407E-A947-70E740481C1C}">
                          <a14:useLocalDpi xmlns:a14="http://schemas.microsoft.com/office/drawing/2010/main" val="0"/>
                        </a:ext>
                      </a:extLst>
                    </a:blip>
                    <a:srcRect/>
                    <a:stretch>
                      <a:fillRect/>
                    </a:stretch>
                  </pic:blipFill>
                  <pic:spPr bwMode="auto">
                    <a:xfrm>
                      <a:off x="0" y="0"/>
                      <a:ext cx="1029335" cy="847725"/>
                    </a:xfrm>
                    <a:prstGeom prst="rect">
                      <a:avLst/>
                    </a:prstGeom>
                    <a:noFill/>
                    <a:ln>
                      <a:noFill/>
                    </a:ln>
                  </pic:spPr>
                </pic:pic>
              </a:graphicData>
            </a:graphic>
          </wp:inline>
        </w:drawing>
      </w:r>
    </w:p>
    <w:p w:rsidR="00212513" w:rsidRDefault="00212513">
      <w:pPr>
        <w:pStyle w:val="ConsPlusNormal"/>
        <w:jc w:val="center"/>
      </w:pPr>
    </w:p>
    <w:p w:rsidR="00212513" w:rsidRDefault="00212513">
      <w:pPr>
        <w:pStyle w:val="ConsPlusNormal"/>
        <w:jc w:val="center"/>
      </w:pPr>
      <w:bookmarkStart w:id="560" w:name="P16792"/>
      <w:bookmarkEnd w:id="560"/>
      <w:r>
        <w:rPr>
          <w:b/>
          <w:i/>
        </w:rPr>
        <w:t>Рисунок Ц.2</w:t>
      </w:r>
      <w:r>
        <w:t xml:space="preserve"> </w:t>
      </w:r>
      <w:r>
        <w:rPr>
          <w:b/>
        </w:rPr>
        <w:t>- Расположение проверяемого на выносливость</w:t>
      </w:r>
    </w:p>
    <w:p w:rsidR="00212513" w:rsidRDefault="00212513">
      <w:pPr>
        <w:pStyle w:val="ConsPlusNormal"/>
        <w:jc w:val="center"/>
      </w:pPr>
      <w:r>
        <w:rPr>
          <w:b/>
        </w:rPr>
        <w:t>расчетного сечения А-А по основному металлу в сечениях нетто</w:t>
      </w:r>
    </w:p>
    <w:p w:rsidR="00212513" w:rsidRDefault="00212513">
      <w:pPr>
        <w:pStyle w:val="ConsPlusNormal"/>
        <w:jc w:val="center"/>
      </w:pPr>
      <w:r>
        <w:rPr>
          <w:b/>
        </w:rPr>
        <w:t>у отверстия с поставленным в него высокопрочным болтом,</w:t>
      </w:r>
    </w:p>
    <w:p w:rsidR="00212513" w:rsidRDefault="00212513">
      <w:pPr>
        <w:pStyle w:val="ConsPlusNormal"/>
        <w:jc w:val="center"/>
      </w:pPr>
      <w:r>
        <w:rPr>
          <w:b/>
        </w:rPr>
        <w:t>затянутым на нормативное усилие</w:t>
      </w:r>
    </w:p>
    <w:p w:rsidR="00212513" w:rsidRDefault="00212513">
      <w:pPr>
        <w:pStyle w:val="ConsPlusNormal"/>
        <w:jc w:val="center"/>
      </w:pPr>
    </w:p>
    <w:p w:rsidR="00212513" w:rsidRDefault="00212513">
      <w:pPr>
        <w:pStyle w:val="ConsPlusNormal"/>
        <w:jc w:val="center"/>
      </w:pPr>
    </w:p>
    <w:p w:rsidR="00212513" w:rsidRDefault="00212513">
      <w:pPr>
        <w:pStyle w:val="ConsPlusNormal"/>
        <w:jc w:val="center"/>
      </w:pPr>
    </w:p>
    <w:p w:rsidR="00212513" w:rsidRDefault="00212513">
      <w:pPr>
        <w:pStyle w:val="ConsPlusNormal"/>
        <w:jc w:val="center"/>
      </w:pPr>
      <w:r>
        <w:rPr>
          <w:noProof/>
          <w:position w:val="-72"/>
        </w:rPr>
        <w:drawing>
          <wp:inline distT="0" distB="0" distL="0" distR="0">
            <wp:extent cx="1454785" cy="1066165"/>
            <wp:effectExtent l="0" t="0" r="0" b="0"/>
            <wp:docPr id="29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7" cstate="print">
                      <a:extLst>
                        <a:ext uri="{28A0092B-C50C-407E-A947-70E740481C1C}">
                          <a14:useLocalDpi xmlns:a14="http://schemas.microsoft.com/office/drawing/2010/main" val="0"/>
                        </a:ext>
                      </a:extLst>
                    </a:blip>
                    <a:srcRect/>
                    <a:stretch>
                      <a:fillRect/>
                    </a:stretch>
                  </pic:blipFill>
                  <pic:spPr bwMode="auto">
                    <a:xfrm>
                      <a:off x="0" y="0"/>
                      <a:ext cx="1454785" cy="1066165"/>
                    </a:xfrm>
                    <a:prstGeom prst="rect">
                      <a:avLst/>
                    </a:prstGeom>
                    <a:noFill/>
                    <a:ln>
                      <a:noFill/>
                    </a:ln>
                  </pic:spPr>
                </pic:pic>
              </a:graphicData>
            </a:graphic>
          </wp:inline>
        </w:drawing>
      </w:r>
    </w:p>
    <w:p w:rsidR="00212513" w:rsidRDefault="00212513">
      <w:pPr>
        <w:pStyle w:val="ConsPlusNormal"/>
        <w:jc w:val="center"/>
      </w:pPr>
    </w:p>
    <w:p w:rsidR="00212513" w:rsidRDefault="00212513">
      <w:pPr>
        <w:pStyle w:val="ConsPlusNormal"/>
        <w:jc w:val="center"/>
      </w:pPr>
      <w:bookmarkStart w:id="561" w:name="P16801"/>
      <w:bookmarkEnd w:id="561"/>
      <w:r>
        <w:rPr>
          <w:b/>
          <w:i/>
        </w:rPr>
        <w:t>Рисунок Ц.3</w:t>
      </w:r>
      <w:r>
        <w:t xml:space="preserve"> </w:t>
      </w:r>
      <w:r>
        <w:rPr>
          <w:b/>
        </w:rPr>
        <w:t>- Расположение проверяемого на выносливость</w:t>
      </w:r>
    </w:p>
    <w:p w:rsidR="00212513" w:rsidRDefault="00212513">
      <w:pPr>
        <w:pStyle w:val="ConsPlusNormal"/>
        <w:jc w:val="center"/>
      </w:pPr>
      <w:r>
        <w:rPr>
          <w:b/>
        </w:rPr>
        <w:t>расчетного сечения А-А по основному металлу в сечении брутто</w:t>
      </w:r>
    </w:p>
    <w:p w:rsidR="00212513" w:rsidRDefault="00212513">
      <w:pPr>
        <w:pStyle w:val="ConsPlusNormal"/>
        <w:jc w:val="center"/>
      </w:pPr>
      <w:r>
        <w:rPr>
          <w:b/>
        </w:rPr>
        <w:t>по первому ряду высокопрочных болтов в прикреплении фасонки</w:t>
      </w:r>
    </w:p>
    <w:p w:rsidR="00212513" w:rsidRDefault="00212513">
      <w:pPr>
        <w:pStyle w:val="ConsPlusNormal"/>
        <w:jc w:val="center"/>
      </w:pPr>
      <w:r>
        <w:rPr>
          <w:b/>
        </w:rPr>
        <w:t>к нестыкуемым в данном узле поясам сплошных балок</w:t>
      </w:r>
    </w:p>
    <w:p w:rsidR="00212513" w:rsidRDefault="00212513">
      <w:pPr>
        <w:pStyle w:val="ConsPlusNormal"/>
        <w:jc w:val="center"/>
      </w:pPr>
      <w:r>
        <w:rPr>
          <w:b/>
        </w:rPr>
        <w:t>и элементам решетчатых форм</w:t>
      </w:r>
    </w:p>
    <w:p w:rsidR="00212513" w:rsidRDefault="00212513">
      <w:pPr>
        <w:pStyle w:val="ConsPlusNormal"/>
        <w:jc w:val="center"/>
      </w:pPr>
    </w:p>
    <w:p w:rsidR="00212513" w:rsidRDefault="00212513">
      <w:pPr>
        <w:pStyle w:val="ConsPlusNormal"/>
        <w:jc w:val="center"/>
      </w:pPr>
    </w:p>
    <w:p w:rsidR="00212513" w:rsidRDefault="00212513">
      <w:pPr>
        <w:pStyle w:val="ConsPlusNormal"/>
        <w:jc w:val="center"/>
      </w:pPr>
    </w:p>
    <w:p w:rsidR="00212513" w:rsidRDefault="00212513">
      <w:pPr>
        <w:pStyle w:val="ConsPlusNormal"/>
        <w:jc w:val="center"/>
      </w:pPr>
      <w:r>
        <w:rPr>
          <w:noProof/>
          <w:position w:val="-85"/>
        </w:rPr>
        <w:drawing>
          <wp:inline distT="0" distB="0" distL="0" distR="0">
            <wp:extent cx="1596390" cy="1230630"/>
            <wp:effectExtent l="0" t="0" r="0" b="0"/>
            <wp:docPr id="29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8" cstate="print">
                      <a:extLst>
                        <a:ext uri="{28A0092B-C50C-407E-A947-70E740481C1C}">
                          <a14:useLocalDpi xmlns:a14="http://schemas.microsoft.com/office/drawing/2010/main" val="0"/>
                        </a:ext>
                      </a:extLst>
                    </a:blip>
                    <a:srcRect/>
                    <a:stretch>
                      <a:fillRect/>
                    </a:stretch>
                  </pic:blipFill>
                  <pic:spPr bwMode="auto">
                    <a:xfrm>
                      <a:off x="0" y="0"/>
                      <a:ext cx="1596390" cy="1230630"/>
                    </a:xfrm>
                    <a:prstGeom prst="rect">
                      <a:avLst/>
                    </a:prstGeom>
                    <a:noFill/>
                    <a:ln>
                      <a:noFill/>
                    </a:ln>
                  </pic:spPr>
                </pic:pic>
              </a:graphicData>
            </a:graphic>
          </wp:inline>
        </w:drawing>
      </w:r>
    </w:p>
    <w:p w:rsidR="00212513" w:rsidRDefault="00212513">
      <w:pPr>
        <w:pStyle w:val="ConsPlusNormal"/>
        <w:jc w:val="center"/>
      </w:pPr>
    </w:p>
    <w:p w:rsidR="00212513" w:rsidRDefault="00212513">
      <w:pPr>
        <w:pStyle w:val="ConsPlusNormal"/>
        <w:jc w:val="center"/>
      </w:pPr>
      <w:bookmarkStart w:id="562" w:name="P16811"/>
      <w:bookmarkEnd w:id="562"/>
      <w:r>
        <w:rPr>
          <w:b/>
          <w:i/>
        </w:rPr>
        <w:t>Рисунок Ц.4</w:t>
      </w:r>
      <w:r>
        <w:t xml:space="preserve"> </w:t>
      </w:r>
      <w:r>
        <w:rPr>
          <w:b/>
        </w:rPr>
        <w:t>- Расположение проверяемого на выносливость</w:t>
      </w:r>
    </w:p>
    <w:p w:rsidR="00212513" w:rsidRDefault="00212513">
      <w:pPr>
        <w:pStyle w:val="ConsPlusNormal"/>
        <w:jc w:val="center"/>
      </w:pPr>
      <w:r>
        <w:rPr>
          <w:b/>
        </w:rPr>
        <w:t>расчетного сечения А-А по основному металлу в сечении брутто</w:t>
      </w:r>
    </w:p>
    <w:p w:rsidR="00212513" w:rsidRDefault="00212513">
      <w:pPr>
        <w:pStyle w:val="ConsPlusNormal"/>
        <w:jc w:val="center"/>
      </w:pPr>
      <w:r>
        <w:rPr>
          <w:b/>
        </w:rPr>
        <w:t>по первому ряду высокопрочных болтов в прикреплении к узлу</w:t>
      </w:r>
    </w:p>
    <w:p w:rsidR="00212513" w:rsidRDefault="00212513">
      <w:pPr>
        <w:pStyle w:val="ConsPlusNormal"/>
        <w:jc w:val="center"/>
      </w:pPr>
      <w:r>
        <w:rPr>
          <w:b/>
        </w:rPr>
        <w:t>или в стыке двухстенчатых элементов</w:t>
      </w:r>
    </w:p>
    <w:p w:rsidR="00212513" w:rsidRDefault="00212513">
      <w:pPr>
        <w:pStyle w:val="ConsPlusNormal"/>
        <w:jc w:val="center"/>
      </w:pPr>
    </w:p>
    <w:p w:rsidR="00212513" w:rsidRDefault="00212513">
      <w:pPr>
        <w:pStyle w:val="ConsPlusNormal"/>
        <w:jc w:val="center"/>
      </w:pPr>
    </w:p>
    <w:p w:rsidR="00212513" w:rsidRDefault="00212513">
      <w:pPr>
        <w:pStyle w:val="ConsPlusNormal"/>
        <w:jc w:val="center"/>
      </w:pPr>
    </w:p>
    <w:p w:rsidR="00212513" w:rsidRDefault="00212513">
      <w:pPr>
        <w:pStyle w:val="ConsPlusNormal"/>
        <w:jc w:val="center"/>
      </w:pPr>
      <w:r>
        <w:rPr>
          <w:noProof/>
          <w:position w:val="-76"/>
        </w:rPr>
        <w:drawing>
          <wp:inline distT="0" distB="0" distL="0" distR="0">
            <wp:extent cx="1820545" cy="1113790"/>
            <wp:effectExtent l="0" t="0" r="0" b="0"/>
            <wp:docPr id="29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9" cstate="print">
                      <a:extLst>
                        <a:ext uri="{28A0092B-C50C-407E-A947-70E740481C1C}">
                          <a14:useLocalDpi xmlns:a14="http://schemas.microsoft.com/office/drawing/2010/main" val="0"/>
                        </a:ext>
                      </a:extLst>
                    </a:blip>
                    <a:srcRect/>
                    <a:stretch>
                      <a:fillRect/>
                    </a:stretch>
                  </pic:blipFill>
                  <pic:spPr bwMode="auto">
                    <a:xfrm>
                      <a:off x="0" y="0"/>
                      <a:ext cx="1820545" cy="1113790"/>
                    </a:xfrm>
                    <a:prstGeom prst="rect">
                      <a:avLst/>
                    </a:prstGeom>
                    <a:noFill/>
                    <a:ln>
                      <a:noFill/>
                    </a:ln>
                  </pic:spPr>
                </pic:pic>
              </a:graphicData>
            </a:graphic>
          </wp:inline>
        </w:drawing>
      </w:r>
    </w:p>
    <w:p w:rsidR="00212513" w:rsidRDefault="00212513">
      <w:pPr>
        <w:pStyle w:val="ConsPlusNormal"/>
        <w:jc w:val="center"/>
      </w:pPr>
    </w:p>
    <w:p w:rsidR="00212513" w:rsidRDefault="00212513">
      <w:pPr>
        <w:pStyle w:val="ConsPlusNormal"/>
        <w:jc w:val="center"/>
      </w:pPr>
      <w:bookmarkStart w:id="563" w:name="P16820"/>
      <w:bookmarkEnd w:id="563"/>
      <w:r>
        <w:rPr>
          <w:b/>
          <w:i/>
        </w:rPr>
        <w:t>Рисунок Ц.5</w:t>
      </w:r>
      <w:r>
        <w:t xml:space="preserve"> </w:t>
      </w:r>
      <w:r>
        <w:rPr>
          <w:b/>
        </w:rPr>
        <w:t>- Расположение проверяемого на выносливость</w:t>
      </w:r>
    </w:p>
    <w:p w:rsidR="00212513" w:rsidRDefault="00212513">
      <w:pPr>
        <w:pStyle w:val="ConsPlusNormal"/>
        <w:jc w:val="center"/>
      </w:pPr>
      <w:r>
        <w:rPr>
          <w:b/>
        </w:rPr>
        <w:t>расчетного сечения А-А по основному металлу в сечении брутто</w:t>
      </w:r>
    </w:p>
    <w:p w:rsidR="00212513" w:rsidRDefault="00212513">
      <w:pPr>
        <w:pStyle w:val="ConsPlusNormal"/>
        <w:jc w:val="center"/>
      </w:pPr>
      <w:r>
        <w:rPr>
          <w:b/>
        </w:rPr>
        <w:t>по первому ряду высокопрочных болтов в прикреплении</w:t>
      </w:r>
    </w:p>
    <w:p w:rsidR="00212513" w:rsidRDefault="00212513">
      <w:pPr>
        <w:pStyle w:val="ConsPlusNormal"/>
        <w:jc w:val="center"/>
      </w:pPr>
      <w:r>
        <w:rPr>
          <w:b/>
        </w:rPr>
        <w:lastRenderedPageBreak/>
        <w:t>к узлу или в стыке двухстенчатых элементов</w:t>
      </w:r>
    </w:p>
    <w:p w:rsidR="00212513" w:rsidRDefault="00212513">
      <w:pPr>
        <w:pStyle w:val="ConsPlusNormal"/>
        <w:jc w:val="center"/>
      </w:pPr>
      <w:r>
        <w:rPr>
          <w:b/>
        </w:rPr>
        <w:t>с односторонними накладками</w:t>
      </w:r>
    </w:p>
    <w:p w:rsidR="00212513" w:rsidRDefault="00212513">
      <w:pPr>
        <w:pStyle w:val="ConsPlusNormal"/>
        <w:jc w:val="center"/>
      </w:pPr>
    </w:p>
    <w:p w:rsidR="00212513" w:rsidRDefault="00212513">
      <w:pPr>
        <w:pStyle w:val="ConsPlusNormal"/>
        <w:jc w:val="center"/>
      </w:pPr>
    </w:p>
    <w:p w:rsidR="00212513" w:rsidRDefault="00212513">
      <w:pPr>
        <w:pStyle w:val="ConsPlusNormal"/>
        <w:jc w:val="center"/>
      </w:pPr>
    </w:p>
    <w:p w:rsidR="00212513" w:rsidRDefault="00212513">
      <w:pPr>
        <w:pStyle w:val="ConsPlusNormal"/>
        <w:jc w:val="center"/>
      </w:pPr>
      <w:r>
        <w:rPr>
          <w:noProof/>
          <w:position w:val="-58"/>
        </w:rPr>
        <w:drawing>
          <wp:inline distT="0" distB="0" distL="0" distR="0">
            <wp:extent cx="797560" cy="881380"/>
            <wp:effectExtent l="0" t="0" r="0" b="0"/>
            <wp:docPr id="29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0" cstate="print">
                      <a:extLst>
                        <a:ext uri="{28A0092B-C50C-407E-A947-70E740481C1C}">
                          <a14:useLocalDpi xmlns:a14="http://schemas.microsoft.com/office/drawing/2010/main" val="0"/>
                        </a:ext>
                      </a:extLst>
                    </a:blip>
                    <a:srcRect/>
                    <a:stretch>
                      <a:fillRect/>
                    </a:stretch>
                  </pic:blipFill>
                  <pic:spPr bwMode="auto">
                    <a:xfrm>
                      <a:off x="0" y="0"/>
                      <a:ext cx="797560" cy="881380"/>
                    </a:xfrm>
                    <a:prstGeom prst="rect">
                      <a:avLst/>
                    </a:prstGeom>
                    <a:noFill/>
                    <a:ln>
                      <a:noFill/>
                    </a:ln>
                  </pic:spPr>
                </pic:pic>
              </a:graphicData>
            </a:graphic>
          </wp:inline>
        </w:drawing>
      </w:r>
    </w:p>
    <w:p w:rsidR="00212513" w:rsidRDefault="00212513">
      <w:pPr>
        <w:pStyle w:val="ConsPlusNormal"/>
        <w:jc w:val="center"/>
      </w:pPr>
    </w:p>
    <w:p w:rsidR="00212513" w:rsidRDefault="00212513">
      <w:pPr>
        <w:pStyle w:val="ConsPlusNormal"/>
        <w:jc w:val="center"/>
      </w:pPr>
      <w:bookmarkStart w:id="564" w:name="P16830"/>
      <w:bookmarkEnd w:id="564"/>
      <w:r>
        <w:rPr>
          <w:b/>
          <w:i/>
        </w:rPr>
        <w:t>Рисунок Ц.6</w:t>
      </w:r>
      <w:r>
        <w:t xml:space="preserve"> </w:t>
      </w:r>
      <w:r>
        <w:rPr>
          <w:b/>
        </w:rPr>
        <w:t>- Расположение проверяемого на выносливость</w:t>
      </w:r>
    </w:p>
    <w:p w:rsidR="00212513" w:rsidRDefault="00212513">
      <w:pPr>
        <w:pStyle w:val="ConsPlusNormal"/>
        <w:jc w:val="center"/>
      </w:pPr>
      <w:r>
        <w:rPr>
          <w:b/>
        </w:rPr>
        <w:t>расчетного сечения А-А по основному металлу в сечении брутто</w:t>
      </w:r>
    </w:p>
    <w:p w:rsidR="00212513" w:rsidRDefault="00212513">
      <w:pPr>
        <w:pStyle w:val="ConsPlusNormal"/>
        <w:jc w:val="center"/>
      </w:pPr>
      <w:r>
        <w:rPr>
          <w:b/>
        </w:rPr>
        <w:t>по первому ряду высокопрочных болтов в прикреплении</w:t>
      </w:r>
    </w:p>
    <w:p w:rsidR="00212513" w:rsidRDefault="00212513">
      <w:pPr>
        <w:pStyle w:val="ConsPlusNormal"/>
        <w:jc w:val="center"/>
      </w:pPr>
      <w:r>
        <w:rPr>
          <w:b/>
        </w:rPr>
        <w:t>к узлу или в стыке одностенчатых элементов</w:t>
      </w:r>
    </w:p>
    <w:p w:rsidR="00212513" w:rsidRDefault="00212513">
      <w:pPr>
        <w:pStyle w:val="ConsPlusNormal"/>
        <w:jc w:val="center"/>
      </w:pPr>
      <w:r>
        <w:rPr>
          <w:b/>
        </w:rPr>
        <w:t>с односторонними накладками</w:t>
      </w:r>
    </w:p>
    <w:p w:rsidR="00212513" w:rsidRDefault="00212513">
      <w:pPr>
        <w:pStyle w:val="ConsPlusNormal"/>
        <w:ind w:firstLine="540"/>
        <w:jc w:val="both"/>
      </w:pPr>
    </w:p>
    <w:p w:rsidR="00212513" w:rsidRDefault="00212513">
      <w:pPr>
        <w:pStyle w:val="ConsPlusNormal"/>
        <w:jc w:val="right"/>
      </w:pPr>
      <w:bookmarkStart w:id="565" w:name="P16836"/>
      <w:bookmarkEnd w:id="565"/>
      <w:r>
        <w:t>Таблица Ц.2</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60"/>
        <w:gridCol w:w="2211"/>
      </w:tblGrid>
      <w:tr w:rsidR="00212513">
        <w:tc>
          <w:tcPr>
            <w:tcW w:w="6860" w:type="dxa"/>
            <w:tcBorders>
              <w:top w:val="single" w:sz="4" w:space="0" w:color="auto"/>
              <w:bottom w:val="single" w:sz="4" w:space="0" w:color="auto"/>
            </w:tcBorders>
            <w:vAlign w:val="center"/>
          </w:tcPr>
          <w:p w:rsidR="00212513" w:rsidRDefault="00212513">
            <w:pPr>
              <w:pStyle w:val="ConsPlusNormal"/>
              <w:jc w:val="center"/>
            </w:pPr>
            <w:r>
              <w:t>Устройства, закрепляющие или отклоняющие стальные канаты висячих, вантовых и предварительно напряженных стальных пролетных строений</w:t>
            </w:r>
          </w:p>
        </w:tc>
        <w:tc>
          <w:tcPr>
            <w:tcW w:w="2211" w:type="dxa"/>
            <w:tcBorders>
              <w:top w:val="single" w:sz="4" w:space="0" w:color="auto"/>
              <w:bottom w:val="single" w:sz="4" w:space="0" w:color="auto"/>
            </w:tcBorders>
            <w:vAlign w:val="center"/>
          </w:tcPr>
          <w:p w:rsidR="00212513" w:rsidRDefault="00212513">
            <w:pPr>
              <w:pStyle w:val="ConsPlusNormal"/>
              <w:jc w:val="center"/>
            </w:pPr>
            <w:r>
              <w:t>Эффективный коэффициент концентрации напряжений </w:t>
            </w:r>
            <w:r>
              <w:rPr>
                <w:noProof/>
                <w:position w:val="-8"/>
              </w:rPr>
              <w:drawing>
                <wp:inline distT="0" distB="0" distL="0" distR="0">
                  <wp:extent cx="199390" cy="251460"/>
                  <wp:effectExtent l="0" t="0" r="0" b="0"/>
                  <wp:docPr id="29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1"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p>
        </w:tc>
      </w:tr>
      <w:tr w:rsidR="00212513">
        <w:tblPrEx>
          <w:tblBorders>
            <w:insideH w:val="none" w:sz="0" w:space="0" w:color="auto"/>
          </w:tblBorders>
        </w:tblPrEx>
        <w:tc>
          <w:tcPr>
            <w:tcW w:w="6860" w:type="dxa"/>
            <w:tcBorders>
              <w:top w:val="single" w:sz="4" w:space="0" w:color="auto"/>
              <w:bottom w:val="nil"/>
            </w:tcBorders>
          </w:tcPr>
          <w:p w:rsidR="00212513" w:rsidRDefault="00212513">
            <w:pPr>
              <w:pStyle w:val="ConsPlusNormal"/>
            </w:pPr>
            <w:r>
              <w:t>1 Анкеры клинового типа</w:t>
            </w:r>
          </w:p>
        </w:tc>
        <w:tc>
          <w:tcPr>
            <w:tcW w:w="2211" w:type="dxa"/>
            <w:tcBorders>
              <w:top w:val="single" w:sz="4" w:space="0" w:color="auto"/>
              <w:bottom w:val="nil"/>
            </w:tcBorders>
          </w:tcPr>
          <w:p w:rsidR="00212513" w:rsidRDefault="00212513">
            <w:pPr>
              <w:pStyle w:val="ConsPlusNormal"/>
              <w:jc w:val="center"/>
            </w:pPr>
            <w:r>
              <w:t>1,1</w:t>
            </w:r>
          </w:p>
        </w:tc>
      </w:tr>
      <w:tr w:rsidR="00212513">
        <w:tblPrEx>
          <w:tblBorders>
            <w:insideH w:val="none" w:sz="0" w:space="0" w:color="auto"/>
          </w:tblBorders>
        </w:tblPrEx>
        <w:tc>
          <w:tcPr>
            <w:tcW w:w="6860" w:type="dxa"/>
            <w:tcBorders>
              <w:top w:val="nil"/>
              <w:bottom w:val="nil"/>
            </w:tcBorders>
          </w:tcPr>
          <w:p w:rsidR="00212513" w:rsidRDefault="00212513">
            <w:pPr>
              <w:pStyle w:val="ConsPlusNormal"/>
            </w:pPr>
            <w:r>
              <w:t>2 Анкеры с заливкой конца каната в конической или цилиндрической полости корпуса сплавом цветных металлов или эпоксидным компаундом</w:t>
            </w:r>
          </w:p>
        </w:tc>
        <w:tc>
          <w:tcPr>
            <w:tcW w:w="2211" w:type="dxa"/>
            <w:tcBorders>
              <w:top w:val="nil"/>
              <w:bottom w:val="nil"/>
            </w:tcBorders>
          </w:tcPr>
          <w:p w:rsidR="00212513" w:rsidRDefault="00212513">
            <w:pPr>
              <w:pStyle w:val="ConsPlusNormal"/>
              <w:jc w:val="center"/>
            </w:pPr>
            <w:r>
              <w:t>1,3</w:t>
            </w:r>
          </w:p>
        </w:tc>
      </w:tr>
      <w:tr w:rsidR="00212513">
        <w:tblPrEx>
          <w:tblBorders>
            <w:insideH w:val="none" w:sz="0" w:space="0" w:color="auto"/>
          </w:tblBorders>
        </w:tblPrEx>
        <w:tc>
          <w:tcPr>
            <w:tcW w:w="6860" w:type="dxa"/>
            <w:tcBorders>
              <w:top w:val="nil"/>
              <w:bottom w:val="nil"/>
            </w:tcBorders>
          </w:tcPr>
          <w:p w:rsidR="00212513" w:rsidRDefault="00212513">
            <w:pPr>
              <w:pStyle w:val="ConsPlusNormal"/>
            </w:pPr>
            <w:r>
              <w:t>3 Анкеры со сплющиванием концов круглых проволок, защемлением их в анкерной плите и заполнением пустот эпоксидным компаундом с наполнителем из стальной дроби</w:t>
            </w:r>
          </w:p>
        </w:tc>
        <w:tc>
          <w:tcPr>
            <w:tcW w:w="2211" w:type="dxa"/>
            <w:tcBorders>
              <w:top w:val="nil"/>
              <w:bottom w:val="nil"/>
            </w:tcBorders>
          </w:tcPr>
          <w:p w:rsidR="00212513" w:rsidRDefault="00212513">
            <w:pPr>
              <w:pStyle w:val="ConsPlusNormal"/>
              <w:jc w:val="center"/>
            </w:pPr>
            <w:r>
              <w:t>1,1</w:t>
            </w:r>
          </w:p>
        </w:tc>
      </w:tr>
      <w:tr w:rsidR="00212513">
        <w:tblPrEx>
          <w:tblBorders>
            <w:insideH w:val="none" w:sz="0" w:space="0" w:color="auto"/>
          </w:tblBorders>
        </w:tblPrEx>
        <w:tc>
          <w:tcPr>
            <w:tcW w:w="6860" w:type="dxa"/>
            <w:tcBorders>
              <w:top w:val="nil"/>
              <w:bottom w:val="nil"/>
            </w:tcBorders>
          </w:tcPr>
          <w:p w:rsidR="00212513" w:rsidRDefault="00212513">
            <w:pPr>
              <w:pStyle w:val="ConsPlusNormal"/>
            </w:pPr>
            <w:r>
              <w:t>4 Отклоняющие канат устройства, в том числе стяжки и сжимы, имеющие круговое очертание ложа, скругление радиусом 5 мм у торцов (в месте выхода каната) и укороченную на 40 мм (по сравнению с длиной ложа) прижимную накладку:</w:t>
            </w:r>
          </w:p>
        </w:tc>
        <w:tc>
          <w:tcPr>
            <w:tcW w:w="2211" w:type="dxa"/>
            <w:tcBorders>
              <w:top w:val="nil"/>
              <w:bottom w:val="nil"/>
            </w:tcBorders>
          </w:tcPr>
          <w:p w:rsidR="00212513" w:rsidRDefault="00212513">
            <w:pPr>
              <w:pStyle w:val="ConsPlusNormal"/>
              <w:jc w:val="center"/>
            </w:pPr>
          </w:p>
        </w:tc>
      </w:tr>
      <w:tr w:rsidR="00212513">
        <w:tblPrEx>
          <w:tblBorders>
            <w:insideH w:val="none" w:sz="0" w:space="0" w:color="auto"/>
          </w:tblBorders>
        </w:tblPrEx>
        <w:tc>
          <w:tcPr>
            <w:tcW w:w="6860" w:type="dxa"/>
            <w:tcBorders>
              <w:top w:val="nil"/>
              <w:bottom w:val="nil"/>
            </w:tcBorders>
          </w:tcPr>
          <w:p w:rsidR="00212513" w:rsidRDefault="00212513">
            <w:pPr>
              <w:pStyle w:val="ConsPlusNormal"/>
              <w:ind w:left="283"/>
            </w:pPr>
            <w:r>
              <w:t xml:space="preserve">при непосредственном контакте каната со стальным ложем и поперечном давлении </w:t>
            </w:r>
            <w:r>
              <w:rPr>
                <w:i/>
              </w:rPr>
              <w:t>q</w:t>
            </w:r>
            <w:r>
              <w:t xml:space="preserve"> = </w:t>
            </w:r>
            <w:r>
              <w:rPr>
                <w:i/>
              </w:rPr>
              <w:t>N</w:t>
            </w:r>
            <w:r>
              <w:t>/</w:t>
            </w:r>
            <w:r>
              <w:rPr>
                <w:i/>
              </w:rPr>
              <w:t>r</w:t>
            </w:r>
            <w:r>
              <w:t xml:space="preserve"> &lt;= 1 МН/м</w:t>
            </w:r>
          </w:p>
        </w:tc>
        <w:tc>
          <w:tcPr>
            <w:tcW w:w="2211" w:type="dxa"/>
            <w:tcBorders>
              <w:top w:val="nil"/>
              <w:bottom w:val="nil"/>
            </w:tcBorders>
          </w:tcPr>
          <w:p w:rsidR="00212513" w:rsidRDefault="00212513">
            <w:pPr>
              <w:pStyle w:val="ConsPlusNormal"/>
              <w:jc w:val="center"/>
            </w:pPr>
            <w:r>
              <w:t>1,2</w:t>
            </w:r>
          </w:p>
        </w:tc>
      </w:tr>
      <w:tr w:rsidR="00212513">
        <w:tblPrEx>
          <w:tblBorders>
            <w:insideH w:val="none" w:sz="0" w:space="0" w:color="auto"/>
          </w:tblBorders>
        </w:tblPrEx>
        <w:tc>
          <w:tcPr>
            <w:tcW w:w="6860" w:type="dxa"/>
            <w:tcBorders>
              <w:top w:val="nil"/>
              <w:bottom w:val="nil"/>
            </w:tcBorders>
          </w:tcPr>
          <w:p w:rsidR="00212513" w:rsidRDefault="00212513">
            <w:pPr>
              <w:pStyle w:val="ConsPlusNormal"/>
              <w:ind w:left="283"/>
            </w:pPr>
            <w:r>
              <w:t>при контакте каната со стальным ложем через мягкую прокладку толщиной t &gt;= 1 мм и поперечном давлении</w:t>
            </w:r>
          </w:p>
          <w:p w:rsidR="00212513" w:rsidRDefault="00212513">
            <w:pPr>
              <w:pStyle w:val="ConsPlusNormal"/>
              <w:ind w:left="283"/>
            </w:pPr>
            <w:r>
              <w:rPr>
                <w:i/>
              </w:rPr>
              <w:t>q</w:t>
            </w:r>
            <w:r>
              <w:t xml:space="preserve"> = </w:t>
            </w:r>
            <w:r>
              <w:rPr>
                <w:i/>
              </w:rPr>
              <w:t>N</w:t>
            </w:r>
            <w:r>
              <w:t>/</w:t>
            </w:r>
            <w:r>
              <w:rPr>
                <w:i/>
              </w:rPr>
              <w:t>r</w:t>
            </w:r>
            <w:r>
              <w:t xml:space="preserve"> &lt;= 2 МН/м</w:t>
            </w:r>
          </w:p>
        </w:tc>
        <w:tc>
          <w:tcPr>
            <w:tcW w:w="2211" w:type="dxa"/>
            <w:tcBorders>
              <w:top w:val="nil"/>
              <w:bottom w:val="nil"/>
            </w:tcBorders>
          </w:tcPr>
          <w:p w:rsidR="00212513" w:rsidRDefault="00212513">
            <w:pPr>
              <w:pStyle w:val="ConsPlusNormal"/>
              <w:jc w:val="center"/>
            </w:pPr>
            <w:r>
              <w:t>1,2</w:t>
            </w:r>
          </w:p>
        </w:tc>
      </w:tr>
      <w:tr w:rsidR="00212513">
        <w:tblPrEx>
          <w:tblBorders>
            <w:insideH w:val="none" w:sz="0" w:space="0" w:color="auto"/>
          </w:tblBorders>
        </w:tblPrEx>
        <w:tc>
          <w:tcPr>
            <w:tcW w:w="6860" w:type="dxa"/>
            <w:tcBorders>
              <w:top w:val="nil"/>
              <w:bottom w:val="nil"/>
            </w:tcBorders>
          </w:tcPr>
          <w:p w:rsidR="00212513" w:rsidRDefault="00212513">
            <w:pPr>
              <w:pStyle w:val="ConsPlusNormal"/>
            </w:pPr>
            <w:r>
              <w:t>5 Хомуты подвесок; стяжки и сжимы без отклонения каната при поперечном давлении:</w:t>
            </w:r>
          </w:p>
        </w:tc>
        <w:tc>
          <w:tcPr>
            <w:tcW w:w="2211" w:type="dxa"/>
            <w:tcBorders>
              <w:top w:val="nil"/>
              <w:bottom w:val="nil"/>
            </w:tcBorders>
          </w:tcPr>
          <w:p w:rsidR="00212513" w:rsidRDefault="00212513">
            <w:pPr>
              <w:pStyle w:val="ConsPlusNormal"/>
              <w:jc w:val="center"/>
            </w:pPr>
          </w:p>
        </w:tc>
      </w:tr>
      <w:tr w:rsidR="00212513">
        <w:tblPrEx>
          <w:tblBorders>
            <w:insideH w:val="none" w:sz="0" w:space="0" w:color="auto"/>
          </w:tblBorders>
        </w:tblPrEx>
        <w:tc>
          <w:tcPr>
            <w:tcW w:w="6860" w:type="dxa"/>
            <w:tcBorders>
              <w:top w:val="nil"/>
              <w:bottom w:val="nil"/>
            </w:tcBorders>
          </w:tcPr>
          <w:p w:rsidR="00212513" w:rsidRDefault="00212513">
            <w:pPr>
              <w:pStyle w:val="ConsPlusNormal"/>
              <w:ind w:left="283"/>
            </w:pPr>
            <w:r>
              <w:rPr>
                <w:i/>
              </w:rPr>
              <w:t>q</w:t>
            </w:r>
            <w:r>
              <w:t xml:space="preserve"> &lt;= 1 МН/м и непосредственном контакте с канатом</w:t>
            </w:r>
          </w:p>
        </w:tc>
        <w:tc>
          <w:tcPr>
            <w:tcW w:w="2211" w:type="dxa"/>
            <w:tcBorders>
              <w:top w:val="nil"/>
              <w:bottom w:val="nil"/>
            </w:tcBorders>
          </w:tcPr>
          <w:p w:rsidR="00212513" w:rsidRDefault="00212513">
            <w:pPr>
              <w:pStyle w:val="ConsPlusNormal"/>
              <w:jc w:val="center"/>
            </w:pPr>
            <w:r>
              <w:t>1,1</w:t>
            </w:r>
          </w:p>
        </w:tc>
      </w:tr>
      <w:tr w:rsidR="00212513">
        <w:tblPrEx>
          <w:tblBorders>
            <w:insideH w:val="none" w:sz="0" w:space="0" w:color="auto"/>
          </w:tblBorders>
        </w:tblPrEx>
        <w:tc>
          <w:tcPr>
            <w:tcW w:w="6860" w:type="dxa"/>
            <w:tcBorders>
              <w:top w:val="nil"/>
              <w:bottom w:val="single" w:sz="4" w:space="0" w:color="auto"/>
            </w:tcBorders>
          </w:tcPr>
          <w:p w:rsidR="00212513" w:rsidRDefault="00212513">
            <w:pPr>
              <w:pStyle w:val="ConsPlusNormal"/>
              <w:ind w:left="283"/>
            </w:pPr>
            <w:r>
              <w:rPr>
                <w:i/>
              </w:rPr>
              <w:t>q</w:t>
            </w:r>
            <w:r>
              <w:t xml:space="preserve"> &lt;= 2 МН/м и контакте с канатом через мягкую прокладку толщиной </w:t>
            </w:r>
            <w:r>
              <w:rPr>
                <w:i/>
              </w:rPr>
              <w:t>t</w:t>
            </w:r>
            <w:r>
              <w:t xml:space="preserve"> &gt;= 1 мм</w:t>
            </w:r>
          </w:p>
        </w:tc>
        <w:tc>
          <w:tcPr>
            <w:tcW w:w="2211" w:type="dxa"/>
            <w:tcBorders>
              <w:top w:val="nil"/>
              <w:bottom w:val="single" w:sz="4" w:space="0" w:color="auto"/>
            </w:tcBorders>
          </w:tcPr>
          <w:p w:rsidR="00212513" w:rsidRDefault="00212513">
            <w:pPr>
              <w:pStyle w:val="ConsPlusNormal"/>
              <w:jc w:val="center"/>
            </w:pPr>
            <w:r>
              <w:t>1,1</w:t>
            </w:r>
          </w:p>
        </w:tc>
      </w:tr>
      <w:tr w:rsidR="00212513">
        <w:tc>
          <w:tcPr>
            <w:tcW w:w="9071" w:type="dxa"/>
            <w:gridSpan w:val="2"/>
            <w:tcBorders>
              <w:top w:val="single" w:sz="4" w:space="0" w:color="auto"/>
              <w:bottom w:val="single" w:sz="4" w:space="0" w:color="auto"/>
            </w:tcBorders>
          </w:tcPr>
          <w:p w:rsidR="00212513" w:rsidRDefault="00212513">
            <w:pPr>
              <w:pStyle w:val="ConsPlusNormal"/>
              <w:ind w:firstLine="283"/>
              <w:jc w:val="both"/>
            </w:pPr>
            <w:r>
              <w:t xml:space="preserve">Обозначения, принятые в </w:t>
            </w:r>
            <w:hyperlink w:anchor="P16836">
              <w:r>
                <w:rPr>
                  <w:color w:val="0000FF"/>
                </w:rPr>
                <w:t>таблице Ц.2</w:t>
              </w:r>
            </w:hyperlink>
            <w:r>
              <w:t>:</w:t>
            </w:r>
          </w:p>
          <w:p w:rsidR="00212513" w:rsidRDefault="00212513">
            <w:pPr>
              <w:pStyle w:val="ConsPlusNormal"/>
              <w:ind w:firstLine="283"/>
              <w:jc w:val="both"/>
            </w:pPr>
            <w:r>
              <w:rPr>
                <w:i/>
              </w:rPr>
              <w:lastRenderedPageBreak/>
              <w:t>N</w:t>
            </w:r>
            <w:r>
              <w:t xml:space="preserve"> - усилие в канате, МН;</w:t>
            </w:r>
          </w:p>
          <w:p w:rsidR="00212513" w:rsidRDefault="00212513">
            <w:pPr>
              <w:pStyle w:val="ConsPlusNormal"/>
              <w:ind w:firstLine="283"/>
              <w:jc w:val="both"/>
            </w:pPr>
            <w:r>
              <w:rPr>
                <w:i/>
              </w:rPr>
              <w:t>r</w:t>
            </w:r>
            <w:r>
              <w:t xml:space="preserve"> - радиус, м, кривой изгиба каната в отклоняющем устройстве.</w:t>
            </w:r>
          </w:p>
        </w:tc>
      </w:tr>
    </w:tbl>
    <w:p w:rsidR="00212513" w:rsidRDefault="00212513">
      <w:pPr>
        <w:pStyle w:val="ConsPlusNormal"/>
        <w:ind w:firstLine="540"/>
        <w:jc w:val="both"/>
      </w:pPr>
    </w:p>
    <w:p w:rsidR="00212513" w:rsidRDefault="00212513">
      <w:pPr>
        <w:pStyle w:val="ConsPlusNormal"/>
        <w:jc w:val="right"/>
      </w:pPr>
      <w:bookmarkStart w:id="566" w:name="P16863"/>
      <w:bookmarkEnd w:id="566"/>
      <w:r>
        <w:t>Таблица Ц.3</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76"/>
        <w:gridCol w:w="1264"/>
        <w:gridCol w:w="1264"/>
        <w:gridCol w:w="1264"/>
        <w:gridCol w:w="1264"/>
        <w:gridCol w:w="1266"/>
        <w:gridCol w:w="1378"/>
      </w:tblGrid>
      <w:tr w:rsidR="00212513">
        <w:tc>
          <w:tcPr>
            <w:tcW w:w="1376" w:type="dxa"/>
            <w:vAlign w:val="center"/>
          </w:tcPr>
          <w:p w:rsidR="00212513" w:rsidRDefault="00212513">
            <w:pPr>
              <w:pStyle w:val="ConsPlusNormal"/>
              <w:jc w:val="center"/>
            </w:pPr>
            <w:r>
              <w:rPr>
                <w:i/>
              </w:rPr>
              <w:t>N</w:t>
            </w:r>
          </w:p>
        </w:tc>
        <w:tc>
          <w:tcPr>
            <w:tcW w:w="1264" w:type="dxa"/>
            <w:vAlign w:val="center"/>
          </w:tcPr>
          <w:p w:rsidR="00212513" w:rsidRDefault="00212513">
            <w:pPr>
              <w:pStyle w:val="ConsPlusNormal"/>
              <w:jc w:val="center"/>
            </w:pPr>
            <w:r>
              <w:t>1 - 3</w:t>
            </w:r>
          </w:p>
        </w:tc>
        <w:tc>
          <w:tcPr>
            <w:tcW w:w="1264" w:type="dxa"/>
            <w:vAlign w:val="center"/>
          </w:tcPr>
          <w:p w:rsidR="00212513" w:rsidRDefault="00212513">
            <w:pPr>
              <w:pStyle w:val="ConsPlusNormal"/>
              <w:jc w:val="center"/>
            </w:pPr>
            <w:r>
              <w:t>4 - 6</w:t>
            </w:r>
          </w:p>
        </w:tc>
        <w:tc>
          <w:tcPr>
            <w:tcW w:w="1264" w:type="dxa"/>
            <w:vAlign w:val="center"/>
          </w:tcPr>
          <w:p w:rsidR="00212513" w:rsidRDefault="00212513">
            <w:pPr>
              <w:pStyle w:val="ConsPlusNormal"/>
              <w:jc w:val="center"/>
            </w:pPr>
            <w:r>
              <w:t>7 - 8</w:t>
            </w:r>
          </w:p>
        </w:tc>
        <w:tc>
          <w:tcPr>
            <w:tcW w:w="1264" w:type="dxa"/>
            <w:vAlign w:val="center"/>
          </w:tcPr>
          <w:p w:rsidR="00212513" w:rsidRDefault="00212513">
            <w:pPr>
              <w:pStyle w:val="ConsPlusNormal"/>
              <w:jc w:val="center"/>
            </w:pPr>
            <w:r>
              <w:t>9 - 10</w:t>
            </w:r>
          </w:p>
        </w:tc>
        <w:tc>
          <w:tcPr>
            <w:tcW w:w="1266" w:type="dxa"/>
            <w:vAlign w:val="center"/>
          </w:tcPr>
          <w:p w:rsidR="00212513" w:rsidRDefault="00212513">
            <w:pPr>
              <w:pStyle w:val="ConsPlusNormal"/>
              <w:jc w:val="center"/>
            </w:pPr>
            <w:r>
              <w:t>11 - 15</w:t>
            </w:r>
          </w:p>
        </w:tc>
        <w:tc>
          <w:tcPr>
            <w:tcW w:w="1378" w:type="dxa"/>
            <w:vAlign w:val="center"/>
          </w:tcPr>
          <w:p w:rsidR="00212513" w:rsidRDefault="00212513">
            <w:pPr>
              <w:pStyle w:val="ConsPlusNormal"/>
              <w:jc w:val="center"/>
            </w:pPr>
            <w:r>
              <w:t>16 и более</w:t>
            </w:r>
          </w:p>
        </w:tc>
      </w:tr>
      <w:tr w:rsidR="00212513">
        <w:tc>
          <w:tcPr>
            <w:tcW w:w="1376" w:type="dxa"/>
            <w:vAlign w:val="center"/>
          </w:tcPr>
          <w:p w:rsidR="00212513" w:rsidRDefault="00212513">
            <w:pPr>
              <w:pStyle w:val="ConsPlusNormal"/>
              <w:jc w:val="center"/>
            </w:pPr>
            <w:r>
              <w:rPr>
                <w:noProof/>
                <w:position w:val="-9"/>
              </w:rPr>
              <w:drawing>
                <wp:inline distT="0" distB="0" distL="0" distR="0">
                  <wp:extent cx="241300" cy="262255"/>
                  <wp:effectExtent l="0" t="0" r="0" b="0"/>
                  <wp:docPr id="29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2" cstate="print">
                            <a:extLst>
                              <a:ext uri="{28A0092B-C50C-407E-A947-70E740481C1C}">
                                <a14:useLocalDpi xmlns:a14="http://schemas.microsoft.com/office/drawing/2010/main" val="0"/>
                              </a:ext>
                            </a:extLst>
                          </a:blip>
                          <a:srcRect/>
                          <a:stretch>
                            <a:fillRect/>
                          </a:stretch>
                        </pic:blipFill>
                        <pic:spPr bwMode="auto">
                          <a:xfrm>
                            <a:off x="0" y="0"/>
                            <a:ext cx="241300" cy="262255"/>
                          </a:xfrm>
                          <a:prstGeom prst="rect">
                            <a:avLst/>
                          </a:prstGeom>
                          <a:noFill/>
                          <a:ln>
                            <a:noFill/>
                          </a:ln>
                        </pic:spPr>
                      </pic:pic>
                    </a:graphicData>
                  </a:graphic>
                </wp:inline>
              </w:drawing>
            </w:r>
          </w:p>
        </w:tc>
        <w:tc>
          <w:tcPr>
            <w:tcW w:w="1264" w:type="dxa"/>
            <w:vAlign w:val="center"/>
          </w:tcPr>
          <w:p w:rsidR="00212513" w:rsidRDefault="00212513">
            <w:pPr>
              <w:pStyle w:val="ConsPlusNormal"/>
              <w:jc w:val="center"/>
            </w:pPr>
            <w:r>
              <w:t>1,00</w:t>
            </w:r>
          </w:p>
        </w:tc>
        <w:tc>
          <w:tcPr>
            <w:tcW w:w="1264" w:type="dxa"/>
            <w:vAlign w:val="center"/>
          </w:tcPr>
          <w:p w:rsidR="00212513" w:rsidRDefault="00212513">
            <w:pPr>
              <w:pStyle w:val="ConsPlusNormal"/>
              <w:jc w:val="center"/>
            </w:pPr>
            <w:r>
              <w:t>1,05</w:t>
            </w:r>
          </w:p>
        </w:tc>
        <w:tc>
          <w:tcPr>
            <w:tcW w:w="1264" w:type="dxa"/>
            <w:vAlign w:val="center"/>
          </w:tcPr>
          <w:p w:rsidR="00212513" w:rsidRDefault="00212513">
            <w:pPr>
              <w:pStyle w:val="ConsPlusNormal"/>
              <w:jc w:val="center"/>
            </w:pPr>
            <w:r>
              <w:t>1,12</w:t>
            </w:r>
          </w:p>
        </w:tc>
        <w:tc>
          <w:tcPr>
            <w:tcW w:w="1264" w:type="dxa"/>
            <w:vAlign w:val="center"/>
          </w:tcPr>
          <w:p w:rsidR="00212513" w:rsidRDefault="00212513">
            <w:pPr>
              <w:pStyle w:val="ConsPlusNormal"/>
              <w:jc w:val="center"/>
            </w:pPr>
            <w:r>
              <w:t>1,16</w:t>
            </w:r>
          </w:p>
        </w:tc>
        <w:tc>
          <w:tcPr>
            <w:tcW w:w="1266" w:type="dxa"/>
            <w:vAlign w:val="center"/>
          </w:tcPr>
          <w:p w:rsidR="00212513" w:rsidRDefault="00212513">
            <w:pPr>
              <w:pStyle w:val="ConsPlusNormal"/>
              <w:jc w:val="center"/>
            </w:pPr>
            <w:r>
              <w:t>1,20</w:t>
            </w:r>
          </w:p>
        </w:tc>
        <w:tc>
          <w:tcPr>
            <w:tcW w:w="1378" w:type="dxa"/>
            <w:vAlign w:val="center"/>
          </w:tcPr>
          <w:p w:rsidR="00212513" w:rsidRDefault="00212513">
            <w:pPr>
              <w:pStyle w:val="ConsPlusNormal"/>
              <w:jc w:val="center"/>
            </w:pPr>
            <w:r>
              <w:t>1,23</w:t>
            </w:r>
          </w:p>
        </w:tc>
      </w:tr>
    </w:tbl>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jc w:val="right"/>
        <w:outlineLvl w:val="0"/>
      </w:pPr>
      <w:r>
        <w:rPr>
          <w:b/>
        </w:rPr>
        <w:t>Приложение Ш</w:t>
      </w:r>
    </w:p>
    <w:p w:rsidR="00212513" w:rsidRDefault="00212513">
      <w:pPr>
        <w:pStyle w:val="ConsPlusNormal"/>
        <w:jc w:val="right"/>
      </w:pPr>
      <w:r>
        <w:rPr>
          <w:b/>
        </w:rPr>
        <w:t>(обязательное)</w:t>
      </w:r>
    </w:p>
    <w:p w:rsidR="00212513" w:rsidRDefault="00212513">
      <w:pPr>
        <w:pStyle w:val="ConsPlusNormal"/>
        <w:ind w:firstLine="540"/>
        <w:jc w:val="both"/>
      </w:pPr>
    </w:p>
    <w:p w:rsidR="00212513" w:rsidRDefault="00212513">
      <w:pPr>
        <w:pStyle w:val="ConsPlusTitle"/>
        <w:jc w:val="center"/>
      </w:pPr>
      <w:bookmarkStart w:id="567" w:name="P16887"/>
      <w:bookmarkEnd w:id="567"/>
      <w:r>
        <w:t>РАСЧЕТ ОРТОТРОПНОЙ ПЛИТЫ ПРОЕЗЖЕЙ ЧАСТИ</w:t>
      </w:r>
    </w:p>
    <w:p w:rsidR="00212513" w:rsidRDefault="00212513">
      <w:pPr>
        <w:pStyle w:val="ConsPlusTitle"/>
        <w:jc w:val="center"/>
      </w:pPr>
      <w:r>
        <w:t>ПО ПРОЧНОСТИ И УСТОЙЧИВОСТИ</w:t>
      </w:r>
    </w:p>
    <w:p w:rsidR="00212513" w:rsidRDefault="00212513">
      <w:pPr>
        <w:pStyle w:val="ConsPlusNormal"/>
        <w:ind w:firstLine="540"/>
        <w:jc w:val="both"/>
      </w:pPr>
    </w:p>
    <w:p w:rsidR="00212513" w:rsidRDefault="00212513">
      <w:pPr>
        <w:pStyle w:val="ConsPlusNormal"/>
        <w:ind w:firstLine="540"/>
        <w:jc w:val="both"/>
      </w:pPr>
      <w:r>
        <w:t>Ш.1 Метод расчета ортотропной плиты должен учитывать совместную работу листа настила, подкрепляющих его ребер и главных балок.</w:t>
      </w:r>
    </w:p>
    <w:p w:rsidR="00212513" w:rsidRDefault="00212513">
      <w:pPr>
        <w:pStyle w:val="ConsPlusNormal"/>
        <w:spacing w:before="220"/>
        <w:ind w:firstLine="540"/>
        <w:jc w:val="both"/>
      </w:pPr>
      <w:r>
        <w:t>Ш.2 Ортотропную плиту допускается условно разделять на отдельные системы - продольные и поперечные ребра с соответствующими участками листа настила (рисунок Ш.1).</w:t>
      </w:r>
    </w:p>
    <w:p w:rsidR="00212513" w:rsidRDefault="00212513">
      <w:pPr>
        <w:pStyle w:val="ConsPlusNormal"/>
        <w:ind w:firstLine="540"/>
        <w:jc w:val="both"/>
      </w:pPr>
    </w:p>
    <w:p w:rsidR="00212513" w:rsidRDefault="00212513">
      <w:pPr>
        <w:pStyle w:val="ConsPlusNormal"/>
        <w:jc w:val="center"/>
      </w:pPr>
      <w:r>
        <w:rPr>
          <w:noProof/>
          <w:position w:val="-207"/>
        </w:rPr>
        <w:drawing>
          <wp:inline distT="0" distB="0" distL="0" distR="0">
            <wp:extent cx="5565775" cy="2778125"/>
            <wp:effectExtent l="0" t="0" r="0" b="0"/>
            <wp:docPr id="29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3" cstate="print">
                      <a:extLst>
                        <a:ext uri="{28A0092B-C50C-407E-A947-70E740481C1C}">
                          <a14:useLocalDpi xmlns:a14="http://schemas.microsoft.com/office/drawing/2010/main" val="0"/>
                        </a:ext>
                      </a:extLst>
                    </a:blip>
                    <a:srcRect/>
                    <a:stretch>
                      <a:fillRect/>
                    </a:stretch>
                  </pic:blipFill>
                  <pic:spPr bwMode="auto">
                    <a:xfrm>
                      <a:off x="0" y="0"/>
                      <a:ext cx="5565775" cy="2778125"/>
                    </a:xfrm>
                    <a:prstGeom prst="rect">
                      <a:avLst/>
                    </a:prstGeom>
                    <a:noFill/>
                    <a:ln>
                      <a:noFill/>
                    </a:ln>
                  </pic:spPr>
                </pic:pic>
              </a:graphicData>
            </a:graphic>
          </wp:inline>
        </w:drawing>
      </w:r>
    </w:p>
    <w:p w:rsidR="00212513" w:rsidRDefault="00212513">
      <w:pPr>
        <w:pStyle w:val="ConsPlusNormal"/>
        <w:jc w:val="center"/>
      </w:pPr>
    </w:p>
    <w:p w:rsidR="00212513" w:rsidRDefault="00212513">
      <w:pPr>
        <w:pStyle w:val="ConsPlusNormal"/>
        <w:jc w:val="center"/>
      </w:pPr>
      <w:r>
        <w:t xml:space="preserve">1, 2, 3,..., </w:t>
      </w:r>
      <w:r>
        <w:rPr>
          <w:i/>
        </w:rPr>
        <w:t>i</w:t>
      </w:r>
      <w:r>
        <w:t xml:space="preserve"> - номер поперечного ребра верхней плиты</w:t>
      </w:r>
    </w:p>
    <w:p w:rsidR="00212513" w:rsidRDefault="00212513">
      <w:pPr>
        <w:pStyle w:val="ConsPlusNormal"/>
        <w:jc w:val="center"/>
      </w:pPr>
      <w:r>
        <w:t>а - продольный разрез; б - план; в - поперечный разрез;</w:t>
      </w:r>
    </w:p>
    <w:p w:rsidR="00212513" w:rsidRDefault="00212513">
      <w:pPr>
        <w:pStyle w:val="ConsPlusNormal"/>
        <w:jc w:val="center"/>
      </w:pPr>
      <w:r>
        <w:t>г - ребро нижней плиты</w:t>
      </w:r>
    </w:p>
    <w:p w:rsidR="00212513" w:rsidRDefault="00212513">
      <w:pPr>
        <w:pStyle w:val="ConsPlusNormal"/>
        <w:jc w:val="center"/>
      </w:pPr>
    </w:p>
    <w:p w:rsidR="00212513" w:rsidRDefault="00212513">
      <w:pPr>
        <w:pStyle w:val="ConsPlusNormal"/>
        <w:jc w:val="center"/>
      </w:pPr>
      <w:bookmarkStart w:id="568" w:name="P16899"/>
      <w:bookmarkEnd w:id="568"/>
      <w:r>
        <w:rPr>
          <w:b/>
          <w:i/>
        </w:rPr>
        <w:t>Рисунок Ш.1</w:t>
      </w:r>
      <w:r>
        <w:t xml:space="preserve"> </w:t>
      </w:r>
      <w:r>
        <w:rPr>
          <w:b/>
        </w:rPr>
        <w:t>- Коробчатое пролетное строение</w:t>
      </w:r>
    </w:p>
    <w:p w:rsidR="00212513" w:rsidRDefault="00212513">
      <w:pPr>
        <w:pStyle w:val="ConsPlusNormal"/>
        <w:ind w:firstLine="540"/>
        <w:jc w:val="both"/>
      </w:pPr>
    </w:p>
    <w:p w:rsidR="00212513" w:rsidRDefault="00212513">
      <w:pPr>
        <w:pStyle w:val="ConsPlusNormal"/>
        <w:jc w:val="center"/>
      </w:pPr>
      <w:r>
        <w:rPr>
          <w:b/>
        </w:rPr>
        <w:t>Усилия в ортотропной плите при работе на изгиб</w:t>
      </w:r>
    </w:p>
    <w:p w:rsidR="00212513" w:rsidRDefault="00212513">
      <w:pPr>
        <w:pStyle w:val="ConsPlusNormal"/>
        <w:jc w:val="center"/>
      </w:pPr>
      <w:r>
        <w:rPr>
          <w:b/>
        </w:rPr>
        <w:t>между главными балками</w:t>
      </w:r>
    </w:p>
    <w:p w:rsidR="00212513" w:rsidRDefault="00212513">
      <w:pPr>
        <w:pStyle w:val="ConsPlusNormal"/>
        <w:ind w:firstLine="540"/>
        <w:jc w:val="both"/>
      </w:pPr>
    </w:p>
    <w:p w:rsidR="00212513" w:rsidRDefault="00212513">
      <w:pPr>
        <w:pStyle w:val="ConsPlusNormal"/>
        <w:ind w:firstLine="540"/>
        <w:jc w:val="both"/>
      </w:pPr>
      <w:bookmarkStart w:id="569" w:name="P16904"/>
      <w:bookmarkEnd w:id="569"/>
      <w:r>
        <w:t xml:space="preserve">Ш.3 Изгибающие моменты в продольных ребрах ортотропной плиты следует определять по </w:t>
      </w:r>
      <w:r>
        <w:lastRenderedPageBreak/>
        <w:t>формуле</w:t>
      </w:r>
    </w:p>
    <w:p w:rsidR="00212513" w:rsidRDefault="00212513">
      <w:pPr>
        <w:pStyle w:val="ConsPlusNormal"/>
        <w:ind w:firstLine="540"/>
        <w:jc w:val="both"/>
      </w:pPr>
    </w:p>
    <w:p w:rsidR="00212513" w:rsidRDefault="00212513">
      <w:pPr>
        <w:pStyle w:val="ConsPlusNormal"/>
        <w:jc w:val="center"/>
      </w:pPr>
      <w:r>
        <w:rPr>
          <w:noProof/>
          <w:position w:val="-9"/>
        </w:rPr>
        <w:drawing>
          <wp:inline distT="0" distB="0" distL="0" distR="0">
            <wp:extent cx="1005840" cy="261620"/>
            <wp:effectExtent l="0" t="0" r="0" b="0"/>
            <wp:docPr id="29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4" cstate="print">
                      <a:extLst>
                        <a:ext uri="{28A0092B-C50C-407E-A947-70E740481C1C}">
                          <a14:useLocalDpi xmlns:a14="http://schemas.microsoft.com/office/drawing/2010/main" val="0"/>
                        </a:ext>
                      </a:extLst>
                    </a:blip>
                    <a:srcRect/>
                    <a:stretch>
                      <a:fillRect/>
                    </a:stretch>
                  </pic:blipFill>
                  <pic:spPr bwMode="auto">
                    <a:xfrm>
                      <a:off x="0" y="0"/>
                      <a:ext cx="1005840" cy="261620"/>
                    </a:xfrm>
                    <a:prstGeom prst="rect">
                      <a:avLst/>
                    </a:prstGeom>
                    <a:noFill/>
                    <a:ln>
                      <a:noFill/>
                    </a:ln>
                  </pic:spPr>
                </pic:pic>
              </a:graphicData>
            </a:graphic>
          </wp:inline>
        </w:drawing>
      </w:r>
      <w:r>
        <w:t>, (Ш.1)</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9"/>
        </w:rPr>
        <w:drawing>
          <wp:inline distT="0" distB="0" distL="0" distR="0">
            <wp:extent cx="261620" cy="261620"/>
            <wp:effectExtent l="0" t="0" r="0" b="0"/>
            <wp:docPr id="29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5" cstate="print">
                      <a:extLst>
                        <a:ext uri="{28A0092B-C50C-407E-A947-70E740481C1C}">
                          <a14:useLocalDpi xmlns:a14="http://schemas.microsoft.com/office/drawing/2010/main" val="0"/>
                        </a:ext>
                      </a:extLst>
                    </a:blip>
                    <a:srcRect/>
                    <a:stretch>
                      <a:fillRect/>
                    </a:stretch>
                  </pic:blipFill>
                  <pic:spPr bwMode="auto">
                    <a:xfrm>
                      <a:off x="0" y="0"/>
                      <a:ext cx="261620" cy="261620"/>
                    </a:xfrm>
                    <a:prstGeom prst="rect">
                      <a:avLst/>
                    </a:prstGeom>
                    <a:noFill/>
                    <a:ln>
                      <a:noFill/>
                    </a:ln>
                  </pic:spPr>
                </pic:pic>
              </a:graphicData>
            </a:graphic>
          </wp:inline>
        </w:drawing>
      </w:r>
      <w:r>
        <w:t xml:space="preserve"> - изгибающий момент в отдельном продольном ребре полного сечения, включающего прилегающие участки листа настила общей шириной, равной расстоянию </w:t>
      </w:r>
      <w:r>
        <w:rPr>
          <w:i/>
        </w:rPr>
        <w:t>a</w:t>
      </w:r>
      <w:r>
        <w:t xml:space="preserve"> между продольными ребрами (см. </w:t>
      </w:r>
      <w:hyperlink w:anchor="P16899">
        <w:r>
          <w:rPr>
            <w:color w:val="0000FF"/>
          </w:rPr>
          <w:t>рисунок Ш.1</w:t>
        </w:r>
      </w:hyperlink>
      <w:r>
        <w:t>, в), рассматриваемом как неразрезная балка на жестких опорах; момент определяется от нагрузки, расположенной непосредственно над этим ребром;</w:t>
      </w:r>
    </w:p>
    <w:p w:rsidR="00212513" w:rsidRDefault="00212513">
      <w:pPr>
        <w:pStyle w:val="ConsPlusNormal"/>
        <w:spacing w:before="220"/>
        <w:ind w:firstLine="540"/>
        <w:jc w:val="both"/>
      </w:pPr>
      <w:r>
        <w:rPr>
          <w:i/>
        </w:rPr>
        <w:t>M</w:t>
      </w:r>
      <w:r>
        <w:t xml:space="preserve"> - изгибающий момент в опорном сечении продольного ребра при изгибе ортотропной плиты между главными балками, определяемый при загружении поверхности влияния нагрузкой, прикладываемой в узлах пересечения продольных и поперечных ребер.</w:t>
      </w:r>
    </w:p>
    <w:p w:rsidR="00212513" w:rsidRDefault="00212513">
      <w:pPr>
        <w:pStyle w:val="ConsPlusNormal"/>
        <w:spacing w:before="220"/>
        <w:ind w:firstLine="540"/>
        <w:jc w:val="both"/>
      </w:pPr>
      <w:r>
        <w:t>Нагрузку, передаваемую с продольных ребер на узлы пересечения с поперечными ребрами, следует определять с помощью линии влияния опорной реакции неразрезной многопролетной балки на жестких опорах.</w:t>
      </w:r>
    </w:p>
    <w:p w:rsidR="00212513" w:rsidRDefault="00212513">
      <w:pPr>
        <w:pStyle w:val="ConsPlusNormal"/>
        <w:spacing w:before="220"/>
        <w:ind w:firstLine="540"/>
        <w:jc w:val="both"/>
      </w:pPr>
      <w:r>
        <w:t xml:space="preserve">В пределах крайних третей ширины ортотропной плиты автопроезда и в ортотропной плите однопутных железнодорожных пролетных строений с ездой поверху следует принимать </w:t>
      </w:r>
      <w:r>
        <w:rPr>
          <w:i/>
        </w:rPr>
        <w:t>M</w:t>
      </w:r>
      <w:r>
        <w:t xml:space="preserve"> = 0.</w:t>
      </w:r>
    </w:p>
    <w:p w:rsidR="00212513" w:rsidRDefault="00212513">
      <w:pPr>
        <w:pStyle w:val="ConsPlusNormal"/>
        <w:spacing w:before="220"/>
        <w:ind w:firstLine="540"/>
        <w:jc w:val="both"/>
      </w:pPr>
      <w:r>
        <w:t xml:space="preserve">Ординаты поверхности влияния для вычисления изгибающего момента </w:t>
      </w:r>
      <w:r>
        <w:rPr>
          <w:i/>
        </w:rPr>
        <w:t>M</w:t>
      </w:r>
      <w:r>
        <w:t xml:space="preserve"> в опорном сечении продольного ребра над "средним" поперечным ребром 1 (</w:t>
      </w:r>
      <w:hyperlink w:anchor="P16899">
        <w:r>
          <w:rPr>
            <w:color w:val="0000FF"/>
          </w:rPr>
          <w:t>рисунок Ш.1</w:t>
        </w:r>
      </w:hyperlink>
      <w:r>
        <w:t>, а) следует определять по формуле</w:t>
      </w:r>
    </w:p>
    <w:p w:rsidR="00212513" w:rsidRDefault="00212513">
      <w:pPr>
        <w:pStyle w:val="ConsPlusNormal"/>
        <w:ind w:firstLine="540"/>
        <w:jc w:val="both"/>
      </w:pPr>
    </w:p>
    <w:p w:rsidR="00212513" w:rsidRDefault="00212513">
      <w:pPr>
        <w:pStyle w:val="ConsPlusNormal"/>
        <w:jc w:val="center"/>
      </w:pPr>
      <w:r>
        <w:rPr>
          <w:noProof/>
          <w:position w:val="-27"/>
        </w:rPr>
        <w:drawing>
          <wp:inline distT="0" distB="0" distL="0" distR="0">
            <wp:extent cx="1902460" cy="482600"/>
            <wp:effectExtent l="0" t="0" r="0" b="0"/>
            <wp:docPr id="29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6" cstate="print">
                      <a:extLst>
                        <a:ext uri="{28A0092B-C50C-407E-A947-70E740481C1C}">
                          <a14:useLocalDpi xmlns:a14="http://schemas.microsoft.com/office/drawing/2010/main" val="0"/>
                        </a:ext>
                      </a:extLst>
                    </a:blip>
                    <a:srcRect/>
                    <a:stretch>
                      <a:fillRect/>
                    </a:stretch>
                  </pic:blipFill>
                  <pic:spPr bwMode="auto">
                    <a:xfrm>
                      <a:off x="0" y="0"/>
                      <a:ext cx="1902460" cy="482600"/>
                    </a:xfrm>
                    <a:prstGeom prst="rect">
                      <a:avLst/>
                    </a:prstGeom>
                    <a:noFill/>
                    <a:ln>
                      <a:noFill/>
                    </a:ln>
                  </pic:spPr>
                </pic:pic>
              </a:graphicData>
            </a:graphic>
          </wp:inline>
        </w:drawing>
      </w:r>
      <w:r>
        <w:t xml:space="preserve"> (Ш.2)</w:t>
      </w:r>
    </w:p>
    <w:p w:rsidR="00212513" w:rsidRDefault="00212513">
      <w:pPr>
        <w:pStyle w:val="ConsPlusNormal"/>
        <w:jc w:val="center"/>
      </w:pPr>
    </w:p>
    <w:p w:rsidR="00212513" w:rsidRDefault="00212513">
      <w:pPr>
        <w:pStyle w:val="ConsPlusNormal"/>
        <w:jc w:val="center"/>
      </w:pPr>
      <w:r>
        <w:t xml:space="preserve">(формула Ш.2 в ред. </w:t>
      </w:r>
      <w:hyperlink r:id="rId3677">
        <w:r>
          <w:rPr>
            <w:color w:val="0000FF"/>
          </w:rPr>
          <w:t>Изменения N 4</w:t>
        </w:r>
      </w:hyperlink>
      <w:r>
        <w:t>, утв. Приказом</w:t>
      </w:r>
    </w:p>
    <w:p w:rsidR="00212513" w:rsidRDefault="00212513">
      <w:pPr>
        <w:pStyle w:val="ConsPlusNormal"/>
        <w:jc w:val="center"/>
      </w:pPr>
      <w:r>
        <w:t>Минстроя России от 30.05.2024 N 361/пр)</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9"/>
        </w:rPr>
        <w:drawing>
          <wp:inline distT="0" distB="0" distL="0" distR="0">
            <wp:extent cx="273685" cy="261620"/>
            <wp:effectExtent l="0" t="0" r="0" b="0"/>
            <wp:docPr id="29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8" cstate="print">
                      <a:extLst>
                        <a:ext uri="{28A0092B-C50C-407E-A947-70E740481C1C}">
                          <a14:useLocalDpi xmlns:a14="http://schemas.microsoft.com/office/drawing/2010/main" val="0"/>
                        </a:ext>
                      </a:extLst>
                    </a:blip>
                    <a:srcRect/>
                    <a:stretch>
                      <a:fillRect/>
                    </a:stretch>
                  </pic:blipFill>
                  <pic:spPr bwMode="auto">
                    <a:xfrm>
                      <a:off x="0" y="0"/>
                      <a:ext cx="273685" cy="261620"/>
                    </a:xfrm>
                    <a:prstGeom prst="rect">
                      <a:avLst/>
                    </a:prstGeom>
                    <a:noFill/>
                    <a:ln>
                      <a:noFill/>
                    </a:ln>
                  </pic:spPr>
                </pic:pic>
              </a:graphicData>
            </a:graphic>
          </wp:inline>
        </w:drawing>
      </w:r>
      <w:r>
        <w:t xml:space="preserve"> - принимаемые по </w:t>
      </w:r>
      <w:hyperlink w:anchor="P16924">
        <w:r>
          <w:rPr>
            <w:color w:val="0000FF"/>
          </w:rPr>
          <w:t>таблице Ш.1</w:t>
        </w:r>
      </w:hyperlink>
      <w:r>
        <w:t xml:space="preserve"> (с умножением на </w:t>
      </w:r>
      <w:r>
        <w:rPr>
          <w:i/>
        </w:rPr>
        <w:t>l</w:t>
      </w:r>
      <w:r>
        <w:t xml:space="preserve">) ординаты линии влияния изгибающего момента в опорном сечении продольного ребра над "средним" поперечным ребром 1 при расположении нагрузки над поперечным ребром </w:t>
      </w:r>
      <w:r>
        <w:rPr>
          <w:i/>
        </w:rPr>
        <w:t>i</w:t>
      </w:r>
      <w:r>
        <w:t>;</w:t>
      </w:r>
    </w:p>
    <w:p w:rsidR="00212513" w:rsidRDefault="00212513">
      <w:pPr>
        <w:pStyle w:val="ConsPlusNormal"/>
        <w:spacing w:before="220"/>
        <w:ind w:firstLine="540"/>
        <w:jc w:val="both"/>
      </w:pPr>
      <w:r>
        <w:rPr>
          <w:i/>
        </w:rPr>
        <w:t>l</w:t>
      </w:r>
      <w:r>
        <w:t xml:space="preserve"> - пролет продольного ребра (</w:t>
      </w:r>
      <w:hyperlink w:anchor="P16899">
        <w:r>
          <w:rPr>
            <w:color w:val="0000FF"/>
          </w:rPr>
          <w:t>рисунок Ш.1</w:t>
        </w:r>
      </w:hyperlink>
      <w:r>
        <w:t>, б);</w:t>
      </w:r>
    </w:p>
    <w:p w:rsidR="00212513" w:rsidRDefault="00212513">
      <w:pPr>
        <w:pStyle w:val="ConsPlusNormal"/>
        <w:spacing w:before="220"/>
        <w:ind w:firstLine="540"/>
        <w:jc w:val="both"/>
      </w:pPr>
      <w:r>
        <w:rPr>
          <w:i/>
        </w:rPr>
        <w:t>L</w:t>
      </w:r>
      <w:r>
        <w:t xml:space="preserve"> - пролет поперечного ребра (</w:t>
      </w:r>
      <w:hyperlink w:anchor="P16899">
        <w:r>
          <w:rPr>
            <w:color w:val="0000FF"/>
          </w:rPr>
          <w:t>рисунок Ш.1</w:t>
        </w:r>
      </w:hyperlink>
      <w:r>
        <w:t>, в);</w:t>
      </w:r>
    </w:p>
    <w:p w:rsidR="00212513" w:rsidRDefault="00212513">
      <w:pPr>
        <w:pStyle w:val="ConsPlusNormal"/>
        <w:spacing w:before="220"/>
        <w:ind w:firstLine="540"/>
        <w:jc w:val="both"/>
      </w:pPr>
      <w:r>
        <w:rPr>
          <w:i/>
        </w:rPr>
        <w:t>u</w:t>
      </w:r>
      <w:r>
        <w:t xml:space="preserve"> - координата положения нагрузки от начала поперечного ребра.</w:t>
      </w:r>
    </w:p>
    <w:p w:rsidR="00212513" w:rsidRDefault="00212513">
      <w:pPr>
        <w:pStyle w:val="ConsPlusNormal"/>
        <w:ind w:firstLine="540"/>
        <w:jc w:val="both"/>
      </w:pPr>
    </w:p>
    <w:p w:rsidR="00212513" w:rsidRDefault="00212513">
      <w:pPr>
        <w:pStyle w:val="ConsPlusNormal"/>
        <w:jc w:val="right"/>
      </w:pPr>
      <w:bookmarkStart w:id="570" w:name="P16924"/>
      <w:bookmarkEnd w:id="570"/>
      <w:r>
        <w:t>Таблица Ш.1</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414"/>
        <w:gridCol w:w="1414"/>
        <w:gridCol w:w="1414"/>
        <w:gridCol w:w="1414"/>
        <w:gridCol w:w="1418"/>
      </w:tblGrid>
      <w:tr w:rsidR="00212513">
        <w:tc>
          <w:tcPr>
            <w:tcW w:w="1984" w:type="dxa"/>
            <w:vMerge w:val="restart"/>
            <w:tcBorders>
              <w:top w:val="single" w:sz="4" w:space="0" w:color="auto"/>
              <w:bottom w:val="single" w:sz="4" w:space="0" w:color="auto"/>
            </w:tcBorders>
            <w:vAlign w:val="center"/>
          </w:tcPr>
          <w:p w:rsidR="00212513" w:rsidRDefault="00212513">
            <w:pPr>
              <w:pStyle w:val="ConsPlusNormal"/>
              <w:jc w:val="center"/>
            </w:pPr>
            <w:r>
              <w:t xml:space="preserve">Номер поперечного ребра </w:t>
            </w:r>
            <w:r>
              <w:rPr>
                <w:i/>
              </w:rPr>
              <w:t>i</w:t>
            </w:r>
          </w:p>
        </w:tc>
        <w:tc>
          <w:tcPr>
            <w:tcW w:w="7074" w:type="dxa"/>
            <w:gridSpan w:val="5"/>
            <w:tcBorders>
              <w:top w:val="single" w:sz="4" w:space="0" w:color="auto"/>
              <w:bottom w:val="single" w:sz="4" w:space="0" w:color="auto"/>
            </w:tcBorders>
            <w:vAlign w:val="center"/>
          </w:tcPr>
          <w:p w:rsidR="00212513" w:rsidRDefault="00212513">
            <w:pPr>
              <w:pStyle w:val="ConsPlusNormal"/>
              <w:jc w:val="center"/>
            </w:pPr>
            <w:r>
              <w:t xml:space="preserve">Ординаты линии влияния </w:t>
            </w:r>
            <w:r>
              <w:rPr>
                <w:noProof/>
                <w:position w:val="-8"/>
              </w:rPr>
              <w:drawing>
                <wp:inline distT="0" distB="0" distL="0" distR="0">
                  <wp:extent cx="419100" cy="251460"/>
                  <wp:effectExtent l="0" t="0" r="0" b="0"/>
                  <wp:docPr id="29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9" cstate="print">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r>
              <w:t xml:space="preserve"> при </w:t>
            </w:r>
            <w:r>
              <w:rPr>
                <w:i/>
              </w:rPr>
              <w:t>z</w:t>
            </w:r>
          </w:p>
        </w:tc>
      </w:tr>
      <w:tr w:rsidR="00212513">
        <w:tc>
          <w:tcPr>
            <w:tcW w:w="1984" w:type="dxa"/>
            <w:vMerge/>
            <w:tcBorders>
              <w:top w:val="single" w:sz="4" w:space="0" w:color="auto"/>
              <w:bottom w:val="single" w:sz="4" w:space="0" w:color="auto"/>
            </w:tcBorders>
          </w:tcPr>
          <w:p w:rsidR="00212513" w:rsidRDefault="00212513">
            <w:pPr>
              <w:pStyle w:val="ConsPlusNormal"/>
            </w:pPr>
          </w:p>
        </w:tc>
        <w:tc>
          <w:tcPr>
            <w:tcW w:w="1414" w:type="dxa"/>
            <w:tcBorders>
              <w:top w:val="single" w:sz="4" w:space="0" w:color="auto"/>
              <w:bottom w:val="single" w:sz="4" w:space="0" w:color="auto"/>
            </w:tcBorders>
            <w:vAlign w:val="center"/>
          </w:tcPr>
          <w:p w:rsidR="00212513" w:rsidRDefault="00212513">
            <w:pPr>
              <w:pStyle w:val="ConsPlusNormal"/>
              <w:jc w:val="center"/>
            </w:pPr>
            <w:r>
              <w:t>0</w:t>
            </w:r>
          </w:p>
        </w:tc>
        <w:tc>
          <w:tcPr>
            <w:tcW w:w="1414" w:type="dxa"/>
            <w:tcBorders>
              <w:top w:val="single" w:sz="4" w:space="0" w:color="auto"/>
              <w:bottom w:val="single" w:sz="4" w:space="0" w:color="auto"/>
            </w:tcBorders>
            <w:vAlign w:val="center"/>
          </w:tcPr>
          <w:p w:rsidR="00212513" w:rsidRDefault="00212513">
            <w:pPr>
              <w:pStyle w:val="ConsPlusNormal"/>
              <w:jc w:val="center"/>
            </w:pPr>
            <w:r>
              <w:t>0,1</w:t>
            </w:r>
          </w:p>
        </w:tc>
        <w:tc>
          <w:tcPr>
            <w:tcW w:w="1414" w:type="dxa"/>
            <w:tcBorders>
              <w:top w:val="single" w:sz="4" w:space="0" w:color="auto"/>
              <w:bottom w:val="single" w:sz="4" w:space="0" w:color="auto"/>
            </w:tcBorders>
            <w:vAlign w:val="center"/>
          </w:tcPr>
          <w:p w:rsidR="00212513" w:rsidRDefault="00212513">
            <w:pPr>
              <w:pStyle w:val="ConsPlusNormal"/>
              <w:jc w:val="center"/>
            </w:pPr>
            <w:r>
              <w:t>0,2</w:t>
            </w:r>
          </w:p>
        </w:tc>
        <w:tc>
          <w:tcPr>
            <w:tcW w:w="1414" w:type="dxa"/>
            <w:tcBorders>
              <w:top w:val="single" w:sz="4" w:space="0" w:color="auto"/>
              <w:bottom w:val="single" w:sz="4" w:space="0" w:color="auto"/>
            </w:tcBorders>
            <w:vAlign w:val="center"/>
          </w:tcPr>
          <w:p w:rsidR="00212513" w:rsidRDefault="00212513">
            <w:pPr>
              <w:pStyle w:val="ConsPlusNormal"/>
              <w:jc w:val="center"/>
            </w:pPr>
            <w:r>
              <w:t>0,5</w:t>
            </w:r>
          </w:p>
        </w:tc>
        <w:tc>
          <w:tcPr>
            <w:tcW w:w="1418" w:type="dxa"/>
            <w:tcBorders>
              <w:top w:val="single" w:sz="4" w:space="0" w:color="auto"/>
              <w:bottom w:val="single" w:sz="4" w:space="0" w:color="auto"/>
            </w:tcBorders>
            <w:vAlign w:val="center"/>
          </w:tcPr>
          <w:p w:rsidR="00212513" w:rsidRDefault="00212513">
            <w:pPr>
              <w:pStyle w:val="ConsPlusNormal"/>
              <w:jc w:val="center"/>
            </w:pPr>
            <w:r>
              <w:t>1,0</w:t>
            </w:r>
          </w:p>
        </w:tc>
      </w:tr>
      <w:tr w:rsidR="00212513">
        <w:tblPrEx>
          <w:tblBorders>
            <w:insideH w:val="none" w:sz="0" w:space="0" w:color="auto"/>
          </w:tblBorders>
        </w:tblPrEx>
        <w:tc>
          <w:tcPr>
            <w:tcW w:w="1984" w:type="dxa"/>
            <w:tcBorders>
              <w:top w:val="single" w:sz="4" w:space="0" w:color="auto"/>
              <w:bottom w:val="nil"/>
            </w:tcBorders>
          </w:tcPr>
          <w:p w:rsidR="00212513" w:rsidRDefault="00212513">
            <w:pPr>
              <w:pStyle w:val="ConsPlusNormal"/>
              <w:jc w:val="center"/>
            </w:pPr>
            <w:r>
              <w:t>1</w:t>
            </w:r>
          </w:p>
        </w:tc>
        <w:tc>
          <w:tcPr>
            <w:tcW w:w="1414" w:type="dxa"/>
            <w:tcBorders>
              <w:top w:val="single" w:sz="4" w:space="0" w:color="auto"/>
              <w:bottom w:val="nil"/>
            </w:tcBorders>
          </w:tcPr>
          <w:p w:rsidR="00212513" w:rsidRDefault="00212513">
            <w:pPr>
              <w:pStyle w:val="ConsPlusNormal"/>
              <w:jc w:val="center"/>
            </w:pPr>
            <w:r>
              <w:t>0</w:t>
            </w:r>
          </w:p>
        </w:tc>
        <w:tc>
          <w:tcPr>
            <w:tcW w:w="1414" w:type="dxa"/>
            <w:tcBorders>
              <w:top w:val="single" w:sz="4" w:space="0" w:color="auto"/>
              <w:bottom w:val="nil"/>
            </w:tcBorders>
          </w:tcPr>
          <w:p w:rsidR="00212513" w:rsidRDefault="00212513">
            <w:pPr>
              <w:pStyle w:val="ConsPlusNormal"/>
              <w:jc w:val="center"/>
            </w:pPr>
            <w:r>
              <w:t>0,0507</w:t>
            </w:r>
          </w:p>
        </w:tc>
        <w:tc>
          <w:tcPr>
            <w:tcW w:w="1414" w:type="dxa"/>
            <w:tcBorders>
              <w:top w:val="single" w:sz="4" w:space="0" w:color="auto"/>
              <w:bottom w:val="nil"/>
            </w:tcBorders>
          </w:tcPr>
          <w:p w:rsidR="00212513" w:rsidRDefault="00212513">
            <w:pPr>
              <w:pStyle w:val="ConsPlusNormal"/>
              <w:jc w:val="center"/>
            </w:pPr>
            <w:r>
              <w:t>0,0801</w:t>
            </w:r>
          </w:p>
        </w:tc>
        <w:tc>
          <w:tcPr>
            <w:tcW w:w="1414" w:type="dxa"/>
            <w:tcBorders>
              <w:top w:val="single" w:sz="4" w:space="0" w:color="auto"/>
              <w:bottom w:val="nil"/>
            </w:tcBorders>
          </w:tcPr>
          <w:p w:rsidR="00212513" w:rsidRDefault="00212513">
            <w:pPr>
              <w:pStyle w:val="ConsPlusNormal"/>
              <w:jc w:val="center"/>
            </w:pPr>
            <w:r>
              <w:t>0,1305</w:t>
            </w:r>
          </w:p>
        </w:tc>
        <w:tc>
          <w:tcPr>
            <w:tcW w:w="1418" w:type="dxa"/>
            <w:tcBorders>
              <w:top w:val="single" w:sz="4" w:space="0" w:color="auto"/>
              <w:bottom w:val="nil"/>
            </w:tcBorders>
          </w:tcPr>
          <w:p w:rsidR="00212513" w:rsidRDefault="00212513">
            <w:pPr>
              <w:pStyle w:val="ConsPlusNormal"/>
              <w:jc w:val="center"/>
            </w:pPr>
            <w:r>
              <w:t>0,1757</w:t>
            </w:r>
          </w:p>
        </w:tc>
      </w:tr>
      <w:tr w:rsidR="00212513">
        <w:tblPrEx>
          <w:tblBorders>
            <w:insideH w:val="none" w:sz="0" w:space="0" w:color="auto"/>
          </w:tblBorders>
        </w:tblPrEx>
        <w:tc>
          <w:tcPr>
            <w:tcW w:w="1984" w:type="dxa"/>
            <w:tcBorders>
              <w:top w:val="nil"/>
              <w:bottom w:val="nil"/>
            </w:tcBorders>
          </w:tcPr>
          <w:p w:rsidR="00212513" w:rsidRDefault="00212513">
            <w:pPr>
              <w:pStyle w:val="ConsPlusNormal"/>
              <w:jc w:val="center"/>
            </w:pPr>
            <w:r>
              <w:t>2</w:t>
            </w:r>
          </w:p>
        </w:tc>
        <w:tc>
          <w:tcPr>
            <w:tcW w:w="1414" w:type="dxa"/>
            <w:tcBorders>
              <w:top w:val="nil"/>
              <w:bottom w:val="nil"/>
            </w:tcBorders>
          </w:tcPr>
          <w:p w:rsidR="00212513" w:rsidRDefault="00212513">
            <w:pPr>
              <w:pStyle w:val="ConsPlusNormal"/>
              <w:jc w:val="center"/>
            </w:pPr>
            <w:r>
              <w:t>0</w:t>
            </w:r>
          </w:p>
        </w:tc>
        <w:tc>
          <w:tcPr>
            <w:tcW w:w="1414" w:type="dxa"/>
            <w:tcBorders>
              <w:top w:val="nil"/>
              <w:bottom w:val="nil"/>
            </w:tcBorders>
          </w:tcPr>
          <w:p w:rsidR="00212513" w:rsidRDefault="00212513">
            <w:pPr>
              <w:pStyle w:val="ConsPlusNormal"/>
              <w:jc w:val="center"/>
            </w:pPr>
            <w:r>
              <w:t>-0,0281</w:t>
            </w:r>
          </w:p>
        </w:tc>
        <w:tc>
          <w:tcPr>
            <w:tcW w:w="1414" w:type="dxa"/>
            <w:tcBorders>
              <w:top w:val="nil"/>
              <w:bottom w:val="nil"/>
            </w:tcBorders>
          </w:tcPr>
          <w:p w:rsidR="00212513" w:rsidRDefault="00212513">
            <w:pPr>
              <w:pStyle w:val="ConsPlusNormal"/>
              <w:jc w:val="center"/>
            </w:pPr>
            <w:r>
              <w:t>-0,0400</w:t>
            </w:r>
          </w:p>
        </w:tc>
        <w:tc>
          <w:tcPr>
            <w:tcW w:w="1414" w:type="dxa"/>
            <w:tcBorders>
              <w:top w:val="nil"/>
              <w:bottom w:val="nil"/>
            </w:tcBorders>
          </w:tcPr>
          <w:p w:rsidR="00212513" w:rsidRDefault="00212513">
            <w:pPr>
              <w:pStyle w:val="ConsPlusNormal"/>
              <w:jc w:val="center"/>
            </w:pPr>
            <w:r>
              <w:t>-0,0516</w:t>
            </w:r>
          </w:p>
        </w:tc>
        <w:tc>
          <w:tcPr>
            <w:tcW w:w="1418" w:type="dxa"/>
            <w:tcBorders>
              <w:top w:val="nil"/>
              <w:bottom w:val="nil"/>
            </w:tcBorders>
          </w:tcPr>
          <w:p w:rsidR="00212513" w:rsidRDefault="00212513">
            <w:pPr>
              <w:pStyle w:val="ConsPlusNormal"/>
              <w:jc w:val="center"/>
            </w:pPr>
            <w:r>
              <w:t>-0,0521</w:t>
            </w:r>
          </w:p>
        </w:tc>
      </w:tr>
      <w:tr w:rsidR="00212513">
        <w:tblPrEx>
          <w:tblBorders>
            <w:insideH w:val="none" w:sz="0" w:space="0" w:color="auto"/>
          </w:tblBorders>
        </w:tblPrEx>
        <w:tc>
          <w:tcPr>
            <w:tcW w:w="1984" w:type="dxa"/>
            <w:tcBorders>
              <w:top w:val="nil"/>
              <w:bottom w:val="nil"/>
            </w:tcBorders>
          </w:tcPr>
          <w:p w:rsidR="00212513" w:rsidRDefault="00212513">
            <w:pPr>
              <w:pStyle w:val="ConsPlusNormal"/>
              <w:jc w:val="center"/>
            </w:pPr>
            <w:r>
              <w:t>3</w:t>
            </w:r>
          </w:p>
        </w:tc>
        <w:tc>
          <w:tcPr>
            <w:tcW w:w="1414" w:type="dxa"/>
            <w:tcBorders>
              <w:top w:val="nil"/>
              <w:bottom w:val="nil"/>
            </w:tcBorders>
          </w:tcPr>
          <w:p w:rsidR="00212513" w:rsidRDefault="00212513">
            <w:pPr>
              <w:pStyle w:val="ConsPlusNormal"/>
              <w:jc w:val="center"/>
            </w:pPr>
            <w:r>
              <w:t>0</w:t>
            </w:r>
          </w:p>
        </w:tc>
        <w:tc>
          <w:tcPr>
            <w:tcW w:w="1414" w:type="dxa"/>
            <w:tcBorders>
              <w:top w:val="nil"/>
              <w:bottom w:val="nil"/>
            </w:tcBorders>
          </w:tcPr>
          <w:p w:rsidR="00212513" w:rsidRDefault="00212513">
            <w:pPr>
              <w:pStyle w:val="ConsPlusNormal"/>
              <w:jc w:val="center"/>
            </w:pPr>
            <w:r>
              <w:t>0,0025</w:t>
            </w:r>
          </w:p>
        </w:tc>
        <w:tc>
          <w:tcPr>
            <w:tcW w:w="1414" w:type="dxa"/>
            <w:tcBorders>
              <w:top w:val="nil"/>
              <w:bottom w:val="nil"/>
            </w:tcBorders>
          </w:tcPr>
          <w:p w:rsidR="00212513" w:rsidRDefault="00212513">
            <w:pPr>
              <w:pStyle w:val="ConsPlusNormal"/>
              <w:jc w:val="center"/>
            </w:pPr>
            <w:r>
              <w:t>-0,0016</w:t>
            </w:r>
          </w:p>
        </w:tc>
        <w:tc>
          <w:tcPr>
            <w:tcW w:w="1414" w:type="dxa"/>
            <w:tcBorders>
              <w:top w:val="nil"/>
              <w:bottom w:val="nil"/>
            </w:tcBorders>
          </w:tcPr>
          <w:p w:rsidR="00212513" w:rsidRDefault="00212513">
            <w:pPr>
              <w:pStyle w:val="ConsPlusNormal"/>
              <w:jc w:val="center"/>
            </w:pPr>
            <w:r>
              <w:t>-0,0166</w:t>
            </w:r>
          </w:p>
        </w:tc>
        <w:tc>
          <w:tcPr>
            <w:tcW w:w="1418" w:type="dxa"/>
            <w:tcBorders>
              <w:top w:val="nil"/>
              <w:bottom w:val="nil"/>
            </w:tcBorders>
          </w:tcPr>
          <w:p w:rsidR="00212513" w:rsidRDefault="00212513">
            <w:pPr>
              <w:pStyle w:val="ConsPlusNormal"/>
              <w:jc w:val="center"/>
            </w:pPr>
            <w:r>
              <w:t>-0,0348</w:t>
            </w:r>
          </w:p>
        </w:tc>
      </w:tr>
      <w:tr w:rsidR="00212513">
        <w:tblPrEx>
          <w:tblBorders>
            <w:insideH w:val="none" w:sz="0" w:space="0" w:color="auto"/>
          </w:tblBorders>
        </w:tblPrEx>
        <w:tc>
          <w:tcPr>
            <w:tcW w:w="1984" w:type="dxa"/>
            <w:tcBorders>
              <w:top w:val="nil"/>
              <w:bottom w:val="nil"/>
            </w:tcBorders>
          </w:tcPr>
          <w:p w:rsidR="00212513" w:rsidRDefault="00212513">
            <w:pPr>
              <w:pStyle w:val="ConsPlusNormal"/>
              <w:jc w:val="center"/>
            </w:pPr>
            <w:r>
              <w:lastRenderedPageBreak/>
              <w:t>4</w:t>
            </w:r>
          </w:p>
        </w:tc>
        <w:tc>
          <w:tcPr>
            <w:tcW w:w="1414" w:type="dxa"/>
            <w:tcBorders>
              <w:top w:val="nil"/>
              <w:bottom w:val="nil"/>
            </w:tcBorders>
          </w:tcPr>
          <w:p w:rsidR="00212513" w:rsidRDefault="00212513">
            <w:pPr>
              <w:pStyle w:val="ConsPlusNormal"/>
              <w:jc w:val="center"/>
            </w:pPr>
            <w:r>
              <w:t>0</w:t>
            </w:r>
          </w:p>
        </w:tc>
        <w:tc>
          <w:tcPr>
            <w:tcW w:w="1414" w:type="dxa"/>
            <w:tcBorders>
              <w:top w:val="nil"/>
              <w:bottom w:val="nil"/>
            </w:tcBorders>
          </w:tcPr>
          <w:p w:rsidR="00212513" w:rsidRDefault="00212513">
            <w:pPr>
              <w:pStyle w:val="ConsPlusNormal"/>
              <w:jc w:val="center"/>
            </w:pPr>
            <w:r>
              <w:t>0,0003</w:t>
            </w:r>
          </w:p>
        </w:tc>
        <w:tc>
          <w:tcPr>
            <w:tcW w:w="1414" w:type="dxa"/>
            <w:tcBorders>
              <w:top w:val="nil"/>
              <w:bottom w:val="nil"/>
            </w:tcBorders>
          </w:tcPr>
          <w:p w:rsidR="00212513" w:rsidRDefault="00212513">
            <w:pPr>
              <w:pStyle w:val="ConsPlusNormal"/>
              <w:jc w:val="center"/>
            </w:pPr>
            <w:r>
              <w:t>0,0016</w:t>
            </w:r>
          </w:p>
        </w:tc>
        <w:tc>
          <w:tcPr>
            <w:tcW w:w="1414" w:type="dxa"/>
            <w:tcBorders>
              <w:top w:val="nil"/>
              <w:bottom w:val="nil"/>
            </w:tcBorders>
          </w:tcPr>
          <w:p w:rsidR="00212513" w:rsidRDefault="00212513">
            <w:pPr>
              <w:pStyle w:val="ConsPlusNormal"/>
              <w:jc w:val="center"/>
            </w:pPr>
            <w:r>
              <w:t>0,0015</w:t>
            </w:r>
          </w:p>
        </w:tc>
        <w:tc>
          <w:tcPr>
            <w:tcW w:w="1418" w:type="dxa"/>
            <w:tcBorders>
              <w:top w:val="nil"/>
              <w:bottom w:val="nil"/>
            </w:tcBorders>
          </w:tcPr>
          <w:p w:rsidR="00212513" w:rsidRDefault="00212513">
            <w:pPr>
              <w:pStyle w:val="ConsPlusNormal"/>
              <w:jc w:val="center"/>
            </w:pPr>
            <w:r>
              <w:t>0,0046</w:t>
            </w:r>
          </w:p>
        </w:tc>
      </w:tr>
      <w:tr w:rsidR="00212513">
        <w:tblPrEx>
          <w:tblBorders>
            <w:insideH w:val="none" w:sz="0" w:space="0" w:color="auto"/>
          </w:tblBorders>
        </w:tblPrEx>
        <w:tc>
          <w:tcPr>
            <w:tcW w:w="1984" w:type="dxa"/>
            <w:tcBorders>
              <w:top w:val="nil"/>
              <w:bottom w:val="nil"/>
            </w:tcBorders>
          </w:tcPr>
          <w:p w:rsidR="00212513" w:rsidRDefault="00212513">
            <w:pPr>
              <w:pStyle w:val="ConsPlusNormal"/>
              <w:jc w:val="center"/>
            </w:pPr>
            <w:r>
              <w:t>5</w:t>
            </w:r>
          </w:p>
        </w:tc>
        <w:tc>
          <w:tcPr>
            <w:tcW w:w="1414" w:type="dxa"/>
            <w:tcBorders>
              <w:top w:val="nil"/>
              <w:bottom w:val="nil"/>
            </w:tcBorders>
          </w:tcPr>
          <w:p w:rsidR="00212513" w:rsidRDefault="00212513">
            <w:pPr>
              <w:pStyle w:val="ConsPlusNormal"/>
              <w:jc w:val="center"/>
            </w:pPr>
            <w:r>
              <w:t>0</w:t>
            </w:r>
          </w:p>
        </w:tc>
        <w:tc>
          <w:tcPr>
            <w:tcW w:w="1414" w:type="dxa"/>
            <w:tcBorders>
              <w:top w:val="nil"/>
              <w:bottom w:val="nil"/>
            </w:tcBorders>
          </w:tcPr>
          <w:p w:rsidR="00212513" w:rsidRDefault="00212513">
            <w:pPr>
              <w:pStyle w:val="ConsPlusNormal"/>
              <w:jc w:val="center"/>
            </w:pPr>
            <w:r>
              <w:t>-0,0001</w:t>
            </w:r>
          </w:p>
        </w:tc>
        <w:tc>
          <w:tcPr>
            <w:tcW w:w="1414" w:type="dxa"/>
            <w:tcBorders>
              <w:top w:val="nil"/>
              <w:bottom w:val="nil"/>
            </w:tcBorders>
          </w:tcPr>
          <w:p w:rsidR="00212513" w:rsidRDefault="00212513">
            <w:pPr>
              <w:pStyle w:val="ConsPlusNormal"/>
              <w:jc w:val="center"/>
            </w:pPr>
            <w:r>
              <w:t>0</w:t>
            </w:r>
          </w:p>
        </w:tc>
        <w:tc>
          <w:tcPr>
            <w:tcW w:w="1414" w:type="dxa"/>
            <w:tcBorders>
              <w:top w:val="nil"/>
              <w:bottom w:val="nil"/>
            </w:tcBorders>
          </w:tcPr>
          <w:p w:rsidR="00212513" w:rsidRDefault="00212513">
            <w:pPr>
              <w:pStyle w:val="ConsPlusNormal"/>
              <w:jc w:val="center"/>
            </w:pPr>
            <w:r>
              <w:t>0,0014</w:t>
            </w:r>
          </w:p>
        </w:tc>
        <w:tc>
          <w:tcPr>
            <w:tcW w:w="1418" w:type="dxa"/>
            <w:tcBorders>
              <w:top w:val="nil"/>
              <w:bottom w:val="nil"/>
            </w:tcBorders>
          </w:tcPr>
          <w:p w:rsidR="00212513" w:rsidRDefault="00212513">
            <w:pPr>
              <w:pStyle w:val="ConsPlusNormal"/>
              <w:jc w:val="center"/>
            </w:pPr>
            <w:r>
              <w:t>0,0025</w:t>
            </w:r>
          </w:p>
        </w:tc>
      </w:tr>
      <w:tr w:rsidR="00212513">
        <w:tblPrEx>
          <w:tblBorders>
            <w:insideH w:val="none" w:sz="0" w:space="0" w:color="auto"/>
          </w:tblBorders>
        </w:tblPrEx>
        <w:tc>
          <w:tcPr>
            <w:tcW w:w="1984" w:type="dxa"/>
            <w:tcBorders>
              <w:top w:val="nil"/>
              <w:bottom w:val="single" w:sz="4" w:space="0" w:color="auto"/>
            </w:tcBorders>
          </w:tcPr>
          <w:p w:rsidR="00212513" w:rsidRDefault="00212513">
            <w:pPr>
              <w:pStyle w:val="ConsPlusNormal"/>
              <w:jc w:val="center"/>
            </w:pPr>
            <w:r>
              <w:t>6</w:t>
            </w:r>
          </w:p>
        </w:tc>
        <w:tc>
          <w:tcPr>
            <w:tcW w:w="1414" w:type="dxa"/>
            <w:tcBorders>
              <w:top w:val="nil"/>
              <w:bottom w:val="single" w:sz="4" w:space="0" w:color="auto"/>
            </w:tcBorders>
          </w:tcPr>
          <w:p w:rsidR="00212513" w:rsidRDefault="00212513">
            <w:pPr>
              <w:pStyle w:val="ConsPlusNormal"/>
              <w:jc w:val="center"/>
            </w:pPr>
            <w:r>
              <w:t>0</w:t>
            </w:r>
          </w:p>
        </w:tc>
        <w:tc>
          <w:tcPr>
            <w:tcW w:w="1414" w:type="dxa"/>
            <w:tcBorders>
              <w:top w:val="nil"/>
              <w:bottom w:val="single" w:sz="4" w:space="0" w:color="auto"/>
            </w:tcBorders>
          </w:tcPr>
          <w:p w:rsidR="00212513" w:rsidRDefault="00212513">
            <w:pPr>
              <w:pStyle w:val="ConsPlusNormal"/>
              <w:jc w:val="center"/>
            </w:pPr>
            <w:r>
              <w:t>0</w:t>
            </w:r>
          </w:p>
        </w:tc>
        <w:tc>
          <w:tcPr>
            <w:tcW w:w="1414" w:type="dxa"/>
            <w:tcBorders>
              <w:top w:val="nil"/>
              <w:bottom w:val="single" w:sz="4" w:space="0" w:color="auto"/>
            </w:tcBorders>
          </w:tcPr>
          <w:p w:rsidR="00212513" w:rsidRDefault="00212513">
            <w:pPr>
              <w:pStyle w:val="ConsPlusNormal"/>
              <w:jc w:val="center"/>
            </w:pPr>
            <w:r>
              <w:t>0</w:t>
            </w:r>
          </w:p>
        </w:tc>
        <w:tc>
          <w:tcPr>
            <w:tcW w:w="1414" w:type="dxa"/>
            <w:tcBorders>
              <w:top w:val="nil"/>
              <w:bottom w:val="single" w:sz="4" w:space="0" w:color="auto"/>
            </w:tcBorders>
          </w:tcPr>
          <w:p w:rsidR="00212513" w:rsidRDefault="00212513">
            <w:pPr>
              <w:pStyle w:val="ConsPlusNormal"/>
              <w:jc w:val="center"/>
            </w:pPr>
            <w:r>
              <w:t>0,0001</w:t>
            </w:r>
          </w:p>
        </w:tc>
        <w:tc>
          <w:tcPr>
            <w:tcW w:w="1418" w:type="dxa"/>
            <w:tcBorders>
              <w:top w:val="nil"/>
              <w:bottom w:val="single" w:sz="4" w:space="0" w:color="auto"/>
            </w:tcBorders>
          </w:tcPr>
          <w:p w:rsidR="00212513" w:rsidRDefault="00212513">
            <w:pPr>
              <w:pStyle w:val="ConsPlusNormal"/>
              <w:jc w:val="center"/>
            </w:pPr>
            <w:r>
              <w:t>0,0012</w:t>
            </w:r>
          </w:p>
        </w:tc>
      </w:tr>
      <w:tr w:rsidR="00212513">
        <w:tblPrEx>
          <w:tblBorders>
            <w:insideH w:val="none" w:sz="0" w:space="0" w:color="auto"/>
          </w:tblBorders>
        </w:tblPrEx>
        <w:tc>
          <w:tcPr>
            <w:tcW w:w="9058" w:type="dxa"/>
            <w:gridSpan w:val="6"/>
            <w:tcBorders>
              <w:top w:val="single" w:sz="4" w:space="0" w:color="auto"/>
              <w:bottom w:val="nil"/>
            </w:tcBorders>
          </w:tcPr>
          <w:p w:rsidR="00212513" w:rsidRDefault="00212513">
            <w:pPr>
              <w:pStyle w:val="ConsPlusNormal"/>
              <w:ind w:firstLine="283"/>
              <w:jc w:val="both"/>
            </w:pPr>
            <w:r>
              <w:t xml:space="preserve">Обозначения, принятые в </w:t>
            </w:r>
            <w:hyperlink w:anchor="P16924">
              <w:r>
                <w:rPr>
                  <w:color w:val="0000FF"/>
                </w:rPr>
                <w:t>таблице Ш.1</w:t>
              </w:r>
            </w:hyperlink>
            <w:r>
              <w:t>:</w:t>
            </w:r>
          </w:p>
          <w:p w:rsidR="00212513" w:rsidRDefault="00212513">
            <w:pPr>
              <w:pStyle w:val="ConsPlusNormal"/>
              <w:ind w:firstLine="283"/>
              <w:jc w:val="both"/>
            </w:pPr>
            <w:r>
              <w:rPr>
                <w:i/>
              </w:rPr>
              <w:t>z</w:t>
            </w:r>
            <w:r>
              <w:t xml:space="preserve"> - параметр, характеризующий изгибную жесткость ортотропной плиты и определяемый по формуле</w:t>
            </w:r>
          </w:p>
          <w:p w:rsidR="00212513" w:rsidRDefault="00212513">
            <w:pPr>
              <w:pStyle w:val="ConsPlusNormal"/>
              <w:ind w:firstLine="283"/>
              <w:jc w:val="both"/>
            </w:pPr>
          </w:p>
          <w:p w:rsidR="00212513" w:rsidRDefault="00212513">
            <w:pPr>
              <w:pStyle w:val="ConsPlusNormal"/>
              <w:jc w:val="center"/>
            </w:pPr>
            <w:r>
              <w:rPr>
                <w:noProof/>
                <w:position w:val="-28"/>
              </w:rPr>
              <w:drawing>
                <wp:inline distT="0" distB="0" distL="0" distR="0">
                  <wp:extent cx="1285240" cy="502920"/>
                  <wp:effectExtent l="0" t="0" r="0" b="0"/>
                  <wp:docPr id="29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0" cstate="print">
                            <a:extLst>
                              <a:ext uri="{28A0092B-C50C-407E-A947-70E740481C1C}">
                                <a14:useLocalDpi xmlns:a14="http://schemas.microsoft.com/office/drawing/2010/main" val="0"/>
                              </a:ext>
                            </a:extLst>
                          </a:blip>
                          <a:srcRect/>
                          <a:stretch>
                            <a:fillRect/>
                          </a:stretch>
                        </pic:blipFill>
                        <pic:spPr bwMode="auto">
                          <a:xfrm>
                            <a:off x="0" y="0"/>
                            <a:ext cx="1285240" cy="502920"/>
                          </a:xfrm>
                          <a:prstGeom prst="rect">
                            <a:avLst/>
                          </a:prstGeom>
                          <a:noFill/>
                          <a:ln>
                            <a:noFill/>
                          </a:ln>
                        </pic:spPr>
                      </pic:pic>
                    </a:graphicData>
                  </a:graphic>
                </wp:inline>
              </w:drawing>
            </w:r>
            <w:r>
              <w:t>,</w:t>
            </w:r>
          </w:p>
          <w:p w:rsidR="00212513" w:rsidRDefault="00212513">
            <w:pPr>
              <w:pStyle w:val="ConsPlusNormal"/>
              <w:ind w:firstLine="283"/>
              <w:jc w:val="both"/>
            </w:pPr>
          </w:p>
          <w:p w:rsidR="00212513" w:rsidRDefault="00212513">
            <w:pPr>
              <w:pStyle w:val="ConsPlusNormal"/>
              <w:ind w:firstLine="283"/>
              <w:jc w:val="both"/>
            </w:pPr>
            <w:r>
              <w:t xml:space="preserve">где </w:t>
            </w:r>
            <w:r>
              <w:rPr>
                <w:noProof/>
                <w:position w:val="-7"/>
              </w:rPr>
              <w:drawing>
                <wp:inline distT="0" distB="0" distL="0" distR="0">
                  <wp:extent cx="177165" cy="240665"/>
                  <wp:effectExtent l="0" t="0" r="0" b="0"/>
                  <wp:docPr id="29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1"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 момент инерции полного сечения продольного ребра относительно горизонтальной оси </w:t>
            </w:r>
            <w:r>
              <w:rPr>
                <w:noProof/>
                <w:position w:val="-9"/>
              </w:rPr>
              <w:drawing>
                <wp:inline distT="0" distB="0" distL="0" distR="0">
                  <wp:extent cx="177800" cy="261620"/>
                  <wp:effectExtent l="0" t="0" r="0" b="0"/>
                  <wp:docPr id="29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2"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w:t>
            </w:r>
            <w:hyperlink w:anchor="P16899">
              <w:r>
                <w:rPr>
                  <w:color w:val="0000FF"/>
                </w:rPr>
                <w:t>рисунок Ш.1</w:t>
              </w:r>
            </w:hyperlink>
            <w:r>
              <w:t>, в);</w:t>
            </w:r>
          </w:p>
          <w:p w:rsidR="00212513" w:rsidRDefault="00212513">
            <w:pPr>
              <w:pStyle w:val="ConsPlusNormal"/>
              <w:ind w:firstLine="283"/>
              <w:jc w:val="both"/>
            </w:pPr>
            <w:r>
              <w:rPr>
                <w:i/>
              </w:rPr>
              <w:t>a</w:t>
            </w:r>
            <w:r>
              <w:t xml:space="preserve"> - расстояние между продольными ребрами;</w:t>
            </w:r>
          </w:p>
          <w:p w:rsidR="00212513" w:rsidRDefault="00212513">
            <w:pPr>
              <w:pStyle w:val="ConsPlusNormal"/>
              <w:ind w:firstLine="283"/>
              <w:jc w:val="both"/>
            </w:pPr>
            <w:r>
              <w:rPr>
                <w:noProof/>
                <w:position w:val="-9"/>
              </w:rPr>
              <w:drawing>
                <wp:inline distT="0" distB="0" distL="0" distR="0">
                  <wp:extent cx="167640" cy="261620"/>
                  <wp:effectExtent l="0" t="0" r="0" b="0"/>
                  <wp:docPr id="29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3"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 момент инерции полного поперечного ребра (с прилегающим участком настила шириной 0,2</w:t>
            </w:r>
            <w:r>
              <w:rPr>
                <w:i/>
              </w:rPr>
              <w:t>L</w:t>
            </w:r>
            <w:r>
              <w:t xml:space="preserve">, но не более </w:t>
            </w:r>
            <w:r>
              <w:rPr>
                <w:i/>
              </w:rPr>
              <w:t>l</w:t>
            </w:r>
            <w:r>
              <w:t xml:space="preserve">) относительно горизонтальной оси </w:t>
            </w:r>
            <w:r>
              <w:rPr>
                <w:noProof/>
                <w:position w:val="-9"/>
              </w:rPr>
              <w:drawing>
                <wp:inline distT="0" distB="0" distL="0" distR="0">
                  <wp:extent cx="167640" cy="261620"/>
                  <wp:effectExtent l="0" t="0" r="0" b="0"/>
                  <wp:docPr id="29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4"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w:t>
            </w:r>
            <w:hyperlink w:anchor="P16899">
              <w:r>
                <w:rPr>
                  <w:color w:val="0000FF"/>
                </w:rPr>
                <w:t>рисунок Ш.1</w:t>
              </w:r>
            </w:hyperlink>
            <w:r>
              <w:t>, а).</w:t>
            </w:r>
          </w:p>
        </w:tc>
      </w:tr>
      <w:tr w:rsidR="00212513">
        <w:tblPrEx>
          <w:tblBorders>
            <w:insideH w:val="none" w:sz="0" w:space="0" w:color="auto"/>
          </w:tblBorders>
        </w:tblPrEx>
        <w:tc>
          <w:tcPr>
            <w:tcW w:w="9058" w:type="dxa"/>
            <w:gridSpan w:val="6"/>
            <w:tcBorders>
              <w:top w:val="nil"/>
              <w:bottom w:val="single" w:sz="4" w:space="0" w:color="auto"/>
            </w:tcBorders>
          </w:tcPr>
          <w:p w:rsidR="00212513" w:rsidRDefault="00212513">
            <w:pPr>
              <w:pStyle w:val="ConsPlusNormal"/>
              <w:ind w:firstLine="283"/>
              <w:jc w:val="both"/>
            </w:pPr>
            <w:r>
              <w:t xml:space="preserve">Примечание - В </w:t>
            </w:r>
            <w:hyperlink w:anchor="P16924">
              <w:r>
                <w:rPr>
                  <w:color w:val="0000FF"/>
                </w:rPr>
                <w:t>таблице Ш.1</w:t>
              </w:r>
            </w:hyperlink>
            <w:r>
              <w:t xml:space="preserve"> принята следующая нумерация поперечных ребер </w:t>
            </w:r>
            <w:r>
              <w:rPr>
                <w:i/>
              </w:rPr>
              <w:t>i</w:t>
            </w:r>
            <w:r>
              <w:t xml:space="preserve">: ребра 2 - 6 расположены на расстоянии </w:t>
            </w:r>
            <w:r>
              <w:rPr>
                <w:i/>
              </w:rPr>
              <w:t>l</w:t>
            </w:r>
            <w:r>
              <w:t xml:space="preserve"> одно от другого в каждую сторону от "среднего" поперечного ребра 1 (</w:t>
            </w:r>
            <w:hyperlink w:anchor="P16899">
              <w:r>
                <w:rPr>
                  <w:color w:val="0000FF"/>
                </w:rPr>
                <w:t>рисунок Ш.1</w:t>
              </w:r>
            </w:hyperlink>
            <w:r>
              <w:t>, а).</w:t>
            </w:r>
          </w:p>
        </w:tc>
      </w:tr>
    </w:tbl>
    <w:p w:rsidR="00212513" w:rsidRDefault="00212513">
      <w:pPr>
        <w:pStyle w:val="ConsPlusNormal"/>
        <w:ind w:firstLine="540"/>
        <w:jc w:val="both"/>
      </w:pPr>
    </w:p>
    <w:p w:rsidR="00212513" w:rsidRDefault="00212513">
      <w:pPr>
        <w:pStyle w:val="ConsPlusNormal"/>
        <w:ind w:firstLine="540"/>
        <w:jc w:val="both"/>
      </w:pPr>
      <w:r>
        <w:t>Ш.4 В железнодорожных пролетных строениях лист настила ортотропной плиты проезжей части следует рассчитывать на изгиб, при этом прогиб листа настила не проверяется.</w:t>
      </w:r>
    </w:p>
    <w:p w:rsidR="00212513" w:rsidRDefault="00212513">
      <w:pPr>
        <w:pStyle w:val="ConsPlusNormal"/>
        <w:spacing w:before="220"/>
        <w:ind w:firstLine="540"/>
        <w:jc w:val="both"/>
      </w:pPr>
      <w:r>
        <w:t>При устройстве пути на балласте наибольшие значения изгибающих моментов в листе настила над продольными ребрами следует определять по формулам:</w:t>
      </w:r>
    </w:p>
    <w:p w:rsidR="00212513" w:rsidRDefault="00212513">
      <w:pPr>
        <w:pStyle w:val="ConsPlusNormal"/>
        <w:spacing w:before="220"/>
        <w:ind w:firstLine="540"/>
        <w:jc w:val="both"/>
      </w:pPr>
      <w:r>
        <w:t>в зоне под рельсом</w:t>
      </w:r>
    </w:p>
    <w:p w:rsidR="00212513" w:rsidRDefault="00212513">
      <w:pPr>
        <w:pStyle w:val="ConsPlusNormal"/>
        <w:ind w:firstLine="540"/>
        <w:jc w:val="both"/>
      </w:pPr>
    </w:p>
    <w:p w:rsidR="00212513" w:rsidRDefault="00212513">
      <w:pPr>
        <w:pStyle w:val="ConsPlusNormal"/>
        <w:jc w:val="center"/>
      </w:pPr>
      <w:r>
        <w:rPr>
          <w:noProof/>
          <w:position w:val="-10"/>
        </w:rPr>
        <w:drawing>
          <wp:inline distT="0" distB="0" distL="0" distR="0">
            <wp:extent cx="986790" cy="273685"/>
            <wp:effectExtent l="0" t="0" r="0" b="0"/>
            <wp:docPr id="29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5" cstate="print">
                      <a:extLst>
                        <a:ext uri="{28A0092B-C50C-407E-A947-70E740481C1C}">
                          <a14:useLocalDpi xmlns:a14="http://schemas.microsoft.com/office/drawing/2010/main" val="0"/>
                        </a:ext>
                      </a:extLst>
                    </a:blip>
                    <a:srcRect/>
                    <a:stretch>
                      <a:fillRect/>
                    </a:stretch>
                  </pic:blipFill>
                  <pic:spPr bwMode="auto">
                    <a:xfrm>
                      <a:off x="0" y="0"/>
                      <a:ext cx="986790" cy="273685"/>
                    </a:xfrm>
                    <a:prstGeom prst="rect">
                      <a:avLst/>
                    </a:prstGeom>
                    <a:noFill/>
                    <a:ln>
                      <a:noFill/>
                    </a:ln>
                  </pic:spPr>
                </pic:pic>
              </a:graphicData>
            </a:graphic>
          </wp:inline>
        </w:drawing>
      </w:r>
      <w:r>
        <w:t>; (Ш.3)</w:t>
      </w:r>
    </w:p>
    <w:p w:rsidR="00212513" w:rsidRDefault="00212513">
      <w:pPr>
        <w:pStyle w:val="ConsPlusNormal"/>
        <w:ind w:firstLine="540"/>
        <w:jc w:val="both"/>
      </w:pPr>
    </w:p>
    <w:p w:rsidR="00212513" w:rsidRDefault="00212513">
      <w:pPr>
        <w:pStyle w:val="ConsPlusNormal"/>
        <w:ind w:firstLine="540"/>
        <w:jc w:val="both"/>
      </w:pPr>
      <w:r>
        <w:t>в зоне по оси пролетного строения</w:t>
      </w:r>
    </w:p>
    <w:p w:rsidR="00212513" w:rsidRDefault="00212513">
      <w:pPr>
        <w:pStyle w:val="ConsPlusNormal"/>
        <w:ind w:firstLine="540"/>
        <w:jc w:val="both"/>
      </w:pPr>
    </w:p>
    <w:p w:rsidR="00212513" w:rsidRDefault="00212513">
      <w:pPr>
        <w:pStyle w:val="ConsPlusNormal"/>
        <w:jc w:val="center"/>
      </w:pPr>
      <w:r>
        <w:rPr>
          <w:noProof/>
          <w:position w:val="-10"/>
        </w:rPr>
        <w:drawing>
          <wp:inline distT="0" distB="0" distL="0" distR="0">
            <wp:extent cx="1089025" cy="273685"/>
            <wp:effectExtent l="0" t="0" r="0" b="0"/>
            <wp:docPr id="29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6" cstate="print">
                      <a:extLst>
                        <a:ext uri="{28A0092B-C50C-407E-A947-70E740481C1C}">
                          <a14:useLocalDpi xmlns:a14="http://schemas.microsoft.com/office/drawing/2010/main" val="0"/>
                        </a:ext>
                      </a:extLst>
                    </a:blip>
                    <a:srcRect/>
                    <a:stretch>
                      <a:fillRect/>
                    </a:stretch>
                  </pic:blipFill>
                  <pic:spPr bwMode="auto">
                    <a:xfrm>
                      <a:off x="0" y="0"/>
                      <a:ext cx="1089025" cy="273685"/>
                    </a:xfrm>
                    <a:prstGeom prst="rect">
                      <a:avLst/>
                    </a:prstGeom>
                    <a:noFill/>
                    <a:ln>
                      <a:noFill/>
                    </a:ln>
                  </pic:spPr>
                </pic:pic>
              </a:graphicData>
            </a:graphic>
          </wp:inline>
        </w:drawing>
      </w:r>
      <w:r>
        <w:t>, (Ш.4)</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rPr>
        <w:drawing>
          <wp:inline distT="0" distB="0" distL="0" distR="0">
            <wp:extent cx="146685" cy="146050"/>
            <wp:effectExtent l="0" t="0" r="0" b="0"/>
            <wp:docPr id="29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7"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xml:space="preserve"> - нагрузка на единицу длины, принимаемая по </w:t>
      </w:r>
      <w:hyperlink w:anchor="P13411">
        <w:r>
          <w:rPr>
            <w:color w:val="0000FF"/>
          </w:rPr>
          <w:t>К.2</w:t>
        </w:r>
      </w:hyperlink>
      <w:r>
        <w:t xml:space="preserve"> приложения К.</w:t>
      </w:r>
    </w:p>
    <w:p w:rsidR="00212513" w:rsidRDefault="00212513">
      <w:pPr>
        <w:pStyle w:val="ConsPlusNormal"/>
        <w:ind w:firstLine="540"/>
        <w:jc w:val="both"/>
      </w:pPr>
    </w:p>
    <w:p w:rsidR="00212513" w:rsidRDefault="00212513">
      <w:pPr>
        <w:pStyle w:val="ConsPlusNormal"/>
        <w:jc w:val="center"/>
      </w:pPr>
      <w:r>
        <w:rPr>
          <w:b/>
        </w:rPr>
        <w:t>Расчет элементов ортотропной плиты по прочности</w:t>
      </w:r>
    </w:p>
    <w:p w:rsidR="00212513" w:rsidRDefault="00212513">
      <w:pPr>
        <w:pStyle w:val="ConsPlusNormal"/>
        <w:ind w:firstLine="540"/>
        <w:jc w:val="both"/>
      </w:pPr>
    </w:p>
    <w:p w:rsidR="00212513" w:rsidRDefault="00212513">
      <w:pPr>
        <w:pStyle w:val="ConsPlusNormal"/>
        <w:ind w:firstLine="540"/>
        <w:jc w:val="both"/>
      </w:pPr>
      <w:r>
        <w:t xml:space="preserve">Ш.5 Для проверки прочности элементов ортотропной плиты необходимо получить в результате расчетов в предположении упругих деформаций стали в сечениях I, II, III и точках A, B, C, </w:t>
      </w:r>
      <w:r>
        <w:rPr>
          <w:noProof/>
          <w:position w:val="-9"/>
        </w:rPr>
        <w:drawing>
          <wp:inline distT="0" distB="0" distL="0" distR="0">
            <wp:extent cx="177800" cy="261620"/>
            <wp:effectExtent l="0" t="0" r="0" b="0"/>
            <wp:docPr id="29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8"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w:t>
      </w:r>
      <w:r>
        <w:rPr>
          <w:noProof/>
          <w:position w:val="-9"/>
        </w:rPr>
        <w:drawing>
          <wp:inline distT="0" distB="0" distL="0" distR="0">
            <wp:extent cx="177800" cy="261620"/>
            <wp:effectExtent l="0" t="0" r="0" b="0"/>
            <wp:docPr id="29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9"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w:t>
      </w:r>
      <w:r>
        <w:rPr>
          <w:noProof/>
          <w:position w:val="-9"/>
        </w:rPr>
        <w:drawing>
          <wp:inline distT="0" distB="0" distL="0" distR="0">
            <wp:extent cx="209550" cy="261620"/>
            <wp:effectExtent l="0" t="0" r="0" b="0"/>
            <wp:docPr id="29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0"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 xml:space="preserve">, указанных на </w:t>
      </w:r>
      <w:hyperlink w:anchor="P16899">
        <w:r>
          <w:rPr>
            <w:color w:val="0000FF"/>
          </w:rPr>
          <w:t>рисунке Ш.1</w:t>
        </w:r>
      </w:hyperlink>
      <w:r>
        <w:t xml:space="preserve">, нормальные напряжения в листе настила, продольных и поперечных ребрах, а также касательные напряжения в листе настила от изгиба ортотропной плиты между главными балками </w:t>
      </w:r>
      <w:r>
        <w:rPr>
          <w:noProof/>
          <w:position w:val="-10"/>
        </w:rPr>
        <w:drawing>
          <wp:inline distT="0" distB="0" distL="0" distR="0">
            <wp:extent cx="273685" cy="273685"/>
            <wp:effectExtent l="0" t="0" r="0" b="0"/>
            <wp:docPr id="29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1" cstate="print">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inline>
        </w:drawing>
      </w:r>
      <w:r>
        <w:t xml:space="preserve">, </w:t>
      </w:r>
      <w:r>
        <w:rPr>
          <w:noProof/>
          <w:position w:val="-10"/>
        </w:rPr>
        <w:drawing>
          <wp:inline distT="0" distB="0" distL="0" distR="0">
            <wp:extent cx="273685" cy="273685"/>
            <wp:effectExtent l="0" t="0" r="0" b="0"/>
            <wp:docPr id="29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2" cstate="print">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inline>
        </w:drawing>
      </w:r>
      <w:r>
        <w:t xml:space="preserve">, </w:t>
      </w:r>
      <w:r>
        <w:rPr>
          <w:noProof/>
          <w:position w:val="-10"/>
        </w:rPr>
        <w:drawing>
          <wp:inline distT="0" distB="0" distL="0" distR="0">
            <wp:extent cx="273685" cy="273685"/>
            <wp:effectExtent l="0" t="0" r="0" b="0"/>
            <wp:docPr id="29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3" cstate="print">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inline>
        </w:drawing>
      </w:r>
      <w:r>
        <w:t xml:space="preserve"> и совместной работы ее с главными балками пролетного строения </w:t>
      </w:r>
      <w:r>
        <w:rPr>
          <w:noProof/>
          <w:position w:val="-8"/>
        </w:rPr>
        <w:drawing>
          <wp:inline distT="0" distB="0" distL="0" distR="0">
            <wp:extent cx="251460" cy="251460"/>
            <wp:effectExtent l="0" t="0" r="0" b="0"/>
            <wp:docPr id="29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4"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w:t>
      </w:r>
      <w:r>
        <w:rPr>
          <w:noProof/>
          <w:position w:val="-10"/>
        </w:rPr>
        <w:drawing>
          <wp:inline distT="0" distB="0" distL="0" distR="0">
            <wp:extent cx="261620" cy="273685"/>
            <wp:effectExtent l="0" t="0" r="0" b="0"/>
            <wp:docPr id="29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5" cstate="print">
                      <a:extLst>
                        <a:ext uri="{28A0092B-C50C-407E-A947-70E740481C1C}">
                          <a14:useLocalDpi xmlns:a14="http://schemas.microsoft.com/office/drawing/2010/main" val="0"/>
                        </a:ext>
                      </a:extLst>
                    </a:blip>
                    <a:srcRect/>
                    <a:stretch>
                      <a:fillRect/>
                    </a:stretch>
                  </pic:blipFill>
                  <pic:spPr bwMode="auto">
                    <a:xfrm>
                      <a:off x="0" y="0"/>
                      <a:ext cx="261620" cy="273685"/>
                    </a:xfrm>
                    <a:prstGeom prst="rect">
                      <a:avLst/>
                    </a:prstGeom>
                    <a:noFill/>
                    <a:ln>
                      <a:noFill/>
                    </a:ln>
                  </pic:spPr>
                </pic:pic>
              </a:graphicData>
            </a:graphic>
          </wp:inline>
        </w:drawing>
      </w:r>
      <w:r>
        <w:t xml:space="preserve">, </w:t>
      </w:r>
      <w:r>
        <w:rPr>
          <w:noProof/>
          <w:position w:val="-10"/>
        </w:rPr>
        <w:drawing>
          <wp:inline distT="0" distB="0" distL="0" distR="0">
            <wp:extent cx="273685" cy="273685"/>
            <wp:effectExtent l="0" t="0" r="0" b="0"/>
            <wp:docPr id="29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6" cstate="print">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inline>
        </w:drawing>
      </w:r>
      <w:r>
        <w:t>.</w:t>
      </w:r>
    </w:p>
    <w:p w:rsidR="00212513" w:rsidRDefault="00212513">
      <w:pPr>
        <w:pStyle w:val="ConsPlusNormal"/>
        <w:jc w:val="both"/>
      </w:pPr>
      <w:r>
        <w:t xml:space="preserve">(в ред. </w:t>
      </w:r>
      <w:hyperlink r:id="rId3697">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lastRenderedPageBreak/>
        <w:t>Ш.6 Проверку прочности растянутого при изгибе ортотропной плиты крайнего нижнего волокна продольного ребра следует выполнять в зоне отрицательных моментов неразрезных главных балок в сечении I-I посередине пролета l среднего продольного ребра (</w:t>
      </w:r>
      <w:hyperlink w:anchor="P16899">
        <w:r>
          <w:rPr>
            <w:color w:val="0000FF"/>
          </w:rPr>
          <w:t>рисунок Ш.1</w:t>
        </w:r>
      </w:hyperlink>
      <w:r>
        <w:t>, а - точка A) по формулам:</w:t>
      </w:r>
    </w:p>
    <w:p w:rsidR="00212513" w:rsidRDefault="00212513">
      <w:pPr>
        <w:pStyle w:val="ConsPlusNormal"/>
        <w:ind w:firstLine="540"/>
        <w:jc w:val="both"/>
      </w:pPr>
    </w:p>
    <w:p w:rsidR="00212513" w:rsidRDefault="00212513">
      <w:pPr>
        <w:pStyle w:val="ConsPlusNormal"/>
        <w:jc w:val="center"/>
      </w:pPr>
      <w:r>
        <w:rPr>
          <w:noProof/>
          <w:position w:val="-10"/>
        </w:rPr>
        <w:drawing>
          <wp:inline distT="0" distB="0" distL="0" distR="0">
            <wp:extent cx="1508760" cy="273685"/>
            <wp:effectExtent l="0" t="0" r="0" b="0"/>
            <wp:docPr id="29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8" cstate="print">
                      <a:extLst>
                        <a:ext uri="{28A0092B-C50C-407E-A947-70E740481C1C}">
                          <a14:useLocalDpi xmlns:a14="http://schemas.microsoft.com/office/drawing/2010/main" val="0"/>
                        </a:ext>
                      </a:extLst>
                    </a:blip>
                    <a:srcRect/>
                    <a:stretch>
                      <a:fillRect/>
                    </a:stretch>
                  </pic:blipFill>
                  <pic:spPr bwMode="auto">
                    <a:xfrm>
                      <a:off x="0" y="0"/>
                      <a:ext cx="1508760" cy="273685"/>
                    </a:xfrm>
                    <a:prstGeom prst="rect">
                      <a:avLst/>
                    </a:prstGeom>
                    <a:noFill/>
                    <a:ln>
                      <a:noFill/>
                    </a:ln>
                  </pic:spPr>
                </pic:pic>
              </a:graphicData>
            </a:graphic>
          </wp:inline>
        </w:drawing>
      </w:r>
      <w:r>
        <w:t>; (Ш.5)</w:t>
      </w:r>
    </w:p>
    <w:p w:rsidR="00212513" w:rsidRDefault="00212513">
      <w:pPr>
        <w:pStyle w:val="ConsPlusNormal"/>
        <w:ind w:firstLine="540"/>
        <w:jc w:val="both"/>
      </w:pPr>
    </w:p>
    <w:p w:rsidR="00212513" w:rsidRDefault="00212513">
      <w:pPr>
        <w:pStyle w:val="ConsPlusNormal"/>
        <w:jc w:val="center"/>
      </w:pPr>
      <w:bookmarkStart w:id="571" w:name="P16999"/>
      <w:bookmarkEnd w:id="571"/>
      <w:r>
        <w:rPr>
          <w:noProof/>
          <w:position w:val="-10"/>
        </w:rPr>
        <w:drawing>
          <wp:inline distT="0" distB="0" distL="0" distR="0">
            <wp:extent cx="1326515" cy="273685"/>
            <wp:effectExtent l="0" t="0" r="0" b="0"/>
            <wp:docPr id="29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9" cstate="print">
                      <a:extLst>
                        <a:ext uri="{28A0092B-C50C-407E-A947-70E740481C1C}">
                          <a14:useLocalDpi xmlns:a14="http://schemas.microsoft.com/office/drawing/2010/main" val="0"/>
                        </a:ext>
                      </a:extLst>
                    </a:blip>
                    <a:srcRect/>
                    <a:stretch>
                      <a:fillRect/>
                    </a:stretch>
                  </pic:blipFill>
                  <pic:spPr bwMode="auto">
                    <a:xfrm>
                      <a:off x="0" y="0"/>
                      <a:ext cx="1326515" cy="273685"/>
                    </a:xfrm>
                    <a:prstGeom prst="rect">
                      <a:avLst/>
                    </a:prstGeom>
                    <a:noFill/>
                    <a:ln>
                      <a:noFill/>
                    </a:ln>
                  </pic:spPr>
                </pic:pic>
              </a:graphicData>
            </a:graphic>
          </wp:inline>
        </w:drawing>
      </w:r>
      <w:r>
        <w:t>, (Ш.6)</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10"/>
        </w:rPr>
        <w:drawing>
          <wp:inline distT="0" distB="0" distL="0" distR="0">
            <wp:extent cx="209550" cy="273685"/>
            <wp:effectExtent l="0" t="0" r="0" b="0"/>
            <wp:docPr id="29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0" cstate="print">
                      <a:extLst>
                        <a:ext uri="{28A0092B-C50C-407E-A947-70E740481C1C}">
                          <a14:useLocalDpi xmlns:a14="http://schemas.microsoft.com/office/drawing/2010/main" val="0"/>
                        </a:ext>
                      </a:extLst>
                    </a:blip>
                    <a:srcRect/>
                    <a:stretch>
                      <a:fillRect/>
                    </a:stretch>
                  </pic:blipFill>
                  <pic:spPr bwMode="auto">
                    <a:xfrm>
                      <a:off x="0" y="0"/>
                      <a:ext cx="209550" cy="273685"/>
                    </a:xfrm>
                    <a:prstGeom prst="rect">
                      <a:avLst/>
                    </a:prstGeom>
                    <a:noFill/>
                    <a:ln>
                      <a:noFill/>
                    </a:ln>
                  </pic:spPr>
                </pic:pic>
              </a:graphicData>
            </a:graphic>
          </wp:inline>
        </w:drawing>
      </w:r>
      <w:r>
        <w:t xml:space="preserve">, </w:t>
      </w:r>
      <w:r>
        <w:rPr>
          <w:noProof/>
          <w:position w:val="-10"/>
        </w:rPr>
        <w:drawing>
          <wp:inline distT="0" distB="0" distL="0" distR="0">
            <wp:extent cx="273685" cy="273685"/>
            <wp:effectExtent l="0" t="0" r="0" b="0"/>
            <wp:docPr id="29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1" cstate="print">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inline>
        </w:drawing>
      </w:r>
      <w:r>
        <w:t xml:space="preserve"> - расчетное и нормативное сопротивления металла продольного ребра;</w:t>
      </w:r>
    </w:p>
    <w:p w:rsidR="00212513" w:rsidRDefault="00212513">
      <w:pPr>
        <w:pStyle w:val="ConsPlusNormal"/>
        <w:spacing w:before="220"/>
        <w:ind w:firstLine="540"/>
        <w:jc w:val="both"/>
      </w:pPr>
      <w:r>
        <w:rPr>
          <w:i/>
        </w:rPr>
        <w:t>m</w:t>
      </w:r>
      <w:r>
        <w:t xml:space="preserve"> - коэффициент условий работы, принимаемый по </w:t>
      </w:r>
      <w:hyperlink w:anchor="P6905">
        <w:r>
          <w:rPr>
            <w:color w:val="0000FF"/>
          </w:rPr>
          <w:t>таблице 8.15</w:t>
        </w:r>
      </w:hyperlink>
      <w:r>
        <w:t>;</w:t>
      </w:r>
    </w:p>
    <w:p w:rsidR="00212513" w:rsidRDefault="00212513">
      <w:pPr>
        <w:pStyle w:val="ConsPlusNormal"/>
        <w:spacing w:before="220"/>
        <w:ind w:firstLine="540"/>
        <w:jc w:val="both"/>
      </w:pPr>
      <w:r>
        <w:rPr>
          <w:noProof/>
          <w:position w:val="-9"/>
        </w:rPr>
        <w:drawing>
          <wp:inline distT="0" distB="0" distL="0" distR="0">
            <wp:extent cx="209550" cy="261620"/>
            <wp:effectExtent l="0" t="0" r="0" b="0"/>
            <wp:docPr id="29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2"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 xml:space="preserve">, </w:t>
      </w:r>
      <w:r>
        <w:rPr>
          <w:noProof/>
          <w:position w:val="-9"/>
        </w:rPr>
        <w:drawing>
          <wp:inline distT="0" distB="0" distL="0" distR="0">
            <wp:extent cx="230505" cy="261620"/>
            <wp:effectExtent l="0" t="0" r="0" b="0"/>
            <wp:docPr id="29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3" cstate="print">
                      <a:extLst>
                        <a:ext uri="{28A0092B-C50C-407E-A947-70E740481C1C}">
                          <a14:useLocalDpi xmlns:a14="http://schemas.microsoft.com/office/drawing/2010/main" val="0"/>
                        </a:ext>
                      </a:extLst>
                    </a:blip>
                    <a:srcRect/>
                    <a:stretch>
                      <a:fillRect/>
                    </a:stretch>
                  </pic:blipFill>
                  <pic:spPr bwMode="auto">
                    <a:xfrm>
                      <a:off x="0" y="0"/>
                      <a:ext cx="230505" cy="261620"/>
                    </a:xfrm>
                    <a:prstGeom prst="rect">
                      <a:avLst/>
                    </a:prstGeom>
                    <a:noFill/>
                    <a:ln>
                      <a:noFill/>
                    </a:ln>
                  </pic:spPr>
                </pic:pic>
              </a:graphicData>
            </a:graphic>
          </wp:inline>
        </w:drawing>
      </w:r>
      <w:r>
        <w:t xml:space="preserve"> - коэффициенты условий работы; для автодорожных и городских мостов, а также для автодорожного проезда совмещенных мостов их следует принимать по </w:t>
      </w:r>
      <w:hyperlink w:anchor="P17007">
        <w:r>
          <w:rPr>
            <w:color w:val="0000FF"/>
          </w:rPr>
          <w:t>таблице Ш.2</w:t>
        </w:r>
      </w:hyperlink>
      <w:r>
        <w:t xml:space="preserve">; для железнодорожных и пешеходных мостов, а также для железнодорожного проезда совмещенных мостов </w:t>
      </w:r>
      <w:r>
        <w:rPr>
          <w:noProof/>
          <w:position w:val="-9"/>
        </w:rPr>
        <w:drawing>
          <wp:inline distT="0" distB="0" distL="0" distR="0">
            <wp:extent cx="650240" cy="261620"/>
            <wp:effectExtent l="0" t="0" r="0" b="0"/>
            <wp:docPr id="29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4" cstate="print">
                      <a:extLst>
                        <a:ext uri="{28A0092B-C50C-407E-A947-70E740481C1C}">
                          <a14:useLocalDpi xmlns:a14="http://schemas.microsoft.com/office/drawing/2010/main" val="0"/>
                        </a:ext>
                      </a:extLst>
                    </a:blip>
                    <a:srcRect/>
                    <a:stretch>
                      <a:fillRect/>
                    </a:stretch>
                  </pic:blipFill>
                  <pic:spPr bwMode="auto">
                    <a:xfrm>
                      <a:off x="0" y="0"/>
                      <a:ext cx="650240" cy="261620"/>
                    </a:xfrm>
                    <a:prstGeom prst="rect">
                      <a:avLst/>
                    </a:prstGeom>
                    <a:noFill/>
                    <a:ln>
                      <a:noFill/>
                    </a:ln>
                  </pic:spPr>
                </pic:pic>
              </a:graphicData>
            </a:graphic>
          </wp:inline>
        </w:drawing>
      </w:r>
      <w:r>
        <w:t xml:space="preserve">; при этом проверка по </w:t>
      </w:r>
      <w:hyperlink w:anchor="P16999">
        <w:r>
          <w:rPr>
            <w:color w:val="0000FF"/>
          </w:rPr>
          <w:t>формуле (Ш.6)</w:t>
        </w:r>
      </w:hyperlink>
      <w:r>
        <w:t xml:space="preserve"> не выполняется;</w:t>
      </w:r>
    </w:p>
    <w:p w:rsidR="00212513" w:rsidRDefault="00212513">
      <w:pPr>
        <w:pStyle w:val="ConsPlusNormal"/>
        <w:spacing w:before="220"/>
        <w:ind w:firstLine="540"/>
        <w:jc w:val="both"/>
      </w:pPr>
      <w:r>
        <w:rPr>
          <w:noProof/>
          <w:position w:val="-7"/>
        </w:rPr>
        <w:drawing>
          <wp:inline distT="0" distB="0" distL="0" distR="0">
            <wp:extent cx="177165" cy="240665"/>
            <wp:effectExtent l="0" t="0" r="0" b="0"/>
            <wp:docPr id="29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5"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 коэффициент влияния собственных остаточных напряжений, принимаемый </w:t>
      </w:r>
      <w:r>
        <w:rPr>
          <w:noProof/>
          <w:position w:val="-9"/>
        </w:rPr>
        <w:drawing>
          <wp:inline distT="0" distB="0" distL="0" distR="0">
            <wp:extent cx="605790" cy="261620"/>
            <wp:effectExtent l="0" t="0" r="0" b="0"/>
            <wp:docPr id="29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6" cstate="print">
                      <a:extLst>
                        <a:ext uri="{28A0092B-C50C-407E-A947-70E740481C1C}">
                          <a14:useLocalDpi xmlns:a14="http://schemas.microsoft.com/office/drawing/2010/main" val="0"/>
                        </a:ext>
                      </a:extLst>
                    </a:blip>
                    <a:srcRect/>
                    <a:stretch>
                      <a:fillRect/>
                    </a:stretch>
                  </pic:blipFill>
                  <pic:spPr bwMode="auto">
                    <a:xfrm>
                      <a:off x="0" y="0"/>
                      <a:ext cx="605790" cy="261620"/>
                    </a:xfrm>
                    <a:prstGeom prst="rect">
                      <a:avLst/>
                    </a:prstGeom>
                    <a:noFill/>
                    <a:ln>
                      <a:noFill/>
                    </a:ln>
                  </pic:spPr>
                </pic:pic>
              </a:graphicData>
            </a:graphic>
          </wp:inline>
        </w:drawing>
      </w:r>
      <w:r>
        <w:t xml:space="preserve"> - для крайнего нижнего волокна продольного ребра, выполненного из полосы, прокатного уголка или прокатного тавра, и </w:t>
      </w:r>
      <w:r>
        <w:rPr>
          <w:noProof/>
          <w:position w:val="-9"/>
        </w:rPr>
        <w:drawing>
          <wp:inline distT="0" distB="0" distL="0" distR="0">
            <wp:extent cx="544830" cy="261620"/>
            <wp:effectExtent l="0" t="0" r="0" b="0"/>
            <wp:docPr id="29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7" cstate="print">
                      <a:extLst>
                        <a:ext uri="{28A0092B-C50C-407E-A947-70E740481C1C}">
                          <a14:useLocalDpi xmlns:a14="http://schemas.microsoft.com/office/drawing/2010/main" val="0"/>
                        </a:ext>
                      </a:extLst>
                    </a:blip>
                    <a:srcRect/>
                    <a:stretch>
                      <a:fillRect/>
                    </a:stretch>
                  </pic:blipFill>
                  <pic:spPr bwMode="auto">
                    <a:xfrm>
                      <a:off x="0" y="0"/>
                      <a:ext cx="544830" cy="261620"/>
                    </a:xfrm>
                    <a:prstGeom prst="rect">
                      <a:avLst/>
                    </a:prstGeom>
                    <a:noFill/>
                    <a:ln>
                      <a:noFill/>
                    </a:ln>
                  </pic:spPr>
                </pic:pic>
              </a:graphicData>
            </a:graphic>
          </wp:inline>
        </w:drawing>
      </w:r>
      <w:r>
        <w:t xml:space="preserve"> - для продольного ребра в виде сварного тавра;</w:t>
      </w:r>
    </w:p>
    <w:p w:rsidR="00212513" w:rsidRDefault="00212513">
      <w:pPr>
        <w:pStyle w:val="ConsPlusNormal"/>
        <w:spacing w:before="220"/>
        <w:ind w:firstLine="540"/>
        <w:jc w:val="both"/>
      </w:pPr>
      <w:r>
        <w:rPr>
          <w:noProof/>
          <w:position w:val="-3"/>
        </w:rPr>
        <w:drawing>
          <wp:inline distT="0" distB="0" distL="0" distR="0">
            <wp:extent cx="167640" cy="177800"/>
            <wp:effectExtent l="0" t="0" r="0" b="0"/>
            <wp:docPr id="29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8"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w:t>
      </w:r>
      <w:r>
        <w:rPr>
          <w:noProof/>
        </w:rPr>
        <w:drawing>
          <wp:inline distT="0" distB="0" distL="0" distR="0">
            <wp:extent cx="167640" cy="146050"/>
            <wp:effectExtent l="0" t="0" r="0" b="0"/>
            <wp:docPr id="29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9"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t xml:space="preserve"> - коэффициенты, определяемые по </w:t>
      </w:r>
      <w:hyperlink w:anchor="P7270">
        <w:r>
          <w:rPr>
            <w:color w:val="0000FF"/>
          </w:rPr>
          <w:t>8.28</w:t>
        </w:r>
      </w:hyperlink>
      <w:r>
        <w:t xml:space="preserve"> и </w:t>
      </w:r>
      <w:hyperlink w:anchor="P6974">
        <w:r>
          <w:rPr>
            <w:color w:val="0000FF"/>
          </w:rPr>
          <w:t>8.26</w:t>
        </w:r>
      </w:hyperlink>
      <w:r>
        <w:t>.</w:t>
      </w:r>
    </w:p>
    <w:p w:rsidR="00212513" w:rsidRDefault="00212513">
      <w:pPr>
        <w:pStyle w:val="ConsPlusNormal"/>
        <w:ind w:firstLine="540"/>
        <w:jc w:val="both"/>
      </w:pPr>
    </w:p>
    <w:p w:rsidR="00212513" w:rsidRDefault="00212513">
      <w:pPr>
        <w:pStyle w:val="ConsPlusNormal"/>
        <w:jc w:val="right"/>
      </w:pPr>
      <w:bookmarkStart w:id="572" w:name="P17007"/>
      <w:bookmarkEnd w:id="572"/>
      <w:r>
        <w:t>Таблица Ш.2</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3239"/>
        <w:gridCol w:w="3240"/>
      </w:tblGrid>
      <w:tr w:rsidR="00212513">
        <w:tc>
          <w:tcPr>
            <w:tcW w:w="2608" w:type="dxa"/>
            <w:vMerge w:val="restart"/>
            <w:tcBorders>
              <w:top w:val="single" w:sz="4" w:space="0" w:color="auto"/>
              <w:bottom w:val="single" w:sz="4" w:space="0" w:color="auto"/>
            </w:tcBorders>
            <w:vAlign w:val="center"/>
          </w:tcPr>
          <w:p w:rsidR="00212513" w:rsidRDefault="00212513">
            <w:pPr>
              <w:pStyle w:val="ConsPlusNormal"/>
              <w:jc w:val="center"/>
            </w:pPr>
            <w:r>
              <w:rPr>
                <w:noProof/>
                <w:position w:val="-10"/>
              </w:rPr>
              <w:drawing>
                <wp:inline distT="0" distB="0" distL="0" distR="0">
                  <wp:extent cx="567055" cy="273685"/>
                  <wp:effectExtent l="0" t="0" r="0" b="0"/>
                  <wp:docPr id="29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0" cstate="print">
                            <a:extLst>
                              <a:ext uri="{28A0092B-C50C-407E-A947-70E740481C1C}">
                                <a14:useLocalDpi xmlns:a14="http://schemas.microsoft.com/office/drawing/2010/main" val="0"/>
                              </a:ext>
                            </a:extLst>
                          </a:blip>
                          <a:srcRect/>
                          <a:stretch>
                            <a:fillRect/>
                          </a:stretch>
                        </pic:blipFill>
                        <pic:spPr bwMode="auto">
                          <a:xfrm>
                            <a:off x="0" y="0"/>
                            <a:ext cx="567055" cy="273685"/>
                          </a:xfrm>
                          <a:prstGeom prst="rect">
                            <a:avLst/>
                          </a:prstGeom>
                          <a:noFill/>
                          <a:ln>
                            <a:noFill/>
                          </a:ln>
                        </pic:spPr>
                      </pic:pic>
                    </a:graphicData>
                  </a:graphic>
                </wp:inline>
              </w:drawing>
            </w:r>
          </w:p>
        </w:tc>
        <w:tc>
          <w:tcPr>
            <w:tcW w:w="6479" w:type="dxa"/>
            <w:gridSpan w:val="2"/>
            <w:tcBorders>
              <w:top w:val="single" w:sz="4" w:space="0" w:color="auto"/>
              <w:bottom w:val="single" w:sz="4" w:space="0" w:color="auto"/>
            </w:tcBorders>
            <w:vAlign w:val="center"/>
          </w:tcPr>
          <w:p w:rsidR="00212513" w:rsidRDefault="00212513">
            <w:pPr>
              <w:pStyle w:val="ConsPlusNormal"/>
              <w:jc w:val="center"/>
            </w:pPr>
            <w:r>
              <w:t xml:space="preserve">Значения коэффициентов </w:t>
            </w:r>
            <w:r>
              <w:rPr>
                <w:noProof/>
                <w:position w:val="-8"/>
              </w:rPr>
              <w:drawing>
                <wp:inline distT="0" distB="0" distL="0" distR="0">
                  <wp:extent cx="209550" cy="251460"/>
                  <wp:effectExtent l="0" t="0" r="0" b="0"/>
                  <wp:docPr id="29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w:t>
            </w:r>
            <w:r>
              <w:rPr>
                <w:noProof/>
                <w:position w:val="-8"/>
              </w:rPr>
              <w:drawing>
                <wp:inline distT="0" distB="0" distL="0" distR="0">
                  <wp:extent cx="230505" cy="251460"/>
                  <wp:effectExtent l="0" t="0" r="0" b="0"/>
                  <wp:docPr id="29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3" cstate="print">
                            <a:extLst>
                              <a:ext uri="{28A0092B-C50C-407E-A947-70E740481C1C}">
                                <a14:useLocalDpi xmlns:a14="http://schemas.microsoft.com/office/drawing/2010/main" val="0"/>
                              </a:ext>
                            </a:extLst>
                          </a:blip>
                          <a:srcRect/>
                          <a:stretch>
                            <a:fillRect/>
                          </a:stretch>
                        </pic:blipFill>
                        <pic:spPr bwMode="auto">
                          <a:xfrm>
                            <a:off x="0" y="0"/>
                            <a:ext cx="230505" cy="251460"/>
                          </a:xfrm>
                          <a:prstGeom prst="rect">
                            <a:avLst/>
                          </a:prstGeom>
                          <a:noFill/>
                          <a:ln>
                            <a:noFill/>
                          </a:ln>
                        </pic:spPr>
                      </pic:pic>
                    </a:graphicData>
                  </a:graphic>
                </wp:inline>
              </w:drawing>
            </w:r>
            <w:r>
              <w:t xml:space="preserve"> для полосовых ребер</w:t>
            </w:r>
          </w:p>
        </w:tc>
      </w:tr>
      <w:tr w:rsidR="00212513">
        <w:tc>
          <w:tcPr>
            <w:tcW w:w="2608" w:type="dxa"/>
            <w:vMerge/>
            <w:tcBorders>
              <w:top w:val="single" w:sz="4" w:space="0" w:color="auto"/>
              <w:bottom w:val="single" w:sz="4" w:space="0" w:color="auto"/>
            </w:tcBorders>
          </w:tcPr>
          <w:p w:rsidR="00212513" w:rsidRDefault="00212513">
            <w:pPr>
              <w:pStyle w:val="ConsPlusNormal"/>
            </w:pPr>
          </w:p>
        </w:tc>
        <w:tc>
          <w:tcPr>
            <w:tcW w:w="3239" w:type="dxa"/>
            <w:tcBorders>
              <w:top w:val="single" w:sz="4" w:space="0" w:color="auto"/>
              <w:bottom w:val="single" w:sz="4" w:space="0" w:color="auto"/>
            </w:tcBorders>
            <w:vAlign w:val="center"/>
          </w:tcPr>
          <w:p w:rsidR="00212513" w:rsidRDefault="00212513">
            <w:pPr>
              <w:pStyle w:val="ConsPlusNormal"/>
              <w:jc w:val="center"/>
            </w:pPr>
            <w:r>
              <w:rPr>
                <w:noProof/>
                <w:position w:val="-8"/>
              </w:rPr>
              <w:drawing>
                <wp:inline distT="0" distB="0" distL="0" distR="0">
                  <wp:extent cx="209550" cy="251460"/>
                  <wp:effectExtent l="0" t="0" r="0" b="0"/>
                  <wp:docPr id="29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c>
          <w:tcPr>
            <w:tcW w:w="3240" w:type="dxa"/>
            <w:tcBorders>
              <w:top w:val="single" w:sz="4" w:space="0" w:color="auto"/>
              <w:bottom w:val="single" w:sz="4" w:space="0" w:color="auto"/>
            </w:tcBorders>
            <w:vAlign w:val="center"/>
          </w:tcPr>
          <w:p w:rsidR="00212513" w:rsidRDefault="00212513">
            <w:pPr>
              <w:pStyle w:val="ConsPlusNormal"/>
              <w:jc w:val="center"/>
            </w:pPr>
            <w:r>
              <w:rPr>
                <w:noProof/>
                <w:position w:val="-8"/>
              </w:rPr>
              <w:drawing>
                <wp:inline distT="0" distB="0" distL="0" distR="0">
                  <wp:extent cx="230505" cy="251460"/>
                  <wp:effectExtent l="0" t="0" r="0" b="0"/>
                  <wp:docPr id="29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3" cstate="print">
                            <a:extLst>
                              <a:ext uri="{28A0092B-C50C-407E-A947-70E740481C1C}">
                                <a14:useLocalDpi xmlns:a14="http://schemas.microsoft.com/office/drawing/2010/main" val="0"/>
                              </a:ext>
                            </a:extLst>
                          </a:blip>
                          <a:srcRect/>
                          <a:stretch>
                            <a:fillRect/>
                          </a:stretch>
                        </pic:blipFill>
                        <pic:spPr bwMode="auto">
                          <a:xfrm>
                            <a:off x="0" y="0"/>
                            <a:ext cx="230505" cy="251460"/>
                          </a:xfrm>
                          <a:prstGeom prst="rect">
                            <a:avLst/>
                          </a:prstGeom>
                          <a:noFill/>
                          <a:ln>
                            <a:noFill/>
                          </a:ln>
                        </pic:spPr>
                      </pic:pic>
                    </a:graphicData>
                  </a:graphic>
                </wp:inline>
              </w:drawing>
            </w:r>
          </w:p>
        </w:tc>
      </w:tr>
      <w:tr w:rsidR="00212513">
        <w:tblPrEx>
          <w:tblBorders>
            <w:insideH w:val="none" w:sz="0" w:space="0" w:color="auto"/>
          </w:tblBorders>
        </w:tblPrEx>
        <w:tc>
          <w:tcPr>
            <w:tcW w:w="2608" w:type="dxa"/>
            <w:tcBorders>
              <w:top w:val="single" w:sz="4" w:space="0" w:color="auto"/>
              <w:bottom w:val="nil"/>
            </w:tcBorders>
          </w:tcPr>
          <w:p w:rsidR="00212513" w:rsidRDefault="00212513">
            <w:pPr>
              <w:pStyle w:val="ConsPlusNormal"/>
              <w:jc w:val="center"/>
            </w:pPr>
            <w:r>
              <w:t>0</w:t>
            </w:r>
          </w:p>
        </w:tc>
        <w:tc>
          <w:tcPr>
            <w:tcW w:w="3239" w:type="dxa"/>
            <w:tcBorders>
              <w:top w:val="single" w:sz="4" w:space="0" w:color="auto"/>
              <w:bottom w:val="nil"/>
            </w:tcBorders>
          </w:tcPr>
          <w:p w:rsidR="00212513" w:rsidRDefault="00212513">
            <w:pPr>
              <w:pStyle w:val="ConsPlusNormal"/>
              <w:jc w:val="center"/>
            </w:pPr>
            <w:r>
              <w:t>0,55</w:t>
            </w:r>
          </w:p>
        </w:tc>
        <w:tc>
          <w:tcPr>
            <w:tcW w:w="3240" w:type="dxa"/>
            <w:tcBorders>
              <w:top w:val="single" w:sz="4" w:space="0" w:color="auto"/>
              <w:bottom w:val="nil"/>
            </w:tcBorders>
          </w:tcPr>
          <w:p w:rsidR="00212513" w:rsidRDefault="00212513">
            <w:pPr>
              <w:pStyle w:val="ConsPlusNormal"/>
              <w:jc w:val="center"/>
            </w:pPr>
            <w:r>
              <w:t>1,40</w:t>
            </w:r>
          </w:p>
        </w:tc>
      </w:tr>
      <w:tr w:rsidR="00212513">
        <w:tblPrEx>
          <w:tblBorders>
            <w:insideH w:val="none" w:sz="0" w:space="0" w:color="auto"/>
          </w:tblBorders>
        </w:tblPrEx>
        <w:tc>
          <w:tcPr>
            <w:tcW w:w="2608" w:type="dxa"/>
            <w:tcBorders>
              <w:top w:val="nil"/>
              <w:bottom w:val="nil"/>
            </w:tcBorders>
          </w:tcPr>
          <w:p w:rsidR="00212513" w:rsidRDefault="00212513">
            <w:pPr>
              <w:pStyle w:val="ConsPlusNormal"/>
              <w:jc w:val="center"/>
            </w:pPr>
            <w:r>
              <w:t>0,25</w:t>
            </w:r>
          </w:p>
        </w:tc>
        <w:tc>
          <w:tcPr>
            <w:tcW w:w="3239" w:type="dxa"/>
            <w:tcBorders>
              <w:top w:val="nil"/>
              <w:bottom w:val="nil"/>
            </w:tcBorders>
          </w:tcPr>
          <w:p w:rsidR="00212513" w:rsidRDefault="00212513">
            <w:pPr>
              <w:pStyle w:val="ConsPlusNormal"/>
              <w:jc w:val="center"/>
            </w:pPr>
            <w:r>
              <w:t>0,40</w:t>
            </w:r>
          </w:p>
        </w:tc>
        <w:tc>
          <w:tcPr>
            <w:tcW w:w="3240" w:type="dxa"/>
            <w:tcBorders>
              <w:top w:val="nil"/>
              <w:bottom w:val="nil"/>
            </w:tcBorders>
          </w:tcPr>
          <w:p w:rsidR="00212513" w:rsidRDefault="00212513">
            <w:pPr>
              <w:pStyle w:val="ConsPlusNormal"/>
              <w:jc w:val="center"/>
            </w:pPr>
            <w:r>
              <w:t>1,50</w:t>
            </w:r>
          </w:p>
        </w:tc>
      </w:tr>
      <w:tr w:rsidR="00212513">
        <w:tblPrEx>
          <w:tblBorders>
            <w:insideH w:val="none" w:sz="0" w:space="0" w:color="auto"/>
          </w:tblBorders>
        </w:tblPrEx>
        <w:tc>
          <w:tcPr>
            <w:tcW w:w="2608" w:type="dxa"/>
            <w:tcBorders>
              <w:top w:val="nil"/>
              <w:bottom w:val="nil"/>
            </w:tcBorders>
          </w:tcPr>
          <w:p w:rsidR="00212513" w:rsidRDefault="00212513">
            <w:pPr>
              <w:pStyle w:val="ConsPlusNormal"/>
              <w:jc w:val="center"/>
            </w:pPr>
            <w:r>
              <w:t>0,45</w:t>
            </w:r>
          </w:p>
        </w:tc>
        <w:tc>
          <w:tcPr>
            <w:tcW w:w="3239" w:type="dxa"/>
            <w:tcBorders>
              <w:top w:val="nil"/>
              <w:bottom w:val="nil"/>
            </w:tcBorders>
          </w:tcPr>
          <w:p w:rsidR="00212513" w:rsidRDefault="00212513">
            <w:pPr>
              <w:pStyle w:val="ConsPlusNormal"/>
              <w:jc w:val="center"/>
            </w:pPr>
            <w:r>
              <w:t>0,25</w:t>
            </w:r>
          </w:p>
        </w:tc>
        <w:tc>
          <w:tcPr>
            <w:tcW w:w="3240" w:type="dxa"/>
            <w:tcBorders>
              <w:top w:val="nil"/>
              <w:bottom w:val="nil"/>
            </w:tcBorders>
          </w:tcPr>
          <w:p w:rsidR="00212513" w:rsidRDefault="00212513">
            <w:pPr>
              <w:pStyle w:val="ConsPlusNormal"/>
              <w:jc w:val="center"/>
            </w:pPr>
            <w:r>
              <w:t>1,60</w:t>
            </w:r>
          </w:p>
        </w:tc>
      </w:tr>
      <w:tr w:rsidR="00212513">
        <w:tblPrEx>
          <w:tblBorders>
            <w:insideH w:val="none" w:sz="0" w:space="0" w:color="auto"/>
          </w:tblBorders>
        </w:tblPrEx>
        <w:tc>
          <w:tcPr>
            <w:tcW w:w="2608" w:type="dxa"/>
            <w:tcBorders>
              <w:top w:val="nil"/>
              <w:bottom w:val="single" w:sz="4" w:space="0" w:color="auto"/>
            </w:tcBorders>
          </w:tcPr>
          <w:p w:rsidR="00212513" w:rsidRDefault="00212513">
            <w:pPr>
              <w:pStyle w:val="ConsPlusNormal"/>
              <w:jc w:val="center"/>
            </w:pPr>
            <w:r>
              <w:t>0,65</w:t>
            </w:r>
          </w:p>
        </w:tc>
        <w:tc>
          <w:tcPr>
            <w:tcW w:w="3239" w:type="dxa"/>
            <w:tcBorders>
              <w:top w:val="nil"/>
              <w:bottom w:val="single" w:sz="4" w:space="0" w:color="auto"/>
            </w:tcBorders>
          </w:tcPr>
          <w:p w:rsidR="00212513" w:rsidRDefault="00212513">
            <w:pPr>
              <w:pStyle w:val="ConsPlusNormal"/>
              <w:jc w:val="center"/>
            </w:pPr>
            <w:r>
              <w:t>0,13</w:t>
            </w:r>
          </w:p>
        </w:tc>
        <w:tc>
          <w:tcPr>
            <w:tcW w:w="3240" w:type="dxa"/>
            <w:tcBorders>
              <w:top w:val="nil"/>
              <w:bottom w:val="single" w:sz="4" w:space="0" w:color="auto"/>
            </w:tcBorders>
          </w:tcPr>
          <w:p w:rsidR="00212513" w:rsidRDefault="00212513">
            <w:pPr>
              <w:pStyle w:val="ConsPlusNormal"/>
              <w:jc w:val="center"/>
            </w:pPr>
            <w:r>
              <w:t>1,60</w:t>
            </w:r>
          </w:p>
        </w:tc>
      </w:tr>
      <w:tr w:rsidR="00212513">
        <w:tc>
          <w:tcPr>
            <w:tcW w:w="9087" w:type="dxa"/>
            <w:gridSpan w:val="3"/>
            <w:tcBorders>
              <w:top w:val="single" w:sz="4" w:space="0" w:color="auto"/>
              <w:bottom w:val="single" w:sz="4" w:space="0" w:color="auto"/>
            </w:tcBorders>
          </w:tcPr>
          <w:p w:rsidR="00212513" w:rsidRDefault="00212513">
            <w:pPr>
              <w:pStyle w:val="ConsPlusNormal"/>
              <w:ind w:firstLine="283"/>
              <w:jc w:val="both"/>
            </w:pPr>
            <w:r>
              <w:t xml:space="preserve">Примечание - Коэффициенты </w:t>
            </w:r>
            <w:r>
              <w:rPr>
                <w:noProof/>
                <w:position w:val="-9"/>
              </w:rPr>
              <w:drawing>
                <wp:inline distT="0" distB="0" distL="0" distR="0">
                  <wp:extent cx="209550" cy="261620"/>
                  <wp:effectExtent l="0" t="0" r="0" b="0"/>
                  <wp:docPr id="29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2"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 xml:space="preserve"> и </w:t>
            </w:r>
            <w:r>
              <w:rPr>
                <w:noProof/>
                <w:position w:val="-9"/>
              </w:rPr>
              <w:drawing>
                <wp:inline distT="0" distB="0" distL="0" distR="0">
                  <wp:extent cx="230505" cy="261620"/>
                  <wp:effectExtent l="0" t="0" r="0" b="0"/>
                  <wp:docPr id="29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3" cstate="print">
                            <a:extLst>
                              <a:ext uri="{28A0092B-C50C-407E-A947-70E740481C1C}">
                                <a14:useLocalDpi xmlns:a14="http://schemas.microsoft.com/office/drawing/2010/main" val="0"/>
                              </a:ext>
                            </a:extLst>
                          </a:blip>
                          <a:srcRect/>
                          <a:stretch>
                            <a:fillRect/>
                          </a:stretch>
                        </pic:blipFill>
                        <pic:spPr bwMode="auto">
                          <a:xfrm>
                            <a:off x="0" y="0"/>
                            <a:ext cx="230505" cy="261620"/>
                          </a:xfrm>
                          <a:prstGeom prst="rect">
                            <a:avLst/>
                          </a:prstGeom>
                          <a:noFill/>
                          <a:ln>
                            <a:noFill/>
                          </a:ln>
                        </pic:spPr>
                      </pic:pic>
                    </a:graphicData>
                  </a:graphic>
                </wp:inline>
              </w:drawing>
            </w:r>
            <w:r>
              <w:t xml:space="preserve"> для промежуточных значений </w:t>
            </w:r>
            <w:r>
              <w:rPr>
                <w:noProof/>
                <w:position w:val="-10"/>
              </w:rPr>
              <w:drawing>
                <wp:inline distT="0" distB="0" distL="0" distR="0">
                  <wp:extent cx="567055" cy="273685"/>
                  <wp:effectExtent l="0" t="0" r="0" b="0"/>
                  <wp:docPr id="29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1" cstate="print">
                            <a:extLst>
                              <a:ext uri="{28A0092B-C50C-407E-A947-70E740481C1C}">
                                <a14:useLocalDpi xmlns:a14="http://schemas.microsoft.com/office/drawing/2010/main" val="0"/>
                              </a:ext>
                            </a:extLst>
                          </a:blip>
                          <a:srcRect/>
                          <a:stretch>
                            <a:fillRect/>
                          </a:stretch>
                        </pic:blipFill>
                        <pic:spPr bwMode="auto">
                          <a:xfrm>
                            <a:off x="0" y="0"/>
                            <a:ext cx="567055" cy="273685"/>
                          </a:xfrm>
                          <a:prstGeom prst="rect">
                            <a:avLst/>
                          </a:prstGeom>
                          <a:noFill/>
                          <a:ln>
                            <a:noFill/>
                          </a:ln>
                        </pic:spPr>
                      </pic:pic>
                    </a:graphicData>
                  </a:graphic>
                </wp:inline>
              </w:drawing>
            </w:r>
            <w:r>
              <w:t xml:space="preserve"> следует определять линейной интерполяцией.</w:t>
            </w:r>
          </w:p>
        </w:tc>
      </w:tr>
    </w:tbl>
    <w:p w:rsidR="00212513" w:rsidRDefault="00212513">
      <w:pPr>
        <w:pStyle w:val="ConsPlusNormal"/>
        <w:ind w:firstLine="540"/>
        <w:jc w:val="both"/>
      </w:pPr>
    </w:p>
    <w:p w:rsidR="00212513" w:rsidRDefault="00212513">
      <w:pPr>
        <w:pStyle w:val="ConsPlusNormal"/>
        <w:ind w:firstLine="540"/>
        <w:jc w:val="both"/>
      </w:pPr>
      <w:r>
        <w:t>Ш.7 Проверку прочности сжатого при местном изгибе ортотропной плиты крайнего нижнего волокна продольного ребра следует выполнять в зоне положительных моментов неразрезных главных балок в опорном сечении II-III среднего продольного ребра (</w:t>
      </w:r>
      <w:hyperlink w:anchor="P16899">
        <w:r>
          <w:rPr>
            <w:color w:val="0000FF"/>
          </w:rPr>
          <w:t>рисунок Ш.1</w:t>
        </w:r>
      </w:hyperlink>
      <w:r>
        <w:t>, а - точка B) по формуле</w:t>
      </w:r>
    </w:p>
    <w:p w:rsidR="00212513" w:rsidRDefault="00212513">
      <w:pPr>
        <w:pStyle w:val="ConsPlusNormal"/>
        <w:ind w:firstLine="540"/>
        <w:jc w:val="both"/>
      </w:pPr>
    </w:p>
    <w:p w:rsidR="00212513" w:rsidRDefault="00212513">
      <w:pPr>
        <w:pStyle w:val="ConsPlusNormal"/>
        <w:jc w:val="center"/>
      </w:pPr>
      <w:r>
        <w:rPr>
          <w:noProof/>
          <w:position w:val="-10"/>
        </w:rPr>
        <w:drawing>
          <wp:inline distT="0" distB="0" distL="0" distR="0">
            <wp:extent cx="1578610" cy="273685"/>
            <wp:effectExtent l="0" t="0" r="0" b="0"/>
            <wp:docPr id="29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2" cstate="print">
                      <a:extLst>
                        <a:ext uri="{28A0092B-C50C-407E-A947-70E740481C1C}">
                          <a14:useLocalDpi xmlns:a14="http://schemas.microsoft.com/office/drawing/2010/main" val="0"/>
                        </a:ext>
                      </a:extLst>
                    </a:blip>
                    <a:srcRect/>
                    <a:stretch>
                      <a:fillRect/>
                    </a:stretch>
                  </pic:blipFill>
                  <pic:spPr bwMode="auto">
                    <a:xfrm>
                      <a:off x="0" y="0"/>
                      <a:ext cx="1578610" cy="273685"/>
                    </a:xfrm>
                    <a:prstGeom prst="rect">
                      <a:avLst/>
                    </a:prstGeom>
                    <a:noFill/>
                    <a:ln>
                      <a:noFill/>
                    </a:ln>
                  </pic:spPr>
                </pic:pic>
              </a:graphicData>
            </a:graphic>
          </wp:inline>
        </w:drawing>
      </w:r>
      <w:r>
        <w:t>, (Ш.7)</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3"/>
        </w:rPr>
        <w:drawing>
          <wp:inline distT="0" distB="0" distL="0" distR="0">
            <wp:extent cx="167640" cy="177800"/>
            <wp:effectExtent l="0" t="0" r="0" b="0"/>
            <wp:docPr id="29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8"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w:t>
      </w:r>
      <w:r>
        <w:rPr>
          <w:noProof/>
        </w:rPr>
        <w:drawing>
          <wp:inline distT="0" distB="0" distL="0" distR="0">
            <wp:extent cx="167640" cy="146050"/>
            <wp:effectExtent l="0" t="0" r="0" b="0"/>
            <wp:docPr id="29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9"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t xml:space="preserve"> - коэффициенты, определяемые по </w:t>
      </w:r>
      <w:hyperlink w:anchor="P7270">
        <w:r>
          <w:rPr>
            <w:color w:val="0000FF"/>
          </w:rPr>
          <w:t>8.28</w:t>
        </w:r>
      </w:hyperlink>
      <w:r>
        <w:t xml:space="preserve"> и </w:t>
      </w:r>
      <w:hyperlink w:anchor="P6974">
        <w:r>
          <w:rPr>
            <w:color w:val="0000FF"/>
          </w:rPr>
          <w:t>8.26</w:t>
        </w:r>
      </w:hyperlink>
      <w:r>
        <w:t>;</w:t>
      </w:r>
    </w:p>
    <w:p w:rsidR="00212513" w:rsidRDefault="00212513">
      <w:pPr>
        <w:pStyle w:val="ConsPlusNormal"/>
        <w:spacing w:before="220"/>
        <w:ind w:firstLine="540"/>
        <w:jc w:val="both"/>
      </w:pPr>
      <w:r>
        <w:rPr>
          <w:noProof/>
          <w:position w:val="-9"/>
        </w:rPr>
        <w:lastRenderedPageBreak/>
        <w:drawing>
          <wp:inline distT="0" distB="0" distL="0" distR="0">
            <wp:extent cx="209550" cy="261620"/>
            <wp:effectExtent l="0" t="0" r="0" b="0"/>
            <wp:docPr id="29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3"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 xml:space="preserve"> - коэффициент влияния собственных остаточных напряжений, принимаемый </w:t>
      </w:r>
      <w:r>
        <w:rPr>
          <w:noProof/>
          <w:position w:val="-9"/>
        </w:rPr>
        <w:drawing>
          <wp:inline distT="0" distB="0" distL="0" distR="0">
            <wp:extent cx="564515" cy="261620"/>
            <wp:effectExtent l="0" t="0" r="0" b="0"/>
            <wp:docPr id="29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4" cstate="print">
                      <a:extLst>
                        <a:ext uri="{28A0092B-C50C-407E-A947-70E740481C1C}">
                          <a14:useLocalDpi xmlns:a14="http://schemas.microsoft.com/office/drawing/2010/main" val="0"/>
                        </a:ext>
                      </a:extLst>
                    </a:blip>
                    <a:srcRect/>
                    <a:stretch>
                      <a:fillRect/>
                    </a:stretch>
                  </pic:blipFill>
                  <pic:spPr bwMode="auto">
                    <a:xfrm>
                      <a:off x="0" y="0"/>
                      <a:ext cx="564515" cy="261620"/>
                    </a:xfrm>
                    <a:prstGeom prst="rect">
                      <a:avLst/>
                    </a:prstGeom>
                    <a:noFill/>
                    <a:ln>
                      <a:noFill/>
                    </a:ln>
                  </pic:spPr>
                </pic:pic>
              </a:graphicData>
            </a:graphic>
          </wp:inline>
        </w:drawing>
      </w:r>
      <w:r>
        <w:t xml:space="preserve"> - для крайнего нижнего волокна ребра, выполненного из полосы, прокатного уголка или прокатного тавра, и </w:t>
      </w:r>
      <w:r>
        <w:rPr>
          <w:noProof/>
          <w:position w:val="-9"/>
        </w:rPr>
        <w:drawing>
          <wp:inline distT="0" distB="0" distL="0" distR="0">
            <wp:extent cx="621030" cy="261620"/>
            <wp:effectExtent l="0" t="0" r="0" b="0"/>
            <wp:docPr id="29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5" cstate="print">
                      <a:extLst>
                        <a:ext uri="{28A0092B-C50C-407E-A947-70E740481C1C}">
                          <a14:useLocalDpi xmlns:a14="http://schemas.microsoft.com/office/drawing/2010/main" val="0"/>
                        </a:ext>
                      </a:extLst>
                    </a:blip>
                    <a:srcRect/>
                    <a:stretch>
                      <a:fillRect/>
                    </a:stretch>
                  </pic:blipFill>
                  <pic:spPr bwMode="auto">
                    <a:xfrm>
                      <a:off x="0" y="0"/>
                      <a:ext cx="621030" cy="261620"/>
                    </a:xfrm>
                    <a:prstGeom prst="rect">
                      <a:avLst/>
                    </a:prstGeom>
                    <a:noFill/>
                    <a:ln>
                      <a:noFill/>
                    </a:ln>
                  </pic:spPr>
                </pic:pic>
              </a:graphicData>
            </a:graphic>
          </wp:inline>
        </w:drawing>
      </w:r>
      <w:r>
        <w:t xml:space="preserve"> - для ребра в виде сварного тавра;</w:t>
      </w:r>
    </w:p>
    <w:p w:rsidR="00212513" w:rsidRDefault="00212513">
      <w:pPr>
        <w:pStyle w:val="ConsPlusNormal"/>
        <w:spacing w:before="220"/>
        <w:ind w:firstLine="540"/>
        <w:jc w:val="both"/>
      </w:pPr>
      <w:r>
        <w:rPr>
          <w:i/>
        </w:rPr>
        <w:t>m</w:t>
      </w:r>
      <w:r>
        <w:t xml:space="preserve"> - коэффициент условий работы, принимаемый по </w:t>
      </w:r>
      <w:hyperlink w:anchor="P6905">
        <w:r>
          <w:rPr>
            <w:color w:val="0000FF"/>
          </w:rPr>
          <w:t>таблице 8.15</w:t>
        </w:r>
      </w:hyperlink>
      <w:r>
        <w:t>.</w:t>
      </w:r>
    </w:p>
    <w:p w:rsidR="00212513" w:rsidRDefault="00212513">
      <w:pPr>
        <w:pStyle w:val="ConsPlusNormal"/>
        <w:spacing w:before="220"/>
        <w:ind w:firstLine="540"/>
        <w:jc w:val="both"/>
      </w:pPr>
      <w:r>
        <w:t>Ш.8 Проверку прочности крайнего нижнего волокна поперечной балки следует выполнять в сечении III-III посередине ее пролета (</w:t>
      </w:r>
      <w:hyperlink w:anchor="P16899">
        <w:r>
          <w:rPr>
            <w:color w:val="0000FF"/>
          </w:rPr>
          <w:t>рисунок Ш.1</w:t>
        </w:r>
      </w:hyperlink>
      <w:r>
        <w:t>, в - точка C) по формуле</w:t>
      </w:r>
    </w:p>
    <w:p w:rsidR="00212513" w:rsidRDefault="00212513">
      <w:pPr>
        <w:pStyle w:val="ConsPlusNormal"/>
        <w:ind w:firstLine="540"/>
        <w:jc w:val="both"/>
      </w:pPr>
    </w:p>
    <w:p w:rsidR="00212513" w:rsidRDefault="00212513">
      <w:pPr>
        <w:pStyle w:val="ConsPlusNormal"/>
        <w:jc w:val="center"/>
      </w:pPr>
      <w:r>
        <w:rPr>
          <w:noProof/>
          <w:position w:val="-10"/>
        </w:rPr>
        <w:drawing>
          <wp:inline distT="0" distB="0" distL="0" distR="0">
            <wp:extent cx="939800" cy="273685"/>
            <wp:effectExtent l="0" t="0" r="0" b="0"/>
            <wp:docPr id="29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6" cstate="print">
                      <a:extLst>
                        <a:ext uri="{28A0092B-C50C-407E-A947-70E740481C1C}">
                          <a14:useLocalDpi xmlns:a14="http://schemas.microsoft.com/office/drawing/2010/main" val="0"/>
                        </a:ext>
                      </a:extLst>
                    </a:blip>
                    <a:srcRect/>
                    <a:stretch>
                      <a:fillRect/>
                    </a:stretch>
                  </pic:blipFill>
                  <pic:spPr bwMode="auto">
                    <a:xfrm>
                      <a:off x="0" y="0"/>
                      <a:ext cx="939800" cy="273685"/>
                    </a:xfrm>
                    <a:prstGeom prst="rect">
                      <a:avLst/>
                    </a:prstGeom>
                    <a:noFill/>
                    <a:ln>
                      <a:noFill/>
                    </a:ln>
                  </pic:spPr>
                </pic:pic>
              </a:graphicData>
            </a:graphic>
          </wp:inline>
        </w:drawing>
      </w:r>
      <w:r>
        <w:t>, (Ш.8)</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rPr>
        <w:drawing>
          <wp:inline distT="0" distB="0" distL="0" distR="0">
            <wp:extent cx="167640" cy="146050"/>
            <wp:effectExtent l="0" t="0" r="0" b="0"/>
            <wp:docPr id="29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7"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t xml:space="preserve"> - коэффициент, определяемый по </w:t>
      </w:r>
      <w:hyperlink w:anchor="P6983">
        <w:r>
          <w:rPr>
            <w:color w:val="0000FF"/>
          </w:rPr>
          <w:t>формулам (8.6)</w:t>
        </w:r>
      </w:hyperlink>
      <w:r>
        <w:t xml:space="preserve"> и </w:t>
      </w:r>
      <w:hyperlink w:anchor="P6987">
        <w:r>
          <w:rPr>
            <w:color w:val="0000FF"/>
          </w:rPr>
          <w:t>(8.7)</w:t>
        </w:r>
      </w:hyperlink>
      <w:r>
        <w:t>;</w:t>
      </w:r>
    </w:p>
    <w:p w:rsidR="00212513" w:rsidRDefault="00212513">
      <w:pPr>
        <w:pStyle w:val="ConsPlusNormal"/>
        <w:spacing w:before="220"/>
        <w:ind w:firstLine="540"/>
        <w:jc w:val="both"/>
      </w:pPr>
      <w:r>
        <w:rPr>
          <w:i/>
        </w:rPr>
        <w:t>m</w:t>
      </w:r>
      <w:r>
        <w:t xml:space="preserve"> - коэффициент условий работы, принимаемый по </w:t>
      </w:r>
      <w:hyperlink w:anchor="P6905">
        <w:r>
          <w:rPr>
            <w:color w:val="0000FF"/>
          </w:rPr>
          <w:t>таблице 8.15</w:t>
        </w:r>
      </w:hyperlink>
      <w:r>
        <w:t>.</w:t>
      </w:r>
    </w:p>
    <w:p w:rsidR="00212513" w:rsidRDefault="00212513">
      <w:pPr>
        <w:pStyle w:val="ConsPlusNormal"/>
        <w:spacing w:before="220"/>
        <w:ind w:firstLine="540"/>
        <w:jc w:val="both"/>
      </w:pPr>
      <w:r>
        <w:t xml:space="preserve">Ш.9 Расчет по прочности листа настила следует выполнять в точках </w:t>
      </w:r>
      <w:r>
        <w:rPr>
          <w:noProof/>
          <w:position w:val="-9"/>
        </w:rPr>
        <w:drawing>
          <wp:inline distT="0" distB="0" distL="0" distR="0">
            <wp:extent cx="177800" cy="261620"/>
            <wp:effectExtent l="0" t="0" r="0" b="0"/>
            <wp:docPr id="29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8"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w:t>
      </w:r>
      <w:r>
        <w:rPr>
          <w:noProof/>
          <w:position w:val="-9"/>
        </w:rPr>
        <w:drawing>
          <wp:inline distT="0" distB="0" distL="0" distR="0">
            <wp:extent cx="177800" cy="261620"/>
            <wp:effectExtent l="0" t="0" r="0" b="0"/>
            <wp:docPr id="29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9"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w:t>
      </w:r>
      <w:r>
        <w:rPr>
          <w:noProof/>
          <w:position w:val="-9"/>
        </w:rPr>
        <w:drawing>
          <wp:inline distT="0" distB="0" distL="0" distR="0">
            <wp:extent cx="209550" cy="261620"/>
            <wp:effectExtent l="0" t="0" r="0" b="0"/>
            <wp:docPr id="29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0"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 xml:space="preserve"> (см. </w:t>
      </w:r>
      <w:hyperlink w:anchor="P16899">
        <w:r>
          <w:rPr>
            <w:color w:val="0000FF"/>
          </w:rPr>
          <w:t>рисунок Ш.1</w:t>
        </w:r>
      </w:hyperlink>
      <w:r>
        <w:t>, б) по формулам:</w:t>
      </w:r>
    </w:p>
    <w:p w:rsidR="00212513" w:rsidRDefault="00212513">
      <w:pPr>
        <w:pStyle w:val="ConsPlusNormal"/>
        <w:ind w:firstLine="540"/>
        <w:jc w:val="both"/>
      </w:pPr>
    </w:p>
    <w:p w:rsidR="00212513" w:rsidRDefault="00212513">
      <w:pPr>
        <w:pStyle w:val="ConsPlusNormal"/>
        <w:jc w:val="center"/>
      </w:pPr>
      <w:r>
        <w:rPr>
          <w:noProof/>
          <w:position w:val="-15"/>
        </w:rPr>
        <w:drawing>
          <wp:inline distT="0" distB="0" distL="0" distR="0">
            <wp:extent cx="2205990" cy="335280"/>
            <wp:effectExtent l="0" t="0" r="0" b="0"/>
            <wp:docPr id="29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1" cstate="print">
                      <a:extLst>
                        <a:ext uri="{28A0092B-C50C-407E-A947-70E740481C1C}">
                          <a14:useLocalDpi xmlns:a14="http://schemas.microsoft.com/office/drawing/2010/main" val="0"/>
                        </a:ext>
                      </a:extLst>
                    </a:blip>
                    <a:srcRect/>
                    <a:stretch>
                      <a:fillRect/>
                    </a:stretch>
                  </pic:blipFill>
                  <pic:spPr bwMode="auto">
                    <a:xfrm>
                      <a:off x="0" y="0"/>
                      <a:ext cx="2205990" cy="335280"/>
                    </a:xfrm>
                    <a:prstGeom prst="rect">
                      <a:avLst/>
                    </a:prstGeom>
                    <a:noFill/>
                    <a:ln>
                      <a:noFill/>
                    </a:ln>
                  </pic:spPr>
                </pic:pic>
              </a:graphicData>
            </a:graphic>
          </wp:inline>
        </w:drawing>
      </w:r>
      <w:r>
        <w:t>; (Ш.9)</w:t>
      </w:r>
    </w:p>
    <w:p w:rsidR="00212513" w:rsidRDefault="00212513">
      <w:pPr>
        <w:pStyle w:val="ConsPlusNormal"/>
        <w:ind w:firstLine="540"/>
        <w:jc w:val="both"/>
      </w:pPr>
    </w:p>
    <w:p w:rsidR="00212513" w:rsidRDefault="00212513">
      <w:pPr>
        <w:pStyle w:val="ConsPlusNormal"/>
        <w:jc w:val="center"/>
      </w:pPr>
      <w:r>
        <w:rPr>
          <w:noProof/>
          <w:position w:val="-10"/>
        </w:rPr>
        <w:drawing>
          <wp:inline distT="0" distB="0" distL="0" distR="0">
            <wp:extent cx="684530" cy="273685"/>
            <wp:effectExtent l="0" t="0" r="0" b="0"/>
            <wp:docPr id="29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2" cstate="print">
                      <a:extLst>
                        <a:ext uri="{28A0092B-C50C-407E-A947-70E740481C1C}">
                          <a14:useLocalDpi xmlns:a14="http://schemas.microsoft.com/office/drawing/2010/main" val="0"/>
                        </a:ext>
                      </a:extLst>
                    </a:blip>
                    <a:srcRect/>
                    <a:stretch>
                      <a:fillRect/>
                    </a:stretch>
                  </pic:blipFill>
                  <pic:spPr bwMode="auto">
                    <a:xfrm>
                      <a:off x="0" y="0"/>
                      <a:ext cx="684530" cy="273685"/>
                    </a:xfrm>
                    <a:prstGeom prst="rect">
                      <a:avLst/>
                    </a:prstGeom>
                    <a:noFill/>
                    <a:ln>
                      <a:noFill/>
                    </a:ln>
                  </pic:spPr>
                </pic:pic>
              </a:graphicData>
            </a:graphic>
          </wp:inline>
        </w:drawing>
      </w:r>
      <w:r>
        <w:t>, (Ш.10)</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10"/>
        </w:rPr>
        <w:drawing>
          <wp:inline distT="0" distB="0" distL="0" distR="0">
            <wp:extent cx="1156970" cy="273685"/>
            <wp:effectExtent l="0" t="0" r="0" b="0"/>
            <wp:docPr id="29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3" cstate="print">
                      <a:extLst>
                        <a:ext uri="{28A0092B-C50C-407E-A947-70E740481C1C}">
                          <a14:useLocalDpi xmlns:a14="http://schemas.microsoft.com/office/drawing/2010/main" val="0"/>
                        </a:ext>
                      </a:extLst>
                    </a:blip>
                    <a:srcRect/>
                    <a:stretch>
                      <a:fillRect/>
                    </a:stretch>
                  </pic:blipFill>
                  <pic:spPr bwMode="auto">
                    <a:xfrm>
                      <a:off x="0" y="0"/>
                      <a:ext cx="1156970" cy="273685"/>
                    </a:xfrm>
                    <a:prstGeom prst="rect">
                      <a:avLst/>
                    </a:prstGeom>
                    <a:noFill/>
                    <a:ln>
                      <a:noFill/>
                    </a:ln>
                  </pic:spPr>
                </pic:pic>
              </a:graphicData>
            </a:graphic>
          </wp:inline>
        </w:drawing>
      </w:r>
      <w:r>
        <w:t xml:space="preserve">; </w:t>
      </w:r>
      <w:r>
        <w:rPr>
          <w:noProof/>
          <w:position w:val="-10"/>
        </w:rPr>
        <w:drawing>
          <wp:inline distT="0" distB="0" distL="0" distR="0">
            <wp:extent cx="1148080" cy="273685"/>
            <wp:effectExtent l="0" t="0" r="0" b="0"/>
            <wp:docPr id="29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4" cstate="print">
                      <a:extLst>
                        <a:ext uri="{28A0092B-C50C-407E-A947-70E740481C1C}">
                          <a14:useLocalDpi xmlns:a14="http://schemas.microsoft.com/office/drawing/2010/main" val="0"/>
                        </a:ext>
                      </a:extLst>
                    </a:blip>
                    <a:srcRect/>
                    <a:stretch>
                      <a:fillRect/>
                    </a:stretch>
                  </pic:blipFill>
                  <pic:spPr bwMode="auto">
                    <a:xfrm>
                      <a:off x="0" y="0"/>
                      <a:ext cx="1148080" cy="273685"/>
                    </a:xfrm>
                    <a:prstGeom prst="rect">
                      <a:avLst/>
                    </a:prstGeom>
                    <a:noFill/>
                    <a:ln>
                      <a:noFill/>
                    </a:ln>
                  </pic:spPr>
                </pic:pic>
              </a:graphicData>
            </a:graphic>
          </wp:inline>
        </w:drawing>
      </w:r>
      <w:r>
        <w:t xml:space="preserve">; </w:t>
      </w:r>
      <w:r>
        <w:rPr>
          <w:noProof/>
          <w:position w:val="-10"/>
        </w:rPr>
        <w:drawing>
          <wp:inline distT="0" distB="0" distL="0" distR="0">
            <wp:extent cx="981710" cy="273685"/>
            <wp:effectExtent l="0" t="0" r="0" b="0"/>
            <wp:docPr id="29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5" cstate="print">
                      <a:extLst>
                        <a:ext uri="{28A0092B-C50C-407E-A947-70E740481C1C}">
                          <a14:useLocalDpi xmlns:a14="http://schemas.microsoft.com/office/drawing/2010/main" val="0"/>
                        </a:ext>
                      </a:extLst>
                    </a:blip>
                    <a:srcRect/>
                    <a:stretch>
                      <a:fillRect/>
                    </a:stretch>
                  </pic:blipFill>
                  <pic:spPr bwMode="auto">
                    <a:xfrm>
                      <a:off x="0" y="0"/>
                      <a:ext cx="981710" cy="273685"/>
                    </a:xfrm>
                    <a:prstGeom prst="rect">
                      <a:avLst/>
                    </a:prstGeom>
                    <a:noFill/>
                    <a:ln>
                      <a:noFill/>
                    </a:ln>
                  </pic:spPr>
                </pic:pic>
              </a:graphicData>
            </a:graphic>
          </wp:inline>
        </w:drawing>
      </w:r>
      <w:r>
        <w:t>;</w:t>
      </w:r>
    </w:p>
    <w:p w:rsidR="00212513" w:rsidRDefault="00212513">
      <w:pPr>
        <w:pStyle w:val="ConsPlusNormal"/>
        <w:spacing w:before="220"/>
        <w:ind w:firstLine="540"/>
        <w:jc w:val="both"/>
      </w:pPr>
      <w:r>
        <w:rPr>
          <w:i/>
        </w:rPr>
        <w:t>m</w:t>
      </w:r>
      <w:r>
        <w:t xml:space="preserve"> - коэффициент условий работы, принимаемый по </w:t>
      </w:r>
      <w:hyperlink w:anchor="P6905">
        <w:r>
          <w:rPr>
            <w:color w:val="0000FF"/>
          </w:rPr>
          <w:t>таблице 8.15</w:t>
        </w:r>
      </w:hyperlink>
      <w:r>
        <w:t>;</w:t>
      </w:r>
    </w:p>
    <w:p w:rsidR="00212513" w:rsidRDefault="00212513">
      <w:pPr>
        <w:pStyle w:val="ConsPlusNormal"/>
        <w:spacing w:before="220"/>
        <w:ind w:firstLine="540"/>
        <w:jc w:val="both"/>
      </w:pPr>
      <w:r>
        <w:rPr>
          <w:noProof/>
          <w:position w:val="-9"/>
        </w:rPr>
        <w:drawing>
          <wp:inline distT="0" distB="0" distL="0" distR="0">
            <wp:extent cx="209550" cy="261620"/>
            <wp:effectExtent l="0" t="0" r="0" b="0"/>
            <wp:docPr id="29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6"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 xml:space="preserve"> - коэффициент, равный 1,15 при </w:t>
      </w:r>
      <w:r>
        <w:rPr>
          <w:noProof/>
          <w:position w:val="-10"/>
        </w:rPr>
        <w:drawing>
          <wp:inline distT="0" distB="0" distL="0" distR="0">
            <wp:extent cx="494030" cy="273685"/>
            <wp:effectExtent l="0" t="0" r="0" b="0"/>
            <wp:docPr id="29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7" cstate="print">
                      <a:extLst>
                        <a:ext uri="{28A0092B-C50C-407E-A947-70E740481C1C}">
                          <a14:useLocalDpi xmlns:a14="http://schemas.microsoft.com/office/drawing/2010/main" val="0"/>
                        </a:ext>
                      </a:extLst>
                    </a:blip>
                    <a:srcRect/>
                    <a:stretch>
                      <a:fillRect/>
                    </a:stretch>
                  </pic:blipFill>
                  <pic:spPr bwMode="auto">
                    <a:xfrm>
                      <a:off x="0" y="0"/>
                      <a:ext cx="494030" cy="273685"/>
                    </a:xfrm>
                    <a:prstGeom prst="rect">
                      <a:avLst/>
                    </a:prstGeom>
                    <a:noFill/>
                    <a:ln>
                      <a:noFill/>
                    </a:ln>
                  </pic:spPr>
                </pic:pic>
              </a:graphicData>
            </a:graphic>
          </wp:inline>
        </w:drawing>
      </w:r>
      <w:r>
        <w:t xml:space="preserve"> или 1,10 при </w:t>
      </w:r>
      <w:r>
        <w:rPr>
          <w:noProof/>
          <w:position w:val="-10"/>
        </w:rPr>
        <w:drawing>
          <wp:inline distT="0" distB="0" distL="0" distR="0">
            <wp:extent cx="494030" cy="273685"/>
            <wp:effectExtent l="0" t="0" r="0" b="0"/>
            <wp:docPr id="29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8" cstate="print">
                      <a:extLst>
                        <a:ext uri="{28A0092B-C50C-407E-A947-70E740481C1C}">
                          <a14:useLocalDpi xmlns:a14="http://schemas.microsoft.com/office/drawing/2010/main" val="0"/>
                        </a:ext>
                      </a:extLst>
                    </a:blip>
                    <a:srcRect/>
                    <a:stretch>
                      <a:fillRect/>
                    </a:stretch>
                  </pic:blipFill>
                  <pic:spPr bwMode="auto">
                    <a:xfrm>
                      <a:off x="0" y="0"/>
                      <a:ext cx="494030" cy="273685"/>
                    </a:xfrm>
                    <a:prstGeom prst="rect">
                      <a:avLst/>
                    </a:prstGeom>
                    <a:noFill/>
                    <a:ln>
                      <a:noFill/>
                    </a:ln>
                  </pic:spPr>
                </pic:pic>
              </a:graphicData>
            </a:graphic>
          </wp:inline>
        </w:drawing>
      </w:r>
      <w:r>
        <w:t>;</w:t>
      </w:r>
    </w:p>
    <w:p w:rsidR="00212513" w:rsidRDefault="00212513">
      <w:pPr>
        <w:pStyle w:val="ConsPlusNormal"/>
        <w:spacing w:before="220"/>
        <w:ind w:firstLine="540"/>
        <w:jc w:val="both"/>
      </w:pPr>
      <w:r>
        <w:rPr>
          <w:noProof/>
          <w:position w:val="-9"/>
        </w:rPr>
        <w:drawing>
          <wp:inline distT="0" distB="0" distL="0" distR="0">
            <wp:extent cx="230505" cy="261620"/>
            <wp:effectExtent l="0" t="0" r="0" b="0"/>
            <wp:docPr id="29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9" cstate="print">
                      <a:extLst>
                        <a:ext uri="{28A0092B-C50C-407E-A947-70E740481C1C}">
                          <a14:useLocalDpi xmlns:a14="http://schemas.microsoft.com/office/drawing/2010/main" val="0"/>
                        </a:ext>
                      </a:extLst>
                    </a:blip>
                    <a:srcRect/>
                    <a:stretch>
                      <a:fillRect/>
                    </a:stretch>
                  </pic:blipFill>
                  <pic:spPr bwMode="auto">
                    <a:xfrm>
                      <a:off x="0" y="0"/>
                      <a:ext cx="230505" cy="261620"/>
                    </a:xfrm>
                    <a:prstGeom prst="rect">
                      <a:avLst/>
                    </a:prstGeom>
                    <a:noFill/>
                    <a:ln>
                      <a:noFill/>
                    </a:ln>
                  </pic:spPr>
                </pic:pic>
              </a:graphicData>
            </a:graphic>
          </wp:inline>
        </w:drawing>
      </w:r>
      <w:r>
        <w:t xml:space="preserve"> - коэффициент условий работы, принимаемый равным 1,05 - при проверке прочности листа настила в точке </w:t>
      </w:r>
      <w:r>
        <w:rPr>
          <w:noProof/>
          <w:position w:val="-9"/>
        </w:rPr>
        <w:drawing>
          <wp:inline distT="0" distB="0" distL="0" distR="0">
            <wp:extent cx="177800" cy="261620"/>
            <wp:effectExtent l="0" t="0" r="0" b="0"/>
            <wp:docPr id="29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8"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ортотропной плиты автодорожных и городских мостов и 1,0 - во всех остальных случаях.</w:t>
      </w:r>
    </w:p>
    <w:p w:rsidR="00212513" w:rsidRDefault="00212513">
      <w:pPr>
        <w:pStyle w:val="ConsPlusNormal"/>
        <w:spacing w:before="220"/>
        <w:ind w:firstLine="540"/>
        <w:jc w:val="both"/>
      </w:pPr>
      <w:r>
        <w:t xml:space="preserve">При выполнении данной проверки допускается принимать в качестве расчетных загружения, при которых достигает максимального значения одно из действующих в данной точке ортотропной плиты напряжений </w:t>
      </w:r>
      <w:r>
        <w:rPr>
          <w:noProof/>
          <w:position w:val="-9"/>
        </w:rPr>
        <w:drawing>
          <wp:inline distT="0" distB="0" distL="0" distR="0">
            <wp:extent cx="209550" cy="261620"/>
            <wp:effectExtent l="0" t="0" r="0" b="0"/>
            <wp:docPr id="29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0"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 xml:space="preserve">, </w:t>
      </w:r>
      <w:r>
        <w:rPr>
          <w:noProof/>
          <w:position w:val="-10"/>
        </w:rPr>
        <w:drawing>
          <wp:inline distT="0" distB="0" distL="0" distR="0">
            <wp:extent cx="230505" cy="273685"/>
            <wp:effectExtent l="0" t="0" r="0" b="0"/>
            <wp:docPr id="29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1"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 xml:space="preserve"> или </w:t>
      </w:r>
      <w:r>
        <w:rPr>
          <w:noProof/>
          <w:position w:val="-10"/>
        </w:rPr>
        <w:drawing>
          <wp:inline distT="0" distB="0" distL="0" distR="0">
            <wp:extent cx="230505" cy="273685"/>
            <wp:effectExtent l="0" t="0" r="0" b="0"/>
            <wp:docPr id="29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2" cstate="print">
                      <a:extLst>
                        <a:ext uri="{28A0092B-C50C-407E-A947-70E740481C1C}">
                          <a14:useLocalDpi xmlns:a14="http://schemas.microsoft.com/office/drawing/2010/main" val="0"/>
                        </a:ext>
                      </a:extLst>
                    </a:blip>
                    <a:srcRect/>
                    <a:stretch>
                      <a:fillRect/>
                    </a:stretch>
                  </pic:blipFill>
                  <pic:spPr bwMode="auto">
                    <a:xfrm>
                      <a:off x="0" y="0"/>
                      <a:ext cx="230505" cy="273685"/>
                    </a:xfrm>
                    <a:prstGeom prst="rect">
                      <a:avLst/>
                    </a:prstGeom>
                    <a:noFill/>
                    <a:ln>
                      <a:noFill/>
                    </a:ln>
                  </pic:spPr>
                </pic:pic>
              </a:graphicData>
            </a:graphic>
          </wp:inline>
        </w:drawing>
      </w:r>
      <w:r>
        <w:t>.</w:t>
      </w:r>
    </w:p>
    <w:p w:rsidR="00212513" w:rsidRDefault="00212513">
      <w:pPr>
        <w:pStyle w:val="ConsPlusNormal"/>
        <w:ind w:firstLine="540"/>
        <w:jc w:val="both"/>
      </w:pPr>
    </w:p>
    <w:p w:rsidR="00212513" w:rsidRDefault="00212513">
      <w:pPr>
        <w:pStyle w:val="ConsPlusNormal"/>
        <w:jc w:val="center"/>
      </w:pPr>
      <w:r>
        <w:rPr>
          <w:b/>
        </w:rPr>
        <w:t>Расчет элементов ортотропной плиты по устойчивости</w:t>
      </w:r>
    </w:p>
    <w:p w:rsidR="00212513" w:rsidRDefault="00212513">
      <w:pPr>
        <w:pStyle w:val="ConsPlusNormal"/>
        <w:ind w:firstLine="540"/>
        <w:jc w:val="both"/>
      </w:pPr>
    </w:p>
    <w:p w:rsidR="00212513" w:rsidRDefault="00212513">
      <w:pPr>
        <w:pStyle w:val="ConsPlusNormal"/>
        <w:ind w:firstLine="540"/>
        <w:jc w:val="both"/>
      </w:pPr>
      <w:r>
        <w:t xml:space="preserve">Ш.10 Местная устойчивость листа настила между продольными ребрами, продольных полосовых ребер, свесов поясов тавровых продольных и поперечных ребер должна быть обеспечена согласно </w:t>
      </w:r>
      <w:hyperlink w:anchor="P7746">
        <w:r>
          <w:rPr>
            <w:color w:val="0000FF"/>
          </w:rPr>
          <w:t>8.45</w:t>
        </w:r>
      </w:hyperlink>
      <w:r>
        <w:t xml:space="preserve"> и </w:t>
      </w:r>
      <w:hyperlink w:anchor="P7839">
        <w:r>
          <w:rPr>
            <w:color w:val="0000FF"/>
          </w:rPr>
          <w:t>8.47</w:t>
        </w:r>
      </w:hyperlink>
      <w:r>
        <w:t xml:space="preserve">, а стенки тавровых ребер - согласно </w:t>
      </w:r>
      <w:hyperlink w:anchor="P15760">
        <w:r>
          <w:rPr>
            <w:color w:val="0000FF"/>
          </w:rPr>
          <w:t>приложению Х</w:t>
        </w:r>
      </w:hyperlink>
      <w:r>
        <w:t>. При этом следует выбирать наиболее невыгодную комбинацию напряжений от изгиба ортотропной плиты между главными балками и совместной ее работы с главными балками пролетного строения.</w:t>
      </w:r>
    </w:p>
    <w:p w:rsidR="00212513" w:rsidRDefault="00212513">
      <w:pPr>
        <w:pStyle w:val="ConsPlusNormal"/>
        <w:spacing w:before="220"/>
        <w:ind w:firstLine="540"/>
        <w:jc w:val="both"/>
      </w:pPr>
      <w:bookmarkStart w:id="573" w:name="P17055"/>
      <w:bookmarkEnd w:id="573"/>
      <w:r>
        <w:t>Ш.11 Общая устойчивость листа настила, подкрепленного продольными ребрами, должна быть обеспечена поперечными ребрами.</w:t>
      </w:r>
    </w:p>
    <w:p w:rsidR="00212513" w:rsidRDefault="00212513">
      <w:pPr>
        <w:pStyle w:val="ConsPlusNormal"/>
        <w:spacing w:before="220"/>
        <w:ind w:firstLine="540"/>
        <w:jc w:val="both"/>
      </w:pPr>
      <w:r>
        <w:t xml:space="preserve">Момент инерции поперечных ребер </w:t>
      </w:r>
      <w:r>
        <w:rPr>
          <w:noProof/>
          <w:position w:val="-9"/>
        </w:rPr>
        <w:drawing>
          <wp:inline distT="0" distB="0" distL="0" distR="0">
            <wp:extent cx="167640" cy="261620"/>
            <wp:effectExtent l="0" t="0" r="0" b="0"/>
            <wp:docPr id="29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3"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(по </w:t>
      </w:r>
      <w:hyperlink w:anchor="P16904">
        <w:r>
          <w:rPr>
            <w:color w:val="0000FF"/>
          </w:rPr>
          <w:t>Ш.3</w:t>
        </w:r>
      </w:hyperlink>
      <w:r>
        <w:t xml:space="preserve">) сжатой (сжато-изогнутой) ортотропной </w:t>
      </w:r>
      <w:r>
        <w:lastRenderedPageBreak/>
        <w:t>плиты следует определять по формуле</w:t>
      </w:r>
    </w:p>
    <w:p w:rsidR="00212513" w:rsidRDefault="00212513">
      <w:pPr>
        <w:pStyle w:val="ConsPlusNormal"/>
        <w:ind w:firstLine="540"/>
        <w:jc w:val="both"/>
      </w:pPr>
    </w:p>
    <w:p w:rsidR="00212513" w:rsidRDefault="00212513">
      <w:pPr>
        <w:pStyle w:val="ConsPlusNormal"/>
        <w:jc w:val="center"/>
      </w:pPr>
      <w:bookmarkStart w:id="574" w:name="P17058"/>
      <w:bookmarkEnd w:id="574"/>
      <w:r>
        <w:rPr>
          <w:noProof/>
          <w:position w:val="-33"/>
        </w:rPr>
        <w:drawing>
          <wp:inline distT="0" distB="0" distL="0" distR="0">
            <wp:extent cx="2039620" cy="564515"/>
            <wp:effectExtent l="0" t="0" r="0" b="0"/>
            <wp:docPr id="29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4" cstate="print">
                      <a:extLst>
                        <a:ext uri="{28A0092B-C50C-407E-A947-70E740481C1C}">
                          <a14:useLocalDpi xmlns:a14="http://schemas.microsoft.com/office/drawing/2010/main" val="0"/>
                        </a:ext>
                      </a:extLst>
                    </a:blip>
                    <a:srcRect/>
                    <a:stretch>
                      <a:fillRect/>
                    </a:stretch>
                  </pic:blipFill>
                  <pic:spPr bwMode="auto">
                    <a:xfrm>
                      <a:off x="0" y="0"/>
                      <a:ext cx="2039620" cy="564515"/>
                    </a:xfrm>
                    <a:prstGeom prst="rect">
                      <a:avLst/>
                    </a:prstGeom>
                    <a:noFill/>
                    <a:ln>
                      <a:noFill/>
                    </a:ln>
                  </pic:spPr>
                </pic:pic>
              </a:graphicData>
            </a:graphic>
          </wp:inline>
        </w:drawing>
      </w:r>
      <w:r>
        <w:t>, (Ш.11)</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rPr>
        <w:drawing>
          <wp:inline distT="0" distB="0" distL="0" distR="0">
            <wp:extent cx="167640" cy="146050"/>
            <wp:effectExtent l="0" t="0" r="0" b="0"/>
            <wp:docPr id="29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5"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t xml:space="preserve"> - коэффициент, определяемый по </w:t>
      </w:r>
      <w:hyperlink w:anchor="P17069">
        <w:r>
          <w:rPr>
            <w:color w:val="0000FF"/>
          </w:rPr>
          <w:t>таблице Ш.3</w:t>
        </w:r>
      </w:hyperlink>
      <w:r>
        <w:t>;</w:t>
      </w:r>
    </w:p>
    <w:p w:rsidR="00212513" w:rsidRDefault="00212513">
      <w:pPr>
        <w:pStyle w:val="ConsPlusNormal"/>
        <w:spacing w:before="220"/>
        <w:ind w:firstLine="540"/>
        <w:jc w:val="both"/>
      </w:pPr>
      <w:r>
        <w:rPr>
          <w:noProof/>
          <w:position w:val="-3"/>
        </w:rPr>
        <w:drawing>
          <wp:inline distT="0" distB="0" distL="0" distR="0">
            <wp:extent cx="167640" cy="177800"/>
            <wp:effectExtent l="0" t="0" r="0" b="0"/>
            <wp:docPr id="29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6"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коэффициент, принимаемый равным: 0,055 при </w:t>
      </w:r>
      <w:r>
        <w:rPr>
          <w:i/>
        </w:rPr>
        <w:t>k</w:t>
      </w:r>
      <w:r>
        <w:t xml:space="preserve"> = 1; 0,15 при </w:t>
      </w:r>
      <w:r>
        <w:rPr>
          <w:i/>
        </w:rPr>
        <w:t>k</w:t>
      </w:r>
      <w:r>
        <w:t xml:space="preserve"> = 2; 0,20 при </w:t>
      </w:r>
      <w:r>
        <w:rPr>
          <w:i/>
        </w:rPr>
        <w:t>k</w:t>
      </w:r>
      <w:r>
        <w:t xml:space="preserve"> &gt;= 3;</w:t>
      </w:r>
    </w:p>
    <w:p w:rsidR="00212513" w:rsidRDefault="00212513">
      <w:pPr>
        <w:pStyle w:val="ConsPlusNormal"/>
        <w:spacing w:before="220"/>
        <w:ind w:firstLine="540"/>
        <w:jc w:val="both"/>
      </w:pPr>
      <w:r>
        <w:rPr>
          <w:i/>
        </w:rPr>
        <w:t>k</w:t>
      </w:r>
      <w:r>
        <w:t xml:space="preserve"> - число продольных ребер рассчитываемой ортотропной плиты;</w:t>
      </w:r>
    </w:p>
    <w:p w:rsidR="00212513" w:rsidRDefault="00212513">
      <w:pPr>
        <w:pStyle w:val="ConsPlusNormal"/>
        <w:spacing w:before="220"/>
        <w:ind w:firstLine="540"/>
        <w:jc w:val="both"/>
      </w:pPr>
      <w:r>
        <w:rPr>
          <w:i/>
        </w:rPr>
        <w:t>L</w:t>
      </w:r>
      <w:r>
        <w:t xml:space="preserve"> - расстояние между стенками главных балок или центрами узлов геометрически неизменяемых поперечных связей;</w:t>
      </w:r>
    </w:p>
    <w:p w:rsidR="00212513" w:rsidRDefault="00212513">
      <w:pPr>
        <w:pStyle w:val="ConsPlusNormal"/>
        <w:spacing w:before="220"/>
        <w:ind w:firstLine="540"/>
        <w:jc w:val="both"/>
      </w:pPr>
      <w:r>
        <w:rPr>
          <w:i/>
        </w:rPr>
        <w:t>l</w:t>
      </w:r>
      <w:r>
        <w:t xml:space="preserve"> - расстояние между поперечными ребрами;</w:t>
      </w:r>
    </w:p>
    <w:p w:rsidR="00212513" w:rsidRDefault="00212513">
      <w:pPr>
        <w:pStyle w:val="ConsPlusNormal"/>
        <w:spacing w:before="220"/>
        <w:ind w:firstLine="540"/>
        <w:jc w:val="both"/>
      </w:pPr>
      <w:r>
        <w:rPr>
          <w:noProof/>
          <w:position w:val="-7"/>
        </w:rPr>
        <w:drawing>
          <wp:inline distT="0" distB="0" distL="0" distR="0">
            <wp:extent cx="177165" cy="240665"/>
            <wp:effectExtent l="0" t="0" r="0" b="0"/>
            <wp:docPr id="29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7"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 момент инерции полного сечения продольного ребра (по </w:t>
      </w:r>
      <w:hyperlink w:anchor="P16904">
        <w:r>
          <w:rPr>
            <w:color w:val="0000FF"/>
          </w:rPr>
          <w:t>Ш.3</w:t>
        </w:r>
      </w:hyperlink>
      <w:r>
        <w:t>);</w:t>
      </w:r>
    </w:p>
    <w:p w:rsidR="00212513" w:rsidRDefault="00212513">
      <w:pPr>
        <w:pStyle w:val="ConsPlusNormal"/>
        <w:spacing w:before="220"/>
        <w:ind w:firstLine="540"/>
        <w:jc w:val="both"/>
      </w:pPr>
      <w:r>
        <w:rPr>
          <w:noProof/>
          <w:position w:val="-9"/>
        </w:rPr>
        <w:drawing>
          <wp:inline distT="0" distB="0" distL="0" distR="0">
            <wp:extent cx="261620" cy="261620"/>
            <wp:effectExtent l="0" t="0" r="0" b="0"/>
            <wp:docPr id="29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8" cstate="print">
                      <a:extLst>
                        <a:ext uri="{28A0092B-C50C-407E-A947-70E740481C1C}">
                          <a14:useLocalDpi xmlns:a14="http://schemas.microsoft.com/office/drawing/2010/main" val="0"/>
                        </a:ext>
                      </a:extLst>
                    </a:blip>
                    <a:srcRect/>
                    <a:stretch>
                      <a:fillRect/>
                    </a:stretch>
                  </pic:blipFill>
                  <pic:spPr bwMode="auto">
                    <a:xfrm>
                      <a:off x="0" y="0"/>
                      <a:ext cx="261620" cy="261620"/>
                    </a:xfrm>
                    <a:prstGeom prst="rect">
                      <a:avLst/>
                    </a:prstGeom>
                    <a:noFill/>
                    <a:ln>
                      <a:noFill/>
                    </a:ln>
                  </pic:spPr>
                </pic:pic>
              </a:graphicData>
            </a:graphic>
          </wp:inline>
        </w:drawing>
      </w:r>
      <w:r>
        <w:t xml:space="preserve"> - действующие напряжения в листе настила от совместной работы ортотропной плиты с главными балками пролетного строения, вычисленные в предположении упругих деформаций стали;</w:t>
      </w:r>
    </w:p>
    <w:p w:rsidR="00212513" w:rsidRDefault="00212513">
      <w:pPr>
        <w:pStyle w:val="ConsPlusNormal"/>
        <w:spacing w:before="220"/>
        <w:ind w:firstLine="540"/>
        <w:jc w:val="both"/>
      </w:pPr>
      <w:r>
        <w:rPr>
          <w:noProof/>
          <w:position w:val="-10"/>
        </w:rPr>
        <w:drawing>
          <wp:inline distT="0" distB="0" distL="0" distR="0">
            <wp:extent cx="461010" cy="273685"/>
            <wp:effectExtent l="0" t="0" r="0" b="0"/>
            <wp:docPr id="30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9" cstate="print">
                      <a:extLst>
                        <a:ext uri="{28A0092B-C50C-407E-A947-70E740481C1C}">
                          <a14:useLocalDpi xmlns:a14="http://schemas.microsoft.com/office/drawing/2010/main" val="0"/>
                        </a:ext>
                      </a:extLst>
                    </a:blip>
                    <a:srcRect/>
                    <a:stretch>
                      <a:fillRect/>
                    </a:stretch>
                  </pic:blipFill>
                  <pic:spPr bwMode="auto">
                    <a:xfrm>
                      <a:off x="0" y="0"/>
                      <a:ext cx="461010" cy="273685"/>
                    </a:xfrm>
                    <a:prstGeom prst="rect">
                      <a:avLst/>
                    </a:prstGeom>
                    <a:noFill/>
                    <a:ln>
                      <a:noFill/>
                    </a:ln>
                  </pic:spPr>
                </pic:pic>
              </a:graphicData>
            </a:graphic>
          </wp:inline>
        </w:drawing>
      </w:r>
      <w:r>
        <w:t xml:space="preserve"> - напряжение, вычисленное по </w:t>
      </w:r>
      <w:hyperlink w:anchor="P7808">
        <w:r>
          <w:rPr>
            <w:color w:val="0000FF"/>
          </w:rPr>
          <w:t>таблице 8.23</w:t>
        </w:r>
      </w:hyperlink>
      <w:r>
        <w:t xml:space="preserve"> по значению </w:t>
      </w:r>
      <w:r>
        <w:rPr>
          <w:noProof/>
          <w:position w:val="-10"/>
        </w:rPr>
        <w:drawing>
          <wp:inline distT="0" distB="0" distL="0" distR="0">
            <wp:extent cx="712470" cy="273685"/>
            <wp:effectExtent l="0" t="0" r="0" b="0"/>
            <wp:docPr id="30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0" cstate="print">
                      <a:extLst>
                        <a:ext uri="{28A0092B-C50C-407E-A947-70E740481C1C}">
                          <a14:useLocalDpi xmlns:a14="http://schemas.microsoft.com/office/drawing/2010/main" val="0"/>
                        </a:ext>
                      </a:extLst>
                    </a:blip>
                    <a:srcRect/>
                    <a:stretch>
                      <a:fillRect/>
                    </a:stretch>
                  </pic:blipFill>
                  <pic:spPr bwMode="auto">
                    <a:xfrm>
                      <a:off x="0" y="0"/>
                      <a:ext cx="712470" cy="273685"/>
                    </a:xfrm>
                    <a:prstGeom prst="rect">
                      <a:avLst/>
                    </a:prstGeom>
                    <a:noFill/>
                    <a:ln>
                      <a:noFill/>
                    </a:ln>
                  </pic:spPr>
                </pic:pic>
              </a:graphicData>
            </a:graphic>
          </wp:inline>
        </w:drawing>
      </w:r>
      <w:r>
        <w:t>.</w:t>
      </w:r>
    </w:p>
    <w:p w:rsidR="00212513" w:rsidRDefault="00212513">
      <w:pPr>
        <w:pStyle w:val="ConsPlusNormal"/>
        <w:ind w:firstLine="540"/>
        <w:jc w:val="both"/>
      </w:pPr>
    </w:p>
    <w:p w:rsidR="00212513" w:rsidRDefault="00212513">
      <w:pPr>
        <w:pStyle w:val="ConsPlusNormal"/>
        <w:jc w:val="right"/>
      </w:pPr>
      <w:bookmarkStart w:id="575" w:name="P17069"/>
      <w:bookmarkEnd w:id="575"/>
      <w:r>
        <w:t>Таблица Ш.3</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94"/>
        <w:gridCol w:w="454"/>
        <w:gridCol w:w="710"/>
        <w:gridCol w:w="710"/>
        <w:gridCol w:w="710"/>
        <w:gridCol w:w="710"/>
        <w:gridCol w:w="710"/>
        <w:gridCol w:w="710"/>
        <w:gridCol w:w="710"/>
        <w:gridCol w:w="710"/>
        <w:gridCol w:w="710"/>
        <w:gridCol w:w="710"/>
        <w:gridCol w:w="720"/>
      </w:tblGrid>
      <w:tr w:rsidR="00212513">
        <w:tc>
          <w:tcPr>
            <w:tcW w:w="794" w:type="dxa"/>
            <w:vAlign w:val="center"/>
          </w:tcPr>
          <w:p w:rsidR="00212513" w:rsidRDefault="00212513">
            <w:pPr>
              <w:pStyle w:val="ConsPlusNormal"/>
              <w:jc w:val="center"/>
            </w:pPr>
            <w:r>
              <w:rPr>
                <w:noProof/>
                <w:position w:val="-1"/>
              </w:rPr>
              <w:drawing>
                <wp:inline distT="0" distB="0" distL="0" distR="0">
                  <wp:extent cx="167640" cy="157480"/>
                  <wp:effectExtent l="0" t="0" r="0" b="0"/>
                  <wp:docPr id="30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1"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p>
        </w:tc>
        <w:tc>
          <w:tcPr>
            <w:tcW w:w="454" w:type="dxa"/>
            <w:vAlign w:val="center"/>
          </w:tcPr>
          <w:p w:rsidR="00212513" w:rsidRDefault="00212513">
            <w:pPr>
              <w:pStyle w:val="ConsPlusNormal"/>
              <w:jc w:val="center"/>
            </w:pPr>
            <w:r>
              <w:t>0</w:t>
            </w:r>
          </w:p>
        </w:tc>
        <w:tc>
          <w:tcPr>
            <w:tcW w:w="710" w:type="dxa"/>
            <w:vAlign w:val="center"/>
          </w:tcPr>
          <w:p w:rsidR="00212513" w:rsidRDefault="00212513">
            <w:pPr>
              <w:pStyle w:val="ConsPlusNormal"/>
              <w:jc w:val="center"/>
            </w:pPr>
            <w:r>
              <w:t>0,1</w:t>
            </w:r>
          </w:p>
        </w:tc>
        <w:tc>
          <w:tcPr>
            <w:tcW w:w="710" w:type="dxa"/>
            <w:vAlign w:val="center"/>
          </w:tcPr>
          <w:p w:rsidR="00212513" w:rsidRDefault="00212513">
            <w:pPr>
              <w:pStyle w:val="ConsPlusNormal"/>
              <w:jc w:val="center"/>
            </w:pPr>
            <w:r>
              <w:t>0,2</w:t>
            </w:r>
          </w:p>
        </w:tc>
        <w:tc>
          <w:tcPr>
            <w:tcW w:w="710" w:type="dxa"/>
            <w:vAlign w:val="center"/>
          </w:tcPr>
          <w:p w:rsidR="00212513" w:rsidRDefault="00212513">
            <w:pPr>
              <w:pStyle w:val="ConsPlusNormal"/>
              <w:jc w:val="center"/>
            </w:pPr>
            <w:r>
              <w:t>0,3</w:t>
            </w:r>
          </w:p>
        </w:tc>
        <w:tc>
          <w:tcPr>
            <w:tcW w:w="710" w:type="dxa"/>
            <w:vAlign w:val="center"/>
          </w:tcPr>
          <w:p w:rsidR="00212513" w:rsidRDefault="00212513">
            <w:pPr>
              <w:pStyle w:val="ConsPlusNormal"/>
              <w:jc w:val="center"/>
            </w:pPr>
            <w:r>
              <w:t>0,4</w:t>
            </w:r>
          </w:p>
        </w:tc>
        <w:tc>
          <w:tcPr>
            <w:tcW w:w="710" w:type="dxa"/>
            <w:vAlign w:val="center"/>
          </w:tcPr>
          <w:p w:rsidR="00212513" w:rsidRDefault="00212513">
            <w:pPr>
              <w:pStyle w:val="ConsPlusNormal"/>
              <w:jc w:val="center"/>
            </w:pPr>
            <w:r>
              <w:t>0,5</w:t>
            </w:r>
          </w:p>
        </w:tc>
        <w:tc>
          <w:tcPr>
            <w:tcW w:w="710" w:type="dxa"/>
            <w:vAlign w:val="center"/>
          </w:tcPr>
          <w:p w:rsidR="00212513" w:rsidRDefault="00212513">
            <w:pPr>
              <w:pStyle w:val="ConsPlusNormal"/>
              <w:jc w:val="center"/>
            </w:pPr>
            <w:r>
              <w:t>0,6</w:t>
            </w:r>
          </w:p>
        </w:tc>
        <w:tc>
          <w:tcPr>
            <w:tcW w:w="710" w:type="dxa"/>
            <w:vAlign w:val="center"/>
          </w:tcPr>
          <w:p w:rsidR="00212513" w:rsidRDefault="00212513">
            <w:pPr>
              <w:pStyle w:val="ConsPlusNormal"/>
              <w:jc w:val="center"/>
            </w:pPr>
            <w:r>
              <w:t>0,7</w:t>
            </w:r>
          </w:p>
        </w:tc>
        <w:tc>
          <w:tcPr>
            <w:tcW w:w="710" w:type="dxa"/>
            <w:vAlign w:val="center"/>
          </w:tcPr>
          <w:p w:rsidR="00212513" w:rsidRDefault="00212513">
            <w:pPr>
              <w:pStyle w:val="ConsPlusNormal"/>
              <w:jc w:val="center"/>
            </w:pPr>
            <w:r>
              <w:t>0,8</w:t>
            </w:r>
          </w:p>
        </w:tc>
        <w:tc>
          <w:tcPr>
            <w:tcW w:w="710" w:type="dxa"/>
            <w:vAlign w:val="center"/>
          </w:tcPr>
          <w:p w:rsidR="00212513" w:rsidRDefault="00212513">
            <w:pPr>
              <w:pStyle w:val="ConsPlusNormal"/>
              <w:jc w:val="center"/>
            </w:pPr>
            <w:r>
              <w:t>0,9</w:t>
            </w:r>
          </w:p>
        </w:tc>
        <w:tc>
          <w:tcPr>
            <w:tcW w:w="710" w:type="dxa"/>
            <w:vAlign w:val="center"/>
          </w:tcPr>
          <w:p w:rsidR="00212513" w:rsidRDefault="00212513">
            <w:pPr>
              <w:pStyle w:val="ConsPlusNormal"/>
              <w:jc w:val="center"/>
            </w:pPr>
            <w:r>
              <w:t>0,95</w:t>
            </w:r>
          </w:p>
        </w:tc>
        <w:tc>
          <w:tcPr>
            <w:tcW w:w="720" w:type="dxa"/>
            <w:vAlign w:val="center"/>
          </w:tcPr>
          <w:p w:rsidR="00212513" w:rsidRDefault="00212513">
            <w:pPr>
              <w:pStyle w:val="ConsPlusNormal"/>
              <w:jc w:val="center"/>
            </w:pPr>
            <w:r>
              <w:t>1,0</w:t>
            </w:r>
          </w:p>
        </w:tc>
      </w:tr>
      <w:tr w:rsidR="00212513">
        <w:tc>
          <w:tcPr>
            <w:tcW w:w="794" w:type="dxa"/>
            <w:vAlign w:val="center"/>
          </w:tcPr>
          <w:p w:rsidR="00212513" w:rsidRDefault="00212513">
            <w:pPr>
              <w:pStyle w:val="ConsPlusNormal"/>
              <w:jc w:val="center"/>
            </w:pPr>
            <w:r>
              <w:rPr>
                <w:noProof/>
                <w:position w:val="-1"/>
              </w:rPr>
              <w:drawing>
                <wp:inline distT="0" distB="0" distL="0" distR="0">
                  <wp:extent cx="167640" cy="157480"/>
                  <wp:effectExtent l="0" t="0" r="0" b="0"/>
                  <wp:docPr id="30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2"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p>
        </w:tc>
        <w:tc>
          <w:tcPr>
            <w:tcW w:w="454" w:type="dxa"/>
            <w:vAlign w:val="center"/>
          </w:tcPr>
          <w:p w:rsidR="00212513" w:rsidRDefault="00212513">
            <w:pPr>
              <w:pStyle w:val="ConsPlusNormal"/>
              <w:jc w:val="center"/>
            </w:pPr>
            <w:r>
              <w:t>0</w:t>
            </w:r>
          </w:p>
        </w:tc>
        <w:tc>
          <w:tcPr>
            <w:tcW w:w="710" w:type="dxa"/>
            <w:vAlign w:val="center"/>
          </w:tcPr>
          <w:p w:rsidR="00212513" w:rsidRDefault="00212513">
            <w:pPr>
              <w:pStyle w:val="ConsPlusNormal"/>
              <w:jc w:val="center"/>
            </w:pPr>
            <w:r>
              <w:t>0,016</w:t>
            </w:r>
          </w:p>
        </w:tc>
        <w:tc>
          <w:tcPr>
            <w:tcW w:w="710" w:type="dxa"/>
            <w:vAlign w:val="center"/>
          </w:tcPr>
          <w:p w:rsidR="00212513" w:rsidRDefault="00212513">
            <w:pPr>
              <w:pStyle w:val="ConsPlusNormal"/>
              <w:jc w:val="center"/>
            </w:pPr>
            <w:r>
              <w:t>0,053</w:t>
            </w:r>
          </w:p>
        </w:tc>
        <w:tc>
          <w:tcPr>
            <w:tcW w:w="710" w:type="dxa"/>
            <w:vAlign w:val="center"/>
          </w:tcPr>
          <w:p w:rsidR="00212513" w:rsidRDefault="00212513">
            <w:pPr>
              <w:pStyle w:val="ConsPlusNormal"/>
              <w:jc w:val="center"/>
            </w:pPr>
            <w:r>
              <w:t>0,115</w:t>
            </w:r>
          </w:p>
        </w:tc>
        <w:tc>
          <w:tcPr>
            <w:tcW w:w="710" w:type="dxa"/>
            <w:vAlign w:val="center"/>
          </w:tcPr>
          <w:p w:rsidR="00212513" w:rsidRDefault="00212513">
            <w:pPr>
              <w:pStyle w:val="ConsPlusNormal"/>
              <w:jc w:val="center"/>
            </w:pPr>
            <w:r>
              <w:t>0,205</w:t>
            </w:r>
          </w:p>
        </w:tc>
        <w:tc>
          <w:tcPr>
            <w:tcW w:w="710" w:type="dxa"/>
            <w:vAlign w:val="center"/>
          </w:tcPr>
          <w:p w:rsidR="00212513" w:rsidRDefault="00212513">
            <w:pPr>
              <w:pStyle w:val="ConsPlusNormal"/>
              <w:jc w:val="center"/>
            </w:pPr>
            <w:r>
              <w:t>0,320</w:t>
            </w:r>
          </w:p>
        </w:tc>
        <w:tc>
          <w:tcPr>
            <w:tcW w:w="710" w:type="dxa"/>
            <w:vAlign w:val="center"/>
          </w:tcPr>
          <w:p w:rsidR="00212513" w:rsidRDefault="00212513">
            <w:pPr>
              <w:pStyle w:val="ConsPlusNormal"/>
              <w:jc w:val="center"/>
            </w:pPr>
            <w:r>
              <w:t>0,462</w:t>
            </w:r>
          </w:p>
        </w:tc>
        <w:tc>
          <w:tcPr>
            <w:tcW w:w="710" w:type="dxa"/>
            <w:vAlign w:val="center"/>
          </w:tcPr>
          <w:p w:rsidR="00212513" w:rsidRDefault="00212513">
            <w:pPr>
              <w:pStyle w:val="ConsPlusNormal"/>
              <w:jc w:val="center"/>
            </w:pPr>
            <w:r>
              <w:t>0,646</w:t>
            </w:r>
          </w:p>
        </w:tc>
        <w:tc>
          <w:tcPr>
            <w:tcW w:w="710" w:type="dxa"/>
            <w:vAlign w:val="center"/>
          </w:tcPr>
          <w:p w:rsidR="00212513" w:rsidRDefault="00212513">
            <w:pPr>
              <w:pStyle w:val="ConsPlusNormal"/>
              <w:jc w:val="center"/>
            </w:pPr>
            <w:r>
              <w:t>0,872</w:t>
            </w:r>
          </w:p>
        </w:tc>
        <w:tc>
          <w:tcPr>
            <w:tcW w:w="710" w:type="dxa"/>
            <w:vAlign w:val="center"/>
          </w:tcPr>
          <w:p w:rsidR="00212513" w:rsidRDefault="00212513">
            <w:pPr>
              <w:pStyle w:val="ConsPlusNormal"/>
              <w:jc w:val="center"/>
            </w:pPr>
            <w:r>
              <w:t>1,192</w:t>
            </w:r>
          </w:p>
        </w:tc>
        <w:tc>
          <w:tcPr>
            <w:tcW w:w="710" w:type="dxa"/>
            <w:vAlign w:val="center"/>
          </w:tcPr>
          <w:p w:rsidR="00212513" w:rsidRDefault="00212513">
            <w:pPr>
              <w:pStyle w:val="ConsPlusNormal"/>
              <w:jc w:val="center"/>
            </w:pPr>
            <w:r>
              <w:t>1,470</w:t>
            </w:r>
          </w:p>
        </w:tc>
        <w:tc>
          <w:tcPr>
            <w:tcW w:w="720" w:type="dxa"/>
            <w:vAlign w:val="center"/>
          </w:tcPr>
          <w:p w:rsidR="00212513" w:rsidRDefault="00212513">
            <w:pPr>
              <w:pStyle w:val="ConsPlusNormal"/>
              <w:jc w:val="center"/>
            </w:pPr>
            <w:r>
              <w:t>2,025</w:t>
            </w:r>
          </w:p>
        </w:tc>
      </w:tr>
    </w:tbl>
    <w:p w:rsidR="00212513" w:rsidRDefault="00212513">
      <w:pPr>
        <w:pStyle w:val="ConsPlusNormal"/>
        <w:ind w:firstLine="540"/>
        <w:jc w:val="both"/>
      </w:pPr>
    </w:p>
    <w:p w:rsidR="00212513" w:rsidRDefault="00212513">
      <w:pPr>
        <w:pStyle w:val="ConsPlusNormal"/>
        <w:ind w:firstLine="540"/>
        <w:jc w:val="both"/>
      </w:pPr>
      <w:r>
        <w:t xml:space="preserve">Допускается также определять </w:t>
      </w:r>
      <w:r>
        <w:rPr>
          <w:noProof/>
          <w:position w:val="-10"/>
        </w:rPr>
        <w:drawing>
          <wp:inline distT="0" distB="0" distL="0" distR="0">
            <wp:extent cx="461010" cy="273685"/>
            <wp:effectExtent l="0" t="0" r="0" b="0"/>
            <wp:docPr id="30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9" cstate="print">
                      <a:extLst>
                        <a:ext uri="{28A0092B-C50C-407E-A947-70E740481C1C}">
                          <a14:useLocalDpi xmlns:a14="http://schemas.microsoft.com/office/drawing/2010/main" val="0"/>
                        </a:ext>
                      </a:extLst>
                    </a:blip>
                    <a:srcRect/>
                    <a:stretch>
                      <a:fillRect/>
                    </a:stretch>
                  </pic:blipFill>
                  <pic:spPr bwMode="auto">
                    <a:xfrm>
                      <a:off x="0" y="0"/>
                      <a:ext cx="461010" cy="273685"/>
                    </a:xfrm>
                    <a:prstGeom prst="rect">
                      <a:avLst/>
                    </a:prstGeom>
                    <a:noFill/>
                    <a:ln>
                      <a:noFill/>
                    </a:ln>
                  </pic:spPr>
                </pic:pic>
              </a:graphicData>
            </a:graphic>
          </wp:inline>
        </w:drawing>
      </w:r>
      <w:r>
        <w:t xml:space="preserve"> по следующей формуле</w:t>
      </w:r>
    </w:p>
    <w:p w:rsidR="00212513" w:rsidRDefault="00212513">
      <w:pPr>
        <w:pStyle w:val="ConsPlusNormal"/>
        <w:ind w:firstLine="540"/>
        <w:jc w:val="both"/>
      </w:pPr>
    </w:p>
    <w:p w:rsidR="00212513" w:rsidRDefault="00212513">
      <w:pPr>
        <w:pStyle w:val="ConsPlusNormal"/>
        <w:jc w:val="center"/>
      </w:pPr>
      <w:r>
        <w:rPr>
          <w:noProof/>
          <w:position w:val="-28"/>
        </w:rPr>
        <w:drawing>
          <wp:inline distT="0" distB="0" distL="0" distR="0">
            <wp:extent cx="1113790" cy="502285"/>
            <wp:effectExtent l="0" t="0" r="0" b="0"/>
            <wp:docPr id="30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3" cstate="print">
                      <a:extLst>
                        <a:ext uri="{28A0092B-C50C-407E-A947-70E740481C1C}">
                          <a14:useLocalDpi xmlns:a14="http://schemas.microsoft.com/office/drawing/2010/main" val="0"/>
                        </a:ext>
                      </a:extLst>
                    </a:blip>
                    <a:srcRect/>
                    <a:stretch>
                      <a:fillRect/>
                    </a:stretch>
                  </pic:blipFill>
                  <pic:spPr bwMode="auto">
                    <a:xfrm>
                      <a:off x="0" y="0"/>
                      <a:ext cx="1113790" cy="502285"/>
                    </a:xfrm>
                    <a:prstGeom prst="rect">
                      <a:avLst/>
                    </a:prstGeom>
                    <a:noFill/>
                    <a:ln>
                      <a:noFill/>
                    </a:ln>
                  </pic:spPr>
                </pic:pic>
              </a:graphicData>
            </a:graphic>
          </wp:inline>
        </w:drawing>
      </w:r>
      <w:r>
        <w:t>. (Ш.12)</w:t>
      </w:r>
    </w:p>
    <w:p w:rsidR="00212513" w:rsidRDefault="00212513">
      <w:pPr>
        <w:pStyle w:val="ConsPlusNormal"/>
        <w:ind w:firstLine="540"/>
        <w:jc w:val="both"/>
      </w:pPr>
    </w:p>
    <w:p w:rsidR="00212513" w:rsidRDefault="00212513">
      <w:pPr>
        <w:pStyle w:val="ConsPlusNormal"/>
        <w:ind w:firstLine="540"/>
        <w:jc w:val="both"/>
      </w:pPr>
      <w:r>
        <w:t xml:space="preserve">Примечание - Коэффициент </w:t>
      </w:r>
      <w:r>
        <w:rPr>
          <w:noProof/>
        </w:rPr>
        <w:drawing>
          <wp:inline distT="0" distB="0" distL="0" distR="0">
            <wp:extent cx="167640" cy="146050"/>
            <wp:effectExtent l="0" t="0" r="0" b="0"/>
            <wp:docPr id="30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4"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t xml:space="preserve"> определяется по формуле </w:t>
      </w:r>
      <w:r>
        <w:rPr>
          <w:noProof/>
          <w:position w:val="-10"/>
        </w:rPr>
        <w:drawing>
          <wp:inline distT="0" distB="0" distL="0" distR="0">
            <wp:extent cx="1072515" cy="273685"/>
            <wp:effectExtent l="0" t="0" r="0" b="0"/>
            <wp:docPr id="30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5" cstate="print">
                      <a:extLst>
                        <a:ext uri="{28A0092B-C50C-407E-A947-70E740481C1C}">
                          <a14:useLocalDpi xmlns:a14="http://schemas.microsoft.com/office/drawing/2010/main" val="0"/>
                        </a:ext>
                      </a:extLst>
                    </a:blip>
                    <a:srcRect/>
                    <a:stretch>
                      <a:fillRect/>
                    </a:stretch>
                  </pic:blipFill>
                  <pic:spPr bwMode="auto">
                    <a:xfrm>
                      <a:off x="0" y="0"/>
                      <a:ext cx="1072515" cy="273685"/>
                    </a:xfrm>
                    <a:prstGeom prst="rect">
                      <a:avLst/>
                    </a:prstGeom>
                    <a:noFill/>
                    <a:ln>
                      <a:noFill/>
                    </a:ln>
                  </pic:spPr>
                </pic:pic>
              </a:graphicData>
            </a:graphic>
          </wp:inline>
        </w:drawing>
      </w:r>
      <w:r>
        <w:t xml:space="preserve">, где </w:t>
      </w:r>
      <w:r>
        <w:rPr>
          <w:noProof/>
          <w:position w:val="-7"/>
        </w:rPr>
        <w:drawing>
          <wp:inline distT="0" distB="0" distL="0" distR="0">
            <wp:extent cx="177165" cy="240665"/>
            <wp:effectExtent l="0" t="0" r="0" b="0"/>
            <wp:docPr id="30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6"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следует находить по </w:t>
      </w:r>
      <w:hyperlink w:anchor="P17116">
        <w:r>
          <w:rPr>
            <w:color w:val="0000FF"/>
          </w:rPr>
          <w:t>таблице Ш.4</w:t>
        </w:r>
      </w:hyperlink>
      <w:r>
        <w:t xml:space="preserve"> в Ш.12 при </w:t>
      </w:r>
      <w:r>
        <w:rPr>
          <w:noProof/>
          <w:position w:val="-10"/>
        </w:rPr>
        <w:drawing>
          <wp:inline distT="0" distB="0" distL="0" distR="0">
            <wp:extent cx="419100" cy="273685"/>
            <wp:effectExtent l="0" t="0" r="0" b="0"/>
            <wp:docPr id="30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7" cstate="print">
                      <a:extLst>
                        <a:ext uri="{28A0092B-C50C-407E-A947-70E740481C1C}">
                          <a14:useLocalDpi xmlns:a14="http://schemas.microsoft.com/office/drawing/2010/main" val="0"/>
                        </a:ext>
                      </a:extLst>
                    </a:blip>
                    <a:srcRect/>
                    <a:stretch>
                      <a:fillRect/>
                    </a:stretch>
                  </pic:blipFill>
                  <pic:spPr bwMode="auto">
                    <a:xfrm>
                      <a:off x="0" y="0"/>
                      <a:ext cx="419100" cy="273685"/>
                    </a:xfrm>
                    <a:prstGeom prst="rect">
                      <a:avLst/>
                    </a:prstGeom>
                    <a:noFill/>
                    <a:ln>
                      <a:noFill/>
                    </a:ln>
                  </pic:spPr>
                </pic:pic>
              </a:graphicData>
            </a:graphic>
          </wp:inline>
        </w:drawing>
      </w:r>
      <w:r>
        <w:t>.</w:t>
      </w:r>
    </w:p>
    <w:p w:rsidR="00212513" w:rsidRDefault="00212513">
      <w:pPr>
        <w:pStyle w:val="ConsPlusNormal"/>
        <w:ind w:firstLine="540"/>
        <w:jc w:val="both"/>
      </w:pPr>
    </w:p>
    <w:p w:rsidR="00212513" w:rsidRDefault="00212513">
      <w:pPr>
        <w:pStyle w:val="ConsPlusNormal"/>
        <w:ind w:firstLine="540"/>
        <w:jc w:val="both"/>
      </w:pPr>
      <w:r>
        <w:t xml:space="preserve">Для сжатой ортотропной плиты, не воспринимающей местной нагрузки, в </w:t>
      </w:r>
      <w:hyperlink w:anchor="P17058">
        <w:r>
          <w:rPr>
            <w:color w:val="0000FF"/>
          </w:rPr>
          <w:t>формуле (Ш.11)</w:t>
        </w:r>
      </w:hyperlink>
      <w:r>
        <w:t xml:space="preserve"> коэффициент </w:t>
      </w:r>
      <w:r>
        <w:rPr>
          <w:noProof/>
        </w:rPr>
        <w:drawing>
          <wp:inline distT="0" distB="0" distL="0" distR="0">
            <wp:extent cx="167640" cy="146050"/>
            <wp:effectExtent l="0" t="0" r="0" b="0"/>
            <wp:docPr id="30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5"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t xml:space="preserve"> следует принимать равным 2,025, что обеспечивает равенство расчетной длины </w:t>
      </w:r>
      <w:r>
        <w:rPr>
          <w:noProof/>
          <w:position w:val="-10"/>
        </w:rPr>
        <w:drawing>
          <wp:inline distT="0" distB="0" distL="0" distR="0">
            <wp:extent cx="177800" cy="273685"/>
            <wp:effectExtent l="0" t="0" r="0" b="0"/>
            <wp:docPr id="30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8" cstate="print">
                      <a:extLst>
                        <a:ext uri="{28A0092B-C50C-407E-A947-70E740481C1C}">
                          <a14:useLocalDpi xmlns:a14="http://schemas.microsoft.com/office/drawing/2010/main" val="0"/>
                        </a:ext>
                      </a:extLst>
                    </a:blip>
                    <a:srcRect/>
                    <a:stretch>
                      <a:fillRect/>
                    </a:stretch>
                  </pic:blipFill>
                  <pic:spPr bwMode="auto">
                    <a:xfrm>
                      <a:off x="0" y="0"/>
                      <a:ext cx="177800" cy="273685"/>
                    </a:xfrm>
                    <a:prstGeom prst="rect">
                      <a:avLst/>
                    </a:prstGeom>
                    <a:noFill/>
                    <a:ln>
                      <a:noFill/>
                    </a:ln>
                  </pic:spPr>
                </pic:pic>
              </a:graphicData>
            </a:graphic>
          </wp:inline>
        </w:drawing>
      </w:r>
      <w:r>
        <w:t xml:space="preserve"> продольных ребер расстоянию между поперечными ребрами </w:t>
      </w:r>
      <w:r>
        <w:rPr>
          <w:i/>
        </w:rPr>
        <w:t>l</w:t>
      </w:r>
      <w:r>
        <w:t>.</w:t>
      </w:r>
    </w:p>
    <w:p w:rsidR="00212513" w:rsidRDefault="00212513">
      <w:pPr>
        <w:pStyle w:val="ConsPlusNormal"/>
        <w:spacing w:before="220"/>
        <w:ind w:firstLine="540"/>
        <w:jc w:val="both"/>
      </w:pPr>
      <w:r>
        <w:t xml:space="preserve">Ш.12 Расчет по общей устойчивости ортотропной плиты в целом (сжатой и сжато-изогнутой) при обеспечении </w:t>
      </w:r>
      <w:hyperlink w:anchor="P17058">
        <w:r>
          <w:rPr>
            <w:color w:val="0000FF"/>
          </w:rPr>
          <w:t>условия (Ш.11)</w:t>
        </w:r>
      </w:hyperlink>
      <w:r>
        <w:t xml:space="preserve"> следует выполнять по формуле</w:t>
      </w:r>
    </w:p>
    <w:p w:rsidR="00212513" w:rsidRDefault="00212513">
      <w:pPr>
        <w:pStyle w:val="ConsPlusNormal"/>
        <w:ind w:firstLine="540"/>
        <w:jc w:val="both"/>
      </w:pPr>
    </w:p>
    <w:p w:rsidR="00212513" w:rsidRDefault="00212513">
      <w:pPr>
        <w:pStyle w:val="ConsPlusNormal"/>
        <w:jc w:val="center"/>
      </w:pPr>
      <w:bookmarkStart w:id="576" w:name="P17107"/>
      <w:bookmarkEnd w:id="576"/>
      <w:r>
        <w:rPr>
          <w:noProof/>
          <w:position w:val="-10"/>
        </w:rPr>
        <w:drawing>
          <wp:inline distT="0" distB="0" distL="0" distR="0">
            <wp:extent cx="922020" cy="273685"/>
            <wp:effectExtent l="0" t="0" r="0" b="0"/>
            <wp:docPr id="30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9" cstate="print">
                      <a:extLst>
                        <a:ext uri="{28A0092B-C50C-407E-A947-70E740481C1C}">
                          <a14:useLocalDpi xmlns:a14="http://schemas.microsoft.com/office/drawing/2010/main" val="0"/>
                        </a:ext>
                      </a:extLst>
                    </a:blip>
                    <a:srcRect/>
                    <a:stretch>
                      <a:fillRect/>
                    </a:stretch>
                  </pic:blipFill>
                  <pic:spPr bwMode="auto">
                    <a:xfrm>
                      <a:off x="0" y="0"/>
                      <a:ext cx="922020" cy="273685"/>
                    </a:xfrm>
                    <a:prstGeom prst="rect">
                      <a:avLst/>
                    </a:prstGeom>
                    <a:noFill/>
                    <a:ln>
                      <a:noFill/>
                    </a:ln>
                  </pic:spPr>
                </pic:pic>
              </a:graphicData>
            </a:graphic>
          </wp:inline>
        </w:drawing>
      </w:r>
      <w:r>
        <w:t xml:space="preserve"> (Ш.13)</w:t>
      </w:r>
    </w:p>
    <w:p w:rsidR="00212513" w:rsidRDefault="00212513">
      <w:pPr>
        <w:pStyle w:val="ConsPlusNormal"/>
        <w:jc w:val="center"/>
      </w:pPr>
    </w:p>
    <w:p w:rsidR="00212513" w:rsidRDefault="00212513">
      <w:pPr>
        <w:pStyle w:val="ConsPlusNormal"/>
        <w:jc w:val="center"/>
      </w:pPr>
      <w:r>
        <w:lastRenderedPageBreak/>
        <w:t xml:space="preserve">(формула Ш.13 в ред. </w:t>
      </w:r>
      <w:hyperlink r:id="rId3750">
        <w:r>
          <w:rPr>
            <w:color w:val="0000FF"/>
          </w:rPr>
          <w:t>Изменения N 4</w:t>
        </w:r>
      </w:hyperlink>
      <w:r>
        <w:t>, утв. Приказом</w:t>
      </w:r>
    </w:p>
    <w:p w:rsidR="00212513" w:rsidRDefault="00212513">
      <w:pPr>
        <w:pStyle w:val="ConsPlusNormal"/>
        <w:jc w:val="center"/>
      </w:pPr>
      <w:r>
        <w:t>Минстроя России от 30.05.2024 N 361/пр)</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9"/>
        </w:rPr>
        <w:drawing>
          <wp:inline distT="0" distB="0" distL="0" distR="0">
            <wp:extent cx="261620" cy="261620"/>
            <wp:effectExtent l="0" t="0" r="0" b="0"/>
            <wp:docPr id="30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1" cstate="print">
                      <a:extLst>
                        <a:ext uri="{28A0092B-C50C-407E-A947-70E740481C1C}">
                          <a14:useLocalDpi xmlns:a14="http://schemas.microsoft.com/office/drawing/2010/main" val="0"/>
                        </a:ext>
                      </a:extLst>
                    </a:blip>
                    <a:srcRect/>
                    <a:stretch>
                      <a:fillRect/>
                    </a:stretch>
                  </pic:blipFill>
                  <pic:spPr bwMode="auto">
                    <a:xfrm>
                      <a:off x="0" y="0"/>
                      <a:ext cx="261620" cy="261620"/>
                    </a:xfrm>
                    <a:prstGeom prst="rect">
                      <a:avLst/>
                    </a:prstGeom>
                    <a:noFill/>
                    <a:ln>
                      <a:noFill/>
                    </a:ln>
                  </pic:spPr>
                </pic:pic>
              </a:graphicData>
            </a:graphic>
          </wp:inline>
        </w:drawing>
      </w:r>
      <w:r>
        <w:t xml:space="preserve"> - см. </w:t>
      </w:r>
      <w:hyperlink w:anchor="P17055">
        <w:r>
          <w:rPr>
            <w:color w:val="0000FF"/>
          </w:rPr>
          <w:t>Ш.11</w:t>
        </w:r>
      </w:hyperlink>
      <w:r>
        <w:t>;</w:t>
      </w:r>
    </w:p>
    <w:p w:rsidR="00212513" w:rsidRDefault="00212513">
      <w:pPr>
        <w:pStyle w:val="ConsPlusNormal"/>
        <w:spacing w:before="220"/>
        <w:ind w:firstLine="540"/>
        <w:jc w:val="both"/>
      </w:pPr>
      <w:r>
        <w:rPr>
          <w:noProof/>
          <w:position w:val="-7"/>
        </w:rPr>
        <w:drawing>
          <wp:inline distT="0" distB="0" distL="0" distR="0">
            <wp:extent cx="177165" cy="240665"/>
            <wp:effectExtent l="0" t="0" r="0" b="0"/>
            <wp:docPr id="30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6"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 коэффициент продольного изгиба, принимаемый по </w:t>
      </w:r>
      <w:hyperlink w:anchor="P17116">
        <w:r>
          <w:rPr>
            <w:color w:val="0000FF"/>
          </w:rPr>
          <w:t>таблице Ш.4</w:t>
        </w:r>
      </w:hyperlink>
      <w:r>
        <w:t xml:space="preserve"> в зависимости от гибкости </w:t>
      </w:r>
      <w:r>
        <w:rPr>
          <w:noProof/>
          <w:position w:val="-7"/>
        </w:rPr>
        <w:drawing>
          <wp:inline distT="0" distB="0" distL="0" distR="0">
            <wp:extent cx="177165" cy="240665"/>
            <wp:effectExtent l="0" t="0" r="0" b="0"/>
            <wp:docPr id="30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2"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w:t>
      </w:r>
    </w:p>
    <w:p w:rsidR="00212513" w:rsidRDefault="00212513">
      <w:pPr>
        <w:pStyle w:val="ConsPlusNormal"/>
        <w:spacing w:before="220"/>
        <w:ind w:firstLine="540"/>
        <w:jc w:val="both"/>
      </w:pPr>
      <w:r>
        <w:rPr>
          <w:i/>
        </w:rPr>
        <w:t>m</w:t>
      </w:r>
      <w:r>
        <w:t xml:space="preserve"> - коэффициент условий работы, принимаемый по </w:t>
      </w:r>
      <w:hyperlink w:anchor="P6905">
        <w:r>
          <w:rPr>
            <w:color w:val="0000FF"/>
          </w:rPr>
          <w:t>таблице 8.15</w:t>
        </w:r>
      </w:hyperlink>
      <w:r>
        <w:t xml:space="preserve"> в </w:t>
      </w:r>
      <w:hyperlink w:anchor="P6900">
        <w:r>
          <w:rPr>
            <w:color w:val="0000FF"/>
          </w:rPr>
          <w:t>8.19</w:t>
        </w:r>
      </w:hyperlink>
      <w:r>
        <w:t>.</w:t>
      </w:r>
    </w:p>
    <w:p w:rsidR="00212513" w:rsidRDefault="00212513">
      <w:pPr>
        <w:pStyle w:val="ConsPlusNormal"/>
        <w:ind w:firstLine="540"/>
        <w:jc w:val="both"/>
      </w:pPr>
    </w:p>
    <w:p w:rsidR="00212513" w:rsidRDefault="00212513">
      <w:pPr>
        <w:pStyle w:val="ConsPlusNormal"/>
        <w:jc w:val="right"/>
      </w:pPr>
      <w:bookmarkStart w:id="577" w:name="P17116"/>
      <w:bookmarkEnd w:id="577"/>
      <w:r>
        <w:t>Таблица Ш.4</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08"/>
        <w:gridCol w:w="2209"/>
        <w:gridCol w:w="2209"/>
        <w:gridCol w:w="2210"/>
      </w:tblGrid>
      <w:tr w:rsidR="00212513">
        <w:tc>
          <w:tcPr>
            <w:tcW w:w="2408" w:type="dxa"/>
            <w:vMerge w:val="restart"/>
            <w:tcBorders>
              <w:top w:val="single" w:sz="4" w:space="0" w:color="auto"/>
              <w:bottom w:val="single" w:sz="4" w:space="0" w:color="auto"/>
            </w:tcBorders>
            <w:vAlign w:val="center"/>
          </w:tcPr>
          <w:p w:rsidR="00212513" w:rsidRDefault="00212513">
            <w:pPr>
              <w:pStyle w:val="ConsPlusNormal"/>
              <w:jc w:val="center"/>
            </w:pPr>
            <w:r>
              <w:t xml:space="preserve">Гибкость </w:t>
            </w:r>
            <w:r>
              <w:rPr>
                <w:noProof/>
                <w:position w:val="-7"/>
              </w:rPr>
              <w:drawing>
                <wp:inline distT="0" distB="0" distL="0" distR="0">
                  <wp:extent cx="177165" cy="240665"/>
                  <wp:effectExtent l="0" t="0" r="0" b="0"/>
                  <wp:docPr id="30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2"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w:t>
            </w:r>
            <w:r>
              <w:rPr>
                <w:noProof/>
                <w:position w:val="-9"/>
              </w:rPr>
              <w:drawing>
                <wp:inline distT="0" distB="0" distL="0" distR="0">
                  <wp:extent cx="167640" cy="261620"/>
                  <wp:effectExtent l="0" t="0" r="0" b="0"/>
                  <wp:docPr id="30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3"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p>
        </w:tc>
        <w:tc>
          <w:tcPr>
            <w:tcW w:w="6628" w:type="dxa"/>
            <w:gridSpan w:val="3"/>
            <w:tcBorders>
              <w:top w:val="single" w:sz="4" w:space="0" w:color="auto"/>
              <w:bottom w:val="single" w:sz="4" w:space="0" w:color="auto"/>
            </w:tcBorders>
            <w:vAlign w:val="center"/>
          </w:tcPr>
          <w:p w:rsidR="00212513" w:rsidRDefault="00212513">
            <w:pPr>
              <w:pStyle w:val="ConsPlusNormal"/>
              <w:jc w:val="center"/>
            </w:pPr>
            <w:r>
              <w:t xml:space="preserve">Коэффициент </w:t>
            </w:r>
            <w:r>
              <w:rPr>
                <w:noProof/>
                <w:position w:val="-7"/>
              </w:rPr>
              <w:drawing>
                <wp:inline distT="0" distB="0" distL="0" distR="0">
                  <wp:extent cx="177165" cy="240665"/>
                  <wp:effectExtent l="0" t="0" r="0" b="0"/>
                  <wp:docPr id="30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6"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для классов прочности стали</w:t>
            </w:r>
          </w:p>
        </w:tc>
      </w:tr>
      <w:tr w:rsidR="00212513">
        <w:tc>
          <w:tcPr>
            <w:tcW w:w="2408" w:type="dxa"/>
            <w:vMerge/>
            <w:tcBorders>
              <w:top w:val="single" w:sz="4" w:space="0" w:color="auto"/>
              <w:bottom w:val="single" w:sz="4" w:space="0" w:color="auto"/>
            </w:tcBorders>
          </w:tcPr>
          <w:p w:rsidR="00212513" w:rsidRDefault="00212513">
            <w:pPr>
              <w:pStyle w:val="ConsPlusNormal"/>
            </w:pPr>
          </w:p>
        </w:tc>
        <w:tc>
          <w:tcPr>
            <w:tcW w:w="2209" w:type="dxa"/>
            <w:tcBorders>
              <w:top w:val="single" w:sz="4" w:space="0" w:color="auto"/>
              <w:bottom w:val="single" w:sz="4" w:space="0" w:color="auto"/>
            </w:tcBorders>
            <w:vAlign w:val="center"/>
          </w:tcPr>
          <w:p w:rsidR="00212513" w:rsidRDefault="00212513">
            <w:pPr>
              <w:pStyle w:val="ConsPlusNormal"/>
              <w:jc w:val="center"/>
            </w:pPr>
            <w:r>
              <w:t>С235</w:t>
            </w:r>
          </w:p>
        </w:tc>
        <w:tc>
          <w:tcPr>
            <w:tcW w:w="2209" w:type="dxa"/>
            <w:tcBorders>
              <w:top w:val="single" w:sz="4" w:space="0" w:color="auto"/>
              <w:bottom w:val="single" w:sz="4" w:space="0" w:color="auto"/>
            </w:tcBorders>
            <w:vAlign w:val="center"/>
          </w:tcPr>
          <w:p w:rsidR="00212513" w:rsidRDefault="00212513">
            <w:pPr>
              <w:pStyle w:val="ConsPlusNormal"/>
              <w:jc w:val="center"/>
            </w:pPr>
            <w:r>
              <w:t>С325 - С345</w:t>
            </w:r>
          </w:p>
        </w:tc>
        <w:tc>
          <w:tcPr>
            <w:tcW w:w="2210" w:type="dxa"/>
            <w:tcBorders>
              <w:top w:val="single" w:sz="4" w:space="0" w:color="auto"/>
              <w:bottom w:val="single" w:sz="4" w:space="0" w:color="auto"/>
            </w:tcBorders>
            <w:vAlign w:val="center"/>
          </w:tcPr>
          <w:p w:rsidR="00212513" w:rsidRDefault="00212513">
            <w:pPr>
              <w:pStyle w:val="ConsPlusNormal"/>
              <w:jc w:val="center"/>
            </w:pPr>
            <w:r>
              <w:t>С390</w:t>
            </w:r>
          </w:p>
        </w:tc>
      </w:tr>
      <w:tr w:rsidR="00212513">
        <w:tblPrEx>
          <w:tblBorders>
            <w:insideH w:val="none" w:sz="0" w:space="0" w:color="auto"/>
          </w:tblBorders>
        </w:tblPrEx>
        <w:tc>
          <w:tcPr>
            <w:tcW w:w="2408" w:type="dxa"/>
            <w:tcBorders>
              <w:top w:val="single" w:sz="4" w:space="0" w:color="auto"/>
              <w:bottom w:val="nil"/>
            </w:tcBorders>
          </w:tcPr>
          <w:p w:rsidR="00212513" w:rsidRDefault="00212513">
            <w:pPr>
              <w:pStyle w:val="ConsPlusNormal"/>
              <w:jc w:val="center"/>
            </w:pPr>
            <w:r>
              <w:t>0</w:t>
            </w:r>
          </w:p>
        </w:tc>
        <w:tc>
          <w:tcPr>
            <w:tcW w:w="2209" w:type="dxa"/>
            <w:tcBorders>
              <w:top w:val="single" w:sz="4" w:space="0" w:color="auto"/>
              <w:bottom w:val="nil"/>
            </w:tcBorders>
          </w:tcPr>
          <w:p w:rsidR="00212513" w:rsidRDefault="00212513">
            <w:pPr>
              <w:pStyle w:val="ConsPlusNormal"/>
              <w:jc w:val="center"/>
            </w:pPr>
            <w:r>
              <w:t>1,00</w:t>
            </w:r>
          </w:p>
        </w:tc>
        <w:tc>
          <w:tcPr>
            <w:tcW w:w="2209" w:type="dxa"/>
            <w:tcBorders>
              <w:top w:val="single" w:sz="4" w:space="0" w:color="auto"/>
              <w:bottom w:val="nil"/>
            </w:tcBorders>
          </w:tcPr>
          <w:p w:rsidR="00212513" w:rsidRDefault="00212513">
            <w:pPr>
              <w:pStyle w:val="ConsPlusNormal"/>
              <w:jc w:val="center"/>
            </w:pPr>
            <w:r>
              <w:t>1,00</w:t>
            </w:r>
          </w:p>
        </w:tc>
        <w:tc>
          <w:tcPr>
            <w:tcW w:w="2210" w:type="dxa"/>
            <w:tcBorders>
              <w:top w:val="single" w:sz="4" w:space="0" w:color="auto"/>
              <w:bottom w:val="nil"/>
            </w:tcBorders>
          </w:tcPr>
          <w:p w:rsidR="00212513" w:rsidRDefault="00212513">
            <w:pPr>
              <w:pStyle w:val="ConsPlusNormal"/>
              <w:jc w:val="center"/>
            </w:pPr>
            <w:r>
              <w:t>1,00</w:t>
            </w:r>
          </w:p>
        </w:tc>
      </w:tr>
      <w:tr w:rsidR="00212513">
        <w:tblPrEx>
          <w:tblBorders>
            <w:insideH w:val="none" w:sz="0" w:space="0" w:color="auto"/>
          </w:tblBorders>
        </w:tblPrEx>
        <w:tc>
          <w:tcPr>
            <w:tcW w:w="2408" w:type="dxa"/>
            <w:tcBorders>
              <w:top w:val="nil"/>
              <w:bottom w:val="nil"/>
            </w:tcBorders>
          </w:tcPr>
          <w:p w:rsidR="00212513" w:rsidRDefault="00212513">
            <w:pPr>
              <w:pStyle w:val="ConsPlusNormal"/>
              <w:jc w:val="center"/>
            </w:pPr>
            <w:r>
              <w:t>41</w:t>
            </w:r>
          </w:p>
        </w:tc>
        <w:tc>
          <w:tcPr>
            <w:tcW w:w="2209" w:type="dxa"/>
            <w:tcBorders>
              <w:top w:val="nil"/>
              <w:bottom w:val="nil"/>
            </w:tcBorders>
          </w:tcPr>
          <w:p w:rsidR="00212513" w:rsidRDefault="00212513">
            <w:pPr>
              <w:pStyle w:val="ConsPlusNormal"/>
              <w:jc w:val="center"/>
            </w:pPr>
            <w:r>
              <w:t>1,00</w:t>
            </w:r>
          </w:p>
        </w:tc>
        <w:tc>
          <w:tcPr>
            <w:tcW w:w="2209" w:type="dxa"/>
            <w:tcBorders>
              <w:top w:val="nil"/>
              <w:bottom w:val="nil"/>
            </w:tcBorders>
          </w:tcPr>
          <w:p w:rsidR="00212513" w:rsidRDefault="00212513">
            <w:pPr>
              <w:pStyle w:val="ConsPlusNormal"/>
              <w:jc w:val="center"/>
            </w:pPr>
            <w:r>
              <w:t>1,00</w:t>
            </w:r>
          </w:p>
        </w:tc>
        <w:tc>
          <w:tcPr>
            <w:tcW w:w="2210" w:type="dxa"/>
            <w:tcBorders>
              <w:top w:val="nil"/>
              <w:bottom w:val="nil"/>
            </w:tcBorders>
          </w:tcPr>
          <w:p w:rsidR="00212513" w:rsidRDefault="00212513">
            <w:pPr>
              <w:pStyle w:val="ConsPlusNormal"/>
              <w:jc w:val="center"/>
            </w:pPr>
            <w:r>
              <w:t>1,00</w:t>
            </w:r>
          </w:p>
        </w:tc>
      </w:tr>
      <w:tr w:rsidR="00212513">
        <w:tblPrEx>
          <w:tblBorders>
            <w:insideH w:val="none" w:sz="0" w:space="0" w:color="auto"/>
          </w:tblBorders>
        </w:tblPrEx>
        <w:tc>
          <w:tcPr>
            <w:tcW w:w="2408" w:type="dxa"/>
            <w:tcBorders>
              <w:top w:val="nil"/>
              <w:bottom w:val="nil"/>
            </w:tcBorders>
          </w:tcPr>
          <w:p w:rsidR="00212513" w:rsidRDefault="00212513">
            <w:pPr>
              <w:pStyle w:val="ConsPlusNormal"/>
              <w:jc w:val="center"/>
            </w:pPr>
            <w:r>
              <w:t>44</w:t>
            </w:r>
          </w:p>
        </w:tc>
        <w:tc>
          <w:tcPr>
            <w:tcW w:w="2209" w:type="dxa"/>
            <w:tcBorders>
              <w:top w:val="nil"/>
              <w:bottom w:val="nil"/>
            </w:tcBorders>
          </w:tcPr>
          <w:p w:rsidR="00212513" w:rsidRDefault="00212513">
            <w:pPr>
              <w:pStyle w:val="ConsPlusNormal"/>
              <w:jc w:val="center"/>
            </w:pPr>
            <w:r>
              <w:t>1,00</w:t>
            </w:r>
          </w:p>
        </w:tc>
        <w:tc>
          <w:tcPr>
            <w:tcW w:w="2209" w:type="dxa"/>
            <w:tcBorders>
              <w:top w:val="nil"/>
              <w:bottom w:val="nil"/>
            </w:tcBorders>
          </w:tcPr>
          <w:p w:rsidR="00212513" w:rsidRDefault="00212513">
            <w:pPr>
              <w:pStyle w:val="ConsPlusNormal"/>
              <w:jc w:val="center"/>
            </w:pPr>
            <w:r>
              <w:t>1,00</w:t>
            </w:r>
          </w:p>
        </w:tc>
        <w:tc>
          <w:tcPr>
            <w:tcW w:w="2210" w:type="dxa"/>
            <w:tcBorders>
              <w:top w:val="nil"/>
              <w:bottom w:val="nil"/>
            </w:tcBorders>
          </w:tcPr>
          <w:p w:rsidR="00212513" w:rsidRDefault="00212513">
            <w:pPr>
              <w:pStyle w:val="ConsPlusNormal"/>
              <w:jc w:val="center"/>
            </w:pPr>
            <w:r>
              <w:t>0,96</w:t>
            </w:r>
          </w:p>
        </w:tc>
      </w:tr>
      <w:tr w:rsidR="00212513">
        <w:tblPrEx>
          <w:tblBorders>
            <w:insideH w:val="none" w:sz="0" w:space="0" w:color="auto"/>
          </w:tblBorders>
        </w:tblPrEx>
        <w:tc>
          <w:tcPr>
            <w:tcW w:w="2408" w:type="dxa"/>
            <w:tcBorders>
              <w:top w:val="nil"/>
              <w:bottom w:val="nil"/>
            </w:tcBorders>
          </w:tcPr>
          <w:p w:rsidR="00212513" w:rsidRDefault="00212513">
            <w:pPr>
              <w:pStyle w:val="ConsPlusNormal"/>
              <w:jc w:val="center"/>
            </w:pPr>
            <w:r>
              <w:t>50</w:t>
            </w:r>
          </w:p>
        </w:tc>
        <w:tc>
          <w:tcPr>
            <w:tcW w:w="2209" w:type="dxa"/>
            <w:tcBorders>
              <w:top w:val="nil"/>
              <w:bottom w:val="nil"/>
            </w:tcBorders>
          </w:tcPr>
          <w:p w:rsidR="00212513" w:rsidRDefault="00212513">
            <w:pPr>
              <w:pStyle w:val="ConsPlusNormal"/>
              <w:jc w:val="center"/>
            </w:pPr>
            <w:r>
              <w:t>1,00</w:t>
            </w:r>
          </w:p>
        </w:tc>
        <w:tc>
          <w:tcPr>
            <w:tcW w:w="2209" w:type="dxa"/>
            <w:tcBorders>
              <w:top w:val="nil"/>
              <w:bottom w:val="nil"/>
            </w:tcBorders>
          </w:tcPr>
          <w:p w:rsidR="00212513" w:rsidRDefault="00212513">
            <w:pPr>
              <w:pStyle w:val="ConsPlusNormal"/>
              <w:jc w:val="center"/>
            </w:pPr>
            <w:r>
              <w:t>0,92</w:t>
            </w:r>
          </w:p>
        </w:tc>
        <w:tc>
          <w:tcPr>
            <w:tcW w:w="2210" w:type="dxa"/>
            <w:tcBorders>
              <w:top w:val="nil"/>
              <w:bottom w:val="nil"/>
            </w:tcBorders>
          </w:tcPr>
          <w:p w:rsidR="00212513" w:rsidRDefault="00212513">
            <w:pPr>
              <w:pStyle w:val="ConsPlusNormal"/>
              <w:jc w:val="center"/>
            </w:pPr>
            <w:r>
              <w:t>0,88</w:t>
            </w:r>
          </w:p>
        </w:tc>
      </w:tr>
      <w:tr w:rsidR="00212513">
        <w:tblPrEx>
          <w:tblBorders>
            <w:insideH w:val="none" w:sz="0" w:space="0" w:color="auto"/>
          </w:tblBorders>
        </w:tblPrEx>
        <w:tc>
          <w:tcPr>
            <w:tcW w:w="2408" w:type="dxa"/>
            <w:tcBorders>
              <w:top w:val="nil"/>
              <w:bottom w:val="nil"/>
            </w:tcBorders>
          </w:tcPr>
          <w:p w:rsidR="00212513" w:rsidRDefault="00212513">
            <w:pPr>
              <w:pStyle w:val="ConsPlusNormal"/>
              <w:jc w:val="center"/>
            </w:pPr>
            <w:r>
              <w:t>53</w:t>
            </w:r>
          </w:p>
        </w:tc>
        <w:tc>
          <w:tcPr>
            <w:tcW w:w="2209" w:type="dxa"/>
            <w:tcBorders>
              <w:top w:val="nil"/>
              <w:bottom w:val="nil"/>
            </w:tcBorders>
          </w:tcPr>
          <w:p w:rsidR="00212513" w:rsidRDefault="00212513">
            <w:pPr>
              <w:pStyle w:val="ConsPlusNormal"/>
              <w:jc w:val="center"/>
            </w:pPr>
            <w:r>
              <w:t>1,00</w:t>
            </w:r>
          </w:p>
        </w:tc>
        <w:tc>
          <w:tcPr>
            <w:tcW w:w="2209" w:type="dxa"/>
            <w:tcBorders>
              <w:top w:val="nil"/>
              <w:bottom w:val="nil"/>
            </w:tcBorders>
          </w:tcPr>
          <w:p w:rsidR="00212513" w:rsidRDefault="00212513">
            <w:pPr>
              <w:pStyle w:val="ConsPlusNormal"/>
              <w:jc w:val="center"/>
            </w:pPr>
            <w:r>
              <w:t>0,87</w:t>
            </w:r>
          </w:p>
        </w:tc>
        <w:tc>
          <w:tcPr>
            <w:tcW w:w="2210" w:type="dxa"/>
            <w:tcBorders>
              <w:top w:val="nil"/>
              <w:bottom w:val="nil"/>
            </w:tcBorders>
          </w:tcPr>
          <w:p w:rsidR="00212513" w:rsidRDefault="00212513">
            <w:pPr>
              <w:pStyle w:val="ConsPlusNormal"/>
              <w:jc w:val="center"/>
            </w:pPr>
            <w:r>
              <w:t>0,83</w:t>
            </w:r>
          </w:p>
        </w:tc>
      </w:tr>
      <w:tr w:rsidR="00212513">
        <w:tblPrEx>
          <w:tblBorders>
            <w:insideH w:val="none" w:sz="0" w:space="0" w:color="auto"/>
          </w:tblBorders>
        </w:tblPrEx>
        <w:tc>
          <w:tcPr>
            <w:tcW w:w="2408" w:type="dxa"/>
            <w:tcBorders>
              <w:top w:val="nil"/>
              <w:bottom w:val="nil"/>
            </w:tcBorders>
          </w:tcPr>
          <w:p w:rsidR="00212513" w:rsidRDefault="00212513">
            <w:pPr>
              <w:pStyle w:val="ConsPlusNormal"/>
              <w:jc w:val="center"/>
            </w:pPr>
            <w:r>
              <w:t>60</w:t>
            </w:r>
          </w:p>
        </w:tc>
        <w:tc>
          <w:tcPr>
            <w:tcW w:w="2209" w:type="dxa"/>
            <w:tcBorders>
              <w:top w:val="nil"/>
              <w:bottom w:val="nil"/>
            </w:tcBorders>
          </w:tcPr>
          <w:p w:rsidR="00212513" w:rsidRDefault="00212513">
            <w:pPr>
              <w:pStyle w:val="ConsPlusNormal"/>
              <w:jc w:val="center"/>
            </w:pPr>
            <w:r>
              <w:t>0,95</w:t>
            </w:r>
          </w:p>
        </w:tc>
        <w:tc>
          <w:tcPr>
            <w:tcW w:w="2209" w:type="dxa"/>
            <w:tcBorders>
              <w:top w:val="nil"/>
              <w:bottom w:val="nil"/>
            </w:tcBorders>
          </w:tcPr>
          <w:p w:rsidR="00212513" w:rsidRDefault="00212513">
            <w:pPr>
              <w:pStyle w:val="ConsPlusNormal"/>
              <w:jc w:val="center"/>
            </w:pPr>
            <w:r>
              <w:t>0,76</w:t>
            </w:r>
          </w:p>
        </w:tc>
        <w:tc>
          <w:tcPr>
            <w:tcW w:w="2210" w:type="dxa"/>
            <w:tcBorders>
              <w:top w:val="nil"/>
              <w:bottom w:val="nil"/>
            </w:tcBorders>
          </w:tcPr>
          <w:p w:rsidR="00212513" w:rsidRDefault="00212513">
            <w:pPr>
              <w:pStyle w:val="ConsPlusNormal"/>
              <w:jc w:val="center"/>
            </w:pPr>
            <w:r>
              <w:t>0,72</w:t>
            </w:r>
          </w:p>
        </w:tc>
      </w:tr>
      <w:tr w:rsidR="00212513">
        <w:tblPrEx>
          <w:tblBorders>
            <w:insideH w:val="none" w:sz="0" w:space="0" w:color="auto"/>
          </w:tblBorders>
        </w:tblPrEx>
        <w:tc>
          <w:tcPr>
            <w:tcW w:w="2408" w:type="dxa"/>
            <w:tcBorders>
              <w:top w:val="nil"/>
              <w:bottom w:val="nil"/>
            </w:tcBorders>
          </w:tcPr>
          <w:p w:rsidR="00212513" w:rsidRDefault="00212513">
            <w:pPr>
              <w:pStyle w:val="ConsPlusNormal"/>
              <w:jc w:val="center"/>
            </w:pPr>
            <w:r>
              <w:t>70</w:t>
            </w:r>
          </w:p>
        </w:tc>
        <w:tc>
          <w:tcPr>
            <w:tcW w:w="2209" w:type="dxa"/>
            <w:tcBorders>
              <w:top w:val="nil"/>
              <w:bottom w:val="nil"/>
            </w:tcBorders>
          </w:tcPr>
          <w:p w:rsidR="00212513" w:rsidRDefault="00212513">
            <w:pPr>
              <w:pStyle w:val="ConsPlusNormal"/>
              <w:jc w:val="center"/>
            </w:pPr>
            <w:r>
              <w:t>0,83</w:t>
            </w:r>
          </w:p>
        </w:tc>
        <w:tc>
          <w:tcPr>
            <w:tcW w:w="2209" w:type="dxa"/>
            <w:tcBorders>
              <w:top w:val="nil"/>
              <w:bottom w:val="nil"/>
            </w:tcBorders>
          </w:tcPr>
          <w:p w:rsidR="00212513" w:rsidRDefault="00212513">
            <w:pPr>
              <w:pStyle w:val="ConsPlusNormal"/>
              <w:jc w:val="center"/>
            </w:pPr>
            <w:r>
              <w:t>0,64</w:t>
            </w:r>
          </w:p>
        </w:tc>
        <w:tc>
          <w:tcPr>
            <w:tcW w:w="2210" w:type="dxa"/>
            <w:tcBorders>
              <w:top w:val="nil"/>
              <w:bottom w:val="nil"/>
            </w:tcBorders>
          </w:tcPr>
          <w:p w:rsidR="00212513" w:rsidRDefault="00212513">
            <w:pPr>
              <w:pStyle w:val="ConsPlusNormal"/>
              <w:jc w:val="center"/>
            </w:pPr>
            <w:r>
              <w:t>0,59</w:t>
            </w:r>
          </w:p>
        </w:tc>
      </w:tr>
      <w:tr w:rsidR="00212513">
        <w:tblPrEx>
          <w:tblBorders>
            <w:insideH w:val="none" w:sz="0" w:space="0" w:color="auto"/>
          </w:tblBorders>
        </w:tblPrEx>
        <w:tc>
          <w:tcPr>
            <w:tcW w:w="2408" w:type="dxa"/>
            <w:tcBorders>
              <w:top w:val="nil"/>
              <w:bottom w:val="nil"/>
            </w:tcBorders>
          </w:tcPr>
          <w:p w:rsidR="00212513" w:rsidRDefault="00212513">
            <w:pPr>
              <w:pStyle w:val="ConsPlusNormal"/>
              <w:jc w:val="center"/>
            </w:pPr>
            <w:r>
              <w:t>80</w:t>
            </w:r>
          </w:p>
        </w:tc>
        <w:tc>
          <w:tcPr>
            <w:tcW w:w="2209" w:type="dxa"/>
            <w:tcBorders>
              <w:top w:val="nil"/>
              <w:bottom w:val="nil"/>
            </w:tcBorders>
          </w:tcPr>
          <w:p w:rsidR="00212513" w:rsidRDefault="00212513">
            <w:pPr>
              <w:pStyle w:val="ConsPlusNormal"/>
              <w:jc w:val="center"/>
            </w:pPr>
            <w:r>
              <w:t>0,73</w:t>
            </w:r>
          </w:p>
        </w:tc>
        <w:tc>
          <w:tcPr>
            <w:tcW w:w="2209" w:type="dxa"/>
            <w:tcBorders>
              <w:top w:val="nil"/>
              <w:bottom w:val="nil"/>
            </w:tcBorders>
          </w:tcPr>
          <w:p w:rsidR="00212513" w:rsidRDefault="00212513">
            <w:pPr>
              <w:pStyle w:val="ConsPlusNormal"/>
              <w:jc w:val="center"/>
            </w:pPr>
            <w:r>
              <w:t>0,56</w:t>
            </w:r>
          </w:p>
        </w:tc>
        <w:tc>
          <w:tcPr>
            <w:tcW w:w="2210" w:type="dxa"/>
            <w:tcBorders>
              <w:top w:val="nil"/>
              <w:bottom w:val="nil"/>
            </w:tcBorders>
          </w:tcPr>
          <w:p w:rsidR="00212513" w:rsidRDefault="00212513">
            <w:pPr>
              <w:pStyle w:val="ConsPlusNormal"/>
              <w:jc w:val="center"/>
            </w:pPr>
            <w:r>
              <w:t>0,49</w:t>
            </w:r>
          </w:p>
        </w:tc>
      </w:tr>
      <w:tr w:rsidR="00212513">
        <w:tblPrEx>
          <w:tblBorders>
            <w:insideH w:val="none" w:sz="0" w:space="0" w:color="auto"/>
          </w:tblBorders>
        </w:tblPrEx>
        <w:tc>
          <w:tcPr>
            <w:tcW w:w="2408" w:type="dxa"/>
            <w:tcBorders>
              <w:top w:val="nil"/>
              <w:bottom w:val="nil"/>
            </w:tcBorders>
          </w:tcPr>
          <w:p w:rsidR="00212513" w:rsidRDefault="00212513">
            <w:pPr>
              <w:pStyle w:val="ConsPlusNormal"/>
              <w:jc w:val="center"/>
            </w:pPr>
            <w:r>
              <w:t>90</w:t>
            </w:r>
          </w:p>
        </w:tc>
        <w:tc>
          <w:tcPr>
            <w:tcW w:w="2209" w:type="dxa"/>
            <w:tcBorders>
              <w:top w:val="nil"/>
              <w:bottom w:val="nil"/>
            </w:tcBorders>
          </w:tcPr>
          <w:p w:rsidR="00212513" w:rsidRDefault="00212513">
            <w:pPr>
              <w:pStyle w:val="ConsPlusNormal"/>
              <w:jc w:val="center"/>
            </w:pPr>
            <w:r>
              <w:t>0,64</w:t>
            </w:r>
          </w:p>
        </w:tc>
        <w:tc>
          <w:tcPr>
            <w:tcW w:w="2209" w:type="dxa"/>
            <w:tcBorders>
              <w:top w:val="nil"/>
              <w:bottom w:val="nil"/>
            </w:tcBorders>
          </w:tcPr>
          <w:p w:rsidR="00212513" w:rsidRDefault="00212513">
            <w:pPr>
              <w:pStyle w:val="ConsPlusNormal"/>
              <w:jc w:val="center"/>
            </w:pPr>
            <w:r>
              <w:t>0,50</w:t>
            </w:r>
          </w:p>
        </w:tc>
        <w:tc>
          <w:tcPr>
            <w:tcW w:w="2210" w:type="dxa"/>
            <w:tcBorders>
              <w:top w:val="nil"/>
              <w:bottom w:val="nil"/>
            </w:tcBorders>
          </w:tcPr>
          <w:p w:rsidR="00212513" w:rsidRDefault="00212513">
            <w:pPr>
              <w:pStyle w:val="ConsPlusNormal"/>
              <w:jc w:val="center"/>
            </w:pPr>
            <w:r>
              <w:t>0,43</w:t>
            </w:r>
          </w:p>
        </w:tc>
      </w:tr>
      <w:tr w:rsidR="00212513">
        <w:tblPrEx>
          <w:tblBorders>
            <w:insideH w:val="none" w:sz="0" w:space="0" w:color="auto"/>
          </w:tblBorders>
        </w:tblPrEx>
        <w:tc>
          <w:tcPr>
            <w:tcW w:w="2408" w:type="dxa"/>
            <w:tcBorders>
              <w:top w:val="nil"/>
              <w:bottom w:val="nil"/>
            </w:tcBorders>
          </w:tcPr>
          <w:p w:rsidR="00212513" w:rsidRDefault="00212513">
            <w:pPr>
              <w:pStyle w:val="ConsPlusNormal"/>
              <w:jc w:val="center"/>
            </w:pPr>
            <w:r>
              <w:t>100</w:t>
            </w:r>
          </w:p>
        </w:tc>
        <w:tc>
          <w:tcPr>
            <w:tcW w:w="2209" w:type="dxa"/>
            <w:tcBorders>
              <w:top w:val="nil"/>
              <w:bottom w:val="nil"/>
            </w:tcBorders>
          </w:tcPr>
          <w:p w:rsidR="00212513" w:rsidRDefault="00212513">
            <w:pPr>
              <w:pStyle w:val="ConsPlusNormal"/>
              <w:jc w:val="center"/>
            </w:pPr>
            <w:r>
              <w:t>0,59</w:t>
            </w:r>
          </w:p>
        </w:tc>
        <w:tc>
          <w:tcPr>
            <w:tcW w:w="2209" w:type="dxa"/>
            <w:tcBorders>
              <w:top w:val="nil"/>
              <w:bottom w:val="nil"/>
            </w:tcBorders>
          </w:tcPr>
          <w:p w:rsidR="00212513" w:rsidRDefault="00212513">
            <w:pPr>
              <w:pStyle w:val="ConsPlusNormal"/>
              <w:jc w:val="center"/>
            </w:pPr>
            <w:r>
              <w:t>0,44</w:t>
            </w:r>
          </w:p>
        </w:tc>
        <w:tc>
          <w:tcPr>
            <w:tcW w:w="2210" w:type="dxa"/>
            <w:tcBorders>
              <w:top w:val="nil"/>
              <w:bottom w:val="nil"/>
            </w:tcBorders>
          </w:tcPr>
          <w:p w:rsidR="00212513" w:rsidRDefault="00212513">
            <w:pPr>
              <w:pStyle w:val="ConsPlusNormal"/>
              <w:jc w:val="center"/>
            </w:pPr>
            <w:r>
              <w:t>0,38</w:t>
            </w:r>
          </w:p>
        </w:tc>
      </w:tr>
      <w:tr w:rsidR="00212513">
        <w:tblPrEx>
          <w:tblBorders>
            <w:insideH w:val="none" w:sz="0" w:space="0" w:color="auto"/>
          </w:tblBorders>
        </w:tblPrEx>
        <w:tc>
          <w:tcPr>
            <w:tcW w:w="2408" w:type="dxa"/>
            <w:tcBorders>
              <w:top w:val="nil"/>
              <w:bottom w:val="nil"/>
            </w:tcBorders>
          </w:tcPr>
          <w:p w:rsidR="00212513" w:rsidRDefault="00212513">
            <w:pPr>
              <w:pStyle w:val="ConsPlusNormal"/>
              <w:jc w:val="center"/>
            </w:pPr>
            <w:r>
              <w:t>110</w:t>
            </w:r>
          </w:p>
        </w:tc>
        <w:tc>
          <w:tcPr>
            <w:tcW w:w="2209" w:type="dxa"/>
            <w:tcBorders>
              <w:top w:val="nil"/>
              <w:bottom w:val="nil"/>
            </w:tcBorders>
          </w:tcPr>
          <w:p w:rsidR="00212513" w:rsidRDefault="00212513">
            <w:pPr>
              <w:pStyle w:val="ConsPlusNormal"/>
              <w:jc w:val="center"/>
            </w:pPr>
            <w:r>
              <w:t>0,53</w:t>
            </w:r>
          </w:p>
        </w:tc>
        <w:tc>
          <w:tcPr>
            <w:tcW w:w="2209" w:type="dxa"/>
            <w:tcBorders>
              <w:top w:val="nil"/>
              <w:bottom w:val="nil"/>
            </w:tcBorders>
          </w:tcPr>
          <w:p w:rsidR="00212513" w:rsidRDefault="00212513">
            <w:pPr>
              <w:pStyle w:val="ConsPlusNormal"/>
              <w:jc w:val="center"/>
            </w:pPr>
            <w:r>
              <w:t>0,39</w:t>
            </w:r>
          </w:p>
        </w:tc>
        <w:tc>
          <w:tcPr>
            <w:tcW w:w="2210" w:type="dxa"/>
            <w:tcBorders>
              <w:top w:val="nil"/>
              <w:bottom w:val="nil"/>
            </w:tcBorders>
          </w:tcPr>
          <w:p w:rsidR="00212513" w:rsidRDefault="00212513">
            <w:pPr>
              <w:pStyle w:val="ConsPlusNormal"/>
              <w:jc w:val="center"/>
            </w:pPr>
            <w:r>
              <w:t>0,33</w:t>
            </w:r>
          </w:p>
        </w:tc>
      </w:tr>
      <w:tr w:rsidR="00212513">
        <w:tblPrEx>
          <w:tblBorders>
            <w:insideH w:val="none" w:sz="0" w:space="0" w:color="auto"/>
          </w:tblBorders>
        </w:tblPrEx>
        <w:tc>
          <w:tcPr>
            <w:tcW w:w="2408" w:type="dxa"/>
            <w:tcBorders>
              <w:top w:val="nil"/>
              <w:bottom w:val="nil"/>
            </w:tcBorders>
          </w:tcPr>
          <w:p w:rsidR="00212513" w:rsidRDefault="00212513">
            <w:pPr>
              <w:pStyle w:val="ConsPlusNormal"/>
              <w:jc w:val="center"/>
            </w:pPr>
            <w:r>
              <w:t>120</w:t>
            </w:r>
          </w:p>
        </w:tc>
        <w:tc>
          <w:tcPr>
            <w:tcW w:w="2209" w:type="dxa"/>
            <w:tcBorders>
              <w:top w:val="nil"/>
              <w:bottom w:val="nil"/>
            </w:tcBorders>
          </w:tcPr>
          <w:p w:rsidR="00212513" w:rsidRDefault="00212513">
            <w:pPr>
              <w:pStyle w:val="ConsPlusNormal"/>
              <w:jc w:val="center"/>
            </w:pPr>
            <w:r>
              <w:t>0,47</w:t>
            </w:r>
          </w:p>
        </w:tc>
        <w:tc>
          <w:tcPr>
            <w:tcW w:w="2209" w:type="dxa"/>
            <w:tcBorders>
              <w:top w:val="nil"/>
              <w:bottom w:val="nil"/>
            </w:tcBorders>
          </w:tcPr>
          <w:p w:rsidR="00212513" w:rsidRDefault="00212513">
            <w:pPr>
              <w:pStyle w:val="ConsPlusNormal"/>
              <w:jc w:val="center"/>
            </w:pPr>
            <w:r>
              <w:t>0,34</w:t>
            </w:r>
          </w:p>
        </w:tc>
        <w:tc>
          <w:tcPr>
            <w:tcW w:w="2210" w:type="dxa"/>
            <w:tcBorders>
              <w:top w:val="nil"/>
              <w:bottom w:val="nil"/>
            </w:tcBorders>
          </w:tcPr>
          <w:p w:rsidR="00212513" w:rsidRDefault="00212513">
            <w:pPr>
              <w:pStyle w:val="ConsPlusNormal"/>
              <w:jc w:val="center"/>
            </w:pPr>
            <w:r>
              <w:t>0,28</w:t>
            </w:r>
          </w:p>
        </w:tc>
      </w:tr>
      <w:tr w:rsidR="00212513">
        <w:tblPrEx>
          <w:tblBorders>
            <w:insideH w:val="none" w:sz="0" w:space="0" w:color="auto"/>
          </w:tblBorders>
        </w:tblPrEx>
        <w:tc>
          <w:tcPr>
            <w:tcW w:w="2408" w:type="dxa"/>
            <w:tcBorders>
              <w:top w:val="nil"/>
              <w:bottom w:val="nil"/>
            </w:tcBorders>
          </w:tcPr>
          <w:p w:rsidR="00212513" w:rsidRDefault="00212513">
            <w:pPr>
              <w:pStyle w:val="ConsPlusNormal"/>
              <w:jc w:val="center"/>
            </w:pPr>
            <w:r>
              <w:t>130</w:t>
            </w:r>
          </w:p>
        </w:tc>
        <w:tc>
          <w:tcPr>
            <w:tcW w:w="2209" w:type="dxa"/>
            <w:tcBorders>
              <w:top w:val="nil"/>
              <w:bottom w:val="nil"/>
            </w:tcBorders>
          </w:tcPr>
          <w:p w:rsidR="00212513" w:rsidRDefault="00212513">
            <w:pPr>
              <w:pStyle w:val="ConsPlusNormal"/>
              <w:jc w:val="center"/>
            </w:pPr>
            <w:r>
              <w:t>0,41</w:t>
            </w:r>
          </w:p>
        </w:tc>
        <w:tc>
          <w:tcPr>
            <w:tcW w:w="2209" w:type="dxa"/>
            <w:tcBorders>
              <w:top w:val="nil"/>
              <w:bottom w:val="nil"/>
            </w:tcBorders>
          </w:tcPr>
          <w:p w:rsidR="00212513" w:rsidRDefault="00212513">
            <w:pPr>
              <w:pStyle w:val="ConsPlusNormal"/>
              <w:jc w:val="center"/>
            </w:pPr>
            <w:r>
              <w:t>0,30</w:t>
            </w:r>
          </w:p>
        </w:tc>
        <w:tc>
          <w:tcPr>
            <w:tcW w:w="2210" w:type="dxa"/>
            <w:tcBorders>
              <w:top w:val="nil"/>
              <w:bottom w:val="nil"/>
            </w:tcBorders>
          </w:tcPr>
          <w:p w:rsidR="00212513" w:rsidRDefault="00212513">
            <w:pPr>
              <w:pStyle w:val="ConsPlusNormal"/>
              <w:jc w:val="center"/>
            </w:pPr>
            <w:r>
              <w:t>0,25</w:t>
            </w:r>
          </w:p>
        </w:tc>
      </w:tr>
      <w:tr w:rsidR="00212513">
        <w:tblPrEx>
          <w:tblBorders>
            <w:insideH w:val="none" w:sz="0" w:space="0" w:color="auto"/>
          </w:tblBorders>
        </w:tblPrEx>
        <w:tc>
          <w:tcPr>
            <w:tcW w:w="2408" w:type="dxa"/>
            <w:tcBorders>
              <w:top w:val="nil"/>
              <w:bottom w:val="nil"/>
            </w:tcBorders>
          </w:tcPr>
          <w:p w:rsidR="00212513" w:rsidRDefault="00212513">
            <w:pPr>
              <w:pStyle w:val="ConsPlusNormal"/>
              <w:jc w:val="center"/>
            </w:pPr>
            <w:r>
              <w:t>140</w:t>
            </w:r>
          </w:p>
        </w:tc>
        <w:tc>
          <w:tcPr>
            <w:tcW w:w="2209" w:type="dxa"/>
            <w:tcBorders>
              <w:top w:val="nil"/>
              <w:bottom w:val="nil"/>
            </w:tcBorders>
          </w:tcPr>
          <w:p w:rsidR="00212513" w:rsidRDefault="00212513">
            <w:pPr>
              <w:pStyle w:val="ConsPlusNormal"/>
              <w:jc w:val="center"/>
            </w:pPr>
            <w:r>
              <w:t>0,36</w:t>
            </w:r>
          </w:p>
        </w:tc>
        <w:tc>
          <w:tcPr>
            <w:tcW w:w="2209" w:type="dxa"/>
            <w:tcBorders>
              <w:top w:val="nil"/>
              <w:bottom w:val="nil"/>
            </w:tcBorders>
          </w:tcPr>
          <w:p w:rsidR="00212513" w:rsidRDefault="00212513">
            <w:pPr>
              <w:pStyle w:val="ConsPlusNormal"/>
              <w:jc w:val="center"/>
            </w:pPr>
            <w:r>
              <w:t>0,26</w:t>
            </w:r>
          </w:p>
        </w:tc>
        <w:tc>
          <w:tcPr>
            <w:tcW w:w="2210" w:type="dxa"/>
            <w:tcBorders>
              <w:top w:val="nil"/>
              <w:bottom w:val="nil"/>
            </w:tcBorders>
          </w:tcPr>
          <w:p w:rsidR="00212513" w:rsidRDefault="00212513">
            <w:pPr>
              <w:pStyle w:val="ConsPlusNormal"/>
              <w:jc w:val="center"/>
            </w:pPr>
            <w:r>
              <w:t>0,22</w:t>
            </w:r>
          </w:p>
        </w:tc>
      </w:tr>
      <w:tr w:rsidR="00212513">
        <w:tblPrEx>
          <w:tblBorders>
            <w:insideH w:val="none" w:sz="0" w:space="0" w:color="auto"/>
          </w:tblBorders>
        </w:tblPrEx>
        <w:tc>
          <w:tcPr>
            <w:tcW w:w="2408" w:type="dxa"/>
            <w:tcBorders>
              <w:top w:val="nil"/>
              <w:bottom w:val="nil"/>
            </w:tcBorders>
          </w:tcPr>
          <w:p w:rsidR="00212513" w:rsidRDefault="00212513">
            <w:pPr>
              <w:pStyle w:val="ConsPlusNormal"/>
              <w:jc w:val="center"/>
            </w:pPr>
            <w:r>
              <w:t>150</w:t>
            </w:r>
          </w:p>
        </w:tc>
        <w:tc>
          <w:tcPr>
            <w:tcW w:w="2209" w:type="dxa"/>
            <w:tcBorders>
              <w:top w:val="nil"/>
              <w:bottom w:val="nil"/>
            </w:tcBorders>
          </w:tcPr>
          <w:p w:rsidR="00212513" w:rsidRDefault="00212513">
            <w:pPr>
              <w:pStyle w:val="ConsPlusNormal"/>
              <w:jc w:val="center"/>
            </w:pPr>
            <w:r>
              <w:t>0,32</w:t>
            </w:r>
          </w:p>
        </w:tc>
        <w:tc>
          <w:tcPr>
            <w:tcW w:w="2209" w:type="dxa"/>
            <w:tcBorders>
              <w:top w:val="nil"/>
              <w:bottom w:val="nil"/>
            </w:tcBorders>
          </w:tcPr>
          <w:p w:rsidR="00212513" w:rsidRDefault="00212513">
            <w:pPr>
              <w:pStyle w:val="ConsPlusNormal"/>
              <w:jc w:val="center"/>
            </w:pPr>
            <w:r>
              <w:t>0,23</w:t>
            </w:r>
          </w:p>
        </w:tc>
        <w:tc>
          <w:tcPr>
            <w:tcW w:w="2210" w:type="dxa"/>
            <w:tcBorders>
              <w:top w:val="nil"/>
              <w:bottom w:val="nil"/>
            </w:tcBorders>
          </w:tcPr>
          <w:p w:rsidR="00212513" w:rsidRDefault="00212513">
            <w:pPr>
              <w:pStyle w:val="ConsPlusNormal"/>
              <w:jc w:val="center"/>
            </w:pPr>
            <w:r>
              <w:t>0,20</w:t>
            </w:r>
          </w:p>
        </w:tc>
      </w:tr>
      <w:tr w:rsidR="00212513">
        <w:tblPrEx>
          <w:tblBorders>
            <w:insideH w:val="none" w:sz="0" w:space="0" w:color="auto"/>
          </w:tblBorders>
        </w:tblPrEx>
        <w:tc>
          <w:tcPr>
            <w:tcW w:w="2408" w:type="dxa"/>
            <w:tcBorders>
              <w:top w:val="nil"/>
              <w:bottom w:val="nil"/>
            </w:tcBorders>
          </w:tcPr>
          <w:p w:rsidR="00212513" w:rsidRDefault="00212513">
            <w:pPr>
              <w:pStyle w:val="ConsPlusNormal"/>
              <w:jc w:val="center"/>
            </w:pPr>
            <w:r>
              <w:t>160</w:t>
            </w:r>
          </w:p>
        </w:tc>
        <w:tc>
          <w:tcPr>
            <w:tcW w:w="2209" w:type="dxa"/>
            <w:tcBorders>
              <w:top w:val="nil"/>
              <w:bottom w:val="nil"/>
            </w:tcBorders>
          </w:tcPr>
          <w:p w:rsidR="00212513" w:rsidRDefault="00212513">
            <w:pPr>
              <w:pStyle w:val="ConsPlusNormal"/>
              <w:jc w:val="center"/>
            </w:pPr>
            <w:r>
              <w:t>0,29</w:t>
            </w:r>
          </w:p>
        </w:tc>
        <w:tc>
          <w:tcPr>
            <w:tcW w:w="2209" w:type="dxa"/>
            <w:tcBorders>
              <w:top w:val="nil"/>
              <w:bottom w:val="nil"/>
            </w:tcBorders>
          </w:tcPr>
          <w:p w:rsidR="00212513" w:rsidRDefault="00212513">
            <w:pPr>
              <w:pStyle w:val="ConsPlusNormal"/>
              <w:jc w:val="center"/>
            </w:pPr>
            <w:r>
              <w:t>0,21</w:t>
            </w:r>
          </w:p>
        </w:tc>
        <w:tc>
          <w:tcPr>
            <w:tcW w:w="2210" w:type="dxa"/>
            <w:tcBorders>
              <w:top w:val="nil"/>
              <w:bottom w:val="nil"/>
            </w:tcBorders>
          </w:tcPr>
          <w:p w:rsidR="00212513" w:rsidRDefault="00212513">
            <w:pPr>
              <w:pStyle w:val="ConsPlusNormal"/>
              <w:jc w:val="center"/>
            </w:pPr>
            <w:r>
              <w:t>0,17</w:t>
            </w:r>
          </w:p>
        </w:tc>
      </w:tr>
      <w:tr w:rsidR="00212513">
        <w:tblPrEx>
          <w:tblBorders>
            <w:insideH w:val="none" w:sz="0" w:space="0" w:color="auto"/>
          </w:tblBorders>
        </w:tblPrEx>
        <w:tc>
          <w:tcPr>
            <w:tcW w:w="2408" w:type="dxa"/>
            <w:tcBorders>
              <w:top w:val="nil"/>
              <w:bottom w:val="nil"/>
            </w:tcBorders>
          </w:tcPr>
          <w:p w:rsidR="00212513" w:rsidRDefault="00212513">
            <w:pPr>
              <w:pStyle w:val="ConsPlusNormal"/>
              <w:jc w:val="center"/>
            </w:pPr>
            <w:r>
              <w:t>170</w:t>
            </w:r>
          </w:p>
        </w:tc>
        <w:tc>
          <w:tcPr>
            <w:tcW w:w="2209" w:type="dxa"/>
            <w:tcBorders>
              <w:top w:val="nil"/>
              <w:bottom w:val="nil"/>
            </w:tcBorders>
          </w:tcPr>
          <w:p w:rsidR="00212513" w:rsidRDefault="00212513">
            <w:pPr>
              <w:pStyle w:val="ConsPlusNormal"/>
              <w:jc w:val="center"/>
            </w:pPr>
            <w:r>
              <w:t>0,26</w:t>
            </w:r>
          </w:p>
        </w:tc>
        <w:tc>
          <w:tcPr>
            <w:tcW w:w="2209" w:type="dxa"/>
            <w:tcBorders>
              <w:top w:val="nil"/>
              <w:bottom w:val="nil"/>
            </w:tcBorders>
          </w:tcPr>
          <w:p w:rsidR="00212513" w:rsidRDefault="00212513">
            <w:pPr>
              <w:pStyle w:val="ConsPlusNormal"/>
              <w:jc w:val="center"/>
            </w:pPr>
            <w:r>
              <w:t>0,19</w:t>
            </w:r>
          </w:p>
        </w:tc>
        <w:tc>
          <w:tcPr>
            <w:tcW w:w="2210" w:type="dxa"/>
            <w:tcBorders>
              <w:top w:val="nil"/>
              <w:bottom w:val="nil"/>
            </w:tcBorders>
          </w:tcPr>
          <w:p w:rsidR="00212513" w:rsidRDefault="00212513">
            <w:pPr>
              <w:pStyle w:val="ConsPlusNormal"/>
              <w:jc w:val="center"/>
            </w:pPr>
            <w:r>
              <w:t>0,16</w:t>
            </w:r>
          </w:p>
        </w:tc>
      </w:tr>
      <w:tr w:rsidR="00212513">
        <w:tblPrEx>
          <w:tblBorders>
            <w:insideH w:val="none" w:sz="0" w:space="0" w:color="auto"/>
          </w:tblBorders>
        </w:tblPrEx>
        <w:tc>
          <w:tcPr>
            <w:tcW w:w="2408" w:type="dxa"/>
            <w:tcBorders>
              <w:top w:val="nil"/>
              <w:bottom w:val="nil"/>
            </w:tcBorders>
          </w:tcPr>
          <w:p w:rsidR="00212513" w:rsidRDefault="00212513">
            <w:pPr>
              <w:pStyle w:val="ConsPlusNormal"/>
              <w:jc w:val="center"/>
            </w:pPr>
            <w:r>
              <w:t>180</w:t>
            </w:r>
          </w:p>
        </w:tc>
        <w:tc>
          <w:tcPr>
            <w:tcW w:w="2209" w:type="dxa"/>
            <w:tcBorders>
              <w:top w:val="nil"/>
              <w:bottom w:val="nil"/>
            </w:tcBorders>
          </w:tcPr>
          <w:p w:rsidR="00212513" w:rsidRDefault="00212513">
            <w:pPr>
              <w:pStyle w:val="ConsPlusNormal"/>
              <w:jc w:val="center"/>
            </w:pPr>
            <w:r>
              <w:t>0,23</w:t>
            </w:r>
          </w:p>
        </w:tc>
        <w:tc>
          <w:tcPr>
            <w:tcW w:w="2209" w:type="dxa"/>
            <w:tcBorders>
              <w:top w:val="nil"/>
              <w:bottom w:val="nil"/>
            </w:tcBorders>
          </w:tcPr>
          <w:p w:rsidR="00212513" w:rsidRDefault="00212513">
            <w:pPr>
              <w:pStyle w:val="ConsPlusNormal"/>
              <w:jc w:val="center"/>
            </w:pPr>
            <w:r>
              <w:t>0,17</w:t>
            </w:r>
          </w:p>
        </w:tc>
        <w:tc>
          <w:tcPr>
            <w:tcW w:w="2210" w:type="dxa"/>
            <w:tcBorders>
              <w:top w:val="nil"/>
              <w:bottom w:val="nil"/>
            </w:tcBorders>
          </w:tcPr>
          <w:p w:rsidR="00212513" w:rsidRDefault="00212513">
            <w:pPr>
              <w:pStyle w:val="ConsPlusNormal"/>
              <w:jc w:val="center"/>
            </w:pPr>
            <w:r>
              <w:t>0,14</w:t>
            </w:r>
          </w:p>
        </w:tc>
      </w:tr>
      <w:tr w:rsidR="00212513">
        <w:tblPrEx>
          <w:tblBorders>
            <w:insideH w:val="none" w:sz="0" w:space="0" w:color="auto"/>
          </w:tblBorders>
        </w:tblPrEx>
        <w:tc>
          <w:tcPr>
            <w:tcW w:w="2408" w:type="dxa"/>
            <w:tcBorders>
              <w:top w:val="nil"/>
              <w:bottom w:val="nil"/>
            </w:tcBorders>
          </w:tcPr>
          <w:p w:rsidR="00212513" w:rsidRDefault="00212513">
            <w:pPr>
              <w:pStyle w:val="ConsPlusNormal"/>
              <w:jc w:val="center"/>
            </w:pPr>
            <w:r>
              <w:t>190</w:t>
            </w:r>
          </w:p>
        </w:tc>
        <w:tc>
          <w:tcPr>
            <w:tcW w:w="2209" w:type="dxa"/>
            <w:tcBorders>
              <w:top w:val="nil"/>
              <w:bottom w:val="nil"/>
            </w:tcBorders>
          </w:tcPr>
          <w:p w:rsidR="00212513" w:rsidRDefault="00212513">
            <w:pPr>
              <w:pStyle w:val="ConsPlusNormal"/>
              <w:jc w:val="center"/>
            </w:pPr>
            <w:r>
              <w:t>0,21</w:t>
            </w:r>
          </w:p>
        </w:tc>
        <w:tc>
          <w:tcPr>
            <w:tcW w:w="2209" w:type="dxa"/>
            <w:tcBorders>
              <w:top w:val="nil"/>
              <w:bottom w:val="nil"/>
            </w:tcBorders>
          </w:tcPr>
          <w:p w:rsidR="00212513" w:rsidRDefault="00212513">
            <w:pPr>
              <w:pStyle w:val="ConsPlusNormal"/>
              <w:jc w:val="center"/>
            </w:pPr>
            <w:r>
              <w:t>0,15</w:t>
            </w:r>
          </w:p>
        </w:tc>
        <w:tc>
          <w:tcPr>
            <w:tcW w:w="2210" w:type="dxa"/>
            <w:tcBorders>
              <w:top w:val="nil"/>
              <w:bottom w:val="nil"/>
            </w:tcBorders>
          </w:tcPr>
          <w:p w:rsidR="00212513" w:rsidRDefault="00212513">
            <w:pPr>
              <w:pStyle w:val="ConsPlusNormal"/>
              <w:jc w:val="center"/>
            </w:pPr>
            <w:r>
              <w:t>0,13</w:t>
            </w:r>
          </w:p>
        </w:tc>
      </w:tr>
      <w:tr w:rsidR="00212513">
        <w:tblPrEx>
          <w:tblBorders>
            <w:insideH w:val="none" w:sz="0" w:space="0" w:color="auto"/>
          </w:tblBorders>
        </w:tblPrEx>
        <w:tc>
          <w:tcPr>
            <w:tcW w:w="2408" w:type="dxa"/>
            <w:tcBorders>
              <w:top w:val="nil"/>
              <w:bottom w:val="single" w:sz="4" w:space="0" w:color="auto"/>
            </w:tcBorders>
          </w:tcPr>
          <w:p w:rsidR="00212513" w:rsidRDefault="00212513">
            <w:pPr>
              <w:pStyle w:val="ConsPlusNormal"/>
              <w:jc w:val="center"/>
            </w:pPr>
            <w:r>
              <w:t>200</w:t>
            </w:r>
          </w:p>
        </w:tc>
        <w:tc>
          <w:tcPr>
            <w:tcW w:w="2209" w:type="dxa"/>
            <w:tcBorders>
              <w:top w:val="nil"/>
              <w:bottom w:val="single" w:sz="4" w:space="0" w:color="auto"/>
            </w:tcBorders>
          </w:tcPr>
          <w:p w:rsidR="00212513" w:rsidRDefault="00212513">
            <w:pPr>
              <w:pStyle w:val="ConsPlusNormal"/>
              <w:jc w:val="center"/>
            </w:pPr>
            <w:r>
              <w:t>0,20</w:t>
            </w:r>
          </w:p>
        </w:tc>
        <w:tc>
          <w:tcPr>
            <w:tcW w:w="2209" w:type="dxa"/>
            <w:tcBorders>
              <w:top w:val="nil"/>
              <w:bottom w:val="single" w:sz="4" w:space="0" w:color="auto"/>
            </w:tcBorders>
          </w:tcPr>
          <w:p w:rsidR="00212513" w:rsidRDefault="00212513">
            <w:pPr>
              <w:pStyle w:val="ConsPlusNormal"/>
              <w:jc w:val="center"/>
            </w:pPr>
            <w:r>
              <w:t>0,14</w:t>
            </w:r>
          </w:p>
        </w:tc>
        <w:tc>
          <w:tcPr>
            <w:tcW w:w="2210" w:type="dxa"/>
            <w:tcBorders>
              <w:top w:val="nil"/>
              <w:bottom w:val="single" w:sz="4" w:space="0" w:color="auto"/>
            </w:tcBorders>
          </w:tcPr>
          <w:p w:rsidR="00212513" w:rsidRDefault="00212513">
            <w:pPr>
              <w:pStyle w:val="ConsPlusNormal"/>
              <w:jc w:val="center"/>
            </w:pPr>
            <w:r>
              <w:t>0,11</w:t>
            </w:r>
          </w:p>
        </w:tc>
      </w:tr>
    </w:tbl>
    <w:p w:rsidR="00212513" w:rsidRDefault="00212513">
      <w:pPr>
        <w:pStyle w:val="ConsPlusNormal"/>
        <w:ind w:firstLine="540"/>
        <w:jc w:val="both"/>
      </w:pPr>
    </w:p>
    <w:p w:rsidR="00212513" w:rsidRDefault="00212513">
      <w:pPr>
        <w:pStyle w:val="ConsPlusNormal"/>
        <w:ind w:firstLine="540"/>
        <w:jc w:val="both"/>
      </w:pPr>
      <w:r>
        <w:lastRenderedPageBreak/>
        <w:t>Гибкость следует определять по формуле</w:t>
      </w:r>
    </w:p>
    <w:p w:rsidR="00212513" w:rsidRDefault="00212513">
      <w:pPr>
        <w:pStyle w:val="ConsPlusNormal"/>
        <w:ind w:firstLine="540"/>
        <w:jc w:val="both"/>
      </w:pPr>
    </w:p>
    <w:p w:rsidR="00212513" w:rsidRDefault="00212513">
      <w:pPr>
        <w:pStyle w:val="ConsPlusNormal"/>
        <w:jc w:val="center"/>
      </w:pPr>
      <w:bookmarkStart w:id="578" w:name="P17206"/>
      <w:bookmarkEnd w:id="578"/>
      <w:r>
        <w:rPr>
          <w:noProof/>
          <w:position w:val="-58"/>
        </w:rPr>
        <w:drawing>
          <wp:inline distT="0" distB="0" distL="0" distR="0">
            <wp:extent cx="2724150" cy="880110"/>
            <wp:effectExtent l="0" t="0" r="0" b="0"/>
            <wp:docPr id="30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4" cstate="print">
                      <a:extLst>
                        <a:ext uri="{28A0092B-C50C-407E-A947-70E740481C1C}">
                          <a14:useLocalDpi xmlns:a14="http://schemas.microsoft.com/office/drawing/2010/main" val="0"/>
                        </a:ext>
                      </a:extLst>
                    </a:blip>
                    <a:srcRect/>
                    <a:stretch>
                      <a:fillRect/>
                    </a:stretch>
                  </pic:blipFill>
                  <pic:spPr bwMode="auto">
                    <a:xfrm>
                      <a:off x="0" y="0"/>
                      <a:ext cx="2724150" cy="880110"/>
                    </a:xfrm>
                    <a:prstGeom prst="rect">
                      <a:avLst/>
                    </a:prstGeom>
                    <a:noFill/>
                    <a:ln>
                      <a:noFill/>
                    </a:ln>
                  </pic:spPr>
                </pic:pic>
              </a:graphicData>
            </a:graphic>
          </wp:inline>
        </w:drawing>
      </w:r>
      <w:r>
        <w:t>, (Ш.14)</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10"/>
        </w:rPr>
        <w:drawing>
          <wp:inline distT="0" distB="0" distL="0" distR="0">
            <wp:extent cx="177800" cy="273685"/>
            <wp:effectExtent l="0" t="0" r="0" b="0"/>
            <wp:docPr id="30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5" cstate="print">
                      <a:extLst>
                        <a:ext uri="{28A0092B-C50C-407E-A947-70E740481C1C}">
                          <a14:useLocalDpi xmlns:a14="http://schemas.microsoft.com/office/drawing/2010/main" val="0"/>
                        </a:ext>
                      </a:extLst>
                    </a:blip>
                    <a:srcRect/>
                    <a:stretch>
                      <a:fillRect/>
                    </a:stretch>
                  </pic:blipFill>
                  <pic:spPr bwMode="auto">
                    <a:xfrm>
                      <a:off x="0" y="0"/>
                      <a:ext cx="177800" cy="273685"/>
                    </a:xfrm>
                    <a:prstGeom prst="rect">
                      <a:avLst/>
                    </a:prstGeom>
                    <a:noFill/>
                    <a:ln>
                      <a:noFill/>
                    </a:ln>
                  </pic:spPr>
                </pic:pic>
              </a:graphicData>
            </a:graphic>
          </wp:inline>
        </w:drawing>
      </w:r>
      <w:r>
        <w:t xml:space="preserve"> - расчетная (свободная) длина продольных ребер, определяемая из выражения </w:t>
      </w:r>
      <w:r>
        <w:rPr>
          <w:noProof/>
          <w:position w:val="-27"/>
        </w:rPr>
        <w:drawing>
          <wp:inline distT="0" distB="0" distL="0" distR="0">
            <wp:extent cx="683895" cy="494030"/>
            <wp:effectExtent l="0" t="0" r="0" b="0"/>
            <wp:docPr id="30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6" cstate="print">
                      <a:extLst>
                        <a:ext uri="{28A0092B-C50C-407E-A947-70E740481C1C}">
                          <a14:useLocalDpi xmlns:a14="http://schemas.microsoft.com/office/drawing/2010/main" val="0"/>
                        </a:ext>
                      </a:extLst>
                    </a:blip>
                    <a:srcRect/>
                    <a:stretch>
                      <a:fillRect/>
                    </a:stretch>
                  </pic:blipFill>
                  <pic:spPr bwMode="auto">
                    <a:xfrm>
                      <a:off x="0" y="0"/>
                      <a:ext cx="683895" cy="494030"/>
                    </a:xfrm>
                    <a:prstGeom prst="rect">
                      <a:avLst/>
                    </a:prstGeom>
                    <a:noFill/>
                    <a:ln>
                      <a:noFill/>
                    </a:ln>
                  </pic:spPr>
                </pic:pic>
              </a:graphicData>
            </a:graphic>
          </wp:inline>
        </w:drawing>
      </w:r>
      <w:r>
        <w:t xml:space="preserve">. Коэффициент </w:t>
      </w:r>
      <w:r>
        <w:rPr>
          <w:noProof/>
        </w:rPr>
        <w:drawing>
          <wp:inline distT="0" distB="0" distL="0" distR="0">
            <wp:extent cx="167640" cy="146050"/>
            <wp:effectExtent l="0" t="0" r="0" b="0"/>
            <wp:docPr id="30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7"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t xml:space="preserve"> находят из </w:t>
      </w:r>
      <w:hyperlink w:anchor="P17069">
        <w:r>
          <w:rPr>
            <w:color w:val="0000FF"/>
          </w:rPr>
          <w:t>таблицы Ш.3</w:t>
        </w:r>
      </w:hyperlink>
      <w:r>
        <w:t xml:space="preserve"> по значению</w:t>
      </w:r>
    </w:p>
    <w:p w:rsidR="00212513" w:rsidRDefault="00212513">
      <w:pPr>
        <w:pStyle w:val="ConsPlusNormal"/>
        <w:ind w:firstLine="540"/>
        <w:jc w:val="both"/>
      </w:pPr>
    </w:p>
    <w:p w:rsidR="00212513" w:rsidRDefault="00212513">
      <w:pPr>
        <w:pStyle w:val="ConsPlusNormal"/>
        <w:jc w:val="center"/>
      </w:pPr>
      <w:r>
        <w:rPr>
          <w:noProof/>
          <w:position w:val="-30"/>
        </w:rPr>
        <w:drawing>
          <wp:inline distT="0" distB="0" distL="0" distR="0">
            <wp:extent cx="1564640" cy="525780"/>
            <wp:effectExtent l="0" t="0" r="0" b="0"/>
            <wp:docPr id="30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8" cstate="print">
                      <a:extLst>
                        <a:ext uri="{28A0092B-C50C-407E-A947-70E740481C1C}">
                          <a14:useLocalDpi xmlns:a14="http://schemas.microsoft.com/office/drawing/2010/main" val="0"/>
                        </a:ext>
                      </a:extLst>
                    </a:blip>
                    <a:srcRect/>
                    <a:stretch>
                      <a:fillRect/>
                    </a:stretch>
                  </pic:blipFill>
                  <pic:spPr bwMode="auto">
                    <a:xfrm>
                      <a:off x="0" y="0"/>
                      <a:ext cx="1564640" cy="525780"/>
                    </a:xfrm>
                    <a:prstGeom prst="rect">
                      <a:avLst/>
                    </a:prstGeom>
                    <a:noFill/>
                    <a:ln>
                      <a:noFill/>
                    </a:ln>
                  </pic:spPr>
                </pic:pic>
              </a:graphicData>
            </a:graphic>
          </wp:inline>
        </w:drawing>
      </w:r>
      <w:r>
        <w:t>; (Ш.15)</w:t>
      </w:r>
    </w:p>
    <w:p w:rsidR="00212513" w:rsidRDefault="00212513">
      <w:pPr>
        <w:pStyle w:val="ConsPlusNormal"/>
        <w:ind w:firstLine="540"/>
        <w:jc w:val="both"/>
      </w:pPr>
    </w:p>
    <w:p w:rsidR="00212513" w:rsidRDefault="00212513">
      <w:pPr>
        <w:pStyle w:val="ConsPlusNormal"/>
        <w:ind w:firstLine="540"/>
        <w:jc w:val="both"/>
      </w:pPr>
      <w:r>
        <w:rPr>
          <w:noProof/>
          <w:position w:val="-9"/>
        </w:rPr>
        <w:drawing>
          <wp:inline distT="0" distB="0" distL="0" distR="0">
            <wp:extent cx="167640" cy="261620"/>
            <wp:effectExtent l="0" t="0" r="0" b="0"/>
            <wp:docPr id="30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9"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w:t>
      </w:r>
      <w:r>
        <w:rPr>
          <w:noProof/>
          <w:position w:val="-7"/>
        </w:rPr>
        <w:drawing>
          <wp:inline distT="0" distB="0" distL="0" distR="0">
            <wp:extent cx="177165" cy="240665"/>
            <wp:effectExtent l="0" t="0" r="0" b="0"/>
            <wp:docPr id="30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0"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и </w:t>
      </w:r>
      <w:r>
        <w:rPr>
          <w:i/>
        </w:rPr>
        <w:t>l</w:t>
      </w:r>
      <w:r>
        <w:t xml:space="preserve"> - см. </w:t>
      </w:r>
      <w:hyperlink w:anchor="P16904">
        <w:r>
          <w:rPr>
            <w:color w:val="0000FF"/>
          </w:rPr>
          <w:t>Ш.3</w:t>
        </w:r>
      </w:hyperlink>
      <w:r>
        <w:t>;</w:t>
      </w:r>
    </w:p>
    <w:p w:rsidR="00212513" w:rsidRDefault="00212513">
      <w:pPr>
        <w:pStyle w:val="ConsPlusNormal"/>
        <w:spacing w:before="220"/>
        <w:ind w:firstLine="540"/>
        <w:jc w:val="both"/>
      </w:pPr>
      <w:r>
        <w:rPr>
          <w:i/>
        </w:rPr>
        <w:t>a</w:t>
      </w:r>
      <w:r>
        <w:t xml:space="preserve"> - расстояние между продольными ребрами;</w:t>
      </w:r>
    </w:p>
    <w:p w:rsidR="00212513" w:rsidRDefault="00212513">
      <w:pPr>
        <w:pStyle w:val="ConsPlusNormal"/>
        <w:spacing w:before="220"/>
        <w:ind w:firstLine="540"/>
        <w:jc w:val="both"/>
      </w:pPr>
      <w:r>
        <w:rPr>
          <w:noProof/>
          <w:position w:val="-9"/>
        </w:rPr>
        <w:drawing>
          <wp:inline distT="0" distB="0" distL="0" distR="0">
            <wp:extent cx="146050" cy="261620"/>
            <wp:effectExtent l="0" t="0" r="0" b="0"/>
            <wp:docPr id="30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1" cstate="print">
                      <a:extLst>
                        <a:ext uri="{28A0092B-C50C-407E-A947-70E740481C1C}">
                          <a14:useLocalDpi xmlns:a14="http://schemas.microsoft.com/office/drawing/2010/main" val="0"/>
                        </a:ext>
                      </a:extLst>
                    </a:blip>
                    <a:srcRect/>
                    <a:stretch>
                      <a:fillRect/>
                    </a:stretch>
                  </pic:blipFill>
                  <pic:spPr bwMode="auto">
                    <a:xfrm>
                      <a:off x="0" y="0"/>
                      <a:ext cx="146050" cy="261620"/>
                    </a:xfrm>
                    <a:prstGeom prst="rect">
                      <a:avLst/>
                    </a:prstGeom>
                    <a:noFill/>
                    <a:ln>
                      <a:noFill/>
                    </a:ln>
                  </pic:spPr>
                </pic:pic>
              </a:graphicData>
            </a:graphic>
          </wp:inline>
        </w:drawing>
      </w:r>
      <w:r>
        <w:t xml:space="preserve"> - толщина листа настила;</w:t>
      </w:r>
    </w:p>
    <w:p w:rsidR="00212513" w:rsidRDefault="00212513">
      <w:pPr>
        <w:pStyle w:val="ConsPlusNormal"/>
        <w:spacing w:before="220"/>
        <w:ind w:firstLine="540"/>
        <w:jc w:val="both"/>
      </w:pPr>
      <w:r>
        <w:rPr>
          <w:noProof/>
          <w:position w:val="-7"/>
        </w:rPr>
        <w:drawing>
          <wp:inline distT="0" distB="0" distL="0" distR="0">
            <wp:extent cx="146685" cy="230505"/>
            <wp:effectExtent l="0" t="0" r="0" b="0"/>
            <wp:docPr id="30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2" cstate="print">
                      <a:extLst>
                        <a:ext uri="{28A0092B-C50C-407E-A947-70E740481C1C}">
                          <a14:useLocalDpi xmlns:a14="http://schemas.microsoft.com/office/drawing/2010/main" val="0"/>
                        </a:ext>
                      </a:extLst>
                    </a:blip>
                    <a:srcRect/>
                    <a:stretch>
                      <a:fillRect/>
                    </a:stretch>
                  </pic:blipFill>
                  <pic:spPr bwMode="auto">
                    <a:xfrm>
                      <a:off x="0" y="0"/>
                      <a:ext cx="146685" cy="230505"/>
                    </a:xfrm>
                    <a:prstGeom prst="rect">
                      <a:avLst/>
                    </a:prstGeom>
                    <a:noFill/>
                    <a:ln>
                      <a:noFill/>
                    </a:ln>
                  </pic:spPr>
                </pic:pic>
              </a:graphicData>
            </a:graphic>
          </wp:inline>
        </w:drawing>
      </w:r>
      <w:r>
        <w:t xml:space="preserve"> - коэффициент, принимаемый равным 1,0 - для ортотропной плиты нижнего пояса и по </w:t>
      </w:r>
      <w:hyperlink w:anchor="P17219">
        <w:r>
          <w:rPr>
            <w:color w:val="0000FF"/>
          </w:rPr>
          <w:t>таблице Ш.5</w:t>
        </w:r>
      </w:hyperlink>
      <w:r>
        <w:t xml:space="preserve"> - для плиты верхнего пояса коробчатых главных балок;</w:t>
      </w:r>
    </w:p>
    <w:p w:rsidR="00212513" w:rsidRDefault="00212513">
      <w:pPr>
        <w:pStyle w:val="ConsPlusNormal"/>
        <w:spacing w:before="220"/>
        <w:ind w:firstLine="540"/>
        <w:jc w:val="both"/>
      </w:pPr>
      <w:r>
        <w:rPr>
          <w:i/>
        </w:rPr>
        <w:t>A</w:t>
      </w:r>
      <w:r>
        <w:t xml:space="preserve"> - площадь полного сечения продольного ребра;</w:t>
      </w:r>
    </w:p>
    <w:p w:rsidR="00212513" w:rsidRDefault="00212513">
      <w:pPr>
        <w:pStyle w:val="ConsPlusNormal"/>
        <w:spacing w:before="220"/>
        <w:ind w:firstLine="540"/>
        <w:jc w:val="both"/>
      </w:pPr>
      <w:r>
        <w:rPr>
          <w:noProof/>
          <w:position w:val="-27"/>
        </w:rPr>
        <w:drawing>
          <wp:inline distT="0" distB="0" distL="0" distR="0">
            <wp:extent cx="880110" cy="484505"/>
            <wp:effectExtent l="0" t="0" r="0" b="0"/>
            <wp:docPr id="30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3" cstate="print">
                      <a:extLst>
                        <a:ext uri="{28A0092B-C50C-407E-A947-70E740481C1C}">
                          <a14:useLocalDpi xmlns:a14="http://schemas.microsoft.com/office/drawing/2010/main" val="0"/>
                        </a:ext>
                      </a:extLst>
                    </a:blip>
                    <a:srcRect/>
                    <a:stretch>
                      <a:fillRect/>
                    </a:stretch>
                  </pic:blipFill>
                  <pic:spPr bwMode="auto">
                    <a:xfrm>
                      <a:off x="0" y="0"/>
                      <a:ext cx="880110" cy="484505"/>
                    </a:xfrm>
                    <a:prstGeom prst="rect">
                      <a:avLst/>
                    </a:prstGeom>
                    <a:noFill/>
                    <a:ln>
                      <a:noFill/>
                    </a:ln>
                  </pic:spPr>
                </pic:pic>
              </a:graphicData>
            </a:graphic>
          </wp:inline>
        </w:drawing>
      </w:r>
      <w:r>
        <w:t xml:space="preserve"> - (здесь </w:t>
      </w:r>
      <w:r>
        <w:rPr>
          <w:noProof/>
          <w:position w:val="-9"/>
        </w:rPr>
        <w:drawing>
          <wp:inline distT="0" distB="0" distL="0" distR="0">
            <wp:extent cx="146050" cy="261620"/>
            <wp:effectExtent l="0" t="0" r="0" b="0"/>
            <wp:docPr id="30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4" cstate="print">
                      <a:extLst>
                        <a:ext uri="{28A0092B-C50C-407E-A947-70E740481C1C}">
                          <a14:useLocalDpi xmlns:a14="http://schemas.microsoft.com/office/drawing/2010/main" val="0"/>
                        </a:ext>
                      </a:extLst>
                    </a:blip>
                    <a:srcRect/>
                    <a:stretch>
                      <a:fillRect/>
                    </a:stretch>
                  </pic:blipFill>
                  <pic:spPr bwMode="auto">
                    <a:xfrm>
                      <a:off x="0" y="0"/>
                      <a:ext cx="146050" cy="261620"/>
                    </a:xfrm>
                    <a:prstGeom prst="rect">
                      <a:avLst/>
                    </a:prstGeom>
                    <a:noFill/>
                    <a:ln>
                      <a:noFill/>
                    </a:ln>
                  </pic:spPr>
                </pic:pic>
              </a:graphicData>
            </a:graphic>
          </wp:inline>
        </w:drawing>
      </w:r>
      <w:r>
        <w:t xml:space="preserve"> - момент инерции полного сечения продольного ребра при чистом кручении).</w:t>
      </w:r>
    </w:p>
    <w:p w:rsidR="00212513" w:rsidRDefault="00212513">
      <w:pPr>
        <w:pStyle w:val="ConsPlusNormal"/>
        <w:ind w:firstLine="540"/>
        <w:jc w:val="both"/>
      </w:pPr>
    </w:p>
    <w:p w:rsidR="00212513" w:rsidRDefault="00212513">
      <w:pPr>
        <w:pStyle w:val="ConsPlusNormal"/>
        <w:jc w:val="right"/>
      </w:pPr>
      <w:bookmarkStart w:id="579" w:name="P17219"/>
      <w:bookmarkEnd w:id="579"/>
      <w:r>
        <w:t>Таблица Ш.5</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7"/>
        <w:gridCol w:w="3968"/>
      </w:tblGrid>
      <w:tr w:rsidR="00212513">
        <w:tc>
          <w:tcPr>
            <w:tcW w:w="3967" w:type="dxa"/>
            <w:tcBorders>
              <w:top w:val="single" w:sz="4" w:space="0" w:color="auto"/>
              <w:bottom w:val="single" w:sz="4" w:space="0" w:color="auto"/>
            </w:tcBorders>
            <w:vAlign w:val="center"/>
          </w:tcPr>
          <w:p w:rsidR="00212513" w:rsidRDefault="00212513">
            <w:pPr>
              <w:pStyle w:val="ConsPlusNormal"/>
              <w:jc w:val="center"/>
            </w:pPr>
            <w:r>
              <w:rPr>
                <w:i/>
              </w:rPr>
              <w:t>f</w:t>
            </w:r>
            <w:r>
              <w:t>/</w:t>
            </w:r>
            <w:r>
              <w:rPr>
                <w:i/>
              </w:rPr>
              <w:t>i</w:t>
            </w:r>
          </w:p>
        </w:tc>
        <w:tc>
          <w:tcPr>
            <w:tcW w:w="3968" w:type="dxa"/>
            <w:tcBorders>
              <w:top w:val="single" w:sz="4" w:space="0" w:color="auto"/>
              <w:bottom w:val="single" w:sz="4" w:space="0" w:color="auto"/>
            </w:tcBorders>
            <w:vAlign w:val="center"/>
          </w:tcPr>
          <w:p w:rsidR="00212513" w:rsidRDefault="00212513">
            <w:pPr>
              <w:pStyle w:val="ConsPlusNormal"/>
              <w:jc w:val="center"/>
            </w:pPr>
            <w:r>
              <w:t>Коэффициент </w:t>
            </w:r>
            <w:r>
              <w:rPr>
                <w:noProof/>
                <w:position w:val="-6"/>
              </w:rPr>
              <w:drawing>
                <wp:inline distT="0" distB="0" distL="0" distR="0">
                  <wp:extent cx="136525" cy="220345"/>
                  <wp:effectExtent l="0" t="0" r="0" b="0"/>
                  <wp:docPr id="30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5" cstate="print">
                            <a:extLst>
                              <a:ext uri="{28A0092B-C50C-407E-A947-70E740481C1C}">
                                <a14:useLocalDpi xmlns:a14="http://schemas.microsoft.com/office/drawing/2010/main" val="0"/>
                              </a:ext>
                            </a:extLst>
                          </a:blip>
                          <a:srcRect/>
                          <a:stretch>
                            <a:fillRect/>
                          </a:stretch>
                        </pic:blipFill>
                        <pic:spPr bwMode="auto">
                          <a:xfrm>
                            <a:off x="0" y="0"/>
                            <a:ext cx="136525" cy="220345"/>
                          </a:xfrm>
                          <a:prstGeom prst="rect">
                            <a:avLst/>
                          </a:prstGeom>
                          <a:noFill/>
                          <a:ln>
                            <a:noFill/>
                          </a:ln>
                        </pic:spPr>
                      </pic:pic>
                    </a:graphicData>
                  </a:graphic>
                </wp:inline>
              </w:drawing>
            </w:r>
          </w:p>
        </w:tc>
      </w:tr>
      <w:tr w:rsidR="00212513">
        <w:tblPrEx>
          <w:tblBorders>
            <w:insideH w:val="none" w:sz="0" w:space="0" w:color="auto"/>
          </w:tblBorders>
        </w:tblPrEx>
        <w:tc>
          <w:tcPr>
            <w:tcW w:w="3967" w:type="dxa"/>
            <w:tcBorders>
              <w:top w:val="single" w:sz="4" w:space="0" w:color="auto"/>
              <w:bottom w:val="nil"/>
            </w:tcBorders>
          </w:tcPr>
          <w:p w:rsidR="00212513" w:rsidRDefault="00212513">
            <w:pPr>
              <w:pStyle w:val="ConsPlusNormal"/>
              <w:jc w:val="center"/>
            </w:pPr>
            <w:r>
              <w:t>0</w:t>
            </w:r>
          </w:p>
        </w:tc>
        <w:tc>
          <w:tcPr>
            <w:tcW w:w="3968" w:type="dxa"/>
            <w:tcBorders>
              <w:top w:val="single" w:sz="4" w:space="0" w:color="auto"/>
              <w:bottom w:val="nil"/>
            </w:tcBorders>
          </w:tcPr>
          <w:p w:rsidR="00212513" w:rsidRDefault="00212513">
            <w:pPr>
              <w:pStyle w:val="ConsPlusNormal"/>
              <w:jc w:val="center"/>
            </w:pPr>
            <w:r>
              <w:t>1,00</w:t>
            </w:r>
          </w:p>
        </w:tc>
      </w:tr>
      <w:tr w:rsidR="00212513">
        <w:tblPrEx>
          <w:tblBorders>
            <w:insideH w:val="none" w:sz="0" w:space="0" w:color="auto"/>
          </w:tblBorders>
        </w:tblPrEx>
        <w:tc>
          <w:tcPr>
            <w:tcW w:w="3967" w:type="dxa"/>
            <w:tcBorders>
              <w:top w:val="nil"/>
              <w:bottom w:val="nil"/>
            </w:tcBorders>
          </w:tcPr>
          <w:p w:rsidR="00212513" w:rsidRDefault="00212513">
            <w:pPr>
              <w:pStyle w:val="ConsPlusNormal"/>
              <w:jc w:val="center"/>
            </w:pPr>
            <w:r>
              <w:t>0,01</w:t>
            </w:r>
          </w:p>
        </w:tc>
        <w:tc>
          <w:tcPr>
            <w:tcW w:w="3968" w:type="dxa"/>
            <w:tcBorders>
              <w:top w:val="nil"/>
              <w:bottom w:val="nil"/>
            </w:tcBorders>
          </w:tcPr>
          <w:p w:rsidR="00212513" w:rsidRDefault="00212513">
            <w:pPr>
              <w:pStyle w:val="ConsPlusNormal"/>
              <w:jc w:val="center"/>
            </w:pPr>
            <w:r>
              <w:t>0,75</w:t>
            </w:r>
          </w:p>
        </w:tc>
      </w:tr>
      <w:tr w:rsidR="00212513">
        <w:tblPrEx>
          <w:tblBorders>
            <w:insideH w:val="none" w:sz="0" w:space="0" w:color="auto"/>
          </w:tblBorders>
        </w:tblPrEx>
        <w:tc>
          <w:tcPr>
            <w:tcW w:w="3967" w:type="dxa"/>
            <w:tcBorders>
              <w:top w:val="nil"/>
              <w:bottom w:val="nil"/>
            </w:tcBorders>
          </w:tcPr>
          <w:p w:rsidR="00212513" w:rsidRDefault="00212513">
            <w:pPr>
              <w:pStyle w:val="ConsPlusNormal"/>
              <w:jc w:val="center"/>
            </w:pPr>
            <w:r>
              <w:t>0,05</w:t>
            </w:r>
          </w:p>
        </w:tc>
        <w:tc>
          <w:tcPr>
            <w:tcW w:w="3968" w:type="dxa"/>
            <w:tcBorders>
              <w:top w:val="nil"/>
              <w:bottom w:val="nil"/>
            </w:tcBorders>
          </w:tcPr>
          <w:p w:rsidR="00212513" w:rsidRDefault="00212513">
            <w:pPr>
              <w:pStyle w:val="ConsPlusNormal"/>
              <w:jc w:val="center"/>
            </w:pPr>
            <w:r>
              <w:t>0,70</w:t>
            </w:r>
          </w:p>
        </w:tc>
      </w:tr>
      <w:tr w:rsidR="00212513">
        <w:tblPrEx>
          <w:tblBorders>
            <w:insideH w:val="none" w:sz="0" w:space="0" w:color="auto"/>
          </w:tblBorders>
        </w:tblPrEx>
        <w:tc>
          <w:tcPr>
            <w:tcW w:w="3967" w:type="dxa"/>
            <w:tcBorders>
              <w:top w:val="nil"/>
              <w:bottom w:val="single" w:sz="4" w:space="0" w:color="auto"/>
            </w:tcBorders>
          </w:tcPr>
          <w:p w:rsidR="00212513" w:rsidRDefault="00212513">
            <w:pPr>
              <w:pStyle w:val="ConsPlusNormal"/>
              <w:jc w:val="center"/>
            </w:pPr>
            <w:r>
              <w:t>0,10</w:t>
            </w:r>
          </w:p>
        </w:tc>
        <w:tc>
          <w:tcPr>
            <w:tcW w:w="3968" w:type="dxa"/>
            <w:tcBorders>
              <w:top w:val="nil"/>
              <w:bottom w:val="single" w:sz="4" w:space="0" w:color="auto"/>
            </w:tcBorders>
          </w:tcPr>
          <w:p w:rsidR="00212513" w:rsidRDefault="00212513">
            <w:pPr>
              <w:pStyle w:val="ConsPlusNormal"/>
              <w:jc w:val="center"/>
            </w:pPr>
            <w:r>
              <w:t>0,66</w:t>
            </w:r>
          </w:p>
        </w:tc>
      </w:tr>
      <w:tr w:rsidR="00212513">
        <w:tc>
          <w:tcPr>
            <w:tcW w:w="7935" w:type="dxa"/>
            <w:gridSpan w:val="2"/>
            <w:tcBorders>
              <w:top w:val="single" w:sz="4" w:space="0" w:color="auto"/>
              <w:bottom w:val="single" w:sz="4" w:space="0" w:color="auto"/>
            </w:tcBorders>
          </w:tcPr>
          <w:p w:rsidR="00212513" w:rsidRDefault="00212513">
            <w:pPr>
              <w:pStyle w:val="ConsPlusNormal"/>
              <w:ind w:firstLine="283"/>
              <w:jc w:val="both"/>
            </w:pPr>
            <w:r>
              <w:t xml:space="preserve">Примечание - </w:t>
            </w:r>
            <w:r>
              <w:rPr>
                <w:i/>
              </w:rPr>
              <w:t>f</w:t>
            </w:r>
            <w:r>
              <w:t xml:space="preserve"> - прогиб продольного ребра между поперечными ребрами; </w:t>
            </w:r>
            <w:r>
              <w:rPr>
                <w:i/>
              </w:rPr>
              <w:t>i</w:t>
            </w:r>
            <w:r>
              <w:t xml:space="preserve"> - радиус инерции полного сечения продольного ребра.</w:t>
            </w:r>
          </w:p>
        </w:tc>
      </w:tr>
    </w:tbl>
    <w:p w:rsidR="00212513" w:rsidRDefault="00212513">
      <w:pPr>
        <w:pStyle w:val="ConsPlusNormal"/>
        <w:ind w:firstLine="540"/>
        <w:jc w:val="both"/>
      </w:pPr>
    </w:p>
    <w:p w:rsidR="00212513" w:rsidRDefault="00212513">
      <w:pPr>
        <w:pStyle w:val="ConsPlusNormal"/>
        <w:ind w:firstLine="540"/>
        <w:jc w:val="both"/>
      </w:pPr>
      <w:r>
        <w:t xml:space="preserve">Сжато-изогнутую ортотропную плиту железнодорожных мостов на общую устойчивость следует проверять по </w:t>
      </w:r>
      <w:hyperlink w:anchor="P7590">
        <w:r>
          <w:rPr>
            <w:color w:val="0000FF"/>
          </w:rPr>
          <w:t>формуле (8.35)</w:t>
        </w:r>
      </w:hyperlink>
      <w:r>
        <w:t xml:space="preserve">, принимая гибкость по </w:t>
      </w:r>
      <w:hyperlink w:anchor="P17206">
        <w:r>
          <w:rPr>
            <w:color w:val="0000FF"/>
          </w:rPr>
          <w:t>формуле (Ш.14)</w:t>
        </w:r>
      </w:hyperlink>
      <w:r>
        <w:t xml:space="preserve"> при </w:t>
      </w:r>
      <w:r>
        <w:rPr>
          <w:noProof/>
          <w:position w:val="-7"/>
        </w:rPr>
        <w:drawing>
          <wp:inline distT="0" distB="0" distL="0" distR="0">
            <wp:extent cx="502285" cy="230505"/>
            <wp:effectExtent l="0" t="0" r="0" b="0"/>
            <wp:docPr id="30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6" cstate="print">
                      <a:extLst>
                        <a:ext uri="{28A0092B-C50C-407E-A947-70E740481C1C}">
                          <a14:useLocalDpi xmlns:a14="http://schemas.microsoft.com/office/drawing/2010/main" val="0"/>
                        </a:ext>
                      </a:extLst>
                    </a:blip>
                    <a:srcRect/>
                    <a:stretch>
                      <a:fillRect/>
                    </a:stretch>
                  </pic:blipFill>
                  <pic:spPr bwMode="auto">
                    <a:xfrm>
                      <a:off x="0" y="0"/>
                      <a:ext cx="502285" cy="230505"/>
                    </a:xfrm>
                    <a:prstGeom prst="rect">
                      <a:avLst/>
                    </a:prstGeom>
                    <a:noFill/>
                    <a:ln>
                      <a:noFill/>
                    </a:ln>
                  </pic:spPr>
                </pic:pic>
              </a:graphicData>
            </a:graphic>
          </wp:inline>
        </w:drawing>
      </w:r>
      <w:r>
        <w:t>.</w:t>
      </w:r>
    </w:p>
    <w:p w:rsidR="00212513" w:rsidRDefault="00212513">
      <w:pPr>
        <w:pStyle w:val="ConsPlusNormal"/>
        <w:spacing w:before="220"/>
        <w:ind w:firstLine="540"/>
        <w:jc w:val="both"/>
      </w:pPr>
      <w:r>
        <w:t>Ш.13 Тавровые продольные ребра (</w:t>
      </w:r>
      <w:hyperlink w:anchor="P17058">
        <w:r>
          <w:rPr>
            <w:color w:val="0000FF"/>
          </w:rPr>
          <w:t>рисунок Ш.1</w:t>
        </w:r>
      </w:hyperlink>
      <w:r>
        <w:t xml:space="preserve">, в, г) сжатой ортотропной плиты нижнего </w:t>
      </w:r>
      <w:r>
        <w:lastRenderedPageBreak/>
        <w:t xml:space="preserve">пояса коробчатых главных балок при изгибно-крутильной форме потери устойчивости следует рассчитывать по </w:t>
      </w:r>
      <w:hyperlink w:anchor="P17107">
        <w:r>
          <w:rPr>
            <w:color w:val="0000FF"/>
          </w:rPr>
          <w:t>формуле (Ш.13)</w:t>
        </w:r>
      </w:hyperlink>
      <w:r>
        <w:t xml:space="preserve">, принимая коэффициент продольного изгиба </w:t>
      </w:r>
      <w:r>
        <w:rPr>
          <w:noProof/>
          <w:position w:val="-7"/>
        </w:rPr>
        <w:drawing>
          <wp:inline distT="0" distB="0" distL="0" distR="0">
            <wp:extent cx="177165" cy="240665"/>
            <wp:effectExtent l="0" t="0" r="0" b="0"/>
            <wp:docPr id="30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6"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в зависимости от гибкости </w:t>
      </w:r>
      <w:r>
        <w:rPr>
          <w:noProof/>
          <w:position w:val="-9"/>
        </w:rPr>
        <w:drawing>
          <wp:inline distT="0" distB="0" distL="0" distR="0">
            <wp:extent cx="167640" cy="261620"/>
            <wp:effectExtent l="0" t="0" r="0" b="0"/>
            <wp:docPr id="30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3"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Гибкость </w:t>
      </w:r>
      <w:r>
        <w:rPr>
          <w:noProof/>
          <w:position w:val="-9"/>
        </w:rPr>
        <w:drawing>
          <wp:inline distT="0" distB="0" distL="0" distR="0">
            <wp:extent cx="167640" cy="261620"/>
            <wp:effectExtent l="0" t="0" r="0" b="0"/>
            <wp:docPr id="30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3"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следует определять по формуле</w:t>
      </w:r>
    </w:p>
    <w:p w:rsidR="00212513" w:rsidRDefault="00212513">
      <w:pPr>
        <w:pStyle w:val="ConsPlusNormal"/>
        <w:ind w:firstLine="540"/>
        <w:jc w:val="both"/>
      </w:pPr>
    </w:p>
    <w:p w:rsidR="00212513" w:rsidRDefault="00212513">
      <w:pPr>
        <w:pStyle w:val="ConsPlusNormal"/>
        <w:jc w:val="center"/>
      </w:pPr>
      <w:r>
        <w:rPr>
          <w:noProof/>
          <w:position w:val="-31"/>
        </w:rPr>
        <w:drawing>
          <wp:inline distT="0" distB="0" distL="0" distR="0">
            <wp:extent cx="1843405" cy="544830"/>
            <wp:effectExtent l="0" t="0" r="0" b="0"/>
            <wp:docPr id="30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7" cstate="print">
                      <a:extLst>
                        <a:ext uri="{28A0092B-C50C-407E-A947-70E740481C1C}">
                          <a14:useLocalDpi xmlns:a14="http://schemas.microsoft.com/office/drawing/2010/main" val="0"/>
                        </a:ext>
                      </a:extLst>
                    </a:blip>
                    <a:srcRect/>
                    <a:stretch>
                      <a:fillRect/>
                    </a:stretch>
                  </pic:blipFill>
                  <pic:spPr bwMode="auto">
                    <a:xfrm>
                      <a:off x="0" y="0"/>
                      <a:ext cx="1843405" cy="544830"/>
                    </a:xfrm>
                    <a:prstGeom prst="rect">
                      <a:avLst/>
                    </a:prstGeom>
                    <a:noFill/>
                    <a:ln>
                      <a:noFill/>
                    </a:ln>
                  </pic:spPr>
                </pic:pic>
              </a:graphicData>
            </a:graphic>
          </wp:inline>
        </w:drawing>
      </w:r>
      <w:r>
        <w:t>, (Ш.16)</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10"/>
        </w:rPr>
        <w:drawing>
          <wp:inline distT="0" distB="0" distL="0" distR="0">
            <wp:extent cx="1620520" cy="271145"/>
            <wp:effectExtent l="0" t="0" r="0" b="0"/>
            <wp:docPr id="30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8" cstate="print">
                      <a:extLst>
                        <a:ext uri="{28A0092B-C50C-407E-A947-70E740481C1C}">
                          <a14:useLocalDpi xmlns:a14="http://schemas.microsoft.com/office/drawing/2010/main" val="0"/>
                        </a:ext>
                      </a:extLst>
                    </a:blip>
                    <a:srcRect/>
                    <a:stretch>
                      <a:fillRect/>
                    </a:stretch>
                  </pic:blipFill>
                  <pic:spPr bwMode="auto">
                    <a:xfrm>
                      <a:off x="0" y="0"/>
                      <a:ext cx="1620520" cy="271145"/>
                    </a:xfrm>
                    <a:prstGeom prst="rect">
                      <a:avLst/>
                    </a:prstGeom>
                    <a:noFill/>
                    <a:ln>
                      <a:noFill/>
                    </a:ln>
                  </pic:spPr>
                </pic:pic>
              </a:graphicData>
            </a:graphic>
          </wp:inline>
        </w:drawing>
      </w:r>
      <w:r>
        <w:t>;</w:t>
      </w:r>
    </w:p>
    <w:p w:rsidR="00212513" w:rsidRDefault="00212513">
      <w:pPr>
        <w:pStyle w:val="ConsPlusNormal"/>
        <w:spacing w:before="220"/>
        <w:ind w:firstLine="540"/>
        <w:jc w:val="both"/>
      </w:pPr>
      <w:r>
        <w:rPr>
          <w:i/>
        </w:rPr>
        <w:t>l</w:t>
      </w:r>
      <w:r>
        <w:t xml:space="preserve"> - см. </w:t>
      </w:r>
      <w:hyperlink w:anchor="P16904">
        <w:r>
          <w:rPr>
            <w:color w:val="0000FF"/>
          </w:rPr>
          <w:t>Ш.3</w:t>
        </w:r>
      </w:hyperlink>
      <w:r>
        <w:t>;</w:t>
      </w:r>
    </w:p>
    <w:p w:rsidR="00212513" w:rsidRDefault="00212513">
      <w:pPr>
        <w:pStyle w:val="ConsPlusNormal"/>
        <w:spacing w:before="220"/>
        <w:ind w:firstLine="540"/>
        <w:jc w:val="both"/>
      </w:pPr>
      <w:r>
        <w:rPr>
          <w:noProof/>
          <w:position w:val="-7"/>
        </w:rPr>
        <w:drawing>
          <wp:inline distT="0" distB="0" distL="0" distR="0">
            <wp:extent cx="177165" cy="240665"/>
            <wp:effectExtent l="0" t="0" r="0" b="0"/>
            <wp:docPr id="30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9"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 высота стенки ребра толщиной </w:t>
      </w:r>
      <w:r>
        <w:rPr>
          <w:noProof/>
          <w:position w:val="-9"/>
        </w:rPr>
        <w:drawing>
          <wp:inline distT="0" distB="0" distL="0" distR="0">
            <wp:extent cx="167640" cy="261620"/>
            <wp:effectExtent l="0" t="0" r="0" b="0"/>
            <wp:docPr id="30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0"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w:t>
      </w:r>
      <w:hyperlink w:anchor="P17058">
        <w:r>
          <w:rPr>
            <w:color w:val="0000FF"/>
          </w:rPr>
          <w:t>рисунок Ш.1</w:t>
        </w:r>
      </w:hyperlink>
      <w:r>
        <w:t>, г);</w:t>
      </w:r>
    </w:p>
    <w:p w:rsidR="00212513" w:rsidRDefault="00212513">
      <w:pPr>
        <w:pStyle w:val="ConsPlusNormal"/>
        <w:spacing w:before="220"/>
        <w:ind w:firstLine="540"/>
        <w:jc w:val="both"/>
      </w:pPr>
      <w:r>
        <w:rPr>
          <w:i/>
        </w:rPr>
        <w:t>e</w:t>
      </w:r>
      <w:r>
        <w:t xml:space="preserve"> - расстояние от центра тяжести полки шириной </w:t>
      </w:r>
      <w:r>
        <w:rPr>
          <w:noProof/>
          <w:position w:val="-10"/>
        </w:rPr>
        <w:drawing>
          <wp:inline distT="0" distB="0" distL="0" distR="0">
            <wp:extent cx="177165" cy="273685"/>
            <wp:effectExtent l="0" t="0" r="0" b="0"/>
            <wp:docPr id="30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1" cstate="print">
                      <a:extLst>
                        <a:ext uri="{28A0092B-C50C-407E-A947-70E740481C1C}">
                          <a14:useLocalDpi xmlns:a14="http://schemas.microsoft.com/office/drawing/2010/main" val="0"/>
                        </a:ext>
                      </a:extLst>
                    </a:blip>
                    <a:srcRect/>
                    <a:stretch>
                      <a:fillRect/>
                    </a:stretch>
                  </pic:blipFill>
                  <pic:spPr bwMode="auto">
                    <a:xfrm>
                      <a:off x="0" y="0"/>
                      <a:ext cx="177165" cy="273685"/>
                    </a:xfrm>
                    <a:prstGeom prst="rect">
                      <a:avLst/>
                    </a:prstGeom>
                    <a:noFill/>
                    <a:ln>
                      <a:noFill/>
                    </a:ln>
                  </pic:spPr>
                </pic:pic>
              </a:graphicData>
            </a:graphic>
          </wp:inline>
        </w:drawing>
      </w:r>
      <w:r>
        <w:t xml:space="preserve">, толщиной </w:t>
      </w:r>
      <w:r>
        <w:rPr>
          <w:noProof/>
          <w:position w:val="-10"/>
        </w:rPr>
        <w:drawing>
          <wp:inline distT="0" distB="0" distL="0" distR="0">
            <wp:extent cx="167640" cy="273685"/>
            <wp:effectExtent l="0" t="0" r="0" b="0"/>
            <wp:docPr id="30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2" cstate="print">
                      <a:extLst>
                        <a:ext uri="{28A0092B-C50C-407E-A947-70E740481C1C}">
                          <a14:useLocalDpi xmlns:a14="http://schemas.microsoft.com/office/drawing/2010/main" val="0"/>
                        </a:ext>
                      </a:extLst>
                    </a:blip>
                    <a:srcRect/>
                    <a:stretch>
                      <a:fillRect/>
                    </a:stretch>
                  </pic:blipFill>
                  <pic:spPr bwMode="auto">
                    <a:xfrm>
                      <a:off x="0" y="0"/>
                      <a:ext cx="167640" cy="273685"/>
                    </a:xfrm>
                    <a:prstGeom prst="rect">
                      <a:avLst/>
                    </a:prstGeom>
                    <a:noFill/>
                    <a:ln>
                      <a:noFill/>
                    </a:ln>
                  </pic:spPr>
                </pic:pic>
              </a:graphicData>
            </a:graphic>
          </wp:inline>
        </w:drawing>
      </w:r>
      <w:r>
        <w:t xml:space="preserve"> до центра тяжести таврового продольного ребра (</w:t>
      </w:r>
      <w:hyperlink w:anchor="P17058">
        <w:r>
          <w:rPr>
            <w:color w:val="0000FF"/>
          </w:rPr>
          <w:t>рисунок Ш.1</w:t>
        </w:r>
      </w:hyperlink>
      <w:r>
        <w:t>, г);</w:t>
      </w:r>
    </w:p>
    <w:p w:rsidR="00212513" w:rsidRDefault="00212513">
      <w:pPr>
        <w:pStyle w:val="ConsPlusNormal"/>
        <w:spacing w:before="220"/>
        <w:ind w:firstLine="540"/>
        <w:jc w:val="both"/>
      </w:pPr>
      <w:r>
        <w:rPr>
          <w:noProof/>
          <w:position w:val="-10"/>
        </w:rPr>
        <w:drawing>
          <wp:inline distT="0" distB="0" distL="0" distR="0">
            <wp:extent cx="177800" cy="273685"/>
            <wp:effectExtent l="0" t="0" r="0" b="0"/>
            <wp:docPr id="30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3" cstate="print">
                      <a:extLst>
                        <a:ext uri="{28A0092B-C50C-407E-A947-70E740481C1C}">
                          <a14:useLocalDpi xmlns:a14="http://schemas.microsoft.com/office/drawing/2010/main" val="0"/>
                        </a:ext>
                      </a:extLst>
                    </a:blip>
                    <a:srcRect/>
                    <a:stretch>
                      <a:fillRect/>
                    </a:stretch>
                  </pic:blipFill>
                  <pic:spPr bwMode="auto">
                    <a:xfrm>
                      <a:off x="0" y="0"/>
                      <a:ext cx="177800" cy="273685"/>
                    </a:xfrm>
                    <a:prstGeom prst="rect">
                      <a:avLst/>
                    </a:prstGeom>
                    <a:noFill/>
                    <a:ln>
                      <a:noFill/>
                    </a:ln>
                  </pic:spPr>
                </pic:pic>
              </a:graphicData>
            </a:graphic>
          </wp:inline>
        </w:drawing>
      </w:r>
      <w:r>
        <w:t xml:space="preserve">, </w:t>
      </w:r>
      <w:r>
        <w:rPr>
          <w:noProof/>
          <w:position w:val="-9"/>
        </w:rPr>
        <w:drawing>
          <wp:inline distT="0" distB="0" distL="0" distR="0">
            <wp:extent cx="167640" cy="261620"/>
            <wp:effectExtent l="0" t="0" r="0" b="0"/>
            <wp:docPr id="30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4"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 соответственно момент инерции сечения таврового продольного ребра относительно горизонтальной оси </w:t>
      </w:r>
      <w:r>
        <w:rPr>
          <w:i/>
        </w:rPr>
        <w:t>y</w:t>
      </w:r>
      <w:r>
        <w:t xml:space="preserve"> и вертикальной оси </w:t>
      </w:r>
      <w:r>
        <w:rPr>
          <w:i/>
        </w:rPr>
        <w:t>z</w:t>
      </w:r>
      <w:r>
        <w:t>;</w:t>
      </w:r>
    </w:p>
    <w:p w:rsidR="00212513" w:rsidRDefault="00212513">
      <w:pPr>
        <w:pStyle w:val="ConsPlusNormal"/>
        <w:ind w:firstLine="540"/>
        <w:jc w:val="both"/>
      </w:pPr>
    </w:p>
    <w:p w:rsidR="00212513" w:rsidRDefault="00212513">
      <w:pPr>
        <w:pStyle w:val="ConsPlusNormal"/>
        <w:jc w:val="center"/>
      </w:pPr>
      <w:r>
        <w:rPr>
          <w:noProof/>
          <w:position w:val="-27"/>
        </w:rPr>
        <w:drawing>
          <wp:inline distT="0" distB="0" distL="0" distR="0">
            <wp:extent cx="1130935" cy="484505"/>
            <wp:effectExtent l="0" t="0" r="0" b="0"/>
            <wp:docPr id="30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5" cstate="print">
                      <a:extLst>
                        <a:ext uri="{28A0092B-C50C-407E-A947-70E740481C1C}">
                          <a14:useLocalDpi xmlns:a14="http://schemas.microsoft.com/office/drawing/2010/main" val="0"/>
                        </a:ext>
                      </a:extLst>
                    </a:blip>
                    <a:srcRect/>
                    <a:stretch>
                      <a:fillRect/>
                    </a:stretch>
                  </pic:blipFill>
                  <pic:spPr bwMode="auto">
                    <a:xfrm>
                      <a:off x="0" y="0"/>
                      <a:ext cx="1130935" cy="484505"/>
                    </a:xfrm>
                    <a:prstGeom prst="rect">
                      <a:avLst/>
                    </a:prstGeom>
                    <a:noFill/>
                    <a:ln>
                      <a:noFill/>
                    </a:ln>
                  </pic:spPr>
                </pic:pic>
              </a:graphicData>
            </a:graphic>
          </wp:inline>
        </w:drawing>
      </w:r>
      <w:r>
        <w:t>; (Ш.17)</w:t>
      </w:r>
    </w:p>
    <w:p w:rsidR="00212513" w:rsidRDefault="00212513">
      <w:pPr>
        <w:pStyle w:val="ConsPlusNormal"/>
        <w:ind w:firstLine="540"/>
        <w:jc w:val="both"/>
      </w:pPr>
    </w:p>
    <w:p w:rsidR="00212513" w:rsidRDefault="00212513">
      <w:pPr>
        <w:pStyle w:val="ConsPlusNormal"/>
        <w:jc w:val="center"/>
      </w:pPr>
      <w:r>
        <w:rPr>
          <w:noProof/>
          <w:position w:val="-24"/>
        </w:rPr>
        <w:drawing>
          <wp:inline distT="0" distB="0" distL="0" distR="0">
            <wp:extent cx="1284605" cy="450215"/>
            <wp:effectExtent l="0" t="0" r="0" b="0"/>
            <wp:docPr id="30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6" cstate="print">
                      <a:extLst>
                        <a:ext uri="{28A0092B-C50C-407E-A947-70E740481C1C}">
                          <a14:useLocalDpi xmlns:a14="http://schemas.microsoft.com/office/drawing/2010/main" val="0"/>
                        </a:ext>
                      </a:extLst>
                    </a:blip>
                    <a:srcRect/>
                    <a:stretch>
                      <a:fillRect/>
                    </a:stretch>
                  </pic:blipFill>
                  <pic:spPr bwMode="auto">
                    <a:xfrm>
                      <a:off x="0" y="0"/>
                      <a:ext cx="1284605" cy="450215"/>
                    </a:xfrm>
                    <a:prstGeom prst="rect">
                      <a:avLst/>
                    </a:prstGeom>
                    <a:noFill/>
                    <a:ln>
                      <a:noFill/>
                    </a:ln>
                  </pic:spPr>
                </pic:pic>
              </a:graphicData>
            </a:graphic>
          </wp:inline>
        </w:drawing>
      </w:r>
      <w:r>
        <w:t>; (Ш.18)</w:t>
      </w:r>
    </w:p>
    <w:p w:rsidR="00212513" w:rsidRDefault="00212513">
      <w:pPr>
        <w:pStyle w:val="ConsPlusNormal"/>
        <w:ind w:firstLine="540"/>
        <w:jc w:val="both"/>
      </w:pPr>
    </w:p>
    <w:p w:rsidR="00212513" w:rsidRDefault="00212513">
      <w:pPr>
        <w:pStyle w:val="ConsPlusNormal"/>
        <w:jc w:val="center"/>
      </w:pPr>
      <w:r>
        <w:rPr>
          <w:noProof/>
          <w:position w:val="-10"/>
        </w:rPr>
        <w:drawing>
          <wp:inline distT="0" distB="0" distL="0" distR="0">
            <wp:extent cx="1029970" cy="273685"/>
            <wp:effectExtent l="0" t="0" r="0" b="0"/>
            <wp:docPr id="30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7" cstate="print">
                      <a:extLst>
                        <a:ext uri="{28A0092B-C50C-407E-A947-70E740481C1C}">
                          <a14:useLocalDpi xmlns:a14="http://schemas.microsoft.com/office/drawing/2010/main" val="0"/>
                        </a:ext>
                      </a:extLst>
                    </a:blip>
                    <a:srcRect/>
                    <a:stretch>
                      <a:fillRect/>
                    </a:stretch>
                  </pic:blipFill>
                  <pic:spPr bwMode="auto">
                    <a:xfrm>
                      <a:off x="0" y="0"/>
                      <a:ext cx="1029970" cy="273685"/>
                    </a:xfrm>
                    <a:prstGeom prst="rect">
                      <a:avLst/>
                    </a:prstGeom>
                    <a:noFill/>
                    <a:ln>
                      <a:noFill/>
                    </a:ln>
                  </pic:spPr>
                </pic:pic>
              </a:graphicData>
            </a:graphic>
          </wp:inline>
        </w:drawing>
      </w:r>
      <w:r>
        <w:t>. (Ш.19)</w:t>
      </w:r>
    </w:p>
    <w:p w:rsidR="00212513" w:rsidRDefault="00212513">
      <w:pPr>
        <w:pStyle w:val="ConsPlusNormal"/>
        <w:ind w:firstLine="540"/>
        <w:jc w:val="both"/>
      </w:pPr>
    </w:p>
    <w:p w:rsidR="00212513" w:rsidRDefault="00212513">
      <w:pPr>
        <w:pStyle w:val="ConsPlusNormal"/>
        <w:ind w:firstLine="540"/>
        <w:jc w:val="both"/>
      </w:pPr>
      <w:r>
        <w:t>Для обеспечения местной устойчивости элементов таврового сечения продольного ребра толщина полки и стенки должна удовлетворять требованиям 8.45:</w:t>
      </w:r>
    </w:p>
    <w:p w:rsidR="00212513" w:rsidRDefault="00212513">
      <w:pPr>
        <w:pStyle w:val="ConsPlusNormal"/>
        <w:spacing w:before="220"/>
        <w:ind w:firstLine="540"/>
        <w:jc w:val="both"/>
      </w:pPr>
      <w:r>
        <w:t xml:space="preserve">при </w:t>
      </w:r>
      <w:r>
        <w:rPr>
          <w:noProof/>
          <w:position w:val="-10"/>
        </w:rPr>
        <w:drawing>
          <wp:inline distT="0" distB="0" distL="0" distR="0">
            <wp:extent cx="748030" cy="273685"/>
            <wp:effectExtent l="0" t="0" r="0" b="0"/>
            <wp:docPr id="30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8" cstate="print">
                      <a:extLst>
                        <a:ext uri="{28A0092B-C50C-407E-A947-70E740481C1C}">
                          <a14:useLocalDpi xmlns:a14="http://schemas.microsoft.com/office/drawing/2010/main" val="0"/>
                        </a:ext>
                      </a:extLst>
                    </a:blip>
                    <a:srcRect/>
                    <a:stretch>
                      <a:fillRect/>
                    </a:stretch>
                  </pic:blipFill>
                  <pic:spPr bwMode="auto">
                    <a:xfrm>
                      <a:off x="0" y="0"/>
                      <a:ext cx="748030" cy="273685"/>
                    </a:xfrm>
                    <a:prstGeom prst="rect">
                      <a:avLst/>
                    </a:prstGeom>
                    <a:noFill/>
                    <a:ln>
                      <a:noFill/>
                    </a:ln>
                  </pic:spPr>
                </pic:pic>
              </a:graphicData>
            </a:graphic>
          </wp:inline>
        </w:drawing>
      </w:r>
      <w:r>
        <w:t xml:space="preserve"> продольное ребро полного сечения следует считать двутавром;</w:t>
      </w:r>
    </w:p>
    <w:p w:rsidR="00212513" w:rsidRDefault="00212513">
      <w:pPr>
        <w:pStyle w:val="ConsPlusNormal"/>
        <w:spacing w:before="220"/>
        <w:ind w:firstLine="540"/>
        <w:jc w:val="both"/>
      </w:pPr>
      <w:r>
        <w:t xml:space="preserve">при </w:t>
      </w:r>
      <w:r>
        <w:rPr>
          <w:noProof/>
          <w:position w:val="-10"/>
        </w:rPr>
        <w:drawing>
          <wp:inline distT="0" distB="0" distL="0" distR="0">
            <wp:extent cx="461010" cy="273685"/>
            <wp:effectExtent l="0" t="0" r="0" b="0"/>
            <wp:docPr id="30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9" cstate="print">
                      <a:extLst>
                        <a:ext uri="{28A0092B-C50C-407E-A947-70E740481C1C}">
                          <a14:useLocalDpi xmlns:a14="http://schemas.microsoft.com/office/drawing/2010/main" val="0"/>
                        </a:ext>
                      </a:extLst>
                    </a:blip>
                    <a:srcRect/>
                    <a:stretch>
                      <a:fillRect/>
                    </a:stretch>
                  </pic:blipFill>
                  <pic:spPr bwMode="auto">
                    <a:xfrm>
                      <a:off x="0" y="0"/>
                      <a:ext cx="461010" cy="273685"/>
                    </a:xfrm>
                    <a:prstGeom prst="rect">
                      <a:avLst/>
                    </a:prstGeom>
                    <a:noFill/>
                    <a:ln>
                      <a:noFill/>
                    </a:ln>
                  </pic:spPr>
                </pic:pic>
              </a:graphicData>
            </a:graphic>
          </wp:inline>
        </w:drawing>
      </w:r>
      <w:r>
        <w:t xml:space="preserve"> продольное ребро полного сечения следует считать тавром;</w:t>
      </w:r>
    </w:p>
    <w:p w:rsidR="00212513" w:rsidRDefault="00212513">
      <w:pPr>
        <w:pStyle w:val="ConsPlusNormal"/>
        <w:spacing w:before="220"/>
        <w:ind w:firstLine="540"/>
        <w:jc w:val="both"/>
      </w:pPr>
      <w:r>
        <w:t xml:space="preserve">при </w:t>
      </w:r>
      <w:r>
        <w:rPr>
          <w:noProof/>
          <w:position w:val="-10"/>
        </w:rPr>
        <w:drawing>
          <wp:inline distT="0" distB="0" distL="0" distR="0">
            <wp:extent cx="986790" cy="273685"/>
            <wp:effectExtent l="0" t="0" r="0" b="0"/>
            <wp:docPr id="30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0" cstate="print">
                      <a:extLst>
                        <a:ext uri="{28A0092B-C50C-407E-A947-70E740481C1C}">
                          <a14:useLocalDpi xmlns:a14="http://schemas.microsoft.com/office/drawing/2010/main" val="0"/>
                        </a:ext>
                      </a:extLst>
                    </a:blip>
                    <a:srcRect/>
                    <a:stretch>
                      <a:fillRect/>
                    </a:stretch>
                  </pic:blipFill>
                  <pic:spPr bwMode="auto">
                    <a:xfrm>
                      <a:off x="0" y="0"/>
                      <a:ext cx="986790" cy="273685"/>
                    </a:xfrm>
                    <a:prstGeom prst="rect">
                      <a:avLst/>
                    </a:prstGeom>
                    <a:noFill/>
                    <a:ln>
                      <a:noFill/>
                    </a:ln>
                  </pic:spPr>
                </pic:pic>
              </a:graphicData>
            </a:graphic>
          </wp:inline>
        </w:drawing>
      </w:r>
      <w:r>
        <w:t xml:space="preserve"> требования к толщине стенки определяются по линейной интерполяции между нормами для двутавра и тавра </w:t>
      </w:r>
      <w:r>
        <w:rPr>
          <w:noProof/>
          <w:position w:val="-10"/>
        </w:rPr>
        <w:drawing>
          <wp:inline distT="0" distB="0" distL="0" distR="0">
            <wp:extent cx="567055" cy="273685"/>
            <wp:effectExtent l="0" t="0" r="0" b="0"/>
            <wp:docPr id="30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1" cstate="print">
                      <a:extLst>
                        <a:ext uri="{28A0092B-C50C-407E-A947-70E740481C1C}">
                          <a14:useLocalDpi xmlns:a14="http://schemas.microsoft.com/office/drawing/2010/main" val="0"/>
                        </a:ext>
                      </a:extLst>
                    </a:blip>
                    <a:srcRect/>
                    <a:stretch>
                      <a:fillRect/>
                    </a:stretch>
                  </pic:blipFill>
                  <pic:spPr bwMode="auto">
                    <a:xfrm>
                      <a:off x="0" y="0"/>
                      <a:ext cx="567055" cy="273685"/>
                    </a:xfrm>
                    <a:prstGeom prst="rect">
                      <a:avLst/>
                    </a:prstGeom>
                    <a:noFill/>
                    <a:ln>
                      <a:noFill/>
                    </a:ln>
                  </pic:spPr>
                </pic:pic>
              </a:graphicData>
            </a:graphic>
          </wp:inline>
        </w:drawing>
      </w:r>
      <w:r>
        <w:t>.</w:t>
      </w: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jc w:val="right"/>
        <w:outlineLvl w:val="0"/>
      </w:pPr>
      <w:r>
        <w:rPr>
          <w:b/>
        </w:rPr>
        <w:t>Приложение Щ</w:t>
      </w:r>
    </w:p>
    <w:p w:rsidR="00212513" w:rsidRDefault="00212513">
      <w:pPr>
        <w:pStyle w:val="ConsPlusNormal"/>
        <w:jc w:val="right"/>
      </w:pPr>
      <w:r>
        <w:rPr>
          <w:b/>
        </w:rPr>
        <w:t>(обязательное)</w:t>
      </w:r>
    </w:p>
    <w:p w:rsidR="00212513" w:rsidRDefault="00212513">
      <w:pPr>
        <w:pStyle w:val="ConsPlusNormal"/>
        <w:ind w:firstLine="540"/>
        <w:jc w:val="both"/>
      </w:pPr>
    </w:p>
    <w:p w:rsidR="00212513" w:rsidRDefault="00212513">
      <w:pPr>
        <w:pStyle w:val="ConsPlusTitle"/>
        <w:jc w:val="center"/>
      </w:pPr>
      <w:bookmarkStart w:id="580" w:name="P17263"/>
      <w:bookmarkEnd w:id="580"/>
      <w:r>
        <w:lastRenderedPageBreak/>
        <w:t>УЧЕТ ПОЛЗУЧЕСТИ, ВИБРОПОЛЗУЧЕСТИ БЕТОНА И ОБЖАТИЯ</w:t>
      </w:r>
    </w:p>
    <w:p w:rsidR="00212513" w:rsidRDefault="00212513">
      <w:pPr>
        <w:pStyle w:val="ConsPlusTitle"/>
        <w:jc w:val="center"/>
      </w:pPr>
      <w:r>
        <w:t>ПОПЕРЕЧНЫХ ШВОВ В СТАЛЕЖЕЛЕЗОБЕТОННЫХ КОНСТРУКЦИЯХ</w:t>
      </w:r>
    </w:p>
    <w:p w:rsidR="00212513" w:rsidRDefault="00212513">
      <w:pPr>
        <w:pStyle w:val="ConsPlusNormal"/>
        <w:ind w:firstLine="540"/>
        <w:jc w:val="both"/>
      </w:pPr>
    </w:p>
    <w:p w:rsidR="00212513" w:rsidRDefault="00212513">
      <w:pPr>
        <w:pStyle w:val="ConsPlusNormal"/>
        <w:ind w:firstLine="540"/>
        <w:jc w:val="both"/>
      </w:pPr>
      <w:bookmarkStart w:id="581" w:name="P17266"/>
      <w:bookmarkEnd w:id="581"/>
      <w:r>
        <w:t>Щ.1 При учете ползучести бетона в статически определимых конструкциях необходимо определить уравновешенные в пределах поперечного сечения (далее - внутренние) напряжения и соответствующие деформации.</w:t>
      </w:r>
    </w:p>
    <w:p w:rsidR="00212513" w:rsidRDefault="00212513">
      <w:pPr>
        <w:pStyle w:val="ConsPlusNormal"/>
        <w:spacing w:before="220"/>
        <w:ind w:firstLine="540"/>
        <w:jc w:val="both"/>
      </w:pPr>
      <w:r>
        <w:t xml:space="preserve">Для конструкции, состоящей из стальной балки со сплошной стенкой и объединенной с ней в уровне проезда железобетонной плиты </w:t>
      </w:r>
      <w:hyperlink w:anchor="P17294">
        <w:r>
          <w:rPr>
            <w:color w:val="0000FF"/>
          </w:rPr>
          <w:t>(рисунок Щ.1)</w:t>
        </w:r>
      </w:hyperlink>
      <w:r>
        <w:t>, внутренние напряжения от ползучести бетона в общем случае надлежит определять по следующим формулам:</w:t>
      </w:r>
    </w:p>
    <w:p w:rsidR="00212513" w:rsidRDefault="00212513">
      <w:pPr>
        <w:pStyle w:val="ConsPlusNormal"/>
        <w:spacing w:before="220"/>
        <w:ind w:firstLine="540"/>
        <w:jc w:val="both"/>
      </w:pPr>
      <w:r>
        <w:t>на уровне центра тяжести бетонной части сечения (растяжение)</w:t>
      </w:r>
    </w:p>
    <w:p w:rsidR="00212513" w:rsidRDefault="00212513">
      <w:pPr>
        <w:pStyle w:val="ConsPlusNormal"/>
        <w:ind w:firstLine="540"/>
        <w:jc w:val="both"/>
      </w:pPr>
    </w:p>
    <w:p w:rsidR="00212513" w:rsidRDefault="00212513">
      <w:pPr>
        <w:pStyle w:val="ConsPlusNormal"/>
        <w:jc w:val="center"/>
      </w:pPr>
      <w:bookmarkStart w:id="582" w:name="P17270"/>
      <w:bookmarkEnd w:id="582"/>
      <w:r>
        <w:rPr>
          <w:noProof/>
          <w:position w:val="-10"/>
        </w:rPr>
        <w:drawing>
          <wp:inline distT="0" distB="0" distL="0" distR="0">
            <wp:extent cx="922020" cy="273685"/>
            <wp:effectExtent l="0" t="0" r="0" b="0"/>
            <wp:docPr id="30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2" cstate="print">
                      <a:extLst>
                        <a:ext uri="{28A0092B-C50C-407E-A947-70E740481C1C}">
                          <a14:useLocalDpi xmlns:a14="http://schemas.microsoft.com/office/drawing/2010/main" val="0"/>
                        </a:ext>
                      </a:extLst>
                    </a:blip>
                    <a:srcRect/>
                    <a:stretch>
                      <a:fillRect/>
                    </a:stretch>
                  </pic:blipFill>
                  <pic:spPr bwMode="auto">
                    <a:xfrm>
                      <a:off x="0" y="0"/>
                      <a:ext cx="922020" cy="273685"/>
                    </a:xfrm>
                    <a:prstGeom prst="rect">
                      <a:avLst/>
                    </a:prstGeom>
                    <a:noFill/>
                    <a:ln>
                      <a:noFill/>
                    </a:ln>
                  </pic:spPr>
                </pic:pic>
              </a:graphicData>
            </a:graphic>
          </wp:inline>
        </w:drawing>
      </w:r>
      <w:r>
        <w:t>; (Щ.1)</w:t>
      </w:r>
    </w:p>
    <w:p w:rsidR="00212513" w:rsidRDefault="00212513">
      <w:pPr>
        <w:pStyle w:val="ConsPlusNormal"/>
        <w:ind w:firstLine="540"/>
        <w:jc w:val="both"/>
      </w:pPr>
    </w:p>
    <w:p w:rsidR="00212513" w:rsidRDefault="00212513">
      <w:pPr>
        <w:pStyle w:val="ConsPlusNormal"/>
        <w:ind w:firstLine="540"/>
        <w:jc w:val="both"/>
      </w:pPr>
      <w:r>
        <w:t>в крайней фибре нижнего пояса стальной балки (растяжение или сжатие)</w:t>
      </w:r>
    </w:p>
    <w:p w:rsidR="00212513" w:rsidRDefault="00212513">
      <w:pPr>
        <w:pStyle w:val="ConsPlusNormal"/>
        <w:ind w:firstLine="540"/>
        <w:jc w:val="both"/>
      </w:pPr>
    </w:p>
    <w:p w:rsidR="00212513" w:rsidRDefault="00212513">
      <w:pPr>
        <w:pStyle w:val="ConsPlusNormal"/>
        <w:jc w:val="center"/>
      </w:pPr>
      <w:r>
        <w:rPr>
          <w:noProof/>
          <w:position w:val="-35"/>
        </w:rPr>
        <w:drawing>
          <wp:inline distT="0" distB="0" distL="0" distR="0">
            <wp:extent cx="1913890" cy="586740"/>
            <wp:effectExtent l="0" t="0" r="0" b="0"/>
            <wp:docPr id="30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3" cstate="print">
                      <a:extLst>
                        <a:ext uri="{28A0092B-C50C-407E-A947-70E740481C1C}">
                          <a14:useLocalDpi xmlns:a14="http://schemas.microsoft.com/office/drawing/2010/main" val="0"/>
                        </a:ext>
                      </a:extLst>
                    </a:blip>
                    <a:srcRect/>
                    <a:stretch>
                      <a:fillRect/>
                    </a:stretch>
                  </pic:blipFill>
                  <pic:spPr bwMode="auto">
                    <a:xfrm>
                      <a:off x="0" y="0"/>
                      <a:ext cx="1913890" cy="586740"/>
                    </a:xfrm>
                    <a:prstGeom prst="rect">
                      <a:avLst/>
                    </a:prstGeom>
                    <a:noFill/>
                    <a:ln>
                      <a:noFill/>
                    </a:ln>
                  </pic:spPr>
                </pic:pic>
              </a:graphicData>
            </a:graphic>
          </wp:inline>
        </w:drawing>
      </w:r>
      <w:r>
        <w:t>; (Щ.2)</w:t>
      </w:r>
    </w:p>
    <w:p w:rsidR="00212513" w:rsidRDefault="00212513">
      <w:pPr>
        <w:pStyle w:val="ConsPlusNormal"/>
        <w:ind w:firstLine="540"/>
        <w:jc w:val="both"/>
      </w:pPr>
    </w:p>
    <w:p w:rsidR="00212513" w:rsidRDefault="00212513">
      <w:pPr>
        <w:pStyle w:val="ConsPlusNormal"/>
        <w:ind w:firstLine="540"/>
        <w:jc w:val="both"/>
      </w:pPr>
      <w:r>
        <w:t>в крайней фибре верхнего пояса стальной балки (сжатие)</w:t>
      </w:r>
    </w:p>
    <w:p w:rsidR="00212513" w:rsidRDefault="00212513">
      <w:pPr>
        <w:pStyle w:val="ConsPlusNormal"/>
        <w:ind w:firstLine="540"/>
        <w:jc w:val="both"/>
      </w:pPr>
    </w:p>
    <w:p w:rsidR="00212513" w:rsidRDefault="00212513">
      <w:pPr>
        <w:pStyle w:val="ConsPlusNormal"/>
        <w:jc w:val="center"/>
      </w:pPr>
      <w:r>
        <w:rPr>
          <w:noProof/>
          <w:position w:val="-35"/>
        </w:rPr>
        <w:drawing>
          <wp:inline distT="0" distB="0" distL="0" distR="0">
            <wp:extent cx="1941830" cy="586740"/>
            <wp:effectExtent l="0" t="0" r="0" b="0"/>
            <wp:docPr id="30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4" cstate="print">
                      <a:extLst>
                        <a:ext uri="{28A0092B-C50C-407E-A947-70E740481C1C}">
                          <a14:useLocalDpi xmlns:a14="http://schemas.microsoft.com/office/drawing/2010/main" val="0"/>
                        </a:ext>
                      </a:extLst>
                    </a:blip>
                    <a:srcRect/>
                    <a:stretch>
                      <a:fillRect/>
                    </a:stretch>
                  </pic:blipFill>
                  <pic:spPr bwMode="auto">
                    <a:xfrm>
                      <a:off x="0" y="0"/>
                      <a:ext cx="1941830" cy="586740"/>
                    </a:xfrm>
                    <a:prstGeom prst="rect">
                      <a:avLst/>
                    </a:prstGeom>
                    <a:noFill/>
                    <a:ln>
                      <a:noFill/>
                    </a:ln>
                  </pic:spPr>
                </pic:pic>
              </a:graphicData>
            </a:graphic>
          </wp:inline>
        </w:drawing>
      </w:r>
      <w:r>
        <w:t>; (Щ.3)</w:t>
      </w:r>
    </w:p>
    <w:p w:rsidR="00212513" w:rsidRDefault="00212513">
      <w:pPr>
        <w:pStyle w:val="ConsPlusNormal"/>
        <w:ind w:firstLine="540"/>
        <w:jc w:val="both"/>
      </w:pPr>
    </w:p>
    <w:p w:rsidR="00212513" w:rsidRDefault="00212513">
      <w:pPr>
        <w:pStyle w:val="ConsPlusNormal"/>
        <w:ind w:firstLine="540"/>
        <w:jc w:val="both"/>
      </w:pPr>
      <w:r>
        <w:t xml:space="preserve">в стержнях крайнего ряда ненапрягаемой арматуры плиты при </w:t>
      </w:r>
      <w:r>
        <w:rPr>
          <w:noProof/>
          <w:position w:val="-9"/>
        </w:rPr>
        <w:drawing>
          <wp:inline distT="0" distB="0" distL="0" distR="0">
            <wp:extent cx="939800" cy="261620"/>
            <wp:effectExtent l="0" t="0" r="0" b="0"/>
            <wp:docPr id="30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5" cstate="print">
                      <a:extLst>
                        <a:ext uri="{28A0092B-C50C-407E-A947-70E740481C1C}">
                          <a14:useLocalDpi xmlns:a14="http://schemas.microsoft.com/office/drawing/2010/main" val="0"/>
                        </a:ext>
                      </a:extLst>
                    </a:blip>
                    <a:srcRect/>
                    <a:stretch>
                      <a:fillRect/>
                    </a:stretch>
                  </pic:blipFill>
                  <pic:spPr bwMode="auto">
                    <a:xfrm>
                      <a:off x="0" y="0"/>
                      <a:ext cx="939800" cy="261620"/>
                    </a:xfrm>
                    <a:prstGeom prst="rect">
                      <a:avLst/>
                    </a:prstGeom>
                    <a:noFill/>
                    <a:ln>
                      <a:noFill/>
                    </a:ln>
                  </pic:spPr>
                </pic:pic>
              </a:graphicData>
            </a:graphic>
          </wp:inline>
        </w:drawing>
      </w:r>
      <w:r>
        <w:t xml:space="preserve"> (сжатие)</w:t>
      </w:r>
    </w:p>
    <w:p w:rsidR="00212513" w:rsidRDefault="00212513">
      <w:pPr>
        <w:pStyle w:val="ConsPlusNormal"/>
        <w:ind w:firstLine="540"/>
        <w:jc w:val="both"/>
      </w:pPr>
    </w:p>
    <w:p w:rsidR="00212513" w:rsidRDefault="00212513">
      <w:pPr>
        <w:pStyle w:val="ConsPlusNormal"/>
        <w:jc w:val="center"/>
      </w:pPr>
      <w:r>
        <w:rPr>
          <w:noProof/>
          <w:position w:val="-35"/>
        </w:rPr>
        <w:drawing>
          <wp:inline distT="0" distB="0" distL="0" distR="0">
            <wp:extent cx="1885950" cy="586740"/>
            <wp:effectExtent l="0" t="0" r="0" b="0"/>
            <wp:docPr id="30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6" cstate="print">
                      <a:extLst>
                        <a:ext uri="{28A0092B-C50C-407E-A947-70E740481C1C}">
                          <a14:useLocalDpi xmlns:a14="http://schemas.microsoft.com/office/drawing/2010/main" val="0"/>
                        </a:ext>
                      </a:extLst>
                    </a:blip>
                    <a:srcRect/>
                    <a:stretch>
                      <a:fillRect/>
                    </a:stretch>
                  </pic:blipFill>
                  <pic:spPr bwMode="auto">
                    <a:xfrm>
                      <a:off x="0" y="0"/>
                      <a:ext cx="1885950" cy="586740"/>
                    </a:xfrm>
                    <a:prstGeom prst="rect">
                      <a:avLst/>
                    </a:prstGeom>
                    <a:noFill/>
                    <a:ln>
                      <a:noFill/>
                    </a:ln>
                  </pic:spPr>
                </pic:pic>
              </a:graphicData>
            </a:graphic>
          </wp:inline>
        </w:drawing>
      </w:r>
      <w:r>
        <w:t>; (Щ.4)</w:t>
      </w:r>
    </w:p>
    <w:p w:rsidR="00212513" w:rsidRDefault="00212513">
      <w:pPr>
        <w:pStyle w:val="ConsPlusNormal"/>
        <w:ind w:firstLine="540"/>
        <w:jc w:val="both"/>
      </w:pPr>
    </w:p>
    <w:p w:rsidR="00212513" w:rsidRDefault="00212513">
      <w:pPr>
        <w:pStyle w:val="ConsPlusNormal"/>
        <w:ind w:firstLine="540"/>
        <w:jc w:val="both"/>
      </w:pPr>
      <w:r>
        <w:t>потери предварительного напряжения напрягаемой арматуры (сжатие)</w:t>
      </w:r>
    </w:p>
    <w:p w:rsidR="00212513" w:rsidRDefault="00212513">
      <w:pPr>
        <w:pStyle w:val="ConsPlusNormal"/>
        <w:ind w:firstLine="540"/>
        <w:jc w:val="both"/>
      </w:pPr>
    </w:p>
    <w:p w:rsidR="00212513" w:rsidRDefault="00212513">
      <w:pPr>
        <w:pStyle w:val="ConsPlusNormal"/>
        <w:jc w:val="center"/>
      </w:pPr>
      <w:r>
        <w:rPr>
          <w:noProof/>
          <w:position w:val="-35"/>
        </w:rPr>
        <w:drawing>
          <wp:inline distT="0" distB="0" distL="0" distR="0">
            <wp:extent cx="2067560" cy="586740"/>
            <wp:effectExtent l="0" t="0" r="0" b="0"/>
            <wp:docPr id="30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7" cstate="print">
                      <a:extLst>
                        <a:ext uri="{28A0092B-C50C-407E-A947-70E740481C1C}">
                          <a14:useLocalDpi xmlns:a14="http://schemas.microsoft.com/office/drawing/2010/main" val="0"/>
                        </a:ext>
                      </a:extLst>
                    </a:blip>
                    <a:srcRect/>
                    <a:stretch>
                      <a:fillRect/>
                    </a:stretch>
                  </pic:blipFill>
                  <pic:spPr bwMode="auto">
                    <a:xfrm>
                      <a:off x="0" y="0"/>
                      <a:ext cx="2067560" cy="586740"/>
                    </a:xfrm>
                    <a:prstGeom prst="rect">
                      <a:avLst/>
                    </a:prstGeom>
                    <a:noFill/>
                    <a:ln>
                      <a:noFill/>
                    </a:ln>
                  </pic:spPr>
                </pic:pic>
              </a:graphicData>
            </a:graphic>
          </wp:inline>
        </w:drawing>
      </w:r>
      <w:r>
        <w:t>; (Щ.5)</w:t>
      </w:r>
    </w:p>
    <w:p w:rsidR="00212513" w:rsidRDefault="00212513">
      <w:pPr>
        <w:pStyle w:val="ConsPlusNormal"/>
        <w:ind w:firstLine="540"/>
        <w:jc w:val="both"/>
      </w:pPr>
    </w:p>
    <w:p w:rsidR="00212513" w:rsidRDefault="00212513">
      <w:pPr>
        <w:pStyle w:val="ConsPlusNormal"/>
        <w:ind w:firstLine="540"/>
        <w:jc w:val="both"/>
      </w:pPr>
      <w:r>
        <w:t>в крайней фибре бетона (растяжение)</w:t>
      </w:r>
    </w:p>
    <w:p w:rsidR="00212513" w:rsidRDefault="00212513">
      <w:pPr>
        <w:pStyle w:val="ConsPlusNormal"/>
        <w:ind w:firstLine="540"/>
        <w:jc w:val="both"/>
      </w:pPr>
    </w:p>
    <w:p w:rsidR="00212513" w:rsidRDefault="00212513">
      <w:pPr>
        <w:pStyle w:val="ConsPlusNormal"/>
        <w:jc w:val="center"/>
      </w:pPr>
      <w:r>
        <w:rPr>
          <w:noProof/>
          <w:position w:val="-27"/>
        </w:rPr>
        <w:drawing>
          <wp:inline distT="0" distB="0" distL="0" distR="0">
            <wp:extent cx="2067560" cy="484505"/>
            <wp:effectExtent l="0" t="0" r="0" b="0"/>
            <wp:docPr id="30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8" cstate="print">
                      <a:extLst>
                        <a:ext uri="{28A0092B-C50C-407E-A947-70E740481C1C}">
                          <a14:useLocalDpi xmlns:a14="http://schemas.microsoft.com/office/drawing/2010/main" val="0"/>
                        </a:ext>
                      </a:extLst>
                    </a:blip>
                    <a:srcRect/>
                    <a:stretch>
                      <a:fillRect/>
                    </a:stretch>
                  </pic:blipFill>
                  <pic:spPr bwMode="auto">
                    <a:xfrm>
                      <a:off x="0" y="0"/>
                      <a:ext cx="2067560" cy="484505"/>
                    </a:xfrm>
                    <a:prstGeom prst="rect">
                      <a:avLst/>
                    </a:prstGeom>
                    <a:noFill/>
                    <a:ln>
                      <a:noFill/>
                    </a:ln>
                  </pic:spPr>
                </pic:pic>
              </a:graphicData>
            </a:graphic>
          </wp:inline>
        </w:drawing>
      </w:r>
      <w:r>
        <w:t>. (Щ.6)</w:t>
      </w:r>
    </w:p>
    <w:p w:rsidR="00212513" w:rsidRDefault="00212513">
      <w:pPr>
        <w:pStyle w:val="ConsPlusNormal"/>
        <w:ind w:firstLine="540"/>
        <w:jc w:val="both"/>
      </w:pPr>
    </w:p>
    <w:p w:rsidR="00212513" w:rsidRDefault="00212513">
      <w:pPr>
        <w:pStyle w:val="ConsPlusNormal"/>
        <w:jc w:val="center"/>
      </w:pPr>
      <w:r>
        <w:rPr>
          <w:noProof/>
          <w:position w:val="-155"/>
        </w:rPr>
        <w:lastRenderedPageBreak/>
        <w:drawing>
          <wp:inline distT="0" distB="0" distL="0" distR="0">
            <wp:extent cx="5247005" cy="2108835"/>
            <wp:effectExtent l="0" t="0" r="0" b="0"/>
            <wp:docPr id="30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9" cstate="print">
                      <a:extLst>
                        <a:ext uri="{28A0092B-C50C-407E-A947-70E740481C1C}">
                          <a14:useLocalDpi xmlns:a14="http://schemas.microsoft.com/office/drawing/2010/main" val="0"/>
                        </a:ext>
                      </a:extLst>
                    </a:blip>
                    <a:srcRect/>
                    <a:stretch>
                      <a:fillRect/>
                    </a:stretch>
                  </pic:blipFill>
                  <pic:spPr bwMode="auto">
                    <a:xfrm>
                      <a:off x="0" y="0"/>
                      <a:ext cx="5247005" cy="2108835"/>
                    </a:xfrm>
                    <a:prstGeom prst="rect">
                      <a:avLst/>
                    </a:prstGeom>
                    <a:noFill/>
                    <a:ln>
                      <a:noFill/>
                    </a:ln>
                  </pic:spPr>
                </pic:pic>
              </a:graphicData>
            </a:graphic>
          </wp:inline>
        </w:drawing>
      </w:r>
    </w:p>
    <w:p w:rsidR="00212513" w:rsidRDefault="00212513">
      <w:pPr>
        <w:pStyle w:val="ConsPlusNormal"/>
        <w:jc w:val="center"/>
      </w:pPr>
    </w:p>
    <w:p w:rsidR="00212513" w:rsidRDefault="00212513">
      <w:pPr>
        <w:pStyle w:val="ConsPlusNormal"/>
        <w:jc w:val="center"/>
      </w:pPr>
      <w:bookmarkStart w:id="583" w:name="P17294"/>
      <w:bookmarkEnd w:id="583"/>
      <w:r>
        <w:rPr>
          <w:b/>
          <w:i/>
        </w:rPr>
        <w:t>Рисунок Щ.1</w:t>
      </w:r>
      <w:r>
        <w:t xml:space="preserve"> </w:t>
      </w:r>
      <w:r>
        <w:rPr>
          <w:b/>
        </w:rPr>
        <w:t>- Эпюры относительных деформаций</w:t>
      </w:r>
    </w:p>
    <w:p w:rsidR="00212513" w:rsidRDefault="00212513">
      <w:pPr>
        <w:pStyle w:val="ConsPlusNormal"/>
        <w:jc w:val="center"/>
      </w:pPr>
      <w:r>
        <w:rPr>
          <w:b/>
        </w:rPr>
        <w:t>и внутренних напряжений от ползучести бетона</w:t>
      </w:r>
    </w:p>
    <w:p w:rsidR="00212513" w:rsidRDefault="00212513">
      <w:pPr>
        <w:pStyle w:val="ConsPlusNormal"/>
        <w:ind w:firstLine="540"/>
        <w:jc w:val="both"/>
      </w:pPr>
    </w:p>
    <w:p w:rsidR="00212513" w:rsidRDefault="00212513">
      <w:pPr>
        <w:pStyle w:val="ConsPlusNormal"/>
        <w:ind w:firstLine="540"/>
        <w:jc w:val="both"/>
      </w:pPr>
      <w:r>
        <w:t xml:space="preserve">Относительные деформации от ползучести бетона в уровне центра тяжести его сечения </w:t>
      </w:r>
      <w:hyperlink w:anchor="P17294">
        <w:r>
          <w:rPr>
            <w:color w:val="0000FF"/>
          </w:rPr>
          <w:t>(рисунок Щ.1)</w:t>
        </w:r>
      </w:hyperlink>
      <w:r>
        <w:t xml:space="preserve"> надлежит вычислять по следующим формулам:</w:t>
      </w:r>
    </w:p>
    <w:p w:rsidR="00212513" w:rsidRDefault="00212513">
      <w:pPr>
        <w:pStyle w:val="ConsPlusNormal"/>
        <w:spacing w:before="220"/>
        <w:ind w:firstLine="540"/>
        <w:jc w:val="both"/>
      </w:pPr>
      <w:r>
        <w:t>относительные деформации, отвечающие напряжениям в стальной части сечения</w:t>
      </w:r>
    </w:p>
    <w:p w:rsidR="00212513" w:rsidRDefault="00212513">
      <w:pPr>
        <w:pStyle w:val="ConsPlusNormal"/>
        <w:ind w:firstLine="540"/>
        <w:jc w:val="both"/>
      </w:pPr>
    </w:p>
    <w:p w:rsidR="00212513" w:rsidRDefault="00212513">
      <w:pPr>
        <w:pStyle w:val="ConsPlusNormal"/>
        <w:jc w:val="center"/>
      </w:pPr>
      <w:r>
        <w:rPr>
          <w:noProof/>
          <w:position w:val="-27"/>
        </w:rPr>
        <w:drawing>
          <wp:inline distT="0" distB="0" distL="0" distR="0">
            <wp:extent cx="866140" cy="484505"/>
            <wp:effectExtent l="0" t="0" r="0" b="0"/>
            <wp:docPr id="30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0" cstate="print">
                      <a:extLst>
                        <a:ext uri="{28A0092B-C50C-407E-A947-70E740481C1C}">
                          <a14:useLocalDpi xmlns:a14="http://schemas.microsoft.com/office/drawing/2010/main" val="0"/>
                        </a:ext>
                      </a:extLst>
                    </a:blip>
                    <a:srcRect/>
                    <a:stretch>
                      <a:fillRect/>
                    </a:stretch>
                  </pic:blipFill>
                  <pic:spPr bwMode="auto">
                    <a:xfrm>
                      <a:off x="0" y="0"/>
                      <a:ext cx="866140" cy="484505"/>
                    </a:xfrm>
                    <a:prstGeom prst="rect">
                      <a:avLst/>
                    </a:prstGeom>
                    <a:noFill/>
                    <a:ln>
                      <a:noFill/>
                    </a:ln>
                  </pic:spPr>
                </pic:pic>
              </a:graphicData>
            </a:graphic>
          </wp:inline>
        </w:drawing>
      </w:r>
      <w:r>
        <w:t>; (Щ.7)</w:t>
      </w:r>
    </w:p>
    <w:p w:rsidR="00212513" w:rsidRDefault="00212513">
      <w:pPr>
        <w:pStyle w:val="ConsPlusNormal"/>
        <w:ind w:firstLine="540"/>
        <w:jc w:val="both"/>
      </w:pPr>
    </w:p>
    <w:p w:rsidR="00212513" w:rsidRDefault="00212513">
      <w:pPr>
        <w:pStyle w:val="ConsPlusNormal"/>
        <w:ind w:firstLine="540"/>
        <w:jc w:val="both"/>
      </w:pPr>
      <w:r>
        <w:t>относительные деформации, отвечающие напряжениям в бетонной части сечения</w:t>
      </w:r>
    </w:p>
    <w:p w:rsidR="00212513" w:rsidRDefault="00212513">
      <w:pPr>
        <w:pStyle w:val="ConsPlusNormal"/>
        <w:ind w:firstLine="540"/>
        <w:jc w:val="both"/>
      </w:pPr>
    </w:p>
    <w:p w:rsidR="00212513" w:rsidRDefault="00212513">
      <w:pPr>
        <w:pStyle w:val="ConsPlusNormal"/>
        <w:jc w:val="center"/>
      </w:pPr>
      <w:r>
        <w:rPr>
          <w:noProof/>
          <w:position w:val="-28"/>
        </w:rPr>
        <w:drawing>
          <wp:inline distT="0" distB="0" distL="0" distR="0">
            <wp:extent cx="818515" cy="502920"/>
            <wp:effectExtent l="0" t="0" r="0" b="0"/>
            <wp:docPr id="30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1" cstate="print">
                      <a:extLst>
                        <a:ext uri="{28A0092B-C50C-407E-A947-70E740481C1C}">
                          <a14:useLocalDpi xmlns:a14="http://schemas.microsoft.com/office/drawing/2010/main" val="0"/>
                        </a:ext>
                      </a:extLst>
                    </a:blip>
                    <a:srcRect/>
                    <a:stretch>
                      <a:fillRect/>
                    </a:stretch>
                  </pic:blipFill>
                  <pic:spPr bwMode="auto">
                    <a:xfrm>
                      <a:off x="0" y="0"/>
                      <a:ext cx="818515" cy="502920"/>
                    </a:xfrm>
                    <a:prstGeom prst="rect">
                      <a:avLst/>
                    </a:prstGeom>
                    <a:noFill/>
                    <a:ln>
                      <a:noFill/>
                    </a:ln>
                  </pic:spPr>
                </pic:pic>
              </a:graphicData>
            </a:graphic>
          </wp:inline>
        </w:drawing>
      </w:r>
      <w:r>
        <w:t>. (Щ.8)</w:t>
      </w:r>
    </w:p>
    <w:p w:rsidR="00212513" w:rsidRDefault="00212513">
      <w:pPr>
        <w:pStyle w:val="ConsPlusNormal"/>
        <w:ind w:firstLine="540"/>
        <w:jc w:val="both"/>
      </w:pPr>
    </w:p>
    <w:p w:rsidR="00212513" w:rsidRDefault="00212513">
      <w:pPr>
        <w:pStyle w:val="ConsPlusNormal"/>
        <w:ind w:firstLine="540"/>
        <w:jc w:val="both"/>
      </w:pPr>
      <w:r>
        <w:t xml:space="preserve">В </w:t>
      </w:r>
      <w:hyperlink w:anchor="P17270">
        <w:r>
          <w:rPr>
            <w:color w:val="0000FF"/>
          </w:rPr>
          <w:t>формулах (Щ.1)</w:t>
        </w:r>
      </w:hyperlink>
      <w:r>
        <w:t xml:space="preserve"> - (Щ.8):</w:t>
      </w:r>
    </w:p>
    <w:p w:rsidR="00212513" w:rsidRDefault="00212513">
      <w:pPr>
        <w:pStyle w:val="ConsPlusNormal"/>
        <w:spacing w:before="220"/>
        <w:ind w:firstLine="540"/>
        <w:jc w:val="both"/>
      </w:pPr>
      <w:r>
        <w:rPr>
          <w:noProof/>
        </w:rPr>
        <w:drawing>
          <wp:inline distT="0" distB="0" distL="0" distR="0">
            <wp:extent cx="167640" cy="146050"/>
            <wp:effectExtent l="0" t="0" r="0" b="0"/>
            <wp:docPr id="30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2"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t xml:space="preserve">, </w:t>
      </w:r>
      <w:r>
        <w:rPr>
          <w:noProof/>
          <w:position w:val="-7"/>
        </w:rPr>
        <w:drawing>
          <wp:inline distT="0" distB="0" distL="0" distR="0">
            <wp:extent cx="167640" cy="230505"/>
            <wp:effectExtent l="0" t="0" r="0" b="0"/>
            <wp:docPr id="30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3" cstate="print">
                      <a:extLst>
                        <a:ext uri="{28A0092B-C50C-407E-A947-70E740481C1C}">
                          <a14:useLocalDpi xmlns:a14="http://schemas.microsoft.com/office/drawing/2010/main" val="0"/>
                        </a:ext>
                      </a:extLst>
                    </a:blip>
                    <a:srcRect/>
                    <a:stretch>
                      <a:fillRect/>
                    </a:stretch>
                  </pic:blipFill>
                  <pic:spPr bwMode="auto">
                    <a:xfrm>
                      <a:off x="0" y="0"/>
                      <a:ext cx="167640" cy="230505"/>
                    </a:xfrm>
                    <a:prstGeom prst="rect">
                      <a:avLst/>
                    </a:prstGeom>
                    <a:noFill/>
                    <a:ln>
                      <a:noFill/>
                    </a:ln>
                  </pic:spPr>
                </pic:pic>
              </a:graphicData>
            </a:graphic>
          </wp:inline>
        </w:drawing>
      </w:r>
      <w:r>
        <w:t xml:space="preserve">, </w:t>
      </w:r>
      <w:r>
        <w:rPr>
          <w:noProof/>
        </w:rPr>
        <w:drawing>
          <wp:inline distT="0" distB="0" distL="0" distR="0">
            <wp:extent cx="146685" cy="146050"/>
            <wp:effectExtent l="0" t="0" r="0" b="0"/>
            <wp:docPr id="30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4"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xml:space="preserve"> - параметры, связанные с податливостью бетонной и стальной частей сечения и определяемые из выражений:</w:t>
      </w:r>
    </w:p>
    <w:p w:rsidR="00212513" w:rsidRDefault="00212513">
      <w:pPr>
        <w:pStyle w:val="ConsPlusNormal"/>
        <w:ind w:firstLine="540"/>
        <w:jc w:val="both"/>
      </w:pPr>
    </w:p>
    <w:p w:rsidR="00212513" w:rsidRDefault="00212513">
      <w:pPr>
        <w:pStyle w:val="ConsPlusNormal"/>
        <w:jc w:val="center"/>
      </w:pPr>
      <w:r>
        <w:rPr>
          <w:noProof/>
          <w:position w:val="-27"/>
        </w:rPr>
        <w:drawing>
          <wp:inline distT="0" distB="0" distL="0" distR="0">
            <wp:extent cx="1215390" cy="484505"/>
            <wp:effectExtent l="0" t="0" r="0" b="0"/>
            <wp:docPr id="30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5" cstate="print">
                      <a:extLst>
                        <a:ext uri="{28A0092B-C50C-407E-A947-70E740481C1C}">
                          <a14:useLocalDpi xmlns:a14="http://schemas.microsoft.com/office/drawing/2010/main" val="0"/>
                        </a:ext>
                      </a:extLst>
                    </a:blip>
                    <a:srcRect/>
                    <a:stretch>
                      <a:fillRect/>
                    </a:stretch>
                  </pic:blipFill>
                  <pic:spPr bwMode="auto">
                    <a:xfrm>
                      <a:off x="0" y="0"/>
                      <a:ext cx="1215390" cy="484505"/>
                    </a:xfrm>
                    <a:prstGeom prst="rect">
                      <a:avLst/>
                    </a:prstGeom>
                    <a:noFill/>
                    <a:ln>
                      <a:noFill/>
                    </a:ln>
                  </pic:spPr>
                </pic:pic>
              </a:graphicData>
            </a:graphic>
          </wp:inline>
        </w:drawing>
      </w:r>
      <w:r>
        <w:t>; (Щ.9)</w:t>
      </w:r>
    </w:p>
    <w:p w:rsidR="00212513" w:rsidRDefault="00212513">
      <w:pPr>
        <w:pStyle w:val="ConsPlusNormal"/>
        <w:ind w:firstLine="540"/>
        <w:jc w:val="both"/>
      </w:pPr>
    </w:p>
    <w:p w:rsidR="00212513" w:rsidRDefault="00212513">
      <w:pPr>
        <w:pStyle w:val="ConsPlusNormal"/>
        <w:jc w:val="center"/>
      </w:pPr>
      <w:r>
        <w:rPr>
          <w:noProof/>
          <w:position w:val="-7"/>
        </w:rPr>
        <w:drawing>
          <wp:inline distT="0" distB="0" distL="0" distR="0">
            <wp:extent cx="544830" cy="230505"/>
            <wp:effectExtent l="0" t="0" r="0" b="0"/>
            <wp:docPr id="30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6" cstate="print">
                      <a:extLst>
                        <a:ext uri="{28A0092B-C50C-407E-A947-70E740481C1C}">
                          <a14:useLocalDpi xmlns:a14="http://schemas.microsoft.com/office/drawing/2010/main" val="0"/>
                        </a:ext>
                      </a:extLst>
                    </a:blip>
                    <a:srcRect/>
                    <a:stretch>
                      <a:fillRect/>
                    </a:stretch>
                  </pic:blipFill>
                  <pic:spPr bwMode="auto">
                    <a:xfrm>
                      <a:off x="0" y="0"/>
                      <a:ext cx="544830" cy="230505"/>
                    </a:xfrm>
                    <a:prstGeom prst="rect">
                      <a:avLst/>
                    </a:prstGeom>
                    <a:noFill/>
                    <a:ln>
                      <a:noFill/>
                    </a:ln>
                  </pic:spPr>
                </pic:pic>
              </a:graphicData>
            </a:graphic>
          </wp:inline>
        </w:drawing>
      </w:r>
      <w:r>
        <w:t>; (Щ.10)</w:t>
      </w:r>
    </w:p>
    <w:p w:rsidR="00212513" w:rsidRDefault="00212513">
      <w:pPr>
        <w:pStyle w:val="ConsPlusNormal"/>
        <w:ind w:firstLine="540"/>
        <w:jc w:val="both"/>
      </w:pPr>
    </w:p>
    <w:p w:rsidR="00212513" w:rsidRDefault="00212513">
      <w:pPr>
        <w:pStyle w:val="ConsPlusNormal"/>
        <w:jc w:val="center"/>
      </w:pPr>
      <w:r>
        <w:rPr>
          <w:noProof/>
          <w:position w:val="-33"/>
        </w:rPr>
        <w:drawing>
          <wp:inline distT="0" distB="0" distL="0" distR="0">
            <wp:extent cx="1369060" cy="564515"/>
            <wp:effectExtent l="0" t="0" r="0" b="0"/>
            <wp:docPr id="30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7" cstate="print">
                      <a:extLst>
                        <a:ext uri="{28A0092B-C50C-407E-A947-70E740481C1C}">
                          <a14:useLocalDpi xmlns:a14="http://schemas.microsoft.com/office/drawing/2010/main" val="0"/>
                        </a:ext>
                      </a:extLst>
                    </a:blip>
                    <a:srcRect/>
                    <a:stretch>
                      <a:fillRect/>
                    </a:stretch>
                  </pic:blipFill>
                  <pic:spPr bwMode="auto">
                    <a:xfrm>
                      <a:off x="0" y="0"/>
                      <a:ext cx="1369060" cy="564515"/>
                    </a:xfrm>
                    <a:prstGeom prst="rect">
                      <a:avLst/>
                    </a:prstGeom>
                    <a:noFill/>
                    <a:ln>
                      <a:noFill/>
                    </a:ln>
                  </pic:spPr>
                </pic:pic>
              </a:graphicData>
            </a:graphic>
          </wp:inline>
        </w:drawing>
      </w:r>
      <w:r>
        <w:t>; (Щ.11)</w:t>
      </w:r>
    </w:p>
    <w:p w:rsidR="00212513" w:rsidRDefault="00212513">
      <w:pPr>
        <w:pStyle w:val="ConsPlusNormal"/>
        <w:ind w:firstLine="540"/>
        <w:jc w:val="both"/>
      </w:pPr>
    </w:p>
    <w:p w:rsidR="00212513" w:rsidRDefault="00212513">
      <w:pPr>
        <w:pStyle w:val="ConsPlusNormal"/>
        <w:ind w:firstLine="540"/>
        <w:jc w:val="both"/>
      </w:pPr>
      <w:r>
        <w:rPr>
          <w:noProof/>
          <w:position w:val="-10"/>
        </w:rPr>
        <w:drawing>
          <wp:inline distT="0" distB="0" distL="0" distR="0">
            <wp:extent cx="866140" cy="273685"/>
            <wp:effectExtent l="0" t="0" r="0" b="0"/>
            <wp:docPr id="30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8" cstate="print">
                      <a:extLst>
                        <a:ext uri="{28A0092B-C50C-407E-A947-70E740481C1C}">
                          <a14:useLocalDpi xmlns:a14="http://schemas.microsoft.com/office/drawing/2010/main" val="0"/>
                        </a:ext>
                      </a:extLst>
                    </a:blip>
                    <a:srcRect/>
                    <a:stretch>
                      <a:fillRect/>
                    </a:stretch>
                  </pic:blipFill>
                  <pic:spPr bwMode="auto">
                    <a:xfrm>
                      <a:off x="0" y="0"/>
                      <a:ext cx="866140" cy="273685"/>
                    </a:xfrm>
                    <a:prstGeom prst="rect">
                      <a:avLst/>
                    </a:prstGeom>
                    <a:noFill/>
                    <a:ln>
                      <a:noFill/>
                    </a:ln>
                  </pic:spPr>
                </pic:pic>
              </a:graphicData>
            </a:graphic>
          </wp:inline>
        </w:drawing>
      </w:r>
      <w:r>
        <w:t xml:space="preserve"> - предельная характеристика ползучести бетона;</w:t>
      </w:r>
    </w:p>
    <w:p w:rsidR="00212513" w:rsidRDefault="00212513">
      <w:pPr>
        <w:pStyle w:val="ConsPlusNormal"/>
        <w:spacing w:before="220"/>
        <w:ind w:firstLine="540"/>
        <w:jc w:val="both"/>
      </w:pPr>
      <w:r>
        <w:rPr>
          <w:noProof/>
          <w:position w:val="-10"/>
        </w:rPr>
        <w:drawing>
          <wp:inline distT="0" distB="0" distL="0" distR="0">
            <wp:extent cx="209550" cy="273685"/>
            <wp:effectExtent l="0" t="0" r="0" b="0"/>
            <wp:docPr id="30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9" cstate="print">
                      <a:extLst>
                        <a:ext uri="{28A0092B-C50C-407E-A947-70E740481C1C}">
                          <a14:useLocalDpi xmlns:a14="http://schemas.microsoft.com/office/drawing/2010/main" val="0"/>
                        </a:ext>
                      </a:extLst>
                    </a:blip>
                    <a:srcRect/>
                    <a:stretch>
                      <a:fillRect/>
                    </a:stretch>
                  </pic:blipFill>
                  <pic:spPr bwMode="auto">
                    <a:xfrm>
                      <a:off x="0" y="0"/>
                      <a:ext cx="209550" cy="273685"/>
                    </a:xfrm>
                    <a:prstGeom prst="rect">
                      <a:avLst/>
                    </a:prstGeom>
                    <a:noFill/>
                    <a:ln>
                      <a:noFill/>
                    </a:ln>
                  </pic:spPr>
                </pic:pic>
              </a:graphicData>
            </a:graphic>
          </wp:inline>
        </w:drawing>
      </w:r>
      <w:r>
        <w:t xml:space="preserve"> - принимается по </w:t>
      </w:r>
      <w:hyperlink w:anchor="P1067">
        <w:r>
          <w:rPr>
            <w:color w:val="0000FF"/>
          </w:rPr>
          <w:t>таблице 6.4</w:t>
        </w:r>
      </w:hyperlink>
      <w:r>
        <w:t>;</w:t>
      </w:r>
    </w:p>
    <w:p w:rsidR="00212513" w:rsidRDefault="00212513">
      <w:pPr>
        <w:pStyle w:val="ConsPlusNormal"/>
        <w:jc w:val="both"/>
      </w:pPr>
      <w:r>
        <w:t xml:space="preserve">(в ред. </w:t>
      </w:r>
      <w:hyperlink r:id="rId3800">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rPr>
          <w:noProof/>
          <w:position w:val="-9"/>
        </w:rPr>
        <w:drawing>
          <wp:inline distT="0" distB="0" distL="0" distR="0">
            <wp:extent cx="177800" cy="261620"/>
            <wp:effectExtent l="0" t="0" r="0" b="0"/>
            <wp:docPr id="30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1"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 нормативная деформация ползучести бетона, определяемая по </w:t>
      </w:r>
      <w:hyperlink w:anchor="P2157">
        <w:r>
          <w:rPr>
            <w:color w:val="0000FF"/>
          </w:rPr>
          <w:t>7.15</w:t>
        </w:r>
      </w:hyperlink>
      <w:r>
        <w:t xml:space="preserve"> и </w:t>
      </w:r>
      <w:hyperlink w:anchor="P14438">
        <w:r>
          <w:rPr>
            <w:color w:val="0000FF"/>
          </w:rPr>
          <w:t>приложению Р</w:t>
        </w:r>
      </w:hyperlink>
      <w:r>
        <w:t xml:space="preserve"> </w:t>
      </w:r>
      <w:r>
        <w:lastRenderedPageBreak/>
        <w:t xml:space="preserve">при уточнении с учетом </w:t>
      </w:r>
      <w:hyperlink w:anchor="P14651">
        <w:r>
          <w:rPr>
            <w:color w:val="0000FF"/>
          </w:rPr>
          <w:t>приложения Т</w:t>
        </w:r>
      </w:hyperlink>
      <w:r>
        <w:t>;</w:t>
      </w:r>
    </w:p>
    <w:p w:rsidR="00212513" w:rsidRDefault="00212513">
      <w:pPr>
        <w:pStyle w:val="ConsPlusNormal"/>
        <w:spacing w:before="220"/>
        <w:ind w:firstLine="540"/>
        <w:jc w:val="both"/>
      </w:pPr>
      <w:r>
        <w:rPr>
          <w:noProof/>
          <w:position w:val="-8"/>
        </w:rPr>
        <w:drawing>
          <wp:inline distT="0" distB="0" distL="0" distR="0">
            <wp:extent cx="251460" cy="251460"/>
            <wp:effectExtent l="0" t="0" r="0" b="0"/>
            <wp:docPr id="30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2"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w:t>
      </w:r>
      <w:r>
        <w:rPr>
          <w:noProof/>
          <w:position w:val="-10"/>
        </w:rPr>
        <w:drawing>
          <wp:inline distT="0" distB="0" distL="0" distR="0">
            <wp:extent cx="314960" cy="273685"/>
            <wp:effectExtent l="0" t="0" r="0" b="0"/>
            <wp:docPr id="30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3" cstate="print">
                      <a:extLst>
                        <a:ext uri="{28A0092B-C50C-407E-A947-70E740481C1C}">
                          <a14:useLocalDpi xmlns:a14="http://schemas.microsoft.com/office/drawing/2010/main" val="0"/>
                        </a:ext>
                      </a:extLst>
                    </a:blip>
                    <a:srcRect/>
                    <a:stretch>
                      <a:fillRect/>
                    </a:stretch>
                  </pic:blipFill>
                  <pic:spPr bwMode="auto">
                    <a:xfrm>
                      <a:off x="0" y="0"/>
                      <a:ext cx="314960" cy="273685"/>
                    </a:xfrm>
                    <a:prstGeom prst="rect">
                      <a:avLst/>
                    </a:prstGeom>
                    <a:noFill/>
                    <a:ln>
                      <a:noFill/>
                    </a:ln>
                  </pic:spPr>
                </pic:pic>
              </a:graphicData>
            </a:graphic>
          </wp:inline>
        </w:drawing>
      </w:r>
      <w:r>
        <w:t xml:space="preserve"> - начальное напряжение сжатия соответственно на уровне центра тяжести сечения и в крайней фибре бетона от постоянных нагрузок и воздействий;</w:t>
      </w:r>
    </w:p>
    <w:p w:rsidR="00212513" w:rsidRDefault="00212513">
      <w:pPr>
        <w:pStyle w:val="ConsPlusNormal"/>
        <w:jc w:val="both"/>
      </w:pPr>
      <w:r>
        <w:t xml:space="preserve">(в ред. </w:t>
      </w:r>
      <w:hyperlink r:id="rId3804">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rPr>
          <w:noProof/>
          <w:position w:val="-10"/>
        </w:rPr>
        <w:drawing>
          <wp:inline distT="0" distB="0" distL="0" distR="0">
            <wp:extent cx="419100" cy="273685"/>
            <wp:effectExtent l="0" t="0" r="0" b="0"/>
            <wp:docPr id="30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5" cstate="print">
                      <a:extLst>
                        <a:ext uri="{28A0092B-C50C-407E-A947-70E740481C1C}">
                          <a14:useLocalDpi xmlns:a14="http://schemas.microsoft.com/office/drawing/2010/main" val="0"/>
                        </a:ext>
                      </a:extLst>
                    </a:blip>
                    <a:srcRect/>
                    <a:stretch>
                      <a:fillRect/>
                    </a:stretch>
                  </pic:blipFill>
                  <pic:spPr bwMode="auto">
                    <a:xfrm>
                      <a:off x="0" y="0"/>
                      <a:ext cx="419100" cy="273685"/>
                    </a:xfrm>
                    <a:prstGeom prst="rect">
                      <a:avLst/>
                    </a:prstGeom>
                    <a:noFill/>
                    <a:ln>
                      <a:noFill/>
                    </a:ln>
                  </pic:spPr>
                </pic:pic>
              </a:graphicData>
            </a:graphic>
          </wp:inline>
        </w:drawing>
      </w:r>
      <w:r>
        <w:t xml:space="preserve"> - условное напряжение в уровне крайней фибры бетона, определяемое из выражения</w:t>
      </w:r>
    </w:p>
    <w:p w:rsidR="00212513" w:rsidRDefault="00212513">
      <w:pPr>
        <w:pStyle w:val="ConsPlusNormal"/>
        <w:ind w:firstLine="540"/>
        <w:jc w:val="both"/>
      </w:pPr>
    </w:p>
    <w:p w:rsidR="00212513" w:rsidRDefault="00212513">
      <w:pPr>
        <w:pStyle w:val="ConsPlusNormal"/>
        <w:jc w:val="center"/>
      </w:pPr>
      <w:r>
        <w:rPr>
          <w:noProof/>
          <w:position w:val="-31"/>
        </w:rPr>
        <w:drawing>
          <wp:inline distT="0" distB="0" distL="0" distR="0">
            <wp:extent cx="2221230" cy="534670"/>
            <wp:effectExtent l="0" t="0" r="0" b="0"/>
            <wp:docPr id="30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6" cstate="print">
                      <a:extLst>
                        <a:ext uri="{28A0092B-C50C-407E-A947-70E740481C1C}">
                          <a14:useLocalDpi xmlns:a14="http://schemas.microsoft.com/office/drawing/2010/main" val="0"/>
                        </a:ext>
                      </a:extLst>
                    </a:blip>
                    <a:srcRect/>
                    <a:stretch>
                      <a:fillRect/>
                    </a:stretch>
                  </pic:blipFill>
                  <pic:spPr bwMode="auto">
                    <a:xfrm>
                      <a:off x="0" y="0"/>
                      <a:ext cx="2221230" cy="534670"/>
                    </a:xfrm>
                    <a:prstGeom prst="rect">
                      <a:avLst/>
                    </a:prstGeom>
                    <a:noFill/>
                    <a:ln>
                      <a:noFill/>
                    </a:ln>
                  </pic:spPr>
                </pic:pic>
              </a:graphicData>
            </a:graphic>
          </wp:inline>
        </w:drawing>
      </w:r>
      <w:r>
        <w:t>; (Щ.12)</w:t>
      </w:r>
    </w:p>
    <w:p w:rsidR="00212513" w:rsidRDefault="00212513">
      <w:pPr>
        <w:pStyle w:val="ConsPlusNormal"/>
        <w:jc w:val="center"/>
      </w:pPr>
    </w:p>
    <w:p w:rsidR="00212513" w:rsidRDefault="00212513">
      <w:pPr>
        <w:pStyle w:val="ConsPlusNormal"/>
        <w:jc w:val="center"/>
      </w:pPr>
      <w:r>
        <w:t xml:space="preserve">(в ред. </w:t>
      </w:r>
      <w:hyperlink r:id="rId3807">
        <w:r>
          <w:rPr>
            <w:color w:val="0000FF"/>
          </w:rPr>
          <w:t>Изменения N 4</w:t>
        </w:r>
      </w:hyperlink>
      <w:r>
        <w:t>, утв. Приказом</w:t>
      </w:r>
    </w:p>
    <w:p w:rsidR="00212513" w:rsidRDefault="00212513">
      <w:pPr>
        <w:pStyle w:val="ConsPlusNormal"/>
        <w:jc w:val="center"/>
      </w:pPr>
      <w:r>
        <w:t>Минстроя России от 30.05.2024 N 361/пр)</w:t>
      </w:r>
    </w:p>
    <w:p w:rsidR="00212513" w:rsidRDefault="00212513">
      <w:pPr>
        <w:pStyle w:val="ConsPlusNormal"/>
        <w:ind w:firstLine="540"/>
        <w:jc w:val="both"/>
      </w:pPr>
    </w:p>
    <w:p w:rsidR="00212513" w:rsidRDefault="00212513">
      <w:pPr>
        <w:pStyle w:val="ConsPlusNormal"/>
        <w:ind w:firstLine="540"/>
        <w:jc w:val="both"/>
      </w:pPr>
      <w:r>
        <w:rPr>
          <w:noProof/>
          <w:position w:val="-9"/>
        </w:rPr>
        <w:drawing>
          <wp:inline distT="0" distB="0" distL="0" distR="0">
            <wp:extent cx="230505" cy="261620"/>
            <wp:effectExtent l="0" t="0" r="0" b="0"/>
            <wp:docPr id="30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8" cstate="print">
                      <a:extLst>
                        <a:ext uri="{28A0092B-C50C-407E-A947-70E740481C1C}">
                          <a14:useLocalDpi xmlns:a14="http://schemas.microsoft.com/office/drawing/2010/main" val="0"/>
                        </a:ext>
                      </a:extLst>
                    </a:blip>
                    <a:srcRect/>
                    <a:stretch>
                      <a:fillRect/>
                    </a:stretch>
                  </pic:blipFill>
                  <pic:spPr bwMode="auto">
                    <a:xfrm>
                      <a:off x="0" y="0"/>
                      <a:ext cx="230505" cy="261620"/>
                    </a:xfrm>
                    <a:prstGeom prst="rect">
                      <a:avLst/>
                    </a:prstGeom>
                    <a:noFill/>
                    <a:ln>
                      <a:noFill/>
                    </a:ln>
                  </pic:spPr>
                </pic:pic>
              </a:graphicData>
            </a:graphic>
          </wp:inline>
        </w:drawing>
      </w:r>
      <w:r>
        <w:t xml:space="preserve">, </w:t>
      </w:r>
      <w:r>
        <w:rPr>
          <w:noProof/>
          <w:position w:val="-7"/>
        </w:rPr>
        <w:drawing>
          <wp:inline distT="0" distB="0" distL="0" distR="0">
            <wp:extent cx="177165" cy="240665"/>
            <wp:effectExtent l="0" t="0" r="0" b="0"/>
            <wp:docPr id="30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9"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w:t>
      </w:r>
      <w:r>
        <w:rPr>
          <w:noProof/>
          <w:position w:val="-10"/>
        </w:rPr>
        <w:drawing>
          <wp:inline distT="0" distB="0" distL="0" distR="0">
            <wp:extent cx="356235" cy="273685"/>
            <wp:effectExtent l="0" t="0" r="0" b="0"/>
            <wp:docPr id="30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0" cstate="print">
                      <a:extLst>
                        <a:ext uri="{28A0092B-C50C-407E-A947-70E740481C1C}">
                          <a14:useLocalDpi xmlns:a14="http://schemas.microsoft.com/office/drawing/2010/main" val="0"/>
                        </a:ext>
                      </a:extLst>
                    </a:blip>
                    <a:srcRect/>
                    <a:stretch>
                      <a:fillRect/>
                    </a:stretch>
                  </pic:blipFill>
                  <pic:spPr bwMode="auto">
                    <a:xfrm>
                      <a:off x="0" y="0"/>
                      <a:ext cx="356235" cy="273685"/>
                    </a:xfrm>
                    <a:prstGeom prst="rect">
                      <a:avLst/>
                    </a:prstGeom>
                    <a:noFill/>
                    <a:ln>
                      <a:noFill/>
                    </a:ln>
                  </pic:spPr>
                </pic:pic>
              </a:graphicData>
            </a:graphic>
          </wp:inline>
        </w:drawing>
      </w:r>
      <w:r>
        <w:t xml:space="preserve">, </w:t>
      </w:r>
      <w:r>
        <w:rPr>
          <w:noProof/>
          <w:position w:val="-10"/>
        </w:rPr>
        <w:drawing>
          <wp:inline distT="0" distB="0" distL="0" distR="0">
            <wp:extent cx="377190" cy="273685"/>
            <wp:effectExtent l="0" t="0" r="0" b="0"/>
            <wp:docPr id="30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1" cstate="print">
                      <a:extLst>
                        <a:ext uri="{28A0092B-C50C-407E-A947-70E740481C1C}">
                          <a14:useLocalDpi xmlns:a14="http://schemas.microsoft.com/office/drawing/2010/main" val="0"/>
                        </a:ext>
                      </a:extLst>
                    </a:blip>
                    <a:srcRect/>
                    <a:stretch>
                      <a:fillRect/>
                    </a:stretch>
                  </pic:blipFill>
                  <pic:spPr bwMode="auto">
                    <a:xfrm>
                      <a:off x="0" y="0"/>
                      <a:ext cx="377190" cy="273685"/>
                    </a:xfrm>
                    <a:prstGeom prst="rect">
                      <a:avLst/>
                    </a:prstGeom>
                    <a:noFill/>
                    <a:ln>
                      <a:noFill/>
                    </a:ln>
                  </pic:spPr>
                </pic:pic>
              </a:graphicData>
            </a:graphic>
          </wp:inline>
        </w:drawing>
      </w:r>
      <w:r>
        <w:t xml:space="preserve">, </w:t>
      </w:r>
      <w:r>
        <w:rPr>
          <w:noProof/>
          <w:position w:val="-10"/>
        </w:rPr>
        <w:drawing>
          <wp:inline distT="0" distB="0" distL="0" distR="0">
            <wp:extent cx="377190" cy="273685"/>
            <wp:effectExtent l="0" t="0" r="0" b="0"/>
            <wp:docPr id="30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2" cstate="print">
                      <a:extLst>
                        <a:ext uri="{28A0092B-C50C-407E-A947-70E740481C1C}">
                          <a14:useLocalDpi xmlns:a14="http://schemas.microsoft.com/office/drawing/2010/main" val="0"/>
                        </a:ext>
                      </a:extLst>
                    </a:blip>
                    <a:srcRect/>
                    <a:stretch>
                      <a:fillRect/>
                    </a:stretch>
                  </pic:blipFill>
                  <pic:spPr bwMode="auto">
                    <a:xfrm>
                      <a:off x="0" y="0"/>
                      <a:ext cx="377190" cy="273685"/>
                    </a:xfrm>
                    <a:prstGeom prst="rect">
                      <a:avLst/>
                    </a:prstGeom>
                    <a:noFill/>
                    <a:ln>
                      <a:noFill/>
                    </a:ln>
                  </pic:spPr>
                </pic:pic>
              </a:graphicData>
            </a:graphic>
          </wp:inline>
        </w:drawing>
      </w:r>
      <w:r>
        <w:t xml:space="preserve"> - соответственно площадь, момент инерции, моменты сопротивления нижнего и верхнего поясов балки и крайнего ряда арматуры брутто стальной части сечения, включая арматуру;</w:t>
      </w:r>
    </w:p>
    <w:p w:rsidR="00212513" w:rsidRDefault="00212513">
      <w:pPr>
        <w:pStyle w:val="ConsPlusNormal"/>
        <w:spacing w:before="220"/>
        <w:ind w:firstLine="540"/>
        <w:jc w:val="both"/>
      </w:pPr>
      <w:r>
        <w:rPr>
          <w:noProof/>
          <w:position w:val="-10"/>
        </w:rPr>
        <w:drawing>
          <wp:inline distT="0" distB="0" distL="0" distR="0">
            <wp:extent cx="866140" cy="273685"/>
            <wp:effectExtent l="0" t="0" r="0" b="0"/>
            <wp:docPr id="30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3" cstate="print">
                      <a:extLst>
                        <a:ext uri="{28A0092B-C50C-407E-A947-70E740481C1C}">
                          <a14:useLocalDpi xmlns:a14="http://schemas.microsoft.com/office/drawing/2010/main" val="0"/>
                        </a:ext>
                      </a:extLst>
                    </a:blip>
                    <a:srcRect/>
                    <a:stretch>
                      <a:fillRect/>
                    </a:stretch>
                  </pic:blipFill>
                  <pic:spPr bwMode="auto">
                    <a:xfrm>
                      <a:off x="0" y="0"/>
                      <a:ext cx="866140" cy="273685"/>
                    </a:xfrm>
                    <a:prstGeom prst="rect">
                      <a:avLst/>
                    </a:prstGeom>
                    <a:noFill/>
                    <a:ln>
                      <a:noFill/>
                    </a:ln>
                  </pic:spPr>
                </pic:pic>
              </a:graphicData>
            </a:graphic>
          </wp:inline>
        </w:drawing>
      </w:r>
      <w:r>
        <w:t xml:space="preserve"> - коэффициент приведения по </w:t>
      </w:r>
      <w:hyperlink w:anchor="P9494">
        <w:r>
          <w:rPr>
            <w:color w:val="0000FF"/>
          </w:rPr>
          <w:t>9.16</w:t>
        </w:r>
      </w:hyperlink>
      <w:r>
        <w:t>.</w:t>
      </w:r>
    </w:p>
    <w:p w:rsidR="00212513" w:rsidRDefault="00212513">
      <w:pPr>
        <w:pStyle w:val="ConsPlusNormal"/>
        <w:spacing w:before="220"/>
        <w:ind w:firstLine="540"/>
        <w:jc w:val="both"/>
      </w:pPr>
      <w:r>
        <w:t xml:space="preserve">Остальные обозначения соответствуют </w:t>
      </w:r>
      <w:hyperlink w:anchor="P9315">
        <w:r>
          <w:rPr>
            <w:color w:val="0000FF"/>
          </w:rPr>
          <w:t>9.5</w:t>
        </w:r>
      </w:hyperlink>
      <w:r>
        <w:t xml:space="preserve"> и </w:t>
      </w:r>
      <w:hyperlink w:anchor="P9506">
        <w:r>
          <w:rPr>
            <w:color w:val="0000FF"/>
          </w:rPr>
          <w:t>9.19</w:t>
        </w:r>
      </w:hyperlink>
      <w:r>
        <w:t xml:space="preserve"> и </w:t>
      </w:r>
      <w:hyperlink w:anchor="P17270">
        <w:r>
          <w:rPr>
            <w:color w:val="0000FF"/>
          </w:rPr>
          <w:t>рисунку Щ.1</w:t>
        </w:r>
      </w:hyperlink>
      <w:r>
        <w:t>.</w:t>
      </w:r>
    </w:p>
    <w:p w:rsidR="00212513" w:rsidRDefault="00212513">
      <w:pPr>
        <w:pStyle w:val="ConsPlusNormal"/>
        <w:spacing w:before="220"/>
        <w:ind w:firstLine="540"/>
        <w:jc w:val="both"/>
      </w:pPr>
      <w:bookmarkStart w:id="584" w:name="P17331"/>
      <w:bookmarkEnd w:id="584"/>
      <w:r>
        <w:t xml:space="preserve">Щ.2 Ползучесть бетона допускается учитывать введением в расчет условного модуля упругости бетона </w:t>
      </w:r>
      <w:r>
        <w:rPr>
          <w:noProof/>
          <w:position w:val="-10"/>
        </w:rPr>
        <w:drawing>
          <wp:inline distT="0" distB="0" distL="0" distR="0">
            <wp:extent cx="377190" cy="273685"/>
            <wp:effectExtent l="0" t="0" r="0" b="0"/>
            <wp:docPr id="30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4" cstate="print">
                      <a:extLst>
                        <a:ext uri="{28A0092B-C50C-407E-A947-70E740481C1C}">
                          <a14:useLocalDpi xmlns:a14="http://schemas.microsoft.com/office/drawing/2010/main" val="0"/>
                        </a:ext>
                      </a:extLst>
                    </a:blip>
                    <a:srcRect/>
                    <a:stretch>
                      <a:fillRect/>
                    </a:stretch>
                  </pic:blipFill>
                  <pic:spPr bwMode="auto">
                    <a:xfrm>
                      <a:off x="0" y="0"/>
                      <a:ext cx="377190" cy="273685"/>
                    </a:xfrm>
                    <a:prstGeom prst="rect">
                      <a:avLst/>
                    </a:prstGeom>
                    <a:noFill/>
                    <a:ln>
                      <a:noFill/>
                    </a:ln>
                  </pic:spPr>
                </pic:pic>
              </a:graphicData>
            </a:graphic>
          </wp:inline>
        </w:drawing>
      </w:r>
      <w:r>
        <w:t xml:space="preserve">, если в статически определимой конструкции все постоянные нагрузки, вызывающие напряжение в бетоне, прикладываются в одной стадии и при одной и той же схеме работы. Модуль </w:t>
      </w:r>
      <w:r>
        <w:rPr>
          <w:noProof/>
          <w:position w:val="-10"/>
        </w:rPr>
        <w:drawing>
          <wp:inline distT="0" distB="0" distL="0" distR="0">
            <wp:extent cx="377190" cy="273685"/>
            <wp:effectExtent l="0" t="0" r="0" b="0"/>
            <wp:docPr id="30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4" cstate="print">
                      <a:extLst>
                        <a:ext uri="{28A0092B-C50C-407E-A947-70E740481C1C}">
                          <a14:useLocalDpi xmlns:a14="http://schemas.microsoft.com/office/drawing/2010/main" val="0"/>
                        </a:ext>
                      </a:extLst>
                    </a:blip>
                    <a:srcRect/>
                    <a:stretch>
                      <a:fillRect/>
                    </a:stretch>
                  </pic:blipFill>
                  <pic:spPr bwMode="auto">
                    <a:xfrm>
                      <a:off x="0" y="0"/>
                      <a:ext cx="377190" cy="273685"/>
                    </a:xfrm>
                    <a:prstGeom prst="rect">
                      <a:avLst/>
                    </a:prstGeom>
                    <a:noFill/>
                    <a:ln>
                      <a:noFill/>
                    </a:ln>
                  </pic:spPr>
                </pic:pic>
              </a:graphicData>
            </a:graphic>
          </wp:inline>
        </w:drawing>
      </w:r>
      <w:r>
        <w:t xml:space="preserve"> следует определять по формуле</w:t>
      </w:r>
    </w:p>
    <w:p w:rsidR="00212513" w:rsidRDefault="00212513">
      <w:pPr>
        <w:pStyle w:val="ConsPlusNormal"/>
        <w:ind w:firstLine="540"/>
        <w:jc w:val="both"/>
      </w:pPr>
    </w:p>
    <w:p w:rsidR="00212513" w:rsidRDefault="00212513">
      <w:pPr>
        <w:pStyle w:val="ConsPlusNormal"/>
        <w:jc w:val="center"/>
      </w:pPr>
      <w:r>
        <w:rPr>
          <w:noProof/>
          <w:position w:val="-27"/>
        </w:rPr>
        <w:drawing>
          <wp:inline distT="0" distB="0" distL="0" distR="0">
            <wp:extent cx="2137410" cy="484505"/>
            <wp:effectExtent l="0" t="0" r="0" b="0"/>
            <wp:docPr id="30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5" cstate="print">
                      <a:extLst>
                        <a:ext uri="{28A0092B-C50C-407E-A947-70E740481C1C}">
                          <a14:useLocalDpi xmlns:a14="http://schemas.microsoft.com/office/drawing/2010/main" val="0"/>
                        </a:ext>
                      </a:extLst>
                    </a:blip>
                    <a:srcRect/>
                    <a:stretch>
                      <a:fillRect/>
                    </a:stretch>
                  </pic:blipFill>
                  <pic:spPr bwMode="auto">
                    <a:xfrm>
                      <a:off x="0" y="0"/>
                      <a:ext cx="2137410" cy="484505"/>
                    </a:xfrm>
                    <a:prstGeom prst="rect">
                      <a:avLst/>
                    </a:prstGeom>
                    <a:noFill/>
                    <a:ln>
                      <a:noFill/>
                    </a:ln>
                  </pic:spPr>
                </pic:pic>
              </a:graphicData>
            </a:graphic>
          </wp:inline>
        </w:drawing>
      </w:r>
      <w:r>
        <w:t>, (Щ.13)</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rPr>
        <w:drawing>
          <wp:inline distT="0" distB="0" distL="0" distR="0">
            <wp:extent cx="146685" cy="146050"/>
            <wp:effectExtent l="0" t="0" r="0" b="0"/>
            <wp:docPr id="30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6" cstate="print">
                      <a:extLst>
                        <a:ext uri="{28A0092B-C50C-407E-A947-70E740481C1C}">
                          <a14:useLocalDpi xmlns:a14="http://schemas.microsoft.com/office/drawing/2010/main" val="0"/>
                        </a:ext>
                      </a:extLst>
                    </a:blip>
                    <a:srcRect/>
                    <a:stretch>
                      <a:fillRect/>
                    </a:stretch>
                  </pic:blipFill>
                  <pic:spPr bwMode="auto">
                    <a:xfrm>
                      <a:off x="0" y="0"/>
                      <a:ext cx="146685" cy="146050"/>
                    </a:xfrm>
                    <a:prstGeom prst="rect">
                      <a:avLst/>
                    </a:prstGeom>
                    <a:noFill/>
                    <a:ln>
                      <a:noFill/>
                    </a:ln>
                  </pic:spPr>
                </pic:pic>
              </a:graphicData>
            </a:graphic>
          </wp:inline>
        </w:drawing>
      </w:r>
      <w:r>
        <w:t xml:space="preserve">, </w:t>
      </w:r>
      <w:r>
        <w:rPr>
          <w:noProof/>
          <w:position w:val="-9"/>
        </w:rPr>
        <w:drawing>
          <wp:inline distT="0" distB="0" distL="0" distR="0">
            <wp:extent cx="241935" cy="261620"/>
            <wp:effectExtent l="0" t="0" r="0" b="0"/>
            <wp:docPr id="30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7" cstate="print">
                      <a:extLst>
                        <a:ext uri="{28A0092B-C50C-407E-A947-70E740481C1C}">
                          <a14:useLocalDpi xmlns:a14="http://schemas.microsoft.com/office/drawing/2010/main" val="0"/>
                        </a:ext>
                      </a:extLst>
                    </a:blip>
                    <a:srcRect/>
                    <a:stretch>
                      <a:fillRect/>
                    </a:stretch>
                  </pic:blipFill>
                  <pic:spPr bwMode="auto">
                    <a:xfrm>
                      <a:off x="0" y="0"/>
                      <a:ext cx="241935" cy="261620"/>
                    </a:xfrm>
                    <a:prstGeom prst="rect">
                      <a:avLst/>
                    </a:prstGeom>
                    <a:noFill/>
                    <a:ln>
                      <a:noFill/>
                    </a:ln>
                  </pic:spPr>
                </pic:pic>
              </a:graphicData>
            </a:graphic>
          </wp:inline>
        </w:drawing>
      </w:r>
      <w:r>
        <w:t xml:space="preserve"> - см. </w:t>
      </w:r>
      <w:hyperlink w:anchor="P17266">
        <w:r>
          <w:rPr>
            <w:color w:val="0000FF"/>
          </w:rPr>
          <w:t>Щ.1</w:t>
        </w:r>
      </w:hyperlink>
      <w:r>
        <w:t>.</w:t>
      </w:r>
    </w:p>
    <w:p w:rsidR="00212513" w:rsidRDefault="00212513">
      <w:pPr>
        <w:pStyle w:val="ConsPlusNormal"/>
        <w:spacing w:before="220"/>
        <w:ind w:firstLine="540"/>
        <w:jc w:val="both"/>
      </w:pPr>
      <w:r>
        <w:t xml:space="preserve">Внутренние напряжения от ползучести бетона для </w:t>
      </w:r>
      <w:r>
        <w:rPr>
          <w:i/>
        </w:rPr>
        <w:t>i</w:t>
      </w:r>
      <w:r>
        <w:t>-й фибры сечения следует вычислять по формуле</w:t>
      </w:r>
    </w:p>
    <w:p w:rsidR="00212513" w:rsidRDefault="00212513">
      <w:pPr>
        <w:pStyle w:val="ConsPlusNormal"/>
        <w:ind w:firstLine="540"/>
        <w:jc w:val="both"/>
      </w:pPr>
    </w:p>
    <w:p w:rsidR="00212513" w:rsidRDefault="00212513">
      <w:pPr>
        <w:pStyle w:val="ConsPlusNormal"/>
        <w:jc w:val="center"/>
      </w:pPr>
      <w:r>
        <w:rPr>
          <w:noProof/>
          <w:position w:val="-10"/>
        </w:rPr>
        <w:drawing>
          <wp:inline distT="0" distB="0" distL="0" distR="0">
            <wp:extent cx="1072515" cy="273685"/>
            <wp:effectExtent l="0" t="0" r="0" b="0"/>
            <wp:docPr id="30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8" cstate="print">
                      <a:extLst>
                        <a:ext uri="{28A0092B-C50C-407E-A947-70E740481C1C}">
                          <a14:useLocalDpi xmlns:a14="http://schemas.microsoft.com/office/drawing/2010/main" val="0"/>
                        </a:ext>
                      </a:extLst>
                    </a:blip>
                    <a:srcRect/>
                    <a:stretch>
                      <a:fillRect/>
                    </a:stretch>
                  </pic:blipFill>
                  <pic:spPr bwMode="auto">
                    <a:xfrm>
                      <a:off x="0" y="0"/>
                      <a:ext cx="1072515" cy="273685"/>
                    </a:xfrm>
                    <a:prstGeom prst="rect">
                      <a:avLst/>
                    </a:prstGeom>
                    <a:noFill/>
                    <a:ln>
                      <a:noFill/>
                    </a:ln>
                  </pic:spPr>
                </pic:pic>
              </a:graphicData>
            </a:graphic>
          </wp:inline>
        </w:drawing>
      </w:r>
      <w:r>
        <w:t>, (Щ.14)</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10"/>
        </w:rPr>
        <w:drawing>
          <wp:inline distT="0" distB="0" distL="0" distR="0">
            <wp:extent cx="314960" cy="273685"/>
            <wp:effectExtent l="0" t="0" r="0" b="0"/>
            <wp:docPr id="30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9" cstate="print">
                      <a:extLst>
                        <a:ext uri="{28A0092B-C50C-407E-A947-70E740481C1C}">
                          <a14:useLocalDpi xmlns:a14="http://schemas.microsoft.com/office/drawing/2010/main" val="0"/>
                        </a:ext>
                      </a:extLst>
                    </a:blip>
                    <a:srcRect/>
                    <a:stretch>
                      <a:fillRect/>
                    </a:stretch>
                  </pic:blipFill>
                  <pic:spPr bwMode="auto">
                    <a:xfrm>
                      <a:off x="0" y="0"/>
                      <a:ext cx="314960" cy="273685"/>
                    </a:xfrm>
                    <a:prstGeom prst="rect">
                      <a:avLst/>
                    </a:prstGeom>
                    <a:noFill/>
                    <a:ln>
                      <a:noFill/>
                    </a:ln>
                  </pic:spPr>
                </pic:pic>
              </a:graphicData>
            </a:graphic>
          </wp:inline>
        </w:drawing>
      </w:r>
      <w:r>
        <w:t xml:space="preserve">, </w:t>
      </w:r>
      <w:r>
        <w:rPr>
          <w:noProof/>
          <w:position w:val="-7"/>
        </w:rPr>
        <w:drawing>
          <wp:inline distT="0" distB="0" distL="0" distR="0">
            <wp:extent cx="177165" cy="240665"/>
            <wp:effectExtent l="0" t="0" r="0" b="0"/>
            <wp:docPr id="30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0"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 напряжения от постоянных нагрузок, полученные при модуле упругости бетона соответственно </w:t>
      </w:r>
      <w:r>
        <w:rPr>
          <w:noProof/>
          <w:position w:val="-10"/>
        </w:rPr>
        <w:drawing>
          <wp:inline distT="0" distB="0" distL="0" distR="0">
            <wp:extent cx="377190" cy="273685"/>
            <wp:effectExtent l="0" t="0" r="0" b="0"/>
            <wp:docPr id="30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4" cstate="print">
                      <a:extLst>
                        <a:ext uri="{28A0092B-C50C-407E-A947-70E740481C1C}">
                          <a14:useLocalDpi xmlns:a14="http://schemas.microsoft.com/office/drawing/2010/main" val="0"/>
                        </a:ext>
                      </a:extLst>
                    </a:blip>
                    <a:srcRect/>
                    <a:stretch>
                      <a:fillRect/>
                    </a:stretch>
                  </pic:blipFill>
                  <pic:spPr bwMode="auto">
                    <a:xfrm>
                      <a:off x="0" y="0"/>
                      <a:ext cx="377190" cy="273685"/>
                    </a:xfrm>
                    <a:prstGeom prst="rect">
                      <a:avLst/>
                    </a:prstGeom>
                    <a:noFill/>
                    <a:ln>
                      <a:noFill/>
                    </a:ln>
                  </pic:spPr>
                </pic:pic>
              </a:graphicData>
            </a:graphic>
          </wp:inline>
        </w:drawing>
      </w:r>
      <w:r>
        <w:t xml:space="preserve"> и </w:t>
      </w:r>
      <w:r>
        <w:rPr>
          <w:noProof/>
          <w:position w:val="-9"/>
        </w:rPr>
        <w:drawing>
          <wp:inline distT="0" distB="0" distL="0" distR="0">
            <wp:extent cx="209550" cy="261620"/>
            <wp:effectExtent l="0" t="0" r="0" b="0"/>
            <wp:docPr id="30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1"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w:t>
      </w:r>
    </w:p>
    <w:p w:rsidR="00212513" w:rsidRDefault="00212513">
      <w:pPr>
        <w:pStyle w:val="ConsPlusNormal"/>
        <w:spacing w:before="220"/>
        <w:ind w:firstLine="540"/>
        <w:jc w:val="both"/>
      </w:pPr>
      <w:r>
        <w:t>Щ.3 При учете ползучести бетона в статически неопределимых конструкциях необходимо определить внутренние напряжения и внешние силовые факторы (опорные реакции, изгибающие моменты и пр.), а также соответствующие деформации.</w:t>
      </w:r>
    </w:p>
    <w:p w:rsidR="00212513" w:rsidRDefault="00212513">
      <w:pPr>
        <w:pStyle w:val="ConsPlusNormal"/>
        <w:spacing w:before="220"/>
        <w:ind w:firstLine="540"/>
        <w:jc w:val="both"/>
      </w:pPr>
      <w:r>
        <w:t xml:space="preserve">Внутренние напряжения и внешние силовые факторы допускается вычислять методом последовательных приближений, принимая усилия </w:t>
      </w:r>
      <w:r>
        <w:rPr>
          <w:noProof/>
          <w:position w:val="-10"/>
        </w:rPr>
        <w:drawing>
          <wp:inline distT="0" distB="0" distL="0" distR="0">
            <wp:extent cx="335280" cy="273685"/>
            <wp:effectExtent l="0" t="0" r="0" b="0"/>
            <wp:docPr id="30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2"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и </w:t>
      </w:r>
      <w:r>
        <w:rPr>
          <w:noProof/>
          <w:position w:val="-8"/>
        </w:rPr>
        <w:drawing>
          <wp:inline distT="0" distB="0" distL="0" distR="0">
            <wp:extent cx="209550" cy="251460"/>
            <wp:effectExtent l="0" t="0" r="0" b="0"/>
            <wp:docPr id="30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в центре тяжести бетонной части </w:t>
      </w:r>
      <w:r>
        <w:lastRenderedPageBreak/>
        <w:t xml:space="preserve">сечения за нагрузки (здесь </w:t>
      </w:r>
      <w:r>
        <w:rPr>
          <w:noProof/>
          <w:position w:val="-10"/>
        </w:rPr>
        <w:drawing>
          <wp:inline distT="0" distB="0" distL="0" distR="0">
            <wp:extent cx="335280" cy="273685"/>
            <wp:effectExtent l="0" t="0" r="0" b="0"/>
            <wp:docPr id="30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2"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и </w:t>
      </w:r>
      <w:r>
        <w:rPr>
          <w:noProof/>
          <w:position w:val="-9"/>
        </w:rPr>
        <w:drawing>
          <wp:inline distT="0" distB="0" distL="0" distR="0">
            <wp:extent cx="209550" cy="261620"/>
            <wp:effectExtent l="0" t="0" r="0" b="0"/>
            <wp:docPr id="30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3"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 xml:space="preserve"> принимаются по </w:t>
      </w:r>
      <w:hyperlink w:anchor="P17266">
        <w:r>
          <w:rPr>
            <w:color w:val="0000FF"/>
          </w:rPr>
          <w:t>Щ.1</w:t>
        </w:r>
      </w:hyperlink>
      <w:r>
        <w:t>).</w:t>
      </w:r>
    </w:p>
    <w:p w:rsidR="00212513" w:rsidRDefault="00212513">
      <w:pPr>
        <w:pStyle w:val="ConsPlusNormal"/>
        <w:spacing w:before="220"/>
        <w:ind w:firstLine="540"/>
        <w:jc w:val="both"/>
      </w:pPr>
      <w:r>
        <w:t xml:space="preserve">При этом, выполняя расчет методом сил, бетонную часть сечения надлежит учитывать следующим образом: с модулем </w:t>
      </w:r>
      <w:r>
        <w:rPr>
          <w:noProof/>
          <w:position w:val="-10"/>
        </w:rPr>
        <w:drawing>
          <wp:inline distT="0" distB="0" distL="0" distR="0">
            <wp:extent cx="377190" cy="273685"/>
            <wp:effectExtent l="0" t="0" r="0" b="0"/>
            <wp:docPr id="30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4" cstate="print">
                      <a:extLst>
                        <a:ext uri="{28A0092B-C50C-407E-A947-70E740481C1C}">
                          <a14:useLocalDpi xmlns:a14="http://schemas.microsoft.com/office/drawing/2010/main" val="0"/>
                        </a:ext>
                      </a:extLst>
                    </a:blip>
                    <a:srcRect/>
                    <a:stretch>
                      <a:fillRect/>
                    </a:stretch>
                  </pic:blipFill>
                  <pic:spPr bwMode="auto">
                    <a:xfrm>
                      <a:off x="0" y="0"/>
                      <a:ext cx="377190" cy="273685"/>
                    </a:xfrm>
                    <a:prstGeom prst="rect">
                      <a:avLst/>
                    </a:prstGeom>
                    <a:noFill/>
                    <a:ln>
                      <a:noFill/>
                    </a:ln>
                  </pic:spPr>
                </pic:pic>
              </a:graphicData>
            </a:graphic>
          </wp:inline>
        </w:drawing>
      </w:r>
      <w:r>
        <w:t xml:space="preserve"> (см. </w:t>
      </w:r>
      <w:hyperlink w:anchor="P17331">
        <w:r>
          <w:rPr>
            <w:color w:val="0000FF"/>
          </w:rPr>
          <w:t>Щ.2</w:t>
        </w:r>
      </w:hyperlink>
      <w:r>
        <w:t xml:space="preserve">) - при определении основных и побочных перемещений; с модулем </w:t>
      </w:r>
      <w:r>
        <w:rPr>
          <w:noProof/>
          <w:position w:val="-9"/>
        </w:rPr>
        <w:drawing>
          <wp:inline distT="0" distB="0" distL="0" distR="0">
            <wp:extent cx="209550" cy="261620"/>
            <wp:effectExtent l="0" t="0" r="0" b="0"/>
            <wp:docPr id="30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1"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 xml:space="preserve"> - при определении напряжений в центре тяжести бетона от внешних силовых факторов, вызванных ползучестью. Выраженные через </w:t>
      </w:r>
      <w:r>
        <w:rPr>
          <w:noProof/>
          <w:position w:val="-9"/>
        </w:rPr>
        <w:drawing>
          <wp:inline distT="0" distB="0" distL="0" distR="0">
            <wp:extent cx="241935" cy="261620"/>
            <wp:effectExtent l="0" t="0" r="0" b="0"/>
            <wp:docPr id="30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4" cstate="print">
                      <a:extLst>
                        <a:ext uri="{28A0092B-C50C-407E-A947-70E740481C1C}">
                          <a14:useLocalDpi xmlns:a14="http://schemas.microsoft.com/office/drawing/2010/main" val="0"/>
                        </a:ext>
                      </a:extLst>
                    </a:blip>
                    <a:srcRect/>
                    <a:stretch>
                      <a:fillRect/>
                    </a:stretch>
                  </pic:blipFill>
                  <pic:spPr bwMode="auto">
                    <a:xfrm>
                      <a:off x="0" y="0"/>
                      <a:ext cx="241935" cy="261620"/>
                    </a:xfrm>
                    <a:prstGeom prst="rect">
                      <a:avLst/>
                    </a:prstGeom>
                    <a:noFill/>
                    <a:ln>
                      <a:noFill/>
                    </a:ln>
                  </pic:spPr>
                </pic:pic>
              </a:graphicData>
            </a:graphic>
          </wp:inline>
        </w:drawing>
      </w:r>
      <w:r>
        <w:t xml:space="preserve"> значения предельной характеристики ползучести, используемые для определения </w:t>
      </w:r>
      <w:r>
        <w:rPr>
          <w:noProof/>
          <w:position w:val="-10"/>
        </w:rPr>
        <w:drawing>
          <wp:inline distT="0" distB="0" distL="0" distR="0">
            <wp:extent cx="335280" cy="273685"/>
            <wp:effectExtent l="0" t="0" r="0" b="0"/>
            <wp:docPr id="30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2"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и </w:t>
      </w:r>
      <w:r>
        <w:rPr>
          <w:noProof/>
          <w:position w:val="-10"/>
        </w:rPr>
        <w:drawing>
          <wp:inline distT="0" distB="0" distL="0" distR="0">
            <wp:extent cx="377190" cy="273685"/>
            <wp:effectExtent l="0" t="0" r="0" b="0"/>
            <wp:docPr id="30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4" cstate="print">
                      <a:extLst>
                        <a:ext uri="{28A0092B-C50C-407E-A947-70E740481C1C}">
                          <a14:useLocalDpi xmlns:a14="http://schemas.microsoft.com/office/drawing/2010/main" val="0"/>
                        </a:ext>
                      </a:extLst>
                    </a:blip>
                    <a:srcRect/>
                    <a:stretch>
                      <a:fillRect/>
                    </a:stretch>
                  </pic:blipFill>
                  <pic:spPr bwMode="auto">
                    <a:xfrm>
                      <a:off x="0" y="0"/>
                      <a:ext cx="377190" cy="273685"/>
                    </a:xfrm>
                    <a:prstGeom prst="rect">
                      <a:avLst/>
                    </a:prstGeom>
                    <a:noFill/>
                    <a:ln>
                      <a:noFill/>
                    </a:ln>
                  </pic:spPr>
                </pic:pic>
              </a:graphicData>
            </a:graphic>
          </wp:inline>
        </w:drawing>
      </w:r>
      <w:r>
        <w:t xml:space="preserve"> при последовательных приближениях, приведены в таблице Щ.1.</w:t>
      </w:r>
    </w:p>
    <w:p w:rsidR="00212513" w:rsidRDefault="00212513">
      <w:pPr>
        <w:pStyle w:val="ConsPlusNormal"/>
        <w:ind w:firstLine="540"/>
        <w:jc w:val="both"/>
      </w:pPr>
    </w:p>
    <w:p w:rsidR="00212513" w:rsidRDefault="00212513">
      <w:pPr>
        <w:pStyle w:val="ConsPlusNormal"/>
        <w:jc w:val="right"/>
      </w:pPr>
      <w:r>
        <w:t>Таблица Щ.1</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4365"/>
        <w:gridCol w:w="3005"/>
      </w:tblGrid>
      <w:tr w:rsidR="00212513">
        <w:tc>
          <w:tcPr>
            <w:tcW w:w="1701" w:type="dxa"/>
            <w:vMerge w:val="restart"/>
            <w:tcBorders>
              <w:top w:val="single" w:sz="4" w:space="0" w:color="auto"/>
              <w:bottom w:val="single" w:sz="4" w:space="0" w:color="auto"/>
            </w:tcBorders>
            <w:vAlign w:val="center"/>
          </w:tcPr>
          <w:p w:rsidR="00212513" w:rsidRDefault="00212513">
            <w:pPr>
              <w:pStyle w:val="ConsPlusNormal"/>
              <w:jc w:val="center"/>
            </w:pPr>
            <w:r>
              <w:t>Номер приближения</w:t>
            </w:r>
          </w:p>
        </w:tc>
        <w:tc>
          <w:tcPr>
            <w:tcW w:w="7370" w:type="dxa"/>
            <w:gridSpan w:val="2"/>
            <w:tcBorders>
              <w:top w:val="single" w:sz="4" w:space="0" w:color="auto"/>
              <w:bottom w:val="single" w:sz="4" w:space="0" w:color="auto"/>
            </w:tcBorders>
            <w:vAlign w:val="center"/>
          </w:tcPr>
          <w:p w:rsidR="00212513" w:rsidRDefault="00212513">
            <w:pPr>
              <w:pStyle w:val="ConsPlusNormal"/>
              <w:jc w:val="center"/>
            </w:pPr>
            <w:r>
              <w:t xml:space="preserve">Значение предельной характеристики ползучести бетона </w:t>
            </w:r>
            <w:r>
              <w:rPr>
                <w:noProof/>
                <w:position w:val="-8"/>
              </w:rPr>
              <w:drawing>
                <wp:inline distT="0" distB="0" distL="0" distR="0">
                  <wp:extent cx="241935" cy="251460"/>
                  <wp:effectExtent l="0" t="0" r="0" b="0"/>
                  <wp:docPr id="30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4"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при вычислении</w:t>
            </w:r>
          </w:p>
        </w:tc>
      </w:tr>
      <w:tr w:rsidR="00212513">
        <w:tc>
          <w:tcPr>
            <w:tcW w:w="1701" w:type="dxa"/>
            <w:vMerge/>
            <w:tcBorders>
              <w:top w:val="single" w:sz="4" w:space="0" w:color="auto"/>
              <w:bottom w:val="single" w:sz="4" w:space="0" w:color="auto"/>
            </w:tcBorders>
          </w:tcPr>
          <w:p w:rsidR="00212513" w:rsidRDefault="00212513">
            <w:pPr>
              <w:pStyle w:val="ConsPlusNormal"/>
            </w:pPr>
          </w:p>
        </w:tc>
        <w:tc>
          <w:tcPr>
            <w:tcW w:w="4365" w:type="dxa"/>
            <w:tcBorders>
              <w:top w:val="single" w:sz="4" w:space="0" w:color="auto"/>
              <w:bottom w:val="single" w:sz="4" w:space="0" w:color="auto"/>
            </w:tcBorders>
            <w:vAlign w:val="center"/>
          </w:tcPr>
          <w:p w:rsidR="00212513" w:rsidRDefault="00212513">
            <w:pPr>
              <w:pStyle w:val="ConsPlusNormal"/>
              <w:jc w:val="center"/>
            </w:pPr>
            <w:r>
              <w:t>напряжений от ползучести бетона на уровне центра тяжести бетонной части сечения </w:t>
            </w:r>
            <w:r>
              <w:rPr>
                <w:noProof/>
                <w:position w:val="-10"/>
              </w:rPr>
              <w:drawing>
                <wp:inline distT="0" distB="0" distL="0" distR="0">
                  <wp:extent cx="335280" cy="273685"/>
                  <wp:effectExtent l="0" t="0" r="0" b="0"/>
                  <wp:docPr id="30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2"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p>
        </w:tc>
        <w:tc>
          <w:tcPr>
            <w:tcW w:w="3005" w:type="dxa"/>
            <w:tcBorders>
              <w:top w:val="single" w:sz="4" w:space="0" w:color="auto"/>
              <w:bottom w:val="single" w:sz="4" w:space="0" w:color="auto"/>
            </w:tcBorders>
            <w:vAlign w:val="center"/>
          </w:tcPr>
          <w:p w:rsidR="00212513" w:rsidRDefault="00212513">
            <w:pPr>
              <w:pStyle w:val="ConsPlusNormal"/>
              <w:jc w:val="center"/>
            </w:pPr>
            <w:r>
              <w:t>основных и побочных перемещений</w:t>
            </w:r>
          </w:p>
        </w:tc>
      </w:tr>
      <w:tr w:rsidR="00212513">
        <w:tblPrEx>
          <w:tblBorders>
            <w:insideH w:val="none" w:sz="0" w:space="0" w:color="auto"/>
          </w:tblBorders>
        </w:tblPrEx>
        <w:tc>
          <w:tcPr>
            <w:tcW w:w="1701" w:type="dxa"/>
            <w:tcBorders>
              <w:top w:val="single" w:sz="4" w:space="0" w:color="auto"/>
              <w:bottom w:val="nil"/>
            </w:tcBorders>
            <w:vAlign w:val="center"/>
          </w:tcPr>
          <w:p w:rsidR="00212513" w:rsidRDefault="00212513">
            <w:pPr>
              <w:pStyle w:val="ConsPlusNormal"/>
              <w:jc w:val="center"/>
            </w:pPr>
            <w:r>
              <w:t>1</w:t>
            </w:r>
          </w:p>
        </w:tc>
        <w:tc>
          <w:tcPr>
            <w:tcW w:w="4365" w:type="dxa"/>
            <w:tcBorders>
              <w:top w:val="single" w:sz="4" w:space="0" w:color="auto"/>
              <w:bottom w:val="nil"/>
            </w:tcBorders>
          </w:tcPr>
          <w:p w:rsidR="00212513" w:rsidRDefault="00212513">
            <w:pPr>
              <w:pStyle w:val="ConsPlusNormal"/>
              <w:jc w:val="center"/>
            </w:pPr>
            <w:r>
              <w:rPr>
                <w:noProof/>
                <w:position w:val="-9"/>
              </w:rPr>
              <w:drawing>
                <wp:inline distT="0" distB="0" distL="0" distR="0">
                  <wp:extent cx="241935" cy="261620"/>
                  <wp:effectExtent l="0" t="0" r="0" b="0"/>
                  <wp:docPr id="3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4" cstate="print">
                            <a:extLst>
                              <a:ext uri="{28A0092B-C50C-407E-A947-70E740481C1C}">
                                <a14:useLocalDpi xmlns:a14="http://schemas.microsoft.com/office/drawing/2010/main" val="0"/>
                              </a:ext>
                            </a:extLst>
                          </a:blip>
                          <a:srcRect/>
                          <a:stretch>
                            <a:fillRect/>
                          </a:stretch>
                        </pic:blipFill>
                        <pic:spPr bwMode="auto">
                          <a:xfrm>
                            <a:off x="0" y="0"/>
                            <a:ext cx="241935" cy="261620"/>
                          </a:xfrm>
                          <a:prstGeom prst="rect">
                            <a:avLst/>
                          </a:prstGeom>
                          <a:noFill/>
                          <a:ln>
                            <a:noFill/>
                          </a:ln>
                        </pic:spPr>
                      </pic:pic>
                    </a:graphicData>
                  </a:graphic>
                </wp:inline>
              </w:drawing>
            </w:r>
          </w:p>
        </w:tc>
        <w:tc>
          <w:tcPr>
            <w:tcW w:w="3005" w:type="dxa"/>
            <w:tcBorders>
              <w:top w:val="single" w:sz="4" w:space="0" w:color="auto"/>
              <w:bottom w:val="nil"/>
            </w:tcBorders>
          </w:tcPr>
          <w:p w:rsidR="00212513" w:rsidRDefault="00212513">
            <w:pPr>
              <w:pStyle w:val="ConsPlusNormal"/>
              <w:jc w:val="center"/>
            </w:pPr>
            <w:r>
              <w:rPr>
                <w:noProof/>
                <w:position w:val="-9"/>
              </w:rPr>
              <w:drawing>
                <wp:inline distT="0" distB="0" distL="0" distR="0">
                  <wp:extent cx="461010" cy="261620"/>
                  <wp:effectExtent l="0" t="0" r="0" b="0"/>
                  <wp:docPr id="3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5" cstate="print">
                            <a:extLst>
                              <a:ext uri="{28A0092B-C50C-407E-A947-70E740481C1C}">
                                <a14:useLocalDpi xmlns:a14="http://schemas.microsoft.com/office/drawing/2010/main" val="0"/>
                              </a:ext>
                            </a:extLst>
                          </a:blip>
                          <a:srcRect/>
                          <a:stretch>
                            <a:fillRect/>
                          </a:stretch>
                        </pic:blipFill>
                        <pic:spPr bwMode="auto">
                          <a:xfrm>
                            <a:off x="0" y="0"/>
                            <a:ext cx="461010" cy="261620"/>
                          </a:xfrm>
                          <a:prstGeom prst="rect">
                            <a:avLst/>
                          </a:prstGeom>
                          <a:noFill/>
                          <a:ln>
                            <a:noFill/>
                          </a:ln>
                        </pic:spPr>
                      </pic:pic>
                    </a:graphicData>
                  </a:graphic>
                </wp:inline>
              </w:drawing>
            </w:r>
          </w:p>
        </w:tc>
      </w:tr>
      <w:tr w:rsidR="00212513">
        <w:tblPrEx>
          <w:tblBorders>
            <w:insideH w:val="none" w:sz="0" w:space="0" w:color="auto"/>
          </w:tblBorders>
        </w:tblPrEx>
        <w:tc>
          <w:tcPr>
            <w:tcW w:w="1701" w:type="dxa"/>
            <w:tcBorders>
              <w:top w:val="nil"/>
              <w:bottom w:val="nil"/>
            </w:tcBorders>
            <w:vAlign w:val="center"/>
          </w:tcPr>
          <w:p w:rsidR="00212513" w:rsidRDefault="00212513">
            <w:pPr>
              <w:pStyle w:val="ConsPlusNormal"/>
              <w:jc w:val="center"/>
            </w:pPr>
            <w:r>
              <w:t>2</w:t>
            </w:r>
          </w:p>
        </w:tc>
        <w:tc>
          <w:tcPr>
            <w:tcW w:w="4365" w:type="dxa"/>
            <w:tcBorders>
              <w:top w:val="nil"/>
              <w:bottom w:val="nil"/>
            </w:tcBorders>
          </w:tcPr>
          <w:p w:rsidR="00212513" w:rsidRDefault="00212513">
            <w:pPr>
              <w:pStyle w:val="ConsPlusNormal"/>
              <w:jc w:val="center"/>
            </w:pPr>
            <w:r>
              <w:rPr>
                <w:noProof/>
                <w:position w:val="-9"/>
              </w:rPr>
              <w:drawing>
                <wp:inline distT="0" distB="0" distL="0" distR="0">
                  <wp:extent cx="461010" cy="261620"/>
                  <wp:effectExtent l="0" t="0" r="0" b="0"/>
                  <wp:docPr id="3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5" cstate="print">
                            <a:extLst>
                              <a:ext uri="{28A0092B-C50C-407E-A947-70E740481C1C}">
                                <a14:useLocalDpi xmlns:a14="http://schemas.microsoft.com/office/drawing/2010/main" val="0"/>
                              </a:ext>
                            </a:extLst>
                          </a:blip>
                          <a:srcRect/>
                          <a:stretch>
                            <a:fillRect/>
                          </a:stretch>
                        </pic:blipFill>
                        <pic:spPr bwMode="auto">
                          <a:xfrm>
                            <a:off x="0" y="0"/>
                            <a:ext cx="461010" cy="261620"/>
                          </a:xfrm>
                          <a:prstGeom prst="rect">
                            <a:avLst/>
                          </a:prstGeom>
                          <a:noFill/>
                          <a:ln>
                            <a:noFill/>
                          </a:ln>
                        </pic:spPr>
                      </pic:pic>
                    </a:graphicData>
                  </a:graphic>
                </wp:inline>
              </w:drawing>
            </w:r>
          </w:p>
        </w:tc>
        <w:tc>
          <w:tcPr>
            <w:tcW w:w="3005" w:type="dxa"/>
            <w:tcBorders>
              <w:top w:val="nil"/>
              <w:bottom w:val="nil"/>
            </w:tcBorders>
          </w:tcPr>
          <w:p w:rsidR="00212513" w:rsidRDefault="00212513">
            <w:pPr>
              <w:pStyle w:val="ConsPlusNormal"/>
              <w:jc w:val="center"/>
            </w:pPr>
            <w:r>
              <w:rPr>
                <w:noProof/>
                <w:position w:val="-9"/>
              </w:rPr>
              <w:drawing>
                <wp:inline distT="0" distB="0" distL="0" distR="0">
                  <wp:extent cx="544830" cy="261620"/>
                  <wp:effectExtent l="0" t="0" r="0" b="0"/>
                  <wp:docPr id="3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6" cstate="print">
                            <a:extLst>
                              <a:ext uri="{28A0092B-C50C-407E-A947-70E740481C1C}">
                                <a14:useLocalDpi xmlns:a14="http://schemas.microsoft.com/office/drawing/2010/main" val="0"/>
                              </a:ext>
                            </a:extLst>
                          </a:blip>
                          <a:srcRect/>
                          <a:stretch>
                            <a:fillRect/>
                          </a:stretch>
                        </pic:blipFill>
                        <pic:spPr bwMode="auto">
                          <a:xfrm>
                            <a:off x="0" y="0"/>
                            <a:ext cx="544830" cy="261620"/>
                          </a:xfrm>
                          <a:prstGeom prst="rect">
                            <a:avLst/>
                          </a:prstGeom>
                          <a:noFill/>
                          <a:ln>
                            <a:noFill/>
                          </a:ln>
                        </pic:spPr>
                      </pic:pic>
                    </a:graphicData>
                  </a:graphic>
                </wp:inline>
              </w:drawing>
            </w:r>
          </w:p>
        </w:tc>
      </w:tr>
      <w:tr w:rsidR="00212513">
        <w:tblPrEx>
          <w:tblBorders>
            <w:insideH w:val="none" w:sz="0" w:space="0" w:color="auto"/>
          </w:tblBorders>
        </w:tblPrEx>
        <w:tc>
          <w:tcPr>
            <w:tcW w:w="1701" w:type="dxa"/>
            <w:tcBorders>
              <w:top w:val="nil"/>
              <w:bottom w:val="single" w:sz="4" w:space="0" w:color="auto"/>
            </w:tcBorders>
            <w:vAlign w:val="center"/>
          </w:tcPr>
          <w:p w:rsidR="00212513" w:rsidRDefault="00212513">
            <w:pPr>
              <w:pStyle w:val="ConsPlusNormal"/>
              <w:jc w:val="center"/>
            </w:pPr>
            <w:r>
              <w:t>3</w:t>
            </w:r>
          </w:p>
        </w:tc>
        <w:tc>
          <w:tcPr>
            <w:tcW w:w="4365" w:type="dxa"/>
            <w:tcBorders>
              <w:top w:val="nil"/>
              <w:bottom w:val="single" w:sz="4" w:space="0" w:color="auto"/>
            </w:tcBorders>
          </w:tcPr>
          <w:p w:rsidR="00212513" w:rsidRDefault="00212513">
            <w:pPr>
              <w:pStyle w:val="ConsPlusNormal"/>
              <w:jc w:val="center"/>
            </w:pPr>
            <w:r>
              <w:rPr>
                <w:noProof/>
                <w:position w:val="-9"/>
              </w:rPr>
              <w:drawing>
                <wp:inline distT="0" distB="0" distL="0" distR="0">
                  <wp:extent cx="544830" cy="261620"/>
                  <wp:effectExtent l="0" t="0" r="0" b="0"/>
                  <wp:docPr id="3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6" cstate="print">
                            <a:extLst>
                              <a:ext uri="{28A0092B-C50C-407E-A947-70E740481C1C}">
                                <a14:useLocalDpi xmlns:a14="http://schemas.microsoft.com/office/drawing/2010/main" val="0"/>
                              </a:ext>
                            </a:extLst>
                          </a:blip>
                          <a:srcRect/>
                          <a:stretch>
                            <a:fillRect/>
                          </a:stretch>
                        </pic:blipFill>
                        <pic:spPr bwMode="auto">
                          <a:xfrm>
                            <a:off x="0" y="0"/>
                            <a:ext cx="544830" cy="261620"/>
                          </a:xfrm>
                          <a:prstGeom prst="rect">
                            <a:avLst/>
                          </a:prstGeom>
                          <a:noFill/>
                          <a:ln>
                            <a:noFill/>
                          </a:ln>
                        </pic:spPr>
                      </pic:pic>
                    </a:graphicData>
                  </a:graphic>
                </wp:inline>
              </w:drawing>
            </w:r>
          </w:p>
        </w:tc>
        <w:tc>
          <w:tcPr>
            <w:tcW w:w="3005" w:type="dxa"/>
            <w:tcBorders>
              <w:top w:val="nil"/>
              <w:bottom w:val="single" w:sz="4" w:space="0" w:color="auto"/>
            </w:tcBorders>
          </w:tcPr>
          <w:p w:rsidR="00212513" w:rsidRDefault="00212513">
            <w:pPr>
              <w:pStyle w:val="ConsPlusNormal"/>
              <w:jc w:val="center"/>
            </w:pPr>
            <w:r>
              <w:rPr>
                <w:noProof/>
                <w:position w:val="-9"/>
              </w:rPr>
              <w:drawing>
                <wp:inline distT="0" distB="0" distL="0" distR="0">
                  <wp:extent cx="544830" cy="261620"/>
                  <wp:effectExtent l="0" t="0" r="0" b="0"/>
                  <wp:docPr id="3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7" cstate="print">
                            <a:extLst>
                              <a:ext uri="{28A0092B-C50C-407E-A947-70E740481C1C}">
                                <a14:useLocalDpi xmlns:a14="http://schemas.microsoft.com/office/drawing/2010/main" val="0"/>
                              </a:ext>
                            </a:extLst>
                          </a:blip>
                          <a:srcRect/>
                          <a:stretch>
                            <a:fillRect/>
                          </a:stretch>
                        </pic:blipFill>
                        <pic:spPr bwMode="auto">
                          <a:xfrm>
                            <a:off x="0" y="0"/>
                            <a:ext cx="544830" cy="261620"/>
                          </a:xfrm>
                          <a:prstGeom prst="rect">
                            <a:avLst/>
                          </a:prstGeom>
                          <a:noFill/>
                          <a:ln>
                            <a:noFill/>
                          </a:ln>
                        </pic:spPr>
                      </pic:pic>
                    </a:graphicData>
                  </a:graphic>
                </wp:inline>
              </w:drawing>
            </w:r>
          </w:p>
        </w:tc>
      </w:tr>
    </w:tbl>
    <w:p w:rsidR="00212513" w:rsidRDefault="00212513">
      <w:pPr>
        <w:pStyle w:val="ConsPlusNormal"/>
        <w:ind w:firstLine="540"/>
        <w:jc w:val="both"/>
      </w:pPr>
    </w:p>
    <w:p w:rsidR="00212513" w:rsidRDefault="00212513">
      <w:pPr>
        <w:pStyle w:val="ConsPlusNormal"/>
        <w:ind w:firstLine="540"/>
        <w:jc w:val="both"/>
      </w:pPr>
      <w:r>
        <w:t xml:space="preserve">Щ.4 Прогибы конструкции от ползучести бетона следует определять, рассматривая стальную часть сечения под действием сил </w:t>
      </w:r>
      <w:r>
        <w:rPr>
          <w:noProof/>
          <w:position w:val="-9"/>
        </w:rPr>
        <w:drawing>
          <wp:inline distT="0" distB="0" distL="0" distR="0">
            <wp:extent cx="396875" cy="261620"/>
            <wp:effectExtent l="0" t="0" r="0" b="0"/>
            <wp:docPr id="3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8" cstate="print">
                      <a:extLst>
                        <a:ext uri="{28A0092B-C50C-407E-A947-70E740481C1C}">
                          <a14:useLocalDpi xmlns:a14="http://schemas.microsoft.com/office/drawing/2010/main" val="0"/>
                        </a:ext>
                      </a:extLst>
                    </a:blip>
                    <a:srcRect/>
                    <a:stretch>
                      <a:fillRect/>
                    </a:stretch>
                  </pic:blipFill>
                  <pic:spPr bwMode="auto">
                    <a:xfrm>
                      <a:off x="0" y="0"/>
                      <a:ext cx="396875" cy="261620"/>
                    </a:xfrm>
                    <a:prstGeom prst="rect">
                      <a:avLst/>
                    </a:prstGeom>
                    <a:noFill/>
                    <a:ln>
                      <a:noFill/>
                    </a:ln>
                  </pic:spPr>
                </pic:pic>
              </a:graphicData>
            </a:graphic>
          </wp:inline>
        </w:drawing>
      </w:r>
      <w:r>
        <w:t xml:space="preserve">, приложенных в уровне центра тяжести сечения бетона. Для статически определимых конструкций имеет место равенство </w:t>
      </w:r>
      <w:r>
        <w:rPr>
          <w:noProof/>
          <w:position w:val="-10"/>
        </w:rPr>
        <w:drawing>
          <wp:inline distT="0" distB="0" distL="0" distR="0">
            <wp:extent cx="712470" cy="273685"/>
            <wp:effectExtent l="0" t="0" r="0" b="0"/>
            <wp:docPr id="3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9" cstate="print">
                      <a:extLst>
                        <a:ext uri="{28A0092B-C50C-407E-A947-70E740481C1C}">
                          <a14:useLocalDpi xmlns:a14="http://schemas.microsoft.com/office/drawing/2010/main" val="0"/>
                        </a:ext>
                      </a:extLst>
                    </a:blip>
                    <a:srcRect/>
                    <a:stretch>
                      <a:fillRect/>
                    </a:stretch>
                  </pic:blipFill>
                  <pic:spPr bwMode="auto">
                    <a:xfrm>
                      <a:off x="0" y="0"/>
                      <a:ext cx="712470" cy="273685"/>
                    </a:xfrm>
                    <a:prstGeom prst="rect">
                      <a:avLst/>
                    </a:prstGeom>
                    <a:noFill/>
                    <a:ln>
                      <a:noFill/>
                    </a:ln>
                  </pic:spPr>
                </pic:pic>
              </a:graphicData>
            </a:graphic>
          </wp:inline>
        </w:drawing>
      </w:r>
      <w:r>
        <w:t xml:space="preserve">; для статически неопределимых систем </w:t>
      </w:r>
      <w:r>
        <w:rPr>
          <w:noProof/>
          <w:position w:val="-9"/>
        </w:rPr>
        <w:drawing>
          <wp:inline distT="0" distB="0" distL="0" distR="0">
            <wp:extent cx="261620" cy="261620"/>
            <wp:effectExtent l="0" t="0" r="0" b="0"/>
            <wp:docPr id="3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0" cstate="print">
                      <a:extLst>
                        <a:ext uri="{28A0092B-C50C-407E-A947-70E740481C1C}">
                          <a14:useLocalDpi xmlns:a14="http://schemas.microsoft.com/office/drawing/2010/main" val="0"/>
                        </a:ext>
                      </a:extLst>
                    </a:blip>
                    <a:srcRect/>
                    <a:stretch>
                      <a:fillRect/>
                    </a:stretch>
                  </pic:blipFill>
                  <pic:spPr bwMode="auto">
                    <a:xfrm>
                      <a:off x="0" y="0"/>
                      <a:ext cx="261620" cy="261620"/>
                    </a:xfrm>
                    <a:prstGeom prst="rect">
                      <a:avLst/>
                    </a:prstGeom>
                    <a:noFill/>
                    <a:ln>
                      <a:noFill/>
                    </a:ln>
                  </pic:spPr>
                </pic:pic>
              </a:graphicData>
            </a:graphic>
          </wp:inline>
        </w:drawing>
      </w:r>
      <w:r>
        <w:t xml:space="preserve"> равно сумме внутренних напряжений и напряжений от внешних силовых факторов, вызванных ползучестью.</w:t>
      </w:r>
    </w:p>
    <w:p w:rsidR="00212513" w:rsidRDefault="00212513">
      <w:pPr>
        <w:pStyle w:val="ConsPlusNormal"/>
        <w:spacing w:before="220"/>
        <w:ind w:firstLine="540"/>
        <w:jc w:val="both"/>
      </w:pPr>
      <w:r>
        <w:t>Щ.5 Деформации обжатия замоноличенных бетоном поперечных швов сборной железобетонной плиты необходимо учитывать в расчетах, если продольная арматура плиты не состыкована в швах и при этом плита не имеет предварительного напряжения в продольном направлении.</w:t>
      </w:r>
    </w:p>
    <w:p w:rsidR="00212513" w:rsidRDefault="00212513">
      <w:pPr>
        <w:pStyle w:val="ConsPlusNormal"/>
        <w:spacing w:before="220"/>
        <w:ind w:firstLine="540"/>
        <w:jc w:val="both"/>
      </w:pPr>
      <w:r>
        <w:t xml:space="preserve">Деформации обжатия поперечных швов следует учитывать введением в выражения для </w:t>
      </w:r>
      <w:r>
        <w:rPr>
          <w:noProof/>
        </w:rPr>
        <w:drawing>
          <wp:inline distT="0" distB="0" distL="0" distR="0">
            <wp:extent cx="167640" cy="146050"/>
            <wp:effectExtent l="0" t="0" r="0" b="0"/>
            <wp:docPr id="3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1"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t xml:space="preserve">, </w:t>
      </w:r>
      <w:r>
        <w:rPr>
          <w:noProof/>
          <w:position w:val="-7"/>
        </w:rPr>
        <w:drawing>
          <wp:inline distT="0" distB="0" distL="0" distR="0">
            <wp:extent cx="167640" cy="230505"/>
            <wp:effectExtent l="0" t="0" r="0" b="0"/>
            <wp:docPr id="3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2" cstate="print">
                      <a:extLst>
                        <a:ext uri="{28A0092B-C50C-407E-A947-70E740481C1C}">
                          <a14:useLocalDpi xmlns:a14="http://schemas.microsoft.com/office/drawing/2010/main" val="0"/>
                        </a:ext>
                      </a:extLst>
                    </a:blip>
                    <a:srcRect/>
                    <a:stretch>
                      <a:fillRect/>
                    </a:stretch>
                  </pic:blipFill>
                  <pic:spPr bwMode="auto">
                    <a:xfrm>
                      <a:off x="0" y="0"/>
                      <a:ext cx="167640" cy="230505"/>
                    </a:xfrm>
                    <a:prstGeom prst="rect">
                      <a:avLst/>
                    </a:prstGeom>
                    <a:noFill/>
                    <a:ln>
                      <a:noFill/>
                    </a:ln>
                  </pic:spPr>
                </pic:pic>
              </a:graphicData>
            </a:graphic>
          </wp:inline>
        </w:drawing>
      </w:r>
      <w:r>
        <w:t xml:space="preserve">, </w:t>
      </w:r>
      <w:r>
        <w:rPr>
          <w:noProof/>
          <w:position w:val="-10"/>
        </w:rPr>
        <w:drawing>
          <wp:inline distT="0" distB="0" distL="0" distR="0">
            <wp:extent cx="377190" cy="273685"/>
            <wp:effectExtent l="0" t="0" r="0" b="0"/>
            <wp:docPr id="3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4" cstate="print">
                      <a:extLst>
                        <a:ext uri="{28A0092B-C50C-407E-A947-70E740481C1C}">
                          <a14:useLocalDpi xmlns:a14="http://schemas.microsoft.com/office/drawing/2010/main" val="0"/>
                        </a:ext>
                      </a:extLst>
                    </a:blip>
                    <a:srcRect/>
                    <a:stretch>
                      <a:fillRect/>
                    </a:stretch>
                  </pic:blipFill>
                  <pic:spPr bwMode="auto">
                    <a:xfrm>
                      <a:off x="0" y="0"/>
                      <a:ext cx="377190" cy="273685"/>
                    </a:xfrm>
                    <a:prstGeom prst="rect">
                      <a:avLst/>
                    </a:prstGeom>
                    <a:noFill/>
                    <a:ln>
                      <a:noFill/>
                    </a:ln>
                  </pic:spPr>
                </pic:pic>
              </a:graphicData>
            </a:graphic>
          </wp:inline>
        </w:drawing>
      </w:r>
      <w:r>
        <w:t xml:space="preserve"> (см. </w:t>
      </w:r>
      <w:hyperlink w:anchor="P17266">
        <w:r>
          <w:rPr>
            <w:color w:val="0000FF"/>
          </w:rPr>
          <w:t>Щ.1</w:t>
        </w:r>
      </w:hyperlink>
      <w:r>
        <w:t xml:space="preserve"> и </w:t>
      </w:r>
      <w:hyperlink w:anchor="P17331">
        <w:r>
          <w:rPr>
            <w:color w:val="0000FF"/>
          </w:rPr>
          <w:t>Щ.2</w:t>
        </w:r>
      </w:hyperlink>
      <w:r>
        <w:t xml:space="preserve">) обобщенной характеристики ползучести бетона и обжатия поперечных швов </w:t>
      </w:r>
      <w:r>
        <w:rPr>
          <w:noProof/>
          <w:position w:val="-10"/>
        </w:rPr>
        <w:drawing>
          <wp:inline distT="0" distB="0" distL="0" distR="0">
            <wp:extent cx="335280" cy="273685"/>
            <wp:effectExtent l="0" t="0" r="0" b="0"/>
            <wp:docPr id="3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3"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определяемой по формуле</w:t>
      </w:r>
    </w:p>
    <w:p w:rsidR="00212513" w:rsidRDefault="00212513">
      <w:pPr>
        <w:pStyle w:val="ConsPlusNormal"/>
        <w:ind w:firstLine="540"/>
        <w:jc w:val="both"/>
      </w:pPr>
    </w:p>
    <w:p w:rsidR="00212513" w:rsidRDefault="00212513">
      <w:pPr>
        <w:pStyle w:val="ConsPlusNormal"/>
        <w:jc w:val="center"/>
      </w:pPr>
      <w:r>
        <w:rPr>
          <w:noProof/>
          <w:position w:val="-27"/>
        </w:rPr>
        <w:drawing>
          <wp:inline distT="0" distB="0" distL="0" distR="0">
            <wp:extent cx="1383030" cy="484505"/>
            <wp:effectExtent l="0" t="0" r="0" b="0"/>
            <wp:docPr id="3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4" cstate="print">
                      <a:extLst>
                        <a:ext uri="{28A0092B-C50C-407E-A947-70E740481C1C}">
                          <a14:useLocalDpi xmlns:a14="http://schemas.microsoft.com/office/drawing/2010/main" val="0"/>
                        </a:ext>
                      </a:extLst>
                    </a:blip>
                    <a:srcRect/>
                    <a:stretch>
                      <a:fillRect/>
                    </a:stretch>
                  </pic:blipFill>
                  <pic:spPr bwMode="auto">
                    <a:xfrm>
                      <a:off x="0" y="0"/>
                      <a:ext cx="1383030" cy="484505"/>
                    </a:xfrm>
                    <a:prstGeom prst="rect">
                      <a:avLst/>
                    </a:prstGeom>
                    <a:noFill/>
                    <a:ln>
                      <a:noFill/>
                    </a:ln>
                  </pic:spPr>
                </pic:pic>
              </a:graphicData>
            </a:graphic>
          </wp:inline>
        </w:drawing>
      </w:r>
      <w:r>
        <w:t>, (Щ.15)</w:t>
      </w:r>
    </w:p>
    <w:p w:rsidR="00212513" w:rsidRDefault="00212513">
      <w:pPr>
        <w:pStyle w:val="ConsPlusNormal"/>
        <w:ind w:firstLine="540"/>
        <w:jc w:val="both"/>
      </w:pPr>
    </w:p>
    <w:p w:rsidR="00212513" w:rsidRDefault="00212513">
      <w:pPr>
        <w:pStyle w:val="ConsPlusNormal"/>
        <w:ind w:firstLine="540"/>
        <w:jc w:val="both"/>
      </w:pPr>
      <w:r>
        <w:t xml:space="preserve">где </w:t>
      </w:r>
      <w:r>
        <w:rPr>
          <w:i/>
        </w:rPr>
        <w:t>L</w:t>
      </w:r>
      <w:r>
        <w:t xml:space="preserve"> - длина сжатой постоянными нагрузками и воздействиями железобетонной плиты;</w:t>
      </w:r>
    </w:p>
    <w:p w:rsidR="00212513" w:rsidRDefault="00212513">
      <w:pPr>
        <w:pStyle w:val="ConsPlusNormal"/>
        <w:spacing w:before="220"/>
        <w:ind w:firstLine="540"/>
        <w:jc w:val="both"/>
      </w:pPr>
      <w:r>
        <w:rPr>
          <w:noProof/>
          <w:position w:val="-9"/>
        </w:rPr>
        <w:drawing>
          <wp:inline distT="0" distB="0" distL="0" distR="0">
            <wp:extent cx="314960" cy="261620"/>
            <wp:effectExtent l="0" t="0" r="0" b="0"/>
            <wp:docPr id="3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5" cstate="print">
                      <a:extLst>
                        <a:ext uri="{28A0092B-C50C-407E-A947-70E740481C1C}">
                          <a14:useLocalDpi xmlns:a14="http://schemas.microsoft.com/office/drawing/2010/main" val="0"/>
                        </a:ext>
                      </a:extLst>
                    </a:blip>
                    <a:srcRect/>
                    <a:stretch>
                      <a:fillRect/>
                    </a:stretch>
                  </pic:blipFill>
                  <pic:spPr bwMode="auto">
                    <a:xfrm>
                      <a:off x="0" y="0"/>
                      <a:ext cx="314960" cy="261620"/>
                    </a:xfrm>
                    <a:prstGeom prst="rect">
                      <a:avLst/>
                    </a:prstGeom>
                    <a:noFill/>
                    <a:ln>
                      <a:noFill/>
                    </a:ln>
                  </pic:spPr>
                </pic:pic>
              </a:graphicData>
            </a:graphic>
          </wp:inline>
        </w:drawing>
      </w:r>
      <w:r>
        <w:t xml:space="preserve"> - суммарная деформация обжатия поперечных швов, расположенных на длине </w:t>
      </w:r>
      <w:r>
        <w:rPr>
          <w:i/>
        </w:rPr>
        <w:t>L</w:t>
      </w:r>
      <w:r>
        <w:t>;</w:t>
      </w:r>
    </w:p>
    <w:p w:rsidR="00212513" w:rsidRDefault="00212513">
      <w:pPr>
        <w:pStyle w:val="ConsPlusNormal"/>
        <w:spacing w:before="220"/>
        <w:ind w:firstLine="540"/>
        <w:jc w:val="both"/>
      </w:pPr>
      <w:r>
        <w:rPr>
          <w:noProof/>
          <w:position w:val="-9"/>
        </w:rPr>
        <w:lastRenderedPageBreak/>
        <w:drawing>
          <wp:inline distT="0" distB="0" distL="0" distR="0">
            <wp:extent cx="241935" cy="261620"/>
            <wp:effectExtent l="0" t="0" r="0" b="0"/>
            <wp:docPr id="3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6" cstate="print">
                      <a:extLst>
                        <a:ext uri="{28A0092B-C50C-407E-A947-70E740481C1C}">
                          <a14:useLocalDpi xmlns:a14="http://schemas.microsoft.com/office/drawing/2010/main" val="0"/>
                        </a:ext>
                      </a:extLst>
                    </a:blip>
                    <a:srcRect/>
                    <a:stretch>
                      <a:fillRect/>
                    </a:stretch>
                  </pic:blipFill>
                  <pic:spPr bwMode="auto">
                    <a:xfrm>
                      <a:off x="0" y="0"/>
                      <a:ext cx="241935" cy="261620"/>
                    </a:xfrm>
                    <a:prstGeom prst="rect">
                      <a:avLst/>
                    </a:prstGeom>
                    <a:noFill/>
                    <a:ln>
                      <a:noFill/>
                    </a:ln>
                  </pic:spPr>
                </pic:pic>
              </a:graphicData>
            </a:graphic>
          </wp:inline>
        </w:drawing>
      </w:r>
      <w:r>
        <w:t xml:space="preserve"> - принимается по </w:t>
      </w:r>
      <w:hyperlink w:anchor="P17266">
        <w:r>
          <w:rPr>
            <w:color w:val="0000FF"/>
          </w:rPr>
          <w:t>Щ.1</w:t>
        </w:r>
      </w:hyperlink>
      <w:r>
        <w:t>;</w:t>
      </w:r>
    </w:p>
    <w:p w:rsidR="00212513" w:rsidRDefault="00212513">
      <w:pPr>
        <w:pStyle w:val="ConsPlusNormal"/>
        <w:spacing w:before="220"/>
        <w:ind w:firstLine="540"/>
        <w:jc w:val="both"/>
      </w:pPr>
      <w:r>
        <w:rPr>
          <w:noProof/>
          <w:position w:val="-9"/>
        </w:rPr>
        <w:drawing>
          <wp:inline distT="0" distB="0" distL="0" distR="0">
            <wp:extent cx="209550" cy="261620"/>
            <wp:effectExtent l="0" t="0" r="0" b="0"/>
            <wp:docPr id="3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1"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 xml:space="preserve">, </w:t>
      </w:r>
      <w:r>
        <w:rPr>
          <w:noProof/>
          <w:position w:val="-9"/>
        </w:rPr>
        <w:drawing>
          <wp:inline distT="0" distB="0" distL="0" distR="0">
            <wp:extent cx="209550" cy="261620"/>
            <wp:effectExtent l="0" t="0" r="0" b="0"/>
            <wp:docPr id="3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7"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 xml:space="preserve"> - принимаются по </w:t>
      </w:r>
      <w:hyperlink w:anchor="P2341">
        <w:r>
          <w:rPr>
            <w:color w:val="0000FF"/>
          </w:rPr>
          <w:t>7.24</w:t>
        </w:r>
      </w:hyperlink>
      <w:r>
        <w:t xml:space="preserve"> и </w:t>
      </w:r>
      <w:hyperlink w:anchor="P2674">
        <w:r>
          <w:rPr>
            <w:color w:val="0000FF"/>
          </w:rPr>
          <w:t>7.32</w:t>
        </w:r>
      </w:hyperlink>
      <w:r>
        <w:t>.</w:t>
      </w:r>
    </w:p>
    <w:p w:rsidR="00212513" w:rsidRDefault="00212513">
      <w:pPr>
        <w:pStyle w:val="ConsPlusNormal"/>
        <w:spacing w:before="220"/>
        <w:ind w:firstLine="540"/>
        <w:jc w:val="both"/>
      </w:pPr>
      <w:r>
        <w:t xml:space="preserve">При отсутствии опытных данных величину </w:t>
      </w:r>
      <w:r>
        <w:rPr>
          <w:noProof/>
          <w:position w:val="-9"/>
        </w:rPr>
        <w:drawing>
          <wp:inline distT="0" distB="0" distL="0" distR="0">
            <wp:extent cx="230505" cy="261620"/>
            <wp:effectExtent l="0" t="0" r="0" b="0"/>
            <wp:docPr id="3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8" cstate="print">
                      <a:extLst>
                        <a:ext uri="{28A0092B-C50C-407E-A947-70E740481C1C}">
                          <a14:useLocalDpi xmlns:a14="http://schemas.microsoft.com/office/drawing/2010/main" val="0"/>
                        </a:ext>
                      </a:extLst>
                    </a:blip>
                    <a:srcRect/>
                    <a:stretch>
                      <a:fillRect/>
                    </a:stretch>
                  </pic:blipFill>
                  <pic:spPr bwMode="auto">
                    <a:xfrm>
                      <a:off x="0" y="0"/>
                      <a:ext cx="230505" cy="261620"/>
                    </a:xfrm>
                    <a:prstGeom prst="rect">
                      <a:avLst/>
                    </a:prstGeom>
                    <a:noFill/>
                    <a:ln>
                      <a:noFill/>
                    </a:ln>
                  </pic:spPr>
                </pic:pic>
              </a:graphicData>
            </a:graphic>
          </wp:inline>
        </w:drawing>
      </w:r>
      <w:r>
        <w:t>, см, допускается вычислять по формуле</w:t>
      </w:r>
    </w:p>
    <w:p w:rsidR="00212513" w:rsidRDefault="00212513">
      <w:pPr>
        <w:pStyle w:val="ConsPlusNormal"/>
        <w:ind w:firstLine="540"/>
        <w:jc w:val="both"/>
      </w:pPr>
    </w:p>
    <w:p w:rsidR="00212513" w:rsidRDefault="00212513">
      <w:pPr>
        <w:pStyle w:val="ConsPlusNormal"/>
        <w:jc w:val="center"/>
      </w:pPr>
      <w:r>
        <w:rPr>
          <w:noProof/>
          <w:position w:val="-9"/>
        </w:rPr>
        <w:drawing>
          <wp:inline distT="0" distB="0" distL="0" distR="0">
            <wp:extent cx="1634490" cy="261620"/>
            <wp:effectExtent l="0" t="0" r="0" b="0"/>
            <wp:docPr id="3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9" cstate="print">
                      <a:extLst>
                        <a:ext uri="{28A0092B-C50C-407E-A947-70E740481C1C}">
                          <a14:useLocalDpi xmlns:a14="http://schemas.microsoft.com/office/drawing/2010/main" val="0"/>
                        </a:ext>
                      </a:extLst>
                    </a:blip>
                    <a:srcRect/>
                    <a:stretch>
                      <a:fillRect/>
                    </a:stretch>
                  </pic:blipFill>
                  <pic:spPr bwMode="auto">
                    <a:xfrm>
                      <a:off x="0" y="0"/>
                      <a:ext cx="1634490" cy="261620"/>
                    </a:xfrm>
                    <a:prstGeom prst="rect">
                      <a:avLst/>
                    </a:prstGeom>
                    <a:noFill/>
                    <a:ln>
                      <a:noFill/>
                    </a:ln>
                  </pic:spPr>
                </pic:pic>
              </a:graphicData>
            </a:graphic>
          </wp:inline>
        </w:drawing>
      </w:r>
      <w:r>
        <w:t>, (Щ.16)</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9"/>
        </w:rPr>
        <w:drawing>
          <wp:inline distT="0" distB="0" distL="0" distR="0">
            <wp:extent cx="177800" cy="261620"/>
            <wp:effectExtent l="0" t="0" r="0" b="0"/>
            <wp:docPr id="3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0"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 ширина шва (зазор между торцами сборных плит).</w:t>
      </w:r>
    </w:p>
    <w:p w:rsidR="00212513" w:rsidRDefault="00212513">
      <w:pPr>
        <w:pStyle w:val="ConsPlusNormal"/>
        <w:spacing w:before="220"/>
        <w:ind w:firstLine="540"/>
        <w:jc w:val="both"/>
      </w:pPr>
      <w:r>
        <w:t xml:space="preserve">Щ.6 Учет виброползучести бетона следует выполнять введением в расчет условного модуля упругости бетона </w:t>
      </w:r>
      <w:r>
        <w:rPr>
          <w:noProof/>
          <w:position w:val="-9"/>
        </w:rPr>
        <w:drawing>
          <wp:inline distT="0" distB="0" distL="0" distR="0">
            <wp:extent cx="293370" cy="261620"/>
            <wp:effectExtent l="0" t="0" r="0" b="0"/>
            <wp:docPr id="3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1" cstate="print">
                      <a:extLst>
                        <a:ext uri="{28A0092B-C50C-407E-A947-70E740481C1C}">
                          <a14:useLocalDpi xmlns:a14="http://schemas.microsoft.com/office/drawing/2010/main" val="0"/>
                        </a:ext>
                      </a:extLst>
                    </a:blip>
                    <a:srcRect/>
                    <a:stretch>
                      <a:fillRect/>
                    </a:stretch>
                  </pic:blipFill>
                  <pic:spPr bwMode="auto">
                    <a:xfrm>
                      <a:off x="0" y="0"/>
                      <a:ext cx="293370" cy="261620"/>
                    </a:xfrm>
                    <a:prstGeom prst="rect">
                      <a:avLst/>
                    </a:prstGeom>
                    <a:noFill/>
                    <a:ln>
                      <a:noFill/>
                    </a:ln>
                  </pic:spPr>
                </pic:pic>
              </a:graphicData>
            </a:graphic>
          </wp:inline>
        </w:drawing>
      </w:r>
      <w:r>
        <w:t xml:space="preserve">, вычисляемого по </w:t>
      </w:r>
      <w:hyperlink w:anchor="P17331">
        <w:r>
          <w:rPr>
            <w:color w:val="0000FF"/>
          </w:rPr>
          <w:t>Щ.2</w:t>
        </w:r>
      </w:hyperlink>
      <w:r>
        <w:t xml:space="preserve">, с заменой </w:t>
      </w:r>
      <w:r>
        <w:rPr>
          <w:noProof/>
          <w:position w:val="-9"/>
        </w:rPr>
        <w:drawing>
          <wp:inline distT="0" distB="0" distL="0" distR="0">
            <wp:extent cx="241935" cy="261620"/>
            <wp:effectExtent l="0" t="0" r="0" b="0"/>
            <wp:docPr id="3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6" cstate="print">
                      <a:extLst>
                        <a:ext uri="{28A0092B-C50C-407E-A947-70E740481C1C}">
                          <a14:useLocalDpi xmlns:a14="http://schemas.microsoft.com/office/drawing/2010/main" val="0"/>
                        </a:ext>
                      </a:extLst>
                    </a:blip>
                    <a:srcRect/>
                    <a:stretch>
                      <a:fillRect/>
                    </a:stretch>
                  </pic:blipFill>
                  <pic:spPr bwMode="auto">
                    <a:xfrm>
                      <a:off x="0" y="0"/>
                      <a:ext cx="241935" cy="261620"/>
                    </a:xfrm>
                    <a:prstGeom prst="rect">
                      <a:avLst/>
                    </a:prstGeom>
                    <a:noFill/>
                    <a:ln>
                      <a:noFill/>
                    </a:ln>
                  </pic:spPr>
                </pic:pic>
              </a:graphicData>
            </a:graphic>
          </wp:inline>
        </w:drawing>
      </w:r>
      <w:r>
        <w:t xml:space="preserve"> на </w:t>
      </w:r>
      <w:r>
        <w:rPr>
          <w:noProof/>
          <w:position w:val="-9"/>
        </w:rPr>
        <w:drawing>
          <wp:inline distT="0" distB="0" distL="0" distR="0">
            <wp:extent cx="273685" cy="261620"/>
            <wp:effectExtent l="0" t="0" r="0" b="0"/>
            <wp:docPr id="3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2" cstate="print">
                      <a:extLst>
                        <a:ext uri="{28A0092B-C50C-407E-A947-70E740481C1C}">
                          <a14:useLocalDpi xmlns:a14="http://schemas.microsoft.com/office/drawing/2010/main" val="0"/>
                        </a:ext>
                      </a:extLst>
                    </a:blip>
                    <a:srcRect/>
                    <a:stretch>
                      <a:fillRect/>
                    </a:stretch>
                  </pic:blipFill>
                  <pic:spPr bwMode="auto">
                    <a:xfrm>
                      <a:off x="0" y="0"/>
                      <a:ext cx="273685" cy="261620"/>
                    </a:xfrm>
                    <a:prstGeom prst="rect">
                      <a:avLst/>
                    </a:prstGeom>
                    <a:noFill/>
                    <a:ln>
                      <a:noFill/>
                    </a:ln>
                  </pic:spPr>
                </pic:pic>
              </a:graphicData>
            </a:graphic>
          </wp:inline>
        </w:drawing>
      </w:r>
      <w:r>
        <w:t>, определяемой по формуле</w:t>
      </w:r>
    </w:p>
    <w:p w:rsidR="00212513" w:rsidRDefault="00212513">
      <w:pPr>
        <w:pStyle w:val="ConsPlusNormal"/>
        <w:ind w:firstLine="540"/>
        <w:jc w:val="both"/>
      </w:pPr>
    </w:p>
    <w:p w:rsidR="00212513" w:rsidRDefault="00212513">
      <w:pPr>
        <w:pStyle w:val="ConsPlusNormal"/>
        <w:jc w:val="center"/>
      </w:pPr>
      <w:r>
        <w:rPr>
          <w:noProof/>
          <w:position w:val="-27"/>
        </w:rPr>
        <w:drawing>
          <wp:inline distT="0" distB="0" distL="0" distR="0">
            <wp:extent cx="3282950" cy="484505"/>
            <wp:effectExtent l="0" t="0" r="0" b="0"/>
            <wp:docPr id="3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3" cstate="print">
                      <a:extLst>
                        <a:ext uri="{28A0092B-C50C-407E-A947-70E740481C1C}">
                          <a14:useLocalDpi xmlns:a14="http://schemas.microsoft.com/office/drawing/2010/main" val="0"/>
                        </a:ext>
                      </a:extLst>
                    </a:blip>
                    <a:srcRect/>
                    <a:stretch>
                      <a:fillRect/>
                    </a:stretch>
                  </pic:blipFill>
                  <pic:spPr bwMode="auto">
                    <a:xfrm>
                      <a:off x="0" y="0"/>
                      <a:ext cx="3282950" cy="484505"/>
                    </a:xfrm>
                    <a:prstGeom prst="rect">
                      <a:avLst/>
                    </a:prstGeom>
                    <a:noFill/>
                    <a:ln>
                      <a:noFill/>
                    </a:ln>
                  </pic:spPr>
                </pic:pic>
              </a:graphicData>
            </a:graphic>
          </wp:inline>
        </w:drawing>
      </w:r>
      <w:r>
        <w:t>, (Щ.17)</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10"/>
        </w:rPr>
        <w:drawing>
          <wp:inline distT="0" distB="0" distL="0" distR="0">
            <wp:extent cx="1156970" cy="273685"/>
            <wp:effectExtent l="0" t="0" r="0" b="0"/>
            <wp:docPr id="3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4" cstate="print">
                      <a:extLst>
                        <a:ext uri="{28A0092B-C50C-407E-A947-70E740481C1C}">
                          <a14:useLocalDpi xmlns:a14="http://schemas.microsoft.com/office/drawing/2010/main" val="0"/>
                        </a:ext>
                      </a:extLst>
                    </a:blip>
                    <a:srcRect/>
                    <a:stretch>
                      <a:fillRect/>
                    </a:stretch>
                  </pic:blipFill>
                  <pic:spPr bwMode="auto">
                    <a:xfrm>
                      <a:off x="0" y="0"/>
                      <a:ext cx="1156970" cy="273685"/>
                    </a:xfrm>
                    <a:prstGeom prst="rect">
                      <a:avLst/>
                    </a:prstGeom>
                    <a:noFill/>
                    <a:ln>
                      <a:noFill/>
                    </a:ln>
                  </pic:spPr>
                </pic:pic>
              </a:graphicData>
            </a:graphic>
          </wp:inline>
        </w:drawing>
      </w:r>
      <w:r>
        <w:t xml:space="preserve"> - характеристика цикла начальных напряжений в бетоне, определенных без учета виброползучести и ползучести;</w:t>
      </w:r>
    </w:p>
    <w:p w:rsidR="00212513" w:rsidRDefault="00212513">
      <w:pPr>
        <w:pStyle w:val="ConsPlusNormal"/>
        <w:spacing w:before="220"/>
        <w:ind w:firstLine="540"/>
        <w:jc w:val="both"/>
      </w:pPr>
      <w:r>
        <w:rPr>
          <w:noProof/>
          <w:position w:val="-9"/>
        </w:rPr>
        <w:drawing>
          <wp:inline distT="0" distB="0" distL="0" distR="0">
            <wp:extent cx="241935" cy="261620"/>
            <wp:effectExtent l="0" t="0" r="0" b="0"/>
            <wp:docPr id="3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6" cstate="print">
                      <a:extLst>
                        <a:ext uri="{28A0092B-C50C-407E-A947-70E740481C1C}">
                          <a14:useLocalDpi xmlns:a14="http://schemas.microsoft.com/office/drawing/2010/main" val="0"/>
                        </a:ext>
                      </a:extLst>
                    </a:blip>
                    <a:srcRect/>
                    <a:stretch>
                      <a:fillRect/>
                    </a:stretch>
                  </pic:blipFill>
                  <pic:spPr bwMode="auto">
                    <a:xfrm>
                      <a:off x="0" y="0"/>
                      <a:ext cx="241935" cy="261620"/>
                    </a:xfrm>
                    <a:prstGeom prst="rect">
                      <a:avLst/>
                    </a:prstGeom>
                    <a:noFill/>
                    <a:ln>
                      <a:noFill/>
                    </a:ln>
                  </pic:spPr>
                </pic:pic>
              </a:graphicData>
            </a:graphic>
          </wp:inline>
        </w:drawing>
      </w:r>
      <w:r>
        <w:t xml:space="preserve">, </w:t>
      </w:r>
      <w:r>
        <w:rPr>
          <w:noProof/>
          <w:position w:val="-9"/>
        </w:rPr>
        <w:drawing>
          <wp:inline distT="0" distB="0" distL="0" distR="0">
            <wp:extent cx="177800" cy="261620"/>
            <wp:effectExtent l="0" t="0" r="0" b="0"/>
            <wp:docPr id="3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5"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 принимаются по </w:t>
      </w:r>
      <w:hyperlink w:anchor="P17266">
        <w:r>
          <w:rPr>
            <w:color w:val="0000FF"/>
          </w:rPr>
          <w:t>Щ.1</w:t>
        </w:r>
      </w:hyperlink>
      <w:r>
        <w:t>.</w:t>
      </w: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jc w:val="right"/>
        <w:outlineLvl w:val="0"/>
      </w:pPr>
      <w:r>
        <w:rPr>
          <w:b/>
        </w:rPr>
        <w:t>Приложение Э</w:t>
      </w:r>
    </w:p>
    <w:p w:rsidR="00212513" w:rsidRDefault="00212513">
      <w:pPr>
        <w:pStyle w:val="ConsPlusNormal"/>
        <w:jc w:val="right"/>
      </w:pPr>
      <w:r>
        <w:rPr>
          <w:b/>
        </w:rPr>
        <w:t>(обязательное)</w:t>
      </w:r>
    </w:p>
    <w:p w:rsidR="00212513" w:rsidRDefault="00212513">
      <w:pPr>
        <w:pStyle w:val="ConsPlusNormal"/>
        <w:ind w:firstLine="540"/>
        <w:jc w:val="both"/>
      </w:pPr>
    </w:p>
    <w:p w:rsidR="00212513" w:rsidRDefault="00212513">
      <w:pPr>
        <w:pStyle w:val="ConsPlusTitle"/>
        <w:jc w:val="center"/>
      </w:pPr>
      <w:bookmarkStart w:id="585" w:name="P17390"/>
      <w:bookmarkEnd w:id="585"/>
      <w:r>
        <w:t>ОПРЕДЕЛЕНИЕ НАПРЯЖЕНИЙ В СТАЛЕЖЕЛЕЗОБЕТОННЫХ БАЛКАХ</w:t>
      </w:r>
    </w:p>
    <w:p w:rsidR="00212513" w:rsidRDefault="00212513">
      <w:pPr>
        <w:pStyle w:val="ConsPlusTitle"/>
        <w:jc w:val="center"/>
      </w:pPr>
      <w:r>
        <w:t>ОТ УСАДКИ БЕТОНА И ТЕМПЕРАТУРНЫХ ВОЗДЕЙСТВИЙ</w:t>
      </w:r>
    </w:p>
    <w:p w:rsidR="00212513" w:rsidRDefault="00212513">
      <w:pPr>
        <w:pStyle w:val="ConsPlusNormal"/>
        <w:ind w:firstLine="540"/>
        <w:jc w:val="both"/>
      </w:pPr>
    </w:p>
    <w:p w:rsidR="00212513" w:rsidRDefault="00212513">
      <w:pPr>
        <w:pStyle w:val="ConsPlusNormal"/>
        <w:ind w:firstLine="540"/>
        <w:jc w:val="both"/>
      </w:pPr>
      <w:bookmarkStart w:id="586" w:name="P17393"/>
      <w:bookmarkEnd w:id="586"/>
      <w:r>
        <w:t>Э.1 Напряжения в стали и бетоне для статически определимой конструкции, состоящей из стальной балки со сплошной стенкой и объединенной с ней в уровне проезда железобетонной плиты, надлежит определять по формулам:</w:t>
      </w:r>
    </w:p>
    <w:p w:rsidR="00212513" w:rsidRDefault="00212513">
      <w:pPr>
        <w:pStyle w:val="ConsPlusNormal"/>
        <w:spacing w:before="220"/>
        <w:ind w:firstLine="540"/>
        <w:jc w:val="both"/>
      </w:pPr>
      <w:r>
        <w:t>а) от усадки бетона</w:t>
      </w:r>
    </w:p>
    <w:p w:rsidR="00212513" w:rsidRDefault="00212513">
      <w:pPr>
        <w:pStyle w:val="ConsPlusNormal"/>
        <w:ind w:firstLine="540"/>
        <w:jc w:val="both"/>
      </w:pPr>
    </w:p>
    <w:p w:rsidR="00212513" w:rsidRDefault="00212513">
      <w:pPr>
        <w:pStyle w:val="ConsPlusNormal"/>
        <w:jc w:val="center"/>
      </w:pPr>
      <w:r>
        <w:rPr>
          <w:noProof/>
          <w:position w:val="-35"/>
        </w:rPr>
        <w:drawing>
          <wp:inline distT="0" distB="0" distL="0" distR="0">
            <wp:extent cx="2500630" cy="586740"/>
            <wp:effectExtent l="0" t="0" r="0" b="0"/>
            <wp:docPr id="3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6" cstate="print">
                      <a:extLst>
                        <a:ext uri="{28A0092B-C50C-407E-A947-70E740481C1C}">
                          <a14:useLocalDpi xmlns:a14="http://schemas.microsoft.com/office/drawing/2010/main" val="0"/>
                        </a:ext>
                      </a:extLst>
                    </a:blip>
                    <a:srcRect/>
                    <a:stretch>
                      <a:fillRect/>
                    </a:stretch>
                  </pic:blipFill>
                  <pic:spPr bwMode="auto">
                    <a:xfrm>
                      <a:off x="0" y="0"/>
                      <a:ext cx="2500630" cy="586740"/>
                    </a:xfrm>
                    <a:prstGeom prst="rect">
                      <a:avLst/>
                    </a:prstGeom>
                    <a:noFill/>
                    <a:ln>
                      <a:noFill/>
                    </a:ln>
                  </pic:spPr>
                </pic:pic>
              </a:graphicData>
            </a:graphic>
          </wp:inline>
        </w:drawing>
      </w:r>
      <w:r>
        <w:t>, (Э.1)</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10"/>
        </w:rPr>
        <w:drawing>
          <wp:inline distT="0" distB="0" distL="0" distR="0">
            <wp:extent cx="441960" cy="273685"/>
            <wp:effectExtent l="0" t="0" r="0" b="0"/>
            <wp:docPr id="3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7" cstate="print">
                      <a:extLst>
                        <a:ext uri="{28A0092B-C50C-407E-A947-70E740481C1C}">
                          <a14:useLocalDpi xmlns:a14="http://schemas.microsoft.com/office/drawing/2010/main" val="0"/>
                        </a:ext>
                      </a:extLst>
                    </a:blip>
                    <a:srcRect/>
                    <a:stretch>
                      <a:fillRect/>
                    </a:stretch>
                  </pic:blipFill>
                  <pic:spPr bwMode="auto">
                    <a:xfrm>
                      <a:off x="0" y="0"/>
                      <a:ext cx="441960" cy="273685"/>
                    </a:xfrm>
                    <a:prstGeom prst="rect">
                      <a:avLst/>
                    </a:prstGeom>
                    <a:noFill/>
                    <a:ln>
                      <a:noFill/>
                    </a:ln>
                  </pic:spPr>
                </pic:pic>
              </a:graphicData>
            </a:graphic>
          </wp:inline>
        </w:drawing>
      </w:r>
      <w:r>
        <w:t xml:space="preserve">, </w:t>
      </w:r>
      <w:r>
        <w:rPr>
          <w:noProof/>
          <w:position w:val="-10"/>
        </w:rPr>
        <w:drawing>
          <wp:inline distT="0" distB="0" distL="0" distR="0">
            <wp:extent cx="396875" cy="273685"/>
            <wp:effectExtent l="0" t="0" r="0" b="0"/>
            <wp:docPr id="3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8" cstate="print">
                      <a:extLst>
                        <a:ext uri="{28A0092B-C50C-407E-A947-70E740481C1C}">
                          <a14:useLocalDpi xmlns:a14="http://schemas.microsoft.com/office/drawing/2010/main" val="0"/>
                        </a:ext>
                      </a:extLst>
                    </a:blip>
                    <a:srcRect/>
                    <a:stretch>
                      <a:fillRect/>
                    </a:stretch>
                  </pic:blipFill>
                  <pic:spPr bwMode="auto">
                    <a:xfrm>
                      <a:off x="0" y="0"/>
                      <a:ext cx="396875" cy="273685"/>
                    </a:xfrm>
                    <a:prstGeom prst="rect">
                      <a:avLst/>
                    </a:prstGeom>
                    <a:noFill/>
                    <a:ln>
                      <a:noFill/>
                    </a:ln>
                  </pic:spPr>
                </pic:pic>
              </a:graphicData>
            </a:graphic>
          </wp:inline>
        </w:drawing>
      </w:r>
      <w:r>
        <w:t xml:space="preserve"> - приведенные к стали площадь и момент инерции брутто поперечного сечения сталежелезобетонной балки при модуле упругости бетона </w:t>
      </w:r>
      <w:r>
        <w:rPr>
          <w:noProof/>
          <w:position w:val="-10"/>
        </w:rPr>
        <w:drawing>
          <wp:inline distT="0" distB="0" distL="0" distR="0">
            <wp:extent cx="419100" cy="273685"/>
            <wp:effectExtent l="0" t="0" r="0" b="0"/>
            <wp:docPr id="3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9" cstate="print">
                      <a:extLst>
                        <a:ext uri="{28A0092B-C50C-407E-A947-70E740481C1C}">
                          <a14:useLocalDpi xmlns:a14="http://schemas.microsoft.com/office/drawing/2010/main" val="0"/>
                        </a:ext>
                      </a:extLst>
                    </a:blip>
                    <a:srcRect/>
                    <a:stretch>
                      <a:fillRect/>
                    </a:stretch>
                  </pic:blipFill>
                  <pic:spPr bwMode="auto">
                    <a:xfrm>
                      <a:off x="0" y="0"/>
                      <a:ext cx="419100" cy="273685"/>
                    </a:xfrm>
                    <a:prstGeom prst="rect">
                      <a:avLst/>
                    </a:prstGeom>
                    <a:noFill/>
                    <a:ln>
                      <a:noFill/>
                    </a:ln>
                  </pic:spPr>
                </pic:pic>
              </a:graphicData>
            </a:graphic>
          </wp:inline>
        </w:drawing>
      </w:r>
      <w:r>
        <w:t xml:space="preserve">, определяемом по </w:t>
      </w:r>
      <w:hyperlink w:anchor="P9392">
        <w:r>
          <w:rPr>
            <w:color w:val="0000FF"/>
          </w:rPr>
          <w:t>9.9</w:t>
        </w:r>
      </w:hyperlink>
      <w:r>
        <w:t>;</w:t>
      </w:r>
    </w:p>
    <w:p w:rsidR="00212513" w:rsidRDefault="00212513">
      <w:pPr>
        <w:pStyle w:val="ConsPlusNormal"/>
        <w:spacing w:before="220"/>
        <w:ind w:firstLine="540"/>
        <w:jc w:val="both"/>
      </w:pPr>
      <w:r>
        <w:rPr>
          <w:noProof/>
          <w:position w:val="-9"/>
        </w:rPr>
        <w:drawing>
          <wp:inline distT="0" distB="0" distL="0" distR="0">
            <wp:extent cx="230505" cy="261620"/>
            <wp:effectExtent l="0" t="0" r="0" b="0"/>
            <wp:docPr id="3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0" cstate="print">
                      <a:extLst>
                        <a:ext uri="{28A0092B-C50C-407E-A947-70E740481C1C}">
                          <a14:useLocalDpi xmlns:a14="http://schemas.microsoft.com/office/drawing/2010/main" val="0"/>
                        </a:ext>
                      </a:extLst>
                    </a:blip>
                    <a:srcRect/>
                    <a:stretch>
                      <a:fillRect/>
                    </a:stretch>
                  </pic:blipFill>
                  <pic:spPr bwMode="auto">
                    <a:xfrm>
                      <a:off x="0" y="0"/>
                      <a:ext cx="230505" cy="261620"/>
                    </a:xfrm>
                    <a:prstGeom prst="rect">
                      <a:avLst/>
                    </a:prstGeom>
                    <a:noFill/>
                    <a:ln>
                      <a:noFill/>
                    </a:ln>
                  </pic:spPr>
                </pic:pic>
              </a:graphicData>
            </a:graphic>
          </wp:inline>
        </w:drawing>
      </w:r>
      <w:r>
        <w:t xml:space="preserve"> - площадь стальной части сечения, включая арматуру железобетонной плиты;</w:t>
      </w:r>
    </w:p>
    <w:p w:rsidR="00212513" w:rsidRDefault="00212513">
      <w:pPr>
        <w:pStyle w:val="ConsPlusNormal"/>
        <w:spacing w:before="220"/>
        <w:ind w:firstLine="540"/>
        <w:jc w:val="both"/>
      </w:pPr>
      <w:r>
        <w:rPr>
          <w:noProof/>
          <w:position w:val="-10"/>
        </w:rPr>
        <w:drawing>
          <wp:inline distT="0" distB="0" distL="0" distR="0">
            <wp:extent cx="986790" cy="273685"/>
            <wp:effectExtent l="0" t="0" r="0" b="0"/>
            <wp:docPr id="3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1" cstate="print">
                      <a:extLst>
                        <a:ext uri="{28A0092B-C50C-407E-A947-70E740481C1C}">
                          <a14:useLocalDpi xmlns:a14="http://schemas.microsoft.com/office/drawing/2010/main" val="0"/>
                        </a:ext>
                      </a:extLst>
                    </a:blip>
                    <a:srcRect/>
                    <a:stretch>
                      <a:fillRect/>
                    </a:stretch>
                  </pic:blipFill>
                  <pic:spPr bwMode="auto">
                    <a:xfrm>
                      <a:off x="0" y="0"/>
                      <a:ext cx="986790" cy="273685"/>
                    </a:xfrm>
                    <a:prstGeom prst="rect">
                      <a:avLst/>
                    </a:prstGeom>
                    <a:noFill/>
                    <a:ln>
                      <a:noFill/>
                    </a:ln>
                  </pic:spPr>
                </pic:pic>
              </a:graphicData>
            </a:graphic>
          </wp:inline>
        </w:drawing>
      </w:r>
      <w:r>
        <w:t>;</w:t>
      </w:r>
    </w:p>
    <w:p w:rsidR="00212513" w:rsidRDefault="00212513">
      <w:pPr>
        <w:pStyle w:val="ConsPlusNormal"/>
        <w:spacing w:before="220"/>
        <w:ind w:firstLine="540"/>
        <w:jc w:val="both"/>
      </w:pPr>
      <w:r>
        <w:rPr>
          <w:noProof/>
          <w:position w:val="-10"/>
        </w:rPr>
        <w:lastRenderedPageBreak/>
        <w:drawing>
          <wp:inline distT="0" distB="0" distL="0" distR="0">
            <wp:extent cx="398780" cy="273685"/>
            <wp:effectExtent l="0" t="0" r="0" b="0"/>
            <wp:docPr id="3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2" cstate="print">
                      <a:extLst>
                        <a:ext uri="{28A0092B-C50C-407E-A947-70E740481C1C}">
                          <a14:useLocalDpi xmlns:a14="http://schemas.microsoft.com/office/drawing/2010/main" val="0"/>
                        </a:ext>
                      </a:extLst>
                    </a:blip>
                    <a:srcRect/>
                    <a:stretch>
                      <a:fillRect/>
                    </a:stretch>
                  </pic:blipFill>
                  <pic:spPr bwMode="auto">
                    <a:xfrm>
                      <a:off x="0" y="0"/>
                      <a:ext cx="398780" cy="273685"/>
                    </a:xfrm>
                    <a:prstGeom prst="rect">
                      <a:avLst/>
                    </a:prstGeom>
                    <a:noFill/>
                    <a:ln>
                      <a:noFill/>
                    </a:ln>
                  </pic:spPr>
                </pic:pic>
              </a:graphicData>
            </a:graphic>
          </wp:inline>
        </w:drawing>
      </w:r>
      <w:r>
        <w:t xml:space="preserve"> - расстояние от центра тяжести </w:t>
      </w:r>
      <w:r>
        <w:rPr>
          <w:noProof/>
          <w:position w:val="-10"/>
        </w:rPr>
        <w:drawing>
          <wp:inline distT="0" distB="0" distL="0" distR="0">
            <wp:extent cx="441960" cy="273685"/>
            <wp:effectExtent l="0" t="0" r="0" b="0"/>
            <wp:docPr id="3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7" cstate="print">
                      <a:extLst>
                        <a:ext uri="{28A0092B-C50C-407E-A947-70E740481C1C}">
                          <a14:useLocalDpi xmlns:a14="http://schemas.microsoft.com/office/drawing/2010/main" val="0"/>
                        </a:ext>
                      </a:extLst>
                    </a:blip>
                    <a:srcRect/>
                    <a:stretch>
                      <a:fillRect/>
                    </a:stretch>
                  </pic:blipFill>
                  <pic:spPr bwMode="auto">
                    <a:xfrm>
                      <a:off x="0" y="0"/>
                      <a:ext cx="441960" cy="273685"/>
                    </a:xfrm>
                    <a:prstGeom prst="rect">
                      <a:avLst/>
                    </a:prstGeom>
                    <a:noFill/>
                    <a:ln>
                      <a:noFill/>
                    </a:ln>
                  </pic:spPr>
                </pic:pic>
              </a:graphicData>
            </a:graphic>
          </wp:inline>
        </w:drawing>
      </w:r>
      <w:r>
        <w:t xml:space="preserve"> до центра тяжести </w:t>
      </w:r>
      <w:r>
        <w:rPr>
          <w:noProof/>
          <w:position w:val="-9"/>
        </w:rPr>
        <w:drawing>
          <wp:inline distT="0" distB="0" distL="0" distR="0">
            <wp:extent cx="230505" cy="261620"/>
            <wp:effectExtent l="0" t="0" r="0" b="0"/>
            <wp:docPr id="3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0" cstate="print">
                      <a:extLst>
                        <a:ext uri="{28A0092B-C50C-407E-A947-70E740481C1C}">
                          <a14:useLocalDpi xmlns:a14="http://schemas.microsoft.com/office/drawing/2010/main" val="0"/>
                        </a:ext>
                      </a:extLst>
                    </a:blip>
                    <a:srcRect/>
                    <a:stretch>
                      <a:fillRect/>
                    </a:stretch>
                  </pic:blipFill>
                  <pic:spPr bwMode="auto">
                    <a:xfrm>
                      <a:off x="0" y="0"/>
                      <a:ext cx="230505" cy="261620"/>
                    </a:xfrm>
                    <a:prstGeom prst="rect">
                      <a:avLst/>
                    </a:prstGeom>
                    <a:noFill/>
                    <a:ln>
                      <a:noFill/>
                    </a:ln>
                  </pic:spPr>
                </pic:pic>
              </a:graphicData>
            </a:graphic>
          </wp:inline>
        </w:drawing>
      </w:r>
      <w:r>
        <w:t>;</w:t>
      </w:r>
    </w:p>
    <w:p w:rsidR="00212513" w:rsidRDefault="00212513">
      <w:pPr>
        <w:pStyle w:val="ConsPlusNormal"/>
        <w:spacing w:before="220"/>
        <w:ind w:firstLine="540"/>
        <w:jc w:val="both"/>
      </w:pPr>
      <w:r>
        <w:rPr>
          <w:i/>
        </w:rPr>
        <w:t>Z</w:t>
      </w:r>
      <w:r>
        <w:t xml:space="preserve"> - расстояние от центра тяжести </w:t>
      </w:r>
      <w:r>
        <w:rPr>
          <w:noProof/>
          <w:position w:val="-10"/>
        </w:rPr>
        <w:drawing>
          <wp:inline distT="0" distB="0" distL="0" distR="0">
            <wp:extent cx="441960" cy="273685"/>
            <wp:effectExtent l="0" t="0" r="0" b="0"/>
            <wp:docPr id="3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7" cstate="print">
                      <a:extLst>
                        <a:ext uri="{28A0092B-C50C-407E-A947-70E740481C1C}">
                          <a14:useLocalDpi xmlns:a14="http://schemas.microsoft.com/office/drawing/2010/main" val="0"/>
                        </a:ext>
                      </a:extLst>
                    </a:blip>
                    <a:srcRect/>
                    <a:stretch>
                      <a:fillRect/>
                    </a:stretch>
                  </pic:blipFill>
                  <pic:spPr bwMode="auto">
                    <a:xfrm>
                      <a:off x="0" y="0"/>
                      <a:ext cx="441960" cy="273685"/>
                    </a:xfrm>
                    <a:prstGeom prst="rect">
                      <a:avLst/>
                    </a:prstGeom>
                    <a:noFill/>
                    <a:ln>
                      <a:noFill/>
                    </a:ln>
                  </pic:spPr>
                </pic:pic>
              </a:graphicData>
            </a:graphic>
          </wp:inline>
        </w:drawing>
      </w:r>
      <w:r>
        <w:t xml:space="preserve"> до фибры, где определяется </w:t>
      </w:r>
      <w:r>
        <w:rPr>
          <w:noProof/>
          <w:position w:val="-9"/>
        </w:rPr>
        <w:drawing>
          <wp:inline distT="0" distB="0" distL="0" distR="0">
            <wp:extent cx="293370" cy="261620"/>
            <wp:effectExtent l="0" t="0" r="0" b="0"/>
            <wp:docPr id="3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3" cstate="print">
                      <a:extLst>
                        <a:ext uri="{28A0092B-C50C-407E-A947-70E740481C1C}">
                          <a14:useLocalDpi xmlns:a14="http://schemas.microsoft.com/office/drawing/2010/main" val="0"/>
                        </a:ext>
                      </a:extLst>
                    </a:blip>
                    <a:srcRect/>
                    <a:stretch>
                      <a:fillRect/>
                    </a:stretch>
                  </pic:blipFill>
                  <pic:spPr bwMode="auto">
                    <a:xfrm>
                      <a:off x="0" y="0"/>
                      <a:ext cx="293370" cy="261620"/>
                    </a:xfrm>
                    <a:prstGeom prst="rect">
                      <a:avLst/>
                    </a:prstGeom>
                    <a:noFill/>
                    <a:ln>
                      <a:noFill/>
                    </a:ln>
                  </pic:spPr>
                </pic:pic>
              </a:graphicData>
            </a:graphic>
          </wp:inline>
        </w:drawing>
      </w:r>
      <w:r>
        <w:t xml:space="preserve"> (положительное направление оси </w:t>
      </w:r>
      <w:r>
        <w:rPr>
          <w:i/>
        </w:rPr>
        <w:t>Z</w:t>
      </w:r>
      <w:r>
        <w:t xml:space="preserve"> принято вниз);</w:t>
      </w:r>
    </w:p>
    <w:p w:rsidR="00212513" w:rsidRDefault="00212513">
      <w:pPr>
        <w:pStyle w:val="ConsPlusNormal"/>
        <w:spacing w:before="220"/>
        <w:ind w:firstLine="540"/>
        <w:jc w:val="both"/>
      </w:pPr>
      <w:r>
        <w:rPr>
          <w:noProof/>
          <w:position w:val="-9"/>
        </w:rPr>
        <w:drawing>
          <wp:inline distT="0" distB="0" distL="0" distR="0">
            <wp:extent cx="535940" cy="261620"/>
            <wp:effectExtent l="0" t="0" r="0" b="0"/>
            <wp:docPr id="3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4" cstate="print">
                      <a:extLst>
                        <a:ext uri="{28A0092B-C50C-407E-A947-70E740481C1C}">
                          <a14:useLocalDpi xmlns:a14="http://schemas.microsoft.com/office/drawing/2010/main" val="0"/>
                        </a:ext>
                      </a:extLst>
                    </a:blip>
                    <a:srcRect/>
                    <a:stretch>
                      <a:fillRect/>
                    </a:stretch>
                  </pic:blipFill>
                  <pic:spPr bwMode="auto">
                    <a:xfrm>
                      <a:off x="0" y="0"/>
                      <a:ext cx="535940" cy="261620"/>
                    </a:xfrm>
                    <a:prstGeom prst="rect">
                      <a:avLst/>
                    </a:prstGeom>
                    <a:noFill/>
                    <a:ln>
                      <a:noFill/>
                    </a:ln>
                  </pic:spPr>
                </pic:pic>
              </a:graphicData>
            </a:graphic>
          </wp:inline>
        </w:drawing>
      </w:r>
      <w:r>
        <w:t xml:space="preserve">, </w:t>
      </w:r>
      <w:r>
        <w:rPr>
          <w:noProof/>
          <w:position w:val="-9"/>
        </w:rPr>
        <w:drawing>
          <wp:inline distT="0" distB="0" distL="0" distR="0">
            <wp:extent cx="502920" cy="261620"/>
            <wp:effectExtent l="0" t="0" r="0" b="0"/>
            <wp:docPr id="3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5" cstate="print">
                      <a:extLst>
                        <a:ext uri="{28A0092B-C50C-407E-A947-70E740481C1C}">
                          <a14:useLocalDpi xmlns:a14="http://schemas.microsoft.com/office/drawing/2010/main" val="0"/>
                        </a:ext>
                      </a:extLst>
                    </a:blip>
                    <a:srcRect/>
                    <a:stretch>
                      <a:fillRect/>
                    </a:stretch>
                  </pic:blipFill>
                  <pic:spPr bwMode="auto">
                    <a:xfrm>
                      <a:off x="0" y="0"/>
                      <a:ext cx="502920" cy="261620"/>
                    </a:xfrm>
                    <a:prstGeom prst="rect">
                      <a:avLst/>
                    </a:prstGeom>
                    <a:noFill/>
                    <a:ln>
                      <a:noFill/>
                    </a:ln>
                  </pic:spPr>
                </pic:pic>
              </a:graphicData>
            </a:graphic>
          </wp:inline>
        </w:drawing>
      </w:r>
      <w:r>
        <w:t xml:space="preserve"> - при определении напряжений соответственно в бетоне и в стали;</w:t>
      </w:r>
    </w:p>
    <w:p w:rsidR="00212513" w:rsidRDefault="00212513">
      <w:pPr>
        <w:pStyle w:val="ConsPlusNormal"/>
        <w:spacing w:before="220"/>
        <w:ind w:firstLine="540"/>
        <w:jc w:val="both"/>
      </w:pPr>
      <w:r>
        <w:rPr>
          <w:i/>
        </w:rPr>
        <w:t>E</w:t>
      </w:r>
      <w:r>
        <w:t xml:space="preserve"> - следует принимать равным при определении напряжений:</w:t>
      </w:r>
    </w:p>
    <w:p w:rsidR="00212513" w:rsidRDefault="00212513">
      <w:pPr>
        <w:pStyle w:val="ConsPlusNormal"/>
        <w:spacing w:before="220"/>
        <w:ind w:firstLine="540"/>
        <w:jc w:val="both"/>
      </w:pPr>
      <w:r>
        <w:t xml:space="preserve">в бетоне - </w:t>
      </w:r>
      <w:r>
        <w:rPr>
          <w:noProof/>
          <w:position w:val="-10"/>
        </w:rPr>
        <w:drawing>
          <wp:inline distT="0" distB="0" distL="0" distR="0">
            <wp:extent cx="419100" cy="273685"/>
            <wp:effectExtent l="0" t="0" r="0" b="0"/>
            <wp:docPr id="3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9" cstate="print">
                      <a:extLst>
                        <a:ext uri="{28A0092B-C50C-407E-A947-70E740481C1C}">
                          <a14:useLocalDpi xmlns:a14="http://schemas.microsoft.com/office/drawing/2010/main" val="0"/>
                        </a:ext>
                      </a:extLst>
                    </a:blip>
                    <a:srcRect/>
                    <a:stretch>
                      <a:fillRect/>
                    </a:stretch>
                  </pic:blipFill>
                  <pic:spPr bwMode="auto">
                    <a:xfrm>
                      <a:off x="0" y="0"/>
                      <a:ext cx="419100" cy="273685"/>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в стальной балке - </w:t>
      </w:r>
      <w:r>
        <w:rPr>
          <w:noProof/>
          <w:position w:val="-9"/>
        </w:rPr>
        <w:drawing>
          <wp:inline distT="0" distB="0" distL="0" distR="0">
            <wp:extent cx="241935" cy="261620"/>
            <wp:effectExtent l="0" t="0" r="0" b="0"/>
            <wp:docPr id="3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6" cstate="print">
                      <a:extLst>
                        <a:ext uri="{28A0092B-C50C-407E-A947-70E740481C1C}">
                          <a14:useLocalDpi xmlns:a14="http://schemas.microsoft.com/office/drawing/2010/main" val="0"/>
                        </a:ext>
                      </a:extLst>
                    </a:blip>
                    <a:srcRect/>
                    <a:stretch>
                      <a:fillRect/>
                    </a:stretch>
                  </pic:blipFill>
                  <pic:spPr bwMode="auto">
                    <a:xfrm>
                      <a:off x="0" y="0"/>
                      <a:ext cx="241935" cy="261620"/>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в ненапрягаемой арматуре - </w:t>
      </w:r>
      <w:r>
        <w:rPr>
          <w:noProof/>
          <w:position w:val="-9"/>
        </w:rPr>
        <w:drawing>
          <wp:inline distT="0" distB="0" distL="0" distR="0">
            <wp:extent cx="241935" cy="261620"/>
            <wp:effectExtent l="0" t="0" r="0" b="0"/>
            <wp:docPr id="3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7" cstate="print">
                      <a:extLst>
                        <a:ext uri="{28A0092B-C50C-407E-A947-70E740481C1C}">
                          <a14:useLocalDpi xmlns:a14="http://schemas.microsoft.com/office/drawing/2010/main" val="0"/>
                        </a:ext>
                      </a:extLst>
                    </a:blip>
                    <a:srcRect/>
                    <a:stretch>
                      <a:fillRect/>
                    </a:stretch>
                  </pic:blipFill>
                  <pic:spPr bwMode="auto">
                    <a:xfrm>
                      <a:off x="0" y="0"/>
                      <a:ext cx="241935" cy="261620"/>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в напрягаемой арматуре - </w:t>
      </w:r>
      <w:r>
        <w:rPr>
          <w:noProof/>
          <w:position w:val="-10"/>
        </w:rPr>
        <w:drawing>
          <wp:inline distT="0" distB="0" distL="0" distR="0">
            <wp:extent cx="261620" cy="273685"/>
            <wp:effectExtent l="0" t="0" r="0" b="0"/>
            <wp:docPr id="3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8" cstate="print">
                      <a:extLst>
                        <a:ext uri="{28A0092B-C50C-407E-A947-70E740481C1C}">
                          <a14:useLocalDpi xmlns:a14="http://schemas.microsoft.com/office/drawing/2010/main" val="0"/>
                        </a:ext>
                      </a:extLst>
                    </a:blip>
                    <a:srcRect/>
                    <a:stretch>
                      <a:fillRect/>
                    </a:stretch>
                  </pic:blipFill>
                  <pic:spPr bwMode="auto">
                    <a:xfrm>
                      <a:off x="0" y="0"/>
                      <a:ext cx="261620" cy="273685"/>
                    </a:xfrm>
                    <a:prstGeom prst="rect">
                      <a:avLst/>
                    </a:prstGeom>
                    <a:noFill/>
                    <a:ln>
                      <a:noFill/>
                    </a:ln>
                  </pic:spPr>
                </pic:pic>
              </a:graphicData>
            </a:graphic>
          </wp:inline>
        </w:drawing>
      </w:r>
      <w:r>
        <w:t>;</w:t>
      </w:r>
    </w:p>
    <w:p w:rsidR="00212513" w:rsidRDefault="00212513">
      <w:pPr>
        <w:pStyle w:val="ConsPlusNormal"/>
        <w:spacing w:before="220"/>
        <w:ind w:firstLine="540"/>
        <w:jc w:val="both"/>
      </w:pPr>
      <w:r>
        <w:rPr>
          <w:noProof/>
          <w:position w:val="-9"/>
        </w:rPr>
        <w:drawing>
          <wp:inline distT="0" distB="0" distL="0" distR="0">
            <wp:extent cx="273685" cy="261620"/>
            <wp:effectExtent l="0" t="0" r="0" b="0"/>
            <wp:docPr id="3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9" cstate="print">
                      <a:extLst>
                        <a:ext uri="{28A0092B-C50C-407E-A947-70E740481C1C}">
                          <a14:useLocalDpi xmlns:a14="http://schemas.microsoft.com/office/drawing/2010/main" val="0"/>
                        </a:ext>
                      </a:extLst>
                    </a:blip>
                    <a:srcRect/>
                    <a:stretch>
                      <a:fillRect/>
                    </a:stretch>
                  </pic:blipFill>
                  <pic:spPr bwMode="auto">
                    <a:xfrm>
                      <a:off x="0" y="0"/>
                      <a:ext cx="273685" cy="261620"/>
                    </a:xfrm>
                    <a:prstGeom prst="rect">
                      <a:avLst/>
                    </a:prstGeom>
                    <a:noFill/>
                    <a:ln>
                      <a:noFill/>
                    </a:ln>
                  </pic:spPr>
                </pic:pic>
              </a:graphicData>
            </a:graphic>
          </wp:inline>
        </w:drawing>
      </w:r>
      <w:r>
        <w:t xml:space="preserve"> - предельная относительная деформация усадки бетона, принимаемая по </w:t>
      </w:r>
      <w:hyperlink w:anchor="P9392">
        <w:r>
          <w:rPr>
            <w:color w:val="0000FF"/>
          </w:rPr>
          <w:t>9.9</w:t>
        </w:r>
      </w:hyperlink>
      <w:r>
        <w:t>;</w:t>
      </w:r>
    </w:p>
    <w:p w:rsidR="00212513" w:rsidRDefault="00212513">
      <w:pPr>
        <w:pStyle w:val="ConsPlusNormal"/>
        <w:spacing w:before="220"/>
        <w:ind w:firstLine="540"/>
        <w:jc w:val="both"/>
      </w:pPr>
      <w:r>
        <w:t>б) от температурных воздействий</w:t>
      </w:r>
    </w:p>
    <w:p w:rsidR="00212513" w:rsidRDefault="00212513">
      <w:pPr>
        <w:pStyle w:val="ConsPlusNormal"/>
        <w:ind w:firstLine="540"/>
        <w:jc w:val="both"/>
      </w:pPr>
    </w:p>
    <w:p w:rsidR="00212513" w:rsidRDefault="00212513">
      <w:pPr>
        <w:pStyle w:val="ConsPlusNormal"/>
        <w:jc w:val="center"/>
      </w:pPr>
      <w:bookmarkStart w:id="587" w:name="P17412"/>
      <w:bookmarkEnd w:id="587"/>
      <w:r>
        <w:rPr>
          <w:noProof/>
          <w:position w:val="-35"/>
        </w:rPr>
        <w:drawing>
          <wp:inline distT="0" distB="0" distL="0" distR="0">
            <wp:extent cx="2165350" cy="586740"/>
            <wp:effectExtent l="0" t="0" r="0" b="0"/>
            <wp:docPr id="3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0" cstate="print">
                      <a:extLst>
                        <a:ext uri="{28A0092B-C50C-407E-A947-70E740481C1C}">
                          <a14:useLocalDpi xmlns:a14="http://schemas.microsoft.com/office/drawing/2010/main" val="0"/>
                        </a:ext>
                      </a:extLst>
                    </a:blip>
                    <a:srcRect/>
                    <a:stretch>
                      <a:fillRect/>
                    </a:stretch>
                  </pic:blipFill>
                  <pic:spPr bwMode="auto">
                    <a:xfrm>
                      <a:off x="0" y="0"/>
                      <a:ext cx="2165350" cy="586740"/>
                    </a:xfrm>
                    <a:prstGeom prst="rect">
                      <a:avLst/>
                    </a:prstGeom>
                    <a:noFill/>
                    <a:ln>
                      <a:noFill/>
                    </a:ln>
                  </pic:spPr>
                </pic:pic>
              </a:graphicData>
            </a:graphic>
          </wp:inline>
        </w:drawing>
      </w:r>
      <w:r>
        <w:t>, (Э.2)</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9"/>
        </w:rPr>
        <w:drawing>
          <wp:inline distT="0" distB="0" distL="0" distR="0">
            <wp:extent cx="1156970" cy="261620"/>
            <wp:effectExtent l="0" t="0" r="0" b="0"/>
            <wp:docPr id="3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1" cstate="print">
                      <a:extLst>
                        <a:ext uri="{28A0092B-C50C-407E-A947-70E740481C1C}">
                          <a14:useLocalDpi xmlns:a14="http://schemas.microsoft.com/office/drawing/2010/main" val="0"/>
                        </a:ext>
                      </a:extLst>
                    </a:blip>
                    <a:srcRect/>
                    <a:stretch>
                      <a:fillRect/>
                    </a:stretch>
                  </pic:blipFill>
                  <pic:spPr bwMode="auto">
                    <a:xfrm>
                      <a:off x="0" y="0"/>
                      <a:ext cx="1156970" cy="261620"/>
                    </a:xfrm>
                    <a:prstGeom prst="rect">
                      <a:avLst/>
                    </a:prstGeom>
                    <a:noFill/>
                    <a:ln>
                      <a:noFill/>
                    </a:ln>
                  </pic:spPr>
                </pic:pic>
              </a:graphicData>
            </a:graphic>
          </wp:inline>
        </w:drawing>
      </w:r>
      <w:r>
        <w:t xml:space="preserve"> - коэффициент линейного расширения стали и бетона;</w:t>
      </w:r>
    </w:p>
    <w:p w:rsidR="00212513" w:rsidRDefault="00212513">
      <w:pPr>
        <w:pStyle w:val="ConsPlusNormal"/>
        <w:spacing w:before="220"/>
        <w:ind w:firstLine="540"/>
        <w:jc w:val="both"/>
      </w:pPr>
      <w:r>
        <w:rPr>
          <w:noProof/>
          <w:position w:val="-10"/>
        </w:rPr>
        <w:drawing>
          <wp:inline distT="0" distB="0" distL="0" distR="0">
            <wp:extent cx="922020" cy="273685"/>
            <wp:effectExtent l="0" t="0" r="0" b="0"/>
            <wp:docPr id="3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2" cstate="print">
                      <a:extLst>
                        <a:ext uri="{28A0092B-C50C-407E-A947-70E740481C1C}">
                          <a14:useLocalDpi xmlns:a14="http://schemas.microsoft.com/office/drawing/2010/main" val="0"/>
                        </a:ext>
                      </a:extLst>
                    </a:blip>
                    <a:srcRect/>
                    <a:stretch>
                      <a:fillRect/>
                    </a:stretch>
                  </pic:blipFill>
                  <pic:spPr bwMode="auto">
                    <a:xfrm>
                      <a:off x="0" y="0"/>
                      <a:ext cx="922020" cy="273685"/>
                    </a:xfrm>
                    <a:prstGeom prst="rect">
                      <a:avLst/>
                    </a:prstGeom>
                    <a:noFill/>
                    <a:ln>
                      <a:noFill/>
                    </a:ln>
                  </pic:spPr>
                </pic:pic>
              </a:graphicData>
            </a:graphic>
          </wp:inline>
        </w:drawing>
      </w:r>
      <w:r>
        <w:t>;</w:t>
      </w:r>
    </w:p>
    <w:p w:rsidR="00212513" w:rsidRDefault="00212513">
      <w:pPr>
        <w:pStyle w:val="ConsPlusNormal"/>
        <w:spacing w:before="220"/>
        <w:ind w:firstLine="540"/>
        <w:jc w:val="both"/>
      </w:pPr>
      <w:r>
        <w:rPr>
          <w:noProof/>
          <w:position w:val="-10"/>
        </w:rPr>
        <w:drawing>
          <wp:inline distT="0" distB="0" distL="0" distR="0">
            <wp:extent cx="209550" cy="273685"/>
            <wp:effectExtent l="0" t="0" r="0" b="0"/>
            <wp:docPr id="3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3" cstate="print">
                      <a:extLst>
                        <a:ext uri="{28A0092B-C50C-407E-A947-70E740481C1C}">
                          <a14:useLocalDpi xmlns:a14="http://schemas.microsoft.com/office/drawing/2010/main" val="0"/>
                        </a:ext>
                      </a:extLst>
                    </a:blip>
                    <a:srcRect/>
                    <a:stretch>
                      <a:fillRect/>
                    </a:stretch>
                  </pic:blipFill>
                  <pic:spPr bwMode="auto">
                    <a:xfrm>
                      <a:off x="0" y="0"/>
                      <a:ext cx="209550" cy="273685"/>
                    </a:xfrm>
                    <a:prstGeom prst="rect">
                      <a:avLst/>
                    </a:prstGeom>
                    <a:noFill/>
                    <a:ln>
                      <a:noFill/>
                    </a:ln>
                  </pic:spPr>
                </pic:pic>
              </a:graphicData>
            </a:graphic>
          </wp:inline>
        </w:drawing>
      </w:r>
      <w:r>
        <w:t xml:space="preserve"> - принимается по </w:t>
      </w:r>
      <w:hyperlink w:anchor="P1905">
        <w:r>
          <w:rPr>
            <w:color w:val="0000FF"/>
          </w:rPr>
          <w:t>таблице 6.14</w:t>
        </w:r>
      </w:hyperlink>
      <w:r>
        <w:t>;</w:t>
      </w:r>
    </w:p>
    <w:p w:rsidR="00212513" w:rsidRDefault="00212513">
      <w:pPr>
        <w:pStyle w:val="ConsPlusNormal"/>
        <w:spacing w:before="220"/>
        <w:ind w:firstLine="540"/>
        <w:jc w:val="both"/>
      </w:pPr>
      <w:r>
        <w:rPr>
          <w:noProof/>
          <w:position w:val="-10"/>
        </w:rPr>
        <w:drawing>
          <wp:inline distT="0" distB="0" distL="0" distR="0">
            <wp:extent cx="356235" cy="273685"/>
            <wp:effectExtent l="0" t="0" r="0" b="0"/>
            <wp:docPr id="3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4" cstate="print">
                      <a:extLst>
                        <a:ext uri="{28A0092B-C50C-407E-A947-70E740481C1C}">
                          <a14:useLocalDpi xmlns:a14="http://schemas.microsoft.com/office/drawing/2010/main" val="0"/>
                        </a:ext>
                      </a:extLst>
                    </a:blip>
                    <a:srcRect/>
                    <a:stretch>
                      <a:fillRect/>
                    </a:stretch>
                  </pic:blipFill>
                  <pic:spPr bwMode="auto">
                    <a:xfrm>
                      <a:off x="0" y="0"/>
                      <a:ext cx="356235" cy="273685"/>
                    </a:xfrm>
                    <a:prstGeom prst="rect">
                      <a:avLst/>
                    </a:prstGeom>
                    <a:noFill/>
                    <a:ln>
                      <a:noFill/>
                    </a:ln>
                  </pic:spPr>
                </pic:pic>
              </a:graphicData>
            </a:graphic>
          </wp:inline>
        </w:drawing>
      </w:r>
      <w:r>
        <w:t xml:space="preserve"> - принимается по </w:t>
      </w:r>
      <w:hyperlink w:anchor="P9396">
        <w:r>
          <w:rPr>
            <w:color w:val="0000FF"/>
          </w:rPr>
          <w:t>9.10</w:t>
        </w:r>
      </w:hyperlink>
      <w:r>
        <w:t>;</w:t>
      </w:r>
    </w:p>
    <w:p w:rsidR="00212513" w:rsidRDefault="00212513">
      <w:pPr>
        <w:pStyle w:val="ConsPlusNormal"/>
        <w:spacing w:before="220"/>
        <w:ind w:firstLine="540"/>
        <w:jc w:val="both"/>
      </w:pPr>
      <w:r>
        <w:rPr>
          <w:i/>
        </w:rPr>
        <w:t>E</w:t>
      </w:r>
      <w:r>
        <w:t xml:space="preserve"> - равно </w:t>
      </w:r>
      <w:r>
        <w:rPr>
          <w:noProof/>
          <w:position w:val="-9"/>
        </w:rPr>
        <w:drawing>
          <wp:inline distT="0" distB="0" distL="0" distR="0">
            <wp:extent cx="209550" cy="261620"/>
            <wp:effectExtent l="0" t="0" r="0" b="0"/>
            <wp:docPr id="3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5"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 xml:space="preserve">, </w:t>
      </w:r>
      <w:r>
        <w:rPr>
          <w:noProof/>
          <w:position w:val="-9"/>
        </w:rPr>
        <w:drawing>
          <wp:inline distT="0" distB="0" distL="0" distR="0">
            <wp:extent cx="241935" cy="261620"/>
            <wp:effectExtent l="0" t="0" r="0" b="0"/>
            <wp:docPr id="3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6" cstate="print">
                      <a:extLst>
                        <a:ext uri="{28A0092B-C50C-407E-A947-70E740481C1C}">
                          <a14:useLocalDpi xmlns:a14="http://schemas.microsoft.com/office/drawing/2010/main" val="0"/>
                        </a:ext>
                      </a:extLst>
                    </a:blip>
                    <a:srcRect/>
                    <a:stretch>
                      <a:fillRect/>
                    </a:stretch>
                  </pic:blipFill>
                  <pic:spPr bwMode="auto">
                    <a:xfrm>
                      <a:off x="0" y="0"/>
                      <a:ext cx="241935" cy="261620"/>
                    </a:xfrm>
                    <a:prstGeom prst="rect">
                      <a:avLst/>
                    </a:prstGeom>
                    <a:noFill/>
                    <a:ln>
                      <a:noFill/>
                    </a:ln>
                  </pic:spPr>
                </pic:pic>
              </a:graphicData>
            </a:graphic>
          </wp:inline>
        </w:drawing>
      </w:r>
      <w:r>
        <w:t xml:space="preserve">, </w:t>
      </w:r>
      <w:r>
        <w:rPr>
          <w:noProof/>
          <w:position w:val="-9"/>
        </w:rPr>
        <w:drawing>
          <wp:inline distT="0" distB="0" distL="0" distR="0">
            <wp:extent cx="241935" cy="261620"/>
            <wp:effectExtent l="0" t="0" r="0" b="0"/>
            <wp:docPr id="3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7" cstate="print">
                      <a:extLst>
                        <a:ext uri="{28A0092B-C50C-407E-A947-70E740481C1C}">
                          <a14:useLocalDpi xmlns:a14="http://schemas.microsoft.com/office/drawing/2010/main" val="0"/>
                        </a:ext>
                      </a:extLst>
                    </a:blip>
                    <a:srcRect/>
                    <a:stretch>
                      <a:fillRect/>
                    </a:stretch>
                  </pic:blipFill>
                  <pic:spPr bwMode="auto">
                    <a:xfrm>
                      <a:off x="0" y="0"/>
                      <a:ext cx="241935" cy="261620"/>
                    </a:xfrm>
                    <a:prstGeom prst="rect">
                      <a:avLst/>
                    </a:prstGeom>
                    <a:noFill/>
                    <a:ln>
                      <a:noFill/>
                    </a:ln>
                  </pic:spPr>
                </pic:pic>
              </a:graphicData>
            </a:graphic>
          </wp:inline>
        </w:drawing>
      </w:r>
      <w:r>
        <w:t xml:space="preserve">, </w:t>
      </w:r>
      <w:r>
        <w:rPr>
          <w:noProof/>
          <w:position w:val="-10"/>
        </w:rPr>
        <w:drawing>
          <wp:inline distT="0" distB="0" distL="0" distR="0">
            <wp:extent cx="261620" cy="273685"/>
            <wp:effectExtent l="0" t="0" r="0" b="0"/>
            <wp:docPr id="3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8" cstate="print">
                      <a:extLst>
                        <a:ext uri="{28A0092B-C50C-407E-A947-70E740481C1C}">
                          <a14:useLocalDpi xmlns:a14="http://schemas.microsoft.com/office/drawing/2010/main" val="0"/>
                        </a:ext>
                      </a:extLst>
                    </a:blip>
                    <a:srcRect/>
                    <a:stretch>
                      <a:fillRect/>
                    </a:stretch>
                  </pic:blipFill>
                  <pic:spPr bwMode="auto">
                    <a:xfrm>
                      <a:off x="0" y="0"/>
                      <a:ext cx="261620" cy="273685"/>
                    </a:xfrm>
                    <a:prstGeom prst="rect">
                      <a:avLst/>
                    </a:prstGeom>
                    <a:noFill/>
                    <a:ln>
                      <a:noFill/>
                    </a:ln>
                  </pic:spPr>
                </pic:pic>
              </a:graphicData>
            </a:graphic>
          </wp:inline>
        </w:drawing>
      </w:r>
      <w:r>
        <w:t xml:space="preserve"> при определении напряжений соответственно в бетоне, стальной балке, ненапрягаемой и напрягаемой арматуре;</w:t>
      </w:r>
    </w:p>
    <w:p w:rsidR="00212513" w:rsidRDefault="00212513">
      <w:pPr>
        <w:pStyle w:val="ConsPlusNormal"/>
        <w:spacing w:before="220"/>
        <w:ind w:firstLine="540"/>
        <w:jc w:val="both"/>
      </w:pPr>
      <w:r>
        <w:rPr>
          <w:noProof/>
          <w:position w:val="-10"/>
        </w:rPr>
        <w:drawing>
          <wp:inline distT="0" distB="0" distL="0" distR="0">
            <wp:extent cx="335280" cy="273685"/>
            <wp:effectExtent l="0" t="0" r="0" b="0"/>
            <wp:docPr id="3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9"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w:t>
      </w:r>
      <w:r>
        <w:rPr>
          <w:noProof/>
          <w:position w:val="-10"/>
        </w:rPr>
        <w:drawing>
          <wp:inline distT="0" distB="0" distL="0" distR="0">
            <wp:extent cx="325755" cy="273685"/>
            <wp:effectExtent l="0" t="0" r="0" b="0"/>
            <wp:docPr id="3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0" cstate="print">
                      <a:extLst>
                        <a:ext uri="{28A0092B-C50C-407E-A947-70E740481C1C}">
                          <a14:useLocalDpi xmlns:a14="http://schemas.microsoft.com/office/drawing/2010/main" val="0"/>
                        </a:ext>
                      </a:extLst>
                    </a:blip>
                    <a:srcRect/>
                    <a:stretch>
                      <a:fillRect/>
                    </a:stretch>
                  </pic:blipFill>
                  <pic:spPr bwMode="auto">
                    <a:xfrm>
                      <a:off x="0" y="0"/>
                      <a:ext cx="325755" cy="273685"/>
                    </a:xfrm>
                    <a:prstGeom prst="rect">
                      <a:avLst/>
                    </a:prstGeom>
                    <a:noFill/>
                    <a:ln>
                      <a:noFill/>
                    </a:ln>
                  </pic:spPr>
                </pic:pic>
              </a:graphicData>
            </a:graphic>
          </wp:inline>
        </w:drawing>
      </w:r>
      <w:r>
        <w:t xml:space="preserve"> - приведенные к стали площадь и момент инерции брутто поперечного сечения сталежелезобетонной балки;</w:t>
      </w:r>
    </w:p>
    <w:p w:rsidR="00212513" w:rsidRDefault="00212513">
      <w:pPr>
        <w:pStyle w:val="ConsPlusNormal"/>
        <w:spacing w:before="220"/>
        <w:ind w:firstLine="540"/>
        <w:jc w:val="both"/>
      </w:pPr>
      <w:r>
        <w:rPr>
          <w:i/>
        </w:rPr>
        <w:t>Z</w:t>
      </w:r>
      <w:r>
        <w:t xml:space="preserve"> - расстояние от центра тяжести </w:t>
      </w:r>
      <w:r>
        <w:rPr>
          <w:noProof/>
          <w:position w:val="-10"/>
        </w:rPr>
        <w:drawing>
          <wp:inline distT="0" distB="0" distL="0" distR="0">
            <wp:extent cx="335280" cy="273685"/>
            <wp:effectExtent l="0" t="0" r="0" b="0"/>
            <wp:docPr id="3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9"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до фибры, где определяется </w:t>
      </w:r>
      <w:r>
        <w:rPr>
          <w:noProof/>
          <w:position w:val="-7"/>
        </w:rPr>
        <w:drawing>
          <wp:inline distT="0" distB="0" distL="0" distR="0">
            <wp:extent cx="177165" cy="240665"/>
            <wp:effectExtent l="0" t="0" r="0" b="0"/>
            <wp:docPr id="3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1"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В случаях повышения или понижения температуры стальной части конструкции в </w:t>
      </w:r>
      <w:hyperlink w:anchor="P17412">
        <w:r>
          <w:rPr>
            <w:color w:val="0000FF"/>
          </w:rPr>
          <w:t>формуле (Э.2)</w:t>
        </w:r>
      </w:hyperlink>
      <w:r>
        <w:t xml:space="preserve"> следует принимать:</w:t>
      </w:r>
    </w:p>
    <w:p w:rsidR="00212513" w:rsidRDefault="00212513">
      <w:pPr>
        <w:pStyle w:val="ConsPlusNormal"/>
        <w:ind w:firstLine="540"/>
        <w:jc w:val="both"/>
      </w:pPr>
    </w:p>
    <w:p w:rsidR="00212513" w:rsidRDefault="00212513">
      <w:pPr>
        <w:pStyle w:val="ConsPlusNormal"/>
        <w:jc w:val="center"/>
      </w:pPr>
      <w:bookmarkStart w:id="588" w:name="P17423"/>
      <w:bookmarkEnd w:id="588"/>
      <w:r>
        <w:rPr>
          <w:noProof/>
          <w:position w:val="-10"/>
        </w:rPr>
        <w:drawing>
          <wp:inline distT="0" distB="0" distL="0" distR="0">
            <wp:extent cx="1424940" cy="273685"/>
            <wp:effectExtent l="0" t="0" r="0" b="0"/>
            <wp:docPr id="3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2" cstate="print">
                      <a:extLst>
                        <a:ext uri="{28A0092B-C50C-407E-A947-70E740481C1C}">
                          <a14:useLocalDpi xmlns:a14="http://schemas.microsoft.com/office/drawing/2010/main" val="0"/>
                        </a:ext>
                      </a:extLst>
                    </a:blip>
                    <a:srcRect/>
                    <a:stretch>
                      <a:fillRect/>
                    </a:stretch>
                  </pic:blipFill>
                  <pic:spPr bwMode="auto">
                    <a:xfrm>
                      <a:off x="0" y="0"/>
                      <a:ext cx="1424940" cy="273685"/>
                    </a:xfrm>
                    <a:prstGeom prst="rect">
                      <a:avLst/>
                    </a:prstGeom>
                    <a:noFill/>
                    <a:ln>
                      <a:noFill/>
                    </a:ln>
                  </pic:spPr>
                </pic:pic>
              </a:graphicData>
            </a:graphic>
          </wp:inline>
        </w:drawing>
      </w:r>
      <w:r>
        <w:t>; (Э.3)</w:t>
      </w:r>
    </w:p>
    <w:p w:rsidR="00212513" w:rsidRDefault="00212513">
      <w:pPr>
        <w:pStyle w:val="ConsPlusNormal"/>
        <w:ind w:firstLine="540"/>
        <w:jc w:val="both"/>
      </w:pPr>
    </w:p>
    <w:p w:rsidR="00212513" w:rsidRDefault="00212513">
      <w:pPr>
        <w:pStyle w:val="ConsPlusNormal"/>
        <w:jc w:val="center"/>
      </w:pPr>
      <w:r>
        <w:rPr>
          <w:noProof/>
          <w:position w:val="-10"/>
        </w:rPr>
        <w:lastRenderedPageBreak/>
        <w:drawing>
          <wp:inline distT="0" distB="0" distL="0" distR="0">
            <wp:extent cx="2780030" cy="273685"/>
            <wp:effectExtent l="0" t="0" r="0" b="0"/>
            <wp:docPr id="3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3" cstate="print">
                      <a:extLst>
                        <a:ext uri="{28A0092B-C50C-407E-A947-70E740481C1C}">
                          <a14:useLocalDpi xmlns:a14="http://schemas.microsoft.com/office/drawing/2010/main" val="0"/>
                        </a:ext>
                      </a:extLst>
                    </a:blip>
                    <a:srcRect/>
                    <a:stretch>
                      <a:fillRect/>
                    </a:stretch>
                  </pic:blipFill>
                  <pic:spPr bwMode="auto">
                    <a:xfrm>
                      <a:off x="0" y="0"/>
                      <a:ext cx="2780030" cy="273685"/>
                    </a:xfrm>
                    <a:prstGeom prst="rect">
                      <a:avLst/>
                    </a:prstGeom>
                    <a:noFill/>
                    <a:ln>
                      <a:noFill/>
                    </a:ln>
                  </pic:spPr>
                </pic:pic>
              </a:graphicData>
            </a:graphic>
          </wp:inline>
        </w:drawing>
      </w:r>
      <w:r>
        <w:t>; (Э.4)</w:t>
      </w:r>
    </w:p>
    <w:p w:rsidR="00212513" w:rsidRDefault="00212513">
      <w:pPr>
        <w:pStyle w:val="ConsPlusNormal"/>
        <w:jc w:val="center"/>
      </w:pPr>
    </w:p>
    <w:p w:rsidR="00212513" w:rsidRDefault="00212513">
      <w:pPr>
        <w:pStyle w:val="ConsPlusNormal"/>
        <w:jc w:val="center"/>
      </w:pPr>
      <w:r>
        <w:rPr>
          <w:noProof/>
          <w:position w:val="-9"/>
        </w:rPr>
        <w:drawing>
          <wp:inline distT="0" distB="0" distL="0" distR="0">
            <wp:extent cx="441960" cy="261620"/>
            <wp:effectExtent l="0" t="0" r="0" b="0"/>
            <wp:docPr id="3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4" cstate="print">
                      <a:extLst>
                        <a:ext uri="{28A0092B-C50C-407E-A947-70E740481C1C}">
                          <a14:useLocalDpi xmlns:a14="http://schemas.microsoft.com/office/drawing/2010/main" val="0"/>
                        </a:ext>
                      </a:extLst>
                    </a:blip>
                    <a:srcRect/>
                    <a:stretch>
                      <a:fillRect/>
                    </a:stretch>
                  </pic:blipFill>
                  <pic:spPr bwMode="auto">
                    <a:xfrm>
                      <a:off x="0" y="0"/>
                      <a:ext cx="441960" cy="261620"/>
                    </a:xfrm>
                    <a:prstGeom prst="rect">
                      <a:avLst/>
                    </a:prstGeom>
                    <a:noFill/>
                    <a:ln>
                      <a:noFill/>
                    </a:ln>
                  </pic:spPr>
                </pic:pic>
              </a:graphicData>
            </a:graphic>
          </wp:inline>
        </w:drawing>
      </w:r>
      <w:r>
        <w:t>,</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9"/>
        </w:rPr>
        <w:drawing>
          <wp:inline distT="0" distB="0" distL="0" distR="0">
            <wp:extent cx="261620" cy="261620"/>
            <wp:effectExtent l="0" t="0" r="0" b="0"/>
            <wp:docPr id="3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5" cstate="print">
                      <a:extLst>
                        <a:ext uri="{28A0092B-C50C-407E-A947-70E740481C1C}">
                          <a14:useLocalDpi xmlns:a14="http://schemas.microsoft.com/office/drawing/2010/main" val="0"/>
                        </a:ext>
                      </a:extLst>
                    </a:blip>
                    <a:srcRect/>
                    <a:stretch>
                      <a:fillRect/>
                    </a:stretch>
                  </pic:blipFill>
                  <pic:spPr bwMode="auto">
                    <a:xfrm>
                      <a:off x="0" y="0"/>
                      <a:ext cx="261620" cy="261620"/>
                    </a:xfrm>
                    <a:prstGeom prst="rect">
                      <a:avLst/>
                    </a:prstGeom>
                    <a:noFill/>
                    <a:ln>
                      <a:noFill/>
                    </a:ln>
                  </pic:spPr>
                </pic:pic>
              </a:graphicData>
            </a:graphic>
          </wp:inline>
        </w:drawing>
      </w:r>
      <w:r>
        <w:t xml:space="preserve"> - площадь стальных вертикальных элементов (стенки, вертикальных полок поясных уголков, ламелей);</w:t>
      </w:r>
    </w:p>
    <w:p w:rsidR="00212513" w:rsidRDefault="00212513">
      <w:pPr>
        <w:pStyle w:val="ConsPlusNormal"/>
        <w:spacing w:before="220"/>
        <w:ind w:firstLine="540"/>
        <w:jc w:val="both"/>
      </w:pPr>
      <w:r>
        <w:rPr>
          <w:noProof/>
          <w:position w:val="-10"/>
        </w:rPr>
        <w:drawing>
          <wp:inline distT="0" distB="0" distL="0" distR="0">
            <wp:extent cx="325755" cy="273685"/>
            <wp:effectExtent l="0" t="0" r="0" b="0"/>
            <wp:docPr id="3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6" cstate="print">
                      <a:extLst>
                        <a:ext uri="{28A0092B-C50C-407E-A947-70E740481C1C}">
                          <a14:useLocalDpi xmlns:a14="http://schemas.microsoft.com/office/drawing/2010/main" val="0"/>
                        </a:ext>
                      </a:extLst>
                    </a:blip>
                    <a:srcRect/>
                    <a:stretch>
                      <a:fillRect/>
                    </a:stretch>
                  </pic:blipFill>
                  <pic:spPr bwMode="auto">
                    <a:xfrm>
                      <a:off x="0" y="0"/>
                      <a:ext cx="325755" cy="273685"/>
                    </a:xfrm>
                    <a:prstGeom prst="rect">
                      <a:avLst/>
                    </a:prstGeom>
                    <a:noFill/>
                    <a:ln>
                      <a:noFill/>
                    </a:ln>
                  </pic:spPr>
                </pic:pic>
              </a:graphicData>
            </a:graphic>
          </wp:inline>
        </w:drawing>
      </w:r>
      <w:r>
        <w:t xml:space="preserve"> - площадь стальных горизонтальных элементов нижнего пояса.</w:t>
      </w:r>
    </w:p>
    <w:p w:rsidR="00212513" w:rsidRDefault="00212513">
      <w:pPr>
        <w:pStyle w:val="ConsPlusNormal"/>
        <w:spacing w:before="220"/>
        <w:ind w:firstLine="540"/>
        <w:jc w:val="both"/>
      </w:pPr>
      <w:r>
        <w:t xml:space="preserve">В случае повышения температуры железобетонной плиты в </w:t>
      </w:r>
      <w:hyperlink w:anchor="P17412">
        <w:r>
          <w:rPr>
            <w:color w:val="0000FF"/>
          </w:rPr>
          <w:t>формуле (Э.2)</w:t>
        </w:r>
      </w:hyperlink>
      <w:r>
        <w:t xml:space="preserve"> следует принимать:</w:t>
      </w:r>
    </w:p>
    <w:p w:rsidR="00212513" w:rsidRDefault="00212513">
      <w:pPr>
        <w:pStyle w:val="ConsPlusNormal"/>
        <w:ind w:firstLine="540"/>
        <w:jc w:val="both"/>
      </w:pPr>
    </w:p>
    <w:p w:rsidR="00212513" w:rsidRDefault="00212513">
      <w:pPr>
        <w:pStyle w:val="ConsPlusNormal"/>
        <w:jc w:val="center"/>
      </w:pPr>
      <w:r>
        <w:rPr>
          <w:noProof/>
          <w:position w:val="-35"/>
        </w:rPr>
        <w:drawing>
          <wp:inline distT="0" distB="0" distL="0" distR="0">
            <wp:extent cx="1703705" cy="586740"/>
            <wp:effectExtent l="0" t="0" r="0" b="0"/>
            <wp:docPr id="3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7" cstate="print">
                      <a:extLst>
                        <a:ext uri="{28A0092B-C50C-407E-A947-70E740481C1C}">
                          <a14:useLocalDpi xmlns:a14="http://schemas.microsoft.com/office/drawing/2010/main" val="0"/>
                        </a:ext>
                      </a:extLst>
                    </a:blip>
                    <a:srcRect/>
                    <a:stretch>
                      <a:fillRect/>
                    </a:stretch>
                  </pic:blipFill>
                  <pic:spPr bwMode="auto">
                    <a:xfrm>
                      <a:off x="0" y="0"/>
                      <a:ext cx="1703705" cy="586740"/>
                    </a:xfrm>
                    <a:prstGeom prst="rect">
                      <a:avLst/>
                    </a:prstGeom>
                    <a:noFill/>
                    <a:ln>
                      <a:noFill/>
                    </a:ln>
                  </pic:spPr>
                </pic:pic>
              </a:graphicData>
            </a:graphic>
          </wp:inline>
        </w:drawing>
      </w:r>
      <w:r>
        <w:t>; (Э.5)</w:t>
      </w:r>
    </w:p>
    <w:p w:rsidR="00212513" w:rsidRDefault="00212513">
      <w:pPr>
        <w:pStyle w:val="ConsPlusNormal"/>
        <w:ind w:firstLine="540"/>
        <w:jc w:val="both"/>
      </w:pPr>
    </w:p>
    <w:p w:rsidR="00212513" w:rsidRDefault="00212513">
      <w:pPr>
        <w:pStyle w:val="ConsPlusNormal"/>
        <w:jc w:val="center"/>
      </w:pPr>
      <w:bookmarkStart w:id="589" w:name="P17435"/>
      <w:bookmarkEnd w:id="589"/>
      <w:r>
        <w:rPr>
          <w:noProof/>
          <w:position w:val="-27"/>
        </w:rPr>
        <w:drawing>
          <wp:inline distT="0" distB="0" distL="0" distR="0">
            <wp:extent cx="1550035" cy="484505"/>
            <wp:effectExtent l="0" t="0" r="0" b="0"/>
            <wp:docPr id="3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8" cstate="print">
                      <a:extLst>
                        <a:ext uri="{28A0092B-C50C-407E-A947-70E740481C1C}">
                          <a14:useLocalDpi xmlns:a14="http://schemas.microsoft.com/office/drawing/2010/main" val="0"/>
                        </a:ext>
                      </a:extLst>
                    </a:blip>
                    <a:srcRect/>
                    <a:stretch>
                      <a:fillRect/>
                    </a:stretch>
                  </pic:blipFill>
                  <pic:spPr bwMode="auto">
                    <a:xfrm>
                      <a:off x="0" y="0"/>
                      <a:ext cx="1550035" cy="484505"/>
                    </a:xfrm>
                    <a:prstGeom prst="rect">
                      <a:avLst/>
                    </a:prstGeom>
                    <a:noFill/>
                    <a:ln>
                      <a:noFill/>
                    </a:ln>
                  </pic:spPr>
                </pic:pic>
              </a:graphicData>
            </a:graphic>
          </wp:inline>
        </w:drawing>
      </w:r>
      <w:r>
        <w:t>; (Э.6)</w:t>
      </w:r>
    </w:p>
    <w:p w:rsidR="00212513" w:rsidRDefault="00212513">
      <w:pPr>
        <w:pStyle w:val="ConsPlusNormal"/>
        <w:jc w:val="center"/>
      </w:pPr>
    </w:p>
    <w:p w:rsidR="00212513" w:rsidRDefault="00212513">
      <w:pPr>
        <w:pStyle w:val="ConsPlusNormal"/>
        <w:jc w:val="center"/>
      </w:pPr>
      <w:r>
        <w:rPr>
          <w:noProof/>
          <w:position w:val="-9"/>
        </w:rPr>
        <w:drawing>
          <wp:inline distT="0" distB="0" distL="0" distR="0">
            <wp:extent cx="441960" cy="261620"/>
            <wp:effectExtent l="0" t="0" r="0" b="0"/>
            <wp:docPr id="3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9" cstate="print">
                      <a:extLst>
                        <a:ext uri="{28A0092B-C50C-407E-A947-70E740481C1C}">
                          <a14:useLocalDpi xmlns:a14="http://schemas.microsoft.com/office/drawing/2010/main" val="0"/>
                        </a:ext>
                      </a:extLst>
                    </a:blip>
                    <a:srcRect/>
                    <a:stretch>
                      <a:fillRect/>
                    </a:stretch>
                  </pic:blipFill>
                  <pic:spPr bwMode="auto">
                    <a:xfrm>
                      <a:off x="0" y="0"/>
                      <a:ext cx="441960" cy="261620"/>
                    </a:xfrm>
                    <a:prstGeom prst="rect">
                      <a:avLst/>
                    </a:prstGeom>
                    <a:noFill/>
                    <a:ln>
                      <a:noFill/>
                    </a:ln>
                  </pic:spPr>
                </pic:pic>
              </a:graphicData>
            </a:graphic>
          </wp:inline>
        </w:drawing>
      </w:r>
      <w:r>
        <w:t>,</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7"/>
        </w:rPr>
        <w:drawing>
          <wp:inline distT="0" distB="0" distL="0" distR="0">
            <wp:extent cx="177165" cy="240665"/>
            <wp:effectExtent l="0" t="0" r="0" b="0"/>
            <wp:docPr id="3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0"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w:t>
      </w:r>
      <w:r>
        <w:rPr>
          <w:noProof/>
          <w:position w:val="-9"/>
        </w:rPr>
        <w:drawing>
          <wp:inline distT="0" distB="0" distL="0" distR="0">
            <wp:extent cx="167640" cy="261620"/>
            <wp:effectExtent l="0" t="0" r="0" b="0"/>
            <wp:docPr id="3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1"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см, принимаются по </w:t>
      </w:r>
      <w:hyperlink w:anchor="P9460">
        <w:r>
          <w:rPr>
            <w:color w:val="0000FF"/>
          </w:rPr>
          <w:t>9.15</w:t>
        </w:r>
      </w:hyperlink>
      <w:r>
        <w:t>.</w:t>
      </w:r>
    </w:p>
    <w:p w:rsidR="00212513" w:rsidRDefault="00212513">
      <w:pPr>
        <w:pStyle w:val="ConsPlusNormal"/>
        <w:spacing w:before="220"/>
        <w:ind w:firstLine="540"/>
        <w:jc w:val="both"/>
      </w:pPr>
      <w:r>
        <w:t xml:space="preserve">Величины </w:t>
      </w:r>
      <w:r>
        <w:rPr>
          <w:noProof/>
          <w:position w:val="-7"/>
        </w:rPr>
        <w:drawing>
          <wp:inline distT="0" distB="0" distL="0" distR="0">
            <wp:extent cx="177165" cy="240665"/>
            <wp:effectExtent l="0" t="0" r="0" b="0"/>
            <wp:docPr id="3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2"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и </w:t>
      </w:r>
      <w:r>
        <w:rPr>
          <w:noProof/>
          <w:position w:val="-7"/>
        </w:rPr>
        <w:drawing>
          <wp:inline distT="0" distB="0" distL="0" distR="0">
            <wp:extent cx="177165" cy="240665"/>
            <wp:effectExtent l="0" t="0" r="0" b="0"/>
            <wp:docPr id="3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3"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относящиеся к </w:t>
      </w:r>
      <w:r>
        <w:rPr>
          <w:i/>
        </w:rPr>
        <w:t>i</w:t>
      </w:r>
      <w:r>
        <w:t xml:space="preserve">-й точке сечения, в которой определяются напряжения, следует принимать по </w:t>
      </w:r>
      <w:hyperlink w:anchor="P9396">
        <w:r>
          <w:rPr>
            <w:color w:val="0000FF"/>
          </w:rPr>
          <w:t>9.10</w:t>
        </w:r>
      </w:hyperlink>
      <w:r>
        <w:t>.</w:t>
      </w:r>
    </w:p>
    <w:p w:rsidR="00212513" w:rsidRDefault="00212513">
      <w:pPr>
        <w:pStyle w:val="ConsPlusNormal"/>
        <w:spacing w:before="220"/>
        <w:ind w:firstLine="540"/>
        <w:jc w:val="both"/>
      </w:pPr>
      <w:r>
        <w:t xml:space="preserve">Остальные обозначения, принятые в </w:t>
      </w:r>
      <w:hyperlink w:anchor="P17423">
        <w:r>
          <w:rPr>
            <w:color w:val="0000FF"/>
          </w:rPr>
          <w:t>формулах (Э.3)</w:t>
        </w:r>
      </w:hyperlink>
      <w:r>
        <w:t xml:space="preserve"> - </w:t>
      </w:r>
      <w:hyperlink w:anchor="P17435">
        <w:r>
          <w:rPr>
            <w:color w:val="0000FF"/>
          </w:rPr>
          <w:t>(Э.6)</w:t>
        </w:r>
      </w:hyperlink>
      <w:r>
        <w:t xml:space="preserve">, соответствуют </w:t>
      </w:r>
      <w:hyperlink w:anchor="P9315">
        <w:r>
          <w:rPr>
            <w:color w:val="0000FF"/>
          </w:rPr>
          <w:t>9.5</w:t>
        </w:r>
      </w:hyperlink>
      <w:r>
        <w:t xml:space="preserve"> и </w:t>
      </w:r>
      <w:hyperlink w:anchor="P9417">
        <w:r>
          <w:rPr>
            <w:color w:val="0000FF"/>
          </w:rPr>
          <w:t>рисунку 9.1</w:t>
        </w:r>
      </w:hyperlink>
      <w:r>
        <w:t>.</w:t>
      </w:r>
    </w:p>
    <w:p w:rsidR="00212513" w:rsidRDefault="00212513">
      <w:pPr>
        <w:pStyle w:val="ConsPlusNormal"/>
        <w:spacing w:before="220"/>
        <w:ind w:firstLine="540"/>
        <w:jc w:val="both"/>
      </w:pPr>
      <w:r>
        <w:t xml:space="preserve">Э.2 При расчете статически неопределимых систем на температурные воздействия и усадку бетона геометрические характеристики сечения следует принимать по </w:t>
      </w:r>
      <w:hyperlink w:anchor="P17393">
        <w:r>
          <w:rPr>
            <w:color w:val="0000FF"/>
          </w:rPr>
          <w:t>Э.1</w:t>
        </w:r>
      </w:hyperlink>
      <w:r>
        <w:t>.</w:t>
      </w: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jc w:val="right"/>
        <w:outlineLvl w:val="0"/>
      </w:pPr>
      <w:r>
        <w:rPr>
          <w:b/>
        </w:rPr>
        <w:t>Приложение Ю</w:t>
      </w:r>
    </w:p>
    <w:p w:rsidR="00212513" w:rsidRDefault="00212513">
      <w:pPr>
        <w:pStyle w:val="ConsPlusNormal"/>
        <w:jc w:val="right"/>
      </w:pPr>
      <w:r>
        <w:rPr>
          <w:b/>
        </w:rPr>
        <w:t>(обязательное)</w:t>
      </w:r>
    </w:p>
    <w:p w:rsidR="00212513" w:rsidRDefault="00212513">
      <w:pPr>
        <w:pStyle w:val="ConsPlusNormal"/>
        <w:ind w:firstLine="540"/>
        <w:jc w:val="both"/>
      </w:pPr>
    </w:p>
    <w:p w:rsidR="00212513" w:rsidRDefault="00212513">
      <w:pPr>
        <w:pStyle w:val="ConsPlusTitle"/>
        <w:jc w:val="center"/>
      </w:pPr>
      <w:bookmarkStart w:id="590" w:name="P17451"/>
      <w:bookmarkEnd w:id="590"/>
      <w:r>
        <w:t>РАСПРЕДЕЛЕНИЕ СДВИГАЮЩИХ УСИЛИЙ ПО ШВУ ОБЪЕДИНЕНИЯ</w:t>
      </w:r>
    </w:p>
    <w:p w:rsidR="00212513" w:rsidRDefault="00212513">
      <w:pPr>
        <w:pStyle w:val="ConsPlusTitle"/>
        <w:jc w:val="center"/>
      </w:pPr>
      <w:r>
        <w:t>ЖЕЛЕЗОБЕТОННОЙ ПЛИТЫ И СТАЛЬНОЙ КОНСТРУКЦИИ</w:t>
      </w:r>
    </w:p>
    <w:p w:rsidR="00212513" w:rsidRDefault="00212513">
      <w:pPr>
        <w:pStyle w:val="ConsPlusTitle"/>
        <w:jc w:val="center"/>
      </w:pPr>
      <w:r>
        <w:t>В СЛОЖНЫХ СЛУЧАЯХ ВОЗДЕЙСТВИЙ</w:t>
      </w:r>
    </w:p>
    <w:p w:rsidR="00212513" w:rsidRDefault="00212513">
      <w:pPr>
        <w:pStyle w:val="ConsPlusNormal"/>
        <w:ind w:firstLine="540"/>
        <w:jc w:val="both"/>
      </w:pPr>
    </w:p>
    <w:p w:rsidR="00212513" w:rsidRDefault="00212513">
      <w:pPr>
        <w:pStyle w:val="ConsPlusNormal"/>
        <w:ind w:firstLine="540"/>
        <w:jc w:val="both"/>
      </w:pPr>
      <w:r>
        <w:t xml:space="preserve">Ю.1 Распределение концевого сдвигающего усилия </w:t>
      </w:r>
      <w:r>
        <w:rPr>
          <w:noProof/>
          <w:position w:val="-9"/>
        </w:rPr>
        <w:drawing>
          <wp:inline distT="0" distB="0" distL="0" distR="0">
            <wp:extent cx="273685" cy="261620"/>
            <wp:effectExtent l="0" t="0" r="0" b="0"/>
            <wp:docPr id="3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4" cstate="print">
                      <a:extLst>
                        <a:ext uri="{28A0092B-C50C-407E-A947-70E740481C1C}">
                          <a14:useLocalDpi xmlns:a14="http://schemas.microsoft.com/office/drawing/2010/main" val="0"/>
                        </a:ext>
                      </a:extLst>
                    </a:blip>
                    <a:srcRect/>
                    <a:stretch>
                      <a:fillRect/>
                    </a:stretch>
                  </pic:blipFill>
                  <pic:spPr bwMode="auto">
                    <a:xfrm>
                      <a:off x="0" y="0"/>
                      <a:ext cx="273685" cy="261620"/>
                    </a:xfrm>
                    <a:prstGeom prst="rect">
                      <a:avLst/>
                    </a:prstGeom>
                    <a:noFill/>
                    <a:ln>
                      <a:noFill/>
                    </a:ln>
                  </pic:spPr>
                </pic:pic>
              </a:graphicData>
            </a:graphic>
          </wp:inline>
        </w:drawing>
      </w:r>
      <w:r>
        <w:t xml:space="preserve"> следует принимать по несимметричной треугольной эпюре с длиной основания </w:t>
      </w:r>
      <w:r>
        <w:rPr>
          <w:noProof/>
          <w:position w:val="-9"/>
        </w:rPr>
        <w:drawing>
          <wp:inline distT="0" distB="0" distL="0" distR="0">
            <wp:extent cx="177800" cy="261620"/>
            <wp:effectExtent l="0" t="0" r="0" b="0"/>
            <wp:docPr id="3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5"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(см. рисунок Ю.1).</w:t>
      </w:r>
    </w:p>
    <w:p w:rsidR="00212513" w:rsidRDefault="00212513">
      <w:pPr>
        <w:pStyle w:val="ConsPlusNormal"/>
        <w:ind w:firstLine="540"/>
        <w:jc w:val="both"/>
      </w:pPr>
    </w:p>
    <w:p w:rsidR="00212513" w:rsidRDefault="00212513">
      <w:pPr>
        <w:pStyle w:val="ConsPlusNormal"/>
        <w:jc w:val="center"/>
      </w:pPr>
      <w:r>
        <w:rPr>
          <w:noProof/>
          <w:position w:val="-244"/>
        </w:rPr>
        <w:lastRenderedPageBreak/>
        <w:drawing>
          <wp:inline distT="0" distB="0" distL="0" distR="0">
            <wp:extent cx="5549265" cy="3248025"/>
            <wp:effectExtent l="0" t="0" r="0" b="0"/>
            <wp:docPr id="3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6" cstate="print">
                      <a:extLst>
                        <a:ext uri="{28A0092B-C50C-407E-A947-70E740481C1C}">
                          <a14:useLocalDpi xmlns:a14="http://schemas.microsoft.com/office/drawing/2010/main" val="0"/>
                        </a:ext>
                      </a:extLst>
                    </a:blip>
                    <a:srcRect/>
                    <a:stretch>
                      <a:fillRect/>
                    </a:stretch>
                  </pic:blipFill>
                  <pic:spPr bwMode="auto">
                    <a:xfrm>
                      <a:off x="0" y="0"/>
                      <a:ext cx="5549265" cy="3248025"/>
                    </a:xfrm>
                    <a:prstGeom prst="rect">
                      <a:avLst/>
                    </a:prstGeom>
                    <a:noFill/>
                    <a:ln>
                      <a:noFill/>
                    </a:ln>
                  </pic:spPr>
                </pic:pic>
              </a:graphicData>
            </a:graphic>
          </wp:inline>
        </w:drawing>
      </w:r>
    </w:p>
    <w:p w:rsidR="00212513" w:rsidRDefault="00212513">
      <w:pPr>
        <w:pStyle w:val="ConsPlusNormal"/>
        <w:ind w:firstLine="540"/>
        <w:jc w:val="both"/>
      </w:pPr>
    </w:p>
    <w:p w:rsidR="00212513" w:rsidRDefault="00212513">
      <w:pPr>
        <w:pStyle w:val="ConsPlusNonformat"/>
        <w:jc w:val="both"/>
      </w:pPr>
      <w:r>
        <w:t xml:space="preserve">                           Условные обозначения:</w:t>
      </w:r>
    </w:p>
    <w:p w:rsidR="00212513" w:rsidRDefault="00212513">
      <w:pPr>
        <w:pStyle w:val="ConsPlusNonformat"/>
        <w:jc w:val="both"/>
      </w:pPr>
      <w:r>
        <w:t xml:space="preserve">                     ─────────── максимальные значения</w:t>
      </w:r>
    </w:p>
    <w:p w:rsidR="00212513" w:rsidRDefault="00212513">
      <w:pPr>
        <w:pStyle w:val="ConsPlusNonformat"/>
        <w:jc w:val="both"/>
      </w:pPr>
      <w:r>
        <w:t xml:space="preserve">                     ── ── ── ── минимальные     "</w:t>
      </w:r>
    </w:p>
    <w:p w:rsidR="00212513" w:rsidRDefault="00212513">
      <w:pPr>
        <w:pStyle w:val="ConsPlusNonformat"/>
        <w:jc w:val="both"/>
      </w:pPr>
      <w:r>
        <w:t xml:space="preserve">               I, II, III, IV - расчетная длина участков </w:t>
      </w:r>
      <w:r>
        <w:rPr>
          <w:noProof/>
          <w:position w:val="-8"/>
        </w:rPr>
        <w:drawing>
          <wp:inline distT="0" distB="0" distL="0" distR="0">
            <wp:extent cx="152400" cy="237490"/>
            <wp:effectExtent l="0" t="0" r="0" b="0"/>
            <wp:docPr id="3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7" cstate="print">
                      <a:extLst>
                        <a:ext uri="{28A0092B-C50C-407E-A947-70E740481C1C}">
                          <a14:useLocalDpi xmlns:a14="http://schemas.microsoft.com/office/drawing/2010/main" val="0"/>
                        </a:ext>
                      </a:extLst>
                    </a:blip>
                    <a:srcRect/>
                    <a:stretch>
                      <a:fillRect/>
                    </a:stretch>
                  </pic:blipFill>
                  <pic:spPr bwMode="auto">
                    <a:xfrm>
                      <a:off x="0" y="0"/>
                      <a:ext cx="152400" cy="237490"/>
                    </a:xfrm>
                    <a:prstGeom prst="rect">
                      <a:avLst/>
                    </a:prstGeom>
                    <a:noFill/>
                    <a:ln>
                      <a:noFill/>
                    </a:ln>
                  </pic:spPr>
                </pic:pic>
              </a:graphicData>
            </a:graphic>
          </wp:inline>
        </w:drawing>
      </w:r>
    </w:p>
    <w:p w:rsidR="00212513" w:rsidRDefault="00212513">
      <w:pPr>
        <w:pStyle w:val="ConsPlusNormal"/>
        <w:ind w:firstLine="540"/>
        <w:jc w:val="both"/>
      </w:pPr>
    </w:p>
    <w:p w:rsidR="00212513" w:rsidRDefault="00212513">
      <w:pPr>
        <w:pStyle w:val="ConsPlusNormal"/>
        <w:jc w:val="center"/>
      </w:pPr>
      <w:bookmarkStart w:id="591" w:name="P17464"/>
      <w:bookmarkEnd w:id="591"/>
      <w:r>
        <w:rPr>
          <w:b/>
          <w:i/>
        </w:rPr>
        <w:t>Рисунок Ю.1</w:t>
      </w:r>
      <w:r>
        <w:t xml:space="preserve"> </w:t>
      </w:r>
      <w:r>
        <w:rPr>
          <w:b/>
        </w:rPr>
        <w:t>- Эпюры погонных сдвигающих сил</w:t>
      </w:r>
    </w:p>
    <w:p w:rsidR="00212513" w:rsidRDefault="00212513">
      <w:pPr>
        <w:pStyle w:val="ConsPlusNormal"/>
        <w:jc w:val="center"/>
      </w:pPr>
      <w:r>
        <w:rPr>
          <w:b/>
        </w:rPr>
        <w:t>между железобетонной и стальной частями</w:t>
      </w:r>
    </w:p>
    <w:p w:rsidR="00212513" w:rsidRDefault="00212513">
      <w:pPr>
        <w:pStyle w:val="ConsPlusNormal"/>
        <w:ind w:firstLine="540"/>
        <w:jc w:val="both"/>
      </w:pPr>
    </w:p>
    <w:p w:rsidR="00212513" w:rsidRDefault="00212513">
      <w:pPr>
        <w:pStyle w:val="ConsPlusNormal"/>
        <w:ind w:firstLine="540"/>
        <w:jc w:val="both"/>
      </w:pPr>
      <w:r>
        <w:t>При этом:</w:t>
      </w:r>
    </w:p>
    <w:p w:rsidR="00212513" w:rsidRDefault="00212513">
      <w:pPr>
        <w:pStyle w:val="ConsPlusNormal"/>
        <w:ind w:firstLine="540"/>
        <w:jc w:val="both"/>
      </w:pPr>
    </w:p>
    <w:p w:rsidR="00212513" w:rsidRDefault="00212513">
      <w:pPr>
        <w:pStyle w:val="ConsPlusNormal"/>
        <w:jc w:val="center"/>
      </w:pPr>
      <w:r>
        <w:rPr>
          <w:noProof/>
          <w:position w:val="-27"/>
        </w:rPr>
        <w:drawing>
          <wp:inline distT="0" distB="0" distL="0" distR="0">
            <wp:extent cx="818515" cy="484505"/>
            <wp:effectExtent l="0" t="0" r="0" b="0"/>
            <wp:docPr id="3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8" cstate="print">
                      <a:extLst>
                        <a:ext uri="{28A0092B-C50C-407E-A947-70E740481C1C}">
                          <a14:useLocalDpi xmlns:a14="http://schemas.microsoft.com/office/drawing/2010/main" val="0"/>
                        </a:ext>
                      </a:extLst>
                    </a:blip>
                    <a:srcRect/>
                    <a:stretch>
                      <a:fillRect/>
                    </a:stretch>
                  </pic:blipFill>
                  <pic:spPr bwMode="auto">
                    <a:xfrm>
                      <a:off x="0" y="0"/>
                      <a:ext cx="818515" cy="484505"/>
                    </a:xfrm>
                    <a:prstGeom prst="rect">
                      <a:avLst/>
                    </a:prstGeom>
                    <a:noFill/>
                    <a:ln>
                      <a:noFill/>
                    </a:ln>
                  </pic:spPr>
                </pic:pic>
              </a:graphicData>
            </a:graphic>
          </wp:inline>
        </w:drawing>
      </w:r>
      <w:r>
        <w:t>; (Ю.1)</w:t>
      </w:r>
    </w:p>
    <w:p w:rsidR="00212513" w:rsidRDefault="00212513">
      <w:pPr>
        <w:pStyle w:val="ConsPlusNormal"/>
        <w:jc w:val="center"/>
      </w:pPr>
    </w:p>
    <w:p w:rsidR="00212513" w:rsidRDefault="00212513">
      <w:pPr>
        <w:pStyle w:val="ConsPlusNormal"/>
        <w:jc w:val="center"/>
      </w:pPr>
      <w:r>
        <w:rPr>
          <w:noProof/>
          <w:position w:val="-27"/>
        </w:rPr>
        <w:drawing>
          <wp:inline distT="0" distB="0" distL="0" distR="0">
            <wp:extent cx="670560" cy="484505"/>
            <wp:effectExtent l="0" t="0" r="0" b="0"/>
            <wp:docPr id="3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9" cstate="print">
                      <a:extLst>
                        <a:ext uri="{28A0092B-C50C-407E-A947-70E740481C1C}">
                          <a14:useLocalDpi xmlns:a14="http://schemas.microsoft.com/office/drawing/2010/main" val="0"/>
                        </a:ext>
                      </a:extLst>
                    </a:blip>
                    <a:srcRect/>
                    <a:stretch>
                      <a:fillRect/>
                    </a:stretch>
                  </pic:blipFill>
                  <pic:spPr bwMode="auto">
                    <a:xfrm>
                      <a:off x="0" y="0"/>
                      <a:ext cx="670560" cy="484505"/>
                    </a:xfrm>
                    <a:prstGeom prst="rect">
                      <a:avLst/>
                    </a:prstGeom>
                    <a:noFill/>
                    <a:ln>
                      <a:noFill/>
                    </a:ln>
                  </pic:spPr>
                </pic:pic>
              </a:graphicData>
            </a:graphic>
          </wp:inline>
        </w:drawing>
      </w:r>
      <w:r>
        <w:t>, (Ю.2)</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9"/>
        </w:rPr>
        <w:drawing>
          <wp:inline distT="0" distB="0" distL="0" distR="0">
            <wp:extent cx="241935" cy="261620"/>
            <wp:effectExtent l="0" t="0" r="0" b="0"/>
            <wp:docPr id="3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0" cstate="print">
                      <a:extLst>
                        <a:ext uri="{28A0092B-C50C-407E-A947-70E740481C1C}">
                          <a14:useLocalDpi xmlns:a14="http://schemas.microsoft.com/office/drawing/2010/main" val="0"/>
                        </a:ext>
                      </a:extLst>
                    </a:blip>
                    <a:srcRect/>
                    <a:stretch>
                      <a:fillRect/>
                    </a:stretch>
                  </pic:blipFill>
                  <pic:spPr bwMode="auto">
                    <a:xfrm>
                      <a:off x="0" y="0"/>
                      <a:ext cx="241935" cy="261620"/>
                    </a:xfrm>
                    <a:prstGeom prst="rect">
                      <a:avLst/>
                    </a:prstGeom>
                    <a:noFill/>
                    <a:ln>
                      <a:noFill/>
                    </a:ln>
                  </pic:spPr>
                </pic:pic>
              </a:graphicData>
            </a:graphic>
          </wp:inline>
        </w:drawing>
      </w:r>
      <w:r>
        <w:t xml:space="preserve">, </w:t>
      </w:r>
      <w:r>
        <w:rPr>
          <w:noProof/>
          <w:position w:val="-9"/>
        </w:rPr>
        <w:drawing>
          <wp:inline distT="0" distB="0" distL="0" distR="0">
            <wp:extent cx="241935" cy="261620"/>
            <wp:effectExtent l="0" t="0" r="0" b="0"/>
            <wp:docPr id="3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1" cstate="print">
                      <a:extLst>
                        <a:ext uri="{28A0092B-C50C-407E-A947-70E740481C1C}">
                          <a14:useLocalDpi xmlns:a14="http://schemas.microsoft.com/office/drawing/2010/main" val="0"/>
                        </a:ext>
                      </a:extLst>
                    </a:blip>
                    <a:srcRect/>
                    <a:stretch>
                      <a:fillRect/>
                    </a:stretch>
                  </pic:blipFill>
                  <pic:spPr bwMode="auto">
                    <a:xfrm>
                      <a:off x="0" y="0"/>
                      <a:ext cx="241935" cy="261620"/>
                    </a:xfrm>
                    <a:prstGeom prst="rect">
                      <a:avLst/>
                    </a:prstGeom>
                    <a:noFill/>
                    <a:ln>
                      <a:noFill/>
                    </a:ln>
                  </pic:spPr>
                </pic:pic>
              </a:graphicData>
            </a:graphic>
          </wp:inline>
        </w:drawing>
      </w:r>
      <w:r>
        <w:t xml:space="preserve"> - интенсивность погонных сдвигающих сил в соответствии с </w:t>
      </w:r>
      <w:hyperlink w:anchor="P17464">
        <w:r>
          <w:rPr>
            <w:color w:val="0000FF"/>
          </w:rPr>
          <w:t>рисунком Ю.1</w:t>
        </w:r>
      </w:hyperlink>
      <w:r>
        <w:t>;</w:t>
      </w:r>
    </w:p>
    <w:p w:rsidR="00212513" w:rsidRDefault="00212513">
      <w:pPr>
        <w:pStyle w:val="ConsPlusNormal"/>
        <w:spacing w:before="220"/>
        <w:ind w:firstLine="540"/>
        <w:jc w:val="both"/>
      </w:pPr>
      <w:r>
        <w:rPr>
          <w:noProof/>
          <w:position w:val="-9"/>
        </w:rPr>
        <w:drawing>
          <wp:inline distT="0" distB="0" distL="0" distR="0">
            <wp:extent cx="273685" cy="261620"/>
            <wp:effectExtent l="0" t="0" r="0" b="0"/>
            <wp:docPr id="3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2" cstate="print">
                      <a:extLst>
                        <a:ext uri="{28A0092B-C50C-407E-A947-70E740481C1C}">
                          <a14:useLocalDpi xmlns:a14="http://schemas.microsoft.com/office/drawing/2010/main" val="0"/>
                        </a:ext>
                      </a:extLst>
                    </a:blip>
                    <a:srcRect/>
                    <a:stretch>
                      <a:fillRect/>
                    </a:stretch>
                  </pic:blipFill>
                  <pic:spPr bwMode="auto">
                    <a:xfrm>
                      <a:off x="0" y="0"/>
                      <a:ext cx="273685" cy="261620"/>
                    </a:xfrm>
                    <a:prstGeom prst="rect">
                      <a:avLst/>
                    </a:prstGeom>
                    <a:noFill/>
                    <a:ln>
                      <a:noFill/>
                    </a:ln>
                  </pic:spPr>
                </pic:pic>
              </a:graphicData>
            </a:graphic>
          </wp:inline>
        </w:drawing>
      </w:r>
      <w:r>
        <w:t xml:space="preserve">, </w:t>
      </w:r>
      <w:r>
        <w:rPr>
          <w:noProof/>
          <w:position w:val="-9"/>
        </w:rPr>
        <w:drawing>
          <wp:inline distT="0" distB="0" distL="0" distR="0">
            <wp:extent cx="177800" cy="261620"/>
            <wp:effectExtent l="0" t="0" r="0" b="0"/>
            <wp:docPr id="3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3"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 принимаются по </w:t>
      </w:r>
      <w:hyperlink w:anchor="P9990">
        <w:r>
          <w:rPr>
            <w:color w:val="0000FF"/>
          </w:rPr>
          <w:t>9.28</w:t>
        </w:r>
      </w:hyperlink>
      <w:r>
        <w:t xml:space="preserve"> и </w:t>
      </w:r>
      <w:hyperlink w:anchor="P9992">
        <w:r>
          <w:rPr>
            <w:color w:val="0000FF"/>
          </w:rPr>
          <w:t>9.29</w:t>
        </w:r>
      </w:hyperlink>
      <w:r>
        <w:t>.</w:t>
      </w:r>
    </w:p>
    <w:p w:rsidR="00212513" w:rsidRDefault="00212513">
      <w:pPr>
        <w:pStyle w:val="ConsPlusNormal"/>
        <w:spacing w:before="220"/>
        <w:ind w:firstLine="540"/>
        <w:jc w:val="both"/>
      </w:pPr>
      <w:r>
        <w:t xml:space="preserve">Ю.2 При распределении околоопорного сдвигающего усилия от поперечных сил </w:t>
      </w:r>
      <w:r>
        <w:rPr>
          <w:noProof/>
          <w:position w:val="-10"/>
        </w:rPr>
        <w:drawing>
          <wp:inline distT="0" distB="0" distL="0" distR="0">
            <wp:extent cx="261620" cy="273685"/>
            <wp:effectExtent l="0" t="0" r="0" b="0"/>
            <wp:docPr id="3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4" cstate="print">
                      <a:extLst>
                        <a:ext uri="{28A0092B-C50C-407E-A947-70E740481C1C}">
                          <a14:useLocalDpi xmlns:a14="http://schemas.microsoft.com/office/drawing/2010/main" val="0"/>
                        </a:ext>
                      </a:extLst>
                    </a:blip>
                    <a:srcRect/>
                    <a:stretch>
                      <a:fillRect/>
                    </a:stretch>
                  </pic:blipFill>
                  <pic:spPr bwMode="auto">
                    <a:xfrm>
                      <a:off x="0" y="0"/>
                      <a:ext cx="261620" cy="273685"/>
                    </a:xfrm>
                    <a:prstGeom prst="rect">
                      <a:avLst/>
                    </a:prstGeom>
                    <a:noFill/>
                    <a:ln>
                      <a:noFill/>
                    </a:ln>
                  </pic:spPr>
                </pic:pic>
              </a:graphicData>
            </a:graphic>
          </wp:inline>
        </w:drawing>
      </w:r>
      <w:r>
        <w:t xml:space="preserve"> следует принимать, что интенсивность соответствующих погонных сдвигающих сил изменяется в обе стороны по прямолинейной эпюре от середины длины околоопорного участка </w:t>
      </w:r>
      <w:hyperlink w:anchor="P17464">
        <w:r>
          <w:rPr>
            <w:color w:val="0000FF"/>
          </w:rPr>
          <w:t>(рисунок Ю.1)</w:t>
        </w:r>
      </w:hyperlink>
      <w:r>
        <w:t>; при этом ордината в середине околоопорного участка равна</w:t>
      </w:r>
    </w:p>
    <w:p w:rsidR="00212513" w:rsidRDefault="00212513">
      <w:pPr>
        <w:pStyle w:val="ConsPlusNormal"/>
        <w:ind w:firstLine="540"/>
        <w:jc w:val="both"/>
      </w:pPr>
    </w:p>
    <w:p w:rsidR="00212513" w:rsidRDefault="00212513">
      <w:pPr>
        <w:pStyle w:val="ConsPlusNormal"/>
        <w:jc w:val="center"/>
      </w:pPr>
      <w:r>
        <w:rPr>
          <w:noProof/>
          <w:position w:val="-28"/>
        </w:rPr>
        <w:drawing>
          <wp:inline distT="0" distB="0" distL="0" distR="0">
            <wp:extent cx="987425" cy="502920"/>
            <wp:effectExtent l="0" t="0" r="0" b="0"/>
            <wp:docPr id="3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5" cstate="print">
                      <a:extLst>
                        <a:ext uri="{28A0092B-C50C-407E-A947-70E740481C1C}">
                          <a14:useLocalDpi xmlns:a14="http://schemas.microsoft.com/office/drawing/2010/main" val="0"/>
                        </a:ext>
                      </a:extLst>
                    </a:blip>
                    <a:srcRect/>
                    <a:stretch>
                      <a:fillRect/>
                    </a:stretch>
                  </pic:blipFill>
                  <pic:spPr bwMode="auto">
                    <a:xfrm>
                      <a:off x="0" y="0"/>
                      <a:ext cx="987425" cy="502920"/>
                    </a:xfrm>
                    <a:prstGeom prst="rect">
                      <a:avLst/>
                    </a:prstGeom>
                    <a:noFill/>
                    <a:ln>
                      <a:noFill/>
                    </a:ln>
                  </pic:spPr>
                </pic:pic>
              </a:graphicData>
            </a:graphic>
          </wp:inline>
        </w:drawing>
      </w:r>
      <w:r>
        <w:t>. (Ю.3)</w:t>
      </w:r>
    </w:p>
    <w:p w:rsidR="00212513" w:rsidRDefault="00212513">
      <w:pPr>
        <w:pStyle w:val="ConsPlusNormal"/>
        <w:ind w:firstLine="540"/>
        <w:jc w:val="both"/>
      </w:pPr>
    </w:p>
    <w:p w:rsidR="00212513" w:rsidRDefault="00212513">
      <w:pPr>
        <w:pStyle w:val="ConsPlusNormal"/>
        <w:ind w:firstLine="540"/>
        <w:jc w:val="both"/>
      </w:pPr>
      <w:r>
        <w:t xml:space="preserve">Ю.3 Распределение местных сосредоточенных сдвигающих усилий (от заанкеривания </w:t>
      </w:r>
      <w:r>
        <w:lastRenderedPageBreak/>
        <w:t xml:space="preserve">высокопрочной арматуры, примыкания ванты или раскоса и т.д.) </w:t>
      </w:r>
      <w:r>
        <w:rPr>
          <w:noProof/>
          <w:position w:val="-9"/>
        </w:rPr>
        <w:drawing>
          <wp:inline distT="0" distB="0" distL="0" distR="0">
            <wp:extent cx="273685" cy="261620"/>
            <wp:effectExtent l="0" t="0" r="0" b="0"/>
            <wp:docPr id="3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6" cstate="print">
                      <a:extLst>
                        <a:ext uri="{28A0092B-C50C-407E-A947-70E740481C1C}">
                          <a14:useLocalDpi xmlns:a14="http://schemas.microsoft.com/office/drawing/2010/main" val="0"/>
                        </a:ext>
                      </a:extLst>
                    </a:blip>
                    <a:srcRect/>
                    <a:stretch>
                      <a:fillRect/>
                    </a:stretch>
                  </pic:blipFill>
                  <pic:spPr bwMode="auto">
                    <a:xfrm>
                      <a:off x="0" y="0"/>
                      <a:ext cx="273685" cy="261620"/>
                    </a:xfrm>
                    <a:prstGeom prst="rect">
                      <a:avLst/>
                    </a:prstGeom>
                    <a:noFill/>
                    <a:ln>
                      <a:noFill/>
                    </a:ln>
                  </pic:spPr>
                </pic:pic>
              </a:graphicData>
            </a:graphic>
          </wp:inline>
        </w:drawing>
      </w:r>
      <w:r>
        <w:t xml:space="preserve"> в удаленных от конца плиты зонах следует принимать по симметричной треугольной эпюре с длиной основания </w:t>
      </w:r>
      <w:r>
        <w:rPr>
          <w:noProof/>
          <w:position w:val="-9"/>
        </w:rPr>
        <w:drawing>
          <wp:inline distT="0" distB="0" distL="0" distR="0">
            <wp:extent cx="273685" cy="261620"/>
            <wp:effectExtent l="0" t="0" r="0" b="0"/>
            <wp:docPr id="3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7" cstate="print">
                      <a:extLst>
                        <a:ext uri="{28A0092B-C50C-407E-A947-70E740481C1C}">
                          <a14:useLocalDpi xmlns:a14="http://schemas.microsoft.com/office/drawing/2010/main" val="0"/>
                        </a:ext>
                      </a:extLst>
                    </a:blip>
                    <a:srcRect/>
                    <a:stretch>
                      <a:fillRect/>
                    </a:stretch>
                  </pic:blipFill>
                  <pic:spPr bwMode="auto">
                    <a:xfrm>
                      <a:off x="0" y="0"/>
                      <a:ext cx="273685" cy="261620"/>
                    </a:xfrm>
                    <a:prstGeom prst="rect">
                      <a:avLst/>
                    </a:prstGeom>
                    <a:noFill/>
                    <a:ln>
                      <a:noFill/>
                    </a:ln>
                  </pic:spPr>
                </pic:pic>
              </a:graphicData>
            </a:graphic>
          </wp:inline>
        </w:drawing>
      </w:r>
      <w:r>
        <w:t xml:space="preserve"> </w:t>
      </w:r>
      <w:hyperlink w:anchor="P17464">
        <w:r>
          <w:rPr>
            <w:color w:val="0000FF"/>
          </w:rPr>
          <w:t>(рисунок Ю.1)</w:t>
        </w:r>
      </w:hyperlink>
      <w:r>
        <w:t>.</w:t>
      </w:r>
    </w:p>
    <w:p w:rsidR="00212513" w:rsidRDefault="00212513">
      <w:pPr>
        <w:pStyle w:val="ConsPlusNormal"/>
        <w:spacing w:before="220"/>
        <w:ind w:firstLine="540"/>
        <w:jc w:val="both"/>
      </w:pPr>
      <w:r>
        <w:t xml:space="preserve">Ю.4 При определении сдвигающих усилий длины расчетных участков следует принимать </w:t>
      </w:r>
      <w:hyperlink w:anchor="P17464">
        <w:r>
          <w:rPr>
            <w:color w:val="0000FF"/>
          </w:rPr>
          <w:t>(рисунок Ю.1)</w:t>
        </w:r>
      </w:hyperlink>
      <w:r>
        <w:t>:</w:t>
      </w:r>
    </w:p>
    <w:p w:rsidR="00212513" w:rsidRDefault="00212513">
      <w:pPr>
        <w:pStyle w:val="ConsPlusNormal"/>
        <w:spacing w:before="220"/>
        <w:ind w:firstLine="540"/>
        <w:jc w:val="both"/>
      </w:pPr>
      <w:r>
        <w:rPr>
          <w:noProof/>
          <w:position w:val="-9"/>
        </w:rPr>
        <w:drawing>
          <wp:inline distT="0" distB="0" distL="0" distR="0">
            <wp:extent cx="1173480" cy="261620"/>
            <wp:effectExtent l="0" t="0" r="0" b="0"/>
            <wp:docPr id="3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8" cstate="print">
                      <a:extLst>
                        <a:ext uri="{28A0092B-C50C-407E-A947-70E740481C1C}">
                          <a14:useLocalDpi xmlns:a14="http://schemas.microsoft.com/office/drawing/2010/main" val="0"/>
                        </a:ext>
                      </a:extLst>
                    </a:blip>
                    <a:srcRect/>
                    <a:stretch>
                      <a:fillRect/>
                    </a:stretch>
                  </pic:blipFill>
                  <pic:spPr bwMode="auto">
                    <a:xfrm>
                      <a:off x="0" y="0"/>
                      <a:ext cx="1173480" cy="261620"/>
                    </a:xfrm>
                    <a:prstGeom prst="rect">
                      <a:avLst/>
                    </a:prstGeom>
                    <a:noFill/>
                    <a:ln>
                      <a:noFill/>
                    </a:ln>
                  </pic:spPr>
                </pic:pic>
              </a:graphicData>
            </a:graphic>
          </wp:inline>
        </w:drawing>
      </w:r>
      <w:r>
        <w:t>;</w:t>
      </w:r>
    </w:p>
    <w:p w:rsidR="00212513" w:rsidRDefault="00212513">
      <w:pPr>
        <w:pStyle w:val="ConsPlusNormal"/>
        <w:spacing w:before="220"/>
        <w:ind w:firstLine="540"/>
        <w:jc w:val="both"/>
      </w:pPr>
      <w:r>
        <w:rPr>
          <w:noProof/>
          <w:position w:val="-9"/>
        </w:rPr>
        <w:drawing>
          <wp:inline distT="0" distB="0" distL="0" distR="0">
            <wp:extent cx="1230630" cy="261620"/>
            <wp:effectExtent l="0" t="0" r="0" b="0"/>
            <wp:docPr id="3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9" cstate="print">
                      <a:extLst>
                        <a:ext uri="{28A0092B-C50C-407E-A947-70E740481C1C}">
                          <a14:useLocalDpi xmlns:a14="http://schemas.microsoft.com/office/drawing/2010/main" val="0"/>
                        </a:ext>
                      </a:extLst>
                    </a:blip>
                    <a:srcRect/>
                    <a:stretch>
                      <a:fillRect/>
                    </a:stretch>
                  </pic:blipFill>
                  <pic:spPr bwMode="auto">
                    <a:xfrm>
                      <a:off x="0" y="0"/>
                      <a:ext cx="1230630" cy="261620"/>
                    </a:xfrm>
                    <a:prstGeom prst="rect">
                      <a:avLst/>
                    </a:prstGeom>
                    <a:noFill/>
                    <a:ln>
                      <a:noFill/>
                    </a:ln>
                  </pic:spPr>
                </pic:pic>
              </a:graphicData>
            </a:graphic>
          </wp:inline>
        </w:drawing>
      </w:r>
      <w:r>
        <w:t xml:space="preserve"> - для концевых участков и в местах приложения сосредоточенных сил, а также в местах, примыкающих к указанному участку;</w:t>
      </w:r>
    </w:p>
    <w:p w:rsidR="00212513" w:rsidRDefault="00212513">
      <w:pPr>
        <w:pStyle w:val="ConsPlusNormal"/>
        <w:spacing w:before="220"/>
        <w:ind w:firstLine="540"/>
        <w:jc w:val="both"/>
      </w:pPr>
      <w:r>
        <w:rPr>
          <w:noProof/>
          <w:position w:val="-9"/>
        </w:rPr>
        <w:drawing>
          <wp:inline distT="0" distB="0" distL="0" distR="0">
            <wp:extent cx="1200785" cy="261620"/>
            <wp:effectExtent l="0" t="0" r="0" b="0"/>
            <wp:docPr id="3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0" cstate="print">
                      <a:extLst>
                        <a:ext uri="{28A0092B-C50C-407E-A947-70E740481C1C}">
                          <a14:useLocalDpi xmlns:a14="http://schemas.microsoft.com/office/drawing/2010/main" val="0"/>
                        </a:ext>
                      </a:extLst>
                    </a:blip>
                    <a:srcRect/>
                    <a:stretch>
                      <a:fillRect/>
                    </a:stretch>
                  </pic:blipFill>
                  <pic:spPr bwMode="auto">
                    <a:xfrm>
                      <a:off x="0" y="0"/>
                      <a:ext cx="1200785" cy="261620"/>
                    </a:xfrm>
                    <a:prstGeom prst="rect">
                      <a:avLst/>
                    </a:prstGeom>
                    <a:noFill/>
                    <a:ln>
                      <a:noFill/>
                    </a:ln>
                  </pic:spPr>
                </pic:pic>
              </a:graphicData>
            </a:graphic>
          </wp:inline>
        </w:drawing>
      </w:r>
      <w:r>
        <w:t xml:space="preserve">; </w:t>
      </w:r>
      <w:r>
        <w:rPr>
          <w:noProof/>
          <w:position w:val="-9"/>
        </w:rPr>
        <w:drawing>
          <wp:inline distT="0" distB="0" distL="0" distR="0">
            <wp:extent cx="1173480" cy="261620"/>
            <wp:effectExtent l="0" t="0" r="0" b="0"/>
            <wp:docPr id="3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1" cstate="print">
                      <a:extLst>
                        <a:ext uri="{28A0092B-C50C-407E-A947-70E740481C1C}">
                          <a14:useLocalDpi xmlns:a14="http://schemas.microsoft.com/office/drawing/2010/main" val="0"/>
                        </a:ext>
                      </a:extLst>
                    </a:blip>
                    <a:srcRect/>
                    <a:stretch>
                      <a:fillRect/>
                    </a:stretch>
                  </pic:blipFill>
                  <pic:spPr bwMode="auto">
                    <a:xfrm>
                      <a:off x="0" y="0"/>
                      <a:ext cx="1173480" cy="261620"/>
                    </a:xfrm>
                    <a:prstGeom prst="rect">
                      <a:avLst/>
                    </a:prstGeom>
                    <a:noFill/>
                    <a:ln>
                      <a:noFill/>
                    </a:ln>
                  </pic:spPr>
                </pic:pic>
              </a:graphicData>
            </a:graphic>
          </wp:inline>
        </w:drawing>
      </w:r>
      <w:r>
        <w:t xml:space="preserve"> - на остальной длине пролетного строения соответственно в крайней и средней четвертях пролета.</w:t>
      </w: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jc w:val="right"/>
        <w:outlineLvl w:val="0"/>
      </w:pPr>
      <w:r>
        <w:rPr>
          <w:b/>
        </w:rPr>
        <w:t>Приложение Я</w:t>
      </w:r>
    </w:p>
    <w:p w:rsidR="00212513" w:rsidRDefault="00212513">
      <w:pPr>
        <w:pStyle w:val="ConsPlusNormal"/>
        <w:jc w:val="right"/>
      </w:pPr>
      <w:r>
        <w:rPr>
          <w:b/>
        </w:rPr>
        <w:t>(обязательное)</w:t>
      </w:r>
    </w:p>
    <w:p w:rsidR="00212513" w:rsidRDefault="00212513">
      <w:pPr>
        <w:pStyle w:val="ConsPlusNormal"/>
        <w:ind w:firstLine="540"/>
        <w:jc w:val="both"/>
      </w:pPr>
    </w:p>
    <w:p w:rsidR="00212513" w:rsidRDefault="00212513">
      <w:pPr>
        <w:pStyle w:val="ConsPlusTitle"/>
        <w:jc w:val="center"/>
      </w:pPr>
      <w:bookmarkStart w:id="592" w:name="P17492"/>
      <w:bookmarkEnd w:id="592"/>
      <w:r>
        <w:t>РАСЧЕТЫ ПО ПРОЧНОСТИ ОБЪЕДИНЕНИЯ ЖЕЛЕЗОБЕТОНА И СТАЛИ</w:t>
      </w:r>
    </w:p>
    <w:p w:rsidR="00212513" w:rsidRDefault="00212513">
      <w:pPr>
        <w:pStyle w:val="ConsPlusTitle"/>
        <w:jc w:val="center"/>
      </w:pPr>
      <w:r>
        <w:t>ГИБКИМИ УПОРАМИ И АНКЕРАМИ</w:t>
      </w:r>
    </w:p>
    <w:p w:rsidR="00212513" w:rsidRDefault="00212513">
      <w:pPr>
        <w:pStyle w:val="ConsPlusNormal"/>
        <w:ind w:firstLine="540"/>
        <w:jc w:val="both"/>
      </w:pPr>
    </w:p>
    <w:p w:rsidR="00212513" w:rsidRDefault="00212513">
      <w:pPr>
        <w:pStyle w:val="ConsPlusNormal"/>
        <w:ind w:firstLine="540"/>
        <w:jc w:val="both"/>
      </w:pPr>
      <w:r>
        <w:t xml:space="preserve">Я.1 Сдвигающее усилие </w:t>
      </w:r>
      <w:r>
        <w:rPr>
          <w:noProof/>
          <w:position w:val="-9"/>
        </w:rPr>
        <w:drawing>
          <wp:inline distT="0" distB="0" distL="0" distR="0">
            <wp:extent cx="177165" cy="260985"/>
            <wp:effectExtent l="0" t="0" r="0" b="0"/>
            <wp:docPr id="3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2" cstate="print">
                      <a:extLst>
                        <a:ext uri="{28A0092B-C50C-407E-A947-70E740481C1C}">
                          <a14:useLocalDpi xmlns:a14="http://schemas.microsoft.com/office/drawing/2010/main" val="0"/>
                        </a:ext>
                      </a:extLst>
                    </a:blip>
                    <a:srcRect/>
                    <a:stretch>
                      <a:fillRect/>
                    </a:stretch>
                  </pic:blipFill>
                  <pic:spPr bwMode="auto">
                    <a:xfrm>
                      <a:off x="0" y="0"/>
                      <a:ext cx="177165" cy="260985"/>
                    </a:xfrm>
                    <a:prstGeom prst="rect">
                      <a:avLst/>
                    </a:prstGeom>
                    <a:noFill/>
                    <a:ln>
                      <a:noFill/>
                    </a:ln>
                  </pic:spPr>
                </pic:pic>
              </a:graphicData>
            </a:graphic>
          </wp:inline>
        </w:drawing>
      </w:r>
      <w:r>
        <w:t>, приходящееся на один гибкий упор, должно отвечать следующим условиям прочности:</w:t>
      </w:r>
    </w:p>
    <w:p w:rsidR="00212513" w:rsidRDefault="00212513">
      <w:pPr>
        <w:pStyle w:val="ConsPlusNormal"/>
        <w:spacing w:before="220"/>
        <w:ind w:firstLine="540"/>
        <w:jc w:val="both"/>
      </w:pPr>
      <w:r>
        <w:t>для гибких упоров в виде прокатных швеллеров, двутавров, уголков без подкрепляющих ребер</w:t>
      </w:r>
    </w:p>
    <w:p w:rsidR="00212513" w:rsidRDefault="00212513">
      <w:pPr>
        <w:pStyle w:val="ConsPlusNormal"/>
        <w:ind w:firstLine="540"/>
        <w:jc w:val="both"/>
      </w:pPr>
    </w:p>
    <w:p w:rsidR="00212513" w:rsidRDefault="00212513">
      <w:pPr>
        <w:pStyle w:val="ConsPlusNormal"/>
        <w:jc w:val="center"/>
      </w:pPr>
      <w:bookmarkStart w:id="593" w:name="P17498"/>
      <w:bookmarkEnd w:id="593"/>
      <w:r>
        <w:rPr>
          <w:noProof/>
          <w:position w:val="-12"/>
        </w:rPr>
        <w:drawing>
          <wp:inline distT="0" distB="0" distL="0" distR="0">
            <wp:extent cx="2374900" cy="293370"/>
            <wp:effectExtent l="0" t="0" r="0" b="0"/>
            <wp:docPr id="3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3" cstate="print">
                      <a:extLst>
                        <a:ext uri="{28A0092B-C50C-407E-A947-70E740481C1C}">
                          <a14:useLocalDpi xmlns:a14="http://schemas.microsoft.com/office/drawing/2010/main" val="0"/>
                        </a:ext>
                      </a:extLst>
                    </a:blip>
                    <a:srcRect/>
                    <a:stretch>
                      <a:fillRect/>
                    </a:stretch>
                  </pic:blipFill>
                  <pic:spPr bwMode="auto">
                    <a:xfrm>
                      <a:off x="0" y="0"/>
                      <a:ext cx="2374900" cy="293370"/>
                    </a:xfrm>
                    <a:prstGeom prst="rect">
                      <a:avLst/>
                    </a:prstGeom>
                    <a:noFill/>
                    <a:ln>
                      <a:noFill/>
                    </a:ln>
                  </pic:spPr>
                </pic:pic>
              </a:graphicData>
            </a:graphic>
          </wp:inline>
        </w:drawing>
      </w:r>
      <w:r>
        <w:t>; (Я.1)</w:t>
      </w:r>
    </w:p>
    <w:p w:rsidR="00212513" w:rsidRDefault="00212513">
      <w:pPr>
        <w:pStyle w:val="ConsPlusNormal"/>
        <w:ind w:firstLine="540"/>
        <w:jc w:val="both"/>
      </w:pPr>
    </w:p>
    <w:p w:rsidR="00212513" w:rsidRDefault="00212513">
      <w:pPr>
        <w:pStyle w:val="ConsPlusNormal"/>
        <w:ind w:firstLine="540"/>
        <w:jc w:val="both"/>
      </w:pPr>
      <w:r>
        <w:t xml:space="preserve">для гибких упоров в виде круглых стержней при 2,5 &lt; </w:t>
      </w:r>
      <w:r>
        <w:rPr>
          <w:i/>
        </w:rPr>
        <w:t>l</w:t>
      </w:r>
      <w:r>
        <w:t>/</w:t>
      </w:r>
      <w:r>
        <w:rPr>
          <w:i/>
        </w:rPr>
        <w:t>d</w:t>
      </w:r>
      <w:r>
        <w:t xml:space="preserve"> &lt;= 4,2</w:t>
      </w:r>
    </w:p>
    <w:p w:rsidR="00212513" w:rsidRDefault="00212513">
      <w:pPr>
        <w:pStyle w:val="ConsPlusNormal"/>
        <w:ind w:firstLine="540"/>
        <w:jc w:val="both"/>
      </w:pPr>
    </w:p>
    <w:p w:rsidR="00212513" w:rsidRDefault="00212513">
      <w:pPr>
        <w:pStyle w:val="ConsPlusNormal"/>
        <w:jc w:val="center"/>
      </w:pPr>
      <w:r>
        <w:rPr>
          <w:noProof/>
          <w:position w:val="-12"/>
        </w:rPr>
        <w:drawing>
          <wp:inline distT="0" distB="0" distL="0" distR="0">
            <wp:extent cx="1577975" cy="293370"/>
            <wp:effectExtent l="0" t="0" r="0" b="0"/>
            <wp:docPr id="3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4" cstate="print">
                      <a:extLst>
                        <a:ext uri="{28A0092B-C50C-407E-A947-70E740481C1C}">
                          <a14:useLocalDpi xmlns:a14="http://schemas.microsoft.com/office/drawing/2010/main" val="0"/>
                        </a:ext>
                      </a:extLst>
                    </a:blip>
                    <a:srcRect/>
                    <a:stretch>
                      <a:fillRect/>
                    </a:stretch>
                  </pic:blipFill>
                  <pic:spPr bwMode="auto">
                    <a:xfrm>
                      <a:off x="0" y="0"/>
                      <a:ext cx="1577975" cy="293370"/>
                    </a:xfrm>
                    <a:prstGeom prst="rect">
                      <a:avLst/>
                    </a:prstGeom>
                    <a:noFill/>
                    <a:ln>
                      <a:noFill/>
                    </a:ln>
                  </pic:spPr>
                </pic:pic>
              </a:graphicData>
            </a:graphic>
          </wp:inline>
        </w:drawing>
      </w:r>
      <w:r>
        <w:t>; (Я.2)</w:t>
      </w:r>
    </w:p>
    <w:p w:rsidR="00212513" w:rsidRDefault="00212513">
      <w:pPr>
        <w:pStyle w:val="ConsPlusNormal"/>
        <w:ind w:firstLine="540"/>
        <w:jc w:val="both"/>
      </w:pPr>
    </w:p>
    <w:p w:rsidR="00212513" w:rsidRDefault="00212513">
      <w:pPr>
        <w:pStyle w:val="ConsPlusNormal"/>
        <w:ind w:firstLine="540"/>
        <w:jc w:val="both"/>
      </w:pPr>
      <w:r>
        <w:t xml:space="preserve">для гибких упоров в виде круглых стержней при </w:t>
      </w:r>
      <w:r>
        <w:rPr>
          <w:i/>
        </w:rPr>
        <w:t>l</w:t>
      </w:r>
      <w:r>
        <w:t>/</w:t>
      </w:r>
      <w:r>
        <w:rPr>
          <w:i/>
        </w:rPr>
        <w:t>d</w:t>
      </w:r>
      <w:r>
        <w:t xml:space="preserve"> &gt; 4,2</w:t>
      </w:r>
    </w:p>
    <w:p w:rsidR="00212513" w:rsidRDefault="00212513">
      <w:pPr>
        <w:pStyle w:val="ConsPlusNormal"/>
        <w:ind w:firstLine="540"/>
        <w:jc w:val="both"/>
      </w:pPr>
    </w:p>
    <w:p w:rsidR="00212513" w:rsidRDefault="00212513">
      <w:pPr>
        <w:pStyle w:val="ConsPlusNormal"/>
        <w:jc w:val="center"/>
      </w:pPr>
      <w:r>
        <w:rPr>
          <w:noProof/>
          <w:position w:val="-12"/>
        </w:rPr>
        <w:drawing>
          <wp:inline distT="0" distB="0" distL="0" distR="0">
            <wp:extent cx="1298575" cy="293370"/>
            <wp:effectExtent l="0" t="0" r="0" b="0"/>
            <wp:docPr id="3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5" cstate="print">
                      <a:extLst>
                        <a:ext uri="{28A0092B-C50C-407E-A947-70E740481C1C}">
                          <a14:useLocalDpi xmlns:a14="http://schemas.microsoft.com/office/drawing/2010/main" val="0"/>
                        </a:ext>
                      </a:extLst>
                    </a:blip>
                    <a:srcRect/>
                    <a:stretch>
                      <a:fillRect/>
                    </a:stretch>
                  </pic:blipFill>
                  <pic:spPr bwMode="auto">
                    <a:xfrm>
                      <a:off x="0" y="0"/>
                      <a:ext cx="1298575" cy="293370"/>
                    </a:xfrm>
                    <a:prstGeom prst="rect">
                      <a:avLst/>
                    </a:prstGeom>
                    <a:noFill/>
                    <a:ln>
                      <a:noFill/>
                    </a:ln>
                  </pic:spPr>
                </pic:pic>
              </a:graphicData>
            </a:graphic>
          </wp:inline>
        </w:drawing>
      </w:r>
      <w:r>
        <w:t>. (Я.3)</w:t>
      </w:r>
    </w:p>
    <w:p w:rsidR="00212513" w:rsidRDefault="00212513">
      <w:pPr>
        <w:pStyle w:val="ConsPlusNormal"/>
        <w:ind w:firstLine="540"/>
        <w:jc w:val="both"/>
      </w:pPr>
    </w:p>
    <w:p w:rsidR="00212513" w:rsidRDefault="00212513">
      <w:pPr>
        <w:pStyle w:val="ConsPlusNormal"/>
        <w:ind w:firstLine="540"/>
        <w:jc w:val="both"/>
      </w:pPr>
      <w:r>
        <w:t>Для гибких упоров в виде круглых стержней должно быть, кроме того, выполнено условие</w:t>
      </w:r>
    </w:p>
    <w:p w:rsidR="00212513" w:rsidRDefault="00212513">
      <w:pPr>
        <w:pStyle w:val="ConsPlusNormal"/>
        <w:ind w:firstLine="540"/>
        <w:jc w:val="both"/>
      </w:pPr>
    </w:p>
    <w:p w:rsidR="00212513" w:rsidRDefault="00212513">
      <w:pPr>
        <w:pStyle w:val="ConsPlusNormal"/>
        <w:jc w:val="center"/>
      </w:pPr>
      <w:r>
        <w:rPr>
          <w:noProof/>
          <w:position w:val="-10"/>
        </w:rPr>
        <w:drawing>
          <wp:inline distT="0" distB="0" distL="0" distR="0">
            <wp:extent cx="1494155" cy="273685"/>
            <wp:effectExtent l="0" t="0" r="0" b="0"/>
            <wp:docPr id="3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6" cstate="print">
                      <a:extLst>
                        <a:ext uri="{28A0092B-C50C-407E-A947-70E740481C1C}">
                          <a14:useLocalDpi xmlns:a14="http://schemas.microsoft.com/office/drawing/2010/main" val="0"/>
                        </a:ext>
                      </a:extLst>
                    </a:blip>
                    <a:srcRect/>
                    <a:stretch>
                      <a:fillRect/>
                    </a:stretch>
                  </pic:blipFill>
                  <pic:spPr bwMode="auto">
                    <a:xfrm>
                      <a:off x="0" y="0"/>
                      <a:ext cx="1494155" cy="273685"/>
                    </a:xfrm>
                    <a:prstGeom prst="rect">
                      <a:avLst/>
                    </a:prstGeom>
                    <a:noFill/>
                    <a:ln>
                      <a:noFill/>
                    </a:ln>
                  </pic:spPr>
                </pic:pic>
              </a:graphicData>
            </a:graphic>
          </wp:inline>
        </w:drawing>
      </w:r>
      <w:r>
        <w:t>. (Я.4)</w:t>
      </w:r>
    </w:p>
    <w:p w:rsidR="00212513" w:rsidRDefault="00212513">
      <w:pPr>
        <w:pStyle w:val="ConsPlusNormal"/>
        <w:ind w:firstLine="540"/>
        <w:jc w:val="both"/>
      </w:pPr>
    </w:p>
    <w:p w:rsidR="00212513" w:rsidRDefault="00212513">
      <w:pPr>
        <w:pStyle w:val="ConsPlusNormal"/>
        <w:ind w:firstLine="540"/>
        <w:jc w:val="both"/>
      </w:pPr>
      <w:r>
        <w:t xml:space="preserve">В </w:t>
      </w:r>
      <w:hyperlink w:anchor="P17498">
        <w:r>
          <w:rPr>
            <w:color w:val="0000FF"/>
          </w:rPr>
          <w:t>формулах (Я.1)</w:t>
        </w:r>
      </w:hyperlink>
      <w:r>
        <w:t xml:space="preserve"> - (Я.4):</w:t>
      </w:r>
    </w:p>
    <w:p w:rsidR="00212513" w:rsidRDefault="00212513">
      <w:pPr>
        <w:pStyle w:val="ConsPlusNormal"/>
        <w:spacing w:before="220"/>
        <w:ind w:firstLine="540"/>
        <w:jc w:val="both"/>
      </w:pPr>
      <w:r>
        <w:rPr>
          <w:noProof/>
          <w:position w:val="-10"/>
        </w:rPr>
        <w:drawing>
          <wp:inline distT="0" distB="0" distL="0" distR="0">
            <wp:extent cx="177165" cy="273685"/>
            <wp:effectExtent l="0" t="0" r="0" b="0"/>
            <wp:docPr id="3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7" cstate="print">
                      <a:extLst>
                        <a:ext uri="{28A0092B-C50C-407E-A947-70E740481C1C}">
                          <a14:useLocalDpi xmlns:a14="http://schemas.microsoft.com/office/drawing/2010/main" val="0"/>
                        </a:ext>
                      </a:extLst>
                    </a:blip>
                    <a:srcRect/>
                    <a:stretch>
                      <a:fillRect/>
                    </a:stretch>
                  </pic:blipFill>
                  <pic:spPr bwMode="auto">
                    <a:xfrm>
                      <a:off x="0" y="0"/>
                      <a:ext cx="177165" cy="273685"/>
                    </a:xfrm>
                    <a:prstGeom prst="rect">
                      <a:avLst/>
                    </a:prstGeom>
                    <a:noFill/>
                    <a:ln>
                      <a:noFill/>
                    </a:ln>
                  </pic:spPr>
                </pic:pic>
              </a:graphicData>
            </a:graphic>
          </wp:inline>
        </w:drawing>
      </w:r>
      <w:r>
        <w:t xml:space="preserve"> - сумма радиуса закругления и наибольшей толщины полки прокатного профиля, см;</w:t>
      </w:r>
    </w:p>
    <w:p w:rsidR="00212513" w:rsidRDefault="00212513">
      <w:pPr>
        <w:pStyle w:val="ConsPlusNormal"/>
        <w:spacing w:before="220"/>
        <w:ind w:firstLine="540"/>
        <w:jc w:val="both"/>
      </w:pPr>
      <w:r>
        <w:rPr>
          <w:noProof/>
          <w:position w:val="-9"/>
        </w:rPr>
        <w:lastRenderedPageBreak/>
        <w:drawing>
          <wp:inline distT="0" distB="0" distL="0" distR="0">
            <wp:extent cx="167640" cy="261620"/>
            <wp:effectExtent l="0" t="0" r="0" b="0"/>
            <wp:docPr id="3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8"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 толщина стенки прокатного профиля, см;</w:t>
      </w:r>
    </w:p>
    <w:p w:rsidR="00212513" w:rsidRDefault="00212513">
      <w:pPr>
        <w:pStyle w:val="ConsPlusNormal"/>
        <w:spacing w:before="220"/>
        <w:ind w:firstLine="540"/>
        <w:jc w:val="both"/>
      </w:pPr>
      <w:r>
        <w:rPr>
          <w:i/>
        </w:rPr>
        <w:t>l</w:t>
      </w:r>
      <w:r>
        <w:t xml:space="preserve"> - длина круглого стержня гибкого упора, см;</w:t>
      </w:r>
    </w:p>
    <w:p w:rsidR="00212513" w:rsidRDefault="00212513">
      <w:pPr>
        <w:pStyle w:val="ConsPlusNormal"/>
        <w:spacing w:before="220"/>
        <w:ind w:firstLine="540"/>
        <w:jc w:val="both"/>
      </w:pPr>
      <w:r>
        <w:rPr>
          <w:i/>
        </w:rPr>
        <w:t>d</w:t>
      </w:r>
      <w:r>
        <w:t xml:space="preserve"> - диаметр стержня гибкого упора или анкера, см;</w:t>
      </w:r>
    </w:p>
    <w:p w:rsidR="00212513" w:rsidRDefault="00212513">
      <w:pPr>
        <w:pStyle w:val="ConsPlusNormal"/>
        <w:spacing w:before="220"/>
        <w:ind w:firstLine="540"/>
        <w:jc w:val="both"/>
      </w:pPr>
      <w:r>
        <w:rPr>
          <w:noProof/>
          <w:position w:val="-9"/>
        </w:rPr>
        <w:drawing>
          <wp:inline distT="0" distB="0" distL="0" distR="0">
            <wp:extent cx="230505" cy="261620"/>
            <wp:effectExtent l="0" t="0" r="0" b="0"/>
            <wp:docPr id="3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9" cstate="print">
                      <a:extLst>
                        <a:ext uri="{28A0092B-C50C-407E-A947-70E740481C1C}">
                          <a14:useLocalDpi xmlns:a14="http://schemas.microsoft.com/office/drawing/2010/main" val="0"/>
                        </a:ext>
                      </a:extLst>
                    </a:blip>
                    <a:srcRect/>
                    <a:stretch>
                      <a:fillRect/>
                    </a:stretch>
                  </pic:blipFill>
                  <pic:spPr bwMode="auto">
                    <a:xfrm>
                      <a:off x="0" y="0"/>
                      <a:ext cx="230505" cy="261620"/>
                    </a:xfrm>
                    <a:prstGeom prst="rect">
                      <a:avLst/>
                    </a:prstGeom>
                    <a:noFill/>
                    <a:ln>
                      <a:noFill/>
                    </a:ln>
                  </pic:spPr>
                </pic:pic>
              </a:graphicData>
            </a:graphic>
          </wp:inline>
        </w:drawing>
      </w:r>
      <w:r>
        <w:t xml:space="preserve"> - ширина площади смятия бетона упором, см;</w:t>
      </w:r>
    </w:p>
    <w:p w:rsidR="00212513" w:rsidRDefault="00212513">
      <w:pPr>
        <w:pStyle w:val="ConsPlusNormal"/>
        <w:spacing w:before="220"/>
        <w:ind w:firstLine="540"/>
        <w:jc w:val="both"/>
      </w:pPr>
      <w:r>
        <w:rPr>
          <w:noProof/>
          <w:position w:val="-9"/>
        </w:rPr>
        <w:drawing>
          <wp:inline distT="0" distB="0" distL="0" distR="0">
            <wp:extent cx="220345" cy="261620"/>
            <wp:effectExtent l="0" t="0" r="0" b="0"/>
            <wp:docPr id="3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0"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w:t>
      </w:r>
      <w:r>
        <w:rPr>
          <w:noProof/>
          <w:position w:val="-10"/>
        </w:rPr>
        <w:drawing>
          <wp:inline distT="0" distB="0" distL="0" distR="0">
            <wp:extent cx="220345" cy="273685"/>
            <wp:effectExtent l="0" t="0" r="0" b="0"/>
            <wp:docPr id="3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1" cstate="print">
                      <a:extLst>
                        <a:ext uri="{28A0092B-C50C-407E-A947-70E740481C1C}">
                          <a14:useLocalDpi xmlns:a14="http://schemas.microsoft.com/office/drawing/2010/main" val="0"/>
                        </a:ext>
                      </a:extLst>
                    </a:blip>
                    <a:srcRect/>
                    <a:stretch>
                      <a:fillRect/>
                    </a:stretch>
                  </pic:blipFill>
                  <pic:spPr bwMode="auto">
                    <a:xfrm>
                      <a:off x="0" y="0"/>
                      <a:ext cx="220345" cy="273685"/>
                    </a:xfrm>
                    <a:prstGeom prst="rect">
                      <a:avLst/>
                    </a:prstGeom>
                    <a:noFill/>
                    <a:ln>
                      <a:noFill/>
                    </a:ln>
                  </pic:spPr>
                </pic:pic>
              </a:graphicData>
            </a:graphic>
          </wp:inline>
        </w:drawing>
      </w:r>
      <w:r>
        <w:t xml:space="preserve">, </w:t>
      </w:r>
      <w:r>
        <w:rPr>
          <w:i/>
        </w:rPr>
        <w:t>m</w:t>
      </w:r>
      <w:r>
        <w:t xml:space="preserve"> - принимаются согласно </w:t>
      </w:r>
      <w:hyperlink w:anchor="P9506">
        <w:r>
          <w:rPr>
            <w:color w:val="0000FF"/>
          </w:rPr>
          <w:t>9.19</w:t>
        </w:r>
      </w:hyperlink>
      <w:r>
        <w:t>.</w:t>
      </w:r>
    </w:p>
    <w:p w:rsidR="00212513" w:rsidRDefault="00212513">
      <w:pPr>
        <w:pStyle w:val="ConsPlusNormal"/>
        <w:spacing w:before="220"/>
        <w:ind w:firstLine="540"/>
        <w:jc w:val="both"/>
      </w:pPr>
      <w:r>
        <w:t xml:space="preserve">Я.2 Сдвигающее усилие </w:t>
      </w:r>
      <w:r>
        <w:rPr>
          <w:noProof/>
          <w:position w:val="-9"/>
        </w:rPr>
        <w:drawing>
          <wp:inline distT="0" distB="0" distL="0" distR="0">
            <wp:extent cx="177165" cy="260985"/>
            <wp:effectExtent l="0" t="0" r="0" b="0"/>
            <wp:docPr id="3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2" cstate="print">
                      <a:extLst>
                        <a:ext uri="{28A0092B-C50C-407E-A947-70E740481C1C}">
                          <a14:useLocalDpi xmlns:a14="http://schemas.microsoft.com/office/drawing/2010/main" val="0"/>
                        </a:ext>
                      </a:extLst>
                    </a:blip>
                    <a:srcRect/>
                    <a:stretch>
                      <a:fillRect/>
                    </a:stretch>
                  </pic:blipFill>
                  <pic:spPr bwMode="auto">
                    <a:xfrm>
                      <a:off x="0" y="0"/>
                      <a:ext cx="177165" cy="260985"/>
                    </a:xfrm>
                    <a:prstGeom prst="rect">
                      <a:avLst/>
                    </a:prstGeom>
                    <a:noFill/>
                    <a:ln>
                      <a:noFill/>
                    </a:ln>
                  </pic:spPr>
                </pic:pic>
              </a:graphicData>
            </a:graphic>
          </wp:inline>
        </w:drawing>
      </w:r>
      <w:r>
        <w:t>, приходящееся на один наклонный анкер из арматурной стали круглого сечения (гладкого или периодического профиля) или на одну ветвь петлевого анкера, должно отвечать следующим условиям:</w:t>
      </w:r>
    </w:p>
    <w:p w:rsidR="00212513" w:rsidRDefault="00212513">
      <w:pPr>
        <w:pStyle w:val="ConsPlusNormal"/>
        <w:ind w:firstLine="540"/>
        <w:jc w:val="both"/>
      </w:pPr>
    </w:p>
    <w:p w:rsidR="00212513" w:rsidRDefault="00212513">
      <w:pPr>
        <w:pStyle w:val="ConsPlusNormal"/>
        <w:jc w:val="center"/>
      </w:pPr>
      <w:bookmarkStart w:id="594" w:name="P17521"/>
      <w:bookmarkEnd w:id="594"/>
      <w:r>
        <w:rPr>
          <w:noProof/>
          <w:position w:val="-12"/>
        </w:rPr>
        <w:drawing>
          <wp:inline distT="0" distB="0" distL="0" distR="0">
            <wp:extent cx="2877820" cy="293370"/>
            <wp:effectExtent l="0" t="0" r="0" b="0"/>
            <wp:docPr id="3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2" cstate="print">
                      <a:extLst>
                        <a:ext uri="{28A0092B-C50C-407E-A947-70E740481C1C}">
                          <a14:useLocalDpi xmlns:a14="http://schemas.microsoft.com/office/drawing/2010/main" val="0"/>
                        </a:ext>
                      </a:extLst>
                    </a:blip>
                    <a:srcRect/>
                    <a:stretch>
                      <a:fillRect/>
                    </a:stretch>
                  </pic:blipFill>
                  <pic:spPr bwMode="auto">
                    <a:xfrm>
                      <a:off x="0" y="0"/>
                      <a:ext cx="2877820" cy="293370"/>
                    </a:xfrm>
                    <a:prstGeom prst="rect">
                      <a:avLst/>
                    </a:prstGeom>
                    <a:noFill/>
                    <a:ln>
                      <a:noFill/>
                    </a:ln>
                  </pic:spPr>
                </pic:pic>
              </a:graphicData>
            </a:graphic>
          </wp:inline>
        </w:drawing>
      </w:r>
      <w:r>
        <w:t>; (Я.5)</w:t>
      </w:r>
    </w:p>
    <w:p w:rsidR="00212513" w:rsidRDefault="00212513">
      <w:pPr>
        <w:pStyle w:val="ConsPlusNormal"/>
        <w:ind w:firstLine="540"/>
        <w:jc w:val="both"/>
      </w:pPr>
    </w:p>
    <w:p w:rsidR="00212513" w:rsidRDefault="00212513">
      <w:pPr>
        <w:pStyle w:val="ConsPlusNormal"/>
        <w:jc w:val="center"/>
      </w:pPr>
      <w:bookmarkStart w:id="595" w:name="P17523"/>
      <w:bookmarkEnd w:id="595"/>
      <w:r>
        <w:rPr>
          <w:noProof/>
          <w:position w:val="-10"/>
        </w:rPr>
        <w:drawing>
          <wp:inline distT="0" distB="0" distL="0" distR="0">
            <wp:extent cx="2556510" cy="273685"/>
            <wp:effectExtent l="0" t="0" r="0" b="0"/>
            <wp:docPr id="3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3" cstate="print">
                      <a:extLst>
                        <a:ext uri="{28A0092B-C50C-407E-A947-70E740481C1C}">
                          <a14:useLocalDpi xmlns:a14="http://schemas.microsoft.com/office/drawing/2010/main" val="0"/>
                        </a:ext>
                      </a:extLst>
                    </a:blip>
                    <a:srcRect/>
                    <a:stretch>
                      <a:fillRect/>
                    </a:stretch>
                  </pic:blipFill>
                  <pic:spPr bwMode="auto">
                    <a:xfrm>
                      <a:off x="0" y="0"/>
                      <a:ext cx="2556510" cy="273685"/>
                    </a:xfrm>
                    <a:prstGeom prst="rect">
                      <a:avLst/>
                    </a:prstGeom>
                    <a:noFill/>
                    <a:ln>
                      <a:noFill/>
                    </a:ln>
                  </pic:spPr>
                </pic:pic>
              </a:graphicData>
            </a:graphic>
          </wp:inline>
        </w:drawing>
      </w:r>
      <w:r>
        <w:t>, (Я.6)</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9"/>
        </w:rPr>
        <w:drawing>
          <wp:inline distT="0" distB="0" distL="0" distR="0">
            <wp:extent cx="261620" cy="261620"/>
            <wp:effectExtent l="0" t="0" r="0" b="0"/>
            <wp:docPr id="3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4" cstate="print">
                      <a:extLst>
                        <a:ext uri="{28A0092B-C50C-407E-A947-70E740481C1C}">
                          <a14:useLocalDpi xmlns:a14="http://schemas.microsoft.com/office/drawing/2010/main" val="0"/>
                        </a:ext>
                      </a:extLst>
                    </a:blip>
                    <a:srcRect/>
                    <a:stretch>
                      <a:fillRect/>
                    </a:stretch>
                  </pic:blipFill>
                  <pic:spPr bwMode="auto">
                    <a:xfrm>
                      <a:off x="0" y="0"/>
                      <a:ext cx="261620" cy="261620"/>
                    </a:xfrm>
                    <a:prstGeom prst="rect">
                      <a:avLst/>
                    </a:prstGeom>
                    <a:noFill/>
                    <a:ln>
                      <a:noFill/>
                    </a:ln>
                  </pic:spPr>
                </pic:pic>
              </a:graphicData>
            </a:graphic>
          </wp:inline>
        </w:drawing>
      </w:r>
      <w:r>
        <w:t xml:space="preserve"> - площадь поперечного сечения стержня анкера или ветви анкера, см</w:t>
      </w:r>
      <w:r>
        <w:rPr>
          <w:vertAlign w:val="superscript"/>
        </w:rPr>
        <w:t>2</w:t>
      </w:r>
      <w:r>
        <w:t>;</w:t>
      </w:r>
    </w:p>
    <w:p w:rsidR="00212513" w:rsidRDefault="00212513">
      <w:pPr>
        <w:pStyle w:val="ConsPlusNormal"/>
        <w:spacing w:before="220"/>
        <w:ind w:firstLine="540"/>
        <w:jc w:val="both"/>
      </w:pPr>
      <w:r>
        <w:rPr>
          <w:noProof/>
        </w:rPr>
        <w:drawing>
          <wp:inline distT="0" distB="0" distL="0" distR="0">
            <wp:extent cx="167640" cy="146050"/>
            <wp:effectExtent l="0" t="0" r="0" b="0"/>
            <wp:docPr id="3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5"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t xml:space="preserve"> - угол наклона анкера к поверхности стальной конструкции.</w:t>
      </w:r>
    </w:p>
    <w:p w:rsidR="00212513" w:rsidRDefault="00212513">
      <w:pPr>
        <w:pStyle w:val="ConsPlusNormal"/>
        <w:spacing w:before="220"/>
        <w:ind w:firstLine="540"/>
        <w:jc w:val="both"/>
      </w:pPr>
      <w:r>
        <w:t xml:space="preserve">Для анкеров, разведенных в плане, в </w:t>
      </w:r>
      <w:hyperlink w:anchor="P17521">
        <w:r>
          <w:rPr>
            <w:color w:val="0000FF"/>
          </w:rPr>
          <w:t>формулы (Я.5)</w:t>
        </w:r>
      </w:hyperlink>
      <w:r>
        <w:t xml:space="preserve"> и </w:t>
      </w:r>
      <w:hyperlink w:anchor="P17523">
        <w:r>
          <w:rPr>
            <w:color w:val="0000FF"/>
          </w:rPr>
          <w:t>(Я.6)</w:t>
        </w:r>
      </w:hyperlink>
      <w:r>
        <w:t xml:space="preserve"> вместо </w:t>
      </w:r>
      <w:r>
        <w:rPr>
          <w:noProof/>
          <w:position w:val="-3"/>
        </w:rPr>
        <w:drawing>
          <wp:inline distT="0" distB="0" distL="0" distR="0">
            <wp:extent cx="408940" cy="177800"/>
            <wp:effectExtent l="0" t="0" r="0" b="0"/>
            <wp:docPr id="3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6" cstate="print">
                      <a:extLst>
                        <a:ext uri="{28A0092B-C50C-407E-A947-70E740481C1C}">
                          <a14:useLocalDpi xmlns:a14="http://schemas.microsoft.com/office/drawing/2010/main" val="0"/>
                        </a:ext>
                      </a:extLst>
                    </a:blip>
                    <a:srcRect/>
                    <a:stretch>
                      <a:fillRect/>
                    </a:stretch>
                  </pic:blipFill>
                  <pic:spPr bwMode="auto">
                    <a:xfrm>
                      <a:off x="0" y="0"/>
                      <a:ext cx="408940" cy="177800"/>
                    </a:xfrm>
                    <a:prstGeom prst="rect">
                      <a:avLst/>
                    </a:prstGeom>
                    <a:noFill/>
                    <a:ln>
                      <a:noFill/>
                    </a:ln>
                  </pic:spPr>
                </pic:pic>
              </a:graphicData>
            </a:graphic>
          </wp:inline>
        </w:drawing>
      </w:r>
      <w:r>
        <w:t xml:space="preserve"> следует подставлять произведение </w:t>
      </w:r>
      <w:r>
        <w:rPr>
          <w:noProof/>
          <w:position w:val="-7"/>
        </w:rPr>
        <w:drawing>
          <wp:inline distT="0" distB="0" distL="0" distR="0">
            <wp:extent cx="851535" cy="230505"/>
            <wp:effectExtent l="0" t="0" r="0" b="0"/>
            <wp:docPr id="3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7" cstate="print">
                      <a:extLst>
                        <a:ext uri="{28A0092B-C50C-407E-A947-70E740481C1C}">
                          <a14:useLocalDpi xmlns:a14="http://schemas.microsoft.com/office/drawing/2010/main" val="0"/>
                        </a:ext>
                      </a:extLst>
                    </a:blip>
                    <a:srcRect/>
                    <a:stretch>
                      <a:fillRect/>
                    </a:stretch>
                  </pic:blipFill>
                  <pic:spPr bwMode="auto">
                    <a:xfrm>
                      <a:off x="0" y="0"/>
                      <a:ext cx="851535" cy="230505"/>
                    </a:xfrm>
                    <a:prstGeom prst="rect">
                      <a:avLst/>
                    </a:prstGeom>
                    <a:noFill/>
                    <a:ln>
                      <a:noFill/>
                    </a:ln>
                  </pic:spPr>
                </pic:pic>
              </a:graphicData>
            </a:graphic>
          </wp:inline>
        </w:drawing>
      </w:r>
      <w:r>
        <w:t xml:space="preserve">, где </w:t>
      </w:r>
      <w:r>
        <w:rPr>
          <w:noProof/>
          <w:position w:val="-7"/>
        </w:rPr>
        <w:drawing>
          <wp:inline distT="0" distB="0" distL="0" distR="0">
            <wp:extent cx="167640" cy="230505"/>
            <wp:effectExtent l="0" t="0" r="0" b="0"/>
            <wp:docPr id="3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8" cstate="print">
                      <a:extLst>
                        <a:ext uri="{28A0092B-C50C-407E-A947-70E740481C1C}">
                          <a14:useLocalDpi xmlns:a14="http://schemas.microsoft.com/office/drawing/2010/main" val="0"/>
                        </a:ext>
                      </a:extLst>
                    </a:blip>
                    <a:srcRect/>
                    <a:stretch>
                      <a:fillRect/>
                    </a:stretch>
                  </pic:blipFill>
                  <pic:spPr bwMode="auto">
                    <a:xfrm>
                      <a:off x="0" y="0"/>
                      <a:ext cx="167640" cy="230505"/>
                    </a:xfrm>
                    <a:prstGeom prst="rect">
                      <a:avLst/>
                    </a:prstGeom>
                    <a:noFill/>
                    <a:ln>
                      <a:noFill/>
                    </a:ln>
                  </pic:spPr>
                </pic:pic>
              </a:graphicData>
            </a:graphic>
          </wp:inline>
        </w:drawing>
      </w:r>
      <w:r>
        <w:t xml:space="preserve"> - угол между горизонтальной проекцией анкера и направлением действия сдвигающей силы.</w:t>
      </w:r>
    </w:p>
    <w:p w:rsidR="00212513" w:rsidRDefault="00212513">
      <w:pPr>
        <w:pStyle w:val="ConsPlusNormal"/>
        <w:spacing w:before="220"/>
        <w:ind w:firstLine="540"/>
        <w:jc w:val="both"/>
      </w:pPr>
      <w:r>
        <w:t>Сдвигающее усилие, воспринимаемое сжатыми наклонными анкерами, не должно превышать 25% полного сдвигающего усилия, действующего на рассчитываемом участке.</w:t>
      </w:r>
    </w:p>
    <w:p w:rsidR="00212513" w:rsidRDefault="00212513">
      <w:pPr>
        <w:pStyle w:val="ConsPlusNormal"/>
        <w:spacing w:before="220"/>
        <w:ind w:firstLine="540"/>
        <w:jc w:val="both"/>
      </w:pPr>
      <w:r>
        <w:t xml:space="preserve">Я.3 При объединении железобетонной части со стальной с помощью наклонных анкеров из полосовой стали толщиной </w:t>
      </w:r>
      <w:r>
        <w:rPr>
          <w:noProof/>
          <w:position w:val="-9"/>
        </w:rPr>
        <w:drawing>
          <wp:inline distT="0" distB="0" distL="0" distR="0">
            <wp:extent cx="177165" cy="260985"/>
            <wp:effectExtent l="0" t="0" r="0" b="0"/>
            <wp:docPr id="3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9" cstate="print">
                      <a:extLst>
                        <a:ext uri="{28A0092B-C50C-407E-A947-70E740481C1C}">
                          <a14:useLocalDpi xmlns:a14="http://schemas.microsoft.com/office/drawing/2010/main" val="0"/>
                        </a:ext>
                      </a:extLst>
                    </a:blip>
                    <a:srcRect/>
                    <a:stretch>
                      <a:fillRect/>
                    </a:stretch>
                  </pic:blipFill>
                  <pic:spPr bwMode="auto">
                    <a:xfrm>
                      <a:off x="0" y="0"/>
                      <a:ext cx="177165" cy="260985"/>
                    </a:xfrm>
                    <a:prstGeom prst="rect">
                      <a:avLst/>
                    </a:prstGeom>
                    <a:noFill/>
                    <a:ln>
                      <a:noFill/>
                    </a:ln>
                  </pic:spPr>
                </pic:pic>
              </a:graphicData>
            </a:graphic>
          </wp:inline>
        </w:drawing>
      </w:r>
      <w:r>
        <w:t xml:space="preserve"> от 8 до 20 мм и шириной от 20 до 80 мм сдвигающее усилие </w:t>
      </w:r>
      <w:r>
        <w:rPr>
          <w:noProof/>
          <w:position w:val="-9"/>
        </w:rPr>
        <w:drawing>
          <wp:inline distT="0" distB="0" distL="0" distR="0">
            <wp:extent cx="177165" cy="260985"/>
            <wp:effectExtent l="0" t="0" r="0" b="0"/>
            <wp:docPr id="3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2" cstate="print">
                      <a:extLst>
                        <a:ext uri="{28A0092B-C50C-407E-A947-70E740481C1C}">
                          <a14:useLocalDpi xmlns:a14="http://schemas.microsoft.com/office/drawing/2010/main" val="0"/>
                        </a:ext>
                      </a:extLst>
                    </a:blip>
                    <a:srcRect/>
                    <a:stretch>
                      <a:fillRect/>
                    </a:stretch>
                  </pic:blipFill>
                  <pic:spPr bwMode="auto">
                    <a:xfrm>
                      <a:off x="0" y="0"/>
                      <a:ext cx="177165" cy="260985"/>
                    </a:xfrm>
                    <a:prstGeom prst="rect">
                      <a:avLst/>
                    </a:prstGeom>
                    <a:noFill/>
                    <a:ln>
                      <a:noFill/>
                    </a:ln>
                  </pic:spPr>
                </pic:pic>
              </a:graphicData>
            </a:graphic>
          </wp:inline>
        </w:drawing>
      </w:r>
      <w:r>
        <w:t xml:space="preserve">, приходящееся на один анкер или одну ветвь петлевого анкера, следует проверять по </w:t>
      </w:r>
      <w:hyperlink w:anchor="P17521">
        <w:r>
          <w:rPr>
            <w:color w:val="0000FF"/>
          </w:rPr>
          <w:t>формуле (Я.5)</w:t>
        </w:r>
      </w:hyperlink>
      <w:r>
        <w:t xml:space="preserve">, заменяя </w:t>
      </w:r>
      <w:r>
        <w:rPr>
          <w:noProof/>
          <w:position w:val="-7"/>
        </w:rPr>
        <w:drawing>
          <wp:inline distT="0" distB="0" distL="0" distR="0">
            <wp:extent cx="220345" cy="230505"/>
            <wp:effectExtent l="0" t="0" r="0" b="0"/>
            <wp:docPr id="3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0" cstate="print">
                      <a:extLst>
                        <a:ext uri="{28A0092B-C50C-407E-A947-70E740481C1C}">
                          <a14:useLocalDpi xmlns:a14="http://schemas.microsoft.com/office/drawing/2010/main" val="0"/>
                        </a:ext>
                      </a:extLst>
                    </a:blip>
                    <a:srcRect/>
                    <a:stretch>
                      <a:fillRect/>
                    </a:stretch>
                  </pic:blipFill>
                  <pic:spPr bwMode="auto">
                    <a:xfrm>
                      <a:off x="0" y="0"/>
                      <a:ext cx="220345" cy="230505"/>
                    </a:xfrm>
                    <a:prstGeom prst="rect">
                      <a:avLst/>
                    </a:prstGeom>
                    <a:noFill/>
                    <a:ln>
                      <a:noFill/>
                    </a:ln>
                  </pic:spPr>
                </pic:pic>
              </a:graphicData>
            </a:graphic>
          </wp:inline>
        </w:drawing>
      </w:r>
      <w:r>
        <w:t xml:space="preserve"> выражением </w:t>
      </w:r>
      <w:r>
        <w:rPr>
          <w:noProof/>
          <w:position w:val="-12"/>
        </w:rPr>
        <w:drawing>
          <wp:inline distT="0" distB="0" distL="0" distR="0">
            <wp:extent cx="563880" cy="293370"/>
            <wp:effectExtent l="0" t="0" r="0" b="0"/>
            <wp:docPr id="3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1" cstate="print">
                      <a:extLst>
                        <a:ext uri="{28A0092B-C50C-407E-A947-70E740481C1C}">
                          <a14:useLocalDpi xmlns:a14="http://schemas.microsoft.com/office/drawing/2010/main" val="0"/>
                        </a:ext>
                      </a:extLst>
                    </a:blip>
                    <a:srcRect/>
                    <a:stretch>
                      <a:fillRect/>
                    </a:stretch>
                  </pic:blipFill>
                  <pic:spPr bwMode="auto">
                    <a:xfrm>
                      <a:off x="0" y="0"/>
                      <a:ext cx="563880" cy="293370"/>
                    </a:xfrm>
                    <a:prstGeom prst="rect">
                      <a:avLst/>
                    </a:prstGeom>
                    <a:noFill/>
                    <a:ln>
                      <a:noFill/>
                    </a:ln>
                  </pic:spPr>
                </pic:pic>
              </a:graphicData>
            </a:graphic>
          </wp:inline>
        </w:drawing>
      </w:r>
      <w:r>
        <w:t xml:space="preserve"> (где </w:t>
      </w:r>
      <w:r>
        <w:rPr>
          <w:noProof/>
          <w:position w:val="-9"/>
        </w:rPr>
        <w:drawing>
          <wp:inline distT="0" distB="0" distL="0" distR="0">
            <wp:extent cx="177165" cy="260985"/>
            <wp:effectExtent l="0" t="0" r="0" b="0"/>
            <wp:docPr id="3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9" cstate="print">
                      <a:extLst>
                        <a:ext uri="{28A0092B-C50C-407E-A947-70E740481C1C}">
                          <a14:useLocalDpi xmlns:a14="http://schemas.microsoft.com/office/drawing/2010/main" val="0"/>
                        </a:ext>
                      </a:extLst>
                    </a:blip>
                    <a:srcRect/>
                    <a:stretch>
                      <a:fillRect/>
                    </a:stretch>
                  </pic:blipFill>
                  <pic:spPr bwMode="auto">
                    <a:xfrm>
                      <a:off x="0" y="0"/>
                      <a:ext cx="177165" cy="260985"/>
                    </a:xfrm>
                    <a:prstGeom prst="rect">
                      <a:avLst/>
                    </a:prstGeom>
                    <a:noFill/>
                    <a:ln>
                      <a:noFill/>
                    </a:ln>
                  </pic:spPr>
                </pic:pic>
              </a:graphicData>
            </a:graphic>
          </wp:inline>
        </w:drawing>
      </w:r>
      <w:r>
        <w:t xml:space="preserve"> - в см).</w:t>
      </w:r>
    </w:p>
    <w:p w:rsidR="00212513" w:rsidRDefault="00212513">
      <w:pPr>
        <w:pStyle w:val="ConsPlusNormal"/>
        <w:spacing w:before="220"/>
        <w:ind w:firstLine="540"/>
        <w:jc w:val="both"/>
      </w:pPr>
      <w:r>
        <w:t>Я.4 Если наклонные или вертикальные анкеры находятся в высоком железобетонном ребре и используются для воспринятия в нем главных растягивающих напряжений, растягивающие усилия в наклонных анкерах следует определять как в арматурных отгибах обычного железобетона, а в вертикальных анкерах - аналогично усилиям в хомутах обычного железобетона. Допускается достаточность сечения анкера для воспринятия этого растягивающего усилия и сдвигающей силы между железобетоном и сталью проверять независимо и усилия не суммировать.</w:t>
      </w: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jc w:val="right"/>
        <w:outlineLvl w:val="0"/>
      </w:pPr>
      <w:r>
        <w:rPr>
          <w:b/>
        </w:rPr>
        <w:t>Приложение 1</w:t>
      </w:r>
    </w:p>
    <w:p w:rsidR="00212513" w:rsidRDefault="00212513">
      <w:pPr>
        <w:pStyle w:val="ConsPlusNormal"/>
        <w:jc w:val="right"/>
      </w:pPr>
      <w:r>
        <w:rPr>
          <w:b/>
        </w:rPr>
        <w:t>(обязательное)</w:t>
      </w:r>
    </w:p>
    <w:p w:rsidR="00212513" w:rsidRDefault="00212513">
      <w:pPr>
        <w:pStyle w:val="ConsPlusNormal"/>
        <w:ind w:firstLine="540"/>
        <w:jc w:val="both"/>
      </w:pPr>
    </w:p>
    <w:p w:rsidR="00212513" w:rsidRDefault="00212513">
      <w:pPr>
        <w:pStyle w:val="ConsPlusTitle"/>
        <w:jc w:val="center"/>
      </w:pPr>
      <w:bookmarkStart w:id="596" w:name="P17539"/>
      <w:bookmarkEnd w:id="596"/>
      <w:r>
        <w:t>РАСЧЕТЫ ПО ПРОЧНОСТИ ОБЪЕДИНЕНИЯ ЖЕЛЕЗОБЕТОНА И СТАЛИ</w:t>
      </w:r>
    </w:p>
    <w:p w:rsidR="00212513" w:rsidRDefault="00212513">
      <w:pPr>
        <w:pStyle w:val="ConsPlusTitle"/>
        <w:jc w:val="center"/>
      </w:pPr>
      <w:r>
        <w:lastRenderedPageBreak/>
        <w:t>ВЫСОКОПРОЧНЫМИ БОЛТАМИ, ОБЖИМАЮЩИМИ ЖЕЛЕЗОБЕТОН</w:t>
      </w:r>
    </w:p>
    <w:p w:rsidR="00212513" w:rsidRDefault="00212513">
      <w:pPr>
        <w:pStyle w:val="ConsPlusNormal"/>
        <w:ind w:firstLine="540"/>
        <w:jc w:val="both"/>
      </w:pPr>
    </w:p>
    <w:p w:rsidR="00212513" w:rsidRDefault="00212513">
      <w:pPr>
        <w:pStyle w:val="ConsPlusNormal"/>
        <w:ind w:firstLine="540"/>
        <w:jc w:val="both"/>
      </w:pPr>
      <w:bookmarkStart w:id="597" w:name="P17542"/>
      <w:bookmarkEnd w:id="597"/>
      <w:r>
        <w:t>1.1 Усилие натяжения высокопрочного болта следует определять по формуле</w:t>
      </w:r>
    </w:p>
    <w:p w:rsidR="00212513" w:rsidRDefault="00212513">
      <w:pPr>
        <w:pStyle w:val="ConsPlusNormal"/>
        <w:ind w:firstLine="540"/>
        <w:jc w:val="both"/>
      </w:pPr>
    </w:p>
    <w:p w:rsidR="00212513" w:rsidRDefault="00212513">
      <w:pPr>
        <w:pStyle w:val="ConsPlusNormal"/>
        <w:jc w:val="center"/>
      </w:pPr>
      <w:r>
        <w:rPr>
          <w:noProof/>
          <w:position w:val="-10"/>
        </w:rPr>
        <w:drawing>
          <wp:inline distT="0" distB="0" distL="0" distR="0">
            <wp:extent cx="1173480" cy="273685"/>
            <wp:effectExtent l="0" t="0" r="0" b="0"/>
            <wp:docPr id="3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2" cstate="print">
                      <a:extLst>
                        <a:ext uri="{28A0092B-C50C-407E-A947-70E740481C1C}">
                          <a14:useLocalDpi xmlns:a14="http://schemas.microsoft.com/office/drawing/2010/main" val="0"/>
                        </a:ext>
                      </a:extLst>
                    </a:blip>
                    <a:srcRect/>
                    <a:stretch>
                      <a:fillRect/>
                    </a:stretch>
                  </pic:blipFill>
                  <pic:spPr bwMode="auto">
                    <a:xfrm>
                      <a:off x="0" y="0"/>
                      <a:ext cx="1173480" cy="273685"/>
                    </a:xfrm>
                    <a:prstGeom prst="rect">
                      <a:avLst/>
                    </a:prstGeom>
                    <a:noFill/>
                    <a:ln>
                      <a:noFill/>
                    </a:ln>
                  </pic:spPr>
                </pic:pic>
              </a:graphicData>
            </a:graphic>
          </wp:inline>
        </w:drawing>
      </w:r>
      <w:r>
        <w:t>, (1.1)</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10"/>
        </w:rPr>
        <w:drawing>
          <wp:inline distT="0" distB="0" distL="0" distR="0">
            <wp:extent cx="377190" cy="273685"/>
            <wp:effectExtent l="0" t="0" r="0" b="0"/>
            <wp:docPr id="3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3" cstate="print">
                      <a:extLst>
                        <a:ext uri="{28A0092B-C50C-407E-A947-70E740481C1C}">
                          <a14:useLocalDpi xmlns:a14="http://schemas.microsoft.com/office/drawing/2010/main" val="0"/>
                        </a:ext>
                      </a:extLst>
                    </a:blip>
                    <a:srcRect/>
                    <a:stretch>
                      <a:fillRect/>
                    </a:stretch>
                  </pic:blipFill>
                  <pic:spPr bwMode="auto">
                    <a:xfrm>
                      <a:off x="0" y="0"/>
                      <a:ext cx="377190" cy="273685"/>
                    </a:xfrm>
                    <a:prstGeom prst="rect">
                      <a:avLst/>
                    </a:prstGeom>
                    <a:noFill/>
                    <a:ln>
                      <a:noFill/>
                    </a:ln>
                  </pic:spPr>
                </pic:pic>
              </a:graphicData>
            </a:graphic>
          </wp:inline>
        </w:drawing>
      </w:r>
      <w:r>
        <w:t xml:space="preserve"> - контролируемое усилие натяжения болта;</w:t>
      </w:r>
    </w:p>
    <w:p w:rsidR="00212513" w:rsidRDefault="00212513">
      <w:pPr>
        <w:pStyle w:val="ConsPlusNormal"/>
        <w:spacing w:before="220"/>
        <w:ind w:firstLine="540"/>
        <w:jc w:val="both"/>
      </w:pPr>
      <w:r>
        <w:rPr>
          <w:noProof/>
          <w:position w:val="-2"/>
        </w:rPr>
        <w:drawing>
          <wp:inline distT="0" distB="0" distL="0" distR="0">
            <wp:extent cx="273685" cy="177165"/>
            <wp:effectExtent l="0" t="0" r="0" b="0"/>
            <wp:docPr id="3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4" cstate="print">
                      <a:extLst>
                        <a:ext uri="{28A0092B-C50C-407E-A947-70E740481C1C}">
                          <a14:useLocalDpi xmlns:a14="http://schemas.microsoft.com/office/drawing/2010/main" val="0"/>
                        </a:ext>
                      </a:extLst>
                    </a:blip>
                    <a:srcRect/>
                    <a:stretch>
                      <a:fillRect/>
                    </a:stretch>
                  </pic:blipFill>
                  <pic:spPr bwMode="auto">
                    <a:xfrm>
                      <a:off x="0" y="0"/>
                      <a:ext cx="273685" cy="177165"/>
                    </a:xfrm>
                    <a:prstGeom prst="rect">
                      <a:avLst/>
                    </a:prstGeom>
                    <a:noFill/>
                    <a:ln>
                      <a:noFill/>
                    </a:ln>
                  </pic:spPr>
                </pic:pic>
              </a:graphicData>
            </a:graphic>
          </wp:inline>
        </w:drawing>
      </w:r>
      <w:r>
        <w:t xml:space="preserve"> - потери усилий натяжения от усадки и ползучести бетона плиты и слоя раствора под плитой.</w:t>
      </w:r>
    </w:p>
    <w:p w:rsidR="00212513" w:rsidRDefault="00212513">
      <w:pPr>
        <w:pStyle w:val="ConsPlusNormal"/>
        <w:spacing w:before="220"/>
        <w:ind w:firstLine="540"/>
        <w:jc w:val="both"/>
      </w:pPr>
      <w:r>
        <w:t xml:space="preserve">При конструкции болтового объединения по </w:t>
      </w:r>
      <w:hyperlink w:anchor="P17563">
        <w:r>
          <w:rPr>
            <w:color w:val="0000FF"/>
          </w:rPr>
          <w:t>рисунку 1.1</w:t>
        </w:r>
      </w:hyperlink>
      <w:r>
        <w:t xml:space="preserve"> потери допускается определять по формуле</w:t>
      </w:r>
    </w:p>
    <w:p w:rsidR="00212513" w:rsidRDefault="00212513">
      <w:pPr>
        <w:pStyle w:val="ConsPlusNormal"/>
        <w:ind w:firstLine="540"/>
        <w:jc w:val="both"/>
      </w:pPr>
    </w:p>
    <w:p w:rsidR="00212513" w:rsidRDefault="00212513">
      <w:pPr>
        <w:pStyle w:val="ConsPlusNormal"/>
        <w:jc w:val="center"/>
      </w:pPr>
      <w:r>
        <w:rPr>
          <w:noProof/>
          <w:position w:val="-10"/>
        </w:rPr>
        <w:drawing>
          <wp:inline distT="0" distB="0" distL="0" distR="0">
            <wp:extent cx="1885950" cy="273685"/>
            <wp:effectExtent l="0" t="0" r="0" b="0"/>
            <wp:docPr id="3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5" cstate="print">
                      <a:extLst>
                        <a:ext uri="{28A0092B-C50C-407E-A947-70E740481C1C}">
                          <a14:useLocalDpi xmlns:a14="http://schemas.microsoft.com/office/drawing/2010/main" val="0"/>
                        </a:ext>
                      </a:extLst>
                    </a:blip>
                    <a:srcRect/>
                    <a:stretch>
                      <a:fillRect/>
                    </a:stretch>
                  </pic:blipFill>
                  <pic:spPr bwMode="auto">
                    <a:xfrm>
                      <a:off x="0" y="0"/>
                      <a:ext cx="1885950" cy="273685"/>
                    </a:xfrm>
                    <a:prstGeom prst="rect">
                      <a:avLst/>
                    </a:prstGeom>
                    <a:noFill/>
                    <a:ln>
                      <a:noFill/>
                    </a:ln>
                  </pic:spPr>
                </pic:pic>
              </a:graphicData>
            </a:graphic>
          </wp:inline>
        </w:drawing>
      </w:r>
      <w:r>
        <w:t>, (1.2)</w:t>
      </w:r>
    </w:p>
    <w:p w:rsidR="00212513" w:rsidRDefault="00212513">
      <w:pPr>
        <w:pStyle w:val="ConsPlusNormal"/>
        <w:ind w:firstLine="540"/>
        <w:jc w:val="both"/>
      </w:pPr>
    </w:p>
    <w:p w:rsidR="00212513" w:rsidRDefault="00212513">
      <w:pPr>
        <w:pStyle w:val="ConsPlusNormal"/>
        <w:ind w:firstLine="540"/>
        <w:jc w:val="both"/>
      </w:pPr>
      <w:r>
        <w:t xml:space="preserve">где </w:t>
      </w:r>
      <w:r>
        <w:rPr>
          <w:i/>
        </w:rPr>
        <w:t>t</w:t>
      </w:r>
      <w:r>
        <w:t xml:space="preserve"> &lt;= 50 см - суммарная толщина плиты и слоя раствора по оси отверстия.</w:t>
      </w:r>
    </w:p>
    <w:p w:rsidR="00212513" w:rsidRDefault="00212513">
      <w:pPr>
        <w:pStyle w:val="ConsPlusNormal"/>
        <w:ind w:firstLine="540"/>
        <w:jc w:val="both"/>
      </w:pPr>
    </w:p>
    <w:p w:rsidR="00212513" w:rsidRDefault="00212513">
      <w:pPr>
        <w:pStyle w:val="ConsPlusNormal"/>
        <w:jc w:val="center"/>
      </w:pPr>
      <w:r>
        <w:rPr>
          <w:noProof/>
          <w:position w:val="-201"/>
        </w:rPr>
        <w:drawing>
          <wp:inline distT="0" distB="0" distL="0" distR="0">
            <wp:extent cx="3309620" cy="2698750"/>
            <wp:effectExtent l="0" t="0" r="0" b="0"/>
            <wp:docPr id="3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6" cstate="print">
                      <a:extLst>
                        <a:ext uri="{28A0092B-C50C-407E-A947-70E740481C1C}">
                          <a14:useLocalDpi xmlns:a14="http://schemas.microsoft.com/office/drawing/2010/main" val="0"/>
                        </a:ext>
                      </a:extLst>
                    </a:blip>
                    <a:srcRect/>
                    <a:stretch>
                      <a:fillRect/>
                    </a:stretch>
                  </pic:blipFill>
                  <pic:spPr bwMode="auto">
                    <a:xfrm>
                      <a:off x="0" y="0"/>
                      <a:ext cx="3309620" cy="2698750"/>
                    </a:xfrm>
                    <a:prstGeom prst="rect">
                      <a:avLst/>
                    </a:prstGeom>
                    <a:noFill/>
                    <a:ln>
                      <a:noFill/>
                    </a:ln>
                  </pic:spPr>
                </pic:pic>
              </a:graphicData>
            </a:graphic>
          </wp:inline>
        </w:drawing>
      </w:r>
    </w:p>
    <w:p w:rsidR="00212513" w:rsidRDefault="00212513">
      <w:pPr>
        <w:pStyle w:val="ConsPlusNormal"/>
        <w:jc w:val="center"/>
      </w:pPr>
    </w:p>
    <w:p w:rsidR="00212513" w:rsidRDefault="00212513">
      <w:pPr>
        <w:pStyle w:val="ConsPlusNormal"/>
        <w:jc w:val="center"/>
      </w:pPr>
      <w:r>
        <w:t>1 - высокопрочный болт диаметром 22 или 24 мм;</w:t>
      </w:r>
    </w:p>
    <w:p w:rsidR="00212513" w:rsidRDefault="00212513">
      <w:pPr>
        <w:pStyle w:val="ConsPlusNormal"/>
        <w:jc w:val="center"/>
      </w:pPr>
      <w:r>
        <w:t>2 - отверстие в бетоне диаметром 50 мм;</w:t>
      </w:r>
    </w:p>
    <w:p w:rsidR="00212513" w:rsidRDefault="00212513">
      <w:pPr>
        <w:pStyle w:val="ConsPlusNormal"/>
        <w:jc w:val="center"/>
      </w:pPr>
      <w:r>
        <w:t>3 - арматурный каркас из стержней периодического профиля</w:t>
      </w:r>
    </w:p>
    <w:p w:rsidR="00212513" w:rsidRDefault="00212513">
      <w:pPr>
        <w:pStyle w:val="ConsPlusNormal"/>
        <w:jc w:val="center"/>
      </w:pPr>
      <w:r>
        <w:t>диаметром 10 мм; 4 - распределительная подкладка</w:t>
      </w:r>
    </w:p>
    <w:p w:rsidR="00212513" w:rsidRDefault="00212513">
      <w:pPr>
        <w:pStyle w:val="ConsPlusNormal"/>
        <w:jc w:val="center"/>
      </w:pPr>
      <w:r>
        <w:t>размерами 100 x 100 x 16 для болтов диаметром 22 мм</w:t>
      </w:r>
    </w:p>
    <w:p w:rsidR="00212513" w:rsidRDefault="00212513">
      <w:pPr>
        <w:pStyle w:val="ConsPlusNormal"/>
        <w:jc w:val="center"/>
      </w:pPr>
      <w:r>
        <w:t>и 100 x 100 x 20 для болтов диаметром 24 мм</w:t>
      </w:r>
    </w:p>
    <w:p w:rsidR="00212513" w:rsidRDefault="00212513">
      <w:pPr>
        <w:pStyle w:val="ConsPlusNormal"/>
        <w:jc w:val="center"/>
      </w:pPr>
    </w:p>
    <w:p w:rsidR="00212513" w:rsidRDefault="00212513">
      <w:pPr>
        <w:pStyle w:val="ConsPlusNormal"/>
        <w:jc w:val="center"/>
      </w:pPr>
      <w:bookmarkStart w:id="598" w:name="P17563"/>
      <w:bookmarkEnd w:id="598"/>
      <w:r>
        <w:rPr>
          <w:b/>
          <w:i/>
        </w:rPr>
        <w:t>Рисунок 1.1</w:t>
      </w:r>
      <w:r>
        <w:t xml:space="preserve"> </w:t>
      </w:r>
      <w:r>
        <w:rPr>
          <w:b/>
        </w:rPr>
        <w:t>- Конструкция болтового объединения</w:t>
      </w:r>
    </w:p>
    <w:p w:rsidR="00212513" w:rsidRDefault="00212513">
      <w:pPr>
        <w:pStyle w:val="ConsPlusNormal"/>
        <w:ind w:firstLine="540"/>
        <w:jc w:val="both"/>
      </w:pPr>
    </w:p>
    <w:p w:rsidR="00212513" w:rsidRDefault="00212513">
      <w:pPr>
        <w:pStyle w:val="ConsPlusNormal"/>
        <w:ind w:firstLine="540"/>
        <w:jc w:val="both"/>
      </w:pPr>
      <w:r>
        <w:t>1.2 Во фрикционном соединении железобетонной плиты со стальным поясом (через слой цементно-песчаного раствора или при непосредственном контакте) при условии очистки пояса сдвигающее усилие, приходящееся на один высокопрочный болт, должно отвечать условию</w:t>
      </w:r>
    </w:p>
    <w:p w:rsidR="00212513" w:rsidRDefault="00212513">
      <w:pPr>
        <w:pStyle w:val="ConsPlusNormal"/>
        <w:ind w:firstLine="540"/>
        <w:jc w:val="both"/>
      </w:pPr>
    </w:p>
    <w:p w:rsidR="00212513" w:rsidRDefault="00212513">
      <w:pPr>
        <w:pStyle w:val="ConsPlusNormal"/>
        <w:jc w:val="center"/>
      </w:pPr>
      <w:r>
        <w:rPr>
          <w:noProof/>
          <w:position w:val="-24"/>
        </w:rPr>
        <w:drawing>
          <wp:inline distT="0" distB="0" distL="0" distR="0">
            <wp:extent cx="880110" cy="450215"/>
            <wp:effectExtent l="0" t="0" r="0" b="0"/>
            <wp:docPr id="3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7" cstate="print">
                      <a:extLst>
                        <a:ext uri="{28A0092B-C50C-407E-A947-70E740481C1C}">
                          <a14:useLocalDpi xmlns:a14="http://schemas.microsoft.com/office/drawing/2010/main" val="0"/>
                        </a:ext>
                      </a:extLst>
                    </a:blip>
                    <a:srcRect/>
                    <a:stretch>
                      <a:fillRect/>
                    </a:stretch>
                  </pic:blipFill>
                  <pic:spPr bwMode="auto">
                    <a:xfrm>
                      <a:off x="0" y="0"/>
                      <a:ext cx="880110" cy="450215"/>
                    </a:xfrm>
                    <a:prstGeom prst="rect">
                      <a:avLst/>
                    </a:prstGeom>
                    <a:noFill/>
                    <a:ln>
                      <a:noFill/>
                    </a:ln>
                  </pic:spPr>
                </pic:pic>
              </a:graphicData>
            </a:graphic>
          </wp:inline>
        </w:drawing>
      </w:r>
      <w:r>
        <w:t>, (1.3)</w:t>
      </w:r>
    </w:p>
    <w:p w:rsidR="00212513" w:rsidRDefault="00212513">
      <w:pPr>
        <w:pStyle w:val="ConsPlusNormal"/>
        <w:ind w:firstLine="540"/>
        <w:jc w:val="both"/>
      </w:pPr>
    </w:p>
    <w:p w:rsidR="00212513" w:rsidRDefault="00212513">
      <w:pPr>
        <w:pStyle w:val="ConsPlusNormal"/>
        <w:ind w:firstLine="540"/>
        <w:jc w:val="both"/>
      </w:pPr>
      <w:r>
        <w:lastRenderedPageBreak/>
        <w:t xml:space="preserve">где </w:t>
      </w:r>
      <w:r>
        <w:rPr>
          <w:noProof/>
          <w:position w:val="-9"/>
        </w:rPr>
        <w:drawing>
          <wp:inline distT="0" distB="0" distL="0" distR="0">
            <wp:extent cx="273685" cy="261620"/>
            <wp:effectExtent l="0" t="0" r="0" b="0"/>
            <wp:docPr id="3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8" cstate="print">
                      <a:extLst>
                        <a:ext uri="{28A0092B-C50C-407E-A947-70E740481C1C}">
                          <a14:useLocalDpi xmlns:a14="http://schemas.microsoft.com/office/drawing/2010/main" val="0"/>
                        </a:ext>
                      </a:extLst>
                    </a:blip>
                    <a:srcRect/>
                    <a:stretch>
                      <a:fillRect/>
                    </a:stretch>
                  </pic:blipFill>
                  <pic:spPr bwMode="auto">
                    <a:xfrm>
                      <a:off x="0" y="0"/>
                      <a:ext cx="273685" cy="261620"/>
                    </a:xfrm>
                    <a:prstGeom prst="rect">
                      <a:avLst/>
                    </a:prstGeom>
                    <a:noFill/>
                    <a:ln>
                      <a:noFill/>
                    </a:ln>
                  </pic:spPr>
                </pic:pic>
              </a:graphicData>
            </a:graphic>
          </wp:inline>
        </w:drawing>
      </w:r>
      <w:r>
        <w:t xml:space="preserve"> - усилие натяжения высокопрочного болта, принимаемое по </w:t>
      </w:r>
      <w:hyperlink w:anchor="P17542">
        <w:r>
          <w:rPr>
            <w:color w:val="0000FF"/>
          </w:rPr>
          <w:t>1.1</w:t>
        </w:r>
      </w:hyperlink>
      <w:r>
        <w:t xml:space="preserve"> настоящего приложения;</w:t>
      </w:r>
    </w:p>
    <w:p w:rsidR="00212513" w:rsidRDefault="00212513">
      <w:pPr>
        <w:pStyle w:val="ConsPlusNormal"/>
        <w:spacing w:before="220"/>
        <w:ind w:firstLine="540"/>
        <w:jc w:val="both"/>
      </w:pPr>
      <w:r>
        <w:rPr>
          <w:i/>
        </w:rPr>
        <w:t>k</w:t>
      </w:r>
      <w:r>
        <w:t xml:space="preserve"> = 1,3 - коэффициент безопасности;</w:t>
      </w:r>
    </w:p>
    <w:p w:rsidR="00212513" w:rsidRDefault="00212513">
      <w:pPr>
        <w:pStyle w:val="ConsPlusNormal"/>
        <w:spacing w:before="220"/>
        <w:ind w:firstLine="540"/>
        <w:jc w:val="both"/>
      </w:pPr>
      <w:r>
        <w:rPr>
          <w:i/>
        </w:rPr>
        <w:t>f</w:t>
      </w:r>
      <w:r>
        <w:t xml:space="preserve"> - коэффициент трения, принимаемый равным:</w:t>
      </w:r>
    </w:p>
    <w:p w:rsidR="00212513" w:rsidRDefault="00212513">
      <w:pPr>
        <w:pStyle w:val="ConsPlusNormal"/>
        <w:spacing w:before="220"/>
        <w:ind w:firstLine="540"/>
        <w:jc w:val="both"/>
      </w:pPr>
      <w:r>
        <w:t>0,60 - при омоноличивании шва цементно-песчаным раствором или при плите из монолитного железобетона;</w:t>
      </w:r>
    </w:p>
    <w:p w:rsidR="00212513" w:rsidRDefault="00212513">
      <w:pPr>
        <w:pStyle w:val="ConsPlusNormal"/>
        <w:spacing w:before="220"/>
        <w:ind w:firstLine="540"/>
        <w:jc w:val="both"/>
      </w:pPr>
      <w:r>
        <w:t>0,45 - при непосредственном контакте сборного железобетона со сталью.</w:t>
      </w: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jc w:val="right"/>
        <w:outlineLvl w:val="0"/>
      </w:pPr>
      <w:r>
        <w:rPr>
          <w:b/>
        </w:rPr>
        <w:t>Приложение 2</w:t>
      </w:r>
    </w:p>
    <w:p w:rsidR="00212513" w:rsidRDefault="00212513">
      <w:pPr>
        <w:pStyle w:val="ConsPlusNormal"/>
        <w:jc w:val="right"/>
      </w:pPr>
      <w:r>
        <w:rPr>
          <w:b/>
        </w:rPr>
        <w:t>(обязательное)</w:t>
      </w:r>
    </w:p>
    <w:p w:rsidR="00212513" w:rsidRDefault="00212513">
      <w:pPr>
        <w:pStyle w:val="ConsPlusNormal"/>
        <w:ind w:firstLine="540"/>
        <w:jc w:val="both"/>
      </w:pPr>
    </w:p>
    <w:p w:rsidR="00212513" w:rsidRDefault="00212513">
      <w:pPr>
        <w:pStyle w:val="ConsPlusTitle"/>
        <w:jc w:val="center"/>
      </w:pPr>
      <w:bookmarkStart w:id="599" w:name="P17582"/>
      <w:bookmarkEnd w:id="599"/>
      <w:r>
        <w:t>РАСЧЕТНОЕ СОПРОТИВЛЕНИЕ ГРУНТОВ ОСНОВАНИЯ ОСЕВОМУ СЖАТИЮ</w:t>
      </w:r>
    </w:p>
    <w:p w:rsidR="00212513" w:rsidRDefault="00212513">
      <w:pPr>
        <w:pStyle w:val="ConsPlusNormal"/>
        <w:ind w:firstLine="540"/>
        <w:jc w:val="both"/>
      </w:pPr>
    </w:p>
    <w:p w:rsidR="00212513" w:rsidRDefault="00212513">
      <w:pPr>
        <w:pStyle w:val="ConsPlusNormal"/>
        <w:ind w:firstLine="540"/>
        <w:jc w:val="both"/>
      </w:pPr>
      <w:r>
        <w:t xml:space="preserve">2.1 Расчетное сопротивление основания из нескального грунта осевому сжатию </w:t>
      </w:r>
      <w:r>
        <w:rPr>
          <w:i/>
        </w:rPr>
        <w:t>R</w:t>
      </w:r>
      <w:r>
        <w:t>, кПа, под подошвой фундамента мелкого заложения или фундамента из опускного колодца следует определять по формуле</w:t>
      </w:r>
    </w:p>
    <w:p w:rsidR="00212513" w:rsidRDefault="00212513">
      <w:pPr>
        <w:pStyle w:val="ConsPlusNormal"/>
        <w:ind w:firstLine="540"/>
        <w:jc w:val="both"/>
      </w:pPr>
    </w:p>
    <w:p w:rsidR="00212513" w:rsidRDefault="00212513">
      <w:pPr>
        <w:pStyle w:val="ConsPlusNormal"/>
        <w:jc w:val="center"/>
      </w:pPr>
      <w:bookmarkStart w:id="600" w:name="P17586"/>
      <w:bookmarkEnd w:id="600"/>
      <w:r>
        <w:rPr>
          <w:noProof/>
          <w:position w:val="-9"/>
        </w:rPr>
        <w:drawing>
          <wp:inline distT="0" distB="0" distL="0" distR="0">
            <wp:extent cx="2500630" cy="261620"/>
            <wp:effectExtent l="0" t="0" r="0" b="0"/>
            <wp:docPr id="3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9" cstate="print">
                      <a:extLst>
                        <a:ext uri="{28A0092B-C50C-407E-A947-70E740481C1C}">
                          <a14:useLocalDpi xmlns:a14="http://schemas.microsoft.com/office/drawing/2010/main" val="0"/>
                        </a:ext>
                      </a:extLst>
                    </a:blip>
                    <a:srcRect/>
                    <a:stretch>
                      <a:fillRect/>
                    </a:stretch>
                  </pic:blipFill>
                  <pic:spPr bwMode="auto">
                    <a:xfrm>
                      <a:off x="0" y="0"/>
                      <a:ext cx="2500630" cy="261620"/>
                    </a:xfrm>
                    <a:prstGeom prst="rect">
                      <a:avLst/>
                    </a:prstGeom>
                    <a:noFill/>
                    <a:ln>
                      <a:noFill/>
                    </a:ln>
                  </pic:spPr>
                </pic:pic>
              </a:graphicData>
            </a:graphic>
          </wp:inline>
        </w:drawing>
      </w:r>
      <w:r>
        <w:t>, (2.1)</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9"/>
        </w:rPr>
        <w:drawing>
          <wp:inline distT="0" distB="0" distL="0" distR="0">
            <wp:extent cx="220345" cy="261620"/>
            <wp:effectExtent l="0" t="0" r="0" b="0"/>
            <wp:docPr id="3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0"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 условное сопротивление грунта, кПа, принимаемое по </w:t>
      </w:r>
      <w:hyperlink w:anchor="P17594">
        <w:r>
          <w:rPr>
            <w:color w:val="0000FF"/>
          </w:rPr>
          <w:t>таблицам 2.1</w:t>
        </w:r>
      </w:hyperlink>
      <w:r>
        <w:t xml:space="preserve"> - </w:t>
      </w:r>
      <w:hyperlink w:anchor="P17714">
        <w:r>
          <w:rPr>
            <w:color w:val="0000FF"/>
          </w:rPr>
          <w:t>2.3</w:t>
        </w:r>
      </w:hyperlink>
      <w:r>
        <w:t xml:space="preserve"> настоящего приложения;</w:t>
      </w:r>
    </w:p>
    <w:p w:rsidR="00212513" w:rsidRDefault="00212513">
      <w:pPr>
        <w:pStyle w:val="ConsPlusNormal"/>
        <w:spacing w:before="220"/>
        <w:ind w:firstLine="540"/>
        <w:jc w:val="both"/>
      </w:pPr>
      <w:r>
        <w:rPr>
          <w:i/>
        </w:rPr>
        <w:t>b</w:t>
      </w:r>
      <w:r>
        <w:t xml:space="preserve"> - ширина (меньшая сторона или диаметр) подошвы фундамента, м; при ширине более 6 м принимается </w:t>
      </w:r>
      <w:r>
        <w:rPr>
          <w:i/>
        </w:rPr>
        <w:t>b</w:t>
      </w:r>
      <w:r>
        <w:t xml:space="preserve"> = 6 м;</w:t>
      </w:r>
    </w:p>
    <w:p w:rsidR="00212513" w:rsidRDefault="00212513">
      <w:pPr>
        <w:pStyle w:val="ConsPlusNormal"/>
        <w:spacing w:before="220"/>
        <w:ind w:firstLine="540"/>
        <w:jc w:val="both"/>
      </w:pPr>
      <w:r>
        <w:rPr>
          <w:i/>
        </w:rPr>
        <w:t>d</w:t>
      </w:r>
      <w:r>
        <w:t xml:space="preserve"> - глубина заложения фундамента, м, принимаемая по </w:t>
      </w:r>
      <w:hyperlink w:anchor="P17767">
        <w:r>
          <w:rPr>
            <w:color w:val="0000FF"/>
          </w:rPr>
          <w:t>2.2</w:t>
        </w:r>
      </w:hyperlink>
      <w:r>
        <w:t xml:space="preserve"> настоящего приложения;</w:t>
      </w:r>
    </w:p>
    <w:p w:rsidR="00212513" w:rsidRDefault="00212513">
      <w:pPr>
        <w:pStyle w:val="ConsPlusNormal"/>
        <w:spacing w:before="220"/>
        <w:ind w:firstLine="540"/>
        <w:jc w:val="both"/>
      </w:pPr>
      <w:r>
        <w:rPr>
          <w:noProof/>
          <w:position w:val="-3"/>
        </w:rPr>
        <w:drawing>
          <wp:inline distT="0" distB="0" distL="0" distR="0">
            <wp:extent cx="146685" cy="177800"/>
            <wp:effectExtent l="0" t="0" r="0" b="0"/>
            <wp:docPr id="3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1" cstate="print">
                      <a:extLst>
                        <a:ext uri="{28A0092B-C50C-407E-A947-70E740481C1C}">
                          <a14:useLocalDpi xmlns:a14="http://schemas.microsoft.com/office/drawing/2010/main" val="0"/>
                        </a:ext>
                      </a:extLst>
                    </a:blip>
                    <a:srcRect/>
                    <a:stretch>
                      <a:fillRect/>
                    </a:stretch>
                  </pic:blipFill>
                  <pic:spPr bwMode="auto">
                    <a:xfrm>
                      <a:off x="0" y="0"/>
                      <a:ext cx="146685" cy="177800"/>
                    </a:xfrm>
                    <a:prstGeom prst="rect">
                      <a:avLst/>
                    </a:prstGeom>
                    <a:noFill/>
                    <a:ln>
                      <a:noFill/>
                    </a:ln>
                  </pic:spPr>
                </pic:pic>
              </a:graphicData>
            </a:graphic>
          </wp:inline>
        </w:drawing>
      </w:r>
      <w:r>
        <w:t xml:space="preserve"> - осредненное по слоям расчетное значение удельного веса грунта, расположенного выше подошвы фундамента, вычисленное без учета взвешивающего действия воды; допускается принимать </w:t>
      </w:r>
      <w:r>
        <w:rPr>
          <w:noProof/>
          <w:position w:val="-9"/>
        </w:rPr>
        <w:drawing>
          <wp:inline distT="0" distB="0" distL="0" distR="0">
            <wp:extent cx="1156970" cy="261620"/>
            <wp:effectExtent l="0" t="0" r="0" b="0"/>
            <wp:docPr id="3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2" cstate="print">
                      <a:extLst>
                        <a:ext uri="{28A0092B-C50C-407E-A947-70E740481C1C}">
                          <a14:useLocalDpi xmlns:a14="http://schemas.microsoft.com/office/drawing/2010/main" val="0"/>
                        </a:ext>
                      </a:extLst>
                    </a:blip>
                    <a:srcRect/>
                    <a:stretch>
                      <a:fillRect/>
                    </a:stretch>
                  </pic:blipFill>
                  <pic:spPr bwMode="auto">
                    <a:xfrm>
                      <a:off x="0" y="0"/>
                      <a:ext cx="1156970" cy="261620"/>
                    </a:xfrm>
                    <a:prstGeom prst="rect">
                      <a:avLst/>
                    </a:prstGeom>
                    <a:noFill/>
                    <a:ln>
                      <a:noFill/>
                    </a:ln>
                  </pic:spPr>
                </pic:pic>
              </a:graphicData>
            </a:graphic>
          </wp:inline>
        </w:drawing>
      </w:r>
      <w:r>
        <w:t>;</w:t>
      </w:r>
    </w:p>
    <w:p w:rsidR="00212513" w:rsidRDefault="00212513">
      <w:pPr>
        <w:pStyle w:val="ConsPlusNormal"/>
        <w:spacing w:before="220"/>
        <w:ind w:firstLine="540"/>
        <w:jc w:val="both"/>
      </w:pPr>
      <w:r>
        <w:rPr>
          <w:noProof/>
          <w:position w:val="-9"/>
        </w:rPr>
        <w:drawing>
          <wp:inline distT="0" distB="0" distL="0" distR="0">
            <wp:extent cx="167640" cy="261620"/>
            <wp:effectExtent l="0" t="0" r="0" b="0"/>
            <wp:docPr id="3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3"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w:t>
      </w:r>
      <w:r>
        <w:rPr>
          <w:noProof/>
          <w:position w:val="-9"/>
        </w:rPr>
        <w:drawing>
          <wp:inline distT="0" distB="0" distL="0" distR="0">
            <wp:extent cx="177800" cy="261620"/>
            <wp:effectExtent l="0" t="0" r="0" b="0"/>
            <wp:docPr id="3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4"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 коэффициенты, принимаемые по </w:t>
      </w:r>
      <w:hyperlink w:anchor="P17732">
        <w:r>
          <w:rPr>
            <w:color w:val="0000FF"/>
          </w:rPr>
          <w:t>таблице 2.4</w:t>
        </w:r>
      </w:hyperlink>
      <w:r>
        <w:t xml:space="preserve"> настоящего приложения.</w:t>
      </w:r>
    </w:p>
    <w:p w:rsidR="00212513" w:rsidRDefault="00212513">
      <w:pPr>
        <w:pStyle w:val="ConsPlusNormal"/>
        <w:ind w:firstLine="540"/>
        <w:jc w:val="both"/>
      </w:pPr>
    </w:p>
    <w:p w:rsidR="00212513" w:rsidRDefault="00212513">
      <w:pPr>
        <w:pStyle w:val="ConsPlusNormal"/>
        <w:jc w:val="right"/>
      </w:pPr>
      <w:bookmarkStart w:id="601" w:name="P17594"/>
      <w:bookmarkEnd w:id="601"/>
      <w:r>
        <w:t>Таблица 2.1</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1644"/>
        <w:gridCol w:w="728"/>
        <w:gridCol w:w="728"/>
        <w:gridCol w:w="728"/>
        <w:gridCol w:w="728"/>
        <w:gridCol w:w="728"/>
        <w:gridCol w:w="728"/>
        <w:gridCol w:w="733"/>
      </w:tblGrid>
      <w:tr w:rsidR="00212513">
        <w:tc>
          <w:tcPr>
            <w:tcW w:w="2324" w:type="dxa"/>
            <w:vMerge w:val="restart"/>
            <w:tcBorders>
              <w:top w:val="single" w:sz="4" w:space="0" w:color="auto"/>
              <w:bottom w:val="single" w:sz="4" w:space="0" w:color="auto"/>
            </w:tcBorders>
            <w:vAlign w:val="center"/>
          </w:tcPr>
          <w:p w:rsidR="00212513" w:rsidRDefault="00212513">
            <w:pPr>
              <w:pStyle w:val="ConsPlusNormal"/>
              <w:jc w:val="center"/>
            </w:pPr>
            <w:r>
              <w:t>Грунты</w:t>
            </w:r>
          </w:p>
        </w:tc>
        <w:tc>
          <w:tcPr>
            <w:tcW w:w="1644" w:type="dxa"/>
            <w:vMerge w:val="restart"/>
            <w:tcBorders>
              <w:top w:val="single" w:sz="4" w:space="0" w:color="auto"/>
              <w:bottom w:val="single" w:sz="4" w:space="0" w:color="auto"/>
            </w:tcBorders>
            <w:vAlign w:val="center"/>
          </w:tcPr>
          <w:p w:rsidR="00212513" w:rsidRDefault="00212513">
            <w:pPr>
              <w:pStyle w:val="ConsPlusNormal"/>
              <w:jc w:val="center"/>
            </w:pPr>
            <w:r>
              <w:t xml:space="preserve">Коэффициент пористости </w:t>
            </w:r>
            <w:r>
              <w:rPr>
                <w:i/>
              </w:rPr>
              <w:t>e</w:t>
            </w:r>
          </w:p>
        </w:tc>
        <w:tc>
          <w:tcPr>
            <w:tcW w:w="5101" w:type="dxa"/>
            <w:gridSpan w:val="7"/>
            <w:tcBorders>
              <w:top w:val="single" w:sz="4" w:space="0" w:color="auto"/>
              <w:bottom w:val="single" w:sz="4" w:space="0" w:color="auto"/>
            </w:tcBorders>
            <w:vAlign w:val="center"/>
          </w:tcPr>
          <w:p w:rsidR="00212513" w:rsidRDefault="00212513">
            <w:pPr>
              <w:pStyle w:val="ConsPlusNormal"/>
              <w:jc w:val="center"/>
            </w:pPr>
            <w:r>
              <w:t xml:space="preserve">Условное сопротивление </w:t>
            </w:r>
            <w:r>
              <w:rPr>
                <w:i/>
              </w:rPr>
              <w:t>R</w:t>
            </w:r>
            <w:r>
              <w:rPr>
                <w:vertAlign w:val="subscript"/>
              </w:rPr>
              <w:t>0</w:t>
            </w:r>
            <w:r>
              <w:t xml:space="preserve"> пылевато-глинистых (непросадочных) грунтов основания, кПа, в зависимости от показателя текучести </w:t>
            </w:r>
            <w:r>
              <w:rPr>
                <w:i/>
              </w:rPr>
              <w:t>I</w:t>
            </w:r>
            <w:r>
              <w:rPr>
                <w:i/>
                <w:vertAlign w:val="subscript"/>
              </w:rPr>
              <w:t>L</w:t>
            </w:r>
          </w:p>
        </w:tc>
      </w:tr>
      <w:tr w:rsidR="00212513">
        <w:tc>
          <w:tcPr>
            <w:tcW w:w="2324" w:type="dxa"/>
            <w:vMerge/>
            <w:tcBorders>
              <w:top w:val="single" w:sz="4" w:space="0" w:color="auto"/>
              <w:bottom w:val="single" w:sz="4" w:space="0" w:color="auto"/>
            </w:tcBorders>
          </w:tcPr>
          <w:p w:rsidR="00212513" w:rsidRDefault="00212513">
            <w:pPr>
              <w:pStyle w:val="ConsPlusNormal"/>
            </w:pPr>
          </w:p>
        </w:tc>
        <w:tc>
          <w:tcPr>
            <w:tcW w:w="1644" w:type="dxa"/>
            <w:vMerge/>
            <w:tcBorders>
              <w:top w:val="single" w:sz="4" w:space="0" w:color="auto"/>
              <w:bottom w:val="single" w:sz="4" w:space="0" w:color="auto"/>
            </w:tcBorders>
          </w:tcPr>
          <w:p w:rsidR="00212513" w:rsidRDefault="00212513">
            <w:pPr>
              <w:pStyle w:val="ConsPlusNormal"/>
            </w:pPr>
          </w:p>
        </w:tc>
        <w:tc>
          <w:tcPr>
            <w:tcW w:w="728" w:type="dxa"/>
            <w:tcBorders>
              <w:top w:val="single" w:sz="4" w:space="0" w:color="auto"/>
              <w:bottom w:val="single" w:sz="4" w:space="0" w:color="auto"/>
            </w:tcBorders>
            <w:vAlign w:val="center"/>
          </w:tcPr>
          <w:p w:rsidR="00212513" w:rsidRDefault="00212513">
            <w:pPr>
              <w:pStyle w:val="ConsPlusNormal"/>
              <w:jc w:val="center"/>
            </w:pPr>
            <w:r>
              <w:t>0</w:t>
            </w:r>
          </w:p>
        </w:tc>
        <w:tc>
          <w:tcPr>
            <w:tcW w:w="728" w:type="dxa"/>
            <w:tcBorders>
              <w:top w:val="single" w:sz="4" w:space="0" w:color="auto"/>
              <w:bottom w:val="single" w:sz="4" w:space="0" w:color="auto"/>
            </w:tcBorders>
            <w:vAlign w:val="center"/>
          </w:tcPr>
          <w:p w:rsidR="00212513" w:rsidRDefault="00212513">
            <w:pPr>
              <w:pStyle w:val="ConsPlusNormal"/>
              <w:jc w:val="center"/>
            </w:pPr>
            <w:r>
              <w:t>0,1</w:t>
            </w:r>
          </w:p>
        </w:tc>
        <w:tc>
          <w:tcPr>
            <w:tcW w:w="728" w:type="dxa"/>
            <w:tcBorders>
              <w:top w:val="single" w:sz="4" w:space="0" w:color="auto"/>
              <w:bottom w:val="single" w:sz="4" w:space="0" w:color="auto"/>
            </w:tcBorders>
            <w:vAlign w:val="center"/>
          </w:tcPr>
          <w:p w:rsidR="00212513" w:rsidRDefault="00212513">
            <w:pPr>
              <w:pStyle w:val="ConsPlusNormal"/>
              <w:jc w:val="center"/>
            </w:pPr>
            <w:r>
              <w:t>0,2</w:t>
            </w:r>
          </w:p>
        </w:tc>
        <w:tc>
          <w:tcPr>
            <w:tcW w:w="728" w:type="dxa"/>
            <w:tcBorders>
              <w:top w:val="single" w:sz="4" w:space="0" w:color="auto"/>
              <w:bottom w:val="single" w:sz="4" w:space="0" w:color="auto"/>
            </w:tcBorders>
            <w:vAlign w:val="center"/>
          </w:tcPr>
          <w:p w:rsidR="00212513" w:rsidRDefault="00212513">
            <w:pPr>
              <w:pStyle w:val="ConsPlusNormal"/>
              <w:jc w:val="center"/>
            </w:pPr>
            <w:r>
              <w:t>0,3</w:t>
            </w:r>
          </w:p>
        </w:tc>
        <w:tc>
          <w:tcPr>
            <w:tcW w:w="728" w:type="dxa"/>
            <w:tcBorders>
              <w:top w:val="single" w:sz="4" w:space="0" w:color="auto"/>
              <w:bottom w:val="single" w:sz="4" w:space="0" w:color="auto"/>
            </w:tcBorders>
            <w:vAlign w:val="center"/>
          </w:tcPr>
          <w:p w:rsidR="00212513" w:rsidRDefault="00212513">
            <w:pPr>
              <w:pStyle w:val="ConsPlusNormal"/>
              <w:jc w:val="center"/>
            </w:pPr>
            <w:r>
              <w:t>0,4</w:t>
            </w:r>
          </w:p>
        </w:tc>
        <w:tc>
          <w:tcPr>
            <w:tcW w:w="728" w:type="dxa"/>
            <w:tcBorders>
              <w:top w:val="single" w:sz="4" w:space="0" w:color="auto"/>
              <w:bottom w:val="single" w:sz="4" w:space="0" w:color="auto"/>
            </w:tcBorders>
            <w:vAlign w:val="center"/>
          </w:tcPr>
          <w:p w:rsidR="00212513" w:rsidRDefault="00212513">
            <w:pPr>
              <w:pStyle w:val="ConsPlusNormal"/>
              <w:jc w:val="center"/>
            </w:pPr>
            <w:r>
              <w:t>0,5</w:t>
            </w:r>
          </w:p>
        </w:tc>
        <w:tc>
          <w:tcPr>
            <w:tcW w:w="733" w:type="dxa"/>
            <w:tcBorders>
              <w:top w:val="single" w:sz="4" w:space="0" w:color="auto"/>
              <w:bottom w:val="single" w:sz="4" w:space="0" w:color="auto"/>
            </w:tcBorders>
            <w:vAlign w:val="center"/>
          </w:tcPr>
          <w:p w:rsidR="00212513" w:rsidRDefault="00212513">
            <w:pPr>
              <w:pStyle w:val="ConsPlusNormal"/>
              <w:jc w:val="center"/>
            </w:pPr>
            <w:r>
              <w:t>0,6</w:t>
            </w:r>
          </w:p>
        </w:tc>
      </w:tr>
      <w:tr w:rsidR="00212513">
        <w:tc>
          <w:tcPr>
            <w:tcW w:w="2324" w:type="dxa"/>
            <w:vMerge w:val="restart"/>
            <w:tcBorders>
              <w:top w:val="single" w:sz="4" w:space="0" w:color="auto"/>
              <w:bottom w:val="nil"/>
            </w:tcBorders>
          </w:tcPr>
          <w:p w:rsidR="00212513" w:rsidRDefault="00212513">
            <w:pPr>
              <w:pStyle w:val="ConsPlusNormal"/>
            </w:pPr>
            <w:r>
              <w:t xml:space="preserve">Супеси при </w:t>
            </w:r>
            <w:r>
              <w:rPr>
                <w:i/>
              </w:rPr>
              <w:t>I</w:t>
            </w:r>
            <w:r>
              <w:rPr>
                <w:i/>
                <w:vertAlign w:val="subscript"/>
              </w:rPr>
              <w:t>p</w:t>
            </w:r>
            <w:r>
              <w:t xml:space="preserve"> &lt;= 5</w:t>
            </w:r>
          </w:p>
        </w:tc>
        <w:tc>
          <w:tcPr>
            <w:tcW w:w="1644" w:type="dxa"/>
            <w:tcBorders>
              <w:top w:val="single" w:sz="4" w:space="0" w:color="auto"/>
              <w:bottom w:val="nil"/>
            </w:tcBorders>
          </w:tcPr>
          <w:p w:rsidR="00212513" w:rsidRDefault="00212513">
            <w:pPr>
              <w:pStyle w:val="ConsPlusNormal"/>
              <w:jc w:val="center"/>
            </w:pPr>
            <w:r>
              <w:t>0,5</w:t>
            </w:r>
          </w:p>
        </w:tc>
        <w:tc>
          <w:tcPr>
            <w:tcW w:w="728" w:type="dxa"/>
            <w:tcBorders>
              <w:top w:val="single" w:sz="4" w:space="0" w:color="auto"/>
              <w:bottom w:val="nil"/>
            </w:tcBorders>
          </w:tcPr>
          <w:p w:rsidR="00212513" w:rsidRDefault="00212513">
            <w:pPr>
              <w:pStyle w:val="ConsPlusNormal"/>
              <w:jc w:val="center"/>
            </w:pPr>
            <w:r>
              <w:t>343</w:t>
            </w:r>
          </w:p>
        </w:tc>
        <w:tc>
          <w:tcPr>
            <w:tcW w:w="728" w:type="dxa"/>
            <w:tcBorders>
              <w:top w:val="single" w:sz="4" w:space="0" w:color="auto"/>
              <w:bottom w:val="nil"/>
            </w:tcBorders>
          </w:tcPr>
          <w:p w:rsidR="00212513" w:rsidRDefault="00212513">
            <w:pPr>
              <w:pStyle w:val="ConsPlusNormal"/>
              <w:jc w:val="center"/>
            </w:pPr>
            <w:r>
              <w:t>294</w:t>
            </w:r>
          </w:p>
        </w:tc>
        <w:tc>
          <w:tcPr>
            <w:tcW w:w="728" w:type="dxa"/>
            <w:tcBorders>
              <w:top w:val="single" w:sz="4" w:space="0" w:color="auto"/>
              <w:bottom w:val="nil"/>
            </w:tcBorders>
          </w:tcPr>
          <w:p w:rsidR="00212513" w:rsidRDefault="00212513">
            <w:pPr>
              <w:pStyle w:val="ConsPlusNormal"/>
              <w:jc w:val="center"/>
            </w:pPr>
            <w:r>
              <w:t>245</w:t>
            </w:r>
          </w:p>
        </w:tc>
        <w:tc>
          <w:tcPr>
            <w:tcW w:w="728" w:type="dxa"/>
            <w:tcBorders>
              <w:top w:val="single" w:sz="4" w:space="0" w:color="auto"/>
              <w:bottom w:val="nil"/>
            </w:tcBorders>
          </w:tcPr>
          <w:p w:rsidR="00212513" w:rsidRDefault="00212513">
            <w:pPr>
              <w:pStyle w:val="ConsPlusNormal"/>
              <w:jc w:val="center"/>
            </w:pPr>
            <w:r>
              <w:t>196</w:t>
            </w:r>
          </w:p>
        </w:tc>
        <w:tc>
          <w:tcPr>
            <w:tcW w:w="728" w:type="dxa"/>
            <w:tcBorders>
              <w:top w:val="single" w:sz="4" w:space="0" w:color="auto"/>
              <w:bottom w:val="nil"/>
            </w:tcBorders>
          </w:tcPr>
          <w:p w:rsidR="00212513" w:rsidRDefault="00212513">
            <w:pPr>
              <w:pStyle w:val="ConsPlusNormal"/>
              <w:jc w:val="center"/>
            </w:pPr>
            <w:r>
              <w:t>147</w:t>
            </w:r>
          </w:p>
        </w:tc>
        <w:tc>
          <w:tcPr>
            <w:tcW w:w="728" w:type="dxa"/>
            <w:tcBorders>
              <w:top w:val="single" w:sz="4" w:space="0" w:color="auto"/>
              <w:bottom w:val="nil"/>
            </w:tcBorders>
          </w:tcPr>
          <w:p w:rsidR="00212513" w:rsidRDefault="00212513">
            <w:pPr>
              <w:pStyle w:val="ConsPlusNormal"/>
              <w:jc w:val="center"/>
            </w:pPr>
            <w:r>
              <w:t>98</w:t>
            </w:r>
          </w:p>
        </w:tc>
        <w:tc>
          <w:tcPr>
            <w:tcW w:w="733" w:type="dxa"/>
            <w:tcBorders>
              <w:top w:val="single" w:sz="4" w:space="0" w:color="auto"/>
              <w:bottom w:val="nil"/>
            </w:tcBorders>
          </w:tcPr>
          <w:p w:rsidR="00212513" w:rsidRDefault="00212513">
            <w:pPr>
              <w:pStyle w:val="ConsPlusNormal"/>
              <w:jc w:val="center"/>
            </w:pPr>
            <w:r>
              <w:t>-</w:t>
            </w:r>
          </w:p>
        </w:tc>
      </w:tr>
      <w:tr w:rsidR="00212513">
        <w:tblPrEx>
          <w:tblBorders>
            <w:insideH w:val="none" w:sz="0" w:space="0" w:color="auto"/>
          </w:tblBorders>
        </w:tblPrEx>
        <w:tc>
          <w:tcPr>
            <w:tcW w:w="2324" w:type="dxa"/>
            <w:vMerge/>
            <w:tcBorders>
              <w:top w:val="single" w:sz="4" w:space="0" w:color="auto"/>
              <w:bottom w:val="nil"/>
            </w:tcBorders>
          </w:tcPr>
          <w:p w:rsidR="00212513" w:rsidRDefault="00212513">
            <w:pPr>
              <w:pStyle w:val="ConsPlusNormal"/>
            </w:pPr>
          </w:p>
        </w:tc>
        <w:tc>
          <w:tcPr>
            <w:tcW w:w="1644" w:type="dxa"/>
            <w:tcBorders>
              <w:top w:val="nil"/>
              <w:bottom w:val="nil"/>
            </w:tcBorders>
          </w:tcPr>
          <w:p w:rsidR="00212513" w:rsidRDefault="00212513">
            <w:pPr>
              <w:pStyle w:val="ConsPlusNormal"/>
              <w:jc w:val="center"/>
            </w:pPr>
            <w:r>
              <w:t>0,7</w:t>
            </w:r>
          </w:p>
        </w:tc>
        <w:tc>
          <w:tcPr>
            <w:tcW w:w="728" w:type="dxa"/>
            <w:tcBorders>
              <w:top w:val="nil"/>
              <w:bottom w:val="nil"/>
            </w:tcBorders>
          </w:tcPr>
          <w:p w:rsidR="00212513" w:rsidRDefault="00212513">
            <w:pPr>
              <w:pStyle w:val="ConsPlusNormal"/>
              <w:jc w:val="center"/>
            </w:pPr>
            <w:r>
              <w:t>294</w:t>
            </w:r>
          </w:p>
        </w:tc>
        <w:tc>
          <w:tcPr>
            <w:tcW w:w="728" w:type="dxa"/>
            <w:tcBorders>
              <w:top w:val="nil"/>
              <w:bottom w:val="nil"/>
            </w:tcBorders>
          </w:tcPr>
          <w:p w:rsidR="00212513" w:rsidRDefault="00212513">
            <w:pPr>
              <w:pStyle w:val="ConsPlusNormal"/>
              <w:jc w:val="center"/>
            </w:pPr>
            <w:r>
              <w:t>245</w:t>
            </w:r>
          </w:p>
        </w:tc>
        <w:tc>
          <w:tcPr>
            <w:tcW w:w="728" w:type="dxa"/>
            <w:tcBorders>
              <w:top w:val="nil"/>
              <w:bottom w:val="nil"/>
            </w:tcBorders>
          </w:tcPr>
          <w:p w:rsidR="00212513" w:rsidRDefault="00212513">
            <w:pPr>
              <w:pStyle w:val="ConsPlusNormal"/>
              <w:jc w:val="center"/>
            </w:pPr>
            <w:r>
              <w:t>196</w:t>
            </w:r>
          </w:p>
        </w:tc>
        <w:tc>
          <w:tcPr>
            <w:tcW w:w="728" w:type="dxa"/>
            <w:tcBorders>
              <w:top w:val="nil"/>
              <w:bottom w:val="nil"/>
            </w:tcBorders>
          </w:tcPr>
          <w:p w:rsidR="00212513" w:rsidRDefault="00212513">
            <w:pPr>
              <w:pStyle w:val="ConsPlusNormal"/>
              <w:jc w:val="center"/>
            </w:pPr>
            <w:r>
              <w:t>147</w:t>
            </w:r>
          </w:p>
        </w:tc>
        <w:tc>
          <w:tcPr>
            <w:tcW w:w="728" w:type="dxa"/>
            <w:tcBorders>
              <w:top w:val="nil"/>
              <w:bottom w:val="nil"/>
            </w:tcBorders>
          </w:tcPr>
          <w:p w:rsidR="00212513" w:rsidRDefault="00212513">
            <w:pPr>
              <w:pStyle w:val="ConsPlusNormal"/>
              <w:jc w:val="center"/>
            </w:pPr>
            <w:r>
              <w:t>98</w:t>
            </w:r>
          </w:p>
        </w:tc>
        <w:tc>
          <w:tcPr>
            <w:tcW w:w="728" w:type="dxa"/>
            <w:tcBorders>
              <w:top w:val="nil"/>
              <w:bottom w:val="nil"/>
            </w:tcBorders>
          </w:tcPr>
          <w:p w:rsidR="00212513" w:rsidRDefault="00212513">
            <w:pPr>
              <w:pStyle w:val="ConsPlusNormal"/>
              <w:jc w:val="center"/>
            </w:pPr>
            <w:r>
              <w:t>-</w:t>
            </w:r>
          </w:p>
        </w:tc>
        <w:tc>
          <w:tcPr>
            <w:tcW w:w="733" w:type="dxa"/>
            <w:tcBorders>
              <w:top w:val="nil"/>
              <w:bottom w:val="nil"/>
            </w:tcBorders>
          </w:tcPr>
          <w:p w:rsidR="00212513" w:rsidRDefault="00212513">
            <w:pPr>
              <w:pStyle w:val="ConsPlusNormal"/>
              <w:jc w:val="center"/>
            </w:pPr>
            <w:r>
              <w:t>-</w:t>
            </w:r>
          </w:p>
        </w:tc>
      </w:tr>
      <w:tr w:rsidR="00212513">
        <w:tblPrEx>
          <w:tblBorders>
            <w:insideH w:val="none" w:sz="0" w:space="0" w:color="auto"/>
          </w:tblBorders>
        </w:tblPrEx>
        <w:tc>
          <w:tcPr>
            <w:tcW w:w="2324" w:type="dxa"/>
            <w:vMerge w:val="restart"/>
            <w:tcBorders>
              <w:top w:val="nil"/>
              <w:bottom w:val="nil"/>
            </w:tcBorders>
          </w:tcPr>
          <w:p w:rsidR="00212513" w:rsidRDefault="00212513">
            <w:pPr>
              <w:pStyle w:val="ConsPlusNormal"/>
            </w:pPr>
            <w:r>
              <w:lastRenderedPageBreak/>
              <w:t>Суглинки при</w:t>
            </w:r>
          </w:p>
          <w:p w:rsidR="00212513" w:rsidRDefault="00212513">
            <w:pPr>
              <w:pStyle w:val="ConsPlusNormal"/>
            </w:pPr>
            <w:r>
              <w:t xml:space="preserve">10 &lt;= </w:t>
            </w:r>
            <w:r>
              <w:rPr>
                <w:i/>
              </w:rPr>
              <w:t>I</w:t>
            </w:r>
            <w:r>
              <w:rPr>
                <w:i/>
                <w:vertAlign w:val="subscript"/>
              </w:rPr>
              <w:t>p</w:t>
            </w:r>
            <w:r>
              <w:t xml:space="preserve"> &lt;= 15</w:t>
            </w:r>
          </w:p>
        </w:tc>
        <w:tc>
          <w:tcPr>
            <w:tcW w:w="1644" w:type="dxa"/>
            <w:tcBorders>
              <w:top w:val="nil"/>
              <w:bottom w:val="nil"/>
            </w:tcBorders>
          </w:tcPr>
          <w:p w:rsidR="00212513" w:rsidRDefault="00212513">
            <w:pPr>
              <w:pStyle w:val="ConsPlusNormal"/>
              <w:jc w:val="center"/>
            </w:pPr>
            <w:r>
              <w:t>0,5</w:t>
            </w:r>
          </w:p>
        </w:tc>
        <w:tc>
          <w:tcPr>
            <w:tcW w:w="728" w:type="dxa"/>
            <w:tcBorders>
              <w:top w:val="nil"/>
              <w:bottom w:val="nil"/>
            </w:tcBorders>
          </w:tcPr>
          <w:p w:rsidR="00212513" w:rsidRDefault="00212513">
            <w:pPr>
              <w:pStyle w:val="ConsPlusNormal"/>
              <w:jc w:val="center"/>
            </w:pPr>
            <w:r>
              <w:t>392</w:t>
            </w:r>
          </w:p>
        </w:tc>
        <w:tc>
          <w:tcPr>
            <w:tcW w:w="728" w:type="dxa"/>
            <w:tcBorders>
              <w:top w:val="nil"/>
              <w:bottom w:val="nil"/>
            </w:tcBorders>
          </w:tcPr>
          <w:p w:rsidR="00212513" w:rsidRDefault="00212513">
            <w:pPr>
              <w:pStyle w:val="ConsPlusNormal"/>
              <w:jc w:val="center"/>
            </w:pPr>
            <w:r>
              <w:t>343</w:t>
            </w:r>
          </w:p>
        </w:tc>
        <w:tc>
          <w:tcPr>
            <w:tcW w:w="728" w:type="dxa"/>
            <w:tcBorders>
              <w:top w:val="nil"/>
              <w:bottom w:val="nil"/>
            </w:tcBorders>
          </w:tcPr>
          <w:p w:rsidR="00212513" w:rsidRDefault="00212513">
            <w:pPr>
              <w:pStyle w:val="ConsPlusNormal"/>
              <w:jc w:val="center"/>
            </w:pPr>
            <w:r>
              <w:t>294</w:t>
            </w:r>
          </w:p>
        </w:tc>
        <w:tc>
          <w:tcPr>
            <w:tcW w:w="728" w:type="dxa"/>
            <w:tcBorders>
              <w:top w:val="nil"/>
              <w:bottom w:val="nil"/>
            </w:tcBorders>
          </w:tcPr>
          <w:p w:rsidR="00212513" w:rsidRDefault="00212513">
            <w:pPr>
              <w:pStyle w:val="ConsPlusNormal"/>
              <w:jc w:val="center"/>
            </w:pPr>
            <w:r>
              <w:t>245</w:t>
            </w:r>
          </w:p>
        </w:tc>
        <w:tc>
          <w:tcPr>
            <w:tcW w:w="728" w:type="dxa"/>
            <w:tcBorders>
              <w:top w:val="nil"/>
              <w:bottom w:val="nil"/>
            </w:tcBorders>
          </w:tcPr>
          <w:p w:rsidR="00212513" w:rsidRDefault="00212513">
            <w:pPr>
              <w:pStyle w:val="ConsPlusNormal"/>
              <w:jc w:val="center"/>
            </w:pPr>
            <w:r>
              <w:t>196</w:t>
            </w:r>
          </w:p>
        </w:tc>
        <w:tc>
          <w:tcPr>
            <w:tcW w:w="728" w:type="dxa"/>
            <w:tcBorders>
              <w:top w:val="nil"/>
              <w:bottom w:val="nil"/>
            </w:tcBorders>
          </w:tcPr>
          <w:p w:rsidR="00212513" w:rsidRDefault="00212513">
            <w:pPr>
              <w:pStyle w:val="ConsPlusNormal"/>
              <w:jc w:val="center"/>
            </w:pPr>
            <w:r>
              <w:t>147</w:t>
            </w:r>
          </w:p>
        </w:tc>
        <w:tc>
          <w:tcPr>
            <w:tcW w:w="733" w:type="dxa"/>
            <w:tcBorders>
              <w:top w:val="nil"/>
              <w:bottom w:val="nil"/>
            </w:tcBorders>
          </w:tcPr>
          <w:p w:rsidR="00212513" w:rsidRDefault="00212513">
            <w:pPr>
              <w:pStyle w:val="ConsPlusNormal"/>
              <w:jc w:val="center"/>
            </w:pPr>
            <w:r>
              <w:t>98</w:t>
            </w:r>
          </w:p>
        </w:tc>
      </w:tr>
      <w:tr w:rsidR="00212513">
        <w:tblPrEx>
          <w:tblBorders>
            <w:insideH w:val="none" w:sz="0" w:space="0" w:color="auto"/>
          </w:tblBorders>
        </w:tblPrEx>
        <w:tc>
          <w:tcPr>
            <w:tcW w:w="2324" w:type="dxa"/>
            <w:vMerge/>
            <w:tcBorders>
              <w:top w:val="nil"/>
              <w:bottom w:val="nil"/>
            </w:tcBorders>
          </w:tcPr>
          <w:p w:rsidR="00212513" w:rsidRDefault="00212513">
            <w:pPr>
              <w:pStyle w:val="ConsPlusNormal"/>
            </w:pPr>
          </w:p>
        </w:tc>
        <w:tc>
          <w:tcPr>
            <w:tcW w:w="1644" w:type="dxa"/>
            <w:tcBorders>
              <w:top w:val="nil"/>
              <w:bottom w:val="nil"/>
            </w:tcBorders>
          </w:tcPr>
          <w:p w:rsidR="00212513" w:rsidRDefault="00212513">
            <w:pPr>
              <w:pStyle w:val="ConsPlusNormal"/>
              <w:jc w:val="center"/>
            </w:pPr>
            <w:r>
              <w:t>0,7</w:t>
            </w:r>
          </w:p>
        </w:tc>
        <w:tc>
          <w:tcPr>
            <w:tcW w:w="728" w:type="dxa"/>
            <w:tcBorders>
              <w:top w:val="nil"/>
              <w:bottom w:val="nil"/>
            </w:tcBorders>
          </w:tcPr>
          <w:p w:rsidR="00212513" w:rsidRDefault="00212513">
            <w:pPr>
              <w:pStyle w:val="ConsPlusNormal"/>
              <w:jc w:val="center"/>
            </w:pPr>
            <w:r>
              <w:t>343</w:t>
            </w:r>
          </w:p>
        </w:tc>
        <w:tc>
          <w:tcPr>
            <w:tcW w:w="728" w:type="dxa"/>
            <w:tcBorders>
              <w:top w:val="nil"/>
              <w:bottom w:val="nil"/>
            </w:tcBorders>
          </w:tcPr>
          <w:p w:rsidR="00212513" w:rsidRDefault="00212513">
            <w:pPr>
              <w:pStyle w:val="ConsPlusNormal"/>
              <w:jc w:val="center"/>
            </w:pPr>
            <w:r>
              <w:t>294</w:t>
            </w:r>
          </w:p>
        </w:tc>
        <w:tc>
          <w:tcPr>
            <w:tcW w:w="728" w:type="dxa"/>
            <w:tcBorders>
              <w:top w:val="nil"/>
              <w:bottom w:val="nil"/>
            </w:tcBorders>
          </w:tcPr>
          <w:p w:rsidR="00212513" w:rsidRDefault="00212513">
            <w:pPr>
              <w:pStyle w:val="ConsPlusNormal"/>
              <w:jc w:val="center"/>
            </w:pPr>
            <w:r>
              <w:t>245</w:t>
            </w:r>
          </w:p>
        </w:tc>
        <w:tc>
          <w:tcPr>
            <w:tcW w:w="728" w:type="dxa"/>
            <w:tcBorders>
              <w:top w:val="nil"/>
              <w:bottom w:val="nil"/>
            </w:tcBorders>
          </w:tcPr>
          <w:p w:rsidR="00212513" w:rsidRDefault="00212513">
            <w:pPr>
              <w:pStyle w:val="ConsPlusNormal"/>
              <w:jc w:val="center"/>
            </w:pPr>
            <w:r>
              <w:t>196</w:t>
            </w:r>
          </w:p>
        </w:tc>
        <w:tc>
          <w:tcPr>
            <w:tcW w:w="728" w:type="dxa"/>
            <w:tcBorders>
              <w:top w:val="nil"/>
              <w:bottom w:val="nil"/>
            </w:tcBorders>
          </w:tcPr>
          <w:p w:rsidR="00212513" w:rsidRDefault="00212513">
            <w:pPr>
              <w:pStyle w:val="ConsPlusNormal"/>
              <w:jc w:val="center"/>
            </w:pPr>
            <w:r>
              <w:t>147</w:t>
            </w:r>
          </w:p>
        </w:tc>
        <w:tc>
          <w:tcPr>
            <w:tcW w:w="728" w:type="dxa"/>
            <w:tcBorders>
              <w:top w:val="nil"/>
              <w:bottom w:val="nil"/>
            </w:tcBorders>
          </w:tcPr>
          <w:p w:rsidR="00212513" w:rsidRDefault="00212513">
            <w:pPr>
              <w:pStyle w:val="ConsPlusNormal"/>
              <w:jc w:val="center"/>
            </w:pPr>
            <w:r>
              <w:t>98</w:t>
            </w:r>
          </w:p>
        </w:tc>
        <w:tc>
          <w:tcPr>
            <w:tcW w:w="733" w:type="dxa"/>
            <w:tcBorders>
              <w:top w:val="nil"/>
              <w:bottom w:val="nil"/>
            </w:tcBorders>
          </w:tcPr>
          <w:p w:rsidR="00212513" w:rsidRDefault="00212513">
            <w:pPr>
              <w:pStyle w:val="ConsPlusNormal"/>
              <w:jc w:val="center"/>
            </w:pPr>
            <w:r>
              <w:t>-</w:t>
            </w:r>
          </w:p>
        </w:tc>
      </w:tr>
      <w:tr w:rsidR="00212513">
        <w:tblPrEx>
          <w:tblBorders>
            <w:insideH w:val="none" w:sz="0" w:space="0" w:color="auto"/>
          </w:tblBorders>
        </w:tblPrEx>
        <w:tc>
          <w:tcPr>
            <w:tcW w:w="2324" w:type="dxa"/>
            <w:vMerge/>
            <w:tcBorders>
              <w:top w:val="nil"/>
              <w:bottom w:val="nil"/>
            </w:tcBorders>
          </w:tcPr>
          <w:p w:rsidR="00212513" w:rsidRDefault="00212513">
            <w:pPr>
              <w:pStyle w:val="ConsPlusNormal"/>
            </w:pPr>
          </w:p>
        </w:tc>
        <w:tc>
          <w:tcPr>
            <w:tcW w:w="1644" w:type="dxa"/>
            <w:tcBorders>
              <w:top w:val="nil"/>
              <w:bottom w:val="nil"/>
            </w:tcBorders>
          </w:tcPr>
          <w:p w:rsidR="00212513" w:rsidRDefault="00212513">
            <w:pPr>
              <w:pStyle w:val="ConsPlusNormal"/>
              <w:jc w:val="center"/>
            </w:pPr>
            <w:r>
              <w:t>1,0</w:t>
            </w:r>
          </w:p>
        </w:tc>
        <w:tc>
          <w:tcPr>
            <w:tcW w:w="728" w:type="dxa"/>
            <w:tcBorders>
              <w:top w:val="nil"/>
              <w:bottom w:val="nil"/>
            </w:tcBorders>
          </w:tcPr>
          <w:p w:rsidR="00212513" w:rsidRDefault="00212513">
            <w:pPr>
              <w:pStyle w:val="ConsPlusNormal"/>
              <w:jc w:val="center"/>
            </w:pPr>
            <w:r>
              <w:t>294</w:t>
            </w:r>
          </w:p>
        </w:tc>
        <w:tc>
          <w:tcPr>
            <w:tcW w:w="728" w:type="dxa"/>
            <w:tcBorders>
              <w:top w:val="nil"/>
              <w:bottom w:val="nil"/>
            </w:tcBorders>
          </w:tcPr>
          <w:p w:rsidR="00212513" w:rsidRDefault="00212513">
            <w:pPr>
              <w:pStyle w:val="ConsPlusNormal"/>
              <w:jc w:val="center"/>
            </w:pPr>
            <w:r>
              <w:t>245</w:t>
            </w:r>
          </w:p>
        </w:tc>
        <w:tc>
          <w:tcPr>
            <w:tcW w:w="728" w:type="dxa"/>
            <w:tcBorders>
              <w:top w:val="nil"/>
              <w:bottom w:val="nil"/>
            </w:tcBorders>
          </w:tcPr>
          <w:p w:rsidR="00212513" w:rsidRDefault="00212513">
            <w:pPr>
              <w:pStyle w:val="ConsPlusNormal"/>
              <w:jc w:val="center"/>
            </w:pPr>
            <w:r>
              <w:t>196</w:t>
            </w:r>
          </w:p>
        </w:tc>
        <w:tc>
          <w:tcPr>
            <w:tcW w:w="728" w:type="dxa"/>
            <w:tcBorders>
              <w:top w:val="nil"/>
              <w:bottom w:val="nil"/>
            </w:tcBorders>
          </w:tcPr>
          <w:p w:rsidR="00212513" w:rsidRDefault="00212513">
            <w:pPr>
              <w:pStyle w:val="ConsPlusNormal"/>
              <w:jc w:val="center"/>
            </w:pPr>
            <w:r>
              <w:t>147</w:t>
            </w:r>
          </w:p>
        </w:tc>
        <w:tc>
          <w:tcPr>
            <w:tcW w:w="728" w:type="dxa"/>
            <w:tcBorders>
              <w:top w:val="nil"/>
              <w:bottom w:val="nil"/>
            </w:tcBorders>
          </w:tcPr>
          <w:p w:rsidR="00212513" w:rsidRDefault="00212513">
            <w:pPr>
              <w:pStyle w:val="ConsPlusNormal"/>
              <w:jc w:val="center"/>
            </w:pPr>
            <w:r>
              <w:t>98</w:t>
            </w:r>
          </w:p>
        </w:tc>
        <w:tc>
          <w:tcPr>
            <w:tcW w:w="728" w:type="dxa"/>
            <w:tcBorders>
              <w:top w:val="nil"/>
              <w:bottom w:val="nil"/>
            </w:tcBorders>
          </w:tcPr>
          <w:p w:rsidR="00212513" w:rsidRDefault="00212513">
            <w:pPr>
              <w:pStyle w:val="ConsPlusNormal"/>
              <w:jc w:val="center"/>
            </w:pPr>
            <w:r>
              <w:t>-</w:t>
            </w:r>
          </w:p>
        </w:tc>
        <w:tc>
          <w:tcPr>
            <w:tcW w:w="733" w:type="dxa"/>
            <w:tcBorders>
              <w:top w:val="nil"/>
              <w:bottom w:val="nil"/>
            </w:tcBorders>
          </w:tcPr>
          <w:p w:rsidR="00212513" w:rsidRDefault="00212513">
            <w:pPr>
              <w:pStyle w:val="ConsPlusNormal"/>
              <w:jc w:val="center"/>
            </w:pPr>
            <w:r>
              <w:t>-</w:t>
            </w:r>
          </w:p>
        </w:tc>
      </w:tr>
      <w:tr w:rsidR="00212513">
        <w:tblPrEx>
          <w:tblBorders>
            <w:insideH w:val="none" w:sz="0" w:space="0" w:color="auto"/>
          </w:tblBorders>
        </w:tblPrEx>
        <w:tc>
          <w:tcPr>
            <w:tcW w:w="2324" w:type="dxa"/>
            <w:vMerge w:val="restart"/>
            <w:tcBorders>
              <w:top w:val="nil"/>
              <w:bottom w:val="single" w:sz="4" w:space="0" w:color="auto"/>
            </w:tcBorders>
          </w:tcPr>
          <w:p w:rsidR="00212513" w:rsidRDefault="00212513">
            <w:pPr>
              <w:pStyle w:val="ConsPlusNormal"/>
            </w:pPr>
            <w:r>
              <w:t xml:space="preserve">Глины при </w:t>
            </w:r>
            <w:r>
              <w:rPr>
                <w:i/>
              </w:rPr>
              <w:t>I</w:t>
            </w:r>
            <w:r>
              <w:rPr>
                <w:i/>
                <w:vertAlign w:val="subscript"/>
              </w:rPr>
              <w:t>p</w:t>
            </w:r>
            <w:r>
              <w:t xml:space="preserve"> &gt;= 20</w:t>
            </w:r>
          </w:p>
        </w:tc>
        <w:tc>
          <w:tcPr>
            <w:tcW w:w="1644" w:type="dxa"/>
            <w:tcBorders>
              <w:top w:val="nil"/>
              <w:bottom w:val="nil"/>
            </w:tcBorders>
          </w:tcPr>
          <w:p w:rsidR="00212513" w:rsidRDefault="00212513">
            <w:pPr>
              <w:pStyle w:val="ConsPlusNormal"/>
              <w:jc w:val="center"/>
            </w:pPr>
            <w:r>
              <w:t>0,5</w:t>
            </w:r>
          </w:p>
        </w:tc>
        <w:tc>
          <w:tcPr>
            <w:tcW w:w="728" w:type="dxa"/>
            <w:tcBorders>
              <w:top w:val="nil"/>
              <w:bottom w:val="nil"/>
            </w:tcBorders>
          </w:tcPr>
          <w:p w:rsidR="00212513" w:rsidRDefault="00212513">
            <w:pPr>
              <w:pStyle w:val="ConsPlusNormal"/>
              <w:jc w:val="center"/>
            </w:pPr>
            <w:r>
              <w:t>588</w:t>
            </w:r>
          </w:p>
        </w:tc>
        <w:tc>
          <w:tcPr>
            <w:tcW w:w="728" w:type="dxa"/>
            <w:tcBorders>
              <w:top w:val="nil"/>
              <w:bottom w:val="nil"/>
            </w:tcBorders>
          </w:tcPr>
          <w:p w:rsidR="00212513" w:rsidRDefault="00212513">
            <w:pPr>
              <w:pStyle w:val="ConsPlusNormal"/>
              <w:jc w:val="center"/>
            </w:pPr>
            <w:r>
              <w:t>441</w:t>
            </w:r>
          </w:p>
        </w:tc>
        <w:tc>
          <w:tcPr>
            <w:tcW w:w="728" w:type="dxa"/>
            <w:tcBorders>
              <w:top w:val="nil"/>
              <w:bottom w:val="nil"/>
            </w:tcBorders>
          </w:tcPr>
          <w:p w:rsidR="00212513" w:rsidRDefault="00212513">
            <w:pPr>
              <w:pStyle w:val="ConsPlusNormal"/>
              <w:jc w:val="center"/>
            </w:pPr>
            <w:r>
              <w:t>343</w:t>
            </w:r>
          </w:p>
        </w:tc>
        <w:tc>
          <w:tcPr>
            <w:tcW w:w="728" w:type="dxa"/>
            <w:tcBorders>
              <w:top w:val="nil"/>
              <w:bottom w:val="nil"/>
            </w:tcBorders>
          </w:tcPr>
          <w:p w:rsidR="00212513" w:rsidRDefault="00212513">
            <w:pPr>
              <w:pStyle w:val="ConsPlusNormal"/>
              <w:jc w:val="center"/>
            </w:pPr>
            <w:r>
              <w:t>294</w:t>
            </w:r>
          </w:p>
        </w:tc>
        <w:tc>
          <w:tcPr>
            <w:tcW w:w="728" w:type="dxa"/>
            <w:tcBorders>
              <w:top w:val="nil"/>
              <w:bottom w:val="nil"/>
            </w:tcBorders>
          </w:tcPr>
          <w:p w:rsidR="00212513" w:rsidRDefault="00212513">
            <w:pPr>
              <w:pStyle w:val="ConsPlusNormal"/>
              <w:jc w:val="center"/>
            </w:pPr>
            <w:r>
              <w:t>245</w:t>
            </w:r>
          </w:p>
        </w:tc>
        <w:tc>
          <w:tcPr>
            <w:tcW w:w="728" w:type="dxa"/>
            <w:tcBorders>
              <w:top w:val="nil"/>
              <w:bottom w:val="nil"/>
            </w:tcBorders>
          </w:tcPr>
          <w:p w:rsidR="00212513" w:rsidRDefault="00212513">
            <w:pPr>
              <w:pStyle w:val="ConsPlusNormal"/>
              <w:jc w:val="center"/>
            </w:pPr>
            <w:r>
              <w:t>196</w:t>
            </w:r>
          </w:p>
        </w:tc>
        <w:tc>
          <w:tcPr>
            <w:tcW w:w="733" w:type="dxa"/>
            <w:tcBorders>
              <w:top w:val="nil"/>
              <w:bottom w:val="nil"/>
            </w:tcBorders>
          </w:tcPr>
          <w:p w:rsidR="00212513" w:rsidRDefault="00212513">
            <w:pPr>
              <w:pStyle w:val="ConsPlusNormal"/>
              <w:jc w:val="center"/>
            </w:pPr>
            <w:r>
              <w:t>147</w:t>
            </w:r>
          </w:p>
        </w:tc>
      </w:tr>
      <w:tr w:rsidR="00212513">
        <w:tblPrEx>
          <w:tblBorders>
            <w:insideH w:val="none" w:sz="0" w:space="0" w:color="auto"/>
          </w:tblBorders>
        </w:tblPrEx>
        <w:tc>
          <w:tcPr>
            <w:tcW w:w="2324" w:type="dxa"/>
            <w:vMerge/>
            <w:tcBorders>
              <w:top w:val="nil"/>
              <w:bottom w:val="single" w:sz="4" w:space="0" w:color="auto"/>
            </w:tcBorders>
          </w:tcPr>
          <w:p w:rsidR="00212513" w:rsidRDefault="00212513">
            <w:pPr>
              <w:pStyle w:val="ConsPlusNormal"/>
            </w:pPr>
          </w:p>
        </w:tc>
        <w:tc>
          <w:tcPr>
            <w:tcW w:w="1644" w:type="dxa"/>
            <w:tcBorders>
              <w:top w:val="nil"/>
              <w:bottom w:val="nil"/>
            </w:tcBorders>
          </w:tcPr>
          <w:p w:rsidR="00212513" w:rsidRDefault="00212513">
            <w:pPr>
              <w:pStyle w:val="ConsPlusNormal"/>
              <w:jc w:val="center"/>
            </w:pPr>
            <w:r>
              <w:t>0,6</w:t>
            </w:r>
          </w:p>
        </w:tc>
        <w:tc>
          <w:tcPr>
            <w:tcW w:w="728" w:type="dxa"/>
            <w:tcBorders>
              <w:top w:val="nil"/>
              <w:bottom w:val="nil"/>
            </w:tcBorders>
          </w:tcPr>
          <w:p w:rsidR="00212513" w:rsidRDefault="00212513">
            <w:pPr>
              <w:pStyle w:val="ConsPlusNormal"/>
              <w:jc w:val="center"/>
            </w:pPr>
            <w:r>
              <w:t>490</w:t>
            </w:r>
          </w:p>
        </w:tc>
        <w:tc>
          <w:tcPr>
            <w:tcW w:w="728" w:type="dxa"/>
            <w:tcBorders>
              <w:top w:val="nil"/>
              <w:bottom w:val="nil"/>
            </w:tcBorders>
          </w:tcPr>
          <w:p w:rsidR="00212513" w:rsidRDefault="00212513">
            <w:pPr>
              <w:pStyle w:val="ConsPlusNormal"/>
              <w:jc w:val="center"/>
            </w:pPr>
            <w:r>
              <w:t>343</w:t>
            </w:r>
          </w:p>
        </w:tc>
        <w:tc>
          <w:tcPr>
            <w:tcW w:w="728" w:type="dxa"/>
            <w:tcBorders>
              <w:top w:val="nil"/>
              <w:bottom w:val="nil"/>
            </w:tcBorders>
          </w:tcPr>
          <w:p w:rsidR="00212513" w:rsidRDefault="00212513">
            <w:pPr>
              <w:pStyle w:val="ConsPlusNormal"/>
              <w:jc w:val="center"/>
            </w:pPr>
            <w:r>
              <w:t>294</w:t>
            </w:r>
          </w:p>
        </w:tc>
        <w:tc>
          <w:tcPr>
            <w:tcW w:w="728" w:type="dxa"/>
            <w:tcBorders>
              <w:top w:val="nil"/>
              <w:bottom w:val="nil"/>
            </w:tcBorders>
          </w:tcPr>
          <w:p w:rsidR="00212513" w:rsidRDefault="00212513">
            <w:pPr>
              <w:pStyle w:val="ConsPlusNormal"/>
              <w:jc w:val="center"/>
            </w:pPr>
            <w:r>
              <w:t>245</w:t>
            </w:r>
          </w:p>
        </w:tc>
        <w:tc>
          <w:tcPr>
            <w:tcW w:w="728" w:type="dxa"/>
            <w:tcBorders>
              <w:top w:val="nil"/>
              <w:bottom w:val="nil"/>
            </w:tcBorders>
          </w:tcPr>
          <w:p w:rsidR="00212513" w:rsidRDefault="00212513">
            <w:pPr>
              <w:pStyle w:val="ConsPlusNormal"/>
              <w:jc w:val="center"/>
            </w:pPr>
            <w:r>
              <w:t>196</w:t>
            </w:r>
          </w:p>
        </w:tc>
        <w:tc>
          <w:tcPr>
            <w:tcW w:w="728" w:type="dxa"/>
            <w:tcBorders>
              <w:top w:val="nil"/>
              <w:bottom w:val="nil"/>
            </w:tcBorders>
          </w:tcPr>
          <w:p w:rsidR="00212513" w:rsidRDefault="00212513">
            <w:pPr>
              <w:pStyle w:val="ConsPlusNormal"/>
              <w:jc w:val="center"/>
            </w:pPr>
            <w:r>
              <w:t>147</w:t>
            </w:r>
          </w:p>
        </w:tc>
        <w:tc>
          <w:tcPr>
            <w:tcW w:w="733" w:type="dxa"/>
            <w:tcBorders>
              <w:top w:val="nil"/>
              <w:bottom w:val="nil"/>
            </w:tcBorders>
          </w:tcPr>
          <w:p w:rsidR="00212513" w:rsidRDefault="00212513">
            <w:pPr>
              <w:pStyle w:val="ConsPlusNormal"/>
              <w:jc w:val="center"/>
            </w:pPr>
            <w:r>
              <w:t>98</w:t>
            </w:r>
          </w:p>
        </w:tc>
      </w:tr>
      <w:tr w:rsidR="00212513">
        <w:tblPrEx>
          <w:tblBorders>
            <w:insideH w:val="none" w:sz="0" w:space="0" w:color="auto"/>
          </w:tblBorders>
        </w:tblPrEx>
        <w:tc>
          <w:tcPr>
            <w:tcW w:w="2324" w:type="dxa"/>
            <w:vMerge/>
            <w:tcBorders>
              <w:top w:val="nil"/>
              <w:bottom w:val="single" w:sz="4" w:space="0" w:color="auto"/>
            </w:tcBorders>
          </w:tcPr>
          <w:p w:rsidR="00212513" w:rsidRDefault="00212513">
            <w:pPr>
              <w:pStyle w:val="ConsPlusNormal"/>
            </w:pPr>
          </w:p>
        </w:tc>
        <w:tc>
          <w:tcPr>
            <w:tcW w:w="1644" w:type="dxa"/>
            <w:tcBorders>
              <w:top w:val="nil"/>
              <w:bottom w:val="nil"/>
            </w:tcBorders>
          </w:tcPr>
          <w:p w:rsidR="00212513" w:rsidRDefault="00212513">
            <w:pPr>
              <w:pStyle w:val="ConsPlusNormal"/>
              <w:jc w:val="center"/>
            </w:pPr>
            <w:r>
              <w:t>0,8</w:t>
            </w:r>
          </w:p>
        </w:tc>
        <w:tc>
          <w:tcPr>
            <w:tcW w:w="728" w:type="dxa"/>
            <w:tcBorders>
              <w:top w:val="nil"/>
              <w:bottom w:val="nil"/>
            </w:tcBorders>
          </w:tcPr>
          <w:p w:rsidR="00212513" w:rsidRDefault="00212513">
            <w:pPr>
              <w:pStyle w:val="ConsPlusNormal"/>
              <w:jc w:val="center"/>
            </w:pPr>
            <w:r>
              <w:t>392</w:t>
            </w:r>
          </w:p>
        </w:tc>
        <w:tc>
          <w:tcPr>
            <w:tcW w:w="728" w:type="dxa"/>
            <w:tcBorders>
              <w:top w:val="nil"/>
              <w:bottom w:val="nil"/>
            </w:tcBorders>
          </w:tcPr>
          <w:p w:rsidR="00212513" w:rsidRDefault="00212513">
            <w:pPr>
              <w:pStyle w:val="ConsPlusNormal"/>
              <w:jc w:val="center"/>
            </w:pPr>
            <w:r>
              <w:t>294</w:t>
            </w:r>
          </w:p>
        </w:tc>
        <w:tc>
          <w:tcPr>
            <w:tcW w:w="728" w:type="dxa"/>
            <w:tcBorders>
              <w:top w:val="nil"/>
              <w:bottom w:val="nil"/>
            </w:tcBorders>
          </w:tcPr>
          <w:p w:rsidR="00212513" w:rsidRDefault="00212513">
            <w:pPr>
              <w:pStyle w:val="ConsPlusNormal"/>
              <w:jc w:val="center"/>
            </w:pPr>
            <w:r>
              <w:t>245</w:t>
            </w:r>
          </w:p>
        </w:tc>
        <w:tc>
          <w:tcPr>
            <w:tcW w:w="728" w:type="dxa"/>
            <w:tcBorders>
              <w:top w:val="nil"/>
              <w:bottom w:val="nil"/>
            </w:tcBorders>
          </w:tcPr>
          <w:p w:rsidR="00212513" w:rsidRDefault="00212513">
            <w:pPr>
              <w:pStyle w:val="ConsPlusNormal"/>
              <w:jc w:val="center"/>
            </w:pPr>
            <w:r>
              <w:t>196</w:t>
            </w:r>
          </w:p>
        </w:tc>
        <w:tc>
          <w:tcPr>
            <w:tcW w:w="728" w:type="dxa"/>
            <w:tcBorders>
              <w:top w:val="nil"/>
              <w:bottom w:val="nil"/>
            </w:tcBorders>
          </w:tcPr>
          <w:p w:rsidR="00212513" w:rsidRDefault="00212513">
            <w:pPr>
              <w:pStyle w:val="ConsPlusNormal"/>
              <w:jc w:val="center"/>
            </w:pPr>
            <w:r>
              <w:t>147</w:t>
            </w:r>
          </w:p>
        </w:tc>
        <w:tc>
          <w:tcPr>
            <w:tcW w:w="728" w:type="dxa"/>
            <w:tcBorders>
              <w:top w:val="nil"/>
              <w:bottom w:val="nil"/>
            </w:tcBorders>
          </w:tcPr>
          <w:p w:rsidR="00212513" w:rsidRDefault="00212513">
            <w:pPr>
              <w:pStyle w:val="ConsPlusNormal"/>
              <w:jc w:val="center"/>
            </w:pPr>
            <w:r>
              <w:t>98</w:t>
            </w:r>
          </w:p>
        </w:tc>
        <w:tc>
          <w:tcPr>
            <w:tcW w:w="733" w:type="dxa"/>
            <w:tcBorders>
              <w:top w:val="nil"/>
              <w:bottom w:val="nil"/>
            </w:tcBorders>
          </w:tcPr>
          <w:p w:rsidR="00212513" w:rsidRDefault="00212513">
            <w:pPr>
              <w:pStyle w:val="ConsPlusNormal"/>
              <w:jc w:val="center"/>
            </w:pPr>
            <w:r>
              <w:t>-</w:t>
            </w:r>
          </w:p>
        </w:tc>
      </w:tr>
      <w:tr w:rsidR="00212513">
        <w:tc>
          <w:tcPr>
            <w:tcW w:w="2324" w:type="dxa"/>
            <w:vMerge/>
            <w:tcBorders>
              <w:top w:val="nil"/>
              <w:bottom w:val="single" w:sz="4" w:space="0" w:color="auto"/>
            </w:tcBorders>
          </w:tcPr>
          <w:p w:rsidR="00212513" w:rsidRDefault="00212513">
            <w:pPr>
              <w:pStyle w:val="ConsPlusNormal"/>
            </w:pPr>
          </w:p>
        </w:tc>
        <w:tc>
          <w:tcPr>
            <w:tcW w:w="1644" w:type="dxa"/>
            <w:tcBorders>
              <w:top w:val="nil"/>
              <w:bottom w:val="single" w:sz="4" w:space="0" w:color="auto"/>
            </w:tcBorders>
          </w:tcPr>
          <w:p w:rsidR="00212513" w:rsidRDefault="00212513">
            <w:pPr>
              <w:pStyle w:val="ConsPlusNormal"/>
              <w:jc w:val="center"/>
            </w:pPr>
            <w:r>
              <w:t>1,1</w:t>
            </w:r>
          </w:p>
        </w:tc>
        <w:tc>
          <w:tcPr>
            <w:tcW w:w="728" w:type="dxa"/>
            <w:tcBorders>
              <w:top w:val="nil"/>
              <w:bottom w:val="single" w:sz="4" w:space="0" w:color="auto"/>
            </w:tcBorders>
          </w:tcPr>
          <w:p w:rsidR="00212513" w:rsidRDefault="00212513">
            <w:pPr>
              <w:pStyle w:val="ConsPlusNormal"/>
              <w:jc w:val="center"/>
            </w:pPr>
            <w:r>
              <w:t>294</w:t>
            </w:r>
          </w:p>
        </w:tc>
        <w:tc>
          <w:tcPr>
            <w:tcW w:w="728" w:type="dxa"/>
            <w:tcBorders>
              <w:top w:val="nil"/>
              <w:bottom w:val="single" w:sz="4" w:space="0" w:color="auto"/>
            </w:tcBorders>
          </w:tcPr>
          <w:p w:rsidR="00212513" w:rsidRDefault="00212513">
            <w:pPr>
              <w:pStyle w:val="ConsPlusNormal"/>
              <w:jc w:val="center"/>
            </w:pPr>
            <w:r>
              <w:t>245</w:t>
            </w:r>
          </w:p>
        </w:tc>
        <w:tc>
          <w:tcPr>
            <w:tcW w:w="728" w:type="dxa"/>
            <w:tcBorders>
              <w:top w:val="nil"/>
              <w:bottom w:val="single" w:sz="4" w:space="0" w:color="auto"/>
            </w:tcBorders>
          </w:tcPr>
          <w:p w:rsidR="00212513" w:rsidRDefault="00212513">
            <w:pPr>
              <w:pStyle w:val="ConsPlusNormal"/>
              <w:jc w:val="center"/>
            </w:pPr>
            <w:r>
              <w:t>196</w:t>
            </w:r>
          </w:p>
        </w:tc>
        <w:tc>
          <w:tcPr>
            <w:tcW w:w="728" w:type="dxa"/>
            <w:tcBorders>
              <w:top w:val="nil"/>
              <w:bottom w:val="single" w:sz="4" w:space="0" w:color="auto"/>
            </w:tcBorders>
          </w:tcPr>
          <w:p w:rsidR="00212513" w:rsidRDefault="00212513">
            <w:pPr>
              <w:pStyle w:val="ConsPlusNormal"/>
              <w:jc w:val="center"/>
            </w:pPr>
            <w:r>
              <w:t>147</w:t>
            </w:r>
          </w:p>
        </w:tc>
        <w:tc>
          <w:tcPr>
            <w:tcW w:w="728" w:type="dxa"/>
            <w:tcBorders>
              <w:top w:val="nil"/>
              <w:bottom w:val="single" w:sz="4" w:space="0" w:color="auto"/>
            </w:tcBorders>
          </w:tcPr>
          <w:p w:rsidR="00212513" w:rsidRDefault="00212513">
            <w:pPr>
              <w:pStyle w:val="ConsPlusNormal"/>
              <w:jc w:val="center"/>
            </w:pPr>
            <w:r>
              <w:t>98</w:t>
            </w:r>
          </w:p>
        </w:tc>
        <w:tc>
          <w:tcPr>
            <w:tcW w:w="728" w:type="dxa"/>
            <w:tcBorders>
              <w:top w:val="nil"/>
              <w:bottom w:val="single" w:sz="4" w:space="0" w:color="auto"/>
            </w:tcBorders>
          </w:tcPr>
          <w:p w:rsidR="00212513" w:rsidRDefault="00212513">
            <w:pPr>
              <w:pStyle w:val="ConsPlusNormal"/>
              <w:jc w:val="center"/>
            </w:pPr>
            <w:r>
              <w:t>-</w:t>
            </w:r>
          </w:p>
        </w:tc>
        <w:tc>
          <w:tcPr>
            <w:tcW w:w="733" w:type="dxa"/>
            <w:tcBorders>
              <w:top w:val="nil"/>
              <w:bottom w:val="single" w:sz="4" w:space="0" w:color="auto"/>
            </w:tcBorders>
          </w:tcPr>
          <w:p w:rsidR="00212513" w:rsidRDefault="00212513">
            <w:pPr>
              <w:pStyle w:val="ConsPlusNormal"/>
              <w:jc w:val="center"/>
            </w:pPr>
            <w:r>
              <w:t>-</w:t>
            </w:r>
          </w:p>
        </w:tc>
      </w:tr>
      <w:tr w:rsidR="00212513">
        <w:tc>
          <w:tcPr>
            <w:tcW w:w="9069" w:type="dxa"/>
            <w:gridSpan w:val="9"/>
            <w:tcBorders>
              <w:top w:val="single" w:sz="4" w:space="0" w:color="auto"/>
              <w:bottom w:val="single" w:sz="4" w:space="0" w:color="auto"/>
            </w:tcBorders>
          </w:tcPr>
          <w:p w:rsidR="00212513" w:rsidRDefault="00212513">
            <w:pPr>
              <w:pStyle w:val="ConsPlusNormal"/>
              <w:ind w:firstLine="283"/>
              <w:jc w:val="both"/>
            </w:pPr>
            <w:r>
              <w:t>Примечания</w:t>
            </w:r>
          </w:p>
          <w:p w:rsidR="00212513" w:rsidRDefault="00212513">
            <w:pPr>
              <w:pStyle w:val="ConsPlusNormal"/>
              <w:ind w:firstLine="283"/>
              <w:jc w:val="both"/>
            </w:pPr>
            <w:r>
              <w:t xml:space="preserve">1 Для промежуточных значений </w:t>
            </w:r>
            <w:r>
              <w:rPr>
                <w:i/>
              </w:rPr>
              <w:t>I</w:t>
            </w:r>
            <w:r>
              <w:rPr>
                <w:i/>
                <w:vertAlign w:val="subscript"/>
              </w:rPr>
              <w:t>L</w:t>
            </w:r>
            <w:r>
              <w:t xml:space="preserve"> и </w:t>
            </w:r>
            <w:r>
              <w:rPr>
                <w:i/>
              </w:rPr>
              <w:t>eR</w:t>
            </w:r>
            <w:r>
              <w:rPr>
                <w:vertAlign w:val="subscript"/>
              </w:rPr>
              <w:t>0</w:t>
            </w:r>
            <w:r>
              <w:t xml:space="preserve"> определяются по интерполяции.</w:t>
            </w:r>
          </w:p>
          <w:p w:rsidR="00212513" w:rsidRDefault="00212513">
            <w:pPr>
              <w:pStyle w:val="ConsPlusNormal"/>
              <w:ind w:firstLine="283"/>
              <w:jc w:val="both"/>
            </w:pPr>
            <w:r>
              <w:t xml:space="preserve">2 При значениях числа пластичности </w:t>
            </w:r>
            <w:r>
              <w:rPr>
                <w:i/>
              </w:rPr>
              <w:t>I</w:t>
            </w:r>
            <w:r>
              <w:rPr>
                <w:i/>
                <w:vertAlign w:val="subscript"/>
              </w:rPr>
              <w:t>p</w:t>
            </w:r>
            <w:r>
              <w:t xml:space="preserve"> в пределах 5 - 10 и 15 - 20 следует принимать средние значения </w:t>
            </w:r>
            <w:r>
              <w:rPr>
                <w:i/>
              </w:rPr>
              <w:t>R</w:t>
            </w:r>
            <w:r>
              <w:rPr>
                <w:vertAlign w:val="subscript"/>
              </w:rPr>
              <w:t>0</w:t>
            </w:r>
            <w:r>
              <w:t xml:space="preserve">, приведенные в </w:t>
            </w:r>
            <w:hyperlink w:anchor="P17594">
              <w:r>
                <w:rPr>
                  <w:color w:val="0000FF"/>
                </w:rPr>
                <w:t>таблице 2.1</w:t>
              </w:r>
            </w:hyperlink>
            <w:r>
              <w:t xml:space="preserve"> соответственно для супесей, суглинков и глин.</w:t>
            </w:r>
          </w:p>
        </w:tc>
      </w:tr>
    </w:tbl>
    <w:p w:rsidR="00212513" w:rsidRDefault="00212513">
      <w:pPr>
        <w:pStyle w:val="ConsPlusNormal"/>
        <w:ind w:firstLine="540"/>
        <w:jc w:val="both"/>
      </w:pPr>
    </w:p>
    <w:p w:rsidR="00212513" w:rsidRDefault="00212513">
      <w:pPr>
        <w:pStyle w:val="ConsPlusNormal"/>
        <w:jc w:val="right"/>
      </w:pPr>
      <w:r>
        <w:t>Таблица 2.2</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83"/>
        <w:gridCol w:w="3288"/>
      </w:tblGrid>
      <w:tr w:rsidR="00212513">
        <w:tc>
          <w:tcPr>
            <w:tcW w:w="5783" w:type="dxa"/>
            <w:tcBorders>
              <w:top w:val="single" w:sz="4" w:space="0" w:color="auto"/>
              <w:bottom w:val="single" w:sz="4" w:space="0" w:color="auto"/>
            </w:tcBorders>
            <w:vAlign w:val="center"/>
          </w:tcPr>
          <w:p w:rsidR="00212513" w:rsidRDefault="00212513">
            <w:pPr>
              <w:pStyle w:val="ConsPlusNormal"/>
              <w:jc w:val="center"/>
            </w:pPr>
            <w:r>
              <w:t>Песчаные грунты и их влажность</w:t>
            </w:r>
          </w:p>
        </w:tc>
        <w:tc>
          <w:tcPr>
            <w:tcW w:w="3288" w:type="dxa"/>
            <w:tcBorders>
              <w:top w:val="single" w:sz="4" w:space="0" w:color="auto"/>
              <w:bottom w:val="single" w:sz="4" w:space="0" w:color="auto"/>
            </w:tcBorders>
            <w:vAlign w:val="center"/>
          </w:tcPr>
          <w:p w:rsidR="00212513" w:rsidRDefault="00212513">
            <w:pPr>
              <w:pStyle w:val="ConsPlusNormal"/>
              <w:jc w:val="center"/>
            </w:pPr>
            <w:r>
              <w:t xml:space="preserve">Условное сопротивление </w:t>
            </w:r>
            <w:r>
              <w:rPr>
                <w:i/>
              </w:rPr>
              <w:t>R</w:t>
            </w:r>
            <w:r>
              <w:rPr>
                <w:vertAlign w:val="subscript"/>
              </w:rPr>
              <w:t>0</w:t>
            </w:r>
            <w:r>
              <w:t xml:space="preserve"> песчаных грунтов средней плотности в основаниях, кПа</w:t>
            </w:r>
          </w:p>
        </w:tc>
      </w:tr>
      <w:tr w:rsidR="00212513">
        <w:tblPrEx>
          <w:tblBorders>
            <w:insideH w:val="none" w:sz="0" w:space="0" w:color="auto"/>
          </w:tblBorders>
        </w:tblPrEx>
        <w:tc>
          <w:tcPr>
            <w:tcW w:w="5783" w:type="dxa"/>
            <w:tcBorders>
              <w:top w:val="single" w:sz="4" w:space="0" w:color="auto"/>
              <w:bottom w:val="nil"/>
            </w:tcBorders>
          </w:tcPr>
          <w:p w:rsidR="00212513" w:rsidRDefault="00212513">
            <w:pPr>
              <w:pStyle w:val="ConsPlusNormal"/>
            </w:pPr>
            <w:r>
              <w:t>Гравелистые и крупные независимо от их влажности</w:t>
            </w:r>
          </w:p>
        </w:tc>
        <w:tc>
          <w:tcPr>
            <w:tcW w:w="3288" w:type="dxa"/>
            <w:tcBorders>
              <w:top w:val="single" w:sz="4" w:space="0" w:color="auto"/>
              <w:bottom w:val="nil"/>
            </w:tcBorders>
          </w:tcPr>
          <w:p w:rsidR="00212513" w:rsidRDefault="00212513">
            <w:pPr>
              <w:pStyle w:val="ConsPlusNormal"/>
              <w:jc w:val="center"/>
            </w:pPr>
            <w:r>
              <w:t>343</w:t>
            </w:r>
          </w:p>
        </w:tc>
      </w:tr>
      <w:tr w:rsidR="00212513">
        <w:tblPrEx>
          <w:tblBorders>
            <w:insideH w:val="none" w:sz="0" w:space="0" w:color="auto"/>
          </w:tblBorders>
        </w:tblPrEx>
        <w:tc>
          <w:tcPr>
            <w:tcW w:w="5783" w:type="dxa"/>
            <w:tcBorders>
              <w:top w:val="nil"/>
              <w:bottom w:val="nil"/>
            </w:tcBorders>
          </w:tcPr>
          <w:p w:rsidR="00212513" w:rsidRDefault="00212513">
            <w:pPr>
              <w:pStyle w:val="ConsPlusNormal"/>
            </w:pPr>
            <w:r>
              <w:t>Средней крупности:</w:t>
            </w:r>
          </w:p>
        </w:tc>
        <w:tc>
          <w:tcPr>
            <w:tcW w:w="3288"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5783" w:type="dxa"/>
            <w:tcBorders>
              <w:top w:val="nil"/>
              <w:bottom w:val="nil"/>
            </w:tcBorders>
          </w:tcPr>
          <w:p w:rsidR="00212513" w:rsidRDefault="00212513">
            <w:pPr>
              <w:pStyle w:val="ConsPlusNormal"/>
              <w:ind w:left="283"/>
            </w:pPr>
            <w:r>
              <w:t>маловлажные</w:t>
            </w:r>
          </w:p>
        </w:tc>
        <w:tc>
          <w:tcPr>
            <w:tcW w:w="3288" w:type="dxa"/>
            <w:tcBorders>
              <w:top w:val="nil"/>
              <w:bottom w:val="nil"/>
            </w:tcBorders>
          </w:tcPr>
          <w:p w:rsidR="00212513" w:rsidRDefault="00212513">
            <w:pPr>
              <w:pStyle w:val="ConsPlusNormal"/>
              <w:jc w:val="center"/>
            </w:pPr>
            <w:r>
              <w:t>294</w:t>
            </w:r>
          </w:p>
        </w:tc>
      </w:tr>
      <w:tr w:rsidR="00212513">
        <w:tblPrEx>
          <w:tblBorders>
            <w:insideH w:val="none" w:sz="0" w:space="0" w:color="auto"/>
          </w:tblBorders>
        </w:tblPrEx>
        <w:tc>
          <w:tcPr>
            <w:tcW w:w="5783" w:type="dxa"/>
            <w:tcBorders>
              <w:top w:val="nil"/>
              <w:bottom w:val="nil"/>
            </w:tcBorders>
          </w:tcPr>
          <w:p w:rsidR="00212513" w:rsidRDefault="00212513">
            <w:pPr>
              <w:pStyle w:val="ConsPlusNormal"/>
              <w:ind w:left="283"/>
            </w:pPr>
            <w:r>
              <w:t>влажные и насыщенные водой</w:t>
            </w:r>
          </w:p>
        </w:tc>
        <w:tc>
          <w:tcPr>
            <w:tcW w:w="3288" w:type="dxa"/>
            <w:tcBorders>
              <w:top w:val="nil"/>
              <w:bottom w:val="nil"/>
            </w:tcBorders>
          </w:tcPr>
          <w:p w:rsidR="00212513" w:rsidRDefault="00212513">
            <w:pPr>
              <w:pStyle w:val="ConsPlusNormal"/>
              <w:jc w:val="center"/>
            </w:pPr>
            <w:r>
              <w:t>245</w:t>
            </w:r>
          </w:p>
        </w:tc>
      </w:tr>
      <w:tr w:rsidR="00212513">
        <w:tblPrEx>
          <w:tblBorders>
            <w:insideH w:val="none" w:sz="0" w:space="0" w:color="auto"/>
          </w:tblBorders>
        </w:tblPrEx>
        <w:tc>
          <w:tcPr>
            <w:tcW w:w="5783" w:type="dxa"/>
            <w:tcBorders>
              <w:top w:val="nil"/>
              <w:bottom w:val="nil"/>
            </w:tcBorders>
          </w:tcPr>
          <w:p w:rsidR="00212513" w:rsidRDefault="00212513">
            <w:pPr>
              <w:pStyle w:val="ConsPlusNormal"/>
            </w:pPr>
            <w:r>
              <w:t>Мелкие:</w:t>
            </w:r>
          </w:p>
        </w:tc>
        <w:tc>
          <w:tcPr>
            <w:tcW w:w="3288"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5783" w:type="dxa"/>
            <w:tcBorders>
              <w:top w:val="nil"/>
              <w:bottom w:val="nil"/>
            </w:tcBorders>
          </w:tcPr>
          <w:p w:rsidR="00212513" w:rsidRDefault="00212513">
            <w:pPr>
              <w:pStyle w:val="ConsPlusNormal"/>
              <w:ind w:left="283"/>
            </w:pPr>
            <w:r>
              <w:t>маловлажные</w:t>
            </w:r>
          </w:p>
        </w:tc>
        <w:tc>
          <w:tcPr>
            <w:tcW w:w="3288" w:type="dxa"/>
            <w:tcBorders>
              <w:top w:val="nil"/>
              <w:bottom w:val="nil"/>
            </w:tcBorders>
          </w:tcPr>
          <w:p w:rsidR="00212513" w:rsidRDefault="00212513">
            <w:pPr>
              <w:pStyle w:val="ConsPlusNormal"/>
              <w:jc w:val="center"/>
            </w:pPr>
            <w:r>
              <w:t>196</w:t>
            </w:r>
          </w:p>
        </w:tc>
      </w:tr>
      <w:tr w:rsidR="00212513">
        <w:tblPrEx>
          <w:tblBorders>
            <w:insideH w:val="none" w:sz="0" w:space="0" w:color="auto"/>
          </w:tblBorders>
        </w:tblPrEx>
        <w:tc>
          <w:tcPr>
            <w:tcW w:w="5783" w:type="dxa"/>
            <w:tcBorders>
              <w:top w:val="nil"/>
              <w:bottom w:val="nil"/>
            </w:tcBorders>
          </w:tcPr>
          <w:p w:rsidR="00212513" w:rsidRDefault="00212513">
            <w:pPr>
              <w:pStyle w:val="ConsPlusNormal"/>
              <w:ind w:left="283"/>
            </w:pPr>
            <w:r>
              <w:t>влажные и насыщенные водой</w:t>
            </w:r>
          </w:p>
        </w:tc>
        <w:tc>
          <w:tcPr>
            <w:tcW w:w="3288" w:type="dxa"/>
            <w:tcBorders>
              <w:top w:val="nil"/>
              <w:bottom w:val="nil"/>
            </w:tcBorders>
          </w:tcPr>
          <w:p w:rsidR="00212513" w:rsidRDefault="00212513">
            <w:pPr>
              <w:pStyle w:val="ConsPlusNormal"/>
              <w:jc w:val="center"/>
            </w:pPr>
            <w:r>
              <w:t>147</w:t>
            </w:r>
          </w:p>
        </w:tc>
      </w:tr>
      <w:tr w:rsidR="00212513">
        <w:tblPrEx>
          <w:tblBorders>
            <w:insideH w:val="none" w:sz="0" w:space="0" w:color="auto"/>
          </w:tblBorders>
        </w:tblPrEx>
        <w:tc>
          <w:tcPr>
            <w:tcW w:w="5783" w:type="dxa"/>
            <w:tcBorders>
              <w:top w:val="nil"/>
              <w:bottom w:val="nil"/>
            </w:tcBorders>
          </w:tcPr>
          <w:p w:rsidR="00212513" w:rsidRDefault="00212513">
            <w:pPr>
              <w:pStyle w:val="ConsPlusNormal"/>
            </w:pPr>
            <w:r>
              <w:t>Пылеватые:</w:t>
            </w:r>
          </w:p>
        </w:tc>
        <w:tc>
          <w:tcPr>
            <w:tcW w:w="3288"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5783" w:type="dxa"/>
            <w:tcBorders>
              <w:top w:val="nil"/>
              <w:bottom w:val="nil"/>
            </w:tcBorders>
          </w:tcPr>
          <w:p w:rsidR="00212513" w:rsidRDefault="00212513">
            <w:pPr>
              <w:pStyle w:val="ConsPlusNormal"/>
              <w:ind w:left="283"/>
            </w:pPr>
            <w:r>
              <w:t>маловлажные</w:t>
            </w:r>
          </w:p>
        </w:tc>
        <w:tc>
          <w:tcPr>
            <w:tcW w:w="3288" w:type="dxa"/>
            <w:tcBorders>
              <w:top w:val="nil"/>
              <w:bottom w:val="nil"/>
            </w:tcBorders>
          </w:tcPr>
          <w:p w:rsidR="00212513" w:rsidRDefault="00212513">
            <w:pPr>
              <w:pStyle w:val="ConsPlusNormal"/>
              <w:jc w:val="center"/>
            </w:pPr>
            <w:r>
              <w:t>196</w:t>
            </w:r>
          </w:p>
        </w:tc>
      </w:tr>
      <w:tr w:rsidR="00212513">
        <w:tblPrEx>
          <w:tblBorders>
            <w:insideH w:val="none" w:sz="0" w:space="0" w:color="auto"/>
          </w:tblBorders>
        </w:tblPrEx>
        <w:tc>
          <w:tcPr>
            <w:tcW w:w="5783" w:type="dxa"/>
            <w:tcBorders>
              <w:top w:val="nil"/>
              <w:bottom w:val="nil"/>
            </w:tcBorders>
          </w:tcPr>
          <w:p w:rsidR="00212513" w:rsidRDefault="00212513">
            <w:pPr>
              <w:pStyle w:val="ConsPlusNormal"/>
              <w:ind w:left="283"/>
            </w:pPr>
            <w:r>
              <w:t>влажные</w:t>
            </w:r>
          </w:p>
        </w:tc>
        <w:tc>
          <w:tcPr>
            <w:tcW w:w="3288" w:type="dxa"/>
            <w:tcBorders>
              <w:top w:val="nil"/>
              <w:bottom w:val="nil"/>
            </w:tcBorders>
          </w:tcPr>
          <w:p w:rsidR="00212513" w:rsidRDefault="00212513">
            <w:pPr>
              <w:pStyle w:val="ConsPlusNormal"/>
              <w:jc w:val="center"/>
            </w:pPr>
            <w:r>
              <w:t>147</w:t>
            </w:r>
          </w:p>
        </w:tc>
      </w:tr>
      <w:tr w:rsidR="00212513">
        <w:tblPrEx>
          <w:tblBorders>
            <w:insideH w:val="none" w:sz="0" w:space="0" w:color="auto"/>
          </w:tblBorders>
        </w:tblPrEx>
        <w:tc>
          <w:tcPr>
            <w:tcW w:w="5783" w:type="dxa"/>
            <w:tcBorders>
              <w:top w:val="nil"/>
              <w:bottom w:val="single" w:sz="4" w:space="0" w:color="auto"/>
            </w:tcBorders>
          </w:tcPr>
          <w:p w:rsidR="00212513" w:rsidRDefault="00212513">
            <w:pPr>
              <w:pStyle w:val="ConsPlusNormal"/>
              <w:ind w:left="283"/>
            </w:pPr>
            <w:r>
              <w:t>насыщенные водой</w:t>
            </w:r>
          </w:p>
        </w:tc>
        <w:tc>
          <w:tcPr>
            <w:tcW w:w="3288" w:type="dxa"/>
            <w:tcBorders>
              <w:top w:val="nil"/>
              <w:bottom w:val="single" w:sz="4" w:space="0" w:color="auto"/>
            </w:tcBorders>
          </w:tcPr>
          <w:p w:rsidR="00212513" w:rsidRDefault="00212513">
            <w:pPr>
              <w:pStyle w:val="ConsPlusNormal"/>
              <w:jc w:val="center"/>
            </w:pPr>
            <w:r>
              <w:t>98</w:t>
            </w:r>
          </w:p>
        </w:tc>
      </w:tr>
      <w:tr w:rsidR="00212513">
        <w:tc>
          <w:tcPr>
            <w:tcW w:w="9071" w:type="dxa"/>
            <w:gridSpan w:val="2"/>
            <w:tcBorders>
              <w:top w:val="single" w:sz="4" w:space="0" w:color="auto"/>
              <w:bottom w:val="single" w:sz="4" w:space="0" w:color="auto"/>
            </w:tcBorders>
          </w:tcPr>
          <w:p w:rsidR="00212513" w:rsidRDefault="00212513">
            <w:pPr>
              <w:pStyle w:val="ConsPlusNormal"/>
              <w:ind w:firstLine="283"/>
              <w:jc w:val="both"/>
            </w:pPr>
            <w:r>
              <w:t xml:space="preserve">Примечание - Для плотных песков приведенные значения </w:t>
            </w:r>
            <w:r>
              <w:rPr>
                <w:i/>
              </w:rPr>
              <w:t>R</w:t>
            </w:r>
            <w:r>
              <w:rPr>
                <w:vertAlign w:val="subscript"/>
              </w:rPr>
              <w:t>0</w:t>
            </w:r>
            <w:r>
              <w:t xml:space="preserve"> следует увеличивать на 100%, если их плотность определена статическим зондированием, и на 60%, если их плотность определена по результатам лабораторных испытаний грунтов.</w:t>
            </w:r>
          </w:p>
        </w:tc>
      </w:tr>
    </w:tbl>
    <w:p w:rsidR="00212513" w:rsidRDefault="00212513">
      <w:pPr>
        <w:pStyle w:val="ConsPlusNormal"/>
        <w:ind w:firstLine="540"/>
        <w:jc w:val="both"/>
      </w:pPr>
    </w:p>
    <w:p w:rsidR="00212513" w:rsidRDefault="00212513">
      <w:pPr>
        <w:pStyle w:val="ConsPlusNormal"/>
        <w:jc w:val="right"/>
      </w:pPr>
      <w:bookmarkStart w:id="602" w:name="P17714"/>
      <w:bookmarkEnd w:id="602"/>
      <w:r>
        <w:t>Таблица 2.3</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99"/>
        <w:gridCol w:w="3572"/>
      </w:tblGrid>
      <w:tr w:rsidR="00212513">
        <w:tc>
          <w:tcPr>
            <w:tcW w:w="5499" w:type="dxa"/>
            <w:tcBorders>
              <w:top w:val="single" w:sz="4" w:space="0" w:color="auto"/>
              <w:bottom w:val="single" w:sz="4" w:space="0" w:color="auto"/>
            </w:tcBorders>
            <w:vAlign w:val="center"/>
          </w:tcPr>
          <w:p w:rsidR="00212513" w:rsidRDefault="00212513">
            <w:pPr>
              <w:pStyle w:val="ConsPlusNormal"/>
              <w:jc w:val="center"/>
            </w:pPr>
            <w:r>
              <w:t>Грунт</w:t>
            </w:r>
          </w:p>
        </w:tc>
        <w:tc>
          <w:tcPr>
            <w:tcW w:w="3572" w:type="dxa"/>
            <w:tcBorders>
              <w:top w:val="single" w:sz="4" w:space="0" w:color="auto"/>
              <w:bottom w:val="single" w:sz="4" w:space="0" w:color="auto"/>
            </w:tcBorders>
            <w:vAlign w:val="center"/>
          </w:tcPr>
          <w:p w:rsidR="00212513" w:rsidRDefault="00212513">
            <w:pPr>
              <w:pStyle w:val="ConsPlusNormal"/>
              <w:jc w:val="center"/>
            </w:pPr>
            <w:r>
              <w:t xml:space="preserve">Условное сопротивление </w:t>
            </w:r>
            <w:r>
              <w:rPr>
                <w:i/>
              </w:rPr>
              <w:t>R</w:t>
            </w:r>
            <w:r>
              <w:rPr>
                <w:vertAlign w:val="subscript"/>
              </w:rPr>
              <w:t>0</w:t>
            </w:r>
            <w:r>
              <w:t xml:space="preserve"> крупнообломочных грунтов в </w:t>
            </w:r>
            <w:r>
              <w:lastRenderedPageBreak/>
              <w:t>основаниях, кПа</w:t>
            </w:r>
          </w:p>
        </w:tc>
      </w:tr>
      <w:tr w:rsidR="00212513">
        <w:tblPrEx>
          <w:tblBorders>
            <w:insideH w:val="none" w:sz="0" w:space="0" w:color="auto"/>
          </w:tblBorders>
        </w:tblPrEx>
        <w:tc>
          <w:tcPr>
            <w:tcW w:w="5499" w:type="dxa"/>
            <w:tcBorders>
              <w:top w:val="single" w:sz="4" w:space="0" w:color="auto"/>
              <w:bottom w:val="nil"/>
            </w:tcBorders>
          </w:tcPr>
          <w:p w:rsidR="00212513" w:rsidRDefault="00212513">
            <w:pPr>
              <w:pStyle w:val="ConsPlusNormal"/>
            </w:pPr>
            <w:r>
              <w:lastRenderedPageBreak/>
              <w:t>Галечниковый (щебенистый) из обломков пород:</w:t>
            </w:r>
          </w:p>
        </w:tc>
        <w:tc>
          <w:tcPr>
            <w:tcW w:w="3572" w:type="dxa"/>
            <w:tcBorders>
              <w:top w:val="single" w:sz="4" w:space="0" w:color="auto"/>
              <w:bottom w:val="nil"/>
            </w:tcBorders>
          </w:tcPr>
          <w:p w:rsidR="00212513" w:rsidRDefault="00212513">
            <w:pPr>
              <w:pStyle w:val="ConsPlusNormal"/>
              <w:jc w:val="both"/>
            </w:pPr>
          </w:p>
        </w:tc>
      </w:tr>
      <w:tr w:rsidR="00212513">
        <w:tblPrEx>
          <w:tblBorders>
            <w:insideH w:val="none" w:sz="0" w:space="0" w:color="auto"/>
          </w:tblBorders>
        </w:tblPrEx>
        <w:tc>
          <w:tcPr>
            <w:tcW w:w="5499" w:type="dxa"/>
            <w:tcBorders>
              <w:top w:val="nil"/>
              <w:bottom w:val="nil"/>
            </w:tcBorders>
          </w:tcPr>
          <w:p w:rsidR="00212513" w:rsidRDefault="00212513">
            <w:pPr>
              <w:pStyle w:val="ConsPlusNormal"/>
              <w:ind w:left="283"/>
            </w:pPr>
            <w:r>
              <w:t>кристаллических</w:t>
            </w:r>
          </w:p>
        </w:tc>
        <w:tc>
          <w:tcPr>
            <w:tcW w:w="3572" w:type="dxa"/>
            <w:tcBorders>
              <w:top w:val="nil"/>
              <w:bottom w:val="nil"/>
            </w:tcBorders>
          </w:tcPr>
          <w:p w:rsidR="00212513" w:rsidRDefault="00212513">
            <w:pPr>
              <w:pStyle w:val="ConsPlusNormal"/>
              <w:jc w:val="center"/>
            </w:pPr>
            <w:r>
              <w:t>1470</w:t>
            </w:r>
          </w:p>
        </w:tc>
      </w:tr>
      <w:tr w:rsidR="00212513">
        <w:tblPrEx>
          <w:tblBorders>
            <w:insideH w:val="none" w:sz="0" w:space="0" w:color="auto"/>
          </w:tblBorders>
        </w:tblPrEx>
        <w:tc>
          <w:tcPr>
            <w:tcW w:w="5499" w:type="dxa"/>
            <w:tcBorders>
              <w:top w:val="nil"/>
              <w:bottom w:val="nil"/>
            </w:tcBorders>
          </w:tcPr>
          <w:p w:rsidR="00212513" w:rsidRDefault="00212513">
            <w:pPr>
              <w:pStyle w:val="ConsPlusNormal"/>
              <w:ind w:left="283"/>
            </w:pPr>
            <w:r>
              <w:t>осадочных</w:t>
            </w:r>
          </w:p>
        </w:tc>
        <w:tc>
          <w:tcPr>
            <w:tcW w:w="3572" w:type="dxa"/>
            <w:tcBorders>
              <w:top w:val="nil"/>
              <w:bottom w:val="nil"/>
            </w:tcBorders>
          </w:tcPr>
          <w:p w:rsidR="00212513" w:rsidRDefault="00212513">
            <w:pPr>
              <w:pStyle w:val="ConsPlusNormal"/>
              <w:jc w:val="center"/>
            </w:pPr>
            <w:r>
              <w:t>980</w:t>
            </w:r>
          </w:p>
        </w:tc>
      </w:tr>
      <w:tr w:rsidR="00212513">
        <w:tblPrEx>
          <w:tblBorders>
            <w:insideH w:val="none" w:sz="0" w:space="0" w:color="auto"/>
          </w:tblBorders>
        </w:tblPrEx>
        <w:tc>
          <w:tcPr>
            <w:tcW w:w="5499" w:type="dxa"/>
            <w:tcBorders>
              <w:top w:val="nil"/>
              <w:bottom w:val="nil"/>
            </w:tcBorders>
          </w:tcPr>
          <w:p w:rsidR="00212513" w:rsidRDefault="00212513">
            <w:pPr>
              <w:pStyle w:val="ConsPlusNormal"/>
            </w:pPr>
            <w:r>
              <w:t>Гравийный (дресвяной) из обломков пород:</w:t>
            </w:r>
          </w:p>
        </w:tc>
        <w:tc>
          <w:tcPr>
            <w:tcW w:w="3572" w:type="dxa"/>
            <w:tcBorders>
              <w:top w:val="nil"/>
              <w:bottom w:val="nil"/>
            </w:tcBorders>
          </w:tcPr>
          <w:p w:rsidR="00212513" w:rsidRDefault="00212513">
            <w:pPr>
              <w:pStyle w:val="ConsPlusNormal"/>
              <w:jc w:val="both"/>
            </w:pPr>
          </w:p>
        </w:tc>
      </w:tr>
      <w:tr w:rsidR="00212513">
        <w:tblPrEx>
          <w:tblBorders>
            <w:insideH w:val="none" w:sz="0" w:space="0" w:color="auto"/>
          </w:tblBorders>
        </w:tblPrEx>
        <w:tc>
          <w:tcPr>
            <w:tcW w:w="5499" w:type="dxa"/>
            <w:tcBorders>
              <w:top w:val="nil"/>
              <w:bottom w:val="nil"/>
            </w:tcBorders>
          </w:tcPr>
          <w:p w:rsidR="00212513" w:rsidRDefault="00212513">
            <w:pPr>
              <w:pStyle w:val="ConsPlusNormal"/>
              <w:ind w:left="283"/>
            </w:pPr>
            <w:r>
              <w:t>кристаллических</w:t>
            </w:r>
          </w:p>
        </w:tc>
        <w:tc>
          <w:tcPr>
            <w:tcW w:w="3572" w:type="dxa"/>
            <w:tcBorders>
              <w:top w:val="nil"/>
              <w:bottom w:val="nil"/>
            </w:tcBorders>
          </w:tcPr>
          <w:p w:rsidR="00212513" w:rsidRDefault="00212513">
            <w:pPr>
              <w:pStyle w:val="ConsPlusNormal"/>
              <w:jc w:val="center"/>
            </w:pPr>
            <w:r>
              <w:t>785</w:t>
            </w:r>
          </w:p>
        </w:tc>
      </w:tr>
      <w:tr w:rsidR="00212513">
        <w:tblPrEx>
          <w:tblBorders>
            <w:insideH w:val="none" w:sz="0" w:space="0" w:color="auto"/>
          </w:tblBorders>
        </w:tblPrEx>
        <w:tc>
          <w:tcPr>
            <w:tcW w:w="5499" w:type="dxa"/>
            <w:tcBorders>
              <w:top w:val="nil"/>
              <w:bottom w:val="single" w:sz="4" w:space="0" w:color="auto"/>
            </w:tcBorders>
          </w:tcPr>
          <w:p w:rsidR="00212513" w:rsidRDefault="00212513">
            <w:pPr>
              <w:pStyle w:val="ConsPlusNormal"/>
              <w:ind w:left="283"/>
            </w:pPr>
            <w:r>
              <w:t>осадочных</w:t>
            </w:r>
          </w:p>
        </w:tc>
        <w:tc>
          <w:tcPr>
            <w:tcW w:w="3572" w:type="dxa"/>
            <w:tcBorders>
              <w:top w:val="nil"/>
              <w:bottom w:val="single" w:sz="4" w:space="0" w:color="auto"/>
            </w:tcBorders>
          </w:tcPr>
          <w:p w:rsidR="00212513" w:rsidRDefault="00212513">
            <w:pPr>
              <w:pStyle w:val="ConsPlusNormal"/>
              <w:jc w:val="center"/>
            </w:pPr>
            <w:r>
              <w:t>490</w:t>
            </w:r>
          </w:p>
        </w:tc>
      </w:tr>
      <w:tr w:rsidR="00212513">
        <w:tc>
          <w:tcPr>
            <w:tcW w:w="9071" w:type="dxa"/>
            <w:gridSpan w:val="2"/>
            <w:tcBorders>
              <w:top w:val="single" w:sz="4" w:space="0" w:color="auto"/>
              <w:bottom w:val="single" w:sz="4" w:space="0" w:color="auto"/>
            </w:tcBorders>
          </w:tcPr>
          <w:p w:rsidR="00212513" w:rsidRDefault="00212513">
            <w:pPr>
              <w:pStyle w:val="ConsPlusNormal"/>
              <w:ind w:firstLine="283"/>
              <w:jc w:val="both"/>
            </w:pPr>
            <w:r>
              <w:t xml:space="preserve">Примечание - Приведенные в </w:t>
            </w:r>
            <w:hyperlink w:anchor="P17714">
              <w:r>
                <w:rPr>
                  <w:color w:val="0000FF"/>
                </w:rPr>
                <w:t>таблице 2.3</w:t>
              </w:r>
            </w:hyperlink>
            <w:r>
              <w:t xml:space="preserve"> условные сопротивления </w:t>
            </w:r>
            <w:r>
              <w:rPr>
                <w:i/>
              </w:rPr>
              <w:t>R</w:t>
            </w:r>
            <w:r>
              <w:rPr>
                <w:vertAlign w:val="subscript"/>
              </w:rPr>
              <w:t>0</w:t>
            </w:r>
            <w:r>
              <w:t xml:space="preserve"> даны для крупнообломочных грунтов с песчаным заполнителем. Если в крупнообломочном грунте содержится свыше 40% глинистого заполнителя, то значения </w:t>
            </w:r>
            <w:r>
              <w:rPr>
                <w:i/>
              </w:rPr>
              <w:t>R</w:t>
            </w:r>
            <w:r>
              <w:rPr>
                <w:vertAlign w:val="subscript"/>
              </w:rPr>
              <w:t>0</w:t>
            </w:r>
            <w:r>
              <w:t xml:space="preserve"> для такого грунта должны приниматься по </w:t>
            </w:r>
            <w:hyperlink w:anchor="P17594">
              <w:r>
                <w:rPr>
                  <w:color w:val="0000FF"/>
                </w:rPr>
                <w:t>таблице 2.1</w:t>
              </w:r>
            </w:hyperlink>
            <w:r>
              <w:t xml:space="preserve"> в зависимости от </w:t>
            </w:r>
            <w:r>
              <w:rPr>
                <w:i/>
              </w:rPr>
              <w:t>I</w:t>
            </w:r>
            <w:r>
              <w:rPr>
                <w:i/>
                <w:vertAlign w:val="subscript"/>
              </w:rPr>
              <w:t>p</w:t>
            </w:r>
            <w:r>
              <w:rPr>
                <w:i/>
              </w:rPr>
              <w:t>, I</w:t>
            </w:r>
            <w:r>
              <w:rPr>
                <w:i/>
                <w:vertAlign w:val="subscript"/>
              </w:rPr>
              <w:t>L</w:t>
            </w:r>
            <w:r>
              <w:t xml:space="preserve"> и </w:t>
            </w:r>
            <w:r>
              <w:rPr>
                <w:i/>
              </w:rPr>
              <w:t>e</w:t>
            </w:r>
            <w:r>
              <w:t xml:space="preserve"> заполнителя.</w:t>
            </w:r>
          </w:p>
        </w:tc>
      </w:tr>
    </w:tbl>
    <w:p w:rsidR="00212513" w:rsidRDefault="00212513">
      <w:pPr>
        <w:pStyle w:val="ConsPlusNormal"/>
        <w:ind w:firstLine="540"/>
        <w:jc w:val="both"/>
      </w:pPr>
    </w:p>
    <w:p w:rsidR="00212513" w:rsidRDefault="00212513">
      <w:pPr>
        <w:pStyle w:val="ConsPlusNormal"/>
        <w:jc w:val="right"/>
      </w:pPr>
      <w:bookmarkStart w:id="603" w:name="P17732"/>
      <w:bookmarkEnd w:id="603"/>
      <w:r>
        <w:t>Таблица 2.4</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39"/>
        <w:gridCol w:w="1620"/>
        <w:gridCol w:w="1620"/>
      </w:tblGrid>
      <w:tr w:rsidR="00212513">
        <w:tc>
          <w:tcPr>
            <w:tcW w:w="5839" w:type="dxa"/>
            <w:vMerge w:val="restart"/>
            <w:tcBorders>
              <w:top w:val="single" w:sz="4" w:space="0" w:color="auto"/>
              <w:bottom w:val="single" w:sz="4" w:space="0" w:color="auto"/>
            </w:tcBorders>
            <w:vAlign w:val="center"/>
          </w:tcPr>
          <w:p w:rsidR="00212513" w:rsidRDefault="00212513">
            <w:pPr>
              <w:pStyle w:val="ConsPlusNormal"/>
              <w:jc w:val="center"/>
            </w:pPr>
            <w:r>
              <w:t>Грунт</w:t>
            </w:r>
          </w:p>
        </w:tc>
        <w:tc>
          <w:tcPr>
            <w:tcW w:w="3240" w:type="dxa"/>
            <w:gridSpan w:val="2"/>
            <w:tcBorders>
              <w:top w:val="single" w:sz="4" w:space="0" w:color="auto"/>
              <w:bottom w:val="single" w:sz="4" w:space="0" w:color="auto"/>
            </w:tcBorders>
            <w:vAlign w:val="center"/>
          </w:tcPr>
          <w:p w:rsidR="00212513" w:rsidRDefault="00212513">
            <w:pPr>
              <w:pStyle w:val="ConsPlusNormal"/>
              <w:jc w:val="center"/>
            </w:pPr>
            <w:r>
              <w:t>Коэффициенты</w:t>
            </w:r>
          </w:p>
        </w:tc>
      </w:tr>
      <w:tr w:rsidR="00212513">
        <w:tc>
          <w:tcPr>
            <w:tcW w:w="5839" w:type="dxa"/>
            <w:vMerge/>
            <w:tcBorders>
              <w:top w:val="single" w:sz="4" w:space="0" w:color="auto"/>
              <w:bottom w:val="single" w:sz="4" w:space="0" w:color="auto"/>
            </w:tcBorders>
          </w:tcPr>
          <w:p w:rsidR="00212513" w:rsidRDefault="00212513">
            <w:pPr>
              <w:pStyle w:val="ConsPlusNormal"/>
            </w:pPr>
          </w:p>
        </w:tc>
        <w:tc>
          <w:tcPr>
            <w:tcW w:w="1620" w:type="dxa"/>
            <w:tcBorders>
              <w:top w:val="single" w:sz="4" w:space="0" w:color="auto"/>
              <w:bottom w:val="single" w:sz="4" w:space="0" w:color="auto"/>
            </w:tcBorders>
            <w:vAlign w:val="center"/>
          </w:tcPr>
          <w:p w:rsidR="00212513" w:rsidRDefault="00212513">
            <w:pPr>
              <w:pStyle w:val="ConsPlusNormal"/>
              <w:jc w:val="center"/>
            </w:pPr>
            <w:r>
              <w:rPr>
                <w:i/>
              </w:rPr>
              <w:t>k</w:t>
            </w:r>
            <w:r>
              <w:rPr>
                <w:vertAlign w:val="subscript"/>
              </w:rPr>
              <w:t>1</w:t>
            </w:r>
            <w:r>
              <w:t>, м</w:t>
            </w:r>
            <w:r>
              <w:rPr>
                <w:vertAlign w:val="superscript"/>
              </w:rPr>
              <w:t>-1</w:t>
            </w:r>
          </w:p>
        </w:tc>
        <w:tc>
          <w:tcPr>
            <w:tcW w:w="1620" w:type="dxa"/>
            <w:tcBorders>
              <w:top w:val="single" w:sz="4" w:space="0" w:color="auto"/>
              <w:bottom w:val="single" w:sz="4" w:space="0" w:color="auto"/>
            </w:tcBorders>
            <w:vAlign w:val="center"/>
          </w:tcPr>
          <w:p w:rsidR="00212513" w:rsidRDefault="00212513">
            <w:pPr>
              <w:pStyle w:val="ConsPlusNormal"/>
              <w:jc w:val="center"/>
            </w:pPr>
            <w:r>
              <w:rPr>
                <w:i/>
              </w:rPr>
              <w:t>k</w:t>
            </w:r>
            <w:r>
              <w:rPr>
                <w:vertAlign w:val="subscript"/>
              </w:rPr>
              <w:t>2</w:t>
            </w:r>
          </w:p>
        </w:tc>
      </w:tr>
      <w:tr w:rsidR="00212513">
        <w:tblPrEx>
          <w:tblBorders>
            <w:insideH w:val="none" w:sz="0" w:space="0" w:color="auto"/>
          </w:tblBorders>
        </w:tblPrEx>
        <w:tc>
          <w:tcPr>
            <w:tcW w:w="5839" w:type="dxa"/>
            <w:tcBorders>
              <w:top w:val="single" w:sz="4" w:space="0" w:color="auto"/>
              <w:bottom w:val="nil"/>
            </w:tcBorders>
          </w:tcPr>
          <w:p w:rsidR="00212513" w:rsidRDefault="00212513">
            <w:pPr>
              <w:pStyle w:val="ConsPlusNormal"/>
            </w:pPr>
            <w:r>
              <w:t>Гравий, галька, песок гравелистый крупный и средней крупности</w:t>
            </w:r>
          </w:p>
        </w:tc>
        <w:tc>
          <w:tcPr>
            <w:tcW w:w="1620" w:type="dxa"/>
            <w:tcBorders>
              <w:top w:val="single" w:sz="4" w:space="0" w:color="auto"/>
              <w:bottom w:val="nil"/>
            </w:tcBorders>
          </w:tcPr>
          <w:p w:rsidR="00212513" w:rsidRDefault="00212513">
            <w:pPr>
              <w:pStyle w:val="ConsPlusNormal"/>
              <w:jc w:val="center"/>
            </w:pPr>
            <w:r>
              <w:t>0,10</w:t>
            </w:r>
          </w:p>
        </w:tc>
        <w:tc>
          <w:tcPr>
            <w:tcW w:w="1620" w:type="dxa"/>
            <w:tcBorders>
              <w:top w:val="single" w:sz="4" w:space="0" w:color="auto"/>
              <w:bottom w:val="nil"/>
            </w:tcBorders>
          </w:tcPr>
          <w:p w:rsidR="00212513" w:rsidRDefault="00212513">
            <w:pPr>
              <w:pStyle w:val="ConsPlusNormal"/>
              <w:jc w:val="center"/>
            </w:pPr>
            <w:r>
              <w:t>3,0</w:t>
            </w:r>
          </w:p>
        </w:tc>
      </w:tr>
      <w:tr w:rsidR="00212513">
        <w:tblPrEx>
          <w:tblBorders>
            <w:insideH w:val="none" w:sz="0" w:space="0" w:color="auto"/>
          </w:tblBorders>
        </w:tblPrEx>
        <w:tc>
          <w:tcPr>
            <w:tcW w:w="5839" w:type="dxa"/>
            <w:tcBorders>
              <w:top w:val="nil"/>
              <w:bottom w:val="nil"/>
            </w:tcBorders>
          </w:tcPr>
          <w:p w:rsidR="00212513" w:rsidRDefault="00212513">
            <w:pPr>
              <w:pStyle w:val="ConsPlusNormal"/>
            </w:pPr>
            <w:r>
              <w:t>Песок мелкий</w:t>
            </w:r>
          </w:p>
        </w:tc>
        <w:tc>
          <w:tcPr>
            <w:tcW w:w="1620" w:type="dxa"/>
            <w:tcBorders>
              <w:top w:val="nil"/>
              <w:bottom w:val="nil"/>
            </w:tcBorders>
          </w:tcPr>
          <w:p w:rsidR="00212513" w:rsidRDefault="00212513">
            <w:pPr>
              <w:pStyle w:val="ConsPlusNormal"/>
              <w:jc w:val="center"/>
            </w:pPr>
            <w:r>
              <w:t>0,08</w:t>
            </w:r>
          </w:p>
        </w:tc>
        <w:tc>
          <w:tcPr>
            <w:tcW w:w="1620" w:type="dxa"/>
            <w:tcBorders>
              <w:top w:val="nil"/>
              <w:bottom w:val="nil"/>
            </w:tcBorders>
          </w:tcPr>
          <w:p w:rsidR="00212513" w:rsidRDefault="00212513">
            <w:pPr>
              <w:pStyle w:val="ConsPlusNormal"/>
              <w:jc w:val="center"/>
            </w:pPr>
            <w:r>
              <w:t>2,5</w:t>
            </w:r>
          </w:p>
        </w:tc>
      </w:tr>
      <w:tr w:rsidR="00212513">
        <w:tblPrEx>
          <w:tblBorders>
            <w:insideH w:val="none" w:sz="0" w:space="0" w:color="auto"/>
          </w:tblBorders>
        </w:tblPrEx>
        <w:tc>
          <w:tcPr>
            <w:tcW w:w="5839" w:type="dxa"/>
            <w:tcBorders>
              <w:top w:val="nil"/>
              <w:bottom w:val="nil"/>
            </w:tcBorders>
          </w:tcPr>
          <w:p w:rsidR="00212513" w:rsidRDefault="00212513">
            <w:pPr>
              <w:pStyle w:val="ConsPlusNormal"/>
            </w:pPr>
            <w:r>
              <w:t>Песок пылеватый, супесь</w:t>
            </w:r>
          </w:p>
        </w:tc>
        <w:tc>
          <w:tcPr>
            <w:tcW w:w="1620" w:type="dxa"/>
            <w:tcBorders>
              <w:top w:val="nil"/>
              <w:bottom w:val="nil"/>
            </w:tcBorders>
          </w:tcPr>
          <w:p w:rsidR="00212513" w:rsidRDefault="00212513">
            <w:pPr>
              <w:pStyle w:val="ConsPlusNormal"/>
              <w:jc w:val="center"/>
            </w:pPr>
            <w:r>
              <w:t>0,06</w:t>
            </w:r>
          </w:p>
        </w:tc>
        <w:tc>
          <w:tcPr>
            <w:tcW w:w="1620" w:type="dxa"/>
            <w:tcBorders>
              <w:top w:val="nil"/>
              <w:bottom w:val="nil"/>
            </w:tcBorders>
          </w:tcPr>
          <w:p w:rsidR="00212513" w:rsidRDefault="00212513">
            <w:pPr>
              <w:pStyle w:val="ConsPlusNormal"/>
              <w:jc w:val="center"/>
            </w:pPr>
            <w:r>
              <w:t>2,0</w:t>
            </w:r>
          </w:p>
        </w:tc>
      </w:tr>
      <w:tr w:rsidR="00212513">
        <w:tblPrEx>
          <w:tblBorders>
            <w:insideH w:val="none" w:sz="0" w:space="0" w:color="auto"/>
          </w:tblBorders>
        </w:tblPrEx>
        <w:tc>
          <w:tcPr>
            <w:tcW w:w="5839" w:type="dxa"/>
            <w:tcBorders>
              <w:top w:val="nil"/>
              <w:bottom w:val="nil"/>
            </w:tcBorders>
          </w:tcPr>
          <w:p w:rsidR="00212513" w:rsidRDefault="00212513">
            <w:pPr>
              <w:pStyle w:val="ConsPlusNormal"/>
            </w:pPr>
            <w:r>
              <w:t>Суглинок и глина твердые и полутвердые</w:t>
            </w:r>
          </w:p>
        </w:tc>
        <w:tc>
          <w:tcPr>
            <w:tcW w:w="1620" w:type="dxa"/>
            <w:tcBorders>
              <w:top w:val="nil"/>
              <w:bottom w:val="nil"/>
            </w:tcBorders>
          </w:tcPr>
          <w:p w:rsidR="00212513" w:rsidRDefault="00212513">
            <w:pPr>
              <w:pStyle w:val="ConsPlusNormal"/>
              <w:jc w:val="center"/>
            </w:pPr>
            <w:r>
              <w:t>0,04</w:t>
            </w:r>
          </w:p>
        </w:tc>
        <w:tc>
          <w:tcPr>
            <w:tcW w:w="1620" w:type="dxa"/>
            <w:tcBorders>
              <w:top w:val="nil"/>
              <w:bottom w:val="nil"/>
            </w:tcBorders>
          </w:tcPr>
          <w:p w:rsidR="00212513" w:rsidRDefault="00212513">
            <w:pPr>
              <w:pStyle w:val="ConsPlusNormal"/>
              <w:jc w:val="center"/>
            </w:pPr>
            <w:r>
              <w:t>2,0</w:t>
            </w:r>
          </w:p>
        </w:tc>
      </w:tr>
      <w:tr w:rsidR="00212513">
        <w:tblPrEx>
          <w:tblBorders>
            <w:insideH w:val="none" w:sz="0" w:space="0" w:color="auto"/>
          </w:tblBorders>
        </w:tblPrEx>
        <w:tc>
          <w:tcPr>
            <w:tcW w:w="5839" w:type="dxa"/>
            <w:tcBorders>
              <w:top w:val="nil"/>
              <w:bottom w:val="single" w:sz="4" w:space="0" w:color="auto"/>
            </w:tcBorders>
          </w:tcPr>
          <w:p w:rsidR="00212513" w:rsidRDefault="00212513">
            <w:pPr>
              <w:pStyle w:val="ConsPlusNormal"/>
            </w:pPr>
            <w:r>
              <w:t>Суглинок и глина тугопластичные и мягкопластичные</w:t>
            </w:r>
          </w:p>
        </w:tc>
        <w:tc>
          <w:tcPr>
            <w:tcW w:w="1620" w:type="dxa"/>
            <w:tcBorders>
              <w:top w:val="nil"/>
              <w:bottom w:val="single" w:sz="4" w:space="0" w:color="auto"/>
            </w:tcBorders>
          </w:tcPr>
          <w:p w:rsidR="00212513" w:rsidRDefault="00212513">
            <w:pPr>
              <w:pStyle w:val="ConsPlusNormal"/>
              <w:jc w:val="center"/>
            </w:pPr>
            <w:r>
              <w:t>0,02</w:t>
            </w:r>
          </w:p>
        </w:tc>
        <w:tc>
          <w:tcPr>
            <w:tcW w:w="1620" w:type="dxa"/>
            <w:tcBorders>
              <w:top w:val="nil"/>
              <w:bottom w:val="single" w:sz="4" w:space="0" w:color="auto"/>
            </w:tcBorders>
          </w:tcPr>
          <w:p w:rsidR="00212513" w:rsidRDefault="00212513">
            <w:pPr>
              <w:pStyle w:val="ConsPlusNormal"/>
              <w:jc w:val="center"/>
            </w:pPr>
            <w:r>
              <w:t>1,5</w:t>
            </w:r>
          </w:p>
        </w:tc>
      </w:tr>
    </w:tbl>
    <w:p w:rsidR="00212513" w:rsidRDefault="00212513">
      <w:pPr>
        <w:pStyle w:val="ConsPlusNormal"/>
        <w:ind w:firstLine="540"/>
        <w:jc w:val="both"/>
      </w:pPr>
    </w:p>
    <w:p w:rsidR="00212513" w:rsidRDefault="00212513">
      <w:pPr>
        <w:pStyle w:val="ConsPlusNormal"/>
        <w:ind w:firstLine="540"/>
        <w:jc w:val="both"/>
      </w:pPr>
      <w:r>
        <w:t xml:space="preserve">Величину условного сопротивления </w:t>
      </w:r>
      <w:r>
        <w:rPr>
          <w:noProof/>
          <w:position w:val="-9"/>
        </w:rPr>
        <w:drawing>
          <wp:inline distT="0" distB="0" distL="0" distR="0">
            <wp:extent cx="220345" cy="261620"/>
            <wp:effectExtent l="0" t="0" r="0" b="0"/>
            <wp:docPr id="3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5"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для твердых супесей, суглинков и глин </w:t>
      </w:r>
      <w:r>
        <w:rPr>
          <w:noProof/>
          <w:position w:val="-9"/>
        </w:rPr>
        <w:drawing>
          <wp:inline distT="0" distB="0" distL="0" distR="0">
            <wp:extent cx="564515" cy="261620"/>
            <wp:effectExtent l="0" t="0" r="0" b="0"/>
            <wp:docPr id="3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6" cstate="print">
                      <a:extLst>
                        <a:ext uri="{28A0092B-C50C-407E-A947-70E740481C1C}">
                          <a14:useLocalDpi xmlns:a14="http://schemas.microsoft.com/office/drawing/2010/main" val="0"/>
                        </a:ext>
                      </a:extLst>
                    </a:blip>
                    <a:srcRect/>
                    <a:stretch>
                      <a:fillRect/>
                    </a:stretch>
                  </pic:blipFill>
                  <pic:spPr bwMode="auto">
                    <a:xfrm>
                      <a:off x="0" y="0"/>
                      <a:ext cx="564515" cy="261620"/>
                    </a:xfrm>
                    <a:prstGeom prst="rect">
                      <a:avLst/>
                    </a:prstGeom>
                    <a:noFill/>
                    <a:ln>
                      <a:noFill/>
                    </a:ln>
                  </pic:spPr>
                </pic:pic>
              </a:graphicData>
            </a:graphic>
          </wp:inline>
        </w:drawing>
      </w:r>
      <w:r>
        <w:t xml:space="preserve"> следует определять по формуле</w:t>
      </w:r>
    </w:p>
    <w:p w:rsidR="00212513" w:rsidRDefault="00212513">
      <w:pPr>
        <w:pStyle w:val="ConsPlusNormal"/>
        <w:ind w:firstLine="540"/>
        <w:jc w:val="both"/>
      </w:pPr>
    </w:p>
    <w:p w:rsidR="00212513" w:rsidRDefault="00212513">
      <w:pPr>
        <w:pStyle w:val="ConsPlusNormal"/>
        <w:jc w:val="center"/>
      </w:pPr>
      <w:r>
        <w:rPr>
          <w:noProof/>
          <w:position w:val="-9"/>
        </w:rPr>
        <w:drawing>
          <wp:inline distT="0" distB="0" distL="0" distR="0">
            <wp:extent cx="774700" cy="261620"/>
            <wp:effectExtent l="0" t="0" r="0" b="0"/>
            <wp:docPr id="3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7" cstate="print">
                      <a:extLst>
                        <a:ext uri="{28A0092B-C50C-407E-A947-70E740481C1C}">
                          <a14:useLocalDpi xmlns:a14="http://schemas.microsoft.com/office/drawing/2010/main" val="0"/>
                        </a:ext>
                      </a:extLst>
                    </a:blip>
                    <a:srcRect/>
                    <a:stretch>
                      <a:fillRect/>
                    </a:stretch>
                  </pic:blipFill>
                  <pic:spPr bwMode="auto">
                    <a:xfrm>
                      <a:off x="0" y="0"/>
                      <a:ext cx="774700" cy="261620"/>
                    </a:xfrm>
                    <a:prstGeom prst="rect">
                      <a:avLst/>
                    </a:prstGeom>
                    <a:noFill/>
                    <a:ln>
                      <a:noFill/>
                    </a:ln>
                  </pic:spPr>
                </pic:pic>
              </a:graphicData>
            </a:graphic>
          </wp:inline>
        </w:drawing>
      </w:r>
      <w:r>
        <w:t xml:space="preserve"> (2.2)</w:t>
      </w:r>
    </w:p>
    <w:p w:rsidR="00212513" w:rsidRDefault="00212513">
      <w:pPr>
        <w:pStyle w:val="ConsPlusNormal"/>
        <w:ind w:firstLine="540"/>
        <w:jc w:val="both"/>
      </w:pPr>
    </w:p>
    <w:p w:rsidR="00212513" w:rsidRDefault="00212513">
      <w:pPr>
        <w:pStyle w:val="ConsPlusNormal"/>
        <w:jc w:val="both"/>
      </w:pPr>
      <w:r>
        <w:t>и принимать, кПа: для супесей - не более 981; для суглинков - 1962; для глин - 2943,</w:t>
      </w:r>
    </w:p>
    <w:p w:rsidR="00212513" w:rsidRDefault="00212513">
      <w:pPr>
        <w:pStyle w:val="ConsPlusNormal"/>
        <w:spacing w:before="220"/>
        <w:ind w:firstLine="540"/>
        <w:jc w:val="both"/>
      </w:pPr>
      <w:r>
        <w:t xml:space="preserve">где </w:t>
      </w:r>
      <w:r>
        <w:rPr>
          <w:noProof/>
          <w:position w:val="-9"/>
        </w:rPr>
        <w:drawing>
          <wp:inline distT="0" distB="0" distL="0" distR="0">
            <wp:extent cx="261620" cy="261620"/>
            <wp:effectExtent l="0" t="0" r="0" b="0"/>
            <wp:docPr id="3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8" cstate="print">
                      <a:extLst>
                        <a:ext uri="{28A0092B-C50C-407E-A947-70E740481C1C}">
                          <a14:useLocalDpi xmlns:a14="http://schemas.microsoft.com/office/drawing/2010/main" val="0"/>
                        </a:ext>
                      </a:extLst>
                    </a:blip>
                    <a:srcRect/>
                    <a:stretch>
                      <a:fillRect/>
                    </a:stretch>
                  </pic:blipFill>
                  <pic:spPr bwMode="auto">
                    <a:xfrm>
                      <a:off x="0" y="0"/>
                      <a:ext cx="261620" cy="261620"/>
                    </a:xfrm>
                    <a:prstGeom prst="rect">
                      <a:avLst/>
                    </a:prstGeom>
                    <a:noFill/>
                    <a:ln>
                      <a:noFill/>
                    </a:ln>
                  </pic:spPr>
                </pic:pic>
              </a:graphicData>
            </a:graphic>
          </wp:inline>
        </w:drawing>
      </w:r>
      <w:r>
        <w:t xml:space="preserve"> - предел прочности на одноосное сжатие образцов глинистого грунта природной влажности.</w:t>
      </w:r>
    </w:p>
    <w:p w:rsidR="00212513" w:rsidRDefault="00212513">
      <w:pPr>
        <w:pStyle w:val="ConsPlusNormal"/>
        <w:spacing w:before="220"/>
        <w:ind w:firstLine="540"/>
        <w:jc w:val="both"/>
      </w:pPr>
      <w:r>
        <w:t xml:space="preserve">Расчетное сопротивление осевому сжатию оснований из невыветрелых скальных грунтов </w:t>
      </w:r>
      <w:r>
        <w:rPr>
          <w:i/>
        </w:rPr>
        <w:t>R</w:t>
      </w:r>
      <w:r>
        <w:t>, кПа, следует определять по формуле</w:t>
      </w:r>
    </w:p>
    <w:p w:rsidR="00212513" w:rsidRDefault="00212513">
      <w:pPr>
        <w:pStyle w:val="ConsPlusNormal"/>
        <w:ind w:firstLine="540"/>
        <w:jc w:val="both"/>
      </w:pPr>
    </w:p>
    <w:p w:rsidR="00212513" w:rsidRDefault="00212513">
      <w:pPr>
        <w:pStyle w:val="ConsPlusNormal"/>
        <w:jc w:val="center"/>
      </w:pPr>
      <w:bookmarkStart w:id="604" w:name="P17762"/>
      <w:bookmarkEnd w:id="604"/>
      <w:r>
        <w:rPr>
          <w:noProof/>
          <w:position w:val="-27"/>
        </w:rPr>
        <w:drawing>
          <wp:inline distT="0" distB="0" distL="0" distR="0">
            <wp:extent cx="511810" cy="494030"/>
            <wp:effectExtent l="0" t="0" r="0" b="0"/>
            <wp:docPr id="3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9" cstate="print">
                      <a:extLst>
                        <a:ext uri="{28A0092B-C50C-407E-A947-70E740481C1C}">
                          <a14:useLocalDpi xmlns:a14="http://schemas.microsoft.com/office/drawing/2010/main" val="0"/>
                        </a:ext>
                      </a:extLst>
                    </a:blip>
                    <a:srcRect/>
                    <a:stretch>
                      <a:fillRect/>
                    </a:stretch>
                  </pic:blipFill>
                  <pic:spPr bwMode="auto">
                    <a:xfrm>
                      <a:off x="0" y="0"/>
                      <a:ext cx="511810" cy="494030"/>
                    </a:xfrm>
                    <a:prstGeom prst="rect">
                      <a:avLst/>
                    </a:prstGeom>
                    <a:noFill/>
                    <a:ln>
                      <a:noFill/>
                    </a:ln>
                  </pic:spPr>
                </pic:pic>
              </a:graphicData>
            </a:graphic>
          </wp:inline>
        </w:drawing>
      </w:r>
      <w:r>
        <w:t>, (2.3)</w:t>
      </w:r>
    </w:p>
    <w:p w:rsidR="00212513" w:rsidRDefault="00212513">
      <w:pPr>
        <w:pStyle w:val="ConsPlusNormal"/>
        <w:ind w:firstLine="540"/>
        <w:jc w:val="both"/>
      </w:pPr>
    </w:p>
    <w:p w:rsidR="00212513" w:rsidRDefault="00212513">
      <w:pPr>
        <w:pStyle w:val="ConsPlusNormal"/>
        <w:ind w:firstLine="540"/>
        <w:jc w:val="both"/>
      </w:pPr>
      <w:r>
        <w:lastRenderedPageBreak/>
        <w:t xml:space="preserve">где </w:t>
      </w:r>
      <w:r>
        <w:rPr>
          <w:noProof/>
          <w:position w:val="-10"/>
        </w:rPr>
        <w:drawing>
          <wp:inline distT="0" distB="0" distL="0" distR="0">
            <wp:extent cx="177165" cy="273685"/>
            <wp:effectExtent l="0" t="0" r="0" b="0"/>
            <wp:docPr id="3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0" cstate="print">
                      <a:extLst>
                        <a:ext uri="{28A0092B-C50C-407E-A947-70E740481C1C}">
                          <a14:useLocalDpi xmlns:a14="http://schemas.microsoft.com/office/drawing/2010/main" val="0"/>
                        </a:ext>
                      </a:extLst>
                    </a:blip>
                    <a:srcRect/>
                    <a:stretch>
                      <a:fillRect/>
                    </a:stretch>
                  </pic:blipFill>
                  <pic:spPr bwMode="auto">
                    <a:xfrm>
                      <a:off x="0" y="0"/>
                      <a:ext cx="177165" cy="273685"/>
                    </a:xfrm>
                    <a:prstGeom prst="rect">
                      <a:avLst/>
                    </a:prstGeom>
                    <a:noFill/>
                    <a:ln>
                      <a:noFill/>
                    </a:ln>
                  </pic:spPr>
                </pic:pic>
              </a:graphicData>
            </a:graphic>
          </wp:inline>
        </w:drawing>
      </w:r>
      <w:r>
        <w:t xml:space="preserve"> - коэффициент надежности по грунту, принимаемый равным 1,4;</w:t>
      </w:r>
    </w:p>
    <w:p w:rsidR="00212513" w:rsidRDefault="00212513">
      <w:pPr>
        <w:pStyle w:val="ConsPlusNormal"/>
        <w:spacing w:before="220"/>
        <w:ind w:firstLine="540"/>
        <w:jc w:val="both"/>
      </w:pPr>
      <w:r>
        <w:rPr>
          <w:noProof/>
          <w:position w:val="-9"/>
        </w:rPr>
        <w:drawing>
          <wp:inline distT="0" distB="0" distL="0" distR="0">
            <wp:extent cx="177165" cy="260985"/>
            <wp:effectExtent l="0" t="0" r="0" b="0"/>
            <wp:docPr id="3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1" cstate="print">
                      <a:extLst>
                        <a:ext uri="{28A0092B-C50C-407E-A947-70E740481C1C}">
                          <a14:useLocalDpi xmlns:a14="http://schemas.microsoft.com/office/drawing/2010/main" val="0"/>
                        </a:ext>
                      </a:extLst>
                    </a:blip>
                    <a:srcRect/>
                    <a:stretch>
                      <a:fillRect/>
                    </a:stretch>
                  </pic:blipFill>
                  <pic:spPr bwMode="auto">
                    <a:xfrm>
                      <a:off x="0" y="0"/>
                      <a:ext cx="177165" cy="260985"/>
                    </a:xfrm>
                    <a:prstGeom prst="rect">
                      <a:avLst/>
                    </a:prstGeom>
                    <a:noFill/>
                    <a:ln>
                      <a:noFill/>
                    </a:ln>
                  </pic:spPr>
                </pic:pic>
              </a:graphicData>
            </a:graphic>
          </wp:inline>
        </w:drawing>
      </w:r>
      <w:r>
        <w:t xml:space="preserve"> - предел прочности на одноосное сжатие образцов скального грунта, кПа.</w:t>
      </w:r>
    </w:p>
    <w:p w:rsidR="00212513" w:rsidRDefault="00212513">
      <w:pPr>
        <w:pStyle w:val="ConsPlusNormal"/>
        <w:spacing w:before="220"/>
        <w:ind w:firstLine="540"/>
        <w:jc w:val="both"/>
      </w:pPr>
      <w:r>
        <w:t xml:space="preserve">Если основания состоят из однородных по глубине слабовыветрелых, выветрелых или сильновыветрелых скальных грунтов, их расчетное сопротивление осевому сжатию следует определять, пользуясь результатами статических испытаний грунтов штампом. При отсутствии таких результатов допускается значение </w:t>
      </w:r>
      <w:r>
        <w:rPr>
          <w:i/>
        </w:rPr>
        <w:t>R</w:t>
      </w:r>
      <w:r>
        <w:t xml:space="preserve"> принимать для слабовыветрелых и выветрелых скальных грунтов - по </w:t>
      </w:r>
      <w:hyperlink w:anchor="P17762">
        <w:r>
          <w:rPr>
            <w:color w:val="0000FF"/>
          </w:rPr>
          <w:t>формуле (2.3)</w:t>
        </w:r>
      </w:hyperlink>
      <w:r>
        <w:t xml:space="preserve">, принимая значение </w:t>
      </w:r>
      <w:r>
        <w:rPr>
          <w:noProof/>
          <w:position w:val="-9"/>
        </w:rPr>
        <w:drawing>
          <wp:inline distT="0" distB="0" distL="0" distR="0">
            <wp:extent cx="177165" cy="260985"/>
            <wp:effectExtent l="0" t="0" r="0" b="0"/>
            <wp:docPr id="3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1" cstate="print">
                      <a:extLst>
                        <a:ext uri="{28A0092B-C50C-407E-A947-70E740481C1C}">
                          <a14:useLocalDpi xmlns:a14="http://schemas.microsoft.com/office/drawing/2010/main" val="0"/>
                        </a:ext>
                      </a:extLst>
                    </a:blip>
                    <a:srcRect/>
                    <a:stretch>
                      <a:fillRect/>
                    </a:stretch>
                  </pic:blipFill>
                  <pic:spPr bwMode="auto">
                    <a:xfrm>
                      <a:off x="0" y="0"/>
                      <a:ext cx="177165" cy="260985"/>
                    </a:xfrm>
                    <a:prstGeom prst="rect">
                      <a:avLst/>
                    </a:prstGeom>
                    <a:noFill/>
                    <a:ln>
                      <a:noFill/>
                    </a:ln>
                  </pic:spPr>
                </pic:pic>
              </a:graphicData>
            </a:graphic>
          </wp:inline>
        </w:drawing>
      </w:r>
      <w:r>
        <w:t xml:space="preserve"> с понижающим коэффициентом, равным соответственно 0,6 и 0,3; для сильновыветрелых скальных грунтов - по </w:t>
      </w:r>
      <w:hyperlink w:anchor="P17586">
        <w:r>
          <w:rPr>
            <w:color w:val="0000FF"/>
          </w:rPr>
          <w:t>формуле (2.1)</w:t>
        </w:r>
      </w:hyperlink>
      <w:r>
        <w:t xml:space="preserve"> и </w:t>
      </w:r>
      <w:hyperlink w:anchor="P17714">
        <w:r>
          <w:rPr>
            <w:color w:val="0000FF"/>
          </w:rPr>
          <w:t>таблице 2.3</w:t>
        </w:r>
      </w:hyperlink>
      <w:r>
        <w:t xml:space="preserve"> как для крупнообломочных грунтов.</w:t>
      </w:r>
    </w:p>
    <w:p w:rsidR="00212513" w:rsidRDefault="00212513">
      <w:pPr>
        <w:pStyle w:val="ConsPlusNormal"/>
        <w:spacing w:before="220"/>
        <w:ind w:firstLine="540"/>
        <w:jc w:val="both"/>
      </w:pPr>
      <w:bookmarkStart w:id="605" w:name="P17767"/>
      <w:bookmarkEnd w:id="605"/>
      <w:r>
        <w:t xml:space="preserve">2.2 При определении расчетного сопротивления оснований из нескальных грунтов по </w:t>
      </w:r>
      <w:hyperlink w:anchor="P17586">
        <w:r>
          <w:rPr>
            <w:color w:val="0000FF"/>
          </w:rPr>
          <w:t>формуле (2.1)</w:t>
        </w:r>
      </w:hyperlink>
      <w:r>
        <w:t xml:space="preserve"> заглубление фундамента мелкого заложения или фундамента из опускного колодца следует принимать:</w:t>
      </w:r>
    </w:p>
    <w:p w:rsidR="00212513" w:rsidRDefault="00212513">
      <w:pPr>
        <w:pStyle w:val="ConsPlusNormal"/>
        <w:spacing w:before="220"/>
        <w:ind w:firstLine="540"/>
        <w:jc w:val="both"/>
      </w:pPr>
      <w:bookmarkStart w:id="606" w:name="P17768"/>
      <w:bookmarkEnd w:id="606"/>
      <w:r>
        <w:t xml:space="preserve">а) для промежуточных опор мостов - от поверхности грунта у опоры на уровне срезки в пределах контура фундамента, а в русле рек - от дна водотока у опоры после понижения его уровня на глубину общего и половину местного размыва грунта при расчетном расходе (см. </w:t>
      </w:r>
      <w:hyperlink w:anchor="P393">
        <w:r>
          <w:rPr>
            <w:color w:val="0000FF"/>
          </w:rPr>
          <w:t>5.25</w:t>
        </w:r>
      </w:hyperlink>
      <w:r>
        <w:t xml:space="preserve"> - </w:t>
      </w:r>
      <w:hyperlink w:anchor="P411">
        <w:r>
          <w:rPr>
            <w:color w:val="0000FF"/>
          </w:rPr>
          <w:t>5.30</w:t>
        </w:r>
      </w:hyperlink>
      <w:r>
        <w:t>);</w:t>
      </w:r>
    </w:p>
    <w:p w:rsidR="00212513" w:rsidRDefault="00212513">
      <w:pPr>
        <w:pStyle w:val="ConsPlusNormal"/>
        <w:spacing w:before="220"/>
        <w:ind w:firstLine="540"/>
        <w:jc w:val="both"/>
      </w:pPr>
      <w:r>
        <w:t>б) для обсыпных устоев - от естественной поверхности грунта с увеличением на половину высоты конуса насыпи у передней грани фундамента по оси моста;</w:t>
      </w:r>
    </w:p>
    <w:p w:rsidR="00212513" w:rsidRDefault="00212513">
      <w:pPr>
        <w:pStyle w:val="ConsPlusNormal"/>
        <w:spacing w:before="220"/>
        <w:ind w:firstLine="540"/>
        <w:jc w:val="both"/>
      </w:pPr>
      <w:r>
        <w:t>в) для труб замкнутого контура - от естественной поверхности грунта с увеличением на половину минимальной высоты насыпи у рассматриваемого звена;</w:t>
      </w:r>
    </w:p>
    <w:p w:rsidR="00212513" w:rsidRDefault="00212513">
      <w:pPr>
        <w:pStyle w:val="ConsPlusNormal"/>
        <w:spacing w:before="220"/>
        <w:ind w:firstLine="540"/>
        <w:jc w:val="both"/>
      </w:pPr>
      <w:r>
        <w:t>г) для труб незамкнутого контура - от низа лотка или обреза фундамента.</w:t>
      </w:r>
    </w:p>
    <w:p w:rsidR="00212513" w:rsidRDefault="00212513">
      <w:pPr>
        <w:pStyle w:val="ConsPlusNormal"/>
        <w:spacing w:before="220"/>
        <w:ind w:firstLine="540"/>
        <w:jc w:val="both"/>
      </w:pPr>
      <w:r>
        <w:t xml:space="preserve">2.3 Расчетные сопротивления, вычисленные по </w:t>
      </w:r>
      <w:hyperlink w:anchor="P17586">
        <w:r>
          <w:rPr>
            <w:color w:val="0000FF"/>
          </w:rPr>
          <w:t>формуле (2.1)</w:t>
        </w:r>
      </w:hyperlink>
      <w:r>
        <w:t xml:space="preserve"> для глин или суглинков в основаниях фундаментов мостов, расположенных в пределах постоянных водотоков, следует повышать на величину, равную </w:t>
      </w:r>
      <w:r>
        <w:rPr>
          <w:noProof/>
          <w:position w:val="-9"/>
        </w:rPr>
        <w:drawing>
          <wp:inline distT="0" distB="0" distL="0" distR="0">
            <wp:extent cx="502920" cy="261620"/>
            <wp:effectExtent l="0" t="0" r="0" b="0"/>
            <wp:docPr id="3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2" cstate="print">
                      <a:extLst>
                        <a:ext uri="{28A0092B-C50C-407E-A947-70E740481C1C}">
                          <a14:useLocalDpi xmlns:a14="http://schemas.microsoft.com/office/drawing/2010/main" val="0"/>
                        </a:ext>
                      </a:extLst>
                    </a:blip>
                    <a:srcRect/>
                    <a:stretch>
                      <a:fillRect/>
                    </a:stretch>
                  </pic:blipFill>
                  <pic:spPr bwMode="auto">
                    <a:xfrm>
                      <a:off x="0" y="0"/>
                      <a:ext cx="502920" cy="261620"/>
                    </a:xfrm>
                    <a:prstGeom prst="rect">
                      <a:avLst/>
                    </a:prstGeom>
                    <a:noFill/>
                    <a:ln>
                      <a:noFill/>
                    </a:ln>
                  </pic:spPr>
                </pic:pic>
              </a:graphicData>
            </a:graphic>
          </wp:inline>
        </w:drawing>
      </w:r>
      <w:r>
        <w:t xml:space="preserve">, кПа, где </w:t>
      </w:r>
      <w:r>
        <w:rPr>
          <w:noProof/>
          <w:position w:val="-9"/>
        </w:rPr>
        <w:drawing>
          <wp:inline distT="0" distB="0" distL="0" distR="0">
            <wp:extent cx="220345" cy="261620"/>
            <wp:effectExtent l="0" t="0" r="0" b="0"/>
            <wp:docPr id="3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3" cstate="print">
                      <a:extLst>
                        <a:ext uri="{28A0092B-C50C-407E-A947-70E740481C1C}">
                          <a14:useLocalDpi xmlns:a14="http://schemas.microsoft.com/office/drawing/2010/main" val="0"/>
                        </a:ext>
                      </a:extLst>
                    </a:blip>
                    <a:srcRect/>
                    <a:stretch>
                      <a:fillRect/>
                    </a:stretch>
                  </pic:blipFill>
                  <pic:spPr bwMode="auto">
                    <a:xfrm>
                      <a:off x="0" y="0"/>
                      <a:ext cx="220345" cy="261620"/>
                    </a:xfrm>
                    <a:prstGeom prst="rect">
                      <a:avLst/>
                    </a:prstGeom>
                    <a:noFill/>
                    <a:ln>
                      <a:noFill/>
                    </a:ln>
                  </pic:spPr>
                </pic:pic>
              </a:graphicData>
            </a:graphic>
          </wp:inline>
        </w:drawing>
      </w:r>
      <w:r>
        <w:t xml:space="preserve"> - глубина воды, м, от наинизшего уровня межени до уровня, принимаемого по </w:t>
      </w:r>
      <w:hyperlink w:anchor="P17768">
        <w:r>
          <w:rPr>
            <w:color w:val="0000FF"/>
          </w:rPr>
          <w:t>2.2, а</w:t>
        </w:r>
      </w:hyperlink>
      <w:r>
        <w:t>.</w:t>
      </w: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jc w:val="right"/>
        <w:outlineLvl w:val="0"/>
      </w:pPr>
      <w:r>
        <w:rPr>
          <w:b/>
        </w:rPr>
        <w:t>Приложение 3</w:t>
      </w:r>
    </w:p>
    <w:p w:rsidR="00212513" w:rsidRDefault="00212513">
      <w:pPr>
        <w:pStyle w:val="ConsPlusNormal"/>
        <w:jc w:val="right"/>
      </w:pPr>
      <w:r>
        <w:rPr>
          <w:b/>
        </w:rPr>
        <w:t>(обязательное)</w:t>
      </w:r>
    </w:p>
    <w:p w:rsidR="00212513" w:rsidRDefault="00212513">
      <w:pPr>
        <w:pStyle w:val="ConsPlusNormal"/>
        <w:ind w:firstLine="540"/>
        <w:jc w:val="both"/>
      </w:pPr>
    </w:p>
    <w:p w:rsidR="00212513" w:rsidRDefault="00212513">
      <w:pPr>
        <w:pStyle w:val="ConsPlusTitle"/>
        <w:jc w:val="center"/>
      </w:pPr>
      <w:bookmarkStart w:id="607" w:name="P17781"/>
      <w:bookmarkEnd w:id="607"/>
      <w:r>
        <w:t>МЕТОДИКА ПРОВЕРКИ НЕСУЩЕЙ СПОСОБНОСТИ ПО ГРУНТУ ФУНДАМЕНТА</w:t>
      </w:r>
    </w:p>
    <w:p w:rsidR="00212513" w:rsidRDefault="00212513">
      <w:pPr>
        <w:pStyle w:val="ConsPlusTitle"/>
        <w:jc w:val="center"/>
      </w:pPr>
      <w:r>
        <w:t>ИЗ СВАЙ ИЛИ ОПУСКНОГО КОЛОДЦА КАК УСЛОВНОГО ФУНДАМЕНТА</w:t>
      </w:r>
    </w:p>
    <w:p w:rsidR="00212513" w:rsidRDefault="00212513">
      <w:pPr>
        <w:pStyle w:val="ConsPlusTitle"/>
        <w:jc w:val="center"/>
      </w:pPr>
      <w:r>
        <w:t>МЕЛКОГО ЗАЛОЖЕНИЯ</w:t>
      </w:r>
    </w:p>
    <w:p w:rsidR="00212513" w:rsidRDefault="00212513">
      <w:pPr>
        <w:pStyle w:val="ConsPlusNormal"/>
        <w:ind w:firstLine="540"/>
        <w:jc w:val="both"/>
      </w:pPr>
    </w:p>
    <w:p w:rsidR="00212513" w:rsidRDefault="00212513">
      <w:pPr>
        <w:pStyle w:val="ConsPlusNormal"/>
        <w:ind w:firstLine="540"/>
        <w:jc w:val="both"/>
      </w:pPr>
      <w:r>
        <w:t xml:space="preserve">Условный фундамент следует принимать в форме прямоугольного параллелепипеда. Его размеры для свайного фундамента с заглубленным в грунт ростверком необходимо определять по рисункам 3.1 и </w:t>
      </w:r>
      <w:hyperlink w:anchor="P17796">
        <w:r>
          <w:rPr>
            <w:color w:val="0000FF"/>
          </w:rPr>
          <w:t>3.2</w:t>
        </w:r>
      </w:hyperlink>
      <w:r>
        <w:t xml:space="preserve">, с расположенным над грунтом ростверком - по </w:t>
      </w:r>
      <w:hyperlink w:anchor="P17803">
        <w:r>
          <w:rPr>
            <w:color w:val="0000FF"/>
          </w:rPr>
          <w:t>рисункам 3.3</w:t>
        </w:r>
      </w:hyperlink>
      <w:r>
        <w:t xml:space="preserve"> и </w:t>
      </w:r>
      <w:hyperlink w:anchor="P17810">
        <w:r>
          <w:rPr>
            <w:color w:val="0000FF"/>
          </w:rPr>
          <w:t>3.4</w:t>
        </w:r>
      </w:hyperlink>
      <w:r>
        <w:t xml:space="preserve">, для фундамента из опускного колодца - по </w:t>
      </w:r>
      <w:hyperlink w:anchor="P17819">
        <w:r>
          <w:rPr>
            <w:color w:val="0000FF"/>
          </w:rPr>
          <w:t>рисунку 3.5</w:t>
        </w:r>
      </w:hyperlink>
      <w:r>
        <w:t>.</w:t>
      </w:r>
    </w:p>
    <w:p w:rsidR="00212513" w:rsidRDefault="00212513">
      <w:pPr>
        <w:pStyle w:val="ConsPlusNormal"/>
        <w:ind w:firstLine="540"/>
        <w:jc w:val="both"/>
      </w:pPr>
    </w:p>
    <w:p w:rsidR="00212513" w:rsidRDefault="00212513">
      <w:pPr>
        <w:pStyle w:val="ConsPlusNormal"/>
        <w:jc w:val="center"/>
      </w:pPr>
      <w:r>
        <w:rPr>
          <w:noProof/>
          <w:position w:val="-73"/>
        </w:rPr>
        <w:lastRenderedPageBreak/>
        <w:drawing>
          <wp:inline distT="0" distB="0" distL="0" distR="0">
            <wp:extent cx="1384300" cy="1073150"/>
            <wp:effectExtent l="0" t="0" r="0" b="0"/>
            <wp:docPr id="3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4" cstate="print">
                      <a:extLst>
                        <a:ext uri="{28A0092B-C50C-407E-A947-70E740481C1C}">
                          <a14:useLocalDpi xmlns:a14="http://schemas.microsoft.com/office/drawing/2010/main" val="0"/>
                        </a:ext>
                      </a:extLst>
                    </a:blip>
                    <a:srcRect/>
                    <a:stretch>
                      <a:fillRect/>
                    </a:stretch>
                  </pic:blipFill>
                  <pic:spPr bwMode="auto">
                    <a:xfrm>
                      <a:off x="0" y="0"/>
                      <a:ext cx="1384300" cy="1073150"/>
                    </a:xfrm>
                    <a:prstGeom prst="rect">
                      <a:avLst/>
                    </a:prstGeom>
                    <a:noFill/>
                    <a:ln>
                      <a:noFill/>
                    </a:ln>
                  </pic:spPr>
                </pic:pic>
              </a:graphicData>
            </a:graphic>
          </wp:inline>
        </w:drawing>
      </w:r>
    </w:p>
    <w:p w:rsidR="00212513" w:rsidRDefault="00212513">
      <w:pPr>
        <w:pStyle w:val="ConsPlusNormal"/>
        <w:jc w:val="center"/>
      </w:pPr>
    </w:p>
    <w:p w:rsidR="00212513" w:rsidRDefault="00212513">
      <w:pPr>
        <w:pStyle w:val="ConsPlusNormal"/>
        <w:jc w:val="center"/>
      </w:pPr>
      <w:bookmarkStart w:id="608" w:name="P17789"/>
      <w:bookmarkEnd w:id="608"/>
      <w:r>
        <w:rPr>
          <w:b/>
          <w:i/>
        </w:rPr>
        <w:t>Рисунок 3.1</w:t>
      </w:r>
      <w:r>
        <w:t xml:space="preserve"> </w:t>
      </w:r>
      <w:r>
        <w:rPr>
          <w:b/>
        </w:rPr>
        <w:t>- Условный свайный фундамент с ростверком,</w:t>
      </w:r>
    </w:p>
    <w:p w:rsidR="00212513" w:rsidRDefault="00212513">
      <w:pPr>
        <w:pStyle w:val="ConsPlusNormal"/>
        <w:jc w:val="center"/>
      </w:pPr>
      <w:r>
        <w:rPr>
          <w:b/>
        </w:rPr>
        <w:t>заглубленным в грунт, при угле наклона свай менее</w:t>
      </w:r>
      <w:r>
        <w:t> </w:t>
      </w:r>
      <w:r>
        <w:rPr>
          <w:noProof/>
          <w:position w:val="-9"/>
        </w:rPr>
        <w:drawing>
          <wp:inline distT="0" distB="0" distL="0" distR="0">
            <wp:extent cx="419100" cy="261620"/>
            <wp:effectExtent l="0" t="0" r="0" b="0"/>
            <wp:docPr id="3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5" cstate="print">
                      <a:extLst>
                        <a:ext uri="{28A0092B-C50C-407E-A947-70E740481C1C}">
                          <a14:useLocalDpi xmlns:a14="http://schemas.microsoft.com/office/drawing/2010/main" val="0"/>
                        </a:ext>
                      </a:extLst>
                    </a:blip>
                    <a:srcRect/>
                    <a:stretch>
                      <a:fillRect/>
                    </a:stretch>
                  </pic:blipFill>
                  <pic:spPr bwMode="auto">
                    <a:xfrm>
                      <a:off x="0" y="0"/>
                      <a:ext cx="419100" cy="261620"/>
                    </a:xfrm>
                    <a:prstGeom prst="rect">
                      <a:avLst/>
                    </a:prstGeom>
                    <a:noFill/>
                    <a:ln>
                      <a:noFill/>
                    </a:ln>
                  </pic:spPr>
                </pic:pic>
              </a:graphicData>
            </a:graphic>
          </wp:inline>
        </w:drawing>
      </w:r>
    </w:p>
    <w:p w:rsidR="00212513" w:rsidRDefault="00212513">
      <w:pPr>
        <w:pStyle w:val="ConsPlusNormal"/>
        <w:jc w:val="center"/>
      </w:pPr>
    </w:p>
    <w:p w:rsidR="00212513" w:rsidRDefault="00212513">
      <w:pPr>
        <w:pStyle w:val="ConsPlusNormal"/>
        <w:jc w:val="center"/>
      </w:pPr>
    </w:p>
    <w:p w:rsidR="00212513" w:rsidRDefault="00212513">
      <w:pPr>
        <w:pStyle w:val="ConsPlusNormal"/>
        <w:jc w:val="center"/>
      </w:pPr>
    </w:p>
    <w:p w:rsidR="00212513" w:rsidRDefault="00212513">
      <w:pPr>
        <w:pStyle w:val="ConsPlusNormal"/>
        <w:jc w:val="center"/>
      </w:pPr>
      <w:r>
        <w:rPr>
          <w:noProof/>
          <w:position w:val="-76"/>
        </w:rPr>
        <w:drawing>
          <wp:inline distT="0" distB="0" distL="0" distR="0">
            <wp:extent cx="1468120" cy="1113790"/>
            <wp:effectExtent l="0" t="0" r="0" b="0"/>
            <wp:docPr id="3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6" cstate="print">
                      <a:extLst>
                        <a:ext uri="{28A0092B-C50C-407E-A947-70E740481C1C}">
                          <a14:useLocalDpi xmlns:a14="http://schemas.microsoft.com/office/drawing/2010/main" val="0"/>
                        </a:ext>
                      </a:extLst>
                    </a:blip>
                    <a:srcRect/>
                    <a:stretch>
                      <a:fillRect/>
                    </a:stretch>
                  </pic:blipFill>
                  <pic:spPr bwMode="auto">
                    <a:xfrm>
                      <a:off x="0" y="0"/>
                      <a:ext cx="1468120" cy="1113790"/>
                    </a:xfrm>
                    <a:prstGeom prst="rect">
                      <a:avLst/>
                    </a:prstGeom>
                    <a:noFill/>
                    <a:ln>
                      <a:noFill/>
                    </a:ln>
                  </pic:spPr>
                </pic:pic>
              </a:graphicData>
            </a:graphic>
          </wp:inline>
        </w:drawing>
      </w:r>
    </w:p>
    <w:p w:rsidR="00212513" w:rsidRDefault="00212513">
      <w:pPr>
        <w:pStyle w:val="ConsPlusNormal"/>
        <w:jc w:val="center"/>
      </w:pPr>
    </w:p>
    <w:p w:rsidR="00212513" w:rsidRDefault="00212513">
      <w:pPr>
        <w:pStyle w:val="ConsPlusNormal"/>
        <w:jc w:val="center"/>
      </w:pPr>
      <w:bookmarkStart w:id="609" w:name="P17796"/>
      <w:bookmarkEnd w:id="609"/>
      <w:r>
        <w:rPr>
          <w:b/>
          <w:i/>
        </w:rPr>
        <w:t>Рисунок 3.2 -</w:t>
      </w:r>
      <w:r>
        <w:t xml:space="preserve"> </w:t>
      </w:r>
      <w:r>
        <w:rPr>
          <w:b/>
        </w:rPr>
        <w:t>Условный свайный фундамент с ростверком,</w:t>
      </w:r>
    </w:p>
    <w:p w:rsidR="00212513" w:rsidRDefault="00212513">
      <w:pPr>
        <w:pStyle w:val="ConsPlusNormal"/>
        <w:jc w:val="center"/>
      </w:pPr>
      <w:r>
        <w:rPr>
          <w:b/>
        </w:rPr>
        <w:t>заглубленным в грунт, при угле наклона свай более</w:t>
      </w:r>
      <w:r>
        <w:t> </w:t>
      </w:r>
      <w:r>
        <w:rPr>
          <w:noProof/>
          <w:position w:val="-9"/>
        </w:rPr>
        <w:drawing>
          <wp:inline distT="0" distB="0" distL="0" distR="0">
            <wp:extent cx="419100" cy="261620"/>
            <wp:effectExtent l="0" t="0" r="0" b="0"/>
            <wp:docPr id="3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7" cstate="print">
                      <a:extLst>
                        <a:ext uri="{28A0092B-C50C-407E-A947-70E740481C1C}">
                          <a14:useLocalDpi xmlns:a14="http://schemas.microsoft.com/office/drawing/2010/main" val="0"/>
                        </a:ext>
                      </a:extLst>
                    </a:blip>
                    <a:srcRect/>
                    <a:stretch>
                      <a:fillRect/>
                    </a:stretch>
                  </pic:blipFill>
                  <pic:spPr bwMode="auto">
                    <a:xfrm>
                      <a:off x="0" y="0"/>
                      <a:ext cx="419100" cy="261620"/>
                    </a:xfrm>
                    <a:prstGeom prst="rect">
                      <a:avLst/>
                    </a:prstGeom>
                    <a:noFill/>
                    <a:ln>
                      <a:noFill/>
                    </a:ln>
                  </pic:spPr>
                </pic:pic>
              </a:graphicData>
            </a:graphic>
          </wp:inline>
        </w:drawing>
      </w:r>
    </w:p>
    <w:p w:rsidR="00212513" w:rsidRDefault="00212513">
      <w:pPr>
        <w:pStyle w:val="ConsPlusNormal"/>
        <w:jc w:val="center"/>
      </w:pPr>
    </w:p>
    <w:p w:rsidR="00212513" w:rsidRDefault="00212513">
      <w:pPr>
        <w:pStyle w:val="ConsPlusNormal"/>
        <w:jc w:val="center"/>
      </w:pPr>
    </w:p>
    <w:p w:rsidR="00212513" w:rsidRDefault="00212513">
      <w:pPr>
        <w:pStyle w:val="ConsPlusNormal"/>
        <w:jc w:val="center"/>
      </w:pPr>
    </w:p>
    <w:p w:rsidR="00212513" w:rsidRDefault="00212513">
      <w:pPr>
        <w:pStyle w:val="ConsPlusNormal"/>
        <w:jc w:val="center"/>
      </w:pPr>
      <w:r>
        <w:rPr>
          <w:noProof/>
          <w:position w:val="-105"/>
        </w:rPr>
        <w:drawing>
          <wp:inline distT="0" distB="0" distL="0" distR="0">
            <wp:extent cx="1533525" cy="1475105"/>
            <wp:effectExtent l="0" t="0" r="0" b="0"/>
            <wp:docPr id="3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8" cstate="print">
                      <a:extLst>
                        <a:ext uri="{28A0092B-C50C-407E-A947-70E740481C1C}">
                          <a14:useLocalDpi xmlns:a14="http://schemas.microsoft.com/office/drawing/2010/main" val="0"/>
                        </a:ext>
                      </a:extLst>
                    </a:blip>
                    <a:srcRect/>
                    <a:stretch>
                      <a:fillRect/>
                    </a:stretch>
                  </pic:blipFill>
                  <pic:spPr bwMode="auto">
                    <a:xfrm>
                      <a:off x="0" y="0"/>
                      <a:ext cx="1533525" cy="1475105"/>
                    </a:xfrm>
                    <a:prstGeom prst="rect">
                      <a:avLst/>
                    </a:prstGeom>
                    <a:noFill/>
                    <a:ln>
                      <a:noFill/>
                    </a:ln>
                  </pic:spPr>
                </pic:pic>
              </a:graphicData>
            </a:graphic>
          </wp:inline>
        </w:drawing>
      </w:r>
    </w:p>
    <w:p w:rsidR="00212513" w:rsidRDefault="00212513">
      <w:pPr>
        <w:pStyle w:val="ConsPlusNormal"/>
        <w:jc w:val="center"/>
      </w:pPr>
    </w:p>
    <w:p w:rsidR="00212513" w:rsidRDefault="00212513">
      <w:pPr>
        <w:pStyle w:val="ConsPlusNormal"/>
        <w:jc w:val="center"/>
      </w:pPr>
      <w:bookmarkStart w:id="610" w:name="P17803"/>
      <w:bookmarkEnd w:id="610"/>
      <w:r>
        <w:rPr>
          <w:b/>
          <w:i/>
        </w:rPr>
        <w:t>Рисунок 3.3</w:t>
      </w:r>
      <w:r>
        <w:t xml:space="preserve"> </w:t>
      </w:r>
      <w:r>
        <w:rPr>
          <w:b/>
        </w:rPr>
        <w:t>- Условный свайный фундамент с ростверком,</w:t>
      </w:r>
    </w:p>
    <w:p w:rsidR="00212513" w:rsidRDefault="00212513">
      <w:pPr>
        <w:pStyle w:val="ConsPlusNormal"/>
        <w:jc w:val="center"/>
      </w:pPr>
      <w:r>
        <w:rPr>
          <w:b/>
        </w:rPr>
        <w:t>расположенным над грунтом, при угле наклона свай менее</w:t>
      </w:r>
      <w:r>
        <w:t> </w:t>
      </w:r>
      <w:r>
        <w:rPr>
          <w:noProof/>
          <w:position w:val="-9"/>
        </w:rPr>
        <w:drawing>
          <wp:inline distT="0" distB="0" distL="0" distR="0">
            <wp:extent cx="419100" cy="261620"/>
            <wp:effectExtent l="0" t="0" r="0" b="0"/>
            <wp:docPr id="3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9" cstate="print">
                      <a:extLst>
                        <a:ext uri="{28A0092B-C50C-407E-A947-70E740481C1C}">
                          <a14:useLocalDpi xmlns:a14="http://schemas.microsoft.com/office/drawing/2010/main" val="0"/>
                        </a:ext>
                      </a:extLst>
                    </a:blip>
                    <a:srcRect/>
                    <a:stretch>
                      <a:fillRect/>
                    </a:stretch>
                  </pic:blipFill>
                  <pic:spPr bwMode="auto">
                    <a:xfrm>
                      <a:off x="0" y="0"/>
                      <a:ext cx="419100" cy="261620"/>
                    </a:xfrm>
                    <a:prstGeom prst="rect">
                      <a:avLst/>
                    </a:prstGeom>
                    <a:noFill/>
                    <a:ln>
                      <a:noFill/>
                    </a:ln>
                  </pic:spPr>
                </pic:pic>
              </a:graphicData>
            </a:graphic>
          </wp:inline>
        </w:drawing>
      </w:r>
    </w:p>
    <w:p w:rsidR="00212513" w:rsidRDefault="00212513">
      <w:pPr>
        <w:pStyle w:val="ConsPlusNormal"/>
        <w:jc w:val="center"/>
      </w:pPr>
    </w:p>
    <w:p w:rsidR="00212513" w:rsidRDefault="00212513">
      <w:pPr>
        <w:pStyle w:val="ConsPlusNormal"/>
        <w:jc w:val="center"/>
      </w:pPr>
    </w:p>
    <w:p w:rsidR="00212513" w:rsidRDefault="00212513">
      <w:pPr>
        <w:pStyle w:val="ConsPlusNormal"/>
        <w:jc w:val="center"/>
      </w:pPr>
    </w:p>
    <w:p w:rsidR="00212513" w:rsidRDefault="00212513">
      <w:pPr>
        <w:pStyle w:val="ConsPlusNormal"/>
        <w:jc w:val="center"/>
      </w:pPr>
      <w:r>
        <w:rPr>
          <w:noProof/>
          <w:position w:val="-84"/>
        </w:rPr>
        <w:drawing>
          <wp:inline distT="0" distB="0" distL="0" distR="0">
            <wp:extent cx="1622425" cy="1207135"/>
            <wp:effectExtent l="0" t="0" r="0" b="0"/>
            <wp:docPr id="3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0" cstate="print">
                      <a:extLst>
                        <a:ext uri="{28A0092B-C50C-407E-A947-70E740481C1C}">
                          <a14:useLocalDpi xmlns:a14="http://schemas.microsoft.com/office/drawing/2010/main" val="0"/>
                        </a:ext>
                      </a:extLst>
                    </a:blip>
                    <a:srcRect/>
                    <a:stretch>
                      <a:fillRect/>
                    </a:stretch>
                  </pic:blipFill>
                  <pic:spPr bwMode="auto">
                    <a:xfrm>
                      <a:off x="0" y="0"/>
                      <a:ext cx="1622425" cy="1207135"/>
                    </a:xfrm>
                    <a:prstGeom prst="rect">
                      <a:avLst/>
                    </a:prstGeom>
                    <a:noFill/>
                    <a:ln>
                      <a:noFill/>
                    </a:ln>
                  </pic:spPr>
                </pic:pic>
              </a:graphicData>
            </a:graphic>
          </wp:inline>
        </w:drawing>
      </w:r>
    </w:p>
    <w:p w:rsidR="00212513" w:rsidRDefault="00212513">
      <w:pPr>
        <w:pStyle w:val="ConsPlusNormal"/>
        <w:jc w:val="center"/>
      </w:pPr>
    </w:p>
    <w:p w:rsidR="00212513" w:rsidRDefault="00212513">
      <w:pPr>
        <w:pStyle w:val="ConsPlusNormal"/>
        <w:jc w:val="center"/>
      </w:pPr>
      <w:bookmarkStart w:id="611" w:name="P17810"/>
      <w:bookmarkEnd w:id="611"/>
      <w:r>
        <w:rPr>
          <w:b/>
          <w:i/>
        </w:rPr>
        <w:t>Рисунок 3.4</w:t>
      </w:r>
      <w:r>
        <w:t xml:space="preserve"> </w:t>
      </w:r>
      <w:r>
        <w:rPr>
          <w:b/>
        </w:rPr>
        <w:t>- Условный свайный фундамент с ростверком,</w:t>
      </w:r>
    </w:p>
    <w:p w:rsidR="00212513" w:rsidRDefault="00212513">
      <w:pPr>
        <w:pStyle w:val="ConsPlusNormal"/>
        <w:jc w:val="center"/>
      </w:pPr>
      <w:r>
        <w:rPr>
          <w:b/>
        </w:rPr>
        <w:t>расположенным над грунтом, при угле наклона свай более</w:t>
      </w:r>
      <w:r>
        <w:t> </w:t>
      </w:r>
      <w:r>
        <w:rPr>
          <w:noProof/>
          <w:position w:val="-9"/>
        </w:rPr>
        <w:drawing>
          <wp:inline distT="0" distB="0" distL="0" distR="0">
            <wp:extent cx="419100" cy="261620"/>
            <wp:effectExtent l="0" t="0" r="0" b="0"/>
            <wp:docPr id="3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1" cstate="print">
                      <a:extLst>
                        <a:ext uri="{28A0092B-C50C-407E-A947-70E740481C1C}">
                          <a14:useLocalDpi xmlns:a14="http://schemas.microsoft.com/office/drawing/2010/main" val="0"/>
                        </a:ext>
                      </a:extLst>
                    </a:blip>
                    <a:srcRect/>
                    <a:stretch>
                      <a:fillRect/>
                    </a:stretch>
                  </pic:blipFill>
                  <pic:spPr bwMode="auto">
                    <a:xfrm>
                      <a:off x="0" y="0"/>
                      <a:ext cx="419100" cy="261620"/>
                    </a:xfrm>
                    <a:prstGeom prst="rect">
                      <a:avLst/>
                    </a:prstGeom>
                    <a:noFill/>
                    <a:ln>
                      <a:noFill/>
                    </a:ln>
                  </pic:spPr>
                </pic:pic>
              </a:graphicData>
            </a:graphic>
          </wp:inline>
        </w:drawing>
      </w:r>
    </w:p>
    <w:p w:rsidR="00212513" w:rsidRDefault="00212513">
      <w:pPr>
        <w:pStyle w:val="ConsPlusNormal"/>
        <w:jc w:val="center"/>
      </w:pPr>
    </w:p>
    <w:p w:rsidR="00212513" w:rsidRDefault="00212513">
      <w:pPr>
        <w:pStyle w:val="ConsPlusNormal"/>
        <w:jc w:val="center"/>
      </w:pPr>
    </w:p>
    <w:p w:rsidR="00212513" w:rsidRDefault="00212513">
      <w:pPr>
        <w:pStyle w:val="ConsPlusNormal"/>
        <w:jc w:val="center"/>
      </w:pPr>
    </w:p>
    <w:p w:rsidR="00212513" w:rsidRDefault="00212513">
      <w:pPr>
        <w:pStyle w:val="ConsPlusNormal"/>
        <w:jc w:val="center"/>
      </w:pPr>
      <w:r>
        <w:rPr>
          <w:noProof/>
          <w:position w:val="-161"/>
        </w:rPr>
        <w:drawing>
          <wp:inline distT="0" distB="0" distL="0" distR="0">
            <wp:extent cx="3027045" cy="2188845"/>
            <wp:effectExtent l="0" t="0" r="0" b="0"/>
            <wp:docPr id="3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2" cstate="print">
                      <a:extLst>
                        <a:ext uri="{28A0092B-C50C-407E-A947-70E740481C1C}">
                          <a14:useLocalDpi xmlns:a14="http://schemas.microsoft.com/office/drawing/2010/main" val="0"/>
                        </a:ext>
                      </a:extLst>
                    </a:blip>
                    <a:srcRect/>
                    <a:stretch>
                      <a:fillRect/>
                    </a:stretch>
                  </pic:blipFill>
                  <pic:spPr bwMode="auto">
                    <a:xfrm>
                      <a:off x="0" y="0"/>
                      <a:ext cx="3027045" cy="2188845"/>
                    </a:xfrm>
                    <a:prstGeom prst="rect">
                      <a:avLst/>
                    </a:prstGeom>
                    <a:noFill/>
                    <a:ln>
                      <a:noFill/>
                    </a:ln>
                  </pic:spPr>
                </pic:pic>
              </a:graphicData>
            </a:graphic>
          </wp:inline>
        </w:drawing>
      </w:r>
    </w:p>
    <w:p w:rsidR="00212513" w:rsidRDefault="00212513">
      <w:pPr>
        <w:pStyle w:val="ConsPlusNormal"/>
        <w:jc w:val="center"/>
      </w:pPr>
    </w:p>
    <w:p w:rsidR="00212513" w:rsidRDefault="00212513">
      <w:pPr>
        <w:pStyle w:val="ConsPlusNormal"/>
        <w:jc w:val="center"/>
      </w:pPr>
      <w:r>
        <w:t>а - без уступов; б - с уступами</w:t>
      </w:r>
    </w:p>
    <w:p w:rsidR="00212513" w:rsidRDefault="00212513">
      <w:pPr>
        <w:pStyle w:val="ConsPlusNormal"/>
        <w:jc w:val="center"/>
      </w:pPr>
    </w:p>
    <w:p w:rsidR="00212513" w:rsidRDefault="00212513">
      <w:pPr>
        <w:pStyle w:val="ConsPlusNormal"/>
        <w:jc w:val="center"/>
      </w:pPr>
      <w:bookmarkStart w:id="612" w:name="P17819"/>
      <w:bookmarkEnd w:id="612"/>
      <w:r>
        <w:rPr>
          <w:b/>
          <w:i/>
        </w:rPr>
        <w:t>Рисунок 3.5</w:t>
      </w:r>
      <w:r>
        <w:t xml:space="preserve"> </w:t>
      </w:r>
      <w:r>
        <w:rPr>
          <w:b/>
        </w:rPr>
        <w:t>- Условный фундамент из опускного колодца</w:t>
      </w:r>
    </w:p>
    <w:p w:rsidR="00212513" w:rsidRDefault="00212513">
      <w:pPr>
        <w:pStyle w:val="ConsPlusNormal"/>
        <w:ind w:firstLine="540"/>
        <w:jc w:val="both"/>
      </w:pPr>
    </w:p>
    <w:p w:rsidR="00212513" w:rsidRDefault="00212513">
      <w:pPr>
        <w:pStyle w:val="ConsPlusNormal"/>
        <w:ind w:firstLine="540"/>
        <w:jc w:val="both"/>
      </w:pPr>
      <w:r>
        <w:t xml:space="preserve">Приведенное на </w:t>
      </w:r>
      <w:hyperlink w:anchor="P17789">
        <w:r>
          <w:rPr>
            <w:color w:val="0000FF"/>
          </w:rPr>
          <w:t>рисунках 3.1</w:t>
        </w:r>
      </w:hyperlink>
      <w:r>
        <w:t xml:space="preserve"> - 3.5 среднее значение расчетных углов трения грунтов </w:t>
      </w:r>
      <w:r>
        <w:rPr>
          <w:noProof/>
          <w:position w:val="-9"/>
        </w:rPr>
        <w:drawing>
          <wp:inline distT="0" distB="0" distL="0" distR="0">
            <wp:extent cx="230505" cy="261620"/>
            <wp:effectExtent l="0" t="0" r="0" b="0"/>
            <wp:docPr id="3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3" cstate="print">
                      <a:extLst>
                        <a:ext uri="{28A0092B-C50C-407E-A947-70E740481C1C}">
                          <a14:useLocalDpi xmlns:a14="http://schemas.microsoft.com/office/drawing/2010/main" val="0"/>
                        </a:ext>
                      </a:extLst>
                    </a:blip>
                    <a:srcRect/>
                    <a:stretch>
                      <a:fillRect/>
                    </a:stretch>
                  </pic:blipFill>
                  <pic:spPr bwMode="auto">
                    <a:xfrm>
                      <a:off x="0" y="0"/>
                      <a:ext cx="230505" cy="261620"/>
                    </a:xfrm>
                    <a:prstGeom prst="rect">
                      <a:avLst/>
                    </a:prstGeom>
                    <a:noFill/>
                    <a:ln>
                      <a:noFill/>
                    </a:ln>
                  </pic:spPr>
                </pic:pic>
              </a:graphicData>
            </a:graphic>
          </wp:inline>
        </w:drawing>
      </w:r>
      <w:r>
        <w:t>, прорезанных сваями, следует определять по формуле</w:t>
      </w:r>
    </w:p>
    <w:p w:rsidR="00212513" w:rsidRDefault="00212513">
      <w:pPr>
        <w:pStyle w:val="ConsPlusNormal"/>
        <w:ind w:firstLine="540"/>
        <w:jc w:val="both"/>
      </w:pPr>
    </w:p>
    <w:p w:rsidR="00212513" w:rsidRDefault="00212513">
      <w:pPr>
        <w:pStyle w:val="ConsPlusNormal"/>
        <w:jc w:val="center"/>
      </w:pPr>
      <w:r>
        <w:rPr>
          <w:noProof/>
          <w:position w:val="-24"/>
        </w:rPr>
        <w:drawing>
          <wp:inline distT="0" distB="0" distL="0" distR="0">
            <wp:extent cx="774700" cy="450215"/>
            <wp:effectExtent l="0" t="0" r="0" b="0"/>
            <wp:docPr id="3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4" cstate="print">
                      <a:extLst>
                        <a:ext uri="{28A0092B-C50C-407E-A947-70E740481C1C}">
                          <a14:useLocalDpi xmlns:a14="http://schemas.microsoft.com/office/drawing/2010/main" val="0"/>
                        </a:ext>
                      </a:extLst>
                    </a:blip>
                    <a:srcRect/>
                    <a:stretch>
                      <a:fillRect/>
                    </a:stretch>
                  </pic:blipFill>
                  <pic:spPr bwMode="auto">
                    <a:xfrm>
                      <a:off x="0" y="0"/>
                      <a:ext cx="774700" cy="450215"/>
                    </a:xfrm>
                    <a:prstGeom prst="rect">
                      <a:avLst/>
                    </a:prstGeom>
                    <a:noFill/>
                    <a:ln>
                      <a:noFill/>
                    </a:ln>
                  </pic:spPr>
                </pic:pic>
              </a:graphicData>
            </a:graphic>
          </wp:inline>
        </w:drawing>
      </w:r>
      <w:r>
        <w:t>, (3.1)</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9"/>
        </w:rPr>
        <w:drawing>
          <wp:inline distT="0" distB="0" distL="0" distR="0">
            <wp:extent cx="230505" cy="261620"/>
            <wp:effectExtent l="0" t="0" r="0" b="0"/>
            <wp:docPr id="3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3" cstate="print">
                      <a:extLst>
                        <a:ext uri="{28A0092B-C50C-407E-A947-70E740481C1C}">
                          <a14:useLocalDpi xmlns:a14="http://schemas.microsoft.com/office/drawing/2010/main" val="0"/>
                        </a:ext>
                      </a:extLst>
                    </a:blip>
                    <a:srcRect/>
                    <a:stretch>
                      <a:fillRect/>
                    </a:stretch>
                  </pic:blipFill>
                  <pic:spPr bwMode="auto">
                    <a:xfrm>
                      <a:off x="0" y="0"/>
                      <a:ext cx="230505" cy="261620"/>
                    </a:xfrm>
                    <a:prstGeom prst="rect">
                      <a:avLst/>
                    </a:prstGeom>
                    <a:noFill/>
                    <a:ln>
                      <a:noFill/>
                    </a:ln>
                  </pic:spPr>
                </pic:pic>
              </a:graphicData>
            </a:graphic>
          </wp:inline>
        </w:drawing>
      </w:r>
      <w:r>
        <w:t xml:space="preserve"> - расчетный угол внутреннего трения </w:t>
      </w:r>
      <w:r>
        <w:rPr>
          <w:i/>
        </w:rPr>
        <w:t>i</w:t>
      </w:r>
      <w:r>
        <w:t>-го слоя грунта, расположенного в пределах глубины погружения свай в грунт;</w:t>
      </w:r>
    </w:p>
    <w:p w:rsidR="00212513" w:rsidRDefault="00212513">
      <w:pPr>
        <w:pStyle w:val="ConsPlusNormal"/>
        <w:spacing w:before="220"/>
        <w:ind w:firstLine="540"/>
        <w:jc w:val="both"/>
      </w:pPr>
      <w:r>
        <w:rPr>
          <w:noProof/>
          <w:position w:val="-9"/>
        </w:rPr>
        <w:drawing>
          <wp:inline distT="0" distB="0" distL="0" distR="0">
            <wp:extent cx="146050" cy="261620"/>
            <wp:effectExtent l="0" t="0" r="0" b="0"/>
            <wp:docPr id="3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5" cstate="print">
                      <a:extLst>
                        <a:ext uri="{28A0092B-C50C-407E-A947-70E740481C1C}">
                          <a14:useLocalDpi xmlns:a14="http://schemas.microsoft.com/office/drawing/2010/main" val="0"/>
                        </a:ext>
                      </a:extLst>
                    </a:blip>
                    <a:srcRect/>
                    <a:stretch>
                      <a:fillRect/>
                    </a:stretch>
                  </pic:blipFill>
                  <pic:spPr bwMode="auto">
                    <a:xfrm>
                      <a:off x="0" y="0"/>
                      <a:ext cx="146050" cy="261620"/>
                    </a:xfrm>
                    <a:prstGeom prst="rect">
                      <a:avLst/>
                    </a:prstGeom>
                    <a:noFill/>
                    <a:ln>
                      <a:noFill/>
                    </a:ln>
                  </pic:spPr>
                </pic:pic>
              </a:graphicData>
            </a:graphic>
          </wp:inline>
        </w:drawing>
      </w:r>
      <w:r>
        <w:t xml:space="preserve"> - толщина этого слоя, м;</w:t>
      </w:r>
    </w:p>
    <w:p w:rsidR="00212513" w:rsidRDefault="00212513">
      <w:pPr>
        <w:pStyle w:val="ConsPlusNormal"/>
        <w:spacing w:before="220"/>
        <w:ind w:firstLine="540"/>
        <w:jc w:val="both"/>
      </w:pPr>
      <w:r>
        <w:rPr>
          <w:i/>
        </w:rPr>
        <w:t>d</w:t>
      </w:r>
      <w:r>
        <w:t xml:space="preserve"> - глубина погружения свай в грунт от подошвы ростверка или расчетной поверхности грунта, м, положение которой следует принимать согласно </w:t>
      </w:r>
      <w:hyperlink w:anchor="P11037">
        <w:r>
          <w:rPr>
            <w:color w:val="0000FF"/>
          </w:rPr>
          <w:t>11.10</w:t>
        </w:r>
      </w:hyperlink>
      <w:r>
        <w:t>.</w:t>
      </w:r>
    </w:p>
    <w:p w:rsidR="00212513" w:rsidRDefault="00212513">
      <w:pPr>
        <w:pStyle w:val="ConsPlusNormal"/>
        <w:spacing w:before="220"/>
        <w:ind w:firstLine="540"/>
        <w:jc w:val="both"/>
      </w:pPr>
      <w:r>
        <w:t xml:space="preserve">Несущую способность основания условного фундамента проверяют согласно </w:t>
      </w:r>
      <w:hyperlink w:anchor="P11028">
        <w:r>
          <w:rPr>
            <w:color w:val="0000FF"/>
          </w:rPr>
          <w:t>11.8</w:t>
        </w:r>
      </w:hyperlink>
      <w:r>
        <w:t xml:space="preserve">, при этом подлежащие проверке среднее </w:t>
      </w:r>
      <w:r>
        <w:rPr>
          <w:i/>
        </w:rPr>
        <w:t>p</w:t>
      </w:r>
      <w:r>
        <w:t xml:space="preserve">, кПа, и максимальное </w:t>
      </w:r>
      <w:r>
        <w:rPr>
          <w:noProof/>
          <w:position w:val="-9"/>
        </w:rPr>
        <w:drawing>
          <wp:inline distT="0" distB="0" distL="0" distR="0">
            <wp:extent cx="335280" cy="261620"/>
            <wp:effectExtent l="0" t="0" r="0" b="0"/>
            <wp:docPr id="3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6" cstate="print">
                      <a:extLst>
                        <a:ext uri="{28A0092B-C50C-407E-A947-70E740481C1C}">
                          <a14:useLocalDpi xmlns:a14="http://schemas.microsoft.com/office/drawing/2010/main" val="0"/>
                        </a:ext>
                      </a:extLst>
                    </a:blip>
                    <a:srcRect/>
                    <a:stretch>
                      <a:fillRect/>
                    </a:stretch>
                  </pic:blipFill>
                  <pic:spPr bwMode="auto">
                    <a:xfrm>
                      <a:off x="0" y="0"/>
                      <a:ext cx="335280" cy="261620"/>
                    </a:xfrm>
                    <a:prstGeom prst="rect">
                      <a:avLst/>
                    </a:prstGeom>
                    <a:noFill/>
                    <a:ln>
                      <a:noFill/>
                    </a:ln>
                  </pic:spPr>
                </pic:pic>
              </a:graphicData>
            </a:graphic>
          </wp:inline>
        </w:drawing>
      </w:r>
      <w:r>
        <w:t>, кПа, давления на грунт в сечении 3-4 по подошве условного фундамента (</w:t>
      </w:r>
      <w:hyperlink w:anchor="P17789">
        <w:r>
          <w:rPr>
            <w:color w:val="0000FF"/>
          </w:rPr>
          <w:t>рисунки 3.1</w:t>
        </w:r>
      </w:hyperlink>
      <w:r>
        <w:t xml:space="preserve"> - </w:t>
      </w:r>
      <w:hyperlink w:anchor="P17819">
        <w:r>
          <w:rPr>
            <w:color w:val="0000FF"/>
          </w:rPr>
          <w:t>3.5</w:t>
        </w:r>
      </w:hyperlink>
      <w:r>
        <w:t>) следует определять по формулам:</w:t>
      </w:r>
    </w:p>
    <w:p w:rsidR="00212513" w:rsidRDefault="00212513">
      <w:pPr>
        <w:pStyle w:val="ConsPlusNormal"/>
        <w:ind w:firstLine="540"/>
        <w:jc w:val="both"/>
      </w:pPr>
    </w:p>
    <w:p w:rsidR="00212513" w:rsidRDefault="00212513">
      <w:pPr>
        <w:pStyle w:val="ConsPlusNormal"/>
        <w:jc w:val="center"/>
      </w:pPr>
      <w:r>
        <w:rPr>
          <w:noProof/>
          <w:position w:val="-27"/>
        </w:rPr>
        <w:drawing>
          <wp:inline distT="0" distB="0" distL="0" distR="0">
            <wp:extent cx="628650" cy="484505"/>
            <wp:effectExtent l="0" t="0" r="0" b="0"/>
            <wp:docPr id="3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7" cstate="print">
                      <a:extLst>
                        <a:ext uri="{28A0092B-C50C-407E-A947-70E740481C1C}">
                          <a14:useLocalDpi xmlns:a14="http://schemas.microsoft.com/office/drawing/2010/main" val="0"/>
                        </a:ext>
                      </a:extLst>
                    </a:blip>
                    <a:srcRect/>
                    <a:stretch>
                      <a:fillRect/>
                    </a:stretch>
                  </pic:blipFill>
                  <pic:spPr bwMode="auto">
                    <a:xfrm>
                      <a:off x="0" y="0"/>
                      <a:ext cx="628650" cy="484505"/>
                    </a:xfrm>
                    <a:prstGeom prst="rect">
                      <a:avLst/>
                    </a:prstGeom>
                    <a:noFill/>
                    <a:ln>
                      <a:noFill/>
                    </a:ln>
                  </pic:spPr>
                </pic:pic>
              </a:graphicData>
            </a:graphic>
          </wp:inline>
        </w:drawing>
      </w:r>
      <w:r>
        <w:t>; (3.2)</w:t>
      </w:r>
    </w:p>
    <w:p w:rsidR="00212513" w:rsidRDefault="00212513">
      <w:pPr>
        <w:pStyle w:val="ConsPlusNormal"/>
        <w:ind w:firstLine="540"/>
        <w:jc w:val="both"/>
      </w:pPr>
    </w:p>
    <w:p w:rsidR="00212513" w:rsidRDefault="00212513">
      <w:pPr>
        <w:pStyle w:val="ConsPlusNormal"/>
        <w:jc w:val="center"/>
      </w:pPr>
      <w:r>
        <w:rPr>
          <w:noProof/>
          <w:position w:val="-47"/>
        </w:rPr>
        <w:drawing>
          <wp:inline distT="0" distB="0" distL="0" distR="0">
            <wp:extent cx="2165350" cy="740410"/>
            <wp:effectExtent l="0" t="0" r="0" b="0"/>
            <wp:docPr id="3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8" cstate="print">
                      <a:extLst>
                        <a:ext uri="{28A0092B-C50C-407E-A947-70E740481C1C}">
                          <a14:useLocalDpi xmlns:a14="http://schemas.microsoft.com/office/drawing/2010/main" val="0"/>
                        </a:ext>
                      </a:extLst>
                    </a:blip>
                    <a:srcRect/>
                    <a:stretch>
                      <a:fillRect/>
                    </a:stretch>
                  </pic:blipFill>
                  <pic:spPr bwMode="auto">
                    <a:xfrm>
                      <a:off x="0" y="0"/>
                      <a:ext cx="2165350" cy="740410"/>
                    </a:xfrm>
                    <a:prstGeom prst="rect">
                      <a:avLst/>
                    </a:prstGeom>
                    <a:noFill/>
                    <a:ln>
                      <a:noFill/>
                    </a:ln>
                  </pic:spPr>
                </pic:pic>
              </a:graphicData>
            </a:graphic>
          </wp:inline>
        </w:drawing>
      </w:r>
      <w:r>
        <w:t>, (3.3)</w:t>
      </w:r>
    </w:p>
    <w:p w:rsidR="00212513" w:rsidRDefault="00212513">
      <w:pPr>
        <w:pStyle w:val="ConsPlusNormal"/>
        <w:ind w:firstLine="540"/>
        <w:jc w:val="both"/>
      </w:pPr>
    </w:p>
    <w:p w:rsidR="00212513" w:rsidRDefault="00212513">
      <w:pPr>
        <w:pStyle w:val="ConsPlusNormal"/>
        <w:ind w:firstLine="540"/>
        <w:jc w:val="both"/>
      </w:pPr>
      <w:r>
        <w:t xml:space="preserve">где </w:t>
      </w:r>
      <w:r>
        <w:rPr>
          <w:noProof/>
          <w:position w:val="-9"/>
        </w:rPr>
        <w:drawing>
          <wp:inline distT="0" distB="0" distL="0" distR="0">
            <wp:extent cx="230505" cy="261620"/>
            <wp:effectExtent l="0" t="0" r="0" b="0"/>
            <wp:docPr id="3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9" cstate="print">
                      <a:extLst>
                        <a:ext uri="{28A0092B-C50C-407E-A947-70E740481C1C}">
                          <a14:useLocalDpi xmlns:a14="http://schemas.microsoft.com/office/drawing/2010/main" val="0"/>
                        </a:ext>
                      </a:extLst>
                    </a:blip>
                    <a:srcRect/>
                    <a:stretch>
                      <a:fillRect/>
                    </a:stretch>
                  </pic:blipFill>
                  <pic:spPr bwMode="auto">
                    <a:xfrm>
                      <a:off x="0" y="0"/>
                      <a:ext cx="230505" cy="261620"/>
                    </a:xfrm>
                    <a:prstGeom prst="rect">
                      <a:avLst/>
                    </a:prstGeom>
                    <a:noFill/>
                    <a:ln>
                      <a:noFill/>
                    </a:ln>
                  </pic:spPr>
                </pic:pic>
              </a:graphicData>
            </a:graphic>
          </wp:inline>
        </w:drawing>
      </w:r>
      <w:r>
        <w:t xml:space="preserve"> - нормальная составляющая давления условного фундамента на грунт основания, кН, определяемая с учетом веса грунтового массива 1-2-3-4 вместе с заключенными в нем ростверком и сваями или опускным колодцем;</w:t>
      </w:r>
    </w:p>
    <w:p w:rsidR="00212513" w:rsidRDefault="00212513">
      <w:pPr>
        <w:pStyle w:val="ConsPlusNormal"/>
        <w:spacing w:before="220"/>
        <w:ind w:firstLine="540"/>
        <w:jc w:val="both"/>
      </w:pPr>
      <w:r>
        <w:rPr>
          <w:noProof/>
          <w:position w:val="-9"/>
        </w:rPr>
        <w:drawing>
          <wp:inline distT="0" distB="0" distL="0" distR="0">
            <wp:extent cx="177165" cy="260985"/>
            <wp:effectExtent l="0" t="0" r="0" b="0"/>
            <wp:docPr id="3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0" cstate="print">
                      <a:extLst>
                        <a:ext uri="{28A0092B-C50C-407E-A947-70E740481C1C}">
                          <a14:useLocalDpi xmlns:a14="http://schemas.microsoft.com/office/drawing/2010/main" val="0"/>
                        </a:ext>
                      </a:extLst>
                    </a:blip>
                    <a:srcRect/>
                    <a:stretch>
                      <a:fillRect/>
                    </a:stretch>
                  </pic:blipFill>
                  <pic:spPr bwMode="auto">
                    <a:xfrm>
                      <a:off x="0" y="0"/>
                      <a:ext cx="177165" cy="260985"/>
                    </a:xfrm>
                    <a:prstGeom prst="rect">
                      <a:avLst/>
                    </a:prstGeom>
                    <a:noFill/>
                    <a:ln>
                      <a:noFill/>
                    </a:ln>
                  </pic:spPr>
                </pic:pic>
              </a:graphicData>
            </a:graphic>
          </wp:inline>
        </w:drawing>
      </w:r>
      <w:r>
        <w:t xml:space="preserve">, </w:t>
      </w:r>
      <w:r>
        <w:rPr>
          <w:noProof/>
          <w:position w:val="-9"/>
        </w:rPr>
        <w:drawing>
          <wp:inline distT="0" distB="0" distL="0" distR="0">
            <wp:extent cx="273685" cy="261620"/>
            <wp:effectExtent l="0" t="0" r="0" b="0"/>
            <wp:docPr id="3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1" cstate="print">
                      <a:extLst>
                        <a:ext uri="{28A0092B-C50C-407E-A947-70E740481C1C}">
                          <a14:useLocalDpi xmlns:a14="http://schemas.microsoft.com/office/drawing/2010/main" val="0"/>
                        </a:ext>
                      </a:extLst>
                    </a:blip>
                    <a:srcRect/>
                    <a:stretch>
                      <a:fillRect/>
                    </a:stretch>
                  </pic:blipFill>
                  <pic:spPr bwMode="auto">
                    <a:xfrm>
                      <a:off x="0" y="0"/>
                      <a:ext cx="273685" cy="261620"/>
                    </a:xfrm>
                    <a:prstGeom prst="rect">
                      <a:avLst/>
                    </a:prstGeom>
                    <a:noFill/>
                    <a:ln>
                      <a:noFill/>
                    </a:ln>
                  </pic:spPr>
                </pic:pic>
              </a:graphicData>
            </a:graphic>
          </wp:inline>
        </w:drawing>
      </w:r>
      <w:r>
        <w:t xml:space="preserve"> - соответственно горизонтальная составляющая внешней нагрузки, кН, и ее момент </w:t>
      </w:r>
      <w:r>
        <w:lastRenderedPageBreak/>
        <w:t xml:space="preserve">относительно главной оси горизонтального сечения условного фундамента в уровне расчетной поверхности грунта, кН·м, принимаемой по указаниям </w:t>
      </w:r>
      <w:hyperlink w:anchor="P11037">
        <w:r>
          <w:rPr>
            <w:color w:val="0000FF"/>
          </w:rPr>
          <w:t>11.10</w:t>
        </w:r>
      </w:hyperlink>
      <w:r>
        <w:t>;</w:t>
      </w:r>
    </w:p>
    <w:p w:rsidR="00212513" w:rsidRDefault="00212513">
      <w:pPr>
        <w:pStyle w:val="ConsPlusNormal"/>
        <w:spacing w:before="220"/>
        <w:ind w:firstLine="540"/>
        <w:jc w:val="both"/>
      </w:pPr>
      <w:r>
        <w:rPr>
          <w:noProof/>
          <w:position w:val="-9"/>
        </w:rPr>
        <w:drawing>
          <wp:inline distT="0" distB="0" distL="0" distR="0">
            <wp:extent cx="177800" cy="261620"/>
            <wp:effectExtent l="0" t="0" r="0" b="0"/>
            <wp:docPr id="3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2"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 глубина заложения условного фундамента по отношению к расчетной поверхности грунта, м (</w:t>
      </w:r>
      <w:hyperlink w:anchor="P17789">
        <w:r>
          <w:rPr>
            <w:color w:val="0000FF"/>
          </w:rPr>
          <w:t>рисунки 3.1</w:t>
        </w:r>
      </w:hyperlink>
      <w:r>
        <w:t xml:space="preserve"> - </w:t>
      </w:r>
      <w:hyperlink w:anchor="P17819">
        <w:r>
          <w:rPr>
            <w:color w:val="0000FF"/>
          </w:rPr>
          <w:t>3.5</w:t>
        </w:r>
      </w:hyperlink>
      <w:r>
        <w:t>);</w:t>
      </w:r>
    </w:p>
    <w:p w:rsidR="00212513" w:rsidRDefault="00212513">
      <w:pPr>
        <w:pStyle w:val="ConsPlusNormal"/>
        <w:spacing w:before="220"/>
        <w:ind w:firstLine="540"/>
        <w:jc w:val="both"/>
      </w:pPr>
      <w:r>
        <w:rPr>
          <w:noProof/>
          <w:position w:val="-9"/>
        </w:rPr>
        <w:drawing>
          <wp:inline distT="0" distB="0" distL="0" distR="0">
            <wp:extent cx="177800" cy="261620"/>
            <wp:effectExtent l="0" t="0" r="0" b="0"/>
            <wp:docPr id="3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3"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w:t>
      </w:r>
      <w:r>
        <w:rPr>
          <w:noProof/>
          <w:position w:val="-9"/>
        </w:rPr>
        <w:drawing>
          <wp:inline distT="0" distB="0" distL="0" distR="0">
            <wp:extent cx="167640" cy="261620"/>
            <wp:effectExtent l="0" t="0" r="0" b="0"/>
            <wp:docPr id="3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4"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 размеры в плане условного фундамента в направлении, параллельном плоскости действия нагрузки и перпендикулярном ей, м;</w:t>
      </w:r>
    </w:p>
    <w:p w:rsidR="00212513" w:rsidRDefault="00212513">
      <w:pPr>
        <w:pStyle w:val="ConsPlusNormal"/>
        <w:spacing w:before="220"/>
        <w:ind w:firstLine="540"/>
        <w:jc w:val="both"/>
      </w:pPr>
      <w:r>
        <w:rPr>
          <w:i/>
        </w:rPr>
        <w:t>k</w:t>
      </w:r>
      <w:r>
        <w:t xml:space="preserve"> - коэффициент пропорциональности, определяющий нарастание с глубиной коэффициента постели грунта, расположенного выше подошвы фундамента, и принимаемый по </w:t>
      </w:r>
      <w:hyperlink w:anchor="P17843">
        <w:r>
          <w:rPr>
            <w:color w:val="0000FF"/>
          </w:rPr>
          <w:t>таблице 3.1</w:t>
        </w:r>
      </w:hyperlink>
      <w:r>
        <w:t>;</w:t>
      </w:r>
    </w:p>
    <w:p w:rsidR="00212513" w:rsidRDefault="00212513">
      <w:pPr>
        <w:pStyle w:val="ConsPlusNormal"/>
        <w:spacing w:before="220"/>
        <w:ind w:firstLine="540"/>
        <w:jc w:val="both"/>
      </w:pPr>
      <w:r>
        <w:rPr>
          <w:noProof/>
          <w:position w:val="-9"/>
        </w:rPr>
        <w:drawing>
          <wp:inline distT="0" distB="0" distL="0" distR="0">
            <wp:extent cx="167640" cy="261620"/>
            <wp:effectExtent l="0" t="0" r="0" b="0"/>
            <wp:docPr id="3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5"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 коэффициент постели грунта в уровне подошвы условного фундамента, кН/м</w:t>
      </w:r>
      <w:r>
        <w:rPr>
          <w:vertAlign w:val="superscript"/>
        </w:rPr>
        <w:t>3</w:t>
      </w:r>
      <w:r>
        <w:t>, определяемый по формулам:</w:t>
      </w:r>
    </w:p>
    <w:p w:rsidR="00212513" w:rsidRDefault="00212513">
      <w:pPr>
        <w:pStyle w:val="ConsPlusNormal"/>
        <w:spacing w:before="220"/>
        <w:ind w:firstLine="540"/>
        <w:jc w:val="both"/>
      </w:pPr>
      <w:r>
        <w:t xml:space="preserve">при </w:t>
      </w:r>
      <w:r>
        <w:rPr>
          <w:noProof/>
          <w:position w:val="-9"/>
        </w:rPr>
        <w:drawing>
          <wp:inline distT="0" distB="0" distL="0" distR="0">
            <wp:extent cx="670560" cy="261620"/>
            <wp:effectExtent l="0" t="0" r="0" b="0"/>
            <wp:docPr id="3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6" cstate="print">
                      <a:extLst>
                        <a:ext uri="{28A0092B-C50C-407E-A947-70E740481C1C}">
                          <a14:useLocalDpi xmlns:a14="http://schemas.microsoft.com/office/drawing/2010/main" val="0"/>
                        </a:ext>
                      </a:extLst>
                    </a:blip>
                    <a:srcRect/>
                    <a:stretch>
                      <a:fillRect/>
                    </a:stretch>
                  </pic:blipFill>
                  <pic:spPr bwMode="auto">
                    <a:xfrm>
                      <a:off x="0" y="0"/>
                      <a:ext cx="670560" cy="261620"/>
                    </a:xfrm>
                    <a:prstGeom prst="rect">
                      <a:avLst/>
                    </a:prstGeom>
                    <a:noFill/>
                    <a:ln>
                      <a:noFill/>
                    </a:ln>
                  </pic:spPr>
                </pic:pic>
              </a:graphicData>
            </a:graphic>
          </wp:inline>
        </w:drawing>
      </w:r>
      <w:r>
        <w:t xml:space="preserve"> </w:t>
      </w:r>
      <w:r>
        <w:rPr>
          <w:noProof/>
          <w:position w:val="-9"/>
        </w:rPr>
        <w:drawing>
          <wp:inline distT="0" distB="0" distL="0" distR="0">
            <wp:extent cx="593725" cy="261620"/>
            <wp:effectExtent l="0" t="0" r="0" b="0"/>
            <wp:docPr id="3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7" cstate="print">
                      <a:extLst>
                        <a:ext uri="{28A0092B-C50C-407E-A947-70E740481C1C}">
                          <a14:useLocalDpi xmlns:a14="http://schemas.microsoft.com/office/drawing/2010/main" val="0"/>
                        </a:ext>
                      </a:extLst>
                    </a:blip>
                    <a:srcRect/>
                    <a:stretch>
                      <a:fillRect/>
                    </a:stretch>
                  </pic:blipFill>
                  <pic:spPr bwMode="auto">
                    <a:xfrm>
                      <a:off x="0" y="0"/>
                      <a:ext cx="593725" cy="261620"/>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при </w:t>
      </w:r>
      <w:r>
        <w:rPr>
          <w:noProof/>
          <w:position w:val="-9"/>
        </w:rPr>
        <w:drawing>
          <wp:inline distT="0" distB="0" distL="0" distR="0">
            <wp:extent cx="670560" cy="261620"/>
            <wp:effectExtent l="0" t="0" r="0" b="0"/>
            <wp:docPr id="3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8" cstate="print">
                      <a:extLst>
                        <a:ext uri="{28A0092B-C50C-407E-A947-70E740481C1C}">
                          <a14:useLocalDpi xmlns:a14="http://schemas.microsoft.com/office/drawing/2010/main" val="0"/>
                        </a:ext>
                      </a:extLst>
                    </a:blip>
                    <a:srcRect/>
                    <a:stretch>
                      <a:fillRect/>
                    </a:stretch>
                  </pic:blipFill>
                  <pic:spPr bwMode="auto">
                    <a:xfrm>
                      <a:off x="0" y="0"/>
                      <a:ext cx="670560" cy="261620"/>
                    </a:xfrm>
                    <a:prstGeom prst="rect">
                      <a:avLst/>
                    </a:prstGeom>
                    <a:noFill/>
                    <a:ln>
                      <a:noFill/>
                    </a:ln>
                  </pic:spPr>
                </pic:pic>
              </a:graphicData>
            </a:graphic>
          </wp:inline>
        </w:drawing>
      </w:r>
      <w:r>
        <w:t xml:space="preserve"> </w:t>
      </w:r>
      <w:r>
        <w:rPr>
          <w:noProof/>
          <w:position w:val="-9"/>
        </w:rPr>
        <w:drawing>
          <wp:inline distT="0" distB="0" distL="0" distR="0">
            <wp:extent cx="564515" cy="261620"/>
            <wp:effectExtent l="0" t="0" r="0" b="0"/>
            <wp:docPr id="3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9" cstate="print">
                      <a:extLst>
                        <a:ext uri="{28A0092B-C50C-407E-A947-70E740481C1C}">
                          <a14:useLocalDpi xmlns:a14="http://schemas.microsoft.com/office/drawing/2010/main" val="0"/>
                        </a:ext>
                      </a:extLst>
                    </a:blip>
                    <a:srcRect/>
                    <a:stretch>
                      <a:fillRect/>
                    </a:stretch>
                  </pic:blipFill>
                  <pic:spPr bwMode="auto">
                    <a:xfrm>
                      <a:off x="0" y="0"/>
                      <a:ext cx="564515" cy="261620"/>
                    </a:xfrm>
                    <a:prstGeom prst="rect">
                      <a:avLst/>
                    </a:prstGeom>
                    <a:noFill/>
                    <a:ln>
                      <a:noFill/>
                    </a:ln>
                  </pic:spPr>
                </pic:pic>
              </a:graphicData>
            </a:graphic>
          </wp:inline>
        </w:drawing>
      </w:r>
      <w:r>
        <w:t>.</w:t>
      </w:r>
    </w:p>
    <w:p w:rsidR="00212513" w:rsidRDefault="00212513">
      <w:pPr>
        <w:pStyle w:val="ConsPlusNormal"/>
        <w:ind w:firstLine="540"/>
        <w:jc w:val="both"/>
      </w:pPr>
    </w:p>
    <w:p w:rsidR="00212513" w:rsidRDefault="00212513">
      <w:pPr>
        <w:pStyle w:val="ConsPlusNormal"/>
        <w:jc w:val="right"/>
      </w:pPr>
      <w:bookmarkStart w:id="613" w:name="P17843"/>
      <w:bookmarkEnd w:id="613"/>
      <w:r>
        <w:t>Таблица 3.1</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33"/>
        <w:gridCol w:w="2438"/>
      </w:tblGrid>
      <w:tr w:rsidR="00212513">
        <w:tc>
          <w:tcPr>
            <w:tcW w:w="6633" w:type="dxa"/>
            <w:tcBorders>
              <w:top w:val="single" w:sz="4" w:space="0" w:color="auto"/>
              <w:bottom w:val="single" w:sz="4" w:space="0" w:color="auto"/>
            </w:tcBorders>
            <w:vAlign w:val="center"/>
          </w:tcPr>
          <w:p w:rsidR="00212513" w:rsidRDefault="00212513">
            <w:pPr>
              <w:pStyle w:val="ConsPlusNormal"/>
              <w:jc w:val="center"/>
            </w:pPr>
            <w:r>
              <w:t>Грунт</w:t>
            </w:r>
          </w:p>
        </w:tc>
        <w:tc>
          <w:tcPr>
            <w:tcW w:w="2438" w:type="dxa"/>
            <w:tcBorders>
              <w:top w:val="single" w:sz="4" w:space="0" w:color="auto"/>
              <w:bottom w:val="single" w:sz="4" w:space="0" w:color="auto"/>
            </w:tcBorders>
            <w:vAlign w:val="center"/>
          </w:tcPr>
          <w:p w:rsidR="00212513" w:rsidRDefault="00212513">
            <w:pPr>
              <w:pStyle w:val="ConsPlusNormal"/>
              <w:jc w:val="center"/>
            </w:pPr>
            <w:r>
              <w:t xml:space="preserve">Коэффициент </w:t>
            </w:r>
            <w:r>
              <w:rPr>
                <w:i/>
              </w:rPr>
              <w:t>k</w:t>
            </w:r>
            <w:r>
              <w:t>, кН/м</w:t>
            </w:r>
            <w:r>
              <w:rPr>
                <w:vertAlign w:val="superscript"/>
              </w:rPr>
              <w:t>4</w:t>
            </w:r>
          </w:p>
        </w:tc>
      </w:tr>
      <w:tr w:rsidR="00212513">
        <w:tblPrEx>
          <w:tblBorders>
            <w:insideH w:val="none" w:sz="0" w:space="0" w:color="auto"/>
          </w:tblBorders>
        </w:tblPrEx>
        <w:tc>
          <w:tcPr>
            <w:tcW w:w="6633" w:type="dxa"/>
            <w:tcBorders>
              <w:top w:val="single" w:sz="4" w:space="0" w:color="auto"/>
              <w:bottom w:val="nil"/>
            </w:tcBorders>
          </w:tcPr>
          <w:p w:rsidR="00212513" w:rsidRDefault="00212513">
            <w:pPr>
              <w:pStyle w:val="ConsPlusNormal"/>
            </w:pPr>
            <w:r>
              <w:t xml:space="preserve">Текучепластичные глины и суглинки (0,75 &lt; </w:t>
            </w:r>
            <w:r>
              <w:rPr>
                <w:i/>
              </w:rPr>
              <w:t>I</w:t>
            </w:r>
            <w:r>
              <w:rPr>
                <w:i/>
                <w:vertAlign w:val="subscript"/>
              </w:rPr>
              <w:t>L</w:t>
            </w:r>
            <w:r>
              <w:t xml:space="preserve"> &lt;= 1)</w:t>
            </w:r>
          </w:p>
        </w:tc>
        <w:tc>
          <w:tcPr>
            <w:tcW w:w="2438" w:type="dxa"/>
            <w:tcBorders>
              <w:top w:val="single" w:sz="4" w:space="0" w:color="auto"/>
              <w:bottom w:val="nil"/>
            </w:tcBorders>
          </w:tcPr>
          <w:p w:rsidR="00212513" w:rsidRDefault="00212513">
            <w:pPr>
              <w:pStyle w:val="ConsPlusNormal"/>
              <w:jc w:val="center"/>
            </w:pPr>
            <w:r>
              <w:t>490 - 1960</w:t>
            </w:r>
          </w:p>
        </w:tc>
      </w:tr>
      <w:tr w:rsidR="00212513">
        <w:tblPrEx>
          <w:tblBorders>
            <w:insideH w:val="none" w:sz="0" w:space="0" w:color="auto"/>
          </w:tblBorders>
        </w:tblPrEx>
        <w:tc>
          <w:tcPr>
            <w:tcW w:w="6633" w:type="dxa"/>
            <w:tcBorders>
              <w:top w:val="nil"/>
              <w:bottom w:val="nil"/>
            </w:tcBorders>
          </w:tcPr>
          <w:p w:rsidR="00212513" w:rsidRDefault="00212513">
            <w:pPr>
              <w:pStyle w:val="ConsPlusNormal"/>
            </w:pPr>
            <w:r>
              <w:t xml:space="preserve">Мягкопластичные глины и суглинки (0,5 &lt; </w:t>
            </w:r>
            <w:r>
              <w:rPr>
                <w:i/>
              </w:rPr>
              <w:t>I</w:t>
            </w:r>
            <w:r>
              <w:rPr>
                <w:i/>
                <w:vertAlign w:val="subscript"/>
              </w:rPr>
              <w:t>L</w:t>
            </w:r>
            <w:r>
              <w:t xml:space="preserve"> &lt;= 0,75); пластичные супеси (0 &lt;= </w:t>
            </w:r>
            <w:r>
              <w:rPr>
                <w:i/>
              </w:rPr>
              <w:t>I</w:t>
            </w:r>
            <w:r>
              <w:rPr>
                <w:i/>
                <w:vertAlign w:val="subscript"/>
              </w:rPr>
              <w:t>L</w:t>
            </w:r>
            <w:r>
              <w:t xml:space="preserve"> &lt;= 1); пылеватые пески</w:t>
            </w:r>
          </w:p>
          <w:p w:rsidR="00212513" w:rsidRDefault="00212513">
            <w:pPr>
              <w:pStyle w:val="ConsPlusNormal"/>
            </w:pPr>
            <w:r>
              <w:t xml:space="preserve">(0,6 &lt;= </w:t>
            </w:r>
            <w:r>
              <w:rPr>
                <w:i/>
              </w:rPr>
              <w:t>e</w:t>
            </w:r>
            <w:r>
              <w:t xml:space="preserve"> &lt;= 0,8)</w:t>
            </w:r>
          </w:p>
        </w:tc>
        <w:tc>
          <w:tcPr>
            <w:tcW w:w="2438" w:type="dxa"/>
            <w:tcBorders>
              <w:top w:val="nil"/>
              <w:bottom w:val="nil"/>
            </w:tcBorders>
          </w:tcPr>
          <w:p w:rsidR="00212513" w:rsidRDefault="00212513">
            <w:pPr>
              <w:pStyle w:val="ConsPlusNormal"/>
              <w:jc w:val="center"/>
            </w:pPr>
            <w:r>
              <w:t>1961 - 3920</w:t>
            </w:r>
          </w:p>
        </w:tc>
      </w:tr>
      <w:tr w:rsidR="00212513">
        <w:tblPrEx>
          <w:tblBorders>
            <w:insideH w:val="none" w:sz="0" w:space="0" w:color="auto"/>
          </w:tblBorders>
        </w:tblPrEx>
        <w:tc>
          <w:tcPr>
            <w:tcW w:w="6633" w:type="dxa"/>
            <w:tcBorders>
              <w:top w:val="nil"/>
              <w:bottom w:val="nil"/>
            </w:tcBorders>
          </w:tcPr>
          <w:p w:rsidR="00212513" w:rsidRDefault="00212513">
            <w:pPr>
              <w:pStyle w:val="ConsPlusNormal"/>
            </w:pPr>
            <w:r>
              <w:t>Тугопластичные и полутвердые глины и суглинки</w:t>
            </w:r>
          </w:p>
          <w:p w:rsidR="00212513" w:rsidRDefault="00212513">
            <w:pPr>
              <w:pStyle w:val="ConsPlusNormal"/>
            </w:pPr>
            <w:r>
              <w:t xml:space="preserve">(0 &lt;= </w:t>
            </w:r>
            <w:r>
              <w:rPr>
                <w:i/>
              </w:rPr>
              <w:t>I</w:t>
            </w:r>
            <w:r>
              <w:rPr>
                <w:i/>
                <w:vertAlign w:val="subscript"/>
              </w:rPr>
              <w:t>L</w:t>
            </w:r>
            <w:r>
              <w:t xml:space="preserve"> &lt;= 0,5); твердые супеси (</w:t>
            </w:r>
            <w:r>
              <w:rPr>
                <w:i/>
              </w:rPr>
              <w:t>I</w:t>
            </w:r>
            <w:r>
              <w:rPr>
                <w:i/>
                <w:vertAlign w:val="subscript"/>
              </w:rPr>
              <w:t>L</w:t>
            </w:r>
            <w:r>
              <w:t xml:space="preserve"> &lt; 0); пески мелкие</w:t>
            </w:r>
          </w:p>
          <w:p w:rsidR="00212513" w:rsidRDefault="00212513">
            <w:pPr>
              <w:pStyle w:val="ConsPlusNormal"/>
            </w:pPr>
            <w:r>
              <w:t xml:space="preserve">(0,6 &lt;= </w:t>
            </w:r>
            <w:r>
              <w:rPr>
                <w:i/>
              </w:rPr>
              <w:t>e</w:t>
            </w:r>
            <w:r>
              <w:t xml:space="preserve"> &lt;= 0,75) и средней крупности (0,55 &lt;= </w:t>
            </w:r>
            <w:r>
              <w:rPr>
                <w:i/>
              </w:rPr>
              <w:t>e</w:t>
            </w:r>
            <w:r>
              <w:t xml:space="preserve"> &lt;= 0,7)</w:t>
            </w:r>
          </w:p>
        </w:tc>
        <w:tc>
          <w:tcPr>
            <w:tcW w:w="2438" w:type="dxa"/>
            <w:tcBorders>
              <w:top w:val="nil"/>
              <w:bottom w:val="nil"/>
            </w:tcBorders>
          </w:tcPr>
          <w:p w:rsidR="00212513" w:rsidRDefault="00212513">
            <w:pPr>
              <w:pStyle w:val="ConsPlusNormal"/>
              <w:jc w:val="center"/>
            </w:pPr>
            <w:r>
              <w:t>3921 - 5880</w:t>
            </w:r>
          </w:p>
        </w:tc>
      </w:tr>
      <w:tr w:rsidR="00212513">
        <w:tblPrEx>
          <w:tblBorders>
            <w:insideH w:val="none" w:sz="0" w:space="0" w:color="auto"/>
          </w:tblBorders>
        </w:tblPrEx>
        <w:tc>
          <w:tcPr>
            <w:tcW w:w="6633" w:type="dxa"/>
            <w:tcBorders>
              <w:top w:val="nil"/>
              <w:bottom w:val="nil"/>
            </w:tcBorders>
          </w:tcPr>
          <w:p w:rsidR="00212513" w:rsidRDefault="00212513">
            <w:pPr>
              <w:pStyle w:val="ConsPlusNormal"/>
            </w:pPr>
            <w:r>
              <w:t>Твердые глины и суглинки (</w:t>
            </w:r>
            <w:r>
              <w:rPr>
                <w:i/>
              </w:rPr>
              <w:t>I</w:t>
            </w:r>
            <w:r>
              <w:rPr>
                <w:i/>
                <w:vertAlign w:val="subscript"/>
              </w:rPr>
              <w:t>L</w:t>
            </w:r>
            <w:r>
              <w:t xml:space="preserve"> &lt; 0); пески крупные</w:t>
            </w:r>
          </w:p>
          <w:p w:rsidR="00212513" w:rsidRDefault="00212513">
            <w:pPr>
              <w:pStyle w:val="ConsPlusNormal"/>
            </w:pPr>
            <w:r>
              <w:t xml:space="preserve">(0,55 &lt;= </w:t>
            </w:r>
            <w:r>
              <w:rPr>
                <w:i/>
              </w:rPr>
              <w:t>e</w:t>
            </w:r>
            <w:r>
              <w:t xml:space="preserve"> &lt;= 0,7)</w:t>
            </w:r>
          </w:p>
        </w:tc>
        <w:tc>
          <w:tcPr>
            <w:tcW w:w="2438" w:type="dxa"/>
            <w:tcBorders>
              <w:top w:val="nil"/>
              <w:bottom w:val="nil"/>
            </w:tcBorders>
          </w:tcPr>
          <w:p w:rsidR="00212513" w:rsidRDefault="00212513">
            <w:pPr>
              <w:pStyle w:val="ConsPlusNormal"/>
              <w:jc w:val="center"/>
            </w:pPr>
            <w:r>
              <w:t>5881 - 9800</w:t>
            </w:r>
          </w:p>
        </w:tc>
      </w:tr>
      <w:tr w:rsidR="00212513">
        <w:tblPrEx>
          <w:tblBorders>
            <w:insideH w:val="none" w:sz="0" w:space="0" w:color="auto"/>
          </w:tblBorders>
        </w:tblPrEx>
        <w:tc>
          <w:tcPr>
            <w:tcW w:w="6633" w:type="dxa"/>
            <w:tcBorders>
              <w:top w:val="nil"/>
              <w:bottom w:val="single" w:sz="4" w:space="0" w:color="auto"/>
            </w:tcBorders>
          </w:tcPr>
          <w:p w:rsidR="00212513" w:rsidRDefault="00212513">
            <w:pPr>
              <w:pStyle w:val="ConsPlusNormal"/>
            </w:pPr>
            <w:r>
              <w:t xml:space="preserve">Пески гравелистые (0,55 &lt;= </w:t>
            </w:r>
            <w:r>
              <w:rPr>
                <w:i/>
              </w:rPr>
              <w:t>e</w:t>
            </w:r>
            <w:r>
              <w:t xml:space="preserve"> &lt;= 0,7) и галька с песчаным заполнителем</w:t>
            </w:r>
          </w:p>
        </w:tc>
        <w:tc>
          <w:tcPr>
            <w:tcW w:w="2438" w:type="dxa"/>
            <w:tcBorders>
              <w:top w:val="nil"/>
              <w:bottom w:val="single" w:sz="4" w:space="0" w:color="auto"/>
            </w:tcBorders>
          </w:tcPr>
          <w:p w:rsidR="00212513" w:rsidRDefault="00212513">
            <w:pPr>
              <w:pStyle w:val="ConsPlusNormal"/>
              <w:jc w:val="center"/>
            </w:pPr>
            <w:r>
              <w:t>9801 - 19600</w:t>
            </w:r>
          </w:p>
        </w:tc>
      </w:tr>
    </w:tbl>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jc w:val="right"/>
        <w:outlineLvl w:val="0"/>
      </w:pPr>
      <w:r>
        <w:rPr>
          <w:b/>
        </w:rPr>
        <w:t>Приложение 4</w:t>
      </w:r>
    </w:p>
    <w:p w:rsidR="00212513" w:rsidRDefault="00212513">
      <w:pPr>
        <w:pStyle w:val="ConsPlusNormal"/>
        <w:jc w:val="right"/>
      </w:pPr>
      <w:r>
        <w:rPr>
          <w:b/>
        </w:rPr>
        <w:t>(обязательное)</w:t>
      </w:r>
    </w:p>
    <w:p w:rsidR="00212513" w:rsidRDefault="00212513">
      <w:pPr>
        <w:pStyle w:val="ConsPlusNormal"/>
        <w:ind w:firstLine="540"/>
        <w:jc w:val="both"/>
      </w:pPr>
    </w:p>
    <w:p w:rsidR="00212513" w:rsidRDefault="00212513">
      <w:pPr>
        <w:pStyle w:val="ConsPlusTitle"/>
        <w:jc w:val="center"/>
      </w:pPr>
      <w:bookmarkStart w:id="614" w:name="P17869"/>
      <w:bookmarkEnd w:id="614"/>
      <w:r>
        <w:t>МЕТОДИКА ПРОВЕРКИ НЕСУЩЕЙ СПОСОБНОСТИ</w:t>
      </w:r>
    </w:p>
    <w:p w:rsidR="00212513" w:rsidRDefault="00212513">
      <w:pPr>
        <w:pStyle w:val="ConsPlusTitle"/>
        <w:jc w:val="center"/>
      </w:pPr>
      <w:r>
        <w:t>ПОДСТИЛАЮЩЕГО СЛОЯ ГРУНТА</w:t>
      </w:r>
    </w:p>
    <w:p w:rsidR="00212513" w:rsidRDefault="00212513">
      <w:pPr>
        <w:pStyle w:val="ConsPlusNormal"/>
        <w:ind w:firstLine="540"/>
        <w:jc w:val="both"/>
      </w:pPr>
    </w:p>
    <w:p w:rsidR="00212513" w:rsidRDefault="00212513">
      <w:pPr>
        <w:pStyle w:val="ConsPlusNormal"/>
        <w:ind w:firstLine="540"/>
        <w:jc w:val="both"/>
      </w:pPr>
      <w:r>
        <w:t>Проверку несущей способности подстилающего слоя грунта следует производить исходя из условия</w:t>
      </w:r>
    </w:p>
    <w:p w:rsidR="00212513" w:rsidRDefault="00212513">
      <w:pPr>
        <w:pStyle w:val="ConsPlusNormal"/>
        <w:ind w:firstLine="540"/>
        <w:jc w:val="both"/>
      </w:pPr>
    </w:p>
    <w:p w:rsidR="00212513" w:rsidRDefault="00212513">
      <w:pPr>
        <w:pStyle w:val="ConsPlusNormal"/>
        <w:jc w:val="center"/>
      </w:pPr>
      <w:r>
        <w:rPr>
          <w:noProof/>
          <w:position w:val="-27"/>
        </w:rPr>
        <w:lastRenderedPageBreak/>
        <w:drawing>
          <wp:inline distT="0" distB="0" distL="0" distR="0">
            <wp:extent cx="1801495" cy="484505"/>
            <wp:effectExtent l="0" t="0" r="0" b="0"/>
            <wp:docPr id="3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0" cstate="print">
                      <a:extLst>
                        <a:ext uri="{28A0092B-C50C-407E-A947-70E740481C1C}">
                          <a14:useLocalDpi xmlns:a14="http://schemas.microsoft.com/office/drawing/2010/main" val="0"/>
                        </a:ext>
                      </a:extLst>
                    </a:blip>
                    <a:srcRect/>
                    <a:stretch>
                      <a:fillRect/>
                    </a:stretch>
                  </pic:blipFill>
                  <pic:spPr bwMode="auto">
                    <a:xfrm>
                      <a:off x="0" y="0"/>
                      <a:ext cx="1801495" cy="484505"/>
                    </a:xfrm>
                    <a:prstGeom prst="rect">
                      <a:avLst/>
                    </a:prstGeom>
                    <a:noFill/>
                    <a:ln>
                      <a:noFill/>
                    </a:ln>
                  </pic:spPr>
                </pic:pic>
              </a:graphicData>
            </a:graphic>
          </wp:inline>
        </w:drawing>
      </w:r>
      <w:r>
        <w:t>, (4.1)</w:t>
      </w:r>
    </w:p>
    <w:p w:rsidR="00212513" w:rsidRDefault="00212513">
      <w:pPr>
        <w:pStyle w:val="ConsPlusNormal"/>
        <w:ind w:firstLine="540"/>
        <w:jc w:val="both"/>
      </w:pPr>
    </w:p>
    <w:p w:rsidR="00212513" w:rsidRDefault="00212513">
      <w:pPr>
        <w:pStyle w:val="ConsPlusNormal"/>
        <w:ind w:firstLine="540"/>
        <w:jc w:val="both"/>
      </w:pPr>
      <w:r>
        <w:t xml:space="preserve">где </w:t>
      </w:r>
      <w:r>
        <w:rPr>
          <w:i/>
        </w:rPr>
        <w:t>p</w:t>
      </w:r>
      <w:r>
        <w:t xml:space="preserve"> - среднее давление на грунт, действующее под подошвой условного фундамента мелкого заложения, кПа;</w:t>
      </w:r>
    </w:p>
    <w:p w:rsidR="00212513" w:rsidRDefault="00212513">
      <w:pPr>
        <w:pStyle w:val="ConsPlusNormal"/>
        <w:spacing w:before="220"/>
        <w:ind w:firstLine="540"/>
        <w:jc w:val="both"/>
      </w:pPr>
      <w:r>
        <w:rPr>
          <w:noProof/>
          <w:position w:val="-3"/>
        </w:rPr>
        <w:drawing>
          <wp:inline distT="0" distB="0" distL="0" distR="0">
            <wp:extent cx="146685" cy="177800"/>
            <wp:effectExtent l="0" t="0" r="0" b="0"/>
            <wp:docPr id="3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1" cstate="print">
                      <a:extLst>
                        <a:ext uri="{28A0092B-C50C-407E-A947-70E740481C1C}">
                          <a14:useLocalDpi xmlns:a14="http://schemas.microsoft.com/office/drawing/2010/main" val="0"/>
                        </a:ext>
                      </a:extLst>
                    </a:blip>
                    <a:srcRect/>
                    <a:stretch>
                      <a:fillRect/>
                    </a:stretch>
                  </pic:blipFill>
                  <pic:spPr bwMode="auto">
                    <a:xfrm>
                      <a:off x="0" y="0"/>
                      <a:ext cx="146685" cy="177800"/>
                    </a:xfrm>
                    <a:prstGeom prst="rect">
                      <a:avLst/>
                    </a:prstGeom>
                    <a:noFill/>
                    <a:ln>
                      <a:noFill/>
                    </a:ln>
                  </pic:spPr>
                </pic:pic>
              </a:graphicData>
            </a:graphic>
          </wp:inline>
        </w:drawing>
      </w:r>
      <w:r>
        <w:t xml:space="preserve"> - среднее (по слоям) значение расчетного удельного веса грунта, расположенного над кровлей проверяемого подстилающего слоя грунта; допускается принимать </w:t>
      </w:r>
      <w:r>
        <w:rPr>
          <w:noProof/>
          <w:position w:val="-9"/>
        </w:rPr>
        <w:drawing>
          <wp:inline distT="0" distB="0" distL="0" distR="0">
            <wp:extent cx="1156970" cy="261620"/>
            <wp:effectExtent l="0" t="0" r="0" b="0"/>
            <wp:docPr id="3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2" cstate="print">
                      <a:extLst>
                        <a:ext uri="{28A0092B-C50C-407E-A947-70E740481C1C}">
                          <a14:useLocalDpi xmlns:a14="http://schemas.microsoft.com/office/drawing/2010/main" val="0"/>
                        </a:ext>
                      </a:extLst>
                    </a:blip>
                    <a:srcRect/>
                    <a:stretch>
                      <a:fillRect/>
                    </a:stretch>
                  </pic:blipFill>
                  <pic:spPr bwMode="auto">
                    <a:xfrm>
                      <a:off x="0" y="0"/>
                      <a:ext cx="1156970" cy="261620"/>
                    </a:xfrm>
                    <a:prstGeom prst="rect">
                      <a:avLst/>
                    </a:prstGeom>
                    <a:noFill/>
                    <a:ln>
                      <a:noFill/>
                    </a:ln>
                  </pic:spPr>
                </pic:pic>
              </a:graphicData>
            </a:graphic>
          </wp:inline>
        </w:drawing>
      </w:r>
      <w:r>
        <w:t>;</w:t>
      </w:r>
    </w:p>
    <w:p w:rsidR="00212513" w:rsidRDefault="00212513">
      <w:pPr>
        <w:pStyle w:val="ConsPlusNormal"/>
        <w:spacing w:before="220"/>
        <w:ind w:firstLine="540"/>
        <w:jc w:val="both"/>
      </w:pPr>
      <w:r>
        <w:rPr>
          <w:i/>
        </w:rPr>
        <w:t>d</w:t>
      </w:r>
      <w:r>
        <w:t xml:space="preserve"> - заглубление подошвы фундамента мелкого заложения от расчетной поверхности грунта, м, принимаемое согласно </w:t>
      </w:r>
      <w:hyperlink w:anchor="P17582">
        <w:r>
          <w:rPr>
            <w:color w:val="0000FF"/>
          </w:rPr>
          <w:t>приложению 2</w:t>
        </w:r>
      </w:hyperlink>
      <w:r>
        <w:t>;</w:t>
      </w:r>
    </w:p>
    <w:p w:rsidR="00212513" w:rsidRDefault="00212513">
      <w:pPr>
        <w:pStyle w:val="ConsPlusNormal"/>
        <w:spacing w:before="220"/>
        <w:ind w:firstLine="540"/>
        <w:jc w:val="both"/>
      </w:pPr>
      <w:r>
        <w:rPr>
          <w:noProof/>
          <w:position w:val="-9"/>
        </w:rPr>
        <w:drawing>
          <wp:inline distT="0" distB="0" distL="0" distR="0">
            <wp:extent cx="146050" cy="261620"/>
            <wp:effectExtent l="0" t="0" r="0" b="0"/>
            <wp:docPr id="3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3" cstate="print">
                      <a:extLst>
                        <a:ext uri="{28A0092B-C50C-407E-A947-70E740481C1C}">
                          <a14:useLocalDpi xmlns:a14="http://schemas.microsoft.com/office/drawing/2010/main" val="0"/>
                        </a:ext>
                      </a:extLst>
                    </a:blip>
                    <a:srcRect/>
                    <a:stretch>
                      <a:fillRect/>
                    </a:stretch>
                  </pic:blipFill>
                  <pic:spPr bwMode="auto">
                    <a:xfrm>
                      <a:off x="0" y="0"/>
                      <a:ext cx="146050" cy="261620"/>
                    </a:xfrm>
                    <a:prstGeom prst="rect">
                      <a:avLst/>
                    </a:prstGeom>
                    <a:noFill/>
                    <a:ln>
                      <a:noFill/>
                    </a:ln>
                  </pic:spPr>
                </pic:pic>
              </a:graphicData>
            </a:graphic>
          </wp:inline>
        </w:drawing>
      </w:r>
      <w:r>
        <w:t xml:space="preserve"> - расстояние от подошвы фундамента до поверхности проверяемого подстилающего слоя грунта, м;</w:t>
      </w:r>
    </w:p>
    <w:p w:rsidR="00212513" w:rsidRDefault="00212513">
      <w:pPr>
        <w:pStyle w:val="ConsPlusNormal"/>
        <w:spacing w:before="220"/>
        <w:ind w:firstLine="540"/>
        <w:jc w:val="both"/>
      </w:pPr>
      <w:r>
        <w:rPr>
          <w:noProof/>
        </w:rPr>
        <w:drawing>
          <wp:inline distT="0" distB="0" distL="0" distR="0">
            <wp:extent cx="167640" cy="146050"/>
            <wp:effectExtent l="0" t="0" r="0" b="0"/>
            <wp:docPr id="3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4"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t xml:space="preserve"> - коэффициент, принимаемый по </w:t>
      </w:r>
      <w:hyperlink w:anchor="P17884">
        <w:r>
          <w:rPr>
            <w:color w:val="0000FF"/>
          </w:rPr>
          <w:t>таблице 4.1</w:t>
        </w:r>
      </w:hyperlink>
      <w:r>
        <w:t xml:space="preserve"> настоящего приложения;</w:t>
      </w:r>
    </w:p>
    <w:p w:rsidR="00212513" w:rsidRDefault="00212513">
      <w:pPr>
        <w:pStyle w:val="ConsPlusNormal"/>
        <w:spacing w:before="220"/>
        <w:ind w:firstLine="540"/>
        <w:jc w:val="both"/>
      </w:pPr>
      <w:r>
        <w:rPr>
          <w:i/>
        </w:rPr>
        <w:t>R</w:t>
      </w:r>
      <w:r>
        <w:t xml:space="preserve"> - расчетное сопротивление подстилающего грунта, кПа, определяемое по </w:t>
      </w:r>
      <w:hyperlink w:anchor="P17586">
        <w:r>
          <w:rPr>
            <w:color w:val="0000FF"/>
          </w:rPr>
          <w:t>формуле (2.1)</w:t>
        </w:r>
      </w:hyperlink>
      <w:r>
        <w:t xml:space="preserve"> приложения 2 для глубины расположения кровли проверяемого слоя грунта;</w:t>
      </w:r>
    </w:p>
    <w:p w:rsidR="00212513" w:rsidRDefault="00212513">
      <w:pPr>
        <w:pStyle w:val="ConsPlusNormal"/>
        <w:spacing w:before="220"/>
        <w:ind w:firstLine="540"/>
        <w:jc w:val="both"/>
      </w:pPr>
      <w:r>
        <w:rPr>
          <w:noProof/>
          <w:position w:val="-9"/>
        </w:rPr>
        <w:drawing>
          <wp:inline distT="0" distB="0" distL="0" distR="0">
            <wp:extent cx="177800" cy="261620"/>
            <wp:effectExtent l="0" t="0" r="0" b="0"/>
            <wp:docPr id="3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5"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 коэффициент надежности по назначению сооружения, принимаемый равным 1,4.</w:t>
      </w:r>
    </w:p>
    <w:p w:rsidR="00212513" w:rsidRDefault="00212513">
      <w:pPr>
        <w:pStyle w:val="ConsPlusNormal"/>
        <w:ind w:firstLine="540"/>
        <w:jc w:val="both"/>
      </w:pPr>
    </w:p>
    <w:p w:rsidR="00212513" w:rsidRDefault="00212513">
      <w:pPr>
        <w:pStyle w:val="ConsPlusNormal"/>
        <w:jc w:val="right"/>
      </w:pPr>
      <w:bookmarkStart w:id="615" w:name="P17884"/>
      <w:bookmarkEnd w:id="615"/>
      <w:r>
        <w:t>Таблица 4.1</w:t>
      </w:r>
    </w:p>
    <w:p w:rsidR="00212513" w:rsidRDefault="00212513">
      <w:pPr>
        <w:pStyle w:val="ConsPlusNormal"/>
        <w:ind w:firstLine="540"/>
        <w:jc w:val="both"/>
      </w:pPr>
    </w:p>
    <w:p w:rsidR="00212513" w:rsidRDefault="00212513">
      <w:pPr>
        <w:pStyle w:val="ConsPlusNormal"/>
        <w:sectPr w:rsidR="00212513">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531"/>
        <w:gridCol w:w="722"/>
        <w:gridCol w:w="722"/>
        <w:gridCol w:w="722"/>
        <w:gridCol w:w="722"/>
        <w:gridCol w:w="722"/>
        <w:gridCol w:w="722"/>
        <w:gridCol w:w="722"/>
        <w:gridCol w:w="722"/>
        <w:gridCol w:w="722"/>
        <w:gridCol w:w="722"/>
        <w:gridCol w:w="722"/>
        <w:gridCol w:w="1020"/>
      </w:tblGrid>
      <w:tr w:rsidR="00212513">
        <w:tc>
          <w:tcPr>
            <w:tcW w:w="567" w:type="dxa"/>
            <w:vMerge w:val="restart"/>
            <w:tcBorders>
              <w:top w:val="single" w:sz="4" w:space="0" w:color="auto"/>
              <w:bottom w:val="single" w:sz="4" w:space="0" w:color="auto"/>
            </w:tcBorders>
            <w:vAlign w:val="center"/>
          </w:tcPr>
          <w:p w:rsidR="00212513" w:rsidRDefault="00212513">
            <w:pPr>
              <w:pStyle w:val="ConsPlusNormal"/>
              <w:jc w:val="center"/>
            </w:pPr>
            <w:r>
              <w:rPr>
                <w:noProof/>
                <w:position w:val="-22"/>
              </w:rPr>
              <w:lastRenderedPageBreak/>
              <w:drawing>
                <wp:inline distT="0" distB="0" distL="0" distR="0">
                  <wp:extent cx="199390" cy="429895"/>
                  <wp:effectExtent l="0" t="0" r="0" b="0"/>
                  <wp:docPr id="3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6" cstate="print">
                            <a:extLst>
                              <a:ext uri="{28A0092B-C50C-407E-A947-70E740481C1C}">
                                <a14:useLocalDpi xmlns:a14="http://schemas.microsoft.com/office/drawing/2010/main" val="0"/>
                              </a:ext>
                            </a:extLst>
                          </a:blip>
                          <a:srcRect/>
                          <a:stretch>
                            <a:fillRect/>
                          </a:stretch>
                        </pic:blipFill>
                        <pic:spPr bwMode="auto">
                          <a:xfrm>
                            <a:off x="0" y="0"/>
                            <a:ext cx="199390" cy="429895"/>
                          </a:xfrm>
                          <a:prstGeom prst="rect">
                            <a:avLst/>
                          </a:prstGeom>
                          <a:noFill/>
                          <a:ln>
                            <a:noFill/>
                          </a:ln>
                        </pic:spPr>
                      </pic:pic>
                    </a:graphicData>
                  </a:graphic>
                </wp:inline>
              </w:drawing>
            </w:r>
          </w:p>
        </w:tc>
        <w:tc>
          <w:tcPr>
            <w:tcW w:w="10493" w:type="dxa"/>
            <w:gridSpan w:val="13"/>
            <w:tcBorders>
              <w:top w:val="single" w:sz="4" w:space="0" w:color="auto"/>
              <w:bottom w:val="single" w:sz="4" w:space="0" w:color="auto"/>
            </w:tcBorders>
            <w:vAlign w:val="center"/>
          </w:tcPr>
          <w:p w:rsidR="00212513" w:rsidRDefault="00212513">
            <w:pPr>
              <w:pStyle w:val="ConsPlusNormal"/>
              <w:jc w:val="center"/>
            </w:pPr>
            <w:r>
              <w:t>Коэффициент </w:t>
            </w:r>
            <w:r>
              <w:rPr>
                <w:noProof/>
                <w:position w:val="-1"/>
              </w:rPr>
              <w:drawing>
                <wp:inline distT="0" distB="0" distL="0" distR="0">
                  <wp:extent cx="167640" cy="157480"/>
                  <wp:effectExtent l="0" t="0" r="0" b="0"/>
                  <wp:docPr id="3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7"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p>
        </w:tc>
      </w:tr>
      <w:tr w:rsidR="00212513">
        <w:tc>
          <w:tcPr>
            <w:tcW w:w="567" w:type="dxa"/>
            <w:vMerge/>
            <w:tcBorders>
              <w:top w:val="single" w:sz="4" w:space="0" w:color="auto"/>
              <w:bottom w:val="single" w:sz="4" w:space="0" w:color="auto"/>
            </w:tcBorders>
          </w:tcPr>
          <w:p w:rsidR="00212513" w:rsidRDefault="00212513">
            <w:pPr>
              <w:pStyle w:val="ConsPlusNormal"/>
            </w:pPr>
          </w:p>
        </w:tc>
        <w:tc>
          <w:tcPr>
            <w:tcW w:w="1531" w:type="dxa"/>
            <w:vMerge w:val="restart"/>
            <w:tcBorders>
              <w:top w:val="single" w:sz="4" w:space="0" w:color="auto"/>
              <w:bottom w:val="single" w:sz="4" w:space="0" w:color="auto"/>
            </w:tcBorders>
            <w:vAlign w:val="center"/>
          </w:tcPr>
          <w:p w:rsidR="00212513" w:rsidRDefault="00212513">
            <w:pPr>
              <w:pStyle w:val="ConsPlusNormal"/>
              <w:jc w:val="center"/>
            </w:pPr>
            <w:r>
              <w:t>для круглого в плане фундамента</w:t>
            </w:r>
          </w:p>
        </w:tc>
        <w:tc>
          <w:tcPr>
            <w:tcW w:w="8962" w:type="dxa"/>
            <w:gridSpan w:val="12"/>
            <w:tcBorders>
              <w:top w:val="single" w:sz="4" w:space="0" w:color="auto"/>
              <w:bottom w:val="single" w:sz="4" w:space="0" w:color="auto"/>
            </w:tcBorders>
            <w:vAlign w:val="center"/>
          </w:tcPr>
          <w:p w:rsidR="00212513" w:rsidRDefault="00212513">
            <w:pPr>
              <w:pStyle w:val="ConsPlusNormal"/>
              <w:jc w:val="center"/>
            </w:pPr>
            <w:r>
              <w:t xml:space="preserve">для прямоугольного в плане фундамента в зависимости от отношения сторон его подошвы </w:t>
            </w:r>
            <w:r>
              <w:rPr>
                <w:i/>
              </w:rPr>
              <w:t>a</w:t>
            </w:r>
            <w:r>
              <w:t>/</w:t>
            </w:r>
            <w:r>
              <w:rPr>
                <w:i/>
              </w:rPr>
              <w:t>b</w:t>
            </w:r>
          </w:p>
        </w:tc>
      </w:tr>
      <w:tr w:rsidR="00212513">
        <w:tc>
          <w:tcPr>
            <w:tcW w:w="567" w:type="dxa"/>
            <w:vMerge/>
            <w:tcBorders>
              <w:top w:val="single" w:sz="4" w:space="0" w:color="auto"/>
              <w:bottom w:val="single" w:sz="4" w:space="0" w:color="auto"/>
            </w:tcBorders>
          </w:tcPr>
          <w:p w:rsidR="00212513" w:rsidRDefault="00212513">
            <w:pPr>
              <w:pStyle w:val="ConsPlusNormal"/>
            </w:pPr>
          </w:p>
        </w:tc>
        <w:tc>
          <w:tcPr>
            <w:tcW w:w="1531" w:type="dxa"/>
            <w:vMerge/>
            <w:tcBorders>
              <w:top w:val="single" w:sz="4" w:space="0" w:color="auto"/>
              <w:bottom w:val="single" w:sz="4" w:space="0" w:color="auto"/>
            </w:tcBorders>
          </w:tcPr>
          <w:p w:rsidR="00212513" w:rsidRDefault="00212513">
            <w:pPr>
              <w:pStyle w:val="ConsPlusNormal"/>
            </w:pPr>
          </w:p>
        </w:tc>
        <w:tc>
          <w:tcPr>
            <w:tcW w:w="722" w:type="dxa"/>
            <w:tcBorders>
              <w:top w:val="single" w:sz="4" w:space="0" w:color="auto"/>
              <w:bottom w:val="single" w:sz="4" w:space="0" w:color="auto"/>
            </w:tcBorders>
            <w:vAlign w:val="center"/>
          </w:tcPr>
          <w:p w:rsidR="00212513" w:rsidRDefault="00212513">
            <w:pPr>
              <w:pStyle w:val="ConsPlusNormal"/>
              <w:jc w:val="center"/>
            </w:pPr>
            <w:r>
              <w:t>1</w:t>
            </w:r>
          </w:p>
        </w:tc>
        <w:tc>
          <w:tcPr>
            <w:tcW w:w="722" w:type="dxa"/>
            <w:tcBorders>
              <w:top w:val="single" w:sz="4" w:space="0" w:color="auto"/>
              <w:bottom w:val="single" w:sz="4" w:space="0" w:color="auto"/>
            </w:tcBorders>
            <w:vAlign w:val="center"/>
          </w:tcPr>
          <w:p w:rsidR="00212513" w:rsidRDefault="00212513">
            <w:pPr>
              <w:pStyle w:val="ConsPlusNormal"/>
              <w:jc w:val="center"/>
            </w:pPr>
            <w:r>
              <w:t>1,2</w:t>
            </w:r>
          </w:p>
        </w:tc>
        <w:tc>
          <w:tcPr>
            <w:tcW w:w="722" w:type="dxa"/>
            <w:tcBorders>
              <w:top w:val="single" w:sz="4" w:space="0" w:color="auto"/>
              <w:bottom w:val="single" w:sz="4" w:space="0" w:color="auto"/>
            </w:tcBorders>
            <w:vAlign w:val="center"/>
          </w:tcPr>
          <w:p w:rsidR="00212513" w:rsidRDefault="00212513">
            <w:pPr>
              <w:pStyle w:val="ConsPlusNormal"/>
              <w:jc w:val="center"/>
            </w:pPr>
            <w:r>
              <w:t>1,4</w:t>
            </w:r>
          </w:p>
        </w:tc>
        <w:tc>
          <w:tcPr>
            <w:tcW w:w="722" w:type="dxa"/>
            <w:tcBorders>
              <w:top w:val="single" w:sz="4" w:space="0" w:color="auto"/>
              <w:bottom w:val="single" w:sz="4" w:space="0" w:color="auto"/>
            </w:tcBorders>
            <w:vAlign w:val="center"/>
          </w:tcPr>
          <w:p w:rsidR="00212513" w:rsidRDefault="00212513">
            <w:pPr>
              <w:pStyle w:val="ConsPlusNormal"/>
              <w:jc w:val="center"/>
            </w:pPr>
            <w:r>
              <w:t>1,6</w:t>
            </w:r>
          </w:p>
        </w:tc>
        <w:tc>
          <w:tcPr>
            <w:tcW w:w="722" w:type="dxa"/>
            <w:tcBorders>
              <w:top w:val="single" w:sz="4" w:space="0" w:color="auto"/>
              <w:bottom w:val="single" w:sz="4" w:space="0" w:color="auto"/>
            </w:tcBorders>
            <w:vAlign w:val="center"/>
          </w:tcPr>
          <w:p w:rsidR="00212513" w:rsidRDefault="00212513">
            <w:pPr>
              <w:pStyle w:val="ConsPlusNormal"/>
              <w:jc w:val="center"/>
            </w:pPr>
            <w:r>
              <w:t>1,8</w:t>
            </w:r>
          </w:p>
        </w:tc>
        <w:tc>
          <w:tcPr>
            <w:tcW w:w="722" w:type="dxa"/>
            <w:tcBorders>
              <w:top w:val="single" w:sz="4" w:space="0" w:color="auto"/>
              <w:bottom w:val="single" w:sz="4" w:space="0" w:color="auto"/>
            </w:tcBorders>
            <w:vAlign w:val="center"/>
          </w:tcPr>
          <w:p w:rsidR="00212513" w:rsidRDefault="00212513">
            <w:pPr>
              <w:pStyle w:val="ConsPlusNormal"/>
              <w:jc w:val="center"/>
            </w:pPr>
            <w:r>
              <w:t>2,0</w:t>
            </w:r>
          </w:p>
        </w:tc>
        <w:tc>
          <w:tcPr>
            <w:tcW w:w="722" w:type="dxa"/>
            <w:tcBorders>
              <w:top w:val="single" w:sz="4" w:space="0" w:color="auto"/>
              <w:bottom w:val="single" w:sz="4" w:space="0" w:color="auto"/>
            </w:tcBorders>
            <w:vAlign w:val="center"/>
          </w:tcPr>
          <w:p w:rsidR="00212513" w:rsidRDefault="00212513">
            <w:pPr>
              <w:pStyle w:val="ConsPlusNormal"/>
              <w:jc w:val="center"/>
            </w:pPr>
            <w:r>
              <w:t>2,4</w:t>
            </w:r>
          </w:p>
        </w:tc>
        <w:tc>
          <w:tcPr>
            <w:tcW w:w="722" w:type="dxa"/>
            <w:tcBorders>
              <w:top w:val="single" w:sz="4" w:space="0" w:color="auto"/>
              <w:bottom w:val="single" w:sz="4" w:space="0" w:color="auto"/>
            </w:tcBorders>
            <w:vAlign w:val="center"/>
          </w:tcPr>
          <w:p w:rsidR="00212513" w:rsidRDefault="00212513">
            <w:pPr>
              <w:pStyle w:val="ConsPlusNormal"/>
              <w:jc w:val="center"/>
            </w:pPr>
            <w:r>
              <w:t>2,8</w:t>
            </w:r>
          </w:p>
        </w:tc>
        <w:tc>
          <w:tcPr>
            <w:tcW w:w="722" w:type="dxa"/>
            <w:tcBorders>
              <w:top w:val="single" w:sz="4" w:space="0" w:color="auto"/>
              <w:bottom w:val="single" w:sz="4" w:space="0" w:color="auto"/>
            </w:tcBorders>
            <w:vAlign w:val="center"/>
          </w:tcPr>
          <w:p w:rsidR="00212513" w:rsidRDefault="00212513">
            <w:pPr>
              <w:pStyle w:val="ConsPlusNormal"/>
              <w:jc w:val="center"/>
            </w:pPr>
            <w:r>
              <w:t>3,2</w:t>
            </w:r>
          </w:p>
        </w:tc>
        <w:tc>
          <w:tcPr>
            <w:tcW w:w="722" w:type="dxa"/>
            <w:tcBorders>
              <w:top w:val="single" w:sz="4" w:space="0" w:color="auto"/>
              <w:bottom w:val="single" w:sz="4" w:space="0" w:color="auto"/>
            </w:tcBorders>
            <w:vAlign w:val="center"/>
          </w:tcPr>
          <w:p w:rsidR="00212513" w:rsidRDefault="00212513">
            <w:pPr>
              <w:pStyle w:val="ConsPlusNormal"/>
              <w:jc w:val="center"/>
            </w:pPr>
            <w:r>
              <w:t>4</w:t>
            </w:r>
          </w:p>
        </w:tc>
        <w:tc>
          <w:tcPr>
            <w:tcW w:w="722" w:type="dxa"/>
            <w:tcBorders>
              <w:top w:val="single" w:sz="4" w:space="0" w:color="auto"/>
              <w:bottom w:val="single" w:sz="4" w:space="0" w:color="auto"/>
            </w:tcBorders>
            <w:vAlign w:val="center"/>
          </w:tcPr>
          <w:p w:rsidR="00212513" w:rsidRDefault="00212513">
            <w:pPr>
              <w:pStyle w:val="ConsPlusNormal"/>
              <w:jc w:val="center"/>
            </w:pPr>
            <w:r>
              <w:t>5</w:t>
            </w:r>
          </w:p>
        </w:tc>
        <w:tc>
          <w:tcPr>
            <w:tcW w:w="1020" w:type="dxa"/>
            <w:tcBorders>
              <w:top w:val="single" w:sz="4" w:space="0" w:color="auto"/>
              <w:bottom w:val="single" w:sz="4" w:space="0" w:color="auto"/>
            </w:tcBorders>
            <w:vAlign w:val="center"/>
          </w:tcPr>
          <w:p w:rsidR="00212513" w:rsidRDefault="00212513">
            <w:pPr>
              <w:pStyle w:val="ConsPlusNormal"/>
              <w:jc w:val="center"/>
            </w:pPr>
            <w:r>
              <w:t>10 и более</w:t>
            </w:r>
          </w:p>
        </w:tc>
      </w:tr>
      <w:tr w:rsidR="00212513">
        <w:tblPrEx>
          <w:tblBorders>
            <w:insideH w:val="none" w:sz="0" w:space="0" w:color="auto"/>
          </w:tblBorders>
        </w:tblPrEx>
        <w:tc>
          <w:tcPr>
            <w:tcW w:w="567" w:type="dxa"/>
            <w:tcBorders>
              <w:top w:val="single" w:sz="4" w:space="0" w:color="auto"/>
              <w:bottom w:val="nil"/>
            </w:tcBorders>
          </w:tcPr>
          <w:p w:rsidR="00212513" w:rsidRDefault="00212513">
            <w:pPr>
              <w:pStyle w:val="ConsPlusNormal"/>
              <w:jc w:val="center"/>
            </w:pPr>
            <w:r>
              <w:t>0</w:t>
            </w:r>
          </w:p>
        </w:tc>
        <w:tc>
          <w:tcPr>
            <w:tcW w:w="1531" w:type="dxa"/>
            <w:tcBorders>
              <w:top w:val="single" w:sz="4" w:space="0" w:color="auto"/>
              <w:bottom w:val="nil"/>
            </w:tcBorders>
          </w:tcPr>
          <w:p w:rsidR="00212513" w:rsidRDefault="00212513">
            <w:pPr>
              <w:pStyle w:val="ConsPlusNormal"/>
              <w:jc w:val="center"/>
            </w:pPr>
            <w:r>
              <w:t>1,000</w:t>
            </w:r>
          </w:p>
        </w:tc>
        <w:tc>
          <w:tcPr>
            <w:tcW w:w="722" w:type="dxa"/>
            <w:tcBorders>
              <w:top w:val="single" w:sz="4" w:space="0" w:color="auto"/>
              <w:bottom w:val="nil"/>
            </w:tcBorders>
          </w:tcPr>
          <w:p w:rsidR="00212513" w:rsidRDefault="00212513">
            <w:pPr>
              <w:pStyle w:val="ConsPlusNormal"/>
              <w:jc w:val="center"/>
            </w:pPr>
            <w:r>
              <w:t>1,000</w:t>
            </w:r>
          </w:p>
        </w:tc>
        <w:tc>
          <w:tcPr>
            <w:tcW w:w="722" w:type="dxa"/>
            <w:tcBorders>
              <w:top w:val="single" w:sz="4" w:space="0" w:color="auto"/>
              <w:bottom w:val="nil"/>
            </w:tcBorders>
          </w:tcPr>
          <w:p w:rsidR="00212513" w:rsidRDefault="00212513">
            <w:pPr>
              <w:pStyle w:val="ConsPlusNormal"/>
              <w:jc w:val="center"/>
            </w:pPr>
            <w:r>
              <w:t>1,000</w:t>
            </w:r>
          </w:p>
        </w:tc>
        <w:tc>
          <w:tcPr>
            <w:tcW w:w="722" w:type="dxa"/>
            <w:tcBorders>
              <w:top w:val="single" w:sz="4" w:space="0" w:color="auto"/>
              <w:bottom w:val="nil"/>
            </w:tcBorders>
          </w:tcPr>
          <w:p w:rsidR="00212513" w:rsidRDefault="00212513">
            <w:pPr>
              <w:pStyle w:val="ConsPlusNormal"/>
              <w:jc w:val="center"/>
            </w:pPr>
            <w:r>
              <w:t>1,000</w:t>
            </w:r>
          </w:p>
        </w:tc>
        <w:tc>
          <w:tcPr>
            <w:tcW w:w="722" w:type="dxa"/>
            <w:tcBorders>
              <w:top w:val="single" w:sz="4" w:space="0" w:color="auto"/>
              <w:bottom w:val="nil"/>
            </w:tcBorders>
          </w:tcPr>
          <w:p w:rsidR="00212513" w:rsidRDefault="00212513">
            <w:pPr>
              <w:pStyle w:val="ConsPlusNormal"/>
              <w:jc w:val="center"/>
            </w:pPr>
            <w:r>
              <w:t>1,000</w:t>
            </w:r>
          </w:p>
        </w:tc>
        <w:tc>
          <w:tcPr>
            <w:tcW w:w="722" w:type="dxa"/>
            <w:tcBorders>
              <w:top w:val="single" w:sz="4" w:space="0" w:color="auto"/>
              <w:bottom w:val="nil"/>
            </w:tcBorders>
          </w:tcPr>
          <w:p w:rsidR="00212513" w:rsidRDefault="00212513">
            <w:pPr>
              <w:pStyle w:val="ConsPlusNormal"/>
              <w:jc w:val="center"/>
            </w:pPr>
            <w:r>
              <w:t>1,000</w:t>
            </w:r>
          </w:p>
        </w:tc>
        <w:tc>
          <w:tcPr>
            <w:tcW w:w="722" w:type="dxa"/>
            <w:tcBorders>
              <w:top w:val="single" w:sz="4" w:space="0" w:color="auto"/>
              <w:bottom w:val="nil"/>
            </w:tcBorders>
          </w:tcPr>
          <w:p w:rsidR="00212513" w:rsidRDefault="00212513">
            <w:pPr>
              <w:pStyle w:val="ConsPlusNormal"/>
              <w:jc w:val="center"/>
            </w:pPr>
            <w:r>
              <w:t>1,000</w:t>
            </w:r>
          </w:p>
        </w:tc>
        <w:tc>
          <w:tcPr>
            <w:tcW w:w="722" w:type="dxa"/>
            <w:tcBorders>
              <w:top w:val="single" w:sz="4" w:space="0" w:color="auto"/>
              <w:bottom w:val="nil"/>
            </w:tcBorders>
          </w:tcPr>
          <w:p w:rsidR="00212513" w:rsidRDefault="00212513">
            <w:pPr>
              <w:pStyle w:val="ConsPlusNormal"/>
              <w:jc w:val="center"/>
            </w:pPr>
            <w:r>
              <w:t>1,000</w:t>
            </w:r>
          </w:p>
        </w:tc>
        <w:tc>
          <w:tcPr>
            <w:tcW w:w="722" w:type="dxa"/>
            <w:tcBorders>
              <w:top w:val="single" w:sz="4" w:space="0" w:color="auto"/>
              <w:bottom w:val="nil"/>
            </w:tcBorders>
          </w:tcPr>
          <w:p w:rsidR="00212513" w:rsidRDefault="00212513">
            <w:pPr>
              <w:pStyle w:val="ConsPlusNormal"/>
              <w:jc w:val="center"/>
            </w:pPr>
            <w:r>
              <w:t>1,000</w:t>
            </w:r>
          </w:p>
        </w:tc>
        <w:tc>
          <w:tcPr>
            <w:tcW w:w="722" w:type="dxa"/>
            <w:tcBorders>
              <w:top w:val="single" w:sz="4" w:space="0" w:color="auto"/>
              <w:bottom w:val="nil"/>
            </w:tcBorders>
          </w:tcPr>
          <w:p w:rsidR="00212513" w:rsidRDefault="00212513">
            <w:pPr>
              <w:pStyle w:val="ConsPlusNormal"/>
              <w:jc w:val="center"/>
            </w:pPr>
            <w:r>
              <w:t>1,000</w:t>
            </w:r>
          </w:p>
        </w:tc>
        <w:tc>
          <w:tcPr>
            <w:tcW w:w="722" w:type="dxa"/>
            <w:tcBorders>
              <w:top w:val="single" w:sz="4" w:space="0" w:color="auto"/>
              <w:bottom w:val="nil"/>
            </w:tcBorders>
          </w:tcPr>
          <w:p w:rsidR="00212513" w:rsidRDefault="00212513">
            <w:pPr>
              <w:pStyle w:val="ConsPlusNormal"/>
              <w:jc w:val="center"/>
            </w:pPr>
            <w:r>
              <w:t>1,000</w:t>
            </w:r>
          </w:p>
        </w:tc>
        <w:tc>
          <w:tcPr>
            <w:tcW w:w="722" w:type="dxa"/>
            <w:tcBorders>
              <w:top w:val="single" w:sz="4" w:space="0" w:color="auto"/>
              <w:bottom w:val="nil"/>
            </w:tcBorders>
          </w:tcPr>
          <w:p w:rsidR="00212513" w:rsidRDefault="00212513">
            <w:pPr>
              <w:pStyle w:val="ConsPlusNormal"/>
              <w:jc w:val="center"/>
            </w:pPr>
            <w:r>
              <w:t>1,000</w:t>
            </w:r>
          </w:p>
        </w:tc>
        <w:tc>
          <w:tcPr>
            <w:tcW w:w="1020" w:type="dxa"/>
            <w:tcBorders>
              <w:top w:val="single" w:sz="4" w:space="0" w:color="auto"/>
              <w:bottom w:val="nil"/>
            </w:tcBorders>
          </w:tcPr>
          <w:p w:rsidR="00212513" w:rsidRDefault="00212513">
            <w:pPr>
              <w:pStyle w:val="ConsPlusNormal"/>
              <w:jc w:val="center"/>
            </w:pPr>
            <w:r>
              <w:t>1,000</w:t>
            </w:r>
          </w:p>
        </w:tc>
      </w:tr>
      <w:tr w:rsidR="00212513">
        <w:tblPrEx>
          <w:tblBorders>
            <w:insideH w:val="none" w:sz="0" w:space="0" w:color="auto"/>
          </w:tblBorders>
        </w:tblPrEx>
        <w:tc>
          <w:tcPr>
            <w:tcW w:w="567" w:type="dxa"/>
            <w:tcBorders>
              <w:top w:val="nil"/>
              <w:bottom w:val="nil"/>
            </w:tcBorders>
          </w:tcPr>
          <w:p w:rsidR="00212513" w:rsidRDefault="00212513">
            <w:pPr>
              <w:pStyle w:val="ConsPlusNormal"/>
              <w:jc w:val="center"/>
            </w:pPr>
            <w:r>
              <w:t>0,2</w:t>
            </w:r>
          </w:p>
        </w:tc>
        <w:tc>
          <w:tcPr>
            <w:tcW w:w="1531" w:type="dxa"/>
            <w:tcBorders>
              <w:top w:val="nil"/>
              <w:bottom w:val="nil"/>
            </w:tcBorders>
          </w:tcPr>
          <w:p w:rsidR="00212513" w:rsidRDefault="00212513">
            <w:pPr>
              <w:pStyle w:val="ConsPlusNormal"/>
              <w:jc w:val="center"/>
            </w:pPr>
            <w:r>
              <w:t>0,949</w:t>
            </w:r>
          </w:p>
        </w:tc>
        <w:tc>
          <w:tcPr>
            <w:tcW w:w="722" w:type="dxa"/>
            <w:tcBorders>
              <w:top w:val="nil"/>
              <w:bottom w:val="nil"/>
            </w:tcBorders>
          </w:tcPr>
          <w:p w:rsidR="00212513" w:rsidRDefault="00212513">
            <w:pPr>
              <w:pStyle w:val="ConsPlusNormal"/>
              <w:jc w:val="center"/>
            </w:pPr>
            <w:r>
              <w:t>0,960</w:t>
            </w:r>
          </w:p>
        </w:tc>
        <w:tc>
          <w:tcPr>
            <w:tcW w:w="722" w:type="dxa"/>
            <w:tcBorders>
              <w:top w:val="nil"/>
              <w:bottom w:val="nil"/>
            </w:tcBorders>
          </w:tcPr>
          <w:p w:rsidR="00212513" w:rsidRDefault="00212513">
            <w:pPr>
              <w:pStyle w:val="ConsPlusNormal"/>
              <w:jc w:val="center"/>
            </w:pPr>
            <w:r>
              <w:t>0,968</w:t>
            </w:r>
          </w:p>
        </w:tc>
        <w:tc>
          <w:tcPr>
            <w:tcW w:w="722" w:type="dxa"/>
            <w:tcBorders>
              <w:top w:val="nil"/>
              <w:bottom w:val="nil"/>
            </w:tcBorders>
          </w:tcPr>
          <w:p w:rsidR="00212513" w:rsidRDefault="00212513">
            <w:pPr>
              <w:pStyle w:val="ConsPlusNormal"/>
              <w:jc w:val="center"/>
            </w:pPr>
            <w:r>
              <w:t>0,972</w:t>
            </w:r>
          </w:p>
        </w:tc>
        <w:tc>
          <w:tcPr>
            <w:tcW w:w="722" w:type="dxa"/>
            <w:tcBorders>
              <w:top w:val="nil"/>
              <w:bottom w:val="nil"/>
            </w:tcBorders>
          </w:tcPr>
          <w:p w:rsidR="00212513" w:rsidRDefault="00212513">
            <w:pPr>
              <w:pStyle w:val="ConsPlusNormal"/>
              <w:jc w:val="center"/>
            </w:pPr>
            <w:r>
              <w:t>0,974</w:t>
            </w:r>
          </w:p>
        </w:tc>
        <w:tc>
          <w:tcPr>
            <w:tcW w:w="722" w:type="dxa"/>
            <w:tcBorders>
              <w:top w:val="nil"/>
              <w:bottom w:val="nil"/>
            </w:tcBorders>
          </w:tcPr>
          <w:p w:rsidR="00212513" w:rsidRDefault="00212513">
            <w:pPr>
              <w:pStyle w:val="ConsPlusNormal"/>
              <w:jc w:val="center"/>
            </w:pPr>
            <w:r>
              <w:t>0,975</w:t>
            </w:r>
          </w:p>
        </w:tc>
        <w:tc>
          <w:tcPr>
            <w:tcW w:w="722" w:type="dxa"/>
            <w:tcBorders>
              <w:top w:val="nil"/>
              <w:bottom w:val="nil"/>
            </w:tcBorders>
          </w:tcPr>
          <w:p w:rsidR="00212513" w:rsidRDefault="00212513">
            <w:pPr>
              <w:pStyle w:val="ConsPlusNormal"/>
              <w:jc w:val="center"/>
            </w:pPr>
            <w:r>
              <w:t>0,976</w:t>
            </w:r>
          </w:p>
        </w:tc>
        <w:tc>
          <w:tcPr>
            <w:tcW w:w="722" w:type="dxa"/>
            <w:tcBorders>
              <w:top w:val="nil"/>
              <w:bottom w:val="nil"/>
            </w:tcBorders>
          </w:tcPr>
          <w:p w:rsidR="00212513" w:rsidRDefault="00212513">
            <w:pPr>
              <w:pStyle w:val="ConsPlusNormal"/>
              <w:jc w:val="center"/>
            </w:pPr>
            <w:r>
              <w:t>0,976</w:t>
            </w:r>
          </w:p>
        </w:tc>
        <w:tc>
          <w:tcPr>
            <w:tcW w:w="722" w:type="dxa"/>
            <w:tcBorders>
              <w:top w:val="nil"/>
              <w:bottom w:val="nil"/>
            </w:tcBorders>
          </w:tcPr>
          <w:p w:rsidR="00212513" w:rsidRDefault="00212513">
            <w:pPr>
              <w:pStyle w:val="ConsPlusNormal"/>
              <w:jc w:val="center"/>
            </w:pPr>
            <w:r>
              <w:t>0,977</w:t>
            </w:r>
          </w:p>
        </w:tc>
        <w:tc>
          <w:tcPr>
            <w:tcW w:w="722" w:type="dxa"/>
            <w:tcBorders>
              <w:top w:val="nil"/>
              <w:bottom w:val="nil"/>
            </w:tcBorders>
          </w:tcPr>
          <w:p w:rsidR="00212513" w:rsidRDefault="00212513">
            <w:pPr>
              <w:pStyle w:val="ConsPlusNormal"/>
              <w:jc w:val="center"/>
            </w:pPr>
            <w:r>
              <w:t>0,977</w:t>
            </w:r>
          </w:p>
        </w:tc>
        <w:tc>
          <w:tcPr>
            <w:tcW w:w="722" w:type="dxa"/>
            <w:tcBorders>
              <w:top w:val="nil"/>
              <w:bottom w:val="nil"/>
            </w:tcBorders>
          </w:tcPr>
          <w:p w:rsidR="00212513" w:rsidRDefault="00212513">
            <w:pPr>
              <w:pStyle w:val="ConsPlusNormal"/>
              <w:jc w:val="center"/>
            </w:pPr>
            <w:r>
              <w:t>0,977</w:t>
            </w:r>
          </w:p>
        </w:tc>
        <w:tc>
          <w:tcPr>
            <w:tcW w:w="722" w:type="dxa"/>
            <w:tcBorders>
              <w:top w:val="nil"/>
              <w:bottom w:val="nil"/>
            </w:tcBorders>
          </w:tcPr>
          <w:p w:rsidR="00212513" w:rsidRDefault="00212513">
            <w:pPr>
              <w:pStyle w:val="ConsPlusNormal"/>
              <w:jc w:val="center"/>
            </w:pPr>
            <w:r>
              <w:t>0,977</w:t>
            </w:r>
          </w:p>
        </w:tc>
        <w:tc>
          <w:tcPr>
            <w:tcW w:w="1020" w:type="dxa"/>
            <w:tcBorders>
              <w:top w:val="nil"/>
              <w:bottom w:val="nil"/>
            </w:tcBorders>
          </w:tcPr>
          <w:p w:rsidR="00212513" w:rsidRDefault="00212513">
            <w:pPr>
              <w:pStyle w:val="ConsPlusNormal"/>
              <w:jc w:val="center"/>
            </w:pPr>
            <w:r>
              <w:t>0,977</w:t>
            </w:r>
          </w:p>
        </w:tc>
      </w:tr>
      <w:tr w:rsidR="00212513">
        <w:tblPrEx>
          <w:tblBorders>
            <w:insideH w:val="none" w:sz="0" w:space="0" w:color="auto"/>
          </w:tblBorders>
        </w:tblPrEx>
        <w:tc>
          <w:tcPr>
            <w:tcW w:w="567" w:type="dxa"/>
            <w:tcBorders>
              <w:top w:val="nil"/>
              <w:bottom w:val="nil"/>
            </w:tcBorders>
          </w:tcPr>
          <w:p w:rsidR="00212513" w:rsidRDefault="00212513">
            <w:pPr>
              <w:pStyle w:val="ConsPlusNormal"/>
              <w:jc w:val="center"/>
            </w:pPr>
            <w:r>
              <w:t>0,4</w:t>
            </w:r>
          </w:p>
        </w:tc>
        <w:tc>
          <w:tcPr>
            <w:tcW w:w="1531" w:type="dxa"/>
            <w:tcBorders>
              <w:top w:val="nil"/>
              <w:bottom w:val="nil"/>
            </w:tcBorders>
          </w:tcPr>
          <w:p w:rsidR="00212513" w:rsidRDefault="00212513">
            <w:pPr>
              <w:pStyle w:val="ConsPlusNormal"/>
              <w:jc w:val="center"/>
            </w:pPr>
            <w:r>
              <w:t>0,756</w:t>
            </w:r>
          </w:p>
        </w:tc>
        <w:tc>
          <w:tcPr>
            <w:tcW w:w="722" w:type="dxa"/>
            <w:tcBorders>
              <w:top w:val="nil"/>
              <w:bottom w:val="nil"/>
            </w:tcBorders>
          </w:tcPr>
          <w:p w:rsidR="00212513" w:rsidRDefault="00212513">
            <w:pPr>
              <w:pStyle w:val="ConsPlusNormal"/>
              <w:jc w:val="center"/>
            </w:pPr>
            <w:r>
              <w:t>0,800</w:t>
            </w:r>
          </w:p>
        </w:tc>
        <w:tc>
          <w:tcPr>
            <w:tcW w:w="722" w:type="dxa"/>
            <w:tcBorders>
              <w:top w:val="nil"/>
              <w:bottom w:val="nil"/>
            </w:tcBorders>
          </w:tcPr>
          <w:p w:rsidR="00212513" w:rsidRDefault="00212513">
            <w:pPr>
              <w:pStyle w:val="ConsPlusNormal"/>
              <w:jc w:val="center"/>
            </w:pPr>
            <w:r>
              <w:t>0,830</w:t>
            </w:r>
          </w:p>
        </w:tc>
        <w:tc>
          <w:tcPr>
            <w:tcW w:w="722" w:type="dxa"/>
            <w:tcBorders>
              <w:top w:val="nil"/>
              <w:bottom w:val="nil"/>
            </w:tcBorders>
          </w:tcPr>
          <w:p w:rsidR="00212513" w:rsidRDefault="00212513">
            <w:pPr>
              <w:pStyle w:val="ConsPlusNormal"/>
              <w:jc w:val="center"/>
            </w:pPr>
            <w:r>
              <w:t>0,848</w:t>
            </w:r>
          </w:p>
        </w:tc>
        <w:tc>
          <w:tcPr>
            <w:tcW w:w="722" w:type="dxa"/>
            <w:tcBorders>
              <w:top w:val="nil"/>
              <w:bottom w:val="nil"/>
            </w:tcBorders>
          </w:tcPr>
          <w:p w:rsidR="00212513" w:rsidRDefault="00212513">
            <w:pPr>
              <w:pStyle w:val="ConsPlusNormal"/>
              <w:jc w:val="center"/>
            </w:pPr>
            <w:r>
              <w:t>0,859</w:t>
            </w:r>
          </w:p>
        </w:tc>
        <w:tc>
          <w:tcPr>
            <w:tcW w:w="722" w:type="dxa"/>
            <w:tcBorders>
              <w:top w:val="nil"/>
              <w:bottom w:val="nil"/>
            </w:tcBorders>
          </w:tcPr>
          <w:p w:rsidR="00212513" w:rsidRDefault="00212513">
            <w:pPr>
              <w:pStyle w:val="ConsPlusNormal"/>
              <w:jc w:val="center"/>
            </w:pPr>
            <w:r>
              <w:t>0,866</w:t>
            </w:r>
          </w:p>
        </w:tc>
        <w:tc>
          <w:tcPr>
            <w:tcW w:w="722" w:type="dxa"/>
            <w:tcBorders>
              <w:top w:val="nil"/>
              <w:bottom w:val="nil"/>
            </w:tcBorders>
          </w:tcPr>
          <w:p w:rsidR="00212513" w:rsidRDefault="00212513">
            <w:pPr>
              <w:pStyle w:val="ConsPlusNormal"/>
              <w:jc w:val="center"/>
            </w:pPr>
            <w:r>
              <w:t>0,870</w:t>
            </w:r>
          </w:p>
        </w:tc>
        <w:tc>
          <w:tcPr>
            <w:tcW w:w="722" w:type="dxa"/>
            <w:tcBorders>
              <w:top w:val="nil"/>
              <w:bottom w:val="nil"/>
            </w:tcBorders>
          </w:tcPr>
          <w:p w:rsidR="00212513" w:rsidRDefault="00212513">
            <w:pPr>
              <w:pStyle w:val="ConsPlusNormal"/>
              <w:jc w:val="center"/>
            </w:pPr>
            <w:r>
              <w:t>0,875</w:t>
            </w:r>
          </w:p>
        </w:tc>
        <w:tc>
          <w:tcPr>
            <w:tcW w:w="722" w:type="dxa"/>
            <w:tcBorders>
              <w:top w:val="nil"/>
              <w:bottom w:val="nil"/>
            </w:tcBorders>
          </w:tcPr>
          <w:p w:rsidR="00212513" w:rsidRDefault="00212513">
            <w:pPr>
              <w:pStyle w:val="ConsPlusNormal"/>
              <w:jc w:val="center"/>
            </w:pPr>
            <w:r>
              <w:t>0,872</w:t>
            </w:r>
          </w:p>
        </w:tc>
        <w:tc>
          <w:tcPr>
            <w:tcW w:w="722" w:type="dxa"/>
            <w:tcBorders>
              <w:top w:val="nil"/>
              <w:bottom w:val="nil"/>
            </w:tcBorders>
          </w:tcPr>
          <w:p w:rsidR="00212513" w:rsidRDefault="00212513">
            <w:pPr>
              <w:pStyle w:val="ConsPlusNormal"/>
              <w:jc w:val="center"/>
            </w:pPr>
            <w:r>
              <w:t>0,879</w:t>
            </w:r>
          </w:p>
        </w:tc>
        <w:tc>
          <w:tcPr>
            <w:tcW w:w="722" w:type="dxa"/>
            <w:tcBorders>
              <w:top w:val="nil"/>
              <w:bottom w:val="nil"/>
            </w:tcBorders>
          </w:tcPr>
          <w:p w:rsidR="00212513" w:rsidRDefault="00212513">
            <w:pPr>
              <w:pStyle w:val="ConsPlusNormal"/>
              <w:jc w:val="center"/>
            </w:pPr>
            <w:r>
              <w:t>0,880</w:t>
            </w:r>
          </w:p>
        </w:tc>
        <w:tc>
          <w:tcPr>
            <w:tcW w:w="722" w:type="dxa"/>
            <w:tcBorders>
              <w:top w:val="nil"/>
              <w:bottom w:val="nil"/>
            </w:tcBorders>
          </w:tcPr>
          <w:p w:rsidR="00212513" w:rsidRDefault="00212513">
            <w:pPr>
              <w:pStyle w:val="ConsPlusNormal"/>
              <w:jc w:val="center"/>
            </w:pPr>
            <w:r>
              <w:t>0,881</w:t>
            </w:r>
          </w:p>
        </w:tc>
        <w:tc>
          <w:tcPr>
            <w:tcW w:w="1020" w:type="dxa"/>
            <w:tcBorders>
              <w:top w:val="nil"/>
              <w:bottom w:val="nil"/>
            </w:tcBorders>
          </w:tcPr>
          <w:p w:rsidR="00212513" w:rsidRDefault="00212513">
            <w:pPr>
              <w:pStyle w:val="ConsPlusNormal"/>
              <w:jc w:val="center"/>
            </w:pPr>
            <w:r>
              <w:t>0,881</w:t>
            </w:r>
          </w:p>
        </w:tc>
      </w:tr>
      <w:tr w:rsidR="00212513">
        <w:tblPrEx>
          <w:tblBorders>
            <w:insideH w:val="none" w:sz="0" w:space="0" w:color="auto"/>
          </w:tblBorders>
        </w:tblPrEx>
        <w:tc>
          <w:tcPr>
            <w:tcW w:w="567" w:type="dxa"/>
            <w:tcBorders>
              <w:top w:val="nil"/>
              <w:bottom w:val="nil"/>
            </w:tcBorders>
          </w:tcPr>
          <w:p w:rsidR="00212513" w:rsidRDefault="00212513">
            <w:pPr>
              <w:pStyle w:val="ConsPlusNormal"/>
              <w:jc w:val="center"/>
            </w:pPr>
            <w:r>
              <w:t>0,6</w:t>
            </w:r>
          </w:p>
        </w:tc>
        <w:tc>
          <w:tcPr>
            <w:tcW w:w="1531" w:type="dxa"/>
            <w:tcBorders>
              <w:top w:val="nil"/>
              <w:bottom w:val="nil"/>
            </w:tcBorders>
          </w:tcPr>
          <w:p w:rsidR="00212513" w:rsidRDefault="00212513">
            <w:pPr>
              <w:pStyle w:val="ConsPlusNormal"/>
              <w:jc w:val="center"/>
            </w:pPr>
            <w:r>
              <w:t>0,547</w:t>
            </w:r>
          </w:p>
        </w:tc>
        <w:tc>
          <w:tcPr>
            <w:tcW w:w="722" w:type="dxa"/>
            <w:tcBorders>
              <w:top w:val="nil"/>
              <w:bottom w:val="nil"/>
            </w:tcBorders>
          </w:tcPr>
          <w:p w:rsidR="00212513" w:rsidRDefault="00212513">
            <w:pPr>
              <w:pStyle w:val="ConsPlusNormal"/>
              <w:jc w:val="center"/>
            </w:pPr>
            <w:r>
              <w:t>0,606</w:t>
            </w:r>
          </w:p>
        </w:tc>
        <w:tc>
          <w:tcPr>
            <w:tcW w:w="722" w:type="dxa"/>
            <w:tcBorders>
              <w:top w:val="nil"/>
              <w:bottom w:val="nil"/>
            </w:tcBorders>
          </w:tcPr>
          <w:p w:rsidR="00212513" w:rsidRDefault="00212513">
            <w:pPr>
              <w:pStyle w:val="ConsPlusNormal"/>
              <w:jc w:val="center"/>
            </w:pPr>
            <w:r>
              <w:t>0,651</w:t>
            </w:r>
          </w:p>
        </w:tc>
        <w:tc>
          <w:tcPr>
            <w:tcW w:w="722" w:type="dxa"/>
            <w:tcBorders>
              <w:top w:val="nil"/>
              <w:bottom w:val="nil"/>
            </w:tcBorders>
          </w:tcPr>
          <w:p w:rsidR="00212513" w:rsidRDefault="00212513">
            <w:pPr>
              <w:pStyle w:val="ConsPlusNormal"/>
              <w:jc w:val="center"/>
            </w:pPr>
            <w:r>
              <w:t>0,682</w:t>
            </w:r>
          </w:p>
        </w:tc>
        <w:tc>
          <w:tcPr>
            <w:tcW w:w="722" w:type="dxa"/>
            <w:tcBorders>
              <w:top w:val="nil"/>
              <w:bottom w:val="nil"/>
            </w:tcBorders>
          </w:tcPr>
          <w:p w:rsidR="00212513" w:rsidRDefault="00212513">
            <w:pPr>
              <w:pStyle w:val="ConsPlusNormal"/>
              <w:jc w:val="center"/>
            </w:pPr>
            <w:r>
              <w:t>0,703</w:t>
            </w:r>
          </w:p>
        </w:tc>
        <w:tc>
          <w:tcPr>
            <w:tcW w:w="722" w:type="dxa"/>
            <w:tcBorders>
              <w:top w:val="nil"/>
              <w:bottom w:val="nil"/>
            </w:tcBorders>
          </w:tcPr>
          <w:p w:rsidR="00212513" w:rsidRDefault="00212513">
            <w:pPr>
              <w:pStyle w:val="ConsPlusNormal"/>
              <w:jc w:val="center"/>
            </w:pPr>
            <w:r>
              <w:t>0,717</w:t>
            </w:r>
          </w:p>
        </w:tc>
        <w:tc>
          <w:tcPr>
            <w:tcW w:w="722" w:type="dxa"/>
            <w:tcBorders>
              <w:top w:val="nil"/>
              <w:bottom w:val="nil"/>
            </w:tcBorders>
          </w:tcPr>
          <w:p w:rsidR="00212513" w:rsidRDefault="00212513">
            <w:pPr>
              <w:pStyle w:val="ConsPlusNormal"/>
              <w:jc w:val="center"/>
            </w:pPr>
            <w:r>
              <w:t>0,727</w:t>
            </w:r>
          </w:p>
        </w:tc>
        <w:tc>
          <w:tcPr>
            <w:tcW w:w="722" w:type="dxa"/>
            <w:tcBorders>
              <w:top w:val="nil"/>
              <w:bottom w:val="nil"/>
            </w:tcBorders>
          </w:tcPr>
          <w:p w:rsidR="00212513" w:rsidRDefault="00212513">
            <w:pPr>
              <w:pStyle w:val="ConsPlusNormal"/>
              <w:jc w:val="center"/>
            </w:pPr>
            <w:r>
              <w:t>0,757</w:t>
            </w:r>
          </w:p>
        </w:tc>
        <w:tc>
          <w:tcPr>
            <w:tcW w:w="722" w:type="dxa"/>
            <w:tcBorders>
              <w:top w:val="nil"/>
              <w:bottom w:val="nil"/>
            </w:tcBorders>
          </w:tcPr>
          <w:p w:rsidR="00212513" w:rsidRDefault="00212513">
            <w:pPr>
              <w:pStyle w:val="ConsPlusNormal"/>
              <w:jc w:val="center"/>
            </w:pPr>
            <w:r>
              <w:t>0,746</w:t>
            </w:r>
          </w:p>
        </w:tc>
        <w:tc>
          <w:tcPr>
            <w:tcW w:w="722" w:type="dxa"/>
            <w:tcBorders>
              <w:top w:val="nil"/>
              <w:bottom w:val="nil"/>
            </w:tcBorders>
          </w:tcPr>
          <w:p w:rsidR="00212513" w:rsidRDefault="00212513">
            <w:pPr>
              <w:pStyle w:val="ConsPlusNormal"/>
              <w:jc w:val="center"/>
            </w:pPr>
            <w:r>
              <w:t>0,749</w:t>
            </w:r>
          </w:p>
        </w:tc>
        <w:tc>
          <w:tcPr>
            <w:tcW w:w="722" w:type="dxa"/>
            <w:tcBorders>
              <w:top w:val="nil"/>
              <w:bottom w:val="nil"/>
            </w:tcBorders>
          </w:tcPr>
          <w:p w:rsidR="00212513" w:rsidRDefault="00212513">
            <w:pPr>
              <w:pStyle w:val="ConsPlusNormal"/>
              <w:jc w:val="center"/>
            </w:pPr>
            <w:r>
              <w:t>0,753</w:t>
            </w:r>
          </w:p>
        </w:tc>
        <w:tc>
          <w:tcPr>
            <w:tcW w:w="722" w:type="dxa"/>
            <w:tcBorders>
              <w:top w:val="nil"/>
              <w:bottom w:val="nil"/>
            </w:tcBorders>
          </w:tcPr>
          <w:p w:rsidR="00212513" w:rsidRDefault="00212513">
            <w:pPr>
              <w:pStyle w:val="ConsPlusNormal"/>
              <w:jc w:val="center"/>
            </w:pPr>
            <w:r>
              <w:t>0,754</w:t>
            </w:r>
          </w:p>
        </w:tc>
        <w:tc>
          <w:tcPr>
            <w:tcW w:w="1020" w:type="dxa"/>
            <w:tcBorders>
              <w:top w:val="nil"/>
              <w:bottom w:val="nil"/>
            </w:tcBorders>
          </w:tcPr>
          <w:p w:rsidR="00212513" w:rsidRDefault="00212513">
            <w:pPr>
              <w:pStyle w:val="ConsPlusNormal"/>
              <w:jc w:val="center"/>
            </w:pPr>
            <w:r>
              <w:t>0,755</w:t>
            </w:r>
          </w:p>
        </w:tc>
      </w:tr>
      <w:tr w:rsidR="00212513">
        <w:tblPrEx>
          <w:tblBorders>
            <w:insideH w:val="none" w:sz="0" w:space="0" w:color="auto"/>
          </w:tblBorders>
        </w:tblPrEx>
        <w:tc>
          <w:tcPr>
            <w:tcW w:w="567" w:type="dxa"/>
            <w:tcBorders>
              <w:top w:val="nil"/>
              <w:bottom w:val="nil"/>
            </w:tcBorders>
          </w:tcPr>
          <w:p w:rsidR="00212513" w:rsidRDefault="00212513">
            <w:pPr>
              <w:pStyle w:val="ConsPlusNormal"/>
              <w:jc w:val="center"/>
            </w:pPr>
            <w:r>
              <w:t>0,8</w:t>
            </w:r>
          </w:p>
        </w:tc>
        <w:tc>
          <w:tcPr>
            <w:tcW w:w="1531" w:type="dxa"/>
            <w:tcBorders>
              <w:top w:val="nil"/>
              <w:bottom w:val="nil"/>
            </w:tcBorders>
          </w:tcPr>
          <w:p w:rsidR="00212513" w:rsidRDefault="00212513">
            <w:pPr>
              <w:pStyle w:val="ConsPlusNormal"/>
              <w:jc w:val="center"/>
            </w:pPr>
            <w:r>
              <w:t>0,390</w:t>
            </w:r>
          </w:p>
        </w:tc>
        <w:tc>
          <w:tcPr>
            <w:tcW w:w="722" w:type="dxa"/>
            <w:tcBorders>
              <w:top w:val="nil"/>
              <w:bottom w:val="nil"/>
            </w:tcBorders>
          </w:tcPr>
          <w:p w:rsidR="00212513" w:rsidRDefault="00212513">
            <w:pPr>
              <w:pStyle w:val="ConsPlusNormal"/>
              <w:jc w:val="center"/>
            </w:pPr>
            <w:r>
              <w:t>0,449</w:t>
            </w:r>
          </w:p>
        </w:tc>
        <w:tc>
          <w:tcPr>
            <w:tcW w:w="722" w:type="dxa"/>
            <w:tcBorders>
              <w:top w:val="nil"/>
              <w:bottom w:val="nil"/>
            </w:tcBorders>
          </w:tcPr>
          <w:p w:rsidR="00212513" w:rsidRDefault="00212513">
            <w:pPr>
              <w:pStyle w:val="ConsPlusNormal"/>
              <w:jc w:val="center"/>
            </w:pPr>
            <w:r>
              <w:t>0,496</w:t>
            </w:r>
          </w:p>
        </w:tc>
        <w:tc>
          <w:tcPr>
            <w:tcW w:w="722" w:type="dxa"/>
            <w:tcBorders>
              <w:top w:val="nil"/>
              <w:bottom w:val="nil"/>
            </w:tcBorders>
          </w:tcPr>
          <w:p w:rsidR="00212513" w:rsidRDefault="00212513">
            <w:pPr>
              <w:pStyle w:val="ConsPlusNormal"/>
              <w:jc w:val="center"/>
            </w:pPr>
            <w:r>
              <w:t>0,532</w:t>
            </w:r>
          </w:p>
        </w:tc>
        <w:tc>
          <w:tcPr>
            <w:tcW w:w="722" w:type="dxa"/>
            <w:tcBorders>
              <w:top w:val="nil"/>
              <w:bottom w:val="nil"/>
            </w:tcBorders>
          </w:tcPr>
          <w:p w:rsidR="00212513" w:rsidRDefault="00212513">
            <w:pPr>
              <w:pStyle w:val="ConsPlusNormal"/>
              <w:jc w:val="center"/>
            </w:pPr>
            <w:r>
              <w:t>0,558</w:t>
            </w:r>
          </w:p>
        </w:tc>
        <w:tc>
          <w:tcPr>
            <w:tcW w:w="722" w:type="dxa"/>
            <w:tcBorders>
              <w:top w:val="nil"/>
              <w:bottom w:val="nil"/>
            </w:tcBorders>
          </w:tcPr>
          <w:p w:rsidR="00212513" w:rsidRDefault="00212513">
            <w:pPr>
              <w:pStyle w:val="ConsPlusNormal"/>
              <w:jc w:val="center"/>
            </w:pPr>
            <w:r>
              <w:t>0,578</w:t>
            </w:r>
          </w:p>
        </w:tc>
        <w:tc>
          <w:tcPr>
            <w:tcW w:w="722" w:type="dxa"/>
            <w:tcBorders>
              <w:top w:val="nil"/>
              <w:bottom w:val="nil"/>
            </w:tcBorders>
          </w:tcPr>
          <w:p w:rsidR="00212513" w:rsidRDefault="00212513">
            <w:pPr>
              <w:pStyle w:val="ConsPlusNormal"/>
              <w:jc w:val="center"/>
            </w:pPr>
            <w:r>
              <w:t>0,593</w:t>
            </w:r>
          </w:p>
        </w:tc>
        <w:tc>
          <w:tcPr>
            <w:tcW w:w="722" w:type="dxa"/>
            <w:tcBorders>
              <w:top w:val="nil"/>
              <w:bottom w:val="nil"/>
            </w:tcBorders>
          </w:tcPr>
          <w:p w:rsidR="00212513" w:rsidRDefault="00212513">
            <w:pPr>
              <w:pStyle w:val="ConsPlusNormal"/>
              <w:jc w:val="center"/>
            </w:pPr>
            <w:r>
              <w:t>0,612</w:t>
            </w:r>
          </w:p>
        </w:tc>
        <w:tc>
          <w:tcPr>
            <w:tcW w:w="722" w:type="dxa"/>
            <w:tcBorders>
              <w:top w:val="nil"/>
              <w:bottom w:val="nil"/>
            </w:tcBorders>
          </w:tcPr>
          <w:p w:rsidR="00212513" w:rsidRDefault="00212513">
            <w:pPr>
              <w:pStyle w:val="ConsPlusNormal"/>
              <w:jc w:val="center"/>
            </w:pPr>
            <w:r>
              <w:t>0,623</w:t>
            </w:r>
          </w:p>
        </w:tc>
        <w:tc>
          <w:tcPr>
            <w:tcW w:w="722" w:type="dxa"/>
            <w:tcBorders>
              <w:top w:val="nil"/>
              <w:bottom w:val="nil"/>
            </w:tcBorders>
          </w:tcPr>
          <w:p w:rsidR="00212513" w:rsidRDefault="00212513">
            <w:pPr>
              <w:pStyle w:val="ConsPlusNormal"/>
              <w:jc w:val="center"/>
            </w:pPr>
            <w:r>
              <w:t>0,630</w:t>
            </w:r>
          </w:p>
        </w:tc>
        <w:tc>
          <w:tcPr>
            <w:tcW w:w="722" w:type="dxa"/>
            <w:tcBorders>
              <w:top w:val="nil"/>
              <w:bottom w:val="nil"/>
            </w:tcBorders>
          </w:tcPr>
          <w:p w:rsidR="00212513" w:rsidRDefault="00212513">
            <w:pPr>
              <w:pStyle w:val="ConsPlusNormal"/>
              <w:jc w:val="center"/>
            </w:pPr>
            <w:r>
              <w:t>0,636</w:t>
            </w:r>
          </w:p>
        </w:tc>
        <w:tc>
          <w:tcPr>
            <w:tcW w:w="722" w:type="dxa"/>
            <w:tcBorders>
              <w:top w:val="nil"/>
              <w:bottom w:val="nil"/>
            </w:tcBorders>
          </w:tcPr>
          <w:p w:rsidR="00212513" w:rsidRDefault="00212513">
            <w:pPr>
              <w:pStyle w:val="ConsPlusNormal"/>
              <w:jc w:val="center"/>
            </w:pPr>
            <w:r>
              <w:t>0,639</w:t>
            </w:r>
          </w:p>
        </w:tc>
        <w:tc>
          <w:tcPr>
            <w:tcW w:w="1020" w:type="dxa"/>
            <w:tcBorders>
              <w:top w:val="nil"/>
              <w:bottom w:val="nil"/>
            </w:tcBorders>
          </w:tcPr>
          <w:p w:rsidR="00212513" w:rsidRDefault="00212513">
            <w:pPr>
              <w:pStyle w:val="ConsPlusNormal"/>
              <w:jc w:val="center"/>
            </w:pPr>
            <w:r>
              <w:t>0,642</w:t>
            </w:r>
          </w:p>
        </w:tc>
      </w:tr>
      <w:tr w:rsidR="00212513">
        <w:tblPrEx>
          <w:tblBorders>
            <w:insideH w:val="none" w:sz="0" w:space="0" w:color="auto"/>
          </w:tblBorders>
        </w:tblPrEx>
        <w:tc>
          <w:tcPr>
            <w:tcW w:w="567" w:type="dxa"/>
            <w:tcBorders>
              <w:top w:val="nil"/>
              <w:bottom w:val="nil"/>
            </w:tcBorders>
          </w:tcPr>
          <w:p w:rsidR="00212513" w:rsidRDefault="00212513">
            <w:pPr>
              <w:pStyle w:val="ConsPlusNormal"/>
              <w:jc w:val="center"/>
            </w:pPr>
            <w:r>
              <w:t>1,0</w:t>
            </w:r>
          </w:p>
        </w:tc>
        <w:tc>
          <w:tcPr>
            <w:tcW w:w="1531" w:type="dxa"/>
            <w:tcBorders>
              <w:top w:val="nil"/>
              <w:bottom w:val="nil"/>
            </w:tcBorders>
          </w:tcPr>
          <w:p w:rsidR="00212513" w:rsidRDefault="00212513">
            <w:pPr>
              <w:pStyle w:val="ConsPlusNormal"/>
              <w:jc w:val="center"/>
            </w:pPr>
            <w:r>
              <w:t>0,285</w:t>
            </w:r>
          </w:p>
        </w:tc>
        <w:tc>
          <w:tcPr>
            <w:tcW w:w="722" w:type="dxa"/>
            <w:tcBorders>
              <w:top w:val="nil"/>
              <w:bottom w:val="nil"/>
            </w:tcBorders>
          </w:tcPr>
          <w:p w:rsidR="00212513" w:rsidRDefault="00212513">
            <w:pPr>
              <w:pStyle w:val="ConsPlusNormal"/>
              <w:jc w:val="center"/>
            </w:pPr>
            <w:r>
              <w:t>0,334</w:t>
            </w:r>
          </w:p>
        </w:tc>
        <w:tc>
          <w:tcPr>
            <w:tcW w:w="722" w:type="dxa"/>
            <w:tcBorders>
              <w:top w:val="nil"/>
              <w:bottom w:val="nil"/>
            </w:tcBorders>
          </w:tcPr>
          <w:p w:rsidR="00212513" w:rsidRDefault="00212513">
            <w:pPr>
              <w:pStyle w:val="ConsPlusNormal"/>
              <w:jc w:val="center"/>
            </w:pPr>
            <w:r>
              <w:t>0,378</w:t>
            </w:r>
          </w:p>
        </w:tc>
        <w:tc>
          <w:tcPr>
            <w:tcW w:w="722" w:type="dxa"/>
            <w:tcBorders>
              <w:top w:val="nil"/>
              <w:bottom w:val="nil"/>
            </w:tcBorders>
          </w:tcPr>
          <w:p w:rsidR="00212513" w:rsidRDefault="00212513">
            <w:pPr>
              <w:pStyle w:val="ConsPlusNormal"/>
              <w:jc w:val="center"/>
            </w:pPr>
            <w:r>
              <w:t>0,414</w:t>
            </w:r>
          </w:p>
        </w:tc>
        <w:tc>
          <w:tcPr>
            <w:tcW w:w="722" w:type="dxa"/>
            <w:tcBorders>
              <w:top w:val="nil"/>
              <w:bottom w:val="nil"/>
            </w:tcBorders>
          </w:tcPr>
          <w:p w:rsidR="00212513" w:rsidRDefault="00212513">
            <w:pPr>
              <w:pStyle w:val="ConsPlusNormal"/>
              <w:jc w:val="center"/>
            </w:pPr>
            <w:r>
              <w:t>0,441</w:t>
            </w:r>
          </w:p>
        </w:tc>
        <w:tc>
          <w:tcPr>
            <w:tcW w:w="722" w:type="dxa"/>
            <w:tcBorders>
              <w:top w:val="nil"/>
              <w:bottom w:val="nil"/>
            </w:tcBorders>
          </w:tcPr>
          <w:p w:rsidR="00212513" w:rsidRDefault="00212513">
            <w:pPr>
              <w:pStyle w:val="ConsPlusNormal"/>
              <w:jc w:val="center"/>
            </w:pPr>
            <w:r>
              <w:t>0,463</w:t>
            </w:r>
          </w:p>
        </w:tc>
        <w:tc>
          <w:tcPr>
            <w:tcW w:w="722" w:type="dxa"/>
            <w:tcBorders>
              <w:top w:val="nil"/>
              <w:bottom w:val="nil"/>
            </w:tcBorders>
          </w:tcPr>
          <w:p w:rsidR="00212513" w:rsidRDefault="00212513">
            <w:pPr>
              <w:pStyle w:val="ConsPlusNormal"/>
              <w:jc w:val="center"/>
            </w:pPr>
            <w:r>
              <w:t>0,482</w:t>
            </w:r>
          </w:p>
        </w:tc>
        <w:tc>
          <w:tcPr>
            <w:tcW w:w="722" w:type="dxa"/>
            <w:tcBorders>
              <w:top w:val="nil"/>
              <w:bottom w:val="nil"/>
            </w:tcBorders>
          </w:tcPr>
          <w:p w:rsidR="00212513" w:rsidRDefault="00212513">
            <w:pPr>
              <w:pStyle w:val="ConsPlusNormal"/>
              <w:jc w:val="center"/>
            </w:pPr>
            <w:r>
              <w:t>0,505</w:t>
            </w:r>
          </w:p>
        </w:tc>
        <w:tc>
          <w:tcPr>
            <w:tcW w:w="722" w:type="dxa"/>
            <w:tcBorders>
              <w:top w:val="nil"/>
              <w:bottom w:val="nil"/>
            </w:tcBorders>
          </w:tcPr>
          <w:p w:rsidR="00212513" w:rsidRDefault="00212513">
            <w:pPr>
              <w:pStyle w:val="ConsPlusNormal"/>
              <w:jc w:val="center"/>
            </w:pPr>
            <w:r>
              <w:t>0,520</w:t>
            </w:r>
          </w:p>
        </w:tc>
        <w:tc>
          <w:tcPr>
            <w:tcW w:w="722" w:type="dxa"/>
            <w:tcBorders>
              <w:top w:val="nil"/>
              <w:bottom w:val="nil"/>
            </w:tcBorders>
          </w:tcPr>
          <w:p w:rsidR="00212513" w:rsidRDefault="00212513">
            <w:pPr>
              <w:pStyle w:val="ConsPlusNormal"/>
              <w:jc w:val="center"/>
            </w:pPr>
            <w:r>
              <w:t>0,529</w:t>
            </w:r>
          </w:p>
        </w:tc>
        <w:tc>
          <w:tcPr>
            <w:tcW w:w="722" w:type="dxa"/>
            <w:tcBorders>
              <w:top w:val="nil"/>
              <w:bottom w:val="nil"/>
            </w:tcBorders>
          </w:tcPr>
          <w:p w:rsidR="00212513" w:rsidRDefault="00212513">
            <w:pPr>
              <w:pStyle w:val="ConsPlusNormal"/>
              <w:jc w:val="center"/>
            </w:pPr>
            <w:r>
              <w:t>0,540</w:t>
            </w:r>
          </w:p>
        </w:tc>
        <w:tc>
          <w:tcPr>
            <w:tcW w:w="722" w:type="dxa"/>
            <w:tcBorders>
              <w:top w:val="nil"/>
              <w:bottom w:val="nil"/>
            </w:tcBorders>
          </w:tcPr>
          <w:p w:rsidR="00212513" w:rsidRDefault="00212513">
            <w:pPr>
              <w:pStyle w:val="ConsPlusNormal"/>
              <w:jc w:val="center"/>
            </w:pPr>
            <w:r>
              <w:t>0,545</w:t>
            </w:r>
          </w:p>
        </w:tc>
        <w:tc>
          <w:tcPr>
            <w:tcW w:w="1020" w:type="dxa"/>
            <w:tcBorders>
              <w:top w:val="nil"/>
              <w:bottom w:val="nil"/>
            </w:tcBorders>
          </w:tcPr>
          <w:p w:rsidR="00212513" w:rsidRDefault="00212513">
            <w:pPr>
              <w:pStyle w:val="ConsPlusNormal"/>
              <w:jc w:val="center"/>
            </w:pPr>
            <w:r>
              <w:t>0,550</w:t>
            </w:r>
          </w:p>
        </w:tc>
      </w:tr>
      <w:tr w:rsidR="00212513">
        <w:tblPrEx>
          <w:tblBorders>
            <w:insideH w:val="none" w:sz="0" w:space="0" w:color="auto"/>
          </w:tblBorders>
        </w:tblPrEx>
        <w:tc>
          <w:tcPr>
            <w:tcW w:w="567" w:type="dxa"/>
            <w:tcBorders>
              <w:top w:val="nil"/>
              <w:bottom w:val="nil"/>
            </w:tcBorders>
          </w:tcPr>
          <w:p w:rsidR="00212513" w:rsidRDefault="00212513">
            <w:pPr>
              <w:pStyle w:val="ConsPlusNormal"/>
              <w:jc w:val="center"/>
            </w:pPr>
            <w:r>
              <w:t>1,2</w:t>
            </w:r>
          </w:p>
        </w:tc>
        <w:tc>
          <w:tcPr>
            <w:tcW w:w="1531" w:type="dxa"/>
            <w:tcBorders>
              <w:top w:val="nil"/>
              <w:bottom w:val="nil"/>
            </w:tcBorders>
          </w:tcPr>
          <w:p w:rsidR="00212513" w:rsidRDefault="00212513">
            <w:pPr>
              <w:pStyle w:val="ConsPlusNormal"/>
              <w:jc w:val="center"/>
            </w:pPr>
            <w:r>
              <w:t>0,214</w:t>
            </w:r>
          </w:p>
        </w:tc>
        <w:tc>
          <w:tcPr>
            <w:tcW w:w="722" w:type="dxa"/>
            <w:tcBorders>
              <w:top w:val="nil"/>
              <w:bottom w:val="nil"/>
            </w:tcBorders>
          </w:tcPr>
          <w:p w:rsidR="00212513" w:rsidRDefault="00212513">
            <w:pPr>
              <w:pStyle w:val="ConsPlusNormal"/>
              <w:jc w:val="center"/>
            </w:pPr>
            <w:r>
              <w:t>0,257</w:t>
            </w:r>
          </w:p>
        </w:tc>
        <w:tc>
          <w:tcPr>
            <w:tcW w:w="722" w:type="dxa"/>
            <w:tcBorders>
              <w:top w:val="nil"/>
              <w:bottom w:val="nil"/>
            </w:tcBorders>
          </w:tcPr>
          <w:p w:rsidR="00212513" w:rsidRDefault="00212513">
            <w:pPr>
              <w:pStyle w:val="ConsPlusNormal"/>
              <w:jc w:val="center"/>
            </w:pPr>
            <w:r>
              <w:t>0,294</w:t>
            </w:r>
          </w:p>
        </w:tc>
        <w:tc>
          <w:tcPr>
            <w:tcW w:w="722" w:type="dxa"/>
            <w:tcBorders>
              <w:top w:val="nil"/>
              <w:bottom w:val="nil"/>
            </w:tcBorders>
          </w:tcPr>
          <w:p w:rsidR="00212513" w:rsidRDefault="00212513">
            <w:pPr>
              <w:pStyle w:val="ConsPlusNormal"/>
              <w:jc w:val="center"/>
            </w:pPr>
            <w:r>
              <w:t>0,325</w:t>
            </w:r>
          </w:p>
        </w:tc>
        <w:tc>
          <w:tcPr>
            <w:tcW w:w="722" w:type="dxa"/>
            <w:tcBorders>
              <w:top w:val="nil"/>
              <w:bottom w:val="nil"/>
            </w:tcBorders>
          </w:tcPr>
          <w:p w:rsidR="00212513" w:rsidRDefault="00212513">
            <w:pPr>
              <w:pStyle w:val="ConsPlusNormal"/>
              <w:jc w:val="center"/>
            </w:pPr>
            <w:r>
              <w:t>0,352</w:t>
            </w:r>
          </w:p>
        </w:tc>
        <w:tc>
          <w:tcPr>
            <w:tcW w:w="722" w:type="dxa"/>
            <w:tcBorders>
              <w:top w:val="nil"/>
              <w:bottom w:val="nil"/>
            </w:tcBorders>
          </w:tcPr>
          <w:p w:rsidR="00212513" w:rsidRDefault="00212513">
            <w:pPr>
              <w:pStyle w:val="ConsPlusNormal"/>
              <w:jc w:val="center"/>
            </w:pPr>
            <w:r>
              <w:t>0,374</w:t>
            </w:r>
          </w:p>
        </w:tc>
        <w:tc>
          <w:tcPr>
            <w:tcW w:w="722" w:type="dxa"/>
            <w:tcBorders>
              <w:top w:val="nil"/>
              <w:bottom w:val="nil"/>
            </w:tcBorders>
          </w:tcPr>
          <w:p w:rsidR="00212513" w:rsidRDefault="00212513">
            <w:pPr>
              <w:pStyle w:val="ConsPlusNormal"/>
              <w:jc w:val="center"/>
            </w:pPr>
            <w:r>
              <w:t>0,392</w:t>
            </w:r>
          </w:p>
        </w:tc>
        <w:tc>
          <w:tcPr>
            <w:tcW w:w="722" w:type="dxa"/>
            <w:tcBorders>
              <w:top w:val="nil"/>
              <w:bottom w:val="nil"/>
            </w:tcBorders>
          </w:tcPr>
          <w:p w:rsidR="00212513" w:rsidRDefault="00212513">
            <w:pPr>
              <w:pStyle w:val="ConsPlusNormal"/>
              <w:jc w:val="center"/>
            </w:pPr>
            <w:r>
              <w:t>0,419</w:t>
            </w:r>
          </w:p>
        </w:tc>
        <w:tc>
          <w:tcPr>
            <w:tcW w:w="722" w:type="dxa"/>
            <w:tcBorders>
              <w:top w:val="nil"/>
              <w:bottom w:val="nil"/>
            </w:tcBorders>
          </w:tcPr>
          <w:p w:rsidR="00212513" w:rsidRDefault="00212513">
            <w:pPr>
              <w:pStyle w:val="ConsPlusNormal"/>
              <w:jc w:val="center"/>
            </w:pPr>
            <w:r>
              <w:t>0,437</w:t>
            </w:r>
          </w:p>
        </w:tc>
        <w:tc>
          <w:tcPr>
            <w:tcW w:w="722" w:type="dxa"/>
            <w:tcBorders>
              <w:top w:val="nil"/>
              <w:bottom w:val="nil"/>
            </w:tcBorders>
          </w:tcPr>
          <w:p w:rsidR="00212513" w:rsidRDefault="00212513">
            <w:pPr>
              <w:pStyle w:val="ConsPlusNormal"/>
              <w:jc w:val="center"/>
            </w:pPr>
            <w:r>
              <w:t>0,449</w:t>
            </w:r>
          </w:p>
        </w:tc>
        <w:tc>
          <w:tcPr>
            <w:tcW w:w="722" w:type="dxa"/>
            <w:tcBorders>
              <w:top w:val="nil"/>
              <w:bottom w:val="nil"/>
            </w:tcBorders>
          </w:tcPr>
          <w:p w:rsidR="00212513" w:rsidRDefault="00212513">
            <w:pPr>
              <w:pStyle w:val="ConsPlusNormal"/>
              <w:jc w:val="center"/>
            </w:pPr>
            <w:r>
              <w:t>0,462</w:t>
            </w:r>
          </w:p>
        </w:tc>
        <w:tc>
          <w:tcPr>
            <w:tcW w:w="722" w:type="dxa"/>
            <w:tcBorders>
              <w:top w:val="nil"/>
              <w:bottom w:val="nil"/>
            </w:tcBorders>
          </w:tcPr>
          <w:p w:rsidR="00212513" w:rsidRDefault="00212513">
            <w:pPr>
              <w:pStyle w:val="ConsPlusNormal"/>
              <w:jc w:val="center"/>
            </w:pPr>
            <w:r>
              <w:t>0,470</w:t>
            </w:r>
          </w:p>
        </w:tc>
        <w:tc>
          <w:tcPr>
            <w:tcW w:w="1020" w:type="dxa"/>
            <w:tcBorders>
              <w:top w:val="nil"/>
              <w:bottom w:val="nil"/>
            </w:tcBorders>
          </w:tcPr>
          <w:p w:rsidR="00212513" w:rsidRDefault="00212513">
            <w:pPr>
              <w:pStyle w:val="ConsPlusNormal"/>
              <w:jc w:val="center"/>
            </w:pPr>
            <w:r>
              <w:t>0,477</w:t>
            </w:r>
          </w:p>
        </w:tc>
      </w:tr>
      <w:tr w:rsidR="00212513">
        <w:tblPrEx>
          <w:tblBorders>
            <w:insideH w:val="none" w:sz="0" w:space="0" w:color="auto"/>
          </w:tblBorders>
        </w:tblPrEx>
        <w:tc>
          <w:tcPr>
            <w:tcW w:w="567" w:type="dxa"/>
            <w:tcBorders>
              <w:top w:val="nil"/>
              <w:bottom w:val="nil"/>
            </w:tcBorders>
          </w:tcPr>
          <w:p w:rsidR="00212513" w:rsidRDefault="00212513">
            <w:pPr>
              <w:pStyle w:val="ConsPlusNormal"/>
              <w:jc w:val="center"/>
            </w:pPr>
            <w:r>
              <w:t>1,4</w:t>
            </w:r>
          </w:p>
        </w:tc>
        <w:tc>
          <w:tcPr>
            <w:tcW w:w="1531" w:type="dxa"/>
            <w:tcBorders>
              <w:top w:val="nil"/>
              <w:bottom w:val="nil"/>
            </w:tcBorders>
          </w:tcPr>
          <w:p w:rsidR="00212513" w:rsidRDefault="00212513">
            <w:pPr>
              <w:pStyle w:val="ConsPlusNormal"/>
              <w:jc w:val="center"/>
            </w:pPr>
            <w:r>
              <w:t>0,165</w:t>
            </w:r>
          </w:p>
        </w:tc>
        <w:tc>
          <w:tcPr>
            <w:tcW w:w="722" w:type="dxa"/>
            <w:tcBorders>
              <w:top w:val="nil"/>
              <w:bottom w:val="nil"/>
            </w:tcBorders>
          </w:tcPr>
          <w:p w:rsidR="00212513" w:rsidRDefault="00212513">
            <w:pPr>
              <w:pStyle w:val="ConsPlusNormal"/>
              <w:jc w:val="center"/>
            </w:pPr>
            <w:r>
              <w:t>0,201</w:t>
            </w:r>
          </w:p>
        </w:tc>
        <w:tc>
          <w:tcPr>
            <w:tcW w:w="722" w:type="dxa"/>
            <w:tcBorders>
              <w:top w:val="nil"/>
              <w:bottom w:val="nil"/>
            </w:tcBorders>
          </w:tcPr>
          <w:p w:rsidR="00212513" w:rsidRDefault="00212513">
            <w:pPr>
              <w:pStyle w:val="ConsPlusNormal"/>
              <w:jc w:val="center"/>
            </w:pPr>
            <w:r>
              <w:t>0,232</w:t>
            </w:r>
          </w:p>
        </w:tc>
        <w:tc>
          <w:tcPr>
            <w:tcW w:w="722" w:type="dxa"/>
            <w:tcBorders>
              <w:top w:val="nil"/>
              <w:bottom w:val="nil"/>
            </w:tcBorders>
          </w:tcPr>
          <w:p w:rsidR="00212513" w:rsidRDefault="00212513">
            <w:pPr>
              <w:pStyle w:val="ConsPlusNormal"/>
              <w:jc w:val="center"/>
            </w:pPr>
            <w:r>
              <w:t>0,260</w:t>
            </w:r>
          </w:p>
        </w:tc>
        <w:tc>
          <w:tcPr>
            <w:tcW w:w="722" w:type="dxa"/>
            <w:tcBorders>
              <w:top w:val="nil"/>
              <w:bottom w:val="nil"/>
            </w:tcBorders>
          </w:tcPr>
          <w:p w:rsidR="00212513" w:rsidRDefault="00212513">
            <w:pPr>
              <w:pStyle w:val="ConsPlusNormal"/>
              <w:jc w:val="center"/>
            </w:pPr>
            <w:r>
              <w:t>0,284</w:t>
            </w:r>
          </w:p>
        </w:tc>
        <w:tc>
          <w:tcPr>
            <w:tcW w:w="722" w:type="dxa"/>
            <w:tcBorders>
              <w:top w:val="nil"/>
              <w:bottom w:val="nil"/>
            </w:tcBorders>
          </w:tcPr>
          <w:p w:rsidR="00212513" w:rsidRDefault="00212513">
            <w:pPr>
              <w:pStyle w:val="ConsPlusNormal"/>
              <w:jc w:val="center"/>
            </w:pPr>
            <w:r>
              <w:t>0,304</w:t>
            </w:r>
          </w:p>
        </w:tc>
        <w:tc>
          <w:tcPr>
            <w:tcW w:w="722" w:type="dxa"/>
            <w:tcBorders>
              <w:top w:val="nil"/>
              <w:bottom w:val="nil"/>
            </w:tcBorders>
          </w:tcPr>
          <w:p w:rsidR="00212513" w:rsidRDefault="00212513">
            <w:pPr>
              <w:pStyle w:val="ConsPlusNormal"/>
              <w:jc w:val="center"/>
            </w:pPr>
            <w:r>
              <w:t>0,321</w:t>
            </w:r>
          </w:p>
        </w:tc>
        <w:tc>
          <w:tcPr>
            <w:tcW w:w="722" w:type="dxa"/>
            <w:tcBorders>
              <w:top w:val="nil"/>
              <w:bottom w:val="nil"/>
            </w:tcBorders>
          </w:tcPr>
          <w:p w:rsidR="00212513" w:rsidRDefault="00212513">
            <w:pPr>
              <w:pStyle w:val="ConsPlusNormal"/>
              <w:jc w:val="center"/>
            </w:pPr>
            <w:r>
              <w:t>0,350</w:t>
            </w:r>
          </w:p>
        </w:tc>
        <w:tc>
          <w:tcPr>
            <w:tcW w:w="722" w:type="dxa"/>
            <w:tcBorders>
              <w:top w:val="nil"/>
              <w:bottom w:val="nil"/>
            </w:tcBorders>
          </w:tcPr>
          <w:p w:rsidR="00212513" w:rsidRDefault="00212513">
            <w:pPr>
              <w:pStyle w:val="ConsPlusNormal"/>
              <w:jc w:val="center"/>
            </w:pPr>
            <w:r>
              <w:t>0,369</w:t>
            </w:r>
          </w:p>
        </w:tc>
        <w:tc>
          <w:tcPr>
            <w:tcW w:w="722" w:type="dxa"/>
            <w:tcBorders>
              <w:top w:val="nil"/>
              <w:bottom w:val="nil"/>
            </w:tcBorders>
          </w:tcPr>
          <w:p w:rsidR="00212513" w:rsidRDefault="00212513">
            <w:pPr>
              <w:pStyle w:val="ConsPlusNormal"/>
              <w:jc w:val="center"/>
            </w:pPr>
            <w:r>
              <w:t>0,383</w:t>
            </w:r>
          </w:p>
        </w:tc>
        <w:tc>
          <w:tcPr>
            <w:tcW w:w="722" w:type="dxa"/>
            <w:tcBorders>
              <w:top w:val="nil"/>
              <w:bottom w:val="nil"/>
            </w:tcBorders>
          </w:tcPr>
          <w:p w:rsidR="00212513" w:rsidRDefault="00212513">
            <w:pPr>
              <w:pStyle w:val="ConsPlusNormal"/>
              <w:jc w:val="center"/>
            </w:pPr>
            <w:r>
              <w:t>0,400</w:t>
            </w:r>
          </w:p>
        </w:tc>
        <w:tc>
          <w:tcPr>
            <w:tcW w:w="722" w:type="dxa"/>
            <w:tcBorders>
              <w:top w:val="nil"/>
              <w:bottom w:val="nil"/>
            </w:tcBorders>
          </w:tcPr>
          <w:p w:rsidR="00212513" w:rsidRDefault="00212513">
            <w:pPr>
              <w:pStyle w:val="ConsPlusNormal"/>
              <w:jc w:val="center"/>
            </w:pPr>
            <w:r>
              <w:t>0,410</w:t>
            </w:r>
          </w:p>
        </w:tc>
        <w:tc>
          <w:tcPr>
            <w:tcW w:w="1020" w:type="dxa"/>
            <w:tcBorders>
              <w:top w:val="nil"/>
              <w:bottom w:val="nil"/>
            </w:tcBorders>
          </w:tcPr>
          <w:p w:rsidR="00212513" w:rsidRDefault="00212513">
            <w:pPr>
              <w:pStyle w:val="ConsPlusNormal"/>
              <w:jc w:val="center"/>
            </w:pPr>
            <w:r>
              <w:t>0,420</w:t>
            </w:r>
          </w:p>
        </w:tc>
      </w:tr>
      <w:tr w:rsidR="00212513">
        <w:tblPrEx>
          <w:tblBorders>
            <w:insideH w:val="none" w:sz="0" w:space="0" w:color="auto"/>
          </w:tblBorders>
        </w:tblPrEx>
        <w:tc>
          <w:tcPr>
            <w:tcW w:w="567" w:type="dxa"/>
            <w:tcBorders>
              <w:top w:val="nil"/>
              <w:bottom w:val="nil"/>
            </w:tcBorders>
          </w:tcPr>
          <w:p w:rsidR="00212513" w:rsidRDefault="00212513">
            <w:pPr>
              <w:pStyle w:val="ConsPlusNormal"/>
              <w:jc w:val="center"/>
            </w:pPr>
            <w:r>
              <w:t>1,6</w:t>
            </w:r>
          </w:p>
        </w:tc>
        <w:tc>
          <w:tcPr>
            <w:tcW w:w="1531" w:type="dxa"/>
            <w:tcBorders>
              <w:top w:val="nil"/>
              <w:bottom w:val="nil"/>
            </w:tcBorders>
          </w:tcPr>
          <w:p w:rsidR="00212513" w:rsidRDefault="00212513">
            <w:pPr>
              <w:pStyle w:val="ConsPlusNormal"/>
              <w:jc w:val="center"/>
            </w:pPr>
            <w:r>
              <w:t>0,130</w:t>
            </w:r>
          </w:p>
        </w:tc>
        <w:tc>
          <w:tcPr>
            <w:tcW w:w="722" w:type="dxa"/>
            <w:tcBorders>
              <w:top w:val="nil"/>
              <w:bottom w:val="nil"/>
            </w:tcBorders>
          </w:tcPr>
          <w:p w:rsidR="00212513" w:rsidRDefault="00212513">
            <w:pPr>
              <w:pStyle w:val="ConsPlusNormal"/>
              <w:jc w:val="center"/>
            </w:pPr>
            <w:r>
              <w:t>0,160</w:t>
            </w:r>
          </w:p>
        </w:tc>
        <w:tc>
          <w:tcPr>
            <w:tcW w:w="722" w:type="dxa"/>
            <w:tcBorders>
              <w:top w:val="nil"/>
              <w:bottom w:val="nil"/>
            </w:tcBorders>
          </w:tcPr>
          <w:p w:rsidR="00212513" w:rsidRDefault="00212513">
            <w:pPr>
              <w:pStyle w:val="ConsPlusNormal"/>
              <w:jc w:val="center"/>
            </w:pPr>
            <w:r>
              <w:t>0,187</w:t>
            </w:r>
          </w:p>
        </w:tc>
        <w:tc>
          <w:tcPr>
            <w:tcW w:w="722" w:type="dxa"/>
            <w:tcBorders>
              <w:top w:val="nil"/>
              <w:bottom w:val="nil"/>
            </w:tcBorders>
          </w:tcPr>
          <w:p w:rsidR="00212513" w:rsidRDefault="00212513">
            <w:pPr>
              <w:pStyle w:val="ConsPlusNormal"/>
              <w:jc w:val="center"/>
            </w:pPr>
            <w:r>
              <w:t>0,210</w:t>
            </w:r>
          </w:p>
        </w:tc>
        <w:tc>
          <w:tcPr>
            <w:tcW w:w="722" w:type="dxa"/>
            <w:tcBorders>
              <w:top w:val="nil"/>
              <w:bottom w:val="nil"/>
            </w:tcBorders>
          </w:tcPr>
          <w:p w:rsidR="00212513" w:rsidRDefault="00212513">
            <w:pPr>
              <w:pStyle w:val="ConsPlusNormal"/>
              <w:jc w:val="center"/>
            </w:pPr>
            <w:r>
              <w:t>0,232</w:t>
            </w:r>
          </w:p>
        </w:tc>
        <w:tc>
          <w:tcPr>
            <w:tcW w:w="722" w:type="dxa"/>
            <w:tcBorders>
              <w:top w:val="nil"/>
              <w:bottom w:val="nil"/>
            </w:tcBorders>
          </w:tcPr>
          <w:p w:rsidR="00212513" w:rsidRDefault="00212513">
            <w:pPr>
              <w:pStyle w:val="ConsPlusNormal"/>
              <w:jc w:val="center"/>
            </w:pPr>
            <w:r>
              <w:t>0,251</w:t>
            </w:r>
          </w:p>
        </w:tc>
        <w:tc>
          <w:tcPr>
            <w:tcW w:w="722" w:type="dxa"/>
            <w:tcBorders>
              <w:top w:val="nil"/>
              <w:bottom w:val="nil"/>
            </w:tcBorders>
          </w:tcPr>
          <w:p w:rsidR="00212513" w:rsidRDefault="00212513">
            <w:pPr>
              <w:pStyle w:val="ConsPlusNormal"/>
              <w:jc w:val="center"/>
            </w:pPr>
            <w:r>
              <w:t>0,267</w:t>
            </w:r>
          </w:p>
        </w:tc>
        <w:tc>
          <w:tcPr>
            <w:tcW w:w="722" w:type="dxa"/>
            <w:tcBorders>
              <w:top w:val="nil"/>
              <w:bottom w:val="nil"/>
            </w:tcBorders>
          </w:tcPr>
          <w:p w:rsidR="00212513" w:rsidRDefault="00212513">
            <w:pPr>
              <w:pStyle w:val="ConsPlusNormal"/>
              <w:jc w:val="center"/>
            </w:pPr>
            <w:r>
              <w:t>0,294</w:t>
            </w:r>
          </w:p>
        </w:tc>
        <w:tc>
          <w:tcPr>
            <w:tcW w:w="722" w:type="dxa"/>
            <w:tcBorders>
              <w:top w:val="nil"/>
              <w:bottom w:val="nil"/>
            </w:tcBorders>
          </w:tcPr>
          <w:p w:rsidR="00212513" w:rsidRDefault="00212513">
            <w:pPr>
              <w:pStyle w:val="ConsPlusNormal"/>
              <w:jc w:val="center"/>
            </w:pPr>
            <w:r>
              <w:t>0,314</w:t>
            </w:r>
          </w:p>
        </w:tc>
        <w:tc>
          <w:tcPr>
            <w:tcW w:w="722" w:type="dxa"/>
            <w:tcBorders>
              <w:top w:val="nil"/>
              <w:bottom w:val="nil"/>
            </w:tcBorders>
          </w:tcPr>
          <w:p w:rsidR="00212513" w:rsidRDefault="00212513">
            <w:pPr>
              <w:pStyle w:val="ConsPlusNormal"/>
              <w:jc w:val="center"/>
            </w:pPr>
            <w:r>
              <w:t>0,329</w:t>
            </w:r>
          </w:p>
        </w:tc>
        <w:tc>
          <w:tcPr>
            <w:tcW w:w="722" w:type="dxa"/>
            <w:tcBorders>
              <w:top w:val="nil"/>
              <w:bottom w:val="nil"/>
            </w:tcBorders>
          </w:tcPr>
          <w:p w:rsidR="00212513" w:rsidRDefault="00212513">
            <w:pPr>
              <w:pStyle w:val="ConsPlusNormal"/>
              <w:jc w:val="center"/>
            </w:pPr>
            <w:r>
              <w:t>0,348</w:t>
            </w:r>
          </w:p>
        </w:tc>
        <w:tc>
          <w:tcPr>
            <w:tcW w:w="722" w:type="dxa"/>
            <w:tcBorders>
              <w:top w:val="nil"/>
              <w:bottom w:val="nil"/>
            </w:tcBorders>
          </w:tcPr>
          <w:p w:rsidR="00212513" w:rsidRDefault="00212513">
            <w:pPr>
              <w:pStyle w:val="ConsPlusNormal"/>
              <w:jc w:val="center"/>
            </w:pPr>
            <w:r>
              <w:t>0,360</w:t>
            </w:r>
          </w:p>
        </w:tc>
        <w:tc>
          <w:tcPr>
            <w:tcW w:w="1020" w:type="dxa"/>
            <w:tcBorders>
              <w:top w:val="nil"/>
              <w:bottom w:val="nil"/>
            </w:tcBorders>
          </w:tcPr>
          <w:p w:rsidR="00212513" w:rsidRDefault="00212513">
            <w:pPr>
              <w:pStyle w:val="ConsPlusNormal"/>
              <w:jc w:val="center"/>
            </w:pPr>
            <w:r>
              <w:t>0,374</w:t>
            </w:r>
          </w:p>
        </w:tc>
      </w:tr>
      <w:tr w:rsidR="00212513">
        <w:tblPrEx>
          <w:tblBorders>
            <w:insideH w:val="none" w:sz="0" w:space="0" w:color="auto"/>
          </w:tblBorders>
        </w:tblPrEx>
        <w:tc>
          <w:tcPr>
            <w:tcW w:w="567" w:type="dxa"/>
            <w:tcBorders>
              <w:top w:val="nil"/>
              <w:bottom w:val="nil"/>
            </w:tcBorders>
          </w:tcPr>
          <w:p w:rsidR="00212513" w:rsidRDefault="00212513">
            <w:pPr>
              <w:pStyle w:val="ConsPlusNormal"/>
              <w:jc w:val="center"/>
            </w:pPr>
            <w:r>
              <w:t>1,8</w:t>
            </w:r>
          </w:p>
        </w:tc>
        <w:tc>
          <w:tcPr>
            <w:tcW w:w="1531" w:type="dxa"/>
            <w:tcBorders>
              <w:top w:val="nil"/>
              <w:bottom w:val="nil"/>
            </w:tcBorders>
          </w:tcPr>
          <w:p w:rsidR="00212513" w:rsidRDefault="00212513">
            <w:pPr>
              <w:pStyle w:val="ConsPlusNormal"/>
              <w:jc w:val="center"/>
            </w:pPr>
            <w:r>
              <w:t>0,106</w:t>
            </w:r>
          </w:p>
        </w:tc>
        <w:tc>
          <w:tcPr>
            <w:tcW w:w="722" w:type="dxa"/>
            <w:tcBorders>
              <w:top w:val="nil"/>
              <w:bottom w:val="nil"/>
            </w:tcBorders>
          </w:tcPr>
          <w:p w:rsidR="00212513" w:rsidRDefault="00212513">
            <w:pPr>
              <w:pStyle w:val="ConsPlusNormal"/>
              <w:jc w:val="center"/>
            </w:pPr>
            <w:r>
              <w:t>0,130</w:t>
            </w:r>
          </w:p>
        </w:tc>
        <w:tc>
          <w:tcPr>
            <w:tcW w:w="722" w:type="dxa"/>
            <w:tcBorders>
              <w:top w:val="nil"/>
              <w:bottom w:val="nil"/>
            </w:tcBorders>
          </w:tcPr>
          <w:p w:rsidR="00212513" w:rsidRDefault="00212513">
            <w:pPr>
              <w:pStyle w:val="ConsPlusNormal"/>
              <w:jc w:val="center"/>
            </w:pPr>
            <w:r>
              <w:t>0,153</w:t>
            </w:r>
          </w:p>
        </w:tc>
        <w:tc>
          <w:tcPr>
            <w:tcW w:w="722" w:type="dxa"/>
            <w:tcBorders>
              <w:top w:val="nil"/>
              <w:bottom w:val="nil"/>
            </w:tcBorders>
          </w:tcPr>
          <w:p w:rsidR="00212513" w:rsidRDefault="00212513">
            <w:pPr>
              <w:pStyle w:val="ConsPlusNormal"/>
              <w:jc w:val="center"/>
            </w:pPr>
            <w:r>
              <w:t>0,173</w:t>
            </w:r>
          </w:p>
        </w:tc>
        <w:tc>
          <w:tcPr>
            <w:tcW w:w="722" w:type="dxa"/>
            <w:tcBorders>
              <w:top w:val="nil"/>
              <w:bottom w:val="nil"/>
            </w:tcBorders>
          </w:tcPr>
          <w:p w:rsidR="00212513" w:rsidRDefault="00212513">
            <w:pPr>
              <w:pStyle w:val="ConsPlusNormal"/>
              <w:jc w:val="center"/>
            </w:pPr>
            <w:r>
              <w:t>0,191</w:t>
            </w:r>
          </w:p>
        </w:tc>
        <w:tc>
          <w:tcPr>
            <w:tcW w:w="722" w:type="dxa"/>
            <w:tcBorders>
              <w:top w:val="nil"/>
              <w:bottom w:val="nil"/>
            </w:tcBorders>
          </w:tcPr>
          <w:p w:rsidR="00212513" w:rsidRDefault="00212513">
            <w:pPr>
              <w:pStyle w:val="ConsPlusNormal"/>
              <w:jc w:val="center"/>
            </w:pPr>
            <w:r>
              <w:t>0,209</w:t>
            </w:r>
          </w:p>
        </w:tc>
        <w:tc>
          <w:tcPr>
            <w:tcW w:w="722" w:type="dxa"/>
            <w:tcBorders>
              <w:top w:val="nil"/>
              <w:bottom w:val="nil"/>
            </w:tcBorders>
          </w:tcPr>
          <w:p w:rsidR="00212513" w:rsidRDefault="00212513">
            <w:pPr>
              <w:pStyle w:val="ConsPlusNormal"/>
              <w:jc w:val="center"/>
            </w:pPr>
            <w:r>
              <w:t>0,224</w:t>
            </w:r>
          </w:p>
        </w:tc>
        <w:tc>
          <w:tcPr>
            <w:tcW w:w="722" w:type="dxa"/>
            <w:tcBorders>
              <w:top w:val="nil"/>
              <w:bottom w:val="nil"/>
            </w:tcBorders>
          </w:tcPr>
          <w:p w:rsidR="00212513" w:rsidRDefault="00212513">
            <w:pPr>
              <w:pStyle w:val="ConsPlusNormal"/>
              <w:jc w:val="center"/>
            </w:pPr>
            <w:r>
              <w:t>0,250</w:t>
            </w:r>
          </w:p>
        </w:tc>
        <w:tc>
          <w:tcPr>
            <w:tcW w:w="722" w:type="dxa"/>
            <w:tcBorders>
              <w:top w:val="nil"/>
              <w:bottom w:val="nil"/>
            </w:tcBorders>
          </w:tcPr>
          <w:p w:rsidR="00212513" w:rsidRDefault="00212513">
            <w:pPr>
              <w:pStyle w:val="ConsPlusNormal"/>
              <w:jc w:val="center"/>
            </w:pPr>
            <w:r>
              <w:t>0,270</w:t>
            </w:r>
          </w:p>
        </w:tc>
        <w:tc>
          <w:tcPr>
            <w:tcW w:w="722" w:type="dxa"/>
            <w:tcBorders>
              <w:top w:val="nil"/>
              <w:bottom w:val="nil"/>
            </w:tcBorders>
          </w:tcPr>
          <w:p w:rsidR="00212513" w:rsidRDefault="00212513">
            <w:pPr>
              <w:pStyle w:val="ConsPlusNormal"/>
              <w:jc w:val="center"/>
            </w:pPr>
            <w:r>
              <w:t>0,285</w:t>
            </w:r>
          </w:p>
        </w:tc>
        <w:tc>
          <w:tcPr>
            <w:tcW w:w="722" w:type="dxa"/>
            <w:tcBorders>
              <w:top w:val="nil"/>
              <w:bottom w:val="nil"/>
            </w:tcBorders>
          </w:tcPr>
          <w:p w:rsidR="00212513" w:rsidRDefault="00212513">
            <w:pPr>
              <w:pStyle w:val="ConsPlusNormal"/>
              <w:jc w:val="center"/>
            </w:pPr>
            <w:r>
              <w:t>0,305</w:t>
            </w:r>
          </w:p>
        </w:tc>
        <w:tc>
          <w:tcPr>
            <w:tcW w:w="722" w:type="dxa"/>
            <w:tcBorders>
              <w:top w:val="nil"/>
              <w:bottom w:val="nil"/>
            </w:tcBorders>
          </w:tcPr>
          <w:p w:rsidR="00212513" w:rsidRDefault="00212513">
            <w:pPr>
              <w:pStyle w:val="ConsPlusNormal"/>
              <w:jc w:val="center"/>
            </w:pPr>
            <w:r>
              <w:t>0,320</w:t>
            </w:r>
          </w:p>
        </w:tc>
        <w:tc>
          <w:tcPr>
            <w:tcW w:w="1020" w:type="dxa"/>
            <w:tcBorders>
              <w:top w:val="nil"/>
              <w:bottom w:val="nil"/>
            </w:tcBorders>
          </w:tcPr>
          <w:p w:rsidR="00212513" w:rsidRDefault="00212513">
            <w:pPr>
              <w:pStyle w:val="ConsPlusNormal"/>
              <w:jc w:val="center"/>
            </w:pPr>
            <w:r>
              <w:t>0,337</w:t>
            </w:r>
          </w:p>
        </w:tc>
      </w:tr>
      <w:tr w:rsidR="00212513">
        <w:tblPrEx>
          <w:tblBorders>
            <w:insideH w:val="none" w:sz="0" w:space="0" w:color="auto"/>
          </w:tblBorders>
        </w:tblPrEx>
        <w:tc>
          <w:tcPr>
            <w:tcW w:w="567" w:type="dxa"/>
            <w:tcBorders>
              <w:top w:val="nil"/>
              <w:bottom w:val="nil"/>
            </w:tcBorders>
          </w:tcPr>
          <w:p w:rsidR="00212513" w:rsidRDefault="00212513">
            <w:pPr>
              <w:pStyle w:val="ConsPlusNormal"/>
              <w:jc w:val="center"/>
            </w:pPr>
            <w:r>
              <w:t>2,0</w:t>
            </w:r>
          </w:p>
        </w:tc>
        <w:tc>
          <w:tcPr>
            <w:tcW w:w="1531" w:type="dxa"/>
            <w:tcBorders>
              <w:top w:val="nil"/>
              <w:bottom w:val="nil"/>
            </w:tcBorders>
          </w:tcPr>
          <w:p w:rsidR="00212513" w:rsidRDefault="00212513">
            <w:pPr>
              <w:pStyle w:val="ConsPlusNormal"/>
              <w:jc w:val="center"/>
            </w:pPr>
            <w:r>
              <w:t>0,087</w:t>
            </w:r>
          </w:p>
        </w:tc>
        <w:tc>
          <w:tcPr>
            <w:tcW w:w="722" w:type="dxa"/>
            <w:tcBorders>
              <w:top w:val="nil"/>
              <w:bottom w:val="nil"/>
            </w:tcBorders>
          </w:tcPr>
          <w:p w:rsidR="00212513" w:rsidRDefault="00212513">
            <w:pPr>
              <w:pStyle w:val="ConsPlusNormal"/>
              <w:jc w:val="center"/>
            </w:pPr>
            <w:r>
              <w:t>0,108</w:t>
            </w:r>
          </w:p>
        </w:tc>
        <w:tc>
          <w:tcPr>
            <w:tcW w:w="722" w:type="dxa"/>
            <w:tcBorders>
              <w:top w:val="nil"/>
              <w:bottom w:val="nil"/>
            </w:tcBorders>
          </w:tcPr>
          <w:p w:rsidR="00212513" w:rsidRDefault="00212513">
            <w:pPr>
              <w:pStyle w:val="ConsPlusNormal"/>
              <w:jc w:val="center"/>
            </w:pPr>
            <w:r>
              <w:t>0,127</w:t>
            </w:r>
          </w:p>
        </w:tc>
        <w:tc>
          <w:tcPr>
            <w:tcW w:w="722" w:type="dxa"/>
            <w:tcBorders>
              <w:top w:val="nil"/>
              <w:bottom w:val="nil"/>
            </w:tcBorders>
          </w:tcPr>
          <w:p w:rsidR="00212513" w:rsidRDefault="00212513">
            <w:pPr>
              <w:pStyle w:val="ConsPlusNormal"/>
              <w:jc w:val="center"/>
            </w:pPr>
            <w:r>
              <w:t>0,145</w:t>
            </w:r>
          </w:p>
        </w:tc>
        <w:tc>
          <w:tcPr>
            <w:tcW w:w="722" w:type="dxa"/>
            <w:tcBorders>
              <w:top w:val="nil"/>
              <w:bottom w:val="nil"/>
            </w:tcBorders>
          </w:tcPr>
          <w:p w:rsidR="00212513" w:rsidRDefault="00212513">
            <w:pPr>
              <w:pStyle w:val="ConsPlusNormal"/>
              <w:jc w:val="center"/>
            </w:pPr>
            <w:r>
              <w:t>0,161</w:t>
            </w:r>
          </w:p>
        </w:tc>
        <w:tc>
          <w:tcPr>
            <w:tcW w:w="722" w:type="dxa"/>
            <w:tcBorders>
              <w:top w:val="nil"/>
              <w:bottom w:val="nil"/>
            </w:tcBorders>
          </w:tcPr>
          <w:p w:rsidR="00212513" w:rsidRDefault="00212513">
            <w:pPr>
              <w:pStyle w:val="ConsPlusNormal"/>
              <w:jc w:val="center"/>
            </w:pPr>
            <w:r>
              <w:t>0,176</w:t>
            </w:r>
          </w:p>
        </w:tc>
        <w:tc>
          <w:tcPr>
            <w:tcW w:w="722" w:type="dxa"/>
            <w:tcBorders>
              <w:top w:val="nil"/>
              <w:bottom w:val="nil"/>
            </w:tcBorders>
          </w:tcPr>
          <w:p w:rsidR="00212513" w:rsidRDefault="00212513">
            <w:pPr>
              <w:pStyle w:val="ConsPlusNormal"/>
              <w:jc w:val="center"/>
            </w:pPr>
            <w:r>
              <w:t>0,189</w:t>
            </w:r>
          </w:p>
        </w:tc>
        <w:tc>
          <w:tcPr>
            <w:tcW w:w="722" w:type="dxa"/>
            <w:tcBorders>
              <w:top w:val="nil"/>
              <w:bottom w:val="nil"/>
            </w:tcBorders>
          </w:tcPr>
          <w:p w:rsidR="00212513" w:rsidRDefault="00212513">
            <w:pPr>
              <w:pStyle w:val="ConsPlusNormal"/>
              <w:jc w:val="center"/>
            </w:pPr>
            <w:r>
              <w:t>0,214</w:t>
            </w:r>
          </w:p>
        </w:tc>
        <w:tc>
          <w:tcPr>
            <w:tcW w:w="722" w:type="dxa"/>
            <w:tcBorders>
              <w:top w:val="nil"/>
              <w:bottom w:val="nil"/>
            </w:tcBorders>
          </w:tcPr>
          <w:p w:rsidR="00212513" w:rsidRDefault="00212513">
            <w:pPr>
              <w:pStyle w:val="ConsPlusNormal"/>
              <w:jc w:val="center"/>
            </w:pPr>
            <w:r>
              <w:t>0,233</w:t>
            </w:r>
          </w:p>
        </w:tc>
        <w:tc>
          <w:tcPr>
            <w:tcW w:w="722" w:type="dxa"/>
            <w:tcBorders>
              <w:top w:val="nil"/>
              <w:bottom w:val="nil"/>
            </w:tcBorders>
          </w:tcPr>
          <w:p w:rsidR="00212513" w:rsidRDefault="00212513">
            <w:pPr>
              <w:pStyle w:val="ConsPlusNormal"/>
              <w:jc w:val="center"/>
            </w:pPr>
            <w:r>
              <w:t>0,241</w:t>
            </w:r>
          </w:p>
        </w:tc>
        <w:tc>
          <w:tcPr>
            <w:tcW w:w="722" w:type="dxa"/>
            <w:tcBorders>
              <w:top w:val="nil"/>
              <w:bottom w:val="nil"/>
            </w:tcBorders>
          </w:tcPr>
          <w:p w:rsidR="00212513" w:rsidRDefault="00212513">
            <w:pPr>
              <w:pStyle w:val="ConsPlusNormal"/>
              <w:jc w:val="center"/>
            </w:pPr>
            <w:r>
              <w:t>0,270</w:t>
            </w:r>
          </w:p>
        </w:tc>
        <w:tc>
          <w:tcPr>
            <w:tcW w:w="722" w:type="dxa"/>
            <w:tcBorders>
              <w:top w:val="nil"/>
              <w:bottom w:val="nil"/>
            </w:tcBorders>
          </w:tcPr>
          <w:p w:rsidR="00212513" w:rsidRDefault="00212513">
            <w:pPr>
              <w:pStyle w:val="ConsPlusNormal"/>
              <w:jc w:val="center"/>
            </w:pPr>
            <w:r>
              <w:t>0,285</w:t>
            </w:r>
          </w:p>
        </w:tc>
        <w:tc>
          <w:tcPr>
            <w:tcW w:w="1020" w:type="dxa"/>
            <w:tcBorders>
              <w:top w:val="nil"/>
              <w:bottom w:val="nil"/>
            </w:tcBorders>
          </w:tcPr>
          <w:p w:rsidR="00212513" w:rsidRDefault="00212513">
            <w:pPr>
              <w:pStyle w:val="ConsPlusNormal"/>
              <w:jc w:val="center"/>
            </w:pPr>
            <w:r>
              <w:t>0,304</w:t>
            </w:r>
          </w:p>
        </w:tc>
      </w:tr>
      <w:tr w:rsidR="00212513">
        <w:tblPrEx>
          <w:tblBorders>
            <w:insideH w:val="none" w:sz="0" w:space="0" w:color="auto"/>
          </w:tblBorders>
        </w:tblPrEx>
        <w:tc>
          <w:tcPr>
            <w:tcW w:w="567" w:type="dxa"/>
            <w:tcBorders>
              <w:top w:val="nil"/>
              <w:bottom w:val="nil"/>
            </w:tcBorders>
          </w:tcPr>
          <w:p w:rsidR="00212513" w:rsidRDefault="00212513">
            <w:pPr>
              <w:pStyle w:val="ConsPlusNormal"/>
              <w:jc w:val="center"/>
            </w:pPr>
            <w:r>
              <w:t>2,2</w:t>
            </w:r>
          </w:p>
        </w:tc>
        <w:tc>
          <w:tcPr>
            <w:tcW w:w="1531" w:type="dxa"/>
            <w:tcBorders>
              <w:top w:val="nil"/>
              <w:bottom w:val="nil"/>
            </w:tcBorders>
          </w:tcPr>
          <w:p w:rsidR="00212513" w:rsidRDefault="00212513">
            <w:pPr>
              <w:pStyle w:val="ConsPlusNormal"/>
              <w:jc w:val="center"/>
            </w:pPr>
            <w:r>
              <w:t>0,073</w:t>
            </w:r>
          </w:p>
        </w:tc>
        <w:tc>
          <w:tcPr>
            <w:tcW w:w="722" w:type="dxa"/>
            <w:tcBorders>
              <w:top w:val="nil"/>
              <w:bottom w:val="nil"/>
            </w:tcBorders>
          </w:tcPr>
          <w:p w:rsidR="00212513" w:rsidRDefault="00212513">
            <w:pPr>
              <w:pStyle w:val="ConsPlusNormal"/>
              <w:jc w:val="center"/>
            </w:pPr>
            <w:r>
              <w:t>0,090</w:t>
            </w:r>
          </w:p>
        </w:tc>
        <w:tc>
          <w:tcPr>
            <w:tcW w:w="722" w:type="dxa"/>
            <w:tcBorders>
              <w:top w:val="nil"/>
              <w:bottom w:val="nil"/>
            </w:tcBorders>
          </w:tcPr>
          <w:p w:rsidR="00212513" w:rsidRDefault="00212513">
            <w:pPr>
              <w:pStyle w:val="ConsPlusNormal"/>
              <w:jc w:val="center"/>
            </w:pPr>
            <w:r>
              <w:t>0,107</w:t>
            </w:r>
          </w:p>
        </w:tc>
        <w:tc>
          <w:tcPr>
            <w:tcW w:w="722" w:type="dxa"/>
            <w:tcBorders>
              <w:top w:val="nil"/>
              <w:bottom w:val="nil"/>
            </w:tcBorders>
          </w:tcPr>
          <w:p w:rsidR="00212513" w:rsidRDefault="00212513">
            <w:pPr>
              <w:pStyle w:val="ConsPlusNormal"/>
              <w:jc w:val="center"/>
            </w:pPr>
            <w:r>
              <w:t>0,122</w:t>
            </w:r>
          </w:p>
        </w:tc>
        <w:tc>
          <w:tcPr>
            <w:tcW w:w="722" w:type="dxa"/>
            <w:tcBorders>
              <w:top w:val="nil"/>
              <w:bottom w:val="nil"/>
            </w:tcBorders>
          </w:tcPr>
          <w:p w:rsidR="00212513" w:rsidRDefault="00212513">
            <w:pPr>
              <w:pStyle w:val="ConsPlusNormal"/>
              <w:jc w:val="center"/>
            </w:pPr>
            <w:r>
              <w:t>0,137</w:t>
            </w:r>
          </w:p>
        </w:tc>
        <w:tc>
          <w:tcPr>
            <w:tcW w:w="722" w:type="dxa"/>
            <w:tcBorders>
              <w:top w:val="nil"/>
              <w:bottom w:val="nil"/>
            </w:tcBorders>
          </w:tcPr>
          <w:p w:rsidR="00212513" w:rsidRDefault="00212513">
            <w:pPr>
              <w:pStyle w:val="ConsPlusNormal"/>
              <w:jc w:val="center"/>
            </w:pPr>
            <w:r>
              <w:t>0,150</w:t>
            </w:r>
          </w:p>
        </w:tc>
        <w:tc>
          <w:tcPr>
            <w:tcW w:w="722" w:type="dxa"/>
            <w:tcBorders>
              <w:top w:val="nil"/>
              <w:bottom w:val="nil"/>
            </w:tcBorders>
          </w:tcPr>
          <w:p w:rsidR="00212513" w:rsidRDefault="00212513">
            <w:pPr>
              <w:pStyle w:val="ConsPlusNormal"/>
              <w:jc w:val="center"/>
            </w:pPr>
            <w:r>
              <w:t>0,163</w:t>
            </w:r>
          </w:p>
        </w:tc>
        <w:tc>
          <w:tcPr>
            <w:tcW w:w="722" w:type="dxa"/>
            <w:tcBorders>
              <w:top w:val="nil"/>
              <w:bottom w:val="nil"/>
            </w:tcBorders>
          </w:tcPr>
          <w:p w:rsidR="00212513" w:rsidRDefault="00212513">
            <w:pPr>
              <w:pStyle w:val="ConsPlusNormal"/>
              <w:jc w:val="center"/>
            </w:pPr>
            <w:r>
              <w:t>0,185</w:t>
            </w:r>
          </w:p>
        </w:tc>
        <w:tc>
          <w:tcPr>
            <w:tcW w:w="722" w:type="dxa"/>
            <w:tcBorders>
              <w:top w:val="nil"/>
              <w:bottom w:val="nil"/>
            </w:tcBorders>
          </w:tcPr>
          <w:p w:rsidR="00212513" w:rsidRDefault="00212513">
            <w:pPr>
              <w:pStyle w:val="ConsPlusNormal"/>
              <w:jc w:val="center"/>
            </w:pPr>
            <w:r>
              <w:t>0,208</w:t>
            </w:r>
          </w:p>
        </w:tc>
        <w:tc>
          <w:tcPr>
            <w:tcW w:w="722" w:type="dxa"/>
            <w:tcBorders>
              <w:top w:val="nil"/>
              <w:bottom w:val="nil"/>
            </w:tcBorders>
          </w:tcPr>
          <w:p w:rsidR="00212513" w:rsidRDefault="00212513">
            <w:pPr>
              <w:pStyle w:val="ConsPlusNormal"/>
              <w:jc w:val="center"/>
            </w:pPr>
            <w:r>
              <w:t>0,218</w:t>
            </w:r>
          </w:p>
        </w:tc>
        <w:tc>
          <w:tcPr>
            <w:tcW w:w="722" w:type="dxa"/>
            <w:tcBorders>
              <w:top w:val="nil"/>
              <w:bottom w:val="nil"/>
            </w:tcBorders>
          </w:tcPr>
          <w:p w:rsidR="00212513" w:rsidRDefault="00212513">
            <w:pPr>
              <w:pStyle w:val="ConsPlusNormal"/>
              <w:jc w:val="center"/>
            </w:pPr>
            <w:r>
              <w:t>0,239</w:t>
            </w:r>
          </w:p>
        </w:tc>
        <w:tc>
          <w:tcPr>
            <w:tcW w:w="722" w:type="dxa"/>
            <w:tcBorders>
              <w:top w:val="nil"/>
              <w:bottom w:val="nil"/>
            </w:tcBorders>
          </w:tcPr>
          <w:p w:rsidR="00212513" w:rsidRDefault="00212513">
            <w:pPr>
              <w:pStyle w:val="ConsPlusNormal"/>
              <w:jc w:val="center"/>
            </w:pPr>
            <w:r>
              <w:t>0,256</w:t>
            </w:r>
          </w:p>
        </w:tc>
        <w:tc>
          <w:tcPr>
            <w:tcW w:w="1020" w:type="dxa"/>
            <w:tcBorders>
              <w:top w:val="nil"/>
              <w:bottom w:val="nil"/>
            </w:tcBorders>
          </w:tcPr>
          <w:p w:rsidR="00212513" w:rsidRDefault="00212513">
            <w:pPr>
              <w:pStyle w:val="ConsPlusNormal"/>
              <w:jc w:val="center"/>
            </w:pPr>
            <w:r>
              <w:t>0,280</w:t>
            </w:r>
          </w:p>
        </w:tc>
      </w:tr>
      <w:tr w:rsidR="00212513">
        <w:tblPrEx>
          <w:tblBorders>
            <w:insideH w:val="none" w:sz="0" w:space="0" w:color="auto"/>
          </w:tblBorders>
        </w:tblPrEx>
        <w:tc>
          <w:tcPr>
            <w:tcW w:w="567" w:type="dxa"/>
            <w:tcBorders>
              <w:top w:val="nil"/>
              <w:bottom w:val="nil"/>
            </w:tcBorders>
          </w:tcPr>
          <w:p w:rsidR="00212513" w:rsidRDefault="00212513">
            <w:pPr>
              <w:pStyle w:val="ConsPlusNormal"/>
              <w:jc w:val="center"/>
            </w:pPr>
            <w:r>
              <w:t>2,4</w:t>
            </w:r>
          </w:p>
        </w:tc>
        <w:tc>
          <w:tcPr>
            <w:tcW w:w="1531" w:type="dxa"/>
            <w:tcBorders>
              <w:top w:val="nil"/>
              <w:bottom w:val="nil"/>
            </w:tcBorders>
          </w:tcPr>
          <w:p w:rsidR="00212513" w:rsidRDefault="00212513">
            <w:pPr>
              <w:pStyle w:val="ConsPlusNormal"/>
              <w:jc w:val="center"/>
            </w:pPr>
            <w:r>
              <w:t>0,062</w:t>
            </w:r>
          </w:p>
        </w:tc>
        <w:tc>
          <w:tcPr>
            <w:tcW w:w="722" w:type="dxa"/>
            <w:tcBorders>
              <w:top w:val="nil"/>
              <w:bottom w:val="nil"/>
            </w:tcBorders>
          </w:tcPr>
          <w:p w:rsidR="00212513" w:rsidRDefault="00212513">
            <w:pPr>
              <w:pStyle w:val="ConsPlusNormal"/>
              <w:jc w:val="center"/>
            </w:pPr>
            <w:r>
              <w:t>0,077</w:t>
            </w:r>
          </w:p>
        </w:tc>
        <w:tc>
          <w:tcPr>
            <w:tcW w:w="722" w:type="dxa"/>
            <w:tcBorders>
              <w:top w:val="nil"/>
              <w:bottom w:val="nil"/>
            </w:tcBorders>
          </w:tcPr>
          <w:p w:rsidR="00212513" w:rsidRDefault="00212513">
            <w:pPr>
              <w:pStyle w:val="ConsPlusNormal"/>
              <w:jc w:val="center"/>
            </w:pPr>
            <w:r>
              <w:t>0,092</w:t>
            </w:r>
          </w:p>
        </w:tc>
        <w:tc>
          <w:tcPr>
            <w:tcW w:w="722" w:type="dxa"/>
            <w:tcBorders>
              <w:top w:val="nil"/>
              <w:bottom w:val="nil"/>
            </w:tcBorders>
          </w:tcPr>
          <w:p w:rsidR="00212513" w:rsidRDefault="00212513">
            <w:pPr>
              <w:pStyle w:val="ConsPlusNormal"/>
              <w:jc w:val="center"/>
            </w:pPr>
            <w:r>
              <w:t>0,105</w:t>
            </w:r>
          </w:p>
        </w:tc>
        <w:tc>
          <w:tcPr>
            <w:tcW w:w="722" w:type="dxa"/>
            <w:tcBorders>
              <w:top w:val="nil"/>
              <w:bottom w:val="nil"/>
            </w:tcBorders>
          </w:tcPr>
          <w:p w:rsidR="00212513" w:rsidRDefault="00212513">
            <w:pPr>
              <w:pStyle w:val="ConsPlusNormal"/>
              <w:jc w:val="center"/>
            </w:pPr>
            <w:r>
              <w:t>0,118</w:t>
            </w:r>
          </w:p>
        </w:tc>
        <w:tc>
          <w:tcPr>
            <w:tcW w:w="722" w:type="dxa"/>
            <w:tcBorders>
              <w:top w:val="nil"/>
              <w:bottom w:val="nil"/>
            </w:tcBorders>
          </w:tcPr>
          <w:p w:rsidR="00212513" w:rsidRDefault="00212513">
            <w:pPr>
              <w:pStyle w:val="ConsPlusNormal"/>
              <w:jc w:val="center"/>
            </w:pPr>
            <w:r>
              <w:t>0,130</w:t>
            </w:r>
          </w:p>
        </w:tc>
        <w:tc>
          <w:tcPr>
            <w:tcW w:w="722" w:type="dxa"/>
            <w:tcBorders>
              <w:top w:val="nil"/>
              <w:bottom w:val="nil"/>
            </w:tcBorders>
          </w:tcPr>
          <w:p w:rsidR="00212513" w:rsidRDefault="00212513">
            <w:pPr>
              <w:pStyle w:val="ConsPlusNormal"/>
              <w:jc w:val="center"/>
            </w:pPr>
            <w:r>
              <w:t>0,141</w:t>
            </w:r>
          </w:p>
        </w:tc>
        <w:tc>
          <w:tcPr>
            <w:tcW w:w="722" w:type="dxa"/>
            <w:tcBorders>
              <w:top w:val="nil"/>
              <w:bottom w:val="nil"/>
            </w:tcBorders>
          </w:tcPr>
          <w:p w:rsidR="00212513" w:rsidRDefault="00212513">
            <w:pPr>
              <w:pStyle w:val="ConsPlusNormal"/>
              <w:jc w:val="center"/>
            </w:pPr>
            <w:r>
              <w:t>0,161</w:t>
            </w:r>
          </w:p>
        </w:tc>
        <w:tc>
          <w:tcPr>
            <w:tcW w:w="722" w:type="dxa"/>
            <w:tcBorders>
              <w:top w:val="nil"/>
              <w:bottom w:val="nil"/>
            </w:tcBorders>
          </w:tcPr>
          <w:p w:rsidR="00212513" w:rsidRDefault="00212513">
            <w:pPr>
              <w:pStyle w:val="ConsPlusNormal"/>
              <w:jc w:val="center"/>
            </w:pPr>
            <w:r>
              <w:t>0,178</w:t>
            </w:r>
          </w:p>
        </w:tc>
        <w:tc>
          <w:tcPr>
            <w:tcW w:w="722" w:type="dxa"/>
            <w:tcBorders>
              <w:top w:val="nil"/>
              <w:bottom w:val="nil"/>
            </w:tcBorders>
          </w:tcPr>
          <w:p w:rsidR="00212513" w:rsidRDefault="00212513">
            <w:pPr>
              <w:pStyle w:val="ConsPlusNormal"/>
              <w:jc w:val="center"/>
            </w:pPr>
            <w:r>
              <w:t>0,192</w:t>
            </w:r>
          </w:p>
        </w:tc>
        <w:tc>
          <w:tcPr>
            <w:tcW w:w="722" w:type="dxa"/>
            <w:tcBorders>
              <w:top w:val="nil"/>
              <w:bottom w:val="nil"/>
            </w:tcBorders>
          </w:tcPr>
          <w:p w:rsidR="00212513" w:rsidRDefault="00212513">
            <w:pPr>
              <w:pStyle w:val="ConsPlusNormal"/>
              <w:jc w:val="center"/>
            </w:pPr>
            <w:r>
              <w:t>0,213</w:t>
            </w:r>
          </w:p>
        </w:tc>
        <w:tc>
          <w:tcPr>
            <w:tcW w:w="722" w:type="dxa"/>
            <w:tcBorders>
              <w:top w:val="nil"/>
              <w:bottom w:val="nil"/>
            </w:tcBorders>
          </w:tcPr>
          <w:p w:rsidR="00212513" w:rsidRDefault="00212513">
            <w:pPr>
              <w:pStyle w:val="ConsPlusNormal"/>
              <w:jc w:val="center"/>
            </w:pPr>
            <w:r>
              <w:t>0,230</w:t>
            </w:r>
          </w:p>
        </w:tc>
        <w:tc>
          <w:tcPr>
            <w:tcW w:w="1020" w:type="dxa"/>
            <w:tcBorders>
              <w:top w:val="nil"/>
              <w:bottom w:val="nil"/>
            </w:tcBorders>
          </w:tcPr>
          <w:p w:rsidR="00212513" w:rsidRDefault="00212513">
            <w:pPr>
              <w:pStyle w:val="ConsPlusNormal"/>
              <w:jc w:val="center"/>
            </w:pPr>
            <w:r>
              <w:t>0,258</w:t>
            </w:r>
          </w:p>
        </w:tc>
      </w:tr>
      <w:tr w:rsidR="00212513">
        <w:tblPrEx>
          <w:tblBorders>
            <w:insideH w:val="none" w:sz="0" w:space="0" w:color="auto"/>
          </w:tblBorders>
        </w:tblPrEx>
        <w:tc>
          <w:tcPr>
            <w:tcW w:w="567" w:type="dxa"/>
            <w:tcBorders>
              <w:top w:val="nil"/>
              <w:bottom w:val="nil"/>
            </w:tcBorders>
          </w:tcPr>
          <w:p w:rsidR="00212513" w:rsidRDefault="00212513">
            <w:pPr>
              <w:pStyle w:val="ConsPlusNormal"/>
              <w:jc w:val="center"/>
            </w:pPr>
            <w:r>
              <w:t>2,6</w:t>
            </w:r>
          </w:p>
        </w:tc>
        <w:tc>
          <w:tcPr>
            <w:tcW w:w="1531" w:type="dxa"/>
            <w:tcBorders>
              <w:top w:val="nil"/>
              <w:bottom w:val="nil"/>
            </w:tcBorders>
          </w:tcPr>
          <w:p w:rsidR="00212513" w:rsidRDefault="00212513">
            <w:pPr>
              <w:pStyle w:val="ConsPlusNormal"/>
              <w:jc w:val="center"/>
            </w:pPr>
            <w:r>
              <w:t>0,053</w:t>
            </w:r>
          </w:p>
        </w:tc>
        <w:tc>
          <w:tcPr>
            <w:tcW w:w="722" w:type="dxa"/>
            <w:tcBorders>
              <w:top w:val="nil"/>
              <w:bottom w:val="nil"/>
            </w:tcBorders>
          </w:tcPr>
          <w:p w:rsidR="00212513" w:rsidRDefault="00212513">
            <w:pPr>
              <w:pStyle w:val="ConsPlusNormal"/>
              <w:jc w:val="center"/>
            </w:pPr>
            <w:r>
              <w:t>0,066</w:t>
            </w:r>
          </w:p>
        </w:tc>
        <w:tc>
          <w:tcPr>
            <w:tcW w:w="722" w:type="dxa"/>
            <w:tcBorders>
              <w:top w:val="nil"/>
              <w:bottom w:val="nil"/>
            </w:tcBorders>
          </w:tcPr>
          <w:p w:rsidR="00212513" w:rsidRDefault="00212513">
            <w:pPr>
              <w:pStyle w:val="ConsPlusNormal"/>
              <w:jc w:val="center"/>
            </w:pPr>
            <w:r>
              <w:t>0,079</w:t>
            </w:r>
          </w:p>
        </w:tc>
        <w:tc>
          <w:tcPr>
            <w:tcW w:w="722" w:type="dxa"/>
            <w:tcBorders>
              <w:top w:val="nil"/>
              <w:bottom w:val="nil"/>
            </w:tcBorders>
          </w:tcPr>
          <w:p w:rsidR="00212513" w:rsidRDefault="00212513">
            <w:pPr>
              <w:pStyle w:val="ConsPlusNormal"/>
              <w:jc w:val="center"/>
            </w:pPr>
            <w:r>
              <w:t>0,091</w:t>
            </w:r>
          </w:p>
        </w:tc>
        <w:tc>
          <w:tcPr>
            <w:tcW w:w="722" w:type="dxa"/>
            <w:tcBorders>
              <w:top w:val="nil"/>
              <w:bottom w:val="nil"/>
            </w:tcBorders>
          </w:tcPr>
          <w:p w:rsidR="00212513" w:rsidRDefault="00212513">
            <w:pPr>
              <w:pStyle w:val="ConsPlusNormal"/>
              <w:jc w:val="center"/>
            </w:pPr>
            <w:r>
              <w:t>0,102</w:t>
            </w:r>
          </w:p>
        </w:tc>
        <w:tc>
          <w:tcPr>
            <w:tcW w:w="722" w:type="dxa"/>
            <w:tcBorders>
              <w:top w:val="nil"/>
              <w:bottom w:val="nil"/>
            </w:tcBorders>
          </w:tcPr>
          <w:p w:rsidR="00212513" w:rsidRDefault="00212513">
            <w:pPr>
              <w:pStyle w:val="ConsPlusNormal"/>
              <w:jc w:val="center"/>
            </w:pPr>
            <w:r>
              <w:t>0,112</w:t>
            </w:r>
          </w:p>
        </w:tc>
        <w:tc>
          <w:tcPr>
            <w:tcW w:w="722" w:type="dxa"/>
            <w:tcBorders>
              <w:top w:val="nil"/>
              <w:bottom w:val="nil"/>
            </w:tcBorders>
          </w:tcPr>
          <w:p w:rsidR="00212513" w:rsidRDefault="00212513">
            <w:pPr>
              <w:pStyle w:val="ConsPlusNormal"/>
              <w:jc w:val="center"/>
            </w:pPr>
            <w:r>
              <w:t>0,123</w:t>
            </w:r>
          </w:p>
        </w:tc>
        <w:tc>
          <w:tcPr>
            <w:tcW w:w="722" w:type="dxa"/>
            <w:tcBorders>
              <w:top w:val="nil"/>
              <w:bottom w:val="nil"/>
            </w:tcBorders>
          </w:tcPr>
          <w:p w:rsidR="00212513" w:rsidRDefault="00212513">
            <w:pPr>
              <w:pStyle w:val="ConsPlusNormal"/>
              <w:jc w:val="center"/>
            </w:pPr>
            <w:r>
              <w:t>0,141</w:t>
            </w:r>
          </w:p>
        </w:tc>
        <w:tc>
          <w:tcPr>
            <w:tcW w:w="722" w:type="dxa"/>
            <w:tcBorders>
              <w:top w:val="nil"/>
              <w:bottom w:val="nil"/>
            </w:tcBorders>
          </w:tcPr>
          <w:p w:rsidR="00212513" w:rsidRDefault="00212513">
            <w:pPr>
              <w:pStyle w:val="ConsPlusNormal"/>
              <w:jc w:val="center"/>
            </w:pPr>
            <w:r>
              <w:t>0,157</w:t>
            </w:r>
          </w:p>
        </w:tc>
        <w:tc>
          <w:tcPr>
            <w:tcW w:w="722" w:type="dxa"/>
            <w:tcBorders>
              <w:top w:val="nil"/>
              <w:bottom w:val="nil"/>
            </w:tcBorders>
          </w:tcPr>
          <w:p w:rsidR="00212513" w:rsidRDefault="00212513">
            <w:pPr>
              <w:pStyle w:val="ConsPlusNormal"/>
              <w:jc w:val="center"/>
            </w:pPr>
            <w:r>
              <w:t>0,170</w:t>
            </w:r>
          </w:p>
        </w:tc>
        <w:tc>
          <w:tcPr>
            <w:tcW w:w="722" w:type="dxa"/>
            <w:tcBorders>
              <w:top w:val="nil"/>
              <w:bottom w:val="nil"/>
            </w:tcBorders>
          </w:tcPr>
          <w:p w:rsidR="00212513" w:rsidRDefault="00212513">
            <w:pPr>
              <w:pStyle w:val="ConsPlusNormal"/>
              <w:jc w:val="center"/>
            </w:pPr>
            <w:r>
              <w:t>0,191</w:t>
            </w:r>
          </w:p>
        </w:tc>
        <w:tc>
          <w:tcPr>
            <w:tcW w:w="722" w:type="dxa"/>
            <w:tcBorders>
              <w:top w:val="nil"/>
              <w:bottom w:val="nil"/>
            </w:tcBorders>
          </w:tcPr>
          <w:p w:rsidR="00212513" w:rsidRDefault="00212513">
            <w:pPr>
              <w:pStyle w:val="ConsPlusNormal"/>
              <w:jc w:val="center"/>
            </w:pPr>
            <w:r>
              <w:t>0,208</w:t>
            </w:r>
          </w:p>
        </w:tc>
        <w:tc>
          <w:tcPr>
            <w:tcW w:w="1020" w:type="dxa"/>
            <w:tcBorders>
              <w:top w:val="nil"/>
              <w:bottom w:val="nil"/>
            </w:tcBorders>
          </w:tcPr>
          <w:p w:rsidR="00212513" w:rsidRDefault="00212513">
            <w:pPr>
              <w:pStyle w:val="ConsPlusNormal"/>
              <w:jc w:val="center"/>
            </w:pPr>
            <w:r>
              <w:t>0,239</w:t>
            </w:r>
          </w:p>
        </w:tc>
      </w:tr>
      <w:tr w:rsidR="00212513">
        <w:tblPrEx>
          <w:tblBorders>
            <w:insideH w:val="none" w:sz="0" w:space="0" w:color="auto"/>
          </w:tblBorders>
        </w:tblPrEx>
        <w:tc>
          <w:tcPr>
            <w:tcW w:w="567" w:type="dxa"/>
            <w:tcBorders>
              <w:top w:val="nil"/>
              <w:bottom w:val="nil"/>
            </w:tcBorders>
          </w:tcPr>
          <w:p w:rsidR="00212513" w:rsidRDefault="00212513">
            <w:pPr>
              <w:pStyle w:val="ConsPlusNormal"/>
              <w:jc w:val="center"/>
            </w:pPr>
            <w:r>
              <w:t>2,8</w:t>
            </w:r>
          </w:p>
        </w:tc>
        <w:tc>
          <w:tcPr>
            <w:tcW w:w="1531" w:type="dxa"/>
            <w:tcBorders>
              <w:top w:val="nil"/>
              <w:bottom w:val="nil"/>
            </w:tcBorders>
          </w:tcPr>
          <w:p w:rsidR="00212513" w:rsidRDefault="00212513">
            <w:pPr>
              <w:pStyle w:val="ConsPlusNormal"/>
              <w:jc w:val="center"/>
            </w:pPr>
            <w:r>
              <w:t>0,046</w:t>
            </w:r>
          </w:p>
        </w:tc>
        <w:tc>
          <w:tcPr>
            <w:tcW w:w="722" w:type="dxa"/>
            <w:tcBorders>
              <w:top w:val="nil"/>
              <w:bottom w:val="nil"/>
            </w:tcBorders>
          </w:tcPr>
          <w:p w:rsidR="00212513" w:rsidRDefault="00212513">
            <w:pPr>
              <w:pStyle w:val="ConsPlusNormal"/>
              <w:jc w:val="center"/>
            </w:pPr>
            <w:r>
              <w:t>0,058</w:t>
            </w:r>
          </w:p>
        </w:tc>
        <w:tc>
          <w:tcPr>
            <w:tcW w:w="722" w:type="dxa"/>
            <w:tcBorders>
              <w:top w:val="nil"/>
              <w:bottom w:val="nil"/>
            </w:tcBorders>
          </w:tcPr>
          <w:p w:rsidR="00212513" w:rsidRDefault="00212513">
            <w:pPr>
              <w:pStyle w:val="ConsPlusNormal"/>
              <w:jc w:val="center"/>
            </w:pPr>
            <w:r>
              <w:t>0,069</w:t>
            </w:r>
          </w:p>
        </w:tc>
        <w:tc>
          <w:tcPr>
            <w:tcW w:w="722" w:type="dxa"/>
            <w:tcBorders>
              <w:top w:val="nil"/>
              <w:bottom w:val="nil"/>
            </w:tcBorders>
          </w:tcPr>
          <w:p w:rsidR="00212513" w:rsidRDefault="00212513">
            <w:pPr>
              <w:pStyle w:val="ConsPlusNormal"/>
              <w:jc w:val="center"/>
            </w:pPr>
            <w:r>
              <w:t>0,079</w:t>
            </w:r>
          </w:p>
        </w:tc>
        <w:tc>
          <w:tcPr>
            <w:tcW w:w="722" w:type="dxa"/>
            <w:tcBorders>
              <w:top w:val="nil"/>
              <w:bottom w:val="nil"/>
            </w:tcBorders>
          </w:tcPr>
          <w:p w:rsidR="00212513" w:rsidRDefault="00212513">
            <w:pPr>
              <w:pStyle w:val="ConsPlusNormal"/>
              <w:jc w:val="center"/>
            </w:pPr>
            <w:r>
              <w:t>0,089</w:t>
            </w:r>
          </w:p>
        </w:tc>
        <w:tc>
          <w:tcPr>
            <w:tcW w:w="722" w:type="dxa"/>
            <w:tcBorders>
              <w:top w:val="nil"/>
              <w:bottom w:val="nil"/>
            </w:tcBorders>
          </w:tcPr>
          <w:p w:rsidR="00212513" w:rsidRDefault="00212513">
            <w:pPr>
              <w:pStyle w:val="ConsPlusNormal"/>
              <w:jc w:val="center"/>
            </w:pPr>
            <w:r>
              <w:t>0,099</w:t>
            </w:r>
          </w:p>
        </w:tc>
        <w:tc>
          <w:tcPr>
            <w:tcW w:w="722" w:type="dxa"/>
            <w:tcBorders>
              <w:top w:val="nil"/>
              <w:bottom w:val="nil"/>
            </w:tcBorders>
          </w:tcPr>
          <w:p w:rsidR="00212513" w:rsidRDefault="00212513">
            <w:pPr>
              <w:pStyle w:val="ConsPlusNormal"/>
              <w:jc w:val="center"/>
            </w:pPr>
            <w:r>
              <w:t>0,108</w:t>
            </w:r>
          </w:p>
        </w:tc>
        <w:tc>
          <w:tcPr>
            <w:tcW w:w="722" w:type="dxa"/>
            <w:tcBorders>
              <w:top w:val="nil"/>
              <w:bottom w:val="nil"/>
            </w:tcBorders>
          </w:tcPr>
          <w:p w:rsidR="00212513" w:rsidRDefault="00212513">
            <w:pPr>
              <w:pStyle w:val="ConsPlusNormal"/>
              <w:jc w:val="center"/>
            </w:pPr>
            <w:r>
              <w:t>0,124</w:t>
            </w:r>
          </w:p>
        </w:tc>
        <w:tc>
          <w:tcPr>
            <w:tcW w:w="722" w:type="dxa"/>
            <w:tcBorders>
              <w:top w:val="nil"/>
              <w:bottom w:val="nil"/>
            </w:tcBorders>
          </w:tcPr>
          <w:p w:rsidR="00212513" w:rsidRDefault="00212513">
            <w:pPr>
              <w:pStyle w:val="ConsPlusNormal"/>
              <w:jc w:val="center"/>
            </w:pPr>
            <w:r>
              <w:t>0,139</w:t>
            </w:r>
          </w:p>
        </w:tc>
        <w:tc>
          <w:tcPr>
            <w:tcW w:w="722" w:type="dxa"/>
            <w:tcBorders>
              <w:top w:val="nil"/>
              <w:bottom w:val="nil"/>
            </w:tcBorders>
          </w:tcPr>
          <w:p w:rsidR="00212513" w:rsidRDefault="00212513">
            <w:pPr>
              <w:pStyle w:val="ConsPlusNormal"/>
              <w:jc w:val="center"/>
            </w:pPr>
            <w:r>
              <w:t>0,152</w:t>
            </w:r>
          </w:p>
        </w:tc>
        <w:tc>
          <w:tcPr>
            <w:tcW w:w="722" w:type="dxa"/>
            <w:tcBorders>
              <w:top w:val="nil"/>
              <w:bottom w:val="nil"/>
            </w:tcBorders>
          </w:tcPr>
          <w:p w:rsidR="00212513" w:rsidRDefault="00212513">
            <w:pPr>
              <w:pStyle w:val="ConsPlusNormal"/>
              <w:jc w:val="center"/>
            </w:pPr>
            <w:r>
              <w:t>0,172</w:t>
            </w:r>
          </w:p>
        </w:tc>
        <w:tc>
          <w:tcPr>
            <w:tcW w:w="722" w:type="dxa"/>
            <w:tcBorders>
              <w:top w:val="nil"/>
              <w:bottom w:val="nil"/>
            </w:tcBorders>
          </w:tcPr>
          <w:p w:rsidR="00212513" w:rsidRDefault="00212513">
            <w:pPr>
              <w:pStyle w:val="ConsPlusNormal"/>
              <w:jc w:val="center"/>
            </w:pPr>
            <w:r>
              <w:t>0,189</w:t>
            </w:r>
          </w:p>
        </w:tc>
        <w:tc>
          <w:tcPr>
            <w:tcW w:w="1020" w:type="dxa"/>
            <w:tcBorders>
              <w:top w:val="nil"/>
              <w:bottom w:val="nil"/>
            </w:tcBorders>
          </w:tcPr>
          <w:p w:rsidR="00212513" w:rsidRDefault="00212513">
            <w:pPr>
              <w:pStyle w:val="ConsPlusNormal"/>
              <w:jc w:val="center"/>
            </w:pPr>
            <w:r>
              <w:t>0,228</w:t>
            </w:r>
          </w:p>
        </w:tc>
      </w:tr>
      <w:tr w:rsidR="00212513">
        <w:tblPrEx>
          <w:tblBorders>
            <w:insideH w:val="none" w:sz="0" w:space="0" w:color="auto"/>
          </w:tblBorders>
        </w:tblPrEx>
        <w:tc>
          <w:tcPr>
            <w:tcW w:w="567" w:type="dxa"/>
            <w:tcBorders>
              <w:top w:val="nil"/>
              <w:bottom w:val="nil"/>
            </w:tcBorders>
          </w:tcPr>
          <w:p w:rsidR="00212513" w:rsidRDefault="00212513">
            <w:pPr>
              <w:pStyle w:val="ConsPlusNormal"/>
              <w:jc w:val="center"/>
            </w:pPr>
            <w:r>
              <w:lastRenderedPageBreak/>
              <w:t>3,0</w:t>
            </w:r>
          </w:p>
        </w:tc>
        <w:tc>
          <w:tcPr>
            <w:tcW w:w="1531" w:type="dxa"/>
            <w:tcBorders>
              <w:top w:val="nil"/>
              <w:bottom w:val="nil"/>
            </w:tcBorders>
          </w:tcPr>
          <w:p w:rsidR="00212513" w:rsidRDefault="00212513">
            <w:pPr>
              <w:pStyle w:val="ConsPlusNormal"/>
              <w:jc w:val="center"/>
            </w:pPr>
            <w:r>
              <w:t>0,040</w:t>
            </w:r>
          </w:p>
        </w:tc>
        <w:tc>
          <w:tcPr>
            <w:tcW w:w="722" w:type="dxa"/>
            <w:tcBorders>
              <w:top w:val="nil"/>
              <w:bottom w:val="nil"/>
            </w:tcBorders>
          </w:tcPr>
          <w:p w:rsidR="00212513" w:rsidRDefault="00212513">
            <w:pPr>
              <w:pStyle w:val="ConsPlusNormal"/>
              <w:jc w:val="center"/>
            </w:pPr>
            <w:r>
              <w:t>0,051</w:t>
            </w:r>
          </w:p>
        </w:tc>
        <w:tc>
          <w:tcPr>
            <w:tcW w:w="722" w:type="dxa"/>
            <w:tcBorders>
              <w:top w:val="nil"/>
              <w:bottom w:val="nil"/>
            </w:tcBorders>
          </w:tcPr>
          <w:p w:rsidR="00212513" w:rsidRDefault="00212513">
            <w:pPr>
              <w:pStyle w:val="ConsPlusNormal"/>
              <w:jc w:val="center"/>
            </w:pPr>
            <w:r>
              <w:t>0,060</w:t>
            </w:r>
          </w:p>
        </w:tc>
        <w:tc>
          <w:tcPr>
            <w:tcW w:w="722" w:type="dxa"/>
            <w:tcBorders>
              <w:top w:val="nil"/>
              <w:bottom w:val="nil"/>
            </w:tcBorders>
          </w:tcPr>
          <w:p w:rsidR="00212513" w:rsidRDefault="00212513">
            <w:pPr>
              <w:pStyle w:val="ConsPlusNormal"/>
              <w:jc w:val="center"/>
            </w:pPr>
            <w:r>
              <w:t>0,070</w:t>
            </w:r>
          </w:p>
        </w:tc>
        <w:tc>
          <w:tcPr>
            <w:tcW w:w="722" w:type="dxa"/>
            <w:tcBorders>
              <w:top w:val="nil"/>
              <w:bottom w:val="nil"/>
            </w:tcBorders>
          </w:tcPr>
          <w:p w:rsidR="00212513" w:rsidRDefault="00212513">
            <w:pPr>
              <w:pStyle w:val="ConsPlusNormal"/>
              <w:jc w:val="center"/>
            </w:pPr>
            <w:r>
              <w:t>0,078</w:t>
            </w:r>
          </w:p>
        </w:tc>
        <w:tc>
          <w:tcPr>
            <w:tcW w:w="722" w:type="dxa"/>
            <w:tcBorders>
              <w:top w:val="nil"/>
              <w:bottom w:val="nil"/>
            </w:tcBorders>
          </w:tcPr>
          <w:p w:rsidR="00212513" w:rsidRDefault="00212513">
            <w:pPr>
              <w:pStyle w:val="ConsPlusNormal"/>
              <w:jc w:val="center"/>
            </w:pPr>
            <w:r>
              <w:t>0,087</w:t>
            </w:r>
          </w:p>
        </w:tc>
        <w:tc>
          <w:tcPr>
            <w:tcW w:w="722" w:type="dxa"/>
            <w:tcBorders>
              <w:top w:val="nil"/>
              <w:bottom w:val="nil"/>
            </w:tcBorders>
          </w:tcPr>
          <w:p w:rsidR="00212513" w:rsidRDefault="00212513">
            <w:pPr>
              <w:pStyle w:val="ConsPlusNormal"/>
              <w:jc w:val="center"/>
            </w:pPr>
            <w:r>
              <w:t>0,095</w:t>
            </w:r>
          </w:p>
        </w:tc>
        <w:tc>
          <w:tcPr>
            <w:tcW w:w="722" w:type="dxa"/>
            <w:tcBorders>
              <w:top w:val="nil"/>
              <w:bottom w:val="nil"/>
            </w:tcBorders>
          </w:tcPr>
          <w:p w:rsidR="00212513" w:rsidRDefault="00212513">
            <w:pPr>
              <w:pStyle w:val="ConsPlusNormal"/>
              <w:jc w:val="center"/>
            </w:pPr>
            <w:r>
              <w:t>0,110</w:t>
            </w:r>
          </w:p>
        </w:tc>
        <w:tc>
          <w:tcPr>
            <w:tcW w:w="722" w:type="dxa"/>
            <w:tcBorders>
              <w:top w:val="nil"/>
              <w:bottom w:val="nil"/>
            </w:tcBorders>
          </w:tcPr>
          <w:p w:rsidR="00212513" w:rsidRDefault="00212513">
            <w:pPr>
              <w:pStyle w:val="ConsPlusNormal"/>
              <w:jc w:val="center"/>
            </w:pPr>
            <w:r>
              <w:t>0,124</w:t>
            </w:r>
          </w:p>
        </w:tc>
        <w:tc>
          <w:tcPr>
            <w:tcW w:w="722" w:type="dxa"/>
            <w:tcBorders>
              <w:top w:val="nil"/>
              <w:bottom w:val="nil"/>
            </w:tcBorders>
          </w:tcPr>
          <w:p w:rsidR="00212513" w:rsidRDefault="00212513">
            <w:pPr>
              <w:pStyle w:val="ConsPlusNormal"/>
              <w:jc w:val="center"/>
            </w:pPr>
            <w:r>
              <w:t>0,136</w:t>
            </w:r>
          </w:p>
        </w:tc>
        <w:tc>
          <w:tcPr>
            <w:tcW w:w="722" w:type="dxa"/>
            <w:tcBorders>
              <w:top w:val="nil"/>
              <w:bottom w:val="nil"/>
            </w:tcBorders>
          </w:tcPr>
          <w:p w:rsidR="00212513" w:rsidRDefault="00212513">
            <w:pPr>
              <w:pStyle w:val="ConsPlusNormal"/>
              <w:jc w:val="center"/>
            </w:pPr>
            <w:r>
              <w:t>0,155</w:t>
            </w:r>
          </w:p>
        </w:tc>
        <w:tc>
          <w:tcPr>
            <w:tcW w:w="722" w:type="dxa"/>
            <w:tcBorders>
              <w:top w:val="nil"/>
              <w:bottom w:val="nil"/>
            </w:tcBorders>
          </w:tcPr>
          <w:p w:rsidR="00212513" w:rsidRDefault="00212513">
            <w:pPr>
              <w:pStyle w:val="ConsPlusNormal"/>
              <w:jc w:val="center"/>
            </w:pPr>
            <w:r>
              <w:t>0,172</w:t>
            </w:r>
          </w:p>
        </w:tc>
        <w:tc>
          <w:tcPr>
            <w:tcW w:w="1020" w:type="dxa"/>
            <w:tcBorders>
              <w:top w:val="nil"/>
              <w:bottom w:val="nil"/>
            </w:tcBorders>
          </w:tcPr>
          <w:p w:rsidR="00212513" w:rsidRDefault="00212513">
            <w:pPr>
              <w:pStyle w:val="ConsPlusNormal"/>
              <w:jc w:val="center"/>
            </w:pPr>
            <w:r>
              <w:t>0,208</w:t>
            </w:r>
          </w:p>
        </w:tc>
      </w:tr>
      <w:tr w:rsidR="00212513">
        <w:tblPrEx>
          <w:tblBorders>
            <w:insideH w:val="none" w:sz="0" w:space="0" w:color="auto"/>
          </w:tblBorders>
        </w:tblPrEx>
        <w:tc>
          <w:tcPr>
            <w:tcW w:w="567" w:type="dxa"/>
            <w:tcBorders>
              <w:top w:val="nil"/>
              <w:bottom w:val="nil"/>
            </w:tcBorders>
          </w:tcPr>
          <w:p w:rsidR="00212513" w:rsidRDefault="00212513">
            <w:pPr>
              <w:pStyle w:val="ConsPlusNormal"/>
              <w:jc w:val="center"/>
            </w:pPr>
            <w:r>
              <w:t>3,2</w:t>
            </w:r>
          </w:p>
        </w:tc>
        <w:tc>
          <w:tcPr>
            <w:tcW w:w="1531" w:type="dxa"/>
            <w:tcBorders>
              <w:top w:val="nil"/>
              <w:bottom w:val="nil"/>
            </w:tcBorders>
          </w:tcPr>
          <w:p w:rsidR="00212513" w:rsidRDefault="00212513">
            <w:pPr>
              <w:pStyle w:val="ConsPlusNormal"/>
              <w:jc w:val="center"/>
            </w:pPr>
            <w:r>
              <w:t>0,036</w:t>
            </w:r>
          </w:p>
        </w:tc>
        <w:tc>
          <w:tcPr>
            <w:tcW w:w="722" w:type="dxa"/>
            <w:tcBorders>
              <w:top w:val="nil"/>
              <w:bottom w:val="nil"/>
            </w:tcBorders>
          </w:tcPr>
          <w:p w:rsidR="00212513" w:rsidRDefault="00212513">
            <w:pPr>
              <w:pStyle w:val="ConsPlusNormal"/>
              <w:jc w:val="center"/>
            </w:pPr>
            <w:r>
              <w:t>0,045</w:t>
            </w:r>
          </w:p>
        </w:tc>
        <w:tc>
          <w:tcPr>
            <w:tcW w:w="722" w:type="dxa"/>
            <w:tcBorders>
              <w:top w:val="nil"/>
              <w:bottom w:val="nil"/>
            </w:tcBorders>
          </w:tcPr>
          <w:p w:rsidR="00212513" w:rsidRDefault="00212513">
            <w:pPr>
              <w:pStyle w:val="ConsPlusNormal"/>
              <w:jc w:val="center"/>
            </w:pPr>
            <w:r>
              <w:t>0,053</w:t>
            </w:r>
          </w:p>
        </w:tc>
        <w:tc>
          <w:tcPr>
            <w:tcW w:w="722" w:type="dxa"/>
            <w:tcBorders>
              <w:top w:val="nil"/>
              <w:bottom w:val="nil"/>
            </w:tcBorders>
          </w:tcPr>
          <w:p w:rsidR="00212513" w:rsidRDefault="00212513">
            <w:pPr>
              <w:pStyle w:val="ConsPlusNormal"/>
              <w:jc w:val="center"/>
            </w:pPr>
            <w:r>
              <w:t>0,062</w:t>
            </w:r>
          </w:p>
        </w:tc>
        <w:tc>
          <w:tcPr>
            <w:tcW w:w="722" w:type="dxa"/>
            <w:tcBorders>
              <w:top w:val="nil"/>
              <w:bottom w:val="nil"/>
            </w:tcBorders>
          </w:tcPr>
          <w:p w:rsidR="00212513" w:rsidRDefault="00212513">
            <w:pPr>
              <w:pStyle w:val="ConsPlusNormal"/>
              <w:jc w:val="center"/>
            </w:pPr>
            <w:r>
              <w:t>0,070</w:t>
            </w:r>
          </w:p>
        </w:tc>
        <w:tc>
          <w:tcPr>
            <w:tcW w:w="722" w:type="dxa"/>
            <w:tcBorders>
              <w:top w:val="nil"/>
              <w:bottom w:val="nil"/>
            </w:tcBorders>
          </w:tcPr>
          <w:p w:rsidR="00212513" w:rsidRDefault="00212513">
            <w:pPr>
              <w:pStyle w:val="ConsPlusNormal"/>
              <w:jc w:val="center"/>
            </w:pPr>
            <w:r>
              <w:t>0,077</w:t>
            </w:r>
          </w:p>
        </w:tc>
        <w:tc>
          <w:tcPr>
            <w:tcW w:w="722" w:type="dxa"/>
            <w:tcBorders>
              <w:top w:val="nil"/>
              <w:bottom w:val="nil"/>
            </w:tcBorders>
          </w:tcPr>
          <w:p w:rsidR="00212513" w:rsidRDefault="00212513">
            <w:pPr>
              <w:pStyle w:val="ConsPlusNormal"/>
              <w:jc w:val="center"/>
            </w:pPr>
            <w:r>
              <w:t>0,085</w:t>
            </w:r>
          </w:p>
        </w:tc>
        <w:tc>
          <w:tcPr>
            <w:tcW w:w="722" w:type="dxa"/>
            <w:tcBorders>
              <w:top w:val="nil"/>
              <w:bottom w:val="nil"/>
            </w:tcBorders>
          </w:tcPr>
          <w:p w:rsidR="00212513" w:rsidRDefault="00212513">
            <w:pPr>
              <w:pStyle w:val="ConsPlusNormal"/>
              <w:jc w:val="center"/>
            </w:pPr>
            <w:r>
              <w:t>0,098</w:t>
            </w:r>
          </w:p>
        </w:tc>
        <w:tc>
          <w:tcPr>
            <w:tcW w:w="722" w:type="dxa"/>
            <w:tcBorders>
              <w:top w:val="nil"/>
              <w:bottom w:val="nil"/>
            </w:tcBorders>
          </w:tcPr>
          <w:p w:rsidR="00212513" w:rsidRDefault="00212513">
            <w:pPr>
              <w:pStyle w:val="ConsPlusNormal"/>
              <w:jc w:val="center"/>
            </w:pPr>
            <w:r>
              <w:t>0,111</w:t>
            </w:r>
          </w:p>
        </w:tc>
        <w:tc>
          <w:tcPr>
            <w:tcW w:w="722" w:type="dxa"/>
            <w:tcBorders>
              <w:top w:val="nil"/>
              <w:bottom w:val="nil"/>
            </w:tcBorders>
          </w:tcPr>
          <w:p w:rsidR="00212513" w:rsidRDefault="00212513">
            <w:pPr>
              <w:pStyle w:val="ConsPlusNormal"/>
              <w:jc w:val="center"/>
            </w:pPr>
            <w:r>
              <w:t>0,122</w:t>
            </w:r>
          </w:p>
        </w:tc>
        <w:tc>
          <w:tcPr>
            <w:tcW w:w="722" w:type="dxa"/>
            <w:tcBorders>
              <w:top w:val="nil"/>
              <w:bottom w:val="nil"/>
            </w:tcBorders>
          </w:tcPr>
          <w:p w:rsidR="00212513" w:rsidRDefault="00212513">
            <w:pPr>
              <w:pStyle w:val="ConsPlusNormal"/>
              <w:jc w:val="center"/>
            </w:pPr>
            <w:r>
              <w:t>0,141</w:t>
            </w:r>
          </w:p>
        </w:tc>
        <w:tc>
          <w:tcPr>
            <w:tcW w:w="722" w:type="dxa"/>
            <w:tcBorders>
              <w:top w:val="nil"/>
              <w:bottom w:val="nil"/>
            </w:tcBorders>
          </w:tcPr>
          <w:p w:rsidR="00212513" w:rsidRDefault="00212513">
            <w:pPr>
              <w:pStyle w:val="ConsPlusNormal"/>
              <w:jc w:val="center"/>
            </w:pPr>
            <w:r>
              <w:t>0,158</w:t>
            </w:r>
          </w:p>
        </w:tc>
        <w:tc>
          <w:tcPr>
            <w:tcW w:w="1020" w:type="dxa"/>
            <w:tcBorders>
              <w:top w:val="nil"/>
              <w:bottom w:val="nil"/>
            </w:tcBorders>
          </w:tcPr>
          <w:p w:rsidR="00212513" w:rsidRDefault="00212513">
            <w:pPr>
              <w:pStyle w:val="ConsPlusNormal"/>
              <w:jc w:val="center"/>
            </w:pPr>
            <w:r>
              <w:t>0,190</w:t>
            </w:r>
          </w:p>
        </w:tc>
      </w:tr>
      <w:tr w:rsidR="00212513">
        <w:tblPrEx>
          <w:tblBorders>
            <w:insideH w:val="none" w:sz="0" w:space="0" w:color="auto"/>
          </w:tblBorders>
        </w:tblPrEx>
        <w:tc>
          <w:tcPr>
            <w:tcW w:w="567" w:type="dxa"/>
            <w:tcBorders>
              <w:top w:val="nil"/>
              <w:bottom w:val="nil"/>
            </w:tcBorders>
          </w:tcPr>
          <w:p w:rsidR="00212513" w:rsidRDefault="00212513">
            <w:pPr>
              <w:pStyle w:val="ConsPlusNormal"/>
              <w:jc w:val="center"/>
            </w:pPr>
            <w:r>
              <w:t>3,4</w:t>
            </w:r>
          </w:p>
        </w:tc>
        <w:tc>
          <w:tcPr>
            <w:tcW w:w="1531" w:type="dxa"/>
            <w:tcBorders>
              <w:top w:val="nil"/>
              <w:bottom w:val="nil"/>
            </w:tcBorders>
          </w:tcPr>
          <w:p w:rsidR="00212513" w:rsidRDefault="00212513">
            <w:pPr>
              <w:pStyle w:val="ConsPlusNormal"/>
              <w:jc w:val="center"/>
            </w:pPr>
            <w:r>
              <w:t>0,032</w:t>
            </w:r>
          </w:p>
        </w:tc>
        <w:tc>
          <w:tcPr>
            <w:tcW w:w="722" w:type="dxa"/>
            <w:tcBorders>
              <w:top w:val="nil"/>
              <w:bottom w:val="nil"/>
            </w:tcBorders>
          </w:tcPr>
          <w:p w:rsidR="00212513" w:rsidRDefault="00212513">
            <w:pPr>
              <w:pStyle w:val="ConsPlusNormal"/>
              <w:jc w:val="center"/>
            </w:pPr>
            <w:r>
              <w:t>0,040</w:t>
            </w:r>
          </w:p>
        </w:tc>
        <w:tc>
          <w:tcPr>
            <w:tcW w:w="722" w:type="dxa"/>
            <w:tcBorders>
              <w:top w:val="nil"/>
              <w:bottom w:val="nil"/>
            </w:tcBorders>
          </w:tcPr>
          <w:p w:rsidR="00212513" w:rsidRDefault="00212513">
            <w:pPr>
              <w:pStyle w:val="ConsPlusNormal"/>
              <w:jc w:val="center"/>
            </w:pPr>
            <w:r>
              <w:t>0,048</w:t>
            </w:r>
          </w:p>
        </w:tc>
        <w:tc>
          <w:tcPr>
            <w:tcW w:w="722" w:type="dxa"/>
            <w:tcBorders>
              <w:top w:val="nil"/>
              <w:bottom w:val="nil"/>
            </w:tcBorders>
          </w:tcPr>
          <w:p w:rsidR="00212513" w:rsidRDefault="00212513">
            <w:pPr>
              <w:pStyle w:val="ConsPlusNormal"/>
              <w:jc w:val="center"/>
            </w:pPr>
            <w:r>
              <w:t>0,055</w:t>
            </w:r>
          </w:p>
        </w:tc>
        <w:tc>
          <w:tcPr>
            <w:tcW w:w="722" w:type="dxa"/>
            <w:tcBorders>
              <w:top w:val="nil"/>
              <w:bottom w:val="nil"/>
            </w:tcBorders>
          </w:tcPr>
          <w:p w:rsidR="00212513" w:rsidRDefault="00212513">
            <w:pPr>
              <w:pStyle w:val="ConsPlusNormal"/>
              <w:jc w:val="center"/>
            </w:pPr>
            <w:r>
              <w:t>0,062</w:t>
            </w:r>
          </w:p>
        </w:tc>
        <w:tc>
          <w:tcPr>
            <w:tcW w:w="722" w:type="dxa"/>
            <w:tcBorders>
              <w:top w:val="nil"/>
              <w:bottom w:val="nil"/>
            </w:tcBorders>
          </w:tcPr>
          <w:p w:rsidR="00212513" w:rsidRDefault="00212513">
            <w:pPr>
              <w:pStyle w:val="ConsPlusNormal"/>
              <w:jc w:val="center"/>
            </w:pPr>
            <w:r>
              <w:t>0,069</w:t>
            </w:r>
          </w:p>
        </w:tc>
        <w:tc>
          <w:tcPr>
            <w:tcW w:w="722" w:type="dxa"/>
            <w:tcBorders>
              <w:top w:val="nil"/>
              <w:bottom w:val="nil"/>
            </w:tcBorders>
          </w:tcPr>
          <w:p w:rsidR="00212513" w:rsidRDefault="00212513">
            <w:pPr>
              <w:pStyle w:val="ConsPlusNormal"/>
              <w:jc w:val="center"/>
            </w:pPr>
            <w:r>
              <w:t>0,076</w:t>
            </w:r>
          </w:p>
        </w:tc>
        <w:tc>
          <w:tcPr>
            <w:tcW w:w="722" w:type="dxa"/>
            <w:tcBorders>
              <w:top w:val="nil"/>
              <w:bottom w:val="nil"/>
            </w:tcBorders>
          </w:tcPr>
          <w:p w:rsidR="00212513" w:rsidRDefault="00212513">
            <w:pPr>
              <w:pStyle w:val="ConsPlusNormal"/>
              <w:jc w:val="center"/>
            </w:pPr>
            <w:r>
              <w:t>0,088</w:t>
            </w:r>
          </w:p>
        </w:tc>
        <w:tc>
          <w:tcPr>
            <w:tcW w:w="722" w:type="dxa"/>
            <w:tcBorders>
              <w:top w:val="nil"/>
              <w:bottom w:val="nil"/>
            </w:tcBorders>
          </w:tcPr>
          <w:p w:rsidR="00212513" w:rsidRDefault="00212513">
            <w:pPr>
              <w:pStyle w:val="ConsPlusNormal"/>
              <w:jc w:val="center"/>
            </w:pPr>
            <w:r>
              <w:t>0,100</w:t>
            </w:r>
          </w:p>
        </w:tc>
        <w:tc>
          <w:tcPr>
            <w:tcW w:w="722" w:type="dxa"/>
            <w:tcBorders>
              <w:top w:val="nil"/>
              <w:bottom w:val="nil"/>
            </w:tcBorders>
          </w:tcPr>
          <w:p w:rsidR="00212513" w:rsidRDefault="00212513">
            <w:pPr>
              <w:pStyle w:val="ConsPlusNormal"/>
              <w:jc w:val="center"/>
            </w:pPr>
            <w:r>
              <w:t>0,110</w:t>
            </w:r>
          </w:p>
        </w:tc>
        <w:tc>
          <w:tcPr>
            <w:tcW w:w="722" w:type="dxa"/>
            <w:tcBorders>
              <w:top w:val="nil"/>
              <w:bottom w:val="nil"/>
            </w:tcBorders>
          </w:tcPr>
          <w:p w:rsidR="00212513" w:rsidRDefault="00212513">
            <w:pPr>
              <w:pStyle w:val="ConsPlusNormal"/>
              <w:jc w:val="center"/>
            </w:pPr>
            <w:r>
              <w:t>0,128</w:t>
            </w:r>
          </w:p>
        </w:tc>
        <w:tc>
          <w:tcPr>
            <w:tcW w:w="722" w:type="dxa"/>
            <w:tcBorders>
              <w:top w:val="nil"/>
              <w:bottom w:val="nil"/>
            </w:tcBorders>
          </w:tcPr>
          <w:p w:rsidR="00212513" w:rsidRDefault="00212513">
            <w:pPr>
              <w:pStyle w:val="ConsPlusNormal"/>
              <w:jc w:val="center"/>
            </w:pPr>
            <w:r>
              <w:t>0,144</w:t>
            </w:r>
          </w:p>
        </w:tc>
        <w:tc>
          <w:tcPr>
            <w:tcW w:w="1020" w:type="dxa"/>
            <w:tcBorders>
              <w:top w:val="nil"/>
              <w:bottom w:val="nil"/>
            </w:tcBorders>
          </w:tcPr>
          <w:p w:rsidR="00212513" w:rsidRDefault="00212513">
            <w:pPr>
              <w:pStyle w:val="ConsPlusNormal"/>
              <w:jc w:val="center"/>
            </w:pPr>
            <w:r>
              <w:t>0,184</w:t>
            </w:r>
          </w:p>
        </w:tc>
      </w:tr>
      <w:tr w:rsidR="00212513">
        <w:tblPrEx>
          <w:tblBorders>
            <w:insideH w:val="none" w:sz="0" w:space="0" w:color="auto"/>
          </w:tblBorders>
        </w:tblPrEx>
        <w:tc>
          <w:tcPr>
            <w:tcW w:w="567" w:type="dxa"/>
            <w:tcBorders>
              <w:top w:val="nil"/>
              <w:bottom w:val="nil"/>
            </w:tcBorders>
          </w:tcPr>
          <w:p w:rsidR="00212513" w:rsidRDefault="00212513">
            <w:pPr>
              <w:pStyle w:val="ConsPlusNormal"/>
              <w:jc w:val="center"/>
            </w:pPr>
            <w:r>
              <w:t>3,6</w:t>
            </w:r>
          </w:p>
        </w:tc>
        <w:tc>
          <w:tcPr>
            <w:tcW w:w="1531" w:type="dxa"/>
            <w:tcBorders>
              <w:top w:val="nil"/>
              <w:bottom w:val="nil"/>
            </w:tcBorders>
          </w:tcPr>
          <w:p w:rsidR="00212513" w:rsidRDefault="00212513">
            <w:pPr>
              <w:pStyle w:val="ConsPlusNormal"/>
              <w:jc w:val="center"/>
            </w:pPr>
            <w:r>
              <w:t>0,028</w:t>
            </w:r>
          </w:p>
        </w:tc>
        <w:tc>
          <w:tcPr>
            <w:tcW w:w="722" w:type="dxa"/>
            <w:tcBorders>
              <w:top w:val="nil"/>
              <w:bottom w:val="nil"/>
            </w:tcBorders>
          </w:tcPr>
          <w:p w:rsidR="00212513" w:rsidRDefault="00212513">
            <w:pPr>
              <w:pStyle w:val="ConsPlusNormal"/>
              <w:jc w:val="center"/>
            </w:pPr>
            <w:r>
              <w:t>0,036</w:t>
            </w:r>
          </w:p>
        </w:tc>
        <w:tc>
          <w:tcPr>
            <w:tcW w:w="722" w:type="dxa"/>
            <w:tcBorders>
              <w:top w:val="nil"/>
              <w:bottom w:val="nil"/>
            </w:tcBorders>
          </w:tcPr>
          <w:p w:rsidR="00212513" w:rsidRDefault="00212513">
            <w:pPr>
              <w:pStyle w:val="ConsPlusNormal"/>
              <w:jc w:val="center"/>
            </w:pPr>
            <w:r>
              <w:t>0,042</w:t>
            </w:r>
          </w:p>
        </w:tc>
        <w:tc>
          <w:tcPr>
            <w:tcW w:w="722" w:type="dxa"/>
            <w:tcBorders>
              <w:top w:val="nil"/>
              <w:bottom w:val="nil"/>
            </w:tcBorders>
          </w:tcPr>
          <w:p w:rsidR="00212513" w:rsidRDefault="00212513">
            <w:pPr>
              <w:pStyle w:val="ConsPlusNormal"/>
              <w:jc w:val="center"/>
            </w:pPr>
            <w:r>
              <w:t>0,049</w:t>
            </w:r>
          </w:p>
        </w:tc>
        <w:tc>
          <w:tcPr>
            <w:tcW w:w="722" w:type="dxa"/>
            <w:tcBorders>
              <w:top w:val="nil"/>
              <w:bottom w:val="nil"/>
            </w:tcBorders>
          </w:tcPr>
          <w:p w:rsidR="00212513" w:rsidRDefault="00212513">
            <w:pPr>
              <w:pStyle w:val="ConsPlusNormal"/>
              <w:jc w:val="center"/>
            </w:pPr>
            <w:r>
              <w:t>0,056</w:t>
            </w:r>
          </w:p>
        </w:tc>
        <w:tc>
          <w:tcPr>
            <w:tcW w:w="722" w:type="dxa"/>
            <w:tcBorders>
              <w:top w:val="nil"/>
              <w:bottom w:val="nil"/>
            </w:tcBorders>
          </w:tcPr>
          <w:p w:rsidR="00212513" w:rsidRDefault="00212513">
            <w:pPr>
              <w:pStyle w:val="ConsPlusNormal"/>
              <w:jc w:val="center"/>
            </w:pPr>
            <w:r>
              <w:t>0,062</w:t>
            </w:r>
          </w:p>
        </w:tc>
        <w:tc>
          <w:tcPr>
            <w:tcW w:w="722" w:type="dxa"/>
            <w:tcBorders>
              <w:top w:val="nil"/>
              <w:bottom w:val="nil"/>
            </w:tcBorders>
          </w:tcPr>
          <w:p w:rsidR="00212513" w:rsidRDefault="00212513">
            <w:pPr>
              <w:pStyle w:val="ConsPlusNormal"/>
              <w:jc w:val="center"/>
            </w:pPr>
            <w:r>
              <w:t>0,068</w:t>
            </w:r>
          </w:p>
        </w:tc>
        <w:tc>
          <w:tcPr>
            <w:tcW w:w="722" w:type="dxa"/>
            <w:tcBorders>
              <w:top w:val="nil"/>
              <w:bottom w:val="nil"/>
            </w:tcBorders>
          </w:tcPr>
          <w:p w:rsidR="00212513" w:rsidRDefault="00212513">
            <w:pPr>
              <w:pStyle w:val="ConsPlusNormal"/>
              <w:jc w:val="center"/>
            </w:pPr>
            <w:r>
              <w:t>0,080</w:t>
            </w:r>
          </w:p>
        </w:tc>
        <w:tc>
          <w:tcPr>
            <w:tcW w:w="722" w:type="dxa"/>
            <w:tcBorders>
              <w:top w:val="nil"/>
              <w:bottom w:val="nil"/>
            </w:tcBorders>
          </w:tcPr>
          <w:p w:rsidR="00212513" w:rsidRDefault="00212513">
            <w:pPr>
              <w:pStyle w:val="ConsPlusNormal"/>
              <w:jc w:val="center"/>
            </w:pPr>
            <w:r>
              <w:t>0,090</w:t>
            </w:r>
          </w:p>
        </w:tc>
        <w:tc>
          <w:tcPr>
            <w:tcW w:w="722" w:type="dxa"/>
            <w:tcBorders>
              <w:top w:val="nil"/>
              <w:bottom w:val="nil"/>
            </w:tcBorders>
          </w:tcPr>
          <w:p w:rsidR="00212513" w:rsidRDefault="00212513">
            <w:pPr>
              <w:pStyle w:val="ConsPlusNormal"/>
              <w:jc w:val="center"/>
            </w:pPr>
            <w:r>
              <w:t>0,100</w:t>
            </w:r>
          </w:p>
        </w:tc>
        <w:tc>
          <w:tcPr>
            <w:tcW w:w="722" w:type="dxa"/>
            <w:tcBorders>
              <w:top w:val="nil"/>
              <w:bottom w:val="nil"/>
            </w:tcBorders>
          </w:tcPr>
          <w:p w:rsidR="00212513" w:rsidRDefault="00212513">
            <w:pPr>
              <w:pStyle w:val="ConsPlusNormal"/>
              <w:jc w:val="center"/>
            </w:pPr>
            <w:r>
              <w:t>0,117</w:t>
            </w:r>
          </w:p>
        </w:tc>
        <w:tc>
          <w:tcPr>
            <w:tcW w:w="722" w:type="dxa"/>
            <w:tcBorders>
              <w:top w:val="nil"/>
              <w:bottom w:val="nil"/>
            </w:tcBorders>
          </w:tcPr>
          <w:p w:rsidR="00212513" w:rsidRDefault="00212513">
            <w:pPr>
              <w:pStyle w:val="ConsPlusNormal"/>
              <w:jc w:val="center"/>
            </w:pPr>
            <w:r>
              <w:t>0,133</w:t>
            </w:r>
          </w:p>
        </w:tc>
        <w:tc>
          <w:tcPr>
            <w:tcW w:w="1020" w:type="dxa"/>
            <w:tcBorders>
              <w:top w:val="nil"/>
              <w:bottom w:val="nil"/>
            </w:tcBorders>
          </w:tcPr>
          <w:p w:rsidR="00212513" w:rsidRDefault="00212513">
            <w:pPr>
              <w:pStyle w:val="ConsPlusNormal"/>
              <w:jc w:val="center"/>
            </w:pPr>
            <w:r>
              <w:t>0,175</w:t>
            </w:r>
          </w:p>
        </w:tc>
      </w:tr>
      <w:tr w:rsidR="00212513">
        <w:tblPrEx>
          <w:tblBorders>
            <w:insideH w:val="none" w:sz="0" w:space="0" w:color="auto"/>
          </w:tblBorders>
        </w:tblPrEx>
        <w:tc>
          <w:tcPr>
            <w:tcW w:w="567" w:type="dxa"/>
            <w:tcBorders>
              <w:top w:val="nil"/>
              <w:bottom w:val="nil"/>
            </w:tcBorders>
          </w:tcPr>
          <w:p w:rsidR="00212513" w:rsidRDefault="00212513">
            <w:pPr>
              <w:pStyle w:val="ConsPlusNormal"/>
              <w:jc w:val="center"/>
            </w:pPr>
            <w:r>
              <w:t>3,8</w:t>
            </w:r>
          </w:p>
        </w:tc>
        <w:tc>
          <w:tcPr>
            <w:tcW w:w="1531" w:type="dxa"/>
            <w:tcBorders>
              <w:top w:val="nil"/>
              <w:bottom w:val="nil"/>
            </w:tcBorders>
          </w:tcPr>
          <w:p w:rsidR="00212513" w:rsidRDefault="00212513">
            <w:pPr>
              <w:pStyle w:val="ConsPlusNormal"/>
              <w:jc w:val="center"/>
            </w:pPr>
            <w:r>
              <w:t>0,024</w:t>
            </w:r>
          </w:p>
        </w:tc>
        <w:tc>
          <w:tcPr>
            <w:tcW w:w="722" w:type="dxa"/>
            <w:tcBorders>
              <w:top w:val="nil"/>
              <w:bottom w:val="nil"/>
            </w:tcBorders>
          </w:tcPr>
          <w:p w:rsidR="00212513" w:rsidRDefault="00212513">
            <w:pPr>
              <w:pStyle w:val="ConsPlusNormal"/>
              <w:jc w:val="center"/>
            </w:pPr>
            <w:r>
              <w:t>0,032</w:t>
            </w:r>
          </w:p>
        </w:tc>
        <w:tc>
          <w:tcPr>
            <w:tcW w:w="722" w:type="dxa"/>
            <w:tcBorders>
              <w:top w:val="nil"/>
              <w:bottom w:val="nil"/>
            </w:tcBorders>
          </w:tcPr>
          <w:p w:rsidR="00212513" w:rsidRDefault="00212513">
            <w:pPr>
              <w:pStyle w:val="ConsPlusNormal"/>
              <w:jc w:val="center"/>
            </w:pPr>
            <w:r>
              <w:t>0,038</w:t>
            </w:r>
          </w:p>
        </w:tc>
        <w:tc>
          <w:tcPr>
            <w:tcW w:w="722" w:type="dxa"/>
            <w:tcBorders>
              <w:top w:val="nil"/>
              <w:bottom w:val="nil"/>
            </w:tcBorders>
          </w:tcPr>
          <w:p w:rsidR="00212513" w:rsidRDefault="00212513">
            <w:pPr>
              <w:pStyle w:val="ConsPlusNormal"/>
              <w:jc w:val="center"/>
            </w:pPr>
            <w:r>
              <w:t>0,044</w:t>
            </w:r>
          </w:p>
        </w:tc>
        <w:tc>
          <w:tcPr>
            <w:tcW w:w="722" w:type="dxa"/>
            <w:tcBorders>
              <w:top w:val="nil"/>
              <w:bottom w:val="nil"/>
            </w:tcBorders>
          </w:tcPr>
          <w:p w:rsidR="00212513" w:rsidRDefault="00212513">
            <w:pPr>
              <w:pStyle w:val="ConsPlusNormal"/>
              <w:jc w:val="center"/>
            </w:pPr>
            <w:r>
              <w:t>0,050</w:t>
            </w:r>
          </w:p>
        </w:tc>
        <w:tc>
          <w:tcPr>
            <w:tcW w:w="722" w:type="dxa"/>
            <w:tcBorders>
              <w:top w:val="nil"/>
              <w:bottom w:val="nil"/>
            </w:tcBorders>
          </w:tcPr>
          <w:p w:rsidR="00212513" w:rsidRDefault="00212513">
            <w:pPr>
              <w:pStyle w:val="ConsPlusNormal"/>
              <w:jc w:val="center"/>
            </w:pPr>
            <w:r>
              <w:t>0,056</w:t>
            </w:r>
          </w:p>
        </w:tc>
        <w:tc>
          <w:tcPr>
            <w:tcW w:w="722" w:type="dxa"/>
            <w:tcBorders>
              <w:top w:val="nil"/>
              <w:bottom w:val="nil"/>
            </w:tcBorders>
          </w:tcPr>
          <w:p w:rsidR="00212513" w:rsidRDefault="00212513">
            <w:pPr>
              <w:pStyle w:val="ConsPlusNormal"/>
              <w:jc w:val="center"/>
            </w:pPr>
            <w:r>
              <w:t>0,062</w:t>
            </w:r>
          </w:p>
        </w:tc>
        <w:tc>
          <w:tcPr>
            <w:tcW w:w="722" w:type="dxa"/>
            <w:tcBorders>
              <w:top w:val="nil"/>
              <w:bottom w:val="nil"/>
            </w:tcBorders>
          </w:tcPr>
          <w:p w:rsidR="00212513" w:rsidRDefault="00212513">
            <w:pPr>
              <w:pStyle w:val="ConsPlusNormal"/>
              <w:jc w:val="center"/>
            </w:pPr>
            <w:r>
              <w:t>0,072</w:t>
            </w:r>
          </w:p>
        </w:tc>
        <w:tc>
          <w:tcPr>
            <w:tcW w:w="722" w:type="dxa"/>
            <w:tcBorders>
              <w:top w:val="nil"/>
              <w:bottom w:val="nil"/>
            </w:tcBorders>
          </w:tcPr>
          <w:p w:rsidR="00212513" w:rsidRDefault="00212513">
            <w:pPr>
              <w:pStyle w:val="ConsPlusNormal"/>
              <w:jc w:val="center"/>
            </w:pPr>
            <w:r>
              <w:t>0,082</w:t>
            </w:r>
          </w:p>
        </w:tc>
        <w:tc>
          <w:tcPr>
            <w:tcW w:w="722" w:type="dxa"/>
            <w:tcBorders>
              <w:top w:val="nil"/>
              <w:bottom w:val="nil"/>
            </w:tcBorders>
          </w:tcPr>
          <w:p w:rsidR="00212513" w:rsidRDefault="00212513">
            <w:pPr>
              <w:pStyle w:val="ConsPlusNormal"/>
              <w:jc w:val="center"/>
            </w:pPr>
            <w:r>
              <w:t>0,091</w:t>
            </w:r>
          </w:p>
        </w:tc>
        <w:tc>
          <w:tcPr>
            <w:tcW w:w="722" w:type="dxa"/>
            <w:tcBorders>
              <w:top w:val="nil"/>
              <w:bottom w:val="nil"/>
            </w:tcBorders>
          </w:tcPr>
          <w:p w:rsidR="00212513" w:rsidRDefault="00212513">
            <w:pPr>
              <w:pStyle w:val="ConsPlusNormal"/>
              <w:jc w:val="center"/>
            </w:pPr>
            <w:r>
              <w:t>0,107</w:t>
            </w:r>
          </w:p>
        </w:tc>
        <w:tc>
          <w:tcPr>
            <w:tcW w:w="722" w:type="dxa"/>
            <w:tcBorders>
              <w:top w:val="nil"/>
              <w:bottom w:val="nil"/>
            </w:tcBorders>
          </w:tcPr>
          <w:p w:rsidR="00212513" w:rsidRDefault="00212513">
            <w:pPr>
              <w:pStyle w:val="ConsPlusNormal"/>
              <w:jc w:val="center"/>
            </w:pPr>
            <w:r>
              <w:t>0,123</w:t>
            </w:r>
          </w:p>
        </w:tc>
        <w:tc>
          <w:tcPr>
            <w:tcW w:w="1020" w:type="dxa"/>
            <w:tcBorders>
              <w:top w:val="nil"/>
              <w:bottom w:val="nil"/>
            </w:tcBorders>
          </w:tcPr>
          <w:p w:rsidR="00212513" w:rsidRDefault="00212513">
            <w:pPr>
              <w:pStyle w:val="ConsPlusNormal"/>
              <w:jc w:val="center"/>
            </w:pPr>
            <w:r>
              <w:t>0,166</w:t>
            </w:r>
          </w:p>
        </w:tc>
      </w:tr>
      <w:tr w:rsidR="00212513">
        <w:tblPrEx>
          <w:tblBorders>
            <w:insideH w:val="none" w:sz="0" w:space="0" w:color="auto"/>
          </w:tblBorders>
        </w:tblPrEx>
        <w:tc>
          <w:tcPr>
            <w:tcW w:w="567" w:type="dxa"/>
            <w:tcBorders>
              <w:top w:val="nil"/>
              <w:bottom w:val="nil"/>
            </w:tcBorders>
          </w:tcPr>
          <w:p w:rsidR="00212513" w:rsidRDefault="00212513">
            <w:pPr>
              <w:pStyle w:val="ConsPlusNormal"/>
              <w:jc w:val="center"/>
            </w:pPr>
            <w:r>
              <w:t>4,0</w:t>
            </w:r>
          </w:p>
        </w:tc>
        <w:tc>
          <w:tcPr>
            <w:tcW w:w="1531" w:type="dxa"/>
            <w:tcBorders>
              <w:top w:val="nil"/>
              <w:bottom w:val="nil"/>
            </w:tcBorders>
          </w:tcPr>
          <w:p w:rsidR="00212513" w:rsidRDefault="00212513">
            <w:pPr>
              <w:pStyle w:val="ConsPlusNormal"/>
              <w:jc w:val="center"/>
            </w:pPr>
            <w:r>
              <w:t>0,022</w:t>
            </w:r>
          </w:p>
        </w:tc>
        <w:tc>
          <w:tcPr>
            <w:tcW w:w="722" w:type="dxa"/>
            <w:tcBorders>
              <w:top w:val="nil"/>
              <w:bottom w:val="nil"/>
            </w:tcBorders>
          </w:tcPr>
          <w:p w:rsidR="00212513" w:rsidRDefault="00212513">
            <w:pPr>
              <w:pStyle w:val="ConsPlusNormal"/>
              <w:jc w:val="center"/>
            </w:pPr>
            <w:r>
              <w:t>0,029</w:t>
            </w:r>
          </w:p>
        </w:tc>
        <w:tc>
          <w:tcPr>
            <w:tcW w:w="722" w:type="dxa"/>
            <w:tcBorders>
              <w:top w:val="nil"/>
              <w:bottom w:val="nil"/>
            </w:tcBorders>
          </w:tcPr>
          <w:p w:rsidR="00212513" w:rsidRDefault="00212513">
            <w:pPr>
              <w:pStyle w:val="ConsPlusNormal"/>
              <w:jc w:val="center"/>
            </w:pPr>
            <w:r>
              <w:t>0,035</w:t>
            </w:r>
          </w:p>
        </w:tc>
        <w:tc>
          <w:tcPr>
            <w:tcW w:w="722" w:type="dxa"/>
            <w:tcBorders>
              <w:top w:val="nil"/>
              <w:bottom w:val="nil"/>
            </w:tcBorders>
          </w:tcPr>
          <w:p w:rsidR="00212513" w:rsidRDefault="00212513">
            <w:pPr>
              <w:pStyle w:val="ConsPlusNormal"/>
              <w:jc w:val="center"/>
            </w:pPr>
            <w:r>
              <w:t>0,040</w:t>
            </w:r>
          </w:p>
        </w:tc>
        <w:tc>
          <w:tcPr>
            <w:tcW w:w="722" w:type="dxa"/>
            <w:tcBorders>
              <w:top w:val="nil"/>
              <w:bottom w:val="nil"/>
            </w:tcBorders>
          </w:tcPr>
          <w:p w:rsidR="00212513" w:rsidRDefault="00212513">
            <w:pPr>
              <w:pStyle w:val="ConsPlusNormal"/>
              <w:jc w:val="center"/>
            </w:pPr>
            <w:r>
              <w:t>0,046</w:t>
            </w:r>
          </w:p>
        </w:tc>
        <w:tc>
          <w:tcPr>
            <w:tcW w:w="722" w:type="dxa"/>
            <w:tcBorders>
              <w:top w:val="nil"/>
              <w:bottom w:val="nil"/>
            </w:tcBorders>
          </w:tcPr>
          <w:p w:rsidR="00212513" w:rsidRDefault="00212513">
            <w:pPr>
              <w:pStyle w:val="ConsPlusNormal"/>
              <w:jc w:val="center"/>
            </w:pPr>
            <w:r>
              <w:t>0,051</w:t>
            </w:r>
          </w:p>
        </w:tc>
        <w:tc>
          <w:tcPr>
            <w:tcW w:w="722" w:type="dxa"/>
            <w:tcBorders>
              <w:top w:val="nil"/>
              <w:bottom w:val="nil"/>
            </w:tcBorders>
          </w:tcPr>
          <w:p w:rsidR="00212513" w:rsidRDefault="00212513">
            <w:pPr>
              <w:pStyle w:val="ConsPlusNormal"/>
              <w:jc w:val="center"/>
            </w:pPr>
            <w:r>
              <w:t>0,056</w:t>
            </w:r>
          </w:p>
        </w:tc>
        <w:tc>
          <w:tcPr>
            <w:tcW w:w="722" w:type="dxa"/>
            <w:tcBorders>
              <w:top w:val="nil"/>
              <w:bottom w:val="nil"/>
            </w:tcBorders>
          </w:tcPr>
          <w:p w:rsidR="00212513" w:rsidRDefault="00212513">
            <w:pPr>
              <w:pStyle w:val="ConsPlusNormal"/>
              <w:jc w:val="center"/>
            </w:pPr>
            <w:r>
              <w:t>0,066</w:t>
            </w:r>
          </w:p>
        </w:tc>
        <w:tc>
          <w:tcPr>
            <w:tcW w:w="722" w:type="dxa"/>
            <w:tcBorders>
              <w:top w:val="nil"/>
              <w:bottom w:val="nil"/>
            </w:tcBorders>
          </w:tcPr>
          <w:p w:rsidR="00212513" w:rsidRDefault="00212513">
            <w:pPr>
              <w:pStyle w:val="ConsPlusNormal"/>
              <w:jc w:val="center"/>
            </w:pPr>
            <w:r>
              <w:t>0,075</w:t>
            </w:r>
          </w:p>
        </w:tc>
        <w:tc>
          <w:tcPr>
            <w:tcW w:w="722" w:type="dxa"/>
            <w:tcBorders>
              <w:top w:val="nil"/>
              <w:bottom w:val="nil"/>
            </w:tcBorders>
          </w:tcPr>
          <w:p w:rsidR="00212513" w:rsidRDefault="00212513">
            <w:pPr>
              <w:pStyle w:val="ConsPlusNormal"/>
              <w:jc w:val="center"/>
            </w:pPr>
            <w:r>
              <w:t>0,084</w:t>
            </w:r>
          </w:p>
        </w:tc>
        <w:tc>
          <w:tcPr>
            <w:tcW w:w="722" w:type="dxa"/>
            <w:tcBorders>
              <w:top w:val="nil"/>
              <w:bottom w:val="nil"/>
            </w:tcBorders>
          </w:tcPr>
          <w:p w:rsidR="00212513" w:rsidRDefault="00212513">
            <w:pPr>
              <w:pStyle w:val="ConsPlusNormal"/>
              <w:jc w:val="center"/>
            </w:pPr>
            <w:r>
              <w:t>0,095</w:t>
            </w:r>
          </w:p>
        </w:tc>
        <w:tc>
          <w:tcPr>
            <w:tcW w:w="722" w:type="dxa"/>
            <w:tcBorders>
              <w:top w:val="nil"/>
              <w:bottom w:val="nil"/>
            </w:tcBorders>
          </w:tcPr>
          <w:p w:rsidR="00212513" w:rsidRDefault="00212513">
            <w:pPr>
              <w:pStyle w:val="ConsPlusNormal"/>
              <w:jc w:val="center"/>
            </w:pPr>
            <w:r>
              <w:t>0,113</w:t>
            </w:r>
          </w:p>
        </w:tc>
        <w:tc>
          <w:tcPr>
            <w:tcW w:w="1020" w:type="dxa"/>
            <w:tcBorders>
              <w:top w:val="nil"/>
              <w:bottom w:val="nil"/>
            </w:tcBorders>
          </w:tcPr>
          <w:p w:rsidR="00212513" w:rsidRDefault="00212513">
            <w:pPr>
              <w:pStyle w:val="ConsPlusNormal"/>
              <w:jc w:val="center"/>
            </w:pPr>
            <w:r>
              <w:t>0,158</w:t>
            </w:r>
          </w:p>
        </w:tc>
      </w:tr>
      <w:tr w:rsidR="00212513">
        <w:tblPrEx>
          <w:tblBorders>
            <w:insideH w:val="none" w:sz="0" w:space="0" w:color="auto"/>
          </w:tblBorders>
        </w:tblPrEx>
        <w:tc>
          <w:tcPr>
            <w:tcW w:w="567" w:type="dxa"/>
            <w:tcBorders>
              <w:top w:val="nil"/>
              <w:bottom w:val="nil"/>
            </w:tcBorders>
          </w:tcPr>
          <w:p w:rsidR="00212513" w:rsidRDefault="00212513">
            <w:pPr>
              <w:pStyle w:val="ConsPlusNormal"/>
              <w:jc w:val="center"/>
            </w:pPr>
            <w:r>
              <w:t>4,2</w:t>
            </w:r>
          </w:p>
        </w:tc>
        <w:tc>
          <w:tcPr>
            <w:tcW w:w="1531" w:type="dxa"/>
            <w:tcBorders>
              <w:top w:val="nil"/>
              <w:bottom w:val="nil"/>
            </w:tcBorders>
          </w:tcPr>
          <w:p w:rsidR="00212513" w:rsidRDefault="00212513">
            <w:pPr>
              <w:pStyle w:val="ConsPlusNormal"/>
              <w:jc w:val="center"/>
            </w:pPr>
            <w:r>
              <w:t>0,021</w:t>
            </w:r>
          </w:p>
        </w:tc>
        <w:tc>
          <w:tcPr>
            <w:tcW w:w="722" w:type="dxa"/>
            <w:tcBorders>
              <w:top w:val="nil"/>
              <w:bottom w:val="nil"/>
            </w:tcBorders>
          </w:tcPr>
          <w:p w:rsidR="00212513" w:rsidRDefault="00212513">
            <w:pPr>
              <w:pStyle w:val="ConsPlusNormal"/>
              <w:jc w:val="center"/>
            </w:pPr>
            <w:r>
              <w:t>0,026</w:t>
            </w:r>
          </w:p>
        </w:tc>
        <w:tc>
          <w:tcPr>
            <w:tcW w:w="722" w:type="dxa"/>
            <w:tcBorders>
              <w:top w:val="nil"/>
              <w:bottom w:val="nil"/>
            </w:tcBorders>
          </w:tcPr>
          <w:p w:rsidR="00212513" w:rsidRDefault="00212513">
            <w:pPr>
              <w:pStyle w:val="ConsPlusNormal"/>
              <w:jc w:val="center"/>
            </w:pPr>
            <w:r>
              <w:t>0,031</w:t>
            </w:r>
          </w:p>
        </w:tc>
        <w:tc>
          <w:tcPr>
            <w:tcW w:w="722" w:type="dxa"/>
            <w:tcBorders>
              <w:top w:val="nil"/>
              <w:bottom w:val="nil"/>
            </w:tcBorders>
          </w:tcPr>
          <w:p w:rsidR="00212513" w:rsidRDefault="00212513">
            <w:pPr>
              <w:pStyle w:val="ConsPlusNormal"/>
              <w:jc w:val="center"/>
            </w:pPr>
            <w:r>
              <w:t>0,037</w:t>
            </w:r>
          </w:p>
        </w:tc>
        <w:tc>
          <w:tcPr>
            <w:tcW w:w="722" w:type="dxa"/>
            <w:tcBorders>
              <w:top w:val="nil"/>
              <w:bottom w:val="nil"/>
            </w:tcBorders>
          </w:tcPr>
          <w:p w:rsidR="00212513" w:rsidRDefault="00212513">
            <w:pPr>
              <w:pStyle w:val="ConsPlusNormal"/>
              <w:jc w:val="center"/>
            </w:pPr>
            <w:r>
              <w:t>0,042</w:t>
            </w:r>
          </w:p>
        </w:tc>
        <w:tc>
          <w:tcPr>
            <w:tcW w:w="722" w:type="dxa"/>
            <w:tcBorders>
              <w:top w:val="nil"/>
              <w:bottom w:val="nil"/>
            </w:tcBorders>
          </w:tcPr>
          <w:p w:rsidR="00212513" w:rsidRDefault="00212513">
            <w:pPr>
              <w:pStyle w:val="ConsPlusNormal"/>
              <w:jc w:val="center"/>
            </w:pPr>
            <w:r>
              <w:t>0,048</w:t>
            </w:r>
          </w:p>
        </w:tc>
        <w:tc>
          <w:tcPr>
            <w:tcW w:w="722" w:type="dxa"/>
            <w:tcBorders>
              <w:top w:val="nil"/>
              <w:bottom w:val="nil"/>
            </w:tcBorders>
          </w:tcPr>
          <w:p w:rsidR="00212513" w:rsidRDefault="00212513">
            <w:pPr>
              <w:pStyle w:val="ConsPlusNormal"/>
              <w:jc w:val="center"/>
            </w:pPr>
            <w:r>
              <w:t>0,051</w:t>
            </w:r>
          </w:p>
        </w:tc>
        <w:tc>
          <w:tcPr>
            <w:tcW w:w="722" w:type="dxa"/>
            <w:tcBorders>
              <w:top w:val="nil"/>
              <w:bottom w:val="nil"/>
            </w:tcBorders>
          </w:tcPr>
          <w:p w:rsidR="00212513" w:rsidRDefault="00212513">
            <w:pPr>
              <w:pStyle w:val="ConsPlusNormal"/>
              <w:jc w:val="center"/>
            </w:pPr>
            <w:r>
              <w:t>0,060</w:t>
            </w:r>
          </w:p>
        </w:tc>
        <w:tc>
          <w:tcPr>
            <w:tcW w:w="722" w:type="dxa"/>
            <w:tcBorders>
              <w:top w:val="nil"/>
              <w:bottom w:val="nil"/>
            </w:tcBorders>
          </w:tcPr>
          <w:p w:rsidR="00212513" w:rsidRDefault="00212513">
            <w:pPr>
              <w:pStyle w:val="ConsPlusNormal"/>
              <w:jc w:val="center"/>
            </w:pPr>
            <w:r>
              <w:t>0,069</w:t>
            </w:r>
          </w:p>
        </w:tc>
        <w:tc>
          <w:tcPr>
            <w:tcW w:w="722" w:type="dxa"/>
            <w:tcBorders>
              <w:top w:val="nil"/>
              <w:bottom w:val="nil"/>
            </w:tcBorders>
          </w:tcPr>
          <w:p w:rsidR="00212513" w:rsidRDefault="00212513">
            <w:pPr>
              <w:pStyle w:val="ConsPlusNormal"/>
              <w:jc w:val="center"/>
            </w:pPr>
            <w:r>
              <w:t>0,077</w:t>
            </w:r>
          </w:p>
        </w:tc>
        <w:tc>
          <w:tcPr>
            <w:tcW w:w="722" w:type="dxa"/>
            <w:tcBorders>
              <w:top w:val="nil"/>
              <w:bottom w:val="nil"/>
            </w:tcBorders>
          </w:tcPr>
          <w:p w:rsidR="00212513" w:rsidRDefault="00212513">
            <w:pPr>
              <w:pStyle w:val="ConsPlusNormal"/>
              <w:jc w:val="center"/>
            </w:pPr>
            <w:r>
              <w:t>0,091</w:t>
            </w:r>
          </w:p>
        </w:tc>
        <w:tc>
          <w:tcPr>
            <w:tcW w:w="722" w:type="dxa"/>
            <w:tcBorders>
              <w:top w:val="nil"/>
              <w:bottom w:val="nil"/>
            </w:tcBorders>
          </w:tcPr>
          <w:p w:rsidR="00212513" w:rsidRDefault="00212513">
            <w:pPr>
              <w:pStyle w:val="ConsPlusNormal"/>
              <w:jc w:val="center"/>
            </w:pPr>
            <w:r>
              <w:t>0,105</w:t>
            </w:r>
          </w:p>
        </w:tc>
        <w:tc>
          <w:tcPr>
            <w:tcW w:w="1020" w:type="dxa"/>
            <w:tcBorders>
              <w:top w:val="nil"/>
              <w:bottom w:val="nil"/>
            </w:tcBorders>
          </w:tcPr>
          <w:p w:rsidR="00212513" w:rsidRDefault="00212513">
            <w:pPr>
              <w:pStyle w:val="ConsPlusNormal"/>
              <w:jc w:val="center"/>
            </w:pPr>
            <w:r>
              <w:t>0,150</w:t>
            </w:r>
          </w:p>
        </w:tc>
      </w:tr>
      <w:tr w:rsidR="00212513">
        <w:tblPrEx>
          <w:tblBorders>
            <w:insideH w:val="none" w:sz="0" w:space="0" w:color="auto"/>
          </w:tblBorders>
        </w:tblPrEx>
        <w:tc>
          <w:tcPr>
            <w:tcW w:w="567" w:type="dxa"/>
            <w:tcBorders>
              <w:top w:val="nil"/>
              <w:bottom w:val="nil"/>
            </w:tcBorders>
          </w:tcPr>
          <w:p w:rsidR="00212513" w:rsidRDefault="00212513">
            <w:pPr>
              <w:pStyle w:val="ConsPlusNormal"/>
              <w:jc w:val="center"/>
            </w:pPr>
            <w:r>
              <w:t>4,4</w:t>
            </w:r>
          </w:p>
        </w:tc>
        <w:tc>
          <w:tcPr>
            <w:tcW w:w="1531" w:type="dxa"/>
            <w:tcBorders>
              <w:top w:val="nil"/>
              <w:bottom w:val="nil"/>
            </w:tcBorders>
          </w:tcPr>
          <w:p w:rsidR="00212513" w:rsidRDefault="00212513">
            <w:pPr>
              <w:pStyle w:val="ConsPlusNormal"/>
              <w:jc w:val="center"/>
            </w:pPr>
            <w:r>
              <w:t>0,019</w:t>
            </w:r>
          </w:p>
        </w:tc>
        <w:tc>
          <w:tcPr>
            <w:tcW w:w="722" w:type="dxa"/>
            <w:tcBorders>
              <w:top w:val="nil"/>
              <w:bottom w:val="nil"/>
            </w:tcBorders>
          </w:tcPr>
          <w:p w:rsidR="00212513" w:rsidRDefault="00212513">
            <w:pPr>
              <w:pStyle w:val="ConsPlusNormal"/>
              <w:jc w:val="center"/>
            </w:pPr>
            <w:r>
              <w:t>0,024</w:t>
            </w:r>
          </w:p>
        </w:tc>
        <w:tc>
          <w:tcPr>
            <w:tcW w:w="722" w:type="dxa"/>
            <w:tcBorders>
              <w:top w:val="nil"/>
              <w:bottom w:val="nil"/>
            </w:tcBorders>
          </w:tcPr>
          <w:p w:rsidR="00212513" w:rsidRDefault="00212513">
            <w:pPr>
              <w:pStyle w:val="ConsPlusNormal"/>
              <w:jc w:val="center"/>
            </w:pPr>
            <w:r>
              <w:t>0,029</w:t>
            </w:r>
          </w:p>
        </w:tc>
        <w:tc>
          <w:tcPr>
            <w:tcW w:w="722" w:type="dxa"/>
            <w:tcBorders>
              <w:top w:val="nil"/>
              <w:bottom w:val="nil"/>
            </w:tcBorders>
          </w:tcPr>
          <w:p w:rsidR="00212513" w:rsidRDefault="00212513">
            <w:pPr>
              <w:pStyle w:val="ConsPlusNormal"/>
              <w:jc w:val="center"/>
            </w:pPr>
            <w:r>
              <w:t>0,034</w:t>
            </w:r>
          </w:p>
        </w:tc>
        <w:tc>
          <w:tcPr>
            <w:tcW w:w="722" w:type="dxa"/>
            <w:tcBorders>
              <w:top w:val="nil"/>
              <w:bottom w:val="nil"/>
            </w:tcBorders>
          </w:tcPr>
          <w:p w:rsidR="00212513" w:rsidRDefault="00212513">
            <w:pPr>
              <w:pStyle w:val="ConsPlusNormal"/>
              <w:jc w:val="center"/>
            </w:pPr>
            <w:r>
              <w:t>0,038</w:t>
            </w:r>
          </w:p>
        </w:tc>
        <w:tc>
          <w:tcPr>
            <w:tcW w:w="722" w:type="dxa"/>
            <w:tcBorders>
              <w:top w:val="nil"/>
              <w:bottom w:val="nil"/>
            </w:tcBorders>
          </w:tcPr>
          <w:p w:rsidR="00212513" w:rsidRDefault="00212513">
            <w:pPr>
              <w:pStyle w:val="ConsPlusNormal"/>
              <w:jc w:val="center"/>
            </w:pPr>
            <w:r>
              <w:t>0,042</w:t>
            </w:r>
          </w:p>
        </w:tc>
        <w:tc>
          <w:tcPr>
            <w:tcW w:w="722" w:type="dxa"/>
            <w:tcBorders>
              <w:top w:val="nil"/>
              <w:bottom w:val="nil"/>
            </w:tcBorders>
          </w:tcPr>
          <w:p w:rsidR="00212513" w:rsidRDefault="00212513">
            <w:pPr>
              <w:pStyle w:val="ConsPlusNormal"/>
              <w:jc w:val="center"/>
            </w:pPr>
            <w:r>
              <w:t>0,047</w:t>
            </w:r>
          </w:p>
        </w:tc>
        <w:tc>
          <w:tcPr>
            <w:tcW w:w="722" w:type="dxa"/>
            <w:tcBorders>
              <w:top w:val="nil"/>
              <w:bottom w:val="nil"/>
            </w:tcBorders>
          </w:tcPr>
          <w:p w:rsidR="00212513" w:rsidRDefault="00212513">
            <w:pPr>
              <w:pStyle w:val="ConsPlusNormal"/>
              <w:jc w:val="center"/>
            </w:pPr>
            <w:r>
              <w:t>0,055</w:t>
            </w:r>
          </w:p>
        </w:tc>
        <w:tc>
          <w:tcPr>
            <w:tcW w:w="722" w:type="dxa"/>
            <w:tcBorders>
              <w:top w:val="nil"/>
              <w:bottom w:val="nil"/>
            </w:tcBorders>
          </w:tcPr>
          <w:p w:rsidR="00212513" w:rsidRDefault="00212513">
            <w:pPr>
              <w:pStyle w:val="ConsPlusNormal"/>
              <w:jc w:val="center"/>
            </w:pPr>
            <w:r>
              <w:t>0,063</w:t>
            </w:r>
          </w:p>
        </w:tc>
        <w:tc>
          <w:tcPr>
            <w:tcW w:w="722" w:type="dxa"/>
            <w:tcBorders>
              <w:top w:val="nil"/>
              <w:bottom w:val="nil"/>
            </w:tcBorders>
          </w:tcPr>
          <w:p w:rsidR="00212513" w:rsidRDefault="00212513">
            <w:pPr>
              <w:pStyle w:val="ConsPlusNormal"/>
              <w:jc w:val="center"/>
            </w:pPr>
            <w:r>
              <w:t>0,070</w:t>
            </w:r>
          </w:p>
        </w:tc>
        <w:tc>
          <w:tcPr>
            <w:tcW w:w="722" w:type="dxa"/>
            <w:tcBorders>
              <w:top w:val="nil"/>
              <w:bottom w:val="nil"/>
            </w:tcBorders>
          </w:tcPr>
          <w:p w:rsidR="00212513" w:rsidRDefault="00212513">
            <w:pPr>
              <w:pStyle w:val="ConsPlusNormal"/>
              <w:jc w:val="center"/>
            </w:pPr>
            <w:r>
              <w:t>0,084</w:t>
            </w:r>
          </w:p>
        </w:tc>
        <w:tc>
          <w:tcPr>
            <w:tcW w:w="722" w:type="dxa"/>
            <w:tcBorders>
              <w:top w:val="nil"/>
              <w:bottom w:val="nil"/>
            </w:tcBorders>
          </w:tcPr>
          <w:p w:rsidR="00212513" w:rsidRDefault="00212513">
            <w:pPr>
              <w:pStyle w:val="ConsPlusNormal"/>
              <w:jc w:val="center"/>
            </w:pPr>
            <w:r>
              <w:t>0,098</w:t>
            </w:r>
          </w:p>
        </w:tc>
        <w:tc>
          <w:tcPr>
            <w:tcW w:w="1020" w:type="dxa"/>
            <w:tcBorders>
              <w:top w:val="nil"/>
              <w:bottom w:val="nil"/>
            </w:tcBorders>
          </w:tcPr>
          <w:p w:rsidR="00212513" w:rsidRDefault="00212513">
            <w:pPr>
              <w:pStyle w:val="ConsPlusNormal"/>
              <w:jc w:val="center"/>
            </w:pPr>
            <w:r>
              <w:t>0,144</w:t>
            </w:r>
          </w:p>
        </w:tc>
      </w:tr>
      <w:tr w:rsidR="00212513">
        <w:tblPrEx>
          <w:tblBorders>
            <w:insideH w:val="none" w:sz="0" w:space="0" w:color="auto"/>
          </w:tblBorders>
        </w:tblPrEx>
        <w:tc>
          <w:tcPr>
            <w:tcW w:w="567" w:type="dxa"/>
            <w:tcBorders>
              <w:top w:val="nil"/>
              <w:bottom w:val="nil"/>
            </w:tcBorders>
          </w:tcPr>
          <w:p w:rsidR="00212513" w:rsidRDefault="00212513">
            <w:pPr>
              <w:pStyle w:val="ConsPlusNormal"/>
              <w:jc w:val="center"/>
            </w:pPr>
            <w:r>
              <w:t>4,6</w:t>
            </w:r>
          </w:p>
        </w:tc>
        <w:tc>
          <w:tcPr>
            <w:tcW w:w="1531" w:type="dxa"/>
            <w:tcBorders>
              <w:top w:val="nil"/>
              <w:bottom w:val="nil"/>
            </w:tcBorders>
          </w:tcPr>
          <w:p w:rsidR="00212513" w:rsidRDefault="00212513">
            <w:pPr>
              <w:pStyle w:val="ConsPlusNormal"/>
              <w:jc w:val="center"/>
            </w:pPr>
            <w:r>
              <w:t>0,018</w:t>
            </w:r>
          </w:p>
        </w:tc>
        <w:tc>
          <w:tcPr>
            <w:tcW w:w="722" w:type="dxa"/>
            <w:tcBorders>
              <w:top w:val="nil"/>
              <w:bottom w:val="nil"/>
            </w:tcBorders>
          </w:tcPr>
          <w:p w:rsidR="00212513" w:rsidRDefault="00212513">
            <w:pPr>
              <w:pStyle w:val="ConsPlusNormal"/>
              <w:jc w:val="center"/>
            </w:pPr>
            <w:r>
              <w:t>0,022</w:t>
            </w:r>
          </w:p>
        </w:tc>
        <w:tc>
          <w:tcPr>
            <w:tcW w:w="722" w:type="dxa"/>
            <w:tcBorders>
              <w:top w:val="nil"/>
              <w:bottom w:val="nil"/>
            </w:tcBorders>
          </w:tcPr>
          <w:p w:rsidR="00212513" w:rsidRDefault="00212513">
            <w:pPr>
              <w:pStyle w:val="ConsPlusNormal"/>
              <w:jc w:val="center"/>
            </w:pPr>
            <w:r>
              <w:t>0,026</w:t>
            </w:r>
          </w:p>
        </w:tc>
        <w:tc>
          <w:tcPr>
            <w:tcW w:w="722" w:type="dxa"/>
            <w:tcBorders>
              <w:top w:val="nil"/>
              <w:bottom w:val="nil"/>
            </w:tcBorders>
          </w:tcPr>
          <w:p w:rsidR="00212513" w:rsidRDefault="00212513">
            <w:pPr>
              <w:pStyle w:val="ConsPlusNormal"/>
              <w:jc w:val="center"/>
            </w:pPr>
            <w:r>
              <w:t>0,031</w:t>
            </w:r>
          </w:p>
        </w:tc>
        <w:tc>
          <w:tcPr>
            <w:tcW w:w="722" w:type="dxa"/>
            <w:tcBorders>
              <w:top w:val="nil"/>
              <w:bottom w:val="nil"/>
            </w:tcBorders>
          </w:tcPr>
          <w:p w:rsidR="00212513" w:rsidRDefault="00212513">
            <w:pPr>
              <w:pStyle w:val="ConsPlusNormal"/>
              <w:jc w:val="center"/>
            </w:pPr>
            <w:r>
              <w:t>0,035</w:t>
            </w:r>
          </w:p>
        </w:tc>
        <w:tc>
          <w:tcPr>
            <w:tcW w:w="722" w:type="dxa"/>
            <w:tcBorders>
              <w:top w:val="nil"/>
              <w:bottom w:val="nil"/>
            </w:tcBorders>
          </w:tcPr>
          <w:p w:rsidR="00212513" w:rsidRDefault="00212513">
            <w:pPr>
              <w:pStyle w:val="ConsPlusNormal"/>
              <w:jc w:val="center"/>
            </w:pPr>
            <w:r>
              <w:t>0,039</w:t>
            </w:r>
          </w:p>
        </w:tc>
        <w:tc>
          <w:tcPr>
            <w:tcW w:w="722" w:type="dxa"/>
            <w:tcBorders>
              <w:top w:val="nil"/>
              <w:bottom w:val="nil"/>
            </w:tcBorders>
          </w:tcPr>
          <w:p w:rsidR="00212513" w:rsidRDefault="00212513">
            <w:pPr>
              <w:pStyle w:val="ConsPlusNormal"/>
              <w:jc w:val="center"/>
            </w:pPr>
            <w:r>
              <w:t>0,043</w:t>
            </w:r>
          </w:p>
        </w:tc>
        <w:tc>
          <w:tcPr>
            <w:tcW w:w="722" w:type="dxa"/>
            <w:tcBorders>
              <w:top w:val="nil"/>
              <w:bottom w:val="nil"/>
            </w:tcBorders>
          </w:tcPr>
          <w:p w:rsidR="00212513" w:rsidRDefault="00212513">
            <w:pPr>
              <w:pStyle w:val="ConsPlusNormal"/>
              <w:jc w:val="center"/>
            </w:pPr>
            <w:r>
              <w:t>0,051</w:t>
            </w:r>
          </w:p>
        </w:tc>
        <w:tc>
          <w:tcPr>
            <w:tcW w:w="722" w:type="dxa"/>
            <w:tcBorders>
              <w:top w:val="nil"/>
              <w:bottom w:val="nil"/>
            </w:tcBorders>
          </w:tcPr>
          <w:p w:rsidR="00212513" w:rsidRDefault="00212513">
            <w:pPr>
              <w:pStyle w:val="ConsPlusNormal"/>
              <w:jc w:val="center"/>
            </w:pPr>
            <w:r>
              <w:t>0,058</w:t>
            </w:r>
          </w:p>
        </w:tc>
        <w:tc>
          <w:tcPr>
            <w:tcW w:w="722" w:type="dxa"/>
            <w:tcBorders>
              <w:top w:val="nil"/>
              <w:bottom w:val="nil"/>
            </w:tcBorders>
          </w:tcPr>
          <w:p w:rsidR="00212513" w:rsidRDefault="00212513">
            <w:pPr>
              <w:pStyle w:val="ConsPlusNormal"/>
              <w:jc w:val="center"/>
            </w:pPr>
            <w:r>
              <w:t>0,065</w:t>
            </w:r>
          </w:p>
        </w:tc>
        <w:tc>
          <w:tcPr>
            <w:tcW w:w="722" w:type="dxa"/>
            <w:tcBorders>
              <w:top w:val="nil"/>
              <w:bottom w:val="nil"/>
            </w:tcBorders>
          </w:tcPr>
          <w:p w:rsidR="00212513" w:rsidRDefault="00212513">
            <w:pPr>
              <w:pStyle w:val="ConsPlusNormal"/>
              <w:jc w:val="center"/>
            </w:pPr>
            <w:r>
              <w:t>0,078</w:t>
            </w:r>
          </w:p>
        </w:tc>
        <w:tc>
          <w:tcPr>
            <w:tcW w:w="722" w:type="dxa"/>
            <w:tcBorders>
              <w:top w:val="nil"/>
              <w:bottom w:val="nil"/>
            </w:tcBorders>
          </w:tcPr>
          <w:p w:rsidR="00212513" w:rsidRDefault="00212513">
            <w:pPr>
              <w:pStyle w:val="ConsPlusNormal"/>
              <w:jc w:val="center"/>
            </w:pPr>
            <w:r>
              <w:t>0,091</w:t>
            </w:r>
          </w:p>
        </w:tc>
        <w:tc>
          <w:tcPr>
            <w:tcW w:w="1020" w:type="dxa"/>
            <w:tcBorders>
              <w:top w:val="nil"/>
              <w:bottom w:val="nil"/>
            </w:tcBorders>
          </w:tcPr>
          <w:p w:rsidR="00212513" w:rsidRDefault="00212513">
            <w:pPr>
              <w:pStyle w:val="ConsPlusNormal"/>
              <w:jc w:val="center"/>
            </w:pPr>
            <w:r>
              <w:t>0,137</w:t>
            </w:r>
          </w:p>
        </w:tc>
      </w:tr>
      <w:tr w:rsidR="00212513">
        <w:tblPrEx>
          <w:tblBorders>
            <w:insideH w:val="none" w:sz="0" w:space="0" w:color="auto"/>
          </w:tblBorders>
        </w:tblPrEx>
        <w:tc>
          <w:tcPr>
            <w:tcW w:w="567" w:type="dxa"/>
            <w:tcBorders>
              <w:top w:val="nil"/>
              <w:bottom w:val="nil"/>
            </w:tcBorders>
          </w:tcPr>
          <w:p w:rsidR="00212513" w:rsidRDefault="00212513">
            <w:pPr>
              <w:pStyle w:val="ConsPlusNormal"/>
              <w:jc w:val="center"/>
            </w:pPr>
            <w:r>
              <w:t>4,8</w:t>
            </w:r>
          </w:p>
        </w:tc>
        <w:tc>
          <w:tcPr>
            <w:tcW w:w="1531" w:type="dxa"/>
            <w:tcBorders>
              <w:top w:val="nil"/>
              <w:bottom w:val="nil"/>
            </w:tcBorders>
          </w:tcPr>
          <w:p w:rsidR="00212513" w:rsidRDefault="00212513">
            <w:pPr>
              <w:pStyle w:val="ConsPlusNormal"/>
              <w:jc w:val="center"/>
            </w:pPr>
            <w:r>
              <w:t>0,016</w:t>
            </w:r>
          </w:p>
        </w:tc>
        <w:tc>
          <w:tcPr>
            <w:tcW w:w="722" w:type="dxa"/>
            <w:tcBorders>
              <w:top w:val="nil"/>
              <w:bottom w:val="nil"/>
            </w:tcBorders>
          </w:tcPr>
          <w:p w:rsidR="00212513" w:rsidRDefault="00212513">
            <w:pPr>
              <w:pStyle w:val="ConsPlusNormal"/>
              <w:jc w:val="center"/>
            </w:pPr>
            <w:r>
              <w:t>0,020</w:t>
            </w:r>
          </w:p>
        </w:tc>
        <w:tc>
          <w:tcPr>
            <w:tcW w:w="722" w:type="dxa"/>
            <w:tcBorders>
              <w:top w:val="nil"/>
              <w:bottom w:val="nil"/>
            </w:tcBorders>
          </w:tcPr>
          <w:p w:rsidR="00212513" w:rsidRDefault="00212513">
            <w:pPr>
              <w:pStyle w:val="ConsPlusNormal"/>
              <w:jc w:val="center"/>
            </w:pPr>
            <w:r>
              <w:t>0,024</w:t>
            </w:r>
          </w:p>
        </w:tc>
        <w:tc>
          <w:tcPr>
            <w:tcW w:w="722" w:type="dxa"/>
            <w:tcBorders>
              <w:top w:val="nil"/>
              <w:bottom w:val="nil"/>
            </w:tcBorders>
          </w:tcPr>
          <w:p w:rsidR="00212513" w:rsidRDefault="00212513">
            <w:pPr>
              <w:pStyle w:val="ConsPlusNormal"/>
              <w:jc w:val="center"/>
            </w:pPr>
            <w:r>
              <w:t>0,028</w:t>
            </w:r>
          </w:p>
        </w:tc>
        <w:tc>
          <w:tcPr>
            <w:tcW w:w="722" w:type="dxa"/>
            <w:tcBorders>
              <w:top w:val="nil"/>
              <w:bottom w:val="nil"/>
            </w:tcBorders>
          </w:tcPr>
          <w:p w:rsidR="00212513" w:rsidRDefault="00212513">
            <w:pPr>
              <w:pStyle w:val="ConsPlusNormal"/>
              <w:jc w:val="center"/>
            </w:pPr>
            <w:r>
              <w:t>0,032</w:t>
            </w:r>
          </w:p>
        </w:tc>
        <w:tc>
          <w:tcPr>
            <w:tcW w:w="722" w:type="dxa"/>
            <w:tcBorders>
              <w:top w:val="nil"/>
              <w:bottom w:val="nil"/>
            </w:tcBorders>
          </w:tcPr>
          <w:p w:rsidR="00212513" w:rsidRDefault="00212513">
            <w:pPr>
              <w:pStyle w:val="ConsPlusNormal"/>
              <w:jc w:val="center"/>
            </w:pPr>
            <w:r>
              <w:t>0,036</w:t>
            </w:r>
          </w:p>
        </w:tc>
        <w:tc>
          <w:tcPr>
            <w:tcW w:w="722" w:type="dxa"/>
            <w:tcBorders>
              <w:top w:val="nil"/>
              <w:bottom w:val="nil"/>
            </w:tcBorders>
          </w:tcPr>
          <w:p w:rsidR="00212513" w:rsidRDefault="00212513">
            <w:pPr>
              <w:pStyle w:val="ConsPlusNormal"/>
              <w:jc w:val="center"/>
            </w:pPr>
            <w:r>
              <w:t>0,040</w:t>
            </w:r>
          </w:p>
        </w:tc>
        <w:tc>
          <w:tcPr>
            <w:tcW w:w="722" w:type="dxa"/>
            <w:tcBorders>
              <w:top w:val="nil"/>
              <w:bottom w:val="nil"/>
            </w:tcBorders>
          </w:tcPr>
          <w:p w:rsidR="00212513" w:rsidRDefault="00212513">
            <w:pPr>
              <w:pStyle w:val="ConsPlusNormal"/>
              <w:jc w:val="center"/>
            </w:pPr>
            <w:r>
              <w:t>0,047</w:t>
            </w:r>
          </w:p>
        </w:tc>
        <w:tc>
          <w:tcPr>
            <w:tcW w:w="722" w:type="dxa"/>
            <w:tcBorders>
              <w:top w:val="nil"/>
              <w:bottom w:val="nil"/>
            </w:tcBorders>
          </w:tcPr>
          <w:p w:rsidR="00212513" w:rsidRDefault="00212513">
            <w:pPr>
              <w:pStyle w:val="ConsPlusNormal"/>
              <w:jc w:val="center"/>
            </w:pPr>
            <w:r>
              <w:t>0,054</w:t>
            </w:r>
          </w:p>
        </w:tc>
        <w:tc>
          <w:tcPr>
            <w:tcW w:w="722" w:type="dxa"/>
            <w:tcBorders>
              <w:top w:val="nil"/>
              <w:bottom w:val="nil"/>
            </w:tcBorders>
          </w:tcPr>
          <w:p w:rsidR="00212513" w:rsidRDefault="00212513">
            <w:pPr>
              <w:pStyle w:val="ConsPlusNormal"/>
              <w:jc w:val="center"/>
            </w:pPr>
            <w:r>
              <w:t>0,060</w:t>
            </w:r>
          </w:p>
        </w:tc>
        <w:tc>
          <w:tcPr>
            <w:tcW w:w="722" w:type="dxa"/>
            <w:tcBorders>
              <w:top w:val="nil"/>
              <w:bottom w:val="nil"/>
            </w:tcBorders>
          </w:tcPr>
          <w:p w:rsidR="00212513" w:rsidRDefault="00212513">
            <w:pPr>
              <w:pStyle w:val="ConsPlusNormal"/>
              <w:jc w:val="center"/>
            </w:pPr>
            <w:r>
              <w:t>0,072</w:t>
            </w:r>
          </w:p>
        </w:tc>
        <w:tc>
          <w:tcPr>
            <w:tcW w:w="722" w:type="dxa"/>
            <w:tcBorders>
              <w:top w:val="nil"/>
              <w:bottom w:val="nil"/>
            </w:tcBorders>
          </w:tcPr>
          <w:p w:rsidR="00212513" w:rsidRDefault="00212513">
            <w:pPr>
              <w:pStyle w:val="ConsPlusNormal"/>
              <w:jc w:val="center"/>
            </w:pPr>
            <w:r>
              <w:t>0,085</w:t>
            </w:r>
          </w:p>
        </w:tc>
        <w:tc>
          <w:tcPr>
            <w:tcW w:w="1020" w:type="dxa"/>
            <w:tcBorders>
              <w:top w:val="nil"/>
              <w:bottom w:val="nil"/>
            </w:tcBorders>
          </w:tcPr>
          <w:p w:rsidR="00212513" w:rsidRDefault="00212513">
            <w:pPr>
              <w:pStyle w:val="ConsPlusNormal"/>
              <w:jc w:val="center"/>
            </w:pPr>
            <w:r>
              <w:t>0,132</w:t>
            </w:r>
          </w:p>
        </w:tc>
      </w:tr>
      <w:tr w:rsidR="00212513">
        <w:tblPrEx>
          <w:tblBorders>
            <w:insideH w:val="none" w:sz="0" w:space="0" w:color="auto"/>
          </w:tblBorders>
        </w:tblPrEx>
        <w:tc>
          <w:tcPr>
            <w:tcW w:w="567" w:type="dxa"/>
            <w:tcBorders>
              <w:top w:val="nil"/>
              <w:bottom w:val="single" w:sz="4" w:space="0" w:color="auto"/>
            </w:tcBorders>
          </w:tcPr>
          <w:p w:rsidR="00212513" w:rsidRDefault="00212513">
            <w:pPr>
              <w:pStyle w:val="ConsPlusNormal"/>
              <w:jc w:val="center"/>
            </w:pPr>
            <w:r>
              <w:t>5,0</w:t>
            </w:r>
          </w:p>
        </w:tc>
        <w:tc>
          <w:tcPr>
            <w:tcW w:w="1531" w:type="dxa"/>
            <w:tcBorders>
              <w:top w:val="nil"/>
              <w:bottom w:val="single" w:sz="4" w:space="0" w:color="auto"/>
            </w:tcBorders>
          </w:tcPr>
          <w:p w:rsidR="00212513" w:rsidRDefault="00212513">
            <w:pPr>
              <w:pStyle w:val="ConsPlusNormal"/>
              <w:jc w:val="center"/>
            </w:pPr>
            <w:r>
              <w:t>0,015</w:t>
            </w:r>
          </w:p>
        </w:tc>
        <w:tc>
          <w:tcPr>
            <w:tcW w:w="722" w:type="dxa"/>
            <w:tcBorders>
              <w:top w:val="nil"/>
              <w:bottom w:val="single" w:sz="4" w:space="0" w:color="auto"/>
            </w:tcBorders>
          </w:tcPr>
          <w:p w:rsidR="00212513" w:rsidRDefault="00212513">
            <w:pPr>
              <w:pStyle w:val="ConsPlusNormal"/>
              <w:jc w:val="center"/>
            </w:pPr>
            <w:r>
              <w:t>0,019</w:t>
            </w:r>
          </w:p>
        </w:tc>
        <w:tc>
          <w:tcPr>
            <w:tcW w:w="722" w:type="dxa"/>
            <w:tcBorders>
              <w:top w:val="nil"/>
              <w:bottom w:val="single" w:sz="4" w:space="0" w:color="auto"/>
            </w:tcBorders>
          </w:tcPr>
          <w:p w:rsidR="00212513" w:rsidRDefault="00212513">
            <w:pPr>
              <w:pStyle w:val="ConsPlusNormal"/>
              <w:jc w:val="center"/>
            </w:pPr>
            <w:r>
              <w:t>0,022</w:t>
            </w:r>
          </w:p>
        </w:tc>
        <w:tc>
          <w:tcPr>
            <w:tcW w:w="722" w:type="dxa"/>
            <w:tcBorders>
              <w:top w:val="nil"/>
              <w:bottom w:val="single" w:sz="4" w:space="0" w:color="auto"/>
            </w:tcBorders>
          </w:tcPr>
          <w:p w:rsidR="00212513" w:rsidRDefault="00212513">
            <w:pPr>
              <w:pStyle w:val="ConsPlusNormal"/>
              <w:jc w:val="center"/>
            </w:pPr>
            <w:r>
              <w:t>0,026</w:t>
            </w:r>
          </w:p>
        </w:tc>
        <w:tc>
          <w:tcPr>
            <w:tcW w:w="722" w:type="dxa"/>
            <w:tcBorders>
              <w:top w:val="nil"/>
              <w:bottom w:val="single" w:sz="4" w:space="0" w:color="auto"/>
            </w:tcBorders>
          </w:tcPr>
          <w:p w:rsidR="00212513" w:rsidRDefault="00212513">
            <w:pPr>
              <w:pStyle w:val="ConsPlusNormal"/>
              <w:jc w:val="center"/>
            </w:pPr>
            <w:r>
              <w:t>0,030</w:t>
            </w:r>
          </w:p>
        </w:tc>
        <w:tc>
          <w:tcPr>
            <w:tcW w:w="722" w:type="dxa"/>
            <w:tcBorders>
              <w:top w:val="nil"/>
              <w:bottom w:val="single" w:sz="4" w:space="0" w:color="auto"/>
            </w:tcBorders>
          </w:tcPr>
          <w:p w:rsidR="00212513" w:rsidRDefault="00212513">
            <w:pPr>
              <w:pStyle w:val="ConsPlusNormal"/>
              <w:jc w:val="center"/>
            </w:pPr>
            <w:r>
              <w:t>0,033</w:t>
            </w:r>
          </w:p>
        </w:tc>
        <w:tc>
          <w:tcPr>
            <w:tcW w:w="722" w:type="dxa"/>
            <w:tcBorders>
              <w:top w:val="nil"/>
              <w:bottom w:val="single" w:sz="4" w:space="0" w:color="auto"/>
            </w:tcBorders>
          </w:tcPr>
          <w:p w:rsidR="00212513" w:rsidRDefault="00212513">
            <w:pPr>
              <w:pStyle w:val="ConsPlusNormal"/>
              <w:jc w:val="center"/>
            </w:pPr>
            <w:r>
              <w:t>0,037</w:t>
            </w:r>
          </w:p>
        </w:tc>
        <w:tc>
          <w:tcPr>
            <w:tcW w:w="722" w:type="dxa"/>
            <w:tcBorders>
              <w:top w:val="nil"/>
              <w:bottom w:val="single" w:sz="4" w:space="0" w:color="auto"/>
            </w:tcBorders>
          </w:tcPr>
          <w:p w:rsidR="00212513" w:rsidRDefault="00212513">
            <w:pPr>
              <w:pStyle w:val="ConsPlusNormal"/>
              <w:jc w:val="center"/>
            </w:pPr>
            <w:r>
              <w:t>0,044</w:t>
            </w:r>
          </w:p>
        </w:tc>
        <w:tc>
          <w:tcPr>
            <w:tcW w:w="722" w:type="dxa"/>
            <w:tcBorders>
              <w:top w:val="nil"/>
              <w:bottom w:val="single" w:sz="4" w:space="0" w:color="auto"/>
            </w:tcBorders>
          </w:tcPr>
          <w:p w:rsidR="00212513" w:rsidRDefault="00212513">
            <w:pPr>
              <w:pStyle w:val="ConsPlusNormal"/>
              <w:jc w:val="center"/>
            </w:pPr>
            <w:r>
              <w:t>0,050</w:t>
            </w:r>
          </w:p>
        </w:tc>
        <w:tc>
          <w:tcPr>
            <w:tcW w:w="722" w:type="dxa"/>
            <w:tcBorders>
              <w:top w:val="nil"/>
              <w:bottom w:val="single" w:sz="4" w:space="0" w:color="auto"/>
            </w:tcBorders>
          </w:tcPr>
          <w:p w:rsidR="00212513" w:rsidRDefault="00212513">
            <w:pPr>
              <w:pStyle w:val="ConsPlusNormal"/>
              <w:jc w:val="center"/>
            </w:pPr>
            <w:r>
              <w:t>0,056</w:t>
            </w:r>
          </w:p>
        </w:tc>
        <w:tc>
          <w:tcPr>
            <w:tcW w:w="722" w:type="dxa"/>
            <w:tcBorders>
              <w:top w:val="nil"/>
              <w:bottom w:val="single" w:sz="4" w:space="0" w:color="auto"/>
            </w:tcBorders>
          </w:tcPr>
          <w:p w:rsidR="00212513" w:rsidRDefault="00212513">
            <w:pPr>
              <w:pStyle w:val="ConsPlusNormal"/>
              <w:jc w:val="center"/>
            </w:pPr>
            <w:r>
              <w:t>0,067</w:t>
            </w:r>
          </w:p>
        </w:tc>
        <w:tc>
          <w:tcPr>
            <w:tcW w:w="722" w:type="dxa"/>
            <w:tcBorders>
              <w:top w:val="nil"/>
              <w:bottom w:val="single" w:sz="4" w:space="0" w:color="auto"/>
            </w:tcBorders>
          </w:tcPr>
          <w:p w:rsidR="00212513" w:rsidRDefault="00212513">
            <w:pPr>
              <w:pStyle w:val="ConsPlusNormal"/>
              <w:jc w:val="center"/>
            </w:pPr>
            <w:r>
              <w:t>0,079</w:t>
            </w:r>
          </w:p>
        </w:tc>
        <w:tc>
          <w:tcPr>
            <w:tcW w:w="1020" w:type="dxa"/>
            <w:tcBorders>
              <w:top w:val="nil"/>
              <w:bottom w:val="single" w:sz="4" w:space="0" w:color="auto"/>
            </w:tcBorders>
          </w:tcPr>
          <w:p w:rsidR="00212513" w:rsidRDefault="00212513">
            <w:pPr>
              <w:pStyle w:val="ConsPlusNormal"/>
              <w:jc w:val="center"/>
            </w:pPr>
            <w:r>
              <w:t>0,126</w:t>
            </w:r>
          </w:p>
        </w:tc>
      </w:tr>
    </w:tbl>
    <w:p w:rsidR="00212513" w:rsidRDefault="00212513">
      <w:pPr>
        <w:pStyle w:val="ConsPlusNormal"/>
        <w:sectPr w:rsidR="00212513">
          <w:pgSz w:w="16838" w:h="11905" w:orient="landscape"/>
          <w:pgMar w:top="1701" w:right="1134" w:bottom="850" w:left="1134" w:header="0" w:footer="0" w:gutter="0"/>
          <w:cols w:space="720"/>
          <w:titlePg/>
        </w:sectPr>
      </w:pPr>
    </w:p>
    <w:p w:rsidR="00212513" w:rsidRDefault="00212513">
      <w:pPr>
        <w:pStyle w:val="ConsPlusNormal"/>
        <w:ind w:firstLine="540"/>
        <w:jc w:val="both"/>
      </w:pPr>
    </w:p>
    <w:p w:rsidR="00212513" w:rsidRDefault="00212513">
      <w:pPr>
        <w:pStyle w:val="ConsPlusNormal"/>
        <w:ind w:firstLine="540"/>
        <w:jc w:val="both"/>
      </w:pPr>
      <w:r>
        <w:t xml:space="preserve">Значение коэффициента </w:t>
      </w:r>
      <w:r>
        <w:rPr>
          <w:noProof/>
        </w:rPr>
        <w:drawing>
          <wp:inline distT="0" distB="0" distL="0" distR="0">
            <wp:extent cx="167640" cy="146050"/>
            <wp:effectExtent l="0" t="0" r="0" b="0"/>
            <wp:docPr id="3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4"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t xml:space="preserve"> принимается по </w:t>
      </w:r>
      <w:hyperlink w:anchor="P17884">
        <w:r>
          <w:rPr>
            <w:color w:val="0000FF"/>
          </w:rPr>
          <w:t>таблице 4.1</w:t>
        </w:r>
      </w:hyperlink>
      <w:r>
        <w:t xml:space="preserve"> настоящего приложения в зависимости от отношения </w:t>
      </w:r>
      <w:r>
        <w:rPr>
          <w:noProof/>
          <w:position w:val="-9"/>
        </w:rPr>
        <w:drawing>
          <wp:inline distT="0" distB="0" distL="0" distR="0">
            <wp:extent cx="356235" cy="261620"/>
            <wp:effectExtent l="0" t="0" r="0" b="0"/>
            <wp:docPr id="3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8" cstate="print">
                      <a:extLst>
                        <a:ext uri="{28A0092B-C50C-407E-A947-70E740481C1C}">
                          <a14:useLocalDpi xmlns:a14="http://schemas.microsoft.com/office/drawing/2010/main" val="0"/>
                        </a:ext>
                      </a:extLst>
                    </a:blip>
                    <a:srcRect/>
                    <a:stretch>
                      <a:fillRect/>
                    </a:stretch>
                  </pic:blipFill>
                  <pic:spPr bwMode="auto">
                    <a:xfrm>
                      <a:off x="0" y="0"/>
                      <a:ext cx="356235" cy="261620"/>
                    </a:xfrm>
                    <a:prstGeom prst="rect">
                      <a:avLst/>
                    </a:prstGeom>
                    <a:noFill/>
                    <a:ln>
                      <a:noFill/>
                    </a:ln>
                  </pic:spPr>
                </pic:pic>
              </a:graphicData>
            </a:graphic>
          </wp:inline>
        </w:drawing>
      </w:r>
      <w:r>
        <w:t xml:space="preserve"> для круглого и от отношений </w:t>
      </w:r>
      <w:r>
        <w:rPr>
          <w:noProof/>
          <w:position w:val="-9"/>
        </w:rPr>
        <w:drawing>
          <wp:inline distT="0" distB="0" distL="0" distR="0">
            <wp:extent cx="356235" cy="261620"/>
            <wp:effectExtent l="0" t="0" r="0" b="0"/>
            <wp:docPr id="3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9" cstate="print">
                      <a:extLst>
                        <a:ext uri="{28A0092B-C50C-407E-A947-70E740481C1C}">
                          <a14:useLocalDpi xmlns:a14="http://schemas.microsoft.com/office/drawing/2010/main" val="0"/>
                        </a:ext>
                      </a:extLst>
                    </a:blip>
                    <a:srcRect/>
                    <a:stretch>
                      <a:fillRect/>
                    </a:stretch>
                  </pic:blipFill>
                  <pic:spPr bwMode="auto">
                    <a:xfrm>
                      <a:off x="0" y="0"/>
                      <a:ext cx="356235" cy="261620"/>
                    </a:xfrm>
                    <a:prstGeom prst="rect">
                      <a:avLst/>
                    </a:prstGeom>
                    <a:noFill/>
                    <a:ln>
                      <a:noFill/>
                    </a:ln>
                  </pic:spPr>
                </pic:pic>
              </a:graphicData>
            </a:graphic>
          </wp:inline>
        </w:drawing>
      </w:r>
      <w:r>
        <w:t xml:space="preserve"> и </w:t>
      </w:r>
      <w:r>
        <w:rPr>
          <w:i/>
        </w:rPr>
        <w:t>a</w:t>
      </w:r>
      <w:r>
        <w:t>/</w:t>
      </w:r>
      <w:r>
        <w:rPr>
          <w:i/>
        </w:rPr>
        <w:t>b</w:t>
      </w:r>
      <w:r>
        <w:t xml:space="preserve"> для прямоугольного в плане фундаментов. Здесь </w:t>
      </w:r>
      <w:r>
        <w:rPr>
          <w:i/>
        </w:rPr>
        <w:t>a</w:t>
      </w:r>
      <w:r>
        <w:t xml:space="preserve"> - большая сторона прямоугольного в плане фундамента, </w:t>
      </w:r>
      <w:r>
        <w:rPr>
          <w:i/>
        </w:rPr>
        <w:t>b</w:t>
      </w:r>
      <w:r>
        <w:t xml:space="preserve"> - меньшая его сторона или диаметр круглого в плане фундамента.</w:t>
      </w:r>
    </w:p>
    <w:p w:rsidR="00212513" w:rsidRDefault="00212513">
      <w:pPr>
        <w:pStyle w:val="ConsPlusNormal"/>
        <w:spacing w:before="220"/>
        <w:ind w:firstLine="540"/>
        <w:jc w:val="both"/>
      </w:pPr>
      <w:r>
        <w:t xml:space="preserve">Проверку несущей способности подстилающего слоя грунта под фундаментом из свай или из опускного колодца следует производить как под условным фундаментом размерами, принимаемыми согласно </w:t>
      </w:r>
      <w:hyperlink w:anchor="P17781">
        <w:r>
          <w:rPr>
            <w:color w:val="0000FF"/>
          </w:rPr>
          <w:t>приложению 3</w:t>
        </w:r>
      </w:hyperlink>
      <w:r>
        <w:t>.</w:t>
      </w: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jc w:val="right"/>
        <w:outlineLvl w:val="0"/>
      </w:pPr>
      <w:r>
        <w:rPr>
          <w:b/>
        </w:rPr>
        <w:t>Приложение 5</w:t>
      </w:r>
    </w:p>
    <w:p w:rsidR="00212513" w:rsidRDefault="00212513">
      <w:pPr>
        <w:pStyle w:val="ConsPlusNormal"/>
        <w:jc w:val="right"/>
      </w:pPr>
      <w:r>
        <w:rPr>
          <w:b/>
        </w:rPr>
        <w:t>(рекомендуемое)</w:t>
      </w:r>
    </w:p>
    <w:p w:rsidR="00212513" w:rsidRDefault="00212513">
      <w:pPr>
        <w:pStyle w:val="ConsPlusNormal"/>
        <w:jc w:val="right"/>
      </w:pPr>
      <w:r>
        <w:t xml:space="preserve">(в ред. </w:t>
      </w:r>
      <w:hyperlink r:id="rId3980">
        <w:r>
          <w:rPr>
            <w:color w:val="0000FF"/>
          </w:rPr>
          <w:t>Изменения N 4</w:t>
        </w:r>
      </w:hyperlink>
      <w:r>
        <w:t>, утв. Приказом Минстроя России от 30.05.2024 N 361/пр)</w:t>
      </w:r>
    </w:p>
    <w:p w:rsidR="00212513" w:rsidRDefault="00212513">
      <w:pPr>
        <w:pStyle w:val="ConsPlusNormal"/>
        <w:ind w:firstLine="540"/>
        <w:jc w:val="both"/>
      </w:pPr>
    </w:p>
    <w:p w:rsidR="00212513" w:rsidRDefault="00212513">
      <w:pPr>
        <w:pStyle w:val="ConsPlusTitle"/>
        <w:jc w:val="center"/>
      </w:pPr>
      <w:bookmarkStart w:id="616" w:name="P18278"/>
      <w:bookmarkEnd w:id="616"/>
      <w:r>
        <w:t>МЕТОДИКА ОПРЕДЕЛЕНИЯ ДОПОЛНИТЕЛЬНЫХ ДАВЛЕНИЙ</w:t>
      </w:r>
    </w:p>
    <w:p w:rsidR="00212513" w:rsidRDefault="00212513">
      <w:pPr>
        <w:pStyle w:val="ConsPlusTitle"/>
        <w:jc w:val="center"/>
      </w:pPr>
      <w:r>
        <w:t>НА ОСНОВАНИЕ УСТОЯ ОТ ВЕСА ПРИМЫКАЮЩЕЙ</w:t>
      </w:r>
    </w:p>
    <w:p w:rsidR="00212513" w:rsidRDefault="00212513">
      <w:pPr>
        <w:pStyle w:val="ConsPlusTitle"/>
        <w:jc w:val="center"/>
      </w:pPr>
      <w:r>
        <w:t>ЧАСТИ ПОДХОДНОЙ НАСЫПИ</w:t>
      </w:r>
    </w:p>
    <w:p w:rsidR="00212513" w:rsidRDefault="00212513">
      <w:pPr>
        <w:pStyle w:val="ConsPlusNormal"/>
        <w:ind w:firstLine="540"/>
        <w:jc w:val="both"/>
      </w:pPr>
    </w:p>
    <w:p w:rsidR="00212513" w:rsidRDefault="00212513">
      <w:pPr>
        <w:pStyle w:val="ConsPlusNormal"/>
        <w:ind w:firstLine="540"/>
        <w:jc w:val="both"/>
      </w:pPr>
      <w:r>
        <w:t xml:space="preserve">5.1 Дополнительное давление на грунты основания под задней гранью устоя (в уровне подошвы фундамента) от веса подходной насыпи </w:t>
      </w:r>
      <w:hyperlink w:anchor="P18290">
        <w:r>
          <w:rPr>
            <w:color w:val="0000FF"/>
          </w:rPr>
          <w:t>(рисунок 5.1)</w:t>
        </w:r>
      </w:hyperlink>
      <w:r>
        <w:t xml:space="preserve"> </w:t>
      </w:r>
      <w:r>
        <w:rPr>
          <w:noProof/>
          <w:position w:val="-7"/>
        </w:rPr>
        <w:drawing>
          <wp:inline distT="0" distB="0" distL="0" distR="0">
            <wp:extent cx="177165" cy="240665"/>
            <wp:effectExtent l="0" t="0" r="0" b="0"/>
            <wp:docPr id="3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1"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кПа, следует определять по формуле</w:t>
      </w:r>
    </w:p>
    <w:p w:rsidR="00212513" w:rsidRDefault="00212513">
      <w:pPr>
        <w:pStyle w:val="ConsPlusNormal"/>
        <w:ind w:firstLine="540"/>
        <w:jc w:val="both"/>
      </w:pPr>
    </w:p>
    <w:p w:rsidR="00212513" w:rsidRDefault="00212513">
      <w:pPr>
        <w:pStyle w:val="ConsPlusNormal"/>
        <w:jc w:val="center"/>
      </w:pPr>
      <w:bookmarkStart w:id="617" w:name="P18284"/>
      <w:bookmarkEnd w:id="617"/>
      <w:r>
        <w:rPr>
          <w:noProof/>
          <w:position w:val="-9"/>
        </w:rPr>
        <w:drawing>
          <wp:inline distT="0" distB="0" distL="0" distR="0">
            <wp:extent cx="712470" cy="261620"/>
            <wp:effectExtent l="0" t="0" r="0" b="0"/>
            <wp:docPr id="3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2" cstate="print">
                      <a:extLst>
                        <a:ext uri="{28A0092B-C50C-407E-A947-70E740481C1C}">
                          <a14:useLocalDpi xmlns:a14="http://schemas.microsoft.com/office/drawing/2010/main" val="0"/>
                        </a:ext>
                      </a:extLst>
                    </a:blip>
                    <a:srcRect/>
                    <a:stretch>
                      <a:fillRect/>
                    </a:stretch>
                  </pic:blipFill>
                  <pic:spPr bwMode="auto">
                    <a:xfrm>
                      <a:off x="0" y="0"/>
                      <a:ext cx="712470" cy="261620"/>
                    </a:xfrm>
                    <a:prstGeom prst="rect">
                      <a:avLst/>
                    </a:prstGeom>
                    <a:noFill/>
                    <a:ln>
                      <a:noFill/>
                    </a:ln>
                  </pic:spPr>
                </pic:pic>
              </a:graphicData>
            </a:graphic>
          </wp:inline>
        </w:drawing>
      </w:r>
      <w:r>
        <w:t>. (5.1)</w:t>
      </w:r>
    </w:p>
    <w:p w:rsidR="00212513" w:rsidRDefault="00212513">
      <w:pPr>
        <w:pStyle w:val="ConsPlusNormal"/>
        <w:ind w:firstLine="540"/>
        <w:jc w:val="both"/>
      </w:pPr>
    </w:p>
    <w:p w:rsidR="00212513" w:rsidRDefault="00212513">
      <w:pPr>
        <w:pStyle w:val="ConsPlusNormal"/>
        <w:jc w:val="center"/>
      </w:pPr>
      <w:r>
        <w:rPr>
          <w:noProof/>
          <w:position w:val="-321"/>
        </w:rPr>
        <w:drawing>
          <wp:inline distT="0" distB="0" distL="0" distR="0">
            <wp:extent cx="5541645" cy="4219575"/>
            <wp:effectExtent l="0" t="0" r="0" b="0"/>
            <wp:docPr id="3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3">
                      <a:extLst>
                        <a:ext uri="{28A0092B-C50C-407E-A947-70E740481C1C}">
                          <a14:useLocalDpi xmlns:a14="http://schemas.microsoft.com/office/drawing/2010/main" val="0"/>
                        </a:ext>
                      </a:extLst>
                    </a:blip>
                    <a:srcRect/>
                    <a:stretch>
                      <a:fillRect/>
                    </a:stretch>
                  </pic:blipFill>
                  <pic:spPr bwMode="auto">
                    <a:xfrm>
                      <a:off x="0" y="0"/>
                      <a:ext cx="5541645" cy="4219575"/>
                    </a:xfrm>
                    <a:prstGeom prst="rect">
                      <a:avLst/>
                    </a:prstGeom>
                    <a:noFill/>
                    <a:ln>
                      <a:noFill/>
                    </a:ln>
                  </pic:spPr>
                </pic:pic>
              </a:graphicData>
            </a:graphic>
          </wp:inline>
        </w:drawing>
      </w:r>
    </w:p>
    <w:p w:rsidR="00212513" w:rsidRDefault="00212513">
      <w:pPr>
        <w:pStyle w:val="ConsPlusNormal"/>
        <w:jc w:val="center"/>
      </w:pPr>
    </w:p>
    <w:p w:rsidR="00212513" w:rsidRDefault="00212513">
      <w:pPr>
        <w:pStyle w:val="ConsPlusNormal"/>
        <w:jc w:val="center"/>
      </w:pPr>
      <w:r>
        <w:t>1 - передняя грань; 2 - задняя грань</w:t>
      </w:r>
    </w:p>
    <w:p w:rsidR="00212513" w:rsidRDefault="00212513">
      <w:pPr>
        <w:pStyle w:val="ConsPlusNormal"/>
        <w:jc w:val="center"/>
      </w:pPr>
    </w:p>
    <w:p w:rsidR="00212513" w:rsidRDefault="00212513">
      <w:pPr>
        <w:pStyle w:val="ConsPlusNormal"/>
        <w:jc w:val="center"/>
      </w:pPr>
      <w:bookmarkStart w:id="618" w:name="P18290"/>
      <w:bookmarkEnd w:id="618"/>
      <w:r>
        <w:rPr>
          <w:b/>
          <w:i/>
        </w:rPr>
        <w:t>Рисунок 5.1</w:t>
      </w:r>
      <w:r>
        <w:t xml:space="preserve"> </w:t>
      </w:r>
      <w:r>
        <w:rPr>
          <w:b/>
        </w:rPr>
        <w:t>- Дополнительные давления от веса</w:t>
      </w:r>
    </w:p>
    <w:p w:rsidR="00212513" w:rsidRDefault="00212513">
      <w:pPr>
        <w:pStyle w:val="ConsPlusNormal"/>
        <w:jc w:val="center"/>
      </w:pPr>
      <w:r>
        <w:rPr>
          <w:b/>
        </w:rPr>
        <w:t>подходной насыпи на грунты основания обсыпного устоя</w:t>
      </w:r>
    </w:p>
    <w:p w:rsidR="00212513" w:rsidRDefault="00212513">
      <w:pPr>
        <w:pStyle w:val="ConsPlusNormal"/>
        <w:jc w:val="center"/>
      </w:pPr>
    </w:p>
    <w:p w:rsidR="00212513" w:rsidRDefault="00212513">
      <w:pPr>
        <w:pStyle w:val="ConsPlusNormal"/>
        <w:jc w:val="center"/>
      </w:pPr>
      <w:r>
        <w:t xml:space="preserve">(рисунок 5.1 в ред. </w:t>
      </w:r>
      <w:hyperlink r:id="rId3984">
        <w:r>
          <w:rPr>
            <w:color w:val="0000FF"/>
          </w:rPr>
          <w:t>Изменения N 4</w:t>
        </w:r>
      </w:hyperlink>
      <w:r>
        <w:t>, утв. Приказом</w:t>
      </w:r>
    </w:p>
    <w:p w:rsidR="00212513" w:rsidRDefault="00212513">
      <w:pPr>
        <w:pStyle w:val="ConsPlusNormal"/>
        <w:jc w:val="center"/>
      </w:pPr>
      <w:r>
        <w:t>Минстроя России от 30.05.2024 N 361/пр)</w:t>
      </w:r>
    </w:p>
    <w:p w:rsidR="00212513" w:rsidRDefault="00212513">
      <w:pPr>
        <w:pStyle w:val="ConsPlusNormal"/>
        <w:ind w:firstLine="540"/>
        <w:jc w:val="both"/>
      </w:pPr>
    </w:p>
    <w:p w:rsidR="00212513" w:rsidRDefault="00212513">
      <w:pPr>
        <w:pStyle w:val="ConsPlusNormal"/>
        <w:ind w:firstLine="540"/>
        <w:jc w:val="both"/>
      </w:pPr>
      <w:r>
        <w:t xml:space="preserve">Для обсыпного устоя дополнительное давление на грунты основания под передней гранью устоя от веса конуса устоя </w:t>
      </w:r>
      <w:r>
        <w:rPr>
          <w:noProof/>
          <w:position w:val="-9"/>
        </w:rPr>
        <w:drawing>
          <wp:inline distT="0" distB="0" distL="0" distR="0">
            <wp:extent cx="209550" cy="261620"/>
            <wp:effectExtent l="0" t="0" r="0" b="0"/>
            <wp:docPr id="3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5"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 кПа, следует определять по формуле</w:t>
      </w:r>
    </w:p>
    <w:p w:rsidR="00212513" w:rsidRDefault="00212513">
      <w:pPr>
        <w:pStyle w:val="ConsPlusNormal"/>
        <w:ind w:firstLine="540"/>
        <w:jc w:val="both"/>
      </w:pPr>
    </w:p>
    <w:p w:rsidR="00212513" w:rsidRDefault="00212513">
      <w:pPr>
        <w:pStyle w:val="ConsPlusNormal"/>
        <w:jc w:val="center"/>
      </w:pPr>
      <w:bookmarkStart w:id="619" w:name="P18298"/>
      <w:bookmarkEnd w:id="619"/>
      <w:r>
        <w:rPr>
          <w:noProof/>
          <w:position w:val="-9"/>
        </w:rPr>
        <w:drawing>
          <wp:inline distT="0" distB="0" distL="0" distR="0">
            <wp:extent cx="768350" cy="261620"/>
            <wp:effectExtent l="0" t="0" r="0" b="0"/>
            <wp:docPr id="3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6" cstate="print">
                      <a:extLst>
                        <a:ext uri="{28A0092B-C50C-407E-A947-70E740481C1C}">
                          <a14:useLocalDpi xmlns:a14="http://schemas.microsoft.com/office/drawing/2010/main" val="0"/>
                        </a:ext>
                      </a:extLst>
                    </a:blip>
                    <a:srcRect/>
                    <a:stretch>
                      <a:fillRect/>
                    </a:stretch>
                  </pic:blipFill>
                  <pic:spPr bwMode="auto">
                    <a:xfrm>
                      <a:off x="0" y="0"/>
                      <a:ext cx="768350" cy="261620"/>
                    </a:xfrm>
                    <a:prstGeom prst="rect">
                      <a:avLst/>
                    </a:prstGeom>
                    <a:noFill/>
                    <a:ln>
                      <a:noFill/>
                    </a:ln>
                  </pic:spPr>
                </pic:pic>
              </a:graphicData>
            </a:graphic>
          </wp:inline>
        </w:drawing>
      </w:r>
      <w:r>
        <w:t>. (5.2)</w:t>
      </w:r>
    </w:p>
    <w:p w:rsidR="00212513" w:rsidRDefault="00212513">
      <w:pPr>
        <w:pStyle w:val="ConsPlusNormal"/>
        <w:ind w:firstLine="540"/>
        <w:jc w:val="both"/>
      </w:pPr>
    </w:p>
    <w:p w:rsidR="00212513" w:rsidRDefault="00212513">
      <w:pPr>
        <w:pStyle w:val="ConsPlusNormal"/>
        <w:ind w:firstLine="540"/>
        <w:jc w:val="both"/>
      </w:pPr>
      <w:r>
        <w:t xml:space="preserve">Давления </w:t>
      </w:r>
      <w:r>
        <w:rPr>
          <w:noProof/>
          <w:position w:val="-7"/>
        </w:rPr>
        <w:drawing>
          <wp:inline distT="0" distB="0" distL="0" distR="0">
            <wp:extent cx="177165" cy="240665"/>
            <wp:effectExtent l="0" t="0" r="0" b="0"/>
            <wp:docPr id="3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7"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и </w:t>
      </w:r>
      <w:r>
        <w:rPr>
          <w:noProof/>
          <w:position w:val="-9"/>
        </w:rPr>
        <w:drawing>
          <wp:inline distT="0" distB="0" distL="0" distR="0">
            <wp:extent cx="209550" cy="261620"/>
            <wp:effectExtent l="0" t="0" r="0" b="0"/>
            <wp:docPr id="3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8"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 xml:space="preserve"> следует определять суммированием по соответствующим граням фундамента давления от расчетных нагрузок с добавлением </w:t>
      </w:r>
      <w:r>
        <w:rPr>
          <w:noProof/>
          <w:position w:val="-7"/>
        </w:rPr>
        <w:drawing>
          <wp:inline distT="0" distB="0" distL="0" distR="0">
            <wp:extent cx="177165" cy="240665"/>
            <wp:effectExtent l="0" t="0" r="0" b="0"/>
            <wp:docPr id="3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1"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и </w:t>
      </w:r>
      <w:r>
        <w:rPr>
          <w:noProof/>
          <w:position w:val="-9"/>
        </w:rPr>
        <w:drawing>
          <wp:inline distT="0" distB="0" distL="0" distR="0">
            <wp:extent cx="209550" cy="261620"/>
            <wp:effectExtent l="0" t="0" r="0" b="0"/>
            <wp:docPr id="3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5"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w:t>
      </w:r>
    </w:p>
    <w:p w:rsidR="00212513" w:rsidRDefault="00212513">
      <w:pPr>
        <w:pStyle w:val="ConsPlusNormal"/>
        <w:spacing w:before="220"/>
        <w:ind w:firstLine="540"/>
        <w:jc w:val="both"/>
      </w:pPr>
      <w:r>
        <w:t xml:space="preserve">В </w:t>
      </w:r>
      <w:hyperlink w:anchor="P18284">
        <w:r>
          <w:rPr>
            <w:color w:val="0000FF"/>
          </w:rPr>
          <w:t>формулах (5.1)</w:t>
        </w:r>
      </w:hyperlink>
      <w:r>
        <w:t xml:space="preserve"> и </w:t>
      </w:r>
      <w:hyperlink w:anchor="P18298">
        <w:r>
          <w:rPr>
            <w:color w:val="0000FF"/>
          </w:rPr>
          <w:t>(5.2)</w:t>
        </w:r>
      </w:hyperlink>
      <w:r>
        <w:t>:</w:t>
      </w:r>
    </w:p>
    <w:p w:rsidR="00212513" w:rsidRDefault="00212513">
      <w:pPr>
        <w:pStyle w:val="ConsPlusNormal"/>
        <w:spacing w:before="220"/>
        <w:ind w:firstLine="540"/>
        <w:jc w:val="both"/>
      </w:pPr>
      <w:r>
        <w:rPr>
          <w:noProof/>
          <w:position w:val="-3"/>
        </w:rPr>
        <w:drawing>
          <wp:inline distT="0" distB="0" distL="0" distR="0">
            <wp:extent cx="146685" cy="177800"/>
            <wp:effectExtent l="0" t="0" r="0" b="0"/>
            <wp:docPr id="3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9" cstate="print">
                      <a:extLst>
                        <a:ext uri="{28A0092B-C50C-407E-A947-70E740481C1C}">
                          <a14:useLocalDpi xmlns:a14="http://schemas.microsoft.com/office/drawing/2010/main" val="0"/>
                        </a:ext>
                      </a:extLst>
                    </a:blip>
                    <a:srcRect/>
                    <a:stretch>
                      <a:fillRect/>
                    </a:stretch>
                  </pic:blipFill>
                  <pic:spPr bwMode="auto">
                    <a:xfrm>
                      <a:off x="0" y="0"/>
                      <a:ext cx="146685" cy="177800"/>
                    </a:xfrm>
                    <a:prstGeom prst="rect">
                      <a:avLst/>
                    </a:prstGeom>
                    <a:noFill/>
                    <a:ln>
                      <a:noFill/>
                    </a:ln>
                  </pic:spPr>
                </pic:pic>
              </a:graphicData>
            </a:graphic>
          </wp:inline>
        </w:drawing>
      </w:r>
      <w:r>
        <w:t xml:space="preserve"> - расчетный удельный вес насыпного грунта, допускается принимать </w:t>
      </w:r>
      <w:r>
        <w:rPr>
          <w:noProof/>
          <w:position w:val="-9"/>
        </w:rPr>
        <w:drawing>
          <wp:inline distT="0" distB="0" distL="0" distR="0">
            <wp:extent cx="1072515" cy="261620"/>
            <wp:effectExtent l="0" t="0" r="0" b="0"/>
            <wp:docPr id="3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0" cstate="print">
                      <a:extLst>
                        <a:ext uri="{28A0092B-C50C-407E-A947-70E740481C1C}">
                          <a14:useLocalDpi xmlns:a14="http://schemas.microsoft.com/office/drawing/2010/main" val="0"/>
                        </a:ext>
                      </a:extLst>
                    </a:blip>
                    <a:srcRect/>
                    <a:stretch>
                      <a:fillRect/>
                    </a:stretch>
                  </pic:blipFill>
                  <pic:spPr bwMode="auto">
                    <a:xfrm>
                      <a:off x="0" y="0"/>
                      <a:ext cx="1072515" cy="261620"/>
                    </a:xfrm>
                    <a:prstGeom prst="rect">
                      <a:avLst/>
                    </a:prstGeom>
                    <a:noFill/>
                    <a:ln>
                      <a:noFill/>
                    </a:ln>
                  </pic:spPr>
                </pic:pic>
              </a:graphicData>
            </a:graphic>
          </wp:inline>
        </w:drawing>
      </w:r>
      <w:r>
        <w:t>;</w:t>
      </w:r>
    </w:p>
    <w:p w:rsidR="00212513" w:rsidRDefault="00212513">
      <w:pPr>
        <w:pStyle w:val="ConsPlusNormal"/>
        <w:spacing w:before="220"/>
        <w:ind w:firstLine="540"/>
        <w:jc w:val="both"/>
      </w:pPr>
      <w:r>
        <w:rPr>
          <w:noProof/>
          <w:position w:val="-9"/>
        </w:rPr>
        <w:drawing>
          <wp:inline distT="0" distB="0" distL="0" distR="0">
            <wp:extent cx="167640" cy="261620"/>
            <wp:effectExtent l="0" t="0" r="0" b="0"/>
            <wp:docPr id="3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1"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 высота насыпи, м;</w:t>
      </w:r>
    </w:p>
    <w:p w:rsidR="00212513" w:rsidRDefault="00212513">
      <w:pPr>
        <w:pStyle w:val="ConsPlusNormal"/>
        <w:spacing w:before="220"/>
        <w:ind w:firstLine="540"/>
        <w:jc w:val="both"/>
      </w:pPr>
      <w:r>
        <w:rPr>
          <w:noProof/>
          <w:position w:val="-9"/>
        </w:rPr>
        <w:drawing>
          <wp:inline distT="0" distB="0" distL="0" distR="0">
            <wp:extent cx="177800" cy="261620"/>
            <wp:effectExtent l="0" t="0" r="0" b="0"/>
            <wp:docPr id="3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2" cstate="print">
                      <a:extLst>
                        <a:ext uri="{28A0092B-C50C-407E-A947-70E740481C1C}">
                          <a14:useLocalDpi xmlns:a14="http://schemas.microsoft.com/office/drawing/2010/main" val="0"/>
                        </a:ext>
                      </a:extLst>
                    </a:blip>
                    <a:srcRect/>
                    <a:stretch>
                      <a:fillRect/>
                    </a:stretch>
                  </pic:blipFill>
                  <pic:spPr bwMode="auto">
                    <a:xfrm>
                      <a:off x="0" y="0"/>
                      <a:ext cx="177800" cy="261620"/>
                    </a:xfrm>
                    <a:prstGeom prst="rect">
                      <a:avLst/>
                    </a:prstGeom>
                    <a:noFill/>
                    <a:ln>
                      <a:noFill/>
                    </a:ln>
                  </pic:spPr>
                </pic:pic>
              </a:graphicData>
            </a:graphic>
          </wp:inline>
        </w:drawing>
      </w:r>
      <w:r>
        <w:t xml:space="preserve"> - высота конуса над передней гранью фундамента, м;</w:t>
      </w:r>
    </w:p>
    <w:p w:rsidR="00212513" w:rsidRDefault="00212513">
      <w:pPr>
        <w:pStyle w:val="ConsPlusNormal"/>
        <w:spacing w:before="220"/>
        <w:ind w:firstLine="540"/>
        <w:jc w:val="both"/>
      </w:pPr>
      <w:r>
        <w:rPr>
          <w:noProof/>
          <w:position w:val="-7"/>
        </w:rPr>
        <w:drawing>
          <wp:inline distT="0" distB="0" distL="0" distR="0">
            <wp:extent cx="177165" cy="240665"/>
            <wp:effectExtent l="0" t="0" r="0" b="0"/>
            <wp:docPr id="3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3" cstate="print">
                      <a:extLst>
                        <a:ext uri="{28A0092B-C50C-407E-A947-70E740481C1C}">
                          <a14:useLocalDpi xmlns:a14="http://schemas.microsoft.com/office/drawing/2010/main" val="0"/>
                        </a:ext>
                      </a:extLst>
                    </a:blip>
                    <a:srcRect/>
                    <a:stretch>
                      <a:fillRect/>
                    </a:stretch>
                  </pic:blipFill>
                  <pic:spPr bwMode="auto">
                    <a:xfrm>
                      <a:off x="0" y="0"/>
                      <a:ext cx="177165" cy="240665"/>
                    </a:xfrm>
                    <a:prstGeom prst="rect">
                      <a:avLst/>
                    </a:prstGeom>
                    <a:noFill/>
                    <a:ln>
                      <a:noFill/>
                    </a:ln>
                  </pic:spPr>
                </pic:pic>
              </a:graphicData>
            </a:graphic>
          </wp:inline>
        </w:drawing>
      </w:r>
      <w:r>
        <w:t xml:space="preserve">, </w:t>
      </w:r>
      <w:r>
        <w:rPr>
          <w:noProof/>
          <w:position w:val="-9"/>
        </w:rPr>
        <w:drawing>
          <wp:inline distT="0" distB="0" distL="0" distR="0">
            <wp:extent cx="209550" cy="261620"/>
            <wp:effectExtent l="0" t="0" r="0" b="0"/>
            <wp:docPr id="3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4" cstate="print">
                      <a:extLst>
                        <a:ext uri="{28A0092B-C50C-407E-A947-70E740481C1C}">
                          <a14:useLocalDpi xmlns:a14="http://schemas.microsoft.com/office/drawing/2010/main" val="0"/>
                        </a:ext>
                      </a:extLst>
                    </a:blip>
                    <a:srcRect/>
                    <a:stretch>
                      <a:fillRect/>
                    </a:stretch>
                  </pic:blipFill>
                  <pic:spPr bwMode="auto">
                    <a:xfrm>
                      <a:off x="0" y="0"/>
                      <a:ext cx="209550" cy="261620"/>
                    </a:xfrm>
                    <a:prstGeom prst="rect">
                      <a:avLst/>
                    </a:prstGeom>
                    <a:noFill/>
                    <a:ln>
                      <a:noFill/>
                    </a:ln>
                  </pic:spPr>
                </pic:pic>
              </a:graphicData>
            </a:graphic>
          </wp:inline>
        </w:drawing>
      </w:r>
      <w:r>
        <w:t xml:space="preserve"> - коэффициенты, принимаемые соответственно по таблицам 5.1 и </w:t>
      </w:r>
      <w:hyperlink w:anchor="P18430">
        <w:r>
          <w:rPr>
            <w:color w:val="0000FF"/>
          </w:rPr>
          <w:t>5.2</w:t>
        </w:r>
      </w:hyperlink>
      <w:r>
        <w:t>.</w:t>
      </w:r>
    </w:p>
    <w:p w:rsidR="00212513" w:rsidRDefault="00212513">
      <w:pPr>
        <w:pStyle w:val="ConsPlusNormal"/>
        <w:ind w:firstLine="540"/>
        <w:jc w:val="both"/>
      </w:pPr>
    </w:p>
    <w:p w:rsidR="00212513" w:rsidRDefault="00212513">
      <w:pPr>
        <w:pStyle w:val="ConsPlusNormal"/>
        <w:jc w:val="right"/>
      </w:pPr>
      <w:r>
        <w:t>Таблица 5.1</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1757"/>
        <w:gridCol w:w="1417"/>
        <w:gridCol w:w="1227"/>
        <w:gridCol w:w="1227"/>
        <w:gridCol w:w="1228"/>
      </w:tblGrid>
      <w:tr w:rsidR="00212513">
        <w:tc>
          <w:tcPr>
            <w:tcW w:w="2211" w:type="dxa"/>
            <w:vMerge w:val="restart"/>
            <w:tcBorders>
              <w:top w:val="single" w:sz="4" w:space="0" w:color="auto"/>
              <w:bottom w:val="single" w:sz="4" w:space="0" w:color="auto"/>
            </w:tcBorders>
            <w:vAlign w:val="center"/>
          </w:tcPr>
          <w:p w:rsidR="00212513" w:rsidRDefault="00212513">
            <w:pPr>
              <w:pStyle w:val="ConsPlusNormal"/>
              <w:jc w:val="center"/>
            </w:pPr>
            <w:r>
              <w:t xml:space="preserve">Глубина заложения фундамента </w:t>
            </w:r>
            <w:r>
              <w:rPr>
                <w:i/>
              </w:rPr>
              <w:t>d</w:t>
            </w:r>
            <w:r>
              <w:t>, м</w:t>
            </w:r>
          </w:p>
        </w:tc>
        <w:tc>
          <w:tcPr>
            <w:tcW w:w="1757" w:type="dxa"/>
            <w:vMerge w:val="restart"/>
            <w:tcBorders>
              <w:top w:val="single" w:sz="4" w:space="0" w:color="auto"/>
              <w:bottom w:val="single" w:sz="4" w:space="0" w:color="auto"/>
            </w:tcBorders>
            <w:vAlign w:val="center"/>
          </w:tcPr>
          <w:p w:rsidR="00212513" w:rsidRDefault="00212513">
            <w:pPr>
              <w:pStyle w:val="ConsPlusNormal"/>
              <w:jc w:val="center"/>
            </w:pPr>
            <w:r>
              <w:t xml:space="preserve">Высота насыпи </w:t>
            </w:r>
            <w:r>
              <w:rPr>
                <w:noProof/>
                <w:position w:val="-8"/>
              </w:rPr>
              <w:drawing>
                <wp:inline distT="0" distB="0" distL="0" distR="0">
                  <wp:extent cx="167640" cy="251460"/>
                  <wp:effectExtent l="0" t="0" r="0" b="0"/>
                  <wp:docPr id="3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5"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м</w:t>
            </w:r>
          </w:p>
        </w:tc>
        <w:tc>
          <w:tcPr>
            <w:tcW w:w="5099" w:type="dxa"/>
            <w:gridSpan w:val="4"/>
            <w:tcBorders>
              <w:top w:val="single" w:sz="4" w:space="0" w:color="auto"/>
              <w:bottom w:val="single" w:sz="4" w:space="0" w:color="auto"/>
            </w:tcBorders>
            <w:vAlign w:val="center"/>
          </w:tcPr>
          <w:p w:rsidR="00212513" w:rsidRDefault="00212513">
            <w:pPr>
              <w:pStyle w:val="ConsPlusNormal"/>
              <w:jc w:val="center"/>
            </w:pPr>
            <w:r>
              <w:t>Значение коэффициента </w:t>
            </w:r>
            <w:r>
              <w:rPr>
                <w:noProof/>
                <w:position w:val="-8"/>
              </w:rPr>
              <w:drawing>
                <wp:inline distT="0" distB="0" distL="0" distR="0">
                  <wp:extent cx="199390" cy="251460"/>
                  <wp:effectExtent l="0" t="0" r="0" b="0"/>
                  <wp:docPr id="3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6"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p>
        </w:tc>
      </w:tr>
      <w:tr w:rsidR="00212513">
        <w:tc>
          <w:tcPr>
            <w:tcW w:w="2211" w:type="dxa"/>
            <w:vMerge/>
            <w:tcBorders>
              <w:top w:val="single" w:sz="4" w:space="0" w:color="auto"/>
              <w:bottom w:val="single" w:sz="4" w:space="0" w:color="auto"/>
            </w:tcBorders>
          </w:tcPr>
          <w:p w:rsidR="00212513" w:rsidRDefault="00212513">
            <w:pPr>
              <w:pStyle w:val="ConsPlusNormal"/>
            </w:pPr>
          </w:p>
        </w:tc>
        <w:tc>
          <w:tcPr>
            <w:tcW w:w="1757" w:type="dxa"/>
            <w:vMerge/>
            <w:tcBorders>
              <w:top w:val="single" w:sz="4" w:space="0" w:color="auto"/>
              <w:bottom w:val="single" w:sz="4" w:space="0" w:color="auto"/>
            </w:tcBorders>
          </w:tcPr>
          <w:p w:rsidR="00212513" w:rsidRDefault="00212513">
            <w:pPr>
              <w:pStyle w:val="ConsPlusNormal"/>
            </w:pPr>
          </w:p>
        </w:tc>
        <w:tc>
          <w:tcPr>
            <w:tcW w:w="1417" w:type="dxa"/>
            <w:vMerge w:val="restart"/>
            <w:tcBorders>
              <w:top w:val="single" w:sz="4" w:space="0" w:color="auto"/>
              <w:bottom w:val="single" w:sz="4" w:space="0" w:color="auto"/>
            </w:tcBorders>
            <w:vAlign w:val="center"/>
          </w:tcPr>
          <w:p w:rsidR="00212513" w:rsidRDefault="00212513">
            <w:pPr>
              <w:pStyle w:val="ConsPlusNormal"/>
              <w:jc w:val="center"/>
            </w:pPr>
            <w:r>
              <w:t>для задней грани</w:t>
            </w:r>
          </w:p>
        </w:tc>
        <w:tc>
          <w:tcPr>
            <w:tcW w:w="3682" w:type="dxa"/>
            <w:gridSpan w:val="3"/>
            <w:tcBorders>
              <w:top w:val="single" w:sz="4" w:space="0" w:color="auto"/>
              <w:bottom w:val="single" w:sz="4" w:space="0" w:color="auto"/>
            </w:tcBorders>
            <w:vAlign w:val="center"/>
          </w:tcPr>
          <w:p w:rsidR="00212513" w:rsidRDefault="00212513">
            <w:pPr>
              <w:pStyle w:val="ConsPlusNormal"/>
              <w:jc w:val="center"/>
            </w:pPr>
            <w:r>
              <w:t xml:space="preserve">для передней грани устоя при длине подошвы фундамента </w:t>
            </w:r>
            <w:r>
              <w:rPr>
                <w:i/>
              </w:rPr>
              <w:t>a</w:t>
            </w:r>
            <w:r>
              <w:t>, м</w:t>
            </w:r>
          </w:p>
        </w:tc>
      </w:tr>
      <w:tr w:rsidR="00212513">
        <w:tc>
          <w:tcPr>
            <w:tcW w:w="2211" w:type="dxa"/>
            <w:vMerge/>
            <w:tcBorders>
              <w:top w:val="single" w:sz="4" w:space="0" w:color="auto"/>
              <w:bottom w:val="single" w:sz="4" w:space="0" w:color="auto"/>
            </w:tcBorders>
          </w:tcPr>
          <w:p w:rsidR="00212513" w:rsidRDefault="00212513">
            <w:pPr>
              <w:pStyle w:val="ConsPlusNormal"/>
            </w:pPr>
          </w:p>
        </w:tc>
        <w:tc>
          <w:tcPr>
            <w:tcW w:w="1757" w:type="dxa"/>
            <w:vMerge/>
            <w:tcBorders>
              <w:top w:val="single" w:sz="4" w:space="0" w:color="auto"/>
              <w:bottom w:val="single" w:sz="4" w:space="0" w:color="auto"/>
            </w:tcBorders>
          </w:tcPr>
          <w:p w:rsidR="00212513" w:rsidRDefault="00212513">
            <w:pPr>
              <w:pStyle w:val="ConsPlusNormal"/>
            </w:pPr>
          </w:p>
        </w:tc>
        <w:tc>
          <w:tcPr>
            <w:tcW w:w="1417" w:type="dxa"/>
            <w:vMerge/>
            <w:tcBorders>
              <w:top w:val="single" w:sz="4" w:space="0" w:color="auto"/>
              <w:bottom w:val="single" w:sz="4" w:space="0" w:color="auto"/>
            </w:tcBorders>
          </w:tcPr>
          <w:p w:rsidR="00212513" w:rsidRDefault="00212513">
            <w:pPr>
              <w:pStyle w:val="ConsPlusNormal"/>
            </w:pPr>
          </w:p>
        </w:tc>
        <w:tc>
          <w:tcPr>
            <w:tcW w:w="1227" w:type="dxa"/>
            <w:tcBorders>
              <w:top w:val="single" w:sz="4" w:space="0" w:color="auto"/>
              <w:bottom w:val="single" w:sz="4" w:space="0" w:color="auto"/>
            </w:tcBorders>
            <w:vAlign w:val="center"/>
          </w:tcPr>
          <w:p w:rsidR="00212513" w:rsidRDefault="00212513">
            <w:pPr>
              <w:pStyle w:val="ConsPlusNormal"/>
              <w:jc w:val="center"/>
            </w:pPr>
            <w:r>
              <w:t>до 5</w:t>
            </w:r>
          </w:p>
        </w:tc>
        <w:tc>
          <w:tcPr>
            <w:tcW w:w="1227" w:type="dxa"/>
            <w:tcBorders>
              <w:top w:val="single" w:sz="4" w:space="0" w:color="auto"/>
              <w:bottom w:val="single" w:sz="4" w:space="0" w:color="auto"/>
            </w:tcBorders>
            <w:vAlign w:val="center"/>
          </w:tcPr>
          <w:p w:rsidR="00212513" w:rsidRDefault="00212513">
            <w:pPr>
              <w:pStyle w:val="ConsPlusNormal"/>
              <w:jc w:val="center"/>
            </w:pPr>
            <w:r>
              <w:t>10</w:t>
            </w:r>
          </w:p>
        </w:tc>
        <w:tc>
          <w:tcPr>
            <w:tcW w:w="1228" w:type="dxa"/>
            <w:tcBorders>
              <w:top w:val="single" w:sz="4" w:space="0" w:color="auto"/>
              <w:bottom w:val="single" w:sz="4" w:space="0" w:color="auto"/>
            </w:tcBorders>
            <w:vAlign w:val="center"/>
          </w:tcPr>
          <w:p w:rsidR="00212513" w:rsidRDefault="00212513">
            <w:pPr>
              <w:pStyle w:val="ConsPlusNormal"/>
              <w:jc w:val="center"/>
            </w:pPr>
            <w:r>
              <w:t>15</w:t>
            </w:r>
          </w:p>
        </w:tc>
      </w:tr>
      <w:tr w:rsidR="00212513">
        <w:tblPrEx>
          <w:tblBorders>
            <w:insideH w:val="none" w:sz="0" w:space="0" w:color="auto"/>
          </w:tblBorders>
        </w:tblPrEx>
        <w:tc>
          <w:tcPr>
            <w:tcW w:w="2211" w:type="dxa"/>
            <w:tcBorders>
              <w:top w:val="single" w:sz="4" w:space="0" w:color="auto"/>
              <w:bottom w:val="nil"/>
            </w:tcBorders>
          </w:tcPr>
          <w:p w:rsidR="00212513" w:rsidRDefault="00212513">
            <w:pPr>
              <w:pStyle w:val="ConsPlusNormal"/>
              <w:jc w:val="center"/>
            </w:pPr>
            <w:r>
              <w:t>5</w:t>
            </w:r>
          </w:p>
        </w:tc>
        <w:tc>
          <w:tcPr>
            <w:tcW w:w="1757" w:type="dxa"/>
            <w:tcBorders>
              <w:top w:val="single" w:sz="4" w:space="0" w:color="auto"/>
              <w:bottom w:val="nil"/>
            </w:tcBorders>
          </w:tcPr>
          <w:p w:rsidR="00212513" w:rsidRDefault="00212513">
            <w:pPr>
              <w:pStyle w:val="ConsPlusNormal"/>
              <w:jc w:val="center"/>
            </w:pPr>
            <w:r>
              <w:t>10</w:t>
            </w:r>
          </w:p>
        </w:tc>
        <w:tc>
          <w:tcPr>
            <w:tcW w:w="1417" w:type="dxa"/>
            <w:tcBorders>
              <w:top w:val="single" w:sz="4" w:space="0" w:color="auto"/>
              <w:bottom w:val="nil"/>
            </w:tcBorders>
          </w:tcPr>
          <w:p w:rsidR="00212513" w:rsidRDefault="00212513">
            <w:pPr>
              <w:pStyle w:val="ConsPlusNormal"/>
              <w:jc w:val="center"/>
            </w:pPr>
            <w:r>
              <w:t>0,45</w:t>
            </w:r>
          </w:p>
        </w:tc>
        <w:tc>
          <w:tcPr>
            <w:tcW w:w="1227" w:type="dxa"/>
            <w:tcBorders>
              <w:top w:val="single" w:sz="4" w:space="0" w:color="auto"/>
              <w:bottom w:val="nil"/>
            </w:tcBorders>
          </w:tcPr>
          <w:p w:rsidR="00212513" w:rsidRDefault="00212513">
            <w:pPr>
              <w:pStyle w:val="ConsPlusNormal"/>
              <w:jc w:val="center"/>
            </w:pPr>
            <w:r>
              <w:t>0,10</w:t>
            </w:r>
          </w:p>
        </w:tc>
        <w:tc>
          <w:tcPr>
            <w:tcW w:w="1227" w:type="dxa"/>
            <w:tcBorders>
              <w:top w:val="single" w:sz="4" w:space="0" w:color="auto"/>
              <w:bottom w:val="nil"/>
            </w:tcBorders>
          </w:tcPr>
          <w:p w:rsidR="00212513" w:rsidRDefault="00212513">
            <w:pPr>
              <w:pStyle w:val="ConsPlusNormal"/>
              <w:jc w:val="center"/>
            </w:pPr>
            <w:r>
              <w:t>0</w:t>
            </w:r>
          </w:p>
        </w:tc>
        <w:tc>
          <w:tcPr>
            <w:tcW w:w="1228" w:type="dxa"/>
            <w:tcBorders>
              <w:top w:val="single" w:sz="4" w:space="0" w:color="auto"/>
              <w:bottom w:val="nil"/>
            </w:tcBorders>
          </w:tcPr>
          <w:p w:rsidR="00212513" w:rsidRDefault="00212513">
            <w:pPr>
              <w:pStyle w:val="ConsPlusNormal"/>
              <w:jc w:val="center"/>
            </w:pPr>
            <w:r>
              <w:t>0</w:t>
            </w:r>
          </w:p>
        </w:tc>
      </w:tr>
      <w:tr w:rsidR="00212513">
        <w:tblPrEx>
          <w:tblBorders>
            <w:insideH w:val="none" w:sz="0" w:space="0" w:color="auto"/>
          </w:tblBorders>
        </w:tblPrEx>
        <w:tc>
          <w:tcPr>
            <w:tcW w:w="2211" w:type="dxa"/>
            <w:tcBorders>
              <w:top w:val="nil"/>
              <w:bottom w:val="nil"/>
            </w:tcBorders>
          </w:tcPr>
          <w:p w:rsidR="00212513" w:rsidRDefault="00212513">
            <w:pPr>
              <w:pStyle w:val="ConsPlusNormal"/>
              <w:jc w:val="center"/>
            </w:pPr>
          </w:p>
        </w:tc>
        <w:tc>
          <w:tcPr>
            <w:tcW w:w="1757" w:type="dxa"/>
            <w:tcBorders>
              <w:top w:val="nil"/>
              <w:bottom w:val="nil"/>
            </w:tcBorders>
          </w:tcPr>
          <w:p w:rsidR="00212513" w:rsidRDefault="00212513">
            <w:pPr>
              <w:pStyle w:val="ConsPlusNormal"/>
              <w:jc w:val="center"/>
            </w:pPr>
            <w:r>
              <w:t>20</w:t>
            </w:r>
          </w:p>
        </w:tc>
        <w:tc>
          <w:tcPr>
            <w:tcW w:w="1417" w:type="dxa"/>
            <w:tcBorders>
              <w:top w:val="nil"/>
              <w:bottom w:val="nil"/>
            </w:tcBorders>
          </w:tcPr>
          <w:p w:rsidR="00212513" w:rsidRDefault="00212513">
            <w:pPr>
              <w:pStyle w:val="ConsPlusNormal"/>
              <w:jc w:val="center"/>
            </w:pPr>
            <w:r>
              <w:t>0,50</w:t>
            </w:r>
          </w:p>
        </w:tc>
        <w:tc>
          <w:tcPr>
            <w:tcW w:w="1227" w:type="dxa"/>
            <w:tcBorders>
              <w:top w:val="nil"/>
              <w:bottom w:val="nil"/>
            </w:tcBorders>
          </w:tcPr>
          <w:p w:rsidR="00212513" w:rsidRDefault="00212513">
            <w:pPr>
              <w:pStyle w:val="ConsPlusNormal"/>
              <w:jc w:val="center"/>
            </w:pPr>
            <w:r>
              <w:t>0,10</w:t>
            </w:r>
          </w:p>
        </w:tc>
        <w:tc>
          <w:tcPr>
            <w:tcW w:w="1227" w:type="dxa"/>
            <w:tcBorders>
              <w:top w:val="nil"/>
              <w:bottom w:val="nil"/>
            </w:tcBorders>
          </w:tcPr>
          <w:p w:rsidR="00212513" w:rsidRDefault="00212513">
            <w:pPr>
              <w:pStyle w:val="ConsPlusNormal"/>
              <w:jc w:val="center"/>
            </w:pPr>
            <w:r>
              <w:t>0,05</w:t>
            </w:r>
          </w:p>
        </w:tc>
        <w:tc>
          <w:tcPr>
            <w:tcW w:w="1228" w:type="dxa"/>
            <w:tcBorders>
              <w:top w:val="nil"/>
              <w:bottom w:val="nil"/>
            </w:tcBorders>
          </w:tcPr>
          <w:p w:rsidR="00212513" w:rsidRDefault="00212513">
            <w:pPr>
              <w:pStyle w:val="ConsPlusNormal"/>
              <w:jc w:val="center"/>
            </w:pPr>
            <w:r>
              <w:t>0</w:t>
            </w:r>
          </w:p>
        </w:tc>
      </w:tr>
      <w:tr w:rsidR="00212513">
        <w:tblPrEx>
          <w:tblBorders>
            <w:insideH w:val="none" w:sz="0" w:space="0" w:color="auto"/>
          </w:tblBorders>
        </w:tblPrEx>
        <w:tc>
          <w:tcPr>
            <w:tcW w:w="2211" w:type="dxa"/>
            <w:tcBorders>
              <w:top w:val="nil"/>
              <w:bottom w:val="nil"/>
            </w:tcBorders>
          </w:tcPr>
          <w:p w:rsidR="00212513" w:rsidRDefault="00212513">
            <w:pPr>
              <w:pStyle w:val="ConsPlusNormal"/>
              <w:jc w:val="center"/>
            </w:pPr>
          </w:p>
        </w:tc>
        <w:tc>
          <w:tcPr>
            <w:tcW w:w="1757" w:type="dxa"/>
            <w:tcBorders>
              <w:top w:val="nil"/>
              <w:bottom w:val="nil"/>
            </w:tcBorders>
          </w:tcPr>
          <w:p w:rsidR="00212513" w:rsidRDefault="00212513">
            <w:pPr>
              <w:pStyle w:val="ConsPlusNormal"/>
              <w:jc w:val="center"/>
            </w:pPr>
            <w:r>
              <w:t>30</w:t>
            </w:r>
          </w:p>
        </w:tc>
        <w:tc>
          <w:tcPr>
            <w:tcW w:w="1417" w:type="dxa"/>
            <w:tcBorders>
              <w:top w:val="nil"/>
              <w:bottom w:val="nil"/>
            </w:tcBorders>
          </w:tcPr>
          <w:p w:rsidR="00212513" w:rsidRDefault="00212513">
            <w:pPr>
              <w:pStyle w:val="ConsPlusNormal"/>
              <w:jc w:val="center"/>
            </w:pPr>
            <w:r>
              <w:t>0,50</w:t>
            </w:r>
          </w:p>
        </w:tc>
        <w:tc>
          <w:tcPr>
            <w:tcW w:w="1227" w:type="dxa"/>
            <w:tcBorders>
              <w:top w:val="nil"/>
              <w:bottom w:val="nil"/>
            </w:tcBorders>
          </w:tcPr>
          <w:p w:rsidR="00212513" w:rsidRDefault="00212513">
            <w:pPr>
              <w:pStyle w:val="ConsPlusNormal"/>
              <w:jc w:val="center"/>
            </w:pPr>
            <w:r>
              <w:t>-</w:t>
            </w:r>
          </w:p>
        </w:tc>
        <w:tc>
          <w:tcPr>
            <w:tcW w:w="1227" w:type="dxa"/>
            <w:tcBorders>
              <w:top w:val="nil"/>
              <w:bottom w:val="nil"/>
            </w:tcBorders>
          </w:tcPr>
          <w:p w:rsidR="00212513" w:rsidRDefault="00212513">
            <w:pPr>
              <w:pStyle w:val="ConsPlusNormal"/>
              <w:jc w:val="center"/>
            </w:pPr>
            <w:r>
              <w:t>0,06</w:t>
            </w:r>
          </w:p>
        </w:tc>
        <w:tc>
          <w:tcPr>
            <w:tcW w:w="1228" w:type="dxa"/>
            <w:tcBorders>
              <w:top w:val="nil"/>
              <w:bottom w:val="nil"/>
            </w:tcBorders>
          </w:tcPr>
          <w:p w:rsidR="00212513" w:rsidRDefault="00212513">
            <w:pPr>
              <w:pStyle w:val="ConsPlusNormal"/>
              <w:jc w:val="center"/>
            </w:pPr>
            <w:r>
              <w:t>0</w:t>
            </w:r>
          </w:p>
        </w:tc>
      </w:tr>
      <w:tr w:rsidR="00212513">
        <w:tblPrEx>
          <w:tblBorders>
            <w:insideH w:val="none" w:sz="0" w:space="0" w:color="auto"/>
          </w:tblBorders>
        </w:tblPrEx>
        <w:tc>
          <w:tcPr>
            <w:tcW w:w="2211" w:type="dxa"/>
            <w:tcBorders>
              <w:top w:val="nil"/>
              <w:bottom w:val="nil"/>
            </w:tcBorders>
          </w:tcPr>
          <w:p w:rsidR="00212513" w:rsidRDefault="00212513">
            <w:pPr>
              <w:pStyle w:val="ConsPlusNormal"/>
              <w:jc w:val="center"/>
            </w:pPr>
            <w:r>
              <w:t>10</w:t>
            </w:r>
          </w:p>
        </w:tc>
        <w:tc>
          <w:tcPr>
            <w:tcW w:w="1757" w:type="dxa"/>
            <w:tcBorders>
              <w:top w:val="nil"/>
              <w:bottom w:val="nil"/>
            </w:tcBorders>
          </w:tcPr>
          <w:p w:rsidR="00212513" w:rsidRDefault="00212513">
            <w:pPr>
              <w:pStyle w:val="ConsPlusNormal"/>
              <w:jc w:val="center"/>
            </w:pPr>
            <w:r>
              <w:t>10</w:t>
            </w:r>
          </w:p>
        </w:tc>
        <w:tc>
          <w:tcPr>
            <w:tcW w:w="1417" w:type="dxa"/>
            <w:tcBorders>
              <w:top w:val="nil"/>
              <w:bottom w:val="nil"/>
            </w:tcBorders>
          </w:tcPr>
          <w:p w:rsidR="00212513" w:rsidRDefault="00212513">
            <w:pPr>
              <w:pStyle w:val="ConsPlusNormal"/>
              <w:jc w:val="center"/>
            </w:pPr>
            <w:r>
              <w:t>0,40</w:t>
            </w:r>
          </w:p>
        </w:tc>
        <w:tc>
          <w:tcPr>
            <w:tcW w:w="1227" w:type="dxa"/>
            <w:tcBorders>
              <w:top w:val="nil"/>
              <w:bottom w:val="nil"/>
            </w:tcBorders>
          </w:tcPr>
          <w:p w:rsidR="00212513" w:rsidRDefault="00212513">
            <w:pPr>
              <w:pStyle w:val="ConsPlusNormal"/>
              <w:jc w:val="center"/>
            </w:pPr>
            <w:r>
              <w:t>0,20</w:t>
            </w:r>
          </w:p>
        </w:tc>
        <w:tc>
          <w:tcPr>
            <w:tcW w:w="1227" w:type="dxa"/>
            <w:tcBorders>
              <w:top w:val="nil"/>
              <w:bottom w:val="nil"/>
            </w:tcBorders>
          </w:tcPr>
          <w:p w:rsidR="00212513" w:rsidRDefault="00212513">
            <w:pPr>
              <w:pStyle w:val="ConsPlusNormal"/>
              <w:jc w:val="center"/>
            </w:pPr>
            <w:r>
              <w:t>0,05</w:t>
            </w:r>
          </w:p>
        </w:tc>
        <w:tc>
          <w:tcPr>
            <w:tcW w:w="1228" w:type="dxa"/>
            <w:tcBorders>
              <w:top w:val="nil"/>
              <w:bottom w:val="nil"/>
            </w:tcBorders>
          </w:tcPr>
          <w:p w:rsidR="00212513" w:rsidRDefault="00212513">
            <w:pPr>
              <w:pStyle w:val="ConsPlusNormal"/>
              <w:jc w:val="center"/>
            </w:pPr>
            <w:r>
              <w:t>0</w:t>
            </w:r>
          </w:p>
        </w:tc>
      </w:tr>
      <w:tr w:rsidR="00212513">
        <w:tblPrEx>
          <w:tblBorders>
            <w:insideH w:val="none" w:sz="0" w:space="0" w:color="auto"/>
          </w:tblBorders>
        </w:tblPrEx>
        <w:tc>
          <w:tcPr>
            <w:tcW w:w="2211" w:type="dxa"/>
            <w:tcBorders>
              <w:top w:val="nil"/>
              <w:bottom w:val="nil"/>
            </w:tcBorders>
          </w:tcPr>
          <w:p w:rsidR="00212513" w:rsidRDefault="00212513">
            <w:pPr>
              <w:pStyle w:val="ConsPlusNormal"/>
              <w:jc w:val="center"/>
            </w:pPr>
          </w:p>
        </w:tc>
        <w:tc>
          <w:tcPr>
            <w:tcW w:w="1757" w:type="dxa"/>
            <w:tcBorders>
              <w:top w:val="nil"/>
              <w:bottom w:val="nil"/>
            </w:tcBorders>
          </w:tcPr>
          <w:p w:rsidR="00212513" w:rsidRDefault="00212513">
            <w:pPr>
              <w:pStyle w:val="ConsPlusNormal"/>
              <w:jc w:val="center"/>
            </w:pPr>
            <w:r>
              <w:t>20</w:t>
            </w:r>
          </w:p>
        </w:tc>
        <w:tc>
          <w:tcPr>
            <w:tcW w:w="1417" w:type="dxa"/>
            <w:tcBorders>
              <w:top w:val="nil"/>
              <w:bottom w:val="nil"/>
            </w:tcBorders>
          </w:tcPr>
          <w:p w:rsidR="00212513" w:rsidRDefault="00212513">
            <w:pPr>
              <w:pStyle w:val="ConsPlusNormal"/>
              <w:jc w:val="center"/>
            </w:pPr>
            <w:r>
              <w:t>0,45</w:t>
            </w:r>
          </w:p>
        </w:tc>
        <w:tc>
          <w:tcPr>
            <w:tcW w:w="1227" w:type="dxa"/>
            <w:tcBorders>
              <w:top w:val="nil"/>
              <w:bottom w:val="nil"/>
            </w:tcBorders>
          </w:tcPr>
          <w:p w:rsidR="00212513" w:rsidRDefault="00212513">
            <w:pPr>
              <w:pStyle w:val="ConsPlusNormal"/>
              <w:jc w:val="center"/>
            </w:pPr>
            <w:r>
              <w:t>0,25</w:t>
            </w:r>
          </w:p>
        </w:tc>
        <w:tc>
          <w:tcPr>
            <w:tcW w:w="1227" w:type="dxa"/>
            <w:tcBorders>
              <w:top w:val="nil"/>
              <w:bottom w:val="nil"/>
            </w:tcBorders>
          </w:tcPr>
          <w:p w:rsidR="00212513" w:rsidRDefault="00212513">
            <w:pPr>
              <w:pStyle w:val="ConsPlusNormal"/>
              <w:jc w:val="center"/>
            </w:pPr>
            <w:r>
              <w:t>0,10</w:t>
            </w:r>
          </w:p>
        </w:tc>
        <w:tc>
          <w:tcPr>
            <w:tcW w:w="1228" w:type="dxa"/>
            <w:tcBorders>
              <w:top w:val="nil"/>
              <w:bottom w:val="nil"/>
            </w:tcBorders>
          </w:tcPr>
          <w:p w:rsidR="00212513" w:rsidRDefault="00212513">
            <w:pPr>
              <w:pStyle w:val="ConsPlusNormal"/>
              <w:jc w:val="center"/>
            </w:pPr>
            <w:r>
              <w:t>0,05</w:t>
            </w:r>
          </w:p>
        </w:tc>
      </w:tr>
      <w:tr w:rsidR="00212513">
        <w:tblPrEx>
          <w:tblBorders>
            <w:insideH w:val="none" w:sz="0" w:space="0" w:color="auto"/>
          </w:tblBorders>
        </w:tblPrEx>
        <w:tc>
          <w:tcPr>
            <w:tcW w:w="2211" w:type="dxa"/>
            <w:tcBorders>
              <w:top w:val="nil"/>
              <w:bottom w:val="nil"/>
            </w:tcBorders>
          </w:tcPr>
          <w:p w:rsidR="00212513" w:rsidRDefault="00212513">
            <w:pPr>
              <w:pStyle w:val="ConsPlusNormal"/>
              <w:jc w:val="center"/>
            </w:pPr>
          </w:p>
        </w:tc>
        <w:tc>
          <w:tcPr>
            <w:tcW w:w="1757" w:type="dxa"/>
            <w:tcBorders>
              <w:top w:val="nil"/>
              <w:bottom w:val="nil"/>
            </w:tcBorders>
          </w:tcPr>
          <w:p w:rsidR="00212513" w:rsidRDefault="00212513">
            <w:pPr>
              <w:pStyle w:val="ConsPlusNormal"/>
              <w:jc w:val="center"/>
            </w:pPr>
            <w:r>
              <w:t>30</w:t>
            </w:r>
          </w:p>
        </w:tc>
        <w:tc>
          <w:tcPr>
            <w:tcW w:w="1417" w:type="dxa"/>
            <w:tcBorders>
              <w:top w:val="nil"/>
              <w:bottom w:val="nil"/>
            </w:tcBorders>
          </w:tcPr>
          <w:p w:rsidR="00212513" w:rsidRDefault="00212513">
            <w:pPr>
              <w:pStyle w:val="ConsPlusNormal"/>
              <w:jc w:val="center"/>
            </w:pPr>
            <w:r>
              <w:t>0,50</w:t>
            </w:r>
          </w:p>
        </w:tc>
        <w:tc>
          <w:tcPr>
            <w:tcW w:w="1227" w:type="dxa"/>
            <w:tcBorders>
              <w:top w:val="nil"/>
              <w:bottom w:val="nil"/>
            </w:tcBorders>
          </w:tcPr>
          <w:p w:rsidR="00212513" w:rsidRDefault="00212513">
            <w:pPr>
              <w:pStyle w:val="ConsPlusNormal"/>
              <w:jc w:val="center"/>
            </w:pPr>
            <w:r>
              <w:t>-</w:t>
            </w:r>
          </w:p>
        </w:tc>
        <w:tc>
          <w:tcPr>
            <w:tcW w:w="1227" w:type="dxa"/>
            <w:tcBorders>
              <w:top w:val="nil"/>
              <w:bottom w:val="nil"/>
            </w:tcBorders>
          </w:tcPr>
          <w:p w:rsidR="00212513" w:rsidRDefault="00212513">
            <w:pPr>
              <w:pStyle w:val="ConsPlusNormal"/>
              <w:jc w:val="center"/>
            </w:pPr>
            <w:r>
              <w:t>0,10</w:t>
            </w:r>
          </w:p>
        </w:tc>
        <w:tc>
          <w:tcPr>
            <w:tcW w:w="1228" w:type="dxa"/>
            <w:tcBorders>
              <w:top w:val="nil"/>
              <w:bottom w:val="nil"/>
            </w:tcBorders>
          </w:tcPr>
          <w:p w:rsidR="00212513" w:rsidRDefault="00212513">
            <w:pPr>
              <w:pStyle w:val="ConsPlusNormal"/>
              <w:jc w:val="center"/>
            </w:pPr>
            <w:r>
              <w:t>0,05</w:t>
            </w:r>
          </w:p>
        </w:tc>
      </w:tr>
      <w:tr w:rsidR="00212513">
        <w:tblPrEx>
          <w:tblBorders>
            <w:insideH w:val="none" w:sz="0" w:space="0" w:color="auto"/>
          </w:tblBorders>
        </w:tblPrEx>
        <w:tc>
          <w:tcPr>
            <w:tcW w:w="2211" w:type="dxa"/>
            <w:tcBorders>
              <w:top w:val="nil"/>
              <w:bottom w:val="nil"/>
            </w:tcBorders>
          </w:tcPr>
          <w:p w:rsidR="00212513" w:rsidRDefault="00212513">
            <w:pPr>
              <w:pStyle w:val="ConsPlusNormal"/>
              <w:jc w:val="center"/>
            </w:pPr>
            <w:r>
              <w:t>15</w:t>
            </w:r>
          </w:p>
        </w:tc>
        <w:tc>
          <w:tcPr>
            <w:tcW w:w="1757" w:type="dxa"/>
            <w:tcBorders>
              <w:top w:val="nil"/>
              <w:bottom w:val="nil"/>
            </w:tcBorders>
          </w:tcPr>
          <w:p w:rsidR="00212513" w:rsidRDefault="00212513">
            <w:pPr>
              <w:pStyle w:val="ConsPlusNormal"/>
              <w:jc w:val="center"/>
            </w:pPr>
            <w:r>
              <w:t>10</w:t>
            </w:r>
          </w:p>
        </w:tc>
        <w:tc>
          <w:tcPr>
            <w:tcW w:w="1417" w:type="dxa"/>
            <w:tcBorders>
              <w:top w:val="nil"/>
              <w:bottom w:val="nil"/>
            </w:tcBorders>
          </w:tcPr>
          <w:p w:rsidR="00212513" w:rsidRDefault="00212513">
            <w:pPr>
              <w:pStyle w:val="ConsPlusNormal"/>
              <w:jc w:val="center"/>
            </w:pPr>
            <w:r>
              <w:t>0,35</w:t>
            </w:r>
          </w:p>
        </w:tc>
        <w:tc>
          <w:tcPr>
            <w:tcW w:w="1227" w:type="dxa"/>
            <w:tcBorders>
              <w:top w:val="nil"/>
              <w:bottom w:val="nil"/>
            </w:tcBorders>
          </w:tcPr>
          <w:p w:rsidR="00212513" w:rsidRDefault="00212513">
            <w:pPr>
              <w:pStyle w:val="ConsPlusNormal"/>
              <w:jc w:val="center"/>
            </w:pPr>
            <w:r>
              <w:t>0,20</w:t>
            </w:r>
          </w:p>
        </w:tc>
        <w:tc>
          <w:tcPr>
            <w:tcW w:w="1227" w:type="dxa"/>
            <w:tcBorders>
              <w:top w:val="nil"/>
              <w:bottom w:val="nil"/>
            </w:tcBorders>
          </w:tcPr>
          <w:p w:rsidR="00212513" w:rsidRDefault="00212513">
            <w:pPr>
              <w:pStyle w:val="ConsPlusNormal"/>
              <w:jc w:val="center"/>
            </w:pPr>
            <w:r>
              <w:t>0,10</w:t>
            </w:r>
          </w:p>
        </w:tc>
        <w:tc>
          <w:tcPr>
            <w:tcW w:w="1228" w:type="dxa"/>
            <w:tcBorders>
              <w:top w:val="nil"/>
              <w:bottom w:val="nil"/>
            </w:tcBorders>
          </w:tcPr>
          <w:p w:rsidR="00212513" w:rsidRDefault="00212513">
            <w:pPr>
              <w:pStyle w:val="ConsPlusNormal"/>
              <w:jc w:val="center"/>
            </w:pPr>
            <w:r>
              <w:t>0,05</w:t>
            </w:r>
          </w:p>
        </w:tc>
      </w:tr>
      <w:tr w:rsidR="00212513">
        <w:tblPrEx>
          <w:tblBorders>
            <w:insideH w:val="none" w:sz="0" w:space="0" w:color="auto"/>
          </w:tblBorders>
        </w:tblPrEx>
        <w:tc>
          <w:tcPr>
            <w:tcW w:w="2211" w:type="dxa"/>
            <w:tcBorders>
              <w:top w:val="nil"/>
              <w:bottom w:val="nil"/>
            </w:tcBorders>
          </w:tcPr>
          <w:p w:rsidR="00212513" w:rsidRDefault="00212513">
            <w:pPr>
              <w:pStyle w:val="ConsPlusNormal"/>
              <w:jc w:val="center"/>
            </w:pPr>
          </w:p>
        </w:tc>
        <w:tc>
          <w:tcPr>
            <w:tcW w:w="1757" w:type="dxa"/>
            <w:tcBorders>
              <w:top w:val="nil"/>
              <w:bottom w:val="nil"/>
            </w:tcBorders>
          </w:tcPr>
          <w:p w:rsidR="00212513" w:rsidRDefault="00212513">
            <w:pPr>
              <w:pStyle w:val="ConsPlusNormal"/>
              <w:jc w:val="center"/>
            </w:pPr>
            <w:r>
              <w:t>20</w:t>
            </w:r>
          </w:p>
        </w:tc>
        <w:tc>
          <w:tcPr>
            <w:tcW w:w="1417" w:type="dxa"/>
            <w:tcBorders>
              <w:top w:val="nil"/>
              <w:bottom w:val="nil"/>
            </w:tcBorders>
          </w:tcPr>
          <w:p w:rsidR="00212513" w:rsidRDefault="00212513">
            <w:pPr>
              <w:pStyle w:val="ConsPlusNormal"/>
              <w:jc w:val="center"/>
            </w:pPr>
            <w:r>
              <w:t>0,40</w:t>
            </w:r>
          </w:p>
        </w:tc>
        <w:tc>
          <w:tcPr>
            <w:tcW w:w="1227" w:type="dxa"/>
            <w:tcBorders>
              <w:top w:val="nil"/>
              <w:bottom w:val="nil"/>
            </w:tcBorders>
          </w:tcPr>
          <w:p w:rsidR="00212513" w:rsidRDefault="00212513">
            <w:pPr>
              <w:pStyle w:val="ConsPlusNormal"/>
              <w:jc w:val="center"/>
            </w:pPr>
            <w:r>
              <w:t>0,25</w:t>
            </w:r>
          </w:p>
        </w:tc>
        <w:tc>
          <w:tcPr>
            <w:tcW w:w="1227" w:type="dxa"/>
            <w:tcBorders>
              <w:top w:val="nil"/>
              <w:bottom w:val="nil"/>
            </w:tcBorders>
          </w:tcPr>
          <w:p w:rsidR="00212513" w:rsidRDefault="00212513">
            <w:pPr>
              <w:pStyle w:val="ConsPlusNormal"/>
              <w:jc w:val="center"/>
            </w:pPr>
            <w:r>
              <w:t>0,15</w:t>
            </w:r>
          </w:p>
        </w:tc>
        <w:tc>
          <w:tcPr>
            <w:tcW w:w="1228" w:type="dxa"/>
            <w:tcBorders>
              <w:top w:val="nil"/>
              <w:bottom w:val="nil"/>
            </w:tcBorders>
          </w:tcPr>
          <w:p w:rsidR="00212513" w:rsidRDefault="00212513">
            <w:pPr>
              <w:pStyle w:val="ConsPlusNormal"/>
              <w:jc w:val="center"/>
            </w:pPr>
            <w:r>
              <w:t>0,10</w:t>
            </w:r>
          </w:p>
        </w:tc>
      </w:tr>
      <w:tr w:rsidR="00212513">
        <w:tblPrEx>
          <w:tblBorders>
            <w:insideH w:val="none" w:sz="0" w:space="0" w:color="auto"/>
          </w:tblBorders>
        </w:tblPrEx>
        <w:tc>
          <w:tcPr>
            <w:tcW w:w="2211" w:type="dxa"/>
            <w:tcBorders>
              <w:top w:val="nil"/>
              <w:bottom w:val="nil"/>
            </w:tcBorders>
          </w:tcPr>
          <w:p w:rsidR="00212513" w:rsidRDefault="00212513">
            <w:pPr>
              <w:pStyle w:val="ConsPlusNormal"/>
              <w:jc w:val="center"/>
            </w:pPr>
          </w:p>
        </w:tc>
        <w:tc>
          <w:tcPr>
            <w:tcW w:w="1757" w:type="dxa"/>
            <w:tcBorders>
              <w:top w:val="nil"/>
              <w:bottom w:val="nil"/>
            </w:tcBorders>
          </w:tcPr>
          <w:p w:rsidR="00212513" w:rsidRDefault="00212513">
            <w:pPr>
              <w:pStyle w:val="ConsPlusNormal"/>
              <w:jc w:val="center"/>
            </w:pPr>
            <w:r>
              <w:t>30</w:t>
            </w:r>
          </w:p>
        </w:tc>
        <w:tc>
          <w:tcPr>
            <w:tcW w:w="1417" w:type="dxa"/>
            <w:tcBorders>
              <w:top w:val="nil"/>
              <w:bottom w:val="nil"/>
            </w:tcBorders>
          </w:tcPr>
          <w:p w:rsidR="00212513" w:rsidRDefault="00212513">
            <w:pPr>
              <w:pStyle w:val="ConsPlusNormal"/>
              <w:jc w:val="center"/>
            </w:pPr>
            <w:r>
              <w:t>0,45</w:t>
            </w:r>
          </w:p>
        </w:tc>
        <w:tc>
          <w:tcPr>
            <w:tcW w:w="1227" w:type="dxa"/>
            <w:tcBorders>
              <w:top w:val="nil"/>
              <w:bottom w:val="nil"/>
            </w:tcBorders>
          </w:tcPr>
          <w:p w:rsidR="00212513" w:rsidRDefault="00212513">
            <w:pPr>
              <w:pStyle w:val="ConsPlusNormal"/>
              <w:jc w:val="center"/>
            </w:pPr>
            <w:r>
              <w:t>-</w:t>
            </w:r>
          </w:p>
        </w:tc>
        <w:tc>
          <w:tcPr>
            <w:tcW w:w="1227" w:type="dxa"/>
            <w:tcBorders>
              <w:top w:val="nil"/>
              <w:bottom w:val="nil"/>
            </w:tcBorders>
          </w:tcPr>
          <w:p w:rsidR="00212513" w:rsidRDefault="00212513">
            <w:pPr>
              <w:pStyle w:val="ConsPlusNormal"/>
              <w:jc w:val="center"/>
            </w:pPr>
            <w:r>
              <w:t>0,20</w:t>
            </w:r>
          </w:p>
        </w:tc>
        <w:tc>
          <w:tcPr>
            <w:tcW w:w="1228" w:type="dxa"/>
            <w:tcBorders>
              <w:top w:val="nil"/>
              <w:bottom w:val="nil"/>
            </w:tcBorders>
          </w:tcPr>
          <w:p w:rsidR="00212513" w:rsidRDefault="00212513">
            <w:pPr>
              <w:pStyle w:val="ConsPlusNormal"/>
              <w:jc w:val="center"/>
            </w:pPr>
            <w:r>
              <w:t>0,15</w:t>
            </w:r>
          </w:p>
        </w:tc>
      </w:tr>
      <w:tr w:rsidR="00212513">
        <w:tblPrEx>
          <w:tblBorders>
            <w:insideH w:val="none" w:sz="0" w:space="0" w:color="auto"/>
          </w:tblBorders>
        </w:tblPrEx>
        <w:tc>
          <w:tcPr>
            <w:tcW w:w="2211" w:type="dxa"/>
            <w:tcBorders>
              <w:top w:val="nil"/>
              <w:bottom w:val="nil"/>
            </w:tcBorders>
          </w:tcPr>
          <w:p w:rsidR="00212513" w:rsidRDefault="00212513">
            <w:pPr>
              <w:pStyle w:val="ConsPlusNormal"/>
              <w:jc w:val="center"/>
            </w:pPr>
            <w:r>
              <w:t>20</w:t>
            </w:r>
          </w:p>
        </w:tc>
        <w:tc>
          <w:tcPr>
            <w:tcW w:w="1757" w:type="dxa"/>
            <w:tcBorders>
              <w:top w:val="nil"/>
              <w:bottom w:val="nil"/>
            </w:tcBorders>
          </w:tcPr>
          <w:p w:rsidR="00212513" w:rsidRDefault="00212513">
            <w:pPr>
              <w:pStyle w:val="ConsPlusNormal"/>
              <w:jc w:val="center"/>
            </w:pPr>
            <w:r>
              <w:t>10</w:t>
            </w:r>
          </w:p>
        </w:tc>
        <w:tc>
          <w:tcPr>
            <w:tcW w:w="1417" w:type="dxa"/>
            <w:tcBorders>
              <w:top w:val="nil"/>
              <w:bottom w:val="nil"/>
            </w:tcBorders>
          </w:tcPr>
          <w:p w:rsidR="00212513" w:rsidRDefault="00212513">
            <w:pPr>
              <w:pStyle w:val="ConsPlusNormal"/>
              <w:jc w:val="center"/>
            </w:pPr>
            <w:r>
              <w:t>0,30</w:t>
            </w:r>
          </w:p>
        </w:tc>
        <w:tc>
          <w:tcPr>
            <w:tcW w:w="1227" w:type="dxa"/>
            <w:tcBorders>
              <w:top w:val="nil"/>
              <w:bottom w:val="nil"/>
            </w:tcBorders>
          </w:tcPr>
          <w:p w:rsidR="00212513" w:rsidRDefault="00212513">
            <w:pPr>
              <w:pStyle w:val="ConsPlusNormal"/>
              <w:jc w:val="center"/>
            </w:pPr>
            <w:r>
              <w:t>0,20</w:t>
            </w:r>
          </w:p>
        </w:tc>
        <w:tc>
          <w:tcPr>
            <w:tcW w:w="1227" w:type="dxa"/>
            <w:tcBorders>
              <w:top w:val="nil"/>
              <w:bottom w:val="nil"/>
            </w:tcBorders>
          </w:tcPr>
          <w:p w:rsidR="00212513" w:rsidRDefault="00212513">
            <w:pPr>
              <w:pStyle w:val="ConsPlusNormal"/>
              <w:jc w:val="center"/>
            </w:pPr>
            <w:r>
              <w:t>0,15</w:t>
            </w:r>
          </w:p>
        </w:tc>
        <w:tc>
          <w:tcPr>
            <w:tcW w:w="1228" w:type="dxa"/>
            <w:tcBorders>
              <w:top w:val="nil"/>
              <w:bottom w:val="nil"/>
            </w:tcBorders>
          </w:tcPr>
          <w:p w:rsidR="00212513" w:rsidRDefault="00212513">
            <w:pPr>
              <w:pStyle w:val="ConsPlusNormal"/>
              <w:jc w:val="center"/>
            </w:pPr>
            <w:r>
              <w:t>0,10</w:t>
            </w:r>
          </w:p>
        </w:tc>
      </w:tr>
      <w:tr w:rsidR="00212513">
        <w:tblPrEx>
          <w:tblBorders>
            <w:insideH w:val="none" w:sz="0" w:space="0" w:color="auto"/>
          </w:tblBorders>
        </w:tblPrEx>
        <w:tc>
          <w:tcPr>
            <w:tcW w:w="2211" w:type="dxa"/>
            <w:tcBorders>
              <w:top w:val="nil"/>
              <w:bottom w:val="nil"/>
            </w:tcBorders>
          </w:tcPr>
          <w:p w:rsidR="00212513" w:rsidRDefault="00212513">
            <w:pPr>
              <w:pStyle w:val="ConsPlusNormal"/>
              <w:jc w:val="center"/>
            </w:pPr>
          </w:p>
        </w:tc>
        <w:tc>
          <w:tcPr>
            <w:tcW w:w="1757" w:type="dxa"/>
            <w:tcBorders>
              <w:top w:val="nil"/>
              <w:bottom w:val="nil"/>
            </w:tcBorders>
          </w:tcPr>
          <w:p w:rsidR="00212513" w:rsidRDefault="00212513">
            <w:pPr>
              <w:pStyle w:val="ConsPlusNormal"/>
              <w:jc w:val="center"/>
            </w:pPr>
            <w:r>
              <w:t>20</w:t>
            </w:r>
          </w:p>
        </w:tc>
        <w:tc>
          <w:tcPr>
            <w:tcW w:w="1417" w:type="dxa"/>
            <w:tcBorders>
              <w:top w:val="nil"/>
              <w:bottom w:val="nil"/>
            </w:tcBorders>
          </w:tcPr>
          <w:p w:rsidR="00212513" w:rsidRDefault="00212513">
            <w:pPr>
              <w:pStyle w:val="ConsPlusNormal"/>
              <w:jc w:val="center"/>
            </w:pPr>
            <w:r>
              <w:t>0,35</w:t>
            </w:r>
          </w:p>
        </w:tc>
        <w:tc>
          <w:tcPr>
            <w:tcW w:w="1227" w:type="dxa"/>
            <w:tcBorders>
              <w:top w:val="nil"/>
              <w:bottom w:val="nil"/>
            </w:tcBorders>
          </w:tcPr>
          <w:p w:rsidR="00212513" w:rsidRDefault="00212513">
            <w:pPr>
              <w:pStyle w:val="ConsPlusNormal"/>
              <w:jc w:val="center"/>
            </w:pPr>
            <w:r>
              <w:t>0,30</w:t>
            </w:r>
          </w:p>
        </w:tc>
        <w:tc>
          <w:tcPr>
            <w:tcW w:w="1227" w:type="dxa"/>
            <w:tcBorders>
              <w:top w:val="nil"/>
              <w:bottom w:val="nil"/>
            </w:tcBorders>
          </w:tcPr>
          <w:p w:rsidR="00212513" w:rsidRDefault="00212513">
            <w:pPr>
              <w:pStyle w:val="ConsPlusNormal"/>
              <w:jc w:val="center"/>
            </w:pPr>
            <w:r>
              <w:t>0,20</w:t>
            </w:r>
          </w:p>
        </w:tc>
        <w:tc>
          <w:tcPr>
            <w:tcW w:w="1228" w:type="dxa"/>
            <w:tcBorders>
              <w:top w:val="nil"/>
              <w:bottom w:val="nil"/>
            </w:tcBorders>
          </w:tcPr>
          <w:p w:rsidR="00212513" w:rsidRDefault="00212513">
            <w:pPr>
              <w:pStyle w:val="ConsPlusNormal"/>
              <w:jc w:val="center"/>
            </w:pPr>
            <w:r>
              <w:t>0,15</w:t>
            </w:r>
          </w:p>
        </w:tc>
      </w:tr>
      <w:tr w:rsidR="00212513">
        <w:tblPrEx>
          <w:tblBorders>
            <w:insideH w:val="none" w:sz="0" w:space="0" w:color="auto"/>
          </w:tblBorders>
        </w:tblPrEx>
        <w:tc>
          <w:tcPr>
            <w:tcW w:w="2211" w:type="dxa"/>
            <w:tcBorders>
              <w:top w:val="nil"/>
              <w:bottom w:val="nil"/>
            </w:tcBorders>
          </w:tcPr>
          <w:p w:rsidR="00212513" w:rsidRDefault="00212513">
            <w:pPr>
              <w:pStyle w:val="ConsPlusNormal"/>
              <w:jc w:val="center"/>
            </w:pPr>
          </w:p>
        </w:tc>
        <w:tc>
          <w:tcPr>
            <w:tcW w:w="1757" w:type="dxa"/>
            <w:tcBorders>
              <w:top w:val="nil"/>
              <w:bottom w:val="nil"/>
            </w:tcBorders>
          </w:tcPr>
          <w:p w:rsidR="00212513" w:rsidRDefault="00212513">
            <w:pPr>
              <w:pStyle w:val="ConsPlusNormal"/>
              <w:jc w:val="center"/>
            </w:pPr>
            <w:r>
              <w:t>30</w:t>
            </w:r>
          </w:p>
        </w:tc>
        <w:tc>
          <w:tcPr>
            <w:tcW w:w="1417" w:type="dxa"/>
            <w:tcBorders>
              <w:top w:val="nil"/>
              <w:bottom w:val="nil"/>
            </w:tcBorders>
          </w:tcPr>
          <w:p w:rsidR="00212513" w:rsidRDefault="00212513">
            <w:pPr>
              <w:pStyle w:val="ConsPlusNormal"/>
              <w:jc w:val="center"/>
            </w:pPr>
            <w:r>
              <w:t>0,40</w:t>
            </w:r>
          </w:p>
        </w:tc>
        <w:tc>
          <w:tcPr>
            <w:tcW w:w="1227" w:type="dxa"/>
            <w:tcBorders>
              <w:top w:val="nil"/>
              <w:bottom w:val="nil"/>
            </w:tcBorders>
          </w:tcPr>
          <w:p w:rsidR="00212513" w:rsidRDefault="00212513">
            <w:pPr>
              <w:pStyle w:val="ConsPlusNormal"/>
              <w:jc w:val="center"/>
            </w:pPr>
            <w:r>
              <w:t>-</w:t>
            </w:r>
          </w:p>
        </w:tc>
        <w:tc>
          <w:tcPr>
            <w:tcW w:w="1227" w:type="dxa"/>
            <w:tcBorders>
              <w:top w:val="nil"/>
              <w:bottom w:val="nil"/>
            </w:tcBorders>
          </w:tcPr>
          <w:p w:rsidR="00212513" w:rsidRDefault="00212513">
            <w:pPr>
              <w:pStyle w:val="ConsPlusNormal"/>
              <w:jc w:val="center"/>
            </w:pPr>
            <w:r>
              <w:t>0,20</w:t>
            </w:r>
          </w:p>
        </w:tc>
        <w:tc>
          <w:tcPr>
            <w:tcW w:w="1228" w:type="dxa"/>
            <w:tcBorders>
              <w:top w:val="nil"/>
              <w:bottom w:val="nil"/>
            </w:tcBorders>
          </w:tcPr>
          <w:p w:rsidR="00212513" w:rsidRDefault="00212513">
            <w:pPr>
              <w:pStyle w:val="ConsPlusNormal"/>
              <w:jc w:val="center"/>
            </w:pPr>
            <w:r>
              <w:t>0,15</w:t>
            </w:r>
          </w:p>
        </w:tc>
      </w:tr>
      <w:tr w:rsidR="00212513">
        <w:tblPrEx>
          <w:tblBorders>
            <w:insideH w:val="none" w:sz="0" w:space="0" w:color="auto"/>
          </w:tblBorders>
        </w:tblPrEx>
        <w:tc>
          <w:tcPr>
            <w:tcW w:w="2211" w:type="dxa"/>
            <w:tcBorders>
              <w:top w:val="nil"/>
              <w:bottom w:val="nil"/>
            </w:tcBorders>
          </w:tcPr>
          <w:p w:rsidR="00212513" w:rsidRDefault="00212513">
            <w:pPr>
              <w:pStyle w:val="ConsPlusNormal"/>
              <w:jc w:val="center"/>
            </w:pPr>
            <w:r>
              <w:t>25</w:t>
            </w:r>
          </w:p>
        </w:tc>
        <w:tc>
          <w:tcPr>
            <w:tcW w:w="1757" w:type="dxa"/>
            <w:tcBorders>
              <w:top w:val="nil"/>
              <w:bottom w:val="nil"/>
            </w:tcBorders>
          </w:tcPr>
          <w:p w:rsidR="00212513" w:rsidRDefault="00212513">
            <w:pPr>
              <w:pStyle w:val="ConsPlusNormal"/>
              <w:jc w:val="center"/>
            </w:pPr>
            <w:r>
              <w:t>10</w:t>
            </w:r>
          </w:p>
        </w:tc>
        <w:tc>
          <w:tcPr>
            <w:tcW w:w="1417" w:type="dxa"/>
            <w:tcBorders>
              <w:top w:val="nil"/>
              <w:bottom w:val="nil"/>
            </w:tcBorders>
          </w:tcPr>
          <w:p w:rsidR="00212513" w:rsidRDefault="00212513">
            <w:pPr>
              <w:pStyle w:val="ConsPlusNormal"/>
              <w:jc w:val="center"/>
            </w:pPr>
            <w:r>
              <w:t>0,25</w:t>
            </w:r>
          </w:p>
        </w:tc>
        <w:tc>
          <w:tcPr>
            <w:tcW w:w="1227" w:type="dxa"/>
            <w:tcBorders>
              <w:top w:val="nil"/>
              <w:bottom w:val="nil"/>
            </w:tcBorders>
          </w:tcPr>
          <w:p w:rsidR="00212513" w:rsidRDefault="00212513">
            <w:pPr>
              <w:pStyle w:val="ConsPlusNormal"/>
              <w:jc w:val="center"/>
            </w:pPr>
            <w:r>
              <w:t>0,20</w:t>
            </w:r>
          </w:p>
        </w:tc>
        <w:tc>
          <w:tcPr>
            <w:tcW w:w="1227" w:type="dxa"/>
            <w:tcBorders>
              <w:top w:val="nil"/>
              <w:bottom w:val="nil"/>
            </w:tcBorders>
          </w:tcPr>
          <w:p w:rsidR="00212513" w:rsidRDefault="00212513">
            <w:pPr>
              <w:pStyle w:val="ConsPlusNormal"/>
              <w:jc w:val="center"/>
            </w:pPr>
            <w:r>
              <w:t>0,20</w:t>
            </w:r>
          </w:p>
        </w:tc>
        <w:tc>
          <w:tcPr>
            <w:tcW w:w="1228" w:type="dxa"/>
            <w:tcBorders>
              <w:top w:val="nil"/>
              <w:bottom w:val="nil"/>
            </w:tcBorders>
          </w:tcPr>
          <w:p w:rsidR="00212513" w:rsidRDefault="00212513">
            <w:pPr>
              <w:pStyle w:val="ConsPlusNormal"/>
              <w:jc w:val="center"/>
            </w:pPr>
            <w:r>
              <w:t>0,15</w:t>
            </w:r>
          </w:p>
        </w:tc>
      </w:tr>
      <w:tr w:rsidR="00212513">
        <w:tblPrEx>
          <w:tblBorders>
            <w:insideH w:val="none" w:sz="0" w:space="0" w:color="auto"/>
          </w:tblBorders>
        </w:tblPrEx>
        <w:tc>
          <w:tcPr>
            <w:tcW w:w="2211" w:type="dxa"/>
            <w:tcBorders>
              <w:top w:val="nil"/>
              <w:bottom w:val="nil"/>
            </w:tcBorders>
          </w:tcPr>
          <w:p w:rsidR="00212513" w:rsidRDefault="00212513">
            <w:pPr>
              <w:pStyle w:val="ConsPlusNormal"/>
              <w:jc w:val="center"/>
            </w:pPr>
          </w:p>
        </w:tc>
        <w:tc>
          <w:tcPr>
            <w:tcW w:w="1757" w:type="dxa"/>
            <w:tcBorders>
              <w:top w:val="nil"/>
              <w:bottom w:val="nil"/>
            </w:tcBorders>
          </w:tcPr>
          <w:p w:rsidR="00212513" w:rsidRDefault="00212513">
            <w:pPr>
              <w:pStyle w:val="ConsPlusNormal"/>
              <w:jc w:val="center"/>
            </w:pPr>
            <w:r>
              <w:t>20</w:t>
            </w:r>
          </w:p>
        </w:tc>
        <w:tc>
          <w:tcPr>
            <w:tcW w:w="1417" w:type="dxa"/>
            <w:tcBorders>
              <w:top w:val="nil"/>
              <w:bottom w:val="nil"/>
            </w:tcBorders>
          </w:tcPr>
          <w:p w:rsidR="00212513" w:rsidRDefault="00212513">
            <w:pPr>
              <w:pStyle w:val="ConsPlusNormal"/>
              <w:jc w:val="center"/>
            </w:pPr>
            <w:r>
              <w:t>0,30</w:t>
            </w:r>
          </w:p>
        </w:tc>
        <w:tc>
          <w:tcPr>
            <w:tcW w:w="1227" w:type="dxa"/>
            <w:tcBorders>
              <w:top w:val="nil"/>
              <w:bottom w:val="nil"/>
            </w:tcBorders>
          </w:tcPr>
          <w:p w:rsidR="00212513" w:rsidRDefault="00212513">
            <w:pPr>
              <w:pStyle w:val="ConsPlusNormal"/>
              <w:jc w:val="center"/>
            </w:pPr>
            <w:r>
              <w:t>0,30</w:t>
            </w:r>
          </w:p>
        </w:tc>
        <w:tc>
          <w:tcPr>
            <w:tcW w:w="1227" w:type="dxa"/>
            <w:tcBorders>
              <w:top w:val="nil"/>
              <w:bottom w:val="nil"/>
            </w:tcBorders>
          </w:tcPr>
          <w:p w:rsidR="00212513" w:rsidRDefault="00212513">
            <w:pPr>
              <w:pStyle w:val="ConsPlusNormal"/>
              <w:jc w:val="center"/>
            </w:pPr>
            <w:r>
              <w:t>0,20</w:t>
            </w:r>
          </w:p>
        </w:tc>
        <w:tc>
          <w:tcPr>
            <w:tcW w:w="1228" w:type="dxa"/>
            <w:tcBorders>
              <w:top w:val="nil"/>
              <w:bottom w:val="nil"/>
            </w:tcBorders>
          </w:tcPr>
          <w:p w:rsidR="00212513" w:rsidRDefault="00212513">
            <w:pPr>
              <w:pStyle w:val="ConsPlusNormal"/>
              <w:jc w:val="center"/>
            </w:pPr>
            <w:r>
              <w:t>0,20</w:t>
            </w:r>
          </w:p>
        </w:tc>
      </w:tr>
      <w:tr w:rsidR="00212513">
        <w:tblPrEx>
          <w:tblBorders>
            <w:insideH w:val="none" w:sz="0" w:space="0" w:color="auto"/>
          </w:tblBorders>
        </w:tblPrEx>
        <w:tc>
          <w:tcPr>
            <w:tcW w:w="2211" w:type="dxa"/>
            <w:tcBorders>
              <w:top w:val="nil"/>
              <w:bottom w:val="nil"/>
            </w:tcBorders>
          </w:tcPr>
          <w:p w:rsidR="00212513" w:rsidRDefault="00212513">
            <w:pPr>
              <w:pStyle w:val="ConsPlusNormal"/>
              <w:jc w:val="center"/>
            </w:pPr>
          </w:p>
        </w:tc>
        <w:tc>
          <w:tcPr>
            <w:tcW w:w="1757" w:type="dxa"/>
            <w:tcBorders>
              <w:top w:val="nil"/>
              <w:bottom w:val="nil"/>
            </w:tcBorders>
          </w:tcPr>
          <w:p w:rsidR="00212513" w:rsidRDefault="00212513">
            <w:pPr>
              <w:pStyle w:val="ConsPlusNormal"/>
              <w:jc w:val="center"/>
            </w:pPr>
            <w:r>
              <w:t>30</w:t>
            </w:r>
          </w:p>
        </w:tc>
        <w:tc>
          <w:tcPr>
            <w:tcW w:w="1417" w:type="dxa"/>
            <w:tcBorders>
              <w:top w:val="nil"/>
              <w:bottom w:val="nil"/>
            </w:tcBorders>
          </w:tcPr>
          <w:p w:rsidR="00212513" w:rsidRDefault="00212513">
            <w:pPr>
              <w:pStyle w:val="ConsPlusNormal"/>
              <w:jc w:val="center"/>
            </w:pPr>
            <w:r>
              <w:t>0,35</w:t>
            </w:r>
          </w:p>
        </w:tc>
        <w:tc>
          <w:tcPr>
            <w:tcW w:w="1227" w:type="dxa"/>
            <w:tcBorders>
              <w:top w:val="nil"/>
              <w:bottom w:val="nil"/>
            </w:tcBorders>
          </w:tcPr>
          <w:p w:rsidR="00212513" w:rsidRDefault="00212513">
            <w:pPr>
              <w:pStyle w:val="ConsPlusNormal"/>
              <w:jc w:val="center"/>
            </w:pPr>
            <w:r>
              <w:t>-</w:t>
            </w:r>
          </w:p>
        </w:tc>
        <w:tc>
          <w:tcPr>
            <w:tcW w:w="1227" w:type="dxa"/>
            <w:tcBorders>
              <w:top w:val="nil"/>
              <w:bottom w:val="nil"/>
            </w:tcBorders>
          </w:tcPr>
          <w:p w:rsidR="00212513" w:rsidRDefault="00212513">
            <w:pPr>
              <w:pStyle w:val="ConsPlusNormal"/>
              <w:jc w:val="center"/>
            </w:pPr>
            <w:r>
              <w:t>0,20</w:t>
            </w:r>
          </w:p>
        </w:tc>
        <w:tc>
          <w:tcPr>
            <w:tcW w:w="1228" w:type="dxa"/>
            <w:tcBorders>
              <w:top w:val="nil"/>
              <w:bottom w:val="nil"/>
            </w:tcBorders>
          </w:tcPr>
          <w:p w:rsidR="00212513" w:rsidRDefault="00212513">
            <w:pPr>
              <w:pStyle w:val="ConsPlusNormal"/>
              <w:jc w:val="center"/>
            </w:pPr>
            <w:r>
              <w:t>0,20</w:t>
            </w:r>
          </w:p>
        </w:tc>
      </w:tr>
      <w:tr w:rsidR="00212513">
        <w:tblPrEx>
          <w:tblBorders>
            <w:insideH w:val="none" w:sz="0" w:space="0" w:color="auto"/>
          </w:tblBorders>
        </w:tblPrEx>
        <w:tc>
          <w:tcPr>
            <w:tcW w:w="2211" w:type="dxa"/>
            <w:tcBorders>
              <w:top w:val="nil"/>
              <w:bottom w:val="nil"/>
            </w:tcBorders>
          </w:tcPr>
          <w:p w:rsidR="00212513" w:rsidRDefault="00212513">
            <w:pPr>
              <w:pStyle w:val="ConsPlusNormal"/>
              <w:jc w:val="center"/>
            </w:pPr>
            <w:r>
              <w:t>30</w:t>
            </w:r>
          </w:p>
        </w:tc>
        <w:tc>
          <w:tcPr>
            <w:tcW w:w="1757" w:type="dxa"/>
            <w:tcBorders>
              <w:top w:val="nil"/>
              <w:bottom w:val="nil"/>
            </w:tcBorders>
          </w:tcPr>
          <w:p w:rsidR="00212513" w:rsidRDefault="00212513">
            <w:pPr>
              <w:pStyle w:val="ConsPlusNormal"/>
              <w:jc w:val="center"/>
            </w:pPr>
            <w:r>
              <w:t>10</w:t>
            </w:r>
          </w:p>
        </w:tc>
        <w:tc>
          <w:tcPr>
            <w:tcW w:w="1417" w:type="dxa"/>
            <w:tcBorders>
              <w:top w:val="nil"/>
              <w:bottom w:val="nil"/>
            </w:tcBorders>
          </w:tcPr>
          <w:p w:rsidR="00212513" w:rsidRDefault="00212513">
            <w:pPr>
              <w:pStyle w:val="ConsPlusNormal"/>
              <w:jc w:val="center"/>
            </w:pPr>
            <w:r>
              <w:t>0,20</w:t>
            </w:r>
          </w:p>
        </w:tc>
        <w:tc>
          <w:tcPr>
            <w:tcW w:w="1227" w:type="dxa"/>
            <w:tcBorders>
              <w:top w:val="nil"/>
              <w:bottom w:val="nil"/>
            </w:tcBorders>
          </w:tcPr>
          <w:p w:rsidR="00212513" w:rsidRDefault="00212513">
            <w:pPr>
              <w:pStyle w:val="ConsPlusNormal"/>
              <w:jc w:val="center"/>
            </w:pPr>
            <w:r>
              <w:t>0,20</w:t>
            </w:r>
          </w:p>
        </w:tc>
        <w:tc>
          <w:tcPr>
            <w:tcW w:w="1227" w:type="dxa"/>
            <w:tcBorders>
              <w:top w:val="nil"/>
              <w:bottom w:val="nil"/>
            </w:tcBorders>
          </w:tcPr>
          <w:p w:rsidR="00212513" w:rsidRDefault="00212513">
            <w:pPr>
              <w:pStyle w:val="ConsPlusNormal"/>
              <w:jc w:val="center"/>
            </w:pPr>
            <w:r>
              <w:t>0,20</w:t>
            </w:r>
          </w:p>
        </w:tc>
        <w:tc>
          <w:tcPr>
            <w:tcW w:w="1228" w:type="dxa"/>
            <w:tcBorders>
              <w:top w:val="nil"/>
              <w:bottom w:val="nil"/>
            </w:tcBorders>
          </w:tcPr>
          <w:p w:rsidR="00212513" w:rsidRDefault="00212513">
            <w:pPr>
              <w:pStyle w:val="ConsPlusNormal"/>
              <w:jc w:val="center"/>
            </w:pPr>
            <w:r>
              <w:t>0,15</w:t>
            </w:r>
          </w:p>
        </w:tc>
      </w:tr>
      <w:tr w:rsidR="00212513">
        <w:tblPrEx>
          <w:tblBorders>
            <w:insideH w:val="none" w:sz="0" w:space="0" w:color="auto"/>
          </w:tblBorders>
        </w:tblPrEx>
        <w:tc>
          <w:tcPr>
            <w:tcW w:w="2211" w:type="dxa"/>
            <w:tcBorders>
              <w:top w:val="nil"/>
              <w:bottom w:val="nil"/>
            </w:tcBorders>
          </w:tcPr>
          <w:p w:rsidR="00212513" w:rsidRDefault="00212513">
            <w:pPr>
              <w:pStyle w:val="ConsPlusNormal"/>
              <w:jc w:val="center"/>
            </w:pPr>
          </w:p>
        </w:tc>
        <w:tc>
          <w:tcPr>
            <w:tcW w:w="1757" w:type="dxa"/>
            <w:tcBorders>
              <w:top w:val="nil"/>
              <w:bottom w:val="nil"/>
            </w:tcBorders>
          </w:tcPr>
          <w:p w:rsidR="00212513" w:rsidRDefault="00212513">
            <w:pPr>
              <w:pStyle w:val="ConsPlusNormal"/>
              <w:jc w:val="center"/>
            </w:pPr>
            <w:r>
              <w:t>20</w:t>
            </w:r>
          </w:p>
        </w:tc>
        <w:tc>
          <w:tcPr>
            <w:tcW w:w="1417" w:type="dxa"/>
            <w:tcBorders>
              <w:top w:val="nil"/>
              <w:bottom w:val="nil"/>
            </w:tcBorders>
          </w:tcPr>
          <w:p w:rsidR="00212513" w:rsidRDefault="00212513">
            <w:pPr>
              <w:pStyle w:val="ConsPlusNormal"/>
              <w:jc w:val="center"/>
            </w:pPr>
            <w:r>
              <w:t>0,25</w:t>
            </w:r>
          </w:p>
        </w:tc>
        <w:tc>
          <w:tcPr>
            <w:tcW w:w="1227" w:type="dxa"/>
            <w:tcBorders>
              <w:top w:val="nil"/>
              <w:bottom w:val="nil"/>
            </w:tcBorders>
          </w:tcPr>
          <w:p w:rsidR="00212513" w:rsidRDefault="00212513">
            <w:pPr>
              <w:pStyle w:val="ConsPlusNormal"/>
              <w:jc w:val="center"/>
            </w:pPr>
            <w:r>
              <w:t>0,25</w:t>
            </w:r>
          </w:p>
        </w:tc>
        <w:tc>
          <w:tcPr>
            <w:tcW w:w="1227" w:type="dxa"/>
            <w:tcBorders>
              <w:top w:val="nil"/>
              <w:bottom w:val="nil"/>
            </w:tcBorders>
          </w:tcPr>
          <w:p w:rsidR="00212513" w:rsidRDefault="00212513">
            <w:pPr>
              <w:pStyle w:val="ConsPlusNormal"/>
              <w:jc w:val="center"/>
            </w:pPr>
            <w:r>
              <w:t>0,25</w:t>
            </w:r>
          </w:p>
        </w:tc>
        <w:tc>
          <w:tcPr>
            <w:tcW w:w="1228" w:type="dxa"/>
            <w:tcBorders>
              <w:top w:val="nil"/>
              <w:bottom w:val="nil"/>
            </w:tcBorders>
          </w:tcPr>
          <w:p w:rsidR="00212513" w:rsidRDefault="00212513">
            <w:pPr>
              <w:pStyle w:val="ConsPlusNormal"/>
              <w:jc w:val="center"/>
            </w:pPr>
            <w:r>
              <w:t>0,20</w:t>
            </w:r>
          </w:p>
        </w:tc>
      </w:tr>
      <w:tr w:rsidR="00212513">
        <w:tblPrEx>
          <w:tblBorders>
            <w:insideH w:val="none" w:sz="0" w:space="0" w:color="auto"/>
          </w:tblBorders>
        </w:tblPrEx>
        <w:tc>
          <w:tcPr>
            <w:tcW w:w="2211" w:type="dxa"/>
            <w:tcBorders>
              <w:top w:val="nil"/>
              <w:bottom w:val="single" w:sz="4" w:space="0" w:color="auto"/>
            </w:tcBorders>
          </w:tcPr>
          <w:p w:rsidR="00212513" w:rsidRDefault="00212513">
            <w:pPr>
              <w:pStyle w:val="ConsPlusNormal"/>
              <w:jc w:val="center"/>
            </w:pPr>
          </w:p>
        </w:tc>
        <w:tc>
          <w:tcPr>
            <w:tcW w:w="1757" w:type="dxa"/>
            <w:tcBorders>
              <w:top w:val="nil"/>
              <w:bottom w:val="single" w:sz="4" w:space="0" w:color="auto"/>
            </w:tcBorders>
          </w:tcPr>
          <w:p w:rsidR="00212513" w:rsidRDefault="00212513">
            <w:pPr>
              <w:pStyle w:val="ConsPlusNormal"/>
              <w:jc w:val="center"/>
            </w:pPr>
            <w:r>
              <w:t>30</w:t>
            </w:r>
          </w:p>
        </w:tc>
        <w:tc>
          <w:tcPr>
            <w:tcW w:w="1417" w:type="dxa"/>
            <w:tcBorders>
              <w:top w:val="nil"/>
              <w:bottom w:val="single" w:sz="4" w:space="0" w:color="auto"/>
            </w:tcBorders>
          </w:tcPr>
          <w:p w:rsidR="00212513" w:rsidRDefault="00212513">
            <w:pPr>
              <w:pStyle w:val="ConsPlusNormal"/>
              <w:jc w:val="center"/>
            </w:pPr>
            <w:r>
              <w:t>0,30</w:t>
            </w:r>
          </w:p>
        </w:tc>
        <w:tc>
          <w:tcPr>
            <w:tcW w:w="1227" w:type="dxa"/>
            <w:tcBorders>
              <w:top w:val="nil"/>
              <w:bottom w:val="single" w:sz="4" w:space="0" w:color="auto"/>
            </w:tcBorders>
          </w:tcPr>
          <w:p w:rsidR="00212513" w:rsidRDefault="00212513">
            <w:pPr>
              <w:pStyle w:val="ConsPlusNormal"/>
              <w:jc w:val="center"/>
            </w:pPr>
            <w:r>
              <w:t>0,30</w:t>
            </w:r>
          </w:p>
        </w:tc>
        <w:tc>
          <w:tcPr>
            <w:tcW w:w="1227" w:type="dxa"/>
            <w:tcBorders>
              <w:top w:val="nil"/>
              <w:bottom w:val="single" w:sz="4" w:space="0" w:color="auto"/>
            </w:tcBorders>
          </w:tcPr>
          <w:p w:rsidR="00212513" w:rsidRDefault="00212513">
            <w:pPr>
              <w:pStyle w:val="ConsPlusNormal"/>
              <w:jc w:val="center"/>
            </w:pPr>
            <w:r>
              <w:t>0,25</w:t>
            </w:r>
          </w:p>
        </w:tc>
        <w:tc>
          <w:tcPr>
            <w:tcW w:w="1228" w:type="dxa"/>
            <w:tcBorders>
              <w:top w:val="nil"/>
              <w:bottom w:val="single" w:sz="4" w:space="0" w:color="auto"/>
            </w:tcBorders>
          </w:tcPr>
          <w:p w:rsidR="00212513" w:rsidRDefault="00212513">
            <w:pPr>
              <w:pStyle w:val="ConsPlusNormal"/>
              <w:jc w:val="center"/>
            </w:pPr>
            <w:r>
              <w:t>0,20</w:t>
            </w:r>
          </w:p>
        </w:tc>
      </w:tr>
      <w:tr w:rsidR="00212513">
        <w:tblPrEx>
          <w:tblBorders>
            <w:insideH w:val="none" w:sz="0" w:space="0" w:color="auto"/>
          </w:tblBorders>
        </w:tblPrEx>
        <w:tc>
          <w:tcPr>
            <w:tcW w:w="9067" w:type="dxa"/>
            <w:gridSpan w:val="6"/>
            <w:tcBorders>
              <w:top w:val="single" w:sz="4" w:space="0" w:color="auto"/>
              <w:bottom w:val="nil"/>
            </w:tcBorders>
          </w:tcPr>
          <w:p w:rsidR="00212513" w:rsidRDefault="00212513">
            <w:pPr>
              <w:pStyle w:val="ConsPlusNormal"/>
              <w:ind w:firstLine="283"/>
              <w:jc w:val="both"/>
            </w:pPr>
            <w:r>
              <w:t>Примечания</w:t>
            </w:r>
          </w:p>
          <w:p w:rsidR="00212513" w:rsidRDefault="00212513">
            <w:pPr>
              <w:pStyle w:val="ConsPlusNormal"/>
              <w:ind w:firstLine="283"/>
              <w:jc w:val="both"/>
            </w:pPr>
            <w:r>
              <w:t xml:space="preserve">1 Для других значений </w:t>
            </w:r>
            <w:r>
              <w:rPr>
                <w:i/>
              </w:rPr>
              <w:t>d</w:t>
            </w:r>
            <w:r>
              <w:t xml:space="preserve">, </w:t>
            </w:r>
            <w:r>
              <w:rPr>
                <w:i/>
              </w:rPr>
              <w:t>h</w:t>
            </w:r>
            <w:r>
              <w:rPr>
                <w:vertAlign w:val="subscript"/>
              </w:rPr>
              <w:t>1</w:t>
            </w:r>
            <w:r>
              <w:t xml:space="preserve"> и </w:t>
            </w:r>
            <w:r>
              <w:rPr>
                <w:i/>
              </w:rPr>
              <w:t>a</w:t>
            </w:r>
            <w:r>
              <w:t xml:space="preserve"> коэффициент </w:t>
            </w:r>
            <w:r>
              <w:rPr>
                <w:noProof/>
                <w:position w:val="-8"/>
              </w:rPr>
              <w:drawing>
                <wp:inline distT="0" distB="0" distL="0" distR="0">
                  <wp:extent cx="189230" cy="251460"/>
                  <wp:effectExtent l="0" t="0" r="0" b="0"/>
                  <wp:docPr id="3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7" cstate="print">
                            <a:extLst>
                              <a:ext uri="{28A0092B-C50C-407E-A947-70E740481C1C}">
                                <a14:useLocalDpi xmlns:a14="http://schemas.microsoft.com/office/drawing/2010/main" val="0"/>
                              </a:ext>
                            </a:extLst>
                          </a:blip>
                          <a:srcRect/>
                          <a:stretch>
                            <a:fillRect/>
                          </a:stretch>
                        </pic:blipFill>
                        <pic:spPr bwMode="auto">
                          <a:xfrm>
                            <a:off x="0" y="0"/>
                            <a:ext cx="189230" cy="251460"/>
                          </a:xfrm>
                          <a:prstGeom prst="rect">
                            <a:avLst/>
                          </a:prstGeom>
                          <a:noFill/>
                          <a:ln>
                            <a:noFill/>
                          </a:ln>
                        </pic:spPr>
                      </pic:pic>
                    </a:graphicData>
                  </a:graphic>
                </wp:inline>
              </w:drawing>
            </w:r>
            <w:r>
              <w:t xml:space="preserve"> следует определять по интерполяции и экстраполяции.</w:t>
            </w:r>
          </w:p>
        </w:tc>
      </w:tr>
      <w:tr w:rsidR="00212513">
        <w:tblPrEx>
          <w:tblBorders>
            <w:insideH w:val="none" w:sz="0" w:space="0" w:color="auto"/>
          </w:tblBorders>
        </w:tblPrEx>
        <w:tc>
          <w:tcPr>
            <w:tcW w:w="9067" w:type="dxa"/>
            <w:gridSpan w:val="6"/>
            <w:tcBorders>
              <w:top w:val="nil"/>
              <w:bottom w:val="nil"/>
            </w:tcBorders>
          </w:tcPr>
          <w:p w:rsidR="00212513" w:rsidRDefault="00212513">
            <w:pPr>
              <w:pStyle w:val="ConsPlusNormal"/>
              <w:jc w:val="both"/>
            </w:pPr>
            <w:r>
              <w:t xml:space="preserve">(примечание 1 в ред. </w:t>
            </w:r>
            <w:hyperlink r:id="rId3998">
              <w:r>
                <w:rPr>
                  <w:color w:val="0000FF"/>
                </w:rPr>
                <w:t>Изменения N 4</w:t>
              </w:r>
            </w:hyperlink>
            <w:r>
              <w:t>, утв. Приказом Минстроя России от 30.05.2024 N 361/пр)</w:t>
            </w:r>
          </w:p>
        </w:tc>
      </w:tr>
      <w:tr w:rsidR="00212513">
        <w:tblPrEx>
          <w:tblBorders>
            <w:insideH w:val="none" w:sz="0" w:space="0" w:color="auto"/>
          </w:tblBorders>
        </w:tblPrEx>
        <w:tc>
          <w:tcPr>
            <w:tcW w:w="9067" w:type="dxa"/>
            <w:gridSpan w:val="6"/>
            <w:tcBorders>
              <w:top w:val="nil"/>
              <w:bottom w:val="single" w:sz="4" w:space="0" w:color="auto"/>
            </w:tcBorders>
          </w:tcPr>
          <w:p w:rsidR="00212513" w:rsidRDefault="00212513">
            <w:pPr>
              <w:pStyle w:val="ConsPlusNormal"/>
              <w:ind w:firstLine="283"/>
              <w:jc w:val="both"/>
            </w:pPr>
            <w:r>
              <w:t xml:space="preserve">2 При расчете фундамент глубокого заложения рассматривается как условный, ограниченный контуром, принимаемым согласно </w:t>
            </w:r>
            <w:hyperlink w:anchor="P17781">
              <w:r>
                <w:rPr>
                  <w:color w:val="0000FF"/>
                </w:rPr>
                <w:t>приложению 3</w:t>
              </w:r>
            </w:hyperlink>
            <w:r>
              <w:t xml:space="preserve"> настоящего свода правил.</w:t>
            </w:r>
          </w:p>
        </w:tc>
      </w:tr>
    </w:tbl>
    <w:p w:rsidR="00212513" w:rsidRDefault="00212513">
      <w:pPr>
        <w:pStyle w:val="ConsPlusNormal"/>
        <w:ind w:firstLine="540"/>
        <w:jc w:val="both"/>
      </w:pPr>
    </w:p>
    <w:p w:rsidR="00212513" w:rsidRDefault="00212513">
      <w:pPr>
        <w:pStyle w:val="ConsPlusNormal"/>
        <w:jc w:val="right"/>
      </w:pPr>
      <w:bookmarkStart w:id="620" w:name="P18430"/>
      <w:bookmarkEnd w:id="620"/>
      <w:r>
        <w:t>Таблица 5.2</w:t>
      </w:r>
    </w:p>
    <w:p w:rsidR="00212513" w:rsidRDefault="0021251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09"/>
        <w:gridCol w:w="2210"/>
        <w:gridCol w:w="2210"/>
        <w:gridCol w:w="2210"/>
      </w:tblGrid>
      <w:tr w:rsidR="00212513">
        <w:tc>
          <w:tcPr>
            <w:tcW w:w="2409" w:type="dxa"/>
            <w:vMerge w:val="restart"/>
            <w:tcBorders>
              <w:top w:val="single" w:sz="4" w:space="0" w:color="auto"/>
              <w:bottom w:val="single" w:sz="4" w:space="0" w:color="auto"/>
            </w:tcBorders>
            <w:vAlign w:val="center"/>
          </w:tcPr>
          <w:p w:rsidR="00212513" w:rsidRDefault="00212513">
            <w:pPr>
              <w:pStyle w:val="ConsPlusNormal"/>
              <w:jc w:val="center"/>
            </w:pPr>
            <w:r>
              <w:t xml:space="preserve">Глубина заложения фундамента </w:t>
            </w:r>
            <w:r>
              <w:rPr>
                <w:i/>
              </w:rPr>
              <w:t>d</w:t>
            </w:r>
            <w:r>
              <w:t>, м</w:t>
            </w:r>
          </w:p>
        </w:tc>
        <w:tc>
          <w:tcPr>
            <w:tcW w:w="6630" w:type="dxa"/>
            <w:gridSpan w:val="3"/>
            <w:tcBorders>
              <w:top w:val="single" w:sz="4" w:space="0" w:color="auto"/>
              <w:bottom w:val="single" w:sz="4" w:space="0" w:color="auto"/>
            </w:tcBorders>
            <w:vAlign w:val="center"/>
          </w:tcPr>
          <w:p w:rsidR="00212513" w:rsidRDefault="00212513">
            <w:pPr>
              <w:pStyle w:val="ConsPlusNormal"/>
              <w:jc w:val="center"/>
            </w:pPr>
            <w:r>
              <w:t xml:space="preserve">Значение коэффициента </w:t>
            </w:r>
            <w:r>
              <w:rPr>
                <w:noProof/>
                <w:position w:val="-8"/>
              </w:rPr>
              <w:drawing>
                <wp:inline distT="0" distB="0" distL="0" distR="0">
                  <wp:extent cx="209550" cy="251460"/>
                  <wp:effectExtent l="0" t="0" r="0" b="0"/>
                  <wp:docPr id="3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при высоте конуса </w:t>
            </w:r>
            <w:r>
              <w:rPr>
                <w:noProof/>
                <w:position w:val="-8"/>
              </w:rPr>
              <w:drawing>
                <wp:inline distT="0" distB="0" distL="0" distR="0">
                  <wp:extent cx="178435" cy="251460"/>
                  <wp:effectExtent l="0" t="0" r="0" b="0"/>
                  <wp:docPr id="3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0"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м</w:t>
            </w:r>
          </w:p>
        </w:tc>
      </w:tr>
      <w:tr w:rsidR="00212513">
        <w:tc>
          <w:tcPr>
            <w:tcW w:w="2409" w:type="dxa"/>
            <w:vMerge/>
            <w:tcBorders>
              <w:top w:val="single" w:sz="4" w:space="0" w:color="auto"/>
              <w:bottom w:val="single" w:sz="4" w:space="0" w:color="auto"/>
            </w:tcBorders>
          </w:tcPr>
          <w:p w:rsidR="00212513" w:rsidRDefault="00212513">
            <w:pPr>
              <w:pStyle w:val="ConsPlusNormal"/>
            </w:pPr>
          </w:p>
        </w:tc>
        <w:tc>
          <w:tcPr>
            <w:tcW w:w="2210" w:type="dxa"/>
            <w:tcBorders>
              <w:top w:val="single" w:sz="4" w:space="0" w:color="auto"/>
              <w:bottom w:val="single" w:sz="4" w:space="0" w:color="auto"/>
            </w:tcBorders>
            <w:vAlign w:val="center"/>
          </w:tcPr>
          <w:p w:rsidR="00212513" w:rsidRDefault="00212513">
            <w:pPr>
              <w:pStyle w:val="ConsPlusNormal"/>
              <w:jc w:val="center"/>
            </w:pPr>
            <w:r>
              <w:t>10</w:t>
            </w:r>
          </w:p>
        </w:tc>
        <w:tc>
          <w:tcPr>
            <w:tcW w:w="2210" w:type="dxa"/>
            <w:tcBorders>
              <w:top w:val="single" w:sz="4" w:space="0" w:color="auto"/>
              <w:bottom w:val="single" w:sz="4" w:space="0" w:color="auto"/>
            </w:tcBorders>
            <w:vAlign w:val="center"/>
          </w:tcPr>
          <w:p w:rsidR="00212513" w:rsidRDefault="00212513">
            <w:pPr>
              <w:pStyle w:val="ConsPlusNormal"/>
              <w:jc w:val="center"/>
            </w:pPr>
            <w:r>
              <w:t>20</w:t>
            </w:r>
          </w:p>
        </w:tc>
        <w:tc>
          <w:tcPr>
            <w:tcW w:w="2210" w:type="dxa"/>
            <w:tcBorders>
              <w:top w:val="single" w:sz="4" w:space="0" w:color="auto"/>
              <w:bottom w:val="single" w:sz="4" w:space="0" w:color="auto"/>
            </w:tcBorders>
            <w:vAlign w:val="center"/>
          </w:tcPr>
          <w:p w:rsidR="00212513" w:rsidRDefault="00212513">
            <w:pPr>
              <w:pStyle w:val="ConsPlusNormal"/>
              <w:jc w:val="center"/>
            </w:pPr>
            <w:r>
              <w:t>30</w:t>
            </w:r>
          </w:p>
        </w:tc>
      </w:tr>
      <w:tr w:rsidR="00212513">
        <w:tblPrEx>
          <w:tblBorders>
            <w:insideH w:val="none" w:sz="0" w:space="0" w:color="auto"/>
          </w:tblBorders>
        </w:tblPrEx>
        <w:tc>
          <w:tcPr>
            <w:tcW w:w="2409" w:type="dxa"/>
            <w:tcBorders>
              <w:top w:val="single" w:sz="4" w:space="0" w:color="auto"/>
              <w:bottom w:val="nil"/>
            </w:tcBorders>
          </w:tcPr>
          <w:p w:rsidR="00212513" w:rsidRDefault="00212513">
            <w:pPr>
              <w:pStyle w:val="ConsPlusNormal"/>
              <w:jc w:val="center"/>
            </w:pPr>
            <w:r>
              <w:t>5</w:t>
            </w:r>
          </w:p>
        </w:tc>
        <w:tc>
          <w:tcPr>
            <w:tcW w:w="2210" w:type="dxa"/>
            <w:tcBorders>
              <w:top w:val="single" w:sz="4" w:space="0" w:color="auto"/>
              <w:bottom w:val="nil"/>
            </w:tcBorders>
          </w:tcPr>
          <w:p w:rsidR="00212513" w:rsidRDefault="00212513">
            <w:pPr>
              <w:pStyle w:val="ConsPlusNormal"/>
              <w:jc w:val="center"/>
            </w:pPr>
            <w:r>
              <w:t>0,4</w:t>
            </w:r>
          </w:p>
        </w:tc>
        <w:tc>
          <w:tcPr>
            <w:tcW w:w="2210" w:type="dxa"/>
            <w:tcBorders>
              <w:top w:val="single" w:sz="4" w:space="0" w:color="auto"/>
              <w:bottom w:val="nil"/>
            </w:tcBorders>
          </w:tcPr>
          <w:p w:rsidR="00212513" w:rsidRDefault="00212513">
            <w:pPr>
              <w:pStyle w:val="ConsPlusNormal"/>
              <w:jc w:val="center"/>
            </w:pPr>
            <w:r>
              <w:t>0,5</w:t>
            </w:r>
          </w:p>
        </w:tc>
        <w:tc>
          <w:tcPr>
            <w:tcW w:w="2210" w:type="dxa"/>
            <w:tcBorders>
              <w:top w:val="single" w:sz="4" w:space="0" w:color="auto"/>
              <w:bottom w:val="nil"/>
            </w:tcBorders>
          </w:tcPr>
          <w:p w:rsidR="00212513" w:rsidRDefault="00212513">
            <w:pPr>
              <w:pStyle w:val="ConsPlusNormal"/>
              <w:jc w:val="center"/>
            </w:pPr>
            <w:r>
              <w:t>0,6</w:t>
            </w:r>
          </w:p>
        </w:tc>
      </w:tr>
      <w:tr w:rsidR="00212513">
        <w:tblPrEx>
          <w:tblBorders>
            <w:insideH w:val="none" w:sz="0" w:space="0" w:color="auto"/>
          </w:tblBorders>
        </w:tblPrEx>
        <w:tc>
          <w:tcPr>
            <w:tcW w:w="2409" w:type="dxa"/>
            <w:tcBorders>
              <w:top w:val="nil"/>
              <w:bottom w:val="nil"/>
            </w:tcBorders>
          </w:tcPr>
          <w:p w:rsidR="00212513" w:rsidRDefault="00212513">
            <w:pPr>
              <w:pStyle w:val="ConsPlusNormal"/>
              <w:jc w:val="center"/>
            </w:pPr>
            <w:r>
              <w:t>10</w:t>
            </w:r>
          </w:p>
        </w:tc>
        <w:tc>
          <w:tcPr>
            <w:tcW w:w="2210" w:type="dxa"/>
            <w:tcBorders>
              <w:top w:val="nil"/>
              <w:bottom w:val="nil"/>
            </w:tcBorders>
          </w:tcPr>
          <w:p w:rsidR="00212513" w:rsidRDefault="00212513">
            <w:pPr>
              <w:pStyle w:val="ConsPlusNormal"/>
              <w:jc w:val="center"/>
            </w:pPr>
            <w:r>
              <w:t>0,3</w:t>
            </w:r>
          </w:p>
        </w:tc>
        <w:tc>
          <w:tcPr>
            <w:tcW w:w="2210" w:type="dxa"/>
            <w:tcBorders>
              <w:top w:val="nil"/>
              <w:bottom w:val="nil"/>
            </w:tcBorders>
          </w:tcPr>
          <w:p w:rsidR="00212513" w:rsidRDefault="00212513">
            <w:pPr>
              <w:pStyle w:val="ConsPlusNormal"/>
              <w:jc w:val="center"/>
            </w:pPr>
            <w:r>
              <w:t>0,4</w:t>
            </w:r>
          </w:p>
        </w:tc>
        <w:tc>
          <w:tcPr>
            <w:tcW w:w="2210" w:type="dxa"/>
            <w:tcBorders>
              <w:top w:val="nil"/>
              <w:bottom w:val="nil"/>
            </w:tcBorders>
          </w:tcPr>
          <w:p w:rsidR="00212513" w:rsidRDefault="00212513">
            <w:pPr>
              <w:pStyle w:val="ConsPlusNormal"/>
              <w:jc w:val="center"/>
            </w:pPr>
            <w:r>
              <w:t>0,5</w:t>
            </w:r>
          </w:p>
        </w:tc>
      </w:tr>
      <w:tr w:rsidR="00212513">
        <w:tblPrEx>
          <w:tblBorders>
            <w:insideH w:val="none" w:sz="0" w:space="0" w:color="auto"/>
          </w:tblBorders>
        </w:tblPrEx>
        <w:tc>
          <w:tcPr>
            <w:tcW w:w="2409" w:type="dxa"/>
            <w:tcBorders>
              <w:top w:val="nil"/>
              <w:bottom w:val="nil"/>
            </w:tcBorders>
          </w:tcPr>
          <w:p w:rsidR="00212513" w:rsidRDefault="00212513">
            <w:pPr>
              <w:pStyle w:val="ConsPlusNormal"/>
              <w:jc w:val="center"/>
            </w:pPr>
            <w:r>
              <w:t>15</w:t>
            </w:r>
          </w:p>
        </w:tc>
        <w:tc>
          <w:tcPr>
            <w:tcW w:w="2210" w:type="dxa"/>
            <w:tcBorders>
              <w:top w:val="nil"/>
              <w:bottom w:val="nil"/>
            </w:tcBorders>
          </w:tcPr>
          <w:p w:rsidR="00212513" w:rsidRDefault="00212513">
            <w:pPr>
              <w:pStyle w:val="ConsPlusNormal"/>
              <w:jc w:val="center"/>
            </w:pPr>
            <w:r>
              <w:t>0,2</w:t>
            </w:r>
          </w:p>
        </w:tc>
        <w:tc>
          <w:tcPr>
            <w:tcW w:w="2210" w:type="dxa"/>
            <w:tcBorders>
              <w:top w:val="nil"/>
              <w:bottom w:val="nil"/>
            </w:tcBorders>
          </w:tcPr>
          <w:p w:rsidR="00212513" w:rsidRDefault="00212513">
            <w:pPr>
              <w:pStyle w:val="ConsPlusNormal"/>
              <w:jc w:val="center"/>
            </w:pPr>
            <w:r>
              <w:t>0,3</w:t>
            </w:r>
          </w:p>
        </w:tc>
        <w:tc>
          <w:tcPr>
            <w:tcW w:w="2210" w:type="dxa"/>
            <w:tcBorders>
              <w:top w:val="nil"/>
              <w:bottom w:val="nil"/>
            </w:tcBorders>
          </w:tcPr>
          <w:p w:rsidR="00212513" w:rsidRDefault="00212513">
            <w:pPr>
              <w:pStyle w:val="ConsPlusNormal"/>
              <w:jc w:val="center"/>
            </w:pPr>
            <w:r>
              <w:t>0,4</w:t>
            </w:r>
          </w:p>
        </w:tc>
      </w:tr>
      <w:tr w:rsidR="00212513">
        <w:tblPrEx>
          <w:tblBorders>
            <w:insideH w:val="none" w:sz="0" w:space="0" w:color="auto"/>
          </w:tblBorders>
        </w:tblPrEx>
        <w:tc>
          <w:tcPr>
            <w:tcW w:w="2409" w:type="dxa"/>
            <w:tcBorders>
              <w:top w:val="nil"/>
              <w:bottom w:val="nil"/>
            </w:tcBorders>
          </w:tcPr>
          <w:p w:rsidR="00212513" w:rsidRDefault="00212513">
            <w:pPr>
              <w:pStyle w:val="ConsPlusNormal"/>
              <w:jc w:val="center"/>
            </w:pPr>
            <w:r>
              <w:t>20</w:t>
            </w:r>
          </w:p>
        </w:tc>
        <w:tc>
          <w:tcPr>
            <w:tcW w:w="2210" w:type="dxa"/>
            <w:tcBorders>
              <w:top w:val="nil"/>
              <w:bottom w:val="nil"/>
            </w:tcBorders>
          </w:tcPr>
          <w:p w:rsidR="00212513" w:rsidRDefault="00212513">
            <w:pPr>
              <w:pStyle w:val="ConsPlusNormal"/>
              <w:jc w:val="center"/>
            </w:pPr>
            <w:r>
              <w:t>0,1</w:t>
            </w:r>
          </w:p>
        </w:tc>
        <w:tc>
          <w:tcPr>
            <w:tcW w:w="2210" w:type="dxa"/>
            <w:tcBorders>
              <w:top w:val="nil"/>
              <w:bottom w:val="nil"/>
            </w:tcBorders>
          </w:tcPr>
          <w:p w:rsidR="00212513" w:rsidRDefault="00212513">
            <w:pPr>
              <w:pStyle w:val="ConsPlusNormal"/>
              <w:jc w:val="center"/>
            </w:pPr>
            <w:r>
              <w:t>0,2</w:t>
            </w:r>
          </w:p>
        </w:tc>
        <w:tc>
          <w:tcPr>
            <w:tcW w:w="2210" w:type="dxa"/>
            <w:tcBorders>
              <w:top w:val="nil"/>
              <w:bottom w:val="nil"/>
            </w:tcBorders>
          </w:tcPr>
          <w:p w:rsidR="00212513" w:rsidRDefault="00212513">
            <w:pPr>
              <w:pStyle w:val="ConsPlusNormal"/>
              <w:jc w:val="center"/>
            </w:pPr>
            <w:r>
              <w:t>0,3</w:t>
            </w:r>
          </w:p>
        </w:tc>
      </w:tr>
      <w:tr w:rsidR="00212513">
        <w:tblPrEx>
          <w:tblBorders>
            <w:insideH w:val="none" w:sz="0" w:space="0" w:color="auto"/>
          </w:tblBorders>
        </w:tblPrEx>
        <w:tc>
          <w:tcPr>
            <w:tcW w:w="2409" w:type="dxa"/>
            <w:tcBorders>
              <w:top w:val="nil"/>
              <w:bottom w:val="nil"/>
            </w:tcBorders>
          </w:tcPr>
          <w:p w:rsidR="00212513" w:rsidRDefault="00212513">
            <w:pPr>
              <w:pStyle w:val="ConsPlusNormal"/>
              <w:jc w:val="center"/>
            </w:pPr>
            <w:r>
              <w:t>25</w:t>
            </w:r>
          </w:p>
        </w:tc>
        <w:tc>
          <w:tcPr>
            <w:tcW w:w="2210" w:type="dxa"/>
            <w:tcBorders>
              <w:top w:val="nil"/>
              <w:bottom w:val="nil"/>
            </w:tcBorders>
          </w:tcPr>
          <w:p w:rsidR="00212513" w:rsidRDefault="00212513">
            <w:pPr>
              <w:pStyle w:val="ConsPlusNormal"/>
              <w:jc w:val="center"/>
            </w:pPr>
            <w:r>
              <w:t>0</w:t>
            </w:r>
          </w:p>
        </w:tc>
        <w:tc>
          <w:tcPr>
            <w:tcW w:w="2210" w:type="dxa"/>
            <w:tcBorders>
              <w:top w:val="nil"/>
              <w:bottom w:val="nil"/>
            </w:tcBorders>
          </w:tcPr>
          <w:p w:rsidR="00212513" w:rsidRDefault="00212513">
            <w:pPr>
              <w:pStyle w:val="ConsPlusNormal"/>
              <w:jc w:val="center"/>
            </w:pPr>
            <w:r>
              <w:t>0,1</w:t>
            </w:r>
          </w:p>
        </w:tc>
        <w:tc>
          <w:tcPr>
            <w:tcW w:w="2210" w:type="dxa"/>
            <w:tcBorders>
              <w:top w:val="nil"/>
              <w:bottom w:val="nil"/>
            </w:tcBorders>
          </w:tcPr>
          <w:p w:rsidR="00212513" w:rsidRDefault="00212513">
            <w:pPr>
              <w:pStyle w:val="ConsPlusNormal"/>
              <w:jc w:val="center"/>
            </w:pPr>
            <w:r>
              <w:t>0,2</w:t>
            </w:r>
          </w:p>
        </w:tc>
      </w:tr>
      <w:tr w:rsidR="00212513">
        <w:tblPrEx>
          <w:tblBorders>
            <w:insideH w:val="none" w:sz="0" w:space="0" w:color="auto"/>
          </w:tblBorders>
        </w:tblPrEx>
        <w:tc>
          <w:tcPr>
            <w:tcW w:w="2409" w:type="dxa"/>
            <w:tcBorders>
              <w:top w:val="nil"/>
              <w:bottom w:val="single" w:sz="4" w:space="0" w:color="auto"/>
            </w:tcBorders>
          </w:tcPr>
          <w:p w:rsidR="00212513" w:rsidRDefault="00212513">
            <w:pPr>
              <w:pStyle w:val="ConsPlusNormal"/>
              <w:jc w:val="center"/>
            </w:pPr>
            <w:r>
              <w:t>30</w:t>
            </w:r>
          </w:p>
        </w:tc>
        <w:tc>
          <w:tcPr>
            <w:tcW w:w="2210" w:type="dxa"/>
            <w:tcBorders>
              <w:top w:val="nil"/>
              <w:bottom w:val="single" w:sz="4" w:space="0" w:color="auto"/>
            </w:tcBorders>
          </w:tcPr>
          <w:p w:rsidR="00212513" w:rsidRDefault="00212513">
            <w:pPr>
              <w:pStyle w:val="ConsPlusNormal"/>
              <w:jc w:val="center"/>
            </w:pPr>
            <w:r>
              <w:t>0</w:t>
            </w:r>
          </w:p>
        </w:tc>
        <w:tc>
          <w:tcPr>
            <w:tcW w:w="2210" w:type="dxa"/>
            <w:tcBorders>
              <w:top w:val="nil"/>
              <w:bottom w:val="single" w:sz="4" w:space="0" w:color="auto"/>
            </w:tcBorders>
          </w:tcPr>
          <w:p w:rsidR="00212513" w:rsidRDefault="00212513">
            <w:pPr>
              <w:pStyle w:val="ConsPlusNormal"/>
              <w:jc w:val="center"/>
            </w:pPr>
            <w:r>
              <w:t>0</w:t>
            </w:r>
          </w:p>
        </w:tc>
        <w:tc>
          <w:tcPr>
            <w:tcW w:w="2210" w:type="dxa"/>
            <w:tcBorders>
              <w:top w:val="nil"/>
              <w:bottom w:val="single" w:sz="4" w:space="0" w:color="auto"/>
            </w:tcBorders>
          </w:tcPr>
          <w:p w:rsidR="00212513" w:rsidRDefault="00212513">
            <w:pPr>
              <w:pStyle w:val="ConsPlusNormal"/>
              <w:jc w:val="center"/>
            </w:pPr>
            <w:r>
              <w:t>0,1</w:t>
            </w:r>
          </w:p>
        </w:tc>
      </w:tr>
      <w:tr w:rsidR="00212513">
        <w:tblPrEx>
          <w:tblBorders>
            <w:insideH w:val="none" w:sz="0" w:space="0" w:color="auto"/>
          </w:tblBorders>
        </w:tblPrEx>
        <w:tc>
          <w:tcPr>
            <w:tcW w:w="9039" w:type="dxa"/>
            <w:gridSpan w:val="4"/>
            <w:tcBorders>
              <w:top w:val="single" w:sz="4" w:space="0" w:color="auto"/>
              <w:bottom w:val="nil"/>
            </w:tcBorders>
          </w:tcPr>
          <w:p w:rsidR="00212513" w:rsidRDefault="00212513">
            <w:pPr>
              <w:pStyle w:val="ConsPlusNormal"/>
              <w:ind w:firstLine="283"/>
              <w:jc w:val="both"/>
            </w:pPr>
            <w:r>
              <w:t xml:space="preserve">Примечание - Для других значений </w:t>
            </w:r>
            <w:r>
              <w:rPr>
                <w:i/>
              </w:rPr>
              <w:t>d</w:t>
            </w:r>
            <w:r>
              <w:t xml:space="preserve"> и </w:t>
            </w:r>
            <w:r>
              <w:rPr>
                <w:i/>
              </w:rPr>
              <w:t>h</w:t>
            </w:r>
            <w:r>
              <w:rPr>
                <w:vertAlign w:val="subscript"/>
              </w:rPr>
              <w:t>2</w:t>
            </w:r>
            <w:r>
              <w:t xml:space="preserve"> коэффициент </w:t>
            </w:r>
            <w:r>
              <w:rPr>
                <w:noProof/>
                <w:position w:val="-8"/>
              </w:rPr>
              <w:drawing>
                <wp:inline distT="0" distB="0" distL="0" distR="0">
                  <wp:extent cx="209550" cy="251460"/>
                  <wp:effectExtent l="0" t="0" r="0" b="0"/>
                  <wp:docPr id="3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следует определять по интерполяции и экстраполяции.</w:t>
            </w:r>
          </w:p>
        </w:tc>
      </w:tr>
      <w:tr w:rsidR="00212513">
        <w:tblPrEx>
          <w:tblBorders>
            <w:insideH w:val="none" w:sz="0" w:space="0" w:color="auto"/>
          </w:tblBorders>
        </w:tblPrEx>
        <w:tc>
          <w:tcPr>
            <w:tcW w:w="9039" w:type="dxa"/>
            <w:gridSpan w:val="4"/>
            <w:tcBorders>
              <w:top w:val="nil"/>
              <w:bottom w:val="single" w:sz="4" w:space="0" w:color="auto"/>
            </w:tcBorders>
          </w:tcPr>
          <w:p w:rsidR="00212513" w:rsidRDefault="00212513">
            <w:pPr>
              <w:pStyle w:val="ConsPlusNormal"/>
              <w:jc w:val="both"/>
            </w:pPr>
            <w:r>
              <w:t xml:space="preserve">(примечание в ред. </w:t>
            </w:r>
            <w:hyperlink r:id="rId4002">
              <w:r>
                <w:rPr>
                  <w:color w:val="0000FF"/>
                </w:rPr>
                <w:t>Изменения N 4</w:t>
              </w:r>
            </w:hyperlink>
            <w:r>
              <w:t>, утв. Приказом Минстроя России от 30.05.2024 N 361/пр)</w:t>
            </w:r>
          </w:p>
        </w:tc>
      </w:tr>
    </w:tbl>
    <w:p w:rsidR="00212513" w:rsidRDefault="00212513">
      <w:pPr>
        <w:pStyle w:val="ConsPlusNormal"/>
        <w:ind w:firstLine="540"/>
        <w:jc w:val="both"/>
      </w:pPr>
    </w:p>
    <w:p w:rsidR="00212513" w:rsidRDefault="00212513">
      <w:pPr>
        <w:pStyle w:val="ConsPlusNormal"/>
        <w:ind w:firstLine="540"/>
        <w:jc w:val="both"/>
      </w:pPr>
      <w:r>
        <w:t>5.2 Относительный эксцентриситет равнодействующей нагрузок в уровне подошвы фундамента мелкого заложения следует определять по формуле</w:t>
      </w:r>
    </w:p>
    <w:p w:rsidR="00212513" w:rsidRDefault="00212513">
      <w:pPr>
        <w:pStyle w:val="ConsPlusNormal"/>
        <w:ind w:firstLine="540"/>
        <w:jc w:val="both"/>
      </w:pPr>
    </w:p>
    <w:p w:rsidR="00212513" w:rsidRDefault="00212513">
      <w:pPr>
        <w:pStyle w:val="ConsPlusNormal"/>
        <w:jc w:val="center"/>
      </w:pPr>
      <w:r>
        <w:rPr>
          <w:noProof/>
          <w:position w:val="-45"/>
        </w:rPr>
        <w:lastRenderedPageBreak/>
        <w:drawing>
          <wp:inline distT="0" distB="0" distL="0" distR="0">
            <wp:extent cx="1383030" cy="712470"/>
            <wp:effectExtent l="0" t="0" r="0" b="0"/>
            <wp:docPr id="3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3" cstate="print">
                      <a:extLst>
                        <a:ext uri="{28A0092B-C50C-407E-A947-70E740481C1C}">
                          <a14:useLocalDpi xmlns:a14="http://schemas.microsoft.com/office/drawing/2010/main" val="0"/>
                        </a:ext>
                      </a:extLst>
                    </a:blip>
                    <a:srcRect/>
                    <a:stretch>
                      <a:fillRect/>
                    </a:stretch>
                  </pic:blipFill>
                  <pic:spPr bwMode="auto">
                    <a:xfrm>
                      <a:off x="0" y="0"/>
                      <a:ext cx="1383030" cy="712470"/>
                    </a:xfrm>
                    <a:prstGeom prst="rect">
                      <a:avLst/>
                    </a:prstGeom>
                    <a:noFill/>
                    <a:ln>
                      <a:noFill/>
                    </a:ln>
                  </pic:spPr>
                </pic:pic>
              </a:graphicData>
            </a:graphic>
          </wp:inline>
        </w:drawing>
      </w:r>
      <w:r>
        <w:t>, (5.3)</w:t>
      </w:r>
    </w:p>
    <w:p w:rsidR="00212513" w:rsidRDefault="00212513">
      <w:pPr>
        <w:pStyle w:val="ConsPlusNormal"/>
        <w:ind w:firstLine="540"/>
        <w:jc w:val="both"/>
      </w:pPr>
    </w:p>
    <w:p w:rsidR="00212513" w:rsidRDefault="00212513">
      <w:pPr>
        <w:pStyle w:val="ConsPlusNormal"/>
        <w:ind w:firstLine="540"/>
        <w:jc w:val="both"/>
      </w:pPr>
      <w:r>
        <w:t xml:space="preserve">где </w:t>
      </w:r>
      <w:r>
        <w:rPr>
          <w:i/>
        </w:rPr>
        <w:t>a</w:t>
      </w:r>
      <w:r>
        <w:t xml:space="preserve"> - длина подошвы фундамента, м </w:t>
      </w:r>
      <w:hyperlink w:anchor="P18290">
        <w:r>
          <w:rPr>
            <w:color w:val="0000FF"/>
          </w:rPr>
          <w:t>(рисунок 5.1)</w:t>
        </w:r>
      </w:hyperlink>
      <w:r>
        <w:t>;</w:t>
      </w:r>
    </w:p>
    <w:p w:rsidR="00212513" w:rsidRDefault="00212513">
      <w:pPr>
        <w:pStyle w:val="ConsPlusNormal"/>
        <w:spacing w:before="220"/>
        <w:ind w:firstLine="540"/>
        <w:jc w:val="both"/>
      </w:pPr>
      <w:r>
        <w:rPr>
          <w:i/>
        </w:rPr>
        <w:t>y</w:t>
      </w:r>
      <w:r>
        <w:t xml:space="preserve"> - расстояние от главной центральной оси подошвы фундамента до более нагруженного ребра, м;</w:t>
      </w:r>
    </w:p>
    <w:p w:rsidR="00212513" w:rsidRDefault="00212513">
      <w:pPr>
        <w:pStyle w:val="ConsPlusNormal"/>
        <w:spacing w:before="220"/>
        <w:ind w:firstLine="540"/>
        <w:jc w:val="both"/>
      </w:pPr>
      <w:r>
        <w:rPr>
          <w:noProof/>
          <w:position w:val="-9"/>
        </w:rPr>
        <w:drawing>
          <wp:inline distT="0" distB="0" distL="0" distR="0">
            <wp:extent cx="167640" cy="261620"/>
            <wp:effectExtent l="0" t="0" r="0" b="0"/>
            <wp:docPr id="3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4" cstate="print">
                      <a:extLst>
                        <a:ext uri="{28A0092B-C50C-407E-A947-70E740481C1C}">
                          <a14:useLocalDpi xmlns:a14="http://schemas.microsoft.com/office/drawing/2010/main" val="0"/>
                        </a:ext>
                      </a:extLst>
                    </a:blip>
                    <a:srcRect/>
                    <a:stretch>
                      <a:fillRect/>
                    </a:stretch>
                  </pic:blipFill>
                  <pic:spPr bwMode="auto">
                    <a:xfrm>
                      <a:off x="0" y="0"/>
                      <a:ext cx="167640" cy="261620"/>
                    </a:xfrm>
                    <a:prstGeom prst="rect">
                      <a:avLst/>
                    </a:prstGeom>
                    <a:noFill/>
                    <a:ln>
                      <a:noFill/>
                    </a:ln>
                  </pic:spPr>
                </pic:pic>
              </a:graphicData>
            </a:graphic>
          </wp:inline>
        </w:drawing>
      </w:r>
      <w:r>
        <w:t xml:space="preserve">, </w:t>
      </w:r>
      <w:r>
        <w:rPr>
          <w:i/>
        </w:rPr>
        <w:t>r</w:t>
      </w:r>
      <w:r>
        <w:t xml:space="preserve"> - те же значения, что и в </w:t>
      </w:r>
      <w:hyperlink w:anchor="P10982">
        <w:r>
          <w:rPr>
            <w:color w:val="0000FF"/>
          </w:rPr>
          <w:t>11.7</w:t>
        </w:r>
      </w:hyperlink>
      <w:r>
        <w:t>.</w:t>
      </w: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jc w:val="right"/>
        <w:outlineLvl w:val="0"/>
      </w:pPr>
      <w:r>
        <w:rPr>
          <w:b/>
        </w:rPr>
        <w:t>Приложение 6</w:t>
      </w:r>
    </w:p>
    <w:p w:rsidR="00212513" w:rsidRDefault="00212513">
      <w:pPr>
        <w:pStyle w:val="ConsPlusNormal"/>
        <w:jc w:val="right"/>
      </w:pPr>
      <w:r>
        <w:rPr>
          <w:b/>
        </w:rPr>
        <w:t>(рекомендуемое)</w:t>
      </w:r>
    </w:p>
    <w:p w:rsidR="00212513" w:rsidRDefault="00212513">
      <w:pPr>
        <w:pStyle w:val="ConsPlusNormal"/>
        <w:jc w:val="both"/>
      </w:pPr>
    </w:p>
    <w:p w:rsidR="00212513" w:rsidRDefault="00212513">
      <w:pPr>
        <w:pStyle w:val="ConsPlusTitle"/>
        <w:jc w:val="center"/>
      </w:pPr>
      <w:bookmarkStart w:id="621" w:name="P18479"/>
      <w:bookmarkEnd w:id="621"/>
      <w:r>
        <w:t>СРОКИ СЛУЖБЫ</w:t>
      </w:r>
    </w:p>
    <w:p w:rsidR="00212513" w:rsidRDefault="00212513">
      <w:pPr>
        <w:pStyle w:val="ConsPlusNormal"/>
        <w:jc w:val="center"/>
      </w:pPr>
    </w:p>
    <w:p w:rsidR="00212513" w:rsidRDefault="00212513">
      <w:pPr>
        <w:pStyle w:val="ConsPlusNormal"/>
        <w:jc w:val="center"/>
      </w:pPr>
      <w:r>
        <w:t xml:space="preserve">(Приложение 6 введено </w:t>
      </w:r>
      <w:hyperlink r:id="rId4005">
        <w:r>
          <w:rPr>
            <w:color w:val="0000FF"/>
          </w:rPr>
          <w:t>Изменением N 1</w:t>
        </w:r>
      </w:hyperlink>
      <w:r>
        <w:t>, утв. Приказом</w:t>
      </w:r>
    </w:p>
    <w:p w:rsidR="00212513" w:rsidRDefault="00212513">
      <w:pPr>
        <w:pStyle w:val="ConsPlusNormal"/>
        <w:jc w:val="center"/>
      </w:pPr>
      <w:r>
        <w:t>Минстроя России от 03.12.2016 N 879/пр)</w:t>
      </w:r>
    </w:p>
    <w:p w:rsidR="00212513" w:rsidRDefault="00212513">
      <w:pPr>
        <w:pStyle w:val="ConsPlusNormal"/>
        <w:jc w:val="both"/>
      </w:pPr>
    </w:p>
    <w:p w:rsidR="00212513" w:rsidRDefault="00212513">
      <w:pPr>
        <w:pStyle w:val="ConsPlusNormal"/>
        <w:ind w:firstLine="540"/>
        <w:jc w:val="both"/>
      </w:pPr>
      <w:r>
        <w:t>6.1 Минимальные сроки службы и сроки до первого ремонта мостов, водопропускных труб и конструктивных элементов мостовых сооружений приведены в таблице 6.1.</w:t>
      </w:r>
    </w:p>
    <w:p w:rsidR="00212513" w:rsidRDefault="00212513">
      <w:pPr>
        <w:pStyle w:val="ConsPlusNormal"/>
        <w:jc w:val="both"/>
      </w:pPr>
    </w:p>
    <w:p w:rsidR="00212513" w:rsidRDefault="00212513">
      <w:pPr>
        <w:pStyle w:val="ConsPlusNormal"/>
        <w:jc w:val="right"/>
      </w:pPr>
      <w:r>
        <w:t>Таблица 6.1</w:t>
      </w:r>
    </w:p>
    <w:p w:rsidR="00212513" w:rsidRDefault="00212513">
      <w:pPr>
        <w:pStyle w:val="ConsPlusNormal"/>
        <w:jc w:val="center"/>
      </w:pPr>
    </w:p>
    <w:p w:rsidR="00212513" w:rsidRDefault="00212513">
      <w:pPr>
        <w:pStyle w:val="ConsPlusNormal"/>
        <w:jc w:val="center"/>
      </w:pPr>
      <w:r>
        <w:t xml:space="preserve">(таблица 6.1 в ред. </w:t>
      </w:r>
      <w:hyperlink r:id="rId4006">
        <w:r>
          <w:rPr>
            <w:color w:val="0000FF"/>
          </w:rPr>
          <w:t>Изменения N 4</w:t>
        </w:r>
      </w:hyperlink>
      <w:r>
        <w:t>, утв. Приказом</w:t>
      </w:r>
    </w:p>
    <w:p w:rsidR="00212513" w:rsidRDefault="00212513">
      <w:pPr>
        <w:pStyle w:val="ConsPlusNormal"/>
        <w:jc w:val="center"/>
      </w:pPr>
      <w:r>
        <w:t>Минстроя России от 30.05.2024 N 361/пр)</w:t>
      </w:r>
    </w:p>
    <w:p w:rsidR="00212513" w:rsidRDefault="0021251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2721"/>
        <w:gridCol w:w="1587"/>
        <w:gridCol w:w="1644"/>
      </w:tblGrid>
      <w:tr w:rsidR="00212513">
        <w:tc>
          <w:tcPr>
            <w:tcW w:w="3118" w:type="dxa"/>
            <w:vAlign w:val="center"/>
          </w:tcPr>
          <w:p w:rsidR="00212513" w:rsidRDefault="00212513">
            <w:pPr>
              <w:pStyle w:val="ConsPlusNormal"/>
              <w:jc w:val="center"/>
            </w:pPr>
            <w:r>
              <w:t>Конструктивная часть</w:t>
            </w:r>
          </w:p>
        </w:tc>
        <w:tc>
          <w:tcPr>
            <w:tcW w:w="2721" w:type="dxa"/>
            <w:vAlign w:val="center"/>
          </w:tcPr>
          <w:p w:rsidR="00212513" w:rsidRDefault="00212513">
            <w:pPr>
              <w:pStyle w:val="ConsPlusNormal"/>
              <w:jc w:val="center"/>
            </w:pPr>
            <w:r>
              <w:t>Элемент конструкции</w:t>
            </w:r>
          </w:p>
        </w:tc>
        <w:tc>
          <w:tcPr>
            <w:tcW w:w="1587" w:type="dxa"/>
            <w:vAlign w:val="center"/>
          </w:tcPr>
          <w:p w:rsidR="00212513" w:rsidRDefault="00212513">
            <w:pPr>
              <w:pStyle w:val="ConsPlusNormal"/>
              <w:jc w:val="center"/>
            </w:pPr>
            <w:r>
              <w:t>Срок службы, годы</w:t>
            </w:r>
          </w:p>
        </w:tc>
        <w:tc>
          <w:tcPr>
            <w:tcW w:w="1644" w:type="dxa"/>
            <w:vAlign w:val="center"/>
          </w:tcPr>
          <w:p w:rsidR="00212513" w:rsidRDefault="00212513">
            <w:pPr>
              <w:pStyle w:val="ConsPlusNormal"/>
              <w:jc w:val="center"/>
            </w:pPr>
            <w:r>
              <w:t>Срок до первого ремонта, годы</w:t>
            </w:r>
          </w:p>
        </w:tc>
      </w:tr>
      <w:tr w:rsidR="00212513">
        <w:tblPrEx>
          <w:tblBorders>
            <w:insideH w:val="nil"/>
          </w:tblBorders>
        </w:tblPrEx>
        <w:tc>
          <w:tcPr>
            <w:tcW w:w="3118" w:type="dxa"/>
            <w:tcBorders>
              <w:bottom w:val="nil"/>
            </w:tcBorders>
          </w:tcPr>
          <w:p w:rsidR="00212513" w:rsidRDefault="00212513">
            <w:pPr>
              <w:pStyle w:val="ConsPlusNormal"/>
              <w:ind w:firstLine="283"/>
            </w:pPr>
            <w:r>
              <w:t>1 Пролетные строения мостовых сооружений:</w:t>
            </w:r>
          </w:p>
        </w:tc>
        <w:tc>
          <w:tcPr>
            <w:tcW w:w="2721" w:type="dxa"/>
            <w:tcBorders>
              <w:bottom w:val="nil"/>
            </w:tcBorders>
          </w:tcPr>
          <w:p w:rsidR="00212513" w:rsidRDefault="00212513">
            <w:pPr>
              <w:pStyle w:val="ConsPlusNormal"/>
            </w:pPr>
          </w:p>
        </w:tc>
        <w:tc>
          <w:tcPr>
            <w:tcW w:w="1587" w:type="dxa"/>
            <w:tcBorders>
              <w:bottom w:val="nil"/>
            </w:tcBorders>
          </w:tcPr>
          <w:p w:rsidR="00212513" w:rsidRDefault="00212513">
            <w:pPr>
              <w:pStyle w:val="ConsPlusNormal"/>
            </w:pPr>
          </w:p>
        </w:tc>
        <w:tc>
          <w:tcPr>
            <w:tcW w:w="1644" w:type="dxa"/>
            <w:tcBorders>
              <w:bottom w:val="nil"/>
            </w:tcBorders>
          </w:tcPr>
          <w:p w:rsidR="00212513" w:rsidRDefault="00212513">
            <w:pPr>
              <w:pStyle w:val="ConsPlusNormal"/>
            </w:pPr>
          </w:p>
        </w:tc>
      </w:tr>
      <w:tr w:rsidR="00212513">
        <w:tblPrEx>
          <w:tblBorders>
            <w:insideH w:val="nil"/>
          </w:tblBorders>
        </w:tblPrEx>
        <w:tc>
          <w:tcPr>
            <w:tcW w:w="3118" w:type="dxa"/>
            <w:vMerge w:val="restart"/>
            <w:tcBorders>
              <w:top w:val="nil"/>
            </w:tcBorders>
          </w:tcPr>
          <w:p w:rsidR="00212513" w:rsidRDefault="00212513">
            <w:pPr>
              <w:pStyle w:val="ConsPlusNormal"/>
              <w:ind w:firstLine="283"/>
            </w:pPr>
            <w:r>
              <w:t>а) железнодорожных</w:t>
            </w:r>
          </w:p>
        </w:tc>
        <w:tc>
          <w:tcPr>
            <w:tcW w:w="2721" w:type="dxa"/>
            <w:tcBorders>
              <w:top w:val="nil"/>
              <w:bottom w:val="nil"/>
            </w:tcBorders>
          </w:tcPr>
          <w:p w:rsidR="00212513" w:rsidRDefault="00212513">
            <w:pPr>
              <w:pStyle w:val="ConsPlusNormal"/>
              <w:jc w:val="center"/>
            </w:pPr>
            <w:r>
              <w:t>Длиной до 20 м</w:t>
            </w:r>
          </w:p>
        </w:tc>
        <w:tc>
          <w:tcPr>
            <w:tcW w:w="1587" w:type="dxa"/>
            <w:tcBorders>
              <w:top w:val="nil"/>
              <w:bottom w:val="nil"/>
            </w:tcBorders>
          </w:tcPr>
          <w:p w:rsidR="00212513" w:rsidRDefault="00212513">
            <w:pPr>
              <w:pStyle w:val="ConsPlusNormal"/>
              <w:jc w:val="center"/>
            </w:pPr>
            <w:r>
              <w:t>50</w:t>
            </w:r>
          </w:p>
        </w:tc>
        <w:tc>
          <w:tcPr>
            <w:tcW w:w="1644" w:type="dxa"/>
            <w:tcBorders>
              <w:top w:val="nil"/>
              <w:bottom w:val="nil"/>
            </w:tcBorders>
          </w:tcPr>
          <w:p w:rsidR="00212513" w:rsidRDefault="00212513">
            <w:pPr>
              <w:pStyle w:val="ConsPlusNormal"/>
              <w:jc w:val="center"/>
            </w:pPr>
            <w:r>
              <w:t>25</w:t>
            </w:r>
          </w:p>
        </w:tc>
      </w:tr>
      <w:tr w:rsidR="00212513">
        <w:tblPrEx>
          <w:tblBorders>
            <w:insideH w:val="nil"/>
          </w:tblBorders>
        </w:tblPrEx>
        <w:tc>
          <w:tcPr>
            <w:tcW w:w="3118" w:type="dxa"/>
            <w:vMerge/>
            <w:tcBorders>
              <w:top w:val="nil"/>
            </w:tcBorders>
          </w:tcPr>
          <w:p w:rsidR="00212513" w:rsidRDefault="00212513">
            <w:pPr>
              <w:pStyle w:val="ConsPlusNormal"/>
            </w:pPr>
          </w:p>
        </w:tc>
        <w:tc>
          <w:tcPr>
            <w:tcW w:w="2721" w:type="dxa"/>
            <w:tcBorders>
              <w:top w:val="nil"/>
              <w:bottom w:val="nil"/>
            </w:tcBorders>
          </w:tcPr>
          <w:p w:rsidR="00212513" w:rsidRDefault="00212513">
            <w:pPr>
              <w:pStyle w:val="ConsPlusNormal"/>
              <w:jc w:val="center"/>
            </w:pPr>
            <w:r>
              <w:t>Длиной до 50 м</w:t>
            </w:r>
          </w:p>
        </w:tc>
        <w:tc>
          <w:tcPr>
            <w:tcW w:w="1587" w:type="dxa"/>
            <w:tcBorders>
              <w:top w:val="nil"/>
              <w:bottom w:val="nil"/>
            </w:tcBorders>
          </w:tcPr>
          <w:p w:rsidR="00212513" w:rsidRDefault="00212513">
            <w:pPr>
              <w:pStyle w:val="ConsPlusNormal"/>
              <w:jc w:val="center"/>
            </w:pPr>
            <w:r>
              <w:t>70</w:t>
            </w:r>
          </w:p>
        </w:tc>
        <w:tc>
          <w:tcPr>
            <w:tcW w:w="1644" w:type="dxa"/>
            <w:tcBorders>
              <w:top w:val="nil"/>
              <w:bottom w:val="nil"/>
            </w:tcBorders>
          </w:tcPr>
          <w:p w:rsidR="00212513" w:rsidRDefault="00212513">
            <w:pPr>
              <w:pStyle w:val="ConsPlusNormal"/>
              <w:jc w:val="center"/>
            </w:pPr>
            <w:r>
              <w:t>40</w:t>
            </w:r>
          </w:p>
        </w:tc>
      </w:tr>
      <w:tr w:rsidR="00212513">
        <w:tc>
          <w:tcPr>
            <w:tcW w:w="3118" w:type="dxa"/>
            <w:vMerge/>
            <w:tcBorders>
              <w:top w:val="nil"/>
            </w:tcBorders>
          </w:tcPr>
          <w:p w:rsidR="00212513" w:rsidRDefault="00212513">
            <w:pPr>
              <w:pStyle w:val="ConsPlusNormal"/>
            </w:pPr>
          </w:p>
        </w:tc>
        <w:tc>
          <w:tcPr>
            <w:tcW w:w="2721" w:type="dxa"/>
            <w:tcBorders>
              <w:top w:val="nil"/>
            </w:tcBorders>
          </w:tcPr>
          <w:p w:rsidR="00212513" w:rsidRDefault="00212513">
            <w:pPr>
              <w:pStyle w:val="ConsPlusNormal"/>
              <w:jc w:val="center"/>
            </w:pPr>
            <w:r>
              <w:t>Длиной 50 м и выше</w:t>
            </w:r>
          </w:p>
        </w:tc>
        <w:tc>
          <w:tcPr>
            <w:tcW w:w="1587" w:type="dxa"/>
            <w:tcBorders>
              <w:top w:val="nil"/>
            </w:tcBorders>
          </w:tcPr>
          <w:p w:rsidR="00212513" w:rsidRDefault="00212513">
            <w:pPr>
              <w:pStyle w:val="ConsPlusNormal"/>
              <w:jc w:val="center"/>
            </w:pPr>
            <w:r>
              <w:t>100</w:t>
            </w:r>
          </w:p>
        </w:tc>
        <w:tc>
          <w:tcPr>
            <w:tcW w:w="1644" w:type="dxa"/>
            <w:tcBorders>
              <w:top w:val="nil"/>
            </w:tcBorders>
          </w:tcPr>
          <w:p w:rsidR="00212513" w:rsidRDefault="00212513">
            <w:pPr>
              <w:pStyle w:val="ConsPlusNormal"/>
              <w:jc w:val="center"/>
            </w:pPr>
            <w:r>
              <w:t>50</w:t>
            </w:r>
          </w:p>
        </w:tc>
      </w:tr>
      <w:tr w:rsidR="00212513">
        <w:tc>
          <w:tcPr>
            <w:tcW w:w="3118" w:type="dxa"/>
            <w:vMerge w:val="restart"/>
          </w:tcPr>
          <w:p w:rsidR="00212513" w:rsidRDefault="00212513">
            <w:pPr>
              <w:pStyle w:val="ConsPlusNormal"/>
              <w:ind w:firstLine="283"/>
            </w:pPr>
            <w:r>
              <w:t>б) автодорожных и городских</w:t>
            </w:r>
          </w:p>
        </w:tc>
        <w:tc>
          <w:tcPr>
            <w:tcW w:w="2721" w:type="dxa"/>
            <w:tcBorders>
              <w:bottom w:val="nil"/>
            </w:tcBorders>
          </w:tcPr>
          <w:p w:rsidR="00212513" w:rsidRDefault="00212513">
            <w:pPr>
              <w:pStyle w:val="ConsPlusNormal"/>
              <w:jc w:val="center"/>
            </w:pPr>
            <w:r>
              <w:t>Железобетонные:</w:t>
            </w:r>
          </w:p>
        </w:tc>
        <w:tc>
          <w:tcPr>
            <w:tcW w:w="1587" w:type="dxa"/>
            <w:tcBorders>
              <w:bottom w:val="nil"/>
            </w:tcBorders>
          </w:tcPr>
          <w:p w:rsidR="00212513" w:rsidRDefault="00212513">
            <w:pPr>
              <w:pStyle w:val="ConsPlusNormal"/>
            </w:pPr>
          </w:p>
        </w:tc>
        <w:tc>
          <w:tcPr>
            <w:tcW w:w="1644" w:type="dxa"/>
            <w:tcBorders>
              <w:bottom w:val="nil"/>
            </w:tcBorders>
          </w:tcPr>
          <w:p w:rsidR="00212513" w:rsidRDefault="00212513">
            <w:pPr>
              <w:pStyle w:val="ConsPlusNormal"/>
            </w:pPr>
          </w:p>
        </w:tc>
      </w:tr>
      <w:tr w:rsidR="00212513">
        <w:tblPrEx>
          <w:tblBorders>
            <w:insideH w:val="nil"/>
          </w:tblBorders>
        </w:tblPrEx>
        <w:tc>
          <w:tcPr>
            <w:tcW w:w="3118" w:type="dxa"/>
            <w:vMerge/>
          </w:tcPr>
          <w:p w:rsidR="00212513" w:rsidRDefault="00212513">
            <w:pPr>
              <w:pStyle w:val="ConsPlusNormal"/>
            </w:pPr>
          </w:p>
        </w:tc>
        <w:tc>
          <w:tcPr>
            <w:tcW w:w="2721" w:type="dxa"/>
            <w:tcBorders>
              <w:top w:val="nil"/>
              <w:bottom w:val="nil"/>
            </w:tcBorders>
          </w:tcPr>
          <w:p w:rsidR="00212513" w:rsidRDefault="00212513">
            <w:pPr>
              <w:pStyle w:val="ConsPlusNormal"/>
              <w:jc w:val="center"/>
            </w:pPr>
            <w:r>
              <w:t>- ребристые сборные с обычной арматурой</w:t>
            </w:r>
          </w:p>
        </w:tc>
        <w:tc>
          <w:tcPr>
            <w:tcW w:w="1587" w:type="dxa"/>
            <w:tcBorders>
              <w:top w:val="nil"/>
              <w:bottom w:val="nil"/>
            </w:tcBorders>
          </w:tcPr>
          <w:p w:rsidR="00212513" w:rsidRDefault="00212513">
            <w:pPr>
              <w:pStyle w:val="ConsPlusNormal"/>
              <w:jc w:val="center"/>
            </w:pPr>
            <w:r>
              <w:t>50</w:t>
            </w:r>
          </w:p>
        </w:tc>
        <w:tc>
          <w:tcPr>
            <w:tcW w:w="1644" w:type="dxa"/>
            <w:tcBorders>
              <w:top w:val="nil"/>
              <w:bottom w:val="nil"/>
            </w:tcBorders>
          </w:tcPr>
          <w:p w:rsidR="00212513" w:rsidRDefault="00212513">
            <w:pPr>
              <w:pStyle w:val="ConsPlusNormal"/>
              <w:jc w:val="center"/>
            </w:pPr>
            <w:r>
              <w:t>30</w:t>
            </w:r>
          </w:p>
        </w:tc>
      </w:tr>
      <w:tr w:rsidR="00212513">
        <w:tblPrEx>
          <w:tblBorders>
            <w:insideH w:val="nil"/>
          </w:tblBorders>
        </w:tblPrEx>
        <w:tc>
          <w:tcPr>
            <w:tcW w:w="3118" w:type="dxa"/>
            <w:vMerge/>
          </w:tcPr>
          <w:p w:rsidR="00212513" w:rsidRDefault="00212513">
            <w:pPr>
              <w:pStyle w:val="ConsPlusNormal"/>
            </w:pPr>
          </w:p>
        </w:tc>
        <w:tc>
          <w:tcPr>
            <w:tcW w:w="2721" w:type="dxa"/>
            <w:tcBorders>
              <w:top w:val="nil"/>
              <w:bottom w:val="nil"/>
            </w:tcBorders>
          </w:tcPr>
          <w:p w:rsidR="00212513" w:rsidRDefault="00212513">
            <w:pPr>
              <w:pStyle w:val="ConsPlusNormal"/>
              <w:jc w:val="center"/>
            </w:pPr>
            <w:r>
              <w:t>- плитные сборные</w:t>
            </w:r>
          </w:p>
        </w:tc>
        <w:tc>
          <w:tcPr>
            <w:tcW w:w="1587" w:type="dxa"/>
            <w:tcBorders>
              <w:top w:val="nil"/>
              <w:bottom w:val="nil"/>
            </w:tcBorders>
          </w:tcPr>
          <w:p w:rsidR="00212513" w:rsidRDefault="00212513">
            <w:pPr>
              <w:pStyle w:val="ConsPlusNormal"/>
              <w:jc w:val="center"/>
            </w:pPr>
            <w:r>
              <w:t>50</w:t>
            </w:r>
          </w:p>
        </w:tc>
        <w:tc>
          <w:tcPr>
            <w:tcW w:w="1644" w:type="dxa"/>
            <w:tcBorders>
              <w:top w:val="nil"/>
              <w:bottom w:val="nil"/>
            </w:tcBorders>
          </w:tcPr>
          <w:p w:rsidR="00212513" w:rsidRDefault="00212513">
            <w:pPr>
              <w:pStyle w:val="ConsPlusNormal"/>
              <w:jc w:val="center"/>
            </w:pPr>
            <w:r>
              <w:t>30</w:t>
            </w:r>
          </w:p>
        </w:tc>
      </w:tr>
      <w:tr w:rsidR="00212513">
        <w:tblPrEx>
          <w:tblBorders>
            <w:insideH w:val="nil"/>
          </w:tblBorders>
        </w:tblPrEx>
        <w:tc>
          <w:tcPr>
            <w:tcW w:w="3118" w:type="dxa"/>
            <w:vMerge/>
          </w:tcPr>
          <w:p w:rsidR="00212513" w:rsidRDefault="00212513">
            <w:pPr>
              <w:pStyle w:val="ConsPlusNormal"/>
            </w:pPr>
          </w:p>
        </w:tc>
        <w:tc>
          <w:tcPr>
            <w:tcW w:w="2721" w:type="dxa"/>
            <w:tcBorders>
              <w:top w:val="nil"/>
            </w:tcBorders>
          </w:tcPr>
          <w:p w:rsidR="00212513" w:rsidRDefault="00212513">
            <w:pPr>
              <w:pStyle w:val="ConsPlusNormal"/>
              <w:jc w:val="center"/>
            </w:pPr>
            <w:r>
              <w:t>- остальные</w:t>
            </w:r>
          </w:p>
        </w:tc>
        <w:tc>
          <w:tcPr>
            <w:tcW w:w="1587" w:type="dxa"/>
            <w:tcBorders>
              <w:top w:val="nil"/>
            </w:tcBorders>
          </w:tcPr>
          <w:p w:rsidR="00212513" w:rsidRDefault="00212513">
            <w:pPr>
              <w:pStyle w:val="ConsPlusNormal"/>
              <w:jc w:val="center"/>
            </w:pPr>
            <w:r>
              <w:t>70</w:t>
            </w:r>
          </w:p>
        </w:tc>
        <w:tc>
          <w:tcPr>
            <w:tcW w:w="1644" w:type="dxa"/>
            <w:tcBorders>
              <w:top w:val="nil"/>
            </w:tcBorders>
          </w:tcPr>
          <w:p w:rsidR="00212513" w:rsidRDefault="00212513">
            <w:pPr>
              <w:pStyle w:val="ConsPlusNormal"/>
              <w:jc w:val="center"/>
            </w:pPr>
            <w:r>
              <w:t>40</w:t>
            </w:r>
          </w:p>
        </w:tc>
      </w:tr>
      <w:tr w:rsidR="00212513">
        <w:tc>
          <w:tcPr>
            <w:tcW w:w="3118" w:type="dxa"/>
            <w:vMerge/>
          </w:tcPr>
          <w:p w:rsidR="00212513" w:rsidRDefault="00212513">
            <w:pPr>
              <w:pStyle w:val="ConsPlusNormal"/>
            </w:pPr>
          </w:p>
        </w:tc>
        <w:tc>
          <w:tcPr>
            <w:tcW w:w="2721" w:type="dxa"/>
          </w:tcPr>
          <w:p w:rsidR="00212513" w:rsidRDefault="00212513">
            <w:pPr>
              <w:pStyle w:val="ConsPlusNormal"/>
              <w:jc w:val="center"/>
            </w:pPr>
            <w:r>
              <w:t xml:space="preserve">Стальные и </w:t>
            </w:r>
            <w:r>
              <w:lastRenderedPageBreak/>
              <w:t>сталежелезобетонные</w:t>
            </w:r>
          </w:p>
        </w:tc>
        <w:tc>
          <w:tcPr>
            <w:tcW w:w="1587" w:type="dxa"/>
          </w:tcPr>
          <w:p w:rsidR="00212513" w:rsidRDefault="00212513">
            <w:pPr>
              <w:pStyle w:val="ConsPlusNormal"/>
              <w:jc w:val="center"/>
            </w:pPr>
            <w:r>
              <w:lastRenderedPageBreak/>
              <w:t>100</w:t>
            </w:r>
          </w:p>
        </w:tc>
        <w:tc>
          <w:tcPr>
            <w:tcW w:w="1644" w:type="dxa"/>
          </w:tcPr>
          <w:p w:rsidR="00212513" w:rsidRDefault="00212513">
            <w:pPr>
              <w:pStyle w:val="ConsPlusNormal"/>
              <w:jc w:val="center"/>
            </w:pPr>
            <w:r>
              <w:t>50</w:t>
            </w:r>
          </w:p>
        </w:tc>
      </w:tr>
      <w:tr w:rsidR="00212513">
        <w:tc>
          <w:tcPr>
            <w:tcW w:w="3118" w:type="dxa"/>
            <w:vMerge/>
          </w:tcPr>
          <w:p w:rsidR="00212513" w:rsidRDefault="00212513">
            <w:pPr>
              <w:pStyle w:val="ConsPlusNormal"/>
            </w:pPr>
          </w:p>
        </w:tc>
        <w:tc>
          <w:tcPr>
            <w:tcW w:w="2721" w:type="dxa"/>
          </w:tcPr>
          <w:p w:rsidR="00212513" w:rsidRDefault="00212513">
            <w:pPr>
              <w:pStyle w:val="ConsPlusNormal"/>
              <w:jc w:val="center"/>
            </w:pPr>
            <w:r>
              <w:t>Полимерные композитные</w:t>
            </w:r>
          </w:p>
        </w:tc>
        <w:tc>
          <w:tcPr>
            <w:tcW w:w="1587" w:type="dxa"/>
          </w:tcPr>
          <w:p w:rsidR="00212513" w:rsidRDefault="00212513">
            <w:pPr>
              <w:pStyle w:val="ConsPlusNormal"/>
              <w:jc w:val="center"/>
            </w:pPr>
            <w:r>
              <w:t>50</w:t>
            </w:r>
          </w:p>
        </w:tc>
        <w:tc>
          <w:tcPr>
            <w:tcW w:w="1644" w:type="dxa"/>
          </w:tcPr>
          <w:p w:rsidR="00212513" w:rsidRDefault="00212513">
            <w:pPr>
              <w:pStyle w:val="ConsPlusNormal"/>
              <w:jc w:val="center"/>
            </w:pPr>
            <w:r>
              <w:t>50</w:t>
            </w:r>
          </w:p>
        </w:tc>
      </w:tr>
      <w:tr w:rsidR="00212513">
        <w:tc>
          <w:tcPr>
            <w:tcW w:w="3118" w:type="dxa"/>
            <w:vMerge/>
          </w:tcPr>
          <w:p w:rsidR="00212513" w:rsidRDefault="00212513">
            <w:pPr>
              <w:pStyle w:val="ConsPlusNormal"/>
            </w:pPr>
          </w:p>
        </w:tc>
        <w:tc>
          <w:tcPr>
            <w:tcW w:w="2721" w:type="dxa"/>
          </w:tcPr>
          <w:p w:rsidR="00212513" w:rsidRDefault="00212513">
            <w:pPr>
              <w:pStyle w:val="ConsPlusNormal"/>
              <w:jc w:val="center"/>
            </w:pPr>
            <w:r>
              <w:t>Деревянные</w:t>
            </w:r>
          </w:p>
        </w:tc>
        <w:tc>
          <w:tcPr>
            <w:tcW w:w="1587" w:type="dxa"/>
          </w:tcPr>
          <w:p w:rsidR="00212513" w:rsidRDefault="00212513">
            <w:pPr>
              <w:pStyle w:val="ConsPlusNormal"/>
              <w:jc w:val="center"/>
            </w:pPr>
            <w:r>
              <w:t>25</w:t>
            </w:r>
          </w:p>
        </w:tc>
        <w:tc>
          <w:tcPr>
            <w:tcW w:w="1644" w:type="dxa"/>
          </w:tcPr>
          <w:p w:rsidR="00212513" w:rsidRDefault="00212513">
            <w:pPr>
              <w:pStyle w:val="ConsPlusNormal"/>
              <w:jc w:val="center"/>
            </w:pPr>
            <w:r>
              <w:t>10</w:t>
            </w:r>
          </w:p>
        </w:tc>
      </w:tr>
      <w:tr w:rsidR="00212513">
        <w:tc>
          <w:tcPr>
            <w:tcW w:w="3118" w:type="dxa"/>
          </w:tcPr>
          <w:p w:rsidR="00212513" w:rsidRDefault="00212513">
            <w:pPr>
              <w:pStyle w:val="ConsPlusNormal"/>
              <w:ind w:firstLine="283"/>
            </w:pPr>
            <w:r>
              <w:t>в) мостовые сооружения из металлических гофрированных элементов</w:t>
            </w:r>
          </w:p>
        </w:tc>
        <w:tc>
          <w:tcPr>
            <w:tcW w:w="2721" w:type="dxa"/>
          </w:tcPr>
          <w:p w:rsidR="00212513" w:rsidRDefault="00212513">
            <w:pPr>
              <w:pStyle w:val="ConsPlusNormal"/>
              <w:jc w:val="center"/>
            </w:pPr>
            <w:r>
              <w:t>-</w:t>
            </w:r>
          </w:p>
        </w:tc>
        <w:tc>
          <w:tcPr>
            <w:tcW w:w="1587" w:type="dxa"/>
          </w:tcPr>
          <w:p w:rsidR="00212513" w:rsidRDefault="00212513">
            <w:pPr>
              <w:pStyle w:val="ConsPlusNormal"/>
              <w:jc w:val="center"/>
            </w:pPr>
            <w:r>
              <w:t>50</w:t>
            </w:r>
          </w:p>
        </w:tc>
        <w:tc>
          <w:tcPr>
            <w:tcW w:w="1644" w:type="dxa"/>
          </w:tcPr>
          <w:p w:rsidR="00212513" w:rsidRDefault="00212513">
            <w:pPr>
              <w:pStyle w:val="ConsPlusNormal"/>
              <w:jc w:val="center"/>
            </w:pPr>
            <w:r>
              <w:t>30</w:t>
            </w:r>
          </w:p>
        </w:tc>
      </w:tr>
      <w:tr w:rsidR="00212513">
        <w:tblPrEx>
          <w:tblBorders>
            <w:insideH w:val="nil"/>
          </w:tblBorders>
        </w:tblPrEx>
        <w:tc>
          <w:tcPr>
            <w:tcW w:w="3118" w:type="dxa"/>
            <w:tcBorders>
              <w:bottom w:val="nil"/>
            </w:tcBorders>
          </w:tcPr>
          <w:p w:rsidR="00212513" w:rsidRDefault="00212513">
            <w:pPr>
              <w:pStyle w:val="ConsPlusNormal"/>
              <w:ind w:firstLine="283"/>
            </w:pPr>
            <w:r>
              <w:t>2 Опоры и фундаменты</w:t>
            </w:r>
          </w:p>
        </w:tc>
        <w:tc>
          <w:tcPr>
            <w:tcW w:w="2721" w:type="dxa"/>
            <w:tcBorders>
              <w:bottom w:val="nil"/>
            </w:tcBorders>
          </w:tcPr>
          <w:p w:rsidR="00212513" w:rsidRDefault="00212513">
            <w:pPr>
              <w:pStyle w:val="ConsPlusNormal"/>
            </w:pPr>
          </w:p>
        </w:tc>
        <w:tc>
          <w:tcPr>
            <w:tcW w:w="1587" w:type="dxa"/>
            <w:tcBorders>
              <w:bottom w:val="nil"/>
            </w:tcBorders>
          </w:tcPr>
          <w:p w:rsidR="00212513" w:rsidRDefault="00212513">
            <w:pPr>
              <w:pStyle w:val="ConsPlusNormal"/>
            </w:pPr>
          </w:p>
        </w:tc>
        <w:tc>
          <w:tcPr>
            <w:tcW w:w="1644" w:type="dxa"/>
            <w:tcBorders>
              <w:bottom w:val="nil"/>
            </w:tcBorders>
          </w:tcPr>
          <w:p w:rsidR="00212513" w:rsidRDefault="00212513">
            <w:pPr>
              <w:pStyle w:val="ConsPlusNormal"/>
            </w:pPr>
          </w:p>
        </w:tc>
      </w:tr>
      <w:tr w:rsidR="00212513">
        <w:tblPrEx>
          <w:tblBorders>
            <w:insideH w:val="nil"/>
          </w:tblBorders>
        </w:tblPrEx>
        <w:tc>
          <w:tcPr>
            <w:tcW w:w="3118" w:type="dxa"/>
            <w:tcBorders>
              <w:top w:val="nil"/>
            </w:tcBorders>
          </w:tcPr>
          <w:p w:rsidR="00212513" w:rsidRDefault="00212513">
            <w:pPr>
              <w:pStyle w:val="ConsPlusNormal"/>
              <w:ind w:firstLine="283"/>
            </w:pPr>
            <w:r>
              <w:t>а) массивные и столбчатые опоры</w:t>
            </w:r>
          </w:p>
        </w:tc>
        <w:tc>
          <w:tcPr>
            <w:tcW w:w="2721" w:type="dxa"/>
            <w:tcBorders>
              <w:top w:val="nil"/>
            </w:tcBorders>
          </w:tcPr>
          <w:p w:rsidR="00212513" w:rsidRDefault="00212513">
            <w:pPr>
              <w:pStyle w:val="ConsPlusNormal"/>
              <w:jc w:val="center"/>
            </w:pPr>
            <w:r>
              <w:t>-</w:t>
            </w:r>
          </w:p>
        </w:tc>
        <w:tc>
          <w:tcPr>
            <w:tcW w:w="1587" w:type="dxa"/>
            <w:tcBorders>
              <w:top w:val="nil"/>
            </w:tcBorders>
          </w:tcPr>
          <w:p w:rsidR="00212513" w:rsidRDefault="00212513">
            <w:pPr>
              <w:pStyle w:val="ConsPlusNormal"/>
              <w:jc w:val="center"/>
            </w:pPr>
            <w:r>
              <w:t>В 1,5 раза больше, чем у пролетных строений</w:t>
            </w:r>
          </w:p>
        </w:tc>
        <w:tc>
          <w:tcPr>
            <w:tcW w:w="1644" w:type="dxa"/>
            <w:tcBorders>
              <w:top w:val="nil"/>
            </w:tcBorders>
          </w:tcPr>
          <w:p w:rsidR="00212513" w:rsidRDefault="00212513">
            <w:pPr>
              <w:pStyle w:val="ConsPlusNormal"/>
              <w:jc w:val="center"/>
            </w:pPr>
            <w:r>
              <w:t>50</w:t>
            </w:r>
          </w:p>
        </w:tc>
      </w:tr>
      <w:tr w:rsidR="00212513">
        <w:tc>
          <w:tcPr>
            <w:tcW w:w="3118" w:type="dxa"/>
          </w:tcPr>
          <w:p w:rsidR="00212513" w:rsidRDefault="00212513">
            <w:pPr>
              <w:pStyle w:val="ConsPlusNormal"/>
              <w:ind w:firstLine="283"/>
            </w:pPr>
            <w:r>
              <w:t>б) прочие опоры</w:t>
            </w:r>
          </w:p>
        </w:tc>
        <w:tc>
          <w:tcPr>
            <w:tcW w:w="2721" w:type="dxa"/>
          </w:tcPr>
          <w:p w:rsidR="00212513" w:rsidRDefault="00212513">
            <w:pPr>
              <w:pStyle w:val="ConsPlusNormal"/>
              <w:jc w:val="center"/>
            </w:pPr>
            <w:r>
              <w:t>-</w:t>
            </w:r>
          </w:p>
        </w:tc>
        <w:tc>
          <w:tcPr>
            <w:tcW w:w="3231" w:type="dxa"/>
            <w:gridSpan w:val="2"/>
          </w:tcPr>
          <w:p w:rsidR="00212513" w:rsidRDefault="00212513">
            <w:pPr>
              <w:pStyle w:val="ConsPlusNormal"/>
              <w:jc w:val="center"/>
            </w:pPr>
            <w:r>
              <w:t>Как для пролетных строений</w:t>
            </w:r>
          </w:p>
        </w:tc>
      </w:tr>
      <w:tr w:rsidR="00212513">
        <w:tc>
          <w:tcPr>
            <w:tcW w:w="3118" w:type="dxa"/>
          </w:tcPr>
          <w:p w:rsidR="00212513" w:rsidRDefault="00212513">
            <w:pPr>
              <w:pStyle w:val="ConsPlusNormal"/>
              <w:ind w:firstLine="283"/>
            </w:pPr>
            <w:r>
              <w:t>в) фундаменты</w:t>
            </w:r>
          </w:p>
        </w:tc>
        <w:tc>
          <w:tcPr>
            <w:tcW w:w="2721" w:type="dxa"/>
          </w:tcPr>
          <w:p w:rsidR="00212513" w:rsidRDefault="00212513">
            <w:pPr>
              <w:pStyle w:val="ConsPlusNormal"/>
              <w:jc w:val="center"/>
            </w:pPr>
            <w:r>
              <w:t>-</w:t>
            </w:r>
          </w:p>
        </w:tc>
        <w:tc>
          <w:tcPr>
            <w:tcW w:w="1587" w:type="dxa"/>
          </w:tcPr>
          <w:p w:rsidR="00212513" w:rsidRDefault="00212513">
            <w:pPr>
              <w:pStyle w:val="ConsPlusNormal"/>
              <w:jc w:val="center"/>
            </w:pPr>
            <w:r>
              <w:t>В 1,5 раза больше, чем у пролетных строений</w:t>
            </w:r>
          </w:p>
        </w:tc>
        <w:tc>
          <w:tcPr>
            <w:tcW w:w="1644" w:type="dxa"/>
          </w:tcPr>
          <w:p w:rsidR="00212513" w:rsidRDefault="00212513">
            <w:pPr>
              <w:pStyle w:val="ConsPlusNormal"/>
              <w:jc w:val="center"/>
            </w:pPr>
            <w:r>
              <w:t>-</w:t>
            </w:r>
          </w:p>
        </w:tc>
      </w:tr>
      <w:tr w:rsidR="00212513">
        <w:tc>
          <w:tcPr>
            <w:tcW w:w="3118" w:type="dxa"/>
            <w:vMerge w:val="restart"/>
          </w:tcPr>
          <w:p w:rsidR="00212513" w:rsidRDefault="00212513">
            <w:pPr>
              <w:pStyle w:val="ConsPlusNormal"/>
              <w:ind w:firstLine="283"/>
            </w:pPr>
            <w:r>
              <w:t>г) облицовка опор и стен</w:t>
            </w:r>
          </w:p>
        </w:tc>
        <w:tc>
          <w:tcPr>
            <w:tcW w:w="2721" w:type="dxa"/>
          </w:tcPr>
          <w:p w:rsidR="00212513" w:rsidRDefault="00212513">
            <w:pPr>
              <w:pStyle w:val="ConsPlusNormal"/>
              <w:jc w:val="center"/>
            </w:pPr>
            <w:r>
              <w:t>Гранитная</w:t>
            </w:r>
          </w:p>
        </w:tc>
        <w:tc>
          <w:tcPr>
            <w:tcW w:w="1587" w:type="dxa"/>
          </w:tcPr>
          <w:p w:rsidR="00212513" w:rsidRDefault="00212513">
            <w:pPr>
              <w:pStyle w:val="ConsPlusNormal"/>
              <w:jc w:val="center"/>
            </w:pPr>
            <w:r>
              <w:t>90</w:t>
            </w:r>
          </w:p>
        </w:tc>
        <w:tc>
          <w:tcPr>
            <w:tcW w:w="1644" w:type="dxa"/>
          </w:tcPr>
          <w:p w:rsidR="00212513" w:rsidRDefault="00212513">
            <w:pPr>
              <w:pStyle w:val="ConsPlusNormal"/>
              <w:jc w:val="center"/>
            </w:pPr>
            <w:r>
              <w:t>50</w:t>
            </w:r>
          </w:p>
        </w:tc>
      </w:tr>
      <w:tr w:rsidR="00212513">
        <w:tc>
          <w:tcPr>
            <w:tcW w:w="3118" w:type="dxa"/>
            <w:vMerge/>
          </w:tcPr>
          <w:p w:rsidR="00212513" w:rsidRDefault="00212513">
            <w:pPr>
              <w:pStyle w:val="ConsPlusNormal"/>
            </w:pPr>
          </w:p>
        </w:tc>
        <w:tc>
          <w:tcPr>
            <w:tcW w:w="2721" w:type="dxa"/>
          </w:tcPr>
          <w:p w:rsidR="00212513" w:rsidRDefault="00212513">
            <w:pPr>
              <w:pStyle w:val="ConsPlusNormal"/>
              <w:jc w:val="center"/>
            </w:pPr>
            <w:r>
              <w:t>Бетонная</w:t>
            </w:r>
          </w:p>
        </w:tc>
        <w:tc>
          <w:tcPr>
            <w:tcW w:w="1587" w:type="dxa"/>
          </w:tcPr>
          <w:p w:rsidR="00212513" w:rsidRDefault="00212513">
            <w:pPr>
              <w:pStyle w:val="ConsPlusNormal"/>
              <w:jc w:val="center"/>
            </w:pPr>
            <w:r>
              <w:t>50</w:t>
            </w:r>
          </w:p>
        </w:tc>
        <w:tc>
          <w:tcPr>
            <w:tcW w:w="1644" w:type="dxa"/>
          </w:tcPr>
          <w:p w:rsidR="00212513" w:rsidRDefault="00212513">
            <w:pPr>
              <w:pStyle w:val="ConsPlusNormal"/>
              <w:jc w:val="center"/>
            </w:pPr>
            <w:r>
              <w:t>30</w:t>
            </w:r>
          </w:p>
        </w:tc>
      </w:tr>
      <w:tr w:rsidR="00212513">
        <w:tc>
          <w:tcPr>
            <w:tcW w:w="3118" w:type="dxa"/>
            <w:vMerge w:val="restart"/>
          </w:tcPr>
          <w:p w:rsidR="00212513" w:rsidRDefault="00212513">
            <w:pPr>
              <w:pStyle w:val="ConsPlusNormal"/>
              <w:ind w:firstLine="283"/>
            </w:pPr>
            <w:r>
              <w:t>3 Опорные части</w:t>
            </w:r>
          </w:p>
        </w:tc>
        <w:tc>
          <w:tcPr>
            <w:tcW w:w="2721" w:type="dxa"/>
          </w:tcPr>
          <w:p w:rsidR="00212513" w:rsidRDefault="00212513">
            <w:pPr>
              <w:pStyle w:val="ConsPlusNormal"/>
              <w:jc w:val="center"/>
            </w:pPr>
            <w:r>
              <w:t>Эластомерная (резиновая и резинометаллическая)</w:t>
            </w:r>
          </w:p>
        </w:tc>
        <w:tc>
          <w:tcPr>
            <w:tcW w:w="1587" w:type="dxa"/>
          </w:tcPr>
          <w:p w:rsidR="00212513" w:rsidRDefault="00212513">
            <w:pPr>
              <w:pStyle w:val="ConsPlusNormal"/>
              <w:jc w:val="center"/>
            </w:pPr>
            <w:r>
              <w:t>20</w:t>
            </w:r>
          </w:p>
        </w:tc>
        <w:tc>
          <w:tcPr>
            <w:tcW w:w="1644" w:type="dxa"/>
          </w:tcPr>
          <w:p w:rsidR="00212513" w:rsidRDefault="00212513">
            <w:pPr>
              <w:pStyle w:val="ConsPlusNormal"/>
              <w:jc w:val="center"/>
            </w:pPr>
            <w:r>
              <w:t>-</w:t>
            </w:r>
          </w:p>
        </w:tc>
      </w:tr>
      <w:tr w:rsidR="00212513">
        <w:tc>
          <w:tcPr>
            <w:tcW w:w="3118" w:type="dxa"/>
            <w:vMerge/>
          </w:tcPr>
          <w:p w:rsidR="00212513" w:rsidRDefault="00212513">
            <w:pPr>
              <w:pStyle w:val="ConsPlusNormal"/>
            </w:pPr>
          </w:p>
        </w:tc>
        <w:tc>
          <w:tcPr>
            <w:tcW w:w="2721" w:type="dxa"/>
          </w:tcPr>
          <w:p w:rsidR="00212513" w:rsidRDefault="00212513">
            <w:pPr>
              <w:pStyle w:val="ConsPlusNormal"/>
              <w:jc w:val="center"/>
            </w:pPr>
            <w:r>
              <w:t>Эластомерная (резинофторопластовая)</w:t>
            </w:r>
          </w:p>
        </w:tc>
        <w:tc>
          <w:tcPr>
            <w:tcW w:w="1587" w:type="dxa"/>
          </w:tcPr>
          <w:p w:rsidR="00212513" w:rsidRDefault="00212513">
            <w:pPr>
              <w:pStyle w:val="ConsPlusNormal"/>
              <w:jc w:val="center"/>
            </w:pPr>
            <w:r>
              <w:t>40</w:t>
            </w:r>
          </w:p>
        </w:tc>
        <w:tc>
          <w:tcPr>
            <w:tcW w:w="1644" w:type="dxa"/>
          </w:tcPr>
          <w:p w:rsidR="00212513" w:rsidRDefault="00212513">
            <w:pPr>
              <w:pStyle w:val="ConsPlusNormal"/>
              <w:jc w:val="center"/>
            </w:pPr>
            <w:r>
              <w:t>20</w:t>
            </w:r>
          </w:p>
        </w:tc>
      </w:tr>
      <w:tr w:rsidR="00212513">
        <w:tc>
          <w:tcPr>
            <w:tcW w:w="3118" w:type="dxa"/>
            <w:vMerge/>
          </w:tcPr>
          <w:p w:rsidR="00212513" w:rsidRDefault="00212513">
            <w:pPr>
              <w:pStyle w:val="ConsPlusNormal"/>
            </w:pPr>
          </w:p>
        </w:tc>
        <w:tc>
          <w:tcPr>
            <w:tcW w:w="2721" w:type="dxa"/>
          </w:tcPr>
          <w:p w:rsidR="00212513" w:rsidRDefault="00212513">
            <w:pPr>
              <w:pStyle w:val="ConsPlusNormal"/>
              <w:jc w:val="center"/>
            </w:pPr>
            <w:r>
              <w:t>Стальные</w:t>
            </w:r>
          </w:p>
        </w:tc>
        <w:tc>
          <w:tcPr>
            <w:tcW w:w="3231" w:type="dxa"/>
            <w:gridSpan w:val="2"/>
          </w:tcPr>
          <w:p w:rsidR="00212513" w:rsidRDefault="00212513">
            <w:pPr>
              <w:pStyle w:val="ConsPlusNormal"/>
              <w:jc w:val="center"/>
            </w:pPr>
            <w:r>
              <w:t>Как для пролетных строений</w:t>
            </w:r>
          </w:p>
        </w:tc>
      </w:tr>
      <w:tr w:rsidR="00212513">
        <w:tc>
          <w:tcPr>
            <w:tcW w:w="3118" w:type="dxa"/>
            <w:vMerge/>
          </w:tcPr>
          <w:p w:rsidR="00212513" w:rsidRDefault="00212513">
            <w:pPr>
              <w:pStyle w:val="ConsPlusNormal"/>
            </w:pPr>
          </w:p>
        </w:tc>
        <w:tc>
          <w:tcPr>
            <w:tcW w:w="2721" w:type="dxa"/>
          </w:tcPr>
          <w:p w:rsidR="00212513" w:rsidRDefault="00212513">
            <w:pPr>
              <w:pStyle w:val="ConsPlusNormal"/>
              <w:jc w:val="center"/>
            </w:pPr>
            <w:r>
              <w:t>Прочие</w:t>
            </w:r>
          </w:p>
        </w:tc>
        <w:tc>
          <w:tcPr>
            <w:tcW w:w="1587" w:type="dxa"/>
          </w:tcPr>
          <w:p w:rsidR="00212513" w:rsidRDefault="00212513">
            <w:pPr>
              <w:pStyle w:val="ConsPlusNormal"/>
              <w:jc w:val="center"/>
            </w:pPr>
            <w:r>
              <w:t>50</w:t>
            </w:r>
          </w:p>
        </w:tc>
        <w:tc>
          <w:tcPr>
            <w:tcW w:w="1644" w:type="dxa"/>
          </w:tcPr>
          <w:p w:rsidR="00212513" w:rsidRDefault="00212513">
            <w:pPr>
              <w:pStyle w:val="ConsPlusNormal"/>
              <w:jc w:val="center"/>
            </w:pPr>
            <w:r>
              <w:t>20</w:t>
            </w:r>
          </w:p>
        </w:tc>
      </w:tr>
      <w:tr w:rsidR="00212513">
        <w:tblPrEx>
          <w:tblBorders>
            <w:insideH w:val="nil"/>
          </w:tblBorders>
        </w:tblPrEx>
        <w:tc>
          <w:tcPr>
            <w:tcW w:w="3118" w:type="dxa"/>
            <w:tcBorders>
              <w:bottom w:val="nil"/>
            </w:tcBorders>
          </w:tcPr>
          <w:p w:rsidR="00212513" w:rsidRDefault="00212513">
            <w:pPr>
              <w:pStyle w:val="ConsPlusNormal"/>
              <w:ind w:firstLine="283"/>
            </w:pPr>
            <w:r>
              <w:t>4 Мостовое полотно мостовых сооружений:</w:t>
            </w:r>
          </w:p>
        </w:tc>
        <w:tc>
          <w:tcPr>
            <w:tcW w:w="2721" w:type="dxa"/>
            <w:tcBorders>
              <w:bottom w:val="nil"/>
            </w:tcBorders>
          </w:tcPr>
          <w:p w:rsidR="00212513" w:rsidRDefault="00212513">
            <w:pPr>
              <w:pStyle w:val="ConsPlusNormal"/>
            </w:pPr>
          </w:p>
        </w:tc>
        <w:tc>
          <w:tcPr>
            <w:tcW w:w="1587" w:type="dxa"/>
            <w:tcBorders>
              <w:bottom w:val="nil"/>
            </w:tcBorders>
          </w:tcPr>
          <w:p w:rsidR="00212513" w:rsidRDefault="00212513">
            <w:pPr>
              <w:pStyle w:val="ConsPlusNormal"/>
            </w:pPr>
          </w:p>
        </w:tc>
        <w:tc>
          <w:tcPr>
            <w:tcW w:w="1644" w:type="dxa"/>
            <w:tcBorders>
              <w:bottom w:val="nil"/>
            </w:tcBorders>
          </w:tcPr>
          <w:p w:rsidR="00212513" w:rsidRDefault="00212513">
            <w:pPr>
              <w:pStyle w:val="ConsPlusNormal"/>
            </w:pPr>
          </w:p>
        </w:tc>
      </w:tr>
      <w:tr w:rsidR="00212513">
        <w:tblPrEx>
          <w:tblBorders>
            <w:insideH w:val="nil"/>
          </w:tblBorders>
        </w:tblPrEx>
        <w:tc>
          <w:tcPr>
            <w:tcW w:w="3118" w:type="dxa"/>
            <w:tcBorders>
              <w:top w:val="nil"/>
            </w:tcBorders>
          </w:tcPr>
          <w:p w:rsidR="00212513" w:rsidRDefault="00212513">
            <w:pPr>
              <w:pStyle w:val="ConsPlusNormal"/>
              <w:ind w:firstLine="283"/>
            </w:pPr>
            <w:r>
              <w:t>а) железнодорожных</w:t>
            </w:r>
          </w:p>
        </w:tc>
        <w:tc>
          <w:tcPr>
            <w:tcW w:w="2721" w:type="dxa"/>
            <w:tcBorders>
              <w:top w:val="nil"/>
            </w:tcBorders>
          </w:tcPr>
          <w:p w:rsidR="00212513" w:rsidRDefault="00212513">
            <w:pPr>
              <w:pStyle w:val="ConsPlusNormal"/>
            </w:pPr>
          </w:p>
        </w:tc>
        <w:tc>
          <w:tcPr>
            <w:tcW w:w="1587" w:type="dxa"/>
            <w:tcBorders>
              <w:top w:val="nil"/>
            </w:tcBorders>
          </w:tcPr>
          <w:p w:rsidR="00212513" w:rsidRDefault="00212513">
            <w:pPr>
              <w:pStyle w:val="ConsPlusNormal"/>
              <w:jc w:val="center"/>
            </w:pPr>
            <w:r>
              <w:t>20</w:t>
            </w:r>
          </w:p>
        </w:tc>
        <w:tc>
          <w:tcPr>
            <w:tcW w:w="1644" w:type="dxa"/>
            <w:tcBorders>
              <w:top w:val="nil"/>
            </w:tcBorders>
          </w:tcPr>
          <w:p w:rsidR="00212513" w:rsidRDefault="00212513">
            <w:pPr>
              <w:pStyle w:val="ConsPlusNormal"/>
              <w:jc w:val="center"/>
            </w:pPr>
            <w:r>
              <w:t>10</w:t>
            </w:r>
          </w:p>
        </w:tc>
      </w:tr>
      <w:tr w:rsidR="00212513">
        <w:tc>
          <w:tcPr>
            <w:tcW w:w="3118" w:type="dxa"/>
            <w:vMerge w:val="restart"/>
          </w:tcPr>
          <w:p w:rsidR="00212513" w:rsidRDefault="00212513">
            <w:pPr>
              <w:pStyle w:val="ConsPlusNormal"/>
              <w:ind w:firstLine="283"/>
            </w:pPr>
            <w:r>
              <w:t>б) автодорожных и городских</w:t>
            </w:r>
          </w:p>
        </w:tc>
        <w:tc>
          <w:tcPr>
            <w:tcW w:w="2721" w:type="dxa"/>
          </w:tcPr>
          <w:p w:rsidR="00212513" w:rsidRDefault="00212513">
            <w:pPr>
              <w:pStyle w:val="ConsPlusNormal"/>
              <w:jc w:val="center"/>
            </w:pPr>
            <w:r>
              <w:t>Покрытие</w:t>
            </w:r>
          </w:p>
          <w:p w:rsidR="00212513" w:rsidRDefault="00212513">
            <w:pPr>
              <w:pStyle w:val="ConsPlusNormal"/>
              <w:jc w:val="center"/>
            </w:pPr>
            <w:r>
              <w:t>Сопряжение с насыпью</w:t>
            </w:r>
          </w:p>
          <w:p w:rsidR="00212513" w:rsidRDefault="00212513">
            <w:pPr>
              <w:pStyle w:val="ConsPlusNormal"/>
              <w:jc w:val="center"/>
            </w:pPr>
            <w:r>
              <w:t>Система водоотвода</w:t>
            </w:r>
          </w:p>
          <w:p w:rsidR="00212513" w:rsidRDefault="00212513">
            <w:pPr>
              <w:pStyle w:val="ConsPlusNormal"/>
              <w:jc w:val="center"/>
            </w:pPr>
            <w:r>
              <w:t>Ограждения ездового полотна Деформационные швы</w:t>
            </w:r>
          </w:p>
        </w:tc>
        <w:tc>
          <w:tcPr>
            <w:tcW w:w="1587" w:type="dxa"/>
            <w:vAlign w:val="center"/>
          </w:tcPr>
          <w:p w:rsidR="00212513" w:rsidRDefault="00212513">
            <w:pPr>
              <w:pStyle w:val="ConsPlusNormal"/>
              <w:jc w:val="center"/>
            </w:pPr>
            <w:r>
              <w:t>20</w:t>
            </w:r>
          </w:p>
        </w:tc>
        <w:tc>
          <w:tcPr>
            <w:tcW w:w="1644" w:type="dxa"/>
            <w:vAlign w:val="center"/>
          </w:tcPr>
          <w:p w:rsidR="00212513" w:rsidRDefault="00212513">
            <w:pPr>
              <w:pStyle w:val="ConsPlusNormal"/>
              <w:jc w:val="center"/>
            </w:pPr>
            <w:r>
              <w:t>10</w:t>
            </w:r>
          </w:p>
        </w:tc>
      </w:tr>
      <w:tr w:rsidR="00212513">
        <w:tc>
          <w:tcPr>
            <w:tcW w:w="3118" w:type="dxa"/>
            <w:vMerge/>
          </w:tcPr>
          <w:p w:rsidR="00212513" w:rsidRDefault="00212513">
            <w:pPr>
              <w:pStyle w:val="ConsPlusNormal"/>
            </w:pPr>
          </w:p>
        </w:tc>
        <w:tc>
          <w:tcPr>
            <w:tcW w:w="2721" w:type="dxa"/>
          </w:tcPr>
          <w:p w:rsidR="00212513" w:rsidRDefault="00212513">
            <w:pPr>
              <w:pStyle w:val="ConsPlusNormal"/>
              <w:jc w:val="center"/>
            </w:pPr>
            <w:r>
              <w:t>Гидроизоляция</w:t>
            </w:r>
          </w:p>
          <w:p w:rsidR="00212513" w:rsidRDefault="00212513">
            <w:pPr>
              <w:pStyle w:val="ConsPlusNormal"/>
              <w:jc w:val="center"/>
            </w:pPr>
            <w:r>
              <w:t>Тротуары (конструкции)</w:t>
            </w:r>
          </w:p>
          <w:p w:rsidR="00212513" w:rsidRDefault="00212513">
            <w:pPr>
              <w:pStyle w:val="ConsPlusNormal"/>
              <w:jc w:val="center"/>
            </w:pPr>
            <w:r>
              <w:t>Ограждение перильное</w:t>
            </w:r>
          </w:p>
        </w:tc>
        <w:tc>
          <w:tcPr>
            <w:tcW w:w="1587" w:type="dxa"/>
            <w:vAlign w:val="center"/>
          </w:tcPr>
          <w:p w:rsidR="00212513" w:rsidRDefault="00212513">
            <w:pPr>
              <w:pStyle w:val="ConsPlusNormal"/>
              <w:jc w:val="center"/>
            </w:pPr>
            <w:r>
              <w:t>40</w:t>
            </w:r>
          </w:p>
        </w:tc>
        <w:tc>
          <w:tcPr>
            <w:tcW w:w="1644" w:type="dxa"/>
            <w:vAlign w:val="center"/>
          </w:tcPr>
          <w:p w:rsidR="00212513" w:rsidRDefault="00212513">
            <w:pPr>
              <w:pStyle w:val="ConsPlusNormal"/>
              <w:jc w:val="center"/>
            </w:pPr>
            <w:r>
              <w:t>20</w:t>
            </w:r>
          </w:p>
        </w:tc>
      </w:tr>
      <w:tr w:rsidR="00212513">
        <w:tc>
          <w:tcPr>
            <w:tcW w:w="3118" w:type="dxa"/>
            <w:vMerge w:val="restart"/>
          </w:tcPr>
          <w:p w:rsidR="00212513" w:rsidRDefault="00212513">
            <w:pPr>
              <w:pStyle w:val="ConsPlusNormal"/>
              <w:ind w:firstLine="283"/>
            </w:pPr>
            <w:r>
              <w:t>в) деревянные элементы мостового полотна</w:t>
            </w:r>
          </w:p>
        </w:tc>
        <w:tc>
          <w:tcPr>
            <w:tcW w:w="2721" w:type="dxa"/>
          </w:tcPr>
          <w:p w:rsidR="00212513" w:rsidRDefault="00212513">
            <w:pPr>
              <w:pStyle w:val="ConsPlusNormal"/>
              <w:jc w:val="center"/>
            </w:pPr>
            <w:r>
              <w:t>Настил автодорожных мостовых сооружений</w:t>
            </w:r>
          </w:p>
        </w:tc>
        <w:tc>
          <w:tcPr>
            <w:tcW w:w="1587" w:type="dxa"/>
          </w:tcPr>
          <w:p w:rsidR="00212513" w:rsidRDefault="00212513">
            <w:pPr>
              <w:pStyle w:val="ConsPlusNormal"/>
              <w:jc w:val="center"/>
            </w:pPr>
            <w:r>
              <w:t>5</w:t>
            </w:r>
          </w:p>
        </w:tc>
        <w:tc>
          <w:tcPr>
            <w:tcW w:w="1644" w:type="dxa"/>
          </w:tcPr>
          <w:p w:rsidR="00212513" w:rsidRDefault="00212513">
            <w:pPr>
              <w:pStyle w:val="ConsPlusNormal"/>
              <w:jc w:val="center"/>
            </w:pPr>
            <w:r>
              <w:t>3</w:t>
            </w:r>
          </w:p>
        </w:tc>
      </w:tr>
      <w:tr w:rsidR="00212513">
        <w:tc>
          <w:tcPr>
            <w:tcW w:w="3118" w:type="dxa"/>
            <w:vMerge/>
          </w:tcPr>
          <w:p w:rsidR="00212513" w:rsidRDefault="00212513">
            <w:pPr>
              <w:pStyle w:val="ConsPlusNormal"/>
            </w:pPr>
          </w:p>
        </w:tc>
        <w:tc>
          <w:tcPr>
            <w:tcW w:w="2721" w:type="dxa"/>
          </w:tcPr>
          <w:p w:rsidR="00212513" w:rsidRDefault="00212513">
            <w:pPr>
              <w:pStyle w:val="ConsPlusNormal"/>
              <w:jc w:val="center"/>
            </w:pPr>
            <w:r>
              <w:t>Другие элементы мостового полотна</w:t>
            </w:r>
          </w:p>
        </w:tc>
        <w:tc>
          <w:tcPr>
            <w:tcW w:w="1587" w:type="dxa"/>
          </w:tcPr>
          <w:p w:rsidR="00212513" w:rsidRDefault="00212513">
            <w:pPr>
              <w:pStyle w:val="ConsPlusNormal"/>
              <w:jc w:val="center"/>
            </w:pPr>
            <w:r>
              <w:t>10</w:t>
            </w:r>
          </w:p>
        </w:tc>
        <w:tc>
          <w:tcPr>
            <w:tcW w:w="1644" w:type="dxa"/>
          </w:tcPr>
          <w:p w:rsidR="00212513" w:rsidRDefault="00212513">
            <w:pPr>
              <w:pStyle w:val="ConsPlusNormal"/>
              <w:jc w:val="center"/>
            </w:pPr>
            <w:r>
              <w:t>5</w:t>
            </w:r>
          </w:p>
        </w:tc>
      </w:tr>
      <w:tr w:rsidR="00212513">
        <w:tc>
          <w:tcPr>
            <w:tcW w:w="3118" w:type="dxa"/>
          </w:tcPr>
          <w:p w:rsidR="00212513" w:rsidRDefault="00212513">
            <w:pPr>
              <w:pStyle w:val="ConsPlusNormal"/>
              <w:ind w:firstLine="283"/>
            </w:pPr>
            <w:r>
              <w:t>г) элементы мостового полотна из полимерных композитов</w:t>
            </w:r>
          </w:p>
        </w:tc>
        <w:tc>
          <w:tcPr>
            <w:tcW w:w="2721" w:type="dxa"/>
          </w:tcPr>
          <w:p w:rsidR="00212513" w:rsidRDefault="00212513">
            <w:pPr>
              <w:pStyle w:val="ConsPlusNormal"/>
              <w:jc w:val="center"/>
            </w:pPr>
            <w:r>
              <w:t>-</w:t>
            </w:r>
          </w:p>
        </w:tc>
        <w:tc>
          <w:tcPr>
            <w:tcW w:w="1587" w:type="dxa"/>
          </w:tcPr>
          <w:p w:rsidR="00212513" w:rsidRDefault="00212513">
            <w:pPr>
              <w:pStyle w:val="ConsPlusNormal"/>
              <w:jc w:val="center"/>
            </w:pPr>
            <w:r>
              <w:t>50</w:t>
            </w:r>
          </w:p>
        </w:tc>
        <w:tc>
          <w:tcPr>
            <w:tcW w:w="1644" w:type="dxa"/>
          </w:tcPr>
          <w:p w:rsidR="00212513" w:rsidRDefault="00212513">
            <w:pPr>
              <w:pStyle w:val="ConsPlusNormal"/>
              <w:jc w:val="center"/>
            </w:pPr>
            <w:r>
              <w:t>50</w:t>
            </w:r>
          </w:p>
        </w:tc>
      </w:tr>
      <w:tr w:rsidR="00212513">
        <w:tc>
          <w:tcPr>
            <w:tcW w:w="3118" w:type="dxa"/>
          </w:tcPr>
          <w:p w:rsidR="00212513" w:rsidRDefault="00212513">
            <w:pPr>
              <w:pStyle w:val="ConsPlusNormal"/>
              <w:ind w:firstLine="283"/>
            </w:pPr>
            <w:r>
              <w:t>5 Водопропускные трубы</w:t>
            </w:r>
          </w:p>
        </w:tc>
        <w:tc>
          <w:tcPr>
            <w:tcW w:w="2721" w:type="dxa"/>
          </w:tcPr>
          <w:p w:rsidR="00212513" w:rsidRDefault="00212513">
            <w:pPr>
              <w:pStyle w:val="ConsPlusNormal"/>
              <w:jc w:val="center"/>
            </w:pPr>
            <w:r>
              <w:t>-</w:t>
            </w:r>
          </w:p>
        </w:tc>
        <w:tc>
          <w:tcPr>
            <w:tcW w:w="1587" w:type="dxa"/>
          </w:tcPr>
          <w:p w:rsidR="00212513" w:rsidRDefault="00212513">
            <w:pPr>
              <w:pStyle w:val="ConsPlusNormal"/>
              <w:jc w:val="center"/>
            </w:pPr>
            <w:r>
              <w:t>50</w:t>
            </w:r>
          </w:p>
        </w:tc>
        <w:tc>
          <w:tcPr>
            <w:tcW w:w="1644" w:type="dxa"/>
          </w:tcPr>
          <w:p w:rsidR="00212513" w:rsidRDefault="00212513">
            <w:pPr>
              <w:pStyle w:val="ConsPlusNormal"/>
              <w:jc w:val="center"/>
            </w:pPr>
            <w:r>
              <w:t>30</w:t>
            </w:r>
          </w:p>
        </w:tc>
      </w:tr>
      <w:tr w:rsidR="00212513">
        <w:tc>
          <w:tcPr>
            <w:tcW w:w="3118" w:type="dxa"/>
          </w:tcPr>
          <w:p w:rsidR="00212513" w:rsidRDefault="00212513">
            <w:pPr>
              <w:pStyle w:val="ConsPlusNormal"/>
              <w:ind w:firstLine="283"/>
            </w:pPr>
            <w:r>
              <w:t>6 Подпорные стенки</w:t>
            </w:r>
          </w:p>
        </w:tc>
        <w:tc>
          <w:tcPr>
            <w:tcW w:w="2721" w:type="dxa"/>
          </w:tcPr>
          <w:p w:rsidR="00212513" w:rsidRDefault="00212513">
            <w:pPr>
              <w:pStyle w:val="ConsPlusNormal"/>
              <w:jc w:val="center"/>
            </w:pPr>
            <w:r>
              <w:t>-</w:t>
            </w:r>
          </w:p>
        </w:tc>
        <w:tc>
          <w:tcPr>
            <w:tcW w:w="1587" w:type="dxa"/>
          </w:tcPr>
          <w:p w:rsidR="00212513" w:rsidRDefault="00212513">
            <w:pPr>
              <w:pStyle w:val="ConsPlusNormal"/>
              <w:jc w:val="center"/>
            </w:pPr>
            <w:r>
              <w:t>100</w:t>
            </w:r>
          </w:p>
        </w:tc>
        <w:tc>
          <w:tcPr>
            <w:tcW w:w="1644" w:type="dxa"/>
          </w:tcPr>
          <w:p w:rsidR="00212513" w:rsidRDefault="00212513">
            <w:pPr>
              <w:pStyle w:val="ConsPlusNormal"/>
              <w:jc w:val="center"/>
            </w:pPr>
            <w:r>
              <w:t>50</w:t>
            </w:r>
          </w:p>
        </w:tc>
      </w:tr>
      <w:tr w:rsidR="00212513">
        <w:tc>
          <w:tcPr>
            <w:tcW w:w="3118" w:type="dxa"/>
            <w:tcBorders>
              <w:bottom w:val="nil"/>
            </w:tcBorders>
          </w:tcPr>
          <w:p w:rsidR="00212513" w:rsidRDefault="00212513">
            <w:pPr>
              <w:pStyle w:val="ConsPlusNormal"/>
              <w:ind w:firstLine="283"/>
            </w:pPr>
            <w:r>
              <w:t>7 Эксплуатационные обустройства мостовых сооружений:</w:t>
            </w:r>
          </w:p>
        </w:tc>
        <w:tc>
          <w:tcPr>
            <w:tcW w:w="2721" w:type="dxa"/>
            <w:vMerge w:val="restart"/>
            <w:vAlign w:val="center"/>
          </w:tcPr>
          <w:p w:rsidR="00212513" w:rsidRDefault="00212513">
            <w:pPr>
              <w:pStyle w:val="ConsPlusNormal"/>
              <w:jc w:val="center"/>
            </w:pPr>
            <w:r>
              <w:t>-</w:t>
            </w:r>
          </w:p>
        </w:tc>
        <w:tc>
          <w:tcPr>
            <w:tcW w:w="1587" w:type="dxa"/>
            <w:tcBorders>
              <w:bottom w:val="nil"/>
            </w:tcBorders>
          </w:tcPr>
          <w:p w:rsidR="00212513" w:rsidRDefault="00212513">
            <w:pPr>
              <w:pStyle w:val="ConsPlusNormal"/>
            </w:pPr>
          </w:p>
        </w:tc>
        <w:tc>
          <w:tcPr>
            <w:tcW w:w="1644" w:type="dxa"/>
            <w:tcBorders>
              <w:bottom w:val="nil"/>
            </w:tcBorders>
          </w:tcPr>
          <w:p w:rsidR="00212513" w:rsidRDefault="00212513">
            <w:pPr>
              <w:pStyle w:val="ConsPlusNormal"/>
            </w:pPr>
          </w:p>
        </w:tc>
      </w:tr>
      <w:tr w:rsidR="00212513">
        <w:tblPrEx>
          <w:tblBorders>
            <w:insideH w:val="nil"/>
          </w:tblBorders>
        </w:tblPrEx>
        <w:tc>
          <w:tcPr>
            <w:tcW w:w="3118" w:type="dxa"/>
            <w:tcBorders>
              <w:top w:val="nil"/>
              <w:bottom w:val="nil"/>
            </w:tcBorders>
          </w:tcPr>
          <w:p w:rsidR="00212513" w:rsidRDefault="00212513">
            <w:pPr>
              <w:pStyle w:val="ConsPlusNormal"/>
              <w:ind w:firstLine="283"/>
            </w:pPr>
            <w:r>
              <w:t>а) железнодорожных</w:t>
            </w:r>
          </w:p>
        </w:tc>
        <w:tc>
          <w:tcPr>
            <w:tcW w:w="2721" w:type="dxa"/>
            <w:vMerge/>
          </w:tcPr>
          <w:p w:rsidR="00212513" w:rsidRDefault="00212513">
            <w:pPr>
              <w:pStyle w:val="ConsPlusNormal"/>
            </w:pPr>
          </w:p>
        </w:tc>
        <w:tc>
          <w:tcPr>
            <w:tcW w:w="1587" w:type="dxa"/>
            <w:tcBorders>
              <w:top w:val="nil"/>
            </w:tcBorders>
          </w:tcPr>
          <w:p w:rsidR="00212513" w:rsidRDefault="00212513">
            <w:pPr>
              <w:pStyle w:val="ConsPlusNormal"/>
              <w:jc w:val="center"/>
            </w:pPr>
            <w:r>
              <w:t>50</w:t>
            </w:r>
          </w:p>
        </w:tc>
        <w:tc>
          <w:tcPr>
            <w:tcW w:w="1644" w:type="dxa"/>
            <w:tcBorders>
              <w:top w:val="nil"/>
            </w:tcBorders>
          </w:tcPr>
          <w:p w:rsidR="00212513" w:rsidRDefault="00212513">
            <w:pPr>
              <w:pStyle w:val="ConsPlusNormal"/>
              <w:jc w:val="center"/>
            </w:pPr>
            <w:r>
              <w:t>25</w:t>
            </w:r>
          </w:p>
        </w:tc>
      </w:tr>
      <w:tr w:rsidR="00212513">
        <w:tc>
          <w:tcPr>
            <w:tcW w:w="3118" w:type="dxa"/>
            <w:tcBorders>
              <w:top w:val="nil"/>
            </w:tcBorders>
          </w:tcPr>
          <w:p w:rsidR="00212513" w:rsidRDefault="00212513">
            <w:pPr>
              <w:pStyle w:val="ConsPlusNormal"/>
              <w:ind w:firstLine="283"/>
            </w:pPr>
            <w:r>
              <w:t>б) автодорожных и городских</w:t>
            </w:r>
          </w:p>
        </w:tc>
        <w:tc>
          <w:tcPr>
            <w:tcW w:w="2721" w:type="dxa"/>
            <w:vMerge/>
          </w:tcPr>
          <w:p w:rsidR="00212513" w:rsidRDefault="00212513">
            <w:pPr>
              <w:pStyle w:val="ConsPlusNormal"/>
            </w:pPr>
          </w:p>
        </w:tc>
        <w:tc>
          <w:tcPr>
            <w:tcW w:w="1587" w:type="dxa"/>
          </w:tcPr>
          <w:p w:rsidR="00212513" w:rsidRDefault="00212513">
            <w:pPr>
              <w:pStyle w:val="ConsPlusNormal"/>
              <w:jc w:val="center"/>
            </w:pPr>
            <w:r>
              <w:t>30</w:t>
            </w:r>
          </w:p>
        </w:tc>
        <w:tc>
          <w:tcPr>
            <w:tcW w:w="1644" w:type="dxa"/>
          </w:tcPr>
          <w:p w:rsidR="00212513" w:rsidRDefault="00212513">
            <w:pPr>
              <w:pStyle w:val="ConsPlusNormal"/>
              <w:jc w:val="center"/>
            </w:pPr>
            <w:r>
              <w:t>15</w:t>
            </w:r>
          </w:p>
        </w:tc>
      </w:tr>
    </w:tbl>
    <w:p w:rsidR="00212513" w:rsidRDefault="00212513">
      <w:pPr>
        <w:pStyle w:val="ConsPlusNormal"/>
        <w:jc w:val="both"/>
      </w:pPr>
    </w:p>
    <w:p w:rsidR="00212513" w:rsidRDefault="00212513">
      <w:pPr>
        <w:pStyle w:val="ConsPlusNormal"/>
        <w:jc w:val="both"/>
      </w:pPr>
    </w:p>
    <w:p w:rsidR="00212513" w:rsidRDefault="00212513">
      <w:pPr>
        <w:pStyle w:val="ConsPlusNormal"/>
        <w:jc w:val="both"/>
      </w:pPr>
    </w:p>
    <w:p w:rsidR="00212513" w:rsidRDefault="00212513">
      <w:pPr>
        <w:pStyle w:val="ConsPlusNormal"/>
        <w:jc w:val="both"/>
      </w:pPr>
    </w:p>
    <w:p w:rsidR="00212513" w:rsidRDefault="00212513">
      <w:pPr>
        <w:pStyle w:val="ConsPlusNormal"/>
        <w:jc w:val="both"/>
      </w:pPr>
    </w:p>
    <w:p w:rsidR="00212513" w:rsidRDefault="00212513">
      <w:pPr>
        <w:pStyle w:val="ConsPlusNormal"/>
        <w:jc w:val="right"/>
        <w:outlineLvl w:val="0"/>
      </w:pPr>
      <w:r>
        <w:rPr>
          <w:b/>
        </w:rPr>
        <w:t>Приложение 7</w:t>
      </w:r>
    </w:p>
    <w:p w:rsidR="00212513" w:rsidRDefault="00212513">
      <w:pPr>
        <w:pStyle w:val="ConsPlusNormal"/>
        <w:jc w:val="right"/>
      </w:pPr>
      <w:r>
        <w:rPr>
          <w:b/>
        </w:rPr>
        <w:t>(рекомендуемое)</w:t>
      </w:r>
    </w:p>
    <w:p w:rsidR="00212513" w:rsidRDefault="00212513">
      <w:pPr>
        <w:pStyle w:val="ConsPlusNormal"/>
        <w:jc w:val="both"/>
      </w:pPr>
    </w:p>
    <w:p w:rsidR="00212513" w:rsidRDefault="00212513">
      <w:pPr>
        <w:pStyle w:val="ConsPlusTitle"/>
        <w:jc w:val="center"/>
      </w:pPr>
      <w:bookmarkStart w:id="622" w:name="P18626"/>
      <w:bookmarkEnd w:id="622"/>
      <w:r>
        <w:t>ПРОВЕРКА ЖИВУЧЕСТИ МОСТОВ</w:t>
      </w:r>
    </w:p>
    <w:p w:rsidR="00212513" w:rsidRDefault="00212513">
      <w:pPr>
        <w:pStyle w:val="ConsPlusNormal"/>
        <w:jc w:val="center"/>
      </w:pPr>
    </w:p>
    <w:p w:rsidR="00212513" w:rsidRDefault="00212513">
      <w:pPr>
        <w:pStyle w:val="ConsPlusNormal"/>
        <w:jc w:val="center"/>
      </w:pPr>
      <w:r>
        <w:t xml:space="preserve">(Приложение 7 введено </w:t>
      </w:r>
      <w:hyperlink r:id="rId4007">
        <w:r>
          <w:rPr>
            <w:color w:val="0000FF"/>
          </w:rPr>
          <w:t>Изменением N 1</w:t>
        </w:r>
      </w:hyperlink>
      <w:r>
        <w:t>, утв. Приказом</w:t>
      </w:r>
    </w:p>
    <w:p w:rsidR="00212513" w:rsidRDefault="00212513">
      <w:pPr>
        <w:pStyle w:val="ConsPlusNormal"/>
        <w:jc w:val="center"/>
      </w:pPr>
      <w:r>
        <w:t>Минстроя России от 03.12.2016 N 879/пр)</w:t>
      </w:r>
    </w:p>
    <w:p w:rsidR="00212513" w:rsidRDefault="00212513">
      <w:pPr>
        <w:pStyle w:val="ConsPlusNormal"/>
        <w:jc w:val="center"/>
      </w:pPr>
    </w:p>
    <w:p w:rsidR="00212513" w:rsidRDefault="00212513">
      <w:pPr>
        <w:pStyle w:val="ConsPlusNormal"/>
        <w:ind w:firstLine="540"/>
        <w:jc w:val="both"/>
      </w:pPr>
      <w:r>
        <w:t xml:space="preserve">7.1 Мостовые сооружения категории КС-3 по </w:t>
      </w:r>
      <w:hyperlink r:id="rId4008">
        <w:r>
          <w:rPr>
            <w:color w:val="0000FF"/>
          </w:rPr>
          <w:t>ГОСТ 27751</w:t>
        </w:r>
      </w:hyperlink>
      <w:r>
        <w:t xml:space="preserve"> следует проверять на живучесть (проверка на прочность и устойчивость формы и положения остальных элементов при выходе из строя отдельных конструктивных элементов).</w:t>
      </w:r>
    </w:p>
    <w:p w:rsidR="00212513" w:rsidRDefault="00212513">
      <w:pPr>
        <w:pStyle w:val="ConsPlusNormal"/>
        <w:jc w:val="both"/>
      </w:pPr>
      <w:r>
        <w:t xml:space="preserve">(в ред. </w:t>
      </w:r>
      <w:hyperlink r:id="rId4009">
        <w:r>
          <w:rPr>
            <w:color w:val="0000FF"/>
          </w:rPr>
          <w:t>Изменения N 4</w:t>
        </w:r>
      </w:hyperlink>
      <w:r>
        <w:t>, утв. Приказом Минстроя России от 30.05.2024 N 361/пр)</w:t>
      </w:r>
    </w:p>
    <w:p w:rsidR="00212513" w:rsidRDefault="00212513">
      <w:pPr>
        <w:pStyle w:val="ConsPlusNormal"/>
        <w:spacing w:before="220"/>
        <w:ind w:firstLine="540"/>
        <w:jc w:val="both"/>
      </w:pPr>
      <w:r>
        <w:t>При этом принимаются следующие значения расчетных коэффициентов:</w:t>
      </w:r>
    </w:p>
    <w:p w:rsidR="00212513" w:rsidRDefault="00212513">
      <w:pPr>
        <w:pStyle w:val="ConsPlusNormal"/>
        <w:spacing w:before="220"/>
        <w:ind w:firstLine="540"/>
        <w:jc w:val="both"/>
      </w:pPr>
      <w:r>
        <w:t>- коэффициенты надежности ко всем нагрузкам - 1,0;</w:t>
      </w:r>
    </w:p>
    <w:p w:rsidR="00212513" w:rsidRDefault="00212513">
      <w:pPr>
        <w:pStyle w:val="ConsPlusNormal"/>
        <w:spacing w:before="220"/>
        <w:ind w:firstLine="540"/>
        <w:jc w:val="both"/>
      </w:pPr>
      <w:r>
        <w:t>- динамический коэффициент к нагрузке АК - 1,0.</w:t>
      </w:r>
    </w:p>
    <w:p w:rsidR="00212513" w:rsidRDefault="00212513">
      <w:pPr>
        <w:pStyle w:val="ConsPlusNormal"/>
        <w:spacing w:before="220"/>
        <w:ind w:firstLine="540"/>
        <w:jc w:val="both"/>
      </w:pPr>
      <w:r>
        <w:t>7.2 При проверке мостовых сооружений на живучесть должны быть рассмотрены следующие случаи:</w:t>
      </w:r>
    </w:p>
    <w:p w:rsidR="00212513" w:rsidRDefault="00212513">
      <w:pPr>
        <w:pStyle w:val="ConsPlusNormal"/>
        <w:spacing w:before="220"/>
        <w:ind w:firstLine="540"/>
        <w:jc w:val="both"/>
      </w:pPr>
      <w:r>
        <w:t>а) обрушение пролетного строения в одном из пролетов или возникновение в этом пролетном строении пластического шарнира в продольном относительно оси моста направлении при отсутствии на мосту подвижных нагрузок;</w:t>
      </w:r>
    </w:p>
    <w:p w:rsidR="00212513" w:rsidRDefault="00212513">
      <w:pPr>
        <w:pStyle w:val="ConsPlusNormal"/>
        <w:spacing w:before="220"/>
        <w:ind w:firstLine="540"/>
        <w:jc w:val="both"/>
      </w:pPr>
      <w:r>
        <w:t>б) обрушение опоры и, как следствие, примыкающих к ней частей неразрезного пролетного строения при отсутствии на мосту подвижных нагрузок;</w:t>
      </w:r>
    </w:p>
    <w:p w:rsidR="00212513" w:rsidRDefault="00212513">
      <w:pPr>
        <w:pStyle w:val="ConsPlusNormal"/>
        <w:spacing w:before="220"/>
        <w:ind w:firstLine="540"/>
        <w:jc w:val="both"/>
      </w:pPr>
      <w:r>
        <w:t>в) выход из строя одной из стоек стоечной опоры;</w:t>
      </w:r>
    </w:p>
    <w:p w:rsidR="00212513" w:rsidRDefault="00212513">
      <w:pPr>
        <w:pStyle w:val="ConsPlusNormal"/>
        <w:spacing w:before="220"/>
        <w:ind w:firstLine="540"/>
        <w:jc w:val="both"/>
      </w:pPr>
      <w:r>
        <w:t xml:space="preserve">г) выход из строя крайней балки в балочном пролетном строении (при этом усилия от </w:t>
      </w:r>
      <w:r>
        <w:lastRenderedPageBreak/>
        <w:t>временных нагрузок принимают с коэффициентом 0,5);</w:t>
      </w:r>
    </w:p>
    <w:p w:rsidR="00212513" w:rsidRDefault="00212513">
      <w:pPr>
        <w:pStyle w:val="ConsPlusNormal"/>
        <w:spacing w:before="220"/>
        <w:ind w:firstLine="540"/>
        <w:jc w:val="both"/>
      </w:pPr>
      <w:r>
        <w:t>д) выход из строя одного из элементов решетки сквозного пролетного строения (усилия от временных нагрузок принимают с коэффициентом 0,5).</w:t>
      </w:r>
    </w:p>
    <w:p w:rsidR="00212513" w:rsidRDefault="00212513">
      <w:pPr>
        <w:pStyle w:val="ConsPlusNormal"/>
        <w:spacing w:before="220"/>
        <w:ind w:firstLine="540"/>
        <w:jc w:val="both"/>
      </w:pPr>
      <w:r>
        <w:t>7.3 В мостах с гибкими несущими элементами (вантовые, висячие, экстрадозные, арки с гибкими связями) следует выполнять проверки на разрыв гибких элементов:</w:t>
      </w:r>
    </w:p>
    <w:p w:rsidR="00212513" w:rsidRDefault="00212513">
      <w:pPr>
        <w:pStyle w:val="ConsPlusNormal"/>
        <w:spacing w:before="220"/>
        <w:ind w:firstLine="540"/>
        <w:jc w:val="both"/>
      </w:pPr>
      <w:r>
        <w:t>- разрыв одного гибкого элемента (усилия от временных (подвижных) нагрузок принимаются с коэффициентом 0,5; динамический коэффициент к усилию, приложенному к узлам крепления оборванного элемента - 2,0);</w:t>
      </w:r>
    </w:p>
    <w:p w:rsidR="00212513" w:rsidRDefault="00212513">
      <w:pPr>
        <w:pStyle w:val="ConsPlusNormal"/>
        <w:spacing w:before="220"/>
        <w:ind w:firstLine="540"/>
        <w:jc w:val="both"/>
      </w:pPr>
      <w:r>
        <w:t>- последовательный разрыв двух гибких элементов (расчет на разрыв второго гибкого элемента - по схеме с учетом отсутствия первого разорванного элемента; усилия от временных (подвижных) нагрузок принимают с коэффициентом 0,25).</w:t>
      </w:r>
    </w:p>
    <w:p w:rsidR="00212513" w:rsidRDefault="00212513">
      <w:pPr>
        <w:pStyle w:val="ConsPlusNormal"/>
        <w:spacing w:before="220"/>
        <w:ind w:firstLine="540"/>
        <w:jc w:val="both"/>
      </w:pPr>
      <w:r>
        <w:t xml:space="preserve">7.4 Перед возобновлением эксплуатации мостов, в которых имеет место выход из строя отдельных элементов, должны быть выполнены расчеты по измененной расчетной схеме для определения допустимых величин подвижных нагрузок и порядка их пропуска по этим мостам. При этом все расчетные коэффициенты следует принимать в соответствии с </w:t>
      </w:r>
      <w:hyperlink w:anchor="P878">
        <w:r>
          <w:rPr>
            <w:color w:val="0000FF"/>
          </w:rPr>
          <w:t>разделом 6</w:t>
        </w:r>
      </w:hyperlink>
      <w:r>
        <w:t xml:space="preserve"> настоящего свода правил.</w:t>
      </w:r>
    </w:p>
    <w:p w:rsidR="00212513" w:rsidRDefault="00212513">
      <w:pPr>
        <w:pStyle w:val="ConsPlusNormal"/>
        <w:spacing w:before="220"/>
        <w:ind w:firstLine="540"/>
        <w:jc w:val="both"/>
      </w:pPr>
      <w:r>
        <w:t>7.5 Критерием выполнения условия живучести мостового сооружения является отсутствие прогрессирующего разрушения, то есть его локализация в пределах выхода из строя отдельного элемента.</w:t>
      </w:r>
    </w:p>
    <w:p w:rsidR="00212513" w:rsidRDefault="00212513">
      <w:pPr>
        <w:pStyle w:val="ConsPlusNormal"/>
        <w:jc w:val="both"/>
      </w:pPr>
      <w:r>
        <w:t xml:space="preserve">(п. 7.5 введен </w:t>
      </w:r>
      <w:hyperlink r:id="rId4010">
        <w:r>
          <w:rPr>
            <w:color w:val="0000FF"/>
          </w:rPr>
          <w:t>Изменением N 3</w:t>
        </w:r>
      </w:hyperlink>
      <w:r>
        <w:t>, утв. Приказом Минстроя России от 29.12.2020 N 891/пр)</w:t>
      </w: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jc w:val="right"/>
        <w:outlineLvl w:val="0"/>
      </w:pPr>
      <w:r>
        <w:rPr>
          <w:b/>
        </w:rPr>
        <w:t>Приложение 8</w:t>
      </w:r>
    </w:p>
    <w:p w:rsidR="00212513" w:rsidRDefault="00212513">
      <w:pPr>
        <w:pStyle w:val="ConsPlusNormal"/>
        <w:jc w:val="right"/>
      </w:pPr>
      <w:r>
        <w:rPr>
          <w:b/>
        </w:rPr>
        <w:t>(рекомендуемое)</w:t>
      </w:r>
    </w:p>
    <w:p w:rsidR="00212513" w:rsidRDefault="00212513">
      <w:pPr>
        <w:pStyle w:val="ConsPlusNormal"/>
        <w:jc w:val="right"/>
      </w:pPr>
      <w:r>
        <w:t xml:space="preserve">(в ред. </w:t>
      </w:r>
      <w:hyperlink r:id="rId4011">
        <w:r>
          <w:rPr>
            <w:color w:val="0000FF"/>
          </w:rPr>
          <w:t>Изменения N 4</w:t>
        </w:r>
      </w:hyperlink>
      <w:r>
        <w:t>, утв. Приказом Минстроя России от 30.05.2024 N 361/пр)</w:t>
      </w:r>
    </w:p>
    <w:p w:rsidR="00212513" w:rsidRDefault="00212513">
      <w:pPr>
        <w:pStyle w:val="ConsPlusNormal"/>
        <w:jc w:val="both"/>
      </w:pPr>
    </w:p>
    <w:p w:rsidR="00212513" w:rsidRDefault="00212513">
      <w:pPr>
        <w:pStyle w:val="ConsPlusTitle"/>
        <w:jc w:val="center"/>
      </w:pPr>
      <w:bookmarkStart w:id="623" w:name="P18657"/>
      <w:bookmarkEnd w:id="623"/>
      <w:r>
        <w:t>ОЦЕНКА ПРОЧНОСТИ НОРМАЛЬНЫХ СЕЧЕНИЙ ИЗГИБАЕМЫХ</w:t>
      </w:r>
    </w:p>
    <w:p w:rsidR="00212513" w:rsidRDefault="00212513">
      <w:pPr>
        <w:pStyle w:val="ConsPlusTitle"/>
        <w:jc w:val="center"/>
      </w:pPr>
      <w:r>
        <w:t>ЖЕЛЕЗОБЕТОННЫХ ЭЛЕМЕНТОВ С ИСПОЛЬЗОВАНИЕМ ДИАГРАММ</w:t>
      </w:r>
    </w:p>
    <w:p w:rsidR="00212513" w:rsidRDefault="00212513">
      <w:pPr>
        <w:pStyle w:val="ConsPlusTitle"/>
        <w:jc w:val="center"/>
      </w:pPr>
      <w:r>
        <w:t>ДЕФОРМИРОВАНИЯ БЕТОНА И СТАЛИ</w:t>
      </w:r>
    </w:p>
    <w:p w:rsidR="00212513" w:rsidRDefault="00212513">
      <w:pPr>
        <w:pStyle w:val="ConsPlusNormal"/>
        <w:jc w:val="center"/>
      </w:pPr>
    </w:p>
    <w:p w:rsidR="00212513" w:rsidRDefault="00212513">
      <w:pPr>
        <w:pStyle w:val="ConsPlusNormal"/>
        <w:jc w:val="center"/>
      </w:pPr>
      <w:r>
        <w:t xml:space="preserve">(приложение 8 введено </w:t>
      </w:r>
      <w:hyperlink r:id="rId4012">
        <w:r>
          <w:rPr>
            <w:color w:val="0000FF"/>
          </w:rPr>
          <w:t>Изменением N 3</w:t>
        </w:r>
      </w:hyperlink>
      <w:r>
        <w:t>, утв. Приказом</w:t>
      </w:r>
    </w:p>
    <w:p w:rsidR="00212513" w:rsidRDefault="00212513">
      <w:pPr>
        <w:pStyle w:val="ConsPlusNormal"/>
        <w:jc w:val="center"/>
      </w:pPr>
      <w:r>
        <w:t>Минстроя России от 29.12.2020 N 891/пр)</w:t>
      </w:r>
    </w:p>
    <w:p w:rsidR="00212513" w:rsidRDefault="00212513">
      <w:pPr>
        <w:pStyle w:val="ConsPlusNormal"/>
        <w:jc w:val="both"/>
      </w:pPr>
    </w:p>
    <w:p w:rsidR="00212513" w:rsidRDefault="00212513">
      <w:pPr>
        <w:pStyle w:val="ConsPlusNormal"/>
        <w:ind w:firstLine="540"/>
        <w:jc w:val="both"/>
      </w:pPr>
      <w:r>
        <w:t xml:space="preserve">В качестве критерия несущей способности принят предельный изгибающий момент </w:t>
      </w:r>
      <w:r>
        <w:rPr>
          <w:i/>
        </w:rPr>
        <w:t>M</w:t>
      </w:r>
      <w:r>
        <w:rPr>
          <w:i/>
          <w:vertAlign w:val="subscript"/>
        </w:rPr>
        <w:t>ult</w:t>
      </w:r>
      <w:r>
        <w:rPr>
          <w:i/>
        </w:rPr>
        <w:t>,</w:t>
      </w:r>
      <w:r>
        <w:t xml:space="preserve"> воспринимаемый сечением по условию прочности.</w:t>
      </w:r>
    </w:p>
    <w:p w:rsidR="00212513" w:rsidRDefault="00212513">
      <w:pPr>
        <w:pStyle w:val="ConsPlusNormal"/>
        <w:spacing w:before="220"/>
        <w:ind w:firstLine="540"/>
        <w:jc w:val="both"/>
      </w:pPr>
      <w:r>
        <w:t>Оценку прочности нормальных сечений изгибаемых железобетонных элементов осуществляют с помощью нелинейной деформационной модели расчета, предполагающей:</w:t>
      </w:r>
    </w:p>
    <w:p w:rsidR="00212513" w:rsidRDefault="00212513">
      <w:pPr>
        <w:pStyle w:val="ConsPlusNormal"/>
        <w:spacing w:before="220"/>
        <w:ind w:firstLine="540"/>
        <w:jc w:val="both"/>
      </w:pPr>
      <w:r>
        <w:t>- использование уравнений равновесия внешних и внутренних усилий;</w:t>
      </w:r>
    </w:p>
    <w:p w:rsidR="00212513" w:rsidRDefault="00212513">
      <w:pPr>
        <w:pStyle w:val="ConsPlusNormal"/>
        <w:spacing w:before="220"/>
        <w:ind w:firstLine="540"/>
        <w:jc w:val="both"/>
      </w:pPr>
      <w:r>
        <w:t>- линейное распределение относительных деформаций по высоте сечения (гипотеза плоских сечений);</w:t>
      </w:r>
    </w:p>
    <w:p w:rsidR="00212513" w:rsidRDefault="00212513">
      <w:pPr>
        <w:pStyle w:val="ConsPlusNormal"/>
        <w:spacing w:before="220"/>
        <w:ind w:firstLine="540"/>
        <w:jc w:val="both"/>
      </w:pPr>
      <w:r>
        <w:t>- реализацию связей между относительными деформациями и напряжениями в сечении с помощью диаграмм деформирования (состояния) материалов (бетона и стали).</w:t>
      </w:r>
    </w:p>
    <w:p w:rsidR="00212513" w:rsidRDefault="00212513">
      <w:pPr>
        <w:pStyle w:val="ConsPlusNormal"/>
        <w:spacing w:before="220"/>
        <w:ind w:firstLine="540"/>
        <w:jc w:val="both"/>
      </w:pPr>
      <w:r>
        <w:lastRenderedPageBreak/>
        <w:t>В случае прямого изгиба железобетонного элемента для оценки предельного состояния сечения, нормального к продольной оси, используют два уравнения равновесия - равенство нулю суммы внутренних продольных сил и равенство нулю суммы внешних и внутренних изгибающих моментов.</w:t>
      </w:r>
    </w:p>
    <w:p w:rsidR="00212513" w:rsidRDefault="00212513">
      <w:pPr>
        <w:pStyle w:val="ConsPlusNormal"/>
        <w:spacing w:before="220"/>
        <w:ind w:firstLine="540"/>
        <w:jc w:val="both"/>
      </w:pPr>
      <w:r>
        <w:t>В соответствии с гипотезой плоских сечений эпюра относительных деформаций представляет собой прямую линию. В случае критической эпюры деформаций, соответствующей предельному состоянию сечения, одна точка эпюры (полюс), содержащая сведения о предельной деформации бетона или арматуры, известна заранее. Ее задают в исходной информации к расчету.</w:t>
      </w:r>
    </w:p>
    <w:p w:rsidR="00212513" w:rsidRDefault="00212513">
      <w:pPr>
        <w:pStyle w:val="ConsPlusNormal"/>
        <w:spacing w:before="220"/>
        <w:ind w:firstLine="540"/>
        <w:jc w:val="both"/>
      </w:pPr>
      <w:r>
        <w:t>Переход от эпюры относительных деформаций к эпюре нормальных напряжений осуществляют с помощью диаграмм деформирования бетона и стали. При применении гипотезы плоских сечений эпюры нормальных напряжений в поперечных сечениях могут быть представлены диаграммами (или фрагментами диаграмм) простого растяжения-сжатия материалов, составляющих поперечное сечение, с линейно измененным масштабом деформаций.</w:t>
      </w:r>
    </w:p>
    <w:p w:rsidR="00212513" w:rsidRDefault="00212513">
      <w:pPr>
        <w:pStyle w:val="ConsPlusNormal"/>
        <w:spacing w:before="220"/>
        <w:ind w:firstLine="540"/>
        <w:jc w:val="both"/>
      </w:pPr>
      <w:r>
        <w:t>Параболически-прямоугольная диаграмма деформирования сжатого бетона, рекомендуемая при оценке прочности нормального сечения изгибаемого железобетонного элемента, приведена на рисунке 8.1.</w:t>
      </w:r>
    </w:p>
    <w:p w:rsidR="00212513" w:rsidRDefault="00212513">
      <w:pPr>
        <w:pStyle w:val="ConsPlusNormal"/>
        <w:jc w:val="both"/>
      </w:pPr>
    </w:p>
    <w:p w:rsidR="00212513" w:rsidRDefault="00212513">
      <w:pPr>
        <w:pStyle w:val="ConsPlusNormal"/>
        <w:jc w:val="center"/>
      </w:pPr>
      <w:r>
        <w:rPr>
          <w:noProof/>
          <w:position w:val="-180"/>
        </w:rPr>
        <w:drawing>
          <wp:inline distT="0" distB="0" distL="0" distR="0">
            <wp:extent cx="5386070" cy="2434590"/>
            <wp:effectExtent l="0" t="0" r="0" b="0"/>
            <wp:docPr id="3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3">
                      <a:extLst>
                        <a:ext uri="{28A0092B-C50C-407E-A947-70E740481C1C}">
                          <a14:useLocalDpi xmlns:a14="http://schemas.microsoft.com/office/drawing/2010/main" val="0"/>
                        </a:ext>
                      </a:extLst>
                    </a:blip>
                    <a:srcRect/>
                    <a:stretch>
                      <a:fillRect/>
                    </a:stretch>
                  </pic:blipFill>
                  <pic:spPr bwMode="auto">
                    <a:xfrm>
                      <a:off x="0" y="0"/>
                      <a:ext cx="5386070" cy="2434590"/>
                    </a:xfrm>
                    <a:prstGeom prst="rect">
                      <a:avLst/>
                    </a:prstGeom>
                    <a:noFill/>
                    <a:ln>
                      <a:noFill/>
                    </a:ln>
                  </pic:spPr>
                </pic:pic>
              </a:graphicData>
            </a:graphic>
          </wp:inline>
        </w:drawing>
      </w:r>
    </w:p>
    <w:p w:rsidR="00212513" w:rsidRDefault="00212513">
      <w:pPr>
        <w:pStyle w:val="ConsPlusNormal"/>
        <w:jc w:val="both"/>
      </w:pPr>
    </w:p>
    <w:p w:rsidR="00212513" w:rsidRDefault="00212513">
      <w:pPr>
        <w:pStyle w:val="ConsPlusNormal"/>
        <w:jc w:val="center"/>
      </w:pPr>
      <w:r>
        <w:rPr>
          <w:i/>
        </w:rPr>
        <w:t>1</w:t>
      </w:r>
      <w:r>
        <w:t xml:space="preserve">, </w:t>
      </w:r>
      <w:r>
        <w:rPr>
          <w:i/>
        </w:rPr>
        <w:t>2 -</w:t>
      </w:r>
      <w:r>
        <w:t xml:space="preserve"> базовые точки диаграммы</w:t>
      </w:r>
    </w:p>
    <w:p w:rsidR="00212513" w:rsidRDefault="00212513">
      <w:pPr>
        <w:pStyle w:val="ConsPlusNormal"/>
        <w:jc w:val="both"/>
      </w:pPr>
    </w:p>
    <w:p w:rsidR="00212513" w:rsidRDefault="00212513">
      <w:pPr>
        <w:pStyle w:val="ConsPlusNormal"/>
        <w:jc w:val="center"/>
      </w:pPr>
      <w:r>
        <w:rPr>
          <w:b/>
          <w:i/>
        </w:rPr>
        <w:t>Рисунок 8.1</w:t>
      </w:r>
      <w:r>
        <w:t xml:space="preserve"> </w:t>
      </w:r>
      <w:r>
        <w:rPr>
          <w:b/>
        </w:rPr>
        <w:t>- Диаграмма деформирования бетона,</w:t>
      </w:r>
    </w:p>
    <w:p w:rsidR="00212513" w:rsidRDefault="00212513">
      <w:pPr>
        <w:pStyle w:val="ConsPlusNormal"/>
        <w:jc w:val="center"/>
      </w:pPr>
      <w:r>
        <w:rPr>
          <w:b/>
        </w:rPr>
        <w:t>используемая при оценке прочности нормального сечения</w:t>
      </w:r>
    </w:p>
    <w:p w:rsidR="00212513" w:rsidRDefault="00212513">
      <w:pPr>
        <w:pStyle w:val="ConsPlusNormal"/>
        <w:jc w:val="both"/>
      </w:pPr>
    </w:p>
    <w:p w:rsidR="00212513" w:rsidRDefault="00212513">
      <w:pPr>
        <w:pStyle w:val="ConsPlusNormal"/>
        <w:ind w:firstLine="540"/>
        <w:jc w:val="both"/>
      </w:pPr>
      <w:r>
        <w:t>При построении диаграммы деформирования сжатого бетона используют зависимости:</w:t>
      </w:r>
    </w:p>
    <w:p w:rsidR="00212513" w:rsidRDefault="00212513">
      <w:pPr>
        <w:pStyle w:val="ConsPlusNormal"/>
        <w:spacing w:after="1"/>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005"/>
        <w:gridCol w:w="2778"/>
        <w:gridCol w:w="907"/>
      </w:tblGrid>
      <w:tr w:rsidR="00212513">
        <w:tc>
          <w:tcPr>
            <w:tcW w:w="3005" w:type="dxa"/>
            <w:tcBorders>
              <w:top w:val="nil"/>
              <w:left w:val="nil"/>
              <w:bottom w:val="nil"/>
              <w:right w:val="nil"/>
            </w:tcBorders>
            <w:vAlign w:val="center"/>
          </w:tcPr>
          <w:p w:rsidR="00212513" w:rsidRDefault="00212513">
            <w:pPr>
              <w:pStyle w:val="ConsPlusNormal"/>
              <w:ind w:left="567"/>
              <w:jc w:val="both"/>
            </w:pPr>
            <w:r>
              <w:rPr>
                <w:noProof/>
                <w:position w:val="-37"/>
              </w:rPr>
              <w:drawing>
                <wp:inline distT="0" distB="0" distL="0" distR="0">
                  <wp:extent cx="1456690" cy="618490"/>
                  <wp:effectExtent l="0" t="0" r="0" b="0"/>
                  <wp:docPr id="3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4" cstate="print">
                            <a:extLst>
                              <a:ext uri="{28A0092B-C50C-407E-A947-70E740481C1C}">
                                <a14:useLocalDpi xmlns:a14="http://schemas.microsoft.com/office/drawing/2010/main" val="0"/>
                              </a:ext>
                            </a:extLst>
                          </a:blip>
                          <a:srcRect/>
                          <a:stretch>
                            <a:fillRect/>
                          </a:stretch>
                        </pic:blipFill>
                        <pic:spPr bwMode="auto">
                          <a:xfrm>
                            <a:off x="0" y="0"/>
                            <a:ext cx="1456690" cy="618490"/>
                          </a:xfrm>
                          <a:prstGeom prst="rect">
                            <a:avLst/>
                          </a:prstGeom>
                          <a:noFill/>
                          <a:ln>
                            <a:noFill/>
                          </a:ln>
                        </pic:spPr>
                      </pic:pic>
                    </a:graphicData>
                  </a:graphic>
                </wp:inline>
              </w:drawing>
            </w:r>
          </w:p>
        </w:tc>
        <w:tc>
          <w:tcPr>
            <w:tcW w:w="2778" w:type="dxa"/>
            <w:tcBorders>
              <w:top w:val="nil"/>
              <w:left w:val="nil"/>
              <w:bottom w:val="nil"/>
              <w:right w:val="nil"/>
            </w:tcBorders>
            <w:vAlign w:val="center"/>
          </w:tcPr>
          <w:p w:rsidR="00212513" w:rsidRDefault="00212513">
            <w:pPr>
              <w:pStyle w:val="ConsPlusNormal"/>
              <w:jc w:val="both"/>
            </w:pPr>
            <w:r>
              <w:rPr>
                <w:noProof/>
                <w:position w:val="-8"/>
              </w:rPr>
              <w:drawing>
                <wp:inline distT="0" distB="0" distL="0" distR="0">
                  <wp:extent cx="1047750" cy="251460"/>
                  <wp:effectExtent l="0" t="0" r="0" b="0"/>
                  <wp:docPr id="3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5" cstate="print">
                            <a:extLst>
                              <a:ext uri="{28A0092B-C50C-407E-A947-70E740481C1C}">
                                <a14:useLocalDpi xmlns:a14="http://schemas.microsoft.com/office/drawing/2010/main" val="0"/>
                              </a:ext>
                            </a:extLst>
                          </a:blip>
                          <a:srcRect/>
                          <a:stretch>
                            <a:fillRect/>
                          </a:stretch>
                        </pic:blipFill>
                        <pic:spPr bwMode="auto">
                          <a:xfrm>
                            <a:off x="0" y="0"/>
                            <a:ext cx="1047750" cy="251460"/>
                          </a:xfrm>
                          <a:prstGeom prst="rect">
                            <a:avLst/>
                          </a:prstGeom>
                          <a:noFill/>
                          <a:ln>
                            <a:noFill/>
                          </a:ln>
                        </pic:spPr>
                      </pic:pic>
                    </a:graphicData>
                  </a:graphic>
                </wp:inline>
              </w:drawing>
            </w:r>
          </w:p>
        </w:tc>
        <w:tc>
          <w:tcPr>
            <w:tcW w:w="907" w:type="dxa"/>
            <w:tcBorders>
              <w:top w:val="nil"/>
              <w:left w:val="nil"/>
              <w:bottom w:val="nil"/>
              <w:right w:val="nil"/>
            </w:tcBorders>
            <w:vAlign w:val="center"/>
          </w:tcPr>
          <w:p w:rsidR="00212513" w:rsidRDefault="00212513">
            <w:pPr>
              <w:pStyle w:val="ConsPlusNormal"/>
              <w:jc w:val="both"/>
            </w:pPr>
            <w:r>
              <w:t>(8.1)</w:t>
            </w:r>
          </w:p>
        </w:tc>
      </w:tr>
      <w:tr w:rsidR="00212513">
        <w:tc>
          <w:tcPr>
            <w:tcW w:w="3005" w:type="dxa"/>
            <w:tcBorders>
              <w:top w:val="nil"/>
              <w:left w:val="nil"/>
              <w:bottom w:val="nil"/>
              <w:right w:val="nil"/>
            </w:tcBorders>
          </w:tcPr>
          <w:p w:rsidR="00212513" w:rsidRDefault="00212513">
            <w:pPr>
              <w:pStyle w:val="ConsPlusNormal"/>
              <w:ind w:left="567"/>
              <w:jc w:val="both"/>
            </w:pPr>
            <w:r>
              <w:rPr>
                <w:noProof/>
                <w:position w:val="-8"/>
              </w:rPr>
              <w:drawing>
                <wp:inline distT="0" distB="0" distL="0" distR="0">
                  <wp:extent cx="492760" cy="251460"/>
                  <wp:effectExtent l="0" t="0" r="0" b="0"/>
                  <wp:docPr id="3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6" cstate="print">
                            <a:extLst>
                              <a:ext uri="{28A0092B-C50C-407E-A947-70E740481C1C}">
                                <a14:useLocalDpi xmlns:a14="http://schemas.microsoft.com/office/drawing/2010/main" val="0"/>
                              </a:ext>
                            </a:extLst>
                          </a:blip>
                          <a:srcRect/>
                          <a:stretch>
                            <a:fillRect/>
                          </a:stretch>
                        </pic:blipFill>
                        <pic:spPr bwMode="auto">
                          <a:xfrm>
                            <a:off x="0" y="0"/>
                            <a:ext cx="492760" cy="251460"/>
                          </a:xfrm>
                          <a:prstGeom prst="rect">
                            <a:avLst/>
                          </a:prstGeom>
                          <a:noFill/>
                          <a:ln>
                            <a:noFill/>
                          </a:ln>
                        </pic:spPr>
                      </pic:pic>
                    </a:graphicData>
                  </a:graphic>
                </wp:inline>
              </w:drawing>
            </w:r>
          </w:p>
        </w:tc>
        <w:tc>
          <w:tcPr>
            <w:tcW w:w="2778" w:type="dxa"/>
            <w:tcBorders>
              <w:top w:val="nil"/>
              <w:left w:val="nil"/>
              <w:bottom w:val="nil"/>
              <w:right w:val="nil"/>
            </w:tcBorders>
          </w:tcPr>
          <w:p w:rsidR="00212513" w:rsidRDefault="00212513">
            <w:pPr>
              <w:pStyle w:val="ConsPlusNormal"/>
              <w:jc w:val="both"/>
            </w:pPr>
            <w:r>
              <w:rPr>
                <w:noProof/>
                <w:position w:val="-8"/>
              </w:rPr>
              <w:drawing>
                <wp:inline distT="0" distB="0" distL="0" distR="0">
                  <wp:extent cx="1100455" cy="251460"/>
                  <wp:effectExtent l="0" t="0" r="0" b="0"/>
                  <wp:docPr id="3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7" cstate="print">
                            <a:extLst>
                              <a:ext uri="{28A0092B-C50C-407E-A947-70E740481C1C}">
                                <a14:useLocalDpi xmlns:a14="http://schemas.microsoft.com/office/drawing/2010/main" val="0"/>
                              </a:ext>
                            </a:extLst>
                          </a:blip>
                          <a:srcRect/>
                          <a:stretch>
                            <a:fillRect/>
                          </a:stretch>
                        </pic:blipFill>
                        <pic:spPr bwMode="auto">
                          <a:xfrm>
                            <a:off x="0" y="0"/>
                            <a:ext cx="1100455" cy="251460"/>
                          </a:xfrm>
                          <a:prstGeom prst="rect">
                            <a:avLst/>
                          </a:prstGeom>
                          <a:noFill/>
                          <a:ln>
                            <a:noFill/>
                          </a:ln>
                        </pic:spPr>
                      </pic:pic>
                    </a:graphicData>
                  </a:graphic>
                </wp:inline>
              </w:drawing>
            </w:r>
          </w:p>
        </w:tc>
        <w:tc>
          <w:tcPr>
            <w:tcW w:w="907" w:type="dxa"/>
            <w:tcBorders>
              <w:top w:val="nil"/>
              <w:left w:val="nil"/>
              <w:bottom w:val="nil"/>
              <w:right w:val="nil"/>
            </w:tcBorders>
          </w:tcPr>
          <w:p w:rsidR="00212513" w:rsidRDefault="00212513">
            <w:pPr>
              <w:pStyle w:val="ConsPlusNormal"/>
              <w:jc w:val="both"/>
            </w:pPr>
            <w:r>
              <w:t>(8.2)</w:t>
            </w:r>
          </w:p>
        </w:tc>
      </w:tr>
    </w:tbl>
    <w:p w:rsidR="00212513" w:rsidRDefault="00212513">
      <w:pPr>
        <w:pStyle w:val="ConsPlusNormal"/>
        <w:spacing w:before="220"/>
        <w:ind w:firstLine="540"/>
        <w:jc w:val="both"/>
      </w:pPr>
      <w:r>
        <w:t xml:space="preserve">где </w:t>
      </w:r>
      <w:r>
        <w:rPr>
          <w:noProof/>
          <w:position w:val="-1"/>
        </w:rPr>
        <w:drawing>
          <wp:inline distT="0" distB="0" distL="0" distR="0">
            <wp:extent cx="167640" cy="157480"/>
            <wp:effectExtent l="0" t="0" r="0" b="0"/>
            <wp:docPr id="3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8"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r>
        <w:t xml:space="preserve">, </w:t>
      </w:r>
      <w:r>
        <w:rPr>
          <w:noProof/>
          <w:position w:val="-1"/>
        </w:rPr>
        <w:drawing>
          <wp:inline distT="0" distB="0" distL="0" distR="0">
            <wp:extent cx="136525" cy="157480"/>
            <wp:effectExtent l="0" t="0" r="0" b="0"/>
            <wp:docPr id="3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9"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 текущие значения нормального напряжения и относительной деформации;</w:t>
      </w:r>
    </w:p>
    <w:p w:rsidR="00212513" w:rsidRDefault="00212513">
      <w:pPr>
        <w:pStyle w:val="ConsPlusNormal"/>
        <w:spacing w:before="220"/>
        <w:ind w:firstLine="540"/>
        <w:jc w:val="both"/>
      </w:pPr>
      <w:r>
        <w:rPr>
          <w:i/>
        </w:rPr>
        <w:t>R</w:t>
      </w:r>
      <w:r>
        <w:rPr>
          <w:i/>
          <w:vertAlign w:val="subscript"/>
        </w:rPr>
        <w:t>b</w:t>
      </w:r>
      <w:r>
        <w:t xml:space="preserve"> </w:t>
      </w:r>
      <w:r>
        <w:rPr>
          <w:i/>
        </w:rPr>
        <w:t>-</w:t>
      </w:r>
      <w:r>
        <w:t xml:space="preserve"> расчетное сопротивление бетона на сжатие;</w:t>
      </w:r>
    </w:p>
    <w:p w:rsidR="00212513" w:rsidRDefault="00212513">
      <w:pPr>
        <w:pStyle w:val="ConsPlusNormal"/>
        <w:spacing w:before="220"/>
        <w:ind w:firstLine="540"/>
        <w:jc w:val="both"/>
      </w:pPr>
      <w:r>
        <w:rPr>
          <w:noProof/>
          <w:position w:val="-8"/>
        </w:rPr>
        <w:lastRenderedPageBreak/>
        <w:drawing>
          <wp:inline distT="0" distB="0" distL="0" distR="0">
            <wp:extent cx="167640" cy="251460"/>
            <wp:effectExtent l="0" t="0" r="0" b="0"/>
            <wp:docPr id="3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0"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предельная относительная деформация бетона при одноосном сжатии </w:t>
      </w:r>
      <w:r>
        <w:rPr>
          <w:noProof/>
          <w:position w:val="-8"/>
        </w:rPr>
        <w:drawing>
          <wp:inline distT="0" distB="0" distL="0" distR="0">
            <wp:extent cx="848995" cy="251460"/>
            <wp:effectExtent l="0" t="0" r="0" b="0"/>
            <wp:docPr id="3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1" cstate="print">
                      <a:extLst>
                        <a:ext uri="{28A0092B-C50C-407E-A947-70E740481C1C}">
                          <a14:useLocalDpi xmlns:a14="http://schemas.microsoft.com/office/drawing/2010/main" val="0"/>
                        </a:ext>
                      </a:extLst>
                    </a:blip>
                    <a:srcRect/>
                    <a:stretch>
                      <a:fillRect/>
                    </a:stretch>
                  </pic:blipFill>
                  <pic:spPr bwMode="auto">
                    <a:xfrm>
                      <a:off x="0" y="0"/>
                      <a:ext cx="848995" cy="251460"/>
                    </a:xfrm>
                    <a:prstGeom prst="rect">
                      <a:avLst/>
                    </a:prstGeom>
                    <a:noFill/>
                    <a:ln>
                      <a:noFill/>
                    </a:ln>
                  </pic:spPr>
                </pic:pic>
              </a:graphicData>
            </a:graphic>
          </wp:inline>
        </w:drawing>
      </w:r>
      <w:r>
        <w:t>;</w:t>
      </w:r>
    </w:p>
    <w:p w:rsidR="00212513" w:rsidRDefault="00212513">
      <w:pPr>
        <w:pStyle w:val="ConsPlusNormal"/>
        <w:spacing w:before="220"/>
        <w:ind w:firstLine="540"/>
        <w:jc w:val="both"/>
      </w:pPr>
      <w:r>
        <w:rPr>
          <w:noProof/>
          <w:position w:val="-8"/>
        </w:rPr>
        <w:drawing>
          <wp:inline distT="0" distB="0" distL="0" distR="0">
            <wp:extent cx="178435" cy="251460"/>
            <wp:effectExtent l="0" t="0" r="0" b="0"/>
            <wp:docPr id="3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2"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 предельная относительная деформация сжатого бетона при изгибе </w:t>
      </w:r>
      <w:r>
        <w:rPr>
          <w:noProof/>
          <w:position w:val="-8"/>
        </w:rPr>
        <w:drawing>
          <wp:inline distT="0" distB="0" distL="0" distR="0">
            <wp:extent cx="953770" cy="251460"/>
            <wp:effectExtent l="0" t="0" r="0" b="0"/>
            <wp:docPr id="3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3" cstate="print">
                      <a:extLst>
                        <a:ext uri="{28A0092B-C50C-407E-A947-70E740481C1C}">
                          <a14:useLocalDpi xmlns:a14="http://schemas.microsoft.com/office/drawing/2010/main" val="0"/>
                        </a:ext>
                      </a:extLst>
                    </a:blip>
                    <a:srcRect/>
                    <a:stretch>
                      <a:fillRect/>
                    </a:stretch>
                  </pic:blipFill>
                  <pic:spPr bwMode="auto">
                    <a:xfrm>
                      <a:off x="0" y="0"/>
                      <a:ext cx="953770" cy="251460"/>
                    </a:xfrm>
                    <a:prstGeom prst="rect">
                      <a:avLst/>
                    </a:prstGeom>
                    <a:noFill/>
                    <a:ln>
                      <a:noFill/>
                    </a:ln>
                  </pic:spPr>
                </pic:pic>
              </a:graphicData>
            </a:graphic>
          </wp:inline>
        </w:drawing>
      </w:r>
      <w:r>
        <w:t>.</w:t>
      </w:r>
    </w:p>
    <w:p w:rsidR="00212513" w:rsidRDefault="00212513">
      <w:pPr>
        <w:pStyle w:val="ConsPlusNormal"/>
        <w:spacing w:before="220"/>
        <w:ind w:firstLine="540"/>
        <w:jc w:val="both"/>
      </w:pPr>
      <w:r>
        <w:t>Деформирование арматуры допускается описывать с помощью диаграммы Прандтля.</w:t>
      </w:r>
    </w:p>
    <w:p w:rsidR="00212513" w:rsidRDefault="00212513">
      <w:pPr>
        <w:pStyle w:val="ConsPlusNormal"/>
        <w:spacing w:before="220"/>
        <w:ind w:firstLine="540"/>
        <w:jc w:val="both"/>
      </w:pPr>
      <w:r>
        <w:t>Для диаграммы деформирования арматуры используют зависимости:</w:t>
      </w:r>
    </w:p>
    <w:p w:rsidR="00212513" w:rsidRDefault="00212513">
      <w:pPr>
        <w:pStyle w:val="ConsPlusNormal"/>
        <w:spacing w:after="1"/>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005"/>
        <w:gridCol w:w="2778"/>
        <w:gridCol w:w="907"/>
      </w:tblGrid>
      <w:tr w:rsidR="00212513">
        <w:tc>
          <w:tcPr>
            <w:tcW w:w="3005" w:type="dxa"/>
            <w:tcBorders>
              <w:top w:val="nil"/>
              <w:left w:val="nil"/>
              <w:bottom w:val="nil"/>
              <w:right w:val="nil"/>
            </w:tcBorders>
            <w:vAlign w:val="center"/>
          </w:tcPr>
          <w:p w:rsidR="00212513" w:rsidRDefault="00212513">
            <w:pPr>
              <w:pStyle w:val="ConsPlusNormal"/>
              <w:ind w:left="567"/>
              <w:jc w:val="both"/>
            </w:pPr>
            <w:r>
              <w:rPr>
                <w:noProof/>
                <w:position w:val="-8"/>
              </w:rPr>
              <w:drawing>
                <wp:inline distT="0" distB="0" distL="0" distR="0">
                  <wp:extent cx="670560" cy="251460"/>
                  <wp:effectExtent l="0" t="0" r="0" b="0"/>
                  <wp:docPr id="3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4" cstate="print">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p>
        </w:tc>
        <w:tc>
          <w:tcPr>
            <w:tcW w:w="2778" w:type="dxa"/>
            <w:tcBorders>
              <w:top w:val="nil"/>
              <w:left w:val="nil"/>
              <w:bottom w:val="nil"/>
              <w:right w:val="nil"/>
            </w:tcBorders>
            <w:vAlign w:val="center"/>
          </w:tcPr>
          <w:p w:rsidR="00212513" w:rsidRDefault="00212513">
            <w:pPr>
              <w:pStyle w:val="ConsPlusNormal"/>
              <w:jc w:val="both"/>
            </w:pPr>
            <w:r>
              <w:rPr>
                <w:noProof/>
                <w:position w:val="-8"/>
              </w:rPr>
              <w:drawing>
                <wp:inline distT="0" distB="0" distL="0" distR="0">
                  <wp:extent cx="1142365" cy="251460"/>
                  <wp:effectExtent l="0" t="0" r="0" b="0"/>
                  <wp:docPr id="3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5" cstate="print">
                            <a:extLst>
                              <a:ext uri="{28A0092B-C50C-407E-A947-70E740481C1C}">
                                <a14:useLocalDpi xmlns:a14="http://schemas.microsoft.com/office/drawing/2010/main" val="0"/>
                              </a:ext>
                            </a:extLst>
                          </a:blip>
                          <a:srcRect/>
                          <a:stretch>
                            <a:fillRect/>
                          </a:stretch>
                        </pic:blipFill>
                        <pic:spPr bwMode="auto">
                          <a:xfrm>
                            <a:off x="0" y="0"/>
                            <a:ext cx="1142365" cy="251460"/>
                          </a:xfrm>
                          <a:prstGeom prst="rect">
                            <a:avLst/>
                          </a:prstGeom>
                          <a:noFill/>
                          <a:ln>
                            <a:noFill/>
                          </a:ln>
                        </pic:spPr>
                      </pic:pic>
                    </a:graphicData>
                  </a:graphic>
                </wp:inline>
              </w:drawing>
            </w:r>
          </w:p>
        </w:tc>
        <w:tc>
          <w:tcPr>
            <w:tcW w:w="907" w:type="dxa"/>
            <w:tcBorders>
              <w:top w:val="nil"/>
              <w:left w:val="nil"/>
              <w:bottom w:val="nil"/>
              <w:right w:val="nil"/>
            </w:tcBorders>
            <w:vAlign w:val="center"/>
          </w:tcPr>
          <w:p w:rsidR="00212513" w:rsidRDefault="00212513">
            <w:pPr>
              <w:pStyle w:val="ConsPlusNormal"/>
              <w:jc w:val="both"/>
            </w:pPr>
            <w:r>
              <w:t>(8.3)</w:t>
            </w:r>
          </w:p>
        </w:tc>
      </w:tr>
      <w:tr w:rsidR="00212513">
        <w:tc>
          <w:tcPr>
            <w:tcW w:w="3005" w:type="dxa"/>
            <w:tcBorders>
              <w:top w:val="nil"/>
              <w:left w:val="nil"/>
              <w:bottom w:val="nil"/>
              <w:right w:val="nil"/>
            </w:tcBorders>
          </w:tcPr>
          <w:p w:rsidR="00212513" w:rsidRDefault="00212513">
            <w:pPr>
              <w:pStyle w:val="ConsPlusNormal"/>
              <w:ind w:left="567"/>
              <w:jc w:val="both"/>
            </w:pPr>
            <w:r>
              <w:rPr>
                <w:noProof/>
                <w:position w:val="-8"/>
              </w:rPr>
              <w:drawing>
                <wp:inline distT="0" distB="0" distL="0" distR="0">
                  <wp:extent cx="534670" cy="251460"/>
                  <wp:effectExtent l="0" t="0" r="0" b="0"/>
                  <wp:docPr id="3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6" cstate="print">
                            <a:extLst>
                              <a:ext uri="{28A0092B-C50C-407E-A947-70E740481C1C}">
                                <a14:useLocalDpi xmlns:a14="http://schemas.microsoft.com/office/drawing/2010/main" val="0"/>
                              </a:ext>
                            </a:extLst>
                          </a:blip>
                          <a:srcRect/>
                          <a:stretch>
                            <a:fillRect/>
                          </a:stretch>
                        </pic:blipFill>
                        <pic:spPr bwMode="auto">
                          <a:xfrm>
                            <a:off x="0" y="0"/>
                            <a:ext cx="534670" cy="251460"/>
                          </a:xfrm>
                          <a:prstGeom prst="rect">
                            <a:avLst/>
                          </a:prstGeom>
                          <a:noFill/>
                          <a:ln>
                            <a:noFill/>
                          </a:ln>
                        </pic:spPr>
                      </pic:pic>
                    </a:graphicData>
                  </a:graphic>
                </wp:inline>
              </w:drawing>
            </w:r>
          </w:p>
        </w:tc>
        <w:tc>
          <w:tcPr>
            <w:tcW w:w="2778" w:type="dxa"/>
            <w:tcBorders>
              <w:top w:val="nil"/>
              <w:left w:val="nil"/>
              <w:bottom w:val="nil"/>
              <w:right w:val="nil"/>
            </w:tcBorders>
          </w:tcPr>
          <w:p w:rsidR="00212513" w:rsidRDefault="00212513">
            <w:pPr>
              <w:pStyle w:val="ConsPlusNormal"/>
              <w:jc w:val="both"/>
            </w:pPr>
            <w:r>
              <w:rPr>
                <w:noProof/>
                <w:position w:val="-8"/>
              </w:rPr>
              <w:drawing>
                <wp:inline distT="0" distB="0" distL="0" distR="0">
                  <wp:extent cx="1205230" cy="251460"/>
                  <wp:effectExtent l="0" t="0" r="0" b="0"/>
                  <wp:docPr id="3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7" cstate="print">
                            <a:extLst>
                              <a:ext uri="{28A0092B-C50C-407E-A947-70E740481C1C}">
                                <a14:useLocalDpi xmlns:a14="http://schemas.microsoft.com/office/drawing/2010/main" val="0"/>
                              </a:ext>
                            </a:extLst>
                          </a:blip>
                          <a:srcRect/>
                          <a:stretch>
                            <a:fillRect/>
                          </a:stretch>
                        </pic:blipFill>
                        <pic:spPr bwMode="auto">
                          <a:xfrm>
                            <a:off x="0" y="0"/>
                            <a:ext cx="1205230" cy="251460"/>
                          </a:xfrm>
                          <a:prstGeom prst="rect">
                            <a:avLst/>
                          </a:prstGeom>
                          <a:noFill/>
                          <a:ln>
                            <a:noFill/>
                          </a:ln>
                        </pic:spPr>
                      </pic:pic>
                    </a:graphicData>
                  </a:graphic>
                </wp:inline>
              </w:drawing>
            </w:r>
          </w:p>
        </w:tc>
        <w:tc>
          <w:tcPr>
            <w:tcW w:w="907" w:type="dxa"/>
            <w:tcBorders>
              <w:top w:val="nil"/>
              <w:left w:val="nil"/>
              <w:bottom w:val="nil"/>
              <w:right w:val="nil"/>
            </w:tcBorders>
          </w:tcPr>
          <w:p w:rsidR="00212513" w:rsidRDefault="00212513">
            <w:pPr>
              <w:pStyle w:val="ConsPlusNormal"/>
              <w:jc w:val="both"/>
            </w:pPr>
            <w:r>
              <w:t>(8.4)</w:t>
            </w:r>
          </w:p>
        </w:tc>
      </w:tr>
    </w:tbl>
    <w:p w:rsidR="00212513" w:rsidRDefault="00212513">
      <w:pPr>
        <w:pStyle w:val="ConsPlusNormal"/>
        <w:spacing w:before="220"/>
        <w:ind w:firstLine="540"/>
        <w:jc w:val="both"/>
      </w:pPr>
      <w:r>
        <w:t xml:space="preserve">где </w:t>
      </w:r>
      <w:r>
        <w:rPr>
          <w:noProof/>
          <w:position w:val="-8"/>
        </w:rPr>
        <w:drawing>
          <wp:inline distT="0" distB="0" distL="0" distR="0">
            <wp:extent cx="209550" cy="251460"/>
            <wp:effectExtent l="0" t="0" r="0" b="0"/>
            <wp:docPr id="3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8"/>
        </w:rPr>
        <w:drawing>
          <wp:inline distT="0" distB="0" distL="0" distR="0">
            <wp:extent cx="178435" cy="251460"/>
            <wp:effectExtent l="0" t="0" r="0" b="0"/>
            <wp:docPr id="3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9"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 текущие значения нормального напряжения и относительной деформации;</w:t>
      </w:r>
    </w:p>
    <w:p w:rsidR="00212513" w:rsidRDefault="00212513">
      <w:pPr>
        <w:pStyle w:val="ConsPlusNormal"/>
        <w:spacing w:before="220"/>
        <w:ind w:firstLine="540"/>
        <w:jc w:val="both"/>
      </w:pPr>
      <w:r>
        <w:rPr>
          <w:i/>
        </w:rPr>
        <w:t>R</w:t>
      </w:r>
      <w:r>
        <w:rPr>
          <w:i/>
          <w:vertAlign w:val="subscript"/>
        </w:rPr>
        <w:t>s</w:t>
      </w:r>
      <w:r>
        <w:t xml:space="preserve"> </w:t>
      </w:r>
      <w:r>
        <w:rPr>
          <w:i/>
        </w:rPr>
        <w:t>-</w:t>
      </w:r>
      <w:r>
        <w:t xml:space="preserve"> расчетное сопротивление арматуры;</w:t>
      </w:r>
    </w:p>
    <w:p w:rsidR="00212513" w:rsidRDefault="00212513">
      <w:pPr>
        <w:pStyle w:val="ConsPlusNormal"/>
        <w:spacing w:before="220"/>
        <w:ind w:firstLine="540"/>
        <w:jc w:val="both"/>
      </w:pPr>
      <w:r>
        <w:rPr>
          <w:i/>
        </w:rPr>
        <w:t>E</w:t>
      </w:r>
      <w:r>
        <w:rPr>
          <w:i/>
          <w:vertAlign w:val="subscript"/>
        </w:rPr>
        <w:t>s</w:t>
      </w:r>
      <w:r>
        <w:t xml:space="preserve"> </w:t>
      </w:r>
      <w:r>
        <w:rPr>
          <w:i/>
        </w:rPr>
        <w:t>-</w:t>
      </w:r>
      <w:r>
        <w:t xml:space="preserve"> модуль упругости арматуры;</w:t>
      </w:r>
    </w:p>
    <w:p w:rsidR="00212513" w:rsidRDefault="00212513">
      <w:pPr>
        <w:pStyle w:val="ConsPlusNormal"/>
        <w:spacing w:before="220"/>
        <w:ind w:firstLine="540"/>
        <w:jc w:val="both"/>
      </w:pPr>
      <w:r>
        <w:rPr>
          <w:noProof/>
          <w:position w:val="-8"/>
        </w:rPr>
        <w:drawing>
          <wp:inline distT="0" distB="0" distL="0" distR="0">
            <wp:extent cx="209550" cy="251460"/>
            <wp:effectExtent l="0" t="0" r="0" b="0"/>
            <wp:docPr id="3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относительная деформация арматуры при достижении напряжениями расчетного сопротивления (</w:t>
      </w:r>
      <w:r>
        <w:rPr>
          <w:noProof/>
          <w:position w:val="-26"/>
        </w:rPr>
        <w:drawing>
          <wp:inline distT="0" distB="0" distL="0" distR="0">
            <wp:extent cx="586740" cy="471805"/>
            <wp:effectExtent l="0" t="0" r="0" b="0"/>
            <wp:docPr id="3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1" cstate="print">
                      <a:extLst>
                        <a:ext uri="{28A0092B-C50C-407E-A947-70E740481C1C}">
                          <a14:useLocalDpi xmlns:a14="http://schemas.microsoft.com/office/drawing/2010/main" val="0"/>
                        </a:ext>
                      </a:extLst>
                    </a:blip>
                    <a:srcRect/>
                    <a:stretch>
                      <a:fillRect/>
                    </a:stretch>
                  </pic:blipFill>
                  <pic:spPr bwMode="auto">
                    <a:xfrm>
                      <a:off x="0" y="0"/>
                      <a:ext cx="586740" cy="471805"/>
                    </a:xfrm>
                    <a:prstGeom prst="rect">
                      <a:avLst/>
                    </a:prstGeom>
                    <a:noFill/>
                    <a:ln>
                      <a:noFill/>
                    </a:ln>
                  </pic:spPr>
                </pic:pic>
              </a:graphicData>
            </a:graphic>
          </wp:inline>
        </w:drawing>
      </w:r>
      <w:r>
        <w:t xml:space="preserve"> - для арматуры с физическим пределом текучести, </w:t>
      </w:r>
      <w:r>
        <w:rPr>
          <w:noProof/>
          <w:position w:val="-26"/>
        </w:rPr>
        <w:drawing>
          <wp:inline distT="0" distB="0" distL="0" distR="0">
            <wp:extent cx="1131570" cy="471805"/>
            <wp:effectExtent l="0" t="0" r="0" b="0"/>
            <wp:docPr id="3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2" cstate="print">
                      <a:extLst>
                        <a:ext uri="{28A0092B-C50C-407E-A947-70E740481C1C}">
                          <a14:useLocalDpi xmlns:a14="http://schemas.microsoft.com/office/drawing/2010/main" val="0"/>
                        </a:ext>
                      </a:extLst>
                    </a:blip>
                    <a:srcRect/>
                    <a:stretch>
                      <a:fillRect/>
                    </a:stretch>
                  </pic:blipFill>
                  <pic:spPr bwMode="auto">
                    <a:xfrm>
                      <a:off x="0" y="0"/>
                      <a:ext cx="1131570" cy="471805"/>
                    </a:xfrm>
                    <a:prstGeom prst="rect">
                      <a:avLst/>
                    </a:prstGeom>
                    <a:noFill/>
                    <a:ln>
                      <a:noFill/>
                    </a:ln>
                  </pic:spPr>
                </pic:pic>
              </a:graphicData>
            </a:graphic>
          </wp:inline>
        </w:drawing>
      </w:r>
      <w:r>
        <w:t xml:space="preserve"> для арматуры с условным пределом текучести);</w:t>
      </w:r>
    </w:p>
    <w:p w:rsidR="00212513" w:rsidRDefault="00212513">
      <w:pPr>
        <w:pStyle w:val="ConsPlusNormal"/>
        <w:spacing w:before="220"/>
        <w:ind w:firstLine="540"/>
        <w:jc w:val="both"/>
      </w:pPr>
      <w:r>
        <w:rPr>
          <w:noProof/>
          <w:position w:val="-8"/>
        </w:rPr>
        <w:drawing>
          <wp:inline distT="0" distB="0" distL="0" distR="0">
            <wp:extent cx="241300" cy="251460"/>
            <wp:effectExtent l="0" t="0" r="0" b="0"/>
            <wp:docPr id="3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3" cstate="print">
                      <a:extLst>
                        <a:ext uri="{28A0092B-C50C-407E-A947-70E740481C1C}">
                          <a14:useLocalDpi xmlns:a14="http://schemas.microsoft.com/office/drawing/2010/main" val="0"/>
                        </a:ext>
                      </a:extLst>
                    </a:blip>
                    <a:srcRect/>
                    <a:stretch>
                      <a:fillRect/>
                    </a:stretch>
                  </pic:blipFill>
                  <pic:spPr bwMode="auto">
                    <a:xfrm>
                      <a:off x="0" y="0"/>
                      <a:ext cx="241300" cy="251460"/>
                    </a:xfrm>
                    <a:prstGeom prst="rect">
                      <a:avLst/>
                    </a:prstGeom>
                    <a:noFill/>
                    <a:ln>
                      <a:noFill/>
                    </a:ln>
                  </pic:spPr>
                </pic:pic>
              </a:graphicData>
            </a:graphic>
          </wp:inline>
        </w:drawing>
      </w:r>
      <w:r>
        <w:t xml:space="preserve"> - предельная относительная деформация растянутой арматуры (</w:t>
      </w:r>
      <w:r>
        <w:rPr>
          <w:noProof/>
          <w:position w:val="-8"/>
        </w:rPr>
        <w:drawing>
          <wp:inline distT="0" distB="0" distL="0" distR="0">
            <wp:extent cx="796290" cy="251460"/>
            <wp:effectExtent l="0" t="0" r="0" b="0"/>
            <wp:docPr id="3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4" cstate="print">
                      <a:extLst>
                        <a:ext uri="{28A0092B-C50C-407E-A947-70E740481C1C}">
                          <a14:useLocalDpi xmlns:a14="http://schemas.microsoft.com/office/drawing/2010/main" val="0"/>
                        </a:ext>
                      </a:extLst>
                    </a:blip>
                    <a:srcRect/>
                    <a:stretch>
                      <a:fillRect/>
                    </a:stretch>
                  </pic:blipFill>
                  <pic:spPr bwMode="auto">
                    <a:xfrm>
                      <a:off x="0" y="0"/>
                      <a:ext cx="796290" cy="251460"/>
                    </a:xfrm>
                    <a:prstGeom prst="rect">
                      <a:avLst/>
                    </a:prstGeom>
                    <a:noFill/>
                    <a:ln>
                      <a:noFill/>
                    </a:ln>
                  </pic:spPr>
                </pic:pic>
              </a:graphicData>
            </a:graphic>
          </wp:inline>
        </w:drawing>
      </w:r>
      <w:r>
        <w:t xml:space="preserve"> для ненапрягаемой арматуры, </w:t>
      </w:r>
      <w:r>
        <w:rPr>
          <w:noProof/>
          <w:position w:val="-8"/>
        </w:rPr>
        <w:drawing>
          <wp:inline distT="0" distB="0" distL="0" distR="0">
            <wp:extent cx="796290" cy="251460"/>
            <wp:effectExtent l="0" t="0" r="0" b="0"/>
            <wp:docPr id="3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5" cstate="print">
                      <a:extLst>
                        <a:ext uri="{28A0092B-C50C-407E-A947-70E740481C1C}">
                          <a14:useLocalDpi xmlns:a14="http://schemas.microsoft.com/office/drawing/2010/main" val="0"/>
                        </a:ext>
                      </a:extLst>
                    </a:blip>
                    <a:srcRect/>
                    <a:stretch>
                      <a:fillRect/>
                    </a:stretch>
                  </pic:blipFill>
                  <pic:spPr bwMode="auto">
                    <a:xfrm>
                      <a:off x="0" y="0"/>
                      <a:ext cx="796290" cy="251460"/>
                    </a:xfrm>
                    <a:prstGeom prst="rect">
                      <a:avLst/>
                    </a:prstGeom>
                    <a:noFill/>
                    <a:ln>
                      <a:noFill/>
                    </a:ln>
                  </pic:spPr>
                </pic:pic>
              </a:graphicData>
            </a:graphic>
          </wp:inline>
        </w:drawing>
      </w:r>
      <w:r>
        <w:t xml:space="preserve"> для напрягаемой арматуры).</w:t>
      </w:r>
    </w:p>
    <w:p w:rsidR="00212513" w:rsidRDefault="00212513">
      <w:pPr>
        <w:pStyle w:val="ConsPlusNormal"/>
        <w:spacing w:before="220"/>
        <w:ind w:firstLine="540"/>
        <w:jc w:val="both"/>
      </w:pPr>
      <w:r>
        <w:t>Диаграммы деформирования арматуры при растяжении и сжатии принимают идентичными, с учетом нормируемых расчетных сопротивлений арматуры.</w:t>
      </w: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jc w:val="right"/>
        <w:outlineLvl w:val="0"/>
      </w:pPr>
      <w:r>
        <w:rPr>
          <w:b/>
        </w:rPr>
        <w:t>Приложение 9</w:t>
      </w:r>
    </w:p>
    <w:p w:rsidR="00212513" w:rsidRDefault="00212513">
      <w:pPr>
        <w:pStyle w:val="ConsPlusNormal"/>
        <w:jc w:val="right"/>
      </w:pPr>
      <w:r>
        <w:rPr>
          <w:b/>
        </w:rPr>
        <w:t>(справочное)</w:t>
      </w:r>
    </w:p>
    <w:p w:rsidR="00212513" w:rsidRDefault="00212513">
      <w:pPr>
        <w:pStyle w:val="ConsPlusNormal"/>
        <w:jc w:val="both"/>
      </w:pPr>
    </w:p>
    <w:p w:rsidR="00212513" w:rsidRDefault="00212513">
      <w:pPr>
        <w:pStyle w:val="ConsPlusTitle"/>
        <w:jc w:val="center"/>
      </w:pPr>
      <w:bookmarkStart w:id="624" w:name="P18714"/>
      <w:bookmarkEnd w:id="624"/>
      <w:r>
        <w:t>КАТЕГОРИИ КОРРОЗИОННОЙ АКТИВНОСТИ И СООТВЕТСТВУЮЩИЕ</w:t>
      </w:r>
    </w:p>
    <w:p w:rsidR="00212513" w:rsidRDefault="00212513">
      <w:pPr>
        <w:pStyle w:val="ConsPlusTitle"/>
        <w:jc w:val="center"/>
      </w:pPr>
      <w:r>
        <w:t>ИМ СОСТАВЫ ЛАКОКРАСОЧНЫХ СИСТЕМ ДЛЯ ОТДЕЛЬНЫХ ЭЛЕМЕНТОВ</w:t>
      </w:r>
    </w:p>
    <w:p w:rsidR="00212513" w:rsidRDefault="00212513">
      <w:pPr>
        <w:pStyle w:val="ConsPlusTitle"/>
        <w:jc w:val="center"/>
      </w:pPr>
      <w:r>
        <w:t>МОСТОВЫХ КОНСТРУКЦИЙ</w:t>
      </w:r>
    </w:p>
    <w:p w:rsidR="00212513" w:rsidRDefault="00212513">
      <w:pPr>
        <w:pStyle w:val="ConsPlusNormal"/>
        <w:jc w:val="center"/>
      </w:pPr>
    </w:p>
    <w:p w:rsidR="00212513" w:rsidRDefault="00212513">
      <w:pPr>
        <w:pStyle w:val="ConsPlusNormal"/>
        <w:jc w:val="center"/>
      </w:pPr>
      <w:r>
        <w:t xml:space="preserve">(приложение 9 введено </w:t>
      </w:r>
      <w:hyperlink r:id="rId4036">
        <w:r>
          <w:rPr>
            <w:color w:val="0000FF"/>
          </w:rPr>
          <w:t>Изменением N 4</w:t>
        </w:r>
      </w:hyperlink>
      <w:r>
        <w:t>, утв. Приказом</w:t>
      </w:r>
    </w:p>
    <w:p w:rsidR="00212513" w:rsidRDefault="00212513">
      <w:pPr>
        <w:pStyle w:val="ConsPlusNormal"/>
        <w:jc w:val="center"/>
      </w:pPr>
      <w:r>
        <w:t>Минстроя России от 30.05.2024 N 361/пр)</w:t>
      </w:r>
    </w:p>
    <w:p w:rsidR="00212513" w:rsidRDefault="00212513">
      <w:pPr>
        <w:pStyle w:val="ConsPlusNormal"/>
        <w:jc w:val="both"/>
      </w:pPr>
    </w:p>
    <w:p w:rsidR="00212513" w:rsidRDefault="00212513">
      <w:pPr>
        <w:pStyle w:val="ConsPlusNormal"/>
        <w:ind w:firstLine="540"/>
        <w:jc w:val="both"/>
      </w:pPr>
      <w:r>
        <w:t xml:space="preserve">Условные номера систем приведены на </w:t>
      </w:r>
      <w:hyperlink w:anchor="P9417">
        <w:r>
          <w:rPr>
            <w:color w:val="0000FF"/>
          </w:rPr>
          <w:t>рисунках 9.1</w:t>
        </w:r>
      </w:hyperlink>
      <w:r>
        <w:t xml:space="preserve"> - </w:t>
      </w:r>
      <w:hyperlink w:anchor="P9570">
        <w:r>
          <w:rPr>
            <w:color w:val="0000FF"/>
          </w:rPr>
          <w:t>9.3</w:t>
        </w:r>
      </w:hyperlink>
      <w:r>
        <w:t xml:space="preserve">, состав систем представлен в </w:t>
      </w:r>
      <w:hyperlink w:anchor="P18745">
        <w:r>
          <w:rPr>
            <w:color w:val="0000FF"/>
          </w:rPr>
          <w:t>таблице 9.1</w:t>
        </w:r>
      </w:hyperlink>
      <w:r>
        <w:t>.</w:t>
      </w:r>
    </w:p>
    <w:p w:rsidR="00212513" w:rsidRDefault="00212513">
      <w:pPr>
        <w:pStyle w:val="ConsPlusNormal"/>
        <w:jc w:val="both"/>
      </w:pPr>
    </w:p>
    <w:p w:rsidR="00212513" w:rsidRDefault="00212513">
      <w:pPr>
        <w:pStyle w:val="ConsPlusNormal"/>
        <w:jc w:val="center"/>
      </w:pPr>
      <w:r>
        <w:rPr>
          <w:noProof/>
          <w:position w:val="-194"/>
        </w:rPr>
        <w:lastRenderedPageBreak/>
        <w:drawing>
          <wp:inline distT="0" distB="0" distL="0" distR="0">
            <wp:extent cx="4712335" cy="2605405"/>
            <wp:effectExtent l="0" t="0" r="0" b="0"/>
            <wp:docPr id="3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7">
                      <a:extLst>
                        <a:ext uri="{28A0092B-C50C-407E-A947-70E740481C1C}">
                          <a14:useLocalDpi xmlns:a14="http://schemas.microsoft.com/office/drawing/2010/main" val="0"/>
                        </a:ext>
                      </a:extLst>
                    </a:blip>
                    <a:srcRect/>
                    <a:stretch>
                      <a:fillRect/>
                    </a:stretch>
                  </pic:blipFill>
                  <pic:spPr bwMode="auto">
                    <a:xfrm>
                      <a:off x="0" y="0"/>
                      <a:ext cx="4712335" cy="2605405"/>
                    </a:xfrm>
                    <a:prstGeom prst="rect">
                      <a:avLst/>
                    </a:prstGeom>
                    <a:noFill/>
                    <a:ln>
                      <a:noFill/>
                    </a:ln>
                  </pic:spPr>
                </pic:pic>
              </a:graphicData>
            </a:graphic>
          </wp:inline>
        </w:drawing>
      </w:r>
    </w:p>
    <w:p w:rsidR="00212513" w:rsidRDefault="00212513">
      <w:pPr>
        <w:pStyle w:val="ConsPlusNormal"/>
        <w:jc w:val="both"/>
      </w:pPr>
    </w:p>
    <w:p w:rsidR="00212513" w:rsidRDefault="00212513">
      <w:pPr>
        <w:pStyle w:val="ConsPlusNormal"/>
        <w:jc w:val="center"/>
      </w:pPr>
      <w:r>
        <w:rPr>
          <w:b/>
          <w:i/>
        </w:rPr>
        <w:t>Рисунок 9.1</w:t>
      </w:r>
      <w:r>
        <w:t xml:space="preserve"> </w:t>
      </w:r>
      <w:r>
        <w:rPr>
          <w:b/>
        </w:rPr>
        <w:t>- Поперечное сечение коробчатого пролетного</w:t>
      </w:r>
    </w:p>
    <w:p w:rsidR="00212513" w:rsidRDefault="00212513">
      <w:pPr>
        <w:pStyle w:val="ConsPlusNormal"/>
        <w:jc w:val="center"/>
      </w:pPr>
      <w:r>
        <w:rPr>
          <w:b/>
        </w:rPr>
        <w:t>строения железнодорожного моста с балластом</w:t>
      </w:r>
    </w:p>
    <w:p w:rsidR="00212513" w:rsidRDefault="00212513">
      <w:pPr>
        <w:pStyle w:val="ConsPlusNormal"/>
        <w:jc w:val="both"/>
      </w:pPr>
    </w:p>
    <w:p w:rsidR="00212513" w:rsidRDefault="00212513">
      <w:pPr>
        <w:pStyle w:val="ConsPlusNormal"/>
        <w:jc w:val="both"/>
      </w:pPr>
    </w:p>
    <w:p w:rsidR="00212513" w:rsidRDefault="00212513">
      <w:pPr>
        <w:pStyle w:val="ConsPlusNormal"/>
        <w:jc w:val="both"/>
      </w:pPr>
    </w:p>
    <w:p w:rsidR="00212513" w:rsidRDefault="00212513">
      <w:pPr>
        <w:pStyle w:val="ConsPlusNormal"/>
        <w:jc w:val="center"/>
      </w:pPr>
      <w:r>
        <w:rPr>
          <w:noProof/>
          <w:position w:val="-114"/>
        </w:rPr>
        <w:drawing>
          <wp:inline distT="0" distB="0" distL="0" distR="0">
            <wp:extent cx="1760220" cy="1599565"/>
            <wp:effectExtent l="0" t="0" r="0" b="0"/>
            <wp:docPr id="3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8">
                      <a:extLst>
                        <a:ext uri="{28A0092B-C50C-407E-A947-70E740481C1C}">
                          <a14:useLocalDpi xmlns:a14="http://schemas.microsoft.com/office/drawing/2010/main" val="0"/>
                        </a:ext>
                      </a:extLst>
                    </a:blip>
                    <a:srcRect/>
                    <a:stretch>
                      <a:fillRect/>
                    </a:stretch>
                  </pic:blipFill>
                  <pic:spPr bwMode="auto">
                    <a:xfrm>
                      <a:off x="0" y="0"/>
                      <a:ext cx="1760220" cy="1599565"/>
                    </a:xfrm>
                    <a:prstGeom prst="rect">
                      <a:avLst/>
                    </a:prstGeom>
                    <a:noFill/>
                    <a:ln>
                      <a:noFill/>
                    </a:ln>
                  </pic:spPr>
                </pic:pic>
              </a:graphicData>
            </a:graphic>
          </wp:inline>
        </w:drawing>
      </w:r>
    </w:p>
    <w:p w:rsidR="00212513" w:rsidRDefault="00212513">
      <w:pPr>
        <w:pStyle w:val="ConsPlusNormal"/>
        <w:jc w:val="both"/>
      </w:pPr>
    </w:p>
    <w:p w:rsidR="00212513" w:rsidRDefault="00212513">
      <w:pPr>
        <w:pStyle w:val="ConsPlusNormal"/>
        <w:jc w:val="center"/>
      </w:pPr>
      <w:r>
        <w:rPr>
          <w:b/>
          <w:i/>
        </w:rPr>
        <w:t>Рисунок 9.2</w:t>
      </w:r>
      <w:r>
        <w:t xml:space="preserve"> </w:t>
      </w:r>
      <w:r>
        <w:rPr>
          <w:b/>
        </w:rPr>
        <w:t>- Схематичное продольное сечение</w:t>
      </w:r>
    </w:p>
    <w:p w:rsidR="00212513" w:rsidRDefault="00212513">
      <w:pPr>
        <w:pStyle w:val="ConsPlusNormal"/>
        <w:jc w:val="center"/>
      </w:pPr>
      <w:r>
        <w:rPr>
          <w:b/>
        </w:rPr>
        <w:t>по опорному узлу пролетного строения</w:t>
      </w:r>
    </w:p>
    <w:p w:rsidR="00212513" w:rsidRDefault="00212513">
      <w:pPr>
        <w:pStyle w:val="ConsPlusNormal"/>
        <w:jc w:val="both"/>
      </w:pPr>
    </w:p>
    <w:p w:rsidR="00212513" w:rsidRDefault="00212513">
      <w:pPr>
        <w:pStyle w:val="ConsPlusNormal"/>
        <w:jc w:val="both"/>
      </w:pPr>
    </w:p>
    <w:p w:rsidR="00212513" w:rsidRDefault="00212513">
      <w:pPr>
        <w:pStyle w:val="ConsPlusNormal"/>
        <w:jc w:val="both"/>
      </w:pPr>
    </w:p>
    <w:p w:rsidR="00212513" w:rsidRDefault="00212513">
      <w:pPr>
        <w:pStyle w:val="ConsPlusNormal"/>
        <w:jc w:val="center"/>
      </w:pPr>
      <w:r>
        <w:rPr>
          <w:noProof/>
          <w:position w:val="-202"/>
        </w:rPr>
        <w:drawing>
          <wp:inline distT="0" distB="0" distL="0" distR="0">
            <wp:extent cx="3037840" cy="2705735"/>
            <wp:effectExtent l="0" t="0" r="0" b="0"/>
            <wp:docPr id="3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9">
                      <a:extLst>
                        <a:ext uri="{28A0092B-C50C-407E-A947-70E740481C1C}">
                          <a14:useLocalDpi xmlns:a14="http://schemas.microsoft.com/office/drawing/2010/main" val="0"/>
                        </a:ext>
                      </a:extLst>
                    </a:blip>
                    <a:srcRect/>
                    <a:stretch>
                      <a:fillRect/>
                    </a:stretch>
                  </pic:blipFill>
                  <pic:spPr bwMode="auto">
                    <a:xfrm>
                      <a:off x="0" y="0"/>
                      <a:ext cx="3037840" cy="2705735"/>
                    </a:xfrm>
                    <a:prstGeom prst="rect">
                      <a:avLst/>
                    </a:prstGeom>
                    <a:noFill/>
                    <a:ln>
                      <a:noFill/>
                    </a:ln>
                  </pic:spPr>
                </pic:pic>
              </a:graphicData>
            </a:graphic>
          </wp:inline>
        </w:drawing>
      </w:r>
    </w:p>
    <w:p w:rsidR="00212513" w:rsidRDefault="00212513">
      <w:pPr>
        <w:pStyle w:val="ConsPlusNormal"/>
        <w:jc w:val="both"/>
      </w:pPr>
    </w:p>
    <w:p w:rsidR="00212513" w:rsidRDefault="00212513">
      <w:pPr>
        <w:pStyle w:val="ConsPlusNormal"/>
        <w:jc w:val="center"/>
      </w:pPr>
      <w:r>
        <w:rPr>
          <w:b/>
          <w:i/>
        </w:rPr>
        <w:lastRenderedPageBreak/>
        <w:t>Рисунок 9.3</w:t>
      </w:r>
      <w:r>
        <w:t xml:space="preserve"> </w:t>
      </w:r>
      <w:r>
        <w:rPr>
          <w:b/>
        </w:rPr>
        <w:t>- Схематичное продольное сечение по опорному</w:t>
      </w:r>
    </w:p>
    <w:p w:rsidR="00212513" w:rsidRDefault="00212513">
      <w:pPr>
        <w:pStyle w:val="ConsPlusNormal"/>
        <w:jc w:val="center"/>
      </w:pPr>
      <w:r>
        <w:rPr>
          <w:b/>
        </w:rPr>
        <w:t>узлу пролетного строения. Поперечное сечение пролетного</w:t>
      </w:r>
    </w:p>
    <w:p w:rsidR="00212513" w:rsidRDefault="00212513">
      <w:pPr>
        <w:pStyle w:val="ConsPlusNormal"/>
        <w:jc w:val="center"/>
      </w:pPr>
      <w:r>
        <w:rPr>
          <w:b/>
        </w:rPr>
        <w:t>строения автодорожного моста, балки со сплошной стенкой</w:t>
      </w:r>
    </w:p>
    <w:p w:rsidR="00212513" w:rsidRDefault="00212513">
      <w:pPr>
        <w:pStyle w:val="ConsPlusNormal"/>
        <w:jc w:val="both"/>
      </w:pPr>
    </w:p>
    <w:p w:rsidR="00212513" w:rsidRDefault="00212513">
      <w:pPr>
        <w:pStyle w:val="ConsPlusNormal"/>
        <w:jc w:val="right"/>
      </w:pPr>
      <w:r>
        <w:t>Таблица 9.1</w:t>
      </w:r>
    </w:p>
    <w:p w:rsidR="00212513" w:rsidRDefault="00212513">
      <w:pPr>
        <w:pStyle w:val="ConsPlusNormal"/>
        <w:jc w:val="both"/>
      </w:pPr>
    </w:p>
    <w:p w:rsidR="00212513" w:rsidRDefault="00212513">
      <w:pPr>
        <w:pStyle w:val="ConsPlusNormal"/>
        <w:jc w:val="center"/>
      </w:pPr>
      <w:bookmarkStart w:id="625" w:name="P18745"/>
      <w:bookmarkEnd w:id="625"/>
      <w:r>
        <w:rPr>
          <w:b/>
        </w:rPr>
        <w:t>Системы покрытий (категория по сроку службы систем,</w:t>
      </w:r>
    </w:p>
    <w:p w:rsidR="00212513" w:rsidRDefault="00212513">
      <w:pPr>
        <w:pStyle w:val="ConsPlusNormal"/>
        <w:jc w:val="center"/>
      </w:pPr>
      <w:r>
        <w:rPr>
          <w:b/>
        </w:rPr>
        <w:t>если не указано иное, "VH" - более 25 лет)</w:t>
      </w:r>
    </w:p>
    <w:p w:rsidR="00212513" w:rsidRDefault="00212513">
      <w:pPr>
        <w:pStyle w:val="ConsPlusNormal"/>
        <w:jc w:val="both"/>
      </w:pPr>
    </w:p>
    <w:p w:rsidR="00212513" w:rsidRDefault="00212513">
      <w:pPr>
        <w:pStyle w:val="ConsPlusNormal"/>
        <w:sectPr w:rsidR="00212513">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0"/>
        <w:gridCol w:w="2154"/>
        <w:gridCol w:w="397"/>
        <w:gridCol w:w="2268"/>
        <w:gridCol w:w="1077"/>
        <w:gridCol w:w="1701"/>
        <w:gridCol w:w="2381"/>
      </w:tblGrid>
      <w:tr w:rsidR="00212513">
        <w:tc>
          <w:tcPr>
            <w:tcW w:w="850" w:type="dxa"/>
            <w:vAlign w:val="center"/>
          </w:tcPr>
          <w:p w:rsidR="00212513" w:rsidRDefault="00212513">
            <w:pPr>
              <w:pStyle w:val="ConsPlusNormal"/>
              <w:jc w:val="center"/>
            </w:pPr>
            <w:r>
              <w:lastRenderedPageBreak/>
              <w:t>Номер элемента</w:t>
            </w:r>
          </w:p>
        </w:tc>
        <w:tc>
          <w:tcPr>
            <w:tcW w:w="2154" w:type="dxa"/>
            <w:vAlign w:val="center"/>
          </w:tcPr>
          <w:p w:rsidR="00212513" w:rsidRDefault="00212513">
            <w:pPr>
              <w:pStyle w:val="ConsPlusNormal"/>
              <w:jc w:val="center"/>
            </w:pPr>
            <w:r>
              <w:t>Коррозионная нагрузка</w:t>
            </w:r>
          </w:p>
        </w:tc>
        <w:tc>
          <w:tcPr>
            <w:tcW w:w="397" w:type="dxa"/>
            <w:vAlign w:val="center"/>
          </w:tcPr>
          <w:p w:rsidR="00212513" w:rsidRDefault="00212513">
            <w:pPr>
              <w:pStyle w:val="ConsPlusNormal"/>
              <w:jc w:val="center"/>
            </w:pPr>
            <w:r>
              <w:t>N</w:t>
            </w:r>
          </w:p>
        </w:tc>
        <w:tc>
          <w:tcPr>
            <w:tcW w:w="2268" w:type="dxa"/>
            <w:vAlign w:val="center"/>
          </w:tcPr>
          <w:p w:rsidR="00212513" w:rsidRDefault="00212513">
            <w:pPr>
              <w:pStyle w:val="ConsPlusNormal"/>
              <w:jc w:val="center"/>
            </w:pPr>
            <w:r>
              <w:t>Система покрытия</w:t>
            </w:r>
          </w:p>
        </w:tc>
        <w:tc>
          <w:tcPr>
            <w:tcW w:w="1077" w:type="dxa"/>
            <w:vAlign w:val="center"/>
          </w:tcPr>
          <w:p w:rsidR="00212513" w:rsidRDefault="00212513">
            <w:pPr>
              <w:pStyle w:val="ConsPlusNormal"/>
              <w:jc w:val="center"/>
            </w:pPr>
            <w:r>
              <w:t>Номинальная толщина сухой пленки, мкм</w:t>
            </w:r>
          </w:p>
        </w:tc>
        <w:tc>
          <w:tcPr>
            <w:tcW w:w="1701" w:type="dxa"/>
            <w:vAlign w:val="center"/>
          </w:tcPr>
          <w:p w:rsidR="00212513" w:rsidRDefault="00212513">
            <w:pPr>
              <w:pStyle w:val="ConsPlusNormal"/>
              <w:jc w:val="center"/>
            </w:pPr>
            <w:r>
              <w:t>Подготовка поверхности</w:t>
            </w:r>
          </w:p>
        </w:tc>
        <w:tc>
          <w:tcPr>
            <w:tcW w:w="2381" w:type="dxa"/>
            <w:vAlign w:val="center"/>
          </w:tcPr>
          <w:p w:rsidR="00212513" w:rsidRDefault="00212513">
            <w:pPr>
              <w:pStyle w:val="ConsPlusNormal"/>
              <w:jc w:val="center"/>
            </w:pPr>
            <w:r>
              <w:t>Примечание</w:t>
            </w:r>
          </w:p>
        </w:tc>
      </w:tr>
      <w:tr w:rsidR="00212513">
        <w:tc>
          <w:tcPr>
            <w:tcW w:w="850" w:type="dxa"/>
          </w:tcPr>
          <w:p w:rsidR="00212513" w:rsidRDefault="00212513">
            <w:pPr>
              <w:pStyle w:val="ConsPlusNormal"/>
              <w:jc w:val="center"/>
            </w:pPr>
            <w:r>
              <w:rPr>
                <w:b/>
              </w:rPr>
              <w:t>1</w:t>
            </w:r>
          </w:p>
        </w:tc>
        <w:tc>
          <w:tcPr>
            <w:tcW w:w="9978" w:type="dxa"/>
            <w:gridSpan w:val="6"/>
          </w:tcPr>
          <w:p w:rsidR="00212513" w:rsidRDefault="00212513">
            <w:pPr>
              <w:pStyle w:val="ConsPlusNormal"/>
            </w:pPr>
            <w:r>
              <w:rPr>
                <w:b/>
              </w:rPr>
              <w:t>Балка пролетного строения</w:t>
            </w:r>
          </w:p>
        </w:tc>
      </w:tr>
      <w:tr w:rsidR="00212513">
        <w:tc>
          <w:tcPr>
            <w:tcW w:w="850" w:type="dxa"/>
          </w:tcPr>
          <w:p w:rsidR="00212513" w:rsidRDefault="00212513">
            <w:pPr>
              <w:pStyle w:val="ConsPlusNormal"/>
              <w:jc w:val="center"/>
            </w:pPr>
            <w:r>
              <w:t>1.1</w:t>
            </w:r>
          </w:p>
        </w:tc>
        <w:tc>
          <w:tcPr>
            <w:tcW w:w="9978" w:type="dxa"/>
            <w:gridSpan w:val="6"/>
          </w:tcPr>
          <w:p w:rsidR="00212513" w:rsidRDefault="00212513">
            <w:pPr>
              <w:pStyle w:val="ConsPlusNormal"/>
            </w:pPr>
            <w:r>
              <w:t>Плита проезжей части (верхняя сторона)</w:t>
            </w:r>
          </w:p>
        </w:tc>
      </w:tr>
      <w:tr w:rsidR="00212513">
        <w:tc>
          <w:tcPr>
            <w:tcW w:w="850" w:type="dxa"/>
            <w:vMerge w:val="restart"/>
          </w:tcPr>
          <w:p w:rsidR="00212513" w:rsidRDefault="00212513">
            <w:pPr>
              <w:pStyle w:val="ConsPlusNormal"/>
              <w:jc w:val="center"/>
            </w:pPr>
            <w:r>
              <w:t>1.1.1</w:t>
            </w:r>
          </w:p>
        </w:tc>
        <w:tc>
          <w:tcPr>
            <w:tcW w:w="9978" w:type="dxa"/>
            <w:gridSpan w:val="6"/>
          </w:tcPr>
          <w:p w:rsidR="00212513" w:rsidRDefault="00212513">
            <w:pPr>
              <w:pStyle w:val="ConsPlusNormal"/>
            </w:pPr>
            <w:r>
              <w:t>Балластное корыто железнодорожных мостов</w:t>
            </w:r>
          </w:p>
        </w:tc>
      </w:tr>
      <w:tr w:rsidR="00212513">
        <w:tc>
          <w:tcPr>
            <w:tcW w:w="850" w:type="dxa"/>
            <w:vMerge/>
          </w:tcPr>
          <w:p w:rsidR="00212513" w:rsidRDefault="00212513">
            <w:pPr>
              <w:pStyle w:val="ConsPlusNormal"/>
            </w:pPr>
          </w:p>
        </w:tc>
        <w:tc>
          <w:tcPr>
            <w:tcW w:w="2154" w:type="dxa"/>
            <w:vMerge w:val="restart"/>
          </w:tcPr>
          <w:p w:rsidR="00212513" w:rsidRDefault="00212513">
            <w:pPr>
              <w:pStyle w:val="ConsPlusNormal"/>
            </w:pPr>
            <w:r>
              <w:t>Нагрузка от ж.-д. транспорта, основной фактор</w:t>
            </w:r>
          </w:p>
        </w:tc>
        <w:tc>
          <w:tcPr>
            <w:tcW w:w="397" w:type="dxa"/>
          </w:tcPr>
          <w:p w:rsidR="00212513" w:rsidRDefault="00212513">
            <w:pPr>
              <w:pStyle w:val="ConsPlusNormal"/>
            </w:pPr>
            <w:r>
              <w:t>1</w:t>
            </w:r>
          </w:p>
        </w:tc>
        <w:tc>
          <w:tcPr>
            <w:tcW w:w="2268" w:type="dxa"/>
          </w:tcPr>
          <w:p w:rsidR="00212513" w:rsidRDefault="00212513">
            <w:pPr>
              <w:pStyle w:val="ConsPlusNormal"/>
            </w:pPr>
            <w:r>
              <w:t>Грунт (необязательно)</w:t>
            </w:r>
          </w:p>
          <w:p w:rsidR="00212513" w:rsidRDefault="00212513">
            <w:pPr>
              <w:pStyle w:val="ConsPlusNormal"/>
            </w:pPr>
            <w:r>
              <w:t>Тонкослойное покрытие EP</w:t>
            </w:r>
          </w:p>
          <w:p w:rsidR="00212513" w:rsidRDefault="00212513">
            <w:pPr>
              <w:pStyle w:val="ConsPlusNormal"/>
            </w:pPr>
            <w:r>
              <w:t>Кварцевый песок 0,4 - 0,7 мм</w:t>
            </w:r>
          </w:p>
        </w:tc>
        <w:tc>
          <w:tcPr>
            <w:tcW w:w="1077" w:type="dxa"/>
            <w:vAlign w:val="center"/>
          </w:tcPr>
          <w:p w:rsidR="00212513" w:rsidRDefault="00212513">
            <w:pPr>
              <w:pStyle w:val="ConsPlusNormal"/>
              <w:jc w:val="center"/>
            </w:pPr>
            <w:r>
              <w:t>(80)</w:t>
            </w:r>
          </w:p>
          <w:p w:rsidR="00212513" w:rsidRDefault="00212513">
            <w:pPr>
              <w:pStyle w:val="ConsPlusNormal"/>
              <w:jc w:val="center"/>
            </w:pPr>
            <w:r>
              <w:t>4 000</w:t>
            </w:r>
          </w:p>
        </w:tc>
        <w:tc>
          <w:tcPr>
            <w:tcW w:w="1701" w:type="dxa"/>
            <w:vAlign w:val="center"/>
          </w:tcPr>
          <w:p w:rsidR="00212513" w:rsidRDefault="00212513">
            <w:pPr>
              <w:pStyle w:val="ConsPlusNormal"/>
              <w:jc w:val="center"/>
            </w:pPr>
            <w:r>
              <w:t>Sa 2</w:t>
            </w:r>
            <w:r>
              <w:rPr>
                <w:vertAlign w:val="superscript"/>
              </w:rPr>
              <w:t>1</w:t>
            </w:r>
            <w:r>
              <w:t>/</w:t>
            </w:r>
            <w:r>
              <w:rPr>
                <w:vertAlign w:val="subscript"/>
              </w:rPr>
              <w:t>2</w:t>
            </w:r>
            <w:r>
              <w:t>,</w:t>
            </w:r>
          </w:p>
          <w:p w:rsidR="00212513" w:rsidRDefault="00212513">
            <w:pPr>
              <w:pStyle w:val="ConsPlusNormal"/>
              <w:jc w:val="center"/>
            </w:pPr>
            <w:r>
              <w:t>шероховатость средняя (G)</w:t>
            </w:r>
          </w:p>
        </w:tc>
        <w:tc>
          <w:tcPr>
            <w:tcW w:w="2381" w:type="dxa"/>
          </w:tcPr>
          <w:p w:rsidR="00212513" w:rsidRDefault="00212513">
            <w:pPr>
              <w:pStyle w:val="ConsPlusNormal"/>
            </w:pPr>
          </w:p>
        </w:tc>
      </w:tr>
      <w:tr w:rsidR="00212513">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tcPr>
          <w:p w:rsidR="00212513" w:rsidRDefault="00212513">
            <w:pPr>
              <w:pStyle w:val="ConsPlusNormal"/>
            </w:pPr>
            <w:r>
              <w:t>2</w:t>
            </w:r>
          </w:p>
        </w:tc>
        <w:tc>
          <w:tcPr>
            <w:tcW w:w="2268" w:type="dxa"/>
          </w:tcPr>
          <w:p w:rsidR="00212513" w:rsidRDefault="00212513">
            <w:pPr>
              <w:pStyle w:val="ConsPlusNormal"/>
            </w:pPr>
            <w:r>
              <w:t>Грунт (необязательно)</w:t>
            </w:r>
          </w:p>
          <w:p w:rsidR="00212513" w:rsidRDefault="00212513">
            <w:pPr>
              <w:pStyle w:val="ConsPlusNormal"/>
            </w:pPr>
            <w:r>
              <w:t>Тонкослойное покрытие PUR</w:t>
            </w:r>
          </w:p>
        </w:tc>
        <w:tc>
          <w:tcPr>
            <w:tcW w:w="1077" w:type="dxa"/>
            <w:vAlign w:val="center"/>
          </w:tcPr>
          <w:p w:rsidR="00212513" w:rsidRDefault="00212513">
            <w:pPr>
              <w:pStyle w:val="ConsPlusNormal"/>
              <w:jc w:val="center"/>
            </w:pPr>
            <w:r>
              <w:t>(80)</w:t>
            </w:r>
          </w:p>
          <w:p w:rsidR="00212513" w:rsidRDefault="00212513">
            <w:pPr>
              <w:pStyle w:val="ConsPlusNormal"/>
              <w:jc w:val="center"/>
            </w:pPr>
            <w:r>
              <w:t>4 000</w:t>
            </w:r>
          </w:p>
        </w:tc>
        <w:tc>
          <w:tcPr>
            <w:tcW w:w="1701" w:type="dxa"/>
            <w:vAlign w:val="center"/>
          </w:tcPr>
          <w:p w:rsidR="00212513" w:rsidRDefault="00212513">
            <w:pPr>
              <w:pStyle w:val="ConsPlusNormal"/>
              <w:jc w:val="center"/>
            </w:pPr>
            <w:r>
              <w:t>Sa 2</w:t>
            </w:r>
            <w:r>
              <w:rPr>
                <w:vertAlign w:val="superscript"/>
              </w:rPr>
              <w:t>1</w:t>
            </w:r>
            <w:r>
              <w:t>/</w:t>
            </w:r>
            <w:r>
              <w:rPr>
                <w:vertAlign w:val="subscript"/>
              </w:rPr>
              <w:t>2</w:t>
            </w:r>
            <w:r>
              <w:t>,</w:t>
            </w:r>
          </w:p>
          <w:p w:rsidR="00212513" w:rsidRDefault="00212513">
            <w:pPr>
              <w:pStyle w:val="ConsPlusNormal"/>
              <w:jc w:val="center"/>
            </w:pPr>
            <w:r>
              <w:t>шероховатость средняя (G)</w:t>
            </w:r>
          </w:p>
        </w:tc>
        <w:tc>
          <w:tcPr>
            <w:tcW w:w="2381" w:type="dxa"/>
          </w:tcPr>
          <w:p w:rsidR="00212513" w:rsidRDefault="00212513">
            <w:pPr>
              <w:pStyle w:val="ConsPlusNormal"/>
            </w:pPr>
          </w:p>
        </w:tc>
      </w:tr>
      <w:tr w:rsidR="00212513">
        <w:tc>
          <w:tcPr>
            <w:tcW w:w="850" w:type="dxa"/>
          </w:tcPr>
          <w:p w:rsidR="00212513" w:rsidRDefault="00212513">
            <w:pPr>
              <w:pStyle w:val="ConsPlusNormal"/>
              <w:jc w:val="center"/>
            </w:pPr>
            <w:r>
              <w:t>1.2</w:t>
            </w:r>
          </w:p>
        </w:tc>
        <w:tc>
          <w:tcPr>
            <w:tcW w:w="9978" w:type="dxa"/>
            <w:gridSpan w:val="6"/>
          </w:tcPr>
          <w:p w:rsidR="00212513" w:rsidRDefault="00212513">
            <w:pPr>
              <w:pStyle w:val="ConsPlusNormal"/>
            </w:pPr>
            <w:r>
              <w:t>Плита проезжей части (внутренняя сторона), включая продольные и поперечные балки</w:t>
            </w:r>
          </w:p>
        </w:tc>
      </w:tr>
      <w:tr w:rsidR="00212513">
        <w:tc>
          <w:tcPr>
            <w:tcW w:w="850" w:type="dxa"/>
            <w:vMerge w:val="restart"/>
          </w:tcPr>
          <w:p w:rsidR="00212513" w:rsidRDefault="00212513">
            <w:pPr>
              <w:pStyle w:val="ConsPlusNormal"/>
              <w:jc w:val="center"/>
            </w:pPr>
            <w:r>
              <w:t>1.2.1</w:t>
            </w:r>
          </w:p>
        </w:tc>
        <w:tc>
          <w:tcPr>
            <w:tcW w:w="9978" w:type="dxa"/>
            <w:gridSpan w:val="6"/>
          </w:tcPr>
          <w:p w:rsidR="00212513" w:rsidRDefault="00212513">
            <w:pPr>
              <w:pStyle w:val="ConsPlusNormal"/>
            </w:pPr>
            <w:r>
              <w:t>Плита проезжей части (внутренняя сторона) в открытых вентилируемых коробчатых балках</w:t>
            </w:r>
          </w:p>
        </w:tc>
      </w:tr>
      <w:tr w:rsidR="00212513">
        <w:tc>
          <w:tcPr>
            <w:tcW w:w="850" w:type="dxa"/>
            <w:vMerge/>
          </w:tcPr>
          <w:p w:rsidR="00212513" w:rsidRDefault="00212513">
            <w:pPr>
              <w:pStyle w:val="ConsPlusNormal"/>
            </w:pPr>
          </w:p>
        </w:tc>
        <w:tc>
          <w:tcPr>
            <w:tcW w:w="2154" w:type="dxa"/>
            <w:vMerge w:val="restart"/>
          </w:tcPr>
          <w:p w:rsidR="00212513" w:rsidRDefault="00212513">
            <w:pPr>
              <w:pStyle w:val="ConsPlusNormal"/>
            </w:pPr>
            <w:r>
              <w:t>Не определена</w:t>
            </w:r>
          </w:p>
        </w:tc>
        <w:tc>
          <w:tcPr>
            <w:tcW w:w="7824" w:type="dxa"/>
            <w:gridSpan w:val="5"/>
          </w:tcPr>
          <w:p w:rsidR="00212513" w:rsidRDefault="00212513">
            <w:pPr>
              <w:pStyle w:val="ConsPlusNormal"/>
            </w:pPr>
            <w:r>
              <w:t>Во внутренних с открытым доступом коробчатых балках в целях облегчения инспекции рекомендуется использовать яркие цвета, например RAL 9002</w:t>
            </w:r>
          </w:p>
        </w:tc>
      </w:tr>
      <w:tr w:rsidR="00212513">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val="restart"/>
            <w:vAlign w:val="center"/>
          </w:tcPr>
          <w:p w:rsidR="00212513" w:rsidRDefault="00212513">
            <w:pPr>
              <w:pStyle w:val="ConsPlusNormal"/>
              <w:jc w:val="center"/>
            </w:pPr>
            <w:r>
              <w:t>1</w:t>
            </w:r>
          </w:p>
        </w:tc>
        <w:tc>
          <w:tcPr>
            <w:tcW w:w="2268" w:type="dxa"/>
            <w:tcBorders>
              <w:bottom w:val="nil"/>
            </w:tcBorders>
          </w:tcPr>
          <w:p w:rsidR="00212513" w:rsidRDefault="00212513">
            <w:pPr>
              <w:pStyle w:val="ConsPlusNormal"/>
            </w:pPr>
            <w:r>
              <w:t>Грунт EP-Zn</w:t>
            </w:r>
          </w:p>
        </w:tc>
        <w:tc>
          <w:tcPr>
            <w:tcW w:w="1077" w:type="dxa"/>
            <w:tcBorders>
              <w:bottom w:val="nil"/>
            </w:tcBorders>
          </w:tcPr>
          <w:p w:rsidR="00212513" w:rsidRDefault="00212513">
            <w:pPr>
              <w:pStyle w:val="ConsPlusNormal"/>
              <w:jc w:val="center"/>
            </w:pPr>
            <w:r>
              <w:t>80</w:t>
            </w:r>
          </w:p>
        </w:tc>
        <w:tc>
          <w:tcPr>
            <w:tcW w:w="1701" w:type="dxa"/>
            <w:vMerge w:val="restart"/>
            <w:vAlign w:val="center"/>
          </w:tcPr>
          <w:p w:rsidR="00212513" w:rsidRDefault="00212513">
            <w:pPr>
              <w:pStyle w:val="ConsPlusNormal"/>
              <w:jc w:val="center"/>
            </w:pPr>
            <w:r>
              <w:t>Sa 2</w:t>
            </w:r>
            <w:r>
              <w:rPr>
                <w:vertAlign w:val="superscript"/>
              </w:rPr>
              <w:t>1</w:t>
            </w:r>
            <w:r>
              <w:t>/</w:t>
            </w:r>
            <w:r>
              <w:rPr>
                <w:vertAlign w:val="subscript"/>
              </w:rPr>
              <w:t>2</w:t>
            </w:r>
            <w:r>
              <w:t>, шероховатость средняя (G)</w:t>
            </w:r>
          </w:p>
        </w:tc>
        <w:tc>
          <w:tcPr>
            <w:tcW w:w="2381" w:type="dxa"/>
            <w:vMerge w:val="restart"/>
          </w:tcPr>
          <w:p w:rsidR="00212513" w:rsidRDefault="00212513">
            <w:pPr>
              <w:pStyle w:val="ConsPlusNormal"/>
            </w:pPr>
          </w:p>
        </w:tc>
      </w:tr>
      <w:tr w:rsidR="00212513">
        <w:tblPrEx>
          <w:tblBorders>
            <w:insideH w:val="nil"/>
          </w:tblBorders>
        </w:tblPrEx>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bottom w:val="nil"/>
            </w:tcBorders>
          </w:tcPr>
          <w:p w:rsidR="00212513" w:rsidRDefault="00212513">
            <w:pPr>
              <w:pStyle w:val="ConsPlusNormal"/>
            </w:pPr>
            <w:r>
              <w:t>Промежуточный слой EP (PUR, если проходит)</w:t>
            </w:r>
          </w:p>
        </w:tc>
        <w:tc>
          <w:tcPr>
            <w:tcW w:w="1077" w:type="dxa"/>
            <w:tcBorders>
              <w:top w:val="nil"/>
              <w:bottom w:val="nil"/>
            </w:tcBorders>
          </w:tcPr>
          <w:p w:rsidR="00212513" w:rsidRDefault="00212513">
            <w:pPr>
              <w:pStyle w:val="ConsPlusNormal"/>
              <w:jc w:val="center"/>
            </w:pPr>
            <w:r>
              <w:t>80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tcBorders>
          </w:tcPr>
          <w:p w:rsidR="00212513" w:rsidRDefault="00212513">
            <w:pPr>
              <w:pStyle w:val="ConsPlusNormal"/>
            </w:pPr>
            <w:r>
              <w:t>Покрывной слой PUR</w:t>
            </w:r>
          </w:p>
        </w:tc>
        <w:tc>
          <w:tcPr>
            <w:tcW w:w="1077" w:type="dxa"/>
            <w:tcBorders>
              <w:top w:val="nil"/>
            </w:tcBorders>
          </w:tcPr>
          <w:p w:rsidR="00212513" w:rsidRDefault="00212513">
            <w:pPr>
              <w:pStyle w:val="ConsPlusNormal"/>
              <w:jc w:val="center"/>
            </w:pPr>
            <w:r>
              <w:t>80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val="restart"/>
            <w:vAlign w:val="center"/>
          </w:tcPr>
          <w:p w:rsidR="00212513" w:rsidRDefault="00212513">
            <w:pPr>
              <w:pStyle w:val="ConsPlusNormal"/>
              <w:jc w:val="center"/>
            </w:pPr>
            <w:r>
              <w:t>2</w:t>
            </w:r>
          </w:p>
        </w:tc>
        <w:tc>
          <w:tcPr>
            <w:tcW w:w="2268" w:type="dxa"/>
            <w:tcBorders>
              <w:bottom w:val="nil"/>
            </w:tcBorders>
          </w:tcPr>
          <w:p w:rsidR="00212513" w:rsidRDefault="00212513">
            <w:pPr>
              <w:pStyle w:val="ConsPlusNormal"/>
            </w:pPr>
            <w:r>
              <w:t>Грунт EP-Zn</w:t>
            </w:r>
          </w:p>
        </w:tc>
        <w:tc>
          <w:tcPr>
            <w:tcW w:w="1077" w:type="dxa"/>
            <w:tcBorders>
              <w:bottom w:val="nil"/>
            </w:tcBorders>
          </w:tcPr>
          <w:p w:rsidR="00212513" w:rsidRDefault="00212513">
            <w:pPr>
              <w:pStyle w:val="ConsPlusNormal"/>
              <w:jc w:val="center"/>
            </w:pPr>
            <w:r>
              <w:t>80</w:t>
            </w:r>
          </w:p>
        </w:tc>
        <w:tc>
          <w:tcPr>
            <w:tcW w:w="1701" w:type="dxa"/>
            <w:vMerge w:val="restart"/>
            <w:vAlign w:val="center"/>
          </w:tcPr>
          <w:p w:rsidR="00212513" w:rsidRDefault="00212513">
            <w:pPr>
              <w:pStyle w:val="ConsPlusNormal"/>
              <w:jc w:val="center"/>
            </w:pPr>
            <w:r>
              <w:t>Sa 2</w:t>
            </w:r>
            <w:r>
              <w:rPr>
                <w:vertAlign w:val="superscript"/>
              </w:rPr>
              <w:t>1</w:t>
            </w:r>
            <w:r>
              <w:t>/</w:t>
            </w:r>
            <w:r>
              <w:rPr>
                <w:vertAlign w:val="subscript"/>
              </w:rPr>
              <w:t>2</w:t>
            </w:r>
            <w:r>
              <w:t>,</w:t>
            </w:r>
          </w:p>
          <w:p w:rsidR="00212513" w:rsidRDefault="00212513">
            <w:pPr>
              <w:pStyle w:val="ConsPlusNormal"/>
              <w:jc w:val="center"/>
            </w:pPr>
            <w:r>
              <w:t>шероховатость средняя (G)</w:t>
            </w:r>
          </w:p>
        </w:tc>
        <w:tc>
          <w:tcPr>
            <w:tcW w:w="2381" w:type="dxa"/>
            <w:vMerge w:val="restart"/>
          </w:tcPr>
          <w:p w:rsidR="00212513" w:rsidRDefault="00212513">
            <w:pPr>
              <w:pStyle w:val="ConsPlusNormal"/>
            </w:pPr>
          </w:p>
        </w:tc>
      </w:tr>
      <w:tr w:rsidR="00212513">
        <w:tblPrEx>
          <w:tblBorders>
            <w:insideH w:val="nil"/>
          </w:tblBorders>
        </w:tblPrEx>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bottom w:val="nil"/>
            </w:tcBorders>
          </w:tcPr>
          <w:p w:rsidR="00212513" w:rsidRDefault="00212513">
            <w:pPr>
              <w:pStyle w:val="ConsPlusNormal"/>
            </w:pPr>
            <w:r>
              <w:t>Промежуточный слой EP HS</w:t>
            </w:r>
          </w:p>
        </w:tc>
        <w:tc>
          <w:tcPr>
            <w:tcW w:w="1077" w:type="dxa"/>
            <w:tcBorders>
              <w:top w:val="nil"/>
              <w:bottom w:val="nil"/>
            </w:tcBorders>
          </w:tcPr>
          <w:p w:rsidR="00212513" w:rsidRDefault="00212513">
            <w:pPr>
              <w:pStyle w:val="ConsPlusNormal"/>
              <w:jc w:val="center"/>
            </w:pPr>
            <w:r>
              <w:t>80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tcBorders>
          </w:tcPr>
          <w:p w:rsidR="00212513" w:rsidRDefault="00212513">
            <w:pPr>
              <w:pStyle w:val="ConsPlusNormal"/>
            </w:pPr>
            <w:r>
              <w:t>Покрывной слой PUR</w:t>
            </w:r>
          </w:p>
        </w:tc>
        <w:tc>
          <w:tcPr>
            <w:tcW w:w="1077" w:type="dxa"/>
            <w:tcBorders>
              <w:top w:val="nil"/>
            </w:tcBorders>
          </w:tcPr>
          <w:p w:rsidR="00212513" w:rsidRDefault="00212513">
            <w:pPr>
              <w:pStyle w:val="ConsPlusNormal"/>
              <w:jc w:val="center"/>
            </w:pPr>
            <w:r>
              <w:t>80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c>
          <w:tcPr>
            <w:tcW w:w="850" w:type="dxa"/>
            <w:vMerge w:val="restart"/>
          </w:tcPr>
          <w:p w:rsidR="00212513" w:rsidRDefault="00212513">
            <w:pPr>
              <w:pStyle w:val="ConsPlusNormal"/>
              <w:jc w:val="center"/>
            </w:pPr>
            <w:bookmarkStart w:id="626" w:name="P18804"/>
            <w:bookmarkEnd w:id="626"/>
            <w:r>
              <w:t>1.2.2</w:t>
            </w:r>
          </w:p>
        </w:tc>
        <w:tc>
          <w:tcPr>
            <w:tcW w:w="9978" w:type="dxa"/>
            <w:gridSpan w:val="6"/>
          </w:tcPr>
          <w:p w:rsidR="00212513" w:rsidRDefault="00212513">
            <w:pPr>
              <w:pStyle w:val="ConsPlusNormal"/>
            </w:pPr>
            <w:r>
              <w:t>Плита проезжей части (внутренняя сторона) в открытых поперечных сечениях</w:t>
            </w:r>
          </w:p>
        </w:tc>
      </w:tr>
      <w:tr w:rsidR="00212513">
        <w:tc>
          <w:tcPr>
            <w:tcW w:w="850" w:type="dxa"/>
            <w:vMerge/>
          </w:tcPr>
          <w:p w:rsidR="00212513" w:rsidRDefault="00212513">
            <w:pPr>
              <w:pStyle w:val="ConsPlusNormal"/>
            </w:pPr>
          </w:p>
        </w:tc>
        <w:tc>
          <w:tcPr>
            <w:tcW w:w="2154" w:type="dxa"/>
            <w:vMerge w:val="restart"/>
          </w:tcPr>
          <w:p w:rsidR="00212513" w:rsidRDefault="00212513">
            <w:pPr>
              <w:pStyle w:val="ConsPlusNormal"/>
            </w:pPr>
            <w:r>
              <w:t>Для внутренних поверхностей плиты проезжей части устанавливается максимальная категория коррозионной активности</w:t>
            </w:r>
          </w:p>
        </w:tc>
        <w:tc>
          <w:tcPr>
            <w:tcW w:w="397" w:type="dxa"/>
            <w:vMerge w:val="restart"/>
            <w:vAlign w:val="center"/>
          </w:tcPr>
          <w:p w:rsidR="00212513" w:rsidRDefault="00212513">
            <w:pPr>
              <w:pStyle w:val="ConsPlusNormal"/>
              <w:jc w:val="center"/>
            </w:pPr>
            <w:r>
              <w:t>1</w:t>
            </w:r>
          </w:p>
        </w:tc>
        <w:tc>
          <w:tcPr>
            <w:tcW w:w="2268" w:type="dxa"/>
            <w:tcBorders>
              <w:bottom w:val="nil"/>
            </w:tcBorders>
          </w:tcPr>
          <w:p w:rsidR="00212513" w:rsidRDefault="00212513">
            <w:pPr>
              <w:pStyle w:val="ConsPlusNormal"/>
            </w:pPr>
            <w:r>
              <w:t>Грунт EP-Zn</w:t>
            </w:r>
          </w:p>
        </w:tc>
        <w:tc>
          <w:tcPr>
            <w:tcW w:w="1077" w:type="dxa"/>
            <w:tcBorders>
              <w:bottom w:val="nil"/>
            </w:tcBorders>
          </w:tcPr>
          <w:p w:rsidR="00212513" w:rsidRDefault="00212513">
            <w:pPr>
              <w:pStyle w:val="ConsPlusNormal"/>
              <w:jc w:val="center"/>
            </w:pPr>
            <w:r>
              <w:t>80</w:t>
            </w:r>
          </w:p>
        </w:tc>
        <w:tc>
          <w:tcPr>
            <w:tcW w:w="1701" w:type="dxa"/>
            <w:vMerge w:val="restart"/>
            <w:vAlign w:val="center"/>
          </w:tcPr>
          <w:p w:rsidR="00212513" w:rsidRDefault="00212513">
            <w:pPr>
              <w:pStyle w:val="ConsPlusNormal"/>
              <w:jc w:val="center"/>
            </w:pPr>
            <w:r>
              <w:t>Sa 2</w:t>
            </w:r>
            <w:r>
              <w:rPr>
                <w:vertAlign w:val="superscript"/>
              </w:rPr>
              <w:t>1</w:t>
            </w:r>
            <w:r>
              <w:t>/</w:t>
            </w:r>
            <w:r>
              <w:rPr>
                <w:vertAlign w:val="subscript"/>
              </w:rPr>
              <w:t>2</w:t>
            </w:r>
            <w:r>
              <w:t>, шероховатость средняя (G)</w:t>
            </w:r>
          </w:p>
        </w:tc>
        <w:tc>
          <w:tcPr>
            <w:tcW w:w="2381" w:type="dxa"/>
            <w:vMerge w:val="restart"/>
          </w:tcPr>
          <w:p w:rsidR="00212513" w:rsidRDefault="00212513">
            <w:pPr>
              <w:pStyle w:val="ConsPlusNormal"/>
            </w:pPr>
          </w:p>
        </w:tc>
      </w:tr>
      <w:tr w:rsidR="00212513">
        <w:tblPrEx>
          <w:tblBorders>
            <w:insideH w:val="nil"/>
          </w:tblBorders>
        </w:tblPrEx>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bottom w:val="nil"/>
            </w:tcBorders>
          </w:tcPr>
          <w:p w:rsidR="00212513" w:rsidRDefault="00212513">
            <w:pPr>
              <w:pStyle w:val="ConsPlusNormal"/>
            </w:pPr>
            <w:r>
              <w:t>1-й промежуточный слой EP</w:t>
            </w:r>
          </w:p>
        </w:tc>
        <w:tc>
          <w:tcPr>
            <w:tcW w:w="1077" w:type="dxa"/>
            <w:tcBorders>
              <w:top w:val="nil"/>
              <w:bottom w:val="nil"/>
            </w:tcBorders>
          </w:tcPr>
          <w:p w:rsidR="00212513" w:rsidRDefault="00212513">
            <w:pPr>
              <w:pStyle w:val="ConsPlusNormal"/>
              <w:jc w:val="center"/>
            </w:pPr>
            <w:r>
              <w:t>80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blPrEx>
          <w:tblBorders>
            <w:insideH w:val="nil"/>
          </w:tblBorders>
        </w:tblPrEx>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bottom w:val="nil"/>
            </w:tcBorders>
          </w:tcPr>
          <w:p w:rsidR="00212513" w:rsidRDefault="00212513">
            <w:pPr>
              <w:pStyle w:val="ConsPlusNormal"/>
            </w:pPr>
            <w:r>
              <w:t>2-й промежуточный слой EP (PUR, если проходит)</w:t>
            </w:r>
          </w:p>
        </w:tc>
        <w:tc>
          <w:tcPr>
            <w:tcW w:w="1077" w:type="dxa"/>
            <w:tcBorders>
              <w:top w:val="nil"/>
              <w:bottom w:val="nil"/>
            </w:tcBorders>
          </w:tcPr>
          <w:p w:rsidR="00212513" w:rsidRDefault="00212513">
            <w:pPr>
              <w:pStyle w:val="ConsPlusNormal"/>
              <w:jc w:val="center"/>
            </w:pPr>
            <w:r>
              <w:t>80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tcBorders>
          </w:tcPr>
          <w:p w:rsidR="00212513" w:rsidRDefault="00212513">
            <w:pPr>
              <w:pStyle w:val="ConsPlusNormal"/>
            </w:pPr>
            <w:r>
              <w:t>Покрывной слой PUR</w:t>
            </w:r>
          </w:p>
        </w:tc>
        <w:tc>
          <w:tcPr>
            <w:tcW w:w="1077" w:type="dxa"/>
            <w:tcBorders>
              <w:top w:val="nil"/>
            </w:tcBorders>
          </w:tcPr>
          <w:p w:rsidR="00212513" w:rsidRDefault="00212513">
            <w:pPr>
              <w:pStyle w:val="ConsPlusNormal"/>
              <w:jc w:val="center"/>
            </w:pPr>
            <w:r>
              <w:t>80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val="restart"/>
            <w:vAlign w:val="center"/>
          </w:tcPr>
          <w:p w:rsidR="00212513" w:rsidRDefault="00212513">
            <w:pPr>
              <w:pStyle w:val="ConsPlusNormal"/>
              <w:jc w:val="center"/>
            </w:pPr>
            <w:r>
              <w:t>2</w:t>
            </w:r>
          </w:p>
        </w:tc>
        <w:tc>
          <w:tcPr>
            <w:tcW w:w="2268" w:type="dxa"/>
            <w:tcBorders>
              <w:bottom w:val="nil"/>
            </w:tcBorders>
          </w:tcPr>
          <w:p w:rsidR="00212513" w:rsidRDefault="00212513">
            <w:pPr>
              <w:pStyle w:val="ConsPlusNormal"/>
            </w:pPr>
            <w:r>
              <w:t>Грунт EP-Zn</w:t>
            </w:r>
          </w:p>
        </w:tc>
        <w:tc>
          <w:tcPr>
            <w:tcW w:w="1077" w:type="dxa"/>
            <w:tcBorders>
              <w:bottom w:val="nil"/>
            </w:tcBorders>
          </w:tcPr>
          <w:p w:rsidR="00212513" w:rsidRDefault="00212513">
            <w:pPr>
              <w:pStyle w:val="ConsPlusNormal"/>
              <w:jc w:val="center"/>
            </w:pPr>
            <w:r>
              <w:t>80</w:t>
            </w:r>
          </w:p>
        </w:tc>
        <w:tc>
          <w:tcPr>
            <w:tcW w:w="1701" w:type="dxa"/>
            <w:vMerge w:val="restart"/>
            <w:vAlign w:val="center"/>
          </w:tcPr>
          <w:p w:rsidR="00212513" w:rsidRDefault="00212513">
            <w:pPr>
              <w:pStyle w:val="ConsPlusNormal"/>
              <w:jc w:val="center"/>
            </w:pPr>
            <w:r>
              <w:t>Sa 2</w:t>
            </w:r>
            <w:r>
              <w:rPr>
                <w:vertAlign w:val="superscript"/>
              </w:rPr>
              <w:t>1</w:t>
            </w:r>
            <w:r>
              <w:t>/</w:t>
            </w:r>
            <w:r>
              <w:rPr>
                <w:vertAlign w:val="subscript"/>
              </w:rPr>
              <w:t>2</w:t>
            </w:r>
            <w:r>
              <w:t>,</w:t>
            </w:r>
          </w:p>
          <w:p w:rsidR="00212513" w:rsidRDefault="00212513">
            <w:pPr>
              <w:pStyle w:val="ConsPlusNormal"/>
              <w:jc w:val="center"/>
            </w:pPr>
            <w:r>
              <w:t>шероховатость средняя (G)</w:t>
            </w:r>
          </w:p>
        </w:tc>
        <w:tc>
          <w:tcPr>
            <w:tcW w:w="2381" w:type="dxa"/>
            <w:vMerge w:val="restart"/>
          </w:tcPr>
          <w:p w:rsidR="00212513" w:rsidRDefault="00212513">
            <w:pPr>
              <w:pStyle w:val="ConsPlusNormal"/>
            </w:pPr>
          </w:p>
        </w:tc>
      </w:tr>
      <w:tr w:rsidR="00212513">
        <w:tblPrEx>
          <w:tblBorders>
            <w:insideH w:val="nil"/>
          </w:tblBorders>
        </w:tblPrEx>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bottom w:val="nil"/>
            </w:tcBorders>
          </w:tcPr>
          <w:p w:rsidR="00212513" w:rsidRDefault="00212513">
            <w:pPr>
              <w:pStyle w:val="ConsPlusNormal"/>
            </w:pPr>
            <w:r>
              <w:t>Промежуточный слой EP HS</w:t>
            </w:r>
          </w:p>
        </w:tc>
        <w:tc>
          <w:tcPr>
            <w:tcW w:w="1077" w:type="dxa"/>
            <w:tcBorders>
              <w:top w:val="nil"/>
              <w:bottom w:val="nil"/>
            </w:tcBorders>
          </w:tcPr>
          <w:p w:rsidR="00212513" w:rsidRDefault="00212513">
            <w:pPr>
              <w:pStyle w:val="ConsPlusNormal"/>
              <w:jc w:val="center"/>
            </w:pPr>
            <w:r>
              <w:t>150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tcBorders>
          </w:tcPr>
          <w:p w:rsidR="00212513" w:rsidRDefault="00212513">
            <w:pPr>
              <w:pStyle w:val="ConsPlusNormal"/>
            </w:pPr>
            <w:r>
              <w:t>Покрывной слой PUR/PUR HS</w:t>
            </w:r>
          </w:p>
        </w:tc>
        <w:tc>
          <w:tcPr>
            <w:tcW w:w="1077" w:type="dxa"/>
            <w:tcBorders>
              <w:top w:val="nil"/>
            </w:tcBorders>
          </w:tcPr>
          <w:p w:rsidR="00212513" w:rsidRDefault="00212513">
            <w:pPr>
              <w:pStyle w:val="ConsPlusNormal"/>
              <w:jc w:val="center"/>
            </w:pPr>
            <w:r>
              <w:t>80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val="restart"/>
            <w:vAlign w:val="center"/>
          </w:tcPr>
          <w:p w:rsidR="00212513" w:rsidRDefault="00212513">
            <w:pPr>
              <w:pStyle w:val="ConsPlusNormal"/>
              <w:jc w:val="center"/>
            </w:pPr>
            <w:r>
              <w:t>3</w:t>
            </w:r>
          </w:p>
        </w:tc>
        <w:tc>
          <w:tcPr>
            <w:tcW w:w="2268" w:type="dxa"/>
            <w:tcBorders>
              <w:bottom w:val="nil"/>
            </w:tcBorders>
          </w:tcPr>
          <w:p w:rsidR="00212513" w:rsidRDefault="00212513">
            <w:pPr>
              <w:pStyle w:val="ConsPlusNormal"/>
            </w:pPr>
            <w:r>
              <w:t>Грунт 1C-PUR-Zn</w:t>
            </w:r>
          </w:p>
        </w:tc>
        <w:tc>
          <w:tcPr>
            <w:tcW w:w="1077" w:type="dxa"/>
            <w:tcBorders>
              <w:bottom w:val="nil"/>
            </w:tcBorders>
          </w:tcPr>
          <w:p w:rsidR="00212513" w:rsidRDefault="00212513">
            <w:pPr>
              <w:pStyle w:val="ConsPlusNormal"/>
              <w:jc w:val="center"/>
            </w:pPr>
            <w:r>
              <w:t>80</w:t>
            </w:r>
          </w:p>
        </w:tc>
        <w:tc>
          <w:tcPr>
            <w:tcW w:w="1701" w:type="dxa"/>
            <w:vMerge w:val="restart"/>
            <w:vAlign w:val="center"/>
          </w:tcPr>
          <w:p w:rsidR="00212513" w:rsidRDefault="00212513">
            <w:pPr>
              <w:pStyle w:val="ConsPlusNormal"/>
              <w:jc w:val="center"/>
            </w:pPr>
            <w:r>
              <w:t>Sa 2</w:t>
            </w:r>
            <w:r>
              <w:rPr>
                <w:vertAlign w:val="superscript"/>
              </w:rPr>
              <w:t>1</w:t>
            </w:r>
            <w:r>
              <w:t>/</w:t>
            </w:r>
            <w:r>
              <w:rPr>
                <w:vertAlign w:val="subscript"/>
              </w:rPr>
              <w:t>2</w:t>
            </w:r>
            <w:r>
              <w:t>,</w:t>
            </w:r>
          </w:p>
          <w:p w:rsidR="00212513" w:rsidRDefault="00212513">
            <w:pPr>
              <w:pStyle w:val="ConsPlusNormal"/>
              <w:jc w:val="center"/>
            </w:pPr>
            <w:r>
              <w:t>шероховатость средняя (G)</w:t>
            </w:r>
          </w:p>
        </w:tc>
        <w:tc>
          <w:tcPr>
            <w:tcW w:w="2381" w:type="dxa"/>
            <w:vMerge w:val="restart"/>
            <w:vAlign w:val="center"/>
          </w:tcPr>
          <w:p w:rsidR="00212513" w:rsidRDefault="00212513">
            <w:pPr>
              <w:pStyle w:val="ConsPlusNormal"/>
            </w:pPr>
            <w:r>
              <w:t>Для неблагоприятных условий применения</w:t>
            </w:r>
          </w:p>
        </w:tc>
      </w:tr>
      <w:tr w:rsidR="00212513">
        <w:tblPrEx>
          <w:tblBorders>
            <w:insideH w:val="nil"/>
          </w:tblBorders>
        </w:tblPrEx>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bottom w:val="nil"/>
            </w:tcBorders>
          </w:tcPr>
          <w:p w:rsidR="00212513" w:rsidRDefault="00212513">
            <w:pPr>
              <w:pStyle w:val="ConsPlusNormal"/>
            </w:pPr>
            <w:r>
              <w:t>1-й промежуточный слой 1C-PUR</w:t>
            </w:r>
          </w:p>
        </w:tc>
        <w:tc>
          <w:tcPr>
            <w:tcW w:w="1077" w:type="dxa"/>
            <w:tcBorders>
              <w:top w:val="nil"/>
              <w:bottom w:val="nil"/>
            </w:tcBorders>
          </w:tcPr>
          <w:p w:rsidR="00212513" w:rsidRDefault="00212513">
            <w:pPr>
              <w:pStyle w:val="ConsPlusNormal"/>
              <w:jc w:val="center"/>
            </w:pPr>
            <w:r>
              <w:t>80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blPrEx>
          <w:tblBorders>
            <w:insideH w:val="nil"/>
          </w:tblBorders>
        </w:tblPrEx>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bottom w:val="nil"/>
            </w:tcBorders>
          </w:tcPr>
          <w:p w:rsidR="00212513" w:rsidRDefault="00212513">
            <w:pPr>
              <w:pStyle w:val="ConsPlusNormal"/>
            </w:pPr>
            <w:r>
              <w:t>2-й промежуточный слой 1C-PUR</w:t>
            </w:r>
          </w:p>
        </w:tc>
        <w:tc>
          <w:tcPr>
            <w:tcW w:w="1077" w:type="dxa"/>
            <w:tcBorders>
              <w:top w:val="nil"/>
              <w:bottom w:val="nil"/>
            </w:tcBorders>
          </w:tcPr>
          <w:p w:rsidR="00212513" w:rsidRDefault="00212513">
            <w:pPr>
              <w:pStyle w:val="ConsPlusNormal"/>
              <w:jc w:val="center"/>
            </w:pPr>
            <w:r>
              <w:t>80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tcBorders>
          </w:tcPr>
          <w:p w:rsidR="00212513" w:rsidRDefault="00212513">
            <w:pPr>
              <w:pStyle w:val="ConsPlusNormal"/>
            </w:pPr>
            <w:r>
              <w:t>Покрывной слой PUR</w:t>
            </w:r>
          </w:p>
        </w:tc>
        <w:tc>
          <w:tcPr>
            <w:tcW w:w="1077" w:type="dxa"/>
            <w:tcBorders>
              <w:top w:val="nil"/>
            </w:tcBorders>
          </w:tcPr>
          <w:p w:rsidR="00212513" w:rsidRDefault="00212513">
            <w:pPr>
              <w:pStyle w:val="ConsPlusNormal"/>
              <w:jc w:val="center"/>
            </w:pPr>
            <w:r>
              <w:t>80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c>
          <w:tcPr>
            <w:tcW w:w="850" w:type="dxa"/>
          </w:tcPr>
          <w:p w:rsidR="00212513" w:rsidRDefault="00212513">
            <w:pPr>
              <w:pStyle w:val="ConsPlusNormal"/>
              <w:jc w:val="center"/>
            </w:pPr>
            <w:r>
              <w:t>1.3</w:t>
            </w:r>
          </w:p>
        </w:tc>
        <w:tc>
          <w:tcPr>
            <w:tcW w:w="9978" w:type="dxa"/>
            <w:gridSpan w:val="6"/>
          </w:tcPr>
          <w:p w:rsidR="00212513" w:rsidRDefault="00212513">
            <w:pPr>
              <w:pStyle w:val="ConsPlusNormal"/>
            </w:pPr>
            <w:r>
              <w:t>Коробчатые балки, балки со сплошной стенкой, связи</w:t>
            </w:r>
          </w:p>
        </w:tc>
      </w:tr>
      <w:tr w:rsidR="00212513">
        <w:tc>
          <w:tcPr>
            <w:tcW w:w="850" w:type="dxa"/>
            <w:vMerge w:val="restart"/>
          </w:tcPr>
          <w:p w:rsidR="00212513" w:rsidRDefault="00212513">
            <w:pPr>
              <w:pStyle w:val="ConsPlusNormal"/>
              <w:jc w:val="center"/>
            </w:pPr>
            <w:r>
              <w:t>1.3.1</w:t>
            </w:r>
          </w:p>
        </w:tc>
        <w:tc>
          <w:tcPr>
            <w:tcW w:w="9978" w:type="dxa"/>
            <w:gridSpan w:val="6"/>
          </w:tcPr>
          <w:p w:rsidR="00212513" w:rsidRDefault="00212513">
            <w:pPr>
              <w:pStyle w:val="ConsPlusNormal"/>
            </w:pPr>
            <w:r>
              <w:t>Видимые поверхности</w:t>
            </w:r>
          </w:p>
        </w:tc>
      </w:tr>
      <w:tr w:rsidR="00212513">
        <w:tc>
          <w:tcPr>
            <w:tcW w:w="850" w:type="dxa"/>
            <w:vMerge/>
          </w:tcPr>
          <w:p w:rsidR="00212513" w:rsidRDefault="00212513">
            <w:pPr>
              <w:pStyle w:val="ConsPlusNormal"/>
            </w:pPr>
          </w:p>
        </w:tc>
        <w:tc>
          <w:tcPr>
            <w:tcW w:w="2154" w:type="dxa"/>
            <w:vMerge w:val="restart"/>
          </w:tcPr>
          <w:p w:rsidR="00212513" w:rsidRDefault="00212513">
            <w:pPr>
              <w:pStyle w:val="ConsPlusNormal"/>
            </w:pPr>
            <w:r>
              <w:t>Открытая атмосфера: категория коррозионной активности до "C3"</w:t>
            </w:r>
          </w:p>
        </w:tc>
        <w:tc>
          <w:tcPr>
            <w:tcW w:w="397" w:type="dxa"/>
            <w:vMerge w:val="restart"/>
            <w:vAlign w:val="center"/>
          </w:tcPr>
          <w:p w:rsidR="00212513" w:rsidRDefault="00212513">
            <w:pPr>
              <w:pStyle w:val="ConsPlusNormal"/>
              <w:jc w:val="center"/>
            </w:pPr>
            <w:r>
              <w:t>1</w:t>
            </w:r>
          </w:p>
        </w:tc>
        <w:tc>
          <w:tcPr>
            <w:tcW w:w="2268" w:type="dxa"/>
            <w:tcBorders>
              <w:bottom w:val="nil"/>
            </w:tcBorders>
          </w:tcPr>
          <w:p w:rsidR="00212513" w:rsidRDefault="00212513">
            <w:pPr>
              <w:pStyle w:val="ConsPlusNormal"/>
            </w:pPr>
            <w:r>
              <w:t>Грунт EP-Zn</w:t>
            </w:r>
          </w:p>
        </w:tc>
        <w:tc>
          <w:tcPr>
            <w:tcW w:w="1077" w:type="dxa"/>
            <w:tcBorders>
              <w:bottom w:val="nil"/>
            </w:tcBorders>
          </w:tcPr>
          <w:p w:rsidR="00212513" w:rsidRDefault="00212513">
            <w:pPr>
              <w:pStyle w:val="ConsPlusNormal"/>
              <w:jc w:val="center"/>
            </w:pPr>
            <w:r>
              <w:t>80</w:t>
            </w:r>
          </w:p>
        </w:tc>
        <w:tc>
          <w:tcPr>
            <w:tcW w:w="1701" w:type="dxa"/>
            <w:vMerge w:val="restart"/>
            <w:vAlign w:val="center"/>
          </w:tcPr>
          <w:p w:rsidR="00212513" w:rsidRDefault="00212513">
            <w:pPr>
              <w:pStyle w:val="ConsPlusNormal"/>
              <w:jc w:val="center"/>
            </w:pPr>
            <w:r>
              <w:t>Sa 2</w:t>
            </w:r>
            <w:r>
              <w:rPr>
                <w:vertAlign w:val="superscript"/>
              </w:rPr>
              <w:t>1</w:t>
            </w:r>
            <w:r>
              <w:t>/</w:t>
            </w:r>
            <w:r>
              <w:rPr>
                <w:vertAlign w:val="subscript"/>
              </w:rPr>
              <w:t>2</w:t>
            </w:r>
            <w:r>
              <w:t>,</w:t>
            </w:r>
          </w:p>
          <w:p w:rsidR="00212513" w:rsidRDefault="00212513">
            <w:pPr>
              <w:pStyle w:val="ConsPlusNormal"/>
              <w:jc w:val="center"/>
            </w:pPr>
            <w:r>
              <w:t>шероховатость средняя (G)</w:t>
            </w:r>
          </w:p>
        </w:tc>
        <w:tc>
          <w:tcPr>
            <w:tcW w:w="2381" w:type="dxa"/>
            <w:vMerge w:val="restart"/>
          </w:tcPr>
          <w:p w:rsidR="00212513" w:rsidRDefault="00212513">
            <w:pPr>
              <w:pStyle w:val="ConsPlusNormal"/>
            </w:pPr>
          </w:p>
        </w:tc>
      </w:tr>
      <w:tr w:rsidR="00212513">
        <w:tblPrEx>
          <w:tblBorders>
            <w:insideH w:val="nil"/>
          </w:tblBorders>
        </w:tblPrEx>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bottom w:val="nil"/>
            </w:tcBorders>
          </w:tcPr>
          <w:p w:rsidR="00212513" w:rsidRDefault="00212513">
            <w:pPr>
              <w:pStyle w:val="ConsPlusNormal"/>
            </w:pPr>
            <w:r>
              <w:t>Промежуточный слой EP (PUR, если проходит)</w:t>
            </w:r>
          </w:p>
        </w:tc>
        <w:tc>
          <w:tcPr>
            <w:tcW w:w="1077" w:type="dxa"/>
            <w:tcBorders>
              <w:top w:val="nil"/>
              <w:bottom w:val="nil"/>
            </w:tcBorders>
          </w:tcPr>
          <w:p w:rsidR="00212513" w:rsidRDefault="00212513">
            <w:pPr>
              <w:pStyle w:val="ConsPlusNormal"/>
              <w:jc w:val="center"/>
            </w:pPr>
            <w:r>
              <w:t>80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tcBorders>
          </w:tcPr>
          <w:p w:rsidR="00212513" w:rsidRDefault="00212513">
            <w:pPr>
              <w:pStyle w:val="ConsPlusNormal"/>
            </w:pPr>
            <w:r>
              <w:t>Покрывной слой PUR</w:t>
            </w:r>
          </w:p>
        </w:tc>
        <w:tc>
          <w:tcPr>
            <w:tcW w:w="1077" w:type="dxa"/>
            <w:tcBorders>
              <w:top w:val="nil"/>
            </w:tcBorders>
          </w:tcPr>
          <w:p w:rsidR="00212513" w:rsidRDefault="00212513">
            <w:pPr>
              <w:pStyle w:val="ConsPlusNormal"/>
              <w:jc w:val="center"/>
            </w:pPr>
            <w:r>
              <w:t>80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val="restart"/>
            <w:vAlign w:val="center"/>
          </w:tcPr>
          <w:p w:rsidR="00212513" w:rsidRDefault="00212513">
            <w:pPr>
              <w:pStyle w:val="ConsPlusNormal"/>
              <w:jc w:val="center"/>
            </w:pPr>
            <w:r>
              <w:t>2</w:t>
            </w:r>
          </w:p>
        </w:tc>
        <w:tc>
          <w:tcPr>
            <w:tcW w:w="2268" w:type="dxa"/>
            <w:tcBorders>
              <w:bottom w:val="nil"/>
            </w:tcBorders>
          </w:tcPr>
          <w:p w:rsidR="00212513" w:rsidRDefault="00212513">
            <w:pPr>
              <w:pStyle w:val="ConsPlusNormal"/>
            </w:pPr>
            <w:r>
              <w:t>Грунт EP HS</w:t>
            </w:r>
          </w:p>
        </w:tc>
        <w:tc>
          <w:tcPr>
            <w:tcW w:w="1077" w:type="dxa"/>
            <w:tcBorders>
              <w:bottom w:val="nil"/>
            </w:tcBorders>
          </w:tcPr>
          <w:p w:rsidR="00212513" w:rsidRDefault="00212513">
            <w:pPr>
              <w:pStyle w:val="ConsPlusNormal"/>
              <w:jc w:val="center"/>
            </w:pPr>
            <w:r>
              <w:t>80</w:t>
            </w:r>
          </w:p>
        </w:tc>
        <w:tc>
          <w:tcPr>
            <w:tcW w:w="1701" w:type="dxa"/>
            <w:vMerge w:val="restart"/>
            <w:vAlign w:val="center"/>
          </w:tcPr>
          <w:p w:rsidR="00212513" w:rsidRDefault="00212513">
            <w:pPr>
              <w:pStyle w:val="ConsPlusNormal"/>
              <w:jc w:val="center"/>
            </w:pPr>
            <w:r>
              <w:t>Sa 2</w:t>
            </w:r>
            <w:r>
              <w:rPr>
                <w:vertAlign w:val="superscript"/>
              </w:rPr>
              <w:t>1</w:t>
            </w:r>
            <w:r>
              <w:t>/</w:t>
            </w:r>
            <w:r>
              <w:rPr>
                <w:vertAlign w:val="subscript"/>
              </w:rPr>
              <w:t>2</w:t>
            </w:r>
            <w:r>
              <w:t>,</w:t>
            </w:r>
          </w:p>
          <w:p w:rsidR="00212513" w:rsidRDefault="00212513">
            <w:pPr>
              <w:pStyle w:val="ConsPlusNormal"/>
              <w:jc w:val="center"/>
            </w:pPr>
            <w:r>
              <w:t>шероховатость средняя (G)</w:t>
            </w:r>
          </w:p>
        </w:tc>
        <w:tc>
          <w:tcPr>
            <w:tcW w:w="2381" w:type="dxa"/>
            <w:vMerge/>
          </w:tcPr>
          <w:p w:rsidR="00212513" w:rsidRDefault="00212513">
            <w:pPr>
              <w:pStyle w:val="ConsPlusNormal"/>
            </w:pPr>
          </w:p>
        </w:tc>
      </w:tr>
      <w:tr w:rsidR="00212513">
        <w:tblPrEx>
          <w:tblBorders>
            <w:insideH w:val="nil"/>
          </w:tblBorders>
        </w:tblPrEx>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bottom w:val="nil"/>
            </w:tcBorders>
          </w:tcPr>
          <w:p w:rsidR="00212513" w:rsidRDefault="00212513">
            <w:pPr>
              <w:pStyle w:val="ConsPlusNormal"/>
            </w:pPr>
            <w:r>
              <w:t>Промежуточный слой EP HS</w:t>
            </w:r>
          </w:p>
        </w:tc>
        <w:tc>
          <w:tcPr>
            <w:tcW w:w="1077" w:type="dxa"/>
            <w:tcBorders>
              <w:top w:val="nil"/>
              <w:bottom w:val="nil"/>
            </w:tcBorders>
            <w:vAlign w:val="center"/>
          </w:tcPr>
          <w:p w:rsidR="00212513" w:rsidRDefault="00212513">
            <w:pPr>
              <w:pStyle w:val="ConsPlusNormal"/>
              <w:jc w:val="center"/>
            </w:pPr>
            <w:r>
              <w:t>120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tcBorders>
          </w:tcPr>
          <w:p w:rsidR="00212513" w:rsidRDefault="00212513">
            <w:pPr>
              <w:pStyle w:val="ConsPlusNormal"/>
            </w:pPr>
            <w:r>
              <w:t>Покрывной слой PUR/PUR HS</w:t>
            </w:r>
          </w:p>
        </w:tc>
        <w:tc>
          <w:tcPr>
            <w:tcW w:w="1077" w:type="dxa"/>
            <w:tcBorders>
              <w:top w:val="nil"/>
            </w:tcBorders>
          </w:tcPr>
          <w:p w:rsidR="00212513" w:rsidRDefault="00212513">
            <w:pPr>
              <w:pStyle w:val="ConsPlusNormal"/>
              <w:jc w:val="center"/>
            </w:pPr>
            <w:r>
              <w:t>80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val="restart"/>
            <w:vAlign w:val="center"/>
          </w:tcPr>
          <w:p w:rsidR="00212513" w:rsidRDefault="00212513">
            <w:pPr>
              <w:pStyle w:val="ConsPlusNormal"/>
              <w:jc w:val="center"/>
            </w:pPr>
            <w:r>
              <w:t>3</w:t>
            </w:r>
          </w:p>
        </w:tc>
        <w:tc>
          <w:tcPr>
            <w:tcW w:w="2268" w:type="dxa"/>
            <w:tcBorders>
              <w:bottom w:val="nil"/>
            </w:tcBorders>
          </w:tcPr>
          <w:p w:rsidR="00212513" w:rsidRDefault="00212513">
            <w:pPr>
              <w:pStyle w:val="ConsPlusNormal"/>
            </w:pPr>
            <w:r>
              <w:t>Грунт 1C-PUR-Zn</w:t>
            </w:r>
          </w:p>
        </w:tc>
        <w:tc>
          <w:tcPr>
            <w:tcW w:w="1077" w:type="dxa"/>
            <w:tcBorders>
              <w:bottom w:val="nil"/>
            </w:tcBorders>
          </w:tcPr>
          <w:p w:rsidR="00212513" w:rsidRDefault="00212513">
            <w:pPr>
              <w:pStyle w:val="ConsPlusNormal"/>
              <w:jc w:val="center"/>
            </w:pPr>
            <w:r>
              <w:t>80</w:t>
            </w:r>
          </w:p>
        </w:tc>
        <w:tc>
          <w:tcPr>
            <w:tcW w:w="1701" w:type="dxa"/>
            <w:vMerge w:val="restart"/>
            <w:vAlign w:val="center"/>
          </w:tcPr>
          <w:p w:rsidR="00212513" w:rsidRDefault="00212513">
            <w:pPr>
              <w:pStyle w:val="ConsPlusNormal"/>
              <w:jc w:val="center"/>
            </w:pPr>
            <w:r>
              <w:t>Sa 2</w:t>
            </w:r>
            <w:r>
              <w:rPr>
                <w:vertAlign w:val="superscript"/>
              </w:rPr>
              <w:t>1</w:t>
            </w:r>
            <w:r>
              <w:t>/</w:t>
            </w:r>
            <w:r>
              <w:rPr>
                <w:vertAlign w:val="subscript"/>
              </w:rPr>
              <w:t>2</w:t>
            </w:r>
            <w:r>
              <w:t>,</w:t>
            </w:r>
          </w:p>
          <w:p w:rsidR="00212513" w:rsidRDefault="00212513">
            <w:pPr>
              <w:pStyle w:val="ConsPlusNormal"/>
              <w:jc w:val="center"/>
            </w:pPr>
            <w:r>
              <w:t>шероховатость средняя (G)</w:t>
            </w:r>
          </w:p>
        </w:tc>
        <w:tc>
          <w:tcPr>
            <w:tcW w:w="2381" w:type="dxa"/>
            <w:vMerge w:val="restart"/>
            <w:vAlign w:val="center"/>
          </w:tcPr>
          <w:p w:rsidR="00212513" w:rsidRDefault="00212513">
            <w:pPr>
              <w:pStyle w:val="ConsPlusNormal"/>
            </w:pPr>
            <w:r>
              <w:t>Для неблагоприятных условий применения</w:t>
            </w:r>
          </w:p>
        </w:tc>
      </w:tr>
      <w:tr w:rsidR="00212513">
        <w:tblPrEx>
          <w:tblBorders>
            <w:insideH w:val="nil"/>
          </w:tblBorders>
        </w:tblPrEx>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bottom w:val="nil"/>
            </w:tcBorders>
          </w:tcPr>
          <w:p w:rsidR="00212513" w:rsidRDefault="00212513">
            <w:pPr>
              <w:pStyle w:val="ConsPlusNormal"/>
            </w:pPr>
            <w:r>
              <w:t>Промежуточный слой 1C-PUR</w:t>
            </w:r>
          </w:p>
        </w:tc>
        <w:tc>
          <w:tcPr>
            <w:tcW w:w="1077" w:type="dxa"/>
            <w:tcBorders>
              <w:top w:val="nil"/>
              <w:bottom w:val="nil"/>
            </w:tcBorders>
          </w:tcPr>
          <w:p w:rsidR="00212513" w:rsidRDefault="00212513">
            <w:pPr>
              <w:pStyle w:val="ConsPlusNormal"/>
              <w:jc w:val="center"/>
            </w:pPr>
            <w:r>
              <w:t>80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tcBorders>
          </w:tcPr>
          <w:p w:rsidR="00212513" w:rsidRDefault="00212513">
            <w:pPr>
              <w:pStyle w:val="ConsPlusNormal"/>
            </w:pPr>
            <w:r>
              <w:t>Покрывной слой PUR</w:t>
            </w:r>
          </w:p>
        </w:tc>
        <w:tc>
          <w:tcPr>
            <w:tcW w:w="1077" w:type="dxa"/>
            <w:tcBorders>
              <w:top w:val="nil"/>
            </w:tcBorders>
          </w:tcPr>
          <w:p w:rsidR="00212513" w:rsidRDefault="00212513">
            <w:pPr>
              <w:pStyle w:val="ConsPlusNormal"/>
              <w:jc w:val="center"/>
            </w:pPr>
            <w:r>
              <w:t>80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val="restart"/>
            <w:vAlign w:val="center"/>
          </w:tcPr>
          <w:p w:rsidR="00212513" w:rsidRDefault="00212513">
            <w:pPr>
              <w:pStyle w:val="ConsPlusNormal"/>
              <w:jc w:val="center"/>
            </w:pPr>
            <w:r>
              <w:t>4</w:t>
            </w:r>
          </w:p>
        </w:tc>
        <w:tc>
          <w:tcPr>
            <w:tcW w:w="2268" w:type="dxa"/>
            <w:tcBorders>
              <w:bottom w:val="nil"/>
            </w:tcBorders>
          </w:tcPr>
          <w:p w:rsidR="00212513" w:rsidRDefault="00212513">
            <w:pPr>
              <w:pStyle w:val="ConsPlusNormal"/>
            </w:pPr>
            <w:r>
              <w:t>Грунт EP-Zn</w:t>
            </w:r>
          </w:p>
        </w:tc>
        <w:tc>
          <w:tcPr>
            <w:tcW w:w="1077" w:type="dxa"/>
            <w:tcBorders>
              <w:bottom w:val="nil"/>
            </w:tcBorders>
          </w:tcPr>
          <w:p w:rsidR="00212513" w:rsidRDefault="00212513">
            <w:pPr>
              <w:pStyle w:val="ConsPlusNormal"/>
              <w:jc w:val="center"/>
            </w:pPr>
            <w:r>
              <w:t>80</w:t>
            </w:r>
          </w:p>
        </w:tc>
        <w:tc>
          <w:tcPr>
            <w:tcW w:w="1701" w:type="dxa"/>
            <w:vMerge w:val="restart"/>
            <w:vAlign w:val="center"/>
          </w:tcPr>
          <w:p w:rsidR="00212513" w:rsidRDefault="00212513">
            <w:pPr>
              <w:pStyle w:val="ConsPlusNormal"/>
              <w:jc w:val="center"/>
            </w:pPr>
            <w:r>
              <w:t>Sa 2</w:t>
            </w:r>
            <w:r>
              <w:rPr>
                <w:vertAlign w:val="superscript"/>
              </w:rPr>
              <w:t>1</w:t>
            </w:r>
            <w:r>
              <w:t>/</w:t>
            </w:r>
            <w:r>
              <w:rPr>
                <w:vertAlign w:val="subscript"/>
              </w:rPr>
              <w:t>2</w:t>
            </w:r>
            <w:r>
              <w:t>,</w:t>
            </w:r>
          </w:p>
          <w:p w:rsidR="00212513" w:rsidRDefault="00212513">
            <w:pPr>
              <w:pStyle w:val="ConsPlusNormal"/>
              <w:jc w:val="center"/>
            </w:pPr>
            <w:r>
              <w:t>шероховатость средняя (G)</w:t>
            </w:r>
          </w:p>
        </w:tc>
        <w:tc>
          <w:tcPr>
            <w:tcW w:w="2381" w:type="dxa"/>
            <w:vMerge w:val="restart"/>
            <w:vAlign w:val="center"/>
          </w:tcPr>
          <w:p w:rsidR="00212513" w:rsidRDefault="00212513">
            <w:pPr>
              <w:pStyle w:val="ConsPlusNormal"/>
            </w:pPr>
            <w:r>
              <w:t>Обеспечить соответствующий интервал времени для применения системы</w:t>
            </w:r>
          </w:p>
        </w:tc>
      </w:tr>
      <w:tr w:rsidR="00212513">
        <w:tblPrEx>
          <w:tblBorders>
            <w:insideH w:val="nil"/>
          </w:tblBorders>
        </w:tblPrEx>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bottom w:val="nil"/>
            </w:tcBorders>
          </w:tcPr>
          <w:p w:rsidR="00212513" w:rsidRDefault="00212513">
            <w:pPr>
              <w:pStyle w:val="ConsPlusNormal"/>
            </w:pPr>
            <w:r>
              <w:t>Промежуточный слой ws AY</w:t>
            </w:r>
          </w:p>
        </w:tc>
        <w:tc>
          <w:tcPr>
            <w:tcW w:w="1077" w:type="dxa"/>
            <w:tcBorders>
              <w:top w:val="nil"/>
              <w:bottom w:val="nil"/>
            </w:tcBorders>
          </w:tcPr>
          <w:p w:rsidR="00212513" w:rsidRDefault="00212513">
            <w:pPr>
              <w:pStyle w:val="ConsPlusNormal"/>
              <w:jc w:val="center"/>
            </w:pPr>
            <w:r>
              <w:t>100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tcBorders>
          </w:tcPr>
          <w:p w:rsidR="00212513" w:rsidRDefault="00212513">
            <w:pPr>
              <w:pStyle w:val="ConsPlusNormal"/>
            </w:pPr>
            <w:r>
              <w:t>Покрывной слой ws AY</w:t>
            </w:r>
          </w:p>
        </w:tc>
        <w:tc>
          <w:tcPr>
            <w:tcW w:w="1077" w:type="dxa"/>
            <w:tcBorders>
              <w:top w:val="nil"/>
            </w:tcBorders>
          </w:tcPr>
          <w:p w:rsidR="00212513" w:rsidRDefault="00212513">
            <w:pPr>
              <w:pStyle w:val="ConsPlusNormal"/>
              <w:jc w:val="center"/>
            </w:pPr>
            <w:r>
              <w:t>100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c>
          <w:tcPr>
            <w:tcW w:w="850" w:type="dxa"/>
            <w:vMerge/>
          </w:tcPr>
          <w:p w:rsidR="00212513" w:rsidRDefault="00212513">
            <w:pPr>
              <w:pStyle w:val="ConsPlusNormal"/>
            </w:pPr>
          </w:p>
        </w:tc>
        <w:tc>
          <w:tcPr>
            <w:tcW w:w="2154" w:type="dxa"/>
            <w:vMerge w:val="restart"/>
          </w:tcPr>
          <w:p w:rsidR="00212513" w:rsidRDefault="00212513">
            <w:pPr>
              <w:pStyle w:val="ConsPlusNormal"/>
            </w:pPr>
            <w:r>
              <w:t xml:space="preserve">Зона брызг, удары </w:t>
            </w:r>
            <w:r>
              <w:lastRenderedPageBreak/>
              <w:t>камней или щебня, или открытая атмосфера: категория коррозионной активности до "C5"</w:t>
            </w:r>
          </w:p>
        </w:tc>
        <w:tc>
          <w:tcPr>
            <w:tcW w:w="397" w:type="dxa"/>
            <w:vMerge w:val="restart"/>
            <w:vAlign w:val="center"/>
          </w:tcPr>
          <w:p w:rsidR="00212513" w:rsidRDefault="00212513">
            <w:pPr>
              <w:pStyle w:val="ConsPlusNormal"/>
              <w:jc w:val="center"/>
            </w:pPr>
            <w:r>
              <w:lastRenderedPageBreak/>
              <w:t>1</w:t>
            </w:r>
          </w:p>
        </w:tc>
        <w:tc>
          <w:tcPr>
            <w:tcW w:w="2268" w:type="dxa"/>
            <w:tcBorders>
              <w:bottom w:val="nil"/>
            </w:tcBorders>
          </w:tcPr>
          <w:p w:rsidR="00212513" w:rsidRDefault="00212513">
            <w:pPr>
              <w:pStyle w:val="ConsPlusNormal"/>
            </w:pPr>
            <w:r>
              <w:t>Грунт EP-Zn</w:t>
            </w:r>
          </w:p>
        </w:tc>
        <w:tc>
          <w:tcPr>
            <w:tcW w:w="1077" w:type="dxa"/>
            <w:tcBorders>
              <w:bottom w:val="nil"/>
            </w:tcBorders>
          </w:tcPr>
          <w:p w:rsidR="00212513" w:rsidRDefault="00212513">
            <w:pPr>
              <w:pStyle w:val="ConsPlusNormal"/>
              <w:jc w:val="center"/>
            </w:pPr>
            <w:r>
              <w:t>80</w:t>
            </w:r>
          </w:p>
        </w:tc>
        <w:tc>
          <w:tcPr>
            <w:tcW w:w="1701" w:type="dxa"/>
            <w:vMerge w:val="restart"/>
            <w:vAlign w:val="center"/>
          </w:tcPr>
          <w:p w:rsidR="00212513" w:rsidRDefault="00212513">
            <w:pPr>
              <w:pStyle w:val="ConsPlusNormal"/>
              <w:jc w:val="center"/>
            </w:pPr>
            <w:r>
              <w:t>Sa 2</w:t>
            </w:r>
            <w:r>
              <w:rPr>
                <w:vertAlign w:val="superscript"/>
              </w:rPr>
              <w:t>1</w:t>
            </w:r>
            <w:r>
              <w:t>/</w:t>
            </w:r>
            <w:r>
              <w:rPr>
                <w:vertAlign w:val="subscript"/>
              </w:rPr>
              <w:t>2</w:t>
            </w:r>
            <w:r>
              <w:t>,</w:t>
            </w:r>
          </w:p>
          <w:p w:rsidR="00212513" w:rsidRDefault="00212513">
            <w:pPr>
              <w:pStyle w:val="ConsPlusNormal"/>
              <w:jc w:val="center"/>
            </w:pPr>
            <w:r>
              <w:lastRenderedPageBreak/>
              <w:t>шероховатость средняя (G)</w:t>
            </w:r>
          </w:p>
        </w:tc>
        <w:tc>
          <w:tcPr>
            <w:tcW w:w="2381" w:type="dxa"/>
            <w:vMerge w:val="restart"/>
          </w:tcPr>
          <w:p w:rsidR="00212513" w:rsidRDefault="00212513">
            <w:pPr>
              <w:pStyle w:val="ConsPlusNormal"/>
            </w:pPr>
          </w:p>
        </w:tc>
      </w:tr>
      <w:tr w:rsidR="00212513">
        <w:tblPrEx>
          <w:tblBorders>
            <w:insideH w:val="nil"/>
          </w:tblBorders>
        </w:tblPrEx>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bottom w:val="nil"/>
            </w:tcBorders>
          </w:tcPr>
          <w:p w:rsidR="00212513" w:rsidRDefault="00212513">
            <w:pPr>
              <w:pStyle w:val="ConsPlusNormal"/>
            </w:pPr>
            <w:r>
              <w:t>1-й промежуточный слой EP</w:t>
            </w:r>
          </w:p>
        </w:tc>
        <w:tc>
          <w:tcPr>
            <w:tcW w:w="1077" w:type="dxa"/>
            <w:tcBorders>
              <w:top w:val="nil"/>
              <w:bottom w:val="nil"/>
            </w:tcBorders>
          </w:tcPr>
          <w:p w:rsidR="00212513" w:rsidRDefault="00212513">
            <w:pPr>
              <w:pStyle w:val="ConsPlusNormal"/>
              <w:jc w:val="center"/>
            </w:pPr>
            <w:r>
              <w:t>80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blPrEx>
          <w:tblBorders>
            <w:insideH w:val="nil"/>
          </w:tblBorders>
        </w:tblPrEx>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bottom w:val="nil"/>
            </w:tcBorders>
          </w:tcPr>
          <w:p w:rsidR="00212513" w:rsidRDefault="00212513">
            <w:pPr>
              <w:pStyle w:val="ConsPlusNormal"/>
            </w:pPr>
            <w:r>
              <w:t>2-й промежуточный слой EP (PUR, если проходит)</w:t>
            </w:r>
          </w:p>
        </w:tc>
        <w:tc>
          <w:tcPr>
            <w:tcW w:w="1077" w:type="dxa"/>
            <w:tcBorders>
              <w:top w:val="nil"/>
              <w:bottom w:val="nil"/>
            </w:tcBorders>
          </w:tcPr>
          <w:p w:rsidR="00212513" w:rsidRDefault="00212513">
            <w:pPr>
              <w:pStyle w:val="ConsPlusNormal"/>
              <w:jc w:val="center"/>
            </w:pPr>
            <w:r>
              <w:t>80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tcBorders>
          </w:tcPr>
          <w:p w:rsidR="00212513" w:rsidRDefault="00212513">
            <w:pPr>
              <w:pStyle w:val="ConsPlusNormal"/>
            </w:pPr>
            <w:r>
              <w:t>Покрывной слой PUR</w:t>
            </w:r>
          </w:p>
        </w:tc>
        <w:tc>
          <w:tcPr>
            <w:tcW w:w="1077" w:type="dxa"/>
            <w:tcBorders>
              <w:top w:val="nil"/>
            </w:tcBorders>
          </w:tcPr>
          <w:p w:rsidR="00212513" w:rsidRDefault="00212513">
            <w:pPr>
              <w:pStyle w:val="ConsPlusNormal"/>
              <w:jc w:val="center"/>
            </w:pPr>
            <w:r>
              <w:t>80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val="restart"/>
            <w:vAlign w:val="center"/>
          </w:tcPr>
          <w:p w:rsidR="00212513" w:rsidRDefault="00212513">
            <w:pPr>
              <w:pStyle w:val="ConsPlusNormal"/>
              <w:jc w:val="center"/>
            </w:pPr>
            <w:r>
              <w:t>2</w:t>
            </w:r>
          </w:p>
        </w:tc>
        <w:tc>
          <w:tcPr>
            <w:tcW w:w="2268" w:type="dxa"/>
            <w:tcBorders>
              <w:bottom w:val="nil"/>
            </w:tcBorders>
          </w:tcPr>
          <w:p w:rsidR="00212513" w:rsidRDefault="00212513">
            <w:pPr>
              <w:pStyle w:val="ConsPlusNormal"/>
            </w:pPr>
            <w:r>
              <w:t>Грунт EP-Zn</w:t>
            </w:r>
          </w:p>
        </w:tc>
        <w:tc>
          <w:tcPr>
            <w:tcW w:w="1077" w:type="dxa"/>
            <w:tcBorders>
              <w:bottom w:val="nil"/>
            </w:tcBorders>
          </w:tcPr>
          <w:p w:rsidR="00212513" w:rsidRDefault="00212513">
            <w:pPr>
              <w:pStyle w:val="ConsPlusNormal"/>
              <w:jc w:val="center"/>
            </w:pPr>
            <w:r>
              <w:t>80</w:t>
            </w:r>
          </w:p>
        </w:tc>
        <w:tc>
          <w:tcPr>
            <w:tcW w:w="1701" w:type="dxa"/>
            <w:vMerge w:val="restart"/>
            <w:vAlign w:val="center"/>
          </w:tcPr>
          <w:p w:rsidR="00212513" w:rsidRDefault="00212513">
            <w:pPr>
              <w:pStyle w:val="ConsPlusNormal"/>
              <w:jc w:val="center"/>
            </w:pPr>
            <w:r>
              <w:t>Sa 2</w:t>
            </w:r>
            <w:r>
              <w:rPr>
                <w:vertAlign w:val="superscript"/>
              </w:rPr>
              <w:t>1</w:t>
            </w:r>
            <w:r>
              <w:t>/</w:t>
            </w:r>
            <w:r>
              <w:rPr>
                <w:vertAlign w:val="subscript"/>
              </w:rPr>
              <w:t>2</w:t>
            </w:r>
            <w:r>
              <w:t>,</w:t>
            </w:r>
          </w:p>
          <w:p w:rsidR="00212513" w:rsidRDefault="00212513">
            <w:pPr>
              <w:pStyle w:val="ConsPlusNormal"/>
              <w:jc w:val="center"/>
            </w:pPr>
            <w:r>
              <w:t>шероховатость средняя (G)</w:t>
            </w:r>
          </w:p>
        </w:tc>
        <w:tc>
          <w:tcPr>
            <w:tcW w:w="2381" w:type="dxa"/>
            <w:vMerge w:val="restart"/>
          </w:tcPr>
          <w:p w:rsidR="00212513" w:rsidRDefault="00212513">
            <w:pPr>
              <w:pStyle w:val="ConsPlusNormal"/>
            </w:pPr>
          </w:p>
        </w:tc>
      </w:tr>
      <w:tr w:rsidR="00212513">
        <w:tblPrEx>
          <w:tblBorders>
            <w:insideH w:val="nil"/>
          </w:tblBorders>
        </w:tblPrEx>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bottom w:val="nil"/>
            </w:tcBorders>
          </w:tcPr>
          <w:p w:rsidR="00212513" w:rsidRDefault="00212513">
            <w:pPr>
              <w:pStyle w:val="ConsPlusNormal"/>
            </w:pPr>
            <w:r>
              <w:t>Промежуточный слой ER HS</w:t>
            </w:r>
          </w:p>
        </w:tc>
        <w:tc>
          <w:tcPr>
            <w:tcW w:w="1077" w:type="dxa"/>
            <w:tcBorders>
              <w:top w:val="nil"/>
              <w:bottom w:val="nil"/>
            </w:tcBorders>
          </w:tcPr>
          <w:p w:rsidR="00212513" w:rsidRDefault="00212513">
            <w:pPr>
              <w:pStyle w:val="ConsPlusNormal"/>
              <w:jc w:val="center"/>
            </w:pPr>
            <w:r>
              <w:t>150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tcBorders>
          </w:tcPr>
          <w:p w:rsidR="00212513" w:rsidRDefault="00212513">
            <w:pPr>
              <w:pStyle w:val="ConsPlusNormal"/>
            </w:pPr>
            <w:r>
              <w:t>Покрывной слой PUR/PUR HS</w:t>
            </w:r>
          </w:p>
        </w:tc>
        <w:tc>
          <w:tcPr>
            <w:tcW w:w="1077" w:type="dxa"/>
            <w:tcBorders>
              <w:top w:val="nil"/>
            </w:tcBorders>
          </w:tcPr>
          <w:p w:rsidR="00212513" w:rsidRDefault="00212513">
            <w:pPr>
              <w:pStyle w:val="ConsPlusNormal"/>
              <w:jc w:val="center"/>
            </w:pPr>
            <w:r>
              <w:t>80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val="restart"/>
            <w:vAlign w:val="center"/>
          </w:tcPr>
          <w:p w:rsidR="00212513" w:rsidRDefault="00212513">
            <w:pPr>
              <w:pStyle w:val="ConsPlusNormal"/>
              <w:jc w:val="center"/>
            </w:pPr>
            <w:r>
              <w:t>3</w:t>
            </w:r>
          </w:p>
        </w:tc>
        <w:tc>
          <w:tcPr>
            <w:tcW w:w="2268" w:type="dxa"/>
            <w:tcBorders>
              <w:bottom w:val="nil"/>
            </w:tcBorders>
          </w:tcPr>
          <w:p w:rsidR="00212513" w:rsidRDefault="00212513">
            <w:pPr>
              <w:pStyle w:val="ConsPlusNormal"/>
            </w:pPr>
            <w:r>
              <w:t>Грунт 1C PUR-Zn</w:t>
            </w:r>
          </w:p>
        </w:tc>
        <w:tc>
          <w:tcPr>
            <w:tcW w:w="1077" w:type="dxa"/>
            <w:tcBorders>
              <w:bottom w:val="nil"/>
            </w:tcBorders>
          </w:tcPr>
          <w:p w:rsidR="00212513" w:rsidRDefault="00212513">
            <w:pPr>
              <w:pStyle w:val="ConsPlusNormal"/>
              <w:jc w:val="center"/>
            </w:pPr>
            <w:r>
              <w:t>80</w:t>
            </w:r>
          </w:p>
        </w:tc>
        <w:tc>
          <w:tcPr>
            <w:tcW w:w="1701" w:type="dxa"/>
            <w:vMerge w:val="restart"/>
            <w:vAlign w:val="center"/>
          </w:tcPr>
          <w:p w:rsidR="00212513" w:rsidRDefault="00212513">
            <w:pPr>
              <w:pStyle w:val="ConsPlusNormal"/>
              <w:jc w:val="center"/>
            </w:pPr>
            <w:r>
              <w:t>Sa 2</w:t>
            </w:r>
            <w:r>
              <w:rPr>
                <w:vertAlign w:val="superscript"/>
              </w:rPr>
              <w:t>1</w:t>
            </w:r>
            <w:r>
              <w:t>/</w:t>
            </w:r>
            <w:r>
              <w:rPr>
                <w:vertAlign w:val="subscript"/>
              </w:rPr>
              <w:t>2</w:t>
            </w:r>
            <w:r>
              <w:t>,</w:t>
            </w:r>
          </w:p>
          <w:p w:rsidR="00212513" w:rsidRDefault="00212513">
            <w:pPr>
              <w:pStyle w:val="ConsPlusNormal"/>
              <w:jc w:val="center"/>
            </w:pPr>
            <w:r>
              <w:t>шероховатость средняя (G)</w:t>
            </w:r>
          </w:p>
        </w:tc>
        <w:tc>
          <w:tcPr>
            <w:tcW w:w="2381" w:type="dxa"/>
            <w:vMerge w:val="restart"/>
            <w:vAlign w:val="center"/>
          </w:tcPr>
          <w:p w:rsidR="00212513" w:rsidRDefault="00212513">
            <w:pPr>
              <w:pStyle w:val="ConsPlusNormal"/>
            </w:pPr>
            <w:r>
              <w:t>Для неблагоприятных условий применения</w:t>
            </w:r>
          </w:p>
        </w:tc>
      </w:tr>
      <w:tr w:rsidR="00212513">
        <w:tblPrEx>
          <w:tblBorders>
            <w:insideH w:val="nil"/>
          </w:tblBorders>
        </w:tblPrEx>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bottom w:val="nil"/>
            </w:tcBorders>
          </w:tcPr>
          <w:p w:rsidR="00212513" w:rsidRDefault="00212513">
            <w:pPr>
              <w:pStyle w:val="ConsPlusNormal"/>
            </w:pPr>
            <w:r>
              <w:t>1-й промежуточный слой 1C-PUR</w:t>
            </w:r>
          </w:p>
        </w:tc>
        <w:tc>
          <w:tcPr>
            <w:tcW w:w="1077" w:type="dxa"/>
            <w:tcBorders>
              <w:top w:val="nil"/>
              <w:bottom w:val="nil"/>
            </w:tcBorders>
          </w:tcPr>
          <w:p w:rsidR="00212513" w:rsidRDefault="00212513">
            <w:pPr>
              <w:pStyle w:val="ConsPlusNormal"/>
              <w:jc w:val="center"/>
            </w:pPr>
            <w:r>
              <w:t>80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blPrEx>
          <w:tblBorders>
            <w:insideH w:val="nil"/>
          </w:tblBorders>
        </w:tblPrEx>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bottom w:val="nil"/>
            </w:tcBorders>
          </w:tcPr>
          <w:p w:rsidR="00212513" w:rsidRDefault="00212513">
            <w:pPr>
              <w:pStyle w:val="ConsPlusNormal"/>
            </w:pPr>
            <w:r>
              <w:t>2-й промежуточный слой 1C-PUR</w:t>
            </w:r>
          </w:p>
        </w:tc>
        <w:tc>
          <w:tcPr>
            <w:tcW w:w="1077" w:type="dxa"/>
            <w:tcBorders>
              <w:top w:val="nil"/>
              <w:bottom w:val="nil"/>
            </w:tcBorders>
          </w:tcPr>
          <w:p w:rsidR="00212513" w:rsidRDefault="00212513">
            <w:pPr>
              <w:pStyle w:val="ConsPlusNormal"/>
              <w:jc w:val="center"/>
            </w:pPr>
            <w:r>
              <w:t>80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tcBorders>
          </w:tcPr>
          <w:p w:rsidR="00212513" w:rsidRDefault="00212513">
            <w:pPr>
              <w:pStyle w:val="ConsPlusNormal"/>
            </w:pPr>
            <w:r>
              <w:t>Покрывной слой PUR</w:t>
            </w:r>
          </w:p>
        </w:tc>
        <w:tc>
          <w:tcPr>
            <w:tcW w:w="1077" w:type="dxa"/>
            <w:tcBorders>
              <w:top w:val="nil"/>
            </w:tcBorders>
          </w:tcPr>
          <w:p w:rsidR="00212513" w:rsidRDefault="00212513">
            <w:pPr>
              <w:pStyle w:val="ConsPlusNormal"/>
              <w:jc w:val="center"/>
            </w:pPr>
            <w:r>
              <w:t>80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c>
          <w:tcPr>
            <w:tcW w:w="850" w:type="dxa"/>
          </w:tcPr>
          <w:p w:rsidR="00212513" w:rsidRDefault="00212513">
            <w:pPr>
              <w:pStyle w:val="ConsPlusNormal"/>
              <w:jc w:val="center"/>
            </w:pPr>
            <w:r>
              <w:t>1.3.2</w:t>
            </w:r>
          </w:p>
        </w:tc>
        <w:tc>
          <w:tcPr>
            <w:tcW w:w="9978" w:type="dxa"/>
            <w:gridSpan w:val="6"/>
          </w:tcPr>
          <w:p w:rsidR="00212513" w:rsidRDefault="00212513">
            <w:pPr>
              <w:pStyle w:val="ConsPlusNormal"/>
            </w:pPr>
            <w:r>
              <w:t xml:space="preserve">Другие поверхности с открытым поперечным сечением - системы, аналогичные </w:t>
            </w:r>
            <w:hyperlink w:anchor="P18804">
              <w:r>
                <w:rPr>
                  <w:color w:val="0000FF"/>
                </w:rPr>
                <w:t>1.2.2</w:t>
              </w:r>
            </w:hyperlink>
          </w:p>
        </w:tc>
      </w:tr>
      <w:tr w:rsidR="00212513">
        <w:tc>
          <w:tcPr>
            <w:tcW w:w="850" w:type="dxa"/>
          </w:tcPr>
          <w:p w:rsidR="00212513" w:rsidRDefault="00212513">
            <w:pPr>
              <w:pStyle w:val="ConsPlusNormal"/>
              <w:jc w:val="center"/>
            </w:pPr>
            <w:r>
              <w:t>1.3.3</w:t>
            </w:r>
          </w:p>
        </w:tc>
        <w:tc>
          <w:tcPr>
            <w:tcW w:w="7597" w:type="dxa"/>
            <w:gridSpan w:val="5"/>
          </w:tcPr>
          <w:p w:rsidR="00212513" w:rsidRDefault="00212513">
            <w:pPr>
              <w:pStyle w:val="ConsPlusNormal"/>
            </w:pPr>
            <w:r>
              <w:t>Внутренние поверхности герметично закрытых пустотелых конструкций, коробчатые балки без доступа</w:t>
            </w:r>
          </w:p>
        </w:tc>
        <w:tc>
          <w:tcPr>
            <w:tcW w:w="2381" w:type="dxa"/>
          </w:tcPr>
          <w:p w:rsidR="00212513" w:rsidRDefault="00212513">
            <w:pPr>
              <w:pStyle w:val="ConsPlusNormal"/>
            </w:pPr>
            <w:r>
              <w:t>Антикоррозионная защита не требуется</w:t>
            </w:r>
          </w:p>
        </w:tc>
      </w:tr>
      <w:tr w:rsidR="00212513">
        <w:tc>
          <w:tcPr>
            <w:tcW w:w="850" w:type="dxa"/>
            <w:vMerge w:val="restart"/>
          </w:tcPr>
          <w:p w:rsidR="00212513" w:rsidRDefault="00212513">
            <w:pPr>
              <w:pStyle w:val="ConsPlusNormal"/>
              <w:jc w:val="center"/>
            </w:pPr>
            <w:r>
              <w:t>1.4</w:t>
            </w:r>
          </w:p>
        </w:tc>
        <w:tc>
          <w:tcPr>
            <w:tcW w:w="9978" w:type="dxa"/>
            <w:gridSpan w:val="6"/>
          </w:tcPr>
          <w:p w:rsidR="00212513" w:rsidRDefault="00212513">
            <w:pPr>
              <w:pStyle w:val="ConsPlusNormal"/>
            </w:pPr>
            <w:r>
              <w:t>Поверхности, к которым доступ невозможен</w:t>
            </w:r>
          </w:p>
        </w:tc>
      </w:tr>
      <w:tr w:rsidR="00212513">
        <w:tc>
          <w:tcPr>
            <w:tcW w:w="850" w:type="dxa"/>
            <w:vMerge/>
          </w:tcPr>
          <w:p w:rsidR="00212513" w:rsidRDefault="00212513">
            <w:pPr>
              <w:pStyle w:val="ConsPlusNormal"/>
            </w:pPr>
          </w:p>
        </w:tc>
        <w:tc>
          <w:tcPr>
            <w:tcW w:w="2154" w:type="dxa"/>
            <w:vMerge w:val="restart"/>
          </w:tcPr>
          <w:p w:rsidR="00212513" w:rsidRDefault="00212513">
            <w:pPr>
              <w:pStyle w:val="ConsPlusNormal"/>
            </w:pPr>
            <w:r>
              <w:t xml:space="preserve">Специально не определена, </w:t>
            </w:r>
            <w:r>
              <w:lastRenderedPageBreak/>
              <w:t>необходима максимально возможная антикоррозионная защита, предусматриваемый срок службы 40 лет и более</w:t>
            </w:r>
          </w:p>
        </w:tc>
        <w:tc>
          <w:tcPr>
            <w:tcW w:w="397" w:type="dxa"/>
            <w:vMerge w:val="restart"/>
            <w:vAlign w:val="center"/>
          </w:tcPr>
          <w:p w:rsidR="00212513" w:rsidRDefault="00212513">
            <w:pPr>
              <w:pStyle w:val="ConsPlusNormal"/>
              <w:jc w:val="center"/>
            </w:pPr>
            <w:r>
              <w:lastRenderedPageBreak/>
              <w:t>1</w:t>
            </w:r>
          </w:p>
        </w:tc>
        <w:tc>
          <w:tcPr>
            <w:tcW w:w="2268" w:type="dxa"/>
            <w:tcBorders>
              <w:bottom w:val="nil"/>
            </w:tcBorders>
          </w:tcPr>
          <w:p w:rsidR="00212513" w:rsidRDefault="00212513">
            <w:pPr>
              <w:pStyle w:val="ConsPlusNormal"/>
            </w:pPr>
            <w:r>
              <w:t>Холодное цинкование</w:t>
            </w:r>
          </w:p>
        </w:tc>
        <w:tc>
          <w:tcPr>
            <w:tcW w:w="1077" w:type="dxa"/>
            <w:tcBorders>
              <w:bottom w:val="nil"/>
            </w:tcBorders>
          </w:tcPr>
          <w:p w:rsidR="00212513" w:rsidRDefault="00212513">
            <w:pPr>
              <w:pStyle w:val="ConsPlusNormal"/>
              <w:jc w:val="center"/>
            </w:pPr>
            <w:r>
              <w:t>100</w:t>
            </w:r>
          </w:p>
        </w:tc>
        <w:tc>
          <w:tcPr>
            <w:tcW w:w="1701" w:type="dxa"/>
            <w:vMerge w:val="restart"/>
            <w:vAlign w:val="center"/>
          </w:tcPr>
          <w:p w:rsidR="00212513" w:rsidRDefault="00212513">
            <w:pPr>
              <w:pStyle w:val="ConsPlusNormal"/>
              <w:jc w:val="center"/>
            </w:pPr>
            <w:r>
              <w:t>Sa 3</w:t>
            </w:r>
          </w:p>
        </w:tc>
        <w:tc>
          <w:tcPr>
            <w:tcW w:w="2381" w:type="dxa"/>
            <w:vMerge w:val="restart"/>
            <w:vAlign w:val="center"/>
          </w:tcPr>
          <w:p w:rsidR="00212513" w:rsidRDefault="00212513">
            <w:pPr>
              <w:pStyle w:val="ConsPlusNormal"/>
            </w:pPr>
            <w:r>
              <w:t xml:space="preserve">Возможно горячее цинкование для </w:t>
            </w:r>
            <w:r>
              <w:lastRenderedPageBreak/>
              <w:t>соответствующих конструкций</w:t>
            </w:r>
          </w:p>
        </w:tc>
      </w:tr>
      <w:tr w:rsidR="00212513">
        <w:tblPrEx>
          <w:tblBorders>
            <w:insideH w:val="nil"/>
          </w:tblBorders>
        </w:tblPrEx>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bottom w:val="nil"/>
            </w:tcBorders>
          </w:tcPr>
          <w:p w:rsidR="00212513" w:rsidRDefault="00212513">
            <w:pPr>
              <w:pStyle w:val="ConsPlusNormal"/>
            </w:pPr>
            <w:r>
              <w:t xml:space="preserve">1-й промежуточный </w:t>
            </w:r>
            <w:r>
              <w:lastRenderedPageBreak/>
              <w:t>слой EP-Combi</w:t>
            </w:r>
          </w:p>
        </w:tc>
        <w:tc>
          <w:tcPr>
            <w:tcW w:w="1077" w:type="dxa"/>
            <w:tcBorders>
              <w:top w:val="nil"/>
              <w:bottom w:val="nil"/>
            </w:tcBorders>
          </w:tcPr>
          <w:p w:rsidR="00212513" w:rsidRDefault="00212513">
            <w:pPr>
              <w:pStyle w:val="ConsPlusNormal"/>
              <w:jc w:val="center"/>
            </w:pPr>
            <w:r>
              <w:lastRenderedPageBreak/>
              <w:t>120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blPrEx>
          <w:tblBorders>
            <w:insideH w:val="nil"/>
          </w:tblBorders>
        </w:tblPrEx>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bottom w:val="nil"/>
            </w:tcBorders>
          </w:tcPr>
          <w:p w:rsidR="00212513" w:rsidRDefault="00212513">
            <w:pPr>
              <w:pStyle w:val="ConsPlusNormal"/>
            </w:pPr>
            <w:r>
              <w:t>2-й промежуточный слой EP-Combi</w:t>
            </w:r>
          </w:p>
        </w:tc>
        <w:tc>
          <w:tcPr>
            <w:tcW w:w="1077" w:type="dxa"/>
            <w:tcBorders>
              <w:top w:val="nil"/>
              <w:bottom w:val="nil"/>
            </w:tcBorders>
          </w:tcPr>
          <w:p w:rsidR="00212513" w:rsidRDefault="00212513">
            <w:pPr>
              <w:pStyle w:val="ConsPlusNormal"/>
              <w:jc w:val="center"/>
            </w:pPr>
            <w:r>
              <w:t>120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tcBorders>
          </w:tcPr>
          <w:p w:rsidR="00212513" w:rsidRDefault="00212513">
            <w:pPr>
              <w:pStyle w:val="ConsPlusNormal"/>
            </w:pPr>
            <w:r>
              <w:t>Покрывной слой EP-Combi</w:t>
            </w:r>
          </w:p>
        </w:tc>
        <w:tc>
          <w:tcPr>
            <w:tcW w:w="1077" w:type="dxa"/>
            <w:tcBorders>
              <w:top w:val="nil"/>
            </w:tcBorders>
          </w:tcPr>
          <w:p w:rsidR="00212513" w:rsidRDefault="00212513">
            <w:pPr>
              <w:pStyle w:val="ConsPlusNormal"/>
              <w:jc w:val="center"/>
            </w:pPr>
            <w:r>
              <w:t>120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val="restart"/>
            <w:vAlign w:val="center"/>
          </w:tcPr>
          <w:p w:rsidR="00212513" w:rsidRDefault="00212513">
            <w:pPr>
              <w:pStyle w:val="ConsPlusNormal"/>
              <w:jc w:val="center"/>
            </w:pPr>
            <w:r>
              <w:t>2</w:t>
            </w:r>
          </w:p>
        </w:tc>
        <w:tc>
          <w:tcPr>
            <w:tcW w:w="2268" w:type="dxa"/>
            <w:tcBorders>
              <w:bottom w:val="nil"/>
            </w:tcBorders>
          </w:tcPr>
          <w:p w:rsidR="00212513" w:rsidRDefault="00212513">
            <w:pPr>
              <w:pStyle w:val="ConsPlusNormal"/>
            </w:pPr>
            <w:r>
              <w:t>Грунт EP-Zn</w:t>
            </w:r>
          </w:p>
        </w:tc>
        <w:tc>
          <w:tcPr>
            <w:tcW w:w="1077" w:type="dxa"/>
            <w:tcBorders>
              <w:bottom w:val="nil"/>
            </w:tcBorders>
          </w:tcPr>
          <w:p w:rsidR="00212513" w:rsidRDefault="00212513">
            <w:pPr>
              <w:pStyle w:val="ConsPlusNormal"/>
              <w:jc w:val="center"/>
            </w:pPr>
            <w:r>
              <w:t>80</w:t>
            </w:r>
          </w:p>
        </w:tc>
        <w:tc>
          <w:tcPr>
            <w:tcW w:w="1701" w:type="dxa"/>
            <w:vMerge w:val="restart"/>
            <w:vAlign w:val="center"/>
          </w:tcPr>
          <w:p w:rsidR="00212513" w:rsidRDefault="00212513">
            <w:pPr>
              <w:pStyle w:val="ConsPlusNormal"/>
              <w:jc w:val="center"/>
            </w:pPr>
            <w:r>
              <w:t>Sa 2</w:t>
            </w:r>
            <w:r>
              <w:rPr>
                <w:vertAlign w:val="superscript"/>
              </w:rPr>
              <w:t>1</w:t>
            </w:r>
            <w:r>
              <w:t>/</w:t>
            </w:r>
            <w:r>
              <w:rPr>
                <w:vertAlign w:val="subscript"/>
              </w:rPr>
              <w:t>2</w:t>
            </w:r>
          </w:p>
        </w:tc>
        <w:tc>
          <w:tcPr>
            <w:tcW w:w="2381" w:type="dxa"/>
            <w:vMerge w:val="restart"/>
          </w:tcPr>
          <w:p w:rsidR="00212513" w:rsidRDefault="00212513">
            <w:pPr>
              <w:pStyle w:val="ConsPlusNormal"/>
            </w:pPr>
          </w:p>
        </w:tc>
      </w:tr>
      <w:tr w:rsidR="00212513">
        <w:tblPrEx>
          <w:tblBorders>
            <w:insideH w:val="nil"/>
          </w:tblBorders>
        </w:tblPrEx>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bottom w:val="nil"/>
            </w:tcBorders>
          </w:tcPr>
          <w:p w:rsidR="00212513" w:rsidRDefault="00212513">
            <w:pPr>
              <w:pStyle w:val="ConsPlusNormal"/>
            </w:pPr>
            <w:r>
              <w:t>1-й промежуточный слой EP-Combi</w:t>
            </w:r>
          </w:p>
        </w:tc>
        <w:tc>
          <w:tcPr>
            <w:tcW w:w="1077" w:type="dxa"/>
            <w:tcBorders>
              <w:top w:val="nil"/>
              <w:bottom w:val="nil"/>
            </w:tcBorders>
          </w:tcPr>
          <w:p w:rsidR="00212513" w:rsidRDefault="00212513">
            <w:pPr>
              <w:pStyle w:val="ConsPlusNormal"/>
              <w:jc w:val="center"/>
            </w:pPr>
            <w:r>
              <w:t>120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blPrEx>
          <w:tblBorders>
            <w:insideH w:val="nil"/>
          </w:tblBorders>
        </w:tblPrEx>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bottom w:val="nil"/>
            </w:tcBorders>
          </w:tcPr>
          <w:p w:rsidR="00212513" w:rsidRDefault="00212513">
            <w:pPr>
              <w:pStyle w:val="ConsPlusNormal"/>
            </w:pPr>
            <w:r>
              <w:t>2-й промежуточный слой EP-Combi</w:t>
            </w:r>
          </w:p>
        </w:tc>
        <w:tc>
          <w:tcPr>
            <w:tcW w:w="1077" w:type="dxa"/>
            <w:tcBorders>
              <w:top w:val="nil"/>
              <w:bottom w:val="nil"/>
            </w:tcBorders>
          </w:tcPr>
          <w:p w:rsidR="00212513" w:rsidRDefault="00212513">
            <w:pPr>
              <w:pStyle w:val="ConsPlusNormal"/>
              <w:jc w:val="center"/>
            </w:pPr>
            <w:r>
              <w:t>120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tcBorders>
          </w:tcPr>
          <w:p w:rsidR="00212513" w:rsidRDefault="00212513">
            <w:pPr>
              <w:pStyle w:val="ConsPlusNormal"/>
            </w:pPr>
            <w:r>
              <w:t>Покрывной слой EP-Combi</w:t>
            </w:r>
          </w:p>
        </w:tc>
        <w:tc>
          <w:tcPr>
            <w:tcW w:w="1077" w:type="dxa"/>
            <w:tcBorders>
              <w:top w:val="nil"/>
            </w:tcBorders>
          </w:tcPr>
          <w:p w:rsidR="00212513" w:rsidRDefault="00212513">
            <w:pPr>
              <w:pStyle w:val="ConsPlusNormal"/>
              <w:jc w:val="center"/>
            </w:pPr>
            <w:r>
              <w:t>120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val="restart"/>
            <w:vAlign w:val="center"/>
          </w:tcPr>
          <w:p w:rsidR="00212513" w:rsidRDefault="00212513">
            <w:pPr>
              <w:pStyle w:val="ConsPlusNormal"/>
              <w:jc w:val="center"/>
            </w:pPr>
            <w:r>
              <w:t>3</w:t>
            </w:r>
          </w:p>
        </w:tc>
        <w:tc>
          <w:tcPr>
            <w:tcW w:w="2268" w:type="dxa"/>
            <w:tcBorders>
              <w:bottom w:val="nil"/>
            </w:tcBorders>
          </w:tcPr>
          <w:p w:rsidR="00212513" w:rsidRDefault="00212513">
            <w:pPr>
              <w:pStyle w:val="ConsPlusNormal"/>
            </w:pPr>
            <w:r>
              <w:t>Грунт EP-Zn</w:t>
            </w:r>
          </w:p>
        </w:tc>
        <w:tc>
          <w:tcPr>
            <w:tcW w:w="1077" w:type="dxa"/>
            <w:tcBorders>
              <w:bottom w:val="nil"/>
            </w:tcBorders>
          </w:tcPr>
          <w:p w:rsidR="00212513" w:rsidRDefault="00212513">
            <w:pPr>
              <w:pStyle w:val="ConsPlusNormal"/>
              <w:jc w:val="center"/>
            </w:pPr>
            <w:r>
              <w:t>80</w:t>
            </w:r>
          </w:p>
        </w:tc>
        <w:tc>
          <w:tcPr>
            <w:tcW w:w="1701" w:type="dxa"/>
            <w:vMerge w:val="restart"/>
            <w:vAlign w:val="center"/>
          </w:tcPr>
          <w:p w:rsidR="00212513" w:rsidRDefault="00212513">
            <w:pPr>
              <w:pStyle w:val="ConsPlusNormal"/>
              <w:jc w:val="center"/>
            </w:pPr>
            <w:r>
              <w:t>Sa 2</w:t>
            </w:r>
            <w:r>
              <w:rPr>
                <w:vertAlign w:val="superscript"/>
              </w:rPr>
              <w:t>1</w:t>
            </w:r>
            <w:r>
              <w:t>/</w:t>
            </w:r>
            <w:r>
              <w:rPr>
                <w:vertAlign w:val="subscript"/>
              </w:rPr>
              <w:t>2</w:t>
            </w:r>
          </w:p>
        </w:tc>
        <w:tc>
          <w:tcPr>
            <w:tcW w:w="2381" w:type="dxa"/>
            <w:vMerge w:val="restart"/>
          </w:tcPr>
          <w:p w:rsidR="00212513" w:rsidRDefault="00212513">
            <w:pPr>
              <w:pStyle w:val="ConsPlusNormal"/>
            </w:pPr>
          </w:p>
        </w:tc>
      </w:tr>
      <w:tr w:rsidR="00212513">
        <w:tblPrEx>
          <w:tblBorders>
            <w:insideH w:val="nil"/>
          </w:tblBorders>
        </w:tblPrEx>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bottom w:val="nil"/>
            </w:tcBorders>
          </w:tcPr>
          <w:p w:rsidR="00212513" w:rsidRDefault="00212513">
            <w:pPr>
              <w:pStyle w:val="ConsPlusNormal"/>
            </w:pPr>
            <w:r>
              <w:t>Промежуточный слой EP HS</w:t>
            </w:r>
          </w:p>
        </w:tc>
        <w:tc>
          <w:tcPr>
            <w:tcW w:w="1077" w:type="dxa"/>
            <w:tcBorders>
              <w:top w:val="nil"/>
              <w:bottom w:val="nil"/>
            </w:tcBorders>
          </w:tcPr>
          <w:p w:rsidR="00212513" w:rsidRDefault="00212513">
            <w:pPr>
              <w:pStyle w:val="ConsPlusNormal"/>
              <w:jc w:val="center"/>
            </w:pPr>
            <w:r>
              <w:t>150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tcBorders>
          </w:tcPr>
          <w:p w:rsidR="00212513" w:rsidRDefault="00212513">
            <w:pPr>
              <w:pStyle w:val="ConsPlusNormal"/>
            </w:pPr>
            <w:r>
              <w:t>Покрывной слой EP HS</w:t>
            </w:r>
          </w:p>
        </w:tc>
        <w:tc>
          <w:tcPr>
            <w:tcW w:w="1077" w:type="dxa"/>
            <w:tcBorders>
              <w:top w:val="nil"/>
            </w:tcBorders>
          </w:tcPr>
          <w:p w:rsidR="00212513" w:rsidRDefault="00212513">
            <w:pPr>
              <w:pStyle w:val="ConsPlusNormal"/>
              <w:jc w:val="center"/>
            </w:pPr>
            <w:r>
              <w:t>150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c>
          <w:tcPr>
            <w:tcW w:w="850" w:type="dxa"/>
            <w:vMerge/>
          </w:tcPr>
          <w:p w:rsidR="00212513" w:rsidRDefault="00212513">
            <w:pPr>
              <w:pStyle w:val="ConsPlusNormal"/>
            </w:pPr>
          </w:p>
        </w:tc>
        <w:tc>
          <w:tcPr>
            <w:tcW w:w="9978" w:type="dxa"/>
            <w:gridSpan w:val="6"/>
          </w:tcPr>
          <w:p w:rsidR="00212513" w:rsidRDefault="00212513">
            <w:pPr>
              <w:pStyle w:val="ConsPlusNormal"/>
              <w:ind w:firstLine="283"/>
            </w:pPr>
            <w:r>
              <w:t>При более высоком сроке службы необходимы дополнительные мероприятия, например учет потери материала вследствие коррозии или применение материалов, устойчивых к коррозии</w:t>
            </w:r>
          </w:p>
        </w:tc>
      </w:tr>
      <w:tr w:rsidR="00212513">
        <w:tc>
          <w:tcPr>
            <w:tcW w:w="850" w:type="dxa"/>
          </w:tcPr>
          <w:p w:rsidR="00212513" w:rsidRDefault="00212513">
            <w:pPr>
              <w:pStyle w:val="ConsPlusNormal"/>
              <w:jc w:val="center"/>
            </w:pPr>
            <w:r>
              <w:rPr>
                <w:b/>
              </w:rPr>
              <w:t>3</w:t>
            </w:r>
          </w:p>
        </w:tc>
        <w:tc>
          <w:tcPr>
            <w:tcW w:w="9978" w:type="dxa"/>
            <w:gridSpan w:val="6"/>
          </w:tcPr>
          <w:p w:rsidR="00212513" w:rsidRDefault="00212513">
            <w:pPr>
              <w:pStyle w:val="ConsPlusNormal"/>
            </w:pPr>
            <w:r>
              <w:rPr>
                <w:b/>
              </w:rPr>
              <w:t>Другие конструктивные элементы</w:t>
            </w:r>
          </w:p>
        </w:tc>
      </w:tr>
      <w:tr w:rsidR="00212513">
        <w:tc>
          <w:tcPr>
            <w:tcW w:w="850" w:type="dxa"/>
            <w:vMerge w:val="restart"/>
          </w:tcPr>
          <w:p w:rsidR="00212513" w:rsidRDefault="00212513">
            <w:pPr>
              <w:pStyle w:val="ConsPlusNormal"/>
              <w:jc w:val="center"/>
            </w:pPr>
            <w:r>
              <w:t>3.1</w:t>
            </w:r>
          </w:p>
        </w:tc>
        <w:tc>
          <w:tcPr>
            <w:tcW w:w="9978" w:type="dxa"/>
            <w:gridSpan w:val="6"/>
          </w:tcPr>
          <w:p w:rsidR="00212513" w:rsidRDefault="00212513">
            <w:pPr>
              <w:pStyle w:val="ConsPlusNormal"/>
            </w:pPr>
            <w:r>
              <w:t>Парапеты</w:t>
            </w:r>
          </w:p>
        </w:tc>
      </w:tr>
      <w:tr w:rsidR="00212513">
        <w:tc>
          <w:tcPr>
            <w:tcW w:w="850" w:type="dxa"/>
            <w:vMerge/>
          </w:tcPr>
          <w:p w:rsidR="00212513" w:rsidRDefault="00212513">
            <w:pPr>
              <w:pStyle w:val="ConsPlusNormal"/>
            </w:pPr>
          </w:p>
        </w:tc>
        <w:tc>
          <w:tcPr>
            <w:tcW w:w="2154" w:type="dxa"/>
            <w:vMerge w:val="restart"/>
          </w:tcPr>
          <w:p w:rsidR="00212513" w:rsidRDefault="00212513">
            <w:pPr>
              <w:pStyle w:val="ConsPlusNormal"/>
            </w:pPr>
            <w:r>
              <w:t>а) В закрытых пространствах</w:t>
            </w:r>
          </w:p>
        </w:tc>
        <w:tc>
          <w:tcPr>
            <w:tcW w:w="397" w:type="dxa"/>
            <w:vAlign w:val="center"/>
          </w:tcPr>
          <w:p w:rsidR="00212513" w:rsidRDefault="00212513">
            <w:pPr>
              <w:pStyle w:val="ConsPlusNormal"/>
              <w:jc w:val="center"/>
            </w:pPr>
            <w:r>
              <w:t>1</w:t>
            </w:r>
          </w:p>
        </w:tc>
        <w:tc>
          <w:tcPr>
            <w:tcW w:w="2268" w:type="dxa"/>
          </w:tcPr>
          <w:p w:rsidR="00212513" w:rsidRDefault="00212513">
            <w:pPr>
              <w:pStyle w:val="ConsPlusNormal"/>
            </w:pPr>
            <w:r>
              <w:t>Горячее цинкование</w:t>
            </w:r>
          </w:p>
        </w:tc>
        <w:tc>
          <w:tcPr>
            <w:tcW w:w="1077" w:type="dxa"/>
          </w:tcPr>
          <w:p w:rsidR="00212513" w:rsidRDefault="00212513">
            <w:pPr>
              <w:pStyle w:val="ConsPlusNormal"/>
            </w:pPr>
          </w:p>
        </w:tc>
        <w:tc>
          <w:tcPr>
            <w:tcW w:w="1701" w:type="dxa"/>
          </w:tcPr>
          <w:p w:rsidR="00212513" w:rsidRDefault="00212513">
            <w:pPr>
              <w:pStyle w:val="ConsPlusNormal"/>
              <w:jc w:val="center"/>
            </w:pPr>
            <w:r>
              <w:t>-</w:t>
            </w:r>
          </w:p>
        </w:tc>
        <w:tc>
          <w:tcPr>
            <w:tcW w:w="2381" w:type="dxa"/>
          </w:tcPr>
          <w:p w:rsidR="00212513" w:rsidRDefault="00212513">
            <w:pPr>
              <w:pStyle w:val="ConsPlusNormal"/>
              <w:jc w:val="center"/>
            </w:pPr>
            <w:r>
              <w:t>-</w:t>
            </w:r>
          </w:p>
        </w:tc>
      </w:tr>
      <w:tr w:rsidR="00212513">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val="restart"/>
            <w:vAlign w:val="center"/>
          </w:tcPr>
          <w:p w:rsidR="00212513" w:rsidRDefault="00212513">
            <w:pPr>
              <w:pStyle w:val="ConsPlusNormal"/>
              <w:jc w:val="center"/>
            </w:pPr>
            <w:r>
              <w:t>2</w:t>
            </w:r>
          </w:p>
        </w:tc>
        <w:tc>
          <w:tcPr>
            <w:tcW w:w="2268" w:type="dxa"/>
            <w:tcBorders>
              <w:bottom w:val="nil"/>
            </w:tcBorders>
          </w:tcPr>
          <w:p w:rsidR="00212513" w:rsidRDefault="00212513">
            <w:pPr>
              <w:pStyle w:val="ConsPlusNormal"/>
            </w:pPr>
            <w:r>
              <w:t>Горячее цинкование</w:t>
            </w:r>
          </w:p>
        </w:tc>
        <w:tc>
          <w:tcPr>
            <w:tcW w:w="1077" w:type="dxa"/>
            <w:vMerge w:val="restart"/>
            <w:vAlign w:val="center"/>
          </w:tcPr>
          <w:p w:rsidR="00212513" w:rsidRDefault="00212513">
            <w:pPr>
              <w:pStyle w:val="ConsPlusNormal"/>
              <w:jc w:val="center"/>
            </w:pPr>
            <w:r>
              <w:t>120</w:t>
            </w:r>
          </w:p>
        </w:tc>
        <w:tc>
          <w:tcPr>
            <w:tcW w:w="1701" w:type="dxa"/>
            <w:vMerge w:val="restart"/>
            <w:vAlign w:val="center"/>
          </w:tcPr>
          <w:p w:rsidR="00212513" w:rsidRDefault="00212513">
            <w:pPr>
              <w:pStyle w:val="ConsPlusNormal"/>
              <w:jc w:val="center"/>
            </w:pPr>
            <w:r>
              <w:t>-</w:t>
            </w:r>
          </w:p>
        </w:tc>
        <w:tc>
          <w:tcPr>
            <w:tcW w:w="2381" w:type="dxa"/>
            <w:vMerge w:val="restart"/>
            <w:vAlign w:val="center"/>
          </w:tcPr>
          <w:p w:rsidR="00212513" w:rsidRDefault="00212513">
            <w:pPr>
              <w:pStyle w:val="ConsPlusNormal"/>
            </w:pPr>
            <w:r>
              <w:t xml:space="preserve">Если требуется </w:t>
            </w:r>
            <w:r>
              <w:lastRenderedPageBreak/>
              <w:t>колористическое решение</w:t>
            </w:r>
          </w:p>
        </w:tc>
      </w:tr>
      <w:tr w:rsidR="00212513">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tcBorders>
          </w:tcPr>
          <w:p w:rsidR="00212513" w:rsidRDefault="00212513">
            <w:pPr>
              <w:pStyle w:val="ConsPlusNormal"/>
            </w:pPr>
            <w:r>
              <w:t>Промежуточный слой ws AY по Zn</w:t>
            </w:r>
          </w:p>
        </w:tc>
        <w:tc>
          <w:tcPr>
            <w:tcW w:w="1077" w:type="dxa"/>
            <w:vMerge/>
          </w:tcPr>
          <w:p w:rsidR="00212513" w:rsidRDefault="00212513">
            <w:pPr>
              <w:pStyle w:val="ConsPlusNormal"/>
            </w:pP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c>
          <w:tcPr>
            <w:tcW w:w="850" w:type="dxa"/>
            <w:vMerge/>
          </w:tcPr>
          <w:p w:rsidR="00212513" w:rsidRDefault="00212513">
            <w:pPr>
              <w:pStyle w:val="ConsPlusNormal"/>
            </w:pPr>
          </w:p>
        </w:tc>
        <w:tc>
          <w:tcPr>
            <w:tcW w:w="2154" w:type="dxa"/>
            <w:vMerge w:val="restart"/>
          </w:tcPr>
          <w:p w:rsidR="00212513" w:rsidRDefault="00212513">
            <w:pPr>
              <w:pStyle w:val="ConsPlusNormal"/>
            </w:pPr>
            <w:r>
              <w:t>б) Открытая атмосфера: категория коррозионной активности до "C3"</w:t>
            </w:r>
          </w:p>
        </w:tc>
        <w:tc>
          <w:tcPr>
            <w:tcW w:w="397" w:type="dxa"/>
            <w:vMerge w:val="restart"/>
            <w:vAlign w:val="center"/>
          </w:tcPr>
          <w:p w:rsidR="00212513" w:rsidRDefault="00212513">
            <w:pPr>
              <w:pStyle w:val="ConsPlusNormal"/>
              <w:jc w:val="center"/>
            </w:pPr>
            <w:r>
              <w:t>1</w:t>
            </w:r>
          </w:p>
        </w:tc>
        <w:tc>
          <w:tcPr>
            <w:tcW w:w="2268" w:type="dxa"/>
            <w:tcBorders>
              <w:bottom w:val="nil"/>
            </w:tcBorders>
          </w:tcPr>
          <w:p w:rsidR="00212513" w:rsidRDefault="00212513">
            <w:pPr>
              <w:pStyle w:val="ConsPlusNormal"/>
            </w:pPr>
            <w:r>
              <w:t>Горячее цинкование</w:t>
            </w:r>
          </w:p>
        </w:tc>
        <w:tc>
          <w:tcPr>
            <w:tcW w:w="1077" w:type="dxa"/>
            <w:tcBorders>
              <w:bottom w:val="nil"/>
            </w:tcBorders>
          </w:tcPr>
          <w:p w:rsidR="00212513" w:rsidRDefault="00212513">
            <w:pPr>
              <w:pStyle w:val="ConsPlusNormal"/>
            </w:pPr>
          </w:p>
        </w:tc>
        <w:tc>
          <w:tcPr>
            <w:tcW w:w="1701" w:type="dxa"/>
            <w:vMerge w:val="restart"/>
            <w:vAlign w:val="center"/>
          </w:tcPr>
          <w:p w:rsidR="00212513" w:rsidRDefault="00212513">
            <w:pPr>
              <w:pStyle w:val="ConsPlusNormal"/>
              <w:jc w:val="center"/>
            </w:pPr>
            <w:r>
              <w:t>-</w:t>
            </w:r>
          </w:p>
        </w:tc>
        <w:tc>
          <w:tcPr>
            <w:tcW w:w="2381" w:type="dxa"/>
            <w:vMerge w:val="restart"/>
            <w:vAlign w:val="center"/>
          </w:tcPr>
          <w:p w:rsidR="00212513" w:rsidRDefault="00212513">
            <w:pPr>
              <w:pStyle w:val="ConsPlusNormal"/>
            </w:pPr>
            <w:r>
              <w:t>Покрывной слой ws AY легко загрязняется</w:t>
            </w:r>
          </w:p>
        </w:tc>
      </w:tr>
      <w:tr w:rsidR="00212513">
        <w:tblPrEx>
          <w:tblBorders>
            <w:insideH w:val="nil"/>
          </w:tblBorders>
        </w:tblPrEx>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bottom w:val="nil"/>
            </w:tcBorders>
          </w:tcPr>
          <w:p w:rsidR="00212513" w:rsidRDefault="00212513">
            <w:pPr>
              <w:pStyle w:val="ConsPlusNormal"/>
            </w:pPr>
            <w:r>
              <w:t>Промежуточный слой wv AY по Zn</w:t>
            </w:r>
          </w:p>
        </w:tc>
        <w:tc>
          <w:tcPr>
            <w:tcW w:w="1077" w:type="dxa"/>
            <w:tcBorders>
              <w:top w:val="nil"/>
              <w:bottom w:val="nil"/>
            </w:tcBorders>
          </w:tcPr>
          <w:p w:rsidR="00212513" w:rsidRDefault="00212513">
            <w:pPr>
              <w:pStyle w:val="ConsPlusNormal"/>
              <w:jc w:val="center"/>
            </w:pPr>
            <w:r>
              <w:t>120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tcBorders>
          </w:tcPr>
          <w:p w:rsidR="00212513" w:rsidRDefault="00212513">
            <w:pPr>
              <w:pStyle w:val="ConsPlusNormal"/>
            </w:pPr>
            <w:r>
              <w:t>Покрывной слой ws AY</w:t>
            </w:r>
          </w:p>
        </w:tc>
        <w:tc>
          <w:tcPr>
            <w:tcW w:w="1077" w:type="dxa"/>
            <w:tcBorders>
              <w:top w:val="nil"/>
            </w:tcBorders>
          </w:tcPr>
          <w:p w:rsidR="00212513" w:rsidRDefault="00212513">
            <w:pPr>
              <w:pStyle w:val="ConsPlusNormal"/>
              <w:jc w:val="center"/>
            </w:pPr>
            <w:r>
              <w:t>80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val="restart"/>
            <w:vAlign w:val="center"/>
          </w:tcPr>
          <w:p w:rsidR="00212513" w:rsidRDefault="00212513">
            <w:pPr>
              <w:pStyle w:val="ConsPlusNormal"/>
              <w:jc w:val="center"/>
            </w:pPr>
            <w:r>
              <w:t>2</w:t>
            </w:r>
          </w:p>
        </w:tc>
        <w:tc>
          <w:tcPr>
            <w:tcW w:w="2268" w:type="dxa"/>
            <w:tcBorders>
              <w:bottom w:val="nil"/>
            </w:tcBorders>
          </w:tcPr>
          <w:p w:rsidR="00212513" w:rsidRDefault="00212513">
            <w:pPr>
              <w:pStyle w:val="ConsPlusNormal"/>
            </w:pPr>
            <w:r>
              <w:t>Горячее цинкование</w:t>
            </w:r>
          </w:p>
        </w:tc>
        <w:tc>
          <w:tcPr>
            <w:tcW w:w="1077" w:type="dxa"/>
            <w:tcBorders>
              <w:bottom w:val="nil"/>
            </w:tcBorders>
          </w:tcPr>
          <w:p w:rsidR="00212513" w:rsidRDefault="00212513">
            <w:pPr>
              <w:pStyle w:val="ConsPlusNormal"/>
            </w:pPr>
          </w:p>
        </w:tc>
        <w:tc>
          <w:tcPr>
            <w:tcW w:w="1701" w:type="dxa"/>
            <w:vMerge w:val="restart"/>
            <w:vAlign w:val="center"/>
          </w:tcPr>
          <w:p w:rsidR="00212513" w:rsidRDefault="00212513">
            <w:pPr>
              <w:pStyle w:val="ConsPlusNormal"/>
              <w:jc w:val="center"/>
            </w:pPr>
            <w:r>
              <w:t>-</w:t>
            </w:r>
          </w:p>
        </w:tc>
        <w:tc>
          <w:tcPr>
            <w:tcW w:w="2381" w:type="dxa"/>
            <w:vMerge w:val="restart"/>
            <w:vAlign w:val="center"/>
          </w:tcPr>
          <w:p w:rsidR="00212513" w:rsidRDefault="00212513">
            <w:pPr>
              <w:pStyle w:val="ConsPlusNormal"/>
            </w:pPr>
            <w:r>
              <w:t>Для более сильных механических нагрузок</w:t>
            </w:r>
          </w:p>
        </w:tc>
      </w:tr>
      <w:tr w:rsidR="00212513">
        <w:tblPrEx>
          <w:tblBorders>
            <w:insideH w:val="nil"/>
          </w:tblBorders>
        </w:tblPrEx>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bottom w:val="nil"/>
            </w:tcBorders>
          </w:tcPr>
          <w:p w:rsidR="00212513" w:rsidRDefault="00212513">
            <w:pPr>
              <w:pStyle w:val="ConsPlusNormal"/>
            </w:pPr>
            <w:r>
              <w:t>Промежуточный слой ws AY по Zn</w:t>
            </w:r>
          </w:p>
        </w:tc>
        <w:tc>
          <w:tcPr>
            <w:tcW w:w="1077" w:type="dxa"/>
            <w:tcBorders>
              <w:top w:val="nil"/>
              <w:bottom w:val="nil"/>
            </w:tcBorders>
          </w:tcPr>
          <w:p w:rsidR="00212513" w:rsidRDefault="00212513">
            <w:pPr>
              <w:pStyle w:val="ConsPlusNormal"/>
              <w:jc w:val="center"/>
            </w:pPr>
            <w:r>
              <w:t>120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tcBorders>
          </w:tcPr>
          <w:p w:rsidR="00212513" w:rsidRDefault="00212513">
            <w:pPr>
              <w:pStyle w:val="ConsPlusNormal"/>
            </w:pPr>
            <w:r>
              <w:t>Покрывной слой PUR</w:t>
            </w:r>
          </w:p>
        </w:tc>
        <w:tc>
          <w:tcPr>
            <w:tcW w:w="1077" w:type="dxa"/>
            <w:tcBorders>
              <w:top w:val="nil"/>
            </w:tcBorders>
          </w:tcPr>
          <w:p w:rsidR="00212513" w:rsidRDefault="00212513">
            <w:pPr>
              <w:pStyle w:val="ConsPlusNormal"/>
              <w:jc w:val="center"/>
            </w:pPr>
            <w:r>
              <w:t>80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c>
          <w:tcPr>
            <w:tcW w:w="850" w:type="dxa"/>
            <w:vMerge/>
          </w:tcPr>
          <w:p w:rsidR="00212513" w:rsidRDefault="00212513">
            <w:pPr>
              <w:pStyle w:val="ConsPlusNormal"/>
            </w:pPr>
          </w:p>
        </w:tc>
        <w:tc>
          <w:tcPr>
            <w:tcW w:w="2154" w:type="dxa"/>
            <w:vMerge w:val="restart"/>
          </w:tcPr>
          <w:p w:rsidR="00212513" w:rsidRDefault="00212513">
            <w:pPr>
              <w:pStyle w:val="ConsPlusNormal"/>
            </w:pPr>
            <w:r>
              <w:t>в) Зона брызг, удары камней или щебня или открытая атмосфера: категория коррозионной активности до "C5"</w:t>
            </w:r>
          </w:p>
        </w:tc>
        <w:tc>
          <w:tcPr>
            <w:tcW w:w="397" w:type="dxa"/>
            <w:vMerge w:val="restart"/>
            <w:vAlign w:val="center"/>
          </w:tcPr>
          <w:p w:rsidR="00212513" w:rsidRDefault="00212513">
            <w:pPr>
              <w:pStyle w:val="ConsPlusNormal"/>
              <w:jc w:val="center"/>
            </w:pPr>
            <w:r>
              <w:t>1</w:t>
            </w:r>
          </w:p>
        </w:tc>
        <w:tc>
          <w:tcPr>
            <w:tcW w:w="2268" w:type="dxa"/>
            <w:tcBorders>
              <w:bottom w:val="nil"/>
            </w:tcBorders>
          </w:tcPr>
          <w:p w:rsidR="00212513" w:rsidRDefault="00212513">
            <w:pPr>
              <w:pStyle w:val="ConsPlusNormal"/>
            </w:pPr>
            <w:r>
              <w:t>Горячее цинкование</w:t>
            </w:r>
          </w:p>
        </w:tc>
        <w:tc>
          <w:tcPr>
            <w:tcW w:w="1077" w:type="dxa"/>
            <w:tcBorders>
              <w:bottom w:val="nil"/>
            </w:tcBorders>
          </w:tcPr>
          <w:p w:rsidR="00212513" w:rsidRDefault="00212513">
            <w:pPr>
              <w:pStyle w:val="ConsPlusNormal"/>
            </w:pPr>
          </w:p>
        </w:tc>
        <w:tc>
          <w:tcPr>
            <w:tcW w:w="1701" w:type="dxa"/>
            <w:vMerge w:val="restart"/>
            <w:vAlign w:val="center"/>
          </w:tcPr>
          <w:p w:rsidR="00212513" w:rsidRDefault="00212513">
            <w:pPr>
              <w:pStyle w:val="ConsPlusNormal"/>
              <w:jc w:val="center"/>
            </w:pPr>
            <w:r>
              <w:t>Свиппинг</w:t>
            </w:r>
          </w:p>
        </w:tc>
        <w:tc>
          <w:tcPr>
            <w:tcW w:w="2381" w:type="dxa"/>
            <w:vMerge w:val="restart"/>
          </w:tcPr>
          <w:p w:rsidR="00212513" w:rsidRDefault="00212513">
            <w:pPr>
              <w:pStyle w:val="ConsPlusNormal"/>
            </w:pPr>
          </w:p>
        </w:tc>
      </w:tr>
      <w:tr w:rsidR="00212513">
        <w:tblPrEx>
          <w:tblBorders>
            <w:insideH w:val="nil"/>
          </w:tblBorders>
        </w:tblPrEx>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bottom w:val="nil"/>
            </w:tcBorders>
          </w:tcPr>
          <w:p w:rsidR="00212513" w:rsidRDefault="00212513">
            <w:pPr>
              <w:pStyle w:val="ConsPlusNormal"/>
            </w:pPr>
            <w:r>
              <w:t>Промежуточный слой EP</w:t>
            </w:r>
          </w:p>
        </w:tc>
        <w:tc>
          <w:tcPr>
            <w:tcW w:w="1077" w:type="dxa"/>
            <w:tcBorders>
              <w:top w:val="nil"/>
              <w:bottom w:val="nil"/>
            </w:tcBorders>
          </w:tcPr>
          <w:p w:rsidR="00212513" w:rsidRDefault="00212513">
            <w:pPr>
              <w:pStyle w:val="ConsPlusNormal"/>
              <w:jc w:val="center"/>
            </w:pPr>
            <w:r>
              <w:t>80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tcBorders>
          </w:tcPr>
          <w:p w:rsidR="00212513" w:rsidRDefault="00212513">
            <w:pPr>
              <w:pStyle w:val="ConsPlusNormal"/>
            </w:pPr>
            <w:r>
              <w:t>Покрывной слой PUR</w:t>
            </w:r>
          </w:p>
        </w:tc>
        <w:tc>
          <w:tcPr>
            <w:tcW w:w="1077" w:type="dxa"/>
            <w:tcBorders>
              <w:top w:val="nil"/>
            </w:tcBorders>
          </w:tcPr>
          <w:p w:rsidR="00212513" w:rsidRDefault="00212513">
            <w:pPr>
              <w:pStyle w:val="ConsPlusNormal"/>
              <w:jc w:val="center"/>
            </w:pPr>
            <w:r>
              <w:t>80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val="restart"/>
            <w:vAlign w:val="center"/>
          </w:tcPr>
          <w:p w:rsidR="00212513" w:rsidRDefault="00212513">
            <w:pPr>
              <w:pStyle w:val="ConsPlusNormal"/>
              <w:jc w:val="center"/>
            </w:pPr>
            <w:r>
              <w:t>2</w:t>
            </w:r>
          </w:p>
        </w:tc>
        <w:tc>
          <w:tcPr>
            <w:tcW w:w="2268" w:type="dxa"/>
            <w:tcBorders>
              <w:bottom w:val="nil"/>
            </w:tcBorders>
          </w:tcPr>
          <w:p w:rsidR="00212513" w:rsidRDefault="00212513">
            <w:pPr>
              <w:pStyle w:val="ConsPlusNormal"/>
            </w:pPr>
            <w:r>
              <w:t>Горячее цинкование</w:t>
            </w:r>
          </w:p>
        </w:tc>
        <w:tc>
          <w:tcPr>
            <w:tcW w:w="1077" w:type="dxa"/>
            <w:tcBorders>
              <w:bottom w:val="nil"/>
            </w:tcBorders>
          </w:tcPr>
          <w:p w:rsidR="00212513" w:rsidRDefault="00212513">
            <w:pPr>
              <w:pStyle w:val="ConsPlusNormal"/>
            </w:pPr>
          </w:p>
        </w:tc>
        <w:tc>
          <w:tcPr>
            <w:tcW w:w="1701" w:type="dxa"/>
            <w:vMerge w:val="restart"/>
            <w:vAlign w:val="center"/>
          </w:tcPr>
          <w:p w:rsidR="00212513" w:rsidRDefault="00212513">
            <w:pPr>
              <w:pStyle w:val="ConsPlusNormal"/>
              <w:jc w:val="center"/>
            </w:pPr>
            <w:r>
              <w:t>Свиппинг</w:t>
            </w:r>
          </w:p>
        </w:tc>
        <w:tc>
          <w:tcPr>
            <w:tcW w:w="2381" w:type="dxa"/>
            <w:vMerge w:val="restart"/>
          </w:tcPr>
          <w:p w:rsidR="00212513" w:rsidRDefault="00212513">
            <w:pPr>
              <w:pStyle w:val="ConsPlusNormal"/>
            </w:pPr>
          </w:p>
        </w:tc>
      </w:tr>
      <w:tr w:rsidR="00212513">
        <w:tblPrEx>
          <w:tblBorders>
            <w:insideH w:val="nil"/>
          </w:tblBorders>
        </w:tblPrEx>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bottom w:val="nil"/>
            </w:tcBorders>
          </w:tcPr>
          <w:p w:rsidR="00212513" w:rsidRDefault="00212513">
            <w:pPr>
              <w:pStyle w:val="ConsPlusNormal"/>
            </w:pPr>
            <w:r>
              <w:t>Промежуточный слой EP HS</w:t>
            </w:r>
          </w:p>
        </w:tc>
        <w:tc>
          <w:tcPr>
            <w:tcW w:w="1077" w:type="dxa"/>
            <w:tcBorders>
              <w:top w:val="nil"/>
              <w:bottom w:val="nil"/>
            </w:tcBorders>
          </w:tcPr>
          <w:p w:rsidR="00212513" w:rsidRDefault="00212513">
            <w:pPr>
              <w:pStyle w:val="ConsPlusNormal"/>
              <w:jc w:val="center"/>
            </w:pPr>
            <w:r>
              <w:t>120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tcBorders>
          </w:tcPr>
          <w:p w:rsidR="00212513" w:rsidRDefault="00212513">
            <w:pPr>
              <w:pStyle w:val="ConsPlusNormal"/>
            </w:pPr>
            <w:r>
              <w:t>Покрывной слой PUR/PUR HS</w:t>
            </w:r>
          </w:p>
        </w:tc>
        <w:tc>
          <w:tcPr>
            <w:tcW w:w="1077" w:type="dxa"/>
            <w:tcBorders>
              <w:top w:val="nil"/>
            </w:tcBorders>
          </w:tcPr>
          <w:p w:rsidR="00212513" w:rsidRDefault="00212513">
            <w:pPr>
              <w:pStyle w:val="ConsPlusNormal"/>
              <w:jc w:val="center"/>
            </w:pPr>
            <w:r>
              <w:t>80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val="restart"/>
            <w:vAlign w:val="center"/>
          </w:tcPr>
          <w:p w:rsidR="00212513" w:rsidRDefault="00212513">
            <w:pPr>
              <w:pStyle w:val="ConsPlusNormal"/>
              <w:jc w:val="center"/>
            </w:pPr>
            <w:r>
              <w:t>3</w:t>
            </w:r>
          </w:p>
        </w:tc>
        <w:tc>
          <w:tcPr>
            <w:tcW w:w="2268" w:type="dxa"/>
            <w:tcBorders>
              <w:bottom w:val="nil"/>
            </w:tcBorders>
          </w:tcPr>
          <w:p w:rsidR="00212513" w:rsidRDefault="00212513">
            <w:pPr>
              <w:pStyle w:val="ConsPlusNormal"/>
            </w:pPr>
            <w:r>
              <w:t>Горячее цинкование</w:t>
            </w:r>
          </w:p>
        </w:tc>
        <w:tc>
          <w:tcPr>
            <w:tcW w:w="1077" w:type="dxa"/>
            <w:tcBorders>
              <w:bottom w:val="nil"/>
            </w:tcBorders>
          </w:tcPr>
          <w:p w:rsidR="00212513" w:rsidRDefault="00212513">
            <w:pPr>
              <w:pStyle w:val="ConsPlusNormal"/>
            </w:pPr>
          </w:p>
        </w:tc>
        <w:tc>
          <w:tcPr>
            <w:tcW w:w="1701" w:type="dxa"/>
            <w:vMerge w:val="restart"/>
            <w:vAlign w:val="center"/>
          </w:tcPr>
          <w:p w:rsidR="00212513" w:rsidRDefault="00212513">
            <w:pPr>
              <w:pStyle w:val="ConsPlusNormal"/>
              <w:jc w:val="center"/>
            </w:pPr>
            <w:r>
              <w:t>-</w:t>
            </w:r>
          </w:p>
        </w:tc>
        <w:tc>
          <w:tcPr>
            <w:tcW w:w="2381" w:type="dxa"/>
            <w:vMerge w:val="restart"/>
          </w:tcPr>
          <w:p w:rsidR="00212513" w:rsidRDefault="00212513">
            <w:pPr>
              <w:pStyle w:val="ConsPlusNormal"/>
            </w:pPr>
          </w:p>
        </w:tc>
      </w:tr>
      <w:tr w:rsidR="00212513">
        <w:tblPrEx>
          <w:tblBorders>
            <w:insideH w:val="nil"/>
          </w:tblBorders>
        </w:tblPrEx>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bottom w:val="nil"/>
            </w:tcBorders>
          </w:tcPr>
          <w:p w:rsidR="00212513" w:rsidRDefault="00212513">
            <w:pPr>
              <w:pStyle w:val="ConsPlusNormal"/>
            </w:pPr>
            <w:r>
              <w:t>Промежуточный слой ws AY по Zn</w:t>
            </w:r>
          </w:p>
        </w:tc>
        <w:tc>
          <w:tcPr>
            <w:tcW w:w="1077" w:type="dxa"/>
            <w:tcBorders>
              <w:top w:val="nil"/>
              <w:bottom w:val="nil"/>
            </w:tcBorders>
          </w:tcPr>
          <w:p w:rsidR="00212513" w:rsidRDefault="00212513">
            <w:pPr>
              <w:pStyle w:val="ConsPlusNormal"/>
              <w:jc w:val="center"/>
            </w:pPr>
            <w:r>
              <w:t>120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tcBorders>
          </w:tcPr>
          <w:p w:rsidR="00212513" w:rsidRDefault="00212513">
            <w:pPr>
              <w:pStyle w:val="ConsPlusNormal"/>
            </w:pPr>
            <w:r>
              <w:t>Покрывной слой PUR</w:t>
            </w:r>
          </w:p>
        </w:tc>
        <w:tc>
          <w:tcPr>
            <w:tcW w:w="1077" w:type="dxa"/>
            <w:tcBorders>
              <w:top w:val="nil"/>
            </w:tcBorders>
          </w:tcPr>
          <w:p w:rsidR="00212513" w:rsidRDefault="00212513">
            <w:pPr>
              <w:pStyle w:val="ConsPlusNormal"/>
              <w:jc w:val="center"/>
            </w:pPr>
            <w:r>
              <w:t>80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c>
          <w:tcPr>
            <w:tcW w:w="850" w:type="dxa"/>
            <w:vMerge w:val="restart"/>
          </w:tcPr>
          <w:p w:rsidR="00212513" w:rsidRDefault="00212513">
            <w:pPr>
              <w:pStyle w:val="ConsPlusNormal"/>
              <w:jc w:val="center"/>
            </w:pPr>
            <w:r>
              <w:t>3.2</w:t>
            </w:r>
          </w:p>
        </w:tc>
        <w:tc>
          <w:tcPr>
            <w:tcW w:w="9978" w:type="dxa"/>
            <w:gridSpan w:val="6"/>
          </w:tcPr>
          <w:p w:rsidR="00212513" w:rsidRDefault="00212513">
            <w:pPr>
              <w:pStyle w:val="ConsPlusNormal"/>
            </w:pPr>
            <w:r>
              <w:t>Опорные части, анкера и опорные плиты</w:t>
            </w:r>
          </w:p>
        </w:tc>
      </w:tr>
      <w:tr w:rsidR="00212513">
        <w:tc>
          <w:tcPr>
            <w:tcW w:w="850" w:type="dxa"/>
            <w:vMerge/>
          </w:tcPr>
          <w:p w:rsidR="00212513" w:rsidRDefault="00212513">
            <w:pPr>
              <w:pStyle w:val="ConsPlusNormal"/>
            </w:pPr>
          </w:p>
        </w:tc>
        <w:tc>
          <w:tcPr>
            <w:tcW w:w="9978" w:type="dxa"/>
            <w:gridSpan w:val="6"/>
          </w:tcPr>
          <w:p w:rsidR="00212513" w:rsidRDefault="00212513">
            <w:pPr>
              <w:pStyle w:val="ConsPlusNormal"/>
            </w:pPr>
            <w:r>
              <w:t>Поверхности скольжения из нержавеющей стали.</w:t>
            </w:r>
          </w:p>
          <w:p w:rsidR="00212513" w:rsidRDefault="00212513">
            <w:pPr>
              <w:pStyle w:val="ConsPlusNormal"/>
            </w:pPr>
            <w:r>
              <w:t>У поверхностей, которые соприкасаются с бетоном, покрытие наносится по краям полосой около 5 см</w:t>
            </w:r>
          </w:p>
        </w:tc>
      </w:tr>
      <w:tr w:rsidR="00212513">
        <w:tc>
          <w:tcPr>
            <w:tcW w:w="850" w:type="dxa"/>
            <w:vMerge/>
          </w:tcPr>
          <w:p w:rsidR="00212513" w:rsidRDefault="00212513">
            <w:pPr>
              <w:pStyle w:val="ConsPlusNormal"/>
            </w:pPr>
          </w:p>
        </w:tc>
        <w:tc>
          <w:tcPr>
            <w:tcW w:w="2154" w:type="dxa"/>
            <w:vMerge w:val="restart"/>
          </w:tcPr>
          <w:p w:rsidR="00212513" w:rsidRDefault="00212513">
            <w:pPr>
              <w:pStyle w:val="ConsPlusNormal"/>
            </w:pPr>
            <w:r>
              <w:t>Зона брызг (высокая влажность, грязь), открытая атмосфера: категория коррозионной активности до "C5"</w:t>
            </w:r>
          </w:p>
        </w:tc>
        <w:tc>
          <w:tcPr>
            <w:tcW w:w="397" w:type="dxa"/>
            <w:vMerge w:val="restart"/>
            <w:vAlign w:val="center"/>
          </w:tcPr>
          <w:p w:rsidR="00212513" w:rsidRDefault="00212513">
            <w:pPr>
              <w:pStyle w:val="ConsPlusNormal"/>
              <w:jc w:val="center"/>
            </w:pPr>
            <w:r>
              <w:t>1</w:t>
            </w:r>
          </w:p>
        </w:tc>
        <w:tc>
          <w:tcPr>
            <w:tcW w:w="2268" w:type="dxa"/>
            <w:tcBorders>
              <w:bottom w:val="nil"/>
            </w:tcBorders>
          </w:tcPr>
          <w:p w:rsidR="00212513" w:rsidRDefault="00212513">
            <w:pPr>
              <w:pStyle w:val="ConsPlusNormal"/>
            </w:pPr>
            <w:r>
              <w:t>Холодное цинкование</w:t>
            </w:r>
          </w:p>
        </w:tc>
        <w:tc>
          <w:tcPr>
            <w:tcW w:w="1077" w:type="dxa"/>
            <w:tcBorders>
              <w:bottom w:val="nil"/>
            </w:tcBorders>
          </w:tcPr>
          <w:p w:rsidR="00212513" w:rsidRDefault="00212513">
            <w:pPr>
              <w:pStyle w:val="ConsPlusNormal"/>
              <w:jc w:val="center"/>
            </w:pPr>
            <w:r>
              <w:t>100</w:t>
            </w:r>
          </w:p>
        </w:tc>
        <w:tc>
          <w:tcPr>
            <w:tcW w:w="1701" w:type="dxa"/>
            <w:vMerge w:val="restart"/>
            <w:vAlign w:val="center"/>
          </w:tcPr>
          <w:p w:rsidR="00212513" w:rsidRDefault="00212513">
            <w:pPr>
              <w:pStyle w:val="ConsPlusNormal"/>
              <w:jc w:val="center"/>
            </w:pPr>
            <w:r>
              <w:t>Sa 3</w:t>
            </w:r>
          </w:p>
        </w:tc>
        <w:tc>
          <w:tcPr>
            <w:tcW w:w="2381" w:type="dxa"/>
            <w:vMerge w:val="restart"/>
            <w:vAlign w:val="center"/>
          </w:tcPr>
          <w:p w:rsidR="00212513" w:rsidRDefault="00212513">
            <w:pPr>
              <w:pStyle w:val="ConsPlusNormal"/>
            </w:pPr>
            <w:r>
              <w:t>Холодное цинкование или грунт и один промежуточный слой по всем лицевым поверхностям, за исключением поверхностей скольжения. В целях повышения сцепления между контактирующими поверхностями опорной и анкерной плит их обрабатывают до степени Sa 3 и каждую из них покрывают одним слоем щелочно-силикатной цинконаполненной грунтовки номинальной толщиной 40 мкм. Если требуется стабильность цвета, используют покрывной слой из PUR</w:t>
            </w:r>
          </w:p>
        </w:tc>
      </w:tr>
      <w:tr w:rsidR="00212513">
        <w:tblPrEx>
          <w:tblBorders>
            <w:insideH w:val="nil"/>
          </w:tblBorders>
        </w:tblPrEx>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bottom w:val="nil"/>
            </w:tcBorders>
          </w:tcPr>
          <w:p w:rsidR="00212513" w:rsidRDefault="00212513">
            <w:pPr>
              <w:pStyle w:val="ConsPlusNormal"/>
            </w:pPr>
            <w:r>
              <w:t>Промежуточный слой EP</w:t>
            </w:r>
          </w:p>
        </w:tc>
        <w:tc>
          <w:tcPr>
            <w:tcW w:w="1077" w:type="dxa"/>
            <w:tcBorders>
              <w:top w:val="nil"/>
              <w:bottom w:val="nil"/>
            </w:tcBorders>
          </w:tcPr>
          <w:p w:rsidR="00212513" w:rsidRDefault="00212513">
            <w:pPr>
              <w:pStyle w:val="ConsPlusNormal"/>
              <w:jc w:val="center"/>
            </w:pPr>
            <w:r>
              <w:t>80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tcBorders>
          </w:tcPr>
          <w:p w:rsidR="00212513" w:rsidRDefault="00212513">
            <w:pPr>
              <w:pStyle w:val="ConsPlusNormal"/>
            </w:pPr>
            <w:r>
              <w:t>Покрывной слой EP</w:t>
            </w:r>
          </w:p>
        </w:tc>
        <w:tc>
          <w:tcPr>
            <w:tcW w:w="1077" w:type="dxa"/>
            <w:tcBorders>
              <w:top w:val="nil"/>
            </w:tcBorders>
          </w:tcPr>
          <w:p w:rsidR="00212513" w:rsidRDefault="00212513">
            <w:pPr>
              <w:pStyle w:val="ConsPlusNormal"/>
              <w:jc w:val="center"/>
            </w:pPr>
            <w:r>
              <w:t>80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val="restart"/>
            <w:vAlign w:val="center"/>
          </w:tcPr>
          <w:p w:rsidR="00212513" w:rsidRDefault="00212513">
            <w:pPr>
              <w:pStyle w:val="ConsPlusNormal"/>
              <w:jc w:val="center"/>
            </w:pPr>
            <w:r>
              <w:t>2</w:t>
            </w:r>
          </w:p>
        </w:tc>
        <w:tc>
          <w:tcPr>
            <w:tcW w:w="2268" w:type="dxa"/>
            <w:tcBorders>
              <w:bottom w:val="nil"/>
            </w:tcBorders>
          </w:tcPr>
          <w:p w:rsidR="00212513" w:rsidRDefault="00212513">
            <w:pPr>
              <w:pStyle w:val="ConsPlusNormal"/>
            </w:pPr>
            <w:r>
              <w:t>Холодное цинкование</w:t>
            </w:r>
          </w:p>
        </w:tc>
        <w:tc>
          <w:tcPr>
            <w:tcW w:w="1077" w:type="dxa"/>
            <w:tcBorders>
              <w:bottom w:val="nil"/>
            </w:tcBorders>
          </w:tcPr>
          <w:p w:rsidR="00212513" w:rsidRDefault="00212513">
            <w:pPr>
              <w:pStyle w:val="ConsPlusNormal"/>
              <w:jc w:val="center"/>
            </w:pPr>
            <w:r>
              <w:t>100</w:t>
            </w:r>
          </w:p>
        </w:tc>
        <w:tc>
          <w:tcPr>
            <w:tcW w:w="1701" w:type="dxa"/>
            <w:vMerge w:val="restart"/>
            <w:vAlign w:val="center"/>
          </w:tcPr>
          <w:p w:rsidR="00212513" w:rsidRDefault="00212513">
            <w:pPr>
              <w:pStyle w:val="ConsPlusNormal"/>
              <w:jc w:val="center"/>
            </w:pPr>
            <w:r>
              <w:t>Sa 3</w:t>
            </w:r>
          </w:p>
        </w:tc>
        <w:tc>
          <w:tcPr>
            <w:tcW w:w="2381" w:type="dxa"/>
            <w:vMerge/>
          </w:tcPr>
          <w:p w:rsidR="00212513" w:rsidRDefault="00212513">
            <w:pPr>
              <w:pStyle w:val="ConsPlusNormal"/>
            </w:pPr>
          </w:p>
        </w:tc>
      </w:tr>
      <w:tr w:rsidR="00212513">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tcBorders>
          </w:tcPr>
          <w:p w:rsidR="00212513" w:rsidRDefault="00212513">
            <w:pPr>
              <w:pStyle w:val="ConsPlusNormal"/>
            </w:pPr>
            <w:r>
              <w:t>Покрывной слой EP HS</w:t>
            </w:r>
          </w:p>
        </w:tc>
        <w:tc>
          <w:tcPr>
            <w:tcW w:w="1077" w:type="dxa"/>
            <w:tcBorders>
              <w:top w:val="nil"/>
            </w:tcBorders>
          </w:tcPr>
          <w:p w:rsidR="00212513" w:rsidRDefault="00212513">
            <w:pPr>
              <w:pStyle w:val="ConsPlusNormal"/>
              <w:jc w:val="center"/>
            </w:pPr>
            <w:r>
              <w:t>150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val="restart"/>
            <w:vAlign w:val="center"/>
          </w:tcPr>
          <w:p w:rsidR="00212513" w:rsidRDefault="00212513">
            <w:pPr>
              <w:pStyle w:val="ConsPlusNormal"/>
              <w:jc w:val="center"/>
            </w:pPr>
            <w:r>
              <w:t>3</w:t>
            </w:r>
          </w:p>
        </w:tc>
        <w:tc>
          <w:tcPr>
            <w:tcW w:w="2268" w:type="dxa"/>
            <w:tcBorders>
              <w:bottom w:val="nil"/>
            </w:tcBorders>
          </w:tcPr>
          <w:p w:rsidR="00212513" w:rsidRDefault="00212513">
            <w:pPr>
              <w:pStyle w:val="ConsPlusNormal"/>
            </w:pPr>
            <w:r>
              <w:t>Холодное цинкование</w:t>
            </w:r>
          </w:p>
        </w:tc>
        <w:tc>
          <w:tcPr>
            <w:tcW w:w="1077" w:type="dxa"/>
            <w:tcBorders>
              <w:bottom w:val="nil"/>
            </w:tcBorders>
          </w:tcPr>
          <w:p w:rsidR="00212513" w:rsidRDefault="00212513">
            <w:pPr>
              <w:pStyle w:val="ConsPlusNormal"/>
              <w:jc w:val="center"/>
            </w:pPr>
            <w:r>
              <w:t>100</w:t>
            </w:r>
          </w:p>
        </w:tc>
        <w:tc>
          <w:tcPr>
            <w:tcW w:w="1701" w:type="dxa"/>
            <w:vMerge w:val="restart"/>
            <w:vAlign w:val="center"/>
          </w:tcPr>
          <w:p w:rsidR="00212513" w:rsidRDefault="00212513">
            <w:pPr>
              <w:pStyle w:val="ConsPlusNormal"/>
              <w:jc w:val="center"/>
            </w:pPr>
            <w:r>
              <w:t>Sa 3</w:t>
            </w:r>
          </w:p>
        </w:tc>
        <w:tc>
          <w:tcPr>
            <w:tcW w:w="2381" w:type="dxa"/>
            <w:vMerge/>
          </w:tcPr>
          <w:p w:rsidR="00212513" w:rsidRDefault="00212513">
            <w:pPr>
              <w:pStyle w:val="ConsPlusNormal"/>
            </w:pPr>
          </w:p>
        </w:tc>
      </w:tr>
      <w:tr w:rsidR="00212513">
        <w:tblPrEx>
          <w:tblBorders>
            <w:insideH w:val="nil"/>
          </w:tblBorders>
        </w:tblPrEx>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bottom w:val="nil"/>
            </w:tcBorders>
          </w:tcPr>
          <w:p w:rsidR="00212513" w:rsidRDefault="00212513">
            <w:pPr>
              <w:pStyle w:val="ConsPlusNormal"/>
            </w:pPr>
            <w:r>
              <w:t>Промежуточный слой EP-Combi</w:t>
            </w:r>
          </w:p>
        </w:tc>
        <w:tc>
          <w:tcPr>
            <w:tcW w:w="1077" w:type="dxa"/>
            <w:tcBorders>
              <w:top w:val="nil"/>
              <w:bottom w:val="nil"/>
            </w:tcBorders>
          </w:tcPr>
          <w:p w:rsidR="00212513" w:rsidRDefault="00212513">
            <w:pPr>
              <w:pStyle w:val="ConsPlusNormal"/>
              <w:jc w:val="center"/>
            </w:pPr>
            <w:r>
              <w:t>120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tcBorders>
          </w:tcPr>
          <w:p w:rsidR="00212513" w:rsidRDefault="00212513">
            <w:pPr>
              <w:pStyle w:val="ConsPlusNormal"/>
            </w:pPr>
            <w:r>
              <w:t>Покрывной слой EP-Combi</w:t>
            </w:r>
          </w:p>
        </w:tc>
        <w:tc>
          <w:tcPr>
            <w:tcW w:w="1077" w:type="dxa"/>
            <w:tcBorders>
              <w:top w:val="nil"/>
            </w:tcBorders>
          </w:tcPr>
          <w:p w:rsidR="00212513" w:rsidRDefault="00212513">
            <w:pPr>
              <w:pStyle w:val="ConsPlusNormal"/>
              <w:jc w:val="center"/>
            </w:pPr>
            <w:r>
              <w:t>120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val="restart"/>
            <w:vAlign w:val="center"/>
          </w:tcPr>
          <w:p w:rsidR="00212513" w:rsidRDefault="00212513">
            <w:pPr>
              <w:pStyle w:val="ConsPlusNormal"/>
              <w:jc w:val="center"/>
            </w:pPr>
            <w:r>
              <w:t>4</w:t>
            </w:r>
          </w:p>
        </w:tc>
        <w:tc>
          <w:tcPr>
            <w:tcW w:w="2268" w:type="dxa"/>
            <w:tcBorders>
              <w:bottom w:val="nil"/>
            </w:tcBorders>
          </w:tcPr>
          <w:p w:rsidR="00212513" w:rsidRDefault="00212513">
            <w:pPr>
              <w:pStyle w:val="ConsPlusNormal"/>
            </w:pPr>
            <w:r>
              <w:t>Грунт EP-Zn</w:t>
            </w:r>
          </w:p>
        </w:tc>
        <w:tc>
          <w:tcPr>
            <w:tcW w:w="1077" w:type="dxa"/>
            <w:tcBorders>
              <w:bottom w:val="nil"/>
            </w:tcBorders>
          </w:tcPr>
          <w:p w:rsidR="00212513" w:rsidRDefault="00212513">
            <w:pPr>
              <w:pStyle w:val="ConsPlusNormal"/>
              <w:jc w:val="center"/>
            </w:pPr>
            <w:r>
              <w:t>80</w:t>
            </w:r>
          </w:p>
        </w:tc>
        <w:tc>
          <w:tcPr>
            <w:tcW w:w="1701" w:type="dxa"/>
            <w:vMerge w:val="restart"/>
            <w:vAlign w:val="center"/>
          </w:tcPr>
          <w:p w:rsidR="00212513" w:rsidRDefault="00212513">
            <w:pPr>
              <w:pStyle w:val="ConsPlusNormal"/>
              <w:jc w:val="center"/>
            </w:pPr>
            <w:r>
              <w:t>Sa 2</w:t>
            </w:r>
            <w:r>
              <w:rPr>
                <w:vertAlign w:val="superscript"/>
              </w:rPr>
              <w:t>1</w:t>
            </w:r>
            <w:r>
              <w:t>/</w:t>
            </w:r>
            <w:r>
              <w:rPr>
                <w:vertAlign w:val="subscript"/>
              </w:rPr>
              <w:t>2</w:t>
            </w:r>
            <w:r>
              <w:t>, РМа для кромок, обрезанных газопламенной резкой</w:t>
            </w:r>
          </w:p>
        </w:tc>
        <w:tc>
          <w:tcPr>
            <w:tcW w:w="2381" w:type="dxa"/>
            <w:vMerge/>
          </w:tcPr>
          <w:p w:rsidR="00212513" w:rsidRDefault="00212513">
            <w:pPr>
              <w:pStyle w:val="ConsPlusNormal"/>
            </w:pPr>
          </w:p>
        </w:tc>
      </w:tr>
      <w:tr w:rsidR="00212513">
        <w:tblPrEx>
          <w:tblBorders>
            <w:insideH w:val="nil"/>
          </w:tblBorders>
        </w:tblPrEx>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bottom w:val="nil"/>
            </w:tcBorders>
          </w:tcPr>
          <w:p w:rsidR="00212513" w:rsidRDefault="00212513">
            <w:pPr>
              <w:pStyle w:val="ConsPlusNormal"/>
            </w:pPr>
            <w:r>
              <w:t>1-й промежуточный слой EP</w:t>
            </w:r>
          </w:p>
        </w:tc>
        <w:tc>
          <w:tcPr>
            <w:tcW w:w="1077" w:type="dxa"/>
            <w:tcBorders>
              <w:top w:val="nil"/>
              <w:bottom w:val="nil"/>
            </w:tcBorders>
          </w:tcPr>
          <w:p w:rsidR="00212513" w:rsidRDefault="00212513">
            <w:pPr>
              <w:pStyle w:val="ConsPlusNormal"/>
              <w:jc w:val="center"/>
            </w:pPr>
            <w:r>
              <w:t>80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blPrEx>
          <w:tblBorders>
            <w:insideH w:val="nil"/>
          </w:tblBorders>
        </w:tblPrEx>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bottom w:val="nil"/>
            </w:tcBorders>
          </w:tcPr>
          <w:p w:rsidR="00212513" w:rsidRDefault="00212513">
            <w:pPr>
              <w:pStyle w:val="ConsPlusNormal"/>
            </w:pPr>
            <w:r>
              <w:t>2-й промежуточный слой EP</w:t>
            </w:r>
          </w:p>
        </w:tc>
        <w:tc>
          <w:tcPr>
            <w:tcW w:w="1077" w:type="dxa"/>
            <w:tcBorders>
              <w:top w:val="nil"/>
              <w:bottom w:val="nil"/>
            </w:tcBorders>
          </w:tcPr>
          <w:p w:rsidR="00212513" w:rsidRDefault="00212513">
            <w:pPr>
              <w:pStyle w:val="ConsPlusNormal"/>
              <w:jc w:val="center"/>
            </w:pPr>
            <w:r>
              <w:t>80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c>
          <w:tcPr>
            <w:tcW w:w="850" w:type="dxa"/>
            <w:vMerge/>
          </w:tcPr>
          <w:p w:rsidR="00212513" w:rsidRDefault="00212513">
            <w:pPr>
              <w:pStyle w:val="ConsPlusNormal"/>
            </w:pPr>
          </w:p>
        </w:tc>
        <w:tc>
          <w:tcPr>
            <w:tcW w:w="2154" w:type="dxa"/>
            <w:vMerge/>
          </w:tcPr>
          <w:p w:rsidR="00212513" w:rsidRDefault="00212513">
            <w:pPr>
              <w:pStyle w:val="ConsPlusNormal"/>
            </w:pPr>
          </w:p>
        </w:tc>
        <w:tc>
          <w:tcPr>
            <w:tcW w:w="397" w:type="dxa"/>
            <w:vMerge/>
          </w:tcPr>
          <w:p w:rsidR="00212513" w:rsidRDefault="00212513">
            <w:pPr>
              <w:pStyle w:val="ConsPlusNormal"/>
            </w:pPr>
          </w:p>
        </w:tc>
        <w:tc>
          <w:tcPr>
            <w:tcW w:w="2268" w:type="dxa"/>
            <w:tcBorders>
              <w:top w:val="nil"/>
            </w:tcBorders>
          </w:tcPr>
          <w:p w:rsidR="00212513" w:rsidRDefault="00212513">
            <w:pPr>
              <w:pStyle w:val="ConsPlusNormal"/>
            </w:pPr>
            <w:r>
              <w:t>Покрывной слой EP</w:t>
            </w:r>
          </w:p>
        </w:tc>
        <w:tc>
          <w:tcPr>
            <w:tcW w:w="1077" w:type="dxa"/>
            <w:tcBorders>
              <w:top w:val="nil"/>
            </w:tcBorders>
          </w:tcPr>
          <w:p w:rsidR="00212513" w:rsidRDefault="00212513">
            <w:pPr>
              <w:pStyle w:val="ConsPlusNormal"/>
              <w:jc w:val="center"/>
            </w:pPr>
            <w:r>
              <w:t>80</w:t>
            </w:r>
          </w:p>
        </w:tc>
        <w:tc>
          <w:tcPr>
            <w:tcW w:w="1701" w:type="dxa"/>
            <w:vMerge/>
          </w:tcPr>
          <w:p w:rsidR="00212513" w:rsidRDefault="00212513">
            <w:pPr>
              <w:pStyle w:val="ConsPlusNormal"/>
            </w:pPr>
          </w:p>
        </w:tc>
        <w:tc>
          <w:tcPr>
            <w:tcW w:w="2381" w:type="dxa"/>
            <w:vMerge/>
          </w:tcPr>
          <w:p w:rsidR="00212513" w:rsidRDefault="00212513">
            <w:pPr>
              <w:pStyle w:val="ConsPlusNormal"/>
            </w:pPr>
          </w:p>
        </w:tc>
      </w:tr>
      <w:tr w:rsidR="00212513">
        <w:tc>
          <w:tcPr>
            <w:tcW w:w="10828" w:type="dxa"/>
            <w:gridSpan w:val="7"/>
          </w:tcPr>
          <w:p w:rsidR="00212513" w:rsidRDefault="00212513">
            <w:pPr>
              <w:pStyle w:val="ConsPlusNormal"/>
              <w:ind w:firstLine="283"/>
              <w:jc w:val="both"/>
            </w:pPr>
            <w:r>
              <w:lastRenderedPageBreak/>
              <w:t>Примечание - В настоящей таблице применены следующие условные обозначения связующих:</w:t>
            </w:r>
          </w:p>
          <w:p w:rsidR="00212513" w:rsidRDefault="00212513">
            <w:pPr>
              <w:pStyle w:val="ConsPlusNormal"/>
              <w:ind w:firstLine="283"/>
              <w:jc w:val="both"/>
            </w:pPr>
            <w:r>
              <w:t>1-компонентных: ASI - щелочной силикат; ESI - этилсиликат; 1C-PUR - 1-компонентный полиуретан, отверждаемый влагой воздуха; ws AY - полиакрилат или акрил-кополимеризат, разбавляемый водой; ws AY auf Zn - полиакрилат или акрил-кополимеризат для горячеоцинкованной стали, разбавляется водой;</w:t>
            </w:r>
          </w:p>
          <w:p w:rsidR="00212513" w:rsidRDefault="00212513">
            <w:pPr>
              <w:pStyle w:val="ConsPlusNormal"/>
              <w:ind w:firstLine="283"/>
              <w:jc w:val="both"/>
            </w:pPr>
            <w:r>
              <w:t>2-компонентных: EP - эпоксидная смола; ER-Combi - эпоксидная смола-комбинация; PUR - полиуретан; ER/PUR HS - эпоксидная смола/полиуретан с небольшим содержанием растворителя; lm ER/PUR HS - низкомолекулярная эпоксидная смола и полиуретан с небольшим содержанием растворителя.</w:t>
            </w:r>
          </w:p>
        </w:tc>
      </w:tr>
    </w:tbl>
    <w:p w:rsidR="00212513" w:rsidRDefault="00212513">
      <w:pPr>
        <w:pStyle w:val="ConsPlusNormal"/>
        <w:sectPr w:rsidR="00212513">
          <w:pgSz w:w="16838" w:h="11905" w:orient="landscape"/>
          <w:pgMar w:top="1701" w:right="1134" w:bottom="850" w:left="1134" w:header="0" w:footer="0" w:gutter="0"/>
          <w:cols w:space="720"/>
          <w:titlePg/>
        </w:sectPr>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Title"/>
        <w:jc w:val="center"/>
        <w:outlineLvl w:val="0"/>
      </w:pPr>
      <w:r>
        <w:t>БИБЛИОГРАФИЯ</w:t>
      </w:r>
    </w:p>
    <w:p w:rsidR="00212513" w:rsidRDefault="00212513">
      <w:pPr>
        <w:pStyle w:val="ConsPlusNormal"/>
        <w:ind w:firstLine="540"/>
        <w:jc w:val="both"/>
      </w:pPr>
    </w:p>
    <w:p w:rsidR="00212513" w:rsidRDefault="00212513">
      <w:pPr>
        <w:pStyle w:val="ConsPlusNormal"/>
        <w:ind w:firstLine="540"/>
        <w:jc w:val="both"/>
      </w:pPr>
      <w:bookmarkStart w:id="627" w:name="P19070"/>
      <w:bookmarkEnd w:id="627"/>
      <w:r>
        <w:t xml:space="preserve">[1] </w:t>
      </w:r>
      <w:hyperlink r:id="rId4040">
        <w:r>
          <w:rPr>
            <w:color w:val="0000FF"/>
          </w:rPr>
          <w:t>Указания</w:t>
        </w:r>
      </w:hyperlink>
      <w:r>
        <w:t xml:space="preserve"> по устройству и конструкции мостового полотна на железнодорожных мостах</w:t>
      </w:r>
    </w:p>
    <w:p w:rsidR="00212513" w:rsidRDefault="00212513">
      <w:pPr>
        <w:pStyle w:val="ConsPlusNormal"/>
        <w:spacing w:before="220"/>
        <w:ind w:firstLine="540"/>
        <w:jc w:val="both"/>
      </w:pPr>
      <w:bookmarkStart w:id="628" w:name="P19071"/>
      <w:bookmarkEnd w:id="628"/>
      <w:r>
        <w:t>[2] СТО-ГК "Трансстрой" 012-2018 Стальные конструкции мостов. Заводское изготовление</w:t>
      </w:r>
    </w:p>
    <w:p w:rsidR="00212513" w:rsidRDefault="00212513">
      <w:pPr>
        <w:pStyle w:val="ConsPlusNormal"/>
        <w:jc w:val="both"/>
      </w:pPr>
      <w:r>
        <w:t xml:space="preserve">(в ред. </w:t>
      </w:r>
      <w:hyperlink r:id="rId4041">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bookmarkStart w:id="629" w:name="P19073"/>
      <w:bookmarkEnd w:id="629"/>
      <w:r>
        <w:t>[3] СТО-ГК "Трансстрой" 005-2018 Стальные конструкции мостов. Технология монтажной сварки</w:t>
      </w:r>
    </w:p>
    <w:p w:rsidR="00212513" w:rsidRDefault="00212513">
      <w:pPr>
        <w:pStyle w:val="ConsPlusNormal"/>
        <w:jc w:val="both"/>
      </w:pPr>
      <w:r>
        <w:t xml:space="preserve">(в ред. </w:t>
      </w:r>
      <w:hyperlink r:id="rId4042">
        <w:r>
          <w:rPr>
            <w:color w:val="0000FF"/>
          </w:rPr>
          <w:t>Изменения N 3</w:t>
        </w:r>
      </w:hyperlink>
      <w:r>
        <w:t>, утв. Приказом Минстроя России от 29.12.2020 N 891/пр)</w:t>
      </w:r>
    </w:p>
    <w:p w:rsidR="00212513" w:rsidRDefault="00212513">
      <w:pPr>
        <w:pStyle w:val="ConsPlusNormal"/>
        <w:spacing w:before="220"/>
        <w:ind w:firstLine="540"/>
        <w:jc w:val="both"/>
      </w:pPr>
      <w:bookmarkStart w:id="630" w:name="P19075"/>
      <w:bookmarkEnd w:id="630"/>
      <w:r>
        <w:t>[4] ТУ 14-1-5446-2002 Прокат толстолистовой свариваемый из легированной стали повышенной вязкости марок 12ХГН2МА и 12ХГН2МДБА</w:t>
      </w:r>
    </w:p>
    <w:p w:rsidR="00212513" w:rsidRDefault="00212513">
      <w:pPr>
        <w:pStyle w:val="ConsPlusNormal"/>
        <w:spacing w:before="220"/>
        <w:ind w:firstLine="540"/>
        <w:jc w:val="both"/>
      </w:pPr>
      <w:bookmarkStart w:id="631" w:name="P19076"/>
      <w:bookmarkEnd w:id="631"/>
      <w:r>
        <w:t>[5] ТУ 14-1-5447-2005 Прокат толстолистовой, свариваемый из легированной стали 17ХГН2МФБТ</w:t>
      </w:r>
    </w:p>
    <w:p w:rsidR="00212513" w:rsidRDefault="00212513">
      <w:pPr>
        <w:pStyle w:val="ConsPlusNormal"/>
        <w:jc w:val="both"/>
      </w:pPr>
      <w:r>
        <w:t xml:space="preserve">(в ред. </w:t>
      </w:r>
      <w:hyperlink r:id="rId4043">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[6] ТУ 14-4-1383-86 Проволока стальная оцинкованная для гибких тяг централизации сигналов и стрелок</w:t>
      </w:r>
    </w:p>
    <w:p w:rsidR="00212513" w:rsidRDefault="00212513">
      <w:pPr>
        <w:pStyle w:val="ConsPlusNormal"/>
        <w:jc w:val="both"/>
      </w:pPr>
      <w:r>
        <w:t xml:space="preserve">(в ред. </w:t>
      </w:r>
      <w:hyperlink r:id="rId4044">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bookmarkStart w:id="632" w:name="P19080"/>
      <w:bookmarkEnd w:id="632"/>
      <w:r>
        <w:t>[7] СТО 13657842-1-2009 Прокат конструкционный из низколегированной стали для мостостроения. Общие технические условия</w:t>
      </w:r>
    </w:p>
    <w:p w:rsidR="00212513" w:rsidRDefault="00212513">
      <w:pPr>
        <w:pStyle w:val="ConsPlusNormal"/>
        <w:jc w:val="both"/>
      </w:pPr>
      <w:r>
        <w:t xml:space="preserve">(в ред. </w:t>
      </w:r>
      <w:hyperlink r:id="rId4045">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 xml:space="preserve">[8] Позиция исключена с 01.07.2024. - </w:t>
      </w:r>
      <w:hyperlink r:id="rId4046">
        <w:r>
          <w:rPr>
            <w:color w:val="0000FF"/>
          </w:rPr>
          <w:t>Изменение N 4</w:t>
        </w:r>
      </w:hyperlink>
      <w:r>
        <w:t>, утв. Приказом Минстроя России от 30.05.2024 N 361/пр.</w:t>
      </w:r>
    </w:p>
    <w:p w:rsidR="00212513" w:rsidRDefault="00212513">
      <w:pPr>
        <w:pStyle w:val="ConsPlusNormal"/>
        <w:spacing w:before="220"/>
        <w:ind w:firstLine="540"/>
        <w:jc w:val="both"/>
      </w:pPr>
      <w:bookmarkStart w:id="633" w:name="P19083"/>
      <w:bookmarkEnd w:id="633"/>
      <w:r>
        <w:t>[9] ТУ 14-4-1216-82 Канаты стальные оцинкованные спиральные закрытой конструкции</w:t>
      </w:r>
    </w:p>
    <w:p w:rsidR="00212513" w:rsidRDefault="00212513">
      <w:pPr>
        <w:pStyle w:val="ConsPlusNormal"/>
        <w:jc w:val="both"/>
      </w:pPr>
      <w:r>
        <w:t xml:space="preserve">(в ред. </w:t>
      </w:r>
      <w:hyperlink r:id="rId4047">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bookmarkStart w:id="634" w:name="P19085"/>
      <w:bookmarkEnd w:id="634"/>
      <w:r>
        <w:t xml:space="preserve">[10] </w:t>
      </w:r>
      <w:hyperlink r:id="rId4048">
        <w:r>
          <w:rPr>
            <w:color w:val="0000FF"/>
          </w:rPr>
          <w:t>СН 200-62</w:t>
        </w:r>
      </w:hyperlink>
      <w:r>
        <w:t xml:space="preserve"> Технические условия проектирования железнодорожных, автодорожных и городских мостов и труб</w:t>
      </w:r>
    </w:p>
    <w:p w:rsidR="00212513" w:rsidRDefault="00212513">
      <w:pPr>
        <w:pStyle w:val="ConsPlusNormal"/>
        <w:spacing w:before="220"/>
        <w:ind w:firstLine="540"/>
        <w:jc w:val="both"/>
      </w:pPr>
      <w:r>
        <w:t xml:space="preserve">[11] Исключена с 01.07.2024. - </w:t>
      </w:r>
      <w:hyperlink r:id="rId4049">
        <w:r>
          <w:rPr>
            <w:color w:val="0000FF"/>
          </w:rPr>
          <w:t>Изменение N 4</w:t>
        </w:r>
      </w:hyperlink>
      <w:r>
        <w:t>, утв. Приказом Минстроя России от 30.05.2024 N 361/пр.</w:t>
      </w:r>
    </w:p>
    <w:p w:rsidR="00212513" w:rsidRDefault="00212513">
      <w:pPr>
        <w:pStyle w:val="ConsPlusNormal"/>
        <w:spacing w:before="220"/>
        <w:ind w:firstLine="540"/>
        <w:jc w:val="both"/>
      </w:pPr>
      <w:bookmarkStart w:id="635" w:name="P19087"/>
      <w:bookmarkEnd w:id="635"/>
      <w:r>
        <w:t>[12] ТУ 14-4-1231-83 Дюбели-гвозди с насаженными шайбами с цинковым покрытием. Технические условия</w:t>
      </w:r>
    </w:p>
    <w:p w:rsidR="00212513" w:rsidRDefault="00212513">
      <w:pPr>
        <w:pStyle w:val="ConsPlusNormal"/>
        <w:jc w:val="both"/>
      </w:pPr>
      <w:r>
        <w:t xml:space="preserve">(в ред. </w:t>
      </w:r>
      <w:hyperlink r:id="rId4050">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bookmarkStart w:id="636" w:name="P19089"/>
      <w:bookmarkEnd w:id="636"/>
      <w:r>
        <w:t>[13] ТУ 10-69-369-87 Гвозди строительные винтовые специальные</w:t>
      </w:r>
    </w:p>
    <w:p w:rsidR="00212513" w:rsidRDefault="00212513">
      <w:pPr>
        <w:pStyle w:val="ConsPlusNormal"/>
        <w:spacing w:before="220"/>
        <w:ind w:firstLine="540"/>
        <w:jc w:val="both"/>
      </w:pPr>
      <w:r>
        <w:t xml:space="preserve">[14] </w:t>
      </w:r>
      <w:hyperlink r:id="rId4051">
        <w:r>
          <w:rPr>
            <w:color w:val="0000FF"/>
          </w:rPr>
          <w:t>ОДМ 218.2.001-2009</w:t>
        </w:r>
      </w:hyperlink>
      <w:r>
        <w:t xml:space="preserve"> Рекомендации по проектированию и строительству водопропускных сооружений из металлических гофрированных структур на автомобильных дорогах общего пользования с учетом региональных условий (дорожно-климатических зон)</w:t>
      </w:r>
    </w:p>
    <w:p w:rsidR="00212513" w:rsidRDefault="00212513">
      <w:pPr>
        <w:pStyle w:val="ConsPlusNormal"/>
        <w:jc w:val="both"/>
      </w:pPr>
      <w:r>
        <w:t xml:space="preserve">(в ред. </w:t>
      </w:r>
      <w:hyperlink r:id="rId4052">
        <w:r>
          <w:rPr>
            <w:color w:val="0000FF"/>
          </w:rPr>
          <w:t>Изменения N 1</w:t>
        </w:r>
      </w:hyperlink>
      <w:r>
        <w:t>, утв. Приказом Минстроя России от 03.12.2016 N 879/пр)</w:t>
      </w:r>
    </w:p>
    <w:p w:rsidR="00212513" w:rsidRDefault="00212513">
      <w:pPr>
        <w:pStyle w:val="ConsPlusNormal"/>
        <w:spacing w:before="220"/>
        <w:ind w:firstLine="540"/>
        <w:jc w:val="both"/>
      </w:pPr>
      <w:r>
        <w:t xml:space="preserve">[15] Исключена с 01.07.2024. - </w:t>
      </w:r>
      <w:hyperlink r:id="rId4053">
        <w:r>
          <w:rPr>
            <w:color w:val="0000FF"/>
          </w:rPr>
          <w:t>Изменение N 4</w:t>
        </w:r>
      </w:hyperlink>
      <w:r>
        <w:t>, утв. Приказом Минстроя России от 30.05.2024 N 361/пр.</w:t>
      </w:r>
    </w:p>
    <w:p w:rsidR="00212513" w:rsidRDefault="00212513">
      <w:pPr>
        <w:pStyle w:val="ConsPlusNormal"/>
        <w:spacing w:before="220"/>
        <w:ind w:firstLine="540"/>
        <w:jc w:val="both"/>
      </w:pPr>
      <w:bookmarkStart w:id="637" w:name="P19093"/>
      <w:bookmarkEnd w:id="637"/>
      <w:r>
        <w:lastRenderedPageBreak/>
        <w:t xml:space="preserve">[16] </w:t>
      </w:r>
      <w:hyperlink r:id="rId4054">
        <w:r>
          <w:rPr>
            <w:color w:val="0000FF"/>
          </w:rPr>
          <w:t>СП 32-101-95</w:t>
        </w:r>
      </w:hyperlink>
      <w:r>
        <w:t xml:space="preserve"> Проектирование и устройство фундаментов опор мостов в районах распространения вечномерзлых грунтов</w:t>
      </w:r>
    </w:p>
    <w:p w:rsidR="00212513" w:rsidRDefault="00212513">
      <w:pPr>
        <w:pStyle w:val="ConsPlusNormal"/>
        <w:spacing w:before="220"/>
        <w:ind w:firstLine="540"/>
        <w:jc w:val="both"/>
      </w:pPr>
      <w:bookmarkStart w:id="638" w:name="P19094"/>
      <w:bookmarkEnd w:id="638"/>
      <w:r>
        <w:t xml:space="preserve">[17] </w:t>
      </w:r>
      <w:hyperlink r:id="rId4055">
        <w:r>
          <w:rPr>
            <w:color w:val="0000FF"/>
          </w:rPr>
          <w:t>СП 33-101-2003</w:t>
        </w:r>
      </w:hyperlink>
      <w:r>
        <w:t xml:space="preserve"> Определение основных расчетных гидрологических характеристик</w:t>
      </w:r>
    </w:p>
    <w:p w:rsidR="00212513" w:rsidRDefault="00212513">
      <w:pPr>
        <w:pStyle w:val="ConsPlusNormal"/>
        <w:spacing w:before="220"/>
        <w:ind w:firstLine="540"/>
        <w:jc w:val="both"/>
      </w:pPr>
      <w:r>
        <w:t xml:space="preserve">[18] Исключена с 01.07.2024. - </w:t>
      </w:r>
      <w:hyperlink r:id="rId4056">
        <w:r>
          <w:rPr>
            <w:color w:val="0000FF"/>
          </w:rPr>
          <w:t>Изменение N 4</w:t>
        </w:r>
      </w:hyperlink>
      <w:r>
        <w:t>, утв. Приказом Минстроя России от 30.05.2024 N 361/пр.</w:t>
      </w:r>
    </w:p>
    <w:p w:rsidR="00212513" w:rsidRDefault="00212513">
      <w:pPr>
        <w:pStyle w:val="ConsPlusNormal"/>
        <w:spacing w:before="220"/>
        <w:ind w:firstLine="540"/>
        <w:jc w:val="both"/>
      </w:pPr>
      <w:bookmarkStart w:id="639" w:name="P19096"/>
      <w:bookmarkEnd w:id="639"/>
      <w:r>
        <w:t xml:space="preserve">[19] </w:t>
      </w:r>
      <w:hyperlink r:id="rId4057">
        <w:r>
          <w:rPr>
            <w:color w:val="0000FF"/>
          </w:rPr>
          <w:t>СП 52-102-2004</w:t>
        </w:r>
      </w:hyperlink>
      <w:r>
        <w:t xml:space="preserve"> Предварительно напряженные железобетонные конструкции</w:t>
      </w:r>
    </w:p>
    <w:p w:rsidR="00212513" w:rsidRDefault="00212513">
      <w:pPr>
        <w:pStyle w:val="ConsPlusNormal"/>
        <w:spacing w:before="220"/>
        <w:ind w:firstLine="540"/>
        <w:jc w:val="both"/>
      </w:pPr>
      <w:bookmarkStart w:id="640" w:name="P19097"/>
      <w:bookmarkEnd w:id="640"/>
      <w:r>
        <w:t xml:space="preserve">[20] </w:t>
      </w:r>
      <w:hyperlink r:id="rId4058">
        <w:r>
          <w:rPr>
            <w:color w:val="0000FF"/>
          </w:rPr>
          <w:t>СП 53-101-98</w:t>
        </w:r>
      </w:hyperlink>
      <w:r>
        <w:t xml:space="preserve"> Изготовление и контроль качества стальных строительных конструкций.</w:t>
      </w: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ind w:firstLine="540"/>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212513">
        <w:tc>
          <w:tcPr>
            <w:tcW w:w="9071" w:type="dxa"/>
            <w:tcBorders>
              <w:top w:val="single" w:sz="4" w:space="0" w:color="auto"/>
              <w:left w:val="nil"/>
              <w:bottom w:val="nil"/>
              <w:right w:val="nil"/>
            </w:tcBorders>
          </w:tcPr>
          <w:p w:rsidR="00212513" w:rsidRDefault="00212513">
            <w:pPr>
              <w:pStyle w:val="ConsPlusNormal"/>
              <w:jc w:val="both"/>
            </w:pPr>
            <w:r>
              <w:t>УДК 624.21+621.644.07] (083.74)</w:t>
            </w:r>
          </w:p>
        </w:tc>
      </w:tr>
      <w:tr w:rsidR="00212513">
        <w:tc>
          <w:tcPr>
            <w:tcW w:w="9071" w:type="dxa"/>
            <w:tcBorders>
              <w:top w:val="nil"/>
              <w:left w:val="nil"/>
              <w:bottom w:val="single" w:sz="4" w:space="0" w:color="auto"/>
              <w:right w:val="nil"/>
            </w:tcBorders>
          </w:tcPr>
          <w:p w:rsidR="00212513" w:rsidRDefault="00212513">
            <w:pPr>
              <w:pStyle w:val="ConsPlusNormal"/>
              <w:jc w:val="both"/>
            </w:pPr>
            <w:r>
              <w:t>Ключевые слова: проектирование, автодорожные мосты, железнодорожные мосты, водопропускные трубы, габариты, нагрузки и воздействия, расчеты, конструктивные требования, бетонные и железобетонные конструкции, стальные конструкции, сталежелезобетонные конструкции, деревянные конструкции, конструкции из полимерных композитов, основания и фундаменты.</w:t>
            </w:r>
          </w:p>
        </w:tc>
      </w:tr>
    </w:tbl>
    <w:p w:rsidR="00212513" w:rsidRDefault="00212513">
      <w:pPr>
        <w:pStyle w:val="ConsPlusNormal"/>
        <w:jc w:val="both"/>
      </w:pPr>
    </w:p>
    <w:p w:rsidR="00212513" w:rsidRDefault="00212513">
      <w:pPr>
        <w:pStyle w:val="ConsPlusNormal"/>
        <w:jc w:val="both"/>
      </w:pPr>
      <w:r>
        <w:t xml:space="preserve">(в ред. </w:t>
      </w:r>
      <w:hyperlink r:id="rId4059">
        <w:r>
          <w:rPr>
            <w:color w:val="0000FF"/>
          </w:rPr>
          <w:t>Изменения N 2</w:t>
        </w:r>
      </w:hyperlink>
      <w:r>
        <w:t>, утв. Приказом Минстроя России от 11.11.2019 N 681/пр)</w:t>
      </w:r>
    </w:p>
    <w:p w:rsidR="00212513" w:rsidRDefault="00212513">
      <w:pPr>
        <w:pStyle w:val="ConsPlusNormal"/>
        <w:ind w:firstLine="540"/>
        <w:jc w:val="both"/>
      </w:pPr>
    </w:p>
    <w:p w:rsidR="00212513" w:rsidRDefault="00212513">
      <w:pPr>
        <w:pStyle w:val="ConsPlusNormal"/>
        <w:ind w:firstLine="540"/>
        <w:jc w:val="both"/>
      </w:pPr>
    </w:p>
    <w:p w:rsidR="00212513" w:rsidRDefault="00212513">
      <w:pPr>
        <w:pStyle w:val="ConsPlusNormal"/>
        <w:pBdr>
          <w:bottom w:val="single" w:sz="6" w:space="0" w:color="auto"/>
        </w:pBdr>
        <w:spacing w:before="100" w:after="100"/>
        <w:jc w:val="both"/>
        <w:rPr>
          <w:sz w:val="2"/>
          <w:szCs w:val="2"/>
        </w:rPr>
      </w:pPr>
    </w:p>
    <w:p w:rsidR="001F2C54" w:rsidRDefault="001F2C54">
      <w:bookmarkStart w:id="641" w:name="_GoBack"/>
      <w:bookmarkEnd w:id="641"/>
    </w:p>
    <w:sectPr w:rsidR="001F2C54">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513"/>
    <w:rsid w:val="001F2C54"/>
    <w:rsid w:val="002125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12513"/>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212513"/>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212513"/>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212513"/>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212513"/>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212513"/>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212513"/>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212513"/>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12513"/>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212513"/>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212513"/>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212513"/>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212513"/>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212513"/>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212513"/>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212513"/>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1058.wmf"/><Relationship Id="rId3182" Type="http://schemas.openxmlformats.org/officeDocument/2006/relationships/image" Target="media/image2027.wmf"/><Relationship Id="rId4026" Type="http://schemas.openxmlformats.org/officeDocument/2006/relationships/image" Target="media/image2817.wmf"/><Relationship Id="rId3042" Type="http://schemas.openxmlformats.org/officeDocument/2006/relationships/image" Target="media/image1915.wmf"/><Relationship Id="rId3999" Type="http://schemas.openxmlformats.org/officeDocument/2006/relationships/image" Target="media/image2799.wmf"/><Relationship Id="rId170" Type="http://schemas.openxmlformats.org/officeDocument/2006/relationships/hyperlink" Target="https://login.consultant.ru/link/?req=doc&amp;base=STR&amp;n=33799&amp;dst=100128" TargetMode="External"/><Relationship Id="rId3859" Type="http://schemas.openxmlformats.org/officeDocument/2006/relationships/image" Target="media/image2662.wmf"/><Relationship Id="rId987" Type="http://schemas.openxmlformats.org/officeDocument/2006/relationships/hyperlink" Target="https://login.consultant.ru/link/?req=doc&amp;base=STR&amp;n=20899&amp;dst=100299" TargetMode="External"/><Relationship Id="rId2668" Type="http://schemas.openxmlformats.org/officeDocument/2006/relationships/hyperlink" Target="https://login.consultant.ru/link/?req=doc&amp;base=STR&amp;n=20895" TargetMode="External"/><Relationship Id="rId2875" Type="http://schemas.openxmlformats.org/officeDocument/2006/relationships/image" Target="media/image1752.wmf"/><Relationship Id="rId3719" Type="http://schemas.openxmlformats.org/officeDocument/2006/relationships/image" Target="media/image2526.wmf"/><Relationship Id="rId3926" Type="http://schemas.openxmlformats.org/officeDocument/2006/relationships/image" Target="media/image2729.png"/><Relationship Id="rId847" Type="http://schemas.openxmlformats.org/officeDocument/2006/relationships/image" Target="media/image368.wmf"/><Relationship Id="rId1477" Type="http://schemas.openxmlformats.org/officeDocument/2006/relationships/hyperlink" Target="https://login.consultant.ru/link/?req=doc&amp;base=STR&amp;n=25187" TargetMode="External"/><Relationship Id="rId1684" Type="http://schemas.openxmlformats.org/officeDocument/2006/relationships/image" Target="media/image920.wmf"/><Relationship Id="rId1891" Type="http://schemas.openxmlformats.org/officeDocument/2006/relationships/image" Target="media/image1119.wmf"/><Relationship Id="rId2528" Type="http://schemas.openxmlformats.org/officeDocument/2006/relationships/image" Target="media/image1682.wmf"/><Relationship Id="rId2735" Type="http://schemas.openxmlformats.org/officeDocument/2006/relationships/hyperlink" Target="https://login.consultant.ru/link/?req=doc&amp;base=STR&amp;n=19203" TargetMode="External"/><Relationship Id="rId2942" Type="http://schemas.openxmlformats.org/officeDocument/2006/relationships/image" Target="media/image1815.wmf"/><Relationship Id="rId707" Type="http://schemas.openxmlformats.org/officeDocument/2006/relationships/hyperlink" Target="https://login.consultant.ru/link/?req=doc&amp;base=STR&amp;n=19866" TargetMode="External"/><Relationship Id="rId914" Type="http://schemas.openxmlformats.org/officeDocument/2006/relationships/image" Target="media/image426.wmf"/><Relationship Id="rId1337" Type="http://schemas.openxmlformats.org/officeDocument/2006/relationships/hyperlink" Target="https://login.consultant.ru/link/?req=doc&amp;base=STR&amp;n=23974" TargetMode="External"/><Relationship Id="rId1544" Type="http://schemas.openxmlformats.org/officeDocument/2006/relationships/hyperlink" Target="https://login.consultant.ru/link/?req=doc&amp;base=STR&amp;n=28725" TargetMode="External"/><Relationship Id="rId1751" Type="http://schemas.openxmlformats.org/officeDocument/2006/relationships/image" Target="media/image986.wmf"/><Relationship Id="rId2802" Type="http://schemas.openxmlformats.org/officeDocument/2006/relationships/hyperlink" Target="https://login.consultant.ru/link/?req=doc&amp;base=STR&amp;n=30139" TargetMode="External"/><Relationship Id="rId43" Type="http://schemas.openxmlformats.org/officeDocument/2006/relationships/hyperlink" Target="https://login.consultant.ru/link/?req=doc&amp;base=STR&amp;n=33799&amp;dst=100032" TargetMode="External"/><Relationship Id="rId1404" Type="http://schemas.openxmlformats.org/officeDocument/2006/relationships/hyperlink" Target="https://login.consultant.ru/link/?req=doc&amp;base=STR&amp;n=8696" TargetMode="External"/><Relationship Id="rId1611" Type="http://schemas.openxmlformats.org/officeDocument/2006/relationships/image" Target="media/image850.wmf"/><Relationship Id="rId3369" Type="http://schemas.openxmlformats.org/officeDocument/2006/relationships/image" Target="media/image2210.wmf"/><Relationship Id="rId3576" Type="http://schemas.openxmlformats.org/officeDocument/2006/relationships/image" Target="media/image2392.wmf"/><Relationship Id="rId497" Type="http://schemas.openxmlformats.org/officeDocument/2006/relationships/image" Target="media/image148.wmf"/><Relationship Id="rId2178" Type="http://schemas.openxmlformats.org/officeDocument/2006/relationships/image" Target="media/image1375.wmf"/><Relationship Id="rId2385" Type="http://schemas.openxmlformats.org/officeDocument/2006/relationships/image" Target="media/image1565.wmf"/><Relationship Id="rId3229" Type="http://schemas.openxmlformats.org/officeDocument/2006/relationships/image" Target="media/image2074.png"/><Relationship Id="rId3783" Type="http://schemas.openxmlformats.org/officeDocument/2006/relationships/image" Target="media/image2589.wmf"/><Relationship Id="rId3990" Type="http://schemas.openxmlformats.org/officeDocument/2006/relationships/image" Target="media/image2791.wmf"/><Relationship Id="rId357" Type="http://schemas.openxmlformats.org/officeDocument/2006/relationships/image" Target="media/image45.wmf"/><Relationship Id="rId1194" Type="http://schemas.openxmlformats.org/officeDocument/2006/relationships/image" Target="media/image689.wmf"/><Relationship Id="rId2038" Type="http://schemas.openxmlformats.org/officeDocument/2006/relationships/image" Target="media/image1264.wmf"/><Relationship Id="rId2592" Type="http://schemas.openxmlformats.org/officeDocument/2006/relationships/hyperlink" Target="https://login.consultant.ru/link/?req=doc&amp;base=STR&amp;n=33227" TargetMode="External"/><Relationship Id="rId3436" Type="http://schemas.openxmlformats.org/officeDocument/2006/relationships/image" Target="media/image2272.wmf"/><Relationship Id="rId3643" Type="http://schemas.openxmlformats.org/officeDocument/2006/relationships/image" Target="media/image2453.wmf"/><Relationship Id="rId3850" Type="http://schemas.openxmlformats.org/officeDocument/2006/relationships/image" Target="media/image2653.wmf"/><Relationship Id="rId217" Type="http://schemas.openxmlformats.org/officeDocument/2006/relationships/hyperlink" Target="https://login.consultant.ru/link/?req=doc&amp;base=STR&amp;n=33799&amp;dst=100161" TargetMode="External"/><Relationship Id="rId564" Type="http://schemas.openxmlformats.org/officeDocument/2006/relationships/hyperlink" Target="https://login.consultant.ru/link/?req=doc&amp;base=STR&amp;n=24881&amp;dst=100043" TargetMode="External"/><Relationship Id="rId771" Type="http://schemas.openxmlformats.org/officeDocument/2006/relationships/image" Target="media/image305.wmf"/><Relationship Id="rId2245" Type="http://schemas.openxmlformats.org/officeDocument/2006/relationships/image" Target="media/image1429.wmf"/><Relationship Id="rId2452" Type="http://schemas.openxmlformats.org/officeDocument/2006/relationships/image" Target="media/image1611.wmf"/><Relationship Id="rId3503" Type="http://schemas.openxmlformats.org/officeDocument/2006/relationships/image" Target="media/image2324.wmf"/><Relationship Id="rId3710" Type="http://schemas.openxmlformats.org/officeDocument/2006/relationships/image" Target="media/image2517.wmf"/><Relationship Id="rId424" Type="http://schemas.openxmlformats.org/officeDocument/2006/relationships/image" Target="media/image100.wmf"/><Relationship Id="rId631" Type="http://schemas.openxmlformats.org/officeDocument/2006/relationships/image" Target="media/image221.wmf"/><Relationship Id="rId1054" Type="http://schemas.openxmlformats.org/officeDocument/2006/relationships/image" Target="media/image562.wmf"/><Relationship Id="rId1261" Type="http://schemas.openxmlformats.org/officeDocument/2006/relationships/image" Target="media/image753.wmf"/><Relationship Id="rId2105" Type="http://schemas.openxmlformats.org/officeDocument/2006/relationships/image" Target="media/image1328.wmf"/><Relationship Id="rId2312" Type="http://schemas.openxmlformats.org/officeDocument/2006/relationships/image" Target="media/image1494.wmf"/><Relationship Id="rId1121" Type="http://schemas.openxmlformats.org/officeDocument/2006/relationships/image" Target="media/image626.wmf"/><Relationship Id="rId3086" Type="http://schemas.openxmlformats.org/officeDocument/2006/relationships/image" Target="media/image1959.wmf"/><Relationship Id="rId3293" Type="http://schemas.openxmlformats.org/officeDocument/2006/relationships/image" Target="media/image2138.wmf"/><Relationship Id="rId1938" Type="http://schemas.openxmlformats.org/officeDocument/2006/relationships/hyperlink" Target="https://login.consultant.ru/link/?req=doc&amp;base=STR&amp;n=20899&amp;dst=100681" TargetMode="External"/><Relationship Id="rId3153" Type="http://schemas.openxmlformats.org/officeDocument/2006/relationships/hyperlink" Target="https://login.consultant.ru/link/?req=doc&amp;base=STR&amp;n=34159&amp;dst=100039" TargetMode="External"/><Relationship Id="rId3360" Type="http://schemas.openxmlformats.org/officeDocument/2006/relationships/image" Target="media/image2201.wmf"/><Relationship Id="rId281" Type="http://schemas.openxmlformats.org/officeDocument/2006/relationships/hyperlink" Target="https://login.consultant.ru/link/?req=doc&amp;base=STR&amp;n=26765&amp;dst=100110" TargetMode="External"/><Relationship Id="rId3013" Type="http://schemas.openxmlformats.org/officeDocument/2006/relationships/image" Target="media/image1886.wmf"/><Relationship Id="rId141" Type="http://schemas.openxmlformats.org/officeDocument/2006/relationships/image" Target="media/image22.wmf"/><Relationship Id="rId3220" Type="http://schemas.openxmlformats.org/officeDocument/2006/relationships/image" Target="media/image2065.wmf"/><Relationship Id="rId7" Type="http://schemas.openxmlformats.org/officeDocument/2006/relationships/hyperlink" Target="https://login.consultant.ru/link/?req=doc&amp;base=STR&amp;n=4501" TargetMode="External"/><Relationship Id="rId2779" Type="http://schemas.openxmlformats.org/officeDocument/2006/relationships/hyperlink" Target="https://login.consultant.ru/link/?req=doc&amp;base=STR&amp;n=29496" TargetMode="External"/><Relationship Id="rId2986" Type="http://schemas.openxmlformats.org/officeDocument/2006/relationships/image" Target="media/image1859.wmf"/><Relationship Id="rId958" Type="http://schemas.openxmlformats.org/officeDocument/2006/relationships/image" Target="media/image469.wmf"/><Relationship Id="rId1588" Type="http://schemas.openxmlformats.org/officeDocument/2006/relationships/image" Target="media/image830.wmf"/><Relationship Id="rId1795" Type="http://schemas.openxmlformats.org/officeDocument/2006/relationships/image" Target="media/image1030.wmf"/><Relationship Id="rId2639" Type="http://schemas.openxmlformats.org/officeDocument/2006/relationships/hyperlink" Target="https://login.consultant.ru/link/?req=doc&amp;base=STR&amp;n=18818" TargetMode="External"/><Relationship Id="rId2846" Type="http://schemas.openxmlformats.org/officeDocument/2006/relationships/hyperlink" Target="https://login.consultant.ru/link/?req=doc&amp;base=STR&amp;n=24881&amp;dst=100213" TargetMode="External"/><Relationship Id="rId87" Type="http://schemas.openxmlformats.org/officeDocument/2006/relationships/hyperlink" Target="https://login.consultant.ru/link/?req=doc&amp;base=STR&amp;n=33799&amp;dst=100055" TargetMode="External"/><Relationship Id="rId818" Type="http://schemas.openxmlformats.org/officeDocument/2006/relationships/image" Target="media/image341.wmf"/><Relationship Id="rId1448" Type="http://schemas.openxmlformats.org/officeDocument/2006/relationships/hyperlink" Target="https://login.consultant.ru/link/?req=doc&amp;base=STR&amp;n=26941&amp;dst=100322" TargetMode="External"/><Relationship Id="rId1655" Type="http://schemas.openxmlformats.org/officeDocument/2006/relationships/image" Target="media/image894.wmf"/><Relationship Id="rId2706" Type="http://schemas.openxmlformats.org/officeDocument/2006/relationships/hyperlink" Target="https://login.consultant.ru/link/?req=doc&amp;base=STR&amp;n=13174" TargetMode="External"/><Relationship Id="rId4061" Type="http://schemas.openxmlformats.org/officeDocument/2006/relationships/theme" Target="theme/theme1.xml"/><Relationship Id="rId1308" Type="http://schemas.openxmlformats.org/officeDocument/2006/relationships/hyperlink" Target="https://login.consultant.ru/link/?req=doc&amp;base=STR&amp;n=26765&amp;dst=100686" TargetMode="External"/><Relationship Id="rId1862" Type="http://schemas.openxmlformats.org/officeDocument/2006/relationships/image" Target="media/image1090.wmf"/><Relationship Id="rId2913" Type="http://schemas.openxmlformats.org/officeDocument/2006/relationships/image" Target="media/image1786.wmf"/><Relationship Id="rId1515" Type="http://schemas.openxmlformats.org/officeDocument/2006/relationships/hyperlink" Target="https://login.consultant.ru/link/?req=doc&amp;base=STR&amp;n=4954" TargetMode="External"/><Relationship Id="rId1722" Type="http://schemas.openxmlformats.org/officeDocument/2006/relationships/image" Target="media/image958.wmf"/><Relationship Id="rId14" Type="http://schemas.openxmlformats.org/officeDocument/2006/relationships/hyperlink" Target="https://login.consultant.ru/link/?req=doc&amp;base=STR&amp;n=33799&amp;dst=100010" TargetMode="External"/><Relationship Id="rId3687" Type="http://schemas.openxmlformats.org/officeDocument/2006/relationships/image" Target="media/image2495.wmf"/><Relationship Id="rId3894" Type="http://schemas.openxmlformats.org/officeDocument/2006/relationships/image" Target="media/image2697.wmf"/><Relationship Id="rId2289" Type="http://schemas.openxmlformats.org/officeDocument/2006/relationships/image" Target="media/image1473.wmf"/><Relationship Id="rId2496" Type="http://schemas.openxmlformats.org/officeDocument/2006/relationships/image" Target="media/image1651.wmf"/><Relationship Id="rId3547" Type="http://schemas.openxmlformats.org/officeDocument/2006/relationships/image" Target="media/image2363.wmf"/><Relationship Id="rId3754" Type="http://schemas.openxmlformats.org/officeDocument/2006/relationships/image" Target="media/image2560.wmf"/><Relationship Id="rId3961" Type="http://schemas.openxmlformats.org/officeDocument/2006/relationships/image" Target="media/image2764.wmf"/><Relationship Id="rId468" Type="http://schemas.openxmlformats.org/officeDocument/2006/relationships/image" Target="media/image125.wmf"/><Relationship Id="rId675" Type="http://schemas.openxmlformats.org/officeDocument/2006/relationships/image" Target="media/image261.wmf"/><Relationship Id="rId882" Type="http://schemas.openxmlformats.org/officeDocument/2006/relationships/image" Target="media/image399.wmf"/><Relationship Id="rId1098" Type="http://schemas.openxmlformats.org/officeDocument/2006/relationships/image" Target="media/image605.wmf"/><Relationship Id="rId2149" Type="http://schemas.openxmlformats.org/officeDocument/2006/relationships/hyperlink" Target="https://login.consultant.ru/link/?req=doc&amp;base=STR&amp;n=33689" TargetMode="External"/><Relationship Id="rId2356" Type="http://schemas.openxmlformats.org/officeDocument/2006/relationships/image" Target="media/image1536.wmf"/><Relationship Id="rId2563" Type="http://schemas.openxmlformats.org/officeDocument/2006/relationships/image" Target="media/image1717.wmf"/><Relationship Id="rId2770" Type="http://schemas.openxmlformats.org/officeDocument/2006/relationships/hyperlink" Target="https://login.consultant.ru/link/?req=doc&amp;base=STR&amp;n=29120" TargetMode="External"/><Relationship Id="rId3407" Type="http://schemas.openxmlformats.org/officeDocument/2006/relationships/image" Target="media/image2244.wmf"/><Relationship Id="rId3614" Type="http://schemas.openxmlformats.org/officeDocument/2006/relationships/image" Target="media/image2428.wmf"/><Relationship Id="rId3821" Type="http://schemas.openxmlformats.org/officeDocument/2006/relationships/image" Target="media/image2624.wmf"/><Relationship Id="rId328" Type="http://schemas.openxmlformats.org/officeDocument/2006/relationships/hyperlink" Target="https://login.consultant.ru/link/?req=doc&amp;base=STR&amp;n=33799&amp;dst=100209" TargetMode="External"/><Relationship Id="rId535" Type="http://schemas.openxmlformats.org/officeDocument/2006/relationships/image" Target="media/image174.wmf"/><Relationship Id="rId742" Type="http://schemas.openxmlformats.org/officeDocument/2006/relationships/image" Target="media/image285.wmf"/><Relationship Id="rId1165" Type="http://schemas.openxmlformats.org/officeDocument/2006/relationships/image" Target="media/image664.wmf"/><Relationship Id="rId1372" Type="http://schemas.openxmlformats.org/officeDocument/2006/relationships/image" Target="media/image793.wmf"/><Relationship Id="rId2009" Type="http://schemas.openxmlformats.org/officeDocument/2006/relationships/image" Target="media/image1235.wmf"/><Relationship Id="rId2216" Type="http://schemas.openxmlformats.org/officeDocument/2006/relationships/hyperlink" Target="https://login.consultant.ru/link/?req=doc&amp;base=STR&amp;n=20899&amp;dst=100690" TargetMode="External"/><Relationship Id="rId2423" Type="http://schemas.openxmlformats.org/officeDocument/2006/relationships/hyperlink" Target="https://login.consultant.ru/link/?req=doc&amp;base=STR&amp;n=33000" TargetMode="External"/><Relationship Id="rId2630" Type="http://schemas.openxmlformats.org/officeDocument/2006/relationships/hyperlink" Target="https://login.consultant.ru/link/?req=doc&amp;base=STR&amp;n=20899&amp;dst=100728" TargetMode="External"/><Relationship Id="rId602" Type="http://schemas.openxmlformats.org/officeDocument/2006/relationships/hyperlink" Target="https://login.consultant.ru/link/?req=doc&amp;base=STR&amp;n=24881&amp;dst=100045" TargetMode="External"/><Relationship Id="rId1025" Type="http://schemas.openxmlformats.org/officeDocument/2006/relationships/image" Target="media/image534.wmf"/><Relationship Id="rId1232" Type="http://schemas.openxmlformats.org/officeDocument/2006/relationships/image" Target="media/image725.wmf"/><Relationship Id="rId3197" Type="http://schemas.openxmlformats.org/officeDocument/2006/relationships/image" Target="media/image2042.wmf"/><Relationship Id="rId3057" Type="http://schemas.openxmlformats.org/officeDocument/2006/relationships/image" Target="media/image1930.wmf"/><Relationship Id="rId185" Type="http://schemas.openxmlformats.org/officeDocument/2006/relationships/hyperlink" Target="https://login.consultant.ru/link/?req=doc&amp;base=STR&amp;n=29496" TargetMode="External"/><Relationship Id="rId1909" Type="http://schemas.openxmlformats.org/officeDocument/2006/relationships/image" Target="media/image1137.wmf"/><Relationship Id="rId3264" Type="http://schemas.openxmlformats.org/officeDocument/2006/relationships/image" Target="media/image2109.wmf"/><Relationship Id="rId3471" Type="http://schemas.openxmlformats.org/officeDocument/2006/relationships/hyperlink" Target="https://login.consultant.ru/link/?req=doc&amp;base=STR&amp;n=33799&amp;dst=101509" TargetMode="External"/><Relationship Id="rId392" Type="http://schemas.openxmlformats.org/officeDocument/2006/relationships/hyperlink" Target="https://login.consultant.ru/link/?req=doc&amp;base=STR&amp;n=26765&amp;dst=100148" TargetMode="External"/><Relationship Id="rId2073" Type="http://schemas.openxmlformats.org/officeDocument/2006/relationships/image" Target="media/image1299.wmf"/><Relationship Id="rId2280" Type="http://schemas.openxmlformats.org/officeDocument/2006/relationships/image" Target="media/image1464.wmf"/><Relationship Id="rId3124" Type="http://schemas.openxmlformats.org/officeDocument/2006/relationships/image" Target="media/image1997.wmf"/><Relationship Id="rId3331" Type="http://schemas.openxmlformats.org/officeDocument/2006/relationships/image" Target="media/image2175.wmf"/><Relationship Id="rId252" Type="http://schemas.openxmlformats.org/officeDocument/2006/relationships/hyperlink" Target="https://login.consultant.ru/link/?req=doc&amp;base=STR&amp;n=20899&amp;dst=100082" TargetMode="External"/><Relationship Id="rId2140" Type="http://schemas.openxmlformats.org/officeDocument/2006/relationships/hyperlink" Target="https://login.consultant.ru/link/?req=doc&amp;base=STR&amp;n=33799&amp;dst=100945" TargetMode="External"/><Relationship Id="rId112" Type="http://schemas.openxmlformats.org/officeDocument/2006/relationships/hyperlink" Target="https://login.consultant.ru/link/?req=doc&amp;base=STR&amp;n=26765&amp;dst=100049" TargetMode="External"/><Relationship Id="rId1699" Type="http://schemas.openxmlformats.org/officeDocument/2006/relationships/image" Target="media/image935.wmf"/><Relationship Id="rId2000" Type="http://schemas.openxmlformats.org/officeDocument/2006/relationships/image" Target="media/image1226.wmf"/><Relationship Id="rId2957" Type="http://schemas.openxmlformats.org/officeDocument/2006/relationships/image" Target="media/image1830.wmf"/><Relationship Id="rId929" Type="http://schemas.openxmlformats.org/officeDocument/2006/relationships/image" Target="media/image440.wmf"/><Relationship Id="rId1559" Type="http://schemas.openxmlformats.org/officeDocument/2006/relationships/image" Target="media/image814.wmf"/><Relationship Id="rId1766" Type="http://schemas.openxmlformats.org/officeDocument/2006/relationships/image" Target="media/image1001.wmf"/><Relationship Id="rId1973" Type="http://schemas.openxmlformats.org/officeDocument/2006/relationships/image" Target="media/image1200.wmf"/><Relationship Id="rId2817" Type="http://schemas.openxmlformats.org/officeDocument/2006/relationships/hyperlink" Target="https://login.consultant.ru/link/?req=doc&amp;base=STR&amp;n=25163" TargetMode="External"/><Relationship Id="rId4032" Type="http://schemas.openxmlformats.org/officeDocument/2006/relationships/image" Target="media/image2823.wmf"/><Relationship Id="rId58" Type="http://schemas.openxmlformats.org/officeDocument/2006/relationships/hyperlink" Target="https://login.consultant.ru/link/?req=doc&amp;base=STR&amp;n=33799&amp;dst=100039" TargetMode="External"/><Relationship Id="rId1419" Type="http://schemas.openxmlformats.org/officeDocument/2006/relationships/hyperlink" Target="https://login.consultant.ru/link/?req=doc&amp;base=STR&amp;n=25187" TargetMode="External"/><Relationship Id="rId1626" Type="http://schemas.openxmlformats.org/officeDocument/2006/relationships/image" Target="media/image865.wmf"/><Relationship Id="rId1833" Type="http://schemas.openxmlformats.org/officeDocument/2006/relationships/image" Target="media/image1062.wmf"/><Relationship Id="rId1900" Type="http://schemas.openxmlformats.org/officeDocument/2006/relationships/image" Target="media/image1128.wmf"/><Relationship Id="rId3798" Type="http://schemas.openxmlformats.org/officeDocument/2006/relationships/image" Target="media/image2604.wmf"/><Relationship Id="rId3658" Type="http://schemas.openxmlformats.org/officeDocument/2006/relationships/image" Target="media/image2468.wmf"/><Relationship Id="rId3865" Type="http://schemas.openxmlformats.org/officeDocument/2006/relationships/image" Target="media/image2668.wmf"/><Relationship Id="rId579" Type="http://schemas.openxmlformats.org/officeDocument/2006/relationships/hyperlink" Target="https://login.consultant.ru/link/?req=doc&amp;base=STR&amp;n=26765&amp;dst=100168" TargetMode="External"/><Relationship Id="rId786" Type="http://schemas.openxmlformats.org/officeDocument/2006/relationships/hyperlink" Target="https://login.consultant.ru/link/?req=doc&amp;base=STR&amp;n=23223" TargetMode="External"/><Relationship Id="rId993" Type="http://schemas.openxmlformats.org/officeDocument/2006/relationships/image" Target="media/image502.wmf"/><Relationship Id="rId2467" Type="http://schemas.openxmlformats.org/officeDocument/2006/relationships/image" Target="media/image1623.wmf"/><Relationship Id="rId2674" Type="http://schemas.openxmlformats.org/officeDocument/2006/relationships/hyperlink" Target="https://login.consultant.ru/link/?req=doc&amp;base=STR&amp;n=19618" TargetMode="External"/><Relationship Id="rId3518" Type="http://schemas.openxmlformats.org/officeDocument/2006/relationships/image" Target="media/image2338.wmf"/><Relationship Id="rId439" Type="http://schemas.openxmlformats.org/officeDocument/2006/relationships/hyperlink" Target="https://login.consultant.ru/link/?req=doc&amp;base=STR&amp;n=33799&amp;dst=100249" TargetMode="External"/><Relationship Id="rId646" Type="http://schemas.openxmlformats.org/officeDocument/2006/relationships/image" Target="media/image236.wmf"/><Relationship Id="rId1069" Type="http://schemas.openxmlformats.org/officeDocument/2006/relationships/image" Target="media/image576.wmf"/><Relationship Id="rId1276" Type="http://schemas.openxmlformats.org/officeDocument/2006/relationships/hyperlink" Target="https://login.consultant.ru/link/?req=doc&amp;base=STR&amp;n=26765&amp;dst=100673" TargetMode="External"/><Relationship Id="rId1483" Type="http://schemas.openxmlformats.org/officeDocument/2006/relationships/hyperlink" Target="https://login.consultant.ru/link/?req=doc&amp;base=STR&amp;n=28725" TargetMode="External"/><Relationship Id="rId2327" Type="http://schemas.openxmlformats.org/officeDocument/2006/relationships/image" Target="media/image1509.wmf"/><Relationship Id="rId2881" Type="http://schemas.openxmlformats.org/officeDocument/2006/relationships/image" Target="media/image1758.wmf"/><Relationship Id="rId3725" Type="http://schemas.openxmlformats.org/officeDocument/2006/relationships/image" Target="media/image2532.wmf"/><Relationship Id="rId3932" Type="http://schemas.openxmlformats.org/officeDocument/2006/relationships/image" Target="media/image2735.wmf"/><Relationship Id="rId506" Type="http://schemas.openxmlformats.org/officeDocument/2006/relationships/image" Target="media/image156.wmf"/><Relationship Id="rId853" Type="http://schemas.openxmlformats.org/officeDocument/2006/relationships/image" Target="media/image374.wmf"/><Relationship Id="rId1136" Type="http://schemas.openxmlformats.org/officeDocument/2006/relationships/image" Target="media/image639.wmf"/><Relationship Id="rId1690" Type="http://schemas.openxmlformats.org/officeDocument/2006/relationships/image" Target="media/image926.wmf"/><Relationship Id="rId2534" Type="http://schemas.openxmlformats.org/officeDocument/2006/relationships/image" Target="media/image1688.wmf"/><Relationship Id="rId2741" Type="http://schemas.openxmlformats.org/officeDocument/2006/relationships/hyperlink" Target="https://login.consultant.ru/link/?req=doc&amp;base=STR&amp;n=19402" TargetMode="External"/><Relationship Id="rId713" Type="http://schemas.openxmlformats.org/officeDocument/2006/relationships/hyperlink" Target="https://login.consultant.ru/link/?req=doc&amp;base=STR&amp;n=2694" TargetMode="External"/><Relationship Id="rId920" Type="http://schemas.openxmlformats.org/officeDocument/2006/relationships/image" Target="media/image431.wmf"/><Relationship Id="rId1343" Type="http://schemas.openxmlformats.org/officeDocument/2006/relationships/hyperlink" Target="https://login.consultant.ru/link/?req=doc&amp;base=STR&amp;n=20899&amp;dst=100340" TargetMode="External"/><Relationship Id="rId1550" Type="http://schemas.openxmlformats.org/officeDocument/2006/relationships/image" Target="media/image807.wmf"/><Relationship Id="rId2601" Type="http://schemas.openxmlformats.org/officeDocument/2006/relationships/hyperlink" Target="https://login.consultant.ru/link/?req=doc&amp;base=STR&amp;n=20899&amp;dst=100723" TargetMode="External"/><Relationship Id="rId1203" Type="http://schemas.openxmlformats.org/officeDocument/2006/relationships/image" Target="media/image697.wmf"/><Relationship Id="rId1410" Type="http://schemas.openxmlformats.org/officeDocument/2006/relationships/hyperlink" Target="https://login.consultant.ru/link/?req=doc&amp;base=STR&amp;n=8696" TargetMode="External"/><Relationship Id="rId3168" Type="http://schemas.openxmlformats.org/officeDocument/2006/relationships/image" Target="media/image2020.wmf"/><Relationship Id="rId3375" Type="http://schemas.openxmlformats.org/officeDocument/2006/relationships/image" Target="media/image2216.wmf"/><Relationship Id="rId3582" Type="http://schemas.openxmlformats.org/officeDocument/2006/relationships/image" Target="media/image2398.wmf"/><Relationship Id="rId296" Type="http://schemas.openxmlformats.org/officeDocument/2006/relationships/hyperlink" Target="https://login.consultant.ru/link/?req=doc&amp;base=STR&amp;n=20899&amp;dst=100097" TargetMode="External"/><Relationship Id="rId2184" Type="http://schemas.openxmlformats.org/officeDocument/2006/relationships/image" Target="media/image1381.wmf"/><Relationship Id="rId2391" Type="http://schemas.openxmlformats.org/officeDocument/2006/relationships/image" Target="media/image1571.wmf"/><Relationship Id="rId3028" Type="http://schemas.openxmlformats.org/officeDocument/2006/relationships/image" Target="media/image1901.wmf"/><Relationship Id="rId3235" Type="http://schemas.openxmlformats.org/officeDocument/2006/relationships/image" Target="media/image2080.wmf"/><Relationship Id="rId3442" Type="http://schemas.openxmlformats.org/officeDocument/2006/relationships/image" Target="media/image2276.wmf"/><Relationship Id="rId156" Type="http://schemas.openxmlformats.org/officeDocument/2006/relationships/hyperlink" Target="https://login.consultant.ru/link/?req=doc&amp;base=STR&amp;n=26904" TargetMode="External"/><Relationship Id="rId363" Type="http://schemas.openxmlformats.org/officeDocument/2006/relationships/image" Target="media/image50.wmf"/><Relationship Id="rId570" Type="http://schemas.openxmlformats.org/officeDocument/2006/relationships/hyperlink" Target="https://login.consultant.ru/link/?req=doc&amp;base=STR&amp;n=26765&amp;dst=100166" TargetMode="External"/><Relationship Id="rId2044" Type="http://schemas.openxmlformats.org/officeDocument/2006/relationships/image" Target="media/image1270.wmf"/><Relationship Id="rId2251" Type="http://schemas.openxmlformats.org/officeDocument/2006/relationships/image" Target="media/image1435.wmf"/><Relationship Id="rId3302" Type="http://schemas.openxmlformats.org/officeDocument/2006/relationships/image" Target="media/image2147.wmf"/><Relationship Id="rId223" Type="http://schemas.openxmlformats.org/officeDocument/2006/relationships/hyperlink" Target="https://login.consultant.ru/link/?req=doc&amp;base=STR&amp;n=19402" TargetMode="External"/><Relationship Id="rId430" Type="http://schemas.openxmlformats.org/officeDocument/2006/relationships/hyperlink" Target="https://login.consultant.ru/link/?req=doc&amp;base=STR&amp;n=20899&amp;dst=100147" TargetMode="External"/><Relationship Id="rId1060" Type="http://schemas.openxmlformats.org/officeDocument/2006/relationships/image" Target="media/image567.wmf"/><Relationship Id="rId2111" Type="http://schemas.openxmlformats.org/officeDocument/2006/relationships/image" Target="media/image1334.wmf"/><Relationship Id="rId1877" Type="http://schemas.openxmlformats.org/officeDocument/2006/relationships/image" Target="media/image1105.wmf"/><Relationship Id="rId2928" Type="http://schemas.openxmlformats.org/officeDocument/2006/relationships/image" Target="media/image1801.wmf"/><Relationship Id="rId1737" Type="http://schemas.openxmlformats.org/officeDocument/2006/relationships/image" Target="media/image972.wmf"/><Relationship Id="rId1944" Type="http://schemas.openxmlformats.org/officeDocument/2006/relationships/image" Target="media/image1171.wmf"/><Relationship Id="rId3092" Type="http://schemas.openxmlformats.org/officeDocument/2006/relationships/image" Target="media/image1965.wmf"/><Relationship Id="rId29" Type="http://schemas.openxmlformats.org/officeDocument/2006/relationships/hyperlink" Target="https://login.consultant.ru/link/?req=doc&amp;base=STR&amp;n=33799&amp;dst=100012" TargetMode="External"/><Relationship Id="rId4003" Type="http://schemas.openxmlformats.org/officeDocument/2006/relationships/image" Target="media/image2802.wmf"/><Relationship Id="rId1804" Type="http://schemas.openxmlformats.org/officeDocument/2006/relationships/image" Target="media/image1039.wmf"/><Relationship Id="rId3769" Type="http://schemas.openxmlformats.org/officeDocument/2006/relationships/image" Target="media/image2575.wmf"/><Relationship Id="rId3976" Type="http://schemas.openxmlformats.org/officeDocument/2006/relationships/image" Target="media/image2779.wmf"/><Relationship Id="rId897" Type="http://schemas.openxmlformats.org/officeDocument/2006/relationships/hyperlink" Target="https://login.consultant.ru/link/?req=doc&amp;base=STR&amp;n=26765&amp;dst=100590" TargetMode="External"/><Relationship Id="rId2578" Type="http://schemas.openxmlformats.org/officeDocument/2006/relationships/image" Target="media/image1723.wmf"/><Relationship Id="rId2785" Type="http://schemas.openxmlformats.org/officeDocument/2006/relationships/hyperlink" Target="https://login.consultant.ru/link/?req=doc&amp;base=STR&amp;n=33228" TargetMode="External"/><Relationship Id="rId2992" Type="http://schemas.openxmlformats.org/officeDocument/2006/relationships/image" Target="media/image1865.wmf"/><Relationship Id="rId3629" Type="http://schemas.openxmlformats.org/officeDocument/2006/relationships/image" Target="media/image2441.wmf"/><Relationship Id="rId3836" Type="http://schemas.openxmlformats.org/officeDocument/2006/relationships/image" Target="media/image2639.wmf"/><Relationship Id="rId757" Type="http://schemas.openxmlformats.org/officeDocument/2006/relationships/image" Target="media/image292.wmf"/><Relationship Id="rId964" Type="http://schemas.openxmlformats.org/officeDocument/2006/relationships/image" Target="media/image475.wmf"/><Relationship Id="rId1387" Type="http://schemas.openxmlformats.org/officeDocument/2006/relationships/hyperlink" Target="https://login.consultant.ru/link/?req=doc&amp;base=STR&amp;n=26765&amp;dst=100856" TargetMode="External"/><Relationship Id="rId1594" Type="http://schemas.openxmlformats.org/officeDocument/2006/relationships/image" Target="media/image836.wmf"/><Relationship Id="rId2438" Type="http://schemas.openxmlformats.org/officeDocument/2006/relationships/image" Target="media/image1599.wmf"/><Relationship Id="rId2645" Type="http://schemas.openxmlformats.org/officeDocument/2006/relationships/hyperlink" Target="https://login.consultant.ru/link/?req=doc&amp;base=STR&amp;n=20024" TargetMode="External"/><Relationship Id="rId2852" Type="http://schemas.openxmlformats.org/officeDocument/2006/relationships/hyperlink" Target="https://login.consultant.ru/link/?req=doc&amp;base=STR&amp;n=26765&amp;dst=101153" TargetMode="External"/><Relationship Id="rId3903" Type="http://schemas.openxmlformats.org/officeDocument/2006/relationships/image" Target="media/image2706.wmf"/><Relationship Id="rId93" Type="http://schemas.openxmlformats.org/officeDocument/2006/relationships/hyperlink" Target="https://login.consultant.ru/link/?req=doc&amp;base=STR&amp;n=33799&amp;dst=100057" TargetMode="External"/><Relationship Id="rId617" Type="http://schemas.openxmlformats.org/officeDocument/2006/relationships/image" Target="media/image209.wmf"/><Relationship Id="rId824" Type="http://schemas.openxmlformats.org/officeDocument/2006/relationships/image" Target="media/image347.wmf"/><Relationship Id="rId1247" Type="http://schemas.openxmlformats.org/officeDocument/2006/relationships/image" Target="media/image740.wmf"/><Relationship Id="rId1454" Type="http://schemas.openxmlformats.org/officeDocument/2006/relationships/hyperlink" Target="https://login.consultant.ru/link/?req=doc&amp;base=STR&amp;n=26941" TargetMode="External"/><Relationship Id="rId1661" Type="http://schemas.openxmlformats.org/officeDocument/2006/relationships/image" Target="media/image900.wmf"/><Relationship Id="rId2505" Type="http://schemas.openxmlformats.org/officeDocument/2006/relationships/image" Target="media/image1660.wmf"/><Relationship Id="rId2712" Type="http://schemas.openxmlformats.org/officeDocument/2006/relationships/hyperlink" Target="https://login.consultant.ru/link/?req=doc&amp;base=STR&amp;n=28803" TargetMode="External"/><Relationship Id="rId1107" Type="http://schemas.openxmlformats.org/officeDocument/2006/relationships/image" Target="media/image612.wmf"/><Relationship Id="rId1314" Type="http://schemas.openxmlformats.org/officeDocument/2006/relationships/hyperlink" Target="https://login.consultant.ru/link/?req=doc&amp;base=STR&amp;n=26765&amp;dst=100703" TargetMode="External"/><Relationship Id="rId1521" Type="http://schemas.openxmlformats.org/officeDocument/2006/relationships/hyperlink" Target="https://login.consultant.ru/link/?req=doc&amp;base=STR&amp;n=26765&amp;dst=101050" TargetMode="External"/><Relationship Id="rId3279" Type="http://schemas.openxmlformats.org/officeDocument/2006/relationships/image" Target="media/image2124.wmf"/><Relationship Id="rId3486" Type="http://schemas.openxmlformats.org/officeDocument/2006/relationships/image" Target="media/image2309.wmf"/><Relationship Id="rId3693" Type="http://schemas.openxmlformats.org/officeDocument/2006/relationships/image" Target="media/image2501.wmf"/><Relationship Id="rId20" Type="http://schemas.openxmlformats.org/officeDocument/2006/relationships/hyperlink" Target="https://login.consultant.ru/link/?req=doc&amp;base=STR&amp;n=13615&amp;dst=100005" TargetMode="External"/><Relationship Id="rId2088" Type="http://schemas.openxmlformats.org/officeDocument/2006/relationships/hyperlink" Target="https://login.consultant.ru/link/?req=doc&amp;base=STR&amp;n=13453" TargetMode="External"/><Relationship Id="rId2295" Type="http://schemas.openxmlformats.org/officeDocument/2006/relationships/image" Target="media/image1479.wmf"/><Relationship Id="rId3139" Type="http://schemas.openxmlformats.org/officeDocument/2006/relationships/image" Target="media/image2012.wmf"/><Relationship Id="rId3346" Type="http://schemas.openxmlformats.org/officeDocument/2006/relationships/image" Target="media/image2187.wmf"/><Relationship Id="rId267" Type="http://schemas.openxmlformats.org/officeDocument/2006/relationships/hyperlink" Target="https://login.consultant.ru/link/?req=doc&amp;base=STR&amp;n=26765&amp;dst=100095" TargetMode="External"/><Relationship Id="rId474" Type="http://schemas.openxmlformats.org/officeDocument/2006/relationships/image" Target="media/image129.wmf"/><Relationship Id="rId2155" Type="http://schemas.openxmlformats.org/officeDocument/2006/relationships/hyperlink" Target="https://login.consultant.ru/link/?req=doc&amp;base=STR&amp;n=33799&amp;dst=100951" TargetMode="External"/><Relationship Id="rId3553" Type="http://schemas.openxmlformats.org/officeDocument/2006/relationships/image" Target="media/image2369.wmf"/><Relationship Id="rId3760" Type="http://schemas.openxmlformats.org/officeDocument/2006/relationships/image" Target="media/image2566.wmf"/><Relationship Id="rId127" Type="http://schemas.openxmlformats.org/officeDocument/2006/relationships/image" Target="media/image8.wmf"/><Relationship Id="rId681" Type="http://schemas.openxmlformats.org/officeDocument/2006/relationships/image" Target="media/image267.wmf"/><Relationship Id="rId2362" Type="http://schemas.openxmlformats.org/officeDocument/2006/relationships/image" Target="media/image1542.wmf"/><Relationship Id="rId3206" Type="http://schemas.openxmlformats.org/officeDocument/2006/relationships/image" Target="media/image2051.wmf"/><Relationship Id="rId3413" Type="http://schemas.openxmlformats.org/officeDocument/2006/relationships/image" Target="media/image2249.wmf"/><Relationship Id="rId3620" Type="http://schemas.openxmlformats.org/officeDocument/2006/relationships/image" Target="media/image2433.wmf"/><Relationship Id="rId334" Type="http://schemas.openxmlformats.org/officeDocument/2006/relationships/hyperlink" Target="https://login.consultant.ru/link/?req=doc&amp;base=STR&amp;n=33799&amp;dst=100219" TargetMode="External"/><Relationship Id="rId541" Type="http://schemas.openxmlformats.org/officeDocument/2006/relationships/hyperlink" Target="https://login.consultant.ru/link/?req=doc&amp;base=STR&amp;n=33799&amp;dst=100272" TargetMode="External"/><Relationship Id="rId1171" Type="http://schemas.openxmlformats.org/officeDocument/2006/relationships/image" Target="media/image670.wmf"/><Relationship Id="rId2015" Type="http://schemas.openxmlformats.org/officeDocument/2006/relationships/image" Target="media/image1241.wmf"/><Relationship Id="rId2222" Type="http://schemas.openxmlformats.org/officeDocument/2006/relationships/image" Target="media/image1406.wmf"/><Relationship Id="rId401" Type="http://schemas.openxmlformats.org/officeDocument/2006/relationships/hyperlink" Target="https://login.consultant.ru/link/?req=doc&amp;base=STR&amp;n=20899&amp;dst=100144" TargetMode="External"/><Relationship Id="rId1031" Type="http://schemas.openxmlformats.org/officeDocument/2006/relationships/image" Target="media/image539.wmf"/><Relationship Id="rId1988" Type="http://schemas.openxmlformats.org/officeDocument/2006/relationships/image" Target="media/image1214.wmf"/><Relationship Id="rId4047" Type="http://schemas.openxmlformats.org/officeDocument/2006/relationships/hyperlink" Target="https://login.consultant.ru/link/?req=doc&amp;base=STR&amp;n=20899&amp;dst=101125" TargetMode="External"/><Relationship Id="rId1848" Type="http://schemas.openxmlformats.org/officeDocument/2006/relationships/image" Target="media/image1076.wmf"/><Relationship Id="rId3063" Type="http://schemas.openxmlformats.org/officeDocument/2006/relationships/image" Target="media/image1936.wmf"/><Relationship Id="rId3270" Type="http://schemas.openxmlformats.org/officeDocument/2006/relationships/image" Target="media/image2115.wmf"/><Relationship Id="rId191" Type="http://schemas.openxmlformats.org/officeDocument/2006/relationships/hyperlink" Target="https://login.consultant.ru/link/?req=doc&amp;base=STR&amp;n=26904" TargetMode="External"/><Relationship Id="rId1708" Type="http://schemas.openxmlformats.org/officeDocument/2006/relationships/image" Target="media/image944.wmf"/><Relationship Id="rId1915" Type="http://schemas.openxmlformats.org/officeDocument/2006/relationships/image" Target="media/image1143.wmf"/><Relationship Id="rId3130" Type="http://schemas.openxmlformats.org/officeDocument/2006/relationships/image" Target="media/image2003.wmf"/><Relationship Id="rId2689" Type="http://schemas.openxmlformats.org/officeDocument/2006/relationships/hyperlink" Target="https://login.consultant.ru/link/?req=doc&amp;base=STR&amp;n=4164" TargetMode="External"/><Relationship Id="rId2896" Type="http://schemas.openxmlformats.org/officeDocument/2006/relationships/image" Target="media/image1773.wmf"/><Relationship Id="rId3947" Type="http://schemas.openxmlformats.org/officeDocument/2006/relationships/image" Target="media/image2750.wmf"/><Relationship Id="rId868" Type="http://schemas.openxmlformats.org/officeDocument/2006/relationships/image" Target="media/image385.wmf"/><Relationship Id="rId1498" Type="http://schemas.openxmlformats.org/officeDocument/2006/relationships/hyperlink" Target="https://login.consultant.ru/link/?req=doc&amp;base=STR&amp;n=26941" TargetMode="External"/><Relationship Id="rId2549" Type="http://schemas.openxmlformats.org/officeDocument/2006/relationships/image" Target="media/image1703.wmf"/><Relationship Id="rId2756" Type="http://schemas.openxmlformats.org/officeDocument/2006/relationships/hyperlink" Target="https://login.consultant.ru/link/?req=doc&amp;base=STR&amp;n=28703" TargetMode="External"/><Relationship Id="rId2963" Type="http://schemas.openxmlformats.org/officeDocument/2006/relationships/image" Target="media/image1836.wmf"/><Relationship Id="rId3807" Type="http://schemas.openxmlformats.org/officeDocument/2006/relationships/hyperlink" Target="https://login.consultant.ru/link/?req=doc&amp;base=STR&amp;n=33799&amp;dst=101547" TargetMode="External"/><Relationship Id="rId728" Type="http://schemas.openxmlformats.org/officeDocument/2006/relationships/hyperlink" Target="https://login.consultant.ru/link/?req=doc&amp;base=STR&amp;n=6278" TargetMode="External"/><Relationship Id="rId935" Type="http://schemas.openxmlformats.org/officeDocument/2006/relationships/image" Target="media/image446.wmf"/><Relationship Id="rId1358" Type="http://schemas.openxmlformats.org/officeDocument/2006/relationships/hyperlink" Target="https://login.consultant.ru/link/?req=doc&amp;base=STR&amp;n=20899&amp;dst=100349" TargetMode="External"/><Relationship Id="rId1565" Type="http://schemas.openxmlformats.org/officeDocument/2006/relationships/hyperlink" Target="https://login.consultant.ru/link/?req=doc&amp;base=STR&amp;n=33799&amp;dst=100913" TargetMode="External"/><Relationship Id="rId1772" Type="http://schemas.openxmlformats.org/officeDocument/2006/relationships/image" Target="media/image1007.wmf"/><Relationship Id="rId2409" Type="http://schemas.openxmlformats.org/officeDocument/2006/relationships/image" Target="media/image1586.wmf"/><Relationship Id="rId2616" Type="http://schemas.openxmlformats.org/officeDocument/2006/relationships/hyperlink" Target="https://login.consultant.ru/link/?req=doc&amp;base=STR&amp;n=33799&amp;dst=101052" TargetMode="External"/><Relationship Id="rId64" Type="http://schemas.openxmlformats.org/officeDocument/2006/relationships/hyperlink" Target="https://login.consultant.ru/link/?req=doc&amp;base=STR&amp;n=33799&amp;dst=100041" TargetMode="External"/><Relationship Id="rId1218" Type="http://schemas.openxmlformats.org/officeDocument/2006/relationships/image" Target="media/image712.wmf"/><Relationship Id="rId1425" Type="http://schemas.openxmlformats.org/officeDocument/2006/relationships/hyperlink" Target="https://login.consultant.ru/link/?req=doc&amp;base=STR&amp;n=26941" TargetMode="External"/><Relationship Id="rId2823" Type="http://schemas.openxmlformats.org/officeDocument/2006/relationships/hyperlink" Target="https://login.consultant.ru/link/?req=doc&amp;base=STR&amp;n=26765&amp;dst=101153" TargetMode="External"/><Relationship Id="rId1632" Type="http://schemas.openxmlformats.org/officeDocument/2006/relationships/image" Target="media/image871.wmf"/><Relationship Id="rId2199" Type="http://schemas.openxmlformats.org/officeDocument/2006/relationships/hyperlink" Target="https://login.consultant.ru/link/?req=doc&amp;base=STR&amp;n=20899&amp;dst=100686" TargetMode="External"/><Relationship Id="rId3597" Type="http://schemas.openxmlformats.org/officeDocument/2006/relationships/hyperlink" Target="https://login.consultant.ru/link/?req=doc&amp;base=STR&amp;n=33799&amp;dst=101529" TargetMode="External"/><Relationship Id="rId3457" Type="http://schemas.openxmlformats.org/officeDocument/2006/relationships/image" Target="media/image2291.wmf"/><Relationship Id="rId3664" Type="http://schemas.openxmlformats.org/officeDocument/2006/relationships/hyperlink" Target="https://login.consultant.ru/link/?req=doc&amp;base=STR&amp;n=20899&amp;dst=100958" TargetMode="External"/><Relationship Id="rId3871" Type="http://schemas.openxmlformats.org/officeDocument/2006/relationships/image" Target="media/image2674.wmf"/><Relationship Id="rId378" Type="http://schemas.openxmlformats.org/officeDocument/2006/relationships/image" Target="media/image64.wmf"/><Relationship Id="rId585" Type="http://schemas.openxmlformats.org/officeDocument/2006/relationships/image" Target="media/image192.wmf"/><Relationship Id="rId792" Type="http://schemas.openxmlformats.org/officeDocument/2006/relationships/hyperlink" Target="https://login.consultant.ru/link/?req=doc&amp;base=STR&amp;n=26765&amp;dst=100576" TargetMode="External"/><Relationship Id="rId2059" Type="http://schemas.openxmlformats.org/officeDocument/2006/relationships/image" Target="media/image1285.wmf"/><Relationship Id="rId2266" Type="http://schemas.openxmlformats.org/officeDocument/2006/relationships/image" Target="media/image1450.wmf"/><Relationship Id="rId2473" Type="http://schemas.openxmlformats.org/officeDocument/2006/relationships/image" Target="media/image1628.wmf"/><Relationship Id="rId2680" Type="http://schemas.openxmlformats.org/officeDocument/2006/relationships/hyperlink" Target="https://login.consultant.ru/link/?req=doc&amp;base=STR&amp;n=33799&amp;dst=101069" TargetMode="External"/><Relationship Id="rId3317" Type="http://schemas.openxmlformats.org/officeDocument/2006/relationships/image" Target="media/image2161.wmf"/><Relationship Id="rId3524" Type="http://schemas.openxmlformats.org/officeDocument/2006/relationships/image" Target="media/image2343.wmf"/><Relationship Id="rId3731" Type="http://schemas.openxmlformats.org/officeDocument/2006/relationships/image" Target="media/image2538.wmf"/><Relationship Id="rId238" Type="http://schemas.openxmlformats.org/officeDocument/2006/relationships/hyperlink" Target="https://login.consultant.ru/link/?req=doc&amp;base=STR&amp;n=26765&amp;dst=100090" TargetMode="External"/><Relationship Id="rId445" Type="http://schemas.openxmlformats.org/officeDocument/2006/relationships/hyperlink" Target="https://login.consultant.ru/link/?req=doc&amp;base=STR&amp;n=33799&amp;dst=100256" TargetMode="External"/><Relationship Id="rId652" Type="http://schemas.openxmlformats.org/officeDocument/2006/relationships/image" Target="media/image242.wmf"/><Relationship Id="rId1075" Type="http://schemas.openxmlformats.org/officeDocument/2006/relationships/image" Target="media/image582.wmf"/><Relationship Id="rId1282" Type="http://schemas.openxmlformats.org/officeDocument/2006/relationships/image" Target="media/image771.wmf"/><Relationship Id="rId2126" Type="http://schemas.openxmlformats.org/officeDocument/2006/relationships/image" Target="media/image1349.wmf"/><Relationship Id="rId2333" Type="http://schemas.openxmlformats.org/officeDocument/2006/relationships/image" Target="media/image1515.wmf"/><Relationship Id="rId2540" Type="http://schemas.openxmlformats.org/officeDocument/2006/relationships/image" Target="media/image1694.wmf"/><Relationship Id="rId305" Type="http://schemas.openxmlformats.org/officeDocument/2006/relationships/hyperlink" Target="https://login.consultant.ru/link/?req=doc&amp;base=STR&amp;n=30035" TargetMode="External"/><Relationship Id="rId512" Type="http://schemas.openxmlformats.org/officeDocument/2006/relationships/image" Target="media/image158.wmf"/><Relationship Id="rId1142" Type="http://schemas.openxmlformats.org/officeDocument/2006/relationships/image" Target="media/image644.wmf"/><Relationship Id="rId2400" Type="http://schemas.openxmlformats.org/officeDocument/2006/relationships/image" Target="media/image1580.wmf"/><Relationship Id="rId1002" Type="http://schemas.openxmlformats.org/officeDocument/2006/relationships/image" Target="media/image511.wmf"/><Relationship Id="rId1959" Type="http://schemas.openxmlformats.org/officeDocument/2006/relationships/image" Target="media/image1186.wmf"/><Relationship Id="rId3174" Type="http://schemas.openxmlformats.org/officeDocument/2006/relationships/image" Target="media/image2021.wmf"/><Relationship Id="rId4018" Type="http://schemas.openxmlformats.org/officeDocument/2006/relationships/image" Target="media/image2809.wmf"/><Relationship Id="rId1819" Type="http://schemas.openxmlformats.org/officeDocument/2006/relationships/hyperlink" Target="https://login.consultant.ru/link/?req=doc&amp;base=STR&amp;n=33799&amp;dst=100926" TargetMode="External"/><Relationship Id="rId3381" Type="http://schemas.openxmlformats.org/officeDocument/2006/relationships/image" Target="media/image2222.wmf"/><Relationship Id="rId2190" Type="http://schemas.openxmlformats.org/officeDocument/2006/relationships/image" Target="media/image1387.wmf"/><Relationship Id="rId3034" Type="http://schemas.openxmlformats.org/officeDocument/2006/relationships/image" Target="media/image1907.wmf"/><Relationship Id="rId3241" Type="http://schemas.openxmlformats.org/officeDocument/2006/relationships/image" Target="media/image2086.wmf"/><Relationship Id="rId162" Type="http://schemas.openxmlformats.org/officeDocument/2006/relationships/image" Target="media/image27.wmf"/><Relationship Id="rId2050" Type="http://schemas.openxmlformats.org/officeDocument/2006/relationships/image" Target="media/image1276.wmf"/><Relationship Id="rId3101" Type="http://schemas.openxmlformats.org/officeDocument/2006/relationships/image" Target="media/image1974.wmf"/><Relationship Id="rId979" Type="http://schemas.openxmlformats.org/officeDocument/2006/relationships/image" Target="media/image489.wmf"/><Relationship Id="rId839" Type="http://schemas.openxmlformats.org/officeDocument/2006/relationships/image" Target="media/image362.wmf"/><Relationship Id="rId1469" Type="http://schemas.openxmlformats.org/officeDocument/2006/relationships/hyperlink" Target="https://login.consultant.ru/link/?req=doc&amp;base=STR&amp;n=26941&amp;dst=100321" TargetMode="External"/><Relationship Id="rId2867" Type="http://schemas.openxmlformats.org/officeDocument/2006/relationships/image" Target="media/image1744.wmf"/><Relationship Id="rId3918" Type="http://schemas.openxmlformats.org/officeDocument/2006/relationships/image" Target="media/image2721.wmf"/><Relationship Id="rId1676" Type="http://schemas.openxmlformats.org/officeDocument/2006/relationships/hyperlink" Target="https://login.consultant.ru/link/?req=doc&amp;base=STR&amp;n=20899&amp;dst=100680" TargetMode="External"/><Relationship Id="rId1883" Type="http://schemas.openxmlformats.org/officeDocument/2006/relationships/image" Target="media/image1111.wmf"/><Relationship Id="rId2727" Type="http://schemas.openxmlformats.org/officeDocument/2006/relationships/hyperlink" Target="https://login.consultant.ru/link/?req=doc&amp;base=STR&amp;n=2804" TargetMode="External"/><Relationship Id="rId2934" Type="http://schemas.openxmlformats.org/officeDocument/2006/relationships/image" Target="media/image1807.wmf"/><Relationship Id="rId906" Type="http://schemas.openxmlformats.org/officeDocument/2006/relationships/image" Target="media/image418.wmf"/><Relationship Id="rId1329" Type="http://schemas.openxmlformats.org/officeDocument/2006/relationships/hyperlink" Target="https://login.consultant.ru/link/?req=doc&amp;base=STR&amp;n=26765&amp;dst=100765" TargetMode="External"/><Relationship Id="rId1536" Type="http://schemas.openxmlformats.org/officeDocument/2006/relationships/hyperlink" Target="https://login.consultant.ru/link/?req=doc&amp;base=STR&amp;n=26941" TargetMode="External"/><Relationship Id="rId1743" Type="http://schemas.openxmlformats.org/officeDocument/2006/relationships/image" Target="media/image978.wmf"/><Relationship Id="rId1950" Type="http://schemas.openxmlformats.org/officeDocument/2006/relationships/image" Target="media/image1177.wmf"/><Relationship Id="rId35" Type="http://schemas.openxmlformats.org/officeDocument/2006/relationships/hyperlink" Target="https://login.consultant.ru/link/?req=doc&amp;base=STR&amp;n=33799&amp;dst=100026" TargetMode="External"/><Relationship Id="rId1603" Type="http://schemas.openxmlformats.org/officeDocument/2006/relationships/image" Target="media/image845.wmf"/><Relationship Id="rId1810" Type="http://schemas.openxmlformats.org/officeDocument/2006/relationships/image" Target="media/image1045.wmf"/><Relationship Id="rId3568" Type="http://schemas.openxmlformats.org/officeDocument/2006/relationships/image" Target="media/image2384.wmf"/><Relationship Id="rId3775" Type="http://schemas.openxmlformats.org/officeDocument/2006/relationships/image" Target="media/image2581.wmf"/><Relationship Id="rId3982" Type="http://schemas.openxmlformats.org/officeDocument/2006/relationships/image" Target="media/image2784.wmf"/><Relationship Id="rId489" Type="http://schemas.openxmlformats.org/officeDocument/2006/relationships/image" Target="media/image143.wmf"/><Relationship Id="rId696" Type="http://schemas.openxmlformats.org/officeDocument/2006/relationships/image" Target="media/image273.wmf"/><Relationship Id="rId2377" Type="http://schemas.openxmlformats.org/officeDocument/2006/relationships/image" Target="media/image1557.wmf"/><Relationship Id="rId2584" Type="http://schemas.openxmlformats.org/officeDocument/2006/relationships/hyperlink" Target="https://login.consultant.ru/link/?req=doc&amp;base=STR&amp;n=20899&amp;dst=100720" TargetMode="External"/><Relationship Id="rId2791" Type="http://schemas.openxmlformats.org/officeDocument/2006/relationships/hyperlink" Target="https://login.consultant.ru/link/?req=doc&amp;base=STR&amp;n=31815" TargetMode="External"/><Relationship Id="rId3428" Type="http://schemas.openxmlformats.org/officeDocument/2006/relationships/image" Target="media/image2264.wmf"/><Relationship Id="rId3635" Type="http://schemas.openxmlformats.org/officeDocument/2006/relationships/image" Target="media/image2446.wmf"/><Relationship Id="rId349" Type="http://schemas.openxmlformats.org/officeDocument/2006/relationships/hyperlink" Target="https://login.consultant.ru/link/?req=doc&amp;base=STR&amp;n=34261" TargetMode="External"/><Relationship Id="rId556" Type="http://schemas.openxmlformats.org/officeDocument/2006/relationships/image" Target="media/image183.wmf"/><Relationship Id="rId763" Type="http://schemas.openxmlformats.org/officeDocument/2006/relationships/hyperlink" Target="https://login.consultant.ru/link/?req=doc&amp;base=STR&amp;n=33799&amp;dst=100332" TargetMode="External"/><Relationship Id="rId1186" Type="http://schemas.openxmlformats.org/officeDocument/2006/relationships/hyperlink" Target="https://login.consultant.ru/link/?req=doc&amp;base=STR&amp;n=28803" TargetMode="External"/><Relationship Id="rId1393" Type="http://schemas.openxmlformats.org/officeDocument/2006/relationships/hyperlink" Target="https://login.consultant.ru/link/?req=doc&amp;base=STR&amp;n=26765&amp;dst=100859" TargetMode="External"/><Relationship Id="rId2237" Type="http://schemas.openxmlformats.org/officeDocument/2006/relationships/image" Target="media/image1421.wmf"/><Relationship Id="rId2444" Type="http://schemas.openxmlformats.org/officeDocument/2006/relationships/image" Target="media/image1605.wmf"/><Relationship Id="rId3842" Type="http://schemas.openxmlformats.org/officeDocument/2006/relationships/image" Target="media/image2645.wmf"/><Relationship Id="rId209" Type="http://schemas.openxmlformats.org/officeDocument/2006/relationships/hyperlink" Target="https://login.consultant.ru/link/?req=doc&amp;base=STR&amp;n=33799&amp;dst=100159" TargetMode="External"/><Relationship Id="rId416" Type="http://schemas.openxmlformats.org/officeDocument/2006/relationships/image" Target="media/image92.wmf"/><Relationship Id="rId970" Type="http://schemas.openxmlformats.org/officeDocument/2006/relationships/image" Target="media/image481.wmf"/><Relationship Id="rId1046" Type="http://schemas.openxmlformats.org/officeDocument/2006/relationships/image" Target="media/image554.wmf"/><Relationship Id="rId1253" Type="http://schemas.openxmlformats.org/officeDocument/2006/relationships/image" Target="media/image746.wmf"/><Relationship Id="rId2651" Type="http://schemas.openxmlformats.org/officeDocument/2006/relationships/hyperlink" Target="https://login.consultant.ru/link/?req=doc&amp;base=STR&amp;n=18818" TargetMode="External"/><Relationship Id="rId3702" Type="http://schemas.openxmlformats.org/officeDocument/2006/relationships/image" Target="media/image2509.wmf"/><Relationship Id="rId623" Type="http://schemas.openxmlformats.org/officeDocument/2006/relationships/image" Target="media/image215.wmf"/><Relationship Id="rId830" Type="http://schemas.openxmlformats.org/officeDocument/2006/relationships/image" Target="media/image353.wmf"/><Relationship Id="rId1460" Type="http://schemas.openxmlformats.org/officeDocument/2006/relationships/hyperlink" Target="https://login.consultant.ru/link/?req=doc&amp;base=STR&amp;n=26941" TargetMode="External"/><Relationship Id="rId2304" Type="http://schemas.openxmlformats.org/officeDocument/2006/relationships/image" Target="media/image1486.wmf"/><Relationship Id="rId2511" Type="http://schemas.openxmlformats.org/officeDocument/2006/relationships/hyperlink" Target="https://login.consultant.ru/link/?req=doc&amp;base=STR&amp;n=33799&amp;dst=101044" TargetMode="External"/><Relationship Id="rId1113" Type="http://schemas.openxmlformats.org/officeDocument/2006/relationships/image" Target="media/image618.wmf"/><Relationship Id="rId1320" Type="http://schemas.openxmlformats.org/officeDocument/2006/relationships/hyperlink" Target="https://login.consultant.ru/link/?req=doc&amp;base=STR&amp;n=20899&amp;dst=100329" TargetMode="External"/><Relationship Id="rId3078" Type="http://schemas.openxmlformats.org/officeDocument/2006/relationships/image" Target="media/image1951.wmf"/><Relationship Id="rId3285" Type="http://schemas.openxmlformats.org/officeDocument/2006/relationships/image" Target="media/image2130.wmf"/><Relationship Id="rId3492" Type="http://schemas.openxmlformats.org/officeDocument/2006/relationships/image" Target="media/image2315.wmf"/><Relationship Id="rId2094" Type="http://schemas.openxmlformats.org/officeDocument/2006/relationships/image" Target="media/image1318.wmf"/><Relationship Id="rId3145" Type="http://schemas.openxmlformats.org/officeDocument/2006/relationships/hyperlink" Target="https://login.consultant.ru/link/?req=doc&amp;base=STR&amp;n=28703" TargetMode="External"/><Relationship Id="rId3352" Type="http://schemas.openxmlformats.org/officeDocument/2006/relationships/image" Target="media/image2193.wmf"/><Relationship Id="rId273" Type="http://schemas.openxmlformats.org/officeDocument/2006/relationships/hyperlink" Target="https://login.consultant.ru/link/?req=doc&amp;base=STR&amp;n=26765&amp;dst=100100" TargetMode="External"/><Relationship Id="rId480" Type="http://schemas.openxmlformats.org/officeDocument/2006/relationships/image" Target="media/image135.wmf"/><Relationship Id="rId2161" Type="http://schemas.openxmlformats.org/officeDocument/2006/relationships/hyperlink" Target="https://login.consultant.ru/link/?req=doc&amp;base=STR&amp;n=28669" TargetMode="External"/><Relationship Id="rId3005" Type="http://schemas.openxmlformats.org/officeDocument/2006/relationships/image" Target="media/image1878.wmf"/><Relationship Id="rId3212" Type="http://schemas.openxmlformats.org/officeDocument/2006/relationships/image" Target="media/image2057.wmf"/><Relationship Id="rId133" Type="http://schemas.openxmlformats.org/officeDocument/2006/relationships/image" Target="media/image14.wmf"/><Relationship Id="rId340" Type="http://schemas.openxmlformats.org/officeDocument/2006/relationships/hyperlink" Target="https://login.consultant.ru/link/?req=doc&amp;base=STR&amp;n=33799&amp;dst=100224" TargetMode="External"/><Relationship Id="rId2021" Type="http://schemas.openxmlformats.org/officeDocument/2006/relationships/image" Target="media/image1247.wmf"/><Relationship Id="rId200" Type="http://schemas.openxmlformats.org/officeDocument/2006/relationships/hyperlink" Target="https://login.consultant.ru/link/?req=doc&amp;base=LAW&amp;n=471634&amp;dst=100044" TargetMode="External"/><Relationship Id="rId2978" Type="http://schemas.openxmlformats.org/officeDocument/2006/relationships/image" Target="media/image1851.wmf"/><Relationship Id="rId1787" Type="http://schemas.openxmlformats.org/officeDocument/2006/relationships/image" Target="media/image1022.wmf"/><Relationship Id="rId1994" Type="http://schemas.openxmlformats.org/officeDocument/2006/relationships/image" Target="media/image1220.wmf"/><Relationship Id="rId2838" Type="http://schemas.openxmlformats.org/officeDocument/2006/relationships/hyperlink" Target="https://login.consultant.ru/link/?req=doc&amp;base=STR&amp;n=26765&amp;dst=101153" TargetMode="External"/><Relationship Id="rId79" Type="http://schemas.openxmlformats.org/officeDocument/2006/relationships/hyperlink" Target="https://login.consultant.ru/link/?req=doc&amp;base=STR&amp;n=33799&amp;dst=100045" TargetMode="External"/><Relationship Id="rId1647" Type="http://schemas.openxmlformats.org/officeDocument/2006/relationships/image" Target="media/image886.wmf"/><Relationship Id="rId1854" Type="http://schemas.openxmlformats.org/officeDocument/2006/relationships/image" Target="media/image1082.wmf"/><Relationship Id="rId2905" Type="http://schemas.openxmlformats.org/officeDocument/2006/relationships/hyperlink" Target="https://login.consultant.ru/link/?req=doc&amp;base=STR&amp;n=20899&amp;dst=100773" TargetMode="External"/><Relationship Id="rId4053" Type="http://schemas.openxmlformats.org/officeDocument/2006/relationships/hyperlink" Target="https://login.consultant.ru/link/?req=doc&amp;base=STR&amp;n=33799&amp;dst=101985" TargetMode="External"/><Relationship Id="rId1507" Type="http://schemas.openxmlformats.org/officeDocument/2006/relationships/image" Target="media/image802.wmf"/><Relationship Id="rId1714" Type="http://schemas.openxmlformats.org/officeDocument/2006/relationships/image" Target="media/image950.wmf"/><Relationship Id="rId1921" Type="http://schemas.openxmlformats.org/officeDocument/2006/relationships/image" Target="media/image1149.wmf"/><Relationship Id="rId3679" Type="http://schemas.openxmlformats.org/officeDocument/2006/relationships/image" Target="media/image2487.wmf"/><Relationship Id="rId2488" Type="http://schemas.openxmlformats.org/officeDocument/2006/relationships/image" Target="media/image1643.wmf"/><Relationship Id="rId3886" Type="http://schemas.openxmlformats.org/officeDocument/2006/relationships/image" Target="media/image2689.png"/><Relationship Id="rId1297" Type="http://schemas.openxmlformats.org/officeDocument/2006/relationships/image" Target="media/image786.wmf"/><Relationship Id="rId2695" Type="http://schemas.openxmlformats.org/officeDocument/2006/relationships/hyperlink" Target="https://login.consultant.ru/link/?req=doc&amp;base=STR&amp;n=23384" TargetMode="External"/><Relationship Id="rId3539" Type="http://schemas.openxmlformats.org/officeDocument/2006/relationships/image" Target="media/image2356.wmf"/><Relationship Id="rId3746" Type="http://schemas.openxmlformats.org/officeDocument/2006/relationships/image" Target="media/image2553.wmf"/><Relationship Id="rId3953" Type="http://schemas.openxmlformats.org/officeDocument/2006/relationships/image" Target="media/image2756.wmf"/><Relationship Id="rId667" Type="http://schemas.openxmlformats.org/officeDocument/2006/relationships/image" Target="media/image256.wmf"/><Relationship Id="rId874" Type="http://schemas.openxmlformats.org/officeDocument/2006/relationships/image" Target="media/image391.wmf"/><Relationship Id="rId2348" Type="http://schemas.openxmlformats.org/officeDocument/2006/relationships/image" Target="media/image1529.wmf"/><Relationship Id="rId2555" Type="http://schemas.openxmlformats.org/officeDocument/2006/relationships/image" Target="media/image1709.wmf"/><Relationship Id="rId2762" Type="http://schemas.openxmlformats.org/officeDocument/2006/relationships/hyperlink" Target="https://login.consultant.ru/link/?req=doc&amp;base=STR&amp;n=23223" TargetMode="External"/><Relationship Id="rId3606" Type="http://schemas.openxmlformats.org/officeDocument/2006/relationships/hyperlink" Target="https://login.consultant.ru/link/?req=doc&amp;base=STR&amp;n=33799&amp;dst=101529" TargetMode="External"/><Relationship Id="rId3813" Type="http://schemas.openxmlformats.org/officeDocument/2006/relationships/image" Target="media/image2616.wmf"/><Relationship Id="rId527" Type="http://schemas.openxmlformats.org/officeDocument/2006/relationships/image" Target="media/image169.wmf"/><Relationship Id="rId734" Type="http://schemas.openxmlformats.org/officeDocument/2006/relationships/hyperlink" Target="https://login.consultant.ru/link/?req=doc&amp;base=STR&amp;n=20899&amp;dst=100250" TargetMode="External"/><Relationship Id="rId941" Type="http://schemas.openxmlformats.org/officeDocument/2006/relationships/image" Target="media/image452.wmf"/><Relationship Id="rId1157" Type="http://schemas.openxmlformats.org/officeDocument/2006/relationships/image" Target="media/image656.wmf"/><Relationship Id="rId1364" Type="http://schemas.openxmlformats.org/officeDocument/2006/relationships/hyperlink" Target="https://login.consultant.ru/link/?req=doc&amp;base=STR&amp;n=23974" TargetMode="External"/><Relationship Id="rId1571" Type="http://schemas.openxmlformats.org/officeDocument/2006/relationships/image" Target="media/image820.wmf"/><Relationship Id="rId2208" Type="http://schemas.openxmlformats.org/officeDocument/2006/relationships/hyperlink" Target="https://login.consultant.ru/link/?req=doc&amp;base=STR&amp;n=18478" TargetMode="External"/><Relationship Id="rId2415" Type="http://schemas.openxmlformats.org/officeDocument/2006/relationships/hyperlink" Target="https://login.consultant.ru/link/?req=doc&amp;base=STR&amp;n=26765&amp;dst=101107" TargetMode="External"/><Relationship Id="rId2622" Type="http://schemas.openxmlformats.org/officeDocument/2006/relationships/hyperlink" Target="https://login.consultant.ru/link/?req=doc&amp;base=STR&amp;n=29126" TargetMode="External"/><Relationship Id="rId70" Type="http://schemas.openxmlformats.org/officeDocument/2006/relationships/image" Target="media/image2.wmf"/><Relationship Id="rId801" Type="http://schemas.openxmlformats.org/officeDocument/2006/relationships/image" Target="media/image324.wmf"/><Relationship Id="rId1017" Type="http://schemas.openxmlformats.org/officeDocument/2006/relationships/image" Target="media/image526.wmf"/><Relationship Id="rId1224" Type="http://schemas.openxmlformats.org/officeDocument/2006/relationships/image" Target="media/image718.wmf"/><Relationship Id="rId1431" Type="http://schemas.openxmlformats.org/officeDocument/2006/relationships/hyperlink" Target="https://login.consultant.ru/link/?req=doc&amp;base=STR&amp;n=28725" TargetMode="External"/><Relationship Id="rId3189" Type="http://schemas.openxmlformats.org/officeDocument/2006/relationships/image" Target="media/image2034.wmf"/><Relationship Id="rId3396" Type="http://schemas.openxmlformats.org/officeDocument/2006/relationships/hyperlink" Target="https://login.consultant.ru/link/?req=doc&amp;base=STR&amp;n=20899&amp;dst=100950" TargetMode="External"/><Relationship Id="rId3049" Type="http://schemas.openxmlformats.org/officeDocument/2006/relationships/image" Target="media/image1922.wmf"/><Relationship Id="rId3256" Type="http://schemas.openxmlformats.org/officeDocument/2006/relationships/image" Target="media/image2101.wmf"/><Relationship Id="rId3463" Type="http://schemas.openxmlformats.org/officeDocument/2006/relationships/image" Target="media/image2294.wmf"/><Relationship Id="rId177" Type="http://schemas.openxmlformats.org/officeDocument/2006/relationships/hyperlink" Target="https://login.consultant.ru/link/?req=doc&amp;base=STR&amp;n=34159&amp;dst=100006" TargetMode="External"/><Relationship Id="rId384" Type="http://schemas.openxmlformats.org/officeDocument/2006/relationships/image" Target="media/image70.wmf"/><Relationship Id="rId591" Type="http://schemas.openxmlformats.org/officeDocument/2006/relationships/image" Target="media/image196.wmf"/><Relationship Id="rId2065" Type="http://schemas.openxmlformats.org/officeDocument/2006/relationships/image" Target="media/image1291.wmf"/><Relationship Id="rId2272" Type="http://schemas.openxmlformats.org/officeDocument/2006/relationships/image" Target="media/image1456.wmf"/><Relationship Id="rId3116" Type="http://schemas.openxmlformats.org/officeDocument/2006/relationships/image" Target="media/image1989.wmf"/><Relationship Id="rId3670" Type="http://schemas.openxmlformats.org/officeDocument/2006/relationships/image" Target="media/image2479.png"/><Relationship Id="rId244" Type="http://schemas.openxmlformats.org/officeDocument/2006/relationships/hyperlink" Target="https://login.consultant.ru/link/?req=doc&amp;base=STR&amp;n=18302" TargetMode="External"/><Relationship Id="rId1081" Type="http://schemas.openxmlformats.org/officeDocument/2006/relationships/image" Target="media/image588.wmf"/><Relationship Id="rId3323" Type="http://schemas.openxmlformats.org/officeDocument/2006/relationships/image" Target="media/image2167.wmf"/><Relationship Id="rId3530" Type="http://schemas.openxmlformats.org/officeDocument/2006/relationships/hyperlink" Target="https://login.consultant.ru/link/?req=doc&amp;base=STR&amp;n=33799&amp;dst=101522" TargetMode="External"/><Relationship Id="rId451" Type="http://schemas.openxmlformats.org/officeDocument/2006/relationships/image" Target="media/image111.wmf"/><Relationship Id="rId2132" Type="http://schemas.openxmlformats.org/officeDocument/2006/relationships/image" Target="media/image1354.wmf"/><Relationship Id="rId104" Type="http://schemas.openxmlformats.org/officeDocument/2006/relationships/hyperlink" Target="https://login.consultant.ru/link/?req=doc&amp;base=STR&amp;n=33799&amp;dst=100060" TargetMode="External"/><Relationship Id="rId311" Type="http://schemas.openxmlformats.org/officeDocument/2006/relationships/image" Target="media/image35.wmf"/><Relationship Id="rId1898" Type="http://schemas.openxmlformats.org/officeDocument/2006/relationships/image" Target="media/image1126.wmf"/><Relationship Id="rId2949" Type="http://schemas.openxmlformats.org/officeDocument/2006/relationships/image" Target="media/image1822.wmf"/><Relationship Id="rId1758" Type="http://schemas.openxmlformats.org/officeDocument/2006/relationships/image" Target="media/image993.wmf"/><Relationship Id="rId2809" Type="http://schemas.openxmlformats.org/officeDocument/2006/relationships/hyperlink" Target="https://login.consultant.ru/link/?req=doc&amp;base=STR&amp;n=32514" TargetMode="External"/><Relationship Id="rId1965" Type="http://schemas.openxmlformats.org/officeDocument/2006/relationships/image" Target="media/image1192.wmf"/><Relationship Id="rId3180" Type="http://schemas.openxmlformats.org/officeDocument/2006/relationships/image" Target="media/image2025.png"/><Relationship Id="rId4024" Type="http://schemas.openxmlformats.org/officeDocument/2006/relationships/image" Target="media/image2815.wmf"/><Relationship Id="rId1618" Type="http://schemas.openxmlformats.org/officeDocument/2006/relationships/image" Target="media/image857.wmf"/><Relationship Id="rId1825" Type="http://schemas.openxmlformats.org/officeDocument/2006/relationships/hyperlink" Target="https://login.consultant.ru/link/?req=doc&amp;base=STR&amp;n=33799&amp;dst=100926" TargetMode="External"/><Relationship Id="rId3040" Type="http://schemas.openxmlformats.org/officeDocument/2006/relationships/image" Target="media/image1913.wmf"/><Relationship Id="rId3997" Type="http://schemas.openxmlformats.org/officeDocument/2006/relationships/image" Target="media/image2798.wmf"/><Relationship Id="rId2599" Type="http://schemas.openxmlformats.org/officeDocument/2006/relationships/image" Target="media/image1727.wmf"/><Relationship Id="rId3857" Type="http://schemas.openxmlformats.org/officeDocument/2006/relationships/image" Target="media/image2660.wmf"/><Relationship Id="rId778" Type="http://schemas.openxmlformats.org/officeDocument/2006/relationships/image" Target="media/image311.wmf"/><Relationship Id="rId985" Type="http://schemas.openxmlformats.org/officeDocument/2006/relationships/image" Target="media/image495.wmf"/><Relationship Id="rId2459" Type="http://schemas.openxmlformats.org/officeDocument/2006/relationships/image" Target="media/image1616.wmf"/><Relationship Id="rId2666" Type="http://schemas.openxmlformats.org/officeDocument/2006/relationships/hyperlink" Target="https://login.consultant.ru/link/?req=doc&amp;base=STR&amp;n=33799&amp;dst=101066" TargetMode="External"/><Relationship Id="rId2873" Type="http://schemas.openxmlformats.org/officeDocument/2006/relationships/image" Target="media/image1750.wmf"/><Relationship Id="rId3717" Type="http://schemas.openxmlformats.org/officeDocument/2006/relationships/image" Target="media/image2524.wmf"/><Relationship Id="rId3924" Type="http://schemas.openxmlformats.org/officeDocument/2006/relationships/image" Target="media/image2727.wmf"/><Relationship Id="rId638" Type="http://schemas.openxmlformats.org/officeDocument/2006/relationships/image" Target="media/image228.wmf"/><Relationship Id="rId845" Type="http://schemas.openxmlformats.org/officeDocument/2006/relationships/image" Target="media/image366.wmf"/><Relationship Id="rId1268" Type="http://schemas.openxmlformats.org/officeDocument/2006/relationships/image" Target="media/image760.wmf"/><Relationship Id="rId1475" Type="http://schemas.openxmlformats.org/officeDocument/2006/relationships/hyperlink" Target="https://login.consultant.ru/link/?req=doc&amp;base=STR&amp;n=26941" TargetMode="External"/><Relationship Id="rId1682" Type="http://schemas.openxmlformats.org/officeDocument/2006/relationships/image" Target="media/image919.wmf"/><Relationship Id="rId2319" Type="http://schemas.openxmlformats.org/officeDocument/2006/relationships/image" Target="media/image1501.wmf"/><Relationship Id="rId2526" Type="http://schemas.openxmlformats.org/officeDocument/2006/relationships/image" Target="media/image1680.wmf"/><Relationship Id="rId2733" Type="http://schemas.openxmlformats.org/officeDocument/2006/relationships/hyperlink" Target="https://login.consultant.ru/link/?req=doc&amp;base=STR&amp;n=21847" TargetMode="External"/><Relationship Id="rId705" Type="http://schemas.openxmlformats.org/officeDocument/2006/relationships/image" Target="media/image278.wmf"/><Relationship Id="rId1128" Type="http://schemas.openxmlformats.org/officeDocument/2006/relationships/image" Target="media/image633.wmf"/><Relationship Id="rId1335" Type="http://schemas.openxmlformats.org/officeDocument/2006/relationships/hyperlink" Target="https://login.consultant.ru/link/?req=doc&amp;base=STR&amp;n=26765&amp;dst=100774" TargetMode="External"/><Relationship Id="rId1542" Type="http://schemas.openxmlformats.org/officeDocument/2006/relationships/hyperlink" Target="https://login.consultant.ru/link/?req=doc&amp;base=STR&amp;n=26941" TargetMode="External"/><Relationship Id="rId2940" Type="http://schemas.openxmlformats.org/officeDocument/2006/relationships/image" Target="media/image1813.wmf"/><Relationship Id="rId912" Type="http://schemas.openxmlformats.org/officeDocument/2006/relationships/image" Target="media/image424.wmf"/><Relationship Id="rId2800" Type="http://schemas.openxmlformats.org/officeDocument/2006/relationships/hyperlink" Target="https://login.consultant.ru/link/?req=doc&amp;base=STR&amp;n=28515" TargetMode="External"/><Relationship Id="rId41" Type="http://schemas.openxmlformats.org/officeDocument/2006/relationships/hyperlink" Target="https://login.consultant.ru/link/?req=doc&amp;base=STR&amp;n=33799&amp;dst=100030" TargetMode="External"/><Relationship Id="rId1402" Type="http://schemas.openxmlformats.org/officeDocument/2006/relationships/hyperlink" Target="https://login.consultant.ru/link/?req=doc&amp;base=STR&amp;n=20899&amp;dst=100363" TargetMode="External"/><Relationship Id="rId288" Type="http://schemas.openxmlformats.org/officeDocument/2006/relationships/hyperlink" Target="https://login.consultant.ru/link/?req=doc&amp;base=STR&amp;n=20899&amp;dst=100093" TargetMode="External"/><Relationship Id="rId3367" Type="http://schemas.openxmlformats.org/officeDocument/2006/relationships/image" Target="media/image2208.wmf"/><Relationship Id="rId3574" Type="http://schemas.openxmlformats.org/officeDocument/2006/relationships/image" Target="media/image2390.wmf"/><Relationship Id="rId3781" Type="http://schemas.openxmlformats.org/officeDocument/2006/relationships/image" Target="media/image2587.wmf"/><Relationship Id="rId495" Type="http://schemas.openxmlformats.org/officeDocument/2006/relationships/image" Target="media/image146.wmf"/><Relationship Id="rId2176" Type="http://schemas.openxmlformats.org/officeDocument/2006/relationships/image" Target="media/image1373.wmf"/><Relationship Id="rId2383" Type="http://schemas.openxmlformats.org/officeDocument/2006/relationships/image" Target="media/image1563.wmf"/><Relationship Id="rId2590" Type="http://schemas.openxmlformats.org/officeDocument/2006/relationships/hyperlink" Target="https://login.consultant.ru/link/?req=doc&amp;base=STR&amp;n=28803" TargetMode="External"/><Relationship Id="rId3227" Type="http://schemas.openxmlformats.org/officeDocument/2006/relationships/image" Target="media/image2072.wmf"/><Relationship Id="rId3434" Type="http://schemas.openxmlformats.org/officeDocument/2006/relationships/image" Target="media/image2270.wmf"/><Relationship Id="rId3641" Type="http://schemas.openxmlformats.org/officeDocument/2006/relationships/hyperlink" Target="https://login.consultant.ru/link/?req=doc&amp;base=STR&amp;n=33799&amp;dst=101537" TargetMode="External"/><Relationship Id="rId148" Type="http://schemas.openxmlformats.org/officeDocument/2006/relationships/hyperlink" Target="https://login.consultant.ru/link/?req=doc&amp;base=STR&amp;n=24881&amp;dst=100037" TargetMode="External"/><Relationship Id="rId355" Type="http://schemas.openxmlformats.org/officeDocument/2006/relationships/image" Target="media/image43.wmf"/><Relationship Id="rId562" Type="http://schemas.openxmlformats.org/officeDocument/2006/relationships/image" Target="media/image185.wmf"/><Relationship Id="rId1192" Type="http://schemas.openxmlformats.org/officeDocument/2006/relationships/image" Target="media/image687.wmf"/><Relationship Id="rId2036" Type="http://schemas.openxmlformats.org/officeDocument/2006/relationships/image" Target="media/image1262.wmf"/><Relationship Id="rId2243" Type="http://schemas.openxmlformats.org/officeDocument/2006/relationships/image" Target="media/image1427.wmf"/><Relationship Id="rId2450" Type="http://schemas.openxmlformats.org/officeDocument/2006/relationships/image" Target="media/image1610.wmf"/><Relationship Id="rId3501" Type="http://schemas.openxmlformats.org/officeDocument/2006/relationships/image" Target="media/image2322.wmf"/><Relationship Id="rId215" Type="http://schemas.openxmlformats.org/officeDocument/2006/relationships/hyperlink" Target="https://login.consultant.ru/link/?req=doc&amp;base=STR&amp;n=29176" TargetMode="External"/><Relationship Id="rId422" Type="http://schemas.openxmlformats.org/officeDocument/2006/relationships/image" Target="media/image98.wmf"/><Relationship Id="rId1052" Type="http://schemas.openxmlformats.org/officeDocument/2006/relationships/image" Target="media/image560.wmf"/><Relationship Id="rId2103" Type="http://schemas.openxmlformats.org/officeDocument/2006/relationships/image" Target="media/image1326.wmf"/><Relationship Id="rId2310" Type="http://schemas.openxmlformats.org/officeDocument/2006/relationships/image" Target="media/image1492.wmf"/><Relationship Id="rId1869" Type="http://schemas.openxmlformats.org/officeDocument/2006/relationships/image" Target="media/image1097.wmf"/><Relationship Id="rId3084" Type="http://schemas.openxmlformats.org/officeDocument/2006/relationships/image" Target="media/image1957.wmf"/><Relationship Id="rId3291" Type="http://schemas.openxmlformats.org/officeDocument/2006/relationships/image" Target="media/image2136.wmf"/><Relationship Id="rId1729" Type="http://schemas.openxmlformats.org/officeDocument/2006/relationships/image" Target="media/image965.wmf"/><Relationship Id="rId1936" Type="http://schemas.openxmlformats.org/officeDocument/2006/relationships/image" Target="media/image1164.wmf"/><Relationship Id="rId3151" Type="http://schemas.openxmlformats.org/officeDocument/2006/relationships/hyperlink" Target="https://login.consultant.ru/link/?req=doc&amp;base=STR&amp;n=34159&amp;dst=100037" TargetMode="External"/><Relationship Id="rId3011" Type="http://schemas.openxmlformats.org/officeDocument/2006/relationships/image" Target="media/image1884.wmf"/><Relationship Id="rId3968" Type="http://schemas.openxmlformats.org/officeDocument/2006/relationships/image" Target="media/image2771.wmf"/><Relationship Id="rId5" Type="http://schemas.openxmlformats.org/officeDocument/2006/relationships/hyperlink" Target="https://www.consultant.ru" TargetMode="External"/><Relationship Id="rId889" Type="http://schemas.openxmlformats.org/officeDocument/2006/relationships/image" Target="media/image406.wmf"/><Relationship Id="rId2777" Type="http://schemas.openxmlformats.org/officeDocument/2006/relationships/hyperlink" Target="https://login.consultant.ru/link/?req=doc&amp;base=STR&amp;n=29048" TargetMode="External"/><Relationship Id="rId749" Type="http://schemas.openxmlformats.org/officeDocument/2006/relationships/hyperlink" Target="https://login.consultant.ru/link/?req=doc&amp;base=STR&amp;n=20899&amp;dst=100290" TargetMode="External"/><Relationship Id="rId1379" Type="http://schemas.openxmlformats.org/officeDocument/2006/relationships/hyperlink" Target="https://login.consultant.ru/link/?req=doc&amp;base=STR&amp;n=26765&amp;dst=100837" TargetMode="External"/><Relationship Id="rId1586" Type="http://schemas.openxmlformats.org/officeDocument/2006/relationships/image" Target="media/image828.wmf"/><Relationship Id="rId2984" Type="http://schemas.openxmlformats.org/officeDocument/2006/relationships/image" Target="media/image1857.wmf"/><Relationship Id="rId3828" Type="http://schemas.openxmlformats.org/officeDocument/2006/relationships/image" Target="media/image2631.wmf"/><Relationship Id="rId609" Type="http://schemas.openxmlformats.org/officeDocument/2006/relationships/hyperlink" Target="https://login.consultant.ru/link/?req=doc&amp;base=STR&amp;n=20899&amp;dst=100183" TargetMode="External"/><Relationship Id="rId956" Type="http://schemas.openxmlformats.org/officeDocument/2006/relationships/image" Target="media/image467.wmf"/><Relationship Id="rId1239" Type="http://schemas.openxmlformats.org/officeDocument/2006/relationships/image" Target="media/image732.wmf"/><Relationship Id="rId1793" Type="http://schemas.openxmlformats.org/officeDocument/2006/relationships/image" Target="media/image1028.wmf"/><Relationship Id="rId2637" Type="http://schemas.openxmlformats.org/officeDocument/2006/relationships/hyperlink" Target="https://login.consultant.ru/link/?req=doc&amp;base=STR&amp;n=18833" TargetMode="External"/><Relationship Id="rId2844" Type="http://schemas.openxmlformats.org/officeDocument/2006/relationships/hyperlink" Target="https://login.consultant.ru/link/?req=doc&amp;base=STR&amp;n=26765&amp;dst=101153" TargetMode="External"/><Relationship Id="rId85" Type="http://schemas.openxmlformats.org/officeDocument/2006/relationships/hyperlink" Target="https://login.consultant.ru/link/?req=doc&amp;base=STR&amp;n=33799&amp;dst=100054" TargetMode="External"/><Relationship Id="rId816" Type="http://schemas.openxmlformats.org/officeDocument/2006/relationships/image" Target="media/image339.wmf"/><Relationship Id="rId1446" Type="http://schemas.openxmlformats.org/officeDocument/2006/relationships/hyperlink" Target="https://login.consultant.ru/link/?req=doc&amp;base=STR&amp;n=26941" TargetMode="External"/><Relationship Id="rId1653" Type="http://schemas.openxmlformats.org/officeDocument/2006/relationships/image" Target="media/image892.wmf"/><Relationship Id="rId1860" Type="http://schemas.openxmlformats.org/officeDocument/2006/relationships/image" Target="media/image1088.wmf"/><Relationship Id="rId2704" Type="http://schemas.openxmlformats.org/officeDocument/2006/relationships/hyperlink" Target="https://login.consultant.ru/link/?req=doc&amp;base=STR&amp;n=2666" TargetMode="External"/><Relationship Id="rId2911" Type="http://schemas.openxmlformats.org/officeDocument/2006/relationships/image" Target="media/image1784.wmf"/><Relationship Id="rId1306" Type="http://schemas.openxmlformats.org/officeDocument/2006/relationships/hyperlink" Target="https://login.consultant.ru/link/?req=doc&amp;base=STR&amp;n=26765&amp;dst=100679" TargetMode="External"/><Relationship Id="rId1513" Type="http://schemas.openxmlformats.org/officeDocument/2006/relationships/hyperlink" Target="https://login.consultant.ru/link/?req=doc&amp;base=STR&amp;n=28725" TargetMode="External"/><Relationship Id="rId1720" Type="http://schemas.openxmlformats.org/officeDocument/2006/relationships/image" Target="media/image956.wmf"/><Relationship Id="rId12" Type="http://schemas.openxmlformats.org/officeDocument/2006/relationships/hyperlink" Target="https://login.consultant.ru/link/?req=doc&amp;base=STR&amp;n=26765&amp;dst=100009" TargetMode="External"/><Relationship Id="rId3478" Type="http://schemas.openxmlformats.org/officeDocument/2006/relationships/image" Target="media/image2301.wmf"/><Relationship Id="rId3685" Type="http://schemas.openxmlformats.org/officeDocument/2006/relationships/image" Target="media/image2493.wmf"/><Relationship Id="rId3892" Type="http://schemas.openxmlformats.org/officeDocument/2006/relationships/image" Target="media/image2695.wmf"/><Relationship Id="rId399" Type="http://schemas.openxmlformats.org/officeDocument/2006/relationships/image" Target="media/image76.wmf"/><Relationship Id="rId2287" Type="http://schemas.openxmlformats.org/officeDocument/2006/relationships/image" Target="media/image1471.wmf"/><Relationship Id="rId2494" Type="http://schemas.openxmlformats.org/officeDocument/2006/relationships/image" Target="media/image1649.wmf"/><Relationship Id="rId3338" Type="http://schemas.openxmlformats.org/officeDocument/2006/relationships/image" Target="media/image2180.wmf"/><Relationship Id="rId3545" Type="http://schemas.openxmlformats.org/officeDocument/2006/relationships/image" Target="media/image2361.wmf"/><Relationship Id="rId3752" Type="http://schemas.openxmlformats.org/officeDocument/2006/relationships/image" Target="media/image2558.wmf"/><Relationship Id="rId259" Type="http://schemas.openxmlformats.org/officeDocument/2006/relationships/hyperlink" Target="https://login.consultant.ru/link/?req=doc&amp;base=STR&amp;n=29132" TargetMode="External"/><Relationship Id="rId466" Type="http://schemas.openxmlformats.org/officeDocument/2006/relationships/image" Target="media/image123.wmf"/><Relationship Id="rId673" Type="http://schemas.openxmlformats.org/officeDocument/2006/relationships/hyperlink" Target="https://login.consultant.ru/link/?req=doc&amp;base=STR&amp;n=30822" TargetMode="External"/><Relationship Id="rId880" Type="http://schemas.openxmlformats.org/officeDocument/2006/relationships/image" Target="media/image397.wmf"/><Relationship Id="rId1096" Type="http://schemas.openxmlformats.org/officeDocument/2006/relationships/image" Target="media/image603.wmf"/><Relationship Id="rId2147" Type="http://schemas.openxmlformats.org/officeDocument/2006/relationships/hyperlink" Target="https://login.consultant.ru/link/?req=doc&amp;base=STR&amp;n=33799&amp;dst=100947" TargetMode="External"/><Relationship Id="rId2354" Type="http://schemas.openxmlformats.org/officeDocument/2006/relationships/image" Target="media/image1535.wmf"/><Relationship Id="rId2561" Type="http://schemas.openxmlformats.org/officeDocument/2006/relationships/image" Target="media/image1715.wmf"/><Relationship Id="rId3405" Type="http://schemas.openxmlformats.org/officeDocument/2006/relationships/image" Target="media/image2242.wmf"/><Relationship Id="rId119" Type="http://schemas.openxmlformats.org/officeDocument/2006/relationships/hyperlink" Target="https://login.consultant.ru/link/?req=doc&amp;base=STR&amp;n=20899&amp;dst=100043" TargetMode="External"/><Relationship Id="rId326" Type="http://schemas.openxmlformats.org/officeDocument/2006/relationships/hyperlink" Target="https://login.consultant.ru/link/?req=doc&amp;base=STR&amp;n=29048" TargetMode="External"/><Relationship Id="rId533" Type="http://schemas.openxmlformats.org/officeDocument/2006/relationships/hyperlink" Target="https://login.consultant.ru/link/?req=doc&amp;base=STR&amp;n=30822" TargetMode="External"/><Relationship Id="rId1163" Type="http://schemas.openxmlformats.org/officeDocument/2006/relationships/image" Target="media/image662.wmf"/><Relationship Id="rId1370" Type="http://schemas.openxmlformats.org/officeDocument/2006/relationships/image" Target="media/image791.wmf"/><Relationship Id="rId2007" Type="http://schemas.openxmlformats.org/officeDocument/2006/relationships/image" Target="media/image1233.wmf"/><Relationship Id="rId2214" Type="http://schemas.openxmlformats.org/officeDocument/2006/relationships/hyperlink" Target="https://login.consultant.ru/link/?req=doc&amp;base=STR&amp;n=20899&amp;dst=100694" TargetMode="External"/><Relationship Id="rId3612" Type="http://schemas.openxmlformats.org/officeDocument/2006/relationships/image" Target="media/image2426.wmf"/><Relationship Id="rId740" Type="http://schemas.openxmlformats.org/officeDocument/2006/relationships/hyperlink" Target="https://login.consultant.ru/link/?req=doc&amp;base=STR&amp;n=29308" TargetMode="External"/><Relationship Id="rId1023" Type="http://schemas.openxmlformats.org/officeDocument/2006/relationships/image" Target="media/image532.wmf"/><Relationship Id="rId2421" Type="http://schemas.openxmlformats.org/officeDocument/2006/relationships/hyperlink" Target="https://login.consultant.ru/link/?req=doc&amp;base=STR&amp;n=21534" TargetMode="External"/><Relationship Id="rId600" Type="http://schemas.openxmlformats.org/officeDocument/2006/relationships/image" Target="media/image205.wmf"/><Relationship Id="rId1230" Type="http://schemas.openxmlformats.org/officeDocument/2006/relationships/image" Target="media/image724.wmf"/><Relationship Id="rId3195" Type="http://schemas.openxmlformats.org/officeDocument/2006/relationships/image" Target="media/image2040.wmf"/><Relationship Id="rId4039" Type="http://schemas.openxmlformats.org/officeDocument/2006/relationships/image" Target="media/image2829.png"/><Relationship Id="rId3055" Type="http://schemas.openxmlformats.org/officeDocument/2006/relationships/image" Target="media/image1928.wmf"/><Relationship Id="rId3262" Type="http://schemas.openxmlformats.org/officeDocument/2006/relationships/image" Target="media/image2107.wmf"/><Relationship Id="rId183" Type="http://schemas.openxmlformats.org/officeDocument/2006/relationships/hyperlink" Target="https://login.consultant.ru/link/?req=doc&amp;base=STR&amp;n=6816" TargetMode="External"/><Relationship Id="rId390" Type="http://schemas.openxmlformats.org/officeDocument/2006/relationships/hyperlink" Target="https://login.consultant.ru/link/?req=doc&amp;base=STR&amp;n=24591" TargetMode="External"/><Relationship Id="rId1907" Type="http://schemas.openxmlformats.org/officeDocument/2006/relationships/image" Target="media/image1135.wmf"/><Relationship Id="rId2071" Type="http://schemas.openxmlformats.org/officeDocument/2006/relationships/image" Target="media/image1297.wmf"/><Relationship Id="rId3122" Type="http://schemas.openxmlformats.org/officeDocument/2006/relationships/image" Target="media/image1995.wmf"/><Relationship Id="rId250" Type="http://schemas.openxmlformats.org/officeDocument/2006/relationships/hyperlink" Target="https://login.consultant.ru/link/?req=doc&amp;base=STR&amp;n=20899&amp;dst=100082" TargetMode="External"/><Relationship Id="rId110" Type="http://schemas.openxmlformats.org/officeDocument/2006/relationships/hyperlink" Target="https://login.consultant.ru/link/?req=doc&amp;base=STR&amp;n=26904" TargetMode="External"/><Relationship Id="rId2888" Type="http://schemas.openxmlformats.org/officeDocument/2006/relationships/image" Target="media/image1765.wmf"/><Relationship Id="rId3939" Type="http://schemas.openxmlformats.org/officeDocument/2006/relationships/image" Target="media/image2742.wmf"/><Relationship Id="rId1697" Type="http://schemas.openxmlformats.org/officeDocument/2006/relationships/image" Target="media/image933.wmf"/><Relationship Id="rId2748" Type="http://schemas.openxmlformats.org/officeDocument/2006/relationships/hyperlink" Target="https://login.consultant.ru/link/?req=doc&amp;base=STR&amp;n=21162" TargetMode="External"/><Relationship Id="rId2955" Type="http://schemas.openxmlformats.org/officeDocument/2006/relationships/image" Target="media/image1828.wmf"/><Relationship Id="rId927" Type="http://schemas.openxmlformats.org/officeDocument/2006/relationships/image" Target="media/image438.wmf"/><Relationship Id="rId1557" Type="http://schemas.openxmlformats.org/officeDocument/2006/relationships/image" Target="media/image813.wmf"/><Relationship Id="rId1764" Type="http://schemas.openxmlformats.org/officeDocument/2006/relationships/image" Target="media/image999.wmf"/><Relationship Id="rId1971" Type="http://schemas.openxmlformats.org/officeDocument/2006/relationships/image" Target="media/image1198.wmf"/><Relationship Id="rId2608" Type="http://schemas.openxmlformats.org/officeDocument/2006/relationships/hyperlink" Target="https://login.consultant.ru/link/?req=doc&amp;base=STR&amp;n=31260" TargetMode="External"/><Relationship Id="rId2815" Type="http://schemas.openxmlformats.org/officeDocument/2006/relationships/hyperlink" Target="https://login.consultant.ru/link/?req=doc&amp;base=STR&amp;n=29908" TargetMode="External"/><Relationship Id="rId56" Type="http://schemas.openxmlformats.org/officeDocument/2006/relationships/hyperlink" Target="https://login.consultant.ru/link/?req=doc&amp;base=STR&amp;n=19618" TargetMode="External"/><Relationship Id="rId1417" Type="http://schemas.openxmlformats.org/officeDocument/2006/relationships/hyperlink" Target="https://login.consultant.ru/link/?req=doc&amp;base=STR&amp;n=33799&amp;dst=100563" TargetMode="External"/><Relationship Id="rId1624" Type="http://schemas.openxmlformats.org/officeDocument/2006/relationships/image" Target="media/image863.wmf"/><Relationship Id="rId1831" Type="http://schemas.openxmlformats.org/officeDocument/2006/relationships/hyperlink" Target="https://login.consultant.ru/link/?req=doc&amp;base=STR&amp;n=33799&amp;dst=100926" TargetMode="External"/><Relationship Id="rId4030" Type="http://schemas.openxmlformats.org/officeDocument/2006/relationships/image" Target="media/image2821.wmf"/><Relationship Id="rId3589" Type="http://schemas.openxmlformats.org/officeDocument/2006/relationships/image" Target="media/image2405.wmf"/><Relationship Id="rId3796" Type="http://schemas.openxmlformats.org/officeDocument/2006/relationships/image" Target="media/image2602.wmf"/><Relationship Id="rId2398" Type="http://schemas.openxmlformats.org/officeDocument/2006/relationships/image" Target="media/image1578.wmf"/><Relationship Id="rId3449" Type="http://schemas.openxmlformats.org/officeDocument/2006/relationships/image" Target="media/image2283.wmf"/><Relationship Id="rId577" Type="http://schemas.openxmlformats.org/officeDocument/2006/relationships/hyperlink" Target="https://login.consultant.ru/link/?req=doc&amp;base=STR&amp;n=20899&amp;dst=100173" TargetMode="External"/><Relationship Id="rId2258" Type="http://schemas.openxmlformats.org/officeDocument/2006/relationships/image" Target="media/image1442.wmf"/><Relationship Id="rId3656" Type="http://schemas.openxmlformats.org/officeDocument/2006/relationships/image" Target="media/image2466.wmf"/><Relationship Id="rId3863" Type="http://schemas.openxmlformats.org/officeDocument/2006/relationships/image" Target="media/image2666.wmf"/><Relationship Id="rId784" Type="http://schemas.openxmlformats.org/officeDocument/2006/relationships/image" Target="media/image317.wmf"/><Relationship Id="rId991" Type="http://schemas.openxmlformats.org/officeDocument/2006/relationships/image" Target="media/image500.wmf"/><Relationship Id="rId1067" Type="http://schemas.openxmlformats.org/officeDocument/2006/relationships/image" Target="media/image574.wmf"/><Relationship Id="rId2465" Type="http://schemas.openxmlformats.org/officeDocument/2006/relationships/image" Target="media/image1621.wmf"/><Relationship Id="rId2672" Type="http://schemas.openxmlformats.org/officeDocument/2006/relationships/hyperlink" Target="https://login.consultant.ru/link/?req=doc&amp;base=STR&amp;n=20024" TargetMode="External"/><Relationship Id="rId3309" Type="http://schemas.openxmlformats.org/officeDocument/2006/relationships/hyperlink" Target="https://login.consultant.ru/link/?req=doc&amp;base=STR&amp;n=20899&amp;dst=100940" TargetMode="External"/><Relationship Id="rId3516" Type="http://schemas.openxmlformats.org/officeDocument/2006/relationships/image" Target="media/image2336.wmf"/><Relationship Id="rId3723" Type="http://schemas.openxmlformats.org/officeDocument/2006/relationships/image" Target="media/image2530.wmf"/><Relationship Id="rId3930" Type="http://schemas.openxmlformats.org/officeDocument/2006/relationships/image" Target="media/image2733.wmf"/><Relationship Id="rId437" Type="http://schemas.openxmlformats.org/officeDocument/2006/relationships/hyperlink" Target="https://login.consultant.ru/link/?req=doc&amp;base=STR&amp;n=33799&amp;dst=100240" TargetMode="External"/><Relationship Id="rId644" Type="http://schemas.openxmlformats.org/officeDocument/2006/relationships/image" Target="media/image234.wmf"/><Relationship Id="rId851" Type="http://schemas.openxmlformats.org/officeDocument/2006/relationships/image" Target="media/image372.wmf"/><Relationship Id="rId1274" Type="http://schemas.openxmlformats.org/officeDocument/2006/relationships/image" Target="media/image766.wmf"/><Relationship Id="rId1481" Type="http://schemas.openxmlformats.org/officeDocument/2006/relationships/hyperlink" Target="https://login.consultant.ru/link/?req=doc&amp;base=STR&amp;n=28725&amp;dst=100543" TargetMode="External"/><Relationship Id="rId2118" Type="http://schemas.openxmlformats.org/officeDocument/2006/relationships/image" Target="media/image1341.wmf"/><Relationship Id="rId2325" Type="http://schemas.openxmlformats.org/officeDocument/2006/relationships/image" Target="media/image1507.wmf"/><Relationship Id="rId2532" Type="http://schemas.openxmlformats.org/officeDocument/2006/relationships/image" Target="media/image1686.wmf"/><Relationship Id="rId504" Type="http://schemas.openxmlformats.org/officeDocument/2006/relationships/image" Target="media/image154.wmf"/><Relationship Id="rId711" Type="http://schemas.openxmlformats.org/officeDocument/2006/relationships/hyperlink" Target="https://login.consultant.ru/link/?req=doc&amp;base=STR&amp;n=21162" TargetMode="External"/><Relationship Id="rId1134" Type="http://schemas.openxmlformats.org/officeDocument/2006/relationships/image" Target="media/image638.wmf"/><Relationship Id="rId1341" Type="http://schemas.openxmlformats.org/officeDocument/2006/relationships/hyperlink" Target="https://login.consultant.ru/link/?req=doc&amp;base=STR&amp;n=20899&amp;dst=100338" TargetMode="External"/><Relationship Id="rId1201" Type="http://schemas.openxmlformats.org/officeDocument/2006/relationships/image" Target="media/image695.wmf"/><Relationship Id="rId3099" Type="http://schemas.openxmlformats.org/officeDocument/2006/relationships/image" Target="media/image1972.wmf"/><Relationship Id="rId3166" Type="http://schemas.openxmlformats.org/officeDocument/2006/relationships/hyperlink" Target="https://login.consultant.ru/link/?req=doc&amp;base=STR&amp;n=14203" TargetMode="External"/><Relationship Id="rId3373" Type="http://schemas.openxmlformats.org/officeDocument/2006/relationships/image" Target="media/image2214.wmf"/><Relationship Id="rId3580" Type="http://schemas.openxmlformats.org/officeDocument/2006/relationships/image" Target="media/image2396.wmf"/><Relationship Id="rId294" Type="http://schemas.openxmlformats.org/officeDocument/2006/relationships/hyperlink" Target="https://login.consultant.ru/link/?req=doc&amp;base=STR&amp;n=26765&amp;dst=100113" TargetMode="External"/><Relationship Id="rId2182" Type="http://schemas.openxmlformats.org/officeDocument/2006/relationships/image" Target="media/image1379.wmf"/><Relationship Id="rId3026" Type="http://schemas.openxmlformats.org/officeDocument/2006/relationships/image" Target="media/image1899.wmf"/><Relationship Id="rId3233" Type="http://schemas.openxmlformats.org/officeDocument/2006/relationships/image" Target="media/image2078.wmf"/><Relationship Id="rId154" Type="http://schemas.openxmlformats.org/officeDocument/2006/relationships/hyperlink" Target="https://login.consultant.ru/link/?req=doc&amp;base=STR&amp;n=26765&amp;dst=100059" TargetMode="External"/><Relationship Id="rId361" Type="http://schemas.openxmlformats.org/officeDocument/2006/relationships/image" Target="media/image48.wmf"/><Relationship Id="rId2042" Type="http://schemas.openxmlformats.org/officeDocument/2006/relationships/image" Target="media/image1268.wmf"/><Relationship Id="rId3440" Type="http://schemas.openxmlformats.org/officeDocument/2006/relationships/image" Target="media/image2274.wmf"/><Relationship Id="rId2999" Type="http://schemas.openxmlformats.org/officeDocument/2006/relationships/image" Target="media/image1872.wmf"/><Relationship Id="rId3300" Type="http://schemas.openxmlformats.org/officeDocument/2006/relationships/image" Target="media/image2145.wmf"/><Relationship Id="rId221" Type="http://schemas.openxmlformats.org/officeDocument/2006/relationships/hyperlink" Target="https://login.consultant.ru/link/?req=doc&amp;base=LAW&amp;n=471634&amp;dst=100044" TargetMode="External"/><Relationship Id="rId2859" Type="http://schemas.openxmlformats.org/officeDocument/2006/relationships/hyperlink" Target="https://login.consultant.ru/link/?req=doc&amp;base=STR&amp;n=26765&amp;dst=101153" TargetMode="External"/><Relationship Id="rId1668" Type="http://schemas.openxmlformats.org/officeDocument/2006/relationships/image" Target="media/image907.wmf"/><Relationship Id="rId1875" Type="http://schemas.openxmlformats.org/officeDocument/2006/relationships/image" Target="media/image1103.wmf"/><Relationship Id="rId2719" Type="http://schemas.openxmlformats.org/officeDocument/2006/relationships/hyperlink" Target="https://login.consultant.ru/link/?req=doc&amp;base=STR&amp;n=4954" TargetMode="External"/><Relationship Id="rId1528" Type="http://schemas.openxmlformats.org/officeDocument/2006/relationships/hyperlink" Target="https://login.consultant.ru/link/?req=doc&amp;base=STR&amp;n=33799&amp;dst=100787" TargetMode="External"/><Relationship Id="rId2926" Type="http://schemas.openxmlformats.org/officeDocument/2006/relationships/image" Target="media/image1799.wmf"/><Relationship Id="rId3090" Type="http://schemas.openxmlformats.org/officeDocument/2006/relationships/image" Target="media/image1963.wmf"/><Relationship Id="rId1735" Type="http://schemas.openxmlformats.org/officeDocument/2006/relationships/image" Target="media/image970.wmf"/><Relationship Id="rId1942" Type="http://schemas.openxmlformats.org/officeDocument/2006/relationships/image" Target="media/image1169.wmf"/><Relationship Id="rId4001" Type="http://schemas.openxmlformats.org/officeDocument/2006/relationships/image" Target="media/image2801.wmf"/><Relationship Id="rId27" Type="http://schemas.openxmlformats.org/officeDocument/2006/relationships/hyperlink" Target="https://login.consultant.ru/link/?req=doc&amp;base=STR&amp;n=24881&amp;dst=100028" TargetMode="External"/><Relationship Id="rId1802" Type="http://schemas.openxmlformats.org/officeDocument/2006/relationships/image" Target="media/image1037.wmf"/><Relationship Id="rId3767" Type="http://schemas.openxmlformats.org/officeDocument/2006/relationships/image" Target="media/image2573.wmf"/><Relationship Id="rId3974" Type="http://schemas.openxmlformats.org/officeDocument/2006/relationships/image" Target="media/image2777.wmf"/><Relationship Id="rId688" Type="http://schemas.openxmlformats.org/officeDocument/2006/relationships/hyperlink" Target="https://login.consultant.ru/link/?req=doc&amp;base=STR&amp;n=24881&amp;dst=100047" TargetMode="External"/><Relationship Id="rId895" Type="http://schemas.openxmlformats.org/officeDocument/2006/relationships/hyperlink" Target="https://login.consultant.ru/link/?req=doc&amp;base=STR&amp;n=26765&amp;dst=100590" TargetMode="External"/><Relationship Id="rId2369" Type="http://schemas.openxmlformats.org/officeDocument/2006/relationships/image" Target="media/image1549.wmf"/><Relationship Id="rId2576" Type="http://schemas.openxmlformats.org/officeDocument/2006/relationships/hyperlink" Target="https://login.consultant.ru/link/?req=doc&amp;base=STR&amp;n=20899&amp;dst=100715" TargetMode="External"/><Relationship Id="rId2783" Type="http://schemas.openxmlformats.org/officeDocument/2006/relationships/hyperlink" Target="https://login.consultant.ru/link/?req=doc&amp;base=STR&amp;n=34261" TargetMode="External"/><Relationship Id="rId2990" Type="http://schemas.openxmlformats.org/officeDocument/2006/relationships/image" Target="media/image1863.wmf"/><Relationship Id="rId3627" Type="http://schemas.openxmlformats.org/officeDocument/2006/relationships/image" Target="media/image2440.wmf"/><Relationship Id="rId3834" Type="http://schemas.openxmlformats.org/officeDocument/2006/relationships/image" Target="media/image2637.wmf"/><Relationship Id="rId548" Type="http://schemas.openxmlformats.org/officeDocument/2006/relationships/hyperlink" Target="https://login.consultant.ru/link/?req=doc&amp;base=STR&amp;n=20899&amp;dst=100162" TargetMode="External"/><Relationship Id="rId755" Type="http://schemas.openxmlformats.org/officeDocument/2006/relationships/image" Target="media/image290.wmf"/><Relationship Id="rId962" Type="http://schemas.openxmlformats.org/officeDocument/2006/relationships/image" Target="media/image473.png"/><Relationship Id="rId1178" Type="http://schemas.openxmlformats.org/officeDocument/2006/relationships/image" Target="media/image677.wmf"/><Relationship Id="rId1385" Type="http://schemas.openxmlformats.org/officeDocument/2006/relationships/hyperlink" Target="https://login.consultant.ru/link/?req=doc&amp;base=STR&amp;n=33799&amp;dst=100553" TargetMode="External"/><Relationship Id="rId1592" Type="http://schemas.openxmlformats.org/officeDocument/2006/relationships/image" Target="media/image834.wmf"/><Relationship Id="rId2229" Type="http://schemas.openxmlformats.org/officeDocument/2006/relationships/image" Target="media/image1413.wmf"/><Relationship Id="rId2436" Type="http://schemas.openxmlformats.org/officeDocument/2006/relationships/image" Target="media/image1597.wmf"/><Relationship Id="rId2643" Type="http://schemas.openxmlformats.org/officeDocument/2006/relationships/hyperlink" Target="https://login.consultant.ru/link/?req=doc&amp;base=STR&amp;n=20895" TargetMode="External"/><Relationship Id="rId2850" Type="http://schemas.openxmlformats.org/officeDocument/2006/relationships/hyperlink" Target="https://login.consultant.ru/link/?req=doc&amp;base=STR&amp;n=33799&amp;dst=101333" TargetMode="External"/><Relationship Id="rId91" Type="http://schemas.openxmlformats.org/officeDocument/2006/relationships/hyperlink" Target="https://login.consultant.ru/link/?req=doc&amp;base=STR&amp;n=2804" TargetMode="External"/><Relationship Id="rId408" Type="http://schemas.openxmlformats.org/officeDocument/2006/relationships/image" Target="media/image84.wmf"/><Relationship Id="rId615" Type="http://schemas.openxmlformats.org/officeDocument/2006/relationships/hyperlink" Target="https://login.consultant.ru/link/?req=doc&amp;base=STR&amp;n=33292" TargetMode="External"/><Relationship Id="rId822" Type="http://schemas.openxmlformats.org/officeDocument/2006/relationships/image" Target="media/image345.wmf"/><Relationship Id="rId1038" Type="http://schemas.openxmlformats.org/officeDocument/2006/relationships/image" Target="media/image546.wmf"/><Relationship Id="rId1245" Type="http://schemas.openxmlformats.org/officeDocument/2006/relationships/image" Target="media/image738.wmf"/><Relationship Id="rId1452" Type="http://schemas.openxmlformats.org/officeDocument/2006/relationships/hyperlink" Target="https://login.consultant.ru/link/?req=doc&amp;base=STR&amp;n=26941" TargetMode="External"/><Relationship Id="rId2503" Type="http://schemas.openxmlformats.org/officeDocument/2006/relationships/image" Target="media/image1658.wmf"/><Relationship Id="rId3901" Type="http://schemas.openxmlformats.org/officeDocument/2006/relationships/image" Target="media/image2704.wmf"/><Relationship Id="rId1105" Type="http://schemas.openxmlformats.org/officeDocument/2006/relationships/image" Target="media/image610.wmf"/><Relationship Id="rId1312" Type="http://schemas.openxmlformats.org/officeDocument/2006/relationships/hyperlink" Target="https://login.consultant.ru/link/?req=doc&amp;base=STR&amp;n=33799&amp;dst=100533" TargetMode="External"/><Relationship Id="rId2710" Type="http://schemas.openxmlformats.org/officeDocument/2006/relationships/hyperlink" Target="https://login.consultant.ru/link/?req=doc&amp;base=STR&amp;n=20787" TargetMode="External"/><Relationship Id="rId3277" Type="http://schemas.openxmlformats.org/officeDocument/2006/relationships/image" Target="media/image2122.wmf"/><Relationship Id="rId198" Type="http://schemas.openxmlformats.org/officeDocument/2006/relationships/hyperlink" Target="https://login.consultant.ru/link/?req=doc&amp;base=STR&amp;n=31817" TargetMode="External"/><Relationship Id="rId2086" Type="http://schemas.openxmlformats.org/officeDocument/2006/relationships/image" Target="media/image1312.wmf"/><Relationship Id="rId3484" Type="http://schemas.openxmlformats.org/officeDocument/2006/relationships/image" Target="media/image2307.wmf"/><Relationship Id="rId3691" Type="http://schemas.openxmlformats.org/officeDocument/2006/relationships/image" Target="media/image2499.wmf"/><Relationship Id="rId2293" Type="http://schemas.openxmlformats.org/officeDocument/2006/relationships/image" Target="media/image1477.png"/><Relationship Id="rId3137" Type="http://schemas.openxmlformats.org/officeDocument/2006/relationships/image" Target="media/image2010.wmf"/><Relationship Id="rId3344" Type="http://schemas.openxmlformats.org/officeDocument/2006/relationships/hyperlink" Target="https://login.consultant.ru/link/?req=doc&amp;base=STR&amp;n=26765&amp;dst=101397" TargetMode="External"/><Relationship Id="rId3551" Type="http://schemas.openxmlformats.org/officeDocument/2006/relationships/image" Target="media/image2367.wmf"/><Relationship Id="rId265" Type="http://schemas.openxmlformats.org/officeDocument/2006/relationships/hyperlink" Target="https://login.consultant.ru/link/?req=doc&amp;base=STR&amp;n=33799&amp;dst=100185" TargetMode="External"/><Relationship Id="rId472" Type="http://schemas.openxmlformats.org/officeDocument/2006/relationships/image" Target="media/image128.wmf"/><Relationship Id="rId2153" Type="http://schemas.openxmlformats.org/officeDocument/2006/relationships/hyperlink" Target="https://login.consultant.ru/link/?req=doc&amp;base=STR&amp;n=33799&amp;dst=100950" TargetMode="External"/><Relationship Id="rId2360" Type="http://schemas.openxmlformats.org/officeDocument/2006/relationships/image" Target="media/image1540.wmf"/><Relationship Id="rId3204" Type="http://schemas.openxmlformats.org/officeDocument/2006/relationships/image" Target="media/image2049.wmf"/><Relationship Id="rId3411" Type="http://schemas.openxmlformats.org/officeDocument/2006/relationships/hyperlink" Target="https://login.consultant.ru/link/?req=doc&amp;base=STR&amp;n=33799&amp;dst=101505" TargetMode="External"/><Relationship Id="rId125" Type="http://schemas.openxmlformats.org/officeDocument/2006/relationships/hyperlink" Target="https://login.consultant.ru/link/?req=doc&amp;base=STR&amp;n=33799&amp;dst=100115" TargetMode="External"/><Relationship Id="rId332" Type="http://schemas.openxmlformats.org/officeDocument/2006/relationships/hyperlink" Target="https://login.consultant.ru/link/?req=doc&amp;base=STR&amp;n=33799&amp;dst=100215" TargetMode="External"/><Relationship Id="rId2013" Type="http://schemas.openxmlformats.org/officeDocument/2006/relationships/image" Target="media/image1239.wmf"/><Relationship Id="rId2220" Type="http://schemas.openxmlformats.org/officeDocument/2006/relationships/image" Target="media/image1404.wmf"/><Relationship Id="rId1779" Type="http://schemas.openxmlformats.org/officeDocument/2006/relationships/image" Target="media/image1014.wmf"/><Relationship Id="rId1986" Type="http://schemas.openxmlformats.org/officeDocument/2006/relationships/image" Target="media/image1212.wmf"/><Relationship Id="rId4045" Type="http://schemas.openxmlformats.org/officeDocument/2006/relationships/hyperlink" Target="https://login.consultant.ru/link/?req=doc&amp;base=STR&amp;n=20899&amp;dst=101125" TargetMode="External"/><Relationship Id="rId1639" Type="http://schemas.openxmlformats.org/officeDocument/2006/relationships/image" Target="media/image878.wmf"/><Relationship Id="rId1846" Type="http://schemas.openxmlformats.org/officeDocument/2006/relationships/image" Target="media/image1074.wmf"/><Relationship Id="rId3061" Type="http://schemas.openxmlformats.org/officeDocument/2006/relationships/image" Target="media/image1934.wmf"/><Relationship Id="rId1706" Type="http://schemas.openxmlformats.org/officeDocument/2006/relationships/image" Target="media/image942.wmf"/><Relationship Id="rId1913" Type="http://schemas.openxmlformats.org/officeDocument/2006/relationships/image" Target="media/image1141.wmf"/><Relationship Id="rId3878" Type="http://schemas.openxmlformats.org/officeDocument/2006/relationships/image" Target="media/image2681.wmf"/><Relationship Id="rId799" Type="http://schemas.openxmlformats.org/officeDocument/2006/relationships/image" Target="media/image322.wmf"/><Relationship Id="rId2687" Type="http://schemas.openxmlformats.org/officeDocument/2006/relationships/hyperlink" Target="https://login.consultant.ru/link/?req=doc&amp;base=STR&amp;n=7546" TargetMode="External"/><Relationship Id="rId2894" Type="http://schemas.openxmlformats.org/officeDocument/2006/relationships/image" Target="media/image1771.wmf"/><Relationship Id="rId3738" Type="http://schemas.openxmlformats.org/officeDocument/2006/relationships/image" Target="media/image2545.wmf"/><Relationship Id="rId659" Type="http://schemas.openxmlformats.org/officeDocument/2006/relationships/image" Target="media/image248.wmf"/><Relationship Id="rId866" Type="http://schemas.openxmlformats.org/officeDocument/2006/relationships/image" Target="media/image383.wmf"/><Relationship Id="rId1289" Type="http://schemas.openxmlformats.org/officeDocument/2006/relationships/image" Target="media/image778.wmf"/><Relationship Id="rId1496" Type="http://schemas.openxmlformats.org/officeDocument/2006/relationships/hyperlink" Target="https://login.consultant.ru/link/?req=doc&amp;base=STR&amp;n=28725" TargetMode="External"/><Relationship Id="rId2547" Type="http://schemas.openxmlformats.org/officeDocument/2006/relationships/image" Target="media/image1701.wmf"/><Relationship Id="rId3945" Type="http://schemas.openxmlformats.org/officeDocument/2006/relationships/image" Target="media/image2748.wmf"/><Relationship Id="rId519" Type="http://schemas.openxmlformats.org/officeDocument/2006/relationships/hyperlink" Target="https://login.consultant.ru/link/?req=doc&amp;base=STR&amp;n=20899&amp;dst=100160" TargetMode="External"/><Relationship Id="rId1149" Type="http://schemas.openxmlformats.org/officeDocument/2006/relationships/hyperlink" Target="https://login.consultant.ru/link/?req=doc&amp;base=STR&amp;n=20899&amp;dst=100305" TargetMode="External"/><Relationship Id="rId1356" Type="http://schemas.openxmlformats.org/officeDocument/2006/relationships/hyperlink" Target="https://login.consultant.ru/link/?req=doc&amp;base=STR&amp;n=33799&amp;dst=100538" TargetMode="External"/><Relationship Id="rId2754" Type="http://schemas.openxmlformats.org/officeDocument/2006/relationships/hyperlink" Target="https://login.consultant.ru/link/?req=doc&amp;base=STR&amp;n=24117" TargetMode="External"/><Relationship Id="rId2961" Type="http://schemas.openxmlformats.org/officeDocument/2006/relationships/image" Target="media/image1834.wmf"/><Relationship Id="rId3805" Type="http://schemas.openxmlformats.org/officeDocument/2006/relationships/image" Target="media/image2609.wmf"/><Relationship Id="rId726" Type="http://schemas.openxmlformats.org/officeDocument/2006/relationships/hyperlink" Target="https://login.consultant.ru/link/?req=doc&amp;base=STR&amp;n=26765&amp;dst=100559" TargetMode="External"/><Relationship Id="rId933" Type="http://schemas.openxmlformats.org/officeDocument/2006/relationships/image" Target="media/image444.wmf"/><Relationship Id="rId1009" Type="http://schemas.openxmlformats.org/officeDocument/2006/relationships/image" Target="media/image518.wmf"/><Relationship Id="rId1563" Type="http://schemas.openxmlformats.org/officeDocument/2006/relationships/image" Target="media/image816.wmf"/><Relationship Id="rId1770" Type="http://schemas.openxmlformats.org/officeDocument/2006/relationships/image" Target="media/image1005.wmf"/><Relationship Id="rId2407" Type="http://schemas.openxmlformats.org/officeDocument/2006/relationships/hyperlink" Target="https://login.consultant.ru/link/?req=doc&amp;base=STR&amp;n=20899&amp;dst=100697" TargetMode="External"/><Relationship Id="rId2614" Type="http://schemas.openxmlformats.org/officeDocument/2006/relationships/hyperlink" Target="https://login.consultant.ru/link/?req=doc&amp;base=STR&amp;n=20899&amp;dst=100727" TargetMode="External"/><Relationship Id="rId2821" Type="http://schemas.openxmlformats.org/officeDocument/2006/relationships/hyperlink" Target="https://login.consultant.ru/link/?req=doc&amp;base=STR&amp;n=20899&amp;dst=100761" TargetMode="External"/><Relationship Id="rId62" Type="http://schemas.openxmlformats.org/officeDocument/2006/relationships/hyperlink" Target="https://login.consultant.ru/link/?req=doc&amp;base=STR&amp;n=28923" TargetMode="External"/><Relationship Id="rId1216" Type="http://schemas.openxmlformats.org/officeDocument/2006/relationships/image" Target="media/image710.wmf"/><Relationship Id="rId1423" Type="http://schemas.openxmlformats.org/officeDocument/2006/relationships/hyperlink" Target="https://login.consultant.ru/link/?req=doc&amp;base=STR&amp;n=34159&amp;dst=100012" TargetMode="External"/><Relationship Id="rId1630" Type="http://schemas.openxmlformats.org/officeDocument/2006/relationships/image" Target="media/image869.wmf"/><Relationship Id="rId3388" Type="http://schemas.openxmlformats.org/officeDocument/2006/relationships/hyperlink" Target="https://login.consultant.ru/link/?req=doc&amp;base=STR&amp;n=20899&amp;dst=100944" TargetMode="External"/><Relationship Id="rId3595" Type="http://schemas.openxmlformats.org/officeDocument/2006/relationships/image" Target="media/image2411.wmf"/><Relationship Id="rId2197" Type="http://schemas.openxmlformats.org/officeDocument/2006/relationships/image" Target="media/image1393.wmf"/><Relationship Id="rId3248" Type="http://schemas.openxmlformats.org/officeDocument/2006/relationships/image" Target="media/image2093.wmf"/><Relationship Id="rId3455" Type="http://schemas.openxmlformats.org/officeDocument/2006/relationships/image" Target="media/image2289.wmf"/><Relationship Id="rId3662" Type="http://schemas.openxmlformats.org/officeDocument/2006/relationships/image" Target="media/image2472.wmf"/><Relationship Id="rId169" Type="http://schemas.openxmlformats.org/officeDocument/2006/relationships/hyperlink" Target="https://login.consultant.ru/link/?req=doc&amp;base=STR&amp;n=33799&amp;dst=100126" TargetMode="External"/><Relationship Id="rId376" Type="http://schemas.openxmlformats.org/officeDocument/2006/relationships/hyperlink" Target="https://login.consultant.ru/link/?req=doc&amp;base=STR&amp;n=20899&amp;dst=100127" TargetMode="External"/><Relationship Id="rId583" Type="http://schemas.openxmlformats.org/officeDocument/2006/relationships/hyperlink" Target="https://login.consultant.ru/link/?req=doc&amp;base=STR&amp;n=20899&amp;dst=100179" TargetMode="External"/><Relationship Id="rId790" Type="http://schemas.openxmlformats.org/officeDocument/2006/relationships/hyperlink" Target="https://login.consultant.ru/link/?req=doc&amp;base=STR&amp;n=26765&amp;dst=100572" TargetMode="External"/><Relationship Id="rId2057" Type="http://schemas.openxmlformats.org/officeDocument/2006/relationships/image" Target="media/image1283.png"/><Relationship Id="rId2264" Type="http://schemas.openxmlformats.org/officeDocument/2006/relationships/image" Target="media/image1448.wmf"/><Relationship Id="rId2471" Type="http://schemas.openxmlformats.org/officeDocument/2006/relationships/image" Target="media/image1626.wmf"/><Relationship Id="rId3108" Type="http://schemas.openxmlformats.org/officeDocument/2006/relationships/image" Target="media/image1981.wmf"/><Relationship Id="rId3315" Type="http://schemas.openxmlformats.org/officeDocument/2006/relationships/image" Target="media/image2159.wmf"/><Relationship Id="rId3522" Type="http://schemas.openxmlformats.org/officeDocument/2006/relationships/image" Target="media/image2341.wmf"/><Relationship Id="rId236" Type="http://schemas.openxmlformats.org/officeDocument/2006/relationships/hyperlink" Target="https://login.consultant.ru/link/?req=doc&amp;base=STR&amp;n=33799&amp;dst=100174" TargetMode="External"/><Relationship Id="rId443" Type="http://schemas.openxmlformats.org/officeDocument/2006/relationships/hyperlink" Target="https://login.consultant.ru/link/?req=doc&amp;base=STR&amp;n=33799&amp;dst=100252" TargetMode="External"/><Relationship Id="rId650" Type="http://schemas.openxmlformats.org/officeDocument/2006/relationships/image" Target="media/image240.wmf"/><Relationship Id="rId1073" Type="http://schemas.openxmlformats.org/officeDocument/2006/relationships/image" Target="media/image580.wmf"/><Relationship Id="rId1280" Type="http://schemas.openxmlformats.org/officeDocument/2006/relationships/image" Target="media/image769.wmf"/><Relationship Id="rId2124" Type="http://schemas.openxmlformats.org/officeDocument/2006/relationships/image" Target="media/image1347.wmf"/><Relationship Id="rId2331" Type="http://schemas.openxmlformats.org/officeDocument/2006/relationships/image" Target="media/image1513.wmf"/><Relationship Id="rId303" Type="http://schemas.openxmlformats.org/officeDocument/2006/relationships/hyperlink" Target="https://login.consultant.ru/link/?req=doc&amp;base=STR&amp;n=20899&amp;dst=100103" TargetMode="External"/><Relationship Id="rId1140" Type="http://schemas.openxmlformats.org/officeDocument/2006/relationships/image" Target="media/image642.wmf"/><Relationship Id="rId510" Type="http://schemas.openxmlformats.org/officeDocument/2006/relationships/hyperlink" Target="https://login.consultant.ru/link/?req=doc&amp;base=STR&amp;n=33799&amp;dst=100264" TargetMode="External"/><Relationship Id="rId1000" Type="http://schemas.openxmlformats.org/officeDocument/2006/relationships/image" Target="media/image509.wmf"/><Relationship Id="rId1957" Type="http://schemas.openxmlformats.org/officeDocument/2006/relationships/image" Target="media/image1184.wmf"/><Relationship Id="rId1817" Type="http://schemas.openxmlformats.org/officeDocument/2006/relationships/image" Target="media/image1051.wmf"/><Relationship Id="rId3172" Type="http://schemas.openxmlformats.org/officeDocument/2006/relationships/hyperlink" Target="https://login.consultant.ru/link/?req=doc&amp;base=STR&amp;n=20899&amp;dst=100783" TargetMode="External"/><Relationship Id="rId4016" Type="http://schemas.openxmlformats.org/officeDocument/2006/relationships/image" Target="media/image2807.wmf"/><Relationship Id="rId3032" Type="http://schemas.openxmlformats.org/officeDocument/2006/relationships/image" Target="media/image1905.wmf"/><Relationship Id="rId160" Type="http://schemas.openxmlformats.org/officeDocument/2006/relationships/image" Target="media/image26.wmf"/><Relationship Id="rId3989" Type="http://schemas.openxmlformats.org/officeDocument/2006/relationships/image" Target="media/image2790.wmf"/><Relationship Id="rId2798" Type="http://schemas.openxmlformats.org/officeDocument/2006/relationships/hyperlink" Target="https://login.consultant.ru/link/?req=doc&amp;base=STR&amp;n=33000" TargetMode="External"/><Relationship Id="rId3849" Type="http://schemas.openxmlformats.org/officeDocument/2006/relationships/image" Target="media/image2652.wmf"/><Relationship Id="rId977" Type="http://schemas.openxmlformats.org/officeDocument/2006/relationships/image" Target="media/image487.wmf"/><Relationship Id="rId2658" Type="http://schemas.openxmlformats.org/officeDocument/2006/relationships/image" Target="media/image1737.wmf"/><Relationship Id="rId2865" Type="http://schemas.openxmlformats.org/officeDocument/2006/relationships/image" Target="media/image1742.wmf"/><Relationship Id="rId3709" Type="http://schemas.openxmlformats.org/officeDocument/2006/relationships/image" Target="media/image2516.wmf"/><Relationship Id="rId3916" Type="http://schemas.openxmlformats.org/officeDocument/2006/relationships/image" Target="media/image2719.wmf"/><Relationship Id="rId837" Type="http://schemas.openxmlformats.org/officeDocument/2006/relationships/image" Target="media/image360.wmf"/><Relationship Id="rId1467" Type="http://schemas.openxmlformats.org/officeDocument/2006/relationships/hyperlink" Target="https://login.consultant.ru/link/?req=doc&amp;base=STR&amp;n=26941" TargetMode="External"/><Relationship Id="rId1674" Type="http://schemas.openxmlformats.org/officeDocument/2006/relationships/image" Target="media/image913.wmf"/><Relationship Id="rId1881" Type="http://schemas.openxmlformats.org/officeDocument/2006/relationships/image" Target="media/image1109.wmf"/><Relationship Id="rId2518" Type="http://schemas.openxmlformats.org/officeDocument/2006/relationships/image" Target="media/image1672.wmf"/><Relationship Id="rId2725" Type="http://schemas.openxmlformats.org/officeDocument/2006/relationships/hyperlink" Target="https://login.consultant.ru/link/?req=doc&amp;base=STR&amp;n=34159&amp;dst=100027" TargetMode="External"/><Relationship Id="rId2932" Type="http://schemas.openxmlformats.org/officeDocument/2006/relationships/image" Target="media/image1805.wmf"/><Relationship Id="rId904" Type="http://schemas.openxmlformats.org/officeDocument/2006/relationships/image" Target="media/image416.wmf"/><Relationship Id="rId1327" Type="http://schemas.openxmlformats.org/officeDocument/2006/relationships/hyperlink" Target="https://login.consultant.ru/link/?req=doc&amp;base=STR&amp;n=26765&amp;dst=100763" TargetMode="External"/><Relationship Id="rId1534" Type="http://schemas.openxmlformats.org/officeDocument/2006/relationships/hyperlink" Target="https://login.consultant.ru/link/?req=doc&amp;base=STR&amp;n=26941" TargetMode="External"/><Relationship Id="rId1741" Type="http://schemas.openxmlformats.org/officeDocument/2006/relationships/image" Target="media/image976.wmf"/><Relationship Id="rId33" Type="http://schemas.openxmlformats.org/officeDocument/2006/relationships/hyperlink" Target="https://login.consultant.ru/link/?req=doc&amp;base=STR&amp;n=33799&amp;dst=100016" TargetMode="External"/><Relationship Id="rId1601" Type="http://schemas.openxmlformats.org/officeDocument/2006/relationships/image" Target="media/image843.wmf"/><Relationship Id="rId3499" Type="http://schemas.openxmlformats.org/officeDocument/2006/relationships/hyperlink" Target="https://login.consultant.ru/link/?req=doc&amp;base=STR&amp;n=20899&amp;dst=100952" TargetMode="External"/><Relationship Id="rId3359" Type="http://schemas.openxmlformats.org/officeDocument/2006/relationships/image" Target="media/image2200.wmf"/><Relationship Id="rId3566" Type="http://schemas.openxmlformats.org/officeDocument/2006/relationships/image" Target="media/image2382.wmf"/><Relationship Id="rId487" Type="http://schemas.openxmlformats.org/officeDocument/2006/relationships/image" Target="media/image141.wmf"/><Relationship Id="rId694" Type="http://schemas.openxmlformats.org/officeDocument/2006/relationships/image" Target="media/image271.wmf"/><Relationship Id="rId2168" Type="http://schemas.openxmlformats.org/officeDocument/2006/relationships/image" Target="media/image1366.wmf"/><Relationship Id="rId2375" Type="http://schemas.openxmlformats.org/officeDocument/2006/relationships/image" Target="media/image1555.wmf"/><Relationship Id="rId3219" Type="http://schemas.openxmlformats.org/officeDocument/2006/relationships/image" Target="media/image2064.wmf"/><Relationship Id="rId3773" Type="http://schemas.openxmlformats.org/officeDocument/2006/relationships/image" Target="media/image2579.wmf"/><Relationship Id="rId3980" Type="http://schemas.openxmlformats.org/officeDocument/2006/relationships/hyperlink" Target="https://login.consultant.ru/link/?req=doc&amp;base=STR&amp;n=33799&amp;dst=101549" TargetMode="External"/><Relationship Id="rId347" Type="http://schemas.openxmlformats.org/officeDocument/2006/relationships/hyperlink" Target="https://login.consultant.ru/link/?req=doc&amp;base=STR&amp;n=25458" TargetMode="External"/><Relationship Id="rId1184" Type="http://schemas.openxmlformats.org/officeDocument/2006/relationships/hyperlink" Target="https://login.consultant.ru/link/?req=doc&amp;base=STR&amp;n=33799&amp;dst=100529" TargetMode="External"/><Relationship Id="rId2028" Type="http://schemas.openxmlformats.org/officeDocument/2006/relationships/image" Target="media/image1254.wmf"/><Relationship Id="rId2582" Type="http://schemas.openxmlformats.org/officeDocument/2006/relationships/hyperlink" Target="https://login.consultant.ru/link/?req=doc&amp;base=STR&amp;n=31260" TargetMode="External"/><Relationship Id="rId3426" Type="http://schemas.openxmlformats.org/officeDocument/2006/relationships/image" Target="media/image2262.wmf"/><Relationship Id="rId3633" Type="http://schemas.openxmlformats.org/officeDocument/2006/relationships/image" Target="media/image2444.wmf"/><Relationship Id="rId3840" Type="http://schemas.openxmlformats.org/officeDocument/2006/relationships/image" Target="media/image2643.wmf"/><Relationship Id="rId554" Type="http://schemas.openxmlformats.org/officeDocument/2006/relationships/hyperlink" Target="https://login.consultant.ru/link/?req=doc&amp;base=STR&amp;n=20899&amp;dst=100164" TargetMode="External"/><Relationship Id="rId761" Type="http://schemas.openxmlformats.org/officeDocument/2006/relationships/image" Target="media/image296.wmf"/><Relationship Id="rId1391" Type="http://schemas.openxmlformats.org/officeDocument/2006/relationships/hyperlink" Target="https://login.consultant.ru/link/?req=doc&amp;base=STR&amp;n=20899&amp;dst=100360" TargetMode="External"/><Relationship Id="rId2235" Type="http://schemas.openxmlformats.org/officeDocument/2006/relationships/image" Target="media/image1419.wmf"/><Relationship Id="rId2442" Type="http://schemas.openxmlformats.org/officeDocument/2006/relationships/image" Target="media/image1603.wmf"/><Relationship Id="rId3700" Type="http://schemas.openxmlformats.org/officeDocument/2006/relationships/image" Target="media/image2507.wmf"/><Relationship Id="rId207" Type="http://schemas.openxmlformats.org/officeDocument/2006/relationships/hyperlink" Target="https://login.consultant.ru/link/?req=doc&amp;base=STR&amp;n=33799&amp;dst=100149" TargetMode="External"/><Relationship Id="rId414" Type="http://schemas.openxmlformats.org/officeDocument/2006/relationships/image" Target="media/image90.wmf"/><Relationship Id="rId621" Type="http://schemas.openxmlformats.org/officeDocument/2006/relationships/image" Target="media/image213.wmf"/><Relationship Id="rId1044" Type="http://schemas.openxmlformats.org/officeDocument/2006/relationships/image" Target="media/image552.wmf"/><Relationship Id="rId1251" Type="http://schemas.openxmlformats.org/officeDocument/2006/relationships/image" Target="media/image744.wmf"/><Relationship Id="rId2302" Type="http://schemas.openxmlformats.org/officeDocument/2006/relationships/image" Target="media/image1484.wmf"/><Relationship Id="rId1111" Type="http://schemas.openxmlformats.org/officeDocument/2006/relationships/image" Target="media/image616.wmf"/><Relationship Id="rId3076" Type="http://schemas.openxmlformats.org/officeDocument/2006/relationships/image" Target="media/image1949.wmf"/><Relationship Id="rId3283" Type="http://schemas.openxmlformats.org/officeDocument/2006/relationships/image" Target="media/image2128.wmf"/><Relationship Id="rId3490" Type="http://schemas.openxmlformats.org/officeDocument/2006/relationships/image" Target="media/image2313.wmf"/><Relationship Id="rId1928" Type="http://schemas.openxmlformats.org/officeDocument/2006/relationships/image" Target="media/image1156.wmf"/><Relationship Id="rId2092" Type="http://schemas.openxmlformats.org/officeDocument/2006/relationships/image" Target="media/image1316.wmf"/><Relationship Id="rId3143" Type="http://schemas.openxmlformats.org/officeDocument/2006/relationships/image" Target="media/image2015.png"/><Relationship Id="rId3350" Type="http://schemas.openxmlformats.org/officeDocument/2006/relationships/image" Target="media/image2191.wmf"/><Relationship Id="rId271" Type="http://schemas.openxmlformats.org/officeDocument/2006/relationships/hyperlink" Target="https://login.consultant.ru/link/?req=doc&amp;base=STR&amp;n=33799&amp;dst=100187" TargetMode="External"/><Relationship Id="rId3003" Type="http://schemas.openxmlformats.org/officeDocument/2006/relationships/image" Target="media/image1876.wmf"/><Relationship Id="rId131" Type="http://schemas.openxmlformats.org/officeDocument/2006/relationships/image" Target="media/image12.wmf"/><Relationship Id="rId3210" Type="http://schemas.openxmlformats.org/officeDocument/2006/relationships/image" Target="media/image2055.wmf"/><Relationship Id="rId2769" Type="http://schemas.openxmlformats.org/officeDocument/2006/relationships/hyperlink" Target="https://login.consultant.ru/link/?req=doc&amp;base=STR&amp;n=29132" TargetMode="External"/><Relationship Id="rId2976" Type="http://schemas.openxmlformats.org/officeDocument/2006/relationships/image" Target="media/image1849.wmf"/><Relationship Id="rId948" Type="http://schemas.openxmlformats.org/officeDocument/2006/relationships/image" Target="media/image459.wmf"/><Relationship Id="rId1578" Type="http://schemas.openxmlformats.org/officeDocument/2006/relationships/hyperlink" Target="https://login.consultant.ru/link/?req=doc&amp;base=STR&amp;n=33799&amp;dst=100916" TargetMode="External"/><Relationship Id="rId1785" Type="http://schemas.openxmlformats.org/officeDocument/2006/relationships/image" Target="media/image1020.wmf"/><Relationship Id="rId1992" Type="http://schemas.openxmlformats.org/officeDocument/2006/relationships/image" Target="media/image1218.wmf"/><Relationship Id="rId2629" Type="http://schemas.openxmlformats.org/officeDocument/2006/relationships/hyperlink" Target="https://login.consultant.ru/link/?req=doc&amp;base=STR&amp;n=20899&amp;dst=100728" TargetMode="External"/><Relationship Id="rId2836" Type="http://schemas.openxmlformats.org/officeDocument/2006/relationships/hyperlink" Target="https://login.consultant.ru/link/?req=doc&amp;base=STR&amp;n=20899&amp;dst=100769" TargetMode="External"/><Relationship Id="rId77" Type="http://schemas.openxmlformats.org/officeDocument/2006/relationships/hyperlink" Target="https://login.consultant.ru/link/?req=doc&amp;base=STR&amp;n=26016" TargetMode="External"/><Relationship Id="rId808" Type="http://schemas.openxmlformats.org/officeDocument/2006/relationships/image" Target="media/image331.wmf"/><Relationship Id="rId1438" Type="http://schemas.openxmlformats.org/officeDocument/2006/relationships/hyperlink" Target="https://login.consultant.ru/link/?req=doc&amp;base=STR&amp;n=26941" TargetMode="External"/><Relationship Id="rId1645" Type="http://schemas.openxmlformats.org/officeDocument/2006/relationships/image" Target="media/image884.wmf"/><Relationship Id="rId4051" Type="http://schemas.openxmlformats.org/officeDocument/2006/relationships/hyperlink" Target="https://login.consultant.ru/link/?req=doc&amp;base=STR&amp;n=15432" TargetMode="External"/><Relationship Id="rId1852" Type="http://schemas.openxmlformats.org/officeDocument/2006/relationships/image" Target="media/image1080.wmf"/><Relationship Id="rId2903" Type="http://schemas.openxmlformats.org/officeDocument/2006/relationships/hyperlink" Target="https://login.consultant.ru/link/?req=doc&amp;base=STR&amp;n=20899&amp;dst=100772" TargetMode="External"/><Relationship Id="rId1505" Type="http://schemas.openxmlformats.org/officeDocument/2006/relationships/image" Target="media/image800.wmf"/><Relationship Id="rId1712" Type="http://schemas.openxmlformats.org/officeDocument/2006/relationships/image" Target="media/image948.wmf"/><Relationship Id="rId3677" Type="http://schemas.openxmlformats.org/officeDocument/2006/relationships/hyperlink" Target="https://login.consultant.ru/link/?req=doc&amp;base=STR&amp;n=33799&amp;dst=101539" TargetMode="External"/><Relationship Id="rId3884" Type="http://schemas.openxmlformats.org/officeDocument/2006/relationships/image" Target="media/image2687.wmf"/><Relationship Id="rId598" Type="http://schemas.openxmlformats.org/officeDocument/2006/relationships/image" Target="media/image203.wmf"/><Relationship Id="rId2279" Type="http://schemas.openxmlformats.org/officeDocument/2006/relationships/image" Target="media/image1463.wmf"/><Relationship Id="rId2486" Type="http://schemas.openxmlformats.org/officeDocument/2006/relationships/image" Target="media/image1641.wmf"/><Relationship Id="rId2693" Type="http://schemas.openxmlformats.org/officeDocument/2006/relationships/hyperlink" Target="https://login.consultant.ru/link/?req=doc&amp;base=STR&amp;n=21347" TargetMode="External"/><Relationship Id="rId3537" Type="http://schemas.openxmlformats.org/officeDocument/2006/relationships/image" Target="media/image2354.wmf"/><Relationship Id="rId3744" Type="http://schemas.openxmlformats.org/officeDocument/2006/relationships/image" Target="media/image2551.wmf"/><Relationship Id="rId3951" Type="http://schemas.openxmlformats.org/officeDocument/2006/relationships/image" Target="media/image2754.wmf"/><Relationship Id="rId458" Type="http://schemas.openxmlformats.org/officeDocument/2006/relationships/image" Target="media/image116.wmf"/><Relationship Id="rId665" Type="http://schemas.openxmlformats.org/officeDocument/2006/relationships/image" Target="media/image254.wmf"/><Relationship Id="rId872" Type="http://schemas.openxmlformats.org/officeDocument/2006/relationships/image" Target="media/image389.wmf"/><Relationship Id="rId1088" Type="http://schemas.openxmlformats.org/officeDocument/2006/relationships/image" Target="media/image595.wmf"/><Relationship Id="rId1295" Type="http://schemas.openxmlformats.org/officeDocument/2006/relationships/image" Target="media/image784.wmf"/><Relationship Id="rId2139" Type="http://schemas.openxmlformats.org/officeDocument/2006/relationships/hyperlink" Target="https://login.consultant.ru/link/?req=doc&amp;base=STR&amp;n=20899&amp;dst=100682" TargetMode="External"/><Relationship Id="rId2346" Type="http://schemas.openxmlformats.org/officeDocument/2006/relationships/image" Target="media/image1527.wmf"/><Relationship Id="rId2553" Type="http://schemas.openxmlformats.org/officeDocument/2006/relationships/image" Target="media/image1707.wmf"/><Relationship Id="rId2760" Type="http://schemas.openxmlformats.org/officeDocument/2006/relationships/hyperlink" Target="https://login.consultant.ru/link/?req=doc&amp;base=STR&amp;n=13453" TargetMode="External"/><Relationship Id="rId3604" Type="http://schemas.openxmlformats.org/officeDocument/2006/relationships/image" Target="media/image2419.wmf"/><Relationship Id="rId3811" Type="http://schemas.openxmlformats.org/officeDocument/2006/relationships/image" Target="media/image2614.wmf"/><Relationship Id="rId318" Type="http://schemas.openxmlformats.org/officeDocument/2006/relationships/hyperlink" Target="https://login.consultant.ru/link/?req=doc&amp;base=STR&amp;n=33799&amp;dst=100206" TargetMode="External"/><Relationship Id="rId525" Type="http://schemas.openxmlformats.org/officeDocument/2006/relationships/image" Target="media/image167.wmf"/><Relationship Id="rId732" Type="http://schemas.openxmlformats.org/officeDocument/2006/relationships/hyperlink" Target="https://login.consultant.ru/link/?req=doc&amp;base=STR&amp;n=19721" TargetMode="External"/><Relationship Id="rId1155" Type="http://schemas.openxmlformats.org/officeDocument/2006/relationships/image" Target="media/image655.wmf"/><Relationship Id="rId1362" Type="http://schemas.openxmlformats.org/officeDocument/2006/relationships/hyperlink" Target="https://login.consultant.ru/link/?req=doc&amp;base=STR&amp;n=26765&amp;dst=100794" TargetMode="External"/><Relationship Id="rId2206" Type="http://schemas.openxmlformats.org/officeDocument/2006/relationships/hyperlink" Target="https://login.consultant.ru/link/?req=doc&amp;base=STR&amp;n=20899&amp;dst=100687" TargetMode="External"/><Relationship Id="rId2413" Type="http://schemas.openxmlformats.org/officeDocument/2006/relationships/hyperlink" Target="https://login.consultant.ru/link/?req=doc&amp;base=STR&amp;n=20899&amp;dst=100699" TargetMode="External"/><Relationship Id="rId2620" Type="http://schemas.openxmlformats.org/officeDocument/2006/relationships/hyperlink" Target="https://login.consultant.ru/link/?req=doc&amp;base=STR&amp;n=29126" TargetMode="External"/><Relationship Id="rId1015" Type="http://schemas.openxmlformats.org/officeDocument/2006/relationships/image" Target="media/image524.wmf"/><Relationship Id="rId1222" Type="http://schemas.openxmlformats.org/officeDocument/2006/relationships/image" Target="media/image716.wmf"/><Relationship Id="rId3187" Type="http://schemas.openxmlformats.org/officeDocument/2006/relationships/image" Target="media/image2032.wmf"/><Relationship Id="rId3394" Type="http://schemas.openxmlformats.org/officeDocument/2006/relationships/image" Target="media/image2232.wmf"/><Relationship Id="rId3047" Type="http://schemas.openxmlformats.org/officeDocument/2006/relationships/image" Target="media/image1920.wmf"/><Relationship Id="rId175" Type="http://schemas.openxmlformats.org/officeDocument/2006/relationships/hyperlink" Target="https://login.consultant.ru/link/?req=doc&amp;base=STR&amp;n=20899&amp;dst=100056" TargetMode="External"/><Relationship Id="rId3254" Type="http://schemas.openxmlformats.org/officeDocument/2006/relationships/image" Target="media/image2099.wmf"/><Relationship Id="rId3461" Type="http://schemas.openxmlformats.org/officeDocument/2006/relationships/image" Target="media/image2292.wmf"/><Relationship Id="rId382" Type="http://schemas.openxmlformats.org/officeDocument/2006/relationships/image" Target="media/image68.wmf"/><Relationship Id="rId2063" Type="http://schemas.openxmlformats.org/officeDocument/2006/relationships/image" Target="media/image1289.wmf"/><Relationship Id="rId2270" Type="http://schemas.openxmlformats.org/officeDocument/2006/relationships/image" Target="media/image1454.wmf"/><Relationship Id="rId3114" Type="http://schemas.openxmlformats.org/officeDocument/2006/relationships/image" Target="media/image1987.wmf"/><Relationship Id="rId3321" Type="http://schemas.openxmlformats.org/officeDocument/2006/relationships/image" Target="media/image2165.wmf"/><Relationship Id="rId242" Type="http://schemas.openxmlformats.org/officeDocument/2006/relationships/hyperlink" Target="https://login.consultant.ru/link/?req=doc&amp;base=STR&amp;n=29120" TargetMode="External"/><Relationship Id="rId2130" Type="http://schemas.openxmlformats.org/officeDocument/2006/relationships/hyperlink" Target="https://login.consultant.ru/link/?req=doc&amp;base=STR&amp;n=33799&amp;dst=100929" TargetMode="External"/><Relationship Id="rId102" Type="http://schemas.openxmlformats.org/officeDocument/2006/relationships/hyperlink" Target="https://login.consultant.ru/link/?req=doc&amp;base=STR&amp;n=33799&amp;dst=100058" TargetMode="External"/><Relationship Id="rId1689" Type="http://schemas.openxmlformats.org/officeDocument/2006/relationships/image" Target="media/image925.wmf"/><Relationship Id="rId1896" Type="http://schemas.openxmlformats.org/officeDocument/2006/relationships/image" Target="media/image1124.wmf"/><Relationship Id="rId2947" Type="http://schemas.openxmlformats.org/officeDocument/2006/relationships/image" Target="media/image1820.wmf"/><Relationship Id="rId919" Type="http://schemas.openxmlformats.org/officeDocument/2006/relationships/image" Target="media/image430.wmf"/><Relationship Id="rId1549" Type="http://schemas.openxmlformats.org/officeDocument/2006/relationships/hyperlink" Target="https://login.consultant.ru/link/?req=doc&amp;base=STR&amp;n=23849" TargetMode="External"/><Relationship Id="rId1756" Type="http://schemas.openxmlformats.org/officeDocument/2006/relationships/image" Target="media/image991.wmf"/><Relationship Id="rId1963" Type="http://schemas.openxmlformats.org/officeDocument/2006/relationships/image" Target="media/image1190.wmf"/><Relationship Id="rId2807" Type="http://schemas.openxmlformats.org/officeDocument/2006/relationships/hyperlink" Target="https://login.consultant.ru/link/?req=doc&amp;base=STR&amp;n=18478" TargetMode="External"/><Relationship Id="rId4022" Type="http://schemas.openxmlformats.org/officeDocument/2006/relationships/image" Target="media/image2813.wmf"/><Relationship Id="rId48" Type="http://schemas.openxmlformats.org/officeDocument/2006/relationships/hyperlink" Target="https://login.consultant.ru/link/?req=doc&amp;base=STR&amp;n=33799&amp;dst=100036" TargetMode="External"/><Relationship Id="rId1409" Type="http://schemas.openxmlformats.org/officeDocument/2006/relationships/hyperlink" Target="https://login.consultant.ru/link/?req=doc&amp;base=STR&amp;n=4954" TargetMode="External"/><Relationship Id="rId1616" Type="http://schemas.openxmlformats.org/officeDocument/2006/relationships/image" Target="media/image855.wmf"/><Relationship Id="rId1823" Type="http://schemas.openxmlformats.org/officeDocument/2006/relationships/image" Target="media/image1055.wmf"/><Relationship Id="rId3788" Type="http://schemas.openxmlformats.org/officeDocument/2006/relationships/image" Target="media/image2594.wmf"/><Relationship Id="rId3995" Type="http://schemas.openxmlformats.org/officeDocument/2006/relationships/image" Target="media/image2796.wmf"/><Relationship Id="rId2597" Type="http://schemas.openxmlformats.org/officeDocument/2006/relationships/image" Target="media/image1725.wmf"/><Relationship Id="rId3648" Type="http://schemas.openxmlformats.org/officeDocument/2006/relationships/image" Target="media/image2458.wmf"/><Relationship Id="rId3855" Type="http://schemas.openxmlformats.org/officeDocument/2006/relationships/image" Target="media/image2658.wmf"/><Relationship Id="rId569" Type="http://schemas.openxmlformats.org/officeDocument/2006/relationships/hyperlink" Target="https://login.consultant.ru/link/?req=doc&amp;base=STR&amp;n=26765&amp;dst=100165" TargetMode="External"/><Relationship Id="rId776" Type="http://schemas.openxmlformats.org/officeDocument/2006/relationships/image" Target="media/image310.wmf"/><Relationship Id="rId983" Type="http://schemas.openxmlformats.org/officeDocument/2006/relationships/image" Target="media/image493.wmf"/><Relationship Id="rId1199" Type="http://schemas.openxmlformats.org/officeDocument/2006/relationships/image" Target="media/image693.wmf"/><Relationship Id="rId2457" Type="http://schemas.openxmlformats.org/officeDocument/2006/relationships/hyperlink" Target="https://login.consultant.ru/link/?req=doc&amp;base=STR&amp;n=33000" TargetMode="External"/><Relationship Id="rId2664" Type="http://schemas.openxmlformats.org/officeDocument/2006/relationships/hyperlink" Target="https://login.consultant.ru/link/?req=doc&amp;base=STR&amp;n=33799&amp;dst=101064" TargetMode="External"/><Relationship Id="rId3508" Type="http://schemas.openxmlformats.org/officeDocument/2006/relationships/image" Target="media/image2329.wmf"/><Relationship Id="rId429" Type="http://schemas.openxmlformats.org/officeDocument/2006/relationships/hyperlink" Target="https://login.consultant.ru/link/?req=doc&amp;base=STR&amp;n=33799&amp;dst=100239" TargetMode="External"/><Relationship Id="rId636" Type="http://schemas.openxmlformats.org/officeDocument/2006/relationships/image" Target="media/image226.wmf"/><Relationship Id="rId1059" Type="http://schemas.openxmlformats.org/officeDocument/2006/relationships/hyperlink" Target="https://login.consultant.ru/link/?req=doc&amp;base=STR&amp;n=26765&amp;dst=100603" TargetMode="External"/><Relationship Id="rId1266" Type="http://schemas.openxmlformats.org/officeDocument/2006/relationships/image" Target="media/image758.wmf"/><Relationship Id="rId1473" Type="http://schemas.openxmlformats.org/officeDocument/2006/relationships/hyperlink" Target="https://login.consultant.ru/link/?req=doc&amp;base=STR&amp;n=28725" TargetMode="External"/><Relationship Id="rId2317" Type="http://schemas.openxmlformats.org/officeDocument/2006/relationships/image" Target="media/image1499.wmf"/><Relationship Id="rId2871" Type="http://schemas.openxmlformats.org/officeDocument/2006/relationships/image" Target="media/image1748.wmf"/><Relationship Id="rId3715" Type="http://schemas.openxmlformats.org/officeDocument/2006/relationships/image" Target="media/image2522.wmf"/><Relationship Id="rId3922" Type="http://schemas.openxmlformats.org/officeDocument/2006/relationships/image" Target="media/image2725.wmf"/><Relationship Id="rId843" Type="http://schemas.openxmlformats.org/officeDocument/2006/relationships/hyperlink" Target="https://login.consultant.ru/link/?req=doc&amp;base=STR&amp;n=20899&amp;dst=100296" TargetMode="External"/><Relationship Id="rId1126" Type="http://schemas.openxmlformats.org/officeDocument/2006/relationships/image" Target="media/image631.wmf"/><Relationship Id="rId1680" Type="http://schemas.openxmlformats.org/officeDocument/2006/relationships/image" Target="media/image917.wmf"/><Relationship Id="rId2524" Type="http://schemas.openxmlformats.org/officeDocument/2006/relationships/image" Target="media/image1678.wmf"/><Relationship Id="rId2731" Type="http://schemas.openxmlformats.org/officeDocument/2006/relationships/hyperlink" Target="https://login.consultant.ru/link/?req=doc&amp;base=STR&amp;n=30251" TargetMode="External"/><Relationship Id="rId703" Type="http://schemas.openxmlformats.org/officeDocument/2006/relationships/image" Target="media/image277.wmf"/><Relationship Id="rId910" Type="http://schemas.openxmlformats.org/officeDocument/2006/relationships/image" Target="media/image422.wmf"/><Relationship Id="rId1333" Type="http://schemas.openxmlformats.org/officeDocument/2006/relationships/hyperlink" Target="https://login.consultant.ru/link/?req=doc&amp;base=STR&amp;n=26765&amp;dst=100769" TargetMode="External"/><Relationship Id="rId1540" Type="http://schemas.openxmlformats.org/officeDocument/2006/relationships/hyperlink" Target="https://login.consultant.ru/link/?req=doc&amp;base=STR&amp;n=26941" TargetMode="External"/><Relationship Id="rId1400" Type="http://schemas.openxmlformats.org/officeDocument/2006/relationships/hyperlink" Target="https://login.consultant.ru/link/?req=doc&amp;base=STR&amp;n=21347" TargetMode="External"/><Relationship Id="rId3298" Type="http://schemas.openxmlformats.org/officeDocument/2006/relationships/image" Target="media/image2143.wmf"/><Relationship Id="rId3158" Type="http://schemas.openxmlformats.org/officeDocument/2006/relationships/image" Target="media/image2018.png"/><Relationship Id="rId3365" Type="http://schemas.openxmlformats.org/officeDocument/2006/relationships/image" Target="media/image2206.wmf"/><Relationship Id="rId3572" Type="http://schemas.openxmlformats.org/officeDocument/2006/relationships/image" Target="media/image2388.wmf"/><Relationship Id="rId286" Type="http://schemas.openxmlformats.org/officeDocument/2006/relationships/hyperlink" Target="https://login.consultant.ru/link/?req=doc&amp;base=STR&amp;n=33799&amp;dst=100188" TargetMode="External"/><Relationship Id="rId493" Type="http://schemas.openxmlformats.org/officeDocument/2006/relationships/image" Target="media/image145.wmf"/><Relationship Id="rId2174" Type="http://schemas.openxmlformats.org/officeDocument/2006/relationships/image" Target="media/image1371.wmf"/><Relationship Id="rId2381" Type="http://schemas.openxmlformats.org/officeDocument/2006/relationships/image" Target="media/image1561.wmf"/><Relationship Id="rId3018" Type="http://schemas.openxmlformats.org/officeDocument/2006/relationships/image" Target="media/image1891.wmf"/><Relationship Id="rId3225" Type="http://schemas.openxmlformats.org/officeDocument/2006/relationships/image" Target="media/image2070.wmf"/><Relationship Id="rId3432" Type="http://schemas.openxmlformats.org/officeDocument/2006/relationships/image" Target="media/image2268.wmf"/><Relationship Id="rId146" Type="http://schemas.openxmlformats.org/officeDocument/2006/relationships/hyperlink" Target="https://login.consultant.ru/link/?req=doc&amp;base=STR&amp;n=33799&amp;dst=100118" TargetMode="External"/><Relationship Id="rId353" Type="http://schemas.openxmlformats.org/officeDocument/2006/relationships/image" Target="media/image42.wmf"/><Relationship Id="rId560" Type="http://schemas.openxmlformats.org/officeDocument/2006/relationships/hyperlink" Target="https://login.consultant.ru/link/?req=doc&amp;base=STR&amp;n=34261" TargetMode="External"/><Relationship Id="rId1190" Type="http://schemas.openxmlformats.org/officeDocument/2006/relationships/image" Target="media/image685.wmf"/><Relationship Id="rId2034" Type="http://schemas.openxmlformats.org/officeDocument/2006/relationships/image" Target="media/image1260.wmf"/><Relationship Id="rId2241" Type="http://schemas.openxmlformats.org/officeDocument/2006/relationships/image" Target="media/image1425.wmf"/><Relationship Id="rId213" Type="http://schemas.openxmlformats.org/officeDocument/2006/relationships/hyperlink" Target="https://login.consultant.ru/link/?req=doc&amp;base=STR&amp;n=33799&amp;dst=100161" TargetMode="External"/><Relationship Id="rId420" Type="http://schemas.openxmlformats.org/officeDocument/2006/relationships/image" Target="media/image96.wmf"/><Relationship Id="rId1050" Type="http://schemas.openxmlformats.org/officeDocument/2006/relationships/image" Target="media/image558.wmf"/><Relationship Id="rId2101" Type="http://schemas.openxmlformats.org/officeDocument/2006/relationships/hyperlink" Target="https://login.consultant.ru/link/?req=doc&amp;base=STR&amp;n=26765&amp;dst=101062" TargetMode="External"/><Relationship Id="rId1867" Type="http://schemas.openxmlformats.org/officeDocument/2006/relationships/image" Target="media/image1095.wmf"/><Relationship Id="rId2918" Type="http://schemas.openxmlformats.org/officeDocument/2006/relationships/image" Target="media/image1791.wmf"/><Relationship Id="rId1727" Type="http://schemas.openxmlformats.org/officeDocument/2006/relationships/image" Target="media/image963.wmf"/><Relationship Id="rId1934" Type="http://schemas.openxmlformats.org/officeDocument/2006/relationships/image" Target="media/image1162.wmf"/><Relationship Id="rId3082" Type="http://schemas.openxmlformats.org/officeDocument/2006/relationships/image" Target="media/image1955.wmf"/><Relationship Id="rId19" Type="http://schemas.openxmlformats.org/officeDocument/2006/relationships/hyperlink" Target="https://login.consultant.ru/link/?req=doc&amp;base=LAW&amp;n=81935" TargetMode="External"/><Relationship Id="rId3899" Type="http://schemas.openxmlformats.org/officeDocument/2006/relationships/image" Target="media/image2702.wmf"/><Relationship Id="rId3759" Type="http://schemas.openxmlformats.org/officeDocument/2006/relationships/image" Target="media/image2565.wmf"/><Relationship Id="rId3966" Type="http://schemas.openxmlformats.org/officeDocument/2006/relationships/image" Target="media/image2769.wmf"/><Relationship Id="rId3" Type="http://schemas.openxmlformats.org/officeDocument/2006/relationships/settings" Target="settings.xml"/><Relationship Id="rId887" Type="http://schemas.openxmlformats.org/officeDocument/2006/relationships/image" Target="media/image404.wmf"/><Relationship Id="rId2568" Type="http://schemas.openxmlformats.org/officeDocument/2006/relationships/hyperlink" Target="https://login.consultant.ru/link/?req=doc&amp;base=STR&amp;n=15232" TargetMode="External"/><Relationship Id="rId2775" Type="http://schemas.openxmlformats.org/officeDocument/2006/relationships/hyperlink" Target="https://login.consultant.ru/link/?req=doc&amp;base=STR&amp;n=28923" TargetMode="External"/><Relationship Id="rId2982" Type="http://schemas.openxmlformats.org/officeDocument/2006/relationships/image" Target="media/image1855.wmf"/><Relationship Id="rId3619" Type="http://schemas.openxmlformats.org/officeDocument/2006/relationships/image" Target="media/image2432.wmf"/><Relationship Id="rId3826" Type="http://schemas.openxmlformats.org/officeDocument/2006/relationships/image" Target="media/image2629.wmf"/><Relationship Id="rId747" Type="http://schemas.openxmlformats.org/officeDocument/2006/relationships/hyperlink" Target="https://login.consultant.ru/link/?req=doc&amp;base=STR&amp;n=23223" TargetMode="External"/><Relationship Id="rId954" Type="http://schemas.openxmlformats.org/officeDocument/2006/relationships/image" Target="media/image465.wmf"/><Relationship Id="rId1377" Type="http://schemas.openxmlformats.org/officeDocument/2006/relationships/hyperlink" Target="https://login.consultant.ru/link/?req=doc&amp;base=STR&amp;n=33799&amp;dst=100546" TargetMode="External"/><Relationship Id="rId1584" Type="http://schemas.openxmlformats.org/officeDocument/2006/relationships/hyperlink" Target="https://login.consultant.ru/link/?req=doc&amp;base=STR&amp;n=20899&amp;dst=100675" TargetMode="External"/><Relationship Id="rId1791" Type="http://schemas.openxmlformats.org/officeDocument/2006/relationships/image" Target="media/image1026.wmf"/><Relationship Id="rId2428" Type="http://schemas.openxmlformats.org/officeDocument/2006/relationships/image" Target="media/image1589.wmf"/><Relationship Id="rId2635" Type="http://schemas.openxmlformats.org/officeDocument/2006/relationships/hyperlink" Target="https://login.consultant.ru/link/?req=doc&amp;base=STR&amp;n=20895" TargetMode="External"/><Relationship Id="rId2842" Type="http://schemas.openxmlformats.org/officeDocument/2006/relationships/hyperlink" Target="https://login.consultant.ru/link/?req=doc&amp;base=STR&amp;n=26765&amp;dst=101153" TargetMode="External"/><Relationship Id="rId83" Type="http://schemas.openxmlformats.org/officeDocument/2006/relationships/hyperlink" Target="https://login.consultant.ru/link/?req=doc&amp;base=STR&amp;n=33799&amp;dst=100046" TargetMode="External"/><Relationship Id="rId607" Type="http://schemas.openxmlformats.org/officeDocument/2006/relationships/hyperlink" Target="https://login.consultant.ru/link/?req=doc&amp;base=STR&amp;n=31283" TargetMode="External"/><Relationship Id="rId814" Type="http://schemas.openxmlformats.org/officeDocument/2006/relationships/image" Target="media/image337.wmf"/><Relationship Id="rId1237" Type="http://schemas.openxmlformats.org/officeDocument/2006/relationships/image" Target="media/image730.wmf"/><Relationship Id="rId1444" Type="http://schemas.openxmlformats.org/officeDocument/2006/relationships/hyperlink" Target="https://login.consultant.ru/link/?req=doc&amp;base=STR&amp;n=26941" TargetMode="External"/><Relationship Id="rId1651" Type="http://schemas.openxmlformats.org/officeDocument/2006/relationships/image" Target="media/image890.wmf"/><Relationship Id="rId2702" Type="http://schemas.openxmlformats.org/officeDocument/2006/relationships/hyperlink" Target="https://login.consultant.ru/link/?req=doc&amp;base=STR&amp;n=3055" TargetMode="External"/><Relationship Id="rId1304" Type="http://schemas.openxmlformats.org/officeDocument/2006/relationships/hyperlink" Target="https://login.consultant.ru/link/?req=doc&amp;base=STR&amp;n=20899&amp;dst=100317" TargetMode="External"/><Relationship Id="rId1511" Type="http://schemas.openxmlformats.org/officeDocument/2006/relationships/hyperlink" Target="https://login.consultant.ru/link/?req=doc&amp;base=STR&amp;n=20899&amp;dst=100524" TargetMode="External"/><Relationship Id="rId3269" Type="http://schemas.openxmlformats.org/officeDocument/2006/relationships/image" Target="media/image2114.wmf"/><Relationship Id="rId3476" Type="http://schemas.openxmlformats.org/officeDocument/2006/relationships/image" Target="media/image2299.wmf"/><Relationship Id="rId3683" Type="http://schemas.openxmlformats.org/officeDocument/2006/relationships/image" Target="media/image2491.wmf"/><Relationship Id="rId10" Type="http://schemas.openxmlformats.org/officeDocument/2006/relationships/hyperlink" Target="https://login.consultant.ru/link/?req=doc&amp;base=STR&amp;n=24881&amp;dst=100006" TargetMode="External"/><Relationship Id="rId397" Type="http://schemas.openxmlformats.org/officeDocument/2006/relationships/image" Target="media/image75.wmf"/><Relationship Id="rId2078" Type="http://schemas.openxmlformats.org/officeDocument/2006/relationships/image" Target="media/image1304.wmf"/><Relationship Id="rId2285" Type="http://schemas.openxmlformats.org/officeDocument/2006/relationships/image" Target="media/image1469.wmf"/><Relationship Id="rId2492" Type="http://schemas.openxmlformats.org/officeDocument/2006/relationships/image" Target="media/image1647.wmf"/><Relationship Id="rId3129" Type="http://schemas.openxmlformats.org/officeDocument/2006/relationships/image" Target="media/image2002.wmf"/><Relationship Id="rId3336" Type="http://schemas.openxmlformats.org/officeDocument/2006/relationships/hyperlink" Target="https://login.consultant.ru/link/?req=doc&amp;base=STR&amp;n=28336" TargetMode="External"/><Relationship Id="rId3890" Type="http://schemas.openxmlformats.org/officeDocument/2006/relationships/image" Target="media/image2693.wmf"/><Relationship Id="rId257" Type="http://schemas.openxmlformats.org/officeDocument/2006/relationships/hyperlink" Target="https://login.consultant.ru/link/?req=doc&amp;base=STR&amp;n=29120" TargetMode="External"/><Relationship Id="rId464" Type="http://schemas.openxmlformats.org/officeDocument/2006/relationships/image" Target="media/image121.wmf"/><Relationship Id="rId1094" Type="http://schemas.openxmlformats.org/officeDocument/2006/relationships/image" Target="media/image601.wmf"/><Relationship Id="rId2145" Type="http://schemas.openxmlformats.org/officeDocument/2006/relationships/image" Target="media/image1363.wmf"/><Relationship Id="rId3543" Type="http://schemas.openxmlformats.org/officeDocument/2006/relationships/image" Target="media/image2359.wmf"/><Relationship Id="rId3750" Type="http://schemas.openxmlformats.org/officeDocument/2006/relationships/hyperlink" Target="https://login.consultant.ru/link/?req=doc&amp;base=STR&amp;n=33799&amp;dst=101542" TargetMode="External"/><Relationship Id="rId117" Type="http://schemas.openxmlformats.org/officeDocument/2006/relationships/hyperlink" Target="https://login.consultant.ru/link/?req=doc&amp;base=STR&amp;n=26765&amp;dst=100051" TargetMode="External"/><Relationship Id="rId671" Type="http://schemas.openxmlformats.org/officeDocument/2006/relationships/image" Target="media/image260.wmf"/><Relationship Id="rId2352" Type="http://schemas.openxmlformats.org/officeDocument/2006/relationships/image" Target="media/image1533.wmf"/><Relationship Id="rId3403" Type="http://schemas.openxmlformats.org/officeDocument/2006/relationships/image" Target="media/image2240.wmf"/><Relationship Id="rId3610" Type="http://schemas.openxmlformats.org/officeDocument/2006/relationships/image" Target="media/image2424.wmf"/><Relationship Id="rId324" Type="http://schemas.openxmlformats.org/officeDocument/2006/relationships/hyperlink" Target="https://login.consultant.ru/link/?req=doc&amp;base=STR&amp;n=26765&amp;dst=100137" TargetMode="External"/><Relationship Id="rId531" Type="http://schemas.openxmlformats.org/officeDocument/2006/relationships/hyperlink" Target="https://login.consultant.ru/link/?req=doc&amp;base=STR&amp;n=33799&amp;dst=100265" TargetMode="External"/><Relationship Id="rId1161" Type="http://schemas.openxmlformats.org/officeDocument/2006/relationships/image" Target="media/image660.wmf"/><Relationship Id="rId2005" Type="http://schemas.openxmlformats.org/officeDocument/2006/relationships/image" Target="media/image1231.wmf"/><Relationship Id="rId2212" Type="http://schemas.openxmlformats.org/officeDocument/2006/relationships/image" Target="media/image1401.wmf"/><Relationship Id="rId1021" Type="http://schemas.openxmlformats.org/officeDocument/2006/relationships/image" Target="media/image530.wmf"/><Relationship Id="rId1978" Type="http://schemas.openxmlformats.org/officeDocument/2006/relationships/image" Target="media/image1204.wmf"/><Relationship Id="rId3193" Type="http://schemas.openxmlformats.org/officeDocument/2006/relationships/image" Target="media/image2038.wmf"/><Relationship Id="rId4037" Type="http://schemas.openxmlformats.org/officeDocument/2006/relationships/image" Target="media/image2827.png"/><Relationship Id="rId1838" Type="http://schemas.openxmlformats.org/officeDocument/2006/relationships/image" Target="media/image1067.wmf"/><Relationship Id="rId3053" Type="http://schemas.openxmlformats.org/officeDocument/2006/relationships/image" Target="media/image1926.wmf"/><Relationship Id="rId3260" Type="http://schemas.openxmlformats.org/officeDocument/2006/relationships/image" Target="media/image2105.wmf"/><Relationship Id="rId181" Type="http://schemas.openxmlformats.org/officeDocument/2006/relationships/hyperlink" Target="https://login.consultant.ru/link/?req=doc&amp;base=STR&amp;n=20899&amp;dst=100061" TargetMode="External"/><Relationship Id="rId1905" Type="http://schemas.openxmlformats.org/officeDocument/2006/relationships/image" Target="media/image1133.wmf"/><Relationship Id="rId3120" Type="http://schemas.openxmlformats.org/officeDocument/2006/relationships/image" Target="media/image1993.wmf"/><Relationship Id="rId998" Type="http://schemas.openxmlformats.org/officeDocument/2006/relationships/image" Target="media/image507.wmf"/><Relationship Id="rId2679" Type="http://schemas.openxmlformats.org/officeDocument/2006/relationships/hyperlink" Target="https://login.consultant.ru/link/?req=doc&amp;base=STR&amp;n=18833" TargetMode="External"/><Relationship Id="rId2886" Type="http://schemas.openxmlformats.org/officeDocument/2006/relationships/image" Target="media/image1763.wmf"/><Relationship Id="rId3937" Type="http://schemas.openxmlformats.org/officeDocument/2006/relationships/image" Target="media/image2740.wmf"/><Relationship Id="rId858" Type="http://schemas.openxmlformats.org/officeDocument/2006/relationships/hyperlink" Target="https://login.consultant.ru/link/?req=doc&amp;base=STR&amp;n=20899&amp;dst=100297" TargetMode="External"/><Relationship Id="rId1488" Type="http://schemas.openxmlformats.org/officeDocument/2006/relationships/hyperlink" Target="https://login.consultant.ru/link/?req=doc&amp;base=STR&amp;n=26941&amp;dst=100322" TargetMode="External"/><Relationship Id="rId1695" Type="http://schemas.openxmlformats.org/officeDocument/2006/relationships/image" Target="media/image931.wmf"/><Relationship Id="rId2539" Type="http://schemas.openxmlformats.org/officeDocument/2006/relationships/image" Target="media/image1693.wmf"/><Relationship Id="rId2746" Type="http://schemas.openxmlformats.org/officeDocument/2006/relationships/hyperlink" Target="https://login.consultant.ru/link/?req=doc&amp;base=STR&amp;n=34159&amp;dst=100024" TargetMode="External"/><Relationship Id="rId2953" Type="http://schemas.openxmlformats.org/officeDocument/2006/relationships/image" Target="media/image1826.wmf"/><Relationship Id="rId718" Type="http://schemas.openxmlformats.org/officeDocument/2006/relationships/hyperlink" Target="https://login.consultant.ru/link/?req=doc&amp;base=STR&amp;n=33799&amp;dst=100324" TargetMode="External"/><Relationship Id="rId925" Type="http://schemas.openxmlformats.org/officeDocument/2006/relationships/image" Target="media/image436.wmf"/><Relationship Id="rId1348" Type="http://schemas.openxmlformats.org/officeDocument/2006/relationships/hyperlink" Target="https://login.consultant.ru/link/?req=doc&amp;base=STR&amp;n=23974" TargetMode="External"/><Relationship Id="rId1555" Type="http://schemas.openxmlformats.org/officeDocument/2006/relationships/image" Target="media/image812.wmf"/><Relationship Id="rId1762" Type="http://schemas.openxmlformats.org/officeDocument/2006/relationships/image" Target="media/image997.wmf"/><Relationship Id="rId2606" Type="http://schemas.openxmlformats.org/officeDocument/2006/relationships/image" Target="media/image1732.wmf"/><Relationship Id="rId1208" Type="http://schemas.openxmlformats.org/officeDocument/2006/relationships/image" Target="media/image702.wmf"/><Relationship Id="rId1415" Type="http://schemas.openxmlformats.org/officeDocument/2006/relationships/hyperlink" Target="https://login.consultant.ru/link/?req=doc&amp;base=STR&amp;n=28725" TargetMode="External"/><Relationship Id="rId2813" Type="http://schemas.openxmlformats.org/officeDocument/2006/relationships/hyperlink" Target="https://login.consultant.ru/link/?req=doc&amp;base=STR&amp;n=28540" TargetMode="External"/><Relationship Id="rId54" Type="http://schemas.openxmlformats.org/officeDocument/2006/relationships/hyperlink" Target="https://login.consultant.ru/link/?req=doc&amp;base=STR&amp;n=33799&amp;dst=100038" TargetMode="External"/><Relationship Id="rId1622" Type="http://schemas.openxmlformats.org/officeDocument/2006/relationships/image" Target="media/image861.wmf"/><Relationship Id="rId2189" Type="http://schemas.openxmlformats.org/officeDocument/2006/relationships/image" Target="media/image1386.wmf"/><Relationship Id="rId3587" Type="http://schemas.openxmlformats.org/officeDocument/2006/relationships/image" Target="media/image2403.wmf"/><Relationship Id="rId3794" Type="http://schemas.openxmlformats.org/officeDocument/2006/relationships/image" Target="media/image2600.wmf"/><Relationship Id="rId2396" Type="http://schemas.openxmlformats.org/officeDocument/2006/relationships/image" Target="media/image1576.wmf"/><Relationship Id="rId3447" Type="http://schemas.openxmlformats.org/officeDocument/2006/relationships/image" Target="media/image2281.wmf"/><Relationship Id="rId3654" Type="http://schemas.openxmlformats.org/officeDocument/2006/relationships/image" Target="media/image2464.wmf"/><Relationship Id="rId3861" Type="http://schemas.openxmlformats.org/officeDocument/2006/relationships/image" Target="media/image2664.wmf"/><Relationship Id="rId368" Type="http://schemas.openxmlformats.org/officeDocument/2006/relationships/image" Target="media/image55.wmf"/><Relationship Id="rId575" Type="http://schemas.openxmlformats.org/officeDocument/2006/relationships/image" Target="media/image190.wmf"/><Relationship Id="rId782" Type="http://schemas.openxmlformats.org/officeDocument/2006/relationships/image" Target="media/image315.wmf"/><Relationship Id="rId2049" Type="http://schemas.openxmlformats.org/officeDocument/2006/relationships/image" Target="media/image1275.wmf"/><Relationship Id="rId2256" Type="http://schemas.openxmlformats.org/officeDocument/2006/relationships/image" Target="media/image1440.wmf"/><Relationship Id="rId2463" Type="http://schemas.openxmlformats.org/officeDocument/2006/relationships/image" Target="media/image1620.wmf"/><Relationship Id="rId2670" Type="http://schemas.openxmlformats.org/officeDocument/2006/relationships/hyperlink" Target="https://login.consultant.ru/link/?req=doc&amp;base=STR&amp;n=20895" TargetMode="External"/><Relationship Id="rId3307" Type="http://schemas.openxmlformats.org/officeDocument/2006/relationships/image" Target="media/image2152.wmf"/><Relationship Id="rId3514" Type="http://schemas.openxmlformats.org/officeDocument/2006/relationships/hyperlink" Target="https://login.consultant.ru/link/?req=doc&amp;base=STR&amp;n=20899&amp;dst=100953" TargetMode="External"/><Relationship Id="rId3721" Type="http://schemas.openxmlformats.org/officeDocument/2006/relationships/image" Target="media/image2528.wmf"/><Relationship Id="rId228" Type="http://schemas.openxmlformats.org/officeDocument/2006/relationships/image" Target="media/image30.wmf"/><Relationship Id="rId435" Type="http://schemas.openxmlformats.org/officeDocument/2006/relationships/image" Target="media/image106.wmf"/><Relationship Id="rId642" Type="http://schemas.openxmlformats.org/officeDocument/2006/relationships/image" Target="media/image232.wmf"/><Relationship Id="rId1065" Type="http://schemas.openxmlformats.org/officeDocument/2006/relationships/image" Target="media/image572.wmf"/><Relationship Id="rId1272" Type="http://schemas.openxmlformats.org/officeDocument/2006/relationships/image" Target="media/image764.wmf"/><Relationship Id="rId2116" Type="http://schemas.openxmlformats.org/officeDocument/2006/relationships/image" Target="media/image1339.wmf"/><Relationship Id="rId2323" Type="http://schemas.openxmlformats.org/officeDocument/2006/relationships/image" Target="media/image1505.wmf"/><Relationship Id="rId2530" Type="http://schemas.openxmlformats.org/officeDocument/2006/relationships/image" Target="media/image1684.wmf"/><Relationship Id="rId502" Type="http://schemas.openxmlformats.org/officeDocument/2006/relationships/image" Target="media/image152.wmf"/><Relationship Id="rId1132" Type="http://schemas.openxmlformats.org/officeDocument/2006/relationships/image" Target="media/image636.wmf"/><Relationship Id="rId3097" Type="http://schemas.openxmlformats.org/officeDocument/2006/relationships/image" Target="media/image1970.wmf"/><Relationship Id="rId1949" Type="http://schemas.openxmlformats.org/officeDocument/2006/relationships/image" Target="media/image1176.wmf"/><Relationship Id="rId3164" Type="http://schemas.openxmlformats.org/officeDocument/2006/relationships/hyperlink" Target="https://login.consultant.ru/link/?req=doc&amp;base=STR&amp;n=20899&amp;dst=100780" TargetMode="External"/><Relationship Id="rId4008" Type="http://schemas.openxmlformats.org/officeDocument/2006/relationships/hyperlink" Target="https://login.consultant.ru/link/?req=doc&amp;base=STR&amp;n=30251" TargetMode="External"/><Relationship Id="rId292" Type="http://schemas.openxmlformats.org/officeDocument/2006/relationships/hyperlink" Target="https://login.consultant.ru/link/?req=doc&amp;base=STR&amp;n=33799&amp;dst=100194" TargetMode="External"/><Relationship Id="rId1809" Type="http://schemas.openxmlformats.org/officeDocument/2006/relationships/image" Target="media/image1044.wmf"/><Relationship Id="rId3371" Type="http://schemas.openxmlformats.org/officeDocument/2006/relationships/image" Target="media/image2212.wmf"/><Relationship Id="rId2180" Type="http://schemas.openxmlformats.org/officeDocument/2006/relationships/image" Target="media/image1377.wmf"/><Relationship Id="rId3024" Type="http://schemas.openxmlformats.org/officeDocument/2006/relationships/image" Target="media/image1897.wmf"/><Relationship Id="rId3231" Type="http://schemas.openxmlformats.org/officeDocument/2006/relationships/image" Target="media/image2076.wmf"/><Relationship Id="rId152" Type="http://schemas.openxmlformats.org/officeDocument/2006/relationships/hyperlink" Target="https://login.consultant.ru/link/?req=doc&amp;base=STR&amp;n=26765&amp;dst=100058" TargetMode="External"/><Relationship Id="rId2040" Type="http://schemas.openxmlformats.org/officeDocument/2006/relationships/image" Target="media/image1266.wmf"/><Relationship Id="rId2997" Type="http://schemas.openxmlformats.org/officeDocument/2006/relationships/image" Target="media/image1870.wmf"/><Relationship Id="rId969" Type="http://schemas.openxmlformats.org/officeDocument/2006/relationships/image" Target="media/image480.wmf"/><Relationship Id="rId1599" Type="http://schemas.openxmlformats.org/officeDocument/2006/relationships/image" Target="media/image841.wmf"/><Relationship Id="rId1459" Type="http://schemas.openxmlformats.org/officeDocument/2006/relationships/hyperlink" Target="https://login.consultant.ru/link/?req=doc&amp;base=STR&amp;n=28725" TargetMode="External"/><Relationship Id="rId2857" Type="http://schemas.openxmlformats.org/officeDocument/2006/relationships/hyperlink" Target="https://login.consultant.ru/link/?req=doc&amp;base=STR&amp;n=26765&amp;dst=101153" TargetMode="External"/><Relationship Id="rId3908" Type="http://schemas.openxmlformats.org/officeDocument/2006/relationships/image" Target="media/image2711.wmf"/><Relationship Id="rId98" Type="http://schemas.openxmlformats.org/officeDocument/2006/relationships/hyperlink" Target="https://login.consultant.ru/link/?req=doc&amp;base=STR&amp;n=20899&amp;dst=100041" TargetMode="External"/><Relationship Id="rId829" Type="http://schemas.openxmlformats.org/officeDocument/2006/relationships/image" Target="media/image352.wmf"/><Relationship Id="rId1666" Type="http://schemas.openxmlformats.org/officeDocument/2006/relationships/image" Target="media/image905.wmf"/><Relationship Id="rId1873" Type="http://schemas.openxmlformats.org/officeDocument/2006/relationships/image" Target="media/image1101.wmf"/><Relationship Id="rId2717" Type="http://schemas.openxmlformats.org/officeDocument/2006/relationships/hyperlink" Target="https://login.consultant.ru/link/?req=doc&amp;base=STR&amp;n=6278" TargetMode="External"/><Relationship Id="rId2924" Type="http://schemas.openxmlformats.org/officeDocument/2006/relationships/image" Target="media/image1797.wmf"/><Relationship Id="rId1319" Type="http://schemas.openxmlformats.org/officeDocument/2006/relationships/hyperlink" Target="https://login.consultant.ru/link/?req=doc&amp;base=STR&amp;n=20899&amp;dst=100327" TargetMode="External"/><Relationship Id="rId1526" Type="http://schemas.openxmlformats.org/officeDocument/2006/relationships/hyperlink" Target="https://login.consultant.ru/link/?req=doc&amp;base=STR&amp;n=33799&amp;dst=100781" TargetMode="External"/><Relationship Id="rId1733" Type="http://schemas.openxmlformats.org/officeDocument/2006/relationships/image" Target="media/image968.wmf"/><Relationship Id="rId1940" Type="http://schemas.openxmlformats.org/officeDocument/2006/relationships/image" Target="media/image1167.wmf"/><Relationship Id="rId25" Type="http://schemas.openxmlformats.org/officeDocument/2006/relationships/hyperlink" Target="https://login.consultant.ru/link/?req=doc&amp;base=STR&amp;n=33799&amp;dst=100011" TargetMode="External"/><Relationship Id="rId1800" Type="http://schemas.openxmlformats.org/officeDocument/2006/relationships/image" Target="media/image1035.wmf"/><Relationship Id="rId3698" Type="http://schemas.openxmlformats.org/officeDocument/2006/relationships/image" Target="media/image2505.wmf"/><Relationship Id="rId3558" Type="http://schemas.openxmlformats.org/officeDocument/2006/relationships/image" Target="media/image2374.wmf"/><Relationship Id="rId3765" Type="http://schemas.openxmlformats.org/officeDocument/2006/relationships/image" Target="media/image2571.wmf"/><Relationship Id="rId3972" Type="http://schemas.openxmlformats.org/officeDocument/2006/relationships/image" Target="media/image2775.wmf"/><Relationship Id="rId479" Type="http://schemas.openxmlformats.org/officeDocument/2006/relationships/image" Target="media/image134.wmf"/><Relationship Id="rId686" Type="http://schemas.openxmlformats.org/officeDocument/2006/relationships/hyperlink" Target="https://login.consultant.ru/link/?req=doc&amp;base=STR&amp;n=30822" TargetMode="External"/><Relationship Id="rId893" Type="http://schemas.openxmlformats.org/officeDocument/2006/relationships/hyperlink" Target="https://login.consultant.ru/link/?req=doc&amp;base=STR&amp;n=28545" TargetMode="External"/><Relationship Id="rId2367" Type="http://schemas.openxmlformats.org/officeDocument/2006/relationships/image" Target="media/image1547.wmf"/><Relationship Id="rId2574" Type="http://schemas.openxmlformats.org/officeDocument/2006/relationships/hyperlink" Target="https://login.consultant.ru/link/?req=doc&amp;base=STR&amp;n=33799&amp;dst=101045" TargetMode="External"/><Relationship Id="rId2781" Type="http://schemas.openxmlformats.org/officeDocument/2006/relationships/hyperlink" Target="https://login.consultant.ru/link/?req=doc&amp;base=STR&amp;n=29123" TargetMode="External"/><Relationship Id="rId3418" Type="http://schemas.openxmlformats.org/officeDocument/2006/relationships/image" Target="media/image2254.wmf"/><Relationship Id="rId3625" Type="http://schemas.openxmlformats.org/officeDocument/2006/relationships/image" Target="media/image2438.wmf"/><Relationship Id="rId339" Type="http://schemas.openxmlformats.org/officeDocument/2006/relationships/hyperlink" Target="https://login.consultant.ru/link/?req=doc&amp;base=STR&amp;n=33799&amp;dst=100224" TargetMode="External"/><Relationship Id="rId546" Type="http://schemas.openxmlformats.org/officeDocument/2006/relationships/image" Target="media/image179.wmf"/><Relationship Id="rId753" Type="http://schemas.openxmlformats.org/officeDocument/2006/relationships/image" Target="media/image288.wmf"/><Relationship Id="rId1176" Type="http://schemas.openxmlformats.org/officeDocument/2006/relationships/image" Target="media/image675.wmf"/><Relationship Id="rId1383" Type="http://schemas.openxmlformats.org/officeDocument/2006/relationships/hyperlink" Target="https://login.consultant.ru/link/?req=doc&amp;base=STR&amp;n=33799&amp;dst=100549" TargetMode="External"/><Relationship Id="rId2227" Type="http://schemas.openxmlformats.org/officeDocument/2006/relationships/image" Target="media/image1411.wmf"/><Relationship Id="rId2434" Type="http://schemas.openxmlformats.org/officeDocument/2006/relationships/image" Target="media/image1595.wmf"/><Relationship Id="rId3832" Type="http://schemas.openxmlformats.org/officeDocument/2006/relationships/image" Target="media/image2635.wmf"/><Relationship Id="rId406" Type="http://schemas.openxmlformats.org/officeDocument/2006/relationships/image" Target="media/image82.wmf"/><Relationship Id="rId960" Type="http://schemas.openxmlformats.org/officeDocument/2006/relationships/image" Target="media/image471.wmf"/><Relationship Id="rId1036" Type="http://schemas.openxmlformats.org/officeDocument/2006/relationships/image" Target="media/image544.wmf"/><Relationship Id="rId1243" Type="http://schemas.openxmlformats.org/officeDocument/2006/relationships/image" Target="media/image736.wmf"/><Relationship Id="rId1590" Type="http://schemas.openxmlformats.org/officeDocument/2006/relationships/image" Target="media/image832.wmf"/><Relationship Id="rId2641" Type="http://schemas.openxmlformats.org/officeDocument/2006/relationships/hyperlink" Target="https://login.consultant.ru/link/?req=doc&amp;base=STR&amp;n=33799&amp;dst=101058" TargetMode="External"/><Relationship Id="rId613" Type="http://schemas.openxmlformats.org/officeDocument/2006/relationships/hyperlink" Target="https://login.consultant.ru/link/?req=doc&amp;base=STR&amp;n=33689" TargetMode="External"/><Relationship Id="rId820" Type="http://schemas.openxmlformats.org/officeDocument/2006/relationships/image" Target="media/image343.wmf"/><Relationship Id="rId1450" Type="http://schemas.openxmlformats.org/officeDocument/2006/relationships/hyperlink" Target="https://login.consultant.ru/link/?req=doc&amp;base=STR&amp;n=28725" TargetMode="External"/><Relationship Id="rId2501" Type="http://schemas.openxmlformats.org/officeDocument/2006/relationships/image" Target="media/image1656.wmf"/><Relationship Id="rId1103" Type="http://schemas.openxmlformats.org/officeDocument/2006/relationships/hyperlink" Target="https://login.consultant.ru/link/?req=doc&amp;base=STR&amp;n=26765&amp;dst=100605" TargetMode="External"/><Relationship Id="rId1310" Type="http://schemas.openxmlformats.org/officeDocument/2006/relationships/hyperlink" Target="https://login.consultant.ru/link/?req=doc&amp;base=STR&amp;n=26765&amp;dst=100682" TargetMode="External"/><Relationship Id="rId3068" Type="http://schemas.openxmlformats.org/officeDocument/2006/relationships/image" Target="media/image1941.wmf"/><Relationship Id="rId3275" Type="http://schemas.openxmlformats.org/officeDocument/2006/relationships/image" Target="media/image2120.wmf"/><Relationship Id="rId3482" Type="http://schemas.openxmlformats.org/officeDocument/2006/relationships/image" Target="media/image2305.wmf"/><Relationship Id="rId196" Type="http://schemas.openxmlformats.org/officeDocument/2006/relationships/hyperlink" Target="https://login.consultant.ru/link/?req=doc&amp;base=STR&amp;n=26765&amp;dst=100067" TargetMode="External"/><Relationship Id="rId2084" Type="http://schemas.openxmlformats.org/officeDocument/2006/relationships/image" Target="media/image1310.wmf"/><Relationship Id="rId2291" Type="http://schemas.openxmlformats.org/officeDocument/2006/relationships/image" Target="media/image1475.wmf"/><Relationship Id="rId3135" Type="http://schemas.openxmlformats.org/officeDocument/2006/relationships/image" Target="media/image2008.wmf"/><Relationship Id="rId3342" Type="http://schemas.openxmlformats.org/officeDocument/2006/relationships/image" Target="media/image2184.wmf"/><Relationship Id="rId263" Type="http://schemas.openxmlformats.org/officeDocument/2006/relationships/hyperlink" Target="https://login.consultant.ru/link/?req=doc&amp;base=STR&amp;n=33799&amp;dst=100184" TargetMode="External"/><Relationship Id="rId470" Type="http://schemas.openxmlformats.org/officeDocument/2006/relationships/image" Target="media/image127.wmf"/><Relationship Id="rId2151" Type="http://schemas.openxmlformats.org/officeDocument/2006/relationships/hyperlink" Target="https://login.consultant.ru/link/?req=doc&amp;base=STR&amp;n=28312" TargetMode="External"/><Relationship Id="rId3202" Type="http://schemas.openxmlformats.org/officeDocument/2006/relationships/image" Target="media/image2047.wmf"/><Relationship Id="rId123" Type="http://schemas.openxmlformats.org/officeDocument/2006/relationships/hyperlink" Target="https://login.consultant.ru/link/?req=doc&amp;base=STR&amp;n=30822" TargetMode="External"/><Relationship Id="rId330" Type="http://schemas.openxmlformats.org/officeDocument/2006/relationships/hyperlink" Target="https://login.consultant.ru/link/?req=doc&amp;base=STR&amp;n=33799&amp;dst=100214" TargetMode="External"/><Relationship Id="rId2011" Type="http://schemas.openxmlformats.org/officeDocument/2006/relationships/image" Target="media/image1237.wmf"/><Relationship Id="rId2968" Type="http://schemas.openxmlformats.org/officeDocument/2006/relationships/image" Target="media/image1841.wmf"/><Relationship Id="rId1777" Type="http://schemas.openxmlformats.org/officeDocument/2006/relationships/image" Target="media/image1012.wmf"/><Relationship Id="rId1984" Type="http://schemas.openxmlformats.org/officeDocument/2006/relationships/image" Target="media/image1210.wmf"/><Relationship Id="rId2828" Type="http://schemas.openxmlformats.org/officeDocument/2006/relationships/hyperlink" Target="https://login.consultant.ru/link/?req=doc&amp;base=STR&amp;n=26765&amp;dst=101153" TargetMode="External"/><Relationship Id="rId69" Type="http://schemas.openxmlformats.org/officeDocument/2006/relationships/hyperlink" Target="https://login.consultant.ru/link/?req=doc&amp;base=STR&amp;n=26765&amp;dst=100036" TargetMode="External"/><Relationship Id="rId1637" Type="http://schemas.openxmlformats.org/officeDocument/2006/relationships/image" Target="media/image876.wmf"/><Relationship Id="rId1844" Type="http://schemas.openxmlformats.org/officeDocument/2006/relationships/hyperlink" Target="https://login.consultant.ru/link/?req=doc&amp;base=STR&amp;n=33799&amp;dst=100927" TargetMode="External"/><Relationship Id="rId4043" Type="http://schemas.openxmlformats.org/officeDocument/2006/relationships/hyperlink" Target="https://login.consultant.ru/link/?req=doc&amp;base=STR&amp;n=20899&amp;dst=101125" TargetMode="External"/><Relationship Id="rId1704" Type="http://schemas.openxmlformats.org/officeDocument/2006/relationships/image" Target="media/image940.wmf"/><Relationship Id="rId1911" Type="http://schemas.openxmlformats.org/officeDocument/2006/relationships/image" Target="media/image1139.wmf"/><Relationship Id="rId3669" Type="http://schemas.openxmlformats.org/officeDocument/2006/relationships/image" Target="media/image2478.png"/><Relationship Id="rId797" Type="http://schemas.openxmlformats.org/officeDocument/2006/relationships/image" Target="media/image320.wmf"/><Relationship Id="rId2478" Type="http://schemas.openxmlformats.org/officeDocument/2006/relationships/image" Target="media/image1633.wmf"/><Relationship Id="rId3876" Type="http://schemas.openxmlformats.org/officeDocument/2006/relationships/image" Target="media/image2679.wmf"/><Relationship Id="rId1287" Type="http://schemas.openxmlformats.org/officeDocument/2006/relationships/image" Target="media/image776.wmf"/><Relationship Id="rId2685" Type="http://schemas.openxmlformats.org/officeDocument/2006/relationships/hyperlink" Target="https://login.consultant.ru/link/?req=doc&amp;base=STR&amp;n=34159&amp;dst=100027" TargetMode="External"/><Relationship Id="rId2892" Type="http://schemas.openxmlformats.org/officeDocument/2006/relationships/image" Target="media/image1769.wmf"/><Relationship Id="rId3529" Type="http://schemas.openxmlformats.org/officeDocument/2006/relationships/image" Target="media/image2347.wmf"/><Relationship Id="rId3736" Type="http://schemas.openxmlformats.org/officeDocument/2006/relationships/image" Target="media/image2543.wmf"/><Relationship Id="rId3943" Type="http://schemas.openxmlformats.org/officeDocument/2006/relationships/image" Target="media/image2746.wmf"/><Relationship Id="rId657" Type="http://schemas.openxmlformats.org/officeDocument/2006/relationships/image" Target="media/image247.wmf"/><Relationship Id="rId864" Type="http://schemas.openxmlformats.org/officeDocument/2006/relationships/image" Target="media/image381.wmf"/><Relationship Id="rId1494" Type="http://schemas.openxmlformats.org/officeDocument/2006/relationships/hyperlink" Target="https://login.consultant.ru/link/?req=doc&amp;base=STR&amp;n=7548" TargetMode="External"/><Relationship Id="rId2338" Type="http://schemas.openxmlformats.org/officeDocument/2006/relationships/image" Target="media/image1520.wmf"/><Relationship Id="rId2545" Type="http://schemas.openxmlformats.org/officeDocument/2006/relationships/image" Target="media/image1699.wmf"/><Relationship Id="rId2752" Type="http://schemas.openxmlformats.org/officeDocument/2006/relationships/hyperlink" Target="https://login.consultant.ru/link/?req=doc&amp;base=STR&amp;n=28798" TargetMode="External"/><Relationship Id="rId3803" Type="http://schemas.openxmlformats.org/officeDocument/2006/relationships/image" Target="media/image2608.wmf"/><Relationship Id="rId517" Type="http://schemas.openxmlformats.org/officeDocument/2006/relationships/image" Target="media/image163.wmf"/><Relationship Id="rId724" Type="http://schemas.openxmlformats.org/officeDocument/2006/relationships/hyperlink" Target="https://login.consultant.ru/link/?req=doc&amp;base=STR&amp;n=21162" TargetMode="External"/><Relationship Id="rId931" Type="http://schemas.openxmlformats.org/officeDocument/2006/relationships/image" Target="media/image442.png"/><Relationship Id="rId1147" Type="http://schemas.openxmlformats.org/officeDocument/2006/relationships/image" Target="media/image649.wmf"/><Relationship Id="rId1354" Type="http://schemas.openxmlformats.org/officeDocument/2006/relationships/hyperlink" Target="https://login.consultant.ru/link/?req=doc&amp;base=STR&amp;n=26765&amp;dst=100790" TargetMode="External"/><Relationship Id="rId1561" Type="http://schemas.openxmlformats.org/officeDocument/2006/relationships/hyperlink" Target="https://login.consultant.ru/link/?req=doc&amp;base=STR&amp;n=30774" TargetMode="External"/><Relationship Id="rId2405" Type="http://schemas.openxmlformats.org/officeDocument/2006/relationships/hyperlink" Target="https://login.consultant.ru/link/?req=doc&amp;base=STR&amp;n=28466" TargetMode="External"/><Relationship Id="rId2612" Type="http://schemas.openxmlformats.org/officeDocument/2006/relationships/hyperlink" Target="https://login.consultant.ru/link/?req=doc&amp;base=STR&amp;n=33228" TargetMode="External"/><Relationship Id="rId60" Type="http://schemas.openxmlformats.org/officeDocument/2006/relationships/hyperlink" Target="https://login.consultant.ru/link/?req=doc&amp;base=STR&amp;n=19618" TargetMode="External"/><Relationship Id="rId1007" Type="http://schemas.openxmlformats.org/officeDocument/2006/relationships/image" Target="media/image516.wmf"/><Relationship Id="rId1214" Type="http://schemas.openxmlformats.org/officeDocument/2006/relationships/image" Target="media/image708.wmf"/><Relationship Id="rId1421" Type="http://schemas.openxmlformats.org/officeDocument/2006/relationships/hyperlink" Target="https://login.consultant.ru/link/?req=doc&amp;base=STR&amp;n=34159&amp;dst=100009" TargetMode="External"/><Relationship Id="rId3179" Type="http://schemas.openxmlformats.org/officeDocument/2006/relationships/image" Target="media/image2024.png"/><Relationship Id="rId3386" Type="http://schemas.openxmlformats.org/officeDocument/2006/relationships/hyperlink" Target="https://login.consultant.ru/link/?req=doc&amp;base=STR&amp;n=20899&amp;dst=100944" TargetMode="External"/><Relationship Id="rId3593" Type="http://schemas.openxmlformats.org/officeDocument/2006/relationships/image" Target="media/image2409.wmf"/><Relationship Id="rId2195" Type="http://schemas.openxmlformats.org/officeDocument/2006/relationships/image" Target="media/image1392.wmf"/><Relationship Id="rId3039" Type="http://schemas.openxmlformats.org/officeDocument/2006/relationships/image" Target="media/image1912.wmf"/><Relationship Id="rId3246" Type="http://schemas.openxmlformats.org/officeDocument/2006/relationships/image" Target="media/image2091.png"/><Relationship Id="rId3453" Type="http://schemas.openxmlformats.org/officeDocument/2006/relationships/image" Target="media/image2287.wmf"/><Relationship Id="rId167" Type="http://schemas.openxmlformats.org/officeDocument/2006/relationships/hyperlink" Target="https://login.consultant.ru/link/?req=doc&amp;base=STR&amp;n=33799&amp;dst=100124" TargetMode="External"/><Relationship Id="rId374" Type="http://schemas.openxmlformats.org/officeDocument/2006/relationships/image" Target="media/image61.wmf"/><Relationship Id="rId581" Type="http://schemas.openxmlformats.org/officeDocument/2006/relationships/hyperlink" Target="https://login.consultant.ru/link/?req=doc&amp;base=STR&amp;n=20899&amp;dst=100175" TargetMode="External"/><Relationship Id="rId2055" Type="http://schemas.openxmlformats.org/officeDocument/2006/relationships/image" Target="media/image1281.wmf"/><Relationship Id="rId2262" Type="http://schemas.openxmlformats.org/officeDocument/2006/relationships/image" Target="media/image1446.wmf"/><Relationship Id="rId3106" Type="http://schemas.openxmlformats.org/officeDocument/2006/relationships/image" Target="media/image1979.wmf"/><Relationship Id="rId3660" Type="http://schemas.openxmlformats.org/officeDocument/2006/relationships/image" Target="media/image2470.wmf"/><Relationship Id="rId234" Type="http://schemas.openxmlformats.org/officeDocument/2006/relationships/hyperlink" Target="https://login.consultant.ru/link/?req=doc&amp;base=STR&amp;n=28515" TargetMode="External"/><Relationship Id="rId3313" Type="http://schemas.openxmlformats.org/officeDocument/2006/relationships/image" Target="media/image2157.wmf"/><Relationship Id="rId3520" Type="http://schemas.openxmlformats.org/officeDocument/2006/relationships/image" Target="media/image2340.wmf"/><Relationship Id="rId441" Type="http://schemas.openxmlformats.org/officeDocument/2006/relationships/hyperlink" Target="https://login.consultant.ru/link/?req=doc&amp;base=STR&amp;n=33799&amp;dst=100251" TargetMode="External"/><Relationship Id="rId1071" Type="http://schemas.openxmlformats.org/officeDocument/2006/relationships/image" Target="media/image578.wmf"/><Relationship Id="rId2122" Type="http://schemas.openxmlformats.org/officeDocument/2006/relationships/image" Target="media/image1345.wmf"/><Relationship Id="rId301" Type="http://schemas.openxmlformats.org/officeDocument/2006/relationships/hyperlink" Target="https://login.consultant.ru/link/?req=doc&amp;base=STR&amp;n=33799&amp;dst=100198" TargetMode="External"/><Relationship Id="rId1888" Type="http://schemas.openxmlformats.org/officeDocument/2006/relationships/image" Target="media/image1116.wmf"/><Relationship Id="rId2939" Type="http://schemas.openxmlformats.org/officeDocument/2006/relationships/image" Target="media/image1812.wmf"/><Relationship Id="rId1748" Type="http://schemas.openxmlformats.org/officeDocument/2006/relationships/image" Target="media/image983.wmf"/><Relationship Id="rId1955" Type="http://schemas.openxmlformats.org/officeDocument/2006/relationships/image" Target="media/image1182.wmf"/><Relationship Id="rId3170" Type="http://schemas.openxmlformats.org/officeDocument/2006/relationships/hyperlink" Target="https://login.consultant.ru/link/?req=doc&amp;base=STR&amp;n=26765&amp;dst=101222" TargetMode="External"/><Relationship Id="rId4014" Type="http://schemas.openxmlformats.org/officeDocument/2006/relationships/image" Target="media/image2805.wmf"/><Relationship Id="rId1608" Type="http://schemas.openxmlformats.org/officeDocument/2006/relationships/hyperlink" Target="https://login.consultant.ru/link/?req=doc&amp;base=STR&amp;n=26765&amp;dst=101058" TargetMode="External"/><Relationship Id="rId1815" Type="http://schemas.openxmlformats.org/officeDocument/2006/relationships/image" Target="media/image1050.wmf"/><Relationship Id="rId3030" Type="http://schemas.openxmlformats.org/officeDocument/2006/relationships/image" Target="media/image1903.wmf"/><Relationship Id="rId3987" Type="http://schemas.openxmlformats.org/officeDocument/2006/relationships/image" Target="media/image2788.wmf"/><Relationship Id="rId2589" Type="http://schemas.openxmlformats.org/officeDocument/2006/relationships/hyperlink" Target="https://login.consultant.ru/link/?req=doc&amp;base=STR&amp;n=33799&amp;dst=101048" TargetMode="External"/><Relationship Id="rId2796" Type="http://schemas.openxmlformats.org/officeDocument/2006/relationships/hyperlink" Target="https://login.consultant.ru/link/?req=doc&amp;base=STR&amp;n=34256" TargetMode="External"/><Relationship Id="rId3847" Type="http://schemas.openxmlformats.org/officeDocument/2006/relationships/image" Target="media/image2650.wmf"/><Relationship Id="rId768" Type="http://schemas.openxmlformats.org/officeDocument/2006/relationships/image" Target="media/image302.wmf"/><Relationship Id="rId975" Type="http://schemas.openxmlformats.org/officeDocument/2006/relationships/image" Target="media/image486.wmf"/><Relationship Id="rId1398" Type="http://schemas.openxmlformats.org/officeDocument/2006/relationships/hyperlink" Target="https://login.consultant.ru/link/?req=doc&amp;base=STR&amp;n=18303" TargetMode="External"/><Relationship Id="rId2449" Type="http://schemas.openxmlformats.org/officeDocument/2006/relationships/hyperlink" Target="https://login.consultant.ru/link/?req=doc&amp;base=STR&amp;n=20899&amp;dst=100705" TargetMode="External"/><Relationship Id="rId2656" Type="http://schemas.openxmlformats.org/officeDocument/2006/relationships/image" Target="media/image1735.wmf"/><Relationship Id="rId2863" Type="http://schemas.openxmlformats.org/officeDocument/2006/relationships/hyperlink" Target="https://login.consultant.ru/link/?req=doc&amp;base=STR&amp;n=20899&amp;dst=100761" TargetMode="External"/><Relationship Id="rId3707" Type="http://schemas.openxmlformats.org/officeDocument/2006/relationships/image" Target="media/image2514.wmf"/><Relationship Id="rId3914" Type="http://schemas.openxmlformats.org/officeDocument/2006/relationships/image" Target="media/image2717.wmf"/><Relationship Id="rId628" Type="http://schemas.openxmlformats.org/officeDocument/2006/relationships/hyperlink" Target="https://login.consultant.ru/link/?req=doc&amp;base=STR&amp;n=20899&amp;dst=100192" TargetMode="External"/><Relationship Id="rId835" Type="http://schemas.openxmlformats.org/officeDocument/2006/relationships/image" Target="media/image358.wmf"/><Relationship Id="rId1258" Type="http://schemas.openxmlformats.org/officeDocument/2006/relationships/image" Target="media/image750.wmf"/><Relationship Id="rId1465" Type="http://schemas.openxmlformats.org/officeDocument/2006/relationships/hyperlink" Target="https://login.consultant.ru/link/?req=doc&amp;base=STR&amp;n=26941" TargetMode="External"/><Relationship Id="rId1672" Type="http://schemas.openxmlformats.org/officeDocument/2006/relationships/image" Target="media/image911.wmf"/><Relationship Id="rId2309" Type="http://schemas.openxmlformats.org/officeDocument/2006/relationships/image" Target="media/image1491.wmf"/><Relationship Id="rId2516" Type="http://schemas.openxmlformats.org/officeDocument/2006/relationships/image" Target="media/image1670.wmf"/><Relationship Id="rId2723" Type="http://schemas.openxmlformats.org/officeDocument/2006/relationships/hyperlink" Target="https://login.consultant.ru/link/?req=doc&amp;base=STR&amp;n=34159&amp;dst=100027" TargetMode="External"/><Relationship Id="rId1118" Type="http://schemas.openxmlformats.org/officeDocument/2006/relationships/image" Target="media/image623.png"/><Relationship Id="rId1325" Type="http://schemas.openxmlformats.org/officeDocument/2006/relationships/hyperlink" Target="https://login.consultant.ru/link/?req=doc&amp;base=STR&amp;n=26765&amp;dst=100759" TargetMode="External"/><Relationship Id="rId1532" Type="http://schemas.openxmlformats.org/officeDocument/2006/relationships/hyperlink" Target="https://login.consultant.ru/link/?req=doc&amp;base=STR&amp;n=26941" TargetMode="External"/><Relationship Id="rId2930" Type="http://schemas.openxmlformats.org/officeDocument/2006/relationships/image" Target="media/image1803.wmf"/><Relationship Id="rId902" Type="http://schemas.openxmlformats.org/officeDocument/2006/relationships/image" Target="media/image414.png"/><Relationship Id="rId3497" Type="http://schemas.openxmlformats.org/officeDocument/2006/relationships/image" Target="media/image2320.wmf"/><Relationship Id="rId31" Type="http://schemas.openxmlformats.org/officeDocument/2006/relationships/hyperlink" Target="https://login.consultant.ru/link/?req=doc&amp;base=STR&amp;n=33799&amp;dst=100015" TargetMode="External"/><Relationship Id="rId2099" Type="http://schemas.openxmlformats.org/officeDocument/2006/relationships/image" Target="media/image1323.wmf"/><Relationship Id="rId278" Type="http://schemas.openxmlformats.org/officeDocument/2006/relationships/hyperlink" Target="https://login.consultant.ru/link/?req=doc&amp;base=STR&amp;n=21847" TargetMode="External"/><Relationship Id="rId3357" Type="http://schemas.openxmlformats.org/officeDocument/2006/relationships/image" Target="media/image2198.wmf"/><Relationship Id="rId3564" Type="http://schemas.openxmlformats.org/officeDocument/2006/relationships/image" Target="media/image2380.wmf"/><Relationship Id="rId3771" Type="http://schemas.openxmlformats.org/officeDocument/2006/relationships/image" Target="media/image2577.wmf"/><Relationship Id="rId485" Type="http://schemas.openxmlformats.org/officeDocument/2006/relationships/image" Target="media/image139.wmf"/><Relationship Id="rId692" Type="http://schemas.openxmlformats.org/officeDocument/2006/relationships/hyperlink" Target="https://login.consultant.ru/link/?req=doc&amp;base=STR&amp;n=20899&amp;dst=100197" TargetMode="External"/><Relationship Id="rId2166" Type="http://schemas.openxmlformats.org/officeDocument/2006/relationships/image" Target="media/image1364.wmf"/><Relationship Id="rId2373" Type="http://schemas.openxmlformats.org/officeDocument/2006/relationships/image" Target="media/image1553.wmf"/><Relationship Id="rId2580" Type="http://schemas.openxmlformats.org/officeDocument/2006/relationships/hyperlink" Target="https://login.consultant.ru/link/?req=doc&amp;base=STR&amp;n=20899&amp;dst=100718" TargetMode="External"/><Relationship Id="rId3217" Type="http://schemas.openxmlformats.org/officeDocument/2006/relationships/image" Target="media/image2062.wmf"/><Relationship Id="rId3424" Type="http://schemas.openxmlformats.org/officeDocument/2006/relationships/image" Target="media/image2260.wmf"/><Relationship Id="rId3631" Type="http://schemas.openxmlformats.org/officeDocument/2006/relationships/hyperlink" Target="https://login.consultant.ru/link/?req=doc&amp;base=STR&amp;n=33799&amp;dst=101536" TargetMode="External"/><Relationship Id="rId138" Type="http://schemas.openxmlformats.org/officeDocument/2006/relationships/image" Target="media/image19.wmf"/><Relationship Id="rId345" Type="http://schemas.openxmlformats.org/officeDocument/2006/relationships/hyperlink" Target="https://login.consultant.ru/link/?req=doc&amp;base=STR&amp;n=30072" TargetMode="External"/><Relationship Id="rId552" Type="http://schemas.openxmlformats.org/officeDocument/2006/relationships/hyperlink" Target="https://login.consultant.ru/link/?req=doc&amp;base=STR&amp;n=29126" TargetMode="External"/><Relationship Id="rId1182" Type="http://schemas.openxmlformats.org/officeDocument/2006/relationships/hyperlink" Target="https://login.consultant.ru/link/?req=doc&amp;base=STR&amp;n=26765&amp;dst=100607" TargetMode="External"/><Relationship Id="rId2026" Type="http://schemas.openxmlformats.org/officeDocument/2006/relationships/image" Target="media/image1252.wmf"/><Relationship Id="rId2233" Type="http://schemas.openxmlformats.org/officeDocument/2006/relationships/image" Target="media/image1417.wmf"/><Relationship Id="rId2440" Type="http://schemas.openxmlformats.org/officeDocument/2006/relationships/image" Target="media/image1601.wmf"/><Relationship Id="rId205" Type="http://schemas.openxmlformats.org/officeDocument/2006/relationships/hyperlink" Target="https://login.consultant.ru/link/?req=doc&amp;base=LAW&amp;n=471634&amp;dst=100044" TargetMode="External"/><Relationship Id="rId412" Type="http://schemas.openxmlformats.org/officeDocument/2006/relationships/image" Target="media/image88.wmf"/><Relationship Id="rId1042" Type="http://schemas.openxmlformats.org/officeDocument/2006/relationships/image" Target="media/image550.wmf"/><Relationship Id="rId2300" Type="http://schemas.openxmlformats.org/officeDocument/2006/relationships/image" Target="media/image1482.wmf"/><Relationship Id="rId1999" Type="http://schemas.openxmlformats.org/officeDocument/2006/relationships/image" Target="media/image1225.wmf"/><Relationship Id="rId4058" Type="http://schemas.openxmlformats.org/officeDocument/2006/relationships/hyperlink" Target="https://login.consultant.ru/link/?req=doc&amp;base=STR&amp;n=2862" TargetMode="External"/><Relationship Id="rId1859" Type="http://schemas.openxmlformats.org/officeDocument/2006/relationships/image" Target="media/image1087.wmf"/><Relationship Id="rId3074" Type="http://schemas.openxmlformats.org/officeDocument/2006/relationships/image" Target="media/image1947.wmf"/><Relationship Id="rId1719" Type="http://schemas.openxmlformats.org/officeDocument/2006/relationships/image" Target="media/image955.wmf"/><Relationship Id="rId1926" Type="http://schemas.openxmlformats.org/officeDocument/2006/relationships/image" Target="media/image1154.wmf"/><Relationship Id="rId3281" Type="http://schemas.openxmlformats.org/officeDocument/2006/relationships/image" Target="media/image2126.png"/><Relationship Id="rId2090" Type="http://schemas.openxmlformats.org/officeDocument/2006/relationships/image" Target="media/image1314.wmf"/><Relationship Id="rId3141" Type="http://schemas.openxmlformats.org/officeDocument/2006/relationships/image" Target="media/image2014.png"/><Relationship Id="rId3001" Type="http://schemas.openxmlformats.org/officeDocument/2006/relationships/image" Target="media/image1874.wmf"/><Relationship Id="rId3958" Type="http://schemas.openxmlformats.org/officeDocument/2006/relationships/image" Target="media/image2761.wmf"/><Relationship Id="rId879" Type="http://schemas.openxmlformats.org/officeDocument/2006/relationships/image" Target="media/image396.wmf"/><Relationship Id="rId2767" Type="http://schemas.openxmlformats.org/officeDocument/2006/relationships/hyperlink" Target="https://login.consultant.ru/link/?req=doc&amp;base=STR&amp;n=24104" TargetMode="External"/><Relationship Id="rId739" Type="http://schemas.openxmlformats.org/officeDocument/2006/relationships/hyperlink" Target="https://login.consultant.ru/link/?req=doc&amp;base=STR&amp;n=24881&amp;dst=100051" TargetMode="External"/><Relationship Id="rId1369" Type="http://schemas.openxmlformats.org/officeDocument/2006/relationships/hyperlink" Target="https://login.consultant.ru/link/?req=doc&amp;base=STR&amp;n=20899&amp;dst=100352" TargetMode="External"/><Relationship Id="rId1576" Type="http://schemas.openxmlformats.org/officeDocument/2006/relationships/image" Target="media/image824.wmf"/><Relationship Id="rId2974" Type="http://schemas.openxmlformats.org/officeDocument/2006/relationships/image" Target="media/image1847.wmf"/><Relationship Id="rId3818" Type="http://schemas.openxmlformats.org/officeDocument/2006/relationships/image" Target="media/image2621.wmf"/><Relationship Id="rId946" Type="http://schemas.openxmlformats.org/officeDocument/2006/relationships/image" Target="media/image457.wmf"/><Relationship Id="rId1229" Type="http://schemas.openxmlformats.org/officeDocument/2006/relationships/image" Target="media/image723.wmf"/><Relationship Id="rId1783" Type="http://schemas.openxmlformats.org/officeDocument/2006/relationships/image" Target="media/image1018.wmf"/><Relationship Id="rId1990" Type="http://schemas.openxmlformats.org/officeDocument/2006/relationships/image" Target="media/image1216.wmf"/><Relationship Id="rId2627" Type="http://schemas.openxmlformats.org/officeDocument/2006/relationships/hyperlink" Target="https://login.consultant.ru/link/?req=doc&amp;base=STR&amp;n=20899&amp;dst=100728" TargetMode="External"/><Relationship Id="rId2834" Type="http://schemas.openxmlformats.org/officeDocument/2006/relationships/hyperlink" Target="https://login.consultant.ru/link/?req=doc&amp;base=STR&amp;n=26765&amp;dst=101180" TargetMode="External"/><Relationship Id="rId75" Type="http://schemas.openxmlformats.org/officeDocument/2006/relationships/hyperlink" Target="https://login.consultant.ru/link/?req=doc&amp;base=STR&amp;n=20899&amp;dst=100034" TargetMode="External"/><Relationship Id="rId806" Type="http://schemas.openxmlformats.org/officeDocument/2006/relationships/image" Target="media/image329.wmf"/><Relationship Id="rId1436" Type="http://schemas.openxmlformats.org/officeDocument/2006/relationships/hyperlink" Target="https://login.consultant.ru/link/?req=doc&amp;base=STR&amp;n=26941" TargetMode="External"/><Relationship Id="rId1643" Type="http://schemas.openxmlformats.org/officeDocument/2006/relationships/image" Target="media/image882.wmf"/><Relationship Id="rId1850" Type="http://schemas.openxmlformats.org/officeDocument/2006/relationships/image" Target="media/image1078.wmf"/><Relationship Id="rId2901" Type="http://schemas.openxmlformats.org/officeDocument/2006/relationships/image" Target="media/image1778.wmf"/><Relationship Id="rId1503" Type="http://schemas.openxmlformats.org/officeDocument/2006/relationships/image" Target="media/image798.wmf"/><Relationship Id="rId1710" Type="http://schemas.openxmlformats.org/officeDocument/2006/relationships/image" Target="media/image946.wmf"/><Relationship Id="rId3468" Type="http://schemas.openxmlformats.org/officeDocument/2006/relationships/hyperlink" Target="https://login.consultant.ru/link/?req=doc&amp;base=STR&amp;n=33799&amp;dst=101508" TargetMode="External"/><Relationship Id="rId3675" Type="http://schemas.openxmlformats.org/officeDocument/2006/relationships/image" Target="media/image2484.wmf"/><Relationship Id="rId3882" Type="http://schemas.openxmlformats.org/officeDocument/2006/relationships/image" Target="media/image2685.wmf"/><Relationship Id="rId389" Type="http://schemas.openxmlformats.org/officeDocument/2006/relationships/hyperlink" Target="https://login.consultant.ru/link/?req=doc&amp;base=STR&amp;n=33799&amp;dst=100235" TargetMode="External"/><Relationship Id="rId596" Type="http://schemas.openxmlformats.org/officeDocument/2006/relationships/image" Target="media/image201.wmf"/><Relationship Id="rId2277" Type="http://schemas.openxmlformats.org/officeDocument/2006/relationships/image" Target="media/image1461.wmf"/><Relationship Id="rId2484" Type="http://schemas.openxmlformats.org/officeDocument/2006/relationships/image" Target="media/image1639.wmf"/><Relationship Id="rId2691" Type="http://schemas.openxmlformats.org/officeDocument/2006/relationships/hyperlink" Target="https://login.consultant.ru/link/?req=doc&amp;base=STR&amp;n=2791" TargetMode="External"/><Relationship Id="rId3328" Type="http://schemas.openxmlformats.org/officeDocument/2006/relationships/image" Target="media/image2172.wmf"/><Relationship Id="rId3535" Type="http://schemas.openxmlformats.org/officeDocument/2006/relationships/image" Target="media/image2352.wmf"/><Relationship Id="rId3742" Type="http://schemas.openxmlformats.org/officeDocument/2006/relationships/image" Target="media/image2549.wmf"/><Relationship Id="rId249" Type="http://schemas.openxmlformats.org/officeDocument/2006/relationships/hyperlink" Target="https://login.consultant.ru/link/?req=doc&amp;base=STR&amp;n=25642" TargetMode="External"/><Relationship Id="rId456" Type="http://schemas.openxmlformats.org/officeDocument/2006/relationships/image" Target="media/image115.wmf"/><Relationship Id="rId663" Type="http://schemas.openxmlformats.org/officeDocument/2006/relationships/image" Target="media/image252.wmf"/><Relationship Id="rId870" Type="http://schemas.openxmlformats.org/officeDocument/2006/relationships/image" Target="media/image387.wmf"/><Relationship Id="rId1086" Type="http://schemas.openxmlformats.org/officeDocument/2006/relationships/image" Target="media/image593.wmf"/><Relationship Id="rId1293" Type="http://schemas.openxmlformats.org/officeDocument/2006/relationships/image" Target="media/image782.wmf"/><Relationship Id="rId2137" Type="http://schemas.openxmlformats.org/officeDocument/2006/relationships/hyperlink" Target="https://login.consultant.ru/link/?req=doc&amp;base=STR&amp;n=33799&amp;dst=100931" TargetMode="External"/><Relationship Id="rId2344" Type="http://schemas.openxmlformats.org/officeDocument/2006/relationships/image" Target="media/image1525.wmf"/><Relationship Id="rId2551" Type="http://schemas.openxmlformats.org/officeDocument/2006/relationships/image" Target="media/image1705.wmf"/><Relationship Id="rId109" Type="http://schemas.openxmlformats.org/officeDocument/2006/relationships/hyperlink" Target="https://login.consultant.ru/link/?req=doc&amp;base=STR&amp;n=20899&amp;dst=100042" TargetMode="External"/><Relationship Id="rId316" Type="http://schemas.openxmlformats.org/officeDocument/2006/relationships/hyperlink" Target="https://login.consultant.ru/link/?req=doc&amp;base=STR&amp;n=33799&amp;dst=100203" TargetMode="External"/><Relationship Id="rId523" Type="http://schemas.openxmlformats.org/officeDocument/2006/relationships/image" Target="media/image165.wmf"/><Relationship Id="rId1153" Type="http://schemas.openxmlformats.org/officeDocument/2006/relationships/hyperlink" Target="https://login.consultant.ru/link/?req=doc&amp;base=STR&amp;n=20899&amp;dst=100305" TargetMode="External"/><Relationship Id="rId2204" Type="http://schemas.openxmlformats.org/officeDocument/2006/relationships/image" Target="media/image1398.wmf"/><Relationship Id="rId3602" Type="http://schemas.openxmlformats.org/officeDocument/2006/relationships/image" Target="media/image2417.wmf"/><Relationship Id="rId730" Type="http://schemas.openxmlformats.org/officeDocument/2006/relationships/hyperlink" Target="https://login.consultant.ru/link/?req=doc&amp;base=STR&amp;n=26765&amp;dst=100561" TargetMode="External"/><Relationship Id="rId1013" Type="http://schemas.openxmlformats.org/officeDocument/2006/relationships/image" Target="media/image522.wmf"/><Relationship Id="rId1360" Type="http://schemas.openxmlformats.org/officeDocument/2006/relationships/hyperlink" Target="https://login.consultant.ru/link/?req=doc&amp;base=STR&amp;n=26765&amp;dst=100792" TargetMode="External"/><Relationship Id="rId2411" Type="http://schemas.openxmlformats.org/officeDocument/2006/relationships/hyperlink" Target="https://login.consultant.ru/link/?req=doc&amp;base=STR&amp;n=25722" TargetMode="External"/><Relationship Id="rId1220" Type="http://schemas.openxmlformats.org/officeDocument/2006/relationships/image" Target="media/image714.wmf"/><Relationship Id="rId3185" Type="http://schemas.openxmlformats.org/officeDocument/2006/relationships/image" Target="media/image2030.wmf"/><Relationship Id="rId3392" Type="http://schemas.openxmlformats.org/officeDocument/2006/relationships/image" Target="media/image2230.wmf"/><Relationship Id="rId4029" Type="http://schemas.openxmlformats.org/officeDocument/2006/relationships/image" Target="media/image2820.wmf"/><Relationship Id="rId3045" Type="http://schemas.openxmlformats.org/officeDocument/2006/relationships/image" Target="media/image1918.wmf"/><Relationship Id="rId3252" Type="http://schemas.openxmlformats.org/officeDocument/2006/relationships/image" Target="media/image2097.wmf"/><Relationship Id="rId173" Type="http://schemas.openxmlformats.org/officeDocument/2006/relationships/hyperlink" Target="https://login.consultant.ru/link/?req=doc&amp;base=STR&amp;n=33799&amp;dst=100129" TargetMode="External"/><Relationship Id="rId380" Type="http://schemas.openxmlformats.org/officeDocument/2006/relationships/image" Target="media/image66.wmf"/><Relationship Id="rId2061" Type="http://schemas.openxmlformats.org/officeDocument/2006/relationships/image" Target="media/image1287.wmf"/><Relationship Id="rId3112" Type="http://schemas.openxmlformats.org/officeDocument/2006/relationships/image" Target="media/image1985.wmf"/><Relationship Id="rId240" Type="http://schemas.openxmlformats.org/officeDocument/2006/relationships/hyperlink" Target="https://login.consultant.ru/link/?req=doc&amp;base=STR&amp;n=20899&amp;dst=100078" TargetMode="External"/><Relationship Id="rId100" Type="http://schemas.openxmlformats.org/officeDocument/2006/relationships/hyperlink" Target="https://login.consultant.ru/link/?req=doc&amp;base=STR&amp;n=26137" TargetMode="External"/><Relationship Id="rId2878" Type="http://schemas.openxmlformats.org/officeDocument/2006/relationships/image" Target="media/image1755.wmf"/><Relationship Id="rId3929" Type="http://schemas.openxmlformats.org/officeDocument/2006/relationships/image" Target="media/image2732.wmf"/><Relationship Id="rId1687" Type="http://schemas.openxmlformats.org/officeDocument/2006/relationships/image" Target="media/image923.wmf"/><Relationship Id="rId1894" Type="http://schemas.openxmlformats.org/officeDocument/2006/relationships/image" Target="media/image1122.wmf"/><Relationship Id="rId2738" Type="http://schemas.openxmlformats.org/officeDocument/2006/relationships/hyperlink" Target="https://login.consultant.ru/link/?req=doc&amp;base=STR&amp;n=18818" TargetMode="External"/><Relationship Id="rId2945" Type="http://schemas.openxmlformats.org/officeDocument/2006/relationships/image" Target="media/image1818.wmf"/><Relationship Id="rId917" Type="http://schemas.openxmlformats.org/officeDocument/2006/relationships/image" Target="media/image428.wmf"/><Relationship Id="rId1547" Type="http://schemas.openxmlformats.org/officeDocument/2006/relationships/hyperlink" Target="https://login.consultant.ru/link/?req=doc&amp;base=STR&amp;n=25187" TargetMode="External"/><Relationship Id="rId1754" Type="http://schemas.openxmlformats.org/officeDocument/2006/relationships/image" Target="media/image989.wmf"/><Relationship Id="rId1961" Type="http://schemas.openxmlformats.org/officeDocument/2006/relationships/image" Target="media/image1188.wmf"/><Relationship Id="rId2805" Type="http://schemas.openxmlformats.org/officeDocument/2006/relationships/hyperlink" Target="https://login.consultant.ru/link/?req=doc&amp;base=STR&amp;n=34159&amp;dst=100023" TargetMode="External"/><Relationship Id="rId46" Type="http://schemas.openxmlformats.org/officeDocument/2006/relationships/hyperlink" Target="https://login.consultant.ru/link/?req=doc&amp;base=STR&amp;n=26765&amp;dst=100017" TargetMode="External"/><Relationship Id="rId1407" Type="http://schemas.openxmlformats.org/officeDocument/2006/relationships/hyperlink" Target="https://login.consultant.ru/link/?req=doc&amp;base=STR&amp;n=33292" TargetMode="External"/><Relationship Id="rId1614" Type="http://schemas.openxmlformats.org/officeDocument/2006/relationships/image" Target="media/image853.wmf"/><Relationship Id="rId1821" Type="http://schemas.openxmlformats.org/officeDocument/2006/relationships/image" Target="media/image1054.wmf"/><Relationship Id="rId4020" Type="http://schemas.openxmlformats.org/officeDocument/2006/relationships/image" Target="media/image2811.wmf"/><Relationship Id="rId3579" Type="http://schemas.openxmlformats.org/officeDocument/2006/relationships/image" Target="media/image2395.wmf"/><Relationship Id="rId3786" Type="http://schemas.openxmlformats.org/officeDocument/2006/relationships/image" Target="media/image2592.wmf"/><Relationship Id="rId2388" Type="http://schemas.openxmlformats.org/officeDocument/2006/relationships/image" Target="media/image1568.wmf"/><Relationship Id="rId2595" Type="http://schemas.openxmlformats.org/officeDocument/2006/relationships/hyperlink" Target="https://login.consultant.ru/link/?req=doc&amp;base=STR&amp;n=33799&amp;dst=101049" TargetMode="External"/><Relationship Id="rId3439" Type="http://schemas.openxmlformats.org/officeDocument/2006/relationships/hyperlink" Target="https://login.consultant.ru/link/?req=doc&amp;base=STR&amp;n=20899&amp;dst=100951" TargetMode="External"/><Relationship Id="rId3993" Type="http://schemas.openxmlformats.org/officeDocument/2006/relationships/image" Target="media/image2794.wmf"/><Relationship Id="rId567" Type="http://schemas.openxmlformats.org/officeDocument/2006/relationships/hyperlink" Target="https://login.consultant.ru/link/?req=doc&amp;base=STR&amp;n=20899&amp;dst=100167" TargetMode="External"/><Relationship Id="rId1197" Type="http://schemas.openxmlformats.org/officeDocument/2006/relationships/image" Target="media/image692.wmf"/><Relationship Id="rId2248" Type="http://schemas.openxmlformats.org/officeDocument/2006/relationships/image" Target="media/image1432.wmf"/><Relationship Id="rId3646" Type="http://schemas.openxmlformats.org/officeDocument/2006/relationships/image" Target="media/image2456.wmf"/><Relationship Id="rId3853" Type="http://schemas.openxmlformats.org/officeDocument/2006/relationships/image" Target="media/image2656.wmf"/><Relationship Id="rId774" Type="http://schemas.openxmlformats.org/officeDocument/2006/relationships/image" Target="media/image308.wmf"/><Relationship Id="rId981" Type="http://schemas.openxmlformats.org/officeDocument/2006/relationships/image" Target="media/image491.wmf"/><Relationship Id="rId1057" Type="http://schemas.openxmlformats.org/officeDocument/2006/relationships/image" Target="media/image565.wmf"/><Relationship Id="rId2455" Type="http://schemas.openxmlformats.org/officeDocument/2006/relationships/image" Target="media/image1613.wmf"/><Relationship Id="rId2662" Type="http://schemas.openxmlformats.org/officeDocument/2006/relationships/image" Target="media/image1740.wmf"/><Relationship Id="rId3506" Type="http://schemas.openxmlformats.org/officeDocument/2006/relationships/image" Target="media/image2327.wmf"/><Relationship Id="rId3713" Type="http://schemas.openxmlformats.org/officeDocument/2006/relationships/image" Target="media/image2520.wmf"/><Relationship Id="rId3920" Type="http://schemas.openxmlformats.org/officeDocument/2006/relationships/image" Target="media/image2723.wmf"/><Relationship Id="rId427" Type="http://schemas.openxmlformats.org/officeDocument/2006/relationships/image" Target="media/image102.wmf"/><Relationship Id="rId634" Type="http://schemas.openxmlformats.org/officeDocument/2006/relationships/image" Target="media/image224.wmf"/><Relationship Id="rId841" Type="http://schemas.openxmlformats.org/officeDocument/2006/relationships/image" Target="media/image364.wmf"/><Relationship Id="rId1264" Type="http://schemas.openxmlformats.org/officeDocument/2006/relationships/image" Target="media/image756.wmf"/><Relationship Id="rId1471" Type="http://schemas.openxmlformats.org/officeDocument/2006/relationships/hyperlink" Target="https://login.consultant.ru/link/?req=doc&amp;base=STR&amp;n=28725" TargetMode="External"/><Relationship Id="rId2108" Type="http://schemas.openxmlformats.org/officeDocument/2006/relationships/image" Target="media/image1331.wmf"/><Relationship Id="rId2315" Type="http://schemas.openxmlformats.org/officeDocument/2006/relationships/image" Target="media/image1497.wmf"/><Relationship Id="rId2522" Type="http://schemas.openxmlformats.org/officeDocument/2006/relationships/image" Target="media/image1676.wmf"/><Relationship Id="rId701" Type="http://schemas.openxmlformats.org/officeDocument/2006/relationships/image" Target="media/image275.wmf"/><Relationship Id="rId1124" Type="http://schemas.openxmlformats.org/officeDocument/2006/relationships/image" Target="media/image629.wmf"/><Relationship Id="rId1331" Type="http://schemas.openxmlformats.org/officeDocument/2006/relationships/image" Target="media/image789.wmf"/><Relationship Id="rId3089" Type="http://schemas.openxmlformats.org/officeDocument/2006/relationships/image" Target="media/image1962.wmf"/><Relationship Id="rId3296" Type="http://schemas.openxmlformats.org/officeDocument/2006/relationships/image" Target="media/image2141.wmf"/><Relationship Id="rId3156" Type="http://schemas.openxmlformats.org/officeDocument/2006/relationships/hyperlink" Target="https://login.consultant.ru/link/?req=doc&amp;base=STR&amp;n=20741" TargetMode="External"/><Relationship Id="rId3363" Type="http://schemas.openxmlformats.org/officeDocument/2006/relationships/image" Target="media/image2204.wmf"/><Relationship Id="rId284" Type="http://schemas.openxmlformats.org/officeDocument/2006/relationships/hyperlink" Target="https://login.consultant.ru/link/?req=doc&amp;base=LAW&amp;n=471634&amp;dst=100044" TargetMode="External"/><Relationship Id="rId491" Type="http://schemas.openxmlformats.org/officeDocument/2006/relationships/hyperlink" Target="https://login.consultant.ru/link/?req=doc&amp;base=STR&amp;n=34261" TargetMode="External"/><Relationship Id="rId2172" Type="http://schemas.openxmlformats.org/officeDocument/2006/relationships/hyperlink" Target="https://login.consultant.ru/link/?req=doc&amp;base=STR&amp;n=26765&amp;dst=101094" TargetMode="External"/><Relationship Id="rId3016" Type="http://schemas.openxmlformats.org/officeDocument/2006/relationships/image" Target="media/image1889.wmf"/><Relationship Id="rId3223" Type="http://schemas.openxmlformats.org/officeDocument/2006/relationships/image" Target="media/image2068.wmf"/><Relationship Id="rId3570" Type="http://schemas.openxmlformats.org/officeDocument/2006/relationships/image" Target="media/image2386.wmf"/><Relationship Id="rId144" Type="http://schemas.openxmlformats.org/officeDocument/2006/relationships/hyperlink" Target="https://login.consultant.ru/link/?req=doc&amp;base=STR&amp;n=26765&amp;dst=100055" TargetMode="External"/><Relationship Id="rId3430" Type="http://schemas.openxmlformats.org/officeDocument/2006/relationships/image" Target="media/image2266.wmf"/><Relationship Id="rId351" Type="http://schemas.openxmlformats.org/officeDocument/2006/relationships/image" Target="media/image41.wmf"/><Relationship Id="rId2032" Type="http://schemas.openxmlformats.org/officeDocument/2006/relationships/image" Target="media/image1258.wmf"/><Relationship Id="rId2989" Type="http://schemas.openxmlformats.org/officeDocument/2006/relationships/image" Target="media/image1862.wmf"/><Relationship Id="rId211" Type="http://schemas.openxmlformats.org/officeDocument/2006/relationships/hyperlink" Target="https://login.consultant.ru/link/?req=doc&amp;base=STR&amp;n=14203" TargetMode="External"/><Relationship Id="rId1798" Type="http://schemas.openxmlformats.org/officeDocument/2006/relationships/image" Target="media/image1033.wmf"/><Relationship Id="rId2849" Type="http://schemas.openxmlformats.org/officeDocument/2006/relationships/hyperlink" Target="https://login.consultant.ru/link/?req=doc&amp;base=STR&amp;n=26765&amp;dst=101153" TargetMode="External"/><Relationship Id="rId1658" Type="http://schemas.openxmlformats.org/officeDocument/2006/relationships/image" Target="media/image897.wmf"/><Relationship Id="rId1865" Type="http://schemas.openxmlformats.org/officeDocument/2006/relationships/image" Target="media/image1093.wmf"/><Relationship Id="rId2709" Type="http://schemas.openxmlformats.org/officeDocument/2006/relationships/hyperlink" Target="https://login.consultant.ru/link/?req=doc&amp;base=STR&amp;n=21534" TargetMode="External"/><Relationship Id="rId1518" Type="http://schemas.openxmlformats.org/officeDocument/2006/relationships/hyperlink" Target="https://login.consultant.ru/link/?req=doc&amp;base=STR&amp;n=26941" TargetMode="External"/><Relationship Id="rId2916" Type="http://schemas.openxmlformats.org/officeDocument/2006/relationships/image" Target="media/image1789.wmf"/><Relationship Id="rId3080" Type="http://schemas.openxmlformats.org/officeDocument/2006/relationships/image" Target="media/image1953.wmf"/><Relationship Id="rId1725" Type="http://schemas.openxmlformats.org/officeDocument/2006/relationships/image" Target="media/image961.wmf"/><Relationship Id="rId1932" Type="http://schemas.openxmlformats.org/officeDocument/2006/relationships/image" Target="media/image1160.wmf"/><Relationship Id="rId17" Type="http://schemas.openxmlformats.org/officeDocument/2006/relationships/hyperlink" Target="https://login.consultant.ru/link/?req=doc&amp;base=LAW&amp;n=489064&amp;dst=100008" TargetMode="External"/><Relationship Id="rId3897" Type="http://schemas.openxmlformats.org/officeDocument/2006/relationships/image" Target="media/image2700.wmf"/><Relationship Id="rId2499" Type="http://schemas.openxmlformats.org/officeDocument/2006/relationships/image" Target="media/image1654.wmf"/><Relationship Id="rId3757" Type="http://schemas.openxmlformats.org/officeDocument/2006/relationships/image" Target="media/image2563.wmf"/><Relationship Id="rId3964" Type="http://schemas.openxmlformats.org/officeDocument/2006/relationships/image" Target="media/image2767.wmf"/><Relationship Id="rId1" Type="http://schemas.openxmlformats.org/officeDocument/2006/relationships/styles" Target="styles.xml"/><Relationship Id="rId678" Type="http://schemas.openxmlformats.org/officeDocument/2006/relationships/image" Target="media/image264.wmf"/><Relationship Id="rId885" Type="http://schemas.openxmlformats.org/officeDocument/2006/relationships/image" Target="media/image402.wmf"/><Relationship Id="rId2359" Type="http://schemas.openxmlformats.org/officeDocument/2006/relationships/image" Target="media/image1539.wmf"/><Relationship Id="rId2566" Type="http://schemas.openxmlformats.org/officeDocument/2006/relationships/image" Target="media/image1720.wmf"/><Relationship Id="rId2773" Type="http://schemas.openxmlformats.org/officeDocument/2006/relationships/hyperlink" Target="https://login.consultant.ru/link/?req=doc&amp;base=STR&amp;n=26016" TargetMode="External"/><Relationship Id="rId2980" Type="http://schemas.openxmlformats.org/officeDocument/2006/relationships/image" Target="media/image1853.wmf"/><Relationship Id="rId3617" Type="http://schemas.openxmlformats.org/officeDocument/2006/relationships/image" Target="media/image2430.wmf"/><Relationship Id="rId3824" Type="http://schemas.openxmlformats.org/officeDocument/2006/relationships/image" Target="media/image2627.wmf"/><Relationship Id="rId538" Type="http://schemas.openxmlformats.org/officeDocument/2006/relationships/hyperlink" Target="https://login.consultant.ru/link/?req=doc&amp;base=STR&amp;n=33799&amp;dst=100269" TargetMode="External"/><Relationship Id="rId745" Type="http://schemas.openxmlformats.org/officeDocument/2006/relationships/hyperlink" Target="https://login.consultant.ru/link/?req=doc&amp;base=STR&amp;n=2694" TargetMode="External"/><Relationship Id="rId952" Type="http://schemas.openxmlformats.org/officeDocument/2006/relationships/image" Target="media/image463.wmf"/><Relationship Id="rId1168" Type="http://schemas.openxmlformats.org/officeDocument/2006/relationships/image" Target="media/image667.wmf"/><Relationship Id="rId1375" Type="http://schemas.openxmlformats.org/officeDocument/2006/relationships/hyperlink" Target="https://login.consultant.ru/link/?req=doc&amp;base=STR&amp;n=33799&amp;dst=100544" TargetMode="External"/><Relationship Id="rId1582" Type="http://schemas.openxmlformats.org/officeDocument/2006/relationships/image" Target="media/image827.wmf"/><Relationship Id="rId2219" Type="http://schemas.openxmlformats.org/officeDocument/2006/relationships/image" Target="media/image1403.wmf"/><Relationship Id="rId2426" Type="http://schemas.openxmlformats.org/officeDocument/2006/relationships/hyperlink" Target="https://login.consultant.ru/link/?req=doc&amp;base=STR&amp;n=33000" TargetMode="External"/><Relationship Id="rId2633" Type="http://schemas.openxmlformats.org/officeDocument/2006/relationships/hyperlink" Target="https://login.consultant.ru/link/?req=doc&amp;base=STR&amp;n=20899&amp;dst=100732" TargetMode="External"/><Relationship Id="rId81" Type="http://schemas.openxmlformats.org/officeDocument/2006/relationships/image" Target="media/image3.wmf"/><Relationship Id="rId605" Type="http://schemas.openxmlformats.org/officeDocument/2006/relationships/image" Target="media/image208.wmf"/><Relationship Id="rId812" Type="http://schemas.openxmlformats.org/officeDocument/2006/relationships/image" Target="media/image335.wmf"/><Relationship Id="rId1028" Type="http://schemas.openxmlformats.org/officeDocument/2006/relationships/image" Target="media/image537.wmf"/><Relationship Id="rId1235" Type="http://schemas.openxmlformats.org/officeDocument/2006/relationships/image" Target="media/image728.wmf"/><Relationship Id="rId1442" Type="http://schemas.openxmlformats.org/officeDocument/2006/relationships/hyperlink" Target="https://login.consultant.ru/link/?req=doc&amp;base=STR&amp;n=26941" TargetMode="External"/><Relationship Id="rId2840" Type="http://schemas.openxmlformats.org/officeDocument/2006/relationships/hyperlink" Target="https://login.consultant.ru/link/?req=doc&amp;base=STR&amp;n=26765&amp;dst=101153" TargetMode="External"/><Relationship Id="rId1302" Type="http://schemas.openxmlformats.org/officeDocument/2006/relationships/hyperlink" Target="https://login.consultant.ru/link/?req=doc&amp;base=STR&amp;n=20899&amp;dst=100312" TargetMode="External"/><Relationship Id="rId2700" Type="http://schemas.openxmlformats.org/officeDocument/2006/relationships/hyperlink" Target="https://login.consultant.ru/link/?req=doc&amp;base=STR&amp;n=2607" TargetMode="External"/><Relationship Id="rId3267" Type="http://schemas.openxmlformats.org/officeDocument/2006/relationships/image" Target="media/image2112.wmf"/><Relationship Id="rId188" Type="http://schemas.openxmlformats.org/officeDocument/2006/relationships/hyperlink" Target="https://login.consultant.ru/link/?req=doc&amp;base=STR&amp;n=26765&amp;dst=100066" TargetMode="External"/><Relationship Id="rId395" Type="http://schemas.openxmlformats.org/officeDocument/2006/relationships/hyperlink" Target="https://login.consultant.ru/link/?req=doc&amp;base=STR&amp;n=20899&amp;dst=100134" TargetMode="External"/><Relationship Id="rId2076" Type="http://schemas.openxmlformats.org/officeDocument/2006/relationships/image" Target="media/image1302.wmf"/><Relationship Id="rId3474" Type="http://schemas.openxmlformats.org/officeDocument/2006/relationships/hyperlink" Target="https://login.consultant.ru/link/?req=doc&amp;base=STR&amp;n=30774" TargetMode="External"/><Relationship Id="rId3681" Type="http://schemas.openxmlformats.org/officeDocument/2006/relationships/image" Target="media/image2489.wmf"/><Relationship Id="rId2283" Type="http://schemas.openxmlformats.org/officeDocument/2006/relationships/image" Target="media/image1467.wmf"/><Relationship Id="rId2490" Type="http://schemas.openxmlformats.org/officeDocument/2006/relationships/image" Target="media/image1645.wmf"/><Relationship Id="rId3127" Type="http://schemas.openxmlformats.org/officeDocument/2006/relationships/image" Target="media/image2000.wmf"/><Relationship Id="rId3334" Type="http://schemas.openxmlformats.org/officeDocument/2006/relationships/image" Target="media/image2178.wmf"/><Relationship Id="rId3541" Type="http://schemas.openxmlformats.org/officeDocument/2006/relationships/image" Target="media/image2357.wmf"/><Relationship Id="rId255" Type="http://schemas.openxmlformats.org/officeDocument/2006/relationships/hyperlink" Target="https://login.consultant.ru/link/?req=doc&amp;base=STR&amp;n=33799&amp;dst=100181" TargetMode="External"/><Relationship Id="rId462" Type="http://schemas.openxmlformats.org/officeDocument/2006/relationships/image" Target="media/image119.wmf"/><Relationship Id="rId1092" Type="http://schemas.openxmlformats.org/officeDocument/2006/relationships/image" Target="media/image599.wmf"/><Relationship Id="rId2143" Type="http://schemas.openxmlformats.org/officeDocument/2006/relationships/image" Target="media/image1361.wmf"/><Relationship Id="rId2350" Type="http://schemas.openxmlformats.org/officeDocument/2006/relationships/image" Target="media/image1531.wmf"/><Relationship Id="rId3401" Type="http://schemas.openxmlformats.org/officeDocument/2006/relationships/image" Target="media/image2238.wmf"/><Relationship Id="rId115" Type="http://schemas.openxmlformats.org/officeDocument/2006/relationships/image" Target="media/image6.wmf"/><Relationship Id="rId322" Type="http://schemas.openxmlformats.org/officeDocument/2006/relationships/hyperlink" Target="https://login.consultant.ru/link/?req=doc&amp;base=STR&amp;n=26765&amp;dst=100134" TargetMode="External"/><Relationship Id="rId2003" Type="http://schemas.openxmlformats.org/officeDocument/2006/relationships/image" Target="media/image1229.wmf"/><Relationship Id="rId2210" Type="http://schemas.openxmlformats.org/officeDocument/2006/relationships/image" Target="media/image1399.wmf"/><Relationship Id="rId1769" Type="http://schemas.openxmlformats.org/officeDocument/2006/relationships/image" Target="media/image1004.wmf"/><Relationship Id="rId1976" Type="http://schemas.openxmlformats.org/officeDocument/2006/relationships/hyperlink" Target="https://login.consultant.ru/link/?req=doc&amp;base=STR&amp;n=26765&amp;dst=101060" TargetMode="External"/><Relationship Id="rId3191" Type="http://schemas.openxmlformats.org/officeDocument/2006/relationships/image" Target="media/image2036.wmf"/><Relationship Id="rId4035" Type="http://schemas.openxmlformats.org/officeDocument/2006/relationships/image" Target="media/image2826.wmf"/><Relationship Id="rId1629" Type="http://schemas.openxmlformats.org/officeDocument/2006/relationships/image" Target="media/image868.wmf"/><Relationship Id="rId1836" Type="http://schemas.openxmlformats.org/officeDocument/2006/relationships/image" Target="media/image1065.wmf"/><Relationship Id="rId1903" Type="http://schemas.openxmlformats.org/officeDocument/2006/relationships/image" Target="media/image1131.wmf"/><Relationship Id="rId3051" Type="http://schemas.openxmlformats.org/officeDocument/2006/relationships/image" Target="media/image1924.wmf"/><Relationship Id="rId3868" Type="http://schemas.openxmlformats.org/officeDocument/2006/relationships/image" Target="media/image2671.wmf"/><Relationship Id="rId789" Type="http://schemas.openxmlformats.org/officeDocument/2006/relationships/hyperlink" Target="https://login.consultant.ru/link/?req=doc&amp;base=STR&amp;n=26765&amp;dst=100571" TargetMode="External"/><Relationship Id="rId996" Type="http://schemas.openxmlformats.org/officeDocument/2006/relationships/image" Target="media/image505.wmf"/><Relationship Id="rId2677" Type="http://schemas.openxmlformats.org/officeDocument/2006/relationships/hyperlink" Target="https://login.consultant.ru/link/?req=doc&amp;base=STR&amp;n=26765&amp;dst=101124" TargetMode="External"/><Relationship Id="rId2884" Type="http://schemas.openxmlformats.org/officeDocument/2006/relationships/image" Target="media/image1761.wmf"/><Relationship Id="rId3728" Type="http://schemas.openxmlformats.org/officeDocument/2006/relationships/image" Target="media/image2535.wmf"/><Relationship Id="rId649" Type="http://schemas.openxmlformats.org/officeDocument/2006/relationships/image" Target="media/image239.wmf"/><Relationship Id="rId856" Type="http://schemas.openxmlformats.org/officeDocument/2006/relationships/image" Target="media/image377.wmf"/><Relationship Id="rId1279" Type="http://schemas.openxmlformats.org/officeDocument/2006/relationships/image" Target="media/image768.wmf"/><Relationship Id="rId1486" Type="http://schemas.openxmlformats.org/officeDocument/2006/relationships/hyperlink" Target="https://login.consultant.ru/link/?req=doc&amp;base=STR&amp;n=26941" TargetMode="External"/><Relationship Id="rId2537" Type="http://schemas.openxmlformats.org/officeDocument/2006/relationships/image" Target="media/image1691.wmf"/><Relationship Id="rId3935" Type="http://schemas.openxmlformats.org/officeDocument/2006/relationships/image" Target="media/image2738.wmf"/><Relationship Id="rId509" Type="http://schemas.openxmlformats.org/officeDocument/2006/relationships/hyperlink" Target="https://login.consultant.ru/link/?req=doc&amp;base=STR&amp;n=33799&amp;dst=100262" TargetMode="External"/><Relationship Id="rId1139" Type="http://schemas.openxmlformats.org/officeDocument/2006/relationships/image" Target="media/image641.wmf"/><Relationship Id="rId1346" Type="http://schemas.openxmlformats.org/officeDocument/2006/relationships/hyperlink" Target="https://login.consultant.ru/link/?req=doc&amp;base=STR&amp;n=26765&amp;dst=100784" TargetMode="External"/><Relationship Id="rId1693" Type="http://schemas.openxmlformats.org/officeDocument/2006/relationships/image" Target="media/image929.wmf"/><Relationship Id="rId2744" Type="http://schemas.openxmlformats.org/officeDocument/2006/relationships/hyperlink" Target="https://login.consultant.ru/link/?req=doc&amp;base=STR&amp;n=20024" TargetMode="External"/><Relationship Id="rId2951" Type="http://schemas.openxmlformats.org/officeDocument/2006/relationships/image" Target="media/image1824.wmf"/><Relationship Id="rId716" Type="http://schemas.openxmlformats.org/officeDocument/2006/relationships/image" Target="media/image284.wmf"/><Relationship Id="rId923" Type="http://schemas.openxmlformats.org/officeDocument/2006/relationships/image" Target="media/image434.wmf"/><Relationship Id="rId1553" Type="http://schemas.openxmlformats.org/officeDocument/2006/relationships/image" Target="media/image810.wmf"/><Relationship Id="rId1760" Type="http://schemas.openxmlformats.org/officeDocument/2006/relationships/image" Target="media/image995.wmf"/><Relationship Id="rId2604" Type="http://schemas.openxmlformats.org/officeDocument/2006/relationships/image" Target="media/image1730.wmf"/><Relationship Id="rId2811" Type="http://schemas.openxmlformats.org/officeDocument/2006/relationships/hyperlink" Target="https://login.consultant.ru/link/?req=doc&amp;base=STR&amp;n=30072" TargetMode="External"/><Relationship Id="rId52" Type="http://schemas.openxmlformats.org/officeDocument/2006/relationships/hyperlink" Target="https://login.consultant.ru/link/?req=doc&amp;base=STR&amp;n=26765&amp;dst=100025" TargetMode="External"/><Relationship Id="rId1206" Type="http://schemas.openxmlformats.org/officeDocument/2006/relationships/image" Target="media/image700.wmf"/><Relationship Id="rId1413" Type="http://schemas.openxmlformats.org/officeDocument/2006/relationships/hyperlink" Target="https://login.consultant.ru/link/?req=doc&amp;base=STR&amp;n=33799&amp;dst=100556" TargetMode="External"/><Relationship Id="rId1620" Type="http://schemas.openxmlformats.org/officeDocument/2006/relationships/image" Target="media/image859.wmf"/><Relationship Id="rId3378" Type="http://schemas.openxmlformats.org/officeDocument/2006/relationships/image" Target="media/image2219.wmf"/><Relationship Id="rId3585" Type="http://schemas.openxmlformats.org/officeDocument/2006/relationships/image" Target="media/image2401.wmf"/><Relationship Id="rId3792" Type="http://schemas.openxmlformats.org/officeDocument/2006/relationships/image" Target="media/image2598.wmf"/><Relationship Id="rId299" Type="http://schemas.openxmlformats.org/officeDocument/2006/relationships/hyperlink" Target="https://login.consultant.ru/link/?req=doc&amp;base=STR&amp;n=20899&amp;dst=100099" TargetMode="External"/><Relationship Id="rId2187" Type="http://schemas.openxmlformats.org/officeDocument/2006/relationships/image" Target="media/image1384.wmf"/><Relationship Id="rId2394" Type="http://schemas.openxmlformats.org/officeDocument/2006/relationships/image" Target="media/image1574.wmf"/><Relationship Id="rId3238" Type="http://schemas.openxmlformats.org/officeDocument/2006/relationships/image" Target="media/image2083.wmf"/><Relationship Id="rId3445" Type="http://schemas.openxmlformats.org/officeDocument/2006/relationships/image" Target="media/image2279.wmf"/><Relationship Id="rId3652" Type="http://schemas.openxmlformats.org/officeDocument/2006/relationships/image" Target="media/image2462.wmf"/><Relationship Id="rId159" Type="http://schemas.openxmlformats.org/officeDocument/2006/relationships/hyperlink" Target="https://login.consultant.ru/link/?req=doc&amp;base=STR&amp;n=20899&amp;dst=100048" TargetMode="External"/><Relationship Id="rId366" Type="http://schemas.openxmlformats.org/officeDocument/2006/relationships/image" Target="media/image53.wmf"/><Relationship Id="rId573" Type="http://schemas.openxmlformats.org/officeDocument/2006/relationships/image" Target="media/image188.wmf"/><Relationship Id="rId780" Type="http://schemas.openxmlformats.org/officeDocument/2006/relationships/image" Target="media/image313.wmf"/><Relationship Id="rId2047" Type="http://schemas.openxmlformats.org/officeDocument/2006/relationships/image" Target="media/image1273.wmf"/><Relationship Id="rId2254" Type="http://schemas.openxmlformats.org/officeDocument/2006/relationships/image" Target="media/image1438.wmf"/><Relationship Id="rId2461" Type="http://schemas.openxmlformats.org/officeDocument/2006/relationships/image" Target="media/image1618.wmf"/><Relationship Id="rId3305" Type="http://schemas.openxmlformats.org/officeDocument/2006/relationships/image" Target="media/image2150.wmf"/><Relationship Id="rId3512" Type="http://schemas.openxmlformats.org/officeDocument/2006/relationships/image" Target="media/image2333.wmf"/><Relationship Id="rId226" Type="http://schemas.openxmlformats.org/officeDocument/2006/relationships/hyperlink" Target="https://login.consultant.ru/link/?req=doc&amp;base=STR&amp;n=26765&amp;dst=100082" TargetMode="External"/><Relationship Id="rId433" Type="http://schemas.openxmlformats.org/officeDocument/2006/relationships/image" Target="media/image104.wmf"/><Relationship Id="rId1063" Type="http://schemas.openxmlformats.org/officeDocument/2006/relationships/image" Target="media/image570.wmf"/><Relationship Id="rId1270" Type="http://schemas.openxmlformats.org/officeDocument/2006/relationships/image" Target="media/image762.wmf"/><Relationship Id="rId2114" Type="http://schemas.openxmlformats.org/officeDocument/2006/relationships/image" Target="media/image1337.wmf"/><Relationship Id="rId640" Type="http://schemas.openxmlformats.org/officeDocument/2006/relationships/image" Target="media/image230.wmf"/><Relationship Id="rId2321" Type="http://schemas.openxmlformats.org/officeDocument/2006/relationships/image" Target="media/image1503.wmf"/><Relationship Id="rId500" Type="http://schemas.openxmlformats.org/officeDocument/2006/relationships/image" Target="media/image151.wmf"/><Relationship Id="rId1130" Type="http://schemas.openxmlformats.org/officeDocument/2006/relationships/image" Target="media/image635.wmf"/><Relationship Id="rId1947" Type="http://schemas.openxmlformats.org/officeDocument/2006/relationships/image" Target="media/image1174.wmf"/><Relationship Id="rId3095" Type="http://schemas.openxmlformats.org/officeDocument/2006/relationships/image" Target="media/image1968.wmf"/><Relationship Id="rId1807" Type="http://schemas.openxmlformats.org/officeDocument/2006/relationships/image" Target="media/image1042.wmf"/><Relationship Id="rId3162" Type="http://schemas.openxmlformats.org/officeDocument/2006/relationships/image" Target="media/image2019.png"/><Relationship Id="rId4006" Type="http://schemas.openxmlformats.org/officeDocument/2006/relationships/hyperlink" Target="https://login.consultant.ru/link/?req=doc&amp;base=STR&amp;n=33799&amp;dst=101561" TargetMode="External"/><Relationship Id="rId290" Type="http://schemas.openxmlformats.org/officeDocument/2006/relationships/hyperlink" Target="https://login.consultant.ru/link/?req=doc&amp;base=STR&amp;n=33799&amp;dst=100191" TargetMode="External"/><Relationship Id="rId3022" Type="http://schemas.openxmlformats.org/officeDocument/2006/relationships/image" Target="media/image1895.wmf"/><Relationship Id="rId150" Type="http://schemas.openxmlformats.org/officeDocument/2006/relationships/hyperlink" Target="https://login.consultant.ru/link/?req=doc&amp;base=STR&amp;n=33799&amp;dst=100120" TargetMode="External"/><Relationship Id="rId3979" Type="http://schemas.openxmlformats.org/officeDocument/2006/relationships/image" Target="media/image2782.wmf"/><Relationship Id="rId2788" Type="http://schemas.openxmlformats.org/officeDocument/2006/relationships/hyperlink" Target="https://login.consultant.ru/link/?req=doc&amp;base=STR&amp;n=33689" TargetMode="External"/><Relationship Id="rId2995" Type="http://schemas.openxmlformats.org/officeDocument/2006/relationships/image" Target="media/image1868.wmf"/><Relationship Id="rId3839" Type="http://schemas.openxmlformats.org/officeDocument/2006/relationships/image" Target="media/image2642.wmf"/><Relationship Id="rId967" Type="http://schemas.openxmlformats.org/officeDocument/2006/relationships/image" Target="media/image478.wmf"/><Relationship Id="rId1597" Type="http://schemas.openxmlformats.org/officeDocument/2006/relationships/image" Target="media/image839.wmf"/><Relationship Id="rId2648" Type="http://schemas.openxmlformats.org/officeDocument/2006/relationships/hyperlink" Target="https://login.consultant.ru/link/?req=doc&amp;base=STR&amp;n=20895" TargetMode="External"/><Relationship Id="rId2855" Type="http://schemas.openxmlformats.org/officeDocument/2006/relationships/hyperlink" Target="https://login.consultant.ru/link/?req=doc&amp;base=STR&amp;n=26765&amp;dst=101153" TargetMode="External"/><Relationship Id="rId3906" Type="http://schemas.openxmlformats.org/officeDocument/2006/relationships/image" Target="media/image2709.wmf"/><Relationship Id="rId96" Type="http://schemas.openxmlformats.org/officeDocument/2006/relationships/image" Target="media/image5.wmf"/><Relationship Id="rId827" Type="http://schemas.openxmlformats.org/officeDocument/2006/relationships/image" Target="media/image350.wmf"/><Relationship Id="rId1457" Type="http://schemas.openxmlformats.org/officeDocument/2006/relationships/hyperlink" Target="https://login.consultant.ru/link/?req=doc&amp;base=STR&amp;n=28725" TargetMode="External"/><Relationship Id="rId1664" Type="http://schemas.openxmlformats.org/officeDocument/2006/relationships/image" Target="media/image903.wmf"/><Relationship Id="rId1871" Type="http://schemas.openxmlformats.org/officeDocument/2006/relationships/image" Target="media/image1099.wmf"/><Relationship Id="rId2508" Type="http://schemas.openxmlformats.org/officeDocument/2006/relationships/image" Target="media/image1663.wmf"/><Relationship Id="rId2715" Type="http://schemas.openxmlformats.org/officeDocument/2006/relationships/hyperlink" Target="https://login.consultant.ru/link/?req=doc&amp;base=STR&amp;n=33227" TargetMode="External"/><Relationship Id="rId2922" Type="http://schemas.openxmlformats.org/officeDocument/2006/relationships/image" Target="media/image1795.wmf"/><Relationship Id="rId1317" Type="http://schemas.openxmlformats.org/officeDocument/2006/relationships/hyperlink" Target="https://login.consultant.ru/link/?req=doc&amp;base=STR&amp;n=26765&amp;dst=100755" TargetMode="External"/><Relationship Id="rId1524" Type="http://schemas.openxmlformats.org/officeDocument/2006/relationships/hyperlink" Target="https://login.consultant.ru/link/?req=doc&amp;base=STR&amp;n=28725" TargetMode="External"/><Relationship Id="rId1731" Type="http://schemas.openxmlformats.org/officeDocument/2006/relationships/image" Target="media/image967.wmf"/><Relationship Id="rId23" Type="http://schemas.openxmlformats.org/officeDocument/2006/relationships/hyperlink" Target="https://login.consultant.ru/link/?req=doc&amp;base=STR&amp;n=33799&amp;dst=100010" TargetMode="External"/><Relationship Id="rId3489" Type="http://schemas.openxmlformats.org/officeDocument/2006/relationships/image" Target="media/image2312.wmf"/><Relationship Id="rId3696" Type="http://schemas.openxmlformats.org/officeDocument/2006/relationships/image" Target="media/image2504.wmf"/><Relationship Id="rId2298" Type="http://schemas.openxmlformats.org/officeDocument/2006/relationships/image" Target="media/image1480.wmf"/><Relationship Id="rId3349" Type="http://schemas.openxmlformats.org/officeDocument/2006/relationships/image" Target="media/image2190.wmf"/><Relationship Id="rId3556" Type="http://schemas.openxmlformats.org/officeDocument/2006/relationships/image" Target="media/image2372.wmf"/><Relationship Id="rId477" Type="http://schemas.openxmlformats.org/officeDocument/2006/relationships/image" Target="media/image132.wmf"/><Relationship Id="rId684" Type="http://schemas.openxmlformats.org/officeDocument/2006/relationships/image" Target="media/image270.wmf"/><Relationship Id="rId2158" Type="http://schemas.openxmlformats.org/officeDocument/2006/relationships/hyperlink" Target="https://login.consultant.ru/link/?req=doc&amp;base=STR&amp;n=28669" TargetMode="External"/><Relationship Id="rId2365" Type="http://schemas.openxmlformats.org/officeDocument/2006/relationships/image" Target="media/image1545.wmf"/><Relationship Id="rId3209" Type="http://schemas.openxmlformats.org/officeDocument/2006/relationships/image" Target="media/image2054.wmf"/><Relationship Id="rId3763" Type="http://schemas.openxmlformats.org/officeDocument/2006/relationships/image" Target="media/image2569.wmf"/><Relationship Id="rId3970" Type="http://schemas.openxmlformats.org/officeDocument/2006/relationships/image" Target="media/image2773.wmf"/><Relationship Id="rId337" Type="http://schemas.openxmlformats.org/officeDocument/2006/relationships/hyperlink" Target="https://login.consultant.ru/link/?req=doc&amp;base=STR&amp;n=33799&amp;dst=100224" TargetMode="External"/><Relationship Id="rId891" Type="http://schemas.openxmlformats.org/officeDocument/2006/relationships/image" Target="media/image408.wmf"/><Relationship Id="rId2018" Type="http://schemas.openxmlformats.org/officeDocument/2006/relationships/image" Target="media/image1244.wmf"/><Relationship Id="rId2572" Type="http://schemas.openxmlformats.org/officeDocument/2006/relationships/hyperlink" Target="https://login.consultant.ru/link/?req=doc&amp;base=STR&amp;n=20899&amp;dst=100713" TargetMode="External"/><Relationship Id="rId3416" Type="http://schemas.openxmlformats.org/officeDocument/2006/relationships/image" Target="media/image2252.wmf"/><Relationship Id="rId3623" Type="http://schemas.openxmlformats.org/officeDocument/2006/relationships/image" Target="media/image2436.wmf"/><Relationship Id="rId3830" Type="http://schemas.openxmlformats.org/officeDocument/2006/relationships/image" Target="media/image2633.wmf"/><Relationship Id="rId544" Type="http://schemas.openxmlformats.org/officeDocument/2006/relationships/image" Target="media/image177.wmf"/><Relationship Id="rId751" Type="http://schemas.openxmlformats.org/officeDocument/2006/relationships/image" Target="media/image286.wmf"/><Relationship Id="rId1174" Type="http://schemas.openxmlformats.org/officeDocument/2006/relationships/image" Target="media/image673.wmf"/><Relationship Id="rId1381" Type="http://schemas.openxmlformats.org/officeDocument/2006/relationships/hyperlink" Target="https://login.consultant.ru/link/?req=doc&amp;base=STR&amp;n=26765&amp;dst=100839" TargetMode="External"/><Relationship Id="rId2225" Type="http://schemas.openxmlformats.org/officeDocument/2006/relationships/image" Target="media/image1409.wmf"/><Relationship Id="rId2432" Type="http://schemas.openxmlformats.org/officeDocument/2006/relationships/image" Target="media/image1593.wmf"/><Relationship Id="rId404" Type="http://schemas.openxmlformats.org/officeDocument/2006/relationships/image" Target="media/image80.wmf"/><Relationship Id="rId611" Type="http://schemas.openxmlformats.org/officeDocument/2006/relationships/hyperlink" Target="https://login.consultant.ru/link/?req=doc&amp;base=STR&amp;n=33799&amp;dst=100274" TargetMode="External"/><Relationship Id="rId1034" Type="http://schemas.openxmlformats.org/officeDocument/2006/relationships/image" Target="media/image542.png"/><Relationship Id="rId1241" Type="http://schemas.openxmlformats.org/officeDocument/2006/relationships/image" Target="media/image734.wmf"/><Relationship Id="rId1101" Type="http://schemas.openxmlformats.org/officeDocument/2006/relationships/image" Target="media/image608.wmf"/><Relationship Id="rId3066" Type="http://schemas.openxmlformats.org/officeDocument/2006/relationships/image" Target="media/image1939.wmf"/><Relationship Id="rId3273" Type="http://schemas.openxmlformats.org/officeDocument/2006/relationships/image" Target="media/image2118.wmf"/><Relationship Id="rId3480" Type="http://schemas.openxmlformats.org/officeDocument/2006/relationships/image" Target="media/image2303.wmf"/><Relationship Id="rId194" Type="http://schemas.openxmlformats.org/officeDocument/2006/relationships/hyperlink" Target="https://login.consultant.ru/link/?req=doc&amp;base=STR&amp;n=20899&amp;dst=100067" TargetMode="External"/><Relationship Id="rId1918" Type="http://schemas.openxmlformats.org/officeDocument/2006/relationships/image" Target="media/image1146.wmf"/><Relationship Id="rId2082" Type="http://schemas.openxmlformats.org/officeDocument/2006/relationships/image" Target="media/image1308.wmf"/><Relationship Id="rId3133" Type="http://schemas.openxmlformats.org/officeDocument/2006/relationships/image" Target="media/image2006.wmf"/><Relationship Id="rId261" Type="http://schemas.openxmlformats.org/officeDocument/2006/relationships/hyperlink" Target="https://login.consultant.ru/link/?req=doc&amp;base=STR&amp;n=25642" TargetMode="External"/><Relationship Id="rId3340" Type="http://schemas.openxmlformats.org/officeDocument/2006/relationships/image" Target="media/image2182.wmf"/><Relationship Id="rId2899" Type="http://schemas.openxmlformats.org/officeDocument/2006/relationships/image" Target="media/image1776.wmf"/><Relationship Id="rId3200" Type="http://schemas.openxmlformats.org/officeDocument/2006/relationships/image" Target="media/image2045.wmf"/><Relationship Id="rId121" Type="http://schemas.openxmlformats.org/officeDocument/2006/relationships/hyperlink" Target="https://login.consultant.ru/link/?req=doc&amp;base=STR&amp;n=26765&amp;dst=100053" TargetMode="External"/><Relationship Id="rId2759" Type="http://schemas.openxmlformats.org/officeDocument/2006/relationships/hyperlink" Target="https://login.consultant.ru/link/?req=doc&amp;base=STR&amp;n=12871" TargetMode="External"/><Relationship Id="rId2966" Type="http://schemas.openxmlformats.org/officeDocument/2006/relationships/image" Target="media/image1839.wmf"/><Relationship Id="rId938" Type="http://schemas.openxmlformats.org/officeDocument/2006/relationships/image" Target="media/image449.wmf"/><Relationship Id="rId1568" Type="http://schemas.openxmlformats.org/officeDocument/2006/relationships/image" Target="media/image818.wmf"/><Relationship Id="rId1775" Type="http://schemas.openxmlformats.org/officeDocument/2006/relationships/image" Target="media/image1010.wmf"/><Relationship Id="rId2619" Type="http://schemas.openxmlformats.org/officeDocument/2006/relationships/hyperlink" Target="https://login.consultant.ru/link/?req=doc&amp;base=STR&amp;n=33228" TargetMode="External"/><Relationship Id="rId2826" Type="http://schemas.openxmlformats.org/officeDocument/2006/relationships/hyperlink" Target="https://login.consultant.ru/link/?req=doc&amp;base=STR&amp;n=26765&amp;dst=101178" TargetMode="External"/><Relationship Id="rId67" Type="http://schemas.openxmlformats.org/officeDocument/2006/relationships/hyperlink" Target="https://login.consultant.ru/link/?req=doc&amp;base=STR&amp;n=26765&amp;dst=100034" TargetMode="External"/><Relationship Id="rId1428" Type="http://schemas.openxmlformats.org/officeDocument/2006/relationships/hyperlink" Target="https://login.consultant.ru/link/?req=doc&amp;base=STR&amp;n=26941" TargetMode="External"/><Relationship Id="rId1635" Type="http://schemas.openxmlformats.org/officeDocument/2006/relationships/image" Target="media/image874.wmf"/><Relationship Id="rId1982" Type="http://schemas.openxmlformats.org/officeDocument/2006/relationships/image" Target="media/image1208.wmf"/><Relationship Id="rId4041" Type="http://schemas.openxmlformats.org/officeDocument/2006/relationships/hyperlink" Target="https://login.consultant.ru/link/?req=doc&amp;base=STR&amp;n=26765&amp;dst=101588" TargetMode="External"/><Relationship Id="rId1842" Type="http://schemas.openxmlformats.org/officeDocument/2006/relationships/image" Target="media/image1071.wmf"/><Relationship Id="rId1702" Type="http://schemas.openxmlformats.org/officeDocument/2006/relationships/image" Target="media/image938.wmf"/><Relationship Id="rId3667" Type="http://schemas.openxmlformats.org/officeDocument/2006/relationships/image" Target="media/image2476.png"/><Relationship Id="rId3874" Type="http://schemas.openxmlformats.org/officeDocument/2006/relationships/image" Target="media/image2677.wmf"/><Relationship Id="rId588" Type="http://schemas.openxmlformats.org/officeDocument/2006/relationships/hyperlink" Target="https://login.consultant.ru/link/?req=doc&amp;base=STR&amp;n=30822" TargetMode="External"/><Relationship Id="rId795" Type="http://schemas.openxmlformats.org/officeDocument/2006/relationships/image" Target="media/image318.wmf"/><Relationship Id="rId2269" Type="http://schemas.openxmlformats.org/officeDocument/2006/relationships/image" Target="media/image1453.wmf"/><Relationship Id="rId2476" Type="http://schemas.openxmlformats.org/officeDocument/2006/relationships/image" Target="media/image1631.wmf"/><Relationship Id="rId2683" Type="http://schemas.openxmlformats.org/officeDocument/2006/relationships/hyperlink" Target="https://login.consultant.ru/link/?req=doc&amp;base=STR&amp;n=1684" TargetMode="External"/><Relationship Id="rId2890" Type="http://schemas.openxmlformats.org/officeDocument/2006/relationships/image" Target="media/image1767.wmf"/><Relationship Id="rId3527" Type="http://schemas.openxmlformats.org/officeDocument/2006/relationships/hyperlink" Target="https://login.consultant.ru/link/?req=doc&amp;base=STR&amp;n=33799&amp;dst=101513" TargetMode="External"/><Relationship Id="rId3734" Type="http://schemas.openxmlformats.org/officeDocument/2006/relationships/image" Target="media/image2541.wmf"/><Relationship Id="rId3941" Type="http://schemas.openxmlformats.org/officeDocument/2006/relationships/image" Target="media/image2744.wmf"/><Relationship Id="rId448" Type="http://schemas.openxmlformats.org/officeDocument/2006/relationships/image" Target="media/image109.wmf"/><Relationship Id="rId655" Type="http://schemas.openxmlformats.org/officeDocument/2006/relationships/image" Target="media/image245.wmf"/><Relationship Id="rId862" Type="http://schemas.openxmlformats.org/officeDocument/2006/relationships/image" Target="media/image379.wmf"/><Relationship Id="rId1078" Type="http://schemas.openxmlformats.org/officeDocument/2006/relationships/image" Target="media/image585.wmf"/><Relationship Id="rId1285" Type="http://schemas.openxmlformats.org/officeDocument/2006/relationships/image" Target="media/image774.wmf"/><Relationship Id="rId1492" Type="http://schemas.openxmlformats.org/officeDocument/2006/relationships/hyperlink" Target="https://login.consultant.ru/link/?req=doc&amp;base=STR&amp;n=23849" TargetMode="External"/><Relationship Id="rId2129" Type="http://schemas.openxmlformats.org/officeDocument/2006/relationships/image" Target="media/image1352.wmf"/><Relationship Id="rId2336" Type="http://schemas.openxmlformats.org/officeDocument/2006/relationships/image" Target="media/image1518.wmf"/><Relationship Id="rId2543" Type="http://schemas.openxmlformats.org/officeDocument/2006/relationships/image" Target="media/image1697.wmf"/><Relationship Id="rId2750" Type="http://schemas.openxmlformats.org/officeDocument/2006/relationships/hyperlink" Target="https://login.consultant.ru/link/?req=doc&amp;base=STR&amp;n=28314" TargetMode="External"/><Relationship Id="rId3801" Type="http://schemas.openxmlformats.org/officeDocument/2006/relationships/image" Target="media/image2606.wmf"/><Relationship Id="rId308" Type="http://schemas.openxmlformats.org/officeDocument/2006/relationships/image" Target="media/image33.wmf"/><Relationship Id="rId515" Type="http://schemas.openxmlformats.org/officeDocument/2006/relationships/image" Target="media/image161.wmf"/><Relationship Id="rId722" Type="http://schemas.openxmlformats.org/officeDocument/2006/relationships/hyperlink" Target="https://login.consultant.ru/link/?req=doc&amp;base=STR&amp;n=6664" TargetMode="External"/><Relationship Id="rId1145" Type="http://schemas.openxmlformats.org/officeDocument/2006/relationships/image" Target="media/image647.wmf"/><Relationship Id="rId1352" Type="http://schemas.openxmlformats.org/officeDocument/2006/relationships/hyperlink" Target="https://login.consultant.ru/link/?req=doc&amp;base=STR&amp;n=20899&amp;dst=100343" TargetMode="External"/><Relationship Id="rId2403" Type="http://schemas.openxmlformats.org/officeDocument/2006/relationships/image" Target="media/image1583.wmf"/><Relationship Id="rId1005" Type="http://schemas.openxmlformats.org/officeDocument/2006/relationships/image" Target="media/image514.wmf"/><Relationship Id="rId1212" Type="http://schemas.openxmlformats.org/officeDocument/2006/relationships/image" Target="media/image706.wmf"/><Relationship Id="rId2610" Type="http://schemas.openxmlformats.org/officeDocument/2006/relationships/hyperlink" Target="https://login.consultant.ru/link/?req=doc&amp;base=STR&amp;n=34159&amp;dst=100014" TargetMode="External"/><Relationship Id="rId3177" Type="http://schemas.openxmlformats.org/officeDocument/2006/relationships/hyperlink" Target="https://login.consultant.ru/link/?req=doc&amp;base=STR&amp;n=33799&amp;dst=101503" TargetMode="External"/><Relationship Id="rId3037" Type="http://schemas.openxmlformats.org/officeDocument/2006/relationships/image" Target="media/image1910.wmf"/><Relationship Id="rId3384" Type="http://schemas.openxmlformats.org/officeDocument/2006/relationships/image" Target="media/image2225.wmf"/><Relationship Id="rId3591" Type="http://schemas.openxmlformats.org/officeDocument/2006/relationships/image" Target="media/image2407.wmf"/><Relationship Id="rId2193" Type="http://schemas.openxmlformats.org/officeDocument/2006/relationships/image" Target="media/image1390.wmf"/><Relationship Id="rId3244" Type="http://schemas.openxmlformats.org/officeDocument/2006/relationships/image" Target="media/image2089.png"/><Relationship Id="rId3451" Type="http://schemas.openxmlformats.org/officeDocument/2006/relationships/image" Target="media/image2285.wmf"/><Relationship Id="rId165" Type="http://schemas.openxmlformats.org/officeDocument/2006/relationships/hyperlink" Target="https://login.consultant.ru/link/?req=doc&amp;base=STR&amp;n=26765&amp;dst=100063" TargetMode="External"/><Relationship Id="rId372" Type="http://schemas.openxmlformats.org/officeDocument/2006/relationships/image" Target="media/image59.wmf"/><Relationship Id="rId2053" Type="http://schemas.openxmlformats.org/officeDocument/2006/relationships/image" Target="media/image1279.wmf"/><Relationship Id="rId2260" Type="http://schemas.openxmlformats.org/officeDocument/2006/relationships/image" Target="media/image1444.wmf"/><Relationship Id="rId3104" Type="http://schemas.openxmlformats.org/officeDocument/2006/relationships/image" Target="media/image1977.wmf"/><Relationship Id="rId3311" Type="http://schemas.openxmlformats.org/officeDocument/2006/relationships/image" Target="media/image2155.wmf"/><Relationship Id="rId232" Type="http://schemas.openxmlformats.org/officeDocument/2006/relationships/hyperlink" Target="https://login.consultant.ru/link/?req=doc&amp;base=STR&amp;n=33799&amp;dst=100173" TargetMode="External"/><Relationship Id="rId2120" Type="http://schemas.openxmlformats.org/officeDocument/2006/relationships/image" Target="media/image1343.wmf"/><Relationship Id="rId1679" Type="http://schemas.openxmlformats.org/officeDocument/2006/relationships/hyperlink" Target="https://login.consultant.ru/link/?req=doc&amp;base=STR&amp;n=33799&amp;dst=100924" TargetMode="External"/><Relationship Id="rId1886" Type="http://schemas.openxmlformats.org/officeDocument/2006/relationships/image" Target="media/image1114.wmf"/><Relationship Id="rId2937" Type="http://schemas.openxmlformats.org/officeDocument/2006/relationships/image" Target="media/image1810.wmf"/><Relationship Id="rId909" Type="http://schemas.openxmlformats.org/officeDocument/2006/relationships/image" Target="media/image421.wmf"/><Relationship Id="rId1539" Type="http://schemas.openxmlformats.org/officeDocument/2006/relationships/hyperlink" Target="https://login.consultant.ru/link/?req=doc&amp;base=STR&amp;n=28725" TargetMode="External"/><Relationship Id="rId1746" Type="http://schemas.openxmlformats.org/officeDocument/2006/relationships/image" Target="media/image981.wmf"/><Relationship Id="rId1953" Type="http://schemas.openxmlformats.org/officeDocument/2006/relationships/image" Target="media/image1180.wmf"/><Relationship Id="rId38" Type="http://schemas.openxmlformats.org/officeDocument/2006/relationships/hyperlink" Target="https://login.consultant.ru/link/?req=doc&amp;base=STR&amp;n=33799&amp;dst=100029" TargetMode="External"/><Relationship Id="rId1606" Type="http://schemas.openxmlformats.org/officeDocument/2006/relationships/hyperlink" Target="https://login.consultant.ru/link/?req=doc&amp;base=STR&amp;n=33799&amp;dst=100918" TargetMode="External"/><Relationship Id="rId1813" Type="http://schemas.openxmlformats.org/officeDocument/2006/relationships/image" Target="media/image1048.wmf"/><Relationship Id="rId4012" Type="http://schemas.openxmlformats.org/officeDocument/2006/relationships/hyperlink" Target="https://login.consultant.ru/link/?req=doc&amp;base=STR&amp;n=26765&amp;dst=101547" TargetMode="External"/><Relationship Id="rId3778" Type="http://schemas.openxmlformats.org/officeDocument/2006/relationships/image" Target="media/image2584.wmf"/><Relationship Id="rId3985" Type="http://schemas.openxmlformats.org/officeDocument/2006/relationships/image" Target="media/image2786.wmf"/><Relationship Id="rId699" Type="http://schemas.openxmlformats.org/officeDocument/2006/relationships/hyperlink" Target="https://login.consultant.ru/link/?req=doc&amp;base=STR&amp;n=21162" TargetMode="External"/><Relationship Id="rId2587" Type="http://schemas.openxmlformats.org/officeDocument/2006/relationships/hyperlink" Target="https://login.consultant.ru/link/?req=doc&amp;base=STR&amp;n=20899&amp;dst=100721" TargetMode="External"/><Relationship Id="rId2794" Type="http://schemas.openxmlformats.org/officeDocument/2006/relationships/hyperlink" Target="https://login.consultant.ru/link/?req=doc&amp;base=STR&amp;n=33327" TargetMode="External"/><Relationship Id="rId3638" Type="http://schemas.openxmlformats.org/officeDocument/2006/relationships/image" Target="media/image2449.wmf"/><Relationship Id="rId3845" Type="http://schemas.openxmlformats.org/officeDocument/2006/relationships/image" Target="media/image2648.wmf"/><Relationship Id="rId559" Type="http://schemas.openxmlformats.org/officeDocument/2006/relationships/hyperlink" Target="https://login.consultant.ru/link/?req=doc&amp;base=STR&amp;n=20899&amp;dst=100166" TargetMode="External"/><Relationship Id="rId766" Type="http://schemas.openxmlformats.org/officeDocument/2006/relationships/image" Target="media/image300.wmf"/><Relationship Id="rId1189" Type="http://schemas.openxmlformats.org/officeDocument/2006/relationships/hyperlink" Target="https://login.consultant.ru/link/?req=doc&amp;base=STR&amp;n=26765&amp;dst=100665" TargetMode="External"/><Relationship Id="rId1396" Type="http://schemas.openxmlformats.org/officeDocument/2006/relationships/hyperlink" Target="https://login.consultant.ru/link/?req=doc&amp;base=STR&amp;n=1684" TargetMode="External"/><Relationship Id="rId2447" Type="http://schemas.openxmlformats.org/officeDocument/2006/relationships/image" Target="media/image1608.wmf"/><Relationship Id="rId419" Type="http://schemas.openxmlformats.org/officeDocument/2006/relationships/image" Target="media/image95.wmf"/><Relationship Id="rId626" Type="http://schemas.openxmlformats.org/officeDocument/2006/relationships/image" Target="media/image218.wmf"/><Relationship Id="rId973" Type="http://schemas.openxmlformats.org/officeDocument/2006/relationships/image" Target="media/image484.wmf"/><Relationship Id="rId1049" Type="http://schemas.openxmlformats.org/officeDocument/2006/relationships/image" Target="media/image557.wmf"/><Relationship Id="rId1256" Type="http://schemas.openxmlformats.org/officeDocument/2006/relationships/image" Target="media/image749.wmf"/><Relationship Id="rId2307" Type="http://schemas.openxmlformats.org/officeDocument/2006/relationships/image" Target="media/image1489.wmf"/><Relationship Id="rId2654" Type="http://schemas.openxmlformats.org/officeDocument/2006/relationships/hyperlink" Target="https://login.consultant.ru/link/?req=doc&amp;base=ATN&amp;n=103062" TargetMode="External"/><Relationship Id="rId2861" Type="http://schemas.openxmlformats.org/officeDocument/2006/relationships/hyperlink" Target="https://login.consultant.ru/link/?req=doc&amp;base=STR&amp;n=20899&amp;dst=100769" TargetMode="External"/><Relationship Id="rId3705" Type="http://schemas.openxmlformats.org/officeDocument/2006/relationships/image" Target="media/image2512.wmf"/><Relationship Id="rId3912" Type="http://schemas.openxmlformats.org/officeDocument/2006/relationships/image" Target="media/image2715.wmf"/><Relationship Id="rId833" Type="http://schemas.openxmlformats.org/officeDocument/2006/relationships/image" Target="media/image356.wmf"/><Relationship Id="rId1116" Type="http://schemas.openxmlformats.org/officeDocument/2006/relationships/image" Target="media/image621.wmf"/><Relationship Id="rId1463" Type="http://schemas.openxmlformats.org/officeDocument/2006/relationships/hyperlink" Target="https://login.consultant.ru/link/?req=doc&amp;base=STR&amp;n=28725&amp;dst=100543" TargetMode="External"/><Relationship Id="rId1670" Type="http://schemas.openxmlformats.org/officeDocument/2006/relationships/image" Target="media/image909.wmf"/><Relationship Id="rId2514" Type="http://schemas.openxmlformats.org/officeDocument/2006/relationships/image" Target="media/image1668.wmf"/><Relationship Id="rId2721" Type="http://schemas.openxmlformats.org/officeDocument/2006/relationships/hyperlink" Target="https://login.consultant.ru/link/?req=doc&amp;base=STR&amp;n=10178" TargetMode="External"/><Relationship Id="rId900" Type="http://schemas.openxmlformats.org/officeDocument/2006/relationships/image" Target="media/image412.wmf"/><Relationship Id="rId1323" Type="http://schemas.openxmlformats.org/officeDocument/2006/relationships/hyperlink" Target="https://login.consultant.ru/link/?req=doc&amp;base=STR&amp;n=26765&amp;dst=100757" TargetMode="External"/><Relationship Id="rId1530" Type="http://schemas.openxmlformats.org/officeDocument/2006/relationships/hyperlink" Target="https://login.consultant.ru/link/?req=doc&amp;base=STR&amp;n=26941" TargetMode="External"/><Relationship Id="rId3288" Type="http://schemas.openxmlformats.org/officeDocument/2006/relationships/image" Target="media/image2133.wmf"/><Relationship Id="rId3495" Type="http://schemas.openxmlformats.org/officeDocument/2006/relationships/image" Target="media/image2318.wmf"/><Relationship Id="rId2097" Type="http://schemas.openxmlformats.org/officeDocument/2006/relationships/image" Target="media/image1321.wmf"/><Relationship Id="rId3148" Type="http://schemas.openxmlformats.org/officeDocument/2006/relationships/hyperlink" Target="https://login.consultant.ru/link/?req=doc&amp;base=STR&amp;n=29176" TargetMode="External"/><Relationship Id="rId3355" Type="http://schemas.openxmlformats.org/officeDocument/2006/relationships/image" Target="media/image2196.wmf"/><Relationship Id="rId3562" Type="http://schemas.openxmlformats.org/officeDocument/2006/relationships/image" Target="media/image2378.wmf"/><Relationship Id="rId276" Type="http://schemas.openxmlformats.org/officeDocument/2006/relationships/hyperlink" Target="https://login.consultant.ru/link/?req=doc&amp;base=STR&amp;n=26765&amp;dst=100104" TargetMode="External"/><Relationship Id="rId483" Type="http://schemas.openxmlformats.org/officeDocument/2006/relationships/image" Target="media/image137.wmf"/><Relationship Id="rId690" Type="http://schemas.openxmlformats.org/officeDocument/2006/relationships/hyperlink" Target="https://login.consultant.ru/link/?req=doc&amp;base=STR&amp;n=29908" TargetMode="External"/><Relationship Id="rId2164" Type="http://schemas.openxmlformats.org/officeDocument/2006/relationships/hyperlink" Target="https://login.consultant.ru/link/?req=doc&amp;base=STR&amp;n=33799&amp;dst=100959" TargetMode="External"/><Relationship Id="rId2371" Type="http://schemas.openxmlformats.org/officeDocument/2006/relationships/image" Target="media/image1551.wmf"/><Relationship Id="rId3008" Type="http://schemas.openxmlformats.org/officeDocument/2006/relationships/image" Target="media/image1881.wmf"/><Relationship Id="rId3215" Type="http://schemas.openxmlformats.org/officeDocument/2006/relationships/image" Target="media/image2060.wmf"/><Relationship Id="rId3422" Type="http://schemas.openxmlformats.org/officeDocument/2006/relationships/image" Target="media/image2258.wmf"/><Relationship Id="rId136" Type="http://schemas.openxmlformats.org/officeDocument/2006/relationships/image" Target="media/image17.wmf"/><Relationship Id="rId343" Type="http://schemas.openxmlformats.org/officeDocument/2006/relationships/hyperlink" Target="https://login.consultant.ru/link/?req=doc&amp;base=STR&amp;n=20899&amp;dst=100122" TargetMode="External"/><Relationship Id="rId550" Type="http://schemas.openxmlformats.org/officeDocument/2006/relationships/image" Target="media/image181.wmf"/><Relationship Id="rId1180" Type="http://schemas.openxmlformats.org/officeDocument/2006/relationships/image" Target="media/image679.wmf"/><Relationship Id="rId2024" Type="http://schemas.openxmlformats.org/officeDocument/2006/relationships/image" Target="media/image1250.wmf"/><Relationship Id="rId2231" Type="http://schemas.openxmlformats.org/officeDocument/2006/relationships/image" Target="media/image1415.wmf"/><Relationship Id="rId203" Type="http://schemas.openxmlformats.org/officeDocument/2006/relationships/hyperlink" Target="https://login.consultant.ru/link/?req=doc&amp;base=STR&amp;n=26765&amp;dst=100069" TargetMode="External"/><Relationship Id="rId1040" Type="http://schemas.openxmlformats.org/officeDocument/2006/relationships/image" Target="media/image548.wmf"/><Relationship Id="rId410" Type="http://schemas.openxmlformats.org/officeDocument/2006/relationships/image" Target="media/image86.wmf"/><Relationship Id="rId1997" Type="http://schemas.openxmlformats.org/officeDocument/2006/relationships/image" Target="media/image1223.wmf"/><Relationship Id="rId4056" Type="http://schemas.openxmlformats.org/officeDocument/2006/relationships/hyperlink" Target="https://login.consultant.ru/link/?req=doc&amp;base=STR&amp;n=33799&amp;dst=101986" TargetMode="External"/><Relationship Id="rId1857" Type="http://schemas.openxmlformats.org/officeDocument/2006/relationships/image" Target="media/image1085.wmf"/><Relationship Id="rId2908" Type="http://schemas.openxmlformats.org/officeDocument/2006/relationships/image" Target="media/image1782.wmf"/><Relationship Id="rId1717" Type="http://schemas.openxmlformats.org/officeDocument/2006/relationships/image" Target="media/image953.wmf"/><Relationship Id="rId1924" Type="http://schemas.openxmlformats.org/officeDocument/2006/relationships/image" Target="media/image1152.wmf"/><Relationship Id="rId3072" Type="http://schemas.openxmlformats.org/officeDocument/2006/relationships/image" Target="media/image1945.wmf"/><Relationship Id="rId3889" Type="http://schemas.openxmlformats.org/officeDocument/2006/relationships/image" Target="media/image2692.wmf"/><Relationship Id="rId2698" Type="http://schemas.openxmlformats.org/officeDocument/2006/relationships/hyperlink" Target="https://login.consultant.ru/link/?req=doc&amp;base=STR&amp;n=2694" TargetMode="External"/><Relationship Id="rId3749" Type="http://schemas.openxmlformats.org/officeDocument/2006/relationships/image" Target="media/image2556.wmf"/><Relationship Id="rId3956" Type="http://schemas.openxmlformats.org/officeDocument/2006/relationships/image" Target="media/image2759.wmf"/><Relationship Id="rId877" Type="http://schemas.openxmlformats.org/officeDocument/2006/relationships/image" Target="media/image394.wmf"/><Relationship Id="rId2558" Type="http://schemas.openxmlformats.org/officeDocument/2006/relationships/image" Target="media/image1712.wmf"/><Relationship Id="rId2765" Type="http://schemas.openxmlformats.org/officeDocument/2006/relationships/hyperlink" Target="https://login.consultant.ru/link/?req=doc&amp;base=STR&amp;n=26941" TargetMode="External"/><Relationship Id="rId2972" Type="http://schemas.openxmlformats.org/officeDocument/2006/relationships/image" Target="media/image1845.wmf"/><Relationship Id="rId3609" Type="http://schemas.openxmlformats.org/officeDocument/2006/relationships/image" Target="media/image2423.wmf"/><Relationship Id="rId3816" Type="http://schemas.openxmlformats.org/officeDocument/2006/relationships/image" Target="media/image2619.wmf"/><Relationship Id="rId737" Type="http://schemas.openxmlformats.org/officeDocument/2006/relationships/hyperlink" Target="https://login.consultant.ru/link/?req=doc&amp;base=STR&amp;n=20899&amp;dst=100252" TargetMode="External"/><Relationship Id="rId944" Type="http://schemas.openxmlformats.org/officeDocument/2006/relationships/image" Target="media/image455.wmf"/><Relationship Id="rId1367" Type="http://schemas.openxmlformats.org/officeDocument/2006/relationships/hyperlink" Target="https://login.consultant.ru/link/?req=doc&amp;base=STR&amp;n=26765&amp;dst=100832" TargetMode="External"/><Relationship Id="rId1574" Type="http://schemas.openxmlformats.org/officeDocument/2006/relationships/image" Target="media/image822.wmf"/><Relationship Id="rId1781" Type="http://schemas.openxmlformats.org/officeDocument/2006/relationships/image" Target="media/image1016.wmf"/><Relationship Id="rId2418" Type="http://schemas.openxmlformats.org/officeDocument/2006/relationships/hyperlink" Target="https://login.consultant.ru/link/?req=doc&amp;base=STR&amp;n=6816" TargetMode="External"/><Relationship Id="rId2625" Type="http://schemas.openxmlformats.org/officeDocument/2006/relationships/hyperlink" Target="https://login.consultant.ru/link/?req=doc&amp;base=STR&amp;n=34159&amp;dst=100016" TargetMode="External"/><Relationship Id="rId2832" Type="http://schemas.openxmlformats.org/officeDocument/2006/relationships/hyperlink" Target="https://login.consultant.ru/link/?req=doc&amp;base=STR&amp;n=24881&amp;dst=100215" TargetMode="External"/><Relationship Id="rId73" Type="http://schemas.openxmlformats.org/officeDocument/2006/relationships/hyperlink" Target="https://login.consultant.ru/link/?req=doc&amp;base=STR&amp;n=26765&amp;dst=100041" TargetMode="External"/><Relationship Id="rId804" Type="http://schemas.openxmlformats.org/officeDocument/2006/relationships/image" Target="media/image327.wmf"/><Relationship Id="rId1227" Type="http://schemas.openxmlformats.org/officeDocument/2006/relationships/image" Target="media/image721.wmf"/><Relationship Id="rId1434" Type="http://schemas.openxmlformats.org/officeDocument/2006/relationships/hyperlink" Target="https://login.consultant.ru/link/?req=doc&amp;base=STR&amp;n=26941" TargetMode="External"/><Relationship Id="rId1641" Type="http://schemas.openxmlformats.org/officeDocument/2006/relationships/image" Target="media/image880.wmf"/><Relationship Id="rId1501" Type="http://schemas.openxmlformats.org/officeDocument/2006/relationships/image" Target="media/image796.wmf"/><Relationship Id="rId3399" Type="http://schemas.openxmlformats.org/officeDocument/2006/relationships/image" Target="media/image2236.wmf"/><Relationship Id="rId3259" Type="http://schemas.openxmlformats.org/officeDocument/2006/relationships/image" Target="media/image2104.wmf"/><Relationship Id="rId3466" Type="http://schemas.openxmlformats.org/officeDocument/2006/relationships/hyperlink" Target="https://login.consultant.ru/link/?req=doc&amp;base=STR&amp;n=26941" TargetMode="External"/><Relationship Id="rId387" Type="http://schemas.openxmlformats.org/officeDocument/2006/relationships/image" Target="media/image73.png"/><Relationship Id="rId594" Type="http://schemas.openxmlformats.org/officeDocument/2006/relationships/image" Target="media/image199.wmf"/><Relationship Id="rId2068" Type="http://schemas.openxmlformats.org/officeDocument/2006/relationships/image" Target="media/image1294.wmf"/><Relationship Id="rId2275" Type="http://schemas.openxmlformats.org/officeDocument/2006/relationships/image" Target="media/image1459.wmf"/><Relationship Id="rId3119" Type="http://schemas.openxmlformats.org/officeDocument/2006/relationships/image" Target="media/image1992.wmf"/><Relationship Id="rId3326" Type="http://schemas.openxmlformats.org/officeDocument/2006/relationships/image" Target="media/image2170.wmf"/><Relationship Id="rId3673" Type="http://schemas.openxmlformats.org/officeDocument/2006/relationships/image" Target="media/image2482.png"/><Relationship Id="rId3880" Type="http://schemas.openxmlformats.org/officeDocument/2006/relationships/image" Target="media/image2683.wmf"/><Relationship Id="rId247" Type="http://schemas.openxmlformats.org/officeDocument/2006/relationships/hyperlink" Target="https://login.consultant.ru/link/?req=doc&amp;base=STR&amp;n=1111" TargetMode="External"/><Relationship Id="rId1084" Type="http://schemas.openxmlformats.org/officeDocument/2006/relationships/image" Target="media/image591.wmf"/><Relationship Id="rId2482" Type="http://schemas.openxmlformats.org/officeDocument/2006/relationships/image" Target="media/image1637.wmf"/><Relationship Id="rId3533" Type="http://schemas.openxmlformats.org/officeDocument/2006/relationships/image" Target="media/image2350.wmf"/><Relationship Id="rId3740" Type="http://schemas.openxmlformats.org/officeDocument/2006/relationships/image" Target="media/image2547.wmf"/><Relationship Id="rId107" Type="http://schemas.openxmlformats.org/officeDocument/2006/relationships/hyperlink" Target="https://login.consultant.ru/link/?req=doc&amp;base=STR&amp;n=29176" TargetMode="External"/><Relationship Id="rId454" Type="http://schemas.openxmlformats.org/officeDocument/2006/relationships/image" Target="media/image113.wmf"/><Relationship Id="rId661" Type="http://schemas.openxmlformats.org/officeDocument/2006/relationships/image" Target="media/image250.wmf"/><Relationship Id="rId1291" Type="http://schemas.openxmlformats.org/officeDocument/2006/relationships/image" Target="media/image780.wmf"/><Relationship Id="rId2135" Type="http://schemas.openxmlformats.org/officeDocument/2006/relationships/image" Target="media/image1357.wmf"/><Relationship Id="rId2342" Type="http://schemas.openxmlformats.org/officeDocument/2006/relationships/image" Target="media/image1524.wmf"/><Relationship Id="rId3600" Type="http://schemas.openxmlformats.org/officeDocument/2006/relationships/image" Target="media/image2415.wmf"/><Relationship Id="rId314" Type="http://schemas.openxmlformats.org/officeDocument/2006/relationships/hyperlink" Target="https://login.consultant.ru/link/?req=doc&amp;base=STR&amp;n=33799&amp;dst=100202" TargetMode="External"/><Relationship Id="rId521" Type="http://schemas.openxmlformats.org/officeDocument/2006/relationships/hyperlink" Target="https://login.consultant.ru/link/?req=doc&amp;base=STR&amp;n=20899&amp;dst=100160" TargetMode="External"/><Relationship Id="rId1151" Type="http://schemas.openxmlformats.org/officeDocument/2006/relationships/image" Target="media/image652.wmf"/><Relationship Id="rId2202" Type="http://schemas.openxmlformats.org/officeDocument/2006/relationships/image" Target="media/image1396.wmf"/><Relationship Id="rId1011" Type="http://schemas.openxmlformats.org/officeDocument/2006/relationships/image" Target="media/image520.wmf"/><Relationship Id="rId1968" Type="http://schemas.openxmlformats.org/officeDocument/2006/relationships/image" Target="media/image1195.wmf"/><Relationship Id="rId3183" Type="http://schemas.openxmlformats.org/officeDocument/2006/relationships/image" Target="media/image2028.wmf"/><Relationship Id="rId3390" Type="http://schemas.openxmlformats.org/officeDocument/2006/relationships/image" Target="media/image2229.wmf"/><Relationship Id="rId4027" Type="http://schemas.openxmlformats.org/officeDocument/2006/relationships/image" Target="media/image2818.wmf"/><Relationship Id="rId1828" Type="http://schemas.openxmlformats.org/officeDocument/2006/relationships/image" Target="media/image1059.wmf"/><Relationship Id="rId3043" Type="http://schemas.openxmlformats.org/officeDocument/2006/relationships/image" Target="media/image1916.wmf"/><Relationship Id="rId3250" Type="http://schemas.openxmlformats.org/officeDocument/2006/relationships/image" Target="media/image2095.wmf"/><Relationship Id="rId171" Type="http://schemas.openxmlformats.org/officeDocument/2006/relationships/hyperlink" Target="https://login.consultant.ru/link/?req=doc&amp;base=STR&amp;n=24881&amp;dst=100039" TargetMode="External"/><Relationship Id="rId3110" Type="http://schemas.openxmlformats.org/officeDocument/2006/relationships/image" Target="media/image1983.wmf"/><Relationship Id="rId988" Type="http://schemas.openxmlformats.org/officeDocument/2006/relationships/image" Target="media/image497.wmf"/><Relationship Id="rId2669" Type="http://schemas.openxmlformats.org/officeDocument/2006/relationships/hyperlink" Target="https://login.consultant.ru/link/?req=doc&amp;base=STR&amp;n=30251" TargetMode="External"/><Relationship Id="rId2876" Type="http://schemas.openxmlformats.org/officeDocument/2006/relationships/image" Target="media/image1753.wmf"/><Relationship Id="rId3927" Type="http://schemas.openxmlformats.org/officeDocument/2006/relationships/image" Target="media/image2730.wmf"/><Relationship Id="rId848" Type="http://schemas.openxmlformats.org/officeDocument/2006/relationships/image" Target="media/image369.wmf"/><Relationship Id="rId1478" Type="http://schemas.openxmlformats.org/officeDocument/2006/relationships/hyperlink" Target="https://login.consultant.ru/link/?req=doc&amp;base=STR&amp;n=26941" TargetMode="External"/><Relationship Id="rId1685" Type="http://schemas.openxmlformats.org/officeDocument/2006/relationships/image" Target="media/image921.wmf"/><Relationship Id="rId1892" Type="http://schemas.openxmlformats.org/officeDocument/2006/relationships/image" Target="media/image1120.wmf"/><Relationship Id="rId2529" Type="http://schemas.openxmlformats.org/officeDocument/2006/relationships/image" Target="media/image1683.wmf"/><Relationship Id="rId2736" Type="http://schemas.openxmlformats.org/officeDocument/2006/relationships/hyperlink" Target="https://login.consultant.ru/link/?req=doc&amp;base=STR&amp;n=19618" TargetMode="External"/><Relationship Id="rId708" Type="http://schemas.openxmlformats.org/officeDocument/2006/relationships/image" Target="media/image280.wmf"/><Relationship Id="rId915" Type="http://schemas.openxmlformats.org/officeDocument/2006/relationships/hyperlink" Target="https://login.consultant.ru/link/?req=doc&amp;base=STR&amp;n=26765&amp;dst=100599" TargetMode="External"/><Relationship Id="rId1338" Type="http://schemas.openxmlformats.org/officeDocument/2006/relationships/hyperlink" Target="https://login.consultant.ru/link/?req=doc&amp;base=STR&amp;n=22061" TargetMode="External"/><Relationship Id="rId1545" Type="http://schemas.openxmlformats.org/officeDocument/2006/relationships/hyperlink" Target="https://login.consultant.ru/link/?req=doc&amp;base=STR&amp;n=23384" TargetMode="External"/><Relationship Id="rId2943" Type="http://schemas.openxmlformats.org/officeDocument/2006/relationships/image" Target="media/image1816.wmf"/><Relationship Id="rId1405" Type="http://schemas.openxmlformats.org/officeDocument/2006/relationships/hyperlink" Target="https://login.consultant.ru/link/?req=doc&amp;base=STR&amp;n=4954" TargetMode="External"/><Relationship Id="rId1752" Type="http://schemas.openxmlformats.org/officeDocument/2006/relationships/image" Target="media/image987.wmf"/><Relationship Id="rId2803" Type="http://schemas.openxmlformats.org/officeDocument/2006/relationships/hyperlink" Target="https://login.consultant.ru/link/?req=doc&amp;base=STR&amp;n=20741" TargetMode="External"/><Relationship Id="rId44" Type="http://schemas.openxmlformats.org/officeDocument/2006/relationships/hyperlink" Target="https://login.consultant.ru/link/?req=doc&amp;base=STR&amp;n=20899&amp;dst=100020" TargetMode="External"/><Relationship Id="rId1612" Type="http://schemas.openxmlformats.org/officeDocument/2006/relationships/image" Target="media/image851.wmf"/><Relationship Id="rId498" Type="http://schemas.openxmlformats.org/officeDocument/2006/relationships/image" Target="media/image149.wmf"/><Relationship Id="rId2179" Type="http://schemas.openxmlformats.org/officeDocument/2006/relationships/image" Target="media/image1376.wmf"/><Relationship Id="rId3577" Type="http://schemas.openxmlformats.org/officeDocument/2006/relationships/image" Target="media/image2393.wmf"/><Relationship Id="rId3784" Type="http://schemas.openxmlformats.org/officeDocument/2006/relationships/image" Target="media/image2590.wmf"/><Relationship Id="rId3991" Type="http://schemas.openxmlformats.org/officeDocument/2006/relationships/image" Target="media/image2792.wmf"/><Relationship Id="rId2386" Type="http://schemas.openxmlformats.org/officeDocument/2006/relationships/image" Target="media/image1566.wmf"/><Relationship Id="rId2593" Type="http://schemas.openxmlformats.org/officeDocument/2006/relationships/hyperlink" Target="https://login.consultant.ru/link/?req=doc&amp;base=STR&amp;n=26765&amp;dst=101115" TargetMode="External"/><Relationship Id="rId3437" Type="http://schemas.openxmlformats.org/officeDocument/2006/relationships/image" Target="media/image2273.wmf"/><Relationship Id="rId3644" Type="http://schemas.openxmlformats.org/officeDocument/2006/relationships/image" Target="media/image2454.wmf"/><Relationship Id="rId3851" Type="http://schemas.openxmlformats.org/officeDocument/2006/relationships/image" Target="media/image2654.wmf"/><Relationship Id="rId358" Type="http://schemas.openxmlformats.org/officeDocument/2006/relationships/image" Target="media/image46.wmf"/><Relationship Id="rId565" Type="http://schemas.openxmlformats.org/officeDocument/2006/relationships/hyperlink" Target="https://login.consultant.ru/link/?req=doc&amp;base=STR&amp;n=30251" TargetMode="External"/><Relationship Id="rId772" Type="http://schemas.openxmlformats.org/officeDocument/2006/relationships/image" Target="media/image306.wmf"/><Relationship Id="rId1195" Type="http://schemas.openxmlformats.org/officeDocument/2006/relationships/image" Target="media/image690.wmf"/><Relationship Id="rId2039" Type="http://schemas.openxmlformats.org/officeDocument/2006/relationships/image" Target="media/image1265.wmf"/><Relationship Id="rId2246" Type="http://schemas.openxmlformats.org/officeDocument/2006/relationships/image" Target="media/image1430.wmf"/><Relationship Id="rId2453" Type="http://schemas.openxmlformats.org/officeDocument/2006/relationships/image" Target="media/image1612.wmf"/><Relationship Id="rId2660" Type="http://schemas.openxmlformats.org/officeDocument/2006/relationships/hyperlink" Target="https://login.consultant.ru/link/?req=doc&amp;base=STR&amp;n=20895" TargetMode="External"/><Relationship Id="rId3504" Type="http://schemas.openxmlformats.org/officeDocument/2006/relationships/image" Target="media/image2325.wmf"/><Relationship Id="rId3711" Type="http://schemas.openxmlformats.org/officeDocument/2006/relationships/image" Target="media/image2518.wmf"/><Relationship Id="rId218" Type="http://schemas.openxmlformats.org/officeDocument/2006/relationships/hyperlink" Target="https://login.consultant.ru/link/?req=doc&amp;base=STR&amp;n=33799&amp;dst=100166" TargetMode="External"/><Relationship Id="rId425" Type="http://schemas.openxmlformats.org/officeDocument/2006/relationships/image" Target="media/image101.wmf"/><Relationship Id="rId632" Type="http://schemas.openxmlformats.org/officeDocument/2006/relationships/image" Target="media/image222.wmf"/><Relationship Id="rId1055" Type="http://schemas.openxmlformats.org/officeDocument/2006/relationships/image" Target="media/image563.wmf"/><Relationship Id="rId1262" Type="http://schemas.openxmlformats.org/officeDocument/2006/relationships/image" Target="media/image754.wmf"/><Relationship Id="rId2106" Type="http://schemas.openxmlformats.org/officeDocument/2006/relationships/image" Target="media/image1329.wmf"/><Relationship Id="rId2313" Type="http://schemas.openxmlformats.org/officeDocument/2006/relationships/image" Target="media/image1495.wmf"/><Relationship Id="rId2520" Type="http://schemas.openxmlformats.org/officeDocument/2006/relationships/image" Target="media/image1674.wmf"/><Relationship Id="rId1122" Type="http://schemas.openxmlformats.org/officeDocument/2006/relationships/image" Target="media/image627.wmf"/><Relationship Id="rId3087" Type="http://schemas.openxmlformats.org/officeDocument/2006/relationships/image" Target="media/image1960.wmf"/><Relationship Id="rId3294" Type="http://schemas.openxmlformats.org/officeDocument/2006/relationships/image" Target="media/image2139.wmf"/><Relationship Id="rId1939" Type="http://schemas.openxmlformats.org/officeDocument/2006/relationships/image" Target="media/image1166.wmf"/><Relationship Id="rId3154" Type="http://schemas.openxmlformats.org/officeDocument/2006/relationships/hyperlink" Target="https://login.consultant.ru/link/?req=doc&amp;base=STR&amp;n=20288" TargetMode="External"/><Relationship Id="rId3361" Type="http://schemas.openxmlformats.org/officeDocument/2006/relationships/image" Target="media/image2202.wmf"/><Relationship Id="rId282" Type="http://schemas.openxmlformats.org/officeDocument/2006/relationships/image" Target="media/image31.wmf"/><Relationship Id="rId2170" Type="http://schemas.openxmlformats.org/officeDocument/2006/relationships/image" Target="media/image1368.wmf"/><Relationship Id="rId3014" Type="http://schemas.openxmlformats.org/officeDocument/2006/relationships/image" Target="media/image1887.wmf"/><Relationship Id="rId3221" Type="http://schemas.openxmlformats.org/officeDocument/2006/relationships/image" Target="media/image2066.wmf"/><Relationship Id="rId8" Type="http://schemas.openxmlformats.org/officeDocument/2006/relationships/hyperlink" Target="https://login.consultant.ru/link/?req=doc&amp;base=STR&amp;n=20899&amp;dst=100008" TargetMode="External"/><Relationship Id="rId142" Type="http://schemas.openxmlformats.org/officeDocument/2006/relationships/hyperlink" Target="https://login.consultant.ru/link/?req=doc&amp;base=STR&amp;n=26765&amp;dst=100054" TargetMode="External"/><Relationship Id="rId2030" Type="http://schemas.openxmlformats.org/officeDocument/2006/relationships/image" Target="media/image1256.wmf"/><Relationship Id="rId2987" Type="http://schemas.openxmlformats.org/officeDocument/2006/relationships/image" Target="media/image1860.wmf"/><Relationship Id="rId959" Type="http://schemas.openxmlformats.org/officeDocument/2006/relationships/image" Target="media/image470.wmf"/><Relationship Id="rId1589" Type="http://schemas.openxmlformats.org/officeDocument/2006/relationships/image" Target="media/image831.wmf"/><Relationship Id="rId1449" Type="http://schemas.openxmlformats.org/officeDocument/2006/relationships/hyperlink" Target="https://login.consultant.ru/link/?req=doc&amp;base=STR&amp;n=26941" TargetMode="External"/><Relationship Id="rId1796" Type="http://schemas.openxmlformats.org/officeDocument/2006/relationships/image" Target="media/image1031.wmf"/><Relationship Id="rId2847" Type="http://schemas.openxmlformats.org/officeDocument/2006/relationships/hyperlink" Target="https://login.consultant.ru/link/?req=doc&amp;base=STR&amp;n=24881&amp;dst=100215" TargetMode="External"/><Relationship Id="rId88" Type="http://schemas.openxmlformats.org/officeDocument/2006/relationships/hyperlink" Target="https://login.consultant.ru/link/?req=doc&amp;base=STR&amp;n=26765&amp;dst=100044" TargetMode="External"/><Relationship Id="rId819" Type="http://schemas.openxmlformats.org/officeDocument/2006/relationships/image" Target="media/image342.wmf"/><Relationship Id="rId1656" Type="http://schemas.openxmlformats.org/officeDocument/2006/relationships/image" Target="media/image895.wmf"/><Relationship Id="rId1863" Type="http://schemas.openxmlformats.org/officeDocument/2006/relationships/image" Target="media/image1091.png"/><Relationship Id="rId2707" Type="http://schemas.openxmlformats.org/officeDocument/2006/relationships/hyperlink" Target="https://login.consultant.ru/link/?req=doc&amp;base=STR&amp;n=18302" TargetMode="External"/><Relationship Id="rId2914" Type="http://schemas.openxmlformats.org/officeDocument/2006/relationships/image" Target="media/image1787.wmf"/><Relationship Id="rId1309" Type="http://schemas.openxmlformats.org/officeDocument/2006/relationships/hyperlink" Target="https://login.consultant.ru/link/?req=doc&amp;base=STR&amp;n=26765&amp;dst=100682" TargetMode="External"/><Relationship Id="rId1516" Type="http://schemas.openxmlformats.org/officeDocument/2006/relationships/hyperlink" Target="https://login.consultant.ru/link/?req=doc&amp;base=STR&amp;n=25187" TargetMode="External"/><Relationship Id="rId1723" Type="http://schemas.openxmlformats.org/officeDocument/2006/relationships/image" Target="media/image959.wmf"/><Relationship Id="rId1930" Type="http://schemas.openxmlformats.org/officeDocument/2006/relationships/image" Target="media/image1158.wmf"/><Relationship Id="rId15" Type="http://schemas.openxmlformats.org/officeDocument/2006/relationships/hyperlink" Target="https://login.consultant.ru/link/?req=doc&amp;base=LAW&amp;n=482029&amp;dst=100005" TargetMode="External"/><Relationship Id="rId3688" Type="http://schemas.openxmlformats.org/officeDocument/2006/relationships/image" Target="media/image2496.wmf"/><Relationship Id="rId3895" Type="http://schemas.openxmlformats.org/officeDocument/2006/relationships/image" Target="media/image2698.wmf"/><Relationship Id="rId2497" Type="http://schemas.openxmlformats.org/officeDocument/2006/relationships/image" Target="media/image1652.wmf"/><Relationship Id="rId3548" Type="http://schemas.openxmlformats.org/officeDocument/2006/relationships/image" Target="media/image2364.wmf"/><Relationship Id="rId3755" Type="http://schemas.openxmlformats.org/officeDocument/2006/relationships/image" Target="media/image2561.wmf"/><Relationship Id="rId469" Type="http://schemas.openxmlformats.org/officeDocument/2006/relationships/image" Target="media/image126.wmf"/><Relationship Id="rId676" Type="http://schemas.openxmlformats.org/officeDocument/2006/relationships/image" Target="media/image262.wmf"/><Relationship Id="rId883" Type="http://schemas.openxmlformats.org/officeDocument/2006/relationships/image" Target="media/image400.wmf"/><Relationship Id="rId1099" Type="http://schemas.openxmlformats.org/officeDocument/2006/relationships/image" Target="media/image606.wmf"/><Relationship Id="rId2357" Type="http://schemas.openxmlformats.org/officeDocument/2006/relationships/image" Target="media/image1537.wmf"/><Relationship Id="rId2564" Type="http://schemas.openxmlformats.org/officeDocument/2006/relationships/image" Target="media/image1718.wmf"/><Relationship Id="rId3408" Type="http://schemas.openxmlformats.org/officeDocument/2006/relationships/image" Target="media/image2245.wmf"/><Relationship Id="rId3615" Type="http://schemas.openxmlformats.org/officeDocument/2006/relationships/hyperlink" Target="https://login.consultant.ru/link/?req=doc&amp;base=STR&amp;n=20899&amp;dst=100957" TargetMode="External"/><Relationship Id="rId3962" Type="http://schemas.openxmlformats.org/officeDocument/2006/relationships/image" Target="media/image2765.wmf"/><Relationship Id="rId329" Type="http://schemas.openxmlformats.org/officeDocument/2006/relationships/hyperlink" Target="https://login.consultant.ru/link/?req=doc&amp;base=STR&amp;n=33799&amp;dst=100212" TargetMode="External"/><Relationship Id="rId536" Type="http://schemas.openxmlformats.org/officeDocument/2006/relationships/hyperlink" Target="https://login.consultant.ru/link/?req=doc&amp;base=STR&amp;n=33799&amp;dst=100269" TargetMode="External"/><Relationship Id="rId1166" Type="http://schemas.openxmlformats.org/officeDocument/2006/relationships/image" Target="media/image665.wmf"/><Relationship Id="rId1373" Type="http://schemas.openxmlformats.org/officeDocument/2006/relationships/image" Target="media/image794.wmf"/><Relationship Id="rId2217" Type="http://schemas.openxmlformats.org/officeDocument/2006/relationships/hyperlink" Target="https://login.consultant.ru/link/?req=doc&amp;base=STR&amp;n=20899&amp;dst=100690" TargetMode="External"/><Relationship Id="rId2771" Type="http://schemas.openxmlformats.org/officeDocument/2006/relationships/hyperlink" Target="https://login.consultant.ru/link/?req=doc&amp;base=STR&amp;n=24860" TargetMode="External"/><Relationship Id="rId3822" Type="http://schemas.openxmlformats.org/officeDocument/2006/relationships/image" Target="media/image2625.wmf"/><Relationship Id="rId743" Type="http://schemas.openxmlformats.org/officeDocument/2006/relationships/hyperlink" Target="https://login.consultant.ru/link/?req=doc&amp;base=STR&amp;n=2694" TargetMode="External"/><Relationship Id="rId950" Type="http://schemas.openxmlformats.org/officeDocument/2006/relationships/image" Target="media/image461.wmf"/><Relationship Id="rId1026" Type="http://schemas.openxmlformats.org/officeDocument/2006/relationships/image" Target="media/image535.wmf"/><Relationship Id="rId1580" Type="http://schemas.openxmlformats.org/officeDocument/2006/relationships/hyperlink" Target="https://login.consultant.ru/link/?req=doc&amp;base=STR&amp;n=10178" TargetMode="External"/><Relationship Id="rId2424" Type="http://schemas.openxmlformats.org/officeDocument/2006/relationships/hyperlink" Target="https://login.consultant.ru/link/?req=doc&amp;base=STR&amp;n=20899&amp;dst=100703" TargetMode="External"/><Relationship Id="rId2631" Type="http://schemas.openxmlformats.org/officeDocument/2006/relationships/hyperlink" Target="https://login.consultant.ru/link/?req=doc&amp;base=STR&amp;n=31260" TargetMode="External"/><Relationship Id="rId603" Type="http://schemas.openxmlformats.org/officeDocument/2006/relationships/hyperlink" Target="https://login.consultant.ru/link/?req=doc&amp;base=STR&amp;n=31283" TargetMode="External"/><Relationship Id="rId810" Type="http://schemas.openxmlformats.org/officeDocument/2006/relationships/image" Target="media/image333.wmf"/><Relationship Id="rId1233" Type="http://schemas.openxmlformats.org/officeDocument/2006/relationships/image" Target="media/image726.wmf"/><Relationship Id="rId1440" Type="http://schemas.openxmlformats.org/officeDocument/2006/relationships/hyperlink" Target="https://login.consultant.ru/link/?req=doc&amp;base=STR&amp;n=26941" TargetMode="External"/><Relationship Id="rId1300" Type="http://schemas.openxmlformats.org/officeDocument/2006/relationships/hyperlink" Target="https://login.consultant.ru/link/?req=doc&amp;base=STR&amp;n=33799&amp;dst=100530" TargetMode="External"/><Relationship Id="rId3198" Type="http://schemas.openxmlformats.org/officeDocument/2006/relationships/image" Target="media/image2043.wmf"/><Relationship Id="rId3058" Type="http://schemas.openxmlformats.org/officeDocument/2006/relationships/image" Target="media/image1931.wmf"/><Relationship Id="rId3265" Type="http://schemas.openxmlformats.org/officeDocument/2006/relationships/image" Target="media/image2110.wmf"/><Relationship Id="rId3472" Type="http://schemas.openxmlformats.org/officeDocument/2006/relationships/image" Target="media/image2296.wmf"/><Relationship Id="rId186" Type="http://schemas.openxmlformats.org/officeDocument/2006/relationships/hyperlink" Target="https://login.consultant.ru/link/?req=doc&amp;base=STR&amp;n=33799&amp;dst=100140" TargetMode="External"/><Relationship Id="rId393" Type="http://schemas.openxmlformats.org/officeDocument/2006/relationships/hyperlink" Target="https://login.consultant.ru/link/?req=doc&amp;base=STR&amp;n=20899&amp;dst=100131" TargetMode="External"/><Relationship Id="rId2074" Type="http://schemas.openxmlformats.org/officeDocument/2006/relationships/image" Target="media/image1300.wmf"/><Relationship Id="rId2281" Type="http://schemas.openxmlformats.org/officeDocument/2006/relationships/image" Target="media/image1465.wmf"/><Relationship Id="rId3125" Type="http://schemas.openxmlformats.org/officeDocument/2006/relationships/image" Target="media/image1998.wmf"/><Relationship Id="rId3332" Type="http://schemas.openxmlformats.org/officeDocument/2006/relationships/image" Target="media/image2176.wmf"/><Relationship Id="rId253" Type="http://schemas.openxmlformats.org/officeDocument/2006/relationships/hyperlink" Target="https://login.consultant.ru/link/?req=doc&amp;base=STR&amp;n=33799&amp;dst=100180" TargetMode="External"/><Relationship Id="rId460" Type="http://schemas.openxmlformats.org/officeDocument/2006/relationships/hyperlink" Target="https://login.consultant.ru/link/?req=doc&amp;base=STR&amp;n=20899&amp;dst=100155" TargetMode="External"/><Relationship Id="rId1090" Type="http://schemas.openxmlformats.org/officeDocument/2006/relationships/image" Target="media/image597.wmf"/><Relationship Id="rId2141" Type="http://schemas.openxmlformats.org/officeDocument/2006/relationships/image" Target="media/image1359.wmf"/><Relationship Id="rId113" Type="http://schemas.openxmlformats.org/officeDocument/2006/relationships/hyperlink" Target="https://login.consultant.ru/link/?req=doc&amp;base=STR&amp;n=33799&amp;dst=100112" TargetMode="External"/><Relationship Id="rId320" Type="http://schemas.openxmlformats.org/officeDocument/2006/relationships/image" Target="media/image38.wmf"/><Relationship Id="rId2001" Type="http://schemas.openxmlformats.org/officeDocument/2006/relationships/image" Target="media/image1227.wmf"/><Relationship Id="rId2958" Type="http://schemas.openxmlformats.org/officeDocument/2006/relationships/image" Target="media/image1831.wmf"/><Relationship Id="rId1767" Type="http://schemas.openxmlformats.org/officeDocument/2006/relationships/image" Target="media/image1002.wmf"/><Relationship Id="rId1974" Type="http://schemas.openxmlformats.org/officeDocument/2006/relationships/image" Target="media/image1201.wmf"/><Relationship Id="rId2818" Type="http://schemas.openxmlformats.org/officeDocument/2006/relationships/hyperlink" Target="https://login.consultant.ru/link/?req=doc&amp;base=STR&amp;n=19203" TargetMode="External"/><Relationship Id="rId59" Type="http://schemas.openxmlformats.org/officeDocument/2006/relationships/hyperlink" Target="https://login.consultant.ru/link/?req=doc&amp;base=STR&amp;n=33799&amp;dst=100040" TargetMode="External"/><Relationship Id="rId1627" Type="http://schemas.openxmlformats.org/officeDocument/2006/relationships/image" Target="media/image866.wmf"/><Relationship Id="rId1834" Type="http://schemas.openxmlformats.org/officeDocument/2006/relationships/image" Target="media/image1063.wmf"/><Relationship Id="rId4033" Type="http://schemas.openxmlformats.org/officeDocument/2006/relationships/image" Target="media/image2824.wmf"/><Relationship Id="rId3799" Type="http://schemas.openxmlformats.org/officeDocument/2006/relationships/image" Target="media/image2605.wmf"/><Relationship Id="rId1901" Type="http://schemas.openxmlformats.org/officeDocument/2006/relationships/image" Target="media/image1129.wmf"/><Relationship Id="rId3659" Type="http://schemas.openxmlformats.org/officeDocument/2006/relationships/image" Target="media/image2469.wmf"/><Relationship Id="rId3866" Type="http://schemas.openxmlformats.org/officeDocument/2006/relationships/image" Target="media/image2669.wmf"/><Relationship Id="rId787" Type="http://schemas.openxmlformats.org/officeDocument/2006/relationships/hyperlink" Target="https://login.consultant.ru/link/?req=doc&amp;base=STR&amp;n=6278" TargetMode="External"/><Relationship Id="rId994" Type="http://schemas.openxmlformats.org/officeDocument/2006/relationships/image" Target="media/image503.wmf"/><Relationship Id="rId2468" Type="http://schemas.openxmlformats.org/officeDocument/2006/relationships/hyperlink" Target="https://login.consultant.ru/link/?req=doc&amp;base=STR&amp;n=33000" TargetMode="External"/><Relationship Id="rId2675" Type="http://schemas.openxmlformats.org/officeDocument/2006/relationships/hyperlink" Target="https://login.consultant.ru/link/?req=doc&amp;base=STR&amp;n=33799&amp;dst=101067" TargetMode="External"/><Relationship Id="rId2882" Type="http://schemas.openxmlformats.org/officeDocument/2006/relationships/image" Target="media/image1759.wmf"/><Relationship Id="rId3519" Type="http://schemas.openxmlformats.org/officeDocument/2006/relationships/image" Target="media/image2339.wmf"/><Relationship Id="rId3726" Type="http://schemas.openxmlformats.org/officeDocument/2006/relationships/image" Target="media/image2533.wmf"/><Relationship Id="rId3933" Type="http://schemas.openxmlformats.org/officeDocument/2006/relationships/image" Target="media/image2736.wmf"/><Relationship Id="rId647" Type="http://schemas.openxmlformats.org/officeDocument/2006/relationships/image" Target="media/image237.wmf"/><Relationship Id="rId854" Type="http://schemas.openxmlformats.org/officeDocument/2006/relationships/image" Target="media/image375.wmf"/><Relationship Id="rId1277" Type="http://schemas.openxmlformats.org/officeDocument/2006/relationships/hyperlink" Target="https://login.consultant.ru/link/?req=doc&amp;base=STR&amp;n=26765&amp;dst=100673" TargetMode="External"/><Relationship Id="rId1484" Type="http://schemas.openxmlformats.org/officeDocument/2006/relationships/hyperlink" Target="https://login.consultant.ru/link/?req=doc&amp;base=STR&amp;n=26941&amp;dst=100446" TargetMode="External"/><Relationship Id="rId1691" Type="http://schemas.openxmlformats.org/officeDocument/2006/relationships/image" Target="media/image927.wmf"/><Relationship Id="rId2328" Type="http://schemas.openxmlformats.org/officeDocument/2006/relationships/image" Target="media/image1510.wmf"/><Relationship Id="rId2535" Type="http://schemas.openxmlformats.org/officeDocument/2006/relationships/image" Target="media/image1689.wmf"/><Relationship Id="rId2742" Type="http://schemas.openxmlformats.org/officeDocument/2006/relationships/hyperlink" Target="https://login.consultant.ru/link/?req=doc&amp;base=ATN&amp;n=103062" TargetMode="External"/><Relationship Id="rId507" Type="http://schemas.openxmlformats.org/officeDocument/2006/relationships/hyperlink" Target="https://login.consultant.ru/link/?req=doc&amp;base=STR&amp;n=34261" TargetMode="External"/><Relationship Id="rId714" Type="http://schemas.openxmlformats.org/officeDocument/2006/relationships/hyperlink" Target="https://login.consultant.ru/link/?req=doc&amp;base=STR&amp;n=6278" TargetMode="External"/><Relationship Id="rId921" Type="http://schemas.openxmlformats.org/officeDocument/2006/relationships/image" Target="media/image432.wmf"/><Relationship Id="rId1137" Type="http://schemas.openxmlformats.org/officeDocument/2006/relationships/hyperlink" Target="https://login.consultant.ru/link/?req=doc&amp;base=STR&amp;n=20899&amp;dst=100302" TargetMode="External"/><Relationship Id="rId1344" Type="http://schemas.openxmlformats.org/officeDocument/2006/relationships/hyperlink" Target="https://login.consultant.ru/link/?req=doc&amp;base=STR&amp;n=17271" TargetMode="External"/><Relationship Id="rId1551" Type="http://schemas.openxmlformats.org/officeDocument/2006/relationships/image" Target="media/image808.wmf"/><Relationship Id="rId2602" Type="http://schemas.openxmlformats.org/officeDocument/2006/relationships/hyperlink" Target="https://login.consultant.ru/link/?req=doc&amp;base=STR&amp;n=20899&amp;dst=100725" TargetMode="External"/><Relationship Id="rId50" Type="http://schemas.openxmlformats.org/officeDocument/2006/relationships/hyperlink" Target="https://login.consultant.ru/link/?req=doc&amp;base=STR&amp;n=26765&amp;dst=100023" TargetMode="External"/><Relationship Id="rId1204" Type="http://schemas.openxmlformats.org/officeDocument/2006/relationships/image" Target="media/image698.wmf"/><Relationship Id="rId1411" Type="http://schemas.openxmlformats.org/officeDocument/2006/relationships/hyperlink" Target="https://login.consultant.ru/link/?req=doc&amp;base=STR&amp;n=4954" TargetMode="External"/><Relationship Id="rId3169" Type="http://schemas.openxmlformats.org/officeDocument/2006/relationships/hyperlink" Target="https://login.consultant.ru/link/?req=doc&amp;base=STR&amp;n=26765&amp;dst=101222" TargetMode="External"/><Relationship Id="rId3376" Type="http://schemas.openxmlformats.org/officeDocument/2006/relationships/image" Target="media/image2217.wmf"/><Relationship Id="rId3583" Type="http://schemas.openxmlformats.org/officeDocument/2006/relationships/image" Target="media/image2399.wmf"/><Relationship Id="rId297" Type="http://schemas.openxmlformats.org/officeDocument/2006/relationships/hyperlink" Target="https://login.consultant.ru/link/?req=doc&amp;base=STR&amp;n=20899&amp;dst=100098" TargetMode="External"/><Relationship Id="rId2185" Type="http://schemas.openxmlformats.org/officeDocument/2006/relationships/image" Target="media/image1382.wmf"/><Relationship Id="rId2392" Type="http://schemas.openxmlformats.org/officeDocument/2006/relationships/image" Target="media/image1572.wmf"/><Relationship Id="rId3029" Type="http://schemas.openxmlformats.org/officeDocument/2006/relationships/image" Target="media/image1902.wmf"/><Relationship Id="rId3236" Type="http://schemas.openxmlformats.org/officeDocument/2006/relationships/image" Target="media/image2081.wmf"/><Relationship Id="rId3790" Type="http://schemas.openxmlformats.org/officeDocument/2006/relationships/image" Target="media/image2596.wmf"/><Relationship Id="rId157" Type="http://schemas.openxmlformats.org/officeDocument/2006/relationships/hyperlink" Target="https://login.consultant.ru/link/?req=doc&amp;base=STR&amp;n=20741" TargetMode="External"/><Relationship Id="rId364" Type="http://schemas.openxmlformats.org/officeDocument/2006/relationships/image" Target="media/image51.wmf"/><Relationship Id="rId2045" Type="http://schemas.openxmlformats.org/officeDocument/2006/relationships/image" Target="media/image1271.wmf"/><Relationship Id="rId3443" Type="http://schemas.openxmlformats.org/officeDocument/2006/relationships/image" Target="media/image2277.wmf"/><Relationship Id="rId3650" Type="http://schemas.openxmlformats.org/officeDocument/2006/relationships/image" Target="media/image2460.wmf"/><Relationship Id="rId571" Type="http://schemas.openxmlformats.org/officeDocument/2006/relationships/hyperlink" Target="https://login.consultant.ru/link/?req=doc&amp;base=STR&amp;n=26765&amp;dst=100167" TargetMode="External"/><Relationship Id="rId2252" Type="http://schemas.openxmlformats.org/officeDocument/2006/relationships/image" Target="media/image1436.wmf"/><Relationship Id="rId3303" Type="http://schemas.openxmlformats.org/officeDocument/2006/relationships/image" Target="media/image2148.wmf"/><Relationship Id="rId3510" Type="http://schemas.openxmlformats.org/officeDocument/2006/relationships/image" Target="media/image2331.wmf"/><Relationship Id="rId224" Type="http://schemas.openxmlformats.org/officeDocument/2006/relationships/hyperlink" Target="https://login.consultant.ru/link/?req=doc&amp;base=STR&amp;n=25572" TargetMode="External"/><Relationship Id="rId431" Type="http://schemas.openxmlformats.org/officeDocument/2006/relationships/hyperlink" Target="https://login.consultant.ru/link/?req=doc&amp;base=STR&amp;n=20899&amp;dst=100148" TargetMode="External"/><Relationship Id="rId1061" Type="http://schemas.openxmlformats.org/officeDocument/2006/relationships/image" Target="media/image568.wmf"/><Relationship Id="rId2112" Type="http://schemas.openxmlformats.org/officeDocument/2006/relationships/image" Target="media/image1335.wmf"/><Relationship Id="rId1878" Type="http://schemas.openxmlformats.org/officeDocument/2006/relationships/image" Target="media/image1106.wmf"/><Relationship Id="rId2929" Type="http://schemas.openxmlformats.org/officeDocument/2006/relationships/image" Target="media/image1802.wmf"/><Relationship Id="rId72" Type="http://schemas.openxmlformats.org/officeDocument/2006/relationships/hyperlink" Target="https://login.consultant.ru/link/?req=doc&amp;base=STR&amp;n=26904" TargetMode="External"/><Relationship Id="rId803" Type="http://schemas.openxmlformats.org/officeDocument/2006/relationships/image" Target="media/image326.wmf"/><Relationship Id="rId1226" Type="http://schemas.openxmlformats.org/officeDocument/2006/relationships/image" Target="media/image720.wmf"/><Relationship Id="rId1433" Type="http://schemas.openxmlformats.org/officeDocument/2006/relationships/hyperlink" Target="https://login.consultant.ru/link/?req=doc&amp;base=STR&amp;n=28725" TargetMode="External"/><Relationship Id="rId1640" Type="http://schemas.openxmlformats.org/officeDocument/2006/relationships/image" Target="media/image879.wmf"/><Relationship Id="rId1738" Type="http://schemas.openxmlformats.org/officeDocument/2006/relationships/image" Target="media/image973.wmf"/><Relationship Id="rId3093" Type="http://schemas.openxmlformats.org/officeDocument/2006/relationships/image" Target="media/image1966.wmf"/><Relationship Id="rId1500" Type="http://schemas.openxmlformats.org/officeDocument/2006/relationships/image" Target="media/image795.wmf"/><Relationship Id="rId1945" Type="http://schemas.openxmlformats.org/officeDocument/2006/relationships/image" Target="media/image1172.wmf"/><Relationship Id="rId3160" Type="http://schemas.openxmlformats.org/officeDocument/2006/relationships/hyperlink" Target="https://login.consultant.ru/link/?req=doc&amp;base=STR&amp;n=31815" TargetMode="External"/><Relationship Id="rId3398" Type="http://schemas.openxmlformats.org/officeDocument/2006/relationships/image" Target="media/image2235.wmf"/><Relationship Id="rId4004" Type="http://schemas.openxmlformats.org/officeDocument/2006/relationships/image" Target="media/image2803.wmf"/><Relationship Id="rId1805" Type="http://schemas.openxmlformats.org/officeDocument/2006/relationships/image" Target="media/image1040.wmf"/><Relationship Id="rId3020" Type="http://schemas.openxmlformats.org/officeDocument/2006/relationships/image" Target="media/image1893.wmf"/><Relationship Id="rId3258" Type="http://schemas.openxmlformats.org/officeDocument/2006/relationships/image" Target="media/image2103.wmf"/><Relationship Id="rId3465" Type="http://schemas.openxmlformats.org/officeDocument/2006/relationships/hyperlink" Target="https://login.consultant.ru/link/?req=doc&amp;base=STR&amp;n=28725" TargetMode="External"/><Relationship Id="rId3672" Type="http://schemas.openxmlformats.org/officeDocument/2006/relationships/image" Target="media/image2481.wmf"/><Relationship Id="rId179" Type="http://schemas.openxmlformats.org/officeDocument/2006/relationships/hyperlink" Target="https://login.consultant.ru/link/?req=doc&amp;base=STR&amp;n=33836" TargetMode="External"/><Relationship Id="rId386" Type="http://schemas.openxmlformats.org/officeDocument/2006/relationships/image" Target="media/image72.png"/><Relationship Id="rId593" Type="http://schemas.openxmlformats.org/officeDocument/2006/relationships/image" Target="media/image198.wmf"/><Relationship Id="rId2067" Type="http://schemas.openxmlformats.org/officeDocument/2006/relationships/image" Target="media/image1293.wmf"/><Relationship Id="rId2274" Type="http://schemas.openxmlformats.org/officeDocument/2006/relationships/image" Target="media/image1458.wmf"/><Relationship Id="rId2481" Type="http://schemas.openxmlformats.org/officeDocument/2006/relationships/image" Target="media/image1636.wmf"/><Relationship Id="rId3118" Type="http://schemas.openxmlformats.org/officeDocument/2006/relationships/image" Target="media/image1991.wmf"/><Relationship Id="rId3325" Type="http://schemas.openxmlformats.org/officeDocument/2006/relationships/image" Target="media/image2169.wmf"/><Relationship Id="rId3532" Type="http://schemas.openxmlformats.org/officeDocument/2006/relationships/image" Target="media/image2349.wmf"/><Relationship Id="rId3977" Type="http://schemas.openxmlformats.org/officeDocument/2006/relationships/image" Target="media/image2780.wmf"/><Relationship Id="rId246" Type="http://schemas.openxmlformats.org/officeDocument/2006/relationships/hyperlink" Target="https://login.consultant.ru/link/?req=doc&amp;base=STR&amp;n=24125" TargetMode="External"/><Relationship Id="rId453" Type="http://schemas.openxmlformats.org/officeDocument/2006/relationships/image" Target="media/image112.wmf"/><Relationship Id="rId660" Type="http://schemas.openxmlformats.org/officeDocument/2006/relationships/image" Target="media/image249.wmf"/><Relationship Id="rId898" Type="http://schemas.openxmlformats.org/officeDocument/2006/relationships/hyperlink" Target="https://login.consultant.ru/link/?req=doc&amp;base=STR&amp;n=26765&amp;dst=100590" TargetMode="External"/><Relationship Id="rId1083" Type="http://schemas.openxmlformats.org/officeDocument/2006/relationships/image" Target="media/image590.wmf"/><Relationship Id="rId1290" Type="http://schemas.openxmlformats.org/officeDocument/2006/relationships/image" Target="media/image779.wmf"/><Relationship Id="rId2134" Type="http://schemas.openxmlformats.org/officeDocument/2006/relationships/image" Target="media/image1356.wmf"/><Relationship Id="rId2341" Type="http://schemas.openxmlformats.org/officeDocument/2006/relationships/image" Target="media/image1523.wmf"/><Relationship Id="rId2579" Type="http://schemas.openxmlformats.org/officeDocument/2006/relationships/image" Target="media/image1724.wmf"/><Relationship Id="rId2786" Type="http://schemas.openxmlformats.org/officeDocument/2006/relationships/hyperlink" Target="https://login.consultant.ru/link/?req=doc&amp;base=STR&amp;n=31260" TargetMode="External"/><Relationship Id="rId2993" Type="http://schemas.openxmlformats.org/officeDocument/2006/relationships/image" Target="media/image1866.wmf"/><Relationship Id="rId3837" Type="http://schemas.openxmlformats.org/officeDocument/2006/relationships/image" Target="media/image2640.wmf"/><Relationship Id="rId106" Type="http://schemas.openxmlformats.org/officeDocument/2006/relationships/hyperlink" Target="https://login.consultant.ru/link/?req=doc&amp;base=STR&amp;n=26904" TargetMode="External"/><Relationship Id="rId313" Type="http://schemas.openxmlformats.org/officeDocument/2006/relationships/hyperlink" Target="https://login.consultant.ru/link/?req=doc&amp;base=STR&amp;n=33799&amp;dst=100200" TargetMode="External"/><Relationship Id="rId758" Type="http://schemas.openxmlformats.org/officeDocument/2006/relationships/image" Target="media/image293.wmf"/><Relationship Id="rId965" Type="http://schemas.openxmlformats.org/officeDocument/2006/relationships/image" Target="media/image476.wmf"/><Relationship Id="rId1150" Type="http://schemas.openxmlformats.org/officeDocument/2006/relationships/image" Target="media/image651.wmf"/><Relationship Id="rId1388" Type="http://schemas.openxmlformats.org/officeDocument/2006/relationships/hyperlink" Target="https://login.consultant.ru/link/?req=doc&amp;base=STR&amp;n=30822" TargetMode="External"/><Relationship Id="rId1595" Type="http://schemas.openxmlformats.org/officeDocument/2006/relationships/image" Target="media/image837.wmf"/><Relationship Id="rId2439" Type="http://schemas.openxmlformats.org/officeDocument/2006/relationships/image" Target="media/image1600.wmf"/><Relationship Id="rId2646" Type="http://schemas.openxmlformats.org/officeDocument/2006/relationships/hyperlink" Target="https://login.consultant.ru/link/?req=doc&amp;base=STR&amp;n=33799&amp;dst=101059" TargetMode="External"/><Relationship Id="rId2853" Type="http://schemas.openxmlformats.org/officeDocument/2006/relationships/hyperlink" Target="https://login.consultant.ru/link/?req=doc&amp;base=STR&amp;n=26765&amp;dst=101153" TargetMode="External"/><Relationship Id="rId3904" Type="http://schemas.openxmlformats.org/officeDocument/2006/relationships/image" Target="media/image2707.wmf"/><Relationship Id="rId94" Type="http://schemas.openxmlformats.org/officeDocument/2006/relationships/hyperlink" Target="https://login.consultant.ru/link/?req=doc&amp;base=STR&amp;n=20899&amp;dst=100040" TargetMode="External"/><Relationship Id="rId520" Type="http://schemas.openxmlformats.org/officeDocument/2006/relationships/hyperlink" Target="https://login.consultant.ru/link/?req=doc&amp;base=STR&amp;n=30822" TargetMode="External"/><Relationship Id="rId618" Type="http://schemas.openxmlformats.org/officeDocument/2006/relationships/image" Target="media/image210.wmf"/><Relationship Id="rId825" Type="http://schemas.openxmlformats.org/officeDocument/2006/relationships/image" Target="media/image348.wmf"/><Relationship Id="rId1248" Type="http://schemas.openxmlformats.org/officeDocument/2006/relationships/image" Target="media/image741.wmf"/><Relationship Id="rId1455" Type="http://schemas.openxmlformats.org/officeDocument/2006/relationships/hyperlink" Target="https://login.consultant.ru/link/?req=doc&amp;base=STR&amp;n=28725" TargetMode="External"/><Relationship Id="rId1662" Type="http://schemas.openxmlformats.org/officeDocument/2006/relationships/image" Target="media/image901.wmf"/><Relationship Id="rId2201" Type="http://schemas.openxmlformats.org/officeDocument/2006/relationships/hyperlink" Target="https://login.consultant.ru/link/?req=doc&amp;base=STR&amp;n=26765&amp;dst=101101" TargetMode="External"/><Relationship Id="rId2506" Type="http://schemas.openxmlformats.org/officeDocument/2006/relationships/image" Target="media/image1661.wmf"/><Relationship Id="rId1010" Type="http://schemas.openxmlformats.org/officeDocument/2006/relationships/image" Target="media/image519.wmf"/><Relationship Id="rId1108" Type="http://schemas.openxmlformats.org/officeDocument/2006/relationships/image" Target="media/image613.wmf"/><Relationship Id="rId1315" Type="http://schemas.openxmlformats.org/officeDocument/2006/relationships/hyperlink" Target="https://login.consultant.ru/link/?req=doc&amp;base=STR&amp;n=33799&amp;dst=100534" TargetMode="External"/><Relationship Id="rId1967" Type="http://schemas.openxmlformats.org/officeDocument/2006/relationships/image" Target="media/image1194.wmf"/><Relationship Id="rId2713" Type="http://schemas.openxmlformats.org/officeDocument/2006/relationships/hyperlink" Target="https://login.consultant.ru/link/?req=doc&amp;base=STR&amp;n=23849" TargetMode="External"/><Relationship Id="rId2920" Type="http://schemas.openxmlformats.org/officeDocument/2006/relationships/image" Target="media/image1793.wmf"/><Relationship Id="rId1522" Type="http://schemas.openxmlformats.org/officeDocument/2006/relationships/hyperlink" Target="https://login.consultant.ru/link/?req=doc&amp;base=STR&amp;n=26941" TargetMode="External"/><Relationship Id="rId21" Type="http://schemas.openxmlformats.org/officeDocument/2006/relationships/hyperlink" Target="https://login.consultant.ru/link/?req=doc&amp;base=LAW&amp;n=471020" TargetMode="External"/><Relationship Id="rId2089" Type="http://schemas.openxmlformats.org/officeDocument/2006/relationships/hyperlink" Target="https://login.consultant.ru/link/?req=doc&amp;base=STR&amp;n=33799&amp;dst=100928" TargetMode="External"/><Relationship Id="rId3487" Type="http://schemas.openxmlformats.org/officeDocument/2006/relationships/image" Target="media/image2310.wmf"/><Relationship Id="rId3694" Type="http://schemas.openxmlformats.org/officeDocument/2006/relationships/image" Target="media/image2502.wmf"/><Relationship Id="rId2296" Type="http://schemas.openxmlformats.org/officeDocument/2006/relationships/hyperlink" Target="https://login.consultant.ru/link/?req=doc&amp;base=STR&amp;n=33799&amp;dst=101030" TargetMode="External"/><Relationship Id="rId3347" Type="http://schemas.openxmlformats.org/officeDocument/2006/relationships/image" Target="media/image2188.wmf"/><Relationship Id="rId3554" Type="http://schemas.openxmlformats.org/officeDocument/2006/relationships/image" Target="media/image2370.wmf"/><Relationship Id="rId3761" Type="http://schemas.openxmlformats.org/officeDocument/2006/relationships/image" Target="media/image2567.wmf"/><Relationship Id="rId268" Type="http://schemas.openxmlformats.org/officeDocument/2006/relationships/hyperlink" Target="https://login.consultant.ru/link/?req=doc&amp;base=STR&amp;n=33799&amp;dst=100186" TargetMode="External"/><Relationship Id="rId475" Type="http://schemas.openxmlformats.org/officeDocument/2006/relationships/image" Target="media/image130.wmf"/><Relationship Id="rId682" Type="http://schemas.openxmlformats.org/officeDocument/2006/relationships/image" Target="media/image268.wmf"/><Relationship Id="rId2156" Type="http://schemas.openxmlformats.org/officeDocument/2006/relationships/hyperlink" Target="https://login.consultant.ru/link/?req=doc&amp;base=STR&amp;n=33799&amp;dst=100952" TargetMode="External"/><Relationship Id="rId2363" Type="http://schemas.openxmlformats.org/officeDocument/2006/relationships/image" Target="media/image1543.wmf"/><Relationship Id="rId2570" Type="http://schemas.openxmlformats.org/officeDocument/2006/relationships/hyperlink" Target="https://login.consultant.ru/link/?req=doc&amp;base=STR&amp;n=20899&amp;dst=100709" TargetMode="External"/><Relationship Id="rId3207" Type="http://schemas.openxmlformats.org/officeDocument/2006/relationships/image" Target="media/image2052.wmf"/><Relationship Id="rId3414" Type="http://schemas.openxmlformats.org/officeDocument/2006/relationships/image" Target="media/image2250.wmf"/><Relationship Id="rId3621" Type="http://schemas.openxmlformats.org/officeDocument/2006/relationships/image" Target="media/image2434.wmf"/><Relationship Id="rId128" Type="http://schemas.openxmlformats.org/officeDocument/2006/relationships/image" Target="media/image9.wmf"/><Relationship Id="rId335" Type="http://schemas.openxmlformats.org/officeDocument/2006/relationships/hyperlink" Target="https://login.consultant.ru/link/?req=doc&amp;base=STR&amp;n=33799&amp;dst=100220" TargetMode="External"/><Relationship Id="rId542" Type="http://schemas.openxmlformats.org/officeDocument/2006/relationships/image" Target="media/image175.wmf"/><Relationship Id="rId1172" Type="http://schemas.openxmlformats.org/officeDocument/2006/relationships/image" Target="media/image671.wmf"/><Relationship Id="rId2016" Type="http://schemas.openxmlformats.org/officeDocument/2006/relationships/image" Target="media/image1242.wmf"/><Relationship Id="rId2223" Type="http://schemas.openxmlformats.org/officeDocument/2006/relationships/image" Target="media/image1407.wmf"/><Relationship Id="rId2430" Type="http://schemas.openxmlformats.org/officeDocument/2006/relationships/image" Target="media/image1591.wmf"/><Relationship Id="rId402" Type="http://schemas.openxmlformats.org/officeDocument/2006/relationships/image" Target="media/image78.wmf"/><Relationship Id="rId1032" Type="http://schemas.openxmlformats.org/officeDocument/2006/relationships/image" Target="media/image540.wmf"/><Relationship Id="rId1989" Type="http://schemas.openxmlformats.org/officeDocument/2006/relationships/image" Target="media/image1215.wmf"/><Relationship Id="rId4048" Type="http://schemas.openxmlformats.org/officeDocument/2006/relationships/hyperlink" Target="https://login.consultant.ru/link/?req=doc&amp;base=ATN&amp;n=81862" TargetMode="External"/><Relationship Id="rId1849" Type="http://schemas.openxmlformats.org/officeDocument/2006/relationships/image" Target="media/image1077.wmf"/><Relationship Id="rId3064" Type="http://schemas.openxmlformats.org/officeDocument/2006/relationships/image" Target="media/image1937.wmf"/><Relationship Id="rId192" Type="http://schemas.openxmlformats.org/officeDocument/2006/relationships/hyperlink" Target="https://login.consultant.ru/link/?req=doc&amp;base=STR&amp;n=29176" TargetMode="External"/><Relationship Id="rId1709" Type="http://schemas.openxmlformats.org/officeDocument/2006/relationships/image" Target="media/image945.wmf"/><Relationship Id="rId1916" Type="http://schemas.openxmlformats.org/officeDocument/2006/relationships/image" Target="media/image1144.wmf"/><Relationship Id="rId3271" Type="http://schemas.openxmlformats.org/officeDocument/2006/relationships/image" Target="media/image2116.wmf"/><Relationship Id="rId2080" Type="http://schemas.openxmlformats.org/officeDocument/2006/relationships/image" Target="media/image1306.wmf"/><Relationship Id="rId3131" Type="http://schemas.openxmlformats.org/officeDocument/2006/relationships/image" Target="media/image2004.wmf"/><Relationship Id="rId2897" Type="http://schemas.openxmlformats.org/officeDocument/2006/relationships/image" Target="media/image1774.wmf"/><Relationship Id="rId3948" Type="http://schemas.openxmlformats.org/officeDocument/2006/relationships/image" Target="media/image2751.png"/><Relationship Id="rId869" Type="http://schemas.openxmlformats.org/officeDocument/2006/relationships/image" Target="media/image386.wmf"/><Relationship Id="rId1499" Type="http://schemas.openxmlformats.org/officeDocument/2006/relationships/hyperlink" Target="https://login.consultant.ru/link/?req=doc&amp;base=STR&amp;n=28725" TargetMode="External"/><Relationship Id="rId729" Type="http://schemas.openxmlformats.org/officeDocument/2006/relationships/hyperlink" Target="https://login.consultant.ru/link/?req=doc&amp;base=STR&amp;n=26765&amp;dst=100561" TargetMode="External"/><Relationship Id="rId1359" Type="http://schemas.openxmlformats.org/officeDocument/2006/relationships/hyperlink" Target="https://login.consultant.ru/link/?req=doc&amp;base=STR&amp;n=20899&amp;dst=100351" TargetMode="External"/><Relationship Id="rId2757" Type="http://schemas.openxmlformats.org/officeDocument/2006/relationships/hyperlink" Target="https://login.consultant.ru/link/?req=doc&amp;base=STR&amp;n=14203" TargetMode="External"/><Relationship Id="rId2964" Type="http://schemas.openxmlformats.org/officeDocument/2006/relationships/image" Target="media/image1837.wmf"/><Relationship Id="rId3808" Type="http://schemas.openxmlformats.org/officeDocument/2006/relationships/image" Target="media/image2611.wmf"/><Relationship Id="rId936" Type="http://schemas.openxmlformats.org/officeDocument/2006/relationships/image" Target="media/image447.wmf"/><Relationship Id="rId1219" Type="http://schemas.openxmlformats.org/officeDocument/2006/relationships/image" Target="media/image713.wmf"/><Relationship Id="rId1566" Type="http://schemas.openxmlformats.org/officeDocument/2006/relationships/image" Target="media/image817.wmf"/><Relationship Id="rId1773" Type="http://schemas.openxmlformats.org/officeDocument/2006/relationships/image" Target="media/image1008.wmf"/><Relationship Id="rId1980" Type="http://schemas.openxmlformats.org/officeDocument/2006/relationships/image" Target="media/image1206.wmf"/><Relationship Id="rId2617" Type="http://schemas.openxmlformats.org/officeDocument/2006/relationships/hyperlink" Target="https://login.consultant.ru/link/?req=doc&amp;base=STR&amp;n=33799&amp;dst=101053" TargetMode="External"/><Relationship Id="rId2824" Type="http://schemas.openxmlformats.org/officeDocument/2006/relationships/hyperlink" Target="https://login.consultant.ru/link/?req=doc&amp;base=STR&amp;n=26765&amp;dst=101153" TargetMode="External"/><Relationship Id="rId65" Type="http://schemas.openxmlformats.org/officeDocument/2006/relationships/hyperlink" Target="https://login.consultant.ru/link/?req=doc&amp;base=STR&amp;n=33799&amp;dst=100042" TargetMode="External"/><Relationship Id="rId1426" Type="http://schemas.openxmlformats.org/officeDocument/2006/relationships/hyperlink" Target="https://login.consultant.ru/link/?req=doc&amp;base=STR&amp;n=28725" TargetMode="External"/><Relationship Id="rId1633" Type="http://schemas.openxmlformats.org/officeDocument/2006/relationships/image" Target="media/image872.wmf"/><Relationship Id="rId1840" Type="http://schemas.openxmlformats.org/officeDocument/2006/relationships/image" Target="media/image1069.wmf"/><Relationship Id="rId1700" Type="http://schemas.openxmlformats.org/officeDocument/2006/relationships/image" Target="media/image936.wmf"/><Relationship Id="rId3598" Type="http://schemas.openxmlformats.org/officeDocument/2006/relationships/image" Target="media/image2413.wmf"/><Relationship Id="rId3458" Type="http://schemas.openxmlformats.org/officeDocument/2006/relationships/hyperlink" Target="https://login.consultant.ru/link/?req=doc&amp;base=STR&amp;n=28725" TargetMode="External"/><Relationship Id="rId3665" Type="http://schemas.openxmlformats.org/officeDocument/2006/relationships/image" Target="media/image2474.png"/><Relationship Id="rId3872" Type="http://schemas.openxmlformats.org/officeDocument/2006/relationships/image" Target="media/image2675.wmf"/><Relationship Id="rId379" Type="http://schemas.openxmlformats.org/officeDocument/2006/relationships/image" Target="media/image65.wmf"/><Relationship Id="rId586" Type="http://schemas.openxmlformats.org/officeDocument/2006/relationships/image" Target="media/image193.wmf"/><Relationship Id="rId793" Type="http://schemas.openxmlformats.org/officeDocument/2006/relationships/hyperlink" Target="https://login.consultant.ru/link/?req=doc&amp;base=STR&amp;n=26765&amp;dst=100576" TargetMode="External"/><Relationship Id="rId2267" Type="http://schemas.openxmlformats.org/officeDocument/2006/relationships/image" Target="media/image1451.wmf"/><Relationship Id="rId2474" Type="http://schemas.openxmlformats.org/officeDocument/2006/relationships/image" Target="media/image1629.wmf"/><Relationship Id="rId2681" Type="http://schemas.openxmlformats.org/officeDocument/2006/relationships/hyperlink" Target="https://login.consultant.ru/link/?req=doc&amp;base=STR&amp;n=19866" TargetMode="External"/><Relationship Id="rId3318" Type="http://schemas.openxmlformats.org/officeDocument/2006/relationships/image" Target="media/image2162.wmf"/><Relationship Id="rId3525" Type="http://schemas.openxmlformats.org/officeDocument/2006/relationships/image" Target="media/image2344.wmf"/><Relationship Id="rId239" Type="http://schemas.openxmlformats.org/officeDocument/2006/relationships/hyperlink" Target="https://login.consultant.ru/link/?req=doc&amp;base=STR&amp;n=33799&amp;dst=100175" TargetMode="External"/><Relationship Id="rId446" Type="http://schemas.openxmlformats.org/officeDocument/2006/relationships/image" Target="media/image107.wmf"/><Relationship Id="rId653" Type="http://schemas.openxmlformats.org/officeDocument/2006/relationships/image" Target="media/image243.wmf"/><Relationship Id="rId1076" Type="http://schemas.openxmlformats.org/officeDocument/2006/relationships/image" Target="media/image583.wmf"/><Relationship Id="rId1283" Type="http://schemas.openxmlformats.org/officeDocument/2006/relationships/image" Target="media/image772.wmf"/><Relationship Id="rId1490" Type="http://schemas.openxmlformats.org/officeDocument/2006/relationships/hyperlink" Target="https://login.consultant.ru/link/?req=doc&amp;base=STR&amp;n=28725" TargetMode="External"/><Relationship Id="rId2127" Type="http://schemas.openxmlformats.org/officeDocument/2006/relationships/image" Target="media/image1350.wmf"/><Relationship Id="rId2334" Type="http://schemas.openxmlformats.org/officeDocument/2006/relationships/image" Target="media/image1516.wmf"/><Relationship Id="rId3732" Type="http://schemas.openxmlformats.org/officeDocument/2006/relationships/image" Target="media/image2539.wmf"/><Relationship Id="rId306" Type="http://schemas.openxmlformats.org/officeDocument/2006/relationships/hyperlink" Target="https://login.consultant.ru/link/?req=doc&amp;base=STR&amp;n=33799&amp;dst=100199" TargetMode="External"/><Relationship Id="rId860" Type="http://schemas.openxmlformats.org/officeDocument/2006/relationships/image" Target="media/image378.wmf"/><Relationship Id="rId1143" Type="http://schemas.openxmlformats.org/officeDocument/2006/relationships/image" Target="media/image645.wmf"/><Relationship Id="rId2541" Type="http://schemas.openxmlformats.org/officeDocument/2006/relationships/image" Target="media/image1695.wmf"/><Relationship Id="rId513" Type="http://schemas.openxmlformats.org/officeDocument/2006/relationships/image" Target="media/image159.wmf"/><Relationship Id="rId720" Type="http://schemas.openxmlformats.org/officeDocument/2006/relationships/hyperlink" Target="https://login.consultant.ru/link/?req=doc&amp;base=STR&amp;n=2791" TargetMode="External"/><Relationship Id="rId1350" Type="http://schemas.openxmlformats.org/officeDocument/2006/relationships/hyperlink" Target="https://login.consultant.ru/link/?req=doc&amp;base=STR&amp;n=26765&amp;dst=100786" TargetMode="External"/><Relationship Id="rId2401" Type="http://schemas.openxmlformats.org/officeDocument/2006/relationships/image" Target="media/image1581.wmf"/><Relationship Id="rId1003" Type="http://schemas.openxmlformats.org/officeDocument/2006/relationships/image" Target="media/image512.wmf"/><Relationship Id="rId1210" Type="http://schemas.openxmlformats.org/officeDocument/2006/relationships/image" Target="media/image704.wmf"/><Relationship Id="rId3175" Type="http://schemas.openxmlformats.org/officeDocument/2006/relationships/image" Target="media/image2022.wmf"/><Relationship Id="rId3382" Type="http://schemas.openxmlformats.org/officeDocument/2006/relationships/image" Target="media/image2223.wmf"/><Relationship Id="rId4019" Type="http://schemas.openxmlformats.org/officeDocument/2006/relationships/image" Target="media/image2810.wmf"/><Relationship Id="rId2191" Type="http://schemas.openxmlformats.org/officeDocument/2006/relationships/image" Target="media/image1388.wmf"/><Relationship Id="rId3035" Type="http://schemas.openxmlformats.org/officeDocument/2006/relationships/image" Target="media/image1908.wmf"/><Relationship Id="rId3242" Type="http://schemas.openxmlformats.org/officeDocument/2006/relationships/image" Target="media/image2087.wmf"/><Relationship Id="rId163" Type="http://schemas.openxmlformats.org/officeDocument/2006/relationships/image" Target="media/image28.wmf"/><Relationship Id="rId370" Type="http://schemas.openxmlformats.org/officeDocument/2006/relationships/image" Target="media/image57.wmf"/><Relationship Id="rId2051" Type="http://schemas.openxmlformats.org/officeDocument/2006/relationships/image" Target="media/image1277.wmf"/><Relationship Id="rId3102" Type="http://schemas.openxmlformats.org/officeDocument/2006/relationships/image" Target="media/image1975.wmf"/><Relationship Id="rId230" Type="http://schemas.openxmlformats.org/officeDocument/2006/relationships/hyperlink" Target="https://login.consultant.ru/link/?req=doc&amp;base=STR&amp;n=26765&amp;dst=100084" TargetMode="External"/><Relationship Id="rId2868" Type="http://schemas.openxmlformats.org/officeDocument/2006/relationships/image" Target="media/image1745.wmf"/><Relationship Id="rId3919" Type="http://schemas.openxmlformats.org/officeDocument/2006/relationships/image" Target="media/image2722.wmf"/><Relationship Id="rId1677" Type="http://schemas.openxmlformats.org/officeDocument/2006/relationships/image" Target="media/image915.wmf"/><Relationship Id="rId1884" Type="http://schemas.openxmlformats.org/officeDocument/2006/relationships/image" Target="media/image1112.wmf"/><Relationship Id="rId2728" Type="http://schemas.openxmlformats.org/officeDocument/2006/relationships/hyperlink" Target="https://login.consultant.ru/link/?req=doc&amp;base=STR&amp;n=26118" TargetMode="External"/><Relationship Id="rId2935" Type="http://schemas.openxmlformats.org/officeDocument/2006/relationships/image" Target="media/image1808.wmf"/><Relationship Id="rId907" Type="http://schemas.openxmlformats.org/officeDocument/2006/relationships/image" Target="media/image419.wmf"/><Relationship Id="rId1537" Type="http://schemas.openxmlformats.org/officeDocument/2006/relationships/hyperlink" Target="https://login.consultant.ru/link/?req=doc&amp;base=STR&amp;n=28725" TargetMode="External"/><Relationship Id="rId1744" Type="http://schemas.openxmlformats.org/officeDocument/2006/relationships/image" Target="media/image979.wmf"/><Relationship Id="rId1951" Type="http://schemas.openxmlformats.org/officeDocument/2006/relationships/image" Target="media/image1178.wmf"/><Relationship Id="rId36" Type="http://schemas.openxmlformats.org/officeDocument/2006/relationships/hyperlink" Target="https://login.consultant.ru/link/?req=doc&amp;base=STR&amp;n=20899&amp;dst=100015" TargetMode="External"/><Relationship Id="rId1604" Type="http://schemas.openxmlformats.org/officeDocument/2006/relationships/hyperlink" Target="https://login.consultant.ru/link/?req=doc&amp;base=STR&amp;n=33799&amp;dst=100918" TargetMode="External"/><Relationship Id="rId4010" Type="http://schemas.openxmlformats.org/officeDocument/2006/relationships/hyperlink" Target="https://login.consultant.ru/link/?req=doc&amp;base=STR&amp;n=26765&amp;dst=101545" TargetMode="External"/><Relationship Id="rId1811" Type="http://schemas.openxmlformats.org/officeDocument/2006/relationships/image" Target="media/image1046.wmf"/><Relationship Id="rId3569" Type="http://schemas.openxmlformats.org/officeDocument/2006/relationships/image" Target="media/image2385.wmf"/><Relationship Id="rId697" Type="http://schemas.openxmlformats.org/officeDocument/2006/relationships/hyperlink" Target="https://login.consultant.ru/link/?req=doc&amp;base=STR&amp;n=1507" TargetMode="External"/><Relationship Id="rId2378" Type="http://schemas.openxmlformats.org/officeDocument/2006/relationships/image" Target="media/image1558.wmf"/><Relationship Id="rId3429" Type="http://schemas.openxmlformats.org/officeDocument/2006/relationships/image" Target="media/image2265.wmf"/><Relationship Id="rId3776" Type="http://schemas.openxmlformats.org/officeDocument/2006/relationships/image" Target="media/image2582.wmf"/><Relationship Id="rId3983" Type="http://schemas.openxmlformats.org/officeDocument/2006/relationships/image" Target="media/image2785.png"/><Relationship Id="rId1187" Type="http://schemas.openxmlformats.org/officeDocument/2006/relationships/image" Target="media/image683.wmf"/><Relationship Id="rId2585" Type="http://schemas.openxmlformats.org/officeDocument/2006/relationships/hyperlink" Target="https://login.consultant.ru/link/?req=doc&amp;base=STR&amp;n=26118" TargetMode="External"/><Relationship Id="rId2792" Type="http://schemas.openxmlformats.org/officeDocument/2006/relationships/hyperlink" Target="https://login.consultant.ru/link/?req=doc&amp;base=STR&amp;n=28336" TargetMode="External"/><Relationship Id="rId3636" Type="http://schemas.openxmlformats.org/officeDocument/2006/relationships/image" Target="media/image2447.wmf"/><Relationship Id="rId3843" Type="http://schemas.openxmlformats.org/officeDocument/2006/relationships/image" Target="media/image2646.wmf"/><Relationship Id="rId557" Type="http://schemas.openxmlformats.org/officeDocument/2006/relationships/image" Target="media/image184.wmf"/><Relationship Id="rId764" Type="http://schemas.openxmlformats.org/officeDocument/2006/relationships/image" Target="media/image298.wmf"/><Relationship Id="rId971" Type="http://schemas.openxmlformats.org/officeDocument/2006/relationships/image" Target="media/image482.wmf"/><Relationship Id="rId1394" Type="http://schemas.openxmlformats.org/officeDocument/2006/relationships/hyperlink" Target="https://login.consultant.ru/link/?req=doc&amp;base=STR&amp;n=13453" TargetMode="External"/><Relationship Id="rId2238" Type="http://schemas.openxmlformats.org/officeDocument/2006/relationships/image" Target="media/image1422.wmf"/><Relationship Id="rId2445" Type="http://schemas.openxmlformats.org/officeDocument/2006/relationships/image" Target="media/image1606.png"/><Relationship Id="rId2652" Type="http://schemas.openxmlformats.org/officeDocument/2006/relationships/hyperlink" Target="https://login.consultant.ru/link/?req=doc&amp;base=STR&amp;n=19618" TargetMode="External"/><Relationship Id="rId3703" Type="http://schemas.openxmlformats.org/officeDocument/2006/relationships/image" Target="media/image2510.wmf"/><Relationship Id="rId3910" Type="http://schemas.openxmlformats.org/officeDocument/2006/relationships/image" Target="media/image2713.wmf"/><Relationship Id="rId417" Type="http://schemas.openxmlformats.org/officeDocument/2006/relationships/image" Target="media/image93.wmf"/><Relationship Id="rId624" Type="http://schemas.openxmlformats.org/officeDocument/2006/relationships/image" Target="media/image216.wmf"/><Relationship Id="rId831" Type="http://schemas.openxmlformats.org/officeDocument/2006/relationships/image" Target="media/image354.wmf"/><Relationship Id="rId1047" Type="http://schemas.openxmlformats.org/officeDocument/2006/relationships/image" Target="media/image555.wmf"/><Relationship Id="rId1254" Type="http://schemas.openxmlformats.org/officeDocument/2006/relationships/image" Target="media/image747.wmf"/><Relationship Id="rId1461" Type="http://schemas.openxmlformats.org/officeDocument/2006/relationships/hyperlink" Target="https://login.consultant.ru/link/?req=doc&amp;base=STR&amp;n=28725" TargetMode="External"/><Relationship Id="rId2305" Type="http://schemas.openxmlformats.org/officeDocument/2006/relationships/image" Target="media/image1487.wmf"/><Relationship Id="rId2512" Type="http://schemas.openxmlformats.org/officeDocument/2006/relationships/image" Target="media/image1666.wmf"/><Relationship Id="rId1114" Type="http://schemas.openxmlformats.org/officeDocument/2006/relationships/image" Target="media/image619.wmf"/><Relationship Id="rId1321" Type="http://schemas.openxmlformats.org/officeDocument/2006/relationships/hyperlink" Target="https://login.consultant.ru/link/?req=doc&amp;base=STR&amp;n=33799&amp;dst=100535" TargetMode="External"/><Relationship Id="rId3079" Type="http://schemas.openxmlformats.org/officeDocument/2006/relationships/image" Target="media/image1952.wmf"/><Relationship Id="rId3286" Type="http://schemas.openxmlformats.org/officeDocument/2006/relationships/image" Target="media/image2131.wmf"/><Relationship Id="rId3493" Type="http://schemas.openxmlformats.org/officeDocument/2006/relationships/image" Target="media/image2316.wmf"/><Relationship Id="rId2095" Type="http://schemas.openxmlformats.org/officeDocument/2006/relationships/image" Target="media/image1319.wmf"/><Relationship Id="rId3146" Type="http://schemas.openxmlformats.org/officeDocument/2006/relationships/hyperlink" Target="https://login.consultant.ru/link/?req=doc&amp;base=STR&amp;n=33799&amp;dst=101338" TargetMode="External"/><Relationship Id="rId3353" Type="http://schemas.openxmlformats.org/officeDocument/2006/relationships/image" Target="media/image2194.wmf"/><Relationship Id="rId274" Type="http://schemas.openxmlformats.org/officeDocument/2006/relationships/hyperlink" Target="https://login.consultant.ru/link/?req=doc&amp;base=STR&amp;n=26765&amp;dst=100100" TargetMode="External"/><Relationship Id="rId481" Type="http://schemas.openxmlformats.org/officeDocument/2006/relationships/image" Target="media/image136.wmf"/><Relationship Id="rId2162" Type="http://schemas.openxmlformats.org/officeDocument/2006/relationships/hyperlink" Target="https://login.consultant.ru/link/?req=doc&amp;base=STR&amp;n=28798" TargetMode="External"/><Relationship Id="rId3006" Type="http://schemas.openxmlformats.org/officeDocument/2006/relationships/image" Target="media/image1879.wmf"/><Relationship Id="rId3560" Type="http://schemas.openxmlformats.org/officeDocument/2006/relationships/image" Target="media/image2376.wmf"/><Relationship Id="rId134" Type="http://schemas.openxmlformats.org/officeDocument/2006/relationships/image" Target="media/image15.wmf"/><Relationship Id="rId3213" Type="http://schemas.openxmlformats.org/officeDocument/2006/relationships/image" Target="media/image2058.wmf"/><Relationship Id="rId3420" Type="http://schemas.openxmlformats.org/officeDocument/2006/relationships/image" Target="media/image2256.wmf"/><Relationship Id="rId341" Type="http://schemas.openxmlformats.org/officeDocument/2006/relationships/hyperlink" Target="https://login.consultant.ru/link/?req=doc&amp;base=STR&amp;n=32514" TargetMode="External"/><Relationship Id="rId2022" Type="http://schemas.openxmlformats.org/officeDocument/2006/relationships/image" Target="media/image1248.wmf"/><Relationship Id="rId2979" Type="http://schemas.openxmlformats.org/officeDocument/2006/relationships/image" Target="media/image1852.wmf"/><Relationship Id="rId201" Type="http://schemas.openxmlformats.org/officeDocument/2006/relationships/hyperlink" Target="https://login.consultant.ru/link/?req=doc&amp;base=STR&amp;n=33799&amp;dst=100145" TargetMode="External"/><Relationship Id="rId1788" Type="http://schemas.openxmlformats.org/officeDocument/2006/relationships/image" Target="media/image1023.png"/><Relationship Id="rId1995" Type="http://schemas.openxmlformats.org/officeDocument/2006/relationships/image" Target="media/image1221.wmf"/><Relationship Id="rId2839" Type="http://schemas.openxmlformats.org/officeDocument/2006/relationships/hyperlink" Target="https://login.consultant.ru/link/?req=doc&amp;base=STR&amp;n=33799&amp;dst=101330" TargetMode="External"/><Relationship Id="rId1648" Type="http://schemas.openxmlformats.org/officeDocument/2006/relationships/image" Target="media/image887.wmf"/><Relationship Id="rId4054" Type="http://schemas.openxmlformats.org/officeDocument/2006/relationships/hyperlink" Target="https://login.consultant.ru/link/?req=doc&amp;base=ATN&amp;n=87195" TargetMode="External"/><Relationship Id="rId1508" Type="http://schemas.openxmlformats.org/officeDocument/2006/relationships/image" Target="media/image803.wmf"/><Relationship Id="rId1855" Type="http://schemas.openxmlformats.org/officeDocument/2006/relationships/image" Target="media/image1083.wmf"/><Relationship Id="rId2906" Type="http://schemas.openxmlformats.org/officeDocument/2006/relationships/image" Target="media/image1780.wmf"/><Relationship Id="rId3070" Type="http://schemas.openxmlformats.org/officeDocument/2006/relationships/image" Target="media/image1943.wmf"/><Relationship Id="rId1715" Type="http://schemas.openxmlformats.org/officeDocument/2006/relationships/image" Target="media/image951.wmf"/><Relationship Id="rId1922" Type="http://schemas.openxmlformats.org/officeDocument/2006/relationships/image" Target="media/image1150.wmf"/><Relationship Id="rId3887" Type="http://schemas.openxmlformats.org/officeDocument/2006/relationships/image" Target="media/image2690.wmf"/><Relationship Id="rId2489" Type="http://schemas.openxmlformats.org/officeDocument/2006/relationships/image" Target="media/image1644.wmf"/><Relationship Id="rId2696" Type="http://schemas.openxmlformats.org/officeDocument/2006/relationships/hyperlink" Target="https://login.consultant.ru/link/?req=doc&amp;base=STR&amp;n=1507" TargetMode="External"/><Relationship Id="rId3747" Type="http://schemas.openxmlformats.org/officeDocument/2006/relationships/image" Target="media/image2554.wmf"/><Relationship Id="rId3954" Type="http://schemas.openxmlformats.org/officeDocument/2006/relationships/image" Target="media/image2757.wmf"/><Relationship Id="rId668" Type="http://schemas.openxmlformats.org/officeDocument/2006/relationships/image" Target="media/image257.wmf"/><Relationship Id="rId875" Type="http://schemas.openxmlformats.org/officeDocument/2006/relationships/image" Target="media/image392.wmf"/><Relationship Id="rId1298" Type="http://schemas.openxmlformats.org/officeDocument/2006/relationships/hyperlink" Target="https://login.consultant.ru/link/?req=doc&amp;base=STR&amp;n=20899&amp;dst=100310" TargetMode="External"/><Relationship Id="rId2349" Type="http://schemas.openxmlformats.org/officeDocument/2006/relationships/image" Target="media/image1530.wmf"/><Relationship Id="rId2556" Type="http://schemas.openxmlformats.org/officeDocument/2006/relationships/image" Target="media/image1710.wmf"/><Relationship Id="rId2763" Type="http://schemas.openxmlformats.org/officeDocument/2006/relationships/hyperlink" Target="https://login.consultant.ru/link/?req=doc&amp;base=STR&amp;n=25642" TargetMode="External"/><Relationship Id="rId2970" Type="http://schemas.openxmlformats.org/officeDocument/2006/relationships/image" Target="media/image1843.wmf"/><Relationship Id="rId3607" Type="http://schemas.openxmlformats.org/officeDocument/2006/relationships/image" Target="media/image2421.wmf"/><Relationship Id="rId3814" Type="http://schemas.openxmlformats.org/officeDocument/2006/relationships/image" Target="media/image2617.wmf"/><Relationship Id="rId528" Type="http://schemas.openxmlformats.org/officeDocument/2006/relationships/image" Target="media/image170.wmf"/><Relationship Id="rId735" Type="http://schemas.openxmlformats.org/officeDocument/2006/relationships/hyperlink" Target="https://login.consultant.ru/link/?req=doc&amp;base=STR&amp;n=21162" TargetMode="External"/><Relationship Id="rId942" Type="http://schemas.openxmlformats.org/officeDocument/2006/relationships/image" Target="media/image453.wmf"/><Relationship Id="rId1158" Type="http://schemas.openxmlformats.org/officeDocument/2006/relationships/image" Target="media/image657.wmf"/><Relationship Id="rId1365" Type="http://schemas.openxmlformats.org/officeDocument/2006/relationships/hyperlink" Target="https://login.consultant.ru/link/?req=doc&amp;base=STR&amp;n=23974" TargetMode="External"/><Relationship Id="rId1572" Type="http://schemas.openxmlformats.org/officeDocument/2006/relationships/image" Target="media/image821.wmf"/><Relationship Id="rId2209" Type="http://schemas.openxmlformats.org/officeDocument/2006/relationships/hyperlink" Target="https://login.consultant.ru/link/?req=doc&amp;base=STR&amp;n=20899&amp;dst=100689" TargetMode="External"/><Relationship Id="rId2416" Type="http://schemas.openxmlformats.org/officeDocument/2006/relationships/hyperlink" Target="https://login.consultant.ru/link/?req=doc&amp;base=STR&amp;n=26765&amp;dst=101109" TargetMode="External"/><Relationship Id="rId2623" Type="http://schemas.openxmlformats.org/officeDocument/2006/relationships/hyperlink" Target="https://login.consultant.ru/link/?req=doc&amp;base=STR&amp;n=31260" TargetMode="External"/><Relationship Id="rId1018" Type="http://schemas.openxmlformats.org/officeDocument/2006/relationships/image" Target="media/image527.wmf"/><Relationship Id="rId1225" Type="http://schemas.openxmlformats.org/officeDocument/2006/relationships/image" Target="media/image719.wmf"/><Relationship Id="rId1432" Type="http://schemas.openxmlformats.org/officeDocument/2006/relationships/hyperlink" Target="https://login.consultant.ru/link/?req=doc&amp;base=STR&amp;n=26941" TargetMode="External"/><Relationship Id="rId2830" Type="http://schemas.openxmlformats.org/officeDocument/2006/relationships/hyperlink" Target="https://login.consultant.ru/link/?req=doc&amp;base=STR&amp;n=24881&amp;dst=100215" TargetMode="External"/><Relationship Id="rId71" Type="http://schemas.openxmlformats.org/officeDocument/2006/relationships/hyperlink" Target="https://login.consultant.ru/link/?req=doc&amp;base=STR&amp;n=24117" TargetMode="External"/><Relationship Id="rId802" Type="http://schemas.openxmlformats.org/officeDocument/2006/relationships/image" Target="media/image325.wmf"/><Relationship Id="rId3397" Type="http://schemas.openxmlformats.org/officeDocument/2006/relationships/image" Target="media/image2234.wmf"/><Relationship Id="rId178" Type="http://schemas.openxmlformats.org/officeDocument/2006/relationships/hyperlink" Target="https://login.consultant.ru/link/?req=doc&amp;base=STR&amp;n=29496" TargetMode="External"/><Relationship Id="rId3257" Type="http://schemas.openxmlformats.org/officeDocument/2006/relationships/image" Target="media/image2102.wmf"/><Relationship Id="rId3464" Type="http://schemas.openxmlformats.org/officeDocument/2006/relationships/image" Target="media/image2295.wmf"/><Relationship Id="rId3671" Type="http://schemas.openxmlformats.org/officeDocument/2006/relationships/image" Target="media/image2480.wmf"/><Relationship Id="rId385" Type="http://schemas.openxmlformats.org/officeDocument/2006/relationships/image" Target="media/image71.png"/><Relationship Id="rId592" Type="http://schemas.openxmlformats.org/officeDocument/2006/relationships/image" Target="media/image197.wmf"/><Relationship Id="rId2066" Type="http://schemas.openxmlformats.org/officeDocument/2006/relationships/image" Target="media/image1292.wmf"/><Relationship Id="rId2273" Type="http://schemas.openxmlformats.org/officeDocument/2006/relationships/image" Target="media/image1457.wmf"/><Relationship Id="rId2480" Type="http://schemas.openxmlformats.org/officeDocument/2006/relationships/image" Target="media/image1635.wmf"/><Relationship Id="rId3117" Type="http://schemas.openxmlformats.org/officeDocument/2006/relationships/image" Target="media/image1990.wmf"/><Relationship Id="rId3324" Type="http://schemas.openxmlformats.org/officeDocument/2006/relationships/image" Target="media/image2168.wmf"/><Relationship Id="rId3531" Type="http://schemas.openxmlformats.org/officeDocument/2006/relationships/image" Target="media/image2348.wmf"/><Relationship Id="rId245" Type="http://schemas.openxmlformats.org/officeDocument/2006/relationships/hyperlink" Target="https://login.consultant.ru/link/?req=doc&amp;base=STR&amp;n=29132" TargetMode="External"/><Relationship Id="rId452" Type="http://schemas.openxmlformats.org/officeDocument/2006/relationships/hyperlink" Target="https://login.consultant.ru/link/?req=doc&amp;base=STR&amp;n=20899&amp;dst=100152" TargetMode="External"/><Relationship Id="rId1082" Type="http://schemas.openxmlformats.org/officeDocument/2006/relationships/image" Target="media/image589.wmf"/><Relationship Id="rId2133" Type="http://schemas.openxmlformats.org/officeDocument/2006/relationships/image" Target="media/image1355.wmf"/><Relationship Id="rId2340" Type="http://schemas.openxmlformats.org/officeDocument/2006/relationships/image" Target="media/image1522.wmf"/><Relationship Id="rId105" Type="http://schemas.openxmlformats.org/officeDocument/2006/relationships/hyperlink" Target="https://login.consultant.ru/link/?req=doc&amp;base=STR&amp;n=33799&amp;dst=100061" TargetMode="External"/><Relationship Id="rId312" Type="http://schemas.openxmlformats.org/officeDocument/2006/relationships/image" Target="media/image36.wmf"/><Relationship Id="rId2200" Type="http://schemas.openxmlformats.org/officeDocument/2006/relationships/image" Target="media/image1395.wmf"/><Relationship Id="rId1899" Type="http://schemas.openxmlformats.org/officeDocument/2006/relationships/image" Target="media/image1127.wmf"/><Relationship Id="rId1759" Type="http://schemas.openxmlformats.org/officeDocument/2006/relationships/image" Target="media/image994.wmf"/><Relationship Id="rId1966" Type="http://schemas.openxmlformats.org/officeDocument/2006/relationships/image" Target="media/image1193.wmf"/><Relationship Id="rId3181" Type="http://schemas.openxmlformats.org/officeDocument/2006/relationships/image" Target="media/image2026.wmf"/><Relationship Id="rId4025" Type="http://schemas.openxmlformats.org/officeDocument/2006/relationships/image" Target="media/image2816.wmf"/><Relationship Id="rId1619" Type="http://schemas.openxmlformats.org/officeDocument/2006/relationships/image" Target="media/image858.wmf"/><Relationship Id="rId1826" Type="http://schemas.openxmlformats.org/officeDocument/2006/relationships/image" Target="media/image1057.wmf"/><Relationship Id="rId3041" Type="http://schemas.openxmlformats.org/officeDocument/2006/relationships/image" Target="media/image1914.wmf"/><Relationship Id="rId3998" Type="http://schemas.openxmlformats.org/officeDocument/2006/relationships/hyperlink" Target="https://login.consultant.ru/link/?req=doc&amp;base=STR&amp;n=33799&amp;dst=101556" TargetMode="External"/><Relationship Id="rId3858" Type="http://schemas.openxmlformats.org/officeDocument/2006/relationships/image" Target="media/image2661.wmf"/><Relationship Id="rId779" Type="http://schemas.openxmlformats.org/officeDocument/2006/relationships/image" Target="media/image312.wmf"/><Relationship Id="rId986" Type="http://schemas.openxmlformats.org/officeDocument/2006/relationships/image" Target="media/image496.wmf"/><Relationship Id="rId2667" Type="http://schemas.openxmlformats.org/officeDocument/2006/relationships/image" Target="media/image1741.png"/><Relationship Id="rId3718" Type="http://schemas.openxmlformats.org/officeDocument/2006/relationships/image" Target="media/image2525.wmf"/><Relationship Id="rId639" Type="http://schemas.openxmlformats.org/officeDocument/2006/relationships/image" Target="media/image229.wmf"/><Relationship Id="rId1269" Type="http://schemas.openxmlformats.org/officeDocument/2006/relationships/image" Target="media/image761.wmf"/><Relationship Id="rId1476" Type="http://schemas.openxmlformats.org/officeDocument/2006/relationships/hyperlink" Target="https://login.consultant.ru/link/?req=doc&amp;base=STR&amp;n=28725" TargetMode="External"/><Relationship Id="rId2874" Type="http://schemas.openxmlformats.org/officeDocument/2006/relationships/image" Target="media/image1751.wmf"/><Relationship Id="rId3925" Type="http://schemas.openxmlformats.org/officeDocument/2006/relationships/image" Target="media/image2728.wmf"/><Relationship Id="rId846" Type="http://schemas.openxmlformats.org/officeDocument/2006/relationships/image" Target="media/image367.wmf"/><Relationship Id="rId1129" Type="http://schemas.openxmlformats.org/officeDocument/2006/relationships/image" Target="media/image634.wmf"/><Relationship Id="rId1683" Type="http://schemas.openxmlformats.org/officeDocument/2006/relationships/hyperlink" Target="https://login.consultant.ru/link/?req=doc&amp;base=STR&amp;n=33799&amp;dst=100925" TargetMode="External"/><Relationship Id="rId1890" Type="http://schemas.openxmlformats.org/officeDocument/2006/relationships/image" Target="media/image1118.wmf"/><Relationship Id="rId2527" Type="http://schemas.openxmlformats.org/officeDocument/2006/relationships/image" Target="media/image1681.wmf"/><Relationship Id="rId2734" Type="http://schemas.openxmlformats.org/officeDocument/2006/relationships/hyperlink" Target="https://login.consultant.ru/link/?req=doc&amp;base=STR&amp;n=29308" TargetMode="External"/><Relationship Id="rId2941" Type="http://schemas.openxmlformats.org/officeDocument/2006/relationships/image" Target="media/image1814.wmf"/><Relationship Id="rId706" Type="http://schemas.openxmlformats.org/officeDocument/2006/relationships/image" Target="media/image279.wmf"/><Relationship Id="rId913" Type="http://schemas.openxmlformats.org/officeDocument/2006/relationships/image" Target="media/image425.wmf"/><Relationship Id="rId1336" Type="http://schemas.openxmlformats.org/officeDocument/2006/relationships/hyperlink" Target="https://login.consultant.ru/link/?req=doc&amp;base=STR&amp;n=26765&amp;dst=100776" TargetMode="External"/><Relationship Id="rId1543" Type="http://schemas.openxmlformats.org/officeDocument/2006/relationships/hyperlink" Target="https://login.consultant.ru/link/?req=doc&amp;base=STR&amp;n=28725" TargetMode="External"/><Relationship Id="rId1750" Type="http://schemas.openxmlformats.org/officeDocument/2006/relationships/image" Target="media/image985.wmf"/><Relationship Id="rId2801" Type="http://schemas.openxmlformats.org/officeDocument/2006/relationships/hyperlink" Target="https://login.consultant.ru/link/?req=doc&amp;base=STR&amp;n=25458" TargetMode="External"/><Relationship Id="rId42" Type="http://schemas.openxmlformats.org/officeDocument/2006/relationships/hyperlink" Target="https://login.consultant.ru/link/?req=doc&amp;base=STR&amp;n=33799&amp;dst=100031" TargetMode="External"/><Relationship Id="rId1403" Type="http://schemas.openxmlformats.org/officeDocument/2006/relationships/hyperlink" Target="https://login.consultant.ru/link/?req=doc&amp;base=STR&amp;n=33799&amp;dst=100555" TargetMode="External"/><Relationship Id="rId1610" Type="http://schemas.openxmlformats.org/officeDocument/2006/relationships/image" Target="media/image849.wmf"/><Relationship Id="rId3368" Type="http://schemas.openxmlformats.org/officeDocument/2006/relationships/image" Target="media/image2209.wmf"/><Relationship Id="rId3575" Type="http://schemas.openxmlformats.org/officeDocument/2006/relationships/image" Target="media/image2391.wmf"/><Relationship Id="rId3782" Type="http://schemas.openxmlformats.org/officeDocument/2006/relationships/image" Target="media/image2588.wmf"/><Relationship Id="rId289" Type="http://schemas.openxmlformats.org/officeDocument/2006/relationships/hyperlink" Target="https://login.consultant.ru/link/?req=doc&amp;base=STR&amp;n=20899&amp;dst=100094" TargetMode="External"/><Relationship Id="rId496" Type="http://schemas.openxmlformats.org/officeDocument/2006/relationships/image" Target="media/image147.wmf"/><Relationship Id="rId2177" Type="http://schemas.openxmlformats.org/officeDocument/2006/relationships/image" Target="media/image1374.wmf"/><Relationship Id="rId2384" Type="http://schemas.openxmlformats.org/officeDocument/2006/relationships/image" Target="media/image1564.wmf"/><Relationship Id="rId2591" Type="http://schemas.openxmlformats.org/officeDocument/2006/relationships/hyperlink" Target="https://login.consultant.ru/link/?req=doc&amp;base=STR&amp;n=23988" TargetMode="External"/><Relationship Id="rId3228" Type="http://schemas.openxmlformats.org/officeDocument/2006/relationships/image" Target="media/image2073.wmf"/><Relationship Id="rId3435" Type="http://schemas.openxmlformats.org/officeDocument/2006/relationships/image" Target="media/image2271.wmf"/><Relationship Id="rId3642" Type="http://schemas.openxmlformats.org/officeDocument/2006/relationships/image" Target="media/image2452.wmf"/><Relationship Id="rId149" Type="http://schemas.openxmlformats.org/officeDocument/2006/relationships/hyperlink" Target="https://login.consultant.ru/link/?req=doc&amp;base=STR&amp;n=26765&amp;dst=100056" TargetMode="External"/><Relationship Id="rId356" Type="http://schemas.openxmlformats.org/officeDocument/2006/relationships/image" Target="media/image44.wmf"/><Relationship Id="rId563" Type="http://schemas.openxmlformats.org/officeDocument/2006/relationships/image" Target="media/image186.wmf"/><Relationship Id="rId770" Type="http://schemas.openxmlformats.org/officeDocument/2006/relationships/image" Target="media/image304.wmf"/><Relationship Id="rId1193" Type="http://schemas.openxmlformats.org/officeDocument/2006/relationships/image" Target="media/image688.wmf"/><Relationship Id="rId2037" Type="http://schemas.openxmlformats.org/officeDocument/2006/relationships/image" Target="media/image1263.wmf"/><Relationship Id="rId2244" Type="http://schemas.openxmlformats.org/officeDocument/2006/relationships/image" Target="media/image1428.wmf"/><Relationship Id="rId2451" Type="http://schemas.openxmlformats.org/officeDocument/2006/relationships/hyperlink" Target="https://login.consultant.ru/link/?req=doc&amp;base=STR&amp;n=7520" TargetMode="External"/><Relationship Id="rId216" Type="http://schemas.openxmlformats.org/officeDocument/2006/relationships/hyperlink" Target="https://login.consultant.ru/link/?req=doc&amp;base=STR&amp;n=33799&amp;dst=100161" TargetMode="External"/><Relationship Id="rId423" Type="http://schemas.openxmlformats.org/officeDocument/2006/relationships/image" Target="media/image99.wmf"/><Relationship Id="rId1053" Type="http://schemas.openxmlformats.org/officeDocument/2006/relationships/image" Target="media/image561.wmf"/><Relationship Id="rId1260" Type="http://schemas.openxmlformats.org/officeDocument/2006/relationships/image" Target="media/image752.wmf"/><Relationship Id="rId2104" Type="http://schemas.openxmlformats.org/officeDocument/2006/relationships/image" Target="media/image1327.wmf"/><Relationship Id="rId3502" Type="http://schemas.openxmlformats.org/officeDocument/2006/relationships/image" Target="media/image2323.wmf"/><Relationship Id="rId630" Type="http://schemas.openxmlformats.org/officeDocument/2006/relationships/image" Target="media/image220.wmf"/><Relationship Id="rId2311" Type="http://schemas.openxmlformats.org/officeDocument/2006/relationships/image" Target="media/image1493.wmf"/><Relationship Id="rId1120" Type="http://schemas.openxmlformats.org/officeDocument/2006/relationships/image" Target="media/image625.wmf"/><Relationship Id="rId1937" Type="http://schemas.openxmlformats.org/officeDocument/2006/relationships/image" Target="media/image1165.wmf"/><Relationship Id="rId3085" Type="http://schemas.openxmlformats.org/officeDocument/2006/relationships/image" Target="media/image1958.wmf"/><Relationship Id="rId3292" Type="http://schemas.openxmlformats.org/officeDocument/2006/relationships/image" Target="media/image2137.wmf"/><Relationship Id="rId3152" Type="http://schemas.openxmlformats.org/officeDocument/2006/relationships/image" Target="media/image2016.wmf"/><Relationship Id="rId280" Type="http://schemas.openxmlformats.org/officeDocument/2006/relationships/hyperlink" Target="https://login.consultant.ru/link/?req=doc&amp;base=STR&amp;n=26765&amp;dst=100108" TargetMode="External"/><Relationship Id="rId3012" Type="http://schemas.openxmlformats.org/officeDocument/2006/relationships/image" Target="media/image1885.wmf"/><Relationship Id="rId140" Type="http://schemas.openxmlformats.org/officeDocument/2006/relationships/image" Target="media/image21.wmf"/><Relationship Id="rId3969" Type="http://schemas.openxmlformats.org/officeDocument/2006/relationships/image" Target="media/image2772.wmf"/><Relationship Id="rId6" Type="http://schemas.openxmlformats.org/officeDocument/2006/relationships/hyperlink" Target="https://login.consultant.ru/link/?req=doc&amp;base=STR&amp;n=13615" TargetMode="External"/><Relationship Id="rId2778" Type="http://schemas.openxmlformats.org/officeDocument/2006/relationships/hyperlink" Target="https://login.consultant.ru/link/?req=doc&amp;base=STR&amp;n=28466" TargetMode="External"/><Relationship Id="rId2985" Type="http://schemas.openxmlformats.org/officeDocument/2006/relationships/image" Target="media/image1858.wmf"/><Relationship Id="rId3829" Type="http://schemas.openxmlformats.org/officeDocument/2006/relationships/image" Target="media/image2632.wmf"/><Relationship Id="rId957" Type="http://schemas.openxmlformats.org/officeDocument/2006/relationships/image" Target="media/image468.wmf"/><Relationship Id="rId1587" Type="http://schemas.openxmlformats.org/officeDocument/2006/relationships/image" Target="media/image829.wmf"/><Relationship Id="rId1794" Type="http://schemas.openxmlformats.org/officeDocument/2006/relationships/image" Target="media/image1029.wmf"/><Relationship Id="rId2638" Type="http://schemas.openxmlformats.org/officeDocument/2006/relationships/hyperlink" Target="https://login.consultant.ru/link/?req=doc&amp;base=STR&amp;n=20024" TargetMode="External"/><Relationship Id="rId2845" Type="http://schemas.openxmlformats.org/officeDocument/2006/relationships/hyperlink" Target="https://login.consultant.ru/link/?req=doc&amp;base=STR&amp;n=33799&amp;dst=101331" TargetMode="External"/><Relationship Id="rId86" Type="http://schemas.openxmlformats.org/officeDocument/2006/relationships/hyperlink" Target="https://login.consultant.ru/link/?req=doc&amp;base=STR&amp;n=26765&amp;dst=100043" TargetMode="External"/><Relationship Id="rId817" Type="http://schemas.openxmlformats.org/officeDocument/2006/relationships/image" Target="media/image340.wmf"/><Relationship Id="rId1447" Type="http://schemas.openxmlformats.org/officeDocument/2006/relationships/hyperlink" Target="https://login.consultant.ru/link/?req=doc&amp;base=STR&amp;n=28725" TargetMode="External"/><Relationship Id="rId1654" Type="http://schemas.openxmlformats.org/officeDocument/2006/relationships/image" Target="media/image893.wmf"/><Relationship Id="rId1861" Type="http://schemas.openxmlformats.org/officeDocument/2006/relationships/image" Target="media/image1089.wmf"/><Relationship Id="rId2705" Type="http://schemas.openxmlformats.org/officeDocument/2006/relationships/hyperlink" Target="https://login.consultant.ru/link/?req=doc&amp;base=STR&amp;n=7548" TargetMode="External"/><Relationship Id="rId2912" Type="http://schemas.openxmlformats.org/officeDocument/2006/relationships/image" Target="media/image1785.wmf"/><Relationship Id="rId4060" Type="http://schemas.openxmlformats.org/officeDocument/2006/relationships/fontTable" Target="fontTable.xml"/><Relationship Id="rId1307" Type="http://schemas.openxmlformats.org/officeDocument/2006/relationships/hyperlink" Target="https://login.consultant.ru/link/?req=doc&amp;base=STR&amp;n=26765&amp;dst=100681" TargetMode="External"/><Relationship Id="rId1514" Type="http://schemas.openxmlformats.org/officeDocument/2006/relationships/hyperlink" Target="https://login.consultant.ru/link/?req=doc&amp;base=STR&amp;n=8696" TargetMode="External"/><Relationship Id="rId1721" Type="http://schemas.openxmlformats.org/officeDocument/2006/relationships/image" Target="media/image957.wmf"/><Relationship Id="rId13" Type="http://schemas.openxmlformats.org/officeDocument/2006/relationships/hyperlink" Target="https://login.consultant.ru/link/?req=doc&amp;base=LAW&amp;n=378344&amp;dst=100005" TargetMode="External"/><Relationship Id="rId3479" Type="http://schemas.openxmlformats.org/officeDocument/2006/relationships/image" Target="media/image2302.wmf"/><Relationship Id="rId3686" Type="http://schemas.openxmlformats.org/officeDocument/2006/relationships/image" Target="media/image2494.wmf"/><Relationship Id="rId2288" Type="http://schemas.openxmlformats.org/officeDocument/2006/relationships/image" Target="media/image1472.wmf"/><Relationship Id="rId2495" Type="http://schemas.openxmlformats.org/officeDocument/2006/relationships/image" Target="media/image1650.wmf"/><Relationship Id="rId3339" Type="http://schemas.openxmlformats.org/officeDocument/2006/relationships/image" Target="media/image2181.wmf"/><Relationship Id="rId3893" Type="http://schemas.openxmlformats.org/officeDocument/2006/relationships/image" Target="media/image2696.wmf"/><Relationship Id="rId467" Type="http://schemas.openxmlformats.org/officeDocument/2006/relationships/image" Target="media/image124.wmf"/><Relationship Id="rId1097" Type="http://schemas.openxmlformats.org/officeDocument/2006/relationships/image" Target="media/image604.wmf"/><Relationship Id="rId2148" Type="http://schemas.openxmlformats.org/officeDocument/2006/relationships/hyperlink" Target="https://login.consultant.ru/link/?req=doc&amp;base=STR&amp;n=26765&amp;dst=101076" TargetMode="External"/><Relationship Id="rId3546" Type="http://schemas.openxmlformats.org/officeDocument/2006/relationships/image" Target="media/image2362.wmf"/><Relationship Id="rId3753" Type="http://schemas.openxmlformats.org/officeDocument/2006/relationships/image" Target="media/image2559.wmf"/><Relationship Id="rId3960" Type="http://schemas.openxmlformats.org/officeDocument/2006/relationships/image" Target="media/image2763.wmf"/><Relationship Id="rId674" Type="http://schemas.openxmlformats.org/officeDocument/2006/relationships/hyperlink" Target="https://login.consultant.ru/link/?req=doc&amp;base=STR&amp;n=33799&amp;dst=100322" TargetMode="External"/><Relationship Id="rId881" Type="http://schemas.openxmlformats.org/officeDocument/2006/relationships/image" Target="media/image398.wmf"/><Relationship Id="rId2355" Type="http://schemas.openxmlformats.org/officeDocument/2006/relationships/hyperlink" Target="https://login.consultant.ru/link/?req=doc&amp;base=STR&amp;n=20899&amp;dst=100696" TargetMode="External"/><Relationship Id="rId2562" Type="http://schemas.openxmlformats.org/officeDocument/2006/relationships/image" Target="media/image1716.wmf"/><Relationship Id="rId3406" Type="http://schemas.openxmlformats.org/officeDocument/2006/relationships/image" Target="media/image2243.wmf"/><Relationship Id="rId3613" Type="http://schemas.openxmlformats.org/officeDocument/2006/relationships/image" Target="media/image2427.wmf"/><Relationship Id="rId3820" Type="http://schemas.openxmlformats.org/officeDocument/2006/relationships/image" Target="media/image2623.wmf"/><Relationship Id="rId327" Type="http://schemas.openxmlformats.org/officeDocument/2006/relationships/hyperlink" Target="https://login.consultant.ru/link/?req=doc&amp;base=STR&amp;n=33799&amp;dst=100209" TargetMode="External"/><Relationship Id="rId534" Type="http://schemas.openxmlformats.org/officeDocument/2006/relationships/image" Target="media/image173.wmf"/><Relationship Id="rId741" Type="http://schemas.openxmlformats.org/officeDocument/2006/relationships/hyperlink" Target="https://login.consultant.ru/link/?req=doc&amp;base=STR&amp;n=27061" TargetMode="External"/><Relationship Id="rId1164" Type="http://schemas.openxmlformats.org/officeDocument/2006/relationships/image" Target="media/image663.wmf"/><Relationship Id="rId1371" Type="http://schemas.openxmlformats.org/officeDocument/2006/relationships/image" Target="media/image792.wmf"/><Relationship Id="rId2008" Type="http://schemas.openxmlformats.org/officeDocument/2006/relationships/image" Target="media/image1234.wmf"/><Relationship Id="rId2215" Type="http://schemas.openxmlformats.org/officeDocument/2006/relationships/hyperlink" Target="https://login.consultant.ru/link/?req=doc&amp;base=STR&amp;n=20899&amp;dst=100695" TargetMode="External"/><Relationship Id="rId2422" Type="http://schemas.openxmlformats.org/officeDocument/2006/relationships/hyperlink" Target="https://login.consultant.ru/link/?req=doc&amp;base=STR&amp;n=7546" TargetMode="External"/><Relationship Id="rId601" Type="http://schemas.openxmlformats.org/officeDocument/2006/relationships/image" Target="media/image206.wmf"/><Relationship Id="rId1024" Type="http://schemas.openxmlformats.org/officeDocument/2006/relationships/image" Target="media/image533.wmf"/><Relationship Id="rId1231" Type="http://schemas.openxmlformats.org/officeDocument/2006/relationships/hyperlink" Target="https://login.consultant.ru/link/?req=doc&amp;base=STR&amp;n=26765&amp;dst=100669" TargetMode="External"/><Relationship Id="rId3196" Type="http://schemas.openxmlformats.org/officeDocument/2006/relationships/image" Target="media/image2041.wmf"/><Relationship Id="rId3056" Type="http://schemas.openxmlformats.org/officeDocument/2006/relationships/image" Target="media/image1929.wmf"/><Relationship Id="rId3263" Type="http://schemas.openxmlformats.org/officeDocument/2006/relationships/image" Target="media/image2108.wmf"/><Relationship Id="rId3470" Type="http://schemas.openxmlformats.org/officeDocument/2006/relationships/hyperlink" Target="https://login.consultant.ru/link/?req=doc&amp;base=STR&amp;n=26941" TargetMode="External"/><Relationship Id="rId184" Type="http://schemas.openxmlformats.org/officeDocument/2006/relationships/hyperlink" Target="https://login.consultant.ru/link/?req=doc&amp;base=STR&amp;n=20899&amp;dst=100063" TargetMode="External"/><Relationship Id="rId391" Type="http://schemas.openxmlformats.org/officeDocument/2006/relationships/hyperlink" Target="https://login.consultant.ru/link/?req=doc&amp;base=STR&amp;n=30210" TargetMode="External"/><Relationship Id="rId1908" Type="http://schemas.openxmlformats.org/officeDocument/2006/relationships/image" Target="media/image1136.wmf"/><Relationship Id="rId2072" Type="http://schemas.openxmlformats.org/officeDocument/2006/relationships/image" Target="media/image1298.wmf"/><Relationship Id="rId3123" Type="http://schemas.openxmlformats.org/officeDocument/2006/relationships/image" Target="media/image1996.wmf"/><Relationship Id="rId251" Type="http://schemas.openxmlformats.org/officeDocument/2006/relationships/hyperlink" Target="https://login.consultant.ru/link/?req=doc&amp;base=STR&amp;n=33799&amp;dst=100179" TargetMode="External"/><Relationship Id="rId3330" Type="http://schemas.openxmlformats.org/officeDocument/2006/relationships/image" Target="media/image2174.wmf"/><Relationship Id="rId2889" Type="http://schemas.openxmlformats.org/officeDocument/2006/relationships/image" Target="media/image1766.wmf"/><Relationship Id="rId111" Type="http://schemas.openxmlformats.org/officeDocument/2006/relationships/hyperlink" Target="https://login.consultant.ru/link/?req=doc&amp;base=STR&amp;n=30251" TargetMode="External"/><Relationship Id="rId1698" Type="http://schemas.openxmlformats.org/officeDocument/2006/relationships/image" Target="media/image934.wmf"/><Relationship Id="rId2749" Type="http://schemas.openxmlformats.org/officeDocument/2006/relationships/hyperlink" Target="https://login.consultant.ru/link/?req=doc&amp;base=STR&amp;n=28312" TargetMode="External"/><Relationship Id="rId2956" Type="http://schemas.openxmlformats.org/officeDocument/2006/relationships/image" Target="media/image1829.wmf"/><Relationship Id="rId928" Type="http://schemas.openxmlformats.org/officeDocument/2006/relationships/image" Target="media/image439.wmf"/><Relationship Id="rId1558" Type="http://schemas.openxmlformats.org/officeDocument/2006/relationships/hyperlink" Target="https://login.consultant.ru/link/?req=doc&amp;base=STR&amp;n=30774" TargetMode="External"/><Relationship Id="rId1765" Type="http://schemas.openxmlformats.org/officeDocument/2006/relationships/image" Target="media/image1000.wmf"/><Relationship Id="rId2609" Type="http://schemas.openxmlformats.org/officeDocument/2006/relationships/hyperlink" Target="https://login.consultant.ru/link/?req=doc&amp;base=STR&amp;n=29126" TargetMode="External"/><Relationship Id="rId57" Type="http://schemas.openxmlformats.org/officeDocument/2006/relationships/hyperlink" Target="https://login.consultant.ru/link/?req=doc&amp;base=STR&amp;n=24881&amp;dst=100031" TargetMode="External"/><Relationship Id="rId1418" Type="http://schemas.openxmlformats.org/officeDocument/2006/relationships/hyperlink" Target="https://login.consultant.ru/link/?req=doc&amp;base=STR&amp;n=21347" TargetMode="External"/><Relationship Id="rId1972" Type="http://schemas.openxmlformats.org/officeDocument/2006/relationships/image" Target="media/image1199.wmf"/><Relationship Id="rId2816" Type="http://schemas.openxmlformats.org/officeDocument/2006/relationships/hyperlink" Target="https://login.consultant.ru/link/?req=doc&amp;base=STR&amp;n=23866" TargetMode="External"/><Relationship Id="rId4031" Type="http://schemas.openxmlformats.org/officeDocument/2006/relationships/image" Target="media/image2822.wmf"/><Relationship Id="rId1625" Type="http://schemas.openxmlformats.org/officeDocument/2006/relationships/image" Target="media/image864.wmf"/><Relationship Id="rId1832" Type="http://schemas.openxmlformats.org/officeDocument/2006/relationships/image" Target="media/image1061.wmf"/><Relationship Id="rId3797" Type="http://schemas.openxmlformats.org/officeDocument/2006/relationships/image" Target="media/image2603.wmf"/><Relationship Id="rId2399" Type="http://schemas.openxmlformats.org/officeDocument/2006/relationships/image" Target="media/image1579.wmf"/><Relationship Id="rId3657" Type="http://schemas.openxmlformats.org/officeDocument/2006/relationships/image" Target="media/image2467.wmf"/><Relationship Id="rId3864" Type="http://schemas.openxmlformats.org/officeDocument/2006/relationships/image" Target="media/image2667.wmf"/><Relationship Id="rId578" Type="http://schemas.openxmlformats.org/officeDocument/2006/relationships/hyperlink" Target="https://login.consultant.ru/link/?req=doc&amp;base=STR&amp;n=6278" TargetMode="External"/><Relationship Id="rId785" Type="http://schemas.openxmlformats.org/officeDocument/2006/relationships/hyperlink" Target="https://login.consultant.ru/link/?req=doc&amp;base=STR&amp;n=26765&amp;dst=100566" TargetMode="External"/><Relationship Id="rId992" Type="http://schemas.openxmlformats.org/officeDocument/2006/relationships/image" Target="media/image501.wmf"/><Relationship Id="rId2259" Type="http://schemas.openxmlformats.org/officeDocument/2006/relationships/image" Target="media/image1443.wmf"/><Relationship Id="rId2466" Type="http://schemas.openxmlformats.org/officeDocument/2006/relationships/image" Target="media/image1622.wmf"/><Relationship Id="rId2673" Type="http://schemas.openxmlformats.org/officeDocument/2006/relationships/hyperlink" Target="https://login.consultant.ru/link/?req=doc&amp;base=STR&amp;n=18818" TargetMode="External"/><Relationship Id="rId2880" Type="http://schemas.openxmlformats.org/officeDocument/2006/relationships/image" Target="media/image1757.wmf"/><Relationship Id="rId3517" Type="http://schemas.openxmlformats.org/officeDocument/2006/relationships/image" Target="media/image2337.wmf"/><Relationship Id="rId3724" Type="http://schemas.openxmlformats.org/officeDocument/2006/relationships/image" Target="media/image2531.wmf"/><Relationship Id="rId3931" Type="http://schemas.openxmlformats.org/officeDocument/2006/relationships/image" Target="media/image2734.wmf"/><Relationship Id="rId438" Type="http://schemas.openxmlformats.org/officeDocument/2006/relationships/hyperlink" Target="https://login.consultant.ru/link/?req=doc&amp;base=STR&amp;n=20899&amp;dst=100149" TargetMode="External"/><Relationship Id="rId645" Type="http://schemas.openxmlformats.org/officeDocument/2006/relationships/image" Target="media/image235.wmf"/><Relationship Id="rId852" Type="http://schemas.openxmlformats.org/officeDocument/2006/relationships/image" Target="media/image373.wmf"/><Relationship Id="rId1068" Type="http://schemas.openxmlformats.org/officeDocument/2006/relationships/image" Target="media/image575.wmf"/><Relationship Id="rId1275" Type="http://schemas.openxmlformats.org/officeDocument/2006/relationships/hyperlink" Target="https://login.consultant.ru/link/?req=doc&amp;base=STR&amp;n=26765&amp;dst=100673" TargetMode="External"/><Relationship Id="rId1482" Type="http://schemas.openxmlformats.org/officeDocument/2006/relationships/hyperlink" Target="https://login.consultant.ru/link/?req=doc&amp;base=STR&amp;n=26941" TargetMode="External"/><Relationship Id="rId2119" Type="http://schemas.openxmlformats.org/officeDocument/2006/relationships/image" Target="media/image1342.wmf"/><Relationship Id="rId2326" Type="http://schemas.openxmlformats.org/officeDocument/2006/relationships/image" Target="media/image1508.wmf"/><Relationship Id="rId2533" Type="http://schemas.openxmlformats.org/officeDocument/2006/relationships/image" Target="media/image1687.wmf"/><Relationship Id="rId2740" Type="http://schemas.openxmlformats.org/officeDocument/2006/relationships/hyperlink" Target="https://login.consultant.ru/link/?req=doc&amp;base=STR&amp;n=34159&amp;dst=100019" TargetMode="External"/><Relationship Id="rId505" Type="http://schemas.openxmlformats.org/officeDocument/2006/relationships/image" Target="media/image155.wmf"/><Relationship Id="rId712" Type="http://schemas.openxmlformats.org/officeDocument/2006/relationships/hyperlink" Target="https://login.consultant.ru/link/?req=doc&amp;base=STR&amp;n=33799&amp;dst=100323" TargetMode="External"/><Relationship Id="rId1135" Type="http://schemas.openxmlformats.org/officeDocument/2006/relationships/hyperlink" Target="https://login.consultant.ru/link/?req=doc&amp;base=STR&amp;n=20899&amp;dst=100302" TargetMode="External"/><Relationship Id="rId1342" Type="http://schemas.openxmlformats.org/officeDocument/2006/relationships/hyperlink" Target="https://login.consultant.ru/link/?req=doc&amp;base=STR&amp;n=20899&amp;dst=100339" TargetMode="External"/><Relationship Id="rId1202" Type="http://schemas.openxmlformats.org/officeDocument/2006/relationships/image" Target="media/image696.wmf"/><Relationship Id="rId2600" Type="http://schemas.openxmlformats.org/officeDocument/2006/relationships/image" Target="media/image1728.wmf"/><Relationship Id="rId3167" Type="http://schemas.openxmlformats.org/officeDocument/2006/relationships/hyperlink" Target="https://login.consultant.ru/link/?req=doc&amp;base=STR&amp;n=20899&amp;dst=100782" TargetMode="External"/><Relationship Id="rId295" Type="http://schemas.openxmlformats.org/officeDocument/2006/relationships/hyperlink" Target="https://login.consultant.ru/link/?req=doc&amp;base=STR&amp;n=33799&amp;dst=100196" TargetMode="External"/><Relationship Id="rId3374" Type="http://schemas.openxmlformats.org/officeDocument/2006/relationships/image" Target="media/image2215.wmf"/><Relationship Id="rId3581" Type="http://schemas.openxmlformats.org/officeDocument/2006/relationships/image" Target="media/image2397.wmf"/><Relationship Id="rId2183" Type="http://schemas.openxmlformats.org/officeDocument/2006/relationships/image" Target="media/image1380.wmf"/><Relationship Id="rId2390" Type="http://schemas.openxmlformats.org/officeDocument/2006/relationships/image" Target="media/image1570.wmf"/><Relationship Id="rId3027" Type="http://schemas.openxmlformats.org/officeDocument/2006/relationships/image" Target="media/image1900.wmf"/><Relationship Id="rId3234" Type="http://schemas.openxmlformats.org/officeDocument/2006/relationships/image" Target="media/image2079.wmf"/><Relationship Id="rId3441" Type="http://schemas.openxmlformats.org/officeDocument/2006/relationships/image" Target="media/image2275.wmf"/><Relationship Id="rId155" Type="http://schemas.openxmlformats.org/officeDocument/2006/relationships/hyperlink" Target="https://login.consultant.ru/link/?req=doc&amp;base=STR&amp;n=33799&amp;dst=100121" TargetMode="External"/><Relationship Id="rId362" Type="http://schemas.openxmlformats.org/officeDocument/2006/relationships/image" Target="media/image49.wmf"/><Relationship Id="rId2043" Type="http://schemas.openxmlformats.org/officeDocument/2006/relationships/image" Target="media/image1269.wmf"/><Relationship Id="rId2250" Type="http://schemas.openxmlformats.org/officeDocument/2006/relationships/image" Target="media/image1434.wmf"/><Relationship Id="rId3301" Type="http://schemas.openxmlformats.org/officeDocument/2006/relationships/image" Target="media/image2146.wmf"/><Relationship Id="rId222" Type="http://schemas.openxmlformats.org/officeDocument/2006/relationships/hyperlink" Target="https://login.consultant.ru/link/?req=doc&amp;base=STR&amp;n=34256&amp;dst=100142" TargetMode="External"/><Relationship Id="rId2110" Type="http://schemas.openxmlformats.org/officeDocument/2006/relationships/image" Target="media/image1333.wmf"/><Relationship Id="rId1669" Type="http://schemas.openxmlformats.org/officeDocument/2006/relationships/image" Target="media/image908.wmf"/><Relationship Id="rId1876" Type="http://schemas.openxmlformats.org/officeDocument/2006/relationships/image" Target="media/image1104.wmf"/><Relationship Id="rId2927" Type="http://schemas.openxmlformats.org/officeDocument/2006/relationships/image" Target="media/image1800.wmf"/><Relationship Id="rId3091" Type="http://schemas.openxmlformats.org/officeDocument/2006/relationships/image" Target="media/image1964.wmf"/><Relationship Id="rId1529" Type="http://schemas.openxmlformats.org/officeDocument/2006/relationships/hyperlink" Target="https://login.consultant.ru/link/?req=doc&amp;base=STR&amp;n=28725" TargetMode="External"/><Relationship Id="rId1736" Type="http://schemas.openxmlformats.org/officeDocument/2006/relationships/image" Target="media/image971.wmf"/><Relationship Id="rId1943" Type="http://schemas.openxmlformats.org/officeDocument/2006/relationships/image" Target="media/image1170.wmf"/><Relationship Id="rId28" Type="http://schemas.openxmlformats.org/officeDocument/2006/relationships/hyperlink" Target="https://login.consultant.ru/link/?req=doc&amp;base=STR&amp;n=26765&amp;dst=100010" TargetMode="External"/><Relationship Id="rId1803" Type="http://schemas.openxmlformats.org/officeDocument/2006/relationships/image" Target="media/image1038.wmf"/><Relationship Id="rId4002" Type="http://schemas.openxmlformats.org/officeDocument/2006/relationships/hyperlink" Target="https://login.consultant.ru/link/?req=doc&amp;base=STR&amp;n=33799&amp;dst=101558" TargetMode="External"/><Relationship Id="rId3768" Type="http://schemas.openxmlformats.org/officeDocument/2006/relationships/image" Target="media/image2574.wmf"/><Relationship Id="rId3975" Type="http://schemas.openxmlformats.org/officeDocument/2006/relationships/image" Target="media/image2778.wmf"/><Relationship Id="rId689" Type="http://schemas.openxmlformats.org/officeDocument/2006/relationships/hyperlink" Target="https://login.consultant.ru/link/?req=doc&amp;base=STR&amp;n=19721" TargetMode="External"/><Relationship Id="rId896" Type="http://schemas.openxmlformats.org/officeDocument/2006/relationships/hyperlink" Target="https://login.consultant.ru/link/?req=doc&amp;base=STR&amp;n=28545" TargetMode="External"/><Relationship Id="rId2577" Type="http://schemas.openxmlformats.org/officeDocument/2006/relationships/hyperlink" Target="https://login.consultant.ru/link/?req=doc&amp;base=STR&amp;n=20899&amp;dst=100715" TargetMode="External"/><Relationship Id="rId2784" Type="http://schemas.openxmlformats.org/officeDocument/2006/relationships/hyperlink" Target="https://login.consultant.ru/link/?req=doc&amp;base=STR&amp;n=34159&amp;dst=100021" TargetMode="External"/><Relationship Id="rId3628" Type="http://schemas.openxmlformats.org/officeDocument/2006/relationships/hyperlink" Target="https://login.consultant.ru/link/?req=doc&amp;base=STR&amp;n=33799&amp;dst=101535" TargetMode="External"/><Relationship Id="rId549" Type="http://schemas.openxmlformats.org/officeDocument/2006/relationships/image" Target="media/image180.wmf"/><Relationship Id="rId756" Type="http://schemas.openxmlformats.org/officeDocument/2006/relationships/image" Target="media/image291.wmf"/><Relationship Id="rId1179" Type="http://schemas.openxmlformats.org/officeDocument/2006/relationships/image" Target="media/image678.wmf"/><Relationship Id="rId1386" Type="http://schemas.openxmlformats.org/officeDocument/2006/relationships/hyperlink" Target="https://login.consultant.ru/link/?req=doc&amp;base=STR&amp;n=26765&amp;dst=100842" TargetMode="External"/><Relationship Id="rId1593" Type="http://schemas.openxmlformats.org/officeDocument/2006/relationships/image" Target="media/image835.wmf"/><Relationship Id="rId2437" Type="http://schemas.openxmlformats.org/officeDocument/2006/relationships/image" Target="media/image1598.wmf"/><Relationship Id="rId2991" Type="http://schemas.openxmlformats.org/officeDocument/2006/relationships/image" Target="media/image1864.wmf"/><Relationship Id="rId3835" Type="http://schemas.openxmlformats.org/officeDocument/2006/relationships/image" Target="media/image2638.wmf"/><Relationship Id="rId409" Type="http://schemas.openxmlformats.org/officeDocument/2006/relationships/image" Target="media/image85.wmf"/><Relationship Id="rId963" Type="http://schemas.openxmlformats.org/officeDocument/2006/relationships/image" Target="media/image474.wmf"/><Relationship Id="rId1039" Type="http://schemas.openxmlformats.org/officeDocument/2006/relationships/image" Target="media/image547.wmf"/><Relationship Id="rId1246" Type="http://schemas.openxmlformats.org/officeDocument/2006/relationships/image" Target="media/image739.wmf"/><Relationship Id="rId2644" Type="http://schemas.openxmlformats.org/officeDocument/2006/relationships/hyperlink" Target="https://login.consultant.ru/link/?req=doc&amp;base=STR&amp;n=18833" TargetMode="External"/><Relationship Id="rId2851" Type="http://schemas.openxmlformats.org/officeDocument/2006/relationships/hyperlink" Target="https://login.consultant.ru/link/?req=doc&amp;base=STR&amp;n=26765&amp;dst=101183" TargetMode="External"/><Relationship Id="rId3902" Type="http://schemas.openxmlformats.org/officeDocument/2006/relationships/image" Target="media/image2705.wmf"/><Relationship Id="rId92" Type="http://schemas.openxmlformats.org/officeDocument/2006/relationships/hyperlink" Target="https://login.consultant.ru/link/?req=doc&amp;base=STR&amp;n=20345" TargetMode="External"/><Relationship Id="rId616" Type="http://schemas.openxmlformats.org/officeDocument/2006/relationships/hyperlink" Target="https://login.consultant.ru/link/?req=doc&amp;base=STR&amp;n=26765&amp;dst=100258" TargetMode="External"/><Relationship Id="rId823" Type="http://schemas.openxmlformats.org/officeDocument/2006/relationships/image" Target="media/image346.wmf"/><Relationship Id="rId1453" Type="http://schemas.openxmlformats.org/officeDocument/2006/relationships/hyperlink" Target="https://login.consultant.ru/link/?req=doc&amp;base=STR&amp;n=28725" TargetMode="External"/><Relationship Id="rId1660" Type="http://schemas.openxmlformats.org/officeDocument/2006/relationships/image" Target="media/image899.wmf"/><Relationship Id="rId2504" Type="http://schemas.openxmlformats.org/officeDocument/2006/relationships/image" Target="media/image1659.wmf"/><Relationship Id="rId2711" Type="http://schemas.openxmlformats.org/officeDocument/2006/relationships/hyperlink" Target="https://login.consultant.ru/link/?req=doc&amp;base=STR&amp;n=767" TargetMode="External"/><Relationship Id="rId1106" Type="http://schemas.openxmlformats.org/officeDocument/2006/relationships/image" Target="media/image611.wmf"/><Relationship Id="rId1313" Type="http://schemas.openxmlformats.org/officeDocument/2006/relationships/hyperlink" Target="https://login.consultant.ru/link/?req=doc&amp;base=STR&amp;n=26765&amp;dst=100692" TargetMode="External"/><Relationship Id="rId1520" Type="http://schemas.openxmlformats.org/officeDocument/2006/relationships/hyperlink" Target="https://login.consultant.ru/link/?req=doc&amp;base=STR&amp;n=26941" TargetMode="External"/><Relationship Id="rId3278" Type="http://schemas.openxmlformats.org/officeDocument/2006/relationships/image" Target="media/image2123.wmf"/><Relationship Id="rId3485" Type="http://schemas.openxmlformats.org/officeDocument/2006/relationships/image" Target="media/image2308.wmf"/><Relationship Id="rId3692" Type="http://schemas.openxmlformats.org/officeDocument/2006/relationships/image" Target="media/image2500.wmf"/><Relationship Id="rId199" Type="http://schemas.openxmlformats.org/officeDocument/2006/relationships/hyperlink" Target="https://login.consultant.ru/link/?req=doc&amp;base=STR&amp;n=20899&amp;dst=100069" TargetMode="External"/><Relationship Id="rId2087" Type="http://schemas.openxmlformats.org/officeDocument/2006/relationships/image" Target="media/image1313.wmf"/><Relationship Id="rId2294" Type="http://schemas.openxmlformats.org/officeDocument/2006/relationships/image" Target="media/image1478.wmf"/><Relationship Id="rId3138" Type="http://schemas.openxmlformats.org/officeDocument/2006/relationships/image" Target="media/image2011.wmf"/><Relationship Id="rId3345" Type="http://schemas.openxmlformats.org/officeDocument/2006/relationships/image" Target="media/image2186.wmf"/><Relationship Id="rId3552" Type="http://schemas.openxmlformats.org/officeDocument/2006/relationships/image" Target="media/image2368.wmf"/><Relationship Id="rId266" Type="http://schemas.openxmlformats.org/officeDocument/2006/relationships/hyperlink" Target="https://login.consultant.ru/link/?req=doc&amp;base=STR&amp;n=12871" TargetMode="External"/><Relationship Id="rId473" Type="http://schemas.openxmlformats.org/officeDocument/2006/relationships/hyperlink" Target="https://login.consultant.ru/link/?req=doc&amp;base=STR&amp;n=33799&amp;dst=100257" TargetMode="External"/><Relationship Id="rId680" Type="http://schemas.openxmlformats.org/officeDocument/2006/relationships/image" Target="media/image266.wmf"/><Relationship Id="rId2154" Type="http://schemas.openxmlformats.org/officeDocument/2006/relationships/hyperlink" Target="https://login.consultant.ru/link/?req=doc&amp;base=STR&amp;n=26765&amp;dst=101077" TargetMode="External"/><Relationship Id="rId2361" Type="http://schemas.openxmlformats.org/officeDocument/2006/relationships/image" Target="media/image1541.wmf"/><Relationship Id="rId3205" Type="http://schemas.openxmlformats.org/officeDocument/2006/relationships/image" Target="media/image2050.wmf"/><Relationship Id="rId3412" Type="http://schemas.openxmlformats.org/officeDocument/2006/relationships/image" Target="media/image2248.wmf"/><Relationship Id="rId126" Type="http://schemas.openxmlformats.org/officeDocument/2006/relationships/image" Target="media/image7.wmf"/><Relationship Id="rId333" Type="http://schemas.openxmlformats.org/officeDocument/2006/relationships/hyperlink" Target="https://login.consultant.ru/link/?req=doc&amp;base=STR&amp;n=33799&amp;dst=100217" TargetMode="External"/><Relationship Id="rId540" Type="http://schemas.openxmlformats.org/officeDocument/2006/relationships/hyperlink" Target="https://login.consultant.ru/link/?req=doc&amp;base=STR&amp;n=20899&amp;dst=100161" TargetMode="External"/><Relationship Id="rId1170" Type="http://schemas.openxmlformats.org/officeDocument/2006/relationships/image" Target="media/image669.wmf"/><Relationship Id="rId2014" Type="http://schemas.openxmlformats.org/officeDocument/2006/relationships/image" Target="media/image1240.wmf"/><Relationship Id="rId2221" Type="http://schemas.openxmlformats.org/officeDocument/2006/relationships/image" Target="media/image1405.wmf"/><Relationship Id="rId1030" Type="http://schemas.openxmlformats.org/officeDocument/2006/relationships/hyperlink" Target="https://login.consultant.ru/link/?req=doc&amp;base=STR&amp;n=33799&amp;dst=100526" TargetMode="External"/><Relationship Id="rId400" Type="http://schemas.openxmlformats.org/officeDocument/2006/relationships/image" Target="media/image77.wmf"/><Relationship Id="rId1987" Type="http://schemas.openxmlformats.org/officeDocument/2006/relationships/image" Target="media/image1213.wmf"/><Relationship Id="rId1847" Type="http://schemas.openxmlformats.org/officeDocument/2006/relationships/image" Target="media/image1075.wmf"/><Relationship Id="rId4046" Type="http://schemas.openxmlformats.org/officeDocument/2006/relationships/hyperlink" Target="https://login.consultant.ru/link/?req=doc&amp;base=STR&amp;n=33799&amp;dst=101983" TargetMode="External"/><Relationship Id="rId1707" Type="http://schemas.openxmlformats.org/officeDocument/2006/relationships/image" Target="media/image943.wmf"/><Relationship Id="rId3062" Type="http://schemas.openxmlformats.org/officeDocument/2006/relationships/image" Target="media/image1935.wmf"/><Relationship Id="rId190" Type="http://schemas.openxmlformats.org/officeDocument/2006/relationships/hyperlink" Target="https://login.consultant.ru/link/?req=doc&amp;base=LAW&amp;n=471634&amp;dst=100044" TargetMode="External"/><Relationship Id="rId1914" Type="http://schemas.openxmlformats.org/officeDocument/2006/relationships/image" Target="media/image1142.wmf"/><Relationship Id="rId3879" Type="http://schemas.openxmlformats.org/officeDocument/2006/relationships/image" Target="media/image2682.wmf"/><Relationship Id="rId2688" Type="http://schemas.openxmlformats.org/officeDocument/2006/relationships/hyperlink" Target="https://login.consultant.ru/link/?req=doc&amp;base=STR&amp;n=20413" TargetMode="External"/><Relationship Id="rId2895" Type="http://schemas.openxmlformats.org/officeDocument/2006/relationships/image" Target="media/image1772.wmf"/><Relationship Id="rId3739" Type="http://schemas.openxmlformats.org/officeDocument/2006/relationships/image" Target="media/image2546.wmf"/><Relationship Id="rId3946" Type="http://schemas.openxmlformats.org/officeDocument/2006/relationships/image" Target="media/image2749.png"/><Relationship Id="rId867" Type="http://schemas.openxmlformats.org/officeDocument/2006/relationships/image" Target="media/image384.wmf"/><Relationship Id="rId1497" Type="http://schemas.openxmlformats.org/officeDocument/2006/relationships/hyperlink" Target="https://login.consultant.ru/link/?req=doc&amp;base=STR&amp;n=28725" TargetMode="External"/><Relationship Id="rId2548" Type="http://schemas.openxmlformats.org/officeDocument/2006/relationships/image" Target="media/image1702.wmf"/><Relationship Id="rId2755" Type="http://schemas.openxmlformats.org/officeDocument/2006/relationships/hyperlink" Target="https://login.consultant.ru/link/?req=doc&amp;base=LAW&amp;n=348566" TargetMode="External"/><Relationship Id="rId2962" Type="http://schemas.openxmlformats.org/officeDocument/2006/relationships/image" Target="media/image1835.wmf"/><Relationship Id="rId3806" Type="http://schemas.openxmlformats.org/officeDocument/2006/relationships/image" Target="media/image2610.wmf"/><Relationship Id="rId727" Type="http://schemas.openxmlformats.org/officeDocument/2006/relationships/hyperlink" Target="https://login.consultant.ru/link/?req=doc&amp;base=STR&amp;n=23223" TargetMode="External"/><Relationship Id="rId934" Type="http://schemas.openxmlformats.org/officeDocument/2006/relationships/image" Target="media/image445.wmf"/><Relationship Id="rId1357" Type="http://schemas.openxmlformats.org/officeDocument/2006/relationships/hyperlink" Target="https://login.consultant.ru/link/?req=doc&amp;base=STR&amp;n=20899&amp;dst=100348" TargetMode="External"/><Relationship Id="rId1564" Type="http://schemas.openxmlformats.org/officeDocument/2006/relationships/hyperlink" Target="https://login.consultant.ru/link/?req=doc&amp;base=STR&amp;n=13453" TargetMode="External"/><Relationship Id="rId1771" Type="http://schemas.openxmlformats.org/officeDocument/2006/relationships/image" Target="media/image1006.wmf"/><Relationship Id="rId2408" Type="http://schemas.openxmlformats.org/officeDocument/2006/relationships/image" Target="media/image1585.wmf"/><Relationship Id="rId2615" Type="http://schemas.openxmlformats.org/officeDocument/2006/relationships/hyperlink" Target="https://login.consultant.ru/link/?req=doc&amp;base=STR&amp;n=34159&amp;dst=100015" TargetMode="External"/><Relationship Id="rId2822" Type="http://schemas.openxmlformats.org/officeDocument/2006/relationships/hyperlink" Target="https://login.consultant.ru/link/?req=doc&amp;base=STR&amp;n=24881&amp;dst=100215" TargetMode="External"/><Relationship Id="rId63" Type="http://schemas.openxmlformats.org/officeDocument/2006/relationships/hyperlink" Target="https://login.consultant.ru/link/?req=doc&amp;base=STR&amp;n=20899&amp;dst=100031" TargetMode="External"/><Relationship Id="rId1217" Type="http://schemas.openxmlformats.org/officeDocument/2006/relationships/image" Target="media/image711.wmf"/><Relationship Id="rId1424" Type="http://schemas.openxmlformats.org/officeDocument/2006/relationships/hyperlink" Target="https://login.consultant.ru/link/?req=doc&amp;base=STR&amp;n=33799&amp;dst=100564" TargetMode="External"/><Relationship Id="rId1631" Type="http://schemas.openxmlformats.org/officeDocument/2006/relationships/image" Target="media/image870.wmf"/><Relationship Id="rId3389" Type="http://schemas.openxmlformats.org/officeDocument/2006/relationships/image" Target="media/image2228.wmf"/><Relationship Id="rId3596" Type="http://schemas.openxmlformats.org/officeDocument/2006/relationships/image" Target="media/image2412.wmf"/><Relationship Id="rId2198" Type="http://schemas.openxmlformats.org/officeDocument/2006/relationships/image" Target="media/image1394.wmf"/><Relationship Id="rId3249" Type="http://schemas.openxmlformats.org/officeDocument/2006/relationships/image" Target="media/image2094.wmf"/><Relationship Id="rId3456" Type="http://schemas.openxmlformats.org/officeDocument/2006/relationships/image" Target="media/image2290.wmf"/><Relationship Id="rId377" Type="http://schemas.openxmlformats.org/officeDocument/2006/relationships/image" Target="media/image63.wmf"/><Relationship Id="rId584" Type="http://schemas.openxmlformats.org/officeDocument/2006/relationships/hyperlink" Target="https://login.consultant.ru/link/?req=doc&amp;base=STR&amp;n=26765&amp;dst=100246" TargetMode="External"/><Relationship Id="rId2058" Type="http://schemas.openxmlformats.org/officeDocument/2006/relationships/image" Target="media/image1284.wmf"/><Relationship Id="rId2265" Type="http://schemas.openxmlformats.org/officeDocument/2006/relationships/image" Target="media/image1449.wmf"/><Relationship Id="rId3109" Type="http://schemas.openxmlformats.org/officeDocument/2006/relationships/image" Target="media/image1982.wmf"/><Relationship Id="rId3663" Type="http://schemas.openxmlformats.org/officeDocument/2006/relationships/image" Target="media/image2473.wmf"/><Relationship Id="rId3870" Type="http://schemas.openxmlformats.org/officeDocument/2006/relationships/image" Target="media/image2673.wmf"/><Relationship Id="rId237" Type="http://schemas.openxmlformats.org/officeDocument/2006/relationships/hyperlink" Target="https://login.consultant.ru/link/?req=doc&amp;base=STR&amp;n=17271" TargetMode="External"/><Relationship Id="rId791" Type="http://schemas.openxmlformats.org/officeDocument/2006/relationships/hyperlink" Target="https://login.consultant.ru/link/?req=doc&amp;base=STR&amp;n=26765&amp;dst=100574" TargetMode="External"/><Relationship Id="rId1074" Type="http://schemas.openxmlformats.org/officeDocument/2006/relationships/image" Target="media/image581.wmf"/><Relationship Id="rId2472" Type="http://schemas.openxmlformats.org/officeDocument/2006/relationships/image" Target="media/image1627.wmf"/><Relationship Id="rId3316" Type="http://schemas.openxmlformats.org/officeDocument/2006/relationships/image" Target="media/image2160.wmf"/><Relationship Id="rId3523" Type="http://schemas.openxmlformats.org/officeDocument/2006/relationships/image" Target="media/image2342.wmf"/><Relationship Id="rId3730" Type="http://schemas.openxmlformats.org/officeDocument/2006/relationships/image" Target="media/image2537.wmf"/><Relationship Id="rId444" Type="http://schemas.openxmlformats.org/officeDocument/2006/relationships/hyperlink" Target="https://login.consultant.ru/link/?req=doc&amp;base=STR&amp;n=33799&amp;dst=100254" TargetMode="External"/><Relationship Id="rId651" Type="http://schemas.openxmlformats.org/officeDocument/2006/relationships/image" Target="media/image241.wmf"/><Relationship Id="rId1281" Type="http://schemas.openxmlformats.org/officeDocument/2006/relationships/image" Target="media/image770.wmf"/><Relationship Id="rId2125" Type="http://schemas.openxmlformats.org/officeDocument/2006/relationships/image" Target="media/image1348.wmf"/><Relationship Id="rId2332" Type="http://schemas.openxmlformats.org/officeDocument/2006/relationships/image" Target="media/image1514.wmf"/><Relationship Id="rId304" Type="http://schemas.openxmlformats.org/officeDocument/2006/relationships/hyperlink" Target="https://login.consultant.ru/link/?req=doc&amp;base=STR&amp;n=20899&amp;dst=100105" TargetMode="External"/><Relationship Id="rId511" Type="http://schemas.openxmlformats.org/officeDocument/2006/relationships/image" Target="media/image157.wmf"/><Relationship Id="rId1141" Type="http://schemas.openxmlformats.org/officeDocument/2006/relationships/image" Target="media/image643.wmf"/><Relationship Id="rId1001" Type="http://schemas.openxmlformats.org/officeDocument/2006/relationships/image" Target="media/image510.wmf"/><Relationship Id="rId1958" Type="http://schemas.openxmlformats.org/officeDocument/2006/relationships/image" Target="media/image1185.wmf"/><Relationship Id="rId3173" Type="http://schemas.openxmlformats.org/officeDocument/2006/relationships/hyperlink" Target="https://login.consultant.ru/link/?req=doc&amp;base=STR&amp;n=20899&amp;dst=100783" TargetMode="External"/><Relationship Id="rId3380" Type="http://schemas.openxmlformats.org/officeDocument/2006/relationships/image" Target="media/image2221.wmf"/><Relationship Id="rId4017" Type="http://schemas.openxmlformats.org/officeDocument/2006/relationships/image" Target="media/image2808.wmf"/><Relationship Id="rId1818" Type="http://schemas.openxmlformats.org/officeDocument/2006/relationships/image" Target="media/image1052.wmf"/><Relationship Id="rId3033" Type="http://schemas.openxmlformats.org/officeDocument/2006/relationships/image" Target="media/image1906.wmf"/><Relationship Id="rId3240" Type="http://schemas.openxmlformats.org/officeDocument/2006/relationships/image" Target="media/image2085.png"/><Relationship Id="rId161" Type="http://schemas.openxmlformats.org/officeDocument/2006/relationships/hyperlink" Target="https://login.consultant.ru/link/?req=doc&amp;base=STR&amp;n=33799&amp;dst=100122" TargetMode="External"/><Relationship Id="rId2799" Type="http://schemas.openxmlformats.org/officeDocument/2006/relationships/hyperlink" Target="https://login.consultant.ru/link/?req=doc&amp;base=STR&amp;n=33292" TargetMode="External"/><Relationship Id="rId3100" Type="http://schemas.openxmlformats.org/officeDocument/2006/relationships/image" Target="media/image1973.wmf"/><Relationship Id="rId978" Type="http://schemas.openxmlformats.org/officeDocument/2006/relationships/image" Target="media/image488.wmf"/><Relationship Id="rId2659" Type="http://schemas.openxmlformats.org/officeDocument/2006/relationships/image" Target="media/image1738.wmf"/><Relationship Id="rId2866" Type="http://schemas.openxmlformats.org/officeDocument/2006/relationships/image" Target="media/image1743.wmf"/><Relationship Id="rId3917" Type="http://schemas.openxmlformats.org/officeDocument/2006/relationships/image" Target="media/image2720.wmf"/><Relationship Id="rId838" Type="http://schemas.openxmlformats.org/officeDocument/2006/relationships/image" Target="media/image361.wmf"/><Relationship Id="rId1468" Type="http://schemas.openxmlformats.org/officeDocument/2006/relationships/hyperlink" Target="https://login.consultant.ru/link/?req=doc&amp;base=STR&amp;n=28725" TargetMode="External"/><Relationship Id="rId1675" Type="http://schemas.openxmlformats.org/officeDocument/2006/relationships/image" Target="media/image914.wmf"/><Relationship Id="rId1882" Type="http://schemas.openxmlformats.org/officeDocument/2006/relationships/image" Target="media/image1110.wmf"/><Relationship Id="rId2519" Type="http://schemas.openxmlformats.org/officeDocument/2006/relationships/image" Target="media/image1673.wmf"/><Relationship Id="rId2726" Type="http://schemas.openxmlformats.org/officeDocument/2006/relationships/hyperlink" Target="https://login.consultant.ru/link/?req=doc&amp;base=STR&amp;n=17271" TargetMode="External"/><Relationship Id="rId1328" Type="http://schemas.openxmlformats.org/officeDocument/2006/relationships/hyperlink" Target="https://login.consultant.ru/link/?req=doc&amp;base=STR&amp;n=20899&amp;dst=100334" TargetMode="External"/><Relationship Id="rId1535" Type="http://schemas.openxmlformats.org/officeDocument/2006/relationships/hyperlink" Target="https://login.consultant.ru/link/?req=doc&amp;base=STR&amp;n=28725" TargetMode="External"/><Relationship Id="rId2933" Type="http://schemas.openxmlformats.org/officeDocument/2006/relationships/image" Target="media/image1806.wmf"/><Relationship Id="rId905" Type="http://schemas.openxmlformats.org/officeDocument/2006/relationships/image" Target="media/image417.wmf"/><Relationship Id="rId1742" Type="http://schemas.openxmlformats.org/officeDocument/2006/relationships/image" Target="media/image977.wmf"/><Relationship Id="rId34" Type="http://schemas.openxmlformats.org/officeDocument/2006/relationships/hyperlink" Target="https://login.consultant.ru/link/?req=doc&amp;base=STR&amp;n=20899&amp;dst=100013" TargetMode="External"/><Relationship Id="rId1602" Type="http://schemas.openxmlformats.org/officeDocument/2006/relationships/image" Target="media/image844.wmf"/><Relationship Id="rId3567" Type="http://schemas.openxmlformats.org/officeDocument/2006/relationships/image" Target="media/image2383.wmf"/><Relationship Id="rId3774" Type="http://schemas.openxmlformats.org/officeDocument/2006/relationships/image" Target="media/image2580.wmf"/><Relationship Id="rId3981" Type="http://schemas.openxmlformats.org/officeDocument/2006/relationships/image" Target="media/image2783.wmf"/><Relationship Id="rId488" Type="http://schemas.openxmlformats.org/officeDocument/2006/relationships/image" Target="media/image142.wmf"/><Relationship Id="rId695" Type="http://schemas.openxmlformats.org/officeDocument/2006/relationships/image" Target="media/image272.wmf"/><Relationship Id="rId2169" Type="http://schemas.openxmlformats.org/officeDocument/2006/relationships/image" Target="media/image1367.wmf"/><Relationship Id="rId2376" Type="http://schemas.openxmlformats.org/officeDocument/2006/relationships/image" Target="media/image1556.wmf"/><Relationship Id="rId2583" Type="http://schemas.openxmlformats.org/officeDocument/2006/relationships/hyperlink" Target="https://login.consultant.ru/link/?req=doc&amp;base=STR&amp;n=29123" TargetMode="External"/><Relationship Id="rId2790" Type="http://schemas.openxmlformats.org/officeDocument/2006/relationships/hyperlink" Target="https://login.consultant.ru/link/?req=doc&amp;base=STR&amp;n=26904" TargetMode="External"/><Relationship Id="rId3427" Type="http://schemas.openxmlformats.org/officeDocument/2006/relationships/image" Target="media/image2263.wmf"/><Relationship Id="rId3634" Type="http://schemas.openxmlformats.org/officeDocument/2006/relationships/image" Target="media/image2445.wmf"/><Relationship Id="rId3841" Type="http://schemas.openxmlformats.org/officeDocument/2006/relationships/image" Target="media/image2644.wmf"/><Relationship Id="rId348" Type="http://schemas.openxmlformats.org/officeDocument/2006/relationships/hyperlink" Target="https://login.consultant.ru/link/?req=doc&amp;base=STR&amp;n=20899&amp;dst=100124" TargetMode="External"/><Relationship Id="rId555" Type="http://schemas.openxmlformats.org/officeDocument/2006/relationships/hyperlink" Target="https://login.consultant.ru/link/?req=doc&amp;base=STR&amp;n=29123" TargetMode="External"/><Relationship Id="rId762" Type="http://schemas.openxmlformats.org/officeDocument/2006/relationships/image" Target="media/image297.wmf"/><Relationship Id="rId1185" Type="http://schemas.openxmlformats.org/officeDocument/2006/relationships/image" Target="media/image682.wmf"/><Relationship Id="rId1392" Type="http://schemas.openxmlformats.org/officeDocument/2006/relationships/hyperlink" Target="https://login.consultant.ru/link/?req=doc&amp;base=STR&amp;n=26765&amp;dst=100859" TargetMode="External"/><Relationship Id="rId2029" Type="http://schemas.openxmlformats.org/officeDocument/2006/relationships/image" Target="media/image1255.wmf"/><Relationship Id="rId2236" Type="http://schemas.openxmlformats.org/officeDocument/2006/relationships/image" Target="media/image1420.wmf"/><Relationship Id="rId2443" Type="http://schemas.openxmlformats.org/officeDocument/2006/relationships/image" Target="media/image1604.wmf"/><Relationship Id="rId2650" Type="http://schemas.openxmlformats.org/officeDocument/2006/relationships/hyperlink" Target="https://login.consultant.ru/link/?req=doc&amp;base=STR&amp;n=20024" TargetMode="External"/><Relationship Id="rId3701" Type="http://schemas.openxmlformats.org/officeDocument/2006/relationships/image" Target="media/image2508.wmf"/><Relationship Id="rId208" Type="http://schemas.openxmlformats.org/officeDocument/2006/relationships/hyperlink" Target="https://login.consultant.ru/link/?req=doc&amp;base=LAW&amp;n=471634&amp;dst=100044" TargetMode="External"/><Relationship Id="rId415" Type="http://schemas.openxmlformats.org/officeDocument/2006/relationships/image" Target="media/image91.wmf"/><Relationship Id="rId622" Type="http://schemas.openxmlformats.org/officeDocument/2006/relationships/image" Target="media/image214.wmf"/><Relationship Id="rId1045" Type="http://schemas.openxmlformats.org/officeDocument/2006/relationships/image" Target="media/image553.wmf"/><Relationship Id="rId1252" Type="http://schemas.openxmlformats.org/officeDocument/2006/relationships/image" Target="media/image745.wmf"/><Relationship Id="rId2303" Type="http://schemas.openxmlformats.org/officeDocument/2006/relationships/image" Target="media/image1485.wmf"/><Relationship Id="rId2510" Type="http://schemas.openxmlformats.org/officeDocument/2006/relationships/image" Target="media/image1665.wmf"/><Relationship Id="rId1112" Type="http://schemas.openxmlformats.org/officeDocument/2006/relationships/image" Target="media/image617.wmf"/><Relationship Id="rId3077" Type="http://schemas.openxmlformats.org/officeDocument/2006/relationships/image" Target="media/image1950.wmf"/><Relationship Id="rId3284" Type="http://schemas.openxmlformats.org/officeDocument/2006/relationships/image" Target="media/image2129.wmf"/><Relationship Id="rId1929" Type="http://schemas.openxmlformats.org/officeDocument/2006/relationships/image" Target="media/image1157.wmf"/><Relationship Id="rId2093" Type="http://schemas.openxmlformats.org/officeDocument/2006/relationships/image" Target="media/image1317.wmf"/><Relationship Id="rId3491" Type="http://schemas.openxmlformats.org/officeDocument/2006/relationships/image" Target="media/image2314.wmf"/><Relationship Id="rId3144" Type="http://schemas.openxmlformats.org/officeDocument/2006/relationships/hyperlink" Target="https://login.consultant.ru/link/?req=doc&amp;base=STR&amp;n=26904" TargetMode="External"/><Relationship Id="rId3351" Type="http://schemas.openxmlformats.org/officeDocument/2006/relationships/image" Target="media/image2192.wmf"/><Relationship Id="rId272" Type="http://schemas.openxmlformats.org/officeDocument/2006/relationships/hyperlink" Target="https://login.consultant.ru/link/?req=doc&amp;base=STR&amp;n=26765&amp;dst=100099" TargetMode="External"/><Relationship Id="rId2160" Type="http://schemas.openxmlformats.org/officeDocument/2006/relationships/hyperlink" Target="https://login.consultant.ru/link/?req=doc&amp;base=STR&amp;n=33799&amp;dst=100953" TargetMode="External"/><Relationship Id="rId3004" Type="http://schemas.openxmlformats.org/officeDocument/2006/relationships/image" Target="media/image1877.wmf"/><Relationship Id="rId3211" Type="http://schemas.openxmlformats.org/officeDocument/2006/relationships/image" Target="media/image2056.wmf"/><Relationship Id="rId132" Type="http://schemas.openxmlformats.org/officeDocument/2006/relationships/image" Target="media/image13.wmf"/><Relationship Id="rId2020" Type="http://schemas.openxmlformats.org/officeDocument/2006/relationships/image" Target="media/image1246.wmf"/><Relationship Id="rId1579" Type="http://schemas.openxmlformats.org/officeDocument/2006/relationships/hyperlink" Target="https://login.consultant.ru/link/?req=doc&amp;base=STR&amp;n=4164" TargetMode="External"/><Relationship Id="rId2977" Type="http://schemas.openxmlformats.org/officeDocument/2006/relationships/image" Target="media/image1850.wmf"/><Relationship Id="rId949" Type="http://schemas.openxmlformats.org/officeDocument/2006/relationships/image" Target="media/image460.wmf"/><Relationship Id="rId1786" Type="http://schemas.openxmlformats.org/officeDocument/2006/relationships/image" Target="media/image1021.wmf"/><Relationship Id="rId1993" Type="http://schemas.openxmlformats.org/officeDocument/2006/relationships/image" Target="media/image1219.wmf"/><Relationship Id="rId2837" Type="http://schemas.openxmlformats.org/officeDocument/2006/relationships/hyperlink" Target="https://login.consultant.ru/link/?req=doc&amp;base=STR&amp;n=26765&amp;dst=101181" TargetMode="External"/><Relationship Id="rId4052" Type="http://schemas.openxmlformats.org/officeDocument/2006/relationships/hyperlink" Target="https://login.consultant.ru/link/?req=doc&amp;base=STR&amp;n=20899&amp;dst=101125" TargetMode="External"/><Relationship Id="rId78" Type="http://schemas.openxmlformats.org/officeDocument/2006/relationships/hyperlink" Target="https://login.consultant.ru/link/?req=doc&amp;base=STR&amp;n=33799&amp;dst=100044" TargetMode="External"/><Relationship Id="rId809" Type="http://schemas.openxmlformats.org/officeDocument/2006/relationships/image" Target="media/image332.wmf"/><Relationship Id="rId1439" Type="http://schemas.openxmlformats.org/officeDocument/2006/relationships/hyperlink" Target="https://login.consultant.ru/link/?req=doc&amp;base=STR&amp;n=28725" TargetMode="External"/><Relationship Id="rId1646" Type="http://schemas.openxmlformats.org/officeDocument/2006/relationships/image" Target="media/image885.wmf"/><Relationship Id="rId1853" Type="http://schemas.openxmlformats.org/officeDocument/2006/relationships/image" Target="media/image1081.wmf"/><Relationship Id="rId2904" Type="http://schemas.openxmlformats.org/officeDocument/2006/relationships/hyperlink" Target="https://login.consultant.ru/link/?req=doc&amp;base=STR&amp;n=20899&amp;dst=100772" TargetMode="External"/><Relationship Id="rId1506" Type="http://schemas.openxmlformats.org/officeDocument/2006/relationships/image" Target="media/image801.wmf"/><Relationship Id="rId1713" Type="http://schemas.openxmlformats.org/officeDocument/2006/relationships/image" Target="media/image949.wmf"/><Relationship Id="rId1920" Type="http://schemas.openxmlformats.org/officeDocument/2006/relationships/image" Target="media/image1148.wmf"/><Relationship Id="rId3678" Type="http://schemas.openxmlformats.org/officeDocument/2006/relationships/image" Target="media/image2486.wmf"/><Relationship Id="rId3885" Type="http://schemas.openxmlformats.org/officeDocument/2006/relationships/image" Target="media/image2688.wmf"/><Relationship Id="rId599" Type="http://schemas.openxmlformats.org/officeDocument/2006/relationships/image" Target="media/image204.wmf"/><Relationship Id="rId2487" Type="http://schemas.openxmlformats.org/officeDocument/2006/relationships/image" Target="media/image1642.wmf"/><Relationship Id="rId2694" Type="http://schemas.openxmlformats.org/officeDocument/2006/relationships/hyperlink" Target="https://login.consultant.ru/link/?req=doc&amp;base=STR&amp;n=34159&amp;dst=100027" TargetMode="External"/><Relationship Id="rId3538" Type="http://schemas.openxmlformats.org/officeDocument/2006/relationships/image" Target="media/image2355.wmf"/><Relationship Id="rId3745" Type="http://schemas.openxmlformats.org/officeDocument/2006/relationships/image" Target="media/image2552.wmf"/><Relationship Id="rId459" Type="http://schemas.openxmlformats.org/officeDocument/2006/relationships/image" Target="media/image117.wmf"/><Relationship Id="rId666" Type="http://schemas.openxmlformats.org/officeDocument/2006/relationships/image" Target="media/image255.wmf"/><Relationship Id="rId873" Type="http://schemas.openxmlformats.org/officeDocument/2006/relationships/image" Target="media/image390.wmf"/><Relationship Id="rId1089" Type="http://schemas.openxmlformats.org/officeDocument/2006/relationships/image" Target="media/image596.wmf"/><Relationship Id="rId1296" Type="http://schemas.openxmlformats.org/officeDocument/2006/relationships/image" Target="media/image785.wmf"/><Relationship Id="rId2347" Type="http://schemas.openxmlformats.org/officeDocument/2006/relationships/image" Target="media/image1528.png"/><Relationship Id="rId2554" Type="http://schemas.openxmlformats.org/officeDocument/2006/relationships/image" Target="media/image1708.wmf"/><Relationship Id="rId3952" Type="http://schemas.openxmlformats.org/officeDocument/2006/relationships/image" Target="media/image2755.png"/><Relationship Id="rId319" Type="http://schemas.openxmlformats.org/officeDocument/2006/relationships/hyperlink" Target="https://login.consultant.ru/link/?req=doc&amp;base=STR&amp;n=26765&amp;dst=100116" TargetMode="External"/><Relationship Id="rId526" Type="http://schemas.openxmlformats.org/officeDocument/2006/relationships/image" Target="media/image168.wmf"/><Relationship Id="rId1156" Type="http://schemas.openxmlformats.org/officeDocument/2006/relationships/hyperlink" Target="https://login.consultant.ru/link/?req=doc&amp;base=STR&amp;n=20899&amp;dst=100305" TargetMode="External"/><Relationship Id="rId1363" Type="http://schemas.openxmlformats.org/officeDocument/2006/relationships/hyperlink" Target="https://login.consultant.ru/link/?req=doc&amp;base=STR&amp;n=26765&amp;dst=100794" TargetMode="External"/><Relationship Id="rId2207" Type="http://schemas.openxmlformats.org/officeDocument/2006/relationships/hyperlink" Target="https://login.consultant.ru/link/?req=doc&amp;base=STR&amp;n=26765&amp;dst=101105" TargetMode="External"/><Relationship Id="rId2761" Type="http://schemas.openxmlformats.org/officeDocument/2006/relationships/hyperlink" Target="https://login.consultant.ru/link/?req=doc&amp;base=STR&amp;n=34159&amp;dst=100020" TargetMode="External"/><Relationship Id="rId3605" Type="http://schemas.openxmlformats.org/officeDocument/2006/relationships/image" Target="media/image2420.wmf"/><Relationship Id="rId3812" Type="http://schemas.openxmlformats.org/officeDocument/2006/relationships/image" Target="media/image2615.wmf"/><Relationship Id="rId733" Type="http://schemas.openxmlformats.org/officeDocument/2006/relationships/hyperlink" Target="https://login.consultant.ru/link/?req=doc&amp;base=STR&amp;n=33799&amp;dst=100327" TargetMode="External"/><Relationship Id="rId940" Type="http://schemas.openxmlformats.org/officeDocument/2006/relationships/image" Target="media/image451.wmf"/><Relationship Id="rId1016" Type="http://schemas.openxmlformats.org/officeDocument/2006/relationships/image" Target="media/image525.wmf"/><Relationship Id="rId1570" Type="http://schemas.openxmlformats.org/officeDocument/2006/relationships/hyperlink" Target="https://login.consultant.ru/link/?req=doc&amp;base=STR&amp;n=20899&amp;dst=100652" TargetMode="External"/><Relationship Id="rId2414" Type="http://schemas.openxmlformats.org/officeDocument/2006/relationships/hyperlink" Target="https://login.consultant.ru/link/?req=doc&amp;base=STR&amp;n=33799&amp;dst=101043" TargetMode="External"/><Relationship Id="rId2621" Type="http://schemas.openxmlformats.org/officeDocument/2006/relationships/hyperlink" Target="https://login.consultant.ru/link/?req=doc&amp;base=STR&amp;n=31260" TargetMode="External"/><Relationship Id="rId800" Type="http://schemas.openxmlformats.org/officeDocument/2006/relationships/image" Target="media/image323.wmf"/><Relationship Id="rId1223" Type="http://schemas.openxmlformats.org/officeDocument/2006/relationships/image" Target="media/image717.wmf"/><Relationship Id="rId1430" Type="http://schemas.openxmlformats.org/officeDocument/2006/relationships/hyperlink" Target="https://login.consultant.ru/link/?req=doc&amp;base=STR&amp;n=26941" TargetMode="External"/><Relationship Id="rId3188" Type="http://schemas.openxmlformats.org/officeDocument/2006/relationships/image" Target="media/image2033.wmf"/><Relationship Id="rId3395" Type="http://schemas.openxmlformats.org/officeDocument/2006/relationships/image" Target="media/image2233.wmf"/><Relationship Id="rId3048" Type="http://schemas.openxmlformats.org/officeDocument/2006/relationships/image" Target="media/image1921.wmf"/><Relationship Id="rId3255" Type="http://schemas.openxmlformats.org/officeDocument/2006/relationships/image" Target="media/image2100.wmf"/><Relationship Id="rId3462" Type="http://schemas.openxmlformats.org/officeDocument/2006/relationships/image" Target="media/image2293.wmf"/><Relationship Id="rId176" Type="http://schemas.openxmlformats.org/officeDocument/2006/relationships/hyperlink" Target="https://login.consultant.ru/link/?req=doc&amp;base=STR&amp;n=33836&amp;dst=101921" TargetMode="External"/><Relationship Id="rId383" Type="http://schemas.openxmlformats.org/officeDocument/2006/relationships/image" Target="media/image69.wmf"/><Relationship Id="rId590" Type="http://schemas.openxmlformats.org/officeDocument/2006/relationships/image" Target="media/image195.wmf"/><Relationship Id="rId2064" Type="http://schemas.openxmlformats.org/officeDocument/2006/relationships/image" Target="media/image1290.wmf"/><Relationship Id="rId2271" Type="http://schemas.openxmlformats.org/officeDocument/2006/relationships/image" Target="media/image1455.wmf"/><Relationship Id="rId3115" Type="http://schemas.openxmlformats.org/officeDocument/2006/relationships/image" Target="media/image1988.wmf"/><Relationship Id="rId3322" Type="http://schemas.openxmlformats.org/officeDocument/2006/relationships/image" Target="media/image2166.wmf"/><Relationship Id="rId243" Type="http://schemas.openxmlformats.org/officeDocument/2006/relationships/hyperlink" Target="https://login.consultant.ru/link/?req=doc&amp;base=STR&amp;n=24104" TargetMode="External"/><Relationship Id="rId450" Type="http://schemas.openxmlformats.org/officeDocument/2006/relationships/image" Target="media/image110.wmf"/><Relationship Id="rId1080" Type="http://schemas.openxmlformats.org/officeDocument/2006/relationships/image" Target="media/image587.wmf"/><Relationship Id="rId2131" Type="http://schemas.openxmlformats.org/officeDocument/2006/relationships/image" Target="media/image1353.wmf"/><Relationship Id="rId103" Type="http://schemas.openxmlformats.org/officeDocument/2006/relationships/hyperlink" Target="https://login.consultant.ru/link/?req=doc&amp;base=STR&amp;n=7551" TargetMode="External"/><Relationship Id="rId310" Type="http://schemas.openxmlformats.org/officeDocument/2006/relationships/image" Target="media/image34.wmf"/><Relationship Id="rId1897" Type="http://schemas.openxmlformats.org/officeDocument/2006/relationships/image" Target="media/image1125.wmf"/><Relationship Id="rId2948" Type="http://schemas.openxmlformats.org/officeDocument/2006/relationships/image" Target="media/image1821.wmf"/><Relationship Id="rId1757" Type="http://schemas.openxmlformats.org/officeDocument/2006/relationships/image" Target="media/image992.wmf"/><Relationship Id="rId1964" Type="http://schemas.openxmlformats.org/officeDocument/2006/relationships/image" Target="media/image1191.wmf"/><Relationship Id="rId2808" Type="http://schemas.openxmlformats.org/officeDocument/2006/relationships/hyperlink" Target="https://login.consultant.ru/link/?req=doc&amp;base=STR&amp;n=24591" TargetMode="External"/><Relationship Id="rId49" Type="http://schemas.openxmlformats.org/officeDocument/2006/relationships/hyperlink" Target="https://login.consultant.ru/link/?req=doc&amp;base=STR&amp;n=20899&amp;dst=100023" TargetMode="External"/><Relationship Id="rId1617" Type="http://schemas.openxmlformats.org/officeDocument/2006/relationships/image" Target="media/image856.wmf"/><Relationship Id="rId1824" Type="http://schemas.openxmlformats.org/officeDocument/2006/relationships/image" Target="media/image1056.wmf"/><Relationship Id="rId4023" Type="http://schemas.openxmlformats.org/officeDocument/2006/relationships/image" Target="media/image2814.wmf"/><Relationship Id="rId3789" Type="http://schemas.openxmlformats.org/officeDocument/2006/relationships/image" Target="media/image2595.png"/><Relationship Id="rId2598" Type="http://schemas.openxmlformats.org/officeDocument/2006/relationships/image" Target="media/image1726.wmf"/><Relationship Id="rId3996" Type="http://schemas.openxmlformats.org/officeDocument/2006/relationships/image" Target="media/image2797.wmf"/><Relationship Id="rId3649" Type="http://schemas.openxmlformats.org/officeDocument/2006/relationships/image" Target="media/image2459.wmf"/><Relationship Id="rId3856" Type="http://schemas.openxmlformats.org/officeDocument/2006/relationships/image" Target="media/image2659.wmf"/><Relationship Id="rId777" Type="http://schemas.openxmlformats.org/officeDocument/2006/relationships/hyperlink" Target="https://login.consultant.ru/link/?req=doc&amp;base=STR&amp;n=20899&amp;dst=100294" TargetMode="External"/><Relationship Id="rId984" Type="http://schemas.openxmlformats.org/officeDocument/2006/relationships/image" Target="media/image494.wmf"/><Relationship Id="rId2458" Type="http://schemas.openxmlformats.org/officeDocument/2006/relationships/image" Target="media/image1615.wmf"/><Relationship Id="rId2665" Type="http://schemas.openxmlformats.org/officeDocument/2006/relationships/hyperlink" Target="https://login.consultant.ru/link/?req=doc&amp;base=STR&amp;n=33799&amp;dst=101065" TargetMode="External"/><Relationship Id="rId2872" Type="http://schemas.openxmlformats.org/officeDocument/2006/relationships/image" Target="media/image1749.wmf"/><Relationship Id="rId3509" Type="http://schemas.openxmlformats.org/officeDocument/2006/relationships/image" Target="media/image2330.wmf"/><Relationship Id="rId3716" Type="http://schemas.openxmlformats.org/officeDocument/2006/relationships/image" Target="media/image2523.wmf"/><Relationship Id="rId3923" Type="http://schemas.openxmlformats.org/officeDocument/2006/relationships/image" Target="media/image2726.wmf"/><Relationship Id="rId637" Type="http://schemas.openxmlformats.org/officeDocument/2006/relationships/image" Target="media/image227.wmf"/><Relationship Id="rId844" Type="http://schemas.openxmlformats.org/officeDocument/2006/relationships/hyperlink" Target="https://login.consultant.ru/link/?req=doc&amp;base=STR&amp;n=33799&amp;dst=100525" TargetMode="External"/><Relationship Id="rId1267" Type="http://schemas.openxmlformats.org/officeDocument/2006/relationships/image" Target="media/image759.wmf"/><Relationship Id="rId1474" Type="http://schemas.openxmlformats.org/officeDocument/2006/relationships/hyperlink" Target="https://login.consultant.ru/link/?req=doc&amp;base=STR&amp;n=26941&amp;dst=100321" TargetMode="External"/><Relationship Id="rId1681" Type="http://schemas.openxmlformats.org/officeDocument/2006/relationships/image" Target="media/image918.wmf"/><Relationship Id="rId2318" Type="http://schemas.openxmlformats.org/officeDocument/2006/relationships/image" Target="media/image1500.wmf"/><Relationship Id="rId2525" Type="http://schemas.openxmlformats.org/officeDocument/2006/relationships/image" Target="media/image1679.wmf"/><Relationship Id="rId2732" Type="http://schemas.openxmlformats.org/officeDocument/2006/relationships/hyperlink" Target="https://login.consultant.ru/link/?req=doc&amp;base=STR&amp;n=1111" TargetMode="External"/><Relationship Id="rId704" Type="http://schemas.openxmlformats.org/officeDocument/2006/relationships/hyperlink" Target="https://login.consultant.ru/link/?req=doc&amp;base=STR&amp;n=1507" TargetMode="External"/><Relationship Id="rId911" Type="http://schemas.openxmlformats.org/officeDocument/2006/relationships/image" Target="media/image423.png"/><Relationship Id="rId1127" Type="http://schemas.openxmlformats.org/officeDocument/2006/relationships/image" Target="media/image632.wmf"/><Relationship Id="rId1334" Type="http://schemas.openxmlformats.org/officeDocument/2006/relationships/hyperlink" Target="https://login.consultant.ru/link/?req=doc&amp;base=STR&amp;n=20899&amp;dst=100337" TargetMode="External"/><Relationship Id="rId1541" Type="http://schemas.openxmlformats.org/officeDocument/2006/relationships/hyperlink" Target="https://login.consultant.ru/link/?req=doc&amp;base=STR&amp;n=28725" TargetMode="External"/><Relationship Id="rId40" Type="http://schemas.openxmlformats.org/officeDocument/2006/relationships/hyperlink" Target="https://login.consultant.ru/link/?req=doc&amp;base=STR&amp;n=20899&amp;dst=100018" TargetMode="External"/><Relationship Id="rId1401" Type="http://schemas.openxmlformats.org/officeDocument/2006/relationships/hyperlink" Target="https://login.consultant.ru/link/?req=doc&amp;base=STR&amp;n=21347" TargetMode="External"/><Relationship Id="rId3299" Type="http://schemas.openxmlformats.org/officeDocument/2006/relationships/image" Target="media/image2144.wmf"/><Relationship Id="rId3159" Type="http://schemas.openxmlformats.org/officeDocument/2006/relationships/hyperlink" Target="https://login.consultant.ru/link/?req=doc&amp;base=STR&amp;n=26904" TargetMode="External"/><Relationship Id="rId3366" Type="http://schemas.openxmlformats.org/officeDocument/2006/relationships/image" Target="media/image2207.wmf"/><Relationship Id="rId3573" Type="http://schemas.openxmlformats.org/officeDocument/2006/relationships/image" Target="media/image2389.wmf"/><Relationship Id="rId287" Type="http://schemas.openxmlformats.org/officeDocument/2006/relationships/hyperlink" Target="https://login.consultant.ru/link/?req=doc&amp;base=STR&amp;n=33799&amp;dst=100189" TargetMode="External"/><Relationship Id="rId494" Type="http://schemas.openxmlformats.org/officeDocument/2006/relationships/hyperlink" Target="https://login.consultant.ru/link/?req=doc&amp;base=STR&amp;n=34261" TargetMode="External"/><Relationship Id="rId2175" Type="http://schemas.openxmlformats.org/officeDocument/2006/relationships/image" Target="media/image1372.wmf"/><Relationship Id="rId2382" Type="http://schemas.openxmlformats.org/officeDocument/2006/relationships/image" Target="media/image1562.wmf"/><Relationship Id="rId3019" Type="http://schemas.openxmlformats.org/officeDocument/2006/relationships/image" Target="media/image1892.wmf"/><Relationship Id="rId3226" Type="http://schemas.openxmlformats.org/officeDocument/2006/relationships/image" Target="media/image2071.wmf"/><Relationship Id="rId3780" Type="http://schemas.openxmlformats.org/officeDocument/2006/relationships/image" Target="media/image2586.wmf"/><Relationship Id="rId147" Type="http://schemas.openxmlformats.org/officeDocument/2006/relationships/image" Target="media/image23.wmf"/><Relationship Id="rId354" Type="http://schemas.openxmlformats.org/officeDocument/2006/relationships/hyperlink" Target="https://login.consultant.ru/link/?req=doc&amp;base=STR&amp;n=20899&amp;dst=100126" TargetMode="External"/><Relationship Id="rId1191" Type="http://schemas.openxmlformats.org/officeDocument/2006/relationships/image" Target="media/image686.wmf"/><Relationship Id="rId2035" Type="http://schemas.openxmlformats.org/officeDocument/2006/relationships/image" Target="media/image1261.wmf"/><Relationship Id="rId3433" Type="http://schemas.openxmlformats.org/officeDocument/2006/relationships/image" Target="media/image2269.wmf"/><Relationship Id="rId3640" Type="http://schemas.openxmlformats.org/officeDocument/2006/relationships/image" Target="media/image2451.wmf"/><Relationship Id="rId561" Type="http://schemas.openxmlformats.org/officeDocument/2006/relationships/hyperlink" Target="https://login.consultant.ru/link/?req=doc&amp;base=STR&amp;n=20899&amp;dst=100165" TargetMode="External"/><Relationship Id="rId2242" Type="http://schemas.openxmlformats.org/officeDocument/2006/relationships/image" Target="media/image1426.wmf"/><Relationship Id="rId3500" Type="http://schemas.openxmlformats.org/officeDocument/2006/relationships/hyperlink" Target="https://login.consultant.ru/link/?req=doc&amp;base=STR&amp;n=33799&amp;dst=101511" TargetMode="External"/><Relationship Id="rId214" Type="http://schemas.openxmlformats.org/officeDocument/2006/relationships/hyperlink" Target="https://login.consultant.ru/link/?req=doc&amp;base=STR&amp;n=33799&amp;dst=100161" TargetMode="External"/><Relationship Id="rId421" Type="http://schemas.openxmlformats.org/officeDocument/2006/relationships/image" Target="media/image97.wmf"/><Relationship Id="rId1051" Type="http://schemas.openxmlformats.org/officeDocument/2006/relationships/image" Target="media/image559.wmf"/><Relationship Id="rId2102" Type="http://schemas.openxmlformats.org/officeDocument/2006/relationships/image" Target="media/image1325.wmf"/><Relationship Id="rId1868" Type="http://schemas.openxmlformats.org/officeDocument/2006/relationships/image" Target="media/image1096.wmf"/><Relationship Id="rId2919" Type="http://schemas.openxmlformats.org/officeDocument/2006/relationships/image" Target="media/image1792.wmf"/><Relationship Id="rId3083" Type="http://schemas.openxmlformats.org/officeDocument/2006/relationships/image" Target="media/image1956.wmf"/><Relationship Id="rId3290" Type="http://schemas.openxmlformats.org/officeDocument/2006/relationships/image" Target="media/image2135.wmf"/><Relationship Id="rId1728" Type="http://schemas.openxmlformats.org/officeDocument/2006/relationships/image" Target="media/image964.wmf"/><Relationship Id="rId1935" Type="http://schemas.openxmlformats.org/officeDocument/2006/relationships/image" Target="media/image1163.wmf"/><Relationship Id="rId3150" Type="http://schemas.openxmlformats.org/officeDocument/2006/relationships/hyperlink" Target="https://login.consultant.ru/link/?req=doc&amp;base=STR&amp;n=28540&amp;dst=100234" TargetMode="External"/><Relationship Id="rId3010" Type="http://schemas.openxmlformats.org/officeDocument/2006/relationships/image" Target="media/image1883.wmf"/><Relationship Id="rId3967" Type="http://schemas.openxmlformats.org/officeDocument/2006/relationships/image" Target="media/image2770.wmf"/><Relationship Id="rId4" Type="http://schemas.openxmlformats.org/officeDocument/2006/relationships/webSettings" Target="webSettings.xml"/><Relationship Id="rId888" Type="http://schemas.openxmlformats.org/officeDocument/2006/relationships/image" Target="media/image405.wmf"/><Relationship Id="rId2569" Type="http://schemas.openxmlformats.org/officeDocument/2006/relationships/hyperlink" Target="https://login.consultant.ru/link/?req=doc&amp;base=STR&amp;n=20413" TargetMode="External"/><Relationship Id="rId2776" Type="http://schemas.openxmlformats.org/officeDocument/2006/relationships/hyperlink" Target="https://login.consultant.ru/link/?req=doc&amp;base=STR&amp;n=28939" TargetMode="External"/><Relationship Id="rId2983" Type="http://schemas.openxmlformats.org/officeDocument/2006/relationships/image" Target="media/image1856.wmf"/><Relationship Id="rId3827" Type="http://schemas.openxmlformats.org/officeDocument/2006/relationships/image" Target="media/image2630.wmf"/><Relationship Id="rId748" Type="http://schemas.openxmlformats.org/officeDocument/2006/relationships/hyperlink" Target="https://login.consultant.ru/link/?req=doc&amp;base=STR&amp;n=20899&amp;dst=100253" TargetMode="External"/><Relationship Id="rId955" Type="http://schemas.openxmlformats.org/officeDocument/2006/relationships/image" Target="media/image466.wmf"/><Relationship Id="rId1378" Type="http://schemas.openxmlformats.org/officeDocument/2006/relationships/hyperlink" Target="https://login.consultant.ru/link/?req=doc&amp;base=STR&amp;n=26765&amp;dst=100835" TargetMode="External"/><Relationship Id="rId1585" Type="http://schemas.openxmlformats.org/officeDocument/2006/relationships/hyperlink" Target="https://login.consultant.ru/link/?req=doc&amp;base=STR&amp;n=20899&amp;dst=100679" TargetMode="External"/><Relationship Id="rId1792" Type="http://schemas.openxmlformats.org/officeDocument/2006/relationships/image" Target="media/image1027.wmf"/><Relationship Id="rId2429" Type="http://schemas.openxmlformats.org/officeDocument/2006/relationships/image" Target="media/image1590.wmf"/><Relationship Id="rId2636" Type="http://schemas.openxmlformats.org/officeDocument/2006/relationships/hyperlink" Target="https://login.consultant.ru/link/?req=doc&amp;base=STR&amp;n=18833" TargetMode="External"/><Relationship Id="rId2843" Type="http://schemas.openxmlformats.org/officeDocument/2006/relationships/hyperlink" Target="https://login.consultant.ru/link/?req=doc&amp;base=STR&amp;n=26765&amp;dst=101153" TargetMode="External"/><Relationship Id="rId84" Type="http://schemas.openxmlformats.org/officeDocument/2006/relationships/hyperlink" Target="https://login.consultant.ru/link/?req=doc&amp;base=STR&amp;n=20899&amp;dst=100039" TargetMode="External"/><Relationship Id="rId608" Type="http://schemas.openxmlformats.org/officeDocument/2006/relationships/hyperlink" Target="https://login.consultant.ru/link/?req=doc&amp;base=STR&amp;n=26765&amp;dst=100248" TargetMode="External"/><Relationship Id="rId815" Type="http://schemas.openxmlformats.org/officeDocument/2006/relationships/image" Target="media/image338.wmf"/><Relationship Id="rId1238" Type="http://schemas.openxmlformats.org/officeDocument/2006/relationships/image" Target="media/image731.wmf"/><Relationship Id="rId1445" Type="http://schemas.openxmlformats.org/officeDocument/2006/relationships/hyperlink" Target="https://login.consultant.ru/link/?req=doc&amp;base=STR&amp;n=28725" TargetMode="External"/><Relationship Id="rId1652" Type="http://schemas.openxmlformats.org/officeDocument/2006/relationships/image" Target="media/image891.wmf"/><Relationship Id="rId1305" Type="http://schemas.openxmlformats.org/officeDocument/2006/relationships/hyperlink" Target="https://login.consultant.ru/link/?req=doc&amp;base=STR&amp;n=20899&amp;dst=100317" TargetMode="External"/><Relationship Id="rId2703" Type="http://schemas.openxmlformats.org/officeDocument/2006/relationships/hyperlink" Target="https://login.consultant.ru/link/?req=doc&amp;base=STR&amp;n=6816" TargetMode="External"/><Relationship Id="rId2910" Type="http://schemas.openxmlformats.org/officeDocument/2006/relationships/image" Target="media/image1783.wmf"/><Relationship Id="rId1512" Type="http://schemas.openxmlformats.org/officeDocument/2006/relationships/image" Target="media/image806.wmf"/><Relationship Id="rId11" Type="http://schemas.openxmlformats.org/officeDocument/2006/relationships/hyperlink" Target="https://login.consultant.ru/link/?req=doc&amp;base=LAW&amp;n=347406&amp;dst=100005" TargetMode="External"/><Relationship Id="rId398" Type="http://schemas.openxmlformats.org/officeDocument/2006/relationships/hyperlink" Target="https://login.consultant.ru/link/?req=doc&amp;base=STR&amp;n=20899&amp;dst=100135" TargetMode="External"/><Relationship Id="rId2079" Type="http://schemas.openxmlformats.org/officeDocument/2006/relationships/image" Target="media/image1305.wmf"/><Relationship Id="rId3477" Type="http://schemas.openxmlformats.org/officeDocument/2006/relationships/image" Target="media/image2300.wmf"/><Relationship Id="rId3684" Type="http://schemas.openxmlformats.org/officeDocument/2006/relationships/image" Target="media/image2492.wmf"/><Relationship Id="rId3891" Type="http://schemas.openxmlformats.org/officeDocument/2006/relationships/image" Target="media/image2694.wmf"/><Relationship Id="rId2286" Type="http://schemas.openxmlformats.org/officeDocument/2006/relationships/image" Target="media/image1470.wmf"/><Relationship Id="rId2493" Type="http://schemas.openxmlformats.org/officeDocument/2006/relationships/image" Target="media/image1648.wmf"/><Relationship Id="rId3337" Type="http://schemas.openxmlformats.org/officeDocument/2006/relationships/hyperlink" Target="https://login.consultant.ru/link/?req=doc&amp;base=STR&amp;n=20899&amp;dst=100942" TargetMode="External"/><Relationship Id="rId3544" Type="http://schemas.openxmlformats.org/officeDocument/2006/relationships/image" Target="media/image2360.wmf"/><Relationship Id="rId3751" Type="http://schemas.openxmlformats.org/officeDocument/2006/relationships/image" Target="media/image2557.wmf"/><Relationship Id="rId258" Type="http://schemas.openxmlformats.org/officeDocument/2006/relationships/hyperlink" Target="https://login.consultant.ru/link/?req=doc&amp;base=STR&amp;n=24104" TargetMode="External"/><Relationship Id="rId465" Type="http://schemas.openxmlformats.org/officeDocument/2006/relationships/image" Target="media/image122.wmf"/><Relationship Id="rId672" Type="http://schemas.openxmlformats.org/officeDocument/2006/relationships/hyperlink" Target="https://login.consultant.ru/link/?req=doc&amp;base=STR&amp;n=20899&amp;dst=100193" TargetMode="External"/><Relationship Id="rId1095" Type="http://schemas.openxmlformats.org/officeDocument/2006/relationships/image" Target="media/image602.wmf"/><Relationship Id="rId2146" Type="http://schemas.openxmlformats.org/officeDocument/2006/relationships/hyperlink" Target="https://login.consultant.ru/link/?req=doc&amp;base=STR&amp;n=33799&amp;dst=100946" TargetMode="External"/><Relationship Id="rId2353" Type="http://schemas.openxmlformats.org/officeDocument/2006/relationships/image" Target="media/image1534.wmf"/><Relationship Id="rId2560" Type="http://schemas.openxmlformats.org/officeDocument/2006/relationships/image" Target="media/image1714.wmf"/><Relationship Id="rId3404" Type="http://schemas.openxmlformats.org/officeDocument/2006/relationships/image" Target="media/image2241.wmf"/><Relationship Id="rId3611" Type="http://schemas.openxmlformats.org/officeDocument/2006/relationships/image" Target="media/image2425.wmf"/><Relationship Id="rId118" Type="http://schemas.openxmlformats.org/officeDocument/2006/relationships/hyperlink" Target="https://login.consultant.ru/link/?req=doc&amp;base=STR&amp;n=33799&amp;dst=100113" TargetMode="External"/><Relationship Id="rId325" Type="http://schemas.openxmlformats.org/officeDocument/2006/relationships/hyperlink" Target="https://login.consultant.ru/link/?req=doc&amp;base=STR&amp;n=33799&amp;dst=100208" TargetMode="External"/><Relationship Id="rId532" Type="http://schemas.openxmlformats.org/officeDocument/2006/relationships/hyperlink" Target="https://login.consultant.ru/link/?req=doc&amp;base=STR&amp;n=33799&amp;dst=100267" TargetMode="External"/><Relationship Id="rId1162" Type="http://schemas.openxmlformats.org/officeDocument/2006/relationships/image" Target="media/image661.wmf"/><Relationship Id="rId2006" Type="http://schemas.openxmlformats.org/officeDocument/2006/relationships/image" Target="media/image1232.wmf"/><Relationship Id="rId2213" Type="http://schemas.openxmlformats.org/officeDocument/2006/relationships/hyperlink" Target="https://login.consultant.ru/link/?req=doc&amp;base=STR&amp;n=20899&amp;dst=100693" TargetMode="External"/><Relationship Id="rId2420" Type="http://schemas.openxmlformats.org/officeDocument/2006/relationships/hyperlink" Target="https://login.consultant.ru/link/?req=doc&amp;base=STR&amp;n=7546" TargetMode="External"/><Relationship Id="rId1022" Type="http://schemas.openxmlformats.org/officeDocument/2006/relationships/image" Target="media/image531.wmf"/><Relationship Id="rId1979" Type="http://schemas.openxmlformats.org/officeDocument/2006/relationships/image" Target="media/image1205.wmf"/><Relationship Id="rId3194" Type="http://schemas.openxmlformats.org/officeDocument/2006/relationships/image" Target="media/image2039.wmf"/><Relationship Id="rId4038" Type="http://schemas.openxmlformats.org/officeDocument/2006/relationships/image" Target="media/image2828.png"/><Relationship Id="rId1839" Type="http://schemas.openxmlformats.org/officeDocument/2006/relationships/image" Target="media/image1068.wmf"/><Relationship Id="rId3054" Type="http://schemas.openxmlformats.org/officeDocument/2006/relationships/image" Target="media/image1927.wmf"/><Relationship Id="rId182" Type="http://schemas.openxmlformats.org/officeDocument/2006/relationships/hyperlink" Target="https://login.consultant.ru/link/?req=doc&amp;base=STR&amp;n=24881&amp;dst=100041" TargetMode="External"/><Relationship Id="rId1906" Type="http://schemas.openxmlformats.org/officeDocument/2006/relationships/image" Target="media/image1134.wmf"/><Relationship Id="rId3261" Type="http://schemas.openxmlformats.org/officeDocument/2006/relationships/image" Target="media/image2106.wmf"/><Relationship Id="rId2070" Type="http://schemas.openxmlformats.org/officeDocument/2006/relationships/image" Target="media/image1296.wmf"/><Relationship Id="rId3121" Type="http://schemas.openxmlformats.org/officeDocument/2006/relationships/image" Target="media/image1994.wmf"/><Relationship Id="rId999" Type="http://schemas.openxmlformats.org/officeDocument/2006/relationships/image" Target="media/image508.wmf"/><Relationship Id="rId2887" Type="http://schemas.openxmlformats.org/officeDocument/2006/relationships/image" Target="media/image1764.wmf"/><Relationship Id="rId859" Type="http://schemas.openxmlformats.org/officeDocument/2006/relationships/hyperlink" Target="https://login.consultant.ru/link/?req=doc&amp;base=STR&amp;n=26765&amp;dst=100588" TargetMode="External"/><Relationship Id="rId1489" Type="http://schemas.openxmlformats.org/officeDocument/2006/relationships/hyperlink" Target="https://login.consultant.ru/link/?req=doc&amp;base=STR&amp;n=26941" TargetMode="External"/><Relationship Id="rId1696" Type="http://schemas.openxmlformats.org/officeDocument/2006/relationships/image" Target="media/image932.wmf"/><Relationship Id="rId3938" Type="http://schemas.openxmlformats.org/officeDocument/2006/relationships/image" Target="media/image2741.wmf"/><Relationship Id="rId1349" Type="http://schemas.openxmlformats.org/officeDocument/2006/relationships/hyperlink" Target="https://login.consultant.ru/link/?req=doc&amp;base=STR&amp;n=33799&amp;dst=100536" TargetMode="External"/><Relationship Id="rId2747" Type="http://schemas.openxmlformats.org/officeDocument/2006/relationships/hyperlink" Target="https://login.consultant.ru/link/?req=doc&amp;base=STR&amp;n=20345" TargetMode="External"/><Relationship Id="rId2954" Type="http://schemas.openxmlformats.org/officeDocument/2006/relationships/image" Target="media/image1827.wmf"/><Relationship Id="rId719" Type="http://schemas.openxmlformats.org/officeDocument/2006/relationships/hyperlink" Target="https://login.consultant.ru/link/?req=doc&amp;base=STR&amp;n=1661" TargetMode="External"/><Relationship Id="rId926" Type="http://schemas.openxmlformats.org/officeDocument/2006/relationships/image" Target="media/image437.wmf"/><Relationship Id="rId1556" Type="http://schemas.openxmlformats.org/officeDocument/2006/relationships/hyperlink" Target="https://login.consultant.ru/link/?req=doc&amp;base=STR&amp;n=767" TargetMode="External"/><Relationship Id="rId1763" Type="http://schemas.openxmlformats.org/officeDocument/2006/relationships/image" Target="media/image998.wmf"/><Relationship Id="rId1970" Type="http://schemas.openxmlformats.org/officeDocument/2006/relationships/image" Target="media/image1197.wmf"/><Relationship Id="rId2607" Type="http://schemas.openxmlformats.org/officeDocument/2006/relationships/image" Target="media/image1733.wmf"/><Relationship Id="rId2814" Type="http://schemas.openxmlformats.org/officeDocument/2006/relationships/hyperlink" Target="https://login.consultant.ru/link/?req=doc&amp;base=STR&amp;n=34159&amp;dst=100024" TargetMode="External"/><Relationship Id="rId55" Type="http://schemas.openxmlformats.org/officeDocument/2006/relationships/hyperlink" Target="https://login.consultant.ru/link/?req=doc&amp;base=STR&amp;n=18818" TargetMode="External"/><Relationship Id="rId1209" Type="http://schemas.openxmlformats.org/officeDocument/2006/relationships/image" Target="media/image703.wmf"/><Relationship Id="rId1416" Type="http://schemas.openxmlformats.org/officeDocument/2006/relationships/hyperlink" Target="https://login.consultant.ru/link/?req=doc&amp;base=STR&amp;n=26765&amp;dst=100864" TargetMode="External"/><Relationship Id="rId1623" Type="http://schemas.openxmlformats.org/officeDocument/2006/relationships/image" Target="media/image862.wmf"/><Relationship Id="rId1830" Type="http://schemas.openxmlformats.org/officeDocument/2006/relationships/image" Target="media/image1060.wmf"/><Relationship Id="rId3588" Type="http://schemas.openxmlformats.org/officeDocument/2006/relationships/image" Target="media/image2404.wmf"/><Relationship Id="rId3795" Type="http://schemas.openxmlformats.org/officeDocument/2006/relationships/image" Target="media/image2601.wmf"/><Relationship Id="rId2397" Type="http://schemas.openxmlformats.org/officeDocument/2006/relationships/image" Target="media/image1577.wmf"/><Relationship Id="rId3448" Type="http://schemas.openxmlformats.org/officeDocument/2006/relationships/image" Target="media/image2282.wmf"/><Relationship Id="rId3655" Type="http://schemas.openxmlformats.org/officeDocument/2006/relationships/image" Target="media/image2465.wmf"/><Relationship Id="rId3862" Type="http://schemas.openxmlformats.org/officeDocument/2006/relationships/image" Target="media/image2665.wmf"/><Relationship Id="rId369" Type="http://schemas.openxmlformats.org/officeDocument/2006/relationships/image" Target="media/image56.wmf"/><Relationship Id="rId576" Type="http://schemas.openxmlformats.org/officeDocument/2006/relationships/image" Target="media/image191.wmf"/><Relationship Id="rId783" Type="http://schemas.openxmlformats.org/officeDocument/2006/relationships/image" Target="media/image316.wmf"/><Relationship Id="rId990" Type="http://schemas.openxmlformats.org/officeDocument/2006/relationships/image" Target="media/image499.wmf"/><Relationship Id="rId2257" Type="http://schemas.openxmlformats.org/officeDocument/2006/relationships/image" Target="media/image1441.wmf"/><Relationship Id="rId2464" Type="http://schemas.openxmlformats.org/officeDocument/2006/relationships/hyperlink" Target="https://login.consultant.ru/link/?req=doc&amp;base=STR&amp;n=20899&amp;dst=100707" TargetMode="External"/><Relationship Id="rId2671" Type="http://schemas.openxmlformats.org/officeDocument/2006/relationships/hyperlink" Target="https://login.consultant.ru/link/?req=doc&amp;base=STR&amp;n=18833" TargetMode="External"/><Relationship Id="rId3308" Type="http://schemas.openxmlformats.org/officeDocument/2006/relationships/image" Target="media/image2153.wmf"/><Relationship Id="rId3515" Type="http://schemas.openxmlformats.org/officeDocument/2006/relationships/image" Target="media/image2335.wmf"/><Relationship Id="rId229" Type="http://schemas.openxmlformats.org/officeDocument/2006/relationships/hyperlink" Target="https://login.consultant.ru/link/?req=doc&amp;base=STR&amp;n=20899&amp;dst=100075" TargetMode="External"/><Relationship Id="rId436" Type="http://schemas.openxmlformats.org/officeDocument/2006/relationships/hyperlink" Target="https://login.consultant.ru/link/?req=doc&amp;base=STR&amp;n=33799&amp;dst=100240" TargetMode="External"/><Relationship Id="rId643" Type="http://schemas.openxmlformats.org/officeDocument/2006/relationships/image" Target="media/image233.wmf"/><Relationship Id="rId1066" Type="http://schemas.openxmlformats.org/officeDocument/2006/relationships/image" Target="media/image573.wmf"/><Relationship Id="rId1273" Type="http://schemas.openxmlformats.org/officeDocument/2006/relationships/image" Target="media/image765.wmf"/><Relationship Id="rId1480" Type="http://schemas.openxmlformats.org/officeDocument/2006/relationships/hyperlink" Target="https://login.consultant.ru/link/?req=doc&amp;base=STR&amp;n=26941&amp;dst=100446" TargetMode="External"/><Relationship Id="rId2117" Type="http://schemas.openxmlformats.org/officeDocument/2006/relationships/image" Target="media/image1340.wmf"/><Relationship Id="rId2324" Type="http://schemas.openxmlformats.org/officeDocument/2006/relationships/image" Target="media/image1506.wmf"/><Relationship Id="rId3722" Type="http://schemas.openxmlformats.org/officeDocument/2006/relationships/image" Target="media/image2529.wmf"/><Relationship Id="rId850" Type="http://schemas.openxmlformats.org/officeDocument/2006/relationships/image" Target="media/image371.wmf"/><Relationship Id="rId1133" Type="http://schemas.openxmlformats.org/officeDocument/2006/relationships/image" Target="media/image637.wmf"/><Relationship Id="rId2531" Type="http://schemas.openxmlformats.org/officeDocument/2006/relationships/image" Target="media/image1685.wmf"/><Relationship Id="rId503" Type="http://schemas.openxmlformats.org/officeDocument/2006/relationships/image" Target="media/image153.wmf"/><Relationship Id="rId710" Type="http://schemas.openxmlformats.org/officeDocument/2006/relationships/image" Target="media/image282.wmf"/><Relationship Id="rId1340" Type="http://schemas.openxmlformats.org/officeDocument/2006/relationships/hyperlink" Target="https://login.consultant.ru/link/?req=doc&amp;base=STR&amp;n=33292" TargetMode="External"/><Relationship Id="rId3098" Type="http://schemas.openxmlformats.org/officeDocument/2006/relationships/image" Target="media/image1971.wmf"/><Relationship Id="rId1200" Type="http://schemas.openxmlformats.org/officeDocument/2006/relationships/image" Target="media/image694.wmf"/><Relationship Id="rId3165" Type="http://schemas.openxmlformats.org/officeDocument/2006/relationships/hyperlink" Target="https://login.consultant.ru/link/?req=doc&amp;base=LAW&amp;n=348566" TargetMode="External"/><Relationship Id="rId3372" Type="http://schemas.openxmlformats.org/officeDocument/2006/relationships/image" Target="media/image2213.wmf"/><Relationship Id="rId4009" Type="http://schemas.openxmlformats.org/officeDocument/2006/relationships/hyperlink" Target="https://login.consultant.ru/link/?req=doc&amp;base=STR&amp;n=33799&amp;dst=101673" TargetMode="External"/><Relationship Id="rId293" Type="http://schemas.openxmlformats.org/officeDocument/2006/relationships/hyperlink" Target="https://login.consultant.ru/link/?req=doc&amp;base=STR&amp;n=26765&amp;dst=100112" TargetMode="External"/><Relationship Id="rId2181" Type="http://schemas.openxmlformats.org/officeDocument/2006/relationships/image" Target="media/image1378.wmf"/><Relationship Id="rId3025" Type="http://schemas.openxmlformats.org/officeDocument/2006/relationships/image" Target="media/image1898.wmf"/><Relationship Id="rId3232" Type="http://schemas.openxmlformats.org/officeDocument/2006/relationships/image" Target="media/image2077.wmf"/><Relationship Id="rId153" Type="http://schemas.openxmlformats.org/officeDocument/2006/relationships/image" Target="media/image24.wmf"/><Relationship Id="rId360" Type="http://schemas.openxmlformats.org/officeDocument/2006/relationships/hyperlink" Target="https://login.consultant.ru/link/?req=doc&amp;base=STR&amp;n=26765&amp;dst=100146" TargetMode="External"/><Relationship Id="rId2041" Type="http://schemas.openxmlformats.org/officeDocument/2006/relationships/image" Target="media/image1267.wmf"/><Relationship Id="rId220" Type="http://schemas.openxmlformats.org/officeDocument/2006/relationships/hyperlink" Target="https://login.consultant.ru/link/?req=doc&amp;base=STR&amp;n=34159&amp;dst=100007" TargetMode="External"/><Relationship Id="rId2998" Type="http://schemas.openxmlformats.org/officeDocument/2006/relationships/image" Target="media/image1871.wmf"/><Relationship Id="rId2858" Type="http://schemas.openxmlformats.org/officeDocument/2006/relationships/hyperlink" Target="https://login.consultant.ru/link/?req=doc&amp;base=STR&amp;n=26765&amp;dst=101153" TargetMode="External"/><Relationship Id="rId3909" Type="http://schemas.openxmlformats.org/officeDocument/2006/relationships/image" Target="media/image2712.wmf"/><Relationship Id="rId99" Type="http://schemas.openxmlformats.org/officeDocument/2006/relationships/hyperlink" Target="https://login.consultant.ru/link/?req=doc&amp;base=STR&amp;n=25163" TargetMode="External"/><Relationship Id="rId1667" Type="http://schemas.openxmlformats.org/officeDocument/2006/relationships/image" Target="media/image906.wmf"/><Relationship Id="rId1874" Type="http://schemas.openxmlformats.org/officeDocument/2006/relationships/image" Target="media/image1102.wmf"/><Relationship Id="rId2718" Type="http://schemas.openxmlformats.org/officeDocument/2006/relationships/hyperlink" Target="https://login.consultant.ru/link/?req=doc&amp;base=STR&amp;n=23974" TargetMode="External"/><Relationship Id="rId2925" Type="http://schemas.openxmlformats.org/officeDocument/2006/relationships/image" Target="media/image1798.wmf"/><Relationship Id="rId1527" Type="http://schemas.openxmlformats.org/officeDocument/2006/relationships/hyperlink" Target="https://login.consultant.ru/link/?req=doc&amp;base=STR&amp;n=33799&amp;dst=100782" TargetMode="External"/><Relationship Id="rId1734" Type="http://schemas.openxmlformats.org/officeDocument/2006/relationships/image" Target="media/image969.wmf"/><Relationship Id="rId1941" Type="http://schemas.openxmlformats.org/officeDocument/2006/relationships/image" Target="media/image1168.wmf"/><Relationship Id="rId26" Type="http://schemas.openxmlformats.org/officeDocument/2006/relationships/hyperlink" Target="https://login.consultant.ru/link/?req=doc&amp;base=STR&amp;n=20899&amp;dst=100008" TargetMode="External"/><Relationship Id="rId3699" Type="http://schemas.openxmlformats.org/officeDocument/2006/relationships/image" Target="media/image2506.wmf"/><Relationship Id="rId4000" Type="http://schemas.openxmlformats.org/officeDocument/2006/relationships/image" Target="media/image2800.wmf"/><Relationship Id="rId1801" Type="http://schemas.openxmlformats.org/officeDocument/2006/relationships/image" Target="media/image1036.wmf"/><Relationship Id="rId3559" Type="http://schemas.openxmlformats.org/officeDocument/2006/relationships/image" Target="media/image2375.wmf"/><Relationship Id="rId687" Type="http://schemas.openxmlformats.org/officeDocument/2006/relationships/hyperlink" Target="https://login.consultant.ru/link/?req=doc&amp;base=STR&amp;n=20899&amp;dst=100196" TargetMode="External"/><Relationship Id="rId2368" Type="http://schemas.openxmlformats.org/officeDocument/2006/relationships/image" Target="media/image1548.wmf"/><Relationship Id="rId3766" Type="http://schemas.openxmlformats.org/officeDocument/2006/relationships/image" Target="media/image2572.wmf"/><Relationship Id="rId3973" Type="http://schemas.openxmlformats.org/officeDocument/2006/relationships/image" Target="media/image2776.wmf"/><Relationship Id="rId894" Type="http://schemas.openxmlformats.org/officeDocument/2006/relationships/image" Target="media/image410.wmf"/><Relationship Id="rId1177" Type="http://schemas.openxmlformats.org/officeDocument/2006/relationships/image" Target="media/image676.wmf"/><Relationship Id="rId2575" Type="http://schemas.openxmlformats.org/officeDocument/2006/relationships/hyperlink" Target="https://login.consultant.ru/link/?req=doc&amp;base=STR&amp;n=33799&amp;dst=101046" TargetMode="External"/><Relationship Id="rId2782" Type="http://schemas.openxmlformats.org/officeDocument/2006/relationships/hyperlink" Target="https://login.consultant.ru/link/?req=doc&amp;base=STR&amp;n=30774" TargetMode="External"/><Relationship Id="rId3419" Type="http://schemas.openxmlformats.org/officeDocument/2006/relationships/image" Target="media/image2255.wmf"/><Relationship Id="rId3626" Type="http://schemas.openxmlformats.org/officeDocument/2006/relationships/image" Target="media/image2439.wmf"/><Relationship Id="rId3833" Type="http://schemas.openxmlformats.org/officeDocument/2006/relationships/image" Target="media/image2636.wmf"/><Relationship Id="rId547" Type="http://schemas.openxmlformats.org/officeDocument/2006/relationships/hyperlink" Target="https://login.consultant.ru/link/?req=doc&amp;base=STR&amp;n=26765&amp;dst=100155" TargetMode="External"/><Relationship Id="rId754" Type="http://schemas.openxmlformats.org/officeDocument/2006/relationships/image" Target="media/image289.wmf"/><Relationship Id="rId961" Type="http://schemas.openxmlformats.org/officeDocument/2006/relationships/image" Target="media/image472.wmf"/><Relationship Id="rId1384" Type="http://schemas.openxmlformats.org/officeDocument/2006/relationships/hyperlink" Target="https://login.consultant.ru/link/?req=doc&amp;base=STR&amp;n=33799&amp;dst=100551" TargetMode="External"/><Relationship Id="rId1591" Type="http://schemas.openxmlformats.org/officeDocument/2006/relationships/image" Target="media/image833.wmf"/><Relationship Id="rId2228" Type="http://schemas.openxmlformats.org/officeDocument/2006/relationships/image" Target="media/image1412.png"/><Relationship Id="rId2435" Type="http://schemas.openxmlformats.org/officeDocument/2006/relationships/image" Target="media/image1596.wmf"/><Relationship Id="rId2642" Type="http://schemas.openxmlformats.org/officeDocument/2006/relationships/hyperlink" Target="https://login.consultant.ru/link/?req=doc&amp;base=STR&amp;n=30822" TargetMode="External"/><Relationship Id="rId3900" Type="http://schemas.openxmlformats.org/officeDocument/2006/relationships/image" Target="media/image2703.wmf"/><Relationship Id="rId90" Type="http://schemas.openxmlformats.org/officeDocument/2006/relationships/hyperlink" Target="https://login.consultant.ru/link/?req=doc&amp;base=STR&amp;n=33560" TargetMode="External"/><Relationship Id="rId407" Type="http://schemas.openxmlformats.org/officeDocument/2006/relationships/image" Target="media/image83.wmf"/><Relationship Id="rId614" Type="http://schemas.openxmlformats.org/officeDocument/2006/relationships/hyperlink" Target="https://login.consultant.ru/link/?req=doc&amp;base=STR&amp;n=26765&amp;dst=100258" TargetMode="External"/><Relationship Id="rId821" Type="http://schemas.openxmlformats.org/officeDocument/2006/relationships/image" Target="media/image344.wmf"/><Relationship Id="rId1037" Type="http://schemas.openxmlformats.org/officeDocument/2006/relationships/image" Target="media/image545.wmf"/><Relationship Id="rId1244" Type="http://schemas.openxmlformats.org/officeDocument/2006/relationships/image" Target="media/image737.png"/><Relationship Id="rId1451" Type="http://schemas.openxmlformats.org/officeDocument/2006/relationships/hyperlink" Target="https://login.consultant.ru/link/?req=doc&amp;base=STR&amp;n=25187" TargetMode="External"/><Relationship Id="rId2502" Type="http://schemas.openxmlformats.org/officeDocument/2006/relationships/image" Target="media/image1657.wmf"/><Relationship Id="rId1104" Type="http://schemas.openxmlformats.org/officeDocument/2006/relationships/hyperlink" Target="https://login.consultant.ru/link/?req=doc&amp;base=STR&amp;n=33799&amp;dst=100527" TargetMode="External"/><Relationship Id="rId1311" Type="http://schemas.openxmlformats.org/officeDocument/2006/relationships/hyperlink" Target="https://login.consultant.ru/link/?req=doc&amp;base=STR&amp;n=26765&amp;dst=100682" TargetMode="External"/><Relationship Id="rId3069" Type="http://schemas.openxmlformats.org/officeDocument/2006/relationships/image" Target="media/image1942.wmf"/><Relationship Id="rId3276" Type="http://schemas.openxmlformats.org/officeDocument/2006/relationships/image" Target="media/image2121.wmf"/><Relationship Id="rId3483" Type="http://schemas.openxmlformats.org/officeDocument/2006/relationships/image" Target="media/image2306.wmf"/><Relationship Id="rId3690" Type="http://schemas.openxmlformats.org/officeDocument/2006/relationships/image" Target="media/image2498.wmf"/><Relationship Id="rId197" Type="http://schemas.openxmlformats.org/officeDocument/2006/relationships/hyperlink" Target="https://login.consultant.ru/link/?req=doc&amp;base=STR&amp;n=33799&amp;dst=100144" TargetMode="External"/><Relationship Id="rId2085" Type="http://schemas.openxmlformats.org/officeDocument/2006/relationships/image" Target="media/image1311.wmf"/><Relationship Id="rId2292" Type="http://schemas.openxmlformats.org/officeDocument/2006/relationships/image" Target="media/image1476.wmf"/><Relationship Id="rId3136" Type="http://schemas.openxmlformats.org/officeDocument/2006/relationships/image" Target="media/image2009.wmf"/><Relationship Id="rId3343" Type="http://schemas.openxmlformats.org/officeDocument/2006/relationships/image" Target="media/image2185.png"/><Relationship Id="rId264" Type="http://schemas.openxmlformats.org/officeDocument/2006/relationships/hyperlink" Target="https://login.consultant.ru/link/?req=doc&amp;base=STR&amp;n=26765&amp;dst=100095" TargetMode="External"/><Relationship Id="rId471" Type="http://schemas.openxmlformats.org/officeDocument/2006/relationships/hyperlink" Target="https://login.consultant.ru/link/?req=doc&amp;base=STR&amp;n=20899&amp;dst=100157" TargetMode="External"/><Relationship Id="rId2152" Type="http://schemas.openxmlformats.org/officeDocument/2006/relationships/hyperlink" Target="https://login.consultant.ru/link/?req=doc&amp;base=STR&amp;n=33799&amp;dst=100948" TargetMode="External"/><Relationship Id="rId3550" Type="http://schemas.openxmlformats.org/officeDocument/2006/relationships/image" Target="media/image2366.wmf"/><Relationship Id="rId124" Type="http://schemas.openxmlformats.org/officeDocument/2006/relationships/hyperlink" Target="https://login.consultant.ru/link/?req=doc&amp;base=STR&amp;n=20899&amp;dst=100046" TargetMode="External"/><Relationship Id="rId3203" Type="http://schemas.openxmlformats.org/officeDocument/2006/relationships/image" Target="media/image2048.wmf"/><Relationship Id="rId3410" Type="http://schemas.openxmlformats.org/officeDocument/2006/relationships/image" Target="media/image2247.wmf"/><Relationship Id="rId331" Type="http://schemas.openxmlformats.org/officeDocument/2006/relationships/hyperlink" Target="https://login.consultant.ru/link/?req=doc&amp;base=STR&amp;n=26765&amp;dst=100138" TargetMode="External"/><Relationship Id="rId2012" Type="http://schemas.openxmlformats.org/officeDocument/2006/relationships/image" Target="media/image1238.wmf"/><Relationship Id="rId2969" Type="http://schemas.openxmlformats.org/officeDocument/2006/relationships/image" Target="media/image1842.wmf"/><Relationship Id="rId1778" Type="http://schemas.openxmlformats.org/officeDocument/2006/relationships/image" Target="media/image1013.wmf"/><Relationship Id="rId1985" Type="http://schemas.openxmlformats.org/officeDocument/2006/relationships/image" Target="media/image1211.wmf"/><Relationship Id="rId2829" Type="http://schemas.openxmlformats.org/officeDocument/2006/relationships/hyperlink" Target="https://login.consultant.ru/link/?req=doc&amp;base=STR&amp;n=20895&amp;dst=100093" TargetMode="External"/><Relationship Id="rId1638" Type="http://schemas.openxmlformats.org/officeDocument/2006/relationships/image" Target="media/image877.wmf"/><Relationship Id="rId4044" Type="http://schemas.openxmlformats.org/officeDocument/2006/relationships/hyperlink" Target="https://login.consultant.ru/link/?req=doc&amp;base=STR&amp;n=20899&amp;dst=101125" TargetMode="External"/><Relationship Id="rId1845" Type="http://schemas.openxmlformats.org/officeDocument/2006/relationships/image" Target="media/image1073.wmf"/><Relationship Id="rId3060" Type="http://schemas.openxmlformats.org/officeDocument/2006/relationships/image" Target="media/image1933.wmf"/><Relationship Id="rId1705" Type="http://schemas.openxmlformats.org/officeDocument/2006/relationships/image" Target="media/image941.wmf"/><Relationship Id="rId1912" Type="http://schemas.openxmlformats.org/officeDocument/2006/relationships/image" Target="media/image1140.wmf"/><Relationship Id="rId3877" Type="http://schemas.openxmlformats.org/officeDocument/2006/relationships/image" Target="media/image2680.wmf"/><Relationship Id="rId798" Type="http://schemas.openxmlformats.org/officeDocument/2006/relationships/image" Target="media/image321.wmf"/><Relationship Id="rId2479" Type="http://schemas.openxmlformats.org/officeDocument/2006/relationships/image" Target="media/image1634.wmf"/><Relationship Id="rId2686" Type="http://schemas.openxmlformats.org/officeDocument/2006/relationships/hyperlink" Target="https://login.consultant.ru/link/?req=doc&amp;base=STR&amp;n=1363" TargetMode="External"/><Relationship Id="rId2893" Type="http://schemas.openxmlformats.org/officeDocument/2006/relationships/image" Target="media/image1770.wmf"/><Relationship Id="rId3737" Type="http://schemas.openxmlformats.org/officeDocument/2006/relationships/image" Target="media/image2544.wmf"/><Relationship Id="rId3944" Type="http://schemas.openxmlformats.org/officeDocument/2006/relationships/image" Target="media/image2747.png"/><Relationship Id="rId658" Type="http://schemas.openxmlformats.org/officeDocument/2006/relationships/hyperlink" Target="https://login.consultant.ru/link/?req=doc&amp;base=STR&amp;n=26765&amp;dst=100268" TargetMode="External"/><Relationship Id="rId865" Type="http://schemas.openxmlformats.org/officeDocument/2006/relationships/image" Target="media/image382.wmf"/><Relationship Id="rId1288" Type="http://schemas.openxmlformats.org/officeDocument/2006/relationships/image" Target="media/image777.wmf"/><Relationship Id="rId1495" Type="http://schemas.openxmlformats.org/officeDocument/2006/relationships/hyperlink" Target="https://login.consultant.ru/link/?req=doc&amp;base=STR&amp;n=26941" TargetMode="External"/><Relationship Id="rId2339" Type="http://schemas.openxmlformats.org/officeDocument/2006/relationships/image" Target="media/image1521.wmf"/><Relationship Id="rId2546" Type="http://schemas.openxmlformats.org/officeDocument/2006/relationships/image" Target="media/image1700.wmf"/><Relationship Id="rId2753" Type="http://schemas.openxmlformats.org/officeDocument/2006/relationships/hyperlink" Target="https://login.consultant.ru/link/?req=doc&amp;base=STR&amp;n=14253" TargetMode="External"/><Relationship Id="rId2960" Type="http://schemas.openxmlformats.org/officeDocument/2006/relationships/image" Target="media/image1833.wmf"/><Relationship Id="rId3804" Type="http://schemas.openxmlformats.org/officeDocument/2006/relationships/hyperlink" Target="https://login.consultant.ru/link/?req=doc&amp;base=STR&amp;n=33799&amp;dst=101546" TargetMode="External"/><Relationship Id="rId518" Type="http://schemas.openxmlformats.org/officeDocument/2006/relationships/hyperlink" Target="https://login.consultant.ru/link/?req=doc&amp;base=STR&amp;n=30822" TargetMode="External"/><Relationship Id="rId725" Type="http://schemas.openxmlformats.org/officeDocument/2006/relationships/hyperlink" Target="https://login.consultant.ru/link/?req=doc&amp;base=STR&amp;n=33799&amp;dst=100326" TargetMode="External"/><Relationship Id="rId932" Type="http://schemas.openxmlformats.org/officeDocument/2006/relationships/image" Target="media/image443.wmf"/><Relationship Id="rId1148" Type="http://schemas.openxmlformats.org/officeDocument/2006/relationships/image" Target="media/image650.wmf"/><Relationship Id="rId1355" Type="http://schemas.openxmlformats.org/officeDocument/2006/relationships/hyperlink" Target="https://login.consultant.ru/link/?req=doc&amp;base=STR&amp;n=20899&amp;dst=100346" TargetMode="External"/><Relationship Id="rId1562" Type="http://schemas.openxmlformats.org/officeDocument/2006/relationships/image" Target="media/image815.wmf"/><Relationship Id="rId2406" Type="http://schemas.openxmlformats.org/officeDocument/2006/relationships/hyperlink" Target="https://login.consultant.ru/link/?req=doc&amp;base=STR&amp;n=33799&amp;dst=101033" TargetMode="External"/><Relationship Id="rId2613" Type="http://schemas.openxmlformats.org/officeDocument/2006/relationships/hyperlink" Target="https://login.consultant.ru/link/?req=doc&amp;base=STR&amp;n=29126" TargetMode="External"/><Relationship Id="rId1008" Type="http://schemas.openxmlformats.org/officeDocument/2006/relationships/image" Target="media/image517.wmf"/><Relationship Id="rId1215" Type="http://schemas.openxmlformats.org/officeDocument/2006/relationships/image" Target="media/image709.wmf"/><Relationship Id="rId1422" Type="http://schemas.openxmlformats.org/officeDocument/2006/relationships/hyperlink" Target="https://login.consultant.ru/link/?req=doc&amp;base=STR&amp;n=13174" TargetMode="External"/><Relationship Id="rId2820" Type="http://schemas.openxmlformats.org/officeDocument/2006/relationships/hyperlink" Target="https://login.consultant.ru/link/?req=doc&amp;base=STR&amp;n=20899&amp;dst=100761" TargetMode="External"/><Relationship Id="rId61" Type="http://schemas.openxmlformats.org/officeDocument/2006/relationships/hyperlink" Target="https://login.consultant.ru/link/?req=doc&amp;base=STR&amp;n=24860" TargetMode="External"/><Relationship Id="rId3387" Type="http://schemas.openxmlformats.org/officeDocument/2006/relationships/image" Target="media/image2227.wmf"/><Relationship Id="rId2196" Type="http://schemas.openxmlformats.org/officeDocument/2006/relationships/hyperlink" Target="https://login.consultant.ru/link/?req=doc&amp;base=STR&amp;n=26765&amp;dst=101095" TargetMode="External"/><Relationship Id="rId3594" Type="http://schemas.openxmlformats.org/officeDocument/2006/relationships/image" Target="media/image2410.wmf"/><Relationship Id="rId168" Type="http://schemas.openxmlformats.org/officeDocument/2006/relationships/hyperlink" Target="https://login.consultant.ru/link/?req=doc&amp;base=STR&amp;n=33836" TargetMode="External"/><Relationship Id="rId3247" Type="http://schemas.openxmlformats.org/officeDocument/2006/relationships/image" Target="media/image2092.wmf"/><Relationship Id="rId3454" Type="http://schemas.openxmlformats.org/officeDocument/2006/relationships/image" Target="media/image2288.wmf"/><Relationship Id="rId3661" Type="http://schemas.openxmlformats.org/officeDocument/2006/relationships/image" Target="media/image2471.wmf"/><Relationship Id="rId375" Type="http://schemas.openxmlformats.org/officeDocument/2006/relationships/image" Target="media/image62.wmf"/><Relationship Id="rId582" Type="http://schemas.openxmlformats.org/officeDocument/2006/relationships/hyperlink" Target="https://login.consultant.ru/link/?req=doc&amp;base=STR&amp;n=26765&amp;dst=100169" TargetMode="External"/><Relationship Id="rId2056" Type="http://schemas.openxmlformats.org/officeDocument/2006/relationships/image" Target="media/image1282.wmf"/><Relationship Id="rId2263" Type="http://schemas.openxmlformats.org/officeDocument/2006/relationships/image" Target="media/image1447.wmf"/><Relationship Id="rId2470" Type="http://schemas.openxmlformats.org/officeDocument/2006/relationships/image" Target="media/image1625.wmf"/><Relationship Id="rId3107" Type="http://schemas.openxmlformats.org/officeDocument/2006/relationships/image" Target="media/image1980.wmf"/><Relationship Id="rId3314" Type="http://schemas.openxmlformats.org/officeDocument/2006/relationships/image" Target="media/image2158.wmf"/><Relationship Id="rId3521" Type="http://schemas.openxmlformats.org/officeDocument/2006/relationships/hyperlink" Target="https://login.consultant.ru/link/?req=doc&amp;base=STR&amp;n=33799&amp;dst=101512" TargetMode="External"/><Relationship Id="rId235" Type="http://schemas.openxmlformats.org/officeDocument/2006/relationships/hyperlink" Target="https://login.consultant.ru/link/?req=doc&amp;base=STR&amp;n=26765&amp;dst=100089" TargetMode="External"/><Relationship Id="rId442" Type="http://schemas.openxmlformats.org/officeDocument/2006/relationships/hyperlink" Target="https://login.consultant.ru/link/?req=doc&amp;base=STR&amp;n=26765&amp;dst=100153" TargetMode="External"/><Relationship Id="rId1072" Type="http://schemas.openxmlformats.org/officeDocument/2006/relationships/image" Target="media/image579.wmf"/><Relationship Id="rId2123" Type="http://schemas.openxmlformats.org/officeDocument/2006/relationships/image" Target="media/image1346.wmf"/><Relationship Id="rId2330" Type="http://schemas.openxmlformats.org/officeDocument/2006/relationships/image" Target="media/image1512.wmf"/><Relationship Id="rId302" Type="http://schemas.openxmlformats.org/officeDocument/2006/relationships/hyperlink" Target="https://login.consultant.ru/link/?req=doc&amp;base=STR&amp;n=29123" TargetMode="External"/><Relationship Id="rId1889" Type="http://schemas.openxmlformats.org/officeDocument/2006/relationships/image" Target="media/image1117.wmf"/><Relationship Id="rId1749" Type="http://schemas.openxmlformats.org/officeDocument/2006/relationships/image" Target="media/image984.wmf"/><Relationship Id="rId1956" Type="http://schemas.openxmlformats.org/officeDocument/2006/relationships/image" Target="media/image1183.wmf"/><Relationship Id="rId3171" Type="http://schemas.openxmlformats.org/officeDocument/2006/relationships/hyperlink" Target="https://login.consultant.ru/link/?req=doc&amp;base=STR&amp;n=20899&amp;dst=100783" TargetMode="External"/><Relationship Id="rId4015" Type="http://schemas.openxmlformats.org/officeDocument/2006/relationships/image" Target="media/image2806.wmf"/><Relationship Id="rId1609" Type="http://schemas.openxmlformats.org/officeDocument/2006/relationships/image" Target="media/image848.wmf"/><Relationship Id="rId1816" Type="http://schemas.openxmlformats.org/officeDocument/2006/relationships/hyperlink" Target="https://login.consultant.ru/link/?req=doc&amp;base=STR&amp;n=33799&amp;dst=100926" TargetMode="External"/><Relationship Id="rId3031" Type="http://schemas.openxmlformats.org/officeDocument/2006/relationships/image" Target="media/image1904.wmf"/><Relationship Id="rId3988" Type="http://schemas.openxmlformats.org/officeDocument/2006/relationships/image" Target="media/image2789.wmf"/><Relationship Id="rId2797" Type="http://schemas.openxmlformats.org/officeDocument/2006/relationships/hyperlink" Target="https://login.consultant.ru/link/?req=doc&amp;base=STR&amp;n=28545" TargetMode="External"/><Relationship Id="rId3848" Type="http://schemas.openxmlformats.org/officeDocument/2006/relationships/image" Target="media/image2651.wmf"/><Relationship Id="rId769" Type="http://schemas.openxmlformats.org/officeDocument/2006/relationships/image" Target="media/image303.wmf"/><Relationship Id="rId976" Type="http://schemas.openxmlformats.org/officeDocument/2006/relationships/hyperlink" Target="https://login.consultant.ru/link/?req=doc&amp;base=STR&amp;n=26765&amp;dst=100601" TargetMode="External"/><Relationship Id="rId1399" Type="http://schemas.openxmlformats.org/officeDocument/2006/relationships/hyperlink" Target="https://login.consultant.ru/link/?req=doc&amp;base=STR&amp;n=21347" TargetMode="External"/><Relationship Id="rId2657" Type="http://schemas.openxmlformats.org/officeDocument/2006/relationships/image" Target="media/image1736.wmf"/><Relationship Id="rId629" Type="http://schemas.openxmlformats.org/officeDocument/2006/relationships/image" Target="media/image219.wmf"/><Relationship Id="rId1259" Type="http://schemas.openxmlformats.org/officeDocument/2006/relationships/image" Target="media/image751.wmf"/><Relationship Id="rId1466" Type="http://schemas.openxmlformats.org/officeDocument/2006/relationships/hyperlink" Target="https://login.consultant.ru/link/?req=doc&amp;base=STR&amp;n=28725" TargetMode="External"/><Relationship Id="rId2864" Type="http://schemas.openxmlformats.org/officeDocument/2006/relationships/hyperlink" Target="https://login.consultant.ru/link/?req=doc&amp;base=STR&amp;n=26765&amp;dst=101153" TargetMode="External"/><Relationship Id="rId3708" Type="http://schemas.openxmlformats.org/officeDocument/2006/relationships/image" Target="media/image2515.wmf"/><Relationship Id="rId3915" Type="http://schemas.openxmlformats.org/officeDocument/2006/relationships/image" Target="media/image2718.wmf"/><Relationship Id="rId836" Type="http://schemas.openxmlformats.org/officeDocument/2006/relationships/image" Target="media/image359.wmf"/><Relationship Id="rId1119" Type="http://schemas.openxmlformats.org/officeDocument/2006/relationships/image" Target="media/image624.wmf"/><Relationship Id="rId1673" Type="http://schemas.openxmlformats.org/officeDocument/2006/relationships/image" Target="media/image912.wmf"/><Relationship Id="rId1880" Type="http://schemas.openxmlformats.org/officeDocument/2006/relationships/image" Target="media/image1108.wmf"/><Relationship Id="rId2517" Type="http://schemas.openxmlformats.org/officeDocument/2006/relationships/image" Target="media/image1671.wmf"/><Relationship Id="rId2724" Type="http://schemas.openxmlformats.org/officeDocument/2006/relationships/hyperlink" Target="https://login.consultant.ru/link/?req=doc&amp;base=STR&amp;n=34159&amp;dst=100027" TargetMode="External"/><Relationship Id="rId2931" Type="http://schemas.openxmlformats.org/officeDocument/2006/relationships/image" Target="media/image1804.wmf"/><Relationship Id="rId903" Type="http://schemas.openxmlformats.org/officeDocument/2006/relationships/image" Target="media/image415.wmf"/><Relationship Id="rId1326" Type="http://schemas.openxmlformats.org/officeDocument/2006/relationships/hyperlink" Target="https://login.consultant.ru/link/?req=doc&amp;base=STR&amp;n=26765&amp;dst=100761" TargetMode="External"/><Relationship Id="rId1533" Type="http://schemas.openxmlformats.org/officeDocument/2006/relationships/hyperlink" Target="https://login.consultant.ru/link/?req=doc&amp;base=STR&amp;n=28725" TargetMode="External"/><Relationship Id="rId1740" Type="http://schemas.openxmlformats.org/officeDocument/2006/relationships/image" Target="media/image975.wmf"/><Relationship Id="rId32" Type="http://schemas.openxmlformats.org/officeDocument/2006/relationships/hyperlink" Target="https://login.consultant.ru/link/?req=doc&amp;base=STR&amp;n=23866" TargetMode="External"/><Relationship Id="rId1600" Type="http://schemas.openxmlformats.org/officeDocument/2006/relationships/image" Target="media/image842.wmf"/><Relationship Id="rId3498" Type="http://schemas.openxmlformats.org/officeDocument/2006/relationships/image" Target="media/image2321.wmf"/><Relationship Id="rId3358" Type="http://schemas.openxmlformats.org/officeDocument/2006/relationships/image" Target="media/image2199.wmf"/><Relationship Id="rId3565" Type="http://schemas.openxmlformats.org/officeDocument/2006/relationships/image" Target="media/image2381.wmf"/><Relationship Id="rId3772" Type="http://schemas.openxmlformats.org/officeDocument/2006/relationships/image" Target="media/image2578.wmf"/><Relationship Id="rId279" Type="http://schemas.openxmlformats.org/officeDocument/2006/relationships/hyperlink" Target="https://login.consultant.ru/link/?req=doc&amp;base=STR&amp;n=26765&amp;dst=100105" TargetMode="External"/><Relationship Id="rId486" Type="http://schemas.openxmlformats.org/officeDocument/2006/relationships/image" Target="media/image140.wmf"/><Relationship Id="rId693" Type="http://schemas.openxmlformats.org/officeDocument/2006/relationships/hyperlink" Target="https://login.consultant.ru/link/?req=doc&amp;base=STR&amp;n=26765&amp;dst=100269" TargetMode="External"/><Relationship Id="rId2167" Type="http://schemas.openxmlformats.org/officeDocument/2006/relationships/image" Target="media/image1365.wmf"/><Relationship Id="rId2374" Type="http://schemas.openxmlformats.org/officeDocument/2006/relationships/image" Target="media/image1554.wmf"/><Relationship Id="rId2581" Type="http://schemas.openxmlformats.org/officeDocument/2006/relationships/hyperlink" Target="https://login.consultant.ru/link/?req=doc&amp;base=STR&amp;n=33228" TargetMode="External"/><Relationship Id="rId3218" Type="http://schemas.openxmlformats.org/officeDocument/2006/relationships/image" Target="media/image2063.wmf"/><Relationship Id="rId3425" Type="http://schemas.openxmlformats.org/officeDocument/2006/relationships/image" Target="media/image2261.wmf"/><Relationship Id="rId3632" Type="http://schemas.openxmlformats.org/officeDocument/2006/relationships/image" Target="media/image2443.wmf"/><Relationship Id="rId139" Type="http://schemas.openxmlformats.org/officeDocument/2006/relationships/image" Target="media/image20.wmf"/><Relationship Id="rId346" Type="http://schemas.openxmlformats.org/officeDocument/2006/relationships/hyperlink" Target="https://login.consultant.ru/link/?req=doc&amp;base=STR&amp;n=33799&amp;dst=100231" TargetMode="External"/><Relationship Id="rId553" Type="http://schemas.openxmlformats.org/officeDocument/2006/relationships/hyperlink" Target="https://login.consultant.ru/link/?req=doc&amp;base=STR&amp;n=33292" TargetMode="External"/><Relationship Id="rId760" Type="http://schemas.openxmlformats.org/officeDocument/2006/relationships/image" Target="media/image295.wmf"/><Relationship Id="rId1183" Type="http://schemas.openxmlformats.org/officeDocument/2006/relationships/image" Target="media/image681.wmf"/><Relationship Id="rId1390" Type="http://schemas.openxmlformats.org/officeDocument/2006/relationships/hyperlink" Target="https://login.consultant.ru/link/?req=doc&amp;base=STR&amp;n=20899&amp;dst=100358" TargetMode="External"/><Relationship Id="rId2027" Type="http://schemas.openxmlformats.org/officeDocument/2006/relationships/image" Target="media/image1253.wmf"/><Relationship Id="rId2234" Type="http://schemas.openxmlformats.org/officeDocument/2006/relationships/image" Target="media/image1418.wmf"/><Relationship Id="rId2441" Type="http://schemas.openxmlformats.org/officeDocument/2006/relationships/image" Target="media/image1602.wmf"/><Relationship Id="rId206" Type="http://schemas.openxmlformats.org/officeDocument/2006/relationships/hyperlink" Target="https://login.consultant.ru/link/?req=doc&amp;base=STR&amp;n=34256" TargetMode="External"/><Relationship Id="rId413" Type="http://schemas.openxmlformats.org/officeDocument/2006/relationships/image" Target="media/image89.wmf"/><Relationship Id="rId1043" Type="http://schemas.openxmlformats.org/officeDocument/2006/relationships/image" Target="media/image551.wmf"/><Relationship Id="rId620" Type="http://schemas.openxmlformats.org/officeDocument/2006/relationships/image" Target="media/image212.wmf"/><Relationship Id="rId1250" Type="http://schemas.openxmlformats.org/officeDocument/2006/relationships/image" Target="media/image743.wmf"/><Relationship Id="rId2301" Type="http://schemas.openxmlformats.org/officeDocument/2006/relationships/image" Target="media/image1483.wmf"/><Relationship Id="rId4059" Type="http://schemas.openxmlformats.org/officeDocument/2006/relationships/hyperlink" Target="https://login.consultant.ru/link/?req=doc&amp;base=STR&amp;n=24881&amp;dst=100229" TargetMode="External"/><Relationship Id="rId1110" Type="http://schemas.openxmlformats.org/officeDocument/2006/relationships/image" Target="media/image615.wmf"/><Relationship Id="rId1927" Type="http://schemas.openxmlformats.org/officeDocument/2006/relationships/image" Target="media/image1155.wmf"/><Relationship Id="rId3075" Type="http://schemas.openxmlformats.org/officeDocument/2006/relationships/image" Target="media/image1948.wmf"/><Relationship Id="rId3282" Type="http://schemas.openxmlformats.org/officeDocument/2006/relationships/image" Target="media/image2127.wmf"/><Relationship Id="rId2091" Type="http://schemas.openxmlformats.org/officeDocument/2006/relationships/image" Target="media/image1315.wmf"/><Relationship Id="rId3142" Type="http://schemas.openxmlformats.org/officeDocument/2006/relationships/hyperlink" Target="https://login.consultant.ru/link/?req=doc&amp;base=STR&amp;n=33799&amp;dst=101339" TargetMode="External"/><Relationship Id="rId270" Type="http://schemas.openxmlformats.org/officeDocument/2006/relationships/hyperlink" Target="https://login.consultant.ru/link/?req=doc&amp;base=STR&amp;n=20899&amp;dst=100087" TargetMode="External"/><Relationship Id="rId3002" Type="http://schemas.openxmlformats.org/officeDocument/2006/relationships/image" Target="media/image1875.wmf"/><Relationship Id="rId130" Type="http://schemas.openxmlformats.org/officeDocument/2006/relationships/image" Target="media/image11.wmf"/><Relationship Id="rId3959" Type="http://schemas.openxmlformats.org/officeDocument/2006/relationships/image" Target="media/image2762.wmf"/><Relationship Id="rId2768" Type="http://schemas.openxmlformats.org/officeDocument/2006/relationships/hyperlink" Target="https://login.consultant.ru/link/?req=doc&amp;base=STR&amp;n=24125" TargetMode="External"/><Relationship Id="rId2975" Type="http://schemas.openxmlformats.org/officeDocument/2006/relationships/image" Target="media/image1848.wmf"/><Relationship Id="rId3819" Type="http://schemas.openxmlformats.org/officeDocument/2006/relationships/image" Target="media/image2622.wmf"/><Relationship Id="rId947" Type="http://schemas.openxmlformats.org/officeDocument/2006/relationships/image" Target="media/image458.wmf"/><Relationship Id="rId1577" Type="http://schemas.openxmlformats.org/officeDocument/2006/relationships/image" Target="media/image825.wmf"/><Relationship Id="rId1784" Type="http://schemas.openxmlformats.org/officeDocument/2006/relationships/image" Target="media/image1019.wmf"/><Relationship Id="rId1991" Type="http://schemas.openxmlformats.org/officeDocument/2006/relationships/image" Target="media/image1217.wmf"/><Relationship Id="rId2628" Type="http://schemas.openxmlformats.org/officeDocument/2006/relationships/hyperlink" Target="https://login.consultant.ru/link/?req=doc&amp;base=STR&amp;n=33228" TargetMode="External"/><Relationship Id="rId2835" Type="http://schemas.openxmlformats.org/officeDocument/2006/relationships/hyperlink" Target="https://login.consultant.ru/link/?req=doc&amp;base=STR&amp;n=20899&amp;dst=100761" TargetMode="External"/><Relationship Id="rId76" Type="http://schemas.openxmlformats.org/officeDocument/2006/relationships/hyperlink" Target="https://login.consultant.ru/link/?req=doc&amp;base=STR&amp;n=20899&amp;dst=100033" TargetMode="External"/><Relationship Id="rId807" Type="http://schemas.openxmlformats.org/officeDocument/2006/relationships/image" Target="media/image330.wmf"/><Relationship Id="rId1437" Type="http://schemas.openxmlformats.org/officeDocument/2006/relationships/hyperlink" Target="https://login.consultant.ru/link/?req=doc&amp;base=STR&amp;n=28725" TargetMode="External"/><Relationship Id="rId1644" Type="http://schemas.openxmlformats.org/officeDocument/2006/relationships/image" Target="media/image883.wmf"/><Relationship Id="rId1851" Type="http://schemas.openxmlformats.org/officeDocument/2006/relationships/image" Target="media/image1079.wmf"/><Relationship Id="rId2902" Type="http://schemas.openxmlformats.org/officeDocument/2006/relationships/image" Target="media/image1779.wmf"/><Relationship Id="rId4050" Type="http://schemas.openxmlformats.org/officeDocument/2006/relationships/hyperlink" Target="https://login.consultant.ru/link/?req=doc&amp;base=STR&amp;n=20899&amp;dst=101125" TargetMode="External"/><Relationship Id="rId1504" Type="http://schemas.openxmlformats.org/officeDocument/2006/relationships/image" Target="media/image799.wmf"/><Relationship Id="rId1711" Type="http://schemas.openxmlformats.org/officeDocument/2006/relationships/image" Target="media/image947.wmf"/><Relationship Id="rId3469" Type="http://schemas.openxmlformats.org/officeDocument/2006/relationships/hyperlink" Target="https://login.consultant.ru/link/?req=doc&amp;base=STR&amp;n=28725" TargetMode="External"/><Relationship Id="rId3676" Type="http://schemas.openxmlformats.org/officeDocument/2006/relationships/image" Target="media/image2485.wmf"/><Relationship Id="rId597" Type="http://schemas.openxmlformats.org/officeDocument/2006/relationships/image" Target="media/image202.wmf"/><Relationship Id="rId2278" Type="http://schemas.openxmlformats.org/officeDocument/2006/relationships/image" Target="media/image1462.wmf"/><Relationship Id="rId2485" Type="http://schemas.openxmlformats.org/officeDocument/2006/relationships/image" Target="media/image1640.wmf"/><Relationship Id="rId3329" Type="http://schemas.openxmlformats.org/officeDocument/2006/relationships/image" Target="media/image2173.wmf"/><Relationship Id="rId3883" Type="http://schemas.openxmlformats.org/officeDocument/2006/relationships/image" Target="media/image2686.wmf"/><Relationship Id="rId457" Type="http://schemas.openxmlformats.org/officeDocument/2006/relationships/hyperlink" Target="https://login.consultant.ru/link/?req=doc&amp;base=STR&amp;n=20899&amp;dst=100153" TargetMode="External"/><Relationship Id="rId1087" Type="http://schemas.openxmlformats.org/officeDocument/2006/relationships/image" Target="media/image594.wmf"/><Relationship Id="rId1294" Type="http://schemas.openxmlformats.org/officeDocument/2006/relationships/image" Target="media/image783.wmf"/><Relationship Id="rId2138" Type="http://schemas.openxmlformats.org/officeDocument/2006/relationships/hyperlink" Target="https://login.consultant.ru/link/?req=doc&amp;base=STR&amp;n=28545" TargetMode="External"/><Relationship Id="rId2692" Type="http://schemas.openxmlformats.org/officeDocument/2006/relationships/hyperlink" Target="https://login.consultant.ru/link/?req=doc&amp;base=STR&amp;n=7520" TargetMode="External"/><Relationship Id="rId3536" Type="http://schemas.openxmlformats.org/officeDocument/2006/relationships/image" Target="media/image2353.wmf"/><Relationship Id="rId3743" Type="http://schemas.openxmlformats.org/officeDocument/2006/relationships/image" Target="media/image2550.wmf"/><Relationship Id="rId3950" Type="http://schemas.openxmlformats.org/officeDocument/2006/relationships/image" Target="media/image2753.png"/><Relationship Id="rId664" Type="http://schemas.openxmlformats.org/officeDocument/2006/relationships/image" Target="media/image253.wmf"/><Relationship Id="rId871" Type="http://schemas.openxmlformats.org/officeDocument/2006/relationships/image" Target="media/image388.wmf"/><Relationship Id="rId2345" Type="http://schemas.openxmlformats.org/officeDocument/2006/relationships/image" Target="media/image1526.wmf"/><Relationship Id="rId2552" Type="http://schemas.openxmlformats.org/officeDocument/2006/relationships/image" Target="media/image1706.wmf"/><Relationship Id="rId3603" Type="http://schemas.openxmlformats.org/officeDocument/2006/relationships/image" Target="media/image2418.wmf"/><Relationship Id="rId3810" Type="http://schemas.openxmlformats.org/officeDocument/2006/relationships/image" Target="media/image2613.wmf"/><Relationship Id="rId317" Type="http://schemas.openxmlformats.org/officeDocument/2006/relationships/hyperlink" Target="https://login.consultant.ru/link/?req=doc&amp;base=STR&amp;n=33799&amp;dst=100203" TargetMode="External"/><Relationship Id="rId524" Type="http://schemas.openxmlformats.org/officeDocument/2006/relationships/image" Target="media/image166.wmf"/><Relationship Id="rId731" Type="http://schemas.openxmlformats.org/officeDocument/2006/relationships/hyperlink" Target="https://login.consultant.ru/link/?req=doc&amp;base=STR&amp;n=20899&amp;dst=100246" TargetMode="External"/><Relationship Id="rId1154" Type="http://schemas.openxmlformats.org/officeDocument/2006/relationships/image" Target="media/image654.wmf"/><Relationship Id="rId1361" Type="http://schemas.openxmlformats.org/officeDocument/2006/relationships/hyperlink" Target="https://login.consultant.ru/link/?req=doc&amp;base=STR&amp;n=26765&amp;dst=100793" TargetMode="External"/><Relationship Id="rId2205" Type="http://schemas.openxmlformats.org/officeDocument/2006/relationships/hyperlink" Target="https://login.consultant.ru/link/?req=doc&amp;base=STR&amp;n=26765&amp;dst=101103" TargetMode="External"/><Relationship Id="rId2412" Type="http://schemas.openxmlformats.org/officeDocument/2006/relationships/hyperlink" Target="https://login.consultant.ru/link/?req=doc&amp;base=STR&amp;n=33799&amp;dst=101035" TargetMode="External"/><Relationship Id="rId1014" Type="http://schemas.openxmlformats.org/officeDocument/2006/relationships/image" Target="media/image523.wmf"/><Relationship Id="rId1221" Type="http://schemas.openxmlformats.org/officeDocument/2006/relationships/image" Target="media/image715.wmf"/><Relationship Id="rId3186" Type="http://schemas.openxmlformats.org/officeDocument/2006/relationships/image" Target="media/image2031.wmf"/><Relationship Id="rId3393" Type="http://schemas.openxmlformats.org/officeDocument/2006/relationships/image" Target="media/image2231.wmf"/><Relationship Id="rId3046" Type="http://schemas.openxmlformats.org/officeDocument/2006/relationships/image" Target="media/image1919.wmf"/><Relationship Id="rId3253" Type="http://schemas.openxmlformats.org/officeDocument/2006/relationships/image" Target="media/image2098.wmf"/><Relationship Id="rId3460" Type="http://schemas.openxmlformats.org/officeDocument/2006/relationships/hyperlink" Target="https://login.consultant.ru/link/?req=doc&amp;base=STR&amp;n=8696" TargetMode="External"/><Relationship Id="rId174" Type="http://schemas.openxmlformats.org/officeDocument/2006/relationships/hyperlink" Target="https://login.consultant.ru/link/?req=doc&amp;base=STR&amp;n=20899&amp;dst=100049" TargetMode="External"/><Relationship Id="rId381" Type="http://schemas.openxmlformats.org/officeDocument/2006/relationships/image" Target="media/image67.wmf"/><Relationship Id="rId2062" Type="http://schemas.openxmlformats.org/officeDocument/2006/relationships/image" Target="media/image1288.wmf"/><Relationship Id="rId3113" Type="http://schemas.openxmlformats.org/officeDocument/2006/relationships/image" Target="media/image1986.wmf"/><Relationship Id="rId241" Type="http://schemas.openxmlformats.org/officeDocument/2006/relationships/hyperlink" Target="https://login.consultant.ru/link/?req=doc&amp;base=STR&amp;n=20899&amp;dst=100080" TargetMode="External"/><Relationship Id="rId3320" Type="http://schemas.openxmlformats.org/officeDocument/2006/relationships/image" Target="media/image2164.wmf"/><Relationship Id="rId2879" Type="http://schemas.openxmlformats.org/officeDocument/2006/relationships/image" Target="media/image1756.wmf"/><Relationship Id="rId101" Type="http://schemas.openxmlformats.org/officeDocument/2006/relationships/hyperlink" Target="https://login.consultant.ru/link/?req=doc&amp;base=STR&amp;n=26765&amp;dst=100045" TargetMode="External"/><Relationship Id="rId1688" Type="http://schemas.openxmlformats.org/officeDocument/2006/relationships/image" Target="media/image924.wmf"/><Relationship Id="rId1895" Type="http://schemas.openxmlformats.org/officeDocument/2006/relationships/image" Target="media/image1123.wmf"/><Relationship Id="rId2739" Type="http://schemas.openxmlformats.org/officeDocument/2006/relationships/hyperlink" Target="https://login.consultant.ru/link/?req=doc&amp;base=STR&amp;n=18949" TargetMode="External"/><Relationship Id="rId2946" Type="http://schemas.openxmlformats.org/officeDocument/2006/relationships/image" Target="media/image1819.wmf"/><Relationship Id="rId918" Type="http://schemas.openxmlformats.org/officeDocument/2006/relationships/image" Target="media/image429.wmf"/><Relationship Id="rId1548" Type="http://schemas.openxmlformats.org/officeDocument/2006/relationships/hyperlink" Target="https://login.consultant.ru/link/?req=doc&amp;base=STR&amp;n=23384" TargetMode="External"/><Relationship Id="rId1755" Type="http://schemas.openxmlformats.org/officeDocument/2006/relationships/image" Target="media/image990.wmf"/><Relationship Id="rId1408" Type="http://schemas.openxmlformats.org/officeDocument/2006/relationships/hyperlink" Target="https://login.consultant.ru/link/?req=doc&amp;base=STR&amp;n=8696" TargetMode="External"/><Relationship Id="rId1962" Type="http://schemas.openxmlformats.org/officeDocument/2006/relationships/image" Target="media/image1189.wmf"/><Relationship Id="rId2806" Type="http://schemas.openxmlformats.org/officeDocument/2006/relationships/hyperlink" Target="https://login.consultant.ru/link/?req=doc&amp;base=STR&amp;n=30822" TargetMode="External"/><Relationship Id="rId4021" Type="http://schemas.openxmlformats.org/officeDocument/2006/relationships/image" Target="media/image2812.wmf"/><Relationship Id="rId47" Type="http://schemas.openxmlformats.org/officeDocument/2006/relationships/hyperlink" Target="https://login.consultant.ru/link/?req=doc&amp;base=STR&amp;n=26765&amp;dst=100022" TargetMode="External"/><Relationship Id="rId1615" Type="http://schemas.openxmlformats.org/officeDocument/2006/relationships/image" Target="media/image854.wmf"/><Relationship Id="rId1822" Type="http://schemas.openxmlformats.org/officeDocument/2006/relationships/hyperlink" Target="https://login.consultant.ru/link/?req=doc&amp;base=STR&amp;n=33799&amp;dst=100926" TargetMode="External"/><Relationship Id="rId3787" Type="http://schemas.openxmlformats.org/officeDocument/2006/relationships/image" Target="media/image2593.wmf"/><Relationship Id="rId3994" Type="http://schemas.openxmlformats.org/officeDocument/2006/relationships/image" Target="media/image2795.wmf"/><Relationship Id="rId2389" Type="http://schemas.openxmlformats.org/officeDocument/2006/relationships/image" Target="media/image1569.wmf"/><Relationship Id="rId2596" Type="http://schemas.openxmlformats.org/officeDocument/2006/relationships/hyperlink" Target="https://login.consultant.ru/link/?req=doc&amp;base=STR&amp;n=33799&amp;dst=101049" TargetMode="External"/><Relationship Id="rId3647" Type="http://schemas.openxmlformats.org/officeDocument/2006/relationships/image" Target="media/image2457.wmf"/><Relationship Id="rId3854" Type="http://schemas.openxmlformats.org/officeDocument/2006/relationships/image" Target="media/image2657.wmf"/><Relationship Id="rId568" Type="http://schemas.openxmlformats.org/officeDocument/2006/relationships/hyperlink" Target="https://login.consultant.ru/link/?req=doc&amp;base=STR&amp;n=20899&amp;dst=100167" TargetMode="External"/><Relationship Id="rId775" Type="http://schemas.openxmlformats.org/officeDocument/2006/relationships/image" Target="media/image309.wmf"/><Relationship Id="rId982" Type="http://schemas.openxmlformats.org/officeDocument/2006/relationships/image" Target="media/image492.wmf"/><Relationship Id="rId1198" Type="http://schemas.openxmlformats.org/officeDocument/2006/relationships/hyperlink" Target="https://login.consultant.ru/link/?req=doc&amp;base=STR&amp;n=26765&amp;dst=100667" TargetMode="External"/><Relationship Id="rId2249" Type="http://schemas.openxmlformats.org/officeDocument/2006/relationships/image" Target="media/image1433.wmf"/><Relationship Id="rId2456" Type="http://schemas.openxmlformats.org/officeDocument/2006/relationships/image" Target="media/image1614.wmf"/><Relationship Id="rId2663" Type="http://schemas.openxmlformats.org/officeDocument/2006/relationships/hyperlink" Target="https://login.consultant.ru/link/?req=doc&amp;base=STR&amp;n=18833" TargetMode="External"/><Relationship Id="rId2870" Type="http://schemas.openxmlformats.org/officeDocument/2006/relationships/image" Target="media/image1747.wmf"/><Relationship Id="rId3507" Type="http://schemas.openxmlformats.org/officeDocument/2006/relationships/image" Target="media/image2328.wmf"/><Relationship Id="rId3714" Type="http://schemas.openxmlformats.org/officeDocument/2006/relationships/image" Target="media/image2521.wmf"/><Relationship Id="rId3921" Type="http://schemas.openxmlformats.org/officeDocument/2006/relationships/image" Target="media/image2724.wmf"/><Relationship Id="rId428" Type="http://schemas.openxmlformats.org/officeDocument/2006/relationships/hyperlink" Target="https://login.consultant.ru/link/?req=doc&amp;base=STR&amp;n=18949" TargetMode="External"/><Relationship Id="rId635" Type="http://schemas.openxmlformats.org/officeDocument/2006/relationships/image" Target="media/image225.wmf"/><Relationship Id="rId842" Type="http://schemas.openxmlformats.org/officeDocument/2006/relationships/image" Target="media/image365.wmf"/><Relationship Id="rId1058" Type="http://schemas.openxmlformats.org/officeDocument/2006/relationships/image" Target="media/image566.png"/><Relationship Id="rId1265" Type="http://schemas.openxmlformats.org/officeDocument/2006/relationships/image" Target="media/image757.wmf"/><Relationship Id="rId1472" Type="http://schemas.openxmlformats.org/officeDocument/2006/relationships/hyperlink" Target="https://login.consultant.ru/link/?req=doc&amp;base=STR&amp;n=26941" TargetMode="External"/><Relationship Id="rId2109" Type="http://schemas.openxmlformats.org/officeDocument/2006/relationships/image" Target="media/image1332.wmf"/><Relationship Id="rId2316" Type="http://schemas.openxmlformats.org/officeDocument/2006/relationships/image" Target="media/image1498.wmf"/><Relationship Id="rId2523" Type="http://schemas.openxmlformats.org/officeDocument/2006/relationships/image" Target="media/image1677.wmf"/><Relationship Id="rId2730" Type="http://schemas.openxmlformats.org/officeDocument/2006/relationships/hyperlink" Target="https://login.consultant.ru/link/?req=doc&amp;base=STR&amp;n=7551" TargetMode="External"/><Relationship Id="rId702" Type="http://schemas.openxmlformats.org/officeDocument/2006/relationships/image" Target="media/image276.wmf"/><Relationship Id="rId1125" Type="http://schemas.openxmlformats.org/officeDocument/2006/relationships/image" Target="media/image630.wmf"/><Relationship Id="rId1332" Type="http://schemas.openxmlformats.org/officeDocument/2006/relationships/hyperlink" Target="https://login.consultant.ru/link/?req=doc&amp;base=STR&amp;n=26765&amp;dst=100767" TargetMode="External"/><Relationship Id="rId3297" Type="http://schemas.openxmlformats.org/officeDocument/2006/relationships/image" Target="media/image2142.wmf"/><Relationship Id="rId3157" Type="http://schemas.openxmlformats.org/officeDocument/2006/relationships/image" Target="media/image2017.png"/><Relationship Id="rId285" Type="http://schemas.openxmlformats.org/officeDocument/2006/relationships/hyperlink" Target="https://login.consultant.ru/link/?req=doc&amp;base=STR&amp;n=20899&amp;dst=100090" TargetMode="External"/><Relationship Id="rId3364" Type="http://schemas.openxmlformats.org/officeDocument/2006/relationships/image" Target="media/image2205.wmf"/><Relationship Id="rId3571" Type="http://schemas.openxmlformats.org/officeDocument/2006/relationships/image" Target="media/image2387.wmf"/><Relationship Id="rId492" Type="http://schemas.openxmlformats.org/officeDocument/2006/relationships/image" Target="media/image144.wmf"/><Relationship Id="rId2173" Type="http://schemas.openxmlformats.org/officeDocument/2006/relationships/image" Target="media/image1370.wmf"/><Relationship Id="rId2380" Type="http://schemas.openxmlformats.org/officeDocument/2006/relationships/image" Target="media/image1560.wmf"/><Relationship Id="rId3017" Type="http://schemas.openxmlformats.org/officeDocument/2006/relationships/image" Target="media/image1890.wmf"/><Relationship Id="rId3224" Type="http://schemas.openxmlformats.org/officeDocument/2006/relationships/image" Target="media/image2069.wmf"/><Relationship Id="rId3431" Type="http://schemas.openxmlformats.org/officeDocument/2006/relationships/image" Target="media/image2267.wmf"/><Relationship Id="rId145" Type="http://schemas.openxmlformats.org/officeDocument/2006/relationships/hyperlink" Target="https://login.consultant.ru/link/?req=doc&amp;base=STR&amp;n=33799&amp;dst=100117" TargetMode="External"/><Relationship Id="rId352" Type="http://schemas.openxmlformats.org/officeDocument/2006/relationships/hyperlink" Target="https://login.consultant.ru/link/?req=doc&amp;base=STR&amp;n=26765&amp;dst=100144" TargetMode="External"/><Relationship Id="rId2033" Type="http://schemas.openxmlformats.org/officeDocument/2006/relationships/image" Target="media/image1259.wmf"/><Relationship Id="rId2240" Type="http://schemas.openxmlformats.org/officeDocument/2006/relationships/image" Target="media/image1424.png"/><Relationship Id="rId212" Type="http://schemas.openxmlformats.org/officeDocument/2006/relationships/hyperlink" Target="https://login.consultant.ru/link/?req=doc&amp;base=STR&amp;n=20899&amp;dst=100072" TargetMode="External"/><Relationship Id="rId1799" Type="http://schemas.openxmlformats.org/officeDocument/2006/relationships/image" Target="media/image1034.wmf"/><Relationship Id="rId2100" Type="http://schemas.openxmlformats.org/officeDocument/2006/relationships/image" Target="media/image1324.wmf"/><Relationship Id="rId1659" Type="http://schemas.openxmlformats.org/officeDocument/2006/relationships/image" Target="media/image898.wmf"/><Relationship Id="rId1866" Type="http://schemas.openxmlformats.org/officeDocument/2006/relationships/image" Target="media/image1094.wmf"/><Relationship Id="rId2917" Type="http://schemas.openxmlformats.org/officeDocument/2006/relationships/image" Target="media/image1790.wmf"/><Relationship Id="rId3081" Type="http://schemas.openxmlformats.org/officeDocument/2006/relationships/image" Target="media/image1954.wmf"/><Relationship Id="rId1519" Type="http://schemas.openxmlformats.org/officeDocument/2006/relationships/hyperlink" Target="https://login.consultant.ru/link/?req=doc&amp;base=STR&amp;n=28725" TargetMode="External"/><Relationship Id="rId1726" Type="http://schemas.openxmlformats.org/officeDocument/2006/relationships/image" Target="media/image962.wmf"/><Relationship Id="rId1933" Type="http://schemas.openxmlformats.org/officeDocument/2006/relationships/image" Target="media/image1161.wmf"/><Relationship Id="rId18" Type="http://schemas.openxmlformats.org/officeDocument/2006/relationships/hyperlink" Target="https://login.consultant.ru/link/?req=doc&amp;base=LAW&amp;n=471095" TargetMode="External"/><Relationship Id="rId3898" Type="http://schemas.openxmlformats.org/officeDocument/2006/relationships/image" Target="media/image2701.wmf"/><Relationship Id="rId3758" Type="http://schemas.openxmlformats.org/officeDocument/2006/relationships/image" Target="media/image2564.wmf"/><Relationship Id="rId3965" Type="http://schemas.openxmlformats.org/officeDocument/2006/relationships/image" Target="media/image2768.wmf"/><Relationship Id="rId679" Type="http://schemas.openxmlformats.org/officeDocument/2006/relationships/image" Target="media/image265.wmf"/><Relationship Id="rId886" Type="http://schemas.openxmlformats.org/officeDocument/2006/relationships/image" Target="media/image403.wmf"/><Relationship Id="rId2567" Type="http://schemas.openxmlformats.org/officeDocument/2006/relationships/image" Target="media/image1721.wmf"/><Relationship Id="rId2774" Type="http://schemas.openxmlformats.org/officeDocument/2006/relationships/hyperlink" Target="https://login.consultant.ru/link/?req=doc&amp;base=STR&amp;n=26137" TargetMode="External"/><Relationship Id="rId3618" Type="http://schemas.openxmlformats.org/officeDocument/2006/relationships/image" Target="media/image2431.wmf"/><Relationship Id="rId2" Type="http://schemas.microsoft.com/office/2007/relationships/stylesWithEffects" Target="stylesWithEffects.xml"/><Relationship Id="rId539" Type="http://schemas.openxmlformats.org/officeDocument/2006/relationships/hyperlink" Target="https://login.consultant.ru/link/?req=doc&amp;base=STR&amp;n=33799&amp;dst=100270" TargetMode="External"/><Relationship Id="rId746" Type="http://schemas.openxmlformats.org/officeDocument/2006/relationships/hyperlink" Target="https://login.consultant.ru/link/?req=doc&amp;base=STR&amp;n=6278" TargetMode="External"/><Relationship Id="rId1169" Type="http://schemas.openxmlformats.org/officeDocument/2006/relationships/image" Target="media/image668.wmf"/><Relationship Id="rId1376" Type="http://schemas.openxmlformats.org/officeDocument/2006/relationships/hyperlink" Target="https://login.consultant.ru/link/?req=doc&amp;base=STR&amp;n=26765&amp;dst=100834" TargetMode="External"/><Relationship Id="rId1583" Type="http://schemas.openxmlformats.org/officeDocument/2006/relationships/hyperlink" Target="https://login.consultant.ru/link/?req=doc&amp;base=STR&amp;n=33799&amp;dst=100917" TargetMode="External"/><Relationship Id="rId2427" Type="http://schemas.openxmlformats.org/officeDocument/2006/relationships/image" Target="media/image1588.wmf"/><Relationship Id="rId2981" Type="http://schemas.openxmlformats.org/officeDocument/2006/relationships/image" Target="media/image1854.wmf"/><Relationship Id="rId3825" Type="http://schemas.openxmlformats.org/officeDocument/2006/relationships/image" Target="media/image2628.wmf"/><Relationship Id="rId953" Type="http://schemas.openxmlformats.org/officeDocument/2006/relationships/image" Target="media/image464.wmf"/><Relationship Id="rId1029" Type="http://schemas.openxmlformats.org/officeDocument/2006/relationships/image" Target="media/image538.wmf"/><Relationship Id="rId1236" Type="http://schemas.openxmlformats.org/officeDocument/2006/relationships/image" Target="media/image729.wmf"/><Relationship Id="rId1790" Type="http://schemas.openxmlformats.org/officeDocument/2006/relationships/image" Target="media/image1025.wmf"/><Relationship Id="rId2634" Type="http://schemas.openxmlformats.org/officeDocument/2006/relationships/hyperlink" Target="https://login.consultant.ru/link/?req=doc&amp;base=STR&amp;n=24881&amp;dst=100055" TargetMode="External"/><Relationship Id="rId2841" Type="http://schemas.openxmlformats.org/officeDocument/2006/relationships/hyperlink" Target="https://login.consultant.ru/link/?req=doc&amp;base=STR&amp;n=26765&amp;dst=101153" TargetMode="External"/><Relationship Id="rId82" Type="http://schemas.openxmlformats.org/officeDocument/2006/relationships/hyperlink" Target="https://login.consultant.ru/link/?req=doc&amp;base=STR&amp;n=30822" TargetMode="External"/><Relationship Id="rId606" Type="http://schemas.openxmlformats.org/officeDocument/2006/relationships/hyperlink" Target="https://login.consultant.ru/link/?req=doc&amp;base=STR&amp;n=31283" TargetMode="External"/><Relationship Id="rId813" Type="http://schemas.openxmlformats.org/officeDocument/2006/relationships/image" Target="media/image336.wmf"/><Relationship Id="rId1443" Type="http://schemas.openxmlformats.org/officeDocument/2006/relationships/hyperlink" Target="https://login.consultant.ru/link/?req=doc&amp;base=STR&amp;n=28725" TargetMode="External"/><Relationship Id="rId1650" Type="http://schemas.openxmlformats.org/officeDocument/2006/relationships/image" Target="media/image889.wmf"/><Relationship Id="rId2701" Type="http://schemas.openxmlformats.org/officeDocument/2006/relationships/hyperlink" Target="https://login.consultant.ru/link/?req=doc&amp;base=STR&amp;n=6664" TargetMode="External"/><Relationship Id="rId1303" Type="http://schemas.openxmlformats.org/officeDocument/2006/relationships/hyperlink" Target="https://login.consultant.ru/link/?req=doc&amp;base=STR&amp;n=26765&amp;dst=100677" TargetMode="External"/><Relationship Id="rId1510" Type="http://schemas.openxmlformats.org/officeDocument/2006/relationships/image" Target="media/image805.wmf"/><Relationship Id="rId3268" Type="http://schemas.openxmlformats.org/officeDocument/2006/relationships/image" Target="media/image2113.wmf"/><Relationship Id="rId3475" Type="http://schemas.openxmlformats.org/officeDocument/2006/relationships/image" Target="media/image2298.wmf"/><Relationship Id="rId3682" Type="http://schemas.openxmlformats.org/officeDocument/2006/relationships/image" Target="media/image2490.wmf"/><Relationship Id="rId189" Type="http://schemas.openxmlformats.org/officeDocument/2006/relationships/hyperlink" Target="https://login.consultant.ru/link/?req=doc&amp;base=STR&amp;n=33799&amp;dst=100142" TargetMode="External"/><Relationship Id="rId396" Type="http://schemas.openxmlformats.org/officeDocument/2006/relationships/hyperlink" Target="https://login.consultant.ru/link/?req=doc&amp;base=STR&amp;n=33799&amp;dst=100237" TargetMode="External"/><Relationship Id="rId2077" Type="http://schemas.openxmlformats.org/officeDocument/2006/relationships/image" Target="media/image1303.wmf"/><Relationship Id="rId2284" Type="http://schemas.openxmlformats.org/officeDocument/2006/relationships/image" Target="media/image1468.wmf"/><Relationship Id="rId2491" Type="http://schemas.openxmlformats.org/officeDocument/2006/relationships/image" Target="media/image1646.wmf"/><Relationship Id="rId3128" Type="http://schemas.openxmlformats.org/officeDocument/2006/relationships/image" Target="media/image2001.wmf"/><Relationship Id="rId3335" Type="http://schemas.openxmlformats.org/officeDocument/2006/relationships/image" Target="media/image2179.wmf"/><Relationship Id="rId3542" Type="http://schemas.openxmlformats.org/officeDocument/2006/relationships/image" Target="media/image2358.wmf"/><Relationship Id="rId256" Type="http://schemas.openxmlformats.org/officeDocument/2006/relationships/hyperlink" Target="https://login.consultant.ru/link/?req=doc&amp;base=STR&amp;n=18302" TargetMode="External"/><Relationship Id="rId463" Type="http://schemas.openxmlformats.org/officeDocument/2006/relationships/image" Target="media/image120.wmf"/><Relationship Id="rId670" Type="http://schemas.openxmlformats.org/officeDocument/2006/relationships/image" Target="media/image259.wmf"/><Relationship Id="rId1093" Type="http://schemas.openxmlformats.org/officeDocument/2006/relationships/image" Target="media/image600.wmf"/><Relationship Id="rId2144" Type="http://schemas.openxmlformats.org/officeDocument/2006/relationships/image" Target="media/image1362.wmf"/><Relationship Id="rId2351" Type="http://schemas.openxmlformats.org/officeDocument/2006/relationships/image" Target="media/image1532.wmf"/><Relationship Id="rId3402" Type="http://schemas.openxmlformats.org/officeDocument/2006/relationships/image" Target="media/image2239.wmf"/><Relationship Id="rId116" Type="http://schemas.openxmlformats.org/officeDocument/2006/relationships/hyperlink" Target="https://login.consultant.ru/link/?req=doc&amp;base=STR&amp;n=20899&amp;dst=100043" TargetMode="External"/><Relationship Id="rId323" Type="http://schemas.openxmlformats.org/officeDocument/2006/relationships/hyperlink" Target="https://login.consultant.ru/link/?req=doc&amp;base=STR&amp;n=26765&amp;dst=100135" TargetMode="External"/><Relationship Id="rId530" Type="http://schemas.openxmlformats.org/officeDocument/2006/relationships/image" Target="media/image172.wmf"/><Relationship Id="rId1160" Type="http://schemas.openxmlformats.org/officeDocument/2006/relationships/image" Target="media/image659.wmf"/><Relationship Id="rId2004" Type="http://schemas.openxmlformats.org/officeDocument/2006/relationships/image" Target="media/image1230.wmf"/><Relationship Id="rId2211" Type="http://schemas.openxmlformats.org/officeDocument/2006/relationships/image" Target="media/image1400.wmf"/><Relationship Id="rId1020" Type="http://schemas.openxmlformats.org/officeDocument/2006/relationships/image" Target="media/image529.wmf"/><Relationship Id="rId1977" Type="http://schemas.openxmlformats.org/officeDocument/2006/relationships/image" Target="media/image1203.wmf"/><Relationship Id="rId1837" Type="http://schemas.openxmlformats.org/officeDocument/2006/relationships/image" Target="media/image1066.wmf"/><Relationship Id="rId3192" Type="http://schemas.openxmlformats.org/officeDocument/2006/relationships/image" Target="media/image2037.wmf"/><Relationship Id="rId4036" Type="http://schemas.openxmlformats.org/officeDocument/2006/relationships/hyperlink" Target="https://login.consultant.ru/link/?req=doc&amp;base=STR&amp;n=33799&amp;dst=101676" TargetMode="External"/><Relationship Id="rId3052" Type="http://schemas.openxmlformats.org/officeDocument/2006/relationships/image" Target="media/image1925.wmf"/><Relationship Id="rId180" Type="http://schemas.openxmlformats.org/officeDocument/2006/relationships/hyperlink" Target="https://login.consultant.ru/link/?req=doc&amp;base=STR&amp;n=33799&amp;dst=100130" TargetMode="External"/><Relationship Id="rId1904" Type="http://schemas.openxmlformats.org/officeDocument/2006/relationships/image" Target="media/image1132.wmf"/><Relationship Id="rId3869" Type="http://schemas.openxmlformats.org/officeDocument/2006/relationships/image" Target="media/image2672.wmf"/><Relationship Id="rId997" Type="http://schemas.openxmlformats.org/officeDocument/2006/relationships/image" Target="media/image506.wmf"/><Relationship Id="rId2678" Type="http://schemas.openxmlformats.org/officeDocument/2006/relationships/hyperlink" Target="https://login.consultant.ru/link/?req=doc&amp;base=STR&amp;n=33327" TargetMode="External"/><Relationship Id="rId2885" Type="http://schemas.openxmlformats.org/officeDocument/2006/relationships/image" Target="media/image1762.wmf"/><Relationship Id="rId3729" Type="http://schemas.openxmlformats.org/officeDocument/2006/relationships/image" Target="media/image2536.wmf"/><Relationship Id="rId3936" Type="http://schemas.openxmlformats.org/officeDocument/2006/relationships/image" Target="media/image2739.wmf"/><Relationship Id="rId857" Type="http://schemas.openxmlformats.org/officeDocument/2006/relationships/hyperlink" Target="https://login.consultant.ru/link/?req=doc&amp;base=STR&amp;n=26765&amp;dst=100586" TargetMode="External"/><Relationship Id="rId1487" Type="http://schemas.openxmlformats.org/officeDocument/2006/relationships/hyperlink" Target="https://login.consultant.ru/link/?req=doc&amp;base=STR&amp;n=28725" TargetMode="External"/><Relationship Id="rId1694" Type="http://schemas.openxmlformats.org/officeDocument/2006/relationships/image" Target="media/image930.wmf"/><Relationship Id="rId2538" Type="http://schemas.openxmlformats.org/officeDocument/2006/relationships/image" Target="media/image1692.wmf"/><Relationship Id="rId2745" Type="http://schemas.openxmlformats.org/officeDocument/2006/relationships/hyperlink" Target="https://login.consultant.ru/link/?req=doc&amp;base=STR&amp;n=20288" TargetMode="External"/><Relationship Id="rId2952" Type="http://schemas.openxmlformats.org/officeDocument/2006/relationships/image" Target="media/image1825.wmf"/><Relationship Id="rId717" Type="http://schemas.openxmlformats.org/officeDocument/2006/relationships/hyperlink" Target="https://login.consultant.ru/link/?req=doc&amp;base=STR&amp;n=23223" TargetMode="External"/><Relationship Id="rId924" Type="http://schemas.openxmlformats.org/officeDocument/2006/relationships/image" Target="media/image435.wmf"/><Relationship Id="rId1347" Type="http://schemas.openxmlformats.org/officeDocument/2006/relationships/hyperlink" Target="https://login.consultant.ru/link/?req=doc&amp;base=STR&amp;n=23974" TargetMode="External"/><Relationship Id="rId1554" Type="http://schemas.openxmlformats.org/officeDocument/2006/relationships/image" Target="media/image811.wmf"/><Relationship Id="rId1761" Type="http://schemas.openxmlformats.org/officeDocument/2006/relationships/image" Target="media/image996.wmf"/><Relationship Id="rId2605" Type="http://schemas.openxmlformats.org/officeDocument/2006/relationships/image" Target="media/image1731.wmf"/><Relationship Id="rId2812" Type="http://schemas.openxmlformats.org/officeDocument/2006/relationships/hyperlink" Target="https://login.consultant.ru/link/?req=doc&amp;base=STR&amp;n=27061" TargetMode="External"/><Relationship Id="rId53" Type="http://schemas.openxmlformats.org/officeDocument/2006/relationships/hyperlink" Target="https://login.consultant.ru/link/?req=doc&amp;base=STR&amp;n=26765&amp;dst=100027" TargetMode="External"/><Relationship Id="rId1207" Type="http://schemas.openxmlformats.org/officeDocument/2006/relationships/image" Target="media/image701.wmf"/><Relationship Id="rId1414" Type="http://schemas.openxmlformats.org/officeDocument/2006/relationships/hyperlink" Target="https://login.consultant.ru/link/?req=doc&amp;base=STR&amp;n=26941" TargetMode="External"/><Relationship Id="rId1621" Type="http://schemas.openxmlformats.org/officeDocument/2006/relationships/image" Target="media/image860.wmf"/><Relationship Id="rId3379" Type="http://schemas.openxmlformats.org/officeDocument/2006/relationships/image" Target="media/image2220.wmf"/><Relationship Id="rId3586" Type="http://schemas.openxmlformats.org/officeDocument/2006/relationships/image" Target="media/image2402.wmf"/><Relationship Id="rId3793" Type="http://schemas.openxmlformats.org/officeDocument/2006/relationships/image" Target="media/image2599.wmf"/><Relationship Id="rId2188" Type="http://schemas.openxmlformats.org/officeDocument/2006/relationships/image" Target="media/image1385.wmf"/><Relationship Id="rId2395" Type="http://schemas.openxmlformats.org/officeDocument/2006/relationships/image" Target="media/image1575.wmf"/><Relationship Id="rId3239" Type="http://schemas.openxmlformats.org/officeDocument/2006/relationships/image" Target="media/image2084.wmf"/><Relationship Id="rId3446" Type="http://schemas.openxmlformats.org/officeDocument/2006/relationships/image" Target="media/image2280.wmf"/><Relationship Id="rId367" Type="http://schemas.openxmlformats.org/officeDocument/2006/relationships/image" Target="media/image54.wmf"/><Relationship Id="rId574" Type="http://schemas.openxmlformats.org/officeDocument/2006/relationships/image" Target="media/image189.wmf"/><Relationship Id="rId2048" Type="http://schemas.openxmlformats.org/officeDocument/2006/relationships/image" Target="media/image1274.wmf"/><Relationship Id="rId2255" Type="http://schemas.openxmlformats.org/officeDocument/2006/relationships/image" Target="media/image1439.wmf"/><Relationship Id="rId3653" Type="http://schemas.openxmlformats.org/officeDocument/2006/relationships/image" Target="media/image2463.wmf"/><Relationship Id="rId3860" Type="http://schemas.openxmlformats.org/officeDocument/2006/relationships/image" Target="media/image2663.wmf"/><Relationship Id="rId227" Type="http://schemas.openxmlformats.org/officeDocument/2006/relationships/hyperlink" Target="https://login.consultant.ru/link/?req=doc&amp;base=STR&amp;n=20899&amp;dst=100073" TargetMode="External"/><Relationship Id="rId781" Type="http://schemas.openxmlformats.org/officeDocument/2006/relationships/image" Target="media/image314.wmf"/><Relationship Id="rId2462" Type="http://schemas.openxmlformats.org/officeDocument/2006/relationships/image" Target="media/image1619.wmf"/><Relationship Id="rId3306" Type="http://schemas.openxmlformats.org/officeDocument/2006/relationships/image" Target="media/image2151.wmf"/><Relationship Id="rId3513" Type="http://schemas.openxmlformats.org/officeDocument/2006/relationships/image" Target="media/image2334.wmf"/><Relationship Id="rId3720" Type="http://schemas.openxmlformats.org/officeDocument/2006/relationships/image" Target="media/image2527.wmf"/><Relationship Id="rId434" Type="http://schemas.openxmlformats.org/officeDocument/2006/relationships/image" Target="media/image105.wmf"/><Relationship Id="rId641" Type="http://schemas.openxmlformats.org/officeDocument/2006/relationships/image" Target="media/image231.wmf"/><Relationship Id="rId1064" Type="http://schemas.openxmlformats.org/officeDocument/2006/relationships/image" Target="media/image571.wmf"/><Relationship Id="rId1271" Type="http://schemas.openxmlformats.org/officeDocument/2006/relationships/image" Target="media/image763.wmf"/><Relationship Id="rId2115" Type="http://schemas.openxmlformats.org/officeDocument/2006/relationships/image" Target="media/image1338.wmf"/><Relationship Id="rId2322" Type="http://schemas.openxmlformats.org/officeDocument/2006/relationships/image" Target="media/image1504.wmf"/><Relationship Id="rId501" Type="http://schemas.openxmlformats.org/officeDocument/2006/relationships/hyperlink" Target="https://login.consultant.ru/link/?req=doc&amp;base=STR&amp;n=34261" TargetMode="External"/><Relationship Id="rId1131" Type="http://schemas.openxmlformats.org/officeDocument/2006/relationships/hyperlink" Target="https://login.consultant.ru/link/?req=doc&amp;base=STR&amp;n=20899&amp;dst=100300" TargetMode="External"/><Relationship Id="rId3096" Type="http://schemas.openxmlformats.org/officeDocument/2006/relationships/image" Target="media/image1969.wmf"/><Relationship Id="rId1948" Type="http://schemas.openxmlformats.org/officeDocument/2006/relationships/image" Target="media/image1175.wmf"/><Relationship Id="rId3163" Type="http://schemas.openxmlformats.org/officeDocument/2006/relationships/hyperlink" Target="https://login.consultant.ru/link/?req=doc&amp;base=STR&amp;n=30139" TargetMode="External"/><Relationship Id="rId3370" Type="http://schemas.openxmlformats.org/officeDocument/2006/relationships/image" Target="media/image2211.wmf"/><Relationship Id="rId4007" Type="http://schemas.openxmlformats.org/officeDocument/2006/relationships/hyperlink" Target="https://login.consultant.ru/link/?req=doc&amp;base=STR&amp;n=20899&amp;dst=100973" TargetMode="External"/><Relationship Id="rId291" Type="http://schemas.openxmlformats.org/officeDocument/2006/relationships/hyperlink" Target="https://login.consultant.ru/link/?req=doc&amp;base=STR&amp;n=33799&amp;dst=100191" TargetMode="External"/><Relationship Id="rId1808" Type="http://schemas.openxmlformats.org/officeDocument/2006/relationships/image" Target="media/image1043.wmf"/><Relationship Id="rId3023" Type="http://schemas.openxmlformats.org/officeDocument/2006/relationships/image" Target="media/image1896.wmf"/><Relationship Id="rId151" Type="http://schemas.openxmlformats.org/officeDocument/2006/relationships/hyperlink" Target="https://login.consultant.ru/link/?req=doc&amp;base=STR&amp;n=26765&amp;dst=100057" TargetMode="External"/><Relationship Id="rId3230" Type="http://schemas.openxmlformats.org/officeDocument/2006/relationships/image" Target="media/image2075.wmf"/><Relationship Id="rId2789" Type="http://schemas.openxmlformats.org/officeDocument/2006/relationships/hyperlink" Target="https://login.consultant.ru/link/?req=doc&amp;base=STR&amp;n=34159&amp;dst=100022" TargetMode="External"/><Relationship Id="rId2996" Type="http://schemas.openxmlformats.org/officeDocument/2006/relationships/image" Target="media/image1869.wmf"/><Relationship Id="rId968" Type="http://schemas.openxmlformats.org/officeDocument/2006/relationships/image" Target="media/image479.wmf"/><Relationship Id="rId1598" Type="http://schemas.openxmlformats.org/officeDocument/2006/relationships/image" Target="media/image840.wmf"/><Relationship Id="rId2649" Type="http://schemas.openxmlformats.org/officeDocument/2006/relationships/hyperlink" Target="https://login.consultant.ru/link/?req=doc&amp;base=STR&amp;n=18833" TargetMode="External"/><Relationship Id="rId2856" Type="http://schemas.openxmlformats.org/officeDocument/2006/relationships/hyperlink" Target="https://login.consultant.ru/link/?req=doc&amp;base=STR&amp;n=26765&amp;dst=101153" TargetMode="External"/><Relationship Id="rId3907" Type="http://schemas.openxmlformats.org/officeDocument/2006/relationships/image" Target="media/image2710.wmf"/><Relationship Id="rId97" Type="http://schemas.openxmlformats.org/officeDocument/2006/relationships/hyperlink" Target="https://login.consultant.ru/link/?req=doc&amp;base=STR&amp;n=33836" TargetMode="External"/><Relationship Id="rId828" Type="http://schemas.openxmlformats.org/officeDocument/2006/relationships/image" Target="media/image351.wmf"/><Relationship Id="rId1458" Type="http://schemas.openxmlformats.org/officeDocument/2006/relationships/hyperlink" Target="https://login.consultant.ru/link/?req=doc&amp;base=STR&amp;n=26941" TargetMode="External"/><Relationship Id="rId1665" Type="http://schemas.openxmlformats.org/officeDocument/2006/relationships/image" Target="media/image904.wmf"/><Relationship Id="rId1872" Type="http://schemas.openxmlformats.org/officeDocument/2006/relationships/image" Target="media/image1100.wmf"/><Relationship Id="rId2509" Type="http://schemas.openxmlformats.org/officeDocument/2006/relationships/image" Target="media/image1664.wmf"/><Relationship Id="rId2716" Type="http://schemas.openxmlformats.org/officeDocument/2006/relationships/hyperlink" Target="https://login.consultant.ru/link/?req=doc&amp;base=STR&amp;n=34159&amp;dst=100027" TargetMode="External"/><Relationship Id="rId1318" Type="http://schemas.openxmlformats.org/officeDocument/2006/relationships/hyperlink" Target="https://login.consultant.ru/link/?req=doc&amp;base=STR&amp;n=20899&amp;dst=100320" TargetMode="External"/><Relationship Id="rId1525" Type="http://schemas.openxmlformats.org/officeDocument/2006/relationships/hyperlink" Target="https://login.consultant.ru/link/?req=doc&amp;base=STR&amp;n=26765&amp;dst=101050" TargetMode="External"/><Relationship Id="rId2923" Type="http://schemas.openxmlformats.org/officeDocument/2006/relationships/image" Target="media/image1796.wmf"/><Relationship Id="rId1732" Type="http://schemas.openxmlformats.org/officeDocument/2006/relationships/hyperlink" Target="https://login.consultant.ru/link/?req=doc&amp;base=STR&amp;n=30774" TargetMode="External"/><Relationship Id="rId24" Type="http://schemas.openxmlformats.org/officeDocument/2006/relationships/hyperlink" Target="https://login.consultant.ru/link/?req=doc&amp;base=STR&amp;n=26765&amp;dst=100009" TargetMode="External"/><Relationship Id="rId2299" Type="http://schemas.openxmlformats.org/officeDocument/2006/relationships/image" Target="media/image1481.wmf"/><Relationship Id="rId3697" Type="http://schemas.openxmlformats.org/officeDocument/2006/relationships/hyperlink" Target="https://login.consultant.ru/link/?req=doc&amp;base=STR&amp;n=33799&amp;dst=101541" TargetMode="External"/><Relationship Id="rId3557" Type="http://schemas.openxmlformats.org/officeDocument/2006/relationships/image" Target="media/image2373.wmf"/><Relationship Id="rId3764" Type="http://schemas.openxmlformats.org/officeDocument/2006/relationships/image" Target="media/image2570.wmf"/><Relationship Id="rId3971" Type="http://schemas.openxmlformats.org/officeDocument/2006/relationships/image" Target="media/image2774.wmf"/><Relationship Id="rId478" Type="http://schemas.openxmlformats.org/officeDocument/2006/relationships/image" Target="media/image133.wmf"/><Relationship Id="rId685" Type="http://schemas.openxmlformats.org/officeDocument/2006/relationships/hyperlink" Target="https://login.consultant.ru/link/?req=doc&amp;base=STR&amp;n=20899&amp;dst=100195" TargetMode="External"/><Relationship Id="rId892" Type="http://schemas.openxmlformats.org/officeDocument/2006/relationships/image" Target="media/image409.wmf"/><Relationship Id="rId2159" Type="http://schemas.openxmlformats.org/officeDocument/2006/relationships/hyperlink" Target="https://login.consultant.ru/link/?req=doc&amp;base=STR&amp;n=33799&amp;dst=100953" TargetMode="External"/><Relationship Id="rId2366" Type="http://schemas.openxmlformats.org/officeDocument/2006/relationships/image" Target="media/image1546.wmf"/><Relationship Id="rId2573" Type="http://schemas.openxmlformats.org/officeDocument/2006/relationships/image" Target="media/image1722.wmf"/><Relationship Id="rId2780" Type="http://schemas.openxmlformats.org/officeDocument/2006/relationships/hyperlink" Target="https://login.consultant.ru/link/?req=doc&amp;base=STR&amp;n=30035" TargetMode="External"/><Relationship Id="rId3417" Type="http://schemas.openxmlformats.org/officeDocument/2006/relationships/image" Target="media/image2253.wmf"/><Relationship Id="rId3624" Type="http://schemas.openxmlformats.org/officeDocument/2006/relationships/image" Target="media/image2437.wmf"/><Relationship Id="rId3831" Type="http://schemas.openxmlformats.org/officeDocument/2006/relationships/image" Target="media/image2634.wmf"/><Relationship Id="rId338" Type="http://schemas.openxmlformats.org/officeDocument/2006/relationships/hyperlink" Target="https://login.consultant.ru/link/?req=doc&amp;base=STR&amp;n=33799&amp;dst=100224" TargetMode="External"/><Relationship Id="rId545" Type="http://schemas.openxmlformats.org/officeDocument/2006/relationships/image" Target="media/image178.wmf"/><Relationship Id="rId752" Type="http://schemas.openxmlformats.org/officeDocument/2006/relationships/image" Target="media/image287.wmf"/><Relationship Id="rId1175" Type="http://schemas.openxmlformats.org/officeDocument/2006/relationships/image" Target="media/image674.wmf"/><Relationship Id="rId1382" Type="http://schemas.openxmlformats.org/officeDocument/2006/relationships/hyperlink" Target="https://login.consultant.ru/link/?req=doc&amp;base=STR&amp;n=33799&amp;dst=100548" TargetMode="External"/><Relationship Id="rId2019" Type="http://schemas.openxmlformats.org/officeDocument/2006/relationships/image" Target="media/image1245.wmf"/><Relationship Id="rId2226" Type="http://schemas.openxmlformats.org/officeDocument/2006/relationships/image" Target="media/image1410.wmf"/><Relationship Id="rId2433" Type="http://schemas.openxmlformats.org/officeDocument/2006/relationships/image" Target="media/image1594.wmf"/><Relationship Id="rId2640" Type="http://schemas.openxmlformats.org/officeDocument/2006/relationships/hyperlink" Target="https://login.consultant.ru/link/?req=doc&amp;base=STR&amp;n=19618" TargetMode="External"/><Relationship Id="rId405" Type="http://schemas.openxmlformats.org/officeDocument/2006/relationships/image" Target="media/image81.wmf"/><Relationship Id="rId612" Type="http://schemas.openxmlformats.org/officeDocument/2006/relationships/hyperlink" Target="https://login.consultant.ru/link/?req=doc&amp;base=STR&amp;n=30822" TargetMode="External"/><Relationship Id="rId1035" Type="http://schemas.openxmlformats.org/officeDocument/2006/relationships/image" Target="media/image543.wmf"/><Relationship Id="rId1242" Type="http://schemas.openxmlformats.org/officeDocument/2006/relationships/image" Target="media/image735.wmf"/><Relationship Id="rId2500" Type="http://schemas.openxmlformats.org/officeDocument/2006/relationships/image" Target="media/image1655.wmf"/><Relationship Id="rId1102" Type="http://schemas.openxmlformats.org/officeDocument/2006/relationships/image" Target="media/image609.wmf"/><Relationship Id="rId3067" Type="http://schemas.openxmlformats.org/officeDocument/2006/relationships/image" Target="media/image1940.wmf"/><Relationship Id="rId3274" Type="http://schemas.openxmlformats.org/officeDocument/2006/relationships/image" Target="media/image2119.png"/><Relationship Id="rId195" Type="http://schemas.openxmlformats.org/officeDocument/2006/relationships/hyperlink" Target="https://login.consultant.ru/link/?req=doc&amp;base=STR&amp;n=33799&amp;dst=100143" TargetMode="External"/><Relationship Id="rId1919" Type="http://schemas.openxmlformats.org/officeDocument/2006/relationships/image" Target="media/image1147.wmf"/><Relationship Id="rId3481" Type="http://schemas.openxmlformats.org/officeDocument/2006/relationships/image" Target="media/image2304.wmf"/><Relationship Id="rId2083" Type="http://schemas.openxmlformats.org/officeDocument/2006/relationships/image" Target="media/image1309.wmf"/><Relationship Id="rId2290" Type="http://schemas.openxmlformats.org/officeDocument/2006/relationships/image" Target="media/image1474.wmf"/><Relationship Id="rId3134" Type="http://schemas.openxmlformats.org/officeDocument/2006/relationships/image" Target="media/image2007.wmf"/><Relationship Id="rId3341" Type="http://schemas.openxmlformats.org/officeDocument/2006/relationships/image" Target="media/image2183.wmf"/><Relationship Id="rId262" Type="http://schemas.openxmlformats.org/officeDocument/2006/relationships/hyperlink" Target="https://login.consultant.ru/link/?req=doc&amp;base=STR&amp;n=33799&amp;dst=100182" TargetMode="External"/><Relationship Id="rId2150" Type="http://schemas.openxmlformats.org/officeDocument/2006/relationships/hyperlink" Target="https://login.consultant.ru/link/?req=doc&amp;base=STR&amp;n=24542" TargetMode="External"/><Relationship Id="rId3201" Type="http://schemas.openxmlformats.org/officeDocument/2006/relationships/image" Target="media/image2046.wmf"/><Relationship Id="rId122" Type="http://schemas.openxmlformats.org/officeDocument/2006/relationships/hyperlink" Target="https://login.consultant.ru/link/?req=doc&amp;base=STR&amp;n=33799&amp;dst=100114" TargetMode="External"/><Relationship Id="rId2010" Type="http://schemas.openxmlformats.org/officeDocument/2006/relationships/image" Target="media/image1236.wmf"/><Relationship Id="rId1569" Type="http://schemas.openxmlformats.org/officeDocument/2006/relationships/image" Target="media/image819.wmf"/><Relationship Id="rId2967" Type="http://schemas.openxmlformats.org/officeDocument/2006/relationships/image" Target="media/image1840.wmf"/><Relationship Id="rId939" Type="http://schemas.openxmlformats.org/officeDocument/2006/relationships/image" Target="media/image450.wmf"/><Relationship Id="rId1776" Type="http://schemas.openxmlformats.org/officeDocument/2006/relationships/image" Target="media/image1011.wmf"/><Relationship Id="rId1983" Type="http://schemas.openxmlformats.org/officeDocument/2006/relationships/image" Target="media/image1209.wmf"/><Relationship Id="rId2827" Type="http://schemas.openxmlformats.org/officeDocument/2006/relationships/hyperlink" Target="https://login.consultant.ru/link/?req=doc&amp;base=STR&amp;n=26765&amp;dst=101153" TargetMode="External"/><Relationship Id="rId4042" Type="http://schemas.openxmlformats.org/officeDocument/2006/relationships/hyperlink" Target="https://login.consultant.ru/link/?req=doc&amp;base=STR&amp;n=26765&amp;dst=101589" TargetMode="External"/><Relationship Id="rId68" Type="http://schemas.openxmlformats.org/officeDocument/2006/relationships/image" Target="media/image1.wmf"/><Relationship Id="rId1429" Type="http://schemas.openxmlformats.org/officeDocument/2006/relationships/hyperlink" Target="https://login.consultant.ru/link/?req=doc&amp;base=STR&amp;n=28725" TargetMode="External"/><Relationship Id="rId1636" Type="http://schemas.openxmlformats.org/officeDocument/2006/relationships/image" Target="media/image875.wmf"/><Relationship Id="rId1843" Type="http://schemas.openxmlformats.org/officeDocument/2006/relationships/image" Target="media/image1072.wmf"/><Relationship Id="rId1703" Type="http://schemas.openxmlformats.org/officeDocument/2006/relationships/image" Target="media/image939.wmf"/><Relationship Id="rId1910" Type="http://schemas.openxmlformats.org/officeDocument/2006/relationships/image" Target="media/image1138.wmf"/><Relationship Id="rId3668" Type="http://schemas.openxmlformats.org/officeDocument/2006/relationships/image" Target="media/image2477.png"/><Relationship Id="rId3875" Type="http://schemas.openxmlformats.org/officeDocument/2006/relationships/image" Target="media/image2678.wmf"/><Relationship Id="rId589" Type="http://schemas.openxmlformats.org/officeDocument/2006/relationships/hyperlink" Target="https://login.consultant.ru/link/?req=doc&amp;base=STR&amp;n=20899&amp;dst=100182" TargetMode="External"/><Relationship Id="rId796" Type="http://schemas.openxmlformats.org/officeDocument/2006/relationships/image" Target="media/image319.wmf"/><Relationship Id="rId2477" Type="http://schemas.openxmlformats.org/officeDocument/2006/relationships/image" Target="media/image1632.wmf"/><Relationship Id="rId2684" Type="http://schemas.openxmlformats.org/officeDocument/2006/relationships/hyperlink" Target="https://login.consultant.ru/link/?req=doc&amp;base=STR&amp;n=18303" TargetMode="External"/><Relationship Id="rId3528" Type="http://schemas.openxmlformats.org/officeDocument/2006/relationships/image" Target="media/image2346.wmf"/><Relationship Id="rId3735" Type="http://schemas.openxmlformats.org/officeDocument/2006/relationships/image" Target="media/image2542.wmf"/><Relationship Id="rId449" Type="http://schemas.openxmlformats.org/officeDocument/2006/relationships/hyperlink" Target="https://login.consultant.ru/link/?req=doc&amp;base=STR&amp;n=26765&amp;dst=100154" TargetMode="External"/><Relationship Id="rId656" Type="http://schemas.openxmlformats.org/officeDocument/2006/relationships/image" Target="media/image246.wmf"/><Relationship Id="rId863" Type="http://schemas.openxmlformats.org/officeDocument/2006/relationships/image" Target="media/image380.wmf"/><Relationship Id="rId1079" Type="http://schemas.openxmlformats.org/officeDocument/2006/relationships/image" Target="media/image586.wmf"/><Relationship Id="rId1286" Type="http://schemas.openxmlformats.org/officeDocument/2006/relationships/image" Target="media/image775.wmf"/><Relationship Id="rId1493" Type="http://schemas.openxmlformats.org/officeDocument/2006/relationships/hyperlink" Target="https://login.consultant.ru/link/?req=doc&amp;base=STR&amp;n=2666" TargetMode="External"/><Relationship Id="rId2337" Type="http://schemas.openxmlformats.org/officeDocument/2006/relationships/image" Target="media/image1519.wmf"/><Relationship Id="rId2544" Type="http://schemas.openxmlformats.org/officeDocument/2006/relationships/image" Target="media/image1698.wmf"/><Relationship Id="rId2891" Type="http://schemas.openxmlformats.org/officeDocument/2006/relationships/image" Target="media/image1768.wmf"/><Relationship Id="rId3942" Type="http://schemas.openxmlformats.org/officeDocument/2006/relationships/image" Target="media/image2745.wmf"/><Relationship Id="rId309" Type="http://schemas.openxmlformats.org/officeDocument/2006/relationships/hyperlink" Target="https://login.consultant.ru/link/?req=doc&amp;base=STR&amp;n=20899&amp;dst=100106" TargetMode="External"/><Relationship Id="rId516" Type="http://schemas.openxmlformats.org/officeDocument/2006/relationships/image" Target="media/image162.wmf"/><Relationship Id="rId1146" Type="http://schemas.openxmlformats.org/officeDocument/2006/relationships/image" Target="media/image648.wmf"/><Relationship Id="rId2751" Type="http://schemas.openxmlformats.org/officeDocument/2006/relationships/hyperlink" Target="https://login.consultant.ru/link/?req=doc&amp;base=STR&amp;n=28669" TargetMode="External"/><Relationship Id="rId3802" Type="http://schemas.openxmlformats.org/officeDocument/2006/relationships/image" Target="media/image2607.wmf"/><Relationship Id="rId723" Type="http://schemas.openxmlformats.org/officeDocument/2006/relationships/hyperlink" Target="https://login.consultant.ru/link/?req=doc&amp;base=STR&amp;n=23223" TargetMode="External"/><Relationship Id="rId930" Type="http://schemas.openxmlformats.org/officeDocument/2006/relationships/image" Target="media/image441.wmf"/><Relationship Id="rId1006" Type="http://schemas.openxmlformats.org/officeDocument/2006/relationships/image" Target="media/image515.wmf"/><Relationship Id="rId1353" Type="http://schemas.openxmlformats.org/officeDocument/2006/relationships/hyperlink" Target="https://login.consultant.ru/link/?req=doc&amp;base=STR&amp;n=26765&amp;dst=100788" TargetMode="External"/><Relationship Id="rId1560" Type="http://schemas.openxmlformats.org/officeDocument/2006/relationships/hyperlink" Target="https://login.consultant.ru/link/?req=doc&amp;base=STR&amp;n=30774" TargetMode="External"/><Relationship Id="rId2404" Type="http://schemas.openxmlformats.org/officeDocument/2006/relationships/image" Target="media/image1584.wmf"/><Relationship Id="rId2611" Type="http://schemas.openxmlformats.org/officeDocument/2006/relationships/hyperlink" Target="https://login.consultant.ru/link/?req=doc&amp;base=STR&amp;n=26765&amp;dst=101118" TargetMode="External"/><Relationship Id="rId1213" Type="http://schemas.openxmlformats.org/officeDocument/2006/relationships/image" Target="media/image707.wmf"/><Relationship Id="rId1420" Type="http://schemas.openxmlformats.org/officeDocument/2006/relationships/hyperlink" Target="https://login.consultant.ru/link/?req=doc&amp;base=STR&amp;n=1363" TargetMode="External"/><Relationship Id="rId3178" Type="http://schemas.openxmlformats.org/officeDocument/2006/relationships/image" Target="media/image2023.wmf"/><Relationship Id="rId3385" Type="http://schemas.openxmlformats.org/officeDocument/2006/relationships/image" Target="media/image2226.wmf"/><Relationship Id="rId3592" Type="http://schemas.openxmlformats.org/officeDocument/2006/relationships/image" Target="media/image2408.wmf"/><Relationship Id="rId2194" Type="http://schemas.openxmlformats.org/officeDocument/2006/relationships/image" Target="media/image1391.wmf"/><Relationship Id="rId3038" Type="http://schemas.openxmlformats.org/officeDocument/2006/relationships/image" Target="media/image1911.wmf"/><Relationship Id="rId3245" Type="http://schemas.openxmlformats.org/officeDocument/2006/relationships/image" Target="media/image2090.wmf"/><Relationship Id="rId3452" Type="http://schemas.openxmlformats.org/officeDocument/2006/relationships/image" Target="media/image2286.wmf"/><Relationship Id="rId166" Type="http://schemas.openxmlformats.org/officeDocument/2006/relationships/hyperlink" Target="https://login.consultant.ru/link/?req=doc&amp;base=STR&amp;n=26765&amp;dst=100064" TargetMode="External"/><Relationship Id="rId373" Type="http://schemas.openxmlformats.org/officeDocument/2006/relationships/image" Target="media/image60.wmf"/><Relationship Id="rId580" Type="http://schemas.openxmlformats.org/officeDocument/2006/relationships/hyperlink" Target="https://login.consultant.ru/link/?req=doc&amp;base=STR&amp;n=20899&amp;dst=100175" TargetMode="External"/><Relationship Id="rId2054" Type="http://schemas.openxmlformats.org/officeDocument/2006/relationships/image" Target="media/image1280.wmf"/><Relationship Id="rId2261" Type="http://schemas.openxmlformats.org/officeDocument/2006/relationships/image" Target="media/image1445.wmf"/><Relationship Id="rId3105" Type="http://schemas.openxmlformats.org/officeDocument/2006/relationships/image" Target="media/image1978.wmf"/><Relationship Id="rId3312" Type="http://schemas.openxmlformats.org/officeDocument/2006/relationships/image" Target="media/image2156.wmf"/><Relationship Id="rId233" Type="http://schemas.openxmlformats.org/officeDocument/2006/relationships/hyperlink" Target="https://login.consultant.ru/link/?req=doc&amp;base=STR&amp;n=26765&amp;dst=100085" TargetMode="External"/><Relationship Id="rId440" Type="http://schemas.openxmlformats.org/officeDocument/2006/relationships/hyperlink" Target="https://login.consultant.ru/link/?req=doc&amp;base=STR&amp;n=26765&amp;dst=100152" TargetMode="External"/><Relationship Id="rId1070" Type="http://schemas.openxmlformats.org/officeDocument/2006/relationships/image" Target="media/image577.wmf"/><Relationship Id="rId2121" Type="http://schemas.openxmlformats.org/officeDocument/2006/relationships/image" Target="media/image1344.wmf"/><Relationship Id="rId300" Type="http://schemas.openxmlformats.org/officeDocument/2006/relationships/hyperlink" Target="https://login.consultant.ru/link/?req=doc&amp;base=STR&amp;n=20899&amp;dst=100101" TargetMode="External"/><Relationship Id="rId1887" Type="http://schemas.openxmlformats.org/officeDocument/2006/relationships/image" Target="media/image1115.wmf"/><Relationship Id="rId2938" Type="http://schemas.openxmlformats.org/officeDocument/2006/relationships/image" Target="media/image1811.wmf"/><Relationship Id="rId1747" Type="http://schemas.openxmlformats.org/officeDocument/2006/relationships/image" Target="media/image982.wmf"/><Relationship Id="rId1954" Type="http://schemas.openxmlformats.org/officeDocument/2006/relationships/image" Target="media/image1181.wmf"/><Relationship Id="rId39" Type="http://schemas.openxmlformats.org/officeDocument/2006/relationships/hyperlink" Target="https://login.consultant.ru/link/?req=doc&amp;base=STR&amp;n=20899&amp;dst=100016" TargetMode="External"/><Relationship Id="rId1607" Type="http://schemas.openxmlformats.org/officeDocument/2006/relationships/image" Target="media/image847.wmf"/><Relationship Id="rId1814" Type="http://schemas.openxmlformats.org/officeDocument/2006/relationships/image" Target="media/image1049.wmf"/><Relationship Id="rId4013" Type="http://schemas.openxmlformats.org/officeDocument/2006/relationships/image" Target="media/image2804.png"/><Relationship Id="rId3779" Type="http://schemas.openxmlformats.org/officeDocument/2006/relationships/image" Target="media/image2585.wmf"/><Relationship Id="rId2588" Type="http://schemas.openxmlformats.org/officeDocument/2006/relationships/hyperlink" Target="https://login.consultant.ru/link/?req=doc&amp;base=STR&amp;n=26765&amp;dst=101115" TargetMode="External"/><Relationship Id="rId3986" Type="http://schemas.openxmlformats.org/officeDocument/2006/relationships/image" Target="media/image2787.wmf"/><Relationship Id="rId1397" Type="http://schemas.openxmlformats.org/officeDocument/2006/relationships/hyperlink" Target="https://login.consultant.ru/link/?req=doc&amp;base=STR&amp;n=3055" TargetMode="External"/><Relationship Id="rId2795" Type="http://schemas.openxmlformats.org/officeDocument/2006/relationships/hyperlink" Target="https://login.consultant.ru/link/?req=doc&amp;base=STR&amp;n=31817" TargetMode="External"/><Relationship Id="rId3639" Type="http://schemas.openxmlformats.org/officeDocument/2006/relationships/image" Target="media/image2450.wmf"/><Relationship Id="rId3846" Type="http://schemas.openxmlformats.org/officeDocument/2006/relationships/image" Target="media/image2649.wmf"/><Relationship Id="rId767" Type="http://schemas.openxmlformats.org/officeDocument/2006/relationships/image" Target="media/image301.wmf"/><Relationship Id="rId974" Type="http://schemas.openxmlformats.org/officeDocument/2006/relationships/image" Target="media/image485.wmf"/><Relationship Id="rId2448" Type="http://schemas.openxmlformats.org/officeDocument/2006/relationships/image" Target="media/image1609.wmf"/><Relationship Id="rId2655" Type="http://schemas.openxmlformats.org/officeDocument/2006/relationships/hyperlink" Target="https://login.consultant.ru/link/?req=doc&amp;base=STR&amp;n=18833" TargetMode="External"/><Relationship Id="rId2862" Type="http://schemas.openxmlformats.org/officeDocument/2006/relationships/hyperlink" Target="https://login.consultant.ru/link/?req=doc&amp;base=STR&amp;n=20899&amp;dst=100761" TargetMode="External"/><Relationship Id="rId3706" Type="http://schemas.openxmlformats.org/officeDocument/2006/relationships/image" Target="media/image2513.wmf"/><Relationship Id="rId3913" Type="http://schemas.openxmlformats.org/officeDocument/2006/relationships/image" Target="media/image2716.wmf"/><Relationship Id="rId627" Type="http://schemas.openxmlformats.org/officeDocument/2006/relationships/hyperlink" Target="https://login.consultant.ru/link/?req=doc&amp;base=STR&amp;n=30822" TargetMode="External"/><Relationship Id="rId834" Type="http://schemas.openxmlformats.org/officeDocument/2006/relationships/image" Target="media/image357.wmf"/><Relationship Id="rId1257" Type="http://schemas.openxmlformats.org/officeDocument/2006/relationships/hyperlink" Target="https://login.consultant.ru/link/?req=doc&amp;base=STR&amp;n=26765&amp;dst=100671" TargetMode="External"/><Relationship Id="rId1464" Type="http://schemas.openxmlformats.org/officeDocument/2006/relationships/hyperlink" Target="https://login.consultant.ru/link/?req=doc&amp;base=STR&amp;n=28725&amp;dst=100543" TargetMode="External"/><Relationship Id="rId1671" Type="http://schemas.openxmlformats.org/officeDocument/2006/relationships/image" Target="media/image910.wmf"/><Relationship Id="rId2308" Type="http://schemas.openxmlformats.org/officeDocument/2006/relationships/image" Target="media/image1490.wmf"/><Relationship Id="rId2515" Type="http://schemas.openxmlformats.org/officeDocument/2006/relationships/image" Target="media/image1669.wmf"/><Relationship Id="rId2722" Type="http://schemas.openxmlformats.org/officeDocument/2006/relationships/hyperlink" Target="https://login.consultant.ru/link/?req=doc&amp;base=STR&amp;n=34159&amp;dst=100027" TargetMode="External"/><Relationship Id="rId901" Type="http://schemas.openxmlformats.org/officeDocument/2006/relationships/image" Target="media/image413.wmf"/><Relationship Id="rId1117" Type="http://schemas.openxmlformats.org/officeDocument/2006/relationships/image" Target="media/image622.wmf"/><Relationship Id="rId1324" Type="http://schemas.openxmlformats.org/officeDocument/2006/relationships/hyperlink" Target="https://login.consultant.ru/link/?req=doc&amp;base=STR&amp;n=20899&amp;dst=100330" TargetMode="External"/><Relationship Id="rId1531" Type="http://schemas.openxmlformats.org/officeDocument/2006/relationships/hyperlink" Target="https://login.consultant.ru/link/?req=doc&amp;base=STR&amp;n=25187" TargetMode="External"/><Relationship Id="rId30" Type="http://schemas.openxmlformats.org/officeDocument/2006/relationships/hyperlink" Target="https://login.consultant.ru/link/?req=doc&amp;base=STR&amp;n=20899&amp;dst=100010" TargetMode="External"/><Relationship Id="rId3289" Type="http://schemas.openxmlformats.org/officeDocument/2006/relationships/image" Target="media/image2134.wmf"/><Relationship Id="rId3496" Type="http://schemas.openxmlformats.org/officeDocument/2006/relationships/image" Target="media/image2319.wmf"/><Relationship Id="rId2098" Type="http://schemas.openxmlformats.org/officeDocument/2006/relationships/image" Target="media/image1322.wmf"/><Relationship Id="rId3149" Type="http://schemas.openxmlformats.org/officeDocument/2006/relationships/hyperlink" Target="https://login.consultant.ru/link/?req=doc&amp;base=STR&amp;n=28540&amp;dst=100226" TargetMode="External"/><Relationship Id="rId3356" Type="http://schemas.openxmlformats.org/officeDocument/2006/relationships/image" Target="media/image2197.wmf"/><Relationship Id="rId3563" Type="http://schemas.openxmlformats.org/officeDocument/2006/relationships/image" Target="media/image2379.wmf"/><Relationship Id="rId277" Type="http://schemas.openxmlformats.org/officeDocument/2006/relationships/hyperlink" Target="https://login.consultant.ru/link/?req=doc&amp;base=STR&amp;n=33689" TargetMode="External"/><Relationship Id="rId484" Type="http://schemas.openxmlformats.org/officeDocument/2006/relationships/image" Target="media/image138.wmf"/><Relationship Id="rId2165" Type="http://schemas.openxmlformats.org/officeDocument/2006/relationships/hyperlink" Target="https://login.consultant.ru/link/?req=doc&amp;base=STR&amp;n=28923" TargetMode="External"/><Relationship Id="rId3009" Type="http://schemas.openxmlformats.org/officeDocument/2006/relationships/image" Target="media/image1882.wmf"/><Relationship Id="rId3216" Type="http://schemas.openxmlformats.org/officeDocument/2006/relationships/image" Target="media/image2061.wmf"/><Relationship Id="rId3770" Type="http://schemas.openxmlformats.org/officeDocument/2006/relationships/image" Target="media/image2576.wmf"/><Relationship Id="rId137" Type="http://schemas.openxmlformats.org/officeDocument/2006/relationships/image" Target="media/image18.wmf"/><Relationship Id="rId344" Type="http://schemas.openxmlformats.org/officeDocument/2006/relationships/hyperlink" Target="https://login.consultant.ru/link/?req=doc&amp;base=STR&amp;n=14253" TargetMode="External"/><Relationship Id="rId691" Type="http://schemas.openxmlformats.org/officeDocument/2006/relationships/hyperlink" Target="https://login.consultant.ru/link/?req=doc&amp;base=STR&amp;n=24881&amp;dst=100050" TargetMode="External"/><Relationship Id="rId2025" Type="http://schemas.openxmlformats.org/officeDocument/2006/relationships/image" Target="media/image1251.wmf"/><Relationship Id="rId2372" Type="http://schemas.openxmlformats.org/officeDocument/2006/relationships/image" Target="media/image1552.wmf"/><Relationship Id="rId3423" Type="http://schemas.openxmlformats.org/officeDocument/2006/relationships/image" Target="media/image2259.wmf"/><Relationship Id="rId3630" Type="http://schemas.openxmlformats.org/officeDocument/2006/relationships/image" Target="media/image2442.wmf"/><Relationship Id="rId551" Type="http://schemas.openxmlformats.org/officeDocument/2006/relationships/image" Target="media/image182.wmf"/><Relationship Id="rId1181" Type="http://schemas.openxmlformats.org/officeDocument/2006/relationships/image" Target="media/image680.wmf"/><Relationship Id="rId2232" Type="http://schemas.openxmlformats.org/officeDocument/2006/relationships/image" Target="media/image1416.wmf"/><Relationship Id="rId204" Type="http://schemas.openxmlformats.org/officeDocument/2006/relationships/hyperlink" Target="https://login.consultant.ru/link/?req=doc&amp;base=STR&amp;n=33799&amp;dst=100148" TargetMode="External"/><Relationship Id="rId411" Type="http://schemas.openxmlformats.org/officeDocument/2006/relationships/image" Target="media/image87.wmf"/><Relationship Id="rId1041" Type="http://schemas.openxmlformats.org/officeDocument/2006/relationships/image" Target="media/image549.wmf"/><Relationship Id="rId1998" Type="http://schemas.openxmlformats.org/officeDocument/2006/relationships/image" Target="media/image1224.wmf"/><Relationship Id="rId1858" Type="http://schemas.openxmlformats.org/officeDocument/2006/relationships/image" Target="media/image1086.wmf"/><Relationship Id="rId4057" Type="http://schemas.openxmlformats.org/officeDocument/2006/relationships/hyperlink" Target="https://login.consultant.ru/link/?req=doc&amp;base=STR&amp;n=7602" TargetMode="External"/><Relationship Id="rId2909" Type="http://schemas.openxmlformats.org/officeDocument/2006/relationships/hyperlink" Target="https://login.consultant.ru/link/?req=doc&amp;base=STR&amp;n=24881&amp;dst=100227" TargetMode="External"/><Relationship Id="rId3073" Type="http://schemas.openxmlformats.org/officeDocument/2006/relationships/image" Target="media/image1946.wmf"/><Relationship Id="rId3280" Type="http://schemas.openxmlformats.org/officeDocument/2006/relationships/image" Target="media/image2125.wmf"/><Relationship Id="rId1718" Type="http://schemas.openxmlformats.org/officeDocument/2006/relationships/image" Target="media/image954.wmf"/><Relationship Id="rId1925" Type="http://schemas.openxmlformats.org/officeDocument/2006/relationships/image" Target="media/image1153.wmf"/><Relationship Id="rId3140" Type="http://schemas.openxmlformats.org/officeDocument/2006/relationships/image" Target="media/image2013.png"/><Relationship Id="rId2699" Type="http://schemas.openxmlformats.org/officeDocument/2006/relationships/hyperlink" Target="https://login.consultant.ru/link/?req=doc&amp;base=STR&amp;n=34159&amp;dst=100027" TargetMode="External"/><Relationship Id="rId3000" Type="http://schemas.openxmlformats.org/officeDocument/2006/relationships/image" Target="media/image1873.wmf"/><Relationship Id="rId3957" Type="http://schemas.openxmlformats.org/officeDocument/2006/relationships/image" Target="media/image2760.wmf"/><Relationship Id="rId878" Type="http://schemas.openxmlformats.org/officeDocument/2006/relationships/image" Target="media/image395.wmf"/><Relationship Id="rId2559" Type="http://schemas.openxmlformats.org/officeDocument/2006/relationships/image" Target="media/image1713.wmf"/><Relationship Id="rId2766" Type="http://schemas.openxmlformats.org/officeDocument/2006/relationships/hyperlink" Target="https://login.consultant.ru/link/?req=doc&amp;base=STR&amp;n=22061" TargetMode="External"/><Relationship Id="rId2973" Type="http://schemas.openxmlformats.org/officeDocument/2006/relationships/image" Target="media/image1846.wmf"/><Relationship Id="rId3817" Type="http://schemas.openxmlformats.org/officeDocument/2006/relationships/image" Target="media/image2620.wmf"/><Relationship Id="rId738" Type="http://schemas.openxmlformats.org/officeDocument/2006/relationships/hyperlink" Target="https://login.consultant.ru/link/?req=doc&amp;base=STR&amp;n=33799&amp;dst=100330" TargetMode="External"/><Relationship Id="rId945" Type="http://schemas.openxmlformats.org/officeDocument/2006/relationships/image" Target="media/image456.wmf"/><Relationship Id="rId1368" Type="http://schemas.openxmlformats.org/officeDocument/2006/relationships/hyperlink" Target="https://login.consultant.ru/link/?req=doc&amp;base=STR&amp;n=33799&amp;dst=100543" TargetMode="External"/><Relationship Id="rId1575" Type="http://schemas.openxmlformats.org/officeDocument/2006/relationships/image" Target="media/image823.wmf"/><Relationship Id="rId1782" Type="http://schemas.openxmlformats.org/officeDocument/2006/relationships/image" Target="media/image1017.wmf"/><Relationship Id="rId2419" Type="http://schemas.openxmlformats.org/officeDocument/2006/relationships/hyperlink" Target="https://login.consultant.ru/link/?req=doc&amp;base=STR&amp;n=21534" TargetMode="External"/><Relationship Id="rId2626" Type="http://schemas.openxmlformats.org/officeDocument/2006/relationships/hyperlink" Target="https://login.consultant.ru/link/?req=doc&amp;base=STR&amp;n=33228" TargetMode="External"/><Relationship Id="rId2833" Type="http://schemas.openxmlformats.org/officeDocument/2006/relationships/hyperlink" Target="https://login.consultant.ru/link/?req=doc&amp;base=STR&amp;n=20899&amp;dst=100761" TargetMode="External"/><Relationship Id="rId74" Type="http://schemas.openxmlformats.org/officeDocument/2006/relationships/hyperlink" Target="https://login.consultant.ru/link/?req=doc&amp;base=STR&amp;n=33799&amp;dst=100043" TargetMode="External"/><Relationship Id="rId805" Type="http://schemas.openxmlformats.org/officeDocument/2006/relationships/image" Target="media/image328.wmf"/><Relationship Id="rId1228" Type="http://schemas.openxmlformats.org/officeDocument/2006/relationships/image" Target="media/image722.wmf"/><Relationship Id="rId1435" Type="http://schemas.openxmlformats.org/officeDocument/2006/relationships/hyperlink" Target="https://login.consultant.ru/link/?req=doc&amp;base=STR&amp;n=28725" TargetMode="External"/><Relationship Id="rId1642" Type="http://schemas.openxmlformats.org/officeDocument/2006/relationships/image" Target="media/image881.wmf"/><Relationship Id="rId2900" Type="http://schemas.openxmlformats.org/officeDocument/2006/relationships/image" Target="media/image1777.wmf"/><Relationship Id="rId1502" Type="http://schemas.openxmlformats.org/officeDocument/2006/relationships/image" Target="media/image797.wmf"/><Relationship Id="rId388" Type="http://schemas.openxmlformats.org/officeDocument/2006/relationships/image" Target="media/image74.png"/><Relationship Id="rId2069" Type="http://schemas.openxmlformats.org/officeDocument/2006/relationships/image" Target="media/image1295.wmf"/><Relationship Id="rId3467" Type="http://schemas.openxmlformats.org/officeDocument/2006/relationships/hyperlink" Target="https://login.consultant.ru/link/?req=doc&amp;base=STR&amp;n=25187" TargetMode="External"/><Relationship Id="rId3674" Type="http://schemas.openxmlformats.org/officeDocument/2006/relationships/image" Target="media/image2483.wmf"/><Relationship Id="rId3881" Type="http://schemas.openxmlformats.org/officeDocument/2006/relationships/image" Target="media/image2684.wmf"/><Relationship Id="rId595" Type="http://schemas.openxmlformats.org/officeDocument/2006/relationships/image" Target="media/image200.wmf"/><Relationship Id="rId2276" Type="http://schemas.openxmlformats.org/officeDocument/2006/relationships/image" Target="media/image1460.wmf"/><Relationship Id="rId2483" Type="http://schemas.openxmlformats.org/officeDocument/2006/relationships/image" Target="media/image1638.wmf"/><Relationship Id="rId2690" Type="http://schemas.openxmlformats.org/officeDocument/2006/relationships/hyperlink" Target="https://login.consultant.ru/link/?req=doc&amp;base=STR&amp;n=1661" TargetMode="External"/><Relationship Id="rId3327" Type="http://schemas.openxmlformats.org/officeDocument/2006/relationships/image" Target="media/image2171.wmf"/><Relationship Id="rId3534" Type="http://schemas.openxmlformats.org/officeDocument/2006/relationships/image" Target="media/image2351.wmf"/><Relationship Id="rId3741" Type="http://schemas.openxmlformats.org/officeDocument/2006/relationships/image" Target="media/image2548.wmf"/><Relationship Id="rId248" Type="http://schemas.openxmlformats.org/officeDocument/2006/relationships/hyperlink" Target="https://login.consultant.ru/link/?req=doc&amp;base=STR&amp;n=33799&amp;dst=100177" TargetMode="External"/><Relationship Id="rId455" Type="http://schemas.openxmlformats.org/officeDocument/2006/relationships/image" Target="media/image114.wmf"/><Relationship Id="rId662" Type="http://schemas.openxmlformats.org/officeDocument/2006/relationships/image" Target="media/image251.wmf"/><Relationship Id="rId1085" Type="http://schemas.openxmlformats.org/officeDocument/2006/relationships/image" Target="media/image592.wmf"/><Relationship Id="rId1292" Type="http://schemas.openxmlformats.org/officeDocument/2006/relationships/image" Target="media/image781.wmf"/><Relationship Id="rId2136" Type="http://schemas.openxmlformats.org/officeDocument/2006/relationships/image" Target="media/image1358.wmf"/><Relationship Id="rId2343" Type="http://schemas.openxmlformats.org/officeDocument/2006/relationships/hyperlink" Target="https://login.consultant.ru/link/?req=doc&amp;base=STR&amp;n=33799&amp;dst=101031" TargetMode="External"/><Relationship Id="rId2550" Type="http://schemas.openxmlformats.org/officeDocument/2006/relationships/image" Target="media/image1704.wmf"/><Relationship Id="rId3601" Type="http://schemas.openxmlformats.org/officeDocument/2006/relationships/image" Target="media/image2416.wmf"/><Relationship Id="rId108" Type="http://schemas.openxmlformats.org/officeDocument/2006/relationships/hyperlink" Target="https://login.consultant.ru/link/?req=doc&amp;base=STR&amp;n=20741" TargetMode="External"/><Relationship Id="rId315" Type="http://schemas.openxmlformats.org/officeDocument/2006/relationships/image" Target="media/image37.wmf"/><Relationship Id="rId522" Type="http://schemas.openxmlformats.org/officeDocument/2006/relationships/image" Target="media/image164.wmf"/><Relationship Id="rId1152" Type="http://schemas.openxmlformats.org/officeDocument/2006/relationships/image" Target="media/image653.wmf"/><Relationship Id="rId2203" Type="http://schemas.openxmlformats.org/officeDocument/2006/relationships/image" Target="media/image1397.wmf"/><Relationship Id="rId2410" Type="http://schemas.openxmlformats.org/officeDocument/2006/relationships/image" Target="media/image1587.wmf"/><Relationship Id="rId1012" Type="http://schemas.openxmlformats.org/officeDocument/2006/relationships/image" Target="media/image521.wmf"/><Relationship Id="rId1969" Type="http://schemas.openxmlformats.org/officeDocument/2006/relationships/image" Target="media/image1196.wmf"/><Relationship Id="rId3184" Type="http://schemas.openxmlformats.org/officeDocument/2006/relationships/image" Target="media/image2029.wmf"/><Relationship Id="rId4028" Type="http://schemas.openxmlformats.org/officeDocument/2006/relationships/image" Target="media/image2819.wmf"/><Relationship Id="rId1829" Type="http://schemas.openxmlformats.org/officeDocument/2006/relationships/hyperlink" Target="https://login.consultant.ru/link/?req=doc&amp;base=STR&amp;n=33799&amp;dst=100926" TargetMode="External"/><Relationship Id="rId3391" Type="http://schemas.openxmlformats.org/officeDocument/2006/relationships/hyperlink" Target="https://login.consultant.ru/link/?req=doc&amp;base=STR&amp;n=20899&amp;dst=100949" TargetMode="External"/><Relationship Id="rId3044" Type="http://schemas.openxmlformats.org/officeDocument/2006/relationships/image" Target="media/image1917.wmf"/><Relationship Id="rId3251" Type="http://schemas.openxmlformats.org/officeDocument/2006/relationships/image" Target="media/image2096.wmf"/><Relationship Id="rId172" Type="http://schemas.openxmlformats.org/officeDocument/2006/relationships/hyperlink" Target="https://login.consultant.ru/link/?req=doc&amp;base=STR&amp;n=26765&amp;dst=100065" TargetMode="External"/><Relationship Id="rId2060" Type="http://schemas.openxmlformats.org/officeDocument/2006/relationships/image" Target="media/image1286.wmf"/><Relationship Id="rId3111" Type="http://schemas.openxmlformats.org/officeDocument/2006/relationships/image" Target="media/image1984.wmf"/><Relationship Id="rId989" Type="http://schemas.openxmlformats.org/officeDocument/2006/relationships/image" Target="media/image498.wmf"/><Relationship Id="rId2877" Type="http://schemas.openxmlformats.org/officeDocument/2006/relationships/image" Target="media/image1754.wmf"/><Relationship Id="rId849" Type="http://schemas.openxmlformats.org/officeDocument/2006/relationships/image" Target="media/image370.wmf"/><Relationship Id="rId1479" Type="http://schemas.openxmlformats.org/officeDocument/2006/relationships/hyperlink" Target="https://login.consultant.ru/link/?req=doc&amp;base=STR&amp;n=28725" TargetMode="External"/><Relationship Id="rId1686" Type="http://schemas.openxmlformats.org/officeDocument/2006/relationships/image" Target="media/image922.wmf"/><Relationship Id="rId3928" Type="http://schemas.openxmlformats.org/officeDocument/2006/relationships/image" Target="media/image2731.wmf"/><Relationship Id="rId1339" Type="http://schemas.openxmlformats.org/officeDocument/2006/relationships/hyperlink" Target="https://login.consultant.ru/link/?req=doc&amp;base=STR&amp;n=26765&amp;dst=100778" TargetMode="External"/><Relationship Id="rId1893" Type="http://schemas.openxmlformats.org/officeDocument/2006/relationships/image" Target="media/image1121.wmf"/><Relationship Id="rId2737" Type="http://schemas.openxmlformats.org/officeDocument/2006/relationships/hyperlink" Target="https://login.consultant.ru/link/?req=doc&amp;base=STR&amp;n=18833" TargetMode="External"/><Relationship Id="rId2944" Type="http://schemas.openxmlformats.org/officeDocument/2006/relationships/image" Target="media/image1817.wmf"/><Relationship Id="rId709" Type="http://schemas.openxmlformats.org/officeDocument/2006/relationships/image" Target="media/image281.wmf"/><Relationship Id="rId916" Type="http://schemas.openxmlformats.org/officeDocument/2006/relationships/image" Target="media/image427.wmf"/><Relationship Id="rId1546" Type="http://schemas.openxmlformats.org/officeDocument/2006/relationships/hyperlink" Target="https://login.consultant.ru/link/?req=doc&amp;base=STR&amp;n=28725" TargetMode="External"/><Relationship Id="rId1753" Type="http://schemas.openxmlformats.org/officeDocument/2006/relationships/image" Target="media/image988.wmf"/><Relationship Id="rId1960" Type="http://schemas.openxmlformats.org/officeDocument/2006/relationships/image" Target="media/image1187.wmf"/><Relationship Id="rId2804" Type="http://schemas.openxmlformats.org/officeDocument/2006/relationships/hyperlink" Target="https://login.consultant.ru/link/?req=doc&amp;base=STR&amp;n=33836" TargetMode="External"/><Relationship Id="rId45" Type="http://schemas.openxmlformats.org/officeDocument/2006/relationships/hyperlink" Target="https://login.consultant.ru/link/?req=doc&amp;base=STR&amp;n=33799&amp;dst=100034" TargetMode="External"/><Relationship Id="rId1406" Type="http://schemas.openxmlformats.org/officeDocument/2006/relationships/hyperlink" Target="https://login.consultant.ru/link/?req=doc&amp;base=STR&amp;n=25187" TargetMode="External"/><Relationship Id="rId1613" Type="http://schemas.openxmlformats.org/officeDocument/2006/relationships/image" Target="media/image852.wmf"/><Relationship Id="rId1820" Type="http://schemas.openxmlformats.org/officeDocument/2006/relationships/image" Target="media/image1053.wmf"/><Relationship Id="rId3578" Type="http://schemas.openxmlformats.org/officeDocument/2006/relationships/image" Target="media/image2394.wmf"/><Relationship Id="rId3785" Type="http://schemas.openxmlformats.org/officeDocument/2006/relationships/image" Target="media/image2591.wmf"/><Relationship Id="rId3992" Type="http://schemas.openxmlformats.org/officeDocument/2006/relationships/image" Target="media/image2793.wmf"/><Relationship Id="rId499" Type="http://schemas.openxmlformats.org/officeDocument/2006/relationships/image" Target="media/image150.wmf"/><Relationship Id="rId2387" Type="http://schemas.openxmlformats.org/officeDocument/2006/relationships/image" Target="media/image1567.wmf"/><Relationship Id="rId2594" Type="http://schemas.openxmlformats.org/officeDocument/2006/relationships/hyperlink" Target="https://login.consultant.ru/link/?req=doc&amp;base=STR&amp;n=28314" TargetMode="External"/><Relationship Id="rId3438" Type="http://schemas.openxmlformats.org/officeDocument/2006/relationships/hyperlink" Target="https://login.consultant.ru/link/?req=doc&amp;base=STR&amp;n=30822" TargetMode="External"/><Relationship Id="rId3645" Type="http://schemas.openxmlformats.org/officeDocument/2006/relationships/image" Target="media/image2455.wmf"/><Relationship Id="rId3852" Type="http://schemas.openxmlformats.org/officeDocument/2006/relationships/image" Target="media/image2655.wmf"/><Relationship Id="rId359" Type="http://schemas.openxmlformats.org/officeDocument/2006/relationships/image" Target="media/image47.wmf"/><Relationship Id="rId566" Type="http://schemas.openxmlformats.org/officeDocument/2006/relationships/hyperlink" Target="https://login.consultant.ru/link/?req=doc&amp;base=STR&amp;n=26765&amp;dst=100157" TargetMode="External"/><Relationship Id="rId773" Type="http://schemas.openxmlformats.org/officeDocument/2006/relationships/image" Target="media/image307.wmf"/><Relationship Id="rId1196" Type="http://schemas.openxmlformats.org/officeDocument/2006/relationships/image" Target="media/image691.wmf"/><Relationship Id="rId2247" Type="http://schemas.openxmlformats.org/officeDocument/2006/relationships/image" Target="media/image1431.wmf"/><Relationship Id="rId2454" Type="http://schemas.openxmlformats.org/officeDocument/2006/relationships/hyperlink" Target="https://login.consultant.ru/link/?req=doc&amp;base=STR&amp;n=26765&amp;dst=101111" TargetMode="External"/><Relationship Id="rId3505" Type="http://schemas.openxmlformats.org/officeDocument/2006/relationships/image" Target="media/image2326.wmf"/><Relationship Id="rId219" Type="http://schemas.openxmlformats.org/officeDocument/2006/relationships/hyperlink" Target="https://login.consultant.ru/link/?req=doc&amp;base=STR&amp;n=33799&amp;dst=100166" TargetMode="External"/><Relationship Id="rId426" Type="http://schemas.openxmlformats.org/officeDocument/2006/relationships/hyperlink" Target="https://login.consultant.ru/link/?req=doc&amp;base=STR&amp;n=20899&amp;dst=100145" TargetMode="External"/><Relationship Id="rId633" Type="http://schemas.openxmlformats.org/officeDocument/2006/relationships/image" Target="media/image223.wmf"/><Relationship Id="rId980" Type="http://schemas.openxmlformats.org/officeDocument/2006/relationships/image" Target="media/image490.wmf"/><Relationship Id="rId1056" Type="http://schemas.openxmlformats.org/officeDocument/2006/relationships/image" Target="media/image564.wmf"/><Relationship Id="rId1263" Type="http://schemas.openxmlformats.org/officeDocument/2006/relationships/image" Target="media/image755.wmf"/><Relationship Id="rId2107" Type="http://schemas.openxmlformats.org/officeDocument/2006/relationships/image" Target="media/image1330.wmf"/><Relationship Id="rId2314" Type="http://schemas.openxmlformats.org/officeDocument/2006/relationships/image" Target="media/image1496.wmf"/><Relationship Id="rId2661" Type="http://schemas.openxmlformats.org/officeDocument/2006/relationships/image" Target="media/image1739.wmf"/><Relationship Id="rId3712" Type="http://schemas.openxmlformats.org/officeDocument/2006/relationships/image" Target="media/image2519.wmf"/><Relationship Id="rId840" Type="http://schemas.openxmlformats.org/officeDocument/2006/relationships/image" Target="media/image363.wmf"/><Relationship Id="rId1470" Type="http://schemas.openxmlformats.org/officeDocument/2006/relationships/hyperlink" Target="https://login.consultant.ru/link/?req=doc&amp;base=STR&amp;n=26941" TargetMode="External"/><Relationship Id="rId2521" Type="http://schemas.openxmlformats.org/officeDocument/2006/relationships/image" Target="media/image1675.wmf"/><Relationship Id="rId700" Type="http://schemas.openxmlformats.org/officeDocument/2006/relationships/image" Target="media/image274.wmf"/><Relationship Id="rId1123" Type="http://schemas.openxmlformats.org/officeDocument/2006/relationships/image" Target="media/image628.wmf"/><Relationship Id="rId1330" Type="http://schemas.openxmlformats.org/officeDocument/2006/relationships/image" Target="media/image788.wmf"/><Relationship Id="rId3088" Type="http://schemas.openxmlformats.org/officeDocument/2006/relationships/image" Target="media/image1961.wmf"/><Relationship Id="rId3295" Type="http://schemas.openxmlformats.org/officeDocument/2006/relationships/image" Target="media/image2140.wmf"/><Relationship Id="rId3155" Type="http://schemas.openxmlformats.org/officeDocument/2006/relationships/hyperlink" Target="https://login.consultant.ru/link/?req=doc&amp;base=STR&amp;n=31815" TargetMode="External"/><Relationship Id="rId3362" Type="http://schemas.openxmlformats.org/officeDocument/2006/relationships/image" Target="media/image2203.wmf"/><Relationship Id="rId283" Type="http://schemas.openxmlformats.org/officeDocument/2006/relationships/hyperlink" Target="https://login.consultant.ru/link/?req=doc&amp;base=STR&amp;n=20899&amp;dst=100088" TargetMode="External"/><Relationship Id="rId490" Type="http://schemas.openxmlformats.org/officeDocument/2006/relationships/hyperlink" Target="https://login.consultant.ru/link/?req=doc&amp;base=STR&amp;n=34261" TargetMode="External"/><Relationship Id="rId2171" Type="http://schemas.openxmlformats.org/officeDocument/2006/relationships/image" Target="media/image1369.wmf"/><Relationship Id="rId3015" Type="http://schemas.openxmlformats.org/officeDocument/2006/relationships/image" Target="media/image1888.wmf"/><Relationship Id="rId3222" Type="http://schemas.openxmlformats.org/officeDocument/2006/relationships/image" Target="media/image2067.wmf"/><Relationship Id="rId143" Type="http://schemas.openxmlformats.org/officeDocument/2006/relationships/hyperlink" Target="https://login.consultant.ru/link/?req=doc&amp;base=STR&amp;n=33799&amp;dst=100116" TargetMode="External"/><Relationship Id="rId350" Type="http://schemas.openxmlformats.org/officeDocument/2006/relationships/image" Target="media/image40.wmf"/><Relationship Id="rId2031" Type="http://schemas.openxmlformats.org/officeDocument/2006/relationships/image" Target="media/image1257.wmf"/><Relationship Id="rId9" Type="http://schemas.openxmlformats.org/officeDocument/2006/relationships/hyperlink" Target="https://login.consultant.ru/link/?req=doc&amp;base=LAW&amp;n=276960&amp;dst=100005" TargetMode="External"/><Relationship Id="rId210" Type="http://schemas.openxmlformats.org/officeDocument/2006/relationships/hyperlink" Target="https://login.consultant.ru/link/?req=doc&amp;base=LAW&amp;n=348566" TargetMode="External"/><Relationship Id="rId2988" Type="http://schemas.openxmlformats.org/officeDocument/2006/relationships/image" Target="media/image1861.wmf"/><Relationship Id="rId1797" Type="http://schemas.openxmlformats.org/officeDocument/2006/relationships/image" Target="media/image1032.wmf"/><Relationship Id="rId2848" Type="http://schemas.openxmlformats.org/officeDocument/2006/relationships/hyperlink" Target="https://login.consultant.ru/link/?req=doc&amp;base=STR&amp;n=26765&amp;dst=101153" TargetMode="External"/><Relationship Id="rId89" Type="http://schemas.openxmlformats.org/officeDocument/2006/relationships/hyperlink" Target="https://login.consultant.ru/link/?req=doc&amp;base=STR&amp;n=33799&amp;dst=100056" TargetMode="External"/><Relationship Id="rId1657" Type="http://schemas.openxmlformats.org/officeDocument/2006/relationships/image" Target="media/image896.wmf"/><Relationship Id="rId1864" Type="http://schemas.openxmlformats.org/officeDocument/2006/relationships/image" Target="media/image1092.wmf"/><Relationship Id="rId2708" Type="http://schemas.openxmlformats.org/officeDocument/2006/relationships/hyperlink" Target="https://login.consultant.ru/link/?req=doc&amp;base=STR&amp;n=33560" TargetMode="External"/><Relationship Id="rId2915" Type="http://schemas.openxmlformats.org/officeDocument/2006/relationships/image" Target="media/image1788.wmf"/><Relationship Id="rId1517" Type="http://schemas.openxmlformats.org/officeDocument/2006/relationships/hyperlink" Target="https://login.consultant.ru/link/?req=doc&amp;base=STR&amp;n=25187" TargetMode="External"/><Relationship Id="rId1724" Type="http://schemas.openxmlformats.org/officeDocument/2006/relationships/image" Target="media/image960.wmf"/><Relationship Id="rId16" Type="http://schemas.openxmlformats.org/officeDocument/2006/relationships/hyperlink" Target="https://login.consultant.ru/link/?req=doc&amp;base=STR&amp;n=34159&amp;dst=100006" TargetMode="External"/><Relationship Id="rId1931" Type="http://schemas.openxmlformats.org/officeDocument/2006/relationships/image" Target="media/image1159.wmf"/><Relationship Id="rId3689" Type="http://schemas.openxmlformats.org/officeDocument/2006/relationships/image" Target="media/image2497.wmf"/><Relationship Id="rId3896" Type="http://schemas.openxmlformats.org/officeDocument/2006/relationships/image" Target="media/image2699.wmf"/><Relationship Id="rId2498" Type="http://schemas.openxmlformats.org/officeDocument/2006/relationships/image" Target="media/image1653.wmf"/><Relationship Id="rId3549" Type="http://schemas.openxmlformats.org/officeDocument/2006/relationships/image" Target="media/image2365.wmf"/><Relationship Id="rId677" Type="http://schemas.openxmlformats.org/officeDocument/2006/relationships/image" Target="media/image263.wmf"/><Relationship Id="rId2358" Type="http://schemas.openxmlformats.org/officeDocument/2006/relationships/image" Target="media/image1538.wmf"/><Relationship Id="rId3756" Type="http://schemas.openxmlformats.org/officeDocument/2006/relationships/image" Target="media/image2562.wmf"/><Relationship Id="rId3963" Type="http://schemas.openxmlformats.org/officeDocument/2006/relationships/image" Target="media/image2766.wmf"/><Relationship Id="rId884" Type="http://schemas.openxmlformats.org/officeDocument/2006/relationships/image" Target="media/image401.wmf"/><Relationship Id="rId2565" Type="http://schemas.openxmlformats.org/officeDocument/2006/relationships/image" Target="media/image1719.wmf"/><Relationship Id="rId2772" Type="http://schemas.openxmlformats.org/officeDocument/2006/relationships/hyperlink" Target="https://login.consultant.ru/link/?req=doc&amp;base=STR&amp;n=25722" TargetMode="External"/><Relationship Id="rId3409" Type="http://schemas.openxmlformats.org/officeDocument/2006/relationships/image" Target="media/image2246.wmf"/><Relationship Id="rId3616" Type="http://schemas.openxmlformats.org/officeDocument/2006/relationships/image" Target="media/image2429.wmf"/><Relationship Id="rId3823" Type="http://schemas.openxmlformats.org/officeDocument/2006/relationships/image" Target="media/image2626.wmf"/><Relationship Id="rId537" Type="http://schemas.openxmlformats.org/officeDocument/2006/relationships/hyperlink" Target="https://login.consultant.ru/link/?req=doc&amp;base=STR&amp;n=33799&amp;dst=100269" TargetMode="External"/><Relationship Id="rId744" Type="http://schemas.openxmlformats.org/officeDocument/2006/relationships/hyperlink" Target="https://login.consultant.ru/link/?req=doc&amp;base=STR&amp;n=6278" TargetMode="External"/><Relationship Id="rId951" Type="http://schemas.openxmlformats.org/officeDocument/2006/relationships/image" Target="media/image462.wmf"/><Relationship Id="rId1167" Type="http://schemas.openxmlformats.org/officeDocument/2006/relationships/image" Target="media/image666.wmf"/><Relationship Id="rId1374" Type="http://schemas.openxmlformats.org/officeDocument/2006/relationships/hyperlink" Target="https://login.consultant.ru/link/?req=doc&amp;base=STR&amp;n=20899&amp;dst=100353" TargetMode="External"/><Relationship Id="rId1581" Type="http://schemas.openxmlformats.org/officeDocument/2006/relationships/image" Target="media/image826.wmf"/><Relationship Id="rId2218" Type="http://schemas.openxmlformats.org/officeDocument/2006/relationships/image" Target="media/image1402.wmf"/><Relationship Id="rId2425" Type="http://schemas.openxmlformats.org/officeDocument/2006/relationships/hyperlink" Target="https://login.consultant.ru/link/?req=doc&amp;base=STR&amp;n=7520" TargetMode="External"/><Relationship Id="rId2632" Type="http://schemas.openxmlformats.org/officeDocument/2006/relationships/hyperlink" Target="https://login.consultant.ru/link/?req=doc&amp;base=STR&amp;n=33799&amp;dst=101055" TargetMode="External"/><Relationship Id="rId80" Type="http://schemas.openxmlformats.org/officeDocument/2006/relationships/hyperlink" Target="https://login.consultant.ru/link/?req=doc&amp;base=STR&amp;n=20899&amp;dst=100036" TargetMode="External"/><Relationship Id="rId604" Type="http://schemas.openxmlformats.org/officeDocument/2006/relationships/image" Target="media/image207.wmf"/><Relationship Id="rId811" Type="http://schemas.openxmlformats.org/officeDocument/2006/relationships/image" Target="media/image334.wmf"/><Relationship Id="rId1027" Type="http://schemas.openxmlformats.org/officeDocument/2006/relationships/image" Target="media/image536.wmf"/><Relationship Id="rId1234" Type="http://schemas.openxmlformats.org/officeDocument/2006/relationships/image" Target="media/image727.wmf"/><Relationship Id="rId1441" Type="http://schemas.openxmlformats.org/officeDocument/2006/relationships/hyperlink" Target="https://login.consultant.ru/link/?req=doc&amp;base=STR&amp;n=28725" TargetMode="External"/><Relationship Id="rId1301" Type="http://schemas.openxmlformats.org/officeDocument/2006/relationships/image" Target="media/image787.wmf"/><Relationship Id="rId3199" Type="http://schemas.openxmlformats.org/officeDocument/2006/relationships/image" Target="media/image2044.wmf"/><Relationship Id="rId3059" Type="http://schemas.openxmlformats.org/officeDocument/2006/relationships/image" Target="media/image1932.wmf"/><Relationship Id="rId3266" Type="http://schemas.openxmlformats.org/officeDocument/2006/relationships/image" Target="media/image2111.wmf"/><Relationship Id="rId3473" Type="http://schemas.openxmlformats.org/officeDocument/2006/relationships/image" Target="media/image2297.wmf"/><Relationship Id="rId187" Type="http://schemas.openxmlformats.org/officeDocument/2006/relationships/hyperlink" Target="https://login.consultant.ru/link/?req=doc&amp;base=STR&amp;n=20899&amp;dst=100065" TargetMode="External"/><Relationship Id="rId394" Type="http://schemas.openxmlformats.org/officeDocument/2006/relationships/hyperlink" Target="https://login.consultant.ru/link/?req=doc&amp;base=STR&amp;n=20899&amp;dst=100132" TargetMode="External"/><Relationship Id="rId2075" Type="http://schemas.openxmlformats.org/officeDocument/2006/relationships/image" Target="media/image1301.wmf"/><Relationship Id="rId2282" Type="http://schemas.openxmlformats.org/officeDocument/2006/relationships/image" Target="media/image1466.wmf"/><Relationship Id="rId3126" Type="http://schemas.openxmlformats.org/officeDocument/2006/relationships/image" Target="media/image1999.wmf"/><Relationship Id="rId3680" Type="http://schemas.openxmlformats.org/officeDocument/2006/relationships/image" Target="media/image2488.wmf"/><Relationship Id="rId254" Type="http://schemas.openxmlformats.org/officeDocument/2006/relationships/hyperlink" Target="https://login.consultant.ru/link/?req=doc&amp;base=STR&amp;n=20899&amp;dst=100085" TargetMode="External"/><Relationship Id="rId1091" Type="http://schemas.openxmlformats.org/officeDocument/2006/relationships/image" Target="media/image598.wmf"/><Relationship Id="rId3333" Type="http://schemas.openxmlformats.org/officeDocument/2006/relationships/image" Target="media/image2177.wmf"/><Relationship Id="rId3540" Type="http://schemas.openxmlformats.org/officeDocument/2006/relationships/hyperlink" Target="https://login.consultant.ru/link/?req=doc&amp;base=STR&amp;n=33799&amp;dst=101527" TargetMode="External"/><Relationship Id="rId114" Type="http://schemas.openxmlformats.org/officeDocument/2006/relationships/hyperlink" Target="https://login.consultant.ru/link/?req=doc&amp;base=STR&amp;n=30251" TargetMode="External"/><Relationship Id="rId461" Type="http://schemas.openxmlformats.org/officeDocument/2006/relationships/image" Target="media/image118.wmf"/><Relationship Id="rId2142" Type="http://schemas.openxmlformats.org/officeDocument/2006/relationships/image" Target="media/image1360.wmf"/><Relationship Id="rId3400" Type="http://schemas.openxmlformats.org/officeDocument/2006/relationships/image" Target="media/image2237.wmf"/><Relationship Id="rId321" Type="http://schemas.openxmlformats.org/officeDocument/2006/relationships/image" Target="media/image39.wmf"/><Relationship Id="rId2002" Type="http://schemas.openxmlformats.org/officeDocument/2006/relationships/image" Target="media/image1228.wmf"/><Relationship Id="rId2959" Type="http://schemas.openxmlformats.org/officeDocument/2006/relationships/image" Target="media/image1832.wmf"/><Relationship Id="rId1768" Type="http://schemas.openxmlformats.org/officeDocument/2006/relationships/image" Target="media/image1003.wmf"/><Relationship Id="rId2819" Type="http://schemas.openxmlformats.org/officeDocument/2006/relationships/hyperlink" Target="https://login.consultant.ru/link/?req=doc&amp;base=STR&amp;n=24881&amp;dst=100211" TargetMode="External"/><Relationship Id="rId1628" Type="http://schemas.openxmlformats.org/officeDocument/2006/relationships/image" Target="media/image867.wmf"/><Relationship Id="rId1975" Type="http://schemas.openxmlformats.org/officeDocument/2006/relationships/image" Target="media/image1202.wmf"/><Relationship Id="rId3190" Type="http://schemas.openxmlformats.org/officeDocument/2006/relationships/image" Target="media/image2035.wmf"/><Relationship Id="rId4034" Type="http://schemas.openxmlformats.org/officeDocument/2006/relationships/image" Target="media/image2825.wmf"/><Relationship Id="rId1835" Type="http://schemas.openxmlformats.org/officeDocument/2006/relationships/image" Target="media/image1064.wmf"/><Relationship Id="rId3050" Type="http://schemas.openxmlformats.org/officeDocument/2006/relationships/image" Target="media/image1923.wmf"/><Relationship Id="rId1902" Type="http://schemas.openxmlformats.org/officeDocument/2006/relationships/image" Target="media/image1130.wmf"/><Relationship Id="rId3867" Type="http://schemas.openxmlformats.org/officeDocument/2006/relationships/image" Target="media/image2670.wmf"/><Relationship Id="rId788" Type="http://schemas.openxmlformats.org/officeDocument/2006/relationships/hyperlink" Target="https://login.consultant.ru/link/?req=doc&amp;base=STR&amp;n=26765&amp;dst=100567" TargetMode="External"/><Relationship Id="rId995" Type="http://schemas.openxmlformats.org/officeDocument/2006/relationships/image" Target="media/image504.wmf"/><Relationship Id="rId2469" Type="http://schemas.openxmlformats.org/officeDocument/2006/relationships/image" Target="media/image1624.wmf"/><Relationship Id="rId2676" Type="http://schemas.openxmlformats.org/officeDocument/2006/relationships/hyperlink" Target="https://login.consultant.ru/link/?req=doc&amp;base=STR&amp;n=30774" TargetMode="External"/><Relationship Id="rId2883" Type="http://schemas.openxmlformats.org/officeDocument/2006/relationships/image" Target="media/image1760.wmf"/><Relationship Id="rId3727" Type="http://schemas.openxmlformats.org/officeDocument/2006/relationships/image" Target="media/image2534.wmf"/><Relationship Id="rId3934" Type="http://schemas.openxmlformats.org/officeDocument/2006/relationships/image" Target="media/image2737.wmf"/><Relationship Id="rId648" Type="http://schemas.openxmlformats.org/officeDocument/2006/relationships/image" Target="media/image238.wmf"/><Relationship Id="rId855" Type="http://schemas.openxmlformats.org/officeDocument/2006/relationships/image" Target="media/image376.wmf"/><Relationship Id="rId1278" Type="http://schemas.openxmlformats.org/officeDocument/2006/relationships/image" Target="media/image767.wmf"/><Relationship Id="rId1485" Type="http://schemas.openxmlformats.org/officeDocument/2006/relationships/hyperlink" Target="https://login.consultant.ru/link/?req=doc&amp;base=STR&amp;n=28725&amp;dst=100543" TargetMode="External"/><Relationship Id="rId1692" Type="http://schemas.openxmlformats.org/officeDocument/2006/relationships/image" Target="media/image928.wmf"/><Relationship Id="rId2329" Type="http://schemas.openxmlformats.org/officeDocument/2006/relationships/image" Target="media/image1511.wmf"/><Relationship Id="rId2536" Type="http://schemas.openxmlformats.org/officeDocument/2006/relationships/image" Target="media/image1690.wmf"/><Relationship Id="rId2743" Type="http://schemas.openxmlformats.org/officeDocument/2006/relationships/hyperlink" Target="https://login.consultant.ru/link/?req=doc&amp;base=STR&amp;n=19721" TargetMode="External"/><Relationship Id="rId508" Type="http://schemas.openxmlformats.org/officeDocument/2006/relationships/hyperlink" Target="https://login.consultant.ru/link/?req=doc&amp;base=STR&amp;n=28939" TargetMode="External"/><Relationship Id="rId715" Type="http://schemas.openxmlformats.org/officeDocument/2006/relationships/image" Target="media/image283.wmf"/><Relationship Id="rId922" Type="http://schemas.openxmlformats.org/officeDocument/2006/relationships/image" Target="media/image433.wmf"/><Relationship Id="rId1138" Type="http://schemas.openxmlformats.org/officeDocument/2006/relationships/image" Target="media/image640.wmf"/><Relationship Id="rId1345" Type="http://schemas.openxmlformats.org/officeDocument/2006/relationships/hyperlink" Target="https://login.consultant.ru/link/?req=doc&amp;base=STR&amp;n=26765&amp;dst=100780" TargetMode="External"/><Relationship Id="rId1552" Type="http://schemas.openxmlformats.org/officeDocument/2006/relationships/image" Target="media/image809.wmf"/><Relationship Id="rId2603" Type="http://schemas.openxmlformats.org/officeDocument/2006/relationships/image" Target="media/image1729.wmf"/><Relationship Id="rId2950" Type="http://schemas.openxmlformats.org/officeDocument/2006/relationships/image" Target="media/image1823.wmf"/><Relationship Id="rId1205" Type="http://schemas.openxmlformats.org/officeDocument/2006/relationships/image" Target="media/image699.wmf"/><Relationship Id="rId2810" Type="http://schemas.openxmlformats.org/officeDocument/2006/relationships/hyperlink" Target="https://login.consultant.ru/link/?req=doc&amp;base=STR&amp;n=30210" TargetMode="External"/><Relationship Id="rId51" Type="http://schemas.openxmlformats.org/officeDocument/2006/relationships/hyperlink" Target="https://login.consultant.ru/link/?req=doc&amp;base=STR&amp;n=33799&amp;dst=100037" TargetMode="External"/><Relationship Id="rId1412" Type="http://schemas.openxmlformats.org/officeDocument/2006/relationships/hyperlink" Target="https://login.consultant.ru/link/?req=doc&amp;base=STR&amp;n=4954" TargetMode="External"/><Relationship Id="rId3377" Type="http://schemas.openxmlformats.org/officeDocument/2006/relationships/image" Target="media/image2218.wmf"/><Relationship Id="rId298" Type="http://schemas.openxmlformats.org/officeDocument/2006/relationships/hyperlink" Target="https://login.consultant.ru/link/?req=doc&amp;base=STR&amp;n=33799&amp;dst=100197" TargetMode="External"/><Relationship Id="rId3584" Type="http://schemas.openxmlformats.org/officeDocument/2006/relationships/image" Target="media/image2400.wmf"/><Relationship Id="rId3791" Type="http://schemas.openxmlformats.org/officeDocument/2006/relationships/image" Target="media/image2597.wmf"/><Relationship Id="rId158" Type="http://schemas.openxmlformats.org/officeDocument/2006/relationships/image" Target="media/image25.wmf"/><Relationship Id="rId2186" Type="http://schemas.openxmlformats.org/officeDocument/2006/relationships/image" Target="media/image1383.wmf"/><Relationship Id="rId2393" Type="http://schemas.openxmlformats.org/officeDocument/2006/relationships/image" Target="media/image1573.wmf"/><Relationship Id="rId3237" Type="http://schemas.openxmlformats.org/officeDocument/2006/relationships/image" Target="media/image2082.wmf"/><Relationship Id="rId3444" Type="http://schemas.openxmlformats.org/officeDocument/2006/relationships/image" Target="media/image2278.wmf"/><Relationship Id="rId3651" Type="http://schemas.openxmlformats.org/officeDocument/2006/relationships/image" Target="media/image2461.wmf"/><Relationship Id="rId365" Type="http://schemas.openxmlformats.org/officeDocument/2006/relationships/image" Target="media/image52.wmf"/><Relationship Id="rId572" Type="http://schemas.openxmlformats.org/officeDocument/2006/relationships/image" Target="media/image187.wmf"/><Relationship Id="rId2046" Type="http://schemas.openxmlformats.org/officeDocument/2006/relationships/image" Target="media/image1272.png"/><Relationship Id="rId2253" Type="http://schemas.openxmlformats.org/officeDocument/2006/relationships/image" Target="media/image1437.wmf"/><Relationship Id="rId2460" Type="http://schemas.openxmlformats.org/officeDocument/2006/relationships/image" Target="media/image1617.wmf"/><Relationship Id="rId3304" Type="http://schemas.openxmlformats.org/officeDocument/2006/relationships/image" Target="media/image2149.wmf"/><Relationship Id="rId3511" Type="http://schemas.openxmlformats.org/officeDocument/2006/relationships/image" Target="media/image2332.wmf"/><Relationship Id="rId225" Type="http://schemas.openxmlformats.org/officeDocument/2006/relationships/hyperlink" Target="https://login.consultant.ru/link/?req=doc&amp;base=STR&amp;n=33799&amp;dst=100169" TargetMode="External"/><Relationship Id="rId432" Type="http://schemas.openxmlformats.org/officeDocument/2006/relationships/image" Target="media/image103.wmf"/><Relationship Id="rId1062" Type="http://schemas.openxmlformats.org/officeDocument/2006/relationships/image" Target="media/image569.wmf"/><Relationship Id="rId2113" Type="http://schemas.openxmlformats.org/officeDocument/2006/relationships/image" Target="media/image1336.wmf"/><Relationship Id="rId2320" Type="http://schemas.openxmlformats.org/officeDocument/2006/relationships/image" Target="media/image1502.wmf"/><Relationship Id="rId1879" Type="http://schemas.openxmlformats.org/officeDocument/2006/relationships/image" Target="media/image1107.wmf"/><Relationship Id="rId3094" Type="http://schemas.openxmlformats.org/officeDocument/2006/relationships/image" Target="media/image1967.wmf"/><Relationship Id="rId1739" Type="http://schemas.openxmlformats.org/officeDocument/2006/relationships/image" Target="media/image974.wmf"/><Relationship Id="rId1946" Type="http://schemas.openxmlformats.org/officeDocument/2006/relationships/image" Target="media/image1173.wmf"/><Relationship Id="rId4005" Type="http://schemas.openxmlformats.org/officeDocument/2006/relationships/hyperlink" Target="https://login.consultant.ru/link/?req=doc&amp;base=STR&amp;n=20899&amp;dst=100973" TargetMode="External"/><Relationship Id="rId1806" Type="http://schemas.openxmlformats.org/officeDocument/2006/relationships/image" Target="media/image1041.wmf"/><Relationship Id="rId3161" Type="http://schemas.openxmlformats.org/officeDocument/2006/relationships/hyperlink" Target="https://login.consultant.ru/link/?req=doc&amp;base=STR&amp;n=29176" TargetMode="External"/><Relationship Id="rId3021" Type="http://schemas.openxmlformats.org/officeDocument/2006/relationships/image" Target="media/image1894.wmf"/><Relationship Id="rId3978" Type="http://schemas.openxmlformats.org/officeDocument/2006/relationships/image" Target="media/image2781.wmf"/><Relationship Id="rId899" Type="http://schemas.openxmlformats.org/officeDocument/2006/relationships/image" Target="media/image411.wmf"/><Relationship Id="rId2787" Type="http://schemas.openxmlformats.org/officeDocument/2006/relationships/hyperlink" Target="https://login.consultant.ru/link/?req=doc&amp;base=STR&amp;n=29126" TargetMode="External"/><Relationship Id="rId3838" Type="http://schemas.openxmlformats.org/officeDocument/2006/relationships/image" Target="media/image2641.wmf"/><Relationship Id="rId759" Type="http://schemas.openxmlformats.org/officeDocument/2006/relationships/image" Target="media/image294.wmf"/><Relationship Id="rId966" Type="http://schemas.openxmlformats.org/officeDocument/2006/relationships/image" Target="media/image477.wmf"/><Relationship Id="rId1389" Type="http://schemas.openxmlformats.org/officeDocument/2006/relationships/hyperlink" Target="https://login.consultant.ru/link/?req=doc&amp;base=STR&amp;n=20899&amp;dst=100357" TargetMode="External"/><Relationship Id="rId1596" Type="http://schemas.openxmlformats.org/officeDocument/2006/relationships/image" Target="media/image838.wmf"/><Relationship Id="rId2647" Type="http://schemas.openxmlformats.org/officeDocument/2006/relationships/hyperlink" Target="https://login.consultant.ru/link/?req=doc&amp;base=STR&amp;n=33799&amp;dst=101062" TargetMode="External"/><Relationship Id="rId2994" Type="http://schemas.openxmlformats.org/officeDocument/2006/relationships/image" Target="media/image1867.wmf"/><Relationship Id="rId619" Type="http://schemas.openxmlformats.org/officeDocument/2006/relationships/image" Target="media/image211.wmf"/><Relationship Id="rId1249" Type="http://schemas.openxmlformats.org/officeDocument/2006/relationships/image" Target="media/image742.wmf"/><Relationship Id="rId2854" Type="http://schemas.openxmlformats.org/officeDocument/2006/relationships/hyperlink" Target="https://login.consultant.ru/link/?req=doc&amp;base=STR&amp;n=26765&amp;dst=101153" TargetMode="External"/><Relationship Id="rId3905" Type="http://schemas.openxmlformats.org/officeDocument/2006/relationships/image" Target="media/image2708.wmf"/><Relationship Id="rId95" Type="http://schemas.openxmlformats.org/officeDocument/2006/relationships/image" Target="media/image4.wmf"/><Relationship Id="rId826" Type="http://schemas.openxmlformats.org/officeDocument/2006/relationships/image" Target="media/image349.wmf"/><Relationship Id="rId1109" Type="http://schemas.openxmlformats.org/officeDocument/2006/relationships/image" Target="media/image614.wmf"/><Relationship Id="rId1456" Type="http://schemas.openxmlformats.org/officeDocument/2006/relationships/hyperlink" Target="https://login.consultant.ru/link/?req=doc&amp;base=STR&amp;n=26941" TargetMode="External"/><Relationship Id="rId1663" Type="http://schemas.openxmlformats.org/officeDocument/2006/relationships/image" Target="media/image902.wmf"/><Relationship Id="rId1870" Type="http://schemas.openxmlformats.org/officeDocument/2006/relationships/image" Target="media/image1098.wmf"/><Relationship Id="rId2507" Type="http://schemas.openxmlformats.org/officeDocument/2006/relationships/image" Target="media/image1662.wmf"/><Relationship Id="rId2714" Type="http://schemas.openxmlformats.org/officeDocument/2006/relationships/hyperlink" Target="https://login.consultant.ru/link/?req=doc&amp;base=STR&amp;n=23988" TargetMode="External"/><Relationship Id="rId2921" Type="http://schemas.openxmlformats.org/officeDocument/2006/relationships/image" Target="media/image1794.wmf"/><Relationship Id="rId1316" Type="http://schemas.openxmlformats.org/officeDocument/2006/relationships/hyperlink" Target="https://login.consultant.ru/link/?req=doc&amp;base=STR&amp;n=20899&amp;dst=100319" TargetMode="External"/><Relationship Id="rId1523" Type="http://schemas.openxmlformats.org/officeDocument/2006/relationships/hyperlink" Target="https://login.consultant.ru/link/?req=doc&amp;base=STR&amp;n=28725" TargetMode="External"/><Relationship Id="rId1730" Type="http://schemas.openxmlformats.org/officeDocument/2006/relationships/image" Target="media/image966.wmf"/><Relationship Id="rId22" Type="http://schemas.openxmlformats.org/officeDocument/2006/relationships/hyperlink" Target="https://login.consultant.ru/link/?req=doc&amp;base=LAW&amp;n=465775" TargetMode="External"/><Relationship Id="rId3488" Type="http://schemas.openxmlformats.org/officeDocument/2006/relationships/image" Target="media/image2311.wmf"/><Relationship Id="rId3695" Type="http://schemas.openxmlformats.org/officeDocument/2006/relationships/image" Target="media/image2503.wmf"/><Relationship Id="rId2297" Type="http://schemas.openxmlformats.org/officeDocument/2006/relationships/hyperlink" Target="https://login.consultant.ru/link/?req=doc&amp;base=STR&amp;n=33799&amp;dst=101030" TargetMode="External"/><Relationship Id="rId3348" Type="http://schemas.openxmlformats.org/officeDocument/2006/relationships/image" Target="media/image2189.wmf"/><Relationship Id="rId3555" Type="http://schemas.openxmlformats.org/officeDocument/2006/relationships/image" Target="media/image2371.wmf"/><Relationship Id="rId3762" Type="http://schemas.openxmlformats.org/officeDocument/2006/relationships/image" Target="media/image2568.wmf"/><Relationship Id="rId269" Type="http://schemas.openxmlformats.org/officeDocument/2006/relationships/hyperlink" Target="https://login.consultant.ru/link/?req=doc&amp;base=STR&amp;n=30822" TargetMode="External"/><Relationship Id="rId476" Type="http://schemas.openxmlformats.org/officeDocument/2006/relationships/image" Target="media/image131.wmf"/><Relationship Id="rId683" Type="http://schemas.openxmlformats.org/officeDocument/2006/relationships/image" Target="media/image269.wmf"/><Relationship Id="rId890" Type="http://schemas.openxmlformats.org/officeDocument/2006/relationships/image" Target="media/image407.wmf"/><Relationship Id="rId2157" Type="http://schemas.openxmlformats.org/officeDocument/2006/relationships/hyperlink" Target="https://login.consultant.ru/link/?req=doc&amp;base=STR&amp;n=26765&amp;dst=101077" TargetMode="External"/><Relationship Id="rId2364" Type="http://schemas.openxmlformats.org/officeDocument/2006/relationships/image" Target="media/image1544.wmf"/><Relationship Id="rId2571" Type="http://schemas.openxmlformats.org/officeDocument/2006/relationships/hyperlink" Target="https://login.consultant.ru/link/?req=doc&amp;base=STR&amp;n=20899&amp;dst=100711" TargetMode="External"/><Relationship Id="rId3208" Type="http://schemas.openxmlformats.org/officeDocument/2006/relationships/image" Target="media/image2053.wmf"/><Relationship Id="rId3415" Type="http://schemas.openxmlformats.org/officeDocument/2006/relationships/image" Target="media/image2251.wmf"/><Relationship Id="rId129" Type="http://schemas.openxmlformats.org/officeDocument/2006/relationships/image" Target="media/image10.wmf"/><Relationship Id="rId336" Type="http://schemas.openxmlformats.org/officeDocument/2006/relationships/hyperlink" Target="https://login.consultant.ru/link/?req=doc&amp;base=STR&amp;n=33799&amp;dst=100222" TargetMode="External"/><Relationship Id="rId543" Type="http://schemas.openxmlformats.org/officeDocument/2006/relationships/image" Target="media/image176.wmf"/><Relationship Id="rId1173" Type="http://schemas.openxmlformats.org/officeDocument/2006/relationships/image" Target="media/image672.wmf"/><Relationship Id="rId1380" Type="http://schemas.openxmlformats.org/officeDocument/2006/relationships/hyperlink" Target="https://login.consultant.ru/link/?req=doc&amp;base=STR&amp;n=33799&amp;dst=100547" TargetMode="External"/><Relationship Id="rId2017" Type="http://schemas.openxmlformats.org/officeDocument/2006/relationships/image" Target="media/image1243.wmf"/><Relationship Id="rId2224" Type="http://schemas.openxmlformats.org/officeDocument/2006/relationships/image" Target="media/image1408.wmf"/><Relationship Id="rId3622" Type="http://schemas.openxmlformats.org/officeDocument/2006/relationships/image" Target="media/image2435.wmf"/><Relationship Id="rId403" Type="http://schemas.openxmlformats.org/officeDocument/2006/relationships/image" Target="media/image79.wmf"/><Relationship Id="rId750" Type="http://schemas.openxmlformats.org/officeDocument/2006/relationships/hyperlink" Target="https://login.consultant.ru/link/?req=doc&amp;base=STR&amp;n=26765&amp;dst=100564" TargetMode="External"/><Relationship Id="rId1033" Type="http://schemas.openxmlformats.org/officeDocument/2006/relationships/image" Target="media/image541.wmf"/><Relationship Id="rId2431" Type="http://schemas.openxmlformats.org/officeDocument/2006/relationships/image" Target="media/image1592.wmf"/><Relationship Id="rId610" Type="http://schemas.openxmlformats.org/officeDocument/2006/relationships/hyperlink" Target="https://login.consultant.ru/link/?req=doc&amp;base=STR&amp;n=20899&amp;dst=100184" TargetMode="External"/><Relationship Id="rId1240" Type="http://schemas.openxmlformats.org/officeDocument/2006/relationships/image" Target="media/image733.wmf"/><Relationship Id="rId4049" Type="http://schemas.openxmlformats.org/officeDocument/2006/relationships/hyperlink" Target="https://login.consultant.ru/link/?req=doc&amp;base=STR&amp;n=33799&amp;dst=101984" TargetMode="External"/><Relationship Id="rId1100" Type="http://schemas.openxmlformats.org/officeDocument/2006/relationships/image" Target="media/image607.png"/><Relationship Id="rId1917" Type="http://schemas.openxmlformats.org/officeDocument/2006/relationships/image" Target="media/image1145.wmf"/><Relationship Id="rId3065" Type="http://schemas.openxmlformats.org/officeDocument/2006/relationships/image" Target="media/image1938.wmf"/><Relationship Id="rId3272" Type="http://schemas.openxmlformats.org/officeDocument/2006/relationships/image" Target="media/image2117.wmf"/><Relationship Id="rId193" Type="http://schemas.openxmlformats.org/officeDocument/2006/relationships/hyperlink" Target="https://login.consultant.ru/link/?req=doc&amp;base=STR&amp;n=20741" TargetMode="External"/><Relationship Id="rId2081" Type="http://schemas.openxmlformats.org/officeDocument/2006/relationships/image" Target="media/image1307.wmf"/><Relationship Id="rId3132" Type="http://schemas.openxmlformats.org/officeDocument/2006/relationships/image" Target="media/image2005.wmf"/><Relationship Id="rId260" Type="http://schemas.openxmlformats.org/officeDocument/2006/relationships/hyperlink" Target="https://login.consultant.ru/link/?req=doc&amp;base=STR&amp;n=24125" TargetMode="External"/><Relationship Id="rId120" Type="http://schemas.openxmlformats.org/officeDocument/2006/relationships/hyperlink" Target="https://login.consultant.ru/link/?req=doc&amp;base=STR&amp;n=26765&amp;dst=100052" TargetMode="External"/><Relationship Id="rId2898" Type="http://schemas.openxmlformats.org/officeDocument/2006/relationships/image" Target="media/image1775.wmf"/><Relationship Id="rId3949" Type="http://schemas.openxmlformats.org/officeDocument/2006/relationships/image" Target="media/image2752.wmf"/><Relationship Id="rId2758" Type="http://schemas.openxmlformats.org/officeDocument/2006/relationships/hyperlink" Target="https://login.consultant.ru/link/?req=doc&amp;base=STR&amp;n=25572" TargetMode="External"/><Relationship Id="rId2965" Type="http://schemas.openxmlformats.org/officeDocument/2006/relationships/image" Target="media/image1838.wmf"/><Relationship Id="rId3809" Type="http://schemas.openxmlformats.org/officeDocument/2006/relationships/image" Target="media/image2612.wmf"/><Relationship Id="rId937" Type="http://schemas.openxmlformats.org/officeDocument/2006/relationships/image" Target="media/image448.wmf"/><Relationship Id="rId1567" Type="http://schemas.openxmlformats.org/officeDocument/2006/relationships/hyperlink" Target="https://login.consultant.ru/link/?req=doc&amp;base=STR&amp;n=26765&amp;dst=101054" TargetMode="External"/><Relationship Id="rId1774" Type="http://schemas.openxmlformats.org/officeDocument/2006/relationships/image" Target="media/image1009.wmf"/><Relationship Id="rId1981" Type="http://schemas.openxmlformats.org/officeDocument/2006/relationships/image" Target="media/image1207.wmf"/><Relationship Id="rId2618" Type="http://schemas.openxmlformats.org/officeDocument/2006/relationships/image" Target="media/image1734.wmf"/><Relationship Id="rId2825" Type="http://schemas.openxmlformats.org/officeDocument/2006/relationships/hyperlink" Target="https://login.consultant.ru/link/?req=doc&amp;base=STR&amp;n=26765&amp;dst=101153" TargetMode="External"/><Relationship Id="rId66" Type="http://schemas.openxmlformats.org/officeDocument/2006/relationships/hyperlink" Target="https://login.consultant.ru/link/?req=doc&amp;base=STR&amp;n=26765&amp;dst=100033" TargetMode="External"/><Relationship Id="rId1427" Type="http://schemas.openxmlformats.org/officeDocument/2006/relationships/hyperlink" Target="https://login.consultant.ru/link/?req=doc&amp;base=STR&amp;n=28725" TargetMode="External"/><Relationship Id="rId1634" Type="http://schemas.openxmlformats.org/officeDocument/2006/relationships/image" Target="media/image873.wmf"/><Relationship Id="rId1841" Type="http://schemas.openxmlformats.org/officeDocument/2006/relationships/image" Target="media/image1070.wmf"/><Relationship Id="rId4040" Type="http://schemas.openxmlformats.org/officeDocument/2006/relationships/hyperlink" Target="https://login.consultant.ru/link/?req=doc&amp;base=STR&amp;n=17617" TargetMode="External"/><Relationship Id="rId3599" Type="http://schemas.openxmlformats.org/officeDocument/2006/relationships/image" Target="media/image2414.wmf"/><Relationship Id="rId1701" Type="http://schemas.openxmlformats.org/officeDocument/2006/relationships/image" Target="media/image937.wmf"/><Relationship Id="rId3459" Type="http://schemas.openxmlformats.org/officeDocument/2006/relationships/hyperlink" Target="https://login.consultant.ru/link/?req=doc&amp;base=STR&amp;n=4954" TargetMode="External"/><Relationship Id="rId3666" Type="http://schemas.openxmlformats.org/officeDocument/2006/relationships/image" Target="media/image2475.png"/><Relationship Id="rId587" Type="http://schemas.openxmlformats.org/officeDocument/2006/relationships/image" Target="media/image194.wmf"/><Relationship Id="rId2268" Type="http://schemas.openxmlformats.org/officeDocument/2006/relationships/image" Target="media/image1452.wmf"/><Relationship Id="rId3319" Type="http://schemas.openxmlformats.org/officeDocument/2006/relationships/image" Target="media/image2163.wmf"/><Relationship Id="rId3873" Type="http://schemas.openxmlformats.org/officeDocument/2006/relationships/image" Target="media/image2676.wmf"/><Relationship Id="rId447" Type="http://schemas.openxmlformats.org/officeDocument/2006/relationships/image" Target="media/image108.wmf"/><Relationship Id="rId794" Type="http://schemas.openxmlformats.org/officeDocument/2006/relationships/hyperlink" Target="https://login.consultant.ru/link/?req=doc&amp;base=STR&amp;n=26765&amp;dst=100584" TargetMode="External"/><Relationship Id="rId1077" Type="http://schemas.openxmlformats.org/officeDocument/2006/relationships/image" Target="media/image584.wmf"/><Relationship Id="rId2128" Type="http://schemas.openxmlformats.org/officeDocument/2006/relationships/image" Target="media/image1351.wmf"/><Relationship Id="rId2475" Type="http://schemas.openxmlformats.org/officeDocument/2006/relationships/image" Target="media/image1630.wmf"/><Relationship Id="rId2682" Type="http://schemas.openxmlformats.org/officeDocument/2006/relationships/hyperlink" Target="https://login.consultant.ru/link/?req=doc&amp;base=STR&amp;n=8696" TargetMode="External"/><Relationship Id="rId3526" Type="http://schemas.openxmlformats.org/officeDocument/2006/relationships/image" Target="media/image2345.wmf"/><Relationship Id="rId3733" Type="http://schemas.openxmlformats.org/officeDocument/2006/relationships/image" Target="media/image2540.wmf"/><Relationship Id="rId3940" Type="http://schemas.openxmlformats.org/officeDocument/2006/relationships/image" Target="media/image2743.wmf"/><Relationship Id="rId654" Type="http://schemas.openxmlformats.org/officeDocument/2006/relationships/image" Target="media/image244.wmf"/><Relationship Id="rId861" Type="http://schemas.openxmlformats.org/officeDocument/2006/relationships/hyperlink" Target="https://login.consultant.ru/link/?req=doc&amp;base=STR&amp;n=26765&amp;dst=100589" TargetMode="External"/><Relationship Id="rId1284" Type="http://schemas.openxmlformats.org/officeDocument/2006/relationships/image" Target="media/image773.wmf"/><Relationship Id="rId1491" Type="http://schemas.openxmlformats.org/officeDocument/2006/relationships/hyperlink" Target="https://login.consultant.ru/link/?req=doc&amp;base=STR&amp;n=25187" TargetMode="External"/><Relationship Id="rId2335" Type="http://schemas.openxmlformats.org/officeDocument/2006/relationships/image" Target="media/image1517.wmf"/><Relationship Id="rId2542" Type="http://schemas.openxmlformats.org/officeDocument/2006/relationships/image" Target="media/image1696.wmf"/><Relationship Id="rId3800" Type="http://schemas.openxmlformats.org/officeDocument/2006/relationships/hyperlink" Target="https://login.consultant.ru/link/?req=doc&amp;base=STR&amp;n=33799&amp;dst=101545" TargetMode="External"/><Relationship Id="rId307" Type="http://schemas.openxmlformats.org/officeDocument/2006/relationships/image" Target="media/image32.wmf"/><Relationship Id="rId514" Type="http://schemas.openxmlformats.org/officeDocument/2006/relationships/image" Target="media/image160.wmf"/><Relationship Id="rId721" Type="http://schemas.openxmlformats.org/officeDocument/2006/relationships/hyperlink" Target="https://login.consultant.ru/link/?req=doc&amp;base=STR&amp;n=2607" TargetMode="External"/><Relationship Id="rId1144" Type="http://schemas.openxmlformats.org/officeDocument/2006/relationships/image" Target="media/image646.wmf"/><Relationship Id="rId1351" Type="http://schemas.openxmlformats.org/officeDocument/2006/relationships/image" Target="media/image790.wmf"/><Relationship Id="rId2402" Type="http://schemas.openxmlformats.org/officeDocument/2006/relationships/image" Target="media/image1582.wmf"/><Relationship Id="rId1004" Type="http://schemas.openxmlformats.org/officeDocument/2006/relationships/image" Target="media/image513.wmf"/><Relationship Id="rId1211" Type="http://schemas.openxmlformats.org/officeDocument/2006/relationships/image" Target="media/image705.wmf"/><Relationship Id="rId3176" Type="http://schemas.openxmlformats.org/officeDocument/2006/relationships/hyperlink" Target="https://login.consultant.ru/link/?req=doc&amp;base=STR&amp;n=33799&amp;dst=101501" TargetMode="External"/><Relationship Id="rId3383" Type="http://schemas.openxmlformats.org/officeDocument/2006/relationships/image" Target="media/image2224.wmf"/><Relationship Id="rId3590" Type="http://schemas.openxmlformats.org/officeDocument/2006/relationships/image" Target="media/image2406.wmf"/><Relationship Id="rId2192" Type="http://schemas.openxmlformats.org/officeDocument/2006/relationships/image" Target="media/image1389.wmf"/><Relationship Id="rId3036" Type="http://schemas.openxmlformats.org/officeDocument/2006/relationships/image" Target="media/image1909.wmf"/><Relationship Id="rId3243" Type="http://schemas.openxmlformats.org/officeDocument/2006/relationships/image" Target="media/image2088.wmf"/><Relationship Id="rId164" Type="http://schemas.openxmlformats.org/officeDocument/2006/relationships/image" Target="media/image29.wmf"/><Relationship Id="rId371" Type="http://schemas.openxmlformats.org/officeDocument/2006/relationships/image" Target="media/image58.wmf"/><Relationship Id="rId2052" Type="http://schemas.openxmlformats.org/officeDocument/2006/relationships/image" Target="media/image1278.wmf"/><Relationship Id="rId3450" Type="http://schemas.openxmlformats.org/officeDocument/2006/relationships/image" Target="media/image2284.wmf"/><Relationship Id="rId3103" Type="http://schemas.openxmlformats.org/officeDocument/2006/relationships/image" Target="media/image1976.wmf"/><Relationship Id="rId3310" Type="http://schemas.openxmlformats.org/officeDocument/2006/relationships/image" Target="media/image2154.wmf"/><Relationship Id="rId231" Type="http://schemas.openxmlformats.org/officeDocument/2006/relationships/hyperlink" Target="https://login.consultant.ru/link/?req=doc&amp;base=STR&amp;n=20899&amp;dst=100076" TargetMode="External"/><Relationship Id="rId2869" Type="http://schemas.openxmlformats.org/officeDocument/2006/relationships/image" Target="media/image1746.wmf"/><Relationship Id="rId1678" Type="http://schemas.openxmlformats.org/officeDocument/2006/relationships/image" Target="media/image916.wmf"/><Relationship Id="rId1885" Type="http://schemas.openxmlformats.org/officeDocument/2006/relationships/image" Target="media/image1113.wmf"/><Relationship Id="rId2729" Type="http://schemas.openxmlformats.org/officeDocument/2006/relationships/hyperlink" Target="https://login.consultant.ru/link/?req=doc&amp;base=STR&amp;n=31283" TargetMode="External"/><Relationship Id="rId2936" Type="http://schemas.openxmlformats.org/officeDocument/2006/relationships/image" Target="media/image1809.wmf"/><Relationship Id="rId908" Type="http://schemas.openxmlformats.org/officeDocument/2006/relationships/image" Target="media/image420.wmf"/><Relationship Id="rId1538" Type="http://schemas.openxmlformats.org/officeDocument/2006/relationships/hyperlink" Target="https://login.consultant.ru/link/?req=doc&amp;base=STR&amp;n=26941" TargetMode="External"/><Relationship Id="rId1745" Type="http://schemas.openxmlformats.org/officeDocument/2006/relationships/image" Target="media/image980.wmf"/><Relationship Id="rId1952" Type="http://schemas.openxmlformats.org/officeDocument/2006/relationships/image" Target="media/image1179.wmf"/><Relationship Id="rId4011" Type="http://schemas.openxmlformats.org/officeDocument/2006/relationships/hyperlink" Target="https://login.consultant.ru/link/?req=doc&amp;base=STR&amp;n=33799&amp;dst=101675" TargetMode="External"/><Relationship Id="rId37" Type="http://schemas.openxmlformats.org/officeDocument/2006/relationships/hyperlink" Target="https://login.consultant.ru/link/?req=doc&amp;base=STR&amp;n=33799&amp;dst=100027" TargetMode="External"/><Relationship Id="rId1605" Type="http://schemas.openxmlformats.org/officeDocument/2006/relationships/image" Target="media/image846.wmf"/><Relationship Id="rId1812" Type="http://schemas.openxmlformats.org/officeDocument/2006/relationships/image" Target="media/image1047.wmf"/><Relationship Id="rId3777" Type="http://schemas.openxmlformats.org/officeDocument/2006/relationships/image" Target="media/image2583.wmf"/><Relationship Id="rId3984" Type="http://schemas.openxmlformats.org/officeDocument/2006/relationships/hyperlink" Target="https://login.consultant.ru/link/?req=doc&amp;base=STR&amp;n=33799&amp;dst=101550" TargetMode="External"/><Relationship Id="rId698" Type="http://schemas.openxmlformats.org/officeDocument/2006/relationships/hyperlink" Target="https://login.consultant.ru/link/?req=doc&amp;base=STR&amp;n=19866" TargetMode="External"/><Relationship Id="rId2379" Type="http://schemas.openxmlformats.org/officeDocument/2006/relationships/image" Target="media/image1559.wmf"/><Relationship Id="rId2586" Type="http://schemas.openxmlformats.org/officeDocument/2006/relationships/hyperlink" Target="https://login.consultant.ru/link/?req=doc&amp;base=STR&amp;n=33228" TargetMode="External"/><Relationship Id="rId2793" Type="http://schemas.openxmlformats.org/officeDocument/2006/relationships/hyperlink" Target="https://login.consultant.ru/link/?req=doc&amp;base=STR&amp;n=29176" TargetMode="External"/><Relationship Id="rId3637" Type="http://schemas.openxmlformats.org/officeDocument/2006/relationships/image" Target="media/image2448.wmf"/><Relationship Id="rId3844" Type="http://schemas.openxmlformats.org/officeDocument/2006/relationships/image" Target="media/image2647.wmf"/><Relationship Id="rId558" Type="http://schemas.openxmlformats.org/officeDocument/2006/relationships/hyperlink" Target="https://login.consultant.ru/link/?req=doc&amp;base=STR&amp;n=20899&amp;dst=100166" TargetMode="External"/><Relationship Id="rId765" Type="http://schemas.openxmlformats.org/officeDocument/2006/relationships/image" Target="media/image299.wmf"/><Relationship Id="rId972" Type="http://schemas.openxmlformats.org/officeDocument/2006/relationships/image" Target="media/image483.wmf"/><Relationship Id="rId1188" Type="http://schemas.openxmlformats.org/officeDocument/2006/relationships/image" Target="media/image684.wmf"/><Relationship Id="rId1395" Type="http://schemas.openxmlformats.org/officeDocument/2006/relationships/hyperlink" Target="https://login.consultant.ru/link/?req=doc&amp;base=STR&amp;n=20899&amp;dst=100362" TargetMode="External"/><Relationship Id="rId2239" Type="http://schemas.openxmlformats.org/officeDocument/2006/relationships/image" Target="media/image1423.wmf"/><Relationship Id="rId2446" Type="http://schemas.openxmlformats.org/officeDocument/2006/relationships/image" Target="media/image1607.wmf"/><Relationship Id="rId2653" Type="http://schemas.openxmlformats.org/officeDocument/2006/relationships/hyperlink" Target="https://login.consultant.ru/link/?req=doc&amp;base=STR&amp;n=33799&amp;dst=101063" TargetMode="External"/><Relationship Id="rId2860" Type="http://schemas.openxmlformats.org/officeDocument/2006/relationships/hyperlink" Target="https://login.consultant.ru/link/?req=doc&amp;base=STR&amp;n=33799&amp;dst=101335" TargetMode="External"/><Relationship Id="rId3704" Type="http://schemas.openxmlformats.org/officeDocument/2006/relationships/image" Target="media/image2511.wmf"/><Relationship Id="rId418" Type="http://schemas.openxmlformats.org/officeDocument/2006/relationships/image" Target="media/image94.wmf"/><Relationship Id="rId625" Type="http://schemas.openxmlformats.org/officeDocument/2006/relationships/image" Target="media/image217.wmf"/><Relationship Id="rId832" Type="http://schemas.openxmlformats.org/officeDocument/2006/relationships/image" Target="media/image355.wmf"/><Relationship Id="rId1048" Type="http://schemas.openxmlformats.org/officeDocument/2006/relationships/image" Target="media/image556.wmf"/><Relationship Id="rId1255" Type="http://schemas.openxmlformats.org/officeDocument/2006/relationships/image" Target="media/image748.wmf"/><Relationship Id="rId1462" Type="http://schemas.openxmlformats.org/officeDocument/2006/relationships/hyperlink" Target="https://login.consultant.ru/link/?req=doc&amp;base=STR&amp;n=26941&amp;dst=100446" TargetMode="External"/><Relationship Id="rId2306" Type="http://schemas.openxmlformats.org/officeDocument/2006/relationships/image" Target="media/image1488.wmf"/><Relationship Id="rId2513" Type="http://schemas.openxmlformats.org/officeDocument/2006/relationships/image" Target="media/image1667.wmf"/><Relationship Id="rId3911" Type="http://schemas.openxmlformats.org/officeDocument/2006/relationships/image" Target="media/image2714.wmf"/><Relationship Id="rId1115" Type="http://schemas.openxmlformats.org/officeDocument/2006/relationships/image" Target="media/image620.wmf"/><Relationship Id="rId1322" Type="http://schemas.openxmlformats.org/officeDocument/2006/relationships/hyperlink" Target="https://login.consultant.ru/link/?req=doc&amp;base=STR&amp;n=6278" TargetMode="External"/><Relationship Id="rId2720" Type="http://schemas.openxmlformats.org/officeDocument/2006/relationships/hyperlink" Target="https://login.consultant.ru/link/?req=doc&amp;base=STR&amp;n=15232" TargetMode="External"/><Relationship Id="rId3287" Type="http://schemas.openxmlformats.org/officeDocument/2006/relationships/image" Target="media/image2132.wmf"/><Relationship Id="rId2096" Type="http://schemas.openxmlformats.org/officeDocument/2006/relationships/image" Target="media/image1320.wmf"/><Relationship Id="rId3494" Type="http://schemas.openxmlformats.org/officeDocument/2006/relationships/image" Target="media/image2317.wmf"/><Relationship Id="rId3147" Type="http://schemas.openxmlformats.org/officeDocument/2006/relationships/hyperlink" Target="https://login.consultant.ru/link/?req=doc&amp;base=STR&amp;n=31815" TargetMode="External"/><Relationship Id="rId3354" Type="http://schemas.openxmlformats.org/officeDocument/2006/relationships/image" Target="media/image2195.wmf"/><Relationship Id="rId3561" Type="http://schemas.openxmlformats.org/officeDocument/2006/relationships/image" Target="media/image2377.wmf"/><Relationship Id="rId275" Type="http://schemas.openxmlformats.org/officeDocument/2006/relationships/hyperlink" Target="https://login.consultant.ru/link/?req=doc&amp;base=STR&amp;n=26765&amp;dst=100100" TargetMode="External"/><Relationship Id="rId482" Type="http://schemas.openxmlformats.org/officeDocument/2006/relationships/hyperlink" Target="https://login.consultant.ru/link/?req=doc&amp;base=STR&amp;n=20899&amp;dst=100159" TargetMode="External"/><Relationship Id="rId2163" Type="http://schemas.openxmlformats.org/officeDocument/2006/relationships/hyperlink" Target="https://login.consultant.ru/link/?req=doc&amp;base=STR&amp;n=33799&amp;dst=100953" TargetMode="External"/><Relationship Id="rId2370" Type="http://schemas.openxmlformats.org/officeDocument/2006/relationships/image" Target="media/image1550.wmf"/><Relationship Id="rId3007" Type="http://schemas.openxmlformats.org/officeDocument/2006/relationships/image" Target="media/image1880.wmf"/><Relationship Id="rId3214" Type="http://schemas.openxmlformats.org/officeDocument/2006/relationships/image" Target="media/image2059.wmf"/><Relationship Id="rId3421" Type="http://schemas.openxmlformats.org/officeDocument/2006/relationships/image" Target="media/image2257.wmf"/><Relationship Id="rId135" Type="http://schemas.openxmlformats.org/officeDocument/2006/relationships/image" Target="media/image16.wmf"/><Relationship Id="rId342" Type="http://schemas.openxmlformats.org/officeDocument/2006/relationships/hyperlink" Target="https://login.consultant.ru/link/?req=doc&amp;base=STR&amp;n=33799&amp;dst=100229" TargetMode="External"/><Relationship Id="rId2023" Type="http://schemas.openxmlformats.org/officeDocument/2006/relationships/image" Target="media/image1249.wmf"/><Relationship Id="rId2230" Type="http://schemas.openxmlformats.org/officeDocument/2006/relationships/image" Target="media/image1414.wmf"/><Relationship Id="rId202" Type="http://schemas.openxmlformats.org/officeDocument/2006/relationships/hyperlink" Target="https://login.consultant.ru/link/?req=doc&amp;base=STR&amp;n=33799&amp;dst=100146" TargetMode="External"/><Relationship Id="rId1789" Type="http://schemas.openxmlformats.org/officeDocument/2006/relationships/image" Target="media/image1024.wmf"/><Relationship Id="rId1996" Type="http://schemas.openxmlformats.org/officeDocument/2006/relationships/image" Target="media/image1222.wmf"/><Relationship Id="rId4055" Type="http://schemas.openxmlformats.org/officeDocument/2006/relationships/hyperlink" Target="https://login.consultant.ru/link/?req=doc&amp;base=STR&amp;n=4861" TargetMode="External"/><Relationship Id="rId1649" Type="http://schemas.openxmlformats.org/officeDocument/2006/relationships/image" Target="media/image888.wmf"/><Relationship Id="rId1856" Type="http://schemas.openxmlformats.org/officeDocument/2006/relationships/image" Target="media/image1084.wmf"/><Relationship Id="rId2907" Type="http://schemas.openxmlformats.org/officeDocument/2006/relationships/image" Target="media/image1781.wmf"/><Relationship Id="rId3071" Type="http://schemas.openxmlformats.org/officeDocument/2006/relationships/image" Target="media/image1944.wmf"/><Relationship Id="rId1509" Type="http://schemas.openxmlformats.org/officeDocument/2006/relationships/image" Target="media/image804.wmf"/><Relationship Id="rId1716" Type="http://schemas.openxmlformats.org/officeDocument/2006/relationships/image" Target="media/image952.wmf"/><Relationship Id="rId1923" Type="http://schemas.openxmlformats.org/officeDocument/2006/relationships/image" Target="media/image1151.wmf"/><Relationship Id="rId3888" Type="http://schemas.openxmlformats.org/officeDocument/2006/relationships/image" Target="media/image2691.wmf"/><Relationship Id="rId2697" Type="http://schemas.openxmlformats.org/officeDocument/2006/relationships/hyperlink" Target="https://login.consultant.ru/link/?req=doc&amp;base=STR&amp;n=28725" TargetMode="External"/><Relationship Id="rId3748" Type="http://schemas.openxmlformats.org/officeDocument/2006/relationships/image" Target="media/image2555.wmf"/><Relationship Id="rId669" Type="http://schemas.openxmlformats.org/officeDocument/2006/relationships/image" Target="media/image258.wmf"/><Relationship Id="rId876" Type="http://schemas.openxmlformats.org/officeDocument/2006/relationships/image" Target="media/image393.wmf"/><Relationship Id="rId1299" Type="http://schemas.openxmlformats.org/officeDocument/2006/relationships/hyperlink" Target="https://login.consultant.ru/link/?req=doc&amp;base=STR&amp;n=33799&amp;dst=100530" TargetMode="External"/><Relationship Id="rId2557" Type="http://schemas.openxmlformats.org/officeDocument/2006/relationships/image" Target="media/image1711.wmf"/><Relationship Id="rId3608" Type="http://schemas.openxmlformats.org/officeDocument/2006/relationships/image" Target="media/image2422.wmf"/><Relationship Id="rId3955" Type="http://schemas.openxmlformats.org/officeDocument/2006/relationships/image" Target="media/image2758.wmf"/><Relationship Id="rId529" Type="http://schemas.openxmlformats.org/officeDocument/2006/relationships/image" Target="media/image171.wmf"/><Relationship Id="rId736" Type="http://schemas.openxmlformats.org/officeDocument/2006/relationships/hyperlink" Target="https://login.consultant.ru/link/?req=doc&amp;base=STR&amp;n=33799&amp;dst=100328" TargetMode="External"/><Relationship Id="rId1159" Type="http://schemas.openxmlformats.org/officeDocument/2006/relationships/image" Target="media/image658.wmf"/><Relationship Id="rId1366" Type="http://schemas.openxmlformats.org/officeDocument/2006/relationships/hyperlink" Target="https://login.consultant.ru/link/?req=doc&amp;base=STR&amp;n=22061" TargetMode="External"/><Relationship Id="rId2417" Type="http://schemas.openxmlformats.org/officeDocument/2006/relationships/hyperlink" Target="https://login.consultant.ru/link/?req=doc&amp;base=STR&amp;n=20787" TargetMode="External"/><Relationship Id="rId2764" Type="http://schemas.openxmlformats.org/officeDocument/2006/relationships/hyperlink" Target="https://login.consultant.ru/link/?req=doc&amp;base=STR&amp;n=20895" TargetMode="External"/><Relationship Id="rId2971" Type="http://schemas.openxmlformats.org/officeDocument/2006/relationships/image" Target="media/image1844.wmf"/><Relationship Id="rId3815" Type="http://schemas.openxmlformats.org/officeDocument/2006/relationships/image" Target="media/image2618.wmf"/><Relationship Id="rId943" Type="http://schemas.openxmlformats.org/officeDocument/2006/relationships/image" Target="media/image454.wmf"/><Relationship Id="rId1019" Type="http://schemas.openxmlformats.org/officeDocument/2006/relationships/image" Target="media/image528.wmf"/><Relationship Id="rId1573" Type="http://schemas.openxmlformats.org/officeDocument/2006/relationships/hyperlink" Target="https://login.consultant.ru/link/?req=doc&amp;base=STR&amp;n=33799&amp;dst=100914" TargetMode="External"/><Relationship Id="rId1780" Type="http://schemas.openxmlformats.org/officeDocument/2006/relationships/image" Target="media/image1015.wmf"/><Relationship Id="rId2624" Type="http://schemas.openxmlformats.org/officeDocument/2006/relationships/hyperlink" Target="https://login.consultant.ru/link/?req=doc&amp;base=STR&amp;n=29126" TargetMode="External"/><Relationship Id="rId2831" Type="http://schemas.openxmlformats.org/officeDocument/2006/relationships/hyperlink" Target="https://login.consultant.ru/link/?req=doc&amp;base=STR&amp;n=20895&amp;dst=10009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490</Pages>
  <Words>151441</Words>
  <Characters>863215</Characters>
  <Application>Microsoft Office Word</Application>
  <DocSecurity>0</DocSecurity>
  <Lines>7193</Lines>
  <Paragraphs>2025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1012631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2025-01-09T11:25:00Z</dcterms:created>
  <dcterms:modified xsi:type="dcterms:W3CDTF">2025-01-09T11:26:00Z</dcterms:modified>
</cp:coreProperties>
</file>